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038735" w14:textId="00A89A43" w:rsidR="00EA1D82" w:rsidRPr="00A2753B" w:rsidRDefault="00EA1D82" w:rsidP="00ED20D4">
      <w:pPr>
        <w:spacing w:before="40" w:after="40" w:line="360" w:lineRule="auto"/>
        <w:rPr>
          <w:sz w:val="32"/>
          <w:szCs w:val="26"/>
        </w:rPr>
      </w:pPr>
      <w:r>
        <w:rPr>
          <w:sz w:val="32"/>
          <w:szCs w:val="26"/>
        </w:rPr>
        <w:t>THUYẾT MINH</w:t>
      </w:r>
    </w:p>
    <w:p w14:paraId="17670740" w14:textId="5F32B2A9" w:rsidR="00EA1D82" w:rsidRPr="00A2753B" w:rsidRDefault="00EA1D82" w:rsidP="00ED20D4">
      <w:pPr>
        <w:spacing w:before="40" w:after="40" w:line="360" w:lineRule="auto"/>
        <w:rPr>
          <w:b/>
          <w:szCs w:val="26"/>
        </w:rPr>
      </w:pPr>
      <w:r w:rsidRPr="00A2753B">
        <w:rPr>
          <w:b/>
          <w:szCs w:val="26"/>
        </w:rPr>
        <w:t xml:space="preserve">ĐIỀU CHỈNH QUY HOẠCH CHUNG THÀNH PHỐ </w:t>
      </w:r>
      <w:r>
        <w:rPr>
          <w:b/>
          <w:szCs w:val="26"/>
        </w:rPr>
        <w:t>NAM ĐỊNH</w:t>
      </w:r>
    </w:p>
    <w:p w14:paraId="668DD3A0" w14:textId="77777777" w:rsidR="00EA1D82" w:rsidRPr="00A2753B" w:rsidRDefault="00EA1D82" w:rsidP="00ED20D4">
      <w:pPr>
        <w:spacing w:before="40" w:after="40" w:line="360" w:lineRule="auto"/>
        <w:rPr>
          <w:b/>
          <w:szCs w:val="26"/>
        </w:rPr>
      </w:pPr>
      <w:r w:rsidRPr="00A2753B">
        <w:rPr>
          <w:b/>
          <w:szCs w:val="26"/>
        </w:rPr>
        <w:t>ĐẾN NĂM 2040, TẦM NHÌN ĐẾN NĂM 2050</w:t>
      </w:r>
    </w:p>
    <w:p w14:paraId="69FC95DC" w14:textId="77777777" w:rsidR="00EA1D82" w:rsidRPr="00A2753B" w:rsidRDefault="00EA1D82" w:rsidP="00ED20D4">
      <w:pPr>
        <w:spacing w:before="40" w:after="40" w:line="360" w:lineRule="auto"/>
        <w:rPr>
          <w:b/>
          <w:szCs w:val="26"/>
        </w:rPr>
      </w:pPr>
      <w:r w:rsidRPr="00A2753B">
        <w:rPr>
          <w:b/>
          <w:szCs w:val="26"/>
        </w:rPr>
        <w:t xml:space="preserve">Địa điểm: Thành phố </w:t>
      </w:r>
      <w:r>
        <w:rPr>
          <w:b/>
          <w:szCs w:val="26"/>
        </w:rPr>
        <w:t>Nam Định</w:t>
      </w:r>
      <w:r w:rsidRPr="00A2753B">
        <w:rPr>
          <w:b/>
          <w:szCs w:val="26"/>
        </w:rPr>
        <w:t xml:space="preserve">, Tỉnh </w:t>
      </w:r>
      <w:r>
        <w:rPr>
          <w:b/>
          <w:szCs w:val="26"/>
        </w:rPr>
        <w:t>Nam Định</w:t>
      </w:r>
    </w:p>
    <w:p w14:paraId="1A0E18FA" w14:textId="77777777" w:rsidR="00EA1D82" w:rsidRPr="00A2753B" w:rsidRDefault="00EA1D82" w:rsidP="00ED20D4">
      <w:pPr>
        <w:spacing w:before="40" w:after="40" w:line="360" w:lineRule="auto"/>
        <w:rPr>
          <w:b/>
          <w:szCs w:val="26"/>
        </w:rPr>
      </w:pPr>
      <w:r w:rsidRPr="00A2753B">
        <w:rPr>
          <w:b/>
          <w:szCs w:val="26"/>
        </w:rPr>
        <w:t>----------------------------------------------------------------</w:t>
      </w:r>
    </w:p>
    <w:p w14:paraId="29E0F28F" w14:textId="77777777" w:rsidR="00EA1D82" w:rsidRPr="00ED20D4" w:rsidRDefault="00EA1D82" w:rsidP="00ED20D4">
      <w:pPr>
        <w:spacing w:before="40" w:after="40" w:line="360" w:lineRule="auto"/>
        <w:rPr>
          <w:b/>
          <w:szCs w:val="26"/>
        </w:rPr>
      </w:pPr>
      <w:r w:rsidRPr="00ED20D4">
        <w:rPr>
          <w:b/>
          <w:szCs w:val="26"/>
        </w:rPr>
        <w:t>- Cấp phê duyệt:</w:t>
      </w:r>
    </w:p>
    <w:p w14:paraId="35C61338" w14:textId="77777777" w:rsidR="00EA1D82" w:rsidRPr="00A2753B" w:rsidRDefault="00EA1D82" w:rsidP="00ED20D4">
      <w:pPr>
        <w:spacing w:before="40" w:after="40" w:line="360" w:lineRule="auto"/>
        <w:rPr>
          <w:b/>
          <w:szCs w:val="26"/>
        </w:rPr>
      </w:pPr>
      <w:r w:rsidRPr="00A2753B">
        <w:rPr>
          <w:b/>
          <w:szCs w:val="26"/>
        </w:rPr>
        <w:t>THỦ TƯỚNG CHÍNH PHỦ</w:t>
      </w:r>
    </w:p>
    <w:p w14:paraId="0ADC18D3" w14:textId="77777777" w:rsidR="00EA1D82" w:rsidRPr="00A2753B" w:rsidRDefault="00EA1D82" w:rsidP="00ED20D4">
      <w:pPr>
        <w:spacing w:before="40" w:after="40" w:line="360" w:lineRule="auto"/>
        <w:rPr>
          <w:b/>
          <w:szCs w:val="26"/>
        </w:rPr>
      </w:pPr>
    </w:p>
    <w:p w14:paraId="38B10316" w14:textId="77777777" w:rsidR="00EA1D82" w:rsidRPr="00A2753B" w:rsidRDefault="00EA1D82" w:rsidP="00ED20D4">
      <w:pPr>
        <w:spacing w:before="40" w:after="40" w:line="360" w:lineRule="auto"/>
        <w:rPr>
          <w:b/>
          <w:szCs w:val="26"/>
        </w:rPr>
      </w:pPr>
    </w:p>
    <w:p w14:paraId="79D031D0" w14:textId="77777777" w:rsidR="00EA1D82" w:rsidRPr="00ED20D4" w:rsidRDefault="00EA1D82" w:rsidP="00ED20D4">
      <w:pPr>
        <w:spacing w:before="40" w:after="40" w:line="360" w:lineRule="auto"/>
        <w:rPr>
          <w:b/>
          <w:szCs w:val="26"/>
        </w:rPr>
      </w:pPr>
      <w:r w:rsidRPr="00ED20D4">
        <w:rPr>
          <w:b/>
          <w:szCs w:val="26"/>
        </w:rPr>
        <w:t xml:space="preserve">- Cơ quan thẩm định: </w:t>
      </w:r>
    </w:p>
    <w:p w14:paraId="4313FC10" w14:textId="77777777" w:rsidR="00EA1D82" w:rsidRPr="00A2753B" w:rsidRDefault="00EA1D82" w:rsidP="00ED20D4">
      <w:pPr>
        <w:spacing w:before="40" w:after="40" w:line="360" w:lineRule="auto"/>
        <w:rPr>
          <w:b/>
          <w:szCs w:val="26"/>
        </w:rPr>
      </w:pPr>
      <w:r w:rsidRPr="00A2753B">
        <w:rPr>
          <w:b/>
          <w:szCs w:val="26"/>
        </w:rPr>
        <w:t>BỘ XÂY DỰNG</w:t>
      </w:r>
    </w:p>
    <w:p w14:paraId="70B9C342" w14:textId="77777777" w:rsidR="00EA1D82" w:rsidRPr="00A2753B" w:rsidRDefault="00EA1D82" w:rsidP="00ED20D4">
      <w:pPr>
        <w:spacing w:before="40" w:after="40" w:line="360" w:lineRule="auto"/>
        <w:rPr>
          <w:b/>
          <w:szCs w:val="26"/>
        </w:rPr>
      </w:pPr>
    </w:p>
    <w:p w14:paraId="2184A5D4" w14:textId="77777777" w:rsidR="00EA1D82" w:rsidRPr="00A2753B" w:rsidRDefault="00EA1D82" w:rsidP="00ED20D4">
      <w:pPr>
        <w:spacing w:before="40" w:after="40" w:line="360" w:lineRule="auto"/>
        <w:rPr>
          <w:b/>
          <w:szCs w:val="26"/>
        </w:rPr>
      </w:pPr>
    </w:p>
    <w:p w14:paraId="78DA6A3D" w14:textId="77777777" w:rsidR="00EA1D82" w:rsidRPr="00ED20D4" w:rsidRDefault="00EA1D82" w:rsidP="00ED20D4">
      <w:pPr>
        <w:spacing w:before="40" w:after="40" w:line="360" w:lineRule="auto"/>
        <w:rPr>
          <w:b/>
          <w:szCs w:val="26"/>
        </w:rPr>
      </w:pPr>
      <w:r w:rsidRPr="00ED20D4">
        <w:rPr>
          <w:b/>
          <w:szCs w:val="26"/>
        </w:rPr>
        <w:t>- Cơ quan trình duyệt:</w:t>
      </w:r>
    </w:p>
    <w:p w14:paraId="6E2A9726" w14:textId="77777777" w:rsidR="00EA1D82" w:rsidRPr="00A2753B" w:rsidRDefault="00EA1D82" w:rsidP="00ED20D4">
      <w:pPr>
        <w:spacing w:before="40" w:after="40" w:line="360" w:lineRule="auto"/>
        <w:rPr>
          <w:b/>
          <w:szCs w:val="26"/>
        </w:rPr>
      </w:pPr>
      <w:r w:rsidRPr="00A2753B">
        <w:rPr>
          <w:b/>
          <w:szCs w:val="26"/>
        </w:rPr>
        <w:t xml:space="preserve">ỦY BAN NHÂN DÂN TỈNH </w:t>
      </w:r>
      <w:r>
        <w:rPr>
          <w:b/>
          <w:szCs w:val="26"/>
        </w:rPr>
        <w:t>NAM ĐỊNH</w:t>
      </w:r>
    </w:p>
    <w:p w14:paraId="72F589B5" w14:textId="77777777" w:rsidR="00EA1D82" w:rsidRPr="00A2753B" w:rsidRDefault="00EA1D82" w:rsidP="00ED20D4">
      <w:pPr>
        <w:spacing w:before="40" w:after="40" w:line="360" w:lineRule="auto"/>
        <w:rPr>
          <w:b/>
          <w:szCs w:val="26"/>
        </w:rPr>
      </w:pPr>
    </w:p>
    <w:p w14:paraId="50B0DD2A" w14:textId="77777777" w:rsidR="00EA1D82" w:rsidRPr="00A2753B" w:rsidRDefault="00EA1D82" w:rsidP="00ED20D4">
      <w:pPr>
        <w:spacing w:before="40" w:after="40" w:line="360" w:lineRule="auto"/>
        <w:rPr>
          <w:b/>
          <w:szCs w:val="26"/>
        </w:rPr>
      </w:pPr>
    </w:p>
    <w:p w14:paraId="2C216A34" w14:textId="77777777" w:rsidR="00EA1D82" w:rsidRPr="00ED20D4" w:rsidRDefault="00EA1D82" w:rsidP="00ED20D4">
      <w:pPr>
        <w:spacing w:before="40" w:after="40" w:line="360" w:lineRule="auto"/>
        <w:rPr>
          <w:b/>
          <w:szCs w:val="26"/>
        </w:rPr>
      </w:pPr>
      <w:r w:rsidRPr="00ED20D4">
        <w:rPr>
          <w:b/>
          <w:szCs w:val="26"/>
        </w:rPr>
        <w:t>- Cơ quan tổ chức lập quy hoạch:</w:t>
      </w:r>
    </w:p>
    <w:p w14:paraId="18F40D7B" w14:textId="77777777" w:rsidR="00EA1D82" w:rsidRPr="00A2753B" w:rsidRDefault="00EA1D82" w:rsidP="00ED20D4">
      <w:pPr>
        <w:spacing w:before="40" w:after="40" w:line="360" w:lineRule="auto"/>
        <w:rPr>
          <w:b/>
          <w:szCs w:val="26"/>
        </w:rPr>
      </w:pPr>
      <w:r>
        <w:rPr>
          <w:b/>
          <w:szCs w:val="26"/>
        </w:rPr>
        <w:t>SỞ XÂY DỰNG</w:t>
      </w:r>
      <w:r w:rsidRPr="00A2753B">
        <w:rPr>
          <w:b/>
          <w:szCs w:val="26"/>
        </w:rPr>
        <w:t xml:space="preserve"> </w:t>
      </w:r>
      <w:r>
        <w:rPr>
          <w:b/>
          <w:szCs w:val="26"/>
        </w:rPr>
        <w:t>NAM ĐỊNH</w:t>
      </w:r>
    </w:p>
    <w:p w14:paraId="65B5F130" w14:textId="77777777" w:rsidR="00EA1D82" w:rsidRPr="00A2753B" w:rsidRDefault="00EA1D82" w:rsidP="00ED20D4">
      <w:pPr>
        <w:spacing w:before="40" w:after="40" w:line="360" w:lineRule="auto"/>
        <w:rPr>
          <w:b/>
          <w:szCs w:val="26"/>
        </w:rPr>
      </w:pPr>
    </w:p>
    <w:p w14:paraId="0FF29F8C" w14:textId="77777777" w:rsidR="00EA1D82" w:rsidRPr="00A2753B" w:rsidRDefault="00EA1D82" w:rsidP="00ED20D4">
      <w:pPr>
        <w:spacing w:before="40" w:after="40" w:line="360" w:lineRule="auto"/>
        <w:rPr>
          <w:b/>
          <w:szCs w:val="26"/>
        </w:rPr>
      </w:pPr>
    </w:p>
    <w:p w14:paraId="69DF80EB" w14:textId="77777777" w:rsidR="00EA1D82" w:rsidRPr="00A2753B" w:rsidRDefault="00EA1D82" w:rsidP="00ED20D4">
      <w:pPr>
        <w:spacing w:before="40" w:after="40" w:line="360" w:lineRule="auto"/>
        <w:rPr>
          <w:b/>
          <w:szCs w:val="26"/>
        </w:rPr>
      </w:pPr>
    </w:p>
    <w:p w14:paraId="3E61A704" w14:textId="77777777" w:rsidR="00EA1D82" w:rsidRPr="00ED20D4" w:rsidRDefault="00EA1D82" w:rsidP="00ED20D4">
      <w:pPr>
        <w:spacing w:before="40" w:after="40" w:line="360" w:lineRule="auto"/>
        <w:rPr>
          <w:b/>
          <w:szCs w:val="26"/>
        </w:rPr>
      </w:pPr>
      <w:r w:rsidRPr="00ED20D4">
        <w:rPr>
          <w:b/>
          <w:szCs w:val="26"/>
        </w:rPr>
        <w:t>- Cơ quan tư vấn lập quy hoạch:</w:t>
      </w:r>
    </w:p>
    <w:p w14:paraId="435110A8" w14:textId="77777777" w:rsidR="00EA1D82" w:rsidRPr="00A2753B" w:rsidRDefault="00EA1D82" w:rsidP="00ED20D4">
      <w:pPr>
        <w:spacing w:before="40" w:after="40" w:line="360" w:lineRule="auto"/>
        <w:rPr>
          <w:b/>
          <w:szCs w:val="26"/>
        </w:rPr>
      </w:pPr>
      <w:r w:rsidRPr="00A2753B">
        <w:rPr>
          <w:b/>
          <w:szCs w:val="26"/>
        </w:rPr>
        <w:t>VIỆN QUY HOẠCH ĐÔ THỊ VÀ NÔNG THÔN QUỐC GIA</w:t>
      </w:r>
    </w:p>
    <w:p w14:paraId="17F8CC75" w14:textId="77777777" w:rsidR="00EA1D82" w:rsidRPr="00A2753B" w:rsidRDefault="00EA1D82" w:rsidP="00ED20D4">
      <w:pPr>
        <w:spacing w:before="40" w:after="40" w:line="360" w:lineRule="auto"/>
        <w:rPr>
          <w:b/>
          <w:szCs w:val="26"/>
        </w:rPr>
      </w:pPr>
      <w:r>
        <w:rPr>
          <w:b/>
          <w:szCs w:val="26"/>
        </w:rPr>
        <w:t xml:space="preserve">P. </w:t>
      </w:r>
      <w:r w:rsidRPr="00A2753B">
        <w:rPr>
          <w:b/>
          <w:szCs w:val="26"/>
        </w:rPr>
        <w:t>VIỆN TRƯỞNG</w:t>
      </w:r>
    </w:p>
    <w:p w14:paraId="3EC86CA9" w14:textId="77777777" w:rsidR="00EA1D82" w:rsidRPr="00A2753B" w:rsidRDefault="00EA1D82" w:rsidP="00ED20D4">
      <w:pPr>
        <w:spacing w:before="40" w:after="40" w:line="360" w:lineRule="auto"/>
        <w:rPr>
          <w:b/>
          <w:szCs w:val="26"/>
        </w:rPr>
      </w:pPr>
    </w:p>
    <w:p w14:paraId="29FD662A" w14:textId="77777777" w:rsidR="00EA1D82" w:rsidRPr="00A2753B" w:rsidRDefault="00EA1D82" w:rsidP="00ED20D4">
      <w:pPr>
        <w:spacing w:before="40" w:after="40" w:line="360" w:lineRule="auto"/>
        <w:rPr>
          <w:b/>
          <w:szCs w:val="26"/>
        </w:rPr>
      </w:pPr>
    </w:p>
    <w:p w14:paraId="794519C5" w14:textId="77777777" w:rsidR="00EA1D82" w:rsidRPr="00A2753B" w:rsidRDefault="00EA1D82" w:rsidP="00ED20D4">
      <w:pPr>
        <w:spacing w:before="40" w:after="40" w:line="360" w:lineRule="auto"/>
        <w:rPr>
          <w:b/>
          <w:szCs w:val="26"/>
        </w:rPr>
      </w:pPr>
    </w:p>
    <w:p w14:paraId="6AFA8377" w14:textId="77777777" w:rsidR="00EA1D82" w:rsidRPr="00A2753B" w:rsidRDefault="00EA1D82" w:rsidP="00ED20D4">
      <w:pPr>
        <w:spacing w:before="40" w:after="40" w:line="360" w:lineRule="auto"/>
        <w:rPr>
          <w:sz w:val="32"/>
          <w:szCs w:val="26"/>
        </w:rPr>
      </w:pPr>
      <w:r w:rsidRPr="00A2753B">
        <w:rPr>
          <w:b/>
          <w:szCs w:val="26"/>
        </w:rPr>
        <w:t>T</w:t>
      </w:r>
      <w:r>
        <w:rPr>
          <w:b/>
          <w:szCs w:val="26"/>
        </w:rPr>
        <w:t>HS</w:t>
      </w:r>
      <w:r w:rsidRPr="00A2753B">
        <w:rPr>
          <w:b/>
          <w:szCs w:val="26"/>
        </w:rPr>
        <w:t xml:space="preserve">.KTS. </w:t>
      </w:r>
      <w:r>
        <w:rPr>
          <w:b/>
          <w:szCs w:val="26"/>
        </w:rPr>
        <w:t>Nguyễn Thành Hưng</w:t>
      </w:r>
    </w:p>
    <w:p w14:paraId="2E94D57F" w14:textId="7889F42A" w:rsidR="00EA1D82" w:rsidRPr="009A6742" w:rsidRDefault="00EA1D82" w:rsidP="00ED20D4">
      <w:pPr>
        <w:spacing w:before="240" w:after="240"/>
        <w:jc w:val="left"/>
        <w:rPr>
          <w:sz w:val="28"/>
          <w:szCs w:val="26"/>
        </w:rPr>
      </w:pPr>
      <w:r>
        <w:rPr>
          <w:sz w:val="28"/>
          <w:szCs w:val="26"/>
        </w:rPr>
        <w:br w:type="page"/>
      </w:r>
      <w:r w:rsidRPr="009A6742">
        <w:rPr>
          <w:sz w:val="28"/>
          <w:szCs w:val="26"/>
        </w:rPr>
        <w:lastRenderedPageBreak/>
        <w:t xml:space="preserve">THUYẾT MINH </w:t>
      </w:r>
    </w:p>
    <w:p w14:paraId="1ECF44A0" w14:textId="456A40FB" w:rsidR="00EA1D82" w:rsidRPr="009A6742" w:rsidRDefault="00EA1D82" w:rsidP="00A33FF4">
      <w:pPr>
        <w:spacing w:before="60" w:after="60"/>
        <w:rPr>
          <w:b/>
          <w:szCs w:val="26"/>
        </w:rPr>
      </w:pPr>
      <w:r w:rsidRPr="009A6742">
        <w:rPr>
          <w:b/>
          <w:szCs w:val="26"/>
        </w:rPr>
        <w:t xml:space="preserve">ĐIỀU CHỈNH QUY HOẠCH CHUNG THÀNH PHỐ </w:t>
      </w:r>
      <w:r>
        <w:rPr>
          <w:b/>
          <w:szCs w:val="26"/>
        </w:rPr>
        <w:t>NAM ĐỊNH</w:t>
      </w:r>
    </w:p>
    <w:p w14:paraId="10887FA6" w14:textId="77777777" w:rsidR="00EA1D82" w:rsidRPr="009A6742" w:rsidRDefault="00EA1D82" w:rsidP="00A33FF4">
      <w:pPr>
        <w:pBdr>
          <w:bottom w:val="single" w:sz="6" w:space="1" w:color="auto"/>
        </w:pBdr>
        <w:spacing w:before="60" w:after="60"/>
        <w:rPr>
          <w:b/>
          <w:szCs w:val="26"/>
        </w:rPr>
      </w:pPr>
      <w:r w:rsidRPr="009A6742">
        <w:rPr>
          <w:b/>
          <w:szCs w:val="26"/>
        </w:rPr>
        <w:t>Đến năm 2040, tầm nhìn đến năm 2050</w:t>
      </w:r>
    </w:p>
    <w:p w14:paraId="5F95CEC2" w14:textId="77777777" w:rsidR="00EA1D82" w:rsidRPr="009A6742" w:rsidRDefault="00EA1D82" w:rsidP="006837EE">
      <w:pPr>
        <w:rPr>
          <w:b/>
          <w:bCs/>
          <w:szCs w:val="26"/>
        </w:rPr>
      </w:pPr>
      <w:r w:rsidRPr="009A6742">
        <w:rPr>
          <w:b/>
          <w:bCs/>
          <w:szCs w:val="26"/>
        </w:rPr>
        <w:t>- Cấp phê duyệt: Thủ tướng Chính phủ</w:t>
      </w:r>
    </w:p>
    <w:p w14:paraId="1129BEF2" w14:textId="77777777" w:rsidR="00EA1D82" w:rsidRPr="009A6742" w:rsidRDefault="00EA1D82" w:rsidP="006837EE">
      <w:pPr>
        <w:rPr>
          <w:b/>
          <w:bCs/>
          <w:szCs w:val="26"/>
        </w:rPr>
      </w:pPr>
      <w:r w:rsidRPr="009A6742">
        <w:rPr>
          <w:b/>
          <w:bCs/>
          <w:szCs w:val="26"/>
        </w:rPr>
        <w:t>- Cơ quan thẩm định: Bộ Xây dựng</w:t>
      </w:r>
    </w:p>
    <w:p w14:paraId="098F14EC" w14:textId="66B3C53D" w:rsidR="00EA1D82" w:rsidRPr="009A6742" w:rsidRDefault="00EA1D82" w:rsidP="006837EE">
      <w:pPr>
        <w:rPr>
          <w:b/>
          <w:bCs/>
          <w:szCs w:val="26"/>
        </w:rPr>
      </w:pPr>
      <w:r w:rsidRPr="009A6742">
        <w:rPr>
          <w:b/>
          <w:bCs/>
          <w:szCs w:val="26"/>
        </w:rPr>
        <w:t xml:space="preserve">- Cơ quan trình duyệt: Ủy ban nhân dân tỉnh </w:t>
      </w:r>
      <w:r>
        <w:rPr>
          <w:b/>
          <w:bCs/>
          <w:szCs w:val="26"/>
        </w:rPr>
        <w:t>Nam Định</w:t>
      </w:r>
    </w:p>
    <w:p w14:paraId="51224E64" w14:textId="6999ED69" w:rsidR="00EA1D82" w:rsidRPr="009A6742" w:rsidRDefault="00EA1D82" w:rsidP="006837EE">
      <w:pPr>
        <w:rPr>
          <w:b/>
          <w:bCs/>
          <w:szCs w:val="26"/>
        </w:rPr>
      </w:pPr>
      <w:r w:rsidRPr="009A6742">
        <w:rPr>
          <w:b/>
          <w:bCs/>
          <w:szCs w:val="26"/>
        </w:rPr>
        <w:t xml:space="preserve">- Cơ quan tổ chức lập quy hoạch: </w:t>
      </w:r>
      <w:r>
        <w:rPr>
          <w:b/>
          <w:bCs/>
          <w:szCs w:val="26"/>
        </w:rPr>
        <w:t>Sở Xây dựng Nam Định</w:t>
      </w:r>
    </w:p>
    <w:p w14:paraId="2C26360F" w14:textId="77777777" w:rsidR="00EA1D82" w:rsidRPr="009A6742" w:rsidRDefault="00EA1D82" w:rsidP="006837EE">
      <w:pPr>
        <w:rPr>
          <w:b/>
          <w:bCs/>
          <w:szCs w:val="26"/>
        </w:rPr>
      </w:pPr>
      <w:r w:rsidRPr="009A6742">
        <w:rPr>
          <w:b/>
          <w:bCs/>
          <w:szCs w:val="26"/>
        </w:rPr>
        <w:t>- Cơ quan lập quy hoạch:</w:t>
      </w:r>
      <w:r w:rsidRPr="009A6742">
        <w:rPr>
          <w:b/>
          <w:bCs/>
          <w:szCs w:val="26"/>
        </w:rPr>
        <w:tab/>
        <w:t>Viện Quy hoạch đô thị và nông thôn quốc gia - BXD</w:t>
      </w:r>
    </w:p>
    <w:tbl>
      <w:tblPr>
        <w:tblW w:w="932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ook w:val="04A0" w:firstRow="1" w:lastRow="0" w:firstColumn="1" w:lastColumn="0" w:noHBand="0" w:noVBand="1"/>
      </w:tblPr>
      <w:tblGrid>
        <w:gridCol w:w="2943"/>
        <w:gridCol w:w="4253"/>
        <w:gridCol w:w="2126"/>
      </w:tblGrid>
      <w:tr w:rsidR="00EA1D82" w:rsidRPr="009A6742" w14:paraId="1512B783" w14:textId="77777777" w:rsidTr="00EA1D82">
        <w:tc>
          <w:tcPr>
            <w:tcW w:w="2943" w:type="dxa"/>
            <w:shd w:val="clear" w:color="auto" w:fill="auto"/>
          </w:tcPr>
          <w:p w14:paraId="50F4AE39" w14:textId="77777777" w:rsidR="00EA1D82" w:rsidRPr="009A6742" w:rsidRDefault="00EA1D82" w:rsidP="006837EE">
            <w:pPr>
              <w:rPr>
                <w:bCs/>
                <w:szCs w:val="26"/>
              </w:rPr>
            </w:pPr>
            <w:r w:rsidRPr="009A6742">
              <w:rPr>
                <w:bCs/>
                <w:szCs w:val="26"/>
              </w:rPr>
              <w:t>- Viện trưởng:</w:t>
            </w:r>
          </w:p>
        </w:tc>
        <w:tc>
          <w:tcPr>
            <w:tcW w:w="4253" w:type="dxa"/>
            <w:shd w:val="clear" w:color="auto" w:fill="auto"/>
          </w:tcPr>
          <w:p w14:paraId="55CC9334" w14:textId="77777777" w:rsidR="00EA1D82" w:rsidRPr="00E1321A" w:rsidRDefault="00EA1D82" w:rsidP="006837EE">
            <w:pPr>
              <w:rPr>
                <w:b/>
                <w:bCs/>
                <w:szCs w:val="26"/>
              </w:rPr>
            </w:pPr>
            <w:r w:rsidRPr="00E1321A">
              <w:rPr>
                <w:b/>
                <w:bCs/>
                <w:szCs w:val="26"/>
              </w:rPr>
              <w:t>PGS. TS.KTS. Lưu Đức Cường</w:t>
            </w:r>
          </w:p>
        </w:tc>
        <w:tc>
          <w:tcPr>
            <w:tcW w:w="2126" w:type="dxa"/>
            <w:shd w:val="clear" w:color="auto" w:fill="auto"/>
          </w:tcPr>
          <w:p w14:paraId="24380B35" w14:textId="77777777" w:rsidR="00EA1D82" w:rsidRPr="009A6742" w:rsidRDefault="00EA1D82" w:rsidP="006837EE">
            <w:pPr>
              <w:rPr>
                <w:bCs/>
                <w:szCs w:val="26"/>
              </w:rPr>
            </w:pPr>
          </w:p>
        </w:tc>
      </w:tr>
      <w:tr w:rsidR="00EA1D82" w:rsidRPr="009A6742" w14:paraId="072A50C9" w14:textId="77777777" w:rsidTr="00EA1D82">
        <w:tc>
          <w:tcPr>
            <w:tcW w:w="2943" w:type="dxa"/>
            <w:shd w:val="clear" w:color="auto" w:fill="auto"/>
          </w:tcPr>
          <w:p w14:paraId="0A16EC78" w14:textId="5135D7AB" w:rsidR="00EA1D82" w:rsidRPr="009A6742" w:rsidRDefault="00EA1D82" w:rsidP="006837EE">
            <w:pPr>
              <w:rPr>
                <w:bCs/>
                <w:szCs w:val="26"/>
              </w:rPr>
            </w:pPr>
            <w:r w:rsidRPr="009A6742">
              <w:rPr>
                <w:bCs/>
                <w:szCs w:val="26"/>
              </w:rPr>
              <w:t>- Giám đốc TT:</w:t>
            </w:r>
          </w:p>
        </w:tc>
        <w:tc>
          <w:tcPr>
            <w:tcW w:w="4253" w:type="dxa"/>
            <w:shd w:val="clear" w:color="auto" w:fill="auto"/>
          </w:tcPr>
          <w:p w14:paraId="2C7A5CD6" w14:textId="022D72BB" w:rsidR="00EA1D82" w:rsidRPr="00E1321A" w:rsidRDefault="00EA1D82" w:rsidP="006837EE">
            <w:pPr>
              <w:rPr>
                <w:b/>
                <w:bCs/>
                <w:szCs w:val="26"/>
              </w:rPr>
            </w:pPr>
            <w:r w:rsidRPr="00E1321A">
              <w:rPr>
                <w:b/>
                <w:bCs/>
                <w:szCs w:val="26"/>
              </w:rPr>
              <w:t>Ths.KTS. Vũ Ngọc Tuấn</w:t>
            </w:r>
          </w:p>
        </w:tc>
        <w:tc>
          <w:tcPr>
            <w:tcW w:w="2126" w:type="dxa"/>
            <w:shd w:val="clear" w:color="auto" w:fill="auto"/>
          </w:tcPr>
          <w:p w14:paraId="6D483BC8" w14:textId="77777777" w:rsidR="00EA1D82" w:rsidRPr="009A6742" w:rsidRDefault="00EA1D82" w:rsidP="006837EE">
            <w:pPr>
              <w:rPr>
                <w:bCs/>
                <w:szCs w:val="26"/>
              </w:rPr>
            </w:pPr>
          </w:p>
        </w:tc>
      </w:tr>
      <w:tr w:rsidR="00EA1D82" w:rsidRPr="009A6742" w14:paraId="1D05CFDD" w14:textId="77777777" w:rsidTr="00EA1D82">
        <w:tc>
          <w:tcPr>
            <w:tcW w:w="2943" w:type="dxa"/>
            <w:shd w:val="clear" w:color="auto" w:fill="auto"/>
          </w:tcPr>
          <w:p w14:paraId="7D69DC7F" w14:textId="77777777" w:rsidR="00EA1D82" w:rsidRPr="009A6742" w:rsidRDefault="00EA1D82" w:rsidP="006837EE">
            <w:pPr>
              <w:rPr>
                <w:bCs/>
                <w:szCs w:val="26"/>
              </w:rPr>
            </w:pPr>
            <w:r w:rsidRPr="009A6742">
              <w:rPr>
                <w:bCs/>
                <w:szCs w:val="26"/>
              </w:rPr>
              <w:t>- Chủ nhiệm đồ án:</w:t>
            </w:r>
          </w:p>
        </w:tc>
        <w:tc>
          <w:tcPr>
            <w:tcW w:w="4253" w:type="dxa"/>
            <w:shd w:val="clear" w:color="auto" w:fill="auto"/>
          </w:tcPr>
          <w:p w14:paraId="613CFE27" w14:textId="224532E0" w:rsidR="00EA1D82" w:rsidRPr="00E1321A" w:rsidRDefault="00EA1D82" w:rsidP="006837EE">
            <w:pPr>
              <w:rPr>
                <w:b/>
                <w:bCs/>
                <w:szCs w:val="26"/>
              </w:rPr>
            </w:pPr>
            <w:r w:rsidRPr="00E1321A">
              <w:rPr>
                <w:b/>
                <w:bCs/>
                <w:szCs w:val="26"/>
              </w:rPr>
              <w:t>Ths.KTS. Vũ Ngọc Tuấn</w:t>
            </w:r>
          </w:p>
        </w:tc>
        <w:tc>
          <w:tcPr>
            <w:tcW w:w="2126" w:type="dxa"/>
            <w:shd w:val="clear" w:color="auto" w:fill="auto"/>
          </w:tcPr>
          <w:p w14:paraId="7BEF0E55" w14:textId="77777777" w:rsidR="00EA1D82" w:rsidRPr="009A6742" w:rsidRDefault="00EA1D82" w:rsidP="006837EE">
            <w:pPr>
              <w:rPr>
                <w:bCs/>
                <w:szCs w:val="26"/>
              </w:rPr>
            </w:pPr>
          </w:p>
        </w:tc>
      </w:tr>
      <w:tr w:rsidR="00EA1D82" w:rsidRPr="009A6742" w14:paraId="721EFFFA" w14:textId="77777777" w:rsidTr="00EA1D82">
        <w:tc>
          <w:tcPr>
            <w:tcW w:w="2943" w:type="dxa"/>
            <w:shd w:val="clear" w:color="auto" w:fill="auto"/>
          </w:tcPr>
          <w:p w14:paraId="030403DE" w14:textId="2A5CBD10" w:rsidR="00EA1D82" w:rsidRPr="009A6742" w:rsidRDefault="00EA1D82" w:rsidP="006837EE">
            <w:pPr>
              <w:rPr>
                <w:bCs/>
                <w:szCs w:val="26"/>
              </w:rPr>
            </w:pPr>
            <w:r w:rsidRPr="009A6742">
              <w:rPr>
                <w:bCs/>
                <w:szCs w:val="26"/>
              </w:rPr>
              <w:t xml:space="preserve">- </w:t>
            </w:r>
            <w:r w:rsidR="006837EE">
              <w:rPr>
                <w:bCs/>
                <w:szCs w:val="26"/>
              </w:rPr>
              <w:t xml:space="preserve">Chủ trì </w:t>
            </w:r>
            <w:r w:rsidRPr="009A6742">
              <w:rPr>
                <w:bCs/>
                <w:szCs w:val="26"/>
              </w:rPr>
              <w:t>Kiến trúc:</w:t>
            </w:r>
          </w:p>
        </w:tc>
        <w:tc>
          <w:tcPr>
            <w:tcW w:w="4253" w:type="dxa"/>
            <w:shd w:val="clear" w:color="auto" w:fill="auto"/>
          </w:tcPr>
          <w:p w14:paraId="4C150010" w14:textId="3F11E50D" w:rsidR="00EA1D82" w:rsidRPr="00E1321A" w:rsidRDefault="00EA1D82" w:rsidP="006837EE">
            <w:pPr>
              <w:rPr>
                <w:b/>
                <w:bCs/>
                <w:szCs w:val="26"/>
              </w:rPr>
            </w:pPr>
            <w:r w:rsidRPr="00E1321A">
              <w:rPr>
                <w:b/>
                <w:bCs/>
                <w:szCs w:val="26"/>
              </w:rPr>
              <w:t>Ths.KTS. Trần Thị Thu Phương</w:t>
            </w:r>
          </w:p>
        </w:tc>
        <w:tc>
          <w:tcPr>
            <w:tcW w:w="2126" w:type="dxa"/>
            <w:shd w:val="clear" w:color="auto" w:fill="auto"/>
          </w:tcPr>
          <w:p w14:paraId="5CB04A4B" w14:textId="77777777" w:rsidR="00EA1D82" w:rsidRPr="009A6742" w:rsidRDefault="00EA1D82" w:rsidP="006837EE">
            <w:pPr>
              <w:rPr>
                <w:bCs/>
                <w:szCs w:val="26"/>
              </w:rPr>
            </w:pPr>
          </w:p>
        </w:tc>
      </w:tr>
      <w:tr w:rsidR="00EA1D82" w:rsidRPr="009A6742" w14:paraId="6162E99B" w14:textId="77777777" w:rsidTr="00EA1D82">
        <w:tc>
          <w:tcPr>
            <w:tcW w:w="2943" w:type="dxa"/>
            <w:shd w:val="clear" w:color="auto" w:fill="auto"/>
          </w:tcPr>
          <w:p w14:paraId="2A4F06C5" w14:textId="77777777" w:rsidR="00EA1D82" w:rsidRPr="009A6742" w:rsidRDefault="00EA1D82" w:rsidP="006837EE">
            <w:pPr>
              <w:rPr>
                <w:bCs/>
                <w:szCs w:val="26"/>
              </w:rPr>
            </w:pPr>
          </w:p>
        </w:tc>
        <w:tc>
          <w:tcPr>
            <w:tcW w:w="4253" w:type="dxa"/>
            <w:shd w:val="clear" w:color="auto" w:fill="auto"/>
          </w:tcPr>
          <w:p w14:paraId="34C36B17" w14:textId="33234EE3" w:rsidR="00EA1D82" w:rsidRPr="00E1321A" w:rsidRDefault="00EA1D82" w:rsidP="006837EE">
            <w:pPr>
              <w:rPr>
                <w:b/>
                <w:bCs/>
                <w:szCs w:val="26"/>
              </w:rPr>
            </w:pPr>
            <w:r w:rsidRPr="00E1321A">
              <w:rPr>
                <w:b/>
                <w:bCs/>
                <w:szCs w:val="26"/>
              </w:rPr>
              <w:t>KTS. Nguyễn Khánh Linh</w:t>
            </w:r>
          </w:p>
        </w:tc>
        <w:tc>
          <w:tcPr>
            <w:tcW w:w="2126" w:type="dxa"/>
            <w:shd w:val="clear" w:color="auto" w:fill="auto"/>
          </w:tcPr>
          <w:p w14:paraId="47F01BAF" w14:textId="77777777" w:rsidR="00EA1D82" w:rsidRPr="009A6742" w:rsidRDefault="00EA1D82" w:rsidP="006837EE">
            <w:pPr>
              <w:rPr>
                <w:bCs/>
                <w:szCs w:val="26"/>
              </w:rPr>
            </w:pPr>
          </w:p>
        </w:tc>
      </w:tr>
      <w:tr w:rsidR="00EA1D82" w:rsidRPr="009A6742" w14:paraId="59B890A9" w14:textId="77777777" w:rsidTr="00EA1D82">
        <w:tc>
          <w:tcPr>
            <w:tcW w:w="2943" w:type="dxa"/>
            <w:shd w:val="clear" w:color="auto" w:fill="auto"/>
          </w:tcPr>
          <w:p w14:paraId="2AA8C1C4" w14:textId="77777777" w:rsidR="00EA1D82" w:rsidRPr="009A6742" w:rsidRDefault="00EA1D82" w:rsidP="006837EE">
            <w:pPr>
              <w:rPr>
                <w:bCs/>
                <w:szCs w:val="26"/>
              </w:rPr>
            </w:pPr>
          </w:p>
        </w:tc>
        <w:tc>
          <w:tcPr>
            <w:tcW w:w="4253" w:type="dxa"/>
            <w:shd w:val="clear" w:color="auto" w:fill="auto"/>
          </w:tcPr>
          <w:p w14:paraId="271E499B" w14:textId="519EAAD5" w:rsidR="00EA1D82" w:rsidRPr="00E1321A" w:rsidRDefault="00EA1D82" w:rsidP="006837EE">
            <w:pPr>
              <w:rPr>
                <w:b/>
                <w:bCs/>
                <w:szCs w:val="26"/>
              </w:rPr>
            </w:pPr>
            <w:r w:rsidRPr="00E1321A">
              <w:rPr>
                <w:b/>
                <w:bCs/>
                <w:szCs w:val="26"/>
              </w:rPr>
              <w:t>KTS. Phạm Trung Thành</w:t>
            </w:r>
          </w:p>
        </w:tc>
        <w:tc>
          <w:tcPr>
            <w:tcW w:w="2126" w:type="dxa"/>
            <w:shd w:val="clear" w:color="auto" w:fill="auto"/>
          </w:tcPr>
          <w:p w14:paraId="4FFA8B23" w14:textId="77777777" w:rsidR="00EA1D82" w:rsidRPr="009A6742" w:rsidRDefault="00EA1D82" w:rsidP="006837EE">
            <w:pPr>
              <w:rPr>
                <w:bCs/>
                <w:szCs w:val="26"/>
              </w:rPr>
            </w:pPr>
          </w:p>
        </w:tc>
      </w:tr>
      <w:tr w:rsidR="00EA1D82" w:rsidRPr="009A6742" w14:paraId="4BF4C5AE" w14:textId="77777777" w:rsidTr="00EA1D82">
        <w:tc>
          <w:tcPr>
            <w:tcW w:w="2943" w:type="dxa"/>
            <w:shd w:val="clear" w:color="auto" w:fill="auto"/>
          </w:tcPr>
          <w:p w14:paraId="18928029" w14:textId="77777777" w:rsidR="00EA1D82" w:rsidRPr="009A6742" w:rsidRDefault="00EA1D82" w:rsidP="006837EE">
            <w:pPr>
              <w:rPr>
                <w:bCs/>
                <w:szCs w:val="26"/>
              </w:rPr>
            </w:pPr>
          </w:p>
        </w:tc>
        <w:tc>
          <w:tcPr>
            <w:tcW w:w="4253" w:type="dxa"/>
            <w:shd w:val="clear" w:color="auto" w:fill="auto"/>
          </w:tcPr>
          <w:p w14:paraId="474B536D" w14:textId="56B20C62" w:rsidR="00EA1D82" w:rsidRPr="00E1321A" w:rsidRDefault="00EA1D82" w:rsidP="006837EE">
            <w:pPr>
              <w:rPr>
                <w:b/>
                <w:bCs/>
                <w:szCs w:val="26"/>
              </w:rPr>
            </w:pPr>
            <w:r w:rsidRPr="00E1321A">
              <w:rPr>
                <w:b/>
                <w:bCs/>
                <w:szCs w:val="26"/>
              </w:rPr>
              <w:t>Ths.KTS. Hoàng Thị Hương Giang</w:t>
            </w:r>
          </w:p>
        </w:tc>
        <w:tc>
          <w:tcPr>
            <w:tcW w:w="2126" w:type="dxa"/>
            <w:shd w:val="clear" w:color="auto" w:fill="auto"/>
          </w:tcPr>
          <w:p w14:paraId="2FCC4EB8" w14:textId="77777777" w:rsidR="00EA1D82" w:rsidRPr="009A6742" w:rsidRDefault="00EA1D82" w:rsidP="006837EE">
            <w:pPr>
              <w:rPr>
                <w:bCs/>
                <w:szCs w:val="26"/>
              </w:rPr>
            </w:pPr>
          </w:p>
        </w:tc>
      </w:tr>
      <w:tr w:rsidR="00EA1D82" w:rsidRPr="009A6742" w14:paraId="3BFD4F54" w14:textId="77777777" w:rsidTr="00EA1D82">
        <w:tc>
          <w:tcPr>
            <w:tcW w:w="2943" w:type="dxa"/>
            <w:shd w:val="clear" w:color="auto" w:fill="auto"/>
          </w:tcPr>
          <w:p w14:paraId="08508014" w14:textId="77777777" w:rsidR="00EA1D82" w:rsidRPr="009A6742" w:rsidRDefault="00EA1D82" w:rsidP="006837EE">
            <w:pPr>
              <w:rPr>
                <w:bCs/>
                <w:szCs w:val="26"/>
              </w:rPr>
            </w:pPr>
          </w:p>
        </w:tc>
        <w:tc>
          <w:tcPr>
            <w:tcW w:w="4253" w:type="dxa"/>
            <w:shd w:val="clear" w:color="auto" w:fill="auto"/>
          </w:tcPr>
          <w:p w14:paraId="134E26E8" w14:textId="4231814B" w:rsidR="00EA1D82" w:rsidRPr="00E1321A" w:rsidRDefault="00EA1D82" w:rsidP="006837EE">
            <w:pPr>
              <w:rPr>
                <w:b/>
                <w:bCs/>
                <w:szCs w:val="26"/>
              </w:rPr>
            </w:pPr>
            <w:r w:rsidRPr="00E1321A">
              <w:rPr>
                <w:b/>
                <w:bCs/>
                <w:szCs w:val="26"/>
              </w:rPr>
              <w:t>Ths.KTS. Trương Xuân Hường</w:t>
            </w:r>
          </w:p>
        </w:tc>
        <w:tc>
          <w:tcPr>
            <w:tcW w:w="2126" w:type="dxa"/>
            <w:shd w:val="clear" w:color="auto" w:fill="auto"/>
          </w:tcPr>
          <w:p w14:paraId="38374921" w14:textId="77777777" w:rsidR="00EA1D82" w:rsidRPr="009A6742" w:rsidRDefault="00EA1D82" w:rsidP="006837EE">
            <w:pPr>
              <w:rPr>
                <w:bCs/>
                <w:szCs w:val="26"/>
              </w:rPr>
            </w:pPr>
          </w:p>
        </w:tc>
      </w:tr>
      <w:tr w:rsidR="00EA1D82" w:rsidRPr="009A6742" w14:paraId="0B65C8B5" w14:textId="77777777" w:rsidTr="00EA1D82">
        <w:tc>
          <w:tcPr>
            <w:tcW w:w="2943" w:type="dxa"/>
            <w:shd w:val="clear" w:color="auto" w:fill="auto"/>
          </w:tcPr>
          <w:p w14:paraId="789CA907" w14:textId="77777777" w:rsidR="00EA1D82" w:rsidRPr="009A6742" w:rsidRDefault="00EA1D82" w:rsidP="006837EE">
            <w:pPr>
              <w:rPr>
                <w:bCs/>
                <w:szCs w:val="26"/>
              </w:rPr>
            </w:pPr>
            <w:r w:rsidRPr="009A6742">
              <w:rPr>
                <w:bCs/>
                <w:szCs w:val="26"/>
              </w:rPr>
              <w:t>- Kinh tế đô thị:</w:t>
            </w:r>
          </w:p>
        </w:tc>
        <w:tc>
          <w:tcPr>
            <w:tcW w:w="4253" w:type="dxa"/>
            <w:shd w:val="clear" w:color="auto" w:fill="auto"/>
          </w:tcPr>
          <w:p w14:paraId="2D0D7A10" w14:textId="2BE91D49" w:rsidR="00EA1D82" w:rsidRPr="00E1321A" w:rsidRDefault="00EA1D82" w:rsidP="006837EE">
            <w:pPr>
              <w:rPr>
                <w:b/>
                <w:bCs/>
                <w:szCs w:val="26"/>
              </w:rPr>
            </w:pPr>
            <w:r w:rsidRPr="00E1321A">
              <w:rPr>
                <w:b/>
                <w:bCs/>
                <w:szCs w:val="26"/>
              </w:rPr>
              <w:t>CN. Nguyễn Thị Nguyệt Anh</w:t>
            </w:r>
          </w:p>
        </w:tc>
        <w:tc>
          <w:tcPr>
            <w:tcW w:w="2126" w:type="dxa"/>
            <w:shd w:val="clear" w:color="auto" w:fill="auto"/>
          </w:tcPr>
          <w:p w14:paraId="79108FB3" w14:textId="77777777" w:rsidR="00EA1D82" w:rsidRPr="009A6742" w:rsidRDefault="00EA1D82" w:rsidP="006837EE">
            <w:pPr>
              <w:rPr>
                <w:bCs/>
                <w:szCs w:val="26"/>
              </w:rPr>
            </w:pPr>
          </w:p>
        </w:tc>
      </w:tr>
      <w:tr w:rsidR="00EA1D82" w:rsidRPr="009A6742" w14:paraId="2BCAD6DC" w14:textId="77777777" w:rsidTr="00EA1D82">
        <w:tc>
          <w:tcPr>
            <w:tcW w:w="2943" w:type="dxa"/>
            <w:shd w:val="clear" w:color="auto" w:fill="auto"/>
          </w:tcPr>
          <w:p w14:paraId="34706D8A" w14:textId="77777777" w:rsidR="00EA1D82" w:rsidRPr="009A6742" w:rsidRDefault="00EA1D82" w:rsidP="006837EE">
            <w:pPr>
              <w:rPr>
                <w:bCs/>
                <w:szCs w:val="26"/>
              </w:rPr>
            </w:pPr>
            <w:r w:rsidRPr="009A6742">
              <w:rPr>
                <w:bCs/>
                <w:szCs w:val="26"/>
              </w:rPr>
              <w:t>- Giao thông:</w:t>
            </w:r>
          </w:p>
        </w:tc>
        <w:tc>
          <w:tcPr>
            <w:tcW w:w="4253" w:type="dxa"/>
            <w:shd w:val="clear" w:color="auto" w:fill="auto"/>
          </w:tcPr>
          <w:p w14:paraId="5827191A" w14:textId="5320061A" w:rsidR="00EA1D82" w:rsidRPr="00E1321A" w:rsidRDefault="00EA1D82" w:rsidP="006837EE">
            <w:pPr>
              <w:rPr>
                <w:b/>
                <w:bCs/>
                <w:szCs w:val="26"/>
              </w:rPr>
            </w:pPr>
            <w:r w:rsidRPr="00E1321A">
              <w:rPr>
                <w:b/>
                <w:bCs/>
                <w:szCs w:val="26"/>
              </w:rPr>
              <w:t>ThS. KS. Nguyễn Anh Tuấn</w:t>
            </w:r>
          </w:p>
        </w:tc>
        <w:tc>
          <w:tcPr>
            <w:tcW w:w="2126" w:type="dxa"/>
            <w:shd w:val="clear" w:color="auto" w:fill="auto"/>
          </w:tcPr>
          <w:p w14:paraId="6EFAEFB5" w14:textId="77777777" w:rsidR="00EA1D82" w:rsidRPr="009A6742" w:rsidRDefault="00EA1D82" w:rsidP="006837EE">
            <w:pPr>
              <w:rPr>
                <w:bCs/>
                <w:szCs w:val="26"/>
              </w:rPr>
            </w:pPr>
          </w:p>
        </w:tc>
      </w:tr>
      <w:tr w:rsidR="00EA1D82" w:rsidRPr="009A6742" w14:paraId="2449C059" w14:textId="77777777" w:rsidTr="00EA1D82">
        <w:tc>
          <w:tcPr>
            <w:tcW w:w="2943" w:type="dxa"/>
            <w:shd w:val="clear" w:color="auto" w:fill="auto"/>
          </w:tcPr>
          <w:p w14:paraId="1FA1832D" w14:textId="77777777" w:rsidR="00EA1D82" w:rsidRPr="009A6742" w:rsidRDefault="00EA1D82" w:rsidP="006837EE">
            <w:pPr>
              <w:rPr>
                <w:bCs/>
                <w:szCs w:val="26"/>
              </w:rPr>
            </w:pPr>
          </w:p>
        </w:tc>
        <w:tc>
          <w:tcPr>
            <w:tcW w:w="4253" w:type="dxa"/>
            <w:shd w:val="clear" w:color="auto" w:fill="auto"/>
          </w:tcPr>
          <w:p w14:paraId="1232133E" w14:textId="5060B247" w:rsidR="00EA1D82" w:rsidRPr="00E1321A" w:rsidRDefault="00EA1D82" w:rsidP="006837EE">
            <w:pPr>
              <w:rPr>
                <w:b/>
                <w:bCs/>
                <w:szCs w:val="26"/>
              </w:rPr>
            </w:pPr>
            <w:r w:rsidRPr="00E1321A">
              <w:rPr>
                <w:b/>
                <w:bCs/>
                <w:szCs w:val="26"/>
              </w:rPr>
              <w:t>KS. Lê Đình Duy</w:t>
            </w:r>
          </w:p>
        </w:tc>
        <w:tc>
          <w:tcPr>
            <w:tcW w:w="2126" w:type="dxa"/>
            <w:shd w:val="clear" w:color="auto" w:fill="auto"/>
          </w:tcPr>
          <w:p w14:paraId="2618E65A" w14:textId="77777777" w:rsidR="00EA1D82" w:rsidRPr="009A6742" w:rsidRDefault="00EA1D82" w:rsidP="006837EE">
            <w:pPr>
              <w:rPr>
                <w:bCs/>
                <w:szCs w:val="26"/>
              </w:rPr>
            </w:pPr>
          </w:p>
        </w:tc>
      </w:tr>
      <w:tr w:rsidR="00EA1D82" w:rsidRPr="009A6742" w14:paraId="27C4AA53" w14:textId="77777777" w:rsidTr="00EA1D82">
        <w:tc>
          <w:tcPr>
            <w:tcW w:w="2943" w:type="dxa"/>
            <w:shd w:val="clear" w:color="auto" w:fill="auto"/>
          </w:tcPr>
          <w:p w14:paraId="3C64CBE8" w14:textId="77777777" w:rsidR="00EA1D82" w:rsidRPr="009A6742" w:rsidRDefault="00EA1D82" w:rsidP="006837EE">
            <w:pPr>
              <w:rPr>
                <w:bCs/>
                <w:szCs w:val="26"/>
              </w:rPr>
            </w:pPr>
            <w:r w:rsidRPr="009A6742">
              <w:rPr>
                <w:bCs/>
                <w:szCs w:val="26"/>
              </w:rPr>
              <w:t>- Chuẩn bị kỹ thuật:</w:t>
            </w:r>
          </w:p>
        </w:tc>
        <w:tc>
          <w:tcPr>
            <w:tcW w:w="4253" w:type="dxa"/>
            <w:shd w:val="clear" w:color="auto" w:fill="auto"/>
          </w:tcPr>
          <w:p w14:paraId="01EF5841" w14:textId="052E8BBB" w:rsidR="00EA1D82" w:rsidRPr="00E1321A" w:rsidRDefault="00EA1D82" w:rsidP="006837EE">
            <w:pPr>
              <w:rPr>
                <w:b/>
                <w:bCs/>
                <w:szCs w:val="26"/>
              </w:rPr>
            </w:pPr>
            <w:r w:rsidRPr="00E1321A">
              <w:rPr>
                <w:b/>
                <w:bCs/>
                <w:szCs w:val="26"/>
              </w:rPr>
              <w:t xml:space="preserve">KS. </w:t>
            </w:r>
            <w:r w:rsidR="00A33FF4" w:rsidRPr="00E1321A">
              <w:rPr>
                <w:b/>
                <w:bCs/>
                <w:szCs w:val="26"/>
              </w:rPr>
              <w:t>Phan Khánh Điệp</w:t>
            </w:r>
          </w:p>
        </w:tc>
        <w:tc>
          <w:tcPr>
            <w:tcW w:w="2126" w:type="dxa"/>
            <w:shd w:val="clear" w:color="auto" w:fill="auto"/>
          </w:tcPr>
          <w:p w14:paraId="56196857" w14:textId="77777777" w:rsidR="00EA1D82" w:rsidRPr="009A6742" w:rsidRDefault="00EA1D82" w:rsidP="006837EE">
            <w:pPr>
              <w:rPr>
                <w:bCs/>
                <w:szCs w:val="26"/>
              </w:rPr>
            </w:pPr>
          </w:p>
        </w:tc>
      </w:tr>
      <w:tr w:rsidR="00EA1D82" w:rsidRPr="009A6742" w14:paraId="63ABFFBF" w14:textId="77777777" w:rsidTr="00EA1D82">
        <w:tc>
          <w:tcPr>
            <w:tcW w:w="2943" w:type="dxa"/>
            <w:shd w:val="clear" w:color="auto" w:fill="auto"/>
          </w:tcPr>
          <w:p w14:paraId="4AB6C04E" w14:textId="77777777" w:rsidR="00EA1D82" w:rsidRPr="009A6742" w:rsidRDefault="00EA1D82" w:rsidP="006837EE">
            <w:pPr>
              <w:rPr>
                <w:bCs/>
                <w:szCs w:val="26"/>
              </w:rPr>
            </w:pPr>
            <w:r w:rsidRPr="009A6742">
              <w:rPr>
                <w:bCs/>
                <w:szCs w:val="26"/>
              </w:rPr>
              <w:t>- Cấp nước:</w:t>
            </w:r>
          </w:p>
        </w:tc>
        <w:tc>
          <w:tcPr>
            <w:tcW w:w="4253" w:type="dxa"/>
            <w:shd w:val="clear" w:color="auto" w:fill="auto"/>
          </w:tcPr>
          <w:p w14:paraId="5FFC4035" w14:textId="63CAD4F0" w:rsidR="00EA1D82" w:rsidRPr="00E1321A" w:rsidRDefault="00EA1D82" w:rsidP="006837EE">
            <w:pPr>
              <w:rPr>
                <w:b/>
                <w:bCs/>
                <w:szCs w:val="26"/>
              </w:rPr>
            </w:pPr>
            <w:r w:rsidRPr="00E1321A">
              <w:rPr>
                <w:b/>
                <w:bCs/>
                <w:szCs w:val="26"/>
              </w:rPr>
              <w:t xml:space="preserve">Ths.KS. </w:t>
            </w:r>
            <w:r w:rsidR="00A33FF4" w:rsidRPr="00E1321A">
              <w:rPr>
                <w:b/>
                <w:bCs/>
                <w:szCs w:val="26"/>
              </w:rPr>
              <w:t>Bùi Thị Thanh Duyên</w:t>
            </w:r>
          </w:p>
        </w:tc>
        <w:tc>
          <w:tcPr>
            <w:tcW w:w="2126" w:type="dxa"/>
            <w:shd w:val="clear" w:color="auto" w:fill="auto"/>
          </w:tcPr>
          <w:p w14:paraId="6B382338" w14:textId="77777777" w:rsidR="00EA1D82" w:rsidRPr="009A6742" w:rsidRDefault="00EA1D82" w:rsidP="006837EE">
            <w:pPr>
              <w:rPr>
                <w:bCs/>
                <w:szCs w:val="26"/>
              </w:rPr>
            </w:pPr>
          </w:p>
        </w:tc>
      </w:tr>
      <w:tr w:rsidR="00EA1D82" w:rsidRPr="009A6742" w14:paraId="7B540218" w14:textId="77777777" w:rsidTr="00EA1D82">
        <w:tc>
          <w:tcPr>
            <w:tcW w:w="2943" w:type="dxa"/>
            <w:shd w:val="clear" w:color="auto" w:fill="auto"/>
          </w:tcPr>
          <w:p w14:paraId="587F2B83" w14:textId="77777777" w:rsidR="00EA1D82" w:rsidRPr="009A6742" w:rsidRDefault="00EA1D82" w:rsidP="006837EE">
            <w:pPr>
              <w:rPr>
                <w:bCs/>
                <w:szCs w:val="26"/>
              </w:rPr>
            </w:pPr>
            <w:r w:rsidRPr="009A6742">
              <w:rPr>
                <w:bCs/>
                <w:szCs w:val="26"/>
              </w:rPr>
              <w:t>- Cấp điện, TTLL:</w:t>
            </w:r>
          </w:p>
        </w:tc>
        <w:tc>
          <w:tcPr>
            <w:tcW w:w="4253" w:type="dxa"/>
            <w:shd w:val="clear" w:color="auto" w:fill="auto"/>
          </w:tcPr>
          <w:p w14:paraId="21B5145D" w14:textId="780B9728" w:rsidR="00EA1D82" w:rsidRPr="00E1321A" w:rsidRDefault="00EA1D82" w:rsidP="006837EE">
            <w:pPr>
              <w:rPr>
                <w:b/>
                <w:bCs/>
                <w:szCs w:val="26"/>
              </w:rPr>
            </w:pPr>
            <w:r w:rsidRPr="00E1321A">
              <w:rPr>
                <w:b/>
                <w:bCs/>
                <w:szCs w:val="26"/>
              </w:rPr>
              <w:t xml:space="preserve">KS. </w:t>
            </w:r>
            <w:r w:rsidR="00A33FF4" w:rsidRPr="00E1321A">
              <w:rPr>
                <w:b/>
                <w:bCs/>
                <w:szCs w:val="26"/>
              </w:rPr>
              <w:t>Đoàn Tuấn Vũ</w:t>
            </w:r>
          </w:p>
        </w:tc>
        <w:tc>
          <w:tcPr>
            <w:tcW w:w="2126" w:type="dxa"/>
            <w:shd w:val="clear" w:color="auto" w:fill="auto"/>
          </w:tcPr>
          <w:p w14:paraId="3ADAEA1C" w14:textId="77777777" w:rsidR="00EA1D82" w:rsidRPr="009A6742" w:rsidRDefault="00EA1D82" w:rsidP="006837EE">
            <w:pPr>
              <w:rPr>
                <w:bCs/>
                <w:szCs w:val="26"/>
              </w:rPr>
            </w:pPr>
          </w:p>
        </w:tc>
      </w:tr>
      <w:tr w:rsidR="00EA1D82" w:rsidRPr="009A6742" w14:paraId="7F27229B" w14:textId="77777777" w:rsidTr="00EA1D82">
        <w:tc>
          <w:tcPr>
            <w:tcW w:w="2943" w:type="dxa"/>
            <w:shd w:val="clear" w:color="auto" w:fill="auto"/>
          </w:tcPr>
          <w:p w14:paraId="1949E3DD" w14:textId="77777777" w:rsidR="00EA1D82" w:rsidRPr="009A6742" w:rsidRDefault="00EA1D82" w:rsidP="006837EE">
            <w:pPr>
              <w:rPr>
                <w:bCs/>
                <w:szCs w:val="26"/>
              </w:rPr>
            </w:pPr>
            <w:r w:rsidRPr="009A6742">
              <w:rPr>
                <w:bCs/>
                <w:szCs w:val="26"/>
              </w:rPr>
              <w:t>- VSMT, ĐMC:</w:t>
            </w:r>
          </w:p>
        </w:tc>
        <w:tc>
          <w:tcPr>
            <w:tcW w:w="4253" w:type="dxa"/>
            <w:shd w:val="clear" w:color="auto" w:fill="auto"/>
          </w:tcPr>
          <w:p w14:paraId="42B75559" w14:textId="5CAE400D" w:rsidR="00EA1D82" w:rsidRPr="00E1321A" w:rsidRDefault="00EA1D82" w:rsidP="006837EE">
            <w:pPr>
              <w:rPr>
                <w:b/>
                <w:bCs/>
                <w:szCs w:val="26"/>
              </w:rPr>
            </w:pPr>
            <w:r w:rsidRPr="00E1321A">
              <w:rPr>
                <w:b/>
                <w:bCs/>
                <w:szCs w:val="26"/>
              </w:rPr>
              <w:t xml:space="preserve">Ths.KS </w:t>
            </w:r>
            <w:r w:rsidR="00A33FF4" w:rsidRPr="00E1321A">
              <w:rPr>
                <w:b/>
                <w:bCs/>
                <w:szCs w:val="26"/>
              </w:rPr>
              <w:t>Trương Minh Ngọc</w:t>
            </w:r>
          </w:p>
        </w:tc>
        <w:tc>
          <w:tcPr>
            <w:tcW w:w="2126" w:type="dxa"/>
            <w:shd w:val="clear" w:color="auto" w:fill="auto"/>
          </w:tcPr>
          <w:p w14:paraId="0E521CCA" w14:textId="77777777" w:rsidR="00EA1D82" w:rsidRPr="009A6742" w:rsidRDefault="00EA1D82" w:rsidP="006837EE">
            <w:pPr>
              <w:rPr>
                <w:bCs/>
                <w:szCs w:val="26"/>
              </w:rPr>
            </w:pPr>
          </w:p>
        </w:tc>
      </w:tr>
      <w:tr w:rsidR="00EA1D82" w:rsidRPr="009A6742" w14:paraId="065BA4DA" w14:textId="77777777" w:rsidTr="00EA1D82">
        <w:tc>
          <w:tcPr>
            <w:tcW w:w="2943" w:type="dxa"/>
            <w:shd w:val="clear" w:color="auto" w:fill="auto"/>
          </w:tcPr>
          <w:p w14:paraId="4136CD7C" w14:textId="77777777" w:rsidR="00EA1D82" w:rsidRPr="009A6742" w:rsidRDefault="00EA1D82" w:rsidP="006837EE">
            <w:pPr>
              <w:rPr>
                <w:bCs/>
                <w:szCs w:val="26"/>
              </w:rPr>
            </w:pPr>
            <w:r w:rsidRPr="009A6742">
              <w:rPr>
                <w:bCs/>
                <w:szCs w:val="26"/>
              </w:rPr>
              <w:t>- Quản lý kỹ thuật:</w:t>
            </w:r>
          </w:p>
        </w:tc>
        <w:tc>
          <w:tcPr>
            <w:tcW w:w="4253" w:type="dxa"/>
            <w:shd w:val="clear" w:color="auto" w:fill="auto"/>
          </w:tcPr>
          <w:p w14:paraId="6E75DD18" w14:textId="749FACC8" w:rsidR="00EA1D82" w:rsidRPr="00E1321A" w:rsidRDefault="00EA1D82" w:rsidP="006837EE">
            <w:pPr>
              <w:tabs>
                <w:tab w:val="left" w:pos="4320"/>
              </w:tabs>
              <w:rPr>
                <w:b/>
                <w:bCs/>
                <w:szCs w:val="26"/>
              </w:rPr>
            </w:pPr>
            <w:r w:rsidRPr="00E1321A">
              <w:rPr>
                <w:b/>
                <w:bCs/>
                <w:szCs w:val="26"/>
              </w:rPr>
              <w:t xml:space="preserve">Ths.KTS. Nguyễn </w:t>
            </w:r>
            <w:r w:rsidR="00A33FF4" w:rsidRPr="00E1321A">
              <w:rPr>
                <w:b/>
                <w:bCs/>
                <w:szCs w:val="26"/>
              </w:rPr>
              <w:t>Hồng Vân</w:t>
            </w:r>
          </w:p>
        </w:tc>
        <w:tc>
          <w:tcPr>
            <w:tcW w:w="2126" w:type="dxa"/>
            <w:shd w:val="clear" w:color="auto" w:fill="auto"/>
          </w:tcPr>
          <w:p w14:paraId="3AAFD3C3" w14:textId="77777777" w:rsidR="00EA1D82" w:rsidRPr="009A6742" w:rsidRDefault="00EA1D82" w:rsidP="006837EE">
            <w:pPr>
              <w:rPr>
                <w:bCs/>
                <w:szCs w:val="26"/>
              </w:rPr>
            </w:pPr>
          </w:p>
        </w:tc>
      </w:tr>
      <w:tr w:rsidR="00EA1D82" w:rsidRPr="009A6742" w14:paraId="6302072B" w14:textId="77777777" w:rsidTr="00EA1D82">
        <w:tc>
          <w:tcPr>
            <w:tcW w:w="2943" w:type="dxa"/>
            <w:shd w:val="clear" w:color="auto" w:fill="auto"/>
          </w:tcPr>
          <w:p w14:paraId="04CFFDD7" w14:textId="77777777" w:rsidR="00EA1D82" w:rsidRPr="009A6742" w:rsidRDefault="00EA1D82" w:rsidP="006837EE">
            <w:pPr>
              <w:rPr>
                <w:bCs/>
                <w:szCs w:val="26"/>
              </w:rPr>
            </w:pPr>
          </w:p>
        </w:tc>
        <w:tc>
          <w:tcPr>
            <w:tcW w:w="4253" w:type="dxa"/>
            <w:shd w:val="clear" w:color="auto" w:fill="auto"/>
          </w:tcPr>
          <w:p w14:paraId="3A49CEE3" w14:textId="77777777" w:rsidR="00EA1D82" w:rsidRPr="00E1321A" w:rsidRDefault="00EA1D82" w:rsidP="006837EE">
            <w:pPr>
              <w:tabs>
                <w:tab w:val="left" w:pos="4320"/>
              </w:tabs>
              <w:rPr>
                <w:b/>
                <w:bCs/>
                <w:szCs w:val="26"/>
              </w:rPr>
            </w:pPr>
            <w:r w:rsidRPr="00E1321A">
              <w:rPr>
                <w:b/>
                <w:bCs/>
                <w:szCs w:val="26"/>
              </w:rPr>
              <w:t>KS. Lê Thanh Bình</w:t>
            </w:r>
          </w:p>
        </w:tc>
        <w:tc>
          <w:tcPr>
            <w:tcW w:w="2126" w:type="dxa"/>
            <w:shd w:val="clear" w:color="auto" w:fill="auto"/>
          </w:tcPr>
          <w:p w14:paraId="3C92B3A1" w14:textId="77777777" w:rsidR="00EA1D82" w:rsidRPr="009A6742" w:rsidRDefault="00EA1D82" w:rsidP="006837EE">
            <w:pPr>
              <w:rPr>
                <w:bCs/>
                <w:szCs w:val="26"/>
              </w:rPr>
            </w:pPr>
          </w:p>
        </w:tc>
      </w:tr>
      <w:tr w:rsidR="00EA1D82" w:rsidRPr="009A6742" w14:paraId="7D01CF0E" w14:textId="77777777" w:rsidTr="00EA1D82">
        <w:tc>
          <w:tcPr>
            <w:tcW w:w="2943" w:type="dxa"/>
            <w:shd w:val="clear" w:color="auto" w:fill="auto"/>
          </w:tcPr>
          <w:p w14:paraId="5FD9FB19" w14:textId="77777777" w:rsidR="00EA1D82" w:rsidRPr="009A6742" w:rsidRDefault="00EA1D82" w:rsidP="006837EE">
            <w:pPr>
              <w:rPr>
                <w:bCs/>
                <w:szCs w:val="26"/>
              </w:rPr>
            </w:pPr>
          </w:p>
        </w:tc>
        <w:tc>
          <w:tcPr>
            <w:tcW w:w="4253" w:type="dxa"/>
            <w:shd w:val="clear" w:color="auto" w:fill="auto"/>
          </w:tcPr>
          <w:p w14:paraId="4882DF4C" w14:textId="77777777" w:rsidR="00EA1D82" w:rsidRPr="00E1321A" w:rsidRDefault="00EA1D82" w:rsidP="006837EE">
            <w:pPr>
              <w:tabs>
                <w:tab w:val="left" w:pos="4320"/>
              </w:tabs>
              <w:rPr>
                <w:b/>
                <w:bCs/>
                <w:szCs w:val="26"/>
              </w:rPr>
            </w:pPr>
            <w:r w:rsidRPr="00E1321A">
              <w:rPr>
                <w:b/>
                <w:bCs/>
                <w:szCs w:val="26"/>
              </w:rPr>
              <w:t>Ths.KS. Vũ Tuấn Vinh</w:t>
            </w:r>
          </w:p>
        </w:tc>
        <w:tc>
          <w:tcPr>
            <w:tcW w:w="2126" w:type="dxa"/>
            <w:shd w:val="clear" w:color="auto" w:fill="auto"/>
          </w:tcPr>
          <w:p w14:paraId="5FBD520E" w14:textId="77777777" w:rsidR="00EA1D82" w:rsidRPr="009A6742" w:rsidRDefault="00EA1D82" w:rsidP="006837EE">
            <w:pPr>
              <w:rPr>
                <w:bCs/>
                <w:szCs w:val="26"/>
              </w:rPr>
            </w:pPr>
          </w:p>
        </w:tc>
      </w:tr>
      <w:tr w:rsidR="00EA1D82" w:rsidRPr="009A6742" w14:paraId="71EE7E7B" w14:textId="77777777" w:rsidTr="00EA1D82">
        <w:tc>
          <w:tcPr>
            <w:tcW w:w="2943" w:type="dxa"/>
            <w:shd w:val="clear" w:color="auto" w:fill="auto"/>
          </w:tcPr>
          <w:p w14:paraId="49714279" w14:textId="77777777" w:rsidR="00EA1D82" w:rsidRPr="009A6742" w:rsidRDefault="00EA1D82" w:rsidP="006837EE">
            <w:pPr>
              <w:rPr>
                <w:bCs/>
                <w:szCs w:val="26"/>
              </w:rPr>
            </w:pPr>
          </w:p>
        </w:tc>
        <w:tc>
          <w:tcPr>
            <w:tcW w:w="4253" w:type="dxa"/>
            <w:shd w:val="clear" w:color="auto" w:fill="auto"/>
          </w:tcPr>
          <w:p w14:paraId="190FF580" w14:textId="77777777" w:rsidR="00EA1D82" w:rsidRPr="00E1321A" w:rsidRDefault="00EA1D82" w:rsidP="006837EE">
            <w:pPr>
              <w:rPr>
                <w:b/>
                <w:bCs/>
                <w:szCs w:val="26"/>
              </w:rPr>
            </w:pPr>
            <w:r w:rsidRPr="00E1321A">
              <w:rPr>
                <w:b/>
                <w:bCs/>
                <w:szCs w:val="26"/>
              </w:rPr>
              <w:t>Ths.KS. Đoàn Trọng Tuấn</w:t>
            </w:r>
          </w:p>
        </w:tc>
        <w:tc>
          <w:tcPr>
            <w:tcW w:w="2126" w:type="dxa"/>
            <w:shd w:val="clear" w:color="auto" w:fill="auto"/>
          </w:tcPr>
          <w:p w14:paraId="1449E54D" w14:textId="77777777" w:rsidR="00EA1D82" w:rsidRPr="009A6742" w:rsidRDefault="00EA1D82" w:rsidP="006837EE">
            <w:pPr>
              <w:rPr>
                <w:bCs/>
                <w:szCs w:val="26"/>
              </w:rPr>
            </w:pPr>
          </w:p>
        </w:tc>
      </w:tr>
    </w:tbl>
    <w:p w14:paraId="3945A5D3" w14:textId="77777777" w:rsidR="00ED20D4" w:rsidRPr="004C1D87" w:rsidRDefault="00ED20D4" w:rsidP="00ED20D4">
      <w:pPr>
        <w:rPr>
          <w:rFonts w:ascii="Arial" w:hAnsi="Arial" w:cs="Arial"/>
          <w:sz w:val="22"/>
        </w:rPr>
      </w:pPr>
    </w:p>
    <w:tbl>
      <w:tblPr>
        <w:tblW w:w="9468" w:type="dxa"/>
        <w:jc w:val="center"/>
        <w:tblLook w:val="04A0" w:firstRow="1" w:lastRow="0" w:firstColumn="1" w:lastColumn="0" w:noHBand="0" w:noVBand="1"/>
      </w:tblPr>
      <w:tblGrid>
        <w:gridCol w:w="4248"/>
        <w:gridCol w:w="270"/>
        <w:gridCol w:w="4950"/>
      </w:tblGrid>
      <w:tr w:rsidR="00ED20D4" w:rsidRPr="00ED20D4" w14:paraId="19473721" w14:textId="77777777" w:rsidTr="00B86CC1">
        <w:trPr>
          <w:jc w:val="center"/>
        </w:trPr>
        <w:tc>
          <w:tcPr>
            <w:tcW w:w="4248" w:type="dxa"/>
          </w:tcPr>
          <w:p w14:paraId="0EA89A34" w14:textId="77777777" w:rsidR="00ED20D4" w:rsidRPr="00ED20D4" w:rsidRDefault="00ED20D4" w:rsidP="00B86CC1">
            <w:pPr>
              <w:jc w:val="center"/>
              <w:rPr>
                <w:b/>
                <w:sz w:val="24"/>
                <w:szCs w:val="26"/>
              </w:rPr>
            </w:pPr>
            <w:r w:rsidRPr="00ED20D4">
              <w:rPr>
                <w:b/>
                <w:sz w:val="24"/>
                <w:szCs w:val="26"/>
              </w:rPr>
              <w:t>Cơ quan tổ chức lập quy hoạch:</w:t>
            </w:r>
          </w:p>
          <w:p w14:paraId="75307156" w14:textId="091C186B" w:rsidR="00ED20D4" w:rsidRPr="00ED20D4" w:rsidRDefault="00ED20D4" w:rsidP="00B86CC1">
            <w:pPr>
              <w:jc w:val="center"/>
              <w:rPr>
                <w:b/>
                <w:sz w:val="24"/>
                <w:szCs w:val="26"/>
              </w:rPr>
            </w:pPr>
            <w:r w:rsidRPr="00ED20D4">
              <w:rPr>
                <w:b/>
                <w:sz w:val="24"/>
                <w:szCs w:val="26"/>
              </w:rPr>
              <w:t>SỞ XÂY DỰNG NAM ĐỊNH</w:t>
            </w:r>
          </w:p>
        </w:tc>
        <w:tc>
          <w:tcPr>
            <w:tcW w:w="270" w:type="dxa"/>
          </w:tcPr>
          <w:p w14:paraId="5E78F623" w14:textId="77777777" w:rsidR="00ED20D4" w:rsidRPr="00ED20D4" w:rsidRDefault="00ED20D4" w:rsidP="00ED20D4">
            <w:pPr>
              <w:jc w:val="center"/>
              <w:rPr>
                <w:b/>
                <w:sz w:val="24"/>
                <w:szCs w:val="26"/>
              </w:rPr>
            </w:pPr>
          </w:p>
        </w:tc>
        <w:tc>
          <w:tcPr>
            <w:tcW w:w="4950" w:type="dxa"/>
          </w:tcPr>
          <w:p w14:paraId="61878D55" w14:textId="3E0382F0" w:rsidR="00ED20D4" w:rsidRPr="00ED20D4" w:rsidRDefault="00ED20D4" w:rsidP="00B86CC1">
            <w:pPr>
              <w:jc w:val="center"/>
              <w:rPr>
                <w:b/>
                <w:sz w:val="24"/>
                <w:szCs w:val="26"/>
              </w:rPr>
            </w:pPr>
            <w:r w:rsidRPr="00ED20D4">
              <w:rPr>
                <w:b/>
                <w:sz w:val="24"/>
                <w:szCs w:val="26"/>
              </w:rPr>
              <w:t>Cơ quan tư vấn lập quy hoạch:</w:t>
            </w:r>
          </w:p>
          <w:p w14:paraId="2845CFF2" w14:textId="2EB72883" w:rsidR="00ED20D4" w:rsidRPr="00ED20D4" w:rsidRDefault="00ED20D4" w:rsidP="00ED20D4">
            <w:pPr>
              <w:jc w:val="center"/>
              <w:rPr>
                <w:b/>
                <w:sz w:val="24"/>
                <w:szCs w:val="26"/>
              </w:rPr>
            </w:pPr>
            <w:r w:rsidRPr="00ED20D4">
              <w:rPr>
                <w:b/>
                <w:sz w:val="24"/>
                <w:szCs w:val="26"/>
              </w:rPr>
              <w:t>VIỆN QUY HOẠCH ĐÔ THỊ VÀ NÔNG THÔN QUỐC GIA</w:t>
            </w:r>
          </w:p>
        </w:tc>
      </w:tr>
      <w:tr w:rsidR="00ED20D4" w:rsidRPr="00ED20D4" w14:paraId="4917AB4D" w14:textId="77777777" w:rsidTr="00B86CC1">
        <w:trPr>
          <w:jc w:val="center"/>
        </w:trPr>
        <w:tc>
          <w:tcPr>
            <w:tcW w:w="4248" w:type="dxa"/>
          </w:tcPr>
          <w:p w14:paraId="5C1ABA03" w14:textId="77777777" w:rsidR="00ED20D4" w:rsidRPr="00ED20D4" w:rsidRDefault="00ED20D4" w:rsidP="00B86CC1">
            <w:pPr>
              <w:jc w:val="center"/>
              <w:rPr>
                <w:b/>
                <w:sz w:val="24"/>
                <w:szCs w:val="26"/>
              </w:rPr>
            </w:pPr>
          </w:p>
          <w:p w14:paraId="085EFACE" w14:textId="77777777" w:rsidR="00ED20D4" w:rsidRPr="00ED20D4" w:rsidRDefault="00ED20D4" w:rsidP="00B86CC1">
            <w:pPr>
              <w:jc w:val="center"/>
              <w:rPr>
                <w:b/>
                <w:sz w:val="24"/>
                <w:szCs w:val="26"/>
              </w:rPr>
            </w:pPr>
          </w:p>
          <w:p w14:paraId="71445889" w14:textId="77777777" w:rsidR="00ED20D4" w:rsidRDefault="00ED20D4" w:rsidP="00ED20D4">
            <w:pPr>
              <w:rPr>
                <w:b/>
                <w:sz w:val="24"/>
                <w:szCs w:val="26"/>
              </w:rPr>
            </w:pPr>
          </w:p>
          <w:p w14:paraId="5002F801" w14:textId="77777777" w:rsidR="00ED20D4" w:rsidRDefault="00ED20D4" w:rsidP="00ED20D4">
            <w:pPr>
              <w:rPr>
                <w:b/>
                <w:sz w:val="24"/>
                <w:szCs w:val="26"/>
              </w:rPr>
            </w:pPr>
          </w:p>
          <w:p w14:paraId="660566F2" w14:textId="77777777" w:rsidR="00ED20D4" w:rsidRPr="00ED20D4" w:rsidRDefault="00ED20D4" w:rsidP="00B86CC1">
            <w:pPr>
              <w:jc w:val="center"/>
              <w:rPr>
                <w:b/>
                <w:sz w:val="24"/>
                <w:szCs w:val="26"/>
              </w:rPr>
            </w:pPr>
          </w:p>
          <w:p w14:paraId="784B3065" w14:textId="77777777" w:rsidR="00ED20D4" w:rsidRPr="00ED20D4" w:rsidRDefault="00ED20D4" w:rsidP="00B86CC1">
            <w:pPr>
              <w:jc w:val="center"/>
              <w:rPr>
                <w:b/>
                <w:sz w:val="24"/>
                <w:szCs w:val="26"/>
              </w:rPr>
            </w:pPr>
          </w:p>
        </w:tc>
        <w:tc>
          <w:tcPr>
            <w:tcW w:w="270" w:type="dxa"/>
          </w:tcPr>
          <w:p w14:paraId="778C94C4" w14:textId="77777777" w:rsidR="00ED20D4" w:rsidRPr="00ED20D4" w:rsidRDefault="00ED20D4" w:rsidP="00ED20D4">
            <w:pPr>
              <w:jc w:val="center"/>
              <w:rPr>
                <w:b/>
                <w:sz w:val="24"/>
                <w:szCs w:val="26"/>
              </w:rPr>
            </w:pPr>
          </w:p>
        </w:tc>
        <w:tc>
          <w:tcPr>
            <w:tcW w:w="4950" w:type="dxa"/>
          </w:tcPr>
          <w:p w14:paraId="52624B04" w14:textId="77777777" w:rsidR="00ED20D4" w:rsidRPr="00ED20D4" w:rsidRDefault="00ED20D4" w:rsidP="00B86CC1">
            <w:pPr>
              <w:jc w:val="center"/>
              <w:rPr>
                <w:b/>
                <w:sz w:val="24"/>
                <w:szCs w:val="26"/>
              </w:rPr>
            </w:pPr>
          </w:p>
          <w:p w14:paraId="244DD0C6" w14:textId="77777777" w:rsidR="00ED20D4" w:rsidRPr="00ED20D4" w:rsidRDefault="00ED20D4" w:rsidP="00B86CC1">
            <w:pPr>
              <w:jc w:val="center"/>
              <w:rPr>
                <w:b/>
                <w:sz w:val="24"/>
                <w:szCs w:val="26"/>
              </w:rPr>
            </w:pPr>
          </w:p>
          <w:p w14:paraId="455399D0" w14:textId="77777777" w:rsidR="00ED20D4" w:rsidRDefault="00ED20D4" w:rsidP="00B86CC1">
            <w:pPr>
              <w:jc w:val="center"/>
              <w:rPr>
                <w:b/>
                <w:sz w:val="24"/>
                <w:szCs w:val="26"/>
              </w:rPr>
            </w:pPr>
          </w:p>
          <w:p w14:paraId="3340978E" w14:textId="77777777" w:rsidR="00ED20D4" w:rsidRDefault="00ED20D4" w:rsidP="00B86CC1">
            <w:pPr>
              <w:jc w:val="center"/>
              <w:rPr>
                <w:b/>
                <w:sz w:val="24"/>
                <w:szCs w:val="26"/>
              </w:rPr>
            </w:pPr>
          </w:p>
          <w:p w14:paraId="62288F8B" w14:textId="3032EE8B" w:rsidR="00ED20D4" w:rsidRPr="00ED20D4" w:rsidRDefault="00ED20D4" w:rsidP="00B86CC1">
            <w:pPr>
              <w:jc w:val="center"/>
              <w:rPr>
                <w:b/>
                <w:sz w:val="24"/>
                <w:szCs w:val="26"/>
              </w:rPr>
            </w:pPr>
          </w:p>
        </w:tc>
      </w:tr>
      <w:tr w:rsidR="00ED20D4" w:rsidRPr="00ED20D4" w14:paraId="5DEDEAC0" w14:textId="77777777" w:rsidTr="00B86CC1">
        <w:trPr>
          <w:jc w:val="center"/>
        </w:trPr>
        <w:tc>
          <w:tcPr>
            <w:tcW w:w="4248" w:type="dxa"/>
          </w:tcPr>
          <w:p w14:paraId="7F00C953" w14:textId="77777777" w:rsidR="00ED20D4" w:rsidRPr="00ED20D4" w:rsidRDefault="00ED20D4" w:rsidP="00B86CC1">
            <w:pPr>
              <w:jc w:val="center"/>
              <w:rPr>
                <w:b/>
                <w:sz w:val="24"/>
                <w:szCs w:val="26"/>
              </w:rPr>
            </w:pPr>
          </w:p>
        </w:tc>
        <w:tc>
          <w:tcPr>
            <w:tcW w:w="270" w:type="dxa"/>
          </w:tcPr>
          <w:p w14:paraId="5C3882C4" w14:textId="77777777" w:rsidR="00ED20D4" w:rsidRPr="00ED20D4" w:rsidRDefault="00ED20D4" w:rsidP="00ED20D4">
            <w:pPr>
              <w:jc w:val="center"/>
              <w:rPr>
                <w:b/>
                <w:sz w:val="24"/>
                <w:szCs w:val="26"/>
              </w:rPr>
            </w:pPr>
          </w:p>
        </w:tc>
        <w:tc>
          <w:tcPr>
            <w:tcW w:w="4950" w:type="dxa"/>
          </w:tcPr>
          <w:p w14:paraId="7EFD7E94" w14:textId="77777777" w:rsidR="00ED20D4" w:rsidRPr="00ED20D4" w:rsidRDefault="00ED20D4" w:rsidP="00B86CC1">
            <w:pPr>
              <w:jc w:val="center"/>
              <w:rPr>
                <w:b/>
                <w:sz w:val="24"/>
                <w:szCs w:val="26"/>
              </w:rPr>
            </w:pPr>
          </w:p>
        </w:tc>
      </w:tr>
      <w:tr w:rsidR="00ED20D4" w:rsidRPr="00ED20D4" w14:paraId="04515CCA" w14:textId="77777777" w:rsidTr="00ED20D4">
        <w:trPr>
          <w:jc w:val="center"/>
        </w:trPr>
        <w:tc>
          <w:tcPr>
            <w:tcW w:w="4248" w:type="dxa"/>
          </w:tcPr>
          <w:p w14:paraId="138A5523" w14:textId="78EA407D" w:rsidR="00ED20D4" w:rsidRPr="00ED20D4" w:rsidRDefault="00ED20D4" w:rsidP="00B86CC1">
            <w:pPr>
              <w:jc w:val="center"/>
              <w:rPr>
                <w:b/>
                <w:sz w:val="24"/>
                <w:szCs w:val="26"/>
              </w:rPr>
            </w:pPr>
            <w:r w:rsidRPr="00ED20D4">
              <w:rPr>
                <w:b/>
                <w:sz w:val="24"/>
                <w:szCs w:val="26"/>
              </w:rPr>
              <w:t>Cơ quan trình duyệt quy hoạch:</w:t>
            </w:r>
          </w:p>
          <w:p w14:paraId="3CF0D3A4" w14:textId="21ABBED2" w:rsidR="00ED20D4" w:rsidRPr="00ED20D4" w:rsidRDefault="00ED20D4" w:rsidP="00ED20D4">
            <w:pPr>
              <w:jc w:val="center"/>
              <w:rPr>
                <w:b/>
                <w:sz w:val="24"/>
                <w:szCs w:val="26"/>
              </w:rPr>
            </w:pPr>
            <w:r w:rsidRPr="00ED20D4">
              <w:rPr>
                <w:b/>
                <w:sz w:val="24"/>
                <w:szCs w:val="26"/>
              </w:rPr>
              <w:t>UBND TỈNH NAM ĐỊNH</w:t>
            </w:r>
          </w:p>
        </w:tc>
        <w:tc>
          <w:tcPr>
            <w:tcW w:w="270" w:type="dxa"/>
          </w:tcPr>
          <w:p w14:paraId="7DF40FB1" w14:textId="77777777" w:rsidR="00ED20D4" w:rsidRPr="00ED20D4" w:rsidRDefault="00ED20D4" w:rsidP="00ED20D4">
            <w:pPr>
              <w:jc w:val="center"/>
              <w:rPr>
                <w:b/>
                <w:sz w:val="24"/>
                <w:szCs w:val="26"/>
              </w:rPr>
            </w:pPr>
          </w:p>
        </w:tc>
        <w:tc>
          <w:tcPr>
            <w:tcW w:w="4950" w:type="dxa"/>
          </w:tcPr>
          <w:p w14:paraId="170B06B1" w14:textId="6E0614D0" w:rsidR="00ED20D4" w:rsidRPr="00ED20D4" w:rsidRDefault="00ED20D4" w:rsidP="00B86CC1">
            <w:pPr>
              <w:jc w:val="center"/>
              <w:rPr>
                <w:b/>
                <w:sz w:val="24"/>
                <w:szCs w:val="26"/>
              </w:rPr>
            </w:pPr>
            <w:r w:rsidRPr="00ED20D4">
              <w:rPr>
                <w:b/>
                <w:sz w:val="24"/>
                <w:szCs w:val="26"/>
              </w:rPr>
              <w:t>Cơ quan thẩm định:</w:t>
            </w:r>
          </w:p>
          <w:p w14:paraId="1D0C84DA" w14:textId="4CE7C1EF" w:rsidR="00ED20D4" w:rsidRPr="00ED20D4" w:rsidRDefault="00ED20D4" w:rsidP="00B86CC1">
            <w:pPr>
              <w:jc w:val="center"/>
              <w:rPr>
                <w:b/>
                <w:sz w:val="24"/>
                <w:szCs w:val="26"/>
              </w:rPr>
            </w:pPr>
            <w:r w:rsidRPr="00ED20D4">
              <w:rPr>
                <w:b/>
                <w:sz w:val="24"/>
                <w:szCs w:val="26"/>
              </w:rPr>
              <w:t>BỘ XÂY DỰNG</w:t>
            </w:r>
          </w:p>
        </w:tc>
      </w:tr>
      <w:tr w:rsidR="00ED20D4" w:rsidRPr="00ED20D4" w14:paraId="0A9CF900" w14:textId="77777777" w:rsidTr="00ED20D4">
        <w:trPr>
          <w:jc w:val="center"/>
        </w:trPr>
        <w:tc>
          <w:tcPr>
            <w:tcW w:w="4248" w:type="dxa"/>
          </w:tcPr>
          <w:p w14:paraId="406170B3" w14:textId="77777777" w:rsidR="00ED20D4" w:rsidRPr="00ED20D4" w:rsidRDefault="00ED20D4" w:rsidP="00B86CC1">
            <w:pPr>
              <w:jc w:val="center"/>
              <w:rPr>
                <w:b/>
                <w:sz w:val="24"/>
                <w:szCs w:val="26"/>
              </w:rPr>
            </w:pPr>
          </w:p>
          <w:p w14:paraId="752D4928" w14:textId="77777777" w:rsidR="00ED20D4" w:rsidRPr="00ED20D4" w:rsidRDefault="00ED20D4" w:rsidP="00B86CC1">
            <w:pPr>
              <w:jc w:val="center"/>
              <w:rPr>
                <w:b/>
                <w:sz w:val="24"/>
                <w:szCs w:val="26"/>
              </w:rPr>
            </w:pPr>
          </w:p>
          <w:p w14:paraId="655C8455" w14:textId="77777777" w:rsidR="00ED20D4" w:rsidRPr="00ED20D4" w:rsidRDefault="00ED20D4" w:rsidP="00B86CC1">
            <w:pPr>
              <w:jc w:val="center"/>
              <w:rPr>
                <w:b/>
                <w:sz w:val="24"/>
                <w:szCs w:val="26"/>
              </w:rPr>
            </w:pPr>
          </w:p>
          <w:p w14:paraId="1E9CE9C0" w14:textId="77777777" w:rsidR="00ED20D4" w:rsidRPr="00ED20D4" w:rsidRDefault="00ED20D4" w:rsidP="00B86CC1">
            <w:pPr>
              <w:jc w:val="center"/>
              <w:rPr>
                <w:b/>
                <w:sz w:val="24"/>
                <w:szCs w:val="26"/>
              </w:rPr>
            </w:pPr>
          </w:p>
        </w:tc>
        <w:tc>
          <w:tcPr>
            <w:tcW w:w="270" w:type="dxa"/>
          </w:tcPr>
          <w:p w14:paraId="04C0275F" w14:textId="77777777" w:rsidR="00ED20D4" w:rsidRPr="00ED20D4" w:rsidRDefault="00ED20D4" w:rsidP="00ED20D4">
            <w:pPr>
              <w:jc w:val="center"/>
              <w:rPr>
                <w:b/>
                <w:sz w:val="24"/>
                <w:szCs w:val="26"/>
              </w:rPr>
            </w:pPr>
          </w:p>
        </w:tc>
        <w:tc>
          <w:tcPr>
            <w:tcW w:w="4950" w:type="dxa"/>
          </w:tcPr>
          <w:p w14:paraId="1F926B4A" w14:textId="77777777" w:rsidR="00ED20D4" w:rsidRPr="00ED20D4" w:rsidRDefault="00ED20D4" w:rsidP="00B86CC1">
            <w:pPr>
              <w:jc w:val="center"/>
              <w:rPr>
                <w:b/>
                <w:sz w:val="24"/>
                <w:szCs w:val="26"/>
              </w:rPr>
            </w:pPr>
          </w:p>
          <w:p w14:paraId="4F2AAEC1" w14:textId="77777777" w:rsidR="00ED20D4" w:rsidRPr="00ED20D4" w:rsidRDefault="00ED20D4" w:rsidP="00B86CC1">
            <w:pPr>
              <w:jc w:val="center"/>
              <w:rPr>
                <w:b/>
                <w:sz w:val="24"/>
                <w:szCs w:val="26"/>
              </w:rPr>
            </w:pPr>
          </w:p>
          <w:p w14:paraId="337EF6C9" w14:textId="77777777" w:rsidR="00ED20D4" w:rsidRPr="00ED20D4" w:rsidRDefault="00ED20D4" w:rsidP="00B86CC1">
            <w:pPr>
              <w:jc w:val="center"/>
              <w:rPr>
                <w:b/>
                <w:sz w:val="24"/>
                <w:szCs w:val="26"/>
              </w:rPr>
            </w:pPr>
          </w:p>
          <w:p w14:paraId="28CE3A3D" w14:textId="7207CC3B" w:rsidR="00ED20D4" w:rsidRPr="00ED20D4" w:rsidRDefault="00ED20D4" w:rsidP="00B86CC1">
            <w:pPr>
              <w:jc w:val="center"/>
              <w:rPr>
                <w:b/>
                <w:sz w:val="24"/>
                <w:szCs w:val="26"/>
              </w:rPr>
            </w:pPr>
          </w:p>
        </w:tc>
      </w:tr>
    </w:tbl>
    <w:p w14:paraId="0917D5D0" w14:textId="77777777" w:rsidR="00ED20D4" w:rsidRDefault="00ED20D4" w:rsidP="00ED20D4">
      <w:pPr>
        <w:rPr>
          <w:rFonts w:ascii="Arial" w:hAnsi="Arial" w:cs="Arial"/>
          <w:sz w:val="22"/>
        </w:rPr>
      </w:pPr>
    </w:p>
    <w:p w14:paraId="657727C6" w14:textId="77777777" w:rsidR="00EA1D82" w:rsidRPr="009A6742" w:rsidRDefault="00EA1D82" w:rsidP="00EA1D82">
      <w:pPr>
        <w:rPr>
          <w:sz w:val="32"/>
          <w:szCs w:val="26"/>
        </w:rPr>
      </w:pPr>
      <w:r w:rsidRPr="009A6742">
        <w:rPr>
          <w:sz w:val="32"/>
          <w:szCs w:val="26"/>
        </w:rPr>
        <w:br w:type="page"/>
      </w:r>
    </w:p>
    <w:p w14:paraId="519B1C72" w14:textId="0BCFB5E8" w:rsidR="009103DC" w:rsidRPr="008E63BB" w:rsidRDefault="00024A25" w:rsidP="0065184D">
      <w:pPr>
        <w:rPr>
          <w:noProof/>
        </w:rPr>
      </w:pPr>
      <w:r w:rsidRPr="008E63BB">
        <w:rPr>
          <w:sz w:val="24"/>
          <w:szCs w:val="24"/>
        </w:rPr>
        <w:lastRenderedPageBreak/>
        <w:t>MỤC LỤC</w:t>
      </w:r>
      <w:r w:rsidR="00387A58" w:rsidRPr="008E63BB">
        <w:rPr>
          <w:rFonts w:eastAsia="Times New Roman"/>
          <w:b/>
          <w:bCs/>
          <w:sz w:val="24"/>
          <w:szCs w:val="24"/>
        </w:rPr>
        <w:fldChar w:fldCharType="begin"/>
      </w:r>
      <w:r w:rsidR="009E1B0C" w:rsidRPr="008E63BB">
        <w:rPr>
          <w:sz w:val="24"/>
          <w:szCs w:val="24"/>
        </w:rPr>
        <w:instrText xml:space="preserve"> TOC \o "1-3" \h \z \u </w:instrText>
      </w:r>
      <w:r w:rsidR="00387A58" w:rsidRPr="008E63BB">
        <w:rPr>
          <w:rFonts w:eastAsia="Times New Roman"/>
          <w:b/>
          <w:bCs/>
          <w:sz w:val="24"/>
          <w:szCs w:val="24"/>
        </w:rPr>
        <w:fldChar w:fldCharType="separate"/>
      </w:r>
    </w:p>
    <w:p w14:paraId="519B1C73" w14:textId="77777777" w:rsidR="009103DC" w:rsidRPr="008E63BB" w:rsidRDefault="00E9609D">
      <w:pPr>
        <w:pStyle w:val="TOC2"/>
        <w:rPr>
          <w:rFonts w:asciiTheme="minorHAnsi" w:eastAsiaTheme="minorEastAsia" w:hAnsiTheme="minorHAnsi" w:cstheme="minorBidi"/>
          <w:color w:val="auto"/>
          <w:sz w:val="22"/>
          <w:szCs w:val="22"/>
        </w:rPr>
      </w:pPr>
      <w:hyperlink w:anchor="_Toc47524636" w:history="1">
        <w:r w:rsidR="009103DC" w:rsidRPr="008E63BB">
          <w:rPr>
            <w:rStyle w:val="Hyperlink"/>
            <w:color w:val="auto"/>
          </w:rPr>
          <w:t>1.1. Lý do và sự cần thiết điều chỉnh quy hoạch chung Thành phố Nam Định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_Toc47524636 \h </w:instrText>
        </w:r>
        <w:r w:rsidR="009103DC" w:rsidRPr="008E63BB">
          <w:rPr>
            <w:webHidden/>
            <w:color w:val="auto"/>
          </w:rPr>
        </w:r>
        <w:r w:rsidR="009103DC" w:rsidRPr="008E63BB">
          <w:rPr>
            <w:webHidden/>
            <w:color w:val="auto"/>
          </w:rPr>
          <w:fldChar w:fldCharType="separate"/>
        </w:r>
        <w:r w:rsidR="00E1321A">
          <w:rPr>
            <w:webHidden/>
            <w:color w:val="auto"/>
          </w:rPr>
          <w:t>5</w:t>
        </w:r>
        <w:r w:rsidR="009103DC" w:rsidRPr="008E63BB">
          <w:rPr>
            <w:webHidden/>
            <w:color w:val="auto"/>
          </w:rPr>
          <w:fldChar w:fldCharType="end"/>
        </w:r>
      </w:hyperlink>
    </w:p>
    <w:p w14:paraId="519B1C74" w14:textId="77777777" w:rsidR="009103DC" w:rsidRPr="008E63BB" w:rsidRDefault="00E9609D">
      <w:pPr>
        <w:pStyle w:val="TOC2"/>
        <w:rPr>
          <w:rFonts w:asciiTheme="minorHAnsi" w:eastAsiaTheme="minorEastAsia" w:hAnsiTheme="minorHAnsi" w:cstheme="minorBidi"/>
          <w:color w:val="auto"/>
          <w:sz w:val="22"/>
          <w:szCs w:val="22"/>
        </w:rPr>
      </w:pPr>
      <w:hyperlink w:anchor="_Toc47524637" w:history="1">
        <w:r w:rsidR="009103DC" w:rsidRPr="008E63BB">
          <w:rPr>
            <w:rStyle w:val="Hyperlink"/>
            <w:color w:val="auto"/>
            <w:lang w:val="pt-BR"/>
          </w:rPr>
          <w:t>1.2. Các căn cứ lập quy hoạch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_Toc47524637 \h </w:instrText>
        </w:r>
        <w:r w:rsidR="009103DC" w:rsidRPr="008E63BB">
          <w:rPr>
            <w:webHidden/>
            <w:color w:val="auto"/>
          </w:rPr>
        </w:r>
        <w:r w:rsidR="009103DC" w:rsidRPr="008E63BB">
          <w:rPr>
            <w:webHidden/>
            <w:color w:val="auto"/>
          </w:rPr>
          <w:fldChar w:fldCharType="separate"/>
        </w:r>
        <w:r w:rsidR="00E1321A">
          <w:rPr>
            <w:webHidden/>
            <w:color w:val="auto"/>
          </w:rPr>
          <w:t>6</w:t>
        </w:r>
        <w:r w:rsidR="009103DC" w:rsidRPr="008E63BB">
          <w:rPr>
            <w:webHidden/>
            <w:color w:val="auto"/>
          </w:rPr>
          <w:fldChar w:fldCharType="end"/>
        </w:r>
      </w:hyperlink>
    </w:p>
    <w:p w14:paraId="519B1C77" w14:textId="77777777" w:rsidR="009103DC" w:rsidRPr="008E63BB" w:rsidRDefault="00E9609D">
      <w:pPr>
        <w:pStyle w:val="TOC2"/>
        <w:rPr>
          <w:rFonts w:asciiTheme="minorHAnsi" w:eastAsiaTheme="minorEastAsia" w:hAnsiTheme="minorHAnsi" w:cstheme="minorBidi"/>
          <w:color w:val="auto"/>
          <w:sz w:val="22"/>
          <w:szCs w:val="22"/>
        </w:rPr>
      </w:pPr>
      <w:hyperlink w:anchor="_Toc47524640" w:history="1">
        <w:r w:rsidR="009103DC" w:rsidRPr="008E63BB">
          <w:rPr>
            <w:rStyle w:val="Hyperlink"/>
            <w:color w:val="auto"/>
            <w:lang w:val="vi-VN"/>
          </w:rPr>
          <w:t>1.3. Mục tiêu và nhiệm vụ</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_Toc47524640 \h </w:instrText>
        </w:r>
        <w:r w:rsidR="009103DC" w:rsidRPr="008E63BB">
          <w:rPr>
            <w:webHidden/>
            <w:color w:val="auto"/>
          </w:rPr>
        </w:r>
        <w:r w:rsidR="009103DC" w:rsidRPr="008E63BB">
          <w:rPr>
            <w:webHidden/>
            <w:color w:val="auto"/>
          </w:rPr>
          <w:fldChar w:fldCharType="separate"/>
        </w:r>
        <w:r w:rsidR="00E1321A">
          <w:rPr>
            <w:webHidden/>
            <w:color w:val="auto"/>
          </w:rPr>
          <w:t>9</w:t>
        </w:r>
        <w:r w:rsidR="009103DC" w:rsidRPr="008E63BB">
          <w:rPr>
            <w:webHidden/>
            <w:color w:val="auto"/>
          </w:rPr>
          <w:fldChar w:fldCharType="end"/>
        </w:r>
      </w:hyperlink>
    </w:p>
    <w:p w14:paraId="519B1C7A" w14:textId="77777777" w:rsidR="009103DC" w:rsidRPr="008E63BB" w:rsidRDefault="00E9609D">
      <w:pPr>
        <w:pStyle w:val="TOC2"/>
        <w:rPr>
          <w:rFonts w:asciiTheme="minorHAnsi" w:eastAsiaTheme="minorEastAsia" w:hAnsiTheme="minorHAnsi" w:cstheme="minorBidi"/>
          <w:color w:val="auto"/>
          <w:sz w:val="22"/>
          <w:szCs w:val="22"/>
        </w:rPr>
      </w:pPr>
      <w:hyperlink w:anchor="_Toc47524643" w:history="1">
        <w:r w:rsidR="009103DC" w:rsidRPr="008E63BB">
          <w:rPr>
            <w:rStyle w:val="Hyperlink"/>
            <w:color w:val="auto"/>
            <w:lang w:val="vi-VN"/>
          </w:rPr>
          <w:t>1.4. Ranh giới, quy mô và thời hạnlập điều chỉnh quy hoạch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_Toc47524643 \h </w:instrText>
        </w:r>
        <w:r w:rsidR="009103DC" w:rsidRPr="008E63BB">
          <w:rPr>
            <w:webHidden/>
            <w:color w:val="auto"/>
          </w:rPr>
        </w:r>
        <w:r w:rsidR="009103DC" w:rsidRPr="008E63BB">
          <w:rPr>
            <w:webHidden/>
            <w:color w:val="auto"/>
          </w:rPr>
          <w:fldChar w:fldCharType="separate"/>
        </w:r>
        <w:r w:rsidR="00E1321A">
          <w:rPr>
            <w:webHidden/>
            <w:color w:val="auto"/>
          </w:rPr>
          <w:t>10</w:t>
        </w:r>
        <w:r w:rsidR="009103DC" w:rsidRPr="008E63BB">
          <w:rPr>
            <w:webHidden/>
            <w:color w:val="auto"/>
          </w:rPr>
          <w:fldChar w:fldCharType="end"/>
        </w:r>
      </w:hyperlink>
    </w:p>
    <w:p w14:paraId="519B1C7B" w14:textId="77777777" w:rsidR="009103DC" w:rsidRPr="008E63BB" w:rsidRDefault="00E9609D">
      <w:pPr>
        <w:pStyle w:val="TOC1"/>
        <w:rPr>
          <w:rFonts w:asciiTheme="minorHAnsi" w:eastAsiaTheme="minorEastAsia" w:hAnsiTheme="minorHAnsi" w:cstheme="minorBidi"/>
          <w:noProof/>
          <w:sz w:val="22"/>
        </w:rPr>
      </w:pPr>
      <w:hyperlink w:anchor="_Toc47524644" w:history="1">
        <w:r w:rsidR="009103DC" w:rsidRPr="008E63BB">
          <w:rPr>
            <w:rStyle w:val="Hyperlink"/>
            <w:noProof/>
            <w:color w:val="auto"/>
            <w:lang w:val="vi-VN"/>
          </w:rPr>
          <w:t>PHẦN II: ĐÁNH GIÁ ĐIỀU KIỆN TỰ NHIÊN VÀ HIỆN TRẠNG</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_Toc47524644 \h </w:instrText>
        </w:r>
        <w:r w:rsidR="009103DC" w:rsidRPr="008E63BB">
          <w:rPr>
            <w:noProof/>
            <w:webHidden/>
          </w:rPr>
        </w:r>
        <w:r w:rsidR="009103DC" w:rsidRPr="008E63BB">
          <w:rPr>
            <w:noProof/>
            <w:webHidden/>
          </w:rPr>
          <w:fldChar w:fldCharType="separate"/>
        </w:r>
        <w:r w:rsidR="00E1321A">
          <w:rPr>
            <w:noProof/>
            <w:webHidden/>
          </w:rPr>
          <w:t>11</w:t>
        </w:r>
        <w:r w:rsidR="009103DC" w:rsidRPr="008E63BB">
          <w:rPr>
            <w:noProof/>
            <w:webHidden/>
          </w:rPr>
          <w:fldChar w:fldCharType="end"/>
        </w:r>
      </w:hyperlink>
    </w:p>
    <w:p w14:paraId="519B1C7C" w14:textId="77777777" w:rsidR="009103DC" w:rsidRPr="008E63BB" w:rsidRDefault="00E9609D">
      <w:pPr>
        <w:pStyle w:val="TOC2"/>
        <w:rPr>
          <w:rFonts w:asciiTheme="minorHAnsi" w:eastAsiaTheme="minorEastAsia" w:hAnsiTheme="minorHAnsi" w:cstheme="minorBidi"/>
          <w:color w:val="auto"/>
          <w:sz w:val="22"/>
          <w:szCs w:val="22"/>
        </w:rPr>
      </w:pPr>
      <w:hyperlink w:anchor="_Toc47524645" w:history="1">
        <w:r w:rsidR="009103DC" w:rsidRPr="008E63BB">
          <w:rPr>
            <w:rStyle w:val="Hyperlink"/>
            <w:color w:val="auto"/>
            <w:lang w:val="vi-VN"/>
          </w:rPr>
          <w:t>2.1. Điều kiện tự nhiên</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_Toc47524645 \h </w:instrText>
        </w:r>
        <w:r w:rsidR="009103DC" w:rsidRPr="008E63BB">
          <w:rPr>
            <w:webHidden/>
            <w:color w:val="auto"/>
          </w:rPr>
        </w:r>
        <w:r w:rsidR="009103DC" w:rsidRPr="008E63BB">
          <w:rPr>
            <w:webHidden/>
            <w:color w:val="auto"/>
          </w:rPr>
          <w:fldChar w:fldCharType="separate"/>
        </w:r>
        <w:r w:rsidR="00E1321A">
          <w:rPr>
            <w:webHidden/>
            <w:color w:val="auto"/>
          </w:rPr>
          <w:t>11</w:t>
        </w:r>
        <w:r w:rsidR="009103DC" w:rsidRPr="008E63BB">
          <w:rPr>
            <w:webHidden/>
            <w:color w:val="auto"/>
          </w:rPr>
          <w:fldChar w:fldCharType="end"/>
        </w:r>
      </w:hyperlink>
    </w:p>
    <w:p w14:paraId="519B1C83" w14:textId="77777777" w:rsidR="009103DC" w:rsidRPr="008E63BB" w:rsidRDefault="00E9609D">
      <w:pPr>
        <w:pStyle w:val="TOC2"/>
        <w:rPr>
          <w:rFonts w:asciiTheme="minorHAnsi" w:eastAsiaTheme="minorEastAsia" w:hAnsiTheme="minorHAnsi" w:cstheme="minorBidi"/>
          <w:color w:val="auto"/>
          <w:sz w:val="22"/>
          <w:szCs w:val="22"/>
        </w:rPr>
      </w:pPr>
      <w:hyperlink w:anchor="_Toc47524652" w:history="1">
        <w:r w:rsidR="009103DC" w:rsidRPr="008E63BB">
          <w:rPr>
            <w:rStyle w:val="Hyperlink"/>
            <w:color w:val="auto"/>
            <w:lang w:val="vi-VN"/>
          </w:rPr>
          <w:t>2.2. Lịch sử phát triển thành phố Nam Định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_Toc47524652 \h </w:instrText>
        </w:r>
        <w:r w:rsidR="009103DC" w:rsidRPr="008E63BB">
          <w:rPr>
            <w:webHidden/>
            <w:color w:val="auto"/>
          </w:rPr>
        </w:r>
        <w:r w:rsidR="009103DC" w:rsidRPr="008E63BB">
          <w:rPr>
            <w:webHidden/>
            <w:color w:val="auto"/>
          </w:rPr>
          <w:fldChar w:fldCharType="separate"/>
        </w:r>
        <w:r w:rsidR="00E1321A">
          <w:rPr>
            <w:webHidden/>
            <w:color w:val="auto"/>
          </w:rPr>
          <w:t>13</w:t>
        </w:r>
        <w:r w:rsidR="009103DC" w:rsidRPr="008E63BB">
          <w:rPr>
            <w:webHidden/>
            <w:color w:val="auto"/>
          </w:rPr>
          <w:fldChar w:fldCharType="end"/>
        </w:r>
      </w:hyperlink>
    </w:p>
    <w:p w14:paraId="519B1C84" w14:textId="77777777" w:rsidR="009103DC" w:rsidRPr="008E63BB" w:rsidRDefault="00E9609D">
      <w:pPr>
        <w:pStyle w:val="TOC2"/>
        <w:rPr>
          <w:rFonts w:asciiTheme="minorHAnsi" w:eastAsiaTheme="minorEastAsia" w:hAnsiTheme="minorHAnsi" w:cstheme="minorBidi"/>
          <w:color w:val="auto"/>
          <w:sz w:val="22"/>
          <w:szCs w:val="22"/>
        </w:rPr>
      </w:pPr>
      <w:hyperlink w:anchor="_Toc47524653" w:history="1">
        <w:r w:rsidR="009103DC" w:rsidRPr="008E63BB">
          <w:rPr>
            <w:rStyle w:val="Hyperlink"/>
            <w:color w:val="auto"/>
            <w:lang w:val="it-IT"/>
          </w:rPr>
          <w:t>2.3. Hiện trạng kinh tế xã hội</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_Toc47524653 \h </w:instrText>
        </w:r>
        <w:r w:rsidR="009103DC" w:rsidRPr="008E63BB">
          <w:rPr>
            <w:webHidden/>
            <w:color w:val="auto"/>
          </w:rPr>
        </w:r>
        <w:r w:rsidR="009103DC" w:rsidRPr="008E63BB">
          <w:rPr>
            <w:webHidden/>
            <w:color w:val="auto"/>
          </w:rPr>
          <w:fldChar w:fldCharType="separate"/>
        </w:r>
        <w:r w:rsidR="00E1321A">
          <w:rPr>
            <w:webHidden/>
            <w:color w:val="auto"/>
          </w:rPr>
          <w:t>18</w:t>
        </w:r>
        <w:r w:rsidR="009103DC" w:rsidRPr="008E63BB">
          <w:rPr>
            <w:webHidden/>
            <w:color w:val="auto"/>
          </w:rPr>
          <w:fldChar w:fldCharType="end"/>
        </w:r>
      </w:hyperlink>
    </w:p>
    <w:p w14:paraId="519B1C87" w14:textId="77777777" w:rsidR="009103DC" w:rsidRPr="008E63BB" w:rsidRDefault="00E9609D">
      <w:pPr>
        <w:pStyle w:val="TOC2"/>
        <w:rPr>
          <w:rFonts w:asciiTheme="minorHAnsi" w:eastAsiaTheme="minorEastAsia" w:hAnsiTheme="minorHAnsi" w:cstheme="minorBidi"/>
          <w:color w:val="auto"/>
          <w:sz w:val="22"/>
          <w:szCs w:val="22"/>
        </w:rPr>
      </w:pPr>
      <w:hyperlink w:anchor="_Toc47524656" w:history="1">
        <w:r w:rsidR="009103DC" w:rsidRPr="008E63BB">
          <w:rPr>
            <w:rStyle w:val="Hyperlink"/>
            <w:color w:val="auto"/>
            <w:lang w:val="vi-VN" w:eastAsia="vi-VN"/>
          </w:rPr>
          <w:t>2.4. Hiện trạng sử dụng đất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_Toc47524656 \h </w:instrText>
        </w:r>
        <w:r w:rsidR="009103DC" w:rsidRPr="008E63BB">
          <w:rPr>
            <w:webHidden/>
            <w:color w:val="auto"/>
          </w:rPr>
        </w:r>
        <w:r w:rsidR="009103DC" w:rsidRPr="008E63BB">
          <w:rPr>
            <w:webHidden/>
            <w:color w:val="auto"/>
          </w:rPr>
          <w:fldChar w:fldCharType="separate"/>
        </w:r>
        <w:r w:rsidR="00E1321A">
          <w:rPr>
            <w:webHidden/>
            <w:color w:val="auto"/>
          </w:rPr>
          <w:t>29</w:t>
        </w:r>
        <w:r w:rsidR="009103DC" w:rsidRPr="008E63BB">
          <w:rPr>
            <w:webHidden/>
            <w:color w:val="auto"/>
          </w:rPr>
          <w:fldChar w:fldCharType="end"/>
        </w:r>
      </w:hyperlink>
    </w:p>
    <w:p w14:paraId="519B1C88" w14:textId="77777777" w:rsidR="009103DC" w:rsidRPr="008E63BB" w:rsidRDefault="00E9609D">
      <w:pPr>
        <w:pStyle w:val="TOC2"/>
        <w:rPr>
          <w:rFonts w:asciiTheme="minorHAnsi" w:eastAsiaTheme="minorEastAsia" w:hAnsiTheme="minorHAnsi" w:cstheme="minorBidi"/>
          <w:color w:val="auto"/>
          <w:sz w:val="22"/>
          <w:szCs w:val="22"/>
        </w:rPr>
      </w:pPr>
      <w:hyperlink w:anchor="_Toc47524657" w:history="1">
        <w:r w:rsidR="009103DC" w:rsidRPr="008E63BB">
          <w:rPr>
            <w:rStyle w:val="Hyperlink"/>
            <w:color w:val="auto"/>
            <w:lang w:val="vi-VN"/>
          </w:rPr>
          <w:t>2.5. Hiện trạng kiến trúc cảnh quan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_Toc47524657 \h </w:instrText>
        </w:r>
        <w:r w:rsidR="009103DC" w:rsidRPr="008E63BB">
          <w:rPr>
            <w:webHidden/>
            <w:color w:val="auto"/>
          </w:rPr>
        </w:r>
        <w:r w:rsidR="009103DC" w:rsidRPr="008E63BB">
          <w:rPr>
            <w:webHidden/>
            <w:color w:val="auto"/>
          </w:rPr>
          <w:fldChar w:fldCharType="separate"/>
        </w:r>
        <w:r w:rsidR="00E1321A">
          <w:rPr>
            <w:webHidden/>
            <w:color w:val="auto"/>
          </w:rPr>
          <w:t>32</w:t>
        </w:r>
        <w:r w:rsidR="009103DC" w:rsidRPr="008E63BB">
          <w:rPr>
            <w:webHidden/>
            <w:color w:val="auto"/>
          </w:rPr>
          <w:fldChar w:fldCharType="end"/>
        </w:r>
      </w:hyperlink>
    </w:p>
    <w:p w14:paraId="519B1C8C" w14:textId="77777777" w:rsidR="009103DC" w:rsidRPr="008E63BB" w:rsidRDefault="00E9609D">
      <w:pPr>
        <w:pStyle w:val="TOC2"/>
        <w:rPr>
          <w:rFonts w:asciiTheme="minorHAnsi" w:eastAsiaTheme="minorEastAsia" w:hAnsiTheme="minorHAnsi" w:cstheme="minorBidi"/>
          <w:color w:val="auto"/>
          <w:sz w:val="22"/>
          <w:szCs w:val="22"/>
        </w:rPr>
      </w:pPr>
      <w:hyperlink w:anchor="_Toc47524661" w:history="1">
        <w:r w:rsidR="009103DC" w:rsidRPr="008E63BB">
          <w:rPr>
            <w:rStyle w:val="Hyperlink"/>
            <w:color w:val="auto"/>
            <w:lang w:val="pt-BR"/>
          </w:rPr>
          <w:t>2.6. Hiện trạng các công trình hạ tầng xã hội</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_Toc47524661 \h </w:instrText>
        </w:r>
        <w:r w:rsidR="009103DC" w:rsidRPr="008E63BB">
          <w:rPr>
            <w:webHidden/>
            <w:color w:val="auto"/>
          </w:rPr>
        </w:r>
        <w:r w:rsidR="009103DC" w:rsidRPr="008E63BB">
          <w:rPr>
            <w:webHidden/>
            <w:color w:val="auto"/>
          </w:rPr>
          <w:fldChar w:fldCharType="separate"/>
        </w:r>
        <w:r w:rsidR="00E1321A">
          <w:rPr>
            <w:webHidden/>
            <w:color w:val="auto"/>
          </w:rPr>
          <w:t>39</w:t>
        </w:r>
        <w:r w:rsidR="009103DC" w:rsidRPr="008E63BB">
          <w:rPr>
            <w:webHidden/>
            <w:color w:val="auto"/>
          </w:rPr>
          <w:fldChar w:fldCharType="end"/>
        </w:r>
      </w:hyperlink>
    </w:p>
    <w:p w14:paraId="519B1C93" w14:textId="77777777" w:rsidR="009103DC" w:rsidRPr="008E63BB" w:rsidRDefault="00E9609D">
      <w:pPr>
        <w:pStyle w:val="TOC2"/>
        <w:rPr>
          <w:rFonts w:asciiTheme="minorHAnsi" w:eastAsiaTheme="minorEastAsia" w:hAnsiTheme="minorHAnsi" w:cstheme="minorBidi"/>
          <w:color w:val="auto"/>
          <w:sz w:val="22"/>
          <w:szCs w:val="22"/>
        </w:rPr>
      </w:pPr>
      <w:hyperlink w:anchor="_Toc47524668" w:history="1">
        <w:r w:rsidR="009103DC" w:rsidRPr="008E63BB">
          <w:rPr>
            <w:rStyle w:val="Hyperlink"/>
            <w:color w:val="auto"/>
            <w:lang w:val="pt-BR"/>
          </w:rPr>
          <w:t>2.7. Hiện trạng hạ tầng kỹ thuật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_Toc47524668 \h </w:instrText>
        </w:r>
        <w:r w:rsidR="009103DC" w:rsidRPr="008E63BB">
          <w:rPr>
            <w:webHidden/>
            <w:color w:val="auto"/>
          </w:rPr>
        </w:r>
        <w:r w:rsidR="009103DC" w:rsidRPr="008E63BB">
          <w:rPr>
            <w:webHidden/>
            <w:color w:val="auto"/>
          </w:rPr>
          <w:fldChar w:fldCharType="separate"/>
        </w:r>
        <w:r w:rsidR="00E1321A">
          <w:rPr>
            <w:webHidden/>
            <w:color w:val="auto"/>
          </w:rPr>
          <w:t>45</w:t>
        </w:r>
        <w:r w:rsidR="009103DC" w:rsidRPr="008E63BB">
          <w:rPr>
            <w:webHidden/>
            <w:color w:val="auto"/>
          </w:rPr>
          <w:fldChar w:fldCharType="end"/>
        </w:r>
      </w:hyperlink>
    </w:p>
    <w:p w14:paraId="519B1C9A" w14:textId="77777777" w:rsidR="009103DC" w:rsidRPr="008E63BB" w:rsidRDefault="00E9609D">
      <w:pPr>
        <w:pStyle w:val="TOC1"/>
        <w:rPr>
          <w:rFonts w:asciiTheme="minorHAnsi" w:eastAsiaTheme="minorEastAsia" w:hAnsiTheme="minorHAnsi" w:cstheme="minorBidi"/>
          <w:noProof/>
          <w:sz w:val="22"/>
        </w:rPr>
      </w:pPr>
      <w:hyperlink w:anchor="_Toc47524675" w:history="1">
        <w:r w:rsidR="009103DC" w:rsidRPr="008E63BB">
          <w:rPr>
            <w:rStyle w:val="Hyperlink"/>
            <w:noProof/>
            <w:color w:val="auto"/>
            <w:lang w:val="vi-VN"/>
          </w:rPr>
          <w:t>III. PHẦN 3: ĐÁNH GIÁ THỰC HIỆN THEO QUY HOẠCH CHUNG ĐƯỢC DUYỆT NĂM 2011.</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_Toc47524675 \h </w:instrText>
        </w:r>
        <w:r w:rsidR="009103DC" w:rsidRPr="008E63BB">
          <w:rPr>
            <w:noProof/>
            <w:webHidden/>
          </w:rPr>
        </w:r>
        <w:r w:rsidR="009103DC" w:rsidRPr="008E63BB">
          <w:rPr>
            <w:noProof/>
            <w:webHidden/>
          </w:rPr>
          <w:fldChar w:fldCharType="separate"/>
        </w:r>
        <w:r w:rsidR="00E1321A">
          <w:rPr>
            <w:noProof/>
            <w:webHidden/>
          </w:rPr>
          <w:t>69</w:t>
        </w:r>
        <w:r w:rsidR="009103DC" w:rsidRPr="008E63BB">
          <w:rPr>
            <w:noProof/>
            <w:webHidden/>
          </w:rPr>
          <w:fldChar w:fldCharType="end"/>
        </w:r>
      </w:hyperlink>
    </w:p>
    <w:p w14:paraId="519B1C9B" w14:textId="77777777" w:rsidR="009103DC" w:rsidRPr="008E63BB" w:rsidRDefault="00E9609D">
      <w:pPr>
        <w:pStyle w:val="TOC2"/>
        <w:rPr>
          <w:rFonts w:asciiTheme="minorHAnsi" w:eastAsiaTheme="minorEastAsia" w:hAnsiTheme="minorHAnsi" w:cstheme="minorBidi"/>
          <w:color w:val="auto"/>
          <w:sz w:val="22"/>
          <w:szCs w:val="22"/>
        </w:rPr>
      </w:pPr>
      <w:hyperlink w:anchor="_Toc47524676" w:history="1">
        <w:r w:rsidR="009103DC" w:rsidRPr="008E63BB">
          <w:rPr>
            <w:rStyle w:val="Hyperlink"/>
            <w:color w:val="auto"/>
            <w:lang w:val="pt-BR"/>
          </w:rPr>
          <w:t>3.1. Tình hình lập, triển khai các quy hoạch có liên quan, các dự án đầu tư xây dựng theo quy hoạch xây dựng được duyệt và kế hoạch thực hiện quy hoạch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_Toc47524676 \h </w:instrText>
        </w:r>
        <w:r w:rsidR="009103DC" w:rsidRPr="008E63BB">
          <w:rPr>
            <w:webHidden/>
            <w:color w:val="auto"/>
          </w:rPr>
        </w:r>
        <w:r w:rsidR="009103DC" w:rsidRPr="008E63BB">
          <w:rPr>
            <w:webHidden/>
            <w:color w:val="auto"/>
          </w:rPr>
          <w:fldChar w:fldCharType="separate"/>
        </w:r>
        <w:r w:rsidR="00E1321A">
          <w:rPr>
            <w:webHidden/>
            <w:color w:val="auto"/>
          </w:rPr>
          <w:t>69</w:t>
        </w:r>
        <w:r w:rsidR="009103DC" w:rsidRPr="008E63BB">
          <w:rPr>
            <w:webHidden/>
            <w:color w:val="auto"/>
          </w:rPr>
          <w:fldChar w:fldCharType="end"/>
        </w:r>
      </w:hyperlink>
    </w:p>
    <w:p w14:paraId="519B1C9C" w14:textId="77777777" w:rsidR="009103DC" w:rsidRPr="008E63BB" w:rsidRDefault="00E9609D">
      <w:pPr>
        <w:pStyle w:val="TOC2"/>
        <w:rPr>
          <w:rFonts w:asciiTheme="minorHAnsi" w:eastAsiaTheme="minorEastAsia" w:hAnsiTheme="minorHAnsi" w:cstheme="minorBidi"/>
          <w:color w:val="auto"/>
          <w:sz w:val="22"/>
          <w:szCs w:val="22"/>
        </w:rPr>
      </w:pPr>
      <w:hyperlink w:anchor="_Toc47524677" w:history="1">
        <w:r w:rsidR="009103DC" w:rsidRPr="008E63BB">
          <w:rPr>
            <w:rStyle w:val="Hyperlink"/>
            <w:color w:val="auto"/>
            <w:lang w:val="pt-BR"/>
          </w:rPr>
          <w:t>3.2.Đánh giá việc thực hiện theo đồ án QHC 2011được duyệt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_Toc47524677 \h </w:instrText>
        </w:r>
        <w:r w:rsidR="009103DC" w:rsidRPr="008E63BB">
          <w:rPr>
            <w:webHidden/>
            <w:color w:val="auto"/>
          </w:rPr>
        </w:r>
        <w:r w:rsidR="009103DC" w:rsidRPr="008E63BB">
          <w:rPr>
            <w:webHidden/>
            <w:color w:val="auto"/>
          </w:rPr>
          <w:fldChar w:fldCharType="separate"/>
        </w:r>
        <w:r w:rsidR="00E1321A">
          <w:rPr>
            <w:webHidden/>
            <w:color w:val="auto"/>
          </w:rPr>
          <w:t>70</w:t>
        </w:r>
        <w:r w:rsidR="009103DC" w:rsidRPr="008E63BB">
          <w:rPr>
            <w:webHidden/>
            <w:color w:val="auto"/>
          </w:rPr>
          <w:fldChar w:fldCharType="end"/>
        </w:r>
      </w:hyperlink>
    </w:p>
    <w:p w14:paraId="519B1C9D" w14:textId="77777777" w:rsidR="009103DC" w:rsidRPr="008E63BB" w:rsidRDefault="00E9609D">
      <w:pPr>
        <w:pStyle w:val="TOC2"/>
        <w:rPr>
          <w:rFonts w:asciiTheme="minorHAnsi" w:eastAsiaTheme="minorEastAsia" w:hAnsiTheme="minorHAnsi" w:cstheme="minorBidi"/>
          <w:color w:val="auto"/>
          <w:sz w:val="22"/>
          <w:szCs w:val="22"/>
        </w:rPr>
      </w:pPr>
      <w:hyperlink w:anchor="_Toc47524678" w:history="1">
        <w:r w:rsidR="009103DC" w:rsidRPr="008E63BB">
          <w:rPr>
            <w:rStyle w:val="Hyperlink"/>
            <w:color w:val="auto"/>
            <w:lang w:val="pt-BR"/>
          </w:rPr>
          <w:t>3.3. So sánh QH 2011 được phê duyệt với hiện trạng năm 2019</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_Toc47524678 \h </w:instrText>
        </w:r>
        <w:r w:rsidR="009103DC" w:rsidRPr="008E63BB">
          <w:rPr>
            <w:webHidden/>
            <w:color w:val="auto"/>
          </w:rPr>
        </w:r>
        <w:r w:rsidR="009103DC" w:rsidRPr="008E63BB">
          <w:rPr>
            <w:webHidden/>
            <w:color w:val="auto"/>
          </w:rPr>
          <w:fldChar w:fldCharType="separate"/>
        </w:r>
        <w:r w:rsidR="00E1321A">
          <w:rPr>
            <w:webHidden/>
            <w:color w:val="auto"/>
          </w:rPr>
          <w:t>73</w:t>
        </w:r>
        <w:r w:rsidR="009103DC" w:rsidRPr="008E63BB">
          <w:rPr>
            <w:webHidden/>
            <w:color w:val="auto"/>
          </w:rPr>
          <w:fldChar w:fldCharType="end"/>
        </w:r>
      </w:hyperlink>
    </w:p>
    <w:p w14:paraId="519B1C9E" w14:textId="77777777" w:rsidR="009103DC" w:rsidRPr="008E63BB" w:rsidRDefault="00E9609D">
      <w:pPr>
        <w:pStyle w:val="TOC2"/>
        <w:rPr>
          <w:rFonts w:asciiTheme="minorHAnsi" w:eastAsiaTheme="minorEastAsia" w:hAnsiTheme="minorHAnsi" w:cstheme="minorBidi"/>
          <w:color w:val="auto"/>
          <w:sz w:val="22"/>
          <w:szCs w:val="22"/>
        </w:rPr>
      </w:pPr>
      <w:hyperlink w:anchor="_Toc47524679" w:history="1">
        <w:r w:rsidR="009103DC" w:rsidRPr="008E63BB">
          <w:rPr>
            <w:rStyle w:val="Hyperlink"/>
            <w:color w:val="auto"/>
            <w:lang w:val="pt-BR"/>
          </w:rPr>
          <w:t>3.4. Rà soát đánh giá theo tiêu chuẩn đô thị loại  I</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_Toc47524679 \h </w:instrText>
        </w:r>
        <w:r w:rsidR="009103DC" w:rsidRPr="008E63BB">
          <w:rPr>
            <w:webHidden/>
            <w:color w:val="auto"/>
          </w:rPr>
        </w:r>
        <w:r w:rsidR="009103DC" w:rsidRPr="008E63BB">
          <w:rPr>
            <w:webHidden/>
            <w:color w:val="auto"/>
          </w:rPr>
          <w:fldChar w:fldCharType="separate"/>
        </w:r>
        <w:r w:rsidR="00E1321A">
          <w:rPr>
            <w:webHidden/>
            <w:color w:val="auto"/>
          </w:rPr>
          <w:t>74</w:t>
        </w:r>
        <w:r w:rsidR="009103DC" w:rsidRPr="008E63BB">
          <w:rPr>
            <w:webHidden/>
            <w:color w:val="auto"/>
          </w:rPr>
          <w:fldChar w:fldCharType="end"/>
        </w:r>
      </w:hyperlink>
    </w:p>
    <w:p w14:paraId="519B1C9F" w14:textId="77777777" w:rsidR="009103DC" w:rsidRPr="008E63BB" w:rsidRDefault="00E9609D">
      <w:pPr>
        <w:pStyle w:val="TOC2"/>
        <w:rPr>
          <w:rFonts w:asciiTheme="minorHAnsi" w:eastAsiaTheme="minorEastAsia" w:hAnsiTheme="minorHAnsi" w:cstheme="minorBidi"/>
          <w:color w:val="auto"/>
          <w:sz w:val="22"/>
          <w:szCs w:val="22"/>
        </w:rPr>
      </w:pPr>
      <w:hyperlink w:anchor="_Toc47524680" w:history="1">
        <w:r w:rsidR="009103DC" w:rsidRPr="008E63BB">
          <w:rPr>
            <w:rStyle w:val="Hyperlink"/>
            <w:color w:val="auto"/>
            <w:lang w:val="pt-BR"/>
          </w:rPr>
          <w:t>3.5. Một số nội dung cần điều chỉnh, bổ sung</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_Toc47524680 \h </w:instrText>
        </w:r>
        <w:r w:rsidR="009103DC" w:rsidRPr="008E63BB">
          <w:rPr>
            <w:webHidden/>
            <w:color w:val="auto"/>
          </w:rPr>
        </w:r>
        <w:r w:rsidR="009103DC" w:rsidRPr="008E63BB">
          <w:rPr>
            <w:webHidden/>
            <w:color w:val="auto"/>
          </w:rPr>
          <w:fldChar w:fldCharType="separate"/>
        </w:r>
        <w:r w:rsidR="00E1321A">
          <w:rPr>
            <w:webHidden/>
            <w:color w:val="auto"/>
          </w:rPr>
          <w:t>78</w:t>
        </w:r>
        <w:r w:rsidR="009103DC" w:rsidRPr="008E63BB">
          <w:rPr>
            <w:webHidden/>
            <w:color w:val="auto"/>
          </w:rPr>
          <w:fldChar w:fldCharType="end"/>
        </w:r>
      </w:hyperlink>
    </w:p>
    <w:p w14:paraId="519B1CA0" w14:textId="77777777" w:rsidR="009103DC" w:rsidRPr="008E63BB" w:rsidRDefault="00E9609D">
      <w:pPr>
        <w:pStyle w:val="TOC1"/>
        <w:rPr>
          <w:rFonts w:asciiTheme="minorHAnsi" w:eastAsiaTheme="minorEastAsia" w:hAnsiTheme="minorHAnsi" w:cstheme="minorBidi"/>
          <w:noProof/>
          <w:sz w:val="22"/>
        </w:rPr>
      </w:pPr>
      <w:hyperlink w:anchor="_Toc47524681" w:history="1">
        <w:r w:rsidR="009103DC" w:rsidRPr="008E63BB">
          <w:rPr>
            <w:rStyle w:val="Hyperlink"/>
            <w:noProof/>
            <w:color w:val="auto"/>
            <w:lang w:val="de-DE"/>
          </w:rPr>
          <w:t>IV. PHẦN 4: TIỀN ĐỀ PHÁT TRIỂN ĐÔ THỊ VÀ CÁC DỰ BÁO PHÁT TRIỂN</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_Toc47524681 \h </w:instrText>
        </w:r>
        <w:r w:rsidR="009103DC" w:rsidRPr="008E63BB">
          <w:rPr>
            <w:noProof/>
            <w:webHidden/>
          </w:rPr>
        </w:r>
        <w:r w:rsidR="009103DC" w:rsidRPr="008E63BB">
          <w:rPr>
            <w:noProof/>
            <w:webHidden/>
          </w:rPr>
          <w:fldChar w:fldCharType="separate"/>
        </w:r>
        <w:r w:rsidR="00E1321A">
          <w:rPr>
            <w:noProof/>
            <w:webHidden/>
          </w:rPr>
          <w:t>80</w:t>
        </w:r>
        <w:r w:rsidR="009103DC" w:rsidRPr="008E63BB">
          <w:rPr>
            <w:noProof/>
            <w:webHidden/>
          </w:rPr>
          <w:fldChar w:fldCharType="end"/>
        </w:r>
      </w:hyperlink>
    </w:p>
    <w:p w14:paraId="519B1CA1" w14:textId="77777777" w:rsidR="009103DC" w:rsidRPr="008E63BB" w:rsidRDefault="00E9609D">
      <w:pPr>
        <w:pStyle w:val="TOC2"/>
        <w:rPr>
          <w:rFonts w:asciiTheme="minorHAnsi" w:eastAsiaTheme="minorEastAsia" w:hAnsiTheme="minorHAnsi" w:cstheme="minorBidi"/>
          <w:color w:val="auto"/>
          <w:sz w:val="22"/>
          <w:szCs w:val="22"/>
        </w:rPr>
      </w:pPr>
      <w:hyperlink w:anchor="_Toc47524682" w:history="1">
        <w:r w:rsidR="009103DC" w:rsidRPr="008E63BB">
          <w:rPr>
            <w:rStyle w:val="Hyperlink"/>
            <w:color w:val="auto"/>
            <w:lang w:val="sv-SE"/>
          </w:rPr>
          <w:t>4.1. Vai trò, vị thế của thành phố</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_Toc47524682 \h </w:instrText>
        </w:r>
        <w:r w:rsidR="009103DC" w:rsidRPr="008E63BB">
          <w:rPr>
            <w:webHidden/>
            <w:color w:val="auto"/>
          </w:rPr>
        </w:r>
        <w:r w:rsidR="009103DC" w:rsidRPr="008E63BB">
          <w:rPr>
            <w:webHidden/>
            <w:color w:val="auto"/>
          </w:rPr>
          <w:fldChar w:fldCharType="separate"/>
        </w:r>
        <w:r w:rsidR="00E1321A">
          <w:rPr>
            <w:webHidden/>
            <w:color w:val="auto"/>
          </w:rPr>
          <w:t>80</w:t>
        </w:r>
        <w:r w:rsidR="009103DC" w:rsidRPr="008E63BB">
          <w:rPr>
            <w:webHidden/>
            <w:color w:val="auto"/>
          </w:rPr>
          <w:fldChar w:fldCharType="end"/>
        </w:r>
      </w:hyperlink>
    </w:p>
    <w:p w14:paraId="519B1CA2" w14:textId="77777777" w:rsidR="009103DC" w:rsidRPr="008E63BB" w:rsidRDefault="00E9609D">
      <w:pPr>
        <w:pStyle w:val="TOC2"/>
        <w:rPr>
          <w:rFonts w:asciiTheme="minorHAnsi" w:eastAsiaTheme="minorEastAsia" w:hAnsiTheme="minorHAnsi" w:cstheme="minorBidi"/>
          <w:color w:val="auto"/>
          <w:sz w:val="22"/>
          <w:szCs w:val="22"/>
        </w:rPr>
      </w:pPr>
      <w:hyperlink w:anchor="_Toc47524683" w:history="1">
        <w:r w:rsidR="009103DC" w:rsidRPr="008E63BB">
          <w:rPr>
            <w:rStyle w:val="Hyperlink"/>
            <w:color w:val="auto"/>
            <w:lang w:val="it-IT"/>
          </w:rPr>
          <w:t>4.2. Đánh giá tổng hợp các tiềm năng, thế mạnh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_Toc47524683 \h </w:instrText>
        </w:r>
        <w:r w:rsidR="009103DC" w:rsidRPr="008E63BB">
          <w:rPr>
            <w:webHidden/>
            <w:color w:val="auto"/>
          </w:rPr>
        </w:r>
        <w:r w:rsidR="009103DC" w:rsidRPr="008E63BB">
          <w:rPr>
            <w:webHidden/>
            <w:color w:val="auto"/>
          </w:rPr>
          <w:fldChar w:fldCharType="separate"/>
        </w:r>
        <w:r w:rsidR="00E1321A">
          <w:rPr>
            <w:webHidden/>
            <w:color w:val="auto"/>
          </w:rPr>
          <w:t>84</w:t>
        </w:r>
        <w:r w:rsidR="009103DC" w:rsidRPr="008E63BB">
          <w:rPr>
            <w:webHidden/>
            <w:color w:val="auto"/>
          </w:rPr>
          <w:fldChar w:fldCharType="end"/>
        </w:r>
      </w:hyperlink>
    </w:p>
    <w:p w14:paraId="519B1CA3" w14:textId="77777777" w:rsidR="009103DC" w:rsidRPr="008E63BB" w:rsidRDefault="00E9609D">
      <w:pPr>
        <w:pStyle w:val="TOC2"/>
        <w:rPr>
          <w:rFonts w:asciiTheme="minorHAnsi" w:eastAsiaTheme="minorEastAsia" w:hAnsiTheme="minorHAnsi" w:cstheme="minorBidi"/>
          <w:color w:val="auto"/>
          <w:sz w:val="22"/>
          <w:szCs w:val="22"/>
        </w:rPr>
      </w:pPr>
      <w:hyperlink w:anchor="_Toc47524684" w:history="1">
        <w:r w:rsidR="009103DC" w:rsidRPr="008E63BB">
          <w:rPr>
            <w:rStyle w:val="Hyperlink"/>
            <w:color w:val="auto"/>
            <w:lang w:val="it-IT"/>
          </w:rPr>
          <w:t>4.3. Các chủ trương, chiến lược phát triển kinh tế xã hội của tỉnh Nam Định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_Toc47524684 \h </w:instrText>
        </w:r>
        <w:r w:rsidR="009103DC" w:rsidRPr="008E63BB">
          <w:rPr>
            <w:webHidden/>
            <w:color w:val="auto"/>
          </w:rPr>
        </w:r>
        <w:r w:rsidR="009103DC" w:rsidRPr="008E63BB">
          <w:rPr>
            <w:webHidden/>
            <w:color w:val="auto"/>
          </w:rPr>
          <w:fldChar w:fldCharType="separate"/>
        </w:r>
        <w:r w:rsidR="00E1321A">
          <w:rPr>
            <w:webHidden/>
            <w:color w:val="auto"/>
          </w:rPr>
          <w:t>85</w:t>
        </w:r>
        <w:r w:rsidR="009103DC" w:rsidRPr="008E63BB">
          <w:rPr>
            <w:webHidden/>
            <w:color w:val="auto"/>
          </w:rPr>
          <w:fldChar w:fldCharType="end"/>
        </w:r>
      </w:hyperlink>
    </w:p>
    <w:p w14:paraId="519B1CA4" w14:textId="77777777" w:rsidR="009103DC" w:rsidRPr="008E63BB" w:rsidRDefault="00E9609D">
      <w:pPr>
        <w:pStyle w:val="TOC2"/>
        <w:rPr>
          <w:rFonts w:asciiTheme="minorHAnsi" w:eastAsiaTheme="minorEastAsia" w:hAnsiTheme="minorHAnsi" w:cstheme="minorBidi"/>
          <w:color w:val="auto"/>
          <w:sz w:val="22"/>
          <w:szCs w:val="22"/>
        </w:rPr>
      </w:pPr>
      <w:hyperlink w:anchor="_Toc47524685" w:history="1">
        <w:r w:rsidR="009103DC" w:rsidRPr="008E63BB">
          <w:rPr>
            <w:rStyle w:val="Hyperlink"/>
            <w:color w:val="auto"/>
            <w:lang w:val="it-IT"/>
          </w:rPr>
          <w:t>4.4. Xây dựng tầm nhìn đến năm 2050</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_Toc47524685 \h </w:instrText>
        </w:r>
        <w:r w:rsidR="009103DC" w:rsidRPr="008E63BB">
          <w:rPr>
            <w:webHidden/>
            <w:color w:val="auto"/>
          </w:rPr>
        </w:r>
        <w:r w:rsidR="009103DC" w:rsidRPr="008E63BB">
          <w:rPr>
            <w:webHidden/>
            <w:color w:val="auto"/>
          </w:rPr>
          <w:fldChar w:fldCharType="separate"/>
        </w:r>
        <w:r w:rsidR="00E1321A">
          <w:rPr>
            <w:webHidden/>
            <w:color w:val="auto"/>
          </w:rPr>
          <w:t>87</w:t>
        </w:r>
        <w:r w:rsidR="009103DC" w:rsidRPr="008E63BB">
          <w:rPr>
            <w:webHidden/>
            <w:color w:val="auto"/>
          </w:rPr>
          <w:fldChar w:fldCharType="end"/>
        </w:r>
      </w:hyperlink>
    </w:p>
    <w:p w14:paraId="519B1CA5" w14:textId="77777777" w:rsidR="009103DC" w:rsidRPr="008E63BB" w:rsidRDefault="00E9609D">
      <w:pPr>
        <w:pStyle w:val="TOC2"/>
        <w:rPr>
          <w:rFonts w:asciiTheme="minorHAnsi" w:eastAsiaTheme="minorEastAsia" w:hAnsiTheme="minorHAnsi" w:cstheme="minorBidi"/>
          <w:color w:val="auto"/>
          <w:sz w:val="22"/>
          <w:szCs w:val="22"/>
        </w:rPr>
      </w:pPr>
      <w:hyperlink w:anchor="_Toc47524686" w:history="1">
        <w:r w:rsidR="009103DC" w:rsidRPr="008E63BB">
          <w:rPr>
            <w:rStyle w:val="Hyperlink"/>
            <w:color w:val="auto"/>
            <w:lang w:val="it-IT"/>
          </w:rPr>
          <w:t>4.5. Tính chất, chức năng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_Toc47524686 \h </w:instrText>
        </w:r>
        <w:r w:rsidR="009103DC" w:rsidRPr="008E63BB">
          <w:rPr>
            <w:webHidden/>
            <w:color w:val="auto"/>
          </w:rPr>
        </w:r>
        <w:r w:rsidR="009103DC" w:rsidRPr="008E63BB">
          <w:rPr>
            <w:webHidden/>
            <w:color w:val="auto"/>
          </w:rPr>
          <w:fldChar w:fldCharType="separate"/>
        </w:r>
        <w:r w:rsidR="00E1321A">
          <w:rPr>
            <w:webHidden/>
            <w:color w:val="auto"/>
          </w:rPr>
          <w:t>87</w:t>
        </w:r>
        <w:r w:rsidR="009103DC" w:rsidRPr="008E63BB">
          <w:rPr>
            <w:webHidden/>
            <w:color w:val="auto"/>
          </w:rPr>
          <w:fldChar w:fldCharType="end"/>
        </w:r>
      </w:hyperlink>
    </w:p>
    <w:p w14:paraId="519B1CA6" w14:textId="77777777" w:rsidR="009103DC" w:rsidRPr="008E63BB" w:rsidRDefault="00E9609D">
      <w:pPr>
        <w:pStyle w:val="TOC2"/>
        <w:rPr>
          <w:rFonts w:asciiTheme="minorHAnsi" w:eastAsiaTheme="minorEastAsia" w:hAnsiTheme="minorHAnsi" w:cstheme="minorBidi"/>
          <w:color w:val="auto"/>
          <w:sz w:val="22"/>
          <w:szCs w:val="22"/>
        </w:rPr>
      </w:pPr>
      <w:hyperlink w:anchor="_Toc47524687" w:history="1">
        <w:r w:rsidR="009103DC" w:rsidRPr="008E63BB">
          <w:rPr>
            <w:rStyle w:val="Hyperlink"/>
            <w:color w:val="auto"/>
            <w:lang w:val="it-IT"/>
          </w:rPr>
          <w:t>4.6. Các chiến lược phát triển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_Toc47524687 \h </w:instrText>
        </w:r>
        <w:r w:rsidR="009103DC" w:rsidRPr="008E63BB">
          <w:rPr>
            <w:webHidden/>
            <w:color w:val="auto"/>
          </w:rPr>
        </w:r>
        <w:r w:rsidR="009103DC" w:rsidRPr="008E63BB">
          <w:rPr>
            <w:webHidden/>
            <w:color w:val="auto"/>
          </w:rPr>
          <w:fldChar w:fldCharType="separate"/>
        </w:r>
        <w:r w:rsidR="00E1321A">
          <w:rPr>
            <w:webHidden/>
            <w:color w:val="auto"/>
          </w:rPr>
          <w:t>87</w:t>
        </w:r>
        <w:r w:rsidR="009103DC" w:rsidRPr="008E63BB">
          <w:rPr>
            <w:webHidden/>
            <w:color w:val="auto"/>
          </w:rPr>
          <w:fldChar w:fldCharType="end"/>
        </w:r>
      </w:hyperlink>
    </w:p>
    <w:p w14:paraId="519B1CA7" w14:textId="77777777" w:rsidR="009103DC" w:rsidRPr="008E63BB" w:rsidRDefault="00E9609D">
      <w:pPr>
        <w:pStyle w:val="TOC2"/>
        <w:rPr>
          <w:rFonts w:asciiTheme="minorHAnsi" w:eastAsiaTheme="minorEastAsia" w:hAnsiTheme="minorHAnsi" w:cstheme="minorBidi"/>
          <w:color w:val="auto"/>
          <w:sz w:val="22"/>
          <w:szCs w:val="22"/>
        </w:rPr>
      </w:pPr>
      <w:hyperlink w:anchor="_Toc47524688" w:history="1">
        <w:r w:rsidR="009103DC" w:rsidRPr="008E63BB">
          <w:rPr>
            <w:rStyle w:val="Hyperlink"/>
            <w:color w:val="auto"/>
            <w:lang w:val="it-IT"/>
          </w:rPr>
          <w:t>4.7. Các dự báo phát triển thành phố Nam Định đến năm 2040 và các chỉ tiêu kinh tế kỹ thuật: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_Toc47524688 \h </w:instrText>
        </w:r>
        <w:r w:rsidR="009103DC" w:rsidRPr="008E63BB">
          <w:rPr>
            <w:webHidden/>
            <w:color w:val="auto"/>
          </w:rPr>
        </w:r>
        <w:r w:rsidR="009103DC" w:rsidRPr="008E63BB">
          <w:rPr>
            <w:webHidden/>
            <w:color w:val="auto"/>
          </w:rPr>
          <w:fldChar w:fldCharType="separate"/>
        </w:r>
        <w:r w:rsidR="00E1321A">
          <w:rPr>
            <w:webHidden/>
            <w:color w:val="auto"/>
          </w:rPr>
          <w:t>93</w:t>
        </w:r>
        <w:r w:rsidR="009103DC" w:rsidRPr="008E63BB">
          <w:rPr>
            <w:webHidden/>
            <w:color w:val="auto"/>
          </w:rPr>
          <w:fldChar w:fldCharType="end"/>
        </w:r>
      </w:hyperlink>
    </w:p>
    <w:p w14:paraId="519B1CAC" w14:textId="77777777" w:rsidR="009103DC" w:rsidRPr="008E63BB" w:rsidRDefault="00E9609D">
      <w:pPr>
        <w:pStyle w:val="TOC1"/>
        <w:rPr>
          <w:rFonts w:asciiTheme="minorHAnsi" w:eastAsiaTheme="minorEastAsia" w:hAnsiTheme="minorHAnsi" w:cstheme="minorBidi"/>
          <w:noProof/>
          <w:sz w:val="22"/>
        </w:rPr>
      </w:pPr>
      <w:hyperlink w:anchor="_Toc47524693" w:history="1">
        <w:r w:rsidR="009103DC" w:rsidRPr="008E63BB">
          <w:rPr>
            <w:rStyle w:val="Hyperlink"/>
            <w:noProof/>
            <w:color w:val="auto"/>
            <w:lang w:val="vi-VN"/>
          </w:rPr>
          <w:t>V. PHẦN 5: ĐỊNH HƯỚNG PHÁT TRIỂN KHÔNG GIAN ĐÔ THỊ THÀNH PHỐ NAM ĐỊNH ĐẾN NĂM 2040</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_Toc47524693 \h </w:instrText>
        </w:r>
        <w:r w:rsidR="009103DC" w:rsidRPr="008E63BB">
          <w:rPr>
            <w:noProof/>
            <w:webHidden/>
          </w:rPr>
        </w:r>
        <w:r w:rsidR="009103DC" w:rsidRPr="008E63BB">
          <w:rPr>
            <w:noProof/>
            <w:webHidden/>
          </w:rPr>
          <w:fldChar w:fldCharType="separate"/>
        </w:r>
        <w:r w:rsidR="00E1321A">
          <w:rPr>
            <w:noProof/>
            <w:webHidden/>
          </w:rPr>
          <w:t>100</w:t>
        </w:r>
        <w:r w:rsidR="009103DC" w:rsidRPr="008E63BB">
          <w:rPr>
            <w:noProof/>
            <w:webHidden/>
          </w:rPr>
          <w:fldChar w:fldCharType="end"/>
        </w:r>
      </w:hyperlink>
    </w:p>
    <w:p w14:paraId="519B1CAD" w14:textId="77777777" w:rsidR="009103DC" w:rsidRPr="008E63BB" w:rsidRDefault="00E9609D">
      <w:pPr>
        <w:pStyle w:val="TOC2"/>
        <w:rPr>
          <w:rFonts w:asciiTheme="minorHAnsi" w:eastAsiaTheme="minorEastAsia" w:hAnsiTheme="minorHAnsi" w:cstheme="minorBidi"/>
          <w:color w:val="auto"/>
          <w:sz w:val="22"/>
          <w:szCs w:val="22"/>
        </w:rPr>
      </w:pPr>
      <w:hyperlink w:anchor="_Toc47524694" w:history="1">
        <w:r w:rsidR="009103DC" w:rsidRPr="008E63BB">
          <w:rPr>
            <w:rStyle w:val="Hyperlink"/>
            <w:color w:val="auto"/>
            <w:kern w:val="32"/>
            <w:lang w:val="vi-VN"/>
          </w:rPr>
          <w:t>5.1. Xây dựng cơ cấu phân khu chức năng</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_Toc47524694 \h </w:instrText>
        </w:r>
        <w:r w:rsidR="009103DC" w:rsidRPr="008E63BB">
          <w:rPr>
            <w:webHidden/>
            <w:color w:val="auto"/>
          </w:rPr>
        </w:r>
        <w:r w:rsidR="009103DC" w:rsidRPr="008E63BB">
          <w:rPr>
            <w:webHidden/>
            <w:color w:val="auto"/>
          </w:rPr>
          <w:fldChar w:fldCharType="separate"/>
        </w:r>
        <w:r w:rsidR="00E1321A">
          <w:rPr>
            <w:webHidden/>
            <w:color w:val="auto"/>
          </w:rPr>
          <w:t>100</w:t>
        </w:r>
        <w:r w:rsidR="009103DC" w:rsidRPr="008E63BB">
          <w:rPr>
            <w:webHidden/>
            <w:color w:val="auto"/>
          </w:rPr>
          <w:fldChar w:fldCharType="end"/>
        </w:r>
      </w:hyperlink>
    </w:p>
    <w:p w14:paraId="519B1CAE" w14:textId="77777777" w:rsidR="009103DC" w:rsidRPr="008E63BB" w:rsidRDefault="00E9609D">
      <w:pPr>
        <w:pStyle w:val="TOC2"/>
        <w:rPr>
          <w:rFonts w:asciiTheme="minorHAnsi" w:eastAsiaTheme="minorEastAsia" w:hAnsiTheme="minorHAnsi" w:cstheme="minorBidi"/>
          <w:color w:val="auto"/>
          <w:sz w:val="22"/>
          <w:szCs w:val="22"/>
        </w:rPr>
      </w:pPr>
      <w:hyperlink w:anchor="_Toc47524695" w:history="1">
        <w:r w:rsidR="009103DC" w:rsidRPr="008E63BB">
          <w:rPr>
            <w:rStyle w:val="Hyperlink"/>
            <w:color w:val="auto"/>
            <w:kern w:val="32"/>
            <w:lang w:val="pt-BR"/>
          </w:rPr>
          <w:t>5.2. Hướng phát triển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_Toc47524695 \h </w:instrText>
        </w:r>
        <w:r w:rsidR="009103DC" w:rsidRPr="008E63BB">
          <w:rPr>
            <w:webHidden/>
            <w:color w:val="auto"/>
          </w:rPr>
        </w:r>
        <w:r w:rsidR="009103DC" w:rsidRPr="008E63BB">
          <w:rPr>
            <w:webHidden/>
            <w:color w:val="auto"/>
          </w:rPr>
          <w:fldChar w:fldCharType="separate"/>
        </w:r>
        <w:r w:rsidR="00E1321A">
          <w:rPr>
            <w:webHidden/>
            <w:color w:val="auto"/>
          </w:rPr>
          <w:t>101</w:t>
        </w:r>
        <w:r w:rsidR="009103DC" w:rsidRPr="008E63BB">
          <w:rPr>
            <w:webHidden/>
            <w:color w:val="auto"/>
          </w:rPr>
          <w:fldChar w:fldCharType="end"/>
        </w:r>
      </w:hyperlink>
    </w:p>
    <w:p w14:paraId="519B1CAF" w14:textId="77777777" w:rsidR="009103DC" w:rsidRPr="008E63BB" w:rsidRDefault="00E9609D">
      <w:pPr>
        <w:pStyle w:val="TOC2"/>
        <w:rPr>
          <w:rFonts w:asciiTheme="minorHAnsi" w:eastAsiaTheme="minorEastAsia" w:hAnsiTheme="minorHAnsi" w:cstheme="minorBidi"/>
          <w:color w:val="auto"/>
          <w:sz w:val="22"/>
          <w:szCs w:val="22"/>
        </w:rPr>
      </w:pPr>
      <w:hyperlink w:anchor="_Toc47524696" w:history="1">
        <w:r w:rsidR="009103DC" w:rsidRPr="008E63BB">
          <w:rPr>
            <w:rStyle w:val="Hyperlink"/>
            <w:color w:val="auto"/>
            <w:kern w:val="32"/>
            <w:lang w:val="pt-BR"/>
          </w:rPr>
          <w:t>5.3. Phân vùng không gian kiểm soát phát triển</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_Toc47524696 \h </w:instrText>
        </w:r>
        <w:r w:rsidR="009103DC" w:rsidRPr="008E63BB">
          <w:rPr>
            <w:webHidden/>
            <w:color w:val="auto"/>
          </w:rPr>
        </w:r>
        <w:r w:rsidR="009103DC" w:rsidRPr="008E63BB">
          <w:rPr>
            <w:webHidden/>
            <w:color w:val="auto"/>
          </w:rPr>
          <w:fldChar w:fldCharType="separate"/>
        </w:r>
        <w:r w:rsidR="00E1321A">
          <w:rPr>
            <w:webHidden/>
            <w:color w:val="auto"/>
          </w:rPr>
          <w:t>102</w:t>
        </w:r>
        <w:r w:rsidR="009103DC" w:rsidRPr="008E63BB">
          <w:rPr>
            <w:webHidden/>
            <w:color w:val="auto"/>
          </w:rPr>
          <w:fldChar w:fldCharType="end"/>
        </w:r>
      </w:hyperlink>
    </w:p>
    <w:p w14:paraId="519B1CB0" w14:textId="77777777" w:rsidR="009103DC" w:rsidRPr="008E63BB" w:rsidRDefault="00E9609D">
      <w:pPr>
        <w:pStyle w:val="TOC2"/>
        <w:rPr>
          <w:rFonts w:asciiTheme="minorHAnsi" w:eastAsiaTheme="minorEastAsia" w:hAnsiTheme="minorHAnsi" w:cstheme="minorBidi"/>
          <w:color w:val="auto"/>
          <w:sz w:val="22"/>
          <w:szCs w:val="22"/>
        </w:rPr>
      </w:pPr>
      <w:hyperlink w:anchor="_Toc47524697" w:history="1">
        <w:r w:rsidR="009103DC" w:rsidRPr="008E63BB">
          <w:rPr>
            <w:rStyle w:val="Hyperlink"/>
            <w:color w:val="auto"/>
            <w:kern w:val="32"/>
            <w:lang w:val="vi-VN"/>
          </w:rPr>
          <w:t>5.</w:t>
        </w:r>
        <w:r w:rsidR="009103DC" w:rsidRPr="008E63BB">
          <w:rPr>
            <w:rStyle w:val="Hyperlink"/>
            <w:color w:val="auto"/>
            <w:kern w:val="32"/>
            <w:lang w:val="pt-BR"/>
          </w:rPr>
          <w:t>4</w:t>
        </w:r>
        <w:r w:rsidR="009103DC" w:rsidRPr="008E63BB">
          <w:rPr>
            <w:rStyle w:val="Hyperlink"/>
            <w:color w:val="auto"/>
            <w:kern w:val="32"/>
            <w:lang w:val="vi-VN"/>
          </w:rPr>
          <w:t xml:space="preserve">. </w:t>
        </w:r>
        <w:r w:rsidR="009103DC" w:rsidRPr="008E63BB">
          <w:rPr>
            <w:rStyle w:val="Hyperlink"/>
            <w:color w:val="auto"/>
            <w:kern w:val="32"/>
            <w:lang w:val="pt-BR"/>
          </w:rPr>
          <w:t>Định hướng phát triển các khu chức năng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_Toc47524697 \h </w:instrText>
        </w:r>
        <w:r w:rsidR="009103DC" w:rsidRPr="008E63BB">
          <w:rPr>
            <w:webHidden/>
            <w:color w:val="auto"/>
          </w:rPr>
        </w:r>
        <w:r w:rsidR="009103DC" w:rsidRPr="008E63BB">
          <w:rPr>
            <w:webHidden/>
            <w:color w:val="auto"/>
          </w:rPr>
          <w:fldChar w:fldCharType="separate"/>
        </w:r>
        <w:r w:rsidR="00E1321A">
          <w:rPr>
            <w:webHidden/>
            <w:color w:val="auto"/>
          </w:rPr>
          <w:t>103</w:t>
        </w:r>
        <w:r w:rsidR="009103DC" w:rsidRPr="008E63BB">
          <w:rPr>
            <w:webHidden/>
            <w:color w:val="auto"/>
          </w:rPr>
          <w:fldChar w:fldCharType="end"/>
        </w:r>
      </w:hyperlink>
    </w:p>
    <w:p w14:paraId="519B1CB8" w14:textId="77777777" w:rsidR="009103DC" w:rsidRPr="008E63BB" w:rsidRDefault="00E9609D">
      <w:pPr>
        <w:pStyle w:val="TOC2"/>
        <w:rPr>
          <w:rFonts w:asciiTheme="minorHAnsi" w:eastAsiaTheme="minorEastAsia" w:hAnsiTheme="minorHAnsi" w:cstheme="minorBidi"/>
          <w:color w:val="auto"/>
          <w:sz w:val="22"/>
          <w:szCs w:val="22"/>
        </w:rPr>
      </w:pPr>
      <w:hyperlink w:anchor="_Toc47524705" w:history="1">
        <w:r w:rsidR="009103DC" w:rsidRPr="008E63BB">
          <w:rPr>
            <w:rStyle w:val="Hyperlink"/>
            <w:color w:val="auto"/>
            <w:kern w:val="32"/>
            <w:lang w:val="vi-VN"/>
          </w:rPr>
          <w:t>5.5. Định hướng quy hoạch các khu vực phát triển</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_Toc47524705 \h </w:instrText>
        </w:r>
        <w:r w:rsidR="009103DC" w:rsidRPr="008E63BB">
          <w:rPr>
            <w:webHidden/>
            <w:color w:val="auto"/>
          </w:rPr>
        </w:r>
        <w:r w:rsidR="009103DC" w:rsidRPr="008E63BB">
          <w:rPr>
            <w:webHidden/>
            <w:color w:val="auto"/>
          </w:rPr>
          <w:fldChar w:fldCharType="separate"/>
        </w:r>
        <w:r w:rsidR="00E1321A">
          <w:rPr>
            <w:webHidden/>
            <w:color w:val="auto"/>
          </w:rPr>
          <w:t>112</w:t>
        </w:r>
        <w:r w:rsidR="009103DC" w:rsidRPr="008E63BB">
          <w:rPr>
            <w:webHidden/>
            <w:color w:val="auto"/>
          </w:rPr>
          <w:fldChar w:fldCharType="end"/>
        </w:r>
      </w:hyperlink>
    </w:p>
    <w:p w14:paraId="519B1CBB" w14:textId="77777777" w:rsidR="009103DC" w:rsidRPr="008E63BB" w:rsidRDefault="00E9609D">
      <w:pPr>
        <w:pStyle w:val="TOC2"/>
        <w:rPr>
          <w:rFonts w:asciiTheme="minorHAnsi" w:eastAsiaTheme="minorEastAsia" w:hAnsiTheme="minorHAnsi" w:cstheme="minorBidi"/>
          <w:color w:val="auto"/>
          <w:sz w:val="22"/>
          <w:szCs w:val="22"/>
        </w:rPr>
      </w:pPr>
      <w:hyperlink w:anchor="_Toc47524708" w:history="1">
        <w:r w:rsidR="009103DC" w:rsidRPr="008E63BB">
          <w:rPr>
            <w:rStyle w:val="Hyperlink"/>
            <w:color w:val="auto"/>
            <w:kern w:val="32"/>
            <w:lang w:val="vi-VN"/>
          </w:rPr>
          <w:t>5.</w:t>
        </w:r>
        <w:r w:rsidR="009103DC" w:rsidRPr="008E63BB">
          <w:rPr>
            <w:rStyle w:val="Hyperlink"/>
            <w:color w:val="auto"/>
            <w:kern w:val="32"/>
          </w:rPr>
          <w:t>6</w:t>
        </w:r>
        <w:r w:rsidR="009103DC" w:rsidRPr="008E63BB">
          <w:rPr>
            <w:rStyle w:val="Hyperlink"/>
            <w:color w:val="auto"/>
            <w:kern w:val="32"/>
            <w:lang w:val="vi-VN"/>
          </w:rPr>
          <w:t xml:space="preserve">. </w:t>
        </w:r>
        <w:r w:rsidR="009103DC" w:rsidRPr="008E63BB">
          <w:rPr>
            <w:rStyle w:val="Hyperlink"/>
            <w:color w:val="auto"/>
            <w:kern w:val="32"/>
            <w:lang w:val="pt-BR"/>
          </w:rPr>
          <w:t>Những định hướng điều chỉnh so với QHC2011</w:t>
        </w:r>
        <w:r w:rsidR="009103DC" w:rsidRPr="008E63BB">
          <w:rPr>
            <w:rStyle w:val="Hyperlink"/>
            <w:color w:val="auto"/>
            <w:kern w:val="32"/>
            <w:lang w:val="vi-VN"/>
          </w:rPr>
          <w: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_Toc47524708 \h </w:instrText>
        </w:r>
        <w:r w:rsidR="009103DC" w:rsidRPr="008E63BB">
          <w:rPr>
            <w:webHidden/>
            <w:color w:val="auto"/>
          </w:rPr>
        </w:r>
        <w:r w:rsidR="009103DC" w:rsidRPr="008E63BB">
          <w:rPr>
            <w:webHidden/>
            <w:color w:val="auto"/>
          </w:rPr>
          <w:fldChar w:fldCharType="separate"/>
        </w:r>
        <w:r w:rsidR="00E1321A">
          <w:rPr>
            <w:webHidden/>
            <w:color w:val="auto"/>
          </w:rPr>
          <w:t>123</w:t>
        </w:r>
        <w:r w:rsidR="009103DC" w:rsidRPr="008E63BB">
          <w:rPr>
            <w:webHidden/>
            <w:color w:val="auto"/>
          </w:rPr>
          <w:fldChar w:fldCharType="end"/>
        </w:r>
      </w:hyperlink>
    </w:p>
    <w:p w14:paraId="519B1CBC" w14:textId="77777777" w:rsidR="009103DC" w:rsidRPr="008E63BB" w:rsidRDefault="00E9609D">
      <w:pPr>
        <w:pStyle w:val="TOC2"/>
        <w:rPr>
          <w:rFonts w:asciiTheme="minorHAnsi" w:eastAsiaTheme="minorEastAsia" w:hAnsiTheme="minorHAnsi" w:cstheme="minorBidi"/>
          <w:color w:val="auto"/>
          <w:sz w:val="22"/>
          <w:szCs w:val="22"/>
        </w:rPr>
      </w:pPr>
      <w:hyperlink w:anchor="_Toc47524709" w:history="1">
        <w:r w:rsidR="009103DC" w:rsidRPr="008E63BB">
          <w:rPr>
            <w:rStyle w:val="Hyperlink"/>
            <w:color w:val="auto"/>
            <w:kern w:val="32"/>
            <w:lang w:val="vi-VN"/>
          </w:rPr>
          <w:t>5.7. Quy hoạch sử dụng đất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_Toc47524709 \h </w:instrText>
        </w:r>
        <w:r w:rsidR="009103DC" w:rsidRPr="008E63BB">
          <w:rPr>
            <w:webHidden/>
            <w:color w:val="auto"/>
          </w:rPr>
        </w:r>
        <w:r w:rsidR="009103DC" w:rsidRPr="008E63BB">
          <w:rPr>
            <w:webHidden/>
            <w:color w:val="auto"/>
          </w:rPr>
          <w:fldChar w:fldCharType="separate"/>
        </w:r>
        <w:r w:rsidR="00E1321A">
          <w:rPr>
            <w:webHidden/>
            <w:color w:val="auto"/>
          </w:rPr>
          <w:t>124</w:t>
        </w:r>
        <w:r w:rsidR="009103DC" w:rsidRPr="008E63BB">
          <w:rPr>
            <w:webHidden/>
            <w:color w:val="auto"/>
          </w:rPr>
          <w:fldChar w:fldCharType="end"/>
        </w:r>
      </w:hyperlink>
    </w:p>
    <w:p w14:paraId="519B1CC0" w14:textId="77777777" w:rsidR="009103DC" w:rsidRPr="008E63BB" w:rsidRDefault="00E9609D">
      <w:pPr>
        <w:pStyle w:val="TOC2"/>
        <w:rPr>
          <w:rFonts w:asciiTheme="minorHAnsi" w:eastAsiaTheme="minorEastAsia" w:hAnsiTheme="minorHAnsi" w:cstheme="minorBidi"/>
          <w:color w:val="auto"/>
          <w:sz w:val="22"/>
          <w:szCs w:val="22"/>
        </w:rPr>
      </w:pPr>
      <w:hyperlink w:anchor="_Toc47524713" w:history="1">
        <w:r w:rsidR="009103DC" w:rsidRPr="008E63BB">
          <w:rPr>
            <w:rStyle w:val="Hyperlink"/>
            <w:color w:val="auto"/>
            <w:kern w:val="32"/>
            <w:lang w:val="vi-VN"/>
          </w:rPr>
          <w:t>5.8. Tổ chức không gian và thiết kế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_Toc47524713 \h </w:instrText>
        </w:r>
        <w:r w:rsidR="009103DC" w:rsidRPr="008E63BB">
          <w:rPr>
            <w:webHidden/>
            <w:color w:val="auto"/>
          </w:rPr>
        </w:r>
        <w:r w:rsidR="009103DC" w:rsidRPr="008E63BB">
          <w:rPr>
            <w:webHidden/>
            <w:color w:val="auto"/>
          </w:rPr>
          <w:fldChar w:fldCharType="separate"/>
        </w:r>
        <w:r w:rsidR="00E1321A">
          <w:rPr>
            <w:webHidden/>
            <w:color w:val="auto"/>
          </w:rPr>
          <w:t>128</w:t>
        </w:r>
        <w:r w:rsidR="009103DC" w:rsidRPr="008E63BB">
          <w:rPr>
            <w:webHidden/>
            <w:color w:val="auto"/>
          </w:rPr>
          <w:fldChar w:fldCharType="end"/>
        </w:r>
      </w:hyperlink>
    </w:p>
    <w:p w14:paraId="519B1CC6" w14:textId="77777777" w:rsidR="009103DC" w:rsidRPr="008E63BB" w:rsidRDefault="00E9609D">
      <w:pPr>
        <w:pStyle w:val="TOC1"/>
        <w:rPr>
          <w:rFonts w:asciiTheme="minorHAnsi" w:eastAsiaTheme="minorEastAsia" w:hAnsiTheme="minorHAnsi" w:cstheme="minorBidi"/>
          <w:noProof/>
          <w:sz w:val="22"/>
        </w:rPr>
      </w:pPr>
      <w:hyperlink w:anchor="_Toc47524719" w:history="1">
        <w:r w:rsidR="009103DC" w:rsidRPr="008E63BB">
          <w:rPr>
            <w:rStyle w:val="Hyperlink"/>
            <w:noProof/>
            <w:color w:val="auto"/>
            <w:lang w:val="vi-VN"/>
          </w:rPr>
          <w:t>VI. PHẦN 6: ĐỊNH HƯỚNG QUY HOẠCH HỆ THỐNG HẠ TẦNG KỸ THUẬT THÀNH PHỐ NAM ĐỊNH ĐẾN NĂM 2040</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_Toc47524719 \h </w:instrText>
        </w:r>
        <w:r w:rsidR="009103DC" w:rsidRPr="008E63BB">
          <w:rPr>
            <w:noProof/>
            <w:webHidden/>
          </w:rPr>
        </w:r>
        <w:r w:rsidR="009103DC" w:rsidRPr="008E63BB">
          <w:rPr>
            <w:noProof/>
            <w:webHidden/>
          </w:rPr>
          <w:fldChar w:fldCharType="separate"/>
        </w:r>
        <w:r w:rsidR="00E1321A">
          <w:rPr>
            <w:noProof/>
            <w:webHidden/>
          </w:rPr>
          <w:t>139</w:t>
        </w:r>
        <w:r w:rsidR="009103DC" w:rsidRPr="008E63BB">
          <w:rPr>
            <w:noProof/>
            <w:webHidden/>
          </w:rPr>
          <w:fldChar w:fldCharType="end"/>
        </w:r>
      </w:hyperlink>
    </w:p>
    <w:p w14:paraId="519B1CC7" w14:textId="77777777" w:rsidR="009103DC" w:rsidRPr="008E63BB" w:rsidRDefault="00E9609D">
      <w:pPr>
        <w:pStyle w:val="TOC2"/>
        <w:rPr>
          <w:rFonts w:asciiTheme="minorHAnsi" w:eastAsiaTheme="minorEastAsia" w:hAnsiTheme="minorHAnsi" w:cstheme="minorBidi"/>
          <w:color w:val="auto"/>
          <w:sz w:val="22"/>
          <w:szCs w:val="22"/>
        </w:rPr>
      </w:pPr>
      <w:hyperlink w:anchor="_Toc47524720" w:history="1">
        <w:r w:rsidR="009103DC" w:rsidRPr="008E63BB">
          <w:rPr>
            <w:rStyle w:val="Hyperlink"/>
            <w:color w:val="auto"/>
            <w:kern w:val="32"/>
            <w:lang w:val="vi-VN"/>
          </w:rPr>
          <w:t>6.1. Định hướng quy hoạch giao thông</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_Toc47524720 \h </w:instrText>
        </w:r>
        <w:r w:rsidR="009103DC" w:rsidRPr="008E63BB">
          <w:rPr>
            <w:webHidden/>
            <w:color w:val="auto"/>
          </w:rPr>
        </w:r>
        <w:r w:rsidR="009103DC" w:rsidRPr="008E63BB">
          <w:rPr>
            <w:webHidden/>
            <w:color w:val="auto"/>
          </w:rPr>
          <w:fldChar w:fldCharType="separate"/>
        </w:r>
        <w:r w:rsidR="00E1321A">
          <w:rPr>
            <w:webHidden/>
            <w:color w:val="auto"/>
          </w:rPr>
          <w:t>139</w:t>
        </w:r>
        <w:r w:rsidR="009103DC" w:rsidRPr="008E63BB">
          <w:rPr>
            <w:webHidden/>
            <w:color w:val="auto"/>
          </w:rPr>
          <w:fldChar w:fldCharType="end"/>
        </w:r>
      </w:hyperlink>
    </w:p>
    <w:p w14:paraId="519B1CC8" w14:textId="77777777" w:rsidR="009103DC" w:rsidRPr="008E63BB" w:rsidRDefault="00E9609D">
      <w:pPr>
        <w:pStyle w:val="TOC2"/>
        <w:rPr>
          <w:rFonts w:asciiTheme="minorHAnsi" w:eastAsiaTheme="minorEastAsia" w:hAnsiTheme="minorHAnsi" w:cstheme="minorBidi"/>
          <w:color w:val="auto"/>
          <w:sz w:val="22"/>
          <w:szCs w:val="22"/>
        </w:rPr>
      </w:pPr>
      <w:hyperlink w:anchor="_Toc47524721" w:history="1">
        <w:r w:rsidR="009103DC" w:rsidRPr="008E63BB">
          <w:rPr>
            <w:rStyle w:val="Hyperlink"/>
            <w:color w:val="auto"/>
            <w:kern w:val="32"/>
            <w:lang w:val="nb-NO"/>
          </w:rPr>
          <w:t>6</w:t>
        </w:r>
        <w:r w:rsidR="009103DC" w:rsidRPr="008E63BB">
          <w:rPr>
            <w:rStyle w:val="Hyperlink"/>
            <w:color w:val="auto"/>
            <w:kern w:val="32"/>
            <w:lang w:val="vi-VN"/>
          </w:rPr>
          <w:t>.2. Định hướng cao độ nền, thoát nước mưa</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_Toc47524721 \h </w:instrText>
        </w:r>
        <w:r w:rsidR="009103DC" w:rsidRPr="008E63BB">
          <w:rPr>
            <w:webHidden/>
            <w:color w:val="auto"/>
          </w:rPr>
        </w:r>
        <w:r w:rsidR="009103DC" w:rsidRPr="008E63BB">
          <w:rPr>
            <w:webHidden/>
            <w:color w:val="auto"/>
          </w:rPr>
          <w:fldChar w:fldCharType="separate"/>
        </w:r>
        <w:r w:rsidR="00E1321A">
          <w:rPr>
            <w:webHidden/>
            <w:color w:val="auto"/>
          </w:rPr>
          <w:t>146</w:t>
        </w:r>
        <w:r w:rsidR="009103DC" w:rsidRPr="008E63BB">
          <w:rPr>
            <w:webHidden/>
            <w:color w:val="auto"/>
          </w:rPr>
          <w:fldChar w:fldCharType="end"/>
        </w:r>
      </w:hyperlink>
    </w:p>
    <w:p w14:paraId="519B1CC9" w14:textId="77777777" w:rsidR="009103DC" w:rsidRPr="008E63BB" w:rsidRDefault="00E9609D">
      <w:pPr>
        <w:pStyle w:val="TOC2"/>
        <w:rPr>
          <w:rFonts w:asciiTheme="minorHAnsi" w:eastAsiaTheme="minorEastAsia" w:hAnsiTheme="minorHAnsi" w:cstheme="minorBidi"/>
          <w:color w:val="auto"/>
          <w:sz w:val="22"/>
          <w:szCs w:val="22"/>
        </w:rPr>
      </w:pPr>
      <w:hyperlink w:anchor="_Toc47524722" w:history="1">
        <w:r w:rsidR="009103DC" w:rsidRPr="008E63BB">
          <w:rPr>
            <w:rStyle w:val="Hyperlink"/>
            <w:color w:val="auto"/>
            <w:kern w:val="32"/>
            <w:lang w:val="pt-BR"/>
          </w:rPr>
          <w:t>6</w:t>
        </w:r>
        <w:r w:rsidR="009103DC" w:rsidRPr="008E63BB">
          <w:rPr>
            <w:rStyle w:val="Hyperlink"/>
            <w:color w:val="auto"/>
            <w:kern w:val="32"/>
            <w:lang w:val="vi-VN"/>
          </w:rPr>
          <w:t>.3. Định hướng cấp nước</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_Toc47524722 \h </w:instrText>
        </w:r>
        <w:r w:rsidR="009103DC" w:rsidRPr="008E63BB">
          <w:rPr>
            <w:webHidden/>
            <w:color w:val="auto"/>
          </w:rPr>
        </w:r>
        <w:r w:rsidR="009103DC" w:rsidRPr="008E63BB">
          <w:rPr>
            <w:webHidden/>
            <w:color w:val="auto"/>
          </w:rPr>
          <w:fldChar w:fldCharType="separate"/>
        </w:r>
        <w:r w:rsidR="00E1321A">
          <w:rPr>
            <w:webHidden/>
            <w:color w:val="auto"/>
          </w:rPr>
          <w:t>153</w:t>
        </w:r>
        <w:r w:rsidR="009103DC" w:rsidRPr="008E63BB">
          <w:rPr>
            <w:webHidden/>
            <w:color w:val="auto"/>
          </w:rPr>
          <w:fldChar w:fldCharType="end"/>
        </w:r>
      </w:hyperlink>
    </w:p>
    <w:p w14:paraId="519B1CCA" w14:textId="77777777" w:rsidR="009103DC" w:rsidRPr="008E63BB" w:rsidRDefault="00E9609D">
      <w:pPr>
        <w:pStyle w:val="TOC2"/>
        <w:rPr>
          <w:rFonts w:asciiTheme="minorHAnsi" w:eastAsiaTheme="minorEastAsia" w:hAnsiTheme="minorHAnsi" w:cstheme="minorBidi"/>
          <w:color w:val="auto"/>
          <w:sz w:val="22"/>
          <w:szCs w:val="22"/>
        </w:rPr>
      </w:pPr>
      <w:hyperlink w:anchor="_Toc47524723" w:history="1">
        <w:r w:rsidR="009103DC" w:rsidRPr="008E63BB">
          <w:rPr>
            <w:rStyle w:val="Hyperlink"/>
            <w:color w:val="auto"/>
            <w:kern w:val="32"/>
            <w:lang w:val="vi-VN"/>
          </w:rPr>
          <w:t>6.4. Định hướng cấp điện</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_Toc47524723 \h </w:instrText>
        </w:r>
        <w:r w:rsidR="009103DC" w:rsidRPr="008E63BB">
          <w:rPr>
            <w:webHidden/>
            <w:color w:val="auto"/>
          </w:rPr>
        </w:r>
        <w:r w:rsidR="009103DC" w:rsidRPr="008E63BB">
          <w:rPr>
            <w:webHidden/>
            <w:color w:val="auto"/>
          </w:rPr>
          <w:fldChar w:fldCharType="separate"/>
        </w:r>
        <w:r w:rsidR="00E1321A">
          <w:rPr>
            <w:webHidden/>
            <w:color w:val="auto"/>
          </w:rPr>
          <w:t>159</w:t>
        </w:r>
        <w:r w:rsidR="009103DC" w:rsidRPr="008E63BB">
          <w:rPr>
            <w:webHidden/>
            <w:color w:val="auto"/>
          </w:rPr>
          <w:fldChar w:fldCharType="end"/>
        </w:r>
      </w:hyperlink>
    </w:p>
    <w:p w14:paraId="519B1CCB" w14:textId="77777777" w:rsidR="009103DC" w:rsidRPr="008E63BB" w:rsidRDefault="00E9609D">
      <w:pPr>
        <w:pStyle w:val="TOC2"/>
        <w:rPr>
          <w:rFonts w:asciiTheme="minorHAnsi" w:eastAsiaTheme="minorEastAsia" w:hAnsiTheme="minorHAnsi" w:cstheme="minorBidi"/>
          <w:color w:val="auto"/>
          <w:sz w:val="22"/>
          <w:szCs w:val="22"/>
        </w:rPr>
      </w:pPr>
      <w:hyperlink w:anchor="_Toc47524724" w:history="1">
        <w:r w:rsidR="009103DC" w:rsidRPr="008E63BB">
          <w:rPr>
            <w:rStyle w:val="Hyperlink"/>
            <w:color w:val="auto"/>
            <w:kern w:val="32"/>
          </w:rPr>
          <w:t>6</w:t>
        </w:r>
        <w:r w:rsidR="009103DC" w:rsidRPr="008E63BB">
          <w:rPr>
            <w:rStyle w:val="Hyperlink"/>
            <w:color w:val="auto"/>
            <w:kern w:val="32"/>
            <w:lang w:val="vi-VN"/>
          </w:rPr>
          <w:t>.5. Định hướngthoát nước thải, quản lý chất thải rắn và nghĩa trang</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_Toc47524724 \h </w:instrText>
        </w:r>
        <w:r w:rsidR="009103DC" w:rsidRPr="008E63BB">
          <w:rPr>
            <w:webHidden/>
            <w:color w:val="auto"/>
          </w:rPr>
        </w:r>
        <w:r w:rsidR="009103DC" w:rsidRPr="008E63BB">
          <w:rPr>
            <w:webHidden/>
            <w:color w:val="auto"/>
          </w:rPr>
          <w:fldChar w:fldCharType="separate"/>
        </w:r>
        <w:r w:rsidR="00E1321A">
          <w:rPr>
            <w:webHidden/>
            <w:color w:val="auto"/>
          </w:rPr>
          <w:t>161</w:t>
        </w:r>
        <w:r w:rsidR="009103DC" w:rsidRPr="008E63BB">
          <w:rPr>
            <w:webHidden/>
            <w:color w:val="auto"/>
          </w:rPr>
          <w:fldChar w:fldCharType="end"/>
        </w:r>
      </w:hyperlink>
    </w:p>
    <w:p w14:paraId="519B1CCC" w14:textId="77777777" w:rsidR="009103DC" w:rsidRPr="008E63BB" w:rsidRDefault="00E9609D">
      <w:pPr>
        <w:pStyle w:val="TOC2"/>
        <w:rPr>
          <w:rFonts w:asciiTheme="minorHAnsi" w:eastAsiaTheme="minorEastAsia" w:hAnsiTheme="minorHAnsi" w:cstheme="minorBidi"/>
          <w:color w:val="auto"/>
          <w:sz w:val="22"/>
          <w:szCs w:val="22"/>
        </w:rPr>
      </w:pPr>
      <w:hyperlink w:anchor="_Toc47524725" w:history="1">
        <w:r w:rsidR="009103DC" w:rsidRPr="008E63BB">
          <w:rPr>
            <w:rStyle w:val="Hyperlink"/>
            <w:color w:val="auto"/>
            <w:kern w:val="32"/>
            <w:lang w:val="pt-BR"/>
          </w:rPr>
          <w:t>6</w:t>
        </w:r>
        <w:r w:rsidR="009103DC" w:rsidRPr="008E63BB">
          <w:rPr>
            <w:rStyle w:val="Hyperlink"/>
            <w:color w:val="auto"/>
            <w:kern w:val="32"/>
            <w:lang w:val="vi-VN"/>
          </w:rPr>
          <w:t>.6. Định hướng phát triển hệ thống thông tin liên lạc</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_Toc47524725 \h </w:instrText>
        </w:r>
        <w:r w:rsidR="009103DC" w:rsidRPr="008E63BB">
          <w:rPr>
            <w:webHidden/>
            <w:color w:val="auto"/>
          </w:rPr>
        </w:r>
        <w:r w:rsidR="009103DC" w:rsidRPr="008E63BB">
          <w:rPr>
            <w:webHidden/>
            <w:color w:val="auto"/>
          </w:rPr>
          <w:fldChar w:fldCharType="separate"/>
        </w:r>
        <w:r w:rsidR="00E1321A">
          <w:rPr>
            <w:webHidden/>
            <w:color w:val="auto"/>
          </w:rPr>
          <w:t>164</w:t>
        </w:r>
        <w:r w:rsidR="009103DC" w:rsidRPr="008E63BB">
          <w:rPr>
            <w:webHidden/>
            <w:color w:val="auto"/>
          </w:rPr>
          <w:fldChar w:fldCharType="end"/>
        </w:r>
      </w:hyperlink>
    </w:p>
    <w:p w14:paraId="519B1CCD" w14:textId="77777777" w:rsidR="009103DC" w:rsidRPr="008E63BB" w:rsidRDefault="00E9609D">
      <w:pPr>
        <w:pStyle w:val="TOC2"/>
        <w:rPr>
          <w:rFonts w:asciiTheme="minorHAnsi" w:eastAsiaTheme="minorEastAsia" w:hAnsiTheme="minorHAnsi" w:cstheme="minorBidi"/>
          <w:color w:val="auto"/>
          <w:sz w:val="22"/>
          <w:szCs w:val="22"/>
        </w:rPr>
      </w:pPr>
      <w:hyperlink w:anchor="_Toc47524726" w:history="1">
        <w:r w:rsidR="009103DC" w:rsidRPr="008E63BB">
          <w:rPr>
            <w:rStyle w:val="Hyperlink"/>
            <w:color w:val="auto"/>
            <w:kern w:val="32"/>
            <w:lang w:val="pt-BR"/>
          </w:rPr>
          <w:t>6</w:t>
        </w:r>
        <w:r w:rsidR="009103DC" w:rsidRPr="008E63BB">
          <w:rPr>
            <w:rStyle w:val="Hyperlink"/>
            <w:color w:val="auto"/>
            <w:kern w:val="32"/>
            <w:lang w:val="vi-VN"/>
          </w:rPr>
          <w:t>.</w:t>
        </w:r>
        <w:r w:rsidR="009103DC" w:rsidRPr="008E63BB">
          <w:rPr>
            <w:rStyle w:val="Hyperlink"/>
            <w:color w:val="auto"/>
            <w:kern w:val="32"/>
            <w:lang w:val="pt-BR"/>
          </w:rPr>
          <w:t>7</w:t>
        </w:r>
        <w:r w:rsidR="009103DC" w:rsidRPr="008E63BB">
          <w:rPr>
            <w:rStyle w:val="Hyperlink"/>
            <w:color w:val="auto"/>
            <w:kern w:val="32"/>
            <w:lang w:val="vi-VN"/>
          </w:rPr>
          <w:t xml:space="preserve">. Định hướng </w:t>
        </w:r>
        <w:r w:rsidR="009103DC" w:rsidRPr="008E63BB">
          <w:rPr>
            <w:rStyle w:val="Hyperlink"/>
            <w:color w:val="auto"/>
            <w:kern w:val="32"/>
            <w:lang w:val="pt-BR"/>
          </w:rPr>
          <w:t>quy hoạch không gian, hạ tầng kỹ thuật ngầm</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_Toc47524726 \h </w:instrText>
        </w:r>
        <w:r w:rsidR="009103DC" w:rsidRPr="008E63BB">
          <w:rPr>
            <w:webHidden/>
            <w:color w:val="auto"/>
          </w:rPr>
        </w:r>
        <w:r w:rsidR="009103DC" w:rsidRPr="008E63BB">
          <w:rPr>
            <w:webHidden/>
            <w:color w:val="auto"/>
          </w:rPr>
          <w:fldChar w:fldCharType="separate"/>
        </w:r>
        <w:r w:rsidR="00E1321A">
          <w:rPr>
            <w:webHidden/>
            <w:color w:val="auto"/>
          </w:rPr>
          <w:t>165</w:t>
        </w:r>
        <w:r w:rsidR="009103DC" w:rsidRPr="008E63BB">
          <w:rPr>
            <w:webHidden/>
            <w:color w:val="auto"/>
          </w:rPr>
          <w:fldChar w:fldCharType="end"/>
        </w:r>
      </w:hyperlink>
    </w:p>
    <w:p w14:paraId="519B1CCE" w14:textId="77777777" w:rsidR="009103DC" w:rsidRPr="008E63BB" w:rsidRDefault="00E9609D">
      <w:pPr>
        <w:pStyle w:val="TOC1"/>
        <w:rPr>
          <w:rFonts w:asciiTheme="minorHAnsi" w:eastAsiaTheme="minorEastAsia" w:hAnsiTheme="minorHAnsi" w:cstheme="minorBidi"/>
          <w:noProof/>
          <w:sz w:val="22"/>
        </w:rPr>
      </w:pPr>
      <w:hyperlink w:anchor="_Toc47524727" w:history="1">
        <w:r w:rsidR="009103DC" w:rsidRPr="008E63BB">
          <w:rPr>
            <w:rStyle w:val="Hyperlink"/>
            <w:noProof/>
            <w:color w:val="auto"/>
            <w:lang w:val="vi-VN"/>
          </w:rPr>
          <w:t>V</w:t>
        </w:r>
        <w:r w:rsidR="009103DC" w:rsidRPr="008E63BB">
          <w:rPr>
            <w:rStyle w:val="Hyperlink"/>
            <w:noProof/>
            <w:color w:val="auto"/>
            <w:lang w:val="pt-BR"/>
          </w:rPr>
          <w:t>II</w:t>
        </w:r>
        <w:r w:rsidR="009103DC" w:rsidRPr="008E63BB">
          <w:rPr>
            <w:rStyle w:val="Hyperlink"/>
            <w:noProof/>
            <w:color w:val="auto"/>
            <w:lang w:val="vi-VN"/>
          </w:rPr>
          <w:t xml:space="preserve">. PHẦN </w:t>
        </w:r>
        <w:r w:rsidR="009103DC" w:rsidRPr="008E63BB">
          <w:rPr>
            <w:rStyle w:val="Hyperlink"/>
            <w:noProof/>
            <w:color w:val="auto"/>
            <w:lang w:val="pt-BR"/>
          </w:rPr>
          <w:t>7</w:t>
        </w:r>
        <w:r w:rsidR="009103DC" w:rsidRPr="008E63BB">
          <w:rPr>
            <w:rStyle w:val="Hyperlink"/>
            <w:noProof/>
            <w:color w:val="auto"/>
            <w:lang w:val="vi-VN"/>
          </w:rPr>
          <w:t xml:space="preserve">: </w:t>
        </w:r>
        <w:r w:rsidR="009103DC" w:rsidRPr="008E63BB">
          <w:rPr>
            <w:rStyle w:val="Hyperlink"/>
            <w:noProof/>
            <w:color w:val="auto"/>
            <w:lang w:val="pt-BR"/>
          </w:rPr>
          <w:t>QUY HOẠCH XÂY DỰNG ĐỢT ĐẦU (ĐẾN NĂM 2030)</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_Toc47524727 \h </w:instrText>
        </w:r>
        <w:r w:rsidR="009103DC" w:rsidRPr="008E63BB">
          <w:rPr>
            <w:noProof/>
            <w:webHidden/>
          </w:rPr>
        </w:r>
        <w:r w:rsidR="009103DC" w:rsidRPr="008E63BB">
          <w:rPr>
            <w:noProof/>
            <w:webHidden/>
          </w:rPr>
          <w:fldChar w:fldCharType="separate"/>
        </w:r>
        <w:r w:rsidR="00E1321A">
          <w:rPr>
            <w:noProof/>
            <w:webHidden/>
          </w:rPr>
          <w:t>168</w:t>
        </w:r>
        <w:r w:rsidR="009103DC" w:rsidRPr="008E63BB">
          <w:rPr>
            <w:noProof/>
            <w:webHidden/>
          </w:rPr>
          <w:fldChar w:fldCharType="end"/>
        </w:r>
      </w:hyperlink>
    </w:p>
    <w:p w14:paraId="519B1CCF" w14:textId="77777777" w:rsidR="009103DC" w:rsidRPr="008E63BB" w:rsidRDefault="00E9609D">
      <w:pPr>
        <w:pStyle w:val="TOC2"/>
        <w:rPr>
          <w:rFonts w:asciiTheme="minorHAnsi" w:eastAsiaTheme="minorEastAsia" w:hAnsiTheme="minorHAnsi" w:cstheme="minorBidi"/>
          <w:color w:val="auto"/>
          <w:sz w:val="22"/>
          <w:szCs w:val="22"/>
        </w:rPr>
      </w:pPr>
      <w:hyperlink w:anchor="_Toc47524728" w:history="1">
        <w:r w:rsidR="009103DC" w:rsidRPr="008E63BB">
          <w:rPr>
            <w:rStyle w:val="Hyperlink"/>
            <w:color w:val="auto"/>
            <w:kern w:val="32"/>
            <w:lang w:val="pt-BR"/>
          </w:rPr>
          <w:t>7</w:t>
        </w:r>
        <w:r w:rsidR="009103DC" w:rsidRPr="008E63BB">
          <w:rPr>
            <w:rStyle w:val="Hyperlink"/>
            <w:color w:val="auto"/>
            <w:kern w:val="32"/>
            <w:lang w:val="vi-VN"/>
          </w:rPr>
          <w:t xml:space="preserve">.1. </w:t>
        </w:r>
        <w:r w:rsidR="009103DC" w:rsidRPr="008E63BB">
          <w:rPr>
            <w:rStyle w:val="Hyperlink"/>
            <w:color w:val="auto"/>
            <w:kern w:val="32"/>
            <w:lang w:val="pt-BR"/>
          </w:rPr>
          <w:t>Dự kiến đ</w:t>
        </w:r>
        <w:r w:rsidR="009103DC" w:rsidRPr="008E63BB">
          <w:rPr>
            <w:rStyle w:val="Hyperlink"/>
            <w:color w:val="auto"/>
            <w:kern w:val="32"/>
            <w:lang w:val="vi-VN"/>
          </w:rPr>
          <w:t>iều chỉnh ranh giới nội ngoại thành</w:t>
        </w:r>
        <w:r w:rsidR="009103DC" w:rsidRPr="008E63BB">
          <w:rPr>
            <w:rStyle w:val="Hyperlink"/>
            <w:color w:val="auto"/>
            <w:kern w:val="32"/>
            <w:lang w:val="pt-BR"/>
          </w:rPr>
          <w:t xml:space="preserve"> và Quy hoạch sử dụng đất đợt đầu</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_Toc47524728 \h </w:instrText>
        </w:r>
        <w:r w:rsidR="009103DC" w:rsidRPr="008E63BB">
          <w:rPr>
            <w:webHidden/>
            <w:color w:val="auto"/>
          </w:rPr>
        </w:r>
        <w:r w:rsidR="009103DC" w:rsidRPr="008E63BB">
          <w:rPr>
            <w:webHidden/>
            <w:color w:val="auto"/>
          </w:rPr>
          <w:fldChar w:fldCharType="separate"/>
        </w:r>
        <w:r w:rsidR="00E1321A">
          <w:rPr>
            <w:webHidden/>
            <w:color w:val="auto"/>
          </w:rPr>
          <w:t>168</w:t>
        </w:r>
        <w:r w:rsidR="009103DC" w:rsidRPr="008E63BB">
          <w:rPr>
            <w:webHidden/>
            <w:color w:val="auto"/>
          </w:rPr>
          <w:fldChar w:fldCharType="end"/>
        </w:r>
      </w:hyperlink>
    </w:p>
    <w:p w14:paraId="519B1CD2" w14:textId="77777777" w:rsidR="009103DC" w:rsidRPr="008E63BB" w:rsidRDefault="00E9609D">
      <w:pPr>
        <w:pStyle w:val="TOC2"/>
        <w:rPr>
          <w:rFonts w:asciiTheme="minorHAnsi" w:eastAsiaTheme="minorEastAsia" w:hAnsiTheme="minorHAnsi" w:cstheme="minorBidi"/>
          <w:color w:val="auto"/>
          <w:sz w:val="22"/>
          <w:szCs w:val="22"/>
        </w:rPr>
      </w:pPr>
      <w:hyperlink w:anchor="_Toc47524731" w:history="1">
        <w:r w:rsidR="009103DC" w:rsidRPr="008E63BB">
          <w:rPr>
            <w:rStyle w:val="Hyperlink"/>
            <w:color w:val="auto"/>
            <w:kern w:val="32"/>
          </w:rPr>
          <w:t>7</w:t>
        </w:r>
        <w:r w:rsidR="009103DC" w:rsidRPr="008E63BB">
          <w:rPr>
            <w:rStyle w:val="Hyperlink"/>
            <w:color w:val="auto"/>
            <w:kern w:val="32"/>
            <w:lang w:val="vi-VN"/>
          </w:rPr>
          <w:t xml:space="preserve">.2. </w:t>
        </w:r>
        <w:r w:rsidR="009103DC" w:rsidRPr="008E63BB">
          <w:rPr>
            <w:rStyle w:val="Hyperlink"/>
            <w:color w:val="auto"/>
            <w:kern w:val="32"/>
          </w:rPr>
          <w:t>So sánh với QHC 2011</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_Toc47524731 \h </w:instrText>
        </w:r>
        <w:r w:rsidR="009103DC" w:rsidRPr="008E63BB">
          <w:rPr>
            <w:webHidden/>
            <w:color w:val="auto"/>
          </w:rPr>
        </w:r>
        <w:r w:rsidR="009103DC" w:rsidRPr="008E63BB">
          <w:rPr>
            <w:webHidden/>
            <w:color w:val="auto"/>
          </w:rPr>
          <w:fldChar w:fldCharType="separate"/>
        </w:r>
        <w:r w:rsidR="00E1321A">
          <w:rPr>
            <w:webHidden/>
            <w:color w:val="auto"/>
          </w:rPr>
          <w:t>171</w:t>
        </w:r>
        <w:r w:rsidR="009103DC" w:rsidRPr="008E63BB">
          <w:rPr>
            <w:webHidden/>
            <w:color w:val="auto"/>
          </w:rPr>
          <w:fldChar w:fldCharType="end"/>
        </w:r>
      </w:hyperlink>
    </w:p>
    <w:p w14:paraId="519B1CD3" w14:textId="77777777" w:rsidR="009103DC" w:rsidRPr="008E63BB" w:rsidRDefault="00E9609D">
      <w:pPr>
        <w:pStyle w:val="TOC2"/>
        <w:rPr>
          <w:rFonts w:asciiTheme="minorHAnsi" w:eastAsiaTheme="minorEastAsia" w:hAnsiTheme="minorHAnsi" w:cstheme="minorBidi"/>
          <w:color w:val="auto"/>
          <w:sz w:val="22"/>
          <w:szCs w:val="22"/>
        </w:rPr>
      </w:pPr>
      <w:hyperlink w:anchor="_Toc47524732" w:history="1">
        <w:r w:rsidR="009103DC" w:rsidRPr="008E63BB">
          <w:rPr>
            <w:rStyle w:val="Hyperlink"/>
            <w:color w:val="auto"/>
            <w:kern w:val="32"/>
          </w:rPr>
          <w:t>7</w:t>
        </w:r>
        <w:r w:rsidR="009103DC" w:rsidRPr="008E63BB">
          <w:rPr>
            <w:rStyle w:val="Hyperlink"/>
            <w:color w:val="auto"/>
            <w:kern w:val="32"/>
            <w:lang w:val="vi-VN"/>
          </w:rPr>
          <w:t>.</w:t>
        </w:r>
        <w:r w:rsidR="009103DC" w:rsidRPr="008E63BB">
          <w:rPr>
            <w:rStyle w:val="Hyperlink"/>
            <w:color w:val="auto"/>
            <w:kern w:val="32"/>
          </w:rPr>
          <w:t>3</w:t>
        </w:r>
        <w:r w:rsidR="009103DC" w:rsidRPr="008E63BB">
          <w:rPr>
            <w:rStyle w:val="Hyperlink"/>
            <w:color w:val="auto"/>
            <w:kern w:val="32"/>
            <w:lang w:val="vi-VN"/>
          </w:rPr>
          <w:t>. Quy hoạch hạ tầng kỹ thuật</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_Toc47524732 \h </w:instrText>
        </w:r>
        <w:r w:rsidR="009103DC" w:rsidRPr="008E63BB">
          <w:rPr>
            <w:webHidden/>
            <w:color w:val="auto"/>
          </w:rPr>
        </w:r>
        <w:r w:rsidR="009103DC" w:rsidRPr="008E63BB">
          <w:rPr>
            <w:webHidden/>
            <w:color w:val="auto"/>
          </w:rPr>
          <w:fldChar w:fldCharType="separate"/>
        </w:r>
        <w:r w:rsidR="00E1321A">
          <w:rPr>
            <w:webHidden/>
            <w:color w:val="auto"/>
          </w:rPr>
          <w:t>171</w:t>
        </w:r>
        <w:r w:rsidR="009103DC" w:rsidRPr="008E63BB">
          <w:rPr>
            <w:webHidden/>
            <w:color w:val="auto"/>
          </w:rPr>
          <w:fldChar w:fldCharType="end"/>
        </w:r>
      </w:hyperlink>
    </w:p>
    <w:p w14:paraId="519B1CDA" w14:textId="77777777" w:rsidR="009103DC" w:rsidRPr="008E63BB" w:rsidRDefault="00E9609D">
      <w:pPr>
        <w:pStyle w:val="TOC1"/>
        <w:rPr>
          <w:rFonts w:asciiTheme="minorHAnsi" w:eastAsiaTheme="minorEastAsia" w:hAnsiTheme="minorHAnsi" w:cstheme="minorBidi"/>
          <w:noProof/>
          <w:sz w:val="22"/>
        </w:rPr>
      </w:pPr>
      <w:hyperlink w:anchor="_Toc47524739" w:history="1">
        <w:r w:rsidR="009103DC" w:rsidRPr="008E63BB">
          <w:rPr>
            <w:rStyle w:val="Hyperlink"/>
            <w:noProof/>
            <w:color w:val="auto"/>
            <w:lang w:val="vi-VN"/>
          </w:rPr>
          <w:t>VIII. PHẦN 8: KINH TẾ ĐÔ THỊ</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_Toc47524739 \h </w:instrText>
        </w:r>
        <w:r w:rsidR="009103DC" w:rsidRPr="008E63BB">
          <w:rPr>
            <w:noProof/>
            <w:webHidden/>
          </w:rPr>
        </w:r>
        <w:r w:rsidR="009103DC" w:rsidRPr="008E63BB">
          <w:rPr>
            <w:noProof/>
            <w:webHidden/>
          </w:rPr>
          <w:fldChar w:fldCharType="separate"/>
        </w:r>
        <w:r w:rsidR="00E1321A">
          <w:rPr>
            <w:noProof/>
            <w:webHidden/>
          </w:rPr>
          <w:t>177</w:t>
        </w:r>
        <w:r w:rsidR="009103DC" w:rsidRPr="008E63BB">
          <w:rPr>
            <w:noProof/>
            <w:webHidden/>
          </w:rPr>
          <w:fldChar w:fldCharType="end"/>
        </w:r>
      </w:hyperlink>
    </w:p>
    <w:p w14:paraId="519B1CDB" w14:textId="77777777" w:rsidR="009103DC" w:rsidRPr="008E63BB" w:rsidRDefault="00E9609D">
      <w:pPr>
        <w:pStyle w:val="TOC2"/>
        <w:rPr>
          <w:rFonts w:asciiTheme="minorHAnsi" w:eastAsiaTheme="minorEastAsia" w:hAnsiTheme="minorHAnsi" w:cstheme="minorBidi"/>
          <w:color w:val="auto"/>
          <w:sz w:val="22"/>
          <w:szCs w:val="22"/>
        </w:rPr>
      </w:pPr>
      <w:hyperlink w:anchor="_Toc47524740" w:history="1">
        <w:r w:rsidR="009103DC" w:rsidRPr="008E63BB">
          <w:rPr>
            <w:rStyle w:val="Hyperlink"/>
            <w:color w:val="auto"/>
            <w:kern w:val="32"/>
            <w:lang w:val="vi-VN"/>
          </w:rPr>
          <w:t>8.1. Kiến nghị các dự án ưu tiên đầu tư</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_Toc47524740 \h </w:instrText>
        </w:r>
        <w:r w:rsidR="009103DC" w:rsidRPr="008E63BB">
          <w:rPr>
            <w:webHidden/>
            <w:color w:val="auto"/>
          </w:rPr>
        </w:r>
        <w:r w:rsidR="009103DC" w:rsidRPr="008E63BB">
          <w:rPr>
            <w:webHidden/>
            <w:color w:val="auto"/>
          </w:rPr>
          <w:fldChar w:fldCharType="separate"/>
        </w:r>
        <w:r w:rsidR="00E1321A">
          <w:rPr>
            <w:webHidden/>
            <w:color w:val="auto"/>
          </w:rPr>
          <w:t>177</w:t>
        </w:r>
        <w:r w:rsidR="009103DC" w:rsidRPr="008E63BB">
          <w:rPr>
            <w:webHidden/>
            <w:color w:val="auto"/>
          </w:rPr>
          <w:fldChar w:fldCharType="end"/>
        </w:r>
      </w:hyperlink>
    </w:p>
    <w:p w14:paraId="519B1CDE" w14:textId="77777777" w:rsidR="009103DC" w:rsidRPr="008E63BB" w:rsidRDefault="00E9609D">
      <w:pPr>
        <w:pStyle w:val="TOC2"/>
        <w:rPr>
          <w:rFonts w:asciiTheme="minorHAnsi" w:eastAsiaTheme="minorEastAsia" w:hAnsiTheme="minorHAnsi" w:cstheme="minorBidi"/>
          <w:color w:val="auto"/>
          <w:sz w:val="22"/>
          <w:szCs w:val="22"/>
        </w:rPr>
      </w:pPr>
      <w:hyperlink w:anchor="_Toc47524743" w:history="1">
        <w:r w:rsidR="009103DC" w:rsidRPr="008E63BB">
          <w:rPr>
            <w:rStyle w:val="Hyperlink"/>
            <w:color w:val="auto"/>
            <w:kern w:val="32"/>
            <w:lang w:val="vi-VN"/>
          </w:rPr>
          <w:t>8.2. Giải pháp quản lý và cơ chế chính sách tạo vốn đầu tư phát triển đô thị</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_Toc47524743 \h </w:instrText>
        </w:r>
        <w:r w:rsidR="009103DC" w:rsidRPr="008E63BB">
          <w:rPr>
            <w:webHidden/>
            <w:color w:val="auto"/>
          </w:rPr>
        </w:r>
        <w:r w:rsidR="009103DC" w:rsidRPr="008E63BB">
          <w:rPr>
            <w:webHidden/>
            <w:color w:val="auto"/>
          </w:rPr>
          <w:fldChar w:fldCharType="separate"/>
        </w:r>
        <w:r w:rsidR="00E1321A">
          <w:rPr>
            <w:webHidden/>
            <w:color w:val="auto"/>
          </w:rPr>
          <w:t>180</w:t>
        </w:r>
        <w:r w:rsidR="009103DC" w:rsidRPr="008E63BB">
          <w:rPr>
            <w:webHidden/>
            <w:color w:val="auto"/>
          </w:rPr>
          <w:fldChar w:fldCharType="end"/>
        </w:r>
      </w:hyperlink>
    </w:p>
    <w:p w14:paraId="519B1CE3" w14:textId="77777777" w:rsidR="009103DC" w:rsidRPr="008E63BB" w:rsidRDefault="00E9609D">
      <w:pPr>
        <w:pStyle w:val="TOC1"/>
        <w:rPr>
          <w:rFonts w:asciiTheme="minorHAnsi" w:eastAsiaTheme="minorEastAsia" w:hAnsiTheme="minorHAnsi" w:cstheme="minorBidi"/>
          <w:noProof/>
          <w:sz w:val="22"/>
        </w:rPr>
      </w:pPr>
      <w:hyperlink w:anchor="_Toc47524748" w:history="1">
        <w:r w:rsidR="009103DC" w:rsidRPr="008E63BB">
          <w:rPr>
            <w:rStyle w:val="Hyperlink"/>
            <w:noProof/>
            <w:color w:val="auto"/>
            <w:lang w:val="vi-VN"/>
          </w:rPr>
          <w:t>IX. PHẦN 9. ĐÁNH GIÁ MÔI TRƯỜNG CHIẾN LƯỢC</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_Toc47524748 \h </w:instrText>
        </w:r>
        <w:r w:rsidR="009103DC" w:rsidRPr="008E63BB">
          <w:rPr>
            <w:noProof/>
            <w:webHidden/>
          </w:rPr>
        </w:r>
        <w:r w:rsidR="009103DC" w:rsidRPr="008E63BB">
          <w:rPr>
            <w:noProof/>
            <w:webHidden/>
          </w:rPr>
          <w:fldChar w:fldCharType="separate"/>
        </w:r>
        <w:r w:rsidR="00E1321A">
          <w:rPr>
            <w:noProof/>
            <w:webHidden/>
          </w:rPr>
          <w:t>184</w:t>
        </w:r>
        <w:r w:rsidR="009103DC" w:rsidRPr="008E63BB">
          <w:rPr>
            <w:noProof/>
            <w:webHidden/>
          </w:rPr>
          <w:fldChar w:fldCharType="end"/>
        </w:r>
      </w:hyperlink>
    </w:p>
    <w:p w14:paraId="519B1CE4" w14:textId="77777777" w:rsidR="009103DC" w:rsidRPr="008E63BB" w:rsidRDefault="00E9609D">
      <w:pPr>
        <w:pStyle w:val="TOC2"/>
        <w:rPr>
          <w:rFonts w:asciiTheme="minorHAnsi" w:eastAsiaTheme="minorEastAsia" w:hAnsiTheme="minorHAnsi" w:cstheme="minorBidi"/>
          <w:color w:val="auto"/>
          <w:sz w:val="22"/>
          <w:szCs w:val="22"/>
        </w:rPr>
      </w:pPr>
      <w:hyperlink w:anchor="_Toc47524749" w:history="1">
        <w:r w:rsidR="009103DC" w:rsidRPr="008E63BB">
          <w:rPr>
            <w:rStyle w:val="Hyperlink"/>
            <w:color w:val="auto"/>
            <w:kern w:val="32"/>
            <w:lang w:val="vi-VN"/>
          </w:rPr>
          <w:t>9.1. Hiện trạng môi trường</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_Toc47524749 \h </w:instrText>
        </w:r>
        <w:r w:rsidR="009103DC" w:rsidRPr="008E63BB">
          <w:rPr>
            <w:webHidden/>
            <w:color w:val="auto"/>
          </w:rPr>
        </w:r>
        <w:r w:rsidR="009103DC" w:rsidRPr="008E63BB">
          <w:rPr>
            <w:webHidden/>
            <w:color w:val="auto"/>
          </w:rPr>
          <w:fldChar w:fldCharType="separate"/>
        </w:r>
        <w:r w:rsidR="00E1321A">
          <w:rPr>
            <w:webHidden/>
            <w:color w:val="auto"/>
          </w:rPr>
          <w:t>184</w:t>
        </w:r>
        <w:r w:rsidR="009103DC" w:rsidRPr="008E63BB">
          <w:rPr>
            <w:webHidden/>
            <w:color w:val="auto"/>
          </w:rPr>
          <w:fldChar w:fldCharType="end"/>
        </w:r>
      </w:hyperlink>
    </w:p>
    <w:p w14:paraId="519B1CE5" w14:textId="77777777" w:rsidR="009103DC" w:rsidRPr="008E63BB" w:rsidRDefault="00E9609D">
      <w:pPr>
        <w:pStyle w:val="TOC2"/>
        <w:rPr>
          <w:rFonts w:asciiTheme="minorHAnsi" w:eastAsiaTheme="minorEastAsia" w:hAnsiTheme="minorHAnsi" w:cstheme="minorBidi"/>
          <w:color w:val="auto"/>
          <w:sz w:val="22"/>
          <w:szCs w:val="22"/>
        </w:rPr>
      </w:pPr>
      <w:hyperlink w:anchor="_Toc47524750" w:history="1">
        <w:r w:rsidR="009103DC" w:rsidRPr="008E63BB">
          <w:rPr>
            <w:rStyle w:val="Hyperlink"/>
            <w:color w:val="auto"/>
            <w:kern w:val="32"/>
            <w:lang w:val="sv-SE"/>
          </w:rPr>
          <w:t>9.2. Đánh giá, dự báo các tác động môi trường trong quá trình thực hiện quy hoạch</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_Toc47524750 \h </w:instrText>
        </w:r>
        <w:r w:rsidR="009103DC" w:rsidRPr="008E63BB">
          <w:rPr>
            <w:webHidden/>
            <w:color w:val="auto"/>
          </w:rPr>
        </w:r>
        <w:r w:rsidR="009103DC" w:rsidRPr="008E63BB">
          <w:rPr>
            <w:webHidden/>
            <w:color w:val="auto"/>
          </w:rPr>
          <w:fldChar w:fldCharType="separate"/>
        </w:r>
        <w:r w:rsidR="00E1321A">
          <w:rPr>
            <w:webHidden/>
            <w:color w:val="auto"/>
          </w:rPr>
          <w:t>193</w:t>
        </w:r>
        <w:r w:rsidR="009103DC" w:rsidRPr="008E63BB">
          <w:rPr>
            <w:webHidden/>
            <w:color w:val="auto"/>
          </w:rPr>
          <w:fldChar w:fldCharType="end"/>
        </w:r>
      </w:hyperlink>
    </w:p>
    <w:p w14:paraId="519B1CE6" w14:textId="77777777" w:rsidR="009103DC" w:rsidRPr="008E63BB" w:rsidRDefault="00E9609D">
      <w:pPr>
        <w:pStyle w:val="TOC2"/>
        <w:rPr>
          <w:rFonts w:asciiTheme="minorHAnsi" w:eastAsiaTheme="minorEastAsia" w:hAnsiTheme="minorHAnsi" w:cstheme="minorBidi"/>
          <w:color w:val="auto"/>
          <w:sz w:val="22"/>
          <w:szCs w:val="22"/>
        </w:rPr>
      </w:pPr>
      <w:hyperlink w:anchor="_Toc47524751" w:history="1">
        <w:r w:rsidR="009103DC" w:rsidRPr="008E63BB">
          <w:rPr>
            <w:rStyle w:val="Hyperlink"/>
            <w:color w:val="auto"/>
            <w:kern w:val="32"/>
            <w:lang w:val="vi-VN"/>
          </w:rPr>
          <w:t>9.3. Đề xuất giải pháp giảm thiểu và bảo vệ môi trường</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_Toc47524751 \h </w:instrText>
        </w:r>
        <w:r w:rsidR="009103DC" w:rsidRPr="008E63BB">
          <w:rPr>
            <w:webHidden/>
            <w:color w:val="auto"/>
          </w:rPr>
        </w:r>
        <w:r w:rsidR="009103DC" w:rsidRPr="008E63BB">
          <w:rPr>
            <w:webHidden/>
            <w:color w:val="auto"/>
          </w:rPr>
          <w:fldChar w:fldCharType="separate"/>
        </w:r>
        <w:r w:rsidR="00E1321A">
          <w:rPr>
            <w:webHidden/>
            <w:color w:val="auto"/>
          </w:rPr>
          <w:t>207</w:t>
        </w:r>
        <w:r w:rsidR="009103DC" w:rsidRPr="008E63BB">
          <w:rPr>
            <w:webHidden/>
            <w:color w:val="auto"/>
          </w:rPr>
          <w:fldChar w:fldCharType="end"/>
        </w:r>
      </w:hyperlink>
    </w:p>
    <w:p w14:paraId="519B1CE7" w14:textId="77777777" w:rsidR="009103DC" w:rsidRPr="008E63BB" w:rsidRDefault="00E9609D">
      <w:pPr>
        <w:pStyle w:val="TOC2"/>
        <w:rPr>
          <w:rFonts w:asciiTheme="minorHAnsi" w:eastAsiaTheme="minorEastAsia" w:hAnsiTheme="minorHAnsi" w:cstheme="minorBidi"/>
          <w:color w:val="auto"/>
          <w:sz w:val="22"/>
          <w:szCs w:val="22"/>
        </w:rPr>
      </w:pPr>
      <w:hyperlink w:anchor="_Toc47524752" w:history="1">
        <w:r w:rsidR="009103DC" w:rsidRPr="008E63BB">
          <w:rPr>
            <w:rStyle w:val="Hyperlink"/>
            <w:color w:val="auto"/>
            <w:kern w:val="32"/>
          </w:rPr>
          <w:t>9.4. Kết luận phần ĐMC:</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_Toc47524752 \h </w:instrText>
        </w:r>
        <w:r w:rsidR="009103DC" w:rsidRPr="008E63BB">
          <w:rPr>
            <w:webHidden/>
            <w:color w:val="auto"/>
          </w:rPr>
        </w:r>
        <w:r w:rsidR="009103DC" w:rsidRPr="008E63BB">
          <w:rPr>
            <w:webHidden/>
            <w:color w:val="auto"/>
          </w:rPr>
          <w:fldChar w:fldCharType="separate"/>
        </w:r>
        <w:r w:rsidR="00E1321A">
          <w:rPr>
            <w:webHidden/>
            <w:color w:val="auto"/>
          </w:rPr>
          <w:t>213</w:t>
        </w:r>
        <w:r w:rsidR="009103DC" w:rsidRPr="008E63BB">
          <w:rPr>
            <w:webHidden/>
            <w:color w:val="auto"/>
          </w:rPr>
          <w:fldChar w:fldCharType="end"/>
        </w:r>
      </w:hyperlink>
    </w:p>
    <w:p w14:paraId="519B1CE8" w14:textId="77777777" w:rsidR="009103DC" w:rsidRPr="008E63BB" w:rsidRDefault="00E9609D">
      <w:pPr>
        <w:pStyle w:val="TOC1"/>
        <w:rPr>
          <w:rFonts w:asciiTheme="minorHAnsi" w:eastAsiaTheme="minorEastAsia" w:hAnsiTheme="minorHAnsi" w:cstheme="minorBidi"/>
          <w:noProof/>
          <w:sz w:val="22"/>
        </w:rPr>
      </w:pPr>
      <w:hyperlink w:anchor="_Toc47524753" w:history="1">
        <w:r w:rsidR="009103DC" w:rsidRPr="008E63BB">
          <w:rPr>
            <w:rStyle w:val="Hyperlink"/>
            <w:noProof/>
            <w:color w:val="auto"/>
          </w:rPr>
          <w:t>X.</w:t>
        </w:r>
        <w:r w:rsidR="009103DC" w:rsidRPr="008E63BB">
          <w:rPr>
            <w:rFonts w:asciiTheme="minorHAnsi" w:eastAsiaTheme="minorEastAsia" w:hAnsiTheme="minorHAnsi" w:cstheme="minorBidi"/>
            <w:noProof/>
            <w:sz w:val="22"/>
          </w:rPr>
          <w:tab/>
        </w:r>
        <w:r w:rsidR="009103DC" w:rsidRPr="008E63BB">
          <w:rPr>
            <w:rStyle w:val="Hyperlink"/>
            <w:noProof/>
            <w:color w:val="auto"/>
          </w:rPr>
          <w:t>PHẦN 10. KẾT LUẬN VÀ KIẾN NGHỊ</w:t>
        </w:r>
        <w:r w:rsidR="009103DC" w:rsidRPr="008E63BB">
          <w:rPr>
            <w:noProof/>
            <w:webHidden/>
          </w:rPr>
          <w:tab/>
        </w:r>
        <w:r w:rsidR="009103DC" w:rsidRPr="008E63BB">
          <w:rPr>
            <w:noProof/>
            <w:webHidden/>
          </w:rPr>
          <w:fldChar w:fldCharType="begin"/>
        </w:r>
        <w:r w:rsidR="009103DC" w:rsidRPr="008E63BB">
          <w:rPr>
            <w:noProof/>
            <w:webHidden/>
          </w:rPr>
          <w:instrText xml:space="preserve"> PAGEREF _Toc47524753 \h </w:instrText>
        </w:r>
        <w:r w:rsidR="009103DC" w:rsidRPr="008E63BB">
          <w:rPr>
            <w:noProof/>
            <w:webHidden/>
          </w:rPr>
        </w:r>
        <w:r w:rsidR="009103DC" w:rsidRPr="008E63BB">
          <w:rPr>
            <w:noProof/>
            <w:webHidden/>
          </w:rPr>
          <w:fldChar w:fldCharType="separate"/>
        </w:r>
        <w:r w:rsidR="00E1321A">
          <w:rPr>
            <w:noProof/>
            <w:webHidden/>
          </w:rPr>
          <w:t>213</w:t>
        </w:r>
        <w:r w:rsidR="009103DC" w:rsidRPr="008E63BB">
          <w:rPr>
            <w:noProof/>
            <w:webHidden/>
          </w:rPr>
          <w:fldChar w:fldCharType="end"/>
        </w:r>
      </w:hyperlink>
    </w:p>
    <w:p w14:paraId="519B1CE9" w14:textId="77777777" w:rsidR="009103DC" w:rsidRPr="008E63BB" w:rsidRDefault="00E9609D">
      <w:pPr>
        <w:pStyle w:val="TOC2"/>
        <w:rPr>
          <w:rFonts w:asciiTheme="minorHAnsi" w:eastAsiaTheme="minorEastAsia" w:hAnsiTheme="minorHAnsi" w:cstheme="minorBidi"/>
          <w:color w:val="auto"/>
          <w:sz w:val="22"/>
          <w:szCs w:val="22"/>
        </w:rPr>
      </w:pPr>
      <w:hyperlink w:anchor="_Toc47524754" w:history="1">
        <w:r w:rsidR="009103DC" w:rsidRPr="008E63BB">
          <w:rPr>
            <w:rStyle w:val="Hyperlink"/>
            <w:color w:val="auto"/>
            <w:kern w:val="32"/>
          </w:rPr>
          <w:t>10.1. Kết luận</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_Toc47524754 \h </w:instrText>
        </w:r>
        <w:r w:rsidR="009103DC" w:rsidRPr="008E63BB">
          <w:rPr>
            <w:webHidden/>
            <w:color w:val="auto"/>
          </w:rPr>
        </w:r>
        <w:r w:rsidR="009103DC" w:rsidRPr="008E63BB">
          <w:rPr>
            <w:webHidden/>
            <w:color w:val="auto"/>
          </w:rPr>
          <w:fldChar w:fldCharType="separate"/>
        </w:r>
        <w:r w:rsidR="00E1321A">
          <w:rPr>
            <w:webHidden/>
            <w:color w:val="auto"/>
          </w:rPr>
          <w:t>213</w:t>
        </w:r>
        <w:r w:rsidR="009103DC" w:rsidRPr="008E63BB">
          <w:rPr>
            <w:webHidden/>
            <w:color w:val="auto"/>
          </w:rPr>
          <w:fldChar w:fldCharType="end"/>
        </w:r>
      </w:hyperlink>
    </w:p>
    <w:p w14:paraId="519B1CEA" w14:textId="77777777" w:rsidR="009103DC" w:rsidRPr="008E63BB" w:rsidRDefault="00E9609D">
      <w:pPr>
        <w:pStyle w:val="TOC2"/>
        <w:rPr>
          <w:rFonts w:asciiTheme="minorHAnsi" w:eastAsiaTheme="minorEastAsia" w:hAnsiTheme="minorHAnsi" w:cstheme="minorBidi"/>
          <w:color w:val="auto"/>
          <w:sz w:val="22"/>
          <w:szCs w:val="22"/>
        </w:rPr>
      </w:pPr>
      <w:hyperlink w:anchor="_Toc47524755" w:history="1">
        <w:r w:rsidR="009103DC" w:rsidRPr="008E63BB">
          <w:rPr>
            <w:rStyle w:val="Hyperlink"/>
            <w:color w:val="auto"/>
            <w:kern w:val="32"/>
            <w:lang w:val="sv-SE"/>
          </w:rPr>
          <w:t>10.2. Kiến nghị</w:t>
        </w:r>
        <w:r w:rsidR="009103DC" w:rsidRPr="008E63BB">
          <w:rPr>
            <w:webHidden/>
            <w:color w:val="auto"/>
          </w:rPr>
          <w:tab/>
        </w:r>
        <w:r w:rsidR="009103DC" w:rsidRPr="008E63BB">
          <w:rPr>
            <w:webHidden/>
            <w:color w:val="auto"/>
          </w:rPr>
          <w:fldChar w:fldCharType="begin"/>
        </w:r>
        <w:r w:rsidR="009103DC" w:rsidRPr="008E63BB">
          <w:rPr>
            <w:webHidden/>
            <w:color w:val="auto"/>
          </w:rPr>
          <w:instrText xml:space="preserve"> PAGEREF _Toc47524755 \h </w:instrText>
        </w:r>
        <w:r w:rsidR="009103DC" w:rsidRPr="008E63BB">
          <w:rPr>
            <w:webHidden/>
            <w:color w:val="auto"/>
          </w:rPr>
        </w:r>
        <w:r w:rsidR="009103DC" w:rsidRPr="008E63BB">
          <w:rPr>
            <w:webHidden/>
            <w:color w:val="auto"/>
          </w:rPr>
          <w:fldChar w:fldCharType="separate"/>
        </w:r>
        <w:r w:rsidR="00E1321A">
          <w:rPr>
            <w:webHidden/>
            <w:color w:val="auto"/>
          </w:rPr>
          <w:t>214</w:t>
        </w:r>
        <w:r w:rsidR="009103DC" w:rsidRPr="008E63BB">
          <w:rPr>
            <w:webHidden/>
            <w:color w:val="auto"/>
          </w:rPr>
          <w:fldChar w:fldCharType="end"/>
        </w:r>
      </w:hyperlink>
    </w:p>
    <w:p w14:paraId="519B1CEB" w14:textId="77777777" w:rsidR="00CC3439" w:rsidRPr="008E63BB" w:rsidRDefault="00387A58" w:rsidP="0065184D">
      <w:pPr>
        <w:spacing w:line="24" w:lineRule="atLeast"/>
      </w:pPr>
      <w:r w:rsidRPr="008E63BB">
        <w:rPr>
          <w:sz w:val="24"/>
          <w:szCs w:val="24"/>
        </w:rPr>
        <w:fldChar w:fldCharType="end"/>
      </w:r>
    </w:p>
    <w:p w14:paraId="519B1CEC" w14:textId="77777777" w:rsidR="00A60F02" w:rsidRPr="008E63BB" w:rsidRDefault="00A60F02" w:rsidP="0065184D">
      <w:pPr>
        <w:jc w:val="left"/>
        <w:rPr>
          <w:b/>
        </w:rPr>
      </w:pPr>
      <w:bookmarkStart w:id="0" w:name="_Toc341518998"/>
      <w:bookmarkStart w:id="1" w:name="_Toc341519098"/>
      <w:bookmarkStart w:id="2" w:name="_Toc344928411"/>
      <w:bookmarkStart w:id="3" w:name="_Toc345504034"/>
      <w:bookmarkStart w:id="4" w:name="_Toc345538319"/>
      <w:r w:rsidRPr="008E63BB">
        <w:rPr>
          <w:b/>
        </w:rPr>
        <w:br w:type="page"/>
      </w:r>
    </w:p>
    <w:p w14:paraId="519B1CED" w14:textId="77777777" w:rsidR="005B3F53" w:rsidRPr="008E63BB" w:rsidRDefault="00075D0F" w:rsidP="0065184D">
      <w:pPr>
        <w:rPr>
          <w:b/>
        </w:rPr>
      </w:pPr>
      <w:r w:rsidRPr="008E63BB">
        <w:rPr>
          <w:b/>
        </w:rPr>
        <w:lastRenderedPageBreak/>
        <w:t>PHẦN 1: MỞ ĐẦU</w:t>
      </w:r>
      <w:bookmarkEnd w:id="0"/>
      <w:bookmarkEnd w:id="1"/>
      <w:bookmarkEnd w:id="2"/>
      <w:bookmarkEnd w:id="3"/>
      <w:bookmarkEnd w:id="4"/>
    </w:p>
    <w:p w14:paraId="519B1CEE" w14:textId="77777777" w:rsidR="00075D0F" w:rsidRPr="008E63BB" w:rsidRDefault="00075D0F" w:rsidP="0065184D">
      <w:pPr>
        <w:pStyle w:val="Heading2"/>
        <w:spacing w:before="0" w:after="0"/>
      </w:pPr>
      <w:bookmarkStart w:id="5" w:name="_Toc341518999"/>
      <w:bookmarkStart w:id="6" w:name="_Toc341519099"/>
      <w:bookmarkStart w:id="7" w:name="_Toc344928412"/>
      <w:bookmarkStart w:id="8" w:name="_Toc345538320"/>
      <w:bookmarkStart w:id="9" w:name="_Toc47524636"/>
      <w:r w:rsidRPr="008E63BB">
        <w:t xml:space="preserve">1.1. Lý do và sự cần thiết điều chỉnh quy hoạch chung Thành phố </w:t>
      </w:r>
      <w:bookmarkEnd w:id="5"/>
      <w:bookmarkEnd w:id="6"/>
      <w:bookmarkEnd w:id="7"/>
      <w:bookmarkEnd w:id="8"/>
      <w:r w:rsidR="00A443A8" w:rsidRPr="008E63BB">
        <w:t>Nam Định</w:t>
      </w:r>
      <w:bookmarkEnd w:id="9"/>
    </w:p>
    <w:p w14:paraId="519B1CEF" w14:textId="77777777" w:rsidR="00F46503" w:rsidRPr="008E63BB" w:rsidRDefault="00F46503" w:rsidP="0065184D">
      <w:pPr>
        <w:ind w:firstLine="720"/>
      </w:pPr>
      <w:r w:rsidRPr="008E63BB">
        <w:t xml:space="preserve">Thành phố Nam Định nằm ở phía Bắc của tỉnh Nam Định cách Thủ đô Hà Nội 90km về phía Tây Bắc, cách thành phố Thái Bình - tỉnh Thái Bình 18km và cách thành phố Hải Phòng 90km về phía Đông Bắc, cách thành phố Ninh Bình - tỉnh Ninh Bình 28km về phía </w:t>
      </w:r>
      <w:r w:rsidR="003468D8" w:rsidRPr="008E63BB">
        <w:t xml:space="preserve">Tây </w:t>
      </w:r>
      <w:r w:rsidRPr="008E63BB">
        <w:t>Nam, cách thành phố Phủ Lý, Hà Nam 30km về phía Tây Bắc.</w:t>
      </w:r>
    </w:p>
    <w:p w14:paraId="519B1CF0" w14:textId="77777777" w:rsidR="00F46503" w:rsidRPr="008E63BB" w:rsidRDefault="00F46503" w:rsidP="0065184D">
      <w:r w:rsidRPr="008E63BB">
        <w:tab/>
        <w:t>Thành phố Nam Định là đầu mối giao thông quan trọng. Giao thông qua thành phố Nam Định dày đặc và thuận tiệ</w:t>
      </w:r>
      <w:r w:rsidR="003468D8" w:rsidRPr="008E63BB">
        <w:t>n với các tuyến</w:t>
      </w:r>
      <w:r w:rsidRPr="008E63BB">
        <w:t xml:space="preserve"> quốc lộ</w:t>
      </w:r>
      <w:r w:rsidR="003468D8" w:rsidRPr="008E63BB">
        <w:t xml:space="preserve"> như QL21, Ql21B, QL10</w:t>
      </w:r>
      <w:r w:rsidRPr="008E63BB">
        <w:t xml:space="preserve">; </w:t>
      </w:r>
      <w:r w:rsidR="003468D8" w:rsidRPr="008E63BB">
        <w:t>Với</w:t>
      </w:r>
      <w:r w:rsidRPr="008E63BB">
        <w:t xml:space="preserve"> tuyến đường sắt Bắc Nam chạy qua, Ga Nam Định là một trong những ga lớn trên tuyến đường sắt Bắc Nam,thuận tiện cho hành khách vùng Nam đồng bằng đi đến các thành phố lớn trong cảnước như Hà Nội, Huế, Đà Nẵng, thành phố Hồ Chí Minh.Thành phố Nam Định, trung tâm hành chính – chính trị - văn hóa – thương mại – dịch vụ du lịch của Tỉnh Nam Định, có vị trí chiến lược quan trọng trong khu vực Đồng bằng sông Hồng của Việt Nam. Ngày 28/11/2011, Thủ tướng Chính phủ ban hành Quyết định số 2106/QĐ-TTg công nhận thành phố Nam Định là đô thị loại I trực thuộc tỉnh Nam Định.</w:t>
      </w:r>
    </w:p>
    <w:p w14:paraId="519B1CF1" w14:textId="77777777" w:rsidR="00F46503" w:rsidRPr="008E63BB" w:rsidRDefault="00F46503" w:rsidP="0065184D">
      <w:pPr>
        <w:ind w:firstLine="567"/>
      </w:pPr>
      <w:r w:rsidRPr="008E63BB">
        <w:t xml:space="preserve">Điều chỉnh Quy hoạch chung Thành phố Nam Định đến năm 2025 đã được Thủ tướng Chính phủ phê duyệt theo Quyết định số </w:t>
      </w:r>
      <w:r w:rsidRPr="008E63BB">
        <w:rPr>
          <w:lang w:val="sv-SE"/>
        </w:rPr>
        <w:t xml:space="preserve">2084/QĐ-TTg ngày 22/11/2011 </w:t>
      </w:r>
      <w:r w:rsidR="00F40382" w:rsidRPr="008E63BB">
        <w:rPr>
          <w:lang w:val="sv-SE"/>
        </w:rPr>
        <w:t>(</w:t>
      </w:r>
      <w:r w:rsidRPr="008E63BB">
        <w:rPr>
          <w:lang w:val="sv-SE"/>
        </w:rPr>
        <w:t>sau đây gọi là QHC 2011</w:t>
      </w:r>
      <w:r w:rsidR="00F40382" w:rsidRPr="008E63BB">
        <w:rPr>
          <w:lang w:val="sv-SE"/>
        </w:rPr>
        <w:t>)</w:t>
      </w:r>
      <w:r w:rsidRPr="008E63BB">
        <w:t xml:space="preserve">. </w:t>
      </w:r>
      <w:r w:rsidR="00F40382" w:rsidRPr="008E63BB">
        <w:rPr>
          <w:lang w:val="sv-SE"/>
        </w:rPr>
        <w:t>Qua 9</w:t>
      </w:r>
      <w:r w:rsidRPr="008E63BB">
        <w:rPr>
          <w:lang w:val="sv-SE"/>
        </w:rPr>
        <w:t xml:space="preserve"> năm</w:t>
      </w:r>
      <w:r w:rsidR="00F40382" w:rsidRPr="008E63BB">
        <w:rPr>
          <w:lang w:val="sv-SE"/>
        </w:rPr>
        <w:t xml:space="preserve"> triển khai thực hiện theo quy hoạch, </w:t>
      </w:r>
      <w:r w:rsidRPr="008E63BB">
        <w:rPr>
          <w:lang w:val="sv-SE"/>
        </w:rPr>
        <w:t>để đáp ứng vai trò của phát triển đô thị với xu thế toàn cầu hóa đòi hỏi phát triển đô thị phải đảm bảo sức cạnh tranh, phản ánh giá trị văn hóa, kiến trúc, lịch sử của đô thị và hướng tới phát triển thành đô thị trung tâm vùng Nam đồng bằng Sông Hồng trong giai đoạn 2016-2020 theo tinh thần Nghị quyết 06/NQ-TU ngày 09/6/2016 của Ban chấp hành Đảng bộ tỉnh Nam Định, nhiều dự án đầu tư xây dựng trên địa bàn thành phố đã được thực hiện nhằm cụ thể hoá các quy hoạch xây dựng đã được các cấp có thẩm quyền phê duyệt</w:t>
      </w:r>
      <w:r w:rsidR="00F40382" w:rsidRPr="008E63BB">
        <w:t>. Đ</w:t>
      </w:r>
      <w:r w:rsidRPr="008E63BB">
        <w:t>ến nay thành phố Nam Định đã có những bước phát triển mạnh mẽ trên các mặt kinh tế - xã hội với tốc độ đô thị hóa nhanh, bộ mặt đô thị, hệ thống hạ tầng kỹ thuật, hạ tầng xã hội và dịch vụ đã đạt được những kết quả khả quan.</w:t>
      </w:r>
    </w:p>
    <w:p w14:paraId="519B1CF2" w14:textId="77777777" w:rsidR="00F46503" w:rsidRPr="008E63BB" w:rsidRDefault="00F46503" w:rsidP="0065184D">
      <w:pPr>
        <w:ind w:firstLine="567"/>
      </w:pPr>
      <w:r w:rsidRPr="008E63BB">
        <w:t>Trên cơ sở Quy hoạch chung đã được phê duyệt</w:t>
      </w:r>
      <w:r w:rsidR="005C2389" w:rsidRPr="008E63BB">
        <w:t xml:space="preserve"> năm 2011</w:t>
      </w:r>
      <w:r w:rsidRPr="008E63BB">
        <w:t>, tỉnh Nam Định và thành phố Nam Định đã nhanh chóng triển khai lập các đồ án Quy hoạch phân khu, quy hoạch chi tiết, quy chế quản lý quy hoạch kiến trúc để cụ thể hóa các định hướng chiến lược của quy hoạch chung, kêu gọi các nhà đầu tư tham gia thực hiện các dự án trên địa bàn quy hoạch. Quá trình triển khai quy hoạch cho thấy một số bất cập cần phải nghiên cứu xem xét, điều chỉnh như sau:</w:t>
      </w:r>
    </w:p>
    <w:p w14:paraId="519B1CF3" w14:textId="77777777" w:rsidR="00F46503" w:rsidRPr="008E63BB" w:rsidRDefault="00F46503" w:rsidP="0065184D">
      <w:pPr>
        <w:numPr>
          <w:ilvl w:val="0"/>
          <w:numId w:val="9"/>
        </w:numPr>
        <w:tabs>
          <w:tab w:val="left" w:pos="851"/>
        </w:tabs>
        <w:ind w:left="0" w:firstLine="567"/>
        <w:rPr>
          <w:lang w:val="sv-SE"/>
        </w:rPr>
      </w:pPr>
      <w:r w:rsidRPr="008E63BB">
        <w:t xml:space="preserve">Sau khi Quy hoạch chung Thành phố Nam Định được phê duyệt năm 2011, </w:t>
      </w:r>
      <w:r w:rsidRPr="008E63BB">
        <w:rPr>
          <w:lang w:val="sv-SE"/>
        </w:rPr>
        <w:t xml:space="preserve">đến nay đã có nhiều hệ thống văn bản pháp quy về quy hoạch, xây dựng và phát triển đô thị cùng với Quy hoạch của các ngành trên địa bàn tỉnh và thành phố được ban hành đã có những tác động không nhỏ đến việc quản lý, thu hút đầu tư phát triển của thành phố. </w:t>
      </w:r>
      <w:r w:rsidRPr="008E63BB">
        <w:rPr>
          <w:bCs/>
          <w:lang w:val="sv-SE"/>
        </w:rPr>
        <w:t>Như vậy việc quản lý, thu hút đầu tư xây dựng phát triển thành phố theo đồ án QHC 2011 cần xem xét, đánh giá sự phù hợp trong bối cảnh mới. Quá trình thực hiện quy hoạch, các đồ án quy hoạch phân khu, quy hoạch chi tiết trên địa bàn thành phố được lập tuân thủ theo điều chỉnh quy hoạch chung đã được phê duyệt.</w:t>
      </w:r>
    </w:p>
    <w:p w14:paraId="519B1CF4" w14:textId="77777777" w:rsidR="00F46503" w:rsidRPr="008E63BB" w:rsidRDefault="00F46503" w:rsidP="0065184D">
      <w:pPr>
        <w:numPr>
          <w:ilvl w:val="0"/>
          <w:numId w:val="9"/>
        </w:numPr>
        <w:tabs>
          <w:tab w:val="left" w:pos="851"/>
        </w:tabs>
        <w:ind w:left="0" w:firstLine="567"/>
        <w:rPr>
          <w:lang w:val="sv-SE"/>
        </w:rPr>
      </w:pPr>
      <w:r w:rsidRPr="008E63BB">
        <w:rPr>
          <w:lang w:val="sv-SE"/>
        </w:rPr>
        <w:t>Tỉnh Nam Định đã tiến hành lập và phê duyệt các quy hoạch chiến lược của Tỉnh như Quy hoạch tổng thể phát triển kinh tế xã hội tỉnh Nam Định, Quy hoạch xây dựng vùng Tỉnh, Quy hoạch tổng thể phát triển du lịch, Quy hoạch môi trường Tỉnh, Quy hoạch sử dụng đất Tỉnh,… nên một số định hướng mang tính kết nối vùng tỉnh, một số định hướng phát triển dịch vụ, thương mại, đô thị mới chưa được nghiên cứu, cập nhật vào đồ án Quy hoạch chung Thành phố Nam Định.</w:t>
      </w:r>
    </w:p>
    <w:p w14:paraId="519B1CF5" w14:textId="77777777" w:rsidR="00F46503" w:rsidRPr="008E63BB" w:rsidRDefault="00F46503" w:rsidP="0065184D">
      <w:pPr>
        <w:numPr>
          <w:ilvl w:val="0"/>
          <w:numId w:val="9"/>
        </w:numPr>
        <w:tabs>
          <w:tab w:val="left" w:pos="851"/>
        </w:tabs>
        <w:ind w:left="0" w:firstLine="567"/>
        <w:rPr>
          <w:lang w:val="sv-SE"/>
        </w:rPr>
      </w:pPr>
      <w:r w:rsidRPr="008E63BB">
        <w:rPr>
          <w:lang w:val="sv-SE"/>
        </w:rPr>
        <w:lastRenderedPageBreak/>
        <w:t>Cùng với việc phát triển mạnh mẽ kinh tế xã hội của Tỉnh Nam Định nói chung và Thành phố Nam Định nói riêng, trong thời gian qua đã thu hút được nhiều nhà đầu tư chiến lược tới phát triển các dự án trên địa bàn, nhiều đề xuất đầu tư mới đã được đặt ra như đô thị Thiên Trường, đô thị sinh thái phía Bắc, một số tuyến giao thông kết nối và hạ tầng kỹ thuật khác có những khác biệt với định hướng của Quy hoạch chung 2011, cần phải nghiên cứu định hướng trong tổng thể. Tuyến đường QL21B hoàn thành. Một số định hướng Quy hoạch chung tại một số khu vực chưa phát huy được lợi thế, hoặc có những bất cập với hiện trạng cần phải xem xét lại để tạo thuận lợi cho sự phát triển dài hạn.</w:t>
      </w:r>
    </w:p>
    <w:p w14:paraId="519B1CF6" w14:textId="77777777" w:rsidR="00F46503" w:rsidRPr="008E63BB" w:rsidRDefault="00F46503" w:rsidP="0065184D">
      <w:pPr>
        <w:numPr>
          <w:ilvl w:val="0"/>
          <w:numId w:val="9"/>
        </w:numPr>
        <w:tabs>
          <w:tab w:val="left" w:pos="851"/>
        </w:tabs>
        <w:ind w:left="0" w:firstLine="567"/>
        <w:rPr>
          <w:lang w:val="sv-SE"/>
        </w:rPr>
      </w:pPr>
      <w:r w:rsidRPr="008E63BB">
        <w:rPr>
          <w:lang w:val="sv-SE"/>
        </w:rPr>
        <w:t>Thực trạng phát triển nhanh đô thị trong thời gian gần đây cho thấy một số vấn đề cần phải kiểm soát chặt chẽ gồm: Phát triển hạ tầng để giảm ùn tắc giao thông, kiểm soát công trình cao tầng, bố trí hệ thống hạ tầng xã hội cho các khu vực phát triển đô thị, kiểm soát các tác động ô nhiễm môi trường, bố trí các không gian công cộng cho cộng đồng và du khách.</w:t>
      </w:r>
    </w:p>
    <w:p w14:paraId="519B1CF7" w14:textId="77777777" w:rsidR="00F46503" w:rsidRPr="008E63BB" w:rsidRDefault="00F46503" w:rsidP="0065184D">
      <w:pPr>
        <w:numPr>
          <w:ilvl w:val="0"/>
          <w:numId w:val="9"/>
        </w:numPr>
        <w:tabs>
          <w:tab w:val="left" w:pos="851"/>
        </w:tabs>
        <w:ind w:left="0" w:firstLine="567"/>
        <w:rPr>
          <w:lang w:val="sv-SE"/>
        </w:rPr>
      </w:pPr>
      <w:r w:rsidRPr="008E63BB">
        <w:rPr>
          <w:lang w:val="sv-SE"/>
        </w:rPr>
        <w:t>Thành phố Nam Định đã được Thủ tướng Chính phủ công nhận là đô thị Loại I trực thuộc tỉnh vào năm 2011, tuy nhiên đối chiếu với các tiêu chí phân loại đô thị đã được Thường vụ Quốc hội quy định, cần phải tiến hành rà soát đánh giá, bổ sung để đáp ứng tiêu chí phân loại đô thị, hướng tới nâng cao chất lượng đô thị và chất lượng sống cho người dân.</w:t>
      </w:r>
    </w:p>
    <w:p w14:paraId="519B1CF8" w14:textId="77777777" w:rsidR="00664EFF" w:rsidRPr="008E63BB" w:rsidRDefault="00F46503" w:rsidP="0065184D">
      <w:pPr>
        <w:ind w:firstLine="426"/>
        <w:rPr>
          <w:rFonts w:eastAsia="Times New Roman"/>
          <w:szCs w:val="26"/>
          <w:lang w:val="pt-BR"/>
        </w:rPr>
      </w:pPr>
      <w:r w:rsidRPr="008E63BB">
        <w:rPr>
          <w:lang w:val="sv-SE"/>
        </w:rPr>
        <w:t>Với các yêu cầu nêu trên, cần thiết lập Điều chỉnh Quy hoạch chung thành phố Nam Định đến năm 2040, tầm nhìn đến năm 2050.</w:t>
      </w:r>
    </w:p>
    <w:p w14:paraId="519B1CF9" w14:textId="77777777" w:rsidR="00075D0F" w:rsidRPr="008E63BB" w:rsidRDefault="00075D0F" w:rsidP="0065184D">
      <w:pPr>
        <w:pStyle w:val="Heading2"/>
        <w:spacing w:before="0" w:after="0"/>
        <w:rPr>
          <w:lang w:val="pt-BR"/>
        </w:rPr>
      </w:pPr>
      <w:bookmarkStart w:id="10" w:name="_Toc341519100"/>
      <w:bookmarkStart w:id="11" w:name="_Toc344928413"/>
      <w:bookmarkStart w:id="12" w:name="_Toc345538321"/>
      <w:bookmarkStart w:id="13" w:name="_Toc47524637"/>
      <w:r w:rsidRPr="008E63BB">
        <w:rPr>
          <w:lang w:val="pt-BR"/>
        </w:rPr>
        <w:t>1.2. Các căn cứ lập quy hoạch</w:t>
      </w:r>
      <w:bookmarkEnd w:id="10"/>
      <w:bookmarkEnd w:id="11"/>
      <w:bookmarkEnd w:id="12"/>
      <w:bookmarkEnd w:id="13"/>
    </w:p>
    <w:p w14:paraId="519B1CFA" w14:textId="77777777" w:rsidR="00075D0F" w:rsidRPr="008E63BB" w:rsidRDefault="00075D0F" w:rsidP="0065184D">
      <w:pPr>
        <w:pStyle w:val="Heading3"/>
      </w:pPr>
      <w:bookmarkStart w:id="14" w:name="_Toc341519000"/>
      <w:bookmarkStart w:id="15" w:name="_Toc341519101"/>
      <w:bookmarkStart w:id="16" w:name="_Toc344928414"/>
      <w:bookmarkStart w:id="17" w:name="_Toc345538322"/>
      <w:bookmarkStart w:id="18" w:name="_Toc493424420"/>
      <w:bookmarkStart w:id="19" w:name="_Toc21954804"/>
      <w:bookmarkStart w:id="20" w:name="_Toc21955303"/>
      <w:bookmarkStart w:id="21" w:name="_Toc24361879"/>
      <w:bookmarkStart w:id="22" w:name="_Toc47524638"/>
      <w:r w:rsidRPr="008E63BB">
        <w:t>1.2.1. Các căn cứ pháp lý</w:t>
      </w:r>
      <w:bookmarkEnd w:id="14"/>
      <w:bookmarkEnd w:id="15"/>
      <w:bookmarkEnd w:id="16"/>
      <w:bookmarkEnd w:id="17"/>
      <w:bookmarkEnd w:id="18"/>
      <w:bookmarkEnd w:id="19"/>
      <w:bookmarkEnd w:id="20"/>
      <w:bookmarkEnd w:id="21"/>
      <w:bookmarkEnd w:id="22"/>
    </w:p>
    <w:p w14:paraId="519B1CFB" w14:textId="77777777" w:rsidR="00F46503" w:rsidRPr="008E63BB" w:rsidRDefault="00F46503" w:rsidP="0065184D">
      <w:pPr>
        <w:numPr>
          <w:ilvl w:val="0"/>
          <w:numId w:val="9"/>
        </w:numPr>
        <w:tabs>
          <w:tab w:val="left" w:pos="851"/>
        </w:tabs>
        <w:ind w:left="0" w:firstLine="567"/>
        <w:rPr>
          <w:lang w:val="pt-BR"/>
        </w:rPr>
      </w:pPr>
      <w:r w:rsidRPr="008E63BB">
        <w:rPr>
          <w:lang w:val="pt-BR"/>
        </w:rPr>
        <w:t xml:space="preserve">Luật Quy hoạch đô thị số 30/2009/QH12 ngày 17/06/2009; </w:t>
      </w:r>
    </w:p>
    <w:p w14:paraId="519B1CFC" w14:textId="77777777" w:rsidR="00F46503" w:rsidRPr="008E63BB" w:rsidRDefault="00F46503" w:rsidP="0065184D">
      <w:pPr>
        <w:numPr>
          <w:ilvl w:val="0"/>
          <w:numId w:val="9"/>
        </w:numPr>
        <w:tabs>
          <w:tab w:val="left" w:pos="851"/>
        </w:tabs>
        <w:ind w:left="0" w:firstLine="567"/>
        <w:rPr>
          <w:lang w:val="pt-BR"/>
        </w:rPr>
      </w:pPr>
      <w:r w:rsidRPr="008E63BB">
        <w:rPr>
          <w:lang w:val="pt-BR"/>
        </w:rPr>
        <w:t xml:space="preserve">Luật Xây dựng số 50/2014/QH13 ngày 18/06/2014; </w:t>
      </w:r>
    </w:p>
    <w:p w14:paraId="519B1CFD" w14:textId="77777777" w:rsidR="00F46503" w:rsidRPr="008E63BB" w:rsidRDefault="00F46503" w:rsidP="0065184D">
      <w:pPr>
        <w:numPr>
          <w:ilvl w:val="0"/>
          <w:numId w:val="9"/>
        </w:numPr>
        <w:tabs>
          <w:tab w:val="left" w:pos="851"/>
        </w:tabs>
        <w:ind w:left="0" w:firstLine="567"/>
        <w:rPr>
          <w:lang w:val="pt-BR"/>
        </w:rPr>
      </w:pPr>
      <w:r w:rsidRPr="008E63BB">
        <w:rPr>
          <w:lang w:val="pt-BR"/>
        </w:rPr>
        <w:t>Luật Di sản văn hóa số 10/BHN-VPQH ngày 23/07/2013 của Quốc hội;</w:t>
      </w:r>
    </w:p>
    <w:p w14:paraId="519B1CFE" w14:textId="77777777" w:rsidR="00F46503" w:rsidRPr="008E63BB" w:rsidRDefault="00F46503" w:rsidP="0065184D">
      <w:pPr>
        <w:numPr>
          <w:ilvl w:val="0"/>
          <w:numId w:val="9"/>
        </w:numPr>
        <w:tabs>
          <w:tab w:val="left" w:pos="851"/>
        </w:tabs>
        <w:ind w:left="0" w:firstLine="567"/>
        <w:rPr>
          <w:lang w:val="pt-BR"/>
        </w:rPr>
      </w:pPr>
      <w:r w:rsidRPr="008E63BB">
        <w:rPr>
          <w:lang w:val="pt-BR"/>
        </w:rPr>
        <w:t>Luật du lịch số 09/2017/QH14 ngày 19/6/2017;</w:t>
      </w:r>
    </w:p>
    <w:p w14:paraId="519B1CFF" w14:textId="77777777" w:rsidR="00F46503" w:rsidRPr="008E63BB" w:rsidRDefault="00F46503" w:rsidP="0065184D">
      <w:pPr>
        <w:numPr>
          <w:ilvl w:val="0"/>
          <w:numId w:val="9"/>
        </w:numPr>
        <w:tabs>
          <w:tab w:val="left" w:pos="851"/>
        </w:tabs>
        <w:ind w:left="0" w:firstLine="567"/>
        <w:rPr>
          <w:lang w:val="pt-BR"/>
        </w:rPr>
      </w:pPr>
      <w:r w:rsidRPr="008E63BB">
        <w:rPr>
          <w:lang w:val="pt-BR"/>
        </w:rPr>
        <w:t>Luật quy hoạch số 21/2017/QH14 ngày 24/11/2017;</w:t>
      </w:r>
    </w:p>
    <w:p w14:paraId="519B1D00" w14:textId="77777777" w:rsidR="00AD0058" w:rsidRPr="008E63BB" w:rsidRDefault="00AD0058" w:rsidP="0065184D">
      <w:pPr>
        <w:numPr>
          <w:ilvl w:val="0"/>
          <w:numId w:val="9"/>
        </w:numPr>
        <w:tabs>
          <w:tab w:val="left" w:pos="851"/>
        </w:tabs>
        <w:ind w:left="0" w:firstLine="567"/>
        <w:rPr>
          <w:szCs w:val="26"/>
          <w:lang w:val="pt-BR"/>
        </w:rPr>
      </w:pPr>
      <w:r w:rsidRPr="008E63BB">
        <w:rPr>
          <w:rFonts w:eastAsia="Times New Roman"/>
          <w:bCs/>
          <w:iCs/>
          <w:szCs w:val="26"/>
          <w:lang w:val="pt-BR"/>
        </w:rPr>
        <w:t>Luật số 35/2018/QH14 ngày 20/11/2018</w:t>
      </w:r>
      <w:r w:rsidR="00A23436" w:rsidRPr="008E63BB">
        <w:rPr>
          <w:rFonts w:eastAsia="Times New Roman"/>
          <w:bCs/>
          <w:iCs/>
          <w:szCs w:val="26"/>
          <w:lang w:val="pt-BR"/>
        </w:rPr>
        <w:t xml:space="preserve"> sửa đổi bổ sung một số điều của 37 luật có liên quan đến quy hoạch</w:t>
      </w:r>
      <w:r w:rsidRPr="008E63BB">
        <w:rPr>
          <w:rFonts w:eastAsia="Times New Roman"/>
          <w:bCs/>
          <w:iCs/>
          <w:szCs w:val="26"/>
          <w:lang w:val="pt-BR"/>
        </w:rPr>
        <w:t>;</w:t>
      </w:r>
    </w:p>
    <w:p w14:paraId="519B1D01" w14:textId="77777777" w:rsidR="00F46503" w:rsidRPr="008E63BB" w:rsidRDefault="00F46503" w:rsidP="0065184D">
      <w:pPr>
        <w:numPr>
          <w:ilvl w:val="0"/>
          <w:numId w:val="9"/>
        </w:numPr>
        <w:tabs>
          <w:tab w:val="left" w:pos="851"/>
        </w:tabs>
        <w:ind w:left="0" w:firstLine="567"/>
        <w:rPr>
          <w:lang w:val="pt-BR"/>
        </w:rPr>
      </w:pPr>
      <w:r w:rsidRPr="008E63BB">
        <w:rPr>
          <w:lang w:val="pt-BR"/>
        </w:rPr>
        <w:t>Nghị quyết 36-NQ/TW ngày 22/10/2018 của Ban chấp hành Trung ương về Chiến lược phát triển bền vững kinh tế biển Việt Nam đến năm 2030, tầm nhìn 2045;</w:t>
      </w:r>
    </w:p>
    <w:p w14:paraId="519B1D02" w14:textId="77777777" w:rsidR="00F46503" w:rsidRPr="008E63BB" w:rsidRDefault="00F46503" w:rsidP="0065184D">
      <w:pPr>
        <w:numPr>
          <w:ilvl w:val="0"/>
          <w:numId w:val="9"/>
        </w:numPr>
        <w:tabs>
          <w:tab w:val="left" w:pos="851"/>
        </w:tabs>
        <w:ind w:left="0" w:firstLine="567"/>
        <w:rPr>
          <w:lang w:val="pt-BR"/>
        </w:rPr>
      </w:pPr>
      <w:r w:rsidRPr="008E63BB">
        <w:rPr>
          <w:lang w:val="pt-BR"/>
        </w:rPr>
        <w:t>Nghị quyết 1210/2016/NQ-UBTVQH13 ngày 25/5/2016 của Ủy ban thường vụ Quốc hội về phân loại đô thị;</w:t>
      </w:r>
    </w:p>
    <w:p w14:paraId="519B1D03" w14:textId="77777777" w:rsidR="00F46503" w:rsidRPr="008E63BB" w:rsidRDefault="00F46503" w:rsidP="0065184D">
      <w:pPr>
        <w:numPr>
          <w:ilvl w:val="0"/>
          <w:numId w:val="9"/>
        </w:numPr>
        <w:tabs>
          <w:tab w:val="left" w:pos="851"/>
        </w:tabs>
        <w:ind w:left="0" w:firstLine="567"/>
        <w:rPr>
          <w:lang w:val="pt-BR"/>
        </w:rPr>
      </w:pPr>
      <w:r w:rsidRPr="008E63BB">
        <w:rPr>
          <w:lang w:val="pt-BR"/>
        </w:rPr>
        <w:t>Nghị quyết 1211/2016/NQ-UBTVQH13 ngày 25/5/2016 của Ủy ban thường vụ Quốc hội về Tiêu chuẩn của đơn vị hành chính và phân loại đơn vị hành chính;</w:t>
      </w:r>
    </w:p>
    <w:p w14:paraId="519B1D04" w14:textId="77777777" w:rsidR="00AD0058" w:rsidRPr="008E63BB" w:rsidRDefault="00AD0058" w:rsidP="0065184D">
      <w:pPr>
        <w:numPr>
          <w:ilvl w:val="0"/>
          <w:numId w:val="9"/>
        </w:numPr>
        <w:tabs>
          <w:tab w:val="left" w:pos="851"/>
        </w:tabs>
        <w:ind w:left="0" w:firstLine="567"/>
        <w:rPr>
          <w:lang w:val="pt-BR"/>
        </w:rPr>
      </w:pPr>
      <w:r w:rsidRPr="008E63BB">
        <w:rPr>
          <w:rFonts w:eastAsia="Times New Roman"/>
          <w:bCs/>
          <w:iCs/>
          <w:sz w:val="24"/>
          <w:szCs w:val="24"/>
          <w:lang w:val="pt-BR"/>
        </w:rPr>
        <w:t>Nghị quyết số 135/NQQ-CP ngày 26/12/2017 về QHSDĐ</w:t>
      </w:r>
      <w:r w:rsidR="00A26ACD" w:rsidRPr="008E63BB">
        <w:rPr>
          <w:rFonts w:eastAsia="Times New Roman"/>
          <w:bCs/>
          <w:iCs/>
          <w:sz w:val="24"/>
          <w:szCs w:val="24"/>
          <w:lang w:val="pt-BR"/>
        </w:rPr>
        <w:t xml:space="preserve"> tỉnh Nam Định</w:t>
      </w:r>
      <w:r w:rsidRPr="008E63BB">
        <w:rPr>
          <w:rFonts w:eastAsia="Times New Roman"/>
          <w:bCs/>
          <w:iCs/>
          <w:sz w:val="24"/>
          <w:szCs w:val="24"/>
          <w:lang w:val="pt-BR"/>
        </w:rPr>
        <w:t xml:space="preserve"> đến năm 2020;</w:t>
      </w:r>
    </w:p>
    <w:p w14:paraId="519B1D05" w14:textId="77777777" w:rsidR="00F46503" w:rsidRPr="008E63BB" w:rsidRDefault="00F46503" w:rsidP="0065184D">
      <w:pPr>
        <w:numPr>
          <w:ilvl w:val="0"/>
          <w:numId w:val="9"/>
        </w:numPr>
        <w:tabs>
          <w:tab w:val="left" w:pos="851"/>
        </w:tabs>
        <w:ind w:left="0" w:firstLine="567"/>
        <w:rPr>
          <w:lang w:val="pt-BR"/>
        </w:rPr>
      </w:pPr>
      <w:r w:rsidRPr="008E63BB">
        <w:rPr>
          <w:lang w:val="pt-BR"/>
        </w:rPr>
        <w:t xml:space="preserve">Nghị định số 37/2010/NĐ-CP ngày 07/04/2010 của Chính phủ về lập, thẩm định, phê duyệt và quản lý quy hoạch đô thị; </w:t>
      </w:r>
    </w:p>
    <w:p w14:paraId="519B1D06" w14:textId="77777777" w:rsidR="00F46503" w:rsidRPr="008E63BB" w:rsidRDefault="00F46503" w:rsidP="0065184D">
      <w:pPr>
        <w:numPr>
          <w:ilvl w:val="0"/>
          <w:numId w:val="9"/>
        </w:numPr>
        <w:tabs>
          <w:tab w:val="left" w:pos="851"/>
        </w:tabs>
        <w:ind w:left="0" w:firstLine="567"/>
        <w:rPr>
          <w:lang w:val="pt-BR"/>
        </w:rPr>
      </w:pPr>
      <w:r w:rsidRPr="008E63BB">
        <w:rPr>
          <w:lang w:val="pt-BR"/>
        </w:rPr>
        <w:t>Nghị định số 44/2015/NĐ-CP ngày 06/05/2015 Quy định chi tiết một số nội dung về quy hoạch xây dựng;</w:t>
      </w:r>
    </w:p>
    <w:p w14:paraId="519B1D07" w14:textId="77777777" w:rsidR="00A23436" w:rsidRPr="008E63BB" w:rsidRDefault="00A23436" w:rsidP="0065184D">
      <w:pPr>
        <w:numPr>
          <w:ilvl w:val="0"/>
          <w:numId w:val="9"/>
        </w:numPr>
        <w:tabs>
          <w:tab w:val="left" w:pos="851"/>
        </w:tabs>
        <w:ind w:left="0" w:firstLine="567"/>
        <w:rPr>
          <w:lang w:val="pt-BR"/>
        </w:rPr>
      </w:pPr>
      <w:r w:rsidRPr="008E63BB">
        <w:rPr>
          <w:lang w:val="pt-BR"/>
        </w:rPr>
        <w:t>Nghị định số 72/2019/NĐ-CP ngày 30/8/2019 của Chính phủ sửa đổi, bổ sung một số điều của Nghị định 37/2010/NĐ-CP ngày 07/4/2010 về lập, thẩm định, phê duyệt và quản lý quy hoạch đô thị;</w:t>
      </w:r>
    </w:p>
    <w:p w14:paraId="519B1D08" w14:textId="77777777" w:rsidR="00F46503" w:rsidRPr="008E63BB" w:rsidRDefault="00F46503" w:rsidP="0065184D">
      <w:pPr>
        <w:numPr>
          <w:ilvl w:val="0"/>
          <w:numId w:val="9"/>
        </w:numPr>
        <w:tabs>
          <w:tab w:val="left" w:pos="851"/>
        </w:tabs>
        <w:ind w:left="0" w:firstLine="567"/>
        <w:rPr>
          <w:lang w:val="pt-BR"/>
        </w:rPr>
      </w:pPr>
      <w:r w:rsidRPr="008E63BB">
        <w:rPr>
          <w:lang w:val="pt-BR"/>
        </w:rPr>
        <w:t>Thông tư số 12/2016/TT-BXD ngày 29/6/2016 của Bộ Xây dựng, quy định về hồ sơ của nhiệm vụ và đồ án xây dựng vùng, quy hoạch đô thị và quy hoạch xây dựng khu chức năng đặc thù;</w:t>
      </w:r>
    </w:p>
    <w:p w14:paraId="519B1D09" w14:textId="77777777" w:rsidR="00F46503" w:rsidRPr="008E63BB" w:rsidRDefault="00F46503" w:rsidP="0065184D">
      <w:pPr>
        <w:numPr>
          <w:ilvl w:val="0"/>
          <w:numId w:val="9"/>
        </w:numPr>
        <w:tabs>
          <w:tab w:val="left" w:pos="851"/>
        </w:tabs>
        <w:ind w:left="0" w:firstLine="567"/>
        <w:rPr>
          <w:lang w:val="pt-BR"/>
        </w:rPr>
      </w:pPr>
      <w:r w:rsidRPr="008E63BB">
        <w:rPr>
          <w:lang w:val="pt-BR"/>
        </w:rPr>
        <w:lastRenderedPageBreak/>
        <w:t>Thông tư số 06/2013/TT-BXD ngày 13/5/2013 Hướng dẫn nội dung về Thiết kế đô thị.</w:t>
      </w:r>
    </w:p>
    <w:p w14:paraId="519B1D0A" w14:textId="77777777" w:rsidR="00F46503" w:rsidRPr="008E63BB" w:rsidRDefault="00F46503" w:rsidP="0065184D">
      <w:pPr>
        <w:numPr>
          <w:ilvl w:val="0"/>
          <w:numId w:val="9"/>
        </w:numPr>
        <w:tabs>
          <w:tab w:val="left" w:pos="851"/>
        </w:tabs>
        <w:ind w:left="0" w:firstLine="567"/>
        <w:rPr>
          <w:lang w:val="pt-BR"/>
        </w:rPr>
      </w:pPr>
      <w:r w:rsidRPr="008E63BB">
        <w:rPr>
          <w:lang w:val="pt-BR"/>
        </w:rPr>
        <w:t>Thông tư số 16/2013/TT-BXD ngày 16/10/2013 sửa đổi, bổ sung một số điều của Thông tư số 06/2013/TT-BXD của Bộ trưởng Bộ Xây dựng hướng dẫn về nội dung Thiết kế đô thị</w:t>
      </w:r>
    </w:p>
    <w:p w14:paraId="519B1D0B" w14:textId="77777777" w:rsidR="00F46503" w:rsidRPr="008E63BB" w:rsidRDefault="00F46503" w:rsidP="0065184D">
      <w:pPr>
        <w:numPr>
          <w:ilvl w:val="0"/>
          <w:numId w:val="9"/>
        </w:numPr>
        <w:tabs>
          <w:tab w:val="left" w:pos="851"/>
        </w:tabs>
        <w:ind w:left="0" w:firstLine="567"/>
        <w:rPr>
          <w:lang w:val="pt-BR"/>
        </w:rPr>
      </w:pPr>
      <w:r w:rsidRPr="008E63BB">
        <w:rPr>
          <w:lang w:val="pt-BR"/>
        </w:rPr>
        <w:t>Thông tư số 19/2010/TT-BXD ngày 22/10/2010 của Bộ Xây dựng hướng dẫn lập Quy chế quản lý quy hoạch, kiến trúc đô thị;</w:t>
      </w:r>
    </w:p>
    <w:p w14:paraId="519B1D0C" w14:textId="77777777" w:rsidR="00F46503" w:rsidRPr="008E63BB" w:rsidRDefault="00F46503" w:rsidP="0065184D">
      <w:pPr>
        <w:numPr>
          <w:ilvl w:val="0"/>
          <w:numId w:val="9"/>
        </w:numPr>
        <w:tabs>
          <w:tab w:val="left" w:pos="851"/>
        </w:tabs>
        <w:ind w:left="0" w:firstLine="567"/>
        <w:rPr>
          <w:lang w:val="pt-BR"/>
        </w:rPr>
      </w:pPr>
      <w:r w:rsidRPr="008E63BB">
        <w:rPr>
          <w:lang w:val="pt-BR"/>
        </w:rPr>
        <w:t>Thông tư số 01/2011/TT-BXD ngày 27/01/2011 của Bộ Xây dựng hướng dẫn đánh giá môi trường chiến lược trong đồ án quy hoạch xây dựng, quy hoạch đô thị.</w:t>
      </w:r>
    </w:p>
    <w:p w14:paraId="519B1D0D" w14:textId="77777777" w:rsidR="00F46503" w:rsidRPr="008E63BB" w:rsidRDefault="00F46503" w:rsidP="0065184D">
      <w:pPr>
        <w:numPr>
          <w:ilvl w:val="0"/>
          <w:numId w:val="9"/>
        </w:numPr>
        <w:tabs>
          <w:tab w:val="left" w:pos="851"/>
        </w:tabs>
        <w:ind w:left="0" w:firstLine="567"/>
        <w:rPr>
          <w:lang w:val="pt-BR"/>
        </w:rPr>
      </w:pPr>
      <w:r w:rsidRPr="008E63BB">
        <w:rPr>
          <w:lang w:val="pt-BR"/>
        </w:rPr>
        <w:t>Thông tư số 06/2013/TT-BXD ngày 13/5/2013 của Bộ xây dựng hướng dẫn nội dung thiết kế đô thị;</w:t>
      </w:r>
    </w:p>
    <w:p w14:paraId="519B1D0E" w14:textId="77777777" w:rsidR="000A3B9F" w:rsidRPr="008E63BB" w:rsidRDefault="000A3B9F" w:rsidP="0065184D">
      <w:pPr>
        <w:numPr>
          <w:ilvl w:val="0"/>
          <w:numId w:val="9"/>
        </w:numPr>
        <w:tabs>
          <w:tab w:val="left" w:pos="851"/>
        </w:tabs>
        <w:ind w:left="0" w:firstLine="567"/>
        <w:rPr>
          <w:lang w:val="pt-BR"/>
        </w:rPr>
      </w:pPr>
      <w:r w:rsidRPr="008E63BB">
        <w:rPr>
          <w:lang w:val="pt-BR"/>
        </w:rPr>
        <w:t>Thông tư 01/2017/TT-BTNMT ngày 09/02/2017 của Bộ Tài nguyên Môi trường quy định Định mức sử dụng đất xây dựng cơ sơ văn hóa, cơ sở y tế, cơ sở giáo dục và đào tạo, cơ sở thể dục thể thao;</w:t>
      </w:r>
    </w:p>
    <w:p w14:paraId="519B1D0F" w14:textId="77777777" w:rsidR="00505A35" w:rsidRPr="008E63BB" w:rsidRDefault="00505A35" w:rsidP="00505A35">
      <w:pPr>
        <w:numPr>
          <w:ilvl w:val="0"/>
          <w:numId w:val="9"/>
        </w:numPr>
        <w:tabs>
          <w:tab w:val="left" w:pos="851"/>
        </w:tabs>
        <w:ind w:left="0" w:firstLine="567"/>
        <w:rPr>
          <w:lang w:val="pt-BR"/>
        </w:rPr>
      </w:pPr>
      <w:r w:rsidRPr="008E63BB">
        <w:rPr>
          <w:lang w:val="pt-BR"/>
        </w:rPr>
        <w:t xml:space="preserve">Thông tư số 22/2019/TT-BXD ngày 31/12/2019 của Bộ Xây dựng về việc Ban hành Quy chuẩn kỹ thuật quốc gia về quy hoạch xây dựng: QCXDVN 01:2019/BXD; </w:t>
      </w:r>
    </w:p>
    <w:p w14:paraId="519B1D10"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201/QĐ-TTg ngày 22/01/2013 của Thủ tướng Chính phủ v/v phê duyệt quy hoạch tổng thể phát triển du lịch Việt Nam đến 2020, tầm nhìn đến 2030.</w:t>
      </w:r>
    </w:p>
    <w:p w14:paraId="519B1D11" w14:textId="77777777" w:rsidR="003D4C0E" w:rsidRPr="008E63BB" w:rsidRDefault="003D4C0E" w:rsidP="003D4C0E">
      <w:pPr>
        <w:numPr>
          <w:ilvl w:val="0"/>
          <w:numId w:val="9"/>
        </w:numPr>
        <w:tabs>
          <w:tab w:val="left" w:pos="851"/>
        </w:tabs>
        <w:ind w:left="0" w:firstLine="567"/>
        <w:rPr>
          <w:lang w:val="pt-BR"/>
        </w:rPr>
      </w:pPr>
      <w:r w:rsidRPr="008E63BB">
        <w:rPr>
          <w:lang w:val="pt-BR"/>
        </w:rPr>
        <w:t>Quyết định số 88/QĐ-TTg ngày 09/01/2013 của Thủ tướng Chính phủ phê duyệt Đề án “Quy hoạch và Kế hoạch nâng cấp, xây mới các công trình văn hóa (nhà hát, rạp chiếu phim, nhà triểm lãm văn học nghệ thuật) giai đoạn 2012-2020”.</w:t>
      </w:r>
    </w:p>
    <w:p w14:paraId="519B1D12"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445/QĐ-TTg ngày 7/4/2009 của Thủ tướng Chính phủ về việc phê duyệt điều chỉnh định hướng quy hoạch tổng thể phát triển hệ thống đô thị Việt Nam đến năm 2025 và tầm nhìn đến năm 2050;</w:t>
      </w:r>
    </w:p>
    <w:p w14:paraId="519B1D13"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856/QĐ-TTg  ngày 10/7/2008 của Thủ tướng Chính phủ về việc “Phê duyệt Quy hoạch xây dựng vùng duyên hải Bắc Bộ đến năm 2025 và tầm nhìn đến năm 2050”;</w:t>
      </w:r>
    </w:p>
    <w:p w14:paraId="519B1D14"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795/QĐ-TTg  ngày 23/5/2013 của Thủ tướng Chính phủ về việc “Phê duyệt Quy hoạch tổng thể phát triển kinh tế xã hội vùng đồng bằng sông Hồng đến năm 2020”;</w:t>
      </w:r>
    </w:p>
    <w:p w14:paraId="519B1D15" w14:textId="77777777" w:rsidR="003D4C0E" w:rsidRPr="008E63BB" w:rsidRDefault="003D4C0E" w:rsidP="0065184D">
      <w:pPr>
        <w:numPr>
          <w:ilvl w:val="0"/>
          <w:numId w:val="9"/>
        </w:numPr>
        <w:tabs>
          <w:tab w:val="left" w:pos="851"/>
        </w:tabs>
        <w:ind w:left="0" w:firstLine="567"/>
        <w:rPr>
          <w:lang w:val="pt-BR"/>
        </w:rPr>
      </w:pPr>
      <w:r w:rsidRPr="008E63BB">
        <w:rPr>
          <w:lang w:val="pt-BR"/>
        </w:rPr>
        <w:t>Quyết định 2163/QĐ-TTg ngày 11/11/2013 của Thủ tướng Chính phủ phê duyệt Quy hoạch tổng thể phát triển du lịch vùng Đồng bằng sông Hồng và Duyên hải Đông Bắc đến năm 2020, tầm nhìn 2030.</w:t>
      </w:r>
    </w:p>
    <w:p w14:paraId="519B1D16" w14:textId="77777777" w:rsidR="003C0271" w:rsidRPr="008E63BB" w:rsidRDefault="00F46503" w:rsidP="0065184D">
      <w:pPr>
        <w:numPr>
          <w:ilvl w:val="0"/>
          <w:numId w:val="9"/>
        </w:numPr>
        <w:tabs>
          <w:tab w:val="left" w:pos="851"/>
        </w:tabs>
        <w:ind w:left="0" w:firstLine="567"/>
        <w:rPr>
          <w:lang w:val="pt-BR"/>
        </w:rPr>
      </w:pPr>
      <w:r w:rsidRPr="008E63BB">
        <w:rPr>
          <w:lang w:val="pt-BR"/>
        </w:rPr>
        <w:t>Quyết định số 326/QĐ-TTg ngày 01/3/2016 của Thủ tướng Chính phủ về việc phê duyệt Quy hoạch phát triển mạng lưới đường bộ cao tốc Việt Nam đến năm 2020 và định hướng đế</w:t>
      </w:r>
      <w:r w:rsidR="003C0271" w:rsidRPr="008E63BB">
        <w:rPr>
          <w:lang w:val="pt-BR"/>
        </w:rPr>
        <w:t>n năm 2030;</w:t>
      </w:r>
    </w:p>
    <w:p w14:paraId="519B1D17" w14:textId="77777777" w:rsidR="003C0271" w:rsidRPr="008E63BB" w:rsidRDefault="003C0271" w:rsidP="0065184D">
      <w:pPr>
        <w:numPr>
          <w:ilvl w:val="0"/>
          <w:numId w:val="9"/>
        </w:numPr>
        <w:tabs>
          <w:tab w:val="left" w:pos="851"/>
        </w:tabs>
        <w:ind w:left="0" w:firstLine="567"/>
        <w:rPr>
          <w:lang w:val="pt-BR"/>
        </w:rPr>
      </w:pPr>
      <w:r w:rsidRPr="008E63BB">
        <w:rPr>
          <w:lang w:val="pt-BR"/>
        </w:rPr>
        <w:t>Quyết định số 257/QĐ-TTg ngày 18/2/2016 của Thủ tướng Chính phủ về việc phê duyệt Quy hoạch phòng chống lũ và quy hoạch đê điều hệ thống sông Hồng, sông Thái Bình</w:t>
      </w:r>
    </w:p>
    <w:p w14:paraId="519B1D18"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2623/QĐ-TTg ngày 31/12/2013 của Thủ tướng Chính phủ về việc phê duyệt Đề án ”Phát triển các đô thị Việt Nam ứng phó với biến đổi khí hậu giai đoạn 2013-2020”;</w:t>
      </w:r>
    </w:p>
    <w:p w14:paraId="519B1D19"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2341/QĐ-TTg ngày 2-12-2013 của Thủ tướng Chính phủ phê duyệt quy hoạch tổng thể phát triển kinh tế - xã hội tỉnh Nam Định đến năm 2020, định hướng đến năm 2030;</w:t>
      </w:r>
    </w:p>
    <w:p w14:paraId="519B1D1A"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2473/QĐ-TTg ngày 30/12/2011 của Thủ tướng Chính phủ về việc phê duyệt "Chiến lược phát triển du lịch Việt Nam đến năm 2020, tầm nhìn đến 2030";</w:t>
      </w:r>
    </w:p>
    <w:p w14:paraId="519B1D1B" w14:textId="77777777" w:rsidR="00F46503" w:rsidRPr="008E63BB" w:rsidRDefault="00F46503" w:rsidP="0065184D">
      <w:pPr>
        <w:numPr>
          <w:ilvl w:val="0"/>
          <w:numId w:val="9"/>
        </w:numPr>
        <w:tabs>
          <w:tab w:val="left" w:pos="851"/>
        </w:tabs>
        <w:ind w:left="0" w:firstLine="567"/>
        <w:rPr>
          <w:lang w:val="pt-BR"/>
        </w:rPr>
      </w:pPr>
      <w:r w:rsidRPr="008E63BB">
        <w:rPr>
          <w:lang w:val="pt-BR"/>
        </w:rPr>
        <w:lastRenderedPageBreak/>
        <w:t>Quyết định số</w:t>
      </w:r>
      <w:r w:rsidR="003223CA" w:rsidRPr="008E63BB">
        <w:rPr>
          <w:lang w:val="pt-BR"/>
        </w:rPr>
        <w:t xml:space="preserve"> 2084/QĐ-TTg ngày 22/11/</w:t>
      </w:r>
      <w:r w:rsidRPr="008E63BB">
        <w:rPr>
          <w:lang w:val="pt-BR"/>
        </w:rPr>
        <w:t>2011 của Thủ tướng Chính phủ phê duyệt Điều chỉnh quy hoạch chung xây dựng thành phố Nam Định đến năm 2025;</w:t>
      </w:r>
    </w:p>
    <w:p w14:paraId="519B1D1C"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2016/QĐ-TTg ngày 28/11/2011 của Thủ tướng chính phủ công nhận thành phố Nam Định là đô thị loại I trực thuộc tỉnh.</w:t>
      </w:r>
    </w:p>
    <w:p w14:paraId="519B1D1D" w14:textId="77777777" w:rsidR="00F16D03" w:rsidRPr="008E63BB" w:rsidRDefault="00F16D03" w:rsidP="0065184D">
      <w:pPr>
        <w:numPr>
          <w:ilvl w:val="0"/>
          <w:numId w:val="9"/>
        </w:numPr>
        <w:tabs>
          <w:tab w:val="left" w:pos="851"/>
        </w:tabs>
        <w:ind w:left="0" w:firstLine="567"/>
        <w:rPr>
          <w:lang w:val="pt-BR"/>
        </w:rPr>
      </w:pPr>
      <w:r w:rsidRPr="008E63BB">
        <w:rPr>
          <w:lang w:val="pt-BR"/>
        </w:rPr>
        <w:t>Quyết định số 738/2012/QĐ-UBND ngày 28/5/2012 của UBND tỉnh Nam Định về việc phê duyệt Quy hoạch phát triển thương mại tỉnh Nam Định giai đoạn 2011-2020, tầm nhìn đến năm 2025;</w:t>
      </w:r>
    </w:p>
    <w:p w14:paraId="519B1D1E" w14:textId="77777777" w:rsidR="00F46503" w:rsidRPr="008E63BB" w:rsidRDefault="00F46503" w:rsidP="0065184D">
      <w:pPr>
        <w:numPr>
          <w:ilvl w:val="0"/>
          <w:numId w:val="9"/>
        </w:numPr>
        <w:tabs>
          <w:tab w:val="left" w:pos="851"/>
        </w:tabs>
        <w:ind w:left="0" w:firstLine="567"/>
        <w:rPr>
          <w:lang w:val="pt-BR"/>
        </w:rPr>
      </w:pPr>
      <w:r w:rsidRPr="008E63BB">
        <w:rPr>
          <w:lang w:val="pt-BR"/>
        </w:rPr>
        <w:t>Quyết định số 1013/QĐ-UBND ngày 16/07/2012 của UBND tỉnh Nam Định về việc phê duyệt Quy hoạch tổng thể phát triển du lịch tỉnh Nam Định đến năm 2020, tầm nhìn đến năm 2030;</w:t>
      </w:r>
    </w:p>
    <w:p w14:paraId="519B1D1F" w14:textId="77777777" w:rsidR="00EB5A44" w:rsidRPr="008E63BB" w:rsidRDefault="00EB5A44" w:rsidP="0065184D">
      <w:pPr>
        <w:numPr>
          <w:ilvl w:val="0"/>
          <w:numId w:val="9"/>
        </w:numPr>
        <w:tabs>
          <w:tab w:val="left" w:pos="851"/>
        </w:tabs>
        <w:ind w:left="0" w:firstLine="567"/>
        <w:rPr>
          <w:lang w:val="pt-BR"/>
        </w:rPr>
      </w:pPr>
      <w:r w:rsidRPr="008E63BB">
        <w:rPr>
          <w:szCs w:val="28"/>
          <w:lang w:val="pt-BR"/>
        </w:rPr>
        <w:t>Quyết định số 3053/QĐ-UBND ngày 23/12/2016 của UBND Tỉnh Nam Định V/v phê duyệt Quy hoạch quản lý chất thải rắn vùng tỉnh Nam Định đến năm 2030;</w:t>
      </w:r>
    </w:p>
    <w:p w14:paraId="519B1D20" w14:textId="77777777" w:rsidR="00EB5A44" w:rsidRPr="008E63BB" w:rsidRDefault="00EB5A44" w:rsidP="0065184D">
      <w:pPr>
        <w:numPr>
          <w:ilvl w:val="0"/>
          <w:numId w:val="9"/>
        </w:numPr>
        <w:tabs>
          <w:tab w:val="left" w:pos="851"/>
        </w:tabs>
        <w:ind w:left="0" w:firstLine="567"/>
        <w:rPr>
          <w:lang w:val="pt-BR"/>
        </w:rPr>
      </w:pPr>
      <w:r w:rsidRPr="008E63BB">
        <w:rPr>
          <w:bCs/>
          <w:iCs/>
          <w:lang w:val="pt-BR"/>
        </w:rPr>
        <w:t xml:space="preserve">Quyết </w:t>
      </w:r>
      <w:r w:rsidRPr="008E63BB">
        <w:rPr>
          <w:rFonts w:hint="eastAsia"/>
          <w:bCs/>
          <w:iCs/>
          <w:lang w:val="pt-BR"/>
        </w:rPr>
        <w:t>đ</w:t>
      </w:r>
      <w:r w:rsidRPr="008E63BB">
        <w:rPr>
          <w:bCs/>
          <w:iCs/>
          <w:lang w:val="pt-BR"/>
        </w:rPr>
        <w:t>ịnh số 605/Q</w:t>
      </w:r>
      <w:r w:rsidRPr="008E63BB">
        <w:rPr>
          <w:rFonts w:hint="eastAsia"/>
          <w:bCs/>
          <w:iCs/>
          <w:lang w:val="pt-BR"/>
        </w:rPr>
        <w:t>Đ</w:t>
      </w:r>
      <w:r w:rsidRPr="008E63BB">
        <w:rPr>
          <w:bCs/>
          <w:iCs/>
          <w:lang w:val="pt-BR"/>
        </w:rPr>
        <w:t xml:space="preserve">-UBND ngày 29/3/2017 của UBND Tỉnh Nam </w:t>
      </w:r>
      <w:r w:rsidRPr="008E63BB">
        <w:rPr>
          <w:rFonts w:hint="eastAsia"/>
          <w:bCs/>
          <w:iCs/>
          <w:lang w:val="pt-BR"/>
        </w:rPr>
        <w:t>Đ</w:t>
      </w:r>
      <w:r w:rsidRPr="008E63BB">
        <w:rPr>
          <w:bCs/>
          <w:iCs/>
          <w:lang w:val="pt-BR"/>
        </w:rPr>
        <w:t>ịnh V/v phê duyệt Quy hoạch cấp n</w:t>
      </w:r>
      <w:r w:rsidRPr="008E63BB">
        <w:rPr>
          <w:rFonts w:hint="eastAsia"/>
          <w:bCs/>
          <w:iCs/>
          <w:lang w:val="pt-BR"/>
        </w:rPr>
        <w:t>ư</w:t>
      </w:r>
      <w:r w:rsidRPr="008E63BB">
        <w:rPr>
          <w:bCs/>
          <w:iCs/>
          <w:lang w:val="pt-BR"/>
        </w:rPr>
        <w:t xml:space="preserve">ớc thành phố Nam </w:t>
      </w:r>
      <w:r w:rsidRPr="008E63BB">
        <w:rPr>
          <w:rFonts w:hint="eastAsia"/>
          <w:bCs/>
          <w:iCs/>
          <w:lang w:val="pt-BR"/>
        </w:rPr>
        <w:t>Đ</w:t>
      </w:r>
      <w:r w:rsidRPr="008E63BB">
        <w:rPr>
          <w:bCs/>
          <w:iCs/>
          <w:lang w:val="pt-BR"/>
        </w:rPr>
        <w:t xml:space="preserve">ịnh </w:t>
      </w:r>
      <w:r w:rsidRPr="008E63BB">
        <w:rPr>
          <w:rFonts w:hint="eastAsia"/>
          <w:bCs/>
          <w:iCs/>
          <w:lang w:val="pt-BR"/>
        </w:rPr>
        <w:t>đ</w:t>
      </w:r>
      <w:r w:rsidRPr="008E63BB">
        <w:rPr>
          <w:bCs/>
          <w:iCs/>
          <w:lang w:val="pt-BR"/>
        </w:rPr>
        <w:t>ến n</w:t>
      </w:r>
      <w:r w:rsidRPr="008E63BB">
        <w:rPr>
          <w:rFonts w:hint="eastAsia"/>
          <w:bCs/>
          <w:iCs/>
          <w:lang w:val="pt-BR"/>
        </w:rPr>
        <w:t>ă</w:t>
      </w:r>
      <w:r w:rsidRPr="008E63BB">
        <w:rPr>
          <w:bCs/>
          <w:iCs/>
          <w:lang w:val="pt-BR"/>
        </w:rPr>
        <w:t xml:space="preserve">m 2020, </w:t>
      </w:r>
      <w:r w:rsidRPr="008E63BB">
        <w:rPr>
          <w:rFonts w:hint="eastAsia"/>
          <w:bCs/>
          <w:iCs/>
          <w:lang w:val="pt-BR"/>
        </w:rPr>
        <w:t>đ</w:t>
      </w:r>
      <w:r w:rsidRPr="008E63BB">
        <w:rPr>
          <w:bCs/>
          <w:iCs/>
          <w:lang w:val="pt-BR"/>
        </w:rPr>
        <w:t>ịnh h</w:t>
      </w:r>
      <w:r w:rsidRPr="008E63BB">
        <w:rPr>
          <w:rFonts w:hint="eastAsia"/>
          <w:bCs/>
          <w:iCs/>
          <w:lang w:val="pt-BR"/>
        </w:rPr>
        <w:t>ư</w:t>
      </w:r>
      <w:r w:rsidRPr="008E63BB">
        <w:rPr>
          <w:bCs/>
          <w:iCs/>
          <w:lang w:val="pt-BR"/>
        </w:rPr>
        <w:t xml:space="preserve">ớng </w:t>
      </w:r>
      <w:r w:rsidRPr="008E63BB">
        <w:rPr>
          <w:rFonts w:hint="eastAsia"/>
          <w:bCs/>
          <w:iCs/>
          <w:lang w:val="pt-BR"/>
        </w:rPr>
        <w:t>đ</w:t>
      </w:r>
      <w:r w:rsidRPr="008E63BB">
        <w:rPr>
          <w:bCs/>
          <w:iCs/>
          <w:lang w:val="pt-BR"/>
        </w:rPr>
        <w:t>ến n</w:t>
      </w:r>
      <w:r w:rsidRPr="008E63BB">
        <w:rPr>
          <w:rFonts w:hint="eastAsia"/>
          <w:bCs/>
          <w:iCs/>
          <w:lang w:val="pt-BR"/>
        </w:rPr>
        <w:t>ă</w:t>
      </w:r>
      <w:r w:rsidRPr="008E63BB">
        <w:rPr>
          <w:bCs/>
          <w:iCs/>
          <w:lang w:val="pt-BR"/>
        </w:rPr>
        <w:t>m 2025;</w:t>
      </w:r>
    </w:p>
    <w:p w14:paraId="519B1D21" w14:textId="77777777" w:rsidR="00F16D03" w:rsidRPr="008E63BB" w:rsidRDefault="00F16D03" w:rsidP="0065184D">
      <w:pPr>
        <w:numPr>
          <w:ilvl w:val="0"/>
          <w:numId w:val="9"/>
        </w:numPr>
        <w:tabs>
          <w:tab w:val="left" w:pos="851"/>
        </w:tabs>
        <w:ind w:left="0" w:firstLine="567"/>
        <w:rPr>
          <w:lang w:val="pt-BR"/>
        </w:rPr>
      </w:pPr>
      <w:r w:rsidRPr="008E63BB">
        <w:rPr>
          <w:lang w:val="pt-BR"/>
        </w:rPr>
        <w:t>Quyết định số 630/QĐ-UBND ngày 04/4/2017 của UBND tỉnh Nam Định về việc phê duyệt Điều chỉnh, bổ sung quy hoạch phát triển cụm công nghiệp trên địa bàn tỉnh Nam Định đến năm 2020, tầm nhìn đến năm 2025;</w:t>
      </w:r>
    </w:p>
    <w:p w14:paraId="519B1D22" w14:textId="77777777" w:rsidR="00F16D03" w:rsidRPr="008E63BB" w:rsidRDefault="00F16D03" w:rsidP="0065184D">
      <w:pPr>
        <w:numPr>
          <w:ilvl w:val="0"/>
          <w:numId w:val="9"/>
        </w:numPr>
        <w:tabs>
          <w:tab w:val="left" w:pos="851"/>
        </w:tabs>
        <w:ind w:left="0" w:firstLine="567"/>
        <w:rPr>
          <w:lang w:val="pt-BR"/>
        </w:rPr>
      </w:pPr>
      <w:r w:rsidRPr="008E63BB">
        <w:rPr>
          <w:lang w:val="pt-BR"/>
        </w:rPr>
        <w:t>Quyết định số 2693/QĐ-UBND ngày 22/11/2017 của UBND tỉnh Nam Định về việc phê duyệt điều chỉnh, bổ sung quy hoạch phát triển giao thông vận tải tỉnh Nam Định về việc phê duyệt điều chỉnh bổ sung quy hoach phát triển giao thông vận tải tỉnh Nam Định đến năm 202, định hướng đến năm 2030.</w:t>
      </w:r>
    </w:p>
    <w:p w14:paraId="519B1D23" w14:textId="77777777" w:rsidR="00EB5A44" w:rsidRPr="008E63BB" w:rsidRDefault="00EB5A44" w:rsidP="0065184D">
      <w:pPr>
        <w:numPr>
          <w:ilvl w:val="0"/>
          <w:numId w:val="9"/>
        </w:numPr>
        <w:tabs>
          <w:tab w:val="left" w:pos="851"/>
        </w:tabs>
        <w:ind w:left="0" w:firstLine="567"/>
        <w:rPr>
          <w:lang w:val="pt-BR"/>
        </w:rPr>
      </w:pPr>
      <w:r w:rsidRPr="008E63BB">
        <w:rPr>
          <w:bCs/>
          <w:iCs/>
          <w:lang w:val="pt-BR"/>
        </w:rPr>
        <w:t xml:space="preserve">Quyết </w:t>
      </w:r>
      <w:r w:rsidRPr="008E63BB">
        <w:rPr>
          <w:rFonts w:hint="eastAsia"/>
          <w:bCs/>
          <w:iCs/>
          <w:lang w:val="pt-BR"/>
        </w:rPr>
        <w:t>đ</w:t>
      </w:r>
      <w:r w:rsidRPr="008E63BB">
        <w:rPr>
          <w:bCs/>
          <w:iCs/>
          <w:lang w:val="pt-BR"/>
        </w:rPr>
        <w:t>ịnh số 2796/Q</w:t>
      </w:r>
      <w:r w:rsidRPr="008E63BB">
        <w:rPr>
          <w:rFonts w:hint="eastAsia"/>
          <w:bCs/>
          <w:iCs/>
          <w:lang w:val="pt-BR"/>
        </w:rPr>
        <w:t>Đ</w:t>
      </w:r>
      <w:r w:rsidRPr="008E63BB">
        <w:rPr>
          <w:bCs/>
          <w:iCs/>
          <w:lang w:val="pt-BR"/>
        </w:rPr>
        <w:t xml:space="preserve">-UBND ngày 10/12/2018 của UBND Tỉnh Nam </w:t>
      </w:r>
      <w:r w:rsidRPr="008E63BB">
        <w:rPr>
          <w:rFonts w:hint="eastAsia"/>
          <w:bCs/>
          <w:iCs/>
          <w:lang w:val="pt-BR"/>
        </w:rPr>
        <w:t>Đ</w:t>
      </w:r>
      <w:r w:rsidRPr="008E63BB">
        <w:rPr>
          <w:bCs/>
          <w:iCs/>
          <w:lang w:val="pt-BR"/>
        </w:rPr>
        <w:t>ịnh V/v phê duyệt QH thoát n</w:t>
      </w:r>
      <w:r w:rsidRPr="008E63BB">
        <w:rPr>
          <w:rFonts w:hint="eastAsia"/>
          <w:bCs/>
          <w:iCs/>
          <w:lang w:val="pt-BR"/>
        </w:rPr>
        <w:t>ư</w:t>
      </w:r>
      <w:r w:rsidRPr="008E63BB">
        <w:rPr>
          <w:bCs/>
          <w:iCs/>
          <w:lang w:val="pt-BR"/>
        </w:rPr>
        <w:t>ớc m</w:t>
      </w:r>
      <w:r w:rsidRPr="008E63BB">
        <w:rPr>
          <w:rFonts w:hint="eastAsia"/>
          <w:bCs/>
          <w:iCs/>
          <w:lang w:val="pt-BR"/>
        </w:rPr>
        <w:t>ư</w:t>
      </w:r>
      <w:r w:rsidRPr="008E63BB">
        <w:rPr>
          <w:bCs/>
          <w:iCs/>
          <w:lang w:val="pt-BR"/>
        </w:rPr>
        <w:t>a n</w:t>
      </w:r>
      <w:r w:rsidRPr="008E63BB">
        <w:rPr>
          <w:rFonts w:hint="eastAsia"/>
          <w:bCs/>
          <w:iCs/>
          <w:lang w:val="pt-BR"/>
        </w:rPr>
        <w:t>ư</w:t>
      </w:r>
      <w:r w:rsidRPr="008E63BB">
        <w:rPr>
          <w:bCs/>
          <w:iCs/>
          <w:lang w:val="pt-BR"/>
        </w:rPr>
        <w:t xml:space="preserve">ớc thải thành phố Nam </w:t>
      </w:r>
      <w:r w:rsidRPr="008E63BB">
        <w:rPr>
          <w:rFonts w:hint="eastAsia"/>
          <w:bCs/>
          <w:iCs/>
          <w:lang w:val="pt-BR"/>
        </w:rPr>
        <w:t>Đ</w:t>
      </w:r>
      <w:r w:rsidRPr="008E63BB">
        <w:rPr>
          <w:bCs/>
          <w:iCs/>
          <w:lang w:val="pt-BR"/>
        </w:rPr>
        <w:t xml:space="preserve">ịnh </w:t>
      </w:r>
      <w:r w:rsidRPr="008E63BB">
        <w:rPr>
          <w:rFonts w:hint="eastAsia"/>
          <w:bCs/>
          <w:iCs/>
          <w:lang w:val="pt-BR"/>
        </w:rPr>
        <w:t>đ</w:t>
      </w:r>
      <w:r w:rsidRPr="008E63BB">
        <w:rPr>
          <w:bCs/>
          <w:iCs/>
          <w:lang w:val="pt-BR"/>
        </w:rPr>
        <w:t>ến n</w:t>
      </w:r>
      <w:r w:rsidRPr="008E63BB">
        <w:rPr>
          <w:rFonts w:hint="eastAsia"/>
          <w:bCs/>
          <w:iCs/>
          <w:lang w:val="pt-BR"/>
        </w:rPr>
        <w:t>ă</w:t>
      </w:r>
      <w:r w:rsidRPr="008E63BB">
        <w:rPr>
          <w:bCs/>
          <w:iCs/>
          <w:lang w:val="pt-BR"/>
        </w:rPr>
        <w:t xml:space="preserve">m 2030, tầm nhìn </w:t>
      </w:r>
      <w:r w:rsidRPr="008E63BB">
        <w:rPr>
          <w:rFonts w:hint="eastAsia"/>
          <w:bCs/>
          <w:iCs/>
          <w:lang w:val="pt-BR"/>
        </w:rPr>
        <w:t>đ</w:t>
      </w:r>
      <w:r w:rsidRPr="008E63BB">
        <w:rPr>
          <w:bCs/>
          <w:iCs/>
          <w:lang w:val="pt-BR"/>
        </w:rPr>
        <w:t>ến 2050;</w:t>
      </w:r>
    </w:p>
    <w:p w14:paraId="519B1D24" w14:textId="77777777" w:rsidR="00F46503" w:rsidRPr="008E63BB" w:rsidRDefault="00F46503" w:rsidP="0065184D">
      <w:pPr>
        <w:numPr>
          <w:ilvl w:val="0"/>
          <w:numId w:val="9"/>
        </w:numPr>
        <w:tabs>
          <w:tab w:val="left" w:pos="851"/>
        </w:tabs>
        <w:ind w:left="0" w:firstLine="567"/>
        <w:rPr>
          <w:lang w:val="pt-BR"/>
        </w:rPr>
      </w:pPr>
      <w:r w:rsidRPr="008E63BB">
        <w:rPr>
          <w:lang w:val="pt-BR"/>
        </w:rPr>
        <w:t>Văn bản số 1282/TTg-CN ngày 21/9/2018 của Thủ tướng Chính phủ chấp thuận chủ trương điều chỉnh Quy hoạch chung thành phố Nam Định.</w:t>
      </w:r>
    </w:p>
    <w:p w14:paraId="519B1D25" w14:textId="77777777" w:rsidR="00F46503" w:rsidRPr="008E63BB" w:rsidRDefault="00AD520D" w:rsidP="0065184D">
      <w:pPr>
        <w:numPr>
          <w:ilvl w:val="0"/>
          <w:numId w:val="9"/>
        </w:numPr>
        <w:tabs>
          <w:tab w:val="left" w:pos="851"/>
        </w:tabs>
        <w:ind w:left="0" w:firstLine="567"/>
        <w:rPr>
          <w:lang w:val="pt-BR"/>
        </w:rPr>
      </w:pPr>
      <w:r w:rsidRPr="008E63BB">
        <w:rPr>
          <w:lang w:val="pt-BR"/>
        </w:rPr>
        <w:t>Quyết định số 342/QĐ-TTg ngày 28/3/2019 của Thủ tướng Chính phủ v/v phê duyệt N</w:t>
      </w:r>
      <w:r w:rsidR="00F46503" w:rsidRPr="008E63BB">
        <w:rPr>
          <w:lang w:val="pt-BR"/>
        </w:rPr>
        <w:t>hiệm vụ điều chỉnh Quy hoạch chung Thành phố Nam Định đến năm 2040 tầm nhìn đến năm 2050;</w:t>
      </w:r>
    </w:p>
    <w:p w14:paraId="519B1D26" w14:textId="77777777" w:rsidR="00505A35" w:rsidRPr="008E63BB" w:rsidRDefault="00505A35" w:rsidP="0065184D">
      <w:pPr>
        <w:numPr>
          <w:ilvl w:val="0"/>
          <w:numId w:val="9"/>
        </w:numPr>
        <w:tabs>
          <w:tab w:val="left" w:pos="851"/>
        </w:tabs>
        <w:ind w:left="0" w:firstLine="567"/>
        <w:rPr>
          <w:lang w:val="pt-BR"/>
        </w:rPr>
      </w:pPr>
      <w:r w:rsidRPr="008E63BB">
        <w:rPr>
          <w:lang w:val="pt-BR"/>
        </w:rPr>
        <w:t>Nghị quyết số 64/NQ-HĐND tỉnh Nam Định ngày 07/12/2019 thông qua Điều chỉnh QHC thành phố Nam Định đến năm 2040 tầm nhìn đến năm 2050;</w:t>
      </w:r>
    </w:p>
    <w:p w14:paraId="519B1D27" w14:textId="77777777" w:rsidR="00975D29" w:rsidRDefault="00975D29" w:rsidP="00975D29">
      <w:pPr>
        <w:numPr>
          <w:ilvl w:val="0"/>
          <w:numId w:val="9"/>
        </w:numPr>
        <w:tabs>
          <w:tab w:val="left" w:pos="851"/>
        </w:tabs>
        <w:ind w:left="0" w:firstLine="567"/>
        <w:rPr>
          <w:lang w:val="pt-BR"/>
        </w:rPr>
      </w:pPr>
      <w:r w:rsidRPr="008E63BB">
        <w:rPr>
          <w:lang w:val="pt-BR"/>
        </w:rPr>
        <w:t>Căn cứ Thông báo số 81/TB- BXD ngày 25/6/2020 của Bộ Xây dựng về việc thông báo Kết luận của Thứ trưởng Nguyễn Tường Văn tại Hội nghị thẩm định Điều chỉnh Quy hoạch chung thành phố Nam Định đến năm 2040, tầm nhìn đến năm 2050;</w:t>
      </w:r>
    </w:p>
    <w:p w14:paraId="53243DFE" w14:textId="42A5582D" w:rsidR="00E1321A" w:rsidRPr="008E63BB" w:rsidRDefault="00E1321A" w:rsidP="00E1321A">
      <w:pPr>
        <w:numPr>
          <w:ilvl w:val="0"/>
          <w:numId w:val="9"/>
        </w:numPr>
        <w:tabs>
          <w:tab w:val="left" w:pos="851"/>
        </w:tabs>
        <w:ind w:left="0" w:firstLine="567"/>
        <w:rPr>
          <w:lang w:val="pt-BR"/>
        </w:rPr>
      </w:pPr>
      <w:r w:rsidRPr="008E63BB">
        <w:rPr>
          <w:lang w:val="pt-BR"/>
        </w:rPr>
        <w:t xml:space="preserve">Quyết định số </w:t>
      </w:r>
      <w:r>
        <w:rPr>
          <w:lang w:val="pt-BR"/>
        </w:rPr>
        <w:t>1422</w:t>
      </w:r>
      <w:r w:rsidRPr="008E63BB">
        <w:rPr>
          <w:lang w:val="pt-BR"/>
        </w:rPr>
        <w:t xml:space="preserve">/QĐ-TTg ngày </w:t>
      </w:r>
      <w:r>
        <w:rPr>
          <w:lang w:val="pt-BR"/>
        </w:rPr>
        <w:t>17/9/2020</w:t>
      </w:r>
      <w:r w:rsidRPr="008E63BB">
        <w:rPr>
          <w:lang w:val="pt-BR"/>
        </w:rPr>
        <w:t xml:space="preserve"> của Thủ tướng Chính phủ v/v phê duyệt </w:t>
      </w:r>
      <w:r>
        <w:rPr>
          <w:lang w:val="pt-BR"/>
        </w:rPr>
        <w:t>đồ án</w:t>
      </w:r>
      <w:r w:rsidRPr="008E63BB">
        <w:rPr>
          <w:lang w:val="pt-BR"/>
        </w:rPr>
        <w:t xml:space="preserve"> điều chỉnh Quy hoạch chung Thành phố Nam Định đến năm 2040</w:t>
      </w:r>
      <w:r>
        <w:rPr>
          <w:lang w:val="pt-BR"/>
        </w:rPr>
        <w:t>,</w:t>
      </w:r>
      <w:r w:rsidRPr="008E63BB">
        <w:rPr>
          <w:lang w:val="pt-BR"/>
        </w:rPr>
        <w:t xml:space="preserve"> tầm nhìn đến năm 2050;</w:t>
      </w:r>
    </w:p>
    <w:p w14:paraId="519B1D28" w14:textId="77777777" w:rsidR="007A6686" w:rsidRPr="008E63BB" w:rsidRDefault="00F46503" w:rsidP="0065184D">
      <w:pPr>
        <w:widowControl w:val="0"/>
        <w:ind w:firstLine="567"/>
        <w:rPr>
          <w:szCs w:val="26"/>
          <w:lang w:val="pt-BR"/>
        </w:rPr>
      </w:pPr>
      <w:r w:rsidRPr="008E63BB">
        <w:rPr>
          <w:lang w:val="pt-BR"/>
        </w:rPr>
        <w:t>- Các Văn bản pháp lý, văn bản chỉ đạo có liên quan</w:t>
      </w:r>
    </w:p>
    <w:p w14:paraId="519B1D29" w14:textId="77777777" w:rsidR="00075D0F" w:rsidRPr="008E63BB" w:rsidRDefault="00075D0F" w:rsidP="0065184D">
      <w:pPr>
        <w:pStyle w:val="Heading3"/>
        <w:rPr>
          <w:lang w:val="vi-VN"/>
        </w:rPr>
      </w:pPr>
      <w:bookmarkStart w:id="23" w:name="_Toc341519001"/>
      <w:bookmarkStart w:id="24" w:name="_Toc341519102"/>
      <w:bookmarkStart w:id="25" w:name="_Toc344928415"/>
      <w:bookmarkStart w:id="26" w:name="_Toc345538323"/>
      <w:bookmarkStart w:id="27" w:name="_Toc493424421"/>
      <w:bookmarkStart w:id="28" w:name="_Toc21954805"/>
      <w:bookmarkStart w:id="29" w:name="_Toc21955304"/>
      <w:bookmarkStart w:id="30" w:name="_Toc24361880"/>
      <w:bookmarkStart w:id="31" w:name="_Toc47524639"/>
      <w:r w:rsidRPr="008E63BB">
        <w:rPr>
          <w:lang w:val="vi-VN"/>
        </w:rPr>
        <w:t>1.2.2. Các cơ sở nghiên cứu</w:t>
      </w:r>
      <w:bookmarkEnd w:id="23"/>
      <w:bookmarkEnd w:id="24"/>
      <w:bookmarkEnd w:id="25"/>
      <w:bookmarkEnd w:id="26"/>
      <w:bookmarkEnd w:id="27"/>
      <w:bookmarkEnd w:id="28"/>
      <w:bookmarkEnd w:id="29"/>
      <w:bookmarkEnd w:id="30"/>
      <w:bookmarkEnd w:id="31"/>
    </w:p>
    <w:p w14:paraId="519B1D2A" w14:textId="77777777" w:rsidR="00F46503" w:rsidRPr="008E63BB" w:rsidRDefault="00F46503" w:rsidP="0065184D">
      <w:pPr>
        <w:numPr>
          <w:ilvl w:val="0"/>
          <w:numId w:val="9"/>
        </w:numPr>
        <w:tabs>
          <w:tab w:val="left" w:pos="851"/>
        </w:tabs>
        <w:ind w:left="0" w:firstLine="567"/>
        <w:rPr>
          <w:lang w:val="vi-VN"/>
        </w:rPr>
      </w:pPr>
      <w:r w:rsidRPr="008E63BB">
        <w:rPr>
          <w:lang w:val="vi-VN"/>
        </w:rPr>
        <w:t xml:space="preserve">Quy chuẩn kỹ thuật Quốc gia về Quy hoạch xây dựng: QCXDVN: 01/2008/BXD ngày 3/4/2008 của Bộ Xây dựng; </w:t>
      </w:r>
    </w:p>
    <w:p w14:paraId="519B1D2B" w14:textId="77777777" w:rsidR="00F46503" w:rsidRPr="008E63BB" w:rsidRDefault="00F46503" w:rsidP="0065184D">
      <w:pPr>
        <w:numPr>
          <w:ilvl w:val="0"/>
          <w:numId w:val="9"/>
        </w:numPr>
        <w:tabs>
          <w:tab w:val="left" w:pos="851"/>
        </w:tabs>
        <w:ind w:left="0" w:firstLine="567"/>
        <w:rPr>
          <w:lang w:val="vi-VN"/>
        </w:rPr>
      </w:pPr>
      <w:r w:rsidRPr="008E63BB">
        <w:rPr>
          <w:lang w:val="vi-VN"/>
        </w:rPr>
        <w:t>Quy chuẩn kỹ thuật quốc gia các công trình Hạ tầng kỹ thuật: QCVN 07/2016/BXD ngày 26/07/2015 của Bộ Xây dựng;</w:t>
      </w:r>
    </w:p>
    <w:p w14:paraId="519B1D2C" w14:textId="77777777" w:rsidR="00ED1B35" w:rsidRPr="008E63BB" w:rsidRDefault="00F46503" w:rsidP="0065184D">
      <w:pPr>
        <w:widowControl w:val="0"/>
        <w:ind w:firstLine="720"/>
        <w:rPr>
          <w:lang w:val="vi-VN"/>
        </w:rPr>
      </w:pPr>
      <w:r w:rsidRPr="008E63BB">
        <w:rPr>
          <w:lang w:val="vi-VN"/>
        </w:rPr>
        <w:t>- Quy chuẩn, tiêu chuẩn chuyên ngành của Việt Nam và những tài liệu khác có liên quan</w:t>
      </w:r>
    </w:p>
    <w:p w14:paraId="519B1D2D" w14:textId="77777777" w:rsidR="00F46503" w:rsidRPr="008E63BB" w:rsidRDefault="00F46503" w:rsidP="0065184D">
      <w:pPr>
        <w:numPr>
          <w:ilvl w:val="0"/>
          <w:numId w:val="9"/>
        </w:numPr>
        <w:tabs>
          <w:tab w:val="left" w:pos="851"/>
        </w:tabs>
        <w:ind w:left="0" w:firstLine="567"/>
        <w:rPr>
          <w:lang w:val="vi-VN"/>
        </w:rPr>
      </w:pPr>
      <w:r w:rsidRPr="008E63BB">
        <w:rPr>
          <w:lang w:val="vi-VN"/>
        </w:rPr>
        <w:t>Hồ sơ đồ án Quy hoạch xây dựng vùng Tỉnh Nam Định đến năm 2030, tầm nhìn đến năm 2050 và ngoài 2050;</w:t>
      </w:r>
    </w:p>
    <w:p w14:paraId="519B1D2E" w14:textId="77777777" w:rsidR="00F46503" w:rsidRPr="008E63BB" w:rsidRDefault="00F46503" w:rsidP="0065184D">
      <w:pPr>
        <w:numPr>
          <w:ilvl w:val="0"/>
          <w:numId w:val="9"/>
        </w:numPr>
        <w:tabs>
          <w:tab w:val="left" w:pos="851"/>
        </w:tabs>
        <w:ind w:left="0" w:firstLine="567"/>
        <w:rPr>
          <w:lang w:val="vi-VN"/>
        </w:rPr>
      </w:pPr>
      <w:r w:rsidRPr="008E63BB">
        <w:rPr>
          <w:lang w:val="vi-VN"/>
        </w:rPr>
        <w:lastRenderedPageBreak/>
        <w:t>Hồ sơ Quy hoạch tổng thể phát triển kinh tế xã hội tỉnh Nam Định giai đoạn đến năm 2020, tầm nhìn đến năm 2030;</w:t>
      </w:r>
    </w:p>
    <w:p w14:paraId="519B1D2F" w14:textId="77777777" w:rsidR="003468D8" w:rsidRPr="008E63BB" w:rsidRDefault="00F46503" w:rsidP="0065184D">
      <w:pPr>
        <w:numPr>
          <w:ilvl w:val="0"/>
          <w:numId w:val="9"/>
        </w:numPr>
        <w:tabs>
          <w:tab w:val="left" w:pos="851"/>
        </w:tabs>
        <w:ind w:left="0" w:firstLine="567"/>
        <w:rPr>
          <w:lang w:val="vi-VN"/>
        </w:rPr>
      </w:pPr>
      <w:r w:rsidRPr="008E63BB">
        <w:rPr>
          <w:lang w:val="vi-VN"/>
        </w:rPr>
        <w:t>Hồ sơ Quy hoạch tổng thể phát triển kinh tế xã hội thành phố Nam Định</w:t>
      </w:r>
      <w:r w:rsidR="003468D8" w:rsidRPr="008E63BB">
        <w:rPr>
          <w:lang w:val="vi-VN"/>
        </w:rPr>
        <w:t>, huyện Mỹ Lộc, huyện Vụ Bản, huyện Nam Trực</w:t>
      </w:r>
      <w:r w:rsidRPr="008E63BB">
        <w:rPr>
          <w:lang w:val="vi-VN"/>
        </w:rPr>
        <w:t xml:space="preserve"> đến năm 2020, tầm nhìn đến năm 2030;</w:t>
      </w:r>
    </w:p>
    <w:p w14:paraId="519B1D30" w14:textId="77777777" w:rsidR="00F46503" w:rsidRPr="008E63BB" w:rsidRDefault="003468D8" w:rsidP="0065184D">
      <w:pPr>
        <w:numPr>
          <w:ilvl w:val="0"/>
          <w:numId w:val="9"/>
        </w:numPr>
        <w:tabs>
          <w:tab w:val="left" w:pos="851"/>
        </w:tabs>
        <w:ind w:left="0" w:firstLine="567"/>
        <w:rPr>
          <w:lang w:val="vi-VN"/>
        </w:rPr>
      </w:pPr>
      <w:r w:rsidRPr="008E63BB">
        <w:rPr>
          <w:lang w:val="vi-VN"/>
        </w:rPr>
        <w:t xml:space="preserve">Hồ sơ Quy hoạch xây dựng vùng huyện Mỹ Lộc, huyện Nam Trực, huyện Vụ Bản đến năm 2030; </w:t>
      </w:r>
    </w:p>
    <w:p w14:paraId="519B1D31" w14:textId="77777777" w:rsidR="00F46503" w:rsidRPr="008E63BB" w:rsidRDefault="00F46503" w:rsidP="0065184D">
      <w:pPr>
        <w:numPr>
          <w:ilvl w:val="0"/>
          <w:numId w:val="9"/>
        </w:numPr>
        <w:tabs>
          <w:tab w:val="left" w:pos="851"/>
        </w:tabs>
        <w:ind w:left="0" w:firstLine="567"/>
        <w:rPr>
          <w:lang w:val="vi-VN"/>
        </w:rPr>
      </w:pPr>
      <w:r w:rsidRPr="008E63BB">
        <w:rPr>
          <w:lang w:val="vi-VN"/>
        </w:rPr>
        <w:t>Điều chỉnh Quy hoạch sử dụng đất đến năm 2020, kế hoạch sử dụng đất kỳ cuối (2016-2020)</w:t>
      </w:r>
    </w:p>
    <w:p w14:paraId="519B1D32" w14:textId="77777777" w:rsidR="00F46503" w:rsidRPr="008E63BB" w:rsidRDefault="00F46503" w:rsidP="0065184D">
      <w:pPr>
        <w:numPr>
          <w:ilvl w:val="0"/>
          <w:numId w:val="9"/>
        </w:numPr>
        <w:tabs>
          <w:tab w:val="left" w:pos="851"/>
        </w:tabs>
        <w:ind w:left="0" w:firstLine="567"/>
        <w:rPr>
          <w:lang w:val="vi-VN"/>
        </w:rPr>
      </w:pPr>
      <w:r w:rsidRPr="008E63BB">
        <w:rPr>
          <w:lang w:val="vi-VN"/>
        </w:rPr>
        <w:t>Các quy hoạch chuyên ngành về giao thông, công nghiệp, du lịch, thương mại, môi trường vv... có liên quan;</w:t>
      </w:r>
    </w:p>
    <w:p w14:paraId="519B1D33" w14:textId="77777777" w:rsidR="00F46503" w:rsidRPr="008E63BB" w:rsidRDefault="00F46503" w:rsidP="0065184D">
      <w:pPr>
        <w:numPr>
          <w:ilvl w:val="0"/>
          <w:numId w:val="9"/>
        </w:numPr>
        <w:tabs>
          <w:tab w:val="left" w:pos="851"/>
        </w:tabs>
        <w:ind w:left="0" w:firstLine="567"/>
        <w:rPr>
          <w:szCs w:val="28"/>
          <w:lang w:val="vi-VN"/>
        </w:rPr>
      </w:pPr>
      <w:r w:rsidRPr="008E63BB">
        <w:rPr>
          <w:lang w:val="vi-VN"/>
        </w:rPr>
        <w:t>Các đồ án quy hoạch đô thị, quy hoạch xây dựng trong thành phố, các quy hoạch về công nghiệp, du lịch, thương mại,... có liên quan của tỉnh;</w:t>
      </w:r>
      <w:r w:rsidR="006B0BE5" w:rsidRPr="008E63BB">
        <w:rPr>
          <w:szCs w:val="28"/>
          <w:lang w:val="vi-VN"/>
        </w:rPr>
        <w:t xml:space="preserve">Dự án Nâng cấp hệ thống công trình phòng chống lụt bão đê hữu sông Hồng và tả sông Đào thành phố Nam Định, tỉnh Nam Định; </w:t>
      </w:r>
    </w:p>
    <w:p w14:paraId="519B1D34" w14:textId="77777777" w:rsidR="00F46503" w:rsidRPr="008E63BB" w:rsidRDefault="00F46503" w:rsidP="0065184D">
      <w:pPr>
        <w:numPr>
          <w:ilvl w:val="0"/>
          <w:numId w:val="9"/>
        </w:numPr>
        <w:tabs>
          <w:tab w:val="left" w:pos="851"/>
        </w:tabs>
        <w:ind w:left="0" w:firstLine="567"/>
        <w:rPr>
          <w:lang w:val="vi-VN"/>
        </w:rPr>
      </w:pPr>
      <w:r w:rsidRPr="008E63BB">
        <w:rPr>
          <w:lang w:val="vi-VN"/>
        </w:rPr>
        <w:t>Các kết quả điều tra, khảo sát, các số liệu, tài liệu về khí tượng thủy văn, địa chất công trình, hiện trạng kinh tế xã hội, hạ tầng xã hội, hạ tầng kỹ thuật... và các tài liệu khác có liên quan;</w:t>
      </w:r>
    </w:p>
    <w:p w14:paraId="519B1D35" w14:textId="77777777" w:rsidR="00F46503" w:rsidRPr="008E63BB" w:rsidRDefault="00F46503" w:rsidP="0065184D">
      <w:pPr>
        <w:numPr>
          <w:ilvl w:val="0"/>
          <w:numId w:val="9"/>
        </w:numPr>
        <w:tabs>
          <w:tab w:val="left" w:pos="851"/>
        </w:tabs>
        <w:ind w:left="0" w:firstLine="567"/>
        <w:rPr>
          <w:lang w:val="vi-VN"/>
        </w:rPr>
      </w:pPr>
      <w:r w:rsidRPr="008E63BB">
        <w:rPr>
          <w:lang w:val="vi-VN"/>
        </w:rPr>
        <w:t xml:space="preserve">Bản đồ đo đạc địa hình tỷ lệ 1/5.000 - 1/10.000 theo tọa độ VN2000 do cơ quan có thẩm quyền cung cấp. </w:t>
      </w:r>
    </w:p>
    <w:p w14:paraId="519B1D36" w14:textId="77777777" w:rsidR="00F46503" w:rsidRPr="008E63BB" w:rsidRDefault="00F46503" w:rsidP="0065184D">
      <w:pPr>
        <w:numPr>
          <w:ilvl w:val="0"/>
          <w:numId w:val="9"/>
        </w:numPr>
        <w:tabs>
          <w:tab w:val="left" w:pos="851"/>
        </w:tabs>
        <w:ind w:left="0" w:firstLine="567"/>
        <w:rPr>
          <w:lang w:val="vi-VN"/>
        </w:rPr>
      </w:pPr>
      <w:r w:rsidRPr="008E63BB">
        <w:rPr>
          <w:lang w:val="vi-VN"/>
        </w:rPr>
        <w:t>Bản đồ hiện trạng sử dụng đất thành phố Nam Định</w:t>
      </w:r>
    </w:p>
    <w:p w14:paraId="519B1D37" w14:textId="77777777" w:rsidR="00513CD1" w:rsidRPr="008E63BB" w:rsidRDefault="00513CD1" w:rsidP="0065184D">
      <w:pPr>
        <w:numPr>
          <w:ilvl w:val="0"/>
          <w:numId w:val="9"/>
        </w:numPr>
        <w:tabs>
          <w:tab w:val="left" w:pos="851"/>
        </w:tabs>
        <w:ind w:left="0" w:firstLine="567"/>
        <w:rPr>
          <w:lang w:val="vi-VN"/>
        </w:rPr>
      </w:pPr>
      <w:r w:rsidRPr="008E63BB">
        <w:rPr>
          <w:rFonts w:eastAsia="Times New Roman" w:cs="Arial"/>
          <w:szCs w:val="26"/>
          <w:lang w:val="vi-VN"/>
        </w:rPr>
        <w:t>Các tài liệu, số liệu, các đồ án quy hoạch ngành, các dự án đầu tư xây dựng, các tài liệu  và số liệu có liên quan.</w:t>
      </w:r>
    </w:p>
    <w:p w14:paraId="519B1D38" w14:textId="77777777" w:rsidR="002772E0" w:rsidRPr="008E63BB" w:rsidRDefault="002772E0" w:rsidP="0065184D">
      <w:pPr>
        <w:pStyle w:val="Heading2"/>
        <w:spacing w:before="0" w:after="0"/>
        <w:rPr>
          <w:lang w:val="vi-VN"/>
        </w:rPr>
      </w:pPr>
      <w:bookmarkStart w:id="32" w:name="_Toc341519002"/>
      <w:bookmarkStart w:id="33" w:name="_Toc341519103"/>
      <w:bookmarkStart w:id="34" w:name="_Toc344928416"/>
      <w:bookmarkStart w:id="35" w:name="_Toc345538324"/>
      <w:bookmarkStart w:id="36" w:name="_Toc47524640"/>
      <w:r w:rsidRPr="008E63BB">
        <w:rPr>
          <w:lang w:val="vi-VN"/>
        </w:rPr>
        <w:t>1.3. Mục tiêu và nhiệm vụ</w:t>
      </w:r>
      <w:bookmarkEnd w:id="32"/>
      <w:bookmarkEnd w:id="33"/>
      <w:bookmarkEnd w:id="34"/>
      <w:bookmarkEnd w:id="35"/>
      <w:bookmarkEnd w:id="36"/>
    </w:p>
    <w:p w14:paraId="519B1D39" w14:textId="77777777" w:rsidR="002772E0" w:rsidRPr="008E63BB" w:rsidRDefault="002772E0" w:rsidP="0065184D">
      <w:pPr>
        <w:pStyle w:val="Heading3"/>
        <w:rPr>
          <w:lang w:val="en-US"/>
        </w:rPr>
      </w:pPr>
      <w:bookmarkStart w:id="37" w:name="_Toc341519003"/>
      <w:bookmarkStart w:id="38" w:name="_Toc341519104"/>
      <w:bookmarkStart w:id="39" w:name="_Toc344928417"/>
      <w:bookmarkStart w:id="40" w:name="_Toc345538325"/>
      <w:bookmarkStart w:id="41" w:name="_Toc493424423"/>
      <w:bookmarkStart w:id="42" w:name="_Toc21954807"/>
      <w:bookmarkStart w:id="43" w:name="_Toc21955306"/>
      <w:bookmarkStart w:id="44" w:name="_Toc23568163"/>
      <w:bookmarkStart w:id="45" w:name="_Toc24361882"/>
      <w:bookmarkStart w:id="46" w:name="_Toc47524641"/>
      <w:r w:rsidRPr="008E63BB">
        <w:rPr>
          <w:lang w:val="vi-VN"/>
        </w:rPr>
        <w:t>1.3.1. Mục tiêu</w:t>
      </w:r>
      <w:bookmarkEnd w:id="37"/>
      <w:bookmarkEnd w:id="38"/>
      <w:bookmarkEnd w:id="39"/>
      <w:bookmarkEnd w:id="40"/>
      <w:bookmarkEnd w:id="41"/>
      <w:bookmarkEnd w:id="42"/>
      <w:bookmarkEnd w:id="43"/>
      <w:bookmarkEnd w:id="44"/>
      <w:bookmarkEnd w:id="45"/>
      <w:bookmarkEnd w:id="46"/>
    </w:p>
    <w:p w14:paraId="519B1D3A" w14:textId="77777777" w:rsidR="005F4B13" w:rsidRPr="008E63BB" w:rsidRDefault="005F4B13" w:rsidP="005F4B13">
      <w:pPr>
        <w:numPr>
          <w:ilvl w:val="0"/>
          <w:numId w:val="9"/>
        </w:numPr>
        <w:tabs>
          <w:tab w:val="left" w:pos="851"/>
        </w:tabs>
        <w:ind w:left="0" w:firstLine="567"/>
        <w:rPr>
          <w:lang w:val="vi-VN"/>
        </w:rPr>
      </w:pPr>
      <w:r w:rsidRPr="008E63BB">
        <w:rPr>
          <w:lang w:val="vi-VN"/>
        </w:rPr>
        <w:t>Điều chỉnh Quy hoạch chung Thành phố Nam Định với những vị thế và xu hướng phát triển mới, trong bối cảnh hội nhập quốc tế và toàn cầu hoá, tạo điều kiện khai thác có hiệu quả những tiềm năng phát triển của thành phố Nam  Định theo hướng phát triển bền vững, phù hợp với định hướng quy hoạch tổng thể phát triển hệ thống đô thị Việt Nam, quy hoạch phát triển kinh tế xã hội của tỉnh Nam Định và quy hoạch tổng thể kinh tế xã hội thành phố Nam Định;</w:t>
      </w:r>
    </w:p>
    <w:p w14:paraId="519B1D3B" w14:textId="77777777" w:rsidR="005F4B13" w:rsidRPr="008E63BB" w:rsidRDefault="005F4B13" w:rsidP="005F4B13">
      <w:pPr>
        <w:numPr>
          <w:ilvl w:val="0"/>
          <w:numId w:val="9"/>
        </w:numPr>
        <w:tabs>
          <w:tab w:val="left" w:pos="851"/>
        </w:tabs>
        <w:ind w:left="0" w:firstLine="567"/>
        <w:rPr>
          <w:lang w:val="vi-VN"/>
        </w:rPr>
      </w:pPr>
      <w:r w:rsidRPr="008E63BB">
        <w:rPr>
          <w:lang w:val="vi-VN"/>
        </w:rPr>
        <w:t xml:space="preserve">Xây dựng, phát triển thành phố Nam Định là một thành phố trung tâm vùng Nam đồng bằng sông Hồng văn minh, thân thiện, với hệ thống kết cấu hạ tầng kinh tế - xã hội đồng bộ, hiện đại gắn với tiềm năng về văn hóa, trung tâm giáo dục chuyên nghiệp và dịch vụ phục vụ chung cho cả tiểu vùng. </w:t>
      </w:r>
    </w:p>
    <w:p w14:paraId="519B1D3C" w14:textId="77777777" w:rsidR="005F4B13" w:rsidRPr="008E63BB" w:rsidRDefault="005F4B13" w:rsidP="005F4B13">
      <w:pPr>
        <w:numPr>
          <w:ilvl w:val="0"/>
          <w:numId w:val="9"/>
        </w:numPr>
        <w:tabs>
          <w:tab w:val="left" w:pos="851"/>
        </w:tabs>
        <w:ind w:left="0" w:firstLine="567"/>
        <w:rPr>
          <w:lang w:val="vi-VN"/>
        </w:rPr>
      </w:pPr>
      <w:r w:rsidRPr="008E63BB">
        <w:rPr>
          <w:lang w:val="vi-VN"/>
        </w:rPr>
        <w:t xml:space="preserve">Tăng cường quản lý phát triển đô thị, tạo điều kiện thu hút đầu tư; đào tạo nguồn nhân lực; xây dựng cơ sở hạ tầng đồng bộ và hiện đại; phát triển bền  vững, phòng tránh thiên tai, ứng phó với biến đổi khí hậu. </w:t>
      </w:r>
    </w:p>
    <w:p w14:paraId="519B1D3D" w14:textId="77777777" w:rsidR="005F4B13" w:rsidRPr="008E63BB" w:rsidRDefault="005F4B13" w:rsidP="005F4B13">
      <w:pPr>
        <w:numPr>
          <w:ilvl w:val="0"/>
          <w:numId w:val="9"/>
        </w:numPr>
        <w:tabs>
          <w:tab w:val="left" w:pos="851"/>
        </w:tabs>
        <w:ind w:left="0" w:firstLine="567"/>
        <w:rPr>
          <w:lang w:val="vi-VN"/>
        </w:rPr>
      </w:pPr>
      <w:r w:rsidRPr="008E63BB">
        <w:rPr>
          <w:lang w:val="vi-VN"/>
        </w:rPr>
        <w:t>Làm cơ sở để quản lý quy hoạch và triển khai tiếp công tác chuẩn bị đầu tư xây dựng đô thị theo quy hoạch. Tạo cơ hội thuận lợi cho các chương trình phát triển, các dự án đầu tư.</w:t>
      </w:r>
    </w:p>
    <w:p w14:paraId="519B1D3E" w14:textId="77777777" w:rsidR="002772E0" w:rsidRPr="008E63BB" w:rsidRDefault="002772E0" w:rsidP="0065184D">
      <w:pPr>
        <w:pStyle w:val="Heading3"/>
        <w:rPr>
          <w:lang w:val="vi-VN"/>
        </w:rPr>
      </w:pPr>
      <w:bookmarkStart w:id="47" w:name="_Toc341519004"/>
      <w:bookmarkStart w:id="48" w:name="_Toc341519105"/>
      <w:bookmarkStart w:id="49" w:name="_Toc344928418"/>
      <w:bookmarkStart w:id="50" w:name="_Toc345538326"/>
      <w:bookmarkStart w:id="51" w:name="_Toc493424424"/>
      <w:bookmarkStart w:id="52" w:name="_Toc21954808"/>
      <w:bookmarkStart w:id="53" w:name="_Toc21955307"/>
      <w:bookmarkStart w:id="54" w:name="_Toc23568164"/>
      <w:bookmarkStart w:id="55" w:name="_Toc24361883"/>
      <w:bookmarkStart w:id="56" w:name="_Toc47524642"/>
      <w:r w:rsidRPr="008E63BB">
        <w:rPr>
          <w:lang w:val="vi-VN"/>
        </w:rPr>
        <w:t>1.3.2. Nhiệm vụ</w:t>
      </w:r>
      <w:bookmarkEnd w:id="47"/>
      <w:bookmarkEnd w:id="48"/>
      <w:bookmarkEnd w:id="49"/>
      <w:bookmarkEnd w:id="50"/>
      <w:bookmarkEnd w:id="51"/>
      <w:bookmarkEnd w:id="52"/>
      <w:bookmarkEnd w:id="53"/>
      <w:bookmarkEnd w:id="54"/>
      <w:bookmarkEnd w:id="55"/>
      <w:bookmarkEnd w:id="56"/>
    </w:p>
    <w:p w14:paraId="519B1D3F"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t>- Đánh giá vai trò, vị trí thành phố trong bối cảnh phát triển vùng.</w:t>
      </w:r>
    </w:p>
    <w:p w14:paraId="519B1D40"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t xml:space="preserve">- Đánh giá tổng hợp các điều kiện tự nhiên,điều kiện hiện trạng. </w:t>
      </w:r>
    </w:p>
    <w:p w14:paraId="519B1D41"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t xml:space="preserve">- Rà soát đánh giá việc thực hiện quy hoạch xây dựng theo đồ án Quy hoạch chung đã </w:t>
      </w:r>
      <w:r w:rsidR="00A443A8" w:rsidRPr="008E63BB">
        <w:rPr>
          <w:rFonts w:eastAsia="Times New Roman"/>
          <w:szCs w:val="26"/>
          <w:lang w:val="vi-VN"/>
        </w:rPr>
        <w:t>được phê duyệt năm 2011</w:t>
      </w:r>
      <w:r w:rsidRPr="008E63BB">
        <w:rPr>
          <w:rFonts w:eastAsia="Times New Roman"/>
          <w:szCs w:val="26"/>
          <w:lang w:val="vi-VN"/>
        </w:rPr>
        <w:t xml:space="preserve">, </w:t>
      </w:r>
      <w:r w:rsidR="002B1D7D" w:rsidRPr="008E63BB">
        <w:rPr>
          <w:rFonts w:eastAsia="Times New Roman"/>
          <w:szCs w:val="26"/>
          <w:lang w:val="vi-VN"/>
        </w:rPr>
        <w:t xml:space="preserve">cập nhật các biến động, </w:t>
      </w:r>
      <w:r w:rsidRPr="008E63BB">
        <w:rPr>
          <w:rFonts w:eastAsia="Times New Roman"/>
          <w:szCs w:val="26"/>
          <w:lang w:val="vi-VN"/>
        </w:rPr>
        <w:t>xác định những tồn tại cần nghiên cứu điều chỉnh. Khớp nối hiện trạng hạ tầng đô thị, khớp nối các dự án đang triển khai vào quy hoạch chung.</w:t>
      </w:r>
    </w:p>
    <w:p w14:paraId="519B1D42"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lastRenderedPageBreak/>
        <w:t xml:space="preserve">- Xác định các tiền đề phát triển đô thị: các mối quan hệ nội ngoại vùng, cơ sở kinh tế kỹ thuật tạo động lực phát triển thành phố; Xác định các chỉ tiêu kinh tế kỹ thuật cơ bản; Dự báo phát triển dân số, nhu cầu </w:t>
      </w:r>
      <w:r w:rsidR="00A443A8" w:rsidRPr="008E63BB">
        <w:rPr>
          <w:rFonts w:eastAsia="Times New Roman"/>
          <w:szCs w:val="26"/>
          <w:lang w:val="vi-VN"/>
        </w:rPr>
        <w:t>đất xây dựng đô thị đến năm 2040</w:t>
      </w:r>
      <w:r w:rsidRPr="008E63BB">
        <w:rPr>
          <w:rFonts w:eastAsia="Times New Roman"/>
          <w:szCs w:val="26"/>
          <w:lang w:val="vi-VN"/>
        </w:rPr>
        <w:t xml:space="preserve">; Xác định tính chất đô thị. </w:t>
      </w:r>
    </w:p>
    <w:p w14:paraId="519B1D43"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t>- Đề xuất các kịch bản phát triển và định hướng phát triển không gian đô thị: Tầm nhìn, điều chỉnh quy hoạch sử dụng đất, mạng lưới hạ tầng xã hội, khung thiết kế đô thị tổn</w:t>
      </w:r>
      <w:r w:rsidR="00A443A8" w:rsidRPr="008E63BB">
        <w:rPr>
          <w:rFonts w:eastAsia="Times New Roman"/>
          <w:szCs w:val="26"/>
          <w:lang w:val="vi-VN"/>
        </w:rPr>
        <w:t>g thể của thành phố đến năm 2040</w:t>
      </w:r>
      <w:r w:rsidR="0045288E" w:rsidRPr="008E63BB">
        <w:rPr>
          <w:rFonts w:eastAsia="Times New Roman"/>
          <w:szCs w:val="26"/>
          <w:lang w:val="vi-VN"/>
        </w:rPr>
        <w:t>.</w:t>
      </w:r>
    </w:p>
    <w:p w14:paraId="519B1D44"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t>- Đề xuất định hướng hạ tầng kỹ thuật, bảo vệ cảnh quan môi trường t</w:t>
      </w:r>
      <w:r w:rsidR="00A443A8" w:rsidRPr="008E63BB">
        <w:rPr>
          <w:rFonts w:eastAsia="Times New Roman"/>
          <w:szCs w:val="26"/>
          <w:lang w:val="vi-VN"/>
        </w:rPr>
        <w:t>hành phố Nam Định đến năm 2040</w:t>
      </w:r>
      <w:r w:rsidR="0045288E" w:rsidRPr="008E63BB">
        <w:rPr>
          <w:rFonts w:eastAsia="Times New Roman"/>
          <w:szCs w:val="26"/>
          <w:lang w:val="vi-VN"/>
        </w:rPr>
        <w:t>.</w:t>
      </w:r>
    </w:p>
    <w:p w14:paraId="519B1D45" w14:textId="77777777" w:rsidR="002772E0" w:rsidRPr="008E63BB" w:rsidRDefault="002772E0" w:rsidP="0065184D">
      <w:pPr>
        <w:ind w:firstLine="426"/>
        <w:rPr>
          <w:rFonts w:eastAsia="Times New Roman"/>
          <w:szCs w:val="26"/>
          <w:lang w:val="vi-VN"/>
        </w:rPr>
      </w:pPr>
      <w:r w:rsidRPr="008E63BB">
        <w:rPr>
          <w:rFonts w:eastAsia="Times New Roman"/>
          <w:szCs w:val="26"/>
          <w:lang w:val="vi-VN"/>
        </w:rPr>
        <w:t xml:space="preserve">- Lập bản đồ quy hoạch </w:t>
      </w:r>
      <w:r w:rsidR="00A443A8" w:rsidRPr="008E63BB">
        <w:rPr>
          <w:rFonts w:eastAsia="Times New Roman"/>
          <w:szCs w:val="26"/>
          <w:lang w:val="vi-VN"/>
        </w:rPr>
        <w:t>sử dụng đất đợt đầu đến năm 2030</w:t>
      </w:r>
      <w:r w:rsidRPr="008E63BB">
        <w:rPr>
          <w:rFonts w:eastAsia="Times New Roman"/>
          <w:szCs w:val="26"/>
          <w:lang w:val="vi-VN"/>
        </w:rPr>
        <w:t>. Nêu các giải pháp quy hoạch kiến trúc, hạ tầng kỹ thuật. Đề xuất các chương trình dự án đầu tư giai đoạn đầu.</w:t>
      </w:r>
    </w:p>
    <w:p w14:paraId="519B1D46" w14:textId="77777777" w:rsidR="0069247F" w:rsidRPr="008E63BB" w:rsidRDefault="00F46503" w:rsidP="0065184D">
      <w:pPr>
        <w:pStyle w:val="Heading2"/>
        <w:spacing w:before="0" w:after="0"/>
        <w:rPr>
          <w:lang w:val="vi-VN"/>
        </w:rPr>
      </w:pPr>
      <w:bookmarkStart w:id="57" w:name="_Toc341519005"/>
      <w:bookmarkStart w:id="58" w:name="_Toc341519106"/>
      <w:bookmarkStart w:id="59" w:name="_Toc344928419"/>
      <w:bookmarkStart w:id="60" w:name="_Toc345538327"/>
      <w:bookmarkStart w:id="61" w:name="_Toc47524643"/>
      <w:r w:rsidRPr="008E63BB">
        <w:rPr>
          <w:lang w:val="vi-VN"/>
        </w:rPr>
        <w:t>1.4. Ranh giới, quy mô và thời hạn</w:t>
      </w:r>
      <w:bookmarkEnd w:id="57"/>
      <w:bookmarkEnd w:id="58"/>
      <w:bookmarkEnd w:id="59"/>
      <w:bookmarkEnd w:id="60"/>
      <w:r w:rsidRPr="008E63BB">
        <w:rPr>
          <w:lang w:val="vi-VN"/>
        </w:rPr>
        <w:t>lập điều chỉnh quy hoạch</w:t>
      </w:r>
      <w:bookmarkEnd w:id="61"/>
    </w:p>
    <w:p w14:paraId="519B1D47" w14:textId="77777777" w:rsidR="00F46503" w:rsidRPr="008E63BB" w:rsidRDefault="00F46503" w:rsidP="0065184D">
      <w:pPr>
        <w:rPr>
          <w:b/>
          <w:bCs/>
          <w:i/>
          <w:iCs/>
          <w:lang w:val="vi-VN"/>
        </w:rPr>
      </w:pPr>
      <w:bookmarkStart w:id="62" w:name="_Toc536004677"/>
      <w:bookmarkStart w:id="63" w:name="_Toc21954810"/>
      <w:bookmarkStart w:id="64" w:name="_Toc21955309"/>
      <w:bookmarkStart w:id="65" w:name="_Toc23568166"/>
      <w:bookmarkStart w:id="66" w:name="_Toc24344821"/>
      <w:r w:rsidRPr="008E63BB">
        <w:rPr>
          <w:b/>
          <w:bCs/>
          <w:i/>
          <w:iCs/>
          <w:lang w:val="vi-VN"/>
        </w:rPr>
        <w:t>Ranh giới lập điều chỉnh quy hoạch:</w:t>
      </w:r>
      <w:bookmarkEnd w:id="62"/>
      <w:bookmarkEnd w:id="63"/>
      <w:bookmarkEnd w:id="64"/>
      <w:bookmarkEnd w:id="65"/>
      <w:bookmarkEnd w:id="66"/>
    </w:p>
    <w:p w14:paraId="519B1D48" w14:textId="77777777" w:rsidR="00C22654" w:rsidRPr="008E63BB" w:rsidRDefault="00F46503" w:rsidP="0065184D">
      <w:pPr>
        <w:ind w:firstLine="720"/>
        <w:rPr>
          <w:lang w:val="pt-BR"/>
        </w:rPr>
      </w:pPr>
      <w:r w:rsidRPr="008E63BB">
        <w:rPr>
          <w:lang w:val="pt-BR"/>
        </w:rPr>
        <w:t>Giữ nguyên phạm vi và ranh giới lập quy hoạch đã phê duyệt tại Quyết định số 2084/QĐ-TTg ngày 22/11/2011, cụ thể</w:t>
      </w:r>
      <w:bookmarkStart w:id="67" w:name="_Toc416707046"/>
      <w:r w:rsidRPr="008E63BB">
        <w:rPr>
          <w:lang w:val="pt-BR"/>
        </w:rPr>
        <w:t xml:space="preserve"> gồm: </w:t>
      </w:r>
      <w:bookmarkEnd w:id="67"/>
      <w:r w:rsidRPr="008E63BB">
        <w:rPr>
          <w:lang w:val="pt-BR"/>
        </w:rPr>
        <w:t>toàn bộ Thành phố Nam Định</w:t>
      </w:r>
      <w:r w:rsidR="00C22654" w:rsidRPr="008E63BB">
        <w:rPr>
          <w:lang w:val="pt-BR"/>
        </w:rPr>
        <w:t xml:space="preserve">, </w:t>
      </w:r>
      <w:r w:rsidRPr="008E63BB">
        <w:rPr>
          <w:lang w:val="pt-BR"/>
        </w:rPr>
        <w:t>Huyện Mỹ Lộc; 3 xã Đại An, Thành Lợi và Tân Thành của huyện Vụ Bản và 5 xã Nam Mỹ, Nam Toàn, Hồng Quang, Điền Xá và Nghĩa An của huyện Nam Trực</w:t>
      </w:r>
      <w:r w:rsidR="00C22654" w:rsidRPr="008E63BB">
        <w:rPr>
          <w:lang w:val="pt-BR"/>
        </w:rPr>
        <w:t>.</w:t>
      </w:r>
    </w:p>
    <w:p w14:paraId="519B1D49" w14:textId="77777777" w:rsidR="00C22654" w:rsidRPr="008E63BB" w:rsidRDefault="00F46503" w:rsidP="0065184D">
      <w:pPr>
        <w:ind w:firstLine="720"/>
        <w:rPr>
          <w:szCs w:val="26"/>
          <w:lang w:val="pt-BR"/>
        </w:rPr>
      </w:pPr>
      <w:r w:rsidRPr="008E63BB">
        <w:rPr>
          <w:lang w:val="pt-BR"/>
        </w:rPr>
        <w:t xml:space="preserve">Tổng diện tích </w:t>
      </w:r>
      <w:r w:rsidR="00C22654" w:rsidRPr="008E63BB">
        <w:rPr>
          <w:lang w:val="pt-BR"/>
        </w:rPr>
        <w:t>khu vực lập quy hoạch</w:t>
      </w:r>
      <w:r w:rsidRPr="008E63BB">
        <w:rPr>
          <w:lang w:val="pt-BR"/>
        </w:rPr>
        <w:t xml:space="preserve"> theo QĐ 2084/QĐ-TTg phê duyệt QH2011 là 184,45km2. </w:t>
      </w:r>
      <w:r w:rsidR="00C22654" w:rsidRPr="008E63BB">
        <w:rPr>
          <w:lang w:val="pt-BR"/>
        </w:rPr>
        <w:t>Tuy nhiên, theo số liệu kiểm kê đất đai năm 2018, diện tích các khu vực như sau</w:t>
      </w:r>
      <w:r w:rsidR="00C22654" w:rsidRPr="008E63BB">
        <w:rPr>
          <w:szCs w:val="26"/>
          <w:lang w:val="pt-BR"/>
        </w:rPr>
        <w:t xml:space="preserve">: </w:t>
      </w:r>
      <w:r w:rsidR="00C22654" w:rsidRPr="008E63BB">
        <w:rPr>
          <w:szCs w:val="26"/>
          <w:lang w:val="nb-NO"/>
        </w:rPr>
        <w:t xml:space="preserve">Thành phố Nam Định diện tích </w:t>
      </w:r>
      <w:r w:rsidR="00F5692E" w:rsidRPr="008E63BB">
        <w:rPr>
          <w:szCs w:val="26"/>
          <w:lang w:val="nb-NO"/>
        </w:rPr>
        <w:t>46,41</w:t>
      </w:r>
      <w:r w:rsidR="00C22654" w:rsidRPr="008E63BB">
        <w:rPr>
          <w:szCs w:val="26"/>
          <w:lang w:val="nb-NO"/>
        </w:rPr>
        <w:t>km2; Huyện Mỹ Lộc diện tích 74,49km2; 3 xã Đại An, Thành Lợi và Tân Thành của huyện Vụ Bản có diện tích 26,48km2 và 5 xã Nam Mỹ, Nam Toàn, Hồng Quang, Điền Xá và Nghĩa An của huyện Nam Trực có diện tích 40,6km2. Tổng diện tích khu vực lập quy hoạch xác định theo số liệu kiểm kê đấ</w:t>
      </w:r>
      <w:r w:rsidR="00A13373" w:rsidRPr="008E63BB">
        <w:rPr>
          <w:szCs w:val="26"/>
          <w:lang w:val="nb-NO"/>
        </w:rPr>
        <w:t xml:space="preserve">t đai năm 2018 là 187,99 </w:t>
      </w:r>
      <w:r w:rsidR="00C22654" w:rsidRPr="008E63BB">
        <w:rPr>
          <w:szCs w:val="26"/>
          <w:lang w:val="nb-NO"/>
        </w:rPr>
        <w:t>km2.</w:t>
      </w:r>
    </w:p>
    <w:p w14:paraId="519B1D4A" w14:textId="77777777" w:rsidR="00F46503" w:rsidRPr="008E63BB" w:rsidRDefault="00F46503" w:rsidP="0065184D">
      <w:pPr>
        <w:ind w:firstLine="720"/>
        <w:rPr>
          <w:lang w:val="pt-BR"/>
        </w:rPr>
      </w:pPr>
      <w:r w:rsidRPr="008E63BB">
        <w:rPr>
          <w:lang w:val="pt-BR"/>
        </w:rPr>
        <w:t xml:space="preserve">Ranh giới khu vực quy hoạch được xác định cụ thể như sau: </w:t>
      </w:r>
    </w:p>
    <w:p w14:paraId="519B1D4B" w14:textId="77777777" w:rsidR="00F46503" w:rsidRPr="008E63BB" w:rsidRDefault="00F46503" w:rsidP="0065184D">
      <w:pPr>
        <w:ind w:firstLine="720"/>
        <w:rPr>
          <w:lang w:val="pt-BR"/>
        </w:rPr>
      </w:pPr>
      <w:bookmarkStart w:id="68" w:name="_Toc416707048"/>
      <w:r w:rsidRPr="008E63BB">
        <w:rPr>
          <w:lang w:val="pt-BR"/>
        </w:rPr>
        <w:t>+ Phía Bắc: giáp tỉnh Hà Nam;</w:t>
      </w:r>
      <w:bookmarkEnd w:id="68"/>
    </w:p>
    <w:p w14:paraId="519B1D4C" w14:textId="77777777" w:rsidR="00F46503" w:rsidRPr="008E63BB" w:rsidRDefault="00F46503" w:rsidP="0065184D">
      <w:pPr>
        <w:ind w:firstLine="720"/>
        <w:rPr>
          <w:lang w:val="pt-BR"/>
        </w:rPr>
      </w:pPr>
      <w:bookmarkStart w:id="69" w:name="_Toc416707049"/>
      <w:r w:rsidRPr="008E63BB">
        <w:rPr>
          <w:lang w:val="pt-BR"/>
        </w:rPr>
        <w:t>+ Phía Tây giáp phần còn lại của huyện Vụ Bản;</w:t>
      </w:r>
      <w:bookmarkEnd w:id="69"/>
    </w:p>
    <w:p w14:paraId="519B1D4D" w14:textId="77777777" w:rsidR="00F46503" w:rsidRPr="008E63BB" w:rsidRDefault="00F46503" w:rsidP="0065184D">
      <w:pPr>
        <w:ind w:firstLine="720"/>
        <w:rPr>
          <w:lang w:val="pt-BR"/>
        </w:rPr>
      </w:pPr>
      <w:bookmarkStart w:id="70" w:name="_Toc416707050"/>
      <w:r w:rsidRPr="008E63BB">
        <w:rPr>
          <w:lang w:val="pt-BR"/>
        </w:rPr>
        <w:t>+ Phía Nam giáp phần còn lại của huyện Vụ Bản và Nam Trực;</w:t>
      </w:r>
      <w:bookmarkEnd w:id="70"/>
    </w:p>
    <w:p w14:paraId="519B1D4E" w14:textId="77777777" w:rsidR="00F46503" w:rsidRPr="008E63BB" w:rsidRDefault="00F46503" w:rsidP="0065184D">
      <w:pPr>
        <w:ind w:firstLine="720"/>
        <w:rPr>
          <w:lang w:val="pt-BR"/>
        </w:rPr>
      </w:pPr>
      <w:r w:rsidRPr="008E63BB">
        <w:rPr>
          <w:lang w:val="pt-BR"/>
        </w:rPr>
        <w:t>+ Phía Đông giáp tỉnh Thái Bình</w:t>
      </w:r>
    </w:p>
    <w:tbl>
      <w:tblPr>
        <w:tblW w:w="0" w:type="auto"/>
        <w:tblInd w:w="108" w:type="dxa"/>
        <w:tblLook w:val="04A0" w:firstRow="1" w:lastRow="0" w:firstColumn="1" w:lastColumn="0" w:noHBand="0" w:noVBand="1"/>
      </w:tblPr>
      <w:tblGrid>
        <w:gridCol w:w="9033"/>
      </w:tblGrid>
      <w:tr w:rsidR="008D5BFE" w:rsidRPr="008E63BB" w14:paraId="519B1D50" w14:textId="77777777" w:rsidTr="0030385C">
        <w:trPr>
          <w:trHeight w:val="4731"/>
        </w:trPr>
        <w:tc>
          <w:tcPr>
            <w:tcW w:w="9033" w:type="dxa"/>
            <w:shd w:val="clear" w:color="auto" w:fill="auto"/>
          </w:tcPr>
          <w:p w14:paraId="519B1D4F" w14:textId="465AC72E" w:rsidR="00F46503" w:rsidRPr="008E63BB" w:rsidRDefault="00ED20D4" w:rsidP="0065184D">
            <w:pPr>
              <w:widowControl w:val="0"/>
              <w:tabs>
                <w:tab w:val="left" w:pos="360"/>
              </w:tabs>
              <w:jc w:val="center"/>
              <w:rPr>
                <w:lang w:val="vi-VN"/>
              </w:rPr>
            </w:pPr>
            <w:r w:rsidRPr="00ED20D4">
              <w:rPr>
                <w:noProof/>
                <w:lang w:eastAsia="zh-CN"/>
              </w:rPr>
              <w:drawing>
                <wp:inline distT="0" distB="0" distL="0" distR="0" wp14:anchorId="23981863" wp14:editId="11885203">
                  <wp:extent cx="4738255" cy="3370438"/>
                  <wp:effectExtent l="0" t="0" r="5715" b="190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42634" cy="3373553"/>
                          </a:xfrm>
                          <a:prstGeom prst="rect">
                            <a:avLst/>
                          </a:prstGeom>
                          <a:noFill/>
                          <a:ln>
                            <a:noFill/>
                          </a:ln>
                          <a:effectLst/>
                          <a:extLst/>
                        </pic:spPr>
                      </pic:pic>
                    </a:graphicData>
                  </a:graphic>
                </wp:inline>
              </w:drawing>
            </w:r>
          </w:p>
        </w:tc>
      </w:tr>
    </w:tbl>
    <w:p w14:paraId="519B1D51" w14:textId="77777777" w:rsidR="00F46503" w:rsidRPr="008E63BB" w:rsidRDefault="00F46503" w:rsidP="0065184D">
      <w:pPr>
        <w:pStyle w:val="-"/>
        <w:numPr>
          <w:ilvl w:val="0"/>
          <w:numId w:val="0"/>
        </w:numPr>
        <w:spacing w:before="0" w:after="0"/>
        <w:ind w:left="720"/>
        <w:jc w:val="center"/>
        <w:rPr>
          <w:i/>
        </w:rPr>
      </w:pPr>
      <w:r w:rsidRPr="008E63BB">
        <w:rPr>
          <w:i/>
        </w:rPr>
        <w:t>Sơ đồ ranh giới phạm vi nghiên cứu</w:t>
      </w:r>
    </w:p>
    <w:p w14:paraId="519B1D52" w14:textId="77777777" w:rsidR="00F46503" w:rsidRPr="008E63BB" w:rsidRDefault="00F46503" w:rsidP="0065184D">
      <w:pPr>
        <w:rPr>
          <w:b/>
          <w:bCs/>
          <w:i/>
          <w:iCs/>
        </w:rPr>
      </w:pPr>
      <w:bookmarkStart w:id="71" w:name="_Toc536004678"/>
      <w:bookmarkStart w:id="72" w:name="_Toc21954811"/>
      <w:bookmarkStart w:id="73" w:name="_Toc21955310"/>
      <w:bookmarkStart w:id="74" w:name="_Toc23568167"/>
      <w:bookmarkStart w:id="75" w:name="_Toc24344822"/>
      <w:r w:rsidRPr="008E63BB">
        <w:rPr>
          <w:b/>
          <w:bCs/>
          <w:i/>
          <w:iCs/>
        </w:rPr>
        <w:lastRenderedPageBreak/>
        <w:t>Quy mô lập quy hoạch</w:t>
      </w:r>
      <w:bookmarkEnd w:id="71"/>
      <w:bookmarkEnd w:id="72"/>
      <w:bookmarkEnd w:id="73"/>
      <w:bookmarkEnd w:id="74"/>
      <w:bookmarkEnd w:id="75"/>
    </w:p>
    <w:p w14:paraId="519B1D53" w14:textId="77777777" w:rsidR="00F46503" w:rsidRPr="008E63BB" w:rsidRDefault="00F46503" w:rsidP="0065184D">
      <w:pPr>
        <w:ind w:firstLine="567"/>
      </w:pPr>
      <w:r w:rsidRPr="008E63BB">
        <w:t xml:space="preserve">- Quy mô dân số năm </w:t>
      </w:r>
      <w:r w:rsidR="008F5422" w:rsidRPr="008E63BB">
        <w:t>201</w:t>
      </w:r>
      <w:r w:rsidR="008E52CD" w:rsidRPr="008E63BB">
        <w:t>9</w:t>
      </w:r>
      <w:r w:rsidRPr="008E63BB">
        <w:t>: khu vực lập điều chỉnh quy hoạ</w:t>
      </w:r>
      <w:r w:rsidR="008F5422" w:rsidRPr="008E63BB">
        <w:t>ch là 38</w:t>
      </w:r>
      <w:r w:rsidR="0034685D" w:rsidRPr="008E63BB">
        <w:t>7.</w:t>
      </w:r>
      <w:r w:rsidR="002D222A" w:rsidRPr="008E63BB">
        <w:t>298</w:t>
      </w:r>
      <w:r w:rsidRPr="008E63BB">
        <w:t xml:space="preserve"> người, trong đó:</w:t>
      </w:r>
    </w:p>
    <w:p w14:paraId="519B1D54" w14:textId="77777777" w:rsidR="00F46503" w:rsidRPr="008E63BB" w:rsidRDefault="00F46503" w:rsidP="0065184D">
      <w:pPr>
        <w:pStyle w:val="-"/>
        <w:numPr>
          <w:ilvl w:val="0"/>
          <w:numId w:val="0"/>
        </w:numPr>
        <w:tabs>
          <w:tab w:val="left" w:pos="851"/>
        </w:tabs>
        <w:spacing w:before="0" w:after="0"/>
        <w:ind w:left="851"/>
      </w:pPr>
      <w:r w:rsidRPr="008E63BB">
        <w:t xml:space="preserve">+ Dân số </w:t>
      </w:r>
      <w:r w:rsidRPr="008E63BB">
        <w:rPr>
          <w:lang w:val="sv-SE"/>
        </w:rPr>
        <w:t>thành phố Nam Định</w:t>
      </w:r>
      <w:r w:rsidR="008F5422" w:rsidRPr="008E63BB">
        <w:t xml:space="preserve"> khoảng 25</w:t>
      </w:r>
      <w:r w:rsidR="0034685D" w:rsidRPr="008E63BB">
        <w:t>3.</w:t>
      </w:r>
      <w:r w:rsidR="002D222A" w:rsidRPr="008E63BB">
        <w:t>343</w:t>
      </w:r>
      <w:r w:rsidRPr="008E63BB">
        <w:t xml:space="preserve"> người;</w:t>
      </w:r>
    </w:p>
    <w:p w14:paraId="519B1D55" w14:textId="77777777" w:rsidR="00F46503" w:rsidRPr="008E63BB" w:rsidRDefault="00F46503" w:rsidP="0065184D">
      <w:pPr>
        <w:pStyle w:val="-"/>
        <w:numPr>
          <w:ilvl w:val="0"/>
          <w:numId w:val="0"/>
        </w:numPr>
        <w:tabs>
          <w:tab w:val="left" w:pos="851"/>
        </w:tabs>
        <w:spacing w:before="0" w:after="0"/>
        <w:ind w:left="851"/>
      </w:pPr>
      <w:r w:rsidRPr="008E63BB">
        <w:t xml:space="preserve">+ Dân số khu vực mở rộng theo QHC 2011 khoảng </w:t>
      </w:r>
      <w:r w:rsidR="008F5422" w:rsidRPr="008E63BB">
        <w:rPr>
          <w:rFonts w:cs="Arial"/>
        </w:rPr>
        <w:t>133.955</w:t>
      </w:r>
      <w:r w:rsidRPr="008E63BB">
        <w:rPr>
          <w:rFonts w:cs="Arial"/>
        </w:rPr>
        <w:t xml:space="preserve"> người</w:t>
      </w:r>
    </w:p>
    <w:p w14:paraId="519B1D56" w14:textId="77777777" w:rsidR="00F46503" w:rsidRPr="008E63BB" w:rsidRDefault="00F46503" w:rsidP="0065184D">
      <w:pPr>
        <w:pStyle w:val="-"/>
        <w:tabs>
          <w:tab w:val="left" w:pos="851"/>
        </w:tabs>
        <w:spacing w:before="0" w:after="0"/>
        <w:ind w:left="851" w:hanging="284"/>
      </w:pPr>
      <w:r w:rsidRPr="008E63BB">
        <w:t xml:space="preserve">Diện tích tự nhiênkhoảng </w:t>
      </w:r>
      <w:r w:rsidR="005C2389" w:rsidRPr="008E63BB">
        <w:t>187,99</w:t>
      </w:r>
      <w:r w:rsidRPr="008E63BB">
        <w:t xml:space="preserve"> km2.</w:t>
      </w:r>
    </w:p>
    <w:p w14:paraId="519B1D57" w14:textId="77777777" w:rsidR="00F46503" w:rsidRPr="008E63BB" w:rsidRDefault="00F46503" w:rsidP="0065184D">
      <w:pPr>
        <w:rPr>
          <w:b/>
          <w:bCs/>
          <w:i/>
          <w:iCs/>
        </w:rPr>
      </w:pPr>
      <w:bookmarkStart w:id="76" w:name="_Toc536004679"/>
      <w:bookmarkStart w:id="77" w:name="_Toc21954812"/>
      <w:bookmarkStart w:id="78" w:name="_Toc21955311"/>
      <w:bookmarkStart w:id="79" w:name="_Toc23568168"/>
      <w:bookmarkStart w:id="80" w:name="_Toc24344823"/>
      <w:r w:rsidRPr="008E63BB">
        <w:rPr>
          <w:b/>
          <w:bCs/>
          <w:i/>
          <w:iCs/>
        </w:rPr>
        <w:t>Thời hạn quy hoạch</w:t>
      </w:r>
      <w:bookmarkEnd w:id="76"/>
      <w:bookmarkEnd w:id="77"/>
      <w:bookmarkEnd w:id="78"/>
      <w:bookmarkEnd w:id="79"/>
      <w:bookmarkEnd w:id="80"/>
    </w:p>
    <w:p w14:paraId="519B1D58" w14:textId="77777777" w:rsidR="00F46503" w:rsidRPr="008E63BB" w:rsidRDefault="00F46503" w:rsidP="0065184D">
      <w:pPr>
        <w:ind w:firstLine="567"/>
      </w:pPr>
      <w:r w:rsidRPr="008E63BB">
        <w:tab/>
        <w:t>Để phù hợp với quy định của Luật Quy hoạch đô thị, thời hạn quy hoạch 20-25 năm, tầm nhìn dài hạn 30-50 năm, điều chỉnh thời hạn nghiên cứu lập quy hoạch chung Thành phố Nam Định như sau:</w:t>
      </w:r>
    </w:p>
    <w:p w14:paraId="519B1D59" w14:textId="77777777" w:rsidR="00F46503" w:rsidRPr="008E63BB" w:rsidRDefault="00F46503" w:rsidP="0065184D">
      <w:pPr>
        <w:pStyle w:val="-"/>
        <w:tabs>
          <w:tab w:val="left" w:pos="851"/>
        </w:tabs>
        <w:spacing w:before="0" w:after="0"/>
        <w:ind w:left="851" w:hanging="284"/>
      </w:pPr>
      <w:r w:rsidRPr="008E63BB">
        <w:t>Quy hoạch ngắn hạn đến năm 2030;</w:t>
      </w:r>
    </w:p>
    <w:p w14:paraId="519B1D5A" w14:textId="77777777" w:rsidR="00F46503" w:rsidRPr="008E63BB" w:rsidRDefault="00F46503" w:rsidP="0065184D">
      <w:pPr>
        <w:pStyle w:val="-"/>
        <w:tabs>
          <w:tab w:val="left" w:pos="851"/>
        </w:tabs>
        <w:spacing w:before="0" w:after="0"/>
        <w:ind w:left="851" w:hanging="284"/>
      </w:pPr>
      <w:r w:rsidRPr="008E63BB">
        <w:t>Quy hoạch dài hạn đến năm 2040;</w:t>
      </w:r>
    </w:p>
    <w:p w14:paraId="519B1D5B" w14:textId="77777777" w:rsidR="00400BEB" w:rsidRPr="008E63BB" w:rsidRDefault="00F46503" w:rsidP="0065184D">
      <w:pPr>
        <w:pStyle w:val="-"/>
        <w:tabs>
          <w:tab w:val="left" w:pos="851"/>
        </w:tabs>
        <w:spacing w:before="0" w:after="0"/>
        <w:ind w:left="851" w:hanging="284"/>
      </w:pPr>
      <w:r w:rsidRPr="008E63BB">
        <w:t>Tầm nhìn quy hoạch đến năm 2050</w:t>
      </w:r>
    </w:p>
    <w:p w14:paraId="519B1D5C" w14:textId="77777777" w:rsidR="00B95125" w:rsidRPr="008E63BB" w:rsidRDefault="00B95125" w:rsidP="0065184D">
      <w:pPr>
        <w:pStyle w:val="Heading1"/>
        <w:spacing w:before="60" w:after="0" w:line="26" w:lineRule="atLeast"/>
        <w:rPr>
          <w:lang w:val="vi-VN"/>
        </w:rPr>
      </w:pPr>
      <w:bookmarkStart w:id="81" w:name="_Toc345504043"/>
      <w:bookmarkStart w:id="82" w:name="_Toc47524644"/>
      <w:r w:rsidRPr="008E63BB">
        <w:rPr>
          <w:lang w:val="vi-VN"/>
        </w:rPr>
        <w:t>PHẦN II: ĐÁNH GIÁ ĐIỀU KIỆN TỰ NHIÊN VÀ HIỆN TRẠNG</w:t>
      </w:r>
      <w:bookmarkEnd w:id="81"/>
      <w:bookmarkEnd w:id="82"/>
    </w:p>
    <w:p w14:paraId="519B1D5D" w14:textId="77777777" w:rsidR="00F56919" w:rsidRPr="008E63BB" w:rsidRDefault="00F56919" w:rsidP="0065184D">
      <w:pPr>
        <w:pStyle w:val="Heading2"/>
        <w:spacing w:before="60" w:after="0" w:line="26" w:lineRule="atLeast"/>
        <w:rPr>
          <w:lang w:val="vi-VN"/>
        </w:rPr>
      </w:pPr>
      <w:bookmarkStart w:id="83" w:name="_Toc345504044"/>
      <w:bookmarkStart w:id="84" w:name="_Toc355767793"/>
      <w:bookmarkStart w:id="85" w:name="_Toc47524645"/>
      <w:bookmarkStart w:id="86" w:name="_Toc341519017"/>
      <w:bookmarkStart w:id="87" w:name="_Toc341519118"/>
      <w:bookmarkStart w:id="88" w:name="_Toc344928431"/>
      <w:bookmarkStart w:id="89" w:name="_Toc345538339"/>
      <w:r w:rsidRPr="008E63BB">
        <w:rPr>
          <w:lang w:val="vi-VN"/>
        </w:rPr>
        <w:t>2.1. Điều kiện tự nhiên</w:t>
      </w:r>
      <w:bookmarkEnd w:id="83"/>
      <w:bookmarkEnd w:id="84"/>
      <w:bookmarkEnd w:id="85"/>
    </w:p>
    <w:p w14:paraId="519B1D5E" w14:textId="77777777" w:rsidR="00071C32" w:rsidRPr="008E63BB" w:rsidRDefault="00071C32" w:rsidP="0065184D">
      <w:pPr>
        <w:pStyle w:val="Heading3"/>
        <w:spacing w:before="60" w:line="26" w:lineRule="atLeast"/>
      </w:pPr>
      <w:bookmarkStart w:id="90" w:name="_Toc355767794"/>
      <w:bookmarkStart w:id="91" w:name="_Toc21954815"/>
      <w:bookmarkStart w:id="92" w:name="_Toc21955314"/>
      <w:bookmarkStart w:id="93" w:name="_Toc24361887"/>
      <w:bookmarkStart w:id="94" w:name="_Toc47524646"/>
      <w:r w:rsidRPr="008E63BB">
        <w:t>2.1.1.Vị tr</w:t>
      </w:r>
      <w:r w:rsidR="00A443A8" w:rsidRPr="008E63BB">
        <w:t>í địa lý</w:t>
      </w:r>
      <w:bookmarkEnd w:id="90"/>
      <w:bookmarkEnd w:id="91"/>
      <w:bookmarkEnd w:id="92"/>
      <w:bookmarkEnd w:id="93"/>
      <w:bookmarkEnd w:id="94"/>
    </w:p>
    <w:p w14:paraId="519B1D5F" w14:textId="1A897CBB" w:rsidR="00F860F0" w:rsidRPr="008E63BB" w:rsidRDefault="00D00067" w:rsidP="0065184D">
      <w:pPr>
        <w:spacing w:before="60" w:line="26" w:lineRule="atLeast"/>
        <w:ind w:firstLine="720"/>
        <w:rPr>
          <w:rFonts w:eastAsia="Times New Roman" w:cs="Arial"/>
          <w:i/>
          <w:szCs w:val="26"/>
          <w:lang w:val="pt-BR"/>
        </w:rPr>
      </w:pPr>
      <w:bookmarkStart w:id="95" w:name="_Toc355767795"/>
      <w:bookmarkStart w:id="96" w:name="_Toc355767796"/>
      <w:r w:rsidRPr="008E63BB">
        <w:rPr>
          <w:lang w:val="pt-BR"/>
        </w:rPr>
        <w:t>Thành phố Nam Định nằm ở phía Bắc tỉnh Nam Định, thuộc vùng Đông Nam đồng bằng Bắc Bộ, trong tọa độ</w:t>
      </w:r>
      <w:r w:rsidR="00503BB2">
        <w:rPr>
          <w:lang w:val="pt-BR"/>
        </w:rPr>
        <w:t xml:space="preserve"> 102,12</w:t>
      </w:r>
      <w:r w:rsidRPr="00503BB2">
        <w:rPr>
          <w:vertAlign w:val="superscript"/>
          <w:lang w:val="pt-BR"/>
        </w:rPr>
        <w:t>0</w:t>
      </w:r>
      <w:r w:rsidRPr="008E63BB">
        <w:rPr>
          <w:lang w:val="pt-BR"/>
        </w:rPr>
        <w:t xml:space="preserve"> kinh đông và 20,24</w:t>
      </w:r>
      <w:r w:rsidRPr="00503BB2">
        <w:rPr>
          <w:vertAlign w:val="superscript"/>
          <w:lang w:val="pt-BR"/>
        </w:rPr>
        <w:t>0</w:t>
      </w:r>
      <w:r w:rsidRPr="008E63BB">
        <w:rPr>
          <w:lang w:val="pt-BR"/>
        </w:rPr>
        <w:t xml:space="preserve"> vĩ bắc. Phía Bắc thành phố giáp huyện Mỹ Lộc, phía Nam giáp huyện Nam Trực, phía Đông giáp tỉnh Thái Bình, phía Tây giáp huyện Vụ Bản. Sông Đào chảy ngang thành phố chiều Đông Bắc – Tây Nam, sông Hồng làm ranh giới tự</w:t>
      </w:r>
      <w:r w:rsidR="00F16D03" w:rsidRPr="008E63BB">
        <w:rPr>
          <w:lang w:val="pt-BR"/>
        </w:rPr>
        <w:t xml:space="preserve"> nhiên</w:t>
      </w:r>
      <w:r w:rsidRPr="008E63BB">
        <w:rPr>
          <w:lang w:val="pt-BR"/>
        </w:rPr>
        <w:t xml:space="preserve"> với tỉnh Thái Bình. </w:t>
      </w:r>
    </w:p>
    <w:p w14:paraId="519B1D60" w14:textId="77777777" w:rsidR="00F56919" w:rsidRPr="008E63BB" w:rsidRDefault="00F56919" w:rsidP="0065184D">
      <w:pPr>
        <w:pStyle w:val="Heading3"/>
        <w:spacing w:before="60" w:line="26" w:lineRule="atLeast"/>
      </w:pPr>
      <w:bookmarkStart w:id="97" w:name="_Toc493424428"/>
      <w:bookmarkStart w:id="98" w:name="_Toc21954816"/>
      <w:bookmarkStart w:id="99" w:name="_Toc21955315"/>
      <w:bookmarkStart w:id="100" w:name="_Toc24361888"/>
      <w:bookmarkStart w:id="101" w:name="_Toc47524647"/>
      <w:r w:rsidRPr="008E63BB">
        <w:t>2.1.2. Địa hình</w:t>
      </w:r>
      <w:bookmarkEnd w:id="95"/>
      <w:bookmarkEnd w:id="97"/>
      <w:bookmarkEnd w:id="98"/>
      <w:bookmarkEnd w:id="99"/>
      <w:bookmarkEnd w:id="100"/>
      <w:bookmarkEnd w:id="101"/>
    </w:p>
    <w:p w14:paraId="519B1D61" w14:textId="77777777" w:rsidR="003E7180" w:rsidRPr="008E63BB" w:rsidRDefault="002302CA" w:rsidP="0065184D">
      <w:pPr>
        <w:ind w:firstLine="709"/>
        <w:rPr>
          <w:bCs/>
          <w:szCs w:val="26"/>
          <w:lang w:val="pt-BR"/>
        </w:rPr>
      </w:pPr>
      <w:bookmarkStart w:id="102" w:name="_Toc493424429"/>
      <w:bookmarkStart w:id="103" w:name="_Toc494270941"/>
      <w:bookmarkStart w:id="104" w:name="_Toc355767800"/>
      <w:bookmarkEnd w:id="96"/>
      <w:r w:rsidRPr="008E63BB">
        <w:rPr>
          <w:bCs/>
          <w:szCs w:val="26"/>
          <w:lang w:val="pt-BR"/>
        </w:rPr>
        <w:t>Khu vực nghiên cứu là vùng phù sa sông, địa hình tự nhiên tương đối bằng phẳng, nghiêng và thấp dần từ Tây Bắc xuống Đông Nam, cao độ từ +0,3 ÷ +5,7 (m) so với mực nước biển. Trên địa bàn thành phố có nhiều ao, hồ, kênh mương và có sông Đào chảy qua giữa thành phố theo hướng Bắc – Tây Nam.</w:t>
      </w:r>
    </w:p>
    <w:tbl>
      <w:tblPr>
        <w:tblW w:w="8378" w:type="dxa"/>
        <w:jc w:val="center"/>
        <w:tblLook w:val="04A0" w:firstRow="1" w:lastRow="0" w:firstColumn="1" w:lastColumn="0" w:noHBand="0" w:noVBand="1"/>
      </w:tblPr>
      <w:tblGrid>
        <w:gridCol w:w="2706"/>
        <w:gridCol w:w="2932"/>
        <w:gridCol w:w="2740"/>
      </w:tblGrid>
      <w:tr w:rsidR="008D5BFE" w:rsidRPr="008E63BB" w14:paraId="519B1D65" w14:textId="77777777" w:rsidTr="000D31BD">
        <w:trPr>
          <w:trHeight w:val="1703"/>
          <w:jc w:val="center"/>
        </w:trPr>
        <w:tc>
          <w:tcPr>
            <w:tcW w:w="2676" w:type="dxa"/>
            <w:vAlign w:val="center"/>
          </w:tcPr>
          <w:p w14:paraId="519B1D62" w14:textId="77777777" w:rsidR="003E7180" w:rsidRPr="008E63BB" w:rsidRDefault="003E7180" w:rsidP="0065184D">
            <w:pPr>
              <w:jc w:val="center"/>
              <w:rPr>
                <w:sz w:val="24"/>
                <w:szCs w:val="24"/>
              </w:rPr>
            </w:pPr>
            <w:r w:rsidRPr="008E63BB">
              <w:rPr>
                <w:noProof/>
                <w:sz w:val="24"/>
                <w:szCs w:val="24"/>
                <w:lang w:eastAsia="zh-CN"/>
              </w:rPr>
              <w:drawing>
                <wp:inline distT="0" distB="0" distL="0" distR="0" wp14:anchorId="519B51A5" wp14:editId="519B51A6">
                  <wp:extent cx="1378235" cy="1033342"/>
                  <wp:effectExtent l="19050" t="0" r="0" b="0"/>
                  <wp:docPr id="24" name="Picture 2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 cstate="screen">
                            <a:extLst>
                              <a:ext uri="{28A0092B-C50C-407E-A947-70E740481C1C}">
                                <a14:useLocalDpi xmlns:a14="http://schemas.microsoft.com/office/drawing/2010/main"/>
                              </a:ext>
                            </a:extLst>
                          </a:blip>
                          <a:stretch>
                            <a:fillRect/>
                          </a:stretch>
                        </pic:blipFill>
                        <pic:spPr>
                          <a:xfrm>
                            <a:off x="0" y="0"/>
                            <a:ext cx="1383792" cy="1037508"/>
                          </a:xfrm>
                          <a:prstGeom prst="rect">
                            <a:avLst/>
                          </a:prstGeom>
                        </pic:spPr>
                      </pic:pic>
                    </a:graphicData>
                  </a:graphic>
                </wp:inline>
              </w:drawing>
            </w:r>
          </w:p>
        </w:tc>
        <w:tc>
          <w:tcPr>
            <w:tcW w:w="2996" w:type="dxa"/>
            <w:vAlign w:val="center"/>
          </w:tcPr>
          <w:p w14:paraId="519B1D63" w14:textId="77777777" w:rsidR="003E7180" w:rsidRPr="008E63BB" w:rsidRDefault="003E7180" w:rsidP="0065184D">
            <w:pPr>
              <w:jc w:val="center"/>
              <w:rPr>
                <w:sz w:val="24"/>
                <w:szCs w:val="24"/>
              </w:rPr>
            </w:pPr>
            <w:r w:rsidRPr="008E63BB">
              <w:rPr>
                <w:noProof/>
                <w:sz w:val="24"/>
                <w:szCs w:val="24"/>
                <w:lang w:eastAsia="zh-CN"/>
              </w:rPr>
              <w:drawing>
                <wp:inline distT="0" distB="0" distL="0" distR="0" wp14:anchorId="519B51A7" wp14:editId="519B51A8">
                  <wp:extent cx="1378235" cy="1033936"/>
                  <wp:effectExtent l="19050" t="0" r="0" b="0"/>
                  <wp:docPr id="69" name="Picture 6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cstate="screen">
                            <a:extLst>
                              <a:ext uri="{28A0092B-C50C-407E-A947-70E740481C1C}">
                                <a14:useLocalDpi xmlns:a14="http://schemas.microsoft.com/office/drawing/2010/main"/>
                              </a:ext>
                            </a:extLst>
                          </a:blip>
                          <a:stretch>
                            <a:fillRect/>
                          </a:stretch>
                        </pic:blipFill>
                        <pic:spPr>
                          <a:xfrm>
                            <a:off x="0" y="0"/>
                            <a:ext cx="1378900" cy="1034435"/>
                          </a:xfrm>
                          <a:prstGeom prst="rect">
                            <a:avLst/>
                          </a:prstGeom>
                        </pic:spPr>
                      </pic:pic>
                    </a:graphicData>
                  </a:graphic>
                </wp:inline>
              </w:drawing>
            </w:r>
          </w:p>
        </w:tc>
        <w:tc>
          <w:tcPr>
            <w:tcW w:w="2706" w:type="dxa"/>
            <w:vAlign w:val="center"/>
          </w:tcPr>
          <w:p w14:paraId="519B1D64" w14:textId="77777777" w:rsidR="003E7180" w:rsidRPr="008E63BB" w:rsidRDefault="003E7180" w:rsidP="0065184D">
            <w:pPr>
              <w:jc w:val="center"/>
              <w:rPr>
                <w:sz w:val="24"/>
                <w:szCs w:val="24"/>
              </w:rPr>
            </w:pPr>
            <w:r w:rsidRPr="008E63BB">
              <w:rPr>
                <w:noProof/>
                <w:sz w:val="24"/>
                <w:szCs w:val="24"/>
                <w:lang w:eastAsia="zh-CN"/>
              </w:rPr>
              <w:drawing>
                <wp:inline distT="0" distB="0" distL="0" distR="0" wp14:anchorId="519B51A9" wp14:editId="519B51AA">
                  <wp:extent cx="1355847" cy="1017141"/>
                  <wp:effectExtent l="19050" t="0" r="0" b="0"/>
                  <wp:docPr id="70" name="Picture 6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2" cstate="screen">
                            <a:extLst>
                              <a:ext uri="{28A0092B-C50C-407E-A947-70E740481C1C}">
                                <a14:useLocalDpi xmlns:a14="http://schemas.microsoft.com/office/drawing/2010/main"/>
                              </a:ext>
                            </a:extLst>
                          </a:blip>
                          <a:stretch>
                            <a:fillRect/>
                          </a:stretch>
                        </pic:blipFill>
                        <pic:spPr>
                          <a:xfrm>
                            <a:off x="0" y="0"/>
                            <a:ext cx="1358297" cy="1018979"/>
                          </a:xfrm>
                          <a:prstGeom prst="rect">
                            <a:avLst/>
                          </a:prstGeom>
                        </pic:spPr>
                      </pic:pic>
                    </a:graphicData>
                  </a:graphic>
                </wp:inline>
              </w:drawing>
            </w:r>
          </w:p>
        </w:tc>
      </w:tr>
      <w:tr w:rsidR="008D5BFE" w:rsidRPr="008E63BB" w14:paraId="519B1D69" w14:textId="77777777" w:rsidTr="000D31BD">
        <w:trPr>
          <w:trHeight w:val="268"/>
          <w:jc w:val="center"/>
        </w:trPr>
        <w:tc>
          <w:tcPr>
            <w:tcW w:w="2676" w:type="dxa"/>
            <w:vAlign w:val="center"/>
          </w:tcPr>
          <w:p w14:paraId="519B1D66" w14:textId="77777777" w:rsidR="003E7180" w:rsidRPr="008E63BB" w:rsidRDefault="003E7180" w:rsidP="0065184D">
            <w:pPr>
              <w:jc w:val="center"/>
              <w:rPr>
                <w:sz w:val="24"/>
                <w:szCs w:val="24"/>
              </w:rPr>
            </w:pPr>
            <w:r w:rsidRPr="008E63BB">
              <w:rPr>
                <w:i/>
                <w:iCs/>
                <w:sz w:val="24"/>
                <w:szCs w:val="24"/>
              </w:rPr>
              <w:t>Tp Nam Định</w:t>
            </w:r>
          </w:p>
        </w:tc>
        <w:tc>
          <w:tcPr>
            <w:tcW w:w="2996" w:type="dxa"/>
            <w:vAlign w:val="center"/>
          </w:tcPr>
          <w:p w14:paraId="519B1D67" w14:textId="77777777" w:rsidR="003E7180" w:rsidRPr="008E63BB" w:rsidRDefault="003E7180" w:rsidP="0065184D">
            <w:pPr>
              <w:jc w:val="center"/>
              <w:rPr>
                <w:sz w:val="24"/>
                <w:szCs w:val="24"/>
              </w:rPr>
            </w:pPr>
            <w:r w:rsidRPr="008E63BB">
              <w:rPr>
                <w:i/>
                <w:iCs/>
                <w:sz w:val="24"/>
                <w:szCs w:val="24"/>
              </w:rPr>
              <w:t>Huyện Mỹ Lộc</w:t>
            </w:r>
          </w:p>
        </w:tc>
        <w:tc>
          <w:tcPr>
            <w:tcW w:w="2706" w:type="dxa"/>
            <w:vAlign w:val="center"/>
          </w:tcPr>
          <w:p w14:paraId="519B1D68" w14:textId="77777777" w:rsidR="003E7180" w:rsidRPr="008E63BB" w:rsidRDefault="003E7180" w:rsidP="0065184D">
            <w:pPr>
              <w:jc w:val="center"/>
              <w:rPr>
                <w:sz w:val="24"/>
                <w:szCs w:val="24"/>
              </w:rPr>
            </w:pPr>
            <w:r w:rsidRPr="008E63BB">
              <w:rPr>
                <w:i/>
                <w:iCs/>
                <w:sz w:val="24"/>
                <w:szCs w:val="24"/>
              </w:rPr>
              <w:t>Huyện Nam Trực</w:t>
            </w:r>
          </w:p>
        </w:tc>
      </w:tr>
      <w:tr w:rsidR="008D5BFE" w:rsidRPr="008E63BB" w14:paraId="519B1D6D" w14:textId="77777777" w:rsidTr="000D31BD">
        <w:trPr>
          <w:trHeight w:val="2338"/>
          <w:jc w:val="center"/>
        </w:trPr>
        <w:tc>
          <w:tcPr>
            <w:tcW w:w="2676" w:type="dxa"/>
            <w:vAlign w:val="center"/>
          </w:tcPr>
          <w:p w14:paraId="519B1D6A" w14:textId="77777777" w:rsidR="003E7180" w:rsidRPr="008E63BB" w:rsidRDefault="003E7180" w:rsidP="0065184D">
            <w:pPr>
              <w:jc w:val="center"/>
              <w:rPr>
                <w:i/>
                <w:iCs/>
                <w:sz w:val="24"/>
                <w:szCs w:val="24"/>
              </w:rPr>
            </w:pPr>
            <w:r w:rsidRPr="008E63BB">
              <w:rPr>
                <w:i/>
                <w:iCs/>
                <w:noProof/>
                <w:sz w:val="24"/>
                <w:szCs w:val="24"/>
                <w:lang w:eastAsia="zh-CN"/>
              </w:rPr>
              <w:drawing>
                <wp:inline distT="0" distB="0" distL="0" distR="0" wp14:anchorId="519B51AB" wp14:editId="519B51AC">
                  <wp:extent cx="1552896" cy="1164966"/>
                  <wp:effectExtent l="19050" t="0" r="9204" b="0"/>
                  <wp:docPr id="71" name="Picture 7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 cstate="screen">
                            <a:extLst>
                              <a:ext uri="{28A0092B-C50C-407E-A947-70E740481C1C}">
                                <a14:useLocalDpi xmlns:a14="http://schemas.microsoft.com/office/drawing/2010/main"/>
                              </a:ext>
                            </a:extLst>
                          </a:blip>
                          <a:stretch>
                            <a:fillRect/>
                          </a:stretch>
                        </pic:blipFill>
                        <pic:spPr>
                          <a:xfrm>
                            <a:off x="0" y="0"/>
                            <a:ext cx="1557833" cy="1168670"/>
                          </a:xfrm>
                          <a:prstGeom prst="rect">
                            <a:avLst/>
                          </a:prstGeom>
                        </pic:spPr>
                      </pic:pic>
                    </a:graphicData>
                  </a:graphic>
                </wp:inline>
              </w:drawing>
            </w:r>
          </w:p>
        </w:tc>
        <w:tc>
          <w:tcPr>
            <w:tcW w:w="2996" w:type="dxa"/>
            <w:vAlign w:val="center"/>
          </w:tcPr>
          <w:p w14:paraId="519B1D6B" w14:textId="77777777" w:rsidR="003E7180" w:rsidRPr="008E63BB" w:rsidRDefault="003E7180" w:rsidP="0065184D">
            <w:pPr>
              <w:jc w:val="center"/>
              <w:rPr>
                <w:i/>
                <w:iCs/>
                <w:sz w:val="24"/>
                <w:szCs w:val="24"/>
              </w:rPr>
            </w:pPr>
            <w:r w:rsidRPr="008E63BB">
              <w:rPr>
                <w:i/>
                <w:iCs/>
                <w:noProof/>
                <w:sz w:val="24"/>
                <w:szCs w:val="24"/>
                <w:lang w:eastAsia="zh-CN"/>
              </w:rPr>
              <w:drawing>
                <wp:inline distT="0" distB="0" distL="0" distR="0" wp14:anchorId="519B51AD" wp14:editId="519B51AE">
                  <wp:extent cx="1547584" cy="1160980"/>
                  <wp:effectExtent l="19050" t="0" r="0" b="0"/>
                  <wp:docPr id="72" name="Picture 7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 cstate="screen">
                            <a:extLst>
                              <a:ext uri="{28A0092B-C50C-407E-A947-70E740481C1C}">
                                <a14:useLocalDpi xmlns:a14="http://schemas.microsoft.com/office/drawing/2010/main"/>
                              </a:ext>
                            </a:extLst>
                          </a:blip>
                          <a:stretch>
                            <a:fillRect/>
                          </a:stretch>
                        </pic:blipFill>
                        <pic:spPr>
                          <a:xfrm>
                            <a:off x="0" y="0"/>
                            <a:ext cx="1548913" cy="1161977"/>
                          </a:xfrm>
                          <a:prstGeom prst="rect">
                            <a:avLst/>
                          </a:prstGeom>
                        </pic:spPr>
                      </pic:pic>
                    </a:graphicData>
                  </a:graphic>
                </wp:inline>
              </w:drawing>
            </w:r>
          </w:p>
        </w:tc>
        <w:tc>
          <w:tcPr>
            <w:tcW w:w="2706" w:type="dxa"/>
            <w:vAlign w:val="center"/>
          </w:tcPr>
          <w:p w14:paraId="519B1D6C" w14:textId="77777777" w:rsidR="003E7180" w:rsidRPr="008E63BB" w:rsidRDefault="003E7180" w:rsidP="0065184D">
            <w:pPr>
              <w:jc w:val="center"/>
              <w:rPr>
                <w:i/>
                <w:iCs/>
                <w:sz w:val="24"/>
                <w:szCs w:val="24"/>
              </w:rPr>
            </w:pPr>
            <w:r w:rsidRPr="008E63BB">
              <w:rPr>
                <w:i/>
                <w:iCs/>
                <w:noProof/>
                <w:sz w:val="24"/>
                <w:szCs w:val="24"/>
                <w:lang w:eastAsia="zh-CN"/>
              </w:rPr>
              <w:drawing>
                <wp:inline distT="0" distB="0" distL="0" distR="0" wp14:anchorId="519B51AF" wp14:editId="519B51B0">
                  <wp:extent cx="1583718" cy="1188087"/>
                  <wp:effectExtent l="19050" t="0" r="0" b="0"/>
                  <wp:docPr id="73" name="Picture 7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cstate="screen">
                            <a:extLst>
                              <a:ext uri="{28A0092B-C50C-407E-A947-70E740481C1C}">
                                <a14:useLocalDpi xmlns:a14="http://schemas.microsoft.com/office/drawing/2010/main"/>
                              </a:ext>
                            </a:extLst>
                          </a:blip>
                          <a:stretch>
                            <a:fillRect/>
                          </a:stretch>
                        </pic:blipFill>
                        <pic:spPr>
                          <a:xfrm>
                            <a:off x="0" y="0"/>
                            <a:ext cx="1594288" cy="1196016"/>
                          </a:xfrm>
                          <a:prstGeom prst="rect">
                            <a:avLst/>
                          </a:prstGeom>
                        </pic:spPr>
                      </pic:pic>
                    </a:graphicData>
                  </a:graphic>
                </wp:inline>
              </w:drawing>
            </w:r>
          </w:p>
        </w:tc>
      </w:tr>
      <w:tr w:rsidR="008D5BFE" w:rsidRPr="008E63BB" w14:paraId="519B1D71" w14:textId="77777777" w:rsidTr="000D31BD">
        <w:trPr>
          <w:trHeight w:val="268"/>
          <w:jc w:val="center"/>
        </w:trPr>
        <w:tc>
          <w:tcPr>
            <w:tcW w:w="2676" w:type="dxa"/>
            <w:vAlign w:val="center"/>
          </w:tcPr>
          <w:p w14:paraId="519B1D6E" w14:textId="77777777" w:rsidR="003E7180" w:rsidRPr="008E63BB" w:rsidRDefault="003E7180" w:rsidP="0065184D">
            <w:pPr>
              <w:jc w:val="center"/>
              <w:rPr>
                <w:i/>
                <w:iCs/>
                <w:sz w:val="24"/>
                <w:szCs w:val="24"/>
              </w:rPr>
            </w:pPr>
            <w:r w:rsidRPr="008E63BB">
              <w:rPr>
                <w:i/>
                <w:iCs/>
                <w:sz w:val="24"/>
                <w:szCs w:val="24"/>
              </w:rPr>
              <w:t>Khu vực đang XD</w:t>
            </w:r>
          </w:p>
        </w:tc>
        <w:tc>
          <w:tcPr>
            <w:tcW w:w="2996" w:type="dxa"/>
            <w:vAlign w:val="center"/>
          </w:tcPr>
          <w:p w14:paraId="519B1D6F" w14:textId="77777777" w:rsidR="003E7180" w:rsidRPr="008E63BB" w:rsidRDefault="003E7180" w:rsidP="0065184D">
            <w:pPr>
              <w:jc w:val="center"/>
              <w:rPr>
                <w:i/>
                <w:iCs/>
                <w:sz w:val="24"/>
                <w:szCs w:val="24"/>
              </w:rPr>
            </w:pPr>
            <w:r w:rsidRPr="008E63BB">
              <w:rPr>
                <w:i/>
                <w:iCs/>
                <w:sz w:val="24"/>
                <w:szCs w:val="24"/>
              </w:rPr>
              <w:t>Trung tâm TP Nam Định</w:t>
            </w:r>
          </w:p>
        </w:tc>
        <w:tc>
          <w:tcPr>
            <w:tcW w:w="2706" w:type="dxa"/>
            <w:vAlign w:val="center"/>
          </w:tcPr>
          <w:p w14:paraId="519B1D70" w14:textId="77777777" w:rsidR="003E7180" w:rsidRPr="008E63BB" w:rsidRDefault="003E7180" w:rsidP="0065184D">
            <w:pPr>
              <w:jc w:val="center"/>
              <w:rPr>
                <w:i/>
                <w:iCs/>
                <w:sz w:val="24"/>
                <w:szCs w:val="24"/>
              </w:rPr>
            </w:pPr>
            <w:r w:rsidRPr="008E63BB">
              <w:rPr>
                <w:i/>
                <w:iCs/>
                <w:sz w:val="24"/>
                <w:szCs w:val="24"/>
              </w:rPr>
              <w:t>Khu vực đang XD</w:t>
            </w:r>
          </w:p>
        </w:tc>
      </w:tr>
    </w:tbl>
    <w:p w14:paraId="519B1D72" w14:textId="77777777" w:rsidR="002302CA" w:rsidRPr="008E63BB" w:rsidRDefault="002302CA" w:rsidP="0065184D">
      <w:pPr>
        <w:ind w:firstLine="709"/>
        <w:rPr>
          <w:bCs/>
          <w:szCs w:val="26"/>
        </w:rPr>
      </w:pPr>
    </w:p>
    <w:p w14:paraId="519B1D73" w14:textId="77777777" w:rsidR="004435F1" w:rsidRPr="008E63BB" w:rsidRDefault="004435F1" w:rsidP="0065184D">
      <w:pPr>
        <w:pStyle w:val="Heading3"/>
        <w:spacing w:before="60" w:line="26" w:lineRule="atLeast"/>
      </w:pPr>
      <w:bookmarkStart w:id="105" w:name="_Toc21954817"/>
      <w:bookmarkStart w:id="106" w:name="_Toc21955316"/>
      <w:bookmarkStart w:id="107" w:name="_Toc24361889"/>
      <w:bookmarkStart w:id="108" w:name="_Toc47524648"/>
      <w:r w:rsidRPr="008E63BB">
        <w:t>2.1.3. Khí hậu</w:t>
      </w:r>
      <w:bookmarkEnd w:id="102"/>
      <w:bookmarkEnd w:id="103"/>
      <w:bookmarkEnd w:id="105"/>
      <w:bookmarkEnd w:id="106"/>
      <w:bookmarkEnd w:id="107"/>
      <w:bookmarkEnd w:id="108"/>
    </w:p>
    <w:p w14:paraId="519B1D74" w14:textId="77777777" w:rsidR="002302CA" w:rsidRPr="008E63BB" w:rsidRDefault="002302CA" w:rsidP="0065184D">
      <w:pPr>
        <w:ind w:firstLine="720"/>
        <w:rPr>
          <w:szCs w:val="28"/>
          <w:lang w:val="pt-BR"/>
        </w:rPr>
      </w:pPr>
      <w:r w:rsidRPr="008E63BB">
        <w:rPr>
          <w:szCs w:val="28"/>
          <w:lang w:val="pt-BR"/>
        </w:rPr>
        <w:t>Khu vực nghiên cứu mang đầy đủ những đặc điểm của tiểu khí hậu vùng đồng bằng Sông Hồng, là khu vực nhiệt đới, gió mùa, nóng ẩm, mưa nhiều, có 4 mùa rõ rệt (xuân, hạ, thu, đông).</w:t>
      </w:r>
    </w:p>
    <w:p w14:paraId="519B1D75" w14:textId="77777777" w:rsidR="002302CA" w:rsidRPr="008E63BB" w:rsidRDefault="002302CA" w:rsidP="0065184D">
      <w:pPr>
        <w:ind w:firstLine="720"/>
        <w:rPr>
          <w:szCs w:val="28"/>
          <w:lang w:val="pt-BR"/>
        </w:rPr>
      </w:pPr>
      <w:r w:rsidRPr="008E63BB">
        <w:rPr>
          <w:szCs w:val="28"/>
          <w:lang w:val="pt-BR"/>
        </w:rPr>
        <w:lastRenderedPageBreak/>
        <w:t>- Nhiệt độ: Nhiệt độ trung bình năm từ 23 - 24oC, mùa đông nhiệt độ trung bình là 18,9oC, tháng 1 và tháng 2 nhiệt độ thấp nhất, có thể xuống dưới 12oC. Mùa hè nhiệt độ trung bình là 27,8oC, tháng nóng nhất là tháng 7 và tháng 8 nhiệt độ có thể lên tới 39oC.</w:t>
      </w:r>
    </w:p>
    <w:p w14:paraId="519B1D76" w14:textId="77777777" w:rsidR="002302CA" w:rsidRPr="008E63BB" w:rsidRDefault="002302CA" w:rsidP="0065184D">
      <w:pPr>
        <w:ind w:firstLine="720"/>
        <w:rPr>
          <w:szCs w:val="28"/>
          <w:lang w:val="pt-BR"/>
        </w:rPr>
      </w:pPr>
      <w:r w:rsidRPr="008E63BB">
        <w:rPr>
          <w:szCs w:val="28"/>
          <w:lang w:val="pt-BR"/>
        </w:rPr>
        <w:t xml:space="preserve">- Độ ẩm không khí tương đối cao, trung bình từ 84%, tháng có độ ẩm cao nhất là 94% vào tháng 3, tháng có độ ẩm thấp nhất là 65% vào tháng 11. </w:t>
      </w:r>
    </w:p>
    <w:p w14:paraId="519B1D77" w14:textId="77777777" w:rsidR="002302CA" w:rsidRPr="008E63BB" w:rsidRDefault="002302CA" w:rsidP="0065184D">
      <w:pPr>
        <w:ind w:firstLine="720"/>
        <w:rPr>
          <w:szCs w:val="28"/>
          <w:lang w:val="pt-BR"/>
        </w:rPr>
      </w:pPr>
      <w:r w:rsidRPr="008E63BB">
        <w:rPr>
          <w:szCs w:val="28"/>
          <w:lang w:val="pt-BR"/>
        </w:rPr>
        <w:t>- Lượng mưa: Lượng mưa hàng năm trung bình từ 1.470 mm, trong năm lượng mưa phân bố không đều, mùa nóng mưa nhiều từ tháng 5 đến tháng 10 chiếm khoảng 70% - 75% lượng mưa cả năm, đặc biệt là vào tháng 7, 8 ,9 do lượng nước mưa không đều nên vào mùa mưa thường có úng, lụt gây thiệt hại cho sản xuất nông nghiệp. Mùa khô từ tháng 11 đến tháng 4 năm sau, mùa này lượng nước mưa chiếm khoảng 10% lượng mưa cả năm, tháng ít mưa nhất là tháng 12, tháng 1 và tháng 2.</w:t>
      </w:r>
    </w:p>
    <w:p w14:paraId="519B1D78" w14:textId="77777777" w:rsidR="002302CA" w:rsidRPr="008E63BB" w:rsidRDefault="002302CA" w:rsidP="0065184D">
      <w:pPr>
        <w:ind w:firstLine="720"/>
        <w:rPr>
          <w:szCs w:val="28"/>
          <w:lang w:val="pt-BR"/>
        </w:rPr>
      </w:pPr>
      <w:r w:rsidRPr="008E63BB">
        <w:rPr>
          <w:szCs w:val="28"/>
          <w:lang w:val="pt-BR"/>
        </w:rPr>
        <w:t>- Nắng: Hàng năm trung bình có tới 250 ngày nắng, tổng số giờ nắng từ 1.650 - 1.700 giờ, Vụ hè thu có số giờ nắng cao từ 1.100 – 1.200 giờ chiếm 70% số giờ nắng trong năm.</w:t>
      </w:r>
    </w:p>
    <w:p w14:paraId="519B1D79" w14:textId="77777777" w:rsidR="002302CA" w:rsidRPr="008E63BB" w:rsidRDefault="002302CA" w:rsidP="0065184D">
      <w:pPr>
        <w:ind w:firstLine="720"/>
        <w:rPr>
          <w:szCs w:val="28"/>
          <w:lang w:val="pt-BR"/>
        </w:rPr>
      </w:pPr>
      <w:r w:rsidRPr="008E63BB">
        <w:rPr>
          <w:szCs w:val="28"/>
          <w:lang w:val="pt-BR"/>
        </w:rPr>
        <w:t>- Gió: Hướng gió thay đổi theo mùa, mùa đông hướng gió thịnh hành là gió Bắc với tần suất 60 - 70%, tốc độ gió trung bình 2,4m/s, những tháng cuối mùa đông gió có xu hướng chuyển dần về phía Đông. Mùa hè gió thịnh hành là gió Đông Nam, với tần suất 50 - 70%, tốc độ gió trung bình 1,9 - 2,2 m/s do nằm trong vùng vịnh Bắc Bộ nên hàng năm thành phố Nam Định thường chịu ảnh hưởng của gió bão hoặc áp thấp nhiệt đới bình quân 4 - 6 trận/ năm.</w:t>
      </w:r>
    </w:p>
    <w:p w14:paraId="519B1D7A" w14:textId="77777777" w:rsidR="002302CA" w:rsidRPr="008E63BB" w:rsidRDefault="002302CA" w:rsidP="0065184D">
      <w:pPr>
        <w:ind w:firstLine="720"/>
        <w:rPr>
          <w:lang w:val="pt-BR"/>
        </w:rPr>
      </w:pPr>
      <w:r w:rsidRPr="008E63BB">
        <w:rPr>
          <w:szCs w:val="28"/>
          <w:lang w:val="pt-BR"/>
        </w:rPr>
        <w:t>Nhìn chung khí hậu rất thuận lợi cho môi trường sống của con người, sự phát triển của hệ sinh thái động thực vật và du lịch</w:t>
      </w:r>
    </w:p>
    <w:p w14:paraId="519B1D7B" w14:textId="77777777" w:rsidR="004435F1" w:rsidRPr="008E63BB" w:rsidRDefault="004435F1" w:rsidP="0065184D">
      <w:pPr>
        <w:pStyle w:val="Heading3"/>
        <w:spacing w:before="60" w:line="26" w:lineRule="atLeast"/>
      </w:pPr>
      <w:bookmarkStart w:id="109" w:name="_Toc355767797"/>
      <w:bookmarkStart w:id="110" w:name="_Toc493424430"/>
      <w:bookmarkStart w:id="111" w:name="_Toc494270942"/>
      <w:bookmarkStart w:id="112" w:name="_Toc21954818"/>
      <w:bookmarkStart w:id="113" w:name="_Toc21955317"/>
      <w:bookmarkStart w:id="114" w:name="_Toc24361890"/>
      <w:bookmarkStart w:id="115" w:name="_Toc47524649"/>
      <w:r w:rsidRPr="008E63BB">
        <w:t>2.1.4. Địa chất công trình</w:t>
      </w:r>
      <w:bookmarkEnd w:id="109"/>
      <w:bookmarkEnd w:id="110"/>
      <w:bookmarkEnd w:id="111"/>
      <w:bookmarkEnd w:id="112"/>
      <w:bookmarkEnd w:id="113"/>
      <w:bookmarkEnd w:id="114"/>
      <w:bookmarkEnd w:id="115"/>
    </w:p>
    <w:p w14:paraId="519B1D7C" w14:textId="77777777" w:rsidR="004435F1" w:rsidRPr="008E63BB" w:rsidRDefault="002302CA" w:rsidP="0065184D">
      <w:pPr>
        <w:spacing w:before="60" w:line="26" w:lineRule="atLeast"/>
        <w:ind w:firstLine="709"/>
        <w:rPr>
          <w:i/>
          <w:sz w:val="24"/>
          <w:szCs w:val="24"/>
          <w:lang w:val="vi-VN"/>
        </w:rPr>
      </w:pPr>
      <w:bookmarkStart w:id="116" w:name="_Toc355767798"/>
      <w:bookmarkStart w:id="117" w:name="_Toc493424431"/>
      <w:bookmarkStart w:id="118" w:name="_Toc494270943"/>
      <w:r w:rsidRPr="008E63BB">
        <w:rPr>
          <w:szCs w:val="28"/>
          <w:lang w:val="vi-VN"/>
        </w:rPr>
        <w:t xml:space="preserve">Về đặc điểm địa chất công trình, nói chung, khu vực </w:t>
      </w:r>
      <w:r w:rsidRPr="008E63BB">
        <w:rPr>
          <w:szCs w:val="28"/>
          <w:lang w:val="pt-BR"/>
        </w:rPr>
        <w:t>thành phố Nam Định</w:t>
      </w:r>
      <w:r w:rsidRPr="008E63BB">
        <w:rPr>
          <w:szCs w:val="28"/>
          <w:lang w:val="vi-VN"/>
        </w:rPr>
        <w:t xml:space="preserve"> thuộc thềm đất bồi tương đối yếu, mức nước ngầm cao, không thực sự thuận lợi cho việc xây dựng công trình cao tầng, đặc biệt là khu vực phía Tây của vùng nghiên cứu nằm trong vùng trầm tích đầm lầy gốc sông. Tuy nhiên, đây cũng không phải là những trở ngại không thể vượt qua. Căn cứ vào 125 lỗ khoan phân bố không đều trong thành phố cho thấy cột địa tầng phân bố từ trên xuống dưới là: Lớp đất sét – Lớp sét pha – Lớp bùn sét pha – Lớp cát và lớp bùn sét pha. Cường độ chịu lực của đất yếu ≤1kg/cm2.</w:t>
      </w:r>
    </w:p>
    <w:p w14:paraId="519B1D7D" w14:textId="77777777" w:rsidR="004435F1" w:rsidRPr="008E63BB" w:rsidRDefault="004435F1" w:rsidP="0065184D">
      <w:pPr>
        <w:pStyle w:val="Heading3"/>
        <w:spacing w:before="60" w:line="26" w:lineRule="atLeast"/>
      </w:pPr>
      <w:bookmarkStart w:id="119" w:name="_Toc21954819"/>
      <w:bookmarkStart w:id="120" w:name="_Toc21955318"/>
      <w:bookmarkStart w:id="121" w:name="_Toc24361891"/>
      <w:bookmarkStart w:id="122" w:name="_Toc47524650"/>
      <w:r w:rsidRPr="008E63BB">
        <w:t>2.1.5. Địa chất thủy văn</w:t>
      </w:r>
      <w:bookmarkEnd w:id="116"/>
      <w:bookmarkEnd w:id="117"/>
      <w:bookmarkEnd w:id="118"/>
      <w:bookmarkEnd w:id="119"/>
      <w:bookmarkEnd w:id="120"/>
      <w:bookmarkEnd w:id="121"/>
      <w:bookmarkEnd w:id="122"/>
    </w:p>
    <w:p w14:paraId="519B1D7E" w14:textId="77777777" w:rsidR="000602D1" w:rsidRPr="008E63BB" w:rsidRDefault="002302CA" w:rsidP="0065184D">
      <w:pPr>
        <w:tabs>
          <w:tab w:val="left" w:pos="709"/>
        </w:tabs>
        <w:spacing w:before="60" w:line="26" w:lineRule="atLeast"/>
        <w:ind w:firstLine="709"/>
        <w:rPr>
          <w:i/>
          <w:sz w:val="24"/>
          <w:szCs w:val="24"/>
          <w:lang w:val="pt-BR"/>
        </w:rPr>
      </w:pPr>
      <w:r w:rsidRPr="008E63BB">
        <w:rPr>
          <w:szCs w:val="28"/>
          <w:lang w:val="pt-BR"/>
        </w:rPr>
        <w:t>Cho tới nay chưa có tài liệu đánh giá về trữ lượng cũng như khả năng khai thác nước ngầm ở khu vực Nam Định và vùng phụ cận. Hiện ở thành phố vẫn còn một số ít các cơ quan, xí nghiệp có sử dụng kết hợp nước ngầm mạch sâu như trường trung học xây dựng số 2, xí nghiệp ô tô, xí nghiệp đông lạnh thủy sản. Nước ngầm khai thác tại chỗ hầu hết bị nhiễm mặn nên chỉ được dùng làm vệ sinh, vệ sinh công nghiệp, các nhu cầu khác vẫn phải dùng nước của nhà máy. Về lưu lượng, số liệu thực đo từ các giếng hiện có cho thấy công suất có thể khai thác ổn định từ 1 giếng điển hình chỉ ở mức Q=10-30m3/h (giếng có chiều sâu 80÷100m và đường kính 270÷375mm). Về chất lượng. kết quả phân tích mẫu nước tại các giếng khoan hiện có cho thấy nước bị nhiễm mặn, hàm lượng clorua vượt xa so với chỉ tiêu cho phép độ kiềm thấp và hàm lượng sắt cao, có những mẫu hàm lượng sắt gấp tới 300 lần so với khuyến cáo của WHO.</w:t>
      </w:r>
      <w:r w:rsidR="004435F1" w:rsidRPr="008E63BB">
        <w:rPr>
          <w:szCs w:val="26"/>
          <w:lang w:val="pt-BR"/>
        </w:rPr>
        <w:tab/>
      </w:r>
    </w:p>
    <w:p w14:paraId="519B1D7F" w14:textId="77777777" w:rsidR="004435F1" w:rsidRPr="008E63BB" w:rsidRDefault="004435F1" w:rsidP="0065184D">
      <w:pPr>
        <w:pStyle w:val="Heading3"/>
        <w:spacing w:before="60" w:line="26" w:lineRule="atLeast"/>
      </w:pPr>
      <w:bookmarkStart w:id="123" w:name="_Toc355767799"/>
      <w:bookmarkStart w:id="124" w:name="_Toc493424432"/>
      <w:bookmarkStart w:id="125" w:name="_Toc494270944"/>
      <w:bookmarkStart w:id="126" w:name="_Toc21954820"/>
      <w:bookmarkStart w:id="127" w:name="_Toc21955319"/>
      <w:bookmarkStart w:id="128" w:name="_Toc24361892"/>
      <w:bookmarkStart w:id="129" w:name="_Toc47524651"/>
      <w:r w:rsidRPr="008E63BB">
        <w:t>2.1.6. Thuỷ văn</w:t>
      </w:r>
      <w:bookmarkEnd w:id="123"/>
      <w:bookmarkEnd w:id="124"/>
      <w:bookmarkEnd w:id="125"/>
      <w:bookmarkEnd w:id="126"/>
      <w:bookmarkEnd w:id="127"/>
      <w:bookmarkEnd w:id="128"/>
      <w:bookmarkEnd w:id="129"/>
    </w:p>
    <w:p w14:paraId="519B1D80" w14:textId="77777777" w:rsidR="002302CA" w:rsidRPr="008E63BB" w:rsidRDefault="002302CA" w:rsidP="0065184D">
      <w:pPr>
        <w:ind w:firstLine="709"/>
        <w:rPr>
          <w:szCs w:val="28"/>
          <w:lang w:val="pt-BR"/>
        </w:rPr>
      </w:pPr>
      <w:r w:rsidRPr="008E63BB">
        <w:rPr>
          <w:szCs w:val="28"/>
          <w:lang w:val="pt-BR"/>
        </w:rPr>
        <w:t>Thành phố Nam Định có hệ thống sông ngòi khá dày đặc với mật độ sông vào khoảng 0,5 - 0,7 km/km</w:t>
      </w:r>
      <w:r w:rsidRPr="008E63BB">
        <w:rPr>
          <w:szCs w:val="28"/>
          <w:vertAlign w:val="superscript"/>
          <w:lang w:val="pt-BR"/>
        </w:rPr>
        <w:t>2</w:t>
      </w:r>
      <w:r w:rsidRPr="008E63BB">
        <w:rPr>
          <w:szCs w:val="28"/>
          <w:lang w:val="pt-BR"/>
        </w:rPr>
        <w:t xml:space="preserve">. Do đặc điểm địa hình các dòng chảy đều theo hướng Tây bắc - </w:t>
      </w:r>
      <w:r w:rsidRPr="008E63BB">
        <w:rPr>
          <w:szCs w:val="28"/>
          <w:lang w:val="pt-BR"/>
        </w:rPr>
        <w:lastRenderedPageBreak/>
        <w:t xml:space="preserve">Đông nam, Chế độ thuỷ văn chịu ảnh hưởng chính của sông Hồng, nhánh sông Đào và chế độ thuỷ chiều. </w:t>
      </w:r>
    </w:p>
    <w:p w14:paraId="519B1D81" w14:textId="77777777" w:rsidR="002302CA" w:rsidRPr="008E63BB" w:rsidRDefault="002302CA" w:rsidP="0065184D">
      <w:pPr>
        <w:ind w:firstLine="709"/>
        <w:rPr>
          <w:szCs w:val="28"/>
          <w:lang w:val="pt-BR"/>
        </w:rPr>
      </w:pPr>
      <w:r w:rsidRPr="008E63BB">
        <w:rPr>
          <w:szCs w:val="28"/>
          <w:lang w:val="pt-BR"/>
        </w:rPr>
        <w:t>* Theo tài liệu của trạm khí tượng thủy văn Nam Định chế độ thủy văn sông Đào tại Nam Định như sau:</w:t>
      </w:r>
    </w:p>
    <w:p w14:paraId="519B1D82" w14:textId="77777777" w:rsidR="002302CA" w:rsidRPr="008E63BB" w:rsidRDefault="002302CA" w:rsidP="0065184D">
      <w:pPr>
        <w:ind w:firstLine="709"/>
        <w:rPr>
          <w:szCs w:val="28"/>
          <w:lang w:val="pt-BR"/>
        </w:rPr>
      </w:pPr>
      <w:r w:rsidRPr="008E63BB">
        <w:rPr>
          <w:szCs w:val="28"/>
          <w:lang w:val="pt-BR"/>
        </w:rPr>
        <w:t>- Chế độ mực nước: Mực nước trung bình năm: 1,52m; Mực nước cao nhất: 5,77m;  Mực nước thấp nhất: -0,4m;</w:t>
      </w:r>
    </w:p>
    <w:p w14:paraId="519B1D83" w14:textId="77777777" w:rsidR="002302CA" w:rsidRPr="008E63BB" w:rsidRDefault="002302CA" w:rsidP="0065184D">
      <w:pPr>
        <w:ind w:firstLine="709"/>
        <w:rPr>
          <w:szCs w:val="28"/>
          <w:lang w:val="pt-BR"/>
        </w:rPr>
      </w:pPr>
      <w:r w:rsidRPr="008E63BB">
        <w:rPr>
          <w:szCs w:val="28"/>
          <w:lang w:val="pt-BR"/>
        </w:rPr>
        <w:t>- Lưu lượng: Trung bình: 896m3/s; Lớn nhất: 6,650m3/s; Nhỏ nhất: 0m3/s (nước ngừng chảy);</w:t>
      </w:r>
    </w:p>
    <w:p w14:paraId="519B1D84" w14:textId="77777777" w:rsidR="002302CA" w:rsidRPr="008E63BB" w:rsidRDefault="002302CA" w:rsidP="0065184D">
      <w:pPr>
        <w:ind w:firstLine="709"/>
        <w:rPr>
          <w:szCs w:val="28"/>
          <w:lang w:val="pt-BR"/>
        </w:rPr>
      </w:pPr>
      <w:r w:rsidRPr="008E63BB">
        <w:rPr>
          <w:szCs w:val="28"/>
          <w:lang w:val="pt-BR"/>
        </w:rPr>
        <w:t>- Độ dốc trung bình sông: 0,00120;</w:t>
      </w:r>
    </w:p>
    <w:p w14:paraId="519B1D85" w14:textId="77777777" w:rsidR="002302CA" w:rsidRPr="008E63BB" w:rsidRDefault="002302CA" w:rsidP="0065184D">
      <w:pPr>
        <w:ind w:firstLine="709"/>
        <w:rPr>
          <w:szCs w:val="28"/>
          <w:lang w:val="pt-BR"/>
        </w:rPr>
      </w:pPr>
      <w:r w:rsidRPr="008E63BB">
        <w:rPr>
          <w:szCs w:val="28"/>
          <w:lang w:val="pt-BR"/>
        </w:rPr>
        <w:t>- Cao độ đáy sông: -0,6m đến -0,8m;</w:t>
      </w:r>
    </w:p>
    <w:p w14:paraId="519B1D86" w14:textId="77777777" w:rsidR="002302CA" w:rsidRPr="008E63BB" w:rsidRDefault="002302CA" w:rsidP="0065184D">
      <w:pPr>
        <w:ind w:firstLine="709"/>
        <w:rPr>
          <w:szCs w:val="28"/>
          <w:lang w:val="pt-BR"/>
        </w:rPr>
      </w:pPr>
      <w:r w:rsidRPr="008E63BB">
        <w:rPr>
          <w:szCs w:val="28"/>
          <w:lang w:val="pt-BR"/>
        </w:rPr>
        <w:t>- Mực nước báo động theo các cấp trên sông Đào: Cấp I: +3,2m; Cấp II:  +3,9m; Cấp III: +4,4m,</w:t>
      </w:r>
    </w:p>
    <w:p w14:paraId="519B1D87" w14:textId="77777777" w:rsidR="002302CA" w:rsidRPr="008E63BB" w:rsidRDefault="00097D86" w:rsidP="0065184D">
      <w:pPr>
        <w:ind w:firstLine="709"/>
        <w:rPr>
          <w:szCs w:val="28"/>
          <w:lang w:val="pt-BR"/>
        </w:rPr>
      </w:pPr>
      <w:r w:rsidRPr="008E63BB">
        <w:rPr>
          <w:szCs w:val="28"/>
          <w:lang w:val="pt-BR"/>
        </w:rPr>
        <w:t>-</w:t>
      </w:r>
      <w:r w:rsidR="002302CA" w:rsidRPr="008E63BB">
        <w:rPr>
          <w:szCs w:val="28"/>
          <w:lang w:val="pt-BR"/>
        </w:rPr>
        <w:t xml:space="preserve"> Mực nước báo động theo các cấp trên sông Hồng đoạn qua Nam Định: Cấp I:   +3,8m; Cấp II:  +4,8m;  Cấ</w:t>
      </w:r>
      <w:r w:rsidR="00FA3C93" w:rsidRPr="008E63BB">
        <w:rPr>
          <w:szCs w:val="28"/>
          <w:lang w:val="pt-BR"/>
        </w:rPr>
        <w:t>p III: +5,8m.</w:t>
      </w:r>
    </w:p>
    <w:p w14:paraId="519B1D88" w14:textId="77777777" w:rsidR="00097D86" w:rsidRPr="008E63BB" w:rsidRDefault="00097D86" w:rsidP="0065184D">
      <w:pPr>
        <w:ind w:firstLine="709"/>
        <w:rPr>
          <w:szCs w:val="28"/>
          <w:lang w:val="pt-BR"/>
        </w:rPr>
      </w:pPr>
      <w:r w:rsidRPr="008E63BB">
        <w:rPr>
          <w:szCs w:val="28"/>
          <w:lang w:val="pt-BR"/>
        </w:rPr>
        <w:t>- Sông Hồng có hàm lượng phù sa lớn, là nguồn nước tưới chính cho tỉnh, đồng thời cũng là con sông nhận nước tiêu. Đoạn sông Hồng chảy qua Nam Định có chiều rộng trung bình của sông khoảng 500- 600m, chiều dài 74,5km từ cống Hữu Bị đến cửa Ba Lạ</w:t>
      </w:r>
      <w:r w:rsidR="006E16AC" w:rsidRPr="008E63BB">
        <w:rPr>
          <w:szCs w:val="28"/>
          <w:lang w:val="pt-BR"/>
        </w:rPr>
        <w:t xml:space="preserve">t, đoạn chảy qua ranh giới nghiên cứu dài 16,4km </w:t>
      </w:r>
      <w:r w:rsidRPr="008E63BB">
        <w:rPr>
          <w:szCs w:val="28"/>
          <w:lang w:val="pt-BR"/>
        </w:rPr>
        <w:t>Mùa lũ, trên sông Hồng bắt đầu từ tháng VI đến hết tháng X. Về mùa lũ nước sông thường dâng lên rất cao, chênh lệch mực nước và cao độ đất trong đồng từ 1 – 1.5 m ảnh hưởng lớn đến việc tiêu úng. Về mùa kiệt chịu tác động điều tiết của hồ Hoà Bình nên mực nước mùa kiệt được nâng cao hơn, tuy nhiên vào các tháng mùa kiệt mực nước vẫn thấp hơn cao độ trong đồng nên lấy nước tưới tự chảy rất khó khăn và phải lợi dụng chế độ triều, kết hợp với việc lấy nước động lực mới đủ nước tưới.</w:t>
      </w:r>
    </w:p>
    <w:p w14:paraId="519B1D89" w14:textId="77777777" w:rsidR="00097D86" w:rsidRPr="008E63BB" w:rsidRDefault="00097D86" w:rsidP="0065184D">
      <w:pPr>
        <w:ind w:firstLine="709"/>
        <w:rPr>
          <w:szCs w:val="28"/>
          <w:lang w:val="pt-BR"/>
        </w:rPr>
      </w:pPr>
      <w:r w:rsidRPr="008E63BB">
        <w:rPr>
          <w:szCs w:val="28"/>
          <w:lang w:val="pt-BR"/>
        </w:rPr>
        <w:t xml:space="preserve">- Sông Đào bắt nguồn từ sông Hồng tại ngã ba Hưng Long chảy ngang qua Thành phố Nam Định, gặp sông Đáy ở Độc Bộ và hợp thủy lại rồi chảy ra biển. Sông có chiều dài 33,5km, </w:t>
      </w:r>
      <w:r w:rsidR="006E16AC" w:rsidRPr="008E63BB">
        <w:rPr>
          <w:szCs w:val="28"/>
          <w:lang w:val="pt-BR"/>
        </w:rPr>
        <w:t>đoạn chảy qua ranh giới nghiên cứu dài 17,5km, chiều rộng trung bình (170 - 270)m</w:t>
      </w:r>
      <w:r w:rsidRPr="008E63BB">
        <w:rPr>
          <w:szCs w:val="28"/>
          <w:lang w:val="pt-BR"/>
        </w:rPr>
        <w:t>. Đây là con sông quan trọng đưa nguồn nước ngọt dồi dào của sông Hồng bổ sung cho hạ du lưu vực sông Đáy cả mùa kiệt và mùa lũ.</w:t>
      </w:r>
    </w:p>
    <w:p w14:paraId="519B1D8A" w14:textId="77777777" w:rsidR="006E16AC" w:rsidRPr="008E63BB" w:rsidRDefault="006E16AC" w:rsidP="006E16AC">
      <w:pPr>
        <w:ind w:firstLine="709"/>
        <w:rPr>
          <w:szCs w:val="28"/>
          <w:lang w:val="pt-BR"/>
        </w:rPr>
      </w:pPr>
      <w:r w:rsidRPr="008E63BB">
        <w:rPr>
          <w:szCs w:val="28"/>
          <w:lang w:val="pt-BR"/>
        </w:rPr>
        <w:t>- Sông Châu Giang: là con sông phân chia ranh giới tỉnh Nam Định và tỉnh Hà Nam về phía Đông Bắc, từ xã Mỹ Hà, huyện Mỹ Lộc đến cống Hữu Bị. Đoạn chảy qua ranh giới nghiên cứu dài 7,3km, bề rộng lòng sông 80-130m.</w:t>
      </w:r>
    </w:p>
    <w:p w14:paraId="519B1D8B" w14:textId="77777777" w:rsidR="006E16AC" w:rsidRPr="008E63BB" w:rsidRDefault="006E16AC" w:rsidP="006E16AC">
      <w:pPr>
        <w:ind w:firstLine="709"/>
        <w:rPr>
          <w:szCs w:val="28"/>
          <w:lang w:val="pt-BR"/>
        </w:rPr>
      </w:pPr>
      <w:r w:rsidRPr="008E63BB">
        <w:rPr>
          <w:szCs w:val="28"/>
          <w:lang w:val="pt-BR"/>
        </w:rPr>
        <w:t xml:space="preserve">- Sông Châu Thành: bắt đầu từ cống Ngô Xá ( xã Nam Phong) đến đập Ghềnh, đoạn chảy qua ranh giới nghiên cứu dài 7km, bề rộng lòng sông 20-35m. </w:t>
      </w:r>
    </w:p>
    <w:p w14:paraId="519B1D8C" w14:textId="77777777" w:rsidR="006E16AC" w:rsidRPr="008E63BB" w:rsidRDefault="006E16AC" w:rsidP="006E16AC">
      <w:pPr>
        <w:ind w:firstLine="709"/>
        <w:rPr>
          <w:szCs w:val="28"/>
          <w:lang w:val="pt-BR"/>
        </w:rPr>
      </w:pPr>
      <w:r w:rsidRPr="008E63BB">
        <w:rPr>
          <w:szCs w:val="28"/>
          <w:lang w:val="pt-BR"/>
        </w:rPr>
        <w:t xml:space="preserve">* Ngoài những con sông hệ thống nước mặt của thành phố Nam Định còn bao gồm 3 yếu tố chính: Các hồ nước, hệ thống kênh rạch và rất nhiều những ao nhỏ trong các khu làng. </w:t>
      </w:r>
    </w:p>
    <w:p w14:paraId="519B1D8D" w14:textId="77777777" w:rsidR="006E16AC" w:rsidRPr="008E63BB" w:rsidRDefault="006E16AC" w:rsidP="006E16AC">
      <w:pPr>
        <w:ind w:firstLine="709"/>
        <w:rPr>
          <w:spacing w:val="-6"/>
          <w:szCs w:val="28"/>
          <w:lang w:val="pt-BR"/>
        </w:rPr>
      </w:pPr>
      <w:r w:rsidRPr="008E63BB">
        <w:rPr>
          <w:szCs w:val="28"/>
          <w:lang w:val="pt-BR"/>
        </w:rPr>
        <w:t xml:space="preserve">Mực nước trong kênh, hồ ngoại thành phụ thuộc vào chế độ tưới tiêu trong vùng Bắc Hà Nam. Trong mùa mưa các trạm bơm tiêu có nhiệm vụ khống chế mực nước ngập không quá +1,4m, Trong thực tế mực nước kênh từ ngoại thành hàng năm </w:t>
      </w:r>
      <w:r w:rsidRPr="008E63BB">
        <w:rPr>
          <w:spacing w:val="-6"/>
          <w:szCs w:val="28"/>
          <w:lang w:val="pt-BR"/>
        </w:rPr>
        <w:t>ngập lớn hơn +1,4m. Các hồ trong nội thành bị ngập cao trong phạm vi thành phố có 3 hồ lớn:</w:t>
      </w:r>
    </w:p>
    <w:p w14:paraId="519B1D8E" w14:textId="77777777" w:rsidR="006E16AC" w:rsidRPr="008E63BB" w:rsidRDefault="006E16AC" w:rsidP="006E16AC">
      <w:pPr>
        <w:ind w:firstLine="709"/>
        <w:rPr>
          <w:szCs w:val="28"/>
          <w:lang w:val="pt-BR"/>
        </w:rPr>
      </w:pPr>
      <w:r w:rsidRPr="008E63BB">
        <w:rPr>
          <w:szCs w:val="28"/>
          <w:lang w:val="pt-BR"/>
        </w:rPr>
        <w:t>+ Hồ Truyền Thống: Hmax = +1,8m; Hđáy = +0,8m; Hbờ = +2,2m; F = 18,01ha;</w:t>
      </w:r>
    </w:p>
    <w:p w14:paraId="519B1D8F" w14:textId="77777777" w:rsidR="006E16AC" w:rsidRPr="008E63BB" w:rsidRDefault="006E16AC" w:rsidP="006E16AC">
      <w:pPr>
        <w:ind w:firstLine="709"/>
        <w:rPr>
          <w:szCs w:val="28"/>
          <w:lang w:val="pt-BR"/>
        </w:rPr>
      </w:pPr>
      <w:r w:rsidRPr="008E63BB">
        <w:rPr>
          <w:szCs w:val="28"/>
          <w:lang w:val="pt-BR"/>
        </w:rPr>
        <w:t>+ Hồ Vị Xuyên: Hmax = +2,0m; Hđáy = +0,8m; Hbờ = +2,5m; F = 6,55ha;</w:t>
      </w:r>
    </w:p>
    <w:p w14:paraId="519B1D90" w14:textId="77777777" w:rsidR="002302CA" w:rsidRPr="008E63BB" w:rsidRDefault="006E16AC" w:rsidP="006E16AC">
      <w:pPr>
        <w:rPr>
          <w:lang w:val="pt-BR"/>
        </w:rPr>
      </w:pPr>
      <w:r w:rsidRPr="008E63BB">
        <w:rPr>
          <w:szCs w:val="28"/>
          <w:lang w:val="pt-BR"/>
        </w:rPr>
        <w:t>+ Hồ Năng Tĩnh:  Hmax = +2,0m; Hđáy = +0,78m; Hbờ = +2,2m; F = 4,9ha.</w:t>
      </w:r>
      <w:r w:rsidR="002302CA" w:rsidRPr="008E63BB">
        <w:rPr>
          <w:szCs w:val="28"/>
          <w:lang w:val="pt-BR"/>
        </w:rPr>
        <w:t>.</w:t>
      </w:r>
    </w:p>
    <w:p w14:paraId="519B1D91" w14:textId="77777777" w:rsidR="00A71373" w:rsidRPr="008E63BB" w:rsidRDefault="00D00067" w:rsidP="0065184D">
      <w:pPr>
        <w:pStyle w:val="Heading2"/>
        <w:spacing w:before="60" w:after="0" w:line="26" w:lineRule="atLeast"/>
        <w:rPr>
          <w:lang w:val="vi-VN"/>
        </w:rPr>
      </w:pPr>
      <w:bookmarkStart w:id="130" w:name="_Toc47524652"/>
      <w:r w:rsidRPr="008E63BB">
        <w:rPr>
          <w:lang w:val="vi-VN"/>
        </w:rPr>
        <w:t>2.2. Lịch sử phát triển thành phố Nam Định</w:t>
      </w:r>
      <w:bookmarkEnd w:id="130"/>
    </w:p>
    <w:p w14:paraId="519B1D92" w14:textId="77777777" w:rsidR="00D00067" w:rsidRPr="008E63BB" w:rsidRDefault="00D00067" w:rsidP="0065184D">
      <w:pPr>
        <w:ind w:firstLine="720"/>
        <w:rPr>
          <w:lang w:val="vi-VN"/>
        </w:rPr>
      </w:pPr>
      <w:r w:rsidRPr="008E63BB">
        <w:rPr>
          <w:lang w:val="vi-VN"/>
        </w:rPr>
        <w:t xml:space="preserve">Cách ngày nay khoảng 2.500 năm vào đời các vua Hùng dựng nước Văn Lang, vùng đất này đã được phù sa sông Hồng, sông Vĩnh, sông Vị bồi đắp lên thành cồn, thành bãi như cồn Cũi, cồn Vịt ở Lộc Hạ, cồn Con Rồng (Phù Long) ở phường Trần Tế </w:t>
      </w:r>
      <w:r w:rsidRPr="008E63BB">
        <w:rPr>
          <w:lang w:val="vi-VN"/>
        </w:rPr>
        <w:lastRenderedPageBreak/>
        <w:t>Xương, cồn Găng ở phường Vị Xuyên, cồn Cây Gạo, cồn Con Dơi ở phường Vị Hoàng…xen kẽ những cồn đất, bãi là vùng trũng quanh năm ngập úng. Về cơ bản: đất đai thành phố màu mỡ và phì nhiêu.</w:t>
      </w:r>
    </w:p>
    <w:p w14:paraId="519B1D93" w14:textId="77777777" w:rsidR="00D00067" w:rsidRPr="008E63BB" w:rsidRDefault="00D00067" w:rsidP="0065184D">
      <w:pPr>
        <w:ind w:firstLine="720"/>
        <w:rPr>
          <w:lang w:val="vi-VN"/>
        </w:rPr>
      </w:pPr>
      <w:r w:rsidRPr="008E63BB">
        <w:rPr>
          <w:lang w:val="vi-VN"/>
        </w:rPr>
        <w:t>Trải qua hàng nghìn năm lịch sử, địa giới hành chính đã có nhiều lần thay đổi: khi nhập, khi tách. Nhìn chung, diện tích đất đai thành phố qua các lần tách, nhập theo chiều hướng rộng ra, lớn lên về các mặt.</w:t>
      </w:r>
    </w:p>
    <w:p w14:paraId="519B1D94" w14:textId="77777777" w:rsidR="00D00067" w:rsidRPr="008E63BB" w:rsidRDefault="00D00067" w:rsidP="0065184D">
      <w:pPr>
        <w:ind w:firstLine="720"/>
        <w:rPr>
          <w:lang w:val="vi-VN"/>
        </w:rPr>
      </w:pPr>
      <w:r w:rsidRPr="008E63BB">
        <w:rPr>
          <w:lang w:val="vi-VN"/>
        </w:rPr>
        <w:t>Thế kỷ XI, họ Trần và một số họ khác về làng Tức Mặc và các vùng lân cận để lập ấp và làm nghề đánh cá. Đầu thế kỷ XIII, nhà Trần thay thế nhà Lý lập ra vương triều Trần, phủ Thiên Trường là kinh đô thứ 2 của nước Đại Việt (sau Thăng Long) làm cho dân số ở đây tăng lên rất nhanh. Thời kỳ này dân số trong vùng ước tính 1 vạn người, trong đó có rất nhiều thợ thủ công tài giỏi trên khắp đất nước được tập trung về đây để xây dựng các cung điện, phủ đệ. Sau đó họ định cư, lập nên các làng nghề, phố thợ. Khí thiêng sông núi của đất nước hội tụ về Thiên Trường, mở ra tiền đề rất quan trọng để hình thành thành phố Nam Định trong giai đoạn sau.</w:t>
      </w:r>
    </w:p>
    <w:p w14:paraId="519B1D95" w14:textId="77777777" w:rsidR="00D00067" w:rsidRPr="008E63BB" w:rsidRDefault="00D00067" w:rsidP="0065184D">
      <w:pPr>
        <w:ind w:firstLine="720"/>
        <w:rPr>
          <w:lang w:val="vi-VN"/>
        </w:rPr>
      </w:pPr>
      <w:r w:rsidRPr="008E63BB">
        <w:rPr>
          <w:lang w:val="vi-VN"/>
        </w:rPr>
        <w:t>Từ xa xưa, nhiều làng thủ công ở thành phố Nam Định đã phát triển đến trình độ cao như nghề tằm tơ, làm gốm, mộc, nê, điêu khắc, đan lát, thêu thùa…   Sự xuất hiện và phát triển của các ngành nghề thủ công ở Nam Định bắt nguồn từ nhu cầu cuộc sống phục vụ sinh hoạt của dân cư, đặc biệt từ khi nhà Trần cho xây dựng hành cung Tức Mặc (Thiên Trường). Những người thợ thủ công tài giỏi của tứ xứ như La Xuyên, Cát Đằng, Tống Xá (Ý Yên);  Quần Phương (Hải Hậu), Phương Để (Trực Ninh), Vân Tràng (Nam Trực)… và cả những người thợ giỏi của kinh đô Thăng Long, tỉnh Hà Đông, Sơn Tây, Hòa Bình… được tập trung về đây để xây dựng cung điện cho nhà Vua. Mặt khác, nhiều thợ thủ công đi theo luồng di cư rồi định cư tại đất Thành Nam.</w:t>
      </w:r>
    </w:p>
    <w:p w14:paraId="519B1D96" w14:textId="77777777" w:rsidR="00D00067" w:rsidRPr="008E63BB" w:rsidRDefault="00D00067" w:rsidP="0065184D">
      <w:pPr>
        <w:ind w:firstLine="720"/>
        <w:rPr>
          <w:lang w:val="vi-VN"/>
        </w:rPr>
      </w:pPr>
      <w:r w:rsidRPr="008E63BB">
        <w:rPr>
          <w:lang w:val="vi-VN"/>
        </w:rPr>
        <w:t xml:space="preserve">Thời Trần đã có lò gốm sản xuất phục vụ cho triều đình và nhân dân trong vùng. Sự phát triển của thủ công nghiệp dưới thời Trần là tiền đề cho sự xuất hiện của các khu phố nghề, phố thương mại và hoạt động giao lưu buôn bán của thành phố sau này. Kinh tế thương mại của thành phố đã sớm phát triển. Bên cạnh sự hoạt động tấp nập của các phố thủ công, thương mại như Hàng Đồng, Hàng Tiện, Hàng Sắt, Hàng Lọng, Hàng Thóc, Hàng Nứa, phố Bến Ngự, phố Khách…. Trên địa bàn thành phố hoạt động thương mại của hệ thống chợ cũng phát đạt, chủ yếu là chợ Rồng, chợ Vị Hoàng, chợ Đầu Đê, chợ Đò Chè, chợ Cửa Trường, chợ Năng Tĩnh, chợ Phượng... Hoạt động thương mại của thành phố được nối liền với các huyện xung quanh bởi các bến đò, tạo nên cảnh tấp nập trên bến, dưới thuyền. </w:t>
      </w:r>
    </w:p>
    <w:p w14:paraId="519B1D97" w14:textId="77777777" w:rsidR="00D00067" w:rsidRPr="008E63BB" w:rsidRDefault="00D00067" w:rsidP="0065184D">
      <w:pPr>
        <w:ind w:firstLine="720"/>
        <w:rPr>
          <w:lang w:val="vi-VN"/>
        </w:rPr>
      </w:pPr>
      <w:r w:rsidRPr="008E63BB">
        <w:rPr>
          <w:lang w:val="vi-VN"/>
        </w:rPr>
        <w:t>Nhà Trần cũng đặc biệt quan tâm đến việc giáo dục thi cử ở phủ Thiên Trường. Năm 1281 nhà Trần cho lập nhà học ở Tức Mặc để quy tụ nhân tài và mở mang dân trí trong vùng. Nội dung giáo dục, luật lệ thi cử, xếp đặt thứ bậc người đỗ đạt trong các kỳ thi của nhà Trần đã kế thừa được tinh hoa của các triều đại trước và phát triển lên một tầm cao mới. Năm 1374, nhà Trần cho tổ chức kỳ thi Đình ở Thiên Trường, đổi tên gọi học vị Thái học sinh thành Tiến sỹ, đặt lệ ban áo, mũ, chiêu đãi tiệc yến đỗi với những người đỗ Trạng Nguyên, Bảng Nhãn, Thám Hoa, đã làm tăng thêm niềm vinh hạnh và hun đúc truyền thống hiếu học của nhân dân Thành Nam.</w:t>
      </w:r>
    </w:p>
    <w:p w14:paraId="519B1D98" w14:textId="77777777" w:rsidR="00D00067" w:rsidRPr="008E63BB" w:rsidRDefault="00D00067" w:rsidP="0065184D">
      <w:pPr>
        <w:ind w:firstLine="720"/>
        <w:rPr>
          <w:lang w:val="vi-VN"/>
        </w:rPr>
      </w:pPr>
      <w:r w:rsidRPr="008E63BB">
        <w:rPr>
          <w:lang w:val="vi-VN"/>
        </w:rPr>
        <w:t xml:space="preserve">Nhà Trần suy vong, đến nhà Lê, vùng Vị Hoàng chỉ còn là một quận doanh, nhưng với vị trí thuận lợi, nằm ở nơi tiện giao thông thủy, bộ nên nơi đây vẫn là một trung tâm giao lưu buôn bán khá sầm uất của xứ Sơn Nam. Trong các thế kỷ XVII, XVIII, khi quan hệ giao thông của các thương gia phương Tây tăng cường sang các nước Á Đông, đặc biệt là các quốc gia ven biển, một loạt các đô thị ven sông, cửa biển ra đời và phồn thịnh trong đó có Vị Hoàng. Vùng đất này trở thành một đô thị sầm uất. Đây là nơi thu hút nguồn hàng từ miền biển đưa lên, từ vùng trung tâm đồng bằng Bắc Bộ đưa </w:t>
      </w:r>
      <w:r w:rsidRPr="008E63BB">
        <w:rPr>
          <w:lang w:val="vi-VN"/>
        </w:rPr>
        <w:lastRenderedPageBreak/>
        <w:t>xuống kể cả vùng Phố Hiến, Kinh Kỳ, Sơn Tây, xa hơn nữa là các xứ Thượng du.... Hàng hóa gồm đủ loại sản phẩm nông nghiệp, ngư nghiệp, thủ công nghiệp, lâm nghiệp và phong phú nhất là mặt hàng tơ lụa.</w:t>
      </w:r>
    </w:p>
    <w:p w14:paraId="519B1D99" w14:textId="77777777" w:rsidR="00D00067" w:rsidRPr="008E63BB" w:rsidRDefault="00D00067" w:rsidP="0065184D">
      <w:pPr>
        <w:ind w:firstLine="720"/>
        <w:rPr>
          <w:lang w:val="vi-VN"/>
        </w:rPr>
      </w:pPr>
      <w:r w:rsidRPr="008E63BB">
        <w:rPr>
          <w:lang w:val="vi-VN"/>
        </w:rPr>
        <w:t>Vùng đất này có khá nhiều dấu tích di cư của tôn thất nhà Lê ra lập nghiệp. Nhiều tài liệu cho tháy sự xuất hiện của quân doanh Vị Hoàng có thể là dưới thời Lê hoặc trước đó, đã đánh dấu bước phát triển mới của đô thị. Dân số vùng Thiên Trường, sau khi nhà Trần Suy vong có giảm xuống lại dần dần tăng lên theo sự phát triển.</w:t>
      </w:r>
    </w:p>
    <w:p w14:paraId="519B1D9A" w14:textId="77777777" w:rsidR="00D00067" w:rsidRPr="008E63BB" w:rsidRDefault="00D00067" w:rsidP="0065184D">
      <w:pPr>
        <w:rPr>
          <w:lang w:val="vi-VN"/>
        </w:rPr>
      </w:pPr>
      <w:r w:rsidRPr="008E63BB">
        <w:rPr>
          <w:lang w:val="vi-VN"/>
        </w:rPr>
        <w:t xml:space="preserve">Thời Lê, nhà nước cho dựng trường thi Hương ở thành Vị Hoàng cho các sĩ tử các trấn phía Nam đồng bằng sông Hồng. Nhiều người con của quê hương đã đỗ đạt rồi ra làm quan như </w:t>
      </w:r>
      <w:r w:rsidR="00CD5C1E" w:rsidRPr="008E63BB">
        <w:rPr>
          <w:lang w:val="vi-VN"/>
        </w:rPr>
        <w:t>như Hà Nhâm Giả, Tiến Sỹ Trần Xuân Vinh, Đào Đăng Quỹ,</w:t>
      </w:r>
      <w:r w:rsidRPr="008E63BB">
        <w:rPr>
          <w:lang w:val="vi-VN"/>
        </w:rPr>
        <w:t xml:space="preserve"> Trần Công Mại…</w:t>
      </w:r>
    </w:p>
    <w:p w14:paraId="519B1D9B" w14:textId="77777777" w:rsidR="00D00067" w:rsidRPr="008E63BB" w:rsidRDefault="00D00067" w:rsidP="0065184D">
      <w:pPr>
        <w:ind w:firstLine="720"/>
        <w:rPr>
          <w:lang w:val="vi-VN"/>
        </w:rPr>
      </w:pPr>
      <w:r w:rsidRPr="008E63BB">
        <w:rPr>
          <w:lang w:val="vi-VN"/>
        </w:rPr>
        <w:t xml:space="preserve">Năm 1802, nhà Nguyễn thành lập, các đời Vua đã lấy Vị Hoàng làm thủ phủ của trấn Sơn Nam hạ, rồi trấn Nam Định, sau này là tỉnh Nam Định. Trấn cũng như tỉnh Nam Định bấy giờ gồm vùng đất Nam Định, Thái Bình và một phần tỉnh Hưng Yên ngày nay. Quan cai trị Nam Định nhiều khi còn kiêm nhiệm cả tỉnh Ninh Bình. Vừa là lỵ sở của một vùng rộng lớn, lại vừa là trung tâm thương mại của các tỉnh phía đông nam đồng bằng Bắc Bộ nên một lần nữa anh tài và tinh hoa văn hóa của nhiều nơi trên khắp đất nước quy tụ về vùng đất này. Dân cư sống ở Vị Hoàng vào đầu thế kỷ XIX có khoảng 3.000 người đã tăng lên hơn một vạn người vào khoảng những năm cuối thế kỷ XIX. Phần lớn dân cư đến đây sinh sống là người Hà Nội, Bắc Ninh, </w:t>
      </w:r>
      <w:r w:rsidR="00B214BA" w:rsidRPr="008E63BB">
        <w:rPr>
          <w:lang w:val="vi-VN"/>
        </w:rPr>
        <w:t>Nam Định</w:t>
      </w:r>
      <w:r w:rsidRPr="008E63BB">
        <w:rPr>
          <w:lang w:val="vi-VN"/>
        </w:rPr>
        <w:t xml:space="preserve">, Hà Tây, Hà Nam, Thái Bình, Hải Dương, Hải Phòng, Ninh Bình, Thanh Hóa, Nghệ An…Dưới thời Nguyễn, Nam Định là một trong 6 địa danh ở phía Bắc được mở trường thi Hương, trường thi Hương được xây dựng trên đất Vị Hoàng. Từ khoa thi Hương đầu tiên năm Gia Long thứ 6 (1807) đến khoa thi Hương cuối cùng, năm Thành Thái thứ 3 (1915), trường thi Hương ở Nam Định đã trải qua 35 kỳ thi. Tổng số người đỗ đạt trong các kỳ thi là 1.645 cử nhân, trong đó có 175 người đi thi Đình đỗ Tiến Sỹ thời Nguyễn. Nhiều người con Thành Nam đã đỗ đạt cao làm rạng danh cho truyền thống của quê hương, như các vị đại khoa Trần Bích San, Vũ Công Độ, </w:t>
      </w:r>
      <w:r w:rsidR="00CD5C1E" w:rsidRPr="008E63BB">
        <w:rPr>
          <w:lang w:val="vi-VN"/>
        </w:rPr>
        <w:t xml:space="preserve">Trần Đoãn Đạt... </w:t>
      </w:r>
      <w:r w:rsidRPr="008E63BB">
        <w:rPr>
          <w:lang w:val="vi-VN"/>
        </w:rPr>
        <w:t xml:space="preserve"> Thành Nam đã là mảnh đất sinh thành và nuôi dưỡng nhà thơ nổi tiếng của dân tộc những năm đầu thế kỷ XX - Trần Tế Xương (Tú Xương).</w:t>
      </w:r>
    </w:p>
    <w:p w14:paraId="519B1D9C" w14:textId="77777777" w:rsidR="00091918" w:rsidRPr="008E63BB" w:rsidRDefault="00D00067" w:rsidP="0065184D">
      <w:pPr>
        <w:ind w:firstLine="720"/>
        <w:rPr>
          <w:lang w:val="vi-VN"/>
        </w:rPr>
      </w:pPr>
      <w:r w:rsidRPr="008E63BB">
        <w:rPr>
          <w:lang w:val="vi-VN"/>
        </w:rPr>
        <w:t>Thành phố Nam Định nổi tiếng là vùng đất văn hiến, đất hiếu học ngàn xưa. Nhà Trần là một hiện tượng độc đáo trong các triều đại phong kiến Việt Nam gắn với một thời kỳ lịch sử đầy oanh liệt về võ công văn trị. Ngoài những chiến công 3 lần đánh bại quân Nguyên – Mông lẫy lừng trong sử sách, thì các vị vua Nhà Trần đều là nhà thơ. Có vị uyên thâm Phật học và trở thành danh nhân văn hóa như Trần Nhân Tông. Các vị tướng lĩnh, công hầu 3 lần chiến thắng kẻ thù hầu hết là tôn thất nhà Trần, không những giỏi về chinh chiến mà còn là những nhà văn lớn, trí thức tiêu biểu như Trần Quốc Tuấn, Trần Quang Khải, Trần Nguyên Đán .v.v…</w:t>
      </w:r>
      <w:r w:rsidR="00091918" w:rsidRPr="008E63BB">
        <w:rPr>
          <w:lang w:val="vi-VN"/>
        </w:rPr>
        <w:tab/>
      </w:r>
      <w:r w:rsidR="00091918" w:rsidRPr="008E63BB">
        <w:rPr>
          <w:lang w:val="vi-VN"/>
        </w:rPr>
        <w:tab/>
      </w:r>
      <w:r w:rsidR="00091918" w:rsidRPr="008E63BB">
        <w:rPr>
          <w:lang w:val="vi-VN"/>
        </w:rPr>
        <w:tab/>
      </w:r>
      <w:r w:rsidR="00091918" w:rsidRPr="008E63BB">
        <w:rPr>
          <w:lang w:val="vi-VN"/>
        </w:rPr>
        <w:tab/>
      </w:r>
      <w:r w:rsidR="00091918" w:rsidRPr="008E63BB">
        <w:rPr>
          <w:lang w:val="vi-VN"/>
        </w:rPr>
        <w:tab/>
      </w:r>
    </w:p>
    <w:p w14:paraId="519B1D9D" w14:textId="77777777" w:rsidR="00D00067" w:rsidRPr="008E63BB" w:rsidRDefault="00D00067" w:rsidP="0065184D">
      <w:pPr>
        <w:ind w:firstLine="720"/>
        <w:rPr>
          <w:lang w:val="vi-VN"/>
        </w:rPr>
      </w:pPr>
      <w:r w:rsidRPr="008E63BB">
        <w:rPr>
          <w:lang w:val="vi-VN"/>
        </w:rPr>
        <w:t xml:space="preserve">Từ năm 1897, thực dân Pháp bắt đầu cuộc khai thác thuộc địa lần thứ nhất (1897 – 1914) và sau đó là lần thứ 2 (1919 – 1929). Chính quyền  thực dân Pháp ở Nam Định đã tích cực đầu tư vốn để xây dựng cơ sở hạ tầng như: giao thông, thông tin liên lạc, điện, nhà máy, xí nghiệp… phục vụ cho công cuộc khai thác thuộc địa. Tăng cường và đẩy mạnh các hoạt động sản xuất công nghiệp, thương nghiệp; thiết lập mạng lưới thuế khóa, tăng cường thu ngân sách cho chính quyền. Trong cuộc khai thác thuộc địa lần thứ nhất (1897-1914), tại Nam Định thực dân Pháp đã gấp rút xây dựng cơ sở kinh tế công, thương nghiệp với nhà máy Dệt đầu tiên của cả nước hoạt động từ những năm cuối thế kỉ XIX. Dưới tác động của tư bản thực dân Pháp, Nam Định mau chóng trở thành một trung tâm công nghiệp, lớn nhất là công nghiệp Dệt. Trên cơ sở đó, ngày 17-10-1921, </w:t>
      </w:r>
      <w:r w:rsidRPr="008E63BB">
        <w:rPr>
          <w:lang w:val="vi-VN"/>
        </w:rPr>
        <w:lastRenderedPageBreak/>
        <w:t>toàn quyền Đông dương ra nghị định thành lập thành phố Nam Định, được áp dụng quy chế thành phố cấp II.</w:t>
      </w:r>
    </w:p>
    <w:p w14:paraId="519B1D9E" w14:textId="77777777" w:rsidR="00D00067" w:rsidRPr="008E63BB" w:rsidRDefault="00D00067" w:rsidP="0065184D">
      <w:pPr>
        <w:ind w:firstLine="720"/>
        <w:rPr>
          <w:lang w:val="vi-VN"/>
        </w:rPr>
      </w:pPr>
      <w:r w:rsidRPr="008E63BB">
        <w:rPr>
          <w:lang w:val="vi-VN"/>
        </w:rPr>
        <w:t>Thời kỳ nước ta bị thực dân Pháp đô hộ, để phục vụ cho chính sách cai trị và bóc lột thực dân của chúng, thành phố Nam Định được mở rộng ra, năm 1928 dân số tăng lên 3,5 vạn người. Đến năm 1942, dân số thành phố đã là 4 vạn người. Dân số tiếp tục tăng trưởng đến cuộc kháng chiến chống thực dân Pháp xâm lược lần thứ 2, thành phố Nam Định trở thành vùng chiếm đóng, đặt trụ sở chỉ huy của chúng, dân số nội thành giảm xuống. Năm 1947 dân số thành phố chỉ còn khoảng 2000 người.</w:t>
      </w:r>
    </w:p>
    <w:p w14:paraId="519B1D9F" w14:textId="77777777" w:rsidR="00D00067" w:rsidRPr="008E63BB" w:rsidRDefault="003E3015" w:rsidP="0065184D">
      <w:pPr>
        <w:ind w:firstLine="720"/>
        <w:rPr>
          <w:lang w:val="vi-VN"/>
        </w:rPr>
      </w:pPr>
      <w:r w:rsidRPr="008E63BB">
        <w:rPr>
          <w:noProof/>
          <w:lang w:eastAsia="zh-CN"/>
        </w:rPr>
        <w:drawing>
          <wp:anchor distT="0" distB="0" distL="114300" distR="114300" simplePos="0" relativeHeight="251648000" behindDoc="0" locked="0" layoutInCell="1" allowOverlap="1" wp14:anchorId="519B51B1" wp14:editId="519B51B2">
            <wp:simplePos x="0" y="0"/>
            <wp:positionH relativeFrom="margin">
              <wp:posOffset>3175635</wp:posOffset>
            </wp:positionH>
            <wp:positionV relativeFrom="margin">
              <wp:posOffset>2524760</wp:posOffset>
            </wp:positionV>
            <wp:extent cx="2652395" cy="3277235"/>
            <wp:effectExtent l="0" t="0" r="0" b="0"/>
            <wp:wrapSquare wrapText="bothSides"/>
            <wp:docPr id="85" name="Picture 85" descr="http://upload.wikimedia.org/wikipedia/commons/thumb/4/4c/Citadel_of_Nam_Dinh.jpg/180px-Citadel_of_Nam_Dinh.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upload.wikimedia.org/wikipedia/commons/thumb/4/4c/Citadel_of_Nam_Dinh.jpg/180px-Citadel_of_Nam_Dinh.jpg">
                      <a:hlinkClick r:id="rId16"/>
                    </pic:cNvPr>
                    <pic:cNvPicPr>
                      <a:picLocks noChangeAspect="1" noChangeArrowheads="1"/>
                    </pic:cNvPicPr>
                  </pic:nvPicPr>
                  <pic:blipFill>
                    <a:blip r:embed="rId17" r:link="rId18">
                      <a:lum contrast="20000"/>
                      <a:extLst>
                        <a:ext uri="{28A0092B-C50C-407E-A947-70E740481C1C}">
                          <a14:useLocalDpi xmlns:a14="http://schemas.microsoft.com/office/drawing/2010/main"/>
                        </a:ext>
                      </a:extLst>
                    </a:blip>
                    <a:srcRect/>
                    <a:stretch>
                      <a:fillRect/>
                    </a:stretch>
                  </pic:blipFill>
                  <pic:spPr bwMode="auto">
                    <a:xfrm>
                      <a:off x="0" y="0"/>
                      <a:ext cx="2652395" cy="3277235"/>
                    </a:xfrm>
                    <a:prstGeom prst="rect">
                      <a:avLst/>
                    </a:prstGeom>
                    <a:noFill/>
                    <a:ln>
                      <a:noFill/>
                    </a:ln>
                  </pic:spPr>
                </pic:pic>
              </a:graphicData>
            </a:graphic>
          </wp:anchor>
        </w:drawing>
      </w:r>
      <w:r w:rsidR="00D00067" w:rsidRPr="008E63BB">
        <w:rPr>
          <w:lang w:val="vi-VN"/>
        </w:rPr>
        <w:t>Vào cuối thế kỷ XIX Nam Định có 12 phố. Đầu thế kỷ XX người Pháp quy hoạch lại thành 10 phố, chia làm 40 đường, trong đó 25 đường phố mang tên tiếng Việt, 15 đường phố mang tên tiến Pháp chỉ rõ 2 khu dân cư, khu người Pháp ở và khu phố giành cho người Việt – bản xứ ở.</w:t>
      </w:r>
    </w:p>
    <w:p w14:paraId="519B1DA0" w14:textId="77777777" w:rsidR="00D00067" w:rsidRPr="008E63BB" w:rsidRDefault="00D00067" w:rsidP="0065184D">
      <w:pPr>
        <w:ind w:firstLine="720"/>
        <w:rPr>
          <w:lang w:val="vi-VN"/>
        </w:rPr>
      </w:pPr>
      <w:r w:rsidRPr="008E63BB">
        <w:rPr>
          <w:lang w:val="vi-VN"/>
        </w:rPr>
        <w:t>Trong thời kỳ đô hộ, các công sở của người Pháp lần lượt mọc lên trên các phố phường như: Tòa công sứ, Nhà Giấy, Tòa án tây, Sở kho bạc, Sở thương chính, Sở điện báo, Sở y viện, Sở quan binh, Sở đề lao, Sở mật thám,… do quan cai trị người Pháp quản lý, điều hành. Thành cổ Nam Định bị phá bỏ. Thành phố Nam Định được người Pháp cho quy hoạch lại theo kiểu hiện đại phương tây, đã trở thành một trong ba thành phố lớn nhất Bắc Kỳ cùng với Hà Nội, Hải Phòng.</w:t>
      </w:r>
    </w:p>
    <w:p w14:paraId="519B1DA1" w14:textId="77777777" w:rsidR="005618BC" w:rsidRPr="008E63BB" w:rsidRDefault="005618BC" w:rsidP="0065184D">
      <w:pPr>
        <w:ind w:firstLine="720"/>
        <w:jc w:val="right"/>
        <w:rPr>
          <w:lang w:val="vi-VN"/>
        </w:rPr>
      </w:pPr>
      <w:r w:rsidRPr="008E63BB">
        <w:rPr>
          <w:i/>
          <w:lang w:val="vi-VN"/>
        </w:rPr>
        <w:t>Sơ đồ thành cổ Nam Định thời Pháp thuộc</w:t>
      </w:r>
    </w:p>
    <w:p w14:paraId="519B1DA2" w14:textId="77777777" w:rsidR="00D00067" w:rsidRPr="008E63BB" w:rsidRDefault="00D00067" w:rsidP="0065184D">
      <w:pPr>
        <w:ind w:firstLine="720"/>
        <w:rPr>
          <w:lang w:val="vi-VN"/>
        </w:rPr>
      </w:pPr>
      <w:r w:rsidRPr="008E63BB">
        <w:rPr>
          <w:lang w:val="vi-VN"/>
        </w:rPr>
        <w:t>Thành phố Nam Định là một trung tâm thu hút sức người, sức của của cả một vùng rộng lớn. Nhận thấy rõ nhiều thuận lơi cho sự phát triển của ngành công nghiệp nhẹ, nhất là công nghiệp dệt, tư bản Pháp đá từng bước thâu tóm các xưởng Sợi, Dệt rất phát đạt trước đó để thành lập Công ty bông sợi Bắc kỳ tại Nam Định. Đây là một “liên hiệp các Xí nghiệp Sợi – Vải” vào loại lớn nhất Đông Dương. Sau khi Nhà máy sợi, Nhà máy Tơ ra đời và làm ăn phát đạt, thực dân Pháp bắt tay xây dựng một loạt các nhà máy như: Nhà máy Chai, Nhà máy Chiếu, Nhà máy Chăn, Nhà máy Nước, Nhà máy Điện,.. để phục vụ cho các nhu cầu thiết yếu của tư bản Pháp.</w:t>
      </w:r>
    </w:p>
    <w:p w14:paraId="519B1DA3" w14:textId="77777777" w:rsidR="00D00067" w:rsidRPr="008E63BB" w:rsidRDefault="00D00067" w:rsidP="0065184D">
      <w:pPr>
        <w:ind w:firstLine="720"/>
        <w:rPr>
          <w:spacing w:val="-2"/>
          <w:lang w:val="vi-VN"/>
        </w:rPr>
      </w:pPr>
      <w:r w:rsidRPr="008E63BB">
        <w:rPr>
          <w:spacing w:val="-2"/>
          <w:lang w:val="vi-VN"/>
        </w:rPr>
        <w:t xml:space="preserve">Bên cạnh các nhà máy của tư bản Pháp, ở thành phố còn có nhiều cơ sở thương mại và công nghiệp của tư sản Hoa Kiều và Việt Nam như: Xưởng cơ khí Nguyễn Thế </w:t>
      </w:r>
      <w:r w:rsidRPr="008E63BB">
        <w:rPr>
          <w:lang w:val="vi-VN"/>
        </w:rPr>
        <w:t>Môn</w:t>
      </w:r>
      <w:r w:rsidRPr="008E63BB">
        <w:rPr>
          <w:spacing w:val="-2"/>
          <w:lang w:val="vi-VN"/>
        </w:rPr>
        <w:t>, nhà in Trương Phát, Mỹ Thắng, xưởng dệt đũi Vũ Tư Cấu, xưởng ô tô của Lê Trường Xuân, đội tàu thủy hùng mạnh của Bạch Thái Bưởi.</w:t>
      </w:r>
    </w:p>
    <w:p w14:paraId="519B1DA4" w14:textId="77777777" w:rsidR="00D00067" w:rsidRPr="008E63BB" w:rsidRDefault="00D00067" w:rsidP="0065184D">
      <w:pPr>
        <w:ind w:firstLine="720"/>
        <w:rPr>
          <w:lang w:val="vi-VN"/>
        </w:rPr>
      </w:pPr>
      <w:r w:rsidRPr="008E63BB">
        <w:rPr>
          <w:lang w:val="vi-VN"/>
        </w:rPr>
        <w:t>Trong thành phố đã có những khu phố chuyên bán buôn như: Hàng Đồng, Hàng Đường, Hàng Giấy, phố Khách, Hàng Rượu… bán vải, thuốc bắc, thuốc tây, giấy viết, vật liệu xây dựng, đồ mỹ nghệ, phụ tùng cơ khí, văn phòng phẩm.v.v…Nhà hàng, khách sạn được dựng lên nhằm đáp ứng nhu cầu sinh hoạt, nghỉ ngơi của thị dân và khách vãng lai. Các khách sạn lớn của người Pháp như Phẩm Anh Nghi, Nam Việt, hàng ăn của người Hoa như Viễn Lai Lầu; của người Việt như Quảng Nguyên, Quả</w:t>
      </w:r>
      <w:r w:rsidR="0038318F" w:rsidRPr="008E63BB">
        <w:rPr>
          <w:lang w:val="vi-VN"/>
        </w:rPr>
        <w:t>ng Hưng…</w:t>
      </w:r>
      <w:r w:rsidRPr="008E63BB">
        <w:rPr>
          <w:lang w:val="vi-VN"/>
        </w:rPr>
        <w:t xml:space="preserve">Để đáp ứng nhu cầu trao đổi và lưu thông hàng hóa ngày càng tăng, nhiều chợ được mở ra khắp các phố phường, các làng xã ven đô, chợ Rồng được xây dựng và trở thành chợ lớn </w:t>
      </w:r>
      <w:r w:rsidRPr="008E63BB">
        <w:rPr>
          <w:lang w:val="vi-VN"/>
        </w:rPr>
        <w:lastRenderedPageBreak/>
        <w:t>nhất thành phố, xếp vào vị trí thứ 2 sau chợ Đồng Xuân (Hà Nội) ở Bắc kỳ kể cả về quy mô và hoạt động kinh doanh.</w:t>
      </w:r>
    </w:p>
    <w:p w14:paraId="519B1DA5" w14:textId="77777777" w:rsidR="00091918" w:rsidRPr="008E63BB" w:rsidRDefault="00D00067" w:rsidP="0065184D">
      <w:pPr>
        <w:ind w:firstLine="720"/>
        <w:rPr>
          <w:lang w:val="vi-VN"/>
        </w:rPr>
      </w:pPr>
      <w:r w:rsidRPr="008E63BB">
        <w:rPr>
          <w:lang w:val="vi-VN"/>
        </w:rPr>
        <w:t>Sự phát triển nhanh chóng của công nghiệp cũng như thương mại đã thu hút một đội ngũ thợ thủ công lành nghề như Rèn, Gò, Tiện, Thêu, May, dệt,… Một bộ phận nông dân từ nông thôn nhất là vùng nông thôn ven thành phố như Mai Xá, Mỹ trọng, Đồng Phù, Địch Lễ …</w:t>
      </w:r>
    </w:p>
    <w:tbl>
      <w:tblPr>
        <w:tblW w:w="0" w:type="auto"/>
        <w:jc w:val="center"/>
        <w:tblLayout w:type="fixed"/>
        <w:tblLook w:val="04A0" w:firstRow="1" w:lastRow="0" w:firstColumn="1" w:lastColumn="0" w:noHBand="0" w:noVBand="1"/>
      </w:tblPr>
      <w:tblGrid>
        <w:gridCol w:w="4536"/>
        <w:gridCol w:w="4536"/>
      </w:tblGrid>
      <w:tr w:rsidR="00077538" w:rsidRPr="008E63BB" w14:paraId="519B1DA8" w14:textId="77777777" w:rsidTr="00D00067">
        <w:trPr>
          <w:jc w:val="center"/>
        </w:trPr>
        <w:tc>
          <w:tcPr>
            <w:tcW w:w="4536" w:type="dxa"/>
            <w:shd w:val="clear" w:color="auto" w:fill="auto"/>
          </w:tcPr>
          <w:p w14:paraId="519B1DA6" w14:textId="77777777" w:rsidR="00D00067" w:rsidRPr="008E63BB" w:rsidRDefault="003E7180" w:rsidP="0065184D">
            <w:r w:rsidRPr="008E63BB">
              <w:rPr>
                <w:noProof/>
                <w:lang w:eastAsia="zh-CN"/>
              </w:rPr>
              <w:drawing>
                <wp:inline distT="0" distB="0" distL="0" distR="0" wp14:anchorId="519B51B3" wp14:editId="519B51B4">
                  <wp:extent cx="2809875" cy="192405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09875" cy="1924050"/>
                          </a:xfrm>
                          <a:prstGeom prst="rect">
                            <a:avLst/>
                          </a:prstGeom>
                          <a:noFill/>
                          <a:ln>
                            <a:noFill/>
                          </a:ln>
                        </pic:spPr>
                      </pic:pic>
                    </a:graphicData>
                  </a:graphic>
                </wp:inline>
              </w:drawing>
            </w:r>
          </w:p>
        </w:tc>
        <w:tc>
          <w:tcPr>
            <w:tcW w:w="4536" w:type="dxa"/>
          </w:tcPr>
          <w:p w14:paraId="519B1DA7" w14:textId="77777777" w:rsidR="00D00067" w:rsidRPr="008E63BB" w:rsidRDefault="003E7180" w:rsidP="0065184D">
            <w:r w:rsidRPr="008E63BB">
              <w:rPr>
                <w:noProof/>
                <w:lang w:eastAsia="zh-CN"/>
              </w:rPr>
              <w:drawing>
                <wp:inline distT="0" distB="0" distL="0" distR="0" wp14:anchorId="519B51B5" wp14:editId="519B51B6">
                  <wp:extent cx="2733675" cy="1924050"/>
                  <wp:effectExtent l="0" t="0" r="9525" b="0"/>
                  <wp:docPr id="80" name="Picture 80" descr="cho Nam D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 Nam Dinh"/>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733675" cy="1924050"/>
                          </a:xfrm>
                          <a:prstGeom prst="rect">
                            <a:avLst/>
                          </a:prstGeom>
                          <a:noFill/>
                          <a:ln>
                            <a:noFill/>
                          </a:ln>
                        </pic:spPr>
                      </pic:pic>
                    </a:graphicData>
                  </a:graphic>
                </wp:inline>
              </w:drawing>
            </w:r>
          </w:p>
        </w:tc>
      </w:tr>
      <w:tr w:rsidR="00077538" w:rsidRPr="008E63BB" w14:paraId="519B1DAD" w14:textId="77777777" w:rsidTr="00D00067">
        <w:trPr>
          <w:jc w:val="center"/>
        </w:trPr>
        <w:tc>
          <w:tcPr>
            <w:tcW w:w="4536" w:type="dxa"/>
            <w:shd w:val="clear" w:color="auto" w:fill="auto"/>
            <w:vAlign w:val="center"/>
          </w:tcPr>
          <w:p w14:paraId="519B1DA9" w14:textId="77777777" w:rsidR="00D00067" w:rsidRPr="008E63BB" w:rsidRDefault="00D00067" w:rsidP="0065184D">
            <w:pPr>
              <w:rPr>
                <w:i/>
              </w:rPr>
            </w:pPr>
            <w:r w:rsidRPr="008E63BB">
              <w:rPr>
                <w:i/>
              </w:rPr>
              <w:t>Toàn cảnh thành phố Nam Định</w:t>
            </w:r>
          </w:p>
          <w:p w14:paraId="519B1DAA" w14:textId="77777777" w:rsidR="00D00067" w:rsidRPr="008E63BB" w:rsidRDefault="00D00067" w:rsidP="0065184D">
            <w:pPr>
              <w:rPr>
                <w:i/>
              </w:rPr>
            </w:pPr>
            <w:r w:rsidRPr="008E63BB">
              <w:rPr>
                <w:i/>
              </w:rPr>
              <w:t xml:space="preserve"> thời Pháp thuộc</w:t>
            </w:r>
          </w:p>
        </w:tc>
        <w:tc>
          <w:tcPr>
            <w:tcW w:w="4536" w:type="dxa"/>
          </w:tcPr>
          <w:p w14:paraId="519B1DAB" w14:textId="77777777" w:rsidR="00D00067" w:rsidRPr="008E63BB" w:rsidRDefault="00D00067" w:rsidP="0065184D">
            <w:pPr>
              <w:rPr>
                <w:i/>
              </w:rPr>
            </w:pPr>
            <w:r w:rsidRPr="008E63BB">
              <w:rPr>
                <w:i/>
              </w:rPr>
              <w:t>Chợ thành phố Nam Định</w:t>
            </w:r>
          </w:p>
          <w:p w14:paraId="519B1DAC" w14:textId="77777777" w:rsidR="00D00067" w:rsidRPr="008E63BB" w:rsidRDefault="00D00067" w:rsidP="0065184D">
            <w:pPr>
              <w:rPr>
                <w:i/>
              </w:rPr>
            </w:pPr>
            <w:r w:rsidRPr="008E63BB">
              <w:rPr>
                <w:i/>
              </w:rPr>
              <w:t>thời Pháp thuộc</w:t>
            </w:r>
          </w:p>
        </w:tc>
      </w:tr>
    </w:tbl>
    <w:p w14:paraId="519B1DAE" w14:textId="77777777" w:rsidR="00D00067" w:rsidRPr="008E63BB" w:rsidRDefault="00D00067" w:rsidP="0065184D">
      <w:pPr>
        <w:ind w:firstLine="720"/>
        <w:rPr>
          <w:spacing w:val="-4"/>
        </w:rPr>
      </w:pPr>
      <w:r w:rsidRPr="008E63BB">
        <w:rPr>
          <w:spacing w:val="-4"/>
        </w:rPr>
        <w:t>Sau cách mạng tháng Tám thành công, Chủ tịch Chính phủ lâm thời Việt Nam dân chủ cộng hòa ra sắc lệnh số 77 ngày 21-12-1945 quyết định thành phố Nam Định là 1 trong 8 thành phố của cả nước bao gồm: Hà Nội, Hải Phòng, Nam Định, Vinh – Bến Thủy, Huế, Đà Nẵng, Đà Lạt, Sài Gòn – Chợ Lớn. Riêng Hà Nội được đặt dưới sự quản lý của Chính phủ Trung ương, các thành phố khác được đặt dưới sự quản lý của các kỳ (sau đổi thành Bộ). Nam Định do Bắc Kỳ (Bắc Bộ) quản lý.</w:t>
      </w:r>
    </w:p>
    <w:p w14:paraId="519B1DAF" w14:textId="77777777" w:rsidR="00D00067" w:rsidRPr="008E63BB" w:rsidRDefault="00D00067" w:rsidP="0065184D">
      <w:pPr>
        <w:ind w:firstLine="720"/>
        <w:rPr>
          <w:spacing w:val="-4"/>
        </w:rPr>
      </w:pPr>
      <w:r w:rsidRPr="008E63BB">
        <w:rPr>
          <w:spacing w:val="-4"/>
        </w:rPr>
        <w:t>Ngày 01 tháng 7 năm 1954, thành phố Nam Định là thành phố đầu tiên trong cả nước được hoàn toàn giải phóng, mở đầu trang sử mới. Đến ngày 3 tháng 9 năm 1957, Thủ tướng Chính phủ ra  Nghị định số 405/TTg sát nhập thành phố Nam Định vào tỉnh Nam Định. Từ đó đến nay thành phố Nam Định là đô thị tỉnh lỵ tương đương cấp huyện. Ngày 13 tháng 6 năm 1967, Hội đồng Chính phủ ra quyết định sáp nhập toàn bộ huyện Mỹ Lộc vào thành phố Nam Định, địa giới thành phố Nam Định được mở rộng hơn gấp 2 lần.</w:t>
      </w:r>
    </w:p>
    <w:p w14:paraId="519B1DB0" w14:textId="77777777" w:rsidR="00D00067" w:rsidRPr="008E63BB" w:rsidRDefault="00D00067" w:rsidP="0065184D">
      <w:pPr>
        <w:ind w:firstLine="720"/>
        <w:rPr>
          <w:spacing w:val="-4"/>
        </w:rPr>
      </w:pPr>
      <w:r w:rsidRPr="008E63BB">
        <w:rPr>
          <w:spacing w:val="-4"/>
        </w:rPr>
        <w:t>Từ năm 1954 đến năm 1990, thành phố tập trung khắc phục hậu quả hai cuộc chiến tranh bằng không quân của đế quốc Mỹ, và khôi phục phát triển kinh tế xã hội. Năm 1976, thành phố được Nhà nước tặng danh hiệu Anh hùng lực lượng vũ trang. Thành phố trở thành là đô thị lớn thứ 3 miền Bắc sau thủ đô Hà Nội và thành phố Hải Phòng.</w:t>
      </w:r>
    </w:p>
    <w:p w14:paraId="519B1DB1" w14:textId="77777777" w:rsidR="00D00067" w:rsidRPr="008E63BB" w:rsidRDefault="00D00067" w:rsidP="0065184D">
      <w:pPr>
        <w:ind w:firstLine="720"/>
      </w:pPr>
      <w:r w:rsidRPr="008E63BB">
        <w:t>Năm 1997, Chính phủ ra quyết định chuyển 2 xã Nam Phong và Nam Vân thuộc huyện Nam Ninh về thành phố Nam Định; tách 3 xã là: Mỹ Trung, Mỹ Phúc và Mỹ Tân của thành phố Nam Định và 7 xã : Mỹ Hà, Mỹ Thắng, Mỹ Tiến, Mỹ Thịnh, Mỹ Thuận, Mỹ Thành, Mỹ Hưng của huyện Bình Lục thành lập huyện Mỹ Lộc.</w:t>
      </w:r>
    </w:p>
    <w:p w14:paraId="519B1DB2" w14:textId="77777777" w:rsidR="00D00067" w:rsidRPr="008E63BB" w:rsidRDefault="00D00067" w:rsidP="0065184D">
      <w:pPr>
        <w:textAlignment w:val="baseline"/>
      </w:pPr>
      <w:r w:rsidRPr="008E63BB">
        <w:t xml:space="preserve">Hiện nay, thành phố Nam Định có 25 đơn vị hành chính, </w:t>
      </w:r>
      <w:r w:rsidR="002064A9" w:rsidRPr="008E63BB">
        <w:t xml:space="preserve">trong đó có 22 phường nội thị: Bà Triệu, Quang Trung, Nguyễn Du, Trần Hưng Đạo, Ngô Quyền, Cửa Bắc, Vị Xuyên, Vị Hoàng, </w:t>
      </w:r>
      <w:r w:rsidR="00450752" w:rsidRPr="008E63BB">
        <w:t>Nam Định</w:t>
      </w:r>
      <w:r w:rsidR="002064A9" w:rsidRPr="008E63BB">
        <w:t>, Trần Tế Xương, Trần Đăng Ninh, Cửa Bắc, Năng Tĩnh, Văn Miếu, Phan Đình Phùng, Trường Thi, Trần Quang Khải, Thống Nhất, Lộc Hạ, Lộc Vượng, Cửa Nam, Lộc Hòa, Mỹ Xá (theo Nghị Quyết số 721/NQ-UBTVQH14 ngày 16/7/2019 của Ủy ban thường vụ Quốc hội v/v thành lập phường Lộc Hòa và phường Mỹ Xá thuộc thành phố Nam Định, tỉnh Nam Định) và 3 xã ngoại thành: Lộc An, Nam Phong, Nam Vân.</w:t>
      </w:r>
    </w:p>
    <w:p w14:paraId="519B1DB3" w14:textId="77777777" w:rsidR="00C53818" w:rsidRPr="008E63BB" w:rsidRDefault="00D00067" w:rsidP="0065184D">
      <w:pPr>
        <w:ind w:firstLine="720"/>
      </w:pPr>
      <w:r w:rsidRPr="008E63BB">
        <w:t xml:space="preserve">Trải qua nhiều lần sáp nhập chia tách tỉnh, thành phố Nam Định luôn được xác định là trung tâm chính trị - kinh tế - văn hóa – khoa học kỹ thuật của tỉnh Nam Định, </w:t>
      </w:r>
      <w:r w:rsidRPr="008E63BB">
        <w:lastRenderedPageBreak/>
        <w:t>đóng vai trò trung tâm khu vực, có tầm ảnh hưởng quan trọng tới sự phát triển của vùng Nam đồng bằng sông Hồng.</w:t>
      </w:r>
      <w:bookmarkEnd w:id="104"/>
    </w:p>
    <w:p w14:paraId="519B1DB4" w14:textId="77777777" w:rsidR="00A71373" w:rsidRPr="008E63BB" w:rsidRDefault="003223CA" w:rsidP="0065184D">
      <w:pPr>
        <w:ind w:firstLine="720"/>
      </w:pPr>
      <w:r w:rsidRPr="008E63BB">
        <w:t xml:space="preserve">Điều chỉnh Quy hoạch chung xây dựng thành phố Nam Định đến năm 2020 trên cơ sở ranh giới hành chính </w:t>
      </w:r>
      <w:r w:rsidR="0072459D" w:rsidRPr="008E63BB">
        <w:t xml:space="preserve">của </w:t>
      </w:r>
      <w:r w:rsidRPr="008E63BB">
        <w:t>thành phố đã được Thủ Tướng Chính Phủ phê duyệt tại Quyết định số 31/2001/QĐ-TTg ngày 12/3/2001.</w:t>
      </w:r>
    </w:p>
    <w:p w14:paraId="519B1DB5" w14:textId="77777777" w:rsidR="003223CA" w:rsidRPr="008E63BB" w:rsidRDefault="003223CA" w:rsidP="0065184D">
      <w:pPr>
        <w:ind w:firstLine="720"/>
      </w:pPr>
      <w:r w:rsidRPr="008E63BB">
        <w:t>Đến năm 2011, với chủ trương mở rộng địa giới hành chính thành phố sang khu vực 3 huyện Mỹ Lộ</w:t>
      </w:r>
      <w:r w:rsidR="0072459D" w:rsidRPr="008E63BB">
        <w:t xml:space="preserve">c, </w:t>
      </w:r>
      <w:r w:rsidRPr="008E63BB">
        <w:t>Vụ Bản và Nam Trực, Điều chỉnh Quy hoạch chung xây dựng thành phố Nam Định đến năm 2025 được lập và phê duyệt tại Quyết định số 2084/QĐ-TTg ngày 22-11-2011 của Thủ tướng Chính phủ.</w:t>
      </w:r>
      <w:r w:rsidR="00110DB8" w:rsidRPr="008E63BB">
        <w:t xml:space="preserve"> Từ đó đến nay, đồ án đã là cơ sở quan trọng để Thành phố Nam Định triển khai thực hiện các đồ án quy hoạch chi tiết và các dự án đầu tư phát triển đô thị, tạo nền tảng cho những tiến bộ về kinh tế – xã hội của Thành phố nói riêng và cả tỉnh Nam Định nói chung.</w:t>
      </w:r>
    </w:p>
    <w:p w14:paraId="519B1DB6" w14:textId="77777777" w:rsidR="007521A0" w:rsidRPr="008E63BB" w:rsidRDefault="00A71373" w:rsidP="0065184D">
      <w:pPr>
        <w:pStyle w:val="Heading2"/>
        <w:spacing w:before="60" w:after="0" w:line="26" w:lineRule="atLeast"/>
        <w:rPr>
          <w:lang w:val="it-IT"/>
        </w:rPr>
      </w:pPr>
      <w:bookmarkStart w:id="131" w:name="_Toc47524653"/>
      <w:r w:rsidRPr="008E63BB">
        <w:rPr>
          <w:lang w:val="it-IT"/>
        </w:rPr>
        <w:t>2.3</w:t>
      </w:r>
      <w:r w:rsidR="00A17633" w:rsidRPr="008E63BB">
        <w:rPr>
          <w:lang w:val="it-IT"/>
        </w:rPr>
        <w:t>. Hiện trạng kinh tế xã hội</w:t>
      </w:r>
      <w:bookmarkEnd w:id="86"/>
      <w:bookmarkEnd w:id="87"/>
      <w:bookmarkEnd w:id="88"/>
      <w:bookmarkEnd w:id="89"/>
      <w:bookmarkEnd w:id="131"/>
    </w:p>
    <w:p w14:paraId="519B1DB7" w14:textId="77777777" w:rsidR="00A17633" w:rsidRPr="008E63BB" w:rsidRDefault="00A71373" w:rsidP="0065184D">
      <w:pPr>
        <w:pStyle w:val="Heading3"/>
        <w:spacing w:before="60" w:line="26" w:lineRule="atLeast"/>
      </w:pPr>
      <w:bookmarkStart w:id="132" w:name="_Toc341519018"/>
      <w:bookmarkStart w:id="133" w:name="_Toc341519119"/>
      <w:bookmarkStart w:id="134" w:name="_Toc344928432"/>
      <w:bookmarkStart w:id="135" w:name="_Toc345538340"/>
      <w:bookmarkStart w:id="136" w:name="_Toc493424434"/>
      <w:bookmarkStart w:id="137" w:name="_Toc21954823"/>
      <w:bookmarkStart w:id="138" w:name="_Toc21955322"/>
      <w:bookmarkStart w:id="139" w:name="_Toc24361895"/>
      <w:bookmarkStart w:id="140" w:name="_Toc47524654"/>
      <w:r w:rsidRPr="008E63BB">
        <w:t>2.3</w:t>
      </w:r>
      <w:r w:rsidR="00A17633" w:rsidRPr="008E63BB">
        <w:t>.1. Hiện trạng dân số, lao động</w:t>
      </w:r>
      <w:bookmarkEnd w:id="132"/>
      <w:bookmarkEnd w:id="133"/>
      <w:bookmarkEnd w:id="134"/>
      <w:bookmarkEnd w:id="135"/>
      <w:bookmarkEnd w:id="136"/>
      <w:bookmarkEnd w:id="137"/>
      <w:bookmarkEnd w:id="138"/>
      <w:bookmarkEnd w:id="139"/>
      <w:bookmarkEnd w:id="140"/>
    </w:p>
    <w:p w14:paraId="519B1DB8" w14:textId="77777777" w:rsidR="00734563" w:rsidRPr="008E63BB" w:rsidRDefault="00734563" w:rsidP="0065184D">
      <w:pPr>
        <w:rPr>
          <w:i/>
          <w:lang w:val="pt-BR"/>
        </w:rPr>
      </w:pPr>
      <w:r w:rsidRPr="008E63BB">
        <w:rPr>
          <w:i/>
          <w:lang w:val="pt-BR"/>
        </w:rPr>
        <w:t>a. Về dân số</w:t>
      </w:r>
    </w:p>
    <w:p w14:paraId="519B1DB9" w14:textId="77777777" w:rsidR="00DC5F42" w:rsidRPr="008E63BB" w:rsidRDefault="006E16AC" w:rsidP="00DC5F42">
      <w:pPr>
        <w:ind w:firstLine="706"/>
        <w:rPr>
          <w:lang w:val="pt-BR"/>
        </w:rPr>
      </w:pPr>
      <w:r w:rsidRPr="008E63BB">
        <w:rPr>
          <w:lang w:val="pt-BR"/>
        </w:rPr>
        <w:t>Theo Nghị Quyết số 721/NQ-UBTVQH14 ngày 16/7/2019 – dân số trong ranh giớ</w:t>
      </w:r>
      <w:r w:rsidR="00841C2D" w:rsidRPr="008E63BB">
        <w:rPr>
          <w:lang w:val="pt-BR"/>
        </w:rPr>
        <w:t>i QH là 398.188</w:t>
      </w:r>
      <w:r w:rsidRPr="008E63BB">
        <w:rPr>
          <w:lang w:val="pt-BR"/>
        </w:rPr>
        <w:t xml:space="preserve"> người, trong đó: dân số TP. Nam Định 253.343 người (dân số nội thành: 230.680 người, dân số ngoại thành: 22.663người); dân số huyện Mỹ Lộc là 70.306người (dân số thị trấn: 5.209 người; dân số 10 xã: 65.097 người); dân số 3 xã huyện Vụ Bản là 28.013 người; dân số 5 xã huyện Nam Trực là </w:t>
      </w:r>
      <w:r w:rsidR="00841C2D" w:rsidRPr="008E63BB">
        <w:rPr>
          <w:lang w:val="pt-BR"/>
        </w:rPr>
        <w:t>45.526</w:t>
      </w:r>
      <w:r w:rsidRPr="008E63BB">
        <w:rPr>
          <w:lang w:val="pt-BR"/>
        </w:rPr>
        <w:t xml:space="preserve"> người</w:t>
      </w:r>
      <w:r w:rsidR="00DC5F42" w:rsidRPr="008E63BB">
        <w:rPr>
          <w:lang w:val="pt-BR"/>
        </w:rPr>
        <w:t>.</w:t>
      </w:r>
    </w:p>
    <w:p w14:paraId="519B1DBA" w14:textId="77777777" w:rsidR="00DC5F42" w:rsidRPr="008E63BB" w:rsidRDefault="00DC5F42" w:rsidP="006E5817">
      <w:pPr>
        <w:jc w:val="center"/>
        <w:rPr>
          <w:b/>
          <w:lang w:val="pt-BR"/>
        </w:rPr>
      </w:pPr>
      <w:r w:rsidRPr="008E63BB">
        <w:rPr>
          <w:b/>
          <w:lang w:val="pt-BR"/>
        </w:rPr>
        <w:t>Tổng hợp hiện trạng dân số và diện tích</w:t>
      </w:r>
    </w:p>
    <w:tbl>
      <w:tblPr>
        <w:tblW w:w="9550" w:type="dxa"/>
        <w:tblLook w:val="04A0" w:firstRow="1" w:lastRow="0" w:firstColumn="1" w:lastColumn="0" w:noHBand="0" w:noVBand="1"/>
      </w:tblPr>
      <w:tblGrid>
        <w:gridCol w:w="93"/>
        <w:gridCol w:w="735"/>
        <w:gridCol w:w="3420"/>
        <w:gridCol w:w="1620"/>
        <w:gridCol w:w="1710"/>
        <w:gridCol w:w="1710"/>
        <w:gridCol w:w="262"/>
      </w:tblGrid>
      <w:tr w:rsidR="006E16AC" w:rsidRPr="008E63BB" w14:paraId="519B1DC2" w14:textId="77777777" w:rsidTr="006E16AC">
        <w:trPr>
          <w:gridBefore w:val="1"/>
          <w:gridAfter w:val="1"/>
          <w:wBefore w:w="93" w:type="dxa"/>
          <w:wAfter w:w="262" w:type="dxa"/>
          <w:cantSplit/>
          <w:trHeight w:val="360"/>
          <w:tblHeader/>
        </w:trPr>
        <w:tc>
          <w:tcPr>
            <w:tcW w:w="7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DBB" w14:textId="77777777" w:rsidR="006E16AC" w:rsidRPr="008E63BB" w:rsidRDefault="006E16AC" w:rsidP="006E16AC">
            <w:pPr>
              <w:jc w:val="center"/>
              <w:rPr>
                <w:rFonts w:eastAsia="Times New Roman"/>
                <w:b/>
                <w:bCs/>
                <w:i/>
                <w:iCs/>
                <w:sz w:val="22"/>
              </w:rPr>
            </w:pPr>
            <w:r w:rsidRPr="008E63BB">
              <w:rPr>
                <w:rFonts w:eastAsia="Times New Roman"/>
                <w:sz w:val="22"/>
              </w:rPr>
              <w:t>TT</w:t>
            </w:r>
          </w:p>
        </w:tc>
        <w:tc>
          <w:tcPr>
            <w:tcW w:w="3420" w:type="dxa"/>
            <w:tcBorders>
              <w:top w:val="single" w:sz="4" w:space="0" w:color="auto"/>
              <w:left w:val="nil"/>
              <w:bottom w:val="single" w:sz="4" w:space="0" w:color="auto"/>
              <w:right w:val="single" w:sz="4" w:space="0" w:color="auto"/>
            </w:tcBorders>
            <w:shd w:val="clear" w:color="auto" w:fill="auto"/>
            <w:noWrap/>
            <w:vAlign w:val="center"/>
          </w:tcPr>
          <w:p w14:paraId="519B1DBC" w14:textId="77777777" w:rsidR="006E16AC" w:rsidRPr="008E63BB" w:rsidRDefault="006E16AC" w:rsidP="006E16AC">
            <w:pPr>
              <w:jc w:val="center"/>
              <w:rPr>
                <w:rFonts w:eastAsia="Times New Roman"/>
                <w:b/>
                <w:bCs/>
                <w:i/>
                <w:iCs/>
                <w:sz w:val="22"/>
              </w:rPr>
            </w:pPr>
            <w:r w:rsidRPr="008E63BB">
              <w:rPr>
                <w:rFonts w:eastAsia="Times New Roman"/>
                <w:sz w:val="22"/>
              </w:rPr>
              <w:t>Danh mục</w:t>
            </w:r>
          </w:p>
        </w:tc>
        <w:tc>
          <w:tcPr>
            <w:tcW w:w="1620" w:type="dxa"/>
            <w:tcBorders>
              <w:top w:val="single" w:sz="4" w:space="0" w:color="auto"/>
              <w:left w:val="nil"/>
              <w:bottom w:val="single" w:sz="4" w:space="0" w:color="auto"/>
              <w:right w:val="single" w:sz="4" w:space="0" w:color="auto"/>
            </w:tcBorders>
            <w:shd w:val="clear" w:color="auto" w:fill="auto"/>
            <w:noWrap/>
            <w:vAlign w:val="center"/>
          </w:tcPr>
          <w:p w14:paraId="519B1DBD" w14:textId="77777777" w:rsidR="006E16AC" w:rsidRPr="008E63BB" w:rsidRDefault="006E16AC" w:rsidP="006E16AC">
            <w:pPr>
              <w:jc w:val="center"/>
              <w:rPr>
                <w:rFonts w:eastAsia="Times New Roman"/>
                <w:sz w:val="22"/>
              </w:rPr>
            </w:pPr>
            <w:r w:rsidRPr="008E63BB">
              <w:rPr>
                <w:rFonts w:eastAsia="Times New Roman"/>
                <w:sz w:val="22"/>
              </w:rPr>
              <w:t>Diện tích</w:t>
            </w:r>
          </w:p>
          <w:p w14:paraId="519B1DBE" w14:textId="77777777" w:rsidR="006E16AC" w:rsidRPr="008E63BB" w:rsidRDefault="006E16AC" w:rsidP="006E16AC">
            <w:pPr>
              <w:jc w:val="center"/>
              <w:rPr>
                <w:rFonts w:eastAsia="Times New Roman"/>
                <w:b/>
                <w:bCs/>
                <w:i/>
                <w:iCs/>
                <w:sz w:val="22"/>
              </w:rPr>
            </w:pPr>
            <w:r w:rsidRPr="008E63BB">
              <w:rPr>
                <w:rFonts w:eastAsia="Times New Roman"/>
                <w:sz w:val="22"/>
              </w:rPr>
              <w:t>(km2)</w:t>
            </w:r>
          </w:p>
        </w:tc>
        <w:tc>
          <w:tcPr>
            <w:tcW w:w="1710" w:type="dxa"/>
            <w:tcBorders>
              <w:top w:val="single" w:sz="4" w:space="0" w:color="auto"/>
              <w:left w:val="nil"/>
              <w:bottom w:val="single" w:sz="4" w:space="0" w:color="auto"/>
              <w:right w:val="single" w:sz="4" w:space="0" w:color="auto"/>
            </w:tcBorders>
            <w:shd w:val="clear" w:color="auto" w:fill="auto"/>
            <w:noWrap/>
            <w:vAlign w:val="center"/>
          </w:tcPr>
          <w:p w14:paraId="519B1DBF" w14:textId="77777777" w:rsidR="006E16AC" w:rsidRPr="008E63BB" w:rsidRDefault="006E16AC" w:rsidP="006E16AC">
            <w:pPr>
              <w:jc w:val="center"/>
              <w:rPr>
                <w:rFonts w:eastAsia="Times New Roman"/>
                <w:sz w:val="22"/>
              </w:rPr>
            </w:pPr>
            <w:r w:rsidRPr="008E63BB">
              <w:rPr>
                <w:rFonts w:eastAsia="Times New Roman"/>
                <w:sz w:val="22"/>
              </w:rPr>
              <w:t>Dân số</w:t>
            </w:r>
          </w:p>
          <w:p w14:paraId="519B1DC0" w14:textId="77777777" w:rsidR="006E16AC" w:rsidRPr="008E63BB" w:rsidRDefault="006E16AC" w:rsidP="006E16AC">
            <w:pPr>
              <w:jc w:val="center"/>
              <w:rPr>
                <w:rFonts w:eastAsia="Times New Roman"/>
                <w:b/>
                <w:bCs/>
                <w:i/>
                <w:iCs/>
                <w:sz w:val="22"/>
              </w:rPr>
            </w:pPr>
            <w:r w:rsidRPr="008E63BB">
              <w:rPr>
                <w:rFonts w:eastAsia="Times New Roman"/>
                <w:sz w:val="22"/>
              </w:rPr>
              <w:t>(người)</w:t>
            </w:r>
          </w:p>
        </w:tc>
        <w:tc>
          <w:tcPr>
            <w:tcW w:w="1710" w:type="dxa"/>
            <w:tcBorders>
              <w:top w:val="single" w:sz="4" w:space="0" w:color="auto"/>
              <w:left w:val="nil"/>
              <w:bottom w:val="single" w:sz="4" w:space="0" w:color="auto"/>
              <w:right w:val="single" w:sz="4" w:space="0" w:color="auto"/>
            </w:tcBorders>
            <w:shd w:val="clear" w:color="auto" w:fill="auto"/>
            <w:noWrap/>
            <w:vAlign w:val="center"/>
          </w:tcPr>
          <w:p w14:paraId="519B1DC1" w14:textId="77777777" w:rsidR="006E16AC" w:rsidRPr="008E63BB" w:rsidRDefault="006E16AC" w:rsidP="006E16AC">
            <w:pPr>
              <w:jc w:val="center"/>
              <w:rPr>
                <w:rFonts w:eastAsia="Times New Roman"/>
                <w:b/>
                <w:bCs/>
                <w:i/>
                <w:iCs/>
                <w:sz w:val="22"/>
              </w:rPr>
            </w:pPr>
            <w:r w:rsidRPr="008E63BB">
              <w:rPr>
                <w:rFonts w:eastAsia="Times New Roman"/>
                <w:sz w:val="22"/>
              </w:rPr>
              <w:t>Mật độ dân số (Người/km2)</w:t>
            </w:r>
          </w:p>
        </w:tc>
      </w:tr>
      <w:tr w:rsidR="006E16AC" w:rsidRPr="008E63BB" w14:paraId="519B1DC8" w14:textId="77777777" w:rsidTr="006E16AC">
        <w:trPr>
          <w:gridBefore w:val="1"/>
          <w:gridAfter w:val="1"/>
          <w:wBefore w:w="93" w:type="dxa"/>
          <w:wAfter w:w="262" w:type="dxa"/>
          <w:trHeight w:val="36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C3" w14:textId="77777777" w:rsidR="006E16AC" w:rsidRPr="008E63BB" w:rsidRDefault="006E16AC" w:rsidP="006E16AC">
            <w:pPr>
              <w:jc w:val="left"/>
              <w:rPr>
                <w:rFonts w:eastAsia="Times New Roman"/>
                <w:b/>
                <w:bCs/>
                <w:i/>
                <w:iCs/>
                <w:sz w:val="22"/>
              </w:rPr>
            </w:pPr>
            <w:r w:rsidRPr="008E63BB">
              <w:rPr>
                <w:rFonts w:eastAsia="Times New Roman"/>
                <w:b/>
                <w:bCs/>
                <w:i/>
                <w:iCs/>
                <w:sz w:val="22"/>
              </w:rPr>
              <w:t> </w:t>
            </w:r>
          </w:p>
        </w:tc>
        <w:tc>
          <w:tcPr>
            <w:tcW w:w="3420" w:type="dxa"/>
            <w:tcBorders>
              <w:top w:val="nil"/>
              <w:left w:val="nil"/>
              <w:bottom w:val="single" w:sz="4" w:space="0" w:color="auto"/>
              <w:right w:val="single" w:sz="4" w:space="0" w:color="auto"/>
            </w:tcBorders>
            <w:shd w:val="clear" w:color="auto" w:fill="auto"/>
            <w:noWrap/>
            <w:vAlign w:val="center"/>
            <w:hideMark/>
          </w:tcPr>
          <w:p w14:paraId="519B1DC4" w14:textId="77777777" w:rsidR="006E16AC" w:rsidRPr="008E63BB" w:rsidRDefault="006E16AC" w:rsidP="006E16AC">
            <w:pPr>
              <w:jc w:val="center"/>
              <w:rPr>
                <w:rFonts w:eastAsia="Times New Roman"/>
                <w:b/>
                <w:bCs/>
                <w:i/>
                <w:iCs/>
                <w:sz w:val="22"/>
              </w:rPr>
            </w:pPr>
            <w:r w:rsidRPr="008E63BB">
              <w:rPr>
                <w:rFonts w:eastAsia="Times New Roman"/>
                <w:b/>
                <w:bCs/>
                <w:i/>
                <w:iCs/>
                <w:sz w:val="22"/>
              </w:rPr>
              <w:t>Tổng RG QH (A+B+C+D)</w:t>
            </w:r>
          </w:p>
        </w:tc>
        <w:tc>
          <w:tcPr>
            <w:tcW w:w="1620" w:type="dxa"/>
            <w:tcBorders>
              <w:top w:val="nil"/>
              <w:left w:val="nil"/>
              <w:bottom w:val="single" w:sz="4" w:space="0" w:color="auto"/>
              <w:right w:val="single" w:sz="4" w:space="0" w:color="auto"/>
            </w:tcBorders>
            <w:shd w:val="clear" w:color="auto" w:fill="auto"/>
            <w:noWrap/>
            <w:vAlign w:val="center"/>
            <w:hideMark/>
          </w:tcPr>
          <w:p w14:paraId="519B1DC5" w14:textId="77777777" w:rsidR="006E16AC" w:rsidRPr="008E63BB" w:rsidRDefault="006E16AC" w:rsidP="006E16AC">
            <w:pPr>
              <w:jc w:val="right"/>
              <w:rPr>
                <w:rFonts w:eastAsia="Times New Roman"/>
                <w:b/>
                <w:bCs/>
                <w:i/>
                <w:iCs/>
                <w:sz w:val="22"/>
              </w:rPr>
            </w:pPr>
            <w:r w:rsidRPr="008E63BB">
              <w:rPr>
                <w:rFonts w:eastAsia="Times New Roman"/>
                <w:b/>
                <w:bCs/>
                <w:i/>
                <w:iCs/>
                <w:sz w:val="22"/>
              </w:rPr>
              <w:t>187,99</w:t>
            </w:r>
          </w:p>
        </w:tc>
        <w:tc>
          <w:tcPr>
            <w:tcW w:w="1710" w:type="dxa"/>
            <w:tcBorders>
              <w:top w:val="nil"/>
              <w:left w:val="nil"/>
              <w:bottom w:val="single" w:sz="4" w:space="0" w:color="auto"/>
              <w:right w:val="single" w:sz="4" w:space="0" w:color="auto"/>
            </w:tcBorders>
            <w:shd w:val="clear" w:color="auto" w:fill="auto"/>
            <w:noWrap/>
            <w:vAlign w:val="center"/>
            <w:hideMark/>
          </w:tcPr>
          <w:p w14:paraId="519B1DC6" w14:textId="77777777" w:rsidR="006E16AC" w:rsidRPr="008E63BB" w:rsidRDefault="00841C2D" w:rsidP="006E16AC">
            <w:pPr>
              <w:jc w:val="right"/>
              <w:rPr>
                <w:rFonts w:eastAsia="Times New Roman"/>
                <w:b/>
                <w:bCs/>
                <w:i/>
                <w:iCs/>
                <w:sz w:val="22"/>
              </w:rPr>
            </w:pPr>
            <w:r w:rsidRPr="008E63BB">
              <w:rPr>
                <w:rFonts w:eastAsia="Times New Roman"/>
                <w:b/>
                <w:bCs/>
                <w:i/>
                <w:iCs/>
                <w:sz w:val="22"/>
              </w:rPr>
              <w:t>398.188</w:t>
            </w:r>
          </w:p>
        </w:tc>
        <w:tc>
          <w:tcPr>
            <w:tcW w:w="1710" w:type="dxa"/>
            <w:tcBorders>
              <w:top w:val="nil"/>
              <w:left w:val="nil"/>
              <w:bottom w:val="single" w:sz="4" w:space="0" w:color="auto"/>
              <w:right w:val="single" w:sz="4" w:space="0" w:color="auto"/>
            </w:tcBorders>
            <w:shd w:val="clear" w:color="auto" w:fill="auto"/>
            <w:noWrap/>
            <w:vAlign w:val="center"/>
            <w:hideMark/>
          </w:tcPr>
          <w:p w14:paraId="519B1DC7" w14:textId="77777777" w:rsidR="006E16AC" w:rsidRPr="008E63BB" w:rsidRDefault="00841C2D" w:rsidP="006E16AC">
            <w:pPr>
              <w:jc w:val="right"/>
              <w:rPr>
                <w:rFonts w:eastAsia="Times New Roman"/>
                <w:b/>
                <w:bCs/>
                <w:i/>
                <w:iCs/>
                <w:sz w:val="22"/>
              </w:rPr>
            </w:pPr>
            <w:r w:rsidRPr="008E63BB">
              <w:rPr>
                <w:rFonts w:eastAsia="Times New Roman"/>
                <w:b/>
                <w:bCs/>
                <w:i/>
                <w:iCs/>
                <w:sz w:val="22"/>
              </w:rPr>
              <w:t>2.118,1</w:t>
            </w:r>
          </w:p>
        </w:tc>
      </w:tr>
      <w:tr w:rsidR="006E16AC" w:rsidRPr="008E63BB" w14:paraId="519B1DCE"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000000" w:fill="FFE699"/>
            <w:noWrap/>
            <w:vAlign w:val="center"/>
            <w:hideMark/>
          </w:tcPr>
          <w:p w14:paraId="519B1DC9" w14:textId="77777777" w:rsidR="006E16AC" w:rsidRPr="008E63BB" w:rsidRDefault="006E16AC" w:rsidP="006E16AC">
            <w:pPr>
              <w:jc w:val="left"/>
              <w:rPr>
                <w:rFonts w:eastAsia="Times New Roman"/>
                <w:sz w:val="22"/>
              </w:rPr>
            </w:pPr>
            <w:r w:rsidRPr="008E63BB">
              <w:rPr>
                <w:rFonts w:eastAsia="Times New Roman"/>
                <w:sz w:val="22"/>
              </w:rPr>
              <w:t>A</w:t>
            </w:r>
          </w:p>
        </w:tc>
        <w:tc>
          <w:tcPr>
            <w:tcW w:w="3420" w:type="dxa"/>
            <w:tcBorders>
              <w:top w:val="nil"/>
              <w:left w:val="nil"/>
              <w:bottom w:val="single" w:sz="4" w:space="0" w:color="auto"/>
              <w:right w:val="single" w:sz="4" w:space="0" w:color="auto"/>
            </w:tcBorders>
            <w:shd w:val="clear" w:color="000000" w:fill="FFE699"/>
            <w:noWrap/>
            <w:vAlign w:val="center"/>
            <w:hideMark/>
          </w:tcPr>
          <w:p w14:paraId="519B1DCA" w14:textId="77777777" w:rsidR="006E16AC" w:rsidRPr="008E63BB" w:rsidRDefault="006E16AC" w:rsidP="006E16AC">
            <w:pPr>
              <w:jc w:val="left"/>
              <w:rPr>
                <w:rFonts w:eastAsia="Times New Roman"/>
                <w:b/>
                <w:bCs/>
                <w:sz w:val="22"/>
              </w:rPr>
            </w:pPr>
            <w:r w:rsidRPr="008E63BB">
              <w:rPr>
                <w:rFonts w:eastAsia="Times New Roman"/>
                <w:b/>
                <w:bCs/>
                <w:sz w:val="22"/>
              </w:rPr>
              <w:t>Thành phố Nam Định (I+II)</w:t>
            </w:r>
          </w:p>
        </w:tc>
        <w:tc>
          <w:tcPr>
            <w:tcW w:w="1620" w:type="dxa"/>
            <w:tcBorders>
              <w:top w:val="nil"/>
              <w:left w:val="nil"/>
              <w:bottom w:val="single" w:sz="4" w:space="0" w:color="auto"/>
              <w:right w:val="single" w:sz="4" w:space="0" w:color="auto"/>
            </w:tcBorders>
            <w:shd w:val="clear" w:color="000000" w:fill="FFE699"/>
            <w:noWrap/>
            <w:vAlign w:val="center"/>
            <w:hideMark/>
          </w:tcPr>
          <w:p w14:paraId="519B1DCB" w14:textId="77777777" w:rsidR="006E16AC" w:rsidRPr="008E63BB" w:rsidRDefault="006E16AC" w:rsidP="006E16AC">
            <w:pPr>
              <w:jc w:val="right"/>
              <w:rPr>
                <w:rFonts w:eastAsia="Times New Roman"/>
                <w:b/>
                <w:bCs/>
                <w:sz w:val="22"/>
              </w:rPr>
            </w:pPr>
            <w:r w:rsidRPr="008E63BB">
              <w:rPr>
                <w:rFonts w:eastAsia="Times New Roman"/>
                <w:b/>
                <w:bCs/>
                <w:sz w:val="22"/>
              </w:rPr>
              <w:t>46,41</w:t>
            </w:r>
          </w:p>
        </w:tc>
        <w:tc>
          <w:tcPr>
            <w:tcW w:w="1710" w:type="dxa"/>
            <w:tcBorders>
              <w:top w:val="nil"/>
              <w:left w:val="nil"/>
              <w:bottom w:val="single" w:sz="4" w:space="0" w:color="auto"/>
              <w:right w:val="single" w:sz="4" w:space="0" w:color="auto"/>
            </w:tcBorders>
            <w:shd w:val="clear" w:color="000000" w:fill="FFE699"/>
            <w:noWrap/>
            <w:vAlign w:val="center"/>
            <w:hideMark/>
          </w:tcPr>
          <w:p w14:paraId="519B1DCC" w14:textId="77777777" w:rsidR="006E16AC" w:rsidRPr="008E63BB" w:rsidRDefault="006E16AC" w:rsidP="006E16AC">
            <w:pPr>
              <w:jc w:val="right"/>
              <w:rPr>
                <w:rFonts w:eastAsia="Times New Roman"/>
                <w:b/>
                <w:bCs/>
                <w:sz w:val="22"/>
              </w:rPr>
            </w:pPr>
            <w:r w:rsidRPr="008E63BB">
              <w:rPr>
                <w:rFonts w:eastAsia="Times New Roman"/>
                <w:b/>
                <w:bCs/>
                <w:sz w:val="22"/>
              </w:rPr>
              <w:t>253.343</w:t>
            </w:r>
          </w:p>
        </w:tc>
        <w:tc>
          <w:tcPr>
            <w:tcW w:w="1710" w:type="dxa"/>
            <w:tcBorders>
              <w:top w:val="nil"/>
              <w:left w:val="nil"/>
              <w:bottom w:val="single" w:sz="4" w:space="0" w:color="auto"/>
              <w:right w:val="single" w:sz="4" w:space="0" w:color="auto"/>
            </w:tcBorders>
            <w:shd w:val="clear" w:color="000000" w:fill="FFE699"/>
            <w:noWrap/>
            <w:vAlign w:val="center"/>
            <w:hideMark/>
          </w:tcPr>
          <w:p w14:paraId="519B1DCD" w14:textId="77777777" w:rsidR="006E16AC" w:rsidRPr="008E63BB" w:rsidRDefault="00841C2D" w:rsidP="006E16AC">
            <w:pPr>
              <w:jc w:val="right"/>
              <w:rPr>
                <w:rFonts w:eastAsia="Times New Roman"/>
                <w:b/>
                <w:bCs/>
                <w:sz w:val="22"/>
              </w:rPr>
            </w:pPr>
            <w:r w:rsidRPr="008E63BB">
              <w:rPr>
                <w:rFonts w:eastAsia="Times New Roman"/>
                <w:b/>
                <w:bCs/>
                <w:sz w:val="22"/>
              </w:rPr>
              <w:t>5.457,6</w:t>
            </w:r>
          </w:p>
        </w:tc>
      </w:tr>
      <w:tr w:rsidR="006E16AC" w:rsidRPr="008E63BB" w14:paraId="519B1DD4"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000000" w:fill="C6E0B4"/>
            <w:noWrap/>
            <w:vAlign w:val="center"/>
            <w:hideMark/>
          </w:tcPr>
          <w:p w14:paraId="519B1DCF" w14:textId="77777777" w:rsidR="006E16AC" w:rsidRPr="008E63BB" w:rsidRDefault="006E16AC" w:rsidP="006E16AC">
            <w:pPr>
              <w:jc w:val="left"/>
              <w:rPr>
                <w:rFonts w:eastAsia="Times New Roman"/>
                <w:b/>
                <w:bCs/>
                <w:sz w:val="22"/>
              </w:rPr>
            </w:pPr>
            <w:r w:rsidRPr="008E63BB">
              <w:rPr>
                <w:rFonts w:eastAsia="Times New Roman"/>
                <w:b/>
                <w:bCs/>
                <w:sz w:val="22"/>
              </w:rPr>
              <w:t>I</w:t>
            </w:r>
          </w:p>
        </w:tc>
        <w:tc>
          <w:tcPr>
            <w:tcW w:w="3420" w:type="dxa"/>
            <w:tcBorders>
              <w:top w:val="nil"/>
              <w:left w:val="nil"/>
              <w:bottom w:val="single" w:sz="4" w:space="0" w:color="auto"/>
              <w:right w:val="single" w:sz="4" w:space="0" w:color="auto"/>
            </w:tcBorders>
            <w:shd w:val="clear" w:color="000000" w:fill="C6E0B4"/>
            <w:noWrap/>
            <w:vAlign w:val="center"/>
            <w:hideMark/>
          </w:tcPr>
          <w:p w14:paraId="519B1DD0" w14:textId="77777777" w:rsidR="006E16AC" w:rsidRPr="008E63BB" w:rsidRDefault="006E16AC" w:rsidP="006E16AC">
            <w:pPr>
              <w:jc w:val="left"/>
              <w:rPr>
                <w:rFonts w:eastAsia="Times New Roman"/>
                <w:b/>
                <w:bCs/>
                <w:sz w:val="22"/>
              </w:rPr>
            </w:pPr>
            <w:r w:rsidRPr="008E63BB">
              <w:rPr>
                <w:rFonts w:eastAsia="Times New Roman"/>
                <w:b/>
                <w:bCs/>
                <w:sz w:val="22"/>
              </w:rPr>
              <w:t>Nội thành</w:t>
            </w:r>
          </w:p>
        </w:tc>
        <w:tc>
          <w:tcPr>
            <w:tcW w:w="1620" w:type="dxa"/>
            <w:tcBorders>
              <w:top w:val="nil"/>
              <w:left w:val="nil"/>
              <w:bottom w:val="single" w:sz="4" w:space="0" w:color="auto"/>
              <w:right w:val="single" w:sz="4" w:space="0" w:color="auto"/>
            </w:tcBorders>
            <w:shd w:val="clear" w:color="000000" w:fill="C6E0B4"/>
            <w:noWrap/>
            <w:vAlign w:val="center"/>
            <w:hideMark/>
          </w:tcPr>
          <w:p w14:paraId="519B1DD1" w14:textId="77777777" w:rsidR="006E16AC" w:rsidRPr="008E63BB" w:rsidRDefault="006E16AC" w:rsidP="006E16AC">
            <w:pPr>
              <w:jc w:val="right"/>
              <w:rPr>
                <w:rFonts w:eastAsia="Times New Roman"/>
                <w:b/>
                <w:bCs/>
                <w:sz w:val="22"/>
              </w:rPr>
            </w:pPr>
            <w:r w:rsidRPr="008E63BB">
              <w:rPr>
                <w:rFonts w:eastAsia="Times New Roman"/>
                <w:b/>
                <w:bCs/>
                <w:sz w:val="22"/>
              </w:rPr>
              <w:t>30,88</w:t>
            </w:r>
          </w:p>
        </w:tc>
        <w:tc>
          <w:tcPr>
            <w:tcW w:w="1710" w:type="dxa"/>
            <w:tcBorders>
              <w:top w:val="nil"/>
              <w:left w:val="nil"/>
              <w:bottom w:val="single" w:sz="4" w:space="0" w:color="auto"/>
              <w:right w:val="single" w:sz="4" w:space="0" w:color="auto"/>
            </w:tcBorders>
            <w:shd w:val="clear" w:color="000000" w:fill="C6E0B4"/>
            <w:noWrap/>
            <w:vAlign w:val="center"/>
            <w:hideMark/>
          </w:tcPr>
          <w:p w14:paraId="519B1DD2" w14:textId="77777777" w:rsidR="006E16AC" w:rsidRPr="008E63BB" w:rsidRDefault="006E16AC" w:rsidP="006E16AC">
            <w:pPr>
              <w:jc w:val="right"/>
              <w:rPr>
                <w:rFonts w:eastAsia="Times New Roman"/>
                <w:b/>
                <w:bCs/>
                <w:sz w:val="22"/>
              </w:rPr>
            </w:pPr>
            <w:r w:rsidRPr="008E63BB">
              <w:rPr>
                <w:rFonts w:eastAsia="Times New Roman"/>
                <w:b/>
                <w:bCs/>
                <w:sz w:val="22"/>
              </w:rPr>
              <w:t>230.680</w:t>
            </w:r>
          </w:p>
        </w:tc>
        <w:tc>
          <w:tcPr>
            <w:tcW w:w="1710" w:type="dxa"/>
            <w:tcBorders>
              <w:top w:val="nil"/>
              <w:left w:val="nil"/>
              <w:bottom w:val="single" w:sz="4" w:space="0" w:color="auto"/>
              <w:right w:val="single" w:sz="4" w:space="0" w:color="auto"/>
            </w:tcBorders>
            <w:shd w:val="clear" w:color="000000" w:fill="C6E0B4"/>
            <w:noWrap/>
            <w:vAlign w:val="center"/>
            <w:hideMark/>
          </w:tcPr>
          <w:p w14:paraId="519B1DD3" w14:textId="77777777" w:rsidR="006E16AC" w:rsidRPr="008E63BB" w:rsidRDefault="006E16AC" w:rsidP="006E16AC">
            <w:pPr>
              <w:jc w:val="right"/>
              <w:rPr>
                <w:rFonts w:eastAsia="Times New Roman"/>
                <w:b/>
                <w:bCs/>
                <w:sz w:val="22"/>
              </w:rPr>
            </w:pPr>
            <w:r w:rsidRPr="008E63BB">
              <w:rPr>
                <w:rFonts w:eastAsia="Times New Roman"/>
                <w:b/>
                <w:bCs/>
                <w:sz w:val="22"/>
              </w:rPr>
              <w:t>7.467,8</w:t>
            </w:r>
          </w:p>
        </w:tc>
      </w:tr>
      <w:tr w:rsidR="006E16AC" w:rsidRPr="008E63BB" w14:paraId="519B1DDA"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D5" w14:textId="77777777" w:rsidR="006E16AC" w:rsidRPr="008E63BB" w:rsidRDefault="006E16AC" w:rsidP="006E16AC">
            <w:pPr>
              <w:jc w:val="right"/>
              <w:rPr>
                <w:rFonts w:eastAsia="Times New Roman"/>
                <w:sz w:val="22"/>
              </w:rPr>
            </w:pPr>
            <w:r w:rsidRPr="008E63BB">
              <w:rPr>
                <w:rFonts w:eastAsia="Times New Roman"/>
                <w:sz w:val="22"/>
              </w:rPr>
              <w:t>1</w:t>
            </w:r>
          </w:p>
        </w:tc>
        <w:tc>
          <w:tcPr>
            <w:tcW w:w="3420" w:type="dxa"/>
            <w:tcBorders>
              <w:top w:val="nil"/>
              <w:left w:val="nil"/>
              <w:bottom w:val="single" w:sz="4" w:space="0" w:color="auto"/>
              <w:right w:val="single" w:sz="4" w:space="0" w:color="auto"/>
            </w:tcBorders>
            <w:shd w:val="clear" w:color="auto" w:fill="auto"/>
            <w:vAlign w:val="center"/>
            <w:hideMark/>
          </w:tcPr>
          <w:p w14:paraId="519B1DD6" w14:textId="77777777" w:rsidR="006E16AC" w:rsidRPr="008E63BB" w:rsidRDefault="006E16AC" w:rsidP="006E16AC">
            <w:pPr>
              <w:jc w:val="left"/>
              <w:rPr>
                <w:rFonts w:eastAsia="Times New Roman"/>
                <w:sz w:val="22"/>
              </w:rPr>
            </w:pPr>
            <w:r w:rsidRPr="008E63BB">
              <w:rPr>
                <w:rFonts w:eastAsia="Times New Roman"/>
                <w:sz w:val="22"/>
              </w:rPr>
              <w:t>P. Hạ Long</w:t>
            </w:r>
          </w:p>
        </w:tc>
        <w:tc>
          <w:tcPr>
            <w:tcW w:w="1620" w:type="dxa"/>
            <w:tcBorders>
              <w:top w:val="nil"/>
              <w:left w:val="nil"/>
              <w:bottom w:val="single" w:sz="4" w:space="0" w:color="auto"/>
              <w:right w:val="single" w:sz="4" w:space="0" w:color="auto"/>
            </w:tcBorders>
            <w:shd w:val="clear" w:color="auto" w:fill="auto"/>
            <w:noWrap/>
            <w:vAlign w:val="center"/>
            <w:hideMark/>
          </w:tcPr>
          <w:p w14:paraId="519B1DD7" w14:textId="77777777" w:rsidR="006E16AC" w:rsidRPr="008E63BB" w:rsidRDefault="006E16AC" w:rsidP="006E16AC">
            <w:pPr>
              <w:jc w:val="right"/>
              <w:rPr>
                <w:rFonts w:eastAsia="Times New Roman"/>
                <w:sz w:val="22"/>
              </w:rPr>
            </w:pPr>
            <w:r w:rsidRPr="008E63BB">
              <w:rPr>
                <w:rFonts w:eastAsia="Times New Roman"/>
                <w:sz w:val="22"/>
              </w:rPr>
              <w:t>0,59</w:t>
            </w:r>
          </w:p>
        </w:tc>
        <w:tc>
          <w:tcPr>
            <w:tcW w:w="1710" w:type="dxa"/>
            <w:tcBorders>
              <w:top w:val="nil"/>
              <w:left w:val="nil"/>
              <w:bottom w:val="single" w:sz="4" w:space="0" w:color="auto"/>
              <w:right w:val="single" w:sz="4" w:space="0" w:color="auto"/>
            </w:tcBorders>
            <w:shd w:val="clear" w:color="auto" w:fill="auto"/>
            <w:noWrap/>
            <w:vAlign w:val="center"/>
            <w:hideMark/>
          </w:tcPr>
          <w:p w14:paraId="519B1DD8" w14:textId="77777777" w:rsidR="006E16AC" w:rsidRPr="008E63BB" w:rsidRDefault="006E16AC" w:rsidP="006E16AC">
            <w:pPr>
              <w:jc w:val="right"/>
              <w:rPr>
                <w:rFonts w:eastAsia="Times New Roman"/>
                <w:sz w:val="22"/>
              </w:rPr>
            </w:pPr>
            <w:r w:rsidRPr="008E63BB">
              <w:rPr>
                <w:rFonts w:eastAsia="Times New Roman"/>
                <w:sz w:val="22"/>
              </w:rPr>
              <w:t>16.185</w:t>
            </w:r>
          </w:p>
        </w:tc>
        <w:tc>
          <w:tcPr>
            <w:tcW w:w="1710" w:type="dxa"/>
            <w:tcBorders>
              <w:top w:val="nil"/>
              <w:left w:val="nil"/>
              <w:bottom w:val="single" w:sz="4" w:space="0" w:color="auto"/>
              <w:right w:val="single" w:sz="4" w:space="0" w:color="auto"/>
            </w:tcBorders>
            <w:shd w:val="clear" w:color="auto" w:fill="auto"/>
            <w:noWrap/>
            <w:vAlign w:val="center"/>
            <w:hideMark/>
          </w:tcPr>
          <w:p w14:paraId="519B1DD9" w14:textId="77777777" w:rsidR="006E16AC" w:rsidRPr="008E63BB" w:rsidRDefault="006E16AC" w:rsidP="006E16AC">
            <w:pPr>
              <w:jc w:val="right"/>
              <w:rPr>
                <w:rFonts w:eastAsia="Times New Roman"/>
                <w:sz w:val="22"/>
              </w:rPr>
            </w:pPr>
            <w:r w:rsidRPr="008E63BB">
              <w:rPr>
                <w:rFonts w:eastAsia="Times New Roman"/>
                <w:sz w:val="22"/>
              </w:rPr>
              <w:t>27.432,2</w:t>
            </w:r>
          </w:p>
        </w:tc>
      </w:tr>
      <w:tr w:rsidR="006E16AC" w:rsidRPr="008E63BB" w14:paraId="519B1DE0"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DB" w14:textId="77777777" w:rsidR="006E16AC" w:rsidRPr="008E63BB" w:rsidRDefault="006E16AC" w:rsidP="006E16AC">
            <w:pPr>
              <w:jc w:val="right"/>
              <w:rPr>
                <w:rFonts w:eastAsia="Times New Roman"/>
                <w:sz w:val="22"/>
              </w:rPr>
            </w:pPr>
            <w:r w:rsidRPr="008E63BB">
              <w:rPr>
                <w:rFonts w:eastAsia="Times New Roman"/>
                <w:sz w:val="22"/>
              </w:rPr>
              <w:t>2</w:t>
            </w:r>
          </w:p>
        </w:tc>
        <w:tc>
          <w:tcPr>
            <w:tcW w:w="3420" w:type="dxa"/>
            <w:tcBorders>
              <w:top w:val="nil"/>
              <w:left w:val="nil"/>
              <w:bottom w:val="single" w:sz="4" w:space="0" w:color="auto"/>
              <w:right w:val="single" w:sz="4" w:space="0" w:color="auto"/>
            </w:tcBorders>
            <w:shd w:val="clear" w:color="auto" w:fill="auto"/>
            <w:vAlign w:val="center"/>
            <w:hideMark/>
          </w:tcPr>
          <w:p w14:paraId="519B1DDC" w14:textId="77777777" w:rsidR="006E16AC" w:rsidRPr="008E63BB" w:rsidRDefault="006E16AC" w:rsidP="006E16AC">
            <w:pPr>
              <w:jc w:val="left"/>
              <w:rPr>
                <w:rFonts w:eastAsia="Times New Roman"/>
                <w:sz w:val="22"/>
              </w:rPr>
            </w:pPr>
            <w:r w:rsidRPr="008E63BB">
              <w:rPr>
                <w:rFonts w:eastAsia="Times New Roman"/>
                <w:sz w:val="22"/>
              </w:rPr>
              <w:t>P. Trần Tế Xương</w:t>
            </w:r>
          </w:p>
        </w:tc>
        <w:tc>
          <w:tcPr>
            <w:tcW w:w="1620" w:type="dxa"/>
            <w:tcBorders>
              <w:top w:val="nil"/>
              <w:left w:val="nil"/>
              <w:bottom w:val="single" w:sz="4" w:space="0" w:color="auto"/>
              <w:right w:val="single" w:sz="4" w:space="0" w:color="auto"/>
            </w:tcBorders>
            <w:shd w:val="clear" w:color="auto" w:fill="auto"/>
            <w:noWrap/>
            <w:vAlign w:val="center"/>
            <w:hideMark/>
          </w:tcPr>
          <w:p w14:paraId="519B1DDD" w14:textId="77777777" w:rsidR="006E16AC" w:rsidRPr="008E63BB" w:rsidRDefault="006E16AC" w:rsidP="006E16AC">
            <w:pPr>
              <w:jc w:val="right"/>
              <w:rPr>
                <w:rFonts w:eastAsia="Times New Roman"/>
                <w:sz w:val="22"/>
              </w:rPr>
            </w:pPr>
            <w:r w:rsidRPr="008E63BB">
              <w:rPr>
                <w:rFonts w:eastAsia="Times New Roman"/>
                <w:sz w:val="22"/>
              </w:rPr>
              <w:t>0,73</w:t>
            </w:r>
          </w:p>
        </w:tc>
        <w:tc>
          <w:tcPr>
            <w:tcW w:w="1710" w:type="dxa"/>
            <w:tcBorders>
              <w:top w:val="nil"/>
              <w:left w:val="nil"/>
              <w:bottom w:val="single" w:sz="4" w:space="0" w:color="auto"/>
              <w:right w:val="single" w:sz="4" w:space="0" w:color="auto"/>
            </w:tcBorders>
            <w:shd w:val="clear" w:color="auto" w:fill="auto"/>
            <w:noWrap/>
            <w:vAlign w:val="center"/>
            <w:hideMark/>
          </w:tcPr>
          <w:p w14:paraId="519B1DDE" w14:textId="77777777" w:rsidR="006E16AC" w:rsidRPr="008E63BB" w:rsidRDefault="006E16AC" w:rsidP="006E16AC">
            <w:pPr>
              <w:jc w:val="right"/>
              <w:rPr>
                <w:rFonts w:eastAsia="Times New Roman"/>
                <w:sz w:val="22"/>
              </w:rPr>
            </w:pPr>
            <w:r w:rsidRPr="008E63BB">
              <w:rPr>
                <w:rFonts w:eastAsia="Times New Roman"/>
                <w:sz w:val="22"/>
              </w:rPr>
              <w:t>12.554</w:t>
            </w:r>
          </w:p>
        </w:tc>
        <w:tc>
          <w:tcPr>
            <w:tcW w:w="1710" w:type="dxa"/>
            <w:tcBorders>
              <w:top w:val="nil"/>
              <w:left w:val="nil"/>
              <w:bottom w:val="single" w:sz="4" w:space="0" w:color="auto"/>
              <w:right w:val="single" w:sz="4" w:space="0" w:color="auto"/>
            </w:tcBorders>
            <w:shd w:val="clear" w:color="auto" w:fill="auto"/>
            <w:noWrap/>
            <w:vAlign w:val="center"/>
            <w:hideMark/>
          </w:tcPr>
          <w:p w14:paraId="519B1DDF" w14:textId="77777777" w:rsidR="006E16AC" w:rsidRPr="008E63BB" w:rsidRDefault="006E16AC" w:rsidP="006E16AC">
            <w:pPr>
              <w:jc w:val="right"/>
              <w:rPr>
                <w:rFonts w:eastAsia="Times New Roman"/>
                <w:sz w:val="22"/>
              </w:rPr>
            </w:pPr>
            <w:r w:rsidRPr="008E63BB">
              <w:rPr>
                <w:rFonts w:eastAsia="Times New Roman"/>
                <w:sz w:val="22"/>
              </w:rPr>
              <w:t>17.197,3</w:t>
            </w:r>
          </w:p>
        </w:tc>
      </w:tr>
      <w:tr w:rsidR="006E16AC" w:rsidRPr="008E63BB" w14:paraId="519B1DE6"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E1" w14:textId="77777777" w:rsidR="006E16AC" w:rsidRPr="008E63BB" w:rsidRDefault="006E16AC" w:rsidP="006E16AC">
            <w:pPr>
              <w:jc w:val="right"/>
              <w:rPr>
                <w:rFonts w:eastAsia="Times New Roman"/>
                <w:sz w:val="22"/>
              </w:rPr>
            </w:pPr>
            <w:r w:rsidRPr="008E63BB">
              <w:rPr>
                <w:rFonts w:eastAsia="Times New Roman"/>
                <w:sz w:val="22"/>
              </w:rPr>
              <w:t>3</w:t>
            </w:r>
          </w:p>
        </w:tc>
        <w:tc>
          <w:tcPr>
            <w:tcW w:w="3420" w:type="dxa"/>
            <w:tcBorders>
              <w:top w:val="nil"/>
              <w:left w:val="nil"/>
              <w:bottom w:val="single" w:sz="4" w:space="0" w:color="auto"/>
              <w:right w:val="single" w:sz="4" w:space="0" w:color="auto"/>
            </w:tcBorders>
            <w:shd w:val="clear" w:color="auto" w:fill="auto"/>
            <w:vAlign w:val="center"/>
            <w:hideMark/>
          </w:tcPr>
          <w:p w14:paraId="519B1DE2" w14:textId="77777777" w:rsidR="006E16AC" w:rsidRPr="008E63BB" w:rsidRDefault="006E16AC" w:rsidP="006E16AC">
            <w:pPr>
              <w:jc w:val="left"/>
              <w:rPr>
                <w:rFonts w:eastAsia="Times New Roman"/>
                <w:sz w:val="22"/>
              </w:rPr>
            </w:pPr>
            <w:r w:rsidRPr="008E63BB">
              <w:rPr>
                <w:rFonts w:eastAsia="Times New Roman"/>
                <w:sz w:val="22"/>
              </w:rPr>
              <w:t>P. Vị Hoàng</w:t>
            </w:r>
          </w:p>
        </w:tc>
        <w:tc>
          <w:tcPr>
            <w:tcW w:w="1620" w:type="dxa"/>
            <w:tcBorders>
              <w:top w:val="nil"/>
              <w:left w:val="nil"/>
              <w:bottom w:val="single" w:sz="4" w:space="0" w:color="auto"/>
              <w:right w:val="single" w:sz="4" w:space="0" w:color="auto"/>
            </w:tcBorders>
            <w:shd w:val="clear" w:color="auto" w:fill="auto"/>
            <w:noWrap/>
            <w:vAlign w:val="center"/>
            <w:hideMark/>
          </w:tcPr>
          <w:p w14:paraId="519B1DE3" w14:textId="77777777" w:rsidR="006E16AC" w:rsidRPr="008E63BB" w:rsidRDefault="006E16AC" w:rsidP="006E16AC">
            <w:pPr>
              <w:jc w:val="right"/>
              <w:rPr>
                <w:rFonts w:eastAsia="Times New Roman"/>
                <w:sz w:val="22"/>
              </w:rPr>
            </w:pPr>
            <w:r w:rsidRPr="008E63BB">
              <w:rPr>
                <w:rFonts w:eastAsia="Times New Roman"/>
                <w:sz w:val="22"/>
              </w:rPr>
              <w:t>0,64</w:t>
            </w:r>
          </w:p>
        </w:tc>
        <w:tc>
          <w:tcPr>
            <w:tcW w:w="1710" w:type="dxa"/>
            <w:tcBorders>
              <w:top w:val="nil"/>
              <w:left w:val="nil"/>
              <w:bottom w:val="single" w:sz="4" w:space="0" w:color="auto"/>
              <w:right w:val="single" w:sz="4" w:space="0" w:color="auto"/>
            </w:tcBorders>
            <w:shd w:val="clear" w:color="auto" w:fill="auto"/>
            <w:noWrap/>
            <w:vAlign w:val="center"/>
            <w:hideMark/>
          </w:tcPr>
          <w:p w14:paraId="519B1DE4" w14:textId="77777777" w:rsidR="006E16AC" w:rsidRPr="008E63BB" w:rsidRDefault="006E16AC" w:rsidP="006E16AC">
            <w:pPr>
              <w:jc w:val="right"/>
              <w:rPr>
                <w:rFonts w:eastAsia="Times New Roman"/>
                <w:sz w:val="22"/>
              </w:rPr>
            </w:pPr>
            <w:r w:rsidRPr="008E63BB">
              <w:rPr>
                <w:rFonts w:eastAsia="Times New Roman"/>
                <w:sz w:val="22"/>
              </w:rPr>
              <w:t>7.884</w:t>
            </w:r>
          </w:p>
        </w:tc>
        <w:tc>
          <w:tcPr>
            <w:tcW w:w="1710" w:type="dxa"/>
            <w:tcBorders>
              <w:top w:val="nil"/>
              <w:left w:val="nil"/>
              <w:bottom w:val="single" w:sz="4" w:space="0" w:color="auto"/>
              <w:right w:val="single" w:sz="4" w:space="0" w:color="auto"/>
            </w:tcBorders>
            <w:shd w:val="clear" w:color="auto" w:fill="auto"/>
            <w:noWrap/>
            <w:vAlign w:val="center"/>
            <w:hideMark/>
          </w:tcPr>
          <w:p w14:paraId="519B1DE5" w14:textId="77777777" w:rsidR="006E16AC" w:rsidRPr="008E63BB" w:rsidRDefault="006E16AC" w:rsidP="006E16AC">
            <w:pPr>
              <w:jc w:val="right"/>
              <w:rPr>
                <w:rFonts w:eastAsia="Times New Roman"/>
                <w:sz w:val="22"/>
              </w:rPr>
            </w:pPr>
            <w:r w:rsidRPr="008E63BB">
              <w:rPr>
                <w:rFonts w:eastAsia="Times New Roman"/>
                <w:sz w:val="22"/>
              </w:rPr>
              <w:t>12.318,8</w:t>
            </w:r>
          </w:p>
        </w:tc>
      </w:tr>
      <w:tr w:rsidR="006E16AC" w:rsidRPr="008E63BB" w14:paraId="519B1DEC"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E7" w14:textId="77777777" w:rsidR="006E16AC" w:rsidRPr="008E63BB" w:rsidRDefault="006E16AC" w:rsidP="006E16AC">
            <w:pPr>
              <w:jc w:val="right"/>
              <w:rPr>
                <w:rFonts w:eastAsia="Times New Roman"/>
                <w:sz w:val="22"/>
              </w:rPr>
            </w:pPr>
            <w:r w:rsidRPr="008E63BB">
              <w:rPr>
                <w:rFonts w:eastAsia="Times New Roman"/>
                <w:sz w:val="22"/>
              </w:rPr>
              <w:t>4</w:t>
            </w:r>
          </w:p>
        </w:tc>
        <w:tc>
          <w:tcPr>
            <w:tcW w:w="3420" w:type="dxa"/>
            <w:tcBorders>
              <w:top w:val="nil"/>
              <w:left w:val="nil"/>
              <w:bottom w:val="single" w:sz="4" w:space="0" w:color="auto"/>
              <w:right w:val="single" w:sz="4" w:space="0" w:color="auto"/>
            </w:tcBorders>
            <w:shd w:val="clear" w:color="auto" w:fill="auto"/>
            <w:vAlign w:val="center"/>
            <w:hideMark/>
          </w:tcPr>
          <w:p w14:paraId="519B1DE8" w14:textId="77777777" w:rsidR="006E16AC" w:rsidRPr="008E63BB" w:rsidRDefault="006E16AC" w:rsidP="006E16AC">
            <w:pPr>
              <w:jc w:val="left"/>
              <w:rPr>
                <w:rFonts w:eastAsia="Times New Roman"/>
                <w:sz w:val="22"/>
              </w:rPr>
            </w:pPr>
            <w:r w:rsidRPr="008E63BB">
              <w:rPr>
                <w:rFonts w:eastAsia="Times New Roman"/>
                <w:sz w:val="22"/>
              </w:rPr>
              <w:t>P. Vị Xuyên</w:t>
            </w:r>
          </w:p>
        </w:tc>
        <w:tc>
          <w:tcPr>
            <w:tcW w:w="1620" w:type="dxa"/>
            <w:tcBorders>
              <w:top w:val="nil"/>
              <w:left w:val="nil"/>
              <w:bottom w:val="single" w:sz="4" w:space="0" w:color="auto"/>
              <w:right w:val="single" w:sz="4" w:space="0" w:color="auto"/>
            </w:tcBorders>
            <w:shd w:val="clear" w:color="auto" w:fill="auto"/>
            <w:noWrap/>
            <w:vAlign w:val="center"/>
            <w:hideMark/>
          </w:tcPr>
          <w:p w14:paraId="519B1DE9" w14:textId="77777777" w:rsidR="006E16AC" w:rsidRPr="008E63BB" w:rsidRDefault="006E16AC" w:rsidP="006E16AC">
            <w:pPr>
              <w:jc w:val="right"/>
              <w:rPr>
                <w:rFonts w:eastAsia="Times New Roman"/>
                <w:sz w:val="22"/>
              </w:rPr>
            </w:pPr>
            <w:r w:rsidRPr="008E63BB">
              <w:rPr>
                <w:rFonts w:eastAsia="Times New Roman"/>
                <w:sz w:val="22"/>
              </w:rPr>
              <w:t>0,52</w:t>
            </w:r>
          </w:p>
        </w:tc>
        <w:tc>
          <w:tcPr>
            <w:tcW w:w="1710" w:type="dxa"/>
            <w:tcBorders>
              <w:top w:val="nil"/>
              <w:left w:val="nil"/>
              <w:bottom w:val="single" w:sz="4" w:space="0" w:color="auto"/>
              <w:right w:val="single" w:sz="4" w:space="0" w:color="auto"/>
            </w:tcBorders>
            <w:shd w:val="clear" w:color="auto" w:fill="auto"/>
            <w:noWrap/>
            <w:vAlign w:val="center"/>
            <w:hideMark/>
          </w:tcPr>
          <w:p w14:paraId="519B1DEA" w14:textId="77777777" w:rsidR="006E16AC" w:rsidRPr="008E63BB" w:rsidRDefault="006E16AC" w:rsidP="006E16AC">
            <w:pPr>
              <w:jc w:val="right"/>
              <w:rPr>
                <w:rFonts w:eastAsia="Times New Roman"/>
                <w:sz w:val="22"/>
              </w:rPr>
            </w:pPr>
            <w:r w:rsidRPr="008E63BB">
              <w:rPr>
                <w:rFonts w:eastAsia="Times New Roman"/>
                <w:sz w:val="22"/>
              </w:rPr>
              <w:t>10.939</w:t>
            </w:r>
          </w:p>
        </w:tc>
        <w:tc>
          <w:tcPr>
            <w:tcW w:w="1710" w:type="dxa"/>
            <w:tcBorders>
              <w:top w:val="nil"/>
              <w:left w:val="nil"/>
              <w:bottom w:val="single" w:sz="4" w:space="0" w:color="auto"/>
              <w:right w:val="single" w:sz="4" w:space="0" w:color="auto"/>
            </w:tcBorders>
            <w:shd w:val="clear" w:color="auto" w:fill="auto"/>
            <w:noWrap/>
            <w:vAlign w:val="center"/>
            <w:hideMark/>
          </w:tcPr>
          <w:p w14:paraId="519B1DEB" w14:textId="77777777" w:rsidR="006E16AC" w:rsidRPr="008E63BB" w:rsidRDefault="006E16AC" w:rsidP="006E16AC">
            <w:pPr>
              <w:jc w:val="right"/>
              <w:rPr>
                <w:rFonts w:eastAsia="Times New Roman"/>
                <w:sz w:val="22"/>
              </w:rPr>
            </w:pPr>
            <w:r w:rsidRPr="008E63BB">
              <w:rPr>
                <w:rFonts w:eastAsia="Times New Roman"/>
                <w:sz w:val="22"/>
              </w:rPr>
              <w:t>21.036,5</w:t>
            </w:r>
          </w:p>
        </w:tc>
      </w:tr>
      <w:tr w:rsidR="006E16AC" w:rsidRPr="008E63BB" w14:paraId="519B1DF2"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ED" w14:textId="77777777" w:rsidR="006E16AC" w:rsidRPr="008E63BB" w:rsidRDefault="006E16AC" w:rsidP="006E16AC">
            <w:pPr>
              <w:jc w:val="right"/>
              <w:rPr>
                <w:rFonts w:eastAsia="Times New Roman"/>
                <w:sz w:val="22"/>
              </w:rPr>
            </w:pPr>
            <w:r w:rsidRPr="008E63BB">
              <w:rPr>
                <w:rFonts w:eastAsia="Times New Roman"/>
                <w:sz w:val="22"/>
              </w:rPr>
              <w:t>5</w:t>
            </w:r>
          </w:p>
        </w:tc>
        <w:tc>
          <w:tcPr>
            <w:tcW w:w="3420" w:type="dxa"/>
            <w:tcBorders>
              <w:top w:val="nil"/>
              <w:left w:val="nil"/>
              <w:bottom w:val="single" w:sz="4" w:space="0" w:color="auto"/>
              <w:right w:val="single" w:sz="4" w:space="0" w:color="auto"/>
            </w:tcBorders>
            <w:shd w:val="clear" w:color="auto" w:fill="auto"/>
            <w:vAlign w:val="center"/>
            <w:hideMark/>
          </w:tcPr>
          <w:p w14:paraId="519B1DEE" w14:textId="77777777" w:rsidR="006E16AC" w:rsidRPr="008E63BB" w:rsidRDefault="006E16AC" w:rsidP="006E16AC">
            <w:pPr>
              <w:jc w:val="left"/>
              <w:rPr>
                <w:rFonts w:eastAsia="Times New Roman"/>
                <w:sz w:val="22"/>
              </w:rPr>
            </w:pPr>
            <w:r w:rsidRPr="008E63BB">
              <w:rPr>
                <w:rFonts w:eastAsia="Times New Roman"/>
                <w:sz w:val="22"/>
              </w:rPr>
              <w:t>P. Quang Trung</w:t>
            </w:r>
          </w:p>
        </w:tc>
        <w:tc>
          <w:tcPr>
            <w:tcW w:w="1620" w:type="dxa"/>
            <w:tcBorders>
              <w:top w:val="nil"/>
              <w:left w:val="nil"/>
              <w:bottom w:val="single" w:sz="4" w:space="0" w:color="auto"/>
              <w:right w:val="single" w:sz="4" w:space="0" w:color="auto"/>
            </w:tcBorders>
            <w:shd w:val="clear" w:color="auto" w:fill="auto"/>
            <w:noWrap/>
            <w:vAlign w:val="center"/>
            <w:hideMark/>
          </w:tcPr>
          <w:p w14:paraId="519B1DEF" w14:textId="77777777" w:rsidR="006E16AC" w:rsidRPr="008E63BB" w:rsidRDefault="006E16AC" w:rsidP="006E16AC">
            <w:pPr>
              <w:jc w:val="right"/>
              <w:rPr>
                <w:rFonts w:eastAsia="Times New Roman"/>
                <w:sz w:val="22"/>
              </w:rPr>
            </w:pPr>
            <w:r w:rsidRPr="008E63BB">
              <w:rPr>
                <w:rFonts w:eastAsia="Times New Roman"/>
                <w:sz w:val="22"/>
              </w:rPr>
              <w:t>0,30</w:t>
            </w:r>
          </w:p>
        </w:tc>
        <w:tc>
          <w:tcPr>
            <w:tcW w:w="1710" w:type="dxa"/>
            <w:tcBorders>
              <w:top w:val="nil"/>
              <w:left w:val="nil"/>
              <w:bottom w:val="single" w:sz="4" w:space="0" w:color="auto"/>
              <w:right w:val="single" w:sz="4" w:space="0" w:color="auto"/>
            </w:tcBorders>
            <w:shd w:val="clear" w:color="auto" w:fill="auto"/>
            <w:noWrap/>
            <w:vAlign w:val="center"/>
            <w:hideMark/>
          </w:tcPr>
          <w:p w14:paraId="519B1DF0" w14:textId="77777777" w:rsidR="006E16AC" w:rsidRPr="008E63BB" w:rsidRDefault="006E16AC" w:rsidP="006E16AC">
            <w:pPr>
              <w:jc w:val="right"/>
              <w:rPr>
                <w:rFonts w:eastAsia="Times New Roman"/>
                <w:sz w:val="22"/>
              </w:rPr>
            </w:pPr>
            <w:r w:rsidRPr="008E63BB">
              <w:rPr>
                <w:rFonts w:eastAsia="Times New Roman"/>
                <w:sz w:val="22"/>
              </w:rPr>
              <w:t>11.211</w:t>
            </w:r>
          </w:p>
        </w:tc>
        <w:tc>
          <w:tcPr>
            <w:tcW w:w="1710" w:type="dxa"/>
            <w:tcBorders>
              <w:top w:val="nil"/>
              <w:left w:val="nil"/>
              <w:bottom w:val="single" w:sz="4" w:space="0" w:color="auto"/>
              <w:right w:val="single" w:sz="4" w:space="0" w:color="auto"/>
            </w:tcBorders>
            <w:shd w:val="clear" w:color="auto" w:fill="auto"/>
            <w:noWrap/>
            <w:vAlign w:val="center"/>
            <w:hideMark/>
          </w:tcPr>
          <w:p w14:paraId="519B1DF1" w14:textId="77777777" w:rsidR="006E16AC" w:rsidRPr="008E63BB" w:rsidRDefault="006E16AC" w:rsidP="006E16AC">
            <w:pPr>
              <w:jc w:val="right"/>
              <w:rPr>
                <w:rFonts w:eastAsia="Times New Roman"/>
                <w:sz w:val="22"/>
              </w:rPr>
            </w:pPr>
            <w:r w:rsidRPr="008E63BB">
              <w:rPr>
                <w:rFonts w:eastAsia="Times New Roman"/>
                <w:sz w:val="22"/>
              </w:rPr>
              <w:t>37.370,0</w:t>
            </w:r>
          </w:p>
        </w:tc>
      </w:tr>
      <w:tr w:rsidR="006E16AC" w:rsidRPr="008E63BB" w14:paraId="519B1DF8"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F3" w14:textId="77777777" w:rsidR="006E16AC" w:rsidRPr="008E63BB" w:rsidRDefault="006E16AC" w:rsidP="006E16AC">
            <w:pPr>
              <w:jc w:val="right"/>
              <w:rPr>
                <w:rFonts w:eastAsia="Times New Roman"/>
                <w:sz w:val="22"/>
              </w:rPr>
            </w:pPr>
            <w:r w:rsidRPr="008E63BB">
              <w:rPr>
                <w:rFonts w:eastAsia="Times New Roman"/>
                <w:sz w:val="22"/>
              </w:rPr>
              <w:t>6</w:t>
            </w:r>
          </w:p>
        </w:tc>
        <w:tc>
          <w:tcPr>
            <w:tcW w:w="3420" w:type="dxa"/>
            <w:tcBorders>
              <w:top w:val="nil"/>
              <w:left w:val="nil"/>
              <w:bottom w:val="single" w:sz="4" w:space="0" w:color="auto"/>
              <w:right w:val="single" w:sz="4" w:space="0" w:color="auto"/>
            </w:tcBorders>
            <w:shd w:val="clear" w:color="auto" w:fill="auto"/>
            <w:vAlign w:val="center"/>
            <w:hideMark/>
          </w:tcPr>
          <w:p w14:paraId="519B1DF4" w14:textId="77777777" w:rsidR="006E16AC" w:rsidRPr="008E63BB" w:rsidRDefault="006E16AC" w:rsidP="006E16AC">
            <w:pPr>
              <w:jc w:val="left"/>
              <w:rPr>
                <w:rFonts w:eastAsia="Times New Roman"/>
                <w:sz w:val="22"/>
              </w:rPr>
            </w:pPr>
            <w:r w:rsidRPr="008E63BB">
              <w:rPr>
                <w:rFonts w:eastAsia="Times New Roman"/>
                <w:sz w:val="22"/>
              </w:rPr>
              <w:t>P. Cửa Bắc</w:t>
            </w:r>
          </w:p>
        </w:tc>
        <w:tc>
          <w:tcPr>
            <w:tcW w:w="1620" w:type="dxa"/>
            <w:tcBorders>
              <w:top w:val="nil"/>
              <w:left w:val="nil"/>
              <w:bottom w:val="single" w:sz="4" w:space="0" w:color="auto"/>
              <w:right w:val="single" w:sz="4" w:space="0" w:color="auto"/>
            </w:tcBorders>
            <w:shd w:val="clear" w:color="auto" w:fill="auto"/>
            <w:noWrap/>
            <w:vAlign w:val="center"/>
            <w:hideMark/>
          </w:tcPr>
          <w:p w14:paraId="519B1DF5" w14:textId="77777777" w:rsidR="006E16AC" w:rsidRPr="008E63BB" w:rsidRDefault="006E16AC" w:rsidP="006E16AC">
            <w:pPr>
              <w:jc w:val="right"/>
              <w:rPr>
                <w:rFonts w:eastAsia="Times New Roman"/>
                <w:sz w:val="22"/>
              </w:rPr>
            </w:pPr>
            <w:r w:rsidRPr="008E63BB">
              <w:rPr>
                <w:rFonts w:eastAsia="Times New Roman"/>
                <w:sz w:val="22"/>
              </w:rPr>
              <w:t>0,64</w:t>
            </w:r>
          </w:p>
        </w:tc>
        <w:tc>
          <w:tcPr>
            <w:tcW w:w="1710" w:type="dxa"/>
            <w:tcBorders>
              <w:top w:val="nil"/>
              <w:left w:val="nil"/>
              <w:bottom w:val="single" w:sz="4" w:space="0" w:color="auto"/>
              <w:right w:val="single" w:sz="4" w:space="0" w:color="auto"/>
            </w:tcBorders>
            <w:shd w:val="clear" w:color="auto" w:fill="auto"/>
            <w:noWrap/>
            <w:vAlign w:val="center"/>
            <w:hideMark/>
          </w:tcPr>
          <w:p w14:paraId="519B1DF6" w14:textId="77777777" w:rsidR="006E16AC" w:rsidRPr="008E63BB" w:rsidRDefault="006E16AC" w:rsidP="006E16AC">
            <w:pPr>
              <w:jc w:val="right"/>
              <w:rPr>
                <w:rFonts w:eastAsia="Times New Roman"/>
                <w:sz w:val="22"/>
              </w:rPr>
            </w:pPr>
            <w:r w:rsidRPr="008E63BB">
              <w:rPr>
                <w:rFonts w:eastAsia="Times New Roman"/>
                <w:sz w:val="22"/>
              </w:rPr>
              <w:t>14.328</w:t>
            </w:r>
          </w:p>
        </w:tc>
        <w:tc>
          <w:tcPr>
            <w:tcW w:w="1710" w:type="dxa"/>
            <w:tcBorders>
              <w:top w:val="nil"/>
              <w:left w:val="nil"/>
              <w:bottom w:val="single" w:sz="4" w:space="0" w:color="auto"/>
              <w:right w:val="single" w:sz="4" w:space="0" w:color="auto"/>
            </w:tcBorders>
            <w:shd w:val="clear" w:color="auto" w:fill="auto"/>
            <w:noWrap/>
            <w:vAlign w:val="center"/>
            <w:hideMark/>
          </w:tcPr>
          <w:p w14:paraId="519B1DF7" w14:textId="77777777" w:rsidR="006E16AC" w:rsidRPr="008E63BB" w:rsidRDefault="006E16AC" w:rsidP="006E16AC">
            <w:pPr>
              <w:jc w:val="right"/>
              <w:rPr>
                <w:rFonts w:eastAsia="Times New Roman"/>
                <w:sz w:val="22"/>
              </w:rPr>
            </w:pPr>
            <w:r w:rsidRPr="008E63BB">
              <w:rPr>
                <w:rFonts w:eastAsia="Times New Roman"/>
                <w:sz w:val="22"/>
              </w:rPr>
              <w:t>22.387,5</w:t>
            </w:r>
          </w:p>
        </w:tc>
      </w:tr>
      <w:tr w:rsidR="006E16AC" w:rsidRPr="008E63BB" w14:paraId="519B1DFE"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F9" w14:textId="77777777" w:rsidR="006E16AC" w:rsidRPr="008E63BB" w:rsidRDefault="006E16AC" w:rsidP="006E16AC">
            <w:pPr>
              <w:jc w:val="right"/>
              <w:rPr>
                <w:rFonts w:eastAsia="Times New Roman"/>
                <w:sz w:val="22"/>
              </w:rPr>
            </w:pPr>
            <w:r w:rsidRPr="008E63BB">
              <w:rPr>
                <w:rFonts w:eastAsia="Times New Roman"/>
                <w:sz w:val="22"/>
              </w:rPr>
              <w:t>7</w:t>
            </w:r>
          </w:p>
        </w:tc>
        <w:tc>
          <w:tcPr>
            <w:tcW w:w="3420" w:type="dxa"/>
            <w:tcBorders>
              <w:top w:val="nil"/>
              <w:left w:val="nil"/>
              <w:bottom w:val="single" w:sz="4" w:space="0" w:color="auto"/>
              <w:right w:val="single" w:sz="4" w:space="0" w:color="auto"/>
            </w:tcBorders>
            <w:shd w:val="clear" w:color="auto" w:fill="auto"/>
            <w:vAlign w:val="center"/>
            <w:hideMark/>
          </w:tcPr>
          <w:p w14:paraId="519B1DFA" w14:textId="77777777" w:rsidR="006E16AC" w:rsidRPr="008E63BB" w:rsidRDefault="006E16AC" w:rsidP="006E16AC">
            <w:pPr>
              <w:jc w:val="left"/>
              <w:rPr>
                <w:rFonts w:eastAsia="Times New Roman"/>
                <w:sz w:val="22"/>
              </w:rPr>
            </w:pPr>
            <w:r w:rsidRPr="008E63BB">
              <w:rPr>
                <w:rFonts w:eastAsia="Times New Roman"/>
                <w:sz w:val="22"/>
              </w:rPr>
              <w:t>P. Nguyễn Du</w:t>
            </w:r>
          </w:p>
        </w:tc>
        <w:tc>
          <w:tcPr>
            <w:tcW w:w="1620" w:type="dxa"/>
            <w:tcBorders>
              <w:top w:val="nil"/>
              <w:left w:val="nil"/>
              <w:bottom w:val="single" w:sz="4" w:space="0" w:color="auto"/>
              <w:right w:val="single" w:sz="4" w:space="0" w:color="auto"/>
            </w:tcBorders>
            <w:shd w:val="clear" w:color="auto" w:fill="auto"/>
            <w:noWrap/>
            <w:vAlign w:val="center"/>
            <w:hideMark/>
          </w:tcPr>
          <w:p w14:paraId="519B1DFB" w14:textId="77777777" w:rsidR="006E16AC" w:rsidRPr="008E63BB" w:rsidRDefault="006E16AC" w:rsidP="006E16AC">
            <w:pPr>
              <w:jc w:val="right"/>
              <w:rPr>
                <w:rFonts w:eastAsia="Times New Roman"/>
                <w:sz w:val="22"/>
              </w:rPr>
            </w:pPr>
            <w:r w:rsidRPr="008E63BB">
              <w:rPr>
                <w:rFonts w:eastAsia="Times New Roman"/>
                <w:sz w:val="22"/>
              </w:rPr>
              <w:t>0,21</w:t>
            </w:r>
          </w:p>
        </w:tc>
        <w:tc>
          <w:tcPr>
            <w:tcW w:w="1710" w:type="dxa"/>
            <w:tcBorders>
              <w:top w:val="nil"/>
              <w:left w:val="nil"/>
              <w:bottom w:val="single" w:sz="4" w:space="0" w:color="auto"/>
              <w:right w:val="single" w:sz="4" w:space="0" w:color="auto"/>
            </w:tcBorders>
            <w:shd w:val="clear" w:color="auto" w:fill="auto"/>
            <w:noWrap/>
            <w:vAlign w:val="center"/>
            <w:hideMark/>
          </w:tcPr>
          <w:p w14:paraId="519B1DFC" w14:textId="77777777" w:rsidR="006E16AC" w:rsidRPr="008E63BB" w:rsidRDefault="006E16AC" w:rsidP="006E16AC">
            <w:pPr>
              <w:jc w:val="right"/>
              <w:rPr>
                <w:rFonts w:eastAsia="Times New Roman"/>
                <w:sz w:val="22"/>
              </w:rPr>
            </w:pPr>
            <w:r w:rsidRPr="008E63BB">
              <w:rPr>
                <w:rFonts w:eastAsia="Times New Roman"/>
                <w:sz w:val="22"/>
              </w:rPr>
              <w:t>6.702</w:t>
            </w:r>
          </w:p>
        </w:tc>
        <w:tc>
          <w:tcPr>
            <w:tcW w:w="1710" w:type="dxa"/>
            <w:tcBorders>
              <w:top w:val="nil"/>
              <w:left w:val="nil"/>
              <w:bottom w:val="single" w:sz="4" w:space="0" w:color="auto"/>
              <w:right w:val="single" w:sz="4" w:space="0" w:color="auto"/>
            </w:tcBorders>
            <w:shd w:val="clear" w:color="auto" w:fill="auto"/>
            <w:noWrap/>
            <w:vAlign w:val="center"/>
            <w:hideMark/>
          </w:tcPr>
          <w:p w14:paraId="519B1DFD" w14:textId="77777777" w:rsidR="006E16AC" w:rsidRPr="008E63BB" w:rsidRDefault="006E16AC" w:rsidP="006E16AC">
            <w:pPr>
              <w:jc w:val="right"/>
              <w:rPr>
                <w:rFonts w:eastAsia="Times New Roman"/>
                <w:sz w:val="22"/>
              </w:rPr>
            </w:pPr>
            <w:r w:rsidRPr="008E63BB">
              <w:rPr>
                <w:rFonts w:eastAsia="Times New Roman"/>
                <w:sz w:val="22"/>
              </w:rPr>
              <w:t>31.914,3</w:t>
            </w:r>
          </w:p>
        </w:tc>
      </w:tr>
      <w:tr w:rsidR="006E16AC" w:rsidRPr="008E63BB" w14:paraId="519B1E04"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DFF" w14:textId="77777777" w:rsidR="006E16AC" w:rsidRPr="008E63BB" w:rsidRDefault="006E16AC" w:rsidP="006E16AC">
            <w:pPr>
              <w:jc w:val="right"/>
              <w:rPr>
                <w:rFonts w:eastAsia="Times New Roman"/>
                <w:sz w:val="22"/>
              </w:rPr>
            </w:pPr>
            <w:r w:rsidRPr="008E63BB">
              <w:rPr>
                <w:rFonts w:eastAsia="Times New Roman"/>
                <w:sz w:val="22"/>
              </w:rPr>
              <w:t>8</w:t>
            </w:r>
          </w:p>
        </w:tc>
        <w:tc>
          <w:tcPr>
            <w:tcW w:w="3420" w:type="dxa"/>
            <w:tcBorders>
              <w:top w:val="nil"/>
              <w:left w:val="nil"/>
              <w:bottom w:val="single" w:sz="4" w:space="0" w:color="auto"/>
              <w:right w:val="single" w:sz="4" w:space="0" w:color="auto"/>
            </w:tcBorders>
            <w:shd w:val="clear" w:color="auto" w:fill="auto"/>
            <w:vAlign w:val="center"/>
            <w:hideMark/>
          </w:tcPr>
          <w:p w14:paraId="519B1E00" w14:textId="77777777" w:rsidR="006E16AC" w:rsidRPr="008E63BB" w:rsidRDefault="006E16AC" w:rsidP="006E16AC">
            <w:pPr>
              <w:jc w:val="left"/>
              <w:rPr>
                <w:rFonts w:eastAsia="Times New Roman"/>
                <w:sz w:val="22"/>
              </w:rPr>
            </w:pPr>
            <w:r w:rsidRPr="008E63BB">
              <w:rPr>
                <w:rFonts w:eastAsia="Times New Roman"/>
                <w:sz w:val="22"/>
              </w:rPr>
              <w:t>P. Bà Triệu</w:t>
            </w:r>
          </w:p>
        </w:tc>
        <w:tc>
          <w:tcPr>
            <w:tcW w:w="1620" w:type="dxa"/>
            <w:tcBorders>
              <w:top w:val="nil"/>
              <w:left w:val="nil"/>
              <w:bottom w:val="single" w:sz="4" w:space="0" w:color="auto"/>
              <w:right w:val="single" w:sz="4" w:space="0" w:color="auto"/>
            </w:tcBorders>
            <w:shd w:val="clear" w:color="auto" w:fill="auto"/>
            <w:noWrap/>
            <w:vAlign w:val="center"/>
            <w:hideMark/>
          </w:tcPr>
          <w:p w14:paraId="519B1E01" w14:textId="77777777" w:rsidR="006E16AC" w:rsidRPr="008E63BB" w:rsidRDefault="006E16AC" w:rsidP="006E16AC">
            <w:pPr>
              <w:jc w:val="right"/>
              <w:rPr>
                <w:rFonts w:eastAsia="Times New Roman"/>
                <w:sz w:val="22"/>
              </w:rPr>
            </w:pPr>
            <w:r w:rsidRPr="008E63BB">
              <w:rPr>
                <w:rFonts w:eastAsia="Times New Roman"/>
                <w:sz w:val="22"/>
              </w:rPr>
              <w:t>0,27</w:t>
            </w:r>
          </w:p>
        </w:tc>
        <w:tc>
          <w:tcPr>
            <w:tcW w:w="1710" w:type="dxa"/>
            <w:tcBorders>
              <w:top w:val="nil"/>
              <w:left w:val="nil"/>
              <w:bottom w:val="single" w:sz="4" w:space="0" w:color="auto"/>
              <w:right w:val="single" w:sz="4" w:space="0" w:color="auto"/>
            </w:tcBorders>
            <w:shd w:val="clear" w:color="auto" w:fill="auto"/>
            <w:noWrap/>
            <w:vAlign w:val="center"/>
            <w:hideMark/>
          </w:tcPr>
          <w:p w14:paraId="519B1E02" w14:textId="77777777" w:rsidR="006E16AC" w:rsidRPr="008E63BB" w:rsidRDefault="006E16AC" w:rsidP="006E16AC">
            <w:pPr>
              <w:jc w:val="right"/>
              <w:rPr>
                <w:rFonts w:eastAsia="Times New Roman"/>
                <w:sz w:val="22"/>
              </w:rPr>
            </w:pPr>
            <w:r w:rsidRPr="008E63BB">
              <w:rPr>
                <w:rFonts w:eastAsia="Times New Roman"/>
                <w:sz w:val="22"/>
              </w:rPr>
              <w:t>7.098</w:t>
            </w:r>
          </w:p>
        </w:tc>
        <w:tc>
          <w:tcPr>
            <w:tcW w:w="1710" w:type="dxa"/>
            <w:tcBorders>
              <w:top w:val="nil"/>
              <w:left w:val="nil"/>
              <w:bottom w:val="single" w:sz="4" w:space="0" w:color="auto"/>
              <w:right w:val="single" w:sz="4" w:space="0" w:color="auto"/>
            </w:tcBorders>
            <w:shd w:val="clear" w:color="auto" w:fill="auto"/>
            <w:noWrap/>
            <w:vAlign w:val="center"/>
            <w:hideMark/>
          </w:tcPr>
          <w:p w14:paraId="519B1E03" w14:textId="77777777" w:rsidR="006E16AC" w:rsidRPr="008E63BB" w:rsidRDefault="006E16AC" w:rsidP="006E16AC">
            <w:pPr>
              <w:jc w:val="right"/>
              <w:rPr>
                <w:rFonts w:eastAsia="Times New Roman"/>
                <w:sz w:val="22"/>
              </w:rPr>
            </w:pPr>
            <w:r w:rsidRPr="008E63BB">
              <w:rPr>
                <w:rFonts w:eastAsia="Times New Roman"/>
                <w:sz w:val="22"/>
              </w:rPr>
              <w:t>26.288,9</w:t>
            </w:r>
          </w:p>
        </w:tc>
      </w:tr>
      <w:tr w:rsidR="006E16AC" w:rsidRPr="008E63BB" w14:paraId="519B1E0A"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05" w14:textId="77777777" w:rsidR="006E16AC" w:rsidRPr="008E63BB" w:rsidRDefault="006E16AC" w:rsidP="006E16AC">
            <w:pPr>
              <w:jc w:val="right"/>
              <w:rPr>
                <w:rFonts w:eastAsia="Times New Roman"/>
                <w:sz w:val="22"/>
              </w:rPr>
            </w:pPr>
            <w:r w:rsidRPr="008E63BB">
              <w:rPr>
                <w:rFonts w:eastAsia="Times New Roman"/>
                <w:sz w:val="22"/>
              </w:rPr>
              <w:t>9</w:t>
            </w:r>
          </w:p>
        </w:tc>
        <w:tc>
          <w:tcPr>
            <w:tcW w:w="3420" w:type="dxa"/>
            <w:tcBorders>
              <w:top w:val="nil"/>
              <w:left w:val="nil"/>
              <w:bottom w:val="single" w:sz="4" w:space="0" w:color="auto"/>
              <w:right w:val="single" w:sz="4" w:space="0" w:color="auto"/>
            </w:tcBorders>
            <w:shd w:val="clear" w:color="auto" w:fill="auto"/>
            <w:vAlign w:val="center"/>
            <w:hideMark/>
          </w:tcPr>
          <w:p w14:paraId="519B1E06" w14:textId="77777777" w:rsidR="006E16AC" w:rsidRPr="008E63BB" w:rsidRDefault="006E16AC" w:rsidP="006E16AC">
            <w:pPr>
              <w:jc w:val="left"/>
              <w:rPr>
                <w:rFonts w:eastAsia="Times New Roman"/>
                <w:sz w:val="22"/>
              </w:rPr>
            </w:pPr>
            <w:r w:rsidRPr="008E63BB">
              <w:rPr>
                <w:rFonts w:eastAsia="Times New Roman"/>
                <w:sz w:val="22"/>
              </w:rPr>
              <w:t>P. Trường Thi</w:t>
            </w:r>
          </w:p>
        </w:tc>
        <w:tc>
          <w:tcPr>
            <w:tcW w:w="1620" w:type="dxa"/>
            <w:tcBorders>
              <w:top w:val="nil"/>
              <w:left w:val="nil"/>
              <w:bottom w:val="single" w:sz="4" w:space="0" w:color="auto"/>
              <w:right w:val="single" w:sz="4" w:space="0" w:color="auto"/>
            </w:tcBorders>
            <w:shd w:val="clear" w:color="auto" w:fill="auto"/>
            <w:noWrap/>
            <w:vAlign w:val="center"/>
            <w:hideMark/>
          </w:tcPr>
          <w:p w14:paraId="519B1E07" w14:textId="77777777" w:rsidR="006E16AC" w:rsidRPr="008E63BB" w:rsidRDefault="006E16AC" w:rsidP="006E16AC">
            <w:pPr>
              <w:jc w:val="right"/>
              <w:rPr>
                <w:rFonts w:eastAsia="Times New Roman"/>
                <w:sz w:val="22"/>
              </w:rPr>
            </w:pPr>
            <w:r w:rsidRPr="008E63BB">
              <w:rPr>
                <w:rFonts w:eastAsia="Times New Roman"/>
                <w:sz w:val="22"/>
              </w:rPr>
              <w:t>0,68</w:t>
            </w:r>
          </w:p>
        </w:tc>
        <w:tc>
          <w:tcPr>
            <w:tcW w:w="1710" w:type="dxa"/>
            <w:tcBorders>
              <w:top w:val="nil"/>
              <w:left w:val="nil"/>
              <w:bottom w:val="single" w:sz="4" w:space="0" w:color="auto"/>
              <w:right w:val="single" w:sz="4" w:space="0" w:color="auto"/>
            </w:tcBorders>
            <w:shd w:val="clear" w:color="auto" w:fill="auto"/>
            <w:noWrap/>
            <w:vAlign w:val="center"/>
            <w:hideMark/>
          </w:tcPr>
          <w:p w14:paraId="519B1E08" w14:textId="77777777" w:rsidR="006E16AC" w:rsidRPr="008E63BB" w:rsidRDefault="006E16AC" w:rsidP="006E16AC">
            <w:pPr>
              <w:jc w:val="right"/>
              <w:rPr>
                <w:rFonts w:eastAsia="Times New Roman"/>
                <w:sz w:val="22"/>
              </w:rPr>
            </w:pPr>
            <w:r w:rsidRPr="008E63BB">
              <w:rPr>
                <w:rFonts w:eastAsia="Times New Roman"/>
                <w:sz w:val="22"/>
              </w:rPr>
              <w:t>14.769</w:t>
            </w:r>
          </w:p>
        </w:tc>
        <w:tc>
          <w:tcPr>
            <w:tcW w:w="1710" w:type="dxa"/>
            <w:tcBorders>
              <w:top w:val="nil"/>
              <w:left w:val="nil"/>
              <w:bottom w:val="single" w:sz="4" w:space="0" w:color="auto"/>
              <w:right w:val="single" w:sz="4" w:space="0" w:color="auto"/>
            </w:tcBorders>
            <w:shd w:val="clear" w:color="auto" w:fill="auto"/>
            <w:noWrap/>
            <w:vAlign w:val="center"/>
            <w:hideMark/>
          </w:tcPr>
          <w:p w14:paraId="519B1E09" w14:textId="77777777" w:rsidR="006E16AC" w:rsidRPr="008E63BB" w:rsidRDefault="006E16AC" w:rsidP="006E16AC">
            <w:pPr>
              <w:jc w:val="right"/>
              <w:rPr>
                <w:rFonts w:eastAsia="Times New Roman"/>
                <w:sz w:val="22"/>
              </w:rPr>
            </w:pPr>
            <w:r w:rsidRPr="008E63BB">
              <w:rPr>
                <w:rFonts w:eastAsia="Times New Roman"/>
                <w:sz w:val="22"/>
              </w:rPr>
              <w:t>21.719,1</w:t>
            </w:r>
          </w:p>
        </w:tc>
      </w:tr>
      <w:tr w:rsidR="006E16AC" w:rsidRPr="008E63BB" w14:paraId="519B1E10"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0B" w14:textId="77777777" w:rsidR="006E16AC" w:rsidRPr="008E63BB" w:rsidRDefault="006E16AC" w:rsidP="006E16AC">
            <w:pPr>
              <w:jc w:val="right"/>
              <w:rPr>
                <w:rFonts w:eastAsia="Times New Roman"/>
                <w:sz w:val="22"/>
              </w:rPr>
            </w:pPr>
            <w:r w:rsidRPr="008E63BB">
              <w:rPr>
                <w:rFonts w:eastAsia="Times New Roman"/>
                <w:sz w:val="22"/>
              </w:rPr>
              <w:t>10</w:t>
            </w:r>
          </w:p>
        </w:tc>
        <w:tc>
          <w:tcPr>
            <w:tcW w:w="3420" w:type="dxa"/>
            <w:tcBorders>
              <w:top w:val="nil"/>
              <w:left w:val="nil"/>
              <w:bottom w:val="single" w:sz="4" w:space="0" w:color="auto"/>
              <w:right w:val="single" w:sz="4" w:space="0" w:color="auto"/>
            </w:tcBorders>
            <w:shd w:val="clear" w:color="auto" w:fill="auto"/>
            <w:vAlign w:val="center"/>
            <w:hideMark/>
          </w:tcPr>
          <w:p w14:paraId="519B1E0C" w14:textId="77777777" w:rsidR="006E16AC" w:rsidRPr="008E63BB" w:rsidRDefault="006E16AC" w:rsidP="006E16AC">
            <w:pPr>
              <w:jc w:val="left"/>
              <w:rPr>
                <w:rFonts w:eastAsia="Times New Roman"/>
                <w:sz w:val="22"/>
              </w:rPr>
            </w:pPr>
            <w:r w:rsidRPr="008E63BB">
              <w:rPr>
                <w:rFonts w:eastAsia="Times New Roman"/>
                <w:sz w:val="22"/>
              </w:rPr>
              <w:t>P. Phan ĐÌnh Phùng</w:t>
            </w:r>
          </w:p>
        </w:tc>
        <w:tc>
          <w:tcPr>
            <w:tcW w:w="1620" w:type="dxa"/>
            <w:tcBorders>
              <w:top w:val="nil"/>
              <w:left w:val="nil"/>
              <w:bottom w:val="single" w:sz="4" w:space="0" w:color="auto"/>
              <w:right w:val="single" w:sz="4" w:space="0" w:color="auto"/>
            </w:tcBorders>
            <w:shd w:val="clear" w:color="auto" w:fill="auto"/>
            <w:noWrap/>
            <w:vAlign w:val="center"/>
            <w:hideMark/>
          </w:tcPr>
          <w:p w14:paraId="519B1E0D" w14:textId="77777777" w:rsidR="006E16AC" w:rsidRPr="008E63BB" w:rsidRDefault="006E16AC" w:rsidP="006E16AC">
            <w:pPr>
              <w:jc w:val="right"/>
              <w:rPr>
                <w:rFonts w:eastAsia="Times New Roman"/>
                <w:sz w:val="22"/>
              </w:rPr>
            </w:pPr>
            <w:r w:rsidRPr="008E63BB">
              <w:rPr>
                <w:rFonts w:eastAsia="Times New Roman"/>
                <w:sz w:val="22"/>
              </w:rPr>
              <w:t>0,39</w:t>
            </w:r>
          </w:p>
        </w:tc>
        <w:tc>
          <w:tcPr>
            <w:tcW w:w="1710" w:type="dxa"/>
            <w:tcBorders>
              <w:top w:val="nil"/>
              <w:left w:val="nil"/>
              <w:bottom w:val="single" w:sz="4" w:space="0" w:color="auto"/>
              <w:right w:val="single" w:sz="4" w:space="0" w:color="auto"/>
            </w:tcBorders>
            <w:shd w:val="clear" w:color="auto" w:fill="auto"/>
            <w:noWrap/>
            <w:vAlign w:val="center"/>
            <w:hideMark/>
          </w:tcPr>
          <w:p w14:paraId="519B1E0E" w14:textId="77777777" w:rsidR="006E16AC" w:rsidRPr="008E63BB" w:rsidRDefault="006E16AC" w:rsidP="006E16AC">
            <w:pPr>
              <w:jc w:val="right"/>
              <w:rPr>
                <w:rFonts w:eastAsia="Times New Roman"/>
                <w:sz w:val="22"/>
              </w:rPr>
            </w:pPr>
            <w:r w:rsidRPr="008E63BB">
              <w:rPr>
                <w:rFonts w:eastAsia="Times New Roman"/>
                <w:sz w:val="22"/>
              </w:rPr>
              <w:t>7.921</w:t>
            </w:r>
          </w:p>
        </w:tc>
        <w:tc>
          <w:tcPr>
            <w:tcW w:w="1710" w:type="dxa"/>
            <w:tcBorders>
              <w:top w:val="nil"/>
              <w:left w:val="nil"/>
              <w:bottom w:val="single" w:sz="4" w:space="0" w:color="auto"/>
              <w:right w:val="single" w:sz="4" w:space="0" w:color="auto"/>
            </w:tcBorders>
            <w:shd w:val="clear" w:color="auto" w:fill="auto"/>
            <w:noWrap/>
            <w:vAlign w:val="center"/>
            <w:hideMark/>
          </w:tcPr>
          <w:p w14:paraId="519B1E0F" w14:textId="77777777" w:rsidR="006E16AC" w:rsidRPr="008E63BB" w:rsidRDefault="006E16AC" w:rsidP="006E16AC">
            <w:pPr>
              <w:jc w:val="right"/>
              <w:rPr>
                <w:rFonts w:eastAsia="Times New Roman"/>
                <w:sz w:val="22"/>
              </w:rPr>
            </w:pPr>
            <w:r w:rsidRPr="008E63BB">
              <w:rPr>
                <w:rFonts w:eastAsia="Times New Roman"/>
                <w:sz w:val="22"/>
              </w:rPr>
              <w:t>20.310,3</w:t>
            </w:r>
          </w:p>
        </w:tc>
      </w:tr>
      <w:tr w:rsidR="006E16AC" w:rsidRPr="008E63BB" w14:paraId="519B1E16" w14:textId="77777777" w:rsidTr="006E16AC">
        <w:trPr>
          <w:gridBefore w:val="1"/>
          <w:gridAfter w:val="1"/>
          <w:wBefore w:w="93" w:type="dxa"/>
          <w:wAfter w:w="262" w:type="dxa"/>
          <w:trHeight w:val="330"/>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11" w14:textId="77777777" w:rsidR="006E16AC" w:rsidRPr="008E63BB" w:rsidRDefault="006E16AC" w:rsidP="006E16AC">
            <w:pPr>
              <w:jc w:val="right"/>
              <w:rPr>
                <w:rFonts w:eastAsia="Times New Roman"/>
                <w:sz w:val="22"/>
              </w:rPr>
            </w:pPr>
            <w:r w:rsidRPr="008E63BB">
              <w:rPr>
                <w:rFonts w:eastAsia="Times New Roman"/>
                <w:sz w:val="22"/>
              </w:rPr>
              <w:t>11</w:t>
            </w:r>
          </w:p>
        </w:tc>
        <w:tc>
          <w:tcPr>
            <w:tcW w:w="3420" w:type="dxa"/>
            <w:tcBorders>
              <w:top w:val="nil"/>
              <w:left w:val="nil"/>
              <w:bottom w:val="single" w:sz="4" w:space="0" w:color="auto"/>
              <w:right w:val="single" w:sz="4" w:space="0" w:color="auto"/>
            </w:tcBorders>
            <w:shd w:val="clear" w:color="auto" w:fill="auto"/>
            <w:vAlign w:val="center"/>
            <w:hideMark/>
          </w:tcPr>
          <w:p w14:paraId="519B1E12" w14:textId="77777777" w:rsidR="006E16AC" w:rsidRPr="008E63BB" w:rsidRDefault="006E16AC" w:rsidP="006E16AC">
            <w:pPr>
              <w:jc w:val="left"/>
              <w:rPr>
                <w:rFonts w:eastAsia="Times New Roman"/>
                <w:sz w:val="22"/>
              </w:rPr>
            </w:pPr>
            <w:r w:rsidRPr="008E63BB">
              <w:rPr>
                <w:rFonts w:eastAsia="Times New Roman"/>
                <w:sz w:val="22"/>
              </w:rPr>
              <w:t>P. Ngô Quyền</w:t>
            </w:r>
          </w:p>
        </w:tc>
        <w:tc>
          <w:tcPr>
            <w:tcW w:w="1620" w:type="dxa"/>
            <w:tcBorders>
              <w:top w:val="nil"/>
              <w:left w:val="nil"/>
              <w:bottom w:val="single" w:sz="4" w:space="0" w:color="auto"/>
              <w:right w:val="single" w:sz="4" w:space="0" w:color="auto"/>
            </w:tcBorders>
            <w:shd w:val="clear" w:color="auto" w:fill="auto"/>
            <w:noWrap/>
            <w:vAlign w:val="center"/>
            <w:hideMark/>
          </w:tcPr>
          <w:p w14:paraId="519B1E13" w14:textId="77777777" w:rsidR="006E16AC" w:rsidRPr="008E63BB" w:rsidRDefault="006E16AC" w:rsidP="006E16AC">
            <w:pPr>
              <w:jc w:val="right"/>
              <w:rPr>
                <w:rFonts w:eastAsia="Times New Roman"/>
                <w:sz w:val="22"/>
              </w:rPr>
            </w:pPr>
            <w:r w:rsidRPr="008E63BB">
              <w:rPr>
                <w:rFonts w:eastAsia="Times New Roman"/>
                <w:sz w:val="22"/>
              </w:rPr>
              <w:t>0,36</w:t>
            </w:r>
          </w:p>
        </w:tc>
        <w:tc>
          <w:tcPr>
            <w:tcW w:w="1710" w:type="dxa"/>
            <w:tcBorders>
              <w:top w:val="nil"/>
              <w:left w:val="nil"/>
              <w:bottom w:val="single" w:sz="4" w:space="0" w:color="auto"/>
              <w:right w:val="single" w:sz="4" w:space="0" w:color="auto"/>
            </w:tcBorders>
            <w:shd w:val="clear" w:color="auto" w:fill="auto"/>
            <w:noWrap/>
            <w:vAlign w:val="center"/>
            <w:hideMark/>
          </w:tcPr>
          <w:p w14:paraId="519B1E14" w14:textId="77777777" w:rsidR="006E16AC" w:rsidRPr="008E63BB" w:rsidRDefault="006E16AC" w:rsidP="006E16AC">
            <w:pPr>
              <w:jc w:val="right"/>
              <w:rPr>
                <w:rFonts w:eastAsia="Times New Roman"/>
                <w:sz w:val="22"/>
              </w:rPr>
            </w:pPr>
            <w:r w:rsidRPr="008E63BB">
              <w:rPr>
                <w:rFonts w:eastAsia="Times New Roman"/>
                <w:sz w:val="22"/>
              </w:rPr>
              <w:t>5.039</w:t>
            </w:r>
          </w:p>
        </w:tc>
        <w:tc>
          <w:tcPr>
            <w:tcW w:w="1710" w:type="dxa"/>
            <w:tcBorders>
              <w:top w:val="nil"/>
              <w:left w:val="nil"/>
              <w:bottom w:val="single" w:sz="4" w:space="0" w:color="auto"/>
              <w:right w:val="single" w:sz="4" w:space="0" w:color="auto"/>
            </w:tcBorders>
            <w:shd w:val="clear" w:color="auto" w:fill="auto"/>
            <w:noWrap/>
            <w:vAlign w:val="center"/>
            <w:hideMark/>
          </w:tcPr>
          <w:p w14:paraId="519B1E15" w14:textId="77777777" w:rsidR="006E16AC" w:rsidRPr="008E63BB" w:rsidRDefault="006E16AC" w:rsidP="006E16AC">
            <w:pPr>
              <w:jc w:val="right"/>
              <w:rPr>
                <w:rFonts w:eastAsia="Times New Roman"/>
                <w:sz w:val="22"/>
              </w:rPr>
            </w:pPr>
            <w:r w:rsidRPr="008E63BB">
              <w:rPr>
                <w:rFonts w:eastAsia="Times New Roman"/>
                <w:sz w:val="22"/>
              </w:rPr>
              <w:t>13.997,2</w:t>
            </w:r>
          </w:p>
        </w:tc>
      </w:tr>
      <w:tr w:rsidR="006E16AC" w:rsidRPr="008E63BB" w14:paraId="519B1E1C"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17" w14:textId="77777777" w:rsidR="006E16AC" w:rsidRPr="008E63BB" w:rsidRDefault="006E16AC" w:rsidP="006E16AC">
            <w:pPr>
              <w:jc w:val="right"/>
              <w:rPr>
                <w:rFonts w:eastAsia="Times New Roman"/>
                <w:sz w:val="22"/>
              </w:rPr>
            </w:pPr>
            <w:r w:rsidRPr="008E63BB">
              <w:rPr>
                <w:rFonts w:eastAsia="Times New Roman"/>
                <w:sz w:val="22"/>
              </w:rPr>
              <w:t>12</w:t>
            </w:r>
          </w:p>
        </w:tc>
        <w:tc>
          <w:tcPr>
            <w:tcW w:w="3420" w:type="dxa"/>
            <w:tcBorders>
              <w:top w:val="nil"/>
              <w:left w:val="nil"/>
              <w:bottom w:val="single" w:sz="4" w:space="0" w:color="auto"/>
              <w:right w:val="single" w:sz="4" w:space="0" w:color="auto"/>
            </w:tcBorders>
            <w:shd w:val="clear" w:color="auto" w:fill="auto"/>
            <w:vAlign w:val="center"/>
            <w:hideMark/>
          </w:tcPr>
          <w:p w14:paraId="519B1E18" w14:textId="77777777" w:rsidR="006E16AC" w:rsidRPr="008E63BB" w:rsidRDefault="006E16AC" w:rsidP="006E16AC">
            <w:pPr>
              <w:jc w:val="left"/>
              <w:rPr>
                <w:rFonts w:eastAsia="Times New Roman"/>
                <w:sz w:val="22"/>
              </w:rPr>
            </w:pPr>
            <w:r w:rsidRPr="008E63BB">
              <w:rPr>
                <w:rFonts w:eastAsia="Times New Roman"/>
                <w:sz w:val="22"/>
              </w:rPr>
              <w:t>P. Trần Hưng Đạo</w:t>
            </w:r>
          </w:p>
        </w:tc>
        <w:tc>
          <w:tcPr>
            <w:tcW w:w="1620" w:type="dxa"/>
            <w:tcBorders>
              <w:top w:val="nil"/>
              <w:left w:val="nil"/>
              <w:bottom w:val="single" w:sz="4" w:space="0" w:color="auto"/>
              <w:right w:val="single" w:sz="4" w:space="0" w:color="auto"/>
            </w:tcBorders>
            <w:shd w:val="clear" w:color="auto" w:fill="auto"/>
            <w:noWrap/>
            <w:vAlign w:val="center"/>
            <w:hideMark/>
          </w:tcPr>
          <w:p w14:paraId="519B1E19" w14:textId="77777777" w:rsidR="006E16AC" w:rsidRPr="008E63BB" w:rsidRDefault="006E16AC" w:rsidP="006E16AC">
            <w:pPr>
              <w:jc w:val="right"/>
              <w:rPr>
                <w:rFonts w:eastAsia="Times New Roman"/>
                <w:sz w:val="22"/>
              </w:rPr>
            </w:pPr>
            <w:r w:rsidRPr="008E63BB">
              <w:rPr>
                <w:rFonts w:eastAsia="Times New Roman"/>
                <w:sz w:val="22"/>
              </w:rPr>
              <w:t>0,36</w:t>
            </w:r>
          </w:p>
        </w:tc>
        <w:tc>
          <w:tcPr>
            <w:tcW w:w="1710" w:type="dxa"/>
            <w:tcBorders>
              <w:top w:val="nil"/>
              <w:left w:val="nil"/>
              <w:bottom w:val="single" w:sz="4" w:space="0" w:color="auto"/>
              <w:right w:val="single" w:sz="4" w:space="0" w:color="auto"/>
            </w:tcBorders>
            <w:shd w:val="clear" w:color="auto" w:fill="auto"/>
            <w:noWrap/>
            <w:vAlign w:val="center"/>
            <w:hideMark/>
          </w:tcPr>
          <w:p w14:paraId="519B1E1A" w14:textId="77777777" w:rsidR="006E16AC" w:rsidRPr="008E63BB" w:rsidRDefault="006E16AC" w:rsidP="006E16AC">
            <w:pPr>
              <w:jc w:val="right"/>
              <w:rPr>
                <w:rFonts w:eastAsia="Times New Roman"/>
                <w:sz w:val="22"/>
              </w:rPr>
            </w:pPr>
            <w:r w:rsidRPr="008E63BB">
              <w:rPr>
                <w:rFonts w:eastAsia="Times New Roman"/>
                <w:sz w:val="22"/>
              </w:rPr>
              <w:t>5.876</w:t>
            </w:r>
          </w:p>
        </w:tc>
        <w:tc>
          <w:tcPr>
            <w:tcW w:w="1710" w:type="dxa"/>
            <w:tcBorders>
              <w:top w:val="nil"/>
              <w:left w:val="nil"/>
              <w:bottom w:val="single" w:sz="4" w:space="0" w:color="auto"/>
              <w:right w:val="single" w:sz="4" w:space="0" w:color="auto"/>
            </w:tcBorders>
            <w:shd w:val="clear" w:color="auto" w:fill="auto"/>
            <w:noWrap/>
            <w:vAlign w:val="center"/>
            <w:hideMark/>
          </w:tcPr>
          <w:p w14:paraId="519B1E1B" w14:textId="77777777" w:rsidR="006E16AC" w:rsidRPr="008E63BB" w:rsidRDefault="006E16AC" w:rsidP="006E16AC">
            <w:pPr>
              <w:jc w:val="right"/>
              <w:rPr>
                <w:rFonts w:eastAsia="Times New Roman"/>
                <w:sz w:val="22"/>
              </w:rPr>
            </w:pPr>
            <w:r w:rsidRPr="008E63BB">
              <w:rPr>
                <w:rFonts w:eastAsia="Times New Roman"/>
                <w:sz w:val="22"/>
              </w:rPr>
              <w:t>16.322,2</w:t>
            </w:r>
          </w:p>
        </w:tc>
      </w:tr>
      <w:tr w:rsidR="006E16AC" w:rsidRPr="008E63BB" w14:paraId="519B1E22"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1D" w14:textId="77777777" w:rsidR="006E16AC" w:rsidRPr="008E63BB" w:rsidRDefault="006E16AC" w:rsidP="006E16AC">
            <w:pPr>
              <w:jc w:val="right"/>
              <w:rPr>
                <w:rFonts w:eastAsia="Times New Roman"/>
                <w:sz w:val="22"/>
              </w:rPr>
            </w:pPr>
            <w:r w:rsidRPr="008E63BB">
              <w:rPr>
                <w:rFonts w:eastAsia="Times New Roman"/>
                <w:sz w:val="22"/>
              </w:rPr>
              <w:t>13</w:t>
            </w:r>
          </w:p>
        </w:tc>
        <w:tc>
          <w:tcPr>
            <w:tcW w:w="3420" w:type="dxa"/>
            <w:tcBorders>
              <w:top w:val="nil"/>
              <w:left w:val="nil"/>
              <w:bottom w:val="single" w:sz="4" w:space="0" w:color="auto"/>
              <w:right w:val="single" w:sz="4" w:space="0" w:color="auto"/>
            </w:tcBorders>
            <w:shd w:val="clear" w:color="auto" w:fill="auto"/>
            <w:vAlign w:val="center"/>
            <w:hideMark/>
          </w:tcPr>
          <w:p w14:paraId="519B1E1E" w14:textId="77777777" w:rsidR="006E16AC" w:rsidRPr="008E63BB" w:rsidRDefault="006E16AC" w:rsidP="006E16AC">
            <w:pPr>
              <w:jc w:val="left"/>
              <w:rPr>
                <w:rFonts w:eastAsia="Times New Roman"/>
                <w:sz w:val="22"/>
              </w:rPr>
            </w:pPr>
            <w:r w:rsidRPr="008E63BB">
              <w:rPr>
                <w:rFonts w:eastAsia="Times New Roman"/>
                <w:sz w:val="22"/>
              </w:rPr>
              <w:t>P. Trần Đăng Ninh</w:t>
            </w:r>
          </w:p>
        </w:tc>
        <w:tc>
          <w:tcPr>
            <w:tcW w:w="1620" w:type="dxa"/>
            <w:tcBorders>
              <w:top w:val="nil"/>
              <w:left w:val="nil"/>
              <w:bottom w:val="single" w:sz="4" w:space="0" w:color="auto"/>
              <w:right w:val="single" w:sz="4" w:space="0" w:color="auto"/>
            </w:tcBorders>
            <w:shd w:val="clear" w:color="auto" w:fill="auto"/>
            <w:noWrap/>
            <w:vAlign w:val="center"/>
            <w:hideMark/>
          </w:tcPr>
          <w:p w14:paraId="519B1E1F" w14:textId="77777777" w:rsidR="006E16AC" w:rsidRPr="008E63BB" w:rsidRDefault="006E16AC" w:rsidP="006E16AC">
            <w:pPr>
              <w:jc w:val="right"/>
              <w:rPr>
                <w:rFonts w:eastAsia="Times New Roman"/>
                <w:sz w:val="22"/>
              </w:rPr>
            </w:pPr>
            <w:r w:rsidRPr="008E63BB">
              <w:rPr>
                <w:rFonts w:eastAsia="Times New Roman"/>
                <w:sz w:val="22"/>
              </w:rPr>
              <w:t>0,46</w:t>
            </w:r>
          </w:p>
        </w:tc>
        <w:tc>
          <w:tcPr>
            <w:tcW w:w="1710" w:type="dxa"/>
            <w:tcBorders>
              <w:top w:val="nil"/>
              <w:left w:val="nil"/>
              <w:bottom w:val="single" w:sz="4" w:space="0" w:color="auto"/>
              <w:right w:val="single" w:sz="4" w:space="0" w:color="auto"/>
            </w:tcBorders>
            <w:shd w:val="clear" w:color="auto" w:fill="auto"/>
            <w:noWrap/>
            <w:vAlign w:val="center"/>
            <w:hideMark/>
          </w:tcPr>
          <w:p w14:paraId="519B1E20" w14:textId="77777777" w:rsidR="006E16AC" w:rsidRPr="008E63BB" w:rsidRDefault="006E16AC" w:rsidP="006E16AC">
            <w:pPr>
              <w:jc w:val="right"/>
              <w:rPr>
                <w:rFonts w:eastAsia="Times New Roman"/>
                <w:sz w:val="22"/>
              </w:rPr>
            </w:pPr>
            <w:r w:rsidRPr="008E63BB">
              <w:rPr>
                <w:rFonts w:eastAsia="Times New Roman"/>
                <w:sz w:val="22"/>
              </w:rPr>
              <w:t>9.688</w:t>
            </w:r>
          </w:p>
        </w:tc>
        <w:tc>
          <w:tcPr>
            <w:tcW w:w="1710" w:type="dxa"/>
            <w:tcBorders>
              <w:top w:val="nil"/>
              <w:left w:val="nil"/>
              <w:bottom w:val="single" w:sz="4" w:space="0" w:color="auto"/>
              <w:right w:val="single" w:sz="4" w:space="0" w:color="auto"/>
            </w:tcBorders>
            <w:shd w:val="clear" w:color="auto" w:fill="auto"/>
            <w:noWrap/>
            <w:vAlign w:val="center"/>
            <w:hideMark/>
          </w:tcPr>
          <w:p w14:paraId="519B1E21" w14:textId="77777777" w:rsidR="006E16AC" w:rsidRPr="008E63BB" w:rsidRDefault="006E16AC" w:rsidP="006E16AC">
            <w:pPr>
              <w:jc w:val="right"/>
              <w:rPr>
                <w:rFonts w:eastAsia="Times New Roman"/>
                <w:sz w:val="22"/>
              </w:rPr>
            </w:pPr>
            <w:r w:rsidRPr="008E63BB">
              <w:rPr>
                <w:rFonts w:eastAsia="Times New Roman"/>
                <w:sz w:val="22"/>
              </w:rPr>
              <w:t>21.060,9</w:t>
            </w:r>
          </w:p>
        </w:tc>
      </w:tr>
      <w:tr w:rsidR="006E16AC" w:rsidRPr="008E63BB" w14:paraId="519B1E28"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23" w14:textId="77777777" w:rsidR="006E16AC" w:rsidRPr="008E63BB" w:rsidRDefault="006E16AC" w:rsidP="006E16AC">
            <w:pPr>
              <w:jc w:val="right"/>
              <w:rPr>
                <w:rFonts w:eastAsia="Times New Roman"/>
                <w:sz w:val="22"/>
              </w:rPr>
            </w:pPr>
            <w:r w:rsidRPr="008E63BB">
              <w:rPr>
                <w:rFonts w:eastAsia="Times New Roman"/>
                <w:sz w:val="22"/>
              </w:rPr>
              <w:t>14</w:t>
            </w:r>
          </w:p>
        </w:tc>
        <w:tc>
          <w:tcPr>
            <w:tcW w:w="3420" w:type="dxa"/>
            <w:tcBorders>
              <w:top w:val="nil"/>
              <w:left w:val="nil"/>
              <w:bottom w:val="single" w:sz="4" w:space="0" w:color="auto"/>
              <w:right w:val="single" w:sz="4" w:space="0" w:color="auto"/>
            </w:tcBorders>
            <w:shd w:val="clear" w:color="auto" w:fill="auto"/>
            <w:vAlign w:val="center"/>
            <w:hideMark/>
          </w:tcPr>
          <w:p w14:paraId="519B1E24" w14:textId="77777777" w:rsidR="006E16AC" w:rsidRPr="008E63BB" w:rsidRDefault="006E16AC" w:rsidP="006E16AC">
            <w:pPr>
              <w:jc w:val="left"/>
              <w:rPr>
                <w:rFonts w:eastAsia="Times New Roman"/>
                <w:sz w:val="22"/>
              </w:rPr>
            </w:pPr>
            <w:r w:rsidRPr="008E63BB">
              <w:rPr>
                <w:rFonts w:eastAsia="Times New Roman"/>
                <w:sz w:val="22"/>
              </w:rPr>
              <w:t>P. Năng Tĩnh</w:t>
            </w:r>
          </w:p>
        </w:tc>
        <w:tc>
          <w:tcPr>
            <w:tcW w:w="1620" w:type="dxa"/>
            <w:tcBorders>
              <w:top w:val="nil"/>
              <w:left w:val="nil"/>
              <w:bottom w:val="single" w:sz="4" w:space="0" w:color="auto"/>
              <w:right w:val="single" w:sz="4" w:space="0" w:color="auto"/>
            </w:tcBorders>
            <w:shd w:val="clear" w:color="auto" w:fill="auto"/>
            <w:noWrap/>
            <w:vAlign w:val="center"/>
            <w:hideMark/>
          </w:tcPr>
          <w:p w14:paraId="519B1E25" w14:textId="77777777" w:rsidR="006E16AC" w:rsidRPr="008E63BB" w:rsidRDefault="006E16AC" w:rsidP="006E16AC">
            <w:pPr>
              <w:jc w:val="right"/>
              <w:rPr>
                <w:rFonts w:eastAsia="Times New Roman"/>
                <w:sz w:val="22"/>
              </w:rPr>
            </w:pPr>
            <w:r w:rsidRPr="008E63BB">
              <w:rPr>
                <w:rFonts w:eastAsia="Times New Roman"/>
                <w:sz w:val="22"/>
              </w:rPr>
              <w:t>0,79</w:t>
            </w:r>
          </w:p>
        </w:tc>
        <w:tc>
          <w:tcPr>
            <w:tcW w:w="1710" w:type="dxa"/>
            <w:tcBorders>
              <w:top w:val="nil"/>
              <w:left w:val="nil"/>
              <w:bottom w:val="single" w:sz="4" w:space="0" w:color="auto"/>
              <w:right w:val="single" w:sz="4" w:space="0" w:color="auto"/>
            </w:tcBorders>
            <w:shd w:val="clear" w:color="auto" w:fill="auto"/>
            <w:noWrap/>
            <w:vAlign w:val="center"/>
            <w:hideMark/>
          </w:tcPr>
          <w:p w14:paraId="519B1E26" w14:textId="77777777" w:rsidR="006E16AC" w:rsidRPr="008E63BB" w:rsidRDefault="006E16AC" w:rsidP="006E16AC">
            <w:pPr>
              <w:jc w:val="right"/>
              <w:rPr>
                <w:rFonts w:eastAsia="Times New Roman"/>
                <w:sz w:val="22"/>
              </w:rPr>
            </w:pPr>
            <w:r w:rsidRPr="008E63BB">
              <w:rPr>
                <w:rFonts w:eastAsia="Times New Roman"/>
                <w:sz w:val="22"/>
              </w:rPr>
              <w:t>12.377</w:t>
            </w:r>
          </w:p>
        </w:tc>
        <w:tc>
          <w:tcPr>
            <w:tcW w:w="1710" w:type="dxa"/>
            <w:tcBorders>
              <w:top w:val="nil"/>
              <w:left w:val="nil"/>
              <w:bottom w:val="single" w:sz="4" w:space="0" w:color="auto"/>
              <w:right w:val="single" w:sz="4" w:space="0" w:color="auto"/>
            </w:tcBorders>
            <w:shd w:val="clear" w:color="auto" w:fill="auto"/>
            <w:noWrap/>
            <w:vAlign w:val="center"/>
            <w:hideMark/>
          </w:tcPr>
          <w:p w14:paraId="519B1E27" w14:textId="77777777" w:rsidR="006E16AC" w:rsidRPr="008E63BB" w:rsidRDefault="006E16AC" w:rsidP="006E16AC">
            <w:pPr>
              <w:jc w:val="right"/>
              <w:rPr>
                <w:rFonts w:eastAsia="Times New Roman"/>
                <w:sz w:val="22"/>
              </w:rPr>
            </w:pPr>
            <w:r w:rsidRPr="008E63BB">
              <w:rPr>
                <w:rFonts w:eastAsia="Times New Roman"/>
                <w:sz w:val="22"/>
              </w:rPr>
              <w:t>15.667,1</w:t>
            </w:r>
          </w:p>
        </w:tc>
      </w:tr>
      <w:tr w:rsidR="006E16AC" w:rsidRPr="008E63BB" w14:paraId="519B1E2E"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29" w14:textId="77777777" w:rsidR="006E16AC" w:rsidRPr="008E63BB" w:rsidRDefault="006E16AC" w:rsidP="006E16AC">
            <w:pPr>
              <w:jc w:val="right"/>
              <w:rPr>
                <w:rFonts w:eastAsia="Times New Roman"/>
                <w:sz w:val="22"/>
              </w:rPr>
            </w:pPr>
            <w:r w:rsidRPr="008E63BB">
              <w:rPr>
                <w:rFonts w:eastAsia="Times New Roman"/>
                <w:sz w:val="22"/>
              </w:rPr>
              <w:t>15</w:t>
            </w:r>
          </w:p>
        </w:tc>
        <w:tc>
          <w:tcPr>
            <w:tcW w:w="3420" w:type="dxa"/>
            <w:tcBorders>
              <w:top w:val="nil"/>
              <w:left w:val="nil"/>
              <w:bottom w:val="single" w:sz="4" w:space="0" w:color="auto"/>
              <w:right w:val="single" w:sz="4" w:space="0" w:color="auto"/>
            </w:tcBorders>
            <w:shd w:val="clear" w:color="auto" w:fill="auto"/>
            <w:vAlign w:val="center"/>
            <w:hideMark/>
          </w:tcPr>
          <w:p w14:paraId="519B1E2A" w14:textId="77777777" w:rsidR="006E16AC" w:rsidRPr="008E63BB" w:rsidRDefault="006E16AC" w:rsidP="006E16AC">
            <w:pPr>
              <w:jc w:val="left"/>
              <w:rPr>
                <w:rFonts w:eastAsia="Times New Roman"/>
                <w:sz w:val="22"/>
              </w:rPr>
            </w:pPr>
            <w:r w:rsidRPr="008E63BB">
              <w:rPr>
                <w:rFonts w:eastAsia="Times New Roman"/>
                <w:sz w:val="22"/>
              </w:rPr>
              <w:t>P. Văn Miếu</w:t>
            </w:r>
          </w:p>
        </w:tc>
        <w:tc>
          <w:tcPr>
            <w:tcW w:w="1620" w:type="dxa"/>
            <w:tcBorders>
              <w:top w:val="nil"/>
              <w:left w:val="nil"/>
              <w:bottom w:val="single" w:sz="4" w:space="0" w:color="auto"/>
              <w:right w:val="single" w:sz="4" w:space="0" w:color="auto"/>
            </w:tcBorders>
            <w:shd w:val="clear" w:color="auto" w:fill="auto"/>
            <w:noWrap/>
            <w:vAlign w:val="center"/>
            <w:hideMark/>
          </w:tcPr>
          <w:p w14:paraId="519B1E2B" w14:textId="77777777" w:rsidR="006E16AC" w:rsidRPr="008E63BB" w:rsidRDefault="006E16AC" w:rsidP="006E16AC">
            <w:pPr>
              <w:jc w:val="right"/>
              <w:rPr>
                <w:rFonts w:eastAsia="Times New Roman"/>
                <w:sz w:val="22"/>
              </w:rPr>
            </w:pPr>
            <w:r w:rsidRPr="008E63BB">
              <w:rPr>
                <w:rFonts w:eastAsia="Times New Roman"/>
                <w:sz w:val="22"/>
              </w:rPr>
              <w:t>0,43</w:t>
            </w:r>
          </w:p>
        </w:tc>
        <w:tc>
          <w:tcPr>
            <w:tcW w:w="1710" w:type="dxa"/>
            <w:tcBorders>
              <w:top w:val="nil"/>
              <w:left w:val="nil"/>
              <w:bottom w:val="single" w:sz="4" w:space="0" w:color="auto"/>
              <w:right w:val="single" w:sz="4" w:space="0" w:color="auto"/>
            </w:tcBorders>
            <w:shd w:val="clear" w:color="auto" w:fill="auto"/>
            <w:noWrap/>
            <w:vAlign w:val="center"/>
            <w:hideMark/>
          </w:tcPr>
          <w:p w14:paraId="519B1E2C" w14:textId="77777777" w:rsidR="006E16AC" w:rsidRPr="008E63BB" w:rsidRDefault="006E16AC" w:rsidP="006E16AC">
            <w:pPr>
              <w:jc w:val="right"/>
              <w:rPr>
                <w:rFonts w:eastAsia="Times New Roman"/>
                <w:sz w:val="22"/>
              </w:rPr>
            </w:pPr>
            <w:r w:rsidRPr="008E63BB">
              <w:rPr>
                <w:rFonts w:eastAsia="Times New Roman"/>
                <w:sz w:val="22"/>
              </w:rPr>
              <w:t>12.389</w:t>
            </w:r>
          </w:p>
        </w:tc>
        <w:tc>
          <w:tcPr>
            <w:tcW w:w="1710" w:type="dxa"/>
            <w:tcBorders>
              <w:top w:val="nil"/>
              <w:left w:val="nil"/>
              <w:bottom w:val="single" w:sz="4" w:space="0" w:color="auto"/>
              <w:right w:val="single" w:sz="4" w:space="0" w:color="auto"/>
            </w:tcBorders>
            <w:shd w:val="clear" w:color="auto" w:fill="auto"/>
            <w:noWrap/>
            <w:vAlign w:val="center"/>
            <w:hideMark/>
          </w:tcPr>
          <w:p w14:paraId="519B1E2D" w14:textId="77777777" w:rsidR="006E16AC" w:rsidRPr="008E63BB" w:rsidRDefault="006E16AC" w:rsidP="006E16AC">
            <w:pPr>
              <w:jc w:val="right"/>
              <w:rPr>
                <w:rFonts w:eastAsia="Times New Roman"/>
                <w:sz w:val="22"/>
              </w:rPr>
            </w:pPr>
            <w:r w:rsidRPr="008E63BB">
              <w:rPr>
                <w:rFonts w:eastAsia="Times New Roman"/>
                <w:sz w:val="22"/>
              </w:rPr>
              <w:t>28.811,6</w:t>
            </w:r>
          </w:p>
        </w:tc>
      </w:tr>
      <w:tr w:rsidR="006E16AC" w:rsidRPr="008E63BB" w14:paraId="519B1E34"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2F" w14:textId="77777777" w:rsidR="006E16AC" w:rsidRPr="008E63BB" w:rsidRDefault="006E16AC" w:rsidP="006E16AC">
            <w:pPr>
              <w:jc w:val="right"/>
              <w:rPr>
                <w:rFonts w:eastAsia="Times New Roman"/>
                <w:sz w:val="22"/>
              </w:rPr>
            </w:pPr>
            <w:r w:rsidRPr="008E63BB">
              <w:rPr>
                <w:rFonts w:eastAsia="Times New Roman"/>
                <w:sz w:val="22"/>
              </w:rPr>
              <w:t>16</w:t>
            </w:r>
          </w:p>
        </w:tc>
        <w:tc>
          <w:tcPr>
            <w:tcW w:w="3420" w:type="dxa"/>
            <w:tcBorders>
              <w:top w:val="nil"/>
              <w:left w:val="nil"/>
              <w:bottom w:val="single" w:sz="4" w:space="0" w:color="auto"/>
              <w:right w:val="single" w:sz="4" w:space="0" w:color="auto"/>
            </w:tcBorders>
            <w:shd w:val="clear" w:color="auto" w:fill="auto"/>
            <w:vAlign w:val="center"/>
            <w:hideMark/>
          </w:tcPr>
          <w:p w14:paraId="519B1E30" w14:textId="77777777" w:rsidR="006E16AC" w:rsidRPr="008E63BB" w:rsidRDefault="006E16AC" w:rsidP="006E16AC">
            <w:pPr>
              <w:jc w:val="left"/>
              <w:rPr>
                <w:rFonts w:eastAsia="Times New Roman"/>
                <w:sz w:val="22"/>
              </w:rPr>
            </w:pPr>
            <w:r w:rsidRPr="008E63BB">
              <w:rPr>
                <w:rFonts w:eastAsia="Times New Roman"/>
                <w:sz w:val="22"/>
              </w:rPr>
              <w:t>P. Trần Quang Khải</w:t>
            </w:r>
          </w:p>
        </w:tc>
        <w:tc>
          <w:tcPr>
            <w:tcW w:w="1620" w:type="dxa"/>
            <w:tcBorders>
              <w:top w:val="nil"/>
              <w:left w:val="nil"/>
              <w:bottom w:val="single" w:sz="4" w:space="0" w:color="auto"/>
              <w:right w:val="single" w:sz="4" w:space="0" w:color="auto"/>
            </w:tcBorders>
            <w:shd w:val="clear" w:color="auto" w:fill="auto"/>
            <w:noWrap/>
            <w:vAlign w:val="center"/>
            <w:hideMark/>
          </w:tcPr>
          <w:p w14:paraId="519B1E31" w14:textId="77777777" w:rsidR="006E16AC" w:rsidRPr="008E63BB" w:rsidRDefault="006E16AC" w:rsidP="006E16AC">
            <w:pPr>
              <w:jc w:val="right"/>
              <w:rPr>
                <w:rFonts w:eastAsia="Times New Roman"/>
                <w:sz w:val="22"/>
              </w:rPr>
            </w:pPr>
            <w:r w:rsidRPr="008E63BB">
              <w:rPr>
                <w:rFonts w:eastAsia="Times New Roman"/>
                <w:sz w:val="22"/>
              </w:rPr>
              <w:t>0,91</w:t>
            </w:r>
          </w:p>
        </w:tc>
        <w:tc>
          <w:tcPr>
            <w:tcW w:w="1710" w:type="dxa"/>
            <w:tcBorders>
              <w:top w:val="nil"/>
              <w:left w:val="nil"/>
              <w:bottom w:val="single" w:sz="4" w:space="0" w:color="auto"/>
              <w:right w:val="single" w:sz="4" w:space="0" w:color="auto"/>
            </w:tcBorders>
            <w:shd w:val="clear" w:color="auto" w:fill="auto"/>
            <w:noWrap/>
            <w:vAlign w:val="center"/>
            <w:hideMark/>
          </w:tcPr>
          <w:p w14:paraId="519B1E32" w14:textId="77777777" w:rsidR="006E16AC" w:rsidRPr="008E63BB" w:rsidRDefault="006E16AC" w:rsidP="006E16AC">
            <w:pPr>
              <w:jc w:val="right"/>
              <w:rPr>
                <w:rFonts w:eastAsia="Times New Roman"/>
                <w:sz w:val="22"/>
              </w:rPr>
            </w:pPr>
            <w:r w:rsidRPr="008E63BB">
              <w:rPr>
                <w:rFonts w:eastAsia="Times New Roman"/>
                <w:sz w:val="22"/>
              </w:rPr>
              <w:t>9.174</w:t>
            </w:r>
          </w:p>
        </w:tc>
        <w:tc>
          <w:tcPr>
            <w:tcW w:w="1710" w:type="dxa"/>
            <w:tcBorders>
              <w:top w:val="nil"/>
              <w:left w:val="nil"/>
              <w:bottom w:val="single" w:sz="4" w:space="0" w:color="auto"/>
              <w:right w:val="single" w:sz="4" w:space="0" w:color="auto"/>
            </w:tcBorders>
            <w:shd w:val="clear" w:color="auto" w:fill="auto"/>
            <w:noWrap/>
            <w:vAlign w:val="center"/>
            <w:hideMark/>
          </w:tcPr>
          <w:p w14:paraId="519B1E33" w14:textId="77777777" w:rsidR="006E16AC" w:rsidRPr="008E63BB" w:rsidRDefault="006E16AC" w:rsidP="006E16AC">
            <w:pPr>
              <w:jc w:val="right"/>
              <w:rPr>
                <w:rFonts w:eastAsia="Times New Roman"/>
                <w:sz w:val="22"/>
              </w:rPr>
            </w:pPr>
            <w:r w:rsidRPr="008E63BB">
              <w:rPr>
                <w:rFonts w:eastAsia="Times New Roman"/>
                <w:sz w:val="22"/>
              </w:rPr>
              <w:t>10.081,3</w:t>
            </w:r>
          </w:p>
        </w:tc>
      </w:tr>
      <w:tr w:rsidR="006E16AC" w:rsidRPr="008E63BB" w14:paraId="519B1E3A"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35" w14:textId="77777777" w:rsidR="006E16AC" w:rsidRPr="008E63BB" w:rsidRDefault="006E16AC" w:rsidP="006E16AC">
            <w:pPr>
              <w:jc w:val="right"/>
              <w:rPr>
                <w:rFonts w:eastAsia="Times New Roman"/>
                <w:sz w:val="22"/>
              </w:rPr>
            </w:pPr>
            <w:r w:rsidRPr="008E63BB">
              <w:rPr>
                <w:rFonts w:eastAsia="Times New Roman"/>
                <w:sz w:val="22"/>
              </w:rPr>
              <w:t>17</w:t>
            </w:r>
          </w:p>
        </w:tc>
        <w:tc>
          <w:tcPr>
            <w:tcW w:w="3420" w:type="dxa"/>
            <w:tcBorders>
              <w:top w:val="nil"/>
              <w:left w:val="nil"/>
              <w:bottom w:val="single" w:sz="4" w:space="0" w:color="auto"/>
              <w:right w:val="single" w:sz="4" w:space="0" w:color="auto"/>
            </w:tcBorders>
            <w:shd w:val="clear" w:color="auto" w:fill="auto"/>
            <w:vAlign w:val="center"/>
            <w:hideMark/>
          </w:tcPr>
          <w:p w14:paraId="519B1E36" w14:textId="77777777" w:rsidR="006E16AC" w:rsidRPr="008E63BB" w:rsidRDefault="006E16AC" w:rsidP="006E16AC">
            <w:pPr>
              <w:jc w:val="left"/>
              <w:rPr>
                <w:rFonts w:eastAsia="Times New Roman"/>
                <w:sz w:val="22"/>
              </w:rPr>
            </w:pPr>
            <w:r w:rsidRPr="008E63BB">
              <w:rPr>
                <w:rFonts w:eastAsia="Times New Roman"/>
                <w:sz w:val="22"/>
              </w:rPr>
              <w:t>P. Thống Nhất</w:t>
            </w:r>
          </w:p>
        </w:tc>
        <w:tc>
          <w:tcPr>
            <w:tcW w:w="1620" w:type="dxa"/>
            <w:tcBorders>
              <w:top w:val="nil"/>
              <w:left w:val="nil"/>
              <w:bottom w:val="single" w:sz="4" w:space="0" w:color="auto"/>
              <w:right w:val="single" w:sz="4" w:space="0" w:color="auto"/>
            </w:tcBorders>
            <w:shd w:val="clear" w:color="auto" w:fill="auto"/>
            <w:noWrap/>
            <w:vAlign w:val="center"/>
            <w:hideMark/>
          </w:tcPr>
          <w:p w14:paraId="519B1E37" w14:textId="77777777" w:rsidR="006E16AC" w:rsidRPr="008E63BB" w:rsidRDefault="006E16AC" w:rsidP="006E16AC">
            <w:pPr>
              <w:jc w:val="right"/>
              <w:rPr>
                <w:rFonts w:eastAsia="Times New Roman"/>
                <w:sz w:val="22"/>
              </w:rPr>
            </w:pPr>
            <w:r w:rsidRPr="008E63BB">
              <w:rPr>
                <w:rFonts w:eastAsia="Times New Roman"/>
                <w:sz w:val="22"/>
              </w:rPr>
              <w:t>0,68</w:t>
            </w:r>
          </w:p>
        </w:tc>
        <w:tc>
          <w:tcPr>
            <w:tcW w:w="1710" w:type="dxa"/>
            <w:tcBorders>
              <w:top w:val="nil"/>
              <w:left w:val="nil"/>
              <w:bottom w:val="single" w:sz="4" w:space="0" w:color="auto"/>
              <w:right w:val="single" w:sz="4" w:space="0" w:color="auto"/>
            </w:tcBorders>
            <w:shd w:val="clear" w:color="auto" w:fill="auto"/>
            <w:noWrap/>
            <w:vAlign w:val="center"/>
            <w:hideMark/>
          </w:tcPr>
          <w:p w14:paraId="519B1E38" w14:textId="77777777" w:rsidR="006E16AC" w:rsidRPr="008E63BB" w:rsidRDefault="006E16AC" w:rsidP="006E16AC">
            <w:pPr>
              <w:jc w:val="right"/>
              <w:rPr>
                <w:rFonts w:eastAsia="Times New Roman"/>
                <w:sz w:val="22"/>
              </w:rPr>
            </w:pPr>
            <w:r w:rsidRPr="008E63BB">
              <w:rPr>
                <w:rFonts w:eastAsia="Times New Roman"/>
                <w:sz w:val="22"/>
              </w:rPr>
              <w:t>7.995</w:t>
            </w:r>
          </w:p>
        </w:tc>
        <w:tc>
          <w:tcPr>
            <w:tcW w:w="1710" w:type="dxa"/>
            <w:tcBorders>
              <w:top w:val="nil"/>
              <w:left w:val="nil"/>
              <w:bottom w:val="single" w:sz="4" w:space="0" w:color="auto"/>
              <w:right w:val="single" w:sz="4" w:space="0" w:color="auto"/>
            </w:tcBorders>
            <w:shd w:val="clear" w:color="auto" w:fill="auto"/>
            <w:noWrap/>
            <w:vAlign w:val="center"/>
            <w:hideMark/>
          </w:tcPr>
          <w:p w14:paraId="519B1E39" w14:textId="77777777" w:rsidR="006E16AC" w:rsidRPr="008E63BB" w:rsidRDefault="006E16AC" w:rsidP="006E16AC">
            <w:pPr>
              <w:jc w:val="right"/>
              <w:rPr>
                <w:rFonts w:eastAsia="Times New Roman"/>
                <w:sz w:val="22"/>
              </w:rPr>
            </w:pPr>
            <w:r w:rsidRPr="008E63BB">
              <w:rPr>
                <w:rFonts w:eastAsia="Times New Roman"/>
                <w:sz w:val="22"/>
              </w:rPr>
              <w:t>11.757,4</w:t>
            </w:r>
          </w:p>
        </w:tc>
      </w:tr>
      <w:tr w:rsidR="006E16AC" w:rsidRPr="008E63BB" w14:paraId="519B1E40"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3B" w14:textId="77777777" w:rsidR="006E16AC" w:rsidRPr="008E63BB" w:rsidRDefault="006E16AC" w:rsidP="006E16AC">
            <w:pPr>
              <w:jc w:val="right"/>
              <w:rPr>
                <w:rFonts w:eastAsia="Times New Roman"/>
                <w:sz w:val="22"/>
              </w:rPr>
            </w:pPr>
            <w:r w:rsidRPr="008E63BB">
              <w:rPr>
                <w:rFonts w:eastAsia="Times New Roman"/>
                <w:sz w:val="22"/>
              </w:rPr>
              <w:t>18</w:t>
            </w:r>
          </w:p>
        </w:tc>
        <w:tc>
          <w:tcPr>
            <w:tcW w:w="3420" w:type="dxa"/>
            <w:tcBorders>
              <w:top w:val="nil"/>
              <w:left w:val="nil"/>
              <w:bottom w:val="single" w:sz="4" w:space="0" w:color="auto"/>
              <w:right w:val="single" w:sz="4" w:space="0" w:color="auto"/>
            </w:tcBorders>
            <w:shd w:val="clear" w:color="auto" w:fill="auto"/>
            <w:vAlign w:val="center"/>
            <w:hideMark/>
          </w:tcPr>
          <w:p w14:paraId="519B1E3C" w14:textId="77777777" w:rsidR="006E16AC" w:rsidRPr="008E63BB" w:rsidRDefault="006E16AC" w:rsidP="006E16AC">
            <w:pPr>
              <w:jc w:val="left"/>
              <w:rPr>
                <w:rFonts w:eastAsia="Times New Roman"/>
                <w:sz w:val="22"/>
              </w:rPr>
            </w:pPr>
            <w:r w:rsidRPr="008E63BB">
              <w:rPr>
                <w:rFonts w:eastAsia="Times New Roman"/>
                <w:sz w:val="22"/>
              </w:rPr>
              <w:t>P. Lộc Hạ</w:t>
            </w:r>
          </w:p>
        </w:tc>
        <w:tc>
          <w:tcPr>
            <w:tcW w:w="1620" w:type="dxa"/>
            <w:tcBorders>
              <w:top w:val="nil"/>
              <w:left w:val="nil"/>
              <w:bottom w:val="single" w:sz="4" w:space="0" w:color="auto"/>
              <w:right w:val="single" w:sz="4" w:space="0" w:color="auto"/>
            </w:tcBorders>
            <w:shd w:val="clear" w:color="auto" w:fill="auto"/>
            <w:noWrap/>
            <w:vAlign w:val="center"/>
            <w:hideMark/>
          </w:tcPr>
          <w:p w14:paraId="519B1E3D" w14:textId="77777777" w:rsidR="006E16AC" w:rsidRPr="008E63BB" w:rsidRDefault="006E16AC" w:rsidP="006E16AC">
            <w:pPr>
              <w:jc w:val="right"/>
              <w:rPr>
                <w:rFonts w:eastAsia="Times New Roman"/>
                <w:sz w:val="22"/>
              </w:rPr>
            </w:pPr>
            <w:r w:rsidRPr="008E63BB">
              <w:rPr>
                <w:rFonts w:eastAsia="Times New Roman"/>
                <w:sz w:val="22"/>
              </w:rPr>
              <w:t>3,40</w:t>
            </w:r>
          </w:p>
        </w:tc>
        <w:tc>
          <w:tcPr>
            <w:tcW w:w="1710" w:type="dxa"/>
            <w:tcBorders>
              <w:top w:val="nil"/>
              <w:left w:val="nil"/>
              <w:bottom w:val="single" w:sz="4" w:space="0" w:color="auto"/>
              <w:right w:val="single" w:sz="4" w:space="0" w:color="auto"/>
            </w:tcBorders>
            <w:shd w:val="clear" w:color="auto" w:fill="auto"/>
            <w:noWrap/>
            <w:vAlign w:val="center"/>
            <w:hideMark/>
          </w:tcPr>
          <w:p w14:paraId="519B1E3E" w14:textId="77777777" w:rsidR="006E16AC" w:rsidRPr="008E63BB" w:rsidRDefault="006E16AC" w:rsidP="006E16AC">
            <w:pPr>
              <w:jc w:val="right"/>
              <w:rPr>
                <w:rFonts w:eastAsia="Times New Roman"/>
                <w:sz w:val="22"/>
              </w:rPr>
            </w:pPr>
            <w:r w:rsidRPr="008E63BB">
              <w:rPr>
                <w:rFonts w:eastAsia="Times New Roman"/>
                <w:sz w:val="22"/>
              </w:rPr>
              <w:t>11.481</w:t>
            </w:r>
          </w:p>
        </w:tc>
        <w:tc>
          <w:tcPr>
            <w:tcW w:w="1710" w:type="dxa"/>
            <w:tcBorders>
              <w:top w:val="nil"/>
              <w:left w:val="nil"/>
              <w:bottom w:val="single" w:sz="4" w:space="0" w:color="auto"/>
              <w:right w:val="single" w:sz="4" w:space="0" w:color="auto"/>
            </w:tcBorders>
            <w:shd w:val="clear" w:color="auto" w:fill="auto"/>
            <w:noWrap/>
            <w:vAlign w:val="center"/>
            <w:hideMark/>
          </w:tcPr>
          <w:p w14:paraId="519B1E3F" w14:textId="77777777" w:rsidR="006E16AC" w:rsidRPr="008E63BB" w:rsidRDefault="006E16AC" w:rsidP="006E16AC">
            <w:pPr>
              <w:jc w:val="right"/>
              <w:rPr>
                <w:rFonts w:eastAsia="Times New Roman"/>
                <w:sz w:val="22"/>
              </w:rPr>
            </w:pPr>
            <w:r w:rsidRPr="008E63BB">
              <w:rPr>
                <w:rFonts w:eastAsia="Times New Roman"/>
                <w:sz w:val="22"/>
              </w:rPr>
              <w:t>3.376,8</w:t>
            </w:r>
          </w:p>
        </w:tc>
      </w:tr>
      <w:tr w:rsidR="006E16AC" w:rsidRPr="008E63BB" w14:paraId="519B1E46"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41" w14:textId="77777777" w:rsidR="006E16AC" w:rsidRPr="008E63BB" w:rsidRDefault="006E16AC" w:rsidP="006E16AC">
            <w:pPr>
              <w:jc w:val="right"/>
              <w:rPr>
                <w:rFonts w:eastAsia="Times New Roman"/>
                <w:sz w:val="22"/>
              </w:rPr>
            </w:pPr>
            <w:r w:rsidRPr="008E63BB">
              <w:rPr>
                <w:rFonts w:eastAsia="Times New Roman"/>
                <w:sz w:val="22"/>
              </w:rPr>
              <w:t>19</w:t>
            </w:r>
          </w:p>
        </w:tc>
        <w:tc>
          <w:tcPr>
            <w:tcW w:w="3420" w:type="dxa"/>
            <w:tcBorders>
              <w:top w:val="nil"/>
              <w:left w:val="nil"/>
              <w:bottom w:val="single" w:sz="4" w:space="0" w:color="auto"/>
              <w:right w:val="single" w:sz="4" w:space="0" w:color="auto"/>
            </w:tcBorders>
            <w:shd w:val="clear" w:color="auto" w:fill="auto"/>
            <w:vAlign w:val="center"/>
            <w:hideMark/>
          </w:tcPr>
          <w:p w14:paraId="519B1E42" w14:textId="77777777" w:rsidR="006E16AC" w:rsidRPr="008E63BB" w:rsidRDefault="006E16AC" w:rsidP="006E16AC">
            <w:pPr>
              <w:jc w:val="left"/>
              <w:rPr>
                <w:rFonts w:eastAsia="Times New Roman"/>
                <w:sz w:val="22"/>
              </w:rPr>
            </w:pPr>
            <w:r w:rsidRPr="008E63BB">
              <w:rPr>
                <w:rFonts w:eastAsia="Times New Roman"/>
                <w:sz w:val="22"/>
              </w:rPr>
              <w:t>P. Lộc Vượng</w:t>
            </w:r>
          </w:p>
        </w:tc>
        <w:tc>
          <w:tcPr>
            <w:tcW w:w="1620" w:type="dxa"/>
            <w:tcBorders>
              <w:top w:val="nil"/>
              <w:left w:val="nil"/>
              <w:bottom w:val="single" w:sz="4" w:space="0" w:color="auto"/>
              <w:right w:val="single" w:sz="4" w:space="0" w:color="auto"/>
            </w:tcBorders>
            <w:shd w:val="clear" w:color="auto" w:fill="auto"/>
            <w:noWrap/>
            <w:vAlign w:val="center"/>
            <w:hideMark/>
          </w:tcPr>
          <w:p w14:paraId="519B1E43" w14:textId="77777777" w:rsidR="006E16AC" w:rsidRPr="008E63BB" w:rsidRDefault="006E16AC" w:rsidP="006E16AC">
            <w:pPr>
              <w:jc w:val="right"/>
              <w:rPr>
                <w:rFonts w:eastAsia="Times New Roman"/>
                <w:sz w:val="22"/>
              </w:rPr>
            </w:pPr>
            <w:r w:rsidRPr="008E63BB">
              <w:rPr>
                <w:rFonts w:eastAsia="Times New Roman"/>
                <w:sz w:val="22"/>
              </w:rPr>
              <w:t>4,47</w:t>
            </w:r>
          </w:p>
        </w:tc>
        <w:tc>
          <w:tcPr>
            <w:tcW w:w="1710" w:type="dxa"/>
            <w:tcBorders>
              <w:top w:val="nil"/>
              <w:left w:val="nil"/>
              <w:bottom w:val="single" w:sz="4" w:space="0" w:color="auto"/>
              <w:right w:val="single" w:sz="4" w:space="0" w:color="auto"/>
            </w:tcBorders>
            <w:shd w:val="clear" w:color="auto" w:fill="auto"/>
            <w:noWrap/>
            <w:vAlign w:val="center"/>
            <w:hideMark/>
          </w:tcPr>
          <w:p w14:paraId="519B1E44" w14:textId="77777777" w:rsidR="006E16AC" w:rsidRPr="008E63BB" w:rsidRDefault="006E16AC" w:rsidP="006E16AC">
            <w:pPr>
              <w:jc w:val="right"/>
              <w:rPr>
                <w:rFonts w:eastAsia="Times New Roman"/>
                <w:sz w:val="22"/>
              </w:rPr>
            </w:pPr>
            <w:r w:rsidRPr="008E63BB">
              <w:rPr>
                <w:rFonts w:eastAsia="Times New Roman"/>
                <w:sz w:val="22"/>
              </w:rPr>
              <w:t>12.192</w:t>
            </w:r>
          </w:p>
        </w:tc>
        <w:tc>
          <w:tcPr>
            <w:tcW w:w="1710" w:type="dxa"/>
            <w:tcBorders>
              <w:top w:val="nil"/>
              <w:left w:val="nil"/>
              <w:bottom w:val="single" w:sz="4" w:space="0" w:color="auto"/>
              <w:right w:val="single" w:sz="4" w:space="0" w:color="auto"/>
            </w:tcBorders>
            <w:shd w:val="clear" w:color="auto" w:fill="auto"/>
            <w:noWrap/>
            <w:vAlign w:val="center"/>
            <w:hideMark/>
          </w:tcPr>
          <w:p w14:paraId="519B1E45" w14:textId="77777777" w:rsidR="006E16AC" w:rsidRPr="008E63BB" w:rsidRDefault="006E16AC" w:rsidP="006E16AC">
            <w:pPr>
              <w:jc w:val="right"/>
              <w:rPr>
                <w:rFonts w:eastAsia="Times New Roman"/>
                <w:sz w:val="22"/>
              </w:rPr>
            </w:pPr>
            <w:r w:rsidRPr="008E63BB">
              <w:rPr>
                <w:rFonts w:eastAsia="Times New Roman"/>
                <w:sz w:val="22"/>
              </w:rPr>
              <w:t>2.727,5</w:t>
            </w:r>
          </w:p>
        </w:tc>
      </w:tr>
      <w:tr w:rsidR="006E16AC" w:rsidRPr="008E63BB" w14:paraId="519B1E4C"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47" w14:textId="77777777" w:rsidR="006E16AC" w:rsidRPr="008E63BB" w:rsidRDefault="006E16AC" w:rsidP="006E16AC">
            <w:pPr>
              <w:jc w:val="right"/>
              <w:rPr>
                <w:rFonts w:eastAsia="Times New Roman"/>
                <w:sz w:val="22"/>
              </w:rPr>
            </w:pPr>
            <w:r w:rsidRPr="008E63BB">
              <w:rPr>
                <w:rFonts w:eastAsia="Times New Roman"/>
                <w:sz w:val="22"/>
              </w:rPr>
              <w:lastRenderedPageBreak/>
              <w:t>20</w:t>
            </w:r>
          </w:p>
        </w:tc>
        <w:tc>
          <w:tcPr>
            <w:tcW w:w="3420" w:type="dxa"/>
            <w:tcBorders>
              <w:top w:val="nil"/>
              <w:left w:val="nil"/>
              <w:bottom w:val="single" w:sz="4" w:space="0" w:color="auto"/>
              <w:right w:val="single" w:sz="4" w:space="0" w:color="auto"/>
            </w:tcBorders>
            <w:shd w:val="clear" w:color="auto" w:fill="auto"/>
            <w:vAlign w:val="center"/>
            <w:hideMark/>
          </w:tcPr>
          <w:p w14:paraId="519B1E48" w14:textId="77777777" w:rsidR="006E16AC" w:rsidRPr="008E63BB" w:rsidRDefault="006E16AC" w:rsidP="006E16AC">
            <w:pPr>
              <w:jc w:val="left"/>
              <w:rPr>
                <w:rFonts w:eastAsia="Times New Roman"/>
                <w:sz w:val="22"/>
              </w:rPr>
            </w:pPr>
            <w:r w:rsidRPr="008E63BB">
              <w:rPr>
                <w:rFonts w:eastAsia="Times New Roman"/>
                <w:sz w:val="22"/>
              </w:rPr>
              <w:t>P.Cửa Nam</w:t>
            </w:r>
          </w:p>
        </w:tc>
        <w:tc>
          <w:tcPr>
            <w:tcW w:w="1620" w:type="dxa"/>
            <w:tcBorders>
              <w:top w:val="nil"/>
              <w:left w:val="nil"/>
              <w:bottom w:val="single" w:sz="4" w:space="0" w:color="auto"/>
              <w:right w:val="single" w:sz="4" w:space="0" w:color="auto"/>
            </w:tcBorders>
            <w:shd w:val="clear" w:color="auto" w:fill="auto"/>
            <w:noWrap/>
            <w:vAlign w:val="center"/>
            <w:hideMark/>
          </w:tcPr>
          <w:p w14:paraId="519B1E49" w14:textId="77777777" w:rsidR="006E16AC" w:rsidRPr="008E63BB" w:rsidRDefault="006E16AC" w:rsidP="006E16AC">
            <w:pPr>
              <w:jc w:val="right"/>
              <w:rPr>
                <w:rFonts w:eastAsia="Times New Roman"/>
                <w:sz w:val="22"/>
              </w:rPr>
            </w:pPr>
            <w:r w:rsidRPr="008E63BB">
              <w:rPr>
                <w:rFonts w:eastAsia="Times New Roman"/>
                <w:sz w:val="22"/>
              </w:rPr>
              <w:t>1,41</w:t>
            </w:r>
          </w:p>
        </w:tc>
        <w:tc>
          <w:tcPr>
            <w:tcW w:w="1710" w:type="dxa"/>
            <w:tcBorders>
              <w:top w:val="nil"/>
              <w:left w:val="nil"/>
              <w:bottom w:val="single" w:sz="4" w:space="0" w:color="auto"/>
              <w:right w:val="single" w:sz="4" w:space="0" w:color="auto"/>
            </w:tcBorders>
            <w:shd w:val="clear" w:color="auto" w:fill="auto"/>
            <w:noWrap/>
            <w:vAlign w:val="center"/>
            <w:hideMark/>
          </w:tcPr>
          <w:p w14:paraId="519B1E4A" w14:textId="77777777" w:rsidR="006E16AC" w:rsidRPr="008E63BB" w:rsidRDefault="006E16AC" w:rsidP="006E16AC">
            <w:pPr>
              <w:jc w:val="right"/>
              <w:rPr>
                <w:rFonts w:eastAsia="Times New Roman"/>
                <w:sz w:val="22"/>
              </w:rPr>
            </w:pPr>
            <w:r w:rsidRPr="008E63BB">
              <w:rPr>
                <w:rFonts w:eastAsia="Times New Roman"/>
                <w:sz w:val="22"/>
              </w:rPr>
              <w:t>6.553</w:t>
            </w:r>
          </w:p>
        </w:tc>
        <w:tc>
          <w:tcPr>
            <w:tcW w:w="1710" w:type="dxa"/>
            <w:tcBorders>
              <w:top w:val="nil"/>
              <w:left w:val="nil"/>
              <w:bottom w:val="single" w:sz="4" w:space="0" w:color="auto"/>
              <w:right w:val="single" w:sz="4" w:space="0" w:color="auto"/>
            </w:tcBorders>
            <w:shd w:val="clear" w:color="auto" w:fill="auto"/>
            <w:noWrap/>
            <w:vAlign w:val="center"/>
            <w:hideMark/>
          </w:tcPr>
          <w:p w14:paraId="519B1E4B" w14:textId="77777777" w:rsidR="006E16AC" w:rsidRPr="008E63BB" w:rsidRDefault="006E16AC" w:rsidP="006E16AC">
            <w:pPr>
              <w:jc w:val="right"/>
              <w:rPr>
                <w:rFonts w:eastAsia="Times New Roman"/>
                <w:sz w:val="22"/>
              </w:rPr>
            </w:pPr>
            <w:r w:rsidRPr="008E63BB">
              <w:rPr>
                <w:rFonts w:eastAsia="Times New Roman"/>
                <w:sz w:val="22"/>
              </w:rPr>
              <w:t>4.647,5</w:t>
            </w:r>
          </w:p>
        </w:tc>
      </w:tr>
      <w:tr w:rsidR="006E16AC" w:rsidRPr="008E63BB" w14:paraId="519B1E52"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4D" w14:textId="77777777" w:rsidR="006E16AC" w:rsidRPr="008E63BB" w:rsidRDefault="006E16AC" w:rsidP="006E16AC">
            <w:pPr>
              <w:jc w:val="right"/>
              <w:rPr>
                <w:rFonts w:eastAsia="Times New Roman"/>
                <w:sz w:val="22"/>
              </w:rPr>
            </w:pPr>
            <w:r w:rsidRPr="008E63BB">
              <w:rPr>
                <w:rFonts w:eastAsia="Times New Roman"/>
                <w:sz w:val="22"/>
              </w:rPr>
              <w:t>21</w:t>
            </w:r>
          </w:p>
        </w:tc>
        <w:tc>
          <w:tcPr>
            <w:tcW w:w="3420" w:type="dxa"/>
            <w:tcBorders>
              <w:top w:val="nil"/>
              <w:left w:val="nil"/>
              <w:bottom w:val="single" w:sz="4" w:space="0" w:color="auto"/>
              <w:right w:val="single" w:sz="4" w:space="0" w:color="auto"/>
            </w:tcBorders>
            <w:shd w:val="clear" w:color="auto" w:fill="auto"/>
            <w:noWrap/>
            <w:vAlign w:val="center"/>
            <w:hideMark/>
          </w:tcPr>
          <w:p w14:paraId="519B1E4E" w14:textId="77777777" w:rsidR="006E16AC" w:rsidRPr="008E63BB" w:rsidRDefault="006E16AC" w:rsidP="006E16AC">
            <w:pPr>
              <w:jc w:val="left"/>
              <w:rPr>
                <w:rFonts w:eastAsia="Times New Roman"/>
                <w:sz w:val="22"/>
              </w:rPr>
            </w:pPr>
            <w:r w:rsidRPr="008E63BB">
              <w:rPr>
                <w:rFonts w:eastAsia="Times New Roman"/>
                <w:sz w:val="22"/>
              </w:rPr>
              <w:t>P. Lộc Hòa (</w:t>
            </w:r>
            <w:r w:rsidRPr="008E63BB">
              <w:rPr>
                <w:sz w:val="22"/>
              </w:rPr>
              <w:t>theo Nghị Quyết số 721/NQ-UBTVQH14 ngày 16/7/2019- lên phường)*</w:t>
            </w:r>
          </w:p>
        </w:tc>
        <w:tc>
          <w:tcPr>
            <w:tcW w:w="1620" w:type="dxa"/>
            <w:tcBorders>
              <w:top w:val="nil"/>
              <w:left w:val="nil"/>
              <w:bottom w:val="single" w:sz="4" w:space="0" w:color="auto"/>
              <w:right w:val="single" w:sz="4" w:space="0" w:color="auto"/>
            </w:tcBorders>
            <w:shd w:val="clear" w:color="auto" w:fill="auto"/>
            <w:noWrap/>
            <w:vAlign w:val="center"/>
            <w:hideMark/>
          </w:tcPr>
          <w:p w14:paraId="519B1E4F" w14:textId="77777777" w:rsidR="006E16AC" w:rsidRPr="008E63BB" w:rsidRDefault="006E16AC" w:rsidP="006E16AC">
            <w:pPr>
              <w:jc w:val="right"/>
              <w:rPr>
                <w:rFonts w:eastAsia="Times New Roman"/>
                <w:sz w:val="22"/>
              </w:rPr>
            </w:pPr>
            <w:r w:rsidRPr="008E63BB">
              <w:rPr>
                <w:rFonts w:eastAsia="Times New Roman"/>
                <w:sz w:val="22"/>
              </w:rPr>
              <w:t>6,43</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14:paraId="519B1E50" w14:textId="77777777" w:rsidR="006E16AC" w:rsidRPr="008E63BB" w:rsidRDefault="006E16AC" w:rsidP="006E16AC">
            <w:pPr>
              <w:jc w:val="right"/>
              <w:rPr>
                <w:rFonts w:eastAsia="Times New Roman"/>
                <w:sz w:val="22"/>
              </w:rPr>
            </w:pPr>
            <w:r w:rsidRPr="008E63BB">
              <w:rPr>
                <w:rFonts w:eastAsia="Times New Roman"/>
                <w:sz w:val="22"/>
              </w:rPr>
              <w:t>9.681</w:t>
            </w:r>
          </w:p>
        </w:tc>
        <w:tc>
          <w:tcPr>
            <w:tcW w:w="1710" w:type="dxa"/>
            <w:tcBorders>
              <w:top w:val="nil"/>
              <w:left w:val="nil"/>
              <w:bottom w:val="single" w:sz="4" w:space="0" w:color="auto"/>
              <w:right w:val="single" w:sz="4" w:space="0" w:color="auto"/>
            </w:tcBorders>
            <w:shd w:val="clear" w:color="auto" w:fill="auto"/>
            <w:noWrap/>
            <w:vAlign w:val="center"/>
            <w:hideMark/>
          </w:tcPr>
          <w:p w14:paraId="519B1E51" w14:textId="77777777" w:rsidR="006E16AC" w:rsidRPr="008E63BB" w:rsidRDefault="006E16AC" w:rsidP="006E16AC">
            <w:pPr>
              <w:jc w:val="right"/>
              <w:rPr>
                <w:rFonts w:eastAsia="Times New Roman"/>
                <w:sz w:val="22"/>
              </w:rPr>
            </w:pPr>
            <w:r w:rsidRPr="008E63BB">
              <w:rPr>
                <w:rFonts w:eastAsia="Times New Roman"/>
                <w:sz w:val="22"/>
              </w:rPr>
              <w:t>1.505,6</w:t>
            </w:r>
          </w:p>
        </w:tc>
      </w:tr>
      <w:tr w:rsidR="006E16AC" w:rsidRPr="008E63BB" w14:paraId="519B1E58"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53" w14:textId="77777777" w:rsidR="006E16AC" w:rsidRPr="008E63BB" w:rsidRDefault="006E16AC" w:rsidP="006E16AC">
            <w:pPr>
              <w:jc w:val="right"/>
              <w:rPr>
                <w:rFonts w:eastAsia="Times New Roman"/>
                <w:sz w:val="22"/>
              </w:rPr>
            </w:pPr>
            <w:r w:rsidRPr="008E63BB">
              <w:rPr>
                <w:rFonts w:eastAsia="Times New Roman"/>
                <w:sz w:val="22"/>
              </w:rPr>
              <w:t>22</w:t>
            </w:r>
          </w:p>
        </w:tc>
        <w:tc>
          <w:tcPr>
            <w:tcW w:w="3420" w:type="dxa"/>
            <w:tcBorders>
              <w:top w:val="nil"/>
              <w:left w:val="nil"/>
              <w:bottom w:val="single" w:sz="4" w:space="0" w:color="auto"/>
              <w:right w:val="single" w:sz="4" w:space="0" w:color="auto"/>
            </w:tcBorders>
            <w:shd w:val="clear" w:color="auto" w:fill="auto"/>
            <w:noWrap/>
            <w:vAlign w:val="center"/>
            <w:hideMark/>
          </w:tcPr>
          <w:p w14:paraId="519B1E54" w14:textId="77777777" w:rsidR="006E16AC" w:rsidRPr="008E63BB" w:rsidRDefault="006E16AC" w:rsidP="006E16AC">
            <w:pPr>
              <w:jc w:val="left"/>
              <w:rPr>
                <w:rFonts w:eastAsia="Times New Roman"/>
                <w:sz w:val="22"/>
              </w:rPr>
            </w:pPr>
            <w:r w:rsidRPr="008E63BB">
              <w:rPr>
                <w:rFonts w:eastAsia="Times New Roman"/>
                <w:sz w:val="22"/>
              </w:rPr>
              <w:t>P. Mỹ Xá (</w:t>
            </w:r>
            <w:r w:rsidRPr="008E63BB">
              <w:rPr>
                <w:sz w:val="22"/>
              </w:rPr>
              <w:t>theo Nghị Quyết số 721/NQ-UBTVQH14 ngày 16/7/2019- lên phường)*</w:t>
            </w:r>
          </w:p>
        </w:tc>
        <w:tc>
          <w:tcPr>
            <w:tcW w:w="1620" w:type="dxa"/>
            <w:tcBorders>
              <w:top w:val="nil"/>
              <w:left w:val="nil"/>
              <w:bottom w:val="single" w:sz="4" w:space="0" w:color="auto"/>
              <w:right w:val="single" w:sz="4" w:space="0" w:color="auto"/>
            </w:tcBorders>
            <w:shd w:val="clear" w:color="auto" w:fill="auto"/>
            <w:noWrap/>
            <w:vAlign w:val="center"/>
            <w:hideMark/>
          </w:tcPr>
          <w:p w14:paraId="519B1E55" w14:textId="77777777" w:rsidR="006E16AC" w:rsidRPr="008E63BB" w:rsidRDefault="006E16AC" w:rsidP="006E16AC">
            <w:pPr>
              <w:jc w:val="right"/>
              <w:rPr>
                <w:rFonts w:eastAsia="Times New Roman"/>
                <w:sz w:val="22"/>
              </w:rPr>
            </w:pPr>
            <w:r w:rsidRPr="008E63BB">
              <w:rPr>
                <w:rFonts w:eastAsia="Times New Roman"/>
                <w:sz w:val="22"/>
              </w:rPr>
              <w:t>6,22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14:paraId="519B1E56" w14:textId="77777777" w:rsidR="006E16AC" w:rsidRPr="008E63BB" w:rsidRDefault="006E16AC" w:rsidP="006E16AC">
            <w:pPr>
              <w:jc w:val="right"/>
              <w:rPr>
                <w:rFonts w:eastAsia="Times New Roman"/>
                <w:sz w:val="22"/>
              </w:rPr>
            </w:pPr>
            <w:r w:rsidRPr="008E63BB">
              <w:rPr>
                <w:rFonts w:eastAsia="Times New Roman"/>
                <w:sz w:val="22"/>
              </w:rPr>
              <w:t>18.644</w:t>
            </w:r>
          </w:p>
        </w:tc>
        <w:tc>
          <w:tcPr>
            <w:tcW w:w="1710" w:type="dxa"/>
            <w:tcBorders>
              <w:top w:val="nil"/>
              <w:left w:val="nil"/>
              <w:bottom w:val="single" w:sz="4" w:space="0" w:color="auto"/>
              <w:right w:val="single" w:sz="4" w:space="0" w:color="auto"/>
            </w:tcBorders>
            <w:shd w:val="clear" w:color="auto" w:fill="auto"/>
            <w:noWrap/>
            <w:vAlign w:val="center"/>
            <w:hideMark/>
          </w:tcPr>
          <w:p w14:paraId="519B1E57" w14:textId="77777777" w:rsidR="006E16AC" w:rsidRPr="008E63BB" w:rsidRDefault="006E16AC" w:rsidP="006E16AC">
            <w:pPr>
              <w:jc w:val="right"/>
              <w:rPr>
                <w:rFonts w:eastAsia="Times New Roman"/>
                <w:sz w:val="22"/>
              </w:rPr>
            </w:pPr>
            <w:r w:rsidRPr="008E63BB">
              <w:rPr>
                <w:rFonts w:eastAsia="Times New Roman"/>
                <w:sz w:val="22"/>
              </w:rPr>
              <w:t>2.997,4</w:t>
            </w:r>
          </w:p>
        </w:tc>
      </w:tr>
      <w:tr w:rsidR="006E16AC" w:rsidRPr="008E63BB" w14:paraId="519B1E5E"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000000" w:fill="C6E0B4"/>
            <w:noWrap/>
            <w:vAlign w:val="center"/>
            <w:hideMark/>
          </w:tcPr>
          <w:p w14:paraId="519B1E59" w14:textId="77777777" w:rsidR="006E16AC" w:rsidRPr="008E63BB" w:rsidRDefault="006E16AC" w:rsidP="006E16AC">
            <w:pPr>
              <w:jc w:val="left"/>
              <w:rPr>
                <w:rFonts w:eastAsia="Times New Roman"/>
                <w:b/>
                <w:bCs/>
                <w:sz w:val="22"/>
              </w:rPr>
            </w:pPr>
            <w:r w:rsidRPr="008E63BB">
              <w:rPr>
                <w:rFonts w:eastAsia="Times New Roman"/>
                <w:b/>
                <w:bCs/>
                <w:sz w:val="22"/>
              </w:rPr>
              <w:t>II</w:t>
            </w:r>
          </w:p>
        </w:tc>
        <w:tc>
          <w:tcPr>
            <w:tcW w:w="3420" w:type="dxa"/>
            <w:tcBorders>
              <w:top w:val="nil"/>
              <w:left w:val="nil"/>
              <w:bottom w:val="single" w:sz="4" w:space="0" w:color="auto"/>
              <w:right w:val="single" w:sz="4" w:space="0" w:color="auto"/>
            </w:tcBorders>
            <w:shd w:val="clear" w:color="000000" w:fill="C6E0B4"/>
            <w:vAlign w:val="center"/>
            <w:hideMark/>
          </w:tcPr>
          <w:p w14:paraId="519B1E5A" w14:textId="77777777" w:rsidR="006E16AC" w:rsidRPr="008E63BB" w:rsidRDefault="006E16AC" w:rsidP="006E16AC">
            <w:pPr>
              <w:jc w:val="left"/>
              <w:rPr>
                <w:rFonts w:eastAsia="Times New Roman"/>
                <w:b/>
                <w:bCs/>
                <w:sz w:val="22"/>
              </w:rPr>
            </w:pPr>
            <w:r w:rsidRPr="008E63BB">
              <w:rPr>
                <w:rFonts w:eastAsia="Times New Roman"/>
                <w:b/>
                <w:bCs/>
                <w:sz w:val="22"/>
              </w:rPr>
              <w:t>Ngoại thành</w:t>
            </w:r>
          </w:p>
        </w:tc>
        <w:tc>
          <w:tcPr>
            <w:tcW w:w="1620" w:type="dxa"/>
            <w:tcBorders>
              <w:top w:val="nil"/>
              <w:left w:val="nil"/>
              <w:bottom w:val="single" w:sz="4" w:space="0" w:color="auto"/>
              <w:right w:val="single" w:sz="4" w:space="0" w:color="auto"/>
            </w:tcBorders>
            <w:shd w:val="clear" w:color="000000" w:fill="C6E0B4"/>
            <w:noWrap/>
            <w:vAlign w:val="center"/>
            <w:hideMark/>
          </w:tcPr>
          <w:p w14:paraId="519B1E5B" w14:textId="77777777" w:rsidR="006E16AC" w:rsidRPr="008E63BB" w:rsidRDefault="006E16AC" w:rsidP="006E16AC">
            <w:pPr>
              <w:jc w:val="right"/>
              <w:rPr>
                <w:rFonts w:eastAsia="Times New Roman"/>
                <w:b/>
                <w:bCs/>
                <w:sz w:val="22"/>
              </w:rPr>
            </w:pPr>
            <w:r w:rsidRPr="008E63BB">
              <w:rPr>
                <w:rFonts w:eastAsia="Times New Roman"/>
                <w:b/>
                <w:bCs/>
                <w:sz w:val="22"/>
              </w:rPr>
              <w:t>15,53</w:t>
            </w:r>
          </w:p>
        </w:tc>
        <w:tc>
          <w:tcPr>
            <w:tcW w:w="1710" w:type="dxa"/>
            <w:tcBorders>
              <w:top w:val="nil"/>
              <w:left w:val="nil"/>
              <w:bottom w:val="single" w:sz="4" w:space="0" w:color="auto"/>
              <w:right w:val="single" w:sz="4" w:space="0" w:color="auto"/>
            </w:tcBorders>
            <w:shd w:val="clear" w:color="000000" w:fill="C6E0B4"/>
            <w:noWrap/>
            <w:vAlign w:val="center"/>
            <w:hideMark/>
          </w:tcPr>
          <w:p w14:paraId="519B1E5C" w14:textId="77777777" w:rsidR="006E16AC" w:rsidRPr="008E63BB" w:rsidRDefault="006E16AC" w:rsidP="006E16AC">
            <w:pPr>
              <w:jc w:val="right"/>
              <w:rPr>
                <w:rFonts w:eastAsia="Times New Roman"/>
                <w:b/>
                <w:bCs/>
                <w:sz w:val="22"/>
              </w:rPr>
            </w:pPr>
            <w:r w:rsidRPr="008E63BB">
              <w:rPr>
                <w:rFonts w:eastAsia="Times New Roman"/>
                <w:b/>
                <w:bCs/>
                <w:sz w:val="22"/>
              </w:rPr>
              <w:t>22.663</w:t>
            </w:r>
          </w:p>
        </w:tc>
        <w:tc>
          <w:tcPr>
            <w:tcW w:w="1710" w:type="dxa"/>
            <w:tcBorders>
              <w:top w:val="nil"/>
              <w:left w:val="nil"/>
              <w:bottom w:val="single" w:sz="4" w:space="0" w:color="auto"/>
              <w:right w:val="single" w:sz="4" w:space="0" w:color="auto"/>
            </w:tcBorders>
            <w:shd w:val="clear" w:color="000000" w:fill="C6E0B4"/>
            <w:noWrap/>
            <w:vAlign w:val="center"/>
            <w:hideMark/>
          </w:tcPr>
          <w:p w14:paraId="519B1E5D" w14:textId="77777777" w:rsidR="006E16AC" w:rsidRPr="008E63BB" w:rsidRDefault="006E16AC" w:rsidP="006E16AC">
            <w:pPr>
              <w:jc w:val="right"/>
              <w:rPr>
                <w:rFonts w:eastAsia="Times New Roman"/>
                <w:b/>
                <w:bCs/>
                <w:sz w:val="22"/>
              </w:rPr>
            </w:pPr>
            <w:r w:rsidRPr="008E63BB">
              <w:rPr>
                <w:rFonts w:eastAsia="Times New Roman"/>
                <w:b/>
                <w:bCs/>
                <w:sz w:val="22"/>
              </w:rPr>
              <w:t>1.459,3</w:t>
            </w:r>
          </w:p>
        </w:tc>
      </w:tr>
      <w:tr w:rsidR="006E16AC" w:rsidRPr="008E63BB" w14:paraId="519B1E64"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5F" w14:textId="77777777" w:rsidR="006E16AC" w:rsidRPr="008E63BB" w:rsidRDefault="006E16AC" w:rsidP="006E16AC">
            <w:pPr>
              <w:jc w:val="right"/>
              <w:rPr>
                <w:rFonts w:eastAsia="Times New Roman"/>
                <w:sz w:val="22"/>
              </w:rPr>
            </w:pPr>
            <w:r w:rsidRPr="008E63BB">
              <w:rPr>
                <w:rFonts w:eastAsia="Times New Roman"/>
                <w:sz w:val="22"/>
              </w:rPr>
              <w:t>1</w:t>
            </w:r>
          </w:p>
        </w:tc>
        <w:tc>
          <w:tcPr>
            <w:tcW w:w="3420" w:type="dxa"/>
            <w:tcBorders>
              <w:top w:val="nil"/>
              <w:left w:val="nil"/>
              <w:bottom w:val="single" w:sz="4" w:space="0" w:color="auto"/>
              <w:right w:val="single" w:sz="4" w:space="0" w:color="auto"/>
            </w:tcBorders>
            <w:shd w:val="clear" w:color="auto" w:fill="auto"/>
            <w:noWrap/>
            <w:vAlign w:val="center"/>
            <w:hideMark/>
          </w:tcPr>
          <w:p w14:paraId="519B1E60" w14:textId="77777777" w:rsidR="006E16AC" w:rsidRPr="008E63BB" w:rsidRDefault="006E16AC" w:rsidP="006E16AC">
            <w:pPr>
              <w:jc w:val="left"/>
              <w:rPr>
                <w:rFonts w:eastAsia="Times New Roman"/>
                <w:sz w:val="22"/>
              </w:rPr>
            </w:pPr>
            <w:r w:rsidRPr="008E63BB">
              <w:rPr>
                <w:rFonts w:eastAsia="Times New Roman"/>
                <w:sz w:val="22"/>
              </w:rPr>
              <w:t>X. Nam Phong</w:t>
            </w:r>
          </w:p>
        </w:tc>
        <w:tc>
          <w:tcPr>
            <w:tcW w:w="1620" w:type="dxa"/>
            <w:tcBorders>
              <w:top w:val="nil"/>
              <w:left w:val="nil"/>
              <w:bottom w:val="single" w:sz="4" w:space="0" w:color="auto"/>
              <w:right w:val="single" w:sz="4" w:space="0" w:color="auto"/>
            </w:tcBorders>
            <w:shd w:val="clear" w:color="auto" w:fill="auto"/>
            <w:noWrap/>
            <w:vAlign w:val="center"/>
            <w:hideMark/>
          </w:tcPr>
          <w:p w14:paraId="519B1E61" w14:textId="77777777" w:rsidR="006E16AC" w:rsidRPr="008E63BB" w:rsidRDefault="006E16AC" w:rsidP="006E16AC">
            <w:pPr>
              <w:jc w:val="right"/>
              <w:rPr>
                <w:rFonts w:eastAsia="Times New Roman"/>
                <w:sz w:val="22"/>
              </w:rPr>
            </w:pPr>
            <w:r w:rsidRPr="008E63BB">
              <w:rPr>
                <w:rFonts w:eastAsia="Times New Roman"/>
                <w:sz w:val="22"/>
              </w:rPr>
              <w:t>6,58</w:t>
            </w:r>
          </w:p>
        </w:tc>
        <w:tc>
          <w:tcPr>
            <w:tcW w:w="1710" w:type="dxa"/>
            <w:tcBorders>
              <w:top w:val="nil"/>
              <w:left w:val="nil"/>
              <w:bottom w:val="single" w:sz="4" w:space="0" w:color="auto"/>
              <w:right w:val="single" w:sz="4" w:space="0" w:color="auto"/>
            </w:tcBorders>
            <w:shd w:val="clear" w:color="auto" w:fill="auto"/>
            <w:noWrap/>
            <w:vAlign w:val="center"/>
            <w:hideMark/>
          </w:tcPr>
          <w:p w14:paraId="519B1E62" w14:textId="77777777" w:rsidR="006E16AC" w:rsidRPr="008E63BB" w:rsidRDefault="006E16AC" w:rsidP="006E16AC">
            <w:pPr>
              <w:jc w:val="right"/>
              <w:rPr>
                <w:rFonts w:eastAsia="Times New Roman"/>
                <w:sz w:val="22"/>
              </w:rPr>
            </w:pPr>
            <w:r w:rsidRPr="008E63BB">
              <w:rPr>
                <w:rFonts w:eastAsia="Times New Roman"/>
                <w:sz w:val="22"/>
              </w:rPr>
              <w:t>8.605</w:t>
            </w:r>
          </w:p>
        </w:tc>
        <w:tc>
          <w:tcPr>
            <w:tcW w:w="1710" w:type="dxa"/>
            <w:tcBorders>
              <w:top w:val="nil"/>
              <w:left w:val="nil"/>
              <w:bottom w:val="single" w:sz="4" w:space="0" w:color="auto"/>
              <w:right w:val="single" w:sz="4" w:space="0" w:color="auto"/>
            </w:tcBorders>
            <w:shd w:val="clear" w:color="auto" w:fill="auto"/>
            <w:noWrap/>
            <w:vAlign w:val="center"/>
            <w:hideMark/>
          </w:tcPr>
          <w:p w14:paraId="519B1E63" w14:textId="77777777" w:rsidR="006E16AC" w:rsidRPr="008E63BB" w:rsidRDefault="006E16AC" w:rsidP="006E16AC">
            <w:pPr>
              <w:jc w:val="right"/>
              <w:rPr>
                <w:rFonts w:eastAsia="Times New Roman"/>
                <w:sz w:val="22"/>
              </w:rPr>
            </w:pPr>
            <w:r w:rsidRPr="008E63BB">
              <w:rPr>
                <w:rFonts w:eastAsia="Times New Roman"/>
                <w:sz w:val="22"/>
              </w:rPr>
              <w:t>1.307,8</w:t>
            </w:r>
          </w:p>
        </w:tc>
      </w:tr>
      <w:tr w:rsidR="006E16AC" w:rsidRPr="008E63BB" w14:paraId="519B1E6A"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tcPr>
          <w:p w14:paraId="519B1E65" w14:textId="77777777" w:rsidR="006E16AC" w:rsidRPr="008E63BB" w:rsidRDefault="006E16AC" w:rsidP="006E16AC">
            <w:pPr>
              <w:jc w:val="right"/>
              <w:rPr>
                <w:rFonts w:eastAsia="Times New Roman"/>
                <w:sz w:val="22"/>
              </w:rPr>
            </w:pPr>
            <w:r w:rsidRPr="008E63BB">
              <w:rPr>
                <w:rFonts w:eastAsia="Times New Roman"/>
                <w:sz w:val="22"/>
              </w:rPr>
              <w:t>2</w:t>
            </w:r>
          </w:p>
        </w:tc>
        <w:tc>
          <w:tcPr>
            <w:tcW w:w="3420" w:type="dxa"/>
            <w:tcBorders>
              <w:top w:val="nil"/>
              <w:left w:val="nil"/>
              <w:bottom w:val="single" w:sz="4" w:space="0" w:color="auto"/>
              <w:right w:val="single" w:sz="4" w:space="0" w:color="auto"/>
            </w:tcBorders>
            <w:shd w:val="clear" w:color="auto" w:fill="auto"/>
            <w:noWrap/>
            <w:vAlign w:val="center"/>
            <w:hideMark/>
          </w:tcPr>
          <w:p w14:paraId="519B1E66" w14:textId="77777777" w:rsidR="006E16AC" w:rsidRPr="008E63BB" w:rsidRDefault="006E16AC" w:rsidP="006E16AC">
            <w:pPr>
              <w:jc w:val="left"/>
              <w:rPr>
                <w:rFonts w:eastAsia="Times New Roman"/>
                <w:sz w:val="22"/>
              </w:rPr>
            </w:pPr>
            <w:r w:rsidRPr="008E63BB">
              <w:rPr>
                <w:rFonts w:eastAsia="Times New Roman"/>
                <w:sz w:val="22"/>
              </w:rPr>
              <w:t>X. Lộc An</w:t>
            </w:r>
          </w:p>
        </w:tc>
        <w:tc>
          <w:tcPr>
            <w:tcW w:w="1620" w:type="dxa"/>
            <w:tcBorders>
              <w:top w:val="nil"/>
              <w:left w:val="nil"/>
              <w:bottom w:val="single" w:sz="4" w:space="0" w:color="auto"/>
              <w:right w:val="single" w:sz="4" w:space="0" w:color="auto"/>
            </w:tcBorders>
            <w:shd w:val="clear" w:color="auto" w:fill="auto"/>
            <w:noWrap/>
            <w:vAlign w:val="center"/>
            <w:hideMark/>
          </w:tcPr>
          <w:p w14:paraId="519B1E67" w14:textId="77777777" w:rsidR="006E16AC" w:rsidRPr="008E63BB" w:rsidRDefault="006E16AC" w:rsidP="006E16AC">
            <w:pPr>
              <w:jc w:val="right"/>
              <w:rPr>
                <w:rFonts w:eastAsia="Times New Roman"/>
                <w:sz w:val="22"/>
              </w:rPr>
            </w:pPr>
            <w:r w:rsidRPr="008E63BB">
              <w:rPr>
                <w:rFonts w:eastAsia="Times New Roman"/>
                <w:sz w:val="22"/>
              </w:rPr>
              <w:t>3,33</w:t>
            </w:r>
          </w:p>
        </w:tc>
        <w:tc>
          <w:tcPr>
            <w:tcW w:w="1710" w:type="dxa"/>
            <w:tcBorders>
              <w:top w:val="nil"/>
              <w:left w:val="nil"/>
              <w:bottom w:val="single" w:sz="4" w:space="0" w:color="auto"/>
              <w:right w:val="single" w:sz="4" w:space="0" w:color="auto"/>
            </w:tcBorders>
            <w:shd w:val="clear" w:color="auto" w:fill="auto"/>
            <w:noWrap/>
            <w:vAlign w:val="center"/>
            <w:hideMark/>
          </w:tcPr>
          <w:p w14:paraId="519B1E68" w14:textId="77777777" w:rsidR="006E16AC" w:rsidRPr="008E63BB" w:rsidRDefault="006E16AC" w:rsidP="006E16AC">
            <w:pPr>
              <w:jc w:val="right"/>
              <w:rPr>
                <w:rFonts w:eastAsia="Times New Roman"/>
                <w:sz w:val="22"/>
              </w:rPr>
            </w:pPr>
            <w:r w:rsidRPr="008E63BB">
              <w:rPr>
                <w:rFonts w:eastAsia="Times New Roman"/>
                <w:sz w:val="22"/>
              </w:rPr>
              <w:t>7.213</w:t>
            </w:r>
          </w:p>
        </w:tc>
        <w:tc>
          <w:tcPr>
            <w:tcW w:w="1710" w:type="dxa"/>
            <w:tcBorders>
              <w:top w:val="nil"/>
              <w:left w:val="nil"/>
              <w:bottom w:val="single" w:sz="4" w:space="0" w:color="auto"/>
              <w:right w:val="single" w:sz="4" w:space="0" w:color="auto"/>
            </w:tcBorders>
            <w:shd w:val="clear" w:color="auto" w:fill="auto"/>
            <w:noWrap/>
            <w:vAlign w:val="center"/>
            <w:hideMark/>
          </w:tcPr>
          <w:p w14:paraId="519B1E69" w14:textId="77777777" w:rsidR="006E16AC" w:rsidRPr="008E63BB" w:rsidRDefault="006E16AC" w:rsidP="006E16AC">
            <w:pPr>
              <w:jc w:val="right"/>
              <w:rPr>
                <w:rFonts w:eastAsia="Times New Roman"/>
                <w:sz w:val="22"/>
              </w:rPr>
            </w:pPr>
            <w:r w:rsidRPr="008E63BB">
              <w:rPr>
                <w:rFonts w:eastAsia="Times New Roman"/>
                <w:sz w:val="22"/>
              </w:rPr>
              <w:t>2.166,1</w:t>
            </w:r>
          </w:p>
        </w:tc>
      </w:tr>
      <w:tr w:rsidR="006E16AC" w:rsidRPr="008E63BB" w14:paraId="519B1E70"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tcPr>
          <w:p w14:paraId="519B1E6B" w14:textId="77777777" w:rsidR="006E16AC" w:rsidRPr="008E63BB" w:rsidRDefault="006E16AC" w:rsidP="006E16AC">
            <w:pPr>
              <w:jc w:val="right"/>
              <w:rPr>
                <w:rFonts w:eastAsia="Times New Roman"/>
                <w:sz w:val="22"/>
              </w:rPr>
            </w:pPr>
            <w:r w:rsidRPr="008E63BB">
              <w:rPr>
                <w:rFonts w:eastAsia="Times New Roman"/>
                <w:sz w:val="22"/>
              </w:rPr>
              <w:t>3</w:t>
            </w:r>
          </w:p>
        </w:tc>
        <w:tc>
          <w:tcPr>
            <w:tcW w:w="3420" w:type="dxa"/>
            <w:tcBorders>
              <w:top w:val="nil"/>
              <w:left w:val="nil"/>
              <w:bottom w:val="single" w:sz="4" w:space="0" w:color="auto"/>
              <w:right w:val="single" w:sz="4" w:space="0" w:color="auto"/>
            </w:tcBorders>
            <w:shd w:val="clear" w:color="auto" w:fill="auto"/>
            <w:noWrap/>
            <w:vAlign w:val="center"/>
            <w:hideMark/>
          </w:tcPr>
          <w:p w14:paraId="519B1E6C" w14:textId="77777777" w:rsidR="006E16AC" w:rsidRPr="008E63BB" w:rsidRDefault="006E16AC" w:rsidP="006E16AC">
            <w:pPr>
              <w:jc w:val="left"/>
              <w:rPr>
                <w:rFonts w:eastAsia="Times New Roman"/>
                <w:sz w:val="22"/>
              </w:rPr>
            </w:pPr>
            <w:r w:rsidRPr="008E63BB">
              <w:rPr>
                <w:rFonts w:eastAsia="Times New Roman"/>
                <w:sz w:val="22"/>
              </w:rPr>
              <w:t>X. Nam Vân</w:t>
            </w:r>
          </w:p>
        </w:tc>
        <w:tc>
          <w:tcPr>
            <w:tcW w:w="1620" w:type="dxa"/>
            <w:tcBorders>
              <w:top w:val="nil"/>
              <w:left w:val="nil"/>
              <w:bottom w:val="single" w:sz="4" w:space="0" w:color="auto"/>
              <w:right w:val="single" w:sz="4" w:space="0" w:color="auto"/>
            </w:tcBorders>
            <w:shd w:val="clear" w:color="auto" w:fill="auto"/>
            <w:noWrap/>
            <w:vAlign w:val="center"/>
            <w:hideMark/>
          </w:tcPr>
          <w:p w14:paraId="519B1E6D" w14:textId="77777777" w:rsidR="006E16AC" w:rsidRPr="008E63BB" w:rsidRDefault="006E16AC" w:rsidP="006E16AC">
            <w:pPr>
              <w:jc w:val="right"/>
              <w:rPr>
                <w:rFonts w:eastAsia="Times New Roman"/>
                <w:sz w:val="22"/>
              </w:rPr>
            </w:pPr>
            <w:r w:rsidRPr="008E63BB">
              <w:rPr>
                <w:rFonts w:eastAsia="Times New Roman"/>
                <w:sz w:val="22"/>
              </w:rPr>
              <w:t>5,62</w:t>
            </w:r>
          </w:p>
        </w:tc>
        <w:tc>
          <w:tcPr>
            <w:tcW w:w="1710" w:type="dxa"/>
            <w:tcBorders>
              <w:top w:val="nil"/>
              <w:left w:val="nil"/>
              <w:bottom w:val="single" w:sz="4" w:space="0" w:color="auto"/>
              <w:right w:val="single" w:sz="4" w:space="0" w:color="auto"/>
            </w:tcBorders>
            <w:shd w:val="clear" w:color="auto" w:fill="auto"/>
            <w:noWrap/>
            <w:vAlign w:val="center"/>
            <w:hideMark/>
          </w:tcPr>
          <w:p w14:paraId="519B1E6E" w14:textId="77777777" w:rsidR="006E16AC" w:rsidRPr="008E63BB" w:rsidRDefault="006E16AC" w:rsidP="006E16AC">
            <w:pPr>
              <w:jc w:val="right"/>
              <w:rPr>
                <w:rFonts w:eastAsia="Times New Roman"/>
                <w:sz w:val="22"/>
              </w:rPr>
            </w:pPr>
            <w:r w:rsidRPr="008E63BB">
              <w:rPr>
                <w:rFonts w:eastAsia="Times New Roman"/>
                <w:sz w:val="22"/>
              </w:rPr>
              <w:t>6.845</w:t>
            </w:r>
          </w:p>
        </w:tc>
        <w:tc>
          <w:tcPr>
            <w:tcW w:w="1710" w:type="dxa"/>
            <w:tcBorders>
              <w:top w:val="nil"/>
              <w:left w:val="nil"/>
              <w:bottom w:val="single" w:sz="4" w:space="0" w:color="auto"/>
              <w:right w:val="single" w:sz="4" w:space="0" w:color="auto"/>
            </w:tcBorders>
            <w:shd w:val="clear" w:color="auto" w:fill="auto"/>
            <w:noWrap/>
            <w:vAlign w:val="center"/>
            <w:hideMark/>
          </w:tcPr>
          <w:p w14:paraId="519B1E6F" w14:textId="77777777" w:rsidR="006E16AC" w:rsidRPr="008E63BB" w:rsidRDefault="006E16AC" w:rsidP="006E16AC">
            <w:pPr>
              <w:jc w:val="right"/>
              <w:rPr>
                <w:rFonts w:eastAsia="Times New Roman"/>
                <w:sz w:val="22"/>
              </w:rPr>
            </w:pPr>
            <w:r w:rsidRPr="008E63BB">
              <w:rPr>
                <w:rFonts w:eastAsia="Times New Roman"/>
                <w:sz w:val="22"/>
              </w:rPr>
              <w:t>1.218,0</w:t>
            </w:r>
          </w:p>
        </w:tc>
      </w:tr>
      <w:tr w:rsidR="006E16AC" w:rsidRPr="008E63BB" w14:paraId="519B1E76"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000000" w:fill="FFE699"/>
            <w:noWrap/>
            <w:vAlign w:val="center"/>
            <w:hideMark/>
          </w:tcPr>
          <w:p w14:paraId="519B1E71" w14:textId="77777777" w:rsidR="006E16AC" w:rsidRPr="008E63BB" w:rsidRDefault="006E16AC" w:rsidP="006E16AC">
            <w:pPr>
              <w:jc w:val="left"/>
              <w:rPr>
                <w:rFonts w:eastAsia="Times New Roman"/>
                <w:b/>
                <w:bCs/>
                <w:sz w:val="22"/>
              </w:rPr>
            </w:pPr>
            <w:r w:rsidRPr="008E63BB">
              <w:rPr>
                <w:rFonts w:eastAsia="Times New Roman"/>
                <w:b/>
                <w:bCs/>
                <w:sz w:val="22"/>
              </w:rPr>
              <w:t>B</w:t>
            </w:r>
          </w:p>
        </w:tc>
        <w:tc>
          <w:tcPr>
            <w:tcW w:w="3420" w:type="dxa"/>
            <w:tcBorders>
              <w:top w:val="nil"/>
              <w:left w:val="nil"/>
              <w:bottom w:val="single" w:sz="4" w:space="0" w:color="auto"/>
              <w:right w:val="single" w:sz="4" w:space="0" w:color="auto"/>
            </w:tcBorders>
            <w:shd w:val="clear" w:color="000000" w:fill="FFE699"/>
            <w:noWrap/>
            <w:vAlign w:val="center"/>
            <w:hideMark/>
          </w:tcPr>
          <w:p w14:paraId="519B1E72" w14:textId="77777777" w:rsidR="006E16AC" w:rsidRPr="008E63BB" w:rsidRDefault="006E16AC" w:rsidP="006E16AC">
            <w:pPr>
              <w:jc w:val="left"/>
              <w:rPr>
                <w:rFonts w:eastAsia="Times New Roman"/>
                <w:b/>
                <w:bCs/>
                <w:sz w:val="22"/>
              </w:rPr>
            </w:pPr>
            <w:r w:rsidRPr="008E63BB">
              <w:rPr>
                <w:rFonts w:eastAsia="Times New Roman"/>
                <w:b/>
                <w:bCs/>
                <w:sz w:val="22"/>
              </w:rPr>
              <w:t>H. Mỹ Lộc</w:t>
            </w:r>
          </w:p>
        </w:tc>
        <w:tc>
          <w:tcPr>
            <w:tcW w:w="1620" w:type="dxa"/>
            <w:tcBorders>
              <w:top w:val="nil"/>
              <w:left w:val="nil"/>
              <w:bottom w:val="single" w:sz="4" w:space="0" w:color="auto"/>
              <w:right w:val="single" w:sz="4" w:space="0" w:color="auto"/>
            </w:tcBorders>
            <w:shd w:val="clear" w:color="000000" w:fill="FFE699"/>
            <w:noWrap/>
            <w:vAlign w:val="center"/>
            <w:hideMark/>
          </w:tcPr>
          <w:p w14:paraId="519B1E73" w14:textId="77777777" w:rsidR="006E16AC" w:rsidRPr="008E63BB" w:rsidRDefault="006E16AC" w:rsidP="006E16AC">
            <w:pPr>
              <w:jc w:val="right"/>
              <w:rPr>
                <w:rFonts w:eastAsia="Times New Roman"/>
                <w:b/>
                <w:bCs/>
                <w:sz w:val="22"/>
              </w:rPr>
            </w:pPr>
            <w:r w:rsidRPr="008E63BB">
              <w:rPr>
                <w:rFonts w:eastAsia="Times New Roman"/>
                <w:b/>
                <w:bCs/>
                <w:sz w:val="22"/>
              </w:rPr>
              <w:t>74,49</w:t>
            </w:r>
          </w:p>
        </w:tc>
        <w:tc>
          <w:tcPr>
            <w:tcW w:w="1710" w:type="dxa"/>
            <w:tcBorders>
              <w:top w:val="nil"/>
              <w:left w:val="nil"/>
              <w:bottom w:val="single" w:sz="4" w:space="0" w:color="auto"/>
              <w:right w:val="single" w:sz="4" w:space="0" w:color="auto"/>
            </w:tcBorders>
            <w:shd w:val="clear" w:color="000000" w:fill="FFE699"/>
            <w:noWrap/>
            <w:vAlign w:val="center"/>
            <w:hideMark/>
          </w:tcPr>
          <w:p w14:paraId="519B1E74" w14:textId="77777777" w:rsidR="006E16AC" w:rsidRPr="008E63BB" w:rsidRDefault="006E16AC" w:rsidP="006E16AC">
            <w:pPr>
              <w:jc w:val="right"/>
              <w:rPr>
                <w:rFonts w:eastAsia="Times New Roman"/>
                <w:b/>
                <w:bCs/>
                <w:sz w:val="22"/>
              </w:rPr>
            </w:pPr>
            <w:r w:rsidRPr="008E63BB">
              <w:rPr>
                <w:rFonts w:eastAsia="Times New Roman"/>
                <w:b/>
                <w:bCs/>
                <w:sz w:val="22"/>
              </w:rPr>
              <w:t>70.306</w:t>
            </w:r>
          </w:p>
        </w:tc>
        <w:tc>
          <w:tcPr>
            <w:tcW w:w="1710" w:type="dxa"/>
            <w:tcBorders>
              <w:top w:val="nil"/>
              <w:left w:val="nil"/>
              <w:bottom w:val="single" w:sz="4" w:space="0" w:color="auto"/>
              <w:right w:val="single" w:sz="4" w:space="0" w:color="auto"/>
            </w:tcBorders>
            <w:shd w:val="clear" w:color="000000" w:fill="FFE699"/>
            <w:noWrap/>
            <w:vAlign w:val="center"/>
            <w:hideMark/>
          </w:tcPr>
          <w:p w14:paraId="519B1E75" w14:textId="77777777" w:rsidR="006E16AC" w:rsidRPr="008E63BB" w:rsidRDefault="006E16AC" w:rsidP="006E16AC">
            <w:pPr>
              <w:jc w:val="right"/>
              <w:rPr>
                <w:rFonts w:eastAsia="Times New Roman"/>
                <w:b/>
                <w:bCs/>
                <w:sz w:val="22"/>
              </w:rPr>
            </w:pPr>
            <w:r w:rsidRPr="008E63BB">
              <w:rPr>
                <w:rFonts w:eastAsia="Times New Roman"/>
                <w:b/>
                <w:bCs/>
                <w:sz w:val="22"/>
              </w:rPr>
              <w:t>943,8</w:t>
            </w:r>
          </w:p>
        </w:tc>
      </w:tr>
      <w:tr w:rsidR="006E16AC" w:rsidRPr="008E63BB" w14:paraId="519B1E7C"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77" w14:textId="77777777" w:rsidR="006E16AC" w:rsidRPr="008E63BB" w:rsidRDefault="006E16AC" w:rsidP="006E16AC">
            <w:pPr>
              <w:jc w:val="right"/>
              <w:rPr>
                <w:rFonts w:eastAsia="Times New Roman"/>
                <w:sz w:val="22"/>
              </w:rPr>
            </w:pPr>
            <w:r w:rsidRPr="008E63BB">
              <w:rPr>
                <w:rFonts w:eastAsia="Times New Roman"/>
                <w:sz w:val="22"/>
              </w:rPr>
              <w:t>1</w:t>
            </w:r>
          </w:p>
        </w:tc>
        <w:tc>
          <w:tcPr>
            <w:tcW w:w="3420" w:type="dxa"/>
            <w:tcBorders>
              <w:top w:val="nil"/>
              <w:left w:val="nil"/>
              <w:bottom w:val="single" w:sz="4" w:space="0" w:color="auto"/>
              <w:right w:val="single" w:sz="4" w:space="0" w:color="auto"/>
            </w:tcBorders>
            <w:shd w:val="clear" w:color="auto" w:fill="auto"/>
            <w:noWrap/>
            <w:vAlign w:val="center"/>
            <w:hideMark/>
          </w:tcPr>
          <w:p w14:paraId="519B1E78" w14:textId="77777777" w:rsidR="006E16AC" w:rsidRPr="008E63BB" w:rsidRDefault="006E16AC" w:rsidP="006E16AC">
            <w:pPr>
              <w:jc w:val="left"/>
              <w:rPr>
                <w:rFonts w:eastAsia="Times New Roman"/>
                <w:sz w:val="22"/>
              </w:rPr>
            </w:pPr>
            <w:r w:rsidRPr="008E63BB">
              <w:rPr>
                <w:rFonts w:eastAsia="Times New Roman"/>
                <w:sz w:val="22"/>
              </w:rPr>
              <w:t>TT. Mỹ Lộc</w:t>
            </w:r>
          </w:p>
        </w:tc>
        <w:tc>
          <w:tcPr>
            <w:tcW w:w="1620" w:type="dxa"/>
            <w:tcBorders>
              <w:top w:val="nil"/>
              <w:left w:val="nil"/>
              <w:bottom w:val="single" w:sz="4" w:space="0" w:color="auto"/>
              <w:right w:val="single" w:sz="4" w:space="0" w:color="auto"/>
            </w:tcBorders>
            <w:shd w:val="clear" w:color="auto" w:fill="auto"/>
            <w:noWrap/>
            <w:vAlign w:val="center"/>
            <w:hideMark/>
          </w:tcPr>
          <w:p w14:paraId="519B1E79" w14:textId="77777777" w:rsidR="006E16AC" w:rsidRPr="008E63BB" w:rsidRDefault="006E16AC" w:rsidP="006E16AC">
            <w:pPr>
              <w:jc w:val="right"/>
              <w:rPr>
                <w:rFonts w:eastAsia="Times New Roman"/>
                <w:sz w:val="22"/>
              </w:rPr>
            </w:pPr>
            <w:r w:rsidRPr="008E63BB">
              <w:rPr>
                <w:rFonts w:eastAsia="Times New Roman"/>
                <w:sz w:val="22"/>
              </w:rPr>
              <w:t>4,72</w:t>
            </w:r>
          </w:p>
        </w:tc>
        <w:tc>
          <w:tcPr>
            <w:tcW w:w="1710" w:type="dxa"/>
            <w:tcBorders>
              <w:top w:val="nil"/>
              <w:left w:val="nil"/>
              <w:bottom w:val="single" w:sz="4" w:space="0" w:color="auto"/>
              <w:right w:val="single" w:sz="4" w:space="0" w:color="auto"/>
            </w:tcBorders>
            <w:shd w:val="clear" w:color="auto" w:fill="auto"/>
            <w:noWrap/>
            <w:vAlign w:val="center"/>
            <w:hideMark/>
          </w:tcPr>
          <w:p w14:paraId="519B1E7A" w14:textId="77777777" w:rsidR="006E16AC" w:rsidRPr="008E63BB" w:rsidRDefault="006E16AC" w:rsidP="006E16AC">
            <w:pPr>
              <w:jc w:val="right"/>
              <w:rPr>
                <w:rFonts w:eastAsia="Times New Roman"/>
                <w:sz w:val="22"/>
              </w:rPr>
            </w:pPr>
            <w:r w:rsidRPr="008E63BB">
              <w:rPr>
                <w:rFonts w:eastAsia="Times New Roman"/>
                <w:sz w:val="22"/>
              </w:rPr>
              <w:t>5.209</w:t>
            </w:r>
          </w:p>
        </w:tc>
        <w:tc>
          <w:tcPr>
            <w:tcW w:w="1710" w:type="dxa"/>
            <w:tcBorders>
              <w:top w:val="nil"/>
              <w:left w:val="nil"/>
              <w:bottom w:val="single" w:sz="4" w:space="0" w:color="auto"/>
              <w:right w:val="single" w:sz="4" w:space="0" w:color="auto"/>
            </w:tcBorders>
            <w:shd w:val="clear" w:color="auto" w:fill="auto"/>
            <w:noWrap/>
            <w:vAlign w:val="center"/>
            <w:hideMark/>
          </w:tcPr>
          <w:p w14:paraId="519B1E7B" w14:textId="77777777" w:rsidR="006E16AC" w:rsidRPr="008E63BB" w:rsidRDefault="006E16AC" w:rsidP="006E16AC">
            <w:pPr>
              <w:jc w:val="right"/>
              <w:rPr>
                <w:rFonts w:eastAsia="Times New Roman"/>
                <w:sz w:val="22"/>
              </w:rPr>
            </w:pPr>
            <w:r w:rsidRPr="008E63BB">
              <w:rPr>
                <w:rFonts w:eastAsia="Times New Roman"/>
                <w:sz w:val="22"/>
              </w:rPr>
              <w:t>1.103,6</w:t>
            </w:r>
          </w:p>
        </w:tc>
      </w:tr>
      <w:tr w:rsidR="006E16AC" w:rsidRPr="008E63BB" w14:paraId="519B1E82"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7D" w14:textId="77777777" w:rsidR="006E16AC" w:rsidRPr="008E63BB" w:rsidRDefault="006E16AC" w:rsidP="006E16AC">
            <w:pPr>
              <w:jc w:val="right"/>
              <w:rPr>
                <w:rFonts w:eastAsia="Times New Roman"/>
                <w:sz w:val="22"/>
              </w:rPr>
            </w:pPr>
            <w:r w:rsidRPr="008E63BB">
              <w:rPr>
                <w:rFonts w:eastAsia="Times New Roman"/>
                <w:sz w:val="22"/>
              </w:rPr>
              <w:t>2</w:t>
            </w:r>
          </w:p>
        </w:tc>
        <w:tc>
          <w:tcPr>
            <w:tcW w:w="3420" w:type="dxa"/>
            <w:tcBorders>
              <w:top w:val="nil"/>
              <w:left w:val="nil"/>
              <w:bottom w:val="single" w:sz="4" w:space="0" w:color="auto"/>
              <w:right w:val="single" w:sz="4" w:space="0" w:color="auto"/>
            </w:tcBorders>
            <w:shd w:val="clear" w:color="auto" w:fill="auto"/>
            <w:noWrap/>
            <w:vAlign w:val="center"/>
            <w:hideMark/>
          </w:tcPr>
          <w:p w14:paraId="519B1E7E" w14:textId="77777777" w:rsidR="006E16AC" w:rsidRPr="008E63BB" w:rsidRDefault="006E16AC" w:rsidP="006E16AC">
            <w:pPr>
              <w:jc w:val="left"/>
              <w:rPr>
                <w:rFonts w:eastAsia="Times New Roman"/>
                <w:sz w:val="22"/>
              </w:rPr>
            </w:pPr>
            <w:r w:rsidRPr="008E63BB">
              <w:rPr>
                <w:rFonts w:eastAsia="Times New Roman"/>
                <w:sz w:val="22"/>
              </w:rPr>
              <w:t>X. Mỹ Hà</w:t>
            </w:r>
          </w:p>
        </w:tc>
        <w:tc>
          <w:tcPr>
            <w:tcW w:w="1620" w:type="dxa"/>
            <w:tcBorders>
              <w:top w:val="nil"/>
              <w:left w:val="nil"/>
              <w:bottom w:val="single" w:sz="4" w:space="0" w:color="auto"/>
              <w:right w:val="single" w:sz="4" w:space="0" w:color="auto"/>
            </w:tcBorders>
            <w:shd w:val="clear" w:color="auto" w:fill="auto"/>
            <w:noWrap/>
            <w:vAlign w:val="center"/>
            <w:hideMark/>
          </w:tcPr>
          <w:p w14:paraId="519B1E7F" w14:textId="77777777" w:rsidR="006E16AC" w:rsidRPr="008E63BB" w:rsidRDefault="006E16AC" w:rsidP="006E16AC">
            <w:pPr>
              <w:jc w:val="right"/>
              <w:rPr>
                <w:rFonts w:eastAsia="Times New Roman"/>
                <w:sz w:val="22"/>
              </w:rPr>
            </w:pPr>
            <w:r w:rsidRPr="008E63BB">
              <w:rPr>
                <w:rFonts w:eastAsia="Times New Roman"/>
                <w:sz w:val="22"/>
              </w:rPr>
              <w:t>8,17</w:t>
            </w:r>
          </w:p>
        </w:tc>
        <w:tc>
          <w:tcPr>
            <w:tcW w:w="1710" w:type="dxa"/>
            <w:tcBorders>
              <w:top w:val="nil"/>
              <w:left w:val="nil"/>
              <w:bottom w:val="single" w:sz="4" w:space="0" w:color="auto"/>
              <w:right w:val="single" w:sz="4" w:space="0" w:color="auto"/>
            </w:tcBorders>
            <w:shd w:val="clear" w:color="auto" w:fill="auto"/>
            <w:noWrap/>
            <w:vAlign w:val="center"/>
            <w:hideMark/>
          </w:tcPr>
          <w:p w14:paraId="519B1E80" w14:textId="77777777" w:rsidR="006E16AC" w:rsidRPr="008E63BB" w:rsidRDefault="006E16AC" w:rsidP="006E16AC">
            <w:pPr>
              <w:jc w:val="right"/>
              <w:rPr>
                <w:rFonts w:eastAsia="Times New Roman"/>
                <w:sz w:val="22"/>
              </w:rPr>
            </w:pPr>
            <w:r w:rsidRPr="008E63BB">
              <w:rPr>
                <w:rFonts w:eastAsia="Times New Roman"/>
                <w:sz w:val="22"/>
              </w:rPr>
              <w:t>7.486</w:t>
            </w:r>
          </w:p>
        </w:tc>
        <w:tc>
          <w:tcPr>
            <w:tcW w:w="1710" w:type="dxa"/>
            <w:tcBorders>
              <w:top w:val="nil"/>
              <w:left w:val="nil"/>
              <w:bottom w:val="single" w:sz="4" w:space="0" w:color="auto"/>
              <w:right w:val="single" w:sz="4" w:space="0" w:color="auto"/>
            </w:tcBorders>
            <w:shd w:val="clear" w:color="auto" w:fill="auto"/>
            <w:noWrap/>
            <w:vAlign w:val="center"/>
            <w:hideMark/>
          </w:tcPr>
          <w:p w14:paraId="519B1E81" w14:textId="77777777" w:rsidR="006E16AC" w:rsidRPr="008E63BB" w:rsidRDefault="006E16AC" w:rsidP="006E16AC">
            <w:pPr>
              <w:jc w:val="right"/>
              <w:rPr>
                <w:rFonts w:eastAsia="Times New Roman"/>
                <w:sz w:val="22"/>
              </w:rPr>
            </w:pPr>
            <w:r w:rsidRPr="008E63BB">
              <w:rPr>
                <w:rFonts w:eastAsia="Times New Roman"/>
                <w:sz w:val="22"/>
              </w:rPr>
              <w:t>916,3</w:t>
            </w:r>
          </w:p>
        </w:tc>
      </w:tr>
      <w:tr w:rsidR="006E16AC" w:rsidRPr="008E63BB" w14:paraId="519B1E88"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83" w14:textId="77777777" w:rsidR="006E16AC" w:rsidRPr="008E63BB" w:rsidRDefault="006E16AC" w:rsidP="006E16AC">
            <w:pPr>
              <w:jc w:val="right"/>
              <w:rPr>
                <w:rFonts w:eastAsia="Times New Roman"/>
                <w:sz w:val="22"/>
              </w:rPr>
            </w:pPr>
            <w:r w:rsidRPr="008E63BB">
              <w:rPr>
                <w:rFonts w:eastAsia="Times New Roman"/>
                <w:sz w:val="22"/>
              </w:rPr>
              <w:t>3</w:t>
            </w:r>
          </w:p>
        </w:tc>
        <w:tc>
          <w:tcPr>
            <w:tcW w:w="3420" w:type="dxa"/>
            <w:tcBorders>
              <w:top w:val="nil"/>
              <w:left w:val="nil"/>
              <w:bottom w:val="single" w:sz="4" w:space="0" w:color="auto"/>
              <w:right w:val="single" w:sz="4" w:space="0" w:color="auto"/>
            </w:tcBorders>
            <w:shd w:val="clear" w:color="auto" w:fill="auto"/>
            <w:noWrap/>
            <w:vAlign w:val="center"/>
            <w:hideMark/>
          </w:tcPr>
          <w:p w14:paraId="519B1E84" w14:textId="77777777" w:rsidR="006E16AC" w:rsidRPr="008E63BB" w:rsidRDefault="006E16AC" w:rsidP="006E16AC">
            <w:pPr>
              <w:jc w:val="left"/>
              <w:rPr>
                <w:rFonts w:eastAsia="Times New Roman"/>
                <w:sz w:val="22"/>
              </w:rPr>
            </w:pPr>
            <w:r w:rsidRPr="008E63BB">
              <w:rPr>
                <w:rFonts w:eastAsia="Times New Roman"/>
                <w:sz w:val="22"/>
              </w:rPr>
              <w:t>X. Mỹ Tiến</w:t>
            </w:r>
          </w:p>
        </w:tc>
        <w:tc>
          <w:tcPr>
            <w:tcW w:w="1620" w:type="dxa"/>
            <w:tcBorders>
              <w:top w:val="nil"/>
              <w:left w:val="nil"/>
              <w:bottom w:val="single" w:sz="4" w:space="0" w:color="auto"/>
              <w:right w:val="single" w:sz="4" w:space="0" w:color="auto"/>
            </w:tcBorders>
            <w:shd w:val="clear" w:color="auto" w:fill="auto"/>
            <w:noWrap/>
            <w:vAlign w:val="center"/>
            <w:hideMark/>
          </w:tcPr>
          <w:p w14:paraId="519B1E85" w14:textId="77777777" w:rsidR="006E16AC" w:rsidRPr="008E63BB" w:rsidRDefault="006E16AC" w:rsidP="006E16AC">
            <w:pPr>
              <w:jc w:val="right"/>
              <w:rPr>
                <w:rFonts w:eastAsia="Times New Roman"/>
                <w:sz w:val="22"/>
              </w:rPr>
            </w:pPr>
            <w:r w:rsidRPr="008E63BB">
              <w:rPr>
                <w:rFonts w:eastAsia="Times New Roman"/>
                <w:sz w:val="22"/>
              </w:rPr>
              <w:t>5,83</w:t>
            </w:r>
          </w:p>
        </w:tc>
        <w:tc>
          <w:tcPr>
            <w:tcW w:w="1710" w:type="dxa"/>
            <w:tcBorders>
              <w:top w:val="nil"/>
              <w:left w:val="nil"/>
              <w:bottom w:val="single" w:sz="4" w:space="0" w:color="auto"/>
              <w:right w:val="single" w:sz="4" w:space="0" w:color="auto"/>
            </w:tcBorders>
            <w:shd w:val="clear" w:color="auto" w:fill="auto"/>
            <w:noWrap/>
            <w:vAlign w:val="center"/>
            <w:hideMark/>
          </w:tcPr>
          <w:p w14:paraId="519B1E86" w14:textId="77777777" w:rsidR="006E16AC" w:rsidRPr="008E63BB" w:rsidRDefault="006E16AC" w:rsidP="006E16AC">
            <w:pPr>
              <w:jc w:val="right"/>
              <w:rPr>
                <w:rFonts w:eastAsia="Times New Roman"/>
                <w:sz w:val="22"/>
              </w:rPr>
            </w:pPr>
            <w:r w:rsidRPr="008E63BB">
              <w:rPr>
                <w:rFonts w:eastAsia="Times New Roman"/>
                <w:sz w:val="22"/>
              </w:rPr>
              <w:t>5.085</w:t>
            </w:r>
          </w:p>
        </w:tc>
        <w:tc>
          <w:tcPr>
            <w:tcW w:w="1710" w:type="dxa"/>
            <w:tcBorders>
              <w:top w:val="nil"/>
              <w:left w:val="nil"/>
              <w:bottom w:val="single" w:sz="4" w:space="0" w:color="auto"/>
              <w:right w:val="single" w:sz="4" w:space="0" w:color="auto"/>
            </w:tcBorders>
            <w:shd w:val="clear" w:color="auto" w:fill="auto"/>
            <w:noWrap/>
            <w:vAlign w:val="center"/>
            <w:hideMark/>
          </w:tcPr>
          <w:p w14:paraId="519B1E87" w14:textId="77777777" w:rsidR="006E16AC" w:rsidRPr="008E63BB" w:rsidRDefault="006E16AC" w:rsidP="006E16AC">
            <w:pPr>
              <w:jc w:val="right"/>
              <w:rPr>
                <w:rFonts w:eastAsia="Times New Roman"/>
                <w:sz w:val="22"/>
              </w:rPr>
            </w:pPr>
            <w:r w:rsidRPr="008E63BB">
              <w:rPr>
                <w:rFonts w:eastAsia="Times New Roman"/>
                <w:sz w:val="22"/>
              </w:rPr>
              <w:t>872,2</w:t>
            </w:r>
          </w:p>
        </w:tc>
      </w:tr>
      <w:tr w:rsidR="006E16AC" w:rsidRPr="008E63BB" w14:paraId="519B1E8E"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89" w14:textId="77777777" w:rsidR="006E16AC" w:rsidRPr="008E63BB" w:rsidRDefault="006E16AC" w:rsidP="006E16AC">
            <w:pPr>
              <w:jc w:val="right"/>
              <w:rPr>
                <w:rFonts w:eastAsia="Times New Roman"/>
                <w:sz w:val="22"/>
              </w:rPr>
            </w:pPr>
            <w:r w:rsidRPr="008E63BB">
              <w:rPr>
                <w:rFonts w:eastAsia="Times New Roman"/>
                <w:sz w:val="22"/>
              </w:rPr>
              <w:t>4</w:t>
            </w:r>
          </w:p>
        </w:tc>
        <w:tc>
          <w:tcPr>
            <w:tcW w:w="3420" w:type="dxa"/>
            <w:tcBorders>
              <w:top w:val="nil"/>
              <w:left w:val="nil"/>
              <w:bottom w:val="single" w:sz="4" w:space="0" w:color="auto"/>
              <w:right w:val="single" w:sz="4" w:space="0" w:color="auto"/>
            </w:tcBorders>
            <w:shd w:val="clear" w:color="auto" w:fill="auto"/>
            <w:noWrap/>
            <w:vAlign w:val="center"/>
            <w:hideMark/>
          </w:tcPr>
          <w:p w14:paraId="519B1E8A" w14:textId="77777777" w:rsidR="006E16AC" w:rsidRPr="008E63BB" w:rsidRDefault="006E16AC" w:rsidP="006E16AC">
            <w:pPr>
              <w:jc w:val="left"/>
              <w:rPr>
                <w:rFonts w:eastAsia="Times New Roman"/>
                <w:sz w:val="22"/>
              </w:rPr>
            </w:pPr>
            <w:r w:rsidRPr="008E63BB">
              <w:rPr>
                <w:rFonts w:eastAsia="Times New Roman"/>
                <w:sz w:val="22"/>
              </w:rPr>
              <w:t>X. Mỹ Thắng</w:t>
            </w:r>
          </w:p>
        </w:tc>
        <w:tc>
          <w:tcPr>
            <w:tcW w:w="1620" w:type="dxa"/>
            <w:tcBorders>
              <w:top w:val="nil"/>
              <w:left w:val="nil"/>
              <w:bottom w:val="single" w:sz="4" w:space="0" w:color="auto"/>
              <w:right w:val="single" w:sz="4" w:space="0" w:color="auto"/>
            </w:tcBorders>
            <w:shd w:val="clear" w:color="auto" w:fill="auto"/>
            <w:noWrap/>
            <w:vAlign w:val="center"/>
            <w:hideMark/>
          </w:tcPr>
          <w:p w14:paraId="519B1E8B" w14:textId="77777777" w:rsidR="006E16AC" w:rsidRPr="008E63BB" w:rsidRDefault="006E16AC" w:rsidP="006E16AC">
            <w:pPr>
              <w:jc w:val="right"/>
              <w:rPr>
                <w:rFonts w:eastAsia="Times New Roman"/>
                <w:sz w:val="22"/>
              </w:rPr>
            </w:pPr>
            <w:r w:rsidRPr="008E63BB">
              <w:rPr>
                <w:rFonts w:eastAsia="Times New Roman"/>
                <w:sz w:val="22"/>
              </w:rPr>
              <w:t>7,47</w:t>
            </w:r>
          </w:p>
        </w:tc>
        <w:tc>
          <w:tcPr>
            <w:tcW w:w="1710" w:type="dxa"/>
            <w:tcBorders>
              <w:top w:val="nil"/>
              <w:left w:val="nil"/>
              <w:bottom w:val="single" w:sz="4" w:space="0" w:color="auto"/>
              <w:right w:val="single" w:sz="4" w:space="0" w:color="auto"/>
            </w:tcBorders>
            <w:shd w:val="clear" w:color="auto" w:fill="auto"/>
            <w:noWrap/>
            <w:vAlign w:val="center"/>
            <w:hideMark/>
          </w:tcPr>
          <w:p w14:paraId="519B1E8C" w14:textId="77777777" w:rsidR="006E16AC" w:rsidRPr="008E63BB" w:rsidRDefault="006E16AC" w:rsidP="006E16AC">
            <w:pPr>
              <w:jc w:val="right"/>
              <w:rPr>
                <w:rFonts w:eastAsia="Times New Roman"/>
                <w:sz w:val="22"/>
              </w:rPr>
            </w:pPr>
            <w:r w:rsidRPr="008E63BB">
              <w:rPr>
                <w:rFonts w:eastAsia="Times New Roman"/>
                <w:sz w:val="22"/>
              </w:rPr>
              <w:t>7.987</w:t>
            </w:r>
          </w:p>
        </w:tc>
        <w:tc>
          <w:tcPr>
            <w:tcW w:w="1710" w:type="dxa"/>
            <w:tcBorders>
              <w:top w:val="nil"/>
              <w:left w:val="nil"/>
              <w:bottom w:val="single" w:sz="4" w:space="0" w:color="auto"/>
              <w:right w:val="single" w:sz="4" w:space="0" w:color="auto"/>
            </w:tcBorders>
            <w:shd w:val="clear" w:color="auto" w:fill="auto"/>
            <w:noWrap/>
            <w:vAlign w:val="center"/>
            <w:hideMark/>
          </w:tcPr>
          <w:p w14:paraId="519B1E8D" w14:textId="77777777" w:rsidR="006E16AC" w:rsidRPr="008E63BB" w:rsidRDefault="006E16AC" w:rsidP="006E16AC">
            <w:pPr>
              <w:jc w:val="right"/>
              <w:rPr>
                <w:rFonts w:eastAsia="Times New Roman"/>
                <w:sz w:val="22"/>
              </w:rPr>
            </w:pPr>
            <w:r w:rsidRPr="008E63BB">
              <w:rPr>
                <w:rFonts w:eastAsia="Times New Roman"/>
                <w:sz w:val="22"/>
              </w:rPr>
              <w:t>1.069,2</w:t>
            </w:r>
          </w:p>
        </w:tc>
      </w:tr>
      <w:tr w:rsidR="006E16AC" w:rsidRPr="008E63BB" w14:paraId="519B1E94"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8F" w14:textId="77777777" w:rsidR="006E16AC" w:rsidRPr="008E63BB" w:rsidRDefault="006E16AC" w:rsidP="006E16AC">
            <w:pPr>
              <w:jc w:val="right"/>
              <w:rPr>
                <w:rFonts w:eastAsia="Times New Roman"/>
                <w:sz w:val="22"/>
              </w:rPr>
            </w:pPr>
            <w:r w:rsidRPr="008E63BB">
              <w:rPr>
                <w:rFonts w:eastAsia="Times New Roman"/>
                <w:sz w:val="22"/>
              </w:rPr>
              <w:t>5</w:t>
            </w:r>
          </w:p>
        </w:tc>
        <w:tc>
          <w:tcPr>
            <w:tcW w:w="3420" w:type="dxa"/>
            <w:tcBorders>
              <w:top w:val="nil"/>
              <w:left w:val="nil"/>
              <w:bottom w:val="single" w:sz="4" w:space="0" w:color="auto"/>
              <w:right w:val="single" w:sz="4" w:space="0" w:color="auto"/>
            </w:tcBorders>
            <w:shd w:val="clear" w:color="auto" w:fill="auto"/>
            <w:noWrap/>
            <w:vAlign w:val="center"/>
            <w:hideMark/>
          </w:tcPr>
          <w:p w14:paraId="519B1E90" w14:textId="77777777" w:rsidR="006E16AC" w:rsidRPr="008E63BB" w:rsidRDefault="006E16AC" w:rsidP="006E16AC">
            <w:pPr>
              <w:jc w:val="left"/>
              <w:rPr>
                <w:rFonts w:eastAsia="Times New Roman"/>
                <w:sz w:val="22"/>
              </w:rPr>
            </w:pPr>
            <w:r w:rsidRPr="008E63BB">
              <w:rPr>
                <w:rFonts w:eastAsia="Times New Roman"/>
                <w:sz w:val="22"/>
              </w:rPr>
              <w:t>X. Mỹ Trung</w:t>
            </w:r>
          </w:p>
        </w:tc>
        <w:tc>
          <w:tcPr>
            <w:tcW w:w="1620" w:type="dxa"/>
            <w:tcBorders>
              <w:top w:val="nil"/>
              <w:left w:val="nil"/>
              <w:bottom w:val="single" w:sz="4" w:space="0" w:color="auto"/>
              <w:right w:val="single" w:sz="4" w:space="0" w:color="auto"/>
            </w:tcBorders>
            <w:shd w:val="clear" w:color="auto" w:fill="auto"/>
            <w:noWrap/>
            <w:vAlign w:val="center"/>
            <w:hideMark/>
          </w:tcPr>
          <w:p w14:paraId="519B1E91" w14:textId="77777777" w:rsidR="006E16AC" w:rsidRPr="008E63BB" w:rsidRDefault="006E16AC" w:rsidP="006E16AC">
            <w:pPr>
              <w:jc w:val="right"/>
              <w:rPr>
                <w:rFonts w:eastAsia="Times New Roman"/>
                <w:sz w:val="22"/>
              </w:rPr>
            </w:pPr>
            <w:r w:rsidRPr="008E63BB">
              <w:rPr>
                <w:rFonts w:eastAsia="Times New Roman"/>
                <w:sz w:val="22"/>
              </w:rPr>
              <w:t>6,85</w:t>
            </w:r>
          </w:p>
        </w:tc>
        <w:tc>
          <w:tcPr>
            <w:tcW w:w="1710" w:type="dxa"/>
            <w:tcBorders>
              <w:top w:val="nil"/>
              <w:left w:val="nil"/>
              <w:bottom w:val="single" w:sz="4" w:space="0" w:color="auto"/>
              <w:right w:val="single" w:sz="4" w:space="0" w:color="auto"/>
            </w:tcBorders>
            <w:shd w:val="clear" w:color="auto" w:fill="auto"/>
            <w:noWrap/>
            <w:vAlign w:val="center"/>
            <w:hideMark/>
          </w:tcPr>
          <w:p w14:paraId="519B1E92" w14:textId="77777777" w:rsidR="006E16AC" w:rsidRPr="008E63BB" w:rsidRDefault="006E16AC" w:rsidP="006E16AC">
            <w:pPr>
              <w:jc w:val="right"/>
              <w:rPr>
                <w:rFonts w:eastAsia="Times New Roman"/>
                <w:sz w:val="22"/>
              </w:rPr>
            </w:pPr>
            <w:r w:rsidRPr="008E63BB">
              <w:rPr>
                <w:rFonts w:eastAsia="Times New Roman"/>
                <w:sz w:val="22"/>
              </w:rPr>
              <w:t>5.025</w:t>
            </w:r>
          </w:p>
        </w:tc>
        <w:tc>
          <w:tcPr>
            <w:tcW w:w="1710" w:type="dxa"/>
            <w:tcBorders>
              <w:top w:val="nil"/>
              <w:left w:val="nil"/>
              <w:bottom w:val="single" w:sz="4" w:space="0" w:color="auto"/>
              <w:right w:val="single" w:sz="4" w:space="0" w:color="auto"/>
            </w:tcBorders>
            <w:shd w:val="clear" w:color="auto" w:fill="auto"/>
            <w:noWrap/>
            <w:vAlign w:val="center"/>
            <w:hideMark/>
          </w:tcPr>
          <w:p w14:paraId="519B1E93" w14:textId="77777777" w:rsidR="006E16AC" w:rsidRPr="008E63BB" w:rsidRDefault="006E16AC" w:rsidP="006E16AC">
            <w:pPr>
              <w:jc w:val="right"/>
              <w:rPr>
                <w:rFonts w:eastAsia="Times New Roman"/>
                <w:sz w:val="22"/>
              </w:rPr>
            </w:pPr>
            <w:r w:rsidRPr="008E63BB">
              <w:rPr>
                <w:rFonts w:eastAsia="Times New Roman"/>
                <w:sz w:val="22"/>
              </w:rPr>
              <w:t>733,6</w:t>
            </w:r>
          </w:p>
        </w:tc>
      </w:tr>
      <w:tr w:rsidR="006E16AC" w:rsidRPr="008E63BB" w14:paraId="519B1E9A"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95" w14:textId="77777777" w:rsidR="006E16AC" w:rsidRPr="008E63BB" w:rsidRDefault="006E16AC" w:rsidP="006E16AC">
            <w:pPr>
              <w:jc w:val="right"/>
              <w:rPr>
                <w:rFonts w:eastAsia="Times New Roman"/>
                <w:sz w:val="22"/>
              </w:rPr>
            </w:pPr>
            <w:r w:rsidRPr="008E63BB">
              <w:rPr>
                <w:rFonts w:eastAsia="Times New Roman"/>
                <w:sz w:val="22"/>
              </w:rPr>
              <w:t>6</w:t>
            </w:r>
          </w:p>
        </w:tc>
        <w:tc>
          <w:tcPr>
            <w:tcW w:w="3420" w:type="dxa"/>
            <w:tcBorders>
              <w:top w:val="nil"/>
              <w:left w:val="nil"/>
              <w:bottom w:val="single" w:sz="4" w:space="0" w:color="auto"/>
              <w:right w:val="single" w:sz="4" w:space="0" w:color="auto"/>
            </w:tcBorders>
            <w:shd w:val="clear" w:color="auto" w:fill="auto"/>
            <w:noWrap/>
            <w:vAlign w:val="center"/>
            <w:hideMark/>
          </w:tcPr>
          <w:p w14:paraId="519B1E96" w14:textId="77777777" w:rsidR="006E16AC" w:rsidRPr="008E63BB" w:rsidRDefault="006E16AC" w:rsidP="006E16AC">
            <w:pPr>
              <w:jc w:val="left"/>
              <w:rPr>
                <w:rFonts w:eastAsia="Times New Roman"/>
                <w:sz w:val="22"/>
              </w:rPr>
            </w:pPr>
            <w:r w:rsidRPr="008E63BB">
              <w:rPr>
                <w:rFonts w:eastAsia="Times New Roman"/>
                <w:sz w:val="22"/>
              </w:rPr>
              <w:t>X. Mỹ Tân</w:t>
            </w:r>
          </w:p>
        </w:tc>
        <w:tc>
          <w:tcPr>
            <w:tcW w:w="1620" w:type="dxa"/>
            <w:tcBorders>
              <w:top w:val="nil"/>
              <w:left w:val="nil"/>
              <w:bottom w:val="single" w:sz="4" w:space="0" w:color="auto"/>
              <w:right w:val="single" w:sz="4" w:space="0" w:color="auto"/>
            </w:tcBorders>
            <w:shd w:val="clear" w:color="auto" w:fill="auto"/>
            <w:noWrap/>
            <w:vAlign w:val="center"/>
            <w:hideMark/>
          </w:tcPr>
          <w:p w14:paraId="519B1E97" w14:textId="77777777" w:rsidR="006E16AC" w:rsidRPr="008E63BB" w:rsidRDefault="006E16AC" w:rsidP="006E16AC">
            <w:pPr>
              <w:jc w:val="right"/>
              <w:rPr>
                <w:rFonts w:eastAsia="Times New Roman"/>
                <w:sz w:val="22"/>
              </w:rPr>
            </w:pPr>
            <w:r w:rsidRPr="008E63BB">
              <w:rPr>
                <w:rFonts w:eastAsia="Times New Roman"/>
                <w:sz w:val="22"/>
              </w:rPr>
              <w:t>10,27</w:t>
            </w:r>
          </w:p>
        </w:tc>
        <w:tc>
          <w:tcPr>
            <w:tcW w:w="1710" w:type="dxa"/>
            <w:tcBorders>
              <w:top w:val="nil"/>
              <w:left w:val="nil"/>
              <w:bottom w:val="single" w:sz="4" w:space="0" w:color="auto"/>
              <w:right w:val="single" w:sz="4" w:space="0" w:color="auto"/>
            </w:tcBorders>
            <w:shd w:val="clear" w:color="auto" w:fill="auto"/>
            <w:noWrap/>
            <w:vAlign w:val="center"/>
            <w:hideMark/>
          </w:tcPr>
          <w:p w14:paraId="519B1E98" w14:textId="77777777" w:rsidR="006E16AC" w:rsidRPr="008E63BB" w:rsidRDefault="006E16AC" w:rsidP="006E16AC">
            <w:pPr>
              <w:jc w:val="right"/>
              <w:rPr>
                <w:rFonts w:eastAsia="Times New Roman"/>
                <w:sz w:val="22"/>
              </w:rPr>
            </w:pPr>
            <w:r w:rsidRPr="008E63BB">
              <w:rPr>
                <w:rFonts w:eastAsia="Times New Roman"/>
                <w:sz w:val="22"/>
              </w:rPr>
              <w:t>10.467</w:t>
            </w:r>
          </w:p>
        </w:tc>
        <w:tc>
          <w:tcPr>
            <w:tcW w:w="1710" w:type="dxa"/>
            <w:tcBorders>
              <w:top w:val="nil"/>
              <w:left w:val="nil"/>
              <w:bottom w:val="single" w:sz="4" w:space="0" w:color="auto"/>
              <w:right w:val="single" w:sz="4" w:space="0" w:color="auto"/>
            </w:tcBorders>
            <w:shd w:val="clear" w:color="auto" w:fill="auto"/>
            <w:noWrap/>
            <w:vAlign w:val="center"/>
            <w:hideMark/>
          </w:tcPr>
          <w:p w14:paraId="519B1E99" w14:textId="77777777" w:rsidR="006E16AC" w:rsidRPr="008E63BB" w:rsidRDefault="006E16AC" w:rsidP="006E16AC">
            <w:pPr>
              <w:jc w:val="right"/>
              <w:rPr>
                <w:rFonts w:eastAsia="Times New Roman"/>
                <w:sz w:val="22"/>
              </w:rPr>
            </w:pPr>
            <w:r w:rsidRPr="008E63BB">
              <w:rPr>
                <w:rFonts w:eastAsia="Times New Roman"/>
                <w:sz w:val="22"/>
              </w:rPr>
              <w:t>1.019,2</w:t>
            </w:r>
          </w:p>
        </w:tc>
      </w:tr>
      <w:tr w:rsidR="006E16AC" w:rsidRPr="008E63BB" w14:paraId="519B1EA0"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9B" w14:textId="77777777" w:rsidR="006E16AC" w:rsidRPr="008E63BB" w:rsidRDefault="006E16AC" w:rsidP="006E16AC">
            <w:pPr>
              <w:jc w:val="right"/>
              <w:rPr>
                <w:rFonts w:eastAsia="Times New Roman"/>
                <w:sz w:val="22"/>
              </w:rPr>
            </w:pPr>
            <w:r w:rsidRPr="008E63BB">
              <w:rPr>
                <w:rFonts w:eastAsia="Times New Roman"/>
                <w:sz w:val="22"/>
              </w:rPr>
              <w:t>7</w:t>
            </w:r>
          </w:p>
        </w:tc>
        <w:tc>
          <w:tcPr>
            <w:tcW w:w="3420" w:type="dxa"/>
            <w:tcBorders>
              <w:top w:val="nil"/>
              <w:left w:val="nil"/>
              <w:bottom w:val="single" w:sz="4" w:space="0" w:color="auto"/>
              <w:right w:val="single" w:sz="4" w:space="0" w:color="auto"/>
            </w:tcBorders>
            <w:shd w:val="clear" w:color="auto" w:fill="auto"/>
            <w:noWrap/>
            <w:vAlign w:val="center"/>
            <w:hideMark/>
          </w:tcPr>
          <w:p w14:paraId="519B1E9C" w14:textId="77777777" w:rsidR="006E16AC" w:rsidRPr="008E63BB" w:rsidRDefault="006E16AC" w:rsidP="006E16AC">
            <w:pPr>
              <w:jc w:val="left"/>
              <w:rPr>
                <w:rFonts w:eastAsia="Times New Roman"/>
                <w:sz w:val="22"/>
              </w:rPr>
            </w:pPr>
            <w:r w:rsidRPr="008E63BB">
              <w:rPr>
                <w:rFonts w:eastAsia="Times New Roman"/>
                <w:sz w:val="22"/>
              </w:rPr>
              <w:t>X. Mỹ Phúc</w:t>
            </w:r>
          </w:p>
        </w:tc>
        <w:tc>
          <w:tcPr>
            <w:tcW w:w="1620" w:type="dxa"/>
            <w:tcBorders>
              <w:top w:val="nil"/>
              <w:left w:val="nil"/>
              <w:bottom w:val="single" w:sz="4" w:space="0" w:color="auto"/>
              <w:right w:val="single" w:sz="4" w:space="0" w:color="auto"/>
            </w:tcBorders>
            <w:shd w:val="clear" w:color="auto" w:fill="auto"/>
            <w:noWrap/>
            <w:vAlign w:val="center"/>
            <w:hideMark/>
          </w:tcPr>
          <w:p w14:paraId="519B1E9D" w14:textId="77777777" w:rsidR="006E16AC" w:rsidRPr="008E63BB" w:rsidRDefault="006E16AC" w:rsidP="006E16AC">
            <w:pPr>
              <w:jc w:val="right"/>
              <w:rPr>
                <w:rFonts w:eastAsia="Times New Roman"/>
                <w:sz w:val="22"/>
              </w:rPr>
            </w:pPr>
            <w:r w:rsidRPr="008E63BB">
              <w:rPr>
                <w:rFonts w:eastAsia="Times New Roman"/>
                <w:sz w:val="22"/>
              </w:rPr>
              <w:t>6,18</w:t>
            </w:r>
          </w:p>
        </w:tc>
        <w:tc>
          <w:tcPr>
            <w:tcW w:w="1710" w:type="dxa"/>
            <w:tcBorders>
              <w:top w:val="nil"/>
              <w:left w:val="nil"/>
              <w:bottom w:val="single" w:sz="4" w:space="0" w:color="auto"/>
              <w:right w:val="single" w:sz="4" w:space="0" w:color="auto"/>
            </w:tcBorders>
            <w:shd w:val="clear" w:color="auto" w:fill="auto"/>
            <w:noWrap/>
            <w:vAlign w:val="center"/>
            <w:hideMark/>
          </w:tcPr>
          <w:p w14:paraId="519B1E9E" w14:textId="77777777" w:rsidR="006E16AC" w:rsidRPr="008E63BB" w:rsidRDefault="006E16AC" w:rsidP="006E16AC">
            <w:pPr>
              <w:jc w:val="right"/>
              <w:rPr>
                <w:rFonts w:eastAsia="Times New Roman"/>
                <w:sz w:val="22"/>
              </w:rPr>
            </w:pPr>
            <w:r w:rsidRPr="008E63BB">
              <w:rPr>
                <w:rFonts w:eastAsia="Times New Roman"/>
                <w:sz w:val="22"/>
              </w:rPr>
              <w:t>7.485</w:t>
            </w:r>
          </w:p>
        </w:tc>
        <w:tc>
          <w:tcPr>
            <w:tcW w:w="1710" w:type="dxa"/>
            <w:tcBorders>
              <w:top w:val="nil"/>
              <w:left w:val="nil"/>
              <w:bottom w:val="single" w:sz="4" w:space="0" w:color="auto"/>
              <w:right w:val="single" w:sz="4" w:space="0" w:color="auto"/>
            </w:tcBorders>
            <w:shd w:val="clear" w:color="auto" w:fill="auto"/>
            <w:noWrap/>
            <w:vAlign w:val="center"/>
            <w:hideMark/>
          </w:tcPr>
          <w:p w14:paraId="519B1E9F" w14:textId="77777777" w:rsidR="006E16AC" w:rsidRPr="008E63BB" w:rsidRDefault="006E16AC" w:rsidP="006E16AC">
            <w:pPr>
              <w:jc w:val="right"/>
              <w:rPr>
                <w:rFonts w:eastAsia="Times New Roman"/>
                <w:sz w:val="22"/>
              </w:rPr>
            </w:pPr>
            <w:r w:rsidRPr="008E63BB">
              <w:rPr>
                <w:rFonts w:eastAsia="Times New Roman"/>
                <w:sz w:val="22"/>
              </w:rPr>
              <w:t>1.211,2</w:t>
            </w:r>
          </w:p>
        </w:tc>
      </w:tr>
      <w:tr w:rsidR="006E16AC" w:rsidRPr="008E63BB" w14:paraId="519B1EA6"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A1" w14:textId="77777777" w:rsidR="006E16AC" w:rsidRPr="008E63BB" w:rsidRDefault="006E16AC" w:rsidP="006E16AC">
            <w:pPr>
              <w:jc w:val="right"/>
              <w:rPr>
                <w:rFonts w:eastAsia="Times New Roman"/>
                <w:sz w:val="22"/>
              </w:rPr>
            </w:pPr>
            <w:r w:rsidRPr="008E63BB">
              <w:rPr>
                <w:rFonts w:eastAsia="Times New Roman"/>
                <w:sz w:val="22"/>
              </w:rPr>
              <w:t>8</w:t>
            </w:r>
          </w:p>
        </w:tc>
        <w:tc>
          <w:tcPr>
            <w:tcW w:w="3420" w:type="dxa"/>
            <w:tcBorders>
              <w:top w:val="nil"/>
              <w:left w:val="nil"/>
              <w:bottom w:val="single" w:sz="4" w:space="0" w:color="auto"/>
              <w:right w:val="single" w:sz="4" w:space="0" w:color="auto"/>
            </w:tcBorders>
            <w:shd w:val="clear" w:color="auto" w:fill="auto"/>
            <w:noWrap/>
            <w:vAlign w:val="center"/>
            <w:hideMark/>
          </w:tcPr>
          <w:p w14:paraId="519B1EA2" w14:textId="77777777" w:rsidR="006E16AC" w:rsidRPr="008E63BB" w:rsidRDefault="006E16AC" w:rsidP="006E16AC">
            <w:pPr>
              <w:jc w:val="left"/>
              <w:rPr>
                <w:rFonts w:eastAsia="Times New Roman"/>
                <w:sz w:val="22"/>
              </w:rPr>
            </w:pPr>
            <w:r w:rsidRPr="008E63BB">
              <w:rPr>
                <w:rFonts w:eastAsia="Times New Roman"/>
                <w:sz w:val="22"/>
              </w:rPr>
              <w:t>X. Mỹ Hưng</w:t>
            </w:r>
          </w:p>
        </w:tc>
        <w:tc>
          <w:tcPr>
            <w:tcW w:w="1620" w:type="dxa"/>
            <w:tcBorders>
              <w:top w:val="nil"/>
              <w:left w:val="nil"/>
              <w:bottom w:val="single" w:sz="4" w:space="0" w:color="auto"/>
              <w:right w:val="single" w:sz="4" w:space="0" w:color="auto"/>
            </w:tcBorders>
            <w:shd w:val="clear" w:color="auto" w:fill="auto"/>
            <w:noWrap/>
            <w:vAlign w:val="center"/>
            <w:hideMark/>
          </w:tcPr>
          <w:p w14:paraId="519B1EA3" w14:textId="77777777" w:rsidR="006E16AC" w:rsidRPr="008E63BB" w:rsidRDefault="006E16AC" w:rsidP="006E16AC">
            <w:pPr>
              <w:jc w:val="right"/>
              <w:rPr>
                <w:rFonts w:eastAsia="Times New Roman"/>
                <w:sz w:val="22"/>
              </w:rPr>
            </w:pPr>
            <w:r w:rsidRPr="008E63BB">
              <w:rPr>
                <w:rFonts w:eastAsia="Times New Roman"/>
                <w:sz w:val="22"/>
              </w:rPr>
              <w:t>5,25</w:t>
            </w:r>
          </w:p>
        </w:tc>
        <w:tc>
          <w:tcPr>
            <w:tcW w:w="1710" w:type="dxa"/>
            <w:tcBorders>
              <w:top w:val="nil"/>
              <w:left w:val="nil"/>
              <w:bottom w:val="single" w:sz="4" w:space="0" w:color="auto"/>
              <w:right w:val="single" w:sz="4" w:space="0" w:color="auto"/>
            </w:tcBorders>
            <w:shd w:val="clear" w:color="auto" w:fill="auto"/>
            <w:noWrap/>
            <w:vAlign w:val="center"/>
            <w:hideMark/>
          </w:tcPr>
          <w:p w14:paraId="519B1EA4" w14:textId="77777777" w:rsidR="006E16AC" w:rsidRPr="008E63BB" w:rsidRDefault="006E16AC" w:rsidP="006E16AC">
            <w:pPr>
              <w:jc w:val="right"/>
              <w:rPr>
                <w:rFonts w:eastAsia="Times New Roman"/>
                <w:sz w:val="22"/>
              </w:rPr>
            </w:pPr>
            <w:r w:rsidRPr="008E63BB">
              <w:rPr>
                <w:rFonts w:eastAsia="Times New Roman"/>
                <w:sz w:val="22"/>
              </w:rPr>
              <w:t>6.314</w:t>
            </w:r>
          </w:p>
        </w:tc>
        <w:tc>
          <w:tcPr>
            <w:tcW w:w="1710" w:type="dxa"/>
            <w:tcBorders>
              <w:top w:val="nil"/>
              <w:left w:val="nil"/>
              <w:bottom w:val="single" w:sz="4" w:space="0" w:color="auto"/>
              <w:right w:val="single" w:sz="4" w:space="0" w:color="auto"/>
            </w:tcBorders>
            <w:shd w:val="clear" w:color="auto" w:fill="auto"/>
            <w:noWrap/>
            <w:vAlign w:val="center"/>
            <w:hideMark/>
          </w:tcPr>
          <w:p w14:paraId="519B1EA5" w14:textId="77777777" w:rsidR="006E16AC" w:rsidRPr="008E63BB" w:rsidRDefault="006E16AC" w:rsidP="006E16AC">
            <w:pPr>
              <w:jc w:val="right"/>
              <w:rPr>
                <w:rFonts w:eastAsia="Times New Roman"/>
                <w:sz w:val="22"/>
              </w:rPr>
            </w:pPr>
            <w:r w:rsidRPr="008E63BB">
              <w:rPr>
                <w:rFonts w:eastAsia="Times New Roman"/>
                <w:sz w:val="22"/>
              </w:rPr>
              <w:t>1.202,7</w:t>
            </w:r>
          </w:p>
        </w:tc>
      </w:tr>
      <w:tr w:rsidR="006E16AC" w:rsidRPr="008E63BB" w14:paraId="519B1EAC"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A7" w14:textId="77777777" w:rsidR="006E16AC" w:rsidRPr="008E63BB" w:rsidRDefault="006E16AC" w:rsidP="006E16AC">
            <w:pPr>
              <w:jc w:val="right"/>
              <w:rPr>
                <w:rFonts w:eastAsia="Times New Roman"/>
                <w:sz w:val="22"/>
              </w:rPr>
            </w:pPr>
            <w:r w:rsidRPr="008E63BB">
              <w:rPr>
                <w:rFonts w:eastAsia="Times New Roman"/>
                <w:sz w:val="22"/>
              </w:rPr>
              <w:t>9</w:t>
            </w:r>
          </w:p>
        </w:tc>
        <w:tc>
          <w:tcPr>
            <w:tcW w:w="3420" w:type="dxa"/>
            <w:tcBorders>
              <w:top w:val="nil"/>
              <w:left w:val="nil"/>
              <w:bottom w:val="single" w:sz="4" w:space="0" w:color="auto"/>
              <w:right w:val="single" w:sz="4" w:space="0" w:color="auto"/>
            </w:tcBorders>
            <w:shd w:val="clear" w:color="auto" w:fill="auto"/>
            <w:noWrap/>
            <w:vAlign w:val="center"/>
            <w:hideMark/>
          </w:tcPr>
          <w:p w14:paraId="519B1EA8" w14:textId="77777777" w:rsidR="006E16AC" w:rsidRPr="008E63BB" w:rsidRDefault="006E16AC" w:rsidP="006E16AC">
            <w:pPr>
              <w:jc w:val="left"/>
              <w:rPr>
                <w:rFonts w:eastAsia="Times New Roman"/>
                <w:sz w:val="22"/>
              </w:rPr>
            </w:pPr>
            <w:r w:rsidRPr="008E63BB">
              <w:rPr>
                <w:rFonts w:eastAsia="Times New Roman"/>
                <w:sz w:val="22"/>
              </w:rPr>
              <w:t>X. Mỹ Thuận</w:t>
            </w:r>
          </w:p>
        </w:tc>
        <w:tc>
          <w:tcPr>
            <w:tcW w:w="1620" w:type="dxa"/>
            <w:tcBorders>
              <w:top w:val="nil"/>
              <w:left w:val="nil"/>
              <w:bottom w:val="single" w:sz="4" w:space="0" w:color="auto"/>
              <w:right w:val="single" w:sz="4" w:space="0" w:color="auto"/>
            </w:tcBorders>
            <w:shd w:val="clear" w:color="auto" w:fill="auto"/>
            <w:noWrap/>
            <w:vAlign w:val="center"/>
            <w:hideMark/>
          </w:tcPr>
          <w:p w14:paraId="519B1EA9" w14:textId="77777777" w:rsidR="006E16AC" w:rsidRPr="008E63BB" w:rsidRDefault="006E16AC" w:rsidP="006E16AC">
            <w:pPr>
              <w:jc w:val="right"/>
              <w:rPr>
                <w:rFonts w:eastAsia="Times New Roman"/>
                <w:sz w:val="22"/>
              </w:rPr>
            </w:pPr>
            <w:r w:rsidRPr="008E63BB">
              <w:rPr>
                <w:rFonts w:eastAsia="Times New Roman"/>
                <w:sz w:val="22"/>
              </w:rPr>
              <w:t>8,65</w:t>
            </w:r>
          </w:p>
        </w:tc>
        <w:tc>
          <w:tcPr>
            <w:tcW w:w="1710" w:type="dxa"/>
            <w:tcBorders>
              <w:top w:val="nil"/>
              <w:left w:val="nil"/>
              <w:bottom w:val="single" w:sz="4" w:space="0" w:color="auto"/>
              <w:right w:val="single" w:sz="4" w:space="0" w:color="auto"/>
            </w:tcBorders>
            <w:shd w:val="clear" w:color="auto" w:fill="auto"/>
            <w:noWrap/>
            <w:vAlign w:val="center"/>
            <w:hideMark/>
          </w:tcPr>
          <w:p w14:paraId="519B1EAA" w14:textId="77777777" w:rsidR="006E16AC" w:rsidRPr="008E63BB" w:rsidRDefault="006E16AC" w:rsidP="006E16AC">
            <w:pPr>
              <w:jc w:val="right"/>
              <w:rPr>
                <w:rFonts w:eastAsia="Times New Roman"/>
                <w:sz w:val="22"/>
              </w:rPr>
            </w:pPr>
            <w:r w:rsidRPr="008E63BB">
              <w:rPr>
                <w:rFonts w:eastAsia="Times New Roman"/>
                <w:sz w:val="22"/>
              </w:rPr>
              <w:t>6.923</w:t>
            </w:r>
          </w:p>
        </w:tc>
        <w:tc>
          <w:tcPr>
            <w:tcW w:w="1710" w:type="dxa"/>
            <w:tcBorders>
              <w:top w:val="nil"/>
              <w:left w:val="nil"/>
              <w:bottom w:val="single" w:sz="4" w:space="0" w:color="auto"/>
              <w:right w:val="single" w:sz="4" w:space="0" w:color="auto"/>
            </w:tcBorders>
            <w:shd w:val="clear" w:color="auto" w:fill="auto"/>
            <w:noWrap/>
            <w:vAlign w:val="center"/>
            <w:hideMark/>
          </w:tcPr>
          <w:p w14:paraId="519B1EAB" w14:textId="77777777" w:rsidR="006E16AC" w:rsidRPr="008E63BB" w:rsidRDefault="006E16AC" w:rsidP="006E16AC">
            <w:pPr>
              <w:jc w:val="right"/>
              <w:rPr>
                <w:rFonts w:eastAsia="Times New Roman"/>
                <w:sz w:val="22"/>
              </w:rPr>
            </w:pPr>
            <w:r w:rsidRPr="008E63BB">
              <w:rPr>
                <w:rFonts w:eastAsia="Times New Roman"/>
                <w:sz w:val="22"/>
              </w:rPr>
              <w:t>800,3</w:t>
            </w:r>
          </w:p>
        </w:tc>
      </w:tr>
      <w:tr w:rsidR="006E16AC" w:rsidRPr="008E63BB" w14:paraId="519B1EB2"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AD" w14:textId="77777777" w:rsidR="006E16AC" w:rsidRPr="008E63BB" w:rsidRDefault="006E16AC" w:rsidP="006E16AC">
            <w:pPr>
              <w:jc w:val="right"/>
              <w:rPr>
                <w:rFonts w:eastAsia="Times New Roman"/>
                <w:sz w:val="22"/>
              </w:rPr>
            </w:pPr>
            <w:r w:rsidRPr="008E63BB">
              <w:rPr>
                <w:rFonts w:eastAsia="Times New Roman"/>
                <w:sz w:val="22"/>
              </w:rPr>
              <w:t>10</w:t>
            </w:r>
          </w:p>
        </w:tc>
        <w:tc>
          <w:tcPr>
            <w:tcW w:w="3420" w:type="dxa"/>
            <w:tcBorders>
              <w:top w:val="nil"/>
              <w:left w:val="nil"/>
              <w:bottom w:val="single" w:sz="4" w:space="0" w:color="auto"/>
              <w:right w:val="single" w:sz="4" w:space="0" w:color="auto"/>
            </w:tcBorders>
            <w:shd w:val="clear" w:color="auto" w:fill="auto"/>
            <w:noWrap/>
            <w:vAlign w:val="center"/>
            <w:hideMark/>
          </w:tcPr>
          <w:p w14:paraId="519B1EAE" w14:textId="77777777" w:rsidR="006E16AC" w:rsidRPr="008E63BB" w:rsidRDefault="006E16AC" w:rsidP="006E16AC">
            <w:pPr>
              <w:jc w:val="left"/>
              <w:rPr>
                <w:rFonts w:eastAsia="Times New Roman"/>
                <w:sz w:val="22"/>
              </w:rPr>
            </w:pPr>
            <w:r w:rsidRPr="008E63BB">
              <w:rPr>
                <w:rFonts w:eastAsia="Times New Roman"/>
                <w:sz w:val="22"/>
              </w:rPr>
              <w:t>X. Mỹ Thịnh</w:t>
            </w:r>
          </w:p>
        </w:tc>
        <w:tc>
          <w:tcPr>
            <w:tcW w:w="1620" w:type="dxa"/>
            <w:tcBorders>
              <w:top w:val="nil"/>
              <w:left w:val="nil"/>
              <w:bottom w:val="single" w:sz="4" w:space="0" w:color="auto"/>
              <w:right w:val="single" w:sz="4" w:space="0" w:color="auto"/>
            </w:tcBorders>
            <w:shd w:val="clear" w:color="auto" w:fill="auto"/>
            <w:noWrap/>
            <w:vAlign w:val="center"/>
            <w:hideMark/>
          </w:tcPr>
          <w:p w14:paraId="519B1EAF" w14:textId="77777777" w:rsidR="006E16AC" w:rsidRPr="008E63BB" w:rsidRDefault="006E16AC" w:rsidP="006E16AC">
            <w:pPr>
              <w:jc w:val="right"/>
              <w:rPr>
                <w:rFonts w:eastAsia="Times New Roman"/>
                <w:sz w:val="22"/>
              </w:rPr>
            </w:pPr>
            <w:r w:rsidRPr="008E63BB">
              <w:rPr>
                <w:rFonts w:eastAsia="Times New Roman"/>
                <w:sz w:val="22"/>
              </w:rPr>
              <w:t>5,31</w:t>
            </w:r>
          </w:p>
        </w:tc>
        <w:tc>
          <w:tcPr>
            <w:tcW w:w="1710" w:type="dxa"/>
            <w:tcBorders>
              <w:top w:val="nil"/>
              <w:left w:val="nil"/>
              <w:bottom w:val="single" w:sz="4" w:space="0" w:color="auto"/>
              <w:right w:val="single" w:sz="4" w:space="0" w:color="auto"/>
            </w:tcBorders>
            <w:shd w:val="clear" w:color="auto" w:fill="auto"/>
            <w:noWrap/>
            <w:vAlign w:val="center"/>
            <w:hideMark/>
          </w:tcPr>
          <w:p w14:paraId="519B1EB0" w14:textId="77777777" w:rsidR="006E16AC" w:rsidRPr="008E63BB" w:rsidRDefault="006E16AC" w:rsidP="006E16AC">
            <w:pPr>
              <w:jc w:val="right"/>
              <w:rPr>
                <w:rFonts w:eastAsia="Times New Roman"/>
                <w:sz w:val="22"/>
              </w:rPr>
            </w:pPr>
            <w:r w:rsidRPr="008E63BB">
              <w:rPr>
                <w:rFonts w:eastAsia="Times New Roman"/>
                <w:sz w:val="22"/>
              </w:rPr>
              <w:t>4.046</w:t>
            </w:r>
          </w:p>
        </w:tc>
        <w:tc>
          <w:tcPr>
            <w:tcW w:w="1710" w:type="dxa"/>
            <w:tcBorders>
              <w:top w:val="nil"/>
              <w:left w:val="nil"/>
              <w:bottom w:val="single" w:sz="4" w:space="0" w:color="auto"/>
              <w:right w:val="single" w:sz="4" w:space="0" w:color="auto"/>
            </w:tcBorders>
            <w:shd w:val="clear" w:color="auto" w:fill="auto"/>
            <w:noWrap/>
            <w:vAlign w:val="center"/>
            <w:hideMark/>
          </w:tcPr>
          <w:p w14:paraId="519B1EB1" w14:textId="77777777" w:rsidR="006E16AC" w:rsidRPr="008E63BB" w:rsidRDefault="006E16AC" w:rsidP="006E16AC">
            <w:pPr>
              <w:jc w:val="right"/>
              <w:rPr>
                <w:rFonts w:eastAsia="Times New Roman"/>
                <w:sz w:val="22"/>
              </w:rPr>
            </w:pPr>
            <w:r w:rsidRPr="008E63BB">
              <w:rPr>
                <w:rFonts w:eastAsia="Times New Roman"/>
                <w:sz w:val="22"/>
              </w:rPr>
              <w:t>762,0</w:t>
            </w:r>
          </w:p>
        </w:tc>
      </w:tr>
      <w:tr w:rsidR="006E16AC" w:rsidRPr="008E63BB" w14:paraId="519B1EB8"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B3" w14:textId="77777777" w:rsidR="006E16AC" w:rsidRPr="008E63BB" w:rsidRDefault="006E16AC" w:rsidP="006E16AC">
            <w:pPr>
              <w:jc w:val="right"/>
              <w:rPr>
                <w:rFonts w:eastAsia="Times New Roman"/>
                <w:sz w:val="22"/>
              </w:rPr>
            </w:pPr>
            <w:r w:rsidRPr="008E63BB">
              <w:rPr>
                <w:rFonts w:eastAsia="Times New Roman"/>
                <w:sz w:val="22"/>
              </w:rPr>
              <w:t>11</w:t>
            </w:r>
          </w:p>
        </w:tc>
        <w:tc>
          <w:tcPr>
            <w:tcW w:w="3420" w:type="dxa"/>
            <w:tcBorders>
              <w:top w:val="nil"/>
              <w:left w:val="nil"/>
              <w:bottom w:val="single" w:sz="4" w:space="0" w:color="auto"/>
              <w:right w:val="single" w:sz="4" w:space="0" w:color="auto"/>
            </w:tcBorders>
            <w:shd w:val="clear" w:color="auto" w:fill="auto"/>
            <w:noWrap/>
            <w:vAlign w:val="center"/>
            <w:hideMark/>
          </w:tcPr>
          <w:p w14:paraId="519B1EB4" w14:textId="77777777" w:rsidR="006E16AC" w:rsidRPr="008E63BB" w:rsidRDefault="006E16AC" w:rsidP="006E16AC">
            <w:pPr>
              <w:jc w:val="left"/>
              <w:rPr>
                <w:rFonts w:eastAsia="Times New Roman"/>
                <w:sz w:val="22"/>
              </w:rPr>
            </w:pPr>
            <w:r w:rsidRPr="008E63BB">
              <w:rPr>
                <w:rFonts w:eastAsia="Times New Roman"/>
                <w:sz w:val="22"/>
              </w:rPr>
              <w:t>X. Mỹ Thành</w:t>
            </w:r>
          </w:p>
        </w:tc>
        <w:tc>
          <w:tcPr>
            <w:tcW w:w="1620" w:type="dxa"/>
            <w:tcBorders>
              <w:top w:val="nil"/>
              <w:left w:val="nil"/>
              <w:bottom w:val="single" w:sz="4" w:space="0" w:color="auto"/>
              <w:right w:val="single" w:sz="4" w:space="0" w:color="auto"/>
            </w:tcBorders>
            <w:shd w:val="clear" w:color="auto" w:fill="auto"/>
            <w:noWrap/>
            <w:vAlign w:val="center"/>
            <w:hideMark/>
          </w:tcPr>
          <w:p w14:paraId="519B1EB5" w14:textId="77777777" w:rsidR="006E16AC" w:rsidRPr="008E63BB" w:rsidRDefault="006E16AC" w:rsidP="006E16AC">
            <w:pPr>
              <w:jc w:val="right"/>
              <w:rPr>
                <w:rFonts w:eastAsia="Times New Roman"/>
                <w:sz w:val="22"/>
              </w:rPr>
            </w:pPr>
            <w:r w:rsidRPr="008E63BB">
              <w:rPr>
                <w:rFonts w:eastAsia="Times New Roman"/>
                <w:sz w:val="22"/>
              </w:rPr>
              <w:t>5,79</w:t>
            </w:r>
          </w:p>
        </w:tc>
        <w:tc>
          <w:tcPr>
            <w:tcW w:w="1710" w:type="dxa"/>
            <w:tcBorders>
              <w:top w:val="nil"/>
              <w:left w:val="nil"/>
              <w:bottom w:val="single" w:sz="4" w:space="0" w:color="auto"/>
              <w:right w:val="single" w:sz="4" w:space="0" w:color="auto"/>
            </w:tcBorders>
            <w:shd w:val="clear" w:color="auto" w:fill="auto"/>
            <w:noWrap/>
            <w:vAlign w:val="center"/>
            <w:hideMark/>
          </w:tcPr>
          <w:p w14:paraId="519B1EB6" w14:textId="77777777" w:rsidR="006E16AC" w:rsidRPr="008E63BB" w:rsidRDefault="006E16AC" w:rsidP="006E16AC">
            <w:pPr>
              <w:jc w:val="right"/>
              <w:rPr>
                <w:rFonts w:eastAsia="Times New Roman"/>
                <w:sz w:val="22"/>
              </w:rPr>
            </w:pPr>
            <w:r w:rsidRPr="008E63BB">
              <w:rPr>
                <w:rFonts w:eastAsia="Times New Roman"/>
                <w:sz w:val="22"/>
              </w:rPr>
              <w:t>4.279</w:t>
            </w:r>
          </w:p>
        </w:tc>
        <w:tc>
          <w:tcPr>
            <w:tcW w:w="1710" w:type="dxa"/>
            <w:tcBorders>
              <w:top w:val="nil"/>
              <w:left w:val="nil"/>
              <w:bottom w:val="single" w:sz="4" w:space="0" w:color="auto"/>
              <w:right w:val="single" w:sz="4" w:space="0" w:color="auto"/>
            </w:tcBorders>
            <w:shd w:val="clear" w:color="auto" w:fill="auto"/>
            <w:noWrap/>
            <w:vAlign w:val="center"/>
            <w:hideMark/>
          </w:tcPr>
          <w:p w14:paraId="519B1EB7" w14:textId="77777777" w:rsidR="006E16AC" w:rsidRPr="008E63BB" w:rsidRDefault="006E16AC" w:rsidP="006E16AC">
            <w:pPr>
              <w:jc w:val="right"/>
              <w:rPr>
                <w:rFonts w:eastAsia="Times New Roman"/>
                <w:sz w:val="22"/>
              </w:rPr>
            </w:pPr>
            <w:r w:rsidRPr="008E63BB">
              <w:rPr>
                <w:rFonts w:eastAsia="Times New Roman"/>
                <w:sz w:val="22"/>
              </w:rPr>
              <w:t>739,0</w:t>
            </w:r>
          </w:p>
        </w:tc>
      </w:tr>
      <w:tr w:rsidR="006E16AC" w:rsidRPr="008E63BB" w14:paraId="519B1EBE"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000000" w:fill="FFE699"/>
            <w:noWrap/>
            <w:vAlign w:val="center"/>
            <w:hideMark/>
          </w:tcPr>
          <w:p w14:paraId="519B1EB9" w14:textId="77777777" w:rsidR="006E16AC" w:rsidRPr="008E63BB" w:rsidRDefault="006E16AC" w:rsidP="006E16AC">
            <w:pPr>
              <w:jc w:val="left"/>
              <w:rPr>
                <w:rFonts w:eastAsia="Times New Roman"/>
                <w:b/>
                <w:bCs/>
                <w:sz w:val="22"/>
              </w:rPr>
            </w:pPr>
            <w:r w:rsidRPr="008E63BB">
              <w:rPr>
                <w:rFonts w:eastAsia="Times New Roman"/>
                <w:b/>
                <w:bCs/>
                <w:sz w:val="22"/>
              </w:rPr>
              <w:t>C</w:t>
            </w:r>
          </w:p>
        </w:tc>
        <w:tc>
          <w:tcPr>
            <w:tcW w:w="3420" w:type="dxa"/>
            <w:tcBorders>
              <w:top w:val="nil"/>
              <w:left w:val="nil"/>
              <w:bottom w:val="single" w:sz="4" w:space="0" w:color="auto"/>
              <w:right w:val="single" w:sz="4" w:space="0" w:color="auto"/>
            </w:tcBorders>
            <w:shd w:val="clear" w:color="000000" w:fill="FFE699"/>
            <w:noWrap/>
            <w:vAlign w:val="center"/>
            <w:hideMark/>
          </w:tcPr>
          <w:p w14:paraId="519B1EBA" w14:textId="77777777" w:rsidR="006E16AC" w:rsidRPr="008E63BB" w:rsidRDefault="006E16AC" w:rsidP="006E16AC">
            <w:pPr>
              <w:jc w:val="left"/>
              <w:rPr>
                <w:rFonts w:eastAsia="Times New Roman"/>
                <w:b/>
                <w:bCs/>
                <w:sz w:val="22"/>
              </w:rPr>
            </w:pPr>
            <w:r w:rsidRPr="008E63BB">
              <w:rPr>
                <w:rFonts w:eastAsia="Times New Roman"/>
                <w:b/>
                <w:bCs/>
                <w:sz w:val="22"/>
              </w:rPr>
              <w:t>H. Vụ Bản</w:t>
            </w:r>
          </w:p>
        </w:tc>
        <w:tc>
          <w:tcPr>
            <w:tcW w:w="1620" w:type="dxa"/>
            <w:tcBorders>
              <w:top w:val="nil"/>
              <w:left w:val="nil"/>
              <w:bottom w:val="single" w:sz="4" w:space="0" w:color="auto"/>
              <w:right w:val="single" w:sz="4" w:space="0" w:color="auto"/>
            </w:tcBorders>
            <w:shd w:val="clear" w:color="000000" w:fill="FFE699"/>
            <w:noWrap/>
            <w:vAlign w:val="center"/>
            <w:hideMark/>
          </w:tcPr>
          <w:p w14:paraId="519B1EBB" w14:textId="77777777" w:rsidR="006E16AC" w:rsidRPr="008E63BB" w:rsidRDefault="006E16AC" w:rsidP="006E16AC">
            <w:pPr>
              <w:jc w:val="right"/>
              <w:rPr>
                <w:rFonts w:eastAsia="Times New Roman"/>
                <w:b/>
                <w:bCs/>
                <w:sz w:val="22"/>
              </w:rPr>
            </w:pPr>
            <w:r w:rsidRPr="008E63BB">
              <w:rPr>
                <w:rFonts w:eastAsia="Times New Roman"/>
                <w:b/>
                <w:bCs/>
                <w:sz w:val="22"/>
              </w:rPr>
              <w:t>26,48</w:t>
            </w:r>
          </w:p>
        </w:tc>
        <w:tc>
          <w:tcPr>
            <w:tcW w:w="1710" w:type="dxa"/>
            <w:tcBorders>
              <w:top w:val="nil"/>
              <w:left w:val="nil"/>
              <w:bottom w:val="single" w:sz="4" w:space="0" w:color="auto"/>
              <w:right w:val="single" w:sz="4" w:space="0" w:color="auto"/>
            </w:tcBorders>
            <w:shd w:val="clear" w:color="000000" w:fill="FFE699"/>
            <w:noWrap/>
            <w:vAlign w:val="center"/>
            <w:hideMark/>
          </w:tcPr>
          <w:p w14:paraId="519B1EBC" w14:textId="77777777" w:rsidR="006E16AC" w:rsidRPr="008E63BB" w:rsidRDefault="006E16AC" w:rsidP="006E16AC">
            <w:pPr>
              <w:jc w:val="right"/>
              <w:rPr>
                <w:rFonts w:eastAsia="Times New Roman"/>
                <w:b/>
                <w:bCs/>
                <w:sz w:val="22"/>
              </w:rPr>
            </w:pPr>
            <w:r w:rsidRPr="008E63BB">
              <w:rPr>
                <w:rFonts w:eastAsia="Times New Roman"/>
                <w:b/>
                <w:bCs/>
                <w:sz w:val="22"/>
              </w:rPr>
              <w:t>28.013</w:t>
            </w:r>
          </w:p>
        </w:tc>
        <w:tc>
          <w:tcPr>
            <w:tcW w:w="1710" w:type="dxa"/>
            <w:tcBorders>
              <w:top w:val="nil"/>
              <w:left w:val="nil"/>
              <w:bottom w:val="single" w:sz="4" w:space="0" w:color="auto"/>
              <w:right w:val="single" w:sz="4" w:space="0" w:color="auto"/>
            </w:tcBorders>
            <w:shd w:val="clear" w:color="000000" w:fill="FFE699"/>
            <w:noWrap/>
            <w:vAlign w:val="center"/>
            <w:hideMark/>
          </w:tcPr>
          <w:p w14:paraId="519B1EBD" w14:textId="77777777" w:rsidR="006E16AC" w:rsidRPr="008E63BB" w:rsidRDefault="006E16AC" w:rsidP="006E16AC">
            <w:pPr>
              <w:jc w:val="right"/>
              <w:rPr>
                <w:rFonts w:eastAsia="Times New Roman"/>
                <w:b/>
                <w:bCs/>
                <w:sz w:val="22"/>
              </w:rPr>
            </w:pPr>
            <w:r w:rsidRPr="008E63BB">
              <w:rPr>
                <w:rFonts w:eastAsia="Times New Roman"/>
                <w:b/>
                <w:bCs/>
                <w:sz w:val="22"/>
              </w:rPr>
              <w:t>1.057,9</w:t>
            </w:r>
          </w:p>
        </w:tc>
      </w:tr>
      <w:tr w:rsidR="006E16AC" w:rsidRPr="008E63BB" w14:paraId="519B1EC4"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BF" w14:textId="77777777" w:rsidR="006E16AC" w:rsidRPr="008E63BB" w:rsidRDefault="006E16AC" w:rsidP="006E16AC">
            <w:pPr>
              <w:jc w:val="right"/>
              <w:rPr>
                <w:rFonts w:eastAsia="Times New Roman"/>
                <w:sz w:val="22"/>
              </w:rPr>
            </w:pPr>
            <w:r w:rsidRPr="008E63BB">
              <w:rPr>
                <w:rFonts w:eastAsia="Times New Roman"/>
                <w:sz w:val="22"/>
              </w:rPr>
              <w:t>1</w:t>
            </w:r>
          </w:p>
        </w:tc>
        <w:tc>
          <w:tcPr>
            <w:tcW w:w="3420" w:type="dxa"/>
            <w:tcBorders>
              <w:top w:val="nil"/>
              <w:left w:val="nil"/>
              <w:bottom w:val="single" w:sz="4" w:space="0" w:color="auto"/>
              <w:right w:val="single" w:sz="4" w:space="0" w:color="auto"/>
            </w:tcBorders>
            <w:shd w:val="clear" w:color="auto" w:fill="auto"/>
            <w:noWrap/>
            <w:vAlign w:val="center"/>
            <w:hideMark/>
          </w:tcPr>
          <w:p w14:paraId="519B1EC0" w14:textId="77777777" w:rsidR="006E16AC" w:rsidRPr="008E63BB" w:rsidRDefault="006E16AC" w:rsidP="006E16AC">
            <w:pPr>
              <w:jc w:val="left"/>
              <w:rPr>
                <w:rFonts w:eastAsia="Times New Roman"/>
                <w:sz w:val="22"/>
              </w:rPr>
            </w:pPr>
            <w:r w:rsidRPr="008E63BB">
              <w:rPr>
                <w:rFonts w:eastAsia="Times New Roman"/>
                <w:sz w:val="22"/>
              </w:rPr>
              <w:t>X. Đại An</w:t>
            </w:r>
          </w:p>
        </w:tc>
        <w:tc>
          <w:tcPr>
            <w:tcW w:w="1620" w:type="dxa"/>
            <w:tcBorders>
              <w:top w:val="nil"/>
              <w:left w:val="nil"/>
              <w:bottom w:val="single" w:sz="4" w:space="0" w:color="auto"/>
              <w:right w:val="single" w:sz="4" w:space="0" w:color="auto"/>
            </w:tcBorders>
            <w:shd w:val="clear" w:color="auto" w:fill="auto"/>
            <w:noWrap/>
            <w:vAlign w:val="center"/>
            <w:hideMark/>
          </w:tcPr>
          <w:p w14:paraId="519B1EC1" w14:textId="77777777" w:rsidR="006E16AC" w:rsidRPr="008E63BB" w:rsidRDefault="006E16AC" w:rsidP="006E16AC">
            <w:pPr>
              <w:jc w:val="right"/>
              <w:rPr>
                <w:rFonts w:eastAsia="Times New Roman"/>
                <w:sz w:val="22"/>
              </w:rPr>
            </w:pPr>
            <w:r w:rsidRPr="008E63BB">
              <w:rPr>
                <w:rFonts w:eastAsia="Times New Roman"/>
                <w:sz w:val="22"/>
              </w:rPr>
              <w:t>9,81</w:t>
            </w:r>
          </w:p>
        </w:tc>
        <w:tc>
          <w:tcPr>
            <w:tcW w:w="1710" w:type="dxa"/>
            <w:tcBorders>
              <w:top w:val="nil"/>
              <w:left w:val="nil"/>
              <w:bottom w:val="single" w:sz="4" w:space="0" w:color="auto"/>
              <w:right w:val="single" w:sz="4" w:space="0" w:color="auto"/>
            </w:tcBorders>
            <w:shd w:val="clear" w:color="auto" w:fill="auto"/>
            <w:noWrap/>
            <w:vAlign w:val="center"/>
            <w:hideMark/>
          </w:tcPr>
          <w:p w14:paraId="519B1EC2" w14:textId="77777777" w:rsidR="006E16AC" w:rsidRPr="008E63BB" w:rsidRDefault="006E16AC" w:rsidP="006E16AC">
            <w:pPr>
              <w:jc w:val="right"/>
              <w:rPr>
                <w:rFonts w:eastAsia="Times New Roman"/>
                <w:sz w:val="22"/>
              </w:rPr>
            </w:pPr>
            <w:r w:rsidRPr="008E63BB">
              <w:rPr>
                <w:rFonts w:eastAsia="Times New Roman"/>
                <w:sz w:val="22"/>
              </w:rPr>
              <w:t>7.696</w:t>
            </w:r>
          </w:p>
        </w:tc>
        <w:tc>
          <w:tcPr>
            <w:tcW w:w="1710" w:type="dxa"/>
            <w:tcBorders>
              <w:top w:val="nil"/>
              <w:left w:val="nil"/>
              <w:bottom w:val="single" w:sz="4" w:space="0" w:color="auto"/>
              <w:right w:val="single" w:sz="4" w:space="0" w:color="auto"/>
            </w:tcBorders>
            <w:shd w:val="clear" w:color="auto" w:fill="auto"/>
            <w:noWrap/>
            <w:vAlign w:val="center"/>
            <w:hideMark/>
          </w:tcPr>
          <w:p w14:paraId="519B1EC3" w14:textId="77777777" w:rsidR="006E16AC" w:rsidRPr="008E63BB" w:rsidRDefault="006E16AC" w:rsidP="006E16AC">
            <w:pPr>
              <w:jc w:val="right"/>
              <w:rPr>
                <w:rFonts w:eastAsia="Times New Roman"/>
                <w:sz w:val="22"/>
              </w:rPr>
            </w:pPr>
            <w:r w:rsidRPr="008E63BB">
              <w:rPr>
                <w:rFonts w:eastAsia="Times New Roman"/>
                <w:sz w:val="22"/>
              </w:rPr>
              <w:t>784,5</w:t>
            </w:r>
          </w:p>
        </w:tc>
      </w:tr>
      <w:tr w:rsidR="006E16AC" w:rsidRPr="008E63BB" w14:paraId="519B1ECA"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C5" w14:textId="77777777" w:rsidR="006E16AC" w:rsidRPr="008E63BB" w:rsidRDefault="006E16AC" w:rsidP="006E16AC">
            <w:pPr>
              <w:jc w:val="right"/>
              <w:rPr>
                <w:rFonts w:eastAsia="Times New Roman"/>
                <w:sz w:val="22"/>
              </w:rPr>
            </w:pPr>
            <w:r w:rsidRPr="008E63BB">
              <w:rPr>
                <w:rFonts w:eastAsia="Times New Roman"/>
                <w:sz w:val="22"/>
              </w:rPr>
              <w:t>2</w:t>
            </w:r>
          </w:p>
        </w:tc>
        <w:tc>
          <w:tcPr>
            <w:tcW w:w="3420" w:type="dxa"/>
            <w:tcBorders>
              <w:top w:val="nil"/>
              <w:left w:val="nil"/>
              <w:bottom w:val="single" w:sz="4" w:space="0" w:color="auto"/>
              <w:right w:val="single" w:sz="4" w:space="0" w:color="auto"/>
            </w:tcBorders>
            <w:shd w:val="clear" w:color="auto" w:fill="auto"/>
            <w:noWrap/>
            <w:vAlign w:val="center"/>
            <w:hideMark/>
          </w:tcPr>
          <w:p w14:paraId="519B1EC6" w14:textId="77777777" w:rsidR="006E16AC" w:rsidRPr="008E63BB" w:rsidRDefault="006E16AC" w:rsidP="006E16AC">
            <w:pPr>
              <w:jc w:val="left"/>
              <w:rPr>
                <w:rFonts w:eastAsia="Times New Roman"/>
                <w:sz w:val="22"/>
              </w:rPr>
            </w:pPr>
            <w:r w:rsidRPr="008E63BB">
              <w:rPr>
                <w:rFonts w:eastAsia="Times New Roman"/>
                <w:sz w:val="22"/>
              </w:rPr>
              <w:t>X. Thành Lợi</w:t>
            </w:r>
          </w:p>
        </w:tc>
        <w:tc>
          <w:tcPr>
            <w:tcW w:w="1620" w:type="dxa"/>
            <w:tcBorders>
              <w:top w:val="nil"/>
              <w:left w:val="nil"/>
              <w:bottom w:val="single" w:sz="4" w:space="0" w:color="auto"/>
              <w:right w:val="single" w:sz="4" w:space="0" w:color="auto"/>
            </w:tcBorders>
            <w:shd w:val="clear" w:color="auto" w:fill="auto"/>
            <w:noWrap/>
            <w:vAlign w:val="center"/>
            <w:hideMark/>
          </w:tcPr>
          <w:p w14:paraId="519B1EC7" w14:textId="77777777" w:rsidR="006E16AC" w:rsidRPr="008E63BB" w:rsidRDefault="006E16AC" w:rsidP="006E16AC">
            <w:pPr>
              <w:jc w:val="right"/>
              <w:rPr>
                <w:rFonts w:eastAsia="Times New Roman"/>
                <w:sz w:val="22"/>
              </w:rPr>
            </w:pPr>
            <w:r w:rsidRPr="008E63BB">
              <w:rPr>
                <w:rFonts w:eastAsia="Times New Roman"/>
                <w:sz w:val="22"/>
              </w:rPr>
              <w:t>4,27</w:t>
            </w:r>
          </w:p>
        </w:tc>
        <w:tc>
          <w:tcPr>
            <w:tcW w:w="1710" w:type="dxa"/>
            <w:tcBorders>
              <w:top w:val="nil"/>
              <w:left w:val="nil"/>
              <w:bottom w:val="single" w:sz="4" w:space="0" w:color="auto"/>
              <w:right w:val="single" w:sz="4" w:space="0" w:color="auto"/>
            </w:tcBorders>
            <w:shd w:val="clear" w:color="auto" w:fill="auto"/>
            <w:noWrap/>
            <w:vAlign w:val="center"/>
            <w:hideMark/>
          </w:tcPr>
          <w:p w14:paraId="519B1EC8" w14:textId="77777777" w:rsidR="006E16AC" w:rsidRPr="008E63BB" w:rsidRDefault="006E16AC" w:rsidP="006E16AC">
            <w:pPr>
              <w:jc w:val="right"/>
              <w:rPr>
                <w:rFonts w:eastAsia="Times New Roman"/>
                <w:sz w:val="22"/>
              </w:rPr>
            </w:pPr>
            <w:r w:rsidRPr="008E63BB">
              <w:rPr>
                <w:rFonts w:eastAsia="Times New Roman"/>
                <w:sz w:val="22"/>
              </w:rPr>
              <w:t>15.625</w:t>
            </w:r>
          </w:p>
        </w:tc>
        <w:tc>
          <w:tcPr>
            <w:tcW w:w="1710" w:type="dxa"/>
            <w:tcBorders>
              <w:top w:val="nil"/>
              <w:left w:val="nil"/>
              <w:bottom w:val="single" w:sz="4" w:space="0" w:color="auto"/>
              <w:right w:val="single" w:sz="4" w:space="0" w:color="auto"/>
            </w:tcBorders>
            <w:shd w:val="clear" w:color="auto" w:fill="auto"/>
            <w:noWrap/>
            <w:vAlign w:val="center"/>
            <w:hideMark/>
          </w:tcPr>
          <w:p w14:paraId="519B1EC9" w14:textId="77777777" w:rsidR="006E16AC" w:rsidRPr="008E63BB" w:rsidRDefault="006E16AC" w:rsidP="006E16AC">
            <w:pPr>
              <w:jc w:val="right"/>
              <w:rPr>
                <w:rFonts w:eastAsia="Times New Roman"/>
                <w:sz w:val="22"/>
              </w:rPr>
            </w:pPr>
            <w:r w:rsidRPr="008E63BB">
              <w:rPr>
                <w:rFonts w:eastAsia="Times New Roman"/>
                <w:sz w:val="22"/>
              </w:rPr>
              <w:t>3.659,3</w:t>
            </w:r>
          </w:p>
        </w:tc>
      </w:tr>
      <w:tr w:rsidR="006E16AC" w:rsidRPr="008E63BB" w14:paraId="519B1ED0"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CB" w14:textId="77777777" w:rsidR="006E16AC" w:rsidRPr="008E63BB" w:rsidRDefault="006E16AC" w:rsidP="006E16AC">
            <w:pPr>
              <w:jc w:val="right"/>
              <w:rPr>
                <w:rFonts w:eastAsia="Times New Roman"/>
                <w:sz w:val="22"/>
              </w:rPr>
            </w:pPr>
            <w:r w:rsidRPr="008E63BB">
              <w:rPr>
                <w:rFonts w:eastAsia="Times New Roman"/>
                <w:sz w:val="22"/>
              </w:rPr>
              <w:t>3</w:t>
            </w:r>
          </w:p>
        </w:tc>
        <w:tc>
          <w:tcPr>
            <w:tcW w:w="3420" w:type="dxa"/>
            <w:tcBorders>
              <w:top w:val="nil"/>
              <w:left w:val="nil"/>
              <w:bottom w:val="single" w:sz="4" w:space="0" w:color="auto"/>
              <w:right w:val="single" w:sz="4" w:space="0" w:color="auto"/>
            </w:tcBorders>
            <w:shd w:val="clear" w:color="auto" w:fill="auto"/>
            <w:noWrap/>
            <w:vAlign w:val="center"/>
            <w:hideMark/>
          </w:tcPr>
          <w:p w14:paraId="519B1ECC" w14:textId="77777777" w:rsidR="006E16AC" w:rsidRPr="008E63BB" w:rsidRDefault="006E16AC" w:rsidP="006E16AC">
            <w:pPr>
              <w:jc w:val="left"/>
              <w:rPr>
                <w:rFonts w:eastAsia="Times New Roman"/>
                <w:sz w:val="22"/>
              </w:rPr>
            </w:pPr>
            <w:r w:rsidRPr="008E63BB">
              <w:rPr>
                <w:rFonts w:eastAsia="Times New Roman"/>
                <w:sz w:val="22"/>
              </w:rPr>
              <w:t>X. Tân Thành</w:t>
            </w:r>
          </w:p>
        </w:tc>
        <w:tc>
          <w:tcPr>
            <w:tcW w:w="1620" w:type="dxa"/>
            <w:tcBorders>
              <w:top w:val="nil"/>
              <w:left w:val="nil"/>
              <w:bottom w:val="single" w:sz="4" w:space="0" w:color="auto"/>
              <w:right w:val="single" w:sz="4" w:space="0" w:color="auto"/>
            </w:tcBorders>
            <w:shd w:val="clear" w:color="auto" w:fill="auto"/>
            <w:noWrap/>
            <w:vAlign w:val="center"/>
            <w:hideMark/>
          </w:tcPr>
          <w:p w14:paraId="519B1ECD" w14:textId="77777777" w:rsidR="006E16AC" w:rsidRPr="008E63BB" w:rsidRDefault="006E16AC" w:rsidP="006E16AC">
            <w:pPr>
              <w:jc w:val="right"/>
              <w:rPr>
                <w:rFonts w:eastAsia="Times New Roman"/>
                <w:sz w:val="22"/>
              </w:rPr>
            </w:pPr>
            <w:r w:rsidRPr="008E63BB">
              <w:rPr>
                <w:rFonts w:eastAsia="Times New Roman"/>
                <w:sz w:val="22"/>
              </w:rPr>
              <w:t>12,40</w:t>
            </w:r>
          </w:p>
        </w:tc>
        <w:tc>
          <w:tcPr>
            <w:tcW w:w="1710" w:type="dxa"/>
            <w:tcBorders>
              <w:top w:val="nil"/>
              <w:left w:val="nil"/>
              <w:bottom w:val="single" w:sz="4" w:space="0" w:color="auto"/>
              <w:right w:val="single" w:sz="4" w:space="0" w:color="auto"/>
            </w:tcBorders>
            <w:shd w:val="clear" w:color="auto" w:fill="auto"/>
            <w:noWrap/>
            <w:vAlign w:val="center"/>
            <w:hideMark/>
          </w:tcPr>
          <w:p w14:paraId="519B1ECE" w14:textId="77777777" w:rsidR="006E16AC" w:rsidRPr="008E63BB" w:rsidRDefault="006E16AC" w:rsidP="006E16AC">
            <w:pPr>
              <w:jc w:val="right"/>
              <w:rPr>
                <w:rFonts w:eastAsia="Times New Roman"/>
                <w:sz w:val="22"/>
              </w:rPr>
            </w:pPr>
            <w:r w:rsidRPr="008E63BB">
              <w:rPr>
                <w:rFonts w:eastAsia="Times New Roman"/>
                <w:sz w:val="22"/>
              </w:rPr>
              <w:t>4.692</w:t>
            </w:r>
          </w:p>
        </w:tc>
        <w:tc>
          <w:tcPr>
            <w:tcW w:w="1710" w:type="dxa"/>
            <w:tcBorders>
              <w:top w:val="nil"/>
              <w:left w:val="nil"/>
              <w:bottom w:val="single" w:sz="4" w:space="0" w:color="auto"/>
              <w:right w:val="single" w:sz="4" w:space="0" w:color="auto"/>
            </w:tcBorders>
            <w:shd w:val="clear" w:color="auto" w:fill="auto"/>
            <w:noWrap/>
            <w:vAlign w:val="center"/>
            <w:hideMark/>
          </w:tcPr>
          <w:p w14:paraId="519B1ECF" w14:textId="77777777" w:rsidR="006E16AC" w:rsidRPr="008E63BB" w:rsidRDefault="006E16AC" w:rsidP="006E16AC">
            <w:pPr>
              <w:jc w:val="right"/>
              <w:rPr>
                <w:rFonts w:eastAsia="Times New Roman"/>
                <w:sz w:val="22"/>
              </w:rPr>
            </w:pPr>
            <w:r w:rsidRPr="008E63BB">
              <w:rPr>
                <w:rFonts w:eastAsia="Times New Roman"/>
                <w:sz w:val="22"/>
              </w:rPr>
              <w:t>378,4</w:t>
            </w:r>
          </w:p>
        </w:tc>
      </w:tr>
      <w:tr w:rsidR="006E16AC" w:rsidRPr="008E63BB" w14:paraId="519B1ED6" w14:textId="77777777" w:rsidTr="006E16AC">
        <w:trPr>
          <w:gridBefore w:val="1"/>
          <w:gridAfter w:val="1"/>
          <w:wBefore w:w="93" w:type="dxa"/>
          <w:wAfter w:w="262" w:type="dxa"/>
          <w:trHeight w:val="319"/>
        </w:trPr>
        <w:tc>
          <w:tcPr>
            <w:tcW w:w="735" w:type="dxa"/>
            <w:tcBorders>
              <w:top w:val="nil"/>
              <w:left w:val="single" w:sz="4" w:space="0" w:color="auto"/>
              <w:bottom w:val="single" w:sz="4" w:space="0" w:color="auto"/>
              <w:right w:val="single" w:sz="4" w:space="0" w:color="auto"/>
            </w:tcBorders>
            <w:shd w:val="clear" w:color="000000" w:fill="FFE699"/>
            <w:noWrap/>
            <w:vAlign w:val="center"/>
            <w:hideMark/>
          </w:tcPr>
          <w:p w14:paraId="519B1ED1" w14:textId="77777777" w:rsidR="006E16AC" w:rsidRPr="008E63BB" w:rsidRDefault="006E16AC" w:rsidP="006E16AC">
            <w:pPr>
              <w:jc w:val="left"/>
              <w:rPr>
                <w:rFonts w:eastAsia="Times New Roman"/>
                <w:b/>
                <w:bCs/>
                <w:sz w:val="22"/>
              </w:rPr>
            </w:pPr>
            <w:r w:rsidRPr="008E63BB">
              <w:rPr>
                <w:rFonts w:eastAsia="Times New Roman"/>
                <w:b/>
                <w:bCs/>
                <w:sz w:val="22"/>
              </w:rPr>
              <w:t>D</w:t>
            </w:r>
          </w:p>
        </w:tc>
        <w:tc>
          <w:tcPr>
            <w:tcW w:w="3420" w:type="dxa"/>
            <w:tcBorders>
              <w:top w:val="nil"/>
              <w:left w:val="nil"/>
              <w:bottom w:val="single" w:sz="4" w:space="0" w:color="auto"/>
              <w:right w:val="single" w:sz="4" w:space="0" w:color="auto"/>
            </w:tcBorders>
            <w:shd w:val="clear" w:color="000000" w:fill="FFE699"/>
            <w:noWrap/>
            <w:vAlign w:val="center"/>
            <w:hideMark/>
          </w:tcPr>
          <w:p w14:paraId="519B1ED2" w14:textId="77777777" w:rsidR="006E16AC" w:rsidRPr="008E63BB" w:rsidRDefault="006E16AC" w:rsidP="006E16AC">
            <w:pPr>
              <w:jc w:val="left"/>
              <w:rPr>
                <w:rFonts w:eastAsia="Times New Roman"/>
                <w:b/>
                <w:bCs/>
                <w:sz w:val="22"/>
              </w:rPr>
            </w:pPr>
            <w:r w:rsidRPr="008E63BB">
              <w:rPr>
                <w:rFonts w:eastAsia="Times New Roman"/>
                <w:b/>
                <w:bCs/>
                <w:sz w:val="22"/>
              </w:rPr>
              <w:t>H. Nam Trực</w:t>
            </w:r>
          </w:p>
        </w:tc>
        <w:tc>
          <w:tcPr>
            <w:tcW w:w="1620" w:type="dxa"/>
            <w:tcBorders>
              <w:top w:val="nil"/>
              <w:left w:val="nil"/>
              <w:bottom w:val="single" w:sz="4" w:space="0" w:color="auto"/>
              <w:right w:val="single" w:sz="4" w:space="0" w:color="auto"/>
            </w:tcBorders>
            <w:shd w:val="clear" w:color="000000" w:fill="FFE699"/>
            <w:noWrap/>
            <w:vAlign w:val="center"/>
            <w:hideMark/>
          </w:tcPr>
          <w:p w14:paraId="519B1ED3" w14:textId="77777777" w:rsidR="006E16AC" w:rsidRPr="008E63BB" w:rsidRDefault="006E16AC" w:rsidP="006E16AC">
            <w:pPr>
              <w:jc w:val="right"/>
              <w:rPr>
                <w:rFonts w:eastAsia="Times New Roman"/>
                <w:b/>
                <w:bCs/>
                <w:sz w:val="22"/>
              </w:rPr>
            </w:pPr>
            <w:r w:rsidRPr="008E63BB">
              <w:rPr>
                <w:rFonts w:eastAsia="Times New Roman"/>
                <w:b/>
                <w:bCs/>
                <w:sz w:val="22"/>
              </w:rPr>
              <w:t>40,60</w:t>
            </w:r>
          </w:p>
        </w:tc>
        <w:tc>
          <w:tcPr>
            <w:tcW w:w="1710" w:type="dxa"/>
            <w:tcBorders>
              <w:top w:val="nil"/>
              <w:left w:val="nil"/>
              <w:bottom w:val="single" w:sz="4" w:space="0" w:color="auto"/>
              <w:right w:val="single" w:sz="4" w:space="0" w:color="auto"/>
            </w:tcBorders>
            <w:shd w:val="clear" w:color="000000" w:fill="FFE699"/>
            <w:noWrap/>
            <w:vAlign w:val="center"/>
            <w:hideMark/>
          </w:tcPr>
          <w:p w14:paraId="519B1ED4" w14:textId="77777777" w:rsidR="006E16AC" w:rsidRPr="008E63BB" w:rsidRDefault="00841C2D" w:rsidP="006E16AC">
            <w:pPr>
              <w:jc w:val="right"/>
              <w:rPr>
                <w:rFonts w:eastAsia="Times New Roman"/>
                <w:b/>
                <w:bCs/>
                <w:sz w:val="22"/>
              </w:rPr>
            </w:pPr>
            <w:r w:rsidRPr="008E63BB">
              <w:rPr>
                <w:rFonts w:eastAsia="Times New Roman"/>
                <w:b/>
                <w:bCs/>
                <w:sz w:val="22"/>
              </w:rPr>
              <w:t>46.526</w:t>
            </w:r>
          </w:p>
        </w:tc>
        <w:tc>
          <w:tcPr>
            <w:tcW w:w="1710" w:type="dxa"/>
            <w:tcBorders>
              <w:top w:val="nil"/>
              <w:left w:val="nil"/>
              <w:bottom w:val="single" w:sz="4" w:space="0" w:color="auto"/>
              <w:right w:val="single" w:sz="4" w:space="0" w:color="auto"/>
            </w:tcBorders>
            <w:shd w:val="clear" w:color="000000" w:fill="FFE699"/>
            <w:noWrap/>
            <w:vAlign w:val="center"/>
            <w:hideMark/>
          </w:tcPr>
          <w:p w14:paraId="519B1ED5" w14:textId="77777777" w:rsidR="006E16AC" w:rsidRPr="008E63BB" w:rsidRDefault="00841C2D" w:rsidP="006E16AC">
            <w:pPr>
              <w:jc w:val="right"/>
              <w:rPr>
                <w:rFonts w:eastAsia="Times New Roman"/>
                <w:b/>
                <w:bCs/>
                <w:sz w:val="22"/>
              </w:rPr>
            </w:pPr>
            <w:r w:rsidRPr="008E63BB">
              <w:rPr>
                <w:rFonts w:eastAsia="Times New Roman"/>
                <w:b/>
                <w:bCs/>
                <w:sz w:val="22"/>
              </w:rPr>
              <w:t>1.146,0</w:t>
            </w:r>
          </w:p>
        </w:tc>
      </w:tr>
      <w:tr w:rsidR="006E16AC" w:rsidRPr="008E63BB" w14:paraId="519B1EDC"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D7" w14:textId="77777777" w:rsidR="006E16AC" w:rsidRPr="008E63BB" w:rsidRDefault="006E16AC" w:rsidP="006E16AC">
            <w:pPr>
              <w:jc w:val="right"/>
              <w:rPr>
                <w:rFonts w:eastAsia="Times New Roman"/>
                <w:sz w:val="22"/>
              </w:rPr>
            </w:pPr>
            <w:r w:rsidRPr="008E63BB">
              <w:rPr>
                <w:rFonts w:eastAsia="Times New Roman"/>
                <w:sz w:val="22"/>
              </w:rPr>
              <w:t>1</w:t>
            </w:r>
          </w:p>
        </w:tc>
        <w:tc>
          <w:tcPr>
            <w:tcW w:w="3420" w:type="dxa"/>
            <w:tcBorders>
              <w:top w:val="nil"/>
              <w:left w:val="nil"/>
              <w:bottom w:val="single" w:sz="4" w:space="0" w:color="auto"/>
              <w:right w:val="single" w:sz="4" w:space="0" w:color="auto"/>
            </w:tcBorders>
            <w:shd w:val="clear" w:color="auto" w:fill="auto"/>
            <w:noWrap/>
            <w:vAlign w:val="center"/>
            <w:hideMark/>
          </w:tcPr>
          <w:p w14:paraId="519B1ED8" w14:textId="77777777" w:rsidR="006E16AC" w:rsidRPr="008E63BB" w:rsidRDefault="006E16AC" w:rsidP="006E16AC">
            <w:pPr>
              <w:jc w:val="left"/>
              <w:rPr>
                <w:rFonts w:eastAsia="Times New Roman"/>
                <w:sz w:val="22"/>
              </w:rPr>
            </w:pPr>
            <w:r w:rsidRPr="008E63BB">
              <w:rPr>
                <w:rFonts w:eastAsia="Times New Roman"/>
                <w:sz w:val="22"/>
              </w:rPr>
              <w:t>X. Nam Mỹ</w:t>
            </w:r>
          </w:p>
        </w:tc>
        <w:tc>
          <w:tcPr>
            <w:tcW w:w="1620" w:type="dxa"/>
            <w:tcBorders>
              <w:top w:val="nil"/>
              <w:left w:val="nil"/>
              <w:bottom w:val="single" w:sz="4" w:space="0" w:color="auto"/>
              <w:right w:val="single" w:sz="4" w:space="0" w:color="auto"/>
            </w:tcBorders>
            <w:shd w:val="clear" w:color="auto" w:fill="auto"/>
            <w:noWrap/>
            <w:vAlign w:val="center"/>
            <w:hideMark/>
          </w:tcPr>
          <w:p w14:paraId="519B1ED9" w14:textId="77777777" w:rsidR="006E16AC" w:rsidRPr="008E63BB" w:rsidRDefault="006E16AC" w:rsidP="006E16AC">
            <w:pPr>
              <w:jc w:val="right"/>
              <w:rPr>
                <w:rFonts w:eastAsia="Times New Roman"/>
                <w:sz w:val="22"/>
              </w:rPr>
            </w:pPr>
            <w:r w:rsidRPr="008E63BB">
              <w:rPr>
                <w:rFonts w:eastAsia="Times New Roman"/>
                <w:sz w:val="22"/>
              </w:rPr>
              <w:t>4,33</w:t>
            </w:r>
          </w:p>
        </w:tc>
        <w:tc>
          <w:tcPr>
            <w:tcW w:w="1710" w:type="dxa"/>
            <w:tcBorders>
              <w:top w:val="nil"/>
              <w:left w:val="nil"/>
              <w:bottom w:val="single" w:sz="4" w:space="0" w:color="auto"/>
              <w:right w:val="single" w:sz="4" w:space="0" w:color="auto"/>
            </w:tcBorders>
            <w:shd w:val="clear" w:color="auto" w:fill="auto"/>
            <w:noWrap/>
            <w:vAlign w:val="center"/>
            <w:hideMark/>
          </w:tcPr>
          <w:p w14:paraId="519B1EDA" w14:textId="77777777" w:rsidR="006E16AC" w:rsidRPr="008E63BB" w:rsidRDefault="006E16AC" w:rsidP="006E16AC">
            <w:pPr>
              <w:jc w:val="right"/>
              <w:rPr>
                <w:rFonts w:eastAsia="Times New Roman"/>
                <w:sz w:val="22"/>
              </w:rPr>
            </w:pPr>
            <w:r w:rsidRPr="008E63BB">
              <w:rPr>
                <w:rFonts w:eastAsia="Times New Roman"/>
                <w:sz w:val="22"/>
              </w:rPr>
              <w:t>6.144</w:t>
            </w:r>
          </w:p>
        </w:tc>
        <w:tc>
          <w:tcPr>
            <w:tcW w:w="1710" w:type="dxa"/>
            <w:tcBorders>
              <w:top w:val="nil"/>
              <w:left w:val="nil"/>
              <w:bottom w:val="single" w:sz="4" w:space="0" w:color="auto"/>
              <w:right w:val="single" w:sz="4" w:space="0" w:color="auto"/>
            </w:tcBorders>
            <w:shd w:val="clear" w:color="auto" w:fill="auto"/>
            <w:noWrap/>
            <w:vAlign w:val="center"/>
            <w:hideMark/>
          </w:tcPr>
          <w:p w14:paraId="519B1EDB" w14:textId="77777777" w:rsidR="006E16AC" w:rsidRPr="008E63BB" w:rsidRDefault="006E16AC" w:rsidP="006E16AC">
            <w:pPr>
              <w:jc w:val="right"/>
              <w:rPr>
                <w:rFonts w:eastAsia="Times New Roman"/>
                <w:sz w:val="22"/>
              </w:rPr>
            </w:pPr>
            <w:r w:rsidRPr="008E63BB">
              <w:rPr>
                <w:rFonts w:eastAsia="Times New Roman"/>
                <w:sz w:val="22"/>
              </w:rPr>
              <w:t>1.418,9</w:t>
            </w:r>
          </w:p>
        </w:tc>
      </w:tr>
      <w:tr w:rsidR="006E16AC" w:rsidRPr="008E63BB" w14:paraId="519B1EE2"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DD" w14:textId="77777777" w:rsidR="006E16AC" w:rsidRPr="008E63BB" w:rsidRDefault="006E16AC" w:rsidP="006E16AC">
            <w:pPr>
              <w:jc w:val="right"/>
              <w:rPr>
                <w:rFonts w:eastAsia="Times New Roman"/>
                <w:sz w:val="22"/>
              </w:rPr>
            </w:pPr>
            <w:r w:rsidRPr="008E63BB">
              <w:rPr>
                <w:rFonts w:eastAsia="Times New Roman"/>
                <w:sz w:val="22"/>
              </w:rPr>
              <w:t>2</w:t>
            </w:r>
          </w:p>
        </w:tc>
        <w:tc>
          <w:tcPr>
            <w:tcW w:w="3420" w:type="dxa"/>
            <w:tcBorders>
              <w:top w:val="nil"/>
              <w:left w:val="nil"/>
              <w:bottom w:val="single" w:sz="4" w:space="0" w:color="auto"/>
              <w:right w:val="single" w:sz="4" w:space="0" w:color="auto"/>
            </w:tcBorders>
            <w:shd w:val="clear" w:color="auto" w:fill="auto"/>
            <w:noWrap/>
            <w:vAlign w:val="center"/>
            <w:hideMark/>
          </w:tcPr>
          <w:p w14:paraId="519B1EDE" w14:textId="77777777" w:rsidR="006E16AC" w:rsidRPr="008E63BB" w:rsidRDefault="006E16AC" w:rsidP="006E16AC">
            <w:pPr>
              <w:jc w:val="left"/>
              <w:rPr>
                <w:rFonts w:eastAsia="Times New Roman"/>
                <w:sz w:val="22"/>
              </w:rPr>
            </w:pPr>
            <w:r w:rsidRPr="008E63BB">
              <w:rPr>
                <w:rFonts w:eastAsia="Times New Roman"/>
                <w:sz w:val="22"/>
              </w:rPr>
              <w:t>X. Điền Xá</w:t>
            </w:r>
          </w:p>
        </w:tc>
        <w:tc>
          <w:tcPr>
            <w:tcW w:w="1620" w:type="dxa"/>
            <w:tcBorders>
              <w:top w:val="nil"/>
              <w:left w:val="nil"/>
              <w:bottom w:val="single" w:sz="4" w:space="0" w:color="auto"/>
              <w:right w:val="single" w:sz="4" w:space="0" w:color="auto"/>
            </w:tcBorders>
            <w:shd w:val="clear" w:color="auto" w:fill="auto"/>
            <w:noWrap/>
            <w:vAlign w:val="center"/>
            <w:hideMark/>
          </w:tcPr>
          <w:p w14:paraId="519B1EDF" w14:textId="77777777" w:rsidR="006E16AC" w:rsidRPr="008E63BB" w:rsidRDefault="006E16AC" w:rsidP="006E16AC">
            <w:pPr>
              <w:jc w:val="right"/>
              <w:rPr>
                <w:rFonts w:eastAsia="Times New Roman"/>
                <w:sz w:val="22"/>
              </w:rPr>
            </w:pPr>
            <w:r w:rsidRPr="008E63BB">
              <w:rPr>
                <w:rFonts w:eastAsia="Times New Roman"/>
                <w:sz w:val="22"/>
              </w:rPr>
              <w:t>10,41</w:t>
            </w:r>
          </w:p>
        </w:tc>
        <w:tc>
          <w:tcPr>
            <w:tcW w:w="1710" w:type="dxa"/>
            <w:tcBorders>
              <w:top w:val="nil"/>
              <w:left w:val="nil"/>
              <w:bottom w:val="single" w:sz="4" w:space="0" w:color="auto"/>
              <w:right w:val="single" w:sz="4" w:space="0" w:color="auto"/>
            </w:tcBorders>
            <w:shd w:val="clear" w:color="auto" w:fill="auto"/>
            <w:noWrap/>
            <w:vAlign w:val="center"/>
            <w:hideMark/>
          </w:tcPr>
          <w:p w14:paraId="519B1EE0" w14:textId="77777777" w:rsidR="006E16AC" w:rsidRPr="008E63BB" w:rsidRDefault="00B36C28" w:rsidP="006E16AC">
            <w:pPr>
              <w:jc w:val="right"/>
              <w:rPr>
                <w:rFonts w:eastAsia="Times New Roman"/>
                <w:sz w:val="22"/>
              </w:rPr>
            </w:pPr>
            <w:r w:rsidRPr="008E63BB">
              <w:rPr>
                <w:rFonts w:eastAsia="Times New Roman"/>
                <w:sz w:val="22"/>
              </w:rPr>
              <w:t>1</w:t>
            </w:r>
            <w:r w:rsidR="006E16AC" w:rsidRPr="008E63BB">
              <w:rPr>
                <w:rFonts w:eastAsia="Times New Roman"/>
                <w:sz w:val="22"/>
              </w:rPr>
              <w:t>2</w:t>
            </w:r>
            <w:r w:rsidRPr="008E63BB">
              <w:rPr>
                <w:rFonts w:eastAsia="Times New Roman"/>
                <w:sz w:val="22"/>
              </w:rPr>
              <w:t>.</w:t>
            </w:r>
            <w:r w:rsidR="006E16AC" w:rsidRPr="008E63BB">
              <w:rPr>
                <w:rFonts w:eastAsia="Times New Roman"/>
                <w:sz w:val="22"/>
              </w:rPr>
              <w:t>10</w:t>
            </w:r>
            <w:r w:rsidRPr="008E63BB">
              <w:rPr>
                <w:rFonts w:eastAsia="Times New Roman"/>
                <w:sz w:val="22"/>
              </w:rPr>
              <w:t>0</w:t>
            </w:r>
          </w:p>
        </w:tc>
        <w:tc>
          <w:tcPr>
            <w:tcW w:w="1710" w:type="dxa"/>
            <w:tcBorders>
              <w:top w:val="nil"/>
              <w:left w:val="nil"/>
              <w:bottom w:val="single" w:sz="4" w:space="0" w:color="auto"/>
              <w:right w:val="single" w:sz="4" w:space="0" w:color="auto"/>
            </w:tcBorders>
            <w:shd w:val="clear" w:color="auto" w:fill="auto"/>
            <w:noWrap/>
            <w:vAlign w:val="center"/>
            <w:hideMark/>
          </w:tcPr>
          <w:p w14:paraId="519B1EE1" w14:textId="77777777" w:rsidR="006E16AC" w:rsidRPr="008E63BB" w:rsidRDefault="006E16AC" w:rsidP="006E16AC">
            <w:pPr>
              <w:jc w:val="right"/>
              <w:rPr>
                <w:rFonts w:eastAsia="Times New Roman"/>
                <w:sz w:val="22"/>
              </w:rPr>
            </w:pPr>
            <w:r w:rsidRPr="008E63BB">
              <w:rPr>
                <w:rFonts w:eastAsia="Times New Roman"/>
                <w:sz w:val="22"/>
              </w:rPr>
              <w:t>1</w:t>
            </w:r>
            <w:r w:rsidR="00841C2D" w:rsidRPr="008E63BB">
              <w:rPr>
                <w:rFonts w:eastAsia="Times New Roman"/>
                <w:sz w:val="22"/>
              </w:rPr>
              <w:t>.16</w:t>
            </w:r>
            <w:r w:rsidRPr="008E63BB">
              <w:rPr>
                <w:rFonts w:eastAsia="Times New Roman"/>
                <w:sz w:val="22"/>
              </w:rPr>
              <w:t>2</w:t>
            </w:r>
            <w:r w:rsidR="00841C2D" w:rsidRPr="008E63BB">
              <w:rPr>
                <w:rFonts w:eastAsia="Times New Roman"/>
                <w:sz w:val="22"/>
              </w:rPr>
              <w:t>,3</w:t>
            </w:r>
          </w:p>
        </w:tc>
      </w:tr>
      <w:tr w:rsidR="006E16AC" w:rsidRPr="008E63BB" w14:paraId="519B1EE8"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E3" w14:textId="77777777" w:rsidR="006E16AC" w:rsidRPr="008E63BB" w:rsidRDefault="006E16AC" w:rsidP="006E16AC">
            <w:pPr>
              <w:jc w:val="right"/>
              <w:rPr>
                <w:rFonts w:eastAsia="Times New Roman"/>
                <w:sz w:val="22"/>
              </w:rPr>
            </w:pPr>
            <w:r w:rsidRPr="008E63BB">
              <w:rPr>
                <w:rFonts w:eastAsia="Times New Roman"/>
                <w:sz w:val="22"/>
              </w:rPr>
              <w:t>3</w:t>
            </w:r>
          </w:p>
        </w:tc>
        <w:tc>
          <w:tcPr>
            <w:tcW w:w="3420" w:type="dxa"/>
            <w:tcBorders>
              <w:top w:val="nil"/>
              <w:left w:val="nil"/>
              <w:bottom w:val="single" w:sz="4" w:space="0" w:color="auto"/>
              <w:right w:val="single" w:sz="4" w:space="0" w:color="auto"/>
            </w:tcBorders>
            <w:shd w:val="clear" w:color="auto" w:fill="auto"/>
            <w:noWrap/>
            <w:vAlign w:val="center"/>
            <w:hideMark/>
          </w:tcPr>
          <w:p w14:paraId="519B1EE4" w14:textId="77777777" w:rsidR="006E16AC" w:rsidRPr="008E63BB" w:rsidRDefault="006E16AC" w:rsidP="006E16AC">
            <w:pPr>
              <w:jc w:val="left"/>
              <w:rPr>
                <w:rFonts w:eastAsia="Times New Roman"/>
                <w:sz w:val="22"/>
              </w:rPr>
            </w:pPr>
            <w:r w:rsidRPr="008E63BB">
              <w:rPr>
                <w:rFonts w:eastAsia="Times New Roman"/>
                <w:sz w:val="22"/>
              </w:rPr>
              <w:t>X. Nghĩa An</w:t>
            </w:r>
          </w:p>
        </w:tc>
        <w:tc>
          <w:tcPr>
            <w:tcW w:w="1620" w:type="dxa"/>
            <w:tcBorders>
              <w:top w:val="nil"/>
              <w:left w:val="nil"/>
              <w:bottom w:val="single" w:sz="4" w:space="0" w:color="auto"/>
              <w:right w:val="single" w:sz="4" w:space="0" w:color="auto"/>
            </w:tcBorders>
            <w:shd w:val="clear" w:color="auto" w:fill="auto"/>
            <w:noWrap/>
            <w:vAlign w:val="center"/>
            <w:hideMark/>
          </w:tcPr>
          <w:p w14:paraId="519B1EE5" w14:textId="77777777" w:rsidR="006E16AC" w:rsidRPr="008E63BB" w:rsidRDefault="006E16AC" w:rsidP="006E16AC">
            <w:pPr>
              <w:jc w:val="right"/>
              <w:rPr>
                <w:rFonts w:eastAsia="Times New Roman"/>
                <w:sz w:val="22"/>
              </w:rPr>
            </w:pPr>
            <w:r w:rsidRPr="008E63BB">
              <w:rPr>
                <w:rFonts w:eastAsia="Times New Roman"/>
                <w:sz w:val="22"/>
              </w:rPr>
              <w:t>11,32</w:t>
            </w:r>
          </w:p>
        </w:tc>
        <w:tc>
          <w:tcPr>
            <w:tcW w:w="1710" w:type="dxa"/>
            <w:tcBorders>
              <w:top w:val="nil"/>
              <w:left w:val="nil"/>
              <w:bottom w:val="single" w:sz="4" w:space="0" w:color="auto"/>
              <w:right w:val="single" w:sz="4" w:space="0" w:color="auto"/>
            </w:tcBorders>
            <w:shd w:val="clear" w:color="auto" w:fill="auto"/>
            <w:noWrap/>
            <w:vAlign w:val="center"/>
            <w:hideMark/>
          </w:tcPr>
          <w:p w14:paraId="519B1EE6" w14:textId="77777777" w:rsidR="006E16AC" w:rsidRPr="008E63BB" w:rsidRDefault="006E16AC" w:rsidP="006E16AC">
            <w:pPr>
              <w:jc w:val="right"/>
              <w:rPr>
                <w:rFonts w:eastAsia="Times New Roman"/>
                <w:sz w:val="22"/>
              </w:rPr>
            </w:pPr>
            <w:r w:rsidRPr="008E63BB">
              <w:rPr>
                <w:rFonts w:eastAsia="Times New Roman"/>
                <w:sz w:val="22"/>
              </w:rPr>
              <w:t>10.499</w:t>
            </w:r>
          </w:p>
        </w:tc>
        <w:tc>
          <w:tcPr>
            <w:tcW w:w="1710" w:type="dxa"/>
            <w:tcBorders>
              <w:top w:val="nil"/>
              <w:left w:val="nil"/>
              <w:bottom w:val="single" w:sz="4" w:space="0" w:color="auto"/>
              <w:right w:val="single" w:sz="4" w:space="0" w:color="auto"/>
            </w:tcBorders>
            <w:shd w:val="clear" w:color="auto" w:fill="auto"/>
            <w:noWrap/>
            <w:vAlign w:val="center"/>
            <w:hideMark/>
          </w:tcPr>
          <w:p w14:paraId="519B1EE7" w14:textId="77777777" w:rsidR="006E16AC" w:rsidRPr="008E63BB" w:rsidRDefault="006E16AC" w:rsidP="006E16AC">
            <w:pPr>
              <w:jc w:val="right"/>
              <w:rPr>
                <w:rFonts w:eastAsia="Times New Roman"/>
                <w:sz w:val="22"/>
              </w:rPr>
            </w:pPr>
            <w:r w:rsidRPr="008E63BB">
              <w:rPr>
                <w:rFonts w:eastAsia="Times New Roman"/>
                <w:sz w:val="22"/>
              </w:rPr>
              <w:t>927,5</w:t>
            </w:r>
          </w:p>
        </w:tc>
      </w:tr>
      <w:tr w:rsidR="006E16AC" w:rsidRPr="008E63BB" w14:paraId="519B1EEE"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E9" w14:textId="77777777" w:rsidR="006E16AC" w:rsidRPr="008E63BB" w:rsidRDefault="006E16AC" w:rsidP="006E16AC">
            <w:pPr>
              <w:jc w:val="right"/>
              <w:rPr>
                <w:rFonts w:eastAsia="Times New Roman"/>
                <w:sz w:val="22"/>
              </w:rPr>
            </w:pPr>
            <w:r w:rsidRPr="008E63BB">
              <w:rPr>
                <w:rFonts w:eastAsia="Times New Roman"/>
                <w:sz w:val="22"/>
              </w:rPr>
              <w:t>4</w:t>
            </w:r>
          </w:p>
        </w:tc>
        <w:tc>
          <w:tcPr>
            <w:tcW w:w="3420" w:type="dxa"/>
            <w:tcBorders>
              <w:top w:val="nil"/>
              <w:left w:val="nil"/>
              <w:bottom w:val="single" w:sz="4" w:space="0" w:color="auto"/>
              <w:right w:val="single" w:sz="4" w:space="0" w:color="auto"/>
            </w:tcBorders>
            <w:shd w:val="clear" w:color="auto" w:fill="auto"/>
            <w:noWrap/>
            <w:vAlign w:val="center"/>
            <w:hideMark/>
          </w:tcPr>
          <w:p w14:paraId="519B1EEA" w14:textId="77777777" w:rsidR="006E16AC" w:rsidRPr="008E63BB" w:rsidRDefault="006E16AC" w:rsidP="006E16AC">
            <w:pPr>
              <w:jc w:val="left"/>
              <w:rPr>
                <w:rFonts w:eastAsia="Times New Roman"/>
                <w:sz w:val="22"/>
              </w:rPr>
            </w:pPr>
            <w:r w:rsidRPr="008E63BB">
              <w:rPr>
                <w:rFonts w:eastAsia="Times New Roman"/>
                <w:sz w:val="22"/>
              </w:rPr>
              <w:t>X. Nam Toàn</w:t>
            </w:r>
          </w:p>
        </w:tc>
        <w:tc>
          <w:tcPr>
            <w:tcW w:w="1620" w:type="dxa"/>
            <w:tcBorders>
              <w:top w:val="nil"/>
              <w:left w:val="nil"/>
              <w:bottom w:val="single" w:sz="4" w:space="0" w:color="auto"/>
              <w:right w:val="single" w:sz="4" w:space="0" w:color="auto"/>
            </w:tcBorders>
            <w:shd w:val="clear" w:color="auto" w:fill="auto"/>
            <w:noWrap/>
            <w:vAlign w:val="center"/>
            <w:hideMark/>
          </w:tcPr>
          <w:p w14:paraId="519B1EEB" w14:textId="77777777" w:rsidR="006E16AC" w:rsidRPr="008E63BB" w:rsidRDefault="006E16AC" w:rsidP="006E16AC">
            <w:pPr>
              <w:jc w:val="right"/>
              <w:rPr>
                <w:rFonts w:eastAsia="Times New Roman"/>
                <w:sz w:val="22"/>
              </w:rPr>
            </w:pPr>
            <w:r w:rsidRPr="008E63BB">
              <w:rPr>
                <w:rFonts w:eastAsia="Times New Roman"/>
                <w:sz w:val="22"/>
              </w:rPr>
              <w:t>3,95</w:t>
            </w:r>
          </w:p>
        </w:tc>
        <w:tc>
          <w:tcPr>
            <w:tcW w:w="1710" w:type="dxa"/>
            <w:tcBorders>
              <w:top w:val="nil"/>
              <w:left w:val="nil"/>
              <w:bottom w:val="single" w:sz="4" w:space="0" w:color="auto"/>
              <w:right w:val="single" w:sz="4" w:space="0" w:color="auto"/>
            </w:tcBorders>
            <w:shd w:val="clear" w:color="auto" w:fill="auto"/>
            <w:noWrap/>
            <w:vAlign w:val="center"/>
            <w:hideMark/>
          </w:tcPr>
          <w:p w14:paraId="519B1EEC" w14:textId="77777777" w:rsidR="006E16AC" w:rsidRPr="008E63BB" w:rsidRDefault="006E16AC" w:rsidP="006E16AC">
            <w:pPr>
              <w:jc w:val="right"/>
              <w:rPr>
                <w:rFonts w:eastAsia="Times New Roman"/>
                <w:sz w:val="22"/>
              </w:rPr>
            </w:pPr>
            <w:r w:rsidRPr="008E63BB">
              <w:rPr>
                <w:rFonts w:eastAsia="Times New Roman"/>
                <w:sz w:val="22"/>
              </w:rPr>
              <w:t>4.343</w:t>
            </w:r>
          </w:p>
        </w:tc>
        <w:tc>
          <w:tcPr>
            <w:tcW w:w="1710" w:type="dxa"/>
            <w:tcBorders>
              <w:top w:val="nil"/>
              <w:left w:val="nil"/>
              <w:bottom w:val="single" w:sz="4" w:space="0" w:color="auto"/>
              <w:right w:val="single" w:sz="4" w:space="0" w:color="auto"/>
            </w:tcBorders>
            <w:shd w:val="clear" w:color="auto" w:fill="auto"/>
            <w:noWrap/>
            <w:vAlign w:val="center"/>
            <w:hideMark/>
          </w:tcPr>
          <w:p w14:paraId="519B1EED" w14:textId="77777777" w:rsidR="006E16AC" w:rsidRPr="008E63BB" w:rsidRDefault="006E16AC" w:rsidP="006E16AC">
            <w:pPr>
              <w:jc w:val="right"/>
              <w:rPr>
                <w:rFonts w:eastAsia="Times New Roman"/>
                <w:sz w:val="22"/>
              </w:rPr>
            </w:pPr>
            <w:r w:rsidRPr="008E63BB">
              <w:rPr>
                <w:rFonts w:eastAsia="Times New Roman"/>
                <w:sz w:val="22"/>
              </w:rPr>
              <w:t>1.099,5</w:t>
            </w:r>
          </w:p>
        </w:tc>
      </w:tr>
      <w:tr w:rsidR="006E16AC" w:rsidRPr="008E63BB" w14:paraId="519B1EF4" w14:textId="77777777" w:rsidTr="006E16AC">
        <w:trPr>
          <w:gridBefore w:val="1"/>
          <w:gridAfter w:val="1"/>
          <w:wBefore w:w="93" w:type="dxa"/>
          <w:wAfter w:w="262" w:type="dxa"/>
          <w:trHeight w:val="315"/>
        </w:trPr>
        <w:tc>
          <w:tcPr>
            <w:tcW w:w="735" w:type="dxa"/>
            <w:tcBorders>
              <w:top w:val="nil"/>
              <w:left w:val="single" w:sz="4" w:space="0" w:color="auto"/>
              <w:bottom w:val="single" w:sz="4" w:space="0" w:color="auto"/>
              <w:right w:val="single" w:sz="4" w:space="0" w:color="auto"/>
            </w:tcBorders>
            <w:shd w:val="clear" w:color="auto" w:fill="auto"/>
            <w:noWrap/>
            <w:vAlign w:val="center"/>
            <w:hideMark/>
          </w:tcPr>
          <w:p w14:paraId="519B1EEF" w14:textId="77777777" w:rsidR="006E16AC" w:rsidRPr="008E63BB" w:rsidRDefault="006E16AC" w:rsidP="006E16AC">
            <w:pPr>
              <w:jc w:val="right"/>
              <w:rPr>
                <w:rFonts w:eastAsia="Times New Roman"/>
                <w:sz w:val="22"/>
              </w:rPr>
            </w:pPr>
            <w:r w:rsidRPr="008E63BB">
              <w:rPr>
                <w:rFonts w:eastAsia="Times New Roman"/>
                <w:sz w:val="22"/>
              </w:rPr>
              <w:t>5</w:t>
            </w:r>
          </w:p>
        </w:tc>
        <w:tc>
          <w:tcPr>
            <w:tcW w:w="3420" w:type="dxa"/>
            <w:tcBorders>
              <w:top w:val="nil"/>
              <w:left w:val="nil"/>
              <w:bottom w:val="single" w:sz="4" w:space="0" w:color="auto"/>
              <w:right w:val="single" w:sz="4" w:space="0" w:color="auto"/>
            </w:tcBorders>
            <w:shd w:val="clear" w:color="auto" w:fill="auto"/>
            <w:noWrap/>
            <w:vAlign w:val="center"/>
            <w:hideMark/>
          </w:tcPr>
          <w:p w14:paraId="519B1EF0" w14:textId="77777777" w:rsidR="006E16AC" w:rsidRPr="008E63BB" w:rsidRDefault="006E16AC" w:rsidP="006E16AC">
            <w:pPr>
              <w:jc w:val="left"/>
              <w:rPr>
                <w:rFonts w:eastAsia="Times New Roman"/>
                <w:sz w:val="22"/>
              </w:rPr>
            </w:pPr>
            <w:r w:rsidRPr="008E63BB">
              <w:rPr>
                <w:rFonts w:eastAsia="Times New Roman"/>
                <w:sz w:val="22"/>
              </w:rPr>
              <w:t>X. Hồng Quang</w:t>
            </w:r>
          </w:p>
        </w:tc>
        <w:tc>
          <w:tcPr>
            <w:tcW w:w="1620" w:type="dxa"/>
            <w:tcBorders>
              <w:top w:val="nil"/>
              <w:left w:val="nil"/>
              <w:bottom w:val="single" w:sz="4" w:space="0" w:color="auto"/>
              <w:right w:val="single" w:sz="4" w:space="0" w:color="auto"/>
            </w:tcBorders>
            <w:shd w:val="clear" w:color="auto" w:fill="auto"/>
            <w:noWrap/>
            <w:vAlign w:val="center"/>
            <w:hideMark/>
          </w:tcPr>
          <w:p w14:paraId="519B1EF1" w14:textId="77777777" w:rsidR="006E16AC" w:rsidRPr="008E63BB" w:rsidRDefault="006E16AC" w:rsidP="006E16AC">
            <w:pPr>
              <w:jc w:val="right"/>
              <w:rPr>
                <w:rFonts w:eastAsia="Times New Roman"/>
                <w:sz w:val="22"/>
              </w:rPr>
            </w:pPr>
            <w:r w:rsidRPr="008E63BB">
              <w:rPr>
                <w:rFonts w:eastAsia="Times New Roman"/>
                <w:sz w:val="22"/>
              </w:rPr>
              <w:t>10,59</w:t>
            </w:r>
          </w:p>
        </w:tc>
        <w:tc>
          <w:tcPr>
            <w:tcW w:w="1710" w:type="dxa"/>
            <w:tcBorders>
              <w:top w:val="nil"/>
              <w:left w:val="nil"/>
              <w:bottom w:val="single" w:sz="4" w:space="0" w:color="auto"/>
              <w:right w:val="single" w:sz="4" w:space="0" w:color="auto"/>
            </w:tcBorders>
            <w:shd w:val="clear" w:color="auto" w:fill="auto"/>
            <w:noWrap/>
            <w:vAlign w:val="center"/>
            <w:hideMark/>
          </w:tcPr>
          <w:p w14:paraId="519B1EF2" w14:textId="77777777" w:rsidR="006E16AC" w:rsidRPr="008E63BB" w:rsidRDefault="006E16AC" w:rsidP="006E16AC">
            <w:pPr>
              <w:jc w:val="right"/>
              <w:rPr>
                <w:rFonts w:eastAsia="Times New Roman"/>
                <w:sz w:val="22"/>
              </w:rPr>
            </w:pPr>
            <w:r w:rsidRPr="008E63BB">
              <w:rPr>
                <w:rFonts w:eastAsia="Times New Roman"/>
                <w:sz w:val="22"/>
              </w:rPr>
              <w:t>13.440</w:t>
            </w:r>
          </w:p>
        </w:tc>
        <w:tc>
          <w:tcPr>
            <w:tcW w:w="1710" w:type="dxa"/>
            <w:tcBorders>
              <w:top w:val="nil"/>
              <w:left w:val="nil"/>
              <w:bottom w:val="single" w:sz="4" w:space="0" w:color="auto"/>
              <w:right w:val="single" w:sz="4" w:space="0" w:color="auto"/>
            </w:tcBorders>
            <w:shd w:val="clear" w:color="auto" w:fill="auto"/>
            <w:noWrap/>
            <w:vAlign w:val="center"/>
            <w:hideMark/>
          </w:tcPr>
          <w:p w14:paraId="519B1EF3" w14:textId="77777777" w:rsidR="006E16AC" w:rsidRPr="008E63BB" w:rsidRDefault="006E16AC" w:rsidP="006E16AC">
            <w:pPr>
              <w:jc w:val="right"/>
              <w:rPr>
                <w:rFonts w:eastAsia="Times New Roman"/>
                <w:sz w:val="22"/>
              </w:rPr>
            </w:pPr>
            <w:r w:rsidRPr="008E63BB">
              <w:rPr>
                <w:rFonts w:eastAsia="Times New Roman"/>
                <w:sz w:val="22"/>
              </w:rPr>
              <w:t>1.269,1</w:t>
            </w:r>
          </w:p>
        </w:tc>
      </w:tr>
      <w:tr w:rsidR="006E16AC" w:rsidRPr="008E63BB" w14:paraId="519B1EF7" w14:textId="77777777" w:rsidTr="006E16AC">
        <w:trPr>
          <w:trHeight w:val="980"/>
        </w:trPr>
        <w:tc>
          <w:tcPr>
            <w:tcW w:w="9550" w:type="dxa"/>
            <w:gridSpan w:val="7"/>
            <w:tcBorders>
              <w:top w:val="nil"/>
              <w:left w:val="nil"/>
              <w:right w:val="nil"/>
            </w:tcBorders>
            <w:shd w:val="clear" w:color="auto" w:fill="auto"/>
            <w:noWrap/>
            <w:vAlign w:val="center"/>
            <w:hideMark/>
          </w:tcPr>
          <w:p w14:paraId="519B1EF5" w14:textId="77777777" w:rsidR="006E16AC" w:rsidRPr="008E63BB" w:rsidRDefault="006E16AC" w:rsidP="006E16AC">
            <w:pPr>
              <w:rPr>
                <w:i/>
              </w:rPr>
            </w:pPr>
            <w:r w:rsidRPr="008E63BB">
              <w:rPr>
                <w:rFonts w:eastAsia="Times New Roman"/>
                <w:bCs/>
                <w:i/>
                <w:sz w:val="24"/>
                <w:szCs w:val="24"/>
                <w:lang w:val="pt-BR" w:eastAsia="zh-CN"/>
              </w:rPr>
              <w:t xml:space="preserve">Nguồn: </w:t>
            </w:r>
            <w:r w:rsidRPr="008E63BB">
              <w:rPr>
                <w:i/>
              </w:rPr>
              <w:t>Niên giám thống kê 2018 và số liệu năm 2019</w:t>
            </w:r>
          </w:p>
          <w:p w14:paraId="519B1EF6" w14:textId="77777777" w:rsidR="006E16AC" w:rsidRPr="008E63BB" w:rsidRDefault="006E16AC" w:rsidP="006E16AC">
            <w:pPr>
              <w:rPr>
                <w:rFonts w:eastAsia="Times New Roman"/>
                <w:bCs/>
                <w:i/>
                <w:sz w:val="24"/>
                <w:szCs w:val="24"/>
                <w:lang w:val="pt-BR" w:eastAsia="zh-CN"/>
              </w:rPr>
            </w:pPr>
            <w:r w:rsidRPr="008E63BB">
              <w:rPr>
                <w:i/>
              </w:rPr>
              <w:t>* Ghi chú: Nghị Quyết số 721/NQ-UBTVQH14 ngày 16/7/2019 của Ủy ban thường vụ Quốc hội v/v thành lập phường Lộc Hòa và phường Mỹ Xá thuộc thành phố Nam Định, tỉnh Nam Định) và 3 xã ngoại thành: Lộc An, Nam Phong, Nam Vân</w:t>
            </w:r>
          </w:p>
        </w:tc>
      </w:tr>
    </w:tbl>
    <w:p w14:paraId="519B1EF8" w14:textId="77777777" w:rsidR="00B05317" w:rsidRPr="008E63BB" w:rsidRDefault="00B05317" w:rsidP="0065184D">
      <w:pPr>
        <w:rPr>
          <w:lang w:val="pt-BR"/>
        </w:rPr>
      </w:pPr>
    </w:p>
    <w:p w14:paraId="519B1EF9" w14:textId="77777777" w:rsidR="000D7B83" w:rsidRPr="008E63BB" w:rsidRDefault="000D7B83" w:rsidP="0065184D">
      <w:pPr>
        <w:ind w:firstLine="720"/>
        <w:rPr>
          <w:sz w:val="24"/>
          <w:szCs w:val="24"/>
        </w:rPr>
        <w:sectPr w:rsidR="000D7B83" w:rsidRPr="008E63BB" w:rsidSect="003D057A">
          <w:footerReference w:type="default" r:id="rId21"/>
          <w:pgSz w:w="11907" w:h="16840" w:code="9"/>
          <w:pgMar w:top="1134" w:right="924" w:bottom="1134" w:left="1701" w:header="720" w:footer="720" w:gutter="0"/>
          <w:cols w:space="720"/>
          <w:docGrid w:linePitch="360"/>
        </w:sectPr>
      </w:pPr>
    </w:p>
    <w:p w14:paraId="519B1EFA" w14:textId="77777777" w:rsidR="00DC5F42" w:rsidRPr="008E63BB" w:rsidRDefault="00DC5F42" w:rsidP="003D057A">
      <w:pPr>
        <w:jc w:val="center"/>
        <w:rPr>
          <w:b/>
          <w:sz w:val="24"/>
          <w:szCs w:val="24"/>
        </w:rPr>
      </w:pPr>
      <w:r w:rsidRPr="008E63BB">
        <w:rPr>
          <w:b/>
          <w:sz w:val="24"/>
          <w:szCs w:val="24"/>
        </w:rPr>
        <w:lastRenderedPageBreak/>
        <w:t>Bảng hiện trạng dân số, diện tích, mật độ dân số khu vực lập quy hoạch và toàn tỉnh Nam Định</w:t>
      </w:r>
    </w:p>
    <w:tbl>
      <w:tblPr>
        <w:tblW w:w="15940" w:type="dxa"/>
        <w:tblInd w:w="-882" w:type="dxa"/>
        <w:tblLook w:val="04A0" w:firstRow="1" w:lastRow="0" w:firstColumn="1" w:lastColumn="0" w:noHBand="0" w:noVBand="1"/>
      </w:tblPr>
      <w:tblGrid>
        <w:gridCol w:w="461"/>
        <w:gridCol w:w="1335"/>
        <w:gridCol w:w="916"/>
        <w:gridCol w:w="1016"/>
        <w:gridCol w:w="1016"/>
        <w:gridCol w:w="1196"/>
        <w:gridCol w:w="1064"/>
        <w:gridCol w:w="1016"/>
        <w:gridCol w:w="1016"/>
        <w:gridCol w:w="1016"/>
        <w:gridCol w:w="1016"/>
        <w:gridCol w:w="1016"/>
        <w:gridCol w:w="1016"/>
        <w:gridCol w:w="1016"/>
        <w:gridCol w:w="1016"/>
        <w:gridCol w:w="808"/>
      </w:tblGrid>
      <w:tr w:rsidR="008D5BFE" w:rsidRPr="008E63BB" w14:paraId="519B1F00" w14:textId="77777777" w:rsidTr="003E3015">
        <w:trPr>
          <w:trHeight w:val="261"/>
        </w:trPr>
        <w:tc>
          <w:tcPr>
            <w:tcW w:w="4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EFB" w14:textId="77777777" w:rsidR="00DC5F42" w:rsidRPr="008E63BB" w:rsidRDefault="00DC5F42" w:rsidP="00885AB5">
            <w:pPr>
              <w:jc w:val="center"/>
              <w:rPr>
                <w:rFonts w:eastAsia="Times New Roman"/>
                <w:sz w:val="20"/>
                <w:szCs w:val="20"/>
              </w:rPr>
            </w:pPr>
            <w:r w:rsidRPr="008E63BB">
              <w:rPr>
                <w:rFonts w:eastAsia="Times New Roman"/>
                <w:sz w:val="20"/>
                <w:szCs w:val="20"/>
              </w:rPr>
              <w:t>TT</w:t>
            </w:r>
          </w:p>
        </w:tc>
        <w:tc>
          <w:tcPr>
            <w:tcW w:w="1335" w:type="dxa"/>
            <w:vMerge w:val="restart"/>
            <w:tcBorders>
              <w:top w:val="single" w:sz="4" w:space="0" w:color="auto"/>
              <w:left w:val="single" w:sz="4" w:space="0" w:color="auto"/>
              <w:right w:val="single" w:sz="4" w:space="0" w:color="auto"/>
            </w:tcBorders>
          </w:tcPr>
          <w:p w14:paraId="519B1EFC" w14:textId="77777777" w:rsidR="00DC5F42" w:rsidRPr="008E63BB" w:rsidRDefault="00DC5F42" w:rsidP="00885AB5">
            <w:pPr>
              <w:jc w:val="center"/>
              <w:rPr>
                <w:rFonts w:eastAsia="Times New Roman"/>
                <w:sz w:val="20"/>
                <w:szCs w:val="20"/>
              </w:rPr>
            </w:pPr>
            <w:r w:rsidRPr="008E63BB">
              <w:rPr>
                <w:rFonts w:eastAsia="Times New Roman"/>
                <w:sz w:val="20"/>
                <w:szCs w:val="20"/>
              </w:rPr>
              <w:t>Danh mục</w:t>
            </w:r>
          </w:p>
        </w:tc>
        <w:tc>
          <w:tcPr>
            <w:tcW w:w="9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1EFD" w14:textId="77777777" w:rsidR="00DC5F42" w:rsidRPr="008E63BB" w:rsidRDefault="00DC5F42" w:rsidP="00885AB5">
            <w:pPr>
              <w:jc w:val="center"/>
              <w:rPr>
                <w:rFonts w:eastAsia="Times New Roman"/>
                <w:sz w:val="20"/>
                <w:szCs w:val="20"/>
              </w:rPr>
            </w:pPr>
            <w:r w:rsidRPr="008E63BB">
              <w:rPr>
                <w:rFonts w:eastAsia="Times New Roman"/>
                <w:sz w:val="20"/>
                <w:szCs w:val="20"/>
              </w:rPr>
              <w:t>Diện tích (km2)</w:t>
            </w:r>
          </w:p>
        </w:tc>
        <w:tc>
          <w:tcPr>
            <w:tcW w:w="12420" w:type="dxa"/>
            <w:gridSpan w:val="12"/>
            <w:tcBorders>
              <w:top w:val="single" w:sz="4" w:space="0" w:color="auto"/>
              <w:left w:val="nil"/>
              <w:bottom w:val="single" w:sz="4" w:space="0" w:color="auto"/>
              <w:right w:val="single" w:sz="4" w:space="0" w:color="auto"/>
            </w:tcBorders>
            <w:shd w:val="clear" w:color="auto" w:fill="auto"/>
            <w:noWrap/>
            <w:vAlign w:val="center"/>
            <w:hideMark/>
          </w:tcPr>
          <w:p w14:paraId="519B1EFE" w14:textId="77777777" w:rsidR="00DC5F42" w:rsidRPr="008E63BB" w:rsidRDefault="00DC5F42" w:rsidP="00885AB5">
            <w:pPr>
              <w:jc w:val="center"/>
              <w:rPr>
                <w:rFonts w:eastAsia="Times New Roman"/>
                <w:sz w:val="20"/>
                <w:szCs w:val="20"/>
              </w:rPr>
            </w:pPr>
            <w:r w:rsidRPr="008E63BB">
              <w:rPr>
                <w:rFonts w:eastAsia="Times New Roman"/>
                <w:sz w:val="20"/>
                <w:szCs w:val="20"/>
              </w:rPr>
              <w:t>Dân số (người)</w:t>
            </w:r>
          </w:p>
        </w:tc>
        <w:tc>
          <w:tcPr>
            <w:tcW w:w="808" w:type="dxa"/>
            <w:vMerge w:val="restart"/>
            <w:tcBorders>
              <w:top w:val="single" w:sz="4" w:space="0" w:color="auto"/>
              <w:left w:val="single" w:sz="4" w:space="0" w:color="auto"/>
              <w:right w:val="single" w:sz="4" w:space="0" w:color="auto"/>
            </w:tcBorders>
            <w:shd w:val="clear" w:color="auto" w:fill="auto"/>
            <w:vAlign w:val="center"/>
            <w:hideMark/>
          </w:tcPr>
          <w:p w14:paraId="519B1EFF" w14:textId="77777777" w:rsidR="00DC5F42" w:rsidRPr="008E63BB" w:rsidRDefault="00DC5F42" w:rsidP="00885AB5">
            <w:pPr>
              <w:jc w:val="center"/>
              <w:rPr>
                <w:rFonts w:eastAsia="Times New Roman"/>
                <w:sz w:val="20"/>
                <w:szCs w:val="20"/>
              </w:rPr>
            </w:pPr>
            <w:r w:rsidRPr="008E63BB">
              <w:rPr>
                <w:rFonts w:eastAsia="Times New Roman"/>
                <w:sz w:val="20"/>
                <w:szCs w:val="20"/>
              </w:rPr>
              <w:t>Mật độ dân số (người/ km2)</w:t>
            </w:r>
          </w:p>
        </w:tc>
      </w:tr>
      <w:tr w:rsidR="008D5BFE" w:rsidRPr="008E63BB" w14:paraId="519B1F11" w14:textId="77777777" w:rsidTr="003E3015">
        <w:trPr>
          <w:trHeight w:val="271"/>
        </w:trPr>
        <w:tc>
          <w:tcPr>
            <w:tcW w:w="461" w:type="dxa"/>
            <w:vMerge/>
            <w:tcBorders>
              <w:top w:val="single" w:sz="4" w:space="0" w:color="auto"/>
              <w:left w:val="single" w:sz="4" w:space="0" w:color="auto"/>
              <w:bottom w:val="single" w:sz="4" w:space="0" w:color="auto"/>
              <w:right w:val="single" w:sz="4" w:space="0" w:color="auto"/>
            </w:tcBorders>
            <w:vAlign w:val="center"/>
            <w:hideMark/>
          </w:tcPr>
          <w:p w14:paraId="519B1F01" w14:textId="77777777" w:rsidR="00DC5F42" w:rsidRPr="008E63BB" w:rsidRDefault="00DC5F42" w:rsidP="00885AB5">
            <w:pPr>
              <w:jc w:val="left"/>
              <w:rPr>
                <w:rFonts w:eastAsia="Times New Roman"/>
                <w:sz w:val="20"/>
                <w:szCs w:val="20"/>
              </w:rPr>
            </w:pPr>
          </w:p>
        </w:tc>
        <w:tc>
          <w:tcPr>
            <w:tcW w:w="1335" w:type="dxa"/>
            <w:vMerge/>
            <w:tcBorders>
              <w:left w:val="single" w:sz="4" w:space="0" w:color="auto"/>
              <w:bottom w:val="single" w:sz="4" w:space="0" w:color="auto"/>
              <w:right w:val="single" w:sz="4" w:space="0" w:color="auto"/>
            </w:tcBorders>
          </w:tcPr>
          <w:p w14:paraId="519B1F02" w14:textId="77777777" w:rsidR="00DC5F42" w:rsidRPr="008E63BB" w:rsidRDefault="00DC5F42" w:rsidP="00885AB5">
            <w:pPr>
              <w:jc w:val="left"/>
              <w:rPr>
                <w:rFonts w:eastAsia="Times New Roman"/>
                <w:sz w:val="20"/>
                <w:szCs w:val="20"/>
              </w:rPr>
            </w:pPr>
          </w:p>
        </w:tc>
        <w:tc>
          <w:tcPr>
            <w:tcW w:w="916" w:type="dxa"/>
            <w:vMerge/>
            <w:tcBorders>
              <w:top w:val="single" w:sz="4" w:space="0" w:color="auto"/>
              <w:left w:val="single" w:sz="4" w:space="0" w:color="auto"/>
              <w:bottom w:val="single" w:sz="4" w:space="0" w:color="auto"/>
              <w:right w:val="single" w:sz="4" w:space="0" w:color="auto"/>
            </w:tcBorders>
            <w:vAlign w:val="center"/>
            <w:hideMark/>
          </w:tcPr>
          <w:p w14:paraId="519B1F03" w14:textId="77777777" w:rsidR="00DC5F42" w:rsidRPr="008E63BB" w:rsidRDefault="00DC5F42" w:rsidP="00885AB5">
            <w:pPr>
              <w:jc w:val="left"/>
              <w:rPr>
                <w:rFonts w:eastAsia="Times New Roman"/>
                <w:sz w:val="20"/>
                <w:szCs w:val="20"/>
              </w:rPr>
            </w:pPr>
          </w:p>
        </w:tc>
        <w:tc>
          <w:tcPr>
            <w:tcW w:w="1016" w:type="dxa"/>
            <w:tcBorders>
              <w:top w:val="nil"/>
              <w:left w:val="nil"/>
              <w:bottom w:val="single" w:sz="4" w:space="0" w:color="auto"/>
              <w:right w:val="single" w:sz="4" w:space="0" w:color="auto"/>
            </w:tcBorders>
            <w:shd w:val="clear" w:color="auto" w:fill="auto"/>
            <w:noWrap/>
            <w:vAlign w:val="center"/>
            <w:hideMark/>
          </w:tcPr>
          <w:p w14:paraId="519B1F04" w14:textId="77777777" w:rsidR="00DC5F42" w:rsidRPr="008E63BB" w:rsidRDefault="00DC5F42" w:rsidP="00885AB5">
            <w:pPr>
              <w:jc w:val="center"/>
              <w:rPr>
                <w:rFonts w:eastAsia="Times New Roman"/>
                <w:sz w:val="20"/>
                <w:szCs w:val="20"/>
              </w:rPr>
            </w:pPr>
            <w:r w:rsidRPr="008E63BB">
              <w:rPr>
                <w:rFonts w:eastAsia="Times New Roman"/>
                <w:sz w:val="20"/>
                <w:szCs w:val="20"/>
              </w:rPr>
              <w:t>2008</w:t>
            </w:r>
          </w:p>
        </w:tc>
        <w:tc>
          <w:tcPr>
            <w:tcW w:w="1016" w:type="dxa"/>
            <w:tcBorders>
              <w:top w:val="nil"/>
              <w:left w:val="nil"/>
              <w:bottom w:val="single" w:sz="4" w:space="0" w:color="auto"/>
              <w:right w:val="single" w:sz="4" w:space="0" w:color="auto"/>
            </w:tcBorders>
            <w:shd w:val="clear" w:color="auto" w:fill="auto"/>
            <w:noWrap/>
            <w:vAlign w:val="center"/>
            <w:hideMark/>
          </w:tcPr>
          <w:p w14:paraId="519B1F05" w14:textId="77777777" w:rsidR="00DC5F42" w:rsidRPr="008E63BB" w:rsidRDefault="00DC5F42" w:rsidP="00885AB5">
            <w:pPr>
              <w:jc w:val="center"/>
              <w:rPr>
                <w:rFonts w:eastAsia="Times New Roman"/>
                <w:sz w:val="20"/>
                <w:szCs w:val="20"/>
              </w:rPr>
            </w:pPr>
            <w:r w:rsidRPr="008E63BB">
              <w:rPr>
                <w:rFonts w:eastAsia="Times New Roman"/>
                <w:sz w:val="20"/>
                <w:szCs w:val="20"/>
              </w:rPr>
              <w:t>2009</w:t>
            </w:r>
          </w:p>
        </w:tc>
        <w:tc>
          <w:tcPr>
            <w:tcW w:w="1196" w:type="dxa"/>
            <w:tcBorders>
              <w:top w:val="nil"/>
              <w:left w:val="nil"/>
              <w:bottom w:val="single" w:sz="4" w:space="0" w:color="auto"/>
              <w:right w:val="single" w:sz="4" w:space="0" w:color="auto"/>
            </w:tcBorders>
            <w:shd w:val="clear" w:color="auto" w:fill="auto"/>
            <w:noWrap/>
            <w:vAlign w:val="center"/>
            <w:hideMark/>
          </w:tcPr>
          <w:p w14:paraId="519B1F06" w14:textId="77777777" w:rsidR="00DC5F42" w:rsidRPr="008E63BB" w:rsidRDefault="00DC5F42" w:rsidP="00885AB5">
            <w:pPr>
              <w:jc w:val="center"/>
              <w:rPr>
                <w:rFonts w:eastAsia="Times New Roman"/>
                <w:sz w:val="20"/>
                <w:szCs w:val="20"/>
              </w:rPr>
            </w:pPr>
            <w:r w:rsidRPr="008E63BB">
              <w:rPr>
                <w:rFonts w:eastAsia="Times New Roman"/>
                <w:sz w:val="20"/>
                <w:szCs w:val="20"/>
              </w:rPr>
              <w:t>2010</w:t>
            </w:r>
          </w:p>
        </w:tc>
        <w:tc>
          <w:tcPr>
            <w:tcW w:w="1064" w:type="dxa"/>
            <w:tcBorders>
              <w:top w:val="nil"/>
              <w:left w:val="nil"/>
              <w:bottom w:val="single" w:sz="4" w:space="0" w:color="auto"/>
              <w:right w:val="single" w:sz="4" w:space="0" w:color="auto"/>
            </w:tcBorders>
            <w:shd w:val="clear" w:color="auto" w:fill="auto"/>
            <w:noWrap/>
            <w:vAlign w:val="center"/>
            <w:hideMark/>
          </w:tcPr>
          <w:p w14:paraId="519B1F07" w14:textId="77777777" w:rsidR="00DC5F42" w:rsidRPr="008E63BB" w:rsidRDefault="00DC5F42" w:rsidP="00885AB5">
            <w:pPr>
              <w:jc w:val="center"/>
              <w:rPr>
                <w:rFonts w:eastAsia="Times New Roman"/>
                <w:sz w:val="20"/>
                <w:szCs w:val="20"/>
              </w:rPr>
            </w:pPr>
            <w:r w:rsidRPr="008E63BB">
              <w:rPr>
                <w:rFonts w:eastAsia="Times New Roman"/>
                <w:sz w:val="20"/>
                <w:szCs w:val="20"/>
              </w:rPr>
              <w:t>2011</w:t>
            </w:r>
          </w:p>
        </w:tc>
        <w:tc>
          <w:tcPr>
            <w:tcW w:w="1016" w:type="dxa"/>
            <w:tcBorders>
              <w:top w:val="nil"/>
              <w:left w:val="nil"/>
              <w:bottom w:val="single" w:sz="4" w:space="0" w:color="auto"/>
              <w:right w:val="single" w:sz="4" w:space="0" w:color="auto"/>
            </w:tcBorders>
            <w:shd w:val="clear" w:color="auto" w:fill="auto"/>
            <w:noWrap/>
            <w:vAlign w:val="center"/>
            <w:hideMark/>
          </w:tcPr>
          <w:p w14:paraId="519B1F08" w14:textId="77777777" w:rsidR="00DC5F42" w:rsidRPr="008E63BB" w:rsidRDefault="00DC5F42" w:rsidP="00885AB5">
            <w:pPr>
              <w:jc w:val="center"/>
              <w:rPr>
                <w:rFonts w:eastAsia="Times New Roman"/>
                <w:sz w:val="20"/>
                <w:szCs w:val="20"/>
              </w:rPr>
            </w:pPr>
            <w:r w:rsidRPr="008E63BB">
              <w:rPr>
                <w:rFonts w:eastAsia="Times New Roman"/>
                <w:sz w:val="20"/>
                <w:szCs w:val="20"/>
              </w:rPr>
              <w:t>2012</w:t>
            </w:r>
          </w:p>
        </w:tc>
        <w:tc>
          <w:tcPr>
            <w:tcW w:w="1016" w:type="dxa"/>
            <w:tcBorders>
              <w:top w:val="nil"/>
              <w:left w:val="nil"/>
              <w:bottom w:val="single" w:sz="4" w:space="0" w:color="auto"/>
              <w:right w:val="single" w:sz="4" w:space="0" w:color="auto"/>
            </w:tcBorders>
            <w:shd w:val="clear" w:color="auto" w:fill="auto"/>
            <w:noWrap/>
            <w:vAlign w:val="center"/>
            <w:hideMark/>
          </w:tcPr>
          <w:p w14:paraId="519B1F09" w14:textId="77777777" w:rsidR="00DC5F42" w:rsidRPr="008E63BB" w:rsidRDefault="00DC5F42" w:rsidP="00885AB5">
            <w:pPr>
              <w:jc w:val="center"/>
              <w:rPr>
                <w:rFonts w:eastAsia="Times New Roman"/>
                <w:sz w:val="20"/>
                <w:szCs w:val="20"/>
              </w:rPr>
            </w:pPr>
            <w:r w:rsidRPr="008E63BB">
              <w:rPr>
                <w:rFonts w:eastAsia="Times New Roman"/>
                <w:sz w:val="20"/>
                <w:szCs w:val="20"/>
              </w:rPr>
              <w:t>2013</w:t>
            </w:r>
          </w:p>
        </w:tc>
        <w:tc>
          <w:tcPr>
            <w:tcW w:w="1016" w:type="dxa"/>
            <w:tcBorders>
              <w:top w:val="nil"/>
              <w:left w:val="nil"/>
              <w:bottom w:val="single" w:sz="4" w:space="0" w:color="auto"/>
              <w:right w:val="single" w:sz="4" w:space="0" w:color="auto"/>
            </w:tcBorders>
            <w:shd w:val="clear" w:color="auto" w:fill="auto"/>
            <w:noWrap/>
            <w:vAlign w:val="center"/>
            <w:hideMark/>
          </w:tcPr>
          <w:p w14:paraId="519B1F0A" w14:textId="77777777" w:rsidR="00DC5F42" w:rsidRPr="008E63BB" w:rsidRDefault="00DC5F42" w:rsidP="00885AB5">
            <w:pPr>
              <w:jc w:val="center"/>
              <w:rPr>
                <w:rFonts w:eastAsia="Times New Roman"/>
                <w:sz w:val="20"/>
                <w:szCs w:val="20"/>
              </w:rPr>
            </w:pPr>
            <w:r w:rsidRPr="008E63BB">
              <w:rPr>
                <w:rFonts w:eastAsia="Times New Roman"/>
                <w:sz w:val="20"/>
                <w:szCs w:val="20"/>
              </w:rPr>
              <w:t>2014</w:t>
            </w:r>
          </w:p>
        </w:tc>
        <w:tc>
          <w:tcPr>
            <w:tcW w:w="1016" w:type="dxa"/>
            <w:tcBorders>
              <w:top w:val="nil"/>
              <w:left w:val="nil"/>
              <w:bottom w:val="single" w:sz="4" w:space="0" w:color="auto"/>
              <w:right w:val="single" w:sz="4" w:space="0" w:color="auto"/>
            </w:tcBorders>
            <w:shd w:val="clear" w:color="auto" w:fill="auto"/>
            <w:noWrap/>
            <w:vAlign w:val="center"/>
            <w:hideMark/>
          </w:tcPr>
          <w:p w14:paraId="519B1F0B" w14:textId="77777777" w:rsidR="00DC5F42" w:rsidRPr="008E63BB" w:rsidRDefault="00DC5F42" w:rsidP="00885AB5">
            <w:pPr>
              <w:jc w:val="center"/>
              <w:rPr>
                <w:rFonts w:eastAsia="Times New Roman"/>
                <w:sz w:val="20"/>
                <w:szCs w:val="20"/>
              </w:rPr>
            </w:pPr>
            <w:r w:rsidRPr="008E63BB">
              <w:rPr>
                <w:rFonts w:eastAsia="Times New Roman"/>
                <w:sz w:val="20"/>
                <w:szCs w:val="20"/>
              </w:rPr>
              <w:t>2015</w:t>
            </w:r>
          </w:p>
        </w:tc>
        <w:tc>
          <w:tcPr>
            <w:tcW w:w="1016" w:type="dxa"/>
            <w:tcBorders>
              <w:top w:val="nil"/>
              <w:left w:val="nil"/>
              <w:bottom w:val="single" w:sz="4" w:space="0" w:color="auto"/>
              <w:right w:val="single" w:sz="4" w:space="0" w:color="auto"/>
            </w:tcBorders>
            <w:shd w:val="clear" w:color="auto" w:fill="auto"/>
            <w:noWrap/>
            <w:vAlign w:val="center"/>
            <w:hideMark/>
          </w:tcPr>
          <w:p w14:paraId="519B1F0C" w14:textId="77777777" w:rsidR="00DC5F42" w:rsidRPr="008E63BB" w:rsidRDefault="00DC5F42" w:rsidP="00885AB5">
            <w:pPr>
              <w:jc w:val="center"/>
              <w:rPr>
                <w:rFonts w:eastAsia="Times New Roman"/>
                <w:sz w:val="20"/>
                <w:szCs w:val="20"/>
              </w:rPr>
            </w:pPr>
            <w:r w:rsidRPr="008E63BB">
              <w:rPr>
                <w:rFonts w:eastAsia="Times New Roman"/>
                <w:sz w:val="20"/>
                <w:szCs w:val="20"/>
              </w:rPr>
              <w:t>2016</w:t>
            </w:r>
          </w:p>
        </w:tc>
        <w:tc>
          <w:tcPr>
            <w:tcW w:w="1016" w:type="dxa"/>
            <w:tcBorders>
              <w:top w:val="nil"/>
              <w:left w:val="nil"/>
              <w:bottom w:val="single" w:sz="4" w:space="0" w:color="auto"/>
              <w:right w:val="single" w:sz="4" w:space="0" w:color="auto"/>
            </w:tcBorders>
            <w:shd w:val="clear" w:color="auto" w:fill="auto"/>
            <w:noWrap/>
            <w:vAlign w:val="center"/>
            <w:hideMark/>
          </w:tcPr>
          <w:p w14:paraId="519B1F0D" w14:textId="77777777" w:rsidR="00DC5F42" w:rsidRPr="008E63BB" w:rsidRDefault="00DC5F42" w:rsidP="00885AB5">
            <w:pPr>
              <w:jc w:val="center"/>
              <w:rPr>
                <w:rFonts w:eastAsia="Times New Roman"/>
                <w:sz w:val="20"/>
                <w:szCs w:val="20"/>
              </w:rPr>
            </w:pPr>
            <w:r w:rsidRPr="008E63BB">
              <w:rPr>
                <w:rFonts w:eastAsia="Times New Roman"/>
                <w:sz w:val="20"/>
                <w:szCs w:val="20"/>
              </w:rPr>
              <w:t>2017</w:t>
            </w:r>
          </w:p>
        </w:tc>
        <w:tc>
          <w:tcPr>
            <w:tcW w:w="1016" w:type="dxa"/>
            <w:tcBorders>
              <w:top w:val="nil"/>
              <w:left w:val="nil"/>
              <w:bottom w:val="single" w:sz="4" w:space="0" w:color="auto"/>
              <w:right w:val="single" w:sz="4" w:space="0" w:color="auto"/>
            </w:tcBorders>
            <w:shd w:val="clear" w:color="auto" w:fill="auto"/>
            <w:noWrap/>
            <w:vAlign w:val="center"/>
            <w:hideMark/>
          </w:tcPr>
          <w:p w14:paraId="519B1F0E" w14:textId="77777777" w:rsidR="00DC5F42" w:rsidRPr="008E63BB" w:rsidRDefault="00DC5F42" w:rsidP="00885AB5">
            <w:pPr>
              <w:jc w:val="center"/>
              <w:rPr>
                <w:rFonts w:eastAsia="Times New Roman"/>
                <w:sz w:val="20"/>
                <w:szCs w:val="20"/>
              </w:rPr>
            </w:pPr>
            <w:r w:rsidRPr="008E63BB">
              <w:rPr>
                <w:rFonts w:eastAsia="Times New Roman"/>
                <w:sz w:val="20"/>
                <w:szCs w:val="20"/>
              </w:rPr>
              <w:t>2018</w:t>
            </w:r>
          </w:p>
        </w:tc>
        <w:tc>
          <w:tcPr>
            <w:tcW w:w="1016" w:type="dxa"/>
            <w:tcBorders>
              <w:top w:val="nil"/>
              <w:left w:val="nil"/>
              <w:bottom w:val="single" w:sz="4" w:space="0" w:color="auto"/>
              <w:right w:val="single" w:sz="4" w:space="0" w:color="auto"/>
            </w:tcBorders>
            <w:shd w:val="clear" w:color="auto" w:fill="auto"/>
            <w:noWrap/>
            <w:vAlign w:val="center"/>
            <w:hideMark/>
          </w:tcPr>
          <w:p w14:paraId="519B1F0F" w14:textId="77777777" w:rsidR="00DC5F42" w:rsidRPr="008E63BB" w:rsidRDefault="00DC5F42" w:rsidP="00885AB5">
            <w:pPr>
              <w:jc w:val="center"/>
              <w:rPr>
                <w:rFonts w:eastAsia="Times New Roman"/>
                <w:sz w:val="20"/>
                <w:szCs w:val="20"/>
              </w:rPr>
            </w:pPr>
            <w:r w:rsidRPr="008E63BB">
              <w:rPr>
                <w:rFonts w:eastAsia="Times New Roman"/>
                <w:sz w:val="20"/>
                <w:szCs w:val="20"/>
              </w:rPr>
              <w:t>2019</w:t>
            </w:r>
          </w:p>
        </w:tc>
        <w:tc>
          <w:tcPr>
            <w:tcW w:w="808" w:type="dxa"/>
            <w:vMerge/>
            <w:tcBorders>
              <w:left w:val="single" w:sz="4" w:space="0" w:color="auto"/>
              <w:bottom w:val="single" w:sz="4" w:space="0" w:color="auto"/>
              <w:right w:val="single" w:sz="4" w:space="0" w:color="auto"/>
            </w:tcBorders>
            <w:vAlign w:val="center"/>
            <w:hideMark/>
          </w:tcPr>
          <w:p w14:paraId="519B1F10" w14:textId="77777777" w:rsidR="00DC5F42" w:rsidRPr="008E63BB" w:rsidRDefault="00DC5F42" w:rsidP="00885AB5">
            <w:pPr>
              <w:jc w:val="left"/>
              <w:rPr>
                <w:rFonts w:eastAsia="Times New Roman"/>
                <w:sz w:val="20"/>
                <w:szCs w:val="20"/>
              </w:rPr>
            </w:pPr>
          </w:p>
        </w:tc>
      </w:tr>
      <w:tr w:rsidR="008D5BFE" w:rsidRPr="008E63BB" w14:paraId="519B1F22" w14:textId="77777777" w:rsidTr="003E3015">
        <w:trPr>
          <w:trHeight w:val="26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19B1F12" w14:textId="77777777" w:rsidR="00DC5F42" w:rsidRPr="008E63BB" w:rsidRDefault="00DC5F42" w:rsidP="00885AB5">
            <w:pPr>
              <w:jc w:val="right"/>
              <w:rPr>
                <w:rFonts w:eastAsia="Times New Roman"/>
                <w:sz w:val="20"/>
                <w:szCs w:val="20"/>
              </w:rPr>
            </w:pPr>
            <w:r w:rsidRPr="008E63BB">
              <w:rPr>
                <w:rFonts w:eastAsia="Times New Roman"/>
                <w:sz w:val="20"/>
                <w:szCs w:val="20"/>
              </w:rPr>
              <w:t>1</w:t>
            </w:r>
          </w:p>
        </w:tc>
        <w:tc>
          <w:tcPr>
            <w:tcW w:w="1335" w:type="dxa"/>
            <w:tcBorders>
              <w:top w:val="nil"/>
              <w:left w:val="nil"/>
              <w:bottom w:val="single" w:sz="4" w:space="0" w:color="auto"/>
              <w:right w:val="single" w:sz="4" w:space="0" w:color="auto"/>
            </w:tcBorders>
          </w:tcPr>
          <w:p w14:paraId="519B1F13" w14:textId="77777777" w:rsidR="00DC5F42" w:rsidRPr="008E63BB" w:rsidRDefault="00DC5F42" w:rsidP="00885AB5">
            <w:pPr>
              <w:jc w:val="left"/>
              <w:rPr>
                <w:rFonts w:eastAsia="Times New Roman"/>
                <w:sz w:val="20"/>
                <w:szCs w:val="20"/>
              </w:rPr>
            </w:pPr>
            <w:r w:rsidRPr="008E63BB">
              <w:rPr>
                <w:rFonts w:eastAsia="Times New Roman"/>
                <w:sz w:val="20"/>
                <w:szCs w:val="20"/>
              </w:rPr>
              <w:t>Toàn tỉnh nam định</w:t>
            </w:r>
          </w:p>
        </w:tc>
        <w:tc>
          <w:tcPr>
            <w:tcW w:w="916" w:type="dxa"/>
            <w:tcBorders>
              <w:top w:val="nil"/>
              <w:left w:val="nil"/>
              <w:bottom w:val="single" w:sz="4" w:space="0" w:color="auto"/>
              <w:right w:val="single" w:sz="4" w:space="0" w:color="auto"/>
            </w:tcBorders>
            <w:shd w:val="clear" w:color="auto" w:fill="auto"/>
            <w:noWrap/>
            <w:vAlign w:val="center"/>
            <w:hideMark/>
          </w:tcPr>
          <w:p w14:paraId="519B1F14" w14:textId="77777777" w:rsidR="00DC5F42" w:rsidRPr="008E63BB" w:rsidRDefault="00DC5F42" w:rsidP="00885AB5">
            <w:pPr>
              <w:jc w:val="right"/>
              <w:rPr>
                <w:rFonts w:eastAsia="Times New Roman"/>
                <w:sz w:val="20"/>
                <w:szCs w:val="20"/>
              </w:rPr>
            </w:pPr>
            <w:r w:rsidRPr="008E63BB">
              <w:rPr>
                <w:rFonts w:eastAsia="Times New Roman"/>
                <w:sz w:val="20"/>
                <w:szCs w:val="20"/>
              </w:rPr>
              <w:t>1.668,54</w:t>
            </w:r>
          </w:p>
        </w:tc>
        <w:tc>
          <w:tcPr>
            <w:tcW w:w="1016" w:type="dxa"/>
            <w:tcBorders>
              <w:top w:val="nil"/>
              <w:left w:val="nil"/>
              <w:bottom w:val="single" w:sz="4" w:space="0" w:color="auto"/>
              <w:right w:val="single" w:sz="4" w:space="0" w:color="auto"/>
            </w:tcBorders>
            <w:shd w:val="clear" w:color="auto" w:fill="auto"/>
            <w:noWrap/>
            <w:vAlign w:val="center"/>
            <w:hideMark/>
          </w:tcPr>
          <w:p w14:paraId="519B1F15" w14:textId="77777777" w:rsidR="00DC5F42" w:rsidRPr="008E63BB" w:rsidRDefault="00DC5F42" w:rsidP="00885AB5">
            <w:pPr>
              <w:jc w:val="right"/>
              <w:rPr>
                <w:rFonts w:eastAsia="Times New Roman"/>
                <w:sz w:val="20"/>
                <w:szCs w:val="20"/>
              </w:rPr>
            </w:pPr>
            <w:r w:rsidRPr="008E63BB">
              <w:rPr>
                <w:rFonts w:eastAsia="Times New Roman"/>
                <w:sz w:val="20"/>
                <w:szCs w:val="20"/>
              </w:rPr>
              <w:t>1.826.126</w:t>
            </w:r>
          </w:p>
        </w:tc>
        <w:tc>
          <w:tcPr>
            <w:tcW w:w="1016" w:type="dxa"/>
            <w:tcBorders>
              <w:top w:val="nil"/>
              <w:left w:val="nil"/>
              <w:bottom w:val="single" w:sz="4" w:space="0" w:color="auto"/>
              <w:right w:val="single" w:sz="4" w:space="0" w:color="auto"/>
            </w:tcBorders>
            <w:shd w:val="clear" w:color="auto" w:fill="auto"/>
            <w:noWrap/>
            <w:vAlign w:val="center"/>
            <w:hideMark/>
          </w:tcPr>
          <w:p w14:paraId="519B1F16" w14:textId="77777777" w:rsidR="00DC5F42" w:rsidRPr="008E63BB" w:rsidRDefault="00DC5F42" w:rsidP="00885AB5">
            <w:pPr>
              <w:jc w:val="right"/>
              <w:rPr>
                <w:rFonts w:eastAsia="Times New Roman"/>
                <w:sz w:val="20"/>
                <w:szCs w:val="20"/>
              </w:rPr>
            </w:pPr>
            <w:r w:rsidRPr="008E63BB">
              <w:rPr>
                <w:rFonts w:eastAsia="Times New Roman"/>
                <w:sz w:val="20"/>
                <w:szCs w:val="20"/>
              </w:rPr>
              <w:t>1.828.380</w:t>
            </w:r>
          </w:p>
        </w:tc>
        <w:tc>
          <w:tcPr>
            <w:tcW w:w="1196" w:type="dxa"/>
            <w:tcBorders>
              <w:top w:val="nil"/>
              <w:left w:val="nil"/>
              <w:bottom w:val="single" w:sz="4" w:space="0" w:color="auto"/>
              <w:right w:val="single" w:sz="4" w:space="0" w:color="auto"/>
            </w:tcBorders>
            <w:shd w:val="clear" w:color="auto" w:fill="auto"/>
            <w:noWrap/>
            <w:vAlign w:val="center"/>
            <w:hideMark/>
          </w:tcPr>
          <w:p w14:paraId="519B1F17" w14:textId="77777777" w:rsidR="00DC5F42" w:rsidRPr="008E63BB" w:rsidRDefault="00DC5F42" w:rsidP="00885AB5">
            <w:pPr>
              <w:jc w:val="right"/>
              <w:rPr>
                <w:rFonts w:eastAsia="Times New Roman"/>
                <w:sz w:val="20"/>
                <w:szCs w:val="20"/>
              </w:rPr>
            </w:pPr>
            <w:r w:rsidRPr="008E63BB">
              <w:rPr>
                <w:rFonts w:eastAsia="Times New Roman"/>
                <w:sz w:val="20"/>
                <w:szCs w:val="20"/>
              </w:rPr>
              <w:t>1.822.346</w:t>
            </w:r>
          </w:p>
        </w:tc>
        <w:tc>
          <w:tcPr>
            <w:tcW w:w="1064" w:type="dxa"/>
            <w:tcBorders>
              <w:top w:val="nil"/>
              <w:left w:val="nil"/>
              <w:bottom w:val="single" w:sz="4" w:space="0" w:color="auto"/>
              <w:right w:val="single" w:sz="4" w:space="0" w:color="auto"/>
            </w:tcBorders>
            <w:shd w:val="clear" w:color="auto" w:fill="auto"/>
            <w:noWrap/>
            <w:vAlign w:val="center"/>
            <w:hideMark/>
          </w:tcPr>
          <w:p w14:paraId="519B1F18" w14:textId="77777777" w:rsidR="00DC5F42" w:rsidRPr="008E63BB" w:rsidRDefault="00DC5F42" w:rsidP="00885AB5">
            <w:pPr>
              <w:jc w:val="right"/>
              <w:rPr>
                <w:rFonts w:eastAsia="Times New Roman"/>
                <w:sz w:val="20"/>
                <w:szCs w:val="20"/>
              </w:rPr>
            </w:pPr>
            <w:r w:rsidRPr="008E63BB">
              <w:rPr>
                <w:rFonts w:eastAsia="Times New Roman"/>
                <w:sz w:val="20"/>
                <w:szCs w:val="20"/>
              </w:rPr>
              <w:t>1.816.810</w:t>
            </w:r>
          </w:p>
        </w:tc>
        <w:tc>
          <w:tcPr>
            <w:tcW w:w="1016" w:type="dxa"/>
            <w:tcBorders>
              <w:top w:val="nil"/>
              <w:left w:val="nil"/>
              <w:bottom w:val="single" w:sz="4" w:space="0" w:color="auto"/>
              <w:right w:val="single" w:sz="4" w:space="0" w:color="auto"/>
            </w:tcBorders>
            <w:shd w:val="clear" w:color="auto" w:fill="auto"/>
            <w:noWrap/>
            <w:vAlign w:val="center"/>
            <w:hideMark/>
          </w:tcPr>
          <w:p w14:paraId="519B1F19" w14:textId="77777777" w:rsidR="00DC5F42" w:rsidRPr="008E63BB" w:rsidRDefault="00DC5F42" w:rsidP="00885AB5">
            <w:pPr>
              <w:jc w:val="right"/>
              <w:rPr>
                <w:rFonts w:eastAsia="Times New Roman"/>
                <w:sz w:val="20"/>
                <w:szCs w:val="20"/>
              </w:rPr>
            </w:pPr>
            <w:r w:rsidRPr="008E63BB">
              <w:rPr>
                <w:rFonts w:eastAsia="Times New Roman"/>
                <w:sz w:val="20"/>
                <w:szCs w:val="20"/>
              </w:rPr>
              <w:t>1.811.500</w:t>
            </w:r>
          </w:p>
        </w:tc>
        <w:tc>
          <w:tcPr>
            <w:tcW w:w="1016" w:type="dxa"/>
            <w:tcBorders>
              <w:top w:val="nil"/>
              <w:left w:val="nil"/>
              <w:bottom w:val="single" w:sz="4" w:space="0" w:color="auto"/>
              <w:right w:val="single" w:sz="4" w:space="0" w:color="auto"/>
            </w:tcBorders>
            <w:shd w:val="clear" w:color="auto" w:fill="auto"/>
            <w:noWrap/>
            <w:vAlign w:val="center"/>
            <w:hideMark/>
          </w:tcPr>
          <w:p w14:paraId="519B1F1A" w14:textId="77777777" w:rsidR="00DC5F42" w:rsidRPr="008E63BB" w:rsidRDefault="00DC5F42" w:rsidP="00885AB5">
            <w:pPr>
              <w:jc w:val="right"/>
              <w:rPr>
                <w:rFonts w:eastAsia="Times New Roman"/>
                <w:sz w:val="20"/>
                <w:szCs w:val="20"/>
              </w:rPr>
            </w:pPr>
            <w:r w:rsidRPr="008E63BB">
              <w:rPr>
                <w:rFonts w:eastAsia="Times New Roman"/>
                <w:sz w:val="20"/>
                <w:szCs w:val="20"/>
              </w:rPr>
              <w:t>1.806.412</w:t>
            </w:r>
          </w:p>
        </w:tc>
        <w:tc>
          <w:tcPr>
            <w:tcW w:w="1016" w:type="dxa"/>
            <w:tcBorders>
              <w:top w:val="nil"/>
              <w:left w:val="nil"/>
              <w:bottom w:val="single" w:sz="4" w:space="0" w:color="auto"/>
              <w:right w:val="single" w:sz="4" w:space="0" w:color="auto"/>
            </w:tcBorders>
            <w:shd w:val="clear" w:color="auto" w:fill="auto"/>
            <w:noWrap/>
            <w:vAlign w:val="center"/>
            <w:hideMark/>
          </w:tcPr>
          <w:p w14:paraId="519B1F1B" w14:textId="77777777" w:rsidR="00DC5F42" w:rsidRPr="008E63BB" w:rsidRDefault="00DC5F42" w:rsidP="00885AB5">
            <w:pPr>
              <w:jc w:val="right"/>
              <w:rPr>
                <w:rFonts w:eastAsia="Times New Roman"/>
                <w:sz w:val="20"/>
                <w:szCs w:val="20"/>
              </w:rPr>
            </w:pPr>
            <w:r w:rsidRPr="008E63BB">
              <w:rPr>
                <w:rFonts w:eastAsia="Times New Roman"/>
                <w:sz w:val="20"/>
                <w:szCs w:val="20"/>
              </w:rPr>
              <w:t>1.801.543</w:t>
            </w:r>
          </w:p>
        </w:tc>
        <w:tc>
          <w:tcPr>
            <w:tcW w:w="1016" w:type="dxa"/>
            <w:tcBorders>
              <w:top w:val="nil"/>
              <w:left w:val="nil"/>
              <w:bottom w:val="single" w:sz="4" w:space="0" w:color="auto"/>
              <w:right w:val="single" w:sz="4" w:space="0" w:color="auto"/>
            </w:tcBorders>
            <w:shd w:val="clear" w:color="auto" w:fill="auto"/>
            <w:noWrap/>
            <w:vAlign w:val="center"/>
            <w:hideMark/>
          </w:tcPr>
          <w:p w14:paraId="519B1F1C" w14:textId="77777777" w:rsidR="00DC5F42" w:rsidRPr="008E63BB" w:rsidRDefault="00DC5F42" w:rsidP="00885AB5">
            <w:pPr>
              <w:jc w:val="right"/>
              <w:rPr>
                <w:rFonts w:eastAsia="Times New Roman"/>
                <w:sz w:val="20"/>
                <w:szCs w:val="20"/>
              </w:rPr>
            </w:pPr>
            <w:r w:rsidRPr="008E63BB">
              <w:rPr>
                <w:rFonts w:eastAsia="Times New Roman"/>
                <w:sz w:val="20"/>
                <w:szCs w:val="20"/>
              </w:rPr>
              <w:t>1.796.890</w:t>
            </w:r>
          </w:p>
        </w:tc>
        <w:tc>
          <w:tcPr>
            <w:tcW w:w="1016" w:type="dxa"/>
            <w:tcBorders>
              <w:top w:val="nil"/>
              <w:left w:val="nil"/>
              <w:bottom w:val="single" w:sz="4" w:space="0" w:color="auto"/>
              <w:right w:val="single" w:sz="4" w:space="0" w:color="auto"/>
            </w:tcBorders>
            <w:shd w:val="clear" w:color="auto" w:fill="auto"/>
            <w:noWrap/>
            <w:vAlign w:val="center"/>
            <w:hideMark/>
          </w:tcPr>
          <w:p w14:paraId="519B1F1D" w14:textId="77777777" w:rsidR="00DC5F42" w:rsidRPr="008E63BB" w:rsidRDefault="00DC5F42" w:rsidP="00885AB5">
            <w:pPr>
              <w:jc w:val="right"/>
              <w:rPr>
                <w:rFonts w:eastAsia="Times New Roman"/>
                <w:sz w:val="20"/>
                <w:szCs w:val="20"/>
              </w:rPr>
            </w:pPr>
            <w:r w:rsidRPr="008E63BB">
              <w:rPr>
                <w:rFonts w:eastAsia="Times New Roman"/>
                <w:sz w:val="20"/>
                <w:szCs w:val="20"/>
              </w:rPr>
              <w:t>1.792.452</w:t>
            </w:r>
          </w:p>
        </w:tc>
        <w:tc>
          <w:tcPr>
            <w:tcW w:w="1016" w:type="dxa"/>
            <w:tcBorders>
              <w:top w:val="nil"/>
              <w:left w:val="nil"/>
              <w:bottom w:val="single" w:sz="4" w:space="0" w:color="auto"/>
              <w:right w:val="single" w:sz="4" w:space="0" w:color="auto"/>
            </w:tcBorders>
            <w:shd w:val="clear" w:color="auto" w:fill="auto"/>
            <w:noWrap/>
            <w:vAlign w:val="center"/>
            <w:hideMark/>
          </w:tcPr>
          <w:p w14:paraId="519B1F1E" w14:textId="77777777" w:rsidR="00DC5F42" w:rsidRPr="008E63BB" w:rsidRDefault="00DC5F42" w:rsidP="00885AB5">
            <w:pPr>
              <w:jc w:val="right"/>
              <w:rPr>
                <w:rFonts w:eastAsia="Times New Roman"/>
                <w:sz w:val="20"/>
                <w:szCs w:val="20"/>
              </w:rPr>
            </w:pPr>
            <w:r w:rsidRPr="008E63BB">
              <w:rPr>
                <w:rFonts w:eastAsia="Times New Roman"/>
                <w:sz w:val="20"/>
                <w:szCs w:val="20"/>
              </w:rPr>
              <w:t>1.788.225</w:t>
            </w:r>
          </w:p>
        </w:tc>
        <w:tc>
          <w:tcPr>
            <w:tcW w:w="1016" w:type="dxa"/>
            <w:tcBorders>
              <w:top w:val="nil"/>
              <w:left w:val="nil"/>
              <w:bottom w:val="single" w:sz="4" w:space="0" w:color="auto"/>
              <w:right w:val="single" w:sz="4" w:space="0" w:color="auto"/>
            </w:tcBorders>
            <w:shd w:val="clear" w:color="auto" w:fill="auto"/>
            <w:noWrap/>
            <w:vAlign w:val="center"/>
            <w:hideMark/>
          </w:tcPr>
          <w:p w14:paraId="519B1F1F" w14:textId="77777777" w:rsidR="00DC5F42" w:rsidRPr="008E63BB" w:rsidRDefault="00DC5F42" w:rsidP="00885AB5">
            <w:pPr>
              <w:jc w:val="right"/>
              <w:rPr>
                <w:rFonts w:eastAsia="Times New Roman"/>
                <w:sz w:val="20"/>
                <w:szCs w:val="20"/>
              </w:rPr>
            </w:pPr>
            <w:r w:rsidRPr="008E63BB">
              <w:rPr>
                <w:rFonts w:eastAsia="Times New Roman"/>
                <w:sz w:val="20"/>
                <w:szCs w:val="20"/>
              </w:rPr>
              <w:t>1.784.206</w:t>
            </w:r>
          </w:p>
        </w:tc>
        <w:tc>
          <w:tcPr>
            <w:tcW w:w="1016" w:type="dxa"/>
            <w:tcBorders>
              <w:top w:val="nil"/>
              <w:left w:val="nil"/>
              <w:bottom w:val="single" w:sz="4" w:space="0" w:color="auto"/>
              <w:right w:val="single" w:sz="4" w:space="0" w:color="auto"/>
            </w:tcBorders>
            <w:shd w:val="clear" w:color="auto" w:fill="auto"/>
            <w:noWrap/>
            <w:vAlign w:val="center"/>
            <w:hideMark/>
          </w:tcPr>
          <w:p w14:paraId="519B1F20" w14:textId="77777777" w:rsidR="00DC5F42" w:rsidRPr="008E63BB" w:rsidRDefault="00DC5F42" w:rsidP="00885AB5">
            <w:pPr>
              <w:jc w:val="right"/>
              <w:rPr>
                <w:rFonts w:eastAsia="Times New Roman"/>
                <w:sz w:val="20"/>
                <w:szCs w:val="20"/>
              </w:rPr>
            </w:pPr>
            <w:r w:rsidRPr="008E63BB">
              <w:rPr>
                <w:rFonts w:eastAsia="Times New Roman"/>
                <w:sz w:val="20"/>
                <w:szCs w:val="20"/>
              </w:rPr>
              <w:t>1.780.393</w:t>
            </w:r>
          </w:p>
        </w:tc>
        <w:tc>
          <w:tcPr>
            <w:tcW w:w="808" w:type="dxa"/>
            <w:tcBorders>
              <w:top w:val="nil"/>
              <w:left w:val="nil"/>
              <w:bottom w:val="single" w:sz="4" w:space="0" w:color="auto"/>
              <w:right w:val="single" w:sz="4" w:space="0" w:color="auto"/>
            </w:tcBorders>
            <w:shd w:val="clear" w:color="auto" w:fill="auto"/>
            <w:noWrap/>
            <w:vAlign w:val="center"/>
            <w:hideMark/>
          </w:tcPr>
          <w:p w14:paraId="519B1F21" w14:textId="77777777" w:rsidR="00DC5F42" w:rsidRPr="008E63BB" w:rsidRDefault="00DC5F42" w:rsidP="00885AB5">
            <w:pPr>
              <w:jc w:val="right"/>
              <w:rPr>
                <w:rFonts w:eastAsia="Times New Roman"/>
                <w:sz w:val="20"/>
                <w:szCs w:val="20"/>
              </w:rPr>
            </w:pPr>
            <w:r w:rsidRPr="008E63BB">
              <w:rPr>
                <w:rFonts w:eastAsia="Times New Roman"/>
                <w:sz w:val="20"/>
                <w:szCs w:val="20"/>
              </w:rPr>
              <w:t>1.069</w:t>
            </w:r>
          </w:p>
        </w:tc>
      </w:tr>
      <w:tr w:rsidR="008D5BFE" w:rsidRPr="008E63BB" w14:paraId="519B1F33" w14:textId="77777777" w:rsidTr="003E3015">
        <w:trPr>
          <w:trHeight w:val="177"/>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19B1F23" w14:textId="77777777" w:rsidR="00DC5F42" w:rsidRPr="008E63BB" w:rsidRDefault="00DC5F42" w:rsidP="00885AB5">
            <w:pPr>
              <w:jc w:val="right"/>
              <w:rPr>
                <w:rFonts w:eastAsia="Times New Roman"/>
                <w:sz w:val="20"/>
                <w:szCs w:val="20"/>
              </w:rPr>
            </w:pPr>
            <w:r w:rsidRPr="008E63BB">
              <w:rPr>
                <w:rFonts w:eastAsia="Times New Roman"/>
                <w:sz w:val="20"/>
                <w:szCs w:val="20"/>
              </w:rPr>
              <w:t>2</w:t>
            </w:r>
          </w:p>
        </w:tc>
        <w:tc>
          <w:tcPr>
            <w:tcW w:w="1335" w:type="dxa"/>
            <w:tcBorders>
              <w:top w:val="nil"/>
              <w:left w:val="nil"/>
              <w:bottom w:val="single" w:sz="4" w:space="0" w:color="auto"/>
              <w:right w:val="single" w:sz="4" w:space="0" w:color="auto"/>
            </w:tcBorders>
          </w:tcPr>
          <w:p w14:paraId="519B1F24" w14:textId="77777777" w:rsidR="00DC5F42" w:rsidRPr="008E63BB" w:rsidRDefault="00DC5F42" w:rsidP="00885AB5">
            <w:pPr>
              <w:jc w:val="left"/>
              <w:rPr>
                <w:rFonts w:eastAsia="Times New Roman"/>
                <w:sz w:val="20"/>
                <w:szCs w:val="20"/>
              </w:rPr>
            </w:pPr>
            <w:r w:rsidRPr="008E63BB">
              <w:rPr>
                <w:rFonts w:eastAsia="Times New Roman"/>
                <w:sz w:val="20"/>
                <w:szCs w:val="20"/>
              </w:rPr>
              <w:t>Tổng ranh giới quy hoạch</w:t>
            </w:r>
          </w:p>
        </w:tc>
        <w:tc>
          <w:tcPr>
            <w:tcW w:w="916" w:type="dxa"/>
            <w:tcBorders>
              <w:top w:val="nil"/>
              <w:left w:val="nil"/>
              <w:bottom w:val="single" w:sz="4" w:space="0" w:color="auto"/>
              <w:right w:val="single" w:sz="4" w:space="0" w:color="auto"/>
            </w:tcBorders>
            <w:shd w:val="clear" w:color="auto" w:fill="auto"/>
            <w:noWrap/>
            <w:vAlign w:val="center"/>
            <w:hideMark/>
          </w:tcPr>
          <w:p w14:paraId="519B1F25" w14:textId="77777777" w:rsidR="00DC5F42" w:rsidRPr="008E63BB" w:rsidRDefault="00DC5F42" w:rsidP="00885AB5">
            <w:pPr>
              <w:jc w:val="right"/>
              <w:rPr>
                <w:rFonts w:eastAsia="Times New Roman"/>
                <w:sz w:val="20"/>
                <w:szCs w:val="20"/>
              </w:rPr>
            </w:pPr>
            <w:r w:rsidRPr="008E63BB">
              <w:rPr>
                <w:rFonts w:eastAsia="Times New Roman"/>
                <w:sz w:val="20"/>
                <w:szCs w:val="20"/>
              </w:rPr>
              <w:t>187,99</w:t>
            </w:r>
          </w:p>
        </w:tc>
        <w:tc>
          <w:tcPr>
            <w:tcW w:w="1016" w:type="dxa"/>
            <w:tcBorders>
              <w:top w:val="nil"/>
              <w:left w:val="nil"/>
              <w:bottom w:val="single" w:sz="4" w:space="0" w:color="auto"/>
              <w:right w:val="single" w:sz="4" w:space="0" w:color="auto"/>
            </w:tcBorders>
            <w:shd w:val="clear" w:color="auto" w:fill="auto"/>
            <w:noWrap/>
            <w:vAlign w:val="center"/>
            <w:hideMark/>
          </w:tcPr>
          <w:p w14:paraId="519B1F26" w14:textId="77777777" w:rsidR="00DC5F42" w:rsidRPr="008E63BB" w:rsidRDefault="00DC5F42" w:rsidP="00885AB5">
            <w:pPr>
              <w:jc w:val="right"/>
              <w:rPr>
                <w:rFonts w:eastAsia="Times New Roman"/>
                <w:sz w:val="20"/>
                <w:szCs w:val="20"/>
              </w:rPr>
            </w:pPr>
            <w:r w:rsidRPr="008E63BB">
              <w:rPr>
                <w:rFonts w:eastAsia="Times New Roman"/>
                <w:sz w:val="20"/>
                <w:szCs w:val="20"/>
              </w:rPr>
              <w:t>305.112</w:t>
            </w:r>
          </w:p>
        </w:tc>
        <w:tc>
          <w:tcPr>
            <w:tcW w:w="1016" w:type="dxa"/>
            <w:tcBorders>
              <w:top w:val="nil"/>
              <w:left w:val="nil"/>
              <w:bottom w:val="single" w:sz="4" w:space="0" w:color="auto"/>
              <w:right w:val="single" w:sz="4" w:space="0" w:color="auto"/>
            </w:tcBorders>
            <w:shd w:val="clear" w:color="auto" w:fill="auto"/>
            <w:noWrap/>
            <w:vAlign w:val="center"/>
            <w:hideMark/>
          </w:tcPr>
          <w:p w14:paraId="519B1F27" w14:textId="77777777" w:rsidR="00DC5F42" w:rsidRPr="008E63BB" w:rsidRDefault="00DC5F42" w:rsidP="00885AB5">
            <w:pPr>
              <w:jc w:val="right"/>
              <w:rPr>
                <w:rFonts w:eastAsia="Times New Roman"/>
                <w:sz w:val="20"/>
                <w:szCs w:val="20"/>
              </w:rPr>
            </w:pPr>
            <w:r w:rsidRPr="008E63BB">
              <w:rPr>
                <w:rFonts w:eastAsia="Times New Roman"/>
                <w:sz w:val="20"/>
                <w:szCs w:val="20"/>
              </w:rPr>
              <w:t>299.559</w:t>
            </w:r>
          </w:p>
        </w:tc>
        <w:tc>
          <w:tcPr>
            <w:tcW w:w="1196" w:type="dxa"/>
            <w:tcBorders>
              <w:top w:val="nil"/>
              <w:left w:val="nil"/>
              <w:bottom w:val="single" w:sz="4" w:space="0" w:color="auto"/>
              <w:right w:val="single" w:sz="4" w:space="0" w:color="auto"/>
            </w:tcBorders>
            <w:shd w:val="clear" w:color="auto" w:fill="auto"/>
            <w:noWrap/>
            <w:vAlign w:val="center"/>
            <w:hideMark/>
          </w:tcPr>
          <w:p w14:paraId="519B1F28" w14:textId="77777777" w:rsidR="00DC5F42" w:rsidRPr="008E63BB" w:rsidRDefault="00DC5F42" w:rsidP="00885AB5">
            <w:pPr>
              <w:jc w:val="right"/>
              <w:rPr>
                <w:rFonts w:eastAsia="Times New Roman"/>
                <w:sz w:val="20"/>
                <w:szCs w:val="20"/>
              </w:rPr>
            </w:pPr>
            <w:r w:rsidRPr="008E63BB">
              <w:rPr>
                <w:rFonts w:eastAsia="Times New Roman"/>
                <w:sz w:val="20"/>
                <w:szCs w:val="20"/>
              </w:rPr>
              <w:t>387.826</w:t>
            </w:r>
          </w:p>
        </w:tc>
        <w:tc>
          <w:tcPr>
            <w:tcW w:w="1064" w:type="dxa"/>
            <w:tcBorders>
              <w:top w:val="nil"/>
              <w:left w:val="nil"/>
              <w:bottom w:val="single" w:sz="4" w:space="0" w:color="auto"/>
              <w:right w:val="single" w:sz="4" w:space="0" w:color="auto"/>
            </w:tcBorders>
            <w:shd w:val="clear" w:color="auto" w:fill="auto"/>
            <w:noWrap/>
            <w:vAlign w:val="center"/>
            <w:hideMark/>
          </w:tcPr>
          <w:p w14:paraId="519B1F29" w14:textId="77777777" w:rsidR="00DC5F42" w:rsidRPr="008E63BB" w:rsidRDefault="00DC5F42" w:rsidP="00885AB5">
            <w:pPr>
              <w:jc w:val="right"/>
              <w:rPr>
                <w:rFonts w:eastAsia="Times New Roman"/>
                <w:sz w:val="20"/>
                <w:szCs w:val="20"/>
              </w:rPr>
            </w:pPr>
            <w:r w:rsidRPr="008E63BB">
              <w:rPr>
                <w:rFonts w:eastAsia="Times New Roman"/>
                <w:sz w:val="20"/>
                <w:szCs w:val="20"/>
              </w:rPr>
              <w:t>389.208</w:t>
            </w:r>
          </w:p>
        </w:tc>
        <w:tc>
          <w:tcPr>
            <w:tcW w:w="1016" w:type="dxa"/>
            <w:tcBorders>
              <w:top w:val="nil"/>
              <w:left w:val="nil"/>
              <w:bottom w:val="single" w:sz="4" w:space="0" w:color="auto"/>
              <w:right w:val="single" w:sz="4" w:space="0" w:color="auto"/>
            </w:tcBorders>
            <w:shd w:val="clear" w:color="auto" w:fill="auto"/>
            <w:noWrap/>
            <w:vAlign w:val="center"/>
            <w:hideMark/>
          </w:tcPr>
          <w:p w14:paraId="519B1F2A" w14:textId="77777777" w:rsidR="00DC5F42" w:rsidRPr="008E63BB" w:rsidRDefault="00DC5F42" w:rsidP="00885AB5">
            <w:pPr>
              <w:jc w:val="right"/>
              <w:rPr>
                <w:rFonts w:eastAsia="Times New Roman"/>
                <w:sz w:val="20"/>
                <w:szCs w:val="20"/>
              </w:rPr>
            </w:pPr>
            <w:r w:rsidRPr="008E63BB">
              <w:rPr>
                <w:rFonts w:eastAsia="Times New Roman"/>
                <w:sz w:val="20"/>
                <w:szCs w:val="20"/>
              </w:rPr>
              <w:t>389.505</w:t>
            </w:r>
          </w:p>
        </w:tc>
        <w:tc>
          <w:tcPr>
            <w:tcW w:w="1016" w:type="dxa"/>
            <w:tcBorders>
              <w:top w:val="nil"/>
              <w:left w:val="nil"/>
              <w:bottom w:val="single" w:sz="4" w:space="0" w:color="auto"/>
              <w:right w:val="single" w:sz="4" w:space="0" w:color="auto"/>
            </w:tcBorders>
            <w:shd w:val="clear" w:color="auto" w:fill="auto"/>
            <w:noWrap/>
            <w:vAlign w:val="center"/>
            <w:hideMark/>
          </w:tcPr>
          <w:p w14:paraId="519B1F2B" w14:textId="77777777" w:rsidR="00DC5F42" w:rsidRPr="008E63BB" w:rsidRDefault="00DC5F42" w:rsidP="00885AB5">
            <w:pPr>
              <w:jc w:val="right"/>
              <w:rPr>
                <w:rFonts w:eastAsia="Times New Roman"/>
                <w:sz w:val="20"/>
                <w:szCs w:val="20"/>
              </w:rPr>
            </w:pPr>
            <w:r w:rsidRPr="008E63BB">
              <w:rPr>
                <w:rFonts w:eastAsia="Times New Roman"/>
                <w:sz w:val="20"/>
                <w:szCs w:val="20"/>
              </w:rPr>
              <w:t>391.689</w:t>
            </w:r>
          </w:p>
        </w:tc>
        <w:tc>
          <w:tcPr>
            <w:tcW w:w="1016" w:type="dxa"/>
            <w:tcBorders>
              <w:top w:val="nil"/>
              <w:left w:val="nil"/>
              <w:bottom w:val="single" w:sz="4" w:space="0" w:color="auto"/>
              <w:right w:val="single" w:sz="4" w:space="0" w:color="auto"/>
            </w:tcBorders>
            <w:shd w:val="clear" w:color="auto" w:fill="auto"/>
            <w:noWrap/>
            <w:vAlign w:val="center"/>
            <w:hideMark/>
          </w:tcPr>
          <w:p w14:paraId="519B1F2C" w14:textId="77777777" w:rsidR="00DC5F42" w:rsidRPr="008E63BB" w:rsidRDefault="00DC5F42" w:rsidP="00885AB5">
            <w:pPr>
              <w:jc w:val="right"/>
              <w:rPr>
                <w:rFonts w:eastAsia="Times New Roman"/>
                <w:sz w:val="20"/>
                <w:szCs w:val="20"/>
              </w:rPr>
            </w:pPr>
            <w:r w:rsidRPr="008E63BB">
              <w:rPr>
                <w:rFonts w:eastAsia="Times New Roman"/>
                <w:sz w:val="20"/>
                <w:szCs w:val="20"/>
              </w:rPr>
              <w:t>511.242</w:t>
            </w:r>
          </w:p>
        </w:tc>
        <w:tc>
          <w:tcPr>
            <w:tcW w:w="1016" w:type="dxa"/>
            <w:tcBorders>
              <w:top w:val="nil"/>
              <w:left w:val="nil"/>
              <w:bottom w:val="single" w:sz="4" w:space="0" w:color="auto"/>
              <w:right w:val="single" w:sz="4" w:space="0" w:color="auto"/>
            </w:tcBorders>
            <w:shd w:val="clear" w:color="auto" w:fill="auto"/>
            <w:noWrap/>
            <w:vAlign w:val="center"/>
            <w:hideMark/>
          </w:tcPr>
          <w:p w14:paraId="519B1F2D" w14:textId="77777777" w:rsidR="00DC5F42" w:rsidRPr="008E63BB" w:rsidRDefault="00DC5F42" w:rsidP="00885AB5">
            <w:pPr>
              <w:jc w:val="right"/>
              <w:rPr>
                <w:rFonts w:eastAsia="Times New Roman"/>
                <w:sz w:val="20"/>
                <w:szCs w:val="20"/>
              </w:rPr>
            </w:pPr>
            <w:r w:rsidRPr="008E63BB">
              <w:rPr>
                <w:rFonts w:eastAsia="Times New Roman"/>
                <w:sz w:val="20"/>
                <w:szCs w:val="20"/>
              </w:rPr>
              <w:t>396.206</w:t>
            </w:r>
          </w:p>
        </w:tc>
        <w:tc>
          <w:tcPr>
            <w:tcW w:w="1016" w:type="dxa"/>
            <w:tcBorders>
              <w:top w:val="nil"/>
              <w:left w:val="nil"/>
              <w:bottom w:val="single" w:sz="4" w:space="0" w:color="auto"/>
              <w:right w:val="single" w:sz="4" w:space="0" w:color="auto"/>
            </w:tcBorders>
            <w:shd w:val="clear" w:color="auto" w:fill="auto"/>
            <w:noWrap/>
            <w:vAlign w:val="center"/>
            <w:hideMark/>
          </w:tcPr>
          <w:p w14:paraId="519B1F2E" w14:textId="77777777" w:rsidR="00DC5F42" w:rsidRPr="008E63BB" w:rsidRDefault="00DC5F42" w:rsidP="00885AB5">
            <w:pPr>
              <w:jc w:val="right"/>
              <w:rPr>
                <w:rFonts w:eastAsia="Times New Roman"/>
                <w:sz w:val="20"/>
                <w:szCs w:val="20"/>
              </w:rPr>
            </w:pPr>
            <w:r w:rsidRPr="008E63BB">
              <w:rPr>
                <w:rFonts w:eastAsia="Times New Roman"/>
                <w:sz w:val="20"/>
                <w:szCs w:val="20"/>
              </w:rPr>
              <w:t>396.656</w:t>
            </w:r>
          </w:p>
        </w:tc>
        <w:tc>
          <w:tcPr>
            <w:tcW w:w="1016" w:type="dxa"/>
            <w:tcBorders>
              <w:top w:val="nil"/>
              <w:left w:val="nil"/>
              <w:bottom w:val="single" w:sz="4" w:space="0" w:color="auto"/>
              <w:right w:val="single" w:sz="4" w:space="0" w:color="auto"/>
            </w:tcBorders>
            <w:shd w:val="clear" w:color="auto" w:fill="auto"/>
            <w:noWrap/>
            <w:vAlign w:val="center"/>
            <w:hideMark/>
          </w:tcPr>
          <w:p w14:paraId="519B1F2F" w14:textId="77777777" w:rsidR="00DC5F42" w:rsidRPr="008E63BB" w:rsidRDefault="00DC5F42" w:rsidP="00885AB5">
            <w:pPr>
              <w:jc w:val="right"/>
              <w:rPr>
                <w:rFonts w:eastAsia="Times New Roman"/>
                <w:sz w:val="20"/>
                <w:szCs w:val="20"/>
              </w:rPr>
            </w:pPr>
            <w:r w:rsidRPr="008E63BB">
              <w:rPr>
                <w:rFonts w:eastAsia="Times New Roman"/>
                <w:sz w:val="20"/>
                <w:szCs w:val="20"/>
              </w:rPr>
              <w:t>393.885</w:t>
            </w:r>
          </w:p>
        </w:tc>
        <w:tc>
          <w:tcPr>
            <w:tcW w:w="1016" w:type="dxa"/>
            <w:tcBorders>
              <w:top w:val="nil"/>
              <w:left w:val="nil"/>
              <w:bottom w:val="single" w:sz="4" w:space="0" w:color="auto"/>
              <w:right w:val="single" w:sz="4" w:space="0" w:color="auto"/>
            </w:tcBorders>
            <w:shd w:val="clear" w:color="auto" w:fill="auto"/>
            <w:noWrap/>
            <w:vAlign w:val="center"/>
            <w:hideMark/>
          </w:tcPr>
          <w:p w14:paraId="519B1F30" w14:textId="77777777" w:rsidR="00DC5F42" w:rsidRPr="008E63BB" w:rsidRDefault="00DC5F42" w:rsidP="00885AB5">
            <w:pPr>
              <w:jc w:val="right"/>
              <w:rPr>
                <w:rFonts w:eastAsia="Times New Roman"/>
                <w:sz w:val="20"/>
                <w:szCs w:val="20"/>
              </w:rPr>
            </w:pPr>
            <w:r w:rsidRPr="008E63BB">
              <w:rPr>
                <w:rFonts w:eastAsia="Times New Roman"/>
                <w:sz w:val="20"/>
                <w:szCs w:val="20"/>
              </w:rPr>
              <w:t>386.534</w:t>
            </w:r>
          </w:p>
        </w:tc>
        <w:tc>
          <w:tcPr>
            <w:tcW w:w="1016" w:type="dxa"/>
            <w:tcBorders>
              <w:top w:val="nil"/>
              <w:left w:val="nil"/>
              <w:bottom w:val="single" w:sz="4" w:space="0" w:color="auto"/>
              <w:right w:val="single" w:sz="4" w:space="0" w:color="auto"/>
            </w:tcBorders>
            <w:shd w:val="clear" w:color="auto" w:fill="auto"/>
            <w:noWrap/>
            <w:vAlign w:val="center"/>
            <w:hideMark/>
          </w:tcPr>
          <w:p w14:paraId="519B1F31" w14:textId="77777777" w:rsidR="00DC5F42" w:rsidRPr="008E63BB" w:rsidRDefault="00841C2D" w:rsidP="00841C2D">
            <w:pPr>
              <w:jc w:val="right"/>
              <w:rPr>
                <w:rFonts w:eastAsia="Times New Roman"/>
                <w:sz w:val="20"/>
                <w:szCs w:val="20"/>
              </w:rPr>
            </w:pPr>
            <w:r w:rsidRPr="008E63BB">
              <w:rPr>
                <w:rFonts w:eastAsia="Times New Roman"/>
                <w:sz w:val="20"/>
                <w:szCs w:val="20"/>
              </w:rPr>
              <w:t>398.188</w:t>
            </w:r>
          </w:p>
        </w:tc>
        <w:tc>
          <w:tcPr>
            <w:tcW w:w="808" w:type="dxa"/>
            <w:tcBorders>
              <w:top w:val="nil"/>
              <w:left w:val="nil"/>
              <w:bottom w:val="single" w:sz="4" w:space="0" w:color="auto"/>
              <w:right w:val="single" w:sz="4" w:space="0" w:color="auto"/>
            </w:tcBorders>
            <w:shd w:val="clear" w:color="auto" w:fill="auto"/>
            <w:noWrap/>
            <w:vAlign w:val="center"/>
            <w:hideMark/>
          </w:tcPr>
          <w:p w14:paraId="519B1F32" w14:textId="77777777" w:rsidR="00DC5F42" w:rsidRPr="008E63BB" w:rsidRDefault="00DC5F42" w:rsidP="00885AB5">
            <w:pPr>
              <w:jc w:val="right"/>
              <w:rPr>
                <w:rFonts w:eastAsia="Times New Roman"/>
                <w:sz w:val="20"/>
                <w:szCs w:val="20"/>
              </w:rPr>
            </w:pPr>
            <w:r w:rsidRPr="008E63BB">
              <w:rPr>
                <w:rFonts w:eastAsia="Times New Roman"/>
                <w:sz w:val="20"/>
                <w:szCs w:val="20"/>
              </w:rPr>
              <w:t>2.056</w:t>
            </w:r>
          </w:p>
        </w:tc>
      </w:tr>
      <w:tr w:rsidR="008D5BFE" w:rsidRPr="008E63BB" w14:paraId="519B1F44" w14:textId="77777777" w:rsidTr="003E3015">
        <w:trPr>
          <w:trHeight w:val="177"/>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19B1F34" w14:textId="77777777" w:rsidR="00DC5F42" w:rsidRPr="008E63BB" w:rsidRDefault="00DC5F42" w:rsidP="00885AB5">
            <w:pPr>
              <w:jc w:val="right"/>
              <w:rPr>
                <w:rFonts w:eastAsia="Times New Roman"/>
                <w:sz w:val="20"/>
                <w:szCs w:val="20"/>
              </w:rPr>
            </w:pPr>
            <w:r w:rsidRPr="008E63BB">
              <w:rPr>
                <w:rFonts w:eastAsia="Times New Roman"/>
                <w:sz w:val="20"/>
                <w:szCs w:val="20"/>
              </w:rPr>
              <w:t>3</w:t>
            </w:r>
          </w:p>
        </w:tc>
        <w:tc>
          <w:tcPr>
            <w:tcW w:w="1335" w:type="dxa"/>
            <w:tcBorders>
              <w:top w:val="nil"/>
              <w:left w:val="nil"/>
              <w:bottom w:val="single" w:sz="4" w:space="0" w:color="auto"/>
              <w:right w:val="single" w:sz="4" w:space="0" w:color="auto"/>
            </w:tcBorders>
          </w:tcPr>
          <w:p w14:paraId="519B1F35" w14:textId="77777777" w:rsidR="00DC5F42" w:rsidRPr="008E63BB" w:rsidRDefault="00DC5F42" w:rsidP="00885AB5">
            <w:pPr>
              <w:jc w:val="left"/>
              <w:rPr>
                <w:rFonts w:eastAsia="Times New Roman"/>
                <w:sz w:val="20"/>
                <w:szCs w:val="20"/>
              </w:rPr>
            </w:pPr>
            <w:r w:rsidRPr="008E63BB">
              <w:rPr>
                <w:rFonts w:eastAsia="Times New Roman"/>
                <w:sz w:val="20"/>
                <w:szCs w:val="20"/>
              </w:rPr>
              <w:t>RG QH chiếm % toàn tỉnh</w:t>
            </w:r>
          </w:p>
        </w:tc>
        <w:tc>
          <w:tcPr>
            <w:tcW w:w="916" w:type="dxa"/>
            <w:tcBorders>
              <w:top w:val="nil"/>
              <w:left w:val="nil"/>
              <w:bottom w:val="single" w:sz="4" w:space="0" w:color="auto"/>
              <w:right w:val="single" w:sz="4" w:space="0" w:color="auto"/>
            </w:tcBorders>
            <w:shd w:val="clear" w:color="auto" w:fill="auto"/>
            <w:noWrap/>
            <w:vAlign w:val="center"/>
            <w:hideMark/>
          </w:tcPr>
          <w:p w14:paraId="519B1F36" w14:textId="77777777" w:rsidR="00DC5F42" w:rsidRPr="008E63BB" w:rsidRDefault="00DC5F42" w:rsidP="00885AB5">
            <w:pPr>
              <w:jc w:val="right"/>
              <w:rPr>
                <w:rFonts w:eastAsia="Times New Roman"/>
                <w:sz w:val="20"/>
                <w:szCs w:val="20"/>
              </w:rPr>
            </w:pPr>
            <w:r w:rsidRPr="008E63BB">
              <w:rPr>
                <w:rFonts w:eastAsia="Times New Roman"/>
                <w:sz w:val="20"/>
                <w:szCs w:val="20"/>
              </w:rPr>
              <w:t>11,27</w:t>
            </w:r>
          </w:p>
        </w:tc>
        <w:tc>
          <w:tcPr>
            <w:tcW w:w="1016" w:type="dxa"/>
            <w:tcBorders>
              <w:top w:val="nil"/>
              <w:left w:val="nil"/>
              <w:bottom w:val="single" w:sz="4" w:space="0" w:color="auto"/>
              <w:right w:val="single" w:sz="4" w:space="0" w:color="auto"/>
            </w:tcBorders>
            <w:shd w:val="clear" w:color="auto" w:fill="auto"/>
            <w:noWrap/>
            <w:vAlign w:val="center"/>
            <w:hideMark/>
          </w:tcPr>
          <w:p w14:paraId="519B1F37" w14:textId="77777777" w:rsidR="00DC5F42" w:rsidRPr="008E63BB" w:rsidRDefault="00DC5F42" w:rsidP="00885AB5">
            <w:pPr>
              <w:jc w:val="right"/>
              <w:rPr>
                <w:rFonts w:eastAsia="Times New Roman"/>
                <w:sz w:val="20"/>
                <w:szCs w:val="20"/>
              </w:rPr>
            </w:pPr>
            <w:r w:rsidRPr="008E63BB">
              <w:rPr>
                <w:rFonts w:eastAsia="Times New Roman"/>
                <w:sz w:val="20"/>
                <w:szCs w:val="20"/>
              </w:rPr>
              <w:t>16,71</w:t>
            </w:r>
          </w:p>
        </w:tc>
        <w:tc>
          <w:tcPr>
            <w:tcW w:w="1016" w:type="dxa"/>
            <w:tcBorders>
              <w:top w:val="nil"/>
              <w:left w:val="nil"/>
              <w:bottom w:val="single" w:sz="4" w:space="0" w:color="auto"/>
              <w:right w:val="single" w:sz="4" w:space="0" w:color="auto"/>
            </w:tcBorders>
            <w:shd w:val="clear" w:color="auto" w:fill="auto"/>
            <w:noWrap/>
            <w:vAlign w:val="center"/>
            <w:hideMark/>
          </w:tcPr>
          <w:p w14:paraId="519B1F38" w14:textId="77777777" w:rsidR="00DC5F42" w:rsidRPr="008E63BB" w:rsidRDefault="00DC5F42" w:rsidP="00885AB5">
            <w:pPr>
              <w:jc w:val="right"/>
              <w:rPr>
                <w:rFonts w:eastAsia="Times New Roman"/>
                <w:sz w:val="20"/>
                <w:szCs w:val="20"/>
              </w:rPr>
            </w:pPr>
            <w:r w:rsidRPr="008E63BB">
              <w:rPr>
                <w:rFonts w:eastAsia="Times New Roman"/>
                <w:sz w:val="20"/>
                <w:szCs w:val="20"/>
              </w:rPr>
              <w:t>16,38</w:t>
            </w:r>
          </w:p>
        </w:tc>
        <w:tc>
          <w:tcPr>
            <w:tcW w:w="1196" w:type="dxa"/>
            <w:tcBorders>
              <w:top w:val="nil"/>
              <w:left w:val="nil"/>
              <w:bottom w:val="single" w:sz="4" w:space="0" w:color="auto"/>
              <w:right w:val="single" w:sz="4" w:space="0" w:color="auto"/>
            </w:tcBorders>
            <w:shd w:val="clear" w:color="auto" w:fill="auto"/>
            <w:noWrap/>
            <w:vAlign w:val="center"/>
            <w:hideMark/>
          </w:tcPr>
          <w:p w14:paraId="519B1F39" w14:textId="77777777" w:rsidR="00DC5F42" w:rsidRPr="008E63BB" w:rsidRDefault="00DC5F42" w:rsidP="00885AB5">
            <w:pPr>
              <w:jc w:val="right"/>
              <w:rPr>
                <w:rFonts w:eastAsia="Times New Roman"/>
                <w:sz w:val="20"/>
                <w:szCs w:val="20"/>
              </w:rPr>
            </w:pPr>
            <w:r w:rsidRPr="008E63BB">
              <w:rPr>
                <w:rFonts w:eastAsia="Times New Roman"/>
                <w:sz w:val="20"/>
                <w:szCs w:val="20"/>
              </w:rPr>
              <w:t>21,28</w:t>
            </w:r>
          </w:p>
        </w:tc>
        <w:tc>
          <w:tcPr>
            <w:tcW w:w="1064" w:type="dxa"/>
            <w:tcBorders>
              <w:top w:val="nil"/>
              <w:left w:val="nil"/>
              <w:bottom w:val="single" w:sz="4" w:space="0" w:color="auto"/>
              <w:right w:val="single" w:sz="4" w:space="0" w:color="auto"/>
            </w:tcBorders>
            <w:shd w:val="clear" w:color="auto" w:fill="auto"/>
            <w:noWrap/>
            <w:vAlign w:val="center"/>
            <w:hideMark/>
          </w:tcPr>
          <w:p w14:paraId="519B1F3A" w14:textId="77777777" w:rsidR="00DC5F42" w:rsidRPr="008E63BB" w:rsidRDefault="00DC5F42" w:rsidP="00885AB5">
            <w:pPr>
              <w:jc w:val="right"/>
              <w:rPr>
                <w:rFonts w:eastAsia="Times New Roman"/>
                <w:sz w:val="20"/>
                <w:szCs w:val="20"/>
              </w:rPr>
            </w:pPr>
            <w:r w:rsidRPr="008E63BB">
              <w:rPr>
                <w:rFonts w:eastAsia="Times New Roman"/>
                <w:sz w:val="20"/>
                <w:szCs w:val="20"/>
              </w:rPr>
              <w:t>21,42</w:t>
            </w:r>
          </w:p>
        </w:tc>
        <w:tc>
          <w:tcPr>
            <w:tcW w:w="1016" w:type="dxa"/>
            <w:tcBorders>
              <w:top w:val="nil"/>
              <w:left w:val="nil"/>
              <w:bottom w:val="single" w:sz="4" w:space="0" w:color="auto"/>
              <w:right w:val="single" w:sz="4" w:space="0" w:color="auto"/>
            </w:tcBorders>
            <w:shd w:val="clear" w:color="auto" w:fill="auto"/>
            <w:noWrap/>
            <w:vAlign w:val="center"/>
            <w:hideMark/>
          </w:tcPr>
          <w:p w14:paraId="519B1F3B" w14:textId="77777777" w:rsidR="00DC5F42" w:rsidRPr="008E63BB" w:rsidRDefault="00DC5F42" w:rsidP="00885AB5">
            <w:pPr>
              <w:jc w:val="right"/>
              <w:rPr>
                <w:rFonts w:eastAsia="Times New Roman"/>
                <w:sz w:val="20"/>
                <w:szCs w:val="20"/>
              </w:rPr>
            </w:pPr>
            <w:r w:rsidRPr="008E63BB">
              <w:rPr>
                <w:rFonts w:eastAsia="Times New Roman"/>
                <w:sz w:val="20"/>
                <w:szCs w:val="20"/>
              </w:rPr>
              <w:t>21,5</w:t>
            </w:r>
          </w:p>
        </w:tc>
        <w:tc>
          <w:tcPr>
            <w:tcW w:w="1016" w:type="dxa"/>
            <w:tcBorders>
              <w:top w:val="nil"/>
              <w:left w:val="nil"/>
              <w:bottom w:val="single" w:sz="4" w:space="0" w:color="auto"/>
              <w:right w:val="single" w:sz="4" w:space="0" w:color="auto"/>
            </w:tcBorders>
            <w:shd w:val="clear" w:color="auto" w:fill="auto"/>
            <w:noWrap/>
            <w:vAlign w:val="center"/>
            <w:hideMark/>
          </w:tcPr>
          <w:p w14:paraId="519B1F3C" w14:textId="77777777" w:rsidR="00DC5F42" w:rsidRPr="008E63BB" w:rsidRDefault="00DC5F42" w:rsidP="00885AB5">
            <w:pPr>
              <w:jc w:val="right"/>
              <w:rPr>
                <w:rFonts w:eastAsia="Times New Roman"/>
                <w:sz w:val="20"/>
                <w:szCs w:val="20"/>
              </w:rPr>
            </w:pPr>
            <w:r w:rsidRPr="008E63BB">
              <w:rPr>
                <w:rFonts w:eastAsia="Times New Roman"/>
                <w:sz w:val="20"/>
                <w:szCs w:val="20"/>
              </w:rPr>
              <w:t>21,68</w:t>
            </w:r>
          </w:p>
        </w:tc>
        <w:tc>
          <w:tcPr>
            <w:tcW w:w="1016" w:type="dxa"/>
            <w:tcBorders>
              <w:top w:val="nil"/>
              <w:left w:val="nil"/>
              <w:bottom w:val="single" w:sz="4" w:space="0" w:color="auto"/>
              <w:right w:val="single" w:sz="4" w:space="0" w:color="auto"/>
            </w:tcBorders>
            <w:shd w:val="clear" w:color="auto" w:fill="auto"/>
            <w:noWrap/>
            <w:vAlign w:val="center"/>
            <w:hideMark/>
          </w:tcPr>
          <w:p w14:paraId="519B1F3D" w14:textId="77777777" w:rsidR="00DC5F42" w:rsidRPr="008E63BB" w:rsidRDefault="00DC5F42" w:rsidP="00885AB5">
            <w:pPr>
              <w:jc w:val="right"/>
              <w:rPr>
                <w:rFonts w:eastAsia="Times New Roman"/>
                <w:sz w:val="20"/>
                <w:szCs w:val="20"/>
              </w:rPr>
            </w:pPr>
            <w:r w:rsidRPr="008E63BB">
              <w:rPr>
                <w:rFonts w:eastAsia="Times New Roman"/>
                <w:sz w:val="20"/>
                <w:szCs w:val="20"/>
              </w:rPr>
              <w:t>28,38</w:t>
            </w:r>
          </w:p>
        </w:tc>
        <w:tc>
          <w:tcPr>
            <w:tcW w:w="1016" w:type="dxa"/>
            <w:tcBorders>
              <w:top w:val="nil"/>
              <w:left w:val="nil"/>
              <w:bottom w:val="single" w:sz="4" w:space="0" w:color="auto"/>
              <w:right w:val="single" w:sz="4" w:space="0" w:color="auto"/>
            </w:tcBorders>
            <w:shd w:val="clear" w:color="auto" w:fill="auto"/>
            <w:noWrap/>
            <w:vAlign w:val="center"/>
            <w:hideMark/>
          </w:tcPr>
          <w:p w14:paraId="519B1F3E" w14:textId="77777777" w:rsidR="00DC5F42" w:rsidRPr="008E63BB" w:rsidRDefault="00DC5F42" w:rsidP="00885AB5">
            <w:pPr>
              <w:jc w:val="right"/>
              <w:rPr>
                <w:rFonts w:eastAsia="Times New Roman"/>
                <w:sz w:val="20"/>
                <w:szCs w:val="20"/>
              </w:rPr>
            </w:pPr>
            <w:r w:rsidRPr="008E63BB">
              <w:rPr>
                <w:rFonts w:eastAsia="Times New Roman"/>
                <w:sz w:val="20"/>
                <w:szCs w:val="20"/>
              </w:rPr>
              <w:t>22,05</w:t>
            </w:r>
          </w:p>
        </w:tc>
        <w:tc>
          <w:tcPr>
            <w:tcW w:w="1016" w:type="dxa"/>
            <w:tcBorders>
              <w:top w:val="nil"/>
              <w:left w:val="nil"/>
              <w:bottom w:val="single" w:sz="4" w:space="0" w:color="auto"/>
              <w:right w:val="single" w:sz="4" w:space="0" w:color="auto"/>
            </w:tcBorders>
            <w:shd w:val="clear" w:color="auto" w:fill="auto"/>
            <w:noWrap/>
            <w:vAlign w:val="center"/>
            <w:hideMark/>
          </w:tcPr>
          <w:p w14:paraId="519B1F3F" w14:textId="77777777" w:rsidR="00DC5F42" w:rsidRPr="008E63BB" w:rsidRDefault="00DC5F42" w:rsidP="00885AB5">
            <w:pPr>
              <w:jc w:val="right"/>
              <w:rPr>
                <w:rFonts w:eastAsia="Times New Roman"/>
                <w:sz w:val="20"/>
                <w:szCs w:val="20"/>
              </w:rPr>
            </w:pPr>
            <w:r w:rsidRPr="008E63BB">
              <w:rPr>
                <w:rFonts w:eastAsia="Times New Roman"/>
                <w:sz w:val="20"/>
                <w:szCs w:val="20"/>
              </w:rPr>
              <w:t>22,13</w:t>
            </w:r>
          </w:p>
        </w:tc>
        <w:tc>
          <w:tcPr>
            <w:tcW w:w="1016" w:type="dxa"/>
            <w:tcBorders>
              <w:top w:val="nil"/>
              <w:left w:val="nil"/>
              <w:bottom w:val="single" w:sz="4" w:space="0" w:color="auto"/>
              <w:right w:val="single" w:sz="4" w:space="0" w:color="auto"/>
            </w:tcBorders>
            <w:shd w:val="clear" w:color="auto" w:fill="auto"/>
            <w:noWrap/>
            <w:vAlign w:val="center"/>
            <w:hideMark/>
          </w:tcPr>
          <w:p w14:paraId="519B1F40" w14:textId="77777777" w:rsidR="00DC5F42" w:rsidRPr="008E63BB" w:rsidRDefault="00DC5F42" w:rsidP="00885AB5">
            <w:pPr>
              <w:jc w:val="right"/>
              <w:rPr>
                <w:rFonts w:eastAsia="Times New Roman"/>
                <w:sz w:val="20"/>
                <w:szCs w:val="20"/>
              </w:rPr>
            </w:pPr>
            <w:r w:rsidRPr="008E63BB">
              <w:rPr>
                <w:rFonts w:eastAsia="Times New Roman"/>
                <w:sz w:val="20"/>
                <w:szCs w:val="20"/>
              </w:rPr>
              <w:t>22,03</w:t>
            </w:r>
          </w:p>
        </w:tc>
        <w:tc>
          <w:tcPr>
            <w:tcW w:w="1016" w:type="dxa"/>
            <w:tcBorders>
              <w:top w:val="nil"/>
              <w:left w:val="nil"/>
              <w:bottom w:val="single" w:sz="4" w:space="0" w:color="auto"/>
              <w:right w:val="single" w:sz="4" w:space="0" w:color="auto"/>
            </w:tcBorders>
            <w:shd w:val="clear" w:color="auto" w:fill="auto"/>
            <w:noWrap/>
            <w:vAlign w:val="center"/>
            <w:hideMark/>
          </w:tcPr>
          <w:p w14:paraId="519B1F41" w14:textId="77777777" w:rsidR="00DC5F42" w:rsidRPr="008E63BB" w:rsidRDefault="00DC5F42" w:rsidP="00885AB5">
            <w:pPr>
              <w:jc w:val="right"/>
              <w:rPr>
                <w:rFonts w:eastAsia="Times New Roman"/>
                <w:sz w:val="20"/>
                <w:szCs w:val="20"/>
              </w:rPr>
            </w:pPr>
            <w:r w:rsidRPr="008E63BB">
              <w:rPr>
                <w:rFonts w:eastAsia="Times New Roman"/>
                <w:sz w:val="20"/>
                <w:szCs w:val="20"/>
              </w:rPr>
              <w:t>21,66</w:t>
            </w:r>
          </w:p>
        </w:tc>
        <w:tc>
          <w:tcPr>
            <w:tcW w:w="1016" w:type="dxa"/>
            <w:tcBorders>
              <w:top w:val="nil"/>
              <w:left w:val="nil"/>
              <w:bottom w:val="single" w:sz="4" w:space="0" w:color="auto"/>
              <w:right w:val="single" w:sz="4" w:space="0" w:color="auto"/>
            </w:tcBorders>
            <w:shd w:val="clear" w:color="auto" w:fill="auto"/>
            <w:noWrap/>
            <w:vAlign w:val="center"/>
            <w:hideMark/>
          </w:tcPr>
          <w:p w14:paraId="519B1F42" w14:textId="77777777" w:rsidR="00DC5F42" w:rsidRPr="008E63BB" w:rsidRDefault="00DC5F42" w:rsidP="00885AB5">
            <w:pPr>
              <w:jc w:val="right"/>
              <w:rPr>
                <w:rFonts w:eastAsia="Times New Roman"/>
                <w:sz w:val="20"/>
                <w:szCs w:val="20"/>
              </w:rPr>
            </w:pPr>
            <w:r w:rsidRPr="008E63BB">
              <w:rPr>
                <w:rFonts w:eastAsia="Times New Roman"/>
                <w:sz w:val="20"/>
                <w:szCs w:val="20"/>
              </w:rPr>
              <w:t>21,75</w:t>
            </w:r>
          </w:p>
        </w:tc>
        <w:tc>
          <w:tcPr>
            <w:tcW w:w="808" w:type="dxa"/>
            <w:tcBorders>
              <w:top w:val="nil"/>
              <w:left w:val="nil"/>
              <w:bottom w:val="single" w:sz="4" w:space="0" w:color="auto"/>
              <w:right w:val="single" w:sz="4" w:space="0" w:color="auto"/>
            </w:tcBorders>
            <w:shd w:val="clear" w:color="auto" w:fill="auto"/>
            <w:noWrap/>
            <w:vAlign w:val="center"/>
            <w:hideMark/>
          </w:tcPr>
          <w:p w14:paraId="519B1F43" w14:textId="77777777" w:rsidR="00DC5F42" w:rsidRPr="008E63BB" w:rsidRDefault="00DC5F42" w:rsidP="00885AB5">
            <w:pPr>
              <w:jc w:val="right"/>
              <w:rPr>
                <w:rFonts w:eastAsia="Times New Roman"/>
                <w:sz w:val="20"/>
                <w:szCs w:val="20"/>
              </w:rPr>
            </w:pPr>
            <w:r w:rsidRPr="008E63BB">
              <w:rPr>
                <w:rFonts w:eastAsia="Times New Roman"/>
                <w:sz w:val="20"/>
                <w:szCs w:val="20"/>
              </w:rPr>
              <w:t> </w:t>
            </w:r>
          </w:p>
        </w:tc>
      </w:tr>
    </w:tbl>
    <w:p w14:paraId="519B1F45" w14:textId="77777777" w:rsidR="00DC5F42" w:rsidRPr="008E63BB" w:rsidRDefault="00DC5F42" w:rsidP="00DC5F42">
      <w:pPr>
        <w:rPr>
          <w:i/>
        </w:rPr>
      </w:pPr>
      <w:r w:rsidRPr="008E63BB">
        <w:rPr>
          <w:rFonts w:eastAsia="Times New Roman"/>
          <w:bCs/>
          <w:i/>
          <w:sz w:val="24"/>
          <w:szCs w:val="24"/>
          <w:lang w:val="pt-BR" w:eastAsia="zh-CN"/>
        </w:rPr>
        <w:t>Nguồn: Tổng hợp số liệu từ n</w:t>
      </w:r>
      <w:r w:rsidRPr="008E63BB">
        <w:rPr>
          <w:i/>
        </w:rPr>
        <w:t>iên giám thống kê 2008-2018 và số liệu năm 2019</w:t>
      </w:r>
    </w:p>
    <w:p w14:paraId="519B1F46" w14:textId="77777777" w:rsidR="00DC5F42" w:rsidRPr="008E63BB" w:rsidRDefault="00DC5F42" w:rsidP="00DC5F42">
      <w:pPr>
        <w:jc w:val="center"/>
        <w:rPr>
          <w:b/>
          <w:lang w:val="pt-BR"/>
        </w:rPr>
      </w:pPr>
    </w:p>
    <w:p w14:paraId="519B1F47" w14:textId="77777777" w:rsidR="00DC5F42" w:rsidRPr="008E63BB" w:rsidRDefault="00DC5F42" w:rsidP="00DC5F42">
      <w:pPr>
        <w:jc w:val="center"/>
        <w:rPr>
          <w:b/>
          <w:lang w:val="pt-BR"/>
        </w:rPr>
      </w:pPr>
      <w:r w:rsidRPr="008E63BB">
        <w:rPr>
          <w:b/>
          <w:lang w:val="pt-BR"/>
        </w:rPr>
        <w:t>Hiện trạng dân số thành phố Nam Định giai đoạ</w:t>
      </w:r>
      <w:r w:rsidR="00E2603D" w:rsidRPr="008E63BB">
        <w:rPr>
          <w:b/>
          <w:lang w:val="pt-BR"/>
        </w:rPr>
        <w:t>n năm 2010- 2019</w:t>
      </w:r>
    </w:p>
    <w:tbl>
      <w:tblPr>
        <w:tblW w:w="15824" w:type="dxa"/>
        <w:tblInd w:w="-998" w:type="dxa"/>
        <w:tblLook w:val="04A0" w:firstRow="1" w:lastRow="0" w:firstColumn="1" w:lastColumn="0" w:noHBand="0" w:noVBand="1"/>
      </w:tblPr>
      <w:tblGrid>
        <w:gridCol w:w="606"/>
        <w:gridCol w:w="2660"/>
        <w:gridCol w:w="1016"/>
        <w:gridCol w:w="1016"/>
        <w:gridCol w:w="1016"/>
        <w:gridCol w:w="1016"/>
        <w:gridCol w:w="1016"/>
        <w:gridCol w:w="1016"/>
        <w:gridCol w:w="1016"/>
        <w:gridCol w:w="1016"/>
        <w:gridCol w:w="1016"/>
        <w:gridCol w:w="1016"/>
        <w:gridCol w:w="794"/>
        <w:gridCol w:w="794"/>
        <w:gridCol w:w="810"/>
      </w:tblGrid>
      <w:tr w:rsidR="008D5BFE" w:rsidRPr="008E63BB" w14:paraId="519B1F57" w14:textId="77777777" w:rsidTr="00885AB5">
        <w:trPr>
          <w:trHeight w:val="330"/>
        </w:trPr>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F48" w14:textId="77777777" w:rsidR="00DC5F42" w:rsidRPr="008E63BB" w:rsidRDefault="00DC5F42" w:rsidP="00885AB5">
            <w:pPr>
              <w:jc w:val="left"/>
              <w:rPr>
                <w:rFonts w:eastAsia="Times New Roman"/>
                <w:sz w:val="20"/>
                <w:szCs w:val="20"/>
                <w:lang w:val="pt-BR"/>
              </w:rPr>
            </w:pPr>
            <w:r w:rsidRPr="008E63BB">
              <w:rPr>
                <w:rFonts w:eastAsia="Times New Roman"/>
                <w:sz w:val="20"/>
                <w:szCs w:val="20"/>
                <w:lang w:val="pt-BR"/>
              </w:rPr>
              <w:t> </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14:paraId="519B1F49" w14:textId="77777777" w:rsidR="00DC5F42" w:rsidRPr="008E63BB" w:rsidRDefault="00DC5F42" w:rsidP="00885AB5">
            <w:pPr>
              <w:jc w:val="center"/>
              <w:rPr>
                <w:rFonts w:eastAsia="Times New Roman"/>
                <w:sz w:val="20"/>
                <w:szCs w:val="20"/>
                <w:lang w:val="pt-BR"/>
              </w:rPr>
            </w:pPr>
            <w:r w:rsidRPr="008E63BB">
              <w:rPr>
                <w:rFonts w:eastAsia="Times New Roman"/>
                <w:sz w:val="20"/>
                <w:szCs w:val="20"/>
                <w:lang w:val="pt-BR"/>
              </w:rPr>
              <w:t>Tỷ lệ tăng dân số (%)</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4A" w14:textId="77777777" w:rsidR="00DC5F42" w:rsidRPr="008E63BB" w:rsidRDefault="00DC5F42" w:rsidP="00885AB5">
            <w:pPr>
              <w:jc w:val="center"/>
              <w:rPr>
                <w:rFonts w:eastAsia="Times New Roman"/>
                <w:sz w:val="20"/>
                <w:szCs w:val="20"/>
              </w:rPr>
            </w:pPr>
            <w:r w:rsidRPr="008E63BB">
              <w:rPr>
                <w:rFonts w:eastAsia="Times New Roman"/>
                <w:sz w:val="20"/>
                <w:szCs w:val="20"/>
              </w:rPr>
              <w:t>2010</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4B" w14:textId="77777777" w:rsidR="00DC5F42" w:rsidRPr="008E63BB" w:rsidRDefault="00DC5F42" w:rsidP="00885AB5">
            <w:pPr>
              <w:jc w:val="center"/>
              <w:rPr>
                <w:rFonts w:eastAsia="Times New Roman"/>
                <w:sz w:val="20"/>
                <w:szCs w:val="20"/>
              </w:rPr>
            </w:pPr>
            <w:r w:rsidRPr="008E63BB">
              <w:rPr>
                <w:rFonts w:eastAsia="Times New Roman"/>
                <w:sz w:val="20"/>
                <w:szCs w:val="20"/>
              </w:rPr>
              <w:t>2011</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4C" w14:textId="77777777" w:rsidR="00DC5F42" w:rsidRPr="008E63BB" w:rsidRDefault="00DC5F42" w:rsidP="00885AB5">
            <w:pPr>
              <w:jc w:val="center"/>
              <w:rPr>
                <w:rFonts w:eastAsia="Times New Roman"/>
                <w:sz w:val="20"/>
                <w:szCs w:val="20"/>
              </w:rPr>
            </w:pPr>
            <w:r w:rsidRPr="008E63BB">
              <w:rPr>
                <w:rFonts w:eastAsia="Times New Roman"/>
                <w:sz w:val="20"/>
                <w:szCs w:val="20"/>
              </w:rPr>
              <w:t>2012</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4D" w14:textId="77777777" w:rsidR="00DC5F42" w:rsidRPr="008E63BB" w:rsidRDefault="00DC5F42" w:rsidP="00885AB5">
            <w:pPr>
              <w:jc w:val="center"/>
              <w:rPr>
                <w:rFonts w:eastAsia="Times New Roman"/>
                <w:sz w:val="20"/>
                <w:szCs w:val="20"/>
              </w:rPr>
            </w:pPr>
            <w:r w:rsidRPr="008E63BB">
              <w:rPr>
                <w:rFonts w:eastAsia="Times New Roman"/>
                <w:sz w:val="20"/>
                <w:szCs w:val="20"/>
              </w:rPr>
              <w:t>2013</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4E" w14:textId="77777777" w:rsidR="00DC5F42" w:rsidRPr="008E63BB" w:rsidRDefault="00DC5F42" w:rsidP="00885AB5">
            <w:pPr>
              <w:jc w:val="center"/>
              <w:rPr>
                <w:rFonts w:eastAsia="Times New Roman"/>
                <w:sz w:val="20"/>
                <w:szCs w:val="20"/>
              </w:rPr>
            </w:pPr>
            <w:r w:rsidRPr="008E63BB">
              <w:rPr>
                <w:rFonts w:eastAsia="Times New Roman"/>
                <w:sz w:val="20"/>
                <w:szCs w:val="20"/>
              </w:rPr>
              <w:t>2014</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4F" w14:textId="77777777" w:rsidR="00DC5F42" w:rsidRPr="008E63BB" w:rsidRDefault="00DC5F42" w:rsidP="00885AB5">
            <w:pPr>
              <w:jc w:val="center"/>
              <w:rPr>
                <w:rFonts w:eastAsia="Times New Roman"/>
                <w:sz w:val="20"/>
                <w:szCs w:val="20"/>
              </w:rPr>
            </w:pPr>
            <w:r w:rsidRPr="008E63BB">
              <w:rPr>
                <w:rFonts w:eastAsia="Times New Roman"/>
                <w:sz w:val="20"/>
                <w:szCs w:val="20"/>
              </w:rPr>
              <w:t>2015</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50" w14:textId="77777777" w:rsidR="00DC5F42" w:rsidRPr="008E63BB" w:rsidRDefault="00DC5F42" w:rsidP="00885AB5">
            <w:pPr>
              <w:jc w:val="center"/>
              <w:rPr>
                <w:rFonts w:eastAsia="Times New Roman"/>
                <w:sz w:val="20"/>
                <w:szCs w:val="20"/>
              </w:rPr>
            </w:pPr>
            <w:r w:rsidRPr="008E63BB">
              <w:rPr>
                <w:rFonts w:eastAsia="Times New Roman"/>
                <w:sz w:val="20"/>
                <w:szCs w:val="20"/>
              </w:rPr>
              <w:t>2016</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51" w14:textId="77777777" w:rsidR="00DC5F42" w:rsidRPr="008E63BB" w:rsidRDefault="00DC5F42" w:rsidP="00885AB5">
            <w:pPr>
              <w:jc w:val="center"/>
              <w:rPr>
                <w:rFonts w:eastAsia="Times New Roman"/>
                <w:sz w:val="20"/>
                <w:szCs w:val="20"/>
              </w:rPr>
            </w:pPr>
            <w:r w:rsidRPr="008E63BB">
              <w:rPr>
                <w:rFonts w:eastAsia="Times New Roman"/>
                <w:sz w:val="20"/>
                <w:szCs w:val="20"/>
              </w:rPr>
              <w:t>2017</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1F52" w14:textId="77777777" w:rsidR="00DC5F42" w:rsidRPr="008E63BB" w:rsidRDefault="00DC5F42" w:rsidP="00885AB5">
            <w:pPr>
              <w:jc w:val="center"/>
              <w:rPr>
                <w:rFonts w:eastAsia="Times New Roman"/>
                <w:sz w:val="20"/>
                <w:szCs w:val="20"/>
              </w:rPr>
            </w:pPr>
            <w:r w:rsidRPr="008E63BB">
              <w:rPr>
                <w:rFonts w:eastAsia="Times New Roman"/>
                <w:sz w:val="20"/>
                <w:szCs w:val="20"/>
              </w:rPr>
              <w:t>2018</w:t>
            </w:r>
          </w:p>
        </w:tc>
        <w:tc>
          <w:tcPr>
            <w:tcW w:w="1016" w:type="dxa"/>
            <w:tcBorders>
              <w:top w:val="single" w:sz="4" w:space="0" w:color="auto"/>
              <w:left w:val="nil"/>
              <w:bottom w:val="single" w:sz="4" w:space="0" w:color="auto"/>
              <w:right w:val="nil"/>
            </w:tcBorders>
            <w:vAlign w:val="center"/>
          </w:tcPr>
          <w:p w14:paraId="519B1F53" w14:textId="77777777" w:rsidR="00DC5F42" w:rsidRPr="008E63BB" w:rsidRDefault="00DC5F42" w:rsidP="00885AB5">
            <w:pPr>
              <w:jc w:val="center"/>
              <w:rPr>
                <w:rFonts w:eastAsia="Times New Roman"/>
                <w:sz w:val="20"/>
                <w:szCs w:val="20"/>
              </w:rPr>
            </w:pPr>
            <w:r w:rsidRPr="008E63BB">
              <w:rPr>
                <w:rFonts w:eastAsia="Times New Roman"/>
                <w:sz w:val="20"/>
                <w:szCs w:val="20"/>
              </w:rPr>
              <w:t>2019</w:t>
            </w:r>
          </w:p>
        </w:tc>
        <w:tc>
          <w:tcPr>
            <w:tcW w:w="794" w:type="dxa"/>
            <w:tcBorders>
              <w:top w:val="single" w:sz="4" w:space="0" w:color="auto"/>
              <w:left w:val="single" w:sz="4" w:space="0" w:color="auto"/>
              <w:bottom w:val="single" w:sz="4" w:space="0" w:color="auto"/>
              <w:right w:val="single" w:sz="4" w:space="0" w:color="auto"/>
            </w:tcBorders>
          </w:tcPr>
          <w:p w14:paraId="519B1F54" w14:textId="77777777" w:rsidR="00DC5F42" w:rsidRPr="008E63BB" w:rsidRDefault="00DC5F42" w:rsidP="00885AB5">
            <w:pPr>
              <w:jc w:val="center"/>
              <w:rPr>
                <w:rFonts w:eastAsia="Times New Roman"/>
                <w:sz w:val="20"/>
                <w:szCs w:val="20"/>
              </w:rPr>
            </w:pPr>
            <w:r w:rsidRPr="008E63BB">
              <w:rPr>
                <w:rFonts w:eastAsia="Times New Roman"/>
                <w:sz w:val="20"/>
                <w:szCs w:val="20"/>
              </w:rPr>
              <w:t>2010-2014</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F55" w14:textId="77777777" w:rsidR="00DC5F42" w:rsidRPr="008E63BB" w:rsidRDefault="00DC5F42" w:rsidP="00885AB5">
            <w:pPr>
              <w:jc w:val="center"/>
              <w:rPr>
                <w:rFonts w:eastAsia="Times New Roman"/>
                <w:sz w:val="20"/>
                <w:szCs w:val="20"/>
              </w:rPr>
            </w:pPr>
            <w:r w:rsidRPr="008E63BB">
              <w:rPr>
                <w:rFonts w:eastAsia="Times New Roman"/>
                <w:sz w:val="20"/>
                <w:szCs w:val="20"/>
              </w:rPr>
              <w:t>2014-2019</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519B1F56" w14:textId="77777777" w:rsidR="00DC5F42" w:rsidRPr="008E63BB" w:rsidRDefault="00DC5F42" w:rsidP="00885AB5">
            <w:pPr>
              <w:jc w:val="center"/>
              <w:rPr>
                <w:rFonts w:eastAsia="Times New Roman"/>
                <w:sz w:val="20"/>
                <w:szCs w:val="20"/>
              </w:rPr>
            </w:pPr>
            <w:r w:rsidRPr="008E63BB">
              <w:rPr>
                <w:rFonts w:eastAsia="Times New Roman"/>
                <w:sz w:val="20"/>
                <w:szCs w:val="20"/>
              </w:rPr>
              <w:t>2010-2019</w:t>
            </w:r>
          </w:p>
        </w:tc>
      </w:tr>
      <w:tr w:rsidR="008D5BFE" w:rsidRPr="008E63BB" w14:paraId="519B1F67" w14:textId="77777777" w:rsidTr="00885AB5">
        <w:trPr>
          <w:trHeight w:val="330"/>
        </w:trPr>
        <w:tc>
          <w:tcPr>
            <w:tcW w:w="606" w:type="dxa"/>
            <w:tcBorders>
              <w:top w:val="nil"/>
              <w:left w:val="single" w:sz="4" w:space="0" w:color="auto"/>
              <w:bottom w:val="single" w:sz="4" w:space="0" w:color="auto"/>
              <w:right w:val="single" w:sz="4" w:space="0" w:color="auto"/>
            </w:tcBorders>
            <w:shd w:val="clear" w:color="auto" w:fill="auto"/>
            <w:noWrap/>
            <w:vAlign w:val="center"/>
            <w:hideMark/>
          </w:tcPr>
          <w:p w14:paraId="519B1F58" w14:textId="77777777" w:rsidR="00DC5F42" w:rsidRPr="008E63BB" w:rsidRDefault="00DC5F42" w:rsidP="00885AB5">
            <w:pPr>
              <w:jc w:val="right"/>
              <w:rPr>
                <w:rFonts w:eastAsia="Times New Roman"/>
                <w:sz w:val="20"/>
                <w:szCs w:val="20"/>
              </w:rPr>
            </w:pPr>
            <w:r w:rsidRPr="008E63BB">
              <w:rPr>
                <w:rFonts w:eastAsia="Times New Roman"/>
                <w:sz w:val="20"/>
                <w:szCs w:val="20"/>
              </w:rPr>
              <w:t>1</w:t>
            </w:r>
          </w:p>
        </w:tc>
        <w:tc>
          <w:tcPr>
            <w:tcW w:w="2660" w:type="dxa"/>
            <w:tcBorders>
              <w:top w:val="nil"/>
              <w:left w:val="nil"/>
              <w:bottom w:val="single" w:sz="4" w:space="0" w:color="auto"/>
              <w:right w:val="single" w:sz="4" w:space="0" w:color="auto"/>
            </w:tcBorders>
            <w:shd w:val="clear" w:color="auto" w:fill="auto"/>
            <w:vAlign w:val="center"/>
            <w:hideMark/>
          </w:tcPr>
          <w:p w14:paraId="519B1F59" w14:textId="77777777" w:rsidR="00DC5F42" w:rsidRPr="008E63BB" w:rsidRDefault="00DC5F42" w:rsidP="00885AB5">
            <w:pPr>
              <w:jc w:val="left"/>
              <w:rPr>
                <w:rFonts w:eastAsia="Times New Roman"/>
                <w:sz w:val="20"/>
                <w:szCs w:val="20"/>
              </w:rPr>
            </w:pPr>
            <w:r w:rsidRPr="008E63BB">
              <w:rPr>
                <w:rFonts w:eastAsia="Times New Roman"/>
                <w:sz w:val="20"/>
                <w:szCs w:val="20"/>
              </w:rPr>
              <w:t>Toàn tỉnh Nam Định</w:t>
            </w:r>
          </w:p>
        </w:tc>
        <w:tc>
          <w:tcPr>
            <w:tcW w:w="1016" w:type="dxa"/>
            <w:tcBorders>
              <w:top w:val="nil"/>
              <w:left w:val="nil"/>
              <w:bottom w:val="single" w:sz="4" w:space="0" w:color="auto"/>
              <w:right w:val="single" w:sz="4" w:space="0" w:color="auto"/>
            </w:tcBorders>
            <w:shd w:val="clear" w:color="auto" w:fill="auto"/>
            <w:noWrap/>
            <w:vAlign w:val="center"/>
            <w:hideMark/>
          </w:tcPr>
          <w:p w14:paraId="519B1F5A" w14:textId="77777777" w:rsidR="00DC5F42" w:rsidRPr="008E63BB" w:rsidRDefault="00DC5F42" w:rsidP="00885AB5">
            <w:pPr>
              <w:jc w:val="right"/>
              <w:rPr>
                <w:rFonts w:eastAsia="Times New Roman"/>
                <w:sz w:val="20"/>
                <w:szCs w:val="20"/>
              </w:rPr>
            </w:pPr>
            <w:r w:rsidRPr="008E63BB">
              <w:rPr>
                <w:sz w:val="20"/>
                <w:szCs w:val="20"/>
              </w:rPr>
              <w:t>1.822.346</w:t>
            </w:r>
          </w:p>
        </w:tc>
        <w:tc>
          <w:tcPr>
            <w:tcW w:w="1016" w:type="dxa"/>
            <w:tcBorders>
              <w:top w:val="nil"/>
              <w:left w:val="nil"/>
              <w:bottom w:val="single" w:sz="4" w:space="0" w:color="auto"/>
              <w:right w:val="single" w:sz="4" w:space="0" w:color="auto"/>
            </w:tcBorders>
            <w:shd w:val="clear" w:color="auto" w:fill="auto"/>
            <w:noWrap/>
            <w:vAlign w:val="center"/>
            <w:hideMark/>
          </w:tcPr>
          <w:p w14:paraId="519B1F5B" w14:textId="77777777" w:rsidR="00DC5F42" w:rsidRPr="008E63BB" w:rsidRDefault="00DC5F42" w:rsidP="00885AB5">
            <w:pPr>
              <w:jc w:val="right"/>
              <w:rPr>
                <w:rFonts w:eastAsia="Times New Roman"/>
                <w:sz w:val="20"/>
                <w:szCs w:val="20"/>
              </w:rPr>
            </w:pPr>
            <w:r w:rsidRPr="008E63BB">
              <w:rPr>
                <w:sz w:val="20"/>
                <w:szCs w:val="20"/>
              </w:rPr>
              <w:t>1.816.810</w:t>
            </w:r>
          </w:p>
        </w:tc>
        <w:tc>
          <w:tcPr>
            <w:tcW w:w="1016" w:type="dxa"/>
            <w:tcBorders>
              <w:top w:val="nil"/>
              <w:left w:val="nil"/>
              <w:bottom w:val="single" w:sz="4" w:space="0" w:color="auto"/>
              <w:right w:val="single" w:sz="4" w:space="0" w:color="auto"/>
            </w:tcBorders>
            <w:shd w:val="clear" w:color="auto" w:fill="auto"/>
            <w:noWrap/>
            <w:vAlign w:val="center"/>
            <w:hideMark/>
          </w:tcPr>
          <w:p w14:paraId="519B1F5C" w14:textId="77777777" w:rsidR="00DC5F42" w:rsidRPr="008E63BB" w:rsidRDefault="00DC5F42" w:rsidP="00885AB5">
            <w:pPr>
              <w:jc w:val="right"/>
              <w:rPr>
                <w:rFonts w:eastAsia="Times New Roman"/>
                <w:sz w:val="20"/>
                <w:szCs w:val="20"/>
              </w:rPr>
            </w:pPr>
            <w:r w:rsidRPr="008E63BB">
              <w:rPr>
                <w:sz w:val="20"/>
                <w:szCs w:val="20"/>
              </w:rPr>
              <w:t>1.811.500</w:t>
            </w:r>
          </w:p>
        </w:tc>
        <w:tc>
          <w:tcPr>
            <w:tcW w:w="1016" w:type="dxa"/>
            <w:tcBorders>
              <w:top w:val="nil"/>
              <w:left w:val="nil"/>
              <w:bottom w:val="single" w:sz="4" w:space="0" w:color="auto"/>
              <w:right w:val="single" w:sz="4" w:space="0" w:color="auto"/>
            </w:tcBorders>
            <w:shd w:val="clear" w:color="auto" w:fill="auto"/>
            <w:noWrap/>
            <w:vAlign w:val="center"/>
            <w:hideMark/>
          </w:tcPr>
          <w:p w14:paraId="519B1F5D" w14:textId="77777777" w:rsidR="00DC5F42" w:rsidRPr="008E63BB" w:rsidRDefault="00DC5F42" w:rsidP="00885AB5">
            <w:pPr>
              <w:jc w:val="right"/>
              <w:rPr>
                <w:rFonts w:eastAsia="Times New Roman"/>
                <w:sz w:val="20"/>
                <w:szCs w:val="20"/>
              </w:rPr>
            </w:pPr>
            <w:r w:rsidRPr="008E63BB">
              <w:rPr>
                <w:sz w:val="20"/>
                <w:szCs w:val="20"/>
              </w:rPr>
              <w:t>1.806.412</w:t>
            </w:r>
          </w:p>
        </w:tc>
        <w:tc>
          <w:tcPr>
            <w:tcW w:w="1016" w:type="dxa"/>
            <w:tcBorders>
              <w:top w:val="nil"/>
              <w:left w:val="nil"/>
              <w:bottom w:val="single" w:sz="4" w:space="0" w:color="auto"/>
              <w:right w:val="single" w:sz="4" w:space="0" w:color="auto"/>
            </w:tcBorders>
            <w:shd w:val="clear" w:color="auto" w:fill="auto"/>
            <w:noWrap/>
            <w:vAlign w:val="center"/>
            <w:hideMark/>
          </w:tcPr>
          <w:p w14:paraId="519B1F5E" w14:textId="77777777" w:rsidR="00DC5F42" w:rsidRPr="008E63BB" w:rsidRDefault="00DC5F42" w:rsidP="00885AB5">
            <w:pPr>
              <w:jc w:val="right"/>
              <w:rPr>
                <w:rFonts w:eastAsia="Times New Roman"/>
                <w:sz w:val="20"/>
                <w:szCs w:val="20"/>
              </w:rPr>
            </w:pPr>
            <w:r w:rsidRPr="008E63BB">
              <w:rPr>
                <w:sz w:val="20"/>
                <w:szCs w:val="20"/>
              </w:rPr>
              <w:t>1.801.543</w:t>
            </w:r>
          </w:p>
        </w:tc>
        <w:tc>
          <w:tcPr>
            <w:tcW w:w="1016" w:type="dxa"/>
            <w:tcBorders>
              <w:top w:val="nil"/>
              <w:left w:val="nil"/>
              <w:bottom w:val="single" w:sz="4" w:space="0" w:color="auto"/>
              <w:right w:val="single" w:sz="4" w:space="0" w:color="auto"/>
            </w:tcBorders>
            <w:shd w:val="clear" w:color="auto" w:fill="auto"/>
            <w:noWrap/>
            <w:vAlign w:val="center"/>
            <w:hideMark/>
          </w:tcPr>
          <w:p w14:paraId="519B1F5F" w14:textId="77777777" w:rsidR="00DC5F42" w:rsidRPr="008E63BB" w:rsidRDefault="00DC5F42" w:rsidP="00885AB5">
            <w:pPr>
              <w:jc w:val="right"/>
              <w:rPr>
                <w:rFonts w:eastAsia="Times New Roman"/>
                <w:sz w:val="20"/>
                <w:szCs w:val="20"/>
              </w:rPr>
            </w:pPr>
            <w:r w:rsidRPr="008E63BB">
              <w:rPr>
                <w:sz w:val="20"/>
                <w:szCs w:val="20"/>
              </w:rPr>
              <w:t>1.796.890</w:t>
            </w:r>
          </w:p>
        </w:tc>
        <w:tc>
          <w:tcPr>
            <w:tcW w:w="1016" w:type="dxa"/>
            <w:tcBorders>
              <w:top w:val="nil"/>
              <w:left w:val="nil"/>
              <w:bottom w:val="single" w:sz="4" w:space="0" w:color="auto"/>
              <w:right w:val="single" w:sz="4" w:space="0" w:color="auto"/>
            </w:tcBorders>
            <w:shd w:val="clear" w:color="auto" w:fill="auto"/>
            <w:noWrap/>
            <w:vAlign w:val="center"/>
            <w:hideMark/>
          </w:tcPr>
          <w:p w14:paraId="519B1F60" w14:textId="77777777" w:rsidR="00DC5F42" w:rsidRPr="008E63BB" w:rsidRDefault="00DC5F42" w:rsidP="00885AB5">
            <w:pPr>
              <w:jc w:val="right"/>
              <w:rPr>
                <w:rFonts w:eastAsia="Times New Roman"/>
                <w:sz w:val="20"/>
                <w:szCs w:val="20"/>
              </w:rPr>
            </w:pPr>
            <w:r w:rsidRPr="008E63BB">
              <w:rPr>
                <w:sz w:val="20"/>
                <w:szCs w:val="20"/>
              </w:rPr>
              <w:t>1.792.452</w:t>
            </w:r>
          </w:p>
        </w:tc>
        <w:tc>
          <w:tcPr>
            <w:tcW w:w="1016" w:type="dxa"/>
            <w:tcBorders>
              <w:top w:val="nil"/>
              <w:left w:val="nil"/>
              <w:bottom w:val="single" w:sz="4" w:space="0" w:color="auto"/>
              <w:right w:val="single" w:sz="4" w:space="0" w:color="auto"/>
            </w:tcBorders>
            <w:shd w:val="clear" w:color="auto" w:fill="auto"/>
            <w:noWrap/>
            <w:vAlign w:val="center"/>
            <w:hideMark/>
          </w:tcPr>
          <w:p w14:paraId="519B1F61" w14:textId="77777777" w:rsidR="00DC5F42" w:rsidRPr="008E63BB" w:rsidRDefault="00DC5F42" w:rsidP="00885AB5">
            <w:pPr>
              <w:jc w:val="right"/>
              <w:rPr>
                <w:rFonts w:eastAsia="Times New Roman"/>
                <w:sz w:val="20"/>
                <w:szCs w:val="20"/>
              </w:rPr>
            </w:pPr>
            <w:r w:rsidRPr="008E63BB">
              <w:rPr>
                <w:sz w:val="20"/>
                <w:szCs w:val="20"/>
              </w:rPr>
              <w:t>1.788.225</w:t>
            </w:r>
          </w:p>
        </w:tc>
        <w:tc>
          <w:tcPr>
            <w:tcW w:w="1016" w:type="dxa"/>
            <w:tcBorders>
              <w:top w:val="nil"/>
              <w:left w:val="nil"/>
              <w:bottom w:val="single" w:sz="4" w:space="0" w:color="auto"/>
              <w:right w:val="single" w:sz="4" w:space="0" w:color="auto"/>
            </w:tcBorders>
            <w:shd w:val="clear" w:color="auto" w:fill="auto"/>
            <w:noWrap/>
            <w:vAlign w:val="center"/>
          </w:tcPr>
          <w:p w14:paraId="519B1F62" w14:textId="77777777" w:rsidR="00DC5F42" w:rsidRPr="008E63BB" w:rsidRDefault="00DC5F42" w:rsidP="00885AB5">
            <w:pPr>
              <w:jc w:val="right"/>
              <w:rPr>
                <w:rFonts w:eastAsia="Times New Roman"/>
                <w:sz w:val="20"/>
                <w:szCs w:val="20"/>
              </w:rPr>
            </w:pPr>
            <w:r w:rsidRPr="008E63BB">
              <w:rPr>
                <w:sz w:val="20"/>
                <w:szCs w:val="20"/>
              </w:rPr>
              <w:t>1.784.206</w:t>
            </w:r>
          </w:p>
        </w:tc>
        <w:tc>
          <w:tcPr>
            <w:tcW w:w="1016" w:type="dxa"/>
            <w:tcBorders>
              <w:top w:val="single" w:sz="4" w:space="0" w:color="auto"/>
              <w:left w:val="nil"/>
              <w:bottom w:val="single" w:sz="4" w:space="0" w:color="auto"/>
              <w:right w:val="nil"/>
            </w:tcBorders>
            <w:vAlign w:val="center"/>
          </w:tcPr>
          <w:p w14:paraId="519B1F63" w14:textId="77777777" w:rsidR="00DC5F42" w:rsidRPr="008E63BB" w:rsidRDefault="00DC5F42" w:rsidP="00885AB5">
            <w:pPr>
              <w:jc w:val="right"/>
              <w:rPr>
                <w:rFonts w:eastAsia="Times New Roman"/>
                <w:sz w:val="20"/>
                <w:szCs w:val="20"/>
              </w:rPr>
            </w:pPr>
            <w:r w:rsidRPr="008E63BB">
              <w:rPr>
                <w:sz w:val="20"/>
                <w:szCs w:val="20"/>
              </w:rPr>
              <w:t>1.780.393</w:t>
            </w:r>
          </w:p>
        </w:tc>
        <w:tc>
          <w:tcPr>
            <w:tcW w:w="794" w:type="dxa"/>
            <w:tcBorders>
              <w:top w:val="nil"/>
              <w:left w:val="single" w:sz="4" w:space="0" w:color="auto"/>
              <w:bottom w:val="single" w:sz="4" w:space="0" w:color="auto"/>
              <w:right w:val="single" w:sz="4" w:space="0" w:color="auto"/>
            </w:tcBorders>
            <w:vAlign w:val="center"/>
          </w:tcPr>
          <w:p w14:paraId="519B1F64" w14:textId="77777777" w:rsidR="00DC5F42" w:rsidRPr="008E63BB" w:rsidRDefault="00DC5F42" w:rsidP="00885AB5">
            <w:pPr>
              <w:jc w:val="right"/>
              <w:rPr>
                <w:rFonts w:eastAsia="Times New Roman"/>
                <w:sz w:val="20"/>
                <w:szCs w:val="20"/>
              </w:rPr>
            </w:pPr>
            <w:r w:rsidRPr="008E63BB">
              <w:rPr>
                <w:sz w:val="20"/>
                <w:szCs w:val="20"/>
              </w:rPr>
              <w:t>0,30</w:t>
            </w:r>
          </w:p>
        </w:tc>
        <w:tc>
          <w:tcPr>
            <w:tcW w:w="794" w:type="dxa"/>
            <w:tcBorders>
              <w:top w:val="nil"/>
              <w:left w:val="single" w:sz="4" w:space="0" w:color="auto"/>
              <w:bottom w:val="single" w:sz="4" w:space="0" w:color="auto"/>
              <w:right w:val="single" w:sz="4" w:space="0" w:color="auto"/>
            </w:tcBorders>
            <w:shd w:val="clear" w:color="auto" w:fill="auto"/>
            <w:noWrap/>
            <w:vAlign w:val="center"/>
            <w:hideMark/>
          </w:tcPr>
          <w:p w14:paraId="519B1F65" w14:textId="77777777" w:rsidR="00DC5F42" w:rsidRPr="008E63BB" w:rsidRDefault="00DC5F42" w:rsidP="00885AB5">
            <w:pPr>
              <w:jc w:val="right"/>
              <w:rPr>
                <w:rFonts w:eastAsia="Times New Roman"/>
                <w:sz w:val="20"/>
                <w:szCs w:val="20"/>
              </w:rPr>
            </w:pPr>
            <w:r w:rsidRPr="008E63BB">
              <w:rPr>
                <w:sz w:val="20"/>
                <w:szCs w:val="20"/>
              </w:rPr>
              <w:t>-0,24</w:t>
            </w:r>
          </w:p>
        </w:tc>
        <w:tc>
          <w:tcPr>
            <w:tcW w:w="810" w:type="dxa"/>
            <w:tcBorders>
              <w:top w:val="nil"/>
              <w:left w:val="nil"/>
              <w:bottom w:val="single" w:sz="4" w:space="0" w:color="auto"/>
              <w:right w:val="single" w:sz="4" w:space="0" w:color="auto"/>
            </w:tcBorders>
            <w:shd w:val="clear" w:color="auto" w:fill="auto"/>
            <w:noWrap/>
            <w:vAlign w:val="center"/>
            <w:hideMark/>
          </w:tcPr>
          <w:p w14:paraId="519B1F66" w14:textId="77777777" w:rsidR="00DC5F42" w:rsidRPr="008E63BB" w:rsidRDefault="00DC5F42" w:rsidP="00885AB5">
            <w:pPr>
              <w:jc w:val="right"/>
              <w:rPr>
                <w:rFonts w:eastAsia="Times New Roman"/>
                <w:sz w:val="20"/>
                <w:szCs w:val="20"/>
              </w:rPr>
            </w:pPr>
            <w:r w:rsidRPr="008E63BB">
              <w:rPr>
                <w:sz w:val="20"/>
                <w:szCs w:val="20"/>
              </w:rPr>
              <w:t>-0,258</w:t>
            </w:r>
          </w:p>
        </w:tc>
      </w:tr>
      <w:tr w:rsidR="00841C2D" w:rsidRPr="008E63BB" w14:paraId="519B1F77" w14:textId="77777777" w:rsidTr="00885AB5">
        <w:trPr>
          <w:trHeight w:val="330"/>
        </w:trPr>
        <w:tc>
          <w:tcPr>
            <w:tcW w:w="606" w:type="dxa"/>
            <w:tcBorders>
              <w:top w:val="nil"/>
              <w:left w:val="single" w:sz="4" w:space="0" w:color="auto"/>
              <w:bottom w:val="single" w:sz="4" w:space="0" w:color="auto"/>
              <w:right w:val="single" w:sz="4" w:space="0" w:color="auto"/>
            </w:tcBorders>
            <w:shd w:val="clear" w:color="auto" w:fill="auto"/>
            <w:noWrap/>
            <w:vAlign w:val="center"/>
            <w:hideMark/>
          </w:tcPr>
          <w:p w14:paraId="519B1F68" w14:textId="77777777" w:rsidR="00841C2D" w:rsidRPr="008E63BB" w:rsidRDefault="00841C2D" w:rsidP="00841C2D">
            <w:pPr>
              <w:jc w:val="right"/>
              <w:rPr>
                <w:rFonts w:eastAsia="Times New Roman"/>
                <w:sz w:val="20"/>
                <w:szCs w:val="20"/>
              </w:rPr>
            </w:pPr>
            <w:r w:rsidRPr="008E63BB">
              <w:rPr>
                <w:rFonts w:eastAsia="Times New Roman"/>
                <w:sz w:val="20"/>
                <w:szCs w:val="20"/>
              </w:rPr>
              <w:t>2</w:t>
            </w:r>
          </w:p>
        </w:tc>
        <w:tc>
          <w:tcPr>
            <w:tcW w:w="2660" w:type="dxa"/>
            <w:tcBorders>
              <w:top w:val="nil"/>
              <w:left w:val="nil"/>
              <w:bottom w:val="single" w:sz="4" w:space="0" w:color="auto"/>
              <w:right w:val="single" w:sz="4" w:space="0" w:color="auto"/>
            </w:tcBorders>
            <w:shd w:val="clear" w:color="auto" w:fill="auto"/>
            <w:vAlign w:val="center"/>
            <w:hideMark/>
          </w:tcPr>
          <w:p w14:paraId="519B1F69" w14:textId="77777777" w:rsidR="00841C2D" w:rsidRPr="008E63BB" w:rsidRDefault="00841C2D" w:rsidP="00841C2D">
            <w:pPr>
              <w:jc w:val="left"/>
              <w:rPr>
                <w:rFonts w:eastAsia="Times New Roman"/>
                <w:sz w:val="20"/>
                <w:szCs w:val="20"/>
              </w:rPr>
            </w:pPr>
            <w:r w:rsidRPr="008E63BB">
              <w:rPr>
                <w:rFonts w:eastAsia="Times New Roman"/>
                <w:sz w:val="20"/>
                <w:szCs w:val="20"/>
              </w:rPr>
              <w:t>Tổng ranh giới quy hoạch TP</w:t>
            </w:r>
          </w:p>
        </w:tc>
        <w:tc>
          <w:tcPr>
            <w:tcW w:w="1016" w:type="dxa"/>
            <w:tcBorders>
              <w:top w:val="nil"/>
              <w:left w:val="nil"/>
              <w:bottom w:val="single" w:sz="4" w:space="0" w:color="auto"/>
              <w:right w:val="single" w:sz="4" w:space="0" w:color="auto"/>
            </w:tcBorders>
            <w:shd w:val="clear" w:color="auto" w:fill="auto"/>
            <w:noWrap/>
            <w:vAlign w:val="center"/>
            <w:hideMark/>
          </w:tcPr>
          <w:p w14:paraId="519B1F6A" w14:textId="77777777" w:rsidR="00841C2D" w:rsidRPr="008E63BB" w:rsidRDefault="00841C2D" w:rsidP="00841C2D">
            <w:pPr>
              <w:jc w:val="right"/>
              <w:rPr>
                <w:rFonts w:eastAsia="Times New Roman"/>
                <w:sz w:val="20"/>
                <w:szCs w:val="20"/>
              </w:rPr>
            </w:pPr>
            <w:r w:rsidRPr="008E63BB">
              <w:rPr>
                <w:sz w:val="20"/>
                <w:szCs w:val="20"/>
              </w:rPr>
              <w:t>387.826</w:t>
            </w:r>
          </w:p>
        </w:tc>
        <w:tc>
          <w:tcPr>
            <w:tcW w:w="1016" w:type="dxa"/>
            <w:tcBorders>
              <w:top w:val="nil"/>
              <w:left w:val="nil"/>
              <w:bottom w:val="single" w:sz="4" w:space="0" w:color="auto"/>
              <w:right w:val="single" w:sz="4" w:space="0" w:color="auto"/>
            </w:tcBorders>
            <w:shd w:val="clear" w:color="auto" w:fill="auto"/>
            <w:noWrap/>
            <w:vAlign w:val="center"/>
            <w:hideMark/>
          </w:tcPr>
          <w:p w14:paraId="519B1F6B" w14:textId="77777777" w:rsidR="00841C2D" w:rsidRPr="008E63BB" w:rsidRDefault="00841C2D" w:rsidP="00841C2D">
            <w:pPr>
              <w:jc w:val="right"/>
              <w:rPr>
                <w:rFonts w:eastAsia="Times New Roman"/>
                <w:sz w:val="20"/>
                <w:szCs w:val="20"/>
              </w:rPr>
            </w:pPr>
            <w:r w:rsidRPr="008E63BB">
              <w:rPr>
                <w:sz w:val="20"/>
                <w:szCs w:val="20"/>
              </w:rPr>
              <w:t>389.208</w:t>
            </w:r>
          </w:p>
        </w:tc>
        <w:tc>
          <w:tcPr>
            <w:tcW w:w="1016" w:type="dxa"/>
            <w:tcBorders>
              <w:top w:val="nil"/>
              <w:left w:val="nil"/>
              <w:bottom w:val="single" w:sz="4" w:space="0" w:color="auto"/>
              <w:right w:val="single" w:sz="4" w:space="0" w:color="auto"/>
            </w:tcBorders>
            <w:shd w:val="clear" w:color="auto" w:fill="auto"/>
            <w:noWrap/>
            <w:vAlign w:val="center"/>
            <w:hideMark/>
          </w:tcPr>
          <w:p w14:paraId="519B1F6C" w14:textId="77777777" w:rsidR="00841C2D" w:rsidRPr="008E63BB" w:rsidRDefault="00841C2D" w:rsidP="00841C2D">
            <w:pPr>
              <w:jc w:val="right"/>
              <w:rPr>
                <w:rFonts w:eastAsia="Times New Roman"/>
                <w:sz w:val="20"/>
                <w:szCs w:val="20"/>
              </w:rPr>
            </w:pPr>
            <w:r w:rsidRPr="008E63BB">
              <w:rPr>
                <w:sz w:val="20"/>
                <w:szCs w:val="20"/>
              </w:rPr>
              <w:t>389.505</w:t>
            </w:r>
          </w:p>
        </w:tc>
        <w:tc>
          <w:tcPr>
            <w:tcW w:w="1016" w:type="dxa"/>
            <w:tcBorders>
              <w:top w:val="nil"/>
              <w:left w:val="nil"/>
              <w:bottom w:val="single" w:sz="4" w:space="0" w:color="auto"/>
              <w:right w:val="single" w:sz="4" w:space="0" w:color="auto"/>
            </w:tcBorders>
            <w:shd w:val="clear" w:color="auto" w:fill="auto"/>
            <w:noWrap/>
            <w:vAlign w:val="center"/>
            <w:hideMark/>
          </w:tcPr>
          <w:p w14:paraId="519B1F6D" w14:textId="77777777" w:rsidR="00841C2D" w:rsidRPr="008E63BB" w:rsidRDefault="00841C2D" w:rsidP="00841C2D">
            <w:pPr>
              <w:jc w:val="right"/>
              <w:rPr>
                <w:rFonts w:eastAsia="Times New Roman"/>
                <w:sz w:val="20"/>
                <w:szCs w:val="20"/>
              </w:rPr>
            </w:pPr>
            <w:r w:rsidRPr="008E63BB">
              <w:rPr>
                <w:sz w:val="20"/>
                <w:szCs w:val="20"/>
              </w:rPr>
              <w:t>391.689</w:t>
            </w:r>
          </w:p>
        </w:tc>
        <w:tc>
          <w:tcPr>
            <w:tcW w:w="1016" w:type="dxa"/>
            <w:tcBorders>
              <w:top w:val="nil"/>
              <w:left w:val="nil"/>
              <w:bottom w:val="single" w:sz="4" w:space="0" w:color="auto"/>
              <w:right w:val="single" w:sz="4" w:space="0" w:color="auto"/>
            </w:tcBorders>
            <w:shd w:val="clear" w:color="auto" w:fill="auto"/>
            <w:noWrap/>
            <w:vAlign w:val="center"/>
            <w:hideMark/>
          </w:tcPr>
          <w:p w14:paraId="519B1F6E" w14:textId="77777777" w:rsidR="00841C2D" w:rsidRPr="008E63BB" w:rsidRDefault="00841C2D" w:rsidP="00841C2D">
            <w:pPr>
              <w:jc w:val="right"/>
              <w:rPr>
                <w:rFonts w:eastAsia="Times New Roman"/>
                <w:sz w:val="20"/>
                <w:szCs w:val="20"/>
              </w:rPr>
            </w:pPr>
            <w:r w:rsidRPr="008E63BB">
              <w:rPr>
                <w:sz w:val="20"/>
                <w:szCs w:val="20"/>
              </w:rPr>
              <w:t>511.242</w:t>
            </w:r>
          </w:p>
        </w:tc>
        <w:tc>
          <w:tcPr>
            <w:tcW w:w="1016" w:type="dxa"/>
            <w:tcBorders>
              <w:top w:val="nil"/>
              <w:left w:val="nil"/>
              <w:bottom w:val="single" w:sz="4" w:space="0" w:color="auto"/>
              <w:right w:val="single" w:sz="4" w:space="0" w:color="auto"/>
            </w:tcBorders>
            <w:shd w:val="clear" w:color="auto" w:fill="auto"/>
            <w:noWrap/>
            <w:vAlign w:val="center"/>
            <w:hideMark/>
          </w:tcPr>
          <w:p w14:paraId="519B1F6F" w14:textId="77777777" w:rsidR="00841C2D" w:rsidRPr="008E63BB" w:rsidRDefault="00841C2D" w:rsidP="00841C2D">
            <w:pPr>
              <w:jc w:val="right"/>
              <w:rPr>
                <w:rFonts w:eastAsia="Times New Roman"/>
                <w:sz w:val="20"/>
                <w:szCs w:val="20"/>
              </w:rPr>
            </w:pPr>
            <w:r w:rsidRPr="008E63BB">
              <w:rPr>
                <w:sz w:val="20"/>
                <w:szCs w:val="20"/>
              </w:rPr>
              <w:t>396.206</w:t>
            </w:r>
          </w:p>
        </w:tc>
        <w:tc>
          <w:tcPr>
            <w:tcW w:w="1016" w:type="dxa"/>
            <w:tcBorders>
              <w:top w:val="nil"/>
              <w:left w:val="nil"/>
              <w:bottom w:val="single" w:sz="4" w:space="0" w:color="auto"/>
              <w:right w:val="single" w:sz="4" w:space="0" w:color="auto"/>
            </w:tcBorders>
            <w:shd w:val="clear" w:color="auto" w:fill="auto"/>
            <w:noWrap/>
            <w:vAlign w:val="center"/>
            <w:hideMark/>
          </w:tcPr>
          <w:p w14:paraId="519B1F70" w14:textId="77777777" w:rsidR="00841C2D" w:rsidRPr="008E63BB" w:rsidRDefault="00841C2D" w:rsidP="00841C2D">
            <w:pPr>
              <w:jc w:val="right"/>
              <w:rPr>
                <w:rFonts w:eastAsia="Times New Roman"/>
                <w:sz w:val="20"/>
                <w:szCs w:val="20"/>
              </w:rPr>
            </w:pPr>
            <w:r w:rsidRPr="008E63BB">
              <w:rPr>
                <w:sz w:val="20"/>
                <w:szCs w:val="20"/>
              </w:rPr>
              <w:t>396.656</w:t>
            </w:r>
          </w:p>
        </w:tc>
        <w:tc>
          <w:tcPr>
            <w:tcW w:w="1016" w:type="dxa"/>
            <w:tcBorders>
              <w:top w:val="nil"/>
              <w:left w:val="nil"/>
              <w:bottom w:val="single" w:sz="4" w:space="0" w:color="auto"/>
              <w:right w:val="single" w:sz="4" w:space="0" w:color="auto"/>
            </w:tcBorders>
            <w:shd w:val="clear" w:color="auto" w:fill="auto"/>
            <w:noWrap/>
            <w:vAlign w:val="center"/>
            <w:hideMark/>
          </w:tcPr>
          <w:p w14:paraId="519B1F71" w14:textId="77777777" w:rsidR="00841C2D" w:rsidRPr="008E63BB" w:rsidRDefault="00841C2D" w:rsidP="00841C2D">
            <w:pPr>
              <w:jc w:val="right"/>
              <w:rPr>
                <w:rFonts w:eastAsia="Times New Roman"/>
                <w:sz w:val="20"/>
                <w:szCs w:val="20"/>
              </w:rPr>
            </w:pPr>
            <w:r w:rsidRPr="008E63BB">
              <w:rPr>
                <w:sz w:val="20"/>
                <w:szCs w:val="20"/>
              </w:rPr>
              <w:t>393.885</w:t>
            </w:r>
          </w:p>
        </w:tc>
        <w:tc>
          <w:tcPr>
            <w:tcW w:w="1016" w:type="dxa"/>
            <w:tcBorders>
              <w:top w:val="nil"/>
              <w:left w:val="nil"/>
              <w:bottom w:val="single" w:sz="4" w:space="0" w:color="auto"/>
              <w:right w:val="single" w:sz="4" w:space="0" w:color="auto"/>
            </w:tcBorders>
            <w:shd w:val="clear" w:color="auto" w:fill="auto"/>
            <w:noWrap/>
            <w:vAlign w:val="center"/>
            <w:hideMark/>
          </w:tcPr>
          <w:p w14:paraId="519B1F72" w14:textId="77777777" w:rsidR="00841C2D" w:rsidRPr="008E63BB" w:rsidRDefault="00841C2D" w:rsidP="00841C2D">
            <w:pPr>
              <w:jc w:val="right"/>
              <w:rPr>
                <w:rFonts w:eastAsia="Times New Roman"/>
                <w:sz w:val="20"/>
                <w:szCs w:val="20"/>
              </w:rPr>
            </w:pPr>
            <w:r w:rsidRPr="008E63BB">
              <w:rPr>
                <w:sz w:val="20"/>
                <w:szCs w:val="20"/>
              </w:rPr>
              <w:t>386.534</w:t>
            </w:r>
          </w:p>
        </w:tc>
        <w:tc>
          <w:tcPr>
            <w:tcW w:w="1016" w:type="dxa"/>
            <w:tcBorders>
              <w:top w:val="single" w:sz="4" w:space="0" w:color="auto"/>
              <w:left w:val="nil"/>
              <w:bottom w:val="single" w:sz="4" w:space="0" w:color="auto"/>
              <w:right w:val="nil"/>
            </w:tcBorders>
            <w:vAlign w:val="center"/>
          </w:tcPr>
          <w:p w14:paraId="519B1F73" w14:textId="77777777" w:rsidR="00841C2D" w:rsidRPr="008E63BB" w:rsidRDefault="00841C2D" w:rsidP="00841C2D">
            <w:pPr>
              <w:jc w:val="right"/>
              <w:rPr>
                <w:rFonts w:eastAsia="Times New Roman"/>
                <w:sz w:val="20"/>
                <w:szCs w:val="20"/>
              </w:rPr>
            </w:pPr>
            <w:r w:rsidRPr="008E63BB">
              <w:rPr>
                <w:rFonts w:eastAsia="Times New Roman"/>
                <w:sz w:val="20"/>
                <w:szCs w:val="20"/>
              </w:rPr>
              <w:t>398.188</w:t>
            </w:r>
          </w:p>
        </w:tc>
        <w:tc>
          <w:tcPr>
            <w:tcW w:w="794" w:type="dxa"/>
            <w:tcBorders>
              <w:top w:val="nil"/>
              <w:left w:val="single" w:sz="4" w:space="0" w:color="auto"/>
              <w:bottom w:val="single" w:sz="4" w:space="0" w:color="auto"/>
              <w:right w:val="single" w:sz="4" w:space="0" w:color="auto"/>
            </w:tcBorders>
            <w:vAlign w:val="center"/>
          </w:tcPr>
          <w:p w14:paraId="519B1F74" w14:textId="77777777" w:rsidR="00841C2D" w:rsidRPr="008E63BB" w:rsidRDefault="00841C2D" w:rsidP="00841C2D">
            <w:pPr>
              <w:jc w:val="right"/>
              <w:rPr>
                <w:rFonts w:eastAsia="Times New Roman"/>
                <w:sz w:val="20"/>
                <w:szCs w:val="20"/>
              </w:rPr>
            </w:pPr>
            <w:r w:rsidRPr="008E63BB">
              <w:rPr>
                <w:sz w:val="20"/>
                <w:szCs w:val="20"/>
              </w:rPr>
              <w:t>7,15</w:t>
            </w:r>
          </w:p>
        </w:tc>
        <w:tc>
          <w:tcPr>
            <w:tcW w:w="794" w:type="dxa"/>
            <w:tcBorders>
              <w:top w:val="nil"/>
              <w:left w:val="single" w:sz="4" w:space="0" w:color="auto"/>
              <w:bottom w:val="single" w:sz="4" w:space="0" w:color="auto"/>
              <w:right w:val="single" w:sz="4" w:space="0" w:color="auto"/>
            </w:tcBorders>
            <w:shd w:val="clear" w:color="auto" w:fill="auto"/>
            <w:noWrap/>
            <w:vAlign w:val="center"/>
            <w:hideMark/>
          </w:tcPr>
          <w:p w14:paraId="519B1F75" w14:textId="77777777" w:rsidR="00841C2D" w:rsidRPr="008E63BB" w:rsidRDefault="00841C2D" w:rsidP="00841C2D">
            <w:pPr>
              <w:jc w:val="right"/>
              <w:rPr>
                <w:rFonts w:eastAsia="Times New Roman"/>
                <w:sz w:val="20"/>
                <w:szCs w:val="20"/>
              </w:rPr>
            </w:pPr>
            <w:r w:rsidRPr="008E63BB">
              <w:rPr>
                <w:sz w:val="20"/>
                <w:szCs w:val="20"/>
              </w:rPr>
              <w:t>-6,75</w:t>
            </w:r>
          </w:p>
        </w:tc>
        <w:tc>
          <w:tcPr>
            <w:tcW w:w="810" w:type="dxa"/>
            <w:tcBorders>
              <w:top w:val="nil"/>
              <w:left w:val="nil"/>
              <w:bottom w:val="single" w:sz="4" w:space="0" w:color="auto"/>
              <w:right w:val="single" w:sz="4" w:space="0" w:color="auto"/>
            </w:tcBorders>
            <w:shd w:val="clear" w:color="auto" w:fill="auto"/>
            <w:noWrap/>
            <w:vAlign w:val="center"/>
            <w:hideMark/>
          </w:tcPr>
          <w:p w14:paraId="519B1F76" w14:textId="77777777" w:rsidR="00841C2D" w:rsidRPr="008E63BB" w:rsidRDefault="00841C2D" w:rsidP="00841C2D">
            <w:pPr>
              <w:jc w:val="right"/>
              <w:rPr>
                <w:rFonts w:eastAsia="Times New Roman"/>
                <w:sz w:val="20"/>
                <w:szCs w:val="20"/>
              </w:rPr>
            </w:pPr>
            <w:r w:rsidRPr="008E63BB">
              <w:rPr>
                <w:sz w:val="20"/>
                <w:szCs w:val="20"/>
              </w:rPr>
              <w:t>-0,04</w:t>
            </w:r>
          </w:p>
        </w:tc>
      </w:tr>
    </w:tbl>
    <w:p w14:paraId="519B1F78" w14:textId="77777777" w:rsidR="00DC5F42" w:rsidRPr="008E63BB" w:rsidRDefault="00DC5F42" w:rsidP="00F5692E">
      <w:pPr>
        <w:rPr>
          <w:i/>
        </w:rPr>
      </w:pPr>
      <w:r w:rsidRPr="008E63BB">
        <w:rPr>
          <w:rFonts w:eastAsia="Times New Roman"/>
          <w:bCs/>
          <w:i/>
          <w:sz w:val="24"/>
          <w:szCs w:val="24"/>
          <w:lang w:val="pt-BR" w:eastAsia="zh-CN"/>
        </w:rPr>
        <w:t>Nguồn: Tổng hợp số liệu từ n</w:t>
      </w:r>
      <w:r w:rsidRPr="008E63BB">
        <w:rPr>
          <w:i/>
        </w:rPr>
        <w:t>iên giám thống kê 2010-2018 và số liệu năm 2019  (Chi tiết xem phụ lục)</w:t>
      </w:r>
    </w:p>
    <w:p w14:paraId="519B1F79" w14:textId="77777777" w:rsidR="00DC5F42" w:rsidRPr="008E63BB" w:rsidRDefault="00DC5F42" w:rsidP="00F5692E">
      <w:pPr>
        <w:ind w:left="-450" w:firstLine="24"/>
      </w:pPr>
      <w:r w:rsidRPr="008E63BB">
        <w:t>Tỷ lệ tăng dân số tự nhiên của TP. Nam Định ổn định mức 0,81-1,23%/ năm, thấp nhất huyện Mỹ Lộc, tăng từ 0,87-1,03% (năm 2013 đạt 1,03%).</w:t>
      </w:r>
    </w:p>
    <w:p w14:paraId="519B1F7A" w14:textId="77777777" w:rsidR="00DC5F42" w:rsidRPr="008E63BB" w:rsidRDefault="00DC5F42" w:rsidP="00DC5F42">
      <w:pPr>
        <w:ind w:hanging="426"/>
      </w:pPr>
      <w:r w:rsidRPr="008E63BB">
        <w:t>Toàn tỉnh Nam Định là ≈1,00%.</w:t>
      </w:r>
    </w:p>
    <w:p w14:paraId="519B1F7B" w14:textId="77777777" w:rsidR="00DC5F42" w:rsidRPr="008E63BB" w:rsidRDefault="00DC5F42" w:rsidP="00DC5F42">
      <w:pPr>
        <w:rPr>
          <w:b/>
        </w:rPr>
      </w:pPr>
      <w:r w:rsidRPr="008E63BB">
        <w:rPr>
          <w:b/>
        </w:rPr>
        <w:t>Bảng: Tỷ lệ tăng dân số tự nhiên (%) toàn tỉnh, TP. Nam Định và các huyện giai đoạn 2010-2019</w:t>
      </w:r>
    </w:p>
    <w:tbl>
      <w:tblPr>
        <w:tblW w:w="15123" w:type="dxa"/>
        <w:tblInd w:w="-522" w:type="dxa"/>
        <w:tblLook w:val="04A0" w:firstRow="1" w:lastRow="0" w:firstColumn="1" w:lastColumn="0" w:noHBand="0" w:noVBand="1"/>
      </w:tblPr>
      <w:tblGrid>
        <w:gridCol w:w="567"/>
        <w:gridCol w:w="4409"/>
        <w:gridCol w:w="1000"/>
        <w:gridCol w:w="1000"/>
        <w:gridCol w:w="1000"/>
        <w:gridCol w:w="1000"/>
        <w:gridCol w:w="1000"/>
        <w:gridCol w:w="1000"/>
        <w:gridCol w:w="1000"/>
        <w:gridCol w:w="1000"/>
        <w:gridCol w:w="1000"/>
        <w:gridCol w:w="1147"/>
      </w:tblGrid>
      <w:tr w:rsidR="008D5BFE" w:rsidRPr="008E63BB" w14:paraId="519B1F88" w14:textId="77777777" w:rsidTr="003E3015">
        <w:trPr>
          <w:cantSplit/>
          <w:trHeight w:val="319"/>
          <w:tblHead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F7C" w14:textId="77777777" w:rsidR="00DC5F42" w:rsidRPr="008E63BB" w:rsidRDefault="00DC5F42" w:rsidP="00885AB5">
            <w:pPr>
              <w:jc w:val="left"/>
              <w:rPr>
                <w:rFonts w:eastAsia="Times New Roman"/>
                <w:b/>
                <w:bCs/>
                <w:sz w:val="24"/>
                <w:szCs w:val="24"/>
              </w:rPr>
            </w:pPr>
            <w:r w:rsidRPr="008E63BB">
              <w:rPr>
                <w:rFonts w:eastAsia="Times New Roman"/>
                <w:sz w:val="20"/>
                <w:szCs w:val="20"/>
              </w:rPr>
              <w:t> TT</w:t>
            </w:r>
          </w:p>
        </w:tc>
        <w:tc>
          <w:tcPr>
            <w:tcW w:w="4409" w:type="dxa"/>
            <w:tcBorders>
              <w:top w:val="single" w:sz="4" w:space="0" w:color="auto"/>
              <w:left w:val="nil"/>
              <w:bottom w:val="single" w:sz="4" w:space="0" w:color="auto"/>
              <w:right w:val="single" w:sz="4" w:space="0" w:color="auto"/>
            </w:tcBorders>
            <w:shd w:val="clear" w:color="auto" w:fill="auto"/>
            <w:noWrap/>
            <w:vAlign w:val="center"/>
            <w:hideMark/>
          </w:tcPr>
          <w:p w14:paraId="519B1F7D" w14:textId="77777777" w:rsidR="00DC5F42" w:rsidRPr="008E63BB" w:rsidRDefault="00DC5F42" w:rsidP="00885AB5">
            <w:pPr>
              <w:jc w:val="center"/>
              <w:rPr>
                <w:rFonts w:eastAsia="Times New Roman"/>
                <w:b/>
                <w:bCs/>
                <w:sz w:val="24"/>
                <w:szCs w:val="24"/>
              </w:rPr>
            </w:pPr>
            <w:r w:rsidRPr="008E63BB">
              <w:rPr>
                <w:rFonts w:eastAsia="Times New Roman"/>
                <w:sz w:val="20"/>
                <w:szCs w:val="20"/>
              </w:rPr>
              <w:t>Danh mục</w:t>
            </w:r>
          </w:p>
        </w:tc>
        <w:tc>
          <w:tcPr>
            <w:tcW w:w="1000" w:type="dxa"/>
            <w:tcBorders>
              <w:top w:val="single" w:sz="4" w:space="0" w:color="auto"/>
              <w:left w:val="nil"/>
              <w:bottom w:val="single" w:sz="4" w:space="0" w:color="auto"/>
              <w:right w:val="single" w:sz="4" w:space="0" w:color="auto"/>
            </w:tcBorders>
            <w:shd w:val="clear" w:color="auto" w:fill="auto"/>
            <w:noWrap/>
            <w:vAlign w:val="center"/>
          </w:tcPr>
          <w:p w14:paraId="519B1F7E"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2010</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7F"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80"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2012</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81"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2013</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82"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2014</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83"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2015</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84"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2016</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1F85"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2017</w:t>
            </w:r>
          </w:p>
        </w:tc>
        <w:tc>
          <w:tcPr>
            <w:tcW w:w="1000" w:type="dxa"/>
            <w:tcBorders>
              <w:top w:val="single" w:sz="4" w:space="0" w:color="auto"/>
              <w:left w:val="nil"/>
              <w:bottom w:val="single" w:sz="4" w:space="0" w:color="auto"/>
              <w:right w:val="single" w:sz="4" w:space="0" w:color="auto"/>
            </w:tcBorders>
            <w:vAlign w:val="center"/>
          </w:tcPr>
          <w:p w14:paraId="519B1F86"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2018</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F87"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2019</w:t>
            </w:r>
          </w:p>
        </w:tc>
      </w:tr>
      <w:tr w:rsidR="008D5BFE" w:rsidRPr="008E63BB" w14:paraId="519B1F95" w14:textId="77777777" w:rsidTr="003E3015">
        <w:trPr>
          <w:trHeight w:val="31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9B1F89"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1</w:t>
            </w:r>
          </w:p>
        </w:tc>
        <w:tc>
          <w:tcPr>
            <w:tcW w:w="4409" w:type="dxa"/>
            <w:tcBorders>
              <w:top w:val="nil"/>
              <w:left w:val="nil"/>
              <w:bottom w:val="single" w:sz="4" w:space="0" w:color="auto"/>
              <w:right w:val="single" w:sz="4" w:space="0" w:color="auto"/>
            </w:tcBorders>
            <w:shd w:val="clear" w:color="auto" w:fill="auto"/>
            <w:vAlign w:val="center"/>
            <w:hideMark/>
          </w:tcPr>
          <w:p w14:paraId="519B1F8A" w14:textId="77777777" w:rsidR="00DC5F42" w:rsidRPr="008E63BB" w:rsidRDefault="00DC5F42" w:rsidP="00885AB5">
            <w:pPr>
              <w:jc w:val="left"/>
              <w:rPr>
                <w:rFonts w:eastAsia="Times New Roman"/>
                <w:sz w:val="24"/>
                <w:szCs w:val="24"/>
              </w:rPr>
            </w:pPr>
            <w:r w:rsidRPr="008E63BB">
              <w:rPr>
                <w:rFonts w:eastAsia="Times New Roman"/>
                <w:sz w:val="24"/>
                <w:szCs w:val="24"/>
              </w:rPr>
              <w:t>Toàn tỉnh Nam Định</w:t>
            </w:r>
          </w:p>
        </w:tc>
        <w:tc>
          <w:tcPr>
            <w:tcW w:w="1000" w:type="dxa"/>
            <w:tcBorders>
              <w:top w:val="nil"/>
              <w:left w:val="nil"/>
              <w:bottom w:val="single" w:sz="4" w:space="0" w:color="auto"/>
              <w:right w:val="single" w:sz="4" w:space="0" w:color="auto"/>
            </w:tcBorders>
            <w:shd w:val="clear" w:color="auto" w:fill="auto"/>
            <w:noWrap/>
            <w:vAlign w:val="center"/>
          </w:tcPr>
          <w:p w14:paraId="519B1F8B" w14:textId="77777777" w:rsidR="00DC5F42" w:rsidRPr="008E63BB" w:rsidRDefault="00DC5F42" w:rsidP="00885AB5">
            <w:pPr>
              <w:jc w:val="right"/>
              <w:rPr>
                <w:rFonts w:eastAsia="Times New Roman"/>
                <w:sz w:val="24"/>
                <w:szCs w:val="24"/>
              </w:rPr>
            </w:pPr>
            <w:r w:rsidRPr="008E63BB">
              <w:rPr>
                <w:rFonts w:eastAsia="Times New Roman"/>
                <w:sz w:val="24"/>
                <w:szCs w:val="24"/>
              </w:rPr>
              <w:t>17,60</w:t>
            </w:r>
          </w:p>
        </w:tc>
        <w:tc>
          <w:tcPr>
            <w:tcW w:w="1000" w:type="dxa"/>
            <w:tcBorders>
              <w:top w:val="nil"/>
              <w:left w:val="nil"/>
              <w:bottom w:val="single" w:sz="4" w:space="0" w:color="auto"/>
              <w:right w:val="single" w:sz="4" w:space="0" w:color="auto"/>
            </w:tcBorders>
            <w:shd w:val="clear" w:color="auto" w:fill="auto"/>
            <w:noWrap/>
            <w:vAlign w:val="center"/>
            <w:hideMark/>
          </w:tcPr>
          <w:p w14:paraId="519B1F8C" w14:textId="77777777" w:rsidR="00DC5F42" w:rsidRPr="008E63BB" w:rsidRDefault="00DC5F42" w:rsidP="00885AB5">
            <w:pPr>
              <w:jc w:val="right"/>
              <w:rPr>
                <w:rFonts w:eastAsia="Times New Roman"/>
                <w:sz w:val="24"/>
                <w:szCs w:val="24"/>
              </w:rPr>
            </w:pPr>
            <w:r w:rsidRPr="008E63BB">
              <w:rPr>
                <w:rFonts w:eastAsia="Times New Roman"/>
                <w:sz w:val="24"/>
                <w:szCs w:val="24"/>
              </w:rPr>
              <w:t>17,61</w:t>
            </w:r>
          </w:p>
        </w:tc>
        <w:tc>
          <w:tcPr>
            <w:tcW w:w="1000" w:type="dxa"/>
            <w:tcBorders>
              <w:top w:val="nil"/>
              <w:left w:val="nil"/>
              <w:bottom w:val="single" w:sz="4" w:space="0" w:color="auto"/>
              <w:right w:val="single" w:sz="4" w:space="0" w:color="auto"/>
            </w:tcBorders>
            <w:shd w:val="clear" w:color="auto" w:fill="auto"/>
            <w:noWrap/>
            <w:vAlign w:val="center"/>
            <w:hideMark/>
          </w:tcPr>
          <w:p w14:paraId="519B1F8D" w14:textId="77777777" w:rsidR="00DC5F42" w:rsidRPr="008E63BB" w:rsidRDefault="00DC5F42" w:rsidP="00885AB5">
            <w:pPr>
              <w:jc w:val="right"/>
              <w:rPr>
                <w:rFonts w:eastAsia="Times New Roman"/>
                <w:sz w:val="24"/>
                <w:szCs w:val="24"/>
              </w:rPr>
            </w:pPr>
            <w:r w:rsidRPr="008E63BB">
              <w:rPr>
                <w:rFonts w:eastAsia="Times New Roman"/>
                <w:sz w:val="24"/>
                <w:szCs w:val="24"/>
              </w:rPr>
              <w:t>17,63</w:t>
            </w:r>
          </w:p>
        </w:tc>
        <w:tc>
          <w:tcPr>
            <w:tcW w:w="1000" w:type="dxa"/>
            <w:tcBorders>
              <w:top w:val="nil"/>
              <w:left w:val="nil"/>
              <w:bottom w:val="single" w:sz="4" w:space="0" w:color="auto"/>
              <w:right w:val="single" w:sz="4" w:space="0" w:color="auto"/>
            </w:tcBorders>
            <w:shd w:val="clear" w:color="auto" w:fill="auto"/>
            <w:noWrap/>
            <w:vAlign w:val="center"/>
            <w:hideMark/>
          </w:tcPr>
          <w:p w14:paraId="519B1F8E" w14:textId="77777777" w:rsidR="00DC5F42" w:rsidRPr="008E63BB" w:rsidRDefault="00DC5F42" w:rsidP="00885AB5">
            <w:pPr>
              <w:jc w:val="right"/>
              <w:rPr>
                <w:rFonts w:eastAsia="Times New Roman"/>
                <w:sz w:val="24"/>
                <w:szCs w:val="24"/>
              </w:rPr>
            </w:pPr>
            <w:r w:rsidRPr="008E63BB">
              <w:rPr>
                <w:rFonts w:eastAsia="Times New Roman"/>
                <w:sz w:val="24"/>
                <w:szCs w:val="24"/>
              </w:rPr>
              <w:t>17,64</w:t>
            </w:r>
          </w:p>
        </w:tc>
        <w:tc>
          <w:tcPr>
            <w:tcW w:w="1000" w:type="dxa"/>
            <w:tcBorders>
              <w:top w:val="nil"/>
              <w:left w:val="nil"/>
              <w:bottom w:val="single" w:sz="4" w:space="0" w:color="auto"/>
              <w:right w:val="single" w:sz="4" w:space="0" w:color="auto"/>
            </w:tcBorders>
            <w:shd w:val="clear" w:color="auto" w:fill="auto"/>
            <w:noWrap/>
            <w:vAlign w:val="center"/>
            <w:hideMark/>
          </w:tcPr>
          <w:p w14:paraId="519B1F8F" w14:textId="77777777" w:rsidR="00DC5F42" w:rsidRPr="008E63BB" w:rsidRDefault="00DC5F42" w:rsidP="00885AB5">
            <w:pPr>
              <w:jc w:val="right"/>
              <w:rPr>
                <w:rFonts w:eastAsia="Times New Roman"/>
                <w:sz w:val="24"/>
                <w:szCs w:val="24"/>
              </w:rPr>
            </w:pPr>
            <w:r w:rsidRPr="008E63BB">
              <w:rPr>
                <w:rFonts w:eastAsia="Times New Roman"/>
                <w:sz w:val="24"/>
                <w:szCs w:val="24"/>
              </w:rPr>
              <w:t>17,66</w:t>
            </w:r>
          </w:p>
        </w:tc>
        <w:tc>
          <w:tcPr>
            <w:tcW w:w="1000" w:type="dxa"/>
            <w:tcBorders>
              <w:top w:val="nil"/>
              <w:left w:val="nil"/>
              <w:bottom w:val="single" w:sz="4" w:space="0" w:color="auto"/>
              <w:right w:val="single" w:sz="4" w:space="0" w:color="auto"/>
            </w:tcBorders>
            <w:shd w:val="clear" w:color="auto" w:fill="auto"/>
            <w:noWrap/>
            <w:vAlign w:val="center"/>
            <w:hideMark/>
          </w:tcPr>
          <w:p w14:paraId="519B1F90" w14:textId="77777777" w:rsidR="00DC5F42" w:rsidRPr="008E63BB" w:rsidRDefault="00DC5F42" w:rsidP="00885AB5">
            <w:pPr>
              <w:jc w:val="right"/>
              <w:rPr>
                <w:rFonts w:eastAsia="Times New Roman"/>
                <w:sz w:val="24"/>
                <w:szCs w:val="24"/>
              </w:rPr>
            </w:pPr>
            <w:r w:rsidRPr="008E63BB">
              <w:rPr>
                <w:rFonts w:eastAsia="Times New Roman"/>
                <w:sz w:val="24"/>
                <w:szCs w:val="24"/>
              </w:rPr>
              <w:t>17,67</w:t>
            </w:r>
          </w:p>
        </w:tc>
        <w:tc>
          <w:tcPr>
            <w:tcW w:w="1000" w:type="dxa"/>
            <w:tcBorders>
              <w:top w:val="nil"/>
              <w:left w:val="nil"/>
              <w:bottom w:val="single" w:sz="4" w:space="0" w:color="auto"/>
              <w:right w:val="single" w:sz="4" w:space="0" w:color="auto"/>
            </w:tcBorders>
            <w:shd w:val="clear" w:color="auto" w:fill="auto"/>
            <w:noWrap/>
            <w:vAlign w:val="center"/>
            <w:hideMark/>
          </w:tcPr>
          <w:p w14:paraId="519B1F91" w14:textId="77777777" w:rsidR="00DC5F42" w:rsidRPr="008E63BB" w:rsidRDefault="00DC5F42" w:rsidP="00885AB5">
            <w:pPr>
              <w:jc w:val="right"/>
              <w:rPr>
                <w:rFonts w:eastAsia="Times New Roman"/>
                <w:sz w:val="24"/>
                <w:szCs w:val="24"/>
              </w:rPr>
            </w:pPr>
            <w:r w:rsidRPr="008E63BB">
              <w:rPr>
                <w:rFonts w:eastAsia="Times New Roman"/>
                <w:sz w:val="24"/>
                <w:szCs w:val="24"/>
              </w:rPr>
              <w:t>17,69</w:t>
            </w:r>
          </w:p>
        </w:tc>
        <w:tc>
          <w:tcPr>
            <w:tcW w:w="1000" w:type="dxa"/>
            <w:tcBorders>
              <w:top w:val="nil"/>
              <w:left w:val="nil"/>
              <w:bottom w:val="single" w:sz="4" w:space="0" w:color="auto"/>
              <w:right w:val="single" w:sz="4" w:space="0" w:color="auto"/>
            </w:tcBorders>
            <w:shd w:val="clear" w:color="auto" w:fill="auto"/>
            <w:noWrap/>
            <w:vAlign w:val="center"/>
            <w:hideMark/>
          </w:tcPr>
          <w:p w14:paraId="519B1F92" w14:textId="77777777" w:rsidR="00DC5F42" w:rsidRPr="008E63BB" w:rsidRDefault="00DC5F42" w:rsidP="00885AB5">
            <w:pPr>
              <w:jc w:val="right"/>
              <w:rPr>
                <w:rFonts w:eastAsia="Times New Roman"/>
                <w:sz w:val="24"/>
                <w:szCs w:val="24"/>
              </w:rPr>
            </w:pPr>
            <w:r w:rsidRPr="008E63BB">
              <w:rPr>
                <w:rFonts w:eastAsia="Times New Roman"/>
                <w:sz w:val="24"/>
                <w:szCs w:val="24"/>
              </w:rPr>
              <w:t>17,70</w:t>
            </w:r>
          </w:p>
        </w:tc>
        <w:tc>
          <w:tcPr>
            <w:tcW w:w="1000" w:type="dxa"/>
            <w:tcBorders>
              <w:top w:val="nil"/>
              <w:left w:val="nil"/>
              <w:bottom w:val="single" w:sz="4" w:space="0" w:color="auto"/>
              <w:right w:val="single" w:sz="4" w:space="0" w:color="auto"/>
            </w:tcBorders>
            <w:vAlign w:val="center"/>
          </w:tcPr>
          <w:p w14:paraId="519B1F93" w14:textId="77777777" w:rsidR="00DC5F42" w:rsidRPr="008E63BB" w:rsidRDefault="00DC5F42" w:rsidP="00885AB5">
            <w:pPr>
              <w:jc w:val="right"/>
              <w:rPr>
                <w:rFonts w:eastAsia="Times New Roman"/>
                <w:sz w:val="24"/>
                <w:szCs w:val="24"/>
              </w:rPr>
            </w:pPr>
            <w:r w:rsidRPr="008E63BB">
              <w:rPr>
                <w:rFonts w:eastAsia="Times New Roman"/>
                <w:sz w:val="24"/>
                <w:szCs w:val="24"/>
              </w:rPr>
              <w:t>18,16</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F94" w14:textId="77777777" w:rsidR="00DC5F42" w:rsidRPr="008E63BB" w:rsidRDefault="00DC5F42" w:rsidP="00885AB5">
            <w:pPr>
              <w:jc w:val="right"/>
              <w:rPr>
                <w:rFonts w:eastAsia="Times New Roman"/>
                <w:sz w:val="24"/>
                <w:szCs w:val="24"/>
              </w:rPr>
            </w:pPr>
            <w:r w:rsidRPr="008E63BB">
              <w:rPr>
                <w:sz w:val="24"/>
                <w:szCs w:val="24"/>
              </w:rPr>
              <w:t>18,18</w:t>
            </w:r>
          </w:p>
        </w:tc>
      </w:tr>
      <w:tr w:rsidR="008D5BFE" w:rsidRPr="008E63BB" w14:paraId="519B1FA2" w14:textId="77777777" w:rsidTr="003E3015">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9B1F96" w14:textId="77777777" w:rsidR="00DC5F42" w:rsidRPr="008E63BB" w:rsidRDefault="00DC5F42" w:rsidP="00885AB5">
            <w:pPr>
              <w:jc w:val="center"/>
              <w:rPr>
                <w:rFonts w:eastAsia="Times New Roman"/>
                <w:b/>
                <w:bCs/>
                <w:sz w:val="24"/>
                <w:szCs w:val="24"/>
              </w:rPr>
            </w:pPr>
            <w:r w:rsidRPr="008E63BB">
              <w:rPr>
                <w:rFonts w:eastAsia="Times New Roman"/>
                <w:b/>
                <w:bCs/>
                <w:sz w:val="24"/>
                <w:szCs w:val="24"/>
              </w:rPr>
              <w:t>2</w:t>
            </w:r>
          </w:p>
        </w:tc>
        <w:tc>
          <w:tcPr>
            <w:tcW w:w="4409" w:type="dxa"/>
            <w:tcBorders>
              <w:top w:val="nil"/>
              <w:left w:val="nil"/>
              <w:bottom w:val="single" w:sz="4" w:space="0" w:color="auto"/>
              <w:right w:val="single" w:sz="4" w:space="0" w:color="auto"/>
            </w:tcBorders>
            <w:shd w:val="clear" w:color="auto" w:fill="auto"/>
            <w:vAlign w:val="center"/>
            <w:hideMark/>
          </w:tcPr>
          <w:p w14:paraId="519B1F97" w14:textId="77777777" w:rsidR="00DC5F42" w:rsidRPr="008E63BB" w:rsidRDefault="00DC5F42" w:rsidP="00885AB5">
            <w:pPr>
              <w:jc w:val="left"/>
              <w:rPr>
                <w:rFonts w:eastAsia="Times New Roman"/>
                <w:sz w:val="24"/>
                <w:szCs w:val="24"/>
              </w:rPr>
            </w:pPr>
            <w:r w:rsidRPr="008E63BB">
              <w:rPr>
                <w:rFonts w:eastAsia="Times New Roman"/>
                <w:sz w:val="24"/>
                <w:szCs w:val="24"/>
              </w:rPr>
              <w:t>Tổng ranh giới quy hoạch TP</w:t>
            </w:r>
          </w:p>
        </w:tc>
        <w:tc>
          <w:tcPr>
            <w:tcW w:w="1000" w:type="dxa"/>
            <w:tcBorders>
              <w:top w:val="nil"/>
              <w:left w:val="nil"/>
              <w:bottom w:val="single" w:sz="4" w:space="0" w:color="auto"/>
              <w:right w:val="single" w:sz="4" w:space="0" w:color="auto"/>
            </w:tcBorders>
            <w:shd w:val="clear" w:color="auto" w:fill="auto"/>
            <w:noWrap/>
            <w:vAlign w:val="center"/>
          </w:tcPr>
          <w:p w14:paraId="519B1F98" w14:textId="77777777" w:rsidR="00DC5F42" w:rsidRPr="008E63BB" w:rsidRDefault="00DC5F42" w:rsidP="00885AB5">
            <w:pPr>
              <w:jc w:val="right"/>
              <w:rPr>
                <w:rFonts w:eastAsia="Times New Roman"/>
                <w:sz w:val="24"/>
                <w:szCs w:val="24"/>
              </w:rPr>
            </w:pPr>
            <w:r w:rsidRPr="008E63BB">
              <w:rPr>
                <w:rFonts w:eastAsia="Times New Roman"/>
                <w:sz w:val="24"/>
                <w:szCs w:val="24"/>
              </w:rPr>
              <w:t>52,08</w:t>
            </w:r>
          </w:p>
        </w:tc>
        <w:tc>
          <w:tcPr>
            <w:tcW w:w="1000" w:type="dxa"/>
            <w:tcBorders>
              <w:top w:val="nil"/>
              <w:left w:val="nil"/>
              <w:bottom w:val="single" w:sz="4" w:space="0" w:color="auto"/>
              <w:right w:val="single" w:sz="4" w:space="0" w:color="auto"/>
            </w:tcBorders>
            <w:shd w:val="clear" w:color="auto" w:fill="auto"/>
            <w:noWrap/>
            <w:vAlign w:val="center"/>
            <w:hideMark/>
          </w:tcPr>
          <w:p w14:paraId="519B1F99" w14:textId="77777777" w:rsidR="00DC5F42" w:rsidRPr="008E63BB" w:rsidRDefault="00DC5F42" w:rsidP="00885AB5">
            <w:pPr>
              <w:jc w:val="right"/>
              <w:rPr>
                <w:rFonts w:eastAsia="Times New Roman"/>
                <w:sz w:val="24"/>
                <w:szCs w:val="24"/>
              </w:rPr>
            </w:pPr>
            <w:r w:rsidRPr="008E63BB">
              <w:rPr>
                <w:rFonts w:eastAsia="Times New Roman"/>
                <w:sz w:val="24"/>
                <w:szCs w:val="24"/>
              </w:rPr>
              <w:t>51,99</w:t>
            </w:r>
          </w:p>
        </w:tc>
        <w:tc>
          <w:tcPr>
            <w:tcW w:w="1000" w:type="dxa"/>
            <w:tcBorders>
              <w:top w:val="nil"/>
              <w:left w:val="nil"/>
              <w:bottom w:val="single" w:sz="4" w:space="0" w:color="auto"/>
              <w:right w:val="single" w:sz="4" w:space="0" w:color="auto"/>
            </w:tcBorders>
            <w:shd w:val="clear" w:color="auto" w:fill="auto"/>
            <w:noWrap/>
            <w:vAlign w:val="center"/>
            <w:hideMark/>
          </w:tcPr>
          <w:p w14:paraId="519B1F9A" w14:textId="77777777" w:rsidR="00DC5F42" w:rsidRPr="008E63BB" w:rsidRDefault="00DC5F42" w:rsidP="00885AB5">
            <w:pPr>
              <w:jc w:val="right"/>
              <w:rPr>
                <w:rFonts w:eastAsia="Times New Roman"/>
                <w:sz w:val="24"/>
                <w:szCs w:val="24"/>
              </w:rPr>
            </w:pPr>
            <w:r w:rsidRPr="008E63BB">
              <w:rPr>
                <w:rFonts w:eastAsia="Times New Roman"/>
                <w:sz w:val="24"/>
                <w:szCs w:val="24"/>
              </w:rPr>
              <w:t>52,42</w:t>
            </w:r>
          </w:p>
        </w:tc>
        <w:tc>
          <w:tcPr>
            <w:tcW w:w="1000" w:type="dxa"/>
            <w:tcBorders>
              <w:top w:val="nil"/>
              <w:left w:val="nil"/>
              <w:bottom w:val="single" w:sz="4" w:space="0" w:color="auto"/>
              <w:right w:val="single" w:sz="4" w:space="0" w:color="auto"/>
            </w:tcBorders>
            <w:shd w:val="clear" w:color="auto" w:fill="auto"/>
            <w:noWrap/>
            <w:vAlign w:val="center"/>
            <w:hideMark/>
          </w:tcPr>
          <w:p w14:paraId="519B1F9B" w14:textId="77777777" w:rsidR="00DC5F42" w:rsidRPr="008E63BB" w:rsidRDefault="00DC5F42" w:rsidP="00885AB5">
            <w:pPr>
              <w:jc w:val="right"/>
              <w:rPr>
                <w:rFonts w:eastAsia="Times New Roman"/>
                <w:sz w:val="24"/>
                <w:szCs w:val="24"/>
              </w:rPr>
            </w:pPr>
            <w:r w:rsidRPr="008E63BB">
              <w:rPr>
                <w:rFonts w:eastAsia="Times New Roman"/>
                <w:sz w:val="24"/>
                <w:szCs w:val="24"/>
              </w:rPr>
              <w:t>52,33</w:t>
            </w:r>
          </w:p>
        </w:tc>
        <w:tc>
          <w:tcPr>
            <w:tcW w:w="1000" w:type="dxa"/>
            <w:tcBorders>
              <w:top w:val="nil"/>
              <w:left w:val="nil"/>
              <w:bottom w:val="single" w:sz="4" w:space="0" w:color="auto"/>
              <w:right w:val="single" w:sz="4" w:space="0" w:color="auto"/>
            </w:tcBorders>
            <w:shd w:val="clear" w:color="auto" w:fill="auto"/>
            <w:noWrap/>
            <w:vAlign w:val="center"/>
            <w:hideMark/>
          </w:tcPr>
          <w:p w14:paraId="519B1F9C" w14:textId="77777777" w:rsidR="00DC5F42" w:rsidRPr="008E63BB" w:rsidRDefault="00DC5F42" w:rsidP="00885AB5">
            <w:pPr>
              <w:jc w:val="right"/>
              <w:rPr>
                <w:rFonts w:eastAsia="Times New Roman"/>
                <w:sz w:val="24"/>
                <w:szCs w:val="24"/>
              </w:rPr>
            </w:pPr>
            <w:r w:rsidRPr="008E63BB">
              <w:rPr>
                <w:rFonts w:eastAsia="Times New Roman"/>
                <w:sz w:val="24"/>
                <w:szCs w:val="24"/>
              </w:rPr>
              <w:t>40,32</w:t>
            </w:r>
          </w:p>
        </w:tc>
        <w:tc>
          <w:tcPr>
            <w:tcW w:w="1000" w:type="dxa"/>
            <w:tcBorders>
              <w:top w:val="nil"/>
              <w:left w:val="nil"/>
              <w:bottom w:val="single" w:sz="4" w:space="0" w:color="auto"/>
              <w:right w:val="single" w:sz="4" w:space="0" w:color="auto"/>
            </w:tcBorders>
            <w:shd w:val="clear" w:color="auto" w:fill="auto"/>
            <w:noWrap/>
            <w:vAlign w:val="center"/>
            <w:hideMark/>
          </w:tcPr>
          <w:p w14:paraId="519B1F9D" w14:textId="77777777" w:rsidR="00DC5F42" w:rsidRPr="008E63BB" w:rsidRDefault="00DC5F42" w:rsidP="00885AB5">
            <w:pPr>
              <w:jc w:val="right"/>
              <w:rPr>
                <w:rFonts w:eastAsia="Times New Roman"/>
                <w:sz w:val="24"/>
                <w:szCs w:val="24"/>
              </w:rPr>
            </w:pPr>
            <w:r w:rsidRPr="008E63BB">
              <w:rPr>
                <w:rFonts w:eastAsia="Times New Roman"/>
                <w:sz w:val="24"/>
                <w:szCs w:val="24"/>
              </w:rPr>
              <w:t>52,30</w:t>
            </w:r>
          </w:p>
        </w:tc>
        <w:tc>
          <w:tcPr>
            <w:tcW w:w="1000" w:type="dxa"/>
            <w:tcBorders>
              <w:top w:val="nil"/>
              <w:left w:val="nil"/>
              <w:bottom w:val="single" w:sz="4" w:space="0" w:color="auto"/>
              <w:right w:val="single" w:sz="4" w:space="0" w:color="auto"/>
            </w:tcBorders>
            <w:shd w:val="clear" w:color="auto" w:fill="auto"/>
            <w:noWrap/>
            <w:vAlign w:val="center"/>
            <w:hideMark/>
          </w:tcPr>
          <w:p w14:paraId="519B1F9E" w14:textId="77777777" w:rsidR="00DC5F42" w:rsidRPr="008E63BB" w:rsidRDefault="00DC5F42" w:rsidP="00885AB5">
            <w:pPr>
              <w:jc w:val="right"/>
              <w:rPr>
                <w:rFonts w:eastAsia="Times New Roman"/>
                <w:sz w:val="24"/>
                <w:szCs w:val="24"/>
              </w:rPr>
            </w:pPr>
            <w:r w:rsidRPr="008E63BB">
              <w:rPr>
                <w:rFonts w:eastAsia="Times New Roman"/>
                <w:sz w:val="24"/>
                <w:szCs w:val="24"/>
              </w:rPr>
              <w:t>52,19</w:t>
            </w:r>
          </w:p>
        </w:tc>
        <w:tc>
          <w:tcPr>
            <w:tcW w:w="1000" w:type="dxa"/>
            <w:tcBorders>
              <w:top w:val="nil"/>
              <w:left w:val="nil"/>
              <w:bottom w:val="single" w:sz="4" w:space="0" w:color="auto"/>
              <w:right w:val="single" w:sz="4" w:space="0" w:color="auto"/>
            </w:tcBorders>
            <w:shd w:val="clear" w:color="auto" w:fill="auto"/>
            <w:noWrap/>
            <w:vAlign w:val="center"/>
            <w:hideMark/>
          </w:tcPr>
          <w:p w14:paraId="519B1F9F" w14:textId="77777777" w:rsidR="00DC5F42" w:rsidRPr="008E63BB" w:rsidRDefault="00DC5F42" w:rsidP="00885AB5">
            <w:pPr>
              <w:jc w:val="right"/>
              <w:rPr>
                <w:rFonts w:eastAsia="Times New Roman"/>
                <w:sz w:val="24"/>
                <w:szCs w:val="24"/>
              </w:rPr>
            </w:pPr>
            <w:r w:rsidRPr="008E63BB">
              <w:rPr>
                <w:rFonts w:eastAsia="Times New Roman"/>
                <w:sz w:val="24"/>
                <w:szCs w:val="24"/>
              </w:rPr>
              <w:t>51,82</w:t>
            </w:r>
          </w:p>
        </w:tc>
        <w:tc>
          <w:tcPr>
            <w:tcW w:w="1000" w:type="dxa"/>
            <w:tcBorders>
              <w:top w:val="nil"/>
              <w:left w:val="nil"/>
              <w:bottom w:val="single" w:sz="4" w:space="0" w:color="auto"/>
              <w:right w:val="single" w:sz="4" w:space="0" w:color="auto"/>
            </w:tcBorders>
            <w:vAlign w:val="center"/>
          </w:tcPr>
          <w:p w14:paraId="519B1FA0" w14:textId="77777777" w:rsidR="00DC5F42" w:rsidRPr="008E63BB" w:rsidRDefault="00DC5F42" w:rsidP="00885AB5">
            <w:pPr>
              <w:jc w:val="right"/>
              <w:rPr>
                <w:rFonts w:eastAsia="Times New Roman"/>
                <w:sz w:val="24"/>
                <w:szCs w:val="24"/>
              </w:rPr>
            </w:pPr>
            <w:r w:rsidRPr="008E63BB">
              <w:rPr>
                <w:rFonts w:eastAsia="Times New Roman"/>
                <w:sz w:val="24"/>
                <w:szCs w:val="24"/>
              </w:rPr>
              <w:t>53,70</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FA1" w14:textId="77777777" w:rsidR="00DC5F42" w:rsidRPr="008E63BB" w:rsidRDefault="00DC5F42" w:rsidP="00885AB5">
            <w:pPr>
              <w:jc w:val="right"/>
              <w:rPr>
                <w:rFonts w:eastAsia="Times New Roman"/>
                <w:sz w:val="24"/>
                <w:szCs w:val="24"/>
              </w:rPr>
            </w:pPr>
            <w:r w:rsidRPr="008E63BB">
              <w:rPr>
                <w:sz w:val="24"/>
                <w:szCs w:val="24"/>
              </w:rPr>
              <w:t>60,91</w:t>
            </w:r>
          </w:p>
        </w:tc>
      </w:tr>
      <w:tr w:rsidR="008D5BFE" w:rsidRPr="008E63BB" w14:paraId="519B1FAF" w14:textId="77777777" w:rsidTr="003E3015">
        <w:trPr>
          <w:trHeight w:val="31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9B1FA3" w14:textId="77777777" w:rsidR="00DC5F42" w:rsidRPr="008E63BB" w:rsidRDefault="00DC5F42" w:rsidP="00885AB5">
            <w:pPr>
              <w:jc w:val="right"/>
              <w:rPr>
                <w:rFonts w:eastAsia="Times New Roman"/>
                <w:b/>
                <w:bCs/>
                <w:sz w:val="24"/>
                <w:szCs w:val="24"/>
              </w:rPr>
            </w:pPr>
            <w:r w:rsidRPr="008E63BB">
              <w:rPr>
                <w:rFonts w:eastAsia="Times New Roman"/>
                <w:b/>
                <w:bCs/>
                <w:sz w:val="24"/>
                <w:szCs w:val="24"/>
              </w:rPr>
              <w:t>-</w:t>
            </w:r>
          </w:p>
        </w:tc>
        <w:tc>
          <w:tcPr>
            <w:tcW w:w="4409" w:type="dxa"/>
            <w:tcBorders>
              <w:top w:val="nil"/>
              <w:left w:val="nil"/>
              <w:bottom w:val="single" w:sz="4" w:space="0" w:color="auto"/>
              <w:right w:val="single" w:sz="4" w:space="0" w:color="auto"/>
            </w:tcBorders>
            <w:shd w:val="clear" w:color="auto" w:fill="auto"/>
            <w:vAlign w:val="center"/>
            <w:hideMark/>
          </w:tcPr>
          <w:p w14:paraId="519B1FA4" w14:textId="77777777" w:rsidR="00DC5F42" w:rsidRPr="008E63BB" w:rsidRDefault="00DC5F42" w:rsidP="00885AB5">
            <w:pPr>
              <w:jc w:val="left"/>
              <w:rPr>
                <w:rFonts w:eastAsia="Times New Roman"/>
                <w:sz w:val="24"/>
                <w:szCs w:val="24"/>
              </w:rPr>
            </w:pPr>
            <w:r w:rsidRPr="008E63BB">
              <w:rPr>
                <w:rFonts w:eastAsia="Times New Roman"/>
                <w:sz w:val="24"/>
                <w:szCs w:val="24"/>
              </w:rPr>
              <w:t>TP. Nam Định</w:t>
            </w:r>
          </w:p>
        </w:tc>
        <w:tc>
          <w:tcPr>
            <w:tcW w:w="1000" w:type="dxa"/>
            <w:tcBorders>
              <w:top w:val="nil"/>
              <w:left w:val="nil"/>
              <w:bottom w:val="single" w:sz="4" w:space="0" w:color="auto"/>
              <w:right w:val="single" w:sz="4" w:space="0" w:color="auto"/>
            </w:tcBorders>
            <w:shd w:val="clear" w:color="auto" w:fill="auto"/>
            <w:noWrap/>
            <w:vAlign w:val="center"/>
          </w:tcPr>
          <w:p w14:paraId="519B1FA5" w14:textId="77777777" w:rsidR="00DC5F42" w:rsidRPr="008E63BB" w:rsidRDefault="00DC5F42" w:rsidP="00885AB5">
            <w:pPr>
              <w:jc w:val="right"/>
              <w:rPr>
                <w:rFonts w:eastAsia="Times New Roman"/>
                <w:sz w:val="24"/>
                <w:szCs w:val="24"/>
              </w:rPr>
            </w:pPr>
            <w:r w:rsidRPr="008E63BB">
              <w:rPr>
                <w:rFonts w:eastAsia="Times New Roman"/>
                <w:sz w:val="24"/>
                <w:szCs w:val="24"/>
              </w:rPr>
              <w:t>80,76</w:t>
            </w:r>
          </w:p>
        </w:tc>
        <w:tc>
          <w:tcPr>
            <w:tcW w:w="1000" w:type="dxa"/>
            <w:tcBorders>
              <w:top w:val="nil"/>
              <w:left w:val="nil"/>
              <w:bottom w:val="single" w:sz="4" w:space="0" w:color="auto"/>
              <w:right w:val="single" w:sz="4" w:space="0" w:color="auto"/>
            </w:tcBorders>
            <w:shd w:val="clear" w:color="auto" w:fill="auto"/>
            <w:noWrap/>
            <w:vAlign w:val="center"/>
            <w:hideMark/>
          </w:tcPr>
          <w:p w14:paraId="519B1FA6" w14:textId="77777777" w:rsidR="00DC5F42" w:rsidRPr="008E63BB" w:rsidRDefault="00DC5F42" w:rsidP="00885AB5">
            <w:pPr>
              <w:jc w:val="right"/>
              <w:rPr>
                <w:rFonts w:eastAsia="Times New Roman"/>
                <w:sz w:val="24"/>
                <w:szCs w:val="24"/>
              </w:rPr>
            </w:pPr>
            <w:r w:rsidRPr="008E63BB">
              <w:rPr>
                <w:rFonts w:eastAsia="Times New Roman"/>
                <w:sz w:val="24"/>
                <w:szCs w:val="24"/>
              </w:rPr>
              <w:t>80,41</w:t>
            </w:r>
          </w:p>
        </w:tc>
        <w:tc>
          <w:tcPr>
            <w:tcW w:w="1000" w:type="dxa"/>
            <w:tcBorders>
              <w:top w:val="nil"/>
              <w:left w:val="nil"/>
              <w:bottom w:val="single" w:sz="4" w:space="0" w:color="auto"/>
              <w:right w:val="single" w:sz="4" w:space="0" w:color="auto"/>
            </w:tcBorders>
            <w:shd w:val="clear" w:color="auto" w:fill="auto"/>
            <w:noWrap/>
            <w:vAlign w:val="center"/>
            <w:hideMark/>
          </w:tcPr>
          <w:p w14:paraId="519B1FA7" w14:textId="77777777" w:rsidR="00DC5F42" w:rsidRPr="008E63BB" w:rsidRDefault="00DC5F42" w:rsidP="00885AB5">
            <w:pPr>
              <w:jc w:val="right"/>
              <w:rPr>
                <w:rFonts w:eastAsia="Times New Roman"/>
                <w:sz w:val="24"/>
                <w:szCs w:val="24"/>
              </w:rPr>
            </w:pPr>
            <w:r w:rsidRPr="008E63BB">
              <w:rPr>
                <w:rFonts w:eastAsia="Times New Roman"/>
                <w:sz w:val="24"/>
                <w:szCs w:val="24"/>
              </w:rPr>
              <w:t>81,08</w:t>
            </w:r>
          </w:p>
        </w:tc>
        <w:tc>
          <w:tcPr>
            <w:tcW w:w="1000" w:type="dxa"/>
            <w:tcBorders>
              <w:top w:val="nil"/>
              <w:left w:val="nil"/>
              <w:bottom w:val="single" w:sz="4" w:space="0" w:color="auto"/>
              <w:right w:val="single" w:sz="4" w:space="0" w:color="auto"/>
            </w:tcBorders>
            <w:shd w:val="clear" w:color="auto" w:fill="auto"/>
            <w:noWrap/>
            <w:vAlign w:val="center"/>
            <w:hideMark/>
          </w:tcPr>
          <w:p w14:paraId="519B1FA8" w14:textId="77777777" w:rsidR="00DC5F42" w:rsidRPr="008E63BB" w:rsidRDefault="00DC5F42" w:rsidP="00885AB5">
            <w:pPr>
              <w:jc w:val="right"/>
              <w:rPr>
                <w:rFonts w:eastAsia="Times New Roman"/>
                <w:sz w:val="24"/>
                <w:szCs w:val="24"/>
              </w:rPr>
            </w:pPr>
            <w:r w:rsidRPr="008E63BB">
              <w:rPr>
                <w:rFonts w:eastAsia="Times New Roman"/>
                <w:sz w:val="24"/>
                <w:szCs w:val="24"/>
              </w:rPr>
              <w:t>80,74</w:t>
            </w:r>
          </w:p>
        </w:tc>
        <w:tc>
          <w:tcPr>
            <w:tcW w:w="1000" w:type="dxa"/>
            <w:tcBorders>
              <w:top w:val="nil"/>
              <w:left w:val="nil"/>
              <w:bottom w:val="single" w:sz="4" w:space="0" w:color="auto"/>
              <w:right w:val="single" w:sz="4" w:space="0" w:color="auto"/>
            </w:tcBorders>
            <w:shd w:val="clear" w:color="auto" w:fill="auto"/>
            <w:noWrap/>
            <w:vAlign w:val="center"/>
            <w:hideMark/>
          </w:tcPr>
          <w:p w14:paraId="519B1FA9" w14:textId="77777777" w:rsidR="00DC5F42" w:rsidRPr="008E63BB" w:rsidRDefault="00DC5F42" w:rsidP="00885AB5">
            <w:pPr>
              <w:jc w:val="right"/>
              <w:rPr>
                <w:rFonts w:eastAsia="Times New Roman"/>
                <w:sz w:val="24"/>
                <w:szCs w:val="24"/>
              </w:rPr>
            </w:pPr>
            <w:r w:rsidRPr="008E63BB">
              <w:rPr>
                <w:rFonts w:eastAsia="Times New Roman"/>
                <w:sz w:val="24"/>
                <w:szCs w:val="24"/>
              </w:rPr>
              <w:t>80,46</w:t>
            </w:r>
          </w:p>
        </w:tc>
        <w:tc>
          <w:tcPr>
            <w:tcW w:w="1000" w:type="dxa"/>
            <w:tcBorders>
              <w:top w:val="nil"/>
              <w:left w:val="nil"/>
              <w:bottom w:val="single" w:sz="4" w:space="0" w:color="auto"/>
              <w:right w:val="single" w:sz="4" w:space="0" w:color="auto"/>
            </w:tcBorders>
            <w:shd w:val="clear" w:color="auto" w:fill="auto"/>
            <w:noWrap/>
            <w:vAlign w:val="center"/>
            <w:hideMark/>
          </w:tcPr>
          <w:p w14:paraId="519B1FAA" w14:textId="77777777" w:rsidR="00DC5F42" w:rsidRPr="008E63BB" w:rsidRDefault="00DC5F42" w:rsidP="00885AB5">
            <w:pPr>
              <w:jc w:val="right"/>
              <w:rPr>
                <w:rFonts w:eastAsia="Times New Roman"/>
                <w:sz w:val="24"/>
                <w:szCs w:val="24"/>
              </w:rPr>
            </w:pPr>
            <w:r w:rsidRPr="008E63BB">
              <w:rPr>
                <w:rFonts w:eastAsia="Times New Roman"/>
                <w:sz w:val="24"/>
                <w:szCs w:val="24"/>
              </w:rPr>
              <w:t>80,29</w:t>
            </w:r>
          </w:p>
        </w:tc>
        <w:tc>
          <w:tcPr>
            <w:tcW w:w="1000" w:type="dxa"/>
            <w:tcBorders>
              <w:top w:val="nil"/>
              <w:left w:val="nil"/>
              <w:bottom w:val="single" w:sz="4" w:space="0" w:color="auto"/>
              <w:right w:val="single" w:sz="4" w:space="0" w:color="auto"/>
            </w:tcBorders>
            <w:shd w:val="clear" w:color="auto" w:fill="auto"/>
            <w:noWrap/>
            <w:vAlign w:val="center"/>
            <w:hideMark/>
          </w:tcPr>
          <w:p w14:paraId="519B1FAB" w14:textId="77777777" w:rsidR="00DC5F42" w:rsidRPr="008E63BB" w:rsidRDefault="00DC5F42" w:rsidP="00885AB5">
            <w:pPr>
              <w:jc w:val="right"/>
              <w:rPr>
                <w:rFonts w:eastAsia="Times New Roman"/>
                <w:sz w:val="24"/>
                <w:szCs w:val="24"/>
              </w:rPr>
            </w:pPr>
            <w:r w:rsidRPr="008E63BB">
              <w:rPr>
                <w:rFonts w:eastAsia="Times New Roman"/>
                <w:sz w:val="24"/>
                <w:szCs w:val="24"/>
              </w:rPr>
              <w:t>80,07</w:t>
            </w:r>
          </w:p>
        </w:tc>
        <w:tc>
          <w:tcPr>
            <w:tcW w:w="1000" w:type="dxa"/>
            <w:tcBorders>
              <w:top w:val="nil"/>
              <w:left w:val="nil"/>
              <w:bottom w:val="single" w:sz="4" w:space="0" w:color="auto"/>
              <w:right w:val="single" w:sz="4" w:space="0" w:color="auto"/>
            </w:tcBorders>
            <w:shd w:val="clear" w:color="auto" w:fill="auto"/>
            <w:noWrap/>
            <w:vAlign w:val="center"/>
            <w:hideMark/>
          </w:tcPr>
          <w:p w14:paraId="519B1FAC" w14:textId="77777777" w:rsidR="00DC5F42" w:rsidRPr="008E63BB" w:rsidRDefault="00DC5F42" w:rsidP="00885AB5">
            <w:pPr>
              <w:jc w:val="right"/>
              <w:rPr>
                <w:rFonts w:eastAsia="Times New Roman"/>
                <w:sz w:val="24"/>
                <w:szCs w:val="24"/>
              </w:rPr>
            </w:pPr>
            <w:r w:rsidRPr="008E63BB">
              <w:rPr>
                <w:rFonts w:eastAsia="Times New Roman"/>
                <w:sz w:val="24"/>
                <w:szCs w:val="24"/>
              </w:rPr>
              <w:t>79,80</w:t>
            </w:r>
          </w:p>
        </w:tc>
        <w:tc>
          <w:tcPr>
            <w:tcW w:w="1000" w:type="dxa"/>
            <w:tcBorders>
              <w:top w:val="nil"/>
              <w:left w:val="nil"/>
              <w:bottom w:val="single" w:sz="4" w:space="0" w:color="auto"/>
              <w:right w:val="single" w:sz="4" w:space="0" w:color="auto"/>
            </w:tcBorders>
            <w:vAlign w:val="center"/>
          </w:tcPr>
          <w:p w14:paraId="519B1FAD" w14:textId="77777777" w:rsidR="00DC5F42" w:rsidRPr="008E63BB" w:rsidRDefault="00DC5F42" w:rsidP="00885AB5">
            <w:pPr>
              <w:jc w:val="right"/>
              <w:rPr>
                <w:rFonts w:eastAsia="Times New Roman"/>
                <w:sz w:val="24"/>
                <w:szCs w:val="24"/>
              </w:rPr>
            </w:pPr>
            <w:r w:rsidRPr="008E63BB">
              <w:rPr>
                <w:rFonts w:eastAsia="Times New Roman"/>
                <w:sz w:val="24"/>
                <w:szCs w:val="24"/>
              </w:rPr>
              <w:t>80,12</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FAE" w14:textId="77777777" w:rsidR="00DC5F42" w:rsidRPr="008E63BB" w:rsidRDefault="00DC5F42" w:rsidP="00885AB5">
            <w:pPr>
              <w:jc w:val="right"/>
              <w:rPr>
                <w:rFonts w:eastAsia="Times New Roman"/>
                <w:sz w:val="24"/>
                <w:szCs w:val="24"/>
              </w:rPr>
            </w:pPr>
            <w:r w:rsidRPr="008E63BB">
              <w:rPr>
                <w:sz w:val="24"/>
                <w:szCs w:val="24"/>
              </w:rPr>
              <w:t>91,05</w:t>
            </w:r>
          </w:p>
        </w:tc>
      </w:tr>
      <w:tr w:rsidR="008D5BFE" w:rsidRPr="008E63BB" w14:paraId="519B1FBC" w14:textId="77777777" w:rsidTr="003E3015">
        <w:trPr>
          <w:trHeight w:val="31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9B1FB0" w14:textId="77777777" w:rsidR="00DC5F42" w:rsidRPr="008E63BB" w:rsidRDefault="00DC5F42" w:rsidP="00885AB5">
            <w:pPr>
              <w:jc w:val="right"/>
              <w:rPr>
                <w:rFonts w:eastAsia="Times New Roman"/>
                <w:b/>
                <w:bCs/>
                <w:sz w:val="24"/>
                <w:szCs w:val="24"/>
              </w:rPr>
            </w:pPr>
            <w:r w:rsidRPr="008E63BB">
              <w:rPr>
                <w:rFonts w:eastAsia="Times New Roman"/>
                <w:b/>
                <w:bCs/>
                <w:sz w:val="24"/>
                <w:szCs w:val="24"/>
              </w:rPr>
              <w:t>-</w:t>
            </w:r>
          </w:p>
        </w:tc>
        <w:tc>
          <w:tcPr>
            <w:tcW w:w="4409" w:type="dxa"/>
            <w:tcBorders>
              <w:top w:val="nil"/>
              <w:left w:val="nil"/>
              <w:bottom w:val="single" w:sz="4" w:space="0" w:color="auto"/>
              <w:right w:val="single" w:sz="4" w:space="0" w:color="auto"/>
            </w:tcBorders>
            <w:shd w:val="clear" w:color="auto" w:fill="auto"/>
            <w:vAlign w:val="center"/>
            <w:hideMark/>
          </w:tcPr>
          <w:p w14:paraId="519B1FB1" w14:textId="77777777" w:rsidR="00DC5F42" w:rsidRPr="008E63BB" w:rsidRDefault="00DC5F42" w:rsidP="00885AB5">
            <w:pPr>
              <w:jc w:val="left"/>
              <w:rPr>
                <w:rFonts w:eastAsia="Times New Roman"/>
                <w:sz w:val="24"/>
                <w:szCs w:val="24"/>
              </w:rPr>
            </w:pPr>
            <w:r w:rsidRPr="008E63BB">
              <w:rPr>
                <w:rFonts w:eastAsia="Times New Roman"/>
                <w:sz w:val="24"/>
                <w:szCs w:val="24"/>
              </w:rPr>
              <w:t>Huyện Mỹ Lộc</w:t>
            </w:r>
          </w:p>
        </w:tc>
        <w:tc>
          <w:tcPr>
            <w:tcW w:w="1000" w:type="dxa"/>
            <w:tcBorders>
              <w:top w:val="nil"/>
              <w:left w:val="nil"/>
              <w:bottom w:val="single" w:sz="4" w:space="0" w:color="auto"/>
              <w:right w:val="single" w:sz="4" w:space="0" w:color="auto"/>
            </w:tcBorders>
            <w:shd w:val="clear" w:color="auto" w:fill="auto"/>
            <w:noWrap/>
            <w:vAlign w:val="center"/>
          </w:tcPr>
          <w:p w14:paraId="519B1FB2" w14:textId="77777777" w:rsidR="00DC5F42" w:rsidRPr="008E63BB" w:rsidRDefault="00DC5F42" w:rsidP="00885AB5">
            <w:pPr>
              <w:jc w:val="right"/>
              <w:rPr>
                <w:rFonts w:eastAsia="Times New Roman"/>
                <w:sz w:val="24"/>
                <w:szCs w:val="24"/>
              </w:rPr>
            </w:pPr>
            <w:r w:rsidRPr="008E63BB">
              <w:rPr>
                <w:rFonts w:eastAsia="Times New Roman"/>
                <w:sz w:val="24"/>
                <w:szCs w:val="24"/>
              </w:rPr>
              <w:t>6,80</w:t>
            </w:r>
          </w:p>
        </w:tc>
        <w:tc>
          <w:tcPr>
            <w:tcW w:w="1000" w:type="dxa"/>
            <w:tcBorders>
              <w:top w:val="nil"/>
              <w:left w:val="nil"/>
              <w:bottom w:val="single" w:sz="4" w:space="0" w:color="auto"/>
              <w:right w:val="single" w:sz="4" w:space="0" w:color="auto"/>
            </w:tcBorders>
            <w:shd w:val="clear" w:color="auto" w:fill="auto"/>
            <w:noWrap/>
            <w:vAlign w:val="center"/>
            <w:hideMark/>
          </w:tcPr>
          <w:p w14:paraId="519B1FB3" w14:textId="77777777" w:rsidR="00DC5F42" w:rsidRPr="008E63BB" w:rsidRDefault="00DC5F42" w:rsidP="00885AB5">
            <w:pPr>
              <w:jc w:val="right"/>
              <w:rPr>
                <w:rFonts w:eastAsia="Times New Roman"/>
                <w:sz w:val="24"/>
                <w:szCs w:val="24"/>
              </w:rPr>
            </w:pPr>
            <w:r w:rsidRPr="008E63BB">
              <w:rPr>
                <w:rFonts w:eastAsia="Times New Roman"/>
                <w:sz w:val="24"/>
                <w:szCs w:val="24"/>
              </w:rPr>
              <w:t>6,91</w:t>
            </w:r>
          </w:p>
        </w:tc>
        <w:tc>
          <w:tcPr>
            <w:tcW w:w="1000" w:type="dxa"/>
            <w:tcBorders>
              <w:top w:val="nil"/>
              <w:left w:val="nil"/>
              <w:bottom w:val="single" w:sz="4" w:space="0" w:color="auto"/>
              <w:right w:val="single" w:sz="4" w:space="0" w:color="auto"/>
            </w:tcBorders>
            <w:shd w:val="clear" w:color="auto" w:fill="auto"/>
            <w:noWrap/>
            <w:vAlign w:val="center"/>
            <w:hideMark/>
          </w:tcPr>
          <w:p w14:paraId="519B1FB4" w14:textId="77777777" w:rsidR="00DC5F42" w:rsidRPr="008E63BB" w:rsidRDefault="00DC5F42" w:rsidP="00885AB5">
            <w:pPr>
              <w:jc w:val="right"/>
              <w:rPr>
                <w:rFonts w:eastAsia="Times New Roman"/>
                <w:sz w:val="24"/>
                <w:szCs w:val="24"/>
              </w:rPr>
            </w:pPr>
            <w:r w:rsidRPr="008E63BB">
              <w:rPr>
                <w:rFonts w:eastAsia="Times New Roman"/>
                <w:sz w:val="24"/>
                <w:szCs w:val="24"/>
              </w:rPr>
              <w:t>6,99</w:t>
            </w:r>
          </w:p>
        </w:tc>
        <w:tc>
          <w:tcPr>
            <w:tcW w:w="1000" w:type="dxa"/>
            <w:tcBorders>
              <w:top w:val="nil"/>
              <w:left w:val="nil"/>
              <w:bottom w:val="single" w:sz="4" w:space="0" w:color="auto"/>
              <w:right w:val="single" w:sz="4" w:space="0" w:color="auto"/>
            </w:tcBorders>
            <w:shd w:val="clear" w:color="auto" w:fill="auto"/>
            <w:noWrap/>
            <w:vAlign w:val="center"/>
            <w:hideMark/>
          </w:tcPr>
          <w:p w14:paraId="519B1FB5" w14:textId="77777777" w:rsidR="00DC5F42" w:rsidRPr="008E63BB" w:rsidRDefault="00DC5F42" w:rsidP="00885AB5">
            <w:pPr>
              <w:jc w:val="right"/>
              <w:rPr>
                <w:rFonts w:eastAsia="Times New Roman"/>
                <w:sz w:val="24"/>
                <w:szCs w:val="24"/>
              </w:rPr>
            </w:pPr>
            <w:r w:rsidRPr="008E63BB">
              <w:rPr>
                <w:rFonts w:eastAsia="Times New Roman"/>
                <w:sz w:val="24"/>
                <w:szCs w:val="24"/>
              </w:rPr>
              <w:t>7,11</w:t>
            </w:r>
          </w:p>
        </w:tc>
        <w:tc>
          <w:tcPr>
            <w:tcW w:w="1000" w:type="dxa"/>
            <w:tcBorders>
              <w:top w:val="nil"/>
              <w:left w:val="nil"/>
              <w:bottom w:val="single" w:sz="4" w:space="0" w:color="auto"/>
              <w:right w:val="single" w:sz="4" w:space="0" w:color="auto"/>
            </w:tcBorders>
            <w:shd w:val="clear" w:color="auto" w:fill="auto"/>
            <w:noWrap/>
            <w:vAlign w:val="center"/>
            <w:hideMark/>
          </w:tcPr>
          <w:p w14:paraId="519B1FB6" w14:textId="77777777" w:rsidR="00DC5F42" w:rsidRPr="008E63BB" w:rsidRDefault="00DC5F42" w:rsidP="00885AB5">
            <w:pPr>
              <w:jc w:val="right"/>
              <w:rPr>
                <w:rFonts w:eastAsia="Times New Roman"/>
                <w:sz w:val="24"/>
                <w:szCs w:val="24"/>
              </w:rPr>
            </w:pPr>
            <w:r w:rsidRPr="008E63BB">
              <w:rPr>
                <w:rFonts w:eastAsia="Times New Roman"/>
                <w:sz w:val="24"/>
                <w:szCs w:val="24"/>
              </w:rPr>
              <w:t>7,28</w:t>
            </w:r>
          </w:p>
        </w:tc>
        <w:tc>
          <w:tcPr>
            <w:tcW w:w="1000" w:type="dxa"/>
            <w:tcBorders>
              <w:top w:val="nil"/>
              <w:left w:val="nil"/>
              <w:bottom w:val="single" w:sz="4" w:space="0" w:color="auto"/>
              <w:right w:val="single" w:sz="4" w:space="0" w:color="auto"/>
            </w:tcBorders>
            <w:shd w:val="clear" w:color="auto" w:fill="auto"/>
            <w:noWrap/>
            <w:vAlign w:val="center"/>
            <w:hideMark/>
          </w:tcPr>
          <w:p w14:paraId="519B1FB7" w14:textId="77777777" w:rsidR="00DC5F42" w:rsidRPr="008E63BB" w:rsidRDefault="00DC5F42" w:rsidP="00885AB5">
            <w:pPr>
              <w:jc w:val="right"/>
              <w:rPr>
                <w:rFonts w:eastAsia="Times New Roman"/>
                <w:sz w:val="24"/>
                <w:szCs w:val="24"/>
              </w:rPr>
            </w:pPr>
            <w:r w:rsidRPr="008E63BB">
              <w:rPr>
                <w:rFonts w:eastAsia="Times New Roman"/>
                <w:sz w:val="24"/>
                <w:szCs w:val="24"/>
              </w:rPr>
              <w:t>7,42</w:t>
            </w:r>
          </w:p>
        </w:tc>
        <w:tc>
          <w:tcPr>
            <w:tcW w:w="1000" w:type="dxa"/>
            <w:tcBorders>
              <w:top w:val="nil"/>
              <w:left w:val="nil"/>
              <w:bottom w:val="single" w:sz="4" w:space="0" w:color="auto"/>
              <w:right w:val="single" w:sz="4" w:space="0" w:color="auto"/>
            </w:tcBorders>
            <w:shd w:val="clear" w:color="auto" w:fill="auto"/>
            <w:noWrap/>
            <w:vAlign w:val="center"/>
            <w:hideMark/>
          </w:tcPr>
          <w:p w14:paraId="519B1FB8" w14:textId="77777777" w:rsidR="00DC5F42" w:rsidRPr="008E63BB" w:rsidRDefault="00DC5F42" w:rsidP="00885AB5">
            <w:pPr>
              <w:jc w:val="right"/>
              <w:rPr>
                <w:rFonts w:eastAsia="Times New Roman"/>
                <w:sz w:val="24"/>
                <w:szCs w:val="24"/>
              </w:rPr>
            </w:pPr>
            <w:r w:rsidRPr="008E63BB">
              <w:rPr>
                <w:rFonts w:eastAsia="Times New Roman"/>
                <w:sz w:val="24"/>
                <w:szCs w:val="24"/>
              </w:rPr>
              <w:t>7,48</w:t>
            </w:r>
          </w:p>
        </w:tc>
        <w:tc>
          <w:tcPr>
            <w:tcW w:w="1000" w:type="dxa"/>
            <w:tcBorders>
              <w:top w:val="nil"/>
              <w:left w:val="nil"/>
              <w:bottom w:val="single" w:sz="4" w:space="0" w:color="auto"/>
              <w:right w:val="single" w:sz="4" w:space="0" w:color="auto"/>
            </w:tcBorders>
            <w:shd w:val="clear" w:color="auto" w:fill="auto"/>
            <w:noWrap/>
            <w:vAlign w:val="center"/>
            <w:hideMark/>
          </w:tcPr>
          <w:p w14:paraId="519B1FB9" w14:textId="77777777" w:rsidR="00DC5F42" w:rsidRPr="008E63BB" w:rsidRDefault="00DC5F42" w:rsidP="00885AB5">
            <w:pPr>
              <w:jc w:val="right"/>
              <w:rPr>
                <w:rFonts w:eastAsia="Times New Roman"/>
                <w:sz w:val="24"/>
                <w:szCs w:val="24"/>
              </w:rPr>
            </w:pPr>
            <w:r w:rsidRPr="008E63BB">
              <w:rPr>
                <w:rFonts w:eastAsia="Times New Roman"/>
                <w:sz w:val="24"/>
                <w:szCs w:val="24"/>
              </w:rPr>
              <w:t>7,48</w:t>
            </w:r>
          </w:p>
        </w:tc>
        <w:tc>
          <w:tcPr>
            <w:tcW w:w="1000" w:type="dxa"/>
            <w:tcBorders>
              <w:top w:val="nil"/>
              <w:left w:val="nil"/>
              <w:bottom w:val="single" w:sz="4" w:space="0" w:color="auto"/>
              <w:right w:val="single" w:sz="4" w:space="0" w:color="auto"/>
            </w:tcBorders>
            <w:vAlign w:val="center"/>
          </w:tcPr>
          <w:p w14:paraId="519B1FBA" w14:textId="77777777" w:rsidR="00DC5F42" w:rsidRPr="008E63BB" w:rsidRDefault="00DC5F42" w:rsidP="00885AB5">
            <w:pPr>
              <w:jc w:val="right"/>
              <w:rPr>
                <w:rFonts w:eastAsia="Times New Roman"/>
                <w:sz w:val="24"/>
                <w:szCs w:val="24"/>
              </w:rPr>
            </w:pPr>
            <w:r w:rsidRPr="008E63BB">
              <w:rPr>
                <w:rFonts w:eastAsia="Times New Roman"/>
                <w:sz w:val="24"/>
                <w:szCs w:val="24"/>
              </w:rPr>
              <w:t>7,41</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FBB" w14:textId="77777777" w:rsidR="00DC5F42" w:rsidRPr="008E63BB" w:rsidRDefault="00DC5F42" w:rsidP="00885AB5">
            <w:pPr>
              <w:jc w:val="right"/>
              <w:rPr>
                <w:rFonts w:eastAsia="Times New Roman"/>
                <w:sz w:val="24"/>
                <w:szCs w:val="24"/>
              </w:rPr>
            </w:pPr>
            <w:r w:rsidRPr="008E63BB">
              <w:rPr>
                <w:sz w:val="24"/>
                <w:szCs w:val="24"/>
              </w:rPr>
              <w:t>7,41</w:t>
            </w:r>
          </w:p>
        </w:tc>
      </w:tr>
      <w:tr w:rsidR="008D5BFE" w:rsidRPr="008E63BB" w14:paraId="519B1FC9" w14:textId="77777777" w:rsidTr="003E3015">
        <w:trPr>
          <w:trHeight w:val="31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9B1FBD" w14:textId="77777777" w:rsidR="00DC5F42" w:rsidRPr="008E63BB" w:rsidRDefault="00DC5F42" w:rsidP="00885AB5">
            <w:pPr>
              <w:jc w:val="right"/>
              <w:rPr>
                <w:rFonts w:eastAsia="Times New Roman"/>
                <w:b/>
                <w:bCs/>
                <w:sz w:val="24"/>
                <w:szCs w:val="24"/>
              </w:rPr>
            </w:pPr>
            <w:r w:rsidRPr="008E63BB">
              <w:rPr>
                <w:rFonts w:eastAsia="Times New Roman"/>
                <w:b/>
                <w:bCs/>
                <w:sz w:val="24"/>
                <w:szCs w:val="24"/>
              </w:rPr>
              <w:t>-</w:t>
            </w:r>
          </w:p>
        </w:tc>
        <w:tc>
          <w:tcPr>
            <w:tcW w:w="4409" w:type="dxa"/>
            <w:tcBorders>
              <w:top w:val="nil"/>
              <w:left w:val="nil"/>
              <w:bottom w:val="single" w:sz="4" w:space="0" w:color="auto"/>
              <w:right w:val="single" w:sz="4" w:space="0" w:color="auto"/>
            </w:tcBorders>
            <w:shd w:val="clear" w:color="auto" w:fill="auto"/>
            <w:vAlign w:val="center"/>
            <w:hideMark/>
          </w:tcPr>
          <w:p w14:paraId="519B1FBE" w14:textId="77777777" w:rsidR="00DC5F42" w:rsidRPr="008E63BB" w:rsidRDefault="00DC5F42" w:rsidP="00885AB5">
            <w:pPr>
              <w:jc w:val="left"/>
              <w:rPr>
                <w:rFonts w:eastAsia="Times New Roman"/>
                <w:sz w:val="24"/>
                <w:szCs w:val="24"/>
              </w:rPr>
            </w:pPr>
            <w:r w:rsidRPr="008E63BB">
              <w:rPr>
                <w:rFonts w:eastAsia="Times New Roman"/>
                <w:sz w:val="24"/>
                <w:szCs w:val="24"/>
              </w:rPr>
              <w:t>Huyện Vụ Bản</w:t>
            </w:r>
          </w:p>
        </w:tc>
        <w:tc>
          <w:tcPr>
            <w:tcW w:w="1000" w:type="dxa"/>
            <w:tcBorders>
              <w:top w:val="nil"/>
              <w:left w:val="nil"/>
              <w:bottom w:val="single" w:sz="4" w:space="0" w:color="auto"/>
              <w:right w:val="single" w:sz="4" w:space="0" w:color="auto"/>
            </w:tcBorders>
            <w:shd w:val="clear" w:color="auto" w:fill="auto"/>
            <w:noWrap/>
            <w:vAlign w:val="center"/>
          </w:tcPr>
          <w:p w14:paraId="519B1FBF"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0"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1"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2"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3"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4"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5"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6"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vAlign w:val="center"/>
          </w:tcPr>
          <w:p w14:paraId="519B1FC7"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FC8"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r>
      <w:tr w:rsidR="008D5BFE" w:rsidRPr="008E63BB" w14:paraId="519B1FD6" w14:textId="77777777" w:rsidTr="003E3015">
        <w:trPr>
          <w:trHeight w:val="31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9B1FCA" w14:textId="77777777" w:rsidR="00DC5F42" w:rsidRPr="008E63BB" w:rsidRDefault="00DC5F42" w:rsidP="00885AB5">
            <w:pPr>
              <w:jc w:val="right"/>
              <w:rPr>
                <w:rFonts w:eastAsia="Times New Roman"/>
                <w:b/>
                <w:bCs/>
                <w:sz w:val="24"/>
                <w:szCs w:val="24"/>
              </w:rPr>
            </w:pPr>
            <w:r w:rsidRPr="008E63BB">
              <w:rPr>
                <w:rFonts w:eastAsia="Times New Roman"/>
                <w:b/>
                <w:bCs/>
                <w:sz w:val="24"/>
                <w:szCs w:val="24"/>
              </w:rPr>
              <w:t>-</w:t>
            </w:r>
          </w:p>
        </w:tc>
        <w:tc>
          <w:tcPr>
            <w:tcW w:w="4409" w:type="dxa"/>
            <w:tcBorders>
              <w:top w:val="nil"/>
              <w:left w:val="nil"/>
              <w:bottom w:val="single" w:sz="4" w:space="0" w:color="auto"/>
              <w:right w:val="single" w:sz="4" w:space="0" w:color="auto"/>
            </w:tcBorders>
            <w:shd w:val="clear" w:color="auto" w:fill="auto"/>
            <w:vAlign w:val="center"/>
            <w:hideMark/>
          </w:tcPr>
          <w:p w14:paraId="519B1FCB" w14:textId="77777777" w:rsidR="00DC5F42" w:rsidRPr="008E63BB" w:rsidRDefault="00DC5F42" w:rsidP="00885AB5">
            <w:pPr>
              <w:jc w:val="left"/>
              <w:rPr>
                <w:rFonts w:eastAsia="Times New Roman"/>
                <w:sz w:val="24"/>
                <w:szCs w:val="24"/>
              </w:rPr>
            </w:pPr>
            <w:r w:rsidRPr="008E63BB">
              <w:rPr>
                <w:rFonts w:eastAsia="Times New Roman"/>
                <w:sz w:val="24"/>
                <w:szCs w:val="24"/>
              </w:rPr>
              <w:t>Huyện Nam Trực</w:t>
            </w:r>
          </w:p>
        </w:tc>
        <w:tc>
          <w:tcPr>
            <w:tcW w:w="1000" w:type="dxa"/>
            <w:tcBorders>
              <w:top w:val="nil"/>
              <w:left w:val="nil"/>
              <w:bottom w:val="single" w:sz="4" w:space="0" w:color="auto"/>
              <w:right w:val="single" w:sz="4" w:space="0" w:color="auto"/>
            </w:tcBorders>
            <w:shd w:val="clear" w:color="auto" w:fill="auto"/>
            <w:noWrap/>
            <w:vAlign w:val="center"/>
            <w:hideMark/>
          </w:tcPr>
          <w:p w14:paraId="519B1FCC" w14:textId="77777777" w:rsidR="00DC5F42" w:rsidRPr="008E63BB" w:rsidRDefault="00DC5F42" w:rsidP="00885AB5">
            <w:pPr>
              <w:jc w:val="left"/>
              <w:rPr>
                <w:rFonts w:eastAsia="Times New Roman"/>
                <w:sz w:val="24"/>
                <w:szCs w:val="24"/>
              </w:rPr>
            </w:pPr>
            <w:r w:rsidRPr="008E63BB">
              <w:rPr>
                <w:rFonts w:eastAsia="Times New Roman"/>
                <w:sz w:val="24"/>
                <w:szCs w:val="24"/>
              </w:rPr>
              <w:t> </w:t>
            </w:r>
          </w:p>
        </w:tc>
        <w:tc>
          <w:tcPr>
            <w:tcW w:w="1000" w:type="dxa"/>
            <w:tcBorders>
              <w:top w:val="nil"/>
              <w:left w:val="nil"/>
              <w:bottom w:val="single" w:sz="4" w:space="0" w:color="auto"/>
              <w:right w:val="single" w:sz="4" w:space="0" w:color="auto"/>
            </w:tcBorders>
            <w:shd w:val="clear" w:color="auto" w:fill="auto"/>
            <w:noWrap/>
            <w:vAlign w:val="center"/>
            <w:hideMark/>
          </w:tcPr>
          <w:p w14:paraId="519B1FCD"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E"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CF"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D0"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D1"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D2"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19B1FD3"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000" w:type="dxa"/>
            <w:tcBorders>
              <w:top w:val="nil"/>
              <w:left w:val="nil"/>
              <w:bottom w:val="single" w:sz="4" w:space="0" w:color="auto"/>
              <w:right w:val="single" w:sz="4" w:space="0" w:color="auto"/>
            </w:tcBorders>
            <w:vAlign w:val="center"/>
          </w:tcPr>
          <w:p w14:paraId="519B1FD4"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c>
          <w:tcPr>
            <w:tcW w:w="11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1FD5" w14:textId="77777777" w:rsidR="00DC5F42" w:rsidRPr="008E63BB" w:rsidRDefault="00DC5F42" w:rsidP="00885AB5">
            <w:pPr>
              <w:jc w:val="right"/>
              <w:rPr>
                <w:rFonts w:eastAsia="Times New Roman"/>
                <w:sz w:val="24"/>
                <w:szCs w:val="24"/>
              </w:rPr>
            </w:pPr>
            <w:r w:rsidRPr="008E63BB">
              <w:rPr>
                <w:rFonts w:eastAsia="Times New Roman"/>
                <w:sz w:val="24"/>
                <w:szCs w:val="24"/>
              </w:rPr>
              <w:t>0,00</w:t>
            </w:r>
          </w:p>
        </w:tc>
      </w:tr>
    </w:tbl>
    <w:p w14:paraId="519B1FD7" w14:textId="77777777" w:rsidR="00DC5F42" w:rsidRPr="008E63BB" w:rsidRDefault="00DC5F42" w:rsidP="00DC5F42">
      <w:pPr>
        <w:rPr>
          <w:i/>
        </w:rPr>
      </w:pPr>
      <w:r w:rsidRPr="008E63BB">
        <w:rPr>
          <w:rFonts w:eastAsia="Times New Roman"/>
          <w:bCs/>
          <w:i/>
          <w:sz w:val="24"/>
          <w:szCs w:val="24"/>
          <w:lang w:val="pt-BR" w:eastAsia="zh-CN"/>
        </w:rPr>
        <w:t>Nguồn: Tổng hợp số liệu từ n</w:t>
      </w:r>
      <w:r w:rsidRPr="008E63BB">
        <w:rPr>
          <w:i/>
        </w:rPr>
        <w:t>iên giám thống kê 2008-2018 và số liệu năm 2019</w:t>
      </w:r>
    </w:p>
    <w:p w14:paraId="519B1FD8" w14:textId="77777777" w:rsidR="00DC5F42" w:rsidRPr="008E63BB" w:rsidRDefault="00DC5F42" w:rsidP="00DC5F42">
      <w:pPr>
        <w:rPr>
          <w:b/>
        </w:rPr>
      </w:pPr>
      <w:r w:rsidRPr="008E63BB">
        <w:rPr>
          <w:b/>
        </w:rPr>
        <w:lastRenderedPageBreak/>
        <w:t>Bảng: Tỷ lệ tăng dân số tự nhiên (%) toàn tỉnh, TP. Nam Định và các huyện giai đoạn 2010-2018</w:t>
      </w:r>
    </w:p>
    <w:tbl>
      <w:tblPr>
        <w:tblW w:w="15711" w:type="dxa"/>
        <w:tblInd w:w="-998" w:type="dxa"/>
        <w:tblLook w:val="04A0" w:firstRow="1" w:lastRow="0" w:firstColumn="1" w:lastColumn="0" w:noHBand="0" w:noVBand="1"/>
      </w:tblPr>
      <w:tblGrid>
        <w:gridCol w:w="709"/>
        <w:gridCol w:w="4962"/>
        <w:gridCol w:w="1040"/>
        <w:gridCol w:w="1170"/>
        <w:gridCol w:w="990"/>
        <w:gridCol w:w="1080"/>
        <w:gridCol w:w="1260"/>
        <w:gridCol w:w="1170"/>
        <w:gridCol w:w="1170"/>
        <w:gridCol w:w="1170"/>
        <w:gridCol w:w="990"/>
      </w:tblGrid>
      <w:tr w:rsidR="008D5BFE" w:rsidRPr="008E63BB" w14:paraId="519B1FE4" w14:textId="77777777" w:rsidTr="00885AB5">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FD9" w14:textId="77777777" w:rsidR="00DC5F42" w:rsidRPr="008E63BB" w:rsidRDefault="00DC5F42" w:rsidP="00885AB5">
            <w:pPr>
              <w:rPr>
                <w:rFonts w:eastAsia="Times New Roman"/>
                <w:sz w:val="24"/>
                <w:szCs w:val="24"/>
              </w:rPr>
            </w:pPr>
            <w:r w:rsidRPr="008E63BB">
              <w:rPr>
                <w:rFonts w:eastAsia="Times New Roman"/>
                <w:sz w:val="20"/>
                <w:szCs w:val="20"/>
              </w:rPr>
              <w:t> TT</w:t>
            </w:r>
          </w:p>
        </w:tc>
        <w:tc>
          <w:tcPr>
            <w:tcW w:w="4962" w:type="dxa"/>
            <w:tcBorders>
              <w:top w:val="single" w:sz="4" w:space="0" w:color="auto"/>
              <w:left w:val="nil"/>
              <w:bottom w:val="single" w:sz="4" w:space="0" w:color="auto"/>
              <w:right w:val="single" w:sz="4" w:space="0" w:color="auto"/>
            </w:tcBorders>
            <w:vAlign w:val="center"/>
          </w:tcPr>
          <w:p w14:paraId="519B1FDA" w14:textId="77777777" w:rsidR="00DC5F42" w:rsidRPr="008E63BB" w:rsidRDefault="00DC5F42" w:rsidP="00885AB5">
            <w:pPr>
              <w:jc w:val="center"/>
              <w:rPr>
                <w:rFonts w:eastAsia="Times New Roman"/>
                <w:sz w:val="24"/>
                <w:szCs w:val="24"/>
              </w:rPr>
            </w:pPr>
            <w:r w:rsidRPr="008E63BB">
              <w:rPr>
                <w:rFonts w:eastAsia="Times New Roman"/>
                <w:sz w:val="20"/>
                <w:szCs w:val="20"/>
              </w:rPr>
              <w:t>Danh mục</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1FDB" w14:textId="77777777" w:rsidR="00DC5F42" w:rsidRPr="008E63BB" w:rsidRDefault="00DC5F42" w:rsidP="00885AB5">
            <w:pPr>
              <w:jc w:val="right"/>
              <w:rPr>
                <w:rFonts w:eastAsia="Times New Roman"/>
                <w:sz w:val="24"/>
                <w:szCs w:val="24"/>
              </w:rPr>
            </w:pPr>
            <w:r w:rsidRPr="008E63BB">
              <w:rPr>
                <w:rFonts w:eastAsia="Times New Roman"/>
                <w:sz w:val="24"/>
                <w:szCs w:val="24"/>
              </w:rPr>
              <w:t>2010</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519B1FDC" w14:textId="77777777" w:rsidR="00DC5F42" w:rsidRPr="008E63BB" w:rsidRDefault="00DC5F42" w:rsidP="00885AB5">
            <w:pPr>
              <w:jc w:val="right"/>
              <w:rPr>
                <w:rFonts w:eastAsia="Times New Roman"/>
                <w:sz w:val="24"/>
                <w:szCs w:val="24"/>
              </w:rPr>
            </w:pPr>
            <w:r w:rsidRPr="008E63BB">
              <w:rPr>
                <w:rFonts w:eastAsia="Times New Roman"/>
                <w:sz w:val="24"/>
                <w:szCs w:val="24"/>
              </w:rPr>
              <w:t>2011</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14:paraId="519B1FDD" w14:textId="77777777" w:rsidR="00DC5F42" w:rsidRPr="008E63BB" w:rsidRDefault="00DC5F42" w:rsidP="00885AB5">
            <w:pPr>
              <w:jc w:val="right"/>
              <w:rPr>
                <w:rFonts w:eastAsia="Times New Roman"/>
                <w:sz w:val="24"/>
                <w:szCs w:val="24"/>
              </w:rPr>
            </w:pPr>
            <w:r w:rsidRPr="008E63BB">
              <w:rPr>
                <w:rFonts w:eastAsia="Times New Roman"/>
                <w:sz w:val="24"/>
                <w:szCs w:val="24"/>
              </w:rPr>
              <w:t>2012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519B1FDE" w14:textId="77777777" w:rsidR="00DC5F42" w:rsidRPr="008E63BB" w:rsidRDefault="00DC5F42" w:rsidP="00885AB5">
            <w:pPr>
              <w:jc w:val="right"/>
              <w:rPr>
                <w:rFonts w:eastAsia="Times New Roman"/>
                <w:sz w:val="24"/>
                <w:szCs w:val="24"/>
              </w:rPr>
            </w:pPr>
            <w:r w:rsidRPr="008E63BB">
              <w:rPr>
                <w:rFonts w:eastAsia="Times New Roman"/>
                <w:sz w:val="24"/>
                <w:szCs w:val="24"/>
              </w:rPr>
              <w:t>2013</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19B1FDF" w14:textId="77777777" w:rsidR="00DC5F42" w:rsidRPr="008E63BB" w:rsidRDefault="00DC5F42" w:rsidP="00885AB5">
            <w:pPr>
              <w:jc w:val="right"/>
              <w:rPr>
                <w:rFonts w:eastAsia="Times New Roman"/>
                <w:sz w:val="24"/>
                <w:szCs w:val="24"/>
              </w:rPr>
            </w:pPr>
            <w:r w:rsidRPr="008E63BB">
              <w:rPr>
                <w:rFonts w:eastAsia="Times New Roman"/>
                <w:sz w:val="24"/>
                <w:szCs w:val="24"/>
              </w:rPr>
              <w:t>2014</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519B1FE0" w14:textId="77777777" w:rsidR="00DC5F42" w:rsidRPr="008E63BB" w:rsidRDefault="00DC5F42" w:rsidP="00885AB5">
            <w:pPr>
              <w:jc w:val="right"/>
              <w:rPr>
                <w:rFonts w:eastAsia="Times New Roman"/>
                <w:sz w:val="24"/>
                <w:szCs w:val="24"/>
              </w:rPr>
            </w:pPr>
            <w:r w:rsidRPr="008E63BB">
              <w:rPr>
                <w:rFonts w:eastAsia="Times New Roman"/>
                <w:sz w:val="24"/>
                <w:szCs w:val="24"/>
              </w:rPr>
              <w:t>2015</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519B1FE1" w14:textId="77777777" w:rsidR="00DC5F42" w:rsidRPr="008E63BB" w:rsidRDefault="00DC5F42" w:rsidP="00885AB5">
            <w:pPr>
              <w:jc w:val="right"/>
              <w:rPr>
                <w:rFonts w:eastAsia="Times New Roman"/>
                <w:sz w:val="24"/>
                <w:szCs w:val="24"/>
              </w:rPr>
            </w:pPr>
            <w:r w:rsidRPr="008E63BB">
              <w:rPr>
                <w:rFonts w:eastAsia="Times New Roman"/>
                <w:sz w:val="24"/>
                <w:szCs w:val="24"/>
              </w:rPr>
              <w:t>2016</w:t>
            </w:r>
          </w:p>
        </w:tc>
        <w:tc>
          <w:tcPr>
            <w:tcW w:w="1170" w:type="dxa"/>
            <w:tcBorders>
              <w:top w:val="single" w:sz="4" w:space="0" w:color="auto"/>
              <w:left w:val="nil"/>
              <w:bottom w:val="single" w:sz="4" w:space="0" w:color="auto"/>
              <w:right w:val="single" w:sz="4" w:space="0" w:color="auto"/>
            </w:tcBorders>
            <w:shd w:val="clear" w:color="auto" w:fill="auto"/>
            <w:noWrap/>
            <w:vAlign w:val="center"/>
            <w:hideMark/>
          </w:tcPr>
          <w:p w14:paraId="519B1FE2" w14:textId="77777777" w:rsidR="00DC5F42" w:rsidRPr="008E63BB" w:rsidRDefault="00DC5F42" w:rsidP="00885AB5">
            <w:pPr>
              <w:jc w:val="right"/>
              <w:rPr>
                <w:rFonts w:eastAsia="Times New Roman"/>
                <w:sz w:val="24"/>
                <w:szCs w:val="24"/>
              </w:rPr>
            </w:pPr>
            <w:r w:rsidRPr="008E63BB">
              <w:rPr>
                <w:rFonts w:eastAsia="Times New Roman"/>
                <w:sz w:val="24"/>
                <w:szCs w:val="24"/>
              </w:rPr>
              <w:t>2017</w:t>
            </w:r>
          </w:p>
        </w:tc>
        <w:tc>
          <w:tcPr>
            <w:tcW w:w="990" w:type="dxa"/>
            <w:tcBorders>
              <w:top w:val="single" w:sz="4" w:space="0" w:color="auto"/>
              <w:left w:val="nil"/>
              <w:bottom w:val="single" w:sz="4" w:space="0" w:color="auto"/>
              <w:right w:val="single" w:sz="4" w:space="0" w:color="auto"/>
            </w:tcBorders>
            <w:vAlign w:val="center"/>
          </w:tcPr>
          <w:p w14:paraId="519B1FE3" w14:textId="77777777" w:rsidR="00DC5F42" w:rsidRPr="008E63BB" w:rsidRDefault="00DC5F42" w:rsidP="00885AB5">
            <w:pPr>
              <w:jc w:val="right"/>
              <w:rPr>
                <w:rFonts w:eastAsia="Times New Roman"/>
                <w:sz w:val="24"/>
                <w:szCs w:val="24"/>
              </w:rPr>
            </w:pPr>
            <w:r w:rsidRPr="008E63BB">
              <w:rPr>
                <w:rFonts w:eastAsia="Times New Roman"/>
                <w:sz w:val="24"/>
                <w:szCs w:val="24"/>
              </w:rPr>
              <w:t>2018</w:t>
            </w:r>
          </w:p>
        </w:tc>
      </w:tr>
      <w:tr w:rsidR="008D5BFE" w:rsidRPr="008E63BB" w14:paraId="519B1FF0" w14:textId="77777777" w:rsidTr="00885AB5">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19B1FE5" w14:textId="77777777" w:rsidR="00DC5F42" w:rsidRPr="008E63BB" w:rsidRDefault="00DC5F42" w:rsidP="00885AB5">
            <w:pPr>
              <w:jc w:val="center"/>
              <w:rPr>
                <w:rFonts w:eastAsia="Times New Roman"/>
                <w:sz w:val="24"/>
                <w:szCs w:val="24"/>
              </w:rPr>
            </w:pPr>
            <w:r w:rsidRPr="008E63BB">
              <w:rPr>
                <w:rFonts w:eastAsia="Times New Roman"/>
                <w:sz w:val="24"/>
                <w:szCs w:val="24"/>
              </w:rPr>
              <w:t>1</w:t>
            </w:r>
          </w:p>
        </w:tc>
        <w:tc>
          <w:tcPr>
            <w:tcW w:w="4962" w:type="dxa"/>
            <w:tcBorders>
              <w:top w:val="single" w:sz="4" w:space="0" w:color="auto"/>
              <w:left w:val="nil"/>
              <w:bottom w:val="single" w:sz="4" w:space="0" w:color="auto"/>
              <w:right w:val="single" w:sz="4" w:space="0" w:color="auto"/>
            </w:tcBorders>
            <w:vAlign w:val="center"/>
          </w:tcPr>
          <w:p w14:paraId="519B1FE6" w14:textId="77777777" w:rsidR="00DC5F42" w:rsidRPr="008E63BB" w:rsidRDefault="00DC5F42" w:rsidP="00885AB5">
            <w:pPr>
              <w:jc w:val="left"/>
              <w:rPr>
                <w:sz w:val="24"/>
                <w:szCs w:val="24"/>
              </w:rPr>
            </w:pPr>
            <w:r w:rsidRPr="008E63BB">
              <w:rPr>
                <w:rFonts w:eastAsia="Times New Roman"/>
                <w:sz w:val="24"/>
                <w:szCs w:val="24"/>
              </w:rPr>
              <w:t>Toàn tỉnh Nam Định</w:t>
            </w:r>
          </w:p>
        </w:tc>
        <w:tc>
          <w:tcPr>
            <w:tcW w:w="1040" w:type="dxa"/>
            <w:tcBorders>
              <w:top w:val="nil"/>
              <w:left w:val="single" w:sz="4" w:space="0" w:color="auto"/>
              <w:bottom w:val="single" w:sz="4" w:space="0" w:color="auto"/>
              <w:right w:val="single" w:sz="4" w:space="0" w:color="auto"/>
            </w:tcBorders>
            <w:shd w:val="clear" w:color="auto" w:fill="auto"/>
            <w:noWrap/>
            <w:vAlign w:val="center"/>
          </w:tcPr>
          <w:p w14:paraId="519B1FE7" w14:textId="77777777" w:rsidR="00DC5F42" w:rsidRPr="008E63BB" w:rsidRDefault="00DC5F42" w:rsidP="00885AB5">
            <w:pPr>
              <w:jc w:val="right"/>
              <w:rPr>
                <w:sz w:val="24"/>
                <w:szCs w:val="24"/>
              </w:rPr>
            </w:pPr>
            <w:r w:rsidRPr="008E63BB">
              <w:rPr>
                <w:sz w:val="24"/>
                <w:szCs w:val="24"/>
              </w:rPr>
              <w:t>1,00</w:t>
            </w:r>
          </w:p>
        </w:tc>
        <w:tc>
          <w:tcPr>
            <w:tcW w:w="1170" w:type="dxa"/>
            <w:tcBorders>
              <w:top w:val="nil"/>
              <w:left w:val="nil"/>
              <w:bottom w:val="single" w:sz="4" w:space="0" w:color="auto"/>
              <w:right w:val="single" w:sz="4" w:space="0" w:color="auto"/>
            </w:tcBorders>
            <w:shd w:val="clear" w:color="auto" w:fill="auto"/>
            <w:noWrap/>
            <w:vAlign w:val="center"/>
          </w:tcPr>
          <w:p w14:paraId="519B1FE8" w14:textId="77777777" w:rsidR="00DC5F42" w:rsidRPr="008E63BB" w:rsidRDefault="00DC5F42" w:rsidP="00885AB5">
            <w:pPr>
              <w:jc w:val="right"/>
              <w:rPr>
                <w:sz w:val="24"/>
                <w:szCs w:val="24"/>
              </w:rPr>
            </w:pPr>
            <w:r w:rsidRPr="008E63BB">
              <w:rPr>
                <w:sz w:val="24"/>
                <w:szCs w:val="24"/>
              </w:rPr>
              <w:t>0,99</w:t>
            </w:r>
          </w:p>
        </w:tc>
        <w:tc>
          <w:tcPr>
            <w:tcW w:w="990" w:type="dxa"/>
            <w:tcBorders>
              <w:top w:val="nil"/>
              <w:left w:val="nil"/>
              <w:bottom w:val="single" w:sz="4" w:space="0" w:color="auto"/>
              <w:right w:val="single" w:sz="4" w:space="0" w:color="auto"/>
            </w:tcBorders>
            <w:shd w:val="clear" w:color="auto" w:fill="auto"/>
            <w:noWrap/>
            <w:vAlign w:val="center"/>
          </w:tcPr>
          <w:p w14:paraId="519B1FE9" w14:textId="77777777" w:rsidR="00DC5F42" w:rsidRPr="008E63BB" w:rsidRDefault="00DC5F42" w:rsidP="00885AB5">
            <w:pPr>
              <w:jc w:val="right"/>
              <w:rPr>
                <w:sz w:val="24"/>
                <w:szCs w:val="24"/>
              </w:rPr>
            </w:pPr>
            <w:r w:rsidRPr="008E63BB">
              <w:rPr>
                <w:sz w:val="24"/>
                <w:szCs w:val="24"/>
              </w:rPr>
              <w:t>1,01</w:t>
            </w:r>
          </w:p>
        </w:tc>
        <w:tc>
          <w:tcPr>
            <w:tcW w:w="1080" w:type="dxa"/>
            <w:tcBorders>
              <w:top w:val="nil"/>
              <w:left w:val="nil"/>
              <w:bottom w:val="single" w:sz="4" w:space="0" w:color="auto"/>
              <w:right w:val="single" w:sz="4" w:space="0" w:color="auto"/>
            </w:tcBorders>
            <w:shd w:val="clear" w:color="auto" w:fill="auto"/>
            <w:noWrap/>
            <w:vAlign w:val="center"/>
          </w:tcPr>
          <w:p w14:paraId="519B1FEA" w14:textId="77777777" w:rsidR="00DC5F42" w:rsidRPr="008E63BB" w:rsidRDefault="00DC5F42" w:rsidP="00885AB5">
            <w:pPr>
              <w:jc w:val="right"/>
              <w:rPr>
                <w:sz w:val="24"/>
                <w:szCs w:val="24"/>
              </w:rPr>
            </w:pPr>
            <w:r w:rsidRPr="008E63BB">
              <w:rPr>
                <w:sz w:val="24"/>
                <w:szCs w:val="24"/>
              </w:rPr>
              <w:t>1,01</w:t>
            </w:r>
          </w:p>
        </w:tc>
        <w:tc>
          <w:tcPr>
            <w:tcW w:w="1260" w:type="dxa"/>
            <w:tcBorders>
              <w:top w:val="nil"/>
              <w:left w:val="nil"/>
              <w:bottom w:val="single" w:sz="4" w:space="0" w:color="auto"/>
              <w:right w:val="single" w:sz="4" w:space="0" w:color="auto"/>
            </w:tcBorders>
            <w:shd w:val="clear" w:color="auto" w:fill="auto"/>
            <w:noWrap/>
            <w:vAlign w:val="center"/>
          </w:tcPr>
          <w:p w14:paraId="519B1FEB" w14:textId="77777777" w:rsidR="00DC5F42" w:rsidRPr="008E63BB" w:rsidRDefault="00DC5F42" w:rsidP="00885AB5">
            <w:pPr>
              <w:jc w:val="right"/>
              <w:rPr>
                <w:sz w:val="24"/>
                <w:szCs w:val="24"/>
              </w:rPr>
            </w:pPr>
            <w:r w:rsidRPr="008E63BB">
              <w:rPr>
                <w:sz w:val="24"/>
                <w:szCs w:val="24"/>
              </w:rPr>
              <w:t>1,00</w:t>
            </w:r>
          </w:p>
        </w:tc>
        <w:tc>
          <w:tcPr>
            <w:tcW w:w="1170" w:type="dxa"/>
            <w:tcBorders>
              <w:top w:val="nil"/>
              <w:left w:val="nil"/>
              <w:bottom w:val="single" w:sz="4" w:space="0" w:color="auto"/>
              <w:right w:val="single" w:sz="4" w:space="0" w:color="auto"/>
            </w:tcBorders>
            <w:shd w:val="clear" w:color="auto" w:fill="auto"/>
            <w:noWrap/>
            <w:vAlign w:val="center"/>
          </w:tcPr>
          <w:p w14:paraId="519B1FEC" w14:textId="77777777" w:rsidR="00DC5F42" w:rsidRPr="008E63BB" w:rsidRDefault="00DC5F42" w:rsidP="00885AB5">
            <w:pPr>
              <w:jc w:val="right"/>
              <w:rPr>
                <w:sz w:val="24"/>
                <w:szCs w:val="24"/>
              </w:rPr>
            </w:pPr>
            <w:r w:rsidRPr="008E63BB">
              <w:rPr>
                <w:sz w:val="24"/>
                <w:szCs w:val="24"/>
              </w:rPr>
              <w:t>1,00</w:t>
            </w:r>
          </w:p>
        </w:tc>
        <w:tc>
          <w:tcPr>
            <w:tcW w:w="1170" w:type="dxa"/>
            <w:tcBorders>
              <w:top w:val="nil"/>
              <w:left w:val="nil"/>
              <w:bottom w:val="single" w:sz="4" w:space="0" w:color="auto"/>
              <w:right w:val="single" w:sz="4" w:space="0" w:color="auto"/>
            </w:tcBorders>
            <w:shd w:val="clear" w:color="auto" w:fill="auto"/>
            <w:noWrap/>
            <w:vAlign w:val="center"/>
          </w:tcPr>
          <w:p w14:paraId="519B1FED" w14:textId="77777777" w:rsidR="00DC5F42" w:rsidRPr="008E63BB" w:rsidRDefault="00DC5F42" w:rsidP="00885AB5">
            <w:pPr>
              <w:jc w:val="right"/>
              <w:rPr>
                <w:sz w:val="24"/>
                <w:szCs w:val="24"/>
              </w:rPr>
            </w:pPr>
            <w:r w:rsidRPr="008E63BB">
              <w:rPr>
                <w:sz w:val="24"/>
                <w:szCs w:val="24"/>
              </w:rPr>
              <w:t>1,00</w:t>
            </w:r>
          </w:p>
        </w:tc>
        <w:tc>
          <w:tcPr>
            <w:tcW w:w="1170" w:type="dxa"/>
            <w:tcBorders>
              <w:top w:val="nil"/>
              <w:left w:val="nil"/>
              <w:bottom w:val="single" w:sz="4" w:space="0" w:color="auto"/>
              <w:right w:val="single" w:sz="4" w:space="0" w:color="auto"/>
            </w:tcBorders>
            <w:shd w:val="clear" w:color="auto" w:fill="auto"/>
            <w:noWrap/>
            <w:vAlign w:val="center"/>
          </w:tcPr>
          <w:p w14:paraId="519B1FEE" w14:textId="77777777" w:rsidR="00DC5F42" w:rsidRPr="008E63BB" w:rsidRDefault="00DC5F42" w:rsidP="00885AB5">
            <w:pPr>
              <w:jc w:val="right"/>
              <w:rPr>
                <w:sz w:val="24"/>
                <w:szCs w:val="24"/>
              </w:rPr>
            </w:pPr>
            <w:r w:rsidRPr="008E63BB">
              <w:rPr>
                <w:sz w:val="24"/>
                <w:szCs w:val="24"/>
              </w:rPr>
              <w:t>1,00</w:t>
            </w:r>
          </w:p>
        </w:tc>
        <w:tc>
          <w:tcPr>
            <w:tcW w:w="990" w:type="dxa"/>
            <w:tcBorders>
              <w:top w:val="nil"/>
              <w:left w:val="nil"/>
              <w:bottom w:val="single" w:sz="4" w:space="0" w:color="auto"/>
              <w:right w:val="single" w:sz="4" w:space="0" w:color="auto"/>
            </w:tcBorders>
            <w:vAlign w:val="center"/>
          </w:tcPr>
          <w:p w14:paraId="519B1FEF" w14:textId="77777777" w:rsidR="00DC5F42" w:rsidRPr="008E63BB" w:rsidRDefault="00DC5F42" w:rsidP="00885AB5">
            <w:pPr>
              <w:jc w:val="right"/>
              <w:rPr>
                <w:sz w:val="24"/>
                <w:szCs w:val="24"/>
              </w:rPr>
            </w:pPr>
            <w:r w:rsidRPr="008E63BB">
              <w:rPr>
                <w:sz w:val="24"/>
                <w:szCs w:val="24"/>
              </w:rPr>
              <w:t>1,00</w:t>
            </w:r>
          </w:p>
        </w:tc>
      </w:tr>
      <w:tr w:rsidR="008D5BFE" w:rsidRPr="008E63BB" w14:paraId="519B1FFC" w14:textId="77777777" w:rsidTr="00885AB5">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19B1FF1" w14:textId="77777777" w:rsidR="00DC5F42" w:rsidRPr="008E63BB" w:rsidRDefault="00DC5F42" w:rsidP="00885AB5">
            <w:pPr>
              <w:jc w:val="center"/>
              <w:rPr>
                <w:rFonts w:eastAsia="Times New Roman"/>
                <w:sz w:val="24"/>
                <w:szCs w:val="24"/>
              </w:rPr>
            </w:pPr>
            <w:r w:rsidRPr="008E63BB">
              <w:rPr>
                <w:rFonts w:eastAsia="Times New Roman"/>
                <w:sz w:val="24"/>
                <w:szCs w:val="24"/>
              </w:rPr>
              <w:t>2</w:t>
            </w:r>
          </w:p>
        </w:tc>
        <w:tc>
          <w:tcPr>
            <w:tcW w:w="4962" w:type="dxa"/>
            <w:tcBorders>
              <w:top w:val="single" w:sz="4" w:space="0" w:color="auto"/>
              <w:left w:val="nil"/>
              <w:bottom w:val="single" w:sz="4" w:space="0" w:color="auto"/>
              <w:right w:val="single" w:sz="4" w:space="0" w:color="auto"/>
            </w:tcBorders>
            <w:vAlign w:val="center"/>
          </w:tcPr>
          <w:p w14:paraId="519B1FF2" w14:textId="77777777" w:rsidR="00DC5F42" w:rsidRPr="008E63BB" w:rsidRDefault="00DC5F42" w:rsidP="00885AB5">
            <w:pPr>
              <w:jc w:val="left"/>
              <w:rPr>
                <w:rFonts w:eastAsia="Times New Roman"/>
                <w:sz w:val="24"/>
                <w:szCs w:val="24"/>
              </w:rPr>
            </w:pPr>
            <w:r w:rsidRPr="008E63BB">
              <w:rPr>
                <w:rFonts w:eastAsia="Times New Roman"/>
                <w:sz w:val="24"/>
                <w:szCs w:val="24"/>
              </w:rPr>
              <w:t>TP. Nam Định</w:t>
            </w:r>
          </w:p>
        </w:tc>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19B1FF3" w14:textId="77777777" w:rsidR="00DC5F42" w:rsidRPr="008E63BB" w:rsidRDefault="00DC5F42" w:rsidP="00885AB5">
            <w:pPr>
              <w:jc w:val="right"/>
              <w:rPr>
                <w:rFonts w:eastAsia="Times New Roman"/>
                <w:sz w:val="24"/>
                <w:szCs w:val="24"/>
              </w:rPr>
            </w:pPr>
            <w:r w:rsidRPr="008E63BB">
              <w:rPr>
                <w:rFonts w:eastAsia="Times New Roman"/>
                <w:sz w:val="24"/>
                <w:szCs w:val="24"/>
              </w:rPr>
              <w:t>0,81</w:t>
            </w:r>
          </w:p>
        </w:tc>
        <w:tc>
          <w:tcPr>
            <w:tcW w:w="1170" w:type="dxa"/>
            <w:tcBorders>
              <w:top w:val="nil"/>
              <w:left w:val="nil"/>
              <w:bottom w:val="single" w:sz="4" w:space="0" w:color="auto"/>
              <w:right w:val="single" w:sz="4" w:space="0" w:color="auto"/>
            </w:tcBorders>
            <w:shd w:val="clear" w:color="auto" w:fill="auto"/>
            <w:noWrap/>
            <w:vAlign w:val="center"/>
            <w:hideMark/>
          </w:tcPr>
          <w:p w14:paraId="519B1FF4" w14:textId="77777777" w:rsidR="00DC5F42" w:rsidRPr="008E63BB" w:rsidRDefault="00DC5F42" w:rsidP="00885AB5">
            <w:pPr>
              <w:jc w:val="right"/>
              <w:rPr>
                <w:rFonts w:eastAsia="Times New Roman"/>
                <w:sz w:val="24"/>
                <w:szCs w:val="24"/>
              </w:rPr>
            </w:pPr>
            <w:r w:rsidRPr="008E63BB">
              <w:rPr>
                <w:rFonts w:eastAsia="Times New Roman"/>
                <w:sz w:val="24"/>
                <w:szCs w:val="24"/>
              </w:rPr>
              <w:t>0,88</w:t>
            </w:r>
          </w:p>
        </w:tc>
        <w:tc>
          <w:tcPr>
            <w:tcW w:w="990" w:type="dxa"/>
            <w:tcBorders>
              <w:top w:val="nil"/>
              <w:left w:val="nil"/>
              <w:bottom w:val="single" w:sz="4" w:space="0" w:color="auto"/>
              <w:right w:val="single" w:sz="4" w:space="0" w:color="auto"/>
            </w:tcBorders>
            <w:shd w:val="clear" w:color="auto" w:fill="auto"/>
            <w:noWrap/>
            <w:vAlign w:val="center"/>
            <w:hideMark/>
          </w:tcPr>
          <w:p w14:paraId="519B1FF5" w14:textId="77777777" w:rsidR="00DC5F42" w:rsidRPr="008E63BB" w:rsidRDefault="00DC5F42" w:rsidP="00885AB5">
            <w:pPr>
              <w:jc w:val="right"/>
              <w:rPr>
                <w:rFonts w:eastAsia="Times New Roman"/>
                <w:sz w:val="24"/>
                <w:szCs w:val="24"/>
              </w:rPr>
            </w:pPr>
            <w:r w:rsidRPr="008E63BB">
              <w:rPr>
                <w:rFonts w:eastAsia="Times New Roman"/>
                <w:sz w:val="24"/>
                <w:szCs w:val="24"/>
              </w:rPr>
              <w:t>1,23</w:t>
            </w:r>
          </w:p>
        </w:tc>
        <w:tc>
          <w:tcPr>
            <w:tcW w:w="1080" w:type="dxa"/>
            <w:tcBorders>
              <w:top w:val="nil"/>
              <w:left w:val="nil"/>
              <w:bottom w:val="single" w:sz="4" w:space="0" w:color="auto"/>
              <w:right w:val="single" w:sz="4" w:space="0" w:color="auto"/>
            </w:tcBorders>
            <w:shd w:val="clear" w:color="auto" w:fill="auto"/>
            <w:noWrap/>
            <w:vAlign w:val="center"/>
            <w:hideMark/>
          </w:tcPr>
          <w:p w14:paraId="519B1FF6" w14:textId="77777777" w:rsidR="00DC5F42" w:rsidRPr="008E63BB" w:rsidRDefault="00DC5F42" w:rsidP="00885AB5">
            <w:pPr>
              <w:jc w:val="right"/>
              <w:rPr>
                <w:rFonts w:eastAsia="Times New Roman"/>
                <w:sz w:val="24"/>
                <w:szCs w:val="24"/>
              </w:rPr>
            </w:pPr>
            <w:r w:rsidRPr="008E63BB">
              <w:rPr>
                <w:rFonts w:eastAsia="Times New Roman"/>
                <w:sz w:val="24"/>
                <w:szCs w:val="24"/>
              </w:rPr>
              <w:t>1,13</w:t>
            </w:r>
          </w:p>
        </w:tc>
        <w:tc>
          <w:tcPr>
            <w:tcW w:w="1260" w:type="dxa"/>
            <w:tcBorders>
              <w:top w:val="nil"/>
              <w:left w:val="nil"/>
              <w:bottom w:val="single" w:sz="4" w:space="0" w:color="auto"/>
              <w:right w:val="single" w:sz="4" w:space="0" w:color="auto"/>
            </w:tcBorders>
            <w:shd w:val="clear" w:color="auto" w:fill="auto"/>
            <w:noWrap/>
            <w:vAlign w:val="center"/>
            <w:hideMark/>
          </w:tcPr>
          <w:p w14:paraId="519B1FF7" w14:textId="77777777" w:rsidR="00DC5F42" w:rsidRPr="008E63BB" w:rsidRDefault="00DC5F42" w:rsidP="00885AB5">
            <w:pPr>
              <w:jc w:val="right"/>
              <w:rPr>
                <w:rFonts w:eastAsia="Times New Roman"/>
                <w:sz w:val="24"/>
                <w:szCs w:val="24"/>
              </w:rPr>
            </w:pPr>
            <w:r w:rsidRPr="008E63BB">
              <w:rPr>
                <w:rFonts w:eastAsia="Times New Roman"/>
                <w:sz w:val="24"/>
                <w:szCs w:val="24"/>
              </w:rPr>
              <w:t>1,14</w:t>
            </w:r>
          </w:p>
        </w:tc>
        <w:tc>
          <w:tcPr>
            <w:tcW w:w="1170" w:type="dxa"/>
            <w:tcBorders>
              <w:top w:val="nil"/>
              <w:left w:val="nil"/>
              <w:bottom w:val="single" w:sz="4" w:space="0" w:color="auto"/>
              <w:right w:val="single" w:sz="4" w:space="0" w:color="auto"/>
            </w:tcBorders>
            <w:shd w:val="clear" w:color="auto" w:fill="auto"/>
            <w:noWrap/>
            <w:vAlign w:val="center"/>
            <w:hideMark/>
          </w:tcPr>
          <w:p w14:paraId="519B1FF8" w14:textId="77777777" w:rsidR="00DC5F42" w:rsidRPr="008E63BB" w:rsidRDefault="00DC5F42" w:rsidP="00885AB5">
            <w:pPr>
              <w:jc w:val="right"/>
              <w:rPr>
                <w:rFonts w:eastAsia="Times New Roman"/>
                <w:sz w:val="24"/>
                <w:szCs w:val="24"/>
              </w:rPr>
            </w:pPr>
            <w:r w:rsidRPr="008E63BB">
              <w:rPr>
                <w:rFonts w:eastAsia="Times New Roman"/>
                <w:sz w:val="24"/>
                <w:szCs w:val="24"/>
              </w:rPr>
              <w:t>1,12</w:t>
            </w:r>
          </w:p>
        </w:tc>
        <w:tc>
          <w:tcPr>
            <w:tcW w:w="1170" w:type="dxa"/>
            <w:tcBorders>
              <w:top w:val="nil"/>
              <w:left w:val="nil"/>
              <w:bottom w:val="single" w:sz="4" w:space="0" w:color="auto"/>
              <w:right w:val="single" w:sz="4" w:space="0" w:color="auto"/>
            </w:tcBorders>
            <w:shd w:val="clear" w:color="auto" w:fill="auto"/>
            <w:noWrap/>
            <w:vAlign w:val="center"/>
            <w:hideMark/>
          </w:tcPr>
          <w:p w14:paraId="519B1FF9" w14:textId="77777777" w:rsidR="00DC5F42" w:rsidRPr="008E63BB" w:rsidRDefault="00DC5F42" w:rsidP="00885AB5">
            <w:pPr>
              <w:jc w:val="right"/>
              <w:rPr>
                <w:rFonts w:eastAsia="Times New Roman"/>
                <w:sz w:val="24"/>
                <w:szCs w:val="24"/>
              </w:rPr>
            </w:pPr>
            <w:r w:rsidRPr="008E63BB">
              <w:rPr>
                <w:rFonts w:eastAsia="Times New Roman"/>
                <w:sz w:val="24"/>
                <w:szCs w:val="24"/>
              </w:rPr>
              <w:t>1,11</w:t>
            </w:r>
          </w:p>
        </w:tc>
        <w:tc>
          <w:tcPr>
            <w:tcW w:w="1170" w:type="dxa"/>
            <w:tcBorders>
              <w:top w:val="nil"/>
              <w:left w:val="nil"/>
              <w:bottom w:val="single" w:sz="4" w:space="0" w:color="auto"/>
              <w:right w:val="single" w:sz="4" w:space="0" w:color="auto"/>
            </w:tcBorders>
            <w:shd w:val="clear" w:color="auto" w:fill="auto"/>
            <w:noWrap/>
            <w:vAlign w:val="center"/>
            <w:hideMark/>
          </w:tcPr>
          <w:p w14:paraId="519B1FFA" w14:textId="77777777" w:rsidR="00DC5F42" w:rsidRPr="008E63BB" w:rsidRDefault="00DC5F42" w:rsidP="00885AB5">
            <w:pPr>
              <w:jc w:val="right"/>
              <w:rPr>
                <w:rFonts w:eastAsia="Times New Roman"/>
                <w:sz w:val="24"/>
                <w:szCs w:val="24"/>
              </w:rPr>
            </w:pPr>
            <w:r w:rsidRPr="008E63BB">
              <w:rPr>
                <w:rFonts w:eastAsia="Times New Roman"/>
                <w:sz w:val="24"/>
                <w:szCs w:val="24"/>
              </w:rPr>
              <w:t>0,97</w:t>
            </w:r>
          </w:p>
        </w:tc>
        <w:tc>
          <w:tcPr>
            <w:tcW w:w="990" w:type="dxa"/>
            <w:tcBorders>
              <w:top w:val="nil"/>
              <w:left w:val="nil"/>
              <w:bottom w:val="single" w:sz="4" w:space="0" w:color="auto"/>
              <w:right w:val="single" w:sz="4" w:space="0" w:color="auto"/>
            </w:tcBorders>
            <w:vAlign w:val="center"/>
          </w:tcPr>
          <w:p w14:paraId="519B1FFB" w14:textId="77777777" w:rsidR="00DC5F42" w:rsidRPr="008E63BB" w:rsidRDefault="00DC5F42" w:rsidP="00885AB5">
            <w:pPr>
              <w:jc w:val="right"/>
              <w:rPr>
                <w:rFonts w:eastAsia="Times New Roman"/>
                <w:sz w:val="24"/>
                <w:szCs w:val="24"/>
              </w:rPr>
            </w:pPr>
            <w:r w:rsidRPr="008E63BB">
              <w:rPr>
                <w:rFonts w:eastAsia="Times New Roman"/>
                <w:sz w:val="24"/>
                <w:szCs w:val="24"/>
              </w:rPr>
              <w:t>0,97</w:t>
            </w:r>
          </w:p>
        </w:tc>
      </w:tr>
      <w:tr w:rsidR="008D5BFE" w:rsidRPr="008E63BB" w14:paraId="519B2008" w14:textId="77777777" w:rsidTr="00885AB5">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19B1FFD" w14:textId="77777777" w:rsidR="00DC5F42" w:rsidRPr="008E63BB" w:rsidRDefault="00DC5F42" w:rsidP="00885AB5">
            <w:pPr>
              <w:rPr>
                <w:rFonts w:eastAsia="Times New Roman"/>
                <w:sz w:val="24"/>
                <w:szCs w:val="24"/>
              </w:rPr>
            </w:pPr>
          </w:p>
        </w:tc>
        <w:tc>
          <w:tcPr>
            <w:tcW w:w="4962" w:type="dxa"/>
            <w:tcBorders>
              <w:top w:val="single" w:sz="4" w:space="0" w:color="auto"/>
              <w:left w:val="nil"/>
              <w:bottom w:val="single" w:sz="4" w:space="0" w:color="auto"/>
              <w:right w:val="single" w:sz="4" w:space="0" w:color="auto"/>
            </w:tcBorders>
            <w:vAlign w:val="center"/>
          </w:tcPr>
          <w:p w14:paraId="519B1FFE" w14:textId="77777777" w:rsidR="00DC5F42" w:rsidRPr="008E63BB" w:rsidRDefault="00DC5F42" w:rsidP="00885AB5">
            <w:pPr>
              <w:jc w:val="left"/>
              <w:rPr>
                <w:rFonts w:eastAsia="Times New Roman"/>
                <w:sz w:val="24"/>
                <w:szCs w:val="24"/>
              </w:rPr>
            </w:pPr>
            <w:r w:rsidRPr="008E63BB">
              <w:rPr>
                <w:rFonts w:eastAsia="Times New Roman"/>
                <w:sz w:val="24"/>
                <w:szCs w:val="24"/>
              </w:rPr>
              <w:t>Huyện Mỹ Lộc</w:t>
            </w:r>
          </w:p>
        </w:tc>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19B1FFF" w14:textId="77777777" w:rsidR="00DC5F42" w:rsidRPr="008E63BB" w:rsidRDefault="00DC5F42" w:rsidP="00885AB5">
            <w:pPr>
              <w:jc w:val="right"/>
              <w:rPr>
                <w:rFonts w:eastAsia="Times New Roman"/>
                <w:sz w:val="24"/>
                <w:szCs w:val="24"/>
              </w:rPr>
            </w:pPr>
            <w:r w:rsidRPr="008E63BB">
              <w:rPr>
                <w:rFonts w:eastAsia="Times New Roman"/>
                <w:sz w:val="24"/>
                <w:szCs w:val="24"/>
              </w:rPr>
              <w:t>0,87</w:t>
            </w:r>
          </w:p>
        </w:tc>
        <w:tc>
          <w:tcPr>
            <w:tcW w:w="1170" w:type="dxa"/>
            <w:tcBorders>
              <w:top w:val="nil"/>
              <w:left w:val="nil"/>
              <w:bottom w:val="single" w:sz="4" w:space="0" w:color="auto"/>
              <w:right w:val="single" w:sz="4" w:space="0" w:color="auto"/>
            </w:tcBorders>
            <w:shd w:val="clear" w:color="auto" w:fill="auto"/>
            <w:noWrap/>
            <w:vAlign w:val="center"/>
            <w:hideMark/>
          </w:tcPr>
          <w:p w14:paraId="519B2000" w14:textId="77777777" w:rsidR="00DC5F42" w:rsidRPr="008E63BB" w:rsidRDefault="00DC5F42" w:rsidP="00885AB5">
            <w:pPr>
              <w:jc w:val="right"/>
              <w:rPr>
                <w:rFonts w:eastAsia="Times New Roman"/>
                <w:sz w:val="24"/>
                <w:szCs w:val="24"/>
              </w:rPr>
            </w:pPr>
            <w:r w:rsidRPr="008E63BB">
              <w:rPr>
                <w:rFonts w:eastAsia="Times New Roman"/>
                <w:sz w:val="24"/>
                <w:szCs w:val="24"/>
              </w:rPr>
              <w:t>0,88</w:t>
            </w:r>
          </w:p>
        </w:tc>
        <w:tc>
          <w:tcPr>
            <w:tcW w:w="990" w:type="dxa"/>
            <w:tcBorders>
              <w:top w:val="nil"/>
              <w:left w:val="nil"/>
              <w:bottom w:val="single" w:sz="4" w:space="0" w:color="auto"/>
              <w:right w:val="single" w:sz="4" w:space="0" w:color="auto"/>
            </w:tcBorders>
            <w:shd w:val="clear" w:color="auto" w:fill="auto"/>
            <w:noWrap/>
            <w:vAlign w:val="center"/>
            <w:hideMark/>
          </w:tcPr>
          <w:p w14:paraId="519B2001" w14:textId="77777777" w:rsidR="00DC5F42" w:rsidRPr="008E63BB" w:rsidRDefault="00DC5F42" w:rsidP="00885AB5">
            <w:pPr>
              <w:jc w:val="right"/>
              <w:rPr>
                <w:rFonts w:eastAsia="Times New Roman"/>
                <w:sz w:val="24"/>
                <w:szCs w:val="24"/>
              </w:rPr>
            </w:pPr>
            <w:r w:rsidRPr="008E63BB">
              <w:rPr>
                <w:rFonts w:eastAsia="Times New Roman"/>
                <w:sz w:val="24"/>
                <w:szCs w:val="24"/>
              </w:rPr>
              <w:t>1,00</w:t>
            </w:r>
          </w:p>
        </w:tc>
        <w:tc>
          <w:tcPr>
            <w:tcW w:w="1080" w:type="dxa"/>
            <w:tcBorders>
              <w:top w:val="nil"/>
              <w:left w:val="nil"/>
              <w:bottom w:val="single" w:sz="4" w:space="0" w:color="auto"/>
              <w:right w:val="single" w:sz="4" w:space="0" w:color="auto"/>
            </w:tcBorders>
            <w:shd w:val="clear" w:color="auto" w:fill="auto"/>
            <w:noWrap/>
            <w:vAlign w:val="center"/>
            <w:hideMark/>
          </w:tcPr>
          <w:p w14:paraId="519B2002" w14:textId="77777777" w:rsidR="00DC5F42" w:rsidRPr="008E63BB" w:rsidRDefault="00DC5F42" w:rsidP="00885AB5">
            <w:pPr>
              <w:jc w:val="right"/>
              <w:rPr>
                <w:rFonts w:eastAsia="Times New Roman"/>
                <w:sz w:val="24"/>
                <w:szCs w:val="24"/>
              </w:rPr>
            </w:pPr>
            <w:r w:rsidRPr="008E63BB">
              <w:rPr>
                <w:rFonts w:eastAsia="Times New Roman"/>
                <w:sz w:val="24"/>
                <w:szCs w:val="24"/>
              </w:rPr>
              <w:t>1,03</w:t>
            </w:r>
          </w:p>
        </w:tc>
        <w:tc>
          <w:tcPr>
            <w:tcW w:w="1260" w:type="dxa"/>
            <w:tcBorders>
              <w:top w:val="nil"/>
              <w:left w:val="nil"/>
              <w:bottom w:val="single" w:sz="4" w:space="0" w:color="auto"/>
              <w:right w:val="single" w:sz="4" w:space="0" w:color="auto"/>
            </w:tcBorders>
            <w:shd w:val="clear" w:color="auto" w:fill="auto"/>
            <w:noWrap/>
            <w:vAlign w:val="center"/>
            <w:hideMark/>
          </w:tcPr>
          <w:p w14:paraId="519B2003" w14:textId="77777777" w:rsidR="00DC5F42" w:rsidRPr="008E63BB" w:rsidRDefault="00DC5F42" w:rsidP="00885AB5">
            <w:pPr>
              <w:jc w:val="right"/>
              <w:rPr>
                <w:rFonts w:eastAsia="Times New Roman"/>
                <w:sz w:val="24"/>
                <w:szCs w:val="24"/>
              </w:rPr>
            </w:pPr>
            <w:r w:rsidRPr="008E63BB">
              <w:rPr>
                <w:rFonts w:eastAsia="Times New Roman"/>
                <w:sz w:val="24"/>
                <w:szCs w:val="24"/>
              </w:rPr>
              <w:t>1,01</w:t>
            </w:r>
          </w:p>
        </w:tc>
        <w:tc>
          <w:tcPr>
            <w:tcW w:w="1170" w:type="dxa"/>
            <w:tcBorders>
              <w:top w:val="nil"/>
              <w:left w:val="nil"/>
              <w:bottom w:val="single" w:sz="4" w:space="0" w:color="auto"/>
              <w:right w:val="single" w:sz="4" w:space="0" w:color="auto"/>
            </w:tcBorders>
            <w:shd w:val="clear" w:color="auto" w:fill="auto"/>
            <w:noWrap/>
            <w:vAlign w:val="center"/>
            <w:hideMark/>
          </w:tcPr>
          <w:p w14:paraId="519B2004" w14:textId="77777777" w:rsidR="00DC5F42" w:rsidRPr="008E63BB" w:rsidRDefault="00DC5F42" w:rsidP="00885AB5">
            <w:pPr>
              <w:jc w:val="right"/>
              <w:rPr>
                <w:rFonts w:eastAsia="Times New Roman"/>
                <w:sz w:val="24"/>
                <w:szCs w:val="24"/>
              </w:rPr>
            </w:pPr>
            <w:r w:rsidRPr="008E63BB">
              <w:rPr>
                <w:rFonts w:eastAsia="Times New Roman"/>
                <w:sz w:val="24"/>
                <w:szCs w:val="24"/>
              </w:rPr>
              <w:t>0,99</w:t>
            </w:r>
          </w:p>
        </w:tc>
        <w:tc>
          <w:tcPr>
            <w:tcW w:w="1170" w:type="dxa"/>
            <w:tcBorders>
              <w:top w:val="nil"/>
              <w:left w:val="nil"/>
              <w:bottom w:val="single" w:sz="4" w:space="0" w:color="auto"/>
              <w:right w:val="single" w:sz="4" w:space="0" w:color="auto"/>
            </w:tcBorders>
            <w:shd w:val="clear" w:color="auto" w:fill="auto"/>
            <w:noWrap/>
            <w:vAlign w:val="center"/>
            <w:hideMark/>
          </w:tcPr>
          <w:p w14:paraId="519B2005" w14:textId="77777777" w:rsidR="00DC5F42" w:rsidRPr="008E63BB" w:rsidRDefault="00DC5F42" w:rsidP="00885AB5">
            <w:pPr>
              <w:jc w:val="right"/>
              <w:rPr>
                <w:rFonts w:eastAsia="Times New Roman"/>
                <w:sz w:val="24"/>
                <w:szCs w:val="24"/>
              </w:rPr>
            </w:pPr>
            <w:r w:rsidRPr="008E63BB">
              <w:rPr>
                <w:rFonts w:eastAsia="Times New Roman"/>
                <w:sz w:val="24"/>
                <w:szCs w:val="24"/>
              </w:rPr>
              <w:t>0,99</w:t>
            </w:r>
          </w:p>
        </w:tc>
        <w:tc>
          <w:tcPr>
            <w:tcW w:w="1170" w:type="dxa"/>
            <w:tcBorders>
              <w:top w:val="nil"/>
              <w:left w:val="nil"/>
              <w:bottom w:val="single" w:sz="4" w:space="0" w:color="auto"/>
              <w:right w:val="single" w:sz="4" w:space="0" w:color="auto"/>
            </w:tcBorders>
            <w:shd w:val="clear" w:color="auto" w:fill="auto"/>
            <w:noWrap/>
            <w:vAlign w:val="center"/>
            <w:hideMark/>
          </w:tcPr>
          <w:p w14:paraId="519B2006" w14:textId="77777777" w:rsidR="00DC5F42" w:rsidRPr="008E63BB" w:rsidRDefault="00DC5F42" w:rsidP="00885AB5">
            <w:pPr>
              <w:jc w:val="right"/>
              <w:rPr>
                <w:rFonts w:eastAsia="Times New Roman"/>
                <w:sz w:val="24"/>
                <w:szCs w:val="24"/>
              </w:rPr>
            </w:pPr>
            <w:r w:rsidRPr="008E63BB">
              <w:rPr>
                <w:rFonts w:eastAsia="Times New Roman"/>
                <w:sz w:val="24"/>
                <w:szCs w:val="24"/>
              </w:rPr>
              <w:t>0,97</w:t>
            </w:r>
          </w:p>
        </w:tc>
        <w:tc>
          <w:tcPr>
            <w:tcW w:w="990" w:type="dxa"/>
            <w:tcBorders>
              <w:top w:val="nil"/>
              <w:left w:val="nil"/>
              <w:bottom w:val="single" w:sz="4" w:space="0" w:color="auto"/>
              <w:right w:val="single" w:sz="4" w:space="0" w:color="auto"/>
            </w:tcBorders>
            <w:vAlign w:val="center"/>
          </w:tcPr>
          <w:p w14:paraId="519B2007" w14:textId="77777777" w:rsidR="00DC5F42" w:rsidRPr="008E63BB" w:rsidRDefault="00DC5F42" w:rsidP="00885AB5">
            <w:pPr>
              <w:jc w:val="right"/>
              <w:rPr>
                <w:rFonts w:eastAsia="Times New Roman"/>
                <w:sz w:val="24"/>
                <w:szCs w:val="24"/>
              </w:rPr>
            </w:pPr>
            <w:r w:rsidRPr="008E63BB">
              <w:rPr>
                <w:rFonts w:eastAsia="Times New Roman"/>
                <w:sz w:val="24"/>
                <w:szCs w:val="24"/>
              </w:rPr>
              <w:t>0,97</w:t>
            </w:r>
          </w:p>
        </w:tc>
      </w:tr>
      <w:tr w:rsidR="008D5BFE" w:rsidRPr="008E63BB" w14:paraId="519B2014" w14:textId="77777777" w:rsidTr="00885AB5">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19B2009" w14:textId="77777777" w:rsidR="00DC5F42" w:rsidRPr="008E63BB" w:rsidRDefault="00DC5F42" w:rsidP="00885AB5">
            <w:pPr>
              <w:rPr>
                <w:rFonts w:eastAsia="Times New Roman"/>
                <w:sz w:val="24"/>
                <w:szCs w:val="24"/>
              </w:rPr>
            </w:pPr>
          </w:p>
        </w:tc>
        <w:tc>
          <w:tcPr>
            <w:tcW w:w="4962" w:type="dxa"/>
            <w:tcBorders>
              <w:top w:val="single" w:sz="4" w:space="0" w:color="auto"/>
              <w:left w:val="nil"/>
              <w:bottom w:val="single" w:sz="4" w:space="0" w:color="auto"/>
              <w:right w:val="single" w:sz="4" w:space="0" w:color="auto"/>
            </w:tcBorders>
            <w:vAlign w:val="center"/>
          </w:tcPr>
          <w:p w14:paraId="519B200A" w14:textId="77777777" w:rsidR="00DC5F42" w:rsidRPr="008E63BB" w:rsidRDefault="00DC5F42" w:rsidP="00885AB5">
            <w:pPr>
              <w:jc w:val="left"/>
              <w:rPr>
                <w:rFonts w:eastAsia="Times New Roman"/>
                <w:sz w:val="24"/>
                <w:szCs w:val="24"/>
              </w:rPr>
            </w:pPr>
            <w:r w:rsidRPr="008E63BB">
              <w:rPr>
                <w:rFonts w:eastAsia="Times New Roman"/>
                <w:sz w:val="24"/>
                <w:szCs w:val="24"/>
              </w:rPr>
              <w:t>Huyện Vụ Bản</w:t>
            </w:r>
          </w:p>
        </w:tc>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19B200B" w14:textId="77777777" w:rsidR="00DC5F42" w:rsidRPr="008E63BB" w:rsidRDefault="00DC5F42" w:rsidP="00885AB5">
            <w:pPr>
              <w:jc w:val="right"/>
              <w:rPr>
                <w:rFonts w:eastAsia="Times New Roman"/>
                <w:sz w:val="24"/>
                <w:szCs w:val="24"/>
              </w:rPr>
            </w:pPr>
            <w:r w:rsidRPr="008E63BB">
              <w:rPr>
                <w:rFonts w:eastAsia="Times New Roman"/>
                <w:sz w:val="24"/>
                <w:szCs w:val="24"/>
              </w:rPr>
              <w:t>1,01</w:t>
            </w:r>
          </w:p>
        </w:tc>
        <w:tc>
          <w:tcPr>
            <w:tcW w:w="1170" w:type="dxa"/>
            <w:tcBorders>
              <w:top w:val="nil"/>
              <w:left w:val="nil"/>
              <w:bottom w:val="single" w:sz="4" w:space="0" w:color="auto"/>
              <w:right w:val="single" w:sz="4" w:space="0" w:color="auto"/>
            </w:tcBorders>
            <w:shd w:val="clear" w:color="auto" w:fill="auto"/>
            <w:noWrap/>
            <w:vAlign w:val="center"/>
            <w:hideMark/>
          </w:tcPr>
          <w:p w14:paraId="519B200C" w14:textId="77777777" w:rsidR="00DC5F42" w:rsidRPr="008E63BB" w:rsidRDefault="00DC5F42" w:rsidP="00885AB5">
            <w:pPr>
              <w:jc w:val="right"/>
              <w:rPr>
                <w:rFonts w:eastAsia="Times New Roman"/>
                <w:sz w:val="24"/>
                <w:szCs w:val="24"/>
              </w:rPr>
            </w:pPr>
            <w:r w:rsidRPr="008E63BB">
              <w:rPr>
                <w:rFonts w:eastAsia="Times New Roman"/>
                <w:sz w:val="24"/>
                <w:szCs w:val="24"/>
              </w:rPr>
              <w:t>1,03</w:t>
            </w:r>
          </w:p>
        </w:tc>
        <w:tc>
          <w:tcPr>
            <w:tcW w:w="990" w:type="dxa"/>
            <w:tcBorders>
              <w:top w:val="nil"/>
              <w:left w:val="nil"/>
              <w:bottom w:val="single" w:sz="4" w:space="0" w:color="auto"/>
              <w:right w:val="single" w:sz="4" w:space="0" w:color="auto"/>
            </w:tcBorders>
            <w:shd w:val="clear" w:color="auto" w:fill="auto"/>
            <w:noWrap/>
            <w:vAlign w:val="center"/>
            <w:hideMark/>
          </w:tcPr>
          <w:p w14:paraId="519B200D" w14:textId="77777777" w:rsidR="00DC5F42" w:rsidRPr="008E63BB" w:rsidRDefault="00DC5F42" w:rsidP="00885AB5">
            <w:pPr>
              <w:jc w:val="right"/>
              <w:rPr>
                <w:rFonts w:eastAsia="Times New Roman"/>
                <w:sz w:val="24"/>
                <w:szCs w:val="24"/>
              </w:rPr>
            </w:pPr>
            <w:r w:rsidRPr="008E63BB">
              <w:rPr>
                <w:rFonts w:eastAsia="Times New Roman"/>
                <w:sz w:val="24"/>
                <w:szCs w:val="24"/>
              </w:rPr>
              <w:t>1,36</w:t>
            </w:r>
          </w:p>
        </w:tc>
        <w:tc>
          <w:tcPr>
            <w:tcW w:w="1080" w:type="dxa"/>
            <w:tcBorders>
              <w:top w:val="nil"/>
              <w:left w:val="nil"/>
              <w:bottom w:val="single" w:sz="4" w:space="0" w:color="auto"/>
              <w:right w:val="single" w:sz="4" w:space="0" w:color="auto"/>
            </w:tcBorders>
            <w:shd w:val="clear" w:color="auto" w:fill="auto"/>
            <w:noWrap/>
            <w:vAlign w:val="center"/>
            <w:hideMark/>
          </w:tcPr>
          <w:p w14:paraId="519B200E" w14:textId="77777777" w:rsidR="00DC5F42" w:rsidRPr="008E63BB" w:rsidRDefault="00DC5F42" w:rsidP="00885AB5">
            <w:pPr>
              <w:jc w:val="right"/>
              <w:rPr>
                <w:rFonts w:eastAsia="Times New Roman"/>
                <w:sz w:val="24"/>
                <w:szCs w:val="24"/>
              </w:rPr>
            </w:pPr>
            <w:r w:rsidRPr="008E63BB">
              <w:rPr>
                <w:rFonts w:eastAsia="Times New Roman"/>
                <w:sz w:val="24"/>
                <w:szCs w:val="24"/>
              </w:rPr>
              <w:t>1,27</w:t>
            </w:r>
          </w:p>
        </w:tc>
        <w:tc>
          <w:tcPr>
            <w:tcW w:w="1260" w:type="dxa"/>
            <w:tcBorders>
              <w:top w:val="nil"/>
              <w:left w:val="nil"/>
              <w:bottom w:val="single" w:sz="4" w:space="0" w:color="auto"/>
              <w:right w:val="single" w:sz="4" w:space="0" w:color="auto"/>
            </w:tcBorders>
            <w:shd w:val="clear" w:color="auto" w:fill="auto"/>
            <w:noWrap/>
            <w:vAlign w:val="center"/>
            <w:hideMark/>
          </w:tcPr>
          <w:p w14:paraId="519B200F" w14:textId="77777777" w:rsidR="00DC5F42" w:rsidRPr="008E63BB" w:rsidRDefault="00DC5F42" w:rsidP="00885AB5">
            <w:pPr>
              <w:jc w:val="right"/>
              <w:rPr>
                <w:rFonts w:eastAsia="Times New Roman"/>
                <w:sz w:val="24"/>
                <w:szCs w:val="24"/>
              </w:rPr>
            </w:pPr>
            <w:r w:rsidRPr="008E63BB">
              <w:rPr>
                <w:rFonts w:eastAsia="Times New Roman"/>
                <w:sz w:val="24"/>
                <w:szCs w:val="24"/>
              </w:rPr>
              <w:t>1,40</w:t>
            </w:r>
          </w:p>
        </w:tc>
        <w:tc>
          <w:tcPr>
            <w:tcW w:w="1170" w:type="dxa"/>
            <w:tcBorders>
              <w:top w:val="nil"/>
              <w:left w:val="nil"/>
              <w:bottom w:val="single" w:sz="4" w:space="0" w:color="auto"/>
              <w:right w:val="single" w:sz="4" w:space="0" w:color="auto"/>
            </w:tcBorders>
            <w:shd w:val="clear" w:color="auto" w:fill="auto"/>
            <w:noWrap/>
            <w:vAlign w:val="center"/>
            <w:hideMark/>
          </w:tcPr>
          <w:p w14:paraId="519B2010" w14:textId="77777777" w:rsidR="00DC5F42" w:rsidRPr="008E63BB" w:rsidRDefault="00DC5F42" w:rsidP="00885AB5">
            <w:pPr>
              <w:jc w:val="right"/>
              <w:rPr>
                <w:rFonts w:eastAsia="Times New Roman"/>
                <w:sz w:val="24"/>
                <w:szCs w:val="24"/>
              </w:rPr>
            </w:pPr>
            <w:r w:rsidRPr="008E63BB">
              <w:rPr>
                <w:rFonts w:eastAsia="Times New Roman"/>
                <w:sz w:val="24"/>
                <w:szCs w:val="24"/>
              </w:rPr>
              <w:t>1,39</w:t>
            </w:r>
          </w:p>
        </w:tc>
        <w:tc>
          <w:tcPr>
            <w:tcW w:w="1170" w:type="dxa"/>
            <w:tcBorders>
              <w:top w:val="nil"/>
              <w:left w:val="nil"/>
              <w:bottom w:val="single" w:sz="4" w:space="0" w:color="auto"/>
              <w:right w:val="single" w:sz="4" w:space="0" w:color="auto"/>
            </w:tcBorders>
            <w:shd w:val="clear" w:color="auto" w:fill="auto"/>
            <w:noWrap/>
            <w:vAlign w:val="center"/>
            <w:hideMark/>
          </w:tcPr>
          <w:p w14:paraId="519B2011" w14:textId="77777777" w:rsidR="00DC5F42" w:rsidRPr="008E63BB" w:rsidRDefault="00DC5F42" w:rsidP="00885AB5">
            <w:pPr>
              <w:jc w:val="right"/>
              <w:rPr>
                <w:rFonts w:eastAsia="Times New Roman"/>
                <w:sz w:val="24"/>
                <w:szCs w:val="24"/>
              </w:rPr>
            </w:pPr>
            <w:r w:rsidRPr="008E63BB">
              <w:rPr>
                <w:rFonts w:eastAsia="Times New Roman"/>
                <w:sz w:val="24"/>
                <w:szCs w:val="24"/>
              </w:rPr>
              <w:t>1,14</w:t>
            </w:r>
          </w:p>
        </w:tc>
        <w:tc>
          <w:tcPr>
            <w:tcW w:w="1170" w:type="dxa"/>
            <w:tcBorders>
              <w:top w:val="nil"/>
              <w:left w:val="nil"/>
              <w:bottom w:val="single" w:sz="4" w:space="0" w:color="auto"/>
              <w:right w:val="single" w:sz="4" w:space="0" w:color="auto"/>
            </w:tcBorders>
            <w:shd w:val="clear" w:color="auto" w:fill="auto"/>
            <w:noWrap/>
            <w:vAlign w:val="center"/>
            <w:hideMark/>
          </w:tcPr>
          <w:p w14:paraId="519B2012" w14:textId="77777777" w:rsidR="00DC5F42" w:rsidRPr="008E63BB" w:rsidRDefault="00DC5F42" w:rsidP="00885AB5">
            <w:pPr>
              <w:jc w:val="right"/>
              <w:rPr>
                <w:rFonts w:eastAsia="Times New Roman"/>
                <w:sz w:val="24"/>
                <w:szCs w:val="24"/>
              </w:rPr>
            </w:pPr>
            <w:r w:rsidRPr="008E63BB">
              <w:rPr>
                <w:rFonts w:eastAsia="Times New Roman"/>
                <w:sz w:val="24"/>
                <w:szCs w:val="24"/>
              </w:rPr>
              <w:t>1,14</w:t>
            </w:r>
          </w:p>
        </w:tc>
        <w:tc>
          <w:tcPr>
            <w:tcW w:w="990" w:type="dxa"/>
            <w:tcBorders>
              <w:top w:val="nil"/>
              <w:left w:val="nil"/>
              <w:bottom w:val="single" w:sz="4" w:space="0" w:color="auto"/>
              <w:right w:val="single" w:sz="4" w:space="0" w:color="auto"/>
            </w:tcBorders>
            <w:vAlign w:val="center"/>
          </w:tcPr>
          <w:p w14:paraId="519B2013" w14:textId="77777777" w:rsidR="00DC5F42" w:rsidRPr="008E63BB" w:rsidRDefault="00DC5F42" w:rsidP="00885AB5">
            <w:pPr>
              <w:jc w:val="right"/>
              <w:rPr>
                <w:rFonts w:eastAsia="Times New Roman"/>
                <w:sz w:val="24"/>
                <w:szCs w:val="24"/>
              </w:rPr>
            </w:pPr>
            <w:r w:rsidRPr="008E63BB">
              <w:rPr>
                <w:rFonts w:eastAsia="Times New Roman"/>
                <w:sz w:val="24"/>
                <w:szCs w:val="24"/>
              </w:rPr>
              <w:t>1,14</w:t>
            </w:r>
          </w:p>
        </w:tc>
      </w:tr>
      <w:tr w:rsidR="008D5BFE" w:rsidRPr="008E63BB" w14:paraId="519B2020" w14:textId="77777777" w:rsidTr="00885AB5">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tcPr>
          <w:p w14:paraId="519B2015" w14:textId="77777777" w:rsidR="00DC5F42" w:rsidRPr="008E63BB" w:rsidRDefault="00DC5F42" w:rsidP="00885AB5">
            <w:pPr>
              <w:rPr>
                <w:rFonts w:eastAsia="Times New Roman"/>
                <w:sz w:val="24"/>
                <w:szCs w:val="24"/>
              </w:rPr>
            </w:pPr>
          </w:p>
        </w:tc>
        <w:tc>
          <w:tcPr>
            <w:tcW w:w="4962" w:type="dxa"/>
            <w:tcBorders>
              <w:top w:val="single" w:sz="4" w:space="0" w:color="auto"/>
              <w:left w:val="nil"/>
              <w:bottom w:val="single" w:sz="4" w:space="0" w:color="auto"/>
              <w:right w:val="single" w:sz="4" w:space="0" w:color="auto"/>
            </w:tcBorders>
            <w:vAlign w:val="center"/>
          </w:tcPr>
          <w:p w14:paraId="519B2016" w14:textId="77777777" w:rsidR="00DC5F42" w:rsidRPr="008E63BB" w:rsidRDefault="00DC5F42" w:rsidP="00885AB5">
            <w:pPr>
              <w:jc w:val="left"/>
              <w:rPr>
                <w:rFonts w:eastAsia="Times New Roman"/>
                <w:sz w:val="24"/>
                <w:szCs w:val="24"/>
              </w:rPr>
            </w:pPr>
            <w:r w:rsidRPr="008E63BB">
              <w:rPr>
                <w:rFonts w:eastAsia="Times New Roman"/>
                <w:sz w:val="24"/>
                <w:szCs w:val="24"/>
              </w:rPr>
              <w:t>Huyện Nam Trực</w:t>
            </w:r>
          </w:p>
        </w:tc>
        <w:tc>
          <w:tcPr>
            <w:tcW w:w="1040" w:type="dxa"/>
            <w:tcBorders>
              <w:top w:val="nil"/>
              <w:left w:val="single" w:sz="4" w:space="0" w:color="auto"/>
              <w:bottom w:val="single" w:sz="4" w:space="0" w:color="auto"/>
              <w:right w:val="single" w:sz="4" w:space="0" w:color="auto"/>
            </w:tcBorders>
            <w:shd w:val="clear" w:color="auto" w:fill="auto"/>
            <w:noWrap/>
            <w:vAlign w:val="center"/>
            <w:hideMark/>
          </w:tcPr>
          <w:p w14:paraId="519B2017" w14:textId="77777777" w:rsidR="00DC5F42" w:rsidRPr="008E63BB" w:rsidRDefault="00DC5F42" w:rsidP="00885AB5">
            <w:pPr>
              <w:jc w:val="right"/>
              <w:rPr>
                <w:rFonts w:eastAsia="Times New Roman"/>
                <w:sz w:val="24"/>
                <w:szCs w:val="24"/>
              </w:rPr>
            </w:pPr>
            <w:r w:rsidRPr="008E63BB">
              <w:rPr>
                <w:rFonts w:eastAsia="Times New Roman"/>
                <w:sz w:val="24"/>
                <w:szCs w:val="24"/>
              </w:rPr>
              <w:t>1,13</w:t>
            </w:r>
          </w:p>
        </w:tc>
        <w:tc>
          <w:tcPr>
            <w:tcW w:w="1170" w:type="dxa"/>
            <w:tcBorders>
              <w:top w:val="nil"/>
              <w:left w:val="nil"/>
              <w:bottom w:val="single" w:sz="4" w:space="0" w:color="auto"/>
              <w:right w:val="single" w:sz="4" w:space="0" w:color="auto"/>
            </w:tcBorders>
            <w:shd w:val="clear" w:color="auto" w:fill="auto"/>
            <w:noWrap/>
            <w:vAlign w:val="center"/>
            <w:hideMark/>
          </w:tcPr>
          <w:p w14:paraId="519B2018" w14:textId="77777777" w:rsidR="00DC5F42" w:rsidRPr="008E63BB" w:rsidRDefault="00DC5F42" w:rsidP="00885AB5">
            <w:pPr>
              <w:jc w:val="right"/>
              <w:rPr>
                <w:rFonts w:eastAsia="Times New Roman"/>
                <w:sz w:val="24"/>
                <w:szCs w:val="24"/>
              </w:rPr>
            </w:pPr>
            <w:r w:rsidRPr="008E63BB">
              <w:rPr>
                <w:rFonts w:eastAsia="Times New Roman"/>
                <w:sz w:val="24"/>
                <w:szCs w:val="24"/>
              </w:rPr>
              <w:t>1,19</w:t>
            </w:r>
          </w:p>
        </w:tc>
        <w:tc>
          <w:tcPr>
            <w:tcW w:w="990" w:type="dxa"/>
            <w:tcBorders>
              <w:top w:val="nil"/>
              <w:left w:val="nil"/>
              <w:bottom w:val="single" w:sz="4" w:space="0" w:color="auto"/>
              <w:right w:val="single" w:sz="4" w:space="0" w:color="auto"/>
            </w:tcBorders>
            <w:shd w:val="clear" w:color="auto" w:fill="auto"/>
            <w:noWrap/>
            <w:vAlign w:val="center"/>
            <w:hideMark/>
          </w:tcPr>
          <w:p w14:paraId="519B2019" w14:textId="77777777" w:rsidR="00DC5F42" w:rsidRPr="008E63BB" w:rsidRDefault="00DC5F42" w:rsidP="00885AB5">
            <w:pPr>
              <w:jc w:val="right"/>
              <w:rPr>
                <w:rFonts w:eastAsia="Times New Roman"/>
                <w:sz w:val="24"/>
                <w:szCs w:val="24"/>
              </w:rPr>
            </w:pPr>
            <w:r w:rsidRPr="008E63BB">
              <w:rPr>
                <w:rFonts w:eastAsia="Times New Roman"/>
                <w:sz w:val="24"/>
                <w:szCs w:val="24"/>
              </w:rPr>
              <w:t>1,60</w:t>
            </w:r>
          </w:p>
        </w:tc>
        <w:tc>
          <w:tcPr>
            <w:tcW w:w="1080" w:type="dxa"/>
            <w:tcBorders>
              <w:top w:val="nil"/>
              <w:left w:val="nil"/>
              <w:bottom w:val="single" w:sz="4" w:space="0" w:color="auto"/>
              <w:right w:val="single" w:sz="4" w:space="0" w:color="auto"/>
            </w:tcBorders>
            <w:shd w:val="clear" w:color="auto" w:fill="auto"/>
            <w:noWrap/>
            <w:vAlign w:val="center"/>
            <w:hideMark/>
          </w:tcPr>
          <w:p w14:paraId="519B201A" w14:textId="77777777" w:rsidR="00DC5F42" w:rsidRPr="008E63BB" w:rsidRDefault="00DC5F42" w:rsidP="00885AB5">
            <w:pPr>
              <w:jc w:val="right"/>
              <w:rPr>
                <w:rFonts w:eastAsia="Times New Roman"/>
                <w:sz w:val="24"/>
                <w:szCs w:val="24"/>
              </w:rPr>
            </w:pPr>
            <w:r w:rsidRPr="008E63BB">
              <w:rPr>
                <w:rFonts w:eastAsia="Times New Roman"/>
                <w:sz w:val="24"/>
                <w:szCs w:val="24"/>
              </w:rPr>
              <w:t>1,36</w:t>
            </w:r>
          </w:p>
        </w:tc>
        <w:tc>
          <w:tcPr>
            <w:tcW w:w="1260" w:type="dxa"/>
            <w:tcBorders>
              <w:top w:val="nil"/>
              <w:left w:val="nil"/>
              <w:bottom w:val="single" w:sz="4" w:space="0" w:color="auto"/>
              <w:right w:val="single" w:sz="4" w:space="0" w:color="auto"/>
            </w:tcBorders>
            <w:shd w:val="clear" w:color="auto" w:fill="auto"/>
            <w:noWrap/>
            <w:vAlign w:val="center"/>
            <w:hideMark/>
          </w:tcPr>
          <w:p w14:paraId="519B201B" w14:textId="77777777" w:rsidR="00DC5F42" w:rsidRPr="008E63BB" w:rsidRDefault="00DC5F42" w:rsidP="00885AB5">
            <w:pPr>
              <w:jc w:val="right"/>
              <w:rPr>
                <w:rFonts w:eastAsia="Times New Roman"/>
                <w:sz w:val="24"/>
                <w:szCs w:val="24"/>
              </w:rPr>
            </w:pPr>
            <w:r w:rsidRPr="008E63BB">
              <w:rPr>
                <w:rFonts w:eastAsia="Times New Roman"/>
                <w:sz w:val="24"/>
                <w:szCs w:val="24"/>
              </w:rPr>
              <w:t>1,31</w:t>
            </w:r>
          </w:p>
        </w:tc>
        <w:tc>
          <w:tcPr>
            <w:tcW w:w="1170" w:type="dxa"/>
            <w:tcBorders>
              <w:top w:val="nil"/>
              <w:left w:val="nil"/>
              <w:bottom w:val="single" w:sz="4" w:space="0" w:color="auto"/>
              <w:right w:val="single" w:sz="4" w:space="0" w:color="auto"/>
            </w:tcBorders>
            <w:shd w:val="clear" w:color="auto" w:fill="auto"/>
            <w:noWrap/>
            <w:vAlign w:val="center"/>
            <w:hideMark/>
          </w:tcPr>
          <w:p w14:paraId="519B201C" w14:textId="77777777" w:rsidR="00DC5F42" w:rsidRPr="008E63BB" w:rsidRDefault="00DC5F42" w:rsidP="00885AB5">
            <w:pPr>
              <w:jc w:val="right"/>
              <w:rPr>
                <w:rFonts w:eastAsia="Times New Roman"/>
                <w:sz w:val="24"/>
                <w:szCs w:val="24"/>
              </w:rPr>
            </w:pPr>
            <w:r w:rsidRPr="008E63BB">
              <w:rPr>
                <w:rFonts w:eastAsia="Times New Roman"/>
                <w:sz w:val="24"/>
                <w:szCs w:val="24"/>
              </w:rPr>
              <w:t>1,29</w:t>
            </w:r>
          </w:p>
        </w:tc>
        <w:tc>
          <w:tcPr>
            <w:tcW w:w="1170" w:type="dxa"/>
            <w:tcBorders>
              <w:top w:val="nil"/>
              <w:left w:val="nil"/>
              <w:bottom w:val="single" w:sz="4" w:space="0" w:color="auto"/>
              <w:right w:val="single" w:sz="4" w:space="0" w:color="auto"/>
            </w:tcBorders>
            <w:shd w:val="clear" w:color="auto" w:fill="auto"/>
            <w:noWrap/>
            <w:vAlign w:val="center"/>
            <w:hideMark/>
          </w:tcPr>
          <w:p w14:paraId="519B201D" w14:textId="77777777" w:rsidR="00DC5F42" w:rsidRPr="008E63BB" w:rsidRDefault="00DC5F42" w:rsidP="00885AB5">
            <w:pPr>
              <w:jc w:val="right"/>
              <w:rPr>
                <w:rFonts w:eastAsia="Times New Roman"/>
                <w:sz w:val="24"/>
                <w:szCs w:val="24"/>
              </w:rPr>
            </w:pPr>
            <w:r w:rsidRPr="008E63BB">
              <w:rPr>
                <w:rFonts w:eastAsia="Times New Roman"/>
                <w:sz w:val="24"/>
                <w:szCs w:val="24"/>
              </w:rPr>
              <w:t>1,21</w:t>
            </w:r>
          </w:p>
        </w:tc>
        <w:tc>
          <w:tcPr>
            <w:tcW w:w="1170" w:type="dxa"/>
            <w:tcBorders>
              <w:top w:val="nil"/>
              <w:left w:val="nil"/>
              <w:bottom w:val="single" w:sz="4" w:space="0" w:color="auto"/>
              <w:right w:val="single" w:sz="4" w:space="0" w:color="auto"/>
            </w:tcBorders>
            <w:shd w:val="clear" w:color="auto" w:fill="auto"/>
            <w:noWrap/>
            <w:vAlign w:val="center"/>
            <w:hideMark/>
          </w:tcPr>
          <w:p w14:paraId="519B201E" w14:textId="77777777" w:rsidR="00DC5F42" w:rsidRPr="008E63BB" w:rsidRDefault="00DC5F42" w:rsidP="00885AB5">
            <w:pPr>
              <w:jc w:val="right"/>
              <w:rPr>
                <w:rFonts w:eastAsia="Times New Roman"/>
                <w:sz w:val="24"/>
                <w:szCs w:val="24"/>
              </w:rPr>
            </w:pPr>
            <w:r w:rsidRPr="008E63BB">
              <w:rPr>
                <w:rFonts w:eastAsia="Times New Roman"/>
                <w:sz w:val="24"/>
                <w:szCs w:val="24"/>
              </w:rPr>
              <w:t>1,12</w:t>
            </w:r>
          </w:p>
        </w:tc>
        <w:tc>
          <w:tcPr>
            <w:tcW w:w="990" w:type="dxa"/>
            <w:tcBorders>
              <w:top w:val="nil"/>
              <w:left w:val="nil"/>
              <w:bottom w:val="single" w:sz="4" w:space="0" w:color="auto"/>
              <w:right w:val="single" w:sz="4" w:space="0" w:color="auto"/>
            </w:tcBorders>
            <w:vAlign w:val="center"/>
          </w:tcPr>
          <w:p w14:paraId="519B201F" w14:textId="77777777" w:rsidR="00DC5F42" w:rsidRPr="008E63BB" w:rsidRDefault="00DC5F42" w:rsidP="00885AB5">
            <w:pPr>
              <w:jc w:val="right"/>
              <w:rPr>
                <w:rFonts w:eastAsia="Times New Roman"/>
                <w:sz w:val="24"/>
                <w:szCs w:val="24"/>
              </w:rPr>
            </w:pPr>
            <w:r w:rsidRPr="008E63BB">
              <w:rPr>
                <w:rFonts w:eastAsia="Times New Roman"/>
                <w:sz w:val="24"/>
                <w:szCs w:val="24"/>
              </w:rPr>
              <w:t>1,12</w:t>
            </w:r>
          </w:p>
        </w:tc>
      </w:tr>
    </w:tbl>
    <w:p w14:paraId="519B2021" w14:textId="77777777" w:rsidR="00DC5F42" w:rsidRPr="008E63BB" w:rsidRDefault="00DC5F42" w:rsidP="00DC5F42">
      <w:pPr>
        <w:rPr>
          <w:i/>
        </w:rPr>
      </w:pPr>
      <w:r w:rsidRPr="008E63BB">
        <w:rPr>
          <w:rFonts w:eastAsia="Times New Roman"/>
          <w:bCs/>
          <w:i/>
          <w:sz w:val="24"/>
          <w:szCs w:val="24"/>
          <w:lang w:val="pt-BR" w:eastAsia="zh-CN"/>
        </w:rPr>
        <w:t>Nguồn: Tổng hợp số liệu từ n</w:t>
      </w:r>
      <w:r w:rsidRPr="008E63BB">
        <w:rPr>
          <w:i/>
        </w:rPr>
        <w:t>iên giám thống kê 2010-2018</w:t>
      </w:r>
    </w:p>
    <w:p w14:paraId="519B2022" w14:textId="77777777" w:rsidR="00DC5F42" w:rsidRPr="008E63BB" w:rsidRDefault="00DC5F42" w:rsidP="00DC5F42">
      <w:pPr>
        <w:jc w:val="right"/>
        <w:rPr>
          <w:i/>
        </w:rPr>
      </w:pPr>
    </w:p>
    <w:p w14:paraId="519B2023" w14:textId="77777777" w:rsidR="00DC5F42" w:rsidRPr="008E63BB" w:rsidRDefault="00DC5F42" w:rsidP="00DC5F42">
      <w:pPr>
        <w:rPr>
          <w:b/>
        </w:rPr>
      </w:pPr>
      <w:r w:rsidRPr="008E63BB">
        <w:rPr>
          <w:b/>
        </w:rPr>
        <w:t>Bảng dân số nội thị và tỷ lệ tăng dân số nội th</w:t>
      </w:r>
      <w:r w:rsidR="00E2603D" w:rsidRPr="008E63BB">
        <w:rPr>
          <w:b/>
        </w:rPr>
        <w:t>ành</w:t>
      </w:r>
      <w:r w:rsidRPr="008E63BB">
        <w:rPr>
          <w:b/>
        </w:rPr>
        <w:t xml:space="preserve"> giai đoạn 2010- 2019</w:t>
      </w:r>
    </w:p>
    <w:tbl>
      <w:tblPr>
        <w:tblW w:w="15824" w:type="dxa"/>
        <w:tblInd w:w="-998" w:type="dxa"/>
        <w:tblLook w:val="04A0" w:firstRow="1" w:lastRow="0" w:firstColumn="1" w:lastColumn="0" w:noHBand="0" w:noVBand="1"/>
      </w:tblPr>
      <w:tblGrid>
        <w:gridCol w:w="606"/>
        <w:gridCol w:w="2660"/>
        <w:gridCol w:w="1016"/>
        <w:gridCol w:w="1016"/>
        <w:gridCol w:w="1016"/>
        <w:gridCol w:w="1016"/>
        <w:gridCol w:w="1016"/>
        <w:gridCol w:w="1016"/>
        <w:gridCol w:w="1016"/>
        <w:gridCol w:w="1016"/>
        <w:gridCol w:w="1016"/>
        <w:gridCol w:w="1016"/>
        <w:gridCol w:w="794"/>
        <w:gridCol w:w="794"/>
        <w:gridCol w:w="810"/>
      </w:tblGrid>
      <w:tr w:rsidR="00E2603D" w:rsidRPr="008E63BB" w14:paraId="519B2033" w14:textId="77777777" w:rsidTr="00276AC0">
        <w:trPr>
          <w:trHeight w:val="330"/>
        </w:trPr>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024" w14:textId="77777777" w:rsidR="00E2603D" w:rsidRPr="008E63BB" w:rsidRDefault="00E2603D" w:rsidP="00276AC0">
            <w:pPr>
              <w:jc w:val="left"/>
              <w:rPr>
                <w:rFonts w:eastAsia="Times New Roman"/>
                <w:sz w:val="20"/>
                <w:szCs w:val="20"/>
              </w:rPr>
            </w:pPr>
            <w:r w:rsidRPr="008E63BB">
              <w:rPr>
                <w:rFonts w:eastAsia="Times New Roman"/>
                <w:sz w:val="20"/>
                <w:szCs w:val="20"/>
              </w:rPr>
              <w:t> TT</w:t>
            </w:r>
          </w:p>
        </w:tc>
        <w:tc>
          <w:tcPr>
            <w:tcW w:w="2660" w:type="dxa"/>
            <w:tcBorders>
              <w:top w:val="single" w:sz="4" w:space="0" w:color="auto"/>
              <w:left w:val="nil"/>
              <w:bottom w:val="single" w:sz="4" w:space="0" w:color="auto"/>
              <w:right w:val="single" w:sz="4" w:space="0" w:color="auto"/>
            </w:tcBorders>
            <w:shd w:val="clear" w:color="auto" w:fill="auto"/>
            <w:noWrap/>
            <w:vAlign w:val="center"/>
            <w:hideMark/>
          </w:tcPr>
          <w:p w14:paraId="519B2025" w14:textId="77777777" w:rsidR="00E2603D" w:rsidRPr="008E63BB" w:rsidRDefault="00E2603D" w:rsidP="00276AC0">
            <w:pPr>
              <w:jc w:val="center"/>
              <w:rPr>
                <w:rFonts w:eastAsia="Times New Roman"/>
                <w:sz w:val="20"/>
                <w:szCs w:val="20"/>
              </w:rPr>
            </w:pPr>
            <w:r w:rsidRPr="008E63BB">
              <w:rPr>
                <w:rFonts w:eastAsia="Times New Roman"/>
                <w:sz w:val="20"/>
                <w:szCs w:val="20"/>
              </w:rPr>
              <w:t>Danh mục</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6" w14:textId="77777777" w:rsidR="00E2603D" w:rsidRPr="008E63BB" w:rsidRDefault="00E2603D" w:rsidP="00276AC0">
            <w:pPr>
              <w:jc w:val="center"/>
              <w:rPr>
                <w:rFonts w:eastAsia="Times New Roman"/>
                <w:sz w:val="20"/>
                <w:szCs w:val="20"/>
              </w:rPr>
            </w:pPr>
            <w:r w:rsidRPr="008E63BB">
              <w:rPr>
                <w:rFonts w:eastAsia="Times New Roman"/>
                <w:sz w:val="20"/>
                <w:szCs w:val="20"/>
              </w:rPr>
              <w:t>2010</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7" w14:textId="77777777" w:rsidR="00E2603D" w:rsidRPr="008E63BB" w:rsidRDefault="00E2603D" w:rsidP="00276AC0">
            <w:pPr>
              <w:jc w:val="center"/>
              <w:rPr>
                <w:rFonts w:eastAsia="Times New Roman"/>
                <w:sz w:val="20"/>
                <w:szCs w:val="20"/>
              </w:rPr>
            </w:pPr>
            <w:r w:rsidRPr="008E63BB">
              <w:rPr>
                <w:rFonts w:eastAsia="Times New Roman"/>
                <w:sz w:val="20"/>
                <w:szCs w:val="20"/>
              </w:rPr>
              <w:t>2011</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8" w14:textId="77777777" w:rsidR="00E2603D" w:rsidRPr="008E63BB" w:rsidRDefault="00E2603D" w:rsidP="00276AC0">
            <w:pPr>
              <w:jc w:val="center"/>
              <w:rPr>
                <w:rFonts w:eastAsia="Times New Roman"/>
                <w:sz w:val="20"/>
                <w:szCs w:val="20"/>
              </w:rPr>
            </w:pPr>
            <w:r w:rsidRPr="008E63BB">
              <w:rPr>
                <w:rFonts w:eastAsia="Times New Roman"/>
                <w:sz w:val="20"/>
                <w:szCs w:val="20"/>
              </w:rPr>
              <w:t>2012</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9" w14:textId="77777777" w:rsidR="00E2603D" w:rsidRPr="008E63BB" w:rsidRDefault="00E2603D" w:rsidP="00276AC0">
            <w:pPr>
              <w:jc w:val="center"/>
              <w:rPr>
                <w:rFonts w:eastAsia="Times New Roman"/>
                <w:sz w:val="20"/>
                <w:szCs w:val="20"/>
              </w:rPr>
            </w:pPr>
            <w:r w:rsidRPr="008E63BB">
              <w:rPr>
                <w:rFonts w:eastAsia="Times New Roman"/>
                <w:sz w:val="20"/>
                <w:szCs w:val="20"/>
              </w:rPr>
              <w:t>2013</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A" w14:textId="77777777" w:rsidR="00E2603D" w:rsidRPr="008E63BB" w:rsidRDefault="00E2603D" w:rsidP="00276AC0">
            <w:pPr>
              <w:jc w:val="center"/>
              <w:rPr>
                <w:rFonts w:eastAsia="Times New Roman"/>
                <w:sz w:val="20"/>
                <w:szCs w:val="20"/>
              </w:rPr>
            </w:pPr>
            <w:r w:rsidRPr="008E63BB">
              <w:rPr>
                <w:rFonts w:eastAsia="Times New Roman"/>
                <w:sz w:val="20"/>
                <w:szCs w:val="20"/>
              </w:rPr>
              <w:t>2014</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B" w14:textId="77777777" w:rsidR="00E2603D" w:rsidRPr="008E63BB" w:rsidRDefault="00E2603D" w:rsidP="00276AC0">
            <w:pPr>
              <w:jc w:val="center"/>
              <w:rPr>
                <w:rFonts w:eastAsia="Times New Roman"/>
                <w:sz w:val="20"/>
                <w:szCs w:val="20"/>
              </w:rPr>
            </w:pPr>
            <w:r w:rsidRPr="008E63BB">
              <w:rPr>
                <w:rFonts w:eastAsia="Times New Roman"/>
                <w:sz w:val="20"/>
                <w:szCs w:val="20"/>
              </w:rPr>
              <w:t>2015</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C" w14:textId="77777777" w:rsidR="00E2603D" w:rsidRPr="008E63BB" w:rsidRDefault="00E2603D" w:rsidP="00276AC0">
            <w:pPr>
              <w:jc w:val="center"/>
              <w:rPr>
                <w:rFonts w:eastAsia="Times New Roman"/>
                <w:sz w:val="20"/>
                <w:szCs w:val="20"/>
              </w:rPr>
            </w:pPr>
            <w:r w:rsidRPr="008E63BB">
              <w:rPr>
                <w:rFonts w:eastAsia="Times New Roman"/>
                <w:sz w:val="20"/>
                <w:szCs w:val="20"/>
              </w:rPr>
              <w:t>2016</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D" w14:textId="77777777" w:rsidR="00E2603D" w:rsidRPr="008E63BB" w:rsidRDefault="00E2603D" w:rsidP="00276AC0">
            <w:pPr>
              <w:jc w:val="center"/>
              <w:rPr>
                <w:rFonts w:eastAsia="Times New Roman"/>
                <w:sz w:val="20"/>
                <w:szCs w:val="20"/>
              </w:rPr>
            </w:pPr>
            <w:r w:rsidRPr="008E63BB">
              <w:rPr>
                <w:rFonts w:eastAsia="Times New Roman"/>
                <w:sz w:val="20"/>
                <w:szCs w:val="20"/>
              </w:rPr>
              <w:t>2017</w:t>
            </w:r>
          </w:p>
        </w:tc>
        <w:tc>
          <w:tcPr>
            <w:tcW w:w="1016" w:type="dxa"/>
            <w:tcBorders>
              <w:top w:val="single" w:sz="4" w:space="0" w:color="auto"/>
              <w:left w:val="nil"/>
              <w:bottom w:val="single" w:sz="4" w:space="0" w:color="auto"/>
              <w:right w:val="single" w:sz="4" w:space="0" w:color="auto"/>
            </w:tcBorders>
            <w:shd w:val="clear" w:color="auto" w:fill="auto"/>
            <w:noWrap/>
            <w:vAlign w:val="center"/>
            <w:hideMark/>
          </w:tcPr>
          <w:p w14:paraId="519B202E" w14:textId="77777777" w:rsidR="00E2603D" w:rsidRPr="008E63BB" w:rsidRDefault="00E2603D" w:rsidP="00276AC0">
            <w:pPr>
              <w:jc w:val="center"/>
              <w:rPr>
                <w:rFonts w:eastAsia="Times New Roman"/>
                <w:sz w:val="20"/>
                <w:szCs w:val="20"/>
              </w:rPr>
            </w:pPr>
            <w:r w:rsidRPr="008E63BB">
              <w:rPr>
                <w:rFonts w:eastAsia="Times New Roman"/>
                <w:sz w:val="20"/>
                <w:szCs w:val="20"/>
              </w:rPr>
              <w:t>2018</w:t>
            </w:r>
          </w:p>
        </w:tc>
        <w:tc>
          <w:tcPr>
            <w:tcW w:w="1016" w:type="dxa"/>
            <w:tcBorders>
              <w:top w:val="single" w:sz="4" w:space="0" w:color="auto"/>
              <w:left w:val="nil"/>
              <w:bottom w:val="single" w:sz="4" w:space="0" w:color="auto"/>
              <w:right w:val="nil"/>
            </w:tcBorders>
            <w:vAlign w:val="center"/>
          </w:tcPr>
          <w:p w14:paraId="519B202F" w14:textId="77777777" w:rsidR="00E2603D" w:rsidRPr="008E63BB" w:rsidRDefault="00E2603D" w:rsidP="00276AC0">
            <w:pPr>
              <w:jc w:val="center"/>
              <w:rPr>
                <w:rFonts w:eastAsia="Times New Roman"/>
                <w:sz w:val="20"/>
                <w:szCs w:val="20"/>
              </w:rPr>
            </w:pPr>
            <w:r w:rsidRPr="008E63BB">
              <w:rPr>
                <w:rFonts w:eastAsia="Times New Roman"/>
                <w:sz w:val="20"/>
                <w:szCs w:val="20"/>
              </w:rPr>
              <w:t>2019</w:t>
            </w:r>
          </w:p>
        </w:tc>
        <w:tc>
          <w:tcPr>
            <w:tcW w:w="794" w:type="dxa"/>
            <w:tcBorders>
              <w:top w:val="single" w:sz="4" w:space="0" w:color="auto"/>
              <w:left w:val="single" w:sz="4" w:space="0" w:color="auto"/>
              <w:bottom w:val="single" w:sz="4" w:space="0" w:color="auto"/>
              <w:right w:val="single" w:sz="4" w:space="0" w:color="auto"/>
            </w:tcBorders>
          </w:tcPr>
          <w:p w14:paraId="519B2030" w14:textId="77777777" w:rsidR="00E2603D" w:rsidRPr="008E63BB" w:rsidRDefault="00E2603D" w:rsidP="00276AC0">
            <w:pPr>
              <w:jc w:val="center"/>
              <w:rPr>
                <w:rFonts w:eastAsia="Times New Roman"/>
                <w:sz w:val="20"/>
                <w:szCs w:val="20"/>
              </w:rPr>
            </w:pPr>
            <w:r w:rsidRPr="008E63BB">
              <w:rPr>
                <w:rFonts w:eastAsia="Times New Roman"/>
                <w:sz w:val="20"/>
                <w:szCs w:val="20"/>
              </w:rPr>
              <w:t>2010-2014</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031" w14:textId="77777777" w:rsidR="00E2603D" w:rsidRPr="008E63BB" w:rsidRDefault="00E2603D" w:rsidP="00276AC0">
            <w:pPr>
              <w:jc w:val="center"/>
              <w:rPr>
                <w:rFonts w:eastAsia="Times New Roman"/>
                <w:sz w:val="20"/>
                <w:szCs w:val="20"/>
              </w:rPr>
            </w:pPr>
            <w:r w:rsidRPr="008E63BB">
              <w:rPr>
                <w:rFonts w:eastAsia="Times New Roman"/>
                <w:sz w:val="20"/>
                <w:szCs w:val="20"/>
              </w:rPr>
              <w:t>2014-2019</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519B2032" w14:textId="77777777" w:rsidR="00E2603D" w:rsidRPr="008E63BB" w:rsidRDefault="00E2603D" w:rsidP="00276AC0">
            <w:pPr>
              <w:jc w:val="center"/>
              <w:rPr>
                <w:rFonts w:eastAsia="Times New Roman"/>
                <w:sz w:val="20"/>
                <w:szCs w:val="20"/>
              </w:rPr>
            </w:pPr>
            <w:r w:rsidRPr="008E63BB">
              <w:rPr>
                <w:rFonts w:eastAsia="Times New Roman"/>
                <w:sz w:val="20"/>
                <w:szCs w:val="20"/>
              </w:rPr>
              <w:t>2010-2019</w:t>
            </w:r>
          </w:p>
        </w:tc>
      </w:tr>
      <w:tr w:rsidR="00E2603D" w:rsidRPr="008E63BB" w14:paraId="519B2043" w14:textId="77777777" w:rsidTr="00276AC0">
        <w:trPr>
          <w:trHeight w:val="330"/>
        </w:trPr>
        <w:tc>
          <w:tcPr>
            <w:tcW w:w="606" w:type="dxa"/>
            <w:tcBorders>
              <w:top w:val="nil"/>
              <w:left w:val="single" w:sz="4" w:space="0" w:color="auto"/>
              <w:bottom w:val="single" w:sz="4" w:space="0" w:color="auto"/>
              <w:right w:val="single" w:sz="4" w:space="0" w:color="auto"/>
            </w:tcBorders>
            <w:shd w:val="clear" w:color="auto" w:fill="auto"/>
            <w:noWrap/>
            <w:vAlign w:val="center"/>
            <w:hideMark/>
          </w:tcPr>
          <w:p w14:paraId="519B2034" w14:textId="77777777" w:rsidR="00E2603D" w:rsidRPr="008E63BB" w:rsidRDefault="00E2603D" w:rsidP="00276AC0">
            <w:pPr>
              <w:jc w:val="center"/>
              <w:rPr>
                <w:rFonts w:eastAsia="Times New Roman"/>
                <w:sz w:val="20"/>
                <w:szCs w:val="20"/>
              </w:rPr>
            </w:pPr>
            <w:r w:rsidRPr="008E63BB">
              <w:rPr>
                <w:rFonts w:eastAsia="Times New Roman"/>
                <w:sz w:val="20"/>
                <w:szCs w:val="20"/>
              </w:rPr>
              <w:t>1</w:t>
            </w:r>
          </w:p>
        </w:tc>
        <w:tc>
          <w:tcPr>
            <w:tcW w:w="2660" w:type="dxa"/>
            <w:tcBorders>
              <w:top w:val="nil"/>
              <w:left w:val="nil"/>
              <w:bottom w:val="single" w:sz="4" w:space="0" w:color="auto"/>
              <w:right w:val="single" w:sz="4" w:space="0" w:color="auto"/>
            </w:tcBorders>
            <w:shd w:val="clear" w:color="auto" w:fill="auto"/>
            <w:vAlign w:val="center"/>
            <w:hideMark/>
          </w:tcPr>
          <w:p w14:paraId="519B2035" w14:textId="77777777" w:rsidR="00E2603D" w:rsidRPr="008E63BB" w:rsidRDefault="00E2603D" w:rsidP="00276AC0">
            <w:pPr>
              <w:jc w:val="left"/>
              <w:rPr>
                <w:rFonts w:eastAsia="Times New Roman"/>
                <w:sz w:val="20"/>
                <w:szCs w:val="20"/>
              </w:rPr>
            </w:pPr>
            <w:r w:rsidRPr="008E63BB">
              <w:rPr>
                <w:rFonts w:eastAsia="Times New Roman"/>
                <w:sz w:val="20"/>
                <w:szCs w:val="20"/>
              </w:rPr>
              <w:t>Toàn tỉnh Nam Định</w:t>
            </w:r>
          </w:p>
        </w:tc>
        <w:tc>
          <w:tcPr>
            <w:tcW w:w="1016" w:type="dxa"/>
            <w:tcBorders>
              <w:top w:val="nil"/>
              <w:left w:val="nil"/>
              <w:bottom w:val="single" w:sz="4" w:space="0" w:color="auto"/>
              <w:right w:val="single" w:sz="4" w:space="0" w:color="auto"/>
            </w:tcBorders>
            <w:shd w:val="clear" w:color="auto" w:fill="auto"/>
            <w:noWrap/>
            <w:vAlign w:val="center"/>
            <w:hideMark/>
          </w:tcPr>
          <w:p w14:paraId="519B2036" w14:textId="77777777" w:rsidR="00E2603D" w:rsidRPr="008E63BB" w:rsidRDefault="00E2603D" w:rsidP="00276AC0">
            <w:pPr>
              <w:jc w:val="right"/>
              <w:rPr>
                <w:rFonts w:eastAsia="Times New Roman"/>
                <w:sz w:val="20"/>
                <w:szCs w:val="20"/>
              </w:rPr>
            </w:pPr>
            <w:r w:rsidRPr="008E63BB">
              <w:rPr>
                <w:rFonts w:eastAsia="Times New Roman"/>
                <w:sz w:val="20"/>
                <w:szCs w:val="20"/>
              </w:rPr>
              <w:t>326.207</w:t>
            </w:r>
          </w:p>
        </w:tc>
        <w:tc>
          <w:tcPr>
            <w:tcW w:w="1016" w:type="dxa"/>
            <w:tcBorders>
              <w:top w:val="nil"/>
              <w:left w:val="nil"/>
              <w:bottom w:val="single" w:sz="4" w:space="0" w:color="auto"/>
              <w:right w:val="single" w:sz="4" w:space="0" w:color="auto"/>
            </w:tcBorders>
            <w:shd w:val="clear" w:color="auto" w:fill="auto"/>
            <w:noWrap/>
            <w:vAlign w:val="center"/>
            <w:hideMark/>
          </w:tcPr>
          <w:p w14:paraId="519B2037" w14:textId="77777777" w:rsidR="00E2603D" w:rsidRPr="008E63BB" w:rsidRDefault="00E2603D" w:rsidP="00276AC0">
            <w:pPr>
              <w:jc w:val="right"/>
              <w:rPr>
                <w:rFonts w:eastAsia="Times New Roman"/>
                <w:sz w:val="20"/>
                <w:szCs w:val="20"/>
              </w:rPr>
            </w:pPr>
            <w:r w:rsidRPr="008E63BB">
              <w:rPr>
                <w:rFonts w:eastAsia="Times New Roman"/>
                <w:sz w:val="20"/>
                <w:szCs w:val="20"/>
              </w:rPr>
              <w:t>329.500</w:t>
            </w:r>
          </w:p>
        </w:tc>
        <w:tc>
          <w:tcPr>
            <w:tcW w:w="1016" w:type="dxa"/>
            <w:tcBorders>
              <w:top w:val="nil"/>
              <w:left w:val="nil"/>
              <w:bottom w:val="single" w:sz="4" w:space="0" w:color="auto"/>
              <w:right w:val="single" w:sz="4" w:space="0" w:color="auto"/>
            </w:tcBorders>
            <w:shd w:val="clear" w:color="auto" w:fill="auto"/>
            <w:noWrap/>
            <w:vAlign w:val="center"/>
            <w:hideMark/>
          </w:tcPr>
          <w:p w14:paraId="519B2038" w14:textId="77777777" w:rsidR="00E2603D" w:rsidRPr="008E63BB" w:rsidRDefault="00E2603D" w:rsidP="00276AC0">
            <w:pPr>
              <w:jc w:val="right"/>
              <w:rPr>
                <w:rFonts w:eastAsia="Times New Roman"/>
                <w:sz w:val="20"/>
                <w:szCs w:val="20"/>
              </w:rPr>
            </w:pPr>
            <w:r w:rsidRPr="008E63BB">
              <w:rPr>
                <w:rFonts w:eastAsia="Times New Roman"/>
                <w:sz w:val="20"/>
                <w:szCs w:val="20"/>
              </w:rPr>
              <w:t>331.412</w:t>
            </w:r>
          </w:p>
        </w:tc>
        <w:tc>
          <w:tcPr>
            <w:tcW w:w="1016" w:type="dxa"/>
            <w:tcBorders>
              <w:top w:val="nil"/>
              <w:left w:val="nil"/>
              <w:bottom w:val="single" w:sz="4" w:space="0" w:color="auto"/>
              <w:right w:val="single" w:sz="4" w:space="0" w:color="auto"/>
            </w:tcBorders>
            <w:shd w:val="clear" w:color="auto" w:fill="auto"/>
            <w:noWrap/>
            <w:vAlign w:val="center"/>
            <w:hideMark/>
          </w:tcPr>
          <w:p w14:paraId="519B2039" w14:textId="77777777" w:rsidR="00E2603D" w:rsidRPr="008E63BB" w:rsidRDefault="00E2603D" w:rsidP="00276AC0">
            <w:pPr>
              <w:jc w:val="right"/>
              <w:rPr>
                <w:rFonts w:eastAsia="Times New Roman"/>
                <w:sz w:val="20"/>
                <w:szCs w:val="20"/>
              </w:rPr>
            </w:pPr>
            <w:r w:rsidRPr="008E63BB">
              <w:rPr>
                <w:rFonts w:eastAsia="Times New Roman"/>
                <w:sz w:val="20"/>
                <w:szCs w:val="20"/>
              </w:rPr>
              <w:t>333.292</w:t>
            </w:r>
          </w:p>
        </w:tc>
        <w:tc>
          <w:tcPr>
            <w:tcW w:w="1016" w:type="dxa"/>
            <w:tcBorders>
              <w:top w:val="nil"/>
              <w:left w:val="nil"/>
              <w:bottom w:val="single" w:sz="4" w:space="0" w:color="auto"/>
              <w:right w:val="single" w:sz="4" w:space="0" w:color="auto"/>
            </w:tcBorders>
            <w:shd w:val="clear" w:color="auto" w:fill="auto"/>
            <w:noWrap/>
            <w:vAlign w:val="center"/>
            <w:hideMark/>
          </w:tcPr>
          <w:p w14:paraId="519B203A" w14:textId="77777777" w:rsidR="00E2603D" w:rsidRPr="008E63BB" w:rsidRDefault="00E2603D" w:rsidP="00276AC0">
            <w:pPr>
              <w:jc w:val="right"/>
              <w:rPr>
                <w:rFonts w:eastAsia="Times New Roman"/>
                <w:sz w:val="20"/>
                <w:szCs w:val="20"/>
              </w:rPr>
            </w:pPr>
            <w:r w:rsidRPr="008E63BB">
              <w:rPr>
                <w:rFonts w:eastAsia="Times New Roman"/>
                <w:sz w:val="20"/>
                <w:szCs w:val="20"/>
              </w:rPr>
              <w:t>335.895</w:t>
            </w:r>
          </w:p>
        </w:tc>
        <w:tc>
          <w:tcPr>
            <w:tcW w:w="1016" w:type="dxa"/>
            <w:tcBorders>
              <w:top w:val="nil"/>
              <w:left w:val="nil"/>
              <w:bottom w:val="single" w:sz="4" w:space="0" w:color="auto"/>
              <w:right w:val="single" w:sz="4" w:space="0" w:color="auto"/>
            </w:tcBorders>
            <w:shd w:val="clear" w:color="auto" w:fill="auto"/>
            <w:noWrap/>
            <w:vAlign w:val="center"/>
            <w:hideMark/>
          </w:tcPr>
          <w:p w14:paraId="519B203B" w14:textId="77777777" w:rsidR="00E2603D" w:rsidRPr="008E63BB" w:rsidRDefault="00E2603D" w:rsidP="00276AC0">
            <w:pPr>
              <w:jc w:val="right"/>
              <w:rPr>
                <w:rFonts w:eastAsia="Times New Roman"/>
                <w:sz w:val="20"/>
                <w:szCs w:val="20"/>
              </w:rPr>
            </w:pPr>
            <w:r w:rsidRPr="008E63BB">
              <w:rPr>
                <w:rFonts w:eastAsia="Times New Roman"/>
                <w:sz w:val="20"/>
                <w:szCs w:val="20"/>
              </w:rPr>
              <w:t>338.127</w:t>
            </w:r>
          </w:p>
        </w:tc>
        <w:tc>
          <w:tcPr>
            <w:tcW w:w="1016" w:type="dxa"/>
            <w:tcBorders>
              <w:top w:val="nil"/>
              <w:left w:val="nil"/>
              <w:bottom w:val="single" w:sz="4" w:space="0" w:color="auto"/>
              <w:right w:val="single" w:sz="4" w:space="0" w:color="auto"/>
            </w:tcBorders>
            <w:shd w:val="clear" w:color="auto" w:fill="auto"/>
            <w:noWrap/>
            <w:vAlign w:val="center"/>
            <w:hideMark/>
          </w:tcPr>
          <w:p w14:paraId="519B203C" w14:textId="77777777" w:rsidR="00E2603D" w:rsidRPr="008E63BB" w:rsidRDefault="00E2603D" w:rsidP="00276AC0">
            <w:pPr>
              <w:jc w:val="right"/>
              <w:rPr>
                <w:rFonts w:eastAsia="Times New Roman"/>
                <w:sz w:val="20"/>
                <w:szCs w:val="20"/>
              </w:rPr>
            </w:pPr>
            <w:r w:rsidRPr="008E63BB">
              <w:rPr>
                <w:rFonts w:eastAsia="Times New Roman"/>
                <w:sz w:val="20"/>
                <w:szCs w:val="20"/>
              </w:rPr>
              <w:t>338.727</w:t>
            </w:r>
          </w:p>
        </w:tc>
        <w:tc>
          <w:tcPr>
            <w:tcW w:w="1016" w:type="dxa"/>
            <w:tcBorders>
              <w:top w:val="nil"/>
              <w:left w:val="nil"/>
              <w:bottom w:val="single" w:sz="4" w:space="0" w:color="auto"/>
              <w:right w:val="single" w:sz="4" w:space="0" w:color="auto"/>
            </w:tcBorders>
            <w:shd w:val="clear" w:color="auto" w:fill="auto"/>
            <w:noWrap/>
            <w:vAlign w:val="center"/>
            <w:hideMark/>
          </w:tcPr>
          <w:p w14:paraId="519B203D" w14:textId="77777777" w:rsidR="00E2603D" w:rsidRPr="008E63BB" w:rsidRDefault="00E2603D" w:rsidP="00276AC0">
            <w:pPr>
              <w:jc w:val="right"/>
              <w:rPr>
                <w:rFonts w:eastAsia="Times New Roman"/>
                <w:sz w:val="20"/>
                <w:szCs w:val="20"/>
              </w:rPr>
            </w:pPr>
            <w:r w:rsidRPr="008E63BB">
              <w:rPr>
                <w:rFonts w:eastAsia="Times New Roman"/>
                <w:sz w:val="20"/>
                <w:szCs w:val="20"/>
              </w:rPr>
              <w:t>339.116</w:t>
            </w:r>
          </w:p>
        </w:tc>
        <w:tc>
          <w:tcPr>
            <w:tcW w:w="1016" w:type="dxa"/>
            <w:tcBorders>
              <w:top w:val="nil"/>
              <w:left w:val="nil"/>
              <w:bottom w:val="single" w:sz="4" w:space="0" w:color="auto"/>
              <w:right w:val="single" w:sz="4" w:space="0" w:color="auto"/>
            </w:tcBorders>
            <w:shd w:val="clear" w:color="auto" w:fill="auto"/>
            <w:noWrap/>
            <w:vAlign w:val="center"/>
          </w:tcPr>
          <w:p w14:paraId="519B203E" w14:textId="77777777" w:rsidR="00E2603D" w:rsidRPr="008E63BB" w:rsidRDefault="00E2603D" w:rsidP="00276AC0">
            <w:pPr>
              <w:jc w:val="right"/>
              <w:rPr>
                <w:rFonts w:eastAsia="Times New Roman"/>
                <w:sz w:val="20"/>
                <w:szCs w:val="20"/>
              </w:rPr>
            </w:pPr>
            <w:r w:rsidRPr="008E63BB">
              <w:rPr>
                <w:rFonts w:eastAsia="Times New Roman"/>
                <w:sz w:val="20"/>
                <w:szCs w:val="20"/>
              </w:rPr>
              <w:t>323.654</w:t>
            </w:r>
          </w:p>
        </w:tc>
        <w:tc>
          <w:tcPr>
            <w:tcW w:w="1016" w:type="dxa"/>
            <w:tcBorders>
              <w:top w:val="single" w:sz="4" w:space="0" w:color="auto"/>
              <w:left w:val="nil"/>
              <w:bottom w:val="single" w:sz="4" w:space="0" w:color="auto"/>
              <w:right w:val="nil"/>
            </w:tcBorders>
            <w:vAlign w:val="center"/>
          </w:tcPr>
          <w:p w14:paraId="519B203F" w14:textId="77777777" w:rsidR="00E2603D" w:rsidRPr="008E63BB" w:rsidRDefault="00E2603D" w:rsidP="00276AC0">
            <w:pPr>
              <w:jc w:val="right"/>
              <w:rPr>
                <w:rFonts w:eastAsia="Times New Roman"/>
                <w:sz w:val="20"/>
                <w:szCs w:val="20"/>
              </w:rPr>
            </w:pPr>
            <w:r w:rsidRPr="008E63BB">
              <w:rPr>
                <w:rFonts w:eastAsia="Times New Roman"/>
                <w:sz w:val="20"/>
                <w:szCs w:val="20"/>
              </w:rPr>
              <w:t>339.019</w:t>
            </w:r>
          </w:p>
        </w:tc>
        <w:tc>
          <w:tcPr>
            <w:tcW w:w="794" w:type="dxa"/>
            <w:tcBorders>
              <w:top w:val="nil"/>
              <w:left w:val="single" w:sz="4" w:space="0" w:color="auto"/>
              <w:bottom w:val="single" w:sz="4" w:space="0" w:color="auto"/>
              <w:right w:val="single" w:sz="4" w:space="0" w:color="auto"/>
            </w:tcBorders>
            <w:vAlign w:val="center"/>
          </w:tcPr>
          <w:p w14:paraId="519B2040" w14:textId="77777777" w:rsidR="00E2603D" w:rsidRPr="008E63BB" w:rsidRDefault="00E2603D" w:rsidP="00276AC0">
            <w:pPr>
              <w:jc w:val="right"/>
              <w:rPr>
                <w:rFonts w:eastAsia="Times New Roman"/>
                <w:sz w:val="20"/>
                <w:szCs w:val="20"/>
              </w:rPr>
            </w:pPr>
            <w:r w:rsidRPr="008E63BB">
              <w:rPr>
                <w:sz w:val="20"/>
                <w:szCs w:val="20"/>
              </w:rPr>
              <w:t>-0,23</w:t>
            </w:r>
          </w:p>
        </w:tc>
        <w:tc>
          <w:tcPr>
            <w:tcW w:w="794" w:type="dxa"/>
            <w:tcBorders>
              <w:top w:val="nil"/>
              <w:left w:val="single" w:sz="4" w:space="0" w:color="auto"/>
              <w:bottom w:val="single" w:sz="4" w:space="0" w:color="auto"/>
              <w:right w:val="single" w:sz="4" w:space="0" w:color="auto"/>
            </w:tcBorders>
            <w:shd w:val="clear" w:color="auto" w:fill="auto"/>
            <w:noWrap/>
            <w:vAlign w:val="center"/>
            <w:hideMark/>
          </w:tcPr>
          <w:p w14:paraId="519B2041" w14:textId="77777777" w:rsidR="00E2603D" w:rsidRPr="008E63BB" w:rsidRDefault="00E2603D" w:rsidP="00276AC0">
            <w:pPr>
              <w:jc w:val="right"/>
              <w:rPr>
                <w:rFonts w:eastAsia="Times New Roman"/>
                <w:sz w:val="20"/>
                <w:szCs w:val="20"/>
              </w:rPr>
            </w:pPr>
            <w:r w:rsidRPr="008E63BB">
              <w:rPr>
                <w:sz w:val="20"/>
                <w:szCs w:val="20"/>
              </w:rPr>
              <w:t>0,19</w:t>
            </w:r>
          </w:p>
        </w:tc>
        <w:tc>
          <w:tcPr>
            <w:tcW w:w="810" w:type="dxa"/>
            <w:tcBorders>
              <w:top w:val="nil"/>
              <w:left w:val="nil"/>
              <w:bottom w:val="single" w:sz="4" w:space="0" w:color="auto"/>
              <w:right w:val="single" w:sz="4" w:space="0" w:color="auto"/>
            </w:tcBorders>
            <w:shd w:val="clear" w:color="auto" w:fill="auto"/>
            <w:noWrap/>
            <w:vAlign w:val="center"/>
            <w:hideMark/>
          </w:tcPr>
          <w:p w14:paraId="519B2042" w14:textId="77777777" w:rsidR="00E2603D" w:rsidRPr="008E63BB" w:rsidRDefault="00E2603D" w:rsidP="00276AC0">
            <w:pPr>
              <w:jc w:val="right"/>
              <w:rPr>
                <w:rFonts w:eastAsia="Times New Roman"/>
                <w:sz w:val="20"/>
                <w:szCs w:val="20"/>
              </w:rPr>
            </w:pPr>
            <w:r w:rsidRPr="008E63BB">
              <w:rPr>
                <w:sz w:val="20"/>
                <w:szCs w:val="20"/>
              </w:rPr>
              <w:t>-0,002</w:t>
            </w:r>
          </w:p>
        </w:tc>
      </w:tr>
      <w:tr w:rsidR="00E2603D" w:rsidRPr="008E63BB" w14:paraId="519B2053" w14:textId="77777777" w:rsidTr="00276AC0">
        <w:trPr>
          <w:trHeight w:val="330"/>
        </w:trPr>
        <w:tc>
          <w:tcPr>
            <w:tcW w:w="606" w:type="dxa"/>
            <w:tcBorders>
              <w:top w:val="nil"/>
              <w:left w:val="single" w:sz="4" w:space="0" w:color="auto"/>
              <w:bottom w:val="single" w:sz="4" w:space="0" w:color="auto"/>
              <w:right w:val="single" w:sz="4" w:space="0" w:color="auto"/>
            </w:tcBorders>
            <w:shd w:val="clear" w:color="auto" w:fill="auto"/>
            <w:noWrap/>
            <w:vAlign w:val="center"/>
            <w:hideMark/>
          </w:tcPr>
          <w:p w14:paraId="519B2044" w14:textId="77777777" w:rsidR="00E2603D" w:rsidRPr="008E63BB" w:rsidRDefault="00E2603D" w:rsidP="00276AC0">
            <w:pPr>
              <w:jc w:val="center"/>
              <w:rPr>
                <w:rFonts w:eastAsia="Times New Roman"/>
                <w:sz w:val="20"/>
                <w:szCs w:val="20"/>
              </w:rPr>
            </w:pPr>
            <w:r w:rsidRPr="008E63BB">
              <w:rPr>
                <w:rFonts w:eastAsia="Times New Roman"/>
                <w:sz w:val="20"/>
                <w:szCs w:val="20"/>
              </w:rPr>
              <w:t>2</w:t>
            </w:r>
          </w:p>
        </w:tc>
        <w:tc>
          <w:tcPr>
            <w:tcW w:w="2660" w:type="dxa"/>
            <w:tcBorders>
              <w:top w:val="nil"/>
              <w:left w:val="nil"/>
              <w:bottom w:val="single" w:sz="4" w:space="0" w:color="auto"/>
              <w:right w:val="single" w:sz="4" w:space="0" w:color="auto"/>
            </w:tcBorders>
            <w:shd w:val="clear" w:color="auto" w:fill="auto"/>
            <w:vAlign w:val="center"/>
            <w:hideMark/>
          </w:tcPr>
          <w:p w14:paraId="519B2045" w14:textId="77777777" w:rsidR="00E2603D" w:rsidRPr="008E63BB" w:rsidRDefault="00E2603D" w:rsidP="00276AC0">
            <w:pPr>
              <w:jc w:val="left"/>
              <w:rPr>
                <w:rFonts w:eastAsia="Times New Roman"/>
                <w:sz w:val="20"/>
                <w:szCs w:val="20"/>
              </w:rPr>
            </w:pPr>
            <w:r w:rsidRPr="008E63BB">
              <w:rPr>
                <w:rFonts w:eastAsia="Times New Roman"/>
                <w:sz w:val="20"/>
                <w:szCs w:val="20"/>
              </w:rPr>
              <w:t>Tổng ranh giới quy hoạch TP</w:t>
            </w:r>
          </w:p>
        </w:tc>
        <w:tc>
          <w:tcPr>
            <w:tcW w:w="1016" w:type="dxa"/>
            <w:tcBorders>
              <w:top w:val="nil"/>
              <w:left w:val="nil"/>
              <w:bottom w:val="single" w:sz="4" w:space="0" w:color="auto"/>
              <w:right w:val="single" w:sz="4" w:space="0" w:color="auto"/>
            </w:tcBorders>
            <w:shd w:val="clear" w:color="auto" w:fill="auto"/>
            <w:noWrap/>
            <w:vAlign w:val="center"/>
            <w:hideMark/>
          </w:tcPr>
          <w:p w14:paraId="519B2046" w14:textId="77777777" w:rsidR="00E2603D" w:rsidRPr="008E63BB" w:rsidRDefault="00E2603D" w:rsidP="00276AC0">
            <w:pPr>
              <w:jc w:val="right"/>
              <w:rPr>
                <w:rFonts w:eastAsia="Times New Roman"/>
                <w:sz w:val="20"/>
                <w:szCs w:val="20"/>
              </w:rPr>
            </w:pPr>
            <w:r w:rsidRPr="008E63BB">
              <w:rPr>
                <w:rFonts w:eastAsia="Times New Roman"/>
                <w:sz w:val="20"/>
                <w:szCs w:val="20"/>
              </w:rPr>
              <w:t>201.996</w:t>
            </w:r>
          </w:p>
        </w:tc>
        <w:tc>
          <w:tcPr>
            <w:tcW w:w="1016" w:type="dxa"/>
            <w:tcBorders>
              <w:top w:val="nil"/>
              <w:left w:val="nil"/>
              <w:bottom w:val="single" w:sz="4" w:space="0" w:color="auto"/>
              <w:right w:val="single" w:sz="4" w:space="0" w:color="auto"/>
            </w:tcBorders>
            <w:shd w:val="clear" w:color="auto" w:fill="auto"/>
            <w:noWrap/>
            <w:vAlign w:val="center"/>
            <w:hideMark/>
          </w:tcPr>
          <w:p w14:paraId="519B2047" w14:textId="77777777" w:rsidR="00E2603D" w:rsidRPr="008E63BB" w:rsidRDefault="00E2603D" w:rsidP="00276AC0">
            <w:pPr>
              <w:jc w:val="right"/>
              <w:rPr>
                <w:rFonts w:eastAsia="Times New Roman"/>
                <w:sz w:val="20"/>
                <w:szCs w:val="20"/>
              </w:rPr>
            </w:pPr>
            <w:r w:rsidRPr="008E63BB">
              <w:rPr>
                <w:rFonts w:eastAsia="Times New Roman"/>
                <w:sz w:val="20"/>
                <w:szCs w:val="20"/>
              </w:rPr>
              <w:t>202.332</w:t>
            </w:r>
          </w:p>
        </w:tc>
        <w:tc>
          <w:tcPr>
            <w:tcW w:w="1016" w:type="dxa"/>
            <w:tcBorders>
              <w:top w:val="nil"/>
              <w:left w:val="nil"/>
              <w:bottom w:val="single" w:sz="4" w:space="0" w:color="auto"/>
              <w:right w:val="single" w:sz="4" w:space="0" w:color="auto"/>
            </w:tcBorders>
            <w:shd w:val="clear" w:color="auto" w:fill="auto"/>
            <w:noWrap/>
            <w:vAlign w:val="center"/>
            <w:hideMark/>
          </w:tcPr>
          <w:p w14:paraId="519B2048" w14:textId="77777777" w:rsidR="00E2603D" w:rsidRPr="008E63BB" w:rsidRDefault="00E2603D" w:rsidP="00276AC0">
            <w:pPr>
              <w:jc w:val="right"/>
              <w:rPr>
                <w:rFonts w:eastAsia="Times New Roman"/>
                <w:sz w:val="20"/>
                <w:szCs w:val="20"/>
              </w:rPr>
            </w:pPr>
            <w:r w:rsidRPr="008E63BB">
              <w:rPr>
                <w:rFonts w:eastAsia="Times New Roman"/>
                <w:sz w:val="20"/>
                <w:szCs w:val="20"/>
              </w:rPr>
              <w:t>204.184</w:t>
            </w:r>
          </w:p>
        </w:tc>
        <w:tc>
          <w:tcPr>
            <w:tcW w:w="1016" w:type="dxa"/>
            <w:tcBorders>
              <w:top w:val="nil"/>
              <w:left w:val="nil"/>
              <w:bottom w:val="single" w:sz="4" w:space="0" w:color="auto"/>
              <w:right w:val="single" w:sz="4" w:space="0" w:color="auto"/>
            </w:tcBorders>
            <w:shd w:val="clear" w:color="auto" w:fill="auto"/>
            <w:noWrap/>
            <w:vAlign w:val="center"/>
            <w:hideMark/>
          </w:tcPr>
          <w:p w14:paraId="519B2049" w14:textId="77777777" w:rsidR="00E2603D" w:rsidRPr="008E63BB" w:rsidRDefault="00E2603D" w:rsidP="00276AC0">
            <w:pPr>
              <w:jc w:val="right"/>
              <w:rPr>
                <w:rFonts w:eastAsia="Times New Roman"/>
                <w:sz w:val="20"/>
                <w:szCs w:val="20"/>
              </w:rPr>
            </w:pPr>
            <w:r w:rsidRPr="008E63BB">
              <w:rPr>
                <w:rFonts w:eastAsia="Times New Roman"/>
                <w:sz w:val="20"/>
                <w:szCs w:val="20"/>
              </w:rPr>
              <w:t>204.963</w:t>
            </w:r>
          </w:p>
        </w:tc>
        <w:tc>
          <w:tcPr>
            <w:tcW w:w="1016" w:type="dxa"/>
            <w:tcBorders>
              <w:top w:val="nil"/>
              <w:left w:val="nil"/>
              <w:bottom w:val="single" w:sz="4" w:space="0" w:color="auto"/>
              <w:right w:val="single" w:sz="4" w:space="0" w:color="auto"/>
            </w:tcBorders>
            <w:shd w:val="clear" w:color="auto" w:fill="auto"/>
            <w:noWrap/>
            <w:vAlign w:val="center"/>
            <w:hideMark/>
          </w:tcPr>
          <w:p w14:paraId="519B204A" w14:textId="77777777" w:rsidR="00E2603D" w:rsidRPr="008E63BB" w:rsidRDefault="00E2603D" w:rsidP="00276AC0">
            <w:pPr>
              <w:jc w:val="right"/>
              <w:rPr>
                <w:rFonts w:eastAsia="Times New Roman"/>
                <w:sz w:val="20"/>
                <w:szCs w:val="20"/>
              </w:rPr>
            </w:pPr>
            <w:r w:rsidRPr="008E63BB">
              <w:rPr>
                <w:rFonts w:eastAsia="Times New Roman"/>
                <w:sz w:val="20"/>
                <w:szCs w:val="20"/>
              </w:rPr>
              <w:t>206.125</w:t>
            </w:r>
          </w:p>
        </w:tc>
        <w:tc>
          <w:tcPr>
            <w:tcW w:w="1016" w:type="dxa"/>
            <w:tcBorders>
              <w:top w:val="nil"/>
              <w:left w:val="nil"/>
              <w:bottom w:val="single" w:sz="4" w:space="0" w:color="auto"/>
              <w:right w:val="single" w:sz="4" w:space="0" w:color="auto"/>
            </w:tcBorders>
            <w:shd w:val="clear" w:color="auto" w:fill="auto"/>
            <w:noWrap/>
            <w:vAlign w:val="center"/>
            <w:hideMark/>
          </w:tcPr>
          <w:p w14:paraId="519B204B" w14:textId="77777777" w:rsidR="00E2603D" w:rsidRPr="008E63BB" w:rsidRDefault="00E2603D" w:rsidP="00276AC0">
            <w:pPr>
              <w:jc w:val="right"/>
              <w:rPr>
                <w:rFonts w:eastAsia="Times New Roman"/>
                <w:sz w:val="20"/>
                <w:szCs w:val="20"/>
              </w:rPr>
            </w:pPr>
            <w:r w:rsidRPr="008E63BB">
              <w:rPr>
                <w:rFonts w:eastAsia="Times New Roman"/>
                <w:sz w:val="20"/>
                <w:szCs w:val="20"/>
              </w:rPr>
              <w:t>207.235</w:t>
            </w:r>
          </w:p>
        </w:tc>
        <w:tc>
          <w:tcPr>
            <w:tcW w:w="1016" w:type="dxa"/>
            <w:tcBorders>
              <w:top w:val="nil"/>
              <w:left w:val="nil"/>
              <w:bottom w:val="single" w:sz="4" w:space="0" w:color="auto"/>
              <w:right w:val="single" w:sz="4" w:space="0" w:color="auto"/>
            </w:tcBorders>
            <w:shd w:val="clear" w:color="auto" w:fill="auto"/>
            <w:noWrap/>
            <w:vAlign w:val="center"/>
            <w:hideMark/>
          </w:tcPr>
          <w:p w14:paraId="519B204C" w14:textId="77777777" w:rsidR="00E2603D" w:rsidRPr="008E63BB" w:rsidRDefault="00E2603D" w:rsidP="00276AC0">
            <w:pPr>
              <w:jc w:val="right"/>
              <w:rPr>
                <w:rFonts w:eastAsia="Times New Roman"/>
                <w:sz w:val="20"/>
                <w:szCs w:val="20"/>
              </w:rPr>
            </w:pPr>
            <w:r w:rsidRPr="008E63BB">
              <w:rPr>
                <w:rFonts w:eastAsia="Times New Roman"/>
                <w:sz w:val="20"/>
                <w:szCs w:val="20"/>
              </w:rPr>
              <w:t>207.029</w:t>
            </w:r>
          </w:p>
        </w:tc>
        <w:tc>
          <w:tcPr>
            <w:tcW w:w="1016" w:type="dxa"/>
            <w:tcBorders>
              <w:top w:val="nil"/>
              <w:left w:val="nil"/>
              <w:bottom w:val="single" w:sz="4" w:space="0" w:color="auto"/>
              <w:right w:val="single" w:sz="4" w:space="0" w:color="auto"/>
            </w:tcBorders>
            <w:shd w:val="clear" w:color="auto" w:fill="auto"/>
            <w:noWrap/>
            <w:vAlign w:val="center"/>
            <w:hideMark/>
          </w:tcPr>
          <w:p w14:paraId="519B204D" w14:textId="77777777" w:rsidR="00E2603D" w:rsidRPr="008E63BB" w:rsidRDefault="00E2603D" w:rsidP="00276AC0">
            <w:pPr>
              <w:jc w:val="right"/>
              <w:rPr>
                <w:rFonts w:eastAsia="Times New Roman"/>
                <w:sz w:val="20"/>
                <w:szCs w:val="20"/>
              </w:rPr>
            </w:pPr>
            <w:r w:rsidRPr="008E63BB">
              <w:rPr>
                <w:rFonts w:eastAsia="Times New Roman"/>
                <w:sz w:val="20"/>
                <w:szCs w:val="20"/>
              </w:rPr>
              <w:t>204.128</w:t>
            </w:r>
          </w:p>
        </w:tc>
        <w:tc>
          <w:tcPr>
            <w:tcW w:w="1016" w:type="dxa"/>
            <w:tcBorders>
              <w:top w:val="nil"/>
              <w:left w:val="nil"/>
              <w:bottom w:val="single" w:sz="4" w:space="0" w:color="auto"/>
              <w:right w:val="single" w:sz="4" w:space="0" w:color="auto"/>
            </w:tcBorders>
            <w:shd w:val="clear" w:color="auto" w:fill="auto"/>
            <w:noWrap/>
            <w:vAlign w:val="center"/>
            <w:hideMark/>
          </w:tcPr>
          <w:p w14:paraId="519B204E" w14:textId="77777777" w:rsidR="00E2603D" w:rsidRPr="008E63BB" w:rsidRDefault="00E2603D" w:rsidP="00276AC0">
            <w:pPr>
              <w:jc w:val="right"/>
              <w:rPr>
                <w:rFonts w:eastAsia="Times New Roman"/>
                <w:sz w:val="20"/>
                <w:szCs w:val="20"/>
              </w:rPr>
            </w:pPr>
            <w:r w:rsidRPr="008E63BB">
              <w:rPr>
                <w:rFonts w:eastAsia="Times New Roman"/>
                <w:sz w:val="20"/>
                <w:szCs w:val="20"/>
              </w:rPr>
              <w:t>207.564</w:t>
            </w:r>
          </w:p>
        </w:tc>
        <w:tc>
          <w:tcPr>
            <w:tcW w:w="1016" w:type="dxa"/>
            <w:tcBorders>
              <w:top w:val="single" w:sz="4" w:space="0" w:color="auto"/>
              <w:left w:val="nil"/>
              <w:bottom w:val="single" w:sz="4" w:space="0" w:color="auto"/>
              <w:right w:val="nil"/>
            </w:tcBorders>
            <w:vAlign w:val="center"/>
          </w:tcPr>
          <w:p w14:paraId="519B204F" w14:textId="77777777" w:rsidR="00E2603D" w:rsidRPr="008E63BB" w:rsidRDefault="00E2603D" w:rsidP="00276AC0">
            <w:pPr>
              <w:jc w:val="right"/>
              <w:rPr>
                <w:rFonts w:eastAsia="Times New Roman"/>
                <w:sz w:val="20"/>
                <w:szCs w:val="20"/>
              </w:rPr>
            </w:pPr>
            <w:r w:rsidRPr="008E63BB">
              <w:rPr>
                <w:rFonts w:eastAsia="Times New Roman"/>
                <w:sz w:val="20"/>
                <w:szCs w:val="20"/>
              </w:rPr>
              <w:t>253.343</w:t>
            </w:r>
          </w:p>
        </w:tc>
        <w:tc>
          <w:tcPr>
            <w:tcW w:w="794" w:type="dxa"/>
            <w:tcBorders>
              <w:top w:val="nil"/>
              <w:left w:val="single" w:sz="4" w:space="0" w:color="auto"/>
              <w:bottom w:val="single" w:sz="4" w:space="0" w:color="auto"/>
              <w:right w:val="single" w:sz="4" w:space="0" w:color="auto"/>
            </w:tcBorders>
            <w:vAlign w:val="center"/>
          </w:tcPr>
          <w:p w14:paraId="519B2050" w14:textId="77777777" w:rsidR="00E2603D" w:rsidRPr="008E63BB" w:rsidRDefault="00E2603D" w:rsidP="00276AC0">
            <w:pPr>
              <w:jc w:val="right"/>
              <w:rPr>
                <w:rFonts w:eastAsia="Times New Roman"/>
                <w:sz w:val="20"/>
                <w:szCs w:val="20"/>
              </w:rPr>
            </w:pPr>
            <w:r w:rsidRPr="008E63BB">
              <w:rPr>
                <w:sz w:val="20"/>
                <w:szCs w:val="20"/>
              </w:rPr>
              <w:t>0,51</w:t>
            </w:r>
          </w:p>
        </w:tc>
        <w:tc>
          <w:tcPr>
            <w:tcW w:w="794" w:type="dxa"/>
            <w:tcBorders>
              <w:top w:val="nil"/>
              <w:left w:val="single" w:sz="4" w:space="0" w:color="auto"/>
              <w:bottom w:val="single" w:sz="4" w:space="0" w:color="auto"/>
              <w:right w:val="single" w:sz="4" w:space="0" w:color="auto"/>
            </w:tcBorders>
            <w:shd w:val="clear" w:color="auto" w:fill="auto"/>
            <w:noWrap/>
            <w:vAlign w:val="center"/>
            <w:hideMark/>
          </w:tcPr>
          <w:p w14:paraId="519B2051" w14:textId="77777777" w:rsidR="00E2603D" w:rsidRPr="008E63BB" w:rsidRDefault="00E2603D" w:rsidP="00276AC0">
            <w:pPr>
              <w:jc w:val="right"/>
              <w:rPr>
                <w:rFonts w:eastAsia="Times New Roman"/>
                <w:sz w:val="20"/>
                <w:szCs w:val="20"/>
              </w:rPr>
            </w:pPr>
            <w:r w:rsidRPr="008E63BB">
              <w:rPr>
                <w:sz w:val="20"/>
                <w:szCs w:val="20"/>
              </w:rPr>
              <w:t>0,17</w:t>
            </w:r>
          </w:p>
        </w:tc>
        <w:tc>
          <w:tcPr>
            <w:tcW w:w="810" w:type="dxa"/>
            <w:tcBorders>
              <w:top w:val="nil"/>
              <w:left w:val="nil"/>
              <w:bottom w:val="single" w:sz="4" w:space="0" w:color="auto"/>
              <w:right w:val="single" w:sz="4" w:space="0" w:color="auto"/>
            </w:tcBorders>
            <w:shd w:val="clear" w:color="auto" w:fill="auto"/>
            <w:noWrap/>
            <w:vAlign w:val="center"/>
            <w:hideMark/>
          </w:tcPr>
          <w:p w14:paraId="519B2052" w14:textId="77777777" w:rsidR="00E2603D" w:rsidRPr="008E63BB" w:rsidRDefault="00E2603D" w:rsidP="00276AC0">
            <w:pPr>
              <w:jc w:val="right"/>
              <w:rPr>
                <w:rFonts w:eastAsia="Times New Roman"/>
                <w:sz w:val="20"/>
                <w:szCs w:val="20"/>
              </w:rPr>
            </w:pPr>
            <w:r w:rsidRPr="008E63BB">
              <w:rPr>
                <w:sz w:val="20"/>
                <w:szCs w:val="20"/>
              </w:rPr>
              <w:t>0,34</w:t>
            </w:r>
          </w:p>
        </w:tc>
      </w:tr>
    </w:tbl>
    <w:p w14:paraId="519B2054" w14:textId="77777777" w:rsidR="00DC5F42" w:rsidRPr="008E63BB" w:rsidRDefault="00DC5F42" w:rsidP="00DC5F42">
      <w:pPr>
        <w:rPr>
          <w:i/>
        </w:rPr>
      </w:pPr>
      <w:r w:rsidRPr="008E63BB">
        <w:rPr>
          <w:rFonts w:eastAsia="Times New Roman"/>
          <w:bCs/>
          <w:i/>
          <w:sz w:val="24"/>
          <w:szCs w:val="24"/>
          <w:lang w:val="pt-BR" w:eastAsia="zh-CN"/>
        </w:rPr>
        <w:t>Nguồn: Tổng hợp số liệu từ n</w:t>
      </w:r>
      <w:r w:rsidRPr="008E63BB">
        <w:rPr>
          <w:i/>
        </w:rPr>
        <w:t>iên giám thống kê 2010-2018 và số liệu năm 2019</w:t>
      </w:r>
    </w:p>
    <w:p w14:paraId="519B2055" w14:textId="77777777" w:rsidR="006C38D4" w:rsidRPr="008E63BB" w:rsidRDefault="006C38D4" w:rsidP="006C38D4">
      <w:pPr>
        <w:rPr>
          <w:i/>
        </w:rPr>
      </w:pPr>
    </w:p>
    <w:p w14:paraId="519B2056" w14:textId="77777777" w:rsidR="000D7B83" w:rsidRPr="008E63BB" w:rsidRDefault="000D7B83" w:rsidP="0065184D"/>
    <w:p w14:paraId="519B2057" w14:textId="77777777" w:rsidR="000D7B83" w:rsidRPr="008E63BB" w:rsidRDefault="000D7B83" w:rsidP="0065184D"/>
    <w:p w14:paraId="519B2058" w14:textId="77777777" w:rsidR="000D7B83" w:rsidRPr="008E63BB" w:rsidRDefault="000D7B83" w:rsidP="0065184D">
      <w:pPr>
        <w:ind w:firstLine="720"/>
        <w:sectPr w:rsidR="000D7B83" w:rsidRPr="008E63BB" w:rsidSect="003D057A">
          <w:pgSz w:w="16840" w:h="11907" w:orient="landscape" w:code="9"/>
          <w:pgMar w:top="1418" w:right="910" w:bottom="924" w:left="1440" w:header="720" w:footer="562" w:gutter="0"/>
          <w:cols w:space="720"/>
          <w:docGrid w:linePitch="360"/>
        </w:sectPr>
      </w:pPr>
    </w:p>
    <w:p w14:paraId="519B2059" w14:textId="77777777" w:rsidR="00E2603D" w:rsidRPr="008E63BB" w:rsidRDefault="00E2603D" w:rsidP="00E2603D">
      <w:pPr>
        <w:ind w:firstLine="720"/>
      </w:pPr>
      <w:r w:rsidRPr="008E63BB">
        <w:lastRenderedPageBreak/>
        <w:t>Tỷ lệ tăng trưởng dân số trong khu vực nội thành (thành phố Nam Định) thấp giai đoạn 2010-2014: 0,51% nhưng giai đoạn 2014-2019 giảm: 0,17% và giai đoạn 2010-2019 tăng nhẹ 0,34%. Các phường nội thành có tỷ lệ tăng dân số cao như Quang Trung 1,24%, Văn Miếu 1,16%, còn lại các phường đều có tỷ lệ tăng trưởng dân số âm như Lộc Hạ -1,76%, Lộc Vượng -1,68%...</w:t>
      </w:r>
    </w:p>
    <w:p w14:paraId="519B205A" w14:textId="77777777" w:rsidR="00DC5F42" w:rsidRPr="008E63BB" w:rsidRDefault="00DC5F42" w:rsidP="00885AB5">
      <w:pPr>
        <w:jc w:val="center"/>
        <w:rPr>
          <w:rFonts w:eastAsia="Times New Roman"/>
          <w:b/>
          <w:bCs/>
          <w:szCs w:val="26"/>
          <w:lang w:val="pt-BR"/>
        </w:rPr>
      </w:pPr>
      <w:r w:rsidRPr="008E63BB">
        <w:rPr>
          <w:rFonts w:eastAsia="Times New Roman"/>
          <w:b/>
          <w:bCs/>
          <w:szCs w:val="26"/>
          <w:lang w:val="pt-BR"/>
        </w:rPr>
        <w:t>Tỷ lệ tăng trư</w:t>
      </w:r>
      <w:r w:rsidR="00E2603D" w:rsidRPr="008E63BB">
        <w:rPr>
          <w:rFonts w:eastAsia="Times New Roman"/>
          <w:b/>
          <w:bCs/>
          <w:szCs w:val="26"/>
          <w:lang w:val="pt-BR"/>
        </w:rPr>
        <w:t>ởng dân số trong khu vực nội thành</w:t>
      </w:r>
    </w:p>
    <w:p w14:paraId="519B205B" w14:textId="77777777" w:rsidR="00DC5F42" w:rsidRPr="008E63BB" w:rsidRDefault="00DC5F42" w:rsidP="00885AB5">
      <w:pPr>
        <w:jc w:val="center"/>
        <w:rPr>
          <w:rFonts w:eastAsia="Times New Roman"/>
          <w:b/>
          <w:bCs/>
          <w:szCs w:val="26"/>
          <w:lang w:val="pt-BR"/>
        </w:rPr>
      </w:pPr>
    </w:p>
    <w:p w14:paraId="519B205C" w14:textId="77777777" w:rsidR="00DC5F42" w:rsidRPr="008E63BB" w:rsidRDefault="00DC5F42" w:rsidP="00885AB5">
      <w:pPr>
        <w:jc w:val="center"/>
        <w:rPr>
          <w:rFonts w:eastAsia="Times New Roman"/>
          <w:b/>
          <w:bCs/>
          <w:szCs w:val="26"/>
          <w:lang w:val="pt-BR"/>
        </w:rPr>
      </w:pPr>
      <w:r w:rsidRPr="008E63BB">
        <w:rPr>
          <w:rFonts w:eastAsia="Times New Roman"/>
          <w:b/>
          <w:bCs/>
          <w:noProof/>
          <w:szCs w:val="26"/>
          <w:lang w:eastAsia="zh-CN"/>
        </w:rPr>
        <w:drawing>
          <wp:inline distT="0" distB="0" distL="0" distR="0" wp14:anchorId="519B51B7" wp14:editId="519B51B8">
            <wp:extent cx="5111115" cy="2520275"/>
            <wp:effectExtent l="0" t="0" r="0" b="0"/>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l="1057" r="4527" b="8328"/>
                    <a:stretch/>
                  </pic:blipFill>
                  <pic:spPr bwMode="auto">
                    <a:xfrm>
                      <a:off x="0" y="0"/>
                      <a:ext cx="5111701" cy="2520564"/>
                    </a:xfrm>
                    <a:prstGeom prst="rect">
                      <a:avLst/>
                    </a:prstGeom>
                    <a:noFill/>
                    <a:ln>
                      <a:noFill/>
                    </a:ln>
                    <a:extLst>
                      <a:ext uri="{53640926-AAD7-44D8-BBD7-CCE9431645EC}">
                        <a14:shadowObscured xmlns:a14="http://schemas.microsoft.com/office/drawing/2010/main"/>
                      </a:ext>
                    </a:extLst>
                  </pic:spPr>
                </pic:pic>
              </a:graphicData>
            </a:graphic>
          </wp:inline>
        </w:drawing>
      </w:r>
    </w:p>
    <w:p w14:paraId="519B205D" w14:textId="77777777" w:rsidR="00DC5F42" w:rsidRPr="008E63BB" w:rsidRDefault="00DC5F42" w:rsidP="00885AB5">
      <w:pPr>
        <w:jc w:val="center"/>
        <w:rPr>
          <w:rFonts w:eastAsia="Times New Roman"/>
          <w:b/>
          <w:bCs/>
          <w:szCs w:val="26"/>
          <w:lang w:val="pt-BR"/>
        </w:rPr>
      </w:pPr>
    </w:p>
    <w:p w14:paraId="519B205E" w14:textId="77777777" w:rsidR="00DC5F42" w:rsidRPr="008E63BB" w:rsidRDefault="00DC5F42" w:rsidP="00885AB5">
      <w:pPr>
        <w:jc w:val="center"/>
        <w:rPr>
          <w:b/>
          <w:lang w:val="pt-BR"/>
        </w:rPr>
      </w:pPr>
      <w:r w:rsidRPr="008E63BB">
        <w:rPr>
          <w:b/>
          <w:lang w:val="pt-BR"/>
        </w:rPr>
        <w:t>Bảng tỷ lệ tăng trưởng dân số nội th</w:t>
      </w:r>
      <w:r w:rsidR="00E2603D" w:rsidRPr="008E63BB">
        <w:rPr>
          <w:b/>
          <w:lang w:val="pt-BR"/>
        </w:rPr>
        <w:t>ành</w:t>
      </w:r>
      <w:r w:rsidRPr="008E63BB">
        <w:rPr>
          <w:b/>
          <w:lang w:val="pt-BR"/>
        </w:rPr>
        <w:t xml:space="preserve"> (%)</w:t>
      </w:r>
    </w:p>
    <w:tbl>
      <w:tblPr>
        <w:tblW w:w="9154" w:type="dxa"/>
        <w:tblInd w:w="93" w:type="dxa"/>
        <w:tblLook w:val="04A0" w:firstRow="1" w:lastRow="0" w:firstColumn="1" w:lastColumn="0" w:noHBand="0" w:noVBand="1"/>
      </w:tblPr>
      <w:tblGrid>
        <w:gridCol w:w="483"/>
        <w:gridCol w:w="1971"/>
        <w:gridCol w:w="940"/>
        <w:gridCol w:w="1000"/>
        <w:gridCol w:w="940"/>
        <w:gridCol w:w="930"/>
        <w:gridCol w:w="970"/>
        <w:gridCol w:w="1000"/>
        <w:gridCol w:w="920"/>
      </w:tblGrid>
      <w:tr w:rsidR="008D5BFE" w:rsidRPr="008E63BB" w14:paraId="519B2068" w14:textId="77777777" w:rsidTr="00D0797C">
        <w:trPr>
          <w:cantSplit/>
          <w:trHeight w:val="319"/>
          <w:tblHeader/>
        </w:trPr>
        <w:tc>
          <w:tcPr>
            <w:tcW w:w="4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05F"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TT</w:t>
            </w:r>
          </w:p>
        </w:tc>
        <w:tc>
          <w:tcPr>
            <w:tcW w:w="1971" w:type="dxa"/>
            <w:tcBorders>
              <w:top w:val="single" w:sz="4" w:space="0" w:color="auto"/>
              <w:left w:val="nil"/>
              <w:bottom w:val="single" w:sz="4" w:space="0" w:color="auto"/>
              <w:right w:val="single" w:sz="4" w:space="0" w:color="auto"/>
            </w:tcBorders>
            <w:shd w:val="clear" w:color="auto" w:fill="auto"/>
            <w:noWrap/>
            <w:vAlign w:val="center"/>
            <w:hideMark/>
          </w:tcPr>
          <w:p w14:paraId="519B2060"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Danh mục</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519B2061" w14:textId="77777777" w:rsidR="00DC5F42" w:rsidRPr="008E63BB" w:rsidRDefault="00DC5F42" w:rsidP="00DC5F42">
            <w:pPr>
              <w:jc w:val="right"/>
              <w:rPr>
                <w:rFonts w:eastAsia="Times New Roman"/>
                <w:sz w:val="20"/>
                <w:szCs w:val="20"/>
              </w:rPr>
            </w:pPr>
            <w:r w:rsidRPr="008E63BB">
              <w:rPr>
                <w:rFonts w:eastAsia="Times New Roman"/>
                <w:sz w:val="20"/>
                <w:szCs w:val="20"/>
              </w:rPr>
              <w:t>2015</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2062" w14:textId="77777777" w:rsidR="00DC5F42" w:rsidRPr="008E63BB" w:rsidRDefault="00DC5F42" w:rsidP="00DC5F42">
            <w:pPr>
              <w:jc w:val="right"/>
              <w:rPr>
                <w:rFonts w:eastAsia="Times New Roman"/>
                <w:sz w:val="20"/>
                <w:szCs w:val="20"/>
              </w:rPr>
            </w:pPr>
            <w:r w:rsidRPr="008E63BB">
              <w:rPr>
                <w:rFonts w:eastAsia="Times New Roman"/>
                <w:sz w:val="20"/>
                <w:szCs w:val="20"/>
              </w:rPr>
              <w:t>2016</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519B2063" w14:textId="77777777" w:rsidR="00DC5F42" w:rsidRPr="008E63BB" w:rsidRDefault="00DC5F42" w:rsidP="00DC5F42">
            <w:pPr>
              <w:jc w:val="right"/>
              <w:rPr>
                <w:rFonts w:eastAsia="Times New Roman"/>
                <w:sz w:val="20"/>
                <w:szCs w:val="20"/>
              </w:rPr>
            </w:pPr>
            <w:r w:rsidRPr="008E63BB">
              <w:rPr>
                <w:rFonts w:eastAsia="Times New Roman"/>
                <w:sz w:val="20"/>
                <w:szCs w:val="20"/>
              </w:rPr>
              <w:t>2017</w:t>
            </w:r>
          </w:p>
        </w:tc>
        <w:tc>
          <w:tcPr>
            <w:tcW w:w="930" w:type="dxa"/>
            <w:tcBorders>
              <w:top w:val="single" w:sz="4" w:space="0" w:color="auto"/>
              <w:left w:val="nil"/>
              <w:bottom w:val="single" w:sz="4" w:space="0" w:color="auto"/>
              <w:right w:val="single" w:sz="4" w:space="0" w:color="auto"/>
            </w:tcBorders>
            <w:shd w:val="clear" w:color="auto" w:fill="auto"/>
            <w:noWrap/>
            <w:vAlign w:val="center"/>
            <w:hideMark/>
          </w:tcPr>
          <w:p w14:paraId="519B2064" w14:textId="77777777" w:rsidR="00DC5F42" w:rsidRPr="008E63BB" w:rsidRDefault="00DC5F42" w:rsidP="00DC5F42">
            <w:pPr>
              <w:jc w:val="right"/>
              <w:rPr>
                <w:rFonts w:eastAsia="Times New Roman"/>
                <w:sz w:val="20"/>
                <w:szCs w:val="20"/>
              </w:rPr>
            </w:pPr>
            <w:r w:rsidRPr="008E63BB">
              <w:rPr>
                <w:rFonts w:eastAsia="Times New Roman"/>
                <w:sz w:val="20"/>
                <w:szCs w:val="20"/>
              </w:rPr>
              <w:t>2019</w:t>
            </w:r>
          </w:p>
        </w:tc>
        <w:tc>
          <w:tcPr>
            <w:tcW w:w="970" w:type="dxa"/>
            <w:tcBorders>
              <w:top w:val="single" w:sz="4" w:space="0" w:color="auto"/>
              <w:left w:val="nil"/>
              <w:bottom w:val="single" w:sz="4" w:space="0" w:color="auto"/>
              <w:right w:val="single" w:sz="4" w:space="0" w:color="auto"/>
            </w:tcBorders>
            <w:shd w:val="clear" w:color="auto" w:fill="auto"/>
            <w:noWrap/>
            <w:vAlign w:val="center"/>
            <w:hideMark/>
          </w:tcPr>
          <w:p w14:paraId="519B2065" w14:textId="77777777" w:rsidR="00DC5F42" w:rsidRPr="008E63BB" w:rsidRDefault="00DC5F42" w:rsidP="00DC5F42">
            <w:pPr>
              <w:jc w:val="left"/>
              <w:rPr>
                <w:rFonts w:eastAsia="Times New Roman"/>
                <w:sz w:val="20"/>
                <w:szCs w:val="20"/>
              </w:rPr>
            </w:pPr>
            <w:r w:rsidRPr="008E63BB">
              <w:rPr>
                <w:rFonts w:eastAsia="Times New Roman"/>
                <w:sz w:val="20"/>
                <w:szCs w:val="20"/>
              </w:rPr>
              <w:t>2010-2014</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9B2066" w14:textId="77777777" w:rsidR="00DC5F42" w:rsidRPr="008E63BB" w:rsidRDefault="00DC5F42" w:rsidP="00DC5F42">
            <w:pPr>
              <w:jc w:val="left"/>
              <w:rPr>
                <w:rFonts w:eastAsia="Times New Roman"/>
                <w:sz w:val="20"/>
                <w:szCs w:val="20"/>
              </w:rPr>
            </w:pPr>
            <w:r w:rsidRPr="008E63BB">
              <w:rPr>
                <w:rFonts w:eastAsia="Times New Roman"/>
                <w:sz w:val="20"/>
                <w:szCs w:val="20"/>
              </w:rPr>
              <w:t>2014-2019</w:t>
            </w:r>
          </w:p>
        </w:tc>
        <w:tc>
          <w:tcPr>
            <w:tcW w:w="920" w:type="dxa"/>
            <w:tcBorders>
              <w:top w:val="single" w:sz="4" w:space="0" w:color="auto"/>
              <w:left w:val="nil"/>
              <w:bottom w:val="single" w:sz="4" w:space="0" w:color="auto"/>
              <w:right w:val="single" w:sz="4" w:space="0" w:color="auto"/>
            </w:tcBorders>
            <w:shd w:val="clear" w:color="auto" w:fill="auto"/>
            <w:noWrap/>
            <w:vAlign w:val="center"/>
            <w:hideMark/>
          </w:tcPr>
          <w:p w14:paraId="519B2067" w14:textId="77777777" w:rsidR="00DC5F42" w:rsidRPr="008E63BB" w:rsidRDefault="00DC5F42" w:rsidP="00DC5F42">
            <w:pPr>
              <w:jc w:val="left"/>
              <w:rPr>
                <w:rFonts w:eastAsia="Times New Roman"/>
                <w:sz w:val="20"/>
                <w:szCs w:val="20"/>
              </w:rPr>
            </w:pPr>
            <w:r w:rsidRPr="008E63BB">
              <w:rPr>
                <w:rFonts w:eastAsia="Times New Roman"/>
                <w:sz w:val="20"/>
                <w:szCs w:val="20"/>
              </w:rPr>
              <w:t>2010-2019</w:t>
            </w:r>
          </w:p>
        </w:tc>
      </w:tr>
      <w:tr w:rsidR="008D5BFE" w:rsidRPr="008E63BB" w14:paraId="519B2072"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69" w14:textId="77777777" w:rsidR="00DC5F42" w:rsidRPr="008E63BB" w:rsidRDefault="00DC5F42" w:rsidP="00DC5F42">
            <w:pPr>
              <w:jc w:val="right"/>
              <w:rPr>
                <w:rFonts w:eastAsia="Times New Roman"/>
                <w:sz w:val="20"/>
                <w:szCs w:val="20"/>
              </w:rPr>
            </w:pPr>
            <w:r w:rsidRPr="008E63BB">
              <w:rPr>
                <w:rFonts w:eastAsia="Times New Roman"/>
                <w:sz w:val="20"/>
                <w:szCs w:val="20"/>
              </w:rPr>
              <w:t>1</w:t>
            </w:r>
          </w:p>
        </w:tc>
        <w:tc>
          <w:tcPr>
            <w:tcW w:w="1971" w:type="dxa"/>
            <w:tcBorders>
              <w:top w:val="nil"/>
              <w:left w:val="nil"/>
              <w:bottom w:val="single" w:sz="4" w:space="0" w:color="auto"/>
              <w:right w:val="single" w:sz="4" w:space="0" w:color="auto"/>
            </w:tcBorders>
            <w:shd w:val="clear" w:color="auto" w:fill="auto"/>
            <w:vAlign w:val="center"/>
            <w:hideMark/>
          </w:tcPr>
          <w:p w14:paraId="519B206A" w14:textId="77777777" w:rsidR="00DC5F42" w:rsidRPr="008E63BB" w:rsidRDefault="00450752" w:rsidP="00DC5F42">
            <w:pPr>
              <w:jc w:val="left"/>
              <w:rPr>
                <w:rFonts w:eastAsia="Times New Roman"/>
                <w:sz w:val="20"/>
                <w:szCs w:val="20"/>
              </w:rPr>
            </w:pPr>
            <w:r w:rsidRPr="008E63BB">
              <w:rPr>
                <w:rFonts w:eastAsia="Times New Roman"/>
                <w:sz w:val="20"/>
                <w:szCs w:val="20"/>
              </w:rPr>
              <w:t>Nam Định</w:t>
            </w:r>
          </w:p>
        </w:tc>
        <w:tc>
          <w:tcPr>
            <w:tcW w:w="940" w:type="dxa"/>
            <w:tcBorders>
              <w:top w:val="nil"/>
              <w:left w:val="nil"/>
              <w:bottom w:val="single" w:sz="4" w:space="0" w:color="auto"/>
              <w:right w:val="single" w:sz="4" w:space="0" w:color="auto"/>
            </w:tcBorders>
            <w:shd w:val="clear" w:color="auto" w:fill="auto"/>
            <w:noWrap/>
            <w:vAlign w:val="center"/>
            <w:hideMark/>
          </w:tcPr>
          <w:p w14:paraId="519B206B" w14:textId="77777777" w:rsidR="00DC5F42" w:rsidRPr="008E63BB" w:rsidRDefault="00DC5F42" w:rsidP="00DC5F42">
            <w:pPr>
              <w:jc w:val="right"/>
              <w:rPr>
                <w:rFonts w:eastAsia="Times New Roman"/>
                <w:sz w:val="20"/>
                <w:szCs w:val="20"/>
              </w:rPr>
            </w:pPr>
            <w:r w:rsidRPr="008E63BB">
              <w:rPr>
                <w:rFonts w:eastAsia="Times New Roman"/>
                <w:sz w:val="20"/>
                <w:szCs w:val="20"/>
              </w:rPr>
              <w:t>0,70</w:t>
            </w:r>
          </w:p>
        </w:tc>
        <w:tc>
          <w:tcPr>
            <w:tcW w:w="1000" w:type="dxa"/>
            <w:tcBorders>
              <w:top w:val="nil"/>
              <w:left w:val="nil"/>
              <w:bottom w:val="single" w:sz="4" w:space="0" w:color="auto"/>
              <w:right w:val="single" w:sz="4" w:space="0" w:color="auto"/>
            </w:tcBorders>
            <w:shd w:val="clear" w:color="auto" w:fill="auto"/>
            <w:noWrap/>
            <w:vAlign w:val="center"/>
            <w:hideMark/>
          </w:tcPr>
          <w:p w14:paraId="519B206C" w14:textId="77777777" w:rsidR="00DC5F42" w:rsidRPr="008E63BB" w:rsidRDefault="00DC5F42" w:rsidP="00DC5F42">
            <w:pPr>
              <w:jc w:val="right"/>
              <w:rPr>
                <w:rFonts w:eastAsia="Times New Roman"/>
                <w:sz w:val="20"/>
                <w:szCs w:val="20"/>
              </w:rPr>
            </w:pPr>
            <w:r w:rsidRPr="008E63BB">
              <w:rPr>
                <w:rFonts w:eastAsia="Times New Roman"/>
                <w:sz w:val="20"/>
                <w:szCs w:val="20"/>
              </w:rPr>
              <w:t>1,28</w:t>
            </w:r>
          </w:p>
        </w:tc>
        <w:tc>
          <w:tcPr>
            <w:tcW w:w="940" w:type="dxa"/>
            <w:tcBorders>
              <w:top w:val="nil"/>
              <w:left w:val="nil"/>
              <w:bottom w:val="single" w:sz="4" w:space="0" w:color="auto"/>
              <w:right w:val="single" w:sz="4" w:space="0" w:color="auto"/>
            </w:tcBorders>
            <w:shd w:val="clear" w:color="auto" w:fill="auto"/>
            <w:noWrap/>
            <w:vAlign w:val="center"/>
            <w:hideMark/>
          </w:tcPr>
          <w:p w14:paraId="519B206D" w14:textId="77777777" w:rsidR="00DC5F42" w:rsidRPr="008E63BB" w:rsidRDefault="00DC5F42" w:rsidP="00DC5F42">
            <w:pPr>
              <w:jc w:val="right"/>
              <w:rPr>
                <w:rFonts w:eastAsia="Times New Roman"/>
                <w:sz w:val="20"/>
                <w:szCs w:val="20"/>
              </w:rPr>
            </w:pPr>
            <w:r w:rsidRPr="008E63BB">
              <w:rPr>
                <w:rFonts w:eastAsia="Times New Roman"/>
                <w:sz w:val="20"/>
                <w:szCs w:val="20"/>
              </w:rPr>
              <w:t>0,56</w:t>
            </w:r>
          </w:p>
        </w:tc>
        <w:tc>
          <w:tcPr>
            <w:tcW w:w="930" w:type="dxa"/>
            <w:tcBorders>
              <w:top w:val="nil"/>
              <w:left w:val="nil"/>
              <w:bottom w:val="single" w:sz="4" w:space="0" w:color="auto"/>
              <w:right w:val="single" w:sz="4" w:space="0" w:color="auto"/>
            </w:tcBorders>
            <w:shd w:val="clear" w:color="auto" w:fill="auto"/>
            <w:noWrap/>
            <w:vAlign w:val="center"/>
            <w:hideMark/>
          </w:tcPr>
          <w:p w14:paraId="519B206E" w14:textId="77777777" w:rsidR="00DC5F42" w:rsidRPr="008E63BB" w:rsidRDefault="00DC5F42" w:rsidP="00DC5F42">
            <w:pPr>
              <w:jc w:val="right"/>
              <w:rPr>
                <w:rFonts w:eastAsia="Times New Roman"/>
                <w:sz w:val="20"/>
                <w:szCs w:val="20"/>
              </w:rPr>
            </w:pPr>
            <w:r w:rsidRPr="008E63BB">
              <w:rPr>
                <w:rFonts w:eastAsia="Times New Roman"/>
                <w:sz w:val="20"/>
                <w:szCs w:val="20"/>
              </w:rPr>
              <w:t>-1,05</w:t>
            </w:r>
          </w:p>
        </w:tc>
        <w:tc>
          <w:tcPr>
            <w:tcW w:w="970" w:type="dxa"/>
            <w:tcBorders>
              <w:top w:val="nil"/>
              <w:left w:val="nil"/>
              <w:bottom w:val="single" w:sz="4" w:space="0" w:color="auto"/>
              <w:right w:val="single" w:sz="4" w:space="0" w:color="auto"/>
            </w:tcBorders>
            <w:shd w:val="clear" w:color="auto" w:fill="auto"/>
            <w:noWrap/>
            <w:vAlign w:val="center"/>
            <w:hideMark/>
          </w:tcPr>
          <w:p w14:paraId="519B206F" w14:textId="77777777" w:rsidR="00DC5F42" w:rsidRPr="008E63BB" w:rsidRDefault="00DC5F42" w:rsidP="00DC5F42">
            <w:pPr>
              <w:jc w:val="right"/>
              <w:rPr>
                <w:rFonts w:eastAsia="Times New Roman"/>
                <w:sz w:val="20"/>
                <w:szCs w:val="20"/>
              </w:rPr>
            </w:pPr>
            <w:r w:rsidRPr="008E63BB">
              <w:rPr>
                <w:rFonts w:eastAsia="Times New Roman"/>
                <w:sz w:val="20"/>
                <w:szCs w:val="20"/>
              </w:rPr>
              <w:t>1,61</w:t>
            </w:r>
          </w:p>
        </w:tc>
        <w:tc>
          <w:tcPr>
            <w:tcW w:w="1000" w:type="dxa"/>
            <w:tcBorders>
              <w:top w:val="nil"/>
              <w:left w:val="nil"/>
              <w:bottom w:val="single" w:sz="4" w:space="0" w:color="auto"/>
              <w:right w:val="single" w:sz="4" w:space="0" w:color="auto"/>
            </w:tcBorders>
            <w:shd w:val="clear" w:color="auto" w:fill="auto"/>
            <w:noWrap/>
            <w:vAlign w:val="center"/>
            <w:hideMark/>
          </w:tcPr>
          <w:p w14:paraId="519B2070" w14:textId="77777777" w:rsidR="00DC5F42" w:rsidRPr="008E63BB" w:rsidRDefault="00DC5F42" w:rsidP="00DC5F42">
            <w:pPr>
              <w:jc w:val="right"/>
              <w:rPr>
                <w:rFonts w:eastAsia="Times New Roman"/>
                <w:sz w:val="20"/>
                <w:szCs w:val="20"/>
              </w:rPr>
            </w:pPr>
            <w:r w:rsidRPr="008E63BB">
              <w:rPr>
                <w:sz w:val="20"/>
                <w:szCs w:val="20"/>
              </w:rPr>
              <w:t>-0,29</w:t>
            </w:r>
          </w:p>
        </w:tc>
        <w:tc>
          <w:tcPr>
            <w:tcW w:w="920" w:type="dxa"/>
            <w:tcBorders>
              <w:top w:val="nil"/>
              <w:left w:val="nil"/>
              <w:bottom w:val="single" w:sz="4" w:space="0" w:color="auto"/>
              <w:right w:val="single" w:sz="4" w:space="0" w:color="auto"/>
            </w:tcBorders>
            <w:shd w:val="clear" w:color="auto" w:fill="auto"/>
            <w:noWrap/>
            <w:vAlign w:val="center"/>
            <w:hideMark/>
          </w:tcPr>
          <w:p w14:paraId="519B2071" w14:textId="77777777" w:rsidR="00DC5F42" w:rsidRPr="008E63BB" w:rsidRDefault="00DC5F42" w:rsidP="00DC5F42">
            <w:pPr>
              <w:jc w:val="right"/>
              <w:rPr>
                <w:rFonts w:eastAsia="Times New Roman"/>
                <w:sz w:val="20"/>
                <w:szCs w:val="20"/>
              </w:rPr>
            </w:pPr>
            <w:r w:rsidRPr="008E63BB">
              <w:rPr>
                <w:sz w:val="20"/>
                <w:szCs w:val="20"/>
              </w:rPr>
              <w:t>0,88</w:t>
            </w:r>
          </w:p>
        </w:tc>
      </w:tr>
      <w:tr w:rsidR="008D5BFE" w:rsidRPr="008E63BB" w14:paraId="519B207C"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73" w14:textId="77777777" w:rsidR="00DC5F42" w:rsidRPr="008E63BB" w:rsidRDefault="00DC5F42" w:rsidP="00DC5F42">
            <w:pPr>
              <w:jc w:val="right"/>
              <w:rPr>
                <w:rFonts w:eastAsia="Times New Roman"/>
                <w:sz w:val="20"/>
                <w:szCs w:val="20"/>
              </w:rPr>
            </w:pPr>
            <w:r w:rsidRPr="008E63BB">
              <w:rPr>
                <w:rFonts w:eastAsia="Times New Roman"/>
                <w:sz w:val="20"/>
                <w:szCs w:val="20"/>
              </w:rPr>
              <w:t>2</w:t>
            </w:r>
          </w:p>
        </w:tc>
        <w:tc>
          <w:tcPr>
            <w:tcW w:w="1971" w:type="dxa"/>
            <w:tcBorders>
              <w:top w:val="nil"/>
              <w:left w:val="nil"/>
              <w:bottom w:val="single" w:sz="4" w:space="0" w:color="auto"/>
              <w:right w:val="single" w:sz="4" w:space="0" w:color="auto"/>
            </w:tcBorders>
            <w:shd w:val="clear" w:color="auto" w:fill="auto"/>
            <w:vAlign w:val="center"/>
            <w:hideMark/>
          </w:tcPr>
          <w:p w14:paraId="519B2074" w14:textId="77777777" w:rsidR="00DC5F42" w:rsidRPr="008E63BB" w:rsidRDefault="00DC5F42" w:rsidP="00DC5F42">
            <w:pPr>
              <w:jc w:val="left"/>
              <w:rPr>
                <w:rFonts w:eastAsia="Times New Roman"/>
                <w:sz w:val="20"/>
                <w:szCs w:val="20"/>
              </w:rPr>
            </w:pPr>
            <w:r w:rsidRPr="008E63BB">
              <w:rPr>
                <w:rFonts w:eastAsia="Times New Roman"/>
                <w:sz w:val="20"/>
                <w:szCs w:val="20"/>
              </w:rPr>
              <w:t>Trần Tế Xương</w:t>
            </w:r>
          </w:p>
        </w:tc>
        <w:tc>
          <w:tcPr>
            <w:tcW w:w="940" w:type="dxa"/>
            <w:tcBorders>
              <w:top w:val="nil"/>
              <w:left w:val="nil"/>
              <w:bottom w:val="single" w:sz="4" w:space="0" w:color="auto"/>
              <w:right w:val="single" w:sz="4" w:space="0" w:color="auto"/>
            </w:tcBorders>
            <w:shd w:val="clear" w:color="auto" w:fill="auto"/>
            <w:noWrap/>
            <w:vAlign w:val="center"/>
            <w:hideMark/>
          </w:tcPr>
          <w:p w14:paraId="519B2075" w14:textId="77777777" w:rsidR="00DC5F42" w:rsidRPr="008E63BB" w:rsidRDefault="00DC5F42" w:rsidP="00DC5F42">
            <w:pPr>
              <w:jc w:val="right"/>
              <w:rPr>
                <w:rFonts w:eastAsia="Times New Roman"/>
                <w:sz w:val="20"/>
                <w:szCs w:val="20"/>
              </w:rPr>
            </w:pPr>
            <w:r w:rsidRPr="008E63BB">
              <w:rPr>
                <w:rFonts w:eastAsia="Times New Roman"/>
                <w:sz w:val="20"/>
                <w:szCs w:val="20"/>
              </w:rPr>
              <w:t>-1,80</w:t>
            </w:r>
          </w:p>
        </w:tc>
        <w:tc>
          <w:tcPr>
            <w:tcW w:w="1000" w:type="dxa"/>
            <w:tcBorders>
              <w:top w:val="nil"/>
              <w:left w:val="nil"/>
              <w:bottom w:val="single" w:sz="4" w:space="0" w:color="auto"/>
              <w:right w:val="single" w:sz="4" w:space="0" w:color="auto"/>
            </w:tcBorders>
            <w:shd w:val="clear" w:color="auto" w:fill="auto"/>
            <w:noWrap/>
            <w:vAlign w:val="center"/>
            <w:hideMark/>
          </w:tcPr>
          <w:p w14:paraId="519B2076" w14:textId="77777777" w:rsidR="00DC5F42" w:rsidRPr="008E63BB" w:rsidRDefault="00DC5F42" w:rsidP="00DC5F42">
            <w:pPr>
              <w:jc w:val="right"/>
              <w:rPr>
                <w:rFonts w:eastAsia="Times New Roman"/>
                <w:sz w:val="20"/>
                <w:szCs w:val="20"/>
              </w:rPr>
            </w:pPr>
            <w:r w:rsidRPr="008E63BB">
              <w:rPr>
                <w:rFonts w:eastAsia="Times New Roman"/>
                <w:sz w:val="20"/>
                <w:szCs w:val="20"/>
              </w:rPr>
              <w:t>0,18</w:t>
            </w:r>
          </w:p>
        </w:tc>
        <w:tc>
          <w:tcPr>
            <w:tcW w:w="940" w:type="dxa"/>
            <w:tcBorders>
              <w:top w:val="nil"/>
              <w:left w:val="nil"/>
              <w:bottom w:val="single" w:sz="4" w:space="0" w:color="auto"/>
              <w:right w:val="single" w:sz="4" w:space="0" w:color="auto"/>
            </w:tcBorders>
            <w:shd w:val="clear" w:color="auto" w:fill="auto"/>
            <w:noWrap/>
            <w:vAlign w:val="center"/>
            <w:hideMark/>
          </w:tcPr>
          <w:p w14:paraId="519B2077" w14:textId="77777777" w:rsidR="00DC5F42" w:rsidRPr="008E63BB" w:rsidRDefault="00DC5F42" w:rsidP="00DC5F42">
            <w:pPr>
              <w:jc w:val="right"/>
              <w:rPr>
                <w:rFonts w:eastAsia="Times New Roman"/>
                <w:sz w:val="20"/>
                <w:szCs w:val="20"/>
              </w:rPr>
            </w:pPr>
            <w:r w:rsidRPr="008E63BB">
              <w:rPr>
                <w:rFonts w:eastAsia="Times New Roman"/>
                <w:sz w:val="20"/>
                <w:szCs w:val="20"/>
              </w:rPr>
              <w:t>-5,74</w:t>
            </w:r>
          </w:p>
        </w:tc>
        <w:tc>
          <w:tcPr>
            <w:tcW w:w="930" w:type="dxa"/>
            <w:tcBorders>
              <w:top w:val="nil"/>
              <w:left w:val="nil"/>
              <w:bottom w:val="single" w:sz="4" w:space="0" w:color="auto"/>
              <w:right w:val="single" w:sz="4" w:space="0" w:color="auto"/>
            </w:tcBorders>
            <w:shd w:val="clear" w:color="auto" w:fill="auto"/>
            <w:noWrap/>
            <w:vAlign w:val="center"/>
            <w:hideMark/>
          </w:tcPr>
          <w:p w14:paraId="519B2078" w14:textId="77777777" w:rsidR="00DC5F42" w:rsidRPr="008E63BB" w:rsidRDefault="00DC5F42" w:rsidP="00DC5F42">
            <w:pPr>
              <w:jc w:val="right"/>
              <w:rPr>
                <w:rFonts w:eastAsia="Times New Roman"/>
                <w:sz w:val="20"/>
                <w:szCs w:val="20"/>
              </w:rPr>
            </w:pPr>
            <w:r w:rsidRPr="008E63BB">
              <w:rPr>
                <w:rFonts w:eastAsia="Times New Roman"/>
                <w:sz w:val="20"/>
                <w:szCs w:val="20"/>
              </w:rPr>
              <w:t>0,71</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79" w14:textId="77777777" w:rsidR="00DC5F42" w:rsidRPr="008E63BB" w:rsidRDefault="00DC5F42" w:rsidP="00DC5F42">
            <w:pPr>
              <w:jc w:val="right"/>
              <w:rPr>
                <w:rFonts w:eastAsia="Times New Roman"/>
                <w:sz w:val="20"/>
                <w:szCs w:val="20"/>
              </w:rPr>
            </w:pPr>
            <w:r w:rsidRPr="008E63BB">
              <w:rPr>
                <w:rFonts w:eastAsia="Times New Roman"/>
                <w:sz w:val="20"/>
                <w:szCs w:val="20"/>
              </w:rPr>
              <w:t>0,74</w:t>
            </w:r>
          </w:p>
        </w:tc>
        <w:tc>
          <w:tcPr>
            <w:tcW w:w="1000" w:type="dxa"/>
            <w:tcBorders>
              <w:top w:val="nil"/>
              <w:left w:val="nil"/>
              <w:bottom w:val="single" w:sz="4" w:space="0" w:color="auto"/>
              <w:right w:val="single" w:sz="4" w:space="0" w:color="auto"/>
            </w:tcBorders>
            <w:shd w:val="clear" w:color="auto" w:fill="auto"/>
            <w:noWrap/>
            <w:vAlign w:val="center"/>
            <w:hideMark/>
          </w:tcPr>
          <w:p w14:paraId="519B207A" w14:textId="77777777" w:rsidR="00DC5F42" w:rsidRPr="008E63BB" w:rsidRDefault="00DC5F42" w:rsidP="00DC5F42">
            <w:pPr>
              <w:jc w:val="right"/>
              <w:rPr>
                <w:rFonts w:eastAsia="Times New Roman"/>
                <w:sz w:val="20"/>
                <w:szCs w:val="20"/>
              </w:rPr>
            </w:pPr>
            <w:r w:rsidRPr="008E63BB">
              <w:rPr>
                <w:sz w:val="20"/>
                <w:szCs w:val="20"/>
              </w:rPr>
              <w:t>1,38</w:t>
            </w:r>
          </w:p>
        </w:tc>
        <w:tc>
          <w:tcPr>
            <w:tcW w:w="920" w:type="dxa"/>
            <w:tcBorders>
              <w:top w:val="nil"/>
              <w:left w:val="nil"/>
              <w:bottom w:val="single" w:sz="4" w:space="0" w:color="auto"/>
              <w:right w:val="single" w:sz="4" w:space="0" w:color="auto"/>
            </w:tcBorders>
            <w:shd w:val="clear" w:color="auto" w:fill="auto"/>
            <w:noWrap/>
            <w:vAlign w:val="center"/>
            <w:hideMark/>
          </w:tcPr>
          <w:p w14:paraId="519B207B" w14:textId="77777777" w:rsidR="00DC5F42" w:rsidRPr="008E63BB" w:rsidRDefault="00DC5F42" w:rsidP="00DC5F42">
            <w:pPr>
              <w:jc w:val="right"/>
              <w:rPr>
                <w:rFonts w:eastAsia="Times New Roman"/>
                <w:sz w:val="20"/>
                <w:szCs w:val="20"/>
              </w:rPr>
            </w:pPr>
            <w:r w:rsidRPr="008E63BB">
              <w:rPr>
                <w:sz w:val="20"/>
                <w:szCs w:val="20"/>
              </w:rPr>
              <w:t>-0,43</w:t>
            </w:r>
          </w:p>
        </w:tc>
      </w:tr>
      <w:tr w:rsidR="008D5BFE" w:rsidRPr="008E63BB" w14:paraId="519B2086"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7D" w14:textId="77777777" w:rsidR="00DC5F42" w:rsidRPr="008E63BB" w:rsidRDefault="00DC5F42" w:rsidP="00DC5F42">
            <w:pPr>
              <w:jc w:val="right"/>
              <w:rPr>
                <w:rFonts w:eastAsia="Times New Roman"/>
                <w:sz w:val="20"/>
                <w:szCs w:val="20"/>
              </w:rPr>
            </w:pPr>
            <w:r w:rsidRPr="008E63BB">
              <w:rPr>
                <w:rFonts w:eastAsia="Times New Roman"/>
                <w:sz w:val="20"/>
                <w:szCs w:val="20"/>
              </w:rPr>
              <w:t>3</w:t>
            </w:r>
          </w:p>
        </w:tc>
        <w:tc>
          <w:tcPr>
            <w:tcW w:w="1971" w:type="dxa"/>
            <w:tcBorders>
              <w:top w:val="nil"/>
              <w:left w:val="nil"/>
              <w:bottom w:val="single" w:sz="4" w:space="0" w:color="auto"/>
              <w:right w:val="single" w:sz="4" w:space="0" w:color="auto"/>
            </w:tcBorders>
            <w:shd w:val="clear" w:color="auto" w:fill="auto"/>
            <w:vAlign w:val="center"/>
            <w:hideMark/>
          </w:tcPr>
          <w:p w14:paraId="519B207E" w14:textId="77777777" w:rsidR="00DC5F42" w:rsidRPr="008E63BB" w:rsidRDefault="00DC5F42" w:rsidP="00DC5F42">
            <w:pPr>
              <w:jc w:val="left"/>
              <w:rPr>
                <w:rFonts w:eastAsia="Times New Roman"/>
                <w:sz w:val="20"/>
                <w:szCs w:val="20"/>
              </w:rPr>
            </w:pPr>
            <w:r w:rsidRPr="008E63BB">
              <w:rPr>
                <w:rFonts w:eastAsia="Times New Roman"/>
                <w:sz w:val="20"/>
                <w:szCs w:val="20"/>
              </w:rPr>
              <w:t>Vị Hoàng</w:t>
            </w:r>
          </w:p>
        </w:tc>
        <w:tc>
          <w:tcPr>
            <w:tcW w:w="940" w:type="dxa"/>
            <w:tcBorders>
              <w:top w:val="nil"/>
              <w:left w:val="nil"/>
              <w:bottom w:val="single" w:sz="4" w:space="0" w:color="auto"/>
              <w:right w:val="single" w:sz="4" w:space="0" w:color="auto"/>
            </w:tcBorders>
            <w:shd w:val="clear" w:color="auto" w:fill="auto"/>
            <w:noWrap/>
            <w:vAlign w:val="center"/>
            <w:hideMark/>
          </w:tcPr>
          <w:p w14:paraId="519B207F" w14:textId="77777777" w:rsidR="00DC5F42" w:rsidRPr="008E63BB" w:rsidRDefault="00DC5F42" w:rsidP="00DC5F42">
            <w:pPr>
              <w:jc w:val="right"/>
              <w:rPr>
                <w:rFonts w:eastAsia="Times New Roman"/>
                <w:sz w:val="20"/>
                <w:szCs w:val="20"/>
              </w:rPr>
            </w:pPr>
            <w:r w:rsidRPr="008E63BB">
              <w:rPr>
                <w:rFonts w:eastAsia="Times New Roman"/>
                <w:sz w:val="20"/>
                <w:szCs w:val="20"/>
              </w:rPr>
              <w:t>0,67</w:t>
            </w:r>
          </w:p>
        </w:tc>
        <w:tc>
          <w:tcPr>
            <w:tcW w:w="1000" w:type="dxa"/>
            <w:tcBorders>
              <w:top w:val="nil"/>
              <w:left w:val="nil"/>
              <w:bottom w:val="single" w:sz="4" w:space="0" w:color="auto"/>
              <w:right w:val="single" w:sz="4" w:space="0" w:color="auto"/>
            </w:tcBorders>
            <w:shd w:val="clear" w:color="auto" w:fill="auto"/>
            <w:noWrap/>
            <w:vAlign w:val="center"/>
            <w:hideMark/>
          </w:tcPr>
          <w:p w14:paraId="519B2080" w14:textId="77777777" w:rsidR="00DC5F42" w:rsidRPr="008E63BB" w:rsidRDefault="00DC5F42" w:rsidP="00DC5F42">
            <w:pPr>
              <w:jc w:val="right"/>
              <w:rPr>
                <w:rFonts w:eastAsia="Times New Roman"/>
                <w:sz w:val="20"/>
                <w:szCs w:val="20"/>
              </w:rPr>
            </w:pPr>
            <w:r w:rsidRPr="008E63BB">
              <w:rPr>
                <w:rFonts w:eastAsia="Times New Roman"/>
                <w:sz w:val="20"/>
                <w:szCs w:val="20"/>
              </w:rPr>
              <w:t>0,99</w:t>
            </w:r>
          </w:p>
        </w:tc>
        <w:tc>
          <w:tcPr>
            <w:tcW w:w="940" w:type="dxa"/>
            <w:tcBorders>
              <w:top w:val="nil"/>
              <w:left w:val="nil"/>
              <w:bottom w:val="single" w:sz="4" w:space="0" w:color="auto"/>
              <w:right w:val="single" w:sz="4" w:space="0" w:color="auto"/>
            </w:tcBorders>
            <w:shd w:val="clear" w:color="auto" w:fill="auto"/>
            <w:noWrap/>
            <w:vAlign w:val="center"/>
            <w:hideMark/>
          </w:tcPr>
          <w:p w14:paraId="519B2081" w14:textId="77777777" w:rsidR="00DC5F42" w:rsidRPr="008E63BB" w:rsidRDefault="00DC5F42" w:rsidP="00DC5F42">
            <w:pPr>
              <w:jc w:val="right"/>
              <w:rPr>
                <w:rFonts w:eastAsia="Times New Roman"/>
                <w:sz w:val="20"/>
                <w:szCs w:val="20"/>
              </w:rPr>
            </w:pPr>
            <w:r w:rsidRPr="008E63BB">
              <w:rPr>
                <w:rFonts w:eastAsia="Times New Roman"/>
                <w:sz w:val="20"/>
                <w:szCs w:val="20"/>
              </w:rPr>
              <w:t>3,11</w:t>
            </w:r>
          </w:p>
        </w:tc>
        <w:tc>
          <w:tcPr>
            <w:tcW w:w="930" w:type="dxa"/>
            <w:tcBorders>
              <w:top w:val="nil"/>
              <w:left w:val="nil"/>
              <w:bottom w:val="single" w:sz="4" w:space="0" w:color="auto"/>
              <w:right w:val="single" w:sz="4" w:space="0" w:color="auto"/>
            </w:tcBorders>
            <w:shd w:val="clear" w:color="auto" w:fill="auto"/>
            <w:noWrap/>
            <w:vAlign w:val="center"/>
            <w:hideMark/>
          </w:tcPr>
          <w:p w14:paraId="519B2082" w14:textId="77777777" w:rsidR="00DC5F42" w:rsidRPr="008E63BB" w:rsidRDefault="00DC5F42" w:rsidP="00DC5F42">
            <w:pPr>
              <w:jc w:val="right"/>
              <w:rPr>
                <w:rFonts w:eastAsia="Times New Roman"/>
                <w:sz w:val="20"/>
                <w:szCs w:val="20"/>
              </w:rPr>
            </w:pPr>
            <w:r w:rsidRPr="008E63BB">
              <w:rPr>
                <w:rFonts w:eastAsia="Times New Roman"/>
                <w:sz w:val="20"/>
                <w:szCs w:val="20"/>
              </w:rPr>
              <w:t>1,15</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83" w14:textId="77777777" w:rsidR="00DC5F42" w:rsidRPr="008E63BB" w:rsidRDefault="00DC5F42" w:rsidP="00DC5F42">
            <w:pPr>
              <w:jc w:val="right"/>
              <w:rPr>
                <w:rFonts w:eastAsia="Times New Roman"/>
                <w:sz w:val="20"/>
                <w:szCs w:val="20"/>
              </w:rPr>
            </w:pPr>
            <w:r w:rsidRPr="008E63BB">
              <w:rPr>
                <w:rFonts w:eastAsia="Times New Roman"/>
                <w:sz w:val="20"/>
                <w:szCs w:val="20"/>
              </w:rPr>
              <w:t>0,46</w:t>
            </w:r>
          </w:p>
        </w:tc>
        <w:tc>
          <w:tcPr>
            <w:tcW w:w="1000" w:type="dxa"/>
            <w:tcBorders>
              <w:top w:val="nil"/>
              <w:left w:val="nil"/>
              <w:bottom w:val="single" w:sz="4" w:space="0" w:color="auto"/>
              <w:right w:val="single" w:sz="4" w:space="0" w:color="auto"/>
            </w:tcBorders>
            <w:shd w:val="clear" w:color="auto" w:fill="auto"/>
            <w:noWrap/>
            <w:vAlign w:val="center"/>
            <w:hideMark/>
          </w:tcPr>
          <w:p w14:paraId="519B2084" w14:textId="77777777" w:rsidR="00DC5F42" w:rsidRPr="008E63BB" w:rsidRDefault="00DC5F42" w:rsidP="00DC5F42">
            <w:pPr>
              <w:jc w:val="right"/>
              <w:rPr>
                <w:rFonts w:eastAsia="Times New Roman"/>
                <w:sz w:val="20"/>
                <w:szCs w:val="20"/>
              </w:rPr>
            </w:pPr>
            <w:r w:rsidRPr="008E63BB">
              <w:rPr>
                <w:sz w:val="20"/>
                <w:szCs w:val="20"/>
              </w:rPr>
              <w:t>-1,17</w:t>
            </w:r>
          </w:p>
        </w:tc>
        <w:tc>
          <w:tcPr>
            <w:tcW w:w="920" w:type="dxa"/>
            <w:tcBorders>
              <w:top w:val="nil"/>
              <w:left w:val="nil"/>
              <w:bottom w:val="single" w:sz="4" w:space="0" w:color="auto"/>
              <w:right w:val="single" w:sz="4" w:space="0" w:color="auto"/>
            </w:tcBorders>
            <w:shd w:val="clear" w:color="auto" w:fill="auto"/>
            <w:noWrap/>
            <w:vAlign w:val="center"/>
            <w:hideMark/>
          </w:tcPr>
          <w:p w14:paraId="519B2085" w14:textId="77777777" w:rsidR="00DC5F42" w:rsidRPr="008E63BB" w:rsidRDefault="00DC5F42" w:rsidP="00DC5F42">
            <w:pPr>
              <w:jc w:val="right"/>
              <w:rPr>
                <w:rFonts w:eastAsia="Times New Roman"/>
                <w:sz w:val="20"/>
                <w:szCs w:val="20"/>
              </w:rPr>
            </w:pPr>
            <w:r w:rsidRPr="008E63BB">
              <w:rPr>
                <w:sz w:val="20"/>
                <w:szCs w:val="20"/>
              </w:rPr>
              <w:t>0,86</w:t>
            </w:r>
          </w:p>
        </w:tc>
      </w:tr>
      <w:tr w:rsidR="008D5BFE" w:rsidRPr="008E63BB" w14:paraId="519B2090"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87" w14:textId="77777777" w:rsidR="00DC5F42" w:rsidRPr="008E63BB" w:rsidRDefault="00DC5F42" w:rsidP="00DC5F42">
            <w:pPr>
              <w:jc w:val="right"/>
              <w:rPr>
                <w:rFonts w:eastAsia="Times New Roman"/>
                <w:sz w:val="20"/>
                <w:szCs w:val="20"/>
              </w:rPr>
            </w:pPr>
            <w:r w:rsidRPr="008E63BB">
              <w:rPr>
                <w:rFonts w:eastAsia="Times New Roman"/>
                <w:sz w:val="20"/>
                <w:szCs w:val="20"/>
              </w:rPr>
              <w:t>4</w:t>
            </w:r>
          </w:p>
        </w:tc>
        <w:tc>
          <w:tcPr>
            <w:tcW w:w="1971" w:type="dxa"/>
            <w:tcBorders>
              <w:top w:val="nil"/>
              <w:left w:val="nil"/>
              <w:bottom w:val="single" w:sz="4" w:space="0" w:color="auto"/>
              <w:right w:val="single" w:sz="4" w:space="0" w:color="auto"/>
            </w:tcBorders>
            <w:shd w:val="clear" w:color="auto" w:fill="auto"/>
            <w:vAlign w:val="center"/>
            <w:hideMark/>
          </w:tcPr>
          <w:p w14:paraId="519B2088" w14:textId="77777777" w:rsidR="00DC5F42" w:rsidRPr="008E63BB" w:rsidRDefault="00DC5F42" w:rsidP="00DC5F42">
            <w:pPr>
              <w:jc w:val="left"/>
              <w:rPr>
                <w:rFonts w:eastAsia="Times New Roman"/>
                <w:sz w:val="20"/>
                <w:szCs w:val="20"/>
              </w:rPr>
            </w:pPr>
            <w:r w:rsidRPr="008E63BB">
              <w:rPr>
                <w:rFonts w:eastAsia="Times New Roman"/>
                <w:sz w:val="20"/>
                <w:szCs w:val="20"/>
              </w:rPr>
              <w:t>Vị Xuyên</w:t>
            </w:r>
          </w:p>
        </w:tc>
        <w:tc>
          <w:tcPr>
            <w:tcW w:w="940" w:type="dxa"/>
            <w:tcBorders>
              <w:top w:val="nil"/>
              <w:left w:val="nil"/>
              <w:bottom w:val="single" w:sz="4" w:space="0" w:color="auto"/>
              <w:right w:val="single" w:sz="4" w:space="0" w:color="auto"/>
            </w:tcBorders>
            <w:shd w:val="clear" w:color="auto" w:fill="auto"/>
            <w:noWrap/>
            <w:vAlign w:val="center"/>
            <w:hideMark/>
          </w:tcPr>
          <w:p w14:paraId="519B2089" w14:textId="77777777" w:rsidR="00DC5F42" w:rsidRPr="008E63BB" w:rsidRDefault="00DC5F42" w:rsidP="00DC5F42">
            <w:pPr>
              <w:jc w:val="right"/>
              <w:rPr>
                <w:rFonts w:eastAsia="Times New Roman"/>
                <w:sz w:val="20"/>
                <w:szCs w:val="20"/>
              </w:rPr>
            </w:pPr>
            <w:r w:rsidRPr="008E63BB">
              <w:rPr>
                <w:rFonts w:eastAsia="Times New Roman"/>
                <w:sz w:val="20"/>
                <w:szCs w:val="20"/>
              </w:rPr>
              <w:t>0,23</w:t>
            </w:r>
          </w:p>
        </w:tc>
        <w:tc>
          <w:tcPr>
            <w:tcW w:w="1000" w:type="dxa"/>
            <w:tcBorders>
              <w:top w:val="nil"/>
              <w:left w:val="nil"/>
              <w:bottom w:val="single" w:sz="4" w:space="0" w:color="auto"/>
              <w:right w:val="single" w:sz="4" w:space="0" w:color="auto"/>
            </w:tcBorders>
            <w:shd w:val="clear" w:color="auto" w:fill="auto"/>
            <w:noWrap/>
            <w:vAlign w:val="center"/>
            <w:hideMark/>
          </w:tcPr>
          <w:p w14:paraId="519B208A" w14:textId="77777777" w:rsidR="00DC5F42" w:rsidRPr="008E63BB" w:rsidRDefault="00DC5F42" w:rsidP="00DC5F42">
            <w:pPr>
              <w:jc w:val="right"/>
              <w:rPr>
                <w:rFonts w:eastAsia="Times New Roman"/>
                <w:sz w:val="20"/>
                <w:szCs w:val="20"/>
              </w:rPr>
            </w:pPr>
            <w:r w:rsidRPr="008E63BB">
              <w:rPr>
                <w:rFonts w:eastAsia="Times New Roman"/>
                <w:sz w:val="20"/>
                <w:szCs w:val="20"/>
              </w:rPr>
              <w:t>0,96</w:t>
            </w:r>
          </w:p>
        </w:tc>
        <w:tc>
          <w:tcPr>
            <w:tcW w:w="940" w:type="dxa"/>
            <w:tcBorders>
              <w:top w:val="nil"/>
              <w:left w:val="nil"/>
              <w:bottom w:val="single" w:sz="4" w:space="0" w:color="auto"/>
              <w:right w:val="single" w:sz="4" w:space="0" w:color="auto"/>
            </w:tcBorders>
            <w:shd w:val="clear" w:color="auto" w:fill="auto"/>
            <w:noWrap/>
            <w:vAlign w:val="center"/>
            <w:hideMark/>
          </w:tcPr>
          <w:p w14:paraId="519B208B" w14:textId="77777777" w:rsidR="00DC5F42" w:rsidRPr="008E63BB" w:rsidRDefault="00DC5F42" w:rsidP="00DC5F42">
            <w:pPr>
              <w:jc w:val="right"/>
              <w:rPr>
                <w:rFonts w:eastAsia="Times New Roman"/>
                <w:sz w:val="20"/>
                <w:szCs w:val="20"/>
              </w:rPr>
            </w:pPr>
            <w:r w:rsidRPr="008E63BB">
              <w:rPr>
                <w:rFonts w:eastAsia="Times New Roman"/>
                <w:sz w:val="20"/>
                <w:szCs w:val="20"/>
              </w:rPr>
              <w:t>-27,29</w:t>
            </w:r>
          </w:p>
        </w:tc>
        <w:tc>
          <w:tcPr>
            <w:tcW w:w="930" w:type="dxa"/>
            <w:tcBorders>
              <w:top w:val="nil"/>
              <w:left w:val="nil"/>
              <w:bottom w:val="single" w:sz="4" w:space="0" w:color="auto"/>
              <w:right w:val="single" w:sz="4" w:space="0" w:color="auto"/>
            </w:tcBorders>
            <w:shd w:val="clear" w:color="auto" w:fill="auto"/>
            <w:noWrap/>
            <w:vAlign w:val="center"/>
            <w:hideMark/>
          </w:tcPr>
          <w:p w14:paraId="519B208C" w14:textId="77777777" w:rsidR="00DC5F42" w:rsidRPr="008E63BB" w:rsidRDefault="00DC5F42" w:rsidP="00DC5F42">
            <w:pPr>
              <w:jc w:val="right"/>
              <w:rPr>
                <w:rFonts w:eastAsia="Times New Roman"/>
                <w:sz w:val="20"/>
                <w:szCs w:val="20"/>
              </w:rPr>
            </w:pPr>
            <w:r w:rsidRPr="008E63BB">
              <w:rPr>
                <w:rFonts w:eastAsia="Times New Roman"/>
                <w:sz w:val="20"/>
                <w:szCs w:val="20"/>
              </w:rPr>
              <w:t>40,35</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8D" w14:textId="77777777" w:rsidR="00DC5F42" w:rsidRPr="008E63BB" w:rsidRDefault="00DC5F42" w:rsidP="00DC5F42">
            <w:pPr>
              <w:jc w:val="right"/>
              <w:rPr>
                <w:rFonts w:eastAsia="Times New Roman"/>
                <w:sz w:val="20"/>
                <w:szCs w:val="20"/>
              </w:rPr>
            </w:pPr>
            <w:r w:rsidRPr="008E63BB">
              <w:rPr>
                <w:rFonts w:eastAsia="Times New Roman"/>
                <w:sz w:val="20"/>
                <w:szCs w:val="20"/>
              </w:rPr>
              <w:t>1,39</w:t>
            </w:r>
          </w:p>
        </w:tc>
        <w:tc>
          <w:tcPr>
            <w:tcW w:w="1000" w:type="dxa"/>
            <w:tcBorders>
              <w:top w:val="nil"/>
              <w:left w:val="nil"/>
              <w:bottom w:val="single" w:sz="4" w:space="0" w:color="auto"/>
              <w:right w:val="single" w:sz="4" w:space="0" w:color="auto"/>
            </w:tcBorders>
            <w:shd w:val="clear" w:color="auto" w:fill="auto"/>
            <w:noWrap/>
            <w:vAlign w:val="center"/>
            <w:hideMark/>
          </w:tcPr>
          <w:p w14:paraId="519B208E" w14:textId="77777777" w:rsidR="00DC5F42" w:rsidRPr="008E63BB" w:rsidRDefault="00DC5F42" w:rsidP="00DC5F42">
            <w:pPr>
              <w:jc w:val="right"/>
              <w:rPr>
                <w:rFonts w:eastAsia="Times New Roman"/>
                <w:sz w:val="20"/>
                <w:szCs w:val="20"/>
              </w:rPr>
            </w:pPr>
            <w:r w:rsidRPr="008E63BB">
              <w:rPr>
                <w:sz w:val="20"/>
                <w:szCs w:val="20"/>
              </w:rPr>
              <w:t>-0,64</w:t>
            </w:r>
          </w:p>
        </w:tc>
        <w:tc>
          <w:tcPr>
            <w:tcW w:w="920" w:type="dxa"/>
            <w:tcBorders>
              <w:top w:val="nil"/>
              <w:left w:val="nil"/>
              <w:bottom w:val="single" w:sz="4" w:space="0" w:color="auto"/>
              <w:right w:val="single" w:sz="4" w:space="0" w:color="auto"/>
            </w:tcBorders>
            <w:shd w:val="clear" w:color="auto" w:fill="auto"/>
            <w:noWrap/>
            <w:vAlign w:val="center"/>
            <w:hideMark/>
          </w:tcPr>
          <w:p w14:paraId="519B208F" w14:textId="77777777" w:rsidR="00DC5F42" w:rsidRPr="008E63BB" w:rsidRDefault="00DC5F42" w:rsidP="00DC5F42">
            <w:pPr>
              <w:jc w:val="right"/>
              <w:rPr>
                <w:rFonts w:eastAsia="Times New Roman"/>
                <w:sz w:val="20"/>
                <w:szCs w:val="20"/>
              </w:rPr>
            </w:pPr>
            <w:r w:rsidRPr="008E63BB">
              <w:rPr>
                <w:sz w:val="20"/>
                <w:szCs w:val="20"/>
              </w:rPr>
              <w:t>0,98</w:t>
            </w:r>
          </w:p>
        </w:tc>
      </w:tr>
      <w:tr w:rsidR="008D5BFE" w:rsidRPr="008E63BB" w14:paraId="519B209A"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91" w14:textId="77777777" w:rsidR="00DC5F42" w:rsidRPr="008E63BB" w:rsidRDefault="00DC5F42" w:rsidP="00DC5F42">
            <w:pPr>
              <w:jc w:val="right"/>
              <w:rPr>
                <w:rFonts w:eastAsia="Times New Roman"/>
                <w:sz w:val="20"/>
                <w:szCs w:val="20"/>
              </w:rPr>
            </w:pPr>
            <w:r w:rsidRPr="008E63BB">
              <w:rPr>
                <w:rFonts w:eastAsia="Times New Roman"/>
                <w:sz w:val="20"/>
                <w:szCs w:val="20"/>
              </w:rPr>
              <w:t>5</w:t>
            </w:r>
          </w:p>
        </w:tc>
        <w:tc>
          <w:tcPr>
            <w:tcW w:w="1971" w:type="dxa"/>
            <w:tcBorders>
              <w:top w:val="nil"/>
              <w:left w:val="nil"/>
              <w:bottom w:val="single" w:sz="4" w:space="0" w:color="auto"/>
              <w:right w:val="single" w:sz="4" w:space="0" w:color="auto"/>
            </w:tcBorders>
            <w:shd w:val="clear" w:color="auto" w:fill="auto"/>
            <w:vAlign w:val="center"/>
            <w:hideMark/>
          </w:tcPr>
          <w:p w14:paraId="519B2092" w14:textId="77777777" w:rsidR="00DC5F42" w:rsidRPr="008E63BB" w:rsidRDefault="00DC5F42" w:rsidP="00DC5F42">
            <w:pPr>
              <w:jc w:val="left"/>
              <w:rPr>
                <w:rFonts w:eastAsia="Times New Roman"/>
                <w:sz w:val="20"/>
                <w:szCs w:val="20"/>
              </w:rPr>
            </w:pPr>
            <w:r w:rsidRPr="008E63BB">
              <w:rPr>
                <w:rFonts w:eastAsia="Times New Roman"/>
                <w:sz w:val="20"/>
                <w:szCs w:val="20"/>
              </w:rPr>
              <w:t>Quang Trung</w:t>
            </w:r>
          </w:p>
        </w:tc>
        <w:tc>
          <w:tcPr>
            <w:tcW w:w="940" w:type="dxa"/>
            <w:tcBorders>
              <w:top w:val="nil"/>
              <w:left w:val="nil"/>
              <w:bottom w:val="single" w:sz="4" w:space="0" w:color="auto"/>
              <w:right w:val="single" w:sz="4" w:space="0" w:color="auto"/>
            </w:tcBorders>
            <w:shd w:val="clear" w:color="auto" w:fill="auto"/>
            <w:noWrap/>
            <w:vAlign w:val="center"/>
            <w:hideMark/>
          </w:tcPr>
          <w:p w14:paraId="519B2093" w14:textId="77777777" w:rsidR="00DC5F42" w:rsidRPr="008E63BB" w:rsidRDefault="00DC5F42" w:rsidP="00DC5F42">
            <w:pPr>
              <w:jc w:val="right"/>
              <w:rPr>
                <w:rFonts w:eastAsia="Times New Roman"/>
                <w:sz w:val="20"/>
                <w:szCs w:val="20"/>
              </w:rPr>
            </w:pPr>
            <w:r w:rsidRPr="008E63BB">
              <w:rPr>
                <w:rFonts w:eastAsia="Times New Roman"/>
                <w:sz w:val="20"/>
                <w:szCs w:val="20"/>
              </w:rPr>
              <w:t>2,28</w:t>
            </w:r>
          </w:p>
        </w:tc>
        <w:tc>
          <w:tcPr>
            <w:tcW w:w="1000" w:type="dxa"/>
            <w:tcBorders>
              <w:top w:val="nil"/>
              <w:left w:val="nil"/>
              <w:bottom w:val="single" w:sz="4" w:space="0" w:color="auto"/>
              <w:right w:val="single" w:sz="4" w:space="0" w:color="auto"/>
            </w:tcBorders>
            <w:shd w:val="clear" w:color="auto" w:fill="auto"/>
            <w:noWrap/>
            <w:vAlign w:val="center"/>
            <w:hideMark/>
          </w:tcPr>
          <w:p w14:paraId="519B2094" w14:textId="77777777" w:rsidR="00DC5F42" w:rsidRPr="008E63BB" w:rsidRDefault="00DC5F42" w:rsidP="00DC5F42">
            <w:pPr>
              <w:jc w:val="right"/>
              <w:rPr>
                <w:rFonts w:eastAsia="Times New Roman"/>
                <w:sz w:val="20"/>
                <w:szCs w:val="20"/>
              </w:rPr>
            </w:pPr>
            <w:r w:rsidRPr="008E63BB">
              <w:rPr>
                <w:rFonts w:eastAsia="Times New Roman"/>
                <w:sz w:val="20"/>
                <w:szCs w:val="20"/>
              </w:rPr>
              <w:t>0,36</w:t>
            </w:r>
          </w:p>
        </w:tc>
        <w:tc>
          <w:tcPr>
            <w:tcW w:w="940" w:type="dxa"/>
            <w:tcBorders>
              <w:top w:val="nil"/>
              <w:left w:val="nil"/>
              <w:bottom w:val="single" w:sz="4" w:space="0" w:color="auto"/>
              <w:right w:val="single" w:sz="4" w:space="0" w:color="auto"/>
            </w:tcBorders>
            <w:shd w:val="clear" w:color="auto" w:fill="auto"/>
            <w:noWrap/>
            <w:vAlign w:val="center"/>
            <w:hideMark/>
          </w:tcPr>
          <w:p w14:paraId="519B2095" w14:textId="77777777" w:rsidR="00DC5F42" w:rsidRPr="008E63BB" w:rsidRDefault="00DC5F42" w:rsidP="00DC5F42">
            <w:pPr>
              <w:jc w:val="right"/>
              <w:rPr>
                <w:rFonts w:eastAsia="Times New Roman"/>
                <w:sz w:val="20"/>
                <w:szCs w:val="20"/>
              </w:rPr>
            </w:pPr>
            <w:r w:rsidRPr="008E63BB">
              <w:rPr>
                <w:rFonts w:eastAsia="Times New Roman"/>
                <w:sz w:val="20"/>
                <w:szCs w:val="20"/>
              </w:rPr>
              <w:t>6,47</w:t>
            </w:r>
          </w:p>
        </w:tc>
        <w:tc>
          <w:tcPr>
            <w:tcW w:w="930" w:type="dxa"/>
            <w:tcBorders>
              <w:top w:val="nil"/>
              <w:left w:val="nil"/>
              <w:bottom w:val="single" w:sz="4" w:space="0" w:color="auto"/>
              <w:right w:val="single" w:sz="4" w:space="0" w:color="auto"/>
            </w:tcBorders>
            <w:shd w:val="clear" w:color="auto" w:fill="auto"/>
            <w:noWrap/>
            <w:vAlign w:val="center"/>
            <w:hideMark/>
          </w:tcPr>
          <w:p w14:paraId="519B2096" w14:textId="77777777" w:rsidR="00DC5F42" w:rsidRPr="008E63BB" w:rsidRDefault="00DC5F42" w:rsidP="00DC5F42">
            <w:pPr>
              <w:jc w:val="right"/>
              <w:rPr>
                <w:rFonts w:eastAsia="Times New Roman"/>
                <w:sz w:val="20"/>
                <w:szCs w:val="20"/>
              </w:rPr>
            </w:pPr>
            <w:r w:rsidRPr="008E63BB">
              <w:rPr>
                <w:rFonts w:eastAsia="Times New Roman"/>
                <w:sz w:val="20"/>
                <w:szCs w:val="20"/>
              </w:rPr>
              <w:t>-4,46</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97" w14:textId="77777777" w:rsidR="00DC5F42" w:rsidRPr="008E63BB" w:rsidRDefault="00DC5F42" w:rsidP="00DC5F42">
            <w:pPr>
              <w:jc w:val="right"/>
              <w:rPr>
                <w:rFonts w:eastAsia="Times New Roman"/>
                <w:sz w:val="20"/>
                <w:szCs w:val="20"/>
              </w:rPr>
            </w:pPr>
            <w:r w:rsidRPr="008E63BB">
              <w:rPr>
                <w:rFonts w:eastAsia="Times New Roman"/>
                <w:sz w:val="20"/>
                <w:szCs w:val="20"/>
              </w:rPr>
              <w:t>1,71</w:t>
            </w:r>
          </w:p>
        </w:tc>
        <w:tc>
          <w:tcPr>
            <w:tcW w:w="1000" w:type="dxa"/>
            <w:tcBorders>
              <w:top w:val="nil"/>
              <w:left w:val="nil"/>
              <w:bottom w:val="single" w:sz="4" w:space="0" w:color="auto"/>
              <w:right w:val="single" w:sz="4" w:space="0" w:color="auto"/>
            </w:tcBorders>
            <w:shd w:val="clear" w:color="auto" w:fill="auto"/>
            <w:noWrap/>
            <w:vAlign w:val="center"/>
            <w:hideMark/>
          </w:tcPr>
          <w:p w14:paraId="519B2098" w14:textId="77777777" w:rsidR="00DC5F42" w:rsidRPr="008E63BB" w:rsidRDefault="00DC5F42" w:rsidP="00DC5F42">
            <w:pPr>
              <w:jc w:val="right"/>
              <w:rPr>
                <w:rFonts w:eastAsia="Times New Roman"/>
                <w:sz w:val="20"/>
                <w:szCs w:val="20"/>
              </w:rPr>
            </w:pPr>
            <w:r w:rsidRPr="008E63BB">
              <w:rPr>
                <w:sz w:val="20"/>
                <w:szCs w:val="20"/>
              </w:rPr>
              <w:t>-0,86</w:t>
            </w:r>
          </w:p>
        </w:tc>
        <w:tc>
          <w:tcPr>
            <w:tcW w:w="920" w:type="dxa"/>
            <w:tcBorders>
              <w:top w:val="nil"/>
              <w:left w:val="nil"/>
              <w:bottom w:val="single" w:sz="4" w:space="0" w:color="auto"/>
              <w:right w:val="single" w:sz="4" w:space="0" w:color="auto"/>
            </w:tcBorders>
            <w:shd w:val="clear" w:color="auto" w:fill="auto"/>
            <w:noWrap/>
            <w:vAlign w:val="center"/>
            <w:hideMark/>
          </w:tcPr>
          <w:p w14:paraId="519B2099" w14:textId="77777777" w:rsidR="00DC5F42" w:rsidRPr="008E63BB" w:rsidRDefault="00DC5F42" w:rsidP="00DC5F42">
            <w:pPr>
              <w:jc w:val="right"/>
              <w:rPr>
                <w:rFonts w:eastAsia="Times New Roman"/>
                <w:sz w:val="20"/>
                <w:szCs w:val="20"/>
              </w:rPr>
            </w:pPr>
            <w:r w:rsidRPr="008E63BB">
              <w:rPr>
                <w:sz w:val="20"/>
                <w:szCs w:val="20"/>
              </w:rPr>
              <w:t>1,24</w:t>
            </w:r>
          </w:p>
        </w:tc>
      </w:tr>
      <w:tr w:rsidR="008D5BFE" w:rsidRPr="008E63BB" w14:paraId="519B20A4"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9B" w14:textId="77777777" w:rsidR="00DC5F42" w:rsidRPr="008E63BB" w:rsidRDefault="00DC5F42" w:rsidP="00DC5F42">
            <w:pPr>
              <w:jc w:val="right"/>
              <w:rPr>
                <w:rFonts w:eastAsia="Times New Roman"/>
                <w:sz w:val="20"/>
                <w:szCs w:val="20"/>
              </w:rPr>
            </w:pPr>
            <w:r w:rsidRPr="008E63BB">
              <w:rPr>
                <w:rFonts w:eastAsia="Times New Roman"/>
                <w:sz w:val="20"/>
                <w:szCs w:val="20"/>
              </w:rPr>
              <w:t>6</w:t>
            </w:r>
          </w:p>
        </w:tc>
        <w:tc>
          <w:tcPr>
            <w:tcW w:w="1971" w:type="dxa"/>
            <w:tcBorders>
              <w:top w:val="nil"/>
              <w:left w:val="nil"/>
              <w:bottom w:val="single" w:sz="4" w:space="0" w:color="auto"/>
              <w:right w:val="single" w:sz="4" w:space="0" w:color="auto"/>
            </w:tcBorders>
            <w:shd w:val="clear" w:color="auto" w:fill="auto"/>
            <w:vAlign w:val="center"/>
            <w:hideMark/>
          </w:tcPr>
          <w:p w14:paraId="519B209C" w14:textId="77777777" w:rsidR="00DC5F42" w:rsidRPr="008E63BB" w:rsidRDefault="00DC5F42" w:rsidP="00DC5F42">
            <w:pPr>
              <w:jc w:val="left"/>
              <w:rPr>
                <w:rFonts w:eastAsia="Times New Roman"/>
                <w:sz w:val="20"/>
                <w:szCs w:val="20"/>
              </w:rPr>
            </w:pPr>
            <w:r w:rsidRPr="008E63BB">
              <w:rPr>
                <w:rFonts w:eastAsia="Times New Roman"/>
                <w:sz w:val="20"/>
                <w:szCs w:val="20"/>
              </w:rPr>
              <w:t>Cửa Bắc</w:t>
            </w:r>
          </w:p>
        </w:tc>
        <w:tc>
          <w:tcPr>
            <w:tcW w:w="940" w:type="dxa"/>
            <w:tcBorders>
              <w:top w:val="nil"/>
              <w:left w:val="nil"/>
              <w:bottom w:val="single" w:sz="4" w:space="0" w:color="auto"/>
              <w:right w:val="single" w:sz="4" w:space="0" w:color="auto"/>
            </w:tcBorders>
            <w:shd w:val="clear" w:color="auto" w:fill="auto"/>
            <w:noWrap/>
            <w:vAlign w:val="center"/>
            <w:hideMark/>
          </w:tcPr>
          <w:p w14:paraId="519B209D" w14:textId="77777777" w:rsidR="00DC5F42" w:rsidRPr="008E63BB" w:rsidRDefault="00DC5F42" w:rsidP="00DC5F42">
            <w:pPr>
              <w:jc w:val="right"/>
              <w:rPr>
                <w:rFonts w:eastAsia="Times New Roman"/>
                <w:sz w:val="20"/>
                <w:szCs w:val="20"/>
              </w:rPr>
            </w:pPr>
            <w:r w:rsidRPr="008E63BB">
              <w:rPr>
                <w:rFonts w:eastAsia="Times New Roman"/>
                <w:sz w:val="20"/>
                <w:szCs w:val="20"/>
              </w:rPr>
              <w:t>1,54</w:t>
            </w:r>
          </w:p>
        </w:tc>
        <w:tc>
          <w:tcPr>
            <w:tcW w:w="1000" w:type="dxa"/>
            <w:tcBorders>
              <w:top w:val="nil"/>
              <w:left w:val="nil"/>
              <w:bottom w:val="single" w:sz="4" w:space="0" w:color="auto"/>
              <w:right w:val="single" w:sz="4" w:space="0" w:color="auto"/>
            </w:tcBorders>
            <w:shd w:val="clear" w:color="auto" w:fill="auto"/>
            <w:noWrap/>
            <w:vAlign w:val="center"/>
            <w:hideMark/>
          </w:tcPr>
          <w:p w14:paraId="519B209E" w14:textId="77777777" w:rsidR="00DC5F42" w:rsidRPr="008E63BB" w:rsidRDefault="00DC5F42" w:rsidP="00DC5F42">
            <w:pPr>
              <w:jc w:val="right"/>
              <w:rPr>
                <w:rFonts w:eastAsia="Times New Roman"/>
                <w:sz w:val="20"/>
                <w:szCs w:val="20"/>
              </w:rPr>
            </w:pPr>
            <w:r w:rsidRPr="008E63BB">
              <w:rPr>
                <w:rFonts w:eastAsia="Times New Roman"/>
                <w:sz w:val="20"/>
                <w:szCs w:val="20"/>
              </w:rPr>
              <w:t>0,80</w:t>
            </w:r>
          </w:p>
        </w:tc>
        <w:tc>
          <w:tcPr>
            <w:tcW w:w="940" w:type="dxa"/>
            <w:tcBorders>
              <w:top w:val="nil"/>
              <w:left w:val="nil"/>
              <w:bottom w:val="single" w:sz="4" w:space="0" w:color="auto"/>
              <w:right w:val="single" w:sz="4" w:space="0" w:color="auto"/>
            </w:tcBorders>
            <w:shd w:val="clear" w:color="auto" w:fill="auto"/>
            <w:noWrap/>
            <w:vAlign w:val="center"/>
            <w:hideMark/>
          </w:tcPr>
          <w:p w14:paraId="519B209F" w14:textId="77777777" w:rsidR="00DC5F42" w:rsidRPr="008E63BB" w:rsidRDefault="00DC5F42" w:rsidP="00DC5F42">
            <w:pPr>
              <w:jc w:val="right"/>
              <w:rPr>
                <w:rFonts w:eastAsia="Times New Roman"/>
                <w:sz w:val="20"/>
                <w:szCs w:val="20"/>
              </w:rPr>
            </w:pPr>
            <w:r w:rsidRPr="008E63BB">
              <w:rPr>
                <w:rFonts w:eastAsia="Times New Roman"/>
                <w:sz w:val="20"/>
                <w:szCs w:val="20"/>
              </w:rPr>
              <w:t>0,63</w:t>
            </w:r>
          </w:p>
        </w:tc>
        <w:tc>
          <w:tcPr>
            <w:tcW w:w="930" w:type="dxa"/>
            <w:tcBorders>
              <w:top w:val="nil"/>
              <w:left w:val="nil"/>
              <w:bottom w:val="single" w:sz="4" w:space="0" w:color="auto"/>
              <w:right w:val="single" w:sz="4" w:space="0" w:color="auto"/>
            </w:tcBorders>
            <w:shd w:val="clear" w:color="auto" w:fill="auto"/>
            <w:noWrap/>
            <w:vAlign w:val="center"/>
            <w:hideMark/>
          </w:tcPr>
          <w:p w14:paraId="519B20A0" w14:textId="77777777" w:rsidR="00DC5F42" w:rsidRPr="008E63BB" w:rsidRDefault="00DC5F42" w:rsidP="00DC5F42">
            <w:pPr>
              <w:jc w:val="right"/>
              <w:rPr>
                <w:rFonts w:eastAsia="Times New Roman"/>
                <w:sz w:val="20"/>
                <w:szCs w:val="20"/>
              </w:rPr>
            </w:pPr>
            <w:r w:rsidRPr="008E63BB">
              <w:rPr>
                <w:rFonts w:eastAsia="Times New Roman"/>
                <w:sz w:val="20"/>
                <w:szCs w:val="20"/>
              </w:rPr>
              <w:t>-4,06</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A1" w14:textId="77777777" w:rsidR="00DC5F42" w:rsidRPr="008E63BB" w:rsidRDefault="00DC5F42" w:rsidP="00DC5F42">
            <w:pPr>
              <w:jc w:val="right"/>
              <w:rPr>
                <w:rFonts w:eastAsia="Times New Roman"/>
                <w:sz w:val="20"/>
                <w:szCs w:val="20"/>
              </w:rPr>
            </w:pPr>
            <w:r w:rsidRPr="008E63BB">
              <w:rPr>
                <w:rFonts w:eastAsia="Times New Roman"/>
                <w:sz w:val="20"/>
                <w:szCs w:val="20"/>
              </w:rPr>
              <w:t>0,91</w:t>
            </w:r>
          </w:p>
        </w:tc>
        <w:tc>
          <w:tcPr>
            <w:tcW w:w="1000" w:type="dxa"/>
            <w:tcBorders>
              <w:top w:val="nil"/>
              <w:left w:val="nil"/>
              <w:bottom w:val="single" w:sz="4" w:space="0" w:color="auto"/>
              <w:right w:val="single" w:sz="4" w:space="0" w:color="auto"/>
            </w:tcBorders>
            <w:shd w:val="clear" w:color="auto" w:fill="auto"/>
            <w:noWrap/>
            <w:vAlign w:val="center"/>
            <w:hideMark/>
          </w:tcPr>
          <w:p w14:paraId="519B20A2" w14:textId="77777777" w:rsidR="00DC5F42" w:rsidRPr="008E63BB" w:rsidRDefault="00DC5F42" w:rsidP="00DC5F42">
            <w:pPr>
              <w:jc w:val="right"/>
              <w:rPr>
                <w:rFonts w:eastAsia="Times New Roman"/>
                <w:sz w:val="20"/>
                <w:szCs w:val="20"/>
              </w:rPr>
            </w:pPr>
            <w:r w:rsidRPr="008E63BB">
              <w:rPr>
                <w:sz w:val="20"/>
                <w:szCs w:val="20"/>
              </w:rPr>
              <w:t>0,24</w:t>
            </w:r>
          </w:p>
        </w:tc>
        <w:tc>
          <w:tcPr>
            <w:tcW w:w="920" w:type="dxa"/>
            <w:tcBorders>
              <w:top w:val="nil"/>
              <w:left w:val="nil"/>
              <w:bottom w:val="single" w:sz="4" w:space="0" w:color="auto"/>
              <w:right w:val="single" w:sz="4" w:space="0" w:color="auto"/>
            </w:tcBorders>
            <w:shd w:val="clear" w:color="auto" w:fill="auto"/>
            <w:noWrap/>
            <w:vAlign w:val="center"/>
            <w:hideMark/>
          </w:tcPr>
          <w:p w14:paraId="519B20A3" w14:textId="77777777" w:rsidR="00DC5F42" w:rsidRPr="008E63BB" w:rsidRDefault="00DC5F42" w:rsidP="00DC5F42">
            <w:pPr>
              <w:jc w:val="right"/>
              <w:rPr>
                <w:rFonts w:eastAsia="Times New Roman"/>
                <w:sz w:val="20"/>
                <w:szCs w:val="20"/>
              </w:rPr>
            </w:pPr>
            <w:r w:rsidRPr="008E63BB">
              <w:rPr>
                <w:sz w:val="20"/>
                <w:szCs w:val="20"/>
              </w:rPr>
              <w:t>0,27</w:t>
            </w:r>
          </w:p>
        </w:tc>
      </w:tr>
      <w:tr w:rsidR="008D5BFE" w:rsidRPr="008E63BB" w14:paraId="519B20AE"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A5" w14:textId="77777777" w:rsidR="00DC5F42" w:rsidRPr="008E63BB" w:rsidRDefault="00DC5F42" w:rsidP="00DC5F42">
            <w:pPr>
              <w:jc w:val="right"/>
              <w:rPr>
                <w:rFonts w:eastAsia="Times New Roman"/>
                <w:sz w:val="20"/>
                <w:szCs w:val="20"/>
              </w:rPr>
            </w:pPr>
            <w:r w:rsidRPr="008E63BB">
              <w:rPr>
                <w:rFonts w:eastAsia="Times New Roman"/>
                <w:sz w:val="20"/>
                <w:szCs w:val="20"/>
              </w:rPr>
              <w:t>7</w:t>
            </w:r>
          </w:p>
        </w:tc>
        <w:tc>
          <w:tcPr>
            <w:tcW w:w="1971" w:type="dxa"/>
            <w:tcBorders>
              <w:top w:val="nil"/>
              <w:left w:val="nil"/>
              <w:bottom w:val="single" w:sz="4" w:space="0" w:color="auto"/>
              <w:right w:val="single" w:sz="4" w:space="0" w:color="auto"/>
            </w:tcBorders>
            <w:shd w:val="clear" w:color="auto" w:fill="auto"/>
            <w:vAlign w:val="center"/>
            <w:hideMark/>
          </w:tcPr>
          <w:p w14:paraId="519B20A6" w14:textId="77777777" w:rsidR="00DC5F42" w:rsidRPr="008E63BB" w:rsidRDefault="00DC5F42" w:rsidP="00DC5F42">
            <w:pPr>
              <w:jc w:val="left"/>
              <w:rPr>
                <w:rFonts w:eastAsia="Times New Roman"/>
                <w:sz w:val="20"/>
                <w:szCs w:val="20"/>
              </w:rPr>
            </w:pPr>
            <w:r w:rsidRPr="008E63BB">
              <w:rPr>
                <w:rFonts w:eastAsia="Times New Roman"/>
                <w:sz w:val="20"/>
                <w:szCs w:val="20"/>
              </w:rPr>
              <w:t>Nguyễn Du</w:t>
            </w:r>
          </w:p>
        </w:tc>
        <w:tc>
          <w:tcPr>
            <w:tcW w:w="940" w:type="dxa"/>
            <w:tcBorders>
              <w:top w:val="nil"/>
              <w:left w:val="nil"/>
              <w:bottom w:val="single" w:sz="4" w:space="0" w:color="auto"/>
              <w:right w:val="single" w:sz="4" w:space="0" w:color="auto"/>
            </w:tcBorders>
            <w:shd w:val="clear" w:color="auto" w:fill="auto"/>
            <w:noWrap/>
            <w:vAlign w:val="center"/>
            <w:hideMark/>
          </w:tcPr>
          <w:p w14:paraId="519B20A7" w14:textId="77777777" w:rsidR="00DC5F42" w:rsidRPr="008E63BB" w:rsidRDefault="00DC5F42" w:rsidP="00DC5F42">
            <w:pPr>
              <w:jc w:val="right"/>
              <w:rPr>
                <w:rFonts w:eastAsia="Times New Roman"/>
                <w:sz w:val="20"/>
                <w:szCs w:val="20"/>
              </w:rPr>
            </w:pPr>
            <w:r w:rsidRPr="008E63BB">
              <w:rPr>
                <w:rFonts w:eastAsia="Times New Roman"/>
                <w:sz w:val="20"/>
                <w:szCs w:val="20"/>
              </w:rPr>
              <w:t>1,47</w:t>
            </w:r>
          </w:p>
        </w:tc>
        <w:tc>
          <w:tcPr>
            <w:tcW w:w="1000" w:type="dxa"/>
            <w:tcBorders>
              <w:top w:val="nil"/>
              <w:left w:val="nil"/>
              <w:bottom w:val="single" w:sz="4" w:space="0" w:color="auto"/>
              <w:right w:val="single" w:sz="4" w:space="0" w:color="auto"/>
            </w:tcBorders>
            <w:shd w:val="clear" w:color="auto" w:fill="auto"/>
            <w:noWrap/>
            <w:vAlign w:val="center"/>
            <w:hideMark/>
          </w:tcPr>
          <w:p w14:paraId="519B20A8" w14:textId="77777777" w:rsidR="00DC5F42" w:rsidRPr="008E63BB" w:rsidRDefault="00DC5F42" w:rsidP="00DC5F42">
            <w:pPr>
              <w:jc w:val="right"/>
              <w:rPr>
                <w:rFonts w:eastAsia="Times New Roman"/>
                <w:sz w:val="20"/>
                <w:szCs w:val="20"/>
              </w:rPr>
            </w:pPr>
            <w:r w:rsidRPr="008E63BB">
              <w:rPr>
                <w:rFonts w:eastAsia="Times New Roman"/>
                <w:sz w:val="20"/>
                <w:szCs w:val="20"/>
              </w:rPr>
              <w:t>0,79</w:t>
            </w:r>
          </w:p>
        </w:tc>
        <w:tc>
          <w:tcPr>
            <w:tcW w:w="940" w:type="dxa"/>
            <w:tcBorders>
              <w:top w:val="nil"/>
              <w:left w:val="nil"/>
              <w:bottom w:val="single" w:sz="4" w:space="0" w:color="auto"/>
              <w:right w:val="single" w:sz="4" w:space="0" w:color="auto"/>
            </w:tcBorders>
            <w:shd w:val="clear" w:color="auto" w:fill="auto"/>
            <w:noWrap/>
            <w:vAlign w:val="center"/>
            <w:hideMark/>
          </w:tcPr>
          <w:p w14:paraId="519B20A9" w14:textId="77777777" w:rsidR="00DC5F42" w:rsidRPr="008E63BB" w:rsidRDefault="00DC5F42" w:rsidP="00DC5F42">
            <w:pPr>
              <w:jc w:val="right"/>
              <w:rPr>
                <w:rFonts w:eastAsia="Times New Roman"/>
                <w:sz w:val="20"/>
                <w:szCs w:val="20"/>
              </w:rPr>
            </w:pPr>
            <w:r w:rsidRPr="008E63BB">
              <w:rPr>
                <w:rFonts w:eastAsia="Times New Roman"/>
                <w:sz w:val="20"/>
                <w:szCs w:val="20"/>
              </w:rPr>
              <w:t>3,11</w:t>
            </w:r>
          </w:p>
        </w:tc>
        <w:tc>
          <w:tcPr>
            <w:tcW w:w="930" w:type="dxa"/>
            <w:tcBorders>
              <w:top w:val="nil"/>
              <w:left w:val="nil"/>
              <w:bottom w:val="single" w:sz="4" w:space="0" w:color="auto"/>
              <w:right w:val="single" w:sz="4" w:space="0" w:color="auto"/>
            </w:tcBorders>
            <w:shd w:val="clear" w:color="auto" w:fill="auto"/>
            <w:noWrap/>
            <w:vAlign w:val="center"/>
            <w:hideMark/>
          </w:tcPr>
          <w:p w14:paraId="519B20AA" w14:textId="77777777" w:rsidR="00DC5F42" w:rsidRPr="008E63BB" w:rsidRDefault="00DC5F42" w:rsidP="00DC5F42">
            <w:pPr>
              <w:jc w:val="right"/>
              <w:rPr>
                <w:rFonts w:eastAsia="Times New Roman"/>
                <w:sz w:val="20"/>
                <w:szCs w:val="20"/>
              </w:rPr>
            </w:pPr>
            <w:r w:rsidRPr="008E63BB">
              <w:rPr>
                <w:rFonts w:eastAsia="Times New Roman"/>
                <w:sz w:val="20"/>
                <w:szCs w:val="20"/>
              </w:rPr>
              <w:t>-1,54</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AB" w14:textId="77777777" w:rsidR="00DC5F42" w:rsidRPr="008E63BB" w:rsidRDefault="00DC5F42" w:rsidP="00DC5F42">
            <w:pPr>
              <w:jc w:val="right"/>
              <w:rPr>
                <w:rFonts w:eastAsia="Times New Roman"/>
                <w:sz w:val="20"/>
                <w:szCs w:val="20"/>
              </w:rPr>
            </w:pPr>
            <w:r w:rsidRPr="008E63BB">
              <w:rPr>
                <w:rFonts w:eastAsia="Times New Roman"/>
                <w:sz w:val="20"/>
                <w:szCs w:val="20"/>
              </w:rPr>
              <w:t>0,23</w:t>
            </w:r>
          </w:p>
        </w:tc>
        <w:tc>
          <w:tcPr>
            <w:tcW w:w="1000" w:type="dxa"/>
            <w:tcBorders>
              <w:top w:val="nil"/>
              <w:left w:val="nil"/>
              <w:bottom w:val="single" w:sz="4" w:space="0" w:color="auto"/>
              <w:right w:val="single" w:sz="4" w:space="0" w:color="auto"/>
            </w:tcBorders>
            <w:shd w:val="clear" w:color="auto" w:fill="auto"/>
            <w:noWrap/>
            <w:vAlign w:val="center"/>
            <w:hideMark/>
          </w:tcPr>
          <w:p w14:paraId="519B20AC" w14:textId="77777777" w:rsidR="00DC5F42" w:rsidRPr="008E63BB" w:rsidRDefault="00DC5F42" w:rsidP="00DC5F42">
            <w:pPr>
              <w:jc w:val="right"/>
              <w:rPr>
                <w:rFonts w:eastAsia="Times New Roman"/>
                <w:sz w:val="20"/>
                <w:szCs w:val="20"/>
              </w:rPr>
            </w:pPr>
            <w:r w:rsidRPr="008E63BB">
              <w:rPr>
                <w:sz w:val="20"/>
                <w:szCs w:val="20"/>
              </w:rPr>
              <w:t>-0,75</w:t>
            </w:r>
          </w:p>
        </w:tc>
        <w:tc>
          <w:tcPr>
            <w:tcW w:w="920" w:type="dxa"/>
            <w:tcBorders>
              <w:top w:val="nil"/>
              <w:left w:val="nil"/>
              <w:bottom w:val="single" w:sz="4" w:space="0" w:color="auto"/>
              <w:right w:val="single" w:sz="4" w:space="0" w:color="auto"/>
            </w:tcBorders>
            <w:shd w:val="clear" w:color="auto" w:fill="auto"/>
            <w:noWrap/>
            <w:vAlign w:val="center"/>
            <w:hideMark/>
          </w:tcPr>
          <w:p w14:paraId="519B20AD" w14:textId="77777777" w:rsidR="00DC5F42" w:rsidRPr="008E63BB" w:rsidRDefault="00DC5F42" w:rsidP="00DC5F42">
            <w:pPr>
              <w:jc w:val="right"/>
              <w:rPr>
                <w:rFonts w:eastAsia="Times New Roman"/>
                <w:sz w:val="20"/>
                <w:szCs w:val="20"/>
              </w:rPr>
            </w:pPr>
            <w:r w:rsidRPr="008E63BB">
              <w:rPr>
                <w:sz w:val="20"/>
                <w:szCs w:val="20"/>
              </w:rPr>
              <w:t>0,52</w:t>
            </w:r>
          </w:p>
        </w:tc>
      </w:tr>
      <w:tr w:rsidR="008D5BFE" w:rsidRPr="008E63BB" w14:paraId="519B20B8"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AF" w14:textId="77777777" w:rsidR="00DC5F42" w:rsidRPr="008E63BB" w:rsidRDefault="00DC5F42" w:rsidP="00DC5F42">
            <w:pPr>
              <w:jc w:val="right"/>
              <w:rPr>
                <w:rFonts w:eastAsia="Times New Roman"/>
                <w:sz w:val="20"/>
                <w:szCs w:val="20"/>
              </w:rPr>
            </w:pPr>
            <w:r w:rsidRPr="008E63BB">
              <w:rPr>
                <w:rFonts w:eastAsia="Times New Roman"/>
                <w:sz w:val="20"/>
                <w:szCs w:val="20"/>
              </w:rPr>
              <w:t>8</w:t>
            </w:r>
          </w:p>
        </w:tc>
        <w:tc>
          <w:tcPr>
            <w:tcW w:w="1971" w:type="dxa"/>
            <w:tcBorders>
              <w:top w:val="nil"/>
              <w:left w:val="nil"/>
              <w:bottom w:val="single" w:sz="4" w:space="0" w:color="auto"/>
              <w:right w:val="single" w:sz="4" w:space="0" w:color="auto"/>
            </w:tcBorders>
            <w:shd w:val="clear" w:color="auto" w:fill="auto"/>
            <w:vAlign w:val="center"/>
            <w:hideMark/>
          </w:tcPr>
          <w:p w14:paraId="519B20B0" w14:textId="77777777" w:rsidR="00DC5F42" w:rsidRPr="008E63BB" w:rsidRDefault="00DC5F42" w:rsidP="00DC5F42">
            <w:pPr>
              <w:jc w:val="left"/>
              <w:rPr>
                <w:rFonts w:eastAsia="Times New Roman"/>
                <w:sz w:val="20"/>
                <w:szCs w:val="20"/>
              </w:rPr>
            </w:pPr>
            <w:r w:rsidRPr="008E63BB">
              <w:rPr>
                <w:rFonts w:eastAsia="Times New Roman"/>
                <w:sz w:val="20"/>
                <w:szCs w:val="20"/>
              </w:rPr>
              <w:t>Bà Triệu</w:t>
            </w:r>
          </w:p>
        </w:tc>
        <w:tc>
          <w:tcPr>
            <w:tcW w:w="940" w:type="dxa"/>
            <w:tcBorders>
              <w:top w:val="nil"/>
              <w:left w:val="nil"/>
              <w:bottom w:val="single" w:sz="4" w:space="0" w:color="auto"/>
              <w:right w:val="single" w:sz="4" w:space="0" w:color="auto"/>
            </w:tcBorders>
            <w:shd w:val="clear" w:color="auto" w:fill="auto"/>
            <w:noWrap/>
            <w:vAlign w:val="center"/>
            <w:hideMark/>
          </w:tcPr>
          <w:p w14:paraId="519B20B1" w14:textId="77777777" w:rsidR="00DC5F42" w:rsidRPr="008E63BB" w:rsidRDefault="00DC5F42" w:rsidP="00DC5F42">
            <w:pPr>
              <w:jc w:val="right"/>
              <w:rPr>
                <w:rFonts w:eastAsia="Times New Roman"/>
                <w:sz w:val="20"/>
                <w:szCs w:val="20"/>
              </w:rPr>
            </w:pPr>
            <w:r w:rsidRPr="008E63BB">
              <w:rPr>
                <w:rFonts w:eastAsia="Times New Roman"/>
                <w:sz w:val="20"/>
                <w:szCs w:val="20"/>
              </w:rPr>
              <w:t>0,12</w:t>
            </w:r>
          </w:p>
        </w:tc>
        <w:tc>
          <w:tcPr>
            <w:tcW w:w="1000" w:type="dxa"/>
            <w:tcBorders>
              <w:top w:val="nil"/>
              <w:left w:val="nil"/>
              <w:bottom w:val="single" w:sz="4" w:space="0" w:color="auto"/>
              <w:right w:val="single" w:sz="4" w:space="0" w:color="auto"/>
            </w:tcBorders>
            <w:shd w:val="clear" w:color="auto" w:fill="auto"/>
            <w:noWrap/>
            <w:vAlign w:val="center"/>
            <w:hideMark/>
          </w:tcPr>
          <w:p w14:paraId="519B20B2" w14:textId="77777777" w:rsidR="00DC5F42" w:rsidRPr="008E63BB" w:rsidRDefault="00DC5F42" w:rsidP="00DC5F42">
            <w:pPr>
              <w:jc w:val="right"/>
              <w:rPr>
                <w:rFonts w:eastAsia="Times New Roman"/>
                <w:sz w:val="20"/>
                <w:szCs w:val="20"/>
              </w:rPr>
            </w:pPr>
            <w:r w:rsidRPr="008E63BB">
              <w:rPr>
                <w:rFonts w:eastAsia="Times New Roman"/>
                <w:sz w:val="20"/>
                <w:szCs w:val="20"/>
              </w:rPr>
              <w:t>0,97</w:t>
            </w:r>
          </w:p>
        </w:tc>
        <w:tc>
          <w:tcPr>
            <w:tcW w:w="940" w:type="dxa"/>
            <w:tcBorders>
              <w:top w:val="nil"/>
              <w:left w:val="nil"/>
              <w:bottom w:val="single" w:sz="4" w:space="0" w:color="auto"/>
              <w:right w:val="single" w:sz="4" w:space="0" w:color="auto"/>
            </w:tcBorders>
            <w:shd w:val="clear" w:color="auto" w:fill="auto"/>
            <w:noWrap/>
            <w:vAlign w:val="center"/>
            <w:hideMark/>
          </w:tcPr>
          <w:p w14:paraId="519B20B3" w14:textId="77777777" w:rsidR="00DC5F42" w:rsidRPr="008E63BB" w:rsidRDefault="00DC5F42" w:rsidP="00DC5F42">
            <w:pPr>
              <w:jc w:val="right"/>
              <w:rPr>
                <w:rFonts w:eastAsia="Times New Roman"/>
                <w:sz w:val="20"/>
                <w:szCs w:val="20"/>
              </w:rPr>
            </w:pPr>
            <w:r w:rsidRPr="008E63BB">
              <w:rPr>
                <w:rFonts w:eastAsia="Times New Roman"/>
                <w:sz w:val="20"/>
                <w:szCs w:val="20"/>
              </w:rPr>
              <w:t>2,49</w:t>
            </w:r>
          </w:p>
        </w:tc>
        <w:tc>
          <w:tcPr>
            <w:tcW w:w="930" w:type="dxa"/>
            <w:tcBorders>
              <w:top w:val="nil"/>
              <w:left w:val="nil"/>
              <w:bottom w:val="single" w:sz="4" w:space="0" w:color="auto"/>
              <w:right w:val="single" w:sz="4" w:space="0" w:color="auto"/>
            </w:tcBorders>
            <w:shd w:val="clear" w:color="auto" w:fill="auto"/>
            <w:noWrap/>
            <w:vAlign w:val="center"/>
            <w:hideMark/>
          </w:tcPr>
          <w:p w14:paraId="519B20B4" w14:textId="77777777" w:rsidR="00DC5F42" w:rsidRPr="008E63BB" w:rsidRDefault="00DC5F42" w:rsidP="00DC5F42">
            <w:pPr>
              <w:jc w:val="right"/>
              <w:rPr>
                <w:rFonts w:eastAsia="Times New Roman"/>
                <w:sz w:val="20"/>
                <w:szCs w:val="20"/>
              </w:rPr>
            </w:pPr>
            <w:r w:rsidRPr="008E63BB">
              <w:rPr>
                <w:rFonts w:eastAsia="Times New Roman"/>
                <w:sz w:val="20"/>
                <w:szCs w:val="20"/>
              </w:rPr>
              <w:t>-0,70</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B5" w14:textId="77777777" w:rsidR="00DC5F42" w:rsidRPr="008E63BB" w:rsidRDefault="00DC5F42" w:rsidP="00DC5F42">
            <w:pPr>
              <w:jc w:val="right"/>
              <w:rPr>
                <w:rFonts w:eastAsia="Times New Roman"/>
                <w:sz w:val="20"/>
                <w:szCs w:val="20"/>
              </w:rPr>
            </w:pPr>
            <w:r w:rsidRPr="008E63BB">
              <w:rPr>
                <w:rFonts w:eastAsia="Times New Roman"/>
                <w:sz w:val="20"/>
                <w:szCs w:val="20"/>
              </w:rPr>
              <w:t>1,50</w:t>
            </w:r>
          </w:p>
        </w:tc>
        <w:tc>
          <w:tcPr>
            <w:tcW w:w="1000" w:type="dxa"/>
            <w:tcBorders>
              <w:top w:val="nil"/>
              <w:left w:val="nil"/>
              <w:bottom w:val="single" w:sz="4" w:space="0" w:color="auto"/>
              <w:right w:val="single" w:sz="4" w:space="0" w:color="auto"/>
            </w:tcBorders>
            <w:shd w:val="clear" w:color="auto" w:fill="auto"/>
            <w:noWrap/>
            <w:vAlign w:val="center"/>
            <w:hideMark/>
          </w:tcPr>
          <w:p w14:paraId="519B20B6" w14:textId="77777777" w:rsidR="00DC5F42" w:rsidRPr="008E63BB" w:rsidRDefault="00DC5F42" w:rsidP="00DC5F42">
            <w:pPr>
              <w:jc w:val="right"/>
              <w:rPr>
                <w:rFonts w:eastAsia="Times New Roman"/>
                <w:sz w:val="20"/>
                <w:szCs w:val="20"/>
              </w:rPr>
            </w:pPr>
            <w:r w:rsidRPr="008E63BB">
              <w:rPr>
                <w:sz w:val="20"/>
                <w:szCs w:val="20"/>
              </w:rPr>
              <w:t>-0,57</w:t>
            </w:r>
          </w:p>
        </w:tc>
        <w:tc>
          <w:tcPr>
            <w:tcW w:w="920" w:type="dxa"/>
            <w:tcBorders>
              <w:top w:val="nil"/>
              <w:left w:val="nil"/>
              <w:bottom w:val="single" w:sz="4" w:space="0" w:color="auto"/>
              <w:right w:val="single" w:sz="4" w:space="0" w:color="auto"/>
            </w:tcBorders>
            <w:shd w:val="clear" w:color="auto" w:fill="auto"/>
            <w:noWrap/>
            <w:vAlign w:val="center"/>
            <w:hideMark/>
          </w:tcPr>
          <w:p w14:paraId="519B20B7" w14:textId="77777777" w:rsidR="00DC5F42" w:rsidRPr="008E63BB" w:rsidRDefault="00DC5F42" w:rsidP="00DC5F42">
            <w:pPr>
              <w:jc w:val="right"/>
              <w:rPr>
                <w:rFonts w:eastAsia="Times New Roman"/>
                <w:sz w:val="20"/>
                <w:szCs w:val="20"/>
              </w:rPr>
            </w:pPr>
            <w:r w:rsidRPr="008E63BB">
              <w:rPr>
                <w:sz w:val="20"/>
                <w:szCs w:val="20"/>
              </w:rPr>
              <w:t>0,98</w:t>
            </w:r>
          </w:p>
        </w:tc>
      </w:tr>
      <w:tr w:rsidR="008D5BFE" w:rsidRPr="008E63BB" w14:paraId="519B20C2"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B9" w14:textId="77777777" w:rsidR="00DC5F42" w:rsidRPr="008E63BB" w:rsidRDefault="00DC5F42" w:rsidP="00DC5F42">
            <w:pPr>
              <w:jc w:val="right"/>
              <w:rPr>
                <w:rFonts w:eastAsia="Times New Roman"/>
                <w:sz w:val="20"/>
                <w:szCs w:val="20"/>
              </w:rPr>
            </w:pPr>
            <w:r w:rsidRPr="008E63BB">
              <w:rPr>
                <w:rFonts w:eastAsia="Times New Roman"/>
                <w:sz w:val="20"/>
                <w:szCs w:val="20"/>
              </w:rPr>
              <w:t>9</w:t>
            </w:r>
          </w:p>
        </w:tc>
        <w:tc>
          <w:tcPr>
            <w:tcW w:w="1971" w:type="dxa"/>
            <w:tcBorders>
              <w:top w:val="nil"/>
              <w:left w:val="nil"/>
              <w:bottom w:val="single" w:sz="4" w:space="0" w:color="auto"/>
              <w:right w:val="single" w:sz="4" w:space="0" w:color="auto"/>
            </w:tcBorders>
            <w:shd w:val="clear" w:color="auto" w:fill="auto"/>
            <w:vAlign w:val="center"/>
            <w:hideMark/>
          </w:tcPr>
          <w:p w14:paraId="519B20BA" w14:textId="77777777" w:rsidR="00DC5F42" w:rsidRPr="008E63BB" w:rsidRDefault="00DC5F42" w:rsidP="00DC5F42">
            <w:pPr>
              <w:jc w:val="left"/>
              <w:rPr>
                <w:rFonts w:eastAsia="Times New Roman"/>
                <w:sz w:val="20"/>
                <w:szCs w:val="20"/>
              </w:rPr>
            </w:pPr>
            <w:r w:rsidRPr="008E63BB">
              <w:rPr>
                <w:rFonts w:eastAsia="Times New Roman"/>
                <w:sz w:val="20"/>
                <w:szCs w:val="20"/>
              </w:rPr>
              <w:t>Trường Thi</w:t>
            </w:r>
          </w:p>
        </w:tc>
        <w:tc>
          <w:tcPr>
            <w:tcW w:w="940" w:type="dxa"/>
            <w:tcBorders>
              <w:top w:val="nil"/>
              <w:left w:val="nil"/>
              <w:bottom w:val="single" w:sz="4" w:space="0" w:color="auto"/>
              <w:right w:val="single" w:sz="4" w:space="0" w:color="auto"/>
            </w:tcBorders>
            <w:shd w:val="clear" w:color="auto" w:fill="auto"/>
            <w:noWrap/>
            <w:vAlign w:val="center"/>
            <w:hideMark/>
          </w:tcPr>
          <w:p w14:paraId="519B20BB" w14:textId="77777777" w:rsidR="00DC5F42" w:rsidRPr="008E63BB" w:rsidRDefault="00DC5F42" w:rsidP="00DC5F42">
            <w:pPr>
              <w:jc w:val="right"/>
              <w:rPr>
                <w:rFonts w:eastAsia="Times New Roman"/>
                <w:sz w:val="20"/>
                <w:szCs w:val="20"/>
              </w:rPr>
            </w:pPr>
            <w:r w:rsidRPr="008E63BB">
              <w:rPr>
                <w:rFonts w:eastAsia="Times New Roman"/>
                <w:sz w:val="20"/>
                <w:szCs w:val="20"/>
              </w:rPr>
              <w:t>0,31</w:t>
            </w:r>
          </w:p>
        </w:tc>
        <w:tc>
          <w:tcPr>
            <w:tcW w:w="1000" w:type="dxa"/>
            <w:tcBorders>
              <w:top w:val="nil"/>
              <w:left w:val="nil"/>
              <w:bottom w:val="single" w:sz="4" w:space="0" w:color="auto"/>
              <w:right w:val="single" w:sz="4" w:space="0" w:color="auto"/>
            </w:tcBorders>
            <w:shd w:val="clear" w:color="auto" w:fill="auto"/>
            <w:noWrap/>
            <w:vAlign w:val="center"/>
            <w:hideMark/>
          </w:tcPr>
          <w:p w14:paraId="519B20BC" w14:textId="77777777" w:rsidR="00DC5F42" w:rsidRPr="008E63BB" w:rsidRDefault="00DC5F42" w:rsidP="00DC5F42">
            <w:pPr>
              <w:jc w:val="right"/>
              <w:rPr>
                <w:rFonts w:eastAsia="Times New Roman"/>
                <w:sz w:val="20"/>
                <w:szCs w:val="20"/>
              </w:rPr>
            </w:pPr>
            <w:r w:rsidRPr="008E63BB">
              <w:rPr>
                <w:rFonts w:eastAsia="Times New Roman"/>
                <w:sz w:val="20"/>
                <w:szCs w:val="20"/>
              </w:rPr>
              <w:t>0,44</w:t>
            </w:r>
          </w:p>
        </w:tc>
        <w:tc>
          <w:tcPr>
            <w:tcW w:w="940" w:type="dxa"/>
            <w:tcBorders>
              <w:top w:val="nil"/>
              <w:left w:val="nil"/>
              <w:bottom w:val="single" w:sz="4" w:space="0" w:color="auto"/>
              <w:right w:val="single" w:sz="4" w:space="0" w:color="auto"/>
            </w:tcBorders>
            <w:shd w:val="clear" w:color="auto" w:fill="auto"/>
            <w:noWrap/>
            <w:vAlign w:val="center"/>
            <w:hideMark/>
          </w:tcPr>
          <w:p w14:paraId="519B20BD" w14:textId="77777777" w:rsidR="00DC5F42" w:rsidRPr="008E63BB" w:rsidRDefault="00DC5F42" w:rsidP="00DC5F42">
            <w:pPr>
              <w:jc w:val="right"/>
              <w:rPr>
                <w:rFonts w:eastAsia="Times New Roman"/>
                <w:sz w:val="20"/>
                <w:szCs w:val="20"/>
              </w:rPr>
            </w:pPr>
            <w:r w:rsidRPr="008E63BB">
              <w:rPr>
                <w:rFonts w:eastAsia="Times New Roman"/>
                <w:sz w:val="20"/>
                <w:szCs w:val="20"/>
              </w:rPr>
              <w:t>-0,41</w:t>
            </w:r>
          </w:p>
        </w:tc>
        <w:tc>
          <w:tcPr>
            <w:tcW w:w="930" w:type="dxa"/>
            <w:tcBorders>
              <w:top w:val="nil"/>
              <w:left w:val="nil"/>
              <w:bottom w:val="single" w:sz="4" w:space="0" w:color="auto"/>
              <w:right w:val="single" w:sz="4" w:space="0" w:color="auto"/>
            </w:tcBorders>
            <w:shd w:val="clear" w:color="auto" w:fill="auto"/>
            <w:noWrap/>
            <w:vAlign w:val="center"/>
            <w:hideMark/>
          </w:tcPr>
          <w:p w14:paraId="519B20BE" w14:textId="77777777" w:rsidR="00DC5F42" w:rsidRPr="008E63BB" w:rsidRDefault="00DC5F42" w:rsidP="00DC5F42">
            <w:pPr>
              <w:jc w:val="right"/>
              <w:rPr>
                <w:rFonts w:eastAsia="Times New Roman"/>
                <w:sz w:val="20"/>
                <w:szCs w:val="20"/>
              </w:rPr>
            </w:pPr>
            <w:r w:rsidRPr="008E63BB">
              <w:rPr>
                <w:rFonts w:eastAsia="Times New Roman"/>
                <w:sz w:val="20"/>
                <w:szCs w:val="20"/>
              </w:rPr>
              <w:t>0,50</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BF" w14:textId="77777777" w:rsidR="00DC5F42" w:rsidRPr="008E63BB" w:rsidRDefault="00DC5F42" w:rsidP="00DC5F42">
            <w:pPr>
              <w:jc w:val="right"/>
              <w:rPr>
                <w:rFonts w:eastAsia="Times New Roman"/>
                <w:sz w:val="20"/>
                <w:szCs w:val="20"/>
              </w:rPr>
            </w:pPr>
            <w:r w:rsidRPr="008E63BB">
              <w:rPr>
                <w:rFonts w:eastAsia="Times New Roman"/>
                <w:sz w:val="20"/>
                <w:szCs w:val="20"/>
              </w:rPr>
              <w:t>-0,43</w:t>
            </w:r>
          </w:p>
        </w:tc>
        <w:tc>
          <w:tcPr>
            <w:tcW w:w="1000" w:type="dxa"/>
            <w:tcBorders>
              <w:top w:val="nil"/>
              <w:left w:val="nil"/>
              <w:bottom w:val="single" w:sz="4" w:space="0" w:color="auto"/>
              <w:right w:val="single" w:sz="4" w:space="0" w:color="auto"/>
            </w:tcBorders>
            <w:shd w:val="clear" w:color="auto" w:fill="auto"/>
            <w:noWrap/>
            <w:vAlign w:val="center"/>
            <w:hideMark/>
          </w:tcPr>
          <w:p w14:paraId="519B20C0" w14:textId="77777777" w:rsidR="00DC5F42" w:rsidRPr="008E63BB" w:rsidRDefault="00DC5F42" w:rsidP="00DC5F42">
            <w:pPr>
              <w:jc w:val="right"/>
              <w:rPr>
                <w:rFonts w:eastAsia="Times New Roman"/>
                <w:sz w:val="20"/>
                <w:szCs w:val="20"/>
              </w:rPr>
            </w:pPr>
            <w:r w:rsidRPr="008E63BB">
              <w:rPr>
                <w:sz w:val="20"/>
                <w:szCs w:val="20"/>
              </w:rPr>
              <w:t>-0,17</w:t>
            </w:r>
          </w:p>
        </w:tc>
        <w:tc>
          <w:tcPr>
            <w:tcW w:w="920" w:type="dxa"/>
            <w:tcBorders>
              <w:top w:val="nil"/>
              <w:left w:val="nil"/>
              <w:bottom w:val="single" w:sz="4" w:space="0" w:color="auto"/>
              <w:right w:val="single" w:sz="4" w:space="0" w:color="auto"/>
            </w:tcBorders>
            <w:shd w:val="clear" w:color="auto" w:fill="auto"/>
            <w:noWrap/>
            <w:vAlign w:val="center"/>
            <w:hideMark/>
          </w:tcPr>
          <w:p w14:paraId="519B20C1" w14:textId="77777777" w:rsidR="00DC5F42" w:rsidRPr="008E63BB" w:rsidRDefault="00DC5F42" w:rsidP="00DC5F42">
            <w:pPr>
              <w:jc w:val="right"/>
              <w:rPr>
                <w:rFonts w:eastAsia="Times New Roman"/>
                <w:sz w:val="20"/>
                <w:szCs w:val="20"/>
              </w:rPr>
            </w:pPr>
            <w:r w:rsidRPr="008E63BB">
              <w:rPr>
                <w:sz w:val="20"/>
                <w:szCs w:val="20"/>
              </w:rPr>
              <w:t>-0,10</w:t>
            </w:r>
          </w:p>
        </w:tc>
      </w:tr>
      <w:tr w:rsidR="008D5BFE" w:rsidRPr="008E63BB" w14:paraId="519B20CC"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C3" w14:textId="77777777" w:rsidR="00DC5F42" w:rsidRPr="008E63BB" w:rsidRDefault="00DC5F42" w:rsidP="00DC5F42">
            <w:pPr>
              <w:jc w:val="right"/>
              <w:rPr>
                <w:rFonts w:eastAsia="Times New Roman"/>
                <w:sz w:val="20"/>
                <w:szCs w:val="20"/>
              </w:rPr>
            </w:pPr>
            <w:r w:rsidRPr="008E63BB">
              <w:rPr>
                <w:rFonts w:eastAsia="Times New Roman"/>
                <w:sz w:val="20"/>
                <w:szCs w:val="20"/>
              </w:rPr>
              <w:t>10</w:t>
            </w:r>
          </w:p>
        </w:tc>
        <w:tc>
          <w:tcPr>
            <w:tcW w:w="1971" w:type="dxa"/>
            <w:tcBorders>
              <w:top w:val="nil"/>
              <w:left w:val="nil"/>
              <w:bottom w:val="single" w:sz="4" w:space="0" w:color="auto"/>
              <w:right w:val="single" w:sz="4" w:space="0" w:color="auto"/>
            </w:tcBorders>
            <w:shd w:val="clear" w:color="auto" w:fill="auto"/>
            <w:vAlign w:val="center"/>
            <w:hideMark/>
          </w:tcPr>
          <w:p w14:paraId="519B20C4" w14:textId="77777777" w:rsidR="00DC5F42" w:rsidRPr="008E63BB" w:rsidRDefault="00DC5F42" w:rsidP="00DC5F42">
            <w:pPr>
              <w:jc w:val="left"/>
              <w:rPr>
                <w:rFonts w:eastAsia="Times New Roman"/>
                <w:sz w:val="20"/>
                <w:szCs w:val="20"/>
              </w:rPr>
            </w:pPr>
            <w:r w:rsidRPr="008E63BB">
              <w:rPr>
                <w:rFonts w:eastAsia="Times New Roman"/>
                <w:sz w:val="20"/>
                <w:szCs w:val="20"/>
              </w:rPr>
              <w:t>Phan Đình Phùng</w:t>
            </w:r>
          </w:p>
        </w:tc>
        <w:tc>
          <w:tcPr>
            <w:tcW w:w="940" w:type="dxa"/>
            <w:tcBorders>
              <w:top w:val="nil"/>
              <w:left w:val="nil"/>
              <w:bottom w:val="single" w:sz="4" w:space="0" w:color="auto"/>
              <w:right w:val="single" w:sz="4" w:space="0" w:color="auto"/>
            </w:tcBorders>
            <w:shd w:val="clear" w:color="auto" w:fill="auto"/>
            <w:noWrap/>
            <w:vAlign w:val="center"/>
            <w:hideMark/>
          </w:tcPr>
          <w:p w14:paraId="519B20C5" w14:textId="77777777" w:rsidR="00DC5F42" w:rsidRPr="008E63BB" w:rsidRDefault="00DC5F42" w:rsidP="00DC5F42">
            <w:pPr>
              <w:jc w:val="right"/>
              <w:rPr>
                <w:rFonts w:eastAsia="Times New Roman"/>
                <w:sz w:val="20"/>
                <w:szCs w:val="20"/>
              </w:rPr>
            </w:pPr>
            <w:r w:rsidRPr="008E63BB">
              <w:rPr>
                <w:rFonts w:eastAsia="Times New Roman"/>
                <w:sz w:val="20"/>
                <w:szCs w:val="20"/>
              </w:rPr>
              <w:t>0,09</w:t>
            </w:r>
          </w:p>
        </w:tc>
        <w:tc>
          <w:tcPr>
            <w:tcW w:w="1000" w:type="dxa"/>
            <w:tcBorders>
              <w:top w:val="nil"/>
              <w:left w:val="nil"/>
              <w:bottom w:val="single" w:sz="4" w:space="0" w:color="auto"/>
              <w:right w:val="single" w:sz="4" w:space="0" w:color="auto"/>
            </w:tcBorders>
            <w:shd w:val="clear" w:color="auto" w:fill="auto"/>
            <w:noWrap/>
            <w:vAlign w:val="center"/>
            <w:hideMark/>
          </w:tcPr>
          <w:p w14:paraId="519B20C6" w14:textId="77777777" w:rsidR="00DC5F42" w:rsidRPr="008E63BB" w:rsidRDefault="00DC5F42" w:rsidP="00DC5F42">
            <w:pPr>
              <w:jc w:val="right"/>
              <w:rPr>
                <w:rFonts w:eastAsia="Times New Roman"/>
                <w:sz w:val="20"/>
                <w:szCs w:val="20"/>
              </w:rPr>
            </w:pPr>
            <w:r w:rsidRPr="008E63BB">
              <w:rPr>
                <w:rFonts w:eastAsia="Times New Roman"/>
                <w:sz w:val="20"/>
                <w:szCs w:val="20"/>
              </w:rPr>
              <w:t>0,18</w:t>
            </w:r>
          </w:p>
        </w:tc>
        <w:tc>
          <w:tcPr>
            <w:tcW w:w="940" w:type="dxa"/>
            <w:tcBorders>
              <w:top w:val="nil"/>
              <w:left w:val="nil"/>
              <w:bottom w:val="single" w:sz="4" w:space="0" w:color="auto"/>
              <w:right w:val="single" w:sz="4" w:space="0" w:color="auto"/>
            </w:tcBorders>
            <w:shd w:val="clear" w:color="auto" w:fill="auto"/>
            <w:noWrap/>
            <w:vAlign w:val="center"/>
            <w:hideMark/>
          </w:tcPr>
          <w:p w14:paraId="519B20C7" w14:textId="77777777" w:rsidR="00DC5F42" w:rsidRPr="008E63BB" w:rsidRDefault="00DC5F42" w:rsidP="00DC5F42">
            <w:pPr>
              <w:jc w:val="right"/>
              <w:rPr>
                <w:rFonts w:eastAsia="Times New Roman"/>
                <w:sz w:val="20"/>
                <w:szCs w:val="20"/>
              </w:rPr>
            </w:pPr>
            <w:r w:rsidRPr="008E63BB">
              <w:rPr>
                <w:rFonts w:eastAsia="Times New Roman"/>
                <w:sz w:val="20"/>
                <w:szCs w:val="20"/>
              </w:rPr>
              <w:t>0,30</w:t>
            </w:r>
          </w:p>
        </w:tc>
        <w:tc>
          <w:tcPr>
            <w:tcW w:w="930" w:type="dxa"/>
            <w:tcBorders>
              <w:top w:val="nil"/>
              <w:left w:val="nil"/>
              <w:bottom w:val="single" w:sz="4" w:space="0" w:color="auto"/>
              <w:right w:val="single" w:sz="4" w:space="0" w:color="auto"/>
            </w:tcBorders>
            <w:shd w:val="clear" w:color="auto" w:fill="auto"/>
            <w:noWrap/>
            <w:vAlign w:val="center"/>
            <w:hideMark/>
          </w:tcPr>
          <w:p w14:paraId="519B20C8" w14:textId="77777777" w:rsidR="00DC5F42" w:rsidRPr="008E63BB" w:rsidRDefault="00DC5F42" w:rsidP="00DC5F42">
            <w:pPr>
              <w:jc w:val="right"/>
              <w:rPr>
                <w:rFonts w:eastAsia="Times New Roman"/>
                <w:sz w:val="20"/>
                <w:szCs w:val="20"/>
              </w:rPr>
            </w:pPr>
            <w:r w:rsidRPr="008E63BB">
              <w:rPr>
                <w:rFonts w:eastAsia="Times New Roman"/>
                <w:sz w:val="20"/>
                <w:szCs w:val="20"/>
              </w:rPr>
              <w:t>-0,15</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C9" w14:textId="77777777" w:rsidR="00DC5F42" w:rsidRPr="008E63BB" w:rsidRDefault="00DC5F42" w:rsidP="00DC5F42">
            <w:pPr>
              <w:jc w:val="right"/>
              <w:rPr>
                <w:rFonts w:eastAsia="Times New Roman"/>
                <w:sz w:val="20"/>
                <w:szCs w:val="20"/>
              </w:rPr>
            </w:pPr>
            <w:r w:rsidRPr="008E63BB">
              <w:rPr>
                <w:rFonts w:eastAsia="Times New Roman"/>
                <w:sz w:val="20"/>
                <w:szCs w:val="20"/>
              </w:rPr>
              <w:t>0,85</w:t>
            </w:r>
          </w:p>
        </w:tc>
        <w:tc>
          <w:tcPr>
            <w:tcW w:w="1000" w:type="dxa"/>
            <w:tcBorders>
              <w:top w:val="nil"/>
              <w:left w:val="nil"/>
              <w:bottom w:val="single" w:sz="4" w:space="0" w:color="auto"/>
              <w:right w:val="single" w:sz="4" w:space="0" w:color="auto"/>
            </w:tcBorders>
            <w:shd w:val="clear" w:color="auto" w:fill="auto"/>
            <w:noWrap/>
            <w:vAlign w:val="center"/>
            <w:hideMark/>
          </w:tcPr>
          <w:p w14:paraId="519B20CA" w14:textId="77777777" w:rsidR="00DC5F42" w:rsidRPr="008E63BB" w:rsidRDefault="00DC5F42" w:rsidP="00DC5F42">
            <w:pPr>
              <w:jc w:val="right"/>
              <w:rPr>
                <w:rFonts w:eastAsia="Times New Roman"/>
                <w:sz w:val="20"/>
                <w:szCs w:val="20"/>
              </w:rPr>
            </w:pPr>
            <w:r w:rsidRPr="008E63BB">
              <w:rPr>
                <w:sz w:val="20"/>
                <w:szCs w:val="20"/>
              </w:rPr>
              <w:t>-0,08</w:t>
            </w:r>
          </w:p>
        </w:tc>
        <w:tc>
          <w:tcPr>
            <w:tcW w:w="920" w:type="dxa"/>
            <w:tcBorders>
              <w:top w:val="nil"/>
              <w:left w:val="nil"/>
              <w:bottom w:val="single" w:sz="4" w:space="0" w:color="auto"/>
              <w:right w:val="single" w:sz="4" w:space="0" w:color="auto"/>
            </w:tcBorders>
            <w:shd w:val="clear" w:color="auto" w:fill="auto"/>
            <w:noWrap/>
            <w:vAlign w:val="center"/>
            <w:hideMark/>
          </w:tcPr>
          <w:p w14:paraId="519B20CB" w14:textId="77777777" w:rsidR="00DC5F42" w:rsidRPr="008E63BB" w:rsidRDefault="00DC5F42" w:rsidP="00DC5F42">
            <w:pPr>
              <w:jc w:val="right"/>
              <w:rPr>
                <w:rFonts w:eastAsia="Times New Roman"/>
                <w:sz w:val="20"/>
                <w:szCs w:val="20"/>
              </w:rPr>
            </w:pPr>
            <w:r w:rsidRPr="008E63BB">
              <w:rPr>
                <w:sz w:val="20"/>
                <w:szCs w:val="20"/>
              </w:rPr>
              <w:t>0,42</w:t>
            </w:r>
          </w:p>
        </w:tc>
      </w:tr>
      <w:tr w:rsidR="008D5BFE" w:rsidRPr="008E63BB" w14:paraId="519B20D6" w14:textId="77777777" w:rsidTr="00D0797C">
        <w:trPr>
          <w:trHeight w:val="330"/>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CD" w14:textId="77777777" w:rsidR="00DC5F42" w:rsidRPr="008E63BB" w:rsidRDefault="00DC5F42" w:rsidP="00DC5F42">
            <w:pPr>
              <w:jc w:val="right"/>
              <w:rPr>
                <w:rFonts w:eastAsia="Times New Roman"/>
                <w:sz w:val="20"/>
                <w:szCs w:val="20"/>
              </w:rPr>
            </w:pPr>
            <w:r w:rsidRPr="008E63BB">
              <w:rPr>
                <w:rFonts w:eastAsia="Times New Roman"/>
                <w:sz w:val="20"/>
                <w:szCs w:val="20"/>
              </w:rPr>
              <w:t>11</w:t>
            </w:r>
          </w:p>
        </w:tc>
        <w:tc>
          <w:tcPr>
            <w:tcW w:w="1971" w:type="dxa"/>
            <w:tcBorders>
              <w:top w:val="nil"/>
              <w:left w:val="nil"/>
              <w:bottom w:val="single" w:sz="4" w:space="0" w:color="auto"/>
              <w:right w:val="single" w:sz="4" w:space="0" w:color="auto"/>
            </w:tcBorders>
            <w:shd w:val="clear" w:color="auto" w:fill="auto"/>
            <w:vAlign w:val="center"/>
            <w:hideMark/>
          </w:tcPr>
          <w:p w14:paraId="519B20CE" w14:textId="77777777" w:rsidR="00DC5F42" w:rsidRPr="008E63BB" w:rsidRDefault="00DC5F42" w:rsidP="00DC5F42">
            <w:pPr>
              <w:jc w:val="left"/>
              <w:rPr>
                <w:rFonts w:eastAsia="Times New Roman"/>
                <w:sz w:val="20"/>
                <w:szCs w:val="20"/>
              </w:rPr>
            </w:pPr>
            <w:r w:rsidRPr="008E63BB">
              <w:rPr>
                <w:rFonts w:eastAsia="Times New Roman"/>
                <w:sz w:val="20"/>
                <w:szCs w:val="20"/>
              </w:rPr>
              <w:t>Ngô Quyền</w:t>
            </w:r>
          </w:p>
        </w:tc>
        <w:tc>
          <w:tcPr>
            <w:tcW w:w="940" w:type="dxa"/>
            <w:tcBorders>
              <w:top w:val="nil"/>
              <w:left w:val="nil"/>
              <w:bottom w:val="single" w:sz="4" w:space="0" w:color="auto"/>
              <w:right w:val="single" w:sz="4" w:space="0" w:color="auto"/>
            </w:tcBorders>
            <w:shd w:val="clear" w:color="auto" w:fill="auto"/>
            <w:noWrap/>
            <w:vAlign w:val="center"/>
            <w:hideMark/>
          </w:tcPr>
          <w:p w14:paraId="519B20CF" w14:textId="77777777" w:rsidR="00DC5F42" w:rsidRPr="008E63BB" w:rsidRDefault="00DC5F42" w:rsidP="00DC5F42">
            <w:pPr>
              <w:jc w:val="right"/>
              <w:rPr>
                <w:rFonts w:eastAsia="Times New Roman"/>
                <w:sz w:val="20"/>
                <w:szCs w:val="20"/>
              </w:rPr>
            </w:pPr>
            <w:r w:rsidRPr="008E63BB">
              <w:rPr>
                <w:rFonts w:eastAsia="Times New Roman"/>
                <w:sz w:val="20"/>
                <w:szCs w:val="20"/>
              </w:rPr>
              <w:t>0,29</w:t>
            </w:r>
          </w:p>
        </w:tc>
        <w:tc>
          <w:tcPr>
            <w:tcW w:w="1000" w:type="dxa"/>
            <w:tcBorders>
              <w:top w:val="nil"/>
              <w:left w:val="nil"/>
              <w:bottom w:val="single" w:sz="4" w:space="0" w:color="auto"/>
              <w:right w:val="single" w:sz="4" w:space="0" w:color="auto"/>
            </w:tcBorders>
            <w:shd w:val="clear" w:color="auto" w:fill="auto"/>
            <w:noWrap/>
            <w:vAlign w:val="center"/>
            <w:hideMark/>
          </w:tcPr>
          <w:p w14:paraId="519B20D0" w14:textId="77777777" w:rsidR="00DC5F42" w:rsidRPr="008E63BB" w:rsidRDefault="00DC5F42" w:rsidP="00DC5F42">
            <w:pPr>
              <w:jc w:val="right"/>
              <w:rPr>
                <w:rFonts w:eastAsia="Times New Roman"/>
                <w:sz w:val="20"/>
                <w:szCs w:val="20"/>
              </w:rPr>
            </w:pPr>
            <w:r w:rsidRPr="008E63BB">
              <w:rPr>
                <w:rFonts w:eastAsia="Times New Roman"/>
                <w:sz w:val="20"/>
                <w:szCs w:val="20"/>
              </w:rPr>
              <w:t>0,72</w:t>
            </w:r>
          </w:p>
        </w:tc>
        <w:tc>
          <w:tcPr>
            <w:tcW w:w="940" w:type="dxa"/>
            <w:tcBorders>
              <w:top w:val="nil"/>
              <w:left w:val="nil"/>
              <w:bottom w:val="single" w:sz="4" w:space="0" w:color="auto"/>
              <w:right w:val="single" w:sz="4" w:space="0" w:color="auto"/>
            </w:tcBorders>
            <w:shd w:val="clear" w:color="auto" w:fill="auto"/>
            <w:noWrap/>
            <w:vAlign w:val="center"/>
            <w:hideMark/>
          </w:tcPr>
          <w:p w14:paraId="519B20D1" w14:textId="77777777" w:rsidR="00DC5F42" w:rsidRPr="008E63BB" w:rsidRDefault="00DC5F42" w:rsidP="00DC5F42">
            <w:pPr>
              <w:jc w:val="right"/>
              <w:rPr>
                <w:rFonts w:eastAsia="Times New Roman"/>
                <w:sz w:val="20"/>
                <w:szCs w:val="20"/>
              </w:rPr>
            </w:pPr>
            <w:r w:rsidRPr="008E63BB">
              <w:rPr>
                <w:rFonts w:eastAsia="Times New Roman"/>
                <w:sz w:val="20"/>
                <w:szCs w:val="20"/>
              </w:rPr>
              <w:t>0,99</w:t>
            </w:r>
          </w:p>
        </w:tc>
        <w:tc>
          <w:tcPr>
            <w:tcW w:w="930" w:type="dxa"/>
            <w:tcBorders>
              <w:top w:val="nil"/>
              <w:left w:val="nil"/>
              <w:bottom w:val="single" w:sz="4" w:space="0" w:color="auto"/>
              <w:right w:val="single" w:sz="4" w:space="0" w:color="auto"/>
            </w:tcBorders>
            <w:shd w:val="clear" w:color="auto" w:fill="auto"/>
            <w:noWrap/>
            <w:vAlign w:val="center"/>
            <w:hideMark/>
          </w:tcPr>
          <w:p w14:paraId="519B20D2" w14:textId="77777777" w:rsidR="00DC5F42" w:rsidRPr="008E63BB" w:rsidRDefault="00DC5F42" w:rsidP="00DC5F42">
            <w:pPr>
              <w:jc w:val="right"/>
              <w:rPr>
                <w:rFonts w:eastAsia="Times New Roman"/>
                <w:sz w:val="20"/>
                <w:szCs w:val="20"/>
              </w:rPr>
            </w:pPr>
            <w:r w:rsidRPr="008E63BB">
              <w:rPr>
                <w:rFonts w:eastAsia="Times New Roman"/>
                <w:sz w:val="20"/>
                <w:szCs w:val="20"/>
              </w:rPr>
              <w:t>-3,28</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D3" w14:textId="77777777" w:rsidR="00DC5F42" w:rsidRPr="008E63BB" w:rsidRDefault="00DC5F42" w:rsidP="00DC5F42">
            <w:pPr>
              <w:jc w:val="right"/>
              <w:rPr>
                <w:rFonts w:eastAsia="Times New Roman"/>
                <w:sz w:val="20"/>
                <w:szCs w:val="20"/>
              </w:rPr>
            </w:pPr>
            <w:r w:rsidRPr="008E63BB">
              <w:rPr>
                <w:rFonts w:eastAsia="Times New Roman"/>
                <w:sz w:val="20"/>
                <w:szCs w:val="20"/>
              </w:rPr>
              <w:t>0,45</w:t>
            </w:r>
          </w:p>
        </w:tc>
        <w:tc>
          <w:tcPr>
            <w:tcW w:w="1000" w:type="dxa"/>
            <w:tcBorders>
              <w:top w:val="nil"/>
              <w:left w:val="nil"/>
              <w:bottom w:val="single" w:sz="4" w:space="0" w:color="auto"/>
              <w:right w:val="single" w:sz="4" w:space="0" w:color="auto"/>
            </w:tcBorders>
            <w:shd w:val="clear" w:color="auto" w:fill="auto"/>
            <w:noWrap/>
            <w:vAlign w:val="center"/>
            <w:hideMark/>
          </w:tcPr>
          <w:p w14:paraId="519B20D4" w14:textId="77777777" w:rsidR="00DC5F42" w:rsidRPr="008E63BB" w:rsidRDefault="00DC5F42" w:rsidP="00DC5F42">
            <w:pPr>
              <w:jc w:val="right"/>
              <w:rPr>
                <w:rFonts w:eastAsia="Times New Roman"/>
                <w:sz w:val="20"/>
                <w:szCs w:val="20"/>
              </w:rPr>
            </w:pPr>
            <w:r w:rsidRPr="008E63BB">
              <w:rPr>
                <w:sz w:val="20"/>
                <w:szCs w:val="20"/>
              </w:rPr>
              <w:t>0,27</w:t>
            </w:r>
          </w:p>
        </w:tc>
        <w:tc>
          <w:tcPr>
            <w:tcW w:w="920" w:type="dxa"/>
            <w:tcBorders>
              <w:top w:val="nil"/>
              <w:left w:val="nil"/>
              <w:bottom w:val="single" w:sz="4" w:space="0" w:color="auto"/>
              <w:right w:val="single" w:sz="4" w:space="0" w:color="auto"/>
            </w:tcBorders>
            <w:shd w:val="clear" w:color="auto" w:fill="auto"/>
            <w:noWrap/>
            <w:vAlign w:val="center"/>
            <w:hideMark/>
          </w:tcPr>
          <w:p w14:paraId="519B20D5" w14:textId="77777777" w:rsidR="00DC5F42" w:rsidRPr="008E63BB" w:rsidRDefault="00DC5F42" w:rsidP="00DC5F42">
            <w:pPr>
              <w:jc w:val="right"/>
              <w:rPr>
                <w:rFonts w:eastAsia="Times New Roman"/>
                <w:sz w:val="20"/>
                <w:szCs w:val="20"/>
              </w:rPr>
            </w:pPr>
            <w:r w:rsidRPr="008E63BB">
              <w:rPr>
                <w:sz w:val="20"/>
                <w:szCs w:val="20"/>
              </w:rPr>
              <w:t>0,05</w:t>
            </w:r>
          </w:p>
        </w:tc>
      </w:tr>
      <w:tr w:rsidR="008D5BFE" w:rsidRPr="008E63BB" w14:paraId="519B20E0"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D7" w14:textId="77777777" w:rsidR="00DC5F42" w:rsidRPr="008E63BB" w:rsidRDefault="00DC5F42" w:rsidP="00DC5F42">
            <w:pPr>
              <w:jc w:val="right"/>
              <w:rPr>
                <w:rFonts w:eastAsia="Times New Roman"/>
                <w:sz w:val="20"/>
                <w:szCs w:val="20"/>
              </w:rPr>
            </w:pPr>
            <w:r w:rsidRPr="008E63BB">
              <w:rPr>
                <w:rFonts w:eastAsia="Times New Roman"/>
                <w:sz w:val="20"/>
                <w:szCs w:val="20"/>
              </w:rPr>
              <w:t>12</w:t>
            </w:r>
          </w:p>
        </w:tc>
        <w:tc>
          <w:tcPr>
            <w:tcW w:w="1971" w:type="dxa"/>
            <w:tcBorders>
              <w:top w:val="nil"/>
              <w:left w:val="nil"/>
              <w:bottom w:val="single" w:sz="4" w:space="0" w:color="auto"/>
              <w:right w:val="single" w:sz="4" w:space="0" w:color="auto"/>
            </w:tcBorders>
            <w:shd w:val="clear" w:color="auto" w:fill="auto"/>
            <w:vAlign w:val="center"/>
            <w:hideMark/>
          </w:tcPr>
          <w:p w14:paraId="519B20D8" w14:textId="77777777" w:rsidR="00DC5F42" w:rsidRPr="008E63BB" w:rsidRDefault="00DC5F42" w:rsidP="00DC5F42">
            <w:pPr>
              <w:jc w:val="left"/>
              <w:rPr>
                <w:rFonts w:eastAsia="Times New Roman"/>
                <w:sz w:val="20"/>
                <w:szCs w:val="20"/>
              </w:rPr>
            </w:pPr>
            <w:r w:rsidRPr="008E63BB">
              <w:rPr>
                <w:rFonts w:eastAsia="Times New Roman"/>
                <w:sz w:val="20"/>
                <w:szCs w:val="20"/>
              </w:rPr>
              <w:t>Trần Hưng Đạo</w:t>
            </w:r>
          </w:p>
        </w:tc>
        <w:tc>
          <w:tcPr>
            <w:tcW w:w="940" w:type="dxa"/>
            <w:tcBorders>
              <w:top w:val="nil"/>
              <w:left w:val="nil"/>
              <w:bottom w:val="single" w:sz="4" w:space="0" w:color="auto"/>
              <w:right w:val="single" w:sz="4" w:space="0" w:color="auto"/>
            </w:tcBorders>
            <w:shd w:val="clear" w:color="auto" w:fill="auto"/>
            <w:noWrap/>
            <w:vAlign w:val="center"/>
            <w:hideMark/>
          </w:tcPr>
          <w:p w14:paraId="519B20D9" w14:textId="77777777" w:rsidR="00DC5F42" w:rsidRPr="008E63BB" w:rsidRDefault="00DC5F42" w:rsidP="00DC5F42">
            <w:pPr>
              <w:jc w:val="right"/>
              <w:rPr>
                <w:rFonts w:eastAsia="Times New Roman"/>
                <w:sz w:val="20"/>
                <w:szCs w:val="20"/>
              </w:rPr>
            </w:pPr>
            <w:r w:rsidRPr="008E63BB">
              <w:rPr>
                <w:rFonts w:eastAsia="Times New Roman"/>
                <w:sz w:val="20"/>
                <w:szCs w:val="20"/>
              </w:rPr>
              <w:t>0,39</w:t>
            </w:r>
          </w:p>
        </w:tc>
        <w:tc>
          <w:tcPr>
            <w:tcW w:w="1000" w:type="dxa"/>
            <w:tcBorders>
              <w:top w:val="nil"/>
              <w:left w:val="nil"/>
              <w:bottom w:val="single" w:sz="4" w:space="0" w:color="auto"/>
              <w:right w:val="single" w:sz="4" w:space="0" w:color="auto"/>
            </w:tcBorders>
            <w:shd w:val="clear" w:color="auto" w:fill="auto"/>
            <w:noWrap/>
            <w:vAlign w:val="center"/>
            <w:hideMark/>
          </w:tcPr>
          <w:p w14:paraId="519B20DA" w14:textId="77777777" w:rsidR="00DC5F42" w:rsidRPr="008E63BB" w:rsidRDefault="00DC5F42" w:rsidP="00DC5F42">
            <w:pPr>
              <w:jc w:val="right"/>
              <w:rPr>
                <w:rFonts w:eastAsia="Times New Roman"/>
                <w:sz w:val="20"/>
                <w:szCs w:val="20"/>
              </w:rPr>
            </w:pPr>
            <w:r w:rsidRPr="008E63BB">
              <w:rPr>
                <w:rFonts w:eastAsia="Times New Roman"/>
                <w:sz w:val="20"/>
                <w:szCs w:val="20"/>
              </w:rPr>
              <w:t>2,21</w:t>
            </w:r>
          </w:p>
        </w:tc>
        <w:tc>
          <w:tcPr>
            <w:tcW w:w="940" w:type="dxa"/>
            <w:tcBorders>
              <w:top w:val="nil"/>
              <w:left w:val="nil"/>
              <w:bottom w:val="single" w:sz="4" w:space="0" w:color="auto"/>
              <w:right w:val="single" w:sz="4" w:space="0" w:color="auto"/>
            </w:tcBorders>
            <w:shd w:val="clear" w:color="auto" w:fill="auto"/>
            <w:noWrap/>
            <w:vAlign w:val="center"/>
            <w:hideMark/>
          </w:tcPr>
          <w:p w14:paraId="519B20DB" w14:textId="77777777" w:rsidR="00DC5F42" w:rsidRPr="008E63BB" w:rsidRDefault="00DC5F42" w:rsidP="00DC5F42">
            <w:pPr>
              <w:jc w:val="right"/>
              <w:rPr>
                <w:rFonts w:eastAsia="Times New Roman"/>
                <w:sz w:val="20"/>
                <w:szCs w:val="20"/>
              </w:rPr>
            </w:pPr>
            <w:r w:rsidRPr="008E63BB">
              <w:rPr>
                <w:rFonts w:eastAsia="Times New Roman"/>
                <w:sz w:val="20"/>
                <w:szCs w:val="20"/>
              </w:rPr>
              <w:t>-2,74</w:t>
            </w:r>
          </w:p>
        </w:tc>
        <w:tc>
          <w:tcPr>
            <w:tcW w:w="930" w:type="dxa"/>
            <w:tcBorders>
              <w:top w:val="nil"/>
              <w:left w:val="nil"/>
              <w:bottom w:val="single" w:sz="4" w:space="0" w:color="auto"/>
              <w:right w:val="single" w:sz="4" w:space="0" w:color="auto"/>
            </w:tcBorders>
            <w:shd w:val="clear" w:color="auto" w:fill="auto"/>
            <w:noWrap/>
            <w:vAlign w:val="center"/>
            <w:hideMark/>
          </w:tcPr>
          <w:p w14:paraId="519B20DC" w14:textId="77777777" w:rsidR="00DC5F42" w:rsidRPr="008E63BB" w:rsidRDefault="00DC5F42" w:rsidP="00DC5F42">
            <w:pPr>
              <w:jc w:val="right"/>
              <w:rPr>
                <w:rFonts w:eastAsia="Times New Roman"/>
                <w:sz w:val="20"/>
                <w:szCs w:val="20"/>
              </w:rPr>
            </w:pPr>
            <w:r w:rsidRPr="008E63BB">
              <w:rPr>
                <w:rFonts w:eastAsia="Times New Roman"/>
                <w:sz w:val="20"/>
                <w:szCs w:val="20"/>
              </w:rPr>
              <w:t>0,36</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DD" w14:textId="77777777" w:rsidR="00DC5F42" w:rsidRPr="008E63BB" w:rsidRDefault="00DC5F42" w:rsidP="00DC5F42">
            <w:pPr>
              <w:jc w:val="right"/>
              <w:rPr>
                <w:rFonts w:eastAsia="Times New Roman"/>
                <w:sz w:val="20"/>
                <w:szCs w:val="20"/>
              </w:rPr>
            </w:pPr>
            <w:r w:rsidRPr="008E63BB">
              <w:rPr>
                <w:rFonts w:eastAsia="Times New Roman"/>
                <w:sz w:val="20"/>
                <w:szCs w:val="20"/>
              </w:rPr>
              <w:t>1,28</w:t>
            </w:r>
          </w:p>
        </w:tc>
        <w:tc>
          <w:tcPr>
            <w:tcW w:w="1000" w:type="dxa"/>
            <w:tcBorders>
              <w:top w:val="nil"/>
              <w:left w:val="nil"/>
              <w:bottom w:val="single" w:sz="4" w:space="0" w:color="auto"/>
              <w:right w:val="single" w:sz="4" w:space="0" w:color="auto"/>
            </w:tcBorders>
            <w:shd w:val="clear" w:color="auto" w:fill="auto"/>
            <w:noWrap/>
            <w:vAlign w:val="center"/>
            <w:hideMark/>
          </w:tcPr>
          <w:p w14:paraId="519B20DE" w14:textId="77777777" w:rsidR="00DC5F42" w:rsidRPr="008E63BB" w:rsidRDefault="00DC5F42" w:rsidP="00DC5F42">
            <w:pPr>
              <w:jc w:val="right"/>
              <w:rPr>
                <w:rFonts w:eastAsia="Times New Roman"/>
                <w:sz w:val="20"/>
                <w:szCs w:val="20"/>
              </w:rPr>
            </w:pPr>
            <w:r w:rsidRPr="008E63BB">
              <w:rPr>
                <w:sz w:val="20"/>
                <w:szCs w:val="20"/>
              </w:rPr>
              <w:t>-0,03</w:t>
            </w:r>
          </w:p>
        </w:tc>
        <w:tc>
          <w:tcPr>
            <w:tcW w:w="920" w:type="dxa"/>
            <w:tcBorders>
              <w:top w:val="nil"/>
              <w:left w:val="nil"/>
              <w:bottom w:val="single" w:sz="4" w:space="0" w:color="auto"/>
              <w:right w:val="single" w:sz="4" w:space="0" w:color="auto"/>
            </w:tcBorders>
            <w:shd w:val="clear" w:color="auto" w:fill="auto"/>
            <w:noWrap/>
            <w:vAlign w:val="center"/>
            <w:hideMark/>
          </w:tcPr>
          <w:p w14:paraId="519B20DF" w14:textId="77777777" w:rsidR="00DC5F42" w:rsidRPr="008E63BB" w:rsidRDefault="00DC5F42" w:rsidP="00DC5F42">
            <w:pPr>
              <w:jc w:val="right"/>
              <w:rPr>
                <w:rFonts w:eastAsia="Times New Roman"/>
                <w:sz w:val="20"/>
                <w:szCs w:val="20"/>
              </w:rPr>
            </w:pPr>
            <w:r w:rsidRPr="008E63BB">
              <w:rPr>
                <w:sz w:val="20"/>
                <w:szCs w:val="20"/>
              </w:rPr>
              <w:t>0,59</w:t>
            </w:r>
          </w:p>
        </w:tc>
      </w:tr>
      <w:tr w:rsidR="008D5BFE" w:rsidRPr="008E63BB" w14:paraId="519B20EA"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E1" w14:textId="77777777" w:rsidR="00DC5F42" w:rsidRPr="008E63BB" w:rsidRDefault="00DC5F42" w:rsidP="00DC5F42">
            <w:pPr>
              <w:jc w:val="right"/>
              <w:rPr>
                <w:rFonts w:eastAsia="Times New Roman"/>
                <w:sz w:val="20"/>
                <w:szCs w:val="20"/>
              </w:rPr>
            </w:pPr>
            <w:r w:rsidRPr="008E63BB">
              <w:rPr>
                <w:rFonts w:eastAsia="Times New Roman"/>
                <w:sz w:val="20"/>
                <w:szCs w:val="20"/>
              </w:rPr>
              <w:t>13</w:t>
            </w:r>
          </w:p>
        </w:tc>
        <w:tc>
          <w:tcPr>
            <w:tcW w:w="1971" w:type="dxa"/>
            <w:tcBorders>
              <w:top w:val="nil"/>
              <w:left w:val="nil"/>
              <w:bottom w:val="single" w:sz="4" w:space="0" w:color="auto"/>
              <w:right w:val="single" w:sz="4" w:space="0" w:color="auto"/>
            </w:tcBorders>
            <w:shd w:val="clear" w:color="auto" w:fill="auto"/>
            <w:vAlign w:val="center"/>
            <w:hideMark/>
          </w:tcPr>
          <w:p w14:paraId="519B20E2" w14:textId="77777777" w:rsidR="00DC5F42" w:rsidRPr="008E63BB" w:rsidRDefault="00DC5F42" w:rsidP="00DC5F42">
            <w:pPr>
              <w:jc w:val="left"/>
              <w:rPr>
                <w:rFonts w:eastAsia="Times New Roman"/>
                <w:sz w:val="20"/>
                <w:szCs w:val="20"/>
              </w:rPr>
            </w:pPr>
            <w:r w:rsidRPr="008E63BB">
              <w:rPr>
                <w:rFonts w:eastAsia="Times New Roman"/>
                <w:sz w:val="20"/>
                <w:szCs w:val="20"/>
              </w:rPr>
              <w:t>Trần Đăng Ninh</w:t>
            </w:r>
          </w:p>
        </w:tc>
        <w:tc>
          <w:tcPr>
            <w:tcW w:w="940" w:type="dxa"/>
            <w:tcBorders>
              <w:top w:val="nil"/>
              <w:left w:val="nil"/>
              <w:bottom w:val="single" w:sz="4" w:space="0" w:color="auto"/>
              <w:right w:val="single" w:sz="4" w:space="0" w:color="auto"/>
            </w:tcBorders>
            <w:shd w:val="clear" w:color="auto" w:fill="auto"/>
            <w:noWrap/>
            <w:vAlign w:val="center"/>
            <w:hideMark/>
          </w:tcPr>
          <w:p w14:paraId="519B20E3" w14:textId="77777777" w:rsidR="00DC5F42" w:rsidRPr="008E63BB" w:rsidRDefault="00DC5F42" w:rsidP="00DC5F42">
            <w:pPr>
              <w:jc w:val="right"/>
              <w:rPr>
                <w:rFonts w:eastAsia="Times New Roman"/>
                <w:sz w:val="20"/>
                <w:szCs w:val="20"/>
              </w:rPr>
            </w:pPr>
            <w:r w:rsidRPr="008E63BB">
              <w:rPr>
                <w:rFonts w:eastAsia="Times New Roman"/>
                <w:sz w:val="20"/>
                <w:szCs w:val="20"/>
              </w:rPr>
              <w:t>0,13</w:t>
            </w:r>
          </w:p>
        </w:tc>
        <w:tc>
          <w:tcPr>
            <w:tcW w:w="1000" w:type="dxa"/>
            <w:tcBorders>
              <w:top w:val="nil"/>
              <w:left w:val="nil"/>
              <w:bottom w:val="single" w:sz="4" w:space="0" w:color="auto"/>
              <w:right w:val="single" w:sz="4" w:space="0" w:color="auto"/>
            </w:tcBorders>
            <w:shd w:val="clear" w:color="auto" w:fill="auto"/>
            <w:noWrap/>
            <w:vAlign w:val="center"/>
            <w:hideMark/>
          </w:tcPr>
          <w:p w14:paraId="519B20E4" w14:textId="77777777" w:rsidR="00DC5F42" w:rsidRPr="008E63BB" w:rsidRDefault="00DC5F42" w:rsidP="00DC5F42">
            <w:pPr>
              <w:jc w:val="right"/>
              <w:rPr>
                <w:rFonts w:eastAsia="Times New Roman"/>
                <w:sz w:val="20"/>
                <w:szCs w:val="20"/>
              </w:rPr>
            </w:pPr>
            <w:r w:rsidRPr="008E63BB">
              <w:rPr>
                <w:rFonts w:eastAsia="Times New Roman"/>
                <w:sz w:val="20"/>
                <w:szCs w:val="20"/>
              </w:rPr>
              <w:t>0,39</w:t>
            </w:r>
          </w:p>
        </w:tc>
        <w:tc>
          <w:tcPr>
            <w:tcW w:w="940" w:type="dxa"/>
            <w:tcBorders>
              <w:top w:val="nil"/>
              <w:left w:val="nil"/>
              <w:bottom w:val="single" w:sz="4" w:space="0" w:color="auto"/>
              <w:right w:val="single" w:sz="4" w:space="0" w:color="auto"/>
            </w:tcBorders>
            <w:shd w:val="clear" w:color="auto" w:fill="auto"/>
            <w:noWrap/>
            <w:vAlign w:val="center"/>
            <w:hideMark/>
          </w:tcPr>
          <w:p w14:paraId="519B20E5" w14:textId="77777777" w:rsidR="00DC5F42" w:rsidRPr="008E63BB" w:rsidRDefault="00DC5F42" w:rsidP="00DC5F42">
            <w:pPr>
              <w:jc w:val="right"/>
              <w:rPr>
                <w:rFonts w:eastAsia="Times New Roman"/>
                <w:sz w:val="20"/>
                <w:szCs w:val="20"/>
              </w:rPr>
            </w:pPr>
            <w:r w:rsidRPr="008E63BB">
              <w:rPr>
                <w:rFonts w:eastAsia="Times New Roman"/>
                <w:sz w:val="20"/>
                <w:szCs w:val="20"/>
              </w:rPr>
              <w:t>0,29</w:t>
            </w:r>
          </w:p>
        </w:tc>
        <w:tc>
          <w:tcPr>
            <w:tcW w:w="930" w:type="dxa"/>
            <w:tcBorders>
              <w:top w:val="nil"/>
              <w:left w:val="nil"/>
              <w:bottom w:val="single" w:sz="4" w:space="0" w:color="auto"/>
              <w:right w:val="single" w:sz="4" w:space="0" w:color="auto"/>
            </w:tcBorders>
            <w:shd w:val="clear" w:color="auto" w:fill="auto"/>
            <w:noWrap/>
            <w:vAlign w:val="center"/>
            <w:hideMark/>
          </w:tcPr>
          <w:p w14:paraId="519B20E6" w14:textId="77777777" w:rsidR="00DC5F42" w:rsidRPr="008E63BB" w:rsidRDefault="00DC5F42" w:rsidP="00DC5F42">
            <w:pPr>
              <w:jc w:val="right"/>
              <w:rPr>
                <w:rFonts w:eastAsia="Times New Roman"/>
                <w:sz w:val="20"/>
                <w:szCs w:val="20"/>
              </w:rPr>
            </w:pPr>
            <w:r w:rsidRPr="008E63BB">
              <w:rPr>
                <w:rFonts w:eastAsia="Times New Roman"/>
                <w:sz w:val="20"/>
                <w:szCs w:val="20"/>
              </w:rPr>
              <w:t>0,36</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E7" w14:textId="77777777" w:rsidR="00DC5F42" w:rsidRPr="008E63BB" w:rsidRDefault="00DC5F42" w:rsidP="00DC5F42">
            <w:pPr>
              <w:jc w:val="right"/>
              <w:rPr>
                <w:rFonts w:eastAsia="Times New Roman"/>
                <w:sz w:val="20"/>
                <w:szCs w:val="20"/>
              </w:rPr>
            </w:pPr>
            <w:r w:rsidRPr="008E63BB">
              <w:rPr>
                <w:rFonts w:eastAsia="Times New Roman"/>
                <w:sz w:val="20"/>
                <w:szCs w:val="20"/>
              </w:rPr>
              <w:t>0,76</w:t>
            </w:r>
          </w:p>
        </w:tc>
        <w:tc>
          <w:tcPr>
            <w:tcW w:w="1000" w:type="dxa"/>
            <w:tcBorders>
              <w:top w:val="nil"/>
              <w:left w:val="nil"/>
              <w:bottom w:val="single" w:sz="4" w:space="0" w:color="auto"/>
              <w:right w:val="single" w:sz="4" w:space="0" w:color="auto"/>
            </w:tcBorders>
            <w:shd w:val="clear" w:color="auto" w:fill="auto"/>
            <w:noWrap/>
            <w:vAlign w:val="center"/>
            <w:hideMark/>
          </w:tcPr>
          <w:p w14:paraId="519B20E8" w14:textId="77777777" w:rsidR="00DC5F42" w:rsidRPr="008E63BB" w:rsidRDefault="00DC5F42" w:rsidP="00DC5F42">
            <w:pPr>
              <w:jc w:val="right"/>
              <w:rPr>
                <w:rFonts w:eastAsia="Times New Roman"/>
                <w:sz w:val="20"/>
                <w:szCs w:val="20"/>
              </w:rPr>
            </w:pPr>
            <w:r w:rsidRPr="008E63BB">
              <w:rPr>
                <w:sz w:val="20"/>
                <w:szCs w:val="20"/>
              </w:rPr>
              <w:t>-0,23</w:t>
            </w:r>
          </w:p>
        </w:tc>
        <w:tc>
          <w:tcPr>
            <w:tcW w:w="920" w:type="dxa"/>
            <w:tcBorders>
              <w:top w:val="nil"/>
              <w:left w:val="nil"/>
              <w:bottom w:val="single" w:sz="4" w:space="0" w:color="auto"/>
              <w:right w:val="single" w:sz="4" w:space="0" w:color="auto"/>
            </w:tcBorders>
            <w:shd w:val="clear" w:color="auto" w:fill="auto"/>
            <w:noWrap/>
            <w:vAlign w:val="center"/>
            <w:hideMark/>
          </w:tcPr>
          <w:p w14:paraId="519B20E9" w14:textId="77777777" w:rsidR="00DC5F42" w:rsidRPr="008E63BB" w:rsidRDefault="00DC5F42" w:rsidP="00DC5F42">
            <w:pPr>
              <w:jc w:val="right"/>
              <w:rPr>
                <w:rFonts w:eastAsia="Times New Roman"/>
                <w:sz w:val="20"/>
                <w:szCs w:val="20"/>
              </w:rPr>
            </w:pPr>
            <w:r w:rsidRPr="008E63BB">
              <w:rPr>
                <w:sz w:val="20"/>
                <w:szCs w:val="20"/>
              </w:rPr>
              <w:t>0,47</w:t>
            </w:r>
          </w:p>
        </w:tc>
      </w:tr>
      <w:tr w:rsidR="008D5BFE" w:rsidRPr="008E63BB" w14:paraId="519B20F4"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EB" w14:textId="77777777" w:rsidR="00DC5F42" w:rsidRPr="008E63BB" w:rsidRDefault="00DC5F42" w:rsidP="00DC5F42">
            <w:pPr>
              <w:jc w:val="right"/>
              <w:rPr>
                <w:rFonts w:eastAsia="Times New Roman"/>
                <w:sz w:val="20"/>
                <w:szCs w:val="20"/>
              </w:rPr>
            </w:pPr>
            <w:r w:rsidRPr="008E63BB">
              <w:rPr>
                <w:rFonts w:eastAsia="Times New Roman"/>
                <w:sz w:val="20"/>
                <w:szCs w:val="20"/>
              </w:rPr>
              <w:t>14</w:t>
            </w:r>
          </w:p>
        </w:tc>
        <w:tc>
          <w:tcPr>
            <w:tcW w:w="1971" w:type="dxa"/>
            <w:tcBorders>
              <w:top w:val="nil"/>
              <w:left w:val="nil"/>
              <w:bottom w:val="single" w:sz="4" w:space="0" w:color="auto"/>
              <w:right w:val="single" w:sz="4" w:space="0" w:color="auto"/>
            </w:tcBorders>
            <w:shd w:val="clear" w:color="auto" w:fill="auto"/>
            <w:vAlign w:val="center"/>
            <w:hideMark/>
          </w:tcPr>
          <w:p w14:paraId="519B20EC" w14:textId="77777777" w:rsidR="00DC5F42" w:rsidRPr="008E63BB" w:rsidRDefault="00DC5F42" w:rsidP="00DC5F42">
            <w:pPr>
              <w:jc w:val="left"/>
              <w:rPr>
                <w:rFonts w:eastAsia="Times New Roman"/>
                <w:sz w:val="20"/>
                <w:szCs w:val="20"/>
              </w:rPr>
            </w:pPr>
            <w:r w:rsidRPr="008E63BB">
              <w:rPr>
                <w:rFonts w:eastAsia="Times New Roman"/>
                <w:sz w:val="20"/>
                <w:szCs w:val="20"/>
              </w:rPr>
              <w:t>Năng Tĩnh</w:t>
            </w:r>
          </w:p>
        </w:tc>
        <w:tc>
          <w:tcPr>
            <w:tcW w:w="940" w:type="dxa"/>
            <w:tcBorders>
              <w:top w:val="nil"/>
              <w:left w:val="nil"/>
              <w:bottom w:val="single" w:sz="4" w:space="0" w:color="auto"/>
              <w:right w:val="single" w:sz="4" w:space="0" w:color="auto"/>
            </w:tcBorders>
            <w:shd w:val="clear" w:color="auto" w:fill="auto"/>
            <w:noWrap/>
            <w:vAlign w:val="center"/>
            <w:hideMark/>
          </w:tcPr>
          <w:p w14:paraId="519B20ED" w14:textId="77777777" w:rsidR="00DC5F42" w:rsidRPr="008E63BB" w:rsidRDefault="00DC5F42" w:rsidP="00DC5F42">
            <w:pPr>
              <w:jc w:val="right"/>
              <w:rPr>
                <w:rFonts w:eastAsia="Times New Roman"/>
                <w:sz w:val="20"/>
                <w:szCs w:val="20"/>
              </w:rPr>
            </w:pPr>
            <w:r w:rsidRPr="008E63BB">
              <w:rPr>
                <w:rFonts w:eastAsia="Times New Roman"/>
                <w:sz w:val="20"/>
                <w:szCs w:val="20"/>
              </w:rPr>
              <w:t>0,42</w:t>
            </w:r>
          </w:p>
        </w:tc>
        <w:tc>
          <w:tcPr>
            <w:tcW w:w="1000" w:type="dxa"/>
            <w:tcBorders>
              <w:top w:val="nil"/>
              <w:left w:val="nil"/>
              <w:bottom w:val="single" w:sz="4" w:space="0" w:color="auto"/>
              <w:right w:val="single" w:sz="4" w:space="0" w:color="auto"/>
            </w:tcBorders>
            <w:shd w:val="clear" w:color="auto" w:fill="auto"/>
            <w:noWrap/>
            <w:vAlign w:val="center"/>
            <w:hideMark/>
          </w:tcPr>
          <w:p w14:paraId="519B20EE" w14:textId="77777777" w:rsidR="00DC5F42" w:rsidRPr="008E63BB" w:rsidRDefault="00DC5F42" w:rsidP="00DC5F42">
            <w:pPr>
              <w:jc w:val="right"/>
              <w:rPr>
                <w:rFonts w:eastAsia="Times New Roman"/>
                <w:sz w:val="20"/>
                <w:szCs w:val="20"/>
              </w:rPr>
            </w:pPr>
            <w:r w:rsidRPr="008E63BB">
              <w:rPr>
                <w:rFonts w:eastAsia="Times New Roman"/>
                <w:sz w:val="20"/>
                <w:szCs w:val="20"/>
              </w:rPr>
              <w:t>0,87</w:t>
            </w:r>
          </w:p>
        </w:tc>
        <w:tc>
          <w:tcPr>
            <w:tcW w:w="940" w:type="dxa"/>
            <w:tcBorders>
              <w:top w:val="nil"/>
              <w:left w:val="nil"/>
              <w:bottom w:val="single" w:sz="4" w:space="0" w:color="auto"/>
              <w:right w:val="single" w:sz="4" w:space="0" w:color="auto"/>
            </w:tcBorders>
            <w:shd w:val="clear" w:color="auto" w:fill="auto"/>
            <w:noWrap/>
            <w:vAlign w:val="center"/>
            <w:hideMark/>
          </w:tcPr>
          <w:p w14:paraId="519B20EF" w14:textId="77777777" w:rsidR="00DC5F42" w:rsidRPr="008E63BB" w:rsidRDefault="00DC5F42" w:rsidP="00DC5F42">
            <w:pPr>
              <w:jc w:val="right"/>
              <w:rPr>
                <w:rFonts w:eastAsia="Times New Roman"/>
                <w:sz w:val="20"/>
                <w:szCs w:val="20"/>
              </w:rPr>
            </w:pPr>
            <w:r w:rsidRPr="008E63BB">
              <w:rPr>
                <w:rFonts w:eastAsia="Times New Roman"/>
                <w:sz w:val="20"/>
                <w:szCs w:val="20"/>
              </w:rPr>
              <w:t>0,63</w:t>
            </w:r>
          </w:p>
        </w:tc>
        <w:tc>
          <w:tcPr>
            <w:tcW w:w="930" w:type="dxa"/>
            <w:tcBorders>
              <w:top w:val="nil"/>
              <w:left w:val="nil"/>
              <w:bottom w:val="single" w:sz="4" w:space="0" w:color="auto"/>
              <w:right w:val="single" w:sz="4" w:space="0" w:color="auto"/>
            </w:tcBorders>
            <w:shd w:val="clear" w:color="auto" w:fill="auto"/>
            <w:noWrap/>
            <w:vAlign w:val="center"/>
            <w:hideMark/>
          </w:tcPr>
          <w:p w14:paraId="519B20F0" w14:textId="77777777" w:rsidR="00DC5F42" w:rsidRPr="008E63BB" w:rsidRDefault="00DC5F42" w:rsidP="00DC5F42">
            <w:pPr>
              <w:jc w:val="right"/>
              <w:rPr>
                <w:rFonts w:eastAsia="Times New Roman"/>
                <w:sz w:val="20"/>
                <w:szCs w:val="20"/>
              </w:rPr>
            </w:pPr>
            <w:r w:rsidRPr="008E63BB">
              <w:rPr>
                <w:rFonts w:eastAsia="Times New Roman"/>
                <w:sz w:val="20"/>
                <w:szCs w:val="20"/>
              </w:rPr>
              <w:t>0,61</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F1" w14:textId="77777777" w:rsidR="00DC5F42" w:rsidRPr="008E63BB" w:rsidRDefault="00DC5F42" w:rsidP="00DC5F42">
            <w:pPr>
              <w:jc w:val="right"/>
              <w:rPr>
                <w:rFonts w:eastAsia="Times New Roman"/>
                <w:sz w:val="20"/>
                <w:szCs w:val="20"/>
              </w:rPr>
            </w:pPr>
            <w:r w:rsidRPr="008E63BB">
              <w:rPr>
                <w:rFonts w:eastAsia="Times New Roman"/>
                <w:sz w:val="20"/>
                <w:szCs w:val="20"/>
              </w:rPr>
              <w:t>0,92</w:t>
            </w:r>
          </w:p>
        </w:tc>
        <w:tc>
          <w:tcPr>
            <w:tcW w:w="1000" w:type="dxa"/>
            <w:tcBorders>
              <w:top w:val="nil"/>
              <w:left w:val="nil"/>
              <w:bottom w:val="single" w:sz="4" w:space="0" w:color="auto"/>
              <w:right w:val="single" w:sz="4" w:space="0" w:color="auto"/>
            </w:tcBorders>
            <w:shd w:val="clear" w:color="auto" w:fill="auto"/>
            <w:noWrap/>
            <w:vAlign w:val="center"/>
            <w:hideMark/>
          </w:tcPr>
          <w:p w14:paraId="519B20F2" w14:textId="77777777" w:rsidR="00DC5F42" w:rsidRPr="008E63BB" w:rsidRDefault="00DC5F42" w:rsidP="00DC5F42">
            <w:pPr>
              <w:jc w:val="right"/>
              <w:rPr>
                <w:rFonts w:eastAsia="Times New Roman"/>
                <w:sz w:val="20"/>
                <w:szCs w:val="20"/>
              </w:rPr>
            </w:pPr>
            <w:r w:rsidRPr="008E63BB">
              <w:rPr>
                <w:sz w:val="20"/>
                <w:szCs w:val="20"/>
              </w:rPr>
              <w:t>-0,50</w:t>
            </w:r>
          </w:p>
        </w:tc>
        <w:tc>
          <w:tcPr>
            <w:tcW w:w="920" w:type="dxa"/>
            <w:tcBorders>
              <w:top w:val="nil"/>
              <w:left w:val="nil"/>
              <w:bottom w:val="single" w:sz="4" w:space="0" w:color="auto"/>
              <w:right w:val="single" w:sz="4" w:space="0" w:color="auto"/>
            </w:tcBorders>
            <w:shd w:val="clear" w:color="auto" w:fill="auto"/>
            <w:noWrap/>
            <w:vAlign w:val="center"/>
            <w:hideMark/>
          </w:tcPr>
          <w:p w14:paraId="519B20F3" w14:textId="77777777" w:rsidR="00DC5F42" w:rsidRPr="008E63BB" w:rsidRDefault="00DC5F42" w:rsidP="00DC5F42">
            <w:pPr>
              <w:jc w:val="right"/>
              <w:rPr>
                <w:rFonts w:eastAsia="Times New Roman"/>
                <w:sz w:val="20"/>
                <w:szCs w:val="20"/>
              </w:rPr>
            </w:pPr>
            <w:r w:rsidRPr="008E63BB">
              <w:rPr>
                <w:sz w:val="20"/>
                <w:szCs w:val="20"/>
              </w:rPr>
              <w:t>0,69</w:t>
            </w:r>
          </w:p>
        </w:tc>
      </w:tr>
      <w:tr w:rsidR="008D5BFE" w:rsidRPr="008E63BB" w14:paraId="519B20FE"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F5" w14:textId="77777777" w:rsidR="00DC5F42" w:rsidRPr="008E63BB" w:rsidRDefault="00DC5F42" w:rsidP="00DC5F42">
            <w:pPr>
              <w:jc w:val="right"/>
              <w:rPr>
                <w:rFonts w:eastAsia="Times New Roman"/>
                <w:sz w:val="20"/>
                <w:szCs w:val="20"/>
              </w:rPr>
            </w:pPr>
            <w:r w:rsidRPr="008E63BB">
              <w:rPr>
                <w:rFonts w:eastAsia="Times New Roman"/>
                <w:sz w:val="20"/>
                <w:szCs w:val="20"/>
              </w:rPr>
              <w:t>15</w:t>
            </w:r>
          </w:p>
        </w:tc>
        <w:tc>
          <w:tcPr>
            <w:tcW w:w="1971" w:type="dxa"/>
            <w:tcBorders>
              <w:top w:val="nil"/>
              <w:left w:val="nil"/>
              <w:bottom w:val="single" w:sz="4" w:space="0" w:color="auto"/>
              <w:right w:val="single" w:sz="4" w:space="0" w:color="auto"/>
            </w:tcBorders>
            <w:shd w:val="clear" w:color="auto" w:fill="auto"/>
            <w:vAlign w:val="center"/>
            <w:hideMark/>
          </w:tcPr>
          <w:p w14:paraId="519B20F6" w14:textId="77777777" w:rsidR="00DC5F42" w:rsidRPr="008E63BB" w:rsidRDefault="00DC5F42" w:rsidP="00DC5F42">
            <w:pPr>
              <w:jc w:val="left"/>
              <w:rPr>
                <w:rFonts w:eastAsia="Times New Roman"/>
                <w:sz w:val="20"/>
                <w:szCs w:val="20"/>
              </w:rPr>
            </w:pPr>
            <w:r w:rsidRPr="008E63BB">
              <w:rPr>
                <w:rFonts w:eastAsia="Times New Roman"/>
                <w:sz w:val="20"/>
                <w:szCs w:val="20"/>
              </w:rPr>
              <w:t>Văn Miếu</w:t>
            </w:r>
          </w:p>
        </w:tc>
        <w:tc>
          <w:tcPr>
            <w:tcW w:w="940" w:type="dxa"/>
            <w:tcBorders>
              <w:top w:val="nil"/>
              <w:left w:val="nil"/>
              <w:bottom w:val="single" w:sz="4" w:space="0" w:color="auto"/>
              <w:right w:val="single" w:sz="4" w:space="0" w:color="auto"/>
            </w:tcBorders>
            <w:shd w:val="clear" w:color="auto" w:fill="auto"/>
            <w:noWrap/>
            <w:vAlign w:val="center"/>
            <w:hideMark/>
          </w:tcPr>
          <w:p w14:paraId="519B20F7" w14:textId="77777777" w:rsidR="00DC5F42" w:rsidRPr="008E63BB" w:rsidRDefault="00DC5F42" w:rsidP="00DC5F42">
            <w:pPr>
              <w:jc w:val="right"/>
              <w:rPr>
                <w:rFonts w:eastAsia="Times New Roman"/>
                <w:sz w:val="20"/>
                <w:szCs w:val="20"/>
              </w:rPr>
            </w:pPr>
            <w:r w:rsidRPr="008E63BB">
              <w:rPr>
                <w:rFonts w:eastAsia="Times New Roman"/>
                <w:sz w:val="20"/>
                <w:szCs w:val="20"/>
              </w:rPr>
              <w:t>0,13</w:t>
            </w:r>
          </w:p>
        </w:tc>
        <w:tc>
          <w:tcPr>
            <w:tcW w:w="1000" w:type="dxa"/>
            <w:tcBorders>
              <w:top w:val="nil"/>
              <w:left w:val="nil"/>
              <w:bottom w:val="single" w:sz="4" w:space="0" w:color="auto"/>
              <w:right w:val="single" w:sz="4" w:space="0" w:color="auto"/>
            </w:tcBorders>
            <w:shd w:val="clear" w:color="auto" w:fill="auto"/>
            <w:noWrap/>
            <w:vAlign w:val="center"/>
            <w:hideMark/>
          </w:tcPr>
          <w:p w14:paraId="519B20F8" w14:textId="77777777" w:rsidR="00DC5F42" w:rsidRPr="008E63BB" w:rsidRDefault="00DC5F42" w:rsidP="00DC5F42">
            <w:pPr>
              <w:jc w:val="right"/>
              <w:rPr>
                <w:rFonts w:eastAsia="Times New Roman"/>
                <w:sz w:val="20"/>
                <w:szCs w:val="20"/>
              </w:rPr>
            </w:pPr>
            <w:r w:rsidRPr="008E63BB">
              <w:rPr>
                <w:rFonts w:eastAsia="Times New Roman"/>
                <w:sz w:val="20"/>
                <w:szCs w:val="20"/>
              </w:rPr>
              <w:t>0,30</w:t>
            </w:r>
          </w:p>
        </w:tc>
        <w:tc>
          <w:tcPr>
            <w:tcW w:w="940" w:type="dxa"/>
            <w:tcBorders>
              <w:top w:val="nil"/>
              <w:left w:val="nil"/>
              <w:bottom w:val="single" w:sz="4" w:space="0" w:color="auto"/>
              <w:right w:val="single" w:sz="4" w:space="0" w:color="auto"/>
            </w:tcBorders>
            <w:shd w:val="clear" w:color="auto" w:fill="auto"/>
            <w:noWrap/>
            <w:vAlign w:val="center"/>
            <w:hideMark/>
          </w:tcPr>
          <w:p w14:paraId="519B20F9" w14:textId="77777777" w:rsidR="00DC5F42" w:rsidRPr="008E63BB" w:rsidRDefault="00DC5F42" w:rsidP="00DC5F42">
            <w:pPr>
              <w:jc w:val="right"/>
              <w:rPr>
                <w:rFonts w:eastAsia="Times New Roman"/>
                <w:sz w:val="20"/>
                <w:szCs w:val="20"/>
              </w:rPr>
            </w:pPr>
            <w:r w:rsidRPr="008E63BB">
              <w:rPr>
                <w:rFonts w:eastAsia="Times New Roman"/>
                <w:sz w:val="20"/>
                <w:szCs w:val="20"/>
              </w:rPr>
              <w:t>6,08</w:t>
            </w:r>
          </w:p>
        </w:tc>
        <w:tc>
          <w:tcPr>
            <w:tcW w:w="930" w:type="dxa"/>
            <w:tcBorders>
              <w:top w:val="nil"/>
              <w:left w:val="nil"/>
              <w:bottom w:val="single" w:sz="4" w:space="0" w:color="auto"/>
              <w:right w:val="single" w:sz="4" w:space="0" w:color="auto"/>
            </w:tcBorders>
            <w:shd w:val="clear" w:color="auto" w:fill="auto"/>
            <w:noWrap/>
            <w:vAlign w:val="center"/>
            <w:hideMark/>
          </w:tcPr>
          <w:p w14:paraId="519B20FA" w14:textId="77777777" w:rsidR="00DC5F42" w:rsidRPr="008E63BB" w:rsidRDefault="00DC5F42" w:rsidP="00DC5F42">
            <w:pPr>
              <w:jc w:val="right"/>
              <w:rPr>
                <w:rFonts w:eastAsia="Times New Roman"/>
                <w:sz w:val="20"/>
                <w:szCs w:val="20"/>
              </w:rPr>
            </w:pPr>
            <w:r w:rsidRPr="008E63BB">
              <w:rPr>
                <w:rFonts w:eastAsia="Times New Roman"/>
                <w:sz w:val="20"/>
                <w:szCs w:val="20"/>
              </w:rPr>
              <w:t>0,54</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0FB" w14:textId="77777777" w:rsidR="00DC5F42" w:rsidRPr="008E63BB" w:rsidRDefault="00DC5F42" w:rsidP="00DC5F42">
            <w:pPr>
              <w:jc w:val="right"/>
              <w:rPr>
                <w:rFonts w:eastAsia="Times New Roman"/>
                <w:sz w:val="20"/>
                <w:szCs w:val="20"/>
              </w:rPr>
            </w:pPr>
            <w:r w:rsidRPr="008E63BB">
              <w:rPr>
                <w:rFonts w:eastAsia="Times New Roman"/>
                <w:sz w:val="20"/>
                <w:szCs w:val="20"/>
              </w:rPr>
              <w:t>0,88</w:t>
            </w:r>
          </w:p>
        </w:tc>
        <w:tc>
          <w:tcPr>
            <w:tcW w:w="1000" w:type="dxa"/>
            <w:tcBorders>
              <w:top w:val="nil"/>
              <w:left w:val="nil"/>
              <w:bottom w:val="single" w:sz="4" w:space="0" w:color="auto"/>
              <w:right w:val="single" w:sz="4" w:space="0" w:color="auto"/>
            </w:tcBorders>
            <w:shd w:val="clear" w:color="auto" w:fill="auto"/>
            <w:noWrap/>
            <w:vAlign w:val="center"/>
            <w:hideMark/>
          </w:tcPr>
          <w:p w14:paraId="519B20FC" w14:textId="77777777" w:rsidR="00DC5F42" w:rsidRPr="008E63BB" w:rsidRDefault="00DC5F42" w:rsidP="00DC5F42">
            <w:pPr>
              <w:jc w:val="right"/>
              <w:rPr>
                <w:rFonts w:eastAsia="Times New Roman"/>
                <w:sz w:val="20"/>
                <w:szCs w:val="20"/>
              </w:rPr>
            </w:pPr>
            <w:r w:rsidRPr="008E63BB">
              <w:rPr>
                <w:sz w:val="20"/>
                <w:szCs w:val="20"/>
              </w:rPr>
              <w:t>-1,37</w:t>
            </w:r>
          </w:p>
        </w:tc>
        <w:tc>
          <w:tcPr>
            <w:tcW w:w="920" w:type="dxa"/>
            <w:tcBorders>
              <w:top w:val="nil"/>
              <w:left w:val="nil"/>
              <w:bottom w:val="single" w:sz="4" w:space="0" w:color="auto"/>
              <w:right w:val="single" w:sz="4" w:space="0" w:color="auto"/>
            </w:tcBorders>
            <w:shd w:val="clear" w:color="auto" w:fill="auto"/>
            <w:noWrap/>
            <w:vAlign w:val="center"/>
            <w:hideMark/>
          </w:tcPr>
          <w:p w14:paraId="519B20FD" w14:textId="77777777" w:rsidR="00DC5F42" w:rsidRPr="008E63BB" w:rsidRDefault="00DC5F42" w:rsidP="00DC5F42">
            <w:pPr>
              <w:jc w:val="right"/>
              <w:rPr>
                <w:rFonts w:eastAsia="Times New Roman"/>
                <w:sz w:val="20"/>
                <w:szCs w:val="20"/>
              </w:rPr>
            </w:pPr>
            <w:r w:rsidRPr="008E63BB">
              <w:rPr>
                <w:sz w:val="20"/>
                <w:szCs w:val="20"/>
              </w:rPr>
              <w:t>1,16</w:t>
            </w:r>
          </w:p>
        </w:tc>
      </w:tr>
      <w:tr w:rsidR="008D5BFE" w:rsidRPr="008E63BB" w14:paraId="519B2108"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0FF" w14:textId="77777777" w:rsidR="00DC5F42" w:rsidRPr="008E63BB" w:rsidRDefault="00DC5F42" w:rsidP="00DC5F42">
            <w:pPr>
              <w:jc w:val="right"/>
              <w:rPr>
                <w:rFonts w:eastAsia="Times New Roman"/>
                <w:sz w:val="20"/>
                <w:szCs w:val="20"/>
              </w:rPr>
            </w:pPr>
            <w:r w:rsidRPr="008E63BB">
              <w:rPr>
                <w:rFonts w:eastAsia="Times New Roman"/>
                <w:sz w:val="20"/>
                <w:szCs w:val="20"/>
              </w:rPr>
              <w:t>16</w:t>
            </w:r>
          </w:p>
        </w:tc>
        <w:tc>
          <w:tcPr>
            <w:tcW w:w="1971" w:type="dxa"/>
            <w:tcBorders>
              <w:top w:val="nil"/>
              <w:left w:val="nil"/>
              <w:bottom w:val="single" w:sz="4" w:space="0" w:color="auto"/>
              <w:right w:val="single" w:sz="4" w:space="0" w:color="auto"/>
            </w:tcBorders>
            <w:shd w:val="clear" w:color="auto" w:fill="auto"/>
            <w:vAlign w:val="center"/>
            <w:hideMark/>
          </w:tcPr>
          <w:p w14:paraId="519B2100" w14:textId="77777777" w:rsidR="00DC5F42" w:rsidRPr="008E63BB" w:rsidRDefault="00DC5F42" w:rsidP="00DC5F42">
            <w:pPr>
              <w:jc w:val="left"/>
              <w:rPr>
                <w:rFonts w:eastAsia="Times New Roman"/>
                <w:sz w:val="20"/>
                <w:szCs w:val="20"/>
              </w:rPr>
            </w:pPr>
            <w:r w:rsidRPr="008E63BB">
              <w:rPr>
                <w:rFonts w:eastAsia="Times New Roman"/>
                <w:sz w:val="20"/>
                <w:szCs w:val="20"/>
              </w:rPr>
              <w:t>Trần Quang Khải</w:t>
            </w:r>
          </w:p>
        </w:tc>
        <w:tc>
          <w:tcPr>
            <w:tcW w:w="940" w:type="dxa"/>
            <w:tcBorders>
              <w:top w:val="nil"/>
              <w:left w:val="nil"/>
              <w:bottom w:val="single" w:sz="4" w:space="0" w:color="auto"/>
              <w:right w:val="single" w:sz="4" w:space="0" w:color="auto"/>
            </w:tcBorders>
            <w:shd w:val="clear" w:color="auto" w:fill="auto"/>
            <w:noWrap/>
            <w:vAlign w:val="center"/>
            <w:hideMark/>
          </w:tcPr>
          <w:p w14:paraId="519B2101" w14:textId="77777777" w:rsidR="00DC5F42" w:rsidRPr="008E63BB" w:rsidRDefault="00DC5F42" w:rsidP="00DC5F42">
            <w:pPr>
              <w:jc w:val="right"/>
              <w:rPr>
                <w:rFonts w:eastAsia="Times New Roman"/>
                <w:sz w:val="20"/>
                <w:szCs w:val="20"/>
              </w:rPr>
            </w:pPr>
            <w:r w:rsidRPr="008E63BB">
              <w:rPr>
                <w:rFonts w:eastAsia="Times New Roman"/>
                <w:sz w:val="20"/>
                <w:szCs w:val="20"/>
              </w:rPr>
              <w:t>0,62</w:t>
            </w:r>
          </w:p>
        </w:tc>
        <w:tc>
          <w:tcPr>
            <w:tcW w:w="1000" w:type="dxa"/>
            <w:tcBorders>
              <w:top w:val="nil"/>
              <w:left w:val="nil"/>
              <w:bottom w:val="single" w:sz="4" w:space="0" w:color="auto"/>
              <w:right w:val="single" w:sz="4" w:space="0" w:color="auto"/>
            </w:tcBorders>
            <w:shd w:val="clear" w:color="auto" w:fill="auto"/>
            <w:noWrap/>
            <w:vAlign w:val="center"/>
            <w:hideMark/>
          </w:tcPr>
          <w:p w14:paraId="519B2102" w14:textId="77777777" w:rsidR="00DC5F42" w:rsidRPr="008E63BB" w:rsidRDefault="00DC5F42" w:rsidP="00DC5F42">
            <w:pPr>
              <w:jc w:val="right"/>
              <w:rPr>
                <w:rFonts w:eastAsia="Times New Roman"/>
                <w:sz w:val="20"/>
                <w:szCs w:val="20"/>
              </w:rPr>
            </w:pPr>
            <w:r w:rsidRPr="008E63BB">
              <w:rPr>
                <w:rFonts w:eastAsia="Times New Roman"/>
                <w:sz w:val="20"/>
                <w:szCs w:val="20"/>
              </w:rPr>
              <w:t>0,58</w:t>
            </w:r>
          </w:p>
        </w:tc>
        <w:tc>
          <w:tcPr>
            <w:tcW w:w="940" w:type="dxa"/>
            <w:tcBorders>
              <w:top w:val="nil"/>
              <w:left w:val="nil"/>
              <w:bottom w:val="single" w:sz="4" w:space="0" w:color="auto"/>
              <w:right w:val="single" w:sz="4" w:space="0" w:color="auto"/>
            </w:tcBorders>
            <w:shd w:val="clear" w:color="auto" w:fill="auto"/>
            <w:noWrap/>
            <w:vAlign w:val="center"/>
            <w:hideMark/>
          </w:tcPr>
          <w:p w14:paraId="519B2103" w14:textId="77777777" w:rsidR="00DC5F42" w:rsidRPr="008E63BB" w:rsidRDefault="00DC5F42" w:rsidP="00DC5F42">
            <w:pPr>
              <w:jc w:val="right"/>
              <w:rPr>
                <w:rFonts w:eastAsia="Times New Roman"/>
                <w:sz w:val="20"/>
                <w:szCs w:val="20"/>
              </w:rPr>
            </w:pPr>
            <w:r w:rsidRPr="008E63BB">
              <w:rPr>
                <w:rFonts w:eastAsia="Times New Roman"/>
                <w:sz w:val="20"/>
                <w:szCs w:val="20"/>
              </w:rPr>
              <w:t>1,24</w:t>
            </w:r>
          </w:p>
        </w:tc>
        <w:tc>
          <w:tcPr>
            <w:tcW w:w="930" w:type="dxa"/>
            <w:tcBorders>
              <w:top w:val="nil"/>
              <w:left w:val="nil"/>
              <w:bottom w:val="single" w:sz="4" w:space="0" w:color="auto"/>
              <w:right w:val="single" w:sz="4" w:space="0" w:color="auto"/>
            </w:tcBorders>
            <w:shd w:val="clear" w:color="auto" w:fill="auto"/>
            <w:noWrap/>
            <w:vAlign w:val="center"/>
            <w:hideMark/>
          </w:tcPr>
          <w:p w14:paraId="519B2104" w14:textId="77777777" w:rsidR="00DC5F42" w:rsidRPr="008E63BB" w:rsidRDefault="00DC5F42" w:rsidP="00DC5F42">
            <w:pPr>
              <w:jc w:val="right"/>
              <w:rPr>
                <w:rFonts w:eastAsia="Times New Roman"/>
                <w:sz w:val="20"/>
                <w:szCs w:val="20"/>
              </w:rPr>
            </w:pPr>
            <w:r w:rsidRPr="008E63BB">
              <w:rPr>
                <w:rFonts w:eastAsia="Times New Roman"/>
                <w:sz w:val="20"/>
                <w:szCs w:val="20"/>
              </w:rPr>
              <w:t>1,16</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105" w14:textId="77777777" w:rsidR="00DC5F42" w:rsidRPr="008E63BB" w:rsidRDefault="00DC5F42" w:rsidP="00DC5F42">
            <w:pPr>
              <w:jc w:val="right"/>
              <w:rPr>
                <w:rFonts w:eastAsia="Times New Roman"/>
                <w:sz w:val="20"/>
                <w:szCs w:val="20"/>
              </w:rPr>
            </w:pPr>
            <w:r w:rsidRPr="008E63BB">
              <w:rPr>
                <w:rFonts w:eastAsia="Times New Roman"/>
                <w:sz w:val="20"/>
                <w:szCs w:val="20"/>
              </w:rPr>
              <w:t>1,28</w:t>
            </w:r>
          </w:p>
        </w:tc>
        <w:tc>
          <w:tcPr>
            <w:tcW w:w="1000" w:type="dxa"/>
            <w:tcBorders>
              <w:top w:val="nil"/>
              <w:left w:val="nil"/>
              <w:bottom w:val="single" w:sz="4" w:space="0" w:color="auto"/>
              <w:right w:val="single" w:sz="4" w:space="0" w:color="auto"/>
            </w:tcBorders>
            <w:shd w:val="clear" w:color="auto" w:fill="auto"/>
            <w:noWrap/>
            <w:vAlign w:val="center"/>
            <w:hideMark/>
          </w:tcPr>
          <w:p w14:paraId="519B2106" w14:textId="77777777" w:rsidR="00DC5F42" w:rsidRPr="008E63BB" w:rsidRDefault="00DC5F42" w:rsidP="00DC5F42">
            <w:pPr>
              <w:jc w:val="right"/>
              <w:rPr>
                <w:rFonts w:eastAsia="Times New Roman"/>
                <w:sz w:val="20"/>
                <w:szCs w:val="20"/>
              </w:rPr>
            </w:pPr>
            <w:r w:rsidRPr="008E63BB">
              <w:rPr>
                <w:sz w:val="20"/>
                <w:szCs w:val="20"/>
              </w:rPr>
              <w:t>-0,71</w:t>
            </w:r>
          </w:p>
        </w:tc>
        <w:tc>
          <w:tcPr>
            <w:tcW w:w="920" w:type="dxa"/>
            <w:tcBorders>
              <w:top w:val="nil"/>
              <w:left w:val="nil"/>
              <w:bottom w:val="single" w:sz="4" w:space="0" w:color="auto"/>
              <w:right w:val="single" w:sz="4" w:space="0" w:color="auto"/>
            </w:tcBorders>
            <w:shd w:val="clear" w:color="auto" w:fill="auto"/>
            <w:noWrap/>
            <w:vAlign w:val="center"/>
            <w:hideMark/>
          </w:tcPr>
          <w:p w14:paraId="519B2107" w14:textId="77777777" w:rsidR="00DC5F42" w:rsidRPr="008E63BB" w:rsidRDefault="00DC5F42" w:rsidP="00DC5F42">
            <w:pPr>
              <w:jc w:val="right"/>
              <w:rPr>
                <w:rFonts w:eastAsia="Times New Roman"/>
                <w:sz w:val="20"/>
                <w:szCs w:val="20"/>
              </w:rPr>
            </w:pPr>
            <w:r w:rsidRPr="008E63BB">
              <w:rPr>
                <w:sz w:val="20"/>
                <w:szCs w:val="20"/>
              </w:rPr>
              <w:t>0,97</w:t>
            </w:r>
          </w:p>
        </w:tc>
      </w:tr>
      <w:tr w:rsidR="008D5BFE" w:rsidRPr="008E63BB" w14:paraId="519B2112" w14:textId="77777777" w:rsidTr="00D0797C">
        <w:trPr>
          <w:trHeight w:val="319"/>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09" w14:textId="77777777" w:rsidR="00DC5F42" w:rsidRPr="008E63BB" w:rsidRDefault="00DC5F42" w:rsidP="00DC5F42">
            <w:pPr>
              <w:jc w:val="right"/>
              <w:rPr>
                <w:rFonts w:eastAsia="Times New Roman"/>
                <w:sz w:val="20"/>
                <w:szCs w:val="20"/>
              </w:rPr>
            </w:pPr>
            <w:r w:rsidRPr="008E63BB">
              <w:rPr>
                <w:rFonts w:eastAsia="Times New Roman"/>
                <w:sz w:val="20"/>
                <w:szCs w:val="20"/>
              </w:rPr>
              <w:t>17</w:t>
            </w:r>
          </w:p>
        </w:tc>
        <w:tc>
          <w:tcPr>
            <w:tcW w:w="1971" w:type="dxa"/>
            <w:tcBorders>
              <w:top w:val="nil"/>
              <w:left w:val="nil"/>
              <w:bottom w:val="single" w:sz="4" w:space="0" w:color="auto"/>
              <w:right w:val="single" w:sz="4" w:space="0" w:color="auto"/>
            </w:tcBorders>
            <w:shd w:val="clear" w:color="auto" w:fill="auto"/>
            <w:vAlign w:val="center"/>
            <w:hideMark/>
          </w:tcPr>
          <w:p w14:paraId="519B210A" w14:textId="77777777" w:rsidR="00DC5F42" w:rsidRPr="008E63BB" w:rsidRDefault="00DC5F42" w:rsidP="00DC5F42">
            <w:pPr>
              <w:jc w:val="left"/>
              <w:rPr>
                <w:rFonts w:eastAsia="Times New Roman"/>
                <w:sz w:val="20"/>
                <w:szCs w:val="20"/>
              </w:rPr>
            </w:pPr>
            <w:r w:rsidRPr="008E63BB">
              <w:rPr>
                <w:rFonts w:eastAsia="Times New Roman"/>
                <w:sz w:val="20"/>
                <w:szCs w:val="20"/>
              </w:rPr>
              <w:t>Thống Nhất</w:t>
            </w:r>
          </w:p>
        </w:tc>
        <w:tc>
          <w:tcPr>
            <w:tcW w:w="940" w:type="dxa"/>
            <w:tcBorders>
              <w:top w:val="nil"/>
              <w:left w:val="nil"/>
              <w:bottom w:val="single" w:sz="4" w:space="0" w:color="auto"/>
              <w:right w:val="single" w:sz="4" w:space="0" w:color="auto"/>
            </w:tcBorders>
            <w:shd w:val="clear" w:color="auto" w:fill="auto"/>
            <w:noWrap/>
            <w:vAlign w:val="center"/>
            <w:hideMark/>
          </w:tcPr>
          <w:p w14:paraId="519B210B" w14:textId="77777777" w:rsidR="00DC5F42" w:rsidRPr="008E63BB" w:rsidRDefault="00DC5F42" w:rsidP="00DC5F42">
            <w:pPr>
              <w:jc w:val="right"/>
              <w:rPr>
                <w:rFonts w:eastAsia="Times New Roman"/>
                <w:sz w:val="20"/>
                <w:szCs w:val="20"/>
              </w:rPr>
            </w:pPr>
            <w:r w:rsidRPr="008E63BB">
              <w:rPr>
                <w:rFonts w:eastAsia="Times New Roman"/>
                <w:sz w:val="20"/>
                <w:szCs w:val="20"/>
              </w:rPr>
              <w:t>0,57</w:t>
            </w:r>
          </w:p>
        </w:tc>
        <w:tc>
          <w:tcPr>
            <w:tcW w:w="1000" w:type="dxa"/>
            <w:tcBorders>
              <w:top w:val="nil"/>
              <w:left w:val="nil"/>
              <w:bottom w:val="single" w:sz="4" w:space="0" w:color="auto"/>
              <w:right w:val="single" w:sz="4" w:space="0" w:color="auto"/>
            </w:tcBorders>
            <w:shd w:val="clear" w:color="auto" w:fill="auto"/>
            <w:noWrap/>
            <w:vAlign w:val="center"/>
            <w:hideMark/>
          </w:tcPr>
          <w:p w14:paraId="519B210C" w14:textId="77777777" w:rsidR="00DC5F42" w:rsidRPr="008E63BB" w:rsidRDefault="00DC5F42" w:rsidP="00DC5F42">
            <w:pPr>
              <w:jc w:val="right"/>
              <w:rPr>
                <w:rFonts w:eastAsia="Times New Roman"/>
                <w:sz w:val="20"/>
                <w:szCs w:val="20"/>
              </w:rPr>
            </w:pPr>
            <w:r w:rsidRPr="008E63BB">
              <w:rPr>
                <w:rFonts w:eastAsia="Times New Roman"/>
                <w:sz w:val="20"/>
                <w:szCs w:val="20"/>
              </w:rPr>
              <w:t>1,03</w:t>
            </w:r>
          </w:p>
        </w:tc>
        <w:tc>
          <w:tcPr>
            <w:tcW w:w="940" w:type="dxa"/>
            <w:tcBorders>
              <w:top w:val="nil"/>
              <w:left w:val="nil"/>
              <w:bottom w:val="single" w:sz="4" w:space="0" w:color="auto"/>
              <w:right w:val="single" w:sz="4" w:space="0" w:color="auto"/>
            </w:tcBorders>
            <w:shd w:val="clear" w:color="auto" w:fill="auto"/>
            <w:noWrap/>
            <w:vAlign w:val="center"/>
            <w:hideMark/>
          </w:tcPr>
          <w:p w14:paraId="519B210D" w14:textId="77777777" w:rsidR="00DC5F42" w:rsidRPr="008E63BB" w:rsidRDefault="00DC5F42" w:rsidP="00DC5F42">
            <w:pPr>
              <w:jc w:val="right"/>
              <w:rPr>
                <w:rFonts w:eastAsia="Times New Roman"/>
                <w:sz w:val="20"/>
                <w:szCs w:val="20"/>
              </w:rPr>
            </w:pPr>
            <w:r w:rsidRPr="008E63BB">
              <w:rPr>
                <w:rFonts w:eastAsia="Times New Roman"/>
                <w:sz w:val="20"/>
                <w:szCs w:val="20"/>
              </w:rPr>
              <w:t>-1,61</w:t>
            </w:r>
          </w:p>
        </w:tc>
        <w:tc>
          <w:tcPr>
            <w:tcW w:w="930" w:type="dxa"/>
            <w:tcBorders>
              <w:top w:val="nil"/>
              <w:left w:val="nil"/>
              <w:bottom w:val="single" w:sz="4" w:space="0" w:color="auto"/>
              <w:right w:val="single" w:sz="4" w:space="0" w:color="auto"/>
            </w:tcBorders>
            <w:shd w:val="clear" w:color="auto" w:fill="auto"/>
            <w:noWrap/>
            <w:vAlign w:val="center"/>
            <w:hideMark/>
          </w:tcPr>
          <w:p w14:paraId="519B210E" w14:textId="77777777" w:rsidR="00DC5F42" w:rsidRPr="008E63BB" w:rsidRDefault="00DC5F42" w:rsidP="00DC5F42">
            <w:pPr>
              <w:jc w:val="right"/>
              <w:rPr>
                <w:rFonts w:eastAsia="Times New Roman"/>
                <w:sz w:val="20"/>
                <w:szCs w:val="20"/>
              </w:rPr>
            </w:pPr>
            <w:r w:rsidRPr="008E63BB">
              <w:rPr>
                <w:rFonts w:eastAsia="Times New Roman"/>
                <w:sz w:val="20"/>
                <w:szCs w:val="20"/>
              </w:rPr>
              <w:t>0,73</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10F" w14:textId="77777777" w:rsidR="00DC5F42" w:rsidRPr="008E63BB" w:rsidRDefault="00DC5F42" w:rsidP="00DC5F42">
            <w:pPr>
              <w:jc w:val="right"/>
              <w:rPr>
                <w:rFonts w:eastAsia="Times New Roman"/>
                <w:sz w:val="20"/>
                <w:szCs w:val="20"/>
              </w:rPr>
            </w:pPr>
            <w:r w:rsidRPr="008E63BB">
              <w:rPr>
                <w:rFonts w:eastAsia="Times New Roman"/>
                <w:sz w:val="20"/>
                <w:szCs w:val="20"/>
              </w:rPr>
              <w:t>0,62</w:t>
            </w:r>
          </w:p>
        </w:tc>
        <w:tc>
          <w:tcPr>
            <w:tcW w:w="1000" w:type="dxa"/>
            <w:tcBorders>
              <w:top w:val="nil"/>
              <w:left w:val="nil"/>
              <w:bottom w:val="single" w:sz="4" w:space="0" w:color="auto"/>
              <w:right w:val="single" w:sz="4" w:space="0" w:color="auto"/>
            </w:tcBorders>
            <w:shd w:val="clear" w:color="auto" w:fill="auto"/>
            <w:noWrap/>
            <w:vAlign w:val="center"/>
            <w:hideMark/>
          </w:tcPr>
          <w:p w14:paraId="519B2110" w14:textId="77777777" w:rsidR="00DC5F42" w:rsidRPr="008E63BB" w:rsidRDefault="00DC5F42" w:rsidP="00DC5F42">
            <w:pPr>
              <w:jc w:val="right"/>
              <w:rPr>
                <w:rFonts w:eastAsia="Times New Roman"/>
                <w:sz w:val="20"/>
                <w:szCs w:val="20"/>
              </w:rPr>
            </w:pPr>
            <w:r w:rsidRPr="008E63BB">
              <w:rPr>
                <w:sz w:val="20"/>
                <w:szCs w:val="20"/>
              </w:rPr>
              <w:t>-0,14</w:t>
            </w:r>
          </w:p>
        </w:tc>
        <w:tc>
          <w:tcPr>
            <w:tcW w:w="920" w:type="dxa"/>
            <w:tcBorders>
              <w:top w:val="nil"/>
              <w:left w:val="nil"/>
              <w:bottom w:val="single" w:sz="4" w:space="0" w:color="auto"/>
              <w:right w:val="single" w:sz="4" w:space="0" w:color="auto"/>
            </w:tcBorders>
            <w:shd w:val="clear" w:color="auto" w:fill="auto"/>
            <w:noWrap/>
            <w:vAlign w:val="center"/>
            <w:hideMark/>
          </w:tcPr>
          <w:p w14:paraId="519B2111" w14:textId="77777777" w:rsidR="00DC5F42" w:rsidRPr="008E63BB" w:rsidRDefault="00DC5F42" w:rsidP="00DC5F42">
            <w:pPr>
              <w:jc w:val="right"/>
              <w:rPr>
                <w:rFonts w:eastAsia="Times New Roman"/>
                <w:sz w:val="20"/>
                <w:szCs w:val="20"/>
              </w:rPr>
            </w:pPr>
            <w:r w:rsidRPr="008E63BB">
              <w:rPr>
                <w:sz w:val="20"/>
                <w:szCs w:val="20"/>
              </w:rPr>
              <w:t>0,35</w:t>
            </w:r>
          </w:p>
        </w:tc>
      </w:tr>
      <w:tr w:rsidR="008D5BFE" w:rsidRPr="008E63BB" w14:paraId="519B211C" w14:textId="77777777" w:rsidTr="00D0797C">
        <w:trPr>
          <w:trHeight w:val="315"/>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13" w14:textId="77777777" w:rsidR="00DC5F42" w:rsidRPr="008E63BB" w:rsidRDefault="00DC5F42" w:rsidP="00DC5F42">
            <w:pPr>
              <w:jc w:val="right"/>
              <w:rPr>
                <w:rFonts w:eastAsia="Times New Roman"/>
                <w:sz w:val="20"/>
                <w:szCs w:val="20"/>
              </w:rPr>
            </w:pPr>
            <w:r w:rsidRPr="008E63BB">
              <w:rPr>
                <w:rFonts w:eastAsia="Times New Roman"/>
                <w:sz w:val="20"/>
                <w:szCs w:val="20"/>
              </w:rPr>
              <w:t>18</w:t>
            </w:r>
          </w:p>
        </w:tc>
        <w:tc>
          <w:tcPr>
            <w:tcW w:w="1971" w:type="dxa"/>
            <w:tcBorders>
              <w:top w:val="nil"/>
              <w:left w:val="nil"/>
              <w:bottom w:val="single" w:sz="4" w:space="0" w:color="auto"/>
              <w:right w:val="single" w:sz="4" w:space="0" w:color="auto"/>
            </w:tcBorders>
            <w:shd w:val="clear" w:color="auto" w:fill="auto"/>
            <w:vAlign w:val="center"/>
            <w:hideMark/>
          </w:tcPr>
          <w:p w14:paraId="519B2114" w14:textId="77777777" w:rsidR="00DC5F42" w:rsidRPr="008E63BB" w:rsidRDefault="00DC5F42" w:rsidP="00DC5F42">
            <w:pPr>
              <w:jc w:val="left"/>
              <w:rPr>
                <w:rFonts w:eastAsia="Times New Roman"/>
                <w:sz w:val="20"/>
                <w:szCs w:val="20"/>
              </w:rPr>
            </w:pPr>
            <w:r w:rsidRPr="008E63BB">
              <w:rPr>
                <w:rFonts w:eastAsia="Times New Roman"/>
                <w:sz w:val="20"/>
                <w:szCs w:val="20"/>
              </w:rPr>
              <w:t>Lộc Hạ</w:t>
            </w:r>
          </w:p>
        </w:tc>
        <w:tc>
          <w:tcPr>
            <w:tcW w:w="940" w:type="dxa"/>
            <w:tcBorders>
              <w:top w:val="nil"/>
              <w:left w:val="nil"/>
              <w:bottom w:val="single" w:sz="4" w:space="0" w:color="auto"/>
              <w:right w:val="single" w:sz="4" w:space="0" w:color="auto"/>
            </w:tcBorders>
            <w:shd w:val="clear" w:color="auto" w:fill="auto"/>
            <w:noWrap/>
            <w:vAlign w:val="center"/>
            <w:hideMark/>
          </w:tcPr>
          <w:p w14:paraId="519B2115" w14:textId="77777777" w:rsidR="00DC5F42" w:rsidRPr="008E63BB" w:rsidRDefault="00DC5F42" w:rsidP="00DC5F42">
            <w:pPr>
              <w:jc w:val="right"/>
              <w:rPr>
                <w:rFonts w:eastAsia="Times New Roman"/>
                <w:sz w:val="20"/>
                <w:szCs w:val="20"/>
              </w:rPr>
            </w:pPr>
            <w:r w:rsidRPr="008E63BB">
              <w:rPr>
                <w:rFonts w:eastAsia="Times New Roman"/>
                <w:sz w:val="20"/>
                <w:szCs w:val="20"/>
              </w:rPr>
              <w:t>0,09</w:t>
            </w:r>
          </w:p>
        </w:tc>
        <w:tc>
          <w:tcPr>
            <w:tcW w:w="1000" w:type="dxa"/>
            <w:tcBorders>
              <w:top w:val="nil"/>
              <w:left w:val="nil"/>
              <w:bottom w:val="single" w:sz="4" w:space="0" w:color="auto"/>
              <w:right w:val="single" w:sz="4" w:space="0" w:color="auto"/>
            </w:tcBorders>
            <w:shd w:val="clear" w:color="auto" w:fill="auto"/>
            <w:noWrap/>
            <w:vAlign w:val="center"/>
            <w:hideMark/>
          </w:tcPr>
          <w:p w14:paraId="519B2116" w14:textId="77777777" w:rsidR="00DC5F42" w:rsidRPr="008E63BB" w:rsidRDefault="00DC5F42" w:rsidP="00DC5F42">
            <w:pPr>
              <w:jc w:val="right"/>
              <w:rPr>
                <w:rFonts w:eastAsia="Times New Roman"/>
                <w:sz w:val="20"/>
                <w:szCs w:val="20"/>
              </w:rPr>
            </w:pPr>
            <w:r w:rsidRPr="008E63BB">
              <w:rPr>
                <w:rFonts w:eastAsia="Times New Roman"/>
                <w:sz w:val="20"/>
                <w:szCs w:val="20"/>
              </w:rPr>
              <w:t>-10,11</w:t>
            </w:r>
          </w:p>
        </w:tc>
        <w:tc>
          <w:tcPr>
            <w:tcW w:w="940" w:type="dxa"/>
            <w:tcBorders>
              <w:top w:val="nil"/>
              <w:left w:val="nil"/>
              <w:bottom w:val="single" w:sz="4" w:space="0" w:color="auto"/>
              <w:right w:val="single" w:sz="4" w:space="0" w:color="auto"/>
            </w:tcBorders>
            <w:shd w:val="clear" w:color="auto" w:fill="auto"/>
            <w:noWrap/>
            <w:vAlign w:val="center"/>
            <w:hideMark/>
          </w:tcPr>
          <w:p w14:paraId="519B2117" w14:textId="77777777" w:rsidR="00DC5F42" w:rsidRPr="008E63BB" w:rsidRDefault="00DC5F42" w:rsidP="00DC5F42">
            <w:pPr>
              <w:jc w:val="right"/>
              <w:rPr>
                <w:rFonts w:eastAsia="Times New Roman"/>
                <w:sz w:val="20"/>
                <w:szCs w:val="20"/>
              </w:rPr>
            </w:pPr>
            <w:r w:rsidRPr="008E63BB">
              <w:rPr>
                <w:rFonts w:eastAsia="Times New Roman"/>
                <w:sz w:val="20"/>
                <w:szCs w:val="20"/>
              </w:rPr>
              <w:t>-10,36</w:t>
            </w:r>
          </w:p>
        </w:tc>
        <w:tc>
          <w:tcPr>
            <w:tcW w:w="930" w:type="dxa"/>
            <w:tcBorders>
              <w:top w:val="nil"/>
              <w:left w:val="nil"/>
              <w:bottom w:val="single" w:sz="4" w:space="0" w:color="auto"/>
              <w:right w:val="single" w:sz="4" w:space="0" w:color="auto"/>
            </w:tcBorders>
            <w:shd w:val="clear" w:color="auto" w:fill="auto"/>
            <w:noWrap/>
            <w:vAlign w:val="center"/>
            <w:hideMark/>
          </w:tcPr>
          <w:p w14:paraId="519B2118" w14:textId="77777777" w:rsidR="00DC5F42" w:rsidRPr="008E63BB" w:rsidRDefault="00DC5F42" w:rsidP="00DC5F42">
            <w:pPr>
              <w:jc w:val="right"/>
              <w:rPr>
                <w:rFonts w:eastAsia="Times New Roman"/>
                <w:sz w:val="20"/>
                <w:szCs w:val="20"/>
              </w:rPr>
            </w:pPr>
            <w:r w:rsidRPr="008E63BB">
              <w:rPr>
                <w:rFonts w:eastAsia="Times New Roman"/>
                <w:sz w:val="20"/>
                <w:szCs w:val="20"/>
              </w:rPr>
              <w:t>3,58</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119" w14:textId="77777777" w:rsidR="00DC5F42" w:rsidRPr="008E63BB" w:rsidRDefault="00DC5F42" w:rsidP="00DC5F42">
            <w:pPr>
              <w:jc w:val="right"/>
              <w:rPr>
                <w:rFonts w:eastAsia="Times New Roman"/>
                <w:sz w:val="20"/>
                <w:szCs w:val="20"/>
              </w:rPr>
            </w:pPr>
            <w:r w:rsidRPr="008E63BB">
              <w:rPr>
                <w:rFonts w:eastAsia="Times New Roman"/>
                <w:sz w:val="20"/>
                <w:szCs w:val="20"/>
              </w:rPr>
              <w:t>0,51</w:t>
            </w:r>
          </w:p>
        </w:tc>
        <w:tc>
          <w:tcPr>
            <w:tcW w:w="1000" w:type="dxa"/>
            <w:tcBorders>
              <w:top w:val="nil"/>
              <w:left w:val="nil"/>
              <w:bottom w:val="single" w:sz="4" w:space="0" w:color="auto"/>
              <w:right w:val="single" w:sz="4" w:space="0" w:color="auto"/>
            </w:tcBorders>
            <w:shd w:val="clear" w:color="auto" w:fill="auto"/>
            <w:noWrap/>
            <w:vAlign w:val="center"/>
            <w:hideMark/>
          </w:tcPr>
          <w:p w14:paraId="519B211A" w14:textId="77777777" w:rsidR="00DC5F42" w:rsidRPr="008E63BB" w:rsidRDefault="00DC5F42" w:rsidP="00DC5F42">
            <w:pPr>
              <w:jc w:val="right"/>
              <w:rPr>
                <w:rFonts w:eastAsia="Times New Roman"/>
                <w:sz w:val="20"/>
                <w:szCs w:val="20"/>
              </w:rPr>
            </w:pPr>
            <w:r w:rsidRPr="008E63BB">
              <w:rPr>
                <w:sz w:val="20"/>
                <w:szCs w:val="20"/>
              </w:rPr>
              <w:t>3,66</w:t>
            </w:r>
          </w:p>
        </w:tc>
        <w:tc>
          <w:tcPr>
            <w:tcW w:w="920" w:type="dxa"/>
            <w:tcBorders>
              <w:top w:val="nil"/>
              <w:left w:val="nil"/>
              <w:bottom w:val="single" w:sz="4" w:space="0" w:color="auto"/>
              <w:right w:val="single" w:sz="4" w:space="0" w:color="auto"/>
            </w:tcBorders>
            <w:shd w:val="clear" w:color="auto" w:fill="auto"/>
            <w:noWrap/>
            <w:vAlign w:val="center"/>
            <w:hideMark/>
          </w:tcPr>
          <w:p w14:paraId="519B211B" w14:textId="77777777" w:rsidR="00DC5F42" w:rsidRPr="008E63BB" w:rsidRDefault="00DC5F42" w:rsidP="00DC5F42">
            <w:pPr>
              <w:jc w:val="right"/>
              <w:rPr>
                <w:rFonts w:eastAsia="Times New Roman"/>
                <w:sz w:val="20"/>
                <w:szCs w:val="20"/>
              </w:rPr>
            </w:pPr>
            <w:r w:rsidRPr="008E63BB">
              <w:rPr>
                <w:sz w:val="20"/>
                <w:szCs w:val="20"/>
              </w:rPr>
              <w:t>-1,76</w:t>
            </w:r>
          </w:p>
        </w:tc>
      </w:tr>
      <w:tr w:rsidR="008D5BFE" w:rsidRPr="008E63BB" w14:paraId="519B2126" w14:textId="77777777" w:rsidTr="00D0797C">
        <w:trPr>
          <w:trHeight w:val="315"/>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1D" w14:textId="77777777" w:rsidR="00DC5F42" w:rsidRPr="008E63BB" w:rsidRDefault="00DC5F42" w:rsidP="00DC5F42">
            <w:pPr>
              <w:jc w:val="right"/>
              <w:rPr>
                <w:rFonts w:eastAsia="Times New Roman"/>
                <w:sz w:val="20"/>
                <w:szCs w:val="20"/>
              </w:rPr>
            </w:pPr>
            <w:r w:rsidRPr="008E63BB">
              <w:rPr>
                <w:rFonts w:eastAsia="Times New Roman"/>
                <w:sz w:val="20"/>
                <w:szCs w:val="20"/>
              </w:rPr>
              <w:t>19</w:t>
            </w:r>
          </w:p>
        </w:tc>
        <w:tc>
          <w:tcPr>
            <w:tcW w:w="1971" w:type="dxa"/>
            <w:tcBorders>
              <w:top w:val="nil"/>
              <w:left w:val="nil"/>
              <w:bottom w:val="single" w:sz="4" w:space="0" w:color="auto"/>
              <w:right w:val="single" w:sz="4" w:space="0" w:color="auto"/>
            </w:tcBorders>
            <w:shd w:val="clear" w:color="auto" w:fill="auto"/>
            <w:vAlign w:val="center"/>
            <w:hideMark/>
          </w:tcPr>
          <w:p w14:paraId="519B211E" w14:textId="77777777" w:rsidR="00DC5F42" w:rsidRPr="008E63BB" w:rsidRDefault="00DC5F42" w:rsidP="00DC5F42">
            <w:pPr>
              <w:jc w:val="left"/>
              <w:rPr>
                <w:rFonts w:eastAsia="Times New Roman"/>
                <w:sz w:val="20"/>
                <w:szCs w:val="20"/>
              </w:rPr>
            </w:pPr>
            <w:r w:rsidRPr="008E63BB">
              <w:rPr>
                <w:rFonts w:eastAsia="Times New Roman"/>
                <w:sz w:val="20"/>
                <w:szCs w:val="20"/>
              </w:rPr>
              <w:t>Lộc Vượng</w:t>
            </w:r>
          </w:p>
        </w:tc>
        <w:tc>
          <w:tcPr>
            <w:tcW w:w="940" w:type="dxa"/>
            <w:tcBorders>
              <w:top w:val="nil"/>
              <w:left w:val="nil"/>
              <w:bottom w:val="single" w:sz="4" w:space="0" w:color="auto"/>
              <w:right w:val="single" w:sz="4" w:space="0" w:color="auto"/>
            </w:tcBorders>
            <w:shd w:val="clear" w:color="auto" w:fill="auto"/>
            <w:noWrap/>
            <w:vAlign w:val="center"/>
            <w:hideMark/>
          </w:tcPr>
          <w:p w14:paraId="519B211F" w14:textId="77777777" w:rsidR="00DC5F42" w:rsidRPr="008E63BB" w:rsidRDefault="00DC5F42" w:rsidP="00DC5F42">
            <w:pPr>
              <w:jc w:val="right"/>
              <w:rPr>
                <w:rFonts w:eastAsia="Times New Roman"/>
                <w:sz w:val="20"/>
                <w:szCs w:val="20"/>
              </w:rPr>
            </w:pPr>
            <w:r w:rsidRPr="008E63BB">
              <w:rPr>
                <w:rFonts w:eastAsia="Times New Roman"/>
                <w:sz w:val="20"/>
                <w:szCs w:val="20"/>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519B2120" w14:textId="77777777" w:rsidR="00DC5F42" w:rsidRPr="008E63BB" w:rsidRDefault="00DC5F42" w:rsidP="00DC5F42">
            <w:pPr>
              <w:jc w:val="right"/>
              <w:rPr>
                <w:rFonts w:eastAsia="Times New Roman"/>
                <w:sz w:val="20"/>
                <w:szCs w:val="20"/>
              </w:rPr>
            </w:pPr>
            <w:r w:rsidRPr="008E63BB">
              <w:rPr>
                <w:rFonts w:eastAsia="Times New Roman"/>
                <w:sz w:val="20"/>
                <w:szCs w:val="20"/>
              </w:rPr>
              <w:t>-1,62</w:t>
            </w:r>
          </w:p>
        </w:tc>
        <w:tc>
          <w:tcPr>
            <w:tcW w:w="940" w:type="dxa"/>
            <w:tcBorders>
              <w:top w:val="nil"/>
              <w:left w:val="nil"/>
              <w:bottom w:val="single" w:sz="4" w:space="0" w:color="auto"/>
              <w:right w:val="single" w:sz="4" w:space="0" w:color="auto"/>
            </w:tcBorders>
            <w:shd w:val="clear" w:color="auto" w:fill="auto"/>
            <w:noWrap/>
            <w:vAlign w:val="center"/>
            <w:hideMark/>
          </w:tcPr>
          <w:p w14:paraId="519B2121" w14:textId="77777777" w:rsidR="00DC5F42" w:rsidRPr="008E63BB" w:rsidRDefault="00DC5F42" w:rsidP="00DC5F42">
            <w:pPr>
              <w:jc w:val="right"/>
              <w:rPr>
                <w:rFonts w:eastAsia="Times New Roman"/>
                <w:sz w:val="20"/>
                <w:szCs w:val="20"/>
              </w:rPr>
            </w:pPr>
            <w:r w:rsidRPr="008E63BB">
              <w:rPr>
                <w:rFonts w:eastAsia="Times New Roman"/>
                <w:sz w:val="20"/>
                <w:szCs w:val="20"/>
              </w:rPr>
              <w:t>-0,92</w:t>
            </w:r>
          </w:p>
        </w:tc>
        <w:tc>
          <w:tcPr>
            <w:tcW w:w="930" w:type="dxa"/>
            <w:tcBorders>
              <w:top w:val="nil"/>
              <w:left w:val="nil"/>
              <w:bottom w:val="single" w:sz="4" w:space="0" w:color="auto"/>
              <w:right w:val="single" w:sz="4" w:space="0" w:color="auto"/>
            </w:tcBorders>
            <w:shd w:val="clear" w:color="auto" w:fill="auto"/>
            <w:noWrap/>
            <w:vAlign w:val="center"/>
            <w:hideMark/>
          </w:tcPr>
          <w:p w14:paraId="519B2122" w14:textId="77777777" w:rsidR="00DC5F42" w:rsidRPr="008E63BB" w:rsidRDefault="00DC5F42" w:rsidP="00DC5F42">
            <w:pPr>
              <w:jc w:val="right"/>
              <w:rPr>
                <w:rFonts w:eastAsia="Times New Roman"/>
                <w:sz w:val="20"/>
                <w:szCs w:val="20"/>
              </w:rPr>
            </w:pPr>
            <w:r w:rsidRPr="008E63BB">
              <w:rPr>
                <w:rFonts w:eastAsia="Times New Roman"/>
                <w:sz w:val="20"/>
                <w:szCs w:val="20"/>
              </w:rPr>
              <w:t>7,92</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123" w14:textId="77777777" w:rsidR="00DC5F42" w:rsidRPr="008E63BB" w:rsidRDefault="00DC5F42" w:rsidP="00DC5F42">
            <w:pPr>
              <w:jc w:val="right"/>
              <w:rPr>
                <w:rFonts w:eastAsia="Times New Roman"/>
                <w:sz w:val="20"/>
                <w:szCs w:val="20"/>
              </w:rPr>
            </w:pPr>
            <w:r w:rsidRPr="008E63BB">
              <w:rPr>
                <w:rFonts w:eastAsia="Times New Roman"/>
                <w:sz w:val="20"/>
                <w:szCs w:val="20"/>
              </w:rPr>
              <w:t>-4,97</w:t>
            </w:r>
          </w:p>
        </w:tc>
        <w:tc>
          <w:tcPr>
            <w:tcW w:w="1000" w:type="dxa"/>
            <w:tcBorders>
              <w:top w:val="nil"/>
              <w:left w:val="nil"/>
              <w:bottom w:val="single" w:sz="4" w:space="0" w:color="auto"/>
              <w:right w:val="single" w:sz="4" w:space="0" w:color="auto"/>
            </w:tcBorders>
            <w:shd w:val="clear" w:color="auto" w:fill="auto"/>
            <w:noWrap/>
            <w:vAlign w:val="center"/>
            <w:hideMark/>
          </w:tcPr>
          <w:p w14:paraId="519B2124" w14:textId="77777777" w:rsidR="00DC5F42" w:rsidRPr="008E63BB" w:rsidRDefault="00DC5F42" w:rsidP="00DC5F42">
            <w:pPr>
              <w:jc w:val="right"/>
              <w:rPr>
                <w:rFonts w:eastAsia="Times New Roman"/>
                <w:sz w:val="20"/>
                <w:szCs w:val="20"/>
              </w:rPr>
            </w:pPr>
            <w:r w:rsidRPr="008E63BB">
              <w:rPr>
                <w:sz w:val="20"/>
                <w:szCs w:val="20"/>
              </w:rPr>
              <w:t>-1,02</w:t>
            </w:r>
          </w:p>
        </w:tc>
        <w:tc>
          <w:tcPr>
            <w:tcW w:w="920" w:type="dxa"/>
            <w:tcBorders>
              <w:top w:val="nil"/>
              <w:left w:val="nil"/>
              <w:bottom w:val="single" w:sz="4" w:space="0" w:color="auto"/>
              <w:right w:val="single" w:sz="4" w:space="0" w:color="auto"/>
            </w:tcBorders>
            <w:shd w:val="clear" w:color="auto" w:fill="auto"/>
            <w:noWrap/>
            <w:vAlign w:val="center"/>
            <w:hideMark/>
          </w:tcPr>
          <w:p w14:paraId="519B2125" w14:textId="77777777" w:rsidR="00DC5F42" w:rsidRPr="008E63BB" w:rsidRDefault="00DC5F42" w:rsidP="00DC5F42">
            <w:pPr>
              <w:jc w:val="right"/>
              <w:rPr>
                <w:rFonts w:eastAsia="Times New Roman"/>
                <w:sz w:val="20"/>
                <w:szCs w:val="20"/>
              </w:rPr>
            </w:pPr>
            <w:r w:rsidRPr="008E63BB">
              <w:rPr>
                <w:sz w:val="20"/>
                <w:szCs w:val="20"/>
              </w:rPr>
              <w:t>-1,68</w:t>
            </w:r>
          </w:p>
        </w:tc>
      </w:tr>
      <w:tr w:rsidR="008D5BFE" w:rsidRPr="008E63BB" w14:paraId="519B2130" w14:textId="77777777" w:rsidTr="00D0797C">
        <w:trPr>
          <w:trHeight w:val="315"/>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27" w14:textId="77777777" w:rsidR="00DC5F42" w:rsidRPr="008E63BB" w:rsidRDefault="00DC5F42" w:rsidP="00DC5F42">
            <w:pPr>
              <w:jc w:val="right"/>
              <w:rPr>
                <w:rFonts w:eastAsia="Times New Roman"/>
                <w:sz w:val="20"/>
                <w:szCs w:val="20"/>
              </w:rPr>
            </w:pPr>
            <w:r w:rsidRPr="008E63BB">
              <w:rPr>
                <w:rFonts w:eastAsia="Times New Roman"/>
                <w:sz w:val="20"/>
                <w:szCs w:val="20"/>
              </w:rPr>
              <w:t>20</w:t>
            </w:r>
          </w:p>
        </w:tc>
        <w:tc>
          <w:tcPr>
            <w:tcW w:w="1971" w:type="dxa"/>
            <w:tcBorders>
              <w:top w:val="nil"/>
              <w:left w:val="nil"/>
              <w:bottom w:val="single" w:sz="4" w:space="0" w:color="auto"/>
              <w:right w:val="single" w:sz="4" w:space="0" w:color="auto"/>
            </w:tcBorders>
            <w:shd w:val="clear" w:color="auto" w:fill="auto"/>
            <w:vAlign w:val="center"/>
            <w:hideMark/>
          </w:tcPr>
          <w:p w14:paraId="519B2128" w14:textId="77777777" w:rsidR="00DC5F42" w:rsidRPr="008E63BB" w:rsidRDefault="00DC5F42" w:rsidP="00DC5F42">
            <w:pPr>
              <w:jc w:val="left"/>
              <w:rPr>
                <w:rFonts w:eastAsia="Times New Roman"/>
                <w:sz w:val="20"/>
                <w:szCs w:val="20"/>
              </w:rPr>
            </w:pPr>
            <w:r w:rsidRPr="008E63BB">
              <w:rPr>
                <w:rFonts w:eastAsia="Times New Roman"/>
                <w:sz w:val="20"/>
                <w:szCs w:val="20"/>
              </w:rPr>
              <w:t>Cửa Nam</w:t>
            </w:r>
          </w:p>
        </w:tc>
        <w:tc>
          <w:tcPr>
            <w:tcW w:w="940" w:type="dxa"/>
            <w:tcBorders>
              <w:top w:val="nil"/>
              <w:left w:val="nil"/>
              <w:bottom w:val="single" w:sz="4" w:space="0" w:color="auto"/>
              <w:right w:val="single" w:sz="4" w:space="0" w:color="auto"/>
            </w:tcBorders>
            <w:shd w:val="clear" w:color="auto" w:fill="auto"/>
            <w:noWrap/>
            <w:vAlign w:val="center"/>
            <w:hideMark/>
          </w:tcPr>
          <w:p w14:paraId="519B2129" w14:textId="77777777" w:rsidR="00DC5F42" w:rsidRPr="008E63BB" w:rsidRDefault="00DC5F42" w:rsidP="00DC5F42">
            <w:pPr>
              <w:jc w:val="right"/>
              <w:rPr>
                <w:rFonts w:eastAsia="Times New Roman"/>
                <w:sz w:val="20"/>
                <w:szCs w:val="20"/>
              </w:rPr>
            </w:pPr>
            <w:r w:rsidRPr="008E63BB">
              <w:rPr>
                <w:rFonts w:eastAsia="Times New Roman"/>
                <w:sz w:val="20"/>
                <w:szCs w:val="20"/>
              </w:rPr>
              <w:t>3,05</w:t>
            </w:r>
          </w:p>
        </w:tc>
        <w:tc>
          <w:tcPr>
            <w:tcW w:w="1000" w:type="dxa"/>
            <w:tcBorders>
              <w:top w:val="nil"/>
              <w:left w:val="nil"/>
              <w:bottom w:val="single" w:sz="4" w:space="0" w:color="auto"/>
              <w:right w:val="single" w:sz="4" w:space="0" w:color="auto"/>
            </w:tcBorders>
            <w:shd w:val="clear" w:color="auto" w:fill="auto"/>
            <w:noWrap/>
            <w:vAlign w:val="center"/>
            <w:hideMark/>
          </w:tcPr>
          <w:p w14:paraId="519B212A" w14:textId="77777777" w:rsidR="00DC5F42" w:rsidRPr="008E63BB" w:rsidRDefault="00DC5F42" w:rsidP="00DC5F42">
            <w:pPr>
              <w:jc w:val="right"/>
              <w:rPr>
                <w:rFonts w:eastAsia="Times New Roman"/>
                <w:sz w:val="20"/>
                <w:szCs w:val="20"/>
              </w:rPr>
            </w:pPr>
            <w:r w:rsidRPr="008E63BB">
              <w:rPr>
                <w:rFonts w:eastAsia="Times New Roman"/>
                <w:sz w:val="20"/>
                <w:szCs w:val="20"/>
              </w:rPr>
              <w:t>1,43</w:t>
            </w:r>
          </w:p>
        </w:tc>
        <w:tc>
          <w:tcPr>
            <w:tcW w:w="940" w:type="dxa"/>
            <w:tcBorders>
              <w:top w:val="nil"/>
              <w:left w:val="nil"/>
              <w:bottom w:val="single" w:sz="4" w:space="0" w:color="auto"/>
              <w:right w:val="single" w:sz="4" w:space="0" w:color="auto"/>
            </w:tcBorders>
            <w:shd w:val="clear" w:color="auto" w:fill="auto"/>
            <w:noWrap/>
            <w:vAlign w:val="center"/>
            <w:hideMark/>
          </w:tcPr>
          <w:p w14:paraId="519B212B" w14:textId="77777777" w:rsidR="00DC5F42" w:rsidRPr="008E63BB" w:rsidRDefault="00DC5F42" w:rsidP="00DC5F42">
            <w:pPr>
              <w:jc w:val="right"/>
              <w:rPr>
                <w:rFonts w:eastAsia="Times New Roman"/>
                <w:sz w:val="20"/>
                <w:szCs w:val="20"/>
              </w:rPr>
            </w:pPr>
            <w:r w:rsidRPr="008E63BB">
              <w:rPr>
                <w:rFonts w:eastAsia="Times New Roman"/>
                <w:sz w:val="20"/>
                <w:szCs w:val="20"/>
              </w:rPr>
              <w:t>0,20</w:t>
            </w:r>
          </w:p>
        </w:tc>
        <w:tc>
          <w:tcPr>
            <w:tcW w:w="930" w:type="dxa"/>
            <w:tcBorders>
              <w:top w:val="nil"/>
              <w:left w:val="nil"/>
              <w:bottom w:val="single" w:sz="4" w:space="0" w:color="auto"/>
              <w:right w:val="single" w:sz="4" w:space="0" w:color="auto"/>
            </w:tcBorders>
            <w:shd w:val="clear" w:color="auto" w:fill="auto"/>
            <w:noWrap/>
            <w:vAlign w:val="center"/>
            <w:hideMark/>
          </w:tcPr>
          <w:p w14:paraId="519B212C" w14:textId="77777777" w:rsidR="00DC5F42" w:rsidRPr="008E63BB" w:rsidRDefault="00DC5F42" w:rsidP="00DC5F42">
            <w:pPr>
              <w:jc w:val="right"/>
              <w:rPr>
                <w:rFonts w:eastAsia="Times New Roman"/>
                <w:sz w:val="20"/>
                <w:szCs w:val="20"/>
              </w:rPr>
            </w:pPr>
            <w:r w:rsidRPr="008E63BB">
              <w:rPr>
                <w:rFonts w:eastAsia="Times New Roman"/>
                <w:sz w:val="20"/>
                <w:szCs w:val="20"/>
              </w:rPr>
              <w:t>1,11</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12D" w14:textId="77777777" w:rsidR="00DC5F42" w:rsidRPr="008E63BB" w:rsidRDefault="00DC5F42" w:rsidP="00DC5F42">
            <w:pPr>
              <w:jc w:val="right"/>
              <w:rPr>
                <w:rFonts w:eastAsia="Times New Roman"/>
                <w:sz w:val="20"/>
                <w:szCs w:val="20"/>
              </w:rPr>
            </w:pPr>
            <w:r w:rsidRPr="008E63BB">
              <w:rPr>
                <w:rFonts w:eastAsia="Times New Roman"/>
                <w:sz w:val="20"/>
                <w:szCs w:val="20"/>
              </w:rPr>
              <w:t>0,80</w:t>
            </w:r>
          </w:p>
        </w:tc>
        <w:tc>
          <w:tcPr>
            <w:tcW w:w="1000" w:type="dxa"/>
            <w:tcBorders>
              <w:top w:val="nil"/>
              <w:left w:val="nil"/>
              <w:bottom w:val="single" w:sz="4" w:space="0" w:color="auto"/>
              <w:right w:val="single" w:sz="4" w:space="0" w:color="auto"/>
            </w:tcBorders>
            <w:shd w:val="clear" w:color="auto" w:fill="auto"/>
            <w:noWrap/>
            <w:vAlign w:val="center"/>
            <w:hideMark/>
          </w:tcPr>
          <w:p w14:paraId="519B212E" w14:textId="77777777" w:rsidR="00DC5F42" w:rsidRPr="008E63BB" w:rsidRDefault="00DC5F42" w:rsidP="00DC5F42">
            <w:pPr>
              <w:jc w:val="right"/>
              <w:rPr>
                <w:rFonts w:eastAsia="Times New Roman"/>
                <w:sz w:val="20"/>
                <w:szCs w:val="20"/>
              </w:rPr>
            </w:pPr>
            <w:r w:rsidRPr="008E63BB">
              <w:rPr>
                <w:sz w:val="20"/>
                <w:szCs w:val="20"/>
              </w:rPr>
              <w:t>-1,14</w:t>
            </w:r>
          </w:p>
        </w:tc>
        <w:tc>
          <w:tcPr>
            <w:tcW w:w="920" w:type="dxa"/>
            <w:tcBorders>
              <w:top w:val="nil"/>
              <w:left w:val="nil"/>
              <w:bottom w:val="single" w:sz="4" w:space="0" w:color="auto"/>
              <w:right w:val="single" w:sz="4" w:space="0" w:color="auto"/>
            </w:tcBorders>
            <w:shd w:val="clear" w:color="auto" w:fill="auto"/>
            <w:noWrap/>
            <w:vAlign w:val="center"/>
            <w:hideMark/>
          </w:tcPr>
          <w:p w14:paraId="519B212F" w14:textId="77777777" w:rsidR="00DC5F42" w:rsidRPr="008E63BB" w:rsidRDefault="00DC5F42" w:rsidP="00DC5F42">
            <w:pPr>
              <w:jc w:val="right"/>
              <w:rPr>
                <w:rFonts w:eastAsia="Times New Roman"/>
                <w:sz w:val="20"/>
                <w:szCs w:val="20"/>
              </w:rPr>
            </w:pPr>
            <w:r w:rsidRPr="008E63BB">
              <w:rPr>
                <w:sz w:val="20"/>
                <w:szCs w:val="20"/>
              </w:rPr>
              <w:t>0,99</w:t>
            </w:r>
          </w:p>
        </w:tc>
      </w:tr>
      <w:tr w:rsidR="008D5BFE" w:rsidRPr="008E63BB" w14:paraId="519B213B" w14:textId="77777777" w:rsidTr="00D0797C">
        <w:trPr>
          <w:trHeight w:val="315"/>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31" w14:textId="77777777" w:rsidR="00DC5F42" w:rsidRPr="008E63BB" w:rsidRDefault="00DC5F42" w:rsidP="00DC5F42">
            <w:pPr>
              <w:jc w:val="right"/>
              <w:rPr>
                <w:rFonts w:eastAsia="Times New Roman"/>
                <w:sz w:val="20"/>
                <w:szCs w:val="20"/>
              </w:rPr>
            </w:pPr>
            <w:r w:rsidRPr="008E63BB">
              <w:rPr>
                <w:rFonts w:eastAsia="Times New Roman"/>
                <w:sz w:val="20"/>
                <w:szCs w:val="20"/>
              </w:rPr>
              <w:t>21</w:t>
            </w:r>
          </w:p>
        </w:tc>
        <w:tc>
          <w:tcPr>
            <w:tcW w:w="1971" w:type="dxa"/>
            <w:tcBorders>
              <w:top w:val="nil"/>
              <w:left w:val="nil"/>
              <w:bottom w:val="single" w:sz="4" w:space="0" w:color="auto"/>
              <w:right w:val="single" w:sz="4" w:space="0" w:color="auto"/>
            </w:tcBorders>
            <w:shd w:val="clear" w:color="auto" w:fill="auto"/>
            <w:noWrap/>
            <w:vAlign w:val="center"/>
            <w:hideMark/>
          </w:tcPr>
          <w:p w14:paraId="519B2132" w14:textId="77777777" w:rsidR="00DC5F42" w:rsidRPr="008E63BB" w:rsidRDefault="00DC5F42" w:rsidP="00DC5F42">
            <w:pPr>
              <w:jc w:val="left"/>
              <w:rPr>
                <w:rFonts w:eastAsia="Times New Roman"/>
                <w:sz w:val="20"/>
                <w:szCs w:val="20"/>
              </w:rPr>
            </w:pPr>
            <w:r w:rsidRPr="008E63BB">
              <w:rPr>
                <w:rFonts w:eastAsia="Times New Roman"/>
                <w:sz w:val="20"/>
                <w:szCs w:val="20"/>
              </w:rPr>
              <w:t xml:space="preserve">P. Lộc Hòa </w:t>
            </w:r>
          </w:p>
          <w:p w14:paraId="519B2133" w14:textId="77777777" w:rsidR="00DC5F42" w:rsidRPr="008E63BB" w:rsidRDefault="00DC5F42" w:rsidP="00DC5F42">
            <w:pPr>
              <w:jc w:val="left"/>
              <w:rPr>
                <w:rFonts w:eastAsia="Times New Roman"/>
                <w:sz w:val="20"/>
                <w:szCs w:val="20"/>
              </w:rPr>
            </w:pPr>
            <w:r w:rsidRPr="008E63BB">
              <w:rPr>
                <w:rFonts w:eastAsia="Times New Roman"/>
                <w:sz w:val="20"/>
                <w:szCs w:val="20"/>
              </w:rPr>
              <w:t>(</w:t>
            </w:r>
            <w:r w:rsidRPr="008E63BB">
              <w:rPr>
                <w:sz w:val="20"/>
                <w:szCs w:val="20"/>
              </w:rPr>
              <w:t xml:space="preserve">theo Nghị Quyết số </w:t>
            </w:r>
            <w:r w:rsidRPr="008E63BB">
              <w:rPr>
                <w:sz w:val="20"/>
                <w:szCs w:val="20"/>
              </w:rPr>
              <w:lastRenderedPageBreak/>
              <w:t>721/NQ-UBTVQH14 ngày 16/7/2019- lên phường)</w:t>
            </w:r>
          </w:p>
        </w:tc>
        <w:tc>
          <w:tcPr>
            <w:tcW w:w="940" w:type="dxa"/>
            <w:tcBorders>
              <w:top w:val="nil"/>
              <w:left w:val="nil"/>
              <w:bottom w:val="single" w:sz="4" w:space="0" w:color="auto"/>
              <w:right w:val="single" w:sz="4" w:space="0" w:color="auto"/>
            </w:tcBorders>
            <w:shd w:val="clear" w:color="auto" w:fill="auto"/>
            <w:noWrap/>
            <w:vAlign w:val="center"/>
            <w:hideMark/>
          </w:tcPr>
          <w:p w14:paraId="519B2134" w14:textId="77777777" w:rsidR="00DC5F42" w:rsidRPr="008E63BB" w:rsidRDefault="00DC5F42" w:rsidP="00DC5F42">
            <w:pPr>
              <w:jc w:val="left"/>
              <w:rPr>
                <w:rFonts w:eastAsia="Times New Roman"/>
                <w:sz w:val="20"/>
                <w:szCs w:val="20"/>
              </w:rPr>
            </w:pPr>
            <w:r w:rsidRPr="008E63BB">
              <w:rPr>
                <w:rFonts w:eastAsia="Times New Roman"/>
                <w:sz w:val="20"/>
                <w:szCs w:val="20"/>
              </w:rPr>
              <w:lastRenderedPageBreak/>
              <w:t> </w:t>
            </w:r>
          </w:p>
        </w:tc>
        <w:tc>
          <w:tcPr>
            <w:tcW w:w="1000" w:type="dxa"/>
            <w:tcBorders>
              <w:top w:val="nil"/>
              <w:left w:val="nil"/>
              <w:bottom w:val="single" w:sz="4" w:space="0" w:color="auto"/>
              <w:right w:val="single" w:sz="4" w:space="0" w:color="auto"/>
            </w:tcBorders>
            <w:shd w:val="clear" w:color="auto" w:fill="auto"/>
            <w:noWrap/>
            <w:vAlign w:val="center"/>
            <w:hideMark/>
          </w:tcPr>
          <w:p w14:paraId="519B2135"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40" w:type="dxa"/>
            <w:tcBorders>
              <w:top w:val="nil"/>
              <w:left w:val="nil"/>
              <w:bottom w:val="single" w:sz="4" w:space="0" w:color="auto"/>
              <w:right w:val="single" w:sz="4" w:space="0" w:color="auto"/>
            </w:tcBorders>
            <w:shd w:val="clear" w:color="auto" w:fill="auto"/>
            <w:noWrap/>
            <w:vAlign w:val="center"/>
            <w:hideMark/>
          </w:tcPr>
          <w:p w14:paraId="519B2136"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30" w:type="dxa"/>
            <w:tcBorders>
              <w:top w:val="nil"/>
              <w:left w:val="nil"/>
              <w:bottom w:val="single" w:sz="4" w:space="0" w:color="auto"/>
              <w:right w:val="single" w:sz="4" w:space="0" w:color="auto"/>
            </w:tcBorders>
            <w:shd w:val="clear" w:color="auto" w:fill="auto"/>
            <w:noWrap/>
            <w:vAlign w:val="center"/>
            <w:hideMark/>
          </w:tcPr>
          <w:p w14:paraId="519B2137"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70" w:type="dxa"/>
            <w:tcBorders>
              <w:top w:val="nil"/>
              <w:left w:val="nil"/>
              <w:bottom w:val="single" w:sz="4" w:space="0" w:color="auto"/>
              <w:right w:val="single" w:sz="4" w:space="0" w:color="auto"/>
            </w:tcBorders>
            <w:shd w:val="clear" w:color="auto" w:fill="auto"/>
            <w:noWrap/>
            <w:vAlign w:val="center"/>
            <w:hideMark/>
          </w:tcPr>
          <w:p w14:paraId="519B2138"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1000" w:type="dxa"/>
            <w:tcBorders>
              <w:top w:val="nil"/>
              <w:left w:val="nil"/>
              <w:bottom w:val="single" w:sz="4" w:space="0" w:color="auto"/>
              <w:right w:val="single" w:sz="4" w:space="0" w:color="auto"/>
            </w:tcBorders>
            <w:shd w:val="clear" w:color="auto" w:fill="auto"/>
            <w:noWrap/>
            <w:vAlign w:val="center"/>
            <w:hideMark/>
          </w:tcPr>
          <w:p w14:paraId="519B2139"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20" w:type="dxa"/>
            <w:tcBorders>
              <w:top w:val="nil"/>
              <w:left w:val="nil"/>
              <w:bottom w:val="single" w:sz="4" w:space="0" w:color="auto"/>
              <w:right w:val="single" w:sz="4" w:space="0" w:color="auto"/>
            </w:tcBorders>
            <w:shd w:val="clear" w:color="auto" w:fill="auto"/>
            <w:noWrap/>
            <w:vAlign w:val="center"/>
            <w:hideMark/>
          </w:tcPr>
          <w:p w14:paraId="519B213A" w14:textId="77777777" w:rsidR="00DC5F42" w:rsidRPr="008E63BB" w:rsidRDefault="00DC5F42" w:rsidP="00DC5F42">
            <w:pPr>
              <w:jc w:val="right"/>
              <w:rPr>
                <w:rFonts w:eastAsia="Times New Roman"/>
                <w:sz w:val="20"/>
                <w:szCs w:val="20"/>
              </w:rPr>
            </w:pPr>
            <w:r w:rsidRPr="008E63BB">
              <w:rPr>
                <w:sz w:val="20"/>
                <w:szCs w:val="20"/>
              </w:rPr>
              <w:t>0,25</w:t>
            </w:r>
          </w:p>
        </w:tc>
      </w:tr>
      <w:tr w:rsidR="008D5BFE" w:rsidRPr="008E63BB" w14:paraId="519B2146" w14:textId="77777777" w:rsidTr="00D0797C">
        <w:trPr>
          <w:trHeight w:val="315"/>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3C" w14:textId="77777777" w:rsidR="00DC5F42" w:rsidRPr="008E63BB" w:rsidRDefault="00DC5F42" w:rsidP="00DC5F42">
            <w:pPr>
              <w:jc w:val="right"/>
              <w:rPr>
                <w:rFonts w:eastAsia="Times New Roman"/>
                <w:sz w:val="20"/>
                <w:szCs w:val="20"/>
              </w:rPr>
            </w:pPr>
            <w:r w:rsidRPr="008E63BB">
              <w:rPr>
                <w:rFonts w:eastAsia="Times New Roman"/>
                <w:sz w:val="20"/>
                <w:szCs w:val="20"/>
              </w:rPr>
              <w:lastRenderedPageBreak/>
              <w:t>22</w:t>
            </w:r>
          </w:p>
        </w:tc>
        <w:tc>
          <w:tcPr>
            <w:tcW w:w="1971" w:type="dxa"/>
            <w:tcBorders>
              <w:top w:val="nil"/>
              <w:left w:val="nil"/>
              <w:bottom w:val="single" w:sz="4" w:space="0" w:color="auto"/>
              <w:right w:val="single" w:sz="4" w:space="0" w:color="auto"/>
            </w:tcBorders>
            <w:shd w:val="clear" w:color="auto" w:fill="auto"/>
            <w:noWrap/>
            <w:vAlign w:val="center"/>
            <w:hideMark/>
          </w:tcPr>
          <w:p w14:paraId="519B213D" w14:textId="77777777" w:rsidR="00DC5F42" w:rsidRPr="008E63BB" w:rsidRDefault="00DC5F42" w:rsidP="00DC5F42">
            <w:pPr>
              <w:jc w:val="left"/>
              <w:rPr>
                <w:rFonts w:eastAsia="Times New Roman"/>
                <w:sz w:val="20"/>
                <w:szCs w:val="20"/>
              </w:rPr>
            </w:pPr>
            <w:r w:rsidRPr="008E63BB">
              <w:rPr>
                <w:rFonts w:eastAsia="Times New Roman"/>
                <w:sz w:val="20"/>
                <w:szCs w:val="20"/>
              </w:rPr>
              <w:t xml:space="preserve">P. Mỹ Xá </w:t>
            </w:r>
          </w:p>
          <w:p w14:paraId="519B213E" w14:textId="77777777" w:rsidR="00DC5F42" w:rsidRPr="008E63BB" w:rsidRDefault="00DC5F42" w:rsidP="00DC5F42">
            <w:pPr>
              <w:jc w:val="left"/>
              <w:rPr>
                <w:rFonts w:eastAsia="Times New Roman"/>
                <w:sz w:val="20"/>
                <w:szCs w:val="20"/>
              </w:rPr>
            </w:pPr>
            <w:r w:rsidRPr="008E63BB">
              <w:rPr>
                <w:rFonts w:eastAsia="Times New Roman"/>
                <w:sz w:val="20"/>
                <w:szCs w:val="20"/>
              </w:rPr>
              <w:t>(</w:t>
            </w:r>
            <w:r w:rsidRPr="008E63BB">
              <w:rPr>
                <w:sz w:val="20"/>
                <w:szCs w:val="20"/>
              </w:rPr>
              <w:t>theo Nghị Quyết số 721/NQ-UBTVQH14 ngày 16/7/2019- lên phường)</w:t>
            </w:r>
          </w:p>
        </w:tc>
        <w:tc>
          <w:tcPr>
            <w:tcW w:w="940" w:type="dxa"/>
            <w:tcBorders>
              <w:top w:val="nil"/>
              <w:left w:val="nil"/>
              <w:bottom w:val="single" w:sz="4" w:space="0" w:color="auto"/>
              <w:right w:val="single" w:sz="4" w:space="0" w:color="auto"/>
            </w:tcBorders>
            <w:shd w:val="clear" w:color="auto" w:fill="auto"/>
            <w:noWrap/>
            <w:vAlign w:val="center"/>
            <w:hideMark/>
          </w:tcPr>
          <w:p w14:paraId="519B213F"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1000" w:type="dxa"/>
            <w:tcBorders>
              <w:top w:val="nil"/>
              <w:left w:val="nil"/>
              <w:bottom w:val="single" w:sz="4" w:space="0" w:color="auto"/>
              <w:right w:val="single" w:sz="4" w:space="0" w:color="auto"/>
            </w:tcBorders>
            <w:shd w:val="clear" w:color="auto" w:fill="auto"/>
            <w:noWrap/>
            <w:vAlign w:val="center"/>
            <w:hideMark/>
          </w:tcPr>
          <w:p w14:paraId="519B2140"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40" w:type="dxa"/>
            <w:tcBorders>
              <w:top w:val="nil"/>
              <w:left w:val="nil"/>
              <w:bottom w:val="single" w:sz="4" w:space="0" w:color="auto"/>
              <w:right w:val="single" w:sz="4" w:space="0" w:color="auto"/>
            </w:tcBorders>
            <w:shd w:val="clear" w:color="auto" w:fill="auto"/>
            <w:noWrap/>
            <w:vAlign w:val="center"/>
            <w:hideMark/>
          </w:tcPr>
          <w:p w14:paraId="519B2141"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30" w:type="dxa"/>
            <w:tcBorders>
              <w:top w:val="nil"/>
              <w:left w:val="nil"/>
              <w:bottom w:val="single" w:sz="4" w:space="0" w:color="auto"/>
              <w:right w:val="single" w:sz="4" w:space="0" w:color="auto"/>
            </w:tcBorders>
            <w:shd w:val="clear" w:color="auto" w:fill="auto"/>
            <w:noWrap/>
            <w:vAlign w:val="center"/>
            <w:hideMark/>
          </w:tcPr>
          <w:p w14:paraId="519B2142"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70" w:type="dxa"/>
            <w:tcBorders>
              <w:top w:val="nil"/>
              <w:left w:val="nil"/>
              <w:bottom w:val="single" w:sz="4" w:space="0" w:color="auto"/>
              <w:right w:val="single" w:sz="4" w:space="0" w:color="auto"/>
            </w:tcBorders>
            <w:shd w:val="clear" w:color="auto" w:fill="auto"/>
            <w:noWrap/>
            <w:vAlign w:val="center"/>
            <w:hideMark/>
          </w:tcPr>
          <w:p w14:paraId="519B2143"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1000" w:type="dxa"/>
            <w:tcBorders>
              <w:top w:val="nil"/>
              <w:left w:val="nil"/>
              <w:bottom w:val="single" w:sz="4" w:space="0" w:color="auto"/>
              <w:right w:val="single" w:sz="4" w:space="0" w:color="auto"/>
            </w:tcBorders>
            <w:shd w:val="clear" w:color="auto" w:fill="auto"/>
            <w:noWrap/>
            <w:vAlign w:val="center"/>
            <w:hideMark/>
          </w:tcPr>
          <w:p w14:paraId="519B2144" w14:textId="77777777" w:rsidR="00DC5F42" w:rsidRPr="008E63BB" w:rsidRDefault="00DC5F42" w:rsidP="00DC5F42">
            <w:pPr>
              <w:jc w:val="left"/>
              <w:rPr>
                <w:rFonts w:eastAsia="Times New Roman"/>
                <w:sz w:val="20"/>
                <w:szCs w:val="20"/>
              </w:rPr>
            </w:pPr>
            <w:r w:rsidRPr="008E63BB">
              <w:rPr>
                <w:rFonts w:eastAsia="Times New Roman"/>
                <w:sz w:val="20"/>
                <w:szCs w:val="20"/>
              </w:rPr>
              <w:t> </w:t>
            </w:r>
          </w:p>
        </w:tc>
        <w:tc>
          <w:tcPr>
            <w:tcW w:w="920" w:type="dxa"/>
            <w:tcBorders>
              <w:top w:val="nil"/>
              <w:left w:val="nil"/>
              <w:bottom w:val="single" w:sz="4" w:space="0" w:color="auto"/>
              <w:right w:val="single" w:sz="4" w:space="0" w:color="auto"/>
            </w:tcBorders>
            <w:shd w:val="clear" w:color="auto" w:fill="auto"/>
            <w:noWrap/>
            <w:vAlign w:val="center"/>
            <w:hideMark/>
          </w:tcPr>
          <w:p w14:paraId="519B2145" w14:textId="77777777" w:rsidR="00DC5F42" w:rsidRPr="008E63BB" w:rsidRDefault="00DC5F42" w:rsidP="00DC5F42">
            <w:pPr>
              <w:jc w:val="right"/>
              <w:rPr>
                <w:rFonts w:eastAsia="Times New Roman"/>
                <w:sz w:val="20"/>
                <w:szCs w:val="20"/>
              </w:rPr>
            </w:pPr>
            <w:r w:rsidRPr="008E63BB">
              <w:rPr>
                <w:sz w:val="20"/>
                <w:szCs w:val="20"/>
              </w:rPr>
              <w:t>9,31</w:t>
            </w:r>
          </w:p>
        </w:tc>
      </w:tr>
      <w:tr w:rsidR="008D5BFE" w:rsidRPr="008E63BB" w14:paraId="519B2150" w14:textId="77777777" w:rsidTr="003D057A">
        <w:trPr>
          <w:trHeight w:val="315"/>
        </w:trPr>
        <w:tc>
          <w:tcPr>
            <w:tcW w:w="483" w:type="dxa"/>
            <w:tcBorders>
              <w:top w:val="nil"/>
              <w:left w:val="single" w:sz="4" w:space="0" w:color="auto"/>
              <w:bottom w:val="single" w:sz="4" w:space="0" w:color="auto"/>
              <w:right w:val="single" w:sz="4" w:space="0" w:color="auto"/>
            </w:tcBorders>
            <w:shd w:val="clear" w:color="auto" w:fill="auto"/>
            <w:noWrap/>
            <w:vAlign w:val="center"/>
            <w:hideMark/>
          </w:tcPr>
          <w:p w14:paraId="519B2147" w14:textId="77777777" w:rsidR="00DC5F42" w:rsidRPr="008E63BB" w:rsidRDefault="00DC5F42" w:rsidP="00DC5F42">
            <w:pPr>
              <w:jc w:val="left"/>
              <w:rPr>
                <w:rFonts w:eastAsia="Times New Roman"/>
                <w:b/>
                <w:bCs/>
                <w:sz w:val="20"/>
                <w:szCs w:val="20"/>
              </w:rPr>
            </w:pPr>
            <w:r w:rsidRPr="008E63BB">
              <w:rPr>
                <w:rFonts w:eastAsia="Times New Roman"/>
                <w:b/>
                <w:bCs/>
                <w:sz w:val="20"/>
                <w:szCs w:val="20"/>
              </w:rPr>
              <w:t> </w:t>
            </w:r>
          </w:p>
        </w:tc>
        <w:tc>
          <w:tcPr>
            <w:tcW w:w="1971" w:type="dxa"/>
            <w:tcBorders>
              <w:top w:val="nil"/>
              <w:left w:val="nil"/>
              <w:bottom w:val="single" w:sz="4" w:space="0" w:color="auto"/>
              <w:right w:val="single" w:sz="4" w:space="0" w:color="auto"/>
            </w:tcBorders>
            <w:shd w:val="clear" w:color="auto" w:fill="auto"/>
            <w:noWrap/>
            <w:vAlign w:val="center"/>
            <w:hideMark/>
          </w:tcPr>
          <w:p w14:paraId="519B2148"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Nội thành</w:t>
            </w:r>
          </w:p>
        </w:tc>
        <w:tc>
          <w:tcPr>
            <w:tcW w:w="940" w:type="dxa"/>
            <w:tcBorders>
              <w:top w:val="nil"/>
              <w:left w:val="nil"/>
              <w:bottom w:val="single" w:sz="4" w:space="0" w:color="auto"/>
              <w:right w:val="single" w:sz="4" w:space="0" w:color="auto"/>
            </w:tcBorders>
            <w:shd w:val="clear" w:color="auto" w:fill="auto"/>
            <w:noWrap/>
            <w:vAlign w:val="center"/>
            <w:hideMark/>
          </w:tcPr>
          <w:p w14:paraId="519B2149"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0,49</w:t>
            </w:r>
          </w:p>
        </w:tc>
        <w:tc>
          <w:tcPr>
            <w:tcW w:w="1000" w:type="dxa"/>
            <w:tcBorders>
              <w:top w:val="nil"/>
              <w:left w:val="nil"/>
              <w:bottom w:val="single" w:sz="4" w:space="0" w:color="auto"/>
              <w:right w:val="single" w:sz="4" w:space="0" w:color="auto"/>
            </w:tcBorders>
            <w:shd w:val="clear" w:color="auto" w:fill="auto"/>
            <w:noWrap/>
            <w:vAlign w:val="center"/>
            <w:hideMark/>
          </w:tcPr>
          <w:p w14:paraId="519B214A"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-0,12</w:t>
            </w:r>
          </w:p>
        </w:tc>
        <w:tc>
          <w:tcPr>
            <w:tcW w:w="940" w:type="dxa"/>
            <w:tcBorders>
              <w:top w:val="nil"/>
              <w:left w:val="nil"/>
              <w:bottom w:val="single" w:sz="4" w:space="0" w:color="auto"/>
              <w:right w:val="single" w:sz="4" w:space="0" w:color="auto"/>
            </w:tcBorders>
            <w:shd w:val="clear" w:color="auto" w:fill="auto"/>
            <w:noWrap/>
            <w:vAlign w:val="center"/>
            <w:hideMark/>
          </w:tcPr>
          <w:p w14:paraId="519B214B"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-1,44</w:t>
            </w:r>
          </w:p>
        </w:tc>
        <w:tc>
          <w:tcPr>
            <w:tcW w:w="930" w:type="dxa"/>
            <w:tcBorders>
              <w:top w:val="nil"/>
              <w:left w:val="nil"/>
              <w:bottom w:val="single" w:sz="4" w:space="0" w:color="auto"/>
              <w:right w:val="single" w:sz="4" w:space="0" w:color="auto"/>
            </w:tcBorders>
            <w:shd w:val="clear" w:color="auto" w:fill="auto"/>
            <w:noWrap/>
            <w:vAlign w:val="center"/>
            <w:hideMark/>
          </w:tcPr>
          <w:p w14:paraId="519B214C"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1,75</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14:paraId="519B214D"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0,47</w:t>
            </w:r>
          </w:p>
        </w:tc>
        <w:tc>
          <w:tcPr>
            <w:tcW w:w="1000" w:type="dxa"/>
            <w:tcBorders>
              <w:top w:val="nil"/>
              <w:left w:val="nil"/>
              <w:bottom w:val="single" w:sz="4" w:space="0" w:color="auto"/>
              <w:right w:val="single" w:sz="4" w:space="0" w:color="auto"/>
            </w:tcBorders>
            <w:shd w:val="clear" w:color="auto" w:fill="auto"/>
            <w:noWrap/>
            <w:vAlign w:val="center"/>
            <w:hideMark/>
          </w:tcPr>
          <w:p w14:paraId="519B214E"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-2,71</w:t>
            </w:r>
          </w:p>
        </w:tc>
        <w:tc>
          <w:tcPr>
            <w:tcW w:w="920" w:type="dxa"/>
            <w:tcBorders>
              <w:top w:val="nil"/>
              <w:left w:val="nil"/>
              <w:bottom w:val="single" w:sz="4" w:space="0" w:color="auto"/>
              <w:right w:val="single" w:sz="4" w:space="0" w:color="auto"/>
            </w:tcBorders>
            <w:shd w:val="clear" w:color="auto" w:fill="auto"/>
            <w:noWrap/>
            <w:vAlign w:val="center"/>
            <w:hideMark/>
          </w:tcPr>
          <w:p w14:paraId="519B214F" w14:textId="77777777" w:rsidR="00DC5F42" w:rsidRPr="008E63BB" w:rsidRDefault="00DC5F42" w:rsidP="00DC5F42">
            <w:pPr>
              <w:jc w:val="right"/>
              <w:rPr>
                <w:rFonts w:eastAsia="Times New Roman"/>
                <w:b/>
                <w:bCs/>
                <w:sz w:val="20"/>
                <w:szCs w:val="20"/>
              </w:rPr>
            </w:pPr>
            <w:r w:rsidRPr="008E63BB">
              <w:rPr>
                <w:b/>
                <w:bCs/>
                <w:sz w:val="20"/>
                <w:szCs w:val="20"/>
              </w:rPr>
              <w:t>1,75</w:t>
            </w:r>
          </w:p>
        </w:tc>
      </w:tr>
    </w:tbl>
    <w:p w14:paraId="519B2151" w14:textId="77777777" w:rsidR="00DC5F42" w:rsidRPr="008E63BB" w:rsidRDefault="00DC5F42" w:rsidP="00885AB5">
      <w:pPr>
        <w:rPr>
          <w:i/>
        </w:rPr>
      </w:pPr>
      <w:r w:rsidRPr="008E63BB">
        <w:rPr>
          <w:rFonts w:eastAsia="Times New Roman"/>
          <w:bCs/>
          <w:i/>
          <w:sz w:val="24"/>
          <w:szCs w:val="24"/>
          <w:lang w:val="pt-BR" w:eastAsia="zh-CN"/>
        </w:rPr>
        <w:t>Nguồn: Tổng hợp số liệu từ n</w:t>
      </w:r>
      <w:r w:rsidRPr="008E63BB">
        <w:rPr>
          <w:i/>
        </w:rPr>
        <w:t>iên giám thống kê 2008-2018 và số liệu năm 2019</w:t>
      </w:r>
    </w:p>
    <w:p w14:paraId="519B2152" w14:textId="77777777" w:rsidR="00DC5F42" w:rsidRPr="008E63BB" w:rsidRDefault="00E2603D" w:rsidP="00D0797C">
      <w:pPr>
        <w:pStyle w:val="NormalWeb"/>
        <w:shd w:val="clear" w:color="auto" w:fill="FFFFFF"/>
        <w:spacing w:before="0" w:beforeAutospacing="0" w:after="0" w:afterAutospacing="0"/>
        <w:ind w:firstLine="720"/>
        <w:textAlignment w:val="baseline"/>
        <w:rPr>
          <w:rFonts w:ascii="Arial" w:hAnsi="Arial" w:cs="Arial"/>
          <w:sz w:val="21"/>
          <w:szCs w:val="21"/>
        </w:rPr>
      </w:pPr>
      <w:r w:rsidRPr="008E63BB">
        <w:t>T</w:t>
      </w:r>
      <w:r w:rsidRPr="008E63BB">
        <w:rPr>
          <w:sz w:val="26"/>
          <w:szCs w:val="22"/>
        </w:rPr>
        <w:t>heo Nghị Quyết số 721/NQ-UBTVQH14 ngày 16/7/2019</w:t>
      </w:r>
      <w:r w:rsidRPr="008E63BB">
        <w:t xml:space="preserve"> của </w:t>
      </w:r>
      <w:r w:rsidRPr="008E63BB">
        <w:rPr>
          <w:bCs/>
        </w:rPr>
        <w:t>ỦyB</w:t>
      </w:r>
      <w:r w:rsidRPr="008E63BB">
        <w:rPr>
          <w:bCs/>
          <w:sz w:val="26"/>
          <w:szCs w:val="22"/>
        </w:rPr>
        <w:t xml:space="preserve">an thường vụ </w:t>
      </w:r>
      <w:r w:rsidRPr="008E63BB">
        <w:rPr>
          <w:bCs/>
        </w:rPr>
        <w:t>Q</w:t>
      </w:r>
      <w:r w:rsidRPr="008E63BB">
        <w:rPr>
          <w:bCs/>
          <w:sz w:val="26"/>
          <w:szCs w:val="22"/>
        </w:rPr>
        <w:t xml:space="preserve">uốc </w:t>
      </w:r>
      <w:r w:rsidRPr="008E63BB">
        <w:rPr>
          <w:sz w:val="26"/>
          <w:szCs w:val="22"/>
        </w:rPr>
        <w:t>hội v/v thành lập phường Lộc Hòa và phường Mỹ Xá thuộc thành phố Nam Định, tỉnh Nam Định. Thành lập phường Lộc Hòa và phường Mỹ Xá thuộc thành phố Nam Định (dân số phường Lộc Hòa: 9.681 người; phường Mỹ Xá: 18.644 người). Dân số nội thành của thành phố Nam Định là 230.680 người, có tỷ lệ đô thị hóa tăng lên đạt 60,91%</w:t>
      </w:r>
      <w:r w:rsidR="00DC5F42" w:rsidRPr="008E63BB">
        <w:rPr>
          <w:sz w:val="26"/>
          <w:szCs w:val="22"/>
        </w:rPr>
        <w:t xml:space="preserve">. </w:t>
      </w:r>
    </w:p>
    <w:p w14:paraId="519B2153" w14:textId="77777777" w:rsidR="00DC5F42" w:rsidRPr="008E63BB" w:rsidRDefault="00DC5F42" w:rsidP="00885AB5">
      <w:pPr>
        <w:ind w:firstLine="720"/>
        <w:rPr>
          <w:rStyle w:val="Strong"/>
          <w:rFonts w:ascii="Arial" w:hAnsi="Arial" w:cs="Arial"/>
          <w:b w:val="0"/>
          <w:sz w:val="21"/>
          <w:szCs w:val="21"/>
          <w:bdr w:val="none" w:sz="0" w:space="0" w:color="auto" w:frame="1"/>
        </w:rPr>
      </w:pPr>
    </w:p>
    <w:p w14:paraId="519B2154" w14:textId="77777777" w:rsidR="00DC5F42" w:rsidRPr="008E63BB" w:rsidRDefault="00DC5F42" w:rsidP="00885AB5">
      <w:pPr>
        <w:ind w:firstLine="720"/>
      </w:pPr>
      <w:r w:rsidRPr="008E63BB">
        <w:t xml:space="preserve">Mật độ dân số (2019) khu </w:t>
      </w:r>
      <w:r w:rsidR="00E2603D" w:rsidRPr="008E63BB">
        <w:t xml:space="preserve">vực nội thành </w:t>
      </w:r>
      <w:r w:rsidRPr="008E63BB">
        <w:t>là 2.060,2người/km2 gấp 2 lần mật độ dân số toàn tỉnh 1.069,3người/km2. Cụ thể trong ranh giới Thành phố Nam Định là 5.457,6 người/km2 (khu vực nội thành của thành phố 7.467,8 người/km2, khu vực ngoại thành 1.459,3 người/km2), huyện Mỹ Lộc 943,8 người/km2, 3 xã của huyện Vụ Bản 1.057,9 người/km2 và 5 xã của huyện Nam Trực 877,7 người/km2.</w:t>
      </w:r>
    </w:p>
    <w:p w14:paraId="519B2155" w14:textId="77777777" w:rsidR="00DC5F42" w:rsidRPr="008E63BB" w:rsidRDefault="00DC5F42" w:rsidP="00885AB5">
      <w:pPr>
        <w:jc w:val="center"/>
      </w:pPr>
    </w:p>
    <w:tbl>
      <w:tblPr>
        <w:tblStyle w:val="TableGrid"/>
        <w:tblW w:w="10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5"/>
        <w:gridCol w:w="7839"/>
      </w:tblGrid>
      <w:tr w:rsidR="008D5BFE" w:rsidRPr="008E63BB" w14:paraId="519B2158" w14:textId="77777777" w:rsidTr="00885AB5">
        <w:tc>
          <w:tcPr>
            <w:tcW w:w="2295" w:type="dxa"/>
          </w:tcPr>
          <w:p w14:paraId="519B2156" w14:textId="77777777" w:rsidR="00DC5F42" w:rsidRPr="008E63BB" w:rsidRDefault="00DC5F42" w:rsidP="00DC5F42">
            <w:r w:rsidRPr="008E63BB">
              <w:t>Mật độ dân số trong khu vực nội thành không đồng đều, tập trung đông dân cư tại Quang Trung (37.370 người/km</w:t>
            </w:r>
            <w:r w:rsidRPr="008E63BB">
              <w:rPr>
                <w:vertAlign w:val="superscript"/>
              </w:rPr>
              <w:t>2</w:t>
            </w:r>
            <w:r w:rsidRPr="008E63BB">
              <w:t xml:space="preserve"> - đông nhất), Nguyễn Du 31.914 người/ km</w:t>
            </w:r>
            <w:r w:rsidRPr="008E63BB">
              <w:rPr>
                <w:vertAlign w:val="superscript"/>
              </w:rPr>
              <w:t>2</w:t>
            </w:r>
            <w:r w:rsidRPr="008E63BB">
              <w:t xml:space="preserve">), nơi có mật độ dân cư thấp nhất Lộc Hòa </w:t>
            </w:r>
          </w:p>
        </w:tc>
        <w:tc>
          <w:tcPr>
            <w:tcW w:w="7839" w:type="dxa"/>
          </w:tcPr>
          <w:p w14:paraId="519B2157" w14:textId="77777777" w:rsidR="00DC5F42" w:rsidRPr="008E63BB" w:rsidRDefault="00DC5F42" w:rsidP="00DC5F42">
            <w:r w:rsidRPr="008E63BB">
              <w:rPr>
                <w:noProof/>
                <w:lang w:eastAsia="zh-CN"/>
              </w:rPr>
              <w:drawing>
                <wp:inline distT="0" distB="0" distL="0" distR="0" wp14:anchorId="519B51B9" wp14:editId="519B51BA">
                  <wp:extent cx="4381500" cy="2047875"/>
                  <wp:effectExtent l="0" t="0" r="0" b="952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b="4018"/>
                          <a:stretch/>
                        </pic:blipFill>
                        <pic:spPr bwMode="auto">
                          <a:xfrm>
                            <a:off x="0" y="0"/>
                            <a:ext cx="4381500" cy="20478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9B2159" w14:textId="77777777" w:rsidR="00DC5F42" w:rsidRPr="008E63BB" w:rsidRDefault="00DC5F42" w:rsidP="00885AB5">
      <w:pPr>
        <w:rPr>
          <w:bCs/>
          <w:szCs w:val="26"/>
        </w:rPr>
      </w:pPr>
      <w:r w:rsidRPr="008E63BB">
        <w:t>(1.506 người/km2), Lộc Hạ (3.759,4 người/km</w:t>
      </w:r>
      <w:r w:rsidRPr="008E63BB">
        <w:rPr>
          <w:vertAlign w:val="superscript"/>
        </w:rPr>
        <w:t>2</w:t>
      </w:r>
      <w:r w:rsidRPr="008E63BB">
        <w:t>), Lộc Vượng (2.727,5 người/ km</w:t>
      </w:r>
      <w:r w:rsidRPr="008E63BB">
        <w:rPr>
          <w:vertAlign w:val="superscript"/>
        </w:rPr>
        <w:t>2</w:t>
      </w:r>
      <w:r w:rsidRPr="008E63BB">
        <w:t>), Mỹ Xá (2.997,4  người/km</w:t>
      </w:r>
      <w:r w:rsidRPr="008E63BB">
        <w:rPr>
          <w:vertAlign w:val="superscript"/>
        </w:rPr>
        <w:t>2</w:t>
      </w:r>
      <w:r w:rsidRPr="008E63BB">
        <w:t xml:space="preserve">). </w:t>
      </w:r>
      <w:r w:rsidRPr="008E63BB">
        <w:rPr>
          <w:bCs/>
          <w:szCs w:val="26"/>
        </w:rPr>
        <w:t>Tỷ lệ đô thị hóa trong ranh giới nghiên cứu tăng 52,08% giai đoạn 2010-đến năm 2018 và khi Nghị Quyết số 721/NQ-UBTVQH14 ngày 16/7/2019 của Ủy ban thường vụ Quốc hội v/v thành lập phường Lộc Hòa và phường Mỹ Xá thuộc thành phố Nam Định, tỉnh Nam Định) tỷ lệ đô thị hóa tăng lên 60,91%. Riêng khu vực TP. Nam Định tăng từ 80,76%  lên 91,05% giai đoạn 2010-đến 01/9/2019 (Nghị Quyết số 721).</w:t>
      </w:r>
    </w:p>
    <w:tbl>
      <w:tblPr>
        <w:tblW w:w="9214" w:type="dxa"/>
        <w:tblInd w:w="-5" w:type="dxa"/>
        <w:tblLook w:val="04A0" w:firstRow="1" w:lastRow="0" w:firstColumn="1" w:lastColumn="0" w:noHBand="0" w:noVBand="1"/>
      </w:tblPr>
      <w:tblGrid>
        <w:gridCol w:w="392"/>
        <w:gridCol w:w="2591"/>
        <w:gridCol w:w="691"/>
        <w:gridCol w:w="690"/>
        <w:gridCol w:w="691"/>
        <w:gridCol w:w="691"/>
        <w:gridCol w:w="691"/>
        <w:gridCol w:w="690"/>
        <w:gridCol w:w="691"/>
        <w:gridCol w:w="691"/>
        <w:gridCol w:w="705"/>
      </w:tblGrid>
      <w:tr w:rsidR="008D5BFE" w:rsidRPr="008E63BB" w14:paraId="519B2165" w14:textId="77777777" w:rsidTr="003D057A">
        <w:trPr>
          <w:trHeight w:val="319"/>
          <w:tblHeader/>
        </w:trPr>
        <w:tc>
          <w:tcPr>
            <w:tcW w:w="3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15A" w14:textId="77777777" w:rsidR="00DC5F42" w:rsidRPr="008E63BB" w:rsidRDefault="00DC5F42" w:rsidP="00DC5F42">
            <w:pPr>
              <w:jc w:val="left"/>
              <w:rPr>
                <w:rFonts w:eastAsia="Times New Roman"/>
                <w:b/>
                <w:bCs/>
                <w:sz w:val="20"/>
                <w:szCs w:val="20"/>
              </w:rPr>
            </w:pPr>
            <w:r w:rsidRPr="008E63BB">
              <w:rPr>
                <w:rFonts w:eastAsia="Times New Roman"/>
                <w:b/>
                <w:bCs/>
                <w:sz w:val="20"/>
                <w:szCs w:val="20"/>
              </w:rPr>
              <w:t> </w:t>
            </w:r>
          </w:p>
        </w:tc>
        <w:tc>
          <w:tcPr>
            <w:tcW w:w="2591" w:type="dxa"/>
            <w:tcBorders>
              <w:top w:val="single" w:sz="4" w:space="0" w:color="auto"/>
              <w:left w:val="nil"/>
              <w:bottom w:val="single" w:sz="4" w:space="0" w:color="auto"/>
              <w:right w:val="single" w:sz="4" w:space="0" w:color="auto"/>
            </w:tcBorders>
            <w:shd w:val="clear" w:color="auto" w:fill="auto"/>
            <w:noWrap/>
            <w:vAlign w:val="center"/>
            <w:hideMark/>
          </w:tcPr>
          <w:p w14:paraId="519B215B"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Tỷ lệ đô thị hóa (%)</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519B215C"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2010</w:t>
            </w:r>
          </w:p>
        </w:tc>
        <w:tc>
          <w:tcPr>
            <w:tcW w:w="690" w:type="dxa"/>
            <w:tcBorders>
              <w:top w:val="single" w:sz="4" w:space="0" w:color="auto"/>
              <w:left w:val="nil"/>
              <w:bottom w:val="single" w:sz="4" w:space="0" w:color="auto"/>
              <w:right w:val="single" w:sz="4" w:space="0" w:color="auto"/>
            </w:tcBorders>
            <w:shd w:val="clear" w:color="auto" w:fill="auto"/>
            <w:noWrap/>
            <w:vAlign w:val="center"/>
            <w:hideMark/>
          </w:tcPr>
          <w:p w14:paraId="519B215D"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2011</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519B215E"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2012</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519B215F"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2013</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519B2160"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2014</w:t>
            </w:r>
          </w:p>
        </w:tc>
        <w:tc>
          <w:tcPr>
            <w:tcW w:w="690" w:type="dxa"/>
            <w:tcBorders>
              <w:top w:val="single" w:sz="4" w:space="0" w:color="auto"/>
              <w:left w:val="nil"/>
              <w:bottom w:val="single" w:sz="4" w:space="0" w:color="auto"/>
              <w:right w:val="single" w:sz="4" w:space="0" w:color="auto"/>
            </w:tcBorders>
            <w:shd w:val="clear" w:color="auto" w:fill="auto"/>
            <w:noWrap/>
            <w:vAlign w:val="center"/>
            <w:hideMark/>
          </w:tcPr>
          <w:p w14:paraId="519B2161"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2015</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519B2162"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2016</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519B2163" w14:textId="77777777" w:rsidR="00DC5F42" w:rsidRPr="008E63BB" w:rsidRDefault="00DC5F42" w:rsidP="00DC5F42">
            <w:pPr>
              <w:jc w:val="center"/>
              <w:rPr>
                <w:rFonts w:eastAsia="Times New Roman"/>
                <w:b/>
                <w:bCs/>
                <w:sz w:val="20"/>
                <w:szCs w:val="20"/>
              </w:rPr>
            </w:pPr>
            <w:r w:rsidRPr="008E63BB">
              <w:rPr>
                <w:rFonts w:eastAsia="Times New Roman"/>
                <w:b/>
                <w:bCs/>
                <w:sz w:val="20"/>
                <w:szCs w:val="20"/>
              </w:rPr>
              <w:t>2017</w:t>
            </w:r>
          </w:p>
        </w:tc>
        <w:tc>
          <w:tcPr>
            <w:tcW w:w="705" w:type="dxa"/>
            <w:tcBorders>
              <w:top w:val="single" w:sz="4" w:space="0" w:color="auto"/>
              <w:left w:val="nil"/>
              <w:bottom w:val="single" w:sz="4" w:space="0" w:color="auto"/>
              <w:right w:val="single" w:sz="4" w:space="0" w:color="auto"/>
            </w:tcBorders>
            <w:vAlign w:val="center"/>
          </w:tcPr>
          <w:p w14:paraId="519B2164" w14:textId="77777777" w:rsidR="00DC5F42" w:rsidRPr="008E63BB" w:rsidRDefault="00DC5F42" w:rsidP="00DC5F42">
            <w:pPr>
              <w:ind w:left="-101" w:right="-64"/>
              <w:jc w:val="center"/>
              <w:rPr>
                <w:rFonts w:eastAsia="Times New Roman"/>
                <w:b/>
                <w:bCs/>
                <w:sz w:val="20"/>
                <w:szCs w:val="20"/>
              </w:rPr>
            </w:pPr>
            <w:r w:rsidRPr="008E63BB">
              <w:rPr>
                <w:rFonts w:eastAsia="Times New Roman"/>
                <w:b/>
                <w:bCs/>
                <w:sz w:val="20"/>
                <w:szCs w:val="20"/>
              </w:rPr>
              <w:t>2019</w:t>
            </w:r>
          </w:p>
        </w:tc>
      </w:tr>
      <w:tr w:rsidR="008D5BFE" w:rsidRPr="008E63BB" w14:paraId="519B2171" w14:textId="77777777" w:rsidTr="00885AB5">
        <w:trPr>
          <w:trHeight w:val="319"/>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519B2166" w14:textId="77777777" w:rsidR="00DC5F42" w:rsidRPr="008E63BB" w:rsidRDefault="00DC5F42" w:rsidP="00DC5F42">
            <w:pPr>
              <w:jc w:val="center"/>
              <w:rPr>
                <w:rFonts w:eastAsia="Times New Roman"/>
                <w:bCs/>
                <w:sz w:val="20"/>
                <w:szCs w:val="20"/>
              </w:rPr>
            </w:pPr>
            <w:r w:rsidRPr="008E63BB">
              <w:rPr>
                <w:rFonts w:eastAsia="Times New Roman"/>
                <w:bCs/>
                <w:sz w:val="20"/>
                <w:szCs w:val="20"/>
              </w:rPr>
              <w:t>1</w:t>
            </w:r>
          </w:p>
        </w:tc>
        <w:tc>
          <w:tcPr>
            <w:tcW w:w="2591" w:type="dxa"/>
            <w:tcBorders>
              <w:top w:val="nil"/>
              <w:left w:val="nil"/>
              <w:bottom w:val="single" w:sz="4" w:space="0" w:color="auto"/>
              <w:right w:val="single" w:sz="4" w:space="0" w:color="auto"/>
            </w:tcBorders>
            <w:shd w:val="clear" w:color="auto" w:fill="auto"/>
            <w:vAlign w:val="center"/>
            <w:hideMark/>
          </w:tcPr>
          <w:p w14:paraId="519B2167" w14:textId="77777777" w:rsidR="00DC5F42" w:rsidRPr="008E63BB" w:rsidRDefault="00DC5F42" w:rsidP="00DC5F42">
            <w:pPr>
              <w:jc w:val="left"/>
              <w:rPr>
                <w:rFonts w:eastAsia="Times New Roman"/>
                <w:sz w:val="20"/>
                <w:szCs w:val="20"/>
              </w:rPr>
            </w:pPr>
            <w:r w:rsidRPr="008E63BB">
              <w:rPr>
                <w:rFonts w:eastAsia="Times New Roman"/>
                <w:sz w:val="20"/>
                <w:szCs w:val="20"/>
              </w:rPr>
              <w:t>Toàn tỉnh Nam Định</w:t>
            </w:r>
          </w:p>
        </w:tc>
        <w:tc>
          <w:tcPr>
            <w:tcW w:w="691" w:type="dxa"/>
            <w:tcBorders>
              <w:top w:val="nil"/>
              <w:left w:val="nil"/>
              <w:bottom w:val="single" w:sz="4" w:space="0" w:color="auto"/>
              <w:right w:val="single" w:sz="4" w:space="0" w:color="auto"/>
            </w:tcBorders>
            <w:shd w:val="clear" w:color="auto" w:fill="auto"/>
            <w:noWrap/>
            <w:vAlign w:val="center"/>
            <w:hideMark/>
          </w:tcPr>
          <w:p w14:paraId="519B2168" w14:textId="77777777" w:rsidR="00DC5F42" w:rsidRPr="008E63BB" w:rsidRDefault="00DC5F42" w:rsidP="00DC5F42">
            <w:pPr>
              <w:jc w:val="right"/>
              <w:rPr>
                <w:sz w:val="20"/>
                <w:szCs w:val="20"/>
              </w:rPr>
            </w:pPr>
            <w:r w:rsidRPr="008E63BB">
              <w:rPr>
                <w:sz w:val="20"/>
                <w:szCs w:val="20"/>
              </w:rPr>
              <w:t>17,86</w:t>
            </w:r>
          </w:p>
        </w:tc>
        <w:tc>
          <w:tcPr>
            <w:tcW w:w="690" w:type="dxa"/>
            <w:tcBorders>
              <w:top w:val="nil"/>
              <w:left w:val="nil"/>
              <w:bottom w:val="single" w:sz="4" w:space="0" w:color="auto"/>
              <w:right w:val="single" w:sz="4" w:space="0" w:color="auto"/>
            </w:tcBorders>
            <w:shd w:val="clear" w:color="auto" w:fill="auto"/>
            <w:noWrap/>
            <w:vAlign w:val="center"/>
            <w:hideMark/>
          </w:tcPr>
          <w:p w14:paraId="519B2169" w14:textId="77777777" w:rsidR="00DC5F42" w:rsidRPr="008E63BB" w:rsidRDefault="00DC5F42" w:rsidP="00DC5F42">
            <w:pPr>
              <w:jc w:val="right"/>
              <w:rPr>
                <w:sz w:val="20"/>
                <w:szCs w:val="20"/>
              </w:rPr>
            </w:pPr>
            <w:r w:rsidRPr="008E63BB">
              <w:rPr>
                <w:sz w:val="20"/>
                <w:szCs w:val="20"/>
              </w:rPr>
              <w:t>18,02</w:t>
            </w:r>
          </w:p>
        </w:tc>
        <w:tc>
          <w:tcPr>
            <w:tcW w:w="691" w:type="dxa"/>
            <w:tcBorders>
              <w:top w:val="nil"/>
              <w:left w:val="nil"/>
              <w:bottom w:val="single" w:sz="4" w:space="0" w:color="auto"/>
              <w:right w:val="single" w:sz="4" w:space="0" w:color="auto"/>
            </w:tcBorders>
            <w:shd w:val="clear" w:color="auto" w:fill="auto"/>
            <w:noWrap/>
            <w:vAlign w:val="center"/>
            <w:hideMark/>
          </w:tcPr>
          <w:p w14:paraId="519B216A" w14:textId="77777777" w:rsidR="00DC5F42" w:rsidRPr="008E63BB" w:rsidRDefault="00DC5F42" w:rsidP="00DC5F42">
            <w:pPr>
              <w:jc w:val="right"/>
              <w:rPr>
                <w:sz w:val="20"/>
                <w:szCs w:val="20"/>
              </w:rPr>
            </w:pPr>
            <w:r w:rsidRPr="008E63BB">
              <w:rPr>
                <w:sz w:val="20"/>
                <w:szCs w:val="20"/>
              </w:rPr>
              <w:t>18,15</w:t>
            </w:r>
          </w:p>
        </w:tc>
        <w:tc>
          <w:tcPr>
            <w:tcW w:w="691" w:type="dxa"/>
            <w:tcBorders>
              <w:top w:val="nil"/>
              <w:left w:val="nil"/>
              <w:bottom w:val="single" w:sz="4" w:space="0" w:color="auto"/>
              <w:right w:val="single" w:sz="4" w:space="0" w:color="auto"/>
            </w:tcBorders>
            <w:shd w:val="clear" w:color="auto" w:fill="auto"/>
            <w:noWrap/>
            <w:vAlign w:val="center"/>
            <w:hideMark/>
          </w:tcPr>
          <w:p w14:paraId="519B216B" w14:textId="77777777" w:rsidR="00DC5F42" w:rsidRPr="008E63BB" w:rsidRDefault="00DC5F42" w:rsidP="00DC5F42">
            <w:pPr>
              <w:jc w:val="right"/>
              <w:rPr>
                <w:sz w:val="20"/>
                <w:szCs w:val="20"/>
              </w:rPr>
            </w:pPr>
            <w:r w:rsidRPr="008E63BB">
              <w:rPr>
                <w:sz w:val="20"/>
                <w:szCs w:val="20"/>
              </w:rPr>
              <w:t>18,23</w:t>
            </w:r>
          </w:p>
        </w:tc>
        <w:tc>
          <w:tcPr>
            <w:tcW w:w="691" w:type="dxa"/>
            <w:tcBorders>
              <w:top w:val="nil"/>
              <w:left w:val="nil"/>
              <w:bottom w:val="single" w:sz="4" w:space="0" w:color="auto"/>
              <w:right w:val="single" w:sz="4" w:space="0" w:color="auto"/>
            </w:tcBorders>
            <w:shd w:val="clear" w:color="auto" w:fill="auto"/>
            <w:noWrap/>
            <w:vAlign w:val="center"/>
            <w:hideMark/>
          </w:tcPr>
          <w:p w14:paraId="519B216C" w14:textId="77777777" w:rsidR="00DC5F42" w:rsidRPr="008E63BB" w:rsidRDefault="00DC5F42" w:rsidP="00DC5F42">
            <w:pPr>
              <w:jc w:val="right"/>
              <w:rPr>
                <w:sz w:val="20"/>
                <w:szCs w:val="20"/>
              </w:rPr>
            </w:pPr>
            <w:r w:rsidRPr="008E63BB">
              <w:rPr>
                <w:sz w:val="20"/>
                <w:szCs w:val="20"/>
              </w:rPr>
              <w:t>18,39</w:t>
            </w:r>
          </w:p>
        </w:tc>
        <w:tc>
          <w:tcPr>
            <w:tcW w:w="690" w:type="dxa"/>
            <w:tcBorders>
              <w:top w:val="nil"/>
              <w:left w:val="nil"/>
              <w:bottom w:val="single" w:sz="4" w:space="0" w:color="auto"/>
              <w:right w:val="single" w:sz="4" w:space="0" w:color="auto"/>
            </w:tcBorders>
            <w:shd w:val="clear" w:color="auto" w:fill="auto"/>
            <w:noWrap/>
            <w:vAlign w:val="center"/>
            <w:hideMark/>
          </w:tcPr>
          <w:p w14:paraId="519B216D" w14:textId="77777777" w:rsidR="00DC5F42" w:rsidRPr="008E63BB" w:rsidRDefault="00DC5F42" w:rsidP="00DC5F42">
            <w:pPr>
              <w:jc w:val="right"/>
              <w:rPr>
                <w:sz w:val="20"/>
                <w:szCs w:val="20"/>
              </w:rPr>
            </w:pPr>
            <w:r w:rsidRPr="008E63BB">
              <w:rPr>
                <w:sz w:val="20"/>
                <w:szCs w:val="20"/>
              </w:rPr>
              <w:t>18,49</w:t>
            </w:r>
          </w:p>
        </w:tc>
        <w:tc>
          <w:tcPr>
            <w:tcW w:w="691" w:type="dxa"/>
            <w:tcBorders>
              <w:top w:val="nil"/>
              <w:left w:val="nil"/>
              <w:bottom w:val="single" w:sz="4" w:space="0" w:color="auto"/>
              <w:right w:val="single" w:sz="4" w:space="0" w:color="auto"/>
            </w:tcBorders>
            <w:shd w:val="clear" w:color="auto" w:fill="auto"/>
            <w:noWrap/>
            <w:vAlign w:val="center"/>
            <w:hideMark/>
          </w:tcPr>
          <w:p w14:paraId="519B216E" w14:textId="77777777" w:rsidR="00DC5F42" w:rsidRPr="008E63BB" w:rsidRDefault="00DC5F42" w:rsidP="00DC5F42">
            <w:pPr>
              <w:jc w:val="right"/>
              <w:rPr>
                <w:sz w:val="20"/>
                <w:szCs w:val="20"/>
              </w:rPr>
            </w:pPr>
            <w:r w:rsidRPr="008E63BB">
              <w:rPr>
                <w:sz w:val="20"/>
                <w:szCs w:val="20"/>
              </w:rPr>
              <w:t>18,55</w:t>
            </w:r>
          </w:p>
        </w:tc>
        <w:tc>
          <w:tcPr>
            <w:tcW w:w="691" w:type="dxa"/>
            <w:tcBorders>
              <w:top w:val="nil"/>
              <w:left w:val="nil"/>
              <w:bottom w:val="single" w:sz="4" w:space="0" w:color="auto"/>
              <w:right w:val="single" w:sz="4" w:space="0" w:color="auto"/>
            </w:tcBorders>
            <w:shd w:val="clear" w:color="auto" w:fill="auto"/>
            <w:noWrap/>
            <w:vAlign w:val="center"/>
            <w:hideMark/>
          </w:tcPr>
          <w:p w14:paraId="519B216F" w14:textId="77777777" w:rsidR="00DC5F42" w:rsidRPr="008E63BB" w:rsidRDefault="00DC5F42" w:rsidP="00DC5F42">
            <w:pPr>
              <w:jc w:val="right"/>
              <w:rPr>
                <w:sz w:val="20"/>
                <w:szCs w:val="20"/>
              </w:rPr>
            </w:pPr>
            <w:r w:rsidRPr="008E63BB">
              <w:rPr>
                <w:sz w:val="20"/>
                <w:szCs w:val="20"/>
              </w:rPr>
              <w:t>18,55</w:t>
            </w:r>
          </w:p>
        </w:tc>
        <w:tc>
          <w:tcPr>
            <w:tcW w:w="705" w:type="dxa"/>
            <w:tcBorders>
              <w:top w:val="nil"/>
              <w:left w:val="nil"/>
              <w:bottom w:val="single" w:sz="4" w:space="0" w:color="auto"/>
              <w:right w:val="single" w:sz="4" w:space="0" w:color="auto"/>
            </w:tcBorders>
            <w:vAlign w:val="center"/>
          </w:tcPr>
          <w:p w14:paraId="519B2170" w14:textId="77777777" w:rsidR="00DC5F42" w:rsidRPr="008E63BB" w:rsidRDefault="00DC5F42" w:rsidP="00DC5F42">
            <w:pPr>
              <w:jc w:val="right"/>
              <w:rPr>
                <w:sz w:val="20"/>
                <w:szCs w:val="20"/>
              </w:rPr>
            </w:pPr>
            <w:r w:rsidRPr="008E63BB">
              <w:rPr>
                <w:sz w:val="20"/>
                <w:szCs w:val="20"/>
              </w:rPr>
              <w:t>18,18</w:t>
            </w:r>
          </w:p>
        </w:tc>
      </w:tr>
      <w:tr w:rsidR="008D5BFE" w:rsidRPr="008E63BB" w14:paraId="519B217D" w14:textId="77777777" w:rsidTr="00885AB5">
        <w:trPr>
          <w:trHeight w:val="319"/>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519B2172" w14:textId="77777777" w:rsidR="00DC5F42" w:rsidRPr="008E63BB" w:rsidRDefault="00DC5F42" w:rsidP="00DC5F42">
            <w:pPr>
              <w:jc w:val="center"/>
              <w:rPr>
                <w:rFonts w:eastAsia="Times New Roman"/>
                <w:bCs/>
                <w:sz w:val="20"/>
                <w:szCs w:val="20"/>
              </w:rPr>
            </w:pPr>
            <w:r w:rsidRPr="008E63BB">
              <w:rPr>
                <w:rFonts w:eastAsia="Times New Roman"/>
                <w:bCs/>
                <w:sz w:val="20"/>
                <w:szCs w:val="20"/>
              </w:rPr>
              <w:t>2</w:t>
            </w:r>
          </w:p>
        </w:tc>
        <w:tc>
          <w:tcPr>
            <w:tcW w:w="2591" w:type="dxa"/>
            <w:tcBorders>
              <w:top w:val="nil"/>
              <w:left w:val="nil"/>
              <w:bottom w:val="single" w:sz="4" w:space="0" w:color="auto"/>
              <w:right w:val="single" w:sz="4" w:space="0" w:color="auto"/>
            </w:tcBorders>
            <w:shd w:val="clear" w:color="auto" w:fill="auto"/>
            <w:vAlign w:val="center"/>
            <w:hideMark/>
          </w:tcPr>
          <w:p w14:paraId="519B2173" w14:textId="77777777" w:rsidR="00DC5F42" w:rsidRPr="008E63BB" w:rsidRDefault="00DC5F42" w:rsidP="00DC5F42">
            <w:pPr>
              <w:jc w:val="left"/>
              <w:rPr>
                <w:rFonts w:eastAsia="Times New Roman"/>
                <w:sz w:val="20"/>
                <w:szCs w:val="20"/>
              </w:rPr>
            </w:pPr>
            <w:r w:rsidRPr="008E63BB">
              <w:rPr>
                <w:rFonts w:eastAsia="Times New Roman"/>
                <w:sz w:val="20"/>
                <w:szCs w:val="20"/>
              </w:rPr>
              <w:t>Tổng ranh giới quy hoạch TP</w:t>
            </w:r>
          </w:p>
        </w:tc>
        <w:tc>
          <w:tcPr>
            <w:tcW w:w="691" w:type="dxa"/>
            <w:tcBorders>
              <w:top w:val="nil"/>
              <w:left w:val="nil"/>
              <w:bottom w:val="single" w:sz="4" w:space="0" w:color="auto"/>
              <w:right w:val="single" w:sz="4" w:space="0" w:color="auto"/>
            </w:tcBorders>
            <w:shd w:val="clear" w:color="auto" w:fill="auto"/>
            <w:noWrap/>
            <w:vAlign w:val="center"/>
            <w:hideMark/>
          </w:tcPr>
          <w:p w14:paraId="519B2174" w14:textId="77777777" w:rsidR="00DC5F42" w:rsidRPr="008E63BB" w:rsidRDefault="00DC5F42" w:rsidP="00DC5F42">
            <w:pPr>
              <w:jc w:val="right"/>
              <w:rPr>
                <w:sz w:val="20"/>
                <w:szCs w:val="20"/>
              </w:rPr>
            </w:pPr>
            <w:r w:rsidRPr="008E63BB">
              <w:rPr>
                <w:sz w:val="20"/>
                <w:szCs w:val="20"/>
              </w:rPr>
              <w:t>52,08</w:t>
            </w:r>
          </w:p>
        </w:tc>
        <w:tc>
          <w:tcPr>
            <w:tcW w:w="690" w:type="dxa"/>
            <w:tcBorders>
              <w:top w:val="nil"/>
              <w:left w:val="nil"/>
              <w:bottom w:val="single" w:sz="4" w:space="0" w:color="auto"/>
              <w:right w:val="single" w:sz="4" w:space="0" w:color="auto"/>
            </w:tcBorders>
            <w:shd w:val="clear" w:color="auto" w:fill="auto"/>
            <w:noWrap/>
            <w:vAlign w:val="center"/>
            <w:hideMark/>
          </w:tcPr>
          <w:p w14:paraId="519B2175" w14:textId="77777777" w:rsidR="00DC5F42" w:rsidRPr="008E63BB" w:rsidRDefault="00DC5F42" w:rsidP="00DC5F42">
            <w:pPr>
              <w:jc w:val="right"/>
              <w:rPr>
                <w:sz w:val="20"/>
                <w:szCs w:val="20"/>
              </w:rPr>
            </w:pPr>
            <w:r w:rsidRPr="008E63BB">
              <w:rPr>
                <w:sz w:val="20"/>
                <w:szCs w:val="20"/>
              </w:rPr>
              <w:t>51,99</w:t>
            </w:r>
          </w:p>
        </w:tc>
        <w:tc>
          <w:tcPr>
            <w:tcW w:w="691" w:type="dxa"/>
            <w:tcBorders>
              <w:top w:val="nil"/>
              <w:left w:val="nil"/>
              <w:bottom w:val="single" w:sz="4" w:space="0" w:color="auto"/>
              <w:right w:val="single" w:sz="4" w:space="0" w:color="auto"/>
            </w:tcBorders>
            <w:shd w:val="clear" w:color="auto" w:fill="auto"/>
            <w:noWrap/>
            <w:vAlign w:val="center"/>
            <w:hideMark/>
          </w:tcPr>
          <w:p w14:paraId="519B2176" w14:textId="77777777" w:rsidR="00DC5F42" w:rsidRPr="008E63BB" w:rsidRDefault="00DC5F42" w:rsidP="00DC5F42">
            <w:pPr>
              <w:jc w:val="right"/>
              <w:rPr>
                <w:sz w:val="20"/>
                <w:szCs w:val="20"/>
              </w:rPr>
            </w:pPr>
            <w:r w:rsidRPr="008E63BB">
              <w:rPr>
                <w:sz w:val="20"/>
                <w:szCs w:val="20"/>
              </w:rPr>
              <w:t>52,42</w:t>
            </w:r>
          </w:p>
        </w:tc>
        <w:tc>
          <w:tcPr>
            <w:tcW w:w="691" w:type="dxa"/>
            <w:tcBorders>
              <w:top w:val="nil"/>
              <w:left w:val="nil"/>
              <w:bottom w:val="single" w:sz="4" w:space="0" w:color="auto"/>
              <w:right w:val="single" w:sz="4" w:space="0" w:color="auto"/>
            </w:tcBorders>
            <w:shd w:val="clear" w:color="auto" w:fill="auto"/>
            <w:noWrap/>
            <w:vAlign w:val="center"/>
            <w:hideMark/>
          </w:tcPr>
          <w:p w14:paraId="519B2177" w14:textId="77777777" w:rsidR="00DC5F42" w:rsidRPr="008E63BB" w:rsidRDefault="00DC5F42" w:rsidP="00DC5F42">
            <w:pPr>
              <w:jc w:val="right"/>
              <w:rPr>
                <w:sz w:val="20"/>
                <w:szCs w:val="20"/>
              </w:rPr>
            </w:pPr>
            <w:r w:rsidRPr="008E63BB">
              <w:rPr>
                <w:sz w:val="20"/>
                <w:szCs w:val="20"/>
              </w:rPr>
              <w:t>52,33</w:t>
            </w:r>
          </w:p>
        </w:tc>
        <w:tc>
          <w:tcPr>
            <w:tcW w:w="691" w:type="dxa"/>
            <w:tcBorders>
              <w:top w:val="nil"/>
              <w:left w:val="nil"/>
              <w:bottom w:val="single" w:sz="4" w:space="0" w:color="auto"/>
              <w:right w:val="single" w:sz="4" w:space="0" w:color="auto"/>
            </w:tcBorders>
            <w:shd w:val="clear" w:color="auto" w:fill="auto"/>
            <w:noWrap/>
            <w:vAlign w:val="center"/>
            <w:hideMark/>
          </w:tcPr>
          <w:p w14:paraId="519B2178" w14:textId="77777777" w:rsidR="00DC5F42" w:rsidRPr="008E63BB" w:rsidRDefault="00DC5F42" w:rsidP="00DC5F42">
            <w:pPr>
              <w:jc w:val="right"/>
              <w:rPr>
                <w:sz w:val="20"/>
                <w:szCs w:val="20"/>
              </w:rPr>
            </w:pPr>
            <w:r w:rsidRPr="008E63BB">
              <w:rPr>
                <w:sz w:val="20"/>
                <w:szCs w:val="20"/>
              </w:rPr>
              <w:t>40,32</w:t>
            </w:r>
          </w:p>
        </w:tc>
        <w:tc>
          <w:tcPr>
            <w:tcW w:w="690" w:type="dxa"/>
            <w:tcBorders>
              <w:top w:val="nil"/>
              <w:left w:val="nil"/>
              <w:bottom w:val="single" w:sz="4" w:space="0" w:color="auto"/>
              <w:right w:val="single" w:sz="4" w:space="0" w:color="auto"/>
            </w:tcBorders>
            <w:shd w:val="clear" w:color="auto" w:fill="auto"/>
            <w:noWrap/>
            <w:vAlign w:val="center"/>
            <w:hideMark/>
          </w:tcPr>
          <w:p w14:paraId="519B2179" w14:textId="77777777" w:rsidR="00DC5F42" w:rsidRPr="008E63BB" w:rsidRDefault="00DC5F42" w:rsidP="00DC5F42">
            <w:pPr>
              <w:jc w:val="right"/>
              <w:rPr>
                <w:sz w:val="20"/>
                <w:szCs w:val="20"/>
              </w:rPr>
            </w:pPr>
            <w:r w:rsidRPr="008E63BB">
              <w:rPr>
                <w:sz w:val="20"/>
                <w:szCs w:val="20"/>
              </w:rPr>
              <w:t>52,30</w:t>
            </w:r>
          </w:p>
        </w:tc>
        <w:tc>
          <w:tcPr>
            <w:tcW w:w="691" w:type="dxa"/>
            <w:tcBorders>
              <w:top w:val="nil"/>
              <w:left w:val="nil"/>
              <w:bottom w:val="single" w:sz="4" w:space="0" w:color="auto"/>
              <w:right w:val="single" w:sz="4" w:space="0" w:color="auto"/>
            </w:tcBorders>
            <w:shd w:val="clear" w:color="auto" w:fill="auto"/>
            <w:noWrap/>
            <w:vAlign w:val="center"/>
            <w:hideMark/>
          </w:tcPr>
          <w:p w14:paraId="519B217A" w14:textId="77777777" w:rsidR="00DC5F42" w:rsidRPr="008E63BB" w:rsidRDefault="00DC5F42" w:rsidP="00DC5F42">
            <w:pPr>
              <w:jc w:val="right"/>
              <w:rPr>
                <w:sz w:val="20"/>
                <w:szCs w:val="20"/>
              </w:rPr>
            </w:pPr>
            <w:r w:rsidRPr="008E63BB">
              <w:rPr>
                <w:sz w:val="20"/>
                <w:szCs w:val="20"/>
              </w:rPr>
              <w:t>52,19</w:t>
            </w:r>
          </w:p>
        </w:tc>
        <w:tc>
          <w:tcPr>
            <w:tcW w:w="691" w:type="dxa"/>
            <w:tcBorders>
              <w:top w:val="nil"/>
              <w:left w:val="nil"/>
              <w:bottom w:val="single" w:sz="4" w:space="0" w:color="auto"/>
              <w:right w:val="single" w:sz="4" w:space="0" w:color="auto"/>
            </w:tcBorders>
            <w:shd w:val="clear" w:color="auto" w:fill="auto"/>
            <w:noWrap/>
            <w:vAlign w:val="center"/>
            <w:hideMark/>
          </w:tcPr>
          <w:p w14:paraId="519B217B" w14:textId="77777777" w:rsidR="00DC5F42" w:rsidRPr="008E63BB" w:rsidRDefault="00DC5F42" w:rsidP="00DC5F42">
            <w:pPr>
              <w:jc w:val="right"/>
              <w:rPr>
                <w:sz w:val="20"/>
                <w:szCs w:val="20"/>
              </w:rPr>
            </w:pPr>
            <w:r w:rsidRPr="008E63BB">
              <w:rPr>
                <w:sz w:val="20"/>
                <w:szCs w:val="20"/>
              </w:rPr>
              <w:t>51,82</w:t>
            </w:r>
          </w:p>
        </w:tc>
        <w:tc>
          <w:tcPr>
            <w:tcW w:w="705" w:type="dxa"/>
            <w:tcBorders>
              <w:top w:val="nil"/>
              <w:left w:val="nil"/>
              <w:bottom w:val="single" w:sz="4" w:space="0" w:color="auto"/>
              <w:right w:val="single" w:sz="4" w:space="0" w:color="auto"/>
            </w:tcBorders>
            <w:vAlign w:val="center"/>
          </w:tcPr>
          <w:p w14:paraId="519B217C" w14:textId="77777777" w:rsidR="00DC5F42" w:rsidRPr="008E63BB" w:rsidRDefault="00DC5F42" w:rsidP="00DC5F42">
            <w:pPr>
              <w:jc w:val="right"/>
              <w:rPr>
                <w:sz w:val="20"/>
                <w:szCs w:val="20"/>
              </w:rPr>
            </w:pPr>
            <w:r w:rsidRPr="008E63BB">
              <w:rPr>
                <w:sz w:val="20"/>
                <w:szCs w:val="20"/>
              </w:rPr>
              <w:t>60,91</w:t>
            </w:r>
          </w:p>
        </w:tc>
      </w:tr>
      <w:tr w:rsidR="008D5BFE" w:rsidRPr="008E63BB" w14:paraId="519B2189" w14:textId="77777777" w:rsidTr="00885AB5">
        <w:trPr>
          <w:trHeight w:val="319"/>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519B217E"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w:t>
            </w:r>
          </w:p>
        </w:tc>
        <w:tc>
          <w:tcPr>
            <w:tcW w:w="2591" w:type="dxa"/>
            <w:tcBorders>
              <w:top w:val="nil"/>
              <w:left w:val="nil"/>
              <w:bottom w:val="single" w:sz="4" w:space="0" w:color="auto"/>
              <w:right w:val="single" w:sz="4" w:space="0" w:color="auto"/>
            </w:tcBorders>
            <w:shd w:val="clear" w:color="auto" w:fill="auto"/>
            <w:vAlign w:val="center"/>
            <w:hideMark/>
          </w:tcPr>
          <w:p w14:paraId="519B217F" w14:textId="77777777" w:rsidR="00DC5F42" w:rsidRPr="008E63BB" w:rsidRDefault="00DC5F42" w:rsidP="00DC5F42">
            <w:pPr>
              <w:jc w:val="left"/>
              <w:rPr>
                <w:rFonts w:eastAsia="Times New Roman"/>
                <w:sz w:val="20"/>
                <w:szCs w:val="20"/>
              </w:rPr>
            </w:pPr>
            <w:r w:rsidRPr="008E63BB">
              <w:rPr>
                <w:rFonts w:eastAsia="Times New Roman"/>
                <w:sz w:val="20"/>
                <w:szCs w:val="20"/>
              </w:rPr>
              <w:t>TP. Nam Định</w:t>
            </w:r>
          </w:p>
        </w:tc>
        <w:tc>
          <w:tcPr>
            <w:tcW w:w="691" w:type="dxa"/>
            <w:tcBorders>
              <w:top w:val="nil"/>
              <w:left w:val="nil"/>
              <w:bottom w:val="single" w:sz="4" w:space="0" w:color="auto"/>
              <w:right w:val="single" w:sz="4" w:space="0" w:color="auto"/>
            </w:tcBorders>
            <w:shd w:val="clear" w:color="auto" w:fill="auto"/>
            <w:noWrap/>
            <w:vAlign w:val="center"/>
            <w:hideMark/>
          </w:tcPr>
          <w:p w14:paraId="519B2180" w14:textId="77777777" w:rsidR="00DC5F42" w:rsidRPr="008E63BB" w:rsidRDefault="00DC5F42" w:rsidP="00DC5F42">
            <w:pPr>
              <w:jc w:val="right"/>
              <w:rPr>
                <w:sz w:val="20"/>
                <w:szCs w:val="20"/>
              </w:rPr>
            </w:pPr>
            <w:r w:rsidRPr="008E63BB">
              <w:rPr>
                <w:sz w:val="20"/>
                <w:szCs w:val="20"/>
              </w:rPr>
              <w:t>80,76</w:t>
            </w:r>
          </w:p>
        </w:tc>
        <w:tc>
          <w:tcPr>
            <w:tcW w:w="690" w:type="dxa"/>
            <w:tcBorders>
              <w:top w:val="nil"/>
              <w:left w:val="nil"/>
              <w:bottom w:val="single" w:sz="4" w:space="0" w:color="auto"/>
              <w:right w:val="single" w:sz="4" w:space="0" w:color="auto"/>
            </w:tcBorders>
            <w:shd w:val="clear" w:color="auto" w:fill="auto"/>
            <w:noWrap/>
            <w:vAlign w:val="center"/>
            <w:hideMark/>
          </w:tcPr>
          <w:p w14:paraId="519B2181" w14:textId="77777777" w:rsidR="00DC5F42" w:rsidRPr="008E63BB" w:rsidRDefault="00DC5F42" w:rsidP="00DC5F42">
            <w:pPr>
              <w:jc w:val="right"/>
              <w:rPr>
                <w:sz w:val="20"/>
                <w:szCs w:val="20"/>
              </w:rPr>
            </w:pPr>
            <w:r w:rsidRPr="008E63BB">
              <w:rPr>
                <w:sz w:val="20"/>
                <w:szCs w:val="20"/>
              </w:rPr>
              <w:t>80,41</w:t>
            </w:r>
          </w:p>
        </w:tc>
        <w:tc>
          <w:tcPr>
            <w:tcW w:w="691" w:type="dxa"/>
            <w:tcBorders>
              <w:top w:val="nil"/>
              <w:left w:val="nil"/>
              <w:bottom w:val="single" w:sz="4" w:space="0" w:color="auto"/>
              <w:right w:val="single" w:sz="4" w:space="0" w:color="auto"/>
            </w:tcBorders>
            <w:shd w:val="clear" w:color="auto" w:fill="auto"/>
            <w:noWrap/>
            <w:vAlign w:val="center"/>
            <w:hideMark/>
          </w:tcPr>
          <w:p w14:paraId="519B2182" w14:textId="77777777" w:rsidR="00DC5F42" w:rsidRPr="008E63BB" w:rsidRDefault="00DC5F42" w:rsidP="00DC5F42">
            <w:pPr>
              <w:jc w:val="right"/>
              <w:rPr>
                <w:sz w:val="20"/>
                <w:szCs w:val="20"/>
              </w:rPr>
            </w:pPr>
            <w:r w:rsidRPr="008E63BB">
              <w:rPr>
                <w:sz w:val="20"/>
                <w:szCs w:val="20"/>
              </w:rPr>
              <w:t>81,08</w:t>
            </w:r>
          </w:p>
        </w:tc>
        <w:tc>
          <w:tcPr>
            <w:tcW w:w="691" w:type="dxa"/>
            <w:tcBorders>
              <w:top w:val="nil"/>
              <w:left w:val="nil"/>
              <w:bottom w:val="single" w:sz="4" w:space="0" w:color="auto"/>
              <w:right w:val="single" w:sz="4" w:space="0" w:color="auto"/>
            </w:tcBorders>
            <w:shd w:val="clear" w:color="auto" w:fill="auto"/>
            <w:noWrap/>
            <w:vAlign w:val="center"/>
            <w:hideMark/>
          </w:tcPr>
          <w:p w14:paraId="519B2183" w14:textId="77777777" w:rsidR="00DC5F42" w:rsidRPr="008E63BB" w:rsidRDefault="00DC5F42" w:rsidP="00DC5F42">
            <w:pPr>
              <w:jc w:val="right"/>
              <w:rPr>
                <w:sz w:val="20"/>
                <w:szCs w:val="20"/>
              </w:rPr>
            </w:pPr>
            <w:r w:rsidRPr="008E63BB">
              <w:rPr>
                <w:sz w:val="20"/>
                <w:szCs w:val="20"/>
              </w:rPr>
              <w:t>80,74</w:t>
            </w:r>
          </w:p>
        </w:tc>
        <w:tc>
          <w:tcPr>
            <w:tcW w:w="691" w:type="dxa"/>
            <w:tcBorders>
              <w:top w:val="nil"/>
              <w:left w:val="nil"/>
              <w:bottom w:val="single" w:sz="4" w:space="0" w:color="auto"/>
              <w:right w:val="single" w:sz="4" w:space="0" w:color="auto"/>
            </w:tcBorders>
            <w:shd w:val="clear" w:color="auto" w:fill="auto"/>
            <w:noWrap/>
            <w:vAlign w:val="center"/>
            <w:hideMark/>
          </w:tcPr>
          <w:p w14:paraId="519B2184" w14:textId="77777777" w:rsidR="00DC5F42" w:rsidRPr="008E63BB" w:rsidRDefault="00DC5F42" w:rsidP="00DC5F42">
            <w:pPr>
              <w:jc w:val="right"/>
              <w:rPr>
                <w:sz w:val="20"/>
                <w:szCs w:val="20"/>
              </w:rPr>
            </w:pPr>
            <w:r w:rsidRPr="008E63BB">
              <w:rPr>
                <w:sz w:val="20"/>
                <w:szCs w:val="20"/>
              </w:rPr>
              <w:t>80,46</w:t>
            </w:r>
          </w:p>
        </w:tc>
        <w:tc>
          <w:tcPr>
            <w:tcW w:w="690" w:type="dxa"/>
            <w:tcBorders>
              <w:top w:val="nil"/>
              <w:left w:val="nil"/>
              <w:bottom w:val="single" w:sz="4" w:space="0" w:color="auto"/>
              <w:right w:val="single" w:sz="4" w:space="0" w:color="auto"/>
            </w:tcBorders>
            <w:shd w:val="clear" w:color="auto" w:fill="auto"/>
            <w:noWrap/>
            <w:vAlign w:val="center"/>
            <w:hideMark/>
          </w:tcPr>
          <w:p w14:paraId="519B2185" w14:textId="77777777" w:rsidR="00DC5F42" w:rsidRPr="008E63BB" w:rsidRDefault="00DC5F42" w:rsidP="00DC5F42">
            <w:pPr>
              <w:jc w:val="right"/>
              <w:rPr>
                <w:sz w:val="20"/>
                <w:szCs w:val="20"/>
              </w:rPr>
            </w:pPr>
            <w:r w:rsidRPr="008E63BB">
              <w:rPr>
                <w:sz w:val="20"/>
                <w:szCs w:val="20"/>
              </w:rPr>
              <w:t>80,29</w:t>
            </w:r>
          </w:p>
        </w:tc>
        <w:tc>
          <w:tcPr>
            <w:tcW w:w="691" w:type="dxa"/>
            <w:tcBorders>
              <w:top w:val="nil"/>
              <w:left w:val="nil"/>
              <w:bottom w:val="single" w:sz="4" w:space="0" w:color="auto"/>
              <w:right w:val="single" w:sz="4" w:space="0" w:color="auto"/>
            </w:tcBorders>
            <w:shd w:val="clear" w:color="auto" w:fill="auto"/>
            <w:noWrap/>
            <w:vAlign w:val="center"/>
            <w:hideMark/>
          </w:tcPr>
          <w:p w14:paraId="519B2186" w14:textId="77777777" w:rsidR="00DC5F42" w:rsidRPr="008E63BB" w:rsidRDefault="00DC5F42" w:rsidP="00DC5F42">
            <w:pPr>
              <w:jc w:val="right"/>
              <w:rPr>
                <w:sz w:val="20"/>
                <w:szCs w:val="20"/>
              </w:rPr>
            </w:pPr>
            <w:r w:rsidRPr="008E63BB">
              <w:rPr>
                <w:sz w:val="20"/>
                <w:szCs w:val="20"/>
              </w:rPr>
              <w:t>80,07</w:t>
            </w:r>
          </w:p>
        </w:tc>
        <w:tc>
          <w:tcPr>
            <w:tcW w:w="691" w:type="dxa"/>
            <w:tcBorders>
              <w:top w:val="nil"/>
              <w:left w:val="nil"/>
              <w:bottom w:val="single" w:sz="4" w:space="0" w:color="auto"/>
              <w:right w:val="single" w:sz="4" w:space="0" w:color="auto"/>
            </w:tcBorders>
            <w:shd w:val="clear" w:color="auto" w:fill="auto"/>
            <w:noWrap/>
            <w:vAlign w:val="center"/>
            <w:hideMark/>
          </w:tcPr>
          <w:p w14:paraId="519B2187" w14:textId="77777777" w:rsidR="00DC5F42" w:rsidRPr="008E63BB" w:rsidRDefault="00DC5F42" w:rsidP="00DC5F42">
            <w:pPr>
              <w:jc w:val="right"/>
              <w:rPr>
                <w:sz w:val="20"/>
                <w:szCs w:val="20"/>
              </w:rPr>
            </w:pPr>
            <w:r w:rsidRPr="008E63BB">
              <w:rPr>
                <w:sz w:val="20"/>
                <w:szCs w:val="20"/>
              </w:rPr>
              <w:t>79,80</w:t>
            </w:r>
          </w:p>
        </w:tc>
        <w:tc>
          <w:tcPr>
            <w:tcW w:w="705" w:type="dxa"/>
            <w:tcBorders>
              <w:top w:val="nil"/>
              <w:left w:val="nil"/>
              <w:bottom w:val="single" w:sz="4" w:space="0" w:color="auto"/>
              <w:right w:val="single" w:sz="4" w:space="0" w:color="auto"/>
            </w:tcBorders>
            <w:vAlign w:val="center"/>
          </w:tcPr>
          <w:p w14:paraId="519B2188" w14:textId="77777777" w:rsidR="00DC5F42" w:rsidRPr="008E63BB" w:rsidRDefault="00DC5F42" w:rsidP="00DC5F42">
            <w:pPr>
              <w:jc w:val="right"/>
              <w:rPr>
                <w:sz w:val="20"/>
                <w:szCs w:val="20"/>
              </w:rPr>
            </w:pPr>
            <w:r w:rsidRPr="008E63BB">
              <w:rPr>
                <w:sz w:val="20"/>
                <w:szCs w:val="20"/>
              </w:rPr>
              <w:t>91,05</w:t>
            </w:r>
          </w:p>
        </w:tc>
      </w:tr>
      <w:tr w:rsidR="008D5BFE" w:rsidRPr="008E63BB" w14:paraId="519B2195" w14:textId="77777777" w:rsidTr="00885AB5">
        <w:trPr>
          <w:trHeight w:val="319"/>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519B218A"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w:t>
            </w:r>
          </w:p>
        </w:tc>
        <w:tc>
          <w:tcPr>
            <w:tcW w:w="2591" w:type="dxa"/>
            <w:tcBorders>
              <w:top w:val="nil"/>
              <w:left w:val="nil"/>
              <w:bottom w:val="single" w:sz="4" w:space="0" w:color="auto"/>
              <w:right w:val="single" w:sz="4" w:space="0" w:color="auto"/>
            </w:tcBorders>
            <w:shd w:val="clear" w:color="auto" w:fill="auto"/>
            <w:vAlign w:val="center"/>
            <w:hideMark/>
          </w:tcPr>
          <w:p w14:paraId="519B218B" w14:textId="77777777" w:rsidR="00DC5F42" w:rsidRPr="008E63BB" w:rsidRDefault="00DC5F42" w:rsidP="00DC5F42">
            <w:pPr>
              <w:jc w:val="left"/>
              <w:rPr>
                <w:rFonts w:eastAsia="Times New Roman"/>
                <w:sz w:val="20"/>
                <w:szCs w:val="20"/>
              </w:rPr>
            </w:pPr>
            <w:r w:rsidRPr="008E63BB">
              <w:rPr>
                <w:rFonts w:eastAsia="Times New Roman"/>
                <w:sz w:val="20"/>
                <w:szCs w:val="20"/>
              </w:rPr>
              <w:t>Huyện Mỹ Lộc</w:t>
            </w:r>
          </w:p>
        </w:tc>
        <w:tc>
          <w:tcPr>
            <w:tcW w:w="691" w:type="dxa"/>
            <w:tcBorders>
              <w:top w:val="nil"/>
              <w:left w:val="nil"/>
              <w:bottom w:val="single" w:sz="4" w:space="0" w:color="auto"/>
              <w:right w:val="single" w:sz="4" w:space="0" w:color="auto"/>
            </w:tcBorders>
            <w:shd w:val="clear" w:color="auto" w:fill="auto"/>
            <w:noWrap/>
            <w:vAlign w:val="center"/>
            <w:hideMark/>
          </w:tcPr>
          <w:p w14:paraId="519B218C" w14:textId="77777777" w:rsidR="00DC5F42" w:rsidRPr="008E63BB" w:rsidRDefault="00DC5F42" w:rsidP="00DC5F42">
            <w:pPr>
              <w:jc w:val="right"/>
              <w:rPr>
                <w:sz w:val="20"/>
                <w:szCs w:val="20"/>
              </w:rPr>
            </w:pPr>
            <w:r w:rsidRPr="008E63BB">
              <w:rPr>
                <w:sz w:val="20"/>
                <w:szCs w:val="20"/>
              </w:rPr>
              <w:t>6,80</w:t>
            </w:r>
          </w:p>
        </w:tc>
        <w:tc>
          <w:tcPr>
            <w:tcW w:w="690" w:type="dxa"/>
            <w:tcBorders>
              <w:top w:val="nil"/>
              <w:left w:val="nil"/>
              <w:bottom w:val="single" w:sz="4" w:space="0" w:color="auto"/>
              <w:right w:val="single" w:sz="4" w:space="0" w:color="auto"/>
            </w:tcBorders>
            <w:shd w:val="clear" w:color="auto" w:fill="auto"/>
            <w:noWrap/>
            <w:vAlign w:val="center"/>
            <w:hideMark/>
          </w:tcPr>
          <w:p w14:paraId="519B218D" w14:textId="77777777" w:rsidR="00DC5F42" w:rsidRPr="008E63BB" w:rsidRDefault="00DC5F42" w:rsidP="00DC5F42">
            <w:pPr>
              <w:jc w:val="right"/>
              <w:rPr>
                <w:sz w:val="20"/>
                <w:szCs w:val="20"/>
              </w:rPr>
            </w:pPr>
            <w:r w:rsidRPr="008E63BB">
              <w:rPr>
                <w:sz w:val="20"/>
                <w:szCs w:val="20"/>
              </w:rPr>
              <w:t>6,91</w:t>
            </w:r>
          </w:p>
        </w:tc>
        <w:tc>
          <w:tcPr>
            <w:tcW w:w="691" w:type="dxa"/>
            <w:tcBorders>
              <w:top w:val="nil"/>
              <w:left w:val="nil"/>
              <w:bottom w:val="single" w:sz="4" w:space="0" w:color="auto"/>
              <w:right w:val="single" w:sz="4" w:space="0" w:color="auto"/>
            </w:tcBorders>
            <w:shd w:val="clear" w:color="auto" w:fill="auto"/>
            <w:noWrap/>
            <w:vAlign w:val="center"/>
            <w:hideMark/>
          </w:tcPr>
          <w:p w14:paraId="519B218E" w14:textId="77777777" w:rsidR="00DC5F42" w:rsidRPr="008E63BB" w:rsidRDefault="00DC5F42" w:rsidP="00DC5F42">
            <w:pPr>
              <w:jc w:val="right"/>
              <w:rPr>
                <w:sz w:val="20"/>
                <w:szCs w:val="20"/>
              </w:rPr>
            </w:pPr>
            <w:r w:rsidRPr="008E63BB">
              <w:rPr>
                <w:sz w:val="20"/>
                <w:szCs w:val="20"/>
              </w:rPr>
              <w:t>6,99</w:t>
            </w:r>
          </w:p>
        </w:tc>
        <w:tc>
          <w:tcPr>
            <w:tcW w:w="691" w:type="dxa"/>
            <w:tcBorders>
              <w:top w:val="nil"/>
              <w:left w:val="nil"/>
              <w:bottom w:val="single" w:sz="4" w:space="0" w:color="auto"/>
              <w:right w:val="single" w:sz="4" w:space="0" w:color="auto"/>
            </w:tcBorders>
            <w:shd w:val="clear" w:color="auto" w:fill="auto"/>
            <w:noWrap/>
            <w:vAlign w:val="center"/>
            <w:hideMark/>
          </w:tcPr>
          <w:p w14:paraId="519B218F" w14:textId="77777777" w:rsidR="00DC5F42" w:rsidRPr="008E63BB" w:rsidRDefault="00DC5F42" w:rsidP="00DC5F42">
            <w:pPr>
              <w:jc w:val="right"/>
              <w:rPr>
                <w:sz w:val="20"/>
                <w:szCs w:val="20"/>
              </w:rPr>
            </w:pPr>
            <w:r w:rsidRPr="008E63BB">
              <w:rPr>
                <w:sz w:val="20"/>
                <w:szCs w:val="20"/>
              </w:rPr>
              <w:t>7,11</w:t>
            </w:r>
          </w:p>
        </w:tc>
        <w:tc>
          <w:tcPr>
            <w:tcW w:w="691" w:type="dxa"/>
            <w:tcBorders>
              <w:top w:val="nil"/>
              <w:left w:val="nil"/>
              <w:bottom w:val="single" w:sz="4" w:space="0" w:color="auto"/>
              <w:right w:val="single" w:sz="4" w:space="0" w:color="auto"/>
            </w:tcBorders>
            <w:shd w:val="clear" w:color="auto" w:fill="auto"/>
            <w:noWrap/>
            <w:vAlign w:val="center"/>
            <w:hideMark/>
          </w:tcPr>
          <w:p w14:paraId="519B2190" w14:textId="77777777" w:rsidR="00DC5F42" w:rsidRPr="008E63BB" w:rsidRDefault="00DC5F42" w:rsidP="00DC5F42">
            <w:pPr>
              <w:jc w:val="right"/>
              <w:rPr>
                <w:sz w:val="20"/>
                <w:szCs w:val="20"/>
              </w:rPr>
            </w:pPr>
            <w:r w:rsidRPr="008E63BB">
              <w:rPr>
                <w:sz w:val="20"/>
                <w:szCs w:val="20"/>
              </w:rPr>
              <w:t>7,28</w:t>
            </w:r>
          </w:p>
        </w:tc>
        <w:tc>
          <w:tcPr>
            <w:tcW w:w="690" w:type="dxa"/>
            <w:tcBorders>
              <w:top w:val="nil"/>
              <w:left w:val="nil"/>
              <w:bottom w:val="single" w:sz="4" w:space="0" w:color="auto"/>
              <w:right w:val="single" w:sz="4" w:space="0" w:color="auto"/>
            </w:tcBorders>
            <w:shd w:val="clear" w:color="auto" w:fill="auto"/>
            <w:noWrap/>
            <w:vAlign w:val="center"/>
            <w:hideMark/>
          </w:tcPr>
          <w:p w14:paraId="519B2191" w14:textId="77777777" w:rsidR="00DC5F42" w:rsidRPr="008E63BB" w:rsidRDefault="00DC5F42" w:rsidP="00DC5F42">
            <w:pPr>
              <w:jc w:val="right"/>
              <w:rPr>
                <w:sz w:val="20"/>
                <w:szCs w:val="20"/>
              </w:rPr>
            </w:pPr>
            <w:r w:rsidRPr="008E63BB">
              <w:rPr>
                <w:sz w:val="20"/>
                <w:szCs w:val="20"/>
              </w:rPr>
              <w:t>7,42</w:t>
            </w:r>
          </w:p>
        </w:tc>
        <w:tc>
          <w:tcPr>
            <w:tcW w:w="691" w:type="dxa"/>
            <w:tcBorders>
              <w:top w:val="nil"/>
              <w:left w:val="nil"/>
              <w:bottom w:val="single" w:sz="4" w:space="0" w:color="auto"/>
              <w:right w:val="single" w:sz="4" w:space="0" w:color="auto"/>
            </w:tcBorders>
            <w:shd w:val="clear" w:color="auto" w:fill="auto"/>
            <w:noWrap/>
            <w:vAlign w:val="center"/>
            <w:hideMark/>
          </w:tcPr>
          <w:p w14:paraId="519B2192" w14:textId="77777777" w:rsidR="00DC5F42" w:rsidRPr="008E63BB" w:rsidRDefault="00DC5F42" w:rsidP="00DC5F42">
            <w:pPr>
              <w:jc w:val="right"/>
              <w:rPr>
                <w:sz w:val="20"/>
                <w:szCs w:val="20"/>
              </w:rPr>
            </w:pPr>
            <w:r w:rsidRPr="008E63BB">
              <w:rPr>
                <w:sz w:val="20"/>
                <w:szCs w:val="20"/>
              </w:rPr>
              <w:t>7,48</w:t>
            </w:r>
          </w:p>
        </w:tc>
        <w:tc>
          <w:tcPr>
            <w:tcW w:w="691" w:type="dxa"/>
            <w:tcBorders>
              <w:top w:val="nil"/>
              <w:left w:val="nil"/>
              <w:bottom w:val="single" w:sz="4" w:space="0" w:color="auto"/>
              <w:right w:val="single" w:sz="4" w:space="0" w:color="auto"/>
            </w:tcBorders>
            <w:shd w:val="clear" w:color="auto" w:fill="auto"/>
            <w:noWrap/>
            <w:vAlign w:val="center"/>
            <w:hideMark/>
          </w:tcPr>
          <w:p w14:paraId="519B2193" w14:textId="77777777" w:rsidR="00DC5F42" w:rsidRPr="008E63BB" w:rsidRDefault="00DC5F42" w:rsidP="00DC5F42">
            <w:pPr>
              <w:jc w:val="right"/>
              <w:rPr>
                <w:sz w:val="20"/>
                <w:szCs w:val="20"/>
              </w:rPr>
            </w:pPr>
            <w:r w:rsidRPr="008E63BB">
              <w:rPr>
                <w:sz w:val="20"/>
                <w:szCs w:val="20"/>
              </w:rPr>
              <w:t>7,48</w:t>
            </w:r>
          </w:p>
        </w:tc>
        <w:tc>
          <w:tcPr>
            <w:tcW w:w="705" w:type="dxa"/>
            <w:tcBorders>
              <w:top w:val="nil"/>
              <w:left w:val="nil"/>
              <w:bottom w:val="single" w:sz="4" w:space="0" w:color="auto"/>
              <w:right w:val="single" w:sz="4" w:space="0" w:color="auto"/>
            </w:tcBorders>
            <w:vAlign w:val="center"/>
          </w:tcPr>
          <w:p w14:paraId="519B2194" w14:textId="77777777" w:rsidR="00DC5F42" w:rsidRPr="008E63BB" w:rsidRDefault="00DC5F42" w:rsidP="00DC5F42">
            <w:pPr>
              <w:jc w:val="right"/>
              <w:rPr>
                <w:sz w:val="20"/>
                <w:szCs w:val="20"/>
              </w:rPr>
            </w:pPr>
            <w:r w:rsidRPr="008E63BB">
              <w:rPr>
                <w:sz w:val="20"/>
                <w:szCs w:val="20"/>
              </w:rPr>
              <w:t>7,41</w:t>
            </w:r>
          </w:p>
        </w:tc>
      </w:tr>
      <w:tr w:rsidR="008D5BFE" w:rsidRPr="008E63BB" w14:paraId="519B21A1" w14:textId="77777777" w:rsidTr="00885AB5">
        <w:trPr>
          <w:trHeight w:val="319"/>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519B2196"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lastRenderedPageBreak/>
              <w:t>-</w:t>
            </w:r>
          </w:p>
        </w:tc>
        <w:tc>
          <w:tcPr>
            <w:tcW w:w="2591" w:type="dxa"/>
            <w:tcBorders>
              <w:top w:val="nil"/>
              <w:left w:val="nil"/>
              <w:bottom w:val="single" w:sz="4" w:space="0" w:color="auto"/>
              <w:right w:val="single" w:sz="4" w:space="0" w:color="auto"/>
            </w:tcBorders>
            <w:shd w:val="clear" w:color="auto" w:fill="auto"/>
            <w:vAlign w:val="center"/>
            <w:hideMark/>
          </w:tcPr>
          <w:p w14:paraId="519B2197" w14:textId="77777777" w:rsidR="00DC5F42" w:rsidRPr="008E63BB" w:rsidRDefault="00DC5F42" w:rsidP="00DC5F42">
            <w:pPr>
              <w:jc w:val="left"/>
              <w:rPr>
                <w:rFonts w:eastAsia="Times New Roman"/>
                <w:sz w:val="20"/>
                <w:szCs w:val="20"/>
              </w:rPr>
            </w:pPr>
            <w:r w:rsidRPr="008E63BB">
              <w:rPr>
                <w:rFonts w:eastAsia="Times New Roman"/>
                <w:sz w:val="20"/>
                <w:szCs w:val="20"/>
              </w:rPr>
              <w:t>3 xã Huyện Vụ Bản</w:t>
            </w:r>
          </w:p>
        </w:tc>
        <w:tc>
          <w:tcPr>
            <w:tcW w:w="691" w:type="dxa"/>
            <w:tcBorders>
              <w:top w:val="nil"/>
              <w:left w:val="nil"/>
              <w:bottom w:val="single" w:sz="4" w:space="0" w:color="auto"/>
              <w:right w:val="single" w:sz="4" w:space="0" w:color="auto"/>
            </w:tcBorders>
            <w:shd w:val="clear" w:color="auto" w:fill="auto"/>
            <w:noWrap/>
            <w:vAlign w:val="center"/>
          </w:tcPr>
          <w:p w14:paraId="519B2198" w14:textId="77777777" w:rsidR="00DC5F42" w:rsidRPr="008E63BB" w:rsidRDefault="00DC5F42" w:rsidP="00DC5F42">
            <w:pPr>
              <w:jc w:val="right"/>
              <w:rPr>
                <w:sz w:val="20"/>
                <w:szCs w:val="20"/>
              </w:rPr>
            </w:pPr>
          </w:p>
        </w:tc>
        <w:tc>
          <w:tcPr>
            <w:tcW w:w="690" w:type="dxa"/>
            <w:tcBorders>
              <w:top w:val="nil"/>
              <w:left w:val="nil"/>
              <w:bottom w:val="single" w:sz="4" w:space="0" w:color="auto"/>
              <w:right w:val="single" w:sz="4" w:space="0" w:color="auto"/>
            </w:tcBorders>
            <w:shd w:val="clear" w:color="auto" w:fill="auto"/>
            <w:noWrap/>
            <w:vAlign w:val="center"/>
          </w:tcPr>
          <w:p w14:paraId="519B2199"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9A"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9B"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9C" w14:textId="77777777" w:rsidR="00DC5F42" w:rsidRPr="008E63BB" w:rsidRDefault="00DC5F42" w:rsidP="00DC5F42">
            <w:pPr>
              <w:jc w:val="right"/>
              <w:rPr>
                <w:sz w:val="20"/>
                <w:szCs w:val="20"/>
              </w:rPr>
            </w:pPr>
          </w:p>
        </w:tc>
        <w:tc>
          <w:tcPr>
            <w:tcW w:w="690" w:type="dxa"/>
            <w:tcBorders>
              <w:top w:val="nil"/>
              <w:left w:val="nil"/>
              <w:bottom w:val="single" w:sz="4" w:space="0" w:color="auto"/>
              <w:right w:val="single" w:sz="4" w:space="0" w:color="auto"/>
            </w:tcBorders>
            <w:shd w:val="clear" w:color="auto" w:fill="auto"/>
            <w:noWrap/>
            <w:vAlign w:val="center"/>
          </w:tcPr>
          <w:p w14:paraId="519B219D"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9E"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9F" w14:textId="77777777" w:rsidR="00DC5F42" w:rsidRPr="008E63BB" w:rsidRDefault="00DC5F42" w:rsidP="00DC5F42">
            <w:pPr>
              <w:jc w:val="right"/>
              <w:rPr>
                <w:sz w:val="20"/>
                <w:szCs w:val="20"/>
              </w:rPr>
            </w:pPr>
          </w:p>
        </w:tc>
        <w:tc>
          <w:tcPr>
            <w:tcW w:w="705" w:type="dxa"/>
            <w:tcBorders>
              <w:top w:val="nil"/>
              <w:left w:val="nil"/>
              <w:bottom w:val="single" w:sz="4" w:space="0" w:color="auto"/>
              <w:right w:val="single" w:sz="4" w:space="0" w:color="auto"/>
            </w:tcBorders>
            <w:vAlign w:val="center"/>
          </w:tcPr>
          <w:p w14:paraId="519B21A0" w14:textId="77777777" w:rsidR="00DC5F42" w:rsidRPr="008E63BB" w:rsidRDefault="00DC5F42" w:rsidP="00DC5F42">
            <w:pPr>
              <w:jc w:val="right"/>
              <w:rPr>
                <w:sz w:val="20"/>
                <w:szCs w:val="20"/>
              </w:rPr>
            </w:pPr>
          </w:p>
        </w:tc>
      </w:tr>
      <w:tr w:rsidR="008D5BFE" w:rsidRPr="008E63BB" w14:paraId="519B21AD" w14:textId="77777777" w:rsidTr="00885AB5">
        <w:trPr>
          <w:trHeight w:val="319"/>
        </w:trPr>
        <w:tc>
          <w:tcPr>
            <w:tcW w:w="392" w:type="dxa"/>
            <w:tcBorders>
              <w:top w:val="nil"/>
              <w:left w:val="single" w:sz="4" w:space="0" w:color="auto"/>
              <w:bottom w:val="single" w:sz="4" w:space="0" w:color="auto"/>
              <w:right w:val="single" w:sz="4" w:space="0" w:color="auto"/>
            </w:tcBorders>
            <w:shd w:val="clear" w:color="auto" w:fill="auto"/>
            <w:noWrap/>
            <w:vAlign w:val="center"/>
            <w:hideMark/>
          </w:tcPr>
          <w:p w14:paraId="519B21A2" w14:textId="77777777" w:rsidR="00DC5F42" w:rsidRPr="008E63BB" w:rsidRDefault="00DC5F42" w:rsidP="00DC5F42">
            <w:pPr>
              <w:jc w:val="right"/>
              <w:rPr>
                <w:rFonts w:eastAsia="Times New Roman"/>
                <w:b/>
                <w:bCs/>
                <w:sz w:val="20"/>
                <w:szCs w:val="20"/>
              </w:rPr>
            </w:pPr>
            <w:r w:rsidRPr="008E63BB">
              <w:rPr>
                <w:rFonts w:eastAsia="Times New Roman"/>
                <w:b/>
                <w:bCs/>
                <w:sz w:val="20"/>
                <w:szCs w:val="20"/>
              </w:rPr>
              <w:t>-</w:t>
            </w:r>
          </w:p>
        </w:tc>
        <w:tc>
          <w:tcPr>
            <w:tcW w:w="2591" w:type="dxa"/>
            <w:tcBorders>
              <w:top w:val="nil"/>
              <w:left w:val="nil"/>
              <w:bottom w:val="single" w:sz="4" w:space="0" w:color="auto"/>
              <w:right w:val="single" w:sz="4" w:space="0" w:color="auto"/>
            </w:tcBorders>
            <w:shd w:val="clear" w:color="auto" w:fill="auto"/>
            <w:vAlign w:val="center"/>
            <w:hideMark/>
          </w:tcPr>
          <w:p w14:paraId="519B21A3" w14:textId="77777777" w:rsidR="00DC5F42" w:rsidRPr="008E63BB" w:rsidRDefault="00DC5F42" w:rsidP="00DC5F42">
            <w:pPr>
              <w:jc w:val="left"/>
              <w:rPr>
                <w:rFonts w:eastAsia="Times New Roman"/>
                <w:sz w:val="20"/>
                <w:szCs w:val="20"/>
              </w:rPr>
            </w:pPr>
            <w:r w:rsidRPr="008E63BB">
              <w:rPr>
                <w:rFonts w:eastAsia="Times New Roman"/>
                <w:sz w:val="20"/>
                <w:szCs w:val="20"/>
              </w:rPr>
              <w:t>5 xã Huyện Nam Trực</w:t>
            </w:r>
          </w:p>
        </w:tc>
        <w:tc>
          <w:tcPr>
            <w:tcW w:w="691" w:type="dxa"/>
            <w:tcBorders>
              <w:top w:val="nil"/>
              <w:left w:val="nil"/>
              <w:bottom w:val="single" w:sz="4" w:space="0" w:color="auto"/>
              <w:right w:val="single" w:sz="4" w:space="0" w:color="auto"/>
            </w:tcBorders>
            <w:shd w:val="clear" w:color="auto" w:fill="auto"/>
            <w:noWrap/>
            <w:vAlign w:val="center"/>
          </w:tcPr>
          <w:p w14:paraId="519B21A4" w14:textId="77777777" w:rsidR="00DC5F42" w:rsidRPr="008E63BB" w:rsidRDefault="00DC5F42" w:rsidP="00DC5F42">
            <w:pPr>
              <w:jc w:val="right"/>
              <w:rPr>
                <w:sz w:val="20"/>
                <w:szCs w:val="20"/>
              </w:rPr>
            </w:pPr>
          </w:p>
        </w:tc>
        <w:tc>
          <w:tcPr>
            <w:tcW w:w="690" w:type="dxa"/>
            <w:tcBorders>
              <w:top w:val="nil"/>
              <w:left w:val="nil"/>
              <w:bottom w:val="single" w:sz="4" w:space="0" w:color="auto"/>
              <w:right w:val="single" w:sz="4" w:space="0" w:color="auto"/>
            </w:tcBorders>
            <w:shd w:val="clear" w:color="auto" w:fill="auto"/>
            <w:noWrap/>
            <w:vAlign w:val="center"/>
          </w:tcPr>
          <w:p w14:paraId="519B21A5"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A6"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A7"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A8" w14:textId="77777777" w:rsidR="00DC5F42" w:rsidRPr="008E63BB" w:rsidRDefault="00DC5F42" w:rsidP="00DC5F42">
            <w:pPr>
              <w:jc w:val="right"/>
              <w:rPr>
                <w:sz w:val="20"/>
                <w:szCs w:val="20"/>
              </w:rPr>
            </w:pPr>
          </w:p>
        </w:tc>
        <w:tc>
          <w:tcPr>
            <w:tcW w:w="690" w:type="dxa"/>
            <w:tcBorders>
              <w:top w:val="nil"/>
              <w:left w:val="nil"/>
              <w:bottom w:val="single" w:sz="4" w:space="0" w:color="auto"/>
              <w:right w:val="single" w:sz="4" w:space="0" w:color="auto"/>
            </w:tcBorders>
            <w:shd w:val="clear" w:color="auto" w:fill="auto"/>
            <w:noWrap/>
            <w:vAlign w:val="center"/>
          </w:tcPr>
          <w:p w14:paraId="519B21A9"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AA" w14:textId="77777777" w:rsidR="00DC5F42" w:rsidRPr="008E63BB" w:rsidRDefault="00DC5F42" w:rsidP="00DC5F42">
            <w:pPr>
              <w:jc w:val="right"/>
              <w:rPr>
                <w:sz w:val="20"/>
                <w:szCs w:val="20"/>
              </w:rPr>
            </w:pPr>
          </w:p>
        </w:tc>
        <w:tc>
          <w:tcPr>
            <w:tcW w:w="691" w:type="dxa"/>
            <w:tcBorders>
              <w:top w:val="nil"/>
              <w:left w:val="nil"/>
              <w:bottom w:val="single" w:sz="4" w:space="0" w:color="auto"/>
              <w:right w:val="single" w:sz="4" w:space="0" w:color="auto"/>
            </w:tcBorders>
            <w:shd w:val="clear" w:color="auto" w:fill="auto"/>
            <w:noWrap/>
            <w:vAlign w:val="center"/>
          </w:tcPr>
          <w:p w14:paraId="519B21AB" w14:textId="77777777" w:rsidR="00DC5F42" w:rsidRPr="008E63BB" w:rsidRDefault="00DC5F42" w:rsidP="00DC5F42">
            <w:pPr>
              <w:jc w:val="right"/>
              <w:rPr>
                <w:sz w:val="20"/>
                <w:szCs w:val="20"/>
              </w:rPr>
            </w:pPr>
          </w:p>
        </w:tc>
        <w:tc>
          <w:tcPr>
            <w:tcW w:w="705" w:type="dxa"/>
            <w:tcBorders>
              <w:top w:val="nil"/>
              <w:left w:val="nil"/>
              <w:bottom w:val="single" w:sz="4" w:space="0" w:color="auto"/>
              <w:right w:val="single" w:sz="4" w:space="0" w:color="auto"/>
            </w:tcBorders>
            <w:vAlign w:val="center"/>
          </w:tcPr>
          <w:p w14:paraId="519B21AC" w14:textId="77777777" w:rsidR="00DC5F42" w:rsidRPr="008E63BB" w:rsidRDefault="00DC5F42" w:rsidP="00DC5F42">
            <w:pPr>
              <w:jc w:val="right"/>
              <w:rPr>
                <w:sz w:val="20"/>
                <w:szCs w:val="20"/>
              </w:rPr>
            </w:pPr>
          </w:p>
        </w:tc>
      </w:tr>
    </w:tbl>
    <w:p w14:paraId="519B21AE" w14:textId="77777777" w:rsidR="00DC5F42" w:rsidRPr="008E63BB" w:rsidRDefault="00DC5F42" w:rsidP="00885AB5">
      <w:pPr>
        <w:rPr>
          <w:i/>
        </w:rPr>
      </w:pPr>
      <w:r w:rsidRPr="008E63BB">
        <w:rPr>
          <w:rFonts w:eastAsia="Times New Roman"/>
          <w:bCs/>
          <w:i/>
          <w:sz w:val="24"/>
          <w:szCs w:val="24"/>
          <w:lang w:val="pt-BR" w:eastAsia="zh-CN"/>
        </w:rPr>
        <w:t>Nguồn: Tổng hợp số liệu từ n</w:t>
      </w:r>
      <w:r w:rsidRPr="008E63BB">
        <w:rPr>
          <w:i/>
        </w:rPr>
        <w:t>iên giám thống kê 2008-2018 và số liệu năm 2019</w:t>
      </w:r>
    </w:p>
    <w:p w14:paraId="519B21AF" w14:textId="77777777" w:rsidR="00DC5F42" w:rsidRPr="008E63BB" w:rsidRDefault="00DC5F42" w:rsidP="00885AB5">
      <w:pPr>
        <w:spacing w:before="120"/>
        <w:rPr>
          <w:i/>
          <w:lang w:val="pt-BR"/>
        </w:rPr>
      </w:pPr>
      <w:r w:rsidRPr="008E63BB">
        <w:rPr>
          <w:i/>
          <w:lang w:val="pt-BR"/>
        </w:rPr>
        <w:t>b. Về lao động</w:t>
      </w:r>
    </w:p>
    <w:p w14:paraId="519B21B0" w14:textId="77777777" w:rsidR="00DC5F42" w:rsidRPr="008E63BB" w:rsidRDefault="00DC5F42" w:rsidP="00885AB5">
      <w:pPr>
        <w:ind w:firstLine="720"/>
        <w:rPr>
          <w:i/>
          <w:lang w:val="pt-BR"/>
        </w:rPr>
      </w:pPr>
      <w:r w:rsidRPr="008E63BB">
        <w:rPr>
          <w:i/>
          <w:lang w:val="pt-BR"/>
        </w:rPr>
        <w:t xml:space="preserve">* Toàn Tỉnh </w:t>
      </w:r>
      <w:r w:rsidRPr="008E63BB">
        <w:rPr>
          <w:lang w:val="pt-BR"/>
        </w:rPr>
        <w:t>hiện có khoảng 1.119.315 lao động trong độ tuổi lao động chiếm 60,94% dân số (1.853.290 người). Lao động đang làm việc trong các ngành nghề kinh tế khoảng 1.106.951 lao động. Tỷ lệ thất nghiệp khoảng 1,98%, thiếu việc làm khoảng 2,49%</w:t>
      </w:r>
    </w:p>
    <w:p w14:paraId="519B21B1" w14:textId="77777777" w:rsidR="00DC5F42" w:rsidRPr="008E63BB" w:rsidRDefault="00DC5F42" w:rsidP="00885AB5">
      <w:pPr>
        <w:ind w:firstLine="720"/>
        <w:rPr>
          <w:lang w:val="pt-BR"/>
        </w:rPr>
      </w:pPr>
      <w:r w:rsidRPr="008E63BB">
        <w:rPr>
          <w:i/>
          <w:lang w:val="pt-BR"/>
        </w:rPr>
        <w:t>* Thành phố Nam Định:</w:t>
      </w:r>
      <w:r w:rsidRPr="008E63BB">
        <w:rPr>
          <w:lang w:val="pt-BR"/>
        </w:rPr>
        <w:t xml:space="preserve"> Lực lượng lao động trong độ tuổi lao động của Thành phố khoảng 160.973 người. Lao động đang làm việc trong các ngành nghề kinh tế khoảng  113.315 lao động, bao gồm 6.046 lao động đang làm việc ở khu vực nông, lâm nghiệp và thủy sản, chiếm 5,34% số lao động đang làm việc trong các ngành nghề kinh tế; lao động công nghiệp và xây dựng 49.193 lao động, chiếm 43,41%; dịch vụ, thương mại 54.737 lao động, chiếm 48,31%. Ngoài ra, lực lượng mất sức, nội trợ, sinh viên 47.790 người chiếm 29,69% và người thất nghiệp 3.339 người chiếm 2,07% lao động trong độ tuổi.</w:t>
      </w:r>
    </w:p>
    <w:p w14:paraId="519B21B2" w14:textId="77777777" w:rsidR="00DC5F42" w:rsidRPr="008E63BB" w:rsidRDefault="00DC5F42" w:rsidP="00885AB5">
      <w:pPr>
        <w:spacing w:before="60" w:line="26" w:lineRule="atLeast"/>
        <w:ind w:firstLine="706"/>
        <w:rPr>
          <w:lang w:val="pt-BR"/>
        </w:rPr>
      </w:pPr>
      <w:r w:rsidRPr="008E63BB">
        <w:rPr>
          <w:lang w:val="pt-BR"/>
        </w:rPr>
        <w:t>Nam Định có tỷ lệ lạo động trên dân số khá cao (chiếm trên 69%). Tuy nhiên tỷ lệ lao động có trình độ còn ít.</w:t>
      </w:r>
    </w:p>
    <w:p w14:paraId="519B21B3" w14:textId="77777777" w:rsidR="00DC5F42" w:rsidRPr="008E63BB" w:rsidRDefault="00DC5F42" w:rsidP="00885AB5">
      <w:pPr>
        <w:spacing w:before="60" w:line="26" w:lineRule="atLeast"/>
        <w:ind w:firstLine="706"/>
        <w:rPr>
          <w:i/>
          <w:lang w:val="pt-BR"/>
        </w:rPr>
      </w:pPr>
      <w:r w:rsidRPr="008E63BB">
        <w:rPr>
          <w:i/>
          <w:lang w:val="pt-BR"/>
        </w:rPr>
        <w:t>* Khu vực dự kiến mở rộng:</w:t>
      </w:r>
    </w:p>
    <w:p w14:paraId="519B21B4" w14:textId="77777777" w:rsidR="00DC5F42" w:rsidRPr="008E63BB" w:rsidRDefault="00DC5F42" w:rsidP="00885AB5">
      <w:pPr>
        <w:spacing w:before="60" w:line="26" w:lineRule="atLeast"/>
        <w:ind w:firstLine="706"/>
        <w:rPr>
          <w:lang w:val="pt-BR"/>
        </w:rPr>
      </w:pPr>
      <w:r w:rsidRPr="008E63BB">
        <w:rPr>
          <w:lang w:val="pt-BR"/>
        </w:rPr>
        <w:t>-  Huyện Mỹ Lộc: Lực lượng lao động trong độ tuổi lao động khoảng 44.186 người (chiếm 62,9% dân số). Lao động đang làm việc trong các ngành nghề kinh tế khoảng  43.208 lao động, bao gồm chiếm 55,54% lao động khu vực nông, lâm nghiệp và thủy sản, chiếm 24,58% số lao động công nghiệp và xây dựng, chiếm 19,88% lao động dịch vụ, thương mại.</w:t>
      </w:r>
    </w:p>
    <w:p w14:paraId="519B21B5" w14:textId="77777777" w:rsidR="00DC5F42" w:rsidRPr="008E63BB" w:rsidRDefault="00DC5F42" w:rsidP="00885AB5">
      <w:pPr>
        <w:spacing w:before="60" w:line="26" w:lineRule="atLeast"/>
        <w:ind w:firstLine="706"/>
        <w:rPr>
          <w:lang w:val="pt-BR"/>
        </w:rPr>
      </w:pPr>
      <w:r w:rsidRPr="008E63BB">
        <w:rPr>
          <w:lang w:val="pt-BR"/>
        </w:rPr>
        <w:t>-  3 xã Huyện Vụ Bản: Lực lượng lao động trong độ tuổi lao động khoảng 17.576 người (chiếm 62,8% dân số). Lao động đang làm việc trong các ngành nghề kinh tế khoảng 17.335 lao động, bao gồm chiếm 53,9% lao động khu vực nông, lâm nghiệp và thủy sản, chiếm 27,3% số lao động công nghiệp và xây dựng, chiếm 18,8% lao động dịch vụ, thương mại.</w:t>
      </w:r>
    </w:p>
    <w:p w14:paraId="519B21B6" w14:textId="77777777" w:rsidR="00DC5F42" w:rsidRPr="008E63BB" w:rsidRDefault="00DC5F42" w:rsidP="00885AB5">
      <w:pPr>
        <w:ind w:firstLine="706"/>
        <w:rPr>
          <w:lang w:val="pt-BR"/>
        </w:rPr>
      </w:pPr>
      <w:r w:rsidRPr="008E63BB">
        <w:rPr>
          <w:lang w:val="pt-BR"/>
        </w:rPr>
        <w:t>-  5 xã Huyện Nam Trực: Lực lượng lao động trong độ tuổi lao động khoảng 28.366 người (chiếm 61,1% dân số). Lao động đang làm việc trong các ngành nghề kinh tế khoảng 28.000 lao động, bao gồm chiếm 58,8% lao động khu vực nông, lâm nghiệp và thủy sản, chiếm 21,6% số lao động công nghiệp và xây dựng, chiếm 19,6% lao động dịch vụ, thương mại.</w:t>
      </w:r>
    </w:p>
    <w:p w14:paraId="519B21B7" w14:textId="77777777" w:rsidR="00DC5F42" w:rsidRPr="008E63BB" w:rsidRDefault="00DC5F42" w:rsidP="00885AB5">
      <w:pPr>
        <w:ind w:firstLine="706"/>
        <w:rPr>
          <w:lang w:val="pt-BR"/>
        </w:rPr>
      </w:pPr>
      <w:r w:rsidRPr="008E63BB">
        <w:rPr>
          <w:b/>
          <w:i/>
          <w:u w:val="single"/>
          <w:lang w:val="pt-BR"/>
        </w:rPr>
        <w:t>Đánh giá:</w:t>
      </w:r>
    </w:p>
    <w:p w14:paraId="519B21B8" w14:textId="77777777" w:rsidR="00DC5F42" w:rsidRPr="008E63BB" w:rsidRDefault="00DC5F42" w:rsidP="00885AB5">
      <w:pPr>
        <w:ind w:firstLine="706"/>
        <w:rPr>
          <w:lang w:val="pt-BR"/>
        </w:rPr>
      </w:pPr>
      <w:r w:rsidRPr="008E63BB">
        <w:rPr>
          <w:lang w:val="pt-BR"/>
        </w:rPr>
        <w:t>Về cơ bản phát triển dân số trong ranh giới QH 201</w:t>
      </w:r>
      <w:r w:rsidR="00D0797C" w:rsidRPr="008E63BB">
        <w:rPr>
          <w:lang w:val="pt-BR"/>
        </w:rPr>
        <w:t>9</w:t>
      </w:r>
      <w:r w:rsidRPr="008E63BB">
        <w:rPr>
          <w:lang w:val="pt-BR"/>
        </w:rPr>
        <w:t xml:space="preserve"> và theo </w:t>
      </w:r>
      <w:r w:rsidRPr="008E63BB">
        <w:rPr>
          <w:bCs/>
          <w:szCs w:val="26"/>
          <w:lang w:val="pt-BR"/>
        </w:rPr>
        <w:t>Nghị Quyết số 721</w:t>
      </w:r>
      <w:r w:rsidRPr="008E63BB">
        <w:rPr>
          <w:lang w:val="pt-BR"/>
        </w:rPr>
        <w:t xml:space="preserve">chỉ đạt </w:t>
      </w:r>
      <w:r w:rsidR="003270A4" w:rsidRPr="008E63BB">
        <w:rPr>
          <w:lang w:val="pt-BR"/>
        </w:rPr>
        <w:t>398.188</w:t>
      </w:r>
      <w:r w:rsidRPr="008E63BB">
        <w:rPr>
          <w:lang w:val="pt-BR"/>
        </w:rPr>
        <w:t xml:space="preserve"> người, chưa đạt mức dự báo của QHC 2011 đến năm 2015 là 450.000 người, cần có những tính toán cân nhắc trong dự báo cho Quy hoạch điều chỉnh. Dân số trong khu vực đô thị là 23</w:t>
      </w:r>
      <w:r w:rsidR="003270A4" w:rsidRPr="008E63BB">
        <w:rPr>
          <w:lang w:val="pt-BR"/>
        </w:rPr>
        <w:t>5</w:t>
      </w:r>
      <w:r w:rsidRPr="008E63BB">
        <w:rPr>
          <w:lang w:val="pt-BR"/>
        </w:rPr>
        <w:t>.</w:t>
      </w:r>
      <w:r w:rsidR="003270A4" w:rsidRPr="008E63BB">
        <w:rPr>
          <w:lang w:val="pt-BR"/>
        </w:rPr>
        <w:t>889</w:t>
      </w:r>
      <w:r w:rsidRPr="008E63BB">
        <w:rPr>
          <w:lang w:val="pt-BR"/>
        </w:rPr>
        <w:t xml:space="preserve"> người, và đang có xu hướng giảm, cho thấy sức hút của khu vực nội th</w:t>
      </w:r>
      <w:r w:rsidR="00E2603D" w:rsidRPr="008E63BB">
        <w:rPr>
          <w:lang w:val="pt-BR"/>
        </w:rPr>
        <w:t>ành</w:t>
      </w:r>
      <w:r w:rsidRPr="008E63BB">
        <w:rPr>
          <w:lang w:val="pt-BR"/>
        </w:rPr>
        <w:t xml:space="preserve"> đang yếu đi. </w:t>
      </w:r>
    </w:p>
    <w:p w14:paraId="519B21B9" w14:textId="77777777" w:rsidR="00DC5F42" w:rsidRPr="008E63BB" w:rsidRDefault="00DC5F42" w:rsidP="00885AB5">
      <w:pPr>
        <w:ind w:firstLine="706"/>
        <w:rPr>
          <w:lang w:val="pt-BR"/>
        </w:rPr>
      </w:pPr>
      <w:r w:rsidRPr="008E63BB">
        <w:rPr>
          <w:bCs/>
          <w:szCs w:val="26"/>
          <w:lang w:val="pt-BR"/>
        </w:rPr>
        <w:t>Nguồn nhân lực khá dồi dào, trẻ sẽ tạo cơ hội cho việc phát triển các hoạt động kinh tế nhưng tỷ lệ lao động có chất lượng cao còn thấp, chưa khai thác được thế mạnh là trung tâm đào tạo của thành phố. Trong tương lai cần có những định hướng mới nhằm thu hút lao động có chất lượng cao, chuyển dịch lao động theo các lĩnh vực kinh tế nhằm tăng hiệu quả và thu nhập.</w:t>
      </w:r>
    </w:p>
    <w:p w14:paraId="519B21BA" w14:textId="77777777" w:rsidR="00DC5F42" w:rsidRPr="008E63BB" w:rsidRDefault="00DC5F42" w:rsidP="00885AB5">
      <w:pPr>
        <w:pStyle w:val="Heading3"/>
        <w:spacing w:before="60" w:line="26" w:lineRule="atLeast"/>
      </w:pPr>
      <w:bookmarkStart w:id="141" w:name="_Toc330799132"/>
      <w:bookmarkStart w:id="142" w:name="_Toc341519019"/>
      <w:bookmarkStart w:id="143" w:name="_Toc341519120"/>
      <w:bookmarkStart w:id="144" w:name="_Toc344928433"/>
      <w:bookmarkStart w:id="145" w:name="_Toc345538341"/>
      <w:bookmarkStart w:id="146" w:name="_Toc493424435"/>
      <w:bookmarkStart w:id="147" w:name="_Toc21954824"/>
      <w:bookmarkStart w:id="148" w:name="_Toc21955323"/>
      <w:bookmarkStart w:id="149" w:name="_Toc24361896"/>
      <w:bookmarkStart w:id="150" w:name="_Toc41042117"/>
      <w:bookmarkStart w:id="151" w:name="_Toc47524655"/>
      <w:r w:rsidRPr="008E63BB">
        <w:lastRenderedPageBreak/>
        <w:t>2.3.2. Hiện trạng về phát triển kinh tế xã hội</w:t>
      </w:r>
      <w:bookmarkEnd w:id="141"/>
      <w:bookmarkEnd w:id="142"/>
      <w:bookmarkEnd w:id="143"/>
      <w:bookmarkEnd w:id="144"/>
      <w:bookmarkEnd w:id="145"/>
      <w:bookmarkEnd w:id="146"/>
      <w:bookmarkEnd w:id="147"/>
      <w:bookmarkEnd w:id="148"/>
      <w:bookmarkEnd w:id="149"/>
      <w:bookmarkEnd w:id="150"/>
      <w:bookmarkEnd w:id="151"/>
    </w:p>
    <w:p w14:paraId="519B21BB" w14:textId="77777777" w:rsidR="00DC5F42" w:rsidRPr="008E63BB" w:rsidRDefault="00DC5F42" w:rsidP="00885AB5">
      <w:pPr>
        <w:ind w:hanging="90"/>
        <w:rPr>
          <w:i/>
          <w:lang w:val="pt-BR"/>
        </w:rPr>
      </w:pPr>
      <w:r w:rsidRPr="008E63BB">
        <w:rPr>
          <w:i/>
          <w:szCs w:val="26"/>
          <w:lang w:val="pt-BR" w:eastAsia="vi-VN"/>
        </w:rPr>
        <w:tab/>
        <w:t>a. Toàn tỉnh  Nam Định</w:t>
      </w:r>
    </w:p>
    <w:p w14:paraId="519B21BC" w14:textId="77777777" w:rsidR="00E2603D" w:rsidRPr="008E63BB" w:rsidRDefault="00E2603D" w:rsidP="00E2603D">
      <w:pPr>
        <w:ind w:firstLine="720"/>
        <w:rPr>
          <w:bCs/>
          <w:szCs w:val="26"/>
          <w:lang w:val="pt-BR"/>
        </w:rPr>
      </w:pPr>
      <w:r w:rsidRPr="008E63BB">
        <w:rPr>
          <w:bCs/>
          <w:szCs w:val="26"/>
          <w:lang w:val="pt-BR"/>
        </w:rPr>
        <w:t>Năm 2019, tổng sản phẩm GRDP đạt 44.171 tỷ đồng (tăng 8,86%/năm), đứng thứ 8 trong Vùng Đồng bằng sông Hồng, cao hơn mức bình quân chung của cả nước (7,02%). Trong đó, khu vực nông, lâm nghiệp và thủy sản 9.179 tỷ đồng, tăng 2,75%. Khu vực công nghiệp và xây dựng 17.630 tỷ đồng, tăng 14,65. Khu vực dịch vụ 16.007 tỷ đồng. Thu nhập bình quân đầu người  đạt 40,2 triệu đồng/ người (cả nước đạt 58,5 triệu đồng). Cơ cấu kinh tế chuyển dịch theo hướng phát triển công nghiệp, xây dựng, dịch vụ (Khu vực nông, lâm nghiệp và thủy sản chiếm tỷ trọng 19%; khu vực công nghiệp và xây dựng chiếm 41%; khu vực dịch vụ chiếm 37%; thuế sản phẩm trừ trợ cấp sản phẩm chiếm 3%). Tốc độ tăng trưởng giá trị sản xuất ngành nông lâm, thủy sản tăng 2,75%, công nghiệp và xây dựng đạt 17.630 tỷ đồng tương đương tăng 14,65% và dịch vụ tăng 6,76%. Thu ngân sách trên địa bàn đạt 5.605,5 tỷ đồng. Tổng chi ngân sách Nhà nước năm 2019 ước đạt 14.159,7 tỷ đồng.</w:t>
      </w:r>
    </w:p>
    <w:p w14:paraId="519B21BD" w14:textId="77777777" w:rsidR="00E2603D" w:rsidRPr="008E63BB" w:rsidRDefault="00E2603D" w:rsidP="00E2603D">
      <w:pPr>
        <w:ind w:firstLine="720"/>
        <w:rPr>
          <w:bCs/>
          <w:szCs w:val="26"/>
          <w:lang w:val="pt-BR"/>
        </w:rPr>
      </w:pPr>
      <w:r w:rsidRPr="008E63BB">
        <w:rPr>
          <w:bCs/>
          <w:szCs w:val="26"/>
          <w:lang w:val="pt-BR"/>
        </w:rPr>
        <w:t xml:space="preserve">GRDP bình quân đầu người đạt 52 triệu đồng ≈ 2.358USD đứng thứ 7 trong Vùng Đồng bằng sông Hồng nhưng thấp hơn mức bình quân chung của cả nước (58,5 triệu đồng ≈ 2.587USD).  </w:t>
      </w:r>
    </w:p>
    <w:p w14:paraId="519B21BE" w14:textId="77777777" w:rsidR="00E2603D" w:rsidRPr="008E63BB" w:rsidRDefault="00E2603D" w:rsidP="00E2603D">
      <w:pPr>
        <w:ind w:firstLine="720"/>
        <w:rPr>
          <w:bCs/>
          <w:szCs w:val="26"/>
          <w:lang w:val="pt-BR"/>
        </w:rPr>
      </w:pPr>
      <w:r w:rsidRPr="008E63BB">
        <w:rPr>
          <w:bCs/>
          <w:szCs w:val="26"/>
          <w:lang w:val="pt-BR"/>
        </w:rPr>
        <w:t>Toàn tỉnh hiện có 8.690 doanh nghiệp đăng ký thành lập với tổng vốn đăng ký là 65.871 tỷ đồng, vốn đăng ký bình quân một doanh nghiệp 7,6 tỷ đồng. Riêng trong năm 2019, có 777 doanh nghiệp đăng ký thành lập mới với tổng vốn đăng ký là 6.300 tỷ đồng, vốn đăng ký bình quân một doanh nghiệp đạt 8,1 tỷ đồng. Bên cạnh đó, còn có 210 doanh nghiệp quay trở lại hoạt động.</w:t>
      </w:r>
    </w:p>
    <w:p w14:paraId="519B21BF" w14:textId="77777777" w:rsidR="00DC5F42" w:rsidRPr="008E63BB" w:rsidRDefault="00E2603D" w:rsidP="00E2603D">
      <w:pPr>
        <w:rPr>
          <w:bCs/>
          <w:i/>
          <w:sz w:val="24"/>
          <w:szCs w:val="24"/>
          <w:lang w:val="pt-BR"/>
        </w:rPr>
      </w:pPr>
      <w:r w:rsidRPr="008E63BB">
        <w:rPr>
          <w:bCs/>
          <w:szCs w:val="26"/>
          <w:lang w:val="pt-BR"/>
        </w:rPr>
        <w:t>Tỷ lệ hộ nghèo 1,53% (cả nước là 3,93%)</w:t>
      </w:r>
      <w:r w:rsidR="00DC5F42" w:rsidRPr="008E63BB">
        <w:rPr>
          <w:bCs/>
          <w:i/>
          <w:sz w:val="24"/>
          <w:szCs w:val="24"/>
          <w:lang w:val="pt-BR"/>
        </w:rPr>
        <w:t>.</w:t>
      </w:r>
    </w:p>
    <w:p w14:paraId="519B21C0" w14:textId="77777777" w:rsidR="00E2603D" w:rsidRPr="008E63BB" w:rsidRDefault="00E2603D" w:rsidP="00E2603D">
      <w:pPr>
        <w:ind w:firstLine="720"/>
        <w:rPr>
          <w:bCs/>
          <w:i/>
          <w:sz w:val="24"/>
          <w:szCs w:val="24"/>
          <w:lang w:val="pt-BR"/>
        </w:rPr>
      </w:pPr>
      <w:r w:rsidRPr="008E63BB">
        <w:rPr>
          <w:bCs/>
          <w:i/>
          <w:sz w:val="24"/>
          <w:szCs w:val="24"/>
          <w:lang w:val="pt-BR"/>
        </w:rPr>
        <w:t>Bảng so sánh tăng trưởng kinh tế các tỉnh trong khu vực Đồng bằng sông Hồng</w:t>
      </w:r>
    </w:p>
    <w:tbl>
      <w:tblPr>
        <w:tblW w:w="9420" w:type="dxa"/>
        <w:tblLook w:val="04A0" w:firstRow="1" w:lastRow="0" w:firstColumn="1" w:lastColumn="0" w:noHBand="0" w:noVBand="1"/>
      </w:tblPr>
      <w:tblGrid>
        <w:gridCol w:w="473"/>
        <w:gridCol w:w="1704"/>
        <w:gridCol w:w="903"/>
        <w:gridCol w:w="683"/>
        <w:gridCol w:w="1027"/>
        <w:gridCol w:w="683"/>
        <w:gridCol w:w="8"/>
        <w:gridCol w:w="648"/>
        <w:gridCol w:w="656"/>
        <w:gridCol w:w="9"/>
        <w:gridCol w:w="647"/>
        <w:gridCol w:w="656"/>
        <w:gridCol w:w="10"/>
        <w:gridCol w:w="646"/>
        <w:gridCol w:w="656"/>
        <w:gridCol w:w="11"/>
      </w:tblGrid>
      <w:tr w:rsidR="00E2603D" w:rsidRPr="008E63BB" w14:paraId="519B21C8" w14:textId="77777777" w:rsidTr="003270A4">
        <w:trPr>
          <w:trHeight w:val="774"/>
        </w:trPr>
        <w:tc>
          <w:tcPr>
            <w:tcW w:w="47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1C1" w14:textId="77777777" w:rsidR="00E2603D" w:rsidRPr="008E63BB" w:rsidRDefault="00E2603D" w:rsidP="00276AC0">
            <w:pPr>
              <w:jc w:val="center"/>
              <w:rPr>
                <w:rFonts w:eastAsia="Times New Roman"/>
                <w:sz w:val="20"/>
                <w:szCs w:val="20"/>
              </w:rPr>
            </w:pPr>
            <w:r w:rsidRPr="008E63BB">
              <w:rPr>
                <w:rFonts w:eastAsia="Times New Roman"/>
                <w:sz w:val="20"/>
                <w:szCs w:val="20"/>
              </w:rPr>
              <w:t>TT</w:t>
            </w:r>
          </w:p>
        </w:tc>
        <w:tc>
          <w:tcPr>
            <w:tcW w:w="170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1C2" w14:textId="77777777" w:rsidR="00E2603D" w:rsidRPr="008E63BB" w:rsidRDefault="00E2603D" w:rsidP="00276AC0">
            <w:pPr>
              <w:jc w:val="center"/>
              <w:rPr>
                <w:rFonts w:eastAsia="Times New Roman"/>
                <w:sz w:val="20"/>
                <w:szCs w:val="20"/>
              </w:rPr>
            </w:pPr>
            <w:r w:rsidRPr="008E63BB">
              <w:rPr>
                <w:rFonts w:eastAsia="Times New Roman"/>
                <w:sz w:val="20"/>
                <w:szCs w:val="20"/>
              </w:rPr>
              <w:t>Danh mục</w:t>
            </w:r>
          </w:p>
        </w:tc>
        <w:tc>
          <w:tcPr>
            <w:tcW w:w="1586" w:type="dxa"/>
            <w:gridSpan w:val="2"/>
            <w:tcBorders>
              <w:top w:val="single" w:sz="4" w:space="0" w:color="auto"/>
              <w:left w:val="nil"/>
              <w:bottom w:val="single" w:sz="4" w:space="0" w:color="auto"/>
              <w:right w:val="single" w:sz="4" w:space="0" w:color="auto"/>
            </w:tcBorders>
            <w:shd w:val="clear" w:color="auto" w:fill="auto"/>
            <w:vAlign w:val="center"/>
            <w:hideMark/>
          </w:tcPr>
          <w:p w14:paraId="519B21C3" w14:textId="77777777" w:rsidR="00E2603D" w:rsidRPr="008E63BB" w:rsidRDefault="00E2603D" w:rsidP="00276AC0">
            <w:pPr>
              <w:jc w:val="center"/>
              <w:rPr>
                <w:rFonts w:eastAsia="Times New Roman"/>
                <w:sz w:val="20"/>
                <w:szCs w:val="20"/>
              </w:rPr>
            </w:pPr>
            <w:r w:rsidRPr="008E63BB">
              <w:rPr>
                <w:rFonts w:eastAsia="Times New Roman"/>
                <w:sz w:val="20"/>
                <w:szCs w:val="20"/>
              </w:rPr>
              <w:t>Tăng trưởng kinh tế (%)</w:t>
            </w:r>
          </w:p>
        </w:tc>
        <w:tc>
          <w:tcPr>
            <w:tcW w:w="1718" w:type="dxa"/>
            <w:gridSpan w:val="3"/>
            <w:tcBorders>
              <w:top w:val="single" w:sz="4" w:space="0" w:color="auto"/>
              <w:left w:val="nil"/>
              <w:bottom w:val="single" w:sz="4" w:space="0" w:color="auto"/>
              <w:right w:val="single" w:sz="4" w:space="0" w:color="auto"/>
            </w:tcBorders>
            <w:shd w:val="clear" w:color="auto" w:fill="auto"/>
            <w:vAlign w:val="center"/>
            <w:hideMark/>
          </w:tcPr>
          <w:p w14:paraId="519B21C4" w14:textId="77777777" w:rsidR="00E2603D" w:rsidRPr="008E63BB" w:rsidRDefault="00E2603D" w:rsidP="00276AC0">
            <w:pPr>
              <w:jc w:val="center"/>
              <w:rPr>
                <w:rFonts w:eastAsia="Times New Roman"/>
                <w:sz w:val="20"/>
                <w:szCs w:val="20"/>
              </w:rPr>
            </w:pPr>
            <w:r w:rsidRPr="008E63BB">
              <w:rPr>
                <w:rFonts w:eastAsia="Times New Roman"/>
                <w:sz w:val="20"/>
                <w:szCs w:val="20"/>
              </w:rPr>
              <w:t>GRDP bình quân đầu người 2018</w:t>
            </w:r>
          </w:p>
        </w:tc>
        <w:tc>
          <w:tcPr>
            <w:tcW w:w="1313" w:type="dxa"/>
            <w:gridSpan w:val="3"/>
            <w:tcBorders>
              <w:top w:val="single" w:sz="4" w:space="0" w:color="auto"/>
              <w:left w:val="nil"/>
              <w:bottom w:val="single" w:sz="4" w:space="0" w:color="auto"/>
              <w:right w:val="single" w:sz="4" w:space="0" w:color="auto"/>
            </w:tcBorders>
            <w:shd w:val="clear" w:color="auto" w:fill="auto"/>
            <w:vAlign w:val="center"/>
            <w:hideMark/>
          </w:tcPr>
          <w:p w14:paraId="519B21C5" w14:textId="77777777" w:rsidR="00E2603D" w:rsidRPr="008E63BB" w:rsidRDefault="00E2603D" w:rsidP="00276AC0">
            <w:pPr>
              <w:jc w:val="center"/>
              <w:rPr>
                <w:rFonts w:eastAsia="Times New Roman"/>
                <w:sz w:val="20"/>
                <w:szCs w:val="20"/>
              </w:rPr>
            </w:pPr>
            <w:r w:rsidRPr="008E63BB">
              <w:rPr>
                <w:rFonts w:eastAsia="Times New Roman"/>
                <w:sz w:val="20"/>
                <w:szCs w:val="20"/>
              </w:rPr>
              <w:t>Tỷ lệ hộ nghèo (%) Năm 2017</w:t>
            </w:r>
          </w:p>
        </w:tc>
        <w:tc>
          <w:tcPr>
            <w:tcW w:w="1313" w:type="dxa"/>
            <w:gridSpan w:val="3"/>
            <w:tcBorders>
              <w:top w:val="single" w:sz="4" w:space="0" w:color="auto"/>
              <w:left w:val="nil"/>
              <w:bottom w:val="single" w:sz="4" w:space="0" w:color="auto"/>
              <w:right w:val="single" w:sz="4" w:space="0" w:color="auto"/>
            </w:tcBorders>
            <w:shd w:val="clear" w:color="auto" w:fill="auto"/>
            <w:vAlign w:val="center"/>
            <w:hideMark/>
          </w:tcPr>
          <w:p w14:paraId="519B21C6" w14:textId="77777777" w:rsidR="00E2603D" w:rsidRPr="008E63BB" w:rsidRDefault="00E2603D" w:rsidP="00276AC0">
            <w:pPr>
              <w:jc w:val="center"/>
              <w:rPr>
                <w:rFonts w:eastAsia="Times New Roman"/>
                <w:sz w:val="20"/>
                <w:szCs w:val="20"/>
              </w:rPr>
            </w:pPr>
            <w:r w:rsidRPr="008E63BB">
              <w:rPr>
                <w:rFonts w:eastAsia="Times New Roman"/>
                <w:sz w:val="20"/>
                <w:szCs w:val="20"/>
              </w:rPr>
              <w:t>Tỷ lệ hộ nghèo (%) Năm 2018</w:t>
            </w:r>
          </w:p>
        </w:tc>
        <w:tc>
          <w:tcPr>
            <w:tcW w:w="1313" w:type="dxa"/>
            <w:gridSpan w:val="3"/>
            <w:tcBorders>
              <w:top w:val="single" w:sz="4" w:space="0" w:color="auto"/>
              <w:left w:val="nil"/>
              <w:bottom w:val="single" w:sz="4" w:space="0" w:color="auto"/>
              <w:right w:val="single" w:sz="4" w:space="0" w:color="auto"/>
            </w:tcBorders>
            <w:shd w:val="clear" w:color="auto" w:fill="auto"/>
            <w:vAlign w:val="center"/>
            <w:hideMark/>
          </w:tcPr>
          <w:p w14:paraId="519B21C7" w14:textId="77777777" w:rsidR="00E2603D" w:rsidRPr="008E63BB" w:rsidRDefault="00E2603D" w:rsidP="00276AC0">
            <w:pPr>
              <w:jc w:val="center"/>
              <w:rPr>
                <w:rFonts w:eastAsia="Times New Roman"/>
                <w:sz w:val="20"/>
                <w:szCs w:val="20"/>
              </w:rPr>
            </w:pPr>
            <w:r w:rsidRPr="008E63BB">
              <w:rPr>
                <w:rFonts w:eastAsia="Times New Roman"/>
                <w:sz w:val="20"/>
                <w:szCs w:val="20"/>
              </w:rPr>
              <w:t>Tỷ lệ hộ nghèo (%) Năm 2019</w:t>
            </w:r>
          </w:p>
        </w:tc>
      </w:tr>
      <w:tr w:rsidR="00E2603D" w:rsidRPr="008E63BB" w14:paraId="519B21D5" w14:textId="77777777" w:rsidTr="003270A4">
        <w:trPr>
          <w:gridAfter w:val="1"/>
          <w:wAfter w:w="11" w:type="dxa"/>
          <w:trHeight w:val="542"/>
        </w:trPr>
        <w:tc>
          <w:tcPr>
            <w:tcW w:w="473" w:type="dxa"/>
            <w:vMerge/>
            <w:tcBorders>
              <w:top w:val="single" w:sz="4" w:space="0" w:color="auto"/>
              <w:left w:val="single" w:sz="4" w:space="0" w:color="auto"/>
              <w:bottom w:val="single" w:sz="4" w:space="0" w:color="auto"/>
              <w:right w:val="single" w:sz="4" w:space="0" w:color="auto"/>
            </w:tcBorders>
            <w:vAlign w:val="center"/>
            <w:hideMark/>
          </w:tcPr>
          <w:p w14:paraId="519B21C9" w14:textId="77777777" w:rsidR="00E2603D" w:rsidRPr="008E63BB" w:rsidRDefault="00E2603D" w:rsidP="00276AC0">
            <w:pPr>
              <w:jc w:val="left"/>
              <w:rPr>
                <w:rFonts w:eastAsia="Times New Roman"/>
                <w:sz w:val="20"/>
                <w:szCs w:val="20"/>
              </w:rPr>
            </w:pPr>
          </w:p>
        </w:tc>
        <w:tc>
          <w:tcPr>
            <w:tcW w:w="1704" w:type="dxa"/>
            <w:vMerge/>
            <w:tcBorders>
              <w:top w:val="single" w:sz="4" w:space="0" w:color="auto"/>
              <w:left w:val="single" w:sz="4" w:space="0" w:color="auto"/>
              <w:bottom w:val="single" w:sz="4" w:space="0" w:color="auto"/>
              <w:right w:val="single" w:sz="4" w:space="0" w:color="auto"/>
            </w:tcBorders>
            <w:vAlign w:val="center"/>
            <w:hideMark/>
          </w:tcPr>
          <w:p w14:paraId="519B21CA" w14:textId="77777777" w:rsidR="00E2603D" w:rsidRPr="008E63BB" w:rsidRDefault="00E2603D" w:rsidP="00276AC0">
            <w:pPr>
              <w:jc w:val="left"/>
              <w:rPr>
                <w:rFonts w:eastAsia="Times New Roman"/>
                <w:sz w:val="20"/>
                <w:szCs w:val="20"/>
              </w:rPr>
            </w:pPr>
          </w:p>
        </w:tc>
        <w:tc>
          <w:tcPr>
            <w:tcW w:w="903" w:type="dxa"/>
            <w:tcBorders>
              <w:top w:val="nil"/>
              <w:left w:val="nil"/>
              <w:bottom w:val="single" w:sz="4" w:space="0" w:color="auto"/>
              <w:right w:val="single" w:sz="4" w:space="0" w:color="auto"/>
            </w:tcBorders>
            <w:shd w:val="clear" w:color="auto" w:fill="auto"/>
            <w:vAlign w:val="center"/>
            <w:hideMark/>
          </w:tcPr>
          <w:p w14:paraId="519B21CB" w14:textId="77777777" w:rsidR="00E2603D" w:rsidRPr="008E63BB" w:rsidRDefault="00E2603D" w:rsidP="00276AC0">
            <w:pPr>
              <w:jc w:val="center"/>
              <w:rPr>
                <w:rFonts w:eastAsia="Times New Roman"/>
                <w:sz w:val="20"/>
                <w:szCs w:val="20"/>
              </w:rPr>
            </w:pPr>
            <w:r w:rsidRPr="008E63BB">
              <w:rPr>
                <w:rFonts w:eastAsia="Times New Roman"/>
                <w:sz w:val="20"/>
                <w:szCs w:val="20"/>
              </w:rPr>
              <w:t>2018</w:t>
            </w:r>
          </w:p>
        </w:tc>
        <w:tc>
          <w:tcPr>
            <w:tcW w:w="683" w:type="dxa"/>
            <w:tcBorders>
              <w:top w:val="nil"/>
              <w:left w:val="nil"/>
              <w:bottom w:val="single" w:sz="4" w:space="0" w:color="auto"/>
              <w:right w:val="single" w:sz="4" w:space="0" w:color="auto"/>
            </w:tcBorders>
            <w:shd w:val="clear" w:color="auto" w:fill="auto"/>
            <w:vAlign w:val="center"/>
            <w:hideMark/>
          </w:tcPr>
          <w:p w14:paraId="519B21CC" w14:textId="77777777" w:rsidR="00E2603D" w:rsidRPr="008E63BB" w:rsidRDefault="00E2603D" w:rsidP="00276AC0">
            <w:pPr>
              <w:jc w:val="center"/>
              <w:rPr>
                <w:rFonts w:eastAsia="Times New Roman"/>
                <w:sz w:val="20"/>
                <w:szCs w:val="20"/>
              </w:rPr>
            </w:pPr>
            <w:r w:rsidRPr="008E63BB">
              <w:rPr>
                <w:rFonts w:eastAsia="Times New Roman"/>
                <w:sz w:val="20"/>
                <w:szCs w:val="20"/>
              </w:rPr>
              <w:t>2019</w:t>
            </w:r>
          </w:p>
        </w:tc>
        <w:tc>
          <w:tcPr>
            <w:tcW w:w="1027" w:type="dxa"/>
            <w:tcBorders>
              <w:top w:val="nil"/>
              <w:left w:val="nil"/>
              <w:bottom w:val="single" w:sz="4" w:space="0" w:color="auto"/>
              <w:right w:val="single" w:sz="4" w:space="0" w:color="auto"/>
            </w:tcBorders>
            <w:shd w:val="clear" w:color="auto" w:fill="auto"/>
            <w:vAlign w:val="center"/>
            <w:hideMark/>
          </w:tcPr>
          <w:p w14:paraId="519B21CD" w14:textId="77777777" w:rsidR="00E2603D" w:rsidRPr="008E63BB" w:rsidRDefault="00E2603D" w:rsidP="00276AC0">
            <w:pPr>
              <w:jc w:val="center"/>
              <w:rPr>
                <w:rFonts w:eastAsia="Times New Roman"/>
                <w:sz w:val="20"/>
                <w:szCs w:val="20"/>
              </w:rPr>
            </w:pPr>
            <w:r w:rsidRPr="008E63BB">
              <w:rPr>
                <w:rFonts w:eastAsia="Times New Roman"/>
                <w:sz w:val="20"/>
                <w:szCs w:val="20"/>
              </w:rPr>
              <w:t>Triệu đồng</w:t>
            </w:r>
          </w:p>
        </w:tc>
        <w:tc>
          <w:tcPr>
            <w:tcW w:w="683" w:type="dxa"/>
            <w:tcBorders>
              <w:top w:val="nil"/>
              <w:left w:val="nil"/>
              <w:bottom w:val="single" w:sz="4" w:space="0" w:color="auto"/>
              <w:right w:val="single" w:sz="4" w:space="0" w:color="auto"/>
            </w:tcBorders>
            <w:shd w:val="clear" w:color="auto" w:fill="auto"/>
            <w:vAlign w:val="center"/>
            <w:hideMark/>
          </w:tcPr>
          <w:p w14:paraId="519B21CE" w14:textId="77777777" w:rsidR="00E2603D" w:rsidRPr="008E63BB" w:rsidRDefault="00E2603D" w:rsidP="00276AC0">
            <w:pPr>
              <w:jc w:val="center"/>
              <w:rPr>
                <w:rFonts w:eastAsia="Times New Roman"/>
                <w:sz w:val="20"/>
                <w:szCs w:val="20"/>
              </w:rPr>
            </w:pPr>
            <w:r w:rsidRPr="008E63BB">
              <w:rPr>
                <w:rFonts w:eastAsia="Times New Roman"/>
                <w:sz w:val="20"/>
                <w:szCs w:val="20"/>
              </w:rPr>
              <w:t>USD</w:t>
            </w:r>
          </w:p>
        </w:tc>
        <w:tc>
          <w:tcPr>
            <w:tcW w:w="656" w:type="dxa"/>
            <w:gridSpan w:val="2"/>
            <w:tcBorders>
              <w:top w:val="nil"/>
              <w:left w:val="nil"/>
              <w:bottom w:val="single" w:sz="4" w:space="0" w:color="auto"/>
              <w:right w:val="single" w:sz="4" w:space="0" w:color="auto"/>
            </w:tcBorders>
            <w:shd w:val="clear" w:color="auto" w:fill="auto"/>
            <w:vAlign w:val="center"/>
            <w:hideMark/>
          </w:tcPr>
          <w:p w14:paraId="519B21CF" w14:textId="77777777" w:rsidR="00E2603D" w:rsidRPr="008E63BB" w:rsidRDefault="00E2603D" w:rsidP="00276AC0">
            <w:pPr>
              <w:jc w:val="center"/>
              <w:rPr>
                <w:rFonts w:eastAsia="Times New Roman"/>
                <w:sz w:val="20"/>
                <w:szCs w:val="20"/>
              </w:rPr>
            </w:pPr>
            <w:r w:rsidRPr="008E63BB">
              <w:rPr>
                <w:rFonts w:eastAsia="Times New Roman"/>
                <w:sz w:val="20"/>
                <w:szCs w:val="20"/>
              </w:rPr>
              <w:t>Tỷ lệ (%)</w:t>
            </w:r>
          </w:p>
        </w:tc>
        <w:tc>
          <w:tcPr>
            <w:tcW w:w="656" w:type="dxa"/>
            <w:tcBorders>
              <w:top w:val="nil"/>
              <w:left w:val="nil"/>
              <w:bottom w:val="single" w:sz="4" w:space="0" w:color="auto"/>
              <w:right w:val="single" w:sz="4" w:space="0" w:color="auto"/>
            </w:tcBorders>
            <w:shd w:val="clear" w:color="auto" w:fill="auto"/>
            <w:vAlign w:val="center"/>
            <w:hideMark/>
          </w:tcPr>
          <w:p w14:paraId="519B21D0" w14:textId="77777777" w:rsidR="00E2603D" w:rsidRPr="008E63BB" w:rsidRDefault="00E2603D" w:rsidP="00276AC0">
            <w:pPr>
              <w:jc w:val="center"/>
              <w:rPr>
                <w:rFonts w:eastAsia="Times New Roman"/>
                <w:sz w:val="20"/>
                <w:szCs w:val="20"/>
              </w:rPr>
            </w:pPr>
            <w:r w:rsidRPr="008E63BB">
              <w:rPr>
                <w:rFonts w:eastAsia="Times New Roman"/>
                <w:sz w:val="20"/>
                <w:szCs w:val="20"/>
              </w:rPr>
              <w:t>Xếp hạng</w:t>
            </w:r>
          </w:p>
        </w:tc>
        <w:tc>
          <w:tcPr>
            <w:tcW w:w="656" w:type="dxa"/>
            <w:gridSpan w:val="2"/>
            <w:tcBorders>
              <w:top w:val="nil"/>
              <w:left w:val="nil"/>
              <w:bottom w:val="single" w:sz="4" w:space="0" w:color="auto"/>
              <w:right w:val="single" w:sz="4" w:space="0" w:color="auto"/>
            </w:tcBorders>
            <w:shd w:val="clear" w:color="auto" w:fill="auto"/>
            <w:vAlign w:val="center"/>
            <w:hideMark/>
          </w:tcPr>
          <w:p w14:paraId="519B21D1" w14:textId="77777777" w:rsidR="00E2603D" w:rsidRPr="008E63BB" w:rsidRDefault="00E2603D" w:rsidP="00276AC0">
            <w:pPr>
              <w:jc w:val="center"/>
              <w:rPr>
                <w:rFonts w:eastAsia="Times New Roman"/>
                <w:sz w:val="20"/>
                <w:szCs w:val="20"/>
              </w:rPr>
            </w:pPr>
            <w:r w:rsidRPr="008E63BB">
              <w:rPr>
                <w:rFonts w:eastAsia="Times New Roman"/>
                <w:sz w:val="20"/>
                <w:szCs w:val="20"/>
              </w:rPr>
              <w:t>Tỷ lệ (%)</w:t>
            </w:r>
          </w:p>
        </w:tc>
        <w:tc>
          <w:tcPr>
            <w:tcW w:w="656" w:type="dxa"/>
            <w:tcBorders>
              <w:top w:val="nil"/>
              <w:left w:val="nil"/>
              <w:bottom w:val="single" w:sz="4" w:space="0" w:color="auto"/>
              <w:right w:val="single" w:sz="4" w:space="0" w:color="auto"/>
            </w:tcBorders>
            <w:shd w:val="clear" w:color="auto" w:fill="auto"/>
            <w:vAlign w:val="center"/>
            <w:hideMark/>
          </w:tcPr>
          <w:p w14:paraId="519B21D2" w14:textId="77777777" w:rsidR="00E2603D" w:rsidRPr="008E63BB" w:rsidRDefault="00E2603D" w:rsidP="00276AC0">
            <w:pPr>
              <w:jc w:val="center"/>
              <w:rPr>
                <w:rFonts w:eastAsia="Times New Roman"/>
                <w:sz w:val="20"/>
                <w:szCs w:val="20"/>
              </w:rPr>
            </w:pPr>
            <w:r w:rsidRPr="008E63BB">
              <w:rPr>
                <w:rFonts w:eastAsia="Times New Roman"/>
                <w:sz w:val="20"/>
                <w:szCs w:val="20"/>
              </w:rPr>
              <w:t>Xếp hạng</w:t>
            </w:r>
          </w:p>
        </w:tc>
        <w:tc>
          <w:tcPr>
            <w:tcW w:w="656" w:type="dxa"/>
            <w:gridSpan w:val="2"/>
            <w:tcBorders>
              <w:top w:val="nil"/>
              <w:left w:val="nil"/>
              <w:bottom w:val="single" w:sz="4" w:space="0" w:color="auto"/>
              <w:right w:val="single" w:sz="4" w:space="0" w:color="auto"/>
            </w:tcBorders>
            <w:shd w:val="clear" w:color="auto" w:fill="auto"/>
            <w:vAlign w:val="center"/>
            <w:hideMark/>
          </w:tcPr>
          <w:p w14:paraId="519B21D3" w14:textId="77777777" w:rsidR="00E2603D" w:rsidRPr="008E63BB" w:rsidRDefault="00E2603D" w:rsidP="00276AC0">
            <w:pPr>
              <w:jc w:val="center"/>
              <w:rPr>
                <w:rFonts w:eastAsia="Times New Roman"/>
                <w:sz w:val="20"/>
                <w:szCs w:val="20"/>
              </w:rPr>
            </w:pPr>
            <w:r w:rsidRPr="008E63BB">
              <w:rPr>
                <w:rFonts w:eastAsia="Times New Roman"/>
                <w:sz w:val="20"/>
                <w:szCs w:val="20"/>
              </w:rPr>
              <w:t>Tỷ lệ (%)</w:t>
            </w:r>
          </w:p>
        </w:tc>
        <w:tc>
          <w:tcPr>
            <w:tcW w:w="656" w:type="dxa"/>
            <w:tcBorders>
              <w:top w:val="nil"/>
              <w:left w:val="nil"/>
              <w:bottom w:val="single" w:sz="4" w:space="0" w:color="auto"/>
              <w:right w:val="single" w:sz="4" w:space="0" w:color="auto"/>
            </w:tcBorders>
            <w:shd w:val="clear" w:color="auto" w:fill="auto"/>
            <w:vAlign w:val="center"/>
            <w:hideMark/>
          </w:tcPr>
          <w:p w14:paraId="519B21D4" w14:textId="77777777" w:rsidR="00E2603D" w:rsidRPr="008E63BB" w:rsidRDefault="00E2603D" w:rsidP="00276AC0">
            <w:pPr>
              <w:jc w:val="center"/>
              <w:rPr>
                <w:rFonts w:eastAsia="Times New Roman"/>
                <w:sz w:val="20"/>
                <w:szCs w:val="20"/>
              </w:rPr>
            </w:pPr>
            <w:r w:rsidRPr="008E63BB">
              <w:rPr>
                <w:rFonts w:eastAsia="Times New Roman"/>
                <w:sz w:val="20"/>
                <w:szCs w:val="20"/>
              </w:rPr>
              <w:t>Xếp hạng</w:t>
            </w:r>
          </w:p>
        </w:tc>
      </w:tr>
      <w:tr w:rsidR="00E2603D" w:rsidRPr="008E63BB" w14:paraId="519B21E2"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1D6" w14:textId="77777777" w:rsidR="00E2603D" w:rsidRPr="008E63BB" w:rsidRDefault="00E2603D" w:rsidP="00276AC0">
            <w:pPr>
              <w:jc w:val="right"/>
              <w:rPr>
                <w:rFonts w:eastAsia="Times New Roman"/>
                <w:sz w:val="20"/>
                <w:szCs w:val="20"/>
              </w:rPr>
            </w:pPr>
            <w:r w:rsidRPr="008E63BB">
              <w:rPr>
                <w:rFonts w:eastAsia="Times New Roman"/>
                <w:sz w:val="20"/>
                <w:szCs w:val="20"/>
              </w:rPr>
              <w:t>1</w:t>
            </w:r>
          </w:p>
        </w:tc>
        <w:tc>
          <w:tcPr>
            <w:tcW w:w="1704" w:type="dxa"/>
            <w:tcBorders>
              <w:top w:val="nil"/>
              <w:left w:val="nil"/>
              <w:bottom w:val="single" w:sz="4" w:space="0" w:color="auto"/>
              <w:right w:val="single" w:sz="4" w:space="0" w:color="auto"/>
            </w:tcBorders>
            <w:shd w:val="clear" w:color="auto" w:fill="auto"/>
            <w:noWrap/>
            <w:vAlign w:val="bottom"/>
            <w:hideMark/>
          </w:tcPr>
          <w:p w14:paraId="519B21D7" w14:textId="77777777" w:rsidR="00E2603D" w:rsidRPr="008E63BB" w:rsidRDefault="00E2603D" w:rsidP="00276AC0">
            <w:pPr>
              <w:jc w:val="left"/>
              <w:rPr>
                <w:rFonts w:eastAsia="Times New Roman"/>
                <w:sz w:val="20"/>
                <w:szCs w:val="20"/>
              </w:rPr>
            </w:pPr>
            <w:r w:rsidRPr="008E63BB">
              <w:rPr>
                <w:rFonts w:eastAsia="Times New Roman"/>
                <w:sz w:val="20"/>
                <w:szCs w:val="20"/>
              </w:rPr>
              <w:t>Nam Định</w:t>
            </w:r>
          </w:p>
        </w:tc>
        <w:tc>
          <w:tcPr>
            <w:tcW w:w="903" w:type="dxa"/>
            <w:tcBorders>
              <w:top w:val="nil"/>
              <w:left w:val="nil"/>
              <w:bottom w:val="single" w:sz="4" w:space="0" w:color="auto"/>
              <w:right w:val="single" w:sz="4" w:space="0" w:color="auto"/>
            </w:tcBorders>
            <w:shd w:val="clear" w:color="auto" w:fill="auto"/>
            <w:noWrap/>
            <w:vAlign w:val="bottom"/>
            <w:hideMark/>
          </w:tcPr>
          <w:p w14:paraId="519B21D8" w14:textId="77777777" w:rsidR="00E2603D" w:rsidRPr="008E63BB" w:rsidRDefault="00E2603D" w:rsidP="00276AC0">
            <w:pPr>
              <w:jc w:val="right"/>
              <w:rPr>
                <w:rFonts w:eastAsia="Times New Roman"/>
                <w:sz w:val="20"/>
                <w:szCs w:val="20"/>
              </w:rPr>
            </w:pPr>
            <w:r w:rsidRPr="008E63BB">
              <w:rPr>
                <w:rFonts w:eastAsia="Times New Roman"/>
                <w:sz w:val="20"/>
                <w:szCs w:val="20"/>
              </w:rPr>
              <w:t>8,1</w:t>
            </w:r>
          </w:p>
        </w:tc>
        <w:tc>
          <w:tcPr>
            <w:tcW w:w="683" w:type="dxa"/>
            <w:tcBorders>
              <w:top w:val="nil"/>
              <w:left w:val="nil"/>
              <w:bottom w:val="single" w:sz="4" w:space="0" w:color="auto"/>
              <w:right w:val="single" w:sz="4" w:space="0" w:color="auto"/>
            </w:tcBorders>
            <w:shd w:val="clear" w:color="auto" w:fill="auto"/>
            <w:noWrap/>
            <w:vAlign w:val="bottom"/>
            <w:hideMark/>
          </w:tcPr>
          <w:p w14:paraId="519B21D9" w14:textId="77777777" w:rsidR="00E2603D" w:rsidRPr="008E63BB" w:rsidRDefault="00E2603D" w:rsidP="00276AC0">
            <w:pPr>
              <w:jc w:val="right"/>
              <w:rPr>
                <w:rFonts w:eastAsia="Times New Roman"/>
                <w:sz w:val="20"/>
                <w:szCs w:val="20"/>
              </w:rPr>
            </w:pPr>
            <w:r w:rsidRPr="008E63BB">
              <w:rPr>
                <w:rFonts w:eastAsia="Times New Roman"/>
                <w:sz w:val="20"/>
                <w:szCs w:val="20"/>
              </w:rPr>
              <w:t>8,86</w:t>
            </w:r>
          </w:p>
        </w:tc>
        <w:tc>
          <w:tcPr>
            <w:tcW w:w="1027" w:type="dxa"/>
            <w:tcBorders>
              <w:top w:val="nil"/>
              <w:left w:val="nil"/>
              <w:bottom w:val="single" w:sz="4" w:space="0" w:color="auto"/>
              <w:right w:val="single" w:sz="4" w:space="0" w:color="auto"/>
            </w:tcBorders>
            <w:shd w:val="clear" w:color="000000" w:fill="F8F9FA"/>
            <w:vAlign w:val="center"/>
            <w:hideMark/>
          </w:tcPr>
          <w:p w14:paraId="519B21DA" w14:textId="77777777" w:rsidR="00E2603D" w:rsidRPr="008E63BB" w:rsidRDefault="00E2603D" w:rsidP="00276AC0">
            <w:pPr>
              <w:jc w:val="right"/>
              <w:rPr>
                <w:rFonts w:eastAsia="Times New Roman"/>
                <w:sz w:val="20"/>
                <w:szCs w:val="20"/>
              </w:rPr>
            </w:pPr>
            <w:r w:rsidRPr="008E63BB">
              <w:rPr>
                <w:rFonts w:eastAsia="Times New Roman"/>
                <w:sz w:val="20"/>
                <w:szCs w:val="20"/>
              </w:rPr>
              <w:t>52,0</w:t>
            </w:r>
          </w:p>
        </w:tc>
        <w:tc>
          <w:tcPr>
            <w:tcW w:w="683" w:type="dxa"/>
            <w:tcBorders>
              <w:top w:val="nil"/>
              <w:left w:val="nil"/>
              <w:bottom w:val="single" w:sz="4" w:space="0" w:color="auto"/>
              <w:right w:val="single" w:sz="4" w:space="0" w:color="auto"/>
            </w:tcBorders>
            <w:shd w:val="clear" w:color="000000" w:fill="F8F9FA"/>
            <w:vAlign w:val="center"/>
            <w:hideMark/>
          </w:tcPr>
          <w:p w14:paraId="519B21DB" w14:textId="77777777" w:rsidR="00E2603D" w:rsidRPr="008E63BB" w:rsidRDefault="00E2603D" w:rsidP="00276AC0">
            <w:pPr>
              <w:jc w:val="right"/>
              <w:rPr>
                <w:rFonts w:eastAsia="Times New Roman"/>
                <w:sz w:val="20"/>
                <w:szCs w:val="20"/>
              </w:rPr>
            </w:pPr>
            <w:r w:rsidRPr="008E63BB">
              <w:rPr>
                <w:rFonts w:eastAsia="Times New Roman"/>
                <w:sz w:val="20"/>
                <w:szCs w:val="20"/>
              </w:rPr>
              <w:t>2.358</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DC" w14:textId="77777777" w:rsidR="00E2603D" w:rsidRPr="008E63BB" w:rsidRDefault="00E2603D" w:rsidP="00276AC0">
            <w:pPr>
              <w:jc w:val="right"/>
              <w:rPr>
                <w:rFonts w:eastAsia="Times New Roman"/>
                <w:sz w:val="20"/>
                <w:szCs w:val="20"/>
              </w:rPr>
            </w:pPr>
            <w:r w:rsidRPr="008E63BB">
              <w:rPr>
                <w:rFonts w:eastAsia="Times New Roman"/>
                <w:sz w:val="20"/>
                <w:szCs w:val="20"/>
              </w:rPr>
              <w:t>3,91</w:t>
            </w:r>
          </w:p>
        </w:tc>
        <w:tc>
          <w:tcPr>
            <w:tcW w:w="656" w:type="dxa"/>
            <w:tcBorders>
              <w:top w:val="nil"/>
              <w:left w:val="nil"/>
              <w:bottom w:val="single" w:sz="4" w:space="0" w:color="auto"/>
              <w:right w:val="single" w:sz="4" w:space="0" w:color="auto"/>
            </w:tcBorders>
            <w:shd w:val="clear" w:color="auto" w:fill="auto"/>
            <w:noWrap/>
            <w:vAlign w:val="bottom"/>
            <w:hideMark/>
          </w:tcPr>
          <w:p w14:paraId="519B21DD" w14:textId="77777777" w:rsidR="00E2603D" w:rsidRPr="008E63BB" w:rsidRDefault="00E2603D" w:rsidP="00276AC0">
            <w:pPr>
              <w:jc w:val="right"/>
              <w:rPr>
                <w:rFonts w:eastAsia="Times New Roman"/>
                <w:sz w:val="20"/>
                <w:szCs w:val="20"/>
              </w:rPr>
            </w:pPr>
            <w:r w:rsidRPr="008E63BB">
              <w:rPr>
                <w:rFonts w:eastAsia="Times New Roman"/>
                <w:sz w:val="20"/>
                <w:szCs w:val="20"/>
              </w:rPr>
              <w:t>51</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DE" w14:textId="77777777" w:rsidR="00E2603D" w:rsidRPr="008E63BB" w:rsidRDefault="00E2603D" w:rsidP="00276AC0">
            <w:pPr>
              <w:jc w:val="right"/>
              <w:rPr>
                <w:rFonts w:eastAsia="Times New Roman"/>
                <w:sz w:val="20"/>
                <w:szCs w:val="20"/>
              </w:rPr>
            </w:pPr>
            <w:r w:rsidRPr="008E63BB">
              <w:rPr>
                <w:rFonts w:eastAsia="Times New Roman"/>
                <w:sz w:val="20"/>
                <w:szCs w:val="20"/>
              </w:rPr>
              <w:t>2,15</w:t>
            </w:r>
          </w:p>
        </w:tc>
        <w:tc>
          <w:tcPr>
            <w:tcW w:w="656" w:type="dxa"/>
            <w:tcBorders>
              <w:top w:val="nil"/>
              <w:left w:val="nil"/>
              <w:bottom w:val="single" w:sz="4" w:space="0" w:color="auto"/>
              <w:right w:val="single" w:sz="4" w:space="0" w:color="auto"/>
            </w:tcBorders>
            <w:shd w:val="clear" w:color="auto" w:fill="auto"/>
            <w:noWrap/>
            <w:vAlign w:val="bottom"/>
            <w:hideMark/>
          </w:tcPr>
          <w:p w14:paraId="519B21DF" w14:textId="77777777" w:rsidR="00E2603D" w:rsidRPr="008E63BB" w:rsidRDefault="00E2603D" w:rsidP="00276AC0">
            <w:pPr>
              <w:jc w:val="right"/>
              <w:rPr>
                <w:rFonts w:eastAsia="Times New Roman"/>
                <w:sz w:val="20"/>
                <w:szCs w:val="20"/>
              </w:rPr>
            </w:pPr>
            <w:r w:rsidRPr="008E63BB">
              <w:rPr>
                <w:rFonts w:eastAsia="Times New Roman"/>
                <w:sz w:val="20"/>
                <w:szCs w:val="20"/>
              </w:rPr>
              <w:t>51</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E0" w14:textId="77777777" w:rsidR="00E2603D" w:rsidRPr="008E63BB" w:rsidRDefault="00E2603D" w:rsidP="00276AC0">
            <w:pPr>
              <w:jc w:val="right"/>
              <w:rPr>
                <w:rFonts w:eastAsia="Times New Roman"/>
                <w:sz w:val="20"/>
                <w:szCs w:val="20"/>
              </w:rPr>
            </w:pPr>
            <w:r w:rsidRPr="008E63BB">
              <w:rPr>
                <w:rFonts w:eastAsia="Times New Roman"/>
                <w:sz w:val="20"/>
                <w:szCs w:val="20"/>
              </w:rPr>
              <w:t>1,53</w:t>
            </w:r>
          </w:p>
        </w:tc>
        <w:tc>
          <w:tcPr>
            <w:tcW w:w="656" w:type="dxa"/>
            <w:tcBorders>
              <w:top w:val="nil"/>
              <w:left w:val="nil"/>
              <w:bottom w:val="single" w:sz="4" w:space="0" w:color="auto"/>
              <w:right w:val="single" w:sz="4" w:space="0" w:color="auto"/>
            </w:tcBorders>
            <w:shd w:val="clear" w:color="auto" w:fill="auto"/>
            <w:noWrap/>
            <w:vAlign w:val="bottom"/>
            <w:hideMark/>
          </w:tcPr>
          <w:p w14:paraId="519B21E1"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1EF"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1E3" w14:textId="77777777" w:rsidR="00E2603D" w:rsidRPr="008E63BB" w:rsidRDefault="00E2603D" w:rsidP="00276AC0">
            <w:pPr>
              <w:jc w:val="right"/>
              <w:rPr>
                <w:rFonts w:eastAsia="Times New Roman"/>
                <w:sz w:val="20"/>
                <w:szCs w:val="20"/>
              </w:rPr>
            </w:pPr>
            <w:r w:rsidRPr="008E63BB">
              <w:rPr>
                <w:rFonts w:eastAsia="Times New Roman"/>
                <w:sz w:val="20"/>
                <w:szCs w:val="20"/>
              </w:rPr>
              <w:t>2</w:t>
            </w:r>
          </w:p>
        </w:tc>
        <w:tc>
          <w:tcPr>
            <w:tcW w:w="1704" w:type="dxa"/>
            <w:tcBorders>
              <w:top w:val="nil"/>
              <w:left w:val="nil"/>
              <w:bottom w:val="single" w:sz="4" w:space="0" w:color="auto"/>
              <w:right w:val="single" w:sz="4" w:space="0" w:color="auto"/>
            </w:tcBorders>
            <w:shd w:val="clear" w:color="auto" w:fill="auto"/>
            <w:noWrap/>
            <w:vAlign w:val="bottom"/>
            <w:hideMark/>
          </w:tcPr>
          <w:p w14:paraId="519B21E4" w14:textId="77777777" w:rsidR="00E2603D" w:rsidRPr="008E63BB" w:rsidRDefault="00E2603D" w:rsidP="00276AC0">
            <w:pPr>
              <w:jc w:val="left"/>
              <w:rPr>
                <w:rFonts w:eastAsia="Times New Roman"/>
                <w:sz w:val="20"/>
                <w:szCs w:val="20"/>
              </w:rPr>
            </w:pPr>
            <w:r w:rsidRPr="008E63BB">
              <w:rPr>
                <w:rFonts w:eastAsia="Times New Roman"/>
                <w:sz w:val="20"/>
                <w:szCs w:val="20"/>
              </w:rPr>
              <w:t>Hải Phòng</w:t>
            </w:r>
          </w:p>
        </w:tc>
        <w:tc>
          <w:tcPr>
            <w:tcW w:w="903" w:type="dxa"/>
            <w:tcBorders>
              <w:top w:val="nil"/>
              <w:left w:val="nil"/>
              <w:bottom w:val="single" w:sz="4" w:space="0" w:color="auto"/>
              <w:right w:val="single" w:sz="4" w:space="0" w:color="auto"/>
            </w:tcBorders>
            <w:shd w:val="clear" w:color="auto" w:fill="auto"/>
            <w:noWrap/>
            <w:vAlign w:val="bottom"/>
            <w:hideMark/>
          </w:tcPr>
          <w:p w14:paraId="519B21E5" w14:textId="77777777" w:rsidR="00E2603D" w:rsidRPr="008E63BB" w:rsidRDefault="00E2603D" w:rsidP="00276AC0">
            <w:pPr>
              <w:jc w:val="right"/>
              <w:rPr>
                <w:rFonts w:eastAsia="Times New Roman"/>
                <w:sz w:val="20"/>
                <w:szCs w:val="20"/>
              </w:rPr>
            </w:pPr>
            <w:r w:rsidRPr="008E63BB">
              <w:rPr>
                <w:rFonts w:eastAsia="Times New Roman"/>
                <w:sz w:val="20"/>
                <w:szCs w:val="20"/>
              </w:rPr>
              <w:t>16,25</w:t>
            </w:r>
          </w:p>
        </w:tc>
        <w:tc>
          <w:tcPr>
            <w:tcW w:w="683" w:type="dxa"/>
            <w:tcBorders>
              <w:top w:val="nil"/>
              <w:left w:val="nil"/>
              <w:bottom w:val="single" w:sz="4" w:space="0" w:color="auto"/>
              <w:right w:val="single" w:sz="4" w:space="0" w:color="auto"/>
            </w:tcBorders>
            <w:shd w:val="clear" w:color="auto" w:fill="auto"/>
            <w:noWrap/>
            <w:vAlign w:val="bottom"/>
            <w:hideMark/>
          </w:tcPr>
          <w:p w14:paraId="519B21E6" w14:textId="77777777" w:rsidR="00E2603D" w:rsidRPr="008E63BB" w:rsidRDefault="00E2603D" w:rsidP="00276AC0">
            <w:pPr>
              <w:jc w:val="right"/>
              <w:rPr>
                <w:rFonts w:eastAsia="Times New Roman"/>
                <w:sz w:val="20"/>
                <w:szCs w:val="20"/>
              </w:rPr>
            </w:pPr>
            <w:r w:rsidRPr="008E63BB">
              <w:rPr>
                <w:rFonts w:eastAsia="Times New Roman"/>
                <w:sz w:val="20"/>
                <w:szCs w:val="20"/>
              </w:rPr>
              <w:t>16,68</w:t>
            </w:r>
          </w:p>
        </w:tc>
        <w:tc>
          <w:tcPr>
            <w:tcW w:w="1027" w:type="dxa"/>
            <w:tcBorders>
              <w:top w:val="nil"/>
              <w:left w:val="nil"/>
              <w:bottom w:val="single" w:sz="4" w:space="0" w:color="auto"/>
              <w:right w:val="single" w:sz="4" w:space="0" w:color="auto"/>
            </w:tcBorders>
            <w:shd w:val="clear" w:color="000000" w:fill="F8F9FA"/>
            <w:vAlign w:val="center"/>
            <w:hideMark/>
          </w:tcPr>
          <w:p w14:paraId="519B21E7" w14:textId="77777777" w:rsidR="00E2603D" w:rsidRPr="008E63BB" w:rsidRDefault="00E2603D" w:rsidP="00276AC0">
            <w:pPr>
              <w:jc w:val="right"/>
              <w:rPr>
                <w:rFonts w:eastAsia="Times New Roman"/>
                <w:sz w:val="20"/>
                <w:szCs w:val="20"/>
              </w:rPr>
            </w:pPr>
            <w:r w:rsidRPr="008E63BB">
              <w:rPr>
                <w:rFonts w:eastAsia="Times New Roman"/>
                <w:sz w:val="20"/>
                <w:szCs w:val="20"/>
              </w:rPr>
              <w:t>97,1</w:t>
            </w:r>
          </w:p>
        </w:tc>
        <w:tc>
          <w:tcPr>
            <w:tcW w:w="683" w:type="dxa"/>
            <w:tcBorders>
              <w:top w:val="nil"/>
              <w:left w:val="nil"/>
              <w:bottom w:val="single" w:sz="4" w:space="0" w:color="auto"/>
              <w:right w:val="single" w:sz="4" w:space="0" w:color="auto"/>
            </w:tcBorders>
            <w:shd w:val="clear" w:color="000000" w:fill="F8F9FA"/>
            <w:vAlign w:val="center"/>
            <w:hideMark/>
          </w:tcPr>
          <w:p w14:paraId="519B21E8" w14:textId="77777777" w:rsidR="00E2603D" w:rsidRPr="008E63BB" w:rsidRDefault="00E2603D" w:rsidP="00276AC0">
            <w:pPr>
              <w:jc w:val="right"/>
              <w:rPr>
                <w:rFonts w:eastAsia="Times New Roman"/>
                <w:sz w:val="20"/>
                <w:szCs w:val="20"/>
              </w:rPr>
            </w:pPr>
            <w:r w:rsidRPr="008E63BB">
              <w:rPr>
                <w:rFonts w:eastAsia="Times New Roman"/>
                <w:sz w:val="20"/>
                <w:szCs w:val="20"/>
              </w:rPr>
              <w:t>4.217</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E9" w14:textId="77777777" w:rsidR="00E2603D" w:rsidRPr="008E63BB" w:rsidRDefault="00E2603D" w:rsidP="00276AC0">
            <w:pPr>
              <w:jc w:val="right"/>
              <w:rPr>
                <w:rFonts w:eastAsia="Times New Roman"/>
                <w:sz w:val="20"/>
                <w:szCs w:val="20"/>
              </w:rPr>
            </w:pPr>
            <w:r w:rsidRPr="008E63BB">
              <w:rPr>
                <w:rFonts w:eastAsia="Times New Roman"/>
                <w:sz w:val="20"/>
                <w:szCs w:val="20"/>
              </w:rPr>
              <w:t>2,06</w:t>
            </w:r>
          </w:p>
        </w:tc>
        <w:tc>
          <w:tcPr>
            <w:tcW w:w="656" w:type="dxa"/>
            <w:tcBorders>
              <w:top w:val="nil"/>
              <w:left w:val="nil"/>
              <w:bottom w:val="single" w:sz="4" w:space="0" w:color="auto"/>
              <w:right w:val="single" w:sz="4" w:space="0" w:color="auto"/>
            </w:tcBorders>
            <w:shd w:val="clear" w:color="auto" w:fill="auto"/>
            <w:noWrap/>
            <w:vAlign w:val="bottom"/>
            <w:hideMark/>
          </w:tcPr>
          <w:p w14:paraId="519B21EA" w14:textId="77777777" w:rsidR="00E2603D" w:rsidRPr="008E63BB" w:rsidRDefault="00E2603D" w:rsidP="00276AC0">
            <w:pPr>
              <w:jc w:val="right"/>
              <w:rPr>
                <w:rFonts w:eastAsia="Times New Roman"/>
                <w:sz w:val="20"/>
                <w:szCs w:val="20"/>
              </w:rPr>
            </w:pPr>
            <w:r w:rsidRPr="008E63BB">
              <w:rPr>
                <w:rFonts w:eastAsia="Times New Roman"/>
                <w:sz w:val="20"/>
                <w:szCs w:val="20"/>
              </w:rPr>
              <w:t>55</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EB" w14:textId="77777777" w:rsidR="00E2603D" w:rsidRPr="008E63BB" w:rsidRDefault="00E2603D" w:rsidP="00276AC0">
            <w:pPr>
              <w:jc w:val="right"/>
              <w:rPr>
                <w:rFonts w:eastAsia="Times New Roman"/>
                <w:sz w:val="20"/>
                <w:szCs w:val="20"/>
              </w:rPr>
            </w:pPr>
            <w:r w:rsidRPr="008E63BB">
              <w:rPr>
                <w:rFonts w:eastAsia="Times New Roman"/>
                <w:sz w:val="20"/>
                <w:szCs w:val="20"/>
              </w:rPr>
              <w:t>1,41</w:t>
            </w:r>
          </w:p>
        </w:tc>
        <w:tc>
          <w:tcPr>
            <w:tcW w:w="656" w:type="dxa"/>
            <w:tcBorders>
              <w:top w:val="nil"/>
              <w:left w:val="nil"/>
              <w:bottom w:val="single" w:sz="4" w:space="0" w:color="auto"/>
              <w:right w:val="single" w:sz="4" w:space="0" w:color="auto"/>
            </w:tcBorders>
            <w:shd w:val="clear" w:color="auto" w:fill="auto"/>
            <w:noWrap/>
            <w:vAlign w:val="bottom"/>
            <w:hideMark/>
          </w:tcPr>
          <w:p w14:paraId="519B21EC" w14:textId="77777777" w:rsidR="00E2603D" w:rsidRPr="008E63BB" w:rsidRDefault="00E2603D" w:rsidP="00276AC0">
            <w:pPr>
              <w:jc w:val="right"/>
              <w:rPr>
                <w:rFonts w:eastAsia="Times New Roman"/>
                <w:sz w:val="20"/>
                <w:szCs w:val="20"/>
              </w:rPr>
            </w:pPr>
            <w:r w:rsidRPr="008E63BB">
              <w:rPr>
                <w:rFonts w:eastAsia="Times New Roman"/>
                <w:sz w:val="20"/>
                <w:szCs w:val="20"/>
              </w:rPr>
              <w:t>55</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ED" w14:textId="77777777" w:rsidR="00E2603D" w:rsidRPr="008E63BB" w:rsidRDefault="00E2603D" w:rsidP="00276AC0">
            <w:pPr>
              <w:jc w:val="right"/>
              <w:rPr>
                <w:rFonts w:eastAsia="Times New Roman"/>
                <w:sz w:val="20"/>
                <w:szCs w:val="20"/>
              </w:rPr>
            </w:pPr>
            <w:r w:rsidRPr="008E63BB">
              <w:rPr>
                <w:rFonts w:eastAsia="Times New Roman"/>
                <w:sz w:val="20"/>
                <w:szCs w:val="20"/>
              </w:rPr>
              <w:t>0,72</w:t>
            </w:r>
          </w:p>
        </w:tc>
        <w:tc>
          <w:tcPr>
            <w:tcW w:w="656" w:type="dxa"/>
            <w:tcBorders>
              <w:top w:val="nil"/>
              <w:left w:val="nil"/>
              <w:bottom w:val="single" w:sz="4" w:space="0" w:color="auto"/>
              <w:right w:val="single" w:sz="4" w:space="0" w:color="auto"/>
            </w:tcBorders>
            <w:shd w:val="clear" w:color="auto" w:fill="auto"/>
            <w:noWrap/>
            <w:vAlign w:val="bottom"/>
            <w:hideMark/>
          </w:tcPr>
          <w:p w14:paraId="519B21EE"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1FC"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1F0" w14:textId="77777777" w:rsidR="00E2603D" w:rsidRPr="008E63BB" w:rsidRDefault="00E2603D" w:rsidP="00276AC0">
            <w:pPr>
              <w:jc w:val="right"/>
              <w:rPr>
                <w:rFonts w:eastAsia="Times New Roman"/>
                <w:sz w:val="20"/>
                <w:szCs w:val="20"/>
              </w:rPr>
            </w:pPr>
            <w:r w:rsidRPr="008E63BB">
              <w:rPr>
                <w:rFonts w:eastAsia="Times New Roman"/>
                <w:sz w:val="20"/>
                <w:szCs w:val="20"/>
              </w:rPr>
              <w:t>3</w:t>
            </w:r>
          </w:p>
        </w:tc>
        <w:tc>
          <w:tcPr>
            <w:tcW w:w="1704" w:type="dxa"/>
            <w:tcBorders>
              <w:top w:val="nil"/>
              <w:left w:val="nil"/>
              <w:bottom w:val="single" w:sz="4" w:space="0" w:color="auto"/>
              <w:right w:val="single" w:sz="4" w:space="0" w:color="auto"/>
            </w:tcBorders>
            <w:shd w:val="clear" w:color="auto" w:fill="auto"/>
            <w:noWrap/>
            <w:vAlign w:val="bottom"/>
            <w:hideMark/>
          </w:tcPr>
          <w:p w14:paraId="519B21F1" w14:textId="77777777" w:rsidR="00E2603D" w:rsidRPr="008E63BB" w:rsidRDefault="00E2603D" w:rsidP="00276AC0">
            <w:pPr>
              <w:jc w:val="left"/>
              <w:rPr>
                <w:rFonts w:eastAsia="Times New Roman"/>
                <w:sz w:val="20"/>
                <w:szCs w:val="20"/>
              </w:rPr>
            </w:pPr>
            <w:r w:rsidRPr="008E63BB">
              <w:rPr>
                <w:rFonts w:eastAsia="Times New Roman"/>
                <w:sz w:val="20"/>
                <w:szCs w:val="20"/>
              </w:rPr>
              <w:t>Quảng Ninh</w:t>
            </w:r>
          </w:p>
        </w:tc>
        <w:tc>
          <w:tcPr>
            <w:tcW w:w="903" w:type="dxa"/>
            <w:tcBorders>
              <w:top w:val="nil"/>
              <w:left w:val="nil"/>
              <w:bottom w:val="single" w:sz="4" w:space="0" w:color="auto"/>
              <w:right w:val="single" w:sz="4" w:space="0" w:color="auto"/>
            </w:tcBorders>
            <w:shd w:val="clear" w:color="auto" w:fill="auto"/>
            <w:noWrap/>
            <w:vAlign w:val="bottom"/>
            <w:hideMark/>
          </w:tcPr>
          <w:p w14:paraId="519B21F2" w14:textId="77777777" w:rsidR="00E2603D" w:rsidRPr="008E63BB" w:rsidRDefault="00E2603D" w:rsidP="00276AC0">
            <w:pPr>
              <w:jc w:val="right"/>
              <w:rPr>
                <w:rFonts w:eastAsia="Times New Roman"/>
                <w:sz w:val="20"/>
                <w:szCs w:val="20"/>
              </w:rPr>
            </w:pPr>
            <w:r w:rsidRPr="008E63BB">
              <w:rPr>
                <w:rFonts w:eastAsia="Times New Roman"/>
                <w:sz w:val="20"/>
                <w:szCs w:val="20"/>
              </w:rPr>
              <w:t>11,1</w:t>
            </w:r>
          </w:p>
        </w:tc>
        <w:tc>
          <w:tcPr>
            <w:tcW w:w="683" w:type="dxa"/>
            <w:tcBorders>
              <w:top w:val="nil"/>
              <w:left w:val="nil"/>
              <w:bottom w:val="single" w:sz="4" w:space="0" w:color="auto"/>
              <w:right w:val="single" w:sz="4" w:space="0" w:color="auto"/>
            </w:tcBorders>
            <w:shd w:val="clear" w:color="auto" w:fill="auto"/>
            <w:noWrap/>
            <w:vAlign w:val="bottom"/>
            <w:hideMark/>
          </w:tcPr>
          <w:p w14:paraId="519B21F3" w14:textId="77777777" w:rsidR="00E2603D" w:rsidRPr="008E63BB" w:rsidRDefault="00E2603D" w:rsidP="00276AC0">
            <w:pPr>
              <w:jc w:val="right"/>
              <w:rPr>
                <w:rFonts w:eastAsia="Times New Roman"/>
                <w:sz w:val="20"/>
                <w:szCs w:val="20"/>
              </w:rPr>
            </w:pPr>
            <w:r w:rsidRPr="008E63BB">
              <w:rPr>
                <w:rFonts w:eastAsia="Times New Roman"/>
                <w:sz w:val="20"/>
                <w:szCs w:val="20"/>
              </w:rPr>
              <w:t>12,1</w:t>
            </w:r>
          </w:p>
        </w:tc>
        <w:tc>
          <w:tcPr>
            <w:tcW w:w="1027" w:type="dxa"/>
            <w:tcBorders>
              <w:top w:val="nil"/>
              <w:left w:val="nil"/>
              <w:bottom w:val="single" w:sz="4" w:space="0" w:color="auto"/>
              <w:right w:val="single" w:sz="4" w:space="0" w:color="auto"/>
            </w:tcBorders>
            <w:shd w:val="clear" w:color="000000" w:fill="F8F9FA"/>
            <w:vAlign w:val="center"/>
            <w:hideMark/>
          </w:tcPr>
          <w:p w14:paraId="519B21F4" w14:textId="77777777" w:rsidR="00E2603D" w:rsidRPr="008E63BB" w:rsidRDefault="00E2603D" w:rsidP="00276AC0">
            <w:pPr>
              <w:jc w:val="right"/>
              <w:rPr>
                <w:rFonts w:eastAsia="Times New Roman"/>
                <w:sz w:val="20"/>
                <w:szCs w:val="20"/>
              </w:rPr>
            </w:pPr>
            <w:r w:rsidRPr="008E63BB">
              <w:rPr>
                <w:rFonts w:eastAsia="Times New Roman"/>
                <w:sz w:val="20"/>
                <w:szCs w:val="20"/>
              </w:rPr>
              <w:t>117,7</w:t>
            </w:r>
          </w:p>
        </w:tc>
        <w:tc>
          <w:tcPr>
            <w:tcW w:w="683" w:type="dxa"/>
            <w:tcBorders>
              <w:top w:val="nil"/>
              <w:left w:val="nil"/>
              <w:bottom w:val="single" w:sz="4" w:space="0" w:color="auto"/>
              <w:right w:val="single" w:sz="4" w:space="0" w:color="auto"/>
            </w:tcBorders>
            <w:shd w:val="clear" w:color="000000" w:fill="F8F9FA"/>
            <w:vAlign w:val="center"/>
            <w:hideMark/>
          </w:tcPr>
          <w:p w14:paraId="519B21F5" w14:textId="77777777" w:rsidR="00E2603D" w:rsidRPr="008E63BB" w:rsidRDefault="00E2603D" w:rsidP="00276AC0">
            <w:pPr>
              <w:jc w:val="right"/>
              <w:rPr>
                <w:rFonts w:eastAsia="Times New Roman"/>
                <w:sz w:val="20"/>
                <w:szCs w:val="20"/>
              </w:rPr>
            </w:pPr>
            <w:r w:rsidRPr="008E63BB">
              <w:rPr>
                <w:rFonts w:eastAsia="Times New Roman"/>
                <w:sz w:val="20"/>
                <w:szCs w:val="20"/>
              </w:rPr>
              <w:t>5.110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F6" w14:textId="77777777" w:rsidR="00E2603D" w:rsidRPr="008E63BB" w:rsidRDefault="00E2603D" w:rsidP="00276AC0">
            <w:pPr>
              <w:jc w:val="right"/>
              <w:rPr>
                <w:rFonts w:eastAsia="Times New Roman"/>
                <w:sz w:val="20"/>
                <w:szCs w:val="20"/>
              </w:rPr>
            </w:pPr>
            <w:r w:rsidRPr="008E63BB">
              <w:rPr>
                <w:rFonts w:eastAsia="Times New Roman"/>
                <w:sz w:val="20"/>
                <w:szCs w:val="20"/>
              </w:rPr>
              <w:t>2,25</w:t>
            </w:r>
          </w:p>
        </w:tc>
        <w:tc>
          <w:tcPr>
            <w:tcW w:w="656" w:type="dxa"/>
            <w:tcBorders>
              <w:top w:val="nil"/>
              <w:left w:val="nil"/>
              <w:bottom w:val="single" w:sz="4" w:space="0" w:color="auto"/>
              <w:right w:val="single" w:sz="4" w:space="0" w:color="auto"/>
            </w:tcBorders>
            <w:shd w:val="clear" w:color="auto" w:fill="auto"/>
            <w:noWrap/>
            <w:vAlign w:val="bottom"/>
            <w:hideMark/>
          </w:tcPr>
          <w:p w14:paraId="519B21F7" w14:textId="77777777" w:rsidR="00E2603D" w:rsidRPr="008E63BB" w:rsidRDefault="00E2603D" w:rsidP="00276AC0">
            <w:pPr>
              <w:jc w:val="right"/>
              <w:rPr>
                <w:rFonts w:eastAsia="Times New Roman"/>
                <w:sz w:val="20"/>
                <w:szCs w:val="20"/>
              </w:rPr>
            </w:pPr>
            <w:r w:rsidRPr="008E63BB">
              <w:rPr>
                <w:rFonts w:eastAsia="Times New Roman"/>
                <w:sz w:val="20"/>
                <w:szCs w:val="20"/>
              </w:rPr>
              <w:t>54</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F8" w14:textId="77777777" w:rsidR="00E2603D" w:rsidRPr="008E63BB" w:rsidRDefault="00E2603D" w:rsidP="00276AC0">
            <w:pPr>
              <w:jc w:val="right"/>
              <w:rPr>
                <w:rFonts w:eastAsia="Times New Roman"/>
                <w:sz w:val="20"/>
                <w:szCs w:val="20"/>
              </w:rPr>
            </w:pPr>
            <w:r w:rsidRPr="008E63BB">
              <w:rPr>
                <w:rFonts w:eastAsia="Times New Roman"/>
                <w:sz w:val="20"/>
                <w:szCs w:val="20"/>
              </w:rPr>
              <w:t>1,2</w:t>
            </w:r>
          </w:p>
        </w:tc>
        <w:tc>
          <w:tcPr>
            <w:tcW w:w="656" w:type="dxa"/>
            <w:tcBorders>
              <w:top w:val="nil"/>
              <w:left w:val="nil"/>
              <w:bottom w:val="single" w:sz="4" w:space="0" w:color="auto"/>
              <w:right w:val="single" w:sz="4" w:space="0" w:color="auto"/>
            </w:tcBorders>
            <w:shd w:val="clear" w:color="auto" w:fill="auto"/>
            <w:noWrap/>
            <w:vAlign w:val="bottom"/>
            <w:hideMark/>
          </w:tcPr>
          <w:p w14:paraId="519B21F9" w14:textId="77777777" w:rsidR="00E2603D" w:rsidRPr="008E63BB" w:rsidRDefault="00E2603D" w:rsidP="00276AC0">
            <w:pPr>
              <w:jc w:val="right"/>
              <w:rPr>
                <w:rFonts w:eastAsia="Times New Roman"/>
                <w:sz w:val="20"/>
                <w:szCs w:val="20"/>
              </w:rPr>
            </w:pPr>
            <w:r w:rsidRPr="008E63BB">
              <w:rPr>
                <w:rFonts w:eastAsia="Times New Roman"/>
                <w:sz w:val="20"/>
                <w:szCs w:val="20"/>
              </w:rPr>
              <w:t>56</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1FA" w14:textId="77777777" w:rsidR="00E2603D" w:rsidRPr="008E63BB" w:rsidRDefault="00E2603D" w:rsidP="00276AC0">
            <w:pPr>
              <w:jc w:val="right"/>
              <w:rPr>
                <w:rFonts w:eastAsia="Times New Roman"/>
                <w:sz w:val="20"/>
                <w:szCs w:val="20"/>
              </w:rPr>
            </w:pPr>
            <w:r w:rsidRPr="008E63BB">
              <w:rPr>
                <w:rFonts w:eastAsia="Times New Roman"/>
                <w:sz w:val="20"/>
                <w:szCs w:val="20"/>
              </w:rPr>
              <w:t>0,36</w:t>
            </w:r>
          </w:p>
        </w:tc>
        <w:tc>
          <w:tcPr>
            <w:tcW w:w="656" w:type="dxa"/>
            <w:tcBorders>
              <w:top w:val="nil"/>
              <w:left w:val="nil"/>
              <w:bottom w:val="single" w:sz="4" w:space="0" w:color="auto"/>
              <w:right w:val="single" w:sz="4" w:space="0" w:color="auto"/>
            </w:tcBorders>
            <w:shd w:val="clear" w:color="auto" w:fill="auto"/>
            <w:noWrap/>
            <w:vAlign w:val="bottom"/>
            <w:hideMark/>
          </w:tcPr>
          <w:p w14:paraId="519B21FB"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09" w14:textId="77777777" w:rsidTr="003270A4">
        <w:trPr>
          <w:gridAfter w:val="1"/>
          <w:wAfter w:w="11" w:type="dxa"/>
          <w:trHeight w:val="294"/>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1FD" w14:textId="77777777" w:rsidR="00E2603D" w:rsidRPr="008E63BB" w:rsidRDefault="00E2603D" w:rsidP="00276AC0">
            <w:pPr>
              <w:jc w:val="right"/>
              <w:rPr>
                <w:rFonts w:eastAsia="Times New Roman"/>
                <w:sz w:val="20"/>
                <w:szCs w:val="20"/>
              </w:rPr>
            </w:pPr>
            <w:r w:rsidRPr="008E63BB">
              <w:rPr>
                <w:rFonts w:eastAsia="Times New Roman"/>
                <w:sz w:val="20"/>
                <w:szCs w:val="20"/>
              </w:rPr>
              <w:t>4</w:t>
            </w:r>
          </w:p>
        </w:tc>
        <w:tc>
          <w:tcPr>
            <w:tcW w:w="1704" w:type="dxa"/>
            <w:tcBorders>
              <w:top w:val="nil"/>
              <w:left w:val="nil"/>
              <w:bottom w:val="single" w:sz="4" w:space="0" w:color="auto"/>
              <w:right w:val="single" w:sz="4" w:space="0" w:color="auto"/>
            </w:tcBorders>
            <w:shd w:val="clear" w:color="auto" w:fill="auto"/>
            <w:noWrap/>
            <w:vAlign w:val="bottom"/>
            <w:hideMark/>
          </w:tcPr>
          <w:p w14:paraId="519B21FE" w14:textId="77777777" w:rsidR="00E2603D" w:rsidRPr="008E63BB" w:rsidRDefault="00E2603D" w:rsidP="00276AC0">
            <w:pPr>
              <w:jc w:val="left"/>
              <w:rPr>
                <w:rFonts w:eastAsia="Times New Roman"/>
                <w:sz w:val="20"/>
                <w:szCs w:val="20"/>
              </w:rPr>
            </w:pPr>
            <w:r w:rsidRPr="008E63BB">
              <w:rPr>
                <w:rFonts w:eastAsia="Times New Roman"/>
                <w:sz w:val="20"/>
                <w:szCs w:val="20"/>
              </w:rPr>
              <w:t>Bắc Ninh</w:t>
            </w:r>
          </w:p>
        </w:tc>
        <w:tc>
          <w:tcPr>
            <w:tcW w:w="903" w:type="dxa"/>
            <w:tcBorders>
              <w:top w:val="nil"/>
              <w:left w:val="nil"/>
              <w:bottom w:val="single" w:sz="4" w:space="0" w:color="auto"/>
              <w:right w:val="single" w:sz="4" w:space="0" w:color="auto"/>
            </w:tcBorders>
            <w:shd w:val="clear" w:color="auto" w:fill="auto"/>
            <w:noWrap/>
            <w:vAlign w:val="bottom"/>
            <w:hideMark/>
          </w:tcPr>
          <w:p w14:paraId="519B21FF" w14:textId="77777777" w:rsidR="00E2603D" w:rsidRPr="008E63BB" w:rsidRDefault="00E2603D" w:rsidP="00276AC0">
            <w:pPr>
              <w:jc w:val="right"/>
              <w:rPr>
                <w:rFonts w:eastAsia="Times New Roman"/>
                <w:sz w:val="20"/>
                <w:szCs w:val="20"/>
              </w:rPr>
            </w:pPr>
            <w:r w:rsidRPr="008E63BB">
              <w:rPr>
                <w:rFonts w:eastAsia="Times New Roman"/>
                <w:sz w:val="20"/>
                <w:szCs w:val="20"/>
              </w:rPr>
              <w:t>10,6</w:t>
            </w:r>
          </w:p>
        </w:tc>
        <w:tc>
          <w:tcPr>
            <w:tcW w:w="683" w:type="dxa"/>
            <w:tcBorders>
              <w:top w:val="nil"/>
              <w:left w:val="nil"/>
              <w:bottom w:val="single" w:sz="4" w:space="0" w:color="auto"/>
              <w:right w:val="single" w:sz="4" w:space="0" w:color="auto"/>
            </w:tcBorders>
            <w:shd w:val="clear" w:color="auto" w:fill="auto"/>
            <w:noWrap/>
            <w:vAlign w:val="bottom"/>
            <w:hideMark/>
          </w:tcPr>
          <w:p w14:paraId="519B2200" w14:textId="77777777" w:rsidR="00E2603D" w:rsidRPr="008E63BB" w:rsidRDefault="00E2603D" w:rsidP="00276AC0">
            <w:pPr>
              <w:jc w:val="right"/>
              <w:rPr>
                <w:rFonts w:eastAsia="Times New Roman"/>
                <w:sz w:val="20"/>
                <w:szCs w:val="20"/>
              </w:rPr>
            </w:pPr>
            <w:r w:rsidRPr="008E63BB">
              <w:rPr>
                <w:rFonts w:eastAsia="Times New Roman"/>
                <w:sz w:val="20"/>
                <w:szCs w:val="20"/>
              </w:rPr>
              <w:t>1,1</w:t>
            </w:r>
          </w:p>
        </w:tc>
        <w:tc>
          <w:tcPr>
            <w:tcW w:w="1027" w:type="dxa"/>
            <w:tcBorders>
              <w:top w:val="nil"/>
              <w:left w:val="nil"/>
              <w:bottom w:val="single" w:sz="4" w:space="0" w:color="auto"/>
              <w:right w:val="single" w:sz="4" w:space="0" w:color="auto"/>
            </w:tcBorders>
            <w:shd w:val="clear" w:color="000000" w:fill="F8F9FA"/>
            <w:vAlign w:val="center"/>
            <w:hideMark/>
          </w:tcPr>
          <w:p w14:paraId="519B2201" w14:textId="77777777" w:rsidR="00E2603D" w:rsidRPr="008E63BB" w:rsidRDefault="00E2603D" w:rsidP="00276AC0">
            <w:pPr>
              <w:jc w:val="right"/>
              <w:rPr>
                <w:rFonts w:eastAsia="Times New Roman"/>
                <w:sz w:val="20"/>
                <w:szCs w:val="20"/>
              </w:rPr>
            </w:pPr>
            <w:r w:rsidRPr="008E63BB">
              <w:rPr>
                <w:rFonts w:eastAsia="Times New Roman"/>
                <w:sz w:val="20"/>
                <w:szCs w:val="20"/>
              </w:rPr>
              <w:t>150,1</w:t>
            </w:r>
          </w:p>
        </w:tc>
        <w:tc>
          <w:tcPr>
            <w:tcW w:w="683" w:type="dxa"/>
            <w:tcBorders>
              <w:top w:val="nil"/>
              <w:left w:val="nil"/>
              <w:bottom w:val="single" w:sz="4" w:space="0" w:color="auto"/>
              <w:right w:val="single" w:sz="4" w:space="0" w:color="auto"/>
            </w:tcBorders>
            <w:shd w:val="clear" w:color="000000" w:fill="F8F9FA"/>
            <w:vAlign w:val="center"/>
            <w:hideMark/>
          </w:tcPr>
          <w:p w14:paraId="519B2202" w14:textId="77777777" w:rsidR="00E2603D" w:rsidRPr="008E63BB" w:rsidRDefault="00E2603D" w:rsidP="00276AC0">
            <w:pPr>
              <w:jc w:val="right"/>
              <w:rPr>
                <w:rFonts w:eastAsia="Times New Roman"/>
                <w:sz w:val="20"/>
                <w:szCs w:val="20"/>
              </w:rPr>
            </w:pPr>
            <w:r w:rsidRPr="008E63BB">
              <w:rPr>
                <w:rFonts w:eastAsia="Times New Roman"/>
                <w:sz w:val="20"/>
                <w:szCs w:val="20"/>
              </w:rPr>
              <w:t>6.519</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03" w14:textId="77777777" w:rsidR="00E2603D" w:rsidRPr="008E63BB" w:rsidRDefault="00E2603D" w:rsidP="00276AC0">
            <w:pPr>
              <w:jc w:val="right"/>
              <w:rPr>
                <w:rFonts w:eastAsia="Times New Roman"/>
                <w:sz w:val="20"/>
                <w:szCs w:val="20"/>
              </w:rPr>
            </w:pPr>
            <w:r w:rsidRPr="008E63BB">
              <w:rPr>
                <w:rFonts w:eastAsia="Times New Roman"/>
                <w:sz w:val="20"/>
                <w:szCs w:val="20"/>
              </w:rPr>
              <w:t>2,06</w:t>
            </w:r>
          </w:p>
        </w:tc>
        <w:tc>
          <w:tcPr>
            <w:tcW w:w="656" w:type="dxa"/>
            <w:tcBorders>
              <w:top w:val="nil"/>
              <w:left w:val="nil"/>
              <w:bottom w:val="single" w:sz="4" w:space="0" w:color="auto"/>
              <w:right w:val="single" w:sz="4" w:space="0" w:color="auto"/>
            </w:tcBorders>
            <w:shd w:val="clear" w:color="auto" w:fill="auto"/>
            <w:noWrap/>
            <w:vAlign w:val="bottom"/>
            <w:hideMark/>
          </w:tcPr>
          <w:p w14:paraId="519B2204" w14:textId="77777777" w:rsidR="00E2603D" w:rsidRPr="008E63BB" w:rsidRDefault="00E2603D" w:rsidP="00276AC0">
            <w:pPr>
              <w:jc w:val="right"/>
              <w:rPr>
                <w:rFonts w:eastAsia="Times New Roman"/>
                <w:sz w:val="20"/>
                <w:szCs w:val="20"/>
              </w:rPr>
            </w:pPr>
            <w:r w:rsidRPr="008E63BB">
              <w:rPr>
                <w:rFonts w:eastAsia="Times New Roman"/>
                <w:sz w:val="20"/>
                <w:szCs w:val="20"/>
              </w:rPr>
              <w:t>56</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05" w14:textId="77777777" w:rsidR="00E2603D" w:rsidRPr="008E63BB" w:rsidRDefault="00E2603D" w:rsidP="00276AC0">
            <w:pPr>
              <w:jc w:val="right"/>
              <w:rPr>
                <w:rFonts w:eastAsia="Times New Roman"/>
                <w:sz w:val="20"/>
                <w:szCs w:val="20"/>
              </w:rPr>
            </w:pPr>
            <w:r w:rsidRPr="008E63BB">
              <w:rPr>
                <w:rFonts w:eastAsia="Times New Roman"/>
                <w:sz w:val="20"/>
                <w:szCs w:val="20"/>
              </w:rPr>
              <w:t>1,62</w:t>
            </w:r>
          </w:p>
        </w:tc>
        <w:tc>
          <w:tcPr>
            <w:tcW w:w="656" w:type="dxa"/>
            <w:tcBorders>
              <w:top w:val="nil"/>
              <w:left w:val="nil"/>
              <w:bottom w:val="single" w:sz="4" w:space="0" w:color="auto"/>
              <w:right w:val="single" w:sz="4" w:space="0" w:color="auto"/>
            </w:tcBorders>
            <w:shd w:val="clear" w:color="auto" w:fill="auto"/>
            <w:noWrap/>
            <w:vAlign w:val="bottom"/>
            <w:hideMark/>
          </w:tcPr>
          <w:p w14:paraId="519B2206" w14:textId="77777777" w:rsidR="00E2603D" w:rsidRPr="008E63BB" w:rsidRDefault="00E2603D" w:rsidP="00276AC0">
            <w:pPr>
              <w:jc w:val="right"/>
              <w:rPr>
                <w:rFonts w:eastAsia="Times New Roman"/>
                <w:sz w:val="20"/>
                <w:szCs w:val="20"/>
              </w:rPr>
            </w:pPr>
            <w:r w:rsidRPr="008E63BB">
              <w:rPr>
                <w:rFonts w:eastAsia="Times New Roman"/>
                <w:sz w:val="20"/>
                <w:szCs w:val="20"/>
              </w:rPr>
              <w:t>53</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07" w14:textId="77777777" w:rsidR="00E2603D" w:rsidRPr="008E63BB" w:rsidRDefault="00E2603D" w:rsidP="00276AC0">
            <w:pPr>
              <w:jc w:val="right"/>
              <w:rPr>
                <w:rFonts w:eastAsia="Times New Roman"/>
                <w:sz w:val="20"/>
                <w:szCs w:val="20"/>
              </w:rPr>
            </w:pPr>
            <w:r w:rsidRPr="008E63BB">
              <w:rPr>
                <w:rFonts w:eastAsia="Times New Roman"/>
                <w:sz w:val="20"/>
                <w:szCs w:val="20"/>
              </w:rPr>
              <w:t>1,2</w:t>
            </w:r>
          </w:p>
        </w:tc>
        <w:tc>
          <w:tcPr>
            <w:tcW w:w="656" w:type="dxa"/>
            <w:tcBorders>
              <w:top w:val="nil"/>
              <w:left w:val="nil"/>
              <w:bottom w:val="single" w:sz="4" w:space="0" w:color="auto"/>
              <w:right w:val="single" w:sz="4" w:space="0" w:color="auto"/>
            </w:tcBorders>
            <w:shd w:val="clear" w:color="auto" w:fill="auto"/>
            <w:noWrap/>
            <w:vAlign w:val="bottom"/>
            <w:hideMark/>
          </w:tcPr>
          <w:p w14:paraId="519B2208"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16"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0A" w14:textId="77777777" w:rsidR="00E2603D" w:rsidRPr="008E63BB" w:rsidRDefault="00E2603D" w:rsidP="00276AC0">
            <w:pPr>
              <w:jc w:val="right"/>
              <w:rPr>
                <w:rFonts w:eastAsia="Times New Roman"/>
                <w:sz w:val="20"/>
                <w:szCs w:val="20"/>
              </w:rPr>
            </w:pPr>
            <w:r w:rsidRPr="008E63BB">
              <w:rPr>
                <w:rFonts w:eastAsia="Times New Roman"/>
                <w:sz w:val="20"/>
                <w:szCs w:val="20"/>
              </w:rPr>
              <w:t>5</w:t>
            </w:r>
          </w:p>
        </w:tc>
        <w:tc>
          <w:tcPr>
            <w:tcW w:w="1704" w:type="dxa"/>
            <w:tcBorders>
              <w:top w:val="nil"/>
              <w:left w:val="nil"/>
              <w:bottom w:val="single" w:sz="4" w:space="0" w:color="auto"/>
              <w:right w:val="single" w:sz="4" w:space="0" w:color="auto"/>
            </w:tcBorders>
            <w:shd w:val="clear" w:color="auto" w:fill="auto"/>
            <w:noWrap/>
            <w:vAlign w:val="bottom"/>
            <w:hideMark/>
          </w:tcPr>
          <w:p w14:paraId="519B220B" w14:textId="77777777" w:rsidR="00E2603D" w:rsidRPr="008E63BB" w:rsidRDefault="00E2603D" w:rsidP="00276AC0">
            <w:pPr>
              <w:jc w:val="left"/>
              <w:rPr>
                <w:rFonts w:eastAsia="Times New Roman"/>
                <w:sz w:val="20"/>
                <w:szCs w:val="20"/>
              </w:rPr>
            </w:pPr>
            <w:r w:rsidRPr="008E63BB">
              <w:rPr>
                <w:rFonts w:eastAsia="Times New Roman"/>
                <w:sz w:val="20"/>
                <w:szCs w:val="20"/>
              </w:rPr>
              <w:t>Vĩnh Phúc</w:t>
            </w:r>
          </w:p>
        </w:tc>
        <w:tc>
          <w:tcPr>
            <w:tcW w:w="903" w:type="dxa"/>
            <w:tcBorders>
              <w:top w:val="nil"/>
              <w:left w:val="nil"/>
              <w:bottom w:val="single" w:sz="4" w:space="0" w:color="auto"/>
              <w:right w:val="single" w:sz="4" w:space="0" w:color="auto"/>
            </w:tcBorders>
            <w:shd w:val="clear" w:color="auto" w:fill="auto"/>
            <w:noWrap/>
            <w:vAlign w:val="bottom"/>
            <w:hideMark/>
          </w:tcPr>
          <w:p w14:paraId="519B220C" w14:textId="77777777" w:rsidR="00E2603D" w:rsidRPr="008E63BB" w:rsidRDefault="00E2603D" w:rsidP="00276AC0">
            <w:pPr>
              <w:jc w:val="right"/>
              <w:rPr>
                <w:rFonts w:eastAsia="Times New Roman"/>
                <w:sz w:val="20"/>
                <w:szCs w:val="20"/>
              </w:rPr>
            </w:pPr>
            <w:r w:rsidRPr="008E63BB">
              <w:rPr>
                <w:rFonts w:eastAsia="Times New Roman"/>
                <w:sz w:val="20"/>
                <w:szCs w:val="20"/>
              </w:rPr>
              <w:t>7,08</w:t>
            </w:r>
          </w:p>
        </w:tc>
        <w:tc>
          <w:tcPr>
            <w:tcW w:w="683" w:type="dxa"/>
            <w:tcBorders>
              <w:top w:val="nil"/>
              <w:left w:val="nil"/>
              <w:bottom w:val="single" w:sz="4" w:space="0" w:color="auto"/>
              <w:right w:val="single" w:sz="4" w:space="0" w:color="auto"/>
            </w:tcBorders>
            <w:shd w:val="clear" w:color="auto" w:fill="auto"/>
            <w:noWrap/>
            <w:vAlign w:val="bottom"/>
            <w:hideMark/>
          </w:tcPr>
          <w:p w14:paraId="519B220D" w14:textId="77777777" w:rsidR="00E2603D" w:rsidRPr="008E63BB" w:rsidRDefault="00E2603D" w:rsidP="00276AC0">
            <w:pPr>
              <w:jc w:val="right"/>
              <w:rPr>
                <w:rFonts w:eastAsia="Times New Roman"/>
                <w:sz w:val="20"/>
                <w:szCs w:val="20"/>
              </w:rPr>
            </w:pPr>
            <w:r w:rsidRPr="008E63BB">
              <w:rPr>
                <w:rFonts w:eastAsia="Times New Roman"/>
                <w:sz w:val="20"/>
                <w:szCs w:val="20"/>
              </w:rPr>
              <w:t>10,2</w:t>
            </w:r>
          </w:p>
        </w:tc>
        <w:tc>
          <w:tcPr>
            <w:tcW w:w="1027" w:type="dxa"/>
            <w:tcBorders>
              <w:top w:val="nil"/>
              <w:left w:val="nil"/>
              <w:bottom w:val="single" w:sz="4" w:space="0" w:color="auto"/>
              <w:right w:val="single" w:sz="4" w:space="0" w:color="auto"/>
            </w:tcBorders>
            <w:shd w:val="clear" w:color="000000" w:fill="F8F9FA"/>
            <w:vAlign w:val="center"/>
            <w:hideMark/>
          </w:tcPr>
          <w:p w14:paraId="519B220E" w14:textId="77777777" w:rsidR="00E2603D" w:rsidRPr="008E63BB" w:rsidRDefault="00E2603D" w:rsidP="00276AC0">
            <w:pPr>
              <w:jc w:val="right"/>
              <w:rPr>
                <w:rFonts w:eastAsia="Times New Roman"/>
                <w:sz w:val="20"/>
                <w:szCs w:val="20"/>
              </w:rPr>
            </w:pPr>
            <w:r w:rsidRPr="008E63BB">
              <w:rPr>
                <w:rFonts w:eastAsia="Times New Roman"/>
                <w:sz w:val="20"/>
                <w:szCs w:val="20"/>
              </w:rPr>
              <w:t>86,5</w:t>
            </w:r>
          </w:p>
        </w:tc>
        <w:tc>
          <w:tcPr>
            <w:tcW w:w="683" w:type="dxa"/>
            <w:tcBorders>
              <w:top w:val="nil"/>
              <w:left w:val="nil"/>
              <w:bottom w:val="single" w:sz="4" w:space="0" w:color="auto"/>
              <w:right w:val="single" w:sz="4" w:space="0" w:color="auto"/>
            </w:tcBorders>
            <w:shd w:val="clear" w:color="000000" w:fill="F8F9FA"/>
            <w:vAlign w:val="center"/>
            <w:hideMark/>
          </w:tcPr>
          <w:p w14:paraId="519B220F" w14:textId="77777777" w:rsidR="00E2603D" w:rsidRPr="008E63BB" w:rsidRDefault="00E2603D" w:rsidP="00276AC0">
            <w:pPr>
              <w:jc w:val="right"/>
              <w:rPr>
                <w:rFonts w:eastAsia="Times New Roman"/>
                <w:sz w:val="20"/>
                <w:szCs w:val="20"/>
              </w:rPr>
            </w:pPr>
            <w:r w:rsidRPr="008E63BB">
              <w:rPr>
                <w:rFonts w:eastAsia="Times New Roman"/>
                <w:sz w:val="20"/>
                <w:szCs w:val="20"/>
              </w:rPr>
              <w:t>3.757</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10" w14:textId="77777777" w:rsidR="00E2603D" w:rsidRPr="008E63BB" w:rsidRDefault="00E2603D" w:rsidP="00276AC0">
            <w:pPr>
              <w:jc w:val="right"/>
              <w:rPr>
                <w:rFonts w:eastAsia="Times New Roman"/>
                <w:sz w:val="20"/>
                <w:szCs w:val="20"/>
              </w:rPr>
            </w:pPr>
            <w:r w:rsidRPr="008E63BB">
              <w:rPr>
                <w:rFonts w:eastAsia="Times New Roman"/>
                <w:sz w:val="20"/>
                <w:szCs w:val="20"/>
              </w:rPr>
              <w:t>2,93</w:t>
            </w:r>
          </w:p>
        </w:tc>
        <w:tc>
          <w:tcPr>
            <w:tcW w:w="656" w:type="dxa"/>
            <w:tcBorders>
              <w:top w:val="nil"/>
              <w:left w:val="nil"/>
              <w:bottom w:val="single" w:sz="4" w:space="0" w:color="auto"/>
              <w:right w:val="single" w:sz="4" w:space="0" w:color="auto"/>
            </w:tcBorders>
            <w:shd w:val="clear" w:color="auto" w:fill="auto"/>
            <w:noWrap/>
            <w:vAlign w:val="bottom"/>
            <w:hideMark/>
          </w:tcPr>
          <w:p w14:paraId="519B2211" w14:textId="77777777" w:rsidR="00E2603D" w:rsidRPr="008E63BB" w:rsidRDefault="00E2603D" w:rsidP="00276AC0">
            <w:pPr>
              <w:jc w:val="right"/>
              <w:rPr>
                <w:rFonts w:eastAsia="Times New Roman"/>
                <w:sz w:val="20"/>
                <w:szCs w:val="20"/>
              </w:rPr>
            </w:pPr>
            <w:r w:rsidRPr="008E63BB">
              <w:rPr>
                <w:rFonts w:eastAsia="Times New Roman"/>
                <w:sz w:val="20"/>
                <w:szCs w:val="20"/>
              </w:rPr>
              <w:t>50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12" w14:textId="77777777" w:rsidR="00E2603D" w:rsidRPr="008E63BB" w:rsidRDefault="00E2603D" w:rsidP="00276AC0">
            <w:pPr>
              <w:jc w:val="right"/>
              <w:rPr>
                <w:rFonts w:eastAsia="Times New Roman"/>
                <w:sz w:val="20"/>
                <w:szCs w:val="20"/>
              </w:rPr>
            </w:pPr>
            <w:r w:rsidRPr="008E63BB">
              <w:rPr>
                <w:rFonts w:eastAsia="Times New Roman"/>
                <w:sz w:val="20"/>
                <w:szCs w:val="20"/>
              </w:rPr>
              <w:t>2,11</w:t>
            </w:r>
          </w:p>
        </w:tc>
        <w:tc>
          <w:tcPr>
            <w:tcW w:w="656" w:type="dxa"/>
            <w:tcBorders>
              <w:top w:val="nil"/>
              <w:left w:val="nil"/>
              <w:bottom w:val="single" w:sz="4" w:space="0" w:color="auto"/>
              <w:right w:val="single" w:sz="4" w:space="0" w:color="auto"/>
            </w:tcBorders>
            <w:shd w:val="clear" w:color="auto" w:fill="auto"/>
            <w:noWrap/>
            <w:vAlign w:val="bottom"/>
            <w:hideMark/>
          </w:tcPr>
          <w:p w14:paraId="519B2213" w14:textId="77777777" w:rsidR="00E2603D" w:rsidRPr="008E63BB" w:rsidRDefault="00E2603D" w:rsidP="00276AC0">
            <w:pPr>
              <w:jc w:val="right"/>
              <w:rPr>
                <w:rFonts w:eastAsia="Times New Roman"/>
                <w:sz w:val="20"/>
                <w:szCs w:val="20"/>
              </w:rPr>
            </w:pPr>
            <w:r w:rsidRPr="008E63BB">
              <w:rPr>
                <w:rFonts w:eastAsia="Times New Roman"/>
                <w:sz w:val="20"/>
                <w:szCs w:val="20"/>
              </w:rPr>
              <w:t>52</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14" w14:textId="77777777" w:rsidR="00E2603D" w:rsidRPr="008E63BB" w:rsidRDefault="00E2603D" w:rsidP="00276AC0">
            <w:pPr>
              <w:jc w:val="right"/>
              <w:rPr>
                <w:rFonts w:eastAsia="Times New Roman"/>
                <w:sz w:val="20"/>
                <w:szCs w:val="20"/>
              </w:rPr>
            </w:pPr>
            <w:r w:rsidRPr="008E63BB">
              <w:rPr>
                <w:rFonts w:eastAsia="Times New Roman"/>
                <w:sz w:val="20"/>
                <w:szCs w:val="20"/>
              </w:rPr>
              <w:t>1,46</w:t>
            </w:r>
          </w:p>
        </w:tc>
        <w:tc>
          <w:tcPr>
            <w:tcW w:w="656" w:type="dxa"/>
            <w:tcBorders>
              <w:top w:val="nil"/>
              <w:left w:val="nil"/>
              <w:bottom w:val="single" w:sz="4" w:space="0" w:color="auto"/>
              <w:right w:val="single" w:sz="4" w:space="0" w:color="auto"/>
            </w:tcBorders>
            <w:shd w:val="clear" w:color="auto" w:fill="auto"/>
            <w:noWrap/>
            <w:vAlign w:val="bottom"/>
            <w:hideMark/>
          </w:tcPr>
          <w:p w14:paraId="519B2215"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23"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17" w14:textId="77777777" w:rsidR="00E2603D" w:rsidRPr="008E63BB" w:rsidRDefault="00E2603D" w:rsidP="00276AC0">
            <w:pPr>
              <w:jc w:val="right"/>
              <w:rPr>
                <w:rFonts w:eastAsia="Times New Roman"/>
                <w:sz w:val="20"/>
                <w:szCs w:val="20"/>
              </w:rPr>
            </w:pPr>
            <w:r w:rsidRPr="008E63BB">
              <w:rPr>
                <w:rFonts w:eastAsia="Times New Roman"/>
                <w:sz w:val="20"/>
                <w:szCs w:val="20"/>
              </w:rPr>
              <w:t>6</w:t>
            </w:r>
          </w:p>
        </w:tc>
        <w:tc>
          <w:tcPr>
            <w:tcW w:w="1704" w:type="dxa"/>
            <w:tcBorders>
              <w:top w:val="nil"/>
              <w:left w:val="nil"/>
              <w:bottom w:val="single" w:sz="4" w:space="0" w:color="auto"/>
              <w:right w:val="single" w:sz="4" w:space="0" w:color="auto"/>
            </w:tcBorders>
            <w:shd w:val="clear" w:color="auto" w:fill="auto"/>
            <w:noWrap/>
            <w:vAlign w:val="bottom"/>
            <w:hideMark/>
          </w:tcPr>
          <w:p w14:paraId="519B2218" w14:textId="77777777" w:rsidR="00E2603D" w:rsidRPr="008E63BB" w:rsidRDefault="00E2603D" w:rsidP="00276AC0">
            <w:pPr>
              <w:jc w:val="left"/>
              <w:rPr>
                <w:rFonts w:eastAsia="Times New Roman"/>
                <w:sz w:val="20"/>
                <w:szCs w:val="20"/>
              </w:rPr>
            </w:pPr>
            <w:r w:rsidRPr="008E63BB">
              <w:rPr>
                <w:rFonts w:eastAsia="Times New Roman"/>
                <w:sz w:val="20"/>
                <w:szCs w:val="20"/>
              </w:rPr>
              <w:t>Hưng Yên</w:t>
            </w:r>
          </w:p>
        </w:tc>
        <w:tc>
          <w:tcPr>
            <w:tcW w:w="903" w:type="dxa"/>
            <w:tcBorders>
              <w:top w:val="nil"/>
              <w:left w:val="nil"/>
              <w:bottom w:val="single" w:sz="4" w:space="0" w:color="auto"/>
              <w:right w:val="single" w:sz="4" w:space="0" w:color="auto"/>
            </w:tcBorders>
            <w:shd w:val="clear" w:color="auto" w:fill="auto"/>
            <w:noWrap/>
            <w:vAlign w:val="bottom"/>
            <w:hideMark/>
          </w:tcPr>
          <w:p w14:paraId="519B2219" w14:textId="77777777" w:rsidR="00E2603D" w:rsidRPr="008E63BB" w:rsidRDefault="00E2603D" w:rsidP="00276AC0">
            <w:pPr>
              <w:jc w:val="right"/>
              <w:rPr>
                <w:rFonts w:eastAsia="Times New Roman"/>
                <w:sz w:val="20"/>
                <w:szCs w:val="20"/>
              </w:rPr>
            </w:pPr>
            <w:r w:rsidRPr="008E63BB">
              <w:rPr>
                <w:rFonts w:eastAsia="Times New Roman"/>
                <w:sz w:val="20"/>
                <w:szCs w:val="20"/>
              </w:rPr>
              <w:t>8,2</w:t>
            </w:r>
          </w:p>
        </w:tc>
        <w:tc>
          <w:tcPr>
            <w:tcW w:w="683" w:type="dxa"/>
            <w:tcBorders>
              <w:top w:val="nil"/>
              <w:left w:val="nil"/>
              <w:bottom w:val="single" w:sz="4" w:space="0" w:color="auto"/>
              <w:right w:val="single" w:sz="4" w:space="0" w:color="auto"/>
            </w:tcBorders>
            <w:shd w:val="clear" w:color="auto" w:fill="auto"/>
            <w:noWrap/>
            <w:vAlign w:val="bottom"/>
            <w:hideMark/>
          </w:tcPr>
          <w:p w14:paraId="519B221A" w14:textId="77777777" w:rsidR="00E2603D" w:rsidRPr="008E63BB" w:rsidRDefault="00E2603D" w:rsidP="00276AC0">
            <w:pPr>
              <w:jc w:val="right"/>
              <w:rPr>
                <w:rFonts w:eastAsia="Times New Roman"/>
                <w:sz w:val="20"/>
                <w:szCs w:val="20"/>
              </w:rPr>
            </w:pPr>
            <w:r w:rsidRPr="008E63BB">
              <w:rPr>
                <w:rFonts w:eastAsia="Times New Roman"/>
                <w:sz w:val="20"/>
                <w:szCs w:val="20"/>
              </w:rPr>
              <w:t>9,72</w:t>
            </w:r>
          </w:p>
        </w:tc>
        <w:tc>
          <w:tcPr>
            <w:tcW w:w="1027" w:type="dxa"/>
            <w:tcBorders>
              <w:top w:val="nil"/>
              <w:left w:val="nil"/>
              <w:bottom w:val="single" w:sz="4" w:space="0" w:color="auto"/>
              <w:right w:val="single" w:sz="4" w:space="0" w:color="auto"/>
            </w:tcBorders>
            <w:shd w:val="clear" w:color="000000" w:fill="F8F9FA"/>
            <w:vAlign w:val="center"/>
            <w:hideMark/>
          </w:tcPr>
          <w:p w14:paraId="519B221B" w14:textId="77777777" w:rsidR="00E2603D" w:rsidRPr="008E63BB" w:rsidRDefault="00E2603D" w:rsidP="00276AC0">
            <w:pPr>
              <w:jc w:val="right"/>
              <w:rPr>
                <w:rFonts w:eastAsia="Times New Roman"/>
                <w:sz w:val="20"/>
                <w:szCs w:val="20"/>
              </w:rPr>
            </w:pPr>
            <w:r w:rsidRPr="008E63BB">
              <w:rPr>
                <w:rFonts w:eastAsia="Times New Roman"/>
                <w:sz w:val="20"/>
                <w:szCs w:val="20"/>
              </w:rPr>
              <w:t>55,3</w:t>
            </w:r>
          </w:p>
        </w:tc>
        <w:tc>
          <w:tcPr>
            <w:tcW w:w="683" w:type="dxa"/>
            <w:tcBorders>
              <w:top w:val="nil"/>
              <w:left w:val="nil"/>
              <w:bottom w:val="single" w:sz="4" w:space="0" w:color="auto"/>
              <w:right w:val="single" w:sz="4" w:space="0" w:color="auto"/>
            </w:tcBorders>
            <w:shd w:val="clear" w:color="000000" w:fill="F8F9FA"/>
            <w:vAlign w:val="center"/>
            <w:hideMark/>
          </w:tcPr>
          <w:p w14:paraId="519B221C" w14:textId="77777777" w:rsidR="00E2603D" w:rsidRPr="008E63BB" w:rsidRDefault="00E2603D" w:rsidP="00276AC0">
            <w:pPr>
              <w:jc w:val="right"/>
              <w:rPr>
                <w:rFonts w:eastAsia="Times New Roman"/>
                <w:sz w:val="20"/>
                <w:szCs w:val="20"/>
              </w:rPr>
            </w:pPr>
            <w:r w:rsidRPr="008E63BB">
              <w:rPr>
                <w:rFonts w:eastAsia="Times New Roman"/>
                <w:sz w:val="20"/>
                <w:szCs w:val="20"/>
              </w:rPr>
              <w:t>2.402</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1D" w14:textId="77777777" w:rsidR="00E2603D" w:rsidRPr="008E63BB" w:rsidRDefault="00E2603D" w:rsidP="00276AC0">
            <w:pPr>
              <w:jc w:val="right"/>
              <w:rPr>
                <w:rFonts w:eastAsia="Times New Roman"/>
                <w:sz w:val="20"/>
                <w:szCs w:val="20"/>
              </w:rPr>
            </w:pPr>
            <w:r w:rsidRPr="008E63BB">
              <w:rPr>
                <w:rFonts w:eastAsia="Times New Roman"/>
                <w:sz w:val="20"/>
                <w:szCs w:val="20"/>
              </w:rPr>
              <w:t>3,41</w:t>
            </w:r>
          </w:p>
        </w:tc>
        <w:tc>
          <w:tcPr>
            <w:tcW w:w="656" w:type="dxa"/>
            <w:tcBorders>
              <w:top w:val="nil"/>
              <w:left w:val="nil"/>
              <w:bottom w:val="single" w:sz="4" w:space="0" w:color="auto"/>
              <w:right w:val="single" w:sz="4" w:space="0" w:color="auto"/>
            </w:tcBorders>
            <w:shd w:val="clear" w:color="auto" w:fill="auto"/>
            <w:noWrap/>
            <w:vAlign w:val="bottom"/>
            <w:hideMark/>
          </w:tcPr>
          <w:p w14:paraId="519B221E" w14:textId="77777777" w:rsidR="00E2603D" w:rsidRPr="008E63BB" w:rsidRDefault="00E2603D" w:rsidP="00276AC0">
            <w:pPr>
              <w:jc w:val="right"/>
              <w:rPr>
                <w:rFonts w:eastAsia="Times New Roman"/>
                <w:sz w:val="20"/>
                <w:szCs w:val="20"/>
              </w:rPr>
            </w:pPr>
            <w:r w:rsidRPr="008E63BB">
              <w:rPr>
                <w:rFonts w:eastAsia="Times New Roman"/>
                <w:sz w:val="20"/>
                <w:szCs w:val="20"/>
              </w:rPr>
              <w:t>48</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1F" w14:textId="77777777" w:rsidR="00E2603D" w:rsidRPr="008E63BB" w:rsidRDefault="00E2603D" w:rsidP="00276AC0">
            <w:pPr>
              <w:jc w:val="right"/>
              <w:rPr>
                <w:rFonts w:eastAsia="Times New Roman"/>
                <w:sz w:val="20"/>
                <w:szCs w:val="20"/>
              </w:rPr>
            </w:pPr>
            <w:r w:rsidRPr="008E63BB">
              <w:rPr>
                <w:rFonts w:eastAsia="Times New Roman"/>
                <w:sz w:val="20"/>
                <w:szCs w:val="20"/>
              </w:rPr>
              <w:t>2,55</w:t>
            </w:r>
          </w:p>
        </w:tc>
        <w:tc>
          <w:tcPr>
            <w:tcW w:w="656" w:type="dxa"/>
            <w:tcBorders>
              <w:top w:val="nil"/>
              <w:left w:val="nil"/>
              <w:bottom w:val="single" w:sz="4" w:space="0" w:color="auto"/>
              <w:right w:val="single" w:sz="4" w:space="0" w:color="auto"/>
            </w:tcBorders>
            <w:shd w:val="clear" w:color="auto" w:fill="auto"/>
            <w:noWrap/>
            <w:vAlign w:val="bottom"/>
            <w:hideMark/>
          </w:tcPr>
          <w:p w14:paraId="519B2220" w14:textId="77777777" w:rsidR="00E2603D" w:rsidRPr="008E63BB" w:rsidRDefault="00E2603D" w:rsidP="00276AC0">
            <w:pPr>
              <w:jc w:val="right"/>
              <w:rPr>
                <w:rFonts w:eastAsia="Times New Roman"/>
                <w:sz w:val="20"/>
                <w:szCs w:val="20"/>
              </w:rPr>
            </w:pPr>
            <w:r w:rsidRPr="008E63BB">
              <w:rPr>
                <w:rFonts w:eastAsia="Times New Roman"/>
                <w:sz w:val="20"/>
                <w:szCs w:val="20"/>
              </w:rPr>
              <w:t>48</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21" w14:textId="77777777" w:rsidR="00E2603D" w:rsidRPr="008E63BB" w:rsidRDefault="00E2603D" w:rsidP="00276AC0">
            <w:pPr>
              <w:jc w:val="right"/>
              <w:rPr>
                <w:rFonts w:eastAsia="Times New Roman"/>
                <w:sz w:val="20"/>
                <w:szCs w:val="20"/>
              </w:rPr>
            </w:pPr>
            <w:r w:rsidRPr="008E63BB">
              <w:rPr>
                <w:rFonts w:eastAsia="Times New Roman"/>
                <w:sz w:val="20"/>
                <w:szCs w:val="20"/>
              </w:rPr>
              <w:t>1,9</w:t>
            </w:r>
          </w:p>
        </w:tc>
        <w:tc>
          <w:tcPr>
            <w:tcW w:w="656" w:type="dxa"/>
            <w:tcBorders>
              <w:top w:val="nil"/>
              <w:left w:val="nil"/>
              <w:bottom w:val="single" w:sz="4" w:space="0" w:color="auto"/>
              <w:right w:val="single" w:sz="4" w:space="0" w:color="auto"/>
            </w:tcBorders>
            <w:shd w:val="clear" w:color="auto" w:fill="auto"/>
            <w:noWrap/>
            <w:vAlign w:val="bottom"/>
            <w:hideMark/>
          </w:tcPr>
          <w:p w14:paraId="519B2222"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30"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24" w14:textId="77777777" w:rsidR="00E2603D" w:rsidRPr="008E63BB" w:rsidRDefault="00E2603D" w:rsidP="00276AC0">
            <w:pPr>
              <w:jc w:val="right"/>
              <w:rPr>
                <w:rFonts w:eastAsia="Times New Roman"/>
                <w:sz w:val="20"/>
                <w:szCs w:val="20"/>
              </w:rPr>
            </w:pPr>
            <w:r w:rsidRPr="008E63BB">
              <w:rPr>
                <w:rFonts w:eastAsia="Times New Roman"/>
                <w:sz w:val="20"/>
                <w:szCs w:val="20"/>
              </w:rPr>
              <w:t>7</w:t>
            </w:r>
          </w:p>
        </w:tc>
        <w:tc>
          <w:tcPr>
            <w:tcW w:w="1704" w:type="dxa"/>
            <w:tcBorders>
              <w:top w:val="nil"/>
              <w:left w:val="nil"/>
              <w:bottom w:val="single" w:sz="4" w:space="0" w:color="auto"/>
              <w:right w:val="single" w:sz="4" w:space="0" w:color="auto"/>
            </w:tcBorders>
            <w:shd w:val="clear" w:color="auto" w:fill="auto"/>
            <w:noWrap/>
            <w:vAlign w:val="bottom"/>
            <w:hideMark/>
          </w:tcPr>
          <w:p w14:paraId="519B2225" w14:textId="77777777" w:rsidR="00E2603D" w:rsidRPr="008E63BB" w:rsidRDefault="00E2603D" w:rsidP="00276AC0">
            <w:pPr>
              <w:jc w:val="left"/>
              <w:rPr>
                <w:rFonts w:eastAsia="Times New Roman"/>
                <w:sz w:val="20"/>
                <w:szCs w:val="20"/>
              </w:rPr>
            </w:pPr>
            <w:r w:rsidRPr="008E63BB">
              <w:rPr>
                <w:rFonts w:eastAsia="Times New Roman"/>
                <w:sz w:val="20"/>
                <w:szCs w:val="20"/>
              </w:rPr>
              <w:t>Hải Dương</w:t>
            </w:r>
          </w:p>
        </w:tc>
        <w:tc>
          <w:tcPr>
            <w:tcW w:w="903" w:type="dxa"/>
            <w:tcBorders>
              <w:top w:val="nil"/>
              <w:left w:val="nil"/>
              <w:bottom w:val="single" w:sz="4" w:space="0" w:color="auto"/>
              <w:right w:val="single" w:sz="4" w:space="0" w:color="auto"/>
            </w:tcBorders>
            <w:shd w:val="clear" w:color="auto" w:fill="auto"/>
            <w:noWrap/>
            <w:vAlign w:val="bottom"/>
            <w:hideMark/>
          </w:tcPr>
          <w:p w14:paraId="519B2226" w14:textId="77777777" w:rsidR="00E2603D" w:rsidRPr="008E63BB" w:rsidRDefault="00E2603D" w:rsidP="00276AC0">
            <w:pPr>
              <w:jc w:val="right"/>
              <w:rPr>
                <w:rFonts w:eastAsia="Times New Roman"/>
                <w:sz w:val="20"/>
                <w:szCs w:val="20"/>
              </w:rPr>
            </w:pPr>
            <w:r w:rsidRPr="008E63BB">
              <w:rPr>
                <w:rFonts w:eastAsia="Times New Roman"/>
                <w:sz w:val="20"/>
                <w:szCs w:val="20"/>
              </w:rPr>
              <w:t>9,1</w:t>
            </w:r>
          </w:p>
        </w:tc>
        <w:tc>
          <w:tcPr>
            <w:tcW w:w="683" w:type="dxa"/>
            <w:tcBorders>
              <w:top w:val="nil"/>
              <w:left w:val="nil"/>
              <w:bottom w:val="single" w:sz="4" w:space="0" w:color="auto"/>
              <w:right w:val="single" w:sz="4" w:space="0" w:color="auto"/>
            </w:tcBorders>
            <w:shd w:val="clear" w:color="auto" w:fill="auto"/>
            <w:noWrap/>
            <w:vAlign w:val="bottom"/>
            <w:hideMark/>
          </w:tcPr>
          <w:p w14:paraId="519B2227" w14:textId="77777777" w:rsidR="00E2603D" w:rsidRPr="008E63BB" w:rsidRDefault="00E2603D" w:rsidP="00276AC0">
            <w:pPr>
              <w:jc w:val="right"/>
              <w:rPr>
                <w:rFonts w:eastAsia="Times New Roman"/>
                <w:sz w:val="20"/>
                <w:szCs w:val="20"/>
              </w:rPr>
            </w:pPr>
            <w:r w:rsidRPr="008E63BB">
              <w:rPr>
                <w:rFonts w:eastAsia="Times New Roman"/>
                <w:sz w:val="20"/>
                <w:szCs w:val="20"/>
              </w:rPr>
              <w:t>8,6</w:t>
            </w:r>
          </w:p>
        </w:tc>
        <w:tc>
          <w:tcPr>
            <w:tcW w:w="1027" w:type="dxa"/>
            <w:tcBorders>
              <w:top w:val="nil"/>
              <w:left w:val="nil"/>
              <w:bottom w:val="single" w:sz="4" w:space="0" w:color="auto"/>
              <w:right w:val="single" w:sz="4" w:space="0" w:color="auto"/>
            </w:tcBorders>
            <w:shd w:val="clear" w:color="000000" w:fill="F8F9FA"/>
            <w:vAlign w:val="center"/>
            <w:hideMark/>
          </w:tcPr>
          <w:p w14:paraId="519B2228" w14:textId="77777777" w:rsidR="00E2603D" w:rsidRPr="008E63BB" w:rsidRDefault="00E2603D" w:rsidP="00276AC0">
            <w:pPr>
              <w:jc w:val="right"/>
              <w:rPr>
                <w:rFonts w:eastAsia="Times New Roman"/>
                <w:sz w:val="20"/>
                <w:szCs w:val="20"/>
              </w:rPr>
            </w:pPr>
            <w:r w:rsidRPr="008E63BB">
              <w:rPr>
                <w:rFonts w:eastAsia="Times New Roman"/>
                <w:sz w:val="20"/>
                <w:szCs w:val="20"/>
              </w:rPr>
              <w:t>56,3</w:t>
            </w:r>
          </w:p>
        </w:tc>
        <w:tc>
          <w:tcPr>
            <w:tcW w:w="683" w:type="dxa"/>
            <w:tcBorders>
              <w:top w:val="nil"/>
              <w:left w:val="nil"/>
              <w:bottom w:val="single" w:sz="4" w:space="0" w:color="auto"/>
              <w:right w:val="single" w:sz="4" w:space="0" w:color="auto"/>
            </w:tcBorders>
            <w:shd w:val="clear" w:color="000000" w:fill="F8F9FA"/>
            <w:vAlign w:val="center"/>
            <w:hideMark/>
          </w:tcPr>
          <w:p w14:paraId="519B2229" w14:textId="77777777" w:rsidR="00E2603D" w:rsidRPr="008E63BB" w:rsidRDefault="00E2603D" w:rsidP="00276AC0">
            <w:pPr>
              <w:jc w:val="right"/>
              <w:rPr>
                <w:rFonts w:eastAsia="Times New Roman"/>
                <w:sz w:val="20"/>
                <w:szCs w:val="20"/>
              </w:rPr>
            </w:pPr>
            <w:r w:rsidRPr="008E63BB">
              <w:rPr>
                <w:rFonts w:eastAsia="Times New Roman"/>
                <w:sz w:val="20"/>
                <w:szCs w:val="20"/>
              </w:rPr>
              <w:t>2.445</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2A" w14:textId="77777777" w:rsidR="00E2603D" w:rsidRPr="008E63BB" w:rsidRDefault="00E2603D" w:rsidP="00276AC0">
            <w:pPr>
              <w:jc w:val="right"/>
              <w:rPr>
                <w:rFonts w:eastAsia="Times New Roman"/>
                <w:sz w:val="20"/>
                <w:szCs w:val="20"/>
              </w:rPr>
            </w:pPr>
            <w:r w:rsidRPr="008E63BB">
              <w:rPr>
                <w:rFonts w:eastAsia="Times New Roman"/>
                <w:sz w:val="20"/>
                <w:szCs w:val="20"/>
              </w:rPr>
              <w:t>3,6</w:t>
            </w:r>
          </w:p>
        </w:tc>
        <w:tc>
          <w:tcPr>
            <w:tcW w:w="656" w:type="dxa"/>
            <w:tcBorders>
              <w:top w:val="nil"/>
              <w:left w:val="nil"/>
              <w:bottom w:val="single" w:sz="4" w:space="0" w:color="auto"/>
              <w:right w:val="single" w:sz="4" w:space="0" w:color="auto"/>
            </w:tcBorders>
            <w:shd w:val="clear" w:color="auto" w:fill="auto"/>
            <w:noWrap/>
            <w:vAlign w:val="bottom"/>
            <w:hideMark/>
          </w:tcPr>
          <w:p w14:paraId="519B222B" w14:textId="77777777" w:rsidR="00E2603D" w:rsidRPr="008E63BB" w:rsidRDefault="00E2603D" w:rsidP="00276AC0">
            <w:pPr>
              <w:jc w:val="right"/>
              <w:rPr>
                <w:rFonts w:eastAsia="Times New Roman"/>
                <w:sz w:val="20"/>
                <w:szCs w:val="20"/>
              </w:rPr>
            </w:pPr>
            <w:r w:rsidRPr="008E63BB">
              <w:rPr>
                <w:rFonts w:eastAsia="Times New Roman"/>
                <w:sz w:val="20"/>
                <w:szCs w:val="20"/>
              </w:rPr>
              <w:t>47</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2C" w14:textId="77777777" w:rsidR="00E2603D" w:rsidRPr="008E63BB" w:rsidRDefault="00E2603D" w:rsidP="00276AC0">
            <w:pPr>
              <w:jc w:val="right"/>
              <w:rPr>
                <w:rFonts w:eastAsia="Times New Roman"/>
                <w:sz w:val="20"/>
                <w:szCs w:val="20"/>
              </w:rPr>
            </w:pPr>
            <w:r w:rsidRPr="008E63BB">
              <w:rPr>
                <w:rFonts w:eastAsia="Times New Roman"/>
                <w:sz w:val="20"/>
                <w:szCs w:val="20"/>
              </w:rPr>
              <w:t>2,53</w:t>
            </w:r>
          </w:p>
        </w:tc>
        <w:tc>
          <w:tcPr>
            <w:tcW w:w="656" w:type="dxa"/>
            <w:tcBorders>
              <w:top w:val="nil"/>
              <w:left w:val="nil"/>
              <w:bottom w:val="single" w:sz="4" w:space="0" w:color="auto"/>
              <w:right w:val="single" w:sz="4" w:space="0" w:color="auto"/>
            </w:tcBorders>
            <w:shd w:val="clear" w:color="auto" w:fill="auto"/>
            <w:noWrap/>
            <w:vAlign w:val="bottom"/>
            <w:hideMark/>
          </w:tcPr>
          <w:p w14:paraId="519B222D" w14:textId="77777777" w:rsidR="00E2603D" w:rsidRPr="008E63BB" w:rsidRDefault="00E2603D" w:rsidP="00276AC0">
            <w:pPr>
              <w:jc w:val="right"/>
              <w:rPr>
                <w:rFonts w:eastAsia="Times New Roman"/>
                <w:sz w:val="20"/>
                <w:szCs w:val="20"/>
              </w:rPr>
            </w:pPr>
            <w:r w:rsidRPr="008E63BB">
              <w:rPr>
                <w:rFonts w:eastAsia="Times New Roman"/>
                <w:sz w:val="20"/>
                <w:szCs w:val="20"/>
              </w:rPr>
              <w:t>49</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2E" w14:textId="77777777" w:rsidR="00E2603D" w:rsidRPr="008E63BB" w:rsidRDefault="00E2603D" w:rsidP="00276AC0">
            <w:pPr>
              <w:jc w:val="right"/>
              <w:rPr>
                <w:rFonts w:eastAsia="Times New Roman"/>
                <w:sz w:val="20"/>
                <w:szCs w:val="20"/>
              </w:rPr>
            </w:pPr>
            <w:r w:rsidRPr="008E63BB">
              <w:rPr>
                <w:rFonts w:eastAsia="Times New Roman"/>
                <w:sz w:val="20"/>
                <w:szCs w:val="20"/>
              </w:rPr>
              <w:t>1,9</w:t>
            </w:r>
          </w:p>
        </w:tc>
        <w:tc>
          <w:tcPr>
            <w:tcW w:w="656" w:type="dxa"/>
            <w:tcBorders>
              <w:top w:val="nil"/>
              <w:left w:val="nil"/>
              <w:bottom w:val="single" w:sz="4" w:space="0" w:color="auto"/>
              <w:right w:val="single" w:sz="4" w:space="0" w:color="auto"/>
            </w:tcBorders>
            <w:shd w:val="clear" w:color="auto" w:fill="auto"/>
            <w:noWrap/>
            <w:vAlign w:val="bottom"/>
            <w:hideMark/>
          </w:tcPr>
          <w:p w14:paraId="519B222F"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3D"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31" w14:textId="77777777" w:rsidR="00E2603D" w:rsidRPr="008E63BB" w:rsidRDefault="00E2603D" w:rsidP="00276AC0">
            <w:pPr>
              <w:jc w:val="right"/>
              <w:rPr>
                <w:rFonts w:eastAsia="Times New Roman"/>
                <w:sz w:val="20"/>
                <w:szCs w:val="20"/>
              </w:rPr>
            </w:pPr>
            <w:r w:rsidRPr="008E63BB">
              <w:rPr>
                <w:rFonts w:eastAsia="Times New Roman"/>
                <w:sz w:val="20"/>
                <w:szCs w:val="20"/>
              </w:rPr>
              <w:t>8</w:t>
            </w:r>
          </w:p>
        </w:tc>
        <w:tc>
          <w:tcPr>
            <w:tcW w:w="1704" w:type="dxa"/>
            <w:tcBorders>
              <w:top w:val="nil"/>
              <w:left w:val="nil"/>
              <w:bottom w:val="single" w:sz="4" w:space="0" w:color="auto"/>
              <w:right w:val="single" w:sz="4" w:space="0" w:color="auto"/>
            </w:tcBorders>
            <w:shd w:val="clear" w:color="auto" w:fill="auto"/>
            <w:noWrap/>
            <w:vAlign w:val="bottom"/>
            <w:hideMark/>
          </w:tcPr>
          <w:p w14:paraId="519B2232" w14:textId="77777777" w:rsidR="00E2603D" w:rsidRPr="008E63BB" w:rsidRDefault="00E2603D" w:rsidP="00276AC0">
            <w:pPr>
              <w:jc w:val="left"/>
              <w:rPr>
                <w:rFonts w:eastAsia="Times New Roman"/>
                <w:sz w:val="20"/>
                <w:szCs w:val="20"/>
              </w:rPr>
            </w:pPr>
            <w:r w:rsidRPr="008E63BB">
              <w:rPr>
                <w:rFonts w:eastAsia="Times New Roman"/>
                <w:sz w:val="20"/>
                <w:szCs w:val="20"/>
              </w:rPr>
              <w:t>Hà Nội</w:t>
            </w:r>
          </w:p>
        </w:tc>
        <w:tc>
          <w:tcPr>
            <w:tcW w:w="903" w:type="dxa"/>
            <w:tcBorders>
              <w:top w:val="nil"/>
              <w:left w:val="nil"/>
              <w:bottom w:val="single" w:sz="4" w:space="0" w:color="auto"/>
              <w:right w:val="single" w:sz="4" w:space="0" w:color="auto"/>
            </w:tcBorders>
            <w:shd w:val="clear" w:color="auto" w:fill="auto"/>
            <w:noWrap/>
            <w:vAlign w:val="bottom"/>
            <w:hideMark/>
          </w:tcPr>
          <w:p w14:paraId="519B2233" w14:textId="77777777" w:rsidR="00E2603D" w:rsidRPr="008E63BB" w:rsidRDefault="00E2603D" w:rsidP="00276AC0">
            <w:pPr>
              <w:jc w:val="right"/>
              <w:rPr>
                <w:rFonts w:eastAsia="Times New Roman"/>
                <w:sz w:val="20"/>
                <w:szCs w:val="20"/>
              </w:rPr>
            </w:pPr>
            <w:r w:rsidRPr="008E63BB">
              <w:rPr>
                <w:rFonts w:eastAsia="Times New Roman"/>
                <w:sz w:val="20"/>
                <w:szCs w:val="20"/>
              </w:rPr>
              <w:t>8,5</w:t>
            </w:r>
          </w:p>
        </w:tc>
        <w:tc>
          <w:tcPr>
            <w:tcW w:w="683" w:type="dxa"/>
            <w:tcBorders>
              <w:top w:val="nil"/>
              <w:left w:val="nil"/>
              <w:bottom w:val="single" w:sz="4" w:space="0" w:color="auto"/>
              <w:right w:val="single" w:sz="4" w:space="0" w:color="auto"/>
            </w:tcBorders>
            <w:shd w:val="clear" w:color="auto" w:fill="auto"/>
            <w:noWrap/>
            <w:vAlign w:val="bottom"/>
            <w:hideMark/>
          </w:tcPr>
          <w:p w14:paraId="519B2234" w14:textId="77777777" w:rsidR="00E2603D" w:rsidRPr="008E63BB" w:rsidRDefault="00E2603D" w:rsidP="00276AC0">
            <w:pPr>
              <w:jc w:val="right"/>
              <w:rPr>
                <w:rFonts w:eastAsia="Times New Roman"/>
                <w:sz w:val="20"/>
                <w:szCs w:val="20"/>
              </w:rPr>
            </w:pPr>
            <w:r w:rsidRPr="008E63BB">
              <w:rPr>
                <w:rFonts w:eastAsia="Times New Roman"/>
                <w:sz w:val="20"/>
                <w:szCs w:val="20"/>
              </w:rPr>
              <w:t>7,62</w:t>
            </w:r>
          </w:p>
        </w:tc>
        <w:tc>
          <w:tcPr>
            <w:tcW w:w="1027" w:type="dxa"/>
            <w:tcBorders>
              <w:top w:val="nil"/>
              <w:left w:val="nil"/>
              <w:bottom w:val="single" w:sz="4" w:space="0" w:color="auto"/>
              <w:right w:val="single" w:sz="4" w:space="0" w:color="auto"/>
            </w:tcBorders>
            <w:shd w:val="clear" w:color="000000" w:fill="F8F9FA"/>
            <w:vAlign w:val="center"/>
            <w:hideMark/>
          </w:tcPr>
          <w:p w14:paraId="519B2235" w14:textId="77777777" w:rsidR="00E2603D" w:rsidRPr="008E63BB" w:rsidRDefault="00E2603D" w:rsidP="00276AC0">
            <w:pPr>
              <w:jc w:val="right"/>
              <w:rPr>
                <w:rFonts w:eastAsia="Times New Roman"/>
                <w:sz w:val="20"/>
                <w:szCs w:val="20"/>
              </w:rPr>
            </w:pPr>
            <w:r w:rsidRPr="008E63BB">
              <w:rPr>
                <w:rFonts w:eastAsia="Times New Roman"/>
                <w:sz w:val="20"/>
                <w:szCs w:val="20"/>
              </w:rPr>
              <w:t>93,9</w:t>
            </w:r>
          </w:p>
        </w:tc>
        <w:tc>
          <w:tcPr>
            <w:tcW w:w="683" w:type="dxa"/>
            <w:tcBorders>
              <w:top w:val="nil"/>
              <w:left w:val="nil"/>
              <w:bottom w:val="single" w:sz="4" w:space="0" w:color="auto"/>
              <w:right w:val="single" w:sz="4" w:space="0" w:color="auto"/>
            </w:tcBorders>
            <w:shd w:val="clear" w:color="000000" w:fill="F8F9FA"/>
            <w:vAlign w:val="center"/>
            <w:hideMark/>
          </w:tcPr>
          <w:p w14:paraId="519B2236" w14:textId="77777777" w:rsidR="00E2603D" w:rsidRPr="008E63BB" w:rsidRDefault="00E2603D" w:rsidP="00276AC0">
            <w:pPr>
              <w:jc w:val="right"/>
              <w:rPr>
                <w:rFonts w:eastAsia="Times New Roman"/>
                <w:sz w:val="20"/>
                <w:szCs w:val="20"/>
              </w:rPr>
            </w:pPr>
            <w:r w:rsidRPr="008E63BB">
              <w:rPr>
                <w:rFonts w:eastAsia="Times New Roman"/>
                <w:sz w:val="20"/>
                <w:szCs w:val="20"/>
              </w:rPr>
              <w:t>4.080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37" w14:textId="77777777" w:rsidR="00E2603D" w:rsidRPr="008E63BB" w:rsidRDefault="00E2603D" w:rsidP="00276AC0">
            <w:pPr>
              <w:jc w:val="right"/>
              <w:rPr>
                <w:rFonts w:eastAsia="Times New Roman"/>
                <w:sz w:val="20"/>
                <w:szCs w:val="20"/>
              </w:rPr>
            </w:pPr>
            <w:r w:rsidRPr="008E63BB">
              <w:rPr>
                <w:rFonts w:eastAsia="Times New Roman"/>
                <w:sz w:val="20"/>
                <w:szCs w:val="20"/>
              </w:rPr>
              <w:t>0,9</w:t>
            </w:r>
          </w:p>
        </w:tc>
        <w:tc>
          <w:tcPr>
            <w:tcW w:w="656" w:type="dxa"/>
            <w:tcBorders>
              <w:top w:val="nil"/>
              <w:left w:val="nil"/>
              <w:bottom w:val="single" w:sz="4" w:space="0" w:color="auto"/>
              <w:right w:val="single" w:sz="4" w:space="0" w:color="auto"/>
            </w:tcBorders>
            <w:shd w:val="clear" w:color="auto" w:fill="auto"/>
            <w:noWrap/>
            <w:vAlign w:val="bottom"/>
            <w:hideMark/>
          </w:tcPr>
          <w:p w14:paraId="519B2238" w14:textId="77777777" w:rsidR="00E2603D" w:rsidRPr="008E63BB" w:rsidRDefault="00E2603D" w:rsidP="00276AC0">
            <w:pPr>
              <w:jc w:val="right"/>
              <w:rPr>
                <w:rFonts w:eastAsia="Times New Roman"/>
                <w:sz w:val="20"/>
                <w:szCs w:val="20"/>
              </w:rPr>
            </w:pPr>
            <w:r w:rsidRPr="008E63BB">
              <w:rPr>
                <w:rFonts w:eastAsia="Times New Roman"/>
                <w:sz w:val="20"/>
                <w:szCs w:val="20"/>
              </w:rPr>
              <w:t>60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39" w14:textId="77777777" w:rsidR="00E2603D" w:rsidRPr="008E63BB" w:rsidRDefault="00E2603D" w:rsidP="00276AC0">
            <w:pPr>
              <w:jc w:val="right"/>
              <w:rPr>
                <w:rFonts w:eastAsia="Times New Roman"/>
                <w:sz w:val="20"/>
                <w:szCs w:val="20"/>
              </w:rPr>
            </w:pPr>
            <w:r w:rsidRPr="008E63BB">
              <w:rPr>
                <w:rFonts w:eastAsia="Times New Roman"/>
                <w:sz w:val="20"/>
                <w:szCs w:val="20"/>
              </w:rPr>
              <w:t>0,59</w:t>
            </w:r>
          </w:p>
        </w:tc>
        <w:tc>
          <w:tcPr>
            <w:tcW w:w="656" w:type="dxa"/>
            <w:tcBorders>
              <w:top w:val="nil"/>
              <w:left w:val="nil"/>
              <w:bottom w:val="single" w:sz="4" w:space="0" w:color="auto"/>
              <w:right w:val="single" w:sz="4" w:space="0" w:color="auto"/>
            </w:tcBorders>
            <w:shd w:val="clear" w:color="auto" w:fill="auto"/>
            <w:noWrap/>
            <w:vAlign w:val="bottom"/>
            <w:hideMark/>
          </w:tcPr>
          <w:p w14:paraId="519B223A" w14:textId="77777777" w:rsidR="00E2603D" w:rsidRPr="008E63BB" w:rsidRDefault="00E2603D" w:rsidP="00276AC0">
            <w:pPr>
              <w:jc w:val="right"/>
              <w:rPr>
                <w:rFonts w:eastAsia="Times New Roman"/>
                <w:sz w:val="20"/>
                <w:szCs w:val="20"/>
              </w:rPr>
            </w:pPr>
            <w:r w:rsidRPr="008E63BB">
              <w:rPr>
                <w:rFonts w:eastAsia="Times New Roman"/>
                <w:sz w:val="20"/>
                <w:szCs w:val="20"/>
              </w:rPr>
              <w:t>60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3B" w14:textId="77777777" w:rsidR="00E2603D" w:rsidRPr="008E63BB" w:rsidRDefault="00E2603D" w:rsidP="00276AC0">
            <w:pPr>
              <w:jc w:val="right"/>
              <w:rPr>
                <w:rFonts w:eastAsia="Times New Roman"/>
                <w:sz w:val="20"/>
                <w:szCs w:val="20"/>
              </w:rPr>
            </w:pPr>
            <w:r w:rsidRPr="008E63BB">
              <w:rPr>
                <w:rFonts w:eastAsia="Times New Roman"/>
                <w:sz w:val="20"/>
                <w:szCs w:val="20"/>
              </w:rPr>
              <w:t>0,42</w:t>
            </w:r>
          </w:p>
        </w:tc>
        <w:tc>
          <w:tcPr>
            <w:tcW w:w="656" w:type="dxa"/>
            <w:tcBorders>
              <w:top w:val="nil"/>
              <w:left w:val="nil"/>
              <w:bottom w:val="single" w:sz="4" w:space="0" w:color="auto"/>
              <w:right w:val="single" w:sz="4" w:space="0" w:color="auto"/>
            </w:tcBorders>
            <w:shd w:val="clear" w:color="auto" w:fill="auto"/>
            <w:noWrap/>
            <w:vAlign w:val="bottom"/>
            <w:hideMark/>
          </w:tcPr>
          <w:p w14:paraId="519B223C"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4A"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3E" w14:textId="77777777" w:rsidR="00E2603D" w:rsidRPr="008E63BB" w:rsidRDefault="00E2603D" w:rsidP="00276AC0">
            <w:pPr>
              <w:jc w:val="right"/>
              <w:rPr>
                <w:rFonts w:eastAsia="Times New Roman"/>
                <w:sz w:val="20"/>
                <w:szCs w:val="20"/>
              </w:rPr>
            </w:pPr>
            <w:r w:rsidRPr="008E63BB">
              <w:rPr>
                <w:rFonts w:eastAsia="Times New Roman"/>
                <w:sz w:val="20"/>
                <w:szCs w:val="20"/>
              </w:rPr>
              <w:t>9</w:t>
            </w:r>
          </w:p>
        </w:tc>
        <w:tc>
          <w:tcPr>
            <w:tcW w:w="1704" w:type="dxa"/>
            <w:tcBorders>
              <w:top w:val="nil"/>
              <w:left w:val="nil"/>
              <w:bottom w:val="single" w:sz="4" w:space="0" w:color="auto"/>
              <w:right w:val="single" w:sz="4" w:space="0" w:color="auto"/>
            </w:tcBorders>
            <w:shd w:val="clear" w:color="auto" w:fill="auto"/>
            <w:noWrap/>
            <w:vAlign w:val="bottom"/>
            <w:hideMark/>
          </w:tcPr>
          <w:p w14:paraId="519B223F" w14:textId="77777777" w:rsidR="00E2603D" w:rsidRPr="008E63BB" w:rsidRDefault="00E2603D" w:rsidP="00276AC0">
            <w:pPr>
              <w:jc w:val="left"/>
              <w:rPr>
                <w:rFonts w:eastAsia="Times New Roman"/>
                <w:sz w:val="20"/>
                <w:szCs w:val="20"/>
              </w:rPr>
            </w:pPr>
            <w:r w:rsidRPr="008E63BB">
              <w:rPr>
                <w:rFonts w:eastAsia="Times New Roman"/>
                <w:sz w:val="20"/>
                <w:szCs w:val="20"/>
              </w:rPr>
              <w:t>Hà Nam</w:t>
            </w:r>
          </w:p>
        </w:tc>
        <w:tc>
          <w:tcPr>
            <w:tcW w:w="903" w:type="dxa"/>
            <w:tcBorders>
              <w:top w:val="nil"/>
              <w:left w:val="nil"/>
              <w:bottom w:val="single" w:sz="4" w:space="0" w:color="auto"/>
              <w:right w:val="single" w:sz="4" w:space="0" w:color="auto"/>
            </w:tcBorders>
            <w:shd w:val="clear" w:color="auto" w:fill="auto"/>
            <w:noWrap/>
            <w:vAlign w:val="bottom"/>
            <w:hideMark/>
          </w:tcPr>
          <w:p w14:paraId="519B2240" w14:textId="77777777" w:rsidR="00E2603D" w:rsidRPr="008E63BB" w:rsidRDefault="00E2603D" w:rsidP="00276AC0">
            <w:pPr>
              <w:jc w:val="right"/>
              <w:rPr>
                <w:rFonts w:eastAsia="Times New Roman"/>
                <w:sz w:val="20"/>
                <w:szCs w:val="20"/>
              </w:rPr>
            </w:pPr>
            <w:r w:rsidRPr="008E63BB">
              <w:rPr>
                <w:rFonts w:eastAsia="Times New Roman"/>
                <w:sz w:val="20"/>
                <w:szCs w:val="20"/>
              </w:rPr>
              <w:t>11,5</w:t>
            </w:r>
          </w:p>
        </w:tc>
        <w:tc>
          <w:tcPr>
            <w:tcW w:w="683" w:type="dxa"/>
            <w:tcBorders>
              <w:top w:val="nil"/>
              <w:left w:val="nil"/>
              <w:bottom w:val="single" w:sz="4" w:space="0" w:color="auto"/>
              <w:right w:val="single" w:sz="4" w:space="0" w:color="auto"/>
            </w:tcBorders>
            <w:shd w:val="clear" w:color="auto" w:fill="auto"/>
            <w:noWrap/>
            <w:vAlign w:val="bottom"/>
            <w:hideMark/>
          </w:tcPr>
          <w:p w14:paraId="519B2241" w14:textId="77777777" w:rsidR="00E2603D" w:rsidRPr="008E63BB" w:rsidRDefault="00E2603D" w:rsidP="00276AC0">
            <w:pPr>
              <w:jc w:val="right"/>
              <w:rPr>
                <w:rFonts w:eastAsia="Times New Roman"/>
                <w:sz w:val="20"/>
                <w:szCs w:val="20"/>
              </w:rPr>
            </w:pPr>
            <w:r w:rsidRPr="008E63BB">
              <w:rPr>
                <w:rFonts w:eastAsia="Times New Roman"/>
                <w:sz w:val="20"/>
                <w:szCs w:val="20"/>
              </w:rPr>
              <w:t>11,5</w:t>
            </w:r>
          </w:p>
        </w:tc>
        <w:tc>
          <w:tcPr>
            <w:tcW w:w="1027" w:type="dxa"/>
            <w:tcBorders>
              <w:top w:val="nil"/>
              <w:left w:val="nil"/>
              <w:bottom w:val="single" w:sz="4" w:space="0" w:color="auto"/>
              <w:right w:val="single" w:sz="4" w:space="0" w:color="auto"/>
            </w:tcBorders>
            <w:shd w:val="clear" w:color="000000" w:fill="F8F9FA"/>
            <w:vAlign w:val="center"/>
            <w:hideMark/>
          </w:tcPr>
          <w:p w14:paraId="519B2242" w14:textId="77777777" w:rsidR="00E2603D" w:rsidRPr="008E63BB" w:rsidRDefault="00E2603D" w:rsidP="00276AC0">
            <w:pPr>
              <w:jc w:val="right"/>
              <w:rPr>
                <w:rFonts w:eastAsia="Times New Roman"/>
                <w:sz w:val="20"/>
                <w:szCs w:val="20"/>
              </w:rPr>
            </w:pPr>
            <w:r w:rsidRPr="008E63BB">
              <w:rPr>
                <w:rFonts w:eastAsia="Times New Roman"/>
                <w:sz w:val="20"/>
                <w:szCs w:val="20"/>
              </w:rPr>
              <w:t>55,2</w:t>
            </w:r>
          </w:p>
        </w:tc>
        <w:tc>
          <w:tcPr>
            <w:tcW w:w="683" w:type="dxa"/>
            <w:tcBorders>
              <w:top w:val="nil"/>
              <w:left w:val="nil"/>
              <w:bottom w:val="single" w:sz="4" w:space="0" w:color="auto"/>
              <w:right w:val="single" w:sz="4" w:space="0" w:color="auto"/>
            </w:tcBorders>
            <w:shd w:val="clear" w:color="000000" w:fill="F8F9FA"/>
            <w:vAlign w:val="center"/>
            <w:hideMark/>
          </w:tcPr>
          <w:p w14:paraId="519B2243" w14:textId="77777777" w:rsidR="00E2603D" w:rsidRPr="008E63BB" w:rsidRDefault="00E2603D" w:rsidP="00276AC0">
            <w:pPr>
              <w:jc w:val="right"/>
              <w:rPr>
                <w:rFonts w:eastAsia="Times New Roman"/>
                <w:sz w:val="20"/>
                <w:szCs w:val="20"/>
              </w:rPr>
            </w:pPr>
            <w:r w:rsidRPr="008E63BB">
              <w:rPr>
                <w:rFonts w:eastAsia="Times New Roman"/>
                <w:sz w:val="20"/>
                <w:szCs w:val="20"/>
              </w:rPr>
              <w:t>2.397</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44" w14:textId="77777777" w:rsidR="00E2603D" w:rsidRPr="008E63BB" w:rsidRDefault="00E2603D" w:rsidP="00276AC0">
            <w:pPr>
              <w:jc w:val="right"/>
              <w:rPr>
                <w:rFonts w:eastAsia="Times New Roman"/>
                <w:sz w:val="20"/>
                <w:szCs w:val="20"/>
              </w:rPr>
            </w:pPr>
            <w:r w:rsidRPr="008E63BB">
              <w:rPr>
                <w:rFonts w:eastAsia="Times New Roman"/>
                <w:sz w:val="20"/>
                <w:szCs w:val="20"/>
              </w:rPr>
              <w:t>3,28</w:t>
            </w:r>
          </w:p>
        </w:tc>
        <w:tc>
          <w:tcPr>
            <w:tcW w:w="656" w:type="dxa"/>
            <w:tcBorders>
              <w:top w:val="nil"/>
              <w:left w:val="nil"/>
              <w:bottom w:val="single" w:sz="4" w:space="0" w:color="auto"/>
              <w:right w:val="single" w:sz="4" w:space="0" w:color="auto"/>
            </w:tcBorders>
            <w:shd w:val="clear" w:color="auto" w:fill="auto"/>
            <w:noWrap/>
            <w:vAlign w:val="bottom"/>
            <w:hideMark/>
          </w:tcPr>
          <w:p w14:paraId="519B2245" w14:textId="77777777" w:rsidR="00E2603D" w:rsidRPr="008E63BB" w:rsidRDefault="00E2603D" w:rsidP="00276AC0">
            <w:pPr>
              <w:jc w:val="right"/>
              <w:rPr>
                <w:rFonts w:eastAsia="Times New Roman"/>
                <w:sz w:val="20"/>
                <w:szCs w:val="20"/>
              </w:rPr>
            </w:pPr>
            <w:r w:rsidRPr="008E63BB">
              <w:rPr>
                <w:rFonts w:eastAsia="Times New Roman"/>
                <w:sz w:val="20"/>
                <w:szCs w:val="20"/>
              </w:rPr>
              <w:t>49</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46" w14:textId="77777777" w:rsidR="00E2603D" w:rsidRPr="008E63BB" w:rsidRDefault="00E2603D" w:rsidP="00276AC0">
            <w:pPr>
              <w:jc w:val="right"/>
              <w:rPr>
                <w:rFonts w:eastAsia="Times New Roman"/>
                <w:sz w:val="20"/>
                <w:szCs w:val="20"/>
              </w:rPr>
            </w:pPr>
            <w:r w:rsidRPr="008E63BB">
              <w:rPr>
                <w:rFonts w:eastAsia="Times New Roman"/>
                <w:sz w:val="20"/>
                <w:szCs w:val="20"/>
              </w:rPr>
              <w:t>2,73</w:t>
            </w:r>
          </w:p>
        </w:tc>
        <w:tc>
          <w:tcPr>
            <w:tcW w:w="656" w:type="dxa"/>
            <w:tcBorders>
              <w:top w:val="nil"/>
              <w:left w:val="nil"/>
              <w:bottom w:val="single" w:sz="4" w:space="0" w:color="auto"/>
              <w:right w:val="single" w:sz="4" w:space="0" w:color="auto"/>
            </w:tcBorders>
            <w:shd w:val="clear" w:color="auto" w:fill="auto"/>
            <w:noWrap/>
            <w:vAlign w:val="bottom"/>
            <w:hideMark/>
          </w:tcPr>
          <w:p w14:paraId="519B2247" w14:textId="77777777" w:rsidR="00E2603D" w:rsidRPr="008E63BB" w:rsidRDefault="00E2603D" w:rsidP="00276AC0">
            <w:pPr>
              <w:jc w:val="right"/>
              <w:rPr>
                <w:rFonts w:eastAsia="Times New Roman"/>
                <w:sz w:val="20"/>
                <w:szCs w:val="20"/>
              </w:rPr>
            </w:pPr>
            <w:r w:rsidRPr="008E63BB">
              <w:rPr>
                <w:rFonts w:eastAsia="Times New Roman"/>
                <w:sz w:val="20"/>
                <w:szCs w:val="20"/>
              </w:rPr>
              <w:t>45</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48" w14:textId="77777777" w:rsidR="00E2603D" w:rsidRPr="008E63BB" w:rsidRDefault="00E2603D" w:rsidP="00276AC0">
            <w:pPr>
              <w:jc w:val="right"/>
              <w:rPr>
                <w:rFonts w:eastAsia="Times New Roman"/>
                <w:sz w:val="20"/>
                <w:szCs w:val="20"/>
              </w:rPr>
            </w:pPr>
            <w:r w:rsidRPr="008E63BB">
              <w:rPr>
                <w:rFonts w:eastAsia="Times New Roman"/>
                <w:sz w:val="20"/>
                <w:szCs w:val="20"/>
              </w:rPr>
              <w:t>2,69</w:t>
            </w:r>
          </w:p>
        </w:tc>
        <w:tc>
          <w:tcPr>
            <w:tcW w:w="656" w:type="dxa"/>
            <w:tcBorders>
              <w:top w:val="nil"/>
              <w:left w:val="nil"/>
              <w:bottom w:val="single" w:sz="4" w:space="0" w:color="auto"/>
              <w:right w:val="single" w:sz="4" w:space="0" w:color="auto"/>
            </w:tcBorders>
            <w:shd w:val="clear" w:color="auto" w:fill="auto"/>
            <w:noWrap/>
            <w:vAlign w:val="bottom"/>
            <w:hideMark/>
          </w:tcPr>
          <w:p w14:paraId="519B2249"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57"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4B" w14:textId="77777777" w:rsidR="00E2603D" w:rsidRPr="008E63BB" w:rsidRDefault="00E2603D" w:rsidP="00276AC0">
            <w:pPr>
              <w:jc w:val="right"/>
              <w:rPr>
                <w:rFonts w:eastAsia="Times New Roman"/>
                <w:sz w:val="20"/>
                <w:szCs w:val="20"/>
              </w:rPr>
            </w:pPr>
            <w:r w:rsidRPr="008E63BB">
              <w:rPr>
                <w:rFonts w:eastAsia="Times New Roman"/>
                <w:sz w:val="20"/>
                <w:szCs w:val="20"/>
              </w:rPr>
              <w:t>10</w:t>
            </w:r>
          </w:p>
        </w:tc>
        <w:tc>
          <w:tcPr>
            <w:tcW w:w="1704" w:type="dxa"/>
            <w:tcBorders>
              <w:top w:val="nil"/>
              <w:left w:val="nil"/>
              <w:bottom w:val="single" w:sz="4" w:space="0" w:color="auto"/>
              <w:right w:val="single" w:sz="4" w:space="0" w:color="auto"/>
            </w:tcBorders>
            <w:shd w:val="clear" w:color="auto" w:fill="auto"/>
            <w:noWrap/>
            <w:vAlign w:val="bottom"/>
            <w:hideMark/>
          </w:tcPr>
          <w:p w14:paraId="519B224C" w14:textId="77777777" w:rsidR="00E2603D" w:rsidRPr="008E63BB" w:rsidRDefault="00E2603D" w:rsidP="00276AC0">
            <w:pPr>
              <w:jc w:val="left"/>
              <w:rPr>
                <w:rFonts w:eastAsia="Times New Roman"/>
                <w:sz w:val="20"/>
                <w:szCs w:val="20"/>
              </w:rPr>
            </w:pPr>
            <w:r w:rsidRPr="008E63BB">
              <w:rPr>
                <w:rFonts w:eastAsia="Times New Roman"/>
                <w:sz w:val="20"/>
                <w:szCs w:val="20"/>
              </w:rPr>
              <w:t>Ninh Bình</w:t>
            </w:r>
          </w:p>
        </w:tc>
        <w:tc>
          <w:tcPr>
            <w:tcW w:w="903" w:type="dxa"/>
            <w:tcBorders>
              <w:top w:val="nil"/>
              <w:left w:val="nil"/>
              <w:bottom w:val="single" w:sz="4" w:space="0" w:color="auto"/>
              <w:right w:val="single" w:sz="4" w:space="0" w:color="auto"/>
            </w:tcBorders>
            <w:shd w:val="clear" w:color="auto" w:fill="auto"/>
            <w:noWrap/>
            <w:vAlign w:val="bottom"/>
            <w:hideMark/>
          </w:tcPr>
          <w:p w14:paraId="519B224D" w14:textId="77777777" w:rsidR="00E2603D" w:rsidRPr="008E63BB" w:rsidRDefault="00E2603D" w:rsidP="00276AC0">
            <w:pPr>
              <w:jc w:val="right"/>
              <w:rPr>
                <w:rFonts w:eastAsia="Times New Roman"/>
                <w:sz w:val="20"/>
                <w:szCs w:val="20"/>
              </w:rPr>
            </w:pPr>
            <w:r w:rsidRPr="008E63BB">
              <w:rPr>
                <w:rFonts w:eastAsia="Times New Roman"/>
                <w:sz w:val="20"/>
                <w:szCs w:val="20"/>
              </w:rPr>
              <w:t>9,27</w:t>
            </w:r>
          </w:p>
        </w:tc>
        <w:tc>
          <w:tcPr>
            <w:tcW w:w="683" w:type="dxa"/>
            <w:tcBorders>
              <w:top w:val="nil"/>
              <w:left w:val="nil"/>
              <w:bottom w:val="single" w:sz="4" w:space="0" w:color="auto"/>
              <w:right w:val="single" w:sz="4" w:space="0" w:color="auto"/>
            </w:tcBorders>
            <w:shd w:val="clear" w:color="auto" w:fill="auto"/>
            <w:noWrap/>
            <w:vAlign w:val="bottom"/>
            <w:hideMark/>
          </w:tcPr>
          <w:p w14:paraId="519B224E" w14:textId="77777777" w:rsidR="00E2603D" w:rsidRPr="008E63BB" w:rsidRDefault="00E2603D" w:rsidP="00276AC0">
            <w:pPr>
              <w:jc w:val="right"/>
              <w:rPr>
                <w:rFonts w:eastAsia="Times New Roman"/>
                <w:sz w:val="20"/>
                <w:szCs w:val="20"/>
              </w:rPr>
            </w:pPr>
            <w:r w:rsidRPr="008E63BB">
              <w:rPr>
                <w:rFonts w:eastAsia="Times New Roman"/>
                <w:sz w:val="20"/>
                <w:szCs w:val="20"/>
              </w:rPr>
              <w:t>10,02</w:t>
            </w:r>
          </w:p>
        </w:tc>
        <w:tc>
          <w:tcPr>
            <w:tcW w:w="1027" w:type="dxa"/>
            <w:tcBorders>
              <w:top w:val="nil"/>
              <w:left w:val="nil"/>
              <w:bottom w:val="single" w:sz="4" w:space="0" w:color="auto"/>
              <w:right w:val="single" w:sz="4" w:space="0" w:color="auto"/>
            </w:tcBorders>
            <w:shd w:val="clear" w:color="000000" w:fill="F8F9FA"/>
            <w:vAlign w:val="center"/>
            <w:hideMark/>
          </w:tcPr>
          <w:p w14:paraId="519B224F" w14:textId="77777777" w:rsidR="00E2603D" w:rsidRPr="008E63BB" w:rsidRDefault="00E2603D" w:rsidP="00276AC0">
            <w:pPr>
              <w:jc w:val="right"/>
              <w:rPr>
                <w:rFonts w:eastAsia="Times New Roman"/>
                <w:sz w:val="20"/>
                <w:szCs w:val="20"/>
              </w:rPr>
            </w:pPr>
            <w:r w:rsidRPr="008E63BB">
              <w:rPr>
                <w:rFonts w:eastAsia="Times New Roman"/>
                <w:sz w:val="20"/>
                <w:szCs w:val="20"/>
              </w:rPr>
              <w:t>48,5</w:t>
            </w:r>
          </w:p>
        </w:tc>
        <w:tc>
          <w:tcPr>
            <w:tcW w:w="683" w:type="dxa"/>
            <w:tcBorders>
              <w:top w:val="nil"/>
              <w:left w:val="nil"/>
              <w:bottom w:val="single" w:sz="4" w:space="0" w:color="auto"/>
              <w:right w:val="single" w:sz="4" w:space="0" w:color="auto"/>
            </w:tcBorders>
            <w:shd w:val="clear" w:color="000000" w:fill="F8F9FA"/>
            <w:vAlign w:val="center"/>
            <w:hideMark/>
          </w:tcPr>
          <w:p w14:paraId="519B2250" w14:textId="77777777" w:rsidR="00E2603D" w:rsidRPr="008E63BB" w:rsidRDefault="00E2603D" w:rsidP="00276AC0">
            <w:pPr>
              <w:jc w:val="right"/>
              <w:rPr>
                <w:rFonts w:eastAsia="Times New Roman"/>
                <w:sz w:val="20"/>
                <w:szCs w:val="20"/>
              </w:rPr>
            </w:pPr>
            <w:r w:rsidRPr="008E63BB">
              <w:rPr>
                <w:rFonts w:eastAsia="Times New Roman"/>
                <w:sz w:val="20"/>
                <w:szCs w:val="20"/>
              </w:rPr>
              <w:t>2.106</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51" w14:textId="77777777" w:rsidR="00E2603D" w:rsidRPr="008E63BB" w:rsidRDefault="00E2603D" w:rsidP="00276AC0">
            <w:pPr>
              <w:jc w:val="right"/>
              <w:rPr>
                <w:rFonts w:eastAsia="Times New Roman"/>
                <w:sz w:val="20"/>
                <w:szCs w:val="20"/>
              </w:rPr>
            </w:pPr>
            <w:r w:rsidRPr="008E63BB">
              <w:rPr>
                <w:rFonts w:eastAsia="Times New Roman"/>
                <w:sz w:val="20"/>
                <w:szCs w:val="20"/>
              </w:rPr>
              <w:t>4,52</w:t>
            </w:r>
          </w:p>
        </w:tc>
        <w:tc>
          <w:tcPr>
            <w:tcW w:w="656" w:type="dxa"/>
            <w:tcBorders>
              <w:top w:val="nil"/>
              <w:left w:val="nil"/>
              <w:bottom w:val="single" w:sz="4" w:space="0" w:color="auto"/>
              <w:right w:val="single" w:sz="4" w:space="0" w:color="auto"/>
            </w:tcBorders>
            <w:shd w:val="clear" w:color="auto" w:fill="auto"/>
            <w:noWrap/>
            <w:vAlign w:val="bottom"/>
            <w:hideMark/>
          </w:tcPr>
          <w:p w14:paraId="519B2252" w14:textId="77777777" w:rsidR="00E2603D" w:rsidRPr="008E63BB" w:rsidRDefault="00E2603D" w:rsidP="00276AC0">
            <w:pPr>
              <w:jc w:val="right"/>
              <w:rPr>
                <w:rFonts w:eastAsia="Times New Roman"/>
                <w:sz w:val="20"/>
                <w:szCs w:val="20"/>
              </w:rPr>
            </w:pPr>
            <w:r w:rsidRPr="008E63BB">
              <w:rPr>
                <w:rFonts w:eastAsia="Times New Roman"/>
                <w:sz w:val="20"/>
                <w:szCs w:val="20"/>
              </w:rPr>
              <w:t>40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53" w14:textId="77777777" w:rsidR="00E2603D" w:rsidRPr="008E63BB" w:rsidRDefault="00E2603D" w:rsidP="00276AC0">
            <w:pPr>
              <w:jc w:val="right"/>
              <w:rPr>
                <w:rFonts w:eastAsia="Times New Roman"/>
                <w:sz w:val="20"/>
                <w:szCs w:val="20"/>
              </w:rPr>
            </w:pPr>
            <w:r w:rsidRPr="008E63BB">
              <w:rPr>
                <w:rFonts w:eastAsia="Times New Roman"/>
                <w:sz w:val="20"/>
                <w:szCs w:val="20"/>
              </w:rPr>
              <w:t>3,63</w:t>
            </w:r>
          </w:p>
        </w:tc>
        <w:tc>
          <w:tcPr>
            <w:tcW w:w="656" w:type="dxa"/>
            <w:tcBorders>
              <w:top w:val="nil"/>
              <w:left w:val="nil"/>
              <w:bottom w:val="single" w:sz="4" w:space="0" w:color="auto"/>
              <w:right w:val="single" w:sz="4" w:space="0" w:color="auto"/>
            </w:tcBorders>
            <w:shd w:val="clear" w:color="auto" w:fill="auto"/>
            <w:noWrap/>
            <w:vAlign w:val="bottom"/>
            <w:hideMark/>
          </w:tcPr>
          <w:p w14:paraId="519B2254" w14:textId="77777777" w:rsidR="00E2603D" w:rsidRPr="008E63BB" w:rsidRDefault="00E2603D" w:rsidP="00276AC0">
            <w:pPr>
              <w:jc w:val="right"/>
              <w:rPr>
                <w:rFonts w:eastAsia="Times New Roman"/>
                <w:sz w:val="20"/>
                <w:szCs w:val="20"/>
              </w:rPr>
            </w:pPr>
            <w:r w:rsidRPr="008E63BB">
              <w:rPr>
                <w:rFonts w:eastAsia="Times New Roman"/>
                <w:sz w:val="20"/>
                <w:szCs w:val="20"/>
              </w:rPr>
              <w:t>40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55" w14:textId="77777777" w:rsidR="00E2603D" w:rsidRPr="008E63BB" w:rsidRDefault="00E2603D" w:rsidP="00276AC0">
            <w:pPr>
              <w:jc w:val="right"/>
              <w:rPr>
                <w:rFonts w:eastAsia="Times New Roman"/>
                <w:sz w:val="20"/>
                <w:szCs w:val="20"/>
              </w:rPr>
            </w:pPr>
            <w:r w:rsidRPr="008E63BB">
              <w:rPr>
                <w:rFonts w:eastAsia="Times New Roman"/>
                <w:sz w:val="20"/>
                <w:szCs w:val="20"/>
              </w:rPr>
              <w:t>2,57</w:t>
            </w:r>
          </w:p>
        </w:tc>
        <w:tc>
          <w:tcPr>
            <w:tcW w:w="656" w:type="dxa"/>
            <w:tcBorders>
              <w:top w:val="nil"/>
              <w:left w:val="nil"/>
              <w:bottom w:val="single" w:sz="4" w:space="0" w:color="auto"/>
              <w:right w:val="single" w:sz="4" w:space="0" w:color="auto"/>
            </w:tcBorders>
            <w:shd w:val="clear" w:color="auto" w:fill="auto"/>
            <w:noWrap/>
            <w:vAlign w:val="bottom"/>
            <w:hideMark/>
          </w:tcPr>
          <w:p w14:paraId="519B2256"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64"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58" w14:textId="77777777" w:rsidR="00E2603D" w:rsidRPr="008E63BB" w:rsidRDefault="00E2603D" w:rsidP="00276AC0">
            <w:pPr>
              <w:jc w:val="right"/>
              <w:rPr>
                <w:rFonts w:eastAsia="Times New Roman"/>
                <w:sz w:val="20"/>
                <w:szCs w:val="20"/>
              </w:rPr>
            </w:pPr>
            <w:r w:rsidRPr="008E63BB">
              <w:rPr>
                <w:rFonts w:eastAsia="Times New Roman"/>
                <w:sz w:val="20"/>
                <w:szCs w:val="20"/>
              </w:rPr>
              <w:t>11</w:t>
            </w:r>
          </w:p>
        </w:tc>
        <w:tc>
          <w:tcPr>
            <w:tcW w:w="1704" w:type="dxa"/>
            <w:tcBorders>
              <w:top w:val="nil"/>
              <w:left w:val="nil"/>
              <w:bottom w:val="single" w:sz="4" w:space="0" w:color="auto"/>
              <w:right w:val="single" w:sz="4" w:space="0" w:color="auto"/>
            </w:tcBorders>
            <w:shd w:val="clear" w:color="auto" w:fill="auto"/>
            <w:noWrap/>
            <w:vAlign w:val="bottom"/>
            <w:hideMark/>
          </w:tcPr>
          <w:p w14:paraId="519B2259" w14:textId="77777777" w:rsidR="00E2603D" w:rsidRPr="008E63BB" w:rsidRDefault="00E2603D" w:rsidP="00276AC0">
            <w:pPr>
              <w:jc w:val="left"/>
              <w:rPr>
                <w:rFonts w:eastAsia="Times New Roman"/>
                <w:sz w:val="20"/>
                <w:szCs w:val="20"/>
              </w:rPr>
            </w:pPr>
            <w:r w:rsidRPr="008E63BB">
              <w:rPr>
                <w:rFonts w:eastAsia="Times New Roman"/>
                <w:sz w:val="20"/>
                <w:szCs w:val="20"/>
              </w:rPr>
              <w:t>Thái Bình</w:t>
            </w:r>
          </w:p>
        </w:tc>
        <w:tc>
          <w:tcPr>
            <w:tcW w:w="903" w:type="dxa"/>
            <w:tcBorders>
              <w:top w:val="nil"/>
              <w:left w:val="nil"/>
              <w:bottom w:val="single" w:sz="4" w:space="0" w:color="auto"/>
              <w:right w:val="single" w:sz="4" w:space="0" w:color="auto"/>
            </w:tcBorders>
            <w:shd w:val="clear" w:color="auto" w:fill="auto"/>
            <w:noWrap/>
            <w:vAlign w:val="bottom"/>
            <w:hideMark/>
          </w:tcPr>
          <w:p w14:paraId="519B225A" w14:textId="77777777" w:rsidR="00E2603D" w:rsidRPr="008E63BB" w:rsidRDefault="00E2603D" w:rsidP="00276AC0">
            <w:pPr>
              <w:jc w:val="right"/>
              <w:rPr>
                <w:rFonts w:eastAsia="Times New Roman"/>
                <w:sz w:val="20"/>
                <w:szCs w:val="20"/>
              </w:rPr>
            </w:pPr>
            <w:r w:rsidRPr="008E63BB">
              <w:rPr>
                <w:rFonts w:eastAsia="Times New Roman"/>
                <w:sz w:val="20"/>
                <w:szCs w:val="20"/>
              </w:rPr>
              <w:t>10,53</w:t>
            </w:r>
          </w:p>
        </w:tc>
        <w:tc>
          <w:tcPr>
            <w:tcW w:w="683" w:type="dxa"/>
            <w:tcBorders>
              <w:top w:val="nil"/>
              <w:left w:val="nil"/>
              <w:bottom w:val="single" w:sz="4" w:space="0" w:color="auto"/>
              <w:right w:val="single" w:sz="4" w:space="0" w:color="auto"/>
            </w:tcBorders>
            <w:shd w:val="clear" w:color="auto" w:fill="auto"/>
            <w:noWrap/>
            <w:vAlign w:val="bottom"/>
            <w:hideMark/>
          </w:tcPr>
          <w:p w14:paraId="519B225B" w14:textId="77777777" w:rsidR="00E2603D" w:rsidRPr="008E63BB" w:rsidRDefault="00E2603D" w:rsidP="00276AC0">
            <w:pPr>
              <w:jc w:val="right"/>
              <w:rPr>
                <w:rFonts w:eastAsia="Times New Roman"/>
                <w:sz w:val="20"/>
                <w:szCs w:val="20"/>
              </w:rPr>
            </w:pPr>
            <w:r w:rsidRPr="008E63BB">
              <w:rPr>
                <w:rFonts w:eastAsia="Times New Roman"/>
                <w:sz w:val="20"/>
                <w:szCs w:val="20"/>
              </w:rPr>
              <w:t>10,3</w:t>
            </w:r>
          </w:p>
        </w:tc>
        <w:tc>
          <w:tcPr>
            <w:tcW w:w="1027" w:type="dxa"/>
            <w:tcBorders>
              <w:top w:val="nil"/>
              <w:left w:val="nil"/>
              <w:bottom w:val="single" w:sz="4" w:space="0" w:color="auto"/>
              <w:right w:val="single" w:sz="4" w:space="0" w:color="auto"/>
            </w:tcBorders>
            <w:shd w:val="clear" w:color="000000" w:fill="F8F9FA"/>
            <w:vAlign w:val="center"/>
            <w:hideMark/>
          </w:tcPr>
          <w:p w14:paraId="519B225C" w14:textId="77777777" w:rsidR="00E2603D" w:rsidRPr="008E63BB" w:rsidRDefault="00E2603D" w:rsidP="00276AC0">
            <w:pPr>
              <w:jc w:val="right"/>
              <w:rPr>
                <w:rFonts w:eastAsia="Times New Roman"/>
                <w:sz w:val="20"/>
                <w:szCs w:val="20"/>
              </w:rPr>
            </w:pPr>
            <w:r w:rsidRPr="008E63BB">
              <w:rPr>
                <w:rFonts w:eastAsia="Times New Roman"/>
                <w:sz w:val="20"/>
                <w:szCs w:val="20"/>
              </w:rPr>
              <w:t>38,0</w:t>
            </w:r>
          </w:p>
        </w:tc>
        <w:tc>
          <w:tcPr>
            <w:tcW w:w="683" w:type="dxa"/>
            <w:tcBorders>
              <w:top w:val="nil"/>
              <w:left w:val="nil"/>
              <w:bottom w:val="single" w:sz="4" w:space="0" w:color="auto"/>
              <w:right w:val="single" w:sz="4" w:space="0" w:color="auto"/>
            </w:tcBorders>
            <w:shd w:val="clear" w:color="000000" w:fill="F8F9FA"/>
            <w:vAlign w:val="center"/>
            <w:hideMark/>
          </w:tcPr>
          <w:p w14:paraId="519B225D" w14:textId="77777777" w:rsidR="00E2603D" w:rsidRPr="008E63BB" w:rsidRDefault="00E2603D" w:rsidP="00276AC0">
            <w:pPr>
              <w:jc w:val="right"/>
              <w:rPr>
                <w:rFonts w:eastAsia="Times New Roman"/>
                <w:sz w:val="20"/>
                <w:szCs w:val="20"/>
              </w:rPr>
            </w:pPr>
            <w:r w:rsidRPr="008E63BB">
              <w:rPr>
                <w:rFonts w:eastAsia="Times New Roman"/>
                <w:sz w:val="20"/>
                <w:szCs w:val="20"/>
              </w:rPr>
              <w:t>1.650</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5E" w14:textId="77777777" w:rsidR="00E2603D" w:rsidRPr="008E63BB" w:rsidRDefault="00E2603D" w:rsidP="00276AC0">
            <w:pPr>
              <w:jc w:val="right"/>
              <w:rPr>
                <w:rFonts w:eastAsia="Times New Roman"/>
                <w:sz w:val="20"/>
                <w:szCs w:val="20"/>
              </w:rPr>
            </w:pPr>
            <w:r w:rsidRPr="008E63BB">
              <w:rPr>
                <w:rFonts w:eastAsia="Times New Roman"/>
                <w:sz w:val="20"/>
                <w:szCs w:val="20"/>
              </w:rPr>
              <w:t>4,01</w:t>
            </w:r>
          </w:p>
        </w:tc>
        <w:tc>
          <w:tcPr>
            <w:tcW w:w="656" w:type="dxa"/>
            <w:tcBorders>
              <w:top w:val="nil"/>
              <w:left w:val="nil"/>
              <w:bottom w:val="single" w:sz="4" w:space="0" w:color="auto"/>
              <w:right w:val="single" w:sz="4" w:space="0" w:color="auto"/>
            </w:tcBorders>
            <w:shd w:val="clear" w:color="auto" w:fill="auto"/>
            <w:noWrap/>
            <w:vAlign w:val="bottom"/>
            <w:hideMark/>
          </w:tcPr>
          <w:p w14:paraId="519B225F" w14:textId="77777777" w:rsidR="00E2603D" w:rsidRPr="008E63BB" w:rsidRDefault="00E2603D" w:rsidP="00276AC0">
            <w:pPr>
              <w:jc w:val="right"/>
              <w:rPr>
                <w:rFonts w:eastAsia="Times New Roman"/>
                <w:sz w:val="20"/>
                <w:szCs w:val="20"/>
              </w:rPr>
            </w:pPr>
            <w:r w:rsidRPr="008E63BB">
              <w:rPr>
                <w:rFonts w:eastAsia="Times New Roman"/>
                <w:sz w:val="20"/>
                <w:szCs w:val="20"/>
              </w:rPr>
              <w:t>43</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60" w14:textId="77777777" w:rsidR="00E2603D" w:rsidRPr="008E63BB" w:rsidRDefault="00E2603D" w:rsidP="00276AC0">
            <w:pPr>
              <w:jc w:val="right"/>
              <w:rPr>
                <w:rFonts w:eastAsia="Times New Roman"/>
                <w:sz w:val="20"/>
                <w:szCs w:val="20"/>
              </w:rPr>
            </w:pPr>
            <w:r w:rsidRPr="008E63BB">
              <w:rPr>
                <w:rFonts w:eastAsia="Times New Roman"/>
                <w:sz w:val="20"/>
                <w:szCs w:val="20"/>
              </w:rPr>
              <w:t>3,35</w:t>
            </w:r>
          </w:p>
        </w:tc>
        <w:tc>
          <w:tcPr>
            <w:tcW w:w="656" w:type="dxa"/>
            <w:tcBorders>
              <w:top w:val="nil"/>
              <w:left w:val="nil"/>
              <w:bottom w:val="single" w:sz="4" w:space="0" w:color="auto"/>
              <w:right w:val="single" w:sz="4" w:space="0" w:color="auto"/>
            </w:tcBorders>
            <w:shd w:val="clear" w:color="auto" w:fill="auto"/>
            <w:noWrap/>
            <w:vAlign w:val="bottom"/>
            <w:hideMark/>
          </w:tcPr>
          <w:p w14:paraId="519B2261" w14:textId="77777777" w:rsidR="00E2603D" w:rsidRPr="008E63BB" w:rsidRDefault="00E2603D" w:rsidP="00276AC0">
            <w:pPr>
              <w:jc w:val="right"/>
              <w:rPr>
                <w:rFonts w:eastAsia="Times New Roman"/>
                <w:sz w:val="20"/>
                <w:szCs w:val="20"/>
              </w:rPr>
            </w:pPr>
            <w:r w:rsidRPr="008E63BB">
              <w:rPr>
                <w:rFonts w:eastAsia="Times New Roman"/>
                <w:sz w:val="20"/>
                <w:szCs w:val="20"/>
              </w:rPr>
              <w:t>43</w:t>
            </w:r>
          </w:p>
        </w:tc>
        <w:tc>
          <w:tcPr>
            <w:tcW w:w="656" w:type="dxa"/>
            <w:gridSpan w:val="2"/>
            <w:tcBorders>
              <w:top w:val="nil"/>
              <w:left w:val="nil"/>
              <w:bottom w:val="single" w:sz="4" w:space="0" w:color="auto"/>
              <w:right w:val="single" w:sz="4" w:space="0" w:color="auto"/>
            </w:tcBorders>
            <w:shd w:val="clear" w:color="auto" w:fill="auto"/>
            <w:noWrap/>
            <w:vAlign w:val="bottom"/>
            <w:hideMark/>
          </w:tcPr>
          <w:p w14:paraId="519B2262" w14:textId="77777777" w:rsidR="00E2603D" w:rsidRPr="008E63BB" w:rsidRDefault="00E2603D" w:rsidP="00276AC0">
            <w:pPr>
              <w:jc w:val="right"/>
              <w:rPr>
                <w:rFonts w:eastAsia="Times New Roman"/>
                <w:sz w:val="20"/>
                <w:szCs w:val="20"/>
              </w:rPr>
            </w:pPr>
            <w:r w:rsidRPr="008E63BB">
              <w:rPr>
                <w:rFonts w:eastAsia="Times New Roman"/>
                <w:sz w:val="20"/>
                <w:szCs w:val="20"/>
              </w:rPr>
              <w:t>2,66</w:t>
            </w:r>
          </w:p>
        </w:tc>
        <w:tc>
          <w:tcPr>
            <w:tcW w:w="656" w:type="dxa"/>
            <w:tcBorders>
              <w:top w:val="nil"/>
              <w:left w:val="nil"/>
              <w:bottom w:val="single" w:sz="4" w:space="0" w:color="auto"/>
              <w:right w:val="single" w:sz="4" w:space="0" w:color="auto"/>
            </w:tcBorders>
            <w:shd w:val="clear" w:color="auto" w:fill="auto"/>
            <w:noWrap/>
            <w:vAlign w:val="bottom"/>
            <w:hideMark/>
          </w:tcPr>
          <w:p w14:paraId="519B2263"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r>
      <w:tr w:rsidR="00E2603D" w:rsidRPr="008E63BB" w14:paraId="519B2271" w14:textId="77777777" w:rsidTr="003270A4">
        <w:trPr>
          <w:gridAfter w:val="1"/>
          <w:wAfter w:w="11" w:type="dxa"/>
          <w:trHeight w:val="278"/>
        </w:trPr>
        <w:tc>
          <w:tcPr>
            <w:tcW w:w="473" w:type="dxa"/>
            <w:tcBorders>
              <w:top w:val="nil"/>
              <w:left w:val="single" w:sz="4" w:space="0" w:color="auto"/>
              <w:bottom w:val="single" w:sz="4" w:space="0" w:color="auto"/>
              <w:right w:val="single" w:sz="4" w:space="0" w:color="auto"/>
            </w:tcBorders>
            <w:shd w:val="clear" w:color="auto" w:fill="auto"/>
            <w:noWrap/>
            <w:vAlign w:val="bottom"/>
            <w:hideMark/>
          </w:tcPr>
          <w:p w14:paraId="519B2265" w14:textId="77777777" w:rsidR="00E2603D" w:rsidRPr="008E63BB" w:rsidRDefault="00E2603D" w:rsidP="00276AC0">
            <w:pPr>
              <w:jc w:val="left"/>
              <w:rPr>
                <w:rFonts w:eastAsia="Times New Roman"/>
                <w:sz w:val="20"/>
                <w:szCs w:val="20"/>
              </w:rPr>
            </w:pPr>
            <w:r w:rsidRPr="008E63BB">
              <w:rPr>
                <w:rFonts w:eastAsia="Times New Roman"/>
                <w:sz w:val="20"/>
                <w:szCs w:val="20"/>
              </w:rPr>
              <w:t> </w:t>
            </w:r>
          </w:p>
        </w:tc>
        <w:tc>
          <w:tcPr>
            <w:tcW w:w="1704" w:type="dxa"/>
            <w:tcBorders>
              <w:top w:val="nil"/>
              <w:left w:val="nil"/>
              <w:bottom w:val="single" w:sz="4" w:space="0" w:color="auto"/>
              <w:right w:val="single" w:sz="4" w:space="0" w:color="auto"/>
            </w:tcBorders>
            <w:shd w:val="clear" w:color="auto" w:fill="auto"/>
            <w:noWrap/>
            <w:vAlign w:val="bottom"/>
            <w:hideMark/>
          </w:tcPr>
          <w:p w14:paraId="519B2266" w14:textId="77777777" w:rsidR="00E2603D" w:rsidRPr="008E63BB" w:rsidRDefault="00E2603D" w:rsidP="00276AC0">
            <w:pPr>
              <w:jc w:val="left"/>
              <w:rPr>
                <w:rFonts w:eastAsia="Times New Roman"/>
                <w:b/>
                <w:bCs/>
                <w:sz w:val="20"/>
                <w:szCs w:val="20"/>
              </w:rPr>
            </w:pPr>
            <w:r w:rsidRPr="008E63BB">
              <w:rPr>
                <w:rFonts w:eastAsia="Times New Roman"/>
                <w:b/>
                <w:bCs/>
                <w:sz w:val="20"/>
                <w:szCs w:val="20"/>
              </w:rPr>
              <w:t>Cả nước</w:t>
            </w:r>
          </w:p>
        </w:tc>
        <w:tc>
          <w:tcPr>
            <w:tcW w:w="903" w:type="dxa"/>
            <w:tcBorders>
              <w:top w:val="nil"/>
              <w:left w:val="nil"/>
              <w:bottom w:val="single" w:sz="4" w:space="0" w:color="auto"/>
              <w:right w:val="single" w:sz="4" w:space="0" w:color="auto"/>
            </w:tcBorders>
            <w:shd w:val="clear" w:color="auto" w:fill="auto"/>
            <w:noWrap/>
            <w:vAlign w:val="bottom"/>
            <w:hideMark/>
          </w:tcPr>
          <w:p w14:paraId="519B2267"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7,08</w:t>
            </w:r>
          </w:p>
        </w:tc>
        <w:tc>
          <w:tcPr>
            <w:tcW w:w="683" w:type="dxa"/>
            <w:tcBorders>
              <w:top w:val="nil"/>
              <w:left w:val="nil"/>
              <w:bottom w:val="single" w:sz="4" w:space="0" w:color="auto"/>
              <w:right w:val="single" w:sz="4" w:space="0" w:color="auto"/>
            </w:tcBorders>
            <w:shd w:val="clear" w:color="auto" w:fill="auto"/>
            <w:noWrap/>
            <w:vAlign w:val="bottom"/>
            <w:hideMark/>
          </w:tcPr>
          <w:p w14:paraId="519B2268"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7,02</w:t>
            </w:r>
          </w:p>
        </w:tc>
        <w:tc>
          <w:tcPr>
            <w:tcW w:w="1027" w:type="dxa"/>
            <w:tcBorders>
              <w:top w:val="nil"/>
              <w:left w:val="nil"/>
              <w:bottom w:val="single" w:sz="4" w:space="0" w:color="auto"/>
              <w:right w:val="single" w:sz="4" w:space="0" w:color="auto"/>
            </w:tcBorders>
            <w:shd w:val="clear" w:color="auto" w:fill="auto"/>
            <w:noWrap/>
            <w:vAlign w:val="bottom"/>
            <w:hideMark/>
          </w:tcPr>
          <w:p w14:paraId="519B2269"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58,50</w:t>
            </w:r>
          </w:p>
        </w:tc>
        <w:tc>
          <w:tcPr>
            <w:tcW w:w="683" w:type="dxa"/>
            <w:tcBorders>
              <w:top w:val="nil"/>
              <w:left w:val="nil"/>
              <w:bottom w:val="single" w:sz="4" w:space="0" w:color="auto"/>
              <w:right w:val="single" w:sz="4" w:space="0" w:color="auto"/>
            </w:tcBorders>
            <w:shd w:val="clear" w:color="000000" w:fill="F8F9FA"/>
            <w:vAlign w:val="center"/>
            <w:hideMark/>
          </w:tcPr>
          <w:p w14:paraId="519B226A"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2.587</w:t>
            </w:r>
          </w:p>
        </w:tc>
        <w:tc>
          <w:tcPr>
            <w:tcW w:w="656" w:type="dxa"/>
            <w:gridSpan w:val="2"/>
            <w:tcBorders>
              <w:top w:val="nil"/>
              <w:left w:val="nil"/>
              <w:bottom w:val="single" w:sz="4" w:space="0" w:color="auto"/>
              <w:right w:val="single" w:sz="4" w:space="0" w:color="auto"/>
            </w:tcBorders>
            <w:shd w:val="clear" w:color="000000" w:fill="F8F9FA"/>
            <w:vAlign w:val="center"/>
            <w:hideMark/>
          </w:tcPr>
          <w:p w14:paraId="519B226B"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6,70</w:t>
            </w:r>
          </w:p>
        </w:tc>
        <w:tc>
          <w:tcPr>
            <w:tcW w:w="656" w:type="dxa"/>
            <w:tcBorders>
              <w:top w:val="nil"/>
              <w:left w:val="nil"/>
              <w:bottom w:val="single" w:sz="4" w:space="0" w:color="auto"/>
              <w:right w:val="single" w:sz="4" w:space="0" w:color="auto"/>
            </w:tcBorders>
            <w:shd w:val="clear" w:color="000000" w:fill="F8F9FA"/>
            <w:vAlign w:val="center"/>
            <w:hideMark/>
          </w:tcPr>
          <w:p w14:paraId="519B226C" w14:textId="77777777" w:rsidR="00E2603D" w:rsidRPr="008E63BB" w:rsidRDefault="00E2603D" w:rsidP="00276AC0">
            <w:pPr>
              <w:jc w:val="left"/>
              <w:rPr>
                <w:rFonts w:eastAsia="Times New Roman"/>
                <w:b/>
                <w:bCs/>
                <w:sz w:val="20"/>
                <w:szCs w:val="20"/>
              </w:rPr>
            </w:pPr>
            <w:r w:rsidRPr="008E63BB">
              <w:rPr>
                <w:rFonts w:eastAsia="Times New Roman"/>
                <w:b/>
                <w:bCs/>
                <w:sz w:val="20"/>
                <w:szCs w:val="20"/>
              </w:rPr>
              <w:t> </w:t>
            </w:r>
          </w:p>
        </w:tc>
        <w:tc>
          <w:tcPr>
            <w:tcW w:w="656" w:type="dxa"/>
            <w:gridSpan w:val="2"/>
            <w:tcBorders>
              <w:top w:val="nil"/>
              <w:left w:val="nil"/>
              <w:bottom w:val="single" w:sz="4" w:space="0" w:color="auto"/>
              <w:right w:val="single" w:sz="4" w:space="0" w:color="auto"/>
            </w:tcBorders>
            <w:shd w:val="clear" w:color="000000" w:fill="F8F9FA"/>
            <w:vAlign w:val="center"/>
            <w:hideMark/>
          </w:tcPr>
          <w:p w14:paraId="519B226D"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5,23</w:t>
            </w:r>
          </w:p>
        </w:tc>
        <w:tc>
          <w:tcPr>
            <w:tcW w:w="656" w:type="dxa"/>
            <w:tcBorders>
              <w:top w:val="nil"/>
              <w:left w:val="nil"/>
              <w:bottom w:val="single" w:sz="4" w:space="0" w:color="auto"/>
              <w:right w:val="single" w:sz="4" w:space="0" w:color="auto"/>
            </w:tcBorders>
            <w:shd w:val="clear" w:color="000000" w:fill="F8F9FA"/>
            <w:vAlign w:val="center"/>
            <w:hideMark/>
          </w:tcPr>
          <w:p w14:paraId="519B226E" w14:textId="77777777" w:rsidR="00E2603D" w:rsidRPr="008E63BB" w:rsidRDefault="00E2603D" w:rsidP="00276AC0">
            <w:pPr>
              <w:jc w:val="left"/>
              <w:rPr>
                <w:rFonts w:eastAsia="Times New Roman"/>
                <w:b/>
                <w:bCs/>
                <w:sz w:val="20"/>
                <w:szCs w:val="20"/>
              </w:rPr>
            </w:pPr>
            <w:r w:rsidRPr="008E63BB">
              <w:rPr>
                <w:rFonts w:eastAsia="Times New Roman"/>
                <w:b/>
                <w:bCs/>
                <w:sz w:val="20"/>
                <w:szCs w:val="20"/>
              </w:rPr>
              <w:t> </w:t>
            </w:r>
          </w:p>
        </w:tc>
        <w:tc>
          <w:tcPr>
            <w:tcW w:w="656" w:type="dxa"/>
            <w:gridSpan w:val="2"/>
            <w:tcBorders>
              <w:top w:val="nil"/>
              <w:left w:val="nil"/>
              <w:bottom w:val="single" w:sz="4" w:space="0" w:color="auto"/>
              <w:right w:val="single" w:sz="4" w:space="0" w:color="auto"/>
            </w:tcBorders>
            <w:shd w:val="clear" w:color="000000" w:fill="F8F9FA"/>
            <w:vAlign w:val="center"/>
            <w:hideMark/>
          </w:tcPr>
          <w:p w14:paraId="519B226F" w14:textId="77777777" w:rsidR="00E2603D" w:rsidRPr="008E63BB" w:rsidRDefault="00E2603D" w:rsidP="00276AC0">
            <w:pPr>
              <w:jc w:val="right"/>
              <w:rPr>
                <w:rFonts w:eastAsia="Times New Roman"/>
                <w:b/>
                <w:bCs/>
                <w:sz w:val="20"/>
                <w:szCs w:val="20"/>
              </w:rPr>
            </w:pPr>
            <w:r w:rsidRPr="008E63BB">
              <w:rPr>
                <w:rFonts w:eastAsia="Times New Roman"/>
                <w:b/>
                <w:bCs/>
                <w:sz w:val="20"/>
                <w:szCs w:val="20"/>
              </w:rPr>
              <w:t>3,93</w:t>
            </w:r>
          </w:p>
        </w:tc>
        <w:tc>
          <w:tcPr>
            <w:tcW w:w="656" w:type="dxa"/>
            <w:tcBorders>
              <w:top w:val="nil"/>
              <w:left w:val="nil"/>
              <w:bottom w:val="single" w:sz="4" w:space="0" w:color="auto"/>
              <w:right w:val="single" w:sz="4" w:space="0" w:color="auto"/>
            </w:tcBorders>
            <w:shd w:val="clear" w:color="000000" w:fill="F8F9FA"/>
            <w:vAlign w:val="center"/>
            <w:hideMark/>
          </w:tcPr>
          <w:p w14:paraId="519B2270" w14:textId="77777777" w:rsidR="00E2603D" w:rsidRPr="008E63BB" w:rsidRDefault="00E2603D" w:rsidP="00276AC0">
            <w:pPr>
              <w:jc w:val="left"/>
              <w:rPr>
                <w:rFonts w:eastAsia="Times New Roman"/>
                <w:b/>
                <w:bCs/>
                <w:sz w:val="20"/>
                <w:szCs w:val="20"/>
              </w:rPr>
            </w:pPr>
            <w:r w:rsidRPr="008E63BB">
              <w:rPr>
                <w:rFonts w:eastAsia="Times New Roman"/>
                <w:b/>
                <w:bCs/>
                <w:sz w:val="20"/>
                <w:szCs w:val="20"/>
              </w:rPr>
              <w:t> </w:t>
            </w:r>
          </w:p>
        </w:tc>
      </w:tr>
    </w:tbl>
    <w:p w14:paraId="519B2272" w14:textId="77777777" w:rsidR="00E2603D" w:rsidRPr="008E63BB" w:rsidRDefault="00E2603D" w:rsidP="00E2603D">
      <w:pPr>
        <w:rPr>
          <w:bCs/>
          <w:i/>
          <w:sz w:val="24"/>
          <w:szCs w:val="24"/>
          <w:lang w:val="pt-BR"/>
        </w:rPr>
      </w:pPr>
      <w:r w:rsidRPr="008E63BB">
        <w:rPr>
          <w:bCs/>
          <w:i/>
          <w:sz w:val="24"/>
          <w:szCs w:val="24"/>
        </w:rPr>
        <w:t>Nguồn: Tổng hợp số liệu từ Tổng cục thống kê; QĐ số 1052/QĐ-LĐTBXH ngày 29 tháng 07 năm 2019 Công bố kết quả rà soát hộ nghèo, hộ cận nghèo năm 2018 theo chuẩn nghèo tiếp cận đa chiều áp dụng cho giai đoạn 2016-2020</w:t>
      </w:r>
    </w:p>
    <w:p w14:paraId="519B2273" w14:textId="77777777" w:rsidR="00DC5F42" w:rsidRPr="008E63BB" w:rsidRDefault="00DC5F42" w:rsidP="00885AB5">
      <w:pPr>
        <w:ind w:firstLine="720"/>
        <w:rPr>
          <w:bCs/>
          <w:szCs w:val="26"/>
          <w:lang w:val="pt-BR"/>
        </w:rPr>
      </w:pPr>
      <w:r w:rsidRPr="008E63BB">
        <w:rPr>
          <w:bCs/>
          <w:szCs w:val="26"/>
          <w:lang w:val="pt-BR"/>
        </w:rPr>
        <w:t>Kim ngạch xuất khẩu đạt gần 243,5 tỷ USD; tổng kim ngạch XNK đạt trên 480 tỷ USD, xuất siêu gần 6,8 tỷ USD (cao gấp ba lần so với năm 2017).</w:t>
      </w:r>
    </w:p>
    <w:p w14:paraId="519B2274" w14:textId="77777777" w:rsidR="006E5817" w:rsidRPr="008E63BB" w:rsidRDefault="006E5817">
      <w:pPr>
        <w:jc w:val="left"/>
        <w:rPr>
          <w:b/>
          <w:bCs/>
          <w:szCs w:val="26"/>
          <w:lang w:val="pt-BR"/>
        </w:rPr>
      </w:pPr>
      <w:r w:rsidRPr="008E63BB">
        <w:rPr>
          <w:b/>
          <w:bCs/>
          <w:szCs w:val="26"/>
          <w:lang w:val="pt-BR"/>
        </w:rPr>
        <w:br w:type="page"/>
      </w:r>
    </w:p>
    <w:p w14:paraId="519B2275" w14:textId="77777777" w:rsidR="00DC5F42" w:rsidRPr="008E63BB" w:rsidRDefault="00DC5F42" w:rsidP="00885AB5">
      <w:pPr>
        <w:jc w:val="center"/>
        <w:rPr>
          <w:b/>
          <w:bCs/>
          <w:szCs w:val="26"/>
          <w:lang w:val="pt-BR"/>
        </w:rPr>
      </w:pPr>
      <w:r w:rsidRPr="008E63BB">
        <w:rPr>
          <w:b/>
          <w:bCs/>
          <w:szCs w:val="26"/>
          <w:lang w:val="pt-BR"/>
        </w:rPr>
        <w:lastRenderedPageBreak/>
        <w:t>Bảng thống kê chỉ số PCI Nam định 2006-2019</w:t>
      </w:r>
    </w:p>
    <w:tbl>
      <w:tblPr>
        <w:tblW w:w="9910" w:type="dxa"/>
        <w:tblInd w:w="-289" w:type="dxa"/>
        <w:tblLook w:val="04A0" w:firstRow="1" w:lastRow="0" w:firstColumn="1" w:lastColumn="0" w:noHBand="0" w:noVBand="1"/>
      </w:tblPr>
      <w:tblGrid>
        <w:gridCol w:w="1053"/>
        <w:gridCol w:w="716"/>
        <w:gridCol w:w="621"/>
        <w:gridCol w:w="630"/>
        <w:gridCol w:w="630"/>
        <w:gridCol w:w="583"/>
        <w:gridCol w:w="628"/>
        <w:gridCol w:w="646"/>
        <w:gridCol w:w="629"/>
        <w:gridCol w:w="629"/>
        <w:gridCol w:w="629"/>
        <w:gridCol w:w="629"/>
        <w:gridCol w:w="629"/>
        <w:gridCol w:w="629"/>
        <w:gridCol w:w="629"/>
      </w:tblGrid>
      <w:tr w:rsidR="008D5BFE" w:rsidRPr="008E63BB" w14:paraId="519B228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76" w14:textId="77777777" w:rsidR="00DC5F42" w:rsidRPr="008E63BB" w:rsidRDefault="00DC5F42" w:rsidP="00DC5F42">
            <w:pPr>
              <w:jc w:val="center"/>
              <w:rPr>
                <w:rFonts w:eastAsia="Times New Roman"/>
                <w:b/>
                <w:sz w:val="18"/>
                <w:szCs w:val="18"/>
              </w:rPr>
            </w:pPr>
            <w:r w:rsidRPr="008E63BB">
              <w:rPr>
                <w:rFonts w:eastAsia="Times New Roman"/>
                <w:b/>
                <w:sz w:val="18"/>
                <w:szCs w:val="18"/>
              </w:rPr>
              <w:t>Năm</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77" w14:textId="77777777" w:rsidR="00DC5F42" w:rsidRPr="008E63BB" w:rsidRDefault="00DC5F42" w:rsidP="00DC5F42">
            <w:pPr>
              <w:jc w:val="right"/>
              <w:rPr>
                <w:rFonts w:eastAsia="Times New Roman"/>
                <w:b/>
                <w:sz w:val="18"/>
                <w:szCs w:val="18"/>
              </w:rPr>
            </w:pPr>
            <w:r w:rsidRPr="008E63BB">
              <w:rPr>
                <w:rFonts w:eastAsia="Times New Roman"/>
                <w:b/>
                <w:sz w:val="18"/>
                <w:szCs w:val="18"/>
              </w:rPr>
              <w:t>2006</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78" w14:textId="77777777" w:rsidR="00DC5F42" w:rsidRPr="008E63BB" w:rsidRDefault="00DC5F42" w:rsidP="00DC5F42">
            <w:pPr>
              <w:jc w:val="right"/>
              <w:rPr>
                <w:rFonts w:eastAsia="Times New Roman"/>
                <w:b/>
                <w:sz w:val="18"/>
                <w:szCs w:val="18"/>
              </w:rPr>
            </w:pPr>
            <w:r w:rsidRPr="008E63BB">
              <w:rPr>
                <w:rFonts w:eastAsia="Times New Roman"/>
                <w:b/>
                <w:sz w:val="18"/>
                <w:szCs w:val="18"/>
              </w:rPr>
              <w:t>2007</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79" w14:textId="77777777" w:rsidR="00DC5F42" w:rsidRPr="008E63BB" w:rsidRDefault="00DC5F42" w:rsidP="00DC5F42">
            <w:pPr>
              <w:jc w:val="right"/>
              <w:rPr>
                <w:rFonts w:eastAsia="Times New Roman"/>
                <w:b/>
                <w:sz w:val="18"/>
                <w:szCs w:val="18"/>
              </w:rPr>
            </w:pPr>
            <w:r w:rsidRPr="008E63BB">
              <w:rPr>
                <w:rFonts w:eastAsia="Times New Roman"/>
                <w:b/>
                <w:sz w:val="18"/>
                <w:szCs w:val="18"/>
              </w:rPr>
              <w:t>2008</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7A" w14:textId="77777777" w:rsidR="00DC5F42" w:rsidRPr="008E63BB" w:rsidRDefault="00DC5F42" w:rsidP="00DC5F42">
            <w:pPr>
              <w:jc w:val="right"/>
              <w:rPr>
                <w:rFonts w:eastAsia="Times New Roman"/>
                <w:b/>
                <w:sz w:val="18"/>
                <w:szCs w:val="18"/>
              </w:rPr>
            </w:pPr>
            <w:r w:rsidRPr="008E63BB">
              <w:rPr>
                <w:rFonts w:eastAsia="Times New Roman"/>
                <w:b/>
                <w:sz w:val="18"/>
                <w:szCs w:val="18"/>
              </w:rPr>
              <w:t>2009</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7B" w14:textId="77777777" w:rsidR="00DC5F42" w:rsidRPr="008E63BB" w:rsidRDefault="00DC5F42" w:rsidP="00DC5F42">
            <w:pPr>
              <w:jc w:val="right"/>
              <w:rPr>
                <w:rFonts w:eastAsia="Times New Roman"/>
                <w:b/>
                <w:sz w:val="18"/>
                <w:szCs w:val="18"/>
              </w:rPr>
            </w:pPr>
            <w:r w:rsidRPr="008E63BB">
              <w:rPr>
                <w:rFonts w:eastAsia="Times New Roman"/>
                <w:b/>
                <w:sz w:val="18"/>
                <w:szCs w:val="18"/>
              </w:rPr>
              <w:t>2010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7C" w14:textId="77777777" w:rsidR="00DC5F42" w:rsidRPr="008E63BB" w:rsidRDefault="00DC5F42" w:rsidP="00DC5F42">
            <w:pPr>
              <w:jc w:val="right"/>
              <w:rPr>
                <w:rFonts w:eastAsia="Times New Roman"/>
                <w:b/>
                <w:sz w:val="18"/>
                <w:szCs w:val="18"/>
              </w:rPr>
            </w:pPr>
            <w:r w:rsidRPr="008E63BB">
              <w:rPr>
                <w:rFonts w:eastAsia="Times New Roman"/>
                <w:b/>
                <w:sz w:val="18"/>
                <w:szCs w:val="18"/>
              </w:rPr>
              <w:t>2011</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7D" w14:textId="77777777" w:rsidR="00DC5F42" w:rsidRPr="008E63BB" w:rsidRDefault="00DC5F42" w:rsidP="00DC5F42">
            <w:pPr>
              <w:jc w:val="right"/>
              <w:rPr>
                <w:rFonts w:eastAsia="Times New Roman"/>
                <w:b/>
                <w:sz w:val="18"/>
                <w:szCs w:val="18"/>
              </w:rPr>
            </w:pPr>
            <w:r w:rsidRPr="008E63BB">
              <w:rPr>
                <w:rFonts w:eastAsia="Times New Roman"/>
                <w:b/>
                <w:sz w:val="18"/>
                <w:szCs w:val="18"/>
              </w:rPr>
              <w:t>2012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7E" w14:textId="77777777" w:rsidR="00DC5F42" w:rsidRPr="008E63BB" w:rsidRDefault="00DC5F42" w:rsidP="00DC5F42">
            <w:pPr>
              <w:jc w:val="right"/>
              <w:rPr>
                <w:rFonts w:eastAsia="Times New Roman"/>
                <w:b/>
                <w:sz w:val="18"/>
                <w:szCs w:val="18"/>
              </w:rPr>
            </w:pPr>
            <w:r w:rsidRPr="008E63BB">
              <w:rPr>
                <w:rFonts w:eastAsia="Times New Roman"/>
                <w:b/>
                <w:sz w:val="18"/>
                <w:szCs w:val="18"/>
              </w:rPr>
              <w:t>2013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7F" w14:textId="77777777" w:rsidR="00DC5F42" w:rsidRPr="008E63BB" w:rsidRDefault="00DC5F42" w:rsidP="00DC5F42">
            <w:pPr>
              <w:jc w:val="right"/>
              <w:rPr>
                <w:rFonts w:eastAsia="Times New Roman"/>
                <w:b/>
                <w:sz w:val="18"/>
                <w:szCs w:val="18"/>
              </w:rPr>
            </w:pPr>
            <w:r w:rsidRPr="008E63BB">
              <w:rPr>
                <w:rFonts w:eastAsia="Times New Roman"/>
                <w:b/>
                <w:sz w:val="18"/>
                <w:szCs w:val="18"/>
              </w:rPr>
              <w:t>2014</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80" w14:textId="77777777" w:rsidR="00DC5F42" w:rsidRPr="008E63BB" w:rsidRDefault="00DC5F42" w:rsidP="00DC5F42">
            <w:pPr>
              <w:jc w:val="right"/>
              <w:rPr>
                <w:rFonts w:eastAsia="Times New Roman"/>
                <w:b/>
                <w:sz w:val="18"/>
                <w:szCs w:val="18"/>
              </w:rPr>
            </w:pPr>
            <w:r w:rsidRPr="008E63BB">
              <w:rPr>
                <w:rFonts w:eastAsia="Times New Roman"/>
                <w:b/>
                <w:sz w:val="18"/>
                <w:szCs w:val="18"/>
              </w:rPr>
              <w:t>2015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81" w14:textId="77777777" w:rsidR="00DC5F42" w:rsidRPr="008E63BB" w:rsidRDefault="00DC5F42" w:rsidP="00DC5F42">
            <w:pPr>
              <w:jc w:val="right"/>
              <w:rPr>
                <w:rFonts w:eastAsia="Times New Roman"/>
                <w:b/>
                <w:sz w:val="18"/>
                <w:szCs w:val="18"/>
              </w:rPr>
            </w:pPr>
            <w:r w:rsidRPr="008E63BB">
              <w:rPr>
                <w:rFonts w:eastAsia="Times New Roman"/>
                <w:b/>
                <w:sz w:val="18"/>
                <w:szCs w:val="18"/>
              </w:rPr>
              <w:t>2016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82" w14:textId="77777777" w:rsidR="00DC5F42" w:rsidRPr="008E63BB" w:rsidRDefault="00DC5F42" w:rsidP="00DC5F42">
            <w:pPr>
              <w:jc w:val="right"/>
              <w:rPr>
                <w:rFonts w:eastAsia="Times New Roman"/>
                <w:b/>
                <w:sz w:val="18"/>
                <w:szCs w:val="18"/>
              </w:rPr>
            </w:pPr>
            <w:r w:rsidRPr="008E63BB">
              <w:rPr>
                <w:rFonts w:eastAsia="Times New Roman"/>
                <w:b/>
                <w:sz w:val="18"/>
                <w:szCs w:val="18"/>
              </w:rPr>
              <w:t>2017</w:t>
            </w:r>
          </w:p>
        </w:tc>
        <w:tc>
          <w:tcPr>
            <w:tcW w:w="629" w:type="dxa"/>
            <w:tcBorders>
              <w:top w:val="single" w:sz="4" w:space="0" w:color="auto"/>
              <w:left w:val="nil"/>
              <w:bottom w:val="single" w:sz="4" w:space="0" w:color="auto"/>
              <w:right w:val="single" w:sz="4" w:space="0" w:color="auto"/>
            </w:tcBorders>
            <w:vAlign w:val="bottom"/>
          </w:tcPr>
          <w:p w14:paraId="519B2283" w14:textId="77777777" w:rsidR="00DC5F42" w:rsidRPr="008E63BB" w:rsidRDefault="00DC5F42" w:rsidP="00DC5F42">
            <w:pPr>
              <w:jc w:val="right"/>
              <w:rPr>
                <w:rFonts w:eastAsia="Times New Roman"/>
                <w:b/>
                <w:sz w:val="18"/>
                <w:szCs w:val="18"/>
              </w:rPr>
            </w:pPr>
            <w:r w:rsidRPr="008E63BB">
              <w:rPr>
                <w:rFonts w:eastAsia="Times New Roman"/>
                <w:b/>
                <w:sz w:val="18"/>
                <w:szCs w:val="18"/>
              </w:rPr>
              <w:t>2018</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84" w14:textId="77777777" w:rsidR="00DC5F42" w:rsidRPr="008E63BB" w:rsidRDefault="00DC5F42" w:rsidP="00DC5F42">
            <w:pPr>
              <w:jc w:val="right"/>
              <w:rPr>
                <w:rFonts w:eastAsia="Times New Roman"/>
                <w:b/>
                <w:sz w:val="18"/>
                <w:szCs w:val="18"/>
              </w:rPr>
            </w:pPr>
            <w:r w:rsidRPr="008E63BB">
              <w:rPr>
                <w:rFonts w:eastAsia="Times New Roman"/>
                <w:b/>
                <w:sz w:val="18"/>
                <w:szCs w:val="18"/>
              </w:rPr>
              <w:t>2019</w:t>
            </w:r>
          </w:p>
        </w:tc>
      </w:tr>
      <w:tr w:rsidR="008D5BFE" w:rsidRPr="008E63BB" w14:paraId="519B229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86" w14:textId="77777777" w:rsidR="00DC5F42" w:rsidRPr="008E63BB" w:rsidRDefault="00DC5F42" w:rsidP="00DC5F42">
            <w:pPr>
              <w:jc w:val="left"/>
              <w:rPr>
                <w:rFonts w:eastAsia="Times New Roman"/>
                <w:b/>
                <w:sz w:val="18"/>
                <w:szCs w:val="18"/>
              </w:rPr>
            </w:pPr>
            <w:r w:rsidRPr="008E63BB">
              <w:rPr>
                <w:rFonts w:eastAsia="Times New Roman"/>
                <w:b/>
                <w:sz w:val="18"/>
                <w:szCs w:val="18"/>
              </w:rPr>
              <w:t>Gia nhập thị trường</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87" w14:textId="77777777" w:rsidR="00DC5F42" w:rsidRPr="008E63BB" w:rsidRDefault="00DC5F42" w:rsidP="00DC5F42">
            <w:pPr>
              <w:jc w:val="right"/>
              <w:rPr>
                <w:rFonts w:eastAsia="Times New Roman"/>
                <w:sz w:val="18"/>
                <w:szCs w:val="18"/>
              </w:rPr>
            </w:pPr>
            <w:r w:rsidRPr="008E63BB">
              <w:rPr>
                <w:rFonts w:eastAsia="Times New Roman"/>
                <w:sz w:val="18"/>
                <w:szCs w:val="18"/>
              </w:rPr>
              <w:t>7.40</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88" w14:textId="77777777" w:rsidR="00DC5F42" w:rsidRPr="008E63BB" w:rsidRDefault="00DC5F42" w:rsidP="00DC5F42">
            <w:pPr>
              <w:jc w:val="right"/>
              <w:rPr>
                <w:rFonts w:eastAsia="Times New Roman"/>
                <w:sz w:val="18"/>
                <w:szCs w:val="18"/>
              </w:rPr>
            </w:pPr>
            <w:r w:rsidRPr="008E63BB">
              <w:rPr>
                <w:rFonts w:eastAsia="Times New Roman"/>
                <w:sz w:val="18"/>
                <w:szCs w:val="18"/>
              </w:rPr>
              <w:t>7.49</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89" w14:textId="77777777" w:rsidR="00DC5F42" w:rsidRPr="008E63BB" w:rsidRDefault="00DC5F42" w:rsidP="00DC5F42">
            <w:pPr>
              <w:jc w:val="right"/>
              <w:rPr>
                <w:rFonts w:eastAsia="Times New Roman"/>
                <w:sz w:val="18"/>
                <w:szCs w:val="18"/>
              </w:rPr>
            </w:pPr>
            <w:r w:rsidRPr="008E63BB">
              <w:rPr>
                <w:rFonts w:eastAsia="Times New Roman"/>
                <w:sz w:val="18"/>
                <w:szCs w:val="18"/>
              </w:rPr>
              <w:t>8.26</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8A" w14:textId="77777777" w:rsidR="00DC5F42" w:rsidRPr="008E63BB" w:rsidRDefault="00DC5F42" w:rsidP="00DC5F42">
            <w:pPr>
              <w:jc w:val="right"/>
              <w:rPr>
                <w:rFonts w:eastAsia="Times New Roman"/>
                <w:sz w:val="18"/>
                <w:szCs w:val="18"/>
              </w:rPr>
            </w:pPr>
            <w:r w:rsidRPr="008E63BB">
              <w:rPr>
                <w:rFonts w:eastAsia="Times New Roman"/>
                <w:sz w:val="18"/>
                <w:szCs w:val="18"/>
              </w:rPr>
              <w:t>7.54</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8B" w14:textId="77777777" w:rsidR="00DC5F42" w:rsidRPr="008E63BB" w:rsidRDefault="00DC5F42" w:rsidP="00DC5F42">
            <w:pPr>
              <w:jc w:val="right"/>
              <w:rPr>
                <w:rFonts w:eastAsia="Times New Roman"/>
                <w:sz w:val="18"/>
                <w:szCs w:val="18"/>
              </w:rPr>
            </w:pPr>
            <w:r w:rsidRPr="008E63BB">
              <w:rPr>
                <w:rFonts w:eastAsia="Times New Roman"/>
                <w:sz w:val="18"/>
                <w:szCs w:val="18"/>
              </w:rPr>
              <w:t>5.66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8C" w14:textId="77777777" w:rsidR="00DC5F42" w:rsidRPr="008E63BB" w:rsidRDefault="00DC5F42" w:rsidP="00DC5F42">
            <w:pPr>
              <w:jc w:val="right"/>
              <w:rPr>
                <w:rFonts w:eastAsia="Times New Roman"/>
                <w:sz w:val="18"/>
                <w:szCs w:val="18"/>
              </w:rPr>
            </w:pPr>
            <w:r w:rsidRPr="008E63BB">
              <w:rPr>
                <w:rFonts w:eastAsia="Times New Roman"/>
                <w:sz w:val="18"/>
                <w:szCs w:val="18"/>
              </w:rPr>
              <w:t>8.33</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8D" w14:textId="77777777" w:rsidR="00DC5F42" w:rsidRPr="008E63BB" w:rsidRDefault="00DC5F42" w:rsidP="00DC5F42">
            <w:pPr>
              <w:jc w:val="right"/>
              <w:rPr>
                <w:rFonts w:eastAsia="Times New Roman"/>
                <w:sz w:val="18"/>
                <w:szCs w:val="18"/>
              </w:rPr>
            </w:pPr>
            <w:r w:rsidRPr="008E63BB">
              <w:rPr>
                <w:rFonts w:eastAsia="Times New Roman"/>
                <w:sz w:val="18"/>
                <w:szCs w:val="18"/>
              </w:rPr>
              <w:t>8.40</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8E" w14:textId="77777777" w:rsidR="00DC5F42" w:rsidRPr="008E63BB" w:rsidRDefault="00DC5F42" w:rsidP="00DC5F42">
            <w:pPr>
              <w:jc w:val="right"/>
              <w:rPr>
                <w:rFonts w:eastAsia="Times New Roman"/>
                <w:sz w:val="18"/>
                <w:szCs w:val="18"/>
              </w:rPr>
            </w:pPr>
            <w:r w:rsidRPr="008E63BB">
              <w:rPr>
                <w:rFonts w:eastAsia="Times New Roman"/>
                <w:sz w:val="18"/>
                <w:szCs w:val="18"/>
              </w:rPr>
              <w:t>6.76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8F" w14:textId="77777777" w:rsidR="00DC5F42" w:rsidRPr="008E63BB" w:rsidRDefault="00DC5F42" w:rsidP="00DC5F42">
            <w:pPr>
              <w:jc w:val="right"/>
              <w:rPr>
                <w:rFonts w:eastAsia="Times New Roman"/>
                <w:sz w:val="18"/>
                <w:szCs w:val="18"/>
              </w:rPr>
            </w:pPr>
            <w:r w:rsidRPr="008E63BB">
              <w:rPr>
                <w:rFonts w:eastAsia="Times New Roman"/>
                <w:sz w:val="18"/>
                <w:szCs w:val="18"/>
              </w:rPr>
              <w:t>8.42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90" w14:textId="77777777" w:rsidR="00DC5F42" w:rsidRPr="008E63BB" w:rsidRDefault="00DC5F42" w:rsidP="00DC5F42">
            <w:pPr>
              <w:jc w:val="right"/>
              <w:rPr>
                <w:rFonts w:eastAsia="Times New Roman"/>
                <w:sz w:val="18"/>
                <w:szCs w:val="18"/>
              </w:rPr>
            </w:pPr>
            <w:r w:rsidRPr="008E63BB">
              <w:rPr>
                <w:rFonts w:eastAsia="Times New Roman"/>
                <w:sz w:val="18"/>
                <w:szCs w:val="18"/>
              </w:rPr>
              <w:t>8.53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91" w14:textId="77777777" w:rsidR="00DC5F42" w:rsidRPr="008E63BB" w:rsidRDefault="00DC5F42" w:rsidP="00DC5F42">
            <w:pPr>
              <w:jc w:val="right"/>
              <w:rPr>
                <w:rFonts w:eastAsia="Times New Roman"/>
                <w:sz w:val="18"/>
                <w:szCs w:val="18"/>
              </w:rPr>
            </w:pPr>
            <w:r w:rsidRPr="008E63BB">
              <w:rPr>
                <w:rFonts w:eastAsia="Times New Roman"/>
                <w:sz w:val="18"/>
                <w:szCs w:val="18"/>
              </w:rPr>
              <w:t>8.58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92" w14:textId="77777777" w:rsidR="00DC5F42" w:rsidRPr="008E63BB" w:rsidRDefault="00DC5F42" w:rsidP="00DC5F42">
            <w:pPr>
              <w:jc w:val="right"/>
              <w:rPr>
                <w:rFonts w:eastAsia="Times New Roman"/>
                <w:sz w:val="18"/>
                <w:szCs w:val="18"/>
              </w:rPr>
            </w:pPr>
            <w:r w:rsidRPr="008E63BB">
              <w:rPr>
                <w:rFonts w:eastAsia="Times New Roman"/>
                <w:sz w:val="18"/>
                <w:szCs w:val="18"/>
              </w:rPr>
              <w:t>7.62</w:t>
            </w:r>
          </w:p>
        </w:tc>
        <w:tc>
          <w:tcPr>
            <w:tcW w:w="629" w:type="dxa"/>
            <w:tcBorders>
              <w:top w:val="single" w:sz="4" w:space="0" w:color="auto"/>
              <w:left w:val="nil"/>
              <w:bottom w:val="single" w:sz="4" w:space="0" w:color="auto"/>
              <w:right w:val="single" w:sz="4" w:space="0" w:color="auto"/>
            </w:tcBorders>
            <w:vAlign w:val="bottom"/>
          </w:tcPr>
          <w:p w14:paraId="519B2293" w14:textId="77777777" w:rsidR="00DC5F42" w:rsidRPr="008E63BB" w:rsidRDefault="00DC5F42" w:rsidP="00DC5F42">
            <w:pPr>
              <w:jc w:val="right"/>
              <w:rPr>
                <w:rFonts w:eastAsia="Times New Roman"/>
                <w:sz w:val="18"/>
                <w:szCs w:val="18"/>
              </w:rPr>
            </w:pPr>
            <w:r w:rsidRPr="008E63BB">
              <w:rPr>
                <w:rFonts w:eastAsia="Times New Roman"/>
                <w:sz w:val="18"/>
                <w:szCs w:val="18"/>
              </w:rPr>
              <w:t>6.49</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94" w14:textId="77777777" w:rsidR="00DC5F42" w:rsidRPr="008E63BB" w:rsidRDefault="00DC5F42" w:rsidP="00DC5F42">
            <w:pPr>
              <w:jc w:val="right"/>
              <w:rPr>
                <w:rFonts w:eastAsia="Times New Roman"/>
                <w:sz w:val="18"/>
                <w:szCs w:val="18"/>
              </w:rPr>
            </w:pPr>
            <w:r w:rsidRPr="008E63BB">
              <w:rPr>
                <w:rFonts w:eastAsia="Times New Roman"/>
                <w:sz w:val="18"/>
                <w:szCs w:val="18"/>
              </w:rPr>
              <w:t>8.23</w:t>
            </w:r>
          </w:p>
        </w:tc>
      </w:tr>
      <w:tr w:rsidR="008D5BFE" w:rsidRPr="008E63BB" w14:paraId="519B22A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96" w14:textId="77777777" w:rsidR="00DC5F42" w:rsidRPr="008E63BB" w:rsidRDefault="00DC5F42" w:rsidP="00DC5F42">
            <w:pPr>
              <w:jc w:val="left"/>
              <w:rPr>
                <w:rFonts w:eastAsia="Times New Roman"/>
                <w:b/>
                <w:sz w:val="18"/>
                <w:szCs w:val="18"/>
              </w:rPr>
            </w:pPr>
            <w:r w:rsidRPr="008E63BB">
              <w:rPr>
                <w:rFonts w:eastAsia="Times New Roman"/>
                <w:b/>
                <w:sz w:val="18"/>
                <w:szCs w:val="18"/>
              </w:rPr>
              <w:t>Tiếp cận đất đai</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97" w14:textId="77777777" w:rsidR="00DC5F42" w:rsidRPr="008E63BB" w:rsidRDefault="00DC5F42" w:rsidP="00DC5F42">
            <w:pPr>
              <w:jc w:val="right"/>
              <w:rPr>
                <w:rFonts w:eastAsia="Times New Roman"/>
                <w:sz w:val="18"/>
                <w:szCs w:val="18"/>
              </w:rPr>
            </w:pPr>
            <w:r w:rsidRPr="008E63BB">
              <w:rPr>
                <w:rFonts w:eastAsia="Times New Roman"/>
                <w:sz w:val="18"/>
                <w:szCs w:val="18"/>
              </w:rPr>
              <w:t>5.71</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98" w14:textId="77777777" w:rsidR="00DC5F42" w:rsidRPr="008E63BB" w:rsidRDefault="00DC5F42" w:rsidP="00DC5F42">
            <w:pPr>
              <w:jc w:val="right"/>
              <w:rPr>
                <w:rFonts w:eastAsia="Times New Roman"/>
                <w:sz w:val="18"/>
                <w:szCs w:val="18"/>
              </w:rPr>
            </w:pPr>
            <w:r w:rsidRPr="008E63BB">
              <w:rPr>
                <w:rFonts w:eastAsia="Times New Roman"/>
                <w:sz w:val="18"/>
                <w:szCs w:val="18"/>
              </w:rPr>
              <w:t>6.24</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99" w14:textId="77777777" w:rsidR="00DC5F42" w:rsidRPr="008E63BB" w:rsidRDefault="00DC5F42" w:rsidP="00DC5F42">
            <w:pPr>
              <w:jc w:val="right"/>
              <w:rPr>
                <w:rFonts w:eastAsia="Times New Roman"/>
                <w:sz w:val="18"/>
                <w:szCs w:val="18"/>
              </w:rPr>
            </w:pPr>
            <w:r w:rsidRPr="008E63BB">
              <w:rPr>
                <w:rFonts w:eastAsia="Times New Roman"/>
                <w:sz w:val="18"/>
                <w:szCs w:val="18"/>
              </w:rPr>
              <w:t>6.80</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9A" w14:textId="77777777" w:rsidR="00DC5F42" w:rsidRPr="008E63BB" w:rsidRDefault="00DC5F42" w:rsidP="00DC5F42">
            <w:pPr>
              <w:jc w:val="right"/>
              <w:rPr>
                <w:rFonts w:eastAsia="Times New Roman"/>
                <w:sz w:val="18"/>
                <w:szCs w:val="18"/>
              </w:rPr>
            </w:pPr>
            <w:r w:rsidRPr="008E63BB">
              <w:rPr>
                <w:rFonts w:eastAsia="Times New Roman"/>
                <w:sz w:val="18"/>
                <w:szCs w:val="18"/>
              </w:rPr>
              <w:t>5.96</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9B" w14:textId="77777777" w:rsidR="00DC5F42" w:rsidRPr="008E63BB" w:rsidRDefault="00DC5F42" w:rsidP="00DC5F42">
            <w:pPr>
              <w:jc w:val="right"/>
              <w:rPr>
                <w:rFonts w:eastAsia="Times New Roman"/>
                <w:sz w:val="18"/>
                <w:szCs w:val="18"/>
              </w:rPr>
            </w:pPr>
            <w:r w:rsidRPr="008E63BB">
              <w:rPr>
                <w:rFonts w:eastAsia="Times New Roman"/>
                <w:sz w:val="18"/>
                <w:szCs w:val="18"/>
              </w:rPr>
              <w:t>6.31</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9C" w14:textId="77777777" w:rsidR="00DC5F42" w:rsidRPr="008E63BB" w:rsidRDefault="00DC5F42" w:rsidP="00DC5F42">
            <w:pPr>
              <w:jc w:val="right"/>
              <w:rPr>
                <w:rFonts w:eastAsia="Times New Roman"/>
                <w:sz w:val="18"/>
                <w:szCs w:val="18"/>
              </w:rPr>
            </w:pPr>
            <w:r w:rsidRPr="008E63BB">
              <w:rPr>
                <w:rFonts w:eastAsia="Times New Roman"/>
                <w:sz w:val="18"/>
                <w:szCs w:val="18"/>
              </w:rPr>
              <w:t>6.03</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9D" w14:textId="77777777" w:rsidR="00DC5F42" w:rsidRPr="008E63BB" w:rsidRDefault="00DC5F42" w:rsidP="00DC5F42">
            <w:pPr>
              <w:jc w:val="right"/>
              <w:rPr>
                <w:rFonts w:eastAsia="Times New Roman"/>
                <w:sz w:val="18"/>
                <w:szCs w:val="18"/>
              </w:rPr>
            </w:pPr>
            <w:r w:rsidRPr="008E63BB">
              <w:rPr>
                <w:rFonts w:eastAsia="Times New Roman"/>
                <w:sz w:val="18"/>
                <w:szCs w:val="18"/>
              </w:rPr>
              <w:t>8.02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9E" w14:textId="77777777" w:rsidR="00DC5F42" w:rsidRPr="008E63BB" w:rsidRDefault="00DC5F42" w:rsidP="00DC5F42">
            <w:pPr>
              <w:jc w:val="right"/>
              <w:rPr>
                <w:rFonts w:eastAsia="Times New Roman"/>
                <w:sz w:val="18"/>
                <w:szCs w:val="18"/>
              </w:rPr>
            </w:pPr>
            <w:r w:rsidRPr="008E63BB">
              <w:rPr>
                <w:rFonts w:eastAsia="Times New Roman"/>
                <w:sz w:val="18"/>
                <w:szCs w:val="18"/>
              </w:rPr>
              <w:t>7.19</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9F" w14:textId="77777777" w:rsidR="00DC5F42" w:rsidRPr="008E63BB" w:rsidRDefault="00DC5F42" w:rsidP="00DC5F42">
            <w:pPr>
              <w:jc w:val="right"/>
              <w:rPr>
                <w:rFonts w:eastAsia="Times New Roman"/>
                <w:sz w:val="18"/>
                <w:szCs w:val="18"/>
              </w:rPr>
            </w:pPr>
            <w:r w:rsidRPr="008E63BB">
              <w:rPr>
                <w:rFonts w:eastAsia="Times New Roman"/>
                <w:sz w:val="18"/>
                <w:szCs w:val="18"/>
              </w:rPr>
              <w:t>6.25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A0" w14:textId="77777777" w:rsidR="00DC5F42" w:rsidRPr="008E63BB" w:rsidRDefault="00DC5F42" w:rsidP="00DC5F42">
            <w:pPr>
              <w:jc w:val="right"/>
              <w:rPr>
                <w:rFonts w:eastAsia="Times New Roman"/>
                <w:sz w:val="18"/>
                <w:szCs w:val="18"/>
              </w:rPr>
            </w:pPr>
            <w:r w:rsidRPr="008E63BB">
              <w:rPr>
                <w:rFonts w:eastAsia="Times New Roman"/>
                <w:sz w:val="18"/>
                <w:szCs w:val="18"/>
              </w:rPr>
              <w:t>6.32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A1" w14:textId="77777777" w:rsidR="00DC5F42" w:rsidRPr="008E63BB" w:rsidRDefault="00DC5F42" w:rsidP="00DC5F42">
            <w:pPr>
              <w:jc w:val="right"/>
              <w:rPr>
                <w:rFonts w:eastAsia="Times New Roman"/>
                <w:sz w:val="18"/>
                <w:szCs w:val="18"/>
              </w:rPr>
            </w:pPr>
            <w:r w:rsidRPr="008E63BB">
              <w:rPr>
                <w:rFonts w:eastAsia="Times New Roman"/>
                <w:sz w:val="18"/>
                <w:szCs w:val="18"/>
              </w:rPr>
              <w:t>5.75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A2" w14:textId="77777777" w:rsidR="00DC5F42" w:rsidRPr="008E63BB" w:rsidRDefault="00DC5F42" w:rsidP="00DC5F42">
            <w:pPr>
              <w:jc w:val="right"/>
              <w:rPr>
                <w:rFonts w:eastAsia="Times New Roman"/>
                <w:sz w:val="18"/>
                <w:szCs w:val="18"/>
              </w:rPr>
            </w:pPr>
            <w:r w:rsidRPr="008E63BB">
              <w:rPr>
                <w:rFonts w:eastAsia="Times New Roman"/>
                <w:sz w:val="18"/>
                <w:szCs w:val="18"/>
              </w:rPr>
              <w:t>6.50</w:t>
            </w:r>
          </w:p>
        </w:tc>
        <w:tc>
          <w:tcPr>
            <w:tcW w:w="629" w:type="dxa"/>
            <w:tcBorders>
              <w:top w:val="single" w:sz="4" w:space="0" w:color="auto"/>
              <w:left w:val="nil"/>
              <w:bottom w:val="single" w:sz="4" w:space="0" w:color="auto"/>
              <w:right w:val="single" w:sz="4" w:space="0" w:color="auto"/>
            </w:tcBorders>
            <w:vAlign w:val="bottom"/>
          </w:tcPr>
          <w:p w14:paraId="519B22A3" w14:textId="77777777" w:rsidR="00DC5F42" w:rsidRPr="008E63BB" w:rsidRDefault="00DC5F42" w:rsidP="00DC5F42">
            <w:pPr>
              <w:jc w:val="right"/>
              <w:rPr>
                <w:rFonts w:eastAsia="Times New Roman"/>
                <w:sz w:val="18"/>
                <w:szCs w:val="18"/>
              </w:rPr>
            </w:pPr>
            <w:r w:rsidRPr="008E63BB">
              <w:rPr>
                <w:rFonts w:eastAsia="Times New Roman"/>
                <w:sz w:val="18"/>
                <w:szCs w:val="18"/>
              </w:rPr>
              <w:t>6.95</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A4" w14:textId="77777777" w:rsidR="00DC5F42" w:rsidRPr="008E63BB" w:rsidRDefault="00DC5F42" w:rsidP="00DC5F42">
            <w:pPr>
              <w:jc w:val="right"/>
              <w:rPr>
                <w:rFonts w:eastAsia="Times New Roman"/>
                <w:sz w:val="18"/>
                <w:szCs w:val="18"/>
              </w:rPr>
            </w:pPr>
            <w:r w:rsidRPr="008E63BB">
              <w:rPr>
                <w:rFonts w:eastAsia="Times New Roman"/>
                <w:sz w:val="18"/>
                <w:szCs w:val="18"/>
              </w:rPr>
              <w:t>6.28</w:t>
            </w:r>
          </w:p>
        </w:tc>
      </w:tr>
      <w:tr w:rsidR="008D5BFE" w:rsidRPr="008E63BB" w14:paraId="519B22B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A6" w14:textId="77777777" w:rsidR="00DC5F42" w:rsidRPr="008E63BB" w:rsidRDefault="00DC5F42" w:rsidP="00DC5F42">
            <w:pPr>
              <w:jc w:val="left"/>
              <w:rPr>
                <w:rFonts w:eastAsia="Times New Roman"/>
                <w:b/>
                <w:sz w:val="18"/>
                <w:szCs w:val="18"/>
              </w:rPr>
            </w:pPr>
            <w:r w:rsidRPr="008E63BB">
              <w:rPr>
                <w:rFonts w:eastAsia="Times New Roman"/>
                <w:b/>
                <w:sz w:val="18"/>
                <w:szCs w:val="18"/>
              </w:rPr>
              <w:t>Tính minh bạch</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A7" w14:textId="77777777" w:rsidR="00DC5F42" w:rsidRPr="008E63BB" w:rsidRDefault="00DC5F42" w:rsidP="00DC5F42">
            <w:pPr>
              <w:jc w:val="right"/>
              <w:rPr>
                <w:rFonts w:eastAsia="Times New Roman"/>
                <w:sz w:val="18"/>
                <w:szCs w:val="18"/>
              </w:rPr>
            </w:pPr>
            <w:r w:rsidRPr="008E63BB">
              <w:rPr>
                <w:rFonts w:eastAsia="Times New Roman"/>
                <w:sz w:val="18"/>
                <w:szCs w:val="18"/>
              </w:rPr>
              <w:t>3.63</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A8" w14:textId="77777777" w:rsidR="00DC5F42" w:rsidRPr="008E63BB" w:rsidRDefault="00DC5F42" w:rsidP="00DC5F42">
            <w:pPr>
              <w:jc w:val="right"/>
              <w:rPr>
                <w:rFonts w:eastAsia="Times New Roman"/>
                <w:sz w:val="18"/>
                <w:szCs w:val="18"/>
              </w:rPr>
            </w:pPr>
            <w:r w:rsidRPr="008E63BB">
              <w:rPr>
                <w:rFonts w:eastAsia="Times New Roman"/>
                <w:sz w:val="18"/>
                <w:szCs w:val="18"/>
              </w:rPr>
              <w:t>6.13</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A9" w14:textId="77777777" w:rsidR="00DC5F42" w:rsidRPr="008E63BB" w:rsidRDefault="00DC5F42" w:rsidP="00DC5F42">
            <w:pPr>
              <w:jc w:val="right"/>
              <w:rPr>
                <w:rFonts w:eastAsia="Times New Roman"/>
                <w:sz w:val="18"/>
                <w:szCs w:val="18"/>
              </w:rPr>
            </w:pPr>
            <w:r w:rsidRPr="008E63BB">
              <w:rPr>
                <w:rFonts w:eastAsia="Times New Roman"/>
                <w:sz w:val="18"/>
                <w:szCs w:val="18"/>
              </w:rPr>
              <w:t>5.31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AA" w14:textId="77777777" w:rsidR="00DC5F42" w:rsidRPr="008E63BB" w:rsidRDefault="00DC5F42" w:rsidP="00DC5F42">
            <w:pPr>
              <w:jc w:val="right"/>
              <w:rPr>
                <w:rFonts w:eastAsia="Times New Roman"/>
                <w:sz w:val="18"/>
                <w:szCs w:val="18"/>
              </w:rPr>
            </w:pPr>
            <w:r w:rsidRPr="008E63BB">
              <w:rPr>
                <w:rFonts w:eastAsia="Times New Roman"/>
                <w:sz w:val="18"/>
                <w:szCs w:val="18"/>
              </w:rPr>
              <w:t>5.18</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AB" w14:textId="77777777" w:rsidR="00DC5F42" w:rsidRPr="008E63BB" w:rsidRDefault="00DC5F42" w:rsidP="00DC5F42">
            <w:pPr>
              <w:jc w:val="right"/>
              <w:rPr>
                <w:rFonts w:eastAsia="Times New Roman"/>
                <w:sz w:val="18"/>
                <w:szCs w:val="18"/>
              </w:rPr>
            </w:pPr>
            <w:r w:rsidRPr="008E63BB">
              <w:rPr>
                <w:rFonts w:eastAsia="Times New Roman"/>
                <w:sz w:val="18"/>
                <w:szCs w:val="18"/>
              </w:rPr>
              <w:t>5.28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AC" w14:textId="77777777" w:rsidR="00DC5F42" w:rsidRPr="008E63BB" w:rsidRDefault="00DC5F42" w:rsidP="00DC5F42">
            <w:pPr>
              <w:jc w:val="right"/>
              <w:rPr>
                <w:rFonts w:eastAsia="Times New Roman"/>
                <w:sz w:val="18"/>
                <w:szCs w:val="18"/>
              </w:rPr>
            </w:pPr>
            <w:r w:rsidRPr="008E63BB">
              <w:rPr>
                <w:rFonts w:eastAsia="Times New Roman"/>
                <w:sz w:val="18"/>
                <w:szCs w:val="18"/>
              </w:rPr>
              <w:t>5.90</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AD" w14:textId="77777777" w:rsidR="00DC5F42" w:rsidRPr="008E63BB" w:rsidRDefault="00DC5F42" w:rsidP="00DC5F42">
            <w:pPr>
              <w:jc w:val="right"/>
              <w:rPr>
                <w:rFonts w:eastAsia="Times New Roman"/>
                <w:sz w:val="18"/>
                <w:szCs w:val="18"/>
              </w:rPr>
            </w:pPr>
            <w:r w:rsidRPr="008E63BB">
              <w:rPr>
                <w:rFonts w:eastAsia="Times New Roman"/>
                <w:sz w:val="18"/>
                <w:szCs w:val="18"/>
              </w:rPr>
              <w:t>4.49</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AE" w14:textId="77777777" w:rsidR="00DC5F42" w:rsidRPr="008E63BB" w:rsidRDefault="00DC5F42" w:rsidP="00DC5F42">
            <w:pPr>
              <w:jc w:val="right"/>
              <w:rPr>
                <w:rFonts w:eastAsia="Times New Roman"/>
                <w:sz w:val="18"/>
                <w:szCs w:val="18"/>
              </w:rPr>
            </w:pPr>
            <w:r w:rsidRPr="008E63BB">
              <w:rPr>
                <w:rFonts w:eastAsia="Times New Roman"/>
                <w:sz w:val="18"/>
                <w:szCs w:val="18"/>
              </w:rPr>
              <w:t>5.48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AF" w14:textId="77777777" w:rsidR="00DC5F42" w:rsidRPr="008E63BB" w:rsidRDefault="00DC5F42" w:rsidP="00DC5F42">
            <w:pPr>
              <w:jc w:val="right"/>
              <w:rPr>
                <w:rFonts w:eastAsia="Times New Roman"/>
                <w:sz w:val="18"/>
                <w:szCs w:val="18"/>
              </w:rPr>
            </w:pPr>
            <w:r w:rsidRPr="008E63BB">
              <w:rPr>
                <w:rFonts w:eastAsia="Times New Roman"/>
                <w:sz w:val="18"/>
                <w:szCs w:val="18"/>
              </w:rPr>
              <w:t>5.89</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B0" w14:textId="77777777" w:rsidR="00DC5F42" w:rsidRPr="008E63BB" w:rsidRDefault="00DC5F42" w:rsidP="00DC5F42">
            <w:pPr>
              <w:jc w:val="right"/>
              <w:rPr>
                <w:rFonts w:eastAsia="Times New Roman"/>
                <w:sz w:val="18"/>
                <w:szCs w:val="18"/>
              </w:rPr>
            </w:pPr>
            <w:r w:rsidRPr="008E63BB">
              <w:rPr>
                <w:rFonts w:eastAsia="Times New Roman"/>
                <w:sz w:val="18"/>
                <w:szCs w:val="18"/>
              </w:rPr>
              <w:t>6.06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B1" w14:textId="77777777" w:rsidR="00DC5F42" w:rsidRPr="008E63BB" w:rsidRDefault="00DC5F42" w:rsidP="00DC5F42">
            <w:pPr>
              <w:jc w:val="right"/>
              <w:rPr>
                <w:rFonts w:eastAsia="Times New Roman"/>
                <w:sz w:val="18"/>
                <w:szCs w:val="18"/>
              </w:rPr>
            </w:pPr>
            <w:r w:rsidRPr="008E63BB">
              <w:rPr>
                <w:rFonts w:eastAsia="Times New Roman"/>
                <w:sz w:val="18"/>
                <w:szCs w:val="18"/>
              </w:rPr>
              <w:t>6.06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B2" w14:textId="77777777" w:rsidR="00DC5F42" w:rsidRPr="008E63BB" w:rsidRDefault="00DC5F42" w:rsidP="00DC5F42">
            <w:pPr>
              <w:jc w:val="right"/>
              <w:rPr>
                <w:rFonts w:eastAsia="Times New Roman"/>
                <w:sz w:val="18"/>
                <w:szCs w:val="18"/>
              </w:rPr>
            </w:pPr>
            <w:r w:rsidRPr="008E63BB">
              <w:rPr>
                <w:rFonts w:eastAsia="Times New Roman"/>
                <w:sz w:val="18"/>
                <w:szCs w:val="18"/>
              </w:rPr>
              <w:t>5.33</w:t>
            </w:r>
          </w:p>
        </w:tc>
        <w:tc>
          <w:tcPr>
            <w:tcW w:w="629" w:type="dxa"/>
            <w:tcBorders>
              <w:top w:val="single" w:sz="4" w:space="0" w:color="auto"/>
              <w:left w:val="nil"/>
              <w:bottom w:val="single" w:sz="4" w:space="0" w:color="auto"/>
              <w:right w:val="single" w:sz="4" w:space="0" w:color="auto"/>
            </w:tcBorders>
            <w:vAlign w:val="bottom"/>
          </w:tcPr>
          <w:p w14:paraId="519B22B3" w14:textId="77777777" w:rsidR="00DC5F42" w:rsidRPr="008E63BB" w:rsidRDefault="00DC5F42" w:rsidP="00DC5F42">
            <w:pPr>
              <w:jc w:val="right"/>
              <w:rPr>
                <w:rFonts w:eastAsia="Times New Roman"/>
                <w:sz w:val="18"/>
                <w:szCs w:val="18"/>
              </w:rPr>
            </w:pPr>
            <w:r w:rsidRPr="008E63BB">
              <w:rPr>
                <w:rFonts w:eastAsia="Times New Roman"/>
                <w:sz w:val="18"/>
                <w:szCs w:val="18"/>
              </w:rPr>
              <w:t>5.42</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B4" w14:textId="77777777" w:rsidR="00DC5F42" w:rsidRPr="008E63BB" w:rsidRDefault="00DC5F42" w:rsidP="00DC5F42">
            <w:pPr>
              <w:jc w:val="right"/>
              <w:rPr>
                <w:rFonts w:eastAsia="Times New Roman"/>
                <w:sz w:val="18"/>
                <w:szCs w:val="18"/>
              </w:rPr>
            </w:pPr>
            <w:r w:rsidRPr="008E63BB">
              <w:rPr>
                <w:rFonts w:eastAsia="Times New Roman"/>
                <w:sz w:val="18"/>
                <w:szCs w:val="18"/>
              </w:rPr>
              <w:t>6.55</w:t>
            </w:r>
          </w:p>
        </w:tc>
      </w:tr>
      <w:tr w:rsidR="008D5BFE" w:rsidRPr="008E63BB" w14:paraId="519B22C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B6" w14:textId="77777777" w:rsidR="00DC5F42" w:rsidRPr="008E63BB" w:rsidRDefault="00DC5F42" w:rsidP="00DC5F42">
            <w:pPr>
              <w:jc w:val="left"/>
              <w:rPr>
                <w:rFonts w:eastAsia="Times New Roman"/>
                <w:b/>
                <w:sz w:val="18"/>
                <w:szCs w:val="18"/>
              </w:rPr>
            </w:pPr>
            <w:r w:rsidRPr="008E63BB">
              <w:rPr>
                <w:rFonts w:eastAsia="Times New Roman"/>
                <w:b/>
                <w:sz w:val="18"/>
                <w:szCs w:val="18"/>
              </w:rPr>
              <w:t>Chi phí thời gian</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B7" w14:textId="77777777" w:rsidR="00DC5F42" w:rsidRPr="008E63BB" w:rsidRDefault="00DC5F42" w:rsidP="00DC5F42">
            <w:pPr>
              <w:jc w:val="right"/>
              <w:rPr>
                <w:rFonts w:eastAsia="Times New Roman"/>
                <w:sz w:val="18"/>
                <w:szCs w:val="18"/>
              </w:rPr>
            </w:pPr>
            <w:r w:rsidRPr="008E63BB">
              <w:rPr>
                <w:rFonts w:eastAsia="Times New Roman"/>
                <w:sz w:val="18"/>
                <w:szCs w:val="18"/>
              </w:rPr>
              <w:t>4.84</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B8" w14:textId="77777777" w:rsidR="00DC5F42" w:rsidRPr="008E63BB" w:rsidRDefault="00DC5F42" w:rsidP="00DC5F42">
            <w:pPr>
              <w:jc w:val="right"/>
              <w:rPr>
                <w:rFonts w:eastAsia="Times New Roman"/>
                <w:sz w:val="18"/>
                <w:szCs w:val="18"/>
              </w:rPr>
            </w:pPr>
            <w:r w:rsidRPr="008E63BB">
              <w:rPr>
                <w:rFonts w:eastAsia="Times New Roman"/>
                <w:sz w:val="18"/>
                <w:szCs w:val="18"/>
              </w:rPr>
              <w:t>7.57</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B9" w14:textId="77777777" w:rsidR="00DC5F42" w:rsidRPr="008E63BB" w:rsidRDefault="00DC5F42" w:rsidP="00DC5F42">
            <w:pPr>
              <w:jc w:val="right"/>
              <w:rPr>
                <w:rFonts w:eastAsia="Times New Roman"/>
                <w:sz w:val="18"/>
                <w:szCs w:val="18"/>
              </w:rPr>
            </w:pPr>
            <w:r w:rsidRPr="008E63BB">
              <w:rPr>
                <w:rFonts w:eastAsia="Times New Roman"/>
                <w:sz w:val="18"/>
                <w:szCs w:val="18"/>
              </w:rPr>
              <w:t>5.72</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BA" w14:textId="77777777" w:rsidR="00DC5F42" w:rsidRPr="008E63BB" w:rsidRDefault="00DC5F42" w:rsidP="00DC5F42">
            <w:pPr>
              <w:jc w:val="right"/>
              <w:rPr>
                <w:rFonts w:eastAsia="Times New Roman"/>
                <w:sz w:val="18"/>
                <w:szCs w:val="18"/>
              </w:rPr>
            </w:pPr>
            <w:r w:rsidRPr="008E63BB">
              <w:rPr>
                <w:rFonts w:eastAsia="Times New Roman"/>
                <w:sz w:val="18"/>
                <w:szCs w:val="18"/>
              </w:rPr>
              <w:t>6.77</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BB" w14:textId="77777777" w:rsidR="00DC5F42" w:rsidRPr="008E63BB" w:rsidRDefault="00DC5F42" w:rsidP="00DC5F42">
            <w:pPr>
              <w:jc w:val="right"/>
              <w:rPr>
                <w:rFonts w:eastAsia="Times New Roman"/>
                <w:sz w:val="18"/>
                <w:szCs w:val="18"/>
              </w:rPr>
            </w:pPr>
            <w:r w:rsidRPr="008E63BB">
              <w:rPr>
                <w:rFonts w:eastAsia="Times New Roman"/>
                <w:sz w:val="18"/>
                <w:szCs w:val="18"/>
              </w:rPr>
              <w:t>6.88</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BC" w14:textId="77777777" w:rsidR="00DC5F42" w:rsidRPr="008E63BB" w:rsidRDefault="00DC5F42" w:rsidP="00DC5F42">
            <w:pPr>
              <w:jc w:val="right"/>
              <w:rPr>
                <w:rFonts w:eastAsia="Times New Roman"/>
                <w:sz w:val="18"/>
                <w:szCs w:val="18"/>
              </w:rPr>
            </w:pPr>
            <w:r w:rsidRPr="008E63BB">
              <w:rPr>
                <w:rFonts w:eastAsia="Times New Roman"/>
                <w:sz w:val="18"/>
                <w:szCs w:val="18"/>
              </w:rPr>
              <w:t>6.21</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BD" w14:textId="77777777" w:rsidR="00DC5F42" w:rsidRPr="008E63BB" w:rsidRDefault="00DC5F42" w:rsidP="00DC5F42">
            <w:pPr>
              <w:jc w:val="right"/>
              <w:rPr>
                <w:rFonts w:eastAsia="Times New Roman"/>
                <w:sz w:val="18"/>
                <w:szCs w:val="18"/>
              </w:rPr>
            </w:pPr>
            <w:r w:rsidRPr="008E63BB">
              <w:rPr>
                <w:rFonts w:eastAsia="Times New Roman"/>
                <w:sz w:val="18"/>
                <w:szCs w:val="18"/>
              </w:rPr>
              <w:t>5.87</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BE" w14:textId="77777777" w:rsidR="00DC5F42" w:rsidRPr="008E63BB" w:rsidRDefault="00DC5F42" w:rsidP="00DC5F42">
            <w:pPr>
              <w:jc w:val="right"/>
              <w:rPr>
                <w:rFonts w:eastAsia="Times New Roman"/>
                <w:sz w:val="18"/>
                <w:szCs w:val="18"/>
              </w:rPr>
            </w:pPr>
            <w:r w:rsidRPr="008E63BB">
              <w:rPr>
                <w:rFonts w:eastAsia="Times New Roman"/>
                <w:sz w:val="18"/>
                <w:szCs w:val="18"/>
              </w:rPr>
              <w:t>6.87</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BF" w14:textId="77777777" w:rsidR="00DC5F42" w:rsidRPr="008E63BB" w:rsidRDefault="00DC5F42" w:rsidP="00DC5F42">
            <w:pPr>
              <w:jc w:val="right"/>
              <w:rPr>
                <w:rFonts w:eastAsia="Times New Roman"/>
                <w:sz w:val="18"/>
                <w:szCs w:val="18"/>
              </w:rPr>
            </w:pPr>
            <w:r w:rsidRPr="008E63BB">
              <w:rPr>
                <w:rFonts w:eastAsia="Times New Roman"/>
                <w:sz w:val="18"/>
                <w:szCs w:val="18"/>
              </w:rPr>
              <w:t>6.57</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C0" w14:textId="77777777" w:rsidR="00DC5F42" w:rsidRPr="008E63BB" w:rsidRDefault="00DC5F42" w:rsidP="00DC5F42">
            <w:pPr>
              <w:jc w:val="right"/>
              <w:rPr>
                <w:rFonts w:eastAsia="Times New Roman"/>
                <w:sz w:val="18"/>
                <w:szCs w:val="18"/>
              </w:rPr>
            </w:pPr>
            <w:r w:rsidRPr="008E63BB">
              <w:rPr>
                <w:rFonts w:eastAsia="Times New Roman"/>
                <w:sz w:val="18"/>
                <w:szCs w:val="18"/>
              </w:rPr>
              <w:t>6.47</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C1" w14:textId="77777777" w:rsidR="00DC5F42" w:rsidRPr="008E63BB" w:rsidRDefault="00DC5F42" w:rsidP="00DC5F42">
            <w:pPr>
              <w:jc w:val="right"/>
              <w:rPr>
                <w:rFonts w:eastAsia="Times New Roman"/>
                <w:sz w:val="18"/>
                <w:szCs w:val="18"/>
              </w:rPr>
            </w:pPr>
            <w:r w:rsidRPr="008E63BB">
              <w:rPr>
                <w:rFonts w:eastAsia="Times New Roman"/>
                <w:sz w:val="18"/>
                <w:szCs w:val="18"/>
              </w:rPr>
              <w:t>6.16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C2" w14:textId="77777777" w:rsidR="00DC5F42" w:rsidRPr="008E63BB" w:rsidRDefault="00DC5F42" w:rsidP="00DC5F42">
            <w:pPr>
              <w:jc w:val="right"/>
              <w:rPr>
                <w:rFonts w:eastAsia="Times New Roman"/>
                <w:sz w:val="18"/>
                <w:szCs w:val="18"/>
              </w:rPr>
            </w:pPr>
            <w:r w:rsidRPr="008E63BB">
              <w:rPr>
                <w:rFonts w:eastAsia="Times New Roman"/>
                <w:sz w:val="18"/>
                <w:szCs w:val="18"/>
              </w:rPr>
              <w:t>6.69</w:t>
            </w:r>
          </w:p>
        </w:tc>
        <w:tc>
          <w:tcPr>
            <w:tcW w:w="629" w:type="dxa"/>
            <w:tcBorders>
              <w:top w:val="single" w:sz="4" w:space="0" w:color="auto"/>
              <w:left w:val="nil"/>
              <w:bottom w:val="single" w:sz="4" w:space="0" w:color="auto"/>
              <w:right w:val="single" w:sz="4" w:space="0" w:color="auto"/>
            </w:tcBorders>
            <w:vAlign w:val="bottom"/>
          </w:tcPr>
          <w:p w14:paraId="519B22C3" w14:textId="77777777" w:rsidR="00DC5F42" w:rsidRPr="008E63BB" w:rsidRDefault="00DC5F42" w:rsidP="00DC5F42">
            <w:pPr>
              <w:jc w:val="right"/>
              <w:rPr>
                <w:rFonts w:eastAsia="Times New Roman"/>
                <w:sz w:val="18"/>
                <w:szCs w:val="18"/>
              </w:rPr>
            </w:pPr>
            <w:r w:rsidRPr="008E63BB">
              <w:rPr>
                <w:rFonts w:eastAsia="Times New Roman"/>
                <w:sz w:val="18"/>
                <w:szCs w:val="18"/>
              </w:rPr>
              <w:t>7.04</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C4" w14:textId="77777777" w:rsidR="00DC5F42" w:rsidRPr="008E63BB" w:rsidRDefault="00DC5F42" w:rsidP="00DC5F42">
            <w:pPr>
              <w:jc w:val="right"/>
              <w:rPr>
                <w:rFonts w:eastAsia="Times New Roman"/>
                <w:sz w:val="18"/>
                <w:szCs w:val="18"/>
              </w:rPr>
            </w:pPr>
            <w:r w:rsidRPr="008E63BB">
              <w:rPr>
                <w:rFonts w:eastAsia="Times New Roman"/>
                <w:sz w:val="18"/>
                <w:szCs w:val="18"/>
              </w:rPr>
              <w:t>6.4</w:t>
            </w:r>
          </w:p>
        </w:tc>
      </w:tr>
      <w:tr w:rsidR="008D5BFE" w:rsidRPr="008E63BB" w14:paraId="519B22D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C6" w14:textId="77777777" w:rsidR="00DC5F42" w:rsidRPr="008E63BB" w:rsidRDefault="00DC5F42" w:rsidP="00DC5F42">
            <w:pPr>
              <w:jc w:val="left"/>
              <w:rPr>
                <w:rFonts w:eastAsia="Times New Roman"/>
                <w:b/>
                <w:sz w:val="18"/>
                <w:szCs w:val="18"/>
              </w:rPr>
            </w:pPr>
            <w:r w:rsidRPr="008E63BB">
              <w:rPr>
                <w:rFonts w:eastAsia="Times New Roman"/>
                <w:b/>
                <w:sz w:val="18"/>
                <w:szCs w:val="18"/>
              </w:rPr>
              <w:t>Chi phí không chính thức</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C7" w14:textId="77777777" w:rsidR="00DC5F42" w:rsidRPr="008E63BB" w:rsidRDefault="00DC5F42" w:rsidP="00DC5F42">
            <w:pPr>
              <w:jc w:val="right"/>
              <w:rPr>
                <w:rFonts w:eastAsia="Times New Roman"/>
                <w:sz w:val="18"/>
                <w:szCs w:val="18"/>
              </w:rPr>
            </w:pPr>
            <w:r w:rsidRPr="008E63BB">
              <w:rPr>
                <w:rFonts w:eastAsia="Times New Roman"/>
                <w:sz w:val="18"/>
                <w:szCs w:val="18"/>
              </w:rPr>
              <w:t>6.65</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C8" w14:textId="77777777" w:rsidR="00DC5F42" w:rsidRPr="008E63BB" w:rsidRDefault="00DC5F42" w:rsidP="00DC5F42">
            <w:pPr>
              <w:jc w:val="right"/>
              <w:rPr>
                <w:rFonts w:eastAsia="Times New Roman"/>
                <w:sz w:val="18"/>
                <w:szCs w:val="18"/>
              </w:rPr>
            </w:pPr>
            <w:r w:rsidRPr="008E63BB">
              <w:rPr>
                <w:rFonts w:eastAsia="Times New Roman"/>
                <w:sz w:val="18"/>
                <w:szCs w:val="18"/>
              </w:rPr>
              <w:t>6.91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C9" w14:textId="77777777" w:rsidR="00DC5F42" w:rsidRPr="008E63BB" w:rsidRDefault="00DC5F42" w:rsidP="00DC5F42">
            <w:pPr>
              <w:jc w:val="right"/>
              <w:rPr>
                <w:rFonts w:eastAsia="Times New Roman"/>
                <w:sz w:val="18"/>
                <w:szCs w:val="18"/>
              </w:rPr>
            </w:pPr>
            <w:r w:rsidRPr="008E63BB">
              <w:rPr>
                <w:rFonts w:eastAsia="Times New Roman"/>
                <w:sz w:val="18"/>
                <w:szCs w:val="18"/>
              </w:rPr>
              <w:t>6.30</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CA" w14:textId="77777777" w:rsidR="00DC5F42" w:rsidRPr="008E63BB" w:rsidRDefault="00DC5F42" w:rsidP="00DC5F42">
            <w:pPr>
              <w:jc w:val="right"/>
              <w:rPr>
                <w:rFonts w:eastAsia="Times New Roman"/>
                <w:sz w:val="18"/>
                <w:szCs w:val="18"/>
              </w:rPr>
            </w:pPr>
            <w:r w:rsidRPr="008E63BB">
              <w:rPr>
                <w:rFonts w:eastAsia="Times New Roman"/>
                <w:sz w:val="18"/>
                <w:szCs w:val="18"/>
              </w:rPr>
              <w:t>4.88</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CB" w14:textId="77777777" w:rsidR="00DC5F42" w:rsidRPr="008E63BB" w:rsidRDefault="00DC5F42" w:rsidP="00DC5F42">
            <w:pPr>
              <w:jc w:val="right"/>
              <w:rPr>
                <w:rFonts w:eastAsia="Times New Roman"/>
                <w:sz w:val="18"/>
                <w:szCs w:val="18"/>
              </w:rPr>
            </w:pPr>
            <w:r w:rsidRPr="008E63BB">
              <w:rPr>
                <w:rFonts w:eastAsia="Times New Roman"/>
                <w:sz w:val="18"/>
                <w:szCs w:val="18"/>
              </w:rPr>
              <w:t>6.75</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CC" w14:textId="77777777" w:rsidR="00DC5F42" w:rsidRPr="008E63BB" w:rsidRDefault="00DC5F42" w:rsidP="00DC5F42">
            <w:pPr>
              <w:jc w:val="right"/>
              <w:rPr>
                <w:rFonts w:eastAsia="Times New Roman"/>
                <w:sz w:val="18"/>
                <w:szCs w:val="18"/>
              </w:rPr>
            </w:pPr>
            <w:r w:rsidRPr="008E63BB">
              <w:rPr>
                <w:rFonts w:eastAsia="Times New Roman"/>
                <w:sz w:val="18"/>
                <w:szCs w:val="18"/>
              </w:rPr>
              <w:t>6.07</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CD" w14:textId="77777777" w:rsidR="00DC5F42" w:rsidRPr="008E63BB" w:rsidRDefault="00DC5F42" w:rsidP="00DC5F42">
            <w:pPr>
              <w:jc w:val="right"/>
              <w:rPr>
                <w:rFonts w:eastAsia="Times New Roman"/>
                <w:sz w:val="18"/>
                <w:szCs w:val="18"/>
              </w:rPr>
            </w:pPr>
            <w:r w:rsidRPr="008E63BB">
              <w:rPr>
                <w:rFonts w:eastAsia="Times New Roman"/>
                <w:sz w:val="18"/>
                <w:szCs w:val="18"/>
              </w:rPr>
              <w:t>6.23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CE" w14:textId="77777777" w:rsidR="00DC5F42" w:rsidRPr="008E63BB" w:rsidRDefault="00DC5F42" w:rsidP="00DC5F42">
            <w:pPr>
              <w:jc w:val="right"/>
              <w:rPr>
                <w:rFonts w:eastAsia="Times New Roman"/>
                <w:sz w:val="18"/>
                <w:szCs w:val="18"/>
              </w:rPr>
            </w:pPr>
            <w:r w:rsidRPr="008E63BB">
              <w:rPr>
                <w:rFonts w:eastAsia="Times New Roman"/>
                <w:sz w:val="18"/>
                <w:szCs w:val="18"/>
              </w:rPr>
              <w:t>5.58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CF" w14:textId="77777777" w:rsidR="00DC5F42" w:rsidRPr="008E63BB" w:rsidRDefault="00DC5F42" w:rsidP="00DC5F42">
            <w:pPr>
              <w:jc w:val="right"/>
              <w:rPr>
                <w:rFonts w:eastAsia="Times New Roman"/>
                <w:sz w:val="18"/>
                <w:szCs w:val="18"/>
              </w:rPr>
            </w:pPr>
            <w:r w:rsidRPr="008E63BB">
              <w:rPr>
                <w:rFonts w:eastAsia="Times New Roman"/>
                <w:sz w:val="18"/>
                <w:szCs w:val="18"/>
              </w:rPr>
              <w:t>5.23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D0" w14:textId="77777777" w:rsidR="00DC5F42" w:rsidRPr="008E63BB" w:rsidRDefault="00DC5F42" w:rsidP="00DC5F42">
            <w:pPr>
              <w:jc w:val="right"/>
              <w:rPr>
                <w:rFonts w:eastAsia="Times New Roman"/>
                <w:sz w:val="18"/>
                <w:szCs w:val="18"/>
              </w:rPr>
            </w:pPr>
            <w:r w:rsidRPr="008E63BB">
              <w:rPr>
                <w:rFonts w:eastAsia="Times New Roman"/>
                <w:sz w:val="18"/>
                <w:szCs w:val="18"/>
              </w:rPr>
              <w:t>4.95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D1" w14:textId="77777777" w:rsidR="00DC5F42" w:rsidRPr="008E63BB" w:rsidRDefault="00DC5F42" w:rsidP="00DC5F42">
            <w:pPr>
              <w:jc w:val="right"/>
              <w:rPr>
                <w:rFonts w:eastAsia="Times New Roman"/>
                <w:sz w:val="18"/>
                <w:szCs w:val="18"/>
              </w:rPr>
            </w:pPr>
            <w:r w:rsidRPr="008E63BB">
              <w:rPr>
                <w:rFonts w:eastAsia="Times New Roman"/>
                <w:sz w:val="18"/>
                <w:szCs w:val="18"/>
              </w:rPr>
              <w:t>5.48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D2" w14:textId="77777777" w:rsidR="00DC5F42" w:rsidRPr="008E63BB" w:rsidRDefault="00DC5F42" w:rsidP="00DC5F42">
            <w:pPr>
              <w:jc w:val="right"/>
              <w:rPr>
                <w:rFonts w:eastAsia="Times New Roman"/>
                <w:sz w:val="18"/>
                <w:szCs w:val="18"/>
              </w:rPr>
            </w:pPr>
            <w:r w:rsidRPr="008E63BB">
              <w:rPr>
                <w:rFonts w:eastAsia="Times New Roman"/>
                <w:sz w:val="18"/>
                <w:szCs w:val="18"/>
              </w:rPr>
              <w:t>4.62</w:t>
            </w:r>
          </w:p>
        </w:tc>
        <w:tc>
          <w:tcPr>
            <w:tcW w:w="629" w:type="dxa"/>
            <w:tcBorders>
              <w:top w:val="single" w:sz="4" w:space="0" w:color="auto"/>
              <w:left w:val="nil"/>
              <w:bottom w:val="single" w:sz="4" w:space="0" w:color="auto"/>
              <w:right w:val="single" w:sz="4" w:space="0" w:color="auto"/>
            </w:tcBorders>
            <w:vAlign w:val="bottom"/>
          </w:tcPr>
          <w:p w14:paraId="519B22D3" w14:textId="77777777" w:rsidR="00DC5F42" w:rsidRPr="008E63BB" w:rsidRDefault="00DC5F42" w:rsidP="00DC5F42">
            <w:pPr>
              <w:jc w:val="right"/>
              <w:rPr>
                <w:rFonts w:eastAsia="Times New Roman"/>
                <w:sz w:val="18"/>
                <w:szCs w:val="18"/>
              </w:rPr>
            </w:pPr>
            <w:r w:rsidRPr="008E63BB">
              <w:rPr>
                <w:rFonts w:eastAsia="Times New Roman"/>
                <w:sz w:val="18"/>
                <w:szCs w:val="18"/>
              </w:rPr>
              <w:t>6.97</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D4" w14:textId="77777777" w:rsidR="00DC5F42" w:rsidRPr="008E63BB" w:rsidRDefault="00DC5F42" w:rsidP="00DC5F42">
            <w:pPr>
              <w:jc w:val="right"/>
              <w:rPr>
                <w:rFonts w:eastAsia="Times New Roman"/>
                <w:sz w:val="18"/>
                <w:szCs w:val="18"/>
              </w:rPr>
            </w:pPr>
            <w:r w:rsidRPr="008E63BB">
              <w:rPr>
                <w:rFonts w:eastAsia="Times New Roman"/>
                <w:sz w:val="18"/>
                <w:szCs w:val="18"/>
              </w:rPr>
              <w:t>5.8</w:t>
            </w:r>
          </w:p>
        </w:tc>
      </w:tr>
      <w:tr w:rsidR="008D5BFE" w:rsidRPr="008E63BB" w14:paraId="519B22E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D6" w14:textId="77777777" w:rsidR="00DC5F42" w:rsidRPr="008E63BB" w:rsidRDefault="00DC5F42" w:rsidP="00DC5F42">
            <w:pPr>
              <w:jc w:val="left"/>
              <w:rPr>
                <w:rFonts w:eastAsia="Times New Roman"/>
                <w:b/>
                <w:sz w:val="18"/>
                <w:szCs w:val="18"/>
              </w:rPr>
            </w:pPr>
            <w:r w:rsidRPr="008E63BB">
              <w:rPr>
                <w:rFonts w:eastAsia="Times New Roman"/>
                <w:b/>
                <w:sz w:val="18"/>
                <w:szCs w:val="18"/>
              </w:rPr>
              <w:t>Cạnh tranh bình đẳng</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D7"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D8"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D9"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DA"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DB"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DC"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DD" w14:textId="77777777" w:rsidR="00DC5F42" w:rsidRPr="008E63BB" w:rsidRDefault="00DC5F42" w:rsidP="00DC5F42">
            <w:pPr>
              <w:jc w:val="right"/>
              <w:rPr>
                <w:rFonts w:eastAsia="Times New Roman"/>
                <w:sz w:val="18"/>
                <w:szCs w:val="18"/>
              </w:rPr>
            </w:pPr>
            <w:r w:rsidRPr="008E63BB">
              <w:rPr>
                <w:rFonts w:eastAsia="Times New Roman"/>
                <w:sz w:val="18"/>
                <w:szCs w:val="18"/>
              </w:rPr>
              <w:t>N/A</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DE" w14:textId="77777777" w:rsidR="00DC5F42" w:rsidRPr="008E63BB" w:rsidRDefault="00DC5F42" w:rsidP="00DC5F42">
            <w:pPr>
              <w:jc w:val="right"/>
              <w:rPr>
                <w:rFonts w:eastAsia="Times New Roman"/>
                <w:sz w:val="18"/>
                <w:szCs w:val="18"/>
              </w:rPr>
            </w:pPr>
            <w:r w:rsidRPr="008E63BB">
              <w:rPr>
                <w:rFonts w:eastAsia="Times New Roman"/>
                <w:sz w:val="18"/>
                <w:szCs w:val="18"/>
              </w:rPr>
              <w:t>6.29</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DF" w14:textId="77777777" w:rsidR="00DC5F42" w:rsidRPr="008E63BB" w:rsidRDefault="00DC5F42" w:rsidP="00DC5F42">
            <w:pPr>
              <w:jc w:val="right"/>
              <w:rPr>
                <w:rFonts w:eastAsia="Times New Roman"/>
                <w:sz w:val="18"/>
                <w:szCs w:val="18"/>
              </w:rPr>
            </w:pPr>
            <w:r w:rsidRPr="008E63BB">
              <w:rPr>
                <w:rFonts w:eastAsia="Times New Roman"/>
                <w:sz w:val="18"/>
                <w:szCs w:val="18"/>
              </w:rPr>
              <w:t>6.40</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E0" w14:textId="77777777" w:rsidR="00DC5F42" w:rsidRPr="008E63BB" w:rsidRDefault="00DC5F42" w:rsidP="00DC5F42">
            <w:pPr>
              <w:jc w:val="right"/>
              <w:rPr>
                <w:rFonts w:eastAsia="Times New Roman"/>
                <w:sz w:val="18"/>
                <w:szCs w:val="18"/>
              </w:rPr>
            </w:pPr>
            <w:r w:rsidRPr="008E63BB">
              <w:rPr>
                <w:rFonts w:eastAsia="Times New Roman"/>
                <w:sz w:val="18"/>
                <w:szCs w:val="18"/>
              </w:rPr>
              <w:t>4.62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E1" w14:textId="77777777" w:rsidR="00DC5F42" w:rsidRPr="008E63BB" w:rsidRDefault="00DC5F42" w:rsidP="00DC5F42">
            <w:pPr>
              <w:jc w:val="right"/>
              <w:rPr>
                <w:rFonts w:eastAsia="Times New Roman"/>
                <w:sz w:val="18"/>
                <w:szCs w:val="18"/>
              </w:rPr>
            </w:pPr>
            <w:r w:rsidRPr="008E63BB">
              <w:rPr>
                <w:rFonts w:eastAsia="Times New Roman"/>
                <w:sz w:val="18"/>
                <w:szCs w:val="18"/>
              </w:rPr>
              <w:t>5.13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E2" w14:textId="77777777" w:rsidR="00DC5F42" w:rsidRPr="008E63BB" w:rsidRDefault="00DC5F42" w:rsidP="00DC5F42">
            <w:pPr>
              <w:jc w:val="right"/>
              <w:rPr>
                <w:rFonts w:eastAsia="Times New Roman"/>
                <w:sz w:val="18"/>
                <w:szCs w:val="18"/>
              </w:rPr>
            </w:pPr>
            <w:r w:rsidRPr="008E63BB">
              <w:rPr>
                <w:rFonts w:eastAsia="Times New Roman"/>
                <w:sz w:val="18"/>
                <w:szCs w:val="18"/>
              </w:rPr>
              <w:t>5.65</w:t>
            </w:r>
          </w:p>
        </w:tc>
        <w:tc>
          <w:tcPr>
            <w:tcW w:w="629" w:type="dxa"/>
            <w:tcBorders>
              <w:top w:val="single" w:sz="4" w:space="0" w:color="auto"/>
              <w:left w:val="nil"/>
              <w:bottom w:val="single" w:sz="4" w:space="0" w:color="auto"/>
              <w:right w:val="single" w:sz="4" w:space="0" w:color="auto"/>
            </w:tcBorders>
            <w:vAlign w:val="bottom"/>
          </w:tcPr>
          <w:p w14:paraId="519B22E3" w14:textId="77777777" w:rsidR="00DC5F42" w:rsidRPr="008E63BB" w:rsidRDefault="00DC5F42" w:rsidP="00DC5F42">
            <w:pPr>
              <w:jc w:val="right"/>
              <w:rPr>
                <w:rFonts w:eastAsia="Times New Roman"/>
                <w:sz w:val="18"/>
                <w:szCs w:val="18"/>
              </w:rPr>
            </w:pPr>
            <w:r w:rsidRPr="008E63BB">
              <w:rPr>
                <w:rFonts w:eastAsia="Times New Roman"/>
                <w:sz w:val="18"/>
                <w:szCs w:val="18"/>
              </w:rPr>
              <w:t>5.34</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E4" w14:textId="77777777" w:rsidR="00DC5F42" w:rsidRPr="008E63BB" w:rsidRDefault="00DC5F42" w:rsidP="00DC5F42">
            <w:pPr>
              <w:jc w:val="right"/>
              <w:rPr>
                <w:rFonts w:eastAsia="Times New Roman"/>
                <w:sz w:val="18"/>
                <w:szCs w:val="18"/>
              </w:rPr>
            </w:pPr>
            <w:r w:rsidRPr="008E63BB">
              <w:rPr>
                <w:rFonts w:eastAsia="Times New Roman"/>
                <w:sz w:val="18"/>
                <w:szCs w:val="18"/>
              </w:rPr>
              <w:t>6.24</w:t>
            </w:r>
          </w:p>
        </w:tc>
      </w:tr>
      <w:tr w:rsidR="008D5BFE" w:rsidRPr="008E63BB" w14:paraId="519B22F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E6" w14:textId="77777777" w:rsidR="00DC5F42" w:rsidRPr="008E63BB" w:rsidRDefault="00DC5F42" w:rsidP="00DC5F42">
            <w:pPr>
              <w:jc w:val="left"/>
              <w:rPr>
                <w:rFonts w:eastAsia="Times New Roman"/>
                <w:b/>
                <w:sz w:val="18"/>
                <w:szCs w:val="18"/>
              </w:rPr>
            </w:pPr>
            <w:r w:rsidRPr="008E63BB">
              <w:rPr>
                <w:rFonts w:eastAsia="Times New Roman"/>
                <w:b/>
                <w:sz w:val="18"/>
                <w:szCs w:val="18"/>
              </w:rPr>
              <w:t>Tính năng động</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E7" w14:textId="77777777" w:rsidR="00DC5F42" w:rsidRPr="008E63BB" w:rsidRDefault="00DC5F42" w:rsidP="00DC5F42">
            <w:pPr>
              <w:jc w:val="right"/>
              <w:rPr>
                <w:rFonts w:eastAsia="Times New Roman"/>
                <w:sz w:val="18"/>
                <w:szCs w:val="18"/>
              </w:rPr>
            </w:pPr>
            <w:r w:rsidRPr="008E63BB">
              <w:rPr>
                <w:rFonts w:eastAsia="Times New Roman"/>
                <w:sz w:val="18"/>
                <w:szCs w:val="18"/>
              </w:rPr>
              <w:t>5.05</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E8" w14:textId="77777777" w:rsidR="00DC5F42" w:rsidRPr="008E63BB" w:rsidRDefault="00DC5F42" w:rsidP="00DC5F42">
            <w:pPr>
              <w:jc w:val="right"/>
              <w:rPr>
                <w:rFonts w:eastAsia="Times New Roman"/>
                <w:sz w:val="18"/>
                <w:szCs w:val="18"/>
              </w:rPr>
            </w:pPr>
            <w:r w:rsidRPr="008E63BB">
              <w:rPr>
                <w:rFonts w:eastAsia="Times New Roman"/>
                <w:sz w:val="18"/>
                <w:szCs w:val="18"/>
              </w:rPr>
              <w:t>4.28</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E9" w14:textId="77777777" w:rsidR="00DC5F42" w:rsidRPr="008E63BB" w:rsidRDefault="00DC5F42" w:rsidP="00DC5F42">
            <w:pPr>
              <w:jc w:val="right"/>
              <w:rPr>
                <w:rFonts w:eastAsia="Times New Roman"/>
                <w:sz w:val="18"/>
                <w:szCs w:val="18"/>
              </w:rPr>
            </w:pPr>
            <w:r w:rsidRPr="008E63BB">
              <w:rPr>
                <w:rFonts w:eastAsia="Times New Roman"/>
                <w:sz w:val="18"/>
                <w:szCs w:val="18"/>
              </w:rPr>
              <w:t>4.11</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EA" w14:textId="77777777" w:rsidR="00DC5F42" w:rsidRPr="008E63BB" w:rsidRDefault="00DC5F42" w:rsidP="00DC5F42">
            <w:pPr>
              <w:jc w:val="right"/>
              <w:rPr>
                <w:rFonts w:eastAsia="Times New Roman"/>
                <w:sz w:val="18"/>
                <w:szCs w:val="18"/>
              </w:rPr>
            </w:pPr>
            <w:r w:rsidRPr="008E63BB">
              <w:rPr>
                <w:rFonts w:eastAsia="Times New Roman"/>
                <w:sz w:val="18"/>
                <w:szCs w:val="18"/>
              </w:rPr>
              <w:t>2.57</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EB" w14:textId="77777777" w:rsidR="00DC5F42" w:rsidRPr="008E63BB" w:rsidRDefault="00DC5F42" w:rsidP="00DC5F42">
            <w:pPr>
              <w:jc w:val="right"/>
              <w:rPr>
                <w:rFonts w:eastAsia="Times New Roman"/>
                <w:sz w:val="18"/>
                <w:szCs w:val="18"/>
              </w:rPr>
            </w:pPr>
            <w:r w:rsidRPr="008E63BB">
              <w:rPr>
                <w:rFonts w:eastAsia="Times New Roman"/>
                <w:sz w:val="18"/>
                <w:szCs w:val="18"/>
              </w:rPr>
              <w:t>4.14</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EC" w14:textId="77777777" w:rsidR="00DC5F42" w:rsidRPr="008E63BB" w:rsidRDefault="00DC5F42" w:rsidP="00DC5F42">
            <w:pPr>
              <w:jc w:val="right"/>
              <w:rPr>
                <w:rFonts w:eastAsia="Times New Roman"/>
                <w:sz w:val="18"/>
                <w:szCs w:val="18"/>
              </w:rPr>
            </w:pPr>
            <w:r w:rsidRPr="008E63BB">
              <w:rPr>
                <w:rFonts w:eastAsia="Times New Roman"/>
                <w:sz w:val="18"/>
                <w:szCs w:val="18"/>
              </w:rPr>
              <w:t>2.53</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ED" w14:textId="77777777" w:rsidR="00DC5F42" w:rsidRPr="008E63BB" w:rsidRDefault="00DC5F42" w:rsidP="00DC5F42">
            <w:pPr>
              <w:jc w:val="right"/>
              <w:rPr>
                <w:rFonts w:eastAsia="Times New Roman"/>
                <w:sz w:val="18"/>
                <w:szCs w:val="18"/>
              </w:rPr>
            </w:pPr>
            <w:r w:rsidRPr="008E63BB">
              <w:rPr>
                <w:rFonts w:eastAsia="Times New Roman"/>
                <w:sz w:val="18"/>
                <w:szCs w:val="18"/>
              </w:rPr>
              <w:t>1.39</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EE" w14:textId="77777777" w:rsidR="00DC5F42" w:rsidRPr="008E63BB" w:rsidRDefault="00DC5F42" w:rsidP="00DC5F42">
            <w:pPr>
              <w:jc w:val="right"/>
              <w:rPr>
                <w:rFonts w:eastAsia="Times New Roman"/>
                <w:sz w:val="18"/>
                <w:szCs w:val="18"/>
              </w:rPr>
            </w:pPr>
            <w:r w:rsidRPr="008E63BB">
              <w:rPr>
                <w:rFonts w:eastAsia="Times New Roman"/>
                <w:sz w:val="18"/>
                <w:szCs w:val="18"/>
              </w:rPr>
              <w:t>3.56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EF" w14:textId="77777777" w:rsidR="00DC5F42" w:rsidRPr="008E63BB" w:rsidRDefault="00DC5F42" w:rsidP="00DC5F42">
            <w:pPr>
              <w:jc w:val="right"/>
              <w:rPr>
                <w:rFonts w:eastAsia="Times New Roman"/>
                <w:sz w:val="18"/>
                <w:szCs w:val="18"/>
              </w:rPr>
            </w:pPr>
            <w:r w:rsidRPr="008E63BB">
              <w:rPr>
                <w:rFonts w:eastAsia="Times New Roman"/>
                <w:sz w:val="18"/>
                <w:szCs w:val="18"/>
              </w:rPr>
              <w:t>4.38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F0" w14:textId="77777777" w:rsidR="00DC5F42" w:rsidRPr="008E63BB" w:rsidRDefault="00DC5F42" w:rsidP="00DC5F42">
            <w:pPr>
              <w:jc w:val="right"/>
              <w:rPr>
                <w:rFonts w:eastAsia="Times New Roman"/>
                <w:sz w:val="18"/>
                <w:szCs w:val="18"/>
              </w:rPr>
            </w:pPr>
            <w:r w:rsidRPr="008E63BB">
              <w:rPr>
                <w:rFonts w:eastAsia="Times New Roman"/>
                <w:sz w:val="18"/>
                <w:szCs w:val="18"/>
              </w:rPr>
              <w:t>4.82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F1" w14:textId="77777777" w:rsidR="00DC5F42" w:rsidRPr="008E63BB" w:rsidRDefault="00DC5F42" w:rsidP="00DC5F42">
            <w:pPr>
              <w:jc w:val="right"/>
              <w:rPr>
                <w:rFonts w:eastAsia="Times New Roman"/>
                <w:sz w:val="18"/>
                <w:szCs w:val="18"/>
              </w:rPr>
            </w:pPr>
            <w:r w:rsidRPr="008E63BB">
              <w:rPr>
                <w:rFonts w:eastAsia="Times New Roman"/>
                <w:sz w:val="18"/>
                <w:szCs w:val="18"/>
              </w:rPr>
              <w:t>5.01</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F2" w14:textId="77777777" w:rsidR="00DC5F42" w:rsidRPr="008E63BB" w:rsidRDefault="00DC5F42" w:rsidP="00DC5F42">
            <w:pPr>
              <w:jc w:val="right"/>
              <w:rPr>
                <w:rFonts w:eastAsia="Times New Roman"/>
                <w:sz w:val="18"/>
                <w:szCs w:val="18"/>
              </w:rPr>
            </w:pPr>
            <w:r w:rsidRPr="008E63BB">
              <w:rPr>
                <w:rFonts w:eastAsia="Times New Roman"/>
                <w:sz w:val="18"/>
                <w:szCs w:val="18"/>
              </w:rPr>
              <w:t>4.47</w:t>
            </w:r>
          </w:p>
        </w:tc>
        <w:tc>
          <w:tcPr>
            <w:tcW w:w="629" w:type="dxa"/>
            <w:tcBorders>
              <w:top w:val="single" w:sz="4" w:space="0" w:color="auto"/>
              <w:left w:val="nil"/>
              <w:bottom w:val="single" w:sz="4" w:space="0" w:color="auto"/>
              <w:right w:val="single" w:sz="4" w:space="0" w:color="auto"/>
            </w:tcBorders>
            <w:vAlign w:val="bottom"/>
          </w:tcPr>
          <w:p w14:paraId="519B22F3" w14:textId="77777777" w:rsidR="00DC5F42" w:rsidRPr="008E63BB" w:rsidRDefault="00DC5F42" w:rsidP="00DC5F42">
            <w:pPr>
              <w:jc w:val="right"/>
              <w:rPr>
                <w:rFonts w:eastAsia="Times New Roman"/>
                <w:sz w:val="18"/>
                <w:szCs w:val="18"/>
              </w:rPr>
            </w:pPr>
            <w:r w:rsidRPr="008E63BB">
              <w:rPr>
                <w:rFonts w:eastAsia="Times New Roman"/>
                <w:sz w:val="18"/>
                <w:szCs w:val="18"/>
              </w:rPr>
              <w:t>6.51</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2F4" w14:textId="77777777" w:rsidR="00DC5F42" w:rsidRPr="008E63BB" w:rsidRDefault="00DC5F42" w:rsidP="00DC5F42">
            <w:pPr>
              <w:jc w:val="right"/>
              <w:rPr>
                <w:rFonts w:eastAsia="Times New Roman"/>
                <w:sz w:val="18"/>
                <w:szCs w:val="18"/>
              </w:rPr>
            </w:pPr>
            <w:r w:rsidRPr="008E63BB">
              <w:rPr>
                <w:rFonts w:eastAsia="Times New Roman"/>
                <w:sz w:val="18"/>
                <w:szCs w:val="18"/>
              </w:rPr>
              <w:t>6.05</w:t>
            </w:r>
          </w:p>
        </w:tc>
      </w:tr>
      <w:tr w:rsidR="008D5BFE" w:rsidRPr="008E63BB" w14:paraId="519B230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2F6" w14:textId="77777777" w:rsidR="00DC5F42" w:rsidRPr="008E63BB" w:rsidRDefault="00DC5F42" w:rsidP="00DC5F42">
            <w:pPr>
              <w:jc w:val="left"/>
              <w:rPr>
                <w:rFonts w:eastAsia="Times New Roman"/>
                <w:b/>
                <w:sz w:val="18"/>
                <w:szCs w:val="18"/>
              </w:rPr>
            </w:pPr>
            <w:r w:rsidRPr="008E63BB">
              <w:rPr>
                <w:rFonts w:eastAsia="Times New Roman"/>
                <w:b/>
                <w:sz w:val="18"/>
                <w:szCs w:val="18"/>
              </w:rPr>
              <w:t>Dịch vụ hỗ trợ Doanh nghiệp</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2F7" w14:textId="77777777" w:rsidR="00DC5F42" w:rsidRPr="008E63BB" w:rsidRDefault="00DC5F42" w:rsidP="00DC5F42">
            <w:pPr>
              <w:jc w:val="right"/>
              <w:rPr>
                <w:rFonts w:eastAsia="Times New Roman"/>
                <w:sz w:val="18"/>
                <w:szCs w:val="18"/>
              </w:rPr>
            </w:pPr>
            <w:r w:rsidRPr="008E63BB">
              <w:rPr>
                <w:rFonts w:eastAsia="Times New Roman"/>
                <w:sz w:val="18"/>
                <w:szCs w:val="18"/>
              </w:rPr>
              <w:t>4.75</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2F8" w14:textId="77777777" w:rsidR="00DC5F42" w:rsidRPr="008E63BB" w:rsidRDefault="00DC5F42" w:rsidP="00DC5F42">
            <w:pPr>
              <w:jc w:val="right"/>
              <w:rPr>
                <w:rFonts w:eastAsia="Times New Roman"/>
                <w:sz w:val="18"/>
                <w:szCs w:val="18"/>
              </w:rPr>
            </w:pPr>
            <w:r w:rsidRPr="008E63BB">
              <w:rPr>
                <w:rFonts w:eastAsia="Times New Roman"/>
                <w:sz w:val="18"/>
                <w:szCs w:val="18"/>
              </w:rPr>
              <w:t>4.12</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F9" w14:textId="77777777" w:rsidR="00DC5F42" w:rsidRPr="008E63BB" w:rsidRDefault="00DC5F42" w:rsidP="00DC5F42">
            <w:pPr>
              <w:jc w:val="right"/>
              <w:rPr>
                <w:rFonts w:eastAsia="Times New Roman"/>
                <w:sz w:val="18"/>
                <w:szCs w:val="18"/>
              </w:rPr>
            </w:pPr>
            <w:r w:rsidRPr="008E63BB">
              <w:rPr>
                <w:rFonts w:eastAsia="Times New Roman"/>
                <w:sz w:val="18"/>
                <w:szCs w:val="18"/>
              </w:rPr>
              <w:t>7.48</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2FA" w14:textId="77777777" w:rsidR="00DC5F42" w:rsidRPr="008E63BB" w:rsidRDefault="00DC5F42" w:rsidP="00DC5F42">
            <w:pPr>
              <w:jc w:val="right"/>
              <w:rPr>
                <w:rFonts w:eastAsia="Times New Roman"/>
                <w:sz w:val="18"/>
                <w:szCs w:val="18"/>
              </w:rPr>
            </w:pPr>
            <w:r w:rsidRPr="008E63BB">
              <w:rPr>
                <w:rFonts w:eastAsia="Times New Roman"/>
                <w:sz w:val="18"/>
                <w:szCs w:val="18"/>
              </w:rPr>
              <w:t>5.40</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2FB" w14:textId="77777777" w:rsidR="00DC5F42" w:rsidRPr="008E63BB" w:rsidRDefault="00DC5F42" w:rsidP="00DC5F42">
            <w:pPr>
              <w:jc w:val="right"/>
              <w:rPr>
                <w:rFonts w:eastAsia="Times New Roman"/>
                <w:sz w:val="18"/>
                <w:szCs w:val="18"/>
              </w:rPr>
            </w:pPr>
            <w:r w:rsidRPr="008E63BB">
              <w:rPr>
                <w:rFonts w:eastAsia="Times New Roman"/>
                <w:sz w:val="18"/>
                <w:szCs w:val="18"/>
              </w:rPr>
              <w:t>5.99</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2FC" w14:textId="77777777" w:rsidR="00DC5F42" w:rsidRPr="008E63BB" w:rsidRDefault="00DC5F42" w:rsidP="00DC5F42">
            <w:pPr>
              <w:jc w:val="right"/>
              <w:rPr>
                <w:rFonts w:eastAsia="Times New Roman"/>
                <w:sz w:val="18"/>
                <w:szCs w:val="18"/>
              </w:rPr>
            </w:pPr>
            <w:r w:rsidRPr="008E63BB">
              <w:rPr>
                <w:rFonts w:eastAsia="Times New Roman"/>
                <w:sz w:val="18"/>
                <w:szCs w:val="18"/>
              </w:rPr>
              <w:t>4.10</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2FD" w14:textId="77777777" w:rsidR="00DC5F42" w:rsidRPr="008E63BB" w:rsidRDefault="00DC5F42" w:rsidP="00DC5F42">
            <w:pPr>
              <w:jc w:val="right"/>
              <w:rPr>
                <w:rFonts w:eastAsia="Times New Roman"/>
                <w:sz w:val="18"/>
                <w:szCs w:val="18"/>
              </w:rPr>
            </w:pPr>
            <w:r w:rsidRPr="008E63BB">
              <w:rPr>
                <w:rFonts w:eastAsia="Times New Roman"/>
                <w:sz w:val="18"/>
                <w:szCs w:val="18"/>
              </w:rPr>
              <w:t>3.95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FE" w14:textId="77777777" w:rsidR="00DC5F42" w:rsidRPr="008E63BB" w:rsidRDefault="00DC5F42" w:rsidP="00DC5F42">
            <w:pPr>
              <w:jc w:val="right"/>
              <w:rPr>
                <w:rFonts w:eastAsia="Times New Roman"/>
                <w:sz w:val="18"/>
                <w:szCs w:val="18"/>
              </w:rPr>
            </w:pPr>
            <w:r w:rsidRPr="008E63BB">
              <w:rPr>
                <w:rFonts w:eastAsia="Times New Roman"/>
                <w:sz w:val="18"/>
                <w:szCs w:val="18"/>
              </w:rPr>
              <w:t>5.34</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2FF" w14:textId="77777777" w:rsidR="00DC5F42" w:rsidRPr="008E63BB" w:rsidRDefault="00DC5F42" w:rsidP="00DC5F42">
            <w:pPr>
              <w:jc w:val="right"/>
              <w:rPr>
                <w:rFonts w:eastAsia="Times New Roman"/>
                <w:sz w:val="18"/>
                <w:szCs w:val="18"/>
              </w:rPr>
            </w:pPr>
            <w:r w:rsidRPr="008E63BB">
              <w:rPr>
                <w:rFonts w:eastAsia="Times New Roman"/>
                <w:sz w:val="18"/>
                <w:szCs w:val="18"/>
              </w:rPr>
              <w:t>5.45</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00" w14:textId="77777777" w:rsidR="00DC5F42" w:rsidRPr="008E63BB" w:rsidRDefault="00DC5F42" w:rsidP="00DC5F42">
            <w:pPr>
              <w:jc w:val="right"/>
              <w:rPr>
                <w:rFonts w:eastAsia="Times New Roman"/>
                <w:sz w:val="18"/>
                <w:szCs w:val="18"/>
              </w:rPr>
            </w:pPr>
            <w:r w:rsidRPr="008E63BB">
              <w:rPr>
                <w:rFonts w:eastAsia="Times New Roman"/>
                <w:sz w:val="18"/>
                <w:szCs w:val="18"/>
              </w:rPr>
              <w:t>5.86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01" w14:textId="77777777" w:rsidR="00DC5F42" w:rsidRPr="008E63BB" w:rsidRDefault="00DC5F42" w:rsidP="00DC5F42">
            <w:pPr>
              <w:jc w:val="right"/>
              <w:rPr>
                <w:rFonts w:eastAsia="Times New Roman"/>
                <w:sz w:val="18"/>
                <w:szCs w:val="18"/>
              </w:rPr>
            </w:pPr>
            <w:r w:rsidRPr="008E63BB">
              <w:rPr>
                <w:rFonts w:eastAsia="Times New Roman"/>
                <w:sz w:val="18"/>
                <w:szCs w:val="18"/>
              </w:rPr>
              <w:t>5.91</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02" w14:textId="77777777" w:rsidR="00DC5F42" w:rsidRPr="008E63BB" w:rsidRDefault="00DC5F42" w:rsidP="00DC5F42">
            <w:pPr>
              <w:jc w:val="right"/>
              <w:rPr>
                <w:rFonts w:eastAsia="Times New Roman"/>
                <w:sz w:val="18"/>
                <w:szCs w:val="18"/>
              </w:rPr>
            </w:pPr>
            <w:r w:rsidRPr="008E63BB">
              <w:rPr>
                <w:rFonts w:eastAsia="Times New Roman"/>
                <w:sz w:val="18"/>
                <w:szCs w:val="18"/>
              </w:rPr>
              <w:t>6.35</w:t>
            </w:r>
          </w:p>
        </w:tc>
        <w:tc>
          <w:tcPr>
            <w:tcW w:w="629" w:type="dxa"/>
            <w:tcBorders>
              <w:top w:val="single" w:sz="4" w:space="0" w:color="auto"/>
              <w:left w:val="nil"/>
              <w:bottom w:val="single" w:sz="4" w:space="0" w:color="auto"/>
              <w:right w:val="single" w:sz="4" w:space="0" w:color="auto"/>
            </w:tcBorders>
            <w:vAlign w:val="bottom"/>
          </w:tcPr>
          <w:p w14:paraId="519B2303" w14:textId="77777777" w:rsidR="00DC5F42" w:rsidRPr="008E63BB" w:rsidRDefault="00DC5F42" w:rsidP="00DC5F42">
            <w:pPr>
              <w:jc w:val="right"/>
              <w:rPr>
                <w:rFonts w:eastAsia="Times New Roman"/>
                <w:sz w:val="18"/>
                <w:szCs w:val="18"/>
              </w:rPr>
            </w:pPr>
            <w:r w:rsidRPr="008E63BB">
              <w:rPr>
                <w:rFonts w:eastAsia="Times New Roman"/>
                <w:sz w:val="18"/>
                <w:szCs w:val="18"/>
              </w:rPr>
              <w:t>6.23</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304" w14:textId="77777777" w:rsidR="00DC5F42" w:rsidRPr="008E63BB" w:rsidRDefault="00DC5F42" w:rsidP="00DC5F42">
            <w:pPr>
              <w:jc w:val="right"/>
              <w:rPr>
                <w:rFonts w:eastAsia="Times New Roman"/>
                <w:sz w:val="18"/>
                <w:szCs w:val="18"/>
              </w:rPr>
            </w:pPr>
            <w:r w:rsidRPr="008E63BB">
              <w:rPr>
                <w:rFonts w:eastAsia="Times New Roman"/>
                <w:sz w:val="18"/>
                <w:szCs w:val="18"/>
              </w:rPr>
              <w:t>6.25</w:t>
            </w:r>
          </w:p>
        </w:tc>
      </w:tr>
      <w:tr w:rsidR="008D5BFE" w:rsidRPr="008E63BB" w14:paraId="519B231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306" w14:textId="77777777" w:rsidR="00DC5F42" w:rsidRPr="008E63BB" w:rsidRDefault="00DC5F42" w:rsidP="00DC5F42">
            <w:pPr>
              <w:jc w:val="left"/>
              <w:rPr>
                <w:rFonts w:eastAsia="Times New Roman"/>
                <w:b/>
                <w:sz w:val="18"/>
                <w:szCs w:val="18"/>
              </w:rPr>
            </w:pPr>
            <w:r w:rsidRPr="008E63BB">
              <w:rPr>
                <w:rFonts w:eastAsia="Times New Roman"/>
                <w:b/>
                <w:sz w:val="18"/>
                <w:szCs w:val="18"/>
              </w:rPr>
              <w:t>Đào tạo lao động</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307" w14:textId="77777777" w:rsidR="00DC5F42" w:rsidRPr="008E63BB" w:rsidRDefault="00DC5F42" w:rsidP="00DC5F42">
            <w:pPr>
              <w:jc w:val="right"/>
              <w:rPr>
                <w:rFonts w:eastAsia="Times New Roman"/>
                <w:sz w:val="18"/>
                <w:szCs w:val="18"/>
              </w:rPr>
            </w:pPr>
            <w:r w:rsidRPr="008E63BB">
              <w:rPr>
                <w:rFonts w:eastAsia="Times New Roman"/>
                <w:sz w:val="18"/>
                <w:szCs w:val="18"/>
              </w:rPr>
              <w:t>4.48</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308" w14:textId="77777777" w:rsidR="00DC5F42" w:rsidRPr="008E63BB" w:rsidRDefault="00DC5F42" w:rsidP="00DC5F42">
            <w:pPr>
              <w:jc w:val="right"/>
              <w:rPr>
                <w:rFonts w:eastAsia="Times New Roman"/>
                <w:sz w:val="18"/>
                <w:szCs w:val="18"/>
              </w:rPr>
            </w:pPr>
            <w:r w:rsidRPr="008E63BB">
              <w:rPr>
                <w:rFonts w:eastAsia="Times New Roman"/>
                <w:sz w:val="18"/>
                <w:szCs w:val="18"/>
              </w:rPr>
              <w:t>4.38</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309" w14:textId="77777777" w:rsidR="00DC5F42" w:rsidRPr="008E63BB" w:rsidRDefault="00DC5F42" w:rsidP="00DC5F42">
            <w:pPr>
              <w:jc w:val="right"/>
              <w:rPr>
                <w:rFonts w:eastAsia="Times New Roman"/>
                <w:sz w:val="18"/>
                <w:szCs w:val="18"/>
              </w:rPr>
            </w:pPr>
            <w:r w:rsidRPr="008E63BB">
              <w:rPr>
                <w:rFonts w:eastAsia="Times New Roman"/>
                <w:sz w:val="18"/>
                <w:szCs w:val="18"/>
              </w:rPr>
              <w:t>4.02</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30A" w14:textId="77777777" w:rsidR="00DC5F42" w:rsidRPr="008E63BB" w:rsidRDefault="00DC5F42" w:rsidP="00DC5F42">
            <w:pPr>
              <w:jc w:val="right"/>
              <w:rPr>
                <w:rFonts w:eastAsia="Times New Roman"/>
                <w:sz w:val="18"/>
                <w:szCs w:val="18"/>
              </w:rPr>
            </w:pPr>
            <w:r w:rsidRPr="008E63BB">
              <w:rPr>
                <w:rFonts w:eastAsia="Times New Roman"/>
                <w:sz w:val="18"/>
                <w:szCs w:val="18"/>
              </w:rPr>
              <w:t>4.69</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30B" w14:textId="77777777" w:rsidR="00DC5F42" w:rsidRPr="008E63BB" w:rsidRDefault="00DC5F42" w:rsidP="00DC5F42">
            <w:pPr>
              <w:jc w:val="right"/>
              <w:rPr>
                <w:rFonts w:eastAsia="Times New Roman"/>
                <w:sz w:val="18"/>
                <w:szCs w:val="18"/>
              </w:rPr>
            </w:pPr>
            <w:r w:rsidRPr="008E63BB">
              <w:rPr>
                <w:rFonts w:eastAsia="Times New Roman"/>
                <w:sz w:val="18"/>
                <w:szCs w:val="18"/>
              </w:rPr>
              <w:t>5.30</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30C" w14:textId="77777777" w:rsidR="00DC5F42" w:rsidRPr="008E63BB" w:rsidRDefault="00DC5F42" w:rsidP="00DC5F42">
            <w:pPr>
              <w:jc w:val="right"/>
              <w:rPr>
                <w:rFonts w:eastAsia="Times New Roman"/>
                <w:sz w:val="18"/>
                <w:szCs w:val="18"/>
              </w:rPr>
            </w:pPr>
            <w:r w:rsidRPr="008E63BB">
              <w:rPr>
                <w:rFonts w:eastAsia="Times New Roman"/>
                <w:sz w:val="18"/>
                <w:szCs w:val="18"/>
              </w:rPr>
              <w:t>4.63</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30D" w14:textId="77777777" w:rsidR="00DC5F42" w:rsidRPr="008E63BB" w:rsidRDefault="00DC5F42" w:rsidP="00DC5F42">
            <w:pPr>
              <w:jc w:val="right"/>
              <w:rPr>
                <w:rFonts w:eastAsia="Times New Roman"/>
                <w:sz w:val="18"/>
                <w:szCs w:val="18"/>
              </w:rPr>
            </w:pPr>
            <w:r w:rsidRPr="008E63BB">
              <w:rPr>
                <w:rFonts w:eastAsia="Times New Roman"/>
                <w:sz w:val="18"/>
                <w:szCs w:val="18"/>
              </w:rPr>
              <w:t>5.07</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0E" w14:textId="77777777" w:rsidR="00DC5F42" w:rsidRPr="008E63BB" w:rsidRDefault="00DC5F42" w:rsidP="00DC5F42">
            <w:pPr>
              <w:jc w:val="right"/>
              <w:rPr>
                <w:rFonts w:eastAsia="Times New Roman"/>
                <w:sz w:val="18"/>
                <w:szCs w:val="18"/>
              </w:rPr>
            </w:pPr>
            <w:r w:rsidRPr="008E63BB">
              <w:rPr>
                <w:rFonts w:eastAsia="Times New Roman"/>
                <w:sz w:val="18"/>
                <w:szCs w:val="18"/>
              </w:rPr>
              <w:t>5.36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0F" w14:textId="77777777" w:rsidR="00DC5F42" w:rsidRPr="008E63BB" w:rsidRDefault="00DC5F42" w:rsidP="00DC5F42">
            <w:pPr>
              <w:jc w:val="right"/>
              <w:rPr>
                <w:rFonts w:eastAsia="Times New Roman"/>
                <w:sz w:val="18"/>
                <w:szCs w:val="18"/>
              </w:rPr>
            </w:pPr>
            <w:r w:rsidRPr="008E63BB">
              <w:rPr>
                <w:rFonts w:eastAsia="Times New Roman"/>
                <w:sz w:val="18"/>
                <w:szCs w:val="18"/>
              </w:rPr>
              <w:t>5.88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10" w14:textId="77777777" w:rsidR="00DC5F42" w:rsidRPr="008E63BB" w:rsidRDefault="00DC5F42" w:rsidP="00DC5F42">
            <w:pPr>
              <w:jc w:val="right"/>
              <w:rPr>
                <w:rFonts w:eastAsia="Times New Roman"/>
                <w:sz w:val="18"/>
                <w:szCs w:val="18"/>
              </w:rPr>
            </w:pPr>
            <w:r w:rsidRPr="008E63BB">
              <w:rPr>
                <w:rFonts w:eastAsia="Times New Roman"/>
                <w:sz w:val="18"/>
                <w:szCs w:val="18"/>
              </w:rPr>
              <w:t>6.23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11" w14:textId="77777777" w:rsidR="00DC5F42" w:rsidRPr="008E63BB" w:rsidRDefault="00DC5F42" w:rsidP="00DC5F42">
            <w:pPr>
              <w:jc w:val="right"/>
              <w:rPr>
                <w:rFonts w:eastAsia="Times New Roman"/>
                <w:sz w:val="18"/>
                <w:szCs w:val="18"/>
              </w:rPr>
            </w:pPr>
            <w:r w:rsidRPr="008E63BB">
              <w:rPr>
                <w:rFonts w:eastAsia="Times New Roman"/>
                <w:sz w:val="18"/>
                <w:szCs w:val="18"/>
              </w:rPr>
              <w:t>5.93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12" w14:textId="77777777" w:rsidR="00DC5F42" w:rsidRPr="008E63BB" w:rsidRDefault="00DC5F42" w:rsidP="00DC5F42">
            <w:pPr>
              <w:jc w:val="right"/>
              <w:rPr>
                <w:rFonts w:eastAsia="Times New Roman"/>
                <w:sz w:val="18"/>
                <w:szCs w:val="18"/>
              </w:rPr>
            </w:pPr>
            <w:r w:rsidRPr="008E63BB">
              <w:rPr>
                <w:rFonts w:eastAsia="Times New Roman"/>
                <w:sz w:val="18"/>
                <w:szCs w:val="18"/>
              </w:rPr>
              <w:t>7.31</w:t>
            </w:r>
          </w:p>
        </w:tc>
        <w:tc>
          <w:tcPr>
            <w:tcW w:w="629" w:type="dxa"/>
            <w:tcBorders>
              <w:top w:val="single" w:sz="4" w:space="0" w:color="auto"/>
              <w:left w:val="nil"/>
              <w:bottom w:val="single" w:sz="4" w:space="0" w:color="auto"/>
              <w:right w:val="single" w:sz="4" w:space="0" w:color="auto"/>
            </w:tcBorders>
            <w:vAlign w:val="bottom"/>
          </w:tcPr>
          <w:p w14:paraId="519B2313" w14:textId="77777777" w:rsidR="00DC5F42" w:rsidRPr="008E63BB" w:rsidRDefault="00DC5F42" w:rsidP="00DC5F42">
            <w:pPr>
              <w:jc w:val="right"/>
              <w:rPr>
                <w:rFonts w:eastAsia="Times New Roman"/>
                <w:sz w:val="18"/>
                <w:szCs w:val="18"/>
              </w:rPr>
            </w:pPr>
            <w:r w:rsidRPr="008E63BB">
              <w:rPr>
                <w:rFonts w:eastAsia="Times New Roman"/>
                <w:sz w:val="18"/>
                <w:szCs w:val="18"/>
              </w:rPr>
              <w:t>6.63</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314" w14:textId="77777777" w:rsidR="00DC5F42" w:rsidRPr="008E63BB" w:rsidRDefault="00DC5F42" w:rsidP="00DC5F42">
            <w:pPr>
              <w:jc w:val="right"/>
              <w:rPr>
                <w:rFonts w:eastAsia="Times New Roman"/>
                <w:sz w:val="18"/>
                <w:szCs w:val="18"/>
              </w:rPr>
            </w:pPr>
            <w:r w:rsidRPr="008E63BB">
              <w:rPr>
                <w:rFonts w:eastAsia="Times New Roman"/>
                <w:sz w:val="18"/>
                <w:szCs w:val="18"/>
              </w:rPr>
              <w:t>6.87</w:t>
            </w:r>
          </w:p>
        </w:tc>
      </w:tr>
      <w:tr w:rsidR="008D5BFE" w:rsidRPr="008E63BB" w14:paraId="519B232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316" w14:textId="77777777" w:rsidR="00DC5F42" w:rsidRPr="008E63BB" w:rsidRDefault="00DC5F42" w:rsidP="00DC5F42">
            <w:pPr>
              <w:jc w:val="left"/>
              <w:rPr>
                <w:rFonts w:eastAsia="Times New Roman"/>
                <w:b/>
                <w:sz w:val="18"/>
                <w:szCs w:val="18"/>
              </w:rPr>
            </w:pPr>
            <w:r w:rsidRPr="008E63BB">
              <w:rPr>
                <w:rFonts w:eastAsia="Times New Roman"/>
                <w:b/>
                <w:sz w:val="18"/>
                <w:szCs w:val="18"/>
              </w:rPr>
              <w:t>Thiết chế pháp lý</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317" w14:textId="77777777" w:rsidR="00DC5F42" w:rsidRPr="008E63BB" w:rsidRDefault="00DC5F42" w:rsidP="00DC5F42">
            <w:pPr>
              <w:jc w:val="right"/>
              <w:rPr>
                <w:rFonts w:eastAsia="Times New Roman"/>
                <w:sz w:val="18"/>
                <w:szCs w:val="18"/>
              </w:rPr>
            </w:pPr>
            <w:r w:rsidRPr="008E63BB">
              <w:rPr>
                <w:rFonts w:eastAsia="Times New Roman"/>
                <w:sz w:val="18"/>
                <w:szCs w:val="18"/>
              </w:rPr>
              <w:t>3.37</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318" w14:textId="77777777" w:rsidR="00DC5F42" w:rsidRPr="008E63BB" w:rsidRDefault="00DC5F42" w:rsidP="00DC5F42">
            <w:pPr>
              <w:jc w:val="right"/>
              <w:rPr>
                <w:rFonts w:eastAsia="Times New Roman"/>
                <w:sz w:val="18"/>
                <w:szCs w:val="18"/>
              </w:rPr>
            </w:pPr>
            <w:r w:rsidRPr="008E63BB">
              <w:rPr>
                <w:rFonts w:eastAsia="Times New Roman"/>
                <w:sz w:val="18"/>
                <w:szCs w:val="18"/>
              </w:rPr>
              <w:t>2.96</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319" w14:textId="77777777" w:rsidR="00DC5F42" w:rsidRPr="008E63BB" w:rsidRDefault="00DC5F42" w:rsidP="00DC5F42">
            <w:pPr>
              <w:jc w:val="right"/>
              <w:rPr>
                <w:rFonts w:eastAsia="Times New Roman"/>
                <w:sz w:val="18"/>
                <w:szCs w:val="18"/>
              </w:rPr>
            </w:pPr>
            <w:r w:rsidRPr="008E63BB">
              <w:rPr>
                <w:rFonts w:eastAsia="Times New Roman"/>
                <w:sz w:val="18"/>
                <w:szCs w:val="18"/>
              </w:rPr>
              <w:t>4.23</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31A" w14:textId="77777777" w:rsidR="00DC5F42" w:rsidRPr="008E63BB" w:rsidRDefault="00DC5F42" w:rsidP="00DC5F42">
            <w:pPr>
              <w:jc w:val="right"/>
              <w:rPr>
                <w:rFonts w:eastAsia="Times New Roman"/>
                <w:sz w:val="18"/>
                <w:szCs w:val="18"/>
              </w:rPr>
            </w:pPr>
            <w:r w:rsidRPr="008E63BB">
              <w:rPr>
                <w:rFonts w:eastAsia="Times New Roman"/>
                <w:sz w:val="18"/>
                <w:szCs w:val="18"/>
              </w:rPr>
              <w:t>4.04</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31B" w14:textId="77777777" w:rsidR="00DC5F42" w:rsidRPr="008E63BB" w:rsidRDefault="00DC5F42" w:rsidP="00DC5F42">
            <w:pPr>
              <w:jc w:val="right"/>
              <w:rPr>
                <w:rFonts w:eastAsia="Times New Roman"/>
                <w:sz w:val="18"/>
                <w:szCs w:val="18"/>
              </w:rPr>
            </w:pPr>
            <w:r w:rsidRPr="008E63BB">
              <w:rPr>
                <w:rFonts w:eastAsia="Times New Roman"/>
                <w:sz w:val="18"/>
                <w:szCs w:val="18"/>
              </w:rPr>
              <w:t>2.92</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31C" w14:textId="77777777" w:rsidR="00DC5F42" w:rsidRPr="008E63BB" w:rsidRDefault="00DC5F42" w:rsidP="00DC5F42">
            <w:pPr>
              <w:jc w:val="right"/>
              <w:rPr>
                <w:rFonts w:eastAsia="Times New Roman"/>
                <w:sz w:val="18"/>
                <w:szCs w:val="18"/>
              </w:rPr>
            </w:pPr>
            <w:r w:rsidRPr="008E63BB">
              <w:rPr>
                <w:rFonts w:eastAsia="Times New Roman"/>
                <w:sz w:val="18"/>
                <w:szCs w:val="18"/>
              </w:rPr>
              <w:t>5.65</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31D" w14:textId="77777777" w:rsidR="00DC5F42" w:rsidRPr="008E63BB" w:rsidRDefault="00DC5F42" w:rsidP="00DC5F42">
            <w:pPr>
              <w:jc w:val="right"/>
              <w:rPr>
                <w:rFonts w:eastAsia="Times New Roman"/>
                <w:sz w:val="18"/>
                <w:szCs w:val="18"/>
              </w:rPr>
            </w:pPr>
            <w:r w:rsidRPr="008E63BB">
              <w:rPr>
                <w:rFonts w:eastAsia="Times New Roman"/>
                <w:sz w:val="18"/>
                <w:szCs w:val="18"/>
              </w:rPr>
              <w:t>4.63</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1E" w14:textId="77777777" w:rsidR="00DC5F42" w:rsidRPr="008E63BB" w:rsidRDefault="00DC5F42" w:rsidP="00DC5F42">
            <w:pPr>
              <w:jc w:val="right"/>
              <w:rPr>
                <w:rFonts w:eastAsia="Times New Roman"/>
                <w:sz w:val="18"/>
                <w:szCs w:val="18"/>
              </w:rPr>
            </w:pPr>
            <w:r w:rsidRPr="008E63BB">
              <w:rPr>
                <w:rFonts w:eastAsia="Times New Roman"/>
                <w:sz w:val="18"/>
                <w:szCs w:val="18"/>
              </w:rPr>
              <w:t>6.08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1F" w14:textId="77777777" w:rsidR="00DC5F42" w:rsidRPr="008E63BB" w:rsidRDefault="00DC5F42" w:rsidP="00DC5F42">
            <w:pPr>
              <w:jc w:val="right"/>
              <w:rPr>
                <w:rFonts w:eastAsia="Times New Roman"/>
                <w:sz w:val="18"/>
                <w:szCs w:val="18"/>
              </w:rPr>
            </w:pPr>
            <w:r w:rsidRPr="008E63BB">
              <w:rPr>
                <w:rFonts w:eastAsia="Times New Roman"/>
                <w:sz w:val="18"/>
                <w:szCs w:val="18"/>
              </w:rPr>
              <w:t>5.68</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20" w14:textId="77777777" w:rsidR="00DC5F42" w:rsidRPr="008E63BB" w:rsidRDefault="00DC5F42" w:rsidP="00DC5F42">
            <w:pPr>
              <w:jc w:val="right"/>
              <w:rPr>
                <w:rFonts w:eastAsia="Times New Roman"/>
                <w:sz w:val="18"/>
                <w:szCs w:val="18"/>
              </w:rPr>
            </w:pPr>
            <w:r w:rsidRPr="008E63BB">
              <w:rPr>
                <w:rFonts w:eastAsia="Times New Roman"/>
                <w:sz w:val="18"/>
                <w:szCs w:val="18"/>
              </w:rPr>
              <w:t>6.00</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21" w14:textId="77777777" w:rsidR="00DC5F42" w:rsidRPr="008E63BB" w:rsidRDefault="00DC5F42" w:rsidP="00DC5F42">
            <w:pPr>
              <w:jc w:val="right"/>
              <w:rPr>
                <w:rFonts w:eastAsia="Times New Roman"/>
                <w:sz w:val="18"/>
                <w:szCs w:val="18"/>
              </w:rPr>
            </w:pPr>
            <w:r w:rsidRPr="008E63BB">
              <w:rPr>
                <w:rFonts w:eastAsia="Times New Roman"/>
                <w:sz w:val="18"/>
                <w:szCs w:val="18"/>
              </w:rPr>
              <w:t>3.86</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22" w14:textId="77777777" w:rsidR="00DC5F42" w:rsidRPr="008E63BB" w:rsidRDefault="00DC5F42" w:rsidP="00DC5F42">
            <w:pPr>
              <w:jc w:val="right"/>
              <w:rPr>
                <w:rFonts w:eastAsia="Times New Roman"/>
                <w:sz w:val="18"/>
                <w:szCs w:val="18"/>
              </w:rPr>
            </w:pPr>
            <w:r w:rsidRPr="008E63BB">
              <w:rPr>
                <w:rFonts w:eastAsia="Times New Roman"/>
                <w:sz w:val="18"/>
                <w:szCs w:val="18"/>
              </w:rPr>
              <w:t>6.73</w:t>
            </w:r>
          </w:p>
        </w:tc>
        <w:tc>
          <w:tcPr>
            <w:tcW w:w="629" w:type="dxa"/>
            <w:tcBorders>
              <w:top w:val="single" w:sz="4" w:space="0" w:color="auto"/>
              <w:left w:val="nil"/>
              <w:bottom w:val="single" w:sz="4" w:space="0" w:color="auto"/>
              <w:right w:val="single" w:sz="4" w:space="0" w:color="auto"/>
            </w:tcBorders>
            <w:vAlign w:val="bottom"/>
          </w:tcPr>
          <w:p w14:paraId="519B2323" w14:textId="77777777" w:rsidR="00DC5F42" w:rsidRPr="008E63BB" w:rsidRDefault="00DC5F42" w:rsidP="00DC5F42">
            <w:pPr>
              <w:jc w:val="right"/>
              <w:rPr>
                <w:rFonts w:eastAsia="Times New Roman"/>
                <w:sz w:val="18"/>
                <w:szCs w:val="18"/>
              </w:rPr>
            </w:pPr>
            <w:r w:rsidRPr="008E63BB">
              <w:rPr>
                <w:rFonts w:eastAsia="Times New Roman"/>
                <w:sz w:val="18"/>
                <w:szCs w:val="18"/>
              </w:rPr>
              <w:t>6.64</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324" w14:textId="77777777" w:rsidR="00DC5F42" w:rsidRPr="008E63BB" w:rsidRDefault="00DC5F42" w:rsidP="00DC5F42">
            <w:pPr>
              <w:jc w:val="right"/>
              <w:rPr>
                <w:rFonts w:eastAsia="Times New Roman"/>
                <w:sz w:val="18"/>
                <w:szCs w:val="18"/>
              </w:rPr>
            </w:pPr>
            <w:r w:rsidRPr="008E63BB">
              <w:rPr>
                <w:rFonts w:eastAsia="Times New Roman"/>
                <w:sz w:val="18"/>
                <w:szCs w:val="18"/>
              </w:rPr>
              <w:t>6.71</w:t>
            </w:r>
          </w:p>
        </w:tc>
      </w:tr>
      <w:tr w:rsidR="008D5BFE" w:rsidRPr="008E63BB" w14:paraId="519B2335" w14:textId="77777777" w:rsidTr="00885AB5">
        <w:trPr>
          <w:trHeight w:val="445"/>
        </w:trPr>
        <w:tc>
          <w:tcPr>
            <w:tcW w:w="10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326" w14:textId="77777777" w:rsidR="00DC5F42" w:rsidRPr="008E63BB" w:rsidRDefault="00DC5F42" w:rsidP="00DC5F42">
            <w:pPr>
              <w:jc w:val="left"/>
              <w:rPr>
                <w:rFonts w:eastAsia="Times New Roman"/>
                <w:b/>
                <w:sz w:val="18"/>
                <w:szCs w:val="18"/>
              </w:rPr>
            </w:pPr>
            <w:r w:rsidRPr="008E63BB">
              <w:rPr>
                <w:rFonts w:eastAsia="Times New Roman"/>
                <w:b/>
                <w:sz w:val="18"/>
                <w:szCs w:val="18"/>
              </w:rPr>
              <w:t>PCI</w:t>
            </w:r>
          </w:p>
        </w:tc>
        <w:tc>
          <w:tcPr>
            <w:tcW w:w="716" w:type="dxa"/>
            <w:tcBorders>
              <w:top w:val="single" w:sz="4" w:space="0" w:color="auto"/>
              <w:left w:val="nil"/>
              <w:bottom w:val="single" w:sz="4" w:space="0" w:color="auto"/>
              <w:right w:val="single" w:sz="4" w:space="0" w:color="auto"/>
            </w:tcBorders>
            <w:shd w:val="clear" w:color="auto" w:fill="auto"/>
            <w:noWrap/>
            <w:vAlign w:val="bottom"/>
            <w:hideMark/>
          </w:tcPr>
          <w:p w14:paraId="519B2327" w14:textId="77777777" w:rsidR="00DC5F42" w:rsidRPr="008E63BB" w:rsidRDefault="00DC5F42" w:rsidP="00DC5F42">
            <w:pPr>
              <w:jc w:val="right"/>
              <w:rPr>
                <w:rFonts w:eastAsia="Times New Roman"/>
                <w:sz w:val="18"/>
                <w:szCs w:val="18"/>
              </w:rPr>
            </w:pPr>
            <w:r w:rsidRPr="008E63BB">
              <w:rPr>
                <w:rFonts w:eastAsia="Times New Roman"/>
                <w:sz w:val="18"/>
                <w:szCs w:val="18"/>
              </w:rPr>
              <w:t>48.7</w:t>
            </w:r>
          </w:p>
        </w:tc>
        <w:tc>
          <w:tcPr>
            <w:tcW w:w="621" w:type="dxa"/>
            <w:tcBorders>
              <w:top w:val="single" w:sz="4" w:space="0" w:color="auto"/>
              <w:left w:val="nil"/>
              <w:bottom w:val="single" w:sz="4" w:space="0" w:color="auto"/>
              <w:right w:val="single" w:sz="4" w:space="0" w:color="auto"/>
            </w:tcBorders>
            <w:shd w:val="clear" w:color="auto" w:fill="auto"/>
            <w:noWrap/>
            <w:vAlign w:val="bottom"/>
            <w:hideMark/>
          </w:tcPr>
          <w:p w14:paraId="519B2328" w14:textId="77777777" w:rsidR="00DC5F42" w:rsidRPr="008E63BB" w:rsidRDefault="00DC5F42" w:rsidP="00DC5F42">
            <w:pPr>
              <w:jc w:val="right"/>
              <w:rPr>
                <w:rFonts w:eastAsia="Times New Roman"/>
                <w:sz w:val="18"/>
                <w:szCs w:val="18"/>
              </w:rPr>
            </w:pPr>
            <w:r w:rsidRPr="008E63BB">
              <w:rPr>
                <w:rFonts w:eastAsia="Times New Roman"/>
                <w:sz w:val="18"/>
                <w:szCs w:val="18"/>
              </w:rPr>
              <w:t>51.76</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329" w14:textId="77777777" w:rsidR="00DC5F42" w:rsidRPr="008E63BB" w:rsidRDefault="00DC5F42" w:rsidP="00DC5F42">
            <w:pPr>
              <w:jc w:val="right"/>
              <w:rPr>
                <w:rFonts w:eastAsia="Times New Roman"/>
                <w:sz w:val="18"/>
                <w:szCs w:val="18"/>
              </w:rPr>
            </w:pPr>
            <w:r w:rsidRPr="008E63BB">
              <w:rPr>
                <w:rFonts w:eastAsia="Times New Roman"/>
                <w:sz w:val="18"/>
                <w:szCs w:val="18"/>
              </w:rPr>
              <w:t>49.52</w:t>
            </w:r>
          </w:p>
        </w:tc>
        <w:tc>
          <w:tcPr>
            <w:tcW w:w="630" w:type="dxa"/>
            <w:tcBorders>
              <w:top w:val="single" w:sz="4" w:space="0" w:color="auto"/>
              <w:left w:val="nil"/>
              <w:bottom w:val="single" w:sz="4" w:space="0" w:color="auto"/>
              <w:right w:val="single" w:sz="4" w:space="0" w:color="auto"/>
            </w:tcBorders>
            <w:shd w:val="clear" w:color="auto" w:fill="auto"/>
            <w:noWrap/>
            <w:vAlign w:val="bottom"/>
            <w:hideMark/>
          </w:tcPr>
          <w:p w14:paraId="519B232A" w14:textId="77777777" w:rsidR="00DC5F42" w:rsidRPr="008E63BB" w:rsidRDefault="00DC5F42" w:rsidP="00DC5F42">
            <w:pPr>
              <w:jc w:val="right"/>
              <w:rPr>
                <w:rFonts w:eastAsia="Times New Roman"/>
                <w:sz w:val="18"/>
                <w:szCs w:val="18"/>
              </w:rPr>
            </w:pPr>
            <w:r w:rsidRPr="008E63BB">
              <w:rPr>
                <w:rFonts w:eastAsia="Times New Roman"/>
                <w:sz w:val="18"/>
                <w:szCs w:val="18"/>
              </w:rPr>
              <w:t>52.60</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14:paraId="519B232B" w14:textId="77777777" w:rsidR="00DC5F42" w:rsidRPr="008E63BB" w:rsidRDefault="00DC5F42" w:rsidP="00DC5F42">
            <w:pPr>
              <w:jc w:val="right"/>
              <w:rPr>
                <w:rFonts w:eastAsia="Times New Roman"/>
                <w:sz w:val="18"/>
                <w:szCs w:val="18"/>
              </w:rPr>
            </w:pPr>
            <w:r w:rsidRPr="008E63BB">
              <w:rPr>
                <w:rFonts w:eastAsia="Times New Roman"/>
                <w:sz w:val="18"/>
                <w:szCs w:val="18"/>
              </w:rPr>
              <w:t>55,6</w:t>
            </w:r>
          </w:p>
        </w:tc>
        <w:tc>
          <w:tcPr>
            <w:tcW w:w="628" w:type="dxa"/>
            <w:tcBorders>
              <w:top w:val="single" w:sz="4" w:space="0" w:color="auto"/>
              <w:left w:val="nil"/>
              <w:bottom w:val="single" w:sz="4" w:space="0" w:color="auto"/>
              <w:right w:val="single" w:sz="4" w:space="0" w:color="auto"/>
            </w:tcBorders>
            <w:shd w:val="clear" w:color="auto" w:fill="auto"/>
            <w:noWrap/>
            <w:vAlign w:val="bottom"/>
            <w:hideMark/>
          </w:tcPr>
          <w:p w14:paraId="519B232C" w14:textId="77777777" w:rsidR="00DC5F42" w:rsidRPr="008E63BB" w:rsidRDefault="00DC5F42" w:rsidP="00DC5F42">
            <w:pPr>
              <w:jc w:val="right"/>
              <w:rPr>
                <w:rFonts w:eastAsia="Times New Roman"/>
                <w:sz w:val="18"/>
                <w:szCs w:val="18"/>
              </w:rPr>
            </w:pPr>
            <w:r w:rsidRPr="008E63BB">
              <w:rPr>
                <w:rFonts w:eastAsia="Times New Roman"/>
                <w:sz w:val="18"/>
                <w:szCs w:val="18"/>
              </w:rPr>
              <w:t>55,5</w:t>
            </w:r>
          </w:p>
        </w:tc>
        <w:tc>
          <w:tcPr>
            <w:tcW w:w="646" w:type="dxa"/>
            <w:tcBorders>
              <w:top w:val="single" w:sz="4" w:space="0" w:color="auto"/>
              <w:left w:val="nil"/>
              <w:bottom w:val="single" w:sz="4" w:space="0" w:color="auto"/>
              <w:right w:val="single" w:sz="4" w:space="0" w:color="auto"/>
            </w:tcBorders>
            <w:shd w:val="clear" w:color="auto" w:fill="auto"/>
            <w:noWrap/>
            <w:vAlign w:val="bottom"/>
            <w:hideMark/>
          </w:tcPr>
          <w:p w14:paraId="519B232D" w14:textId="77777777" w:rsidR="00DC5F42" w:rsidRPr="008E63BB" w:rsidRDefault="00DC5F42" w:rsidP="00DC5F42">
            <w:pPr>
              <w:jc w:val="right"/>
              <w:rPr>
                <w:rFonts w:eastAsia="Times New Roman"/>
                <w:sz w:val="18"/>
                <w:szCs w:val="18"/>
              </w:rPr>
            </w:pPr>
            <w:r w:rsidRPr="008E63BB">
              <w:rPr>
                <w:rFonts w:eastAsia="Times New Roman"/>
                <w:sz w:val="18"/>
                <w:szCs w:val="18"/>
              </w:rPr>
              <w:t>52,2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2E" w14:textId="77777777" w:rsidR="00DC5F42" w:rsidRPr="008E63BB" w:rsidRDefault="00DC5F42" w:rsidP="00DC5F42">
            <w:pPr>
              <w:jc w:val="right"/>
              <w:rPr>
                <w:rFonts w:eastAsia="Times New Roman"/>
                <w:sz w:val="18"/>
                <w:szCs w:val="18"/>
              </w:rPr>
            </w:pPr>
            <w:r w:rsidRPr="008E63BB">
              <w:rPr>
                <w:rFonts w:eastAsia="Times New Roman"/>
                <w:sz w:val="18"/>
                <w:szCs w:val="18"/>
              </w:rPr>
              <w:t>56.31</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2F" w14:textId="77777777" w:rsidR="00DC5F42" w:rsidRPr="008E63BB" w:rsidRDefault="00DC5F42" w:rsidP="00DC5F42">
            <w:pPr>
              <w:jc w:val="right"/>
              <w:rPr>
                <w:rFonts w:eastAsia="Times New Roman"/>
                <w:sz w:val="18"/>
                <w:szCs w:val="18"/>
              </w:rPr>
            </w:pPr>
            <w:r w:rsidRPr="008E63BB">
              <w:rPr>
                <w:rFonts w:eastAsia="Times New Roman"/>
                <w:sz w:val="18"/>
                <w:szCs w:val="18"/>
              </w:rPr>
              <w:t>58.52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30" w14:textId="77777777" w:rsidR="00DC5F42" w:rsidRPr="008E63BB" w:rsidRDefault="00DC5F42" w:rsidP="00DC5F42">
            <w:pPr>
              <w:jc w:val="right"/>
              <w:rPr>
                <w:rFonts w:eastAsia="Times New Roman"/>
                <w:sz w:val="18"/>
                <w:szCs w:val="18"/>
              </w:rPr>
            </w:pPr>
            <w:r w:rsidRPr="008E63BB">
              <w:rPr>
                <w:rFonts w:eastAsia="Times New Roman"/>
                <w:sz w:val="18"/>
                <w:szCs w:val="18"/>
              </w:rPr>
              <w:t>59.62</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31" w14:textId="77777777" w:rsidR="00DC5F42" w:rsidRPr="008E63BB" w:rsidRDefault="00DC5F42" w:rsidP="00DC5F42">
            <w:pPr>
              <w:jc w:val="right"/>
              <w:rPr>
                <w:rFonts w:eastAsia="Times New Roman"/>
                <w:sz w:val="18"/>
                <w:szCs w:val="18"/>
              </w:rPr>
            </w:pPr>
            <w:r w:rsidRPr="008E63BB">
              <w:rPr>
                <w:rFonts w:eastAsia="Times New Roman"/>
                <w:sz w:val="18"/>
                <w:szCs w:val="18"/>
              </w:rPr>
              <w:t>58.54</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14:paraId="519B2332" w14:textId="77777777" w:rsidR="00DC5F42" w:rsidRPr="008E63BB" w:rsidRDefault="00DC5F42" w:rsidP="00DC5F42">
            <w:pPr>
              <w:jc w:val="right"/>
              <w:rPr>
                <w:rFonts w:eastAsia="Times New Roman"/>
                <w:sz w:val="18"/>
                <w:szCs w:val="18"/>
              </w:rPr>
            </w:pPr>
            <w:r w:rsidRPr="008E63BB">
              <w:rPr>
                <w:rFonts w:eastAsia="Times New Roman"/>
                <w:sz w:val="18"/>
                <w:szCs w:val="18"/>
              </w:rPr>
              <w:t>61.43</w:t>
            </w:r>
          </w:p>
        </w:tc>
        <w:tc>
          <w:tcPr>
            <w:tcW w:w="629" w:type="dxa"/>
            <w:tcBorders>
              <w:top w:val="single" w:sz="4" w:space="0" w:color="auto"/>
              <w:left w:val="nil"/>
              <w:bottom w:val="single" w:sz="4" w:space="0" w:color="auto"/>
              <w:right w:val="single" w:sz="4" w:space="0" w:color="auto"/>
            </w:tcBorders>
            <w:vAlign w:val="bottom"/>
          </w:tcPr>
          <w:p w14:paraId="519B2333" w14:textId="77777777" w:rsidR="00DC5F42" w:rsidRPr="008E63BB" w:rsidRDefault="00DC5F42" w:rsidP="00DC5F42">
            <w:pPr>
              <w:jc w:val="right"/>
              <w:rPr>
                <w:rFonts w:eastAsia="Times New Roman"/>
                <w:sz w:val="18"/>
                <w:szCs w:val="18"/>
              </w:rPr>
            </w:pPr>
            <w:r w:rsidRPr="008E63BB">
              <w:rPr>
                <w:rFonts w:eastAsia="Times New Roman"/>
                <w:sz w:val="18"/>
                <w:szCs w:val="18"/>
              </w:rPr>
              <w:t>63.01</w:t>
            </w:r>
          </w:p>
        </w:tc>
        <w:tc>
          <w:tcPr>
            <w:tcW w:w="6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334" w14:textId="77777777" w:rsidR="00DC5F42" w:rsidRPr="008E63BB" w:rsidRDefault="00DC5F42" w:rsidP="00DC5F42">
            <w:pPr>
              <w:jc w:val="right"/>
              <w:rPr>
                <w:rFonts w:eastAsia="Times New Roman"/>
                <w:sz w:val="18"/>
                <w:szCs w:val="18"/>
              </w:rPr>
            </w:pPr>
            <w:r w:rsidRPr="008E63BB">
              <w:rPr>
                <w:rFonts w:eastAsia="Times New Roman"/>
                <w:sz w:val="18"/>
                <w:szCs w:val="18"/>
              </w:rPr>
              <w:t>65.1</w:t>
            </w:r>
          </w:p>
        </w:tc>
      </w:tr>
    </w:tbl>
    <w:p w14:paraId="519B2336" w14:textId="77777777" w:rsidR="00DC5F42" w:rsidRPr="008E63BB" w:rsidRDefault="00DC5F42" w:rsidP="00885AB5">
      <w:pPr>
        <w:jc w:val="center"/>
        <w:rPr>
          <w:bCs/>
          <w:i/>
          <w:szCs w:val="26"/>
        </w:rPr>
      </w:pPr>
      <w:r w:rsidRPr="008E63BB">
        <w:rPr>
          <w:noProof/>
          <w:lang w:eastAsia="zh-CN"/>
        </w:rPr>
        <w:drawing>
          <wp:inline distT="0" distB="0" distL="0" distR="0" wp14:anchorId="519B51BB" wp14:editId="519B51BC">
            <wp:extent cx="4411800" cy="2176818"/>
            <wp:effectExtent l="0" t="0" r="825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4445395" cy="2193394"/>
                    </a:xfrm>
                    <a:prstGeom prst="rect">
                      <a:avLst/>
                    </a:prstGeom>
                    <a:ln>
                      <a:noFill/>
                    </a:ln>
                    <a:extLst>
                      <a:ext uri="{53640926-AAD7-44D8-BBD7-CCE9431645EC}">
                        <a14:shadowObscured xmlns:a14="http://schemas.microsoft.com/office/drawing/2010/main"/>
                      </a:ext>
                    </a:extLst>
                  </pic:spPr>
                </pic:pic>
              </a:graphicData>
            </a:graphic>
          </wp:inline>
        </w:drawing>
      </w:r>
    </w:p>
    <w:p w14:paraId="519B2337" w14:textId="77777777" w:rsidR="00DC5F42" w:rsidRPr="008E63BB" w:rsidRDefault="00DC5F42" w:rsidP="00885AB5">
      <w:pPr>
        <w:jc w:val="center"/>
        <w:rPr>
          <w:bCs/>
          <w:i/>
          <w:szCs w:val="26"/>
        </w:rPr>
      </w:pPr>
      <w:r w:rsidRPr="008E63BB">
        <w:rPr>
          <w:bCs/>
          <w:i/>
          <w:szCs w:val="26"/>
        </w:rPr>
        <w:t xml:space="preserve">Nguồn: Tổng hợp số liệu qua các năm từ </w:t>
      </w:r>
      <w:hyperlink r:id="rId25" w:history="1">
        <w:r w:rsidR="00D0797C" w:rsidRPr="008E63BB">
          <w:rPr>
            <w:rStyle w:val="Hyperlink"/>
            <w:i/>
            <w:color w:val="auto"/>
          </w:rPr>
          <w:t>http://pci2019.pcivietnam.vn/</w:t>
        </w:r>
      </w:hyperlink>
    </w:p>
    <w:p w14:paraId="519B2338" w14:textId="77777777" w:rsidR="006E5817" w:rsidRPr="008E63BB" w:rsidRDefault="00DC5F42" w:rsidP="00E2603D">
      <w:pPr>
        <w:ind w:firstLine="706"/>
        <w:rPr>
          <w:bCs/>
          <w:i/>
          <w:sz w:val="24"/>
          <w:szCs w:val="24"/>
        </w:rPr>
      </w:pPr>
      <w:r w:rsidRPr="008E63BB">
        <w:rPr>
          <w:bCs/>
          <w:szCs w:val="26"/>
        </w:rPr>
        <w:t xml:space="preserve">PCI là công cụ để đo lường, đánh giá hiệu quả công tác quản lý và điều hành kinh tế, năm 2019, chỉ số PCI của Tỉnh tăng 2 bậc, xếp thứ 33/63 tỉnh, thành phố với tổng số 65,1 điểm (cao hơn năm 2018 là 2,08 điểm), tăng từ nhóm xếp hạng trung bình lên nhóm hạng khá của cả nước. Có 7/10 chỉ số thành phần PCI vượt so với năm trước như: Gia nhập thị trường đạt 8,23 điểm, tăng 1,74 điểm; tính minh bạch đạt 6,55 điểm, tăng 1,13 điểm; Bình đẳng cạnh tranh đạt 6,24 điểm, tăng 0,9 điểm... Mặc dù có nhiều chỉ số thành phần PCI vượt so với cùng kỳ nhưng trong năm 2018, nhưng Tỉnh chỉ có 4/10 chỉ số thành phần PCI giảm là: tiếp cận đất đai đạt 6,28 điểm, giảm 0,67 điểm; chi phí thời gian đạt 6,4 điểm, giảm 0,64 điểm; tính năng động đạt 6,05 điểm, giảm 0,46 điểm; chi phí không chính thức đạt 5,8 điểm, giảm 1,17 điểm. </w:t>
      </w:r>
      <w:r w:rsidR="00E2603D" w:rsidRPr="008E63BB">
        <w:rPr>
          <w:bCs/>
          <w:szCs w:val="26"/>
        </w:rPr>
        <w:t>. Chỉ số PCI xếp hạng tỉnh Nam Định trong khu vực đồng bằng sông Hồng đạt 7/11 tỉnh, thành phố (cao hơn các tỉnh như Hà Nam, Hải Dương và Hưng Yên)</w:t>
      </w:r>
      <w:r w:rsidRPr="008E63BB">
        <w:rPr>
          <w:bCs/>
          <w:szCs w:val="26"/>
        </w:rPr>
        <w:t>.</w:t>
      </w:r>
    </w:p>
    <w:p w14:paraId="519B2339" w14:textId="77777777" w:rsidR="006E5817" w:rsidRPr="008E63BB" w:rsidRDefault="006E5817">
      <w:pPr>
        <w:jc w:val="left"/>
        <w:rPr>
          <w:bCs/>
          <w:i/>
          <w:sz w:val="24"/>
          <w:szCs w:val="24"/>
        </w:rPr>
      </w:pPr>
      <w:r w:rsidRPr="008E63BB">
        <w:rPr>
          <w:bCs/>
          <w:i/>
          <w:sz w:val="24"/>
          <w:szCs w:val="24"/>
        </w:rPr>
        <w:br w:type="page"/>
      </w:r>
    </w:p>
    <w:p w14:paraId="519B233A" w14:textId="77777777" w:rsidR="00E2603D" w:rsidRPr="008E63BB" w:rsidRDefault="00E2603D" w:rsidP="006E5817">
      <w:pPr>
        <w:jc w:val="center"/>
        <w:rPr>
          <w:bCs/>
          <w:i/>
          <w:sz w:val="24"/>
          <w:szCs w:val="24"/>
        </w:rPr>
      </w:pPr>
      <w:r w:rsidRPr="008E63BB">
        <w:rPr>
          <w:bCs/>
          <w:i/>
          <w:sz w:val="24"/>
          <w:szCs w:val="24"/>
        </w:rPr>
        <w:lastRenderedPageBreak/>
        <w:t>Bảng thống kê chỉ số PCI 2006-2019 khu vực đồng bằng sông Hồng</w:t>
      </w:r>
    </w:p>
    <w:tbl>
      <w:tblPr>
        <w:tblW w:w="10061" w:type="dxa"/>
        <w:tblInd w:w="-176" w:type="dxa"/>
        <w:tblLook w:val="04A0" w:firstRow="1" w:lastRow="0" w:firstColumn="1" w:lastColumn="0" w:noHBand="0" w:noVBand="1"/>
      </w:tblPr>
      <w:tblGrid>
        <w:gridCol w:w="430"/>
        <w:gridCol w:w="663"/>
        <w:gridCol w:w="904"/>
        <w:gridCol w:w="576"/>
        <w:gridCol w:w="576"/>
        <w:gridCol w:w="576"/>
        <w:gridCol w:w="576"/>
        <w:gridCol w:w="576"/>
        <w:gridCol w:w="576"/>
        <w:gridCol w:w="576"/>
        <w:gridCol w:w="576"/>
        <w:gridCol w:w="576"/>
        <w:gridCol w:w="576"/>
        <w:gridCol w:w="576"/>
        <w:gridCol w:w="576"/>
        <w:gridCol w:w="576"/>
        <w:gridCol w:w="576"/>
      </w:tblGrid>
      <w:tr w:rsidR="00E2603D" w:rsidRPr="008E63BB" w14:paraId="519B234C" w14:textId="77777777" w:rsidTr="006E5817">
        <w:trPr>
          <w:trHeight w:val="20"/>
          <w:tblHeader/>
        </w:trPr>
        <w:tc>
          <w:tcPr>
            <w:tcW w:w="4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33B" w14:textId="77777777" w:rsidR="00E2603D" w:rsidRPr="008E63BB" w:rsidRDefault="00E2603D" w:rsidP="006E5817">
            <w:pPr>
              <w:spacing w:before="60"/>
              <w:jc w:val="left"/>
              <w:rPr>
                <w:rFonts w:eastAsia="Times New Roman"/>
                <w:b/>
                <w:sz w:val="16"/>
                <w:szCs w:val="16"/>
              </w:rPr>
            </w:pPr>
            <w:r w:rsidRPr="008E63BB">
              <w:rPr>
                <w:rFonts w:eastAsia="Times New Roman"/>
                <w:b/>
                <w:sz w:val="16"/>
                <w:szCs w:val="16"/>
              </w:rPr>
              <w:t>TT</w:t>
            </w:r>
          </w:p>
        </w:tc>
        <w:tc>
          <w:tcPr>
            <w:tcW w:w="156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9B233C" w14:textId="77777777" w:rsidR="00E2603D" w:rsidRPr="008E63BB" w:rsidRDefault="00E2603D" w:rsidP="006E5817">
            <w:pPr>
              <w:spacing w:before="60"/>
              <w:jc w:val="center"/>
              <w:rPr>
                <w:rFonts w:eastAsia="Times New Roman"/>
                <w:b/>
                <w:sz w:val="16"/>
                <w:szCs w:val="16"/>
              </w:rPr>
            </w:pPr>
            <w:r w:rsidRPr="008E63BB">
              <w:rPr>
                <w:rFonts w:eastAsia="Times New Roman"/>
                <w:b/>
                <w:sz w:val="16"/>
                <w:szCs w:val="16"/>
              </w:rPr>
              <w:t>Danh mục</w:t>
            </w:r>
          </w:p>
          <w:p w14:paraId="519B233D" w14:textId="77777777" w:rsidR="00E2603D" w:rsidRPr="008E63BB" w:rsidRDefault="00E2603D" w:rsidP="006E5817">
            <w:pPr>
              <w:spacing w:before="60"/>
              <w:jc w:val="center"/>
              <w:rPr>
                <w:rFonts w:eastAsia="Times New Roman"/>
                <w:b/>
                <w:sz w:val="16"/>
                <w:szCs w:val="16"/>
              </w:rPr>
            </w:pP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3E"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2006</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3F"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2007</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0"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2008</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1"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2009</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2"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2010</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3"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2011</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4"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2012</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5"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2013</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6"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2014</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7"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2015</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8"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2016</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9"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2017</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A"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2018</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234B" w14:textId="77777777" w:rsidR="00E2603D" w:rsidRPr="008E63BB" w:rsidRDefault="00E2603D" w:rsidP="006E5817">
            <w:pPr>
              <w:spacing w:before="60"/>
              <w:jc w:val="right"/>
              <w:rPr>
                <w:rFonts w:eastAsia="Times New Roman"/>
                <w:b/>
                <w:sz w:val="16"/>
                <w:szCs w:val="16"/>
              </w:rPr>
            </w:pPr>
            <w:r w:rsidRPr="008E63BB">
              <w:rPr>
                <w:rFonts w:eastAsia="Times New Roman"/>
                <w:b/>
                <w:sz w:val="16"/>
                <w:szCs w:val="16"/>
              </w:rPr>
              <w:t>2019</w:t>
            </w:r>
          </w:p>
        </w:tc>
      </w:tr>
      <w:tr w:rsidR="00E2603D" w:rsidRPr="008E63BB" w14:paraId="519B235E"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34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34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Nam Định</w:t>
            </w:r>
          </w:p>
        </w:tc>
        <w:tc>
          <w:tcPr>
            <w:tcW w:w="904" w:type="dxa"/>
            <w:tcBorders>
              <w:top w:val="nil"/>
              <w:left w:val="nil"/>
              <w:bottom w:val="single" w:sz="4" w:space="0" w:color="auto"/>
              <w:right w:val="single" w:sz="4" w:space="0" w:color="auto"/>
            </w:tcBorders>
            <w:shd w:val="clear" w:color="auto" w:fill="auto"/>
            <w:noWrap/>
            <w:vAlign w:val="bottom"/>
            <w:hideMark/>
          </w:tcPr>
          <w:p w14:paraId="519B234F"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350"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44</w:t>
            </w:r>
          </w:p>
        </w:tc>
        <w:tc>
          <w:tcPr>
            <w:tcW w:w="576" w:type="dxa"/>
            <w:tcBorders>
              <w:top w:val="nil"/>
              <w:left w:val="nil"/>
              <w:bottom w:val="single" w:sz="4" w:space="0" w:color="auto"/>
              <w:right w:val="single" w:sz="4" w:space="0" w:color="auto"/>
            </w:tcBorders>
            <w:shd w:val="clear" w:color="auto" w:fill="auto"/>
            <w:vAlign w:val="center"/>
            <w:hideMark/>
          </w:tcPr>
          <w:p w14:paraId="519B2351"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42</w:t>
            </w:r>
          </w:p>
        </w:tc>
        <w:tc>
          <w:tcPr>
            <w:tcW w:w="576" w:type="dxa"/>
            <w:tcBorders>
              <w:top w:val="nil"/>
              <w:left w:val="nil"/>
              <w:bottom w:val="single" w:sz="4" w:space="0" w:color="auto"/>
              <w:right w:val="single" w:sz="4" w:space="0" w:color="auto"/>
            </w:tcBorders>
            <w:shd w:val="clear" w:color="auto" w:fill="auto"/>
            <w:vAlign w:val="center"/>
            <w:hideMark/>
          </w:tcPr>
          <w:p w14:paraId="519B2352"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42</w:t>
            </w:r>
          </w:p>
        </w:tc>
        <w:tc>
          <w:tcPr>
            <w:tcW w:w="576" w:type="dxa"/>
            <w:tcBorders>
              <w:top w:val="nil"/>
              <w:left w:val="nil"/>
              <w:bottom w:val="single" w:sz="4" w:space="0" w:color="auto"/>
              <w:right w:val="single" w:sz="4" w:space="0" w:color="auto"/>
            </w:tcBorders>
            <w:shd w:val="clear" w:color="auto" w:fill="auto"/>
            <w:vAlign w:val="center"/>
            <w:hideMark/>
          </w:tcPr>
          <w:p w14:paraId="519B2353"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55</w:t>
            </w:r>
          </w:p>
        </w:tc>
        <w:tc>
          <w:tcPr>
            <w:tcW w:w="576" w:type="dxa"/>
            <w:tcBorders>
              <w:top w:val="nil"/>
              <w:left w:val="nil"/>
              <w:bottom w:val="single" w:sz="4" w:space="0" w:color="auto"/>
              <w:right w:val="single" w:sz="4" w:space="0" w:color="auto"/>
            </w:tcBorders>
            <w:shd w:val="clear" w:color="auto" w:fill="auto"/>
            <w:vAlign w:val="center"/>
            <w:hideMark/>
          </w:tcPr>
          <w:p w14:paraId="519B2354"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45</w:t>
            </w:r>
          </w:p>
        </w:tc>
        <w:tc>
          <w:tcPr>
            <w:tcW w:w="576" w:type="dxa"/>
            <w:tcBorders>
              <w:top w:val="nil"/>
              <w:left w:val="nil"/>
              <w:bottom w:val="single" w:sz="4" w:space="0" w:color="auto"/>
              <w:right w:val="single" w:sz="4" w:space="0" w:color="auto"/>
            </w:tcBorders>
            <w:shd w:val="clear" w:color="auto" w:fill="auto"/>
            <w:vAlign w:val="center"/>
            <w:hideMark/>
          </w:tcPr>
          <w:p w14:paraId="519B2355"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48</w:t>
            </w:r>
          </w:p>
        </w:tc>
        <w:tc>
          <w:tcPr>
            <w:tcW w:w="576" w:type="dxa"/>
            <w:tcBorders>
              <w:top w:val="nil"/>
              <w:left w:val="nil"/>
              <w:bottom w:val="single" w:sz="4" w:space="0" w:color="auto"/>
              <w:right w:val="single" w:sz="4" w:space="0" w:color="auto"/>
            </w:tcBorders>
            <w:shd w:val="clear" w:color="auto" w:fill="auto"/>
            <w:vAlign w:val="center"/>
            <w:hideMark/>
          </w:tcPr>
          <w:p w14:paraId="519B2356"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56</w:t>
            </w:r>
          </w:p>
        </w:tc>
        <w:tc>
          <w:tcPr>
            <w:tcW w:w="576" w:type="dxa"/>
            <w:tcBorders>
              <w:top w:val="nil"/>
              <w:left w:val="nil"/>
              <w:bottom w:val="single" w:sz="4" w:space="0" w:color="auto"/>
              <w:right w:val="single" w:sz="4" w:space="0" w:color="auto"/>
            </w:tcBorders>
            <w:shd w:val="clear" w:color="auto" w:fill="auto"/>
            <w:vAlign w:val="center"/>
            <w:hideMark/>
          </w:tcPr>
          <w:p w14:paraId="519B2357"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42</w:t>
            </w:r>
          </w:p>
        </w:tc>
        <w:tc>
          <w:tcPr>
            <w:tcW w:w="576" w:type="dxa"/>
            <w:tcBorders>
              <w:top w:val="nil"/>
              <w:left w:val="nil"/>
              <w:bottom w:val="single" w:sz="4" w:space="0" w:color="auto"/>
              <w:right w:val="single" w:sz="4" w:space="0" w:color="auto"/>
            </w:tcBorders>
            <w:shd w:val="clear" w:color="auto" w:fill="auto"/>
            <w:vAlign w:val="center"/>
            <w:hideMark/>
          </w:tcPr>
          <w:p w14:paraId="519B2358"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33</w:t>
            </w:r>
          </w:p>
        </w:tc>
        <w:tc>
          <w:tcPr>
            <w:tcW w:w="576" w:type="dxa"/>
            <w:tcBorders>
              <w:top w:val="nil"/>
              <w:left w:val="nil"/>
              <w:bottom w:val="single" w:sz="4" w:space="0" w:color="auto"/>
              <w:right w:val="single" w:sz="4" w:space="0" w:color="auto"/>
            </w:tcBorders>
            <w:shd w:val="clear" w:color="auto" w:fill="auto"/>
            <w:vAlign w:val="center"/>
            <w:hideMark/>
          </w:tcPr>
          <w:p w14:paraId="519B2359"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17</w:t>
            </w:r>
          </w:p>
        </w:tc>
        <w:tc>
          <w:tcPr>
            <w:tcW w:w="576" w:type="dxa"/>
            <w:tcBorders>
              <w:top w:val="nil"/>
              <w:left w:val="nil"/>
              <w:bottom w:val="single" w:sz="4" w:space="0" w:color="auto"/>
              <w:right w:val="single" w:sz="4" w:space="0" w:color="auto"/>
            </w:tcBorders>
            <w:shd w:val="clear" w:color="auto" w:fill="auto"/>
            <w:vAlign w:val="center"/>
            <w:hideMark/>
          </w:tcPr>
          <w:p w14:paraId="519B235A"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30</w:t>
            </w:r>
          </w:p>
        </w:tc>
        <w:tc>
          <w:tcPr>
            <w:tcW w:w="576" w:type="dxa"/>
            <w:tcBorders>
              <w:top w:val="nil"/>
              <w:left w:val="nil"/>
              <w:bottom w:val="single" w:sz="4" w:space="0" w:color="auto"/>
              <w:right w:val="single" w:sz="4" w:space="0" w:color="auto"/>
            </w:tcBorders>
            <w:shd w:val="clear" w:color="auto" w:fill="auto"/>
            <w:vAlign w:val="center"/>
            <w:hideMark/>
          </w:tcPr>
          <w:p w14:paraId="519B235B"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41</w:t>
            </w:r>
          </w:p>
        </w:tc>
        <w:tc>
          <w:tcPr>
            <w:tcW w:w="576" w:type="dxa"/>
            <w:tcBorders>
              <w:top w:val="nil"/>
              <w:left w:val="nil"/>
              <w:bottom w:val="single" w:sz="4" w:space="0" w:color="auto"/>
              <w:right w:val="single" w:sz="4" w:space="0" w:color="auto"/>
            </w:tcBorders>
            <w:shd w:val="clear" w:color="auto" w:fill="auto"/>
            <w:vAlign w:val="center"/>
            <w:hideMark/>
          </w:tcPr>
          <w:p w14:paraId="519B235C"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35</w:t>
            </w:r>
          </w:p>
        </w:tc>
        <w:tc>
          <w:tcPr>
            <w:tcW w:w="576" w:type="dxa"/>
            <w:tcBorders>
              <w:top w:val="nil"/>
              <w:left w:val="nil"/>
              <w:bottom w:val="single" w:sz="4" w:space="0" w:color="auto"/>
              <w:right w:val="single" w:sz="4" w:space="0" w:color="auto"/>
            </w:tcBorders>
            <w:shd w:val="clear" w:color="auto" w:fill="auto"/>
            <w:vAlign w:val="center"/>
            <w:hideMark/>
          </w:tcPr>
          <w:p w14:paraId="519B235D"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33</w:t>
            </w:r>
          </w:p>
        </w:tc>
      </w:tr>
      <w:tr w:rsidR="00E2603D" w:rsidRPr="008E63BB" w14:paraId="519B2370"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35F"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360"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361"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362"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48.72</w:t>
            </w:r>
          </w:p>
        </w:tc>
        <w:tc>
          <w:tcPr>
            <w:tcW w:w="576" w:type="dxa"/>
            <w:tcBorders>
              <w:top w:val="nil"/>
              <w:left w:val="nil"/>
              <w:bottom w:val="single" w:sz="4" w:space="0" w:color="auto"/>
              <w:right w:val="single" w:sz="4" w:space="0" w:color="auto"/>
            </w:tcBorders>
            <w:shd w:val="clear" w:color="auto" w:fill="auto"/>
            <w:vAlign w:val="center"/>
            <w:hideMark/>
          </w:tcPr>
          <w:p w14:paraId="519B2363"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51.76</w:t>
            </w:r>
          </w:p>
        </w:tc>
        <w:tc>
          <w:tcPr>
            <w:tcW w:w="576" w:type="dxa"/>
            <w:tcBorders>
              <w:top w:val="nil"/>
              <w:left w:val="nil"/>
              <w:bottom w:val="single" w:sz="4" w:space="0" w:color="auto"/>
              <w:right w:val="single" w:sz="4" w:space="0" w:color="auto"/>
            </w:tcBorders>
            <w:shd w:val="clear" w:color="auto" w:fill="auto"/>
            <w:vAlign w:val="center"/>
            <w:hideMark/>
          </w:tcPr>
          <w:p w14:paraId="519B2364"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49.52</w:t>
            </w:r>
          </w:p>
        </w:tc>
        <w:tc>
          <w:tcPr>
            <w:tcW w:w="576" w:type="dxa"/>
            <w:tcBorders>
              <w:top w:val="nil"/>
              <w:left w:val="nil"/>
              <w:bottom w:val="single" w:sz="4" w:space="0" w:color="auto"/>
              <w:right w:val="single" w:sz="4" w:space="0" w:color="auto"/>
            </w:tcBorders>
            <w:shd w:val="clear" w:color="auto" w:fill="auto"/>
            <w:vAlign w:val="center"/>
            <w:hideMark/>
          </w:tcPr>
          <w:p w14:paraId="519B2365"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52.60</w:t>
            </w:r>
          </w:p>
        </w:tc>
        <w:tc>
          <w:tcPr>
            <w:tcW w:w="576" w:type="dxa"/>
            <w:tcBorders>
              <w:top w:val="nil"/>
              <w:left w:val="nil"/>
              <w:bottom w:val="single" w:sz="4" w:space="0" w:color="auto"/>
              <w:right w:val="single" w:sz="4" w:space="0" w:color="auto"/>
            </w:tcBorders>
            <w:shd w:val="clear" w:color="auto" w:fill="auto"/>
            <w:vAlign w:val="center"/>
            <w:hideMark/>
          </w:tcPr>
          <w:p w14:paraId="519B2366"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55.63</w:t>
            </w:r>
          </w:p>
        </w:tc>
        <w:tc>
          <w:tcPr>
            <w:tcW w:w="576" w:type="dxa"/>
            <w:tcBorders>
              <w:top w:val="nil"/>
              <w:left w:val="nil"/>
              <w:bottom w:val="single" w:sz="4" w:space="0" w:color="auto"/>
              <w:right w:val="single" w:sz="4" w:space="0" w:color="auto"/>
            </w:tcBorders>
            <w:shd w:val="clear" w:color="auto" w:fill="auto"/>
            <w:vAlign w:val="center"/>
            <w:hideMark/>
          </w:tcPr>
          <w:p w14:paraId="519B2367"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55.48</w:t>
            </w:r>
          </w:p>
        </w:tc>
        <w:tc>
          <w:tcPr>
            <w:tcW w:w="576" w:type="dxa"/>
            <w:tcBorders>
              <w:top w:val="nil"/>
              <w:left w:val="nil"/>
              <w:bottom w:val="single" w:sz="4" w:space="0" w:color="auto"/>
              <w:right w:val="single" w:sz="4" w:space="0" w:color="auto"/>
            </w:tcBorders>
            <w:shd w:val="clear" w:color="auto" w:fill="auto"/>
            <w:vAlign w:val="center"/>
            <w:hideMark/>
          </w:tcPr>
          <w:p w14:paraId="519B2368"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52.23</w:t>
            </w:r>
          </w:p>
        </w:tc>
        <w:tc>
          <w:tcPr>
            <w:tcW w:w="576" w:type="dxa"/>
            <w:tcBorders>
              <w:top w:val="nil"/>
              <w:left w:val="nil"/>
              <w:bottom w:val="single" w:sz="4" w:space="0" w:color="auto"/>
              <w:right w:val="single" w:sz="4" w:space="0" w:color="auto"/>
            </w:tcBorders>
            <w:shd w:val="clear" w:color="auto" w:fill="auto"/>
            <w:vAlign w:val="center"/>
            <w:hideMark/>
          </w:tcPr>
          <w:p w14:paraId="519B2369"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56.31</w:t>
            </w:r>
          </w:p>
        </w:tc>
        <w:tc>
          <w:tcPr>
            <w:tcW w:w="576" w:type="dxa"/>
            <w:tcBorders>
              <w:top w:val="nil"/>
              <w:left w:val="nil"/>
              <w:bottom w:val="single" w:sz="4" w:space="0" w:color="auto"/>
              <w:right w:val="single" w:sz="4" w:space="0" w:color="auto"/>
            </w:tcBorders>
            <w:shd w:val="clear" w:color="auto" w:fill="auto"/>
            <w:vAlign w:val="center"/>
            <w:hideMark/>
          </w:tcPr>
          <w:p w14:paraId="519B236A"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58.52</w:t>
            </w:r>
          </w:p>
        </w:tc>
        <w:tc>
          <w:tcPr>
            <w:tcW w:w="576" w:type="dxa"/>
            <w:tcBorders>
              <w:top w:val="nil"/>
              <w:left w:val="nil"/>
              <w:bottom w:val="single" w:sz="4" w:space="0" w:color="auto"/>
              <w:right w:val="single" w:sz="4" w:space="0" w:color="auto"/>
            </w:tcBorders>
            <w:shd w:val="clear" w:color="auto" w:fill="auto"/>
            <w:vAlign w:val="center"/>
            <w:hideMark/>
          </w:tcPr>
          <w:p w14:paraId="519B236B"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59.62</w:t>
            </w:r>
          </w:p>
        </w:tc>
        <w:tc>
          <w:tcPr>
            <w:tcW w:w="576" w:type="dxa"/>
            <w:tcBorders>
              <w:top w:val="nil"/>
              <w:left w:val="nil"/>
              <w:bottom w:val="single" w:sz="4" w:space="0" w:color="auto"/>
              <w:right w:val="single" w:sz="4" w:space="0" w:color="auto"/>
            </w:tcBorders>
            <w:shd w:val="clear" w:color="auto" w:fill="auto"/>
            <w:vAlign w:val="center"/>
            <w:hideMark/>
          </w:tcPr>
          <w:p w14:paraId="519B236C"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58.54</w:t>
            </w:r>
          </w:p>
        </w:tc>
        <w:tc>
          <w:tcPr>
            <w:tcW w:w="576" w:type="dxa"/>
            <w:tcBorders>
              <w:top w:val="nil"/>
              <w:left w:val="nil"/>
              <w:bottom w:val="single" w:sz="4" w:space="0" w:color="auto"/>
              <w:right w:val="single" w:sz="4" w:space="0" w:color="auto"/>
            </w:tcBorders>
            <w:shd w:val="clear" w:color="auto" w:fill="auto"/>
            <w:vAlign w:val="center"/>
            <w:hideMark/>
          </w:tcPr>
          <w:p w14:paraId="519B236D"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61.43</w:t>
            </w:r>
          </w:p>
        </w:tc>
        <w:tc>
          <w:tcPr>
            <w:tcW w:w="576" w:type="dxa"/>
            <w:tcBorders>
              <w:top w:val="nil"/>
              <w:left w:val="nil"/>
              <w:bottom w:val="single" w:sz="4" w:space="0" w:color="auto"/>
              <w:right w:val="single" w:sz="4" w:space="0" w:color="auto"/>
            </w:tcBorders>
            <w:shd w:val="clear" w:color="auto" w:fill="auto"/>
            <w:vAlign w:val="center"/>
            <w:hideMark/>
          </w:tcPr>
          <w:p w14:paraId="519B236E"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63.01</w:t>
            </w:r>
          </w:p>
        </w:tc>
        <w:tc>
          <w:tcPr>
            <w:tcW w:w="576" w:type="dxa"/>
            <w:tcBorders>
              <w:top w:val="nil"/>
              <w:left w:val="nil"/>
              <w:bottom w:val="single" w:sz="4" w:space="0" w:color="auto"/>
              <w:right w:val="single" w:sz="4" w:space="0" w:color="auto"/>
            </w:tcBorders>
            <w:shd w:val="clear" w:color="auto" w:fill="auto"/>
            <w:vAlign w:val="center"/>
            <w:hideMark/>
          </w:tcPr>
          <w:p w14:paraId="519B236F" w14:textId="77777777" w:rsidR="00E2603D" w:rsidRPr="008E63BB" w:rsidRDefault="00E2603D" w:rsidP="006E5817">
            <w:pPr>
              <w:spacing w:before="60"/>
              <w:jc w:val="center"/>
              <w:rPr>
                <w:rFonts w:eastAsia="Times New Roman"/>
                <w:b/>
                <w:bCs/>
                <w:sz w:val="16"/>
                <w:szCs w:val="16"/>
              </w:rPr>
            </w:pPr>
            <w:r w:rsidRPr="008E63BB">
              <w:rPr>
                <w:rFonts w:eastAsia="Times New Roman"/>
                <w:b/>
                <w:bCs/>
                <w:sz w:val="16"/>
                <w:szCs w:val="16"/>
              </w:rPr>
              <w:t>65.09</w:t>
            </w:r>
          </w:p>
        </w:tc>
      </w:tr>
      <w:tr w:rsidR="00E2603D" w:rsidRPr="008E63BB" w14:paraId="519B2382"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37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37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Hải Phòng</w:t>
            </w:r>
          </w:p>
        </w:tc>
        <w:tc>
          <w:tcPr>
            <w:tcW w:w="904" w:type="dxa"/>
            <w:tcBorders>
              <w:top w:val="nil"/>
              <w:left w:val="nil"/>
              <w:bottom w:val="single" w:sz="4" w:space="0" w:color="auto"/>
              <w:right w:val="single" w:sz="4" w:space="0" w:color="auto"/>
            </w:tcBorders>
            <w:shd w:val="clear" w:color="auto" w:fill="auto"/>
            <w:noWrap/>
            <w:vAlign w:val="bottom"/>
            <w:hideMark/>
          </w:tcPr>
          <w:p w14:paraId="519B2373"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37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41</w:t>
            </w:r>
          </w:p>
        </w:tc>
        <w:tc>
          <w:tcPr>
            <w:tcW w:w="576" w:type="dxa"/>
            <w:tcBorders>
              <w:top w:val="nil"/>
              <w:left w:val="nil"/>
              <w:bottom w:val="single" w:sz="4" w:space="0" w:color="auto"/>
              <w:right w:val="single" w:sz="4" w:space="0" w:color="auto"/>
            </w:tcBorders>
            <w:shd w:val="clear" w:color="auto" w:fill="auto"/>
            <w:vAlign w:val="center"/>
            <w:hideMark/>
          </w:tcPr>
          <w:p w14:paraId="519B237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36</w:t>
            </w:r>
          </w:p>
        </w:tc>
        <w:tc>
          <w:tcPr>
            <w:tcW w:w="576" w:type="dxa"/>
            <w:tcBorders>
              <w:top w:val="nil"/>
              <w:left w:val="nil"/>
              <w:bottom w:val="single" w:sz="4" w:space="0" w:color="auto"/>
              <w:right w:val="single" w:sz="4" w:space="0" w:color="auto"/>
            </w:tcBorders>
            <w:shd w:val="clear" w:color="auto" w:fill="auto"/>
            <w:vAlign w:val="center"/>
            <w:hideMark/>
          </w:tcPr>
          <w:p w14:paraId="519B237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48</w:t>
            </w:r>
          </w:p>
        </w:tc>
        <w:tc>
          <w:tcPr>
            <w:tcW w:w="576" w:type="dxa"/>
            <w:tcBorders>
              <w:top w:val="nil"/>
              <w:left w:val="nil"/>
              <w:bottom w:val="single" w:sz="4" w:space="0" w:color="auto"/>
              <w:right w:val="single" w:sz="4" w:space="0" w:color="auto"/>
            </w:tcBorders>
            <w:shd w:val="clear" w:color="auto" w:fill="auto"/>
            <w:vAlign w:val="center"/>
            <w:hideMark/>
          </w:tcPr>
          <w:p w14:paraId="519B237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36</w:t>
            </w:r>
          </w:p>
        </w:tc>
        <w:tc>
          <w:tcPr>
            <w:tcW w:w="576" w:type="dxa"/>
            <w:tcBorders>
              <w:top w:val="nil"/>
              <w:left w:val="nil"/>
              <w:bottom w:val="single" w:sz="4" w:space="0" w:color="auto"/>
              <w:right w:val="single" w:sz="4" w:space="0" w:color="auto"/>
            </w:tcBorders>
            <w:shd w:val="clear" w:color="auto" w:fill="auto"/>
            <w:vAlign w:val="center"/>
            <w:hideMark/>
          </w:tcPr>
          <w:p w14:paraId="519B237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48</w:t>
            </w:r>
          </w:p>
        </w:tc>
        <w:tc>
          <w:tcPr>
            <w:tcW w:w="576" w:type="dxa"/>
            <w:tcBorders>
              <w:top w:val="nil"/>
              <w:left w:val="nil"/>
              <w:bottom w:val="single" w:sz="4" w:space="0" w:color="auto"/>
              <w:right w:val="single" w:sz="4" w:space="0" w:color="auto"/>
            </w:tcBorders>
            <w:shd w:val="clear" w:color="auto" w:fill="auto"/>
            <w:vAlign w:val="center"/>
            <w:hideMark/>
          </w:tcPr>
          <w:p w14:paraId="519B237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45</w:t>
            </w:r>
          </w:p>
        </w:tc>
        <w:tc>
          <w:tcPr>
            <w:tcW w:w="576" w:type="dxa"/>
            <w:tcBorders>
              <w:top w:val="nil"/>
              <w:left w:val="nil"/>
              <w:bottom w:val="single" w:sz="4" w:space="0" w:color="auto"/>
              <w:right w:val="single" w:sz="4" w:space="0" w:color="auto"/>
            </w:tcBorders>
            <w:shd w:val="clear" w:color="auto" w:fill="auto"/>
            <w:vAlign w:val="center"/>
            <w:hideMark/>
          </w:tcPr>
          <w:p w14:paraId="519B237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50</w:t>
            </w:r>
          </w:p>
        </w:tc>
        <w:tc>
          <w:tcPr>
            <w:tcW w:w="576" w:type="dxa"/>
            <w:tcBorders>
              <w:top w:val="nil"/>
              <w:left w:val="nil"/>
              <w:bottom w:val="single" w:sz="4" w:space="0" w:color="auto"/>
              <w:right w:val="single" w:sz="4" w:space="0" w:color="auto"/>
            </w:tcBorders>
            <w:shd w:val="clear" w:color="auto" w:fill="auto"/>
            <w:vAlign w:val="center"/>
            <w:hideMark/>
          </w:tcPr>
          <w:p w14:paraId="519B237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15</w:t>
            </w:r>
          </w:p>
        </w:tc>
        <w:tc>
          <w:tcPr>
            <w:tcW w:w="576" w:type="dxa"/>
            <w:tcBorders>
              <w:top w:val="nil"/>
              <w:left w:val="nil"/>
              <w:bottom w:val="single" w:sz="4" w:space="0" w:color="auto"/>
              <w:right w:val="single" w:sz="4" w:space="0" w:color="auto"/>
            </w:tcBorders>
            <w:shd w:val="clear" w:color="auto" w:fill="auto"/>
            <w:vAlign w:val="center"/>
            <w:hideMark/>
          </w:tcPr>
          <w:p w14:paraId="519B237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34</w:t>
            </w:r>
          </w:p>
        </w:tc>
        <w:tc>
          <w:tcPr>
            <w:tcW w:w="576" w:type="dxa"/>
            <w:tcBorders>
              <w:top w:val="nil"/>
              <w:left w:val="nil"/>
              <w:bottom w:val="single" w:sz="4" w:space="0" w:color="auto"/>
              <w:right w:val="single" w:sz="4" w:space="0" w:color="auto"/>
            </w:tcBorders>
            <w:shd w:val="clear" w:color="auto" w:fill="auto"/>
            <w:vAlign w:val="center"/>
            <w:hideMark/>
          </w:tcPr>
          <w:p w14:paraId="519B237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28</w:t>
            </w:r>
          </w:p>
        </w:tc>
        <w:tc>
          <w:tcPr>
            <w:tcW w:w="576" w:type="dxa"/>
            <w:tcBorders>
              <w:top w:val="nil"/>
              <w:left w:val="nil"/>
              <w:bottom w:val="single" w:sz="4" w:space="0" w:color="auto"/>
              <w:right w:val="single" w:sz="4" w:space="0" w:color="auto"/>
            </w:tcBorders>
            <w:shd w:val="clear" w:color="auto" w:fill="auto"/>
            <w:vAlign w:val="center"/>
            <w:hideMark/>
          </w:tcPr>
          <w:p w14:paraId="519B237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21</w:t>
            </w:r>
          </w:p>
        </w:tc>
        <w:tc>
          <w:tcPr>
            <w:tcW w:w="576" w:type="dxa"/>
            <w:tcBorders>
              <w:top w:val="nil"/>
              <w:left w:val="nil"/>
              <w:bottom w:val="single" w:sz="4" w:space="0" w:color="auto"/>
              <w:right w:val="single" w:sz="4" w:space="0" w:color="auto"/>
            </w:tcBorders>
            <w:shd w:val="clear" w:color="auto" w:fill="auto"/>
            <w:vAlign w:val="center"/>
            <w:hideMark/>
          </w:tcPr>
          <w:p w14:paraId="519B237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9</w:t>
            </w:r>
          </w:p>
        </w:tc>
        <w:tc>
          <w:tcPr>
            <w:tcW w:w="576" w:type="dxa"/>
            <w:tcBorders>
              <w:top w:val="nil"/>
              <w:left w:val="nil"/>
              <w:bottom w:val="single" w:sz="4" w:space="0" w:color="auto"/>
              <w:right w:val="single" w:sz="4" w:space="0" w:color="auto"/>
            </w:tcBorders>
            <w:shd w:val="clear" w:color="auto" w:fill="auto"/>
            <w:vAlign w:val="center"/>
            <w:hideMark/>
          </w:tcPr>
          <w:p w14:paraId="519B238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16</w:t>
            </w:r>
          </w:p>
        </w:tc>
        <w:tc>
          <w:tcPr>
            <w:tcW w:w="576" w:type="dxa"/>
            <w:tcBorders>
              <w:top w:val="nil"/>
              <w:left w:val="nil"/>
              <w:bottom w:val="single" w:sz="4" w:space="0" w:color="auto"/>
              <w:right w:val="single" w:sz="4" w:space="0" w:color="auto"/>
            </w:tcBorders>
            <w:shd w:val="clear" w:color="auto" w:fill="auto"/>
            <w:vAlign w:val="center"/>
            <w:hideMark/>
          </w:tcPr>
          <w:p w14:paraId="519B238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10</w:t>
            </w:r>
          </w:p>
        </w:tc>
      </w:tr>
      <w:tr w:rsidR="00E2603D" w:rsidRPr="008E63BB" w14:paraId="519B2394"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383"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384"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385"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38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49.82</w:t>
            </w:r>
          </w:p>
        </w:tc>
        <w:tc>
          <w:tcPr>
            <w:tcW w:w="576" w:type="dxa"/>
            <w:tcBorders>
              <w:top w:val="nil"/>
              <w:left w:val="nil"/>
              <w:bottom w:val="single" w:sz="4" w:space="0" w:color="auto"/>
              <w:right w:val="single" w:sz="4" w:space="0" w:color="auto"/>
            </w:tcBorders>
            <w:shd w:val="clear" w:color="auto" w:fill="auto"/>
            <w:vAlign w:val="center"/>
            <w:hideMark/>
          </w:tcPr>
          <w:p w14:paraId="519B238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53.19</w:t>
            </w:r>
          </w:p>
        </w:tc>
        <w:tc>
          <w:tcPr>
            <w:tcW w:w="576" w:type="dxa"/>
            <w:tcBorders>
              <w:top w:val="nil"/>
              <w:left w:val="nil"/>
              <w:bottom w:val="single" w:sz="4" w:space="0" w:color="auto"/>
              <w:right w:val="single" w:sz="4" w:space="0" w:color="auto"/>
            </w:tcBorders>
            <w:shd w:val="clear" w:color="auto" w:fill="auto"/>
            <w:vAlign w:val="center"/>
            <w:hideMark/>
          </w:tcPr>
          <w:p w14:paraId="519B238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47.68</w:t>
            </w:r>
          </w:p>
        </w:tc>
        <w:tc>
          <w:tcPr>
            <w:tcW w:w="576" w:type="dxa"/>
            <w:tcBorders>
              <w:top w:val="nil"/>
              <w:left w:val="nil"/>
              <w:bottom w:val="single" w:sz="4" w:space="0" w:color="auto"/>
              <w:right w:val="single" w:sz="4" w:space="0" w:color="auto"/>
            </w:tcBorders>
            <w:shd w:val="clear" w:color="auto" w:fill="auto"/>
            <w:vAlign w:val="center"/>
            <w:hideMark/>
          </w:tcPr>
          <w:p w14:paraId="519B238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57.57</w:t>
            </w:r>
          </w:p>
        </w:tc>
        <w:tc>
          <w:tcPr>
            <w:tcW w:w="576" w:type="dxa"/>
            <w:tcBorders>
              <w:top w:val="nil"/>
              <w:left w:val="nil"/>
              <w:bottom w:val="single" w:sz="4" w:space="0" w:color="auto"/>
              <w:right w:val="single" w:sz="4" w:space="0" w:color="auto"/>
            </w:tcBorders>
            <w:shd w:val="clear" w:color="auto" w:fill="auto"/>
            <w:vAlign w:val="center"/>
            <w:hideMark/>
          </w:tcPr>
          <w:p w14:paraId="519B238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54.64</w:t>
            </w:r>
          </w:p>
        </w:tc>
        <w:tc>
          <w:tcPr>
            <w:tcW w:w="576" w:type="dxa"/>
            <w:tcBorders>
              <w:top w:val="nil"/>
              <w:left w:val="nil"/>
              <w:bottom w:val="single" w:sz="4" w:space="0" w:color="auto"/>
              <w:right w:val="single" w:sz="4" w:space="0" w:color="auto"/>
            </w:tcBorders>
            <w:shd w:val="clear" w:color="auto" w:fill="auto"/>
            <w:vAlign w:val="center"/>
            <w:hideMark/>
          </w:tcPr>
          <w:p w14:paraId="519B238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57.07</w:t>
            </w:r>
          </w:p>
        </w:tc>
        <w:tc>
          <w:tcPr>
            <w:tcW w:w="576" w:type="dxa"/>
            <w:tcBorders>
              <w:top w:val="nil"/>
              <w:left w:val="nil"/>
              <w:bottom w:val="single" w:sz="4" w:space="0" w:color="auto"/>
              <w:right w:val="single" w:sz="4" w:space="0" w:color="auto"/>
            </w:tcBorders>
            <w:shd w:val="clear" w:color="auto" w:fill="auto"/>
            <w:vAlign w:val="center"/>
            <w:hideMark/>
          </w:tcPr>
          <w:p w14:paraId="519B238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53.58</w:t>
            </w:r>
          </w:p>
        </w:tc>
        <w:tc>
          <w:tcPr>
            <w:tcW w:w="576" w:type="dxa"/>
            <w:tcBorders>
              <w:top w:val="nil"/>
              <w:left w:val="nil"/>
              <w:bottom w:val="single" w:sz="4" w:space="0" w:color="auto"/>
              <w:right w:val="single" w:sz="4" w:space="0" w:color="auto"/>
            </w:tcBorders>
            <w:shd w:val="clear" w:color="auto" w:fill="auto"/>
            <w:vAlign w:val="center"/>
            <w:hideMark/>
          </w:tcPr>
          <w:p w14:paraId="519B238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59.76</w:t>
            </w:r>
          </w:p>
        </w:tc>
        <w:tc>
          <w:tcPr>
            <w:tcW w:w="576" w:type="dxa"/>
            <w:tcBorders>
              <w:top w:val="nil"/>
              <w:left w:val="nil"/>
              <w:bottom w:val="single" w:sz="4" w:space="0" w:color="auto"/>
              <w:right w:val="single" w:sz="4" w:space="0" w:color="auto"/>
            </w:tcBorders>
            <w:shd w:val="clear" w:color="auto" w:fill="auto"/>
            <w:vAlign w:val="center"/>
            <w:hideMark/>
          </w:tcPr>
          <w:p w14:paraId="519B238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58.25</w:t>
            </w:r>
          </w:p>
        </w:tc>
        <w:tc>
          <w:tcPr>
            <w:tcW w:w="576" w:type="dxa"/>
            <w:tcBorders>
              <w:top w:val="nil"/>
              <w:left w:val="nil"/>
              <w:bottom w:val="single" w:sz="4" w:space="0" w:color="auto"/>
              <w:right w:val="single" w:sz="4" w:space="0" w:color="auto"/>
            </w:tcBorders>
            <w:shd w:val="clear" w:color="auto" w:fill="auto"/>
            <w:vAlign w:val="center"/>
            <w:hideMark/>
          </w:tcPr>
          <w:p w14:paraId="519B238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58.65</w:t>
            </w:r>
          </w:p>
        </w:tc>
        <w:tc>
          <w:tcPr>
            <w:tcW w:w="576" w:type="dxa"/>
            <w:tcBorders>
              <w:top w:val="nil"/>
              <w:left w:val="nil"/>
              <w:bottom w:val="single" w:sz="4" w:space="0" w:color="auto"/>
              <w:right w:val="single" w:sz="4" w:space="0" w:color="auto"/>
            </w:tcBorders>
            <w:shd w:val="clear" w:color="auto" w:fill="auto"/>
            <w:vAlign w:val="center"/>
            <w:hideMark/>
          </w:tcPr>
          <w:p w14:paraId="519B239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60.10</w:t>
            </w:r>
          </w:p>
        </w:tc>
        <w:tc>
          <w:tcPr>
            <w:tcW w:w="576" w:type="dxa"/>
            <w:tcBorders>
              <w:top w:val="nil"/>
              <w:left w:val="nil"/>
              <w:bottom w:val="single" w:sz="4" w:space="0" w:color="auto"/>
              <w:right w:val="single" w:sz="4" w:space="0" w:color="auto"/>
            </w:tcBorders>
            <w:shd w:val="clear" w:color="auto" w:fill="auto"/>
            <w:vAlign w:val="center"/>
            <w:hideMark/>
          </w:tcPr>
          <w:p w14:paraId="519B239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65.15</w:t>
            </w:r>
          </w:p>
        </w:tc>
        <w:tc>
          <w:tcPr>
            <w:tcW w:w="576" w:type="dxa"/>
            <w:tcBorders>
              <w:top w:val="nil"/>
              <w:left w:val="nil"/>
              <w:bottom w:val="single" w:sz="4" w:space="0" w:color="auto"/>
              <w:right w:val="single" w:sz="4" w:space="0" w:color="auto"/>
            </w:tcBorders>
            <w:shd w:val="clear" w:color="auto" w:fill="auto"/>
            <w:vAlign w:val="center"/>
            <w:hideMark/>
          </w:tcPr>
          <w:p w14:paraId="519B239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64.48</w:t>
            </w:r>
          </w:p>
        </w:tc>
        <w:tc>
          <w:tcPr>
            <w:tcW w:w="576" w:type="dxa"/>
            <w:tcBorders>
              <w:top w:val="nil"/>
              <w:left w:val="nil"/>
              <w:bottom w:val="single" w:sz="4" w:space="0" w:color="auto"/>
              <w:right w:val="single" w:sz="4" w:space="0" w:color="auto"/>
            </w:tcBorders>
            <w:shd w:val="clear" w:color="auto" w:fill="auto"/>
            <w:vAlign w:val="center"/>
            <w:hideMark/>
          </w:tcPr>
          <w:p w14:paraId="519B239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68.73</w:t>
            </w:r>
          </w:p>
        </w:tc>
      </w:tr>
      <w:tr w:rsidR="00E2603D" w:rsidRPr="008E63BB" w14:paraId="519B23A6"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39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39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Quảng Ninh</w:t>
            </w:r>
          </w:p>
        </w:tc>
        <w:tc>
          <w:tcPr>
            <w:tcW w:w="904" w:type="dxa"/>
            <w:tcBorders>
              <w:top w:val="nil"/>
              <w:left w:val="nil"/>
              <w:bottom w:val="single" w:sz="4" w:space="0" w:color="auto"/>
              <w:right w:val="single" w:sz="4" w:space="0" w:color="auto"/>
            </w:tcBorders>
            <w:shd w:val="clear" w:color="auto" w:fill="auto"/>
            <w:noWrap/>
            <w:vAlign w:val="bottom"/>
            <w:hideMark/>
          </w:tcPr>
          <w:p w14:paraId="519B2397"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39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27</w:t>
            </w:r>
          </w:p>
        </w:tc>
        <w:tc>
          <w:tcPr>
            <w:tcW w:w="576" w:type="dxa"/>
            <w:tcBorders>
              <w:top w:val="nil"/>
              <w:left w:val="nil"/>
              <w:bottom w:val="single" w:sz="4" w:space="0" w:color="auto"/>
              <w:right w:val="single" w:sz="4" w:space="0" w:color="auto"/>
            </w:tcBorders>
            <w:shd w:val="clear" w:color="auto" w:fill="auto"/>
            <w:vAlign w:val="center"/>
            <w:hideMark/>
          </w:tcPr>
          <w:p w14:paraId="519B239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21</w:t>
            </w:r>
          </w:p>
        </w:tc>
        <w:tc>
          <w:tcPr>
            <w:tcW w:w="576" w:type="dxa"/>
            <w:tcBorders>
              <w:top w:val="nil"/>
              <w:left w:val="nil"/>
              <w:bottom w:val="single" w:sz="4" w:space="0" w:color="auto"/>
              <w:right w:val="single" w:sz="4" w:space="0" w:color="auto"/>
            </w:tcBorders>
            <w:shd w:val="clear" w:color="auto" w:fill="auto"/>
            <w:vAlign w:val="center"/>
            <w:hideMark/>
          </w:tcPr>
          <w:p w14:paraId="519B239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27</w:t>
            </w:r>
          </w:p>
        </w:tc>
        <w:tc>
          <w:tcPr>
            <w:tcW w:w="576" w:type="dxa"/>
            <w:tcBorders>
              <w:top w:val="nil"/>
              <w:left w:val="nil"/>
              <w:bottom w:val="single" w:sz="4" w:space="0" w:color="auto"/>
              <w:right w:val="single" w:sz="4" w:space="0" w:color="auto"/>
            </w:tcBorders>
            <w:shd w:val="clear" w:color="auto" w:fill="auto"/>
            <w:vAlign w:val="center"/>
            <w:hideMark/>
          </w:tcPr>
          <w:p w14:paraId="519B239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26</w:t>
            </w:r>
          </w:p>
        </w:tc>
        <w:tc>
          <w:tcPr>
            <w:tcW w:w="576" w:type="dxa"/>
            <w:tcBorders>
              <w:top w:val="nil"/>
              <w:left w:val="nil"/>
              <w:bottom w:val="single" w:sz="4" w:space="0" w:color="auto"/>
              <w:right w:val="single" w:sz="4" w:space="0" w:color="auto"/>
            </w:tcBorders>
            <w:shd w:val="clear" w:color="auto" w:fill="auto"/>
            <w:vAlign w:val="center"/>
            <w:hideMark/>
          </w:tcPr>
          <w:p w14:paraId="519B239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w:t>
            </w:r>
          </w:p>
        </w:tc>
        <w:tc>
          <w:tcPr>
            <w:tcW w:w="576" w:type="dxa"/>
            <w:tcBorders>
              <w:top w:val="nil"/>
              <w:left w:val="nil"/>
              <w:bottom w:val="single" w:sz="4" w:space="0" w:color="auto"/>
              <w:right w:val="single" w:sz="4" w:space="0" w:color="auto"/>
            </w:tcBorders>
            <w:shd w:val="clear" w:color="auto" w:fill="auto"/>
            <w:vAlign w:val="center"/>
            <w:hideMark/>
          </w:tcPr>
          <w:p w14:paraId="519B239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12</w:t>
            </w:r>
          </w:p>
        </w:tc>
        <w:tc>
          <w:tcPr>
            <w:tcW w:w="576" w:type="dxa"/>
            <w:tcBorders>
              <w:top w:val="nil"/>
              <w:left w:val="nil"/>
              <w:bottom w:val="single" w:sz="4" w:space="0" w:color="auto"/>
              <w:right w:val="single" w:sz="4" w:space="0" w:color="auto"/>
            </w:tcBorders>
            <w:shd w:val="clear" w:color="auto" w:fill="auto"/>
            <w:vAlign w:val="center"/>
            <w:hideMark/>
          </w:tcPr>
          <w:p w14:paraId="519B239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20</w:t>
            </w:r>
          </w:p>
        </w:tc>
        <w:tc>
          <w:tcPr>
            <w:tcW w:w="576" w:type="dxa"/>
            <w:tcBorders>
              <w:top w:val="nil"/>
              <w:left w:val="nil"/>
              <w:bottom w:val="single" w:sz="4" w:space="0" w:color="auto"/>
              <w:right w:val="single" w:sz="4" w:space="0" w:color="auto"/>
            </w:tcBorders>
            <w:shd w:val="clear" w:color="auto" w:fill="auto"/>
            <w:vAlign w:val="center"/>
            <w:hideMark/>
          </w:tcPr>
          <w:p w14:paraId="519B239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w:t>
            </w:r>
          </w:p>
        </w:tc>
        <w:tc>
          <w:tcPr>
            <w:tcW w:w="576" w:type="dxa"/>
            <w:tcBorders>
              <w:top w:val="nil"/>
              <w:left w:val="nil"/>
              <w:bottom w:val="single" w:sz="4" w:space="0" w:color="auto"/>
              <w:right w:val="single" w:sz="4" w:space="0" w:color="auto"/>
            </w:tcBorders>
            <w:shd w:val="clear" w:color="auto" w:fill="auto"/>
            <w:vAlign w:val="center"/>
            <w:hideMark/>
          </w:tcPr>
          <w:p w14:paraId="519B23A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w:t>
            </w:r>
          </w:p>
        </w:tc>
        <w:tc>
          <w:tcPr>
            <w:tcW w:w="576" w:type="dxa"/>
            <w:tcBorders>
              <w:top w:val="nil"/>
              <w:left w:val="nil"/>
              <w:bottom w:val="single" w:sz="4" w:space="0" w:color="auto"/>
              <w:right w:val="single" w:sz="4" w:space="0" w:color="auto"/>
            </w:tcBorders>
            <w:shd w:val="clear" w:color="auto" w:fill="auto"/>
            <w:vAlign w:val="center"/>
            <w:hideMark/>
          </w:tcPr>
          <w:p w14:paraId="519B23A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w:t>
            </w:r>
          </w:p>
        </w:tc>
        <w:tc>
          <w:tcPr>
            <w:tcW w:w="576" w:type="dxa"/>
            <w:tcBorders>
              <w:top w:val="nil"/>
              <w:left w:val="nil"/>
              <w:bottom w:val="single" w:sz="4" w:space="0" w:color="auto"/>
              <w:right w:val="single" w:sz="4" w:space="0" w:color="auto"/>
            </w:tcBorders>
            <w:shd w:val="clear" w:color="auto" w:fill="auto"/>
            <w:vAlign w:val="center"/>
            <w:hideMark/>
          </w:tcPr>
          <w:p w14:paraId="519B23A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w:t>
            </w:r>
          </w:p>
        </w:tc>
        <w:tc>
          <w:tcPr>
            <w:tcW w:w="576" w:type="dxa"/>
            <w:tcBorders>
              <w:top w:val="nil"/>
              <w:left w:val="nil"/>
              <w:bottom w:val="single" w:sz="4" w:space="0" w:color="auto"/>
              <w:right w:val="single" w:sz="4" w:space="0" w:color="auto"/>
            </w:tcBorders>
            <w:shd w:val="clear" w:color="auto" w:fill="auto"/>
            <w:vAlign w:val="center"/>
            <w:hideMark/>
          </w:tcPr>
          <w:p w14:paraId="519B23A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w:t>
            </w:r>
          </w:p>
        </w:tc>
        <w:tc>
          <w:tcPr>
            <w:tcW w:w="576" w:type="dxa"/>
            <w:tcBorders>
              <w:top w:val="nil"/>
              <w:left w:val="nil"/>
              <w:bottom w:val="single" w:sz="4" w:space="0" w:color="auto"/>
              <w:right w:val="single" w:sz="4" w:space="0" w:color="auto"/>
            </w:tcBorders>
            <w:shd w:val="clear" w:color="auto" w:fill="auto"/>
            <w:vAlign w:val="center"/>
            <w:hideMark/>
          </w:tcPr>
          <w:p w14:paraId="519B23A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w:t>
            </w:r>
          </w:p>
        </w:tc>
        <w:tc>
          <w:tcPr>
            <w:tcW w:w="576" w:type="dxa"/>
            <w:tcBorders>
              <w:top w:val="nil"/>
              <w:left w:val="nil"/>
              <w:bottom w:val="single" w:sz="4" w:space="0" w:color="auto"/>
              <w:right w:val="single" w:sz="4" w:space="0" w:color="auto"/>
            </w:tcBorders>
            <w:shd w:val="clear" w:color="auto" w:fill="auto"/>
            <w:vAlign w:val="center"/>
            <w:hideMark/>
          </w:tcPr>
          <w:p w14:paraId="519B23A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w:t>
            </w:r>
          </w:p>
        </w:tc>
      </w:tr>
      <w:tr w:rsidR="00E2603D" w:rsidRPr="008E63BB" w14:paraId="519B23B8"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3A7"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3A8"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3A9"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3A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54.05</w:t>
            </w:r>
          </w:p>
        </w:tc>
        <w:tc>
          <w:tcPr>
            <w:tcW w:w="576" w:type="dxa"/>
            <w:tcBorders>
              <w:top w:val="nil"/>
              <w:left w:val="nil"/>
              <w:bottom w:val="single" w:sz="4" w:space="0" w:color="auto"/>
              <w:right w:val="single" w:sz="4" w:space="0" w:color="auto"/>
            </w:tcBorders>
            <w:shd w:val="clear" w:color="auto" w:fill="auto"/>
            <w:vAlign w:val="center"/>
            <w:hideMark/>
          </w:tcPr>
          <w:p w14:paraId="519B23A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58.34</w:t>
            </w:r>
          </w:p>
        </w:tc>
        <w:tc>
          <w:tcPr>
            <w:tcW w:w="576" w:type="dxa"/>
            <w:tcBorders>
              <w:top w:val="nil"/>
              <w:left w:val="nil"/>
              <w:bottom w:val="single" w:sz="4" w:space="0" w:color="auto"/>
              <w:right w:val="single" w:sz="4" w:space="0" w:color="auto"/>
            </w:tcBorders>
            <w:shd w:val="clear" w:color="auto" w:fill="auto"/>
            <w:vAlign w:val="center"/>
            <w:hideMark/>
          </w:tcPr>
          <w:p w14:paraId="519B23A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54.70</w:t>
            </w:r>
          </w:p>
        </w:tc>
        <w:tc>
          <w:tcPr>
            <w:tcW w:w="576" w:type="dxa"/>
            <w:tcBorders>
              <w:top w:val="nil"/>
              <w:left w:val="nil"/>
              <w:bottom w:val="single" w:sz="4" w:space="0" w:color="auto"/>
              <w:right w:val="single" w:sz="4" w:space="0" w:color="auto"/>
            </w:tcBorders>
            <w:shd w:val="clear" w:color="auto" w:fill="auto"/>
            <w:vAlign w:val="center"/>
            <w:hideMark/>
          </w:tcPr>
          <w:p w14:paraId="519B23A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60.81</w:t>
            </w:r>
          </w:p>
        </w:tc>
        <w:tc>
          <w:tcPr>
            <w:tcW w:w="576" w:type="dxa"/>
            <w:tcBorders>
              <w:top w:val="nil"/>
              <w:left w:val="nil"/>
              <w:bottom w:val="single" w:sz="4" w:space="0" w:color="auto"/>
              <w:right w:val="single" w:sz="4" w:space="0" w:color="auto"/>
            </w:tcBorders>
            <w:shd w:val="clear" w:color="auto" w:fill="auto"/>
            <w:vAlign w:val="center"/>
            <w:hideMark/>
          </w:tcPr>
          <w:p w14:paraId="519B23A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64.41</w:t>
            </w:r>
          </w:p>
        </w:tc>
        <w:tc>
          <w:tcPr>
            <w:tcW w:w="576" w:type="dxa"/>
            <w:tcBorders>
              <w:top w:val="nil"/>
              <w:left w:val="nil"/>
              <w:bottom w:val="single" w:sz="4" w:space="0" w:color="auto"/>
              <w:right w:val="single" w:sz="4" w:space="0" w:color="auto"/>
            </w:tcBorders>
            <w:shd w:val="clear" w:color="auto" w:fill="auto"/>
            <w:vAlign w:val="center"/>
            <w:hideMark/>
          </w:tcPr>
          <w:p w14:paraId="519B23A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63.25</w:t>
            </w:r>
          </w:p>
        </w:tc>
        <w:tc>
          <w:tcPr>
            <w:tcW w:w="576" w:type="dxa"/>
            <w:tcBorders>
              <w:top w:val="nil"/>
              <w:left w:val="nil"/>
              <w:bottom w:val="single" w:sz="4" w:space="0" w:color="auto"/>
              <w:right w:val="single" w:sz="4" w:space="0" w:color="auto"/>
            </w:tcBorders>
            <w:shd w:val="clear" w:color="auto" w:fill="auto"/>
            <w:vAlign w:val="center"/>
            <w:hideMark/>
          </w:tcPr>
          <w:p w14:paraId="519B23B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59.55</w:t>
            </w:r>
          </w:p>
        </w:tc>
        <w:tc>
          <w:tcPr>
            <w:tcW w:w="576" w:type="dxa"/>
            <w:tcBorders>
              <w:top w:val="nil"/>
              <w:left w:val="nil"/>
              <w:bottom w:val="single" w:sz="4" w:space="0" w:color="auto"/>
              <w:right w:val="single" w:sz="4" w:space="0" w:color="auto"/>
            </w:tcBorders>
            <w:shd w:val="clear" w:color="auto" w:fill="auto"/>
            <w:vAlign w:val="center"/>
            <w:hideMark/>
          </w:tcPr>
          <w:p w14:paraId="519B23B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63.51</w:t>
            </w:r>
          </w:p>
        </w:tc>
        <w:tc>
          <w:tcPr>
            <w:tcW w:w="576" w:type="dxa"/>
            <w:tcBorders>
              <w:top w:val="nil"/>
              <w:left w:val="nil"/>
              <w:bottom w:val="single" w:sz="4" w:space="0" w:color="auto"/>
              <w:right w:val="single" w:sz="4" w:space="0" w:color="auto"/>
            </w:tcBorders>
            <w:shd w:val="clear" w:color="auto" w:fill="auto"/>
            <w:vAlign w:val="center"/>
            <w:hideMark/>
          </w:tcPr>
          <w:p w14:paraId="519B23B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62.16</w:t>
            </w:r>
          </w:p>
        </w:tc>
        <w:tc>
          <w:tcPr>
            <w:tcW w:w="576" w:type="dxa"/>
            <w:tcBorders>
              <w:top w:val="nil"/>
              <w:left w:val="nil"/>
              <w:bottom w:val="single" w:sz="4" w:space="0" w:color="auto"/>
              <w:right w:val="single" w:sz="4" w:space="0" w:color="auto"/>
            </w:tcBorders>
            <w:shd w:val="clear" w:color="auto" w:fill="auto"/>
            <w:vAlign w:val="center"/>
            <w:hideMark/>
          </w:tcPr>
          <w:p w14:paraId="519B23B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65.75</w:t>
            </w:r>
          </w:p>
        </w:tc>
        <w:tc>
          <w:tcPr>
            <w:tcW w:w="576" w:type="dxa"/>
            <w:tcBorders>
              <w:top w:val="nil"/>
              <w:left w:val="nil"/>
              <w:bottom w:val="single" w:sz="4" w:space="0" w:color="auto"/>
              <w:right w:val="single" w:sz="4" w:space="0" w:color="auto"/>
            </w:tcBorders>
            <w:shd w:val="clear" w:color="auto" w:fill="auto"/>
            <w:vAlign w:val="center"/>
            <w:hideMark/>
          </w:tcPr>
          <w:p w14:paraId="519B23B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65.60</w:t>
            </w:r>
          </w:p>
        </w:tc>
        <w:tc>
          <w:tcPr>
            <w:tcW w:w="576" w:type="dxa"/>
            <w:tcBorders>
              <w:top w:val="nil"/>
              <w:left w:val="nil"/>
              <w:bottom w:val="single" w:sz="4" w:space="0" w:color="auto"/>
              <w:right w:val="single" w:sz="4" w:space="0" w:color="auto"/>
            </w:tcBorders>
            <w:shd w:val="clear" w:color="auto" w:fill="auto"/>
            <w:vAlign w:val="center"/>
            <w:hideMark/>
          </w:tcPr>
          <w:p w14:paraId="519B23B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70.69</w:t>
            </w:r>
          </w:p>
        </w:tc>
        <w:tc>
          <w:tcPr>
            <w:tcW w:w="576" w:type="dxa"/>
            <w:tcBorders>
              <w:top w:val="nil"/>
              <w:left w:val="nil"/>
              <w:bottom w:val="single" w:sz="4" w:space="0" w:color="auto"/>
              <w:right w:val="single" w:sz="4" w:space="0" w:color="auto"/>
            </w:tcBorders>
            <w:shd w:val="clear" w:color="auto" w:fill="auto"/>
            <w:vAlign w:val="center"/>
            <w:hideMark/>
          </w:tcPr>
          <w:p w14:paraId="519B23B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70.36</w:t>
            </w:r>
          </w:p>
        </w:tc>
        <w:tc>
          <w:tcPr>
            <w:tcW w:w="576" w:type="dxa"/>
            <w:tcBorders>
              <w:top w:val="nil"/>
              <w:left w:val="nil"/>
              <w:bottom w:val="single" w:sz="4" w:space="0" w:color="auto"/>
              <w:right w:val="single" w:sz="4" w:space="0" w:color="auto"/>
            </w:tcBorders>
            <w:shd w:val="clear" w:color="auto" w:fill="auto"/>
            <w:vAlign w:val="center"/>
            <w:hideMark/>
          </w:tcPr>
          <w:p w14:paraId="519B23B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73.40</w:t>
            </w:r>
          </w:p>
        </w:tc>
      </w:tr>
      <w:tr w:rsidR="00E2603D" w:rsidRPr="008E63BB" w14:paraId="519B23CA"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3B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3B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Bắc Ninh</w:t>
            </w:r>
          </w:p>
        </w:tc>
        <w:tc>
          <w:tcPr>
            <w:tcW w:w="904" w:type="dxa"/>
            <w:tcBorders>
              <w:top w:val="nil"/>
              <w:left w:val="nil"/>
              <w:bottom w:val="single" w:sz="4" w:space="0" w:color="auto"/>
              <w:right w:val="single" w:sz="4" w:space="0" w:color="auto"/>
            </w:tcBorders>
            <w:shd w:val="clear" w:color="auto" w:fill="auto"/>
            <w:noWrap/>
            <w:vAlign w:val="bottom"/>
            <w:hideMark/>
          </w:tcPr>
          <w:p w14:paraId="519B23BB"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3B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14</w:t>
            </w:r>
          </w:p>
        </w:tc>
        <w:tc>
          <w:tcPr>
            <w:tcW w:w="576" w:type="dxa"/>
            <w:tcBorders>
              <w:top w:val="nil"/>
              <w:left w:val="nil"/>
              <w:bottom w:val="single" w:sz="4" w:space="0" w:color="auto"/>
              <w:right w:val="single" w:sz="4" w:space="0" w:color="auto"/>
            </w:tcBorders>
            <w:shd w:val="clear" w:color="auto" w:fill="auto"/>
            <w:vAlign w:val="center"/>
            <w:hideMark/>
          </w:tcPr>
          <w:p w14:paraId="519B23B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19</w:t>
            </w:r>
          </w:p>
        </w:tc>
        <w:tc>
          <w:tcPr>
            <w:tcW w:w="576" w:type="dxa"/>
            <w:tcBorders>
              <w:top w:val="nil"/>
              <w:left w:val="nil"/>
              <w:bottom w:val="single" w:sz="4" w:space="0" w:color="auto"/>
              <w:right w:val="single" w:sz="4" w:space="0" w:color="auto"/>
            </w:tcBorders>
            <w:shd w:val="clear" w:color="auto" w:fill="auto"/>
            <w:vAlign w:val="center"/>
            <w:hideMark/>
          </w:tcPr>
          <w:p w14:paraId="519B23B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16</w:t>
            </w:r>
          </w:p>
        </w:tc>
        <w:tc>
          <w:tcPr>
            <w:tcW w:w="576" w:type="dxa"/>
            <w:tcBorders>
              <w:top w:val="nil"/>
              <w:left w:val="nil"/>
              <w:bottom w:val="single" w:sz="4" w:space="0" w:color="auto"/>
              <w:right w:val="single" w:sz="4" w:space="0" w:color="auto"/>
            </w:tcBorders>
            <w:shd w:val="clear" w:color="auto" w:fill="auto"/>
            <w:vAlign w:val="center"/>
            <w:hideMark/>
          </w:tcPr>
          <w:p w14:paraId="519B23B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10</w:t>
            </w:r>
          </w:p>
        </w:tc>
        <w:tc>
          <w:tcPr>
            <w:tcW w:w="576" w:type="dxa"/>
            <w:tcBorders>
              <w:top w:val="nil"/>
              <w:left w:val="nil"/>
              <w:bottom w:val="single" w:sz="4" w:space="0" w:color="auto"/>
              <w:right w:val="single" w:sz="4" w:space="0" w:color="auto"/>
            </w:tcBorders>
            <w:shd w:val="clear" w:color="auto" w:fill="auto"/>
            <w:vAlign w:val="center"/>
            <w:hideMark/>
          </w:tcPr>
          <w:p w14:paraId="519B23C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w:t>
            </w:r>
          </w:p>
        </w:tc>
        <w:tc>
          <w:tcPr>
            <w:tcW w:w="576" w:type="dxa"/>
            <w:tcBorders>
              <w:top w:val="nil"/>
              <w:left w:val="nil"/>
              <w:bottom w:val="single" w:sz="4" w:space="0" w:color="auto"/>
              <w:right w:val="single" w:sz="4" w:space="0" w:color="auto"/>
            </w:tcBorders>
            <w:shd w:val="clear" w:color="auto" w:fill="auto"/>
            <w:vAlign w:val="center"/>
            <w:hideMark/>
          </w:tcPr>
          <w:p w14:paraId="519B23C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w:t>
            </w:r>
          </w:p>
        </w:tc>
        <w:tc>
          <w:tcPr>
            <w:tcW w:w="576" w:type="dxa"/>
            <w:tcBorders>
              <w:top w:val="nil"/>
              <w:left w:val="nil"/>
              <w:bottom w:val="single" w:sz="4" w:space="0" w:color="auto"/>
              <w:right w:val="single" w:sz="4" w:space="0" w:color="auto"/>
            </w:tcBorders>
            <w:shd w:val="clear" w:color="auto" w:fill="auto"/>
            <w:vAlign w:val="center"/>
            <w:hideMark/>
          </w:tcPr>
          <w:p w14:paraId="519B23C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10</w:t>
            </w:r>
          </w:p>
        </w:tc>
        <w:tc>
          <w:tcPr>
            <w:tcW w:w="576" w:type="dxa"/>
            <w:tcBorders>
              <w:top w:val="nil"/>
              <w:left w:val="nil"/>
              <w:bottom w:val="single" w:sz="4" w:space="0" w:color="auto"/>
              <w:right w:val="single" w:sz="4" w:space="0" w:color="auto"/>
            </w:tcBorders>
            <w:shd w:val="clear" w:color="auto" w:fill="auto"/>
            <w:vAlign w:val="center"/>
            <w:hideMark/>
          </w:tcPr>
          <w:p w14:paraId="519B23C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12</w:t>
            </w:r>
          </w:p>
        </w:tc>
        <w:tc>
          <w:tcPr>
            <w:tcW w:w="576" w:type="dxa"/>
            <w:tcBorders>
              <w:top w:val="nil"/>
              <w:left w:val="nil"/>
              <w:bottom w:val="single" w:sz="4" w:space="0" w:color="auto"/>
              <w:right w:val="single" w:sz="4" w:space="0" w:color="auto"/>
            </w:tcBorders>
            <w:shd w:val="clear" w:color="auto" w:fill="auto"/>
            <w:vAlign w:val="center"/>
            <w:hideMark/>
          </w:tcPr>
          <w:p w14:paraId="519B23C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10</w:t>
            </w:r>
          </w:p>
        </w:tc>
        <w:tc>
          <w:tcPr>
            <w:tcW w:w="576" w:type="dxa"/>
            <w:tcBorders>
              <w:top w:val="nil"/>
              <w:left w:val="nil"/>
              <w:bottom w:val="single" w:sz="4" w:space="0" w:color="auto"/>
              <w:right w:val="single" w:sz="4" w:space="0" w:color="auto"/>
            </w:tcBorders>
            <w:shd w:val="clear" w:color="auto" w:fill="auto"/>
            <w:vAlign w:val="center"/>
            <w:hideMark/>
          </w:tcPr>
          <w:p w14:paraId="519B23C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13</w:t>
            </w:r>
          </w:p>
        </w:tc>
        <w:tc>
          <w:tcPr>
            <w:tcW w:w="576" w:type="dxa"/>
            <w:tcBorders>
              <w:top w:val="nil"/>
              <w:left w:val="nil"/>
              <w:bottom w:val="single" w:sz="4" w:space="0" w:color="auto"/>
              <w:right w:val="single" w:sz="4" w:space="0" w:color="auto"/>
            </w:tcBorders>
            <w:shd w:val="clear" w:color="auto" w:fill="auto"/>
            <w:vAlign w:val="center"/>
            <w:hideMark/>
          </w:tcPr>
          <w:p w14:paraId="519B23C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17</w:t>
            </w:r>
          </w:p>
        </w:tc>
        <w:tc>
          <w:tcPr>
            <w:tcW w:w="576" w:type="dxa"/>
            <w:tcBorders>
              <w:top w:val="nil"/>
              <w:left w:val="nil"/>
              <w:bottom w:val="single" w:sz="4" w:space="0" w:color="auto"/>
              <w:right w:val="single" w:sz="4" w:space="0" w:color="auto"/>
            </w:tcBorders>
            <w:shd w:val="clear" w:color="auto" w:fill="auto"/>
            <w:vAlign w:val="center"/>
            <w:hideMark/>
          </w:tcPr>
          <w:p w14:paraId="519B23C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17</w:t>
            </w:r>
          </w:p>
        </w:tc>
        <w:tc>
          <w:tcPr>
            <w:tcW w:w="576" w:type="dxa"/>
            <w:tcBorders>
              <w:top w:val="nil"/>
              <w:left w:val="nil"/>
              <w:bottom w:val="single" w:sz="4" w:space="0" w:color="auto"/>
              <w:right w:val="single" w:sz="4" w:space="0" w:color="auto"/>
            </w:tcBorders>
            <w:shd w:val="clear" w:color="auto" w:fill="auto"/>
            <w:vAlign w:val="center"/>
            <w:hideMark/>
          </w:tcPr>
          <w:p w14:paraId="519B23C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15</w:t>
            </w:r>
          </w:p>
        </w:tc>
        <w:tc>
          <w:tcPr>
            <w:tcW w:w="576" w:type="dxa"/>
            <w:tcBorders>
              <w:top w:val="nil"/>
              <w:left w:val="nil"/>
              <w:bottom w:val="single" w:sz="4" w:space="0" w:color="auto"/>
              <w:right w:val="single" w:sz="4" w:space="0" w:color="auto"/>
            </w:tcBorders>
            <w:shd w:val="clear" w:color="auto" w:fill="auto"/>
            <w:vAlign w:val="center"/>
            <w:hideMark/>
          </w:tcPr>
          <w:p w14:paraId="519B23C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w:t>
            </w:r>
          </w:p>
        </w:tc>
      </w:tr>
      <w:tr w:rsidR="00E2603D" w:rsidRPr="008E63BB" w14:paraId="519B23DC"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3CB"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3CC"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3CD"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3C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56.47</w:t>
            </w:r>
          </w:p>
        </w:tc>
        <w:tc>
          <w:tcPr>
            <w:tcW w:w="576" w:type="dxa"/>
            <w:tcBorders>
              <w:top w:val="nil"/>
              <w:left w:val="nil"/>
              <w:bottom w:val="single" w:sz="4" w:space="0" w:color="auto"/>
              <w:right w:val="single" w:sz="4" w:space="0" w:color="auto"/>
            </w:tcBorders>
            <w:shd w:val="clear" w:color="auto" w:fill="auto"/>
            <w:vAlign w:val="center"/>
            <w:hideMark/>
          </w:tcPr>
          <w:p w14:paraId="519B23C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58.96</w:t>
            </w:r>
          </w:p>
        </w:tc>
        <w:tc>
          <w:tcPr>
            <w:tcW w:w="576" w:type="dxa"/>
            <w:tcBorders>
              <w:top w:val="nil"/>
              <w:left w:val="nil"/>
              <w:bottom w:val="single" w:sz="4" w:space="0" w:color="auto"/>
              <w:right w:val="single" w:sz="4" w:space="0" w:color="auto"/>
            </w:tcBorders>
            <w:shd w:val="clear" w:color="auto" w:fill="auto"/>
            <w:vAlign w:val="center"/>
            <w:hideMark/>
          </w:tcPr>
          <w:p w14:paraId="519B23D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59.57</w:t>
            </w:r>
          </w:p>
        </w:tc>
        <w:tc>
          <w:tcPr>
            <w:tcW w:w="576" w:type="dxa"/>
            <w:tcBorders>
              <w:top w:val="nil"/>
              <w:left w:val="nil"/>
              <w:bottom w:val="single" w:sz="4" w:space="0" w:color="auto"/>
              <w:right w:val="single" w:sz="4" w:space="0" w:color="auto"/>
            </w:tcBorders>
            <w:shd w:val="clear" w:color="auto" w:fill="auto"/>
            <w:vAlign w:val="center"/>
            <w:hideMark/>
          </w:tcPr>
          <w:p w14:paraId="519B23D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65.70</w:t>
            </w:r>
          </w:p>
        </w:tc>
        <w:tc>
          <w:tcPr>
            <w:tcW w:w="576" w:type="dxa"/>
            <w:tcBorders>
              <w:top w:val="nil"/>
              <w:left w:val="nil"/>
              <w:bottom w:val="single" w:sz="4" w:space="0" w:color="auto"/>
              <w:right w:val="single" w:sz="4" w:space="0" w:color="auto"/>
            </w:tcBorders>
            <w:shd w:val="clear" w:color="auto" w:fill="auto"/>
            <w:vAlign w:val="center"/>
            <w:hideMark/>
          </w:tcPr>
          <w:p w14:paraId="519B23D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64.48</w:t>
            </w:r>
          </w:p>
        </w:tc>
        <w:tc>
          <w:tcPr>
            <w:tcW w:w="576" w:type="dxa"/>
            <w:tcBorders>
              <w:top w:val="nil"/>
              <w:left w:val="nil"/>
              <w:bottom w:val="single" w:sz="4" w:space="0" w:color="auto"/>
              <w:right w:val="single" w:sz="4" w:space="0" w:color="auto"/>
            </w:tcBorders>
            <w:shd w:val="clear" w:color="auto" w:fill="auto"/>
            <w:vAlign w:val="center"/>
            <w:hideMark/>
          </w:tcPr>
          <w:p w14:paraId="519B23D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67.27</w:t>
            </w:r>
          </w:p>
        </w:tc>
        <w:tc>
          <w:tcPr>
            <w:tcW w:w="576" w:type="dxa"/>
            <w:tcBorders>
              <w:top w:val="nil"/>
              <w:left w:val="nil"/>
              <w:bottom w:val="single" w:sz="4" w:space="0" w:color="auto"/>
              <w:right w:val="single" w:sz="4" w:space="0" w:color="auto"/>
            </w:tcBorders>
            <w:shd w:val="clear" w:color="auto" w:fill="auto"/>
            <w:vAlign w:val="center"/>
            <w:hideMark/>
          </w:tcPr>
          <w:p w14:paraId="519B23D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62.26</w:t>
            </w:r>
          </w:p>
        </w:tc>
        <w:tc>
          <w:tcPr>
            <w:tcW w:w="576" w:type="dxa"/>
            <w:tcBorders>
              <w:top w:val="nil"/>
              <w:left w:val="nil"/>
              <w:bottom w:val="single" w:sz="4" w:space="0" w:color="auto"/>
              <w:right w:val="single" w:sz="4" w:space="0" w:color="auto"/>
            </w:tcBorders>
            <w:shd w:val="clear" w:color="auto" w:fill="auto"/>
            <w:vAlign w:val="center"/>
            <w:hideMark/>
          </w:tcPr>
          <w:p w14:paraId="519B23D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61.07</w:t>
            </w:r>
          </w:p>
        </w:tc>
        <w:tc>
          <w:tcPr>
            <w:tcW w:w="576" w:type="dxa"/>
            <w:tcBorders>
              <w:top w:val="nil"/>
              <w:left w:val="nil"/>
              <w:bottom w:val="single" w:sz="4" w:space="0" w:color="auto"/>
              <w:right w:val="single" w:sz="4" w:space="0" w:color="auto"/>
            </w:tcBorders>
            <w:shd w:val="clear" w:color="auto" w:fill="auto"/>
            <w:vAlign w:val="center"/>
            <w:hideMark/>
          </w:tcPr>
          <w:p w14:paraId="519B23D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60.92</w:t>
            </w:r>
          </w:p>
        </w:tc>
        <w:tc>
          <w:tcPr>
            <w:tcW w:w="576" w:type="dxa"/>
            <w:tcBorders>
              <w:top w:val="nil"/>
              <w:left w:val="nil"/>
              <w:bottom w:val="single" w:sz="4" w:space="0" w:color="auto"/>
              <w:right w:val="single" w:sz="4" w:space="0" w:color="auto"/>
            </w:tcBorders>
            <w:shd w:val="clear" w:color="auto" w:fill="auto"/>
            <w:vAlign w:val="center"/>
            <w:hideMark/>
          </w:tcPr>
          <w:p w14:paraId="519B23D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59.91</w:t>
            </w:r>
          </w:p>
        </w:tc>
        <w:tc>
          <w:tcPr>
            <w:tcW w:w="576" w:type="dxa"/>
            <w:tcBorders>
              <w:top w:val="nil"/>
              <w:left w:val="nil"/>
              <w:bottom w:val="single" w:sz="4" w:space="0" w:color="auto"/>
              <w:right w:val="single" w:sz="4" w:space="0" w:color="auto"/>
            </w:tcBorders>
            <w:shd w:val="clear" w:color="auto" w:fill="auto"/>
            <w:vAlign w:val="center"/>
            <w:hideMark/>
          </w:tcPr>
          <w:p w14:paraId="519B23D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60.35</w:t>
            </w:r>
          </w:p>
        </w:tc>
        <w:tc>
          <w:tcPr>
            <w:tcW w:w="576" w:type="dxa"/>
            <w:tcBorders>
              <w:top w:val="nil"/>
              <w:left w:val="nil"/>
              <w:bottom w:val="single" w:sz="4" w:space="0" w:color="auto"/>
              <w:right w:val="single" w:sz="4" w:space="0" w:color="auto"/>
            </w:tcBorders>
            <w:shd w:val="clear" w:color="auto" w:fill="auto"/>
            <w:vAlign w:val="center"/>
            <w:hideMark/>
          </w:tcPr>
          <w:p w14:paraId="519B23D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64.36</w:t>
            </w:r>
          </w:p>
        </w:tc>
        <w:tc>
          <w:tcPr>
            <w:tcW w:w="576" w:type="dxa"/>
            <w:tcBorders>
              <w:top w:val="nil"/>
              <w:left w:val="nil"/>
              <w:bottom w:val="single" w:sz="4" w:space="0" w:color="auto"/>
              <w:right w:val="single" w:sz="4" w:space="0" w:color="auto"/>
            </w:tcBorders>
            <w:shd w:val="clear" w:color="auto" w:fill="auto"/>
            <w:vAlign w:val="center"/>
            <w:hideMark/>
          </w:tcPr>
          <w:p w14:paraId="519B23D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64.50</w:t>
            </w:r>
          </w:p>
        </w:tc>
        <w:tc>
          <w:tcPr>
            <w:tcW w:w="576" w:type="dxa"/>
            <w:tcBorders>
              <w:top w:val="nil"/>
              <w:left w:val="nil"/>
              <w:bottom w:val="single" w:sz="4" w:space="0" w:color="auto"/>
              <w:right w:val="single" w:sz="4" w:space="0" w:color="auto"/>
            </w:tcBorders>
            <w:shd w:val="clear" w:color="auto" w:fill="auto"/>
            <w:vAlign w:val="center"/>
            <w:hideMark/>
          </w:tcPr>
          <w:p w14:paraId="519B23D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70.79</w:t>
            </w:r>
          </w:p>
        </w:tc>
      </w:tr>
      <w:tr w:rsidR="00E2603D" w:rsidRPr="008E63BB" w14:paraId="519B23EE"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3D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3D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Vĩnh Phúc</w:t>
            </w:r>
          </w:p>
        </w:tc>
        <w:tc>
          <w:tcPr>
            <w:tcW w:w="904" w:type="dxa"/>
            <w:tcBorders>
              <w:top w:val="nil"/>
              <w:left w:val="nil"/>
              <w:bottom w:val="single" w:sz="4" w:space="0" w:color="auto"/>
              <w:right w:val="single" w:sz="4" w:space="0" w:color="auto"/>
            </w:tcBorders>
            <w:shd w:val="clear" w:color="auto" w:fill="auto"/>
            <w:noWrap/>
            <w:vAlign w:val="bottom"/>
            <w:hideMark/>
          </w:tcPr>
          <w:p w14:paraId="519B23DF"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3E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8</w:t>
            </w:r>
          </w:p>
        </w:tc>
        <w:tc>
          <w:tcPr>
            <w:tcW w:w="576" w:type="dxa"/>
            <w:tcBorders>
              <w:top w:val="nil"/>
              <w:left w:val="nil"/>
              <w:bottom w:val="single" w:sz="4" w:space="0" w:color="auto"/>
              <w:right w:val="single" w:sz="4" w:space="0" w:color="auto"/>
            </w:tcBorders>
            <w:shd w:val="clear" w:color="auto" w:fill="auto"/>
            <w:vAlign w:val="center"/>
            <w:hideMark/>
          </w:tcPr>
          <w:p w14:paraId="519B23E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w:t>
            </w:r>
          </w:p>
        </w:tc>
        <w:tc>
          <w:tcPr>
            <w:tcW w:w="576" w:type="dxa"/>
            <w:tcBorders>
              <w:top w:val="nil"/>
              <w:left w:val="nil"/>
              <w:bottom w:val="single" w:sz="4" w:space="0" w:color="auto"/>
              <w:right w:val="single" w:sz="4" w:space="0" w:color="auto"/>
            </w:tcBorders>
            <w:shd w:val="clear" w:color="auto" w:fill="auto"/>
            <w:vAlign w:val="center"/>
            <w:hideMark/>
          </w:tcPr>
          <w:p w14:paraId="519B23E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w:t>
            </w:r>
          </w:p>
        </w:tc>
        <w:tc>
          <w:tcPr>
            <w:tcW w:w="576" w:type="dxa"/>
            <w:tcBorders>
              <w:top w:val="nil"/>
              <w:left w:val="nil"/>
              <w:bottom w:val="single" w:sz="4" w:space="0" w:color="auto"/>
              <w:right w:val="single" w:sz="4" w:space="0" w:color="auto"/>
            </w:tcBorders>
            <w:shd w:val="clear" w:color="auto" w:fill="auto"/>
            <w:vAlign w:val="center"/>
            <w:hideMark/>
          </w:tcPr>
          <w:p w14:paraId="519B23E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w:t>
            </w:r>
          </w:p>
        </w:tc>
        <w:tc>
          <w:tcPr>
            <w:tcW w:w="576" w:type="dxa"/>
            <w:tcBorders>
              <w:top w:val="nil"/>
              <w:left w:val="nil"/>
              <w:bottom w:val="single" w:sz="4" w:space="0" w:color="auto"/>
              <w:right w:val="single" w:sz="4" w:space="0" w:color="auto"/>
            </w:tcBorders>
            <w:shd w:val="clear" w:color="auto" w:fill="auto"/>
            <w:vAlign w:val="center"/>
            <w:hideMark/>
          </w:tcPr>
          <w:p w14:paraId="519B23E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15</w:t>
            </w:r>
          </w:p>
        </w:tc>
        <w:tc>
          <w:tcPr>
            <w:tcW w:w="576" w:type="dxa"/>
            <w:tcBorders>
              <w:top w:val="nil"/>
              <w:left w:val="nil"/>
              <w:bottom w:val="single" w:sz="4" w:space="0" w:color="auto"/>
              <w:right w:val="single" w:sz="4" w:space="0" w:color="auto"/>
            </w:tcBorders>
            <w:shd w:val="clear" w:color="auto" w:fill="auto"/>
            <w:vAlign w:val="center"/>
            <w:hideMark/>
          </w:tcPr>
          <w:p w14:paraId="519B23E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17</w:t>
            </w:r>
          </w:p>
        </w:tc>
        <w:tc>
          <w:tcPr>
            <w:tcW w:w="576" w:type="dxa"/>
            <w:tcBorders>
              <w:top w:val="nil"/>
              <w:left w:val="nil"/>
              <w:bottom w:val="single" w:sz="4" w:space="0" w:color="auto"/>
              <w:right w:val="single" w:sz="4" w:space="0" w:color="auto"/>
            </w:tcBorders>
            <w:shd w:val="clear" w:color="auto" w:fill="auto"/>
            <w:vAlign w:val="center"/>
            <w:hideMark/>
          </w:tcPr>
          <w:p w14:paraId="519B23E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43</w:t>
            </w:r>
          </w:p>
        </w:tc>
        <w:tc>
          <w:tcPr>
            <w:tcW w:w="576" w:type="dxa"/>
            <w:tcBorders>
              <w:top w:val="nil"/>
              <w:left w:val="nil"/>
              <w:bottom w:val="single" w:sz="4" w:space="0" w:color="auto"/>
              <w:right w:val="single" w:sz="4" w:space="0" w:color="auto"/>
            </w:tcBorders>
            <w:shd w:val="clear" w:color="auto" w:fill="auto"/>
            <w:vAlign w:val="center"/>
            <w:hideMark/>
          </w:tcPr>
          <w:p w14:paraId="519B23E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26</w:t>
            </w:r>
          </w:p>
        </w:tc>
        <w:tc>
          <w:tcPr>
            <w:tcW w:w="576" w:type="dxa"/>
            <w:tcBorders>
              <w:top w:val="nil"/>
              <w:left w:val="nil"/>
              <w:bottom w:val="single" w:sz="4" w:space="0" w:color="auto"/>
              <w:right w:val="single" w:sz="4" w:space="0" w:color="auto"/>
            </w:tcBorders>
            <w:shd w:val="clear" w:color="auto" w:fill="auto"/>
            <w:vAlign w:val="center"/>
            <w:hideMark/>
          </w:tcPr>
          <w:p w14:paraId="519B23E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w:t>
            </w:r>
          </w:p>
        </w:tc>
        <w:tc>
          <w:tcPr>
            <w:tcW w:w="576" w:type="dxa"/>
            <w:tcBorders>
              <w:top w:val="nil"/>
              <w:left w:val="nil"/>
              <w:bottom w:val="single" w:sz="4" w:space="0" w:color="auto"/>
              <w:right w:val="single" w:sz="4" w:space="0" w:color="auto"/>
            </w:tcBorders>
            <w:shd w:val="clear" w:color="auto" w:fill="auto"/>
            <w:vAlign w:val="center"/>
            <w:hideMark/>
          </w:tcPr>
          <w:p w14:paraId="519B23E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w:t>
            </w:r>
          </w:p>
        </w:tc>
        <w:tc>
          <w:tcPr>
            <w:tcW w:w="576" w:type="dxa"/>
            <w:tcBorders>
              <w:top w:val="nil"/>
              <w:left w:val="nil"/>
              <w:bottom w:val="single" w:sz="4" w:space="0" w:color="auto"/>
              <w:right w:val="single" w:sz="4" w:space="0" w:color="auto"/>
            </w:tcBorders>
            <w:shd w:val="clear" w:color="auto" w:fill="auto"/>
            <w:vAlign w:val="center"/>
            <w:hideMark/>
          </w:tcPr>
          <w:p w14:paraId="519B23E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9</w:t>
            </w:r>
          </w:p>
        </w:tc>
        <w:tc>
          <w:tcPr>
            <w:tcW w:w="576" w:type="dxa"/>
            <w:tcBorders>
              <w:top w:val="nil"/>
              <w:left w:val="nil"/>
              <w:bottom w:val="single" w:sz="4" w:space="0" w:color="auto"/>
              <w:right w:val="single" w:sz="4" w:space="0" w:color="auto"/>
            </w:tcBorders>
            <w:shd w:val="clear" w:color="auto" w:fill="auto"/>
            <w:vAlign w:val="center"/>
            <w:hideMark/>
          </w:tcPr>
          <w:p w14:paraId="519B23E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12</w:t>
            </w:r>
          </w:p>
        </w:tc>
        <w:tc>
          <w:tcPr>
            <w:tcW w:w="576" w:type="dxa"/>
            <w:tcBorders>
              <w:top w:val="nil"/>
              <w:left w:val="nil"/>
              <w:bottom w:val="single" w:sz="4" w:space="0" w:color="auto"/>
              <w:right w:val="single" w:sz="4" w:space="0" w:color="auto"/>
            </w:tcBorders>
            <w:shd w:val="clear" w:color="auto" w:fill="auto"/>
            <w:vAlign w:val="center"/>
            <w:hideMark/>
          </w:tcPr>
          <w:p w14:paraId="519B23E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13</w:t>
            </w:r>
          </w:p>
        </w:tc>
        <w:tc>
          <w:tcPr>
            <w:tcW w:w="576" w:type="dxa"/>
            <w:tcBorders>
              <w:top w:val="nil"/>
              <w:left w:val="nil"/>
              <w:bottom w:val="single" w:sz="4" w:space="0" w:color="auto"/>
              <w:right w:val="single" w:sz="4" w:space="0" w:color="auto"/>
            </w:tcBorders>
            <w:shd w:val="clear" w:color="auto" w:fill="auto"/>
            <w:vAlign w:val="center"/>
            <w:hideMark/>
          </w:tcPr>
          <w:p w14:paraId="519B23E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17</w:t>
            </w:r>
          </w:p>
        </w:tc>
      </w:tr>
      <w:tr w:rsidR="00E2603D" w:rsidRPr="008E63BB" w14:paraId="519B2400"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3EF"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3F0"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3F1"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3F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61.40</w:t>
            </w:r>
          </w:p>
        </w:tc>
        <w:tc>
          <w:tcPr>
            <w:tcW w:w="576" w:type="dxa"/>
            <w:tcBorders>
              <w:top w:val="nil"/>
              <w:left w:val="nil"/>
              <w:bottom w:val="single" w:sz="4" w:space="0" w:color="auto"/>
              <w:right w:val="single" w:sz="4" w:space="0" w:color="auto"/>
            </w:tcBorders>
            <w:shd w:val="clear" w:color="auto" w:fill="auto"/>
            <w:vAlign w:val="center"/>
            <w:hideMark/>
          </w:tcPr>
          <w:p w14:paraId="519B23F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66.06</w:t>
            </w:r>
          </w:p>
        </w:tc>
        <w:tc>
          <w:tcPr>
            <w:tcW w:w="576" w:type="dxa"/>
            <w:tcBorders>
              <w:top w:val="nil"/>
              <w:left w:val="nil"/>
              <w:bottom w:val="single" w:sz="4" w:space="0" w:color="auto"/>
              <w:right w:val="single" w:sz="4" w:space="0" w:color="auto"/>
            </w:tcBorders>
            <w:shd w:val="clear" w:color="auto" w:fill="auto"/>
            <w:vAlign w:val="center"/>
            <w:hideMark/>
          </w:tcPr>
          <w:p w14:paraId="519B23F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69.37</w:t>
            </w:r>
          </w:p>
        </w:tc>
        <w:tc>
          <w:tcPr>
            <w:tcW w:w="576" w:type="dxa"/>
            <w:tcBorders>
              <w:top w:val="nil"/>
              <w:left w:val="nil"/>
              <w:bottom w:val="single" w:sz="4" w:space="0" w:color="auto"/>
              <w:right w:val="single" w:sz="4" w:space="0" w:color="auto"/>
            </w:tcBorders>
            <w:shd w:val="clear" w:color="auto" w:fill="auto"/>
            <w:vAlign w:val="center"/>
            <w:hideMark/>
          </w:tcPr>
          <w:p w14:paraId="519B23F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66.65</w:t>
            </w:r>
          </w:p>
        </w:tc>
        <w:tc>
          <w:tcPr>
            <w:tcW w:w="576" w:type="dxa"/>
            <w:tcBorders>
              <w:top w:val="nil"/>
              <w:left w:val="nil"/>
              <w:bottom w:val="single" w:sz="4" w:space="0" w:color="auto"/>
              <w:right w:val="single" w:sz="4" w:space="0" w:color="auto"/>
            </w:tcBorders>
            <w:shd w:val="clear" w:color="auto" w:fill="auto"/>
            <w:vAlign w:val="center"/>
            <w:hideMark/>
          </w:tcPr>
          <w:p w14:paraId="519B23F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61.73</w:t>
            </w:r>
          </w:p>
        </w:tc>
        <w:tc>
          <w:tcPr>
            <w:tcW w:w="576" w:type="dxa"/>
            <w:tcBorders>
              <w:top w:val="nil"/>
              <w:left w:val="nil"/>
              <w:bottom w:val="single" w:sz="4" w:space="0" w:color="auto"/>
              <w:right w:val="single" w:sz="4" w:space="0" w:color="auto"/>
            </w:tcBorders>
            <w:shd w:val="clear" w:color="auto" w:fill="auto"/>
            <w:vAlign w:val="center"/>
            <w:hideMark/>
          </w:tcPr>
          <w:p w14:paraId="519B23F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62.57</w:t>
            </w:r>
          </w:p>
        </w:tc>
        <w:tc>
          <w:tcPr>
            <w:tcW w:w="576" w:type="dxa"/>
            <w:tcBorders>
              <w:top w:val="nil"/>
              <w:left w:val="nil"/>
              <w:bottom w:val="single" w:sz="4" w:space="0" w:color="auto"/>
              <w:right w:val="single" w:sz="4" w:space="0" w:color="auto"/>
            </w:tcBorders>
            <w:shd w:val="clear" w:color="auto" w:fill="auto"/>
            <w:vAlign w:val="center"/>
            <w:hideMark/>
          </w:tcPr>
          <w:p w14:paraId="519B23F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55.15</w:t>
            </w:r>
          </w:p>
        </w:tc>
        <w:tc>
          <w:tcPr>
            <w:tcW w:w="576" w:type="dxa"/>
            <w:tcBorders>
              <w:top w:val="nil"/>
              <w:left w:val="nil"/>
              <w:bottom w:val="single" w:sz="4" w:space="0" w:color="auto"/>
              <w:right w:val="single" w:sz="4" w:space="0" w:color="auto"/>
            </w:tcBorders>
            <w:shd w:val="clear" w:color="auto" w:fill="auto"/>
            <w:vAlign w:val="center"/>
            <w:hideMark/>
          </w:tcPr>
          <w:p w14:paraId="519B23F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58.86</w:t>
            </w:r>
          </w:p>
        </w:tc>
        <w:tc>
          <w:tcPr>
            <w:tcW w:w="576" w:type="dxa"/>
            <w:tcBorders>
              <w:top w:val="nil"/>
              <w:left w:val="nil"/>
              <w:bottom w:val="single" w:sz="4" w:space="0" w:color="auto"/>
              <w:right w:val="single" w:sz="4" w:space="0" w:color="auto"/>
            </w:tcBorders>
            <w:shd w:val="clear" w:color="auto" w:fill="auto"/>
            <w:vAlign w:val="center"/>
            <w:hideMark/>
          </w:tcPr>
          <w:p w14:paraId="519B23F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61.81</w:t>
            </w:r>
          </w:p>
        </w:tc>
        <w:tc>
          <w:tcPr>
            <w:tcW w:w="576" w:type="dxa"/>
            <w:tcBorders>
              <w:top w:val="nil"/>
              <w:left w:val="nil"/>
              <w:bottom w:val="single" w:sz="4" w:space="0" w:color="auto"/>
              <w:right w:val="single" w:sz="4" w:space="0" w:color="auto"/>
            </w:tcBorders>
            <w:shd w:val="clear" w:color="auto" w:fill="auto"/>
            <w:vAlign w:val="center"/>
            <w:hideMark/>
          </w:tcPr>
          <w:p w14:paraId="519B23F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62.56</w:t>
            </w:r>
          </w:p>
        </w:tc>
        <w:tc>
          <w:tcPr>
            <w:tcW w:w="576" w:type="dxa"/>
            <w:tcBorders>
              <w:top w:val="nil"/>
              <w:left w:val="nil"/>
              <w:bottom w:val="single" w:sz="4" w:space="0" w:color="auto"/>
              <w:right w:val="single" w:sz="4" w:space="0" w:color="auto"/>
            </w:tcBorders>
            <w:shd w:val="clear" w:color="auto" w:fill="auto"/>
            <w:vAlign w:val="center"/>
            <w:hideMark/>
          </w:tcPr>
          <w:p w14:paraId="519B23F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61.52</w:t>
            </w:r>
          </w:p>
        </w:tc>
        <w:tc>
          <w:tcPr>
            <w:tcW w:w="576" w:type="dxa"/>
            <w:tcBorders>
              <w:top w:val="nil"/>
              <w:left w:val="nil"/>
              <w:bottom w:val="single" w:sz="4" w:space="0" w:color="auto"/>
              <w:right w:val="single" w:sz="4" w:space="0" w:color="auto"/>
            </w:tcBorders>
            <w:shd w:val="clear" w:color="auto" w:fill="auto"/>
            <w:vAlign w:val="center"/>
            <w:hideMark/>
          </w:tcPr>
          <w:p w14:paraId="519B23F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64.90</w:t>
            </w:r>
          </w:p>
        </w:tc>
        <w:tc>
          <w:tcPr>
            <w:tcW w:w="576" w:type="dxa"/>
            <w:tcBorders>
              <w:top w:val="nil"/>
              <w:left w:val="nil"/>
              <w:bottom w:val="single" w:sz="4" w:space="0" w:color="auto"/>
              <w:right w:val="single" w:sz="4" w:space="0" w:color="auto"/>
            </w:tcBorders>
            <w:shd w:val="clear" w:color="auto" w:fill="auto"/>
            <w:vAlign w:val="center"/>
            <w:hideMark/>
          </w:tcPr>
          <w:p w14:paraId="519B23F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64.55</w:t>
            </w:r>
          </w:p>
        </w:tc>
        <w:tc>
          <w:tcPr>
            <w:tcW w:w="576" w:type="dxa"/>
            <w:tcBorders>
              <w:top w:val="nil"/>
              <w:left w:val="nil"/>
              <w:bottom w:val="single" w:sz="4" w:space="0" w:color="auto"/>
              <w:right w:val="single" w:sz="4" w:space="0" w:color="auto"/>
            </w:tcBorders>
            <w:shd w:val="clear" w:color="auto" w:fill="auto"/>
            <w:vAlign w:val="center"/>
            <w:hideMark/>
          </w:tcPr>
          <w:p w14:paraId="519B23F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66.75</w:t>
            </w:r>
          </w:p>
        </w:tc>
      </w:tr>
      <w:tr w:rsidR="00E2603D" w:rsidRPr="008E63BB" w14:paraId="519B2412"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40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40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Hưng Yên</w:t>
            </w:r>
          </w:p>
        </w:tc>
        <w:tc>
          <w:tcPr>
            <w:tcW w:w="904" w:type="dxa"/>
            <w:tcBorders>
              <w:top w:val="nil"/>
              <w:left w:val="nil"/>
              <w:bottom w:val="single" w:sz="4" w:space="0" w:color="auto"/>
              <w:right w:val="single" w:sz="4" w:space="0" w:color="auto"/>
            </w:tcBorders>
            <w:shd w:val="clear" w:color="auto" w:fill="auto"/>
            <w:noWrap/>
            <w:vAlign w:val="bottom"/>
            <w:hideMark/>
          </w:tcPr>
          <w:p w14:paraId="519B2403"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40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20</w:t>
            </w:r>
          </w:p>
        </w:tc>
        <w:tc>
          <w:tcPr>
            <w:tcW w:w="576" w:type="dxa"/>
            <w:tcBorders>
              <w:top w:val="nil"/>
              <w:left w:val="nil"/>
              <w:bottom w:val="single" w:sz="4" w:space="0" w:color="auto"/>
              <w:right w:val="single" w:sz="4" w:space="0" w:color="auto"/>
            </w:tcBorders>
            <w:shd w:val="clear" w:color="auto" w:fill="auto"/>
            <w:vAlign w:val="center"/>
            <w:hideMark/>
          </w:tcPr>
          <w:p w14:paraId="519B240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25</w:t>
            </w:r>
          </w:p>
        </w:tc>
        <w:tc>
          <w:tcPr>
            <w:tcW w:w="576" w:type="dxa"/>
            <w:tcBorders>
              <w:top w:val="nil"/>
              <w:left w:val="nil"/>
              <w:bottom w:val="single" w:sz="4" w:space="0" w:color="auto"/>
              <w:right w:val="single" w:sz="4" w:space="0" w:color="auto"/>
            </w:tcBorders>
            <w:shd w:val="clear" w:color="auto" w:fill="auto"/>
            <w:vAlign w:val="center"/>
            <w:hideMark/>
          </w:tcPr>
          <w:p w14:paraId="519B240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20</w:t>
            </w:r>
          </w:p>
        </w:tc>
        <w:tc>
          <w:tcPr>
            <w:tcW w:w="576" w:type="dxa"/>
            <w:tcBorders>
              <w:top w:val="nil"/>
              <w:left w:val="nil"/>
              <w:bottom w:val="single" w:sz="4" w:space="0" w:color="auto"/>
              <w:right w:val="single" w:sz="4" w:space="0" w:color="auto"/>
            </w:tcBorders>
            <w:shd w:val="clear" w:color="auto" w:fill="auto"/>
            <w:vAlign w:val="center"/>
            <w:hideMark/>
          </w:tcPr>
          <w:p w14:paraId="519B240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24</w:t>
            </w:r>
          </w:p>
        </w:tc>
        <w:tc>
          <w:tcPr>
            <w:tcW w:w="576" w:type="dxa"/>
            <w:tcBorders>
              <w:top w:val="nil"/>
              <w:left w:val="nil"/>
              <w:bottom w:val="single" w:sz="4" w:space="0" w:color="auto"/>
              <w:right w:val="single" w:sz="4" w:space="0" w:color="auto"/>
            </w:tcBorders>
            <w:shd w:val="clear" w:color="auto" w:fill="auto"/>
            <w:vAlign w:val="center"/>
            <w:hideMark/>
          </w:tcPr>
          <w:p w14:paraId="519B240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w:t>
            </w:r>
          </w:p>
        </w:tc>
        <w:tc>
          <w:tcPr>
            <w:tcW w:w="576" w:type="dxa"/>
            <w:tcBorders>
              <w:top w:val="nil"/>
              <w:left w:val="nil"/>
              <w:bottom w:val="single" w:sz="4" w:space="0" w:color="auto"/>
              <w:right w:val="single" w:sz="4" w:space="0" w:color="auto"/>
            </w:tcBorders>
            <w:shd w:val="clear" w:color="auto" w:fill="auto"/>
            <w:vAlign w:val="center"/>
            <w:hideMark/>
          </w:tcPr>
          <w:p w14:paraId="519B240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33</w:t>
            </w:r>
          </w:p>
        </w:tc>
        <w:tc>
          <w:tcPr>
            <w:tcW w:w="576" w:type="dxa"/>
            <w:tcBorders>
              <w:top w:val="nil"/>
              <w:left w:val="nil"/>
              <w:bottom w:val="single" w:sz="4" w:space="0" w:color="auto"/>
              <w:right w:val="single" w:sz="4" w:space="0" w:color="auto"/>
            </w:tcBorders>
            <w:shd w:val="clear" w:color="auto" w:fill="auto"/>
            <w:vAlign w:val="center"/>
            <w:hideMark/>
          </w:tcPr>
          <w:p w14:paraId="519B240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28</w:t>
            </w:r>
          </w:p>
        </w:tc>
        <w:tc>
          <w:tcPr>
            <w:tcW w:w="576" w:type="dxa"/>
            <w:tcBorders>
              <w:top w:val="nil"/>
              <w:left w:val="nil"/>
              <w:bottom w:val="single" w:sz="4" w:space="0" w:color="auto"/>
              <w:right w:val="single" w:sz="4" w:space="0" w:color="auto"/>
            </w:tcBorders>
            <w:shd w:val="clear" w:color="auto" w:fill="auto"/>
            <w:vAlign w:val="center"/>
            <w:hideMark/>
          </w:tcPr>
          <w:p w14:paraId="519B240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w:t>
            </w:r>
          </w:p>
        </w:tc>
        <w:tc>
          <w:tcPr>
            <w:tcW w:w="576" w:type="dxa"/>
            <w:tcBorders>
              <w:top w:val="nil"/>
              <w:left w:val="nil"/>
              <w:bottom w:val="single" w:sz="4" w:space="0" w:color="auto"/>
              <w:right w:val="single" w:sz="4" w:space="0" w:color="auto"/>
            </w:tcBorders>
            <w:shd w:val="clear" w:color="auto" w:fill="auto"/>
            <w:vAlign w:val="center"/>
            <w:hideMark/>
          </w:tcPr>
          <w:p w14:paraId="519B240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51</w:t>
            </w:r>
          </w:p>
        </w:tc>
        <w:tc>
          <w:tcPr>
            <w:tcW w:w="576" w:type="dxa"/>
            <w:tcBorders>
              <w:top w:val="nil"/>
              <w:left w:val="nil"/>
              <w:bottom w:val="single" w:sz="4" w:space="0" w:color="auto"/>
              <w:right w:val="single" w:sz="4" w:space="0" w:color="auto"/>
            </w:tcBorders>
            <w:shd w:val="clear" w:color="auto" w:fill="auto"/>
            <w:vAlign w:val="center"/>
            <w:hideMark/>
          </w:tcPr>
          <w:p w14:paraId="519B240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w:t>
            </w:r>
          </w:p>
        </w:tc>
        <w:tc>
          <w:tcPr>
            <w:tcW w:w="576" w:type="dxa"/>
            <w:tcBorders>
              <w:top w:val="nil"/>
              <w:left w:val="nil"/>
              <w:bottom w:val="single" w:sz="4" w:space="0" w:color="auto"/>
              <w:right w:val="single" w:sz="4" w:space="0" w:color="auto"/>
            </w:tcBorders>
            <w:shd w:val="clear" w:color="auto" w:fill="auto"/>
            <w:vAlign w:val="center"/>
            <w:hideMark/>
          </w:tcPr>
          <w:p w14:paraId="519B240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50</w:t>
            </w:r>
          </w:p>
        </w:tc>
        <w:tc>
          <w:tcPr>
            <w:tcW w:w="576" w:type="dxa"/>
            <w:tcBorders>
              <w:top w:val="nil"/>
              <w:left w:val="nil"/>
              <w:bottom w:val="single" w:sz="4" w:space="0" w:color="auto"/>
              <w:right w:val="single" w:sz="4" w:space="0" w:color="auto"/>
            </w:tcBorders>
            <w:shd w:val="clear" w:color="auto" w:fill="auto"/>
            <w:vAlign w:val="center"/>
            <w:hideMark/>
          </w:tcPr>
          <w:p w14:paraId="519B240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w:t>
            </w:r>
          </w:p>
        </w:tc>
        <w:tc>
          <w:tcPr>
            <w:tcW w:w="576" w:type="dxa"/>
            <w:tcBorders>
              <w:top w:val="nil"/>
              <w:left w:val="nil"/>
              <w:bottom w:val="single" w:sz="4" w:space="0" w:color="auto"/>
              <w:right w:val="single" w:sz="4" w:space="0" w:color="auto"/>
            </w:tcBorders>
            <w:shd w:val="clear" w:color="auto" w:fill="auto"/>
            <w:vAlign w:val="center"/>
            <w:hideMark/>
          </w:tcPr>
          <w:p w14:paraId="519B241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w:t>
            </w:r>
          </w:p>
        </w:tc>
        <w:tc>
          <w:tcPr>
            <w:tcW w:w="576" w:type="dxa"/>
            <w:tcBorders>
              <w:top w:val="nil"/>
              <w:left w:val="nil"/>
              <w:bottom w:val="single" w:sz="4" w:space="0" w:color="auto"/>
              <w:right w:val="single" w:sz="4" w:space="0" w:color="auto"/>
            </w:tcBorders>
            <w:shd w:val="clear" w:color="auto" w:fill="auto"/>
            <w:vAlign w:val="center"/>
            <w:hideMark/>
          </w:tcPr>
          <w:p w14:paraId="519B241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w:t>
            </w:r>
          </w:p>
        </w:tc>
      </w:tr>
      <w:tr w:rsidR="00E2603D" w:rsidRPr="008E63BB" w14:paraId="519B2424"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413"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414"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415"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41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55.53</w:t>
            </w:r>
          </w:p>
        </w:tc>
        <w:tc>
          <w:tcPr>
            <w:tcW w:w="576" w:type="dxa"/>
            <w:tcBorders>
              <w:top w:val="nil"/>
              <w:left w:val="nil"/>
              <w:bottom w:val="single" w:sz="4" w:space="0" w:color="auto"/>
              <w:right w:val="single" w:sz="4" w:space="0" w:color="auto"/>
            </w:tcBorders>
            <w:shd w:val="clear" w:color="auto" w:fill="auto"/>
            <w:vAlign w:val="center"/>
            <w:hideMark/>
          </w:tcPr>
          <w:p w14:paraId="519B241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57.47</w:t>
            </w:r>
          </w:p>
        </w:tc>
        <w:tc>
          <w:tcPr>
            <w:tcW w:w="576" w:type="dxa"/>
            <w:tcBorders>
              <w:top w:val="nil"/>
              <w:left w:val="nil"/>
              <w:bottom w:val="single" w:sz="4" w:space="0" w:color="auto"/>
              <w:right w:val="single" w:sz="4" w:space="0" w:color="auto"/>
            </w:tcBorders>
            <w:shd w:val="clear" w:color="auto" w:fill="auto"/>
            <w:vAlign w:val="center"/>
            <w:hideMark/>
          </w:tcPr>
          <w:p w14:paraId="519B241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57.53</w:t>
            </w:r>
          </w:p>
        </w:tc>
        <w:tc>
          <w:tcPr>
            <w:tcW w:w="576" w:type="dxa"/>
            <w:tcBorders>
              <w:top w:val="nil"/>
              <w:left w:val="nil"/>
              <w:bottom w:val="single" w:sz="4" w:space="0" w:color="auto"/>
              <w:right w:val="single" w:sz="4" w:space="0" w:color="auto"/>
            </w:tcBorders>
            <w:shd w:val="clear" w:color="auto" w:fill="auto"/>
            <w:vAlign w:val="center"/>
            <w:hideMark/>
          </w:tcPr>
          <w:p w14:paraId="519B241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61.31</w:t>
            </w:r>
          </w:p>
        </w:tc>
        <w:tc>
          <w:tcPr>
            <w:tcW w:w="576" w:type="dxa"/>
            <w:tcBorders>
              <w:top w:val="nil"/>
              <w:left w:val="nil"/>
              <w:bottom w:val="single" w:sz="4" w:space="0" w:color="auto"/>
              <w:right w:val="single" w:sz="4" w:space="0" w:color="auto"/>
            </w:tcBorders>
            <w:shd w:val="clear" w:color="auto" w:fill="auto"/>
            <w:vAlign w:val="center"/>
            <w:hideMark/>
          </w:tcPr>
          <w:p w14:paraId="519B241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49.77</w:t>
            </w:r>
          </w:p>
        </w:tc>
        <w:tc>
          <w:tcPr>
            <w:tcW w:w="576" w:type="dxa"/>
            <w:tcBorders>
              <w:top w:val="nil"/>
              <w:left w:val="nil"/>
              <w:bottom w:val="single" w:sz="4" w:space="0" w:color="auto"/>
              <w:right w:val="single" w:sz="4" w:space="0" w:color="auto"/>
            </w:tcBorders>
            <w:shd w:val="clear" w:color="auto" w:fill="auto"/>
            <w:vAlign w:val="center"/>
            <w:hideMark/>
          </w:tcPr>
          <w:p w14:paraId="519B241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59.29</w:t>
            </w:r>
          </w:p>
        </w:tc>
        <w:tc>
          <w:tcPr>
            <w:tcW w:w="576" w:type="dxa"/>
            <w:tcBorders>
              <w:top w:val="nil"/>
              <w:left w:val="nil"/>
              <w:bottom w:val="single" w:sz="4" w:space="0" w:color="auto"/>
              <w:right w:val="single" w:sz="4" w:space="0" w:color="auto"/>
            </w:tcBorders>
            <w:shd w:val="clear" w:color="auto" w:fill="auto"/>
            <w:vAlign w:val="center"/>
            <w:hideMark/>
          </w:tcPr>
          <w:p w14:paraId="519B241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58.01</w:t>
            </w:r>
          </w:p>
        </w:tc>
        <w:tc>
          <w:tcPr>
            <w:tcW w:w="576" w:type="dxa"/>
            <w:tcBorders>
              <w:top w:val="nil"/>
              <w:left w:val="nil"/>
              <w:bottom w:val="single" w:sz="4" w:space="0" w:color="auto"/>
              <w:right w:val="single" w:sz="4" w:space="0" w:color="auto"/>
            </w:tcBorders>
            <w:shd w:val="clear" w:color="auto" w:fill="auto"/>
            <w:vAlign w:val="center"/>
            <w:hideMark/>
          </w:tcPr>
          <w:p w14:paraId="519B241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53.91</w:t>
            </w:r>
          </w:p>
        </w:tc>
        <w:tc>
          <w:tcPr>
            <w:tcW w:w="576" w:type="dxa"/>
            <w:tcBorders>
              <w:top w:val="nil"/>
              <w:left w:val="nil"/>
              <w:bottom w:val="single" w:sz="4" w:space="0" w:color="auto"/>
              <w:right w:val="single" w:sz="4" w:space="0" w:color="auto"/>
            </w:tcBorders>
            <w:shd w:val="clear" w:color="auto" w:fill="auto"/>
            <w:vAlign w:val="center"/>
            <w:hideMark/>
          </w:tcPr>
          <w:p w14:paraId="519B241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55.14</w:t>
            </w:r>
          </w:p>
        </w:tc>
        <w:tc>
          <w:tcPr>
            <w:tcW w:w="576" w:type="dxa"/>
            <w:tcBorders>
              <w:top w:val="nil"/>
              <w:left w:val="nil"/>
              <w:bottom w:val="single" w:sz="4" w:space="0" w:color="auto"/>
              <w:right w:val="single" w:sz="4" w:space="0" w:color="auto"/>
            </w:tcBorders>
            <w:shd w:val="clear" w:color="auto" w:fill="auto"/>
            <w:vAlign w:val="center"/>
            <w:hideMark/>
          </w:tcPr>
          <w:p w14:paraId="519B241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55.10</w:t>
            </w:r>
          </w:p>
        </w:tc>
        <w:tc>
          <w:tcPr>
            <w:tcW w:w="576" w:type="dxa"/>
            <w:tcBorders>
              <w:top w:val="nil"/>
              <w:left w:val="nil"/>
              <w:bottom w:val="single" w:sz="4" w:space="0" w:color="auto"/>
              <w:right w:val="single" w:sz="4" w:space="0" w:color="auto"/>
            </w:tcBorders>
            <w:shd w:val="clear" w:color="auto" w:fill="auto"/>
            <w:vAlign w:val="center"/>
            <w:hideMark/>
          </w:tcPr>
          <w:p w14:paraId="519B242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57.01</w:t>
            </w:r>
          </w:p>
        </w:tc>
        <w:tc>
          <w:tcPr>
            <w:tcW w:w="576" w:type="dxa"/>
            <w:tcBorders>
              <w:top w:val="nil"/>
              <w:left w:val="nil"/>
              <w:bottom w:val="single" w:sz="4" w:space="0" w:color="auto"/>
              <w:right w:val="single" w:sz="4" w:space="0" w:color="auto"/>
            </w:tcBorders>
            <w:shd w:val="clear" w:color="auto" w:fill="auto"/>
            <w:vAlign w:val="center"/>
            <w:hideMark/>
          </w:tcPr>
          <w:p w14:paraId="519B242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59.09</w:t>
            </w:r>
          </w:p>
        </w:tc>
        <w:tc>
          <w:tcPr>
            <w:tcW w:w="576" w:type="dxa"/>
            <w:tcBorders>
              <w:top w:val="nil"/>
              <w:left w:val="nil"/>
              <w:bottom w:val="single" w:sz="4" w:space="0" w:color="auto"/>
              <w:right w:val="single" w:sz="4" w:space="0" w:color="auto"/>
            </w:tcBorders>
            <w:shd w:val="clear" w:color="auto" w:fill="auto"/>
            <w:vAlign w:val="center"/>
            <w:hideMark/>
          </w:tcPr>
          <w:p w14:paraId="519B242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60.66</w:t>
            </w:r>
          </w:p>
        </w:tc>
        <w:tc>
          <w:tcPr>
            <w:tcW w:w="576" w:type="dxa"/>
            <w:tcBorders>
              <w:top w:val="nil"/>
              <w:left w:val="nil"/>
              <w:bottom w:val="single" w:sz="4" w:space="0" w:color="auto"/>
              <w:right w:val="single" w:sz="4" w:space="0" w:color="auto"/>
            </w:tcBorders>
            <w:shd w:val="clear" w:color="auto" w:fill="auto"/>
            <w:vAlign w:val="center"/>
            <w:hideMark/>
          </w:tcPr>
          <w:p w14:paraId="519B242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63.60</w:t>
            </w:r>
          </w:p>
        </w:tc>
      </w:tr>
      <w:tr w:rsidR="00E2603D" w:rsidRPr="008E63BB" w14:paraId="519B2436"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42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7</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42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Hải Dương</w:t>
            </w:r>
          </w:p>
        </w:tc>
        <w:tc>
          <w:tcPr>
            <w:tcW w:w="904" w:type="dxa"/>
            <w:tcBorders>
              <w:top w:val="nil"/>
              <w:left w:val="nil"/>
              <w:bottom w:val="single" w:sz="4" w:space="0" w:color="auto"/>
              <w:right w:val="single" w:sz="4" w:space="0" w:color="auto"/>
            </w:tcBorders>
            <w:shd w:val="clear" w:color="auto" w:fill="auto"/>
            <w:noWrap/>
            <w:vAlign w:val="bottom"/>
            <w:hideMark/>
          </w:tcPr>
          <w:p w14:paraId="519B2427"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42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30</w:t>
            </w:r>
          </w:p>
        </w:tc>
        <w:tc>
          <w:tcPr>
            <w:tcW w:w="576" w:type="dxa"/>
            <w:tcBorders>
              <w:top w:val="nil"/>
              <w:left w:val="nil"/>
              <w:bottom w:val="single" w:sz="4" w:space="0" w:color="auto"/>
              <w:right w:val="single" w:sz="4" w:space="0" w:color="auto"/>
            </w:tcBorders>
            <w:shd w:val="clear" w:color="auto" w:fill="auto"/>
            <w:vAlign w:val="center"/>
            <w:hideMark/>
          </w:tcPr>
          <w:p w14:paraId="519B242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35</w:t>
            </w:r>
          </w:p>
        </w:tc>
        <w:tc>
          <w:tcPr>
            <w:tcW w:w="576" w:type="dxa"/>
            <w:tcBorders>
              <w:top w:val="nil"/>
              <w:left w:val="nil"/>
              <w:bottom w:val="single" w:sz="4" w:space="0" w:color="auto"/>
              <w:right w:val="single" w:sz="4" w:space="0" w:color="auto"/>
            </w:tcBorders>
            <w:shd w:val="clear" w:color="auto" w:fill="auto"/>
            <w:vAlign w:val="center"/>
            <w:hideMark/>
          </w:tcPr>
          <w:p w14:paraId="519B242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30</w:t>
            </w:r>
          </w:p>
        </w:tc>
        <w:tc>
          <w:tcPr>
            <w:tcW w:w="576" w:type="dxa"/>
            <w:tcBorders>
              <w:top w:val="nil"/>
              <w:left w:val="nil"/>
              <w:bottom w:val="single" w:sz="4" w:space="0" w:color="auto"/>
              <w:right w:val="single" w:sz="4" w:space="0" w:color="auto"/>
            </w:tcBorders>
            <w:shd w:val="clear" w:color="auto" w:fill="auto"/>
            <w:vAlign w:val="center"/>
            <w:hideMark/>
          </w:tcPr>
          <w:p w14:paraId="519B242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29</w:t>
            </w:r>
          </w:p>
        </w:tc>
        <w:tc>
          <w:tcPr>
            <w:tcW w:w="576" w:type="dxa"/>
            <w:tcBorders>
              <w:top w:val="nil"/>
              <w:left w:val="nil"/>
              <w:bottom w:val="single" w:sz="4" w:space="0" w:color="auto"/>
              <w:right w:val="single" w:sz="4" w:space="0" w:color="auto"/>
            </w:tcBorders>
            <w:shd w:val="clear" w:color="auto" w:fill="auto"/>
            <w:vAlign w:val="center"/>
            <w:hideMark/>
          </w:tcPr>
          <w:p w14:paraId="519B242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35</w:t>
            </w:r>
          </w:p>
        </w:tc>
        <w:tc>
          <w:tcPr>
            <w:tcW w:w="576" w:type="dxa"/>
            <w:tcBorders>
              <w:top w:val="nil"/>
              <w:left w:val="nil"/>
              <w:bottom w:val="single" w:sz="4" w:space="0" w:color="auto"/>
              <w:right w:val="single" w:sz="4" w:space="0" w:color="auto"/>
            </w:tcBorders>
            <w:shd w:val="clear" w:color="auto" w:fill="auto"/>
            <w:vAlign w:val="center"/>
            <w:hideMark/>
          </w:tcPr>
          <w:p w14:paraId="519B242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35</w:t>
            </w:r>
          </w:p>
        </w:tc>
        <w:tc>
          <w:tcPr>
            <w:tcW w:w="576" w:type="dxa"/>
            <w:tcBorders>
              <w:top w:val="nil"/>
              <w:left w:val="nil"/>
              <w:bottom w:val="single" w:sz="4" w:space="0" w:color="auto"/>
              <w:right w:val="single" w:sz="4" w:space="0" w:color="auto"/>
            </w:tcBorders>
            <w:shd w:val="clear" w:color="auto" w:fill="auto"/>
            <w:vAlign w:val="center"/>
            <w:hideMark/>
          </w:tcPr>
          <w:p w14:paraId="519B242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33</w:t>
            </w:r>
          </w:p>
        </w:tc>
        <w:tc>
          <w:tcPr>
            <w:tcW w:w="576" w:type="dxa"/>
            <w:tcBorders>
              <w:top w:val="nil"/>
              <w:left w:val="nil"/>
              <w:bottom w:val="single" w:sz="4" w:space="0" w:color="auto"/>
              <w:right w:val="single" w:sz="4" w:space="0" w:color="auto"/>
            </w:tcBorders>
            <w:shd w:val="clear" w:color="auto" w:fill="auto"/>
            <w:vAlign w:val="center"/>
            <w:hideMark/>
          </w:tcPr>
          <w:p w14:paraId="519B242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41</w:t>
            </w:r>
          </w:p>
        </w:tc>
        <w:tc>
          <w:tcPr>
            <w:tcW w:w="576" w:type="dxa"/>
            <w:tcBorders>
              <w:top w:val="nil"/>
              <w:left w:val="nil"/>
              <w:bottom w:val="single" w:sz="4" w:space="0" w:color="auto"/>
              <w:right w:val="single" w:sz="4" w:space="0" w:color="auto"/>
            </w:tcBorders>
            <w:shd w:val="clear" w:color="auto" w:fill="auto"/>
            <w:vAlign w:val="center"/>
            <w:hideMark/>
          </w:tcPr>
          <w:p w14:paraId="519B243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31</w:t>
            </w:r>
          </w:p>
        </w:tc>
        <w:tc>
          <w:tcPr>
            <w:tcW w:w="576" w:type="dxa"/>
            <w:tcBorders>
              <w:top w:val="nil"/>
              <w:left w:val="nil"/>
              <w:bottom w:val="single" w:sz="4" w:space="0" w:color="auto"/>
              <w:right w:val="single" w:sz="4" w:space="0" w:color="auto"/>
            </w:tcBorders>
            <w:shd w:val="clear" w:color="auto" w:fill="auto"/>
            <w:vAlign w:val="center"/>
            <w:hideMark/>
          </w:tcPr>
          <w:p w14:paraId="519B243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34</w:t>
            </w:r>
          </w:p>
        </w:tc>
        <w:tc>
          <w:tcPr>
            <w:tcW w:w="576" w:type="dxa"/>
            <w:tcBorders>
              <w:top w:val="nil"/>
              <w:left w:val="nil"/>
              <w:bottom w:val="single" w:sz="4" w:space="0" w:color="auto"/>
              <w:right w:val="single" w:sz="4" w:space="0" w:color="auto"/>
            </w:tcBorders>
            <w:shd w:val="clear" w:color="auto" w:fill="auto"/>
            <w:vAlign w:val="center"/>
            <w:hideMark/>
          </w:tcPr>
          <w:p w14:paraId="519B243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36</w:t>
            </w:r>
          </w:p>
        </w:tc>
        <w:tc>
          <w:tcPr>
            <w:tcW w:w="576" w:type="dxa"/>
            <w:tcBorders>
              <w:top w:val="nil"/>
              <w:left w:val="nil"/>
              <w:bottom w:val="single" w:sz="4" w:space="0" w:color="auto"/>
              <w:right w:val="single" w:sz="4" w:space="0" w:color="auto"/>
            </w:tcBorders>
            <w:shd w:val="clear" w:color="auto" w:fill="auto"/>
            <w:vAlign w:val="center"/>
            <w:hideMark/>
          </w:tcPr>
          <w:p w14:paraId="519B243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49</w:t>
            </w:r>
          </w:p>
        </w:tc>
        <w:tc>
          <w:tcPr>
            <w:tcW w:w="576" w:type="dxa"/>
            <w:tcBorders>
              <w:top w:val="nil"/>
              <w:left w:val="nil"/>
              <w:bottom w:val="single" w:sz="4" w:space="0" w:color="auto"/>
              <w:right w:val="single" w:sz="4" w:space="0" w:color="auto"/>
            </w:tcBorders>
            <w:shd w:val="clear" w:color="auto" w:fill="auto"/>
            <w:vAlign w:val="center"/>
            <w:hideMark/>
          </w:tcPr>
          <w:p w14:paraId="519B243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w:t>
            </w:r>
          </w:p>
        </w:tc>
        <w:tc>
          <w:tcPr>
            <w:tcW w:w="576" w:type="dxa"/>
            <w:tcBorders>
              <w:top w:val="nil"/>
              <w:left w:val="nil"/>
              <w:bottom w:val="single" w:sz="4" w:space="0" w:color="auto"/>
              <w:right w:val="single" w:sz="4" w:space="0" w:color="auto"/>
            </w:tcBorders>
            <w:shd w:val="clear" w:color="auto" w:fill="auto"/>
            <w:vAlign w:val="center"/>
            <w:hideMark/>
          </w:tcPr>
          <w:p w14:paraId="519B243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47</w:t>
            </w:r>
          </w:p>
        </w:tc>
      </w:tr>
      <w:tr w:rsidR="00E2603D" w:rsidRPr="008E63BB" w14:paraId="519B2448"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437"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438"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439"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43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52.87</w:t>
            </w:r>
          </w:p>
        </w:tc>
        <w:tc>
          <w:tcPr>
            <w:tcW w:w="576" w:type="dxa"/>
            <w:tcBorders>
              <w:top w:val="nil"/>
              <w:left w:val="nil"/>
              <w:bottom w:val="single" w:sz="4" w:space="0" w:color="auto"/>
              <w:right w:val="single" w:sz="4" w:space="0" w:color="auto"/>
            </w:tcBorders>
            <w:shd w:val="clear" w:color="auto" w:fill="auto"/>
            <w:vAlign w:val="center"/>
            <w:hideMark/>
          </w:tcPr>
          <w:p w14:paraId="519B243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53.22</w:t>
            </w:r>
          </w:p>
        </w:tc>
        <w:tc>
          <w:tcPr>
            <w:tcW w:w="576" w:type="dxa"/>
            <w:tcBorders>
              <w:top w:val="nil"/>
              <w:left w:val="nil"/>
              <w:bottom w:val="single" w:sz="4" w:space="0" w:color="auto"/>
              <w:right w:val="single" w:sz="4" w:space="0" w:color="auto"/>
            </w:tcBorders>
            <w:shd w:val="clear" w:color="auto" w:fill="auto"/>
            <w:vAlign w:val="center"/>
            <w:hideMark/>
          </w:tcPr>
          <w:p w14:paraId="519B243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54.07</w:t>
            </w:r>
          </w:p>
        </w:tc>
        <w:tc>
          <w:tcPr>
            <w:tcW w:w="576" w:type="dxa"/>
            <w:tcBorders>
              <w:top w:val="nil"/>
              <w:left w:val="nil"/>
              <w:bottom w:val="single" w:sz="4" w:space="0" w:color="auto"/>
              <w:right w:val="single" w:sz="4" w:space="0" w:color="auto"/>
            </w:tcBorders>
            <w:shd w:val="clear" w:color="auto" w:fill="auto"/>
            <w:vAlign w:val="center"/>
            <w:hideMark/>
          </w:tcPr>
          <w:p w14:paraId="519B243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58.96</w:t>
            </w:r>
          </w:p>
        </w:tc>
        <w:tc>
          <w:tcPr>
            <w:tcW w:w="576" w:type="dxa"/>
            <w:tcBorders>
              <w:top w:val="nil"/>
              <w:left w:val="nil"/>
              <w:bottom w:val="single" w:sz="4" w:space="0" w:color="auto"/>
              <w:right w:val="single" w:sz="4" w:space="0" w:color="auto"/>
            </w:tcBorders>
            <w:shd w:val="clear" w:color="auto" w:fill="auto"/>
            <w:vAlign w:val="center"/>
            <w:hideMark/>
          </w:tcPr>
          <w:p w14:paraId="519B243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57.51</w:t>
            </w:r>
          </w:p>
        </w:tc>
        <w:tc>
          <w:tcPr>
            <w:tcW w:w="576" w:type="dxa"/>
            <w:tcBorders>
              <w:top w:val="nil"/>
              <w:left w:val="nil"/>
              <w:bottom w:val="single" w:sz="4" w:space="0" w:color="auto"/>
              <w:right w:val="single" w:sz="4" w:space="0" w:color="auto"/>
            </w:tcBorders>
            <w:shd w:val="clear" w:color="auto" w:fill="auto"/>
            <w:vAlign w:val="center"/>
            <w:hideMark/>
          </w:tcPr>
          <w:p w14:paraId="519B243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58.41</w:t>
            </w:r>
          </w:p>
        </w:tc>
        <w:tc>
          <w:tcPr>
            <w:tcW w:w="576" w:type="dxa"/>
            <w:tcBorders>
              <w:top w:val="nil"/>
              <w:left w:val="nil"/>
              <w:bottom w:val="single" w:sz="4" w:space="0" w:color="auto"/>
              <w:right w:val="single" w:sz="4" w:space="0" w:color="auto"/>
            </w:tcBorders>
            <w:shd w:val="clear" w:color="auto" w:fill="auto"/>
            <w:vAlign w:val="center"/>
            <w:hideMark/>
          </w:tcPr>
          <w:p w14:paraId="519B244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56.29</w:t>
            </w:r>
          </w:p>
        </w:tc>
        <w:tc>
          <w:tcPr>
            <w:tcW w:w="576" w:type="dxa"/>
            <w:tcBorders>
              <w:top w:val="nil"/>
              <w:left w:val="nil"/>
              <w:bottom w:val="single" w:sz="4" w:space="0" w:color="auto"/>
              <w:right w:val="single" w:sz="4" w:space="0" w:color="auto"/>
            </w:tcBorders>
            <w:shd w:val="clear" w:color="auto" w:fill="auto"/>
            <w:vAlign w:val="center"/>
            <w:hideMark/>
          </w:tcPr>
          <w:p w14:paraId="519B244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56.37</w:t>
            </w:r>
          </w:p>
        </w:tc>
        <w:tc>
          <w:tcPr>
            <w:tcW w:w="576" w:type="dxa"/>
            <w:tcBorders>
              <w:top w:val="nil"/>
              <w:left w:val="nil"/>
              <w:bottom w:val="single" w:sz="4" w:space="0" w:color="auto"/>
              <w:right w:val="single" w:sz="4" w:space="0" w:color="auto"/>
            </w:tcBorders>
            <w:shd w:val="clear" w:color="auto" w:fill="auto"/>
            <w:vAlign w:val="center"/>
            <w:hideMark/>
          </w:tcPr>
          <w:p w14:paraId="519B244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58.63</w:t>
            </w:r>
          </w:p>
        </w:tc>
        <w:tc>
          <w:tcPr>
            <w:tcW w:w="576" w:type="dxa"/>
            <w:tcBorders>
              <w:top w:val="nil"/>
              <w:left w:val="nil"/>
              <w:bottom w:val="single" w:sz="4" w:space="0" w:color="auto"/>
              <w:right w:val="single" w:sz="4" w:space="0" w:color="auto"/>
            </w:tcBorders>
            <w:shd w:val="clear" w:color="auto" w:fill="auto"/>
            <w:vAlign w:val="center"/>
            <w:hideMark/>
          </w:tcPr>
          <w:p w14:paraId="519B244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58.37</w:t>
            </w:r>
          </w:p>
        </w:tc>
        <w:tc>
          <w:tcPr>
            <w:tcW w:w="576" w:type="dxa"/>
            <w:tcBorders>
              <w:top w:val="nil"/>
              <w:left w:val="nil"/>
              <w:bottom w:val="single" w:sz="4" w:space="0" w:color="auto"/>
              <w:right w:val="single" w:sz="4" w:space="0" w:color="auto"/>
            </w:tcBorders>
            <w:shd w:val="clear" w:color="auto" w:fill="auto"/>
            <w:vAlign w:val="center"/>
            <w:hideMark/>
          </w:tcPr>
          <w:p w14:paraId="519B244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57.95</w:t>
            </w:r>
          </w:p>
        </w:tc>
        <w:tc>
          <w:tcPr>
            <w:tcW w:w="576" w:type="dxa"/>
            <w:tcBorders>
              <w:top w:val="nil"/>
              <w:left w:val="nil"/>
              <w:bottom w:val="single" w:sz="4" w:space="0" w:color="auto"/>
              <w:right w:val="single" w:sz="4" w:space="0" w:color="auto"/>
            </w:tcBorders>
            <w:shd w:val="clear" w:color="auto" w:fill="auto"/>
            <w:vAlign w:val="center"/>
            <w:hideMark/>
          </w:tcPr>
          <w:p w14:paraId="519B244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60.36</w:t>
            </w:r>
          </w:p>
        </w:tc>
        <w:tc>
          <w:tcPr>
            <w:tcW w:w="576" w:type="dxa"/>
            <w:tcBorders>
              <w:top w:val="nil"/>
              <w:left w:val="nil"/>
              <w:bottom w:val="single" w:sz="4" w:space="0" w:color="auto"/>
              <w:right w:val="single" w:sz="4" w:space="0" w:color="auto"/>
            </w:tcBorders>
            <w:shd w:val="clear" w:color="auto" w:fill="auto"/>
            <w:vAlign w:val="center"/>
            <w:hideMark/>
          </w:tcPr>
          <w:p w14:paraId="519B244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60.98</w:t>
            </w:r>
          </w:p>
        </w:tc>
        <w:tc>
          <w:tcPr>
            <w:tcW w:w="576" w:type="dxa"/>
            <w:tcBorders>
              <w:top w:val="nil"/>
              <w:left w:val="nil"/>
              <w:bottom w:val="single" w:sz="4" w:space="0" w:color="auto"/>
              <w:right w:val="single" w:sz="4" w:space="0" w:color="auto"/>
            </w:tcBorders>
            <w:shd w:val="clear" w:color="auto" w:fill="auto"/>
            <w:vAlign w:val="center"/>
            <w:hideMark/>
          </w:tcPr>
          <w:p w14:paraId="519B244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63.85</w:t>
            </w:r>
          </w:p>
        </w:tc>
      </w:tr>
      <w:tr w:rsidR="00E2603D" w:rsidRPr="008E63BB" w14:paraId="519B245A"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44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8</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44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Hà Nội</w:t>
            </w:r>
          </w:p>
        </w:tc>
        <w:tc>
          <w:tcPr>
            <w:tcW w:w="904" w:type="dxa"/>
            <w:tcBorders>
              <w:top w:val="nil"/>
              <w:left w:val="nil"/>
              <w:bottom w:val="single" w:sz="4" w:space="0" w:color="auto"/>
              <w:right w:val="single" w:sz="4" w:space="0" w:color="auto"/>
            </w:tcBorders>
            <w:shd w:val="clear" w:color="auto" w:fill="auto"/>
            <w:noWrap/>
            <w:vAlign w:val="bottom"/>
            <w:hideMark/>
          </w:tcPr>
          <w:p w14:paraId="519B244B"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44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38</w:t>
            </w:r>
          </w:p>
        </w:tc>
        <w:tc>
          <w:tcPr>
            <w:tcW w:w="576" w:type="dxa"/>
            <w:tcBorders>
              <w:top w:val="nil"/>
              <w:left w:val="nil"/>
              <w:bottom w:val="single" w:sz="4" w:space="0" w:color="auto"/>
              <w:right w:val="single" w:sz="4" w:space="0" w:color="auto"/>
            </w:tcBorders>
            <w:shd w:val="clear" w:color="auto" w:fill="auto"/>
            <w:vAlign w:val="center"/>
            <w:hideMark/>
          </w:tcPr>
          <w:p w14:paraId="519B244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26</w:t>
            </w:r>
          </w:p>
        </w:tc>
        <w:tc>
          <w:tcPr>
            <w:tcW w:w="576" w:type="dxa"/>
            <w:tcBorders>
              <w:top w:val="nil"/>
              <w:left w:val="nil"/>
              <w:bottom w:val="single" w:sz="4" w:space="0" w:color="auto"/>
              <w:right w:val="single" w:sz="4" w:space="0" w:color="auto"/>
            </w:tcBorders>
            <w:shd w:val="clear" w:color="auto" w:fill="auto"/>
            <w:vAlign w:val="center"/>
            <w:hideMark/>
          </w:tcPr>
          <w:p w14:paraId="519B244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31</w:t>
            </w:r>
          </w:p>
        </w:tc>
        <w:tc>
          <w:tcPr>
            <w:tcW w:w="576" w:type="dxa"/>
            <w:tcBorders>
              <w:top w:val="nil"/>
              <w:left w:val="nil"/>
              <w:bottom w:val="single" w:sz="4" w:space="0" w:color="auto"/>
              <w:right w:val="single" w:sz="4" w:space="0" w:color="auto"/>
            </w:tcBorders>
            <w:shd w:val="clear" w:color="auto" w:fill="auto"/>
            <w:vAlign w:val="center"/>
            <w:hideMark/>
          </w:tcPr>
          <w:p w14:paraId="519B244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33</w:t>
            </w:r>
          </w:p>
        </w:tc>
        <w:tc>
          <w:tcPr>
            <w:tcW w:w="576" w:type="dxa"/>
            <w:tcBorders>
              <w:top w:val="nil"/>
              <w:left w:val="nil"/>
              <w:bottom w:val="single" w:sz="4" w:space="0" w:color="auto"/>
              <w:right w:val="single" w:sz="4" w:space="0" w:color="auto"/>
            </w:tcBorders>
            <w:shd w:val="clear" w:color="auto" w:fill="auto"/>
            <w:vAlign w:val="center"/>
            <w:hideMark/>
          </w:tcPr>
          <w:p w14:paraId="519B245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43</w:t>
            </w:r>
          </w:p>
        </w:tc>
        <w:tc>
          <w:tcPr>
            <w:tcW w:w="576" w:type="dxa"/>
            <w:tcBorders>
              <w:top w:val="nil"/>
              <w:left w:val="nil"/>
              <w:bottom w:val="single" w:sz="4" w:space="0" w:color="auto"/>
              <w:right w:val="single" w:sz="4" w:space="0" w:color="auto"/>
            </w:tcBorders>
            <w:shd w:val="clear" w:color="auto" w:fill="auto"/>
            <w:vAlign w:val="center"/>
            <w:hideMark/>
          </w:tcPr>
          <w:p w14:paraId="519B245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36</w:t>
            </w:r>
          </w:p>
        </w:tc>
        <w:tc>
          <w:tcPr>
            <w:tcW w:w="576" w:type="dxa"/>
            <w:tcBorders>
              <w:top w:val="nil"/>
              <w:left w:val="nil"/>
              <w:bottom w:val="single" w:sz="4" w:space="0" w:color="auto"/>
              <w:right w:val="single" w:sz="4" w:space="0" w:color="auto"/>
            </w:tcBorders>
            <w:shd w:val="clear" w:color="auto" w:fill="auto"/>
            <w:vAlign w:val="center"/>
            <w:hideMark/>
          </w:tcPr>
          <w:p w14:paraId="519B245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51</w:t>
            </w:r>
          </w:p>
        </w:tc>
        <w:tc>
          <w:tcPr>
            <w:tcW w:w="576" w:type="dxa"/>
            <w:tcBorders>
              <w:top w:val="nil"/>
              <w:left w:val="nil"/>
              <w:bottom w:val="single" w:sz="4" w:space="0" w:color="auto"/>
              <w:right w:val="single" w:sz="4" w:space="0" w:color="auto"/>
            </w:tcBorders>
            <w:shd w:val="clear" w:color="auto" w:fill="auto"/>
            <w:vAlign w:val="center"/>
            <w:hideMark/>
          </w:tcPr>
          <w:p w14:paraId="519B245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33</w:t>
            </w:r>
          </w:p>
        </w:tc>
        <w:tc>
          <w:tcPr>
            <w:tcW w:w="576" w:type="dxa"/>
            <w:tcBorders>
              <w:top w:val="nil"/>
              <w:left w:val="nil"/>
              <w:bottom w:val="single" w:sz="4" w:space="0" w:color="auto"/>
              <w:right w:val="single" w:sz="4" w:space="0" w:color="auto"/>
            </w:tcBorders>
            <w:shd w:val="clear" w:color="auto" w:fill="auto"/>
            <w:vAlign w:val="center"/>
            <w:hideMark/>
          </w:tcPr>
          <w:p w14:paraId="519B245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26</w:t>
            </w:r>
          </w:p>
        </w:tc>
        <w:tc>
          <w:tcPr>
            <w:tcW w:w="576" w:type="dxa"/>
            <w:tcBorders>
              <w:top w:val="nil"/>
              <w:left w:val="nil"/>
              <w:bottom w:val="single" w:sz="4" w:space="0" w:color="auto"/>
              <w:right w:val="single" w:sz="4" w:space="0" w:color="auto"/>
            </w:tcBorders>
            <w:shd w:val="clear" w:color="auto" w:fill="auto"/>
            <w:vAlign w:val="center"/>
            <w:hideMark/>
          </w:tcPr>
          <w:p w14:paraId="519B245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24</w:t>
            </w:r>
          </w:p>
        </w:tc>
        <w:tc>
          <w:tcPr>
            <w:tcW w:w="576" w:type="dxa"/>
            <w:tcBorders>
              <w:top w:val="nil"/>
              <w:left w:val="nil"/>
              <w:bottom w:val="single" w:sz="4" w:space="0" w:color="auto"/>
              <w:right w:val="single" w:sz="4" w:space="0" w:color="auto"/>
            </w:tcBorders>
            <w:shd w:val="clear" w:color="auto" w:fill="auto"/>
            <w:vAlign w:val="center"/>
            <w:hideMark/>
          </w:tcPr>
          <w:p w14:paraId="519B245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14</w:t>
            </w:r>
          </w:p>
        </w:tc>
        <w:tc>
          <w:tcPr>
            <w:tcW w:w="576" w:type="dxa"/>
            <w:tcBorders>
              <w:top w:val="nil"/>
              <w:left w:val="nil"/>
              <w:bottom w:val="single" w:sz="4" w:space="0" w:color="auto"/>
              <w:right w:val="single" w:sz="4" w:space="0" w:color="auto"/>
            </w:tcBorders>
            <w:shd w:val="clear" w:color="auto" w:fill="auto"/>
            <w:vAlign w:val="center"/>
            <w:hideMark/>
          </w:tcPr>
          <w:p w14:paraId="519B245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13</w:t>
            </w:r>
          </w:p>
        </w:tc>
        <w:tc>
          <w:tcPr>
            <w:tcW w:w="576" w:type="dxa"/>
            <w:tcBorders>
              <w:top w:val="nil"/>
              <w:left w:val="nil"/>
              <w:bottom w:val="single" w:sz="4" w:space="0" w:color="auto"/>
              <w:right w:val="single" w:sz="4" w:space="0" w:color="auto"/>
            </w:tcBorders>
            <w:shd w:val="clear" w:color="auto" w:fill="auto"/>
            <w:vAlign w:val="center"/>
            <w:hideMark/>
          </w:tcPr>
          <w:p w14:paraId="519B245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9</w:t>
            </w:r>
          </w:p>
        </w:tc>
        <w:tc>
          <w:tcPr>
            <w:tcW w:w="576" w:type="dxa"/>
            <w:tcBorders>
              <w:top w:val="nil"/>
              <w:left w:val="nil"/>
              <w:bottom w:val="single" w:sz="4" w:space="0" w:color="auto"/>
              <w:right w:val="single" w:sz="4" w:space="0" w:color="auto"/>
            </w:tcBorders>
            <w:shd w:val="clear" w:color="auto" w:fill="auto"/>
            <w:vAlign w:val="center"/>
            <w:hideMark/>
          </w:tcPr>
          <w:p w14:paraId="519B245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9</w:t>
            </w:r>
          </w:p>
        </w:tc>
      </w:tr>
      <w:tr w:rsidR="00E2603D" w:rsidRPr="008E63BB" w14:paraId="519B246C"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45B"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45C"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45D"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45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50.14</w:t>
            </w:r>
          </w:p>
        </w:tc>
        <w:tc>
          <w:tcPr>
            <w:tcW w:w="576" w:type="dxa"/>
            <w:tcBorders>
              <w:top w:val="nil"/>
              <w:left w:val="nil"/>
              <w:bottom w:val="single" w:sz="4" w:space="0" w:color="auto"/>
              <w:right w:val="single" w:sz="4" w:space="0" w:color="auto"/>
            </w:tcBorders>
            <w:shd w:val="clear" w:color="auto" w:fill="auto"/>
            <w:vAlign w:val="center"/>
            <w:hideMark/>
          </w:tcPr>
          <w:p w14:paraId="519B245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56.73</w:t>
            </w:r>
          </w:p>
        </w:tc>
        <w:tc>
          <w:tcPr>
            <w:tcW w:w="576" w:type="dxa"/>
            <w:tcBorders>
              <w:top w:val="nil"/>
              <w:left w:val="nil"/>
              <w:bottom w:val="single" w:sz="4" w:space="0" w:color="auto"/>
              <w:right w:val="single" w:sz="4" w:space="0" w:color="auto"/>
            </w:tcBorders>
            <w:shd w:val="clear" w:color="auto" w:fill="auto"/>
            <w:vAlign w:val="center"/>
            <w:hideMark/>
          </w:tcPr>
          <w:p w14:paraId="519B246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53.74</w:t>
            </w:r>
          </w:p>
        </w:tc>
        <w:tc>
          <w:tcPr>
            <w:tcW w:w="576" w:type="dxa"/>
            <w:tcBorders>
              <w:top w:val="nil"/>
              <w:left w:val="nil"/>
              <w:bottom w:val="single" w:sz="4" w:space="0" w:color="auto"/>
              <w:right w:val="single" w:sz="4" w:space="0" w:color="auto"/>
            </w:tcBorders>
            <w:shd w:val="clear" w:color="auto" w:fill="auto"/>
            <w:vAlign w:val="center"/>
            <w:hideMark/>
          </w:tcPr>
          <w:p w14:paraId="519B246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58.18</w:t>
            </w:r>
          </w:p>
        </w:tc>
        <w:tc>
          <w:tcPr>
            <w:tcW w:w="576" w:type="dxa"/>
            <w:tcBorders>
              <w:top w:val="nil"/>
              <w:left w:val="nil"/>
              <w:bottom w:val="single" w:sz="4" w:space="0" w:color="auto"/>
              <w:right w:val="single" w:sz="4" w:space="0" w:color="auto"/>
            </w:tcBorders>
            <w:shd w:val="clear" w:color="auto" w:fill="auto"/>
            <w:vAlign w:val="center"/>
            <w:hideMark/>
          </w:tcPr>
          <w:p w14:paraId="519B246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55.73</w:t>
            </w:r>
          </w:p>
        </w:tc>
        <w:tc>
          <w:tcPr>
            <w:tcW w:w="576" w:type="dxa"/>
            <w:tcBorders>
              <w:top w:val="nil"/>
              <w:left w:val="nil"/>
              <w:bottom w:val="single" w:sz="4" w:space="0" w:color="auto"/>
              <w:right w:val="single" w:sz="4" w:space="0" w:color="auto"/>
            </w:tcBorders>
            <w:shd w:val="clear" w:color="auto" w:fill="auto"/>
            <w:vAlign w:val="center"/>
            <w:hideMark/>
          </w:tcPr>
          <w:p w14:paraId="519B246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58.28</w:t>
            </w:r>
          </w:p>
        </w:tc>
        <w:tc>
          <w:tcPr>
            <w:tcW w:w="576" w:type="dxa"/>
            <w:tcBorders>
              <w:top w:val="nil"/>
              <w:left w:val="nil"/>
              <w:bottom w:val="single" w:sz="4" w:space="0" w:color="auto"/>
              <w:right w:val="single" w:sz="4" w:space="0" w:color="auto"/>
            </w:tcBorders>
            <w:shd w:val="clear" w:color="auto" w:fill="auto"/>
            <w:vAlign w:val="center"/>
            <w:hideMark/>
          </w:tcPr>
          <w:p w14:paraId="519B246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53.40</w:t>
            </w:r>
          </w:p>
        </w:tc>
        <w:tc>
          <w:tcPr>
            <w:tcW w:w="576" w:type="dxa"/>
            <w:tcBorders>
              <w:top w:val="nil"/>
              <w:left w:val="nil"/>
              <w:bottom w:val="single" w:sz="4" w:space="0" w:color="auto"/>
              <w:right w:val="single" w:sz="4" w:space="0" w:color="auto"/>
            </w:tcBorders>
            <w:shd w:val="clear" w:color="auto" w:fill="auto"/>
            <w:vAlign w:val="center"/>
            <w:hideMark/>
          </w:tcPr>
          <w:p w14:paraId="519B246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57.67</w:t>
            </w:r>
          </w:p>
        </w:tc>
        <w:tc>
          <w:tcPr>
            <w:tcW w:w="576" w:type="dxa"/>
            <w:tcBorders>
              <w:top w:val="nil"/>
              <w:left w:val="nil"/>
              <w:bottom w:val="single" w:sz="4" w:space="0" w:color="auto"/>
              <w:right w:val="single" w:sz="4" w:space="0" w:color="auto"/>
            </w:tcBorders>
            <w:shd w:val="clear" w:color="auto" w:fill="auto"/>
            <w:vAlign w:val="center"/>
            <w:hideMark/>
          </w:tcPr>
          <w:p w14:paraId="519B246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58.89</w:t>
            </w:r>
          </w:p>
        </w:tc>
        <w:tc>
          <w:tcPr>
            <w:tcW w:w="576" w:type="dxa"/>
            <w:tcBorders>
              <w:top w:val="nil"/>
              <w:left w:val="nil"/>
              <w:bottom w:val="single" w:sz="4" w:space="0" w:color="auto"/>
              <w:right w:val="single" w:sz="4" w:space="0" w:color="auto"/>
            </w:tcBorders>
            <w:shd w:val="clear" w:color="auto" w:fill="auto"/>
            <w:vAlign w:val="center"/>
            <w:hideMark/>
          </w:tcPr>
          <w:p w14:paraId="519B246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59.00</w:t>
            </w:r>
          </w:p>
        </w:tc>
        <w:tc>
          <w:tcPr>
            <w:tcW w:w="576" w:type="dxa"/>
            <w:tcBorders>
              <w:top w:val="nil"/>
              <w:left w:val="nil"/>
              <w:bottom w:val="single" w:sz="4" w:space="0" w:color="auto"/>
              <w:right w:val="single" w:sz="4" w:space="0" w:color="auto"/>
            </w:tcBorders>
            <w:shd w:val="clear" w:color="auto" w:fill="auto"/>
            <w:vAlign w:val="center"/>
            <w:hideMark/>
          </w:tcPr>
          <w:p w14:paraId="519B246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60.74</w:t>
            </w:r>
          </w:p>
        </w:tc>
        <w:tc>
          <w:tcPr>
            <w:tcW w:w="576" w:type="dxa"/>
            <w:tcBorders>
              <w:top w:val="nil"/>
              <w:left w:val="nil"/>
              <w:bottom w:val="single" w:sz="4" w:space="0" w:color="auto"/>
              <w:right w:val="single" w:sz="4" w:space="0" w:color="auto"/>
            </w:tcBorders>
            <w:shd w:val="clear" w:color="auto" w:fill="auto"/>
            <w:vAlign w:val="center"/>
            <w:hideMark/>
          </w:tcPr>
          <w:p w14:paraId="519B246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64.71</w:t>
            </w:r>
          </w:p>
        </w:tc>
        <w:tc>
          <w:tcPr>
            <w:tcW w:w="576" w:type="dxa"/>
            <w:tcBorders>
              <w:top w:val="nil"/>
              <w:left w:val="nil"/>
              <w:bottom w:val="single" w:sz="4" w:space="0" w:color="auto"/>
              <w:right w:val="single" w:sz="4" w:space="0" w:color="auto"/>
            </w:tcBorders>
            <w:shd w:val="clear" w:color="auto" w:fill="auto"/>
            <w:vAlign w:val="center"/>
            <w:hideMark/>
          </w:tcPr>
          <w:p w14:paraId="519B246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65.40</w:t>
            </w:r>
          </w:p>
        </w:tc>
        <w:tc>
          <w:tcPr>
            <w:tcW w:w="576" w:type="dxa"/>
            <w:tcBorders>
              <w:top w:val="nil"/>
              <w:left w:val="nil"/>
              <w:bottom w:val="single" w:sz="4" w:space="0" w:color="auto"/>
              <w:right w:val="single" w:sz="4" w:space="0" w:color="auto"/>
            </w:tcBorders>
            <w:shd w:val="clear" w:color="auto" w:fill="auto"/>
            <w:vAlign w:val="center"/>
            <w:hideMark/>
          </w:tcPr>
          <w:p w14:paraId="519B246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68.80</w:t>
            </w:r>
          </w:p>
        </w:tc>
      </w:tr>
      <w:tr w:rsidR="00E2603D" w:rsidRPr="008E63BB" w14:paraId="519B247E"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46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9</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46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Hà Nam</w:t>
            </w:r>
          </w:p>
        </w:tc>
        <w:tc>
          <w:tcPr>
            <w:tcW w:w="904" w:type="dxa"/>
            <w:tcBorders>
              <w:top w:val="nil"/>
              <w:left w:val="nil"/>
              <w:bottom w:val="single" w:sz="4" w:space="0" w:color="auto"/>
              <w:right w:val="single" w:sz="4" w:space="0" w:color="auto"/>
            </w:tcBorders>
            <w:shd w:val="clear" w:color="auto" w:fill="auto"/>
            <w:noWrap/>
            <w:vAlign w:val="bottom"/>
            <w:hideMark/>
          </w:tcPr>
          <w:p w14:paraId="519B246F"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47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50</w:t>
            </w:r>
          </w:p>
        </w:tc>
        <w:tc>
          <w:tcPr>
            <w:tcW w:w="576" w:type="dxa"/>
            <w:tcBorders>
              <w:top w:val="nil"/>
              <w:left w:val="nil"/>
              <w:bottom w:val="single" w:sz="4" w:space="0" w:color="auto"/>
              <w:right w:val="single" w:sz="4" w:space="0" w:color="auto"/>
            </w:tcBorders>
            <w:shd w:val="clear" w:color="auto" w:fill="auto"/>
            <w:vAlign w:val="center"/>
            <w:hideMark/>
          </w:tcPr>
          <w:p w14:paraId="519B247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44</w:t>
            </w:r>
          </w:p>
        </w:tc>
        <w:tc>
          <w:tcPr>
            <w:tcW w:w="576" w:type="dxa"/>
            <w:tcBorders>
              <w:top w:val="nil"/>
              <w:left w:val="nil"/>
              <w:bottom w:val="single" w:sz="4" w:space="0" w:color="auto"/>
              <w:right w:val="single" w:sz="4" w:space="0" w:color="auto"/>
            </w:tcBorders>
            <w:shd w:val="clear" w:color="auto" w:fill="auto"/>
            <w:vAlign w:val="center"/>
            <w:hideMark/>
          </w:tcPr>
          <w:p w14:paraId="519B247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26</w:t>
            </w:r>
          </w:p>
        </w:tc>
        <w:tc>
          <w:tcPr>
            <w:tcW w:w="576" w:type="dxa"/>
            <w:tcBorders>
              <w:top w:val="nil"/>
              <w:left w:val="nil"/>
              <w:bottom w:val="single" w:sz="4" w:space="0" w:color="auto"/>
              <w:right w:val="single" w:sz="4" w:space="0" w:color="auto"/>
            </w:tcBorders>
            <w:shd w:val="clear" w:color="auto" w:fill="auto"/>
            <w:vAlign w:val="center"/>
            <w:hideMark/>
          </w:tcPr>
          <w:p w14:paraId="519B247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40</w:t>
            </w:r>
          </w:p>
        </w:tc>
        <w:tc>
          <w:tcPr>
            <w:tcW w:w="576" w:type="dxa"/>
            <w:tcBorders>
              <w:top w:val="nil"/>
              <w:left w:val="nil"/>
              <w:bottom w:val="single" w:sz="4" w:space="0" w:color="auto"/>
              <w:right w:val="single" w:sz="4" w:space="0" w:color="auto"/>
            </w:tcBorders>
            <w:shd w:val="clear" w:color="auto" w:fill="auto"/>
            <w:vAlign w:val="center"/>
            <w:hideMark/>
          </w:tcPr>
          <w:p w14:paraId="519B247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w:t>
            </w:r>
          </w:p>
        </w:tc>
        <w:tc>
          <w:tcPr>
            <w:tcW w:w="576" w:type="dxa"/>
            <w:tcBorders>
              <w:top w:val="nil"/>
              <w:left w:val="nil"/>
              <w:bottom w:val="single" w:sz="4" w:space="0" w:color="auto"/>
              <w:right w:val="single" w:sz="4" w:space="0" w:color="auto"/>
            </w:tcBorders>
            <w:shd w:val="clear" w:color="auto" w:fill="auto"/>
            <w:vAlign w:val="center"/>
            <w:hideMark/>
          </w:tcPr>
          <w:p w14:paraId="519B247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w:t>
            </w:r>
          </w:p>
        </w:tc>
        <w:tc>
          <w:tcPr>
            <w:tcW w:w="576" w:type="dxa"/>
            <w:tcBorders>
              <w:top w:val="nil"/>
              <w:left w:val="nil"/>
              <w:bottom w:val="single" w:sz="4" w:space="0" w:color="auto"/>
              <w:right w:val="single" w:sz="4" w:space="0" w:color="auto"/>
            </w:tcBorders>
            <w:shd w:val="clear" w:color="auto" w:fill="auto"/>
            <w:vAlign w:val="center"/>
            <w:hideMark/>
          </w:tcPr>
          <w:p w14:paraId="519B247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w:t>
            </w:r>
          </w:p>
        </w:tc>
        <w:tc>
          <w:tcPr>
            <w:tcW w:w="576" w:type="dxa"/>
            <w:tcBorders>
              <w:top w:val="nil"/>
              <w:left w:val="nil"/>
              <w:bottom w:val="single" w:sz="4" w:space="0" w:color="auto"/>
              <w:right w:val="single" w:sz="4" w:space="0" w:color="auto"/>
            </w:tcBorders>
            <w:shd w:val="clear" w:color="auto" w:fill="auto"/>
            <w:vAlign w:val="center"/>
            <w:hideMark/>
          </w:tcPr>
          <w:p w14:paraId="519B247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32</w:t>
            </w:r>
          </w:p>
        </w:tc>
        <w:tc>
          <w:tcPr>
            <w:tcW w:w="576" w:type="dxa"/>
            <w:tcBorders>
              <w:top w:val="nil"/>
              <w:left w:val="nil"/>
              <w:bottom w:val="single" w:sz="4" w:space="0" w:color="auto"/>
              <w:right w:val="single" w:sz="4" w:space="0" w:color="auto"/>
            </w:tcBorders>
            <w:shd w:val="clear" w:color="auto" w:fill="auto"/>
            <w:vAlign w:val="center"/>
            <w:hideMark/>
          </w:tcPr>
          <w:p w14:paraId="519B247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45</w:t>
            </w:r>
          </w:p>
        </w:tc>
        <w:tc>
          <w:tcPr>
            <w:tcW w:w="576" w:type="dxa"/>
            <w:tcBorders>
              <w:top w:val="nil"/>
              <w:left w:val="nil"/>
              <w:bottom w:val="single" w:sz="4" w:space="0" w:color="auto"/>
              <w:right w:val="single" w:sz="4" w:space="0" w:color="auto"/>
            </w:tcBorders>
            <w:shd w:val="clear" w:color="auto" w:fill="auto"/>
            <w:vAlign w:val="center"/>
            <w:hideMark/>
          </w:tcPr>
          <w:p w14:paraId="519B247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31</w:t>
            </w:r>
          </w:p>
        </w:tc>
        <w:tc>
          <w:tcPr>
            <w:tcW w:w="576" w:type="dxa"/>
            <w:tcBorders>
              <w:top w:val="nil"/>
              <w:left w:val="nil"/>
              <w:bottom w:val="single" w:sz="4" w:space="0" w:color="auto"/>
              <w:right w:val="single" w:sz="4" w:space="0" w:color="auto"/>
            </w:tcBorders>
            <w:shd w:val="clear" w:color="auto" w:fill="auto"/>
            <w:vAlign w:val="center"/>
            <w:hideMark/>
          </w:tcPr>
          <w:p w14:paraId="519B247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35</w:t>
            </w:r>
          </w:p>
        </w:tc>
        <w:tc>
          <w:tcPr>
            <w:tcW w:w="576" w:type="dxa"/>
            <w:tcBorders>
              <w:top w:val="nil"/>
              <w:left w:val="nil"/>
              <w:bottom w:val="single" w:sz="4" w:space="0" w:color="auto"/>
              <w:right w:val="single" w:sz="4" w:space="0" w:color="auto"/>
            </w:tcBorders>
            <w:shd w:val="clear" w:color="auto" w:fill="auto"/>
            <w:vAlign w:val="center"/>
            <w:hideMark/>
          </w:tcPr>
          <w:p w14:paraId="519B247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35</w:t>
            </w:r>
          </w:p>
        </w:tc>
        <w:tc>
          <w:tcPr>
            <w:tcW w:w="576" w:type="dxa"/>
            <w:tcBorders>
              <w:top w:val="nil"/>
              <w:left w:val="nil"/>
              <w:bottom w:val="single" w:sz="4" w:space="0" w:color="auto"/>
              <w:right w:val="single" w:sz="4" w:space="0" w:color="auto"/>
            </w:tcBorders>
            <w:shd w:val="clear" w:color="auto" w:fill="auto"/>
            <w:vAlign w:val="center"/>
            <w:hideMark/>
          </w:tcPr>
          <w:p w14:paraId="519B247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37</w:t>
            </w:r>
          </w:p>
        </w:tc>
        <w:tc>
          <w:tcPr>
            <w:tcW w:w="576" w:type="dxa"/>
            <w:tcBorders>
              <w:top w:val="nil"/>
              <w:left w:val="nil"/>
              <w:bottom w:val="single" w:sz="4" w:space="0" w:color="auto"/>
              <w:right w:val="single" w:sz="4" w:space="0" w:color="auto"/>
            </w:tcBorders>
            <w:shd w:val="clear" w:color="auto" w:fill="auto"/>
            <w:vAlign w:val="center"/>
            <w:hideMark/>
          </w:tcPr>
          <w:p w14:paraId="519B247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34</w:t>
            </w:r>
          </w:p>
        </w:tc>
      </w:tr>
      <w:tr w:rsidR="00E2603D" w:rsidRPr="008E63BB" w14:paraId="519B2490"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47F"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480"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481"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48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47.22</w:t>
            </w:r>
          </w:p>
        </w:tc>
        <w:tc>
          <w:tcPr>
            <w:tcW w:w="576" w:type="dxa"/>
            <w:tcBorders>
              <w:top w:val="nil"/>
              <w:left w:val="nil"/>
              <w:bottom w:val="single" w:sz="4" w:space="0" w:color="auto"/>
              <w:right w:val="single" w:sz="4" w:space="0" w:color="auto"/>
            </w:tcBorders>
            <w:shd w:val="clear" w:color="auto" w:fill="auto"/>
            <w:vAlign w:val="center"/>
            <w:hideMark/>
          </w:tcPr>
          <w:p w14:paraId="519B248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51.29</w:t>
            </w:r>
          </w:p>
        </w:tc>
        <w:tc>
          <w:tcPr>
            <w:tcW w:w="576" w:type="dxa"/>
            <w:tcBorders>
              <w:top w:val="nil"/>
              <w:left w:val="nil"/>
              <w:bottom w:val="single" w:sz="4" w:space="0" w:color="auto"/>
              <w:right w:val="single" w:sz="4" w:space="0" w:color="auto"/>
            </w:tcBorders>
            <w:shd w:val="clear" w:color="auto" w:fill="auto"/>
            <w:vAlign w:val="center"/>
            <w:hideMark/>
          </w:tcPr>
          <w:p w14:paraId="519B248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55.13</w:t>
            </w:r>
          </w:p>
        </w:tc>
        <w:tc>
          <w:tcPr>
            <w:tcW w:w="576" w:type="dxa"/>
            <w:tcBorders>
              <w:top w:val="nil"/>
              <w:left w:val="nil"/>
              <w:bottom w:val="single" w:sz="4" w:space="0" w:color="auto"/>
              <w:right w:val="single" w:sz="4" w:space="0" w:color="auto"/>
            </w:tcBorders>
            <w:shd w:val="clear" w:color="auto" w:fill="auto"/>
            <w:vAlign w:val="center"/>
            <w:hideMark/>
          </w:tcPr>
          <w:p w14:paraId="519B248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56.89</w:t>
            </w:r>
          </w:p>
        </w:tc>
        <w:tc>
          <w:tcPr>
            <w:tcW w:w="576" w:type="dxa"/>
            <w:tcBorders>
              <w:top w:val="nil"/>
              <w:left w:val="nil"/>
              <w:bottom w:val="single" w:sz="4" w:space="0" w:color="auto"/>
              <w:right w:val="single" w:sz="4" w:space="0" w:color="auto"/>
            </w:tcBorders>
            <w:shd w:val="clear" w:color="auto" w:fill="auto"/>
            <w:vAlign w:val="center"/>
            <w:hideMark/>
          </w:tcPr>
          <w:p w14:paraId="519B248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52.18</w:t>
            </w:r>
          </w:p>
        </w:tc>
        <w:tc>
          <w:tcPr>
            <w:tcW w:w="576" w:type="dxa"/>
            <w:tcBorders>
              <w:top w:val="nil"/>
              <w:left w:val="nil"/>
              <w:bottom w:val="single" w:sz="4" w:space="0" w:color="auto"/>
              <w:right w:val="single" w:sz="4" w:space="0" w:color="auto"/>
            </w:tcBorders>
            <w:shd w:val="clear" w:color="auto" w:fill="auto"/>
            <w:vAlign w:val="center"/>
            <w:hideMark/>
          </w:tcPr>
          <w:p w14:paraId="519B248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51.58</w:t>
            </w:r>
          </w:p>
        </w:tc>
        <w:tc>
          <w:tcPr>
            <w:tcW w:w="576" w:type="dxa"/>
            <w:tcBorders>
              <w:top w:val="nil"/>
              <w:left w:val="nil"/>
              <w:bottom w:val="single" w:sz="4" w:space="0" w:color="auto"/>
              <w:right w:val="single" w:sz="4" w:space="0" w:color="auto"/>
            </w:tcBorders>
            <w:shd w:val="clear" w:color="auto" w:fill="auto"/>
            <w:vAlign w:val="center"/>
            <w:hideMark/>
          </w:tcPr>
          <w:p w14:paraId="519B248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51.92</w:t>
            </w:r>
          </w:p>
        </w:tc>
        <w:tc>
          <w:tcPr>
            <w:tcW w:w="576" w:type="dxa"/>
            <w:tcBorders>
              <w:top w:val="nil"/>
              <w:left w:val="nil"/>
              <w:bottom w:val="single" w:sz="4" w:space="0" w:color="auto"/>
              <w:right w:val="single" w:sz="4" w:space="0" w:color="auto"/>
            </w:tcBorders>
            <w:shd w:val="clear" w:color="auto" w:fill="auto"/>
            <w:vAlign w:val="center"/>
            <w:hideMark/>
          </w:tcPr>
          <w:p w14:paraId="519B248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57.81</w:t>
            </w:r>
          </w:p>
        </w:tc>
        <w:tc>
          <w:tcPr>
            <w:tcW w:w="576" w:type="dxa"/>
            <w:tcBorders>
              <w:top w:val="nil"/>
              <w:left w:val="nil"/>
              <w:bottom w:val="single" w:sz="4" w:space="0" w:color="auto"/>
              <w:right w:val="single" w:sz="4" w:space="0" w:color="auto"/>
            </w:tcBorders>
            <w:shd w:val="clear" w:color="auto" w:fill="auto"/>
            <w:vAlign w:val="center"/>
            <w:hideMark/>
          </w:tcPr>
          <w:p w14:paraId="519B248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56.57</w:t>
            </w:r>
          </w:p>
        </w:tc>
        <w:tc>
          <w:tcPr>
            <w:tcW w:w="576" w:type="dxa"/>
            <w:tcBorders>
              <w:top w:val="nil"/>
              <w:left w:val="nil"/>
              <w:bottom w:val="single" w:sz="4" w:space="0" w:color="auto"/>
              <w:right w:val="single" w:sz="4" w:space="0" w:color="auto"/>
            </w:tcBorders>
            <w:shd w:val="clear" w:color="auto" w:fill="auto"/>
            <w:vAlign w:val="center"/>
            <w:hideMark/>
          </w:tcPr>
          <w:p w14:paraId="519B248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58.49</w:t>
            </w:r>
          </w:p>
        </w:tc>
        <w:tc>
          <w:tcPr>
            <w:tcW w:w="576" w:type="dxa"/>
            <w:tcBorders>
              <w:top w:val="nil"/>
              <w:left w:val="nil"/>
              <w:bottom w:val="single" w:sz="4" w:space="0" w:color="auto"/>
              <w:right w:val="single" w:sz="4" w:space="0" w:color="auto"/>
            </w:tcBorders>
            <w:shd w:val="clear" w:color="auto" w:fill="auto"/>
            <w:vAlign w:val="center"/>
            <w:hideMark/>
          </w:tcPr>
          <w:p w14:paraId="519B248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58.16</w:t>
            </w:r>
          </w:p>
        </w:tc>
        <w:tc>
          <w:tcPr>
            <w:tcW w:w="576" w:type="dxa"/>
            <w:tcBorders>
              <w:top w:val="nil"/>
              <w:left w:val="nil"/>
              <w:bottom w:val="single" w:sz="4" w:space="0" w:color="auto"/>
              <w:right w:val="single" w:sz="4" w:space="0" w:color="auto"/>
            </w:tcBorders>
            <w:shd w:val="clear" w:color="auto" w:fill="auto"/>
            <w:vAlign w:val="center"/>
            <w:hideMark/>
          </w:tcPr>
          <w:p w14:paraId="519B248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61.97</w:t>
            </w:r>
          </w:p>
        </w:tc>
        <w:tc>
          <w:tcPr>
            <w:tcW w:w="576" w:type="dxa"/>
            <w:tcBorders>
              <w:top w:val="nil"/>
              <w:left w:val="nil"/>
              <w:bottom w:val="single" w:sz="4" w:space="0" w:color="auto"/>
              <w:right w:val="single" w:sz="4" w:space="0" w:color="auto"/>
            </w:tcBorders>
            <w:shd w:val="clear" w:color="auto" w:fill="auto"/>
            <w:vAlign w:val="center"/>
            <w:hideMark/>
          </w:tcPr>
          <w:p w14:paraId="519B248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62.77</w:t>
            </w:r>
          </w:p>
        </w:tc>
        <w:tc>
          <w:tcPr>
            <w:tcW w:w="576" w:type="dxa"/>
            <w:tcBorders>
              <w:top w:val="nil"/>
              <w:left w:val="nil"/>
              <w:bottom w:val="single" w:sz="4" w:space="0" w:color="auto"/>
              <w:right w:val="single" w:sz="4" w:space="0" w:color="auto"/>
            </w:tcBorders>
            <w:shd w:val="clear" w:color="auto" w:fill="auto"/>
            <w:vAlign w:val="center"/>
            <w:hideMark/>
          </w:tcPr>
          <w:p w14:paraId="519B248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65.07</w:t>
            </w:r>
          </w:p>
        </w:tc>
      </w:tr>
      <w:tr w:rsidR="00E2603D" w:rsidRPr="008E63BB" w14:paraId="519B24A2"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49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10</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49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Ninh Bình</w:t>
            </w:r>
          </w:p>
        </w:tc>
        <w:tc>
          <w:tcPr>
            <w:tcW w:w="904" w:type="dxa"/>
            <w:tcBorders>
              <w:top w:val="nil"/>
              <w:left w:val="nil"/>
              <w:bottom w:val="single" w:sz="4" w:space="0" w:color="auto"/>
              <w:right w:val="single" w:sz="4" w:space="0" w:color="auto"/>
            </w:tcBorders>
            <w:shd w:val="clear" w:color="auto" w:fill="auto"/>
            <w:noWrap/>
            <w:vAlign w:val="bottom"/>
            <w:hideMark/>
          </w:tcPr>
          <w:p w14:paraId="519B2493"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49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17</w:t>
            </w:r>
          </w:p>
        </w:tc>
        <w:tc>
          <w:tcPr>
            <w:tcW w:w="576" w:type="dxa"/>
            <w:tcBorders>
              <w:top w:val="nil"/>
              <w:left w:val="nil"/>
              <w:bottom w:val="single" w:sz="4" w:space="0" w:color="auto"/>
              <w:right w:val="single" w:sz="4" w:space="0" w:color="auto"/>
            </w:tcBorders>
            <w:shd w:val="clear" w:color="auto" w:fill="auto"/>
            <w:vAlign w:val="center"/>
            <w:hideMark/>
          </w:tcPr>
          <w:p w14:paraId="519B249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23</w:t>
            </w:r>
          </w:p>
        </w:tc>
        <w:tc>
          <w:tcPr>
            <w:tcW w:w="576" w:type="dxa"/>
            <w:tcBorders>
              <w:top w:val="nil"/>
              <w:left w:val="nil"/>
              <w:bottom w:val="single" w:sz="4" w:space="0" w:color="auto"/>
              <w:right w:val="single" w:sz="4" w:space="0" w:color="auto"/>
            </w:tcBorders>
            <w:shd w:val="clear" w:color="auto" w:fill="auto"/>
            <w:vAlign w:val="center"/>
            <w:hideMark/>
          </w:tcPr>
          <w:p w14:paraId="519B249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23</w:t>
            </w:r>
          </w:p>
        </w:tc>
        <w:tc>
          <w:tcPr>
            <w:tcW w:w="576" w:type="dxa"/>
            <w:tcBorders>
              <w:top w:val="nil"/>
              <w:left w:val="nil"/>
              <w:bottom w:val="single" w:sz="4" w:space="0" w:color="auto"/>
              <w:right w:val="single" w:sz="4" w:space="0" w:color="auto"/>
            </w:tcBorders>
            <w:shd w:val="clear" w:color="auto" w:fill="auto"/>
            <w:vAlign w:val="center"/>
            <w:hideMark/>
          </w:tcPr>
          <w:p w14:paraId="519B249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32</w:t>
            </w:r>
          </w:p>
        </w:tc>
        <w:tc>
          <w:tcPr>
            <w:tcW w:w="576" w:type="dxa"/>
            <w:tcBorders>
              <w:top w:val="nil"/>
              <w:left w:val="nil"/>
              <w:bottom w:val="single" w:sz="4" w:space="0" w:color="auto"/>
              <w:right w:val="single" w:sz="4" w:space="0" w:color="auto"/>
            </w:tcBorders>
            <w:shd w:val="clear" w:color="auto" w:fill="auto"/>
            <w:vAlign w:val="center"/>
            <w:hideMark/>
          </w:tcPr>
          <w:p w14:paraId="519B249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11</w:t>
            </w:r>
          </w:p>
        </w:tc>
        <w:tc>
          <w:tcPr>
            <w:tcW w:w="576" w:type="dxa"/>
            <w:tcBorders>
              <w:top w:val="nil"/>
              <w:left w:val="nil"/>
              <w:bottom w:val="single" w:sz="4" w:space="0" w:color="auto"/>
              <w:right w:val="single" w:sz="4" w:space="0" w:color="auto"/>
            </w:tcBorders>
            <w:shd w:val="clear" w:color="auto" w:fill="auto"/>
            <w:vAlign w:val="center"/>
            <w:hideMark/>
          </w:tcPr>
          <w:p w14:paraId="519B249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21</w:t>
            </w:r>
          </w:p>
        </w:tc>
        <w:tc>
          <w:tcPr>
            <w:tcW w:w="576" w:type="dxa"/>
            <w:tcBorders>
              <w:top w:val="nil"/>
              <w:left w:val="nil"/>
              <w:bottom w:val="single" w:sz="4" w:space="0" w:color="auto"/>
              <w:right w:val="single" w:sz="4" w:space="0" w:color="auto"/>
            </w:tcBorders>
            <w:shd w:val="clear" w:color="auto" w:fill="auto"/>
            <w:vAlign w:val="center"/>
            <w:hideMark/>
          </w:tcPr>
          <w:p w14:paraId="519B249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23</w:t>
            </w:r>
          </w:p>
        </w:tc>
        <w:tc>
          <w:tcPr>
            <w:tcW w:w="576" w:type="dxa"/>
            <w:tcBorders>
              <w:top w:val="nil"/>
              <w:left w:val="nil"/>
              <w:bottom w:val="single" w:sz="4" w:space="0" w:color="auto"/>
              <w:right w:val="single" w:sz="4" w:space="0" w:color="auto"/>
            </w:tcBorders>
            <w:shd w:val="clear" w:color="auto" w:fill="auto"/>
            <w:vAlign w:val="center"/>
            <w:hideMark/>
          </w:tcPr>
          <w:p w14:paraId="519B249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28</w:t>
            </w:r>
          </w:p>
        </w:tc>
        <w:tc>
          <w:tcPr>
            <w:tcW w:w="576" w:type="dxa"/>
            <w:tcBorders>
              <w:top w:val="nil"/>
              <w:left w:val="nil"/>
              <w:bottom w:val="single" w:sz="4" w:space="0" w:color="auto"/>
              <w:right w:val="single" w:sz="4" w:space="0" w:color="auto"/>
            </w:tcBorders>
            <w:shd w:val="clear" w:color="auto" w:fill="auto"/>
            <w:vAlign w:val="center"/>
            <w:hideMark/>
          </w:tcPr>
          <w:p w14:paraId="519B249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11</w:t>
            </w:r>
          </w:p>
        </w:tc>
        <w:tc>
          <w:tcPr>
            <w:tcW w:w="576" w:type="dxa"/>
            <w:tcBorders>
              <w:top w:val="nil"/>
              <w:left w:val="nil"/>
              <w:bottom w:val="single" w:sz="4" w:space="0" w:color="auto"/>
              <w:right w:val="single" w:sz="4" w:space="0" w:color="auto"/>
            </w:tcBorders>
            <w:shd w:val="clear" w:color="auto" w:fill="auto"/>
            <w:vAlign w:val="center"/>
            <w:hideMark/>
          </w:tcPr>
          <w:p w14:paraId="519B249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30</w:t>
            </w:r>
          </w:p>
        </w:tc>
        <w:tc>
          <w:tcPr>
            <w:tcW w:w="576" w:type="dxa"/>
            <w:tcBorders>
              <w:top w:val="nil"/>
              <w:left w:val="nil"/>
              <w:bottom w:val="single" w:sz="4" w:space="0" w:color="auto"/>
              <w:right w:val="single" w:sz="4" w:space="0" w:color="auto"/>
            </w:tcBorders>
            <w:shd w:val="clear" w:color="auto" w:fill="auto"/>
            <w:vAlign w:val="center"/>
            <w:hideMark/>
          </w:tcPr>
          <w:p w14:paraId="519B249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19</w:t>
            </w:r>
          </w:p>
        </w:tc>
        <w:tc>
          <w:tcPr>
            <w:tcW w:w="576" w:type="dxa"/>
            <w:tcBorders>
              <w:top w:val="nil"/>
              <w:left w:val="nil"/>
              <w:bottom w:val="single" w:sz="4" w:space="0" w:color="auto"/>
              <w:right w:val="single" w:sz="4" w:space="0" w:color="auto"/>
            </w:tcBorders>
            <w:shd w:val="clear" w:color="auto" w:fill="auto"/>
            <w:vAlign w:val="center"/>
            <w:hideMark/>
          </w:tcPr>
          <w:p w14:paraId="519B249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36</w:t>
            </w:r>
          </w:p>
        </w:tc>
        <w:tc>
          <w:tcPr>
            <w:tcW w:w="576" w:type="dxa"/>
            <w:tcBorders>
              <w:top w:val="nil"/>
              <w:left w:val="nil"/>
              <w:bottom w:val="single" w:sz="4" w:space="0" w:color="auto"/>
              <w:right w:val="single" w:sz="4" w:space="0" w:color="auto"/>
            </w:tcBorders>
            <w:shd w:val="clear" w:color="auto" w:fill="auto"/>
            <w:vAlign w:val="center"/>
            <w:hideMark/>
          </w:tcPr>
          <w:p w14:paraId="519B24A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29</w:t>
            </w:r>
          </w:p>
        </w:tc>
        <w:tc>
          <w:tcPr>
            <w:tcW w:w="576" w:type="dxa"/>
            <w:tcBorders>
              <w:top w:val="nil"/>
              <w:left w:val="nil"/>
              <w:bottom w:val="single" w:sz="4" w:space="0" w:color="auto"/>
              <w:right w:val="single" w:sz="4" w:space="0" w:color="auto"/>
            </w:tcBorders>
            <w:shd w:val="clear" w:color="auto" w:fill="auto"/>
            <w:vAlign w:val="center"/>
            <w:hideMark/>
          </w:tcPr>
          <w:p w14:paraId="519B24A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39</w:t>
            </w:r>
          </w:p>
        </w:tc>
      </w:tr>
      <w:tr w:rsidR="00E2603D" w:rsidRPr="008E63BB" w14:paraId="519B24B4"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4A3"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4A4"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4A5"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4A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55.78</w:t>
            </w:r>
          </w:p>
        </w:tc>
        <w:tc>
          <w:tcPr>
            <w:tcW w:w="576" w:type="dxa"/>
            <w:tcBorders>
              <w:top w:val="nil"/>
              <w:left w:val="nil"/>
              <w:bottom w:val="single" w:sz="4" w:space="0" w:color="auto"/>
              <w:right w:val="single" w:sz="4" w:space="0" w:color="auto"/>
            </w:tcBorders>
            <w:shd w:val="clear" w:color="auto" w:fill="auto"/>
            <w:vAlign w:val="center"/>
            <w:hideMark/>
          </w:tcPr>
          <w:p w14:paraId="519B24A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57.67</w:t>
            </w:r>
          </w:p>
        </w:tc>
        <w:tc>
          <w:tcPr>
            <w:tcW w:w="576" w:type="dxa"/>
            <w:tcBorders>
              <w:top w:val="nil"/>
              <w:left w:val="nil"/>
              <w:bottom w:val="single" w:sz="4" w:space="0" w:color="auto"/>
              <w:right w:val="single" w:sz="4" w:space="0" w:color="auto"/>
            </w:tcBorders>
            <w:shd w:val="clear" w:color="auto" w:fill="auto"/>
            <w:vAlign w:val="center"/>
            <w:hideMark/>
          </w:tcPr>
          <w:p w14:paraId="519B24A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56.14</w:t>
            </w:r>
          </w:p>
        </w:tc>
        <w:tc>
          <w:tcPr>
            <w:tcW w:w="576" w:type="dxa"/>
            <w:tcBorders>
              <w:top w:val="nil"/>
              <w:left w:val="nil"/>
              <w:bottom w:val="single" w:sz="4" w:space="0" w:color="auto"/>
              <w:right w:val="single" w:sz="4" w:space="0" w:color="auto"/>
            </w:tcBorders>
            <w:shd w:val="clear" w:color="auto" w:fill="auto"/>
            <w:vAlign w:val="center"/>
            <w:hideMark/>
          </w:tcPr>
          <w:p w14:paraId="519B24A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58.31</w:t>
            </w:r>
          </w:p>
        </w:tc>
        <w:tc>
          <w:tcPr>
            <w:tcW w:w="576" w:type="dxa"/>
            <w:tcBorders>
              <w:top w:val="nil"/>
              <w:left w:val="nil"/>
              <w:bottom w:val="single" w:sz="4" w:space="0" w:color="auto"/>
              <w:right w:val="single" w:sz="4" w:space="0" w:color="auto"/>
            </w:tcBorders>
            <w:shd w:val="clear" w:color="auto" w:fill="auto"/>
            <w:vAlign w:val="center"/>
            <w:hideMark/>
          </w:tcPr>
          <w:p w14:paraId="519B24A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62.85</w:t>
            </w:r>
          </w:p>
        </w:tc>
        <w:tc>
          <w:tcPr>
            <w:tcW w:w="576" w:type="dxa"/>
            <w:tcBorders>
              <w:top w:val="nil"/>
              <w:left w:val="nil"/>
              <w:bottom w:val="single" w:sz="4" w:space="0" w:color="auto"/>
              <w:right w:val="single" w:sz="4" w:space="0" w:color="auto"/>
            </w:tcBorders>
            <w:shd w:val="clear" w:color="auto" w:fill="auto"/>
            <w:vAlign w:val="center"/>
            <w:hideMark/>
          </w:tcPr>
          <w:p w14:paraId="519B24A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61.12</w:t>
            </w:r>
          </w:p>
        </w:tc>
        <w:tc>
          <w:tcPr>
            <w:tcW w:w="576" w:type="dxa"/>
            <w:tcBorders>
              <w:top w:val="nil"/>
              <w:left w:val="nil"/>
              <w:bottom w:val="single" w:sz="4" w:space="0" w:color="auto"/>
              <w:right w:val="single" w:sz="4" w:space="0" w:color="auto"/>
            </w:tcBorders>
            <w:shd w:val="clear" w:color="auto" w:fill="auto"/>
            <w:vAlign w:val="center"/>
            <w:hideMark/>
          </w:tcPr>
          <w:p w14:paraId="519B24A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58.87</w:t>
            </w:r>
          </w:p>
        </w:tc>
        <w:tc>
          <w:tcPr>
            <w:tcW w:w="576" w:type="dxa"/>
            <w:tcBorders>
              <w:top w:val="nil"/>
              <w:left w:val="nil"/>
              <w:bottom w:val="single" w:sz="4" w:space="0" w:color="auto"/>
              <w:right w:val="single" w:sz="4" w:space="0" w:color="auto"/>
            </w:tcBorders>
            <w:shd w:val="clear" w:color="auto" w:fill="auto"/>
            <w:vAlign w:val="center"/>
            <w:hideMark/>
          </w:tcPr>
          <w:p w14:paraId="519B24A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58.71</w:t>
            </w:r>
          </w:p>
        </w:tc>
        <w:tc>
          <w:tcPr>
            <w:tcW w:w="576" w:type="dxa"/>
            <w:tcBorders>
              <w:top w:val="nil"/>
              <w:left w:val="nil"/>
              <w:bottom w:val="single" w:sz="4" w:space="0" w:color="auto"/>
              <w:right w:val="single" w:sz="4" w:space="0" w:color="auto"/>
            </w:tcBorders>
            <w:shd w:val="clear" w:color="auto" w:fill="auto"/>
            <w:vAlign w:val="center"/>
            <w:hideMark/>
          </w:tcPr>
          <w:p w14:paraId="519B24A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60.75</w:t>
            </w:r>
          </w:p>
        </w:tc>
        <w:tc>
          <w:tcPr>
            <w:tcW w:w="576" w:type="dxa"/>
            <w:tcBorders>
              <w:top w:val="nil"/>
              <w:left w:val="nil"/>
              <w:bottom w:val="single" w:sz="4" w:space="0" w:color="auto"/>
              <w:right w:val="single" w:sz="4" w:space="0" w:color="auto"/>
            </w:tcBorders>
            <w:shd w:val="clear" w:color="auto" w:fill="auto"/>
            <w:vAlign w:val="center"/>
            <w:hideMark/>
          </w:tcPr>
          <w:p w14:paraId="519B24A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58.51</w:t>
            </w:r>
          </w:p>
        </w:tc>
        <w:tc>
          <w:tcPr>
            <w:tcW w:w="576" w:type="dxa"/>
            <w:tcBorders>
              <w:top w:val="nil"/>
              <w:left w:val="nil"/>
              <w:bottom w:val="single" w:sz="4" w:space="0" w:color="auto"/>
              <w:right w:val="single" w:sz="4" w:space="0" w:color="auto"/>
            </w:tcBorders>
            <w:shd w:val="clear" w:color="auto" w:fill="auto"/>
            <w:vAlign w:val="center"/>
            <w:hideMark/>
          </w:tcPr>
          <w:p w14:paraId="519B24B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60.14</w:t>
            </w:r>
          </w:p>
        </w:tc>
        <w:tc>
          <w:tcPr>
            <w:tcW w:w="576" w:type="dxa"/>
            <w:tcBorders>
              <w:top w:val="nil"/>
              <w:left w:val="nil"/>
              <w:bottom w:val="single" w:sz="4" w:space="0" w:color="auto"/>
              <w:right w:val="single" w:sz="4" w:space="0" w:color="auto"/>
            </w:tcBorders>
            <w:shd w:val="clear" w:color="auto" w:fill="auto"/>
            <w:vAlign w:val="center"/>
            <w:hideMark/>
          </w:tcPr>
          <w:p w14:paraId="519B24B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61.86</w:t>
            </w:r>
          </w:p>
        </w:tc>
        <w:tc>
          <w:tcPr>
            <w:tcW w:w="576" w:type="dxa"/>
            <w:tcBorders>
              <w:top w:val="nil"/>
              <w:left w:val="nil"/>
              <w:bottom w:val="single" w:sz="4" w:space="0" w:color="auto"/>
              <w:right w:val="single" w:sz="4" w:space="0" w:color="auto"/>
            </w:tcBorders>
            <w:shd w:val="clear" w:color="auto" w:fill="auto"/>
            <w:vAlign w:val="center"/>
            <w:hideMark/>
          </w:tcPr>
          <w:p w14:paraId="519B24B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63.55</w:t>
            </w:r>
          </w:p>
        </w:tc>
        <w:tc>
          <w:tcPr>
            <w:tcW w:w="576" w:type="dxa"/>
            <w:tcBorders>
              <w:top w:val="nil"/>
              <w:left w:val="nil"/>
              <w:bottom w:val="single" w:sz="4" w:space="0" w:color="auto"/>
              <w:right w:val="single" w:sz="4" w:space="0" w:color="auto"/>
            </w:tcBorders>
            <w:shd w:val="clear" w:color="auto" w:fill="auto"/>
            <w:vAlign w:val="center"/>
            <w:hideMark/>
          </w:tcPr>
          <w:p w14:paraId="519B24B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64.58</w:t>
            </w:r>
          </w:p>
        </w:tc>
      </w:tr>
      <w:tr w:rsidR="00E2603D" w:rsidRPr="008E63BB" w14:paraId="519B24C6" w14:textId="77777777" w:rsidTr="006E5817">
        <w:trPr>
          <w:trHeight w:val="20"/>
        </w:trPr>
        <w:tc>
          <w:tcPr>
            <w:tcW w:w="4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4B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11</w:t>
            </w:r>
          </w:p>
        </w:tc>
        <w:tc>
          <w:tcPr>
            <w:tcW w:w="663" w:type="dxa"/>
            <w:vMerge w:val="restart"/>
            <w:tcBorders>
              <w:top w:val="nil"/>
              <w:left w:val="single" w:sz="4" w:space="0" w:color="auto"/>
              <w:bottom w:val="single" w:sz="4" w:space="0" w:color="auto"/>
              <w:right w:val="single" w:sz="4" w:space="0" w:color="auto"/>
            </w:tcBorders>
            <w:shd w:val="clear" w:color="auto" w:fill="auto"/>
            <w:vAlign w:val="center"/>
            <w:hideMark/>
          </w:tcPr>
          <w:p w14:paraId="519B24B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Thái Bình</w:t>
            </w:r>
          </w:p>
        </w:tc>
        <w:tc>
          <w:tcPr>
            <w:tcW w:w="904" w:type="dxa"/>
            <w:tcBorders>
              <w:top w:val="nil"/>
              <w:left w:val="nil"/>
              <w:bottom w:val="single" w:sz="4" w:space="0" w:color="auto"/>
              <w:right w:val="single" w:sz="4" w:space="0" w:color="auto"/>
            </w:tcBorders>
            <w:shd w:val="clear" w:color="auto" w:fill="auto"/>
            <w:noWrap/>
            <w:vAlign w:val="bottom"/>
            <w:hideMark/>
          </w:tcPr>
          <w:p w14:paraId="519B24B7"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Xếp hạng</w:t>
            </w:r>
          </w:p>
        </w:tc>
        <w:tc>
          <w:tcPr>
            <w:tcW w:w="576" w:type="dxa"/>
            <w:tcBorders>
              <w:top w:val="nil"/>
              <w:left w:val="nil"/>
              <w:bottom w:val="single" w:sz="4" w:space="0" w:color="auto"/>
              <w:right w:val="single" w:sz="4" w:space="0" w:color="auto"/>
            </w:tcBorders>
            <w:shd w:val="clear" w:color="auto" w:fill="auto"/>
            <w:vAlign w:val="center"/>
            <w:hideMark/>
          </w:tcPr>
          <w:p w14:paraId="519B24B8"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36</w:t>
            </w:r>
          </w:p>
        </w:tc>
        <w:tc>
          <w:tcPr>
            <w:tcW w:w="576" w:type="dxa"/>
            <w:tcBorders>
              <w:top w:val="nil"/>
              <w:left w:val="nil"/>
              <w:bottom w:val="single" w:sz="4" w:space="0" w:color="auto"/>
              <w:right w:val="single" w:sz="4" w:space="0" w:color="auto"/>
            </w:tcBorders>
            <w:shd w:val="clear" w:color="auto" w:fill="auto"/>
            <w:vAlign w:val="center"/>
            <w:hideMark/>
          </w:tcPr>
          <w:p w14:paraId="519B24B9"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30</w:t>
            </w:r>
          </w:p>
        </w:tc>
        <w:tc>
          <w:tcPr>
            <w:tcW w:w="576" w:type="dxa"/>
            <w:tcBorders>
              <w:top w:val="nil"/>
              <w:left w:val="nil"/>
              <w:bottom w:val="single" w:sz="4" w:space="0" w:color="auto"/>
              <w:right w:val="single" w:sz="4" w:space="0" w:color="auto"/>
            </w:tcBorders>
            <w:shd w:val="clear" w:color="auto" w:fill="auto"/>
            <w:vAlign w:val="center"/>
            <w:hideMark/>
          </w:tcPr>
          <w:p w14:paraId="519B24B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28</w:t>
            </w:r>
          </w:p>
        </w:tc>
        <w:tc>
          <w:tcPr>
            <w:tcW w:w="576" w:type="dxa"/>
            <w:tcBorders>
              <w:top w:val="nil"/>
              <w:left w:val="nil"/>
              <w:bottom w:val="single" w:sz="4" w:space="0" w:color="auto"/>
              <w:right w:val="single" w:sz="4" w:space="0" w:color="auto"/>
            </w:tcBorders>
            <w:shd w:val="clear" w:color="auto" w:fill="auto"/>
            <w:vAlign w:val="center"/>
            <w:hideMark/>
          </w:tcPr>
          <w:p w14:paraId="519B24B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50</w:t>
            </w:r>
          </w:p>
        </w:tc>
        <w:tc>
          <w:tcPr>
            <w:tcW w:w="576" w:type="dxa"/>
            <w:tcBorders>
              <w:top w:val="nil"/>
              <w:left w:val="nil"/>
              <w:bottom w:val="single" w:sz="4" w:space="0" w:color="auto"/>
              <w:right w:val="single" w:sz="4" w:space="0" w:color="auto"/>
            </w:tcBorders>
            <w:shd w:val="clear" w:color="auto" w:fill="auto"/>
            <w:vAlign w:val="center"/>
            <w:hideMark/>
          </w:tcPr>
          <w:p w14:paraId="519B24B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22</w:t>
            </w:r>
          </w:p>
        </w:tc>
        <w:tc>
          <w:tcPr>
            <w:tcW w:w="576" w:type="dxa"/>
            <w:tcBorders>
              <w:top w:val="nil"/>
              <w:left w:val="nil"/>
              <w:bottom w:val="single" w:sz="4" w:space="0" w:color="auto"/>
              <w:right w:val="single" w:sz="4" w:space="0" w:color="auto"/>
            </w:tcBorders>
            <w:shd w:val="clear" w:color="auto" w:fill="auto"/>
            <w:vAlign w:val="center"/>
            <w:hideMark/>
          </w:tcPr>
          <w:p w14:paraId="519B24B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w:t>
            </w:r>
          </w:p>
        </w:tc>
        <w:tc>
          <w:tcPr>
            <w:tcW w:w="576" w:type="dxa"/>
            <w:tcBorders>
              <w:top w:val="nil"/>
              <w:left w:val="nil"/>
              <w:bottom w:val="single" w:sz="4" w:space="0" w:color="auto"/>
              <w:right w:val="single" w:sz="4" w:space="0" w:color="auto"/>
            </w:tcBorders>
            <w:shd w:val="clear" w:color="auto" w:fill="auto"/>
            <w:vAlign w:val="center"/>
            <w:hideMark/>
          </w:tcPr>
          <w:p w14:paraId="519B24B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25</w:t>
            </w:r>
          </w:p>
        </w:tc>
        <w:tc>
          <w:tcPr>
            <w:tcW w:w="576" w:type="dxa"/>
            <w:tcBorders>
              <w:top w:val="nil"/>
              <w:left w:val="nil"/>
              <w:bottom w:val="single" w:sz="4" w:space="0" w:color="auto"/>
              <w:right w:val="single" w:sz="4" w:space="0" w:color="auto"/>
            </w:tcBorders>
            <w:shd w:val="clear" w:color="auto" w:fill="auto"/>
            <w:vAlign w:val="center"/>
            <w:hideMark/>
          </w:tcPr>
          <w:p w14:paraId="519B24B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21</w:t>
            </w:r>
          </w:p>
        </w:tc>
        <w:tc>
          <w:tcPr>
            <w:tcW w:w="576" w:type="dxa"/>
            <w:tcBorders>
              <w:top w:val="nil"/>
              <w:left w:val="nil"/>
              <w:bottom w:val="single" w:sz="4" w:space="0" w:color="auto"/>
              <w:right w:val="single" w:sz="4" w:space="0" w:color="auto"/>
            </w:tcBorders>
            <w:shd w:val="clear" w:color="auto" w:fill="auto"/>
            <w:vAlign w:val="center"/>
            <w:hideMark/>
          </w:tcPr>
          <w:p w14:paraId="519B24C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40</w:t>
            </w:r>
          </w:p>
        </w:tc>
        <w:tc>
          <w:tcPr>
            <w:tcW w:w="576" w:type="dxa"/>
            <w:tcBorders>
              <w:top w:val="nil"/>
              <w:left w:val="nil"/>
              <w:bottom w:val="single" w:sz="4" w:space="0" w:color="auto"/>
              <w:right w:val="single" w:sz="4" w:space="0" w:color="auto"/>
            </w:tcBorders>
            <w:shd w:val="clear" w:color="auto" w:fill="auto"/>
            <w:vAlign w:val="center"/>
            <w:hideMark/>
          </w:tcPr>
          <w:p w14:paraId="519B24C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38</w:t>
            </w:r>
          </w:p>
        </w:tc>
        <w:tc>
          <w:tcPr>
            <w:tcW w:w="576" w:type="dxa"/>
            <w:tcBorders>
              <w:top w:val="nil"/>
              <w:left w:val="nil"/>
              <w:bottom w:val="single" w:sz="4" w:space="0" w:color="auto"/>
              <w:right w:val="single" w:sz="4" w:space="0" w:color="auto"/>
            </w:tcBorders>
            <w:shd w:val="clear" w:color="auto" w:fill="auto"/>
            <w:vAlign w:val="center"/>
            <w:hideMark/>
          </w:tcPr>
          <w:p w14:paraId="519B24C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40</w:t>
            </w:r>
          </w:p>
        </w:tc>
        <w:tc>
          <w:tcPr>
            <w:tcW w:w="576" w:type="dxa"/>
            <w:tcBorders>
              <w:top w:val="nil"/>
              <w:left w:val="nil"/>
              <w:bottom w:val="single" w:sz="4" w:space="0" w:color="auto"/>
              <w:right w:val="single" w:sz="4" w:space="0" w:color="auto"/>
            </w:tcBorders>
            <w:shd w:val="clear" w:color="auto" w:fill="auto"/>
            <w:vAlign w:val="center"/>
            <w:hideMark/>
          </w:tcPr>
          <w:p w14:paraId="519B24C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34</w:t>
            </w:r>
          </w:p>
        </w:tc>
        <w:tc>
          <w:tcPr>
            <w:tcW w:w="576" w:type="dxa"/>
            <w:tcBorders>
              <w:top w:val="nil"/>
              <w:left w:val="nil"/>
              <w:bottom w:val="single" w:sz="4" w:space="0" w:color="auto"/>
              <w:right w:val="single" w:sz="4" w:space="0" w:color="auto"/>
            </w:tcBorders>
            <w:shd w:val="clear" w:color="auto" w:fill="auto"/>
            <w:vAlign w:val="center"/>
            <w:hideMark/>
          </w:tcPr>
          <w:p w14:paraId="519B24C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32</w:t>
            </w:r>
          </w:p>
        </w:tc>
        <w:tc>
          <w:tcPr>
            <w:tcW w:w="576" w:type="dxa"/>
            <w:tcBorders>
              <w:top w:val="nil"/>
              <w:left w:val="nil"/>
              <w:bottom w:val="single" w:sz="4" w:space="0" w:color="auto"/>
              <w:right w:val="single" w:sz="4" w:space="0" w:color="auto"/>
            </w:tcBorders>
            <w:shd w:val="clear" w:color="auto" w:fill="auto"/>
            <w:vAlign w:val="center"/>
            <w:hideMark/>
          </w:tcPr>
          <w:p w14:paraId="519B24C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28</w:t>
            </w:r>
          </w:p>
        </w:tc>
      </w:tr>
      <w:tr w:rsidR="00E2603D" w:rsidRPr="008E63BB" w14:paraId="519B24D8" w14:textId="77777777" w:rsidTr="006E5817">
        <w:trPr>
          <w:trHeight w:val="20"/>
        </w:trPr>
        <w:tc>
          <w:tcPr>
            <w:tcW w:w="430" w:type="dxa"/>
            <w:vMerge/>
            <w:tcBorders>
              <w:top w:val="nil"/>
              <w:left w:val="single" w:sz="4" w:space="0" w:color="auto"/>
              <w:bottom w:val="single" w:sz="4" w:space="0" w:color="auto"/>
              <w:right w:val="single" w:sz="4" w:space="0" w:color="auto"/>
            </w:tcBorders>
            <w:vAlign w:val="center"/>
            <w:hideMark/>
          </w:tcPr>
          <w:p w14:paraId="519B24C7" w14:textId="77777777" w:rsidR="00E2603D" w:rsidRPr="008E63BB" w:rsidRDefault="00E2603D" w:rsidP="006E5817">
            <w:pPr>
              <w:spacing w:before="60"/>
              <w:jc w:val="left"/>
              <w:rPr>
                <w:rFonts w:eastAsia="Times New Roman"/>
                <w:sz w:val="16"/>
                <w:szCs w:val="16"/>
              </w:rPr>
            </w:pPr>
          </w:p>
        </w:tc>
        <w:tc>
          <w:tcPr>
            <w:tcW w:w="663" w:type="dxa"/>
            <w:vMerge/>
            <w:tcBorders>
              <w:top w:val="nil"/>
              <w:left w:val="single" w:sz="4" w:space="0" w:color="auto"/>
              <w:bottom w:val="single" w:sz="4" w:space="0" w:color="auto"/>
              <w:right w:val="single" w:sz="4" w:space="0" w:color="auto"/>
            </w:tcBorders>
            <w:vAlign w:val="center"/>
            <w:hideMark/>
          </w:tcPr>
          <w:p w14:paraId="519B24C8" w14:textId="77777777" w:rsidR="00E2603D" w:rsidRPr="008E63BB" w:rsidRDefault="00E2603D" w:rsidP="006E5817">
            <w:pPr>
              <w:spacing w:before="60"/>
              <w:jc w:val="left"/>
              <w:rPr>
                <w:rFonts w:eastAsia="Times New Roman"/>
                <w:sz w:val="16"/>
                <w:szCs w:val="16"/>
              </w:rPr>
            </w:pPr>
          </w:p>
        </w:tc>
        <w:tc>
          <w:tcPr>
            <w:tcW w:w="904" w:type="dxa"/>
            <w:tcBorders>
              <w:top w:val="nil"/>
              <w:left w:val="nil"/>
              <w:bottom w:val="single" w:sz="4" w:space="0" w:color="auto"/>
              <w:right w:val="single" w:sz="4" w:space="0" w:color="auto"/>
            </w:tcBorders>
            <w:shd w:val="clear" w:color="auto" w:fill="auto"/>
            <w:noWrap/>
            <w:vAlign w:val="bottom"/>
            <w:hideMark/>
          </w:tcPr>
          <w:p w14:paraId="519B24C9" w14:textId="77777777" w:rsidR="00E2603D" w:rsidRPr="008E63BB" w:rsidRDefault="00E2603D" w:rsidP="006E5817">
            <w:pPr>
              <w:spacing w:before="60"/>
              <w:jc w:val="left"/>
              <w:rPr>
                <w:rFonts w:eastAsia="Times New Roman"/>
                <w:sz w:val="16"/>
                <w:szCs w:val="16"/>
              </w:rPr>
            </w:pPr>
            <w:r w:rsidRPr="008E63BB">
              <w:rPr>
                <w:rFonts w:eastAsia="Times New Roman"/>
                <w:sz w:val="16"/>
                <w:szCs w:val="16"/>
              </w:rPr>
              <w:t>điểm PCI</w:t>
            </w:r>
          </w:p>
        </w:tc>
        <w:tc>
          <w:tcPr>
            <w:tcW w:w="576" w:type="dxa"/>
            <w:tcBorders>
              <w:top w:val="nil"/>
              <w:left w:val="nil"/>
              <w:bottom w:val="single" w:sz="4" w:space="0" w:color="auto"/>
              <w:right w:val="single" w:sz="4" w:space="0" w:color="auto"/>
            </w:tcBorders>
            <w:shd w:val="clear" w:color="auto" w:fill="auto"/>
            <w:vAlign w:val="center"/>
            <w:hideMark/>
          </w:tcPr>
          <w:p w14:paraId="519B24CA"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50.57</w:t>
            </w:r>
          </w:p>
        </w:tc>
        <w:tc>
          <w:tcPr>
            <w:tcW w:w="576" w:type="dxa"/>
            <w:tcBorders>
              <w:top w:val="nil"/>
              <w:left w:val="nil"/>
              <w:bottom w:val="single" w:sz="4" w:space="0" w:color="auto"/>
              <w:right w:val="single" w:sz="4" w:space="0" w:color="auto"/>
            </w:tcBorders>
            <w:shd w:val="clear" w:color="auto" w:fill="auto"/>
            <w:vAlign w:val="center"/>
            <w:hideMark/>
          </w:tcPr>
          <w:p w14:paraId="519B24CB"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55.99</w:t>
            </w:r>
          </w:p>
        </w:tc>
        <w:tc>
          <w:tcPr>
            <w:tcW w:w="576" w:type="dxa"/>
            <w:tcBorders>
              <w:top w:val="nil"/>
              <w:left w:val="nil"/>
              <w:bottom w:val="single" w:sz="4" w:space="0" w:color="auto"/>
              <w:right w:val="single" w:sz="4" w:space="0" w:color="auto"/>
            </w:tcBorders>
            <w:shd w:val="clear" w:color="auto" w:fill="auto"/>
            <w:vAlign w:val="center"/>
            <w:hideMark/>
          </w:tcPr>
          <w:p w14:paraId="519B24CC"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54.27</w:t>
            </w:r>
          </w:p>
        </w:tc>
        <w:tc>
          <w:tcPr>
            <w:tcW w:w="576" w:type="dxa"/>
            <w:tcBorders>
              <w:top w:val="nil"/>
              <w:left w:val="nil"/>
              <w:bottom w:val="single" w:sz="4" w:space="0" w:color="auto"/>
              <w:right w:val="single" w:sz="4" w:space="0" w:color="auto"/>
            </w:tcBorders>
            <w:shd w:val="clear" w:color="auto" w:fill="auto"/>
            <w:vAlign w:val="center"/>
            <w:hideMark/>
          </w:tcPr>
          <w:p w14:paraId="519B24CD"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54.58</w:t>
            </w:r>
          </w:p>
        </w:tc>
        <w:tc>
          <w:tcPr>
            <w:tcW w:w="576" w:type="dxa"/>
            <w:tcBorders>
              <w:top w:val="nil"/>
              <w:left w:val="nil"/>
              <w:bottom w:val="single" w:sz="4" w:space="0" w:color="auto"/>
              <w:right w:val="single" w:sz="4" w:space="0" w:color="auto"/>
            </w:tcBorders>
            <w:shd w:val="clear" w:color="auto" w:fill="auto"/>
            <w:vAlign w:val="center"/>
            <w:hideMark/>
          </w:tcPr>
          <w:p w14:paraId="519B24CE"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60.04</w:t>
            </w:r>
          </w:p>
        </w:tc>
        <w:tc>
          <w:tcPr>
            <w:tcW w:w="576" w:type="dxa"/>
            <w:tcBorders>
              <w:top w:val="nil"/>
              <w:left w:val="nil"/>
              <w:bottom w:val="single" w:sz="4" w:space="0" w:color="auto"/>
              <w:right w:val="single" w:sz="4" w:space="0" w:color="auto"/>
            </w:tcBorders>
            <w:shd w:val="clear" w:color="auto" w:fill="auto"/>
            <w:vAlign w:val="center"/>
            <w:hideMark/>
          </w:tcPr>
          <w:p w14:paraId="519B24CF"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53.69</w:t>
            </w:r>
          </w:p>
        </w:tc>
        <w:tc>
          <w:tcPr>
            <w:tcW w:w="576" w:type="dxa"/>
            <w:tcBorders>
              <w:top w:val="nil"/>
              <w:left w:val="nil"/>
              <w:bottom w:val="single" w:sz="4" w:space="0" w:color="auto"/>
              <w:right w:val="single" w:sz="4" w:space="0" w:color="auto"/>
            </w:tcBorders>
            <w:shd w:val="clear" w:color="auto" w:fill="auto"/>
            <w:vAlign w:val="center"/>
            <w:hideMark/>
          </w:tcPr>
          <w:p w14:paraId="519B24D0"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58.37</w:t>
            </w:r>
          </w:p>
        </w:tc>
        <w:tc>
          <w:tcPr>
            <w:tcW w:w="576" w:type="dxa"/>
            <w:tcBorders>
              <w:top w:val="nil"/>
              <w:left w:val="nil"/>
              <w:bottom w:val="single" w:sz="4" w:space="0" w:color="auto"/>
              <w:right w:val="single" w:sz="4" w:space="0" w:color="auto"/>
            </w:tcBorders>
            <w:shd w:val="clear" w:color="auto" w:fill="auto"/>
            <w:vAlign w:val="center"/>
            <w:hideMark/>
          </w:tcPr>
          <w:p w14:paraId="519B24D1"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59.10</w:t>
            </w:r>
          </w:p>
        </w:tc>
        <w:tc>
          <w:tcPr>
            <w:tcW w:w="576" w:type="dxa"/>
            <w:tcBorders>
              <w:top w:val="nil"/>
              <w:left w:val="nil"/>
              <w:bottom w:val="single" w:sz="4" w:space="0" w:color="auto"/>
              <w:right w:val="single" w:sz="4" w:space="0" w:color="auto"/>
            </w:tcBorders>
            <w:shd w:val="clear" w:color="auto" w:fill="auto"/>
            <w:vAlign w:val="center"/>
            <w:hideMark/>
          </w:tcPr>
          <w:p w14:paraId="519B24D2"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57.37</w:t>
            </w:r>
          </w:p>
        </w:tc>
        <w:tc>
          <w:tcPr>
            <w:tcW w:w="576" w:type="dxa"/>
            <w:tcBorders>
              <w:top w:val="nil"/>
              <w:left w:val="nil"/>
              <w:bottom w:val="single" w:sz="4" w:space="0" w:color="auto"/>
              <w:right w:val="single" w:sz="4" w:space="0" w:color="auto"/>
            </w:tcBorders>
            <w:shd w:val="clear" w:color="auto" w:fill="auto"/>
            <w:vAlign w:val="center"/>
            <w:hideMark/>
          </w:tcPr>
          <w:p w14:paraId="519B24D3"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57.64</w:t>
            </w:r>
          </w:p>
        </w:tc>
        <w:tc>
          <w:tcPr>
            <w:tcW w:w="576" w:type="dxa"/>
            <w:tcBorders>
              <w:top w:val="nil"/>
              <w:left w:val="nil"/>
              <w:bottom w:val="single" w:sz="4" w:space="0" w:color="auto"/>
              <w:right w:val="single" w:sz="4" w:space="0" w:color="auto"/>
            </w:tcBorders>
            <w:shd w:val="clear" w:color="auto" w:fill="auto"/>
            <w:vAlign w:val="center"/>
            <w:hideMark/>
          </w:tcPr>
          <w:p w14:paraId="519B24D4"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57.72</w:t>
            </w:r>
          </w:p>
        </w:tc>
        <w:tc>
          <w:tcPr>
            <w:tcW w:w="576" w:type="dxa"/>
            <w:tcBorders>
              <w:top w:val="nil"/>
              <w:left w:val="nil"/>
              <w:bottom w:val="single" w:sz="4" w:space="0" w:color="auto"/>
              <w:right w:val="single" w:sz="4" w:space="0" w:color="auto"/>
            </w:tcBorders>
            <w:shd w:val="clear" w:color="auto" w:fill="auto"/>
            <w:vAlign w:val="center"/>
            <w:hideMark/>
          </w:tcPr>
          <w:p w14:paraId="519B24D5"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61.97</w:t>
            </w:r>
          </w:p>
        </w:tc>
        <w:tc>
          <w:tcPr>
            <w:tcW w:w="576" w:type="dxa"/>
            <w:tcBorders>
              <w:top w:val="nil"/>
              <w:left w:val="nil"/>
              <w:bottom w:val="single" w:sz="4" w:space="0" w:color="auto"/>
              <w:right w:val="single" w:sz="4" w:space="0" w:color="auto"/>
            </w:tcBorders>
            <w:shd w:val="clear" w:color="auto" w:fill="auto"/>
            <w:vAlign w:val="center"/>
            <w:hideMark/>
          </w:tcPr>
          <w:p w14:paraId="519B24D6"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63.23</w:t>
            </w:r>
          </w:p>
        </w:tc>
        <w:tc>
          <w:tcPr>
            <w:tcW w:w="576" w:type="dxa"/>
            <w:tcBorders>
              <w:top w:val="nil"/>
              <w:left w:val="nil"/>
              <w:bottom w:val="single" w:sz="4" w:space="0" w:color="auto"/>
              <w:right w:val="single" w:sz="4" w:space="0" w:color="auto"/>
            </w:tcBorders>
            <w:shd w:val="clear" w:color="auto" w:fill="auto"/>
            <w:vAlign w:val="center"/>
            <w:hideMark/>
          </w:tcPr>
          <w:p w14:paraId="519B24D7" w14:textId="77777777" w:rsidR="00E2603D" w:rsidRPr="008E63BB" w:rsidRDefault="00E2603D" w:rsidP="006E5817">
            <w:pPr>
              <w:spacing w:before="60"/>
              <w:jc w:val="center"/>
              <w:rPr>
                <w:rFonts w:eastAsia="Times New Roman"/>
                <w:sz w:val="16"/>
                <w:szCs w:val="16"/>
              </w:rPr>
            </w:pPr>
            <w:r w:rsidRPr="008E63BB">
              <w:rPr>
                <w:rFonts w:eastAsia="Times New Roman"/>
                <w:sz w:val="16"/>
                <w:szCs w:val="16"/>
              </w:rPr>
              <w:t>65.38</w:t>
            </w:r>
          </w:p>
        </w:tc>
      </w:tr>
    </w:tbl>
    <w:p w14:paraId="519B24D9" w14:textId="77777777" w:rsidR="00E2603D" w:rsidRPr="008E63BB" w:rsidRDefault="00E2603D" w:rsidP="00E2603D">
      <w:pPr>
        <w:ind w:firstLine="706"/>
        <w:rPr>
          <w:bCs/>
          <w:i/>
          <w:sz w:val="24"/>
          <w:szCs w:val="24"/>
        </w:rPr>
      </w:pPr>
      <w:r w:rsidRPr="008E63BB">
        <w:rPr>
          <w:bCs/>
          <w:i/>
          <w:sz w:val="24"/>
          <w:szCs w:val="24"/>
        </w:rPr>
        <w:t xml:space="preserve">Nguồn: </w:t>
      </w:r>
      <w:hyperlink r:id="rId26" w:history="1">
        <w:r w:rsidRPr="008E63BB">
          <w:rPr>
            <w:bCs/>
            <w:i/>
            <w:sz w:val="24"/>
            <w:szCs w:val="24"/>
          </w:rPr>
          <w:t>https://pcivietnam.vn/</w:t>
        </w:r>
      </w:hyperlink>
    </w:p>
    <w:p w14:paraId="519B24DA" w14:textId="77777777" w:rsidR="00DC5F42" w:rsidRPr="008E63BB" w:rsidRDefault="00DC5F42" w:rsidP="006E5817">
      <w:pPr>
        <w:spacing w:before="120"/>
        <w:ind w:firstLine="630"/>
        <w:rPr>
          <w:szCs w:val="26"/>
          <w:lang w:val="pt-BR"/>
        </w:rPr>
      </w:pPr>
      <w:r w:rsidRPr="008E63BB">
        <w:t>Kim ngạch xuất khẩu toàn Tỉnh đạt 872,9 triệu USD. Trong đó xuất khẩu đạt 1.954,6 triệu USD, tăng 21,4% (khu vực kinh tế trong nước 756,5 triệu USD, tăng 4,8%; khu vực FDI đạt 1.198,1 triệu USD tăng 34,8%). Các mặt hàng xuất khẩu chủ yếu là: hàng may mặc, sản phẩm thủ công mỹ nghệ xuất khẩu và chế biến gỗ. Thị trường xuất khẩu chủ yếu là các nước: Mỹ, EU, Nhật Bản, Hàn Quốc, Trung Quốc... Kim ngạch nhập khẩu đạt 1.081,7 triệu USD, tăng 0,1% (trong đó khu vực địa phương đạt 394,6 triệu USD, giảm 20,3%; khu vực FDI đạt 678,1 triệu USD tăng 17,4%). Mặt hàng nhập khẩu chủ yếu là nguyên phụ liệu hàng dệt may; bông, xơ, sợi, dệt, thuốc tân dược..</w:t>
      </w:r>
      <w:r w:rsidRPr="008E63BB">
        <w:rPr>
          <w:szCs w:val="26"/>
          <w:lang w:val="pt-BR"/>
        </w:rPr>
        <w:t>.</w:t>
      </w:r>
    </w:p>
    <w:p w14:paraId="519B24DB" w14:textId="77777777" w:rsidR="00DC5F42" w:rsidRPr="008E63BB" w:rsidRDefault="00DC5F42" w:rsidP="006E5817">
      <w:pPr>
        <w:spacing w:before="120"/>
        <w:ind w:firstLine="720"/>
        <w:rPr>
          <w:spacing w:val="-4"/>
          <w:szCs w:val="26"/>
          <w:lang w:val="pt-BR"/>
        </w:rPr>
      </w:pPr>
      <w:r w:rsidRPr="008E63BB">
        <w:rPr>
          <w:spacing w:val="-4"/>
          <w:szCs w:val="26"/>
          <w:lang w:val="pt-BR"/>
        </w:rPr>
        <w:t>Khách du lịch tăng từ 2,175 triệu lượt khách (2015) lên 2,547 triệu lượt khách (2018) tăng thêm 372.000 lượt khách/ 3 năm. Tốc độ tăng trưởng bình quân về lượng khách du lịch đến Nam Định trong giai đoạn 2015 - 2018 đạt 5,4%; trong đó, khách Quốc tế chiếm dưới 1% tổng lượng khách đến Nam Định. Thu nhập từ du lịch của Nam Định năm 2018 đạt 736 tỷ đồng, cao sơn 216 tỷ đồng so với năm 2015. Tổng lượng khách lưu trú qua đêm đạt 649.700 lượt người (2018). Số ngày lưu trú thấp, trung bình từ 1 - 1,5 ngày. Mức chi tiêu của du khách cho các sản phẩm dịch vụ trên 100.000 đồng/người/ngày.</w:t>
      </w:r>
    </w:p>
    <w:p w14:paraId="519B24DC" w14:textId="77777777" w:rsidR="00DC5F42" w:rsidRPr="008E63BB" w:rsidRDefault="00DC5F42" w:rsidP="006E5817">
      <w:pPr>
        <w:spacing w:before="120"/>
        <w:ind w:firstLine="630"/>
        <w:rPr>
          <w:bCs/>
          <w:szCs w:val="26"/>
          <w:lang w:val="pt-BR"/>
        </w:rPr>
      </w:pPr>
      <w:r w:rsidRPr="008E63BB">
        <w:rPr>
          <w:spacing w:val="-4"/>
          <w:szCs w:val="26"/>
          <w:lang w:val="pt-BR"/>
        </w:rPr>
        <w:t>Cơ sở kinh doanh dịch vụ du lịch hiện có 670 cơ sở; trong đó, có trên 400 cơ sở kinh doanh dịch vụ lưu trú với hơn 5.450 phòng. Toàn tỉnh có 24 doanh nghiệp kinh doanh dịch vụ lữ hành (1 doanh nghiệp lữ hành Quốc tế)</w:t>
      </w:r>
    </w:p>
    <w:p w14:paraId="2782CC74" w14:textId="77777777" w:rsidR="00503BB2" w:rsidRDefault="00503BB2" w:rsidP="006E5817">
      <w:pPr>
        <w:spacing w:before="120"/>
        <w:ind w:hanging="90"/>
        <w:rPr>
          <w:i/>
          <w:szCs w:val="26"/>
          <w:lang w:val="pt-BR" w:eastAsia="vi-VN"/>
        </w:rPr>
      </w:pPr>
    </w:p>
    <w:p w14:paraId="5FEA52A8" w14:textId="77777777" w:rsidR="00503BB2" w:rsidRDefault="00503BB2" w:rsidP="006E5817">
      <w:pPr>
        <w:spacing w:before="120"/>
        <w:ind w:hanging="90"/>
        <w:rPr>
          <w:i/>
          <w:szCs w:val="26"/>
          <w:lang w:val="pt-BR" w:eastAsia="vi-VN"/>
        </w:rPr>
      </w:pPr>
    </w:p>
    <w:p w14:paraId="3B71F30A" w14:textId="77777777" w:rsidR="00503BB2" w:rsidRDefault="00503BB2" w:rsidP="006E5817">
      <w:pPr>
        <w:spacing w:before="120"/>
        <w:ind w:hanging="90"/>
        <w:rPr>
          <w:i/>
          <w:szCs w:val="26"/>
          <w:lang w:val="pt-BR" w:eastAsia="vi-VN"/>
        </w:rPr>
      </w:pPr>
    </w:p>
    <w:p w14:paraId="1D8591B7" w14:textId="77777777" w:rsidR="00503BB2" w:rsidRDefault="00503BB2" w:rsidP="006E5817">
      <w:pPr>
        <w:spacing w:before="120"/>
        <w:ind w:hanging="90"/>
        <w:rPr>
          <w:i/>
          <w:szCs w:val="26"/>
          <w:lang w:val="pt-BR" w:eastAsia="vi-VN"/>
        </w:rPr>
      </w:pPr>
    </w:p>
    <w:p w14:paraId="519B24DD" w14:textId="77777777" w:rsidR="00DC5F42" w:rsidRPr="008E63BB" w:rsidRDefault="00DC5F42" w:rsidP="006E5817">
      <w:pPr>
        <w:spacing w:before="120"/>
        <w:ind w:hanging="90"/>
        <w:rPr>
          <w:i/>
        </w:rPr>
      </w:pPr>
      <w:r w:rsidRPr="008E63BB">
        <w:rPr>
          <w:i/>
          <w:szCs w:val="26"/>
          <w:lang w:val="pt-BR" w:eastAsia="vi-VN"/>
        </w:rPr>
        <w:lastRenderedPageBreak/>
        <w:tab/>
      </w:r>
      <w:r w:rsidRPr="008E63BB">
        <w:rPr>
          <w:i/>
          <w:szCs w:val="26"/>
          <w:lang w:eastAsia="vi-VN"/>
        </w:rPr>
        <w:t>b. Thành phố Nam Định</w:t>
      </w:r>
    </w:p>
    <w:tbl>
      <w:tblPr>
        <w:tblW w:w="9747" w:type="dxa"/>
        <w:tblLayout w:type="fixed"/>
        <w:tblLook w:val="04A0" w:firstRow="1" w:lastRow="0" w:firstColumn="1" w:lastColumn="0" w:noHBand="0" w:noVBand="1"/>
      </w:tblPr>
      <w:tblGrid>
        <w:gridCol w:w="5778"/>
        <w:gridCol w:w="3969"/>
      </w:tblGrid>
      <w:tr w:rsidR="00077538" w:rsidRPr="008E63BB" w14:paraId="519B24E0" w14:textId="77777777" w:rsidTr="007B33BE">
        <w:tc>
          <w:tcPr>
            <w:tcW w:w="5778" w:type="dxa"/>
            <w:shd w:val="clear" w:color="auto" w:fill="auto"/>
          </w:tcPr>
          <w:p w14:paraId="519B24DE" w14:textId="77777777" w:rsidR="00F641D4" w:rsidRPr="008E63BB" w:rsidRDefault="00F641D4" w:rsidP="0065184D">
            <w:pPr>
              <w:pStyle w:val="abc"/>
              <w:keepNext/>
              <w:widowControl/>
              <w:spacing w:before="60" w:line="26" w:lineRule="atLeast"/>
              <w:ind w:firstLine="0"/>
              <w:jc w:val="center"/>
              <w:rPr>
                <w:rFonts w:ascii="Times New Roman" w:hAnsi="Times New Roman"/>
                <w:sz w:val="26"/>
                <w:szCs w:val="26"/>
                <w:lang w:val="pt-BR" w:eastAsia="vi-VN"/>
              </w:rPr>
            </w:pPr>
            <w:r w:rsidRPr="008E63BB">
              <w:rPr>
                <w:rFonts w:ascii="Times New Roman" w:hAnsi="Times New Roman"/>
                <w:sz w:val="26"/>
                <w:szCs w:val="26"/>
                <w:lang w:val="pt-BR" w:eastAsia="vi-VN"/>
              </w:rPr>
              <w:t>Biến động Giá trị sản xuất theo ngành</w:t>
            </w:r>
          </w:p>
        </w:tc>
        <w:tc>
          <w:tcPr>
            <w:tcW w:w="3969" w:type="dxa"/>
            <w:shd w:val="clear" w:color="auto" w:fill="auto"/>
          </w:tcPr>
          <w:p w14:paraId="519B24DF" w14:textId="77777777" w:rsidR="00F641D4" w:rsidRPr="008E63BB" w:rsidRDefault="00F641D4" w:rsidP="0065184D">
            <w:pPr>
              <w:spacing w:before="60" w:line="26" w:lineRule="atLeast"/>
              <w:jc w:val="center"/>
            </w:pPr>
            <w:r w:rsidRPr="008E63BB">
              <w:rPr>
                <w:noProof/>
                <w:szCs w:val="26"/>
                <w:lang w:eastAsia="zh-CN"/>
              </w:rPr>
              <w:t>Cơ cấu kinh tế</w:t>
            </w:r>
          </w:p>
        </w:tc>
      </w:tr>
      <w:tr w:rsidR="00077538" w:rsidRPr="008E63BB" w14:paraId="519B24E3" w14:textId="77777777" w:rsidTr="007B33BE">
        <w:tc>
          <w:tcPr>
            <w:tcW w:w="5778" w:type="dxa"/>
            <w:shd w:val="clear" w:color="auto" w:fill="auto"/>
          </w:tcPr>
          <w:p w14:paraId="519B24E1" w14:textId="77777777" w:rsidR="00F641D4" w:rsidRPr="008E63BB" w:rsidRDefault="00953227" w:rsidP="0065184D">
            <w:pPr>
              <w:pStyle w:val="abc"/>
              <w:keepNext/>
              <w:widowControl/>
              <w:spacing w:before="60" w:line="26" w:lineRule="atLeast"/>
              <w:ind w:firstLine="0"/>
              <w:jc w:val="center"/>
              <w:rPr>
                <w:rFonts w:ascii="Times New Roman" w:hAnsi="Times New Roman"/>
                <w:sz w:val="26"/>
                <w:szCs w:val="26"/>
                <w:lang w:val="pt-BR" w:eastAsia="vi-VN"/>
              </w:rPr>
            </w:pPr>
            <w:r w:rsidRPr="008E63BB">
              <w:rPr>
                <w:noProof/>
                <w:lang w:eastAsia="zh-CN"/>
              </w:rPr>
              <w:drawing>
                <wp:inline distT="0" distB="0" distL="0" distR="0" wp14:anchorId="519B51BD" wp14:editId="519B51BE">
                  <wp:extent cx="3508330" cy="1988185"/>
                  <wp:effectExtent l="0" t="0" r="16510" b="1206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3969" w:type="dxa"/>
            <w:shd w:val="clear" w:color="auto" w:fill="auto"/>
          </w:tcPr>
          <w:p w14:paraId="519B24E2" w14:textId="77777777" w:rsidR="00F641D4" w:rsidRPr="008E63BB" w:rsidRDefault="00566B09" w:rsidP="0065184D">
            <w:pPr>
              <w:spacing w:before="60" w:line="26" w:lineRule="atLeast"/>
              <w:jc w:val="center"/>
              <w:rPr>
                <w:noProof/>
                <w:szCs w:val="26"/>
                <w:lang w:eastAsia="zh-CN"/>
              </w:rPr>
            </w:pPr>
            <w:r w:rsidRPr="008E63BB">
              <w:rPr>
                <w:noProof/>
                <w:szCs w:val="26"/>
                <w:lang w:eastAsia="zh-CN"/>
              </w:rPr>
              <w:drawing>
                <wp:inline distT="0" distB="0" distL="0" distR="0" wp14:anchorId="519B51BF" wp14:editId="519B51C0">
                  <wp:extent cx="1948069" cy="195309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1951537" cy="19565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9B24E4" w14:textId="77777777" w:rsidR="00015CDB" w:rsidRPr="008E63BB" w:rsidRDefault="00015CDB" w:rsidP="0065184D">
      <w:pPr>
        <w:ind w:firstLine="562"/>
        <w:rPr>
          <w:i/>
          <w:szCs w:val="26"/>
          <w:lang w:eastAsia="vi-VN"/>
        </w:rPr>
      </w:pPr>
      <w:r w:rsidRPr="008E63BB">
        <w:rPr>
          <w:i/>
          <w:szCs w:val="26"/>
          <w:lang w:eastAsia="vi-VN"/>
        </w:rPr>
        <w:t>Nguồn: Báo cáo kinh tế xã hội qua các năm</w:t>
      </w:r>
    </w:p>
    <w:p w14:paraId="519B24E5" w14:textId="77777777" w:rsidR="00F641D4" w:rsidRPr="008E63BB" w:rsidRDefault="00F641D4" w:rsidP="0065184D">
      <w:pPr>
        <w:ind w:firstLine="562"/>
        <w:rPr>
          <w:lang w:val="vi-VN"/>
        </w:rPr>
      </w:pPr>
      <w:r w:rsidRPr="008E63BB">
        <w:rPr>
          <w:szCs w:val="26"/>
          <w:lang w:eastAsia="vi-VN"/>
        </w:rPr>
        <w:t xml:space="preserve">Số liệu </w:t>
      </w:r>
      <w:r w:rsidRPr="008E63BB">
        <w:rPr>
          <w:szCs w:val="26"/>
          <w:lang w:val="vi-VN" w:eastAsia="vi-VN"/>
        </w:rPr>
        <w:t xml:space="preserve">trên cho thấy, giá trị sản xuất tăng đều theo các năm, </w:t>
      </w:r>
      <w:r w:rsidRPr="008E63BB">
        <w:rPr>
          <w:szCs w:val="26"/>
          <w:lang w:eastAsia="vi-VN"/>
        </w:rPr>
        <w:t xml:space="preserve">giai đoạn 2010-2018 </w:t>
      </w:r>
      <w:r w:rsidRPr="008E63BB">
        <w:rPr>
          <w:szCs w:val="26"/>
          <w:lang w:val="vi-VN" w:eastAsia="vi-VN"/>
        </w:rPr>
        <w:t xml:space="preserve">trung bình đạt mức tăng trưởng </w:t>
      </w:r>
      <w:r w:rsidRPr="008E63BB">
        <w:rPr>
          <w:szCs w:val="26"/>
          <w:lang w:eastAsia="vi-VN"/>
        </w:rPr>
        <w:t>11,15</w:t>
      </w:r>
      <w:r w:rsidRPr="008E63BB">
        <w:rPr>
          <w:szCs w:val="26"/>
          <w:lang w:val="vi-VN" w:eastAsia="vi-VN"/>
        </w:rPr>
        <w:t>%/năm</w:t>
      </w:r>
      <w:r w:rsidRPr="008E63BB">
        <w:rPr>
          <w:szCs w:val="26"/>
          <w:lang w:eastAsia="vi-VN"/>
        </w:rPr>
        <w:t xml:space="preserve"> (tăng khá so với toàn Tỉnh </w:t>
      </w:r>
      <w:r w:rsidR="001A1643" w:rsidRPr="008E63BB">
        <w:rPr>
          <w:bCs/>
          <w:szCs w:val="26"/>
          <w:lang w:val="pt-BR"/>
        </w:rPr>
        <w:t>8,86%/năm</w:t>
      </w:r>
      <w:r w:rsidRPr="008E63BB">
        <w:rPr>
          <w:szCs w:val="26"/>
          <w:lang w:eastAsia="vi-VN"/>
        </w:rPr>
        <w:t>)</w:t>
      </w:r>
      <w:r w:rsidRPr="008E63BB">
        <w:rPr>
          <w:szCs w:val="26"/>
          <w:lang w:val="vi-VN" w:eastAsia="vi-VN"/>
        </w:rPr>
        <w:t xml:space="preserve">; cơ cấu kinh tế tăng dần tỷ trọng </w:t>
      </w:r>
      <w:r w:rsidRPr="008E63BB">
        <w:rPr>
          <w:szCs w:val="26"/>
          <w:lang w:eastAsia="vi-VN"/>
        </w:rPr>
        <w:t>ngành phi nông nghiệp</w:t>
      </w:r>
      <w:r w:rsidRPr="008E63BB">
        <w:rPr>
          <w:szCs w:val="26"/>
          <w:lang w:val="vi-VN" w:eastAsia="vi-VN"/>
        </w:rPr>
        <w:t>. Tuy nhiên, sự chuyển biến phần dịch vụ còn chậm, chưa phát huy hết tiềm năng và lợi thế để phát triển ngành dịch vụ.</w:t>
      </w:r>
    </w:p>
    <w:p w14:paraId="519B24E6" w14:textId="77777777" w:rsidR="009076D7" w:rsidRPr="008E63BB" w:rsidRDefault="009076D7" w:rsidP="0065184D">
      <w:pPr>
        <w:ind w:firstLine="562"/>
        <w:rPr>
          <w:iCs/>
          <w:lang w:val="sv-SE"/>
        </w:rPr>
      </w:pPr>
      <w:r w:rsidRPr="008E63BB">
        <w:rPr>
          <w:iCs/>
          <w:lang w:val="sv-SE"/>
        </w:rPr>
        <w:t>Trong cơ cấu kinh tế của thành phố, ngành công nghiệp vẫn chiếm ưu thế, tuy đã có xu hướng chuyển dần sang dịch vụ. Tỷ trọng GTSX nông lâm thủy sản giảm dần qua các năm, phù hợp với quá trình công nghiệp hóa mạnh thành phố.</w:t>
      </w:r>
    </w:p>
    <w:p w14:paraId="519B24E7" w14:textId="77777777" w:rsidR="009076D7" w:rsidRPr="008E63BB" w:rsidRDefault="001A1643" w:rsidP="0065184D">
      <w:pPr>
        <w:ind w:firstLine="562"/>
        <w:rPr>
          <w:iCs/>
          <w:lang w:val="sv-SE"/>
        </w:rPr>
      </w:pPr>
      <w:r w:rsidRPr="008E63BB">
        <w:rPr>
          <w:iCs/>
          <w:lang w:val="sv-SE"/>
        </w:rPr>
        <w:t>K</w:t>
      </w:r>
      <w:r w:rsidR="00C4098D" w:rsidRPr="008E63BB">
        <w:rPr>
          <w:iCs/>
          <w:lang w:val="sv-SE"/>
        </w:rPr>
        <w:t>im ngạch xuất khẩu trên địa bàn thành phố đạt 985 triệu USD (chiếm 61% tổng kim ngạch xuất khẩu toàn tỉnh), kim ngạch nhập khẩu đạt 579 triệu USD (chiếm 54 tổng kim ngạch nhập khẩu toàn tỉnh</w:t>
      </w:r>
      <w:r w:rsidR="009076D7" w:rsidRPr="008E63BB">
        <w:rPr>
          <w:iCs/>
          <w:lang w:val="sv-SE"/>
        </w:rPr>
        <w:t>…</w:t>
      </w:r>
    </w:p>
    <w:p w14:paraId="519B24E8" w14:textId="77777777" w:rsidR="00276AC0" w:rsidRPr="008E63BB" w:rsidRDefault="009076D7" w:rsidP="0065184D">
      <w:pPr>
        <w:ind w:firstLine="562"/>
        <w:rPr>
          <w:iCs/>
          <w:lang w:val="sv-SE"/>
        </w:rPr>
      </w:pPr>
      <w:r w:rsidRPr="008E63BB">
        <w:rPr>
          <w:iCs/>
          <w:lang w:val="sv-SE"/>
        </w:rPr>
        <w:t xml:space="preserve">Thương mại và dịch vụ của thành phố những năm qua có tăng trưởng khá. </w:t>
      </w:r>
      <w:r w:rsidR="007B4B97" w:rsidRPr="008E63BB">
        <w:rPr>
          <w:iCs/>
          <w:lang w:val="sv-SE"/>
        </w:rPr>
        <w:t>GTSX ngành Thương mại và dịch vụ đạt 19.913 tỷ đồng (giá so sánh) tăng 14,5%, trong đó giá trị sản xuất ngành dịch vụ 7.910 tỷ đồng, tăng 9,2%. Giá trị xuất khẩu đạt 25,2 triệu USD, tăng 14,3%</w:t>
      </w:r>
      <w:r w:rsidRPr="008E63BB">
        <w:rPr>
          <w:iCs/>
          <w:lang w:val="sv-SE"/>
        </w:rPr>
        <w:t>. Tuy nhiên, còn một số trở ngại lớn cho phát triển thương mại, dịch vụ của thành phố như: mức thu nhập bình quân đầu người của dân cư còn thấp; Tốc độ gia tăng nhu cầu mua thấp hơn so với các tỉnh thành có tỷ trọng công nghiệp cao do tính tự cấp, tự túc trong các vùng sản xuất nông nghiệp thường cao; Dân cư trong khu vực sản xuất nông nghiệp nói riêng và khu vực nông thôn nói chung có tâm lý tiêu dùng tiết kiệm nên hạn chế khả năng phát triển nhanh của các loại hình bán lẻ hiện đại.</w:t>
      </w:r>
    </w:p>
    <w:p w14:paraId="519B24E9" w14:textId="77777777" w:rsidR="009076D7" w:rsidRPr="008E63BB" w:rsidRDefault="00276AC0" w:rsidP="00276AC0">
      <w:pPr>
        <w:ind w:firstLine="562"/>
        <w:rPr>
          <w:iCs/>
          <w:lang w:val="sv-SE"/>
        </w:rPr>
      </w:pPr>
      <w:r w:rsidRPr="008E63BB">
        <w:rPr>
          <w:spacing w:val="-4"/>
          <w:szCs w:val="26"/>
          <w:lang w:val="sv-SE"/>
        </w:rPr>
        <w:t>Trên địa bàn thành phố có 108 cơ sở (với 1.843 buồng phòng). Trong đó: khách sạn 3 sao có 3 cơ sở với 229 buồng phòng, 5 khách sạn 2 sao với 186 buồng phòng và 4 khách sạn 1 sao với 67 buồng phòng. Công suất sử dụng buồng phòng thấp chỉ đạt tỷ lệ bình quân 40%/năm</w:t>
      </w:r>
      <w:r w:rsidRPr="008E63BB">
        <w:rPr>
          <w:iCs/>
          <w:lang w:val="sv-SE"/>
        </w:rPr>
        <w:t xml:space="preserve">. </w:t>
      </w:r>
      <w:r w:rsidR="009076D7" w:rsidRPr="008E63BB">
        <w:rPr>
          <w:iCs/>
          <w:lang w:val="sv-SE"/>
        </w:rPr>
        <w:t xml:space="preserve">Doanh thu du lịch trên địa bàn khu vực thành phố Nam Định đạt 435 tỷ chiếm 59% tổng doanh thu du lịch cả tỉnh. Mức tăng doanh thu du lịch bình quân giai đoạn 2010-2018 đạt mức tăng bình quân 15,5%/năm. Tuy nhiên, nhìn chung ngành kinh tế du lịch còn ở mức thấp. Sản phẩm du lịch nghèo nàn, đơn điệu; Nguồn nhân lực làm du lịch còn nhiều hạn chế, yếu về nghiệp vụ và tính chuyên nghiệp chưa đáp ứng yêu cầu của ngành kinh tế. Dòng khách du lịch văn hóa tâm linh đến với khu vực Thành phố Nam Định có xu hướng bão hòa trong khi chưa đầu tư phát triển sản phẩm du lịch mới có sức hấp dẫn thu hút đối với du khách. </w:t>
      </w:r>
    </w:p>
    <w:p w14:paraId="519B24EA" w14:textId="77777777" w:rsidR="009076D7" w:rsidRPr="008E63BB" w:rsidRDefault="007B4B97" w:rsidP="0065184D">
      <w:pPr>
        <w:ind w:firstLine="562"/>
        <w:rPr>
          <w:iCs/>
          <w:lang w:val="sv-SE"/>
        </w:rPr>
      </w:pPr>
      <w:r w:rsidRPr="008E63BB">
        <w:rPr>
          <w:iCs/>
          <w:lang w:val="sv-SE"/>
        </w:rPr>
        <w:t>Về nông nghiệp, GTSX nông nghiệp giữ mức tăng ổn định. Năm 2018, GTSX ngành nông nghiệp đạt 250,14 tỷ đồng (giá so sánh)</w:t>
      </w:r>
      <w:r w:rsidR="009076D7" w:rsidRPr="008E63BB">
        <w:rPr>
          <w:iCs/>
          <w:lang w:val="sv-SE"/>
        </w:rPr>
        <w:t>.</w:t>
      </w:r>
      <w:r w:rsidR="004C11BD" w:rsidRPr="008E63BB">
        <w:rPr>
          <w:spacing w:val="-4"/>
          <w:szCs w:val="26"/>
          <w:lang w:val="sv-SE"/>
        </w:rPr>
        <w:t xml:space="preserve">Ngoài các hoạt động kinh tế tập trung tại thành phố Nam Định,  tại các xã nông thôn (Nam Phong) có các làng nghề gắn với chế biến sản vật nông nghiệp, đặc biệt là các làng nghề trồng hoa – cây cảnh. Đây là những </w:t>
      </w:r>
      <w:r w:rsidR="004C11BD" w:rsidRPr="008E63BB">
        <w:rPr>
          <w:spacing w:val="-4"/>
          <w:szCs w:val="26"/>
          <w:lang w:val="sv-SE"/>
        </w:rPr>
        <w:lastRenderedPageBreak/>
        <w:t>thành phần kinh tế cần được quan tâm đầu tư, nâng cao công nghệ và giá trị sản xuất, phát huy tiềm năng để phát triển kinh tế phi nông nghiệp tại nông thôn, đóng góp tích cực hơn và tăng tính bền vững cho nền kinh tế của toàn tỉnh. Nam Định cần có định hướng phát triển khai thác vai trò là trung tâm giao lưu của mạng lưới rộng lớn này.</w:t>
      </w:r>
    </w:p>
    <w:p w14:paraId="519B24EB" w14:textId="77777777" w:rsidR="009076D7" w:rsidRPr="008E63BB" w:rsidRDefault="007B4B97" w:rsidP="0065184D">
      <w:pPr>
        <w:ind w:firstLine="567"/>
        <w:rPr>
          <w:lang w:val="sv-SE"/>
        </w:rPr>
      </w:pPr>
      <w:r w:rsidRPr="008E63BB">
        <w:rPr>
          <w:lang w:val="sv-SE"/>
        </w:rPr>
        <w:t>Năm 201</w:t>
      </w:r>
      <w:r w:rsidR="0066300B" w:rsidRPr="008E63BB">
        <w:rPr>
          <w:lang w:val="sv-SE"/>
        </w:rPr>
        <w:t>9</w:t>
      </w:r>
      <w:r w:rsidRPr="008E63BB">
        <w:rPr>
          <w:lang w:val="sv-SE"/>
        </w:rPr>
        <w:t xml:space="preserve">, tổng thu ngân sách trên địa bàn Thành phố là </w:t>
      </w:r>
      <w:r w:rsidR="0066300B" w:rsidRPr="008E63BB">
        <w:rPr>
          <w:lang w:val="sv-SE"/>
        </w:rPr>
        <w:t>2.629</w:t>
      </w:r>
      <w:r w:rsidRPr="008E63BB">
        <w:rPr>
          <w:lang w:val="sv-SE"/>
        </w:rPr>
        <w:t xml:space="preserve"> tỷ đồng; Chi ngân sách đạt 796,373 tỷ đồng</w:t>
      </w:r>
      <w:r w:rsidR="009076D7" w:rsidRPr="008E63BB">
        <w:rPr>
          <w:lang w:val="sv-SE"/>
        </w:rPr>
        <w:t>, đảm bảo các khoản chi cho con người, chi cho các đối tượng chính sách và chi an sinh xã hội. Góp phần cơ bản vào tổng thu ngân sách toàn tỉnh, trong xu hướng mới giảm mạnh tỷ trọng sản xuất nông nghiệp,tăng mạnh tỷ trọng phát triển ngành công nghiệp và xây dựng, đặc biệt chú trọng công nghiệp phụ trợ, tập trung phát triển các ngành công nghiệp động lực có hàm lượng chất xám cao.</w:t>
      </w:r>
    </w:p>
    <w:p w14:paraId="519B24EC" w14:textId="77777777" w:rsidR="00304466" w:rsidRPr="008E63BB" w:rsidRDefault="009076D7" w:rsidP="0065184D">
      <w:pPr>
        <w:ind w:firstLine="567"/>
        <w:rPr>
          <w:lang w:val="sv-SE"/>
        </w:rPr>
      </w:pPr>
      <w:r w:rsidRPr="008E63BB">
        <w:rPr>
          <w:lang w:val="sv-SE"/>
        </w:rPr>
        <w:t>Vốn ngân sách những năm qua đã tập trung đầu tư cho xây dựng kết cấu hạ tầng kinh tế - xã hội. Vốn đầu tư khu vực ngoài nhà nước trên địa bàn thành phố đã có xu hướng phát triển mạnh chứng tỏ sức hút của đô thị và tiềm lực kinh tế còn dồi dào trong nhân dân</w:t>
      </w:r>
      <w:r w:rsidR="00F641D4" w:rsidRPr="008E63BB">
        <w:rPr>
          <w:lang w:val="sv-SE"/>
        </w:rPr>
        <w:t>.</w:t>
      </w:r>
    </w:p>
    <w:p w14:paraId="519B24ED" w14:textId="77777777" w:rsidR="004C11BD" w:rsidRPr="008E63BB" w:rsidRDefault="004C11BD" w:rsidP="0065184D">
      <w:pPr>
        <w:ind w:hanging="90"/>
        <w:rPr>
          <w:i/>
          <w:lang w:val="sv-SE"/>
        </w:rPr>
      </w:pPr>
      <w:r w:rsidRPr="008E63BB">
        <w:rPr>
          <w:i/>
          <w:szCs w:val="26"/>
          <w:lang w:val="sv-SE" w:eastAsia="vi-VN"/>
        </w:rPr>
        <w:tab/>
      </w:r>
      <w:r w:rsidR="007B4B97" w:rsidRPr="008E63BB">
        <w:rPr>
          <w:i/>
          <w:szCs w:val="26"/>
          <w:lang w:val="sv-SE" w:eastAsia="vi-VN"/>
        </w:rPr>
        <w:t>c</w:t>
      </w:r>
      <w:r w:rsidRPr="008E63BB">
        <w:rPr>
          <w:i/>
          <w:szCs w:val="26"/>
          <w:lang w:val="sv-SE" w:eastAsia="vi-VN"/>
        </w:rPr>
        <w:t>. Khu vự</w:t>
      </w:r>
      <w:r w:rsidR="001C7A8A" w:rsidRPr="008E63BB">
        <w:rPr>
          <w:i/>
          <w:szCs w:val="26"/>
          <w:lang w:val="sv-SE" w:eastAsia="vi-VN"/>
        </w:rPr>
        <w:t>c dự kiến mở rộng:</w:t>
      </w:r>
    </w:p>
    <w:p w14:paraId="519B24EE" w14:textId="77777777" w:rsidR="007B4B97" w:rsidRPr="008E63BB" w:rsidRDefault="007B4B97" w:rsidP="0065184D">
      <w:pPr>
        <w:rPr>
          <w:lang w:val="sv-SE"/>
        </w:rPr>
      </w:pPr>
      <w:r w:rsidRPr="008E63BB">
        <w:rPr>
          <w:lang w:val="sv-SE"/>
        </w:rPr>
        <w:t xml:space="preserve">* Huyện Mỹ Lộc: </w:t>
      </w:r>
    </w:p>
    <w:p w14:paraId="519B24EF" w14:textId="77777777" w:rsidR="007B4B97" w:rsidRPr="008E63BB" w:rsidRDefault="007B4B97" w:rsidP="0065184D">
      <w:pPr>
        <w:ind w:firstLine="720"/>
        <w:rPr>
          <w:lang w:val="sv-SE"/>
        </w:rPr>
      </w:pPr>
      <w:r w:rsidRPr="008E63BB">
        <w:rPr>
          <w:lang w:val="sv-SE"/>
        </w:rPr>
        <w:t>Giá trị sản xuất (GTSX) công nghiệp đạt 2.290 tỷ đồng (giá so sánh) tăng 14,2% so năm 2017. GTSX xây dựng đạt 253 tỷ đồng (giá so sánh) tăng 11,5% so năm 2017. GTSX ngành Thương mại và dịch vụ đạt 1.764,7 tỷ đồng (giá so sánh). Về nông nghiệp, GTSX nông nghiệp giữ mức tăng ổn định đạt 756 tỷ đồng (giá so sánh) tăng 5,8% so năm 2017.</w:t>
      </w:r>
    </w:p>
    <w:p w14:paraId="519B24F0" w14:textId="77777777" w:rsidR="007B4B97" w:rsidRPr="008E63BB" w:rsidRDefault="007B4B97" w:rsidP="0065184D">
      <w:pPr>
        <w:ind w:firstLine="720"/>
        <w:rPr>
          <w:lang w:val="sv-SE"/>
        </w:rPr>
      </w:pPr>
      <w:r w:rsidRPr="008E63BB">
        <w:rPr>
          <w:lang w:val="sv-SE"/>
        </w:rPr>
        <w:t xml:space="preserve">Năm 2018, tổng thu ngân sách trên địa bàn là 181,4 tỷ đồng. Chi ngân sách đạt 368,4 tỷ đồng. </w:t>
      </w:r>
    </w:p>
    <w:p w14:paraId="519B24F1" w14:textId="77777777" w:rsidR="007B4B97" w:rsidRPr="008E63BB" w:rsidRDefault="007B4B97" w:rsidP="0065184D">
      <w:pPr>
        <w:rPr>
          <w:i/>
          <w:sz w:val="24"/>
          <w:szCs w:val="24"/>
          <w:lang w:val="sv-SE"/>
        </w:rPr>
      </w:pPr>
      <w:r w:rsidRPr="008E63BB">
        <w:rPr>
          <w:i/>
          <w:sz w:val="24"/>
          <w:szCs w:val="24"/>
          <w:lang w:val="sv-SE"/>
        </w:rPr>
        <w:t>(Nguồn: Văn bản số 190/BC-UBND Huyện ngày 04/12/2018-Báo cáo tình hình thực hiện nhiệm vụ phát triển kinh tế-xã hội năm 2018 và kế hoạch phát triển kinh tế-xã hội năm 2019).</w:t>
      </w:r>
    </w:p>
    <w:p w14:paraId="519B24F2" w14:textId="77777777" w:rsidR="007B4B97" w:rsidRPr="008E63BB" w:rsidRDefault="007B4B97" w:rsidP="0065184D">
      <w:pPr>
        <w:rPr>
          <w:lang w:val="sv-SE"/>
        </w:rPr>
      </w:pPr>
      <w:r w:rsidRPr="008E63BB">
        <w:rPr>
          <w:lang w:val="sv-SE"/>
        </w:rPr>
        <w:t xml:space="preserve">* Huyện Vụ Bản: </w:t>
      </w:r>
    </w:p>
    <w:p w14:paraId="519B24F3" w14:textId="77777777" w:rsidR="007B4B97" w:rsidRPr="008E63BB" w:rsidRDefault="007B4B97" w:rsidP="0065184D">
      <w:pPr>
        <w:ind w:firstLine="720"/>
        <w:rPr>
          <w:lang w:val="sv-SE"/>
        </w:rPr>
      </w:pPr>
      <w:r w:rsidRPr="008E63BB">
        <w:rPr>
          <w:lang w:val="sv-SE"/>
        </w:rPr>
        <w:t xml:space="preserve">Giá trị sản xuất (GTSX) công nghiệp đạt 4.159 tỷ đồng (giá so sánh). GTSX ngành Thương mại và dịch vụ đạt 1.500 tỷ đồng (giá so sánh). Về nông nghiệp, GTSX nông nghiệp giữ mức tăng ổn định đạt 1.535 tỷ đồng (giá so sánh). </w:t>
      </w:r>
    </w:p>
    <w:p w14:paraId="519B24F4" w14:textId="77777777" w:rsidR="007B4B97" w:rsidRPr="008E63BB" w:rsidRDefault="007B4B97" w:rsidP="0065184D">
      <w:pPr>
        <w:ind w:firstLine="720"/>
        <w:rPr>
          <w:lang w:val="sv-SE"/>
        </w:rPr>
      </w:pPr>
      <w:r w:rsidRPr="008E63BB">
        <w:rPr>
          <w:lang w:val="sv-SE"/>
        </w:rPr>
        <w:t>Năm 2018, tổng thu ngân sách trên địa bàn là 245,306 tỷ đồng. Chi ngân sách đạt 424,432 tỷ đồng. Thu nhập bình quân đầu người là 43,39 triệu đồng/ người. Tỷ lệ hộ nghèo giảm xuống còn 2,36%.</w:t>
      </w:r>
    </w:p>
    <w:p w14:paraId="519B24F5" w14:textId="77777777" w:rsidR="007B4B97" w:rsidRPr="008E63BB" w:rsidRDefault="007B4B97" w:rsidP="0065184D">
      <w:pPr>
        <w:rPr>
          <w:i/>
          <w:sz w:val="24"/>
          <w:szCs w:val="24"/>
          <w:lang w:val="sv-SE"/>
        </w:rPr>
      </w:pPr>
      <w:r w:rsidRPr="008E63BB">
        <w:rPr>
          <w:i/>
          <w:sz w:val="24"/>
          <w:szCs w:val="24"/>
          <w:lang w:val="sv-SE"/>
        </w:rPr>
        <w:t>(Nguồn: Văn bản số 160/BC-UBND Huyện ngày 11/12/2018-Báo cáo tình hình thực hiện nhiệm vụ phát triển kinh tế-xã hội năm 2018 và kế hoạch phát triển kinh tế-xã hội năm 2019).</w:t>
      </w:r>
    </w:p>
    <w:p w14:paraId="519B24F6" w14:textId="77777777" w:rsidR="007B4B97" w:rsidRPr="008E63BB" w:rsidRDefault="007B4B97" w:rsidP="0065184D">
      <w:pPr>
        <w:rPr>
          <w:lang w:val="sv-SE"/>
        </w:rPr>
      </w:pPr>
      <w:r w:rsidRPr="008E63BB">
        <w:rPr>
          <w:lang w:val="sv-SE"/>
        </w:rPr>
        <w:t xml:space="preserve">* Huyện Nam Trực: </w:t>
      </w:r>
    </w:p>
    <w:p w14:paraId="519B24F7" w14:textId="77777777" w:rsidR="007B4B97" w:rsidRPr="008E63BB" w:rsidRDefault="007B4B97" w:rsidP="0065184D">
      <w:pPr>
        <w:ind w:firstLine="720"/>
        <w:rPr>
          <w:lang w:val="sv-SE"/>
        </w:rPr>
      </w:pPr>
      <w:r w:rsidRPr="008E63BB">
        <w:rPr>
          <w:lang w:val="sv-SE"/>
        </w:rPr>
        <w:t>Giá trị sản xuất (GTSX) công nghiệp đạt 8.834,27 tỷ đồng (giá so sánh). GTSX ngành Thương mại và dịch vụ đạt 2.757,48 tỷ đồng (giá so sánh). Về nông nghiệp, GTSX nông nghiệp giữ mức tăng ổn định đạt 2.000,78 tỷ đồng (giá so sánh).</w:t>
      </w:r>
    </w:p>
    <w:p w14:paraId="519B24F8" w14:textId="77777777" w:rsidR="007B4B97" w:rsidRPr="008E63BB" w:rsidRDefault="007B4B97" w:rsidP="0065184D">
      <w:pPr>
        <w:ind w:firstLine="720"/>
        <w:rPr>
          <w:lang w:val="sv-SE"/>
        </w:rPr>
      </w:pPr>
      <w:r w:rsidRPr="008E63BB">
        <w:rPr>
          <w:lang w:val="sv-SE"/>
        </w:rPr>
        <w:t xml:space="preserve">Năm 2018, tổng thu ngân sách trên địa bàn là 166,99 tỷ đồng; đầu tư xây dựng cơ bản từ ngân sách đạt 7 tỷ đồng. Chi ngân sách đạt 109,99 tỷ đồng. </w:t>
      </w:r>
    </w:p>
    <w:p w14:paraId="519B24F9" w14:textId="77777777" w:rsidR="004C11BD" w:rsidRPr="008E63BB" w:rsidRDefault="007B4B97" w:rsidP="0065184D">
      <w:pPr>
        <w:rPr>
          <w:lang w:val="vi-VN"/>
        </w:rPr>
      </w:pPr>
      <w:r w:rsidRPr="008E63BB">
        <w:rPr>
          <w:i/>
          <w:sz w:val="24"/>
          <w:szCs w:val="24"/>
          <w:lang w:val="sv-SE"/>
        </w:rPr>
        <w:t>(Nguồn: Báo cáo tình hình thực hiện nhiệm vụ phát triển kinh tế-xã hội năm 2018 và kế hoạch phát triển kinh tế-xã hội năm 2019)</w:t>
      </w:r>
    </w:p>
    <w:p w14:paraId="519B24FA" w14:textId="77777777" w:rsidR="00C53818" w:rsidRPr="008E63BB" w:rsidRDefault="00A71373" w:rsidP="0065184D">
      <w:pPr>
        <w:pStyle w:val="Heading2"/>
        <w:spacing w:before="0" w:after="0"/>
        <w:rPr>
          <w:lang w:val="vi-VN" w:eastAsia="vi-VN"/>
        </w:rPr>
      </w:pPr>
      <w:bookmarkStart w:id="152" w:name="_Toc330799135"/>
      <w:bookmarkStart w:id="153" w:name="_Toc341519021"/>
      <w:bookmarkStart w:id="154" w:name="_Toc341519122"/>
      <w:bookmarkStart w:id="155" w:name="_Toc344928435"/>
      <w:bookmarkStart w:id="156" w:name="_Toc345538343"/>
      <w:bookmarkStart w:id="157" w:name="_Toc47524656"/>
      <w:r w:rsidRPr="008E63BB">
        <w:rPr>
          <w:lang w:val="vi-VN" w:eastAsia="vi-VN"/>
        </w:rPr>
        <w:t>2.4</w:t>
      </w:r>
      <w:r w:rsidR="00C53818" w:rsidRPr="008E63BB">
        <w:rPr>
          <w:lang w:val="vi-VN" w:eastAsia="vi-VN"/>
        </w:rPr>
        <w:t>. Hiện trạng sử dụng đất</w:t>
      </w:r>
      <w:bookmarkEnd w:id="152"/>
      <w:bookmarkEnd w:id="153"/>
      <w:bookmarkEnd w:id="154"/>
      <w:bookmarkEnd w:id="155"/>
      <w:bookmarkEnd w:id="156"/>
      <w:bookmarkEnd w:id="157"/>
    </w:p>
    <w:p w14:paraId="519B24FB" w14:textId="77777777" w:rsidR="007F05FD" w:rsidRPr="008E63BB" w:rsidRDefault="007F05FD" w:rsidP="0065184D">
      <w:pPr>
        <w:ind w:firstLine="720"/>
        <w:rPr>
          <w:lang w:val="vi-VN"/>
        </w:rPr>
      </w:pPr>
      <w:r w:rsidRPr="008E63BB">
        <w:rPr>
          <w:lang w:val="vi-VN"/>
        </w:rPr>
        <w:t xml:space="preserve">Tổng diện tích đất tự nhiên là 18.798,69ha. Toàn thành phố Nam Định với diện tích tự nhiên (25 đơn vị hành chính) là 4.641,46ha, trong đó có 22 phường với diện tích tự nhiên là 3.087,73ha và 3 xã với diện tích tự nhiên là 1.553,7ha; Huyện Mỹ Lộc có diện tích tự nhiên 7.448,86ha, bao gồm 01 thị trấn Mỹ Lộc có diện tích tự nhiên </w:t>
      </w:r>
      <w:r w:rsidRPr="008E63BB">
        <w:rPr>
          <w:lang w:val="vi-VN"/>
        </w:rPr>
        <w:lastRenderedPageBreak/>
        <w:t>472,02ha và 10 xã (diện tích tự nhiên là 6.976,84ha); Huyện Vụ Bản có diện tích tự nhiên là 2.648,1ha (3 xã); Huyện Nam Trực có diện tích tự nhiên là 4.060,27ha (5 xã).</w:t>
      </w:r>
    </w:p>
    <w:p w14:paraId="519B24FC" w14:textId="77777777" w:rsidR="00276AC0" w:rsidRPr="008E63BB" w:rsidRDefault="00276AC0" w:rsidP="00276AC0">
      <w:pPr>
        <w:pStyle w:val="-"/>
        <w:numPr>
          <w:ilvl w:val="0"/>
          <w:numId w:val="0"/>
        </w:numPr>
        <w:ind w:firstLine="360"/>
        <w:rPr>
          <w:lang w:val="vi-VN"/>
        </w:rPr>
      </w:pPr>
      <w:r w:rsidRPr="008E63BB">
        <w:rPr>
          <w:lang w:val="vi-VN"/>
        </w:rPr>
        <w:t>Trong đó: Đất xây dựng đô thị khu vực nội thành toàn thành phố (bao gồm 22 phường thành phố + 01 thị trấn Mỹ Lộc) khoảng 5.089,23ha = 27,07% (bình quân 131,4m</w:t>
      </w:r>
      <w:r w:rsidRPr="008E63BB">
        <w:rPr>
          <w:vertAlign w:val="superscript"/>
          <w:lang w:val="vi-VN"/>
        </w:rPr>
        <w:t>2</w:t>
      </w:r>
      <w:r w:rsidRPr="008E63BB">
        <w:rPr>
          <w:lang w:val="vi-VN"/>
        </w:rPr>
        <w:t>/ người), trong đó: Đất dân dụng là 3.630,07ha = 58,74m</w:t>
      </w:r>
      <w:r w:rsidRPr="008E63BB">
        <w:rPr>
          <w:vertAlign w:val="superscript"/>
          <w:lang w:val="vi-VN"/>
        </w:rPr>
        <w:t>2</w:t>
      </w:r>
      <w:r w:rsidRPr="008E63BB">
        <w:rPr>
          <w:lang w:val="vi-VN"/>
        </w:rPr>
        <w:t>/ người; đất ngoài dân dụng khoảng 876.67ha = 37,39m</w:t>
      </w:r>
      <w:r w:rsidRPr="008E63BB">
        <w:rPr>
          <w:vertAlign w:val="superscript"/>
          <w:lang w:val="vi-VN"/>
        </w:rPr>
        <w:t>2</w:t>
      </w:r>
      <w:r w:rsidRPr="008E63BB">
        <w:rPr>
          <w:lang w:val="vi-VN"/>
        </w:rPr>
        <w:t xml:space="preserve">/ người). Đất khác 13.709,47ha = 72,93%. </w:t>
      </w:r>
    </w:p>
    <w:p w14:paraId="519B24FD" w14:textId="77777777" w:rsidR="00276AC0" w:rsidRPr="008E63BB" w:rsidRDefault="00276AC0" w:rsidP="00276AC0">
      <w:pPr>
        <w:ind w:firstLine="706"/>
        <w:rPr>
          <w:i/>
          <w:lang w:val="vi-VN"/>
        </w:rPr>
      </w:pPr>
      <w:r w:rsidRPr="008E63BB">
        <w:rPr>
          <w:i/>
          <w:lang w:val="vi-VN"/>
        </w:rPr>
        <w:t>* Thành phố Nam Định:</w:t>
      </w:r>
    </w:p>
    <w:p w14:paraId="519B24FE" w14:textId="77777777" w:rsidR="00276AC0" w:rsidRPr="008E63BB" w:rsidRDefault="00276AC0" w:rsidP="00276AC0">
      <w:pPr>
        <w:ind w:firstLine="706"/>
        <w:rPr>
          <w:lang w:val="vi-VN"/>
        </w:rPr>
      </w:pPr>
      <w:r w:rsidRPr="008E63BB">
        <w:rPr>
          <w:lang w:val="vi-VN"/>
        </w:rPr>
        <w:t xml:space="preserve">Tổng diện tích đất tự nhiên là 4.641,46ha, gồm khu vực nội thành là 3.087,73ha và khu vực ngoài thành là 1.553,73ha. </w:t>
      </w:r>
    </w:p>
    <w:p w14:paraId="519B24FF" w14:textId="77777777" w:rsidR="00276AC0" w:rsidRPr="008E63BB" w:rsidRDefault="00276AC0" w:rsidP="00276AC0">
      <w:pPr>
        <w:pStyle w:val="-"/>
        <w:ind w:left="0" w:firstLine="360"/>
        <w:rPr>
          <w:lang w:val="vi-VN"/>
        </w:rPr>
      </w:pPr>
      <w:r w:rsidRPr="008E63BB">
        <w:rPr>
          <w:lang w:val="vi-VN"/>
        </w:rPr>
        <w:t>Đất xây dựng đô thị khu vực nội thành khoảng 2.111,5ha chiếm 68,38% (bình quân 91,53m</w:t>
      </w:r>
      <w:r w:rsidRPr="008E63BB">
        <w:rPr>
          <w:vertAlign w:val="superscript"/>
          <w:lang w:val="vi-VN"/>
        </w:rPr>
        <w:t>2</w:t>
      </w:r>
      <w:r w:rsidRPr="008E63BB">
        <w:rPr>
          <w:lang w:val="vi-VN"/>
        </w:rPr>
        <w:t>/ người), trong đó: Đất dân dụng là 1.360,17ha = 58,96m</w:t>
      </w:r>
      <w:r w:rsidRPr="008E63BB">
        <w:rPr>
          <w:vertAlign w:val="superscript"/>
          <w:lang w:val="vi-VN"/>
        </w:rPr>
        <w:t>2</w:t>
      </w:r>
      <w:r w:rsidRPr="008E63BB">
        <w:rPr>
          <w:lang w:val="vi-VN"/>
        </w:rPr>
        <w:t>/ người; đất ngoài dân dụng khoảng 751,33ha = 32,57m</w:t>
      </w:r>
      <w:r w:rsidRPr="008E63BB">
        <w:rPr>
          <w:vertAlign w:val="superscript"/>
          <w:lang w:val="vi-VN"/>
        </w:rPr>
        <w:t>2</w:t>
      </w:r>
      <w:r w:rsidRPr="008E63BB">
        <w:rPr>
          <w:lang w:val="vi-VN"/>
        </w:rPr>
        <w:t xml:space="preserve">/ người. </w:t>
      </w:r>
    </w:p>
    <w:p w14:paraId="519B2500" w14:textId="77777777" w:rsidR="00276AC0" w:rsidRPr="008E63BB" w:rsidRDefault="00276AC0" w:rsidP="00276AC0">
      <w:pPr>
        <w:ind w:firstLine="720"/>
        <w:rPr>
          <w:lang w:val="vi-VN"/>
        </w:rPr>
      </w:pPr>
      <w:r w:rsidRPr="008E63BB">
        <w:rPr>
          <w:lang w:val="vi-VN"/>
        </w:rPr>
        <w:t>Đất xây dựng khu vực ngoại thành khoảng 409,99ha chiếm 26,39% (bình quân 180,91m</w:t>
      </w:r>
      <w:r w:rsidRPr="008E63BB">
        <w:rPr>
          <w:vertAlign w:val="superscript"/>
          <w:lang w:val="vi-VN"/>
        </w:rPr>
        <w:t>2</w:t>
      </w:r>
      <w:r w:rsidRPr="008E63BB">
        <w:rPr>
          <w:lang w:val="vi-VN"/>
        </w:rPr>
        <w:t>/ người)</w:t>
      </w:r>
    </w:p>
    <w:p w14:paraId="519B2501" w14:textId="77777777" w:rsidR="00D000CC" w:rsidRPr="008E63BB" w:rsidRDefault="000C796A" w:rsidP="0065184D">
      <w:pPr>
        <w:ind w:firstLine="706"/>
        <w:rPr>
          <w:lang w:val="vi-VN"/>
        </w:rPr>
      </w:pPr>
      <w:r w:rsidRPr="008E63BB">
        <w:rPr>
          <w:lang w:val="vi-VN"/>
        </w:rPr>
        <w:t>Đối với khu vực thành phố Nam Định, n</w:t>
      </w:r>
      <w:r w:rsidR="00D000CC" w:rsidRPr="008E63BB">
        <w:rPr>
          <w:lang w:val="vi-VN"/>
        </w:rPr>
        <w:t xml:space="preserve">hìn chung đất đai thành phố không có nhiều biến động lớn. So với thời điểm  khi QHC 2011 được phê duyệt, đất nông nghiệp thay đổi không đáng kể, đất chưa sử dụng giảm khoảng 10ha. Riêng đất phi nông nghiệp tăng do chủ yếu tăng ở đất chuyên dùng, trong đó có đất trụ sở cơ quan, công trình sự nghiệp được mở rộng khá nhiều, tăng từ </w:t>
      </w:r>
      <w:r w:rsidRPr="008E63BB">
        <w:rPr>
          <w:lang w:val="vi-VN"/>
        </w:rPr>
        <w:t>hơn 27</w:t>
      </w:r>
      <w:r w:rsidR="00D000CC" w:rsidRPr="008E63BB">
        <w:rPr>
          <w:lang w:val="vi-VN"/>
        </w:rPr>
        <w:t>ha</w:t>
      </w:r>
      <w:r w:rsidRPr="008E63BB">
        <w:rPr>
          <w:lang w:val="vi-VN"/>
        </w:rPr>
        <w:t xml:space="preserve"> năm 2011 lên gần 150</w:t>
      </w:r>
      <w:r w:rsidR="00EC7FC3" w:rsidRPr="008E63BB">
        <w:rPr>
          <w:lang w:val="vi-VN"/>
        </w:rPr>
        <w:t>ha năm 2018</w:t>
      </w:r>
      <w:r w:rsidR="00D000CC" w:rsidRPr="008E63BB">
        <w:rPr>
          <w:lang w:val="vi-VN"/>
        </w:rPr>
        <w:t xml:space="preserve">. </w:t>
      </w:r>
      <w:r w:rsidRPr="008E63BB">
        <w:rPr>
          <w:lang w:val="vi-VN"/>
        </w:rPr>
        <w:t>C</w:t>
      </w:r>
      <w:r w:rsidR="00D000CC" w:rsidRPr="008E63BB">
        <w:rPr>
          <w:lang w:val="vi-VN"/>
        </w:rPr>
        <w:t>ó thể thấy một phần lớn đất chưa sử dụng và một phần đất nông nghiệp đã được chuyển đổi mục đích sử dụng cho các mục đích xây dựng hạ tầng kỹ thuật và hạ tầng xã hội của thành phố.</w:t>
      </w:r>
    </w:p>
    <w:p w14:paraId="519B2502" w14:textId="77777777" w:rsidR="00276AC0" w:rsidRPr="008E63BB" w:rsidRDefault="00276AC0" w:rsidP="00276AC0">
      <w:pPr>
        <w:ind w:firstLine="706"/>
        <w:rPr>
          <w:i/>
          <w:lang w:val="vi-VN"/>
        </w:rPr>
      </w:pPr>
      <w:r w:rsidRPr="008E63BB">
        <w:rPr>
          <w:i/>
          <w:lang w:val="vi-VN"/>
        </w:rPr>
        <w:t>* Khu vực mở rộng:</w:t>
      </w:r>
    </w:p>
    <w:p w14:paraId="519B2503" w14:textId="77777777" w:rsidR="00276AC0" w:rsidRPr="008E63BB" w:rsidRDefault="00276AC0" w:rsidP="00276AC0">
      <w:pPr>
        <w:pStyle w:val="-"/>
        <w:numPr>
          <w:ilvl w:val="0"/>
          <w:numId w:val="0"/>
        </w:numPr>
        <w:ind w:firstLine="706"/>
        <w:rPr>
          <w:lang w:val="vi-VN"/>
        </w:rPr>
      </w:pPr>
      <w:r w:rsidRPr="008E63BB">
        <w:rPr>
          <w:lang w:val="vi-VN"/>
        </w:rPr>
        <w:t>- Huyện Mỹ Lộc có diện tích tự nhiên 7.448,86ha.</w:t>
      </w:r>
    </w:p>
    <w:p w14:paraId="519B2504" w14:textId="77777777" w:rsidR="00276AC0" w:rsidRPr="008E63BB" w:rsidRDefault="00276AC0" w:rsidP="00276AC0">
      <w:pPr>
        <w:pStyle w:val="-"/>
        <w:numPr>
          <w:ilvl w:val="0"/>
          <w:numId w:val="44"/>
        </w:numPr>
        <w:rPr>
          <w:lang w:val="vi-VN"/>
        </w:rPr>
      </w:pPr>
      <w:r w:rsidRPr="008E63BB">
        <w:rPr>
          <w:lang w:val="vi-VN"/>
        </w:rPr>
        <w:t>Thị trấn Mỹ Lộc: diện tích 472,02ha. Đất xây dựng đô thị khoảng 103,43ha 21,91% (bình quân 198,56m</w:t>
      </w:r>
      <w:r w:rsidRPr="008E63BB">
        <w:rPr>
          <w:vertAlign w:val="superscript"/>
          <w:lang w:val="vi-VN"/>
        </w:rPr>
        <w:t>2</w:t>
      </w:r>
      <w:r w:rsidRPr="008E63BB">
        <w:rPr>
          <w:lang w:val="vi-VN"/>
        </w:rPr>
        <w:t xml:space="preserve">/ người); đất khác: 368,59ha chiếm 78,09%. </w:t>
      </w:r>
    </w:p>
    <w:p w14:paraId="519B2505" w14:textId="77777777" w:rsidR="00276AC0" w:rsidRPr="008E63BB" w:rsidRDefault="00276AC0" w:rsidP="00276AC0">
      <w:pPr>
        <w:pStyle w:val="-"/>
        <w:numPr>
          <w:ilvl w:val="0"/>
          <w:numId w:val="44"/>
        </w:numPr>
        <w:rPr>
          <w:lang w:val="vi-VN"/>
        </w:rPr>
      </w:pPr>
      <w:r w:rsidRPr="008E63BB">
        <w:rPr>
          <w:lang w:val="vi-VN"/>
        </w:rPr>
        <w:t>Đất xây dựng khu vực ngoại thị khoảng 1.322,03ha = 18,09% (bình quân 203,09m</w:t>
      </w:r>
      <w:r w:rsidRPr="008E63BB">
        <w:rPr>
          <w:vertAlign w:val="superscript"/>
          <w:lang w:val="vi-VN"/>
        </w:rPr>
        <w:t>2</w:t>
      </w:r>
      <w:r w:rsidRPr="008E63BB">
        <w:rPr>
          <w:lang w:val="vi-VN"/>
        </w:rPr>
        <w:t>/ người).</w:t>
      </w:r>
    </w:p>
    <w:p w14:paraId="519B2506" w14:textId="77777777" w:rsidR="00276AC0" w:rsidRPr="008E63BB" w:rsidRDefault="00276AC0" w:rsidP="00276AC0">
      <w:pPr>
        <w:pStyle w:val="-"/>
        <w:numPr>
          <w:ilvl w:val="0"/>
          <w:numId w:val="0"/>
        </w:numPr>
        <w:ind w:firstLine="720"/>
        <w:rPr>
          <w:lang w:val="vi-VN"/>
        </w:rPr>
      </w:pPr>
      <w:r w:rsidRPr="008E63BB">
        <w:rPr>
          <w:lang w:val="vi-VN"/>
        </w:rPr>
        <w:t>- Huyện Vụ Bản có diện tích tự nhiên là 2.648,1ha; Đất xây dựng trong ranh giới quy hoạch ít chiếm 16,26%.</w:t>
      </w:r>
    </w:p>
    <w:p w14:paraId="519B2507" w14:textId="77777777" w:rsidR="00276AC0" w:rsidRPr="008E63BB" w:rsidRDefault="00276AC0" w:rsidP="00276AC0">
      <w:pPr>
        <w:ind w:firstLine="706"/>
        <w:rPr>
          <w:lang w:val="vi-VN"/>
        </w:rPr>
      </w:pPr>
      <w:r w:rsidRPr="008E63BB">
        <w:rPr>
          <w:lang w:val="vi-VN"/>
        </w:rPr>
        <w:t>- Huyện Nam Trực có diện tích tự nhiên là 4.060,27ha. Đất xây dựng trong ranh giới quy hoạch ít chiếm 15,91%.</w:t>
      </w:r>
    </w:p>
    <w:p w14:paraId="519B2508" w14:textId="77777777" w:rsidR="00D000CC" w:rsidRPr="008E63BB" w:rsidRDefault="00D000CC" w:rsidP="0065184D">
      <w:pPr>
        <w:rPr>
          <w:lang w:val="vi-VN"/>
        </w:rPr>
      </w:pPr>
      <w:r w:rsidRPr="008E63BB">
        <w:rPr>
          <w:lang w:val="vi-VN"/>
        </w:rPr>
        <w:tab/>
        <w:t>Trong thời gian tới, để phát triển kết cấu hạ tầng và quản lý đô thị, tiếp tục đẩy mạnh chuyển dịch cơ cấu kinh tế theo hướng tăng dần tỷ trọng công nghiệp tiểu thủ công nghiệp, dịch vụ - du lịch, giảm dần tỷ trọng nông nghiệp, cho nên ngoài một số diện tích đất chưa được sử dụng sẽ được đưa vào sử dụng, còn lại phần lớn đất đai phục vụ đáp ứng với nhu cầu phát triển sẽ là do chuyển đổi mục đích sử dụng cho phù hợp với định hướng phát triển kinh tế - xã hội của thành phố. Trong bối cảnh đất nông nghiệp ngày càng hạn hẹp, đất chưa sử dụng còn ít nên việc chuyển đổi các mục đích sử dụng cần có sự cân nhắc, xem xét kỹ mới đạt hiệu quả cao.</w:t>
      </w:r>
    </w:p>
    <w:p w14:paraId="519B2509" w14:textId="77777777" w:rsidR="00A003BF" w:rsidRPr="008E63BB" w:rsidRDefault="00A003BF" w:rsidP="0065184D">
      <w:pPr>
        <w:ind w:firstLine="709"/>
        <w:jc w:val="center"/>
        <w:rPr>
          <w:b/>
          <w:lang w:val="vi-VN"/>
        </w:rPr>
      </w:pPr>
      <w:r w:rsidRPr="008E63BB">
        <w:rPr>
          <w:b/>
          <w:lang w:val="vi-VN"/>
        </w:rPr>
        <w:t>Bảng: Hiện trạng sử dụng đất đai khu vực lập quy hoạch</w:t>
      </w:r>
    </w:p>
    <w:tbl>
      <w:tblPr>
        <w:tblW w:w="10165"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589"/>
        <w:gridCol w:w="1075"/>
        <w:gridCol w:w="810"/>
        <w:gridCol w:w="812"/>
        <w:gridCol w:w="969"/>
        <w:gridCol w:w="810"/>
        <w:gridCol w:w="727"/>
        <w:gridCol w:w="1075"/>
        <w:gridCol w:w="811"/>
      </w:tblGrid>
      <w:tr w:rsidR="008D5BFE" w:rsidRPr="008E63BB" w14:paraId="519B250F" w14:textId="77777777" w:rsidTr="00FE6E30">
        <w:trPr>
          <w:cantSplit/>
          <w:trHeight w:val="386"/>
          <w:tblHeader/>
        </w:trPr>
        <w:tc>
          <w:tcPr>
            <w:tcW w:w="487" w:type="dxa"/>
            <w:vMerge w:val="restart"/>
            <w:vAlign w:val="center"/>
            <w:hideMark/>
          </w:tcPr>
          <w:p w14:paraId="519B250A" w14:textId="77777777" w:rsidR="00C06909" w:rsidRPr="008E63BB" w:rsidRDefault="00C06909" w:rsidP="00C06909">
            <w:pPr>
              <w:jc w:val="center"/>
              <w:rPr>
                <w:rFonts w:eastAsia="Times New Roman"/>
                <w:sz w:val="20"/>
                <w:szCs w:val="20"/>
              </w:rPr>
            </w:pPr>
            <w:r w:rsidRPr="008E63BB">
              <w:rPr>
                <w:rFonts w:eastAsia="Times New Roman"/>
                <w:sz w:val="20"/>
                <w:szCs w:val="20"/>
              </w:rPr>
              <w:t>TT</w:t>
            </w:r>
          </w:p>
        </w:tc>
        <w:tc>
          <w:tcPr>
            <w:tcW w:w="2589" w:type="dxa"/>
            <w:vMerge w:val="restart"/>
            <w:vAlign w:val="center"/>
            <w:hideMark/>
          </w:tcPr>
          <w:p w14:paraId="519B250B" w14:textId="77777777" w:rsidR="00C06909" w:rsidRPr="008E63BB" w:rsidRDefault="00C06909" w:rsidP="00C06909">
            <w:pPr>
              <w:jc w:val="center"/>
              <w:rPr>
                <w:rFonts w:eastAsia="Times New Roman"/>
                <w:sz w:val="20"/>
                <w:szCs w:val="20"/>
              </w:rPr>
            </w:pPr>
            <w:r w:rsidRPr="008E63BB">
              <w:rPr>
                <w:rFonts w:eastAsia="Times New Roman"/>
                <w:sz w:val="20"/>
                <w:szCs w:val="20"/>
              </w:rPr>
              <w:t>Danh mục</w:t>
            </w:r>
          </w:p>
        </w:tc>
        <w:tc>
          <w:tcPr>
            <w:tcW w:w="2697" w:type="dxa"/>
            <w:gridSpan w:val="3"/>
            <w:shd w:val="clear" w:color="auto" w:fill="auto"/>
            <w:noWrap/>
            <w:vAlign w:val="center"/>
            <w:hideMark/>
          </w:tcPr>
          <w:p w14:paraId="519B250C"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 xml:space="preserve"> Tổng RG QH</w:t>
            </w:r>
          </w:p>
        </w:tc>
        <w:tc>
          <w:tcPr>
            <w:tcW w:w="2506" w:type="dxa"/>
            <w:gridSpan w:val="3"/>
            <w:shd w:val="clear" w:color="auto" w:fill="auto"/>
            <w:noWrap/>
            <w:vAlign w:val="center"/>
            <w:hideMark/>
          </w:tcPr>
          <w:p w14:paraId="519B250D"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 xml:space="preserve">Nội Thị </w:t>
            </w:r>
          </w:p>
        </w:tc>
        <w:tc>
          <w:tcPr>
            <w:tcW w:w="1886" w:type="dxa"/>
            <w:gridSpan w:val="2"/>
            <w:shd w:val="clear" w:color="auto" w:fill="auto"/>
            <w:noWrap/>
            <w:vAlign w:val="center"/>
            <w:hideMark/>
          </w:tcPr>
          <w:p w14:paraId="519B250E"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 xml:space="preserve">Ngoại Thị </w:t>
            </w:r>
          </w:p>
        </w:tc>
      </w:tr>
      <w:tr w:rsidR="008D5BFE" w:rsidRPr="008E63BB" w14:paraId="519B251A" w14:textId="77777777" w:rsidTr="00FE6E30">
        <w:trPr>
          <w:cantSplit/>
          <w:trHeight w:val="530"/>
          <w:tblHeader/>
        </w:trPr>
        <w:tc>
          <w:tcPr>
            <w:tcW w:w="487" w:type="dxa"/>
            <w:vMerge/>
            <w:vAlign w:val="center"/>
            <w:hideMark/>
          </w:tcPr>
          <w:p w14:paraId="519B2510" w14:textId="77777777" w:rsidR="00C06909" w:rsidRPr="008E63BB" w:rsidRDefault="00C06909" w:rsidP="009A7903">
            <w:pPr>
              <w:jc w:val="left"/>
              <w:rPr>
                <w:rFonts w:eastAsia="Times New Roman"/>
                <w:sz w:val="20"/>
                <w:szCs w:val="20"/>
              </w:rPr>
            </w:pPr>
          </w:p>
        </w:tc>
        <w:tc>
          <w:tcPr>
            <w:tcW w:w="2589" w:type="dxa"/>
            <w:vMerge/>
            <w:vAlign w:val="center"/>
            <w:hideMark/>
          </w:tcPr>
          <w:p w14:paraId="519B2511" w14:textId="77777777" w:rsidR="00C06909" w:rsidRPr="008E63BB" w:rsidRDefault="00C06909" w:rsidP="009A7903">
            <w:pPr>
              <w:jc w:val="left"/>
              <w:rPr>
                <w:rFonts w:eastAsia="Times New Roman"/>
                <w:sz w:val="20"/>
                <w:szCs w:val="20"/>
              </w:rPr>
            </w:pPr>
          </w:p>
        </w:tc>
        <w:tc>
          <w:tcPr>
            <w:tcW w:w="1075" w:type="dxa"/>
            <w:shd w:val="clear" w:color="auto" w:fill="auto"/>
            <w:vAlign w:val="center"/>
            <w:hideMark/>
          </w:tcPr>
          <w:p w14:paraId="519B2512" w14:textId="77777777" w:rsidR="00C06909" w:rsidRPr="008E63BB" w:rsidRDefault="00C06909" w:rsidP="009A7903">
            <w:pPr>
              <w:jc w:val="center"/>
              <w:rPr>
                <w:rFonts w:eastAsia="Times New Roman"/>
                <w:sz w:val="20"/>
                <w:szCs w:val="20"/>
              </w:rPr>
            </w:pPr>
            <w:r w:rsidRPr="008E63BB">
              <w:rPr>
                <w:rFonts w:eastAsia="Times New Roman"/>
                <w:sz w:val="20"/>
                <w:szCs w:val="20"/>
              </w:rPr>
              <w:t>Diện tích đất (ha)</w:t>
            </w:r>
          </w:p>
        </w:tc>
        <w:tc>
          <w:tcPr>
            <w:tcW w:w="810" w:type="dxa"/>
            <w:shd w:val="clear" w:color="auto" w:fill="auto"/>
            <w:vAlign w:val="center"/>
            <w:hideMark/>
          </w:tcPr>
          <w:p w14:paraId="519B2513" w14:textId="77777777" w:rsidR="00C06909" w:rsidRPr="008E63BB" w:rsidRDefault="00C06909" w:rsidP="009A7903">
            <w:pPr>
              <w:jc w:val="center"/>
              <w:rPr>
                <w:rFonts w:eastAsia="Times New Roman"/>
                <w:sz w:val="20"/>
                <w:szCs w:val="20"/>
              </w:rPr>
            </w:pPr>
            <w:r w:rsidRPr="008E63BB">
              <w:rPr>
                <w:rFonts w:eastAsia="Times New Roman"/>
                <w:sz w:val="20"/>
                <w:szCs w:val="20"/>
              </w:rPr>
              <w:t>Tỷ lệ (%)</w:t>
            </w:r>
          </w:p>
        </w:tc>
        <w:tc>
          <w:tcPr>
            <w:tcW w:w="812" w:type="dxa"/>
            <w:shd w:val="clear" w:color="auto" w:fill="auto"/>
            <w:vAlign w:val="center"/>
            <w:hideMark/>
          </w:tcPr>
          <w:p w14:paraId="519B2514" w14:textId="77777777" w:rsidR="00C06909" w:rsidRPr="008E63BB" w:rsidRDefault="00C06909" w:rsidP="009A7903">
            <w:pPr>
              <w:jc w:val="center"/>
              <w:rPr>
                <w:rFonts w:eastAsia="Times New Roman"/>
                <w:sz w:val="20"/>
                <w:szCs w:val="20"/>
              </w:rPr>
            </w:pPr>
            <w:r w:rsidRPr="008E63BB">
              <w:rPr>
                <w:rFonts w:eastAsia="Times New Roman"/>
                <w:sz w:val="20"/>
                <w:szCs w:val="20"/>
              </w:rPr>
              <w:t>m2/ người</w:t>
            </w:r>
          </w:p>
        </w:tc>
        <w:tc>
          <w:tcPr>
            <w:tcW w:w="969" w:type="dxa"/>
            <w:shd w:val="clear" w:color="auto" w:fill="auto"/>
            <w:vAlign w:val="center"/>
            <w:hideMark/>
          </w:tcPr>
          <w:p w14:paraId="519B2515" w14:textId="77777777" w:rsidR="00C06909" w:rsidRPr="008E63BB" w:rsidRDefault="00C06909" w:rsidP="009A7903">
            <w:pPr>
              <w:jc w:val="center"/>
              <w:rPr>
                <w:rFonts w:eastAsia="Times New Roman"/>
                <w:sz w:val="20"/>
                <w:szCs w:val="20"/>
              </w:rPr>
            </w:pPr>
            <w:r w:rsidRPr="008E63BB">
              <w:rPr>
                <w:rFonts w:eastAsia="Times New Roman"/>
                <w:sz w:val="20"/>
                <w:szCs w:val="20"/>
              </w:rPr>
              <w:t>Diện tích đất (ha)</w:t>
            </w:r>
          </w:p>
        </w:tc>
        <w:tc>
          <w:tcPr>
            <w:tcW w:w="810" w:type="dxa"/>
            <w:shd w:val="clear" w:color="auto" w:fill="auto"/>
            <w:vAlign w:val="center"/>
            <w:hideMark/>
          </w:tcPr>
          <w:p w14:paraId="519B2516" w14:textId="77777777" w:rsidR="00C06909" w:rsidRPr="008E63BB" w:rsidRDefault="00C06909" w:rsidP="009A7903">
            <w:pPr>
              <w:jc w:val="center"/>
              <w:rPr>
                <w:rFonts w:eastAsia="Times New Roman"/>
                <w:sz w:val="20"/>
                <w:szCs w:val="20"/>
              </w:rPr>
            </w:pPr>
            <w:r w:rsidRPr="008E63BB">
              <w:rPr>
                <w:rFonts w:eastAsia="Times New Roman"/>
                <w:sz w:val="20"/>
                <w:szCs w:val="20"/>
              </w:rPr>
              <w:t>Tỷ lệ (%)</w:t>
            </w:r>
          </w:p>
        </w:tc>
        <w:tc>
          <w:tcPr>
            <w:tcW w:w="727" w:type="dxa"/>
            <w:shd w:val="clear" w:color="auto" w:fill="auto"/>
            <w:vAlign w:val="center"/>
            <w:hideMark/>
          </w:tcPr>
          <w:p w14:paraId="519B2517" w14:textId="77777777" w:rsidR="00C06909" w:rsidRPr="008E63BB" w:rsidRDefault="00C06909" w:rsidP="009A7903">
            <w:pPr>
              <w:jc w:val="center"/>
              <w:rPr>
                <w:rFonts w:eastAsia="Times New Roman"/>
                <w:sz w:val="20"/>
                <w:szCs w:val="20"/>
              </w:rPr>
            </w:pPr>
            <w:r w:rsidRPr="008E63BB">
              <w:rPr>
                <w:rFonts w:eastAsia="Times New Roman"/>
                <w:sz w:val="20"/>
                <w:szCs w:val="20"/>
              </w:rPr>
              <w:t>m2/ người</w:t>
            </w:r>
          </w:p>
        </w:tc>
        <w:tc>
          <w:tcPr>
            <w:tcW w:w="1075" w:type="dxa"/>
            <w:shd w:val="clear" w:color="auto" w:fill="auto"/>
            <w:vAlign w:val="center"/>
            <w:hideMark/>
          </w:tcPr>
          <w:p w14:paraId="519B2518" w14:textId="77777777" w:rsidR="00C06909" w:rsidRPr="008E63BB" w:rsidRDefault="00C06909" w:rsidP="009A7903">
            <w:pPr>
              <w:jc w:val="center"/>
              <w:rPr>
                <w:rFonts w:eastAsia="Times New Roman"/>
                <w:sz w:val="20"/>
                <w:szCs w:val="20"/>
              </w:rPr>
            </w:pPr>
            <w:r w:rsidRPr="008E63BB">
              <w:rPr>
                <w:rFonts w:eastAsia="Times New Roman"/>
                <w:sz w:val="20"/>
                <w:szCs w:val="20"/>
              </w:rPr>
              <w:t>Diện tích đất (ha)</w:t>
            </w:r>
          </w:p>
        </w:tc>
        <w:tc>
          <w:tcPr>
            <w:tcW w:w="811" w:type="dxa"/>
            <w:shd w:val="clear" w:color="auto" w:fill="auto"/>
            <w:vAlign w:val="center"/>
            <w:hideMark/>
          </w:tcPr>
          <w:p w14:paraId="519B2519" w14:textId="77777777" w:rsidR="00C06909" w:rsidRPr="008E63BB" w:rsidRDefault="00C06909" w:rsidP="009A7903">
            <w:pPr>
              <w:jc w:val="center"/>
              <w:rPr>
                <w:rFonts w:eastAsia="Times New Roman"/>
                <w:sz w:val="20"/>
                <w:szCs w:val="20"/>
              </w:rPr>
            </w:pPr>
            <w:r w:rsidRPr="008E63BB">
              <w:rPr>
                <w:rFonts w:eastAsia="Times New Roman"/>
                <w:sz w:val="20"/>
                <w:szCs w:val="20"/>
              </w:rPr>
              <w:t>Tỷ lệ (%)</w:t>
            </w:r>
          </w:p>
        </w:tc>
      </w:tr>
      <w:tr w:rsidR="008D5BFE" w:rsidRPr="008E63BB" w14:paraId="519B2525" w14:textId="77777777" w:rsidTr="00FE6E30">
        <w:trPr>
          <w:trHeight w:val="377"/>
        </w:trPr>
        <w:tc>
          <w:tcPr>
            <w:tcW w:w="487" w:type="dxa"/>
            <w:shd w:val="clear" w:color="auto" w:fill="auto"/>
            <w:vAlign w:val="center"/>
            <w:hideMark/>
          </w:tcPr>
          <w:p w14:paraId="519B251B" w14:textId="77777777" w:rsidR="00C06909" w:rsidRPr="008E63BB" w:rsidRDefault="00C06909" w:rsidP="009A7903">
            <w:pPr>
              <w:jc w:val="left"/>
              <w:rPr>
                <w:rFonts w:eastAsia="Times New Roman"/>
                <w:b/>
                <w:bCs/>
                <w:i/>
                <w:iCs/>
                <w:sz w:val="20"/>
                <w:szCs w:val="20"/>
              </w:rPr>
            </w:pPr>
            <w:r w:rsidRPr="008E63BB">
              <w:rPr>
                <w:rFonts w:eastAsia="Times New Roman"/>
                <w:b/>
                <w:bCs/>
                <w:i/>
                <w:iCs/>
                <w:sz w:val="20"/>
                <w:szCs w:val="20"/>
              </w:rPr>
              <w:lastRenderedPageBreak/>
              <w:t> </w:t>
            </w:r>
          </w:p>
        </w:tc>
        <w:tc>
          <w:tcPr>
            <w:tcW w:w="2589" w:type="dxa"/>
            <w:shd w:val="clear" w:color="auto" w:fill="auto"/>
            <w:vAlign w:val="center"/>
            <w:hideMark/>
          </w:tcPr>
          <w:p w14:paraId="519B251C" w14:textId="77777777" w:rsidR="00C06909" w:rsidRPr="008E63BB" w:rsidRDefault="00C06909" w:rsidP="009A7903">
            <w:pPr>
              <w:jc w:val="left"/>
              <w:rPr>
                <w:rFonts w:eastAsia="Times New Roman"/>
                <w:b/>
                <w:bCs/>
                <w:i/>
                <w:iCs/>
                <w:sz w:val="20"/>
                <w:szCs w:val="20"/>
              </w:rPr>
            </w:pPr>
            <w:r w:rsidRPr="008E63BB">
              <w:rPr>
                <w:rFonts w:eastAsia="Times New Roman"/>
                <w:b/>
                <w:bCs/>
                <w:i/>
                <w:iCs/>
                <w:sz w:val="20"/>
                <w:szCs w:val="20"/>
              </w:rPr>
              <w:t>Tổng diện tích đất tự nhiên (A+B)</w:t>
            </w:r>
          </w:p>
        </w:tc>
        <w:tc>
          <w:tcPr>
            <w:tcW w:w="1075" w:type="dxa"/>
            <w:shd w:val="clear" w:color="auto" w:fill="auto"/>
            <w:vAlign w:val="center"/>
            <w:hideMark/>
          </w:tcPr>
          <w:p w14:paraId="519B251D"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18.798,69</w:t>
            </w:r>
          </w:p>
        </w:tc>
        <w:tc>
          <w:tcPr>
            <w:tcW w:w="810" w:type="dxa"/>
            <w:shd w:val="clear" w:color="auto" w:fill="auto"/>
            <w:vAlign w:val="center"/>
            <w:hideMark/>
          </w:tcPr>
          <w:p w14:paraId="519B251E"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100,00</w:t>
            </w:r>
          </w:p>
        </w:tc>
        <w:tc>
          <w:tcPr>
            <w:tcW w:w="812" w:type="dxa"/>
            <w:shd w:val="clear" w:color="auto" w:fill="auto"/>
            <w:vAlign w:val="center"/>
            <w:hideMark/>
          </w:tcPr>
          <w:p w14:paraId="519B251F"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c>
          <w:tcPr>
            <w:tcW w:w="969" w:type="dxa"/>
            <w:shd w:val="clear" w:color="auto" w:fill="auto"/>
            <w:vAlign w:val="center"/>
            <w:hideMark/>
          </w:tcPr>
          <w:p w14:paraId="519B2520"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3.559,75</w:t>
            </w:r>
          </w:p>
        </w:tc>
        <w:tc>
          <w:tcPr>
            <w:tcW w:w="810" w:type="dxa"/>
            <w:shd w:val="clear" w:color="auto" w:fill="auto"/>
            <w:vAlign w:val="center"/>
            <w:hideMark/>
          </w:tcPr>
          <w:p w14:paraId="519B2521"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100,00</w:t>
            </w:r>
          </w:p>
        </w:tc>
        <w:tc>
          <w:tcPr>
            <w:tcW w:w="727" w:type="dxa"/>
            <w:shd w:val="clear" w:color="auto" w:fill="auto"/>
            <w:vAlign w:val="center"/>
            <w:hideMark/>
          </w:tcPr>
          <w:p w14:paraId="519B2522"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c>
          <w:tcPr>
            <w:tcW w:w="1075" w:type="dxa"/>
            <w:shd w:val="clear" w:color="auto" w:fill="auto"/>
            <w:vAlign w:val="center"/>
            <w:hideMark/>
          </w:tcPr>
          <w:p w14:paraId="519B2523"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15.238,94</w:t>
            </w:r>
          </w:p>
        </w:tc>
        <w:tc>
          <w:tcPr>
            <w:tcW w:w="811" w:type="dxa"/>
            <w:shd w:val="clear" w:color="auto" w:fill="auto"/>
            <w:vAlign w:val="center"/>
            <w:hideMark/>
          </w:tcPr>
          <w:p w14:paraId="519B2524"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100,00</w:t>
            </w:r>
          </w:p>
        </w:tc>
      </w:tr>
      <w:tr w:rsidR="008D5BFE" w:rsidRPr="008E63BB" w14:paraId="519B2530" w14:textId="77777777" w:rsidTr="00FE6E30">
        <w:trPr>
          <w:trHeight w:val="377"/>
        </w:trPr>
        <w:tc>
          <w:tcPr>
            <w:tcW w:w="487" w:type="dxa"/>
            <w:shd w:val="clear" w:color="auto" w:fill="auto"/>
            <w:vAlign w:val="center"/>
            <w:hideMark/>
          </w:tcPr>
          <w:p w14:paraId="519B2526" w14:textId="77777777" w:rsidR="00C06909" w:rsidRPr="008E63BB" w:rsidRDefault="00C06909" w:rsidP="009A7903">
            <w:pPr>
              <w:jc w:val="center"/>
              <w:rPr>
                <w:rFonts w:eastAsia="Times New Roman"/>
                <w:i/>
                <w:iCs/>
                <w:sz w:val="20"/>
                <w:szCs w:val="20"/>
              </w:rPr>
            </w:pPr>
            <w:r w:rsidRPr="008E63BB">
              <w:rPr>
                <w:rFonts w:eastAsia="Times New Roman"/>
                <w:i/>
                <w:iCs/>
                <w:sz w:val="20"/>
                <w:szCs w:val="20"/>
              </w:rPr>
              <w:t> </w:t>
            </w:r>
          </w:p>
        </w:tc>
        <w:tc>
          <w:tcPr>
            <w:tcW w:w="2589" w:type="dxa"/>
            <w:shd w:val="clear" w:color="auto" w:fill="auto"/>
            <w:vAlign w:val="center"/>
            <w:hideMark/>
          </w:tcPr>
          <w:p w14:paraId="519B2527" w14:textId="77777777" w:rsidR="00C06909" w:rsidRPr="008E63BB" w:rsidRDefault="00C06909" w:rsidP="009A7903">
            <w:pPr>
              <w:jc w:val="left"/>
              <w:rPr>
                <w:rFonts w:eastAsia="Times New Roman"/>
                <w:i/>
                <w:iCs/>
                <w:sz w:val="20"/>
                <w:szCs w:val="20"/>
              </w:rPr>
            </w:pPr>
            <w:r w:rsidRPr="008E63BB">
              <w:rPr>
                <w:rFonts w:eastAsia="Times New Roman"/>
                <w:i/>
                <w:iCs/>
                <w:sz w:val="20"/>
                <w:szCs w:val="20"/>
              </w:rPr>
              <w:t>Đất xây dựng</w:t>
            </w:r>
          </w:p>
        </w:tc>
        <w:tc>
          <w:tcPr>
            <w:tcW w:w="1075" w:type="dxa"/>
            <w:shd w:val="clear" w:color="auto" w:fill="auto"/>
            <w:vAlign w:val="center"/>
            <w:hideMark/>
          </w:tcPr>
          <w:p w14:paraId="519B252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5.089,23</w:t>
            </w:r>
          </w:p>
        </w:tc>
        <w:tc>
          <w:tcPr>
            <w:tcW w:w="810" w:type="dxa"/>
            <w:shd w:val="clear" w:color="auto" w:fill="auto"/>
            <w:vAlign w:val="center"/>
            <w:hideMark/>
          </w:tcPr>
          <w:p w14:paraId="519B252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27,07</w:t>
            </w:r>
          </w:p>
        </w:tc>
        <w:tc>
          <w:tcPr>
            <w:tcW w:w="812" w:type="dxa"/>
            <w:shd w:val="clear" w:color="auto" w:fill="auto"/>
            <w:vAlign w:val="center"/>
            <w:hideMark/>
          </w:tcPr>
          <w:p w14:paraId="519B252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2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2.262,30</w:t>
            </w:r>
          </w:p>
        </w:tc>
        <w:tc>
          <w:tcPr>
            <w:tcW w:w="810" w:type="dxa"/>
            <w:shd w:val="clear" w:color="auto" w:fill="auto"/>
            <w:vAlign w:val="center"/>
            <w:hideMark/>
          </w:tcPr>
          <w:p w14:paraId="519B252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64,85</w:t>
            </w:r>
          </w:p>
        </w:tc>
        <w:tc>
          <w:tcPr>
            <w:tcW w:w="727" w:type="dxa"/>
            <w:shd w:val="clear" w:color="auto" w:fill="auto"/>
            <w:vAlign w:val="center"/>
            <w:hideMark/>
          </w:tcPr>
          <w:p w14:paraId="519B252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2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2.826,93</w:t>
            </w:r>
          </w:p>
        </w:tc>
        <w:tc>
          <w:tcPr>
            <w:tcW w:w="811" w:type="dxa"/>
            <w:shd w:val="clear" w:color="auto" w:fill="auto"/>
            <w:vAlign w:val="center"/>
            <w:hideMark/>
          </w:tcPr>
          <w:p w14:paraId="519B252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19,09</w:t>
            </w:r>
          </w:p>
        </w:tc>
      </w:tr>
      <w:tr w:rsidR="008D5BFE" w:rsidRPr="008E63BB" w14:paraId="519B253B" w14:textId="77777777" w:rsidTr="00FE6E30">
        <w:trPr>
          <w:trHeight w:val="377"/>
        </w:trPr>
        <w:tc>
          <w:tcPr>
            <w:tcW w:w="487" w:type="dxa"/>
            <w:shd w:val="clear" w:color="auto" w:fill="auto"/>
            <w:vAlign w:val="center"/>
            <w:hideMark/>
          </w:tcPr>
          <w:p w14:paraId="519B2531" w14:textId="77777777" w:rsidR="00C06909" w:rsidRPr="008E63BB" w:rsidRDefault="00C06909" w:rsidP="009A7903">
            <w:pPr>
              <w:jc w:val="center"/>
              <w:rPr>
                <w:rFonts w:eastAsia="Times New Roman"/>
                <w:i/>
                <w:iCs/>
                <w:sz w:val="20"/>
                <w:szCs w:val="20"/>
              </w:rPr>
            </w:pPr>
            <w:r w:rsidRPr="008E63BB">
              <w:rPr>
                <w:rFonts w:eastAsia="Times New Roman"/>
                <w:i/>
                <w:iCs/>
                <w:sz w:val="20"/>
                <w:szCs w:val="20"/>
              </w:rPr>
              <w:t> </w:t>
            </w:r>
          </w:p>
        </w:tc>
        <w:tc>
          <w:tcPr>
            <w:tcW w:w="2589" w:type="dxa"/>
            <w:shd w:val="clear" w:color="auto" w:fill="auto"/>
            <w:vAlign w:val="center"/>
            <w:hideMark/>
          </w:tcPr>
          <w:p w14:paraId="519B2532" w14:textId="77777777" w:rsidR="00C06909" w:rsidRPr="008E63BB" w:rsidRDefault="00C06909" w:rsidP="009A7903">
            <w:pPr>
              <w:jc w:val="left"/>
              <w:rPr>
                <w:rFonts w:eastAsia="Times New Roman"/>
                <w:i/>
                <w:iCs/>
                <w:sz w:val="20"/>
                <w:szCs w:val="20"/>
              </w:rPr>
            </w:pPr>
            <w:r w:rsidRPr="008E63BB">
              <w:rPr>
                <w:rFonts w:eastAsia="Times New Roman"/>
                <w:i/>
                <w:iCs/>
                <w:sz w:val="20"/>
                <w:szCs w:val="20"/>
              </w:rPr>
              <w:t>Đất khác</w:t>
            </w:r>
          </w:p>
        </w:tc>
        <w:tc>
          <w:tcPr>
            <w:tcW w:w="1075" w:type="dxa"/>
            <w:shd w:val="clear" w:color="auto" w:fill="auto"/>
            <w:vAlign w:val="center"/>
            <w:hideMark/>
          </w:tcPr>
          <w:p w14:paraId="519B2533"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13.709,47</w:t>
            </w:r>
          </w:p>
        </w:tc>
        <w:tc>
          <w:tcPr>
            <w:tcW w:w="810" w:type="dxa"/>
            <w:shd w:val="clear" w:color="auto" w:fill="auto"/>
            <w:vAlign w:val="center"/>
            <w:hideMark/>
          </w:tcPr>
          <w:p w14:paraId="519B2534"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72,93</w:t>
            </w:r>
          </w:p>
        </w:tc>
        <w:tc>
          <w:tcPr>
            <w:tcW w:w="812" w:type="dxa"/>
            <w:shd w:val="clear" w:color="auto" w:fill="auto"/>
            <w:vAlign w:val="center"/>
            <w:hideMark/>
          </w:tcPr>
          <w:p w14:paraId="519B253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3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1.297,45</w:t>
            </w:r>
          </w:p>
        </w:tc>
        <w:tc>
          <w:tcPr>
            <w:tcW w:w="810" w:type="dxa"/>
            <w:shd w:val="clear" w:color="auto" w:fill="auto"/>
            <w:vAlign w:val="center"/>
            <w:hideMark/>
          </w:tcPr>
          <w:p w14:paraId="519B253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35,15</w:t>
            </w:r>
          </w:p>
        </w:tc>
        <w:tc>
          <w:tcPr>
            <w:tcW w:w="727" w:type="dxa"/>
            <w:shd w:val="clear" w:color="auto" w:fill="auto"/>
            <w:vAlign w:val="center"/>
            <w:hideMark/>
          </w:tcPr>
          <w:p w14:paraId="519B253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3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12.412,02</w:t>
            </w:r>
          </w:p>
        </w:tc>
        <w:tc>
          <w:tcPr>
            <w:tcW w:w="811" w:type="dxa"/>
            <w:shd w:val="clear" w:color="auto" w:fill="auto"/>
            <w:vAlign w:val="center"/>
            <w:hideMark/>
          </w:tcPr>
          <w:p w14:paraId="519B253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80,91</w:t>
            </w:r>
          </w:p>
        </w:tc>
      </w:tr>
      <w:tr w:rsidR="008D5BFE" w:rsidRPr="008E63BB" w14:paraId="519B2546" w14:textId="77777777" w:rsidTr="00FE6E30">
        <w:trPr>
          <w:trHeight w:val="377"/>
        </w:trPr>
        <w:tc>
          <w:tcPr>
            <w:tcW w:w="487" w:type="dxa"/>
            <w:shd w:val="clear" w:color="auto" w:fill="auto"/>
            <w:vAlign w:val="center"/>
            <w:hideMark/>
          </w:tcPr>
          <w:p w14:paraId="519B253C"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A</w:t>
            </w:r>
          </w:p>
        </w:tc>
        <w:tc>
          <w:tcPr>
            <w:tcW w:w="2589" w:type="dxa"/>
            <w:shd w:val="clear" w:color="auto" w:fill="auto"/>
            <w:vAlign w:val="center"/>
            <w:hideMark/>
          </w:tcPr>
          <w:p w14:paraId="519B253D" w14:textId="77777777" w:rsidR="00C06909" w:rsidRPr="008E63BB" w:rsidRDefault="00C06909" w:rsidP="009A7903">
            <w:pPr>
              <w:jc w:val="left"/>
              <w:rPr>
                <w:rFonts w:eastAsia="Times New Roman"/>
                <w:b/>
                <w:bCs/>
                <w:sz w:val="20"/>
                <w:szCs w:val="20"/>
              </w:rPr>
            </w:pPr>
            <w:r w:rsidRPr="008E63BB">
              <w:rPr>
                <w:rFonts w:eastAsia="Times New Roman"/>
                <w:b/>
                <w:bCs/>
                <w:sz w:val="20"/>
                <w:szCs w:val="20"/>
              </w:rPr>
              <w:t>Đất xây dựng (I+II)</w:t>
            </w:r>
          </w:p>
        </w:tc>
        <w:tc>
          <w:tcPr>
            <w:tcW w:w="1075" w:type="dxa"/>
            <w:shd w:val="clear" w:color="auto" w:fill="auto"/>
            <w:vAlign w:val="center"/>
            <w:hideMark/>
          </w:tcPr>
          <w:p w14:paraId="519B253E"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5.089,23</w:t>
            </w:r>
          </w:p>
        </w:tc>
        <w:tc>
          <w:tcPr>
            <w:tcW w:w="810" w:type="dxa"/>
            <w:shd w:val="clear" w:color="auto" w:fill="auto"/>
            <w:vAlign w:val="center"/>
            <w:hideMark/>
          </w:tcPr>
          <w:p w14:paraId="519B253F"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100,00</w:t>
            </w:r>
          </w:p>
        </w:tc>
        <w:tc>
          <w:tcPr>
            <w:tcW w:w="812" w:type="dxa"/>
            <w:shd w:val="clear" w:color="auto" w:fill="auto"/>
            <w:vAlign w:val="center"/>
            <w:hideMark/>
          </w:tcPr>
          <w:p w14:paraId="519B2540"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131,40</w:t>
            </w:r>
          </w:p>
        </w:tc>
        <w:tc>
          <w:tcPr>
            <w:tcW w:w="969" w:type="dxa"/>
            <w:shd w:val="clear" w:color="auto" w:fill="auto"/>
            <w:vAlign w:val="center"/>
            <w:hideMark/>
          </w:tcPr>
          <w:p w14:paraId="519B2541"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2.262,30</w:t>
            </w:r>
          </w:p>
        </w:tc>
        <w:tc>
          <w:tcPr>
            <w:tcW w:w="810" w:type="dxa"/>
            <w:shd w:val="clear" w:color="auto" w:fill="auto"/>
            <w:vAlign w:val="center"/>
            <w:hideMark/>
          </w:tcPr>
          <w:p w14:paraId="519B2542"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100,00</w:t>
            </w:r>
          </w:p>
        </w:tc>
        <w:tc>
          <w:tcPr>
            <w:tcW w:w="727" w:type="dxa"/>
            <w:shd w:val="clear" w:color="auto" w:fill="auto"/>
            <w:vAlign w:val="center"/>
            <w:hideMark/>
          </w:tcPr>
          <w:p w14:paraId="519B2543"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95,91</w:t>
            </w:r>
          </w:p>
        </w:tc>
        <w:tc>
          <w:tcPr>
            <w:tcW w:w="1075" w:type="dxa"/>
            <w:shd w:val="clear" w:color="auto" w:fill="auto"/>
            <w:vAlign w:val="center"/>
            <w:hideMark/>
          </w:tcPr>
          <w:p w14:paraId="519B2544"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2.826,93</w:t>
            </w:r>
          </w:p>
        </w:tc>
        <w:tc>
          <w:tcPr>
            <w:tcW w:w="811" w:type="dxa"/>
            <w:shd w:val="clear" w:color="auto" w:fill="auto"/>
            <w:vAlign w:val="center"/>
            <w:hideMark/>
          </w:tcPr>
          <w:p w14:paraId="519B2545"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100,00</w:t>
            </w:r>
          </w:p>
        </w:tc>
      </w:tr>
      <w:tr w:rsidR="008D5BFE" w:rsidRPr="008E63BB" w14:paraId="519B2551" w14:textId="77777777" w:rsidTr="00FE6E30">
        <w:trPr>
          <w:trHeight w:val="377"/>
        </w:trPr>
        <w:tc>
          <w:tcPr>
            <w:tcW w:w="487" w:type="dxa"/>
            <w:shd w:val="clear" w:color="auto" w:fill="auto"/>
            <w:vAlign w:val="center"/>
            <w:hideMark/>
          </w:tcPr>
          <w:p w14:paraId="519B2547"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I</w:t>
            </w:r>
          </w:p>
        </w:tc>
        <w:tc>
          <w:tcPr>
            <w:tcW w:w="2589" w:type="dxa"/>
            <w:shd w:val="clear" w:color="auto" w:fill="auto"/>
            <w:vAlign w:val="center"/>
            <w:hideMark/>
          </w:tcPr>
          <w:p w14:paraId="519B2548" w14:textId="77777777" w:rsidR="00C06909" w:rsidRPr="008E63BB" w:rsidRDefault="00C06909" w:rsidP="009A7903">
            <w:pPr>
              <w:jc w:val="left"/>
              <w:rPr>
                <w:rFonts w:eastAsia="Times New Roman"/>
                <w:b/>
                <w:bCs/>
                <w:sz w:val="20"/>
                <w:szCs w:val="20"/>
              </w:rPr>
            </w:pPr>
            <w:r w:rsidRPr="008E63BB">
              <w:rPr>
                <w:rFonts w:eastAsia="Times New Roman"/>
                <w:b/>
                <w:bCs/>
                <w:sz w:val="20"/>
                <w:szCs w:val="20"/>
              </w:rPr>
              <w:t>Đất dân dụng</w:t>
            </w:r>
          </w:p>
        </w:tc>
        <w:tc>
          <w:tcPr>
            <w:tcW w:w="1075" w:type="dxa"/>
            <w:shd w:val="clear" w:color="auto" w:fill="auto"/>
            <w:vAlign w:val="center"/>
            <w:hideMark/>
          </w:tcPr>
          <w:p w14:paraId="519B2549"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3.630,07</w:t>
            </w:r>
          </w:p>
        </w:tc>
        <w:tc>
          <w:tcPr>
            <w:tcW w:w="810" w:type="dxa"/>
            <w:shd w:val="clear" w:color="auto" w:fill="auto"/>
            <w:vAlign w:val="center"/>
            <w:hideMark/>
          </w:tcPr>
          <w:p w14:paraId="519B254A"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71,33</w:t>
            </w:r>
          </w:p>
        </w:tc>
        <w:tc>
          <w:tcPr>
            <w:tcW w:w="812" w:type="dxa"/>
            <w:shd w:val="clear" w:color="auto" w:fill="auto"/>
            <w:vAlign w:val="center"/>
            <w:hideMark/>
          </w:tcPr>
          <w:p w14:paraId="519B254B"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93,73</w:t>
            </w:r>
          </w:p>
        </w:tc>
        <w:tc>
          <w:tcPr>
            <w:tcW w:w="969" w:type="dxa"/>
            <w:shd w:val="clear" w:color="auto" w:fill="auto"/>
            <w:vAlign w:val="center"/>
            <w:hideMark/>
          </w:tcPr>
          <w:p w14:paraId="519B254C"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1.385,63</w:t>
            </w:r>
          </w:p>
        </w:tc>
        <w:tc>
          <w:tcPr>
            <w:tcW w:w="810" w:type="dxa"/>
            <w:shd w:val="clear" w:color="auto" w:fill="auto"/>
            <w:vAlign w:val="center"/>
            <w:hideMark/>
          </w:tcPr>
          <w:p w14:paraId="519B254D"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63,61</w:t>
            </w:r>
          </w:p>
        </w:tc>
        <w:tc>
          <w:tcPr>
            <w:tcW w:w="727" w:type="dxa"/>
            <w:shd w:val="clear" w:color="auto" w:fill="auto"/>
            <w:vAlign w:val="center"/>
            <w:hideMark/>
          </w:tcPr>
          <w:p w14:paraId="519B254E"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58,74</w:t>
            </w:r>
          </w:p>
        </w:tc>
        <w:tc>
          <w:tcPr>
            <w:tcW w:w="1075" w:type="dxa"/>
            <w:shd w:val="clear" w:color="auto" w:fill="auto"/>
            <w:vAlign w:val="center"/>
            <w:hideMark/>
          </w:tcPr>
          <w:p w14:paraId="519B254F"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2.244,44</w:t>
            </w:r>
          </w:p>
        </w:tc>
        <w:tc>
          <w:tcPr>
            <w:tcW w:w="811" w:type="dxa"/>
            <w:shd w:val="clear" w:color="auto" w:fill="auto"/>
            <w:vAlign w:val="center"/>
            <w:hideMark/>
          </w:tcPr>
          <w:p w14:paraId="519B2550"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79,30</w:t>
            </w:r>
          </w:p>
        </w:tc>
      </w:tr>
      <w:tr w:rsidR="008D5BFE" w:rsidRPr="008E63BB" w14:paraId="519B255C" w14:textId="77777777" w:rsidTr="00FE6E30">
        <w:trPr>
          <w:trHeight w:val="326"/>
        </w:trPr>
        <w:tc>
          <w:tcPr>
            <w:tcW w:w="487" w:type="dxa"/>
            <w:shd w:val="clear" w:color="auto" w:fill="auto"/>
            <w:vAlign w:val="center"/>
            <w:hideMark/>
          </w:tcPr>
          <w:p w14:paraId="519B2552" w14:textId="77777777" w:rsidR="00C06909" w:rsidRPr="008E63BB" w:rsidRDefault="00C06909" w:rsidP="009A7903">
            <w:pPr>
              <w:jc w:val="center"/>
              <w:rPr>
                <w:rFonts w:eastAsia="Times New Roman"/>
                <w:sz w:val="20"/>
                <w:szCs w:val="20"/>
              </w:rPr>
            </w:pPr>
            <w:r w:rsidRPr="008E63BB">
              <w:rPr>
                <w:rFonts w:eastAsia="Times New Roman"/>
                <w:sz w:val="20"/>
                <w:szCs w:val="20"/>
              </w:rPr>
              <w:t>1</w:t>
            </w:r>
          </w:p>
        </w:tc>
        <w:tc>
          <w:tcPr>
            <w:tcW w:w="2589" w:type="dxa"/>
            <w:shd w:val="clear" w:color="auto" w:fill="auto"/>
            <w:vAlign w:val="center"/>
            <w:hideMark/>
          </w:tcPr>
          <w:p w14:paraId="519B2553" w14:textId="77777777" w:rsidR="00C06909" w:rsidRPr="008E63BB" w:rsidRDefault="00C06909" w:rsidP="009A7903">
            <w:pPr>
              <w:jc w:val="left"/>
              <w:rPr>
                <w:rFonts w:eastAsia="Times New Roman"/>
                <w:sz w:val="20"/>
                <w:szCs w:val="20"/>
              </w:rPr>
            </w:pPr>
            <w:r w:rsidRPr="008E63BB">
              <w:rPr>
                <w:rFonts w:eastAsia="Times New Roman"/>
                <w:sz w:val="20"/>
                <w:szCs w:val="20"/>
              </w:rPr>
              <w:t>Đất đơn vị ở</w:t>
            </w:r>
          </w:p>
        </w:tc>
        <w:tc>
          <w:tcPr>
            <w:tcW w:w="1075" w:type="dxa"/>
            <w:shd w:val="clear" w:color="auto" w:fill="auto"/>
            <w:vAlign w:val="center"/>
            <w:hideMark/>
          </w:tcPr>
          <w:p w14:paraId="519B2554" w14:textId="77777777" w:rsidR="00C06909" w:rsidRPr="008E63BB" w:rsidRDefault="00C06909" w:rsidP="009A7903">
            <w:pPr>
              <w:jc w:val="right"/>
              <w:rPr>
                <w:rFonts w:eastAsia="Times New Roman"/>
                <w:sz w:val="20"/>
                <w:szCs w:val="20"/>
              </w:rPr>
            </w:pPr>
            <w:r w:rsidRPr="008E63BB">
              <w:rPr>
                <w:rFonts w:eastAsia="Times New Roman"/>
                <w:sz w:val="20"/>
                <w:szCs w:val="20"/>
              </w:rPr>
              <w:t>2.035,85</w:t>
            </w:r>
          </w:p>
        </w:tc>
        <w:tc>
          <w:tcPr>
            <w:tcW w:w="810" w:type="dxa"/>
            <w:shd w:val="clear" w:color="auto" w:fill="auto"/>
            <w:vAlign w:val="center"/>
            <w:hideMark/>
          </w:tcPr>
          <w:p w14:paraId="519B2555" w14:textId="77777777" w:rsidR="00C06909" w:rsidRPr="008E63BB" w:rsidRDefault="00C06909" w:rsidP="009A7903">
            <w:pPr>
              <w:jc w:val="right"/>
              <w:rPr>
                <w:rFonts w:eastAsia="Times New Roman"/>
                <w:sz w:val="20"/>
                <w:szCs w:val="20"/>
              </w:rPr>
            </w:pPr>
            <w:r w:rsidRPr="008E63BB">
              <w:rPr>
                <w:rFonts w:eastAsia="Times New Roman"/>
                <w:sz w:val="20"/>
                <w:szCs w:val="20"/>
              </w:rPr>
              <w:t>40,00</w:t>
            </w:r>
          </w:p>
        </w:tc>
        <w:tc>
          <w:tcPr>
            <w:tcW w:w="812" w:type="dxa"/>
            <w:shd w:val="clear" w:color="auto" w:fill="auto"/>
            <w:vAlign w:val="center"/>
            <w:hideMark/>
          </w:tcPr>
          <w:p w14:paraId="519B2556" w14:textId="77777777" w:rsidR="00C06909" w:rsidRPr="008E63BB" w:rsidRDefault="00C06909" w:rsidP="009A7903">
            <w:pPr>
              <w:jc w:val="right"/>
              <w:rPr>
                <w:rFonts w:eastAsia="Times New Roman"/>
                <w:sz w:val="20"/>
                <w:szCs w:val="20"/>
              </w:rPr>
            </w:pPr>
            <w:r w:rsidRPr="008E63BB">
              <w:rPr>
                <w:rFonts w:eastAsia="Times New Roman"/>
                <w:sz w:val="20"/>
                <w:szCs w:val="20"/>
              </w:rPr>
              <w:t>52,57</w:t>
            </w:r>
          </w:p>
        </w:tc>
        <w:tc>
          <w:tcPr>
            <w:tcW w:w="969" w:type="dxa"/>
            <w:shd w:val="clear" w:color="auto" w:fill="auto"/>
            <w:vAlign w:val="center"/>
            <w:hideMark/>
          </w:tcPr>
          <w:p w14:paraId="519B2557" w14:textId="77777777" w:rsidR="00C06909" w:rsidRPr="008E63BB" w:rsidRDefault="00C06909" w:rsidP="009A7903">
            <w:pPr>
              <w:jc w:val="right"/>
              <w:rPr>
                <w:rFonts w:eastAsia="Times New Roman"/>
                <w:sz w:val="20"/>
                <w:szCs w:val="20"/>
              </w:rPr>
            </w:pPr>
            <w:r w:rsidRPr="008E63BB">
              <w:rPr>
                <w:rFonts w:eastAsia="Times New Roman"/>
                <w:sz w:val="20"/>
                <w:szCs w:val="20"/>
              </w:rPr>
              <w:t>871,45</w:t>
            </w:r>
          </w:p>
        </w:tc>
        <w:tc>
          <w:tcPr>
            <w:tcW w:w="810" w:type="dxa"/>
            <w:shd w:val="clear" w:color="auto" w:fill="auto"/>
            <w:vAlign w:val="center"/>
            <w:hideMark/>
          </w:tcPr>
          <w:p w14:paraId="519B2558" w14:textId="77777777" w:rsidR="00C06909" w:rsidRPr="008E63BB" w:rsidRDefault="00C06909" w:rsidP="009A7903">
            <w:pPr>
              <w:jc w:val="right"/>
              <w:rPr>
                <w:rFonts w:eastAsia="Times New Roman"/>
                <w:sz w:val="20"/>
                <w:szCs w:val="20"/>
              </w:rPr>
            </w:pPr>
            <w:r w:rsidRPr="008E63BB">
              <w:rPr>
                <w:rFonts w:eastAsia="Times New Roman"/>
                <w:sz w:val="20"/>
                <w:szCs w:val="20"/>
              </w:rPr>
              <w:t>33,66</w:t>
            </w:r>
          </w:p>
        </w:tc>
        <w:tc>
          <w:tcPr>
            <w:tcW w:w="727" w:type="dxa"/>
            <w:shd w:val="clear" w:color="auto" w:fill="auto"/>
            <w:vAlign w:val="center"/>
            <w:hideMark/>
          </w:tcPr>
          <w:p w14:paraId="519B2559" w14:textId="77777777" w:rsidR="00C06909" w:rsidRPr="008E63BB" w:rsidRDefault="00C06909" w:rsidP="009A7903">
            <w:pPr>
              <w:jc w:val="right"/>
              <w:rPr>
                <w:rFonts w:eastAsia="Times New Roman"/>
                <w:sz w:val="20"/>
                <w:szCs w:val="20"/>
              </w:rPr>
            </w:pPr>
            <w:r w:rsidRPr="008E63BB">
              <w:rPr>
                <w:rFonts w:eastAsia="Times New Roman"/>
                <w:sz w:val="20"/>
                <w:szCs w:val="20"/>
              </w:rPr>
              <w:t>36,94</w:t>
            </w:r>
          </w:p>
        </w:tc>
        <w:tc>
          <w:tcPr>
            <w:tcW w:w="1075" w:type="dxa"/>
            <w:shd w:val="clear" w:color="auto" w:fill="auto"/>
            <w:vAlign w:val="center"/>
            <w:hideMark/>
          </w:tcPr>
          <w:p w14:paraId="519B255A" w14:textId="77777777" w:rsidR="00C06909" w:rsidRPr="008E63BB" w:rsidRDefault="00C06909" w:rsidP="009A7903">
            <w:pPr>
              <w:jc w:val="right"/>
              <w:rPr>
                <w:rFonts w:eastAsia="Times New Roman"/>
                <w:sz w:val="20"/>
                <w:szCs w:val="20"/>
              </w:rPr>
            </w:pPr>
            <w:r w:rsidRPr="008E63BB">
              <w:rPr>
                <w:rFonts w:eastAsia="Times New Roman"/>
                <w:sz w:val="20"/>
                <w:szCs w:val="20"/>
              </w:rPr>
              <w:t>1.164,40</w:t>
            </w:r>
          </w:p>
        </w:tc>
        <w:tc>
          <w:tcPr>
            <w:tcW w:w="811" w:type="dxa"/>
            <w:shd w:val="clear" w:color="auto" w:fill="auto"/>
            <w:vAlign w:val="center"/>
            <w:hideMark/>
          </w:tcPr>
          <w:p w14:paraId="519B255B" w14:textId="77777777" w:rsidR="00C06909" w:rsidRPr="008E63BB" w:rsidRDefault="00C06909" w:rsidP="009A7903">
            <w:pPr>
              <w:jc w:val="right"/>
              <w:rPr>
                <w:rFonts w:eastAsia="Times New Roman"/>
                <w:sz w:val="20"/>
                <w:szCs w:val="20"/>
              </w:rPr>
            </w:pPr>
            <w:r w:rsidRPr="008E63BB">
              <w:rPr>
                <w:rFonts w:eastAsia="Times New Roman"/>
                <w:sz w:val="20"/>
                <w:szCs w:val="20"/>
              </w:rPr>
              <w:t>37,17</w:t>
            </w:r>
          </w:p>
        </w:tc>
      </w:tr>
      <w:tr w:rsidR="008D5BFE" w:rsidRPr="008E63BB" w14:paraId="519B2567" w14:textId="77777777" w:rsidTr="00FE6E30">
        <w:trPr>
          <w:trHeight w:val="326"/>
        </w:trPr>
        <w:tc>
          <w:tcPr>
            <w:tcW w:w="487" w:type="dxa"/>
            <w:shd w:val="clear" w:color="auto" w:fill="auto"/>
            <w:vAlign w:val="center"/>
            <w:hideMark/>
          </w:tcPr>
          <w:p w14:paraId="519B255D" w14:textId="77777777" w:rsidR="00C06909" w:rsidRPr="008E63BB" w:rsidRDefault="00C06909" w:rsidP="009A7903">
            <w:pPr>
              <w:jc w:val="center"/>
              <w:rPr>
                <w:rFonts w:eastAsia="Times New Roman"/>
                <w:sz w:val="20"/>
                <w:szCs w:val="20"/>
              </w:rPr>
            </w:pPr>
            <w:r w:rsidRPr="008E63BB">
              <w:rPr>
                <w:rFonts w:eastAsia="Times New Roman"/>
                <w:sz w:val="20"/>
                <w:szCs w:val="20"/>
              </w:rPr>
              <w:t>2</w:t>
            </w:r>
          </w:p>
        </w:tc>
        <w:tc>
          <w:tcPr>
            <w:tcW w:w="2589" w:type="dxa"/>
            <w:shd w:val="clear" w:color="auto" w:fill="auto"/>
            <w:vAlign w:val="center"/>
            <w:hideMark/>
          </w:tcPr>
          <w:p w14:paraId="519B255E" w14:textId="77777777" w:rsidR="00C06909" w:rsidRPr="008E63BB" w:rsidRDefault="00C06909" w:rsidP="009A7903">
            <w:pPr>
              <w:jc w:val="left"/>
              <w:rPr>
                <w:rFonts w:eastAsia="Times New Roman"/>
                <w:sz w:val="20"/>
                <w:szCs w:val="20"/>
              </w:rPr>
            </w:pPr>
            <w:r w:rsidRPr="008E63BB">
              <w:rPr>
                <w:rFonts w:eastAsia="Times New Roman"/>
                <w:sz w:val="20"/>
                <w:szCs w:val="20"/>
              </w:rPr>
              <w:t>Đất công trình dịch vụ - công cộng đô thị</w:t>
            </w:r>
          </w:p>
        </w:tc>
        <w:tc>
          <w:tcPr>
            <w:tcW w:w="1075" w:type="dxa"/>
            <w:shd w:val="clear" w:color="auto" w:fill="auto"/>
            <w:vAlign w:val="center"/>
            <w:hideMark/>
          </w:tcPr>
          <w:p w14:paraId="519B255F" w14:textId="77777777" w:rsidR="00C06909" w:rsidRPr="008E63BB" w:rsidRDefault="00C06909" w:rsidP="009A7903">
            <w:pPr>
              <w:jc w:val="right"/>
              <w:rPr>
                <w:rFonts w:eastAsia="Times New Roman"/>
                <w:sz w:val="20"/>
                <w:szCs w:val="20"/>
              </w:rPr>
            </w:pPr>
            <w:r w:rsidRPr="008E63BB">
              <w:rPr>
                <w:rFonts w:eastAsia="Times New Roman"/>
                <w:sz w:val="20"/>
                <w:szCs w:val="20"/>
              </w:rPr>
              <w:t>158,45</w:t>
            </w:r>
          </w:p>
        </w:tc>
        <w:tc>
          <w:tcPr>
            <w:tcW w:w="810" w:type="dxa"/>
            <w:shd w:val="clear" w:color="auto" w:fill="auto"/>
            <w:vAlign w:val="center"/>
            <w:hideMark/>
          </w:tcPr>
          <w:p w14:paraId="519B2560" w14:textId="77777777" w:rsidR="00C06909" w:rsidRPr="008E63BB" w:rsidRDefault="00C06909" w:rsidP="009A7903">
            <w:pPr>
              <w:jc w:val="right"/>
              <w:rPr>
                <w:rFonts w:eastAsia="Times New Roman"/>
                <w:sz w:val="20"/>
                <w:szCs w:val="20"/>
              </w:rPr>
            </w:pPr>
            <w:r w:rsidRPr="008E63BB">
              <w:rPr>
                <w:rFonts w:eastAsia="Times New Roman"/>
                <w:sz w:val="20"/>
                <w:szCs w:val="20"/>
              </w:rPr>
              <w:t>3,11</w:t>
            </w:r>
          </w:p>
        </w:tc>
        <w:tc>
          <w:tcPr>
            <w:tcW w:w="812" w:type="dxa"/>
            <w:shd w:val="clear" w:color="auto" w:fill="auto"/>
            <w:vAlign w:val="center"/>
            <w:hideMark/>
          </w:tcPr>
          <w:p w14:paraId="519B2561" w14:textId="77777777" w:rsidR="00C06909" w:rsidRPr="008E63BB" w:rsidRDefault="00C06909" w:rsidP="009A7903">
            <w:pPr>
              <w:jc w:val="right"/>
              <w:rPr>
                <w:rFonts w:eastAsia="Times New Roman"/>
                <w:sz w:val="20"/>
                <w:szCs w:val="20"/>
              </w:rPr>
            </w:pPr>
            <w:r w:rsidRPr="008E63BB">
              <w:rPr>
                <w:rFonts w:eastAsia="Times New Roman"/>
                <w:sz w:val="20"/>
                <w:szCs w:val="20"/>
              </w:rPr>
              <w:t>4,09</w:t>
            </w:r>
          </w:p>
        </w:tc>
        <w:tc>
          <w:tcPr>
            <w:tcW w:w="969" w:type="dxa"/>
            <w:shd w:val="clear" w:color="auto" w:fill="auto"/>
            <w:vAlign w:val="center"/>
            <w:hideMark/>
          </w:tcPr>
          <w:p w14:paraId="519B2562" w14:textId="77777777" w:rsidR="00C06909" w:rsidRPr="008E63BB" w:rsidRDefault="00C06909" w:rsidP="009A7903">
            <w:pPr>
              <w:jc w:val="right"/>
              <w:rPr>
                <w:rFonts w:eastAsia="Times New Roman"/>
                <w:sz w:val="20"/>
                <w:szCs w:val="20"/>
              </w:rPr>
            </w:pPr>
            <w:r w:rsidRPr="008E63BB">
              <w:rPr>
                <w:rFonts w:eastAsia="Times New Roman"/>
                <w:sz w:val="20"/>
                <w:szCs w:val="20"/>
              </w:rPr>
              <w:t>70,00</w:t>
            </w:r>
          </w:p>
        </w:tc>
        <w:tc>
          <w:tcPr>
            <w:tcW w:w="810" w:type="dxa"/>
            <w:shd w:val="clear" w:color="auto" w:fill="auto"/>
            <w:vAlign w:val="center"/>
            <w:hideMark/>
          </w:tcPr>
          <w:p w14:paraId="519B2563" w14:textId="77777777" w:rsidR="00C06909" w:rsidRPr="008E63BB" w:rsidRDefault="00C06909" w:rsidP="009A7903">
            <w:pPr>
              <w:jc w:val="right"/>
              <w:rPr>
                <w:rFonts w:eastAsia="Times New Roman"/>
                <w:sz w:val="20"/>
                <w:szCs w:val="20"/>
              </w:rPr>
            </w:pPr>
            <w:r w:rsidRPr="008E63BB">
              <w:rPr>
                <w:rFonts w:eastAsia="Times New Roman"/>
                <w:sz w:val="20"/>
                <w:szCs w:val="20"/>
              </w:rPr>
              <w:t>6,37</w:t>
            </w:r>
          </w:p>
        </w:tc>
        <w:tc>
          <w:tcPr>
            <w:tcW w:w="727" w:type="dxa"/>
            <w:shd w:val="clear" w:color="auto" w:fill="auto"/>
            <w:vAlign w:val="center"/>
            <w:hideMark/>
          </w:tcPr>
          <w:p w14:paraId="519B2564" w14:textId="77777777" w:rsidR="00C06909" w:rsidRPr="008E63BB" w:rsidRDefault="00C06909" w:rsidP="009A7903">
            <w:pPr>
              <w:jc w:val="right"/>
              <w:rPr>
                <w:rFonts w:eastAsia="Times New Roman"/>
                <w:sz w:val="20"/>
                <w:szCs w:val="20"/>
              </w:rPr>
            </w:pPr>
            <w:r w:rsidRPr="008E63BB">
              <w:rPr>
                <w:rFonts w:eastAsia="Times New Roman"/>
                <w:sz w:val="20"/>
                <w:szCs w:val="20"/>
              </w:rPr>
              <w:t>2,97</w:t>
            </w:r>
          </w:p>
        </w:tc>
        <w:tc>
          <w:tcPr>
            <w:tcW w:w="1075" w:type="dxa"/>
            <w:shd w:val="clear" w:color="auto" w:fill="auto"/>
            <w:vAlign w:val="center"/>
            <w:hideMark/>
          </w:tcPr>
          <w:p w14:paraId="519B2565" w14:textId="77777777" w:rsidR="00C06909" w:rsidRPr="008E63BB" w:rsidRDefault="00C06909" w:rsidP="009A7903">
            <w:pPr>
              <w:jc w:val="right"/>
              <w:rPr>
                <w:rFonts w:eastAsia="Times New Roman"/>
                <w:sz w:val="20"/>
                <w:szCs w:val="20"/>
              </w:rPr>
            </w:pPr>
            <w:r w:rsidRPr="008E63BB">
              <w:rPr>
                <w:rFonts w:eastAsia="Times New Roman"/>
                <w:sz w:val="20"/>
                <w:szCs w:val="20"/>
              </w:rPr>
              <w:t>88,45</w:t>
            </w:r>
          </w:p>
        </w:tc>
        <w:tc>
          <w:tcPr>
            <w:tcW w:w="811" w:type="dxa"/>
            <w:shd w:val="clear" w:color="auto" w:fill="auto"/>
            <w:vAlign w:val="center"/>
            <w:hideMark/>
          </w:tcPr>
          <w:p w14:paraId="519B2566" w14:textId="77777777" w:rsidR="00C06909" w:rsidRPr="008E63BB" w:rsidRDefault="00C06909" w:rsidP="009A7903">
            <w:pPr>
              <w:jc w:val="right"/>
              <w:rPr>
                <w:rFonts w:eastAsia="Times New Roman"/>
                <w:sz w:val="20"/>
                <w:szCs w:val="20"/>
              </w:rPr>
            </w:pPr>
            <w:r w:rsidRPr="008E63BB">
              <w:rPr>
                <w:rFonts w:eastAsia="Times New Roman"/>
                <w:sz w:val="20"/>
                <w:szCs w:val="20"/>
              </w:rPr>
              <w:t>3,52</w:t>
            </w:r>
          </w:p>
        </w:tc>
      </w:tr>
      <w:tr w:rsidR="008D5BFE" w:rsidRPr="008E63BB" w14:paraId="519B2572" w14:textId="77777777" w:rsidTr="00FE6E30">
        <w:trPr>
          <w:trHeight w:val="377"/>
        </w:trPr>
        <w:tc>
          <w:tcPr>
            <w:tcW w:w="487" w:type="dxa"/>
            <w:shd w:val="clear" w:color="auto" w:fill="auto"/>
            <w:vAlign w:val="center"/>
            <w:hideMark/>
          </w:tcPr>
          <w:p w14:paraId="519B2568" w14:textId="77777777" w:rsidR="00C06909" w:rsidRPr="008E63BB" w:rsidRDefault="00C06909" w:rsidP="009A7903">
            <w:pPr>
              <w:jc w:val="center"/>
              <w:rPr>
                <w:rFonts w:eastAsia="Times New Roman"/>
                <w:sz w:val="20"/>
                <w:szCs w:val="20"/>
              </w:rPr>
            </w:pPr>
            <w:r w:rsidRPr="008E63BB">
              <w:rPr>
                <w:rFonts w:eastAsia="Times New Roman"/>
                <w:sz w:val="20"/>
                <w:szCs w:val="20"/>
              </w:rPr>
              <w:t>3</w:t>
            </w:r>
          </w:p>
        </w:tc>
        <w:tc>
          <w:tcPr>
            <w:tcW w:w="2589" w:type="dxa"/>
            <w:shd w:val="clear" w:color="auto" w:fill="auto"/>
            <w:vAlign w:val="center"/>
            <w:hideMark/>
          </w:tcPr>
          <w:p w14:paraId="519B2569" w14:textId="77777777" w:rsidR="00C06909" w:rsidRPr="008E63BB" w:rsidRDefault="00C06909" w:rsidP="009A7903">
            <w:pPr>
              <w:jc w:val="left"/>
              <w:rPr>
                <w:rFonts w:eastAsia="Times New Roman"/>
                <w:sz w:val="20"/>
                <w:szCs w:val="20"/>
              </w:rPr>
            </w:pPr>
            <w:r w:rsidRPr="008E63BB">
              <w:rPr>
                <w:rFonts w:eastAsia="Times New Roman"/>
                <w:sz w:val="20"/>
                <w:szCs w:val="20"/>
              </w:rPr>
              <w:t>Đất cây xanh đô thị</w:t>
            </w:r>
          </w:p>
        </w:tc>
        <w:tc>
          <w:tcPr>
            <w:tcW w:w="1075" w:type="dxa"/>
            <w:shd w:val="clear" w:color="auto" w:fill="auto"/>
            <w:vAlign w:val="center"/>
            <w:hideMark/>
          </w:tcPr>
          <w:p w14:paraId="519B256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144,03</w:t>
            </w:r>
          </w:p>
        </w:tc>
        <w:tc>
          <w:tcPr>
            <w:tcW w:w="810" w:type="dxa"/>
            <w:shd w:val="clear" w:color="auto" w:fill="auto"/>
            <w:vAlign w:val="center"/>
            <w:hideMark/>
          </w:tcPr>
          <w:p w14:paraId="519B256B" w14:textId="77777777" w:rsidR="00C06909" w:rsidRPr="008E63BB" w:rsidRDefault="00C06909" w:rsidP="009A7903">
            <w:pPr>
              <w:jc w:val="right"/>
              <w:rPr>
                <w:rFonts w:eastAsia="Times New Roman"/>
                <w:sz w:val="20"/>
                <w:szCs w:val="20"/>
              </w:rPr>
            </w:pPr>
            <w:r w:rsidRPr="008E63BB">
              <w:rPr>
                <w:rFonts w:eastAsia="Times New Roman"/>
                <w:sz w:val="20"/>
                <w:szCs w:val="20"/>
              </w:rPr>
              <w:t>2,83</w:t>
            </w:r>
          </w:p>
        </w:tc>
        <w:tc>
          <w:tcPr>
            <w:tcW w:w="812" w:type="dxa"/>
            <w:shd w:val="clear" w:color="auto" w:fill="auto"/>
            <w:vAlign w:val="center"/>
            <w:hideMark/>
          </w:tcPr>
          <w:p w14:paraId="519B256C" w14:textId="77777777" w:rsidR="00C06909" w:rsidRPr="008E63BB" w:rsidRDefault="00C06909" w:rsidP="009A7903">
            <w:pPr>
              <w:jc w:val="right"/>
              <w:rPr>
                <w:rFonts w:eastAsia="Times New Roman"/>
                <w:sz w:val="20"/>
                <w:szCs w:val="20"/>
              </w:rPr>
            </w:pPr>
            <w:r w:rsidRPr="008E63BB">
              <w:rPr>
                <w:rFonts w:eastAsia="Times New Roman"/>
                <w:sz w:val="20"/>
                <w:szCs w:val="20"/>
              </w:rPr>
              <w:t>3,72</w:t>
            </w:r>
          </w:p>
        </w:tc>
        <w:tc>
          <w:tcPr>
            <w:tcW w:w="969" w:type="dxa"/>
            <w:shd w:val="clear" w:color="auto" w:fill="auto"/>
            <w:vAlign w:val="center"/>
            <w:hideMark/>
          </w:tcPr>
          <w:p w14:paraId="519B256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125,34</w:t>
            </w:r>
          </w:p>
        </w:tc>
        <w:tc>
          <w:tcPr>
            <w:tcW w:w="810" w:type="dxa"/>
            <w:shd w:val="clear" w:color="auto" w:fill="auto"/>
            <w:vAlign w:val="center"/>
            <w:hideMark/>
          </w:tcPr>
          <w:p w14:paraId="519B256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3,28</w:t>
            </w:r>
          </w:p>
        </w:tc>
        <w:tc>
          <w:tcPr>
            <w:tcW w:w="727" w:type="dxa"/>
            <w:shd w:val="clear" w:color="auto" w:fill="auto"/>
            <w:vAlign w:val="center"/>
            <w:hideMark/>
          </w:tcPr>
          <w:p w14:paraId="519B256F" w14:textId="77777777" w:rsidR="00C06909" w:rsidRPr="008E63BB" w:rsidRDefault="00C06909" w:rsidP="009A7903">
            <w:pPr>
              <w:jc w:val="right"/>
              <w:rPr>
                <w:rFonts w:eastAsia="Times New Roman"/>
                <w:sz w:val="20"/>
                <w:szCs w:val="20"/>
              </w:rPr>
            </w:pPr>
            <w:r w:rsidRPr="008E63BB">
              <w:rPr>
                <w:rFonts w:eastAsia="Times New Roman"/>
                <w:sz w:val="20"/>
                <w:szCs w:val="20"/>
              </w:rPr>
              <w:t>5,31</w:t>
            </w:r>
          </w:p>
        </w:tc>
        <w:tc>
          <w:tcPr>
            <w:tcW w:w="1075" w:type="dxa"/>
            <w:shd w:val="clear" w:color="auto" w:fill="auto"/>
            <w:vAlign w:val="center"/>
            <w:hideMark/>
          </w:tcPr>
          <w:p w14:paraId="519B257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18,69</w:t>
            </w:r>
          </w:p>
        </w:tc>
        <w:tc>
          <w:tcPr>
            <w:tcW w:w="811" w:type="dxa"/>
            <w:shd w:val="clear" w:color="auto" w:fill="auto"/>
            <w:vAlign w:val="center"/>
            <w:hideMark/>
          </w:tcPr>
          <w:p w14:paraId="519B257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0,64</w:t>
            </w:r>
          </w:p>
        </w:tc>
      </w:tr>
      <w:tr w:rsidR="008D5BFE" w:rsidRPr="008E63BB" w14:paraId="519B257D" w14:textId="77777777" w:rsidTr="00FE6E30">
        <w:trPr>
          <w:trHeight w:val="377"/>
        </w:trPr>
        <w:tc>
          <w:tcPr>
            <w:tcW w:w="487" w:type="dxa"/>
            <w:shd w:val="clear" w:color="auto" w:fill="auto"/>
            <w:vAlign w:val="center"/>
            <w:hideMark/>
          </w:tcPr>
          <w:p w14:paraId="519B2573" w14:textId="77777777" w:rsidR="00C06909" w:rsidRPr="008E63BB" w:rsidRDefault="00C06909" w:rsidP="009A7903">
            <w:pPr>
              <w:jc w:val="center"/>
              <w:rPr>
                <w:rFonts w:eastAsia="Times New Roman"/>
                <w:sz w:val="20"/>
                <w:szCs w:val="20"/>
              </w:rPr>
            </w:pPr>
            <w:r w:rsidRPr="008E63BB">
              <w:rPr>
                <w:rFonts w:eastAsia="Times New Roman"/>
                <w:sz w:val="20"/>
                <w:szCs w:val="20"/>
              </w:rPr>
              <w:t>4</w:t>
            </w:r>
          </w:p>
        </w:tc>
        <w:tc>
          <w:tcPr>
            <w:tcW w:w="2589" w:type="dxa"/>
            <w:shd w:val="clear" w:color="auto" w:fill="auto"/>
            <w:vAlign w:val="center"/>
            <w:hideMark/>
          </w:tcPr>
          <w:p w14:paraId="519B2574" w14:textId="77777777" w:rsidR="00C06909" w:rsidRPr="008E63BB" w:rsidRDefault="00C06909" w:rsidP="009A7903">
            <w:pPr>
              <w:jc w:val="left"/>
              <w:rPr>
                <w:rFonts w:eastAsia="Times New Roman"/>
                <w:sz w:val="20"/>
                <w:szCs w:val="20"/>
              </w:rPr>
            </w:pPr>
            <w:r w:rsidRPr="008E63BB">
              <w:rPr>
                <w:rFonts w:eastAsia="Times New Roman"/>
                <w:sz w:val="20"/>
                <w:szCs w:val="20"/>
              </w:rPr>
              <w:t>Đất hạ tầng kỹ thuật đô thị</w:t>
            </w:r>
          </w:p>
        </w:tc>
        <w:tc>
          <w:tcPr>
            <w:tcW w:w="1075" w:type="dxa"/>
            <w:shd w:val="clear" w:color="auto" w:fill="auto"/>
            <w:vAlign w:val="center"/>
            <w:hideMark/>
          </w:tcPr>
          <w:p w14:paraId="519B2575" w14:textId="77777777" w:rsidR="00C06909" w:rsidRPr="008E63BB" w:rsidRDefault="00C06909" w:rsidP="009A7903">
            <w:pPr>
              <w:jc w:val="right"/>
              <w:rPr>
                <w:rFonts w:eastAsia="Times New Roman"/>
                <w:sz w:val="20"/>
                <w:szCs w:val="20"/>
              </w:rPr>
            </w:pPr>
            <w:r w:rsidRPr="008E63BB">
              <w:rPr>
                <w:rFonts w:eastAsia="Times New Roman"/>
                <w:sz w:val="20"/>
                <w:szCs w:val="20"/>
              </w:rPr>
              <w:t>1.291,74</w:t>
            </w:r>
          </w:p>
        </w:tc>
        <w:tc>
          <w:tcPr>
            <w:tcW w:w="810" w:type="dxa"/>
            <w:shd w:val="clear" w:color="auto" w:fill="auto"/>
            <w:vAlign w:val="center"/>
            <w:hideMark/>
          </w:tcPr>
          <w:p w14:paraId="519B2576" w14:textId="77777777" w:rsidR="00C06909" w:rsidRPr="008E63BB" w:rsidRDefault="00C06909" w:rsidP="009A7903">
            <w:pPr>
              <w:jc w:val="right"/>
              <w:rPr>
                <w:rFonts w:eastAsia="Times New Roman"/>
                <w:sz w:val="20"/>
                <w:szCs w:val="20"/>
              </w:rPr>
            </w:pPr>
            <w:r w:rsidRPr="008E63BB">
              <w:rPr>
                <w:rFonts w:eastAsia="Times New Roman"/>
                <w:sz w:val="20"/>
                <w:szCs w:val="20"/>
              </w:rPr>
              <w:t>25,38</w:t>
            </w:r>
          </w:p>
        </w:tc>
        <w:tc>
          <w:tcPr>
            <w:tcW w:w="812" w:type="dxa"/>
            <w:shd w:val="clear" w:color="auto" w:fill="auto"/>
            <w:vAlign w:val="center"/>
            <w:hideMark/>
          </w:tcPr>
          <w:p w14:paraId="519B2577" w14:textId="77777777" w:rsidR="00C06909" w:rsidRPr="008E63BB" w:rsidRDefault="00C06909" w:rsidP="009A7903">
            <w:pPr>
              <w:jc w:val="right"/>
              <w:rPr>
                <w:rFonts w:eastAsia="Times New Roman"/>
                <w:sz w:val="20"/>
                <w:szCs w:val="20"/>
              </w:rPr>
            </w:pPr>
            <w:r w:rsidRPr="008E63BB">
              <w:rPr>
                <w:rFonts w:eastAsia="Times New Roman"/>
                <w:sz w:val="20"/>
                <w:szCs w:val="20"/>
              </w:rPr>
              <w:t>33,35</w:t>
            </w:r>
          </w:p>
        </w:tc>
        <w:tc>
          <w:tcPr>
            <w:tcW w:w="969" w:type="dxa"/>
            <w:shd w:val="clear" w:color="auto" w:fill="auto"/>
            <w:vAlign w:val="center"/>
            <w:hideMark/>
          </w:tcPr>
          <w:p w14:paraId="519B2578" w14:textId="77777777" w:rsidR="00C06909" w:rsidRPr="008E63BB" w:rsidRDefault="00C06909" w:rsidP="009A7903">
            <w:pPr>
              <w:jc w:val="right"/>
              <w:rPr>
                <w:rFonts w:eastAsia="Times New Roman"/>
                <w:sz w:val="20"/>
                <w:szCs w:val="20"/>
              </w:rPr>
            </w:pPr>
            <w:r w:rsidRPr="008E63BB">
              <w:rPr>
                <w:rFonts w:eastAsia="Times New Roman"/>
                <w:sz w:val="20"/>
                <w:szCs w:val="20"/>
              </w:rPr>
              <w:t>318,84</w:t>
            </w:r>
          </w:p>
        </w:tc>
        <w:tc>
          <w:tcPr>
            <w:tcW w:w="810" w:type="dxa"/>
            <w:shd w:val="clear" w:color="auto" w:fill="auto"/>
            <w:vAlign w:val="center"/>
            <w:hideMark/>
          </w:tcPr>
          <w:p w14:paraId="519B2579" w14:textId="77777777" w:rsidR="00C06909" w:rsidRPr="008E63BB" w:rsidRDefault="00C06909" w:rsidP="009A7903">
            <w:pPr>
              <w:jc w:val="right"/>
              <w:rPr>
                <w:rFonts w:eastAsia="Times New Roman"/>
                <w:sz w:val="20"/>
                <w:szCs w:val="20"/>
              </w:rPr>
            </w:pPr>
            <w:r w:rsidRPr="008E63BB">
              <w:rPr>
                <w:rFonts w:eastAsia="Times New Roman"/>
                <w:sz w:val="20"/>
                <w:szCs w:val="20"/>
              </w:rPr>
              <w:t>16,84</w:t>
            </w:r>
          </w:p>
        </w:tc>
        <w:tc>
          <w:tcPr>
            <w:tcW w:w="727" w:type="dxa"/>
            <w:shd w:val="clear" w:color="auto" w:fill="auto"/>
            <w:vAlign w:val="center"/>
            <w:hideMark/>
          </w:tcPr>
          <w:p w14:paraId="519B257A" w14:textId="77777777" w:rsidR="00C06909" w:rsidRPr="008E63BB" w:rsidRDefault="00C06909" w:rsidP="009A7903">
            <w:pPr>
              <w:jc w:val="right"/>
              <w:rPr>
                <w:rFonts w:eastAsia="Times New Roman"/>
                <w:sz w:val="20"/>
                <w:szCs w:val="20"/>
              </w:rPr>
            </w:pPr>
            <w:r w:rsidRPr="008E63BB">
              <w:rPr>
                <w:rFonts w:eastAsia="Times New Roman"/>
                <w:sz w:val="20"/>
                <w:szCs w:val="20"/>
              </w:rPr>
              <w:t>13,52</w:t>
            </w:r>
          </w:p>
        </w:tc>
        <w:tc>
          <w:tcPr>
            <w:tcW w:w="1075" w:type="dxa"/>
            <w:shd w:val="clear" w:color="auto" w:fill="auto"/>
            <w:vAlign w:val="center"/>
            <w:hideMark/>
          </w:tcPr>
          <w:p w14:paraId="519B257B" w14:textId="77777777" w:rsidR="00C06909" w:rsidRPr="008E63BB" w:rsidRDefault="00C06909" w:rsidP="009A7903">
            <w:pPr>
              <w:jc w:val="right"/>
              <w:rPr>
                <w:rFonts w:eastAsia="Times New Roman"/>
                <w:sz w:val="20"/>
                <w:szCs w:val="20"/>
              </w:rPr>
            </w:pPr>
            <w:r w:rsidRPr="008E63BB">
              <w:rPr>
                <w:rFonts w:eastAsia="Times New Roman"/>
                <w:sz w:val="20"/>
                <w:szCs w:val="20"/>
              </w:rPr>
              <w:t>972,90</w:t>
            </w:r>
          </w:p>
        </w:tc>
        <w:tc>
          <w:tcPr>
            <w:tcW w:w="811" w:type="dxa"/>
            <w:shd w:val="clear" w:color="auto" w:fill="auto"/>
            <w:vAlign w:val="center"/>
            <w:hideMark/>
          </w:tcPr>
          <w:p w14:paraId="519B257C" w14:textId="77777777" w:rsidR="00C06909" w:rsidRPr="008E63BB" w:rsidRDefault="00C06909" w:rsidP="009A7903">
            <w:pPr>
              <w:jc w:val="right"/>
              <w:rPr>
                <w:rFonts w:eastAsia="Times New Roman"/>
                <w:sz w:val="20"/>
                <w:szCs w:val="20"/>
              </w:rPr>
            </w:pPr>
            <w:r w:rsidRPr="008E63BB">
              <w:rPr>
                <w:rFonts w:eastAsia="Times New Roman"/>
                <w:sz w:val="20"/>
                <w:szCs w:val="20"/>
              </w:rPr>
              <w:t>36,88</w:t>
            </w:r>
          </w:p>
        </w:tc>
      </w:tr>
      <w:tr w:rsidR="008D5BFE" w:rsidRPr="008E63BB" w14:paraId="519B2588" w14:textId="77777777" w:rsidTr="00FE6E30">
        <w:trPr>
          <w:trHeight w:val="377"/>
        </w:trPr>
        <w:tc>
          <w:tcPr>
            <w:tcW w:w="487" w:type="dxa"/>
            <w:shd w:val="clear" w:color="auto" w:fill="auto"/>
            <w:vAlign w:val="center"/>
            <w:hideMark/>
          </w:tcPr>
          <w:p w14:paraId="519B257E"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II</w:t>
            </w:r>
          </w:p>
        </w:tc>
        <w:tc>
          <w:tcPr>
            <w:tcW w:w="2589" w:type="dxa"/>
            <w:shd w:val="clear" w:color="auto" w:fill="auto"/>
            <w:vAlign w:val="center"/>
            <w:hideMark/>
          </w:tcPr>
          <w:p w14:paraId="519B257F" w14:textId="77777777" w:rsidR="00C06909" w:rsidRPr="008E63BB" w:rsidRDefault="00C06909" w:rsidP="009A7903">
            <w:pPr>
              <w:jc w:val="left"/>
              <w:rPr>
                <w:rFonts w:eastAsia="Times New Roman"/>
                <w:b/>
                <w:bCs/>
                <w:sz w:val="20"/>
                <w:szCs w:val="20"/>
              </w:rPr>
            </w:pPr>
            <w:r w:rsidRPr="008E63BB">
              <w:rPr>
                <w:rFonts w:eastAsia="Times New Roman"/>
                <w:b/>
                <w:bCs/>
                <w:sz w:val="20"/>
                <w:szCs w:val="20"/>
              </w:rPr>
              <w:t>Đất ngoài dân dụng</w:t>
            </w:r>
          </w:p>
        </w:tc>
        <w:tc>
          <w:tcPr>
            <w:tcW w:w="1075" w:type="dxa"/>
            <w:shd w:val="clear" w:color="auto" w:fill="auto"/>
            <w:vAlign w:val="center"/>
            <w:hideMark/>
          </w:tcPr>
          <w:p w14:paraId="519B2580"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1.459,16</w:t>
            </w:r>
          </w:p>
        </w:tc>
        <w:tc>
          <w:tcPr>
            <w:tcW w:w="810" w:type="dxa"/>
            <w:shd w:val="clear" w:color="auto" w:fill="auto"/>
            <w:vAlign w:val="center"/>
            <w:hideMark/>
          </w:tcPr>
          <w:p w14:paraId="519B2581"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28,67</w:t>
            </w:r>
          </w:p>
        </w:tc>
        <w:tc>
          <w:tcPr>
            <w:tcW w:w="812" w:type="dxa"/>
            <w:shd w:val="clear" w:color="auto" w:fill="auto"/>
            <w:vAlign w:val="center"/>
            <w:hideMark/>
          </w:tcPr>
          <w:p w14:paraId="519B2582"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37,68</w:t>
            </w:r>
          </w:p>
        </w:tc>
        <w:tc>
          <w:tcPr>
            <w:tcW w:w="969" w:type="dxa"/>
            <w:shd w:val="clear" w:color="auto" w:fill="auto"/>
            <w:vAlign w:val="center"/>
            <w:hideMark/>
          </w:tcPr>
          <w:p w14:paraId="519B2583"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876,67</w:t>
            </w:r>
          </w:p>
        </w:tc>
        <w:tc>
          <w:tcPr>
            <w:tcW w:w="810" w:type="dxa"/>
            <w:shd w:val="clear" w:color="auto" w:fill="auto"/>
            <w:vAlign w:val="center"/>
            <w:hideMark/>
          </w:tcPr>
          <w:p w14:paraId="519B2584"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36,39</w:t>
            </w:r>
          </w:p>
        </w:tc>
        <w:tc>
          <w:tcPr>
            <w:tcW w:w="727" w:type="dxa"/>
            <w:shd w:val="clear" w:color="auto" w:fill="auto"/>
            <w:vAlign w:val="center"/>
            <w:hideMark/>
          </w:tcPr>
          <w:p w14:paraId="519B2585"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37,16</w:t>
            </w:r>
          </w:p>
        </w:tc>
        <w:tc>
          <w:tcPr>
            <w:tcW w:w="1075" w:type="dxa"/>
            <w:shd w:val="clear" w:color="auto" w:fill="auto"/>
            <w:vAlign w:val="center"/>
            <w:hideMark/>
          </w:tcPr>
          <w:p w14:paraId="519B2586"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582,49</w:t>
            </w:r>
          </w:p>
        </w:tc>
        <w:tc>
          <w:tcPr>
            <w:tcW w:w="811" w:type="dxa"/>
            <w:shd w:val="clear" w:color="auto" w:fill="auto"/>
            <w:vAlign w:val="center"/>
            <w:hideMark/>
          </w:tcPr>
          <w:p w14:paraId="519B2587"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20,70</w:t>
            </w:r>
          </w:p>
        </w:tc>
      </w:tr>
      <w:tr w:rsidR="008D5BFE" w:rsidRPr="008E63BB" w14:paraId="519B2593" w14:textId="77777777" w:rsidTr="00FE6E30">
        <w:trPr>
          <w:trHeight w:val="377"/>
        </w:trPr>
        <w:tc>
          <w:tcPr>
            <w:tcW w:w="487" w:type="dxa"/>
            <w:shd w:val="clear" w:color="auto" w:fill="auto"/>
            <w:vAlign w:val="center"/>
            <w:hideMark/>
          </w:tcPr>
          <w:p w14:paraId="519B2589" w14:textId="77777777" w:rsidR="00C06909" w:rsidRPr="008E63BB" w:rsidRDefault="00C06909" w:rsidP="009A7903">
            <w:pPr>
              <w:jc w:val="center"/>
              <w:rPr>
                <w:rFonts w:eastAsia="Times New Roman"/>
                <w:sz w:val="20"/>
                <w:szCs w:val="20"/>
              </w:rPr>
            </w:pPr>
            <w:r w:rsidRPr="008E63BB">
              <w:rPr>
                <w:rFonts w:eastAsia="Times New Roman"/>
                <w:sz w:val="20"/>
                <w:szCs w:val="20"/>
              </w:rPr>
              <w:t>1</w:t>
            </w:r>
          </w:p>
        </w:tc>
        <w:tc>
          <w:tcPr>
            <w:tcW w:w="2589" w:type="dxa"/>
            <w:shd w:val="clear" w:color="auto" w:fill="auto"/>
            <w:vAlign w:val="center"/>
            <w:hideMark/>
          </w:tcPr>
          <w:p w14:paraId="519B258A" w14:textId="77777777" w:rsidR="00C06909" w:rsidRPr="008E63BB" w:rsidRDefault="00C06909" w:rsidP="009A7903">
            <w:pPr>
              <w:jc w:val="left"/>
              <w:rPr>
                <w:rFonts w:eastAsia="Times New Roman"/>
                <w:sz w:val="20"/>
                <w:szCs w:val="20"/>
              </w:rPr>
            </w:pPr>
            <w:r w:rsidRPr="008E63BB">
              <w:rPr>
                <w:rFonts w:eastAsia="Times New Roman"/>
                <w:sz w:val="20"/>
                <w:szCs w:val="20"/>
              </w:rPr>
              <w:t>Đất trụ sở cơ quan ngoài sự quản lý của đô thị</w:t>
            </w:r>
          </w:p>
        </w:tc>
        <w:tc>
          <w:tcPr>
            <w:tcW w:w="1075" w:type="dxa"/>
            <w:shd w:val="clear" w:color="auto" w:fill="auto"/>
            <w:vAlign w:val="center"/>
            <w:hideMark/>
          </w:tcPr>
          <w:p w14:paraId="519B258B" w14:textId="77777777" w:rsidR="00C06909" w:rsidRPr="008E63BB" w:rsidRDefault="00C06909" w:rsidP="009A7903">
            <w:pPr>
              <w:jc w:val="right"/>
              <w:rPr>
                <w:rFonts w:eastAsia="Times New Roman"/>
                <w:sz w:val="20"/>
                <w:szCs w:val="20"/>
              </w:rPr>
            </w:pPr>
            <w:r w:rsidRPr="008E63BB">
              <w:rPr>
                <w:rFonts w:eastAsia="Times New Roman"/>
                <w:sz w:val="20"/>
                <w:szCs w:val="20"/>
              </w:rPr>
              <w:t>87,97</w:t>
            </w:r>
          </w:p>
        </w:tc>
        <w:tc>
          <w:tcPr>
            <w:tcW w:w="810" w:type="dxa"/>
            <w:shd w:val="clear" w:color="auto" w:fill="auto"/>
            <w:vAlign w:val="center"/>
            <w:hideMark/>
          </w:tcPr>
          <w:p w14:paraId="519B258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8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8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39,35</w:t>
            </w:r>
          </w:p>
        </w:tc>
        <w:tc>
          <w:tcPr>
            <w:tcW w:w="810" w:type="dxa"/>
            <w:shd w:val="clear" w:color="auto" w:fill="auto"/>
            <w:vAlign w:val="center"/>
            <w:hideMark/>
          </w:tcPr>
          <w:p w14:paraId="519B258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9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9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48,62</w:t>
            </w:r>
          </w:p>
        </w:tc>
        <w:tc>
          <w:tcPr>
            <w:tcW w:w="811" w:type="dxa"/>
            <w:shd w:val="clear" w:color="auto" w:fill="auto"/>
            <w:vAlign w:val="center"/>
            <w:hideMark/>
          </w:tcPr>
          <w:p w14:paraId="519B2592"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9E" w14:textId="77777777" w:rsidTr="00FE6E30">
        <w:trPr>
          <w:trHeight w:val="326"/>
        </w:trPr>
        <w:tc>
          <w:tcPr>
            <w:tcW w:w="487" w:type="dxa"/>
            <w:shd w:val="clear" w:color="auto" w:fill="auto"/>
            <w:vAlign w:val="center"/>
            <w:hideMark/>
          </w:tcPr>
          <w:p w14:paraId="519B2594" w14:textId="77777777" w:rsidR="00C06909" w:rsidRPr="008E63BB" w:rsidRDefault="00C06909" w:rsidP="009A7903">
            <w:pPr>
              <w:jc w:val="center"/>
              <w:rPr>
                <w:rFonts w:eastAsia="Times New Roman"/>
                <w:sz w:val="20"/>
                <w:szCs w:val="20"/>
              </w:rPr>
            </w:pPr>
            <w:r w:rsidRPr="008E63BB">
              <w:rPr>
                <w:rFonts w:eastAsia="Times New Roman"/>
                <w:sz w:val="20"/>
                <w:szCs w:val="20"/>
              </w:rPr>
              <w:t>2</w:t>
            </w:r>
          </w:p>
        </w:tc>
        <w:tc>
          <w:tcPr>
            <w:tcW w:w="2589" w:type="dxa"/>
            <w:shd w:val="clear" w:color="auto" w:fill="auto"/>
            <w:vAlign w:val="center"/>
            <w:hideMark/>
          </w:tcPr>
          <w:p w14:paraId="519B2595" w14:textId="77777777" w:rsidR="00C06909" w:rsidRPr="008E63BB" w:rsidRDefault="00C06909" w:rsidP="009A7903">
            <w:pPr>
              <w:jc w:val="left"/>
              <w:rPr>
                <w:rFonts w:eastAsia="Times New Roman"/>
                <w:sz w:val="20"/>
                <w:szCs w:val="20"/>
              </w:rPr>
            </w:pPr>
            <w:r w:rsidRPr="008E63BB">
              <w:rPr>
                <w:rFonts w:eastAsia="Times New Roman"/>
                <w:sz w:val="20"/>
                <w:szCs w:val="20"/>
              </w:rPr>
              <w:t>Đất công cộng ngoài sự quản lý của đô thị</w:t>
            </w:r>
          </w:p>
        </w:tc>
        <w:tc>
          <w:tcPr>
            <w:tcW w:w="1075" w:type="dxa"/>
            <w:shd w:val="clear" w:color="auto" w:fill="auto"/>
            <w:vAlign w:val="center"/>
            <w:hideMark/>
          </w:tcPr>
          <w:p w14:paraId="519B2596" w14:textId="77777777" w:rsidR="00C06909" w:rsidRPr="008E63BB" w:rsidRDefault="00C06909" w:rsidP="009A7903">
            <w:pPr>
              <w:jc w:val="right"/>
              <w:rPr>
                <w:rFonts w:eastAsia="Times New Roman"/>
                <w:sz w:val="20"/>
                <w:szCs w:val="20"/>
              </w:rPr>
            </w:pPr>
            <w:r w:rsidRPr="008E63BB">
              <w:rPr>
                <w:rFonts w:eastAsia="Times New Roman"/>
                <w:sz w:val="20"/>
                <w:szCs w:val="20"/>
              </w:rPr>
              <w:t>125,04</w:t>
            </w:r>
          </w:p>
        </w:tc>
        <w:tc>
          <w:tcPr>
            <w:tcW w:w="810" w:type="dxa"/>
            <w:shd w:val="clear" w:color="auto" w:fill="auto"/>
            <w:vAlign w:val="center"/>
            <w:hideMark/>
          </w:tcPr>
          <w:p w14:paraId="519B259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9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9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81,18</w:t>
            </w:r>
          </w:p>
        </w:tc>
        <w:tc>
          <w:tcPr>
            <w:tcW w:w="810" w:type="dxa"/>
            <w:shd w:val="clear" w:color="auto" w:fill="auto"/>
            <w:vAlign w:val="center"/>
            <w:hideMark/>
          </w:tcPr>
          <w:p w14:paraId="519B259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9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9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43,86</w:t>
            </w:r>
          </w:p>
        </w:tc>
        <w:tc>
          <w:tcPr>
            <w:tcW w:w="811" w:type="dxa"/>
            <w:shd w:val="clear" w:color="auto" w:fill="auto"/>
            <w:vAlign w:val="center"/>
            <w:hideMark/>
          </w:tcPr>
          <w:p w14:paraId="519B259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A9" w14:textId="77777777" w:rsidTr="00FE6E30">
        <w:trPr>
          <w:trHeight w:val="377"/>
        </w:trPr>
        <w:tc>
          <w:tcPr>
            <w:tcW w:w="487" w:type="dxa"/>
            <w:shd w:val="clear" w:color="auto" w:fill="auto"/>
            <w:vAlign w:val="center"/>
            <w:hideMark/>
          </w:tcPr>
          <w:p w14:paraId="519B259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w:t>
            </w:r>
          </w:p>
        </w:tc>
        <w:tc>
          <w:tcPr>
            <w:tcW w:w="2589" w:type="dxa"/>
            <w:shd w:val="clear" w:color="auto" w:fill="auto"/>
            <w:vAlign w:val="center"/>
            <w:hideMark/>
          </w:tcPr>
          <w:p w14:paraId="519B25A0" w14:textId="77777777" w:rsidR="00C06909" w:rsidRPr="008E63BB" w:rsidRDefault="00C06909" w:rsidP="009A7903">
            <w:pPr>
              <w:jc w:val="left"/>
              <w:rPr>
                <w:rFonts w:eastAsia="Times New Roman"/>
                <w:i/>
                <w:iCs/>
                <w:sz w:val="20"/>
                <w:szCs w:val="20"/>
              </w:rPr>
            </w:pPr>
            <w:r w:rsidRPr="008E63BB">
              <w:rPr>
                <w:rFonts w:eastAsia="Times New Roman"/>
                <w:i/>
                <w:iCs/>
                <w:sz w:val="20"/>
                <w:szCs w:val="20"/>
              </w:rPr>
              <w:t>Đất y tế</w:t>
            </w:r>
          </w:p>
        </w:tc>
        <w:tc>
          <w:tcPr>
            <w:tcW w:w="1075" w:type="dxa"/>
            <w:shd w:val="clear" w:color="auto" w:fill="auto"/>
            <w:vAlign w:val="center"/>
            <w:hideMark/>
          </w:tcPr>
          <w:p w14:paraId="519B25A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13,40</w:t>
            </w:r>
          </w:p>
        </w:tc>
        <w:tc>
          <w:tcPr>
            <w:tcW w:w="810" w:type="dxa"/>
            <w:shd w:val="clear" w:color="auto" w:fill="auto"/>
            <w:vAlign w:val="center"/>
            <w:hideMark/>
          </w:tcPr>
          <w:p w14:paraId="519B25A2"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A3"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A4"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12,95</w:t>
            </w:r>
          </w:p>
        </w:tc>
        <w:tc>
          <w:tcPr>
            <w:tcW w:w="810" w:type="dxa"/>
            <w:shd w:val="clear" w:color="auto" w:fill="auto"/>
            <w:vAlign w:val="center"/>
            <w:hideMark/>
          </w:tcPr>
          <w:p w14:paraId="519B25A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A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A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0,45</w:t>
            </w:r>
          </w:p>
        </w:tc>
        <w:tc>
          <w:tcPr>
            <w:tcW w:w="811" w:type="dxa"/>
            <w:shd w:val="clear" w:color="auto" w:fill="auto"/>
            <w:vAlign w:val="center"/>
            <w:hideMark/>
          </w:tcPr>
          <w:p w14:paraId="519B25A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B4" w14:textId="77777777" w:rsidTr="00FE6E30">
        <w:trPr>
          <w:trHeight w:val="377"/>
        </w:trPr>
        <w:tc>
          <w:tcPr>
            <w:tcW w:w="487" w:type="dxa"/>
            <w:shd w:val="clear" w:color="auto" w:fill="auto"/>
            <w:vAlign w:val="center"/>
            <w:hideMark/>
          </w:tcPr>
          <w:p w14:paraId="519B25A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w:t>
            </w:r>
          </w:p>
        </w:tc>
        <w:tc>
          <w:tcPr>
            <w:tcW w:w="2589" w:type="dxa"/>
            <w:shd w:val="clear" w:color="auto" w:fill="auto"/>
            <w:vAlign w:val="center"/>
            <w:hideMark/>
          </w:tcPr>
          <w:p w14:paraId="519B25AB" w14:textId="77777777" w:rsidR="00C06909" w:rsidRPr="008E63BB" w:rsidRDefault="00C06909" w:rsidP="009A7903">
            <w:pPr>
              <w:jc w:val="left"/>
              <w:rPr>
                <w:rFonts w:eastAsia="Times New Roman"/>
                <w:i/>
                <w:iCs/>
                <w:sz w:val="20"/>
                <w:szCs w:val="20"/>
              </w:rPr>
            </w:pPr>
            <w:r w:rsidRPr="008E63BB">
              <w:rPr>
                <w:rFonts w:eastAsia="Times New Roman"/>
                <w:i/>
                <w:iCs/>
                <w:sz w:val="20"/>
                <w:szCs w:val="20"/>
              </w:rPr>
              <w:t>Đất trường đào tạo, THCN, dạy nghề</w:t>
            </w:r>
          </w:p>
        </w:tc>
        <w:tc>
          <w:tcPr>
            <w:tcW w:w="1075" w:type="dxa"/>
            <w:shd w:val="clear" w:color="auto" w:fill="auto"/>
            <w:vAlign w:val="center"/>
            <w:hideMark/>
          </w:tcPr>
          <w:p w14:paraId="519B25A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93,35</w:t>
            </w:r>
          </w:p>
        </w:tc>
        <w:tc>
          <w:tcPr>
            <w:tcW w:w="810" w:type="dxa"/>
            <w:shd w:val="clear" w:color="auto" w:fill="auto"/>
            <w:vAlign w:val="center"/>
            <w:hideMark/>
          </w:tcPr>
          <w:p w14:paraId="519B25A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A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A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49,95</w:t>
            </w:r>
          </w:p>
        </w:tc>
        <w:tc>
          <w:tcPr>
            <w:tcW w:w="810" w:type="dxa"/>
            <w:shd w:val="clear" w:color="auto" w:fill="auto"/>
            <w:vAlign w:val="center"/>
            <w:hideMark/>
          </w:tcPr>
          <w:p w14:paraId="519B25B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B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B2"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43,41</w:t>
            </w:r>
          </w:p>
        </w:tc>
        <w:tc>
          <w:tcPr>
            <w:tcW w:w="811" w:type="dxa"/>
            <w:shd w:val="clear" w:color="auto" w:fill="auto"/>
            <w:vAlign w:val="center"/>
            <w:hideMark/>
          </w:tcPr>
          <w:p w14:paraId="519B25B3"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BF" w14:textId="77777777" w:rsidTr="00FE6E30">
        <w:trPr>
          <w:trHeight w:val="377"/>
        </w:trPr>
        <w:tc>
          <w:tcPr>
            <w:tcW w:w="487" w:type="dxa"/>
            <w:shd w:val="clear" w:color="auto" w:fill="auto"/>
            <w:vAlign w:val="center"/>
            <w:hideMark/>
          </w:tcPr>
          <w:p w14:paraId="519B25B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w:t>
            </w:r>
          </w:p>
        </w:tc>
        <w:tc>
          <w:tcPr>
            <w:tcW w:w="2589" w:type="dxa"/>
            <w:shd w:val="clear" w:color="auto" w:fill="auto"/>
            <w:vAlign w:val="center"/>
            <w:hideMark/>
          </w:tcPr>
          <w:p w14:paraId="519B25B6" w14:textId="77777777" w:rsidR="00C06909" w:rsidRPr="008E63BB" w:rsidRDefault="00C06909" w:rsidP="009A7903">
            <w:pPr>
              <w:jc w:val="left"/>
              <w:rPr>
                <w:rFonts w:eastAsia="Times New Roman"/>
                <w:i/>
                <w:iCs/>
                <w:sz w:val="20"/>
                <w:szCs w:val="20"/>
              </w:rPr>
            </w:pPr>
            <w:r w:rsidRPr="008E63BB">
              <w:rPr>
                <w:rFonts w:eastAsia="Times New Roman"/>
                <w:i/>
                <w:iCs/>
                <w:sz w:val="20"/>
                <w:szCs w:val="20"/>
              </w:rPr>
              <w:t xml:space="preserve">Đất xây dựng cơ sở khoa học và công nghệ </w:t>
            </w:r>
          </w:p>
        </w:tc>
        <w:tc>
          <w:tcPr>
            <w:tcW w:w="1075" w:type="dxa"/>
            <w:shd w:val="clear" w:color="auto" w:fill="auto"/>
            <w:vAlign w:val="center"/>
            <w:hideMark/>
          </w:tcPr>
          <w:p w14:paraId="519B25B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18,28</w:t>
            </w:r>
          </w:p>
        </w:tc>
        <w:tc>
          <w:tcPr>
            <w:tcW w:w="810" w:type="dxa"/>
            <w:shd w:val="clear" w:color="auto" w:fill="auto"/>
            <w:vAlign w:val="center"/>
            <w:hideMark/>
          </w:tcPr>
          <w:p w14:paraId="519B25B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B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B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18,28</w:t>
            </w:r>
          </w:p>
        </w:tc>
        <w:tc>
          <w:tcPr>
            <w:tcW w:w="810" w:type="dxa"/>
            <w:shd w:val="clear" w:color="auto" w:fill="auto"/>
            <w:vAlign w:val="center"/>
            <w:hideMark/>
          </w:tcPr>
          <w:p w14:paraId="519B25B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B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B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1" w:type="dxa"/>
            <w:shd w:val="clear" w:color="auto" w:fill="auto"/>
            <w:vAlign w:val="center"/>
            <w:hideMark/>
          </w:tcPr>
          <w:p w14:paraId="519B25B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CA" w14:textId="77777777" w:rsidTr="00FE6E30">
        <w:trPr>
          <w:trHeight w:val="429"/>
        </w:trPr>
        <w:tc>
          <w:tcPr>
            <w:tcW w:w="487" w:type="dxa"/>
            <w:shd w:val="clear" w:color="auto" w:fill="auto"/>
            <w:vAlign w:val="center"/>
            <w:hideMark/>
          </w:tcPr>
          <w:p w14:paraId="519B25C0" w14:textId="77777777" w:rsidR="00C06909" w:rsidRPr="008E63BB" w:rsidRDefault="00C06909" w:rsidP="009A7903">
            <w:pPr>
              <w:jc w:val="center"/>
              <w:rPr>
                <w:rFonts w:eastAsia="Times New Roman"/>
                <w:sz w:val="20"/>
                <w:szCs w:val="20"/>
              </w:rPr>
            </w:pPr>
            <w:r w:rsidRPr="008E63BB">
              <w:rPr>
                <w:rFonts w:eastAsia="Times New Roman"/>
                <w:sz w:val="20"/>
                <w:szCs w:val="20"/>
              </w:rPr>
              <w:t>3</w:t>
            </w:r>
          </w:p>
        </w:tc>
        <w:tc>
          <w:tcPr>
            <w:tcW w:w="2589" w:type="dxa"/>
            <w:shd w:val="clear" w:color="auto" w:fill="auto"/>
            <w:vAlign w:val="center"/>
            <w:hideMark/>
          </w:tcPr>
          <w:p w14:paraId="519B25C1" w14:textId="77777777" w:rsidR="00C06909" w:rsidRPr="008E63BB" w:rsidRDefault="00C06909" w:rsidP="009A7903">
            <w:pPr>
              <w:jc w:val="left"/>
              <w:rPr>
                <w:rFonts w:eastAsia="Times New Roman"/>
                <w:sz w:val="20"/>
                <w:szCs w:val="20"/>
              </w:rPr>
            </w:pPr>
            <w:r w:rsidRPr="008E63BB">
              <w:rPr>
                <w:rFonts w:eastAsia="Times New Roman"/>
                <w:sz w:val="20"/>
                <w:szCs w:val="20"/>
              </w:rPr>
              <w:t xml:space="preserve">Đất hỗn hợp-thương mại, dịch vụ </w:t>
            </w:r>
          </w:p>
        </w:tc>
        <w:tc>
          <w:tcPr>
            <w:tcW w:w="1075" w:type="dxa"/>
            <w:shd w:val="clear" w:color="auto" w:fill="auto"/>
            <w:vAlign w:val="center"/>
            <w:hideMark/>
          </w:tcPr>
          <w:p w14:paraId="519B25C2" w14:textId="77777777" w:rsidR="00C06909" w:rsidRPr="008E63BB" w:rsidRDefault="00C06909" w:rsidP="009A7903">
            <w:pPr>
              <w:jc w:val="right"/>
              <w:rPr>
                <w:rFonts w:eastAsia="Times New Roman"/>
                <w:sz w:val="20"/>
                <w:szCs w:val="20"/>
              </w:rPr>
            </w:pPr>
            <w:r w:rsidRPr="008E63BB">
              <w:rPr>
                <w:rFonts w:eastAsia="Times New Roman"/>
                <w:sz w:val="20"/>
                <w:szCs w:val="20"/>
              </w:rPr>
              <w:t>172,81</w:t>
            </w:r>
          </w:p>
        </w:tc>
        <w:tc>
          <w:tcPr>
            <w:tcW w:w="810" w:type="dxa"/>
            <w:shd w:val="clear" w:color="auto" w:fill="auto"/>
            <w:vAlign w:val="center"/>
            <w:hideMark/>
          </w:tcPr>
          <w:p w14:paraId="519B25C3"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C4"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C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0" w:type="dxa"/>
            <w:shd w:val="clear" w:color="auto" w:fill="auto"/>
            <w:vAlign w:val="center"/>
            <w:hideMark/>
          </w:tcPr>
          <w:p w14:paraId="519B25C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C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C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172,81</w:t>
            </w:r>
          </w:p>
        </w:tc>
        <w:tc>
          <w:tcPr>
            <w:tcW w:w="811" w:type="dxa"/>
            <w:shd w:val="clear" w:color="auto" w:fill="auto"/>
            <w:vAlign w:val="center"/>
            <w:hideMark/>
          </w:tcPr>
          <w:p w14:paraId="519B25C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D5" w14:textId="77777777" w:rsidTr="00FE6E30">
        <w:trPr>
          <w:trHeight w:val="360"/>
        </w:trPr>
        <w:tc>
          <w:tcPr>
            <w:tcW w:w="487" w:type="dxa"/>
            <w:shd w:val="clear" w:color="auto" w:fill="auto"/>
            <w:vAlign w:val="center"/>
            <w:hideMark/>
          </w:tcPr>
          <w:p w14:paraId="519B25CB" w14:textId="77777777" w:rsidR="00C06909" w:rsidRPr="008E63BB" w:rsidRDefault="00FE6E30" w:rsidP="009A7903">
            <w:pPr>
              <w:jc w:val="center"/>
              <w:rPr>
                <w:rFonts w:eastAsia="Times New Roman"/>
                <w:sz w:val="20"/>
                <w:szCs w:val="20"/>
              </w:rPr>
            </w:pPr>
            <w:r w:rsidRPr="008E63BB">
              <w:rPr>
                <w:rFonts w:eastAsia="Times New Roman"/>
                <w:sz w:val="20"/>
                <w:szCs w:val="20"/>
              </w:rPr>
              <w:t>4</w:t>
            </w:r>
          </w:p>
        </w:tc>
        <w:tc>
          <w:tcPr>
            <w:tcW w:w="2589" w:type="dxa"/>
            <w:shd w:val="clear" w:color="auto" w:fill="auto"/>
            <w:vAlign w:val="center"/>
            <w:hideMark/>
          </w:tcPr>
          <w:p w14:paraId="519B25CC" w14:textId="77777777" w:rsidR="00C06909" w:rsidRPr="008E63BB" w:rsidRDefault="00C06909" w:rsidP="009A7903">
            <w:pPr>
              <w:jc w:val="left"/>
              <w:rPr>
                <w:rFonts w:eastAsia="Times New Roman"/>
                <w:sz w:val="20"/>
                <w:szCs w:val="20"/>
              </w:rPr>
            </w:pPr>
            <w:r w:rsidRPr="008E63BB">
              <w:rPr>
                <w:rFonts w:eastAsia="Times New Roman"/>
                <w:sz w:val="20"/>
                <w:szCs w:val="20"/>
              </w:rPr>
              <w:t>Đất công nghiệp</w:t>
            </w:r>
          </w:p>
        </w:tc>
        <w:tc>
          <w:tcPr>
            <w:tcW w:w="1075" w:type="dxa"/>
            <w:shd w:val="clear" w:color="auto" w:fill="auto"/>
            <w:vAlign w:val="center"/>
            <w:hideMark/>
          </w:tcPr>
          <w:p w14:paraId="519B25CD" w14:textId="77777777" w:rsidR="00C06909" w:rsidRPr="008E63BB" w:rsidRDefault="00C06909" w:rsidP="009A7903">
            <w:pPr>
              <w:jc w:val="right"/>
              <w:rPr>
                <w:rFonts w:eastAsia="Times New Roman"/>
                <w:sz w:val="20"/>
                <w:szCs w:val="20"/>
              </w:rPr>
            </w:pPr>
            <w:r w:rsidRPr="008E63BB">
              <w:rPr>
                <w:rFonts w:eastAsia="Times New Roman"/>
                <w:sz w:val="20"/>
                <w:szCs w:val="20"/>
              </w:rPr>
              <w:t>733,15</w:t>
            </w:r>
          </w:p>
        </w:tc>
        <w:tc>
          <w:tcPr>
            <w:tcW w:w="810" w:type="dxa"/>
            <w:shd w:val="clear" w:color="auto" w:fill="auto"/>
            <w:vAlign w:val="center"/>
            <w:hideMark/>
          </w:tcPr>
          <w:p w14:paraId="519B25CE"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812" w:type="dxa"/>
            <w:shd w:val="clear" w:color="auto" w:fill="auto"/>
            <w:vAlign w:val="center"/>
            <w:hideMark/>
          </w:tcPr>
          <w:p w14:paraId="519B25CF"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969" w:type="dxa"/>
            <w:shd w:val="clear" w:color="auto" w:fill="auto"/>
            <w:vAlign w:val="center"/>
            <w:hideMark/>
          </w:tcPr>
          <w:p w14:paraId="519B25D0" w14:textId="77777777" w:rsidR="00C06909" w:rsidRPr="008E63BB" w:rsidRDefault="00C06909" w:rsidP="009A7903">
            <w:pPr>
              <w:jc w:val="right"/>
              <w:rPr>
                <w:rFonts w:eastAsia="Times New Roman"/>
                <w:sz w:val="20"/>
                <w:szCs w:val="20"/>
              </w:rPr>
            </w:pPr>
            <w:r w:rsidRPr="008E63BB">
              <w:rPr>
                <w:rFonts w:eastAsia="Times New Roman"/>
                <w:sz w:val="20"/>
                <w:szCs w:val="20"/>
              </w:rPr>
              <w:t>574,68</w:t>
            </w:r>
          </w:p>
        </w:tc>
        <w:tc>
          <w:tcPr>
            <w:tcW w:w="810" w:type="dxa"/>
            <w:shd w:val="clear" w:color="auto" w:fill="auto"/>
            <w:vAlign w:val="center"/>
            <w:hideMark/>
          </w:tcPr>
          <w:p w14:paraId="519B25D1"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727" w:type="dxa"/>
            <w:shd w:val="clear" w:color="auto" w:fill="auto"/>
            <w:vAlign w:val="center"/>
            <w:hideMark/>
          </w:tcPr>
          <w:p w14:paraId="519B25D2"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1075" w:type="dxa"/>
            <w:shd w:val="clear" w:color="auto" w:fill="auto"/>
            <w:vAlign w:val="center"/>
            <w:hideMark/>
          </w:tcPr>
          <w:p w14:paraId="519B25D3" w14:textId="77777777" w:rsidR="00C06909" w:rsidRPr="008E63BB" w:rsidRDefault="00C06909" w:rsidP="009A7903">
            <w:pPr>
              <w:jc w:val="right"/>
              <w:rPr>
                <w:rFonts w:eastAsia="Times New Roman"/>
                <w:sz w:val="20"/>
                <w:szCs w:val="20"/>
              </w:rPr>
            </w:pPr>
            <w:r w:rsidRPr="008E63BB">
              <w:rPr>
                <w:rFonts w:eastAsia="Times New Roman"/>
                <w:sz w:val="20"/>
                <w:szCs w:val="20"/>
              </w:rPr>
              <w:t>158,47</w:t>
            </w:r>
          </w:p>
        </w:tc>
        <w:tc>
          <w:tcPr>
            <w:tcW w:w="811" w:type="dxa"/>
            <w:shd w:val="clear" w:color="auto" w:fill="auto"/>
            <w:vAlign w:val="center"/>
            <w:hideMark/>
          </w:tcPr>
          <w:p w14:paraId="519B25D4"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r>
      <w:tr w:rsidR="008D5BFE" w:rsidRPr="008E63BB" w14:paraId="519B25E0" w14:textId="77777777" w:rsidTr="00FE6E30">
        <w:trPr>
          <w:trHeight w:val="377"/>
        </w:trPr>
        <w:tc>
          <w:tcPr>
            <w:tcW w:w="487" w:type="dxa"/>
            <w:shd w:val="clear" w:color="auto" w:fill="auto"/>
            <w:vAlign w:val="center"/>
            <w:hideMark/>
          </w:tcPr>
          <w:p w14:paraId="519B25D6" w14:textId="77777777" w:rsidR="00C06909" w:rsidRPr="008E63BB" w:rsidRDefault="00FE6E30" w:rsidP="009A7903">
            <w:pPr>
              <w:jc w:val="center"/>
              <w:rPr>
                <w:rFonts w:eastAsia="Times New Roman"/>
                <w:sz w:val="20"/>
                <w:szCs w:val="20"/>
              </w:rPr>
            </w:pPr>
            <w:r w:rsidRPr="008E63BB">
              <w:rPr>
                <w:rFonts w:eastAsia="Times New Roman"/>
                <w:sz w:val="20"/>
                <w:szCs w:val="20"/>
              </w:rPr>
              <w:t>5</w:t>
            </w:r>
          </w:p>
        </w:tc>
        <w:tc>
          <w:tcPr>
            <w:tcW w:w="2589" w:type="dxa"/>
            <w:shd w:val="clear" w:color="auto" w:fill="auto"/>
            <w:vAlign w:val="center"/>
            <w:hideMark/>
          </w:tcPr>
          <w:p w14:paraId="519B25D7" w14:textId="77777777" w:rsidR="00C06909" w:rsidRPr="008E63BB" w:rsidRDefault="00C06909" w:rsidP="009A7903">
            <w:pPr>
              <w:jc w:val="left"/>
              <w:rPr>
                <w:rFonts w:eastAsia="Times New Roman"/>
                <w:sz w:val="20"/>
                <w:szCs w:val="20"/>
              </w:rPr>
            </w:pPr>
            <w:r w:rsidRPr="008E63BB">
              <w:rPr>
                <w:rFonts w:eastAsia="Times New Roman"/>
                <w:sz w:val="20"/>
                <w:szCs w:val="20"/>
              </w:rPr>
              <w:t>Đất bãi thải, xử lý chất thải rắn</w:t>
            </w:r>
          </w:p>
        </w:tc>
        <w:tc>
          <w:tcPr>
            <w:tcW w:w="1075" w:type="dxa"/>
            <w:shd w:val="clear" w:color="auto" w:fill="auto"/>
            <w:vAlign w:val="center"/>
            <w:hideMark/>
          </w:tcPr>
          <w:p w14:paraId="519B25D8" w14:textId="77777777" w:rsidR="00C06909" w:rsidRPr="008E63BB" w:rsidRDefault="00C06909" w:rsidP="009A7903">
            <w:pPr>
              <w:jc w:val="right"/>
              <w:rPr>
                <w:rFonts w:eastAsia="Times New Roman"/>
                <w:sz w:val="20"/>
                <w:szCs w:val="20"/>
              </w:rPr>
            </w:pPr>
            <w:r w:rsidRPr="008E63BB">
              <w:rPr>
                <w:rFonts w:eastAsia="Times New Roman"/>
                <w:sz w:val="20"/>
                <w:szCs w:val="20"/>
              </w:rPr>
              <w:t>41,60</w:t>
            </w:r>
          </w:p>
        </w:tc>
        <w:tc>
          <w:tcPr>
            <w:tcW w:w="810" w:type="dxa"/>
            <w:shd w:val="clear" w:color="auto" w:fill="auto"/>
            <w:vAlign w:val="center"/>
            <w:hideMark/>
          </w:tcPr>
          <w:p w14:paraId="519B25D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D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D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23,46</w:t>
            </w:r>
          </w:p>
        </w:tc>
        <w:tc>
          <w:tcPr>
            <w:tcW w:w="810" w:type="dxa"/>
            <w:shd w:val="clear" w:color="auto" w:fill="auto"/>
            <w:vAlign w:val="center"/>
            <w:hideMark/>
          </w:tcPr>
          <w:p w14:paraId="519B25D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D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D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18,14</w:t>
            </w:r>
          </w:p>
        </w:tc>
        <w:tc>
          <w:tcPr>
            <w:tcW w:w="811" w:type="dxa"/>
            <w:shd w:val="clear" w:color="auto" w:fill="auto"/>
            <w:vAlign w:val="center"/>
            <w:hideMark/>
          </w:tcPr>
          <w:p w14:paraId="519B25D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EB" w14:textId="77777777" w:rsidTr="00FE6E30">
        <w:trPr>
          <w:trHeight w:val="377"/>
        </w:trPr>
        <w:tc>
          <w:tcPr>
            <w:tcW w:w="487" w:type="dxa"/>
            <w:shd w:val="clear" w:color="auto" w:fill="auto"/>
            <w:vAlign w:val="center"/>
            <w:hideMark/>
          </w:tcPr>
          <w:p w14:paraId="519B25E1" w14:textId="77777777" w:rsidR="00C06909" w:rsidRPr="008E63BB" w:rsidRDefault="00FE6E30" w:rsidP="009A7903">
            <w:pPr>
              <w:jc w:val="center"/>
              <w:rPr>
                <w:rFonts w:eastAsia="Times New Roman"/>
                <w:sz w:val="20"/>
                <w:szCs w:val="20"/>
              </w:rPr>
            </w:pPr>
            <w:r w:rsidRPr="008E63BB">
              <w:rPr>
                <w:rFonts w:eastAsia="Times New Roman"/>
                <w:sz w:val="20"/>
                <w:szCs w:val="20"/>
              </w:rPr>
              <w:t>6</w:t>
            </w:r>
          </w:p>
        </w:tc>
        <w:tc>
          <w:tcPr>
            <w:tcW w:w="2589" w:type="dxa"/>
            <w:shd w:val="clear" w:color="auto" w:fill="auto"/>
            <w:vAlign w:val="center"/>
            <w:hideMark/>
          </w:tcPr>
          <w:p w14:paraId="519B25E2" w14:textId="77777777" w:rsidR="00C06909" w:rsidRPr="008E63BB" w:rsidRDefault="00C06909" w:rsidP="009A7903">
            <w:pPr>
              <w:jc w:val="left"/>
              <w:rPr>
                <w:rFonts w:eastAsia="Times New Roman"/>
                <w:sz w:val="20"/>
                <w:szCs w:val="20"/>
              </w:rPr>
            </w:pPr>
            <w:r w:rsidRPr="008E63BB">
              <w:rPr>
                <w:rFonts w:eastAsia="Times New Roman"/>
                <w:sz w:val="20"/>
                <w:szCs w:val="20"/>
              </w:rPr>
              <w:t>Đất giao thông đối ngoại</w:t>
            </w:r>
          </w:p>
        </w:tc>
        <w:tc>
          <w:tcPr>
            <w:tcW w:w="1075" w:type="dxa"/>
            <w:shd w:val="clear" w:color="auto" w:fill="auto"/>
            <w:vAlign w:val="center"/>
            <w:hideMark/>
          </w:tcPr>
          <w:p w14:paraId="519B25E3" w14:textId="77777777" w:rsidR="00C06909" w:rsidRPr="008E63BB" w:rsidRDefault="00C06909" w:rsidP="009A7903">
            <w:pPr>
              <w:jc w:val="right"/>
              <w:rPr>
                <w:rFonts w:eastAsia="Times New Roman"/>
                <w:sz w:val="20"/>
                <w:szCs w:val="20"/>
              </w:rPr>
            </w:pPr>
            <w:r w:rsidRPr="008E63BB">
              <w:rPr>
                <w:rFonts w:eastAsia="Times New Roman"/>
                <w:sz w:val="20"/>
                <w:szCs w:val="20"/>
              </w:rPr>
              <w:t>298,59</w:t>
            </w:r>
          </w:p>
        </w:tc>
        <w:tc>
          <w:tcPr>
            <w:tcW w:w="810" w:type="dxa"/>
            <w:shd w:val="clear" w:color="auto" w:fill="auto"/>
            <w:vAlign w:val="center"/>
            <w:hideMark/>
          </w:tcPr>
          <w:p w14:paraId="519B25E4"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E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E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158,00</w:t>
            </w:r>
          </w:p>
        </w:tc>
        <w:tc>
          <w:tcPr>
            <w:tcW w:w="810" w:type="dxa"/>
            <w:shd w:val="clear" w:color="auto" w:fill="auto"/>
            <w:vAlign w:val="center"/>
            <w:hideMark/>
          </w:tcPr>
          <w:p w14:paraId="519B25E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E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E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140,59</w:t>
            </w:r>
          </w:p>
        </w:tc>
        <w:tc>
          <w:tcPr>
            <w:tcW w:w="811" w:type="dxa"/>
            <w:shd w:val="clear" w:color="auto" w:fill="auto"/>
            <w:vAlign w:val="center"/>
            <w:hideMark/>
          </w:tcPr>
          <w:p w14:paraId="519B25E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5F6" w14:textId="77777777" w:rsidTr="00FE6E30">
        <w:trPr>
          <w:trHeight w:val="377"/>
        </w:trPr>
        <w:tc>
          <w:tcPr>
            <w:tcW w:w="487" w:type="dxa"/>
            <w:shd w:val="clear" w:color="auto" w:fill="auto"/>
            <w:vAlign w:val="center"/>
            <w:hideMark/>
          </w:tcPr>
          <w:p w14:paraId="519B25EC" w14:textId="77777777" w:rsidR="00C06909" w:rsidRPr="008E63BB" w:rsidRDefault="00C06909" w:rsidP="009A7903">
            <w:pPr>
              <w:jc w:val="center"/>
              <w:rPr>
                <w:rFonts w:eastAsia="Times New Roman"/>
                <w:b/>
                <w:bCs/>
                <w:sz w:val="20"/>
                <w:szCs w:val="20"/>
              </w:rPr>
            </w:pPr>
            <w:r w:rsidRPr="008E63BB">
              <w:rPr>
                <w:rFonts w:eastAsia="Times New Roman"/>
                <w:b/>
                <w:bCs/>
                <w:sz w:val="20"/>
                <w:szCs w:val="20"/>
              </w:rPr>
              <w:t>B</w:t>
            </w:r>
          </w:p>
        </w:tc>
        <w:tc>
          <w:tcPr>
            <w:tcW w:w="2589" w:type="dxa"/>
            <w:shd w:val="clear" w:color="auto" w:fill="auto"/>
            <w:vAlign w:val="center"/>
            <w:hideMark/>
          </w:tcPr>
          <w:p w14:paraId="519B25ED" w14:textId="77777777" w:rsidR="00C06909" w:rsidRPr="008E63BB" w:rsidRDefault="00C06909" w:rsidP="009A7903">
            <w:pPr>
              <w:jc w:val="left"/>
              <w:rPr>
                <w:rFonts w:eastAsia="Times New Roman"/>
                <w:b/>
                <w:bCs/>
                <w:sz w:val="20"/>
                <w:szCs w:val="20"/>
              </w:rPr>
            </w:pPr>
            <w:r w:rsidRPr="008E63BB">
              <w:rPr>
                <w:rFonts w:eastAsia="Times New Roman"/>
                <w:b/>
                <w:bCs/>
                <w:sz w:val="20"/>
                <w:szCs w:val="20"/>
              </w:rPr>
              <w:t>Đất khác</w:t>
            </w:r>
          </w:p>
        </w:tc>
        <w:tc>
          <w:tcPr>
            <w:tcW w:w="1075" w:type="dxa"/>
            <w:shd w:val="clear" w:color="auto" w:fill="auto"/>
            <w:vAlign w:val="center"/>
            <w:hideMark/>
          </w:tcPr>
          <w:p w14:paraId="519B25EE"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13.709,47</w:t>
            </w:r>
          </w:p>
        </w:tc>
        <w:tc>
          <w:tcPr>
            <w:tcW w:w="810" w:type="dxa"/>
            <w:shd w:val="clear" w:color="auto" w:fill="auto"/>
            <w:vAlign w:val="center"/>
            <w:hideMark/>
          </w:tcPr>
          <w:p w14:paraId="519B25EF"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c>
          <w:tcPr>
            <w:tcW w:w="812" w:type="dxa"/>
            <w:shd w:val="clear" w:color="auto" w:fill="auto"/>
            <w:vAlign w:val="center"/>
            <w:hideMark/>
          </w:tcPr>
          <w:p w14:paraId="519B25F0"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c>
          <w:tcPr>
            <w:tcW w:w="969" w:type="dxa"/>
            <w:shd w:val="clear" w:color="auto" w:fill="auto"/>
            <w:vAlign w:val="center"/>
            <w:hideMark/>
          </w:tcPr>
          <w:p w14:paraId="519B25F1"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1.297,45</w:t>
            </w:r>
          </w:p>
        </w:tc>
        <w:tc>
          <w:tcPr>
            <w:tcW w:w="810" w:type="dxa"/>
            <w:shd w:val="clear" w:color="auto" w:fill="auto"/>
            <w:vAlign w:val="center"/>
            <w:hideMark/>
          </w:tcPr>
          <w:p w14:paraId="519B25F2"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c>
          <w:tcPr>
            <w:tcW w:w="727" w:type="dxa"/>
            <w:shd w:val="clear" w:color="auto" w:fill="auto"/>
            <w:vAlign w:val="center"/>
            <w:hideMark/>
          </w:tcPr>
          <w:p w14:paraId="519B25F3"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c>
          <w:tcPr>
            <w:tcW w:w="1075" w:type="dxa"/>
            <w:shd w:val="clear" w:color="auto" w:fill="auto"/>
            <w:vAlign w:val="center"/>
            <w:hideMark/>
          </w:tcPr>
          <w:p w14:paraId="519B25F4" w14:textId="77777777" w:rsidR="00C06909" w:rsidRPr="008E63BB" w:rsidRDefault="00C06909" w:rsidP="009A7903">
            <w:pPr>
              <w:jc w:val="right"/>
              <w:rPr>
                <w:rFonts w:eastAsia="Times New Roman"/>
                <w:b/>
                <w:bCs/>
                <w:sz w:val="20"/>
                <w:szCs w:val="20"/>
              </w:rPr>
            </w:pPr>
            <w:r w:rsidRPr="008E63BB">
              <w:rPr>
                <w:rFonts w:eastAsia="Times New Roman"/>
                <w:b/>
                <w:bCs/>
                <w:sz w:val="20"/>
                <w:szCs w:val="20"/>
              </w:rPr>
              <w:t>12.412,02</w:t>
            </w:r>
          </w:p>
        </w:tc>
        <w:tc>
          <w:tcPr>
            <w:tcW w:w="811" w:type="dxa"/>
            <w:shd w:val="clear" w:color="auto" w:fill="auto"/>
            <w:vAlign w:val="center"/>
            <w:hideMark/>
          </w:tcPr>
          <w:p w14:paraId="519B25F5" w14:textId="77777777" w:rsidR="00C06909" w:rsidRPr="008E63BB" w:rsidRDefault="00C06909" w:rsidP="009A7903">
            <w:pPr>
              <w:jc w:val="right"/>
              <w:rPr>
                <w:rFonts w:eastAsia="Times New Roman"/>
                <w:b/>
                <w:bCs/>
                <w:i/>
                <w:iCs/>
                <w:sz w:val="20"/>
                <w:szCs w:val="20"/>
              </w:rPr>
            </w:pPr>
            <w:r w:rsidRPr="008E63BB">
              <w:rPr>
                <w:rFonts w:eastAsia="Times New Roman"/>
                <w:b/>
                <w:bCs/>
                <w:i/>
                <w:iCs/>
                <w:sz w:val="20"/>
                <w:szCs w:val="20"/>
              </w:rPr>
              <w:t> </w:t>
            </w:r>
          </w:p>
        </w:tc>
      </w:tr>
      <w:tr w:rsidR="008D5BFE" w:rsidRPr="008E63BB" w14:paraId="519B2601" w14:textId="77777777" w:rsidTr="00FE6E30">
        <w:trPr>
          <w:trHeight w:val="326"/>
        </w:trPr>
        <w:tc>
          <w:tcPr>
            <w:tcW w:w="487" w:type="dxa"/>
            <w:shd w:val="clear" w:color="auto" w:fill="auto"/>
            <w:vAlign w:val="center"/>
            <w:hideMark/>
          </w:tcPr>
          <w:p w14:paraId="519B25F7" w14:textId="77777777" w:rsidR="00C06909" w:rsidRPr="008E63BB" w:rsidRDefault="00C06909" w:rsidP="009A7903">
            <w:pPr>
              <w:jc w:val="center"/>
              <w:rPr>
                <w:rFonts w:eastAsia="Times New Roman"/>
                <w:sz w:val="20"/>
                <w:szCs w:val="20"/>
              </w:rPr>
            </w:pPr>
            <w:r w:rsidRPr="008E63BB">
              <w:rPr>
                <w:rFonts w:eastAsia="Times New Roman"/>
                <w:sz w:val="20"/>
                <w:szCs w:val="20"/>
              </w:rPr>
              <w:t>1</w:t>
            </w:r>
          </w:p>
        </w:tc>
        <w:tc>
          <w:tcPr>
            <w:tcW w:w="2589" w:type="dxa"/>
            <w:shd w:val="clear" w:color="auto" w:fill="auto"/>
            <w:vAlign w:val="center"/>
            <w:hideMark/>
          </w:tcPr>
          <w:p w14:paraId="519B25F8" w14:textId="77777777" w:rsidR="00C06909" w:rsidRPr="008E63BB" w:rsidRDefault="00C06909" w:rsidP="009A7903">
            <w:pPr>
              <w:jc w:val="left"/>
              <w:rPr>
                <w:rFonts w:eastAsia="Times New Roman"/>
                <w:sz w:val="20"/>
                <w:szCs w:val="20"/>
              </w:rPr>
            </w:pPr>
            <w:r w:rsidRPr="008E63BB">
              <w:rPr>
                <w:rFonts w:eastAsia="Times New Roman"/>
                <w:sz w:val="20"/>
                <w:szCs w:val="20"/>
              </w:rPr>
              <w:t>Đất an ninh, quốc phòng</w:t>
            </w:r>
          </w:p>
        </w:tc>
        <w:tc>
          <w:tcPr>
            <w:tcW w:w="1075" w:type="dxa"/>
            <w:shd w:val="clear" w:color="auto" w:fill="auto"/>
            <w:vAlign w:val="center"/>
            <w:hideMark/>
          </w:tcPr>
          <w:p w14:paraId="519B25F9" w14:textId="77777777" w:rsidR="00C06909" w:rsidRPr="008E63BB" w:rsidRDefault="00C06909" w:rsidP="009A7903">
            <w:pPr>
              <w:jc w:val="right"/>
              <w:rPr>
                <w:rFonts w:eastAsia="Times New Roman"/>
                <w:sz w:val="20"/>
                <w:szCs w:val="20"/>
              </w:rPr>
            </w:pPr>
            <w:r w:rsidRPr="008E63BB">
              <w:rPr>
                <w:rFonts w:eastAsia="Times New Roman"/>
                <w:sz w:val="20"/>
                <w:szCs w:val="20"/>
              </w:rPr>
              <w:t>53,05</w:t>
            </w:r>
          </w:p>
        </w:tc>
        <w:tc>
          <w:tcPr>
            <w:tcW w:w="810" w:type="dxa"/>
            <w:shd w:val="clear" w:color="auto" w:fill="auto"/>
            <w:vAlign w:val="center"/>
            <w:hideMark/>
          </w:tcPr>
          <w:p w14:paraId="519B25F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5F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5F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30,67</w:t>
            </w:r>
          </w:p>
        </w:tc>
        <w:tc>
          <w:tcPr>
            <w:tcW w:w="810" w:type="dxa"/>
            <w:shd w:val="clear" w:color="auto" w:fill="auto"/>
            <w:vAlign w:val="center"/>
            <w:hideMark/>
          </w:tcPr>
          <w:p w14:paraId="519B25F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5F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5F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22,38</w:t>
            </w:r>
          </w:p>
        </w:tc>
        <w:tc>
          <w:tcPr>
            <w:tcW w:w="811" w:type="dxa"/>
            <w:shd w:val="clear" w:color="auto" w:fill="auto"/>
            <w:vAlign w:val="center"/>
            <w:hideMark/>
          </w:tcPr>
          <w:p w14:paraId="519B260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60C" w14:textId="77777777" w:rsidTr="00FE6E30">
        <w:trPr>
          <w:trHeight w:val="377"/>
        </w:trPr>
        <w:tc>
          <w:tcPr>
            <w:tcW w:w="487" w:type="dxa"/>
            <w:shd w:val="clear" w:color="auto" w:fill="auto"/>
            <w:vAlign w:val="center"/>
            <w:hideMark/>
          </w:tcPr>
          <w:p w14:paraId="519B2602" w14:textId="77777777" w:rsidR="00C06909" w:rsidRPr="008E63BB" w:rsidRDefault="00C06909" w:rsidP="009A7903">
            <w:pPr>
              <w:jc w:val="center"/>
              <w:rPr>
                <w:rFonts w:eastAsia="Times New Roman"/>
                <w:sz w:val="20"/>
                <w:szCs w:val="20"/>
              </w:rPr>
            </w:pPr>
            <w:r w:rsidRPr="008E63BB">
              <w:rPr>
                <w:rFonts w:eastAsia="Times New Roman"/>
                <w:sz w:val="20"/>
                <w:szCs w:val="20"/>
              </w:rPr>
              <w:t>2</w:t>
            </w:r>
          </w:p>
        </w:tc>
        <w:tc>
          <w:tcPr>
            <w:tcW w:w="2589" w:type="dxa"/>
            <w:shd w:val="clear" w:color="auto" w:fill="auto"/>
            <w:vAlign w:val="center"/>
            <w:hideMark/>
          </w:tcPr>
          <w:p w14:paraId="519B2603" w14:textId="77777777" w:rsidR="00C06909" w:rsidRPr="008E63BB" w:rsidRDefault="00C06909" w:rsidP="009A7903">
            <w:pPr>
              <w:jc w:val="left"/>
              <w:rPr>
                <w:rFonts w:eastAsia="Times New Roman"/>
                <w:sz w:val="20"/>
                <w:szCs w:val="20"/>
              </w:rPr>
            </w:pPr>
            <w:r w:rsidRPr="008E63BB">
              <w:rPr>
                <w:rFonts w:eastAsia="Times New Roman"/>
                <w:sz w:val="20"/>
                <w:szCs w:val="20"/>
              </w:rPr>
              <w:t>Đất di tích, tôn giáo</w:t>
            </w:r>
          </w:p>
        </w:tc>
        <w:tc>
          <w:tcPr>
            <w:tcW w:w="1075" w:type="dxa"/>
            <w:shd w:val="clear" w:color="auto" w:fill="auto"/>
            <w:vAlign w:val="center"/>
            <w:hideMark/>
          </w:tcPr>
          <w:p w14:paraId="519B2604" w14:textId="77777777" w:rsidR="00C06909" w:rsidRPr="008E63BB" w:rsidRDefault="00C06909" w:rsidP="009A7903">
            <w:pPr>
              <w:jc w:val="right"/>
              <w:rPr>
                <w:rFonts w:eastAsia="Times New Roman"/>
                <w:sz w:val="20"/>
                <w:szCs w:val="20"/>
              </w:rPr>
            </w:pPr>
            <w:r w:rsidRPr="008E63BB">
              <w:rPr>
                <w:rFonts w:eastAsia="Times New Roman"/>
                <w:sz w:val="20"/>
                <w:szCs w:val="20"/>
              </w:rPr>
              <w:t>165,99</w:t>
            </w:r>
          </w:p>
        </w:tc>
        <w:tc>
          <w:tcPr>
            <w:tcW w:w="810" w:type="dxa"/>
            <w:shd w:val="clear" w:color="auto" w:fill="auto"/>
            <w:vAlign w:val="center"/>
            <w:hideMark/>
          </w:tcPr>
          <w:p w14:paraId="519B2605"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812" w:type="dxa"/>
            <w:shd w:val="clear" w:color="auto" w:fill="auto"/>
            <w:vAlign w:val="center"/>
            <w:hideMark/>
          </w:tcPr>
          <w:p w14:paraId="519B2606"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969" w:type="dxa"/>
            <w:shd w:val="clear" w:color="auto" w:fill="auto"/>
            <w:vAlign w:val="center"/>
            <w:hideMark/>
          </w:tcPr>
          <w:p w14:paraId="519B2607" w14:textId="77777777" w:rsidR="00C06909" w:rsidRPr="008E63BB" w:rsidRDefault="00C06909" w:rsidP="009A7903">
            <w:pPr>
              <w:jc w:val="right"/>
              <w:rPr>
                <w:rFonts w:eastAsia="Times New Roman"/>
                <w:sz w:val="20"/>
                <w:szCs w:val="20"/>
              </w:rPr>
            </w:pPr>
            <w:r w:rsidRPr="008E63BB">
              <w:rPr>
                <w:rFonts w:eastAsia="Times New Roman"/>
                <w:sz w:val="20"/>
                <w:szCs w:val="20"/>
              </w:rPr>
              <w:t>83,55</w:t>
            </w:r>
          </w:p>
        </w:tc>
        <w:tc>
          <w:tcPr>
            <w:tcW w:w="810" w:type="dxa"/>
            <w:shd w:val="clear" w:color="auto" w:fill="auto"/>
            <w:vAlign w:val="center"/>
            <w:hideMark/>
          </w:tcPr>
          <w:p w14:paraId="519B2608"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727" w:type="dxa"/>
            <w:shd w:val="clear" w:color="auto" w:fill="auto"/>
            <w:vAlign w:val="center"/>
            <w:hideMark/>
          </w:tcPr>
          <w:p w14:paraId="519B2609"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c>
          <w:tcPr>
            <w:tcW w:w="1075" w:type="dxa"/>
            <w:shd w:val="clear" w:color="auto" w:fill="auto"/>
            <w:vAlign w:val="center"/>
            <w:hideMark/>
          </w:tcPr>
          <w:p w14:paraId="519B260A" w14:textId="77777777" w:rsidR="00C06909" w:rsidRPr="008E63BB" w:rsidRDefault="00C06909" w:rsidP="009A7903">
            <w:pPr>
              <w:jc w:val="right"/>
              <w:rPr>
                <w:rFonts w:eastAsia="Times New Roman"/>
                <w:sz w:val="20"/>
                <w:szCs w:val="20"/>
              </w:rPr>
            </w:pPr>
            <w:r w:rsidRPr="008E63BB">
              <w:rPr>
                <w:rFonts w:eastAsia="Times New Roman"/>
                <w:sz w:val="20"/>
                <w:szCs w:val="20"/>
              </w:rPr>
              <w:t>82,44</w:t>
            </w:r>
          </w:p>
        </w:tc>
        <w:tc>
          <w:tcPr>
            <w:tcW w:w="811" w:type="dxa"/>
            <w:shd w:val="clear" w:color="auto" w:fill="auto"/>
            <w:vAlign w:val="center"/>
            <w:hideMark/>
          </w:tcPr>
          <w:p w14:paraId="519B260B" w14:textId="77777777" w:rsidR="00C06909" w:rsidRPr="008E63BB" w:rsidRDefault="00C06909" w:rsidP="009A7903">
            <w:pPr>
              <w:jc w:val="right"/>
              <w:rPr>
                <w:rFonts w:eastAsia="Times New Roman"/>
                <w:sz w:val="20"/>
                <w:szCs w:val="20"/>
              </w:rPr>
            </w:pPr>
            <w:r w:rsidRPr="008E63BB">
              <w:rPr>
                <w:rFonts w:eastAsia="Times New Roman"/>
                <w:sz w:val="20"/>
                <w:szCs w:val="20"/>
              </w:rPr>
              <w:t> </w:t>
            </w:r>
          </w:p>
        </w:tc>
      </w:tr>
      <w:tr w:rsidR="008D5BFE" w:rsidRPr="008E63BB" w14:paraId="519B2617" w14:textId="77777777" w:rsidTr="00FE6E30">
        <w:trPr>
          <w:trHeight w:val="619"/>
        </w:trPr>
        <w:tc>
          <w:tcPr>
            <w:tcW w:w="487" w:type="dxa"/>
            <w:shd w:val="clear" w:color="auto" w:fill="auto"/>
            <w:vAlign w:val="center"/>
            <w:hideMark/>
          </w:tcPr>
          <w:p w14:paraId="519B260D" w14:textId="77777777" w:rsidR="00C06909" w:rsidRPr="008E63BB" w:rsidRDefault="00C06909" w:rsidP="009A7903">
            <w:pPr>
              <w:jc w:val="center"/>
              <w:rPr>
                <w:rFonts w:eastAsia="Times New Roman"/>
                <w:sz w:val="20"/>
                <w:szCs w:val="20"/>
              </w:rPr>
            </w:pPr>
            <w:r w:rsidRPr="008E63BB">
              <w:rPr>
                <w:rFonts w:eastAsia="Times New Roman"/>
                <w:sz w:val="20"/>
                <w:szCs w:val="20"/>
              </w:rPr>
              <w:t>3</w:t>
            </w:r>
          </w:p>
        </w:tc>
        <w:tc>
          <w:tcPr>
            <w:tcW w:w="2589" w:type="dxa"/>
            <w:shd w:val="clear" w:color="auto" w:fill="auto"/>
            <w:vAlign w:val="center"/>
            <w:hideMark/>
          </w:tcPr>
          <w:p w14:paraId="519B260E" w14:textId="77777777" w:rsidR="00C06909" w:rsidRPr="008E63BB" w:rsidRDefault="00C06909" w:rsidP="009A7903">
            <w:pPr>
              <w:jc w:val="left"/>
              <w:rPr>
                <w:rFonts w:eastAsia="Times New Roman"/>
                <w:sz w:val="20"/>
                <w:szCs w:val="20"/>
              </w:rPr>
            </w:pPr>
            <w:r w:rsidRPr="008E63BB">
              <w:rPr>
                <w:rFonts w:eastAsia="Times New Roman"/>
                <w:sz w:val="20"/>
                <w:szCs w:val="20"/>
              </w:rPr>
              <w:t>Đất nghĩa trang, nghĩa địa, nhà tang lễ, nhà hỏa táng</w:t>
            </w:r>
          </w:p>
        </w:tc>
        <w:tc>
          <w:tcPr>
            <w:tcW w:w="1075" w:type="dxa"/>
            <w:shd w:val="clear" w:color="auto" w:fill="auto"/>
            <w:vAlign w:val="center"/>
            <w:hideMark/>
          </w:tcPr>
          <w:p w14:paraId="519B260F" w14:textId="77777777" w:rsidR="00C06909" w:rsidRPr="008E63BB" w:rsidRDefault="00C06909" w:rsidP="009A7903">
            <w:pPr>
              <w:jc w:val="right"/>
              <w:rPr>
                <w:rFonts w:eastAsia="Times New Roman"/>
                <w:sz w:val="20"/>
                <w:szCs w:val="20"/>
              </w:rPr>
            </w:pPr>
            <w:r w:rsidRPr="008E63BB">
              <w:rPr>
                <w:rFonts w:eastAsia="Times New Roman"/>
                <w:sz w:val="20"/>
                <w:szCs w:val="20"/>
              </w:rPr>
              <w:t>243,54</w:t>
            </w:r>
          </w:p>
        </w:tc>
        <w:tc>
          <w:tcPr>
            <w:tcW w:w="810" w:type="dxa"/>
            <w:shd w:val="clear" w:color="auto" w:fill="auto"/>
            <w:vAlign w:val="center"/>
            <w:hideMark/>
          </w:tcPr>
          <w:p w14:paraId="519B261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61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612"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40,37</w:t>
            </w:r>
          </w:p>
        </w:tc>
        <w:tc>
          <w:tcPr>
            <w:tcW w:w="810" w:type="dxa"/>
            <w:shd w:val="clear" w:color="auto" w:fill="auto"/>
            <w:vAlign w:val="center"/>
            <w:hideMark/>
          </w:tcPr>
          <w:p w14:paraId="519B2613"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614"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61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203,17</w:t>
            </w:r>
          </w:p>
        </w:tc>
        <w:tc>
          <w:tcPr>
            <w:tcW w:w="811" w:type="dxa"/>
            <w:shd w:val="clear" w:color="auto" w:fill="auto"/>
            <w:vAlign w:val="center"/>
            <w:hideMark/>
          </w:tcPr>
          <w:p w14:paraId="519B261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622" w14:textId="77777777" w:rsidTr="00FE6E30">
        <w:trPr>
          <w:trHeight w:val="360"/>
        </w:trPr>
        <w:tc>
          <w:tcPr>
            <w:tcW w:w="487" w:type="dxa"/>
            <w:shd w:val="clear" w:color="auto" w:fill="auto"/>
            <w:vAlign w:val="center"/>
            <w:hideMark/>
          </w:tcPr>
          <w:p w14:paraId="519B2618" w14:textId="77777777" w:rsidR="00C06909" w:rsidRPr="008E63BB" w:rsidRDefault="00FE6E30" w:rsidP="009A7903">
            <w:pPr>
              <w:jc w:val="center"/>
              <w:rPr>
                <w:rFonts w:eastAsia="Times New Roman"/>
                <w:sz w:val="20"/>
                <w:szCs w:val="20"/>
              </w:rPr>
            </w:pPr>
            <w:r w:rsidRPr="008E63BB">
              <w:rPr>
                <w:rFonts w:eastAsia="Times New Roman"/>
                <w:sz w:val="20"/>
                <w:szCs w:val="20"/>
              </w:rPr>
              <w:t>4</w:t>
            </w:r>
          </w:p>
        </w:tc>
        <w:tc>
          <w:tcPr>
            <w:tcW w:w="2589" w:type="dxa"/>
            <w:shd w:val="clear" w:color="auto" w:fill="auto"/>
            <w:vAlign w:val="center"/>
            <w:hideMark/>
          </w:tcPr>
          <w:p w14:paraId="519B2619" w14:textId="77777777" w:rsidR="00C06909" w:rsidRPr="008E63BB" w:rsidRDefault="00276AC0" w:rsidP="009A7903">
            <w:pPr>
              <w:jc w:val="left"/>
              <w:rPr>
                <w:rFonts w:eastAsia="Times New Roman"/>
                <w:sz w:val="20"/>
                <w:szCs w:val="20"/>
              </w:rPr>
            </w:pPr>
            <w:r w:rsidRPr="008E63BB">
              <w:rPr>
                <w:rFonts w:eastAsia="Times New Roman"/>
                <w:sz w:val="20"/>
                <w:szCs w:val="20"/>
              </w:rPr>
              <w:t>Đất nông nghiệp</w:t>
            </w:r>
          </w:p>
        </w:tc>
        <w:tc>
          <w:tcPr>
            <w:tcW w:w="1075" w:type="dxa"/>
            <w:shd w:val="clear" w:color="auto" w:fill="auto"/>
            <w:vAlign w:val="center"/>
            <w:hideMark/>
          </w:tcPr>
          <w:p w14:paraId="519B261A" w14:textId="77777777" w:rsidR="00C06909" w:rsidRPr="008E63BB" w:rsidRDefault="00C06909" w:rsidP="009A7903">
            <w:pPr>
              <w:jc w:val="right"/>
              <w:rPr>
                <w:rFonts w:eastAsia="Times New Roman"/>
                <w:sz w:val="20"/>
                <w:szCs w:val="20"/>
              </w:rPr>
            </w:pPr>
            <w:r w:rsidRPr="008E63BB">
              <w:rPr>
                <w:rFonts w:eastAsia="Times New Roman"/>
                <w:sz w:val="20"/>
                <w:szCs w:val="20"/>
              </w:rPr>
              <w:t>12.182,75</w:t>
            </w:r>
          </w:p>
        </w:tc>
        <w:tc>
          <w:tcPr>
            <w:tcW w:w="810" w:type="dxa"/>
            <w:shd w:val="clear" w:color="auto" w:fill="auto"/>
            <w:vAlign w:val="center"/>
            <w:hideMark/>
          </w:tcPr>
          <w:p w14:paraId="519B261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61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61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1.032,23</w:t>
            </w:r>
          </w:p>
        </w:tc>
        <w:tc>
          <w:tcPr>
            <w:tcW w:w="810" w:type="dxa"/>
            <w:shd w:val="clear" w:color="auto" w:fill="auto"/>
            <w:vAlign w:val="center"/>
            <w:hideMark/>
          </w:tcPr>
          <w:p w14:paraId="519B261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61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62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11.150,52</w:t>
            </w:r>
          </w:p>
        </w:tc>
        <w:tc>
          <w:tcPr>
            <w:tcW w:w="811" w:type="dxa"/>
            <w:shd w:val="clear" w:color="auto" w:fill="auto"/>
            <w:vAlign w:val="center"/>
            <w:hideMark/>
          </w:tcPr>
          <w:p w14:paraId="519B262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62D" w14:textId="77777777" w:rsidTr="00FE6E30">
        <w:trPr>
          <w:trHeight w:val="429"/>
        </w:trPr>
        <w:tc>
          <w:tcPr>
            <w:tcW w:w="487" w:type="dxa"/>
            <w:shd w:val="clear" w:color="auto" w:fill="auto"/>
            <w:vAlign w:val="center"/>
            <w:hideMark/>
          </w:tcPr>
          <w:p w14:paraId="519B2623" w14:textId="77777777" w:rsidR="00C06909" w:rsidRPr="008E63BB" w:rsidRDefault="00FE6E30" w:rsidP="009A7903">
            <w:pPr>
              <w:jc w:val="center"/>
              <w:rPr>
                <w:rFonts w:eastAsia="Times New Roman"/>
                <w:sz w:val="20"/>
                <w:szCs w:val="20"/>
              </w:rPr>
            </w:pPr>
            <w:r w:rsidRPr="008E63BB">
              <w:rPr>
                <w:rFonts w:eastAsia="Times New Roman"/>
                <w:sz w:val="20"/>
                <w:szCs w:val="20"/>
              </w:rPr>
              <w:t>5</w:t>
            </w:r>
          </w:p>
        </w:tc>
        <w:tc>
          <w:tcPr>
            <w:tcW w:w="2589" w:type="dxa"/>
            <w:shd w:val="clear" w:color="auto" w:fill="auto"/>
            <w:vAlign w:val="center"/>
            <w:hideMark/>
          </w:tcPr>
          <w:p w14:paraId="519B2624" w14:textId="77777777" w:rsidR="00C06909" w:rsidRPr="008E63BB" w:rsidRDefault="00C06909" w:rsidP="009A7903">
            <w:pPr>
              <w:jc w:val="left"/>
              <w:rPr>
                <w:rFonts w:eastAsia="Times New Roman"/>
                <w:sz w:val="20"/>
                <w:szCs w:val="20"/>
              </w:rPr>
            </w:pPr>
            <w:r w:rsidRPr="008E63BB">
              <w:rPr>
                <w:rFonts w:eastAsia="Times New Roman"/>
                <w:sz w:val="20"/>
                <w:szCs w:val="20"/>
              </w:rPr>
              <w:t>Đất khác</w:t>
            </w:r>
          </w:p>
        </w:tc>
        <w:tc>
          <w:tcPr>
            <w:tcW w:w="1075" w:type="dxa"/>
            <w:shd w:val="clear" w:color="auto" w:fill="auto"/>
            <w:vAlign w:val="center"/>
            <w:hideMark/>
          </w:tcPr>
          <w:p w14:paraId="519B2625" w14:textId="77777777" w:rsidR="00C06909" w:rsidRPr="008E63BB" w:rsidRDefault="00C06909" w:rsidP="009A7903">
            <w:pPr>
              <w:jc w:val="right"/>
              <w:rPr>
                <w:rFonts w:eastAsia="Times New Roman"/>
                <w:sz w:val="20"/>
                <w:szCs w:val="20"/>
              </w:rPr>
            </w:pPr>
            <w:r w:rsidRPr="008E63BB">
              <w:rPr>
                <w:rFonts w:eastAsia="Times New Roman"/>
                <w:sz w:val="20"/>
                <w:szCs w:val="20"/>
              </w:rPr>
              <w:t>85,45</w:t>
            </w:r>
          </w:p>
        </w:tc>
        <w:tc>
          <w:tcPr>
            <w:tcW w:w="810" w:type="dxa"/>
            <w:shd w:val="clear" w:color="auto" w:fill="auto"/>
            <w:vAlign w:val="center"/>
            <w:hideMark/>
          </w:tcPr>
          <w:p w14:paraId="519B262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62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628"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7,61</w:t>
            </w:r>
          </w:p>
        </w:tc>
        <w:tc>
          <w:tcPr>
            <w:tcW w:w="810" w:type="dxa"/>
            <w:shd w:val="clear" w:color="auto" w:fill="auto"/>
            <w:vAlign w:val="center"/>
            <w:hideMark/>
          </w:tcPr>
          <w:p w14:paraId="519B2629"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62A"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62B"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77,84</w:t>
            </w:r>
          </w:p>
        </w:tc>
        <w:tc>
          <w:tcPr>
            <w:tcW w:w="811" w:type="dxa"/>
            <w:shd w:val="clear" w:color="auto" w:fill="auto"/>
            <w:vAlign w:val="center"/>
            <w:hideMark/>
          </w:tcPr>
          <w:p w14:paraId="519B262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638" w14:textId="77777777" w:rsidTr="00FE6E30">
        <w:trPr>
          <w:trHeight w:val="377"/>
        </w:trPr>
        <w:tc>
          <w:tcPr>
            <w:tcW w:w="487" w:type="dxa"/>
            <w:shd w:val="clear" w:color="auto" w:fill="auto"/>
            <w:vAlign w:val="center"/>
            <w:hideMark/>
          </w:tcPr>
          <w:p w14:paraId="519B262E" w14:textId="77777777" w:rsidR="00C06909" w:rsidRPr="008E63BB" w:rsidRDefault="00FE6E30" w:rsidP="009A7903">
            <w:pPr>
              <w:jc w:val="center"/>
              <w:rPr>
                <w:rFonts w:eastAsia="Times New Roman"/>
                <w:sz w:val="20"/>
                <w:szCs w:val="20"/>
              </w:rPr>
            </w:pPr>
            <w:r w:rsidRPr="008E63BB">
              <w:rPr>
                <w:rFonts w:eastAsia="Times New Roman"/>
                <w:sz w:val="20"/>
                <w:szCs w:val="20"/>
              </w:rPr>
              <w:t>6</w:t>
            </w:r>
          </w:p>
        </w:tc>
        <w:tc>
          <w:tcPr>
            <w:tcW w:w="2589" w:type="dxa"/>
            <w:shd w:val="clear" w:color="auto" w:fill="auto"/>
            <w:vAlign w:val="center"/>
            <w:hideMark/>
          </w:tcPr>
          <w:p w14:paraId="519B262F" w14:textId="77777777" w:rsidR="00C06909" w:rsidRPr="008E63BB" w:rsidRDefault="00C06909" w:rsidP="009A7903">
            <w:pPr>
              <w:jc w:val="left"/>
              <w:rPr>
                <w:rFonts w:eastAsia="Times New Roman"/>
                <w:sz w:val="20"/>
                <w:szCs w:val="20"/>
              </w:rPr>
            </w:pPr>
            <w:r w:rsidRPr="008E63BB">
              <w:rPr>
                <w:rFonts w:eastAsia="Times New Roman"/>
                <w:sz w:val="20"/>
                <w:szCs w:val="20"/>
              </w:rPr>
              <w:t>Đất sông suối, mặt nước chuyên dùng</w:t>
            </w:r>
          </w:p>
        </w:tc>
        <w:tc>
          <w:tcPr>
            <w:tcW w:w="1075" w:type="dxa"/>
            <w:shd w:val="clear" w:color="auto" w:fill="auto"/>
            <w:vAlign w:val="center"/>
            <w:hideMark/>
          </w:tcPr>
          <w:p w14:paraId="519B2630" w14:textId="77777777" w:rsidR="00C06909" w:rsidRPr="008E63BB" w:rsidRDefault="00C06909" w:rsidP="009A7903">
            <w:pPr>
              <w:jc w:val="right"/>
              <w:rPr>
                <w:rFonts w:eastAsia="Times New Roman"/>
                <w:sz w:val="20"/>
                <w:szCs w:val="20"/>
              </w:rPr>
            </w:pPr>
            <w:r w:rsidRPr="008E63BB">
              <w:rPr>
                <w:rFonts w:eastAsia="Times New Roman"/>
                <w:sz w:val="20"/>
                <w:szCs w:val="20"/>
              </w:rPr>
              <w:t>939,36</w:t>
            </w:r>
          </w:p>
        </w:tc>
        <w:tc>
          <w:tcPr>
            <w:tcW w:w="810" w:type="dxa"/>
            <w:shd w:val="clear" w:color="auto" w:fill="auto"/>
            <w:vAlign w:val="center"/>
            <w:hideMark/>
          </w:tcPr>
          <w:p w14:paraId="519B263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632"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633"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97,18</w:t>
            </w:r>
          </w:p>
        </w:tc>
        <w:tc>
          <w:tcPr>
            <w:tcW w:w="810" w:type="dxa"/>
            <w:shd w:val="clear" w:color="auto" w:fill="auto"/>
            <w:vAlign w:val="center"/>
            <w:hideMark/>
          </w:tcPr>
          <w:p w14:paraId="519B2634"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635"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636"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842,18</w:t>
            </w:r>
          </w:p>
        </w:tc>
        <w:tc>
          <w:tcPr>
            <w:tcW w:w="811" w:type="dxa"/>
            <w:shd w:val="clear" w:color="auto" w:fill="auto"/>
            <w:vAlign w:val="center"/>
            <w:hideMark/>
          </w:tcPr>
          <w:p w14:paraId="519B2637"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r w:rsidR="008D5BFE" w:rsidRPr="008E63BB" w14:paraId="519B2643" w14:textId="77777777" w:rsidTr="00FE6E30">
        <w:trPr>
          <w:trHeight w:val="412"/>
        </w:trPr>
        <w:tc>
          <w:tcPr>
            <w:tcW w:w="487" w:type="dxa"/>
            <w:shd w:val="clear" w:color="auto" w:fill="auto"/>
            <w:vAlign w:val="center"/>
            <w:hideMark/>
          </w:tcPr>
          <w:p w14:paraId="519B2639" w14:textId="77777777" w:rsidR="00C06909" w:rsidRPr="008E63BB" w:rsidRDefault="00FE6E30" w:rsidP="009A7903">
            <w:pPr>
              <w:jc w:val="center"/>
              <w:rPr>
                <w:rFonts w:eastAsia="Times New Roman"/>
                <w:sz w:val="20"/>
                <w:szCs w:val="20"/>
              </w:rPr>
            </w:pPr>
            <w:r w:rsidRPr="008E63BB">
              <w:rPr>
                <w:rFonts w:eastAsia="Times New Roman"/>
                <w:sz w:val="20"/>
                <w:szCs w:val="20"/>
              </w:rPr>
              <w:t>7</w:t>
            </w:r>
          </w:p>
        </w:tc>
        <w:tc>
          <w:tcPr>
            <w:tcW w:w="2589" w:type="dxa"/>
            <w:shd w:val="clear" w:color="auto" w:fill="auto"/>
            <w:vAlign w:val="center"/>
            <w:hideMark/>
          </w:tcPr>
          <w:p w14:paraId="519B263A" w14:textId="77777777" w:rsidR="00C06909" w:rsidRPr="008E63BB" w:rsidRDefault="00C06909" w:rsidP="009A7903">
            <w:pPr>
              <w:jc w:val="left"/>
              <w:rPr>
                <w:rFonts w:eastAsia="Times New Roman"/>
                <w:sz w:val="20"/>
                <w:szCs w:val="20"/>
              </w:rPr>
            </w:pPr>
            <w:r w:rsidRPr="008E63BB">
              <w:rPr>
                <w:rFonts w:eastAsia="Times New Roman"/>
                <w:sz w:val="20"/>
                <w:szCs w:val="20"/>
              </w:rPr>
              <w:t>Đất chưa sử dụng (Đất bằng chưa sử dụng)</w:t>
            </w:r>
          </w:p>
        </w:tc>
        <w:tc>
          <w:tcPr>
            <w:tcW w:w="1075" w:type="dxa"/>
            <w:shd w:val="clear" w:color="auto" w:fill="auto"/>
            <w:vAlign w:val="center"/>
            <w:hideMark/>
          </w:tcPr>
          <w:p w14:paraId="519B263B" w14:textId="77777777" w:rsidR="00C06909" w:rsidRPr="008E63BB" w:rsidRDefault="00C06909" w:rsidP="009A7903">
            <w:pPr>
              <w:jc w:val="right"/>
              <w:rPr>
                <w:rFonts w:eastAsia="Times New Roman"/>
                <w:sz w:val="20"/>
                <w:szCs w:val="20"/>
              </w:rPr>
            </w:pPr>
            <w:r w:rsidRPr="008E63BB">
              <w:rPr>
                <w:rFonts w:eastAsia="Times New Roman"/>
                <w:sz w:val="20"/>
                <w:szCs w:val="20"/>
              </w:rPr>
              <w:t>39,33</w:t>
            </w:r>
          </w:p>
        </w:tc>
        <w:tc>
          <w:tcPr>
            <w:tcW w:w="810" w:type="dxa"/>
            <w:shd w:val="clear" w:color="auto" w:fill="auto"/>
            <w:vAlign w:val="center"/>
            <w:hideMark/>
          </w:tcPr>
          <w:p w14:paraId="519B263C"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812" w:type="dxa"/>
            <w:shd w:val="clear" w:color="auto" w:fill="auto"/>
            <w:vAlign w:val="center"/>
            <w:hideMark/>
          </w:tcPr>
          <w:p w14:paraId="519B263D"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969" w:type="dxa"/>
            <w:shd w:val="clear" w:color="auto" w:fill="auto"/>
            <w:vAlign w:val="center"/>
            <w:hideMark/>
          </w:tcPr>
          <w:p w14:paraId="519B263E"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5,84</w:t>
            </w:r>
          </w:p>
        </w:tc>
        <w:tc>
          <w:tcPr>
            <w:tcW w:w="810" w:type="dxa"/>
            <w:shd w:val="clear" w:color="auto" w:fill="auto"/>
            <w:vAlign w:val="center"/>
            <w:hideMark/>
          </w:tcPr>
          <w:p w14:paraId="519B263F"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727" w:type="dxa"/>
            <w:shd w:val="clear" w:color="auto" w:fill="auto"/>
            <w:vAlign w:val="center"/>
            <w:hideMark/>
          </w:tcPr>
          <w:p w14:paraId="519B2640"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c>
          <w:tcPr>
            <w:tcW w:w="1075" w:type="dxa"/>
            <w:shd w:val="clear" w:color="auto" w:fill="auto"/>
            <w:vAlign w:val="center"/>
            <w:hideMark/>
          </w:tcPr>
          <w:p w14:paraId="519B2641"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33,49</w:t>
            </w:r>
          </w:p>
        </w:tc>
        <w:tc>
          <w:tcPr>
            <w:tcW w:w="811" w:type="dxa"/>
            <w:shd w:val="clear" w:color="auto" w:fill="auto"/>
            <w:vAlign w:val="center"/>
            <w:hideMark/>
          </w:tcPr>
          <w:p w14:paraId="519B2642" w14:textId="77777777" w:rsidR="00C06909" w:rsidRPr="008E63BB" w:rsidRDefault="00C06909" w:rsidP="009A7903">
            <w:pPr>
              <w:jc w:val="right"/>
              <w:rPr>
                <w:rFonts w:eastAsia="Times New Roman"/>
                <w:i/>
                <w:iCs/>
                <w:sz w:val="20"/>
                <w:szCs w:val="20"/>
              </w:rPr>
            </w:pPr>
            <w:r w:rsidRPr="008E63BB">
              <w:rPr>
                <w:rFonts w:eastAsia="Times New Roman"/>
                <w:i/>
                <w:iCs/>
                <w:sz w:val="20"/>
                <w:szCs w:val="20"/>
              </w:rPr>
              <w:t> </w:t>
            </w:r>
          </w:p>
        </w:tc>
      </w:tr>
    </w:tbl>
    <w:p w14:paraId="519B2644" w14:textId="77777777" w:rsidR="007B33BE" w:rsidRPr="008E63BB" w:rsidRDefault="00015CDB" w:rsidP="0065184D">
      <w:pPr>
        <w:jc w:val="left"/>
        <w:rPr>
          <w:i/>
          <w:szCs w:val="26"/>
        </w:rPr>
      </w:pPr>
      <w:r w:rsidRPr="008E63BB">
        <w:rPr>
          <w:i/>
          <w:szCs w:val="26"/>
        </w:rPr>
        <w:t>Nguồn: Tổng hợp số liệu thống kê, kiểm kê đất đến 31/12/2018 – Sở Tài Nguyên &amp; Môi trường</w:t>
      </w:r>
    </w:p>
    <w:p w14:paraId="519B2645" w14:textId="77777777" w:rsidR="006E5817" w:rsidRPr="008E63BB" w:rsidRDefault="006E5817">
      <w:pPr>
        <w:jc w:val="left"/>
        <w:rPr>
          <w:rFonts w:eastAsia="Times New Roman"/>
          <w:b/>
          <w:bCs/>
          <w:iCs/>
          <w:szCs w:val="26"/>
          <w:lang w:val="vi-VN"/>
        </w:rPr>
      </w:pPr>
      <w:bookmarkStart w:id="158" w:name="_Toc330799137"/>
      <w:bookmarkStart w:id="159" w:name="_Toc341519023"/>
      <w:bookmarkStart w:id="160" w:name="_Toc341519124"/>
      <w:bookmarkStart w:id="161" w:name="_Toc344928436"/>
      <w:bookmarkStart w:id="162" w:name="_Toc345538344"/>
      <w:r w:rsidRPr="008E63BB">
        <w:rPr>
          <w:lang w:val="vi-VN"/>
        </w:rPr>
        <w:br w:type="page"/>
      </w:r>
    </w:p>
    <w:p w14:paraId="519B2646" w14:textId="77777777" w:rsidR="005225E0" w:rsidRPr="008E63BB" w:rsidRDefault="00A71373" w:rsidP="0065184D">
      <w:pPr>
        <w:pStyle w:val="Heading2"/>
        <w:spacing w:before="0" w:after="0"/>
        <w:rPr>
          <w:lang w:val="vi-VN"/>
        </w:rPr>
      </w:pPr>
      <w:bookmarkStart w:id="163" w:name="_Toc47524657"/>
      <w:r w:rsidRPr="008E63BB">
        <w:rPr>
          <w:lang w:val="vi-VN"/>
        </w:rPr>
        <w:lastRenderedPageBreak/>
        <w:t>2.5</w:t>
      </w:r>
      <w:r w:rsidR="0048543D" w:rsidRPr="008E63BB">
        <w:rPr>
          <w:lang w:val="vi-VN"/>
        </w:rPr>
        <w:t xml:space="preserve">. Hiện trạng </w:t>
      </w:r>
      <w:bookmarkEnd w:id="158"/>
      <w:bookmarkEnd w:id="159"/>
      <w:bookmarkEnd w:id="160"/>
      <w:bookmarkEnd w:id="161"/>
      <w:bookmarkEnd w:id="162"/>
      <w:r w:rsidR="00556828" w:rsidRPr="008E63BB">
        <w:rPr>
          <w:lang w:val="vi-VN"/>
        </w:rPr>
        <w:t>kiến trúc cảnh quan đô thị</w:t>
      </w:r>
      <w:bookmarkEnd w:id="163"/>
    </w:p>
    <w:p w14:paraId="519B2647" w14:textId="77777777" w:rsidR="00556828" w:rsidRPr="008E63BB" w:rsidRDefault="00267A58" w:rsidP="0065184D">
      <w:pPr>
        <w:pStyle w:val="Heading3"/>
      </w:pPr>
      <w:bookmarkStart w:id="164" w:name="_Toc21954827"/>
      <w:bookmarkStart w:id="165" w:name="_Toc21955326"/>
      <w:bookmarkStart w:id="166" w:name="_Toc24361899"/>
      <w:bookmarkStart w:id="167" w:name="_Toc47524658"/>
      <w:r w:rsidRPr="008E63BB">
        <w:t>2.5.1</w:t>
      </w:r>
      <w:r w:rsidR="00F860F0" w:rsidRPr="008E63BB">
        <w:t xml:space="preserve">. </w:t>
      </w:r>
      <w:r w:rsidRPr="008E63BB">
        <w:t>Khu vực dân cư</w:t>
      </w:r>
      <w:bookmarkEnd w:id="164"/>
      <w:bookmarkEnd w:id="165"/>
      <w:bookmarkEnd w:id="166"/>
      <w:bookmarkEnd w:id="167"/>
    </w:p>
    <w:p w14:paraId="519B2648" w14:textId="77777777" w:rsidR="002B7BAC" w:rsidRPr="008E63BB" w:rsidRDefault="009F0F61" w:rsidP="003D057A">
      <w:pPr>
        <w:spacing w:before="80"/>
        <w:rPr>
          <w:i/>
          <w:szCs w:val="26"/>
          <w:lang w:val="it-IT"/>
        </w:rPr>
      </w:pPr>
      <w:r w:rsidRPr="008E63BB">
        <w:rPr>
          <w:i/>
          <w:szCs w:val="26"/>
          <w:lang w:val="it-IT"/>
        </w:rPr>
        <w:t>a.</w:t>
      </w:r>
      <w:r w:rsidR="002B7BAC" w:rsidRPr="008E63BB">
        <w:rPr>
          <w:i/>
          <w:szCs w:val="26"/>
          <w:lang w:val="it-IT"/>
        </w:rPr>
        <w:t xml:space="preserve"> K</w:t>
      </w:r>
      <w:r w:rsidR="00556828" w:rsidRPr="008E63BB">
        <w:rPr>
          <w:i/>
          <w:szCs w:val="26"/>
          <w:lang w:val="it-IT"/>
        </w:rPr>
        <w:t>hu vực thành phố Nam Định</w:t>
      </w:r>
    </w:p>
    <w:p w14:paraId="519B2649" w14:textId="77777777" w:rsidR="00267A58" w:rsidRPr="008E63BB" w:rsidRDefault="00F860F0" w:rsidP="003D057A">
      <w:pPr>
        <w:spacing w:before="80"/>
        <w:ind w:firstLine="720"/>
        <w:rPr>
          <w:spacing w:val="-4"/>
          <w:szCs w:val="26"/>
          <w:lang w:val="it-IT"/>
        </w:rPr>
      </w:pPr>
      <w:r w:rsidRPr="008E63BB">
        <w:rPr>
          <w:spacing w:val="-4"/>
          <w:szCs w:val="26"/>
          <w:lang w:val="it-IT"/>
        </w:rPr>
        <w:t>Các khu dân cư nội thành, các khu ở trong đô thị được chính quyền thành phố hết sức quan tâm, rất nhiều dự án chỉnh trang đô thị được lập và đưa vào thực hiện đã và đang được triển khai.</w:t>
      </w:r>
    </w:p>
    <w:p w14:paraId="519B264A" w14:textId="77777777" w:rsidR="00422328" w:rsidRPr="008E63BB" w:rsidRDefault="00422328" w:rsidP="003D057A">
      <w:pPr>
        <w:spacing w:before="80"/>
        <w:ind w:firstLine="720"/>
        <w:rPr>
          <w:spacing w:val="-4"/>
          <w:szCs w:val="26"/>
          <w:lang w:val="it-IT"/>
        </w:rPr>
      </w:pPr>
      <w:r w:rsidRPr="008E63BB">
        <w:rPr>
          <w:spacing w:val="-4"/>
          <w:szCs w:val="26"/>
          <w:lang w:val="it-IT"/>
        </w:rPr>
        <w:t xml:space="preserve">* </w:t>
      </w:r>
      <w:r w:rsidR="00267A58" w:rsidRPr="008E63BB">
        <w:rPr>
          <w:spacing w:val="-4"/>
          <w:szCs w:val="26"/>
          <w:lang w:val="it-IT"/>
        </w:rPr>
        <w:t>Khu vực phố cổ:</w:t>
      </w:r>
    </w:p>
    <w:p w14:paraId="519B264B" w14:textId="77777777" w:rsidR="00422328" w:rsidRPr="008E63BB" w:rsidRDefault="005C2389" w:rsidP="006E5817">
      <w:pPr>
        <w:spacing w:before="40"/>
        <w:ind w:firstLine="720"/>
        <w:rPr>
          <w:spacing w:val="-4"/>
          <w:szCs w:val="26"/>
          <w:lang w:val="it-IT"/>
        </w:rPr>
      </w:pPr>
      <w:r w:rsidRPr="008E63BB">
        <w:rPr>
          <w:spacing w:val="-4"/>
          <w:szCs w:val="26"/>
          <w:lang w:val="it-IT"/>
        </w:rPr>
        <w:t xml:space="preserve">Khu phố cổ nằm ven bờ sông Đào mang dáng vẻ riêng gắn liền với hơn 750 năm phát triển của TP </w:t>
      </w:r>
      <w:hyperlink r:id="rId29" w:tooltip="Nam Định" w:history="1">
        <w:r w:rsidRPr="008E63BB">
          <w:rPr>
            <w:spacing w:val="-4"/>
            <w:szCs w:val="26"/>
            <w:lang w:val="it-IT"/>
          </w:rPr>
          <w:t>Nam Định</w:t>
        </w:r>
      </w:hyperlink>
      <w:r w:rsidRPr="008E63BB">
        <w:rPr>
          <w:spacing w:val="-4"/>
          <w:szCs w:val="26"/>
          <w:lang w:val="it-IT"/>
        </w:rPr>
        <w:t>. Không gian khu phố cổ tuy không còn gắn với các nghề truyền thống như xưa nhưng vẫn còn phần nào giữ được dáng vẻ cổ kính, không gian ấm cúng, thân thiện. Mặt cắt các tuyến đường giao thông nhỏ, cần có những biện pháp tổ chức riêng – phù hợp về giao thông đô thị. Các công trình cổ nói chung không còn nhiều, đa số đã bị thay thế hoặc chen lấn bởi các công trình xây dựng mới</w:t>
      </w:r>
      <w:r w:rsidR="00BE1124" w:rsidRPr="008E63BB">
        <w:rPr>
          <w:spacing w:val="-4"/>
          <w:szCs w:val="26"/>
          <w:lang w:val="it-IT"/>
        </w:rPr>
        <w:t>.</w:t>
      </w:r>
    </w:p>
    <w:p w14:paraId="519B264C" w14:textId="77777777" w:rsidR="00BE1124" w:rsidRPr="008E63BB" w:rsidRDefault="00422328" w:rsidP="006E5817">
      <w:pPr>
        <w:spacing w:before="40"/>
        <w:ind w:firstLine="720"/>
        <w:rPr>
          <w:spacing w:val="-4"/>
          <w:szCs w:val="26"/>
          <w:lang w:val="it-IT"/>
        </w:rPr>
      </w:pPr>
      <w:r w:rsidRPr="008E63BB">
        <w:rPr>
          <w:spacing w:val="-4"/>
          <w:szCs w:val="26"/>
          <w:lang w:val="it-IT"/>
        </w:rPr>
        <w:t xml:space="preserve">* Khu vực phố Pháp </w:t>
      </w:r>
    </w:p>
    <w:p w14:paraId="519B264D" w14:textId="77777777" w:rsidR="00BE1124" w:rsidRPr="008E63BB" w:rsidRDefault="00BE1124" w:rsidP="006E5817">
      <w:pPr>
        <w:spacing w:before="40"/>
        <w:ind w:firstLine="720"/>
        <w:rPr>
          <w:spacing w:val="-4"/>
          <w:szCs w:val="26"/>
          <w:lang w:val="it-IT"/>
        </w:rPr>
      </w:pPr>
      <w:r w:rsidRPr="008E63BB">
        <w:rPr>
          <w:spacing w:val="-4"/>
          <w:szCs w:val="26"/>
          <w:lang w:val="it-IT"/>
        </w:rPr>
        <w:t>Các khu phố tương đối khang trang, bề rộng đủ để đáp ứng khả năng giao lưu mà không quá rộng đến mức phá vỡ cảnh quan đô thị, là nơi chứa đựng các chức năng chính của thành phố (hành chính, tôn giáo, thương mại, văn hóa…) với mật độ đường khá cao</w:t>
      </w:r>
      <w:r w:rsidR="005C2389" w:rsidRPr="008E63BB">
        <w:rPr>
          <w:spacing w:val="-4"/>
          <w:szCs w:val="26"/>
          <w:lang w:val="it-IT"/>
        </w:rPr>
        <w:t>.</w:t>
      </w:r>
    </w:p>
    <w:p w14:paraId="519B264E" w14:textId="77777777" w:rsidR="005C2389" w:rsidRPr="008E63BB" w:rsidRDefault="005C2389" w:rsidP="006E5817">
      <w:pPr>
        <w:spacing w:before="40"/>
        <w:ind w:firstLine="720"/>
        <w:rPr>
          <w:spacing w:val="-4"/>
          <w:szCs w:val="26"/>
          <w:lang w:val="it-IT"/>
        </w:rPr>
      </w:pPr>
      <w:r w:rsidRPr="008E63BB">
        <w:rPr>
          <w:spacing w:val="-4"/>
          <w:szCs w:val="26"/>
          <w:lang w:val="it-IT"/>
        </w:rPr>
        <w:t>Khu đô thị dệt may Nam Định đã được đầu tư xong giai đoạn 1 tạo nên một diện mạo mới cho thành phố với không gian đô thị sầm uất, kiến trúc thấp tầng gắn với không gian công cộng, cây xanh</w:t>
      </w:r>
      <w:r w:rsidR="00C471B6" w:rsidRPr="008E63BB">
        <w:rPr>
          <w:spacing w:val="-4"/>
          <w:szCs w:val="26"/>
          <w:lang w:val="it-IT"/>
        </w:rPr>
        <w:t>tạo nên hình ảnh mới mẻ hấp dẫn trong khu trung tâm hiện hữu</w:t>
      </w:r>
      <w:r w:rsidRPr="008E63BB">
        <w:rPr>
          <w:spacing w:val="-4"/>
          <w:szCs w:val="26"/>
          <w:lang w:val="it-IT"/>
        </w:rPr>
        <w:t>.</w:t>
      </w:r>
    </w:p>
    <w:p w14:paraId="519B264F" w14:textId="77777777" w:rsidR="001C7A8A" w:rsidRPr="008E63BB" w:rsidRDefault="00BE1124" w:rsidP="006E5817">
      <w:pPr>
        <w:spacing w:before="40"/>
        <w:ind w:firstLine="720"/>
        <w:rPr>
          <w:spacing w:val="-4"/>
          <w:szCs w:val="26"/>
          <w:lang w:val="it-IT"/>
        </w:rPr>
      </w:pPr>
      <w:r w:rsidRPr="008E63BB">
        <w:rPr>
          <w:spacing w:val="-4"/>
          <w:szCs w:val="26"/>
          <w:lang w:val="it-IT"/>
        </w:rPr>
        <w:t>* Các khu dân cư hiện trạng cải tạo - K</w:t>
      </w:r>
      <w:r w:rsidR="00422328" w:rsidRPr="008E63BB">
        <w:rPr>
          <w:spacing w:val="-4"/>
          <w:szCs w:val="26"/>
          <w:lang w:val="it-IT"/>
        </w:rPr>
        <w:t>hu đô thị mới</w:t>
      </w:r>
      <w:r w:rsidRPr="008E63BB">
        <w:rPr>
          <w:spacing w:val="-4"/>
          <w:szCs w:val="26"/>
          <w:lang w:val="it-IT"/>
        </w:rPr>
        <w:t>:</w:t>
      </w:r>
    </w:p>
    <w:p w14:paraId="519B2650" w14:textId="77777777" w:rsidR="00BE1124" w:rsidRPr="008E63BB" w:rsidRDefault="00BE1124" w:rsidP="006E5817">
      <w:pPr>
        <w:spacing w:before="40"/>
        <w:ind w:firstLine="720"/>
        <w:rPr>
          <w:spacing w:val="-4"/>
          <w:szCs w:val="26"/>
          <w:lang w:val="it-IT"/>
        </w:rPr>
      </w:pPr>
      <w:r w:rsidRPr="008E63BB">
        <w:rPr>
          <w:spacing w:val="-4"/>
          <w:szCs w:val="26"/>
          <w:lang w:val="it-IT"/>
        </w:rPr>
        <w:t>V</w:t>
      </w:r>
      <w:r w:rsidR="00F860F0" w:rsidRPr="008E63BB">
        <w:rPr>
          <w:spacing w:val="-4"/>
          <w:szCs w:val="26"/>
          <w:lang w:val="it-IT"/>
        </w:rPr>
        <w:t>ới sự phát triển kinh tế xã hội, thành phố cũng đã thu hút khá nhiều các dự án đầu tư khu đô thị mới trên địa bàn. Tuy nhiên tỷ lệ lấp đầy các khu đô thị mới còn chưa cao, việc thu hút người dân vào các khu đô thị mới còn khó khăn.</w:t>
      </w:r>
      <w:r w:rsidR="002B7BAC" w:rsidRPr="008E63BB">
        <w:rPr>
          <w:spacing w:val="-4"/>
          <w:szCs w:val="26"/>
          <w:lang w:val="it-IT"/>
        </w:rPr>
        <w:t>V</w:t>
      </w:r>
      <w:r w:rsidR="00F860F0" w:rsidRPr="008E63BB">
        <w:rPr>
          <w:spacing w:val="-4"/>
          <w:szCs w:val="26"/>
          <w:lang w:val="it-IT"/>
        </w:rPr>
        <w:t>iệc thực hiện cải tạo, nâng cấp bổ sung hạ tầng kỹ thuật, hạ tầng xã hội các khu dân cư cũ trong khu trung tâm còn gặp nhiều khó khăn, chưa hoàn thiện được theo định hướng của QHC 2011.</w:t>
      </w:r>
    </w:p>
    <w:p w14:paraId="519B2651" w14:textId="77777777" w:rsidR="00F860F0" w:rsidRPr="008E63BB" w:rsidRDefault="001C7A8A" w:rsidP="006E5817">
      <w:pPr>
        <w:spacing w:before="40"/>
        <w:ind w:firstLine="720"/>
        <w:rPr>
          <w:spacing w:val="-4"/>
          <w:szCs w:val="26"/>
          <w:lang w:val="it-IT"/>
        </w:rPr>
      </w:pPr>
      <w:r w:rsidRPr="008E63BB">
        <w:rPr>
          <w:spacing w:val="-4"/>
          <w:szCs w:val="26"/>
          <w:lang w:val="it-IT"/>
        </w:rPr>
        <w:t>Hình thái kiến trúc khu dân cư nội thành chủ yếu theo dạng nhà lô phố - nhà ở kết hợp kinh doanh (shophouse). Nam Định Tower là Tổ hợp thương mại kết hợp khu căn hộ cao cấp lần đầu tiên có mặt tại Nam Định</w:t>
      </w:r>
      <w:r w:rsidR="00267A58" w:rsidRPr="008E63BB">
        <w:rPr>
          <w:spacing w:val="-4"/>
          <w:szCs w:val="26"/>
          <w:lang w:val="it-IT"/>
        </w:rPr>
        <w:t>, tuy nhiên hình thái nhà ở chung cư cao tầng chưa thực sự thu hút người dân.</w:t>
      </w:r>
    </w:p>
    <w:p w14:paraId="519B2652" w14:textId="77777777" w:rsidR="00422328" w:rsidRPr="008E63BB" w:rsidRDefault="00422328" w:rsidP="006E5817">
      <w:pPr>
        <w:spacing w:before="40"/>
        <w:ind w:firstLine="720"/>
        <w:rPr>
          <w:spacing w:val="-4"/>
          <w:szCs w:val="26"/>
          <w:lang w:val="vi-VN"/>
        </w:rPr>
      </w:pPr>
      <w:r w:rsidRPr="008E63BB">
        <w:rPr>
          <w:spacing w:val="-4"/>
          <w:szCs w:val="26"/>
          <w:lang w:val="it-IT"/>
        </w:rPr>
        <w:t>* Khu vực ngoại thành:</w:t>
      </w:r>
    </w:p>
    <w:p w14:paraId="519B2653" w14:textId="77777777" w:rsidR="00F860F0" w:rsidRPr="008E63BB" w:rsidRDefault="00F860F0" w:rsidP="006E5817">
      <w:pPr>
        <w:pStyle w:val="ListParagraph"/>
        <w:spacing w:before="40" w:after="0"/>
        <w:ind w:left="0"/>
        <w:rPr>
          <w:rFonts w:eastAsia="Calibri"/>
          <w:spacing w:val="-4"/>
          <w:sz w:val="26"/>
          <w:szCs w:val="26"/>
          <w:lang w:val="it-IT"/>
        </w:rPr>
      </w:pPr>
      <w:r w:rsidRPr="008E63BB">
        <w:rPr>
          <w:rFonts w:eastAsia="Calibri"/>
          <w:spacing w:val="-4"/>
          <w:sz w:val="26"/>
          <w:szCs w:val="26"/>
          <w:lang w:val="it-IT"/>
        </w:rPr>
        <w:tab/>
      </w:r>
      <w:r w:rsidR="00422328" w:rsidRPr="008E63BB">
        <w:rPr>
          <w:rFonts w:eastAsia="Calibri"/>
          <w:spacing w:val="-4"/>
          <w:sz w:val="26"/>
          <w:szCs w:val="26"/>
          <w:lang w:val="it-IT"/>
        </w:rPr>
        <w:t>Các xã ngoại thị, đặc biệt là k</w:t>
      </w:r>
      <w:r w:rsidRPr="008E63BB">
        <w:rPr>
          <w:rFonts w:eastAsia="Calibri"/>
          <w:spacing w:val="-4"/>
          <w:sz w:val="26"/>
          <w:szCs w:val="26"/>
          <w:lang w:val="it-IT"/>
        </w:rPr>
        <w:t>hu vực phía Nam sông Đào vẫn duy trì các khu dân cư làng xóm cũ, chưa có các dự án cải tạo nâng cấp môi trường sống các khu dân cư để hình thành đô thị sinh sinh thái theo QHC 2011.</w:t>
      </w:r>
    </w:p>
    <w:tbl>
      <w:tblPr>
        <w:tblW w:w="0" w:type="auto"/>
        <w:tblLook w:val="04A0" w:firstRow="1" w:lastRow="0" w:firstColumn="1" w:lastColumn="0" w:noHBand="0" w:noVBand="1"/>
      </w:tblPr>
      <w:tblGrid>
        <w:gridCol w:w="4793"/>
        <w:gridCol w:w="4705"/>
      </w:tblGrid>
      <w:tr w:rsidR="008D5BFE" w:rsidRPr="008E63BB" w14:paraId="519B2656" w14:textId="77777777" w:rsidTr="001C7A8A">
        <w:tc>
          <w:tcPr>
            <w:tcW w:w="4638" w:type="dxa"/>
          </w:tcPr>
          <w:p w14:paraId="519B2654" w14:textId="77777777" w:rsidR="001C7A8A" w:rsidRPr="008E63BB" w:rsidRDefault="003E7180" w:rsidP="0065184D">
            <w:pPr>
              <w:pStyle w:val="ListParagraph"/>
              <w:ind w:left="0"/>
              <w:rPr>
                <w:rFonts w:eastAsia="Calibri"/>
                <w:spacing w:val="-4"/>
                <w:sz w:val="26"/>
                <w:szCs w:val="26"/>
                <w:lang w:val="en-US"/>
              </w:rPr>
            </w:pPr>
            <w:r w:rsidRPr="008E63BB">
              <w:rPr>
                <w:rFonts w:eastAsia="Calibri"/>
                <w:noProof/>
                <w:spacing w:val="-4"/>
                <w:sz w:val="26"/>
                <w:szCs w:val="26"/>
                <w:lang w:val="en-US" w:eastAsia="zh-CN"/>
              </w:rPr>
              <w:drawing>
                <wp:inline distT="0" distB="0" distL="0" distR="0" wp14:anchorId="519B51C1" wp14:editId="519B51C2">
                  <wp:extent cx="2924172" cy="1900555"/>
                  <wp:effectExtent l="0" t="0" r="0" b="4445"/>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2938433" cy="1909824"/>
                          </a:xfrm>
                          <a:prstGeom prst="rect">
                            <a:avLst/>
                          </a:prstGeom>
                        </pic:spPr>
                      </pic:pic>
                    </a:graphicData>
                  </a:graphic>
                </wp:inline>
              </w:drawing>
            </w:r>
          </w:p>
        </w:tc>
        <w:tc>
          <w:tcPr>
            <w:tcW w:w="4638" w:type="dxa"/>
          </w:tcPr>
          <w:p w14:paraId="519B2655" w14:textId="77777777" w:rsidR="001C7A8A" w:rsidRPr="008E63BB" w:rsidRDefault="003E7180" w:rsidP="0065184D">
            <w:pPr>
              <w:pStyle w:val="ListParagraph"/>
              <w:ind w:left="0"/>
              <w:rPr>
                <w:rFonts w:eastAsia="Calibri"/>
                <w:spacing w:val="-4"/>
                <w:sz w:val="26"/>
                <w:szCs w:val="26"/>
                <w:lang w:val="en-US"/>
              </w:rPr>
            </w:pPr>
            <w:r w:rsidRPr="008E63BB">
              <w:rPr>
                <w:rFonts w:eastAsia="Calibri"/>
                <w:noProof/>
                <w:spacing w:val="-4"/>
                <w:sz w:val="26"/>
                <w:szCs w:val="26"/>
                <w:lang w:val="en-US" w:eastAsia="zh-CN"/>
              </w:rPr>
              <w:drawing>
                <wp:inline distT="0" distB="0" distL="0" distR="0" wp14:anchorId="519B51C3" wp14:editId="519B51C4">
                  <wp:extent cx="2867025" cy="1900963"/>
                  <wp:effectExtent l="0" t="0" r="0" b="4445"/>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1">
                            <a:extLst>
                              <a:ext uri="{28A0092B-C50C-407E-A947-70E740481C1C}">
                                <a14:useLocalDpi xmlns:a14="http://schemas.microsoft.com/office/drawing/2010/main"/>
                              </a:ext>
                            </a:extLst>
                          </a:blip>
                          <a:stretch>
                            <a:fillRect/>
                          </a:stretch>
                        </pic:blipFill>
                        <pic:spPr>
                          <a:xfrm>
                            <a:off x="0" y="0"/>
                            <a:ext cx="2876429" cy="1907198"/>
                          </a:xfrm>
                          <a:prstGeom prst="rect">
                            <a:avLst/>
                          </a:prstGeom>
                        </pic:spPr>
                      </pic:pic>
                    </a:graphicData>
                  </a:graphic>
                </wp:inline>
              </w:drawing>
            </w:r>
          </w:p>
        </w:tc>
      </w:tr>
      <w:tr w:rsidR="008D5BFE" w:rsidRPr="008E63BB" w14:paraId="519B2659" w14:textId="77777777" w:rsidTr="001C7A8A">
        <w:tc>
          <w:tcPr>
            <w:tcW w:w="4638" w:type="dxa"/>
          </w:tcPr>
          <w:p w14:paraId="519B2657" w14:textId="77777777" w:rsidR="001C7A8A" w:rsidRPr="008E63BB" w:rsidRDefault="001C7A8A" w:rsidP="0065184D">
            <w:pPr>
              <w:pStyle w:val="ListParagraph"/>
              <w:ind w:left="0"/>
              <w:jc w:val="center"/>
              <w:rPr>
                <w:rFonts w:eastAsia="Calibri"/>
                <w:i/>
                <w:spacing w:val="-4"/>
                <w:sz w:val="26"/>
                <w:szCs w:val="26"/>
                <w:lang w:val="en-US"/>
              </w:rPr>
            </w:pPr>
            <w:r w:rsidRPr="008E63BB">
              <w:rPr>
                <w:rFonts w:eastAsia="Calibri"/>
                <w:i/>
                <w:spacing w:val="-4"/>
                <w:sz w:val="26"/>
                <w:szCs w:val="26"/>
                <w:lang w:val="en-US"/>
              </w:rPr>
              <w:t>Nhà ở khu đô thị nhà máy dệt</w:t>
            </w:r>
          </w:p>
        </w:tc>
        <w:tc>
          <w:tcPr>
            <w:tcW w:w="4638" w:type="dxa"/>
          </w:tcPr>
          <w:p w14:paraId="519B2658" w14:textId="77777777" w:rsidR="001C7A8A" w:rsidRPr="008E63BB" w:rsidRDefault="001C7A8A" w:rsidP="0065184D">
            <w:pPr>
              <w:pStyle w:val="ListParagraph"/>
              <w:ind w:left="0"/>
              <w:jc w:val="center"/>
              <w:rPr>
                <w:rFonts w:eastAsia="Calibri"/>
                <w:i/>
                <w:spacing w:val="-4"/>
                <w:sz w:val="26"/>
                <w:szCs w:val="26"/>
                <w:lang w:val="en-US"/>
              </w:rPr>
            </w:pPr>
            <w:r w:rsidRPr="008E63BB">
              <w:rPr>
                <w:rFonts w:eastAsia="Calibri"/>
                <w:i/>
                <w:spacing w:val="-4"/>
                <w:sz w:val="26"/>
                <w:szCs w:val="26"/>
                <w:lang w:val="en-US"/>
              </w:rPr>
              <w:t>Nam Định Tower</w:t>
            </w:r>
          </w:p>
        </w:tc>
      </w:tr>
    </w:tbl>
    <w:p w14:paraId="519B265A" w14:textId="77777777" w:rsidR="001C7A8A" w:rsidRPr="008E63BB" w:rsidRDefault="009F0F61" w:rsidP="0065184D">
      <w:pPr>
        <w:rPr>
          <w:i/>
          <w:szCs w:val="26"/>
          <w:lang w:val="it-IT"/>
        </w:rPr>
      </w:pPr>
      <w:r w:rsidRPr="008E63BB">
        <w:rPr>
          <w:i/>
          <w:szCs w:val="26"/>
          <w:lang w:val="it-IT"/>
        </w:rPr>
        <w:lastRenderedPageBreak/>
        <w:t>b.</w:t>
      </w:r>
      <w:r w:rsidR="001C7A8A" w:rsidRPr="008E63BB">
        <w:rPr>
          <w:i/>
          <w:szCs w:val="26"/>
          <w:lang w:val="it-IT"/>
        </w:rPr>
        <w:t xml:space="preserve"> Khu vực dự kiến mở rộng:</w:t>
      </w:r>
    </w:p>
    <w:p w14:paraId="519B265B" w14:textId="77777777" w:rsidR="00556828" w:rsidRPr="008E63BB" w:rsidRDefault="00CF7BD6" w:rsidP="0065184D">
      <w:pPr>
        <w:pStyle w:val="ListParagraph"/>
        <w:spacing w:after="0"/>
        <w:ind w:left="0"/>
        <w:rPr>
          <w:rFonts w:eastAsia="Calibri"/>
          <w:spacing w:val="-4"/>
          <w:sz w:val="26"/>
          <w:szCs w:val="26"/>
          <w:lang w:val="en-US"/>
        </w:rPr>
      </w:pPr>
      <w:r w:rsidRPr="008E63BB">
        <w:rPr>
          <w:rFonts w:eastAsia="Calibri"/>
          <w:spacing w:val="-4"/>
          <w:sz w:val="26"/>
          <w:szCs w:val="26"/>
          <w:lang w:val="en-US"/>
        </w:rPr>
        <w:tab/>
        <w:t>Khu vực huyện Mỹ Lộc: Dân cư đô thị tập trung tại thị trấn Mỹ Lộc, quá trình đô thị hóa diễn ra khá nhanh, bên cạnh các khu dân cư đã ổn định lâu đời, thị trấn cũng có khu đô thị mới đã được triển khai xây dựng hạ tầng. Một số khu vực dân cư ở tập trung mật độ cao, tạo thành các điểm dân cư theo mô hình đô thị hóa khá rõ rệt như: Mỹ Tân, Mỹ Trung, Mỹ Thắng ...</w:t>
      </w:r>
      <w:r w:rsidR="00576EAA" w:rsidRPr="008E63BB">
        <w:rPr>
          <w:rFonts w:eastAsia="Calibri"/>
          <w:spacing w:val="-4"/>
          <w:sz w:val="26"/>
          <w:szCs w:val="26"/>
          <w:lang w:val="en-US"/>
        </w:rPr>
        <w:t xml:space="preserve"> Khu dân cư nông thôn ở theo các thôn, làng dạng quần cư theo dòng họ lâu đời, trên địa bàn mỗi xã có nhiều điểm dân cư</w:t>
      </w:r>
    </w:p>
    <w:p w14:paraId="519B265C" w14:textId="77777777" w:rsidR="00576EAA" w:rsidRPr="008E63BB" w:rsidRDefault="00576EAA" w:rsidP="0065184D">
      <w:pPr>
        <w:pStyle w:val="ListParagraph"/>
        <w:spacing w:after="0"/>
        <w:ind w:left="0"/>
        <w:rPr>
          <w:rFonts w:eastAsia="Calibri"/>
          <w:spacing w:val="-4"/>
          <w:sz w:val="26"/>
          <w:szCs w:val="26"/>
          <w:lang w:val="en-US"/>
        </w:rPr>
      </w:pPr>
      <w:r w:rsidRPr="008E63BB">
        <w:rPr>
          <w:rFonts w:eastAsia="Calibri"/>
          <w:spacing w:val="-4"/>
          <w:sz w:val="26"/>
          <w:szCs w:val="26"/>
          <w:lang w:val="en-US"/>
        </w:rPr>
        <w:tab/>
        <w:t xml:space="preserve">Khu vực 3 xã huyện Vụ Bản và 5 xã huyện Nam Trực: Bên cạnh nhóm dân cư bám theo các trục đường chính (quốc lộ 21, </w:t>
      </w:r>
      <w:r w:rsidR="00182243" w:rsidRPr="008E63BB">
        <w:rPr>
          <w:rFonts w:eastAsia="Calibri"/>
          <w:spacing w:val="-4"/>
          <w:sz w:val="26"/>
          <w:szCs w:val="26"/>
          <w:lang w:val="en-US"/>
        </w:rPr>
        <w:t>đường tỉnh</w:t>
      </w:r>
      <w:r w:rsidRPr="008E63BB">
        <w:rPr>
          <w:rFonts w:eastAsia="Calibri"/>
          <w:spacing w:val="-4"/>
          <w:sz w:val="26"/>
          <w:szCs w:val="26"/>
          <w:lang w:val="en-US"/>
        </w:rPr>
        <w:t xml:space="preserve"> 490C), chủ yếu là các khu dân cư nông thôn đan xen với vùng sản xuất nông nghiệp.  </w:t>
      </w:r>
    </w:p>
    <w:p w14:paraId="519B265D" w14:textId="77777777" w:rsidR="0048543D" w:rsidRPr="008E63BB" w:rsidRDefault="00267A58" w:rsidP="0065184D">
      <w:pPr>
        <w:pStyle w:val="Heading3"/>
      </w:pPr>
      <w:bookmarkStart w:id="168" w:name="_Toc21954828"/>
      <w:bookmarkStart w:id="169" w:name="_Toc21955327"/>
      <w:bookmarkStart w:id="170" w:name="_Toc24361900"/>
      <w:bookmarkStart w:id="171" w:name="_Toc47524659"/>
      <w:r w:rsidRPr="008E63BB">
        <w:t>2.5.2</w:t>
      </w:r>
      <w:r w:rsidR="0048543D" w:rsidRPr="008E63BB">
        <w:t>. Các khu công nghiệp</w:t>
      </w:r>
      <w:r w:rsidR="00576EAA" w:rsidRPr="008E63BB">
        <w:t>, cụm công nghiệp và làng nghề</w:t>
      </w:r>
      <w:bookmarkEnd w:id="168"/>
      <w:bookmarkEnd w:id="169"/>
      <w:bookmarkEnd w:id="170"/>
      <w:bookmarkEnd w:id="171"/>
    </w:p>
    <w:p w14:paraId="519B265E" w14:textId="77777777" w:rsidR="005C2389" w:rsidRPr="008E63BB" w:rsidRDefault="005C2389" w:rsidP="005C2389">
      <w:pPr>
        <w:rPr>
          <w:i/>
          <w:szCs w:val="26"/>
          <w:lang w:val="sv-SE"/>
        </w:rPr>
      </w:pPr>
      <w:r w:rsidRPr="008E63BB">
        <w:rPr>
          <w:i/>
          <w:szCs w:val="26"/>
          <w:lang w:val="sv-SE"/>
        </w:rPr>
        <w:t>a. Toàn tỉnh:</w:t>
      </w:r>
    </w:p>
    <w:p w14:paraId="519B265F" w14:textId="77777777" w:rsidR="005C2389" w:rsidRPr="008E63BB" w:rsidRDefault="005C2389" w:rsidP="005C2389">
      <w:pPr>
        <w:ind w:firstLine="720"/>
        <w:rPr>
          <w:iCs/>
          <w:szCs w:val="26"/>
          <w:lang w:val="sv-SE"/>
        </w:rPr>
      </w:pPr>
      <w:r w:rsidRPr="008E63BB">
        <w:rPr>
          <w:iCs/>
          <w:szCs w:val="26"/>
          <w:lang w:val="sv-SE"/>
        </w:rPr>
        <w:t xml:space="preserve">Toàn Tỉnh có 09 khu công nghiệp được quy hoạch với quy mô 2.082ha. </w:t>
      </w:r>
      <w:r w:rsidR="004D1F68" w:rsidRPr="008E63BB">
        <w:rPr>
          <w:iCs/>
          <w:szCs w:val="26"/>
          <w:lang w:val="sv-SE"/>
        </w:rPr>
        <w:t>T</w:t>
      </w:r>
      <w:r w:rsidRPr="008E63BB">
        <w:rPr>
          <w:iCs/>
          <w:szCs w:val="26"/>
          <w:lang w:val="sv-SE"/>
        </w:rPr>
        <w:t xml:space="preserve">hu hút 175 dự án đầu tư của 150 nhà đầu tư thứ cấp; trong đó có 40 dự án của 37 nhà đầu tư nước ngoài. </w:t>
      </w:r>
      <w:r w:rsidRPr="008E63BB">
        <w:rPr>
          <w:rFonts w:eastAsia="Times New Roman"/>
          <w:szCs w:val="26"/>
          <w:lang w:val="pt-BR"/>
        </w:rPr>
        <w:t>với tổng diện tích mặt bằng là 959,47ha, bằng 46 % diện tích đất quy hoạch. Tổng mức vốn đầu tư cơ sở hạ tầng của dự án 5.932 tỷ đồng; vốn đầu tư hạ tầng thực hiện (cả Nhà máy xử lý nước thải tập trung) đạt 1.879 tỷ đồng, bằng 31,6% vốn đăng ký</w:t>
      </w:r>
      <w:r w:rsidRPr="008E63BB">
        <w:rPr>
          <w:iCs/>
          <w:szCs w:val="26"/>
          <w:lang w:val="sv-SE"/>
        </w:rPr>
        <w:t xml:space="preserve">; </w:t>
      </w:r>
    </w:p>
    <w:p w14:paraId="519B2660" w14:textId="77777777" w:rsidR="005C2389" w:rsidRPr="008E63BB" w:rsidRDefault="005C2389" w:rsidP="005C2389">
      <w:pPr>
        <w:ind w:firstLine="720"/>
        <w:rPr>
          <w:iCs/>
          <w:szCs w:val="26"/>
          <w:lang w:val="sv-SE"/>
        </w:rPr>
      </w:pPr>
      <w:r w:rsidRPr="008E63BB">
        <w:rPr>
          <w:iCs/>
          <w:szCs w:val="26"/>
          <w:lang w:val="sv-SE"/>
        </w:rPr>
        <w:t>Toàn Tỉnh đã có 24 CCN được thành lập với tổng diện tích 534,96ha, trong đó 19 CCN đã đi vào hoạt động với diện tích 352,5ha; tỷ lệ lấp đầy trung bình diện tích đất có thể cho thuê của các CCN đạt khoảng 85%; thu hút 471 dự án đầu tư phát triển sản xuất, kinh doanh với tổng số vốn đăng ký xấp xỉ 3.000 tỷ đồng, thu hút 18.300 lao động. Ngoài ra, tỉnh Nam Định còn có trên 90 làng nghề truyền thống, thu hút gần 82.300 lao động với giá trị ước đạt gần 230 tỷ đồng/ năm.  Trong đó nhiều làng nghề nổi tiếng như đúc đồng Tống Xá, sơn mài Cát Đằng, chạm khắc gỗ La Xuyên (huyện Ý Yên), ươm tơ Cổ Chất (huyện Trực Ninh), làng nghề trồng hoa cây cảnh nổi tiếng cả nước Vị Khê (huyện Nam Trực)…</w:t>
      </w:r>
    </w:p>
    <w:p w14:paraId="519B2661" w14:textId="77777777" w:rsidR="005C2389" w:rsidRPr="008E63BB" w:rsidRDefault="005C2389" w:rsidP="005C2389">
      <w:pPr>
        <w:rPr>
          <w:i/>
          <w:szCs w:val="26"/>
          <w:lang w:val="sv-SE"/>
        </w:rPr>
      </w:pPr>
      <w:r w:rsidRPr="008E63BB">
        <w:rPr>
          <w:i/>
          <w:szCs w:val="26"/>
          <w:lang w:val="sv-SE"/>
        </w:rPr>
        <w:t>b. Khu vực lập quy hoạch:</w:t>
      </w:r>
    </w:p>
    <w:p w14:paraId="519B2662" w14:textId="77777777" w:rsidR="005C2389" w:rsidRPr="008E63BB" w:rsidRDefault="005C2389" w:rsidP="005C2389">
      <w:pPr>
        <w:rPr>
          <w:lang w:val="sv-SE"/>
        </w:rPr>
      </w:pPr>
      <w:r w:rsidRPr="008E63BB">
        <w:rPr>
          <w:lang w:val="sv-SE"/>
        </w:rPr>
        <w:t>* Khu công nghiệp:</w:t>
      </w:r>
    </w:p>
    <w:p w14:paraId="519B2663" w14:textId="77777777" w:rsidR="005C2389" w:rsidRPr="008E63BB" w:rsidRDefault="005C2389" w:rsidP="005C2389">
      <w:pPr>
        <w:ind w:firstLine="720"/>
        <w:rPr>
          <w:lang w:val="sv-SE"/>
        </w:rPr>
      </w:pPr>
      <w:r w:rsidRPr="008E63BB">
        <w:rPr>
          <w:lang w:val="sv-SE"/>
        </w:rPr>
        <w:t>Trong khu vực lập quy hoạch có 03 KCN, trong đó 02 KCN đã được đầu tư xây dựng, 01 KCN có chủ trương đầu tư, cụ thể như sau:</w:t>
      </w:r>
    </w:p>
    <w:p w14:paraId="519B2664" w14:textId="77777777" w:rsidR="005C2389" w:rsidRPr="008E63BB" w:rsidRDefault="005C2389" w:rsidP="005C2389">
      <w:pPr>
        <w:ind w:firstLine="720"/>
        <w:rPr>
          <w:iCs/>
          <w:lang w:val="sv-SE"/>
        </w:rPr>
      </w:pPr>
      <w:r w:rsidRPr="008E63BB">
        <w:rPr>
          <w:iCs/>
          <w:lang w:val="sv-SE"/>
        </w:rPr>
        <w:t xml:space="preserve">- </w:t>
      </w:r>
      <w:r w:rsidRPr="008E63BB">
        <w:rPr>
          <w:iCs/>
          <w:szCs w:val="26"/>
          <w:lang w:val="sv-SE"/>
        </w:rPr>
        <w:t xml:space="preserve">KCN Hoà Xá quy mô 327ha tại 2 xã Lộc Hòa và Mỹ Xá  (văn bản số </w:t>
      </w:r>
      <w:r w:rsidRPr="008E63BB">
        <w:rPr>
          <w:szCs w:val="26"/>
          <w:shd w:val="clear" w:color="auto" w:fill="FFFFFF"/>
          <w:lang w:val="sv-SE"/>
        </w:rPr>
        <w:t>1345/CP-CN ngày 03/10/2003 của Thủ tướng Chính phủ)</w:t>
      </w:r>
      <w:r w:rsidRPr="008E63BB">
        <w:rPr>
          <w:iCs/>
          <w:szCs w:val="26"/>
          <w:lang w:val="sv-SE"/>
        </w:rPr>
        <w:t xml:space="preserve">. </w:t>
      </w:r>
      <w:r w:rsidRPr="008E63BB">
        <w:rPr>
          <w:iCs/>
          <w:lang w:val="sv-SE"/>
        </w:rPr>
        <w:t>KCN Hòa Xá nằm dọc quốc lộ 10 hiện đã hoàn thành xây dựng hạ tầng kỹ thuật và hạ tầng xã hội đồng bộ. Các ngành nghề chính: Công nghiệp chế tạo lắp ráp cơ khí, Công nghiệp điện tử, Công nghiệp dệt may, da giầy, công nghiệp nhẹ, công nghiệp chế biến.</w:t>
      </w:r>
    </w:p>
    <w:p w14:paraId="519B2665" w14:textId="77777777" w:rsidR="005C2389" w:rsidRPr="008E63BB" w:rsidRDefault="005C2389" w:rsidP="005C2389">
      <w:pPr>
        <w:ind w:firstLine="720"/>
        <w:rPr>
          <w:iCs/>
          <w:szCs w:val="26"/>
          <w:lang w:val="sv-SE"/>
        </w:rPr>
      </w:pPr>
      <w:r w:rsidRPr="008E63BB">
        <w:rPr>
          <w:iCs/>
          <w:szCs w:val="26"/>
          <w:lang w:val="sv-SE"/>
        </w:rPr>
        <w:t xml:space="preserve">- </w:t>
      </w:r>
      <w:r w:rsidRPr="008E63BB">
        <w:rPr>
          <w:szCs w:val="26"/>
          <w:shd w:val="clear" w:color="auto" w:fill="EEEEEE"/>
          <w:lang w:val="sv-SE"/>
        </w:rPr>
        <w:t xml:space="preserve">KCN </w:t>
      </w:r>
      <w:r w:rsidRPr="008E63BB">
        <w:rPr>
          <w:iCs/>
          <w:szCs w:val="26"/>
          <w:lang w:val="sv-SE"/>
        </w:rPr>
        <w:t>Mỹ Trung tại Phường Lộc Hạ - TP. Nam Định và xã Mỹ Trung – H. Mỹ Lộc quy mô 150,68ha (văn bản số 3040/QĐ-UBND tỉnh ngày 31/12/2010); KCN Mỹ Trung thành lập năm 2006, đã hình thành và đi vào sản xuất với tỷ lệ lấp đầy đạt 27,1;</w:t>
      </w:r>
    </w:p>
    <w:p w14:paraId="519B2666" w14:textId="77777777" w:rsidR="005C2389" w:rsidRPr="008E63BB" w:rsidRDefault="005C2389" w:rsidP="005C2389">
      <w:pPr>
        <w:ind w:firstLine="720"/>
        <w:rPr>
          <w:iCs/>
          <w:szCs w:val="26"/>
          <w:lang w:val="sv-SE"/>
        </w:rPr>
      </w:pPr>
      <w:r w:rsidRPr="008E63BB">
        <w:rPr>
          <w:iCs/>
          <w:szCs w:val="26"/>
          <w:lang w:val="sv-SE"/>
        </w:rPr>
        <w:t>- KCN Mỹ Thuận tại xã Mỹ Thuận, Mỹ Thịnh – huyện Mỹ Lộc, xã Hiển Khánh, huyện Vụ Bản quy mô 158,47ha đã có chủ trương đầu tư. khu công nghiệp Mỹ Thuận (văn bản số 1910/TTg-KTN ngày 10/11/2008 của Thủ tướng Chính phủ; quyết định số 1429/QĐ-UBND ngày 22/8/2011 của UBND tỉnh Nam Định phê duyệt QHCT).</w:t>
      </w:r>
    </w:p>
    <w:p w14:paraId="519B2667" w14:textId="77777777" w:rsidR="005C2389" w:rsidRPr="008E63BB" w:rsidRDefault="005C2389" w:rsidP="005C2389">
      <w:pPr>
        <w:rPr>
          <w:iCs/>
          <w:lang w:val="sv-SE"/>
        </w:rPr>
      </w:pPr>
      <w:r w:rsidRPr="008E63BB">
        <w:rPr>
          <w:iCs/>
          <w:lang w:val="sv-SE"/>
        </w:rPr>
        <w:t xml:space="preserve">* Về </w:t>
      </w:r>
      <w:r w:rsidR="00CF0856" w:rsidRPr="008E63BB">
        <w:rPr>
          <w:iCs/>
          <w:lang w:val="sv-SE"/>
        </w:rPr>
        <w:t>Cụm công nghiệp</w:t>
      </w:r>
      <w:r w:rsidRPr="008E63BB">
        <w:rPr>
          <w:iCs/>
          <w:lang w:val="sv-SE"/>
        </w:rPr>
        <w:t>, tiểu thủ công nghiệp, làng nghề:</w:t>
      </w:r>
    </w:p>
    <w:p w14:paraId="519B2668" w14:textId="77777777" w:rsidR="005C2389" w:rsidRPr="008E63BB" w:rsidRDefault="005C2389" w:rsidP="005C2389">
      <w:pPr>
        <w:ind w:firstLine="720"/>
        <w:rPr>
          <w:iCs/>
          <w:lang w:val="sv-SE"/>
        </w:rPr>
      </w:pPr>
      <w:r w:rsidRPr="008E63BB">
        <w:rPr>
          <w:iCs/>
          <w:lang w:val="sv-SE"/>
        </w:rPr>
        <w:t>Thành phố có 01 cụm CN là cụm CN An Xá tại xã Lộc An quy mô 97 ha. CCN An Xá hiện đã hoàn thiện xây dựng, các doanh nghiệp sản xuất ổn định.</w:t>
      </w:r>
      <w:r w:rsidR="006F67D0" w:rsidRPr="008E63BB">
        <w:rPr>
          <w:lang w:val="es-PE"/>
        </w:rPr>
        <w:t xml:space="preserve">Làng hoa, cây cảnh tại xã Nam Phong được nhân rộng và phát triển với diện tích </w:t>
      </w:r>
      <w:smartTag w:uri="urn:schemas-microsoft-com:office:smarttags" w:element="metricconverter">
        <w:smartTagPr>
          <w:attr w:name="ProductID" w:val="127,73 ha"/>
        </w:smartTagPr>
        <w:r w:rsidR="006F67D0" w:rsidRPr="008E63BB">
          <w:rPr>
            <w:lang w:val="es-PE"/>
          </w:rPr>
          <w:t>127,73 ha</w:t>
        </w:r>
      </w:smartTag>
      <w:r w:rsidR="006F67D0" w:rsidRPr="008E63BB">
        <w:rPr>
          <w:lang w:val="es-PE"/>
        </w:rPr>
        <w:t xml:space="preserve"> trồng hoa, đào, quất, trong đó có các loại hoa chất lượng cao như: hoa ly, hoa hồng cổ, hoa Tuy-líp.</w:t>
      </w:r>
    </w:p>
    <w:p w14:paraId="519B2669" w14:textId="77777777" w:rsidR="005C2389" w:rsidRPr="008E63BB" w:rsidRDefault="005C2389" w:rsidP="005C2389">
      <w:pPr>
        <w:ind w:firstLine="720"/>
        <w:rPr>
          <w:szCs w:val="28"/>
          <w:shd w:val="clear" w:color="auto" w:fill="FFFFFF"/>
          <w:lang w:val="vi-VN"/>
        </w:rPr>
      </w:pPr>
      <w:r w:rsidRPr="008E63BB">
        <w:rPr>
          <w:szCs w:val="28"/>
          <w:lang w:val="sv-SE"/>
        </w:rPr>
        <w:lastRenderedPageBreak/>
        <w:t>Huyện Mỹ Lộc</w:t>
      </w:r>
      <w:r w:rsidRPr="008E63BB">
        <w:rPr>
          <w:szCs w:val="28"/>
          <w:lang w:val="vi-VN"/>
        </w:rPr>
        <w:t xml:space="preserve"> có 4 làng nghề tập trung vào nghề may (chăn, ga, gối, đệm, quần áo) và mây tre đan: 3 làng nghề mây tre đan ở xã Mỹ Hưng: làng nghề Vào Lương, làng nghề Làng Giáng, làng nghề Vạn Đồn và 1 làng nghề may mặc, bông vải sợi Làng Sắc xã Mỹ Thắng. Làng nghề Mỹ Thắng là làng nghề nổi bật của huyện, </w:t>
      </w:r>
      <w:r w:rsidRPr="008E63BB">
        <w:rPr>
          <w:szCs w:val="28"/>
          <w:shd w:val="clear" w:color="auto" w:fill="FFFFFF"/>
          <w:lang w:val="vi-VN"/>
        </w:rPr>
        <w:t>nghề làm chăn đã có ở xã Mỹ Thắng từ hơn 50 năm nay.Trước đây, nhân dân trong xã chủ yếu sản xuất chăn bông, ga, gối. Đến nay, quy mô sản xuất của làng nghề đã được mở rộng với cơ cấu sản phẩm phong phú gồm các sản phẩm về may mặc. CCN Mỹ Thắng hiện đang được triển khai lập quy hoạch và lập dự án đầu tư xây dựng cơ sở hạ tầng.</w:t>
      </w:r>
    </w:p>
    <w:p w14:paraId="519B266A" w14:textId="77777777" w:rsidR="005C2389" w:rsidRPr="008E63BB" w:rsidRDefault="005C2389" w:rsidP="005C2389">
      <w:pPr>
        <w:ind w:firstLine="720"/>
        <w:rPr>
          <w:szCs w:val="28"/>
          <w:lang w:val="vi-VN"/>
        </w:rPr>
      </w:pPr>
      <w:r w:rsidRPr="008E63BB">
        <w:rPr>
          <w:szCs w:val="28"/>
          <w:shd w:val="clear" w:color="auto" w:fill="FFFFFF"/>
          <w:lang w:val="vi-VN"/>
        </w:rPr>
        <w:t>Khu vực các xã thuộc huyện Nam Trực có các làng nghề</w:t>
      </w:r>
      <w:r w:rsidRPr="008E63BB">
        <w:rPr>
          <w:szCs w:val="28"/>
          <w:lang w:val="vi-VN"/>
        </w:rPr>
        <w:t>: sản xuất vật liệu xây dựng, dệt vải, làm hoa lụa ở Báo Đáp (xã Hồng Quang) nghề trồng hoa cây cảnh ở xã Điền Xá, Nam Mỹ.</w:t>
      </w:r>
    </w:p>
    <w:p w14:paraId="519B266B" w14:textId="77777777" w:rsidR="005C2389" w:rsidRPr="008E63BB" w:rsidRDefault="005C2389" w:rsidP="005C2389">
      <w:pPr>
        <w:ind w:firstLine="720"/>
        <w:rPr>
          <w:szCs w:val="28"/>
          <w:lang w:val="vi-VN"/>
        </w:rPr>
      </w:pPr>
      <w:r w:rsidRPr="008E63BB">
        <w:rPr>
          <w:szCs w:val="28"/>
          <w:lang w:val="vi-VN"/>
        </w:rPr>
        <w:t>Khu vực 3 xã huyện Vụ Bản: Làng nghề dệt truyền thống thôn Quả Linh – xã Thành Lợi đã được tỉnh công nhận</w:t>
      </w:r>
    </w:p>
    <w:p w14:paraId="519B266C" w14:textId="77777777" w:rsidR="002529BE" w:rsidRPr="008E63BB" w:rsidRDefault="005C2389" w:rsidP="005C2389">
      <w:pPr>
        <w:ind w:firstLine="720"/>
        <w:rPr>
          <w:spacing w:val="-4"/>
          <w:szCs w:val="26"/>
          <w:lang w:val="vi-VN"/>
        </w:rPr>
      </w:pPr>
      <w:r w:rsidRPr="008E63BB">
        <w:rPr>
          <w:szCs w:val="28"/>
          <w:shd w:val="clear" w:color="auto" w:fill="FFFFFF"/>
          <w:lang w:val="vi-VN"/>
        </w:rPr>
        <w:t>Các làng nghề nông thôn với các cơ sở sản xuất rất đa dạng, phong phú nhưng chủ yếu ở quy mô nhỏ, phần nhiều là tự phát, bước đầu không có kỹ thuật cơ bản, vừa học, vừa truyền nghề, vừa làm chủ yếu là đúc kết kinh nghiệm thực tế gắn với nhu cầu thị hiếu hàng hoá thị trường để phát triển sản xuất</w:t>
      </w:r>
      <w:r w:rsidR="002529BE" w:rsidRPr="008E63BB">
        <w:rPr>
          <w:szCs w:val="28"/>
          <w:shd w:val="clear" w:color="auto" w:fill="FFFFFF"/>
          <w:lang w:val="vi-VN"/>
        </w:rPr>
        <w:t>.</w:t>
      </w:r>
    </w:p>
    <w:p w14:paraId="519B266D" w14:textId="77777777" w:rsidR="0048543D" w:rsidRPr="008E63BB" w:rsidRDefault="00267A58" w:rsidP="0065184D">
      <w:pPr>
        <w:pStyle w:val="Heading3"/>
      </w:pPr>
      <w:bookmarkStart w:id="172" w:name="_Toc24361901"/>
      <w:bookmarkStart w:id="173" w:name="_Toc47524660"/>
      <w:r w:rsidRPr="008E63BB">
        <w:t>2.5.3</w:t>
      </w:r>
      <w:r w:rsidR="0048543D" w:rsidRPr="008E63BB">
        <w:t>. Khu di tích lịch s</w:t>
      </w:r>
      <w:r w:rsidRPr="008E63BB">
        <w:t>ử, công trình di tích, tôn giáo</w:t>
      </w:r>
      <w:bookmarkEnd w:id="172"/>
      <w:bookmarkEnd w:id="173"/>
    </w:p>
    <w:p w14:paraId="519B266E" w14:textId="77777777" w:rsidR="00377C35" w:rsidRPr="008E63BB" w:rsidRDefault="009F1217" w:rsidP="0065184D">
      <w:pPr>
        <w:ind w:firstLine="720"/>
        <w:rPr>
          <w:spacing w:val="-4"/>
          <w:szCs w:val="26"/>
          <w:lang w:val="pt-BR"/>
        </w:rPr>
      </w:pPr>
      <w:r w:rsidRPr="008E63BB">
        <w:rPr>
          <w:spacing w:val="-4"/>
          <w:szCs w:val="26"/>
          <w:lang w:val="pt-BR"/>
        </w:rPr>
        <w:t xml:space="preserve">Nam Định là một vùng đất có bề dày lịch sử và văn hoá, nơi phát tích của </w:t>
      </w:r>
      <w:r w:rsidR="00CF0856" w:rsidRPr="008E63BB">
        <w:rPr>
          <w:spacing w:val="-4"/>
          <w:szCs w:val="26"/>
          <w:lang w:val="pt-BR"/>
        </w:rPr>
        <w:t>V</w:t>
      </w:r>
      <w:r w:rsidRPr="008E63BB">
        <w:rPr>
          <w:spacing w:val="-4"/>
          <w:szCs w:val="26"/>
          <w:lang w:val="pt-BR"/>
        </w:rPr>
        <w:t>ương triều Trần, một triều đại hưng thịnh vào bậc nhất trong lịch sử phong kiến Việt Nam. Nam Định còn là quê hương của các bậc võ tướng anh hùng, đồng thời cũng là quê hương của nhiều nhà văn, nhà thơ nổi tiếng như Trần Tế Xương (Tú Xương), Nguyễn Bính... Trên địa bàn Tỉnh có 1.330 di tích lịch sử - văn hóa, trong đó có 135 di tích đã được Nhà nước xếp hạng bao gồm: đình, chùa, đền, phủ… trong đó có 2 di tích Quốc gia đặc biệt là: Khu di tích Đền Trần - chùa Phổ Minh (thành phố Nam Định) và chùa Keo Hành Thiện (xã Xuân Hồng, huyện Xuân Trường). Nhiều quần thể di tích có giá trị lịch sử, văn hóa và kiến trúc hấp dẫn du khách trong và ngoài nước như: Quần thể di tích văn hóa Trần, Phủ Dầy, Nhà lưu niệm cố Tổng Bí thư Trường Chinh, chùa Cổ Lễ, cầu Ngói</w:t>
      </w:r>
      <w:r w:rsidR="00377C35" w:rsidRPr="008E63BB">
        <w:rPr>
          <w:spacing w:val="-4"/>
          <w:szCs w:val="26"/>
          <w:lang w:val="pt-BR"/>
        </w:rPr>
        <w:t>.</w:t>
      </w:r>
    </w:p>
    <w:p w14:paraId="519B266F" w14:textId="77777777" w:rsidR="00377C35" w:rsidRPr="008E63BB" w:rsidRDefault="00377C35" w:rsidP="0065184D">
      <w:pPr>
        <w:ind w:firstLine="720"/>
        <w:rPr>
          <w:spacing w:val="-4"/>
          <w:szCs w:val="26"/>
          <w:lang w:val="pt-BR"/>
        </w:rPr>
      </w:pPr>
      <w:r w:rsidRPr="008E63BB">
        <w:rPr>
          <w:spacing w:val="-4"/>
          <w:szCs w:val="26"/>
          <w:lang w:val="pt-BR"/>
        </w:rPr>
        <w:t xml:space="preserve">Các di tích lịch sử văn hóa và danh thắng tiêu biểu tại Nam Định đều có những nét kiến trúc độc đáo, có sự giao thoa của các kiến trúc cổ và hiện đại, kiến trúc phương Đông và phương Tây. </w:t>
      </w:r>
      <w:r w:rsidR="00A25035" w:rsidRPr="008E63BB">
        <w:rPr>
          <w:spacing w:val="-4"/>
          <w:szCs w:val="26"/>
          <w:lang w:val="pt-BR"/>
        </w:rPr>
        <w:t>Đặc biệt</w:t>
      </w:r>
      <w:r w:rsidRPr="008E63BB">
        <w:rPr>
          <w:spacing w:val="-4"/>
          <w:szCs w:val="26"/>
          <w:lang w:val="pt-BR"/>
        </w:rPr>
        <w:t xml:space="preserve"> tại Nam Định các di tích văn hóa lịch sử đều gắn liền với các lễ hội.</w:t>
      </w:r>
    </w:p>
    <w:p w14:paraId="519B2670" w14:textId="77777777" w:rsidR="00377C35" w:rsidRPr="008E63BB" w:rsidRDefault="00377C35" w:rsidP="0065184D">
      <w:pPr>
        <w:ind w:firstLine="720"/>
        <w:rPr>
          <w:spacing w:val="-4"/>
          <w:szCs w:val="26"/>
          <w:lang w:val="pt-BR"/>
        </w:rPr>
      </w:pPr>
      <w:r w:rsidRPr="008E63BB">
        <w:rPr>
          <w:spacing w:val="-4"/>
          <w:szCs w:val="26"/>
          <w:lang w:val="pt-BR"/>
        </w:rPr>
        <w:t>Nằm trong vùng châu thổ sông Hồng, Nam Định có nền văn hóa dân gian phong phú. Nền văn hóa này bắt nguồn từ đời sống của nhân dân và được phát triển với nhiều hình thức sinh họat văn hóa đa dạng với các lọai hình nghệ thuật như hát chèo, hát văn, rối nước, hát xẩm… với những hội làng truyền thống như vạt võ, bơi trải, rước kiệu… Hàng năm, trên địa bàn tỉnh Nam Định diễ</w:t>
      </w:r>
      <w:r w:rsidR="009F1217" w:rsidRPr="008E63BB">
        <w:rPr>
          <w:spacing w:val="-4"/>
          <w:szCs w:val="26"/>
          <w:lang w:val="pt-BR"/>
        </w:rPr>
        <w:t>n ra trên 10</w:t>
      </w:r>
      <w:r w:rsidRPr="008E63BB">
        <w:rPr>
          <w:spacing w:val="-4"/>
          <w:szCs w:val="26"/>
          <w:lang w:val="pt-BR"/>
        </w:rPr>
        <w:t>0 lễ hội truyền thống. Các lễ hội truyền thống trong Tỉnh thu hút nhiều người tham dự như: lễ hội Đền Trần, lễ hội Phủ Giầy, lễ hội chùa Keo Hành Thiện, chùa Cổ Lễ…</w:t>
      </w:r>
    </w:p>
    <w:p w14:paraId="519B2671" w14:textId="77777777" w:rsidR="009F1217" w:rsidRPr="008E63BB" w:rsidRDefault="009F1217" w:rsidP="0065184D">
      <w:pPr>
        <w:ind w:firstLine="720"/>
        <w:rPr>
          <w:spacing w:val="-4"/>
          <w:szCs w:val="26"/>
          <w:lang w:val="pt-BR"/>
        </w:rPr>
      </w:pPr>
      <w:r w:rsidRPr="008E63BB">
        <w:rPr>
          <w:spacing w:val="-4"/>
          <w:szCs w:val="26"/>
          <w:lang w:val="pt-BR"/>
        </w:rPr>
        <w:t>Trên địa bàn tỉnh còn có hơn 400 nhà thờ Thiên Chúa giáo tập trung nhiều ở các huyện: Xuân Trường, Giao Thủy, Nghĩa Hưng, Hải Hậu. Các nhà thờ mang những nét kiến trúc độc đáo.</w:t>
      </w:r>
    </w:p>
    <w:p w14:paraId="519B2672" w14:textId="77777777" w:rsidR="009A0F63" w:rsidRPr="008E63BB" w:rsidRDefault="009A0F63" w:rsidP="009A0F63">
      <w:pPr>
        <w:ind w:firstLine="567"/>
        <w:rPr>
          <w:spacing w:val="-4"/>
          <w:szCs w:val="26"/>
          <w:lang w:val="pt-BR"/>
        </w:rPr>
      </w:pPr>
      <w:r w:rsidRPr="008E63BB">
        <w:rPr>
          <w:spacing w:val="-4"/>
          <w:szCs w:val="26"/>
          <w:lang w:val="pt-BR"/>
        </w:rPr>
        <w:t>Nhằm gìn giữ và phát huy giá trị các di tích lịch sử văn hóa, các dự án bảo tồn, tôn tạo di tích đã được tỉnh quan tâm và tích cực triển khai thực hiện: Dự án đầu tư xây dựng khu trung tâm lễ hội thuộc Khu di tích lịch sử-văn hóa thời Trần tại tỉnh Nam Định với tổng mức đầu tư hơn 734 tỷ đồng; Dự án đầu tư tu bổ Quần thể di tích lịch sử - văn hoá quốc gia Phủ Dầy, xã Kim Thái (Vụ Bản); Dự án đầu tư cải tạo, nâng cấp một số hạng mục Quần thể lưu niệm Tổng Bí thư Trường Chinh với tổng mức đầu tư 140 tỷ đồng…</w:t>
      </w:r>
    </w:p>
    <w:p w14:paraId="519B2673" w14:textId="77777777" w:rsidR="009A0F63" w:rsidRPr="008E63BB" w:rsidRDefault="009A0F63" w:rsidP="009A0F63">
      <w:pPr>
        <w:ind w:firstLine="720"/>
        <w:rPr>
          <w:spacing w:val="-4"/>
          <w:szCs w:val="26"/>
          <w:lang w:val="pt-BR"/>
        </w:rPr>
      </w:pPr>
      <w:r w:rsidRPr="008E63BB">
        <w:rPr>
          <w:szCs w:val="26"/>
          <w:shd w:val="clear" w:color="auto" w:fill="FFFFFF"/>
          <w:lang w:val="pt-BR"/>
        </w:rPr>
        <w:lastRenderedPageBreak/>
        <w:t xml:space="preserve">Hệ </w:t>
      </w:r>
      <w:r w:rsidRPr="008E63BB">
        <w:rPr>
          <w:spacing w:val="-4"/>
          <w:szCs w:val="26"/>
          <w:lang w:val="pt-BR"/>
        </w:rPr>
        <w:t>thống dày đặc các di tích lịch sử - văn hóa đã khẳng định vị thế của quê hương Nam Định giàu truyền thống lịch sử, văn hoá và cách mạng, là những yếu tố quan trọng góp phần góp phần làm tăng sức hấp dẫn của du lịch Nam Định, tạo bản sắc văn hóa với nhiều nét đặc trưng của đồng bằng Bắc bộ và cũng đồng thời có nhiều giá trị đặc trưng riêng của Nam Định. Việc tăng cường công tác quản lý, bảo tồn, tôn tạo các di tích lịch sử - văn hóa đã phát huy hiệu quả giáo dục truyền thống, góp phần bồi dưỡng, phát huy nhân tố con người trong công cuộc xây dựng và bảo vệ quê hương, đất nước đồng thời góp phần thúc đẩy phát triển kinh tế.</w:t>
      </w:r>
    </w:p>
    <w:p w14:paraId="519B2674" w14:textId="77777777" w:rsidR="00BC1DC1" w:rsidRPr="008E63BB" w:rsidRDefault="00BC1DC1" w:rsidP="00F06125">
      <w:pPr>
        <w:pStyle w:val="ListParagraph"/>
        <w:widowControl w:val="0"/>
        <w:numPr>
          <w:ilvl w:val="0"/>
          <w:numId w:val="17"/>
        </w:numPr>
        <w:tabs>
          <w:tab w:val="left" w:pos="270"/>
        </w:tabs>
        <w:spacing w:after="0"/>
        <w:ind w:left="0" w:firstLine="0"/>
        <w:rPr>
          <w:rFonts w:eastAsia="Calibri"/>
          <w:i/>
          <w:spacing w:val="-4"/>
          <w:sz w:val="26"/>
          <w:szCs w:val="26"/>
          <w:lang w:val="en-US"/>
        </w:rPr>
      </w:pPr>
      <w:r w:rsidRPr="008E63BB">
        <w:rPr>
          <w:rFonts w:eastAsia="Calibri"/>
          <w:i/>
          <w:spacing w:val="-4"/>
          <w:sz w:val="26"/>
          <w:szCs w:val="26"/>
          <w:lang w:val="en-US"/>
        </w:rPr>
        <w:t>Thành phố Nam Định:</w:t>
      </w:r>
    </w:p>
    <w:p w14:paraId="519B2675" w14:textId="77777777" w:rsidR="00377C35" w:rsidRPr="008E63BB" w:rsidRDefault="00377C35" w:rsidP="0065184D">
      <w:pPr>
        <w:widowControl w:val="0"/>
        <w:ind w:firstLine="567"/>
        <w:rPr>
          <w:spacing w:val="-4"/>
          <w:szCs w:val="26"/>
        </w:rPr>
      </w:pPr>
      <w:r w:rsidRPr="008E63BB">
        <w:rPr>
          <w:spacing w:val="-4"/>
          <w:szCs w:val="26"/>
        </w:rPr>
        <w:t>Trong lòng thành phố Nam Định cũng như các khu vực kề cận tập trung rất nhiều công trình di tích, tôn giáo. Đây cũng là yếu tố cần được quan tâm trong quá trình phát triển và mở rộng đô thị để không những không làm tổn hại mà còn phát huy các giá trị này trong tổng thể chung của Thành phố</w:t>
      </w:r>
    </w:p>
    <w:p w14:paraId="519B2676" w14:textId="77777777" w:rsidR="007C221E" w:rsidRPr="008E63BB" w:rsidRDefault="007C221E" w:rsidP="0065184D">
      <w:pPr>
        <w:widowControl w:val="0"/>
        <w:ind w:firstLine="567"/>
        <w:rPr>
          <w:spacing w:val="-4"/>
          <w:szCs w:val="26"/>
        </w:rPr>
      </w:pPr>
      <w:r w:rsidRPr="008E63BB">
        <w:rPr>
          <w:spacing w:val="-4"/>
          <w:szCs w:val="26"/>
        </w:rPr>
        <w:t xml:space="preserve">Thành phố có </w:t>
      </w:r>
      <w:r w:rsidR="00A25035" w:rsidRPr="008E63BB">
        <w:rPr>
          <w:spacing w:val="-4"/>
          <w:szCs w:val="26"/>
        </w:rPr>
        <w:t xml:space="preserve">69 di tích trong đó 01 di tích Quốc gia đặc biệt và 08 di tích xếp hạng Quốc gia </w:t>
      </w:r>
      <w:r w:rsidR="00A25035" w:rsidRPr="008E63BB">
        <w:rPr>
          <w:i/>
          <w:spacing w:val="-4"/>
          <w:szCs w:val="26"/>
        </w:rPr>
        <w:t>(Bao gồm: Cột cờ Nam Định, Khu di tích đền Thiên Trường và chùa Phổ Minh (Chùa Tháp), Khu di tích đền Cố Trạch, Di tích lịch sử số 7 - Bến Ngự, Cửa hàng cắt tóc dưới hầm, Cửa hàng ăn uống dưới hầm, Hầm chỉ huy Thành ủy, Bia Căm Thù, Chùa Đệ Tứ, Khu chỉ huy sở Nhà máy Dệt Nam Định, Khu di tích phố Hàng Thao)</w:t>
      </w:r>
      <w:r w:rsidR="00A25035" w:rsidRPr="008E63BB">
        <w:rPr>
          <w:spacing w:val="-4"/>
          <w:szCs w:val="26"/>
        </w:rPr>
        <w:t xml:space="preserve">; 10 công trình di tích lịch sử, văn hóa cấp Tỉnh </w:t>
      </w:r>
      <w:r w:rsidRPr="008E63BB">
        <w:rPr>
          <w:i/>
          <w:spacing w:val="-4"/>
          <w:szCs w:val="26"/>
        </w:rPr>
        <w:t>(Đình Kênh, Đình Tức Mặc, Đình thôn Vĩnh Tường, Nhà thờ Họ - Trần Thọ, Chùa Thỏ)</w:t>
      </w:r>
      <w:r w:rsidR="00CA3101" w:rsidRPr="008E63BB">
        <w:rPr>
          <w:spacing w:val="-4"/>
          <w:szCs w:val="26"/>
        </w:rPr>
        <w:t>; nhiều</w:t>
      </w:r>
      <w:r w:rsidRPr="008E63BB">
        <w:rPr>
          <w:spacing w:val="-4"/>
          <w:szCs w:val="26"/>
        </w:rPr>
        <w:t xml:space="preserve"> công trình văn hóa</w:t>
      </w:r>
      <w:r w:rsidR="00CA3101" w:rsidRPr="008E63BB">
        <w:rPr>
          <w:spacing w:val="-4"/>
          <w:szCs w:val="26"/>
        </w:rPr>
        <w:t xml:space="preserve"> cấp đô thị</w:t>
      </w:r>
      <w:r w:rsidRPr="008E63BB">
        <w:rPr>
          <w:spacing w:val="-4"/>
          <w:szCs w:val="26"/>
        </w:rPr>
        <w:t xml:space="preserve"> như rạp hát, rạp chiếu phim, nhà văn hóa, bảo tàng.v.v… Các di tích lịch sử văn hóa và danh thắng tiêu biểu tại Nam Định đều có những nét kiến trúc độc đáo, có sự giao thoa của các kiến trúc cổ và hiện đại, kiến trúc phương Đông và phương Tây, đặc biệt tại Nam Định, các di tích văn hóa lịch sử đều gắn liền với các lễ hội. Do đó là tiềm năng và lợi thế thu hút khách du lịch đến với thành phố.</w:t>
      </w:r>
    </w:p>
    <w:tbl>
      <w:tblPr>
        <w:tblW w:w="9018" w:type="dxa"/>
        <w:tblLayout w:type="fixed"/>
        <w:tblLook w:val="01E0" w:firstRow="1" w:lastRow="1" w:firstColumn="1" w:lastColumn="1" w:noHBand="0" w:noVBand="0"/>
      </w:tblPr>
      <w:tblGrid>
        <w:gridCol w:w="9018"/>
      </w:tblGrid>
      <w:tr w:rsidR="00077538" w:rsidRPr="008E63BB" w14:paraId="519B2678" w14:textId="77777777" w:rsidTr="00F860F0">
        <w:tc>
          <w:tcPr>
            <w:tcW w:w="9018" w:type="dxa"/>
          </w:tcPr>
          <w:p w14:paraId="519B2677" w14:textId="77777777" w:rsidR="00377C35" w:rsidRPr="008E63BB" w:rsidRDefault="000D31BD" w:rsidP="0065184D">
            <w:pPr>
              <w:jc w:val="center"/>
              <w:rPr>
                <w:rFonts w:ascii="Verdana" w:hAnsi="Verdana"/>
                <w:b/>
                <w:bCs/>
                <w:sz w:val="20"/>
                <w:szCs w:val="20"/>
              </w:rPr>
            </w:pPr>
            <w:r w:rsidRPr="008E63BB">
              <w:rPr>
                <w:rFonts w:ascii="Verdana" w:hAnsi="Verdana"/>
                <w:b/>
                <w:noProof/>
                <w:sz w:val="20"/>
                <w:szCs w:val="20"/>
                <w:lang w:eastAsia="zh-CN"/>
              </w:rPr>
              <w:drawing>
                <wp:inline distT="0" distB="0" distL="0" distR="0" wp14:anchorId="519B51C5" wp14:editId="519B51C6">
                  <wp:extent cx="5390707" cy="3854822"/>
                  <wp:effectExtent l="0" t="0" r="635" b="0"/>
                  <wp:docPr id="1" name="Picture 1" descr="ban do di tich danh lam thang canh tinh nam dinh M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n do di tich danh lam thang canh tinh nam dinh Mau"/>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426320" cy="38802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7538" w:rsidRPr="008E63BB" w14:paraId="519B267A" w14:textId="77777777" w:rsidTr="00F860F0">
        <w:tc>
          <w:tcPr>
            <w:tcW w:w="9018" w:type="dxa"/>
          </w:tcPr>
          <w:p w14:paraId="519B2679" w14:textId="77777777" w:rsidR="00377C35" w:rsidRPr="008E63BB" w:rsidRDefault="00377C35" w:rsidP="0065184D">
            <w:pPr>
              <w:spacing w:before="60"/>
              <w:rPr>
                <w:rFonts w:ascii="Verdana" w:hAnsi="Verdana"/>
                <w:bCs/>
                <w:i/>
                <w:sz w:val="18"/>
                <w:szCs w:val="18"/>
              </w:rPr>
            </w:pPr>
            <w:r w:rsidRPr="008E63BB">
              <w:rPr>
                <w:i/>
                <w:szCs w:val="26"/>
              </w:rPr>
              <w:t>Hình: Hệ thống các công trình di tích – danh lam thắng cảnh tiêu biểu tỉnh Nam định</w:t>
            </w:r>
          </w:p>
        </w:tc>
      </w:tr>
    </w:tbl>
    <w:p w14:paraId="519B267B" w14:textId="77777777" w:rsidR="00377C35" w:rsidRPr="008E63BB" w:rsidRDefault="00377C35" w:rsidP="0065184D">
      <w:pPr>
        <w:widowControl w:val="0"/>
        <w:spacing w:before="60"/>
        <w:ind w:firstLine="567"/>
        <w:rPr>
          <w:spacing w:val="-4"/>
          <w:szCs w:val="26"/>
        </w:rPr>
      </w:pPr>
    </w:p>
    <w:tbl>
      <w:tblPr>
        <w:tblW w:w="0" w:type="auto"/>
        <w:tblInd w:w="108" w:type="dxa"/>
        <w:tblLayout w:type="fixed"/>
        <w:tblLook w:val="04A0" w:firstRow="1" w:lastRow="0" w:firstColumn="1" w:lastColumn="0" w:noHBand="0" w:noVBand="1"/>
      </w:tblPr>
      <w:tblGrid>
        <w:gridCol w:w="4536"/>
        <w:gridCol w:w="4536"/>
      </w:tblGrid>
      <w:tr w:rsidR="00077538" w:rsidRPr="008E63BB" w14:paraId="519B267E" w14:textId="77777777" w:rsidTr="00F860F0">
        <w:tc>
          <w:tcPr>
            <w:tcW w:w="4536" w:type="dxa"/>
            <w:shd w:val="clear" w:color="auto" w:fill="auto"/>
            <w:vAlign w:val="center"/>
          </w:tcPr>
          <w:p w14:paraId="519B267C" w14:textId="77777777" w:rsidR="007C221E" w:rsidRPr="008E63BB" w:rsidRDefault="000D31BD" w:rsidP="0065184D">
            <w:pPr>
              <w:widowControl w:val="0"/>
              <w:ind w:left="-108"/>
              <w:jc w:val="center"/>
              <w:rPr>
                <w:sz w:val="28"/>
                <w:szCs w:val="26"/>
              </w:rPr>
            </w:pPr>
            <w:r w:rsidRPr="008E63BB">
              <w:rPr>
                <w:noProof/>
                <w:lang w:eastAsia="zh-CN"/>
              </w:rPr>
              <w:drawing>
                <wp:inline distT="0" distB="0" distL="0" distR="0" wp14:anchorId="519B51C7" wp14:editId="519B51C8">
                  <wp:extent cx="2667000" cy="1838325"/>
                  <wp:effectExtent l="0" t="0" r="0" b="9525"/>
                  <wp:docPr id="93" name="Picture 93" descr="chuathaponamd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huathaponamdinh"/>
                          <pic:cNvPicPr>
                            <a:picLocks noChangeAspect="1" noChangeArrowheads="1"/>
                          </pic:cNvPicPr>
                        </pic:nvPicPr>
                        <pic:blipFill>
                          <a:blip r:embed="rId33" cstate="screen">
                            <a:lum bright="20000" contrast="20000"/>
                            <a:extLst>
                              <a:ext uri="{28A0092B-C50C-407E-A947-70E740481C1C}">
                                <a14:useLocalDpi xmlns:a14="http://schemas.microsoft.com/office/drawing/2010/main"/>
                              </a:ext>
                            </a:extLst>
                          </a:blip>
                          <a:srcRect/>
                          <a:stretch>
                            <a:fillRect/>
                          </a:stretch>
                        </pic:blipFill>
                        <pic:spPr bwMode="auto">
                          <a:xfrm>
                            <a:off x="0" y="0"/>
                            <a:ext cx="2667000" cy="1838325"/>
                          </a:xfrm>
                          <a:prstGeom prst="rect">
                            <a:avLst/>
                          </a:prstGeom>
                          <a:noFill/>
                          <a:ln>
                            <a:noFill/>
                          </a:ln>
                        </pic:spPr>
                      </pic:pic>
                    </a:graphicData>
                  </a:graphic>
                </wp:inline>
              </w:drawing>
            </w:r>
          </w:p>
        </w:tc>
        <w:tc>
          <w:tcPr>
            <w:tcW w:w="4536" w:type="dxa"/>
          </w:tcPr>
          <w:p w14:paraId="519B267D" w14:textId="77777777" w:rsidR="007C221E" w:rsidRPr="008E63BB" w:rsidRDefault="000D31BD" w:rsidP="0065184D">
            <w:pPr>
              <w:widowControl w:val="0"/>
              <w:ind w:left="34" w:right="-140"/>
              <w:jc w:val="center"/>
              <w:rPr>
                <w:sz w:val="28"/>
                <w:szCs w:val="26"/>
              </w:rPr>
            </w:pPr>
            <w:r w:rsidRPr="008E63BB">
              <w:rPr>
                <w:noProof/>
                <w:lang w:eastAsia="zh-CN"/>
              </w:rPr>
              <w:drawing>
                <wp:inline distT="0" distB="0" distL="0" distR="0" wp14:anchorId="519B51C9" wp14:editId="519B51CA">
                  <wp:extent cx="2581275" cy="18288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screen">
                            <a:lum contrast="20000"/>
                            <a:extLst>
                              <a:ext uri="{28A0092B-C50C-407E-A947-70E740481C1C}">
                                <a14:useLocalDpi xmlns:a14="http://schemas.microsoft.com/office/drawing/2010/main"/>
                              </a:ext>
                            </a:extLst>
                          </a:blip>
                          <a:srcRect/>
                          <a:stretch>
                            <a:fillRect/>
                          </a:stretch>
                        </pic:blipFill>
                        <pic:spPr bwMode="auto">
                          <a:xfrm>
                            <a:off x="0" y="0"/>
                            <a:ext cx="2581275" cy="1828800"/>
                          </a:xfrm>
                          <a:prstGeom prst="rect">
                            <a:avLst/>
                          </a:prstGeom>
                          <a:noFill/>
                          <a:ln>
                            <a:noFill/>
                          </a:ln>
                        </pic:spPr>
                      </pic:pic>
                    </a:graphicData>
                  </a:graphic>
                </wp:inline>
              </w:drawing>
            </w:r>
          </w:p>
        </w:tc>
      </w:tr>
      <w:tr w:rsidR="00077538" w:rsidRPr="008E63BB" w14:paraId="519B2681" w14:textId="77777777" w:rsidTr="00F860F0">
        <w:tc>
          <w:tcPr>
            <w:tcW w:w="4536" w:type="dxa"/>
            <w:shd w:val="clear" w:color="auto" w:fill="auto"/>
            <w:vAlign w:val="center"/>
          </w:tcPr>
          <w:p w14:paraId="519B267F" w14:textId="77777777" w:rsidR="007C221E" w:rsidRPr="008E63BB" w:rsidRDefault="007C221E" w:rsidP="0065184D">
            <w:pPr>
              <w:widowControl w:val="0"/>
              <w:spacing w:after="120"/>
              <w:jc w:val="center"/>
              <w:rPr>
                <w:i/>
                <w:szCs w:val="26"/>
              </w:rPr>
            </w:pPr>
            <w:r w:rsidRPr="008E63BB">
              <w:rPr>
                <w:i/>
                <w:szCs w:val="26"/>
              </w:rPr>
              <w:t xml:space="preserve">Chùa Phổ Minh (chùa Tháp) </w:t>
            </w:r>
          </w:p>
        </w:tc>
        <w:tc>
          <w:tcPr>
            <w:tcW w:w="4536" w:type="dxa"/>
          </w:tcPr>
          <w:p w14:paraId="519B2680" w14:textId="77777777" w:rsidR="007C221E" w:rsidRPr="008E63BB" w:rsidRDefault="007C221E" w:rsidP="0065184D">
            <w:pPr>
              <w:widowControl w:val="0"/>
              <w:tabs>
                <w:tab w:val="center" w:pos="2144"/>
                <w:tab w:val="left" w:pos="3513"/>
              </w:tabs>
              <w:spacing w:after="120"/>
              <w:rPr>
                <w:i/>
                <w:szCs w:val="26"/>
              </w:rPr>
            </w:pPr>
            <w:r w:rsidRPr="008E63BB">
              <w:rPr>
                <w:i/>
                <w:szCs w:val="26"/>
              </w:rPr>
              <w:tab/>
              <w:t xml:space="preserve">Khu di tích đền Thiên Trường </w:t>
            </w:r>
          </w:p>
        </w:tc>
      </w:tr>
      <w:tr w:rsidR="00077538" w:rsidRPr="008E63BB" w14:paraId="519B2684" w14:textId="77777777" w:rsidTr="00F860F0">
        <w:tc>
          <w:tcPr>
            <w:tcW w:w="4536" w:type="dxa"/>
            <w:shd w:val="clear" w:color="auto" w:fill="auto"/>
            <w:vAlign w:val="center"/>
          </w:tcPr>
          <w:p w14:paraId="519B2682" w14:textId="77777777" w:rsidR="007C221E" w:rsidRPr="008E63BB" w:rsidRDefault="00620A8D" w:rsidP="0065184D">
            <w:pPr>
              <w:widowControl w:val="0"/>
              <w:ind w:left="-108"/>
              <w:jc w:val="center"/>
              <w:rPr>
                <w:i/>
                <w:sz w:val="24"/>
                <w:szCs w:val="26"/>
              </w:rPr>
            </w:pPr>
            <w:r w:rsidRPr="008E63BB">
              <w:rPr>
                <w:i/>
                <w:noProof/>
                <w:sz w:val="24"/>
                <w:szCs w:val="26"/>
                <w:lang w:eastAsia="zh-CN"/>
              </w:rPr>
              <w:drawing>
                <wp:inline distT="0" distB="0" distL="0" distR="0" wp14:anchorId="519B51CB" wp14:editId="519B51CC">
                  <wp:extent cx="2743200" cy="2057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ncotrach.jpg"/>
                          <pic:cNvPicPr/>
                        </pic:nvPicPr>
                        <pic:blipFill>
                          <a:blip r:embed="rId35">
                            <a:extLst>
                              <a:ext uri="{28A0092B-C50C-407E-A947-70E740481C1C}">
                                <a14:useLocalDpi xmlns:a14="http://schemas.microsoft.com/office/drawing/2010/main"/>
                              </a:ext>
                            </a:extLst>
                          </a:blip>
                          <a:stretch>
                            <a:fillRect/>
                          </a:stretch>
                        </pic:blipFill>
                        <pic:spPr>
                          <a:xfrm>
                            <a:off x="0" y="0"/>
                            <a:ext cx="2743200" cy="2057400"/>
                          </a:xfrm>
                          <a:prstGeom prst="rect">
                            <a:avLst/>
                          </a:prstGeom>
                        </pic:spPr>
                      </pic:pic>
                    </a:graphicData>
                  </a:graphic>
                </wp:inline>
              </w:drawing>
            </w:r>
          </w:p>
        </w:tc>
        <w:tc>
          <w:tcPr>
            <w:tcW w:w="4536" w:type="dxa"/>
            <w:vAlign w:val="center"/>
          </w:tcPr>
          <w:p w14:paraId="519B2683" w14:textId="77777777" w:rsidR="007C221E" w:rsidRPr="008E63BB" w:rsidRDefault="004755FC" w:rsidP="0065184D">
            <w:pPr>
              <w:widowControl w:val="0"/>
              <w:jc w:val="center"/>
              <w:rPr>
                <w:i/>
                <w:sz w:val="24"/>
                <w:szCs w:val="26"/>
              </w:rPr>
            </w:pPr>
            <w:r w:rsidRPr="008E63BB">
              <w:rPr>
                <w:noProof/>
                <w:lang w:eastAsia="zh-CN"/>
              </w:rPr>
              <w:drawing>
                <wp:inline distT="0" distB="0" distL="0" distR="0" wp14:anchorId="519B51CD" wp14:editId="519B51CE">
                  <wp:extent cx="2705100" cy="2057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705100" cy="2057400"/>
                          </a:xfrm>
                          <a:prstGeom prst="rect">
                            <a:avLst/>
                          </a:prstGeom>
                          <a:noFill/>
                          <a:ln>
                            <a:noFill/>
                          </a:ln>
                        </pic:spPr>
                      </pic:pic>
                    </a:graphicData>
                  </a:graphic>
                </wp:inline>
              </w:drawing>
            </w:r>
          </w:p>
        </w:tc>
      </w:tr>
      <w:tr w:rsidR="00077538" w:rsidRPr="008E63BB" w14:paraId="519B2687" w14:textId="77777777" w:rsidTr="00F860F0">
        <w:tc>
          <w:tcPr>
            <w:tcW w:w="4536" w:type="dxa"/>
            <w:shd w:val="clear" w:color="auto" w:fill="auto"/>
            <w:vAlign w:val="center"/>
          </w:tcPr>
          <w:p w14:paraId="519B2685" w14:textId="77777777" w:rsidR="007C221E" w:rsidRPr="008E63BB" w:rsidRDefault="00620A8D" w:rsidP="0065184D">
            <w:pPr>
              <w:widowControl w:val="0"/>
              <w:spacing w:after="120"/>
              <w:jc w:val="center"/>
              <w:rPr>
                <w:i/>
                <w:szCs w:val="26"/>
              </w:rPr>
            </w:pPr>
            <w:r w:rsidRPr="008E63BB">
              <w:rPr>
                <w:i/>
                <w:szCs w:val="26"/>
              </w:rPr>
              <w:t>Đền Cổ Trạch</w:t>
            </w:r>
          </w:p>
        </w:tc>
        <w:tc>
          <w:tcPr>
            <w:tcW w:w="4536" w:type="dxa"/>
          </w:tcPr>
          <w:p w14:paraId="519B2686" w14:textId="77777777" w:rsidR="007C221E" w:rsidRPr="008E63BB" w:rsidRDefault="007C221E" w:rsidP="0065184D">
            <w:pPr>
              <w:widowControl w:val="0"/>
              <w:tabs>
                <w:tab w:val="center" w:pos="2144"/>
                <w:tab w:val="left" w:pos="3513"/>
              </w:tabs>
              <w:spacing w:after="120"/>
              <w:jc w:val="center"/>
              <w:rPr>
                <w:i/>
                <w:szCs w:val="26"/>
              </w:rPr>
            </w:pPr>
            <w:r w:rsidRPr="008E63BB">
              <w:rPr>
                <w:i/>
                <w:szCs w:val="26"/>
              </w:rPr>
              <w:t xml:space="preserve"> Cột cờ Nam Định</w:t>
            </w:r>
          </w:p>
        </w:tc>
      </w:tr>
    </w:tbl>
    <w:p w14:paraId="519B2688" w14:textId="77777777" w:rsidR="00774B70" w:rsidRPr="008E63BB" w:rsidRDefault="00774B70" w:rsidP="0065184D">
      <w:pPr>
        <w:ind w:firstLine="720"/>
      </w:pPr>
      <w:r w:rsidRPr="008E63BB">
        <w:t>Nếu như Hà Nội xưa có 36 phố phường thì thành phố Nam Định cũng có đến 40 phố cổ. Những con phố nhỏ nằm ven bờ sông Đào mang dáng vẻ riêng gắn liền vớ</w:t>
      </w:r>
      <w:r w:rsidR="009A0F63" w:rsidRPr="008E63BB">
        <w:t>i hơn</w:t>
      </w:r>
      <w:r w:rsidRPr="008E63BB">
        <w:t xml:space="preserve"> 750 năm phát triển của thành phố Nam Định. Những phố cổ của Nam Định cũng như Hà Nội đa phần là các phố nghề như Hàng Đồng, Hàng Bát, Hàng Nâu, Vải Màn v.v... Hiện nay, những phố cổ đa phần không còn buôn bán những mặt hàng truyền thống tuy nhiên nó vẫn còn phần nào giữ được dáng vẻ cổ kính của nó. Hiện tại ở thành phố Nam Định còn một số phố mang tên gọi cổ là Hàng Tiện, Hàng Cấp, Bắc Ninh, Hàng Thao, Hàng Đồng, Hàng Sắt, ... còn lại phần lớn đã được đổi tên như Hai Bà Trưng, Hoàng Văn Thụ, Trần Hưng Đạo. Các phố cổ hiện nay ở Nam Định buôn bán tương đối sầm uất và là một phần quan trọng tại trung tâm thành phố Nam Định.</w:t>
      </w:r>
    </w:p>
    <w:tbl>
      <w:tblPr>
        <w:tblW w:w="9182" w:type="dxa"/>
        <w:tblInd w:w="108" w:type="dxa"/>
        <w:tblLayout w:type="fixed"/>
        <w:tblLook w:val="04A0" w:firstRow="1" w:lastRow="0" w:firstColumn="1" w:lastColumn="0" w:noHBand="0" w:noVBand="1"/>
      </w:tblPr>
      <w:tblGrid>
        <w:gridCol w:w="4678"/>
        <w:gridCol w:w="4504"/>
      </w:tblGrid>
      <w:tr w:rsidR="00077538" w:rsidRPr="008E63BB" w14:paraId="519B268B" w14:textId="77777777" w:rsidTr="00774B70">
        <w:tc>
          <w:tcPr>
            <w:tcW w:w="4678" w:type="dxa"/>
            <w:shd w:val="clear" w:color="auto" w:fill="auto"/>
          </w:tcPr>
          <w:p w14:paraId="519B2689" w14:textId="77777777" w:rsidR="00774B70" w:rsidRPr="008E63BB" w:rsidRDefault="004755FC" w:rsidP="0065184D">
            <w:r w:rsidRPr="008E63BB">
              <w:rPr>
                <w:noProof/>
                <w:lang w:eastAsia="zh-CN"/>
              </w:rPr>
              <w:drawing>
                <wp:inline distT="0" distB="0" distL="0" distR="0" wp14:anchorId="519B51CF" wp14:editId="519B51D0">
                  <wp:extent cx="2867025" cy="1885950"/>
                  <wp:effectExtent l="0" t="0" r="9525" b="0"/>
                  <wp:docPr id="87" name="Picture 87" descr="khu pho hang d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khu pho hang don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67025" cy="1885950"/>
                          </a:xfrm>
                          <a:prstGeom prst="rect">
                            <a:avLst/>
                          </a:prstGeom>
                          <a:noFill/>
                          <a:ln>
                            <a:noFill/>
                          </a:ln>
                        </pic:spPr>
                      </pic:pic>
                    </a:graphicData>
                  </a:graphic>
                </wp:inline>
              </w:drawing>
            </w:r>
          </w:p>
        </w:tc>
        <w:tc>
          <w:tcPr>
            <w:tcW w:w="4504" w:type="dxa"/>
          </w:tcPr>
          <w:p w14:paraId="519B268A" w14:textId="77777777" w:rsidR="00774B70" w:rsidRPr="008E63BB" w:rsidRDefault="004755FC" w:rsidP="0065184D">
            <w:r w:rsidRPr="008E63BB">
              <w:rPr>
                <w:noProof/>
                <w:lang w:eastAsia="zh-CN"/>
              </w:rPr>
              <w:drawing>
                <wp:inline distT="0" distB="0" distL="0" distR="0" wp14:anchorId="519B51D1" wp14:editId="519B51D2">
                  <wp:extent cx="2695575" cy="18764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screen">
                            <a:lum bright="20000" contrast="20000"/>
                            <a:extLst>
                              <a:ext uri="{28A0092B-C50C-407E-A947-70E740481C1C}">
                                <a14:useLocalDpi xmlns:a14="http://schemas.microsoft.com/office/drawing/2010/main"/>
                              </a:ext>
                            </a:extLst>
                          </a:blip>
                          <a:srcRect/>
                          <a:stretch>
                            <a:fillRect/>
                          </a:stretch>
                        </pic:blipFill>
                        <pic:spPr bwMode="auto">
                          <a:xfrm>
                            <a:off x="0" y="0"/>
                            <a:ext cx="2695575" cy="1876425"/>
                          </a:xfrm>
                          <a:prstGeom prst="rect">
                            <a:avLst/>
                          </a:prstGeom>
                          <a:noFill/>
                          <a:ln>
                            <a:noFill/>
                          </a:ln>
                        </pic:spPr>
                      </pic:pic>
                    </a:graphicData>
                  </a:graphic>
                </wp:inline>
              </w:drawing>
            </w:r>
          </w:p>
        </w:tc>
      </w:tr>
      <w:tr w:rsidR="00077538" w:rsidRPr="008E63BB" w14:paraId="519B268E" w14:textId="77777777" w:rsidTr="00774B70">
        <w:tc>
          <w:tcPr>
            <w:tcW w:w="4678" w:type="dxa"/>
            <w:shd w:val="clear" w:color="auto" w:fill="auto"/>
            <w:vAlign w:val="center"/>
          </w:tcPr>
          <w:p w14:paraId="519B268C" w14:textId="77777777" w:rsidR="00774B70" w:rsidRPr="008E63BB" w:rsidRDefault="00774B70" w:rsidP="0065184D">
            <w:pPr>
              <w:rPr>
                <w:i/>
              </w:rPr>
            </w:pPr>
            <w:r w:rsidRPr="008E63BB">
              <w:rPr>
                <w:i/>
              </w:rPr>
              <w:t xml:space="preserve">Phố Hàng Đồng thời Pháp thuộc </w:t>
            </w:r>
          </w:p>
        </w:tc>
        <w:tc>
          <w:tcPr>
            <w:tcW w:w="4504" w:type="dxa"/>
          </w:tcPr>
          <w:p w14:paraId="519B268D" w14:textId="77777777" w:rsidR="00774B70" w:rsidRPr="008E63BB" w:rsidRDefault="00774B70" w:rsidP="0065184D">
            <w:pPr>
              <w:rPr>
                <w:i/>
              </w:rPr>
            </w:pPr>
            <w:r w:rsidRPr="008E63BB">
              <w:rPr>
                <w:i/>
              </w:rPr>
              <w:t>Phố Hàng Đồng ngày nay</w:t>
            </w:r>
          </w:p>
        </w:tc>
      </w:tr>
    </w:tbl>
    <w:p w14:paraId="519B268F" w14:textId="77777777" w:rsidR="00774B70" w:rsidRPr="008E63BB" w:rsidRDefault="00774B70" w:rsidP="0065184D">
      <w:pPr>
        <w:ind w:firstLine="720"/>
      </w:pPr>
      <w:r w:rsidRPr="008E63BB">
        <w:t xml:space="preserve">Gắn liền với lịch sử phát triển của Nam Định, cầu Đò Quan là một trong những điểm giao thông quan trọng nối hai bờ sông Đào, nối hiện tại với quá khứ và tương lai. </w:t>
      </w:r>
      <w:r w:rsidRPr="008E63BB">
        <w:lastRenderedPageBreak/>
        <w:t xml:space="preserve">Bến Đò Quan xưa đã từng là hải cảng lớn nhất của xứ bắc (trước khi người Pháp xây dựng cảng Hải Phòng). </w:t>
      </w:r>
      <w:r w:rsidR="00377C35" w:rsidRPr="008E63BB">
        <w:t xml:space="preserve">Khi chưa xuất hiện cảng Hải Phòng thì Nam Định nằm bên sông Hồng, cảng sông Vị - bến Đò Quan là cảng sông quan trọng bậc nhất phía Bắc, có thời kỳ phát triển hưng thịnh " trên bến dưới thuyền" nhộn nhịp và không gian ven sông đã từng là không gian mặt tiền quan trọng nhất của thành phố mang lại cho cảnh quan đô thị những giá trị riêng. </w:t>
      </w:r>
      <w:r w:rsidRPr="008E63BB">
        <w:t xml:space="preserve">Hiện nay thay cho bến Đò Quan ngày xưa cây Cầu Đò Quan nối đôi bờ sông Đào, hứa hẹn một thành phố to đẹp và rộng lớn nằm hai bên sông với những bản sắc văn hóa – nếp sống đô thị riêng mà không nơi nào có được. </w:t>
      </w:r>
    </w:p>
    <w:tbl>
      <w:tblPr>
        <w:tblW w:w="9182" w:type="dxa"/>
        <w:tblInd w:w="108" w:type="dxa"/>
        <w:tblLayout w:type="fixed"/>
        <w:tblLook w:val="04A0" w:firstRow="1" w:lastRow="0" w:firstColumn="1" w:lastColumn="0" w:noHBand="0" w:noVBand="1"/>
      </w:tblPr>
      <w:tblGrid>
        <w:gridCol w:w="4678"/>
        <w:gridCol w:w="4504"/>
      </w:tblGrid>
      <w:tr w:rsidR="00077538" w:rsidRPr="008E63BB" w14:paraId="519B2692" w14:textId="77777777" w:rsidTr="00377C35">
        <w:tc>
          <w:tcPr>
            <w:tcW w:w="4678" w:type="dxa"/>
            <w:shd w:val="clear" w:color="auto" w:fill="auto"/>
          </w:tcPr>
          <w:p w14:paraId="519B2690" w14:textId="77777777" w:rsidR="00774B70" w:rsidRPr="008E63BB" w:rsidRDefault="004755FC" w:rsidP="0065184D">
            <w:r w:rsidRPr="008E63BB">
              <w:rPr>
                <w:noProof/>
                <w:lang w:eastAsia="zh-CN"/>
              </w:rPr>
              <w:drawing>
                <wp:inline distT="0" distB="0" distL="0" distR="0" wp14:anchorId="519B51D3" wp14:editId="519B51D4">
                  <wp:extent cx="2914650" cy="191452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914650" cy="1914525"/>
                          </a:xfrm>
                          <a:prstGeom prst="rect">
                            <a:avLst/>
                          </a:prstGeom>
                          <a:noFill/>
                          <a:ln>
                            <a:noFill/>
                          </a:ln>
                        </pic:spPr>
                      </pic:pic>
                    </a:graphicData>
                  </a:graphic>
                </wp:inline>
              </w:drawing>
            </w:r>
          </w:p>
        </w:tc>
        <w:tc>
          <w:tcPr>
            <w:tcW w:w="4504" w:type="dxa"/>
          </w:tcPr>
          <w:p w14:paraId="519B2691" w14:textId="77777777" w:rsidR="00774B70" w:rsidRPr="008E63BB" w:rsidRDefault="004755FC" w:rsidP="0065184D">
            <w:r w:rsidRPr="008E63BB">
              <w:rPr>
                <w:i/>
                <w:noProof/>
                <w:sz w:val="24"/>
                <w:lang w:eastAsia="zh-CN"/>
              </w:rPr>
              <w:drawing>
                <wp:inline distT="0" distB="0" distL="0" distR="0" wp14:anchorId="519B51D5" wp14:editId="519B51D6">
                  <wp:extent cx="2971800" cy="1914525"/>
                  <wp:effectExtent l="0" t="0" r="0" b="9525"/>
                  <wp:docPr id="88" name="Picture 88" descr="Cau Do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u Do Quan"/>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971800" cy="1914525"/>
                          </a:xfrm>
                          <a:prstGeom prst="rect">
                            <a:avLst/>
                          </a:prstGeom>
                          <a:noFill/>
                          <a:ln>
                            <a:noFill/>
                          </a:ln>
                        </pic:spPr>
                      </pic:pic>
                    </a:graphicData>
                  </a:graphic>
                </wp:inline>
              </w:drawing>
            </w:r>
          </w:p>
        </w:tc>
      </w:tr>
      <w:tr w:rsidR="00077538" w:rsidRPr="008E63BB" w14:paraId="519B2695" w14:textId="77777777" w:rsidTr="00377C35">
        <w:tc>
          <w:tcPr>
            <w:tcW w:w="4678" w:type="dxa"/>
            <w:shd w:val="clear" w:color="auto" w:fill="auto"/>
            <w:vAlign w:val="center"/>
          </w:tcPr>
          <w:p w14:paraId="519B2693" w14:textId="77777777" w:rsidR="00774B70" w:rsidRPr="008E63BB" w:rsidRDefault="00774B70" w:rsidP="0065184D">
            <w:pPr>
              <w:rPr>
                <w:i/>
              </w:rPr>
            </w:pPr>
            <w:r w:rsidRPr="008E63BB">
              <w:rPr>
                <w:i/>
              </w:rPr>
              <w:t xml:space="preserve">Bến Đò Quan thời Pháp thuộc </w:t>
            </w:r>
          </w:p>
        </w:tc>
        <w:tc>
          <w:tcPr>
            <w:tcW w:w="4504" w:type="dxa"/>
          </w:tcPr>
          <w:p w14:paraId="519B2694" w14:textId="77777777" w:rsidR="00774B70" w:rsidRPr="008E63BB" w:rsidRDefault="00774B70" w:rsidP="0065184D">
            <w:pPr>
              <w:rPr>
                <w:i/>
              </w:rPr>
            </w:pPr>
            <w:r w:rsidRPr="008E63BB">
              <w:rPr>
                <w:i/>
              </w:rPr>
              <w:tab/>
              <w:t xml:space="preserve">Cầu Đò Quan </w:t>
            </w:r>
          </w:p>
        </w:tc>
      </w:tr>
    </w:tbl>
    <w:p w14:paraId="519B2696" w14:textId="77777777" w:rsidR="00377C35" w:rsidRPr="008E63BB" w:rsidRDefault="00377C35" w:rsidP="0065184D">
      <w:pPr>
        <w:ind w:firstLine="720"/>
      </w:pPr>
      <w:r w:rsidRPr="008E63BB">
        <w:t xml:space="preserve">Bên cạnh các giá trị di tích lịch sử văn hóa, Nam Định còn có truyền thống là đất học. Dưới thời Nguyễn, Nam Định là một trong ba thành phố lớn nhất cả nước cùng Hà Nội và kinh đô Huế. Thời đó Nam Định còn có trường thi hương, thi hội, có cả Văn Miếu giống Hà Nội. Ngày nay, chức năng của công trình này đã được chuyển đổi thành trường học phổ thông, không gian cảnh quan của trường cũng đã thay đổi nhiều, tuy nhiên, công trình kiến trúc chính thì vẫn giữ được những hình thức  cơ bản. Truyền thống đất học của Nam Định đã được phát huy trong suốt lịch sử phát triển của thành phố. Đến năm 2010, tại thành phố có 12 trường đại học, cao đẳng và trung học chuyên nghiệp và là một trong những yếu tố khiến cho Nam Định vẫn duy trì được vai trò trung tâm giáo dục đào tạo của vùng Nam đồng bằng sông Hồng. </w:t>
      </w:r>
    </w:p>
    <w:p w14:paraId="519B2697" w14:textId="77777777" w:rsidR="00377C35" w:rsidRPr="008E63BB" w:rsidRDefault="004755FC" w:rsidP="0065184D">
      <w:pPr>
        <w:jc w:val="center"/>
        <w:rPr>
          <w:rFonts w:ascii="Verdana" w:hAnsi="Verdana"/>
          <w:sz w:val="20"/>
          <w:szCs w:val="20"/>
        </w:rPr>
      </w:pPr>
      <w:r w:rsidRPr="008E63BB">
        <w:rPr>
          <w:rFonts w:ascii="Verdana" w:hAnsi="Verdana"/>
          <w:noProof/>
          <w:sz w:val="20"/>
          <w:szCs w:val="20"/>
          <w:lang w:eastAsia="zh-CN"/>
        </w:rPr>
        <w:drawing>
          <wp:inline distT="0" distB="0" distL="0" distR="0" wp14:anchorId="519B51D7" wp14:editId="519B51D8">
            <wp:extent cx="3931358" cy="2466754"/>
            <wp:effectExtent l="0" t="0" r="0" b="0"/>
            <wp:docPr id="2" name="Picture 2" descr="daihoc nam d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aihoc nam dinh"/>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987115" cy="2501739"/>
                    </a:xfrm>
                    <a:prstGeom prst="rect">
                      <a:avLst/>
                    </a:prstGeom>
                    <a:noFill/>
                    <a:ln>
                      <a:noFill/>
                    </a:ln>
                  </pic:spPr>
                </pic:pic>
              </a:graphicData>
            </a:graphic>
          </wp:inline>
        </w:drawing>
      </w:r>
    </w:p>
    <w:p w14:paraId="519B2698" w14:textId="77777777" w:rsidR="00377C35" w:rsidRPr="008E63BB" w:rsidRDefault="00377C35" w:rsidP="0065184D">
      <w:pPr>
        <w:ind w:right="690"/>
        <w:jc w:val="center"/>
        <w:rPr>
          <w:i/>
          <w:szCs w:val="26"/>
        </w:rPr>
      </w:pPr>
      <w:r w:rsidRPr="008E63BB">
        <w:rPr>
          <w:i/>
          <w:szCs w:val="26"/>
        </w:rPr>
        <w:t>Hình: trường đại học Nam Định thời Nguyễn</w:t>
      </w:r>
    </w:p>
    <w:p w14:paraId="519B2699" w14:textId="77777777" w:rsidR="00377C35" w:rsidRPr="008E63BB" w:rsidRDefault="00377C35" w:rsidP="0065184D">
      <w:pPr>
        <w:rPr>
          <w:rFonts w:ascii="Verdana" w:hAnsi="Verdana"/>
          <w:sz w:val="20"/>
          <w:szCs w:val="20"/>
        </w:rPr>
      </w:pPr>
    </w:p>
    <w:p w14:paraId="519B269A" w14:textId="77777777" w:rsidR="00377C35" w:rsidRPr="008E63BB" w:rsidRDefault="00377C35" w:rsidP="0065184D">
      <w:pPr>
        <w:ind w:firstLine="720"/>
      </w:pPr>
      <w:r w:rsidRPr="008E63BB">
        <w:t>Cùng với thủ đô Hà Nội, Huế, Thành phố Nam Định là một trong ba nơi trên cả nước đặt cột cờ Việt Nam, thể hiện niềm tự hào và kiêu hãnh của Tổ quốc và vai trò của thành phố Nam Định nói riêng. Cột cờ Nam Định cũng là một trong những công trình di tích tiêu biểu cần được chú trọng trong tổ chức không gian điểm nhấn của thành phố.</w:t>
      </w:r>
    </w:p>
    <w:p w14:paraId="519B269B" w14:textId="77777777" w:rsidR="0048543D" w:rsidRPr="008E63BB" w:rsidRDefault="004755FC" w:rsidP="0065184D">
      <w:pPr>
        <w:ind w:firstLine="720"/>
        <w:rPr>
          <w:szCs w:val="26"/>
          <w:lang w:val="pt-BR"/>
        </w:rPr>
      </w:pPr>
      <w:r w:rsidRPr="008E63BB">
        <w:rPr>
          <w:noProof/>
          <w:lang w:eastAsia="zh-CN"/>
        </w:rPr>
        <w:lastRenderedPageBreak/>
        <w:drawing>
          <wp:inline distT="0" distB="0" distL="0" distR="0" wp14:anchorId="519B51D9" wp14:editId="519B51DA">
            <wp:extent cx="4750435" cy="2672080"/>
            <wp:effectExtent l="0" t="0" r="0" b="0"/>
            <wp:docPr id="3" name="Picture 3" descr="khu vuc cot co va nha may 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khu vuc cot co va nha may det"/>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750435" cy="2672080"/>
                    </a:xfrm>
                    <a:prstGeom prst="rect">
                      <a:avLst/>
                    </a:prstGeom>
                    <a:noFill/>
                    <a:ln>
                      <a:noFill/>
                    </a:ln>
                  </pic:spPr>
                </pic:pic>
              </a:graphicData>
            </a:graphic>
          </wp:inline>
        </w:drawing>
      </w:r>
    </w:p>
    <w:p w14:paraId="519B269C" w14:textId="77777777" w:rsidR="00BC1DC1" w:rsidRPr="008E63BB" w:rsidRDefault="00BC1DC1" w:rsidP="00F06125">
      <w:pPr>
        <w:pStyle w:val="ListParagraph"/>
        <w:widowControl w:val="0"/>
        <w:numPr>
          <w:ilvl w:val="0"/>
          <w:numId w:val="17"/>
        </w:numPr>
        <w:tabs>
          <w:tab w:val="left" w:pos="270"/>
        </w:tabs>
        <w:spacing w:after="0"/>
        <w:ind w:left="0" w:firstLine="0"/>
        <w:rPr>
          <w:rFonts w:eastAsia="Calibri"/>
          <w:i/>
          <w:spacing w:val="-4"/>
          <w:sz w:val="26"/>
          <w:szCs w:val="26"/>
          <w:lang w:val="pt-BR"/>
        </w:rPr>
      </w:pPr>
      <w:r w:rsidRPr="008E63BB">
        <w:rPr>
          <w:rFonts w:eastAsia="Calibri"/>
          <w:i/>
          <w:spacing w:val="-4"/>
          <w:sz w:val="26"/>
          <w:szCs w:val="26"/>
          <w:lang w:val="pt-BR"/>
        </w:rPr>
        <w:t>Khu vực dự kiến mở rộng:</w:t>
      </w:r>
    </w:p>
    <w:p w14:paraId="519B269D" w14:textId="77777777" w:rsidR="00BC1DC1" w:rsidRPr="008E63BB" w:rsidRDefault="00BC1DC1" w:rsidP="0065184D">
      <w:pPr>
        <w:ind w:firstLine="720"/>
        <w:rPr>
          <w:szCs w:val="28"/>
          <w:lang w:val="vi-VN"/>
        </w:rPr>
      </w:pPr>
      <w:r w:rsidRPr="008E63BB">
        <w:rPr>
          <w:szCs w:val="28"/>
          <w:lang w:val="vi-VN"/>
        </w:rPr>
        <w:t>Mỹ Lộc là vùng đất có lịch sử hình thành và phát triển lâu đời, phát triển nghề trồng lúa nước, dệt vải, làm nghề thủ công. Đây là nơi phát tích vương triều Trần – Triều đại hưng thịnh nhất trong lịch sử phong kiến Việt Nam. Trên địa bàn huyện có nhiều di tích như: Đền Bảo Lộc thờ Đức Thánh Trần Hưng Đạo (Mỹ Phúc), Đền Cao Đài thờ Thượng tướng Thái sư Trần Quang Khải (Mỹ Thành), Đền Sùng Văn (Mỹ Thuận), Đền Cây Quế (Mỹ Tân) và hàng chục di tích văn hoá khảo cổ đã được xếp hạng khác.</w:t>
      </w:r>
    </w:p>
    <w:p w14:paraId="519B269E" w14:textId="77777777" w:rsidR="004A7BD2" w:rsidRPr="008E63BB" w:rsidRDefault="004A7BD2" w:rsidP="0065184D">
      <w:pPr>
        <w:ind w:firstLine="720"/>
        <w:rPr>
          <w:rFonts w:eastAsia="Times New Roman"/>
          <w:b/>
          <w:bCs/>
          <w:szCs w:val="26"/>
          <w:lang w:val="vi-VN"/>
        </w:rPr>
      </w:pPr>
      <w:r w:rsidRPr="008E63BB">
        <w:rPr>
          <w:szCs w:val="28"/>
          <w:lang w:val="vi-VN"/>
        </w:rPr>
        <w:t>Các các xã huyện Nam Trực: xã Hồng Quang có đình Hát với lễ hội đình Hát và rối nước làng Rạch – một loại hình nghệ thuật dân gian đặc sắc.</w:t>
      </w:r>
    </w:p>
    <w:p w14:paraId="519B269F" w14:textId="77777777" w:rsidR="0048543D" w:rsidRPr="008E63BB" w:rsidRDefault="00267A58" w:rsidP="0065184D">
      <w:pPr>
        <w:rPr>
          <w:rFonts w:eastAsia="Times New Roman"/>
          <w:b/>
          <w:bCs/>
          <w:i/>
          <w:szCs w:val="26"/>
          <w:lang w:val="pt-BR"/>
        </w:rPr>
      </w:pPr>
      <w:r w:rsidRPr="008E63BB">
        <w:rPr>
          <w:rFonts w:eastAsia="Times New Roman"/>
          <w:b/>
          <w:bCs/>
          <w:i/>
          <w:szCs w:val="26"/>
          <w:lang w:val="pt-BR"/>
        </w:rPr>
        <w:t>2.5.4</w:t>
      </w:r>
      <w:r w:rsidR="0048543D" w:rsidRPr="008E63BB">
        <w:rPr>
          <w:rFonts w:eastAsia="Times New Roman"/>
          <w:b/>
          <w:bCs/>
          <w:i/>
          <w:szCs w:val="26"/>
          <w:lang w:val="pt-BR"/>
        </w:rPr>
        <w:t>. Môi trường cảnh quan tự nhiên</w:t>
      </w:r>
    </w:p>
    <w:p w14:paraId="519B26A0" w14:textId="77777777" w:rsidR="00F67BF3" w:rsidRPr="008E63BB" w:rsidRDefault="00D000CC" w:rsidP="0065184D">
      <w:pPr>
        <w:ind w:firstLine="720"/>
        <w:rPr>
          <w:lang w:val="pt-BR"/>
        </w:rPr>
      </w:pPr>
      <w:r w:rsidRPr="008E63BB">
        <w:rPr>
          <w:lang w:val="pt-BR"/>
        </w:rPr>
        <w:t xml:space="preserve">Sông Đào và hệ thống các hồ trong thành phố là một </w:t>
      </w:r>
      <w:r w:rsidR="004C4BFE" w:rsidRPr="008E63BB">
        <w:rPr>
          <w:lang w:val="pt-BR"/>
        </w:rPr>
        <w:t xml:space="preserve">trong những </w:t>
      </w:r>
      <w:r w:rsidRPr="008E63BB">
        <w:rPr>
          <w:lang w:val="pt-BR"/>
        </w:rPr>
        <w:t>giá trị cảnh quan rất quan trọng của thành phố</w:t>
      </w:r>
      <w:r w:rsidR="00FA12E7" w:rsidRPr="008E63BB">
        <w:rPr>
          <w:lang w:val="pt-BR"/>
        </w:rPr>
        <w:t>.</w:t>
      </w:r>
      <w:r w:rsidR="004C4BFE" w:rsidRPr="008E63BB">
        <w:rPr>
          <w:lang w:val="pt-BR"/>
        </w:rPr>
        <w:t xml:space="preserve"> Trong lịch sử hình thành của thành phố Nam Định, sông Đào đóng một vai trò quan trọng, khi chưa xuất hiện cảnh Hải Phòng thì cảng sông Nam Định (trên sông Đào) là cảng quan trọng bậc nhất của Bắc Bộ. Hiện nay, vai trò của cảng trong hoạt động giao thông không còn như trước đây, nhưng việc khai thác cảnh quan sông trong tổ chức không gian đô thị vẫn là một nội dung rất quan trọng để tạo dựng bản sắc và chất lượng cảnh quan của thành phố. Khu vực cảng sông Đào hiện nay hầu như không được sử dụng, nếu được đầu tư hợp lý sẽ đem lại giá trị và hiệu quả kinh tế cao, có tiềm năng trở thành một điểm nhấn cảnh quan và giúp kết nối thành phố với không gian ven sông.</w:t>
      </w:r>
    </w:p>
    <w:p w14:paraId="519B26A1" w14:textId="77777777" w:rsidR="00B03746" w:rsidRPr="008E63BB" w:rsidRDefault="00B03746" w:rsidP="0065184D">
      <w:pPr>
        <w:ind w:firstLine="720"/>
        <w:rPr>
          <w:lang w:val="pt-BR"/>
        </w:rPr>
      </w:pPr>
      <w:r w:rsidRPr="008E63BB">
        <w:rPr>
          <w:lang w:val="pt-BR"/>
        </w:rPr>
        <w:t xml:space="preserve">Hiện thành phố có 13 ao, hồ điều hòa lớn nhỏ với tổng diện tích 41,77ha. </w:t>
      </w:r>
      <w:r w:rsidR="00E07590" w:rsidRPr="008E63BB">
        <w:rPr>
          <w:lang w:val="pt-BR"/>
        </w:rPr>
        <w:t xml:space="preserve">Thành phố đã tiến hành đầu tư, cải tạo cảnh quan các hồ, ao tại các khu dân cư, đặc biệt tại các không gian mở rộng ở ngoại thành. </w:t>
      </w:r>
      <w:r w:rsidR="001F16B3" w:rsidRPr="008E63BB">
        <w:rPr>
          <w:lang w:val="pt-BR"/>
        </w:rPr>
        <w:t>Mộ</w:t>
      </w:r>
      <w:r w:rsidR="009A0F63" w:rsidRPr="008E63BB">
        <w:rPr>
          <w:lang w:val="pt-BR"/>
        </w:rPr>
        <w:t>t</w:t>
      </w:r>
      <w:r w:rsidR="001F16B3" w:rsidRPr="008E63BB">
        <w:rPr>
          <w:lang w:val="pt-BR"/>
        </w:rPr>
        <w:t xml:space="preserve"> số</w:t>
      </w:r>
      <w:r w:rsidR="00E07590" w:rsidRPr="008E63BB">
        <w:rPr>
          <w:lang w:val="pt-BR"/>
        </w:rPr>
        <w:t xml:space="preserve"> hồ đã được cải tạo xây dựng công viên</w:t>
      </w:r>
      <w:r w:rsidR="001F16B3" w:rsidRPr="008E63BB">
        <w:rPr>
          <w:lang w:val="pt-BR"/>
        </w:rPr>
        <w:t>,</w:t>
      </w:r>
      <w:r w:rsidR="00E07590" w:rsidRPr="008E63BB">
        <w:rPr>
          <w:lang w:val="pt-BR"/>
        </w:rPr>
        <w:t xml:space="preserve"> được thi công kè hồ, đào đắp tạo nền đường dạo quanh hồ, xây dựng hệ thống giao thông kết nối với không gian hồ như </w:t>
      </w:r>
      <w:r w:rsidR="001F16B3" w:rsidRPr="008E63BB">
        <w:rPr>
          <w:lang w:val="pt-BR"/>
        </w:rPr>
        <w:t xml:space="preserve">hồ Vị Xuyên, hồ Truyền Thống, </w:t>
      </w:r>
      <w:r w:rsidR="00E07590" w:rsidRPr="008E63BB">
        <w:rPr>
          <w:lang w:val="pt-BR"/>
        </w:rPr>
        <w:t>hồ Hàng Nan, Đầm Bét, Đầm Đọ…</w:t>
      </w:r>
      <w:r w:rsidR="001F16B3" w:rsidRPr="008E63BB">
        <w:rPr>
          <w:iCs/>
          <w:lang w:val="pt-BR"/>
        </w:rPr>
        <w:t xml:space="preserve"> Hồ Vị Xuyên là biểu tượng của thành phố giống như hồ Xuân Hương của thành phố Đà Lạt, dấu tích của con sông Vị Hoàng xưa kia chảy qua lòng thành phố.</w:t>
      </w:r>
    </w:p>
    <w:p w14:paraId="519B26A2" w14:textId="77777777" w:rsidR="00EC7FC3" w:rsidRPr="008E63BB" w:rsidRDefault="004C4BFE" w:rsidP="0065184D">
      <w:pPr>
        <w:spacing w:before="40" w:after="40" w:line="264" w:lineRule="auto"/>
        <w:ind w:firstLine="748"/>
        <w:rPr>
          <w:szCs w:val="28"/>
          <w:shd w:val="clear" w:color="auto" w:fill="FFFFFF"/>
          <w:lang w:val="pt-BR"/>
        </w:rPr>
      </w:pPr>
      <w:r w:rsidRPr="008E63BB">
        <w:rPr>
          <w:lang w:val="pt-BR"/>
        </w:rPr>
        <w:t>Khu vực phía Nam sông Đào hiện là vùng đất giàu giá trị cảnh quan sinh thái nông nghiệp, với giá trị nổi trội là các khu làng trồng hoa – cây cảnh nằm đan xen với các vùng trồng lúa có hệ thống kênh mương khá dày đặc và vùng đất bồi ven sông màu mỡ, trù phú.</w:t>
      </w:r>
      <w:r w:rsidR="00105C76" w:rsidRPr="008E63BB">
        <w:rPr>
          <w:lang w:val="pt-BR"/>
        </w:rPr>
        <w:t xml:space="preserve"> Các làng trồng hoa thuộc xã Mỹ Tân (huyện Mỹ Lộc), xã Nam Phong (TP Nam Định), xã Điền Xá, Nam Mỹ (huyện Nam Trực).</w:t>
      </w:r>
      <w:r w:rsidR="00400AA0" w:rsidRPr="008E63BB">
        <w:rPr>
          <w:lang w:val="pt-BR"/>
        </w:rPr>
        <w:t xml:space="preserve"> Các làng nghề đã được tỉnh công nhận: </w:t>
      </w:r>
      <w:r w:rsidR="00400AA0" w:rsidRPr="008E63BB">
        <w:rPr>
          <w:szCs w:val="28"/>
          <w:lang w:val="vi-VN"/>
        </w:rPr>
        <w:t>Làng nghề đào hoa cây cảnh Nam Mỹ, Làng nghề cây cảnh thôn Trung</w:t>
      </w:r>
      <w:r w:rsidR="00400AA0" w:rsidRPr="008E63BB">
        <w:rPr>
          <w:szCs w:val="28"/>
          <w:lang w:val="pt-BR"/>
        </w:rPr>
        <w:t xml:space="preserve">, thôn </w:t>
      </w:r>
      <w:r w:rsidR="00400AA0" w:rsidRPr="008E63BB">
        <w:rPr>
          <w:szCs w:val="28"/>
          <w:lang w:val="pt-BR"/>
        </w:rPr>
        <w:lastRenderedPageBreak/>
        <w:t>Thượng, thôn Phú Hào, thôn Hạ</w:t>
      </w:r>
      <w:r w:rsidR="00400AA0" w:rsidRPr="008E63BB">
        <w:rPr>
          <w:szCs w:val="28"/>
          <w:lang w:val="vi-VN"/>
        </w:rPr>
        <w:t xml:space="preserve">; </w:t>
      </w:r>
      <w:r w:rsidR="00400AA0" w:rsidRPr="008E63BB">
        <w:rPr>
          <w:szCs w:val="28"/>
          <w:shd w:val="clear" w:color="auto" w:fill="FFFFFF"/>
          <w:lang w:val="vi-VN"/>
        </w:rPr>
        <w:t>Làng nghề trồng hoa cây cảnh truyền thống Vỵ Khê</w:t>
      </w:r>
      <w:r w:rsidR="00400AA0" w:rsidRPr="008E63BB">
        <w:rPr>
          <w:szCs w:val="28"/>
          <w:shd w:val="clear" w:color="auto" w:fill="FFFFFF"/>
          <w:lang w:val="pt-BR"/>
        </w:rPr>
        <w:t xml:space="preserve">, </w:t>
      </w:r>
      <w:r w:rsidR="00400AA0" w:rsidRPr="008E63BB">
        <w:rPr>
          <w:szCs w:val="28"/>
          <w:shd w:val="clear" w:color="auto" w:fill="FFFFFF"/>
          <w:lang w:val="vi-VN"/>
        </w:rPr>
        <w:t>Lã Điền, Trường Uyên (xã Điền Xá</w:t>
      </w:r>
      <w:r w:rsidR="00400AA0" w:rsidRPr="008E63BB">
        <w:rPr>
          <w:szCs w:val="28"/>
          <w:shd w:val="clear" w:color="auto" w:fill="FFFFFF"/>
          <w:lang w:val="pt-BR"/>
        </w:rPr>
        <w:t>); làng Phù Long (xã Nam Phong)</w:t>
      </w:r>
    </w:p>
    <w:tbl>
      <w:tblPr>
        <w:tblW w:w="9344" w:type="dxa"/>
        <w:tblLayout w:type="fixed"/>
        <w:tblLook w:val="01E0" w:firstRow="1" w:lastRow="1" w:firstColumn="1" w:lastColumn="1" w:noHBand="0" w:noVBand="0"/>
      </w:tblPr>
      <w:tblGrid>
        <w:gridCol w:w="4680"/>
        <w:gridCol w:w="4664"/>
      </w:tblGrid>
      <w:tr w:rsidR="00077538" w:rsidRPr="008E63BB" w14:paraId="519B26A5" w14:textId="77777777" w:rsidTr="002B7BAC">
        <w:trPr>
          <w:trHeight w:val="2880"/>
        </w:trPr>
        <w:tc>
          <w:tcPr>
            <w:tcW w:w="4680" w:type="dxa"/>
          </w:tcPr>
          <w:p w14:paraId="519B26A3" w14:textId="77777777" w:rsidR="002B7BAC" w:rsidRPr="008E63BB" w:rsidRDefault="00B16653" w:rsidP="0065184D">
            <w:pPr>
              <w:jc w:val="left"/>
              <w:rPr>
                <w:bCs/>
                <w:szCs w:val="26"/>
              </w:rPr>
            </w:pPr>
            <w:r w:rsidRPr="008E63BB">
              <w:rPr>
                <w:noProof/>
                <w:szCs w:val="26"/>
                <w:lang w:eastAsia="zh-CN"/>
              </w:rPr>
              <w:drawing>
                <wp:inline distT="0" distB="0" distL="0" distR="0" wp14:anchorId="519B51DB" wp14:editId="519B51DC">
                  <wp:extent cx="2755265" cy="1840865"/>
                  <wp:effectExtent l="0" t="0" r="6985" b="6985"/>
                  <wp:docPr id="9" name="Picture 9" descr="IMG_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4497"/>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755265" cy="1840865"/>
                          </a:xfrm>
                          <a:prstGeom prst="rect">
                            <a:avLst/>
                          </a:prstGeom>
                          <a:noFill/>
                          <a:ln>
                            <a:noFill/>
                          </a:ln>
                        </pic:spPr>
                      </pic:pic>
                    </a:graphicData>
                  </a:graphic>
                </wp:inline>
              </w:drawing>
            </w:r>
          </w:p>
        </w:tc>
        <w:tc>
          <w:tcPr>
            <w:tcW w:w="4664" w:type="dxa"/>
          </w:tcPr>
          <w:p w14:paraId="519B26A4" w14:textId="77777777" w:rsidR="002B7BAC" w:rsidRPr="008E63BB" w:rsidRDefault="00B16653" w:rsidP="0065184D">
            <w:pPr>
              <w:ind w:hanging="49"/>
              <w:jc w:val="right"/>
              <w:rPr>
                <w:bCs/>
                <w:szCs w:val="26"/>
              </w:rPr>
            </w:pPr>
            <w:r w:rsidRPr="008E63BB">
              <w:rPr>
                <w:noProof/>
                <w:szCs w:val="26"/>
                <w:lang w:eastAsia="zh-CN"/>
              </w:rPr>
              <w:drawing>
                <wp:inline distT="0" distB="0" distL="0" distR="0" wp14:anchorId="519B51DD" wp14:editId="519B51DE">
                  <wp:extent cx="2719705" cy="1828800"/>
                  <wp:effectExtent l="0" t="0" r="4445" b="0"/>
                  <wp:docPr id="8" name="Picture 8" descr="IMG_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4500"/>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719705" cy="1828800"/>
                          </a:xfrm>
                          <a:prstGeom prst="rect">
                            <a:avLst/>
                          </a:prstGeom>
                          <a:noFill/>
                          <a:ln>
                            <a:noFill/>
                          </a:ln>
                        </pic:spPr>
                      </pic:pic>
                    </a:graphicData>
                  </a:graphic>
                </wp:inline>
              </w:drawing>
            </w:r>
          </w:p>
        </w:tc>
      </w:tr>
    </w:tbl>
    <w:p w14:paraId="519B26A6" w14:textId="77777777" w:rsidR="002B7BAC" w:rsidRPr="008E63BB" w:rsidRDefault="002B7BAC" w:rsidP="0065184D">
      <w:pPr>
        <w:rPr>
          <w:bCs/>
          <w:i/>
          <w:szCs w:val="26"/>
        </w:rPr>
      </w:pPr>
      <w:r w:rsidRPr="008E63BB">
        <w:rPr>
          <w:bCs/>
          <w:i/>
          <w:szCs w:val="26"/>
        </w:rPr>
        <w:t>Hình: Các làng hoa – cây cảnh nổi tiếng phía Nam sông Đào của thành phố Nam Định</w:t>
      </w:r>
    </w:p>
    <w:p w14:paraId="519B26A7" w14:textId="77777777" w:rsidR="00F67BF3" w:rsidRPr="008E63BB" w:rsidRDefault="00A71373" w:rsidP="0065184D">
      <w:pPr>
        <w:pStyle w:val="Heading2"/>
        <w:spacing w:before="0" w:after="0"/>
        <w:rPr>
          <w:lang w:val="pt-BR"/>
        </w:rPr>
      </w:pPr>
      <w:bookmarkStart w:id="174" w:name="_Toc330799133"/>
      <w:bookmarkStart w:id="175" w:name="_Toc341519020"/>
      <w:bookmarkStart w:id="176" w:name="_Toc341519121"/>
      <w:bookmarkStart w:id="177" w:name="_Toc344928434"/>
      <w:bookmarkStart w:id="178" w:name="_Toc345538342"/>
      <w:bookmarkStart w:id="179" w:name="_Toc493424436"/>
      <w:bookmarkStart w:id="180" w:name="_Toc47524661"/>
      <w:r w:rsidRPr="008E63BB">
        <w:rPr>
          <w:lang w:val="pt-BR"/>
        </w:rPr>
        <w:t>2.6</w:t>
      </w:r>
      <w:r w:rsidR="00F67BF3" w:rsidRPr="008E63BB">
        <w:rPr>
          <w:lang w:val="pt-BR"/>
        </w:rPr>
        <w:t>. Hiện trạng các công trình hạ tầng xã hội</w:t>
      </w:r>
      <w:bookmarkEnd w:id="174"/>
      <w:bookmarkEnd w:id="175"/>
      <w:bookmarkEnd w:id="176"/>
      <w:bookmarkEnd w:id="177"/>
      <w:bookmarkEnd w:id="178"/>
      <w:bookmarkEnd w:id="179"/>
      <w:bookmarkEnd w:id="180"/>
    </w:p>
    <w:p w14:paraId="519B26A8" w14:textId="77777777" w:rsidR="00F67BF3" w:rsidRPr="008E63BB" w:rsidRDefault="00267A58" w:rsidP="0065184D">
      <w:pPr>
        <w:pStyle w:val="Heading3"/>
      </w:pPr>
      <w:bookmarkStart w:id="181" w:name="_Toc21954830"/>
      <w:bookmarkStart w:id="182" w:name="_Toc21955329"/>
      <w:bookmarkStart w:id="183" w:name="_Toc24361903"/>
      <w:bookmarkStart w:id="184" w:name="_Toc47524662"/>
      <w:r w:rsidRPr="008E63BB">
        <w:t>2.6.1. Các cơ sở y tế</w:t>
      </w:r>
      <w:r w:rsidR="00C16A7D" w:rsidRPr="008E63BB">
        <w:t xml:space="preserve"> cấp đô thị</w:t>
      </w:r>
      <w:bookmarkEnd w:id="181"/>
      <w:bookmarkEnd w:id="182"/>
      <w:bookmarkEnd w:id="183"/>
      <w:bookmarkEnd w:id="184"/>
    </w:p>
    <w:p w14:paraId="519B26A9" w14:textId="77777777" w:rsidR="00A12AD3" w:rsidRPr="008E63BB" w:rsidRDefault="00A12AD3" w:rsidP="0065184D">
      <w:pPr>
        <w:widowControl w:val="0"/>
        <w:rPr>
          <w:i/>
          <w:iCs/>
          <w:lang w:val="pt-BR"/>
        </w:rPr>
      </w:pPr>
      <w:r w:rsidRPr="008E63BB">
        <w:rPr>
          <w:i/>
          <w:iCs/>
          <w:lang w:val="pt-BR"/>
        </w:rPr>
        <w:t>a. Khu vực thành phố Nam Định</w:t>
      </w:r>
    </w:p>
    <w:p w14:paraId="519B26AA" w14:textId="77777777" w:rsidR="00F67BF3" w:rsidRPr="008E63BB" w:rsidRDefault="008D1964" w:rsidP="0065184D">
      <w:pPr>
        <w:ind w:firstLine="720"/>
        <w:rPr>
          <w:iCs/>
          <w:lang w:val="zu-ZA"/>
        </w:rPr>
      </w:pPr>
      <w:r w:rsidRPr="008E63BB">
        <w:rPr>
          <w:lang w:val="pt-BR"/>
        </w:rPr>
        <w:t xml:space="preserve">Khu vực nghiên cứu quy hoạch </w:t>
      </w:r>
      <w:r w:rsidRPr="008E63BB">
        <w:rPr>
          <w:iCs/>
          <w:lang w:val="pt-BR"/>
        </w:rPr>
        <w:t xml:space="preserve">được xác định là trung tâm y tế vùng, thành phố Nam Định được đầu tư cơ sở vật chất y tế khá tốt. Trên địa bàn thành phố có </w:t>
      </w:r>
      <w:r w:rsidRPr="008E63BB">
        <w:rPr>
          <w:bCs/>
          <w:spacing w:val="6"/>
          <w:szCs w:val="26"/>
          <w:lang w:val="zu-ZA"/>
        </w:rPr>
        <w:t>01 Bệnh viện đa khoa tỉnh 740 giường bệnh (thực kê là 900 giường bệnh), là bệnh viện đa khoa hạng I</w:t>
      </w:r>
      <w:r w:rsidR="003F7D44" w:rsidRPr="008E63BB">
        <w:rPr>
          <w:bCs/>
          <w:spacing w:val="6"/>
          <w:szCs w:val="26"/>
          <w:lang w:val="zu-ZA"/>
        </w:rPr>
        <w:t xml:space="preserve"> (hiệ</w:t>
      </w:r>
      <w:r w:rsidR="00CF0856" w:rsidRPr="008E63BB">
        <w:rPr>
          <w:bCs/>
          <w:spacing w:val="6"/>
          <w:szCs w:val="26"/>
          <w:lang w:val="zu-ZA"/>
        </w:rPr>
        <w:t xml:space="preserve">n nay </w:t>
      </w:r>
      <w:r w:rsidR="003F7D44" w:rsidRPr="008E63BB">
        <w:rPr>
          <w:bCs/>
          <w:spacing w:val="6"/>
          <w:szCs w:val="26"/>
          <w:lang w:val="zu-ZA"/>
        </w:rPr>
        <w:t>đang xây dựng Bệnh viện đa khoa</w:t>
      </w:r>
      <w:r w:rsidR="00CF0856" w:rsidRPr="008E63BB">
        <w:rPr>
          <w:bCs/>
          <w:spacing w:val="6"/>
          <w:szCs w:val="26"/>
          <w:lang w:val="zu-ZA"/>
        </w:rPr>
        <w:t xml:space="preserve"> quy mô 700 giường</w:t>
      </w:r>
      <w:r w:rsidR="009671CF" w:rsidRPr="008E63BB">
        <w:rPr>
          <w:bCs/>
          <w:spacing w:val="6"/>
          <w:szCs w:val="26"/>
          <w:lang w:val="zu-ZA"/>
        </w:rPr>
        <w:t xml:space="preserve">tại khu phía Bắc thành phố </w:t>
      </w:r>
      <w:r w:rsidR="003F7D44" w:rsidRPr="008E63BB">
        <w:rPr>
          <w:bCs/>
          <w:spacing w:val="6"/>
          <w:szCs w:val="26"/>
          <w:lang w:val="zu-ZA"/>
        </w:rPr>
        <w:t>– khu vực bệnh viện cũ sẽ chuyển thành đất dịch vụ công cộng và đất hỗn hợp thương mại dịch vụ).</w:t>
      </w:r>
      <w:r w:rsidR="00A25035" w:rsidRPr="008E63BB">
        <w:rPr>
          <w:bCs/>
          <w:spacing w:val="6"/>
          <w:szCs w:val="26"/>
          <w:lang w:val="zu-ZA"/>
        </w:rPr>
        <w:t>Thành phố có 08 bệnh viện chuyên khoa là các bệnh viện vệ tinh của bệnh viện trung ương (BV phụ sản, BV Nhi, BV y học cổ truyền,  BV mắt, BV Phổi, BV tâm thần, BV nội tiết, BV Da liễu) với tổng số 2.000 giường bệnh (thực kê là 2.415 giường bệnh) và 02 bệnh viện ngành, tư nhân với 290 giường bệnh (thực kê 310 giường bệnh).</w:t>
      </w:r>
      <w:r w:rsidR="00993172" w:rsidRPr="008E63BB">
        <w:rPr>
          <w:bCs/>
          <w:spacing w:val="6"/>
          <w:szCs w:val="26"/>
          <w:lang w:val="zu-ZA"/>
        </w:rPr>
        <w:t xml:space="preserve"> Ngoài ra còn có các trung tâm y tế, trạm y tế chuyên ngành</w:t>
      </w:r>
      <w:r w:rsidR="00F67BF3" w:rsidRPr="008E63BB">
        <w:rPr>
          <w:iCs/>
          <w:lang w:val="zu-ZA"/>
        </w:rPr>
        <w:t>.</w:t>
      </w:r>
    </w:p>
    <w:p w14:paraId="519B26AB" w14:textId="77777777" w:rsidR="00F67BF3" w:rsidRPr="008E63BB" w:rsidRDefault="00F67BF3" w:rsidP="0065184D">
      <w:pPr>
        <w:widowControl w:val="0"/>
        <w:ind w:firstLine="720"/>
        <w:rPr>
          <w:iCs/>
          <w:lang w:val="zu-ZA"/>
        </w:rPr>
      </w:pPr>
      <w:r w:rsidRPr="008E63BB">
        <w:rPr>
          <w:iCs/>
          <w:lang w:val="zu-ZA"/>
        </w:rPr>
        <w:t>Cơ sở vật chất, trang thiết bị y tế các bệnh viện và cơ sở y tế được quan tâm đầu tư, thu hút được các bác sỹ chuyên gia giỏi về khám chữa bệnh, đáp ứng yêu cầu khám chữa điều trị bệnh cho người dân</w:t>
      </w:r>
    </w:p>
    <w:p w14:paraId="519B26AC" w14:textId="77777777" w:rsidR="00EC7FC3" w:rsidRPr="008E63BB" w:rsidRDefault="00EC7FC3" w:rsidP="0065184D">
      <w:pPr>
        <w:widowControl w:val="0"/>
        <w:ind w:firstLine="720"/>
        <w:jc w:val="center"/>
        <w:rPr>
          <w:b/>
          <w:iCs/>
          <w:lang w:val="zu-ZA"/>
        </w:rPr>
      </w:pPr>
      <w:r w:rsidRPr="008E63BB">
        <w:rPr>
          <w:b/>
          <w:iCs/>
          <w:lang w:val="zu-ZA"/>
        </w:rPr>
        <w:t>Bảng: hệ thống các công trình y tế cấp đô thị</w:t>
      </w:r>
    </w:p>
    <w:tbl>
      <w:tblPr>
        <w:tblW w:w="9181" w:type="dxa"/>
        <w:tblInd w:w="113" w:type="dxa"/>
        <w:tblLook w:val="04A0" w:firstRow="1" w:lastRow="0" w:firstColumn="1" w:lastColumn="0" w:noHBand="0" w:noVBand="1"/>
      </w:tblPr>
      <w:tblGrid>
        <w:gridCol w:w="573"/>
        <w:gridCol w:w="3223"/>
        <w:gridCol w:w="3626"/>
        <w:gridCol w:w="949"/>
        <w:gridCol w:w="810"/>
      </w:tblGrid>
      <w:tr w:rsidR="008D5BFE" w:rsidRPr="008E63BB" w14:paraId="519B26B2" w14:textId="77777777" w:rsidTr="00A25035">
        <w:trPr>
          <w:cantSplit/>
          <w:trHeight w:val="1258"/>
          <w:tblHeader/>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26AD" w14:textId="77777777" w:rsidR="00EC7FC3" w:rsidRPr="008E63BB" w:rsidRDefault="00EC7FC3" w:rsidP="0065184D">
            <w:pPr>
              <w:jc w:val="center"/>
              <w:rPr>
                <w:rFonts w:eastAsia="Times New Roman"/>
                <w:sz w:val="24"/>
                <w:szCs w:val="24"/>
              </w:rPr>
            </w:pPr>
            <w:r w:rsidRPr="008E63BB">
              <w:rPr>
                <w:rFonts w:eastAsia="Times New Roman"/>
                <w:sz w:val="24"/>
                <w:szCs w:val="24"/>
              </w:rPr>
              <w:t>TT</w:t>
            </w:r>
          </w:p>
        </w:tc>
        <w:tc>
          <w:tcPr>
            <w:tcW w:w="3223" w:type="dxa"/>
            <w:tcBorders>
              <w:top w:val="single" w:sz="4" w:space="0" w:color="auto"/>
              <w:left w:val="nil"/>
              <w:bottom w:val="single" w:sz="4" w:space="0" w:color="auto"/>
              <w:right w:val="single" w:sz="4" w:space="0" w:color="auto"/>
            </w:tcBorders>
            <w:shd w:val="clear" w:color="auto" w:fill="auto"/>
            <w:vAlign w:val="center"/>
            <w:hideMark/>
          </w:tcPr>
          <w:p w14:paraId="519B26AE" w14:textId="77777777" w:rsidR="00EC7FC3" w:rsidRPr="008E63BB" w:rsidRDefault="00EC7FC3" w:rsidP="0065184D">
            <w:pPr>
              <w:jc w:val="center"/>
              <w:rPr>
                <w:rFonts w:eastAsia="Times New Roman"/>
                <w:sz w:val="24"/>
                <w:szCs w:val="24"/>
              </w:rPr>
            </w:pPr>
            <w:r w:rsidRPr="008E63BB">
              <w:rPr>
                <w:rFonts w:eastAsia="Times New Roman"/>
                <w:sz w:val="24"/>
                <w:szCs w:val="24"/>
              </w:rPr>
              <w:t>Danh mục</w:t>
            </w:r>
          </w:p>
        </w:tc>
        <w:tc>
          <w:tcPr>
            <w:tcW w:w="3626" w:type="dxa"/>
            <w:tcBorders>
              <w:top w:val="single" w:sz="4" w:space="0" w:color="auto"/>
              <w:left w:val="nil"/>
              <w:bottom w:val="single" w:sz="4" w:space="0" w:color="auto"/>
              <w:right w:val="single" w:sz="4" w:space="0" w:color="auto"/>
            </w:tcBorders>
            <w:shd w:val="clear" w:color="auto" w:fill="auto"/>
            <w:vAlign w:val="center"/>
            <w:hideMark/>
          </w:tcPr>
          <w:p w14:paraId="519B26AF" w14:textId="77777777" w:rsidR="00EC7FC3" w:rsidRPr="008E63BB" w:rsidRDefault="00EC7FC3" w:rsidP="0065184D">
            <w:pPr>
              <w:jc w:val="center"/>
              <w:rPr>
                <w:rFonts w:eastAsia="Times New Roman"/>
                <w:sz w:val="24"/>
                <w:szCs w:val="24"/>
              </w:rPr>
            </w:pPr>
            <w:r w:rsidRPr="008E63BB">
              <w:rPr>
                <w:rFonts w:eastAsia="Times New Roman"/>
                <w:sz w:val="24"/>
                <w:szCs w:val="24"/>
              </w:rPr>
              <w:t>Vị trí</w:t>
            </w:r>
          </w:p>
        </w:tc>
        <w:tc>
          <w:tcPr>
            <w:tcW w:w="949" w:type="dxa"/>
            <w:tcBorders>
              <w:top w:val="single" w:sz="4" w:space="0" w:color="auto"/>
              <w:left w:val="nil"/>
              <w:bottom w:val="single" w:sz="4" w:space="0" w:color="auto"/>
              <w:right w:val="single" w:sz="4" w:space="0" w:color="auto"/>
            </w:tcBorders>
            <w:shd w:val="clear" w:color="auto" w:fill="auto"/>
            <w:vAlign w:val="center"/>
            <w:hideMark/>
          </w:tcPr>
          <w:p w14:paraId="519B26B0" w14:textId="77777777" w:rsidR="00EC7FC3" w:rsidRPr="008E63BB" w:rsidRDefault="00EC7FC3" w:rsidP="0065184D">
            <w:pPr>
              <w:jc w:val="center"/>
              <w:rPr>
                <w:rFonts w:eastAsia="Times New Roman"/>
                <w:sz w:val="24"/>
                <w:szCs w:val="24"/>
              </w:rPr>
            </w:pPr>
            <w:r w:rsidRPr="008E63BB">
              <w:rPr>
                <w:rFonts w:eastAsia="Times New Roman"/>
                <w:sz w:val="24"/>
                <w:szCs w:val="24"/>
              </w:rPr>
              <w:t>Qui mô giường bệnh kế hoạch</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519B26B1" w14:textId="77777777" w:rsidR="00EC7FC3" w:rsidRPr="008E63BB" w:rsidRDefault="00EC7FC3" w:rsidP="0065184D">
            <w:pPr>
              <w:jc w:val="center"/>
              <w:rPr>
                <w:rFonts w:eastAsia="Times New Roman"/>
                <w:sz w:val="24"/>
                <w:szCs w:val="24"/>
              </w:rPr>
            </w:pPr>
            <w:r w:rsidRPr="008E63BB">
              <w:rPr>
                <w:rFonts w:eastAsia="Times New Roman"/>
                <w:sz w:val="24"/>
                <w:szCs w:val="24"/>
              </w:rPr>
              <w:t>Xếp hạng</w:t>
            </w:r>
          </w:p>
        </w:tc>
      </w:tr>
      <w:tr w:rsidR="008D5BFE" w:rsidRPr="008E63BB" w14:paraId="519B26B8" w14:textId="77777777" w:rsidTr="00EC7FC3">
        <w:trPr>
          <w:trHeight w:val="314"/>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B3" w14:textId="77777777" w:rsidR="00EC7FC3" w:rsidRPr="008E63BB" w:rsidRDefault="00EC7FC3" w:rsidP="0065184D">
            <w:pPr>
              <w:jc w:val="center"/>
              <w:rPr>
                <w:rFonts w:eastAsia="Times New Roman"/>
                <w:b/>
                <w:bCs/>
                <w:sz w:val="24"/>
                <w:szCs w:val="24"/>
              </w:rPr>
            </w:pPr>
            <w:r w:rsidRPr="008E63BB">
              <w:rPr>
                <w:rFonts w:eastAsia="Times New Roman"/>
                <w:b/>
                <w:bCs/>
                <w:sz w:val="24"/>
                <w:szCs w:val="24"/>
              </w:rPr>
              <w:t>I</w:t>
            </w:r>
          </w:p>
        </w:tc>
        <w:tc>
          <w:tcPr>
            <w:tcW w:w="3223" w:type="dxa"/>
            <w:tcBorders>
              <w:top w:val="nil"/>
              <w:left w:val="nil"/>
              <w:bottom w:val="single" w:sz="4" w:space="0" w:color="auto"/>
              <w:right w:val="single" w:sz="4" w:space="0" w:color="auto"/>
            </w:tcBorders>
            <w:shd w:val="clear" w:color="auto" w:fill="auto"/>
            <w:vAlign w:val="center"/>
            <w:hideMark/>
          </w:tcPr>
          <w:p w14:paraId="519B26B4" w14:textId="77777777" w:rsidR="00EC7FC3" w:rsidRPr="008E63BB" w:rsidRDefault="00EC7FC3" w:rsidP="0065184D">
            <w:pPr>
              <w:rPr>
                <w:rFonts w:eastAsia="Times New Roman"/>
                <w:b/>
                <w:bCs/>
                <w:sz w:val="24"/>
                <w:szCs w:val="24"/>
              </w:rPr>
            </w:pPr>
            <w:r w:rsidRPr="008E63BB">
              <w:rPr>
                <w:rFonts w:eastAsia="Times New Roman"/>
                <w:b/>
                <w:bCs/>
                <w:sz w:val="24"/>
                <w:szCs w:val="24"/>
              </w:rPr>
              <w:t>Cơ sở y tế công lập</w:t>
            </w:r>
          </w:p>
        </w:tc>
        <w:tc>
          <w:tcPr>
            <w:tcW w:w="3626" w:type="dxa"/>
            <w:tcBorders>
              <w:top w:val="nil"/>
              <w:left w:val="nil"/>
              <w:bottom w:val="single" w:sz="4" w:space="0" w:color="auto"/>
              <w:right w:val="single" w:sz="4" w:space="0" w:color="auto"/>
            </w:tcBorders>
            <w:shd w:val="clear" w:color="auto" w:fill="auto"/>
            <w:vAlign w:val="center"/>
            <w:hideMark/>
          </w:tcPr>
          <w:p w14:paraId="519B26B5" w14:textId="77777777" w:rsidR="00EC7FC3" w:rsidRPr="008E63BB" w:rsidRDefault="00EC7FC3" w:rsidP="0065184D">
            <w:pPr>
              <w:jc w:val="center"/>
              <w:rPr>
                <w:rFonts w:eastAsia="Times New Roman"/>
                <w:b/>
                <w:bCs/>
                <w:sz w:val="24"/>
                <w:szCs w:val="24"/>
              </w:rPr>
            </w:pPr>
            <w:r w:rsidRPr="008E63BB">
              <w:rPr>
                <w:rFonts w:eastAsia="Times New Roman"/>
                <w:b/>
                <w:bCs/>
                <w:sz w:val="24"/>
                <w:szCs w:val="24"/>
              </w:rPr>
              <w:t> </w:t>
            </w:r>
          </w:p>
        </w:tc>
        <w:tc>
          <w:tcPr>
            <w:tcW w:w="949" w:type="dxa"/>
            <w:tcBorders>
              <w:top w:val="nil"/>
              <w:left w:val="nil"/>
              <w:bottom w:val="single" w:sz="4" w:space="0" w:color="auto"/>
              <w:right w:val="single" w:sz="4" w:space="0" w:color="auto"/>
            </w:tcBorders>
            <w:shd w:val="clear" w:color="auto" w:fill="auto"/>
            <w:vAlign w:val="center"/>
            <w:hideMark/>
          </w:tcPr>
          <w:p w14:paraId="519B26B6" w14:textId="77777777" w:rsidR="00EC7FC3" w:rsidRPr="008E63BB" w:rsidRDefault="00EC7FC3" w:rsidP="0065184D">
            <w:pPr>
              <w:jc w:val="center"/>
              <w:rPr>
                <w:rFonts w:eastAsia="Times New Roman"/>
                <w:b/>
                <w:bCs/>
                <w:sz w:val="24"/>
                <w:szCs w:val="24"/>
              </w:rPr>
            </w:pPr>
            <w:r w:rsidRPr="008E63BB">
              <w:rPr>
                <w:rFonts w:eastAsia="Times New Roman"/>
                <w:b/>
                <w:bCs/>
                <w:sz w:val="24"/>
                <w:szCs w:val="24"/>
              </w:rPr>
              <w:t>2.0</w:t>
            </w:r>
            <w:r w:rsidR="00A25035" w:rsidRPr="008E63BB">
              <w:rPr>
                <w:rFonts w:eastAsia="Times New Roman"/>
                <w:b/>
                <w:bCs/>
                <w:sz w:val="24"/>
                <w:szCs w:val="24"/>
              </w:rPr>
              <w:t>0</w:t>
            </w:r>
            <w:r w:rsidRPr="008E63BB">
              <w:rPr>
                <w:rFonts w:eastAsia="Times New Roman"/>
                <w:b/>
                <w:bCs/>
                <w:sz w:val="24"/>
                <w:szCs w:val="24"/>
              </w:rPr>
              <w:t>0</w:t>
            </w:r>
          </w:p>
        </w:tc>
        <w:tc>
          <w:tcPr>
            <w:tcW w:w="810" w:type="dxa"/>
            <w:tcBorders>
              <w:top w:val="nil"/>
              <w:left w:val="nil"/>
              <w:bottom w:val="single" w:sz="4" w:space="0" w:color="auto"/>
              <w:right w:val="single" w:sz="4" w:space="0" w:color="auto"/>
            </w:tcBorders>
            <w:shd w:val="clear" w:color="auto" w:fill="auto"/>
            <w:vAlign w:val="center"/>
            <w:hideMark/>
          </w:tcPr>
          <w:p w14:paraId="519B26B7" w14:textId="77777777" w:rsidR="00EC7FC3" w:rsidRPr="008E63BB" w:rsidRDefault="00EC7FC3"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26BE" w14:textId="77777777" w:rsidTr="00EC7FC3">
        <w:trPr>
          <w:trHeight w:val="644"/>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B9" w14:textId="77777777" w:rsidR="00EC7FC3" w:rsidRPr="008E63BB" w:rsidRDefault="00EC7FC3" w:rsidP="0065184D">
            <w:pPr>
              <w:jc w:val="right"/>
              <w:rPr>
                <w:rFonts w:eastAsia="Times New Roman"/>
                <w:sz w:val="24"/>
                <w:szCs w:val="24"/>
              </w:rPr>
            </w:pPr>
            <w:r w:rsidRPr="008E63BB">
              <w:rPr>
                <w:rFonts w:eastAsia="Times New Roman"/>
                <w:sz w:val="24"/>
                <w:szCs w:val="24"/>
              </w:rPr>
              <w:t>1</w:t>
            </w:r>
          </w:p>
        </w:tc>
        <w:tc>
          <w:tcPr>
            <w:tcW w:w="3223" w:type="dxa"/>
            <w:tcBorders>
              <w:top w:val="nil"/>
              <w:left w:val="nil"/>
              <w:bottom w:val="single" w:sz="4" w:space="0" w:color="auto"/>
              <w:right w:val="single" w:sz="4" w:space="0" w:color="auto"/>
            </w:tcBorders>
            <w:shd w:val="clear" w:color="auto" w:fill="auto"/>
            <w:vAlign w:val="center"/>
            <w:hideMark/>
          </w:tcPr>
          <w:p w14:paraId="519B26BA" w14:textId="77777777" w:rsidR="00EC7FC3" w:rsidRPr="008E63BB" w:rsidRDefault="00EC7FC3" w:rsidP="0065184D">
            <w:pPr>
              <w:rPr>
                <w:rFonts w:eastAsia="Times New Roman"/>
                <w:sz w:val="24"/>
                <w:szCs w:val="24"/>
              </w:rPr>
            </w:pPr>
            <w:r w:rsidRPr="008E63BB">
              <w:rPr>
                <w:rFonts w:eastAsia="Times New Roman"/>
                <w:sz w:val="24"/>
                <w:szCs w:val="24"/>
              </w:rPr>
              <w:t>Bệnh viện đa khoa tỉnh Nam Định</w:t>
            </w:r>
          </w:p>
        </w:tc>
        <w:tc>
          <w:tcPr>
            <w:tcW w:w="3626" w:type="dxa"/>
            <w:tcBorders>
              <w:top w:val="nil"/>
              <w:left w:val="nil"/>
              <w:bottom w:val="single" w:sz="4" w:space="0" w:color="auto"/>
              <w:right w:val="single" w:sz="4" w:space="0" w:color="auto"/>
            </w:tcBorders>
            <w:shd w:val="clear" w:color="auto" w:fill="auto"/>
            <w:vAlign w:val="center"/>
            <w:hideMark/>
          </w:tcPr>
          <w:p w14:paraId="519B26BB" w14:textId="77777777" w:rsidR="00EC7FC3" w:rsidRPr="008E63BB" w:rsidRDefault="00EC7FC3" w:rsidP="0065184D">
            <w:pPr>
              <w:rPr>
                <w:rFonts w:eastAsia="Times New Roman"/>
                <w:sz w:val="24"/>
                <w:szCs w:val="24"/>
              </w:rPr>
            </w:pPr>
            <w:r w:rsidRPr="008E63BB">
              <w:rPr>
                <w:rFonts w:eastAsia="Times New Roman"/>
                <w:sz w:val="24"/>
                <w:szCs w:val="24"/>
              </w:rPr>
              <w:t>Số 2 đường Trần Quốc Toản,  Trần Đăng Ninh, thành phố Nam Định,</w:t>
            </w:r>
          </w:p>
        </w:tc>
        <w:tc>
          <w:tcPr>
            <w:tcW w:w="949" w:type="dxa"/>
            <w:tcBorders>
              <w:top w:val="nil"/>
              <w:left w:val="nil"/>
              <w:bottom w:val="single" w:sz="4" w:space="0" w:color="auto"/>
              <w:right w:val="single" w:sz="4" w:space="0" w:color="auto"/>
            </w:tcBorders>
            <w:shd w:val="clear" w:color="auto" w:fill="auto"/>
            <w:vAlign w:val="center"/>
            <w:hideMark/>
          </w:tcPr>
          <w:p w14:paraId="519B26BC" w14:textId="77777777" w:rsidR="00EC7FC3" w:rsidRPr="008E63BB" w:rsidRDefault="00EC7FC3" w:rsidP="0065184D">
            <w:pPr>
              <w:jc w:val="right"/>
              <w:rPr>
                <w:rFonts w:eastAsia="Times New Roman"/>
                <w:sz w:val="24"/>
                <w:szCs w:val="24"/>
              </w:rPr>
            </w:pPr>
            <w:r w:rsidRPr="008E63BB">
              <w:rPr>
                <w:rFonts w:eastAsia="Times New Roman"/>
                <w:sz w:val="24"/>
                <w:szCs w:val="24"/>
              </w:rPr>
              <w:t>740</w:t>
            </w:r>
          </w:p>
        </w:tc>
        <w:tc>
          <w:tcPr>
            <w:tcW w:w="810" w:type="dxa"/>
            <w:tcBorders>
              <w:top w:val="nil"/>
              <w:left w:val="nil"/>
              <w:bottom w:val="single" w:sz="4" w:space="0" w:color="auto"/>
              <w:right w:val="single" w:sz="4" w:space="0" w:color="auto"/>
            </w:tcBorders>
            <w:shd w:val="clear" w:color="auto" w:fill="auto"/>
            <w:vAlign w:val="center"/>
            <w:hideMark/>
          </w:tcPr>
          <w:p w14:paraId="519B26BD" w14:textId="77777777" w:rsidR="00EC7FC3" w:rsidRPr="008E63BB" w:rsidRDefault="00EC7FC3" w:rsidP="0065184D">
            <w:pPr>
              <w:jc w:val="right"/>
              <w:rPr>
                <w:rFonts w:eastAsia="Times New Roman"/>
                <w:sz w:val="24"/>
                <w:szCs w:val="24"/>
              </w:rPr>
            </w:pPr>
            <w:r w:rsidRPr="008E63BB">
              <w:rPr>
                <w:rFonts w:eastAsia="Times New Roman"/>
                <w:sz w:val="24"/>
                <w:szCs w:val="24"/>
              </w:rPr>
              <w:t>1</w:t>
            </w:r>
          </w:p>
        </w:tc>
      </w:tr>
      <w:tr w:rsidR="008D5BFE" w:rsidRPr="008E63BB" w14:paraId="519B26C4" w14:textId="77777777" w:rsidTr="00EC7FC3">
        <w:trPr>
          <w:trHeight w:val="629"/>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BF" w14:textId="77777777" w:rsidR="00EC7FC3" w:rsidRPr="008E63BB" w:rsidRDefault="00EC7FC3" w:rsidP="0065184D">
            <w:pPr>
              <w:jc w:val="right"/>
              <w:rPr>
                <w:rFonts w:eastAsia="Times New Roman"/>
                <w:sz w:val="24"/>
                <w:szCs w:val="24"/>
              </w:rPr>
            </w:pPr>
            <w:r w:rsidRPr="008E63BB">
              <w:rPr>
                <w:rFonts w:eastAsia="Times New Roman"/>
                <w:sz w:val="24"/>
                <w:szCs w:val="24"/>
              </w:rPr>
              <w:t>2</w:t>
            </w:r>
          </w:p>
        </w:tc>
        <w:tc>
          <w:tcPr>
            <w:tcW w:w="3223" w:type="dxa"/>
            <w:tcBorders>
              <w:top w:val="nil"/>
              <w:left w:val="nil"/>
              <w:bottom w:val="single" w:sz="4" w:space="0" w:color="auto"/>
              <w:right w:val="single" w:sz="4" w:space="0" w:color="auto"/>
            </w:tcBorders>
            <w:shd w:val="clear" w:color="auto" w:fill="auto"/>
            <w:vAlign w:val="center"/>
            <w:hideMark/>
          </w:tcPr>
          <w:p w14:paraId="519B26C0" w14:textId="77777777" w:rsidR="00EC7FC3" w:rsidRPr="008E63BB" w:rsidRDefault="00EC7FC3" w:rsidP="0065184D">
            <w:pPr>
              <w:rPr>
                <w:rFonts w:eastAsia="Times New Roman"/>
                <w:sz w:val="24"/>
                <w:szCs w:val="24"/>
              </w:rPr>
            </w:pPr>
            <w:r w:rsidRPr="008E63BB">
              <w:rPr>
                <w:rFonts w:eastAsia="Times New Roman"/>
                <w:sz w:val="24"/>
                <w:szCs w:val="24"/>
              </w:rPr>
              <w:t>Bệnh viện phụ sản Nam Định</w:t>
            </w:r>
          </w:p>
        </w:tc>
        <w:tc>
          <w:tcPr>
            <w:tcW w:w="3626" w:type="dxa"/>
            <w:tcBorders>
              <w:top w:val="nil"/>
              <w:left w:val="nil"/>
              <w:bottom w:val="single" w:sz="4" w:space="0" w:color="auto"/>
              <w:right w:val="single" w:sz="4" w:space="0" w:color="auto"/>
            </w:tcBorders>
            <w:shd w:val="clear" w:color="auto" w:fill="auto"/>
            <w:vAlign w:val="center"/>
            <w:hideMark/>
          </w:tcPr>
          <w:p w14:paraId="519B26C1" w14:textId="77777777" w:rsidR="00EC7FC3" w:rsidRPr="008E63BB" w:rsidRDefault="00EC7FC3" w:rsidP="0065184D">
            <w:pPr>
              <w:rPr>
                <w:rFonts w:eastAsia="Times New Roman"/>
                <w:sz w:val="24"/>
                <w:szCs w:val="24"/>
              </w:rPr>
            </w:pPr>
            <w:r w:rsidRPr="008E63BB">
              <w:rPr>
                <w:rFonts w:eastAsia="Times New Roman"/>
                <w:sz w:val="24"/>
                <w:szCs w:val="24"/>
              </w:rPr>
              <w:t>168, Trần Đăng Ninh,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C2" w14:textId="77777777" w:rsidR="00EC7FC3" w:rsidRPr="008E63BB" w:rsidRDefault="00EC7FC3" w:rsidP="0065184D">
            <w:pPr>
              <w:jc w:val="right"/>
              <w:rPr>
                <w:rFonts w:eastAsia="Times New Roman"/>
                <w:sz w:val="24"/>
                <w:szCs w:val="24"/>
              </w:rPr>
            </w:pPr>
            <w:r w:rsidRPr="008E63BB">
              <w:rPr>
                <w:rFonts w:eastAsia="Times New Roman"/>
                <w:sz w:val="24"/>
                <w:szCs w:val="24"/>
              </w:rPr>
              <w:t>250</w:t>
            </w:r>
          </w:p>
        </w:tc>
        <w:tc>
          <w:tcPr>
            <w:tcW w:w="810" w:type="dxa"/>
            <w:tcBorders>
              <w:top w:val="nil"/>
              <w:left w:val="nil"/>
              <w:bottom w:val="single" w:sz="4" w:space="0" w:color="auto"/>
              <w:right w:val="single" w:sz="4" w:space="0" w:color="auto"/>
            </w:tcBorders>
            <w:shd w:val="clear" w:color="auto" w:fill="auto"/>
            <w:vAlign w:val="center"/>
            <w:hideMark/>
          </w:tcPr>
          <w:p w14:paraId="519B26C3" w14:textId="77777777" w:rsidR="00EC7FC3" w:rsidRPr="008E63BB" w:rsidRDefault="00EC7FC3" w:rsidP="0065184D">
            <w:pPr>
              <w:jc w:val="right"/>
              <w:rPr>
                <w:rFonts w:eastAsia="Times New Roman"/>
                <w:sz w:val="24"/>
                <w:szCs w:val="24"/>
              </w:rPr>
            </w:pPr>
            <w:r w:rsidRPr="008E63BB">
              <w:rPr>
                <w:rFonts w:eastAsia="Times New Roman"/>
                <w:sz w:val="24"/>
                <w:szCs w:val="24"/>
              </w:rPr>
              <w:t>2</w:t>
            </w:r>
          </w:p>
        </w:tc>
      </w:tr>
      <w:tr w:rsidR="008D5BFE" w:rsidRPr="008E63BB" w14:paraId="519B26CA" w14:textId="77777777" w:rsidTr="00EC7FC3">
        <w:trPr>
          <w:trHeight w:val="612"/>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C5"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c>
          <w:tcPr>
            <w:tcW w:w="3223" w:type="dxa"/>
            <w:tcBorders>
              <w:top w:val="nil"/>
              <w:left w:val="nil"/>
              <w:bottom w:val="single" w:sz="4" w:space="0" w:color="auto"/>
              <w:right w:val="single" w:sz="4" w:space="0" w:color="auto"/>
            </w:tcBorders>
            <w:shd w:val="clear" w:color="auto" w:fill="auto"/>
            <w:vAlign w:val="center"/>
            <w:hideMark/>
          </w:tcPr>
          <w:p w14:paraId="519B26C6" w14:textId="77777777" w:rsidR="00EC7FC3" w:rsidRPr="008E63BB" w:rsidRDefault="00EC7FC3" w:rsidP="0065184D">
            <w:pPr>
              <w:rPr>
                <w:rFonts w:eastAsia="Times New Roman"/>
                <w:sz w:val="24"/>
                <w:szCs w:val="24"/>
              </w:rPr>
            </w:pPr>
            <w:r w:rsidRPr="008E63BB">
              <w:rPr>
                <w:rFonts w:eastAsia="Times New Roman"/>
                <w:sz w:val="24"/>
                <w:szCs w:val="24"/>
              </w:rPr>
              <w:t>Bệnh viện Nhi Nam Định</w:t>
            </w:r>
          </w:p>
        </w:tc>
        <w:tc>
          <w:tcPr>
            <w:tcW w:w="3626" w:type="dxa"/>
            <w:tcBorders>
              <w:top w:val="nil"/>
              <w:left w:val="nil"/>
              <w:bottom w:val="single" w:sz="4" w:space="0" w:color="auto"/>
              <w:right w:val="single" w:sz="4" w:space="0" w:color="auto"/>
            </w:tcBorders>
            <w:shd w:val="clear" w:color="auto" w:fill="auto"/>
            <w:vAlign w:val="center"/>
            <w:hideMark/>
          </w:tcPr>
          <w:p w14:paraId="519B26C7" w14:textId="77777777" w:rsidR="00EC7FC3" w:rsidRPr="008E63BB" w:rsidRDefault="00EC7FC3" w:rsidP="0065184D">
            <w:pPr>
              <w:rPr>
                <w:rFonts w:eastAsia="Times New Roman"/>
                <w:sz w:val="24"/>
                <w:szCs w:val="24"/>
              </w:rPr>
            </w:pPr>
            <w:r w:rsidRPr="008E63BB">
              <w:rPr>
                <w:rFonts w:eastAsia="Times New Roman"/>
                <w:sz w:val="24"/>
                <w:szCs w:val="24"/>
              </w:rPr>
              <w:t>12 phố Hà Huy Tập Trần Đăng Ninh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C8" w14:textId="77777777" w:rsidR="00EC7FC3" w:rsidRPr="008E63BB" w:rsidRDefault="00EC7FC3" w:rsidP="0065184D">
            <w:pPr>
              <w:jc w:val="right"/>
              <w:rPr>
                <w:rFonts w:eastAsia="Times New Roman"/>
                <w:sz w:val="24"/>
                <w:szCs w:val="24"/>
              </w:rPr>
            </w:pPr>
            <w:r w:rsidRPr="008E63BB">
              <w:rPr>
                <w:rFonts w:eastAsia="Times New Roman"/>
                <w:sz w:val="24"/>
                <w:szCs w:val="24"/>
              </w:rPr>
              <w:t>200</w:t>
            </w:r>
          </w:p>
        </w:tc>
        <w:tc>
          <w:tcPr>
            <w:tcW w:w="810" w:type="dxa"/>
            <w:tcBorders>
              <w:top w:val="nil"/>
              <w:left w:val="nil"/>
              <w:bottom w:val="single" w:sz="4" w:space="0" w:color="auto"/>
              <w:right w:val="single" w:sz="4" w:space="0" w:color="auto"/>
            </w:tcBorders>
            <w:shd w:val="clear" w:color="auto" w:fill="auto"/>
            <w:vAlign w:val="center"/>
            <w:hideMark/>
          </w:tcPr>
          <w:p w14:paraId="519B26C9"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r>
      <w:tr w:rsidR="008D5BFE" w:rsidRPr="008E63BB" w14:paraId="519B26D0" w14:textId="77777777" w:rsidTr="00EC7FC3">
        <w:trPr>
          <w:trHeight w:val="629"/>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CB" w14:textId="77777777" w:rsidR="00EC7FC3" w:rsidRPr="008E63BB" w:rsidRDefault="00EC7FC3" w:rsidP="0065184D">
            <w:pPr>
              <w:jc w:val="right"/>
              <w:rPr>
                <w:rFonts w:eastAsia="Times New Roman"/>
                <w:sz w:val="24"/>
                <w:szCs w:val="24"/>
              </w:rPr>
            </w:pPr>
            <w:r w:rsidRPr="008E63BB">
              <w:rPr>
                <w:rFonts w:eastAsia="Times New Roman"/>
                <w:sz w:val="24"/>
                <w:szCs w:val="24"/>
              </w:rPr>
              <w:t>4</w:t>
            </w:r>
          </w:p>
        </w:tc>
        <w:tc>
          <w:tcPr>
            <w:tcW w:w="3223" w:type="dxa"/>
            <w:tcBorders>
              <w:top w:val="nil"/>
              <w:left w:val="nil"/>
              <w:bottom w:val="single" w:sz="4" w:space="0" w:color="auto"/>
              <w:right w:val="single" w:sz="4" w:space="0" w:color="auto"/>
            </w:tcBorders>
            <w:shd w:val="clear" w:color="auto" w:fill="auto"/>
            <w:vAlign w:val="center"/>
            <w:hideMark/>
          </w:tcPr>
          <w:p w14:paraId="519B26CC" w14:textId="77777777" w:rsidR="00EC7FC3" w:rsidRPr="008E63BB" w:rsidRDefault="00EC7FC3" w:rsidP="0065184D">
            <w:pPr>
              <w:rPr>
                <w:rFonts w:eastAsia="Times New Roman"/>
                <w:sz w:val="24"/>
                <w:szCs w:val="24"/>
              </w:rPr>
            </w:pPr>
            <w:r w:rsidRPr="008E63BB">
              <w:rPr>
                <w:rFonts w:eastAsia="Times New Roman"/>
                <w:sz w:val="24"/>
                <w:szCs w:val="24"/>
              </w:rPr>
              <w:t>Bệnh viện mắt Nam Định</w:t>
            </w:r>
          </w:p>
        </w:tc>
        <w:tc>
          <w:tcPr>
            <w:tcW w:w="3626" w:type="dxa"/>
            <w:tcBorders>
              <w:top w:val="nil"/>
              <w:left w:val="nil"/>
              <w:bottom w:val="single" w:sz="4" w:space="0" w:color="auto"/>
              <w:right w:val="single" w:sz="4" w:space="0" w:color="auto"/>
            </w:tcBorders>
            <w:shd w:val="clear" w:color="auto" w:fill="auto"/>
            <w:vAlign w:val="center"/>
            <w:hideMark/>
          </w:tcPr>
          <w:p w14:paraId="519B26CD" w14:textId="77777777" w:rsidR="00EC7FC3" w:rsidRPr="008E63BB" w:rsidRDefault="00EC7FC3" w:rsidP="0065184D">
            <w:pPr>
              <w:rPr>
                <w:rFonts w:eastAsia="Times New Roman"/>
                <w:sz w:val="24"/>
                <w:szCs w:val="24"/>
              </w:rPr>
            </w:pPr>
            <w:r w:rsidRPr="008E63BB">
              <w:rPr>
                <w:rFonts w:eastAsia="Times New Roman"/>
                <w:sz w:val="24"/>
                <w:szCs w:val="24"/>
              </w:rPr>
              <w:t xml:space="preserve">269 Phù Nghĩa, </w:t>
            </w:r>
            <w:r w:rsidR="00450752" w:rsidRPr="008E63BB">
              <w:rPr>
                <w:rFonts w:eastAsia="Times New Roman"/>
                <w:sz w:val="24"/>
                <w:szCs w:val="24"/>
              </w:rPr>
              <w:t>Nam Định</w:t>
            </w:r>
            <w:r w:rsidRPr="008E63BB">
              <w:rPr>
                <w:rFonts w:eastAsia="Times New Roman"/>
                <w:sz w:val="24"/>
                <w:szCs w:val="24"/>
              </w:rPr>
              <w:t>,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CE" w14:textId="77777777" w:rsidR="00EC7FC3" w:rsidRPr="008E63BB" w:rsidRDefault="00EC7FC3" w:rsidP="0065184D">
            <w:pPr>
              <w:jc w:val="right"/>
              <w:rPr>
                <w:rFonts w:eastAsia="Times New Roman"/>
                <w:sz w:val="24"/>
                <w:szCs w:val="24"/>
              </w:rPr>
            </w:pPr>
            <w:r w:rsidRPr="008E63BB">
              <w:rPr>
                <w:rFonts w:eastAsia="Times New Roman"/>
                <w:sz w:val="24"/>
                <w:szCs w:val="24"/>
              </w:rPr>
              <w:t>90</w:t>
            </w:r>
          </w:p>
        </w:tc>
        <w:tc>
          <w:tcPr>
            <w:tcW w:w="810" w:type="dxa"/>
            <w:tcBorders>
              <w:top w:val="nil"/>
              <w:left w:val="nil"/>
              <w:bottom w:val="single" w:sz="4" w:space="0" w:color="auto"/>
              <w:right w:val="single" w:sz="4" w:space="0" w:color="auto"/>
            </w:tcBorders>
            <w:shd w:val="clear" w:color="auto" w:fill="auto"/>
            <w:vAlign w:val="center"/>
            <w:hideMark/>
          </w:tcPr>
          <w:p w14:paraId="519B26CF"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r>
      <w:tr w:rsidR="008D5BFE" w:rsidRPr="008E63BB" w14:paraId="519B26D6" w14:textId="77777777" w:rsidTr="00EC7FC3">
        <w:trPr>
          <w:trHeight w:val="643"/>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D1" w14:textId="77777777" w:rsidR="00EC7FC3" w:rsidRPr="008E63BB" w:rsidRDefault="00EC7FC3" w:rsidP="0065184D">
            <w:pPr>
              <w:jc w:val="right"/>
              <w:rPr>
                <w:rFonts w:eastAsia="Times New Roman"/>
                <w:sz w:val="24"/>
                <w:szCs w:val="24"/>
              </w:rPr>
            </w:pPr>
            <w:r w:rsidRPr="008E63BB">
              <w:rPr>
                <w:rFonts w:eastAsia="Times New Roman"/>
                <w:sz w:val="24"/>
                <w:szCs w:val="24"/>
              </w:rPr>
              <w:t>5</w:t>
            </w:r>
          </w:p>
        </w:tc>
        <w:tc>
          <w:tcPr>
            <w:tcW w:w="3223" w:type="dxa"/>
            <w:tcBorders>
              <w:top w:val="nil"/>
              <w:left w:val="nil"/>
              <w:bottom w:val="single" w:sz="4" w:space="0" w:color="auto"/>
              <w:right w:val="single" w:sz="4" w:space="0" w:color="auto"/>
            </w:tcBorders>
            <w:shd w:val="clear" w:color="auto" w:fill="auto"/>
            <w:vAlign w:val="center"/>
            <w:hideMark/>
          </w:tcPr>
          <w:p w14:paraId="519B26D2" w14:textId="77777777" w:rsidR="00EC7FC3" w:rsidRPr="008E63BB" w:rsidRDefault="00EC7FC3" w:rsidP="0065184D">
            <w:pPr>
              <w:rPr>
                <w:rFonts w:eastAsia="Times New Roman"/>
                <w:sz w:val="24"/>
                <w:szCs w:val="24"/>
              </w:rPr>
            </w:pPr>
            <w:r w:rsidRPr="008E63BB">
              <w:rPr>
                <w:rFonts w:eastAsia="Times New Roman"/>
                <w:sz w:val="24"/>
                <w:szCs w:val="24"/>
              </w:rPr>
              <w:t>Bệnh viện Lao Phổi Nam Định</w:t>
            </w:r>
          </w:p>
        </w:tc>
        <w:tc>
          <w:tcPr>
            <w:tcW w:w="3626" w:type="dxa"/>
            <w:tcBorders>
              <w:top w:val="nil"/>
              <w:left w:val="nil"/>
              <w:bottom w:val="single" w:sz="4" w:space="0" w:color="auto"/>
              <w:right w:val="single" w:sz="4" w:space="0" w:color="auto"/>
            </w:tcBorders>
            <w:shd w:val="clear" w:color="auto" w:fill="auto"/>
            <w:vAlign w:val="center"/>
            <w:hideMark/>
          </w:tcPr>
          <w:p w14:paraId="519B26D3" w14:textId="77777777" w:rsidR="00EC7FC3" w:rsidRPr="008E63BB" w:rsidRDefault="00EC7FC3" w:rsidP="0065184D">
            <w:pPr>
              <w:rPr>
                <w:rFonts w:eastAsia="Times New Roman"/>
                <w:sz w:val="24"/>
                <w:szCs w:val="24"/>
              </w:rPr>
            </w:pPr>
            <w:r w:rsidRPr="008E63BB">
              <w:rPr>
                <w:rFonts w:eastAsia="Times New Roman"/>
                <w:sz w:val="24"/>
                <w:szCs w:val="24"/>
              </w:rPr>
              <w:t>136 Phạm Ngọc Thạch, Lộc Hạ,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D4" w14:textId="77777777" w:rsidR="00EC7FC3" w:rsidRPr="008E63BB" w:rsidRDefault="00EC7FC3" w:rsidP="0065184D">
            <w:pPr>
              <w:jc w:val="right"/>
              <w:rPr>
                <w:rFonts w:eastAsia="Times New Roman"/>
                <w:sz w:val="24"/>
                <w:szCs w:val="24"/>
              </w:rPr>
            </w:pPr>
            <w:r w:rsidRPr="008E63BB">
              <w:rPr>
                <w:rFonts w:eastAsia="Times New Roman"/>
                <w:sz w:val="24"/>
                <w:szCs w:val="24"/>
              </w:rPr>
              <w:t>180</w:t>
            </w:r>
          </w:p>
        </w:tc>
        <w:tc>
          <w:tcPr>
            <w:tcW w:w="810" w:type="dxa"/>
            <w:tcBorders>
              <w:top w:val="nil"/>
              <w:left w:val="nil"/>
              <w:bottom w:val="single" w:sz="4" w:space="0" w:color="auto"/>
              <w:right w:val="single" w:sz="4" w:space="0" w:color="auto"/>
            </w:tcBorders>
            <w:shd w:val="clear" w:color="auto" w:fill="auto"/>
            <w:vAlign w:val="center"/>
            <w:hideMark/>
          </w:tcPr>
          <w:p w14:paraId="519B26D5" w14:textId="77777777" w:rsidR="00EC7FC3" w:rsidRPr="008E63BB" w:rsidRDefault="00EC7FC3" w:rsidP="0065184D">
            <w:pPr>
              <w:jc w:val="right"/>
              <w:rPr>
                <w:rFonts w:eastAsia="Times New Roman"/>
                <w:sz w:val="24"/>
                <w:szCs w:val="24"/>
              </w:rPr>
            </w:pPr>
            <w:r w:rsidRPr="008E63BB">
              <w:rPr>
                <w:rFonts w:eastAsia="Times New Roman"/>
                <w:sz w:val="24"/>
                <w:szCs w:val="24"/>
              </w:rPr>
              <w:t>2</w:t>
            </w:r>
          </w:p>
        </w:tc>
      </w:tr>
      <w:tr w:rsidR="008D5BFE" w:rsidRPr="008E63BB" w14:paraId="519B26DC" w14:textId="77777777" w:rsidTr="00EC7FC3">
        <w:trPr>
          <w:trHeight w:val="629"/>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D7" w14:textId="77777777" w:rsidR="00EC7FC3" w:rsidRPr="008E63BB" w:rsidRDefault="00EC7FC3" w:rsidP="0065184D">
            <w:pPr>
              <w:jc w:val="right"/>
              <w:rPr>
                <w:rFonts w:eastAsia="Times New Roman"/>
                <w:sz w:val="24"/>
                <w:szCs w:val="24"/>
              </w:rPr>
            </w:pPr>
            <w:r w:rsidRPr="008E63BB">
              <w:rPr>
                <w:rFonts w:eastAsia="Times New Roman"/>
                <w:sz w:val="24"/>
                <w:szCs w:val="24"/>
              </w:rPr>
              <w:lastRenderedPageBreak/>
              <w:t>6</w:t>
            </w:r>
          </w:p>
        </w:tc>
        <w:tc>
          <w:tcPr>
            <w:tcW w:w="3223" w:type="dxa"/>
            <w:tcBorders>
              <w:top w:val="nil"/>
              <w:left w:val="nil"/>
              <w:bottom w:val="single" w:sz="4" w:space="0" w:color="auto"/>
              <w:right w:val="single" w:sz="4" w:space="0" w:color="auto"/>
            </w:tcBorders>
            <w:shd w:val="clear" w:color="auto" w:fill="auto"/>
            <w:vAlign w:val="center"/>
            <w:hideMark/>
          </w:tcPr>
          <w:p w14:paraId="519B26D8" w14:textId="77777777" w:rsidR="00EC7FC3" w:rsidRPr="008E63BB" w:rsidRDefault="00EC7FC3" w:rsidP="0065184D">
            <w:pPr>
              <w:rPr>
                <w:rFonts w:eastAsia="Times New Roman"/>
                <w:sz w:val="24"/>
                <w:szCs w:val="24"/>
              </w:rPr>
            </w:pPr>
            <w:r w:rsidRPr="008E63BB">
              <w:rPr>
                <w:rFonts w:eastAsia="Times New Roman"/>
                <w:sz w:val="24"/>
                <w:szCs w:val="24"/>
              </w:rPr>
              <w:t>Bệnh viện Y học cổ truyền Nam Định</w:t>
            </w:r>
          </w:p>
        </w:tc>
        <w:tc>
          <w:tcPr>
            <w:tcW w:w="3626" w:type="dxa"/>
            <w:tcBorders>
              <w:top w:val="nil"/>
              <w:left w:val="nil"/>
              <w:bottom w:val="single" w:sz="4" w:space="0" w:color="auto"/>
              <w:right w:val="single" w:sz="4" w:space="0" w:color="auto"/>
            </w:tcBorders>
            <w:shd w:val="clear" w:color="auto" w:fill="auto"/>
            <w:vAlign w:val="center"/>
            <w:hideMark/>
          </w:tcPr>
          <w:p w14:paraId="519B26D9" w14:textId="77777777" w:rsidR="00EC7FC3" w:rsidRPr="008E63BB" w:rsidRDefault="00EC7FC3" w:rsidP="0065184D">
            <w:pPr>
              <w:rPr>
                <w:rFonts w:eastAsia="Times New Roman"/>
                <w:sz w:val="24"/>
                <w:szCs w:val="24"/>
              </w:rPr>
            </w:pPr>
            <w:r w:rsidRPr="008E63BB">
              <w:rPr>
                <w:rFonts w:eastAsia="Times New Roman"/>
                <w:sz w:val="24"/>
                <w:szCs w:val="24"/>
              </w:rPr>
              <w:t>Huyền Trân, Lộc Vượng,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DA" w14:textId="77777777" w:rsidR="00EC7FC3" w:rsidRPr="008E63BB" w:rsidRDefault="00EC7FC3" w:rsidP="0065184D">
            <w:pPr>
              <w:jc w:val="right"/>
              <w:rPr>
                <w:rFonts w:eastAsia="Times New Roman"/>
                <w:sz w:val="24"/>
                <w:szCs w:val="24"/>
              </w:rPr>
            </w:pPr>
            <w:r w:rsidRPr="008E63BB">
              <w:rPr>
                <w:rFonts w:eastAsia="Times New Roman"/>
                <w:sz w:val="24"/>
                <w:szCs w:val="24"/>
              </w:rPr>
              <w:t>200</w:t>
            </w:r>
          </w:p>
        </w:tc>
        <w:tc>
          <w:tcPr>
            <w:tcW w:w="810" w:type="dxa"/>
            <w:tcBorders>
              <w:top w:val="nil"/>
              <w:left w:val="nil"/>
              <w:bottom w:val="single" w:sz="4" w:space="0" w:color="auto"/>
              <w:right w:val="single" w:sz="4" w:space="0" w:color="auto"/>
            </w:tcBorders>
            <w:shd w:val="clear" w:color="auto" w:fill="auto"/>
            <w:vAlign w:val="center"/>
            <w:hideMark/>
          </w:tcPr>
          <w:p w14:paraId="519B26DB"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r>
      <w:tr w:rsidR="008D5BFE" w:rsidRPr="008E63BB" w14:paraId="519B26E2" w14:textId="77777777" w:rsidTr="00EC7FC3">
        <w:trPr>
          <w:trHeight w:val="405"/>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DD" w14:textId="77777777" w:rsidR="00EC7FC3" w:rsidRPr="008E63BB" w:rsidRDefault="00EC7FC3" w:rsidP="0065184D">
            <w:pPr>
              <w:jc w:val="right"/>
              <w:rPr>
                <w:rFonts w:eastAsia="Times New Roman"/>
                <w:sz w:val="24"/>
                <w:szCs w:val="24"/>
              </w:rPr>
            </w:pPr>
            <w:r w:rsidRPr="008E63BB">
              <w:rPr>
                <w:rFonts w:eastAsia="Times New Roman"/>
                <w:sz w:val="24"/>
                <w:szCs w:val="24"/>
              </w:rPr>
              <w:t>7</w:t>
            </w:r>
          </w:p>
        </w:tc>
        <w:tc>
          <w:tcPr>
            <w:tcW w:w="3223" w:type="dxa"/>
            <w:tcBorders>
              <w:top w:val="nil"/>
              <w:left w:val="nil"/>
              <w:bottom w:val="single" w:sz="4" w:space="0" w:color="auto"/>
              <w:right w:val="single" w:sz="4" w:space="0" w:color="auto"/>
            </w:tcBorders>
            <w:shd w:val="clear" w:color="auto" w:fill="auto"/>
            <w:vAlign w:val="center"/>
            <w:hideMark/>
          </w:tcPr>
          <w:p w14:paraId="519B26DE" w14:textId="77777777" w:rsidR="00EC7FC3" w:rsidRPr="008E63BB" w:rsidRDefault="00EC7FC3" w:rsidP="0065184D">
            <w:pPr>
              <w:rPr>
                <w:rFonts w:eastAsia="Times New Roman"/>
                <w:sz w:val="24"/>
                <w:szCs w:val="24"/>
              </w:rPr>
            </w:pPr>
            <w:r w:rsidRPr="008E63BB">
              <w:rPr>
                <w:rFonts w:eastAsia="Times New Roman"/>
                <w:sz w:val="24"/>
                <w:szCs w:val="24"/>
              </w:rPr>
              <w:t>Bệnh viện tâm thần Nam Định</w:t>
            </w:r>
          </w:p>
        </w:tc>
        <w:tc>
          <w:tcPr>
            <w:tcW w:w="3626" w:type="dxa"/>
            <w:tcBorders>
              <w:top w:val="nil"/>
              <w:left w:val="nil"/>
              <w:bottom w:val="single" w:sz="4" w:space="0" w:color="auto"/>
              <w:right w:val="single" w:sz="4" w:space="0" w:color="auto"/>
            </w:tcBorders>
            <w:shd w:val="clear" w:color="auto" w:fill="auto"/>
            <w:vAlign w:val="center"/>
            <w:hideMark/>
          </w:tcPr>
          <w:p w14:paraId="519B26DF" w14:textId="77777777" w:rsidR="00EC7FC3" w:rsidRPr="008E63BB" w:rsidRDefault="00EC7FC3" w:rsidP="0065184D">
            <w:pPr>
              <w:rPr>
                <w:rFonts w:eastAsia="Times New Roman"/>
                <w:sz w:val="24"/>
                <w:szCs w:val="24"/>
              </w:rPr>
            </w:pPr>
            <w:r w:rsidRPr="008E63BB">
              <w:rPr>
                <w:rFonts w:eastAsia="Times New Roman"/>
                <w:sz w:val="24"/>
                <w:szCs w:val="24"/>
              </w:rPr>
              <w:t>Đệ Tứ, Lộc Hạ,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E0" w14:textId="77777777" w:rsidR="00EC7FC3" w:rsidRPr="008E63BB" w:rsidRDefault="00EC7FC3" w:rsidP="0065184D">
            <w:pPr>
              <w:jc w:val="right"/>
              <w:rPr>
                <w:rFonts w:eastAsia="Times New Roman"/>
                <w:sz w:val="24"/>
                <w:szCs w:val="24"/>
              </w:rPr>
            </w:pPr>
            <w:r w:rsidRPr="008E63BB">
              <w:rPr>
                <w:rFonts w:eastAsia="Times New Roman"/>
                <w:sz w:val="24"/>
                <w:szCs w:val="24"/>
              </w:rPr>
              <w:t>200</w:t>
            </w:r>
          </w:p>
        </w:tc>
        <w:tc>
          <w:tcPr>
            <w:tcW w:w="810" w:type="dxa"/>
            <w:tcBorders>
              <w:top w:val="nil"/>
              <w:left w:val="nil"/>
              <w:bottom w:val="single" w:sz="4" w:space="0" w:color="auto"/>
              <w:right w:val="single" w:sz="4" w:space="0" w:color="auto"/>
            </w:tcBorders>
            <w:shd w:val="clear" w:color="auto" w:fill="auto"/>
            <w:vAlign w:val="center"/>
            <w:hideMark/>
          </w:tcPr>
          <w:p w14:paraId="519B26E1"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r>
      <w:tr w:rsidR="008D5BFE" w:rsidRPr="008E63BB" w14:paraId="519B26E8" w14:textId="77777777" w:rsidTr="00EC7FC3">
        <w:trPr>
          <w:trHeight w:val="629"/>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E3" w14:textId="77777777" w:rsidR="00EC7FC3" w:rsidRPr="008E63BB" w:rsidRDefault="00EC7FC3" w:rsidP="0065184D">
            <w:pPr>
              <w:jc w:val="right"/>
              <w:rPr>
                <w:rFonts w:eastAsia="Times New Roman"/>
                <w:sz w:val="24"/>
                <w:szCs w:val="24"/>
              </w:rPr>
            </w:pPr>
            <w:r w:rsidRPr="008E63BB">
              <w:rPr>
                <w:rFonts w:eastAsia="Times New Roman"/>
                <w:sz w:val="24"/>
                <w:szCs w:val="24"/>
              </w:rPr>
              <w:t>8</w:t>
            </w:r>
          </w:p>
        </w:tc>
        <w:tc>
          <w:tcPr>
            <w:tcW w:w="3223" w:type="dxa"/>
            <w:tcBorders>
              <w:top w:val="nil"/>
              <w:left w:val="nil"/>
              <w:bottom w:val="single" w:sz="4" w:space="0" w:color="auto"/>
              <w:right w:val="single" w:sz="4" w:space="0" w:color="auto"/>
            </w:tcBorders>
            <w:shd w:val="clear" w:color="auto" w:fill="auto"/>
            <w:vAlign w:val="center"/>
            <w:hideMark/>
          </w:tcPr>
          <w:p w14:paraId="519B26E4" w14:textId="77777777" w:rsidR="00EC7FC3" w:rsidRPr="008E63BB" w:rsidRDefault="00EC7FC3" w:rsidP="0065184D">
            <w:pPr>
              <w:rPr>
                <w:rFonts w:eastAsia="Times New Roman"/>
                <w:sz w:val="24"/>
                <w:szCs w:val="24"/>
              </w:rPr>
            </w:pPr>
            <w:r w:rsidRPr="008E63BB">
              <w:rPr>
                <w:rFonts w:eastAsia="Times New Roman"/>
                <w:sz w:val="24"/>
                <w:szCs w:val="24"/>
              </w:rPr>
              <w:t>Bệnh viện nội tiết</w:t>
            </w:r>
          </w:p>
        </w:tc>
        <w:tc>
          <w:tcPr>
            <w:tcW w:w="3626" w:type="dxa"/>
            <w:tcBorders>
              <w:top w:val="nil"/>
              <w:left w:val="nil"/>
              <w:bottom w:val="single" w:sz="4" w:space="0" w:color="auto"/>
              <w:right w:val="single" w:sz="4" w:space="0" w:color="auto"/>
            </w:tcBorders>
            <w:shd w:val="clear" w:color="auto" w:fill="auto"/>
            <w:vAlign w:val="center"/>
            <w:hideMark/>
          </w:tcPr>
          <w:p w14:paraId="519B26E5" w14:textId="77777777" w:rsidR="00EC7FC3" w:rsidRPr="008E63BB" w:rsidRDefault="00EC7FC3" w:rsidP="0065184D">
            <w:pPr>
              <w:rPr>
                <w:rFonts w:eastAsia="Times New Roman"/>
                <w:sz w:val="24"/>
                <w:szCs w:val="24"/>
              </w:rPr>
            </w:pPr>
            <w:r w:rsidRPr="008E63BB">
              <w:rPr>
                <w:rFonts w:eastAsia="Times New Roman"/>
                <w:sz w:val="24"/>
                <w:szCs w:val="24"/>
              </w:rPr>
              <w:t>Phù Nghĩa, Lộc Vượng,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E6" w14:textId="77777777" w:rsidR="00EC7FC3" w:rsidRPr="008E63BB" w:rsidRDefault="00EC7FC3" w:rsidP="0065184D">
            <w:pPr>
              <w:jc w:val="right"/>
              <w:rPr>
                <w:rFonts w:eastAsia="Times New Roman"/>
                <w:sz w:val="24"/>
                <w:szCs w:val="24"/>
              </w:rPr>
            </w:pPr>
            <w:r w:rsidRPr="008E63BB">
              <w:rPr>
                <w:rFonts w:eastAsia="Times New Roman"/>
                <w:sz w:val="24"/>
                <w:szCs w:val="24"/>
              </w:rPr>
              <w:t>70</w:t>
            </w:r>
          </w:p>
        </w:tc>
        <w:tc>
          <w:tcPr>
            <w:tcW w:w="810" w:type="dxa"/>
            <w:tcBorders>
              <w:top w:val="nil"/>
              <w:left w:val="nil"/>
              <w:bottom w:val="single" w:sz="4" w:space="0" w:color="auto"/>
              <w:right w:val="single" w:sz="4" w:space="0" w:color="auto"/>
            </w:tcBorders>
            <w:shd w:val="clear" w:color="auto" w:fill="auto"/>
            <w:vAlign w:val="center"/>
            <w:hideMark/>
          </w:tcPr>
          <w:p w14:paraId="519B26E7"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r>
      <w:tr w:rsidR="008D5BFE" w:rsidRPr="008E63BB" w14:paraId="519B26EE" w14:textId="77777777" w:rsidTr="00EC7FC3">
        <w:trPr>
          <w:trHeight w:val="629"/>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E9" w14:textId="77777777" w:rsidR="00EC7FC3" w:rsidRPr="008E63BB" w:rsidRDefault="00EC7FC3" w:rsidP="0065184D">
            <w:pPr>
              <w:jc w:val="right"/>
              <w:rPr>
                <w:rFonts w:eastAsia="Times New Roman"/>
                <w:sz w:val="24"/>
                <w:szCs w:val="24"/>
              </w:rPr>
            </w:pPr>
            <w:r w:rsidRPr="008E63BB">
              <w:rPr>
                <w:rFonts w:eastAsia="Times New Roman"/>
                <w:sz w:val="24"/>
                <w:szCs w:val="24"/>
              </w:rPr>
              <w:t>9</w:t>
            </w:r>
          </w:p>
        </w:tc>
        <w:tc>
          <w:tcPr>
            <w:tcW w:w="3223" w:type="dxa"/>
            <w:tcBorders>
              <w:top w:val="nil"/>
              <w:left w:val="nil"/>
              <w:bottom w:val="single" w:sz="4" w:space="0" w:color="auto"/>
              <w:right w:val="single" w:sz="4" w:space="0" w:color="auto"/>
            </w:tcBorders>
            <w:shd w:val="clear" w:color="auto" w:fill="auto"/>
            <w:vAlign w:val="center"/>
            <w:hideMark/>
          </w:tcPr>
          <w:p w14:paraId="519B26EA" w14:textId="77777777" w:rsidR="00EC7FC3" w:rsidRPr="008E63BB" w:rsidRDefault="00EC7FC3" w:rsidP="0065184D">
            <w:pPr>
              <w:rPr>
                <w:rFonts w:eastAsia="Times New Roman"/>
                <w:sz w:val="24"/>
                <w:szCs w:val="24"/>
              </w:rPr>
            </w:pPr>
            <w:r w:rsidRPr="008E63BB">
              <w:rPr>
                <w:rFonts w:eastAsia="Times New Roman"/>
                <w:sz w:val="24"/>
                <w:szCs w:val="24"/>
              </w:rPr>
              <w:t>Bệnh viện da liễu Nam Định</w:t>
            </w:r>
          </w:p>
        </w:tc>
        <w:tc>
          <w:tcPr>
            <w:tcW w:w="3626" w:type="dxa"/>
            <w:tcBorders>
              <w:top w:val="nil"/>
              <w:left w:val="nil"/>
              <w:bottom w:val="single" w:sz="4" w:space="0" w:color="auto"/>
              <w:right w:val="single" w:sz="4" w:space="0" w:color="auto"/>
            </w:tcBorders>
            <w:shd w:val="clear" w:color="auto" w:fill="auto"/>
            <w:vAlign w:val="center"/>
            <w:hideMark/>
          </w:tcPr>
          <w:p w14:paraId="519B26EB" w14:textId="77777777" w:rsidR="00EC7FC3" w:rsidRPr="008E63BB" w:rsidRDefault="00A25035" w:rsidP="0065184D">
            <w:pPr>
              <w:rPr>
                <w:rFonts w:eastAsia="Times New Roman"/>
                <w:sz w:val="24"/>
                <w:szCs w:val="24"/>
              </w:rPr>
            </w:pPr>
            <w:r w:rsidRPr="008E63BB">
              <w:rPr>
                <w:rFonts w:eastAsia="Times New Roman"/>
                <w:sz w:val="24"/>
                <w:szCs w:val="24"/>
              </w:rPr>
              <w:t xml:space="preserve">Đường Phù Nghĩa, </w:t>
            </w:r>
            <w:r w:rsidR="00450752" w:rsidRPr="008E63BB">
              <w:rPr>
                <w:rFonts w:eastAsia="Times New Roman"/>
                <w:sz w:val="24"/>
                <w:szCs w:val="24"/>
              </w:rPr>
              <w:t>Nam Định</w:t>
            </w:r>
            <w:r w:rsidRPr="008E63BB">
              <w:rPr>
                <w:rFonts w:eastAsia="Times New Roman"/>
                <w:sz w:val="24"/>
                <w:szCs w:val="24"/>
              </w:rPr>
              <w:t>,</w:t>
            </w:r>
            <w:r w:rsidR="00EC7FC3" w:rsidRPr="008E63BB">
              <w:rPr>
                <w:rFonts w:eastAsia="Times New Roman"/>
                <w:sz w:val="24"/>
                <w:szCs w:val="24"/>
              </w:rPr>
              <w:t xml:space="preserve">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EC" w14:textId="77777777" w:rsidR="00EC7FC3" w:rsidRPr="008E63BB" w:rsidRDefault="00EC7FC3" w:rsidP="0065184D">
            <w:pPr>
              <w:jc w:val="right"/>
              <w:rPr>
                <w:rFonts w:eastAsia="Times New Roman"/>
                <w:sz w:val="24"/>
                <w:szCs w:val="24"/>
              </w:rPr>
            </w:pPr>
            <w:r w:rsidRPr="008E63BB">
              <w:rPr>
                <w:rFonts w:eastAsia="Times New Roman"/>
                <w:sz w:val="24"/>
                <w:szCs w:val="24"/>
              </w:rPr>
              <w:t>70</w:t>
            </w:r>
          </w:p>
        </w:tc>
        <w:tc>
          <w:tcPr>
            <w:tcW w:w="810" w:type="dxa"/>
            <w:tcBorders>
              <w:top w:val="nil"/>
              <w:left w:val="nil"/>
              <w:bottom w:val="single" w:sz="4" w:space="0" w:color="auto"/>
              <w:right w:val="single" w:sz="4" w:space="0" w:color="auto"/>
            </w:tcBorders>
            <w:shd w:val="clear" w:color="auto" w:fill="auto"/>
            <w:vAlign w:val="center"/>
            <w:hideMark/>
          </w:tcPr>
          <w:p w14:paraId="519B26ED" w14:textId="77777777" w:rsidR="00EC7FC3" w:rsidRPr="008E63BB" w:rsidRDefault="00EC7FC3" w:rsidP="0065184D">
            <w:pPr>
              <w:jc w:val="right"/>
              <w:rPr>
                <w:rFonts w:eastAsia="Times New Roman"/>
                <w:sz w:val="24"/>
                <w:szCs w:val="24"/>
              </w:rPr>
            </w:pPr>
            <w:r w:rsidRPr="008E63BB">
              <w:rPr>
                <w:rFonts w:eastAsia="Times New Roman"/>
                <w:sz w:val="24"/>
                <w:szCs w:val="24"/>
              </w:rPr>
              <w:t>3</w:t>
            </w:r>
          </w:p>
        </w:tc>
      </w:tr>
      <w:tr w:rsidR="008D5BFE" w:rsidRPr="008E63BB" w14:paraId="519B26F4" w14:textId="77777777" w:rsidTr="00EC7FC3">
        <w:trPr>
          <w:trHeight w:val="314"/>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EF" w14:textId="77777777" w:rsidR="00EC7FC3" w:rsidRPr="008E63BB" w:rsidRDefault="00EC7FC3" w:rsidP="0065184D">
            <w:pPr>
              <w:rPr>
                <w:rFonts w:eastAsia="Times New Roman"/>
                <w:b/>
                <w:bCs/>
                <w:sz w:val="24"/>
                <w:szCs w:val="24"/>
              </w:rPr>
            </w:pPr>
            <w:r w:rsidRPr="008E63BB">
              <w:rPr>
                <w:rFonts w:eastAsia="Times New Roman"/>
                <w:b/>
                <w:bCs/>
                <w:sz w:val="24"/>
                <w:szCs w:val="24"/>
              </w:rPr>
              <w:t>II</w:t>
            </w:r>
          </w:p>
        </w:tc>
        <w:tc>
          <w:tcPr>
            <w:tcW w:w="3223" w:type="dxa"/>
            <w:tcBorders>
              <w:top w:val="nil"/>
              <w:left w:val="nil"/>
              <w:bottom w:val="single" w:sz="4" w:space="0" w:color="auto"/>
              <w:right w:val="single" w:sz="4" w:space="0" w:color="auto"/>
            </w:tcBorders>
            <w:shd w:val="clear" w:color="auto" w:fill="auto"/>
            <w:vAlign w:val="center"/>
            <w:hideMark/>
          </w:tcPr>
          <w:p w14:paraId="519B26F0" w14:textId="77777777" w:rsidR="00EC7FC3" w:rsidRPr="008E63BB" w:rsidRDefault="00EC7FC3" w:rsidP="0065184D">
            <w:pPr>
              <w:rPr>
                <w:rFonts w:eastAsia="Times New Roman"/>
                <w:b/>
                <w:bCs/>
                <w:sz w:val="24"/>
                <w:szCs w:val="24"/>
              </w:rPr>
            </w:pPr>
            <w:r w:rsidRPr="008E63BB">
              <w:rPr>
                <w:rFonts w:eastAsia="Times New Roman"/>
                <w:b/>
                <w:bCs/>
                <w:sz w:val="24"/>
                <w:szCs w:val="24"/>
              </w:rPr>
              <w:t>Cơ sở y tế ngành, ngoài công lập</w:t>
            </w:r>
          </w:p>
        </w:tc>
        <w:tc>
          <w:tcPr>
            <w:tcW w:w="3626" w:type="dxa"/>
            <w:tcBorders>
              <w:top w:val="nil"/>
              <w:left w:val="nil"/>
              <w:bottom w:val="single" w:sz="4" w:space="0" w:color="auto"/>
              <w:right w:val="single" w:sz="4" w:space="0" w:color="auto"/>
            </w:tcBorders>
            <w:shd w:val="clear" w:color="auto" w:fill="auto"/>
            <w:vAlign w:val="center"/>
            <w:hideMark/>
          </w:tcPr>
          <w:p w14:paraId="519B26F1" w14:textId="77777777" w:rsidR="00EC7FC3" w:rsidRPr="008E63BB" w:rsidRDefault="00EC7FC3" w:rsidP="0065184D">
            <w:pPr>
              <w:rPr>
                <w:rFonts w:eastAsia="Times New Roman"/>
                <w:b/>
                <w:bCs/>
                <w:sz w:val="24"/>
                <w:szCs w:val="24"/>
              </w:rPr>
            </w:pPr>
            <w:r w:rsidRPr="008E63BB">
              <w:rPr>
                <w:rFonts w:eastAsia="Times New Roman"/>
                <w:b/>
                <w:bCs/>
                <w:sz w:val="24"/>
                <w:szCs w:val="24"/>
              </w:rPr>
              <w:t> </w:t>
            </w:r>
          </w:p>
        </w:tc>
        <w:tc>
          <w:tcPr>
            <w:tcW w:w="949" w:type="dxa"/>
            <w:tcBorders>
              <w:top w:val="nil"/>
              <w:left w:val="nil"/>
              <w:bottom w:val="single" w:sz="4" w:space="0" w:color="auto"/>
              <w:right w:val="single" w:sz="4" w:space="0" w:color="auto"/>
            </w:tcBorders>
            <w:shd w:val="clear" w:color="auto" w:fill="auto"/>
            <w:vAlign w:val="center"/>
            <w:hideMark/>
          </w:tcPr>
          <w:p w14:paraId="519B26F2" w14:textId="77777777" w:rsidR="00EC7FC3" w:rsidRPr="008E63BB" w:rsidRDefault="00EC7FC3" w:rsidP="0065184D">
            <w:pPr>
              <w:jc w:val="right"/>
              <w:rPr>
                <w:rFonts w:eastAsia="Times New Roman"/>
                <w:b/>
                <w:bCs/>
                <w:sz w:val="24"/>
                <w:szCs w:val="24"/>
              </w:rPr>
            </w:pPr>
            <w:r w:rsidRPr="008E63BB">
              <w:rPr>
                <w:rFonts w:eastAsia="Times New Roman"/>
                <w:b/>
                <w:bCs/>
                <w:sz w:val="24"/>
                <w:szCs w:val="24"/>
              </w:rPr>
              <w:t>280</w:t>
            </w:r>
          </w:p>
        </w:tc>
        <w:tc>
          <w:tcPr>
            <w:tcW w:w="810" w:type="dxa"/>
            <w:tcBorders>
              <w:top w:val="nil"/>
              <w:left w:val="nil"/>
              <w:bottom w:val="single" w:sz="4" w:space="0" w:color="auto"/>
              <w:right w:val="single" w:sz="4" w:space="0" w:color="auto"/>
            </w:tcBorders>
            <w:shd w:val="clear" w:color="auto" w:fill="auto"/>
            <w:vAlign w:val="center"/>
            <w:hideMark/>
          </w:tcPr>
          <w:p w14:paraId="519B26F3" w14:textId="77777777" w:rsidR="00EC7FC3" w:rsidRPr="008E63BB" w:rsidRDefault="00EC7FC3" w:rsidP="0065184D">
            <w:pPr>
              <w:jc w:val="right"/>
              <w:rPr>
                <w:rFonts w:eastAsia="Times New Roman"/>
                <w:b/>
                <w:bCs/>
                <w:sz w:val="24"/>
                <w:szCs w:val="24"/>
              </w:rPr>
            </w:pPr>
            <w:r w:rsidRPr="008E63BB">
              <w:rPr>
                <w:rFonts w:eastAsia="Times New Roman"/>
                <w:b/>
                <w:bCs/>
                <w:sz w:val="24"/>
                <w:szCs w:val="24"/>
              </w:rPr>
              <w:t> </w:t>
            </w:r>
          </w:p>
        </w:tc>
      </w:tr>
      <w:tr w:rsidR="008D5BFE" w:rsidRPr="008E63BB" w14:paraId="519B26FA" w14:textId="77777777" w:rsidTr="00EC7FC3">
        <w:trPr>
          <w:trHeight w:val="726"/>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F5" w14:textId="77777777" w:rsidR="00EC7FC3" w:rsidRPr="008E63BB" w:rsidRDefault="00EC7FC3" w:rsidP="0065184D">
            <w:pPr>
              <w:jc w:val="right"/>
              <w:rPr>
                <w:rFonts w:eastAsia="Times New Roman"/>
                <w:sz w:val="24"/>
                <w:szCs w:val="24"/>
              </w:rPr>
            </w:pPr>
            <w:r w:rsidRPr="008E63BB">
              <w:rPr>
                <w:rFonts w:eastAsia="Times New Roman"/>
                <w:sz w:val="24"/>
                <w:szCs w:val="24"/>
              </w:rPr>
              <w:t>11</w:t>
            </w:r>
          </w:p>
        </w:tc>
        <w:tc>
          <w:tcPr>
            <w:tcW w:w="3223" w:type="dxa"/>
            <w:tcBorders>
              <w:top w:val="nil"/>
              <w:left w:val="nil"/>
              <w:bottom w:val="single" w:sz="4" w:space="0" w:color="auto"/>
              <w:right w:val="single" w:sz="4" w:space="0" w:color="auto"/>
            </w:tcBorders>
            <w:shd w:val="clear" w:color="auto" w:fill="auto"/>
            <w:vAlign w:val="center"/>
            <w:hideMark/>
          </w:tcPr>
          <w:p w14:paraId="519B26F6" w14:textId="77777777" w:rsidR="00EC7FC3" w:rsidRPr="008E63BB" w:rsidRDefault="00EC7FC3" w:rsidP="0065184D">
            <w:pPr>
              <w:rPr>
                <w:rFonts w:eastAsia="Times New Roman"/>
                <w:sz w:val="24"/>
                <w:szCs w:val="24"/>
              </w:rPr>
            </w:pPr>
            <w:r w:rsidRPr="008E63BB">
              <w:rPr>
                <w:rFonts w:eastAsia="Times New Roman"/>
                <w:sz w:val="24"/>
                <w:szCs w:val="24"/>
              </w:rPr>
              <w:t>Bệnh viện đa khoa Công an Nam Định</w:t>
            </w:r>
          </w:p>
        </w:tc>
        <w:tc>
          <w:tcPr>
            <w:tcW w:w="3626" w:type="dxa"/>
            <w:tcBorders>
              <w:top w:val="nil"/>
              <w:left w:val="nil"/>
              <w:bottom w:val="single" w:sz="4" w:space="0" w:color="auto"/>
              <w:right w:val="single" w:sz="4" w:space="0" w:color="auto"/>
            </w:tcBorders>
            <w:shd w:val="clear" w:color="auto" w:fill="auto"/>
            <w:vAlign w:val="center"/>
            <w:hideMark/>
          </w:tcPr>
          <w:p w14:paraId="519B26F7" w14:textId="77777777" w:rsidR="00EC7FC3" w:rsidRPr="008E63BB" w:rsidRDefault="00EC7FC3" w:rsidP="0065184D">
            <w:pPr>
              <w:rPr>
                <w:rFonts w:eastAsia="Times New Roman"/>
                <w:sz w:val="24"/>
                <w:szCs w:val="24"/>
              </w:rPr>
            </w:pPr>
            <w:r w:rsidRPr="008E63BB">
              <w:rPr>
                <w:rFonts w:eastAsia="Times New Roman"/>
                <w:sz w:val="24"/>
                <w:szCs w:val="24"/>
              </w:rPr>
              <w:t>162 Trần Đăng Ninh, Cửa Bắc,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F8" w14:textId="77777777" w:rsidR="00EC7FC3" w:rsidRPr="008E63BB" w:rsidRDefault="00EC7FC3" w:rsidP="0065184D">
            <w:pPr>
              <w:jc w:val="right"/>
              <w:rPr>
                <w:rFonts w:eastAsia="Times New Roman"/>
                <w:sz w:val="24"/>
                <w:szCs w:val="24"/>
              </w:rPr>
            </w:pPr>
            <w:r w:rsidRPr="008E63BB">
              <w:rPr>
                <w:rFonts w:eastAsia="Times New Roman"/>
                <w:sz w:val="24"/>
                <w:szCs w:val="24"/>
              </w:rPr>
              <w:t>100</w:t>
            </w:r>
          </w:p>
        </w:tc>
        <w:tc>
          <w:tcPr>
            <w:tcW w:w="810" w:type="dxa"/>
            <w:tcBorders>
              <w:top w:val="nil"/>
              <w:left w:val="nil"/>
              <w:bottom w:val="single" w:sz="4" w:space="0" w:color="auto"/>
              <w:right w:val="single" w:sz="4" w:space="0" w:color="auto"/>
            </w:tcBorders>
            <w:shd w:val="clear" w:color="auto" w:fill="auto"/>
            <w:vAlign w:val="center"/>
            <w:hideMark/>
          </w:tcPr>
          <w:p w14:paraId="519B26F9" w14:textId="77777777" w:rsidR="00EC7FC3" w:rsidRPr="008E63BB" w:rsidRDefault="00EC7FC3" w:rsidP="0065184D">
            <w:pPr>
              <w:jc w:val="right"/>
              <w:rPr>
                <w:rFonts w:eastAsia="Times New Roman"/>
                <w:sz w:val="24"/>
                <w:szCs w:val="24"/>
              </w:rPr>
            </w:pPr>
            <w:r w:rsidRPr="008E63BB">
              <w:rPr>
                <w:rFonts w:eastAsia="Times New Roman"/>
                <w:sz w:val="24"/>
                <w:szCs w:val="24"/>
              </w:rPr>
              <w:t> </w:t>
            </w:r>
          </w:p>
        </w:tc>
      </w:tr>
      <w:tr w:rsidR="008D5BFE" w:rsidRPr="008E63BB" w14:paraId="519B2700" w14:textId="77777777" w:rsidTr="00EC7FC3">
        <w:trPr>
          <w:trHeight w:val="314"/>
        </w:trPr>
        <w:tc>
          <w:tcPr>
            <w:tcW w:w="573" w:type="dxa"/>
            <w:tcBorders>
              <w:top w:val="nil"/>
              <w:left w:val="single" w:sz="4" w:space="0" w:color="auto"/>
              <w:bottom w:val="single" w:sz="4" w:space="0" w:color="auto"/>
              <w:right w:val="single" w:sz="4" w:space="0" w:color="auto"/>
            </w:tcBorders>
            <w:shd w:val="clear" w:color="auto" w:fill="auto"/>
            <w:vAlign w:val="center"/>
            <w:hideMark/>
          </w:tcPr>
          <w:p w14:paraId="519B26FB" w14:textId="77777777" w:rsidR="00EC7FC3" w:rsidRPr="008E63BB" w:rsidRDefault="00EC7FC3" w:rsidP="0065184D">
            <w:pPr>
              <w:jc w:val="right"/>
              <w:rPr>
                <w:rFonts w:eastAsia="Times New Roman"/>
                <w:sz w:val="24"/>
                <w:szCs w:val="24"/>
              </w:rPr>
            </w:pPr>
            <w:r w:rsidRPr="008E63BB">
              <w:rPr>
                <w:rFonts w:eastAsia="Times New Roman"/>
                <w:sz w:val="24"/>
                <w:szCs w:val="24"/>
              </w:rPr>
              <w:t>12</w:t>
            </w:r>
          </w:p>
        </w:tc>
        <w:tc>
          <w:tcPr>
            <w:tcW w:w="3223" w:type="dxa"/>
            <w:tcBorders>
              <w:top w:val="nil"/>
              <w:left w:val="nil"/>
              <w:bottom w:val="single" w:sz="4" w:space="0" w:color="auto"/>
              <w:right w:val="single" w:sz="4" w:space="0" w:color="auto"/>
            </w:tcBorders>
            <w:shd w:val="clear" w:color="auto" w:fill="auto"/>
            <w:vAlign w:val="center"/>
            <w:hideMark/>
          </w:tcPr>
          <w:p w14:paraId="519B26FC" w14:textId="77777777" w:rsidR="00EC7FC3" w:rsidRPr="008E63BB" w:rsidRDefault="00EC7FC3" w:rsidP="0065184D">
            <w:pPr>
              <w:rPr>
                <w:rFonts w:eastAsia="Times New Roman"/>
                <w:sz w:val="24"/>
                <w:szCs w:val="24"/>
              </w:rPr>
            </w:pPr>
            <w:r w:rsidRPr="008E63BB">
              <w:rPr>
                <w:rFonts w:eastAsia="Times New Roman"/>
                <w:sz w:val="24"/>
                <w:szCs w:val="24"/>
              </w:rPr>
              <w:t>Bệnh viện đa khoa Sài gòn-Nam Định</w:t>
            </w:r>
          </w:p>
        </w:tc>
        <w:tc>
          <w:tcPr>
            <w:tcW w:w="3626" w:type="dxa"/>
            <w:tcBorders>
              <w:top w:val="nil"/>
              <w:left w:val="nil"/>
              <w:bottom w:val="single" w:sz="4" w:space="0" w:color="auto"/>
              <w:right w:val="single" w:sz="4" w:space="0" w:color="auto"/>
            </w:tcBorders>
            <w:shd w:val="clear" w:color="auto" w:fill="auto"/>
            <w:vAlign w:val="center"/>
            <w:hideMark/>
          </w:tcPr>
          <w:p w14:paraId="519B26FD" w14:textId="77777777" w:rsidR="00EC7FC3" w:rsidRPr="008E63BB" w:rsidRDefault="00EC7FC3" w:rsidP="0065184D">
            <w:pPr>
              <w:rPr>
                <w:rFonts w:eastAsia="Times New Roman"/>
                <w:sz w:val="24"/>
                <w:szCs w:val="24"/>
              </w:rPr>
            </w:pPr>
            <w:r w:rsidRPr="008E63BB">
              <w:rPr>
                <w:rFonts w:eastAsia="Times New Roman"/>
                <w:sz w:val="24"/>
                <w:szCs w:val="24"/>
              </w:rPr>
              <w:t>Đông A, TP. Nam Định</w:t>
            </w:r>
          </w:p>
        </w:tc>
        <w:tc>
          <w:tcPr>
            <w:tcW w:w="949" w:type="dxa"/>
            <w:tcBorders>
              <w:top w:val="nil"/>
              <w:left w:val="nil"/>
              <w:bottom w:val="single" w:sz="4" w:space="0" w:color="auto"/>
              <w:right w:val="single" w:sz="4" w:space="0" w:color="auto"/>
            </w:tcBorders>
            <w:shd w:val="clear" w:color="auto" w:fill="auto"/>
            <w:vAlign w:val="center"/>
            <w:hideMark/>
          </w:tcPr>
          <w:p w14:paraId="519B26FE" w14:textId="77777777" w:rsidR="00EC7FC3" w:rsidRPr="008E63BB" w:rsidRDefault="00EC7FC3" w:rsidP="0065184D">
            <w:pPr>
              <w:jc w:val="right"/>
              <w:rPr>
                <w:rFonts w:eastAsia="Times New Roman"/>
                <w:sz w:val="24"/>
                <w:szCs w:val="24"/>
              </w:rPr>
            </w:pPr>
            <w:r w:rsidRPr="008E63BB">
              <w:rPr>
                <w:rFonts w:eastAsia="Times New Roman"/>
                <w:sz w:val="24"/>
                <w:szCs w:val="24"/>
              </w:rPr>
              <w:t>180</w:t>
            </w:r>
          </w:p>
        </w:tc>
        <w:tc>
          <w:tcPr>
            <w:tcW w:w="810" w:type="dxa"/>
            <w:tcBorders>
              <w:top w:val="nil"/>
              <w:left w:val="nil"/>
              <w:bottom w:val="single" w:sz="4" w:space="0" w:color="auto"/>
              <w:right w:val="single" w:sz="4" w:space="0" w:color="auto"/>
            </w:tcBorders>
            <w:shd w:val="clear" w:color="auto" w:fill="auto"/>
            <w:vAlign w:val="center"/>
            <w:hideMark/>
          </w:tcPr>
          <w:p w14:paraId="519B26FF" w14:textId="77777777" w:rsidR="00EC7FC3" w:rsidRPr="008E63BB" w:rsidRDefault="00EC7FC3" w:rsidP="0065184D">
            <w:pPr>
              <w:jc w:val="right"/>
              <w:rPr>
                <w:rFonts w:eastAsia="Times New Roman"/>
                <w:sz w:val="24"/>
                <w:szCs w:val="24"/>
              </w:rPr>
            </w:pPr>
            <w:r w:rsidRPr="008E63BB">
              <w:rPr>
                <w:rFonts w:eastAsia="Times New Roman"/>
                <w:sz w:val="24"/>
                <w:szCs w:val="24"/>
              </w:rPr>
              <w:t> </w:t>
            </w:r>
          </w:p>
        </w:tc>
      </w:tr>
    </w:tbl>
    <w:p w14:paraId="519B2701" w14:textId="77777777" w:rsidR="00015CDB" w:rsidRPr="008E63BB" w:rsidRDefault="00015CDB" w:rsidP="003D057A">
      <w:pPr>
        <w:widowControl w:val="0"/>
        <w:spacing w:before="120"/>
        <w:rPr>
          <w:i/>
          <w:iCs/>
        </w:rPr>
      </w:pPr>
      <w:r w:rsidRPr="008E63BB">
        <w:rPr>
          <w:i/>
          <w:iCs/>
        </w:rPr>
        <w:t>Nguồn: Tổng hợp số liệu – Sở Y tế</w:t>
      </w:r>
    </w:p>
    <w:p w14:paraId="519B2702" w14:textId="77777777" w:rsidR="00A12AD3" w:rsidRPr="008E63BB" w:rsidRDefault="00A12AD3" w:rsidP="003D057A">
      <w:pPr>
        <w:widowControl w:val="0"/>
        <w:spacing w:before="120"/>
        <w:rPr>
          <w:i/>
          <w:iCs/>
        </w:rPr>
      </w:pPr>
      <w:r w:rsidRPr="008E63BB">
        <w:rPr>
          <w:i/>
          <w:iCs/>
        </w:rPr>
        <w:t>b. Khu vực dự kiến mở rộng</w:t>
      </w:r>
    </w:p>
    <w:p w14:paraId="519B2703" w14:textId="77777777" w:rsidR="00A25035" w:rsidRPr="008E63BB" w:rsidRDefault="00105C76" w:rsidP="003D057A">
      <w:pPr>
        <w:spacing w:before="120"/>
        <w:rPr>
          <w:lang w:val="zu-ZA"/>
        </w:rPr>
      </w:pPr>
      <w:r w:rsidRPr="008E63BB">
        <w:tab/>
        <w:t xml:space="preserve">Huyện Mỹ Lộc: </w:t>
      </w:r>
      <w:r w:rsidR="00993172" w:rsidRPr="008E63BB">
        <w:rPr>
          <w:lang w:val="zu-ZA"/>
        </w:rPr>
        <w:t xml:space="preserve">Trung tâm y tế huyện Mỹ Lộc tại QL21, TT. Mỹ Lộc quy mô 160 giười bệnh (thực kê 200 giường bệnh). </w:t>
      </w:r>
    </w:p>
    <w:p w14:paraId="519B2704" w14:textId="77777777" w:rsidR="00E62A41" w:rsidRPr="008E63BB" w:rsidRDefault="00E62A41" w:rsidP="003D057A">
      <w:pPr>
        <w:spacing w:before="120"/>
        <w:rPr>
          <w:lang w:val="zu-ZA"/>
        </w:rPr>
      </w:pPr>
      <w:r w:rsidRPr="008E63BB">
        <w:rPr>
          <w:lang w:val="zu-ZA"/>
        </w:rPr>
        <w:tab/>
        <w:t xml:space="preserve">Khu vực các xã thuộc huyện Nam Trực và Vụ Bản: không có công trình y tế cấp đô thị nằm trong phạm vi nghiên cứu, chỉ có các trạm y tế cấp xã, phần lớn đạt chuẩn quốc gia về y tế </w:t>
      </w:r>
      <w:r w:rsidR="001B310B" w:rsidRPr="008E63BB">
        <w:rPr>
          <w:lang w:val="zu-ZA"/>
        </w:rPr>
        <w:t>(khoảng 100%).</w:t>
      </w:r>
    </w:p>
    <w:p w14:paraId="519B2705" w14:textId="77777777" w:rsidR="00F67BF3" w:rsidRPr="008E63BB" w:rsidRDefault="00267A58" w:rsidP="003D057A">
      <w:pPr>
        <w:pStyle w:val="Heading3"/>
        <w:spacing w:before="120"/>
      </w:pPr>
      <w:bookmarkStart w:id="185" w:name="_Toc21954831"/>
      <w:bookmarkStart w:id="186" w:name="_Toc21955330"/>
      <w:bookmarkStart w:id="187" w:name="_Toc24361904"/>
      <w:bookmarkStart w:id="188" w:name="_Toc47524663"/>
      <w:r w:rsidRPr="008E63BB">
        <w:rPr>
          <w:lang w:val="zu-ZA"/>
        </w:rPr>
        <w:t>2.6.2</w:t>
      </w:r>
      <w:r w:rsidR="00F67BF3" w:rsidRPr="008E63BB">
        <w:rPr>
          <w:lang w:val="zu-ZA"/>
        </w:rPr>
        <w:t xml:space="preserve">. </w:t>
      </w:r>
      <w:r w:rsidRPr="008E63BB">
        <w:t>Các cơ sở giáo dục, đào tạo</w:t>
      </w:r>
      <w:r w:rsidR="00D17E69" w:rsidRPr="008E63BB">
        <w:t xml:space="preserve"> cấp đô thị:</w:t>
      </w:r>
      <w:bookmarkEnd w:id="185"/>
      <w:bookmarkEnd w:id="186"/>
      <w:bookmarkEnd w:id="187"/>
      <w:bookmarkEnd w:id="188"/>
    </w:p>
    <w:p w14:paraId="519B2706" w14:textId="77777777" w:rsidR="00A12AD3" w:rsidRPr="008E63BB" w:rsidRDefault="00A12AD3" w:rsidP="003D057A">
      <w:pPr>
        <w:widowControl w:val="0"/>
        <w:spacing w:before="120"/>
        <w:rPr>
          <w:i/>
          <w:iCs/>
          <w:lang w:val="pt-BR"/>
        </w:rPr>
      </w:pPr>
      <w:r w:rsidRPr="008E63BB">
        <w:rPr>
          <w:i/>
          <w:iCs/>
          <w:lang w:val="pt-BR"/>
        </w:rPr>
        <w:t>a. Khu vực thành phố Nam Định</w:t>
      </w:r>
    </w:p>
    <w:p w14:paraId="519B2707" w14:textId="77777777" w:rsidR="00A12AD3" w:rsidRPr="008E63BB" w:rsidRDefault="00F67BF3" w:rsidP="003D057A">
      <w:pPr>
        <w:spacing w:before="120"/>
        <w:rPr>
          <w:lang w:val="zu-ZA"/>
        </w:rPr>
      </w:pPr>
      <w:r w:rsidRPr="008E63BB">
        <w:rPr>
          <w:lang w:val="pt-BR"/>
        </w:rPr>
        <w:tab/>
      </w:r>
      <w:r w:rsidR="009671CF" w:rsidRPr="008E63BB">
        <w:rPr>
          <w:lang w:val="pt-BR"/>
        </w:rPr>
        <w:t xml:space="preserve">Thành phố Nam Định là 1 trong 10 trung tâm đào tạo có nhiều trường Đại học, cao đẳng, trung cấp chuyên nghiệp lớn nhất cả nước. Trên địa bàn thành phố </w:t>
      </w:r>
      <w:r w:rsidR="009671CF" w:rsidRPr="008E63BB">
        <w:rPr>
          <w:bCs/>
          <w:spacing w:val="6"/>
          <w:szCs w:val="26"/>
          <w:lang w:val="zu-ZA"/>
        </w:rPr>
        <w:t>Thành phố có 05 trường THPT công lập, 03 trường THPT dân lập và 2 trung tâm giáo dục kỹ thuật hướng nghiệp. Hệ thống trường đào tạo nghề có 18 trường Đại học, cao đẳng, trường trung cấp. 14 trường, trung tâm dạy nghề</w:t>
      </w:r>
      <w:r w:rsidR="006F67D0" w:rsidRPr="008E63BB">
        <w:rPr>
          <w:bCs/>
          <w:spacing w:val="6"/>
          <w:szCs w:val="26"/>
          <w:lang w:val="zu-ZA"/>
        </w:rPr>
        <w:t xml:space="preserve"> với tổng số khoảng 70 nghìn học sinh, sinh viên</w:t>
      </w:r>
      <w:r w:rsidR="006F67D0" w:rsidRPr="008E63BB">
        <w:rPr>
          <w:lang w:val="zu-ZA"/>
        </w:rPr>
        <w:t xml:space="preserve"> - </w:t>
      </w:r>
      <w:r w:rsidR="009671CF" w:rsidRPr="008E63BB">
        <w:rPr>
          <w:lang w:val="zu-ZA"/>
        </w:rPr>
        <w:t>đáp ứng nhu cầu đào tạo lao động, nâng cao trình độ tay nghề, góp phần bổ sung nguồn nhân lực có chất lượng cho thành phố cũng như các tỉnh từ Quảng Trị trở ra. Đây là một trong những yếu tố khiến cho Nam Định vẫn duy trì được vai trò trung tâm giáo dục đào tạo của vùng Nam đồng bằng sông Hồng.</w:t>
      </w:r>
    </w:p>
    <w:p w14:paraId="519B2708" w14:textId="77777777" w:rsidR="00A12AD3" w:rsidRPr="008E63BB" w:rsidRDefault="00A12AD3" w:rsidP="003D057A">
      <w:pPr>
        <w:widowControl w:val="0"/>
        <w:spacing w:before="120"/>
        <w:rPr>
          <w:i/>
          <w:iCs/>
          <w:lang w:val="zu-ZA"/>
        </w:rPr>
      </w:pPr>
      <w:r w:rsidRPr="008E63BB">
        <w:rPr>
          <w:i/>
          <w:iCs/>
          <w:lang w:val="zu-ZA"/>
        </w:rPr>
        <w:t>b. Khu vực dự kiến mở rộng</w:t>
      </w:r>
    </w:p>
    <w:p w14:paraId="519B2709" w14:textId="77777777" w:rsidR="00F67BF3" w:rsidRPr="008E63BB" w:rsidRDefault="00105C76" w:rsidP="003D057A">
      <w:pPr>
        <w:spacing w:before="120"/>
        <w:rPr>
          <w:szCs w:val="28"/>
          <w:lang w:val="zu-ZA"/>
        </w:rPr>
      </w:pPr>
      <w:r w:rsidRPr="008E63BB">
        <w:rPr>
          <w:lang w:val="zu-ZA"/>
        </w:rPr>
        <w:tab/>
        <w:t xml:space="preserve">Huyện Mỹ Lộc: </w:t>
      </w:r>
      <w:r w:rsidRPr="008E63BB">
        <w:rPr>
          <w:szCs w:val="28"/>
          <w:lang w:val="vi-VN"/>
        </w:rPr>
        <w:t>toàn huyện có 2 trường trung học phổ thông</w:t>
      </w:r>
      <w:r w:rsidRPr="008E63BB">
        <w:rPr>
          <w:szCs w:val="28"/>
          <w:lang w:val="zu-ZA"/>
        </w:rPr>
        <w:t xml:space="preserve">, trong đó </w:t>
      </w:r>
      <w:r w:rsidRPr="008E63BB">
        <w:rPr>
          <w:szCs w:val="28"/>
          <w:lang w:val="vi-VN"/>
        </w:rPr>
        <w:t>01 trường THPT đạt chuẩn quốc gia</w:t>
      </w:r>
      <w:r w:rsidRPr="008E63BB">
        <w:rPr>
          <w:szCs w:val="28"/>
          <w:lang w:val="zu-ZA"/>
        </w:rPr>
        <w:t>.</w:t>
      </w:r>
    </w:p>
    <w:p w14:paraId="519B270A" w14:textId="77777777" w:rsidR="005F5613" w:rsidRPr="008E63BB" w:rsidRDefault="005F5613" w:rsidP="003D057A">
      <w:pPr>
        <w:spacing w:before="120"/>
        <w:rPr>
          <w:szCs w:val="28"/>
          <w:lang w:val="zu-ZA"/>
        </w:rPr>
      </w:pPr>
      <w:r w:rsidRPr="008E63BB">
        <w:rPr>
          <w:szCs w:val="28"/>
          <w:lang w:val="zu-ZA"/>
        </w:rPr>
        <w:tab/>
        <w:t>Khu vự</w:t>
      </w:r>
      <w:r w:rsidR="00D17E69" w:rsidRPr="008E63BB">
        <w:rPr>
          <w:szCs w:val="28"/>
          <w:lang w:val="zu-ZA"/>
        </w:rPr>
        <w:t>c 05</w:t>
      </w:r>
      <w:r w:rsidRPr="008E63BB">
        <w:rPr>
          <w:szCs w:val="28"/>
          <w:lang w:val="zu-ZA"/>
        </w:rPr>
        <w:t xml:space="preserve"> xã huyện Nam Trực: có 2 trường THPT tại xã Nghĩa An và Hồng Quang.</w:t>
      </w:r>
    </w:p>
    <w:p w14:paraId="519B270B" w14:textId="77777777" w:rsidR="00D17E69" w:rsidRPr="008E63BB" w:rsidRDefault="00D17E69" w:rsidP="003D057A">
      <w:pPr>
        <w:spacing w:before="120"/>
        <w:rPr>
          <w:lang w:val="zu-ZA"/>
        </w:rPr>
      </w:pPr>
      <w:r w:rsidRPr="008E63BB">
        <w:rPr>
          <w:szCs w:val="28"/>
          <w:lang w:val="zu-ZA"/>
        </w:rPr>
        <w:tab/>
        <w:t>Khu vực 03 xã huyện Vụ Bản: có 1 trường THPT tại xã Thành Lợi.</w:t>
      </w:r>
    </w:p>
    <w:p w14:paraId="519B270C" w14:textId="77777777" w:rsidR="003D057A" w:rsidRPr="008E63BB" w:rsidRDefault="003D057A">
      <w:pPr>
        <w:jc w:val="left"/>
        <w:rPr>
          <w:rFonts w:eastAsia="Arial"/>
          <w:b/>
          <w:bCs/>
          <w:spacing w:val="6"/>
          <w:szCs w:val="26"/>
          <w:lang w:val="zu-ZA"/>
        </w:rPr>
      </w:pPr>
      <w:r w:rsidRPr="008E63BB">
        <w:rPr>
          <w:b/>
          <w:bCs/>
          <w:spacing w:val="6"/>
          <w:szCs w:val="26"/>
          <w:lang w:val="zu-ZA"/>
        </w:rPr>
        <w:br w:type="page"/>
      </w:r>
    </w:p>
    <w:p w14:paraId="519B270D" w14:textId="77777777" w:rsidR="00B46F67" w:rsidRPr="008E63BB" w:rsidRDefault="00B46F67" w:rsidP="0065184D">
      <w:pPr>
        <w:pStyle w:val="Footer"/>
        <w:ind w:firstLine="720"/>
        <w:jc w:val="center"/>
        <w:rPr>
          <w:b/>
          <w:bCs/>
          <w:spacing w:val="6"/>
          <w:szCs w:val="26"/>
          <w:lang w:val="zu-ZA"/>
        </w:rPr>
      </w:pPr>
      <w:r w:rsidRPr="008E63BB">
        <w:rPr>
          <w:b/>
          <w:bCs/>
          <w:spacing w:val="6"/>
          <w:szCs w:val="26"/>
          <w:lang w:val="zu-ZA"/>
        </w:rPr>
        <w:lastRenderedPageBreak/>
        <w:t>Bảng hệ thống các trường đại học, trung học chuyên nghiệp</w:t>
      </w:r>
    </w:p>
    <w:tbl>
      <w:tblPr>
        <w:tblW w:w="9176" w:type="dxa"/>
        <w:tblInd w:w="108" w:type="dxa"/>
        <w:tblLook w:val="04A0" w:firstRow="1" w:lastRow="0" w:firstColumn="1" w:lastColumn="0" w:noHBand="0" w:noVBand="1"/>
      </w:tblPr>
      <w:tblGrid>
        <w:gridCol w:w="491"/>
        <w:gridCol w:w="4104"/>
        <w:gridCol w:w="1512"/>
        <w:gridCol w:w="1021"/>
        <w:gridCol w:w="1065"/>
        <w:gridCol w:w="983"/>
      </w:tblGrid>
      <w:tr w:rsidR="006F67D0" w:rsidRPr="008E63BB" w14:paraId="519B2713" w14:textId="77777777" w:rsidTr="00C90BF8">
        <w:trPr>
          <w:trHeight w:val="303"/>
        </w:trPr>
        <w:tc>
          <w:tcPr>
            <w:tcW w:w="49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9B270E" w14:textId="77777777" w:rsidR="006F67D0" w:rsidRPr="008E63BB" w:rsidRDefault="006F67D0" w:rsidP="00C90BF8">
            <w:pPr>
              <w:jc w:val="center"/>
              <w:rPr>
                <w:rFonts w:ascii="Times" w:eastAsia="Times New Roman" w:hAnsi="Times" w:cs="Times"/>
                <w:sz w:val="22"/>
              </w:rPr>
            </w:pPr>
            <w:r w:rsidRPr="008E63BB">
              <w:rPr>
                <w:rFonts w:ascii="Times" w:eastAsia="Times New Roman" w:hAnsi="Times" w:cs="Times"/>
                <w:sz w:val="22"/>
              </w:rPr>
              <w:t>TT</w:t>
            </w:r>
          </w:p>
        </w:tc>
        <w:tc>
          <w:tcPr>
            <w:tcW w:w="410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9B270F" w14:textId="77777777" w:rsidR="006F67D0" w:rsidRPr="008E63BB" w:rsidRDefault="006F67D0" w:rsidP="00C90BF8">
            <w:pPr>
              <w:jc w:val="center"/>
              <w:rPr>
                <w:rFonts w:ascii="Times" w:eastAsia="Times New Roman" w:hAnsi="Times" w:cs="Times"/>
                <w:sz w:val="22"/>
              </w:rPr>
            </w:pPr>
            <w:r w:rsidRPr="008E63BB">
              <w:rPr>
                <w:rFonts w:ascii="Times" w:eastAsia="Times New Roman" w:hAnsi="Times" w:cs="Times"/>
                <w:sz w:val="22"/>
              </w:rPr>
              <w:t>Danh mục</w:t>
            </w:r>
          </w:p>
        </w:tc>
        <w:tc>
          <w:tcPr>
            <w:tcW w:w="1512"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19B2710" w14:textId="77777777" w:rsidR="006F67D0" w:rsidRPr="008E63BB" w:rsidRDefault="006F67D0" w:rsidP="00C90BF8">
            <w:pPr>
              <w:jc w:val="center"/>
              <w:rPr>
                <w:rFonts w:ascii="Times" w:eastAsia="Times New Roman" w:hAnsi="Times" w:cs="Times"/>
                <w:sz w:val="22"/>
              </w:rPr>
            </w:pPr>
            <w:r w:rsidRPr="008E63BB">
              <w:rPr>
                <w:rFonts w:ascii="Times" w:eastAsia="Times New Roman" w:hAnsi="Times" w:cs="Times"/>
                <w:sz w:val="22"/>
              </w:rPr>
              <w:t>Vị trí</w:t>
            </w: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2711"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Diện tích đất (m2)</w:t>
            </w:r>
          </w:p>
        </w:tc>
        <w:tc>
          <w:tcPr>
            <w:tcW w:w="2048" w:type="dxa"/>
            <w:gridSpan w:val="2"/>
            <w:tcBorders>
              <w:top w:val="single" w:sz="4" w:space="0" w:color="auto"/>
              <w:left w:val="nil"/>
              <w:bottom w:val="single" w:sz="4" w:space="0" w:color="auto"/>
              <w:right w:val="single" w:sz="4" w:space="0" w:color="auto"/>
            </w:tcBorders>
            <w:shd w:val="clear" w:color="auto" w:fill="auto"/>
            <w:vAlign w:val="center"/>
            <w:hideMark/>
          </w:tcPr>
          <w:p w14:paraId="519B2712"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Ghi chú</w:t>
            </w:r>
          </w:p>
        </w:tc>
      </w:tr>
      <w:tr w:rsidR="006F67D0" w:rsidRPr="008E63BB" w14:paraId="519B271A" w14:textId="77777777" w:rsidTr="00C90BF8">
        <w:trPr>
          <w:trHeight w:val="512"/>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519B2714" w14:textId="77777777" w:rsidR="006F67D0" w:rsidRPr="008E63BB" w:rsidRDefault="006F67D0" w:rsidP="00C90BF8">
            <w:pPr>
              <w:rPr>
                <w:rFonts w:ascii="Times" w:eastAsia="Times New Roman" w:hAnsi="Times" w:cs="Times"/>
                <w:sz w:val="22"/>
              </w:rPr>
            </w:pPr>
          </w:p>
        </w:tc>
        <w:tc>
          <w:tcPr>
            <w:tcW w:w="4104" w:type="dxa"/>
            <w:vMerge/>
            <w:tcBorders>
              <w:top w:val="single" w:sz="4" w:space="0" w:color="auto"/>
              <w:left w:val="single" w:sz="4" w:space="0" w:color="auto"/>
              <w:bottom w:val="single" w:sz="4" w:space="0" w:color="auto"/>
              <w:right w:val="single" w:sz="4" w:space="0" w:color="auto"/>
            </w:tcBorders>
            <w:vAlign w:val="center"/>
            <w:hideMark/>
          </w:tcPr>
          <w:p w14:paraId="519B2715" w14:textId="77777777" w:rsidR="006F67D0" w:rsidRPr="008E63BB" w:rsidRDefault="006F67D0" w:rsidP="00C90BF8">
            <w:pPr>
              <w:rPr>
                <w:rFonts w:ascii="Times" w:eastAsia="Times New Roman" w:hAnsi="Times" w:cs="Times"/>
                <w:sz w:val="22"/>
              </w:rPr>
            </w:pPr>
          </w:p>
        </w:tc>
        <w:tc>
          <w:tcPr>
            <w:tcW w:w="1512" w:type="dxa"/>
            <w:vMerge/>
            <w:tcBorders>
              <w:top w:val="single" w:sz="4" w:space="0" w:color="auto"/>
              <w:left w:val="single" w:sz="4" w:space="0" w:color="auto"/>
              <w:bottom w:val="single" w:sz="4" w:space="0" w:color="000000"/>
              <w:right w:val="single" w:sz="4" w:space="0" w:color="auto"/>
            </w:tcBorders>
            <w:vAlign w:val="center"/>
            <w:hideMark/>
          </w:tcPr>
          <w:p w14:paraId="519B2716" w14:textId="77777777" w:rsidR="006F67D0" w:rsidRPr="008E63BB" w:rsidRDefault="006F67D0" w:rsidP="00C90BF8">
            <w:pPr>
              <w:rPr>
                <w:rFonts w:ascii="Times" w:eastAsia="Times New Roman" w:hAnsi="Times" w:cs="Times"/>
                <w:sz w:val="22"/>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14:paraId="519B2717" w14:textId="77777777" w:rsidR="006F67D0" w:rsidRPr="008E63BB" w:rsidRDefault="006F67D0" w:rsidP="00C90BF8">
            <w:pPr>
              <w:rPr>
                <w:rFonts w:ascii="Times" w:eastAsia="Times New Roman" w:hAnsi="Times" w:cs="Times"/>
                <w:sz w:val="20"/>
                <w:szCs w:val="20"/>
              </w:rPr>
            </w:pPr>
          </w:p>
        </w:tc>
        <w:tc>
          <w:tcPr>
            <w:tcW w:w="1065" w:type="dxa"/>
            <w:tcBorders>
              <w:top w:val="nil"/>
              <w:left w:val="nil"/>
              <w:bottom w:val="single" w:sz="4" w:space="0" w:color="auto"/>
              <w:right w:val="single" w:sz="4" w:space="0" w:color="auto"/>
            </w:tcBorders>
            <w:shd w:val="clear" w:color="auto" w:fill="auto"/>
            <w:vAlign w:val="center"/>
            <w:hideMark/>
          </w:tcPr>
          <w:p w14:paraId="519B2718"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Diện tích bị lấn, chiếm</w:t>
            </w:r>
          </w:p>
        </w:tc>
        <w:tc>
          <w:tcPr>
            <w:tcW w:w="983" w:type="dxa"/>
            <w:tcBorders>
              <w:top w:val="nil"/>
              <w:left w:val="nil"/>
              <w:bottom w:val="single" w:sz="4" w:space="0" w:color="auto"/>
              <w:right w:val="single" w:sz="4" w:space="0" w:color="auto"/>
            </w:tcBorders>
            <w:shd w:val="clear" w:color="auto" w:fill="auto"/>
            <w:vAlign w:val="center"/>
            <w:hideMark/>
          </w:tcPr>
          <w:p w14:paraId="519B2719"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Diện tích lấn, chiếm</w:t>
            </w:r>
          </w:p>
        </w:tc>
      </w:tr>
      <w:tr w:rsidR="006F67D0" w:rsidRPr="008E63BB" w14:paraId="519B2721" w14:textId="77777777" w:rsidTr="00C90BF8">
        <w:trPr>
          <w:trHeight w:val="286"/>
        </w:trPr>
        <w:tc>
          <w:tcPr>
            <w:tcW w:w="491" w:type="dxa"/>
            <w:tcBorders>
              <w:top w:val="single" w:sz="4" w:space="0" w:color="auto"/>
              <w:left w:val="single" w:sz="4" w:space="0" w:color="auto"/>
              <w:bottom w:val="single" w:sz="4" w:space="0" w:color="auto"/>
              <w:right w:val="single" w:sz="4" w:space="0" w:color="auto"/>
            </w:tcBorders>
            <w:shd w:val="clear" w:color="000000" w:fill="CCFFCC"/>
            <w:noWrap/>
            <w:vAlign w:val="bottom"/>
            <w:hideMark/>
          </w:tcPr>
          <w:p w14:paraId="519B271B" w14:textId="77777777" w:rsidR="006F67D0" w:rsidRPr="008E63BB" w:rsidRDefault="006F67D0" w:rsidP="00C90BF8">
            <w:pPr>
              <w:jc w:val="center"/>
              <w:rPr>
                <w:rFonts w:ascii="Times" w:eastAsia="Times New Roman" w:hAnsi="Times" w:cs="Times"/>
                <w:b/>
                <w:bCs/>
                <w:sz w:val="20"/>
                <w:szCs w:val="20"/>
              </w:rPr>
            </w:pPr>
            <w:r w:rsidRPr="008E63BB">
              <w:rPr>
                <w:rFonts w:ascii="Times" w:eastAsia="Times New Roman" w:hAnsi="Times" w:cs="Times"/>
                <w:b/>
                <w:bCs/>
                <w:sz w:val="20"/>
                <w:szCs w:val="20"/>
              </w:rPr>
              <w:t> </w:t>
            </w:r>
          </w:p>
        </w:tc>
        <w:tc>
          <w:tcPr>
            <w:tcW w:w="4104" w:type="dxa"/>
            <w:tcBorders>
              <w:top w:val="single" w:sz="4" w:space="0" w:color="auto"/>
              <w:left w:val="nil"/>
              <w:bottom w:val="single" w:sz="4" w:space="0" w:color="auto"/>
              <w:right w:val="single" w:sz="4" w:space="0" w:color="auto"/>
            </w:tcBorders>
            <w:shd w:val="clear" w:color="000000" w:fill="CCFFCC"/>
            <w:noWrap/>
            <w:vAlign w:val="bottom"/>
            <w:hideMark/>
          </w:tcPr>
          <w:p w14:paraId="519B271C" w14:textId="77777777" w:rsidR="006F67D0" w:rsidRPr="008E63BB" w:rsidRDefault="006F67D0" w:rsidP="00C90BF8">
            <w:pPr>
              <w:jc w:val="center"/>
              <w:rPr>
                <w:rFonts w:ascii="Times" w:eastAsia="Times New Roman" w:hAnsi="Times" w:cs="Times"/>
                <w:b/>
                <w:bCs/>
                <w:sz w:val="20"/>
                <w:szCs w:val="20"/>
              </w:rPr>
            </w:pPr>
            <w:r w:rsidRPr="008E63BB">
              <w:rPr>
                <w:rFonts w:ascii="Times" w:eastAsia="Times New Roman" w:hAnsi="Times" w:cs="Times"/>
                <w:b/>
                <w:bCs/>
                <w:sz w:val="20"/>
                <w:szCs w:val="20"/>
              </w:rPr>
              <w:t>Tổng cộng</w:t>
            </w:r>
          </w:p>
        </w:tc>
        <w:tc>
          <w:tcPr>
            <w:tcW w:w="1512" w:type="dxa"/>
            <w:tcBorders>
              <w:top w:val="single" w:sz="4" w:space="0" w:color="auto"/>
              <w:left w:val="nil"/>
              <w:bottom w:val="single" w:sz="4" w:space="0" w:color="auto"/>
              <w:right w:val="single" w:sz="4" w:space="0" w:color="auto"/>
            </w:tcBorders>
            <w:shd w:val="clear" w:color="000000" w:fill="CCFFCC"/>
            <w:noWrap/>
            <w:vAlign w:val="bottom"/>
            <w:hideMark/>
          </w:tcPr>
          <w:p w14:paraId="519B271D" w14:textId="77777777" w:rsidR="006F67D0" w:rsidRPr="008E63BB" w:rsidRDefault="006F67D0" w:rsidP="00C90BF8">
            <w:pPr>
              <w:rPr>
                <w:rFonts w:ascii="Times" w:eastAsia="Times New Roman" w:hAnsi="Times" w:cs="Times"/>
                <w:b/>
                <w:bCs/>
                <w:sz w:val="20"/>
                <w:szCs w:val="20"/>
              </w:rPr>
            </w:pPr>
            <w:r w:rsidRPr="008E63BB">
              <w:rPr>
                <w:rFonts w:ascii="Times" w:eastAsia="Times New Roman" w:hAnsi="Times" w:cs="Times"/>
                <w:b/>
                <w:bCs/>
                <w:sz w:val="20"/>
                <w:szCs w:val="20"/>
              </w:rPr>
              <w:t> </w:t>
            </w:r>
          </w:p>
        </w:tc>
        <w:tc>
          <w:tcPr>
            <w:tcW w:w="1021" w:type="dxa"/>
            <w:tcBorders>
              <w:top w:val="single" w:sz="4" w:space="0" w:color="auto"/>
              <w:left w:val="nil"/>
              <w:bottom w:val="single" w:sz="4" w:space="0" w:color="auto"/>
              <w:right w:val="single" w:sz="4" w:space="0" w:color="auto"/>
            </w:tcBorders>
            <w:shd w:val="clear" w:color="000000" w:fill="CCFFCC"/>
            <w:noWrap/>
            <w:vAlign w:val="bottom"/>
            <w:hideMark/>
          </w:tcPr>
          <w:p w14:paraId="519B271E" w14:textId="77777777" w:rsidR="006F67D0" w:rsidRPr="008E63BB" w:rsidRDefault="006F67D0" w:rsidP="00C90BF8">
            <w:pPr>
              <w:jc w:val="right"/>
              <w:rPr>
                <w:rFonts w:ascii="Times" w:eastAsia="Times New Roman" w:hAnsi="Times" w:cs="Times"/>
                <w:b/>
                <w:bCs/>
                <w:sz w:val="20"/>
                <w:szCs w:val="20"/>
              </w:rPr>
            </w:pPr>
            <w:r w:rsidRPr="008E63BB">
              <w:rPr>
                <w:rFonts w:ascii="Times" w:eastAsia="Times New Roman" w:hAnsi="Times" w:cs="Times"/>
                <w:b/>
                <w:bCs/>
                <w:sz w:val="20"/>
                <w:szCs w:val="20"/>
              </w:rPr>
              <w:t>751.788,1</w:t>
            </w:r>
          </w:p>
        </w:tc>
        <w:tc>
          <w:tcPr>
            <w:tcW w:w="1065" w:type="dxa"/>
            <w:tcBorders>
              <w:top w:val="single" w:sz="4" w:space="0" w:color="auto"/>
              <w:left w:val="nil"/>
              <w:bottom w:val="single" w:sz="4" w:space="0" w:color="auto"/>
              <w:right w:val="single" w:sz="4" w:space="0" w:color="auto"/>
            </w:tcBorders>
            <w:shd w:val="clear" w:color="000000" w:fill="CCFFCC"/>
            <w:noWrap/>
            <w:vAlign w:val="bottom"/>
            <w:hideMark/>
          </w:tcPr>
          <w:p w14:paraId="519B271F" w14:textId="77777777" w:rsidR="006F67D0" w:rsidRPr="008E63BB" w:rsidRDefault="006F67D0" w:rsidP="00C90BF8">
            <w:pPr>
              <w:jc w:val="right"/>
              <w:rPr>
                <w:rFonts w:ascii="Times" w:eastAsia="Times New Roman" w:hAnsi="Times" w:cs="Times"/>
                <w:b/>
                <w:bCs/>
                <w:sz w:val="20"/>
                <w:szCs w:val="20"/>
              </w:rPr>
            </w:pPr>
            <w:r w:rsidRPr="008E63BB">
              <w:rPr>
                <w:rFonts w:ascii="Times" w:eastAsia="Times New Roman" w:hAnsi="Times" w:cs="Times"/>
                <w:b/>
                <w:bCs/>
                <w:sz w:val="20"/>
                <w:szCs w:val="20"/>
              </w:rPr>
              <w:t>16.862,1</w:t>
            </w:r>
          </w:p>
        </w:tc>
        <w:tc>
          <w:tcPr>
            <w:tcW w:w="983" w:type="dxa"/>
            <w:tcBorders>
              <w:top w:val="single" w:sz="4" w:space="0" w:color="auto"/>
              <w:left w:val="nil"/>
              <w:bottom w:val="single" w:sz="4" w:space="0" w:color="auto"/>
              <w:right w:val="single" w:sz="4" w:space="0" w:color="auto"/>
            </w:tcBorders>
            <w:shd w:val="clear" w:color="000000" w:fill="CCFFCC"/>
            <w:noWrap/>
            <w:vAlign w:val="bottom"/>
            <w:hideMark/>
          </w:tcPr>
          <w:p w14:paraId="519B2720" w14:textId="77777777" w:rsidR="006F67D0" w:rsidRPr="008E63BB" w:rsidRDefault="006F67D0" w:rsidP="00C90BF8">
            <w:pPr>
              <w:jc w:val="right"/>
              <w:rPr>
                <w:rFonts w:ascii="Times" w:eastAsia="Times New Roman" w:hAnsi="Times" w:cs="Times"/>
                <w:b/>
                <w:bCs/>
                <w:sz w:val="20"/>
                <w:szCs w:val="20"/>
              </w:rPr>
            </w:pPr>
            <w:r w:rsidRPr="008E63BB">
              <w:rPr>
                <w:rFonts w:ascii="Times" w:eastAsia="Times New Roman" w:hAnsi="Times" w:cs="Times"/>
                <w:b/>
                <w:bCs/>
                <w:sz w:val="20"/>
                <w:szCs w:val="20"/>
              </w:rPr>
              <w:t>863,7</w:t>
            </w:r>
          </w:p>
        </w:tc>
      </w:tr>
      <w:tr w:rsidR="006F67D0" w:rsidRPr="008E63BB" w14:paraId="519B2728" w14:textId="77777777" w:rsidTr="00C90BF8">
        <w:trPr>
          <w:trHeight w:val="286"/>
        </w:trPr>
        <w:tc>
          <w:tcPr>
            <w:tcW w:w="49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19B2722"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w:t>
            </w:r>
          </w:p>
        </w:tc>
        <w:tc>
          <w:tcPr>
            <w:tcW w:w="4104" w:type="dxa"/>
            <w:tcBorders>
              <w:top w:val="single" w:sz="4" w:space="0" w:color="auto"/>
              <w:left w:val="nil"/>
              <w:bottom w:val="single" w:sz="4" w:space="0" w:color="auto"/>
              <w:right w:val="single" w:sz="4" w:space="0" w:color="auto"/>
            </w:tcBorders>
            <w:shd w:val="clear" w:color="000000" w:fill="FFFFFF"/>
            <w:vAlign w:val="center"/>
            <w:hideMark/>
          </w:tcPr>
          <w:p w14:paraId="519B2723"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Cao Đẳng Xây dựng Nam Định</w:t>
            </w:r>
          </w:p>
        </w:tc>
        <w:tc>
          <w:tcPr>
            <w:tcW w:w="1512" w:type="dxa"/>
            <w:tcBorders>
              <w:top w:val="single" w:sz="4" w:space="0" w:color="auto"/>
              <w:left w:val="nil"/>
              <w:bottom w:val="single" w:sz="4" w:space="0" w:color="auto"/>
              <w:right w:val="single" w:sz="4" w:space="0" w:color="auto"/>
            </w:tcBorders>
            <w:shd w:val="clear" w:color="000000" w:fill="FFFFFF"/>
            <w:vAlign w:val="center"/>
            <w:hideMark/>
          </w:tcPr>
          <w:p w14:paraId="519B2724"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X. Nam Phong</w:t>
            </w:r>
          </w:p>
        </w:tc>
        <w:tc>
          <w:tcPr>
            <w:tcW w:w="1021" w:type="dxa"/>
            <w:tcBorders>
              <w:top w:val="single" w:sz="4" w:space="0" w:color="auto"/>
              <w:left w:val="nil"/>
              <w:bottom w:val="single" w:sz="4" w:space="0" w:color="auto"/>
              <w:right w:val="single" w:sz="4" w:space="0" w:color="auto"/>
            </w:tcBorders>
            <w:shd w:val="clear" w:color="000000" w:fill="FFFFFF"/>
            <w:vAlign w:val="center"/>
            <w:hideMark/>
          </w:tcPr>
          <w:p w14:paraId="519B2725"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52.773,3</w:t>
            </w:r>
          </w:p>
        </w:tc>
        <w:tc>
          <w:tcPr>
            <w:tcW w:w="1065" w:type="dxa"/>
            <w:tcBorders>
              <w:top w:val="single" w:sz="4" w:space="0" w:color="auto"/>
              <w:left w:val="nil"/>
              <w:bottom w:val="single" w:sz="4" w:space="0" w:color="auto"/>
              <w:right w:val="single" w:sz="4" w:space="0" w:color="auto"/>
            </w:tcBorders>
            <w:shd w:val="clear" w:color="000000" w:fill="FFFFFF"/>
            <w:vAlign w:val="center"/>
            <w:hideMark/>
          </w:tcPr>
          <w:p w14:paraId="519B2726"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single" w:sz="4" w:space="0" w:color="auto"/>
              <w:left w:val="nil"/>
              <w:bottom w:val="single" w:sz="4" w:space="0" w:color="auto"/>
              <w:right w:val="single" w:sz="4" w:space="0" w:color="auto"/>
            </w:tcBorders>
            <w:shd w:val="clear" w:color="000000" w:fill="FFFFFF"/>
            <w:vAlign w:val="center"/>
            <w:hideMark/>
          </w:tcPr>
          <w:p w14:paraId="519B2727"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2F"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29"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2</w:t>
            </w:r>
          </w:p>
        </w:tc>
        <w:tc>
          <w:tcPr>
            <w:tcW w:w="4104" w:type="dxa"/>
            <w:tcBorders>
              <w:top w:val="nil"/>
              <w:left w:val="nil"/>
              <w:bottom w:val="single" w:sz="4" w:space="0" w:color="auto"/>
              <w:right w:val="single" w:sz="4" w:space="0" w:color="auto"/>
            </w:tcBorders>
            <w:shd w:val="clear" w:color="000000" w:fill="FFFFFF"/>
            <w:vAlign w:val="center"/>
            <w:hideMark/>
          </w:tcPr>
          <w:p w14:paraId="519B272A"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Công Đoàn Nam Định</w:t>
            </w:r>
          </w:p>
        </w:tc>
        <w:tc>
          <w:tcPr>
            <w:tcW w:w="1512" w:type="dxa"/>
            <w:tcBorders>
              <w:top w:val="nil"/>
              <w:left w:val="nil"/>
              <w:bottom w:val="single" w:sz="4" w:space="0" w:color="auto"/>
              <w:right w:val="single" w:sz="4" w:space="0" w:color="auto"/>
            </w:tcBorders>
            <w:shd w:val="clear" w:color="000000" w:fill="FFFFFF"/>
            <w:vAlign w:val="center"/>
            <w:hideMark/>
          </w:tcPr>
          <w:p w14:paraId="519B272B"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X. Nam Phong</w:t>
            </w:r>
          </w:p>
        </w:tc>
        <w:tc>
          <w:tcPr>
            <w:tcW w:w="1021" w:type="dxa"/>
            <w:tcBorders>
              <w:top w:val="nil"/>
              <w:left w:val="nil"/>
              <w:bottom w:val="single" w:sz="4" w:space="0" w:color="auto"/>
              <w:right w:val="single" w:sz="4" w:space="0" w:color="auto"/>
            </w:tcBorders>
            <w:shd w:val="clear" w:color="000000" w:fill="FFFFFF"/>
            <w:vAlign w:val="center"/>
            <w:hideMark/>
          </w:tcPr>
          <w:p w14:paraId="519B272C"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15.611,2</w:t>
            </w:r>
          </w:p>
        </w:tc>
        <w:tc>
          <w:tcPr>
            <w:tcW w:w="1065" w:type="dxa"/>
            <w:tcBorders>
              <w:top w:val="nil"/>
              <w:left w:val="nil"/>
              <w:bottom w:val="single" w:sz="4" w:space="0" w:color="auto"/>
              <w:right w:val="single" w:sz="4" w:space="0" w:color="auto"/>
            </w:tcBorders>
            <w:shd w:val="clear" w:color="000000" w:fill="FFFFFF"/>
            <w:vAlign w:val="center"/>
            <w:hideMark/>
          </w:tcPr>
          <w:p w14:paraId="519B272D"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39,4</w:t>
            </w:r>
          </w:p>
        </w:tc>
        <w:tc>
          <w:tcPr>
            <w:tcW w:w="983" w:type="dxa"/>
            <w:tcBorders>
              <w:top w:val="nil"/>
              <w:left w:val="nil"/>
              <w:bottom w:val="single" w:sz="4" w:space="0" w:color="auto"/>
              <w:right w:val="single" w:sz="4" w:space="0" w:color="auto"/>
            </w:tcBorders>
            <w:shd w:val="clear" w:color="000000" w:fill="FFFFFF"/>
            <w:vAlign w:val="center"/>
            <w:hideMark/>
          </w:tcPr>
          <w:p w14:paraId="519B272E"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36" w14:textId="77777777" w:rsidTr="00C90BF8">
        <w:trPr>
          <w:trHeight w:val="573"/>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30"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3</w:t>
            </w:r>
          </w:p>
        </w:tc>
        <w:tc>
          <w:tcPr>
            <w:tcW w:w="4104" w:type="dxa"/>
            <w:tcBorders>
              <w:top w:val="nil"/>
              <w:left w:val="nil"/>
              <w:bottom w:val="single" w:sz="4" w:space="0" w:color="auto"/>
              <w:right w:val="single" w:sz="4" w:space="0" w:color="auto"/>
            </w:tcBorders>
            <w:shd w:val="clear" w:color="000000" w:fill="FFFFFF"/>
            <w:vAlign w:val="center"/>
            <w:hideMark/>
          </w:tcPr>
          <w:p w14:paraId="519B2731"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trung học kinh tế kỹ thuật Nông ngiệp Nam Định</w:t>
            </w:r>
          </w:p>
        </w:tc>
        <w:tc>
          <w:tcPr>
            <w:tcW w:w="1512" w:type="dxa"/>
            <w:tcBorders>
              <w:top w:val="nil"/>
              <w:left w:val="nil"/>
              <w:bottom w:val="single" w:sz="4" w:space="0" w:color="auto"/>
              <w:right w:val="single" w:sz="4" w:space="0" w:color="auto"/>
            </w:tcBorders>
            <w:shd w:val="clear" w:color="000000" w:fill="FFFFFF"/>
            <w:vAlign w:val="center"/>
            <w:hideMark/>
          </w:tcPr>
          <w:p w14:paraId="519B2732"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X. Nam Phong</w:t>
            </w:r>
          </w:p>
        </w:tc>
        <w:tc>
          <w:tcPr>
            <w:tcW w:w="1021" w:type="dxa"/>
            <w:tcBorders>
              <w:top w:val="nil"/>
              <w:left w:val="nil"/>
              <w:bottom w:val="single" w:sz="4" w:space="0" w:color="auto"/>
              <w:right w:val="single" w:sz="4" w:space="0" w:color="auto"/>
            </w:tcBorders>
            <w:shd w:val="clear" w:color="000000" w:fill="FFFFFF"/>
            <w:vAlign w:val="center"/>
            <w:hideMark/>
          </w:tcPr>
          <w:p w14:paraId="519B2733"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16.532,0</w:t>
            </w:r>
          </w:p>
        </w:tc>
        <w:tc>
          <w:tcPr>
            <w:tcW w:w="1065" w:type="dxa"/>
            <w:tcBorders>
              <w:top w:val="nil"/>
              <w:left w:val="nil"/>
              <w:bottom w:val="single" w:sz="4" w:space="0" w:color="auto"/>
              <w:right w:val="single" w:sz="4" w:space="0" w:color="auto"/>
            </w:tcBorders>
            <w:shd w:val="clear" w:color="000000" w:fill="FFFFFF"/>
            <w:vAlign w:val="center"/>
            <w:hideMark/>
          </w:tcPr>
          <w:p w14:paraId="519B2734"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0,9</w:t>
            </w:r>
          </w:p>
        </w:tc>
        <w:tc>
          <w:tcPr>
            <w:tcW w:w="983" w:type="dxa"/>
            <w:tcBorders>
              <w:top w:val="nil"/>
              <w:left w:val="nil"/>
              <w:bottom w:val="single" w:sz="4" w:space="0" w:color="auto"/>
              <w:right w:val="single" w:sz="4" w:space="0" w:color="auto"/>
            </w:tcBorders>
            <w:shd w:val="clear" w:color="000000" w:fill="FFFFFF"/>
            <w:vAlign w:val="center"/>
            <w:hideMark/>
          </w:tcPr>
          <w:p w14:paraId="519B2735"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3D"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37"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4</w:t>
            </w:r>
          </w:p>
        </w:tc>
        <w:tc>
          <w:tcPr>
            <w:tcW w:w="4104" w:type="dxa"/>
            <w:tcBorders>
              <w:top w:val="nil"/>
              <w:left w:val="nil"/>
              <w:bottom w:val="single" w:sz="4" w:space="0" w:color="auto"/>
              <w:right w:val="single" w:sz="4" w:space="0" w:color="auto"/>
            </w:tcBorders>
            <w:shd w:val="clear" w:color="000000" w:fill="FFFFFF"/>
            <w:vAlign w:val="center"/>
            <w:hideMark/>
          </w:tcPr>
          <w:p w14:paraId="519B2738"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Cao Đẳng Xây dựng Nam Định</w:t>
            </w:r>
          </w:p>
        </w:tc>
        <w:tc>
          <w:tcPr>
            <w:tcW w:w="1512" w:type="dxa"/>
            <w:tcBorders>
              <w:top w:val="nil"/>
              <w:left w:val="nil"/>
              <w:bottom w:val="single" w:sz="4" w:space="0" w:color="auto"/>
              <w:right w:val="single" w:sz="4" w:space="0" w:color="auto"/>
            </w:tcBorders>
            <w:shd w:val="clear" w:color="000000" w:fill="FFFFFF"/>
            <w:vAlign w:val="center"/>
            <w:hideMark/>
          </w:tcPr>
          <w:p w14:paraId="519B2739"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Vị Hoàng</w:t>
            </w:r>
          </w:p>
        </w:tc>
        <w:tc>
          <w:tcPr>
            <w:tcW w:w="1021" w:type="dxa"/>
            <w:tcBorders>
              <w:top w:val="nil"/>
              <w:left w:val="nil"/>
              <w:bottom w:val="single" w:sz="4" w:space="0" w:color="auto"/>
              <w:right w:val="single" w:sz="4" w:space="0" w:color="auto"/>
            </w:tcBorders>
            <w:shd w:val="clear" w:color="000000" w:fill="FFFFFF"/>
            <w:vAlign w:val="center"/>
            <w:hideMark/>
          </w:tcPr>
          <w:p w14:paraId="519B273A"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4.246,1</w:t>
            </w:r>
          </w:p>
        </w:tc>
        <w:tc>
          <w:tcPr>
            <w:tcW w:w="1065" w:type="dxa"/>
            <w:tcBorders>
              <w:top w:val="nil"/>
              <w:left w:val="nil"/>
              <w:bottom w:val="single" w:sz="4" w:space="0" w:color="auto"/>
              <w:right w:val="single" w:sz="4" w:space="0" w:color="auto"/>
            </w:tcBorders>
            <w:shd w:val="clear" w:color="000000" w:fill="FFFFFF"/>
            <w:vAlign w:val="center"/>
            <w:hideMark/>
          </w:tcPr>
          <w:p w14:paraId="519B273B"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vAlign w:val="center"/>
            <w:hideMark/>
          </w:tcPr>
          <w:p w14:paraId="519B273C"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44"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3E"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5</w:t>
            </w:r>
          </w:p>
        </w:tc>
        <w:tc>
          <w:tcPr>
            <w:tcW w:w="4104" w:type="dxa"/>
            <w:tcBorders>
              <w:top w:val="nil"/>
              <w:left w:val="nil"/>
              <w:bottom w:val="single" w:sz="4" w:space="0" w:color="auto"/>
              <w:right w:val="single" w:sz="4" w:space="0" w:color="auto"/>
            </w:tcBorders>
            <w:shd w:val="clear" w:color="000000" w:fill="FFFFFF"/>
            <w:vAlign w:val="center"/>
            <w:hideMark/>
          </w:tcPr>
          <w:p w14:paraId="519B273F"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nghiệp vụ thể dục thể thao</w:t>
            </w:r>
          </w:p>
        </w:tc>
        <w:tc>
          <w:tcPr>
            <w:tcW w:w="1512" w:type="dxa"/>
            <w:tcBorders>
              <w:top w:val="nil"/>
              <w:left w:val="nil"/>
              <w:bottom w:val="single" w:sz="4" w:space="0" w:color="auto"/>
              <w:right w:val="single" w:sz="4" w:space="0" w:color="auto"/>
            </w:tcBorders>
            <w:shd w:val="clear" w:color="000000" w:fill="FFFFFF"/>
            <w:vAlign w:val="center"/>
            <w:hideMark/>
          </w:tcPr>
          <w:p w14:paraId="519B2740"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Vị Hoàng</w:t>
            </w:r>
          </w:p>
        </w:tc>
        <w:tc>
          <w:tcPr>
            <w:tcW w:w="1021" w:type="dxa"/>
            <w:tcBorders>
              <w:top w:val="nil"/>
              <w:left w:val="nil"/>
              <w:bottom w:val="single" w:sz="4" w:space="0" w:color="auto"/>
              <w:right w:val="single" w:sz="4" w:space="0" w:color="auto"/>
            </w:tcBorders>
            <w:shd w:val="clear" w:color="000000" w:fill="FFFFFF"/>
            <w:vAlign w:val="center"/>
            <w:hideMark/>
          </w:tcPr>
          <w:p w14:paraId="519B2741"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63.688,6</w:t>
            </w:r>
          </w:p>
        </w:tc>
        <w:tc>
          <w:tcPr>
            <w:tcW w:w="1065" w:type="dxa"/>
            <w:tcBorders>
              <w:top w:val="nil"/>
              <w:left w:val="nil"/>
              <w:bottom w:val="single" w:sz="4" w:space="0" w:color="auto"/>
              <w:right w:val="single" w:sz="4" w:space="0" w:color="auto"/>
            </w:tcBorders>
            <w:shd w:val="clear" w:color="000000" w:fill="FFFFFF"/>
            <w:vAlign w:val="center"/>
            <w:hideMark/>
          </w:tcPr>
          <w:p w14:paraId="519B2742"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vAlign w:val="center"/>
            <w:hideMark/>
          </w:tcPr>
          <w:p w14:paraId="519B2743"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4B"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45"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6</w:t>
            </w:r>
          </w:p>
        </w:tc>
        <w:tc>
          <w:tcPr>
            <w:tcW w:w="4104" w:type="dxa"/>
            <w:tcBorders>
              <w:top w:val="nil"/>
              <w:left w:val="nil"/>
              <w:bottom w:val="single" w:sz="4" w:space="0" w:color="auto"/>
              <w:right w:val="single" w:sz="4" w:space="0" w:color="auto"/>
            </w:tcBorders>
            <w:shd w:val="clear" w:color="000000" w:fill="FFFFFF"/>
            <w:vAlign w:val="center"/>
            <w:hideMark/>
          </w:tcPr>
          <w:p w14:paraId="519B2746"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ĐH KTKT công nghiệp</w:t>
            </w:r>
          </w:p>
        </w:tc>
        <w:tc>
          <w:tcPr>
            <w:tcW w:w="1512" w:type="dxa"/>
            <w:tcBorders>
              <w:top w:val="nil"/>
              <w:left w:val="nil"/>
              <w:bottom w:val="single" w:sz="4" w:space="0" w:color="auto"/>
              <w:right w:val="single" w:sz="4" w:space="0" w:color="auto"/>
            </w:tcBorders>
            <w:shd w:val="clear" w:color="000000" w:fill="FFFFFF"/>
            <w:vAlign w:val="center"/>
            <w:hideMark/>
          </w:tcPr>
          <w:p w14:paraId="519B2747"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Bà Triệu</w:t>
            </w:r>
          </w:p>
        </w:tc>
        <w:tc>
          <w:tcPr>
            <w:tcW w:w="1021" w:type="dxa"/>
            <w:tcBorders>
              <w:top w:val="nil"/>
              <w:left w:val="nil"/>
              <w:bottom w:val="single" w:sz="4" w:space="0" w:color="auto"/>
              <w:right w:val="single" w:sz="4" w:space="0" w:color="auto"/>
            </w:tcBorders>
            <w:shd w:val="clear" w:color="000000" w:fill="FFFFFF"/>
            <w:vAlign w:val="center"/>
            <w:hideMark/>
          </w:tcPr>
          <w:p w14:paraId="519B2748"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17.449,0</w:t>
            </w:r>
          </w:p>
        </w:tc>
        <w:tc>
          <w:tcPr>
            <w:tcW w:w="1065" w:type="dxa"/>
            <w:tcBorders>
              <w:top w:val="nil"/>
              <w:left w:val="nil"/>
              <w:bottom w:val="single" w:sz="4" w:space="0" w:color="auto"/>
              <w:right w:val="single" w:sz="4" w:space="0" w:color="auto"/>
            </w:tcBorders>
            <w:shd w:val="clear" w:color="000000" w:fill="FFFFFF"/>
            <w:vAlign w:val="center"/>
            <w:hideMark/>
          </w:tcPr>
          <w:p w14:paraId="519B2749"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vAlign w:val="center"/>
            <w:hideMark/>
          </w:tcPr>
          <w:p w14:paraId="519B274A"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 459,0</w:t>
            </w:r>
          </w:p>
        </w:tc>
      </w:tr>
      <w:tr w:rsidR="006F67D0" w:rsidRPr="008E63BB" w14:paraId="519B2752"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4C"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7</w:t>
            </w:r>
          </w:p>
        </w:tc>
        <w:tc>
          <w:tcPr>
            <w:tcW w:w="4104" w:type="dxa"/>
            <w:tcBorders>
              <w:top w:val="nil"/>
              <w:left w:val="nil"/>
              <w:bottom w:val="single" w:sz="4" w:space="0" w:color="auto"/>
              <w:right w:val="single" w:sz="4" w:space="0" w:color="auto"/>
            </w:tcBorders>
            <w:shd w:val="clear" w:color="000000" w:fill="FFFFFF"/>
            <w:noWrap/>
            <w:vAlign w:val="bottom"/>
            <w:hideMark/>
          </w:tcPr>
          <w:p w14:paraId="519B274D"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Cao Đẳng Xây dựng Nam Định</w:t>
            </w:r>
          </w:p>
        </w:tc>
        <w:tc>
          <w:tcPr>
            <w:tcW w:w="1512" w:type="dxa"/>
            <w:tcBorders>
              <w:top w:val="nil"/>
              <w:left w:val="nil"/>
              <w:bottom w:val="single" w:sz="4" w:space="0" w:color="auto"/>
              <w:right w:val="single" w:sz="4" w:space="0" w:color="auto"/>
            </w:tcBorders>
            <w:shd w:val="clear" w:color="000000" w:fill="FFFFFF"/>
            <w:noWrap/>
            <w:vAlign w:val="bottom"/>
            <w:hideMark/>
          </w:tcPr>
          <w:p w14:paraId="519B274E"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Lộc Vượng</w:t>
            </w:r>
          </w:p>
        </w:tc>
        <w:tc>
          <w:tcPr>
            <w:tcW w:w="1021" w:type="dxa"/>
            <w:tcBorders>
              <w:top w:val="nil"/>
              <w:left w:val="nil"/>
              <w:bottom w:val="single" w:sz="4" w:space="0" w:color="auto"/>
              <w:right w:val="single" w:sz="4" w:space="0" w:color="auto"/>
            </w:tcBorders>
            <w:shd w:val="clear" w:color="000000" w:fill="FFFFFF"/>
            <w:noWrap/>
            <w:vAlign w:val="bottom"/>
            <w:hideMark/>
          </w:tcPr>
          <w:p w14:paraId="519B274F"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40.626,2</w:t>
            </w:r>
          </w:p>
        </w:tc>
        <w:tc>
          <w:tcPr>
            <w:tcW w:w="1065" w:type="dxa"/>
            <w:tcBorders>
              <w:top w:val="nil"/>
              <w:left w:val="nil"/>
              <w:bottom w:val="single" w:sz="4" w:space="0" w:color="auto"/>
              <w:right w:val="single" w:sz="4" w:space="0" w:color="auto"/>
            </w:tcBorders>
            <w:shd w:val="clear" w:color="000000" w:fill="FFFFFF"/>
            <w:noWrap/>
            <w:vAlign w:val="bottom"/>
            <w:hideMark/>
          </w:tcPr>
          <w:p w14:paraId="519B2750"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noWrap/>
            <w:vAlign w:val="bottom"/>
            <w:hideMark/>
          </w:tcPr>
          <w:p w14:paraId="519B2751"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59"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53"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8</w:t>
            </w:r>
          </w:p>
        </w:tc>
        <w:tc>
          <w:tcPr>
            <w:tcW w:w="4104" w:type="dxa"/>
            <w:tcBorders>
              <w:top w:val="nil"/>
              <w:left w:val="nil"/>
              <w:bottom w:val="single" w:sz="4" w:space="0" w:color="auto"/>
              <w:right w:val="single" w:sz="4" w:space="0" w:color="auto"/>
            </w:tcBorders>
            <w:shd w:val="clear" w:color="000000" w:fill="FFFFFF"/>
            <w:noWrap/>
            <w:vAlign w:val="bottom"/>
            <w:hideMark/>
          </w:tcPr>
          <w:p w14:paraId="519B2754"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ĐH dân lập Lương Thế Vinh</w:t>
            </w:r>
          </w:p>
        </w:tc>
        <w:tc>
          <w:tcPr>
            <w:tcW w:w="1512" w:type="dxa"/>
            <w:tcBorders>
              <w:top w:val="nil"/>
              <w:left w:val="nil"/>
              <w:bottom w:val="single" w:sz="4" w:space="0" w:color="auto"/>
              <w:right w:val="single" w:sz="4" w:space="0" w:color="auto"/>
            </w:tcBorders>
            <w:shd w:val="clear" w:color="000000" w:fill="FFFFFF"/>
            <w:noWrap/>
            <w:vAlign w:val="bottom"/>
            <w:hideMark/>
          </w:tcPr>
          <w:p w14:paraId="519B2755"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Lộc Vượng</w:t>
            </w:r>
          </w:p>
        </w:tc>
        <w:tc>
          <w:tcPr>
            <w:tcW w:w="1021" w:type="dxa"/>
            <w:tcBorders>
              <w:top w:val="nil"/>
              <w:left w:val="nil"/>
              <w:bottom w:val="single" w:sz="4" w:space="0" w:color="auto"/>
              <w:right w:val="single" w:sz="4" w:space="0" w:color="auto"/>
            </w:tcBorders>
            <w:shd w:val="clear" w:color="000000" w:fill="FFFFFF"/>
            <w:noWrap/>
            <w:vAlign w:val="bottom"/>
            <w:hideMark/>
          </w:tcPr>
          <w:p w14:paraId="519B2756"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68.120,3</w:t>
            </w:r>
          </w:p>
        </w:tc>
        <w:tc>
          <w:tcPr>
            <w:tcW w:w="1065" w:type="dxa"/>
            <w:tcBorders>
              <w:top w:val="nil"/>
              <w:left w:val="nil"/>
              <w:bottom w:val="single" w:sz="4" w:space="0" w:color="auto"/>
              <w:right w:val="single" w:sz="4" w:space="0" w:color="auto"/>
            </w:tcBorders>
            <w:shd w:val="clear" w:color="000000" w:fill="FFFFFF"/>
            <w:noWrap/>
            <w:vAlign w:val="bottom"/>
            <w:hideMark/>
          </w:tcPr>
          <w:p w14:paraId="519B2757"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noWrap/>
            <w:vAlign w:val="bottom"/>
            <w:hideMark/>
          </w:tcPr>
          <w:p w14:paraId="519B2758"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60"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5A"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9</w:t>
            </w:r>
          </w:p>
        </w:tc>
        <w:tc>
          <w:tcPr>
            <w:tcW w:w="4104" w:type="dxa"/>
            <w:tcBorders>
              <w:top w:val="nil"/>
              <w:left w:val="nil"/>
              <w:bottom w:val="single" w:sz="4" w:space="0" w:color="auto"/>
              <w:right w:val="single" w:sz="4" w:space="0" w:color="auto"/>
            </w:tcBorders>
            <w:shd w:val="clear" w:color="000000" w:fill="FFFFFF"/>
            <w:noWrap/>
            <w:vAlign w:val="bottom"/>
            <w:hideMark/>
          </w:tcPr>
          <w:p w14:paraId="519B275B"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trung cấp Phật học tỉnh Nam Định</w:t>
            </w:r>
          </w:p>
        </w:tc>
        <w:tc>
          <w:tcPr>
            <w:tcW w:w="1512" w:type="dxa"/>
            <w:tcBorders>
              <w:top w:val="nil"/>
              <w:left w:val="nil"/>
              <w:bottom w:val="single" w:sz="4" w:space="0" w:color="auto"/>
              <w:right w:val="single" w:sz="4" w:space="0" w:color="auto"/>
            </w:tcBorders>
            <w:shd w:val="clear" w:color="000000" w:fill="FFFFFF"/>
            <w:noWrap/>
            <w:vAlign w:val="bottom"/>
            <w:hideMark/>
          </w:tcPr>
          <w:p w14:paraId="519B275C"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Lộc Vượng</w:t>
            </w:r>
          </w:p>
        </w:tc>
        <w:tc>
          <w:tcPr>
            <w:tcW w:w="1021" w:type="dxa"/>
            <w:tcBorders>
              <w:top w:val="nil"/>
              <w:left w:val="nil"/>
              <w:bottom w:val="single" w:sz="4" w:space="0" w:color="auto"/>
              <w:right w:val="single" w:sz="4" w:space="0" w:color="auto"/>
            </w:tcBorders>
            <w:shd w:val="clear" w:color="000000" w:fill="FFFFFF"/>
            <w:noWrap/>
            <w:vAlign w:val="bottom"/>
            <w:hideMark/>
          </w:tcPr>
          <w:p w14:paraId="519B275D"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33.453,8</w:t>
            </w:r>
          </w:p>
        </w:tc>
        <w:tc>
          <w:tcPr>
            <w:tcW w:w="1065" w:type="dxa"/>
            <w:tcBorders>
              <w:top w:val="nil"/>
              <w:left w:val="nil"/>
              <w:bottom w:val="single" w:sz="4" w:space="0" w:color="auto"/>
              <w:right w:val="single" w:sz="4" w:space="0" w:color="auto"/>
            </w:tcBorders>
            <w:shd w:val="clear" w:color="000000" w:fill="FFFFFF"/>
            <w:noWrap/>
            <w:vAlign w:val="bottom"/>
            <w:hideMark/>
          </w:tcPr>
          <w:p w14:paraId="519B275E"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noWrap/>
            <w:vAlign w:val="bottom"/>
            <w:hideMark/>
          </w:tcPr>
          <w:p w14:paraId="519B275F"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67"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61"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10</w:t>
            </w:r>
          </w:p>
        </w:tc>
        <w:tc>
          <w:tcPr>
            <w:tcW w:w="4104" w:type="dxa"/>
            <w:tcBorders>
              <w:top w:val="nil"/>
              <w:left w:val="nil"/>
              <w:bottom w:val="single" w:sz="4" w:space="0" w:color="auto"/>
              <w:right w:val="single" w:sz="4" w:space="0" w:color="auto"/>
            </w:tcBorders>
            <w:shd w:val="clear" w:color="000000" w:fill="FFFFFF"/>
            <w:noWrap/>
            <w:vAlign w:val="bottom"/>
            <w:hideMark/>
          </w:tcPr>
          <w:p w14:paraId="519B2762"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Cao Đẳng CN dệt may Nam Định</w:t>
            </w:r>
          </w:p>
        </w:tc>
        <w:tc>
          <w:tcPr>
            <w:tcW w:w="1512" w:type="dxa"/>
            <w:tcBorders>
              <w:top w:val="nil"/>
              <w:left w:val="nil"/>
              <w:bottom w:val="single" w:sz="4" w:space="0" w:color="auto"/>
              <w:right w:val="single" w:sz="4" w:space="0" w:color="auto"/>
            </w:tcBorders>
            <w:shd w:val="clear" w:color="000000" w:fill="FFFFFF"/>
            <w:noWrap/>
            <w:vAlign w:val="bottom"/>
            <w:hideMark/>
          </w:tcPr>
          <w:p w14:paraId="519B2763"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Năng Tĩnh</w:t>
            </w:r>
          </w:p>
        </w:tc>
        <w:tc>
          <w:tcPr>
            <w:tcW w:w="1021" w:type="dxa"/>
            <w:tcBorders>
              <w:top w:val="nil"/>
              <w:left w:val="nil"/>
              <w:bottom w:val="single" w:sz="4" w:space="0" w:color="auto"/>
              <w:right w:val="single" w:sz="4" w:space="0" w:color="auto"/>
            </w:tcBorders>
            <w:shd w:val="clear" w:color="000000" w:fill="FFFFFF"/>
            <w:noWrap/>
            <w:vAlign w:val="bottom"/>
            <w:hideMark/>
          </w:tcPr>
          <w:p w14:paraId="519B2764"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6.606,0</w:t>
            </w:r>
          </w:p>
        </w:tc>
        <w:tc>
          <w:tcPr>
            <w:tcW w:w="1065" w:type="dxa"/>
            <w:tcBorders>
              <w:top w:val="nil"/>
              <w:left w:val="nil"/>
              <w:bottom w:val="single" w:sz="4" w:space="0" w:color="auto"/>
              <w:right w:val="single" w:sz="4" w:space="0" w:color="auto"/>
            </w:tcBorders>
            <w:shd w:val="clear" w:color="000000" w:fill="FFFFFF"/>
            <w:noWrap/>
            <w:vAlign w:val="bottom"/>
            <w:hideMark/>
          </w:tcPr>
          <w:p w14:paraId="519B2765"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noWrap/>
            <w:vAlign w:val="bottom"/>
            <w:hideMark/>
          </w:tcPr>
          <w:p w14:paraId="519B2766"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6E"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68"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11</w:t>
            </w:r>
          </w:p>
        </w:tc>
        <w:tc>
          <w:tcPr>
            <w:tcW w:w="4104" w:type="dxa"/>
            <w:tcBorders>
              <w:top w:val="nil"/>
              <w:left w:val="nil"/>
              <w:bottom w:val="single" w:sz="4" w:space="0" w:color="auto"/>
              <w:right w:val="single" w:sz="4" w:space="0" w:color="auto"/>
            </w:tcBorders>
            <w:shd w:val="clear" w:color="000000" w:fill="FFFFFF"/>
            <w:vAlign w:val="center"/>
            <w:hideMark/>
          </w:tcPr>
          <w:p w14:paraId="519B2769"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Cao Đẳng Xây dựng Nam Định</w:t>
            </w:r>
          </w:p>
        </w:tc>
        <w:tc>
          <w:tcPr>
            <w:tcW w:w="1512" w:type="dxa"/>
            <w:tcBorders>
              <w:top w:val="nil"/>
              <w:left w:val="nil"/>
              <w:bottom w:val="single" w:sz="4" w:space="0" w:color="auto"/>
              <w:right w:val="single" w:sz="4" w:space="0" w:color="auto"/>
            </w:tcBorders>
            <w:shd w:val="clear" w:color="000000" w:fill="FFFFFF"/>
            <w:vAlign w:val="center"/>
            <w:hideMark/>
          </w:tcPr>
          <w:p w14:paraId="519B276A"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X. Mỹ Xá</w:t>
            </w:r>
          </w:p>
        </w:tc>
        <w:tc>
          <w:tcPr>
            <w:tcW w:w="1021" w:type="dxa"/>
            <w:tcBorders>
              <w:top w:val="nil"/>
              <w:left w:val="nil"/>
              <w:bottom w:val="single" w:sz="4" w:space="0" w:color="auto"/>
              <w:right w:val="single" w:sz="4" w:space="0" w:color="auto"/>
            </w:tcBorders>
            <w:shd w:val="clear" w:color="000000" w:fill="FFFFFF"/>
            <w:vAlign w:val="center"/>
            <w:hideMark/>
          </w:tcPr>
          <w:p w14:paraId="519B276B"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55.149,4</w:t>
            </w:r>
          </w:p>
        </w:tc>
        <w:tc>
          <w:tcPr>
            <w:tcW w:w="1065" w:type="dxa"/>
            <w:tcBorders>
              <w:top w:val="nil"/>
              <w:left w:val="nil"/>
              <w:bottom w:val="single" w:sz="4" w:space="0" w:color="auto"/>
              <w:right w:val="single" w:sz="4" w:space="0" w:color="auto"/>
            </w:tcBorders>
            <w:shd w:val="clear" w:color="000000" w:fill="FFFFFF"/>
            <w:vAlign w:val="center"/>
            <w:hideMark/>
          </w:tcPr>
          <w:p w14:paraId="519B276C"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747,3</w:t>
            </w:r>
          </w:p>
        </w:tc>
        <w:tc>
          <w:tcPr>
            <w:tcW w:w="983" w:type="dxa"/>
            <w:tcBorders>
              <w:top w:val="nil"/>
              <w:left w:val="nil"/>
              <w:bottom w:val="single" w:sz="4" w:space="0" w:color="auto"/>
              <w:right w:val="single" w:sz="4" w:space="0" w:color="auto"/>
            </w:tcBorders>
            <w:shd w:val="clear" w:color="000000" w:fill="FFFFFF"/>
            <w:vAlign w:val="center"/>
            <w:hideMark/>
          </w:tcPr>
          <w:p w14:paraId="519B276D"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75"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6F"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12</w:t>
            </w:r>
          </w:p>
        </w:tc>
        <w:tc>
          <w:tcPr>
            <w:tcW w:w="4104" w:type="dxa"/>
            <w:tcBorders>
              <w:top w:val="nil"/>
              <w:left w:val="nil"/>
              <w:bottom w:val="single" w:sz="4" w:space="0" w:color="auto"/>
              <w:right w:val="single" w:sz="4" w:space="0" w:color="auto"/>
            </w:tcBorders>
            <w:shd w:val="clear" w:color="000000" w:fill="FFFFFF"/>
            <w:noWrap/>
            <w:vAlign w:val="bottom"/>
            <w:hideMark/>
          </w:tcPr>
          <w:p w14:paraId="519B2770"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chính trị Trường Chinh</w:t>
            </w:r>
          </w:p>
        </w:tc>
        <w:tc>
          <w:tcPr>
            <w:tcW w:w="1512" w:type="dxa"/>
            <w:tcBorders>
              <w:top w:val="nil"/>
              <w:left w:val="nil"/>
              <w:bottom w:val="single" w:sz="4" w:space="0" w:color="auto"/>
              <w:right w:val="single" w:sz="4" w:space="0" w:color="auto"/>
            </w:tcBorders>
            <w:shd w:val="clear" w:color="000000" w:fill="FFFFFF"/>
            <w:noWrap/>
            <w:vAlign w:val="bottom"/>
            <w:hideMark/>
          </w:tcPr>
          <w:p w14:paraId="519B2771"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Vị Xuyên</w:t>
            </w:r>
          </w:p>
        </w:tc>
        <w:tc>
          <w:tcPr>
            <w:tcW w:w="1021" w:type="dxa"/>
            <w:tcBorders>
              <w:top w:val="nil"/>
              <w:left w:val="nil"/>
              <w:bottom w:val="single" w:sz="4" w:space="0" w:color="auto"/>
              <w:right w:val="single" w:sz="4" w:space="0" w:color="auto"/>
            </w:tcBorders>
            <w:shd w:val="clear" w:color="000000" w:fill="FFFFFF"/>
            <w:noWrap/>
            <w:vAlign w:val="bottom"/>
            <w:hideMark/>
          </w:tcPr>
          <w:p w14:paraId="519B2772"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8.436,0</w:t>
            </w:r>
          </w:p>
        </w:tc>
        <w:tc>
          <w:tcPr>
            <w:tcW w:w="1065" w:type="dxa"/>
            <w:tcBorders>
              <w:top w:val="nil"/>
              <w:left w:val="nil"/>
              <w:bottom w:val="single" w:sz="4" w:space="0" w:color="auto"/>
              <w:right w:val="single" w:sz="4" w:space="0" w:color="auto"/>
            </w:tcBorders>
            <w:shd w:val="clear" w:color="000000" w:fill="FFFFFF"/>
            <w:noWrap/>
            <w:vAlign w:val="bottom"/>
            <w:hideMark/>
          </w:tcPr>
          <w:p w14:paraId="519B2773"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noWrap/>
            <w:vAlign w:val="bottom"/>
            <w:hideMark/>
          </w:tcPr>
          <w:p w14:paraId="519B2774"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7C"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tcPr>
          <w:p w14:paraId="519B2776"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13</w:t>
            </w:r>
          </w:p>
        </w:tc>
        <w:tc>
          <w:tcPr>
            <w:tcW w:w="4104" w:type="dxa"/>
            <w:tcBorders>
              <w:top w:val="nil"/>
              <w:left w:val="nil"/>
              <w:bottom w:val="single" w:sz="4" w:space="0" w:color="auto"/>
              <w:right w:val="single" w:sz="4" w:space="0" w:color="auto"/>
            </w:tcBorders>
            <w:shd w:val="clear" w:color="000000" w:fill="FFFFFF"/>
            <w:noWrap/>
            <w:vAlign w:val="bottom"/>
            <w:hideMark/>
          </w:tcPr>
          <w:p w14:paraId="519B2777"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ĐH điều dưỡng Nam Định</w:t>
            </w:r>
          </w:p>
        </w:tc>
        <w:tc>
          <w:tcPr>
            <w:tcW w:w="1512" w:type="dxa"/>
            <w:tcBorders>
              <w:top w:val="nil"/>
              <w:left w:val="nil"/>
              <w:bottom w:val="single" w:sz="4" w:space="0" w:color="auto"/>
              <w:right w:val="single" w:sz="4" w:space="0" w:color="auto"/>
            </w:tcBorders>
            <w:shd w:val="clear" w:color="000000" w:fill="FFFFFF"/>
            <w:noWrap/>
            <w:vAlign w:val="bottom"/>
            <w:hideMark/>
          </w:tcPr>
          <w:p w14:paraId="519B2778"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Vị Xuyên</w:t>
            </w:r>
          </w:p>
        </w:tc>
        <w:tc>
          <w:tcPr>
            <w:tcW w:w="1021" w:type="dxa"/>
            <w:tcBorders>
              <w:top w:val="nil"/>
              <w:left w:val="nil"/>
              <w:bottom w:val="single" w:sz="4" w:space="0" w:color="auto"/>
              <w:right w:val="single" w:sz="4" w:space="0" w:color="auto"/>
            </w:tcBorders>
            <w:shd w:val="clear" w:color="000000" w:fill="FFFFFF"/>
            <w:noWrap/>
            <w:vAlign w:val="bottom"/>
            <w:hideMark/>
          </w:tcPr>
          <w:p w14:paraId="519B2779"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54.732,7</w:t>
            </w:r>
          </w:p>
        </w:tc>
        <w:tc>
          <w:tcPr>
            <w:tcW w:w="1065" w:type="dxa"/>
            <w:tcBorders>
              <w:top w:val="nil"/>
              <w:left w:val="nil"/>
              <w:bottom w:val="single" w:sz="4" w:space="0" w:color="auto"/>
              <w:right w:val="single" w:sz="4" w:space="0" w:color="auto"/>
            </w:tcBorders>
            <w:shd w:val="clear" w:color="000000" w:fill="FFFFFF"/>
            <w:noWrap/>
            <w:vAlign w:val="bottom"/>
            <w:hideMark/>
          </w:tcPr>
          <w:p w14:paraId="519B277A"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2.272,5</w:t>
            </w:r>
          </w:p>
        </w:tc>
        <w:tc>
          <w:tcPr>
            <w:tcW w:w="983" w:type="dxa"/>
            <w:tcBorders>
              <w:top w:val="nil"/>
              <w:left w:val="nil"/>
              <w:bottom w:val="single" w:sz="4" w:space="0" w:color="auto"/>
              <w:right w:val="single" w:sz="4" w:space="0" w:color="auto"/>
            </w:tcBorders>
            <w:shd w:val="clear" w:color="000000" w:fill="FFFFFF"/>
            <w:noWrap/>
            <w:vAlign w:val="bottom"/>
            <w:hideMark/>
          </w:tcPr>
          <w:p w14:paraId="519B277B"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83"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tcPr>
          <w:p w14:paraId="519B277D"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14</w:t>
            </w:r>
          </w:p>
        </w:tc>
        <w:tc>
          <w:tcPr>
            <w:tcW w:w="4104" w:type="dxa"/>
            <w:tcBorders>
              <w:top w:val="nil"/>
              <w:left w:val="nil"/>
              <w:bottom w:val="single" w:sz="4" w:space="0" w:color="auto"/>
              <w:right w:val="single" w:sz="4" w:space="0" w:color="auto"/>
            </w:tcBorders>
            <w:shd w:val="clear" w:color="000000" w:fill="FFFFFF"/>
            <w:vAlign w:val="center"/>
            <w:hideMark/>
          </w:tcPr>
          <w:p w14:paraId="519B277E"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Đại học Sư phạm kỹ thuật Nam Định</w:t>
            </w:r>
          </w:p>
        </w:tc>
        <w:tc>
          <w:tcPr>
            <w:tcW w:w="1512" w:type="dxa"/>
            <w:tcBorders>
              <w:top w:val="nil"/>
              <w:left w:val="nil"/>
              <w:bottom w:val="single" w:sz="4" w:space="0" w:color="auto"/>
              <w:right w:val="single" w:sz="4" w:space="0" w:color="auto"/>
            </w:tcBorders>
            <w:shd w:val="clear" w:color="000000" w:fill="FFFFFF"/>
            <w:vAlign w:val="center"/>
            <w:hideMark/>
          </w:tcPr>
          <w:p w14:paraId="519B277F"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Lộc Hạ</w:t>
            </w:r>
          </w:p>
        </w:tc>
        <w:tc>
          <w:tcPr>
            <w:tcW w:w="1021" w:type="dxa"/>
            <w:tcBorders>
              <w:top w:val="nil"/>
              <w:left w:val="nil"/>
              <w:bottom w:val="single" w:sz="4" w:space="0" w:color="auto"/>
              <w:right w:val="single" w:sz="4" w:space="0" w:color="auto"/>
            </w:tcBorders>
            <w:shd w:val="clear" w:color="000000" w:fill="FFFFFF"/>
            <w:vAlign w:val="center"/>
            <w:hideMark/>
          </w:tcPr>
          <w:p w14:paraId="519B2780"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52.761,9</w:t>
            </w:r>
          </w:p>
        </w:tc>
        <w:tc>
          <w:tcPr>
            <w:tcW w:w="1065" w:type="dxa"/>
            <w:tcBorders>
              <w:top w:val="nil"/>
              <w:left w:val="nil"/>
              <w:bottom w:val="single" w:sz="4" w:space="0" w:color="auto"/>
              <w:right w:val="single" w:sz="4" w:space="0" w:color="auto"/>
            </w:tcBorders>
            <w:shd w:val="clear" w:color="000000" w:fill="FFFFFF"/>
            <w:vAlign w:val="center"/>
            <w:hideMark/>
          </w:tcPr>
          <w:p w14:paraId="519B2781"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vAlign w:val="center"/>
            <w:hideMark/>
          </w:tcPr>
          <w:p w14:paraId="519B2782"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251,9</w:t>
            </w:r>
          </w:p>
        </w:tc>
      </w:tr>
      <w:tr w:rsidR="006F67D0" w:rsidRPr="008E63BB" w14:paraId="519B278A" w14:textId="77777777" w:rsidTr="00C90BF8">
        <w:trPr>
          <w:trHeight w:val="573"/>
        </w:trPr>
        <w:tc>
          <w:tcPr>
            <w:tcW w:w="491" w:type="dxa"/>
            <w:tcBorders>
              <w:top w:val="nil"/>
              <w:left w:val="single" w:sz="4" w:space="0" w:color="auto"/>
              <w:bottom w:val="single" w:sz="4" w:space="0" w:color="auto"/>
              <w:right w:val="single" w:sz="4" w:space="0" w:color="auto"/>
            </w:tcBorders>
            <w:shd w:val="clear" w:color="000000" w:fill="FFFFFF"/>
            <w:vAlign w:val="center"/>
          </w:tcPr>
          <w:p w14:paraId="519B2784"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15</w:t>
            </w:r>
          </w:p>
        </w:tc>
        <w:tc>
          <w:tcPr>
            <w:tcW w:w="4104" w:type="dxa"/>
            <w:tcBorders>
              <w:top w:val="nil"/>
              <w:left w:val="nil"/>
              <w:bottom w:val="single" w:sz="4" w:space="0" w:color="auto"/>
              <w:right w:val="single" w:sz="4" w:space="0" w:color="auto"/>
            </w:tcBorders>
            <w:shd w:val="clear" w:color="000000" w:fill="FFFFFF"/>
            <w:vAlign w:val="center"/>
            <w:hideMark/>
          </w:tcPr>
          <w:p w14:paraId="519B2785"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trung cấp phát thanh và truyền hình Nam Định</w:t>
            </w:r>
          </w:p>
        </w:tc>
        <w:tc>
          <w:tcPr>
            <w:tcW w:w="1512" w:type="dxa"/>
            <w:tcBorders>
              <w:top w:val="nil"/>
              <w:left w:val="nil"/>
              <w:bottom w:val="single" w:sz="4" w:space="0" w:color="auto"/>
              <w:right w:val="single" w:sz="4" w:space="0" w:color="auto"/>
            </w:tcBorders>
            <w:shd w:val="clear" w:color="000000" w:fill="FFFFFF"/>
            <w:vAlign w:val="center"/>
            <w:hideMark/>
          </w:tcPr>
          <w:p w14:paraId="519B2786"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Lộc Hạ</w:t>
            </w:r>
          </w:p>
        </w:tc>
        <w:tc>
          <w:tcPr>
            <w:tcW w:w="1021" w:type="dxa"/>
            <w:tcBorders>
              <w:top w:val="nil"/>
              <w:left w:val="nil"/>
              <w:bottom w:val="single" w:sz="4" w:space="0" w:color="auto"/>
              <w:right w:val="single" w:sz="4" w:space="0" w:color="auto"/>
            </w:tcBorders>
            <w:shd w:val="clear" w:color="000000" w:fill="FFFFFF"/>
            <w:vAlign w:val="center"/>
            <w:hideMark/>
          </w:tcPr>
          <w:p w14:paraId="519B2787"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2.032,8</w:t>
            </w:r>
          </w:p>
        </w:tc>
        <w:tc>
          <w:tcPr>
            <w:tcW w:w="1065" w:type="dxa"/>
            <w:tcBorders>
              <w:top w:val="nil"/>
              <w:left w:val="nil"/>
              <w:bottom w:val="single" w:sz="4" w:space="0" w:color="auto"/>
              <w:right w:val="single" w:sz="4" w:space="0" w:color="auto"/>
            </w:tcBorders>
            <w:shd w:val="clear" w:color="000000" w:fill="FFFFFF"/>
            <w:vAlign w:val="center"/>
            <w:hideMark/>
          </w:tcPr>
          <w:p w14:paraId="519B2788"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vAlign w:val="center"/>
            <w:hideMark/>
          </w:tcPr>
          <w:p w14:paraId="519B2789"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r w:rsidR="006F67D0" w:rsidRPr="008E63BB" w14:paraId="519B2791" w14:textId="77777777" w:rsidTr="00C90BF8">
        <w:trPr>
          <w:trHeight w:val="286"/>
        </w:trPr>
        <w:tc>
          <w:tcPr>
            <w:tcW w:w="491" w:type="dxa"/>
            <w:tcBorders>
              <w:top w:val="nil"/>
              <w:left w:val="single" w:sz="4" w:space="0" w:color="auto"/>
              <w:bottom w:val="single" w:sz="4" w:space="0" w:color="auto"/>
              <w:right w:val="single" w:sz="4" w:space="0" w:color="auto"/>
            </w:tcBorders>
            <w:shd w:val="clear" w:color="000000" w:fill="FFFFFF"/>
            <w:vAlign w:val="center"/>
          </w:tcPr>
          <w:p w14:paraId="519B278B"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16</w:t>
            </w:r>
          </w:p>
        </w:tc>
        <w:tc>
          <w:tcPr>
            <w:tcW w:w="4104" w:type="dxa"/>
            <w:tcBorders>
              <w:top w:val="nil"/>
              <w:left w:val="nil"/>
              <w:bottom w:val="single" w:sz="4" w:space="0" w:color="auto"/>
              <w:right w:val="single" w:sz="4" w:space="0" w:color="auto"/>
            </w:tcBorders>
            <w:shd w:val="clear" w:color="000000" w:fill="FFFFFF"/>
            <w:vAlign w:val="center"/>
            <w:hideMark/>
          </w:tcPr>
          <w:p w14:paraId="519B278C"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Trung học Văn hoá Nghệ thuật</w:t>
            </w:r>
          </w:p>
        </w:tc>
        <w:tc>
          <w:tcPr>
            <w:tcW w:w="1512" w:type="dxa"/>
            <w:tcBorders>
              <w:top w:val="nil"/>
              <w:left w:val="nil"/>
              <w:bottom w:val="single" w:sz="4" w:space="0" w:color="auto"/>
              <w:right w:val="single" w:sz="4" w:space="0" w:color="auto"/>
            </w:tcBorders>
            <w:shd w:val="clear" w:color="000000" w:fill="FFFFFF"/>
            <w:vAlign w:val="center"/>
            <w:hideMark/>
          </w:tcPr>
          <w:p w14:paraId="519B278D"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Trường Thi</w:t>
            </w:r>
          </w:p>
        </w:tc>
        <w:tc>
          <w:tcPr>
            <w:tcW w:w="1021" w:type="dxa"/>
            <w:tcBorders>
              <w:top w:val="nil"/>
              <w:left w:val="nil"/>
              <w:bottom w:val="single" w:sz="4" w:space="0" w:color="auto"/>
              <w:right w:val="single" w:sz="4" w:space="0" w:color="auto"/>
            </w:tcBorders>
            <w:shd w:val="clear" w:color="000000" w:fill="FFFFFF"/>
            <w:vAlign w:val="center"/>
            <w:hideMark/>
          </w:tcPr>
          <w:p w14:paraId="519B278E"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3.483,8</w:t>
            </w:r>
          </w:p>
        </w:tc>
        <w:tc>
          <w:tcPr>
            <w:tcW w:w="1065" w:type="dxa"/>
            <w:tcBorders>
              <w:top w:val="nil"/>
              <w:left w:val="nil"/>
              <w:bottom w:val="single" w:sz="4" w:space="0" w:color="auto"/>
              <w:right w:val="single" w:sz="4" w:space="0" w:color="auto"/>
            </w:tcBorders>
            <w:shd w:val="clear" w:color="000000" w:fill="FFFFFF"/>
            <w:vAlign w:val="center"/>
            <w:hideMark/>
          </w:tcPr>
          <w:p w14:paraId="519B278F"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c>
          <w:tcPr>
            <w:tcW w:w="983" w:type="dxa"/>
            <w:tcBorders>
              <w:top w:val="nil"/>
              <w:left w:val="nil"/>
              <w:bottom w:val="single" w:sz="4" w:space="0" w:color="auto"/>
              <w:right w:val="single" w:sz="4" w:space="0" w:color="auto"/>
            </w:tcBorders>
            <w:shd w:val="clear" w:color="000000" w:fill="FFFFFF"/>
            <w:vAlign w:val="center"/>
            <w:hideMark/>
          </w:tcPr>
          <w:p w14:paraId="519B2790"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152,8</w:t>
            </w:r>
          </w:p>
        </w:tc>
      </w:tr>
      <w:tr w:rsidR="006F67D0" w:rsidRPr="008E63BB" w14:paraId="519B2798" w14:textId="77777777" w:rsidTr="00C90BF8">
        <w:trPr>
          <w:trHeight w:val="286"/>
        </w:trPr>
        <w:tc>
          <w:tcPr>
            <w:tcW w:w="491" w:type="dxa"/>
            <w:tcBorders>
              <w:top w:val="single" w:sz="4" w:space="0" w:color="auto"/>
              <w:left w:val="single" w:sz="4" w:space="0" w:color="auto"/>
              <w:bottom w:val="single" w:sz="4" w:space="0" w:color="auto"/>
              <w:right w:val="single" w:sz="4" w:space="0" w:color="auto"/>
            </w:tcBorders>
            <w:shd w:val="clear" w:color="000000" w:fill="FFFFFF"/>
            <w:vAlign w:val="center"/>
          </w:tcPr>
          <w:p w14:paraId="519B2792" w14:textId="77777777" w:rsidR="006F67D0" w:rsidRPr="008E63BB" w:rsidRDefault="006F67D0" w:rsidP="00C90BF8">
            <w:pPr>
              <w:jc w:val="center"/>
              <w:rPr>
                <w:rFonts w:ascii="Times" w:eastAsia="Times New Roman" w:hAnsi="Times" w:cs="Times"/>
                <w:sz w:val="20"/>
                <w:szCs w:val="20"/>
              </w:rPr>
            </w:pPr>
            <w:r w:rsidRPr="008E63BB">
              <w:rPr>
                <w:rFonts w:ascii="Times" w:eastAsia="Times New Roman" w:hAnsi="Times" w:cs="Times"/>
                <w:sz w:val="20"/>
                <w:szCs w:val="20"/>
              </w:rPr>
              <w:t>17</w:t>
            </w:r>
          </w:p>
        </w:tc>
        <w:tc>
          <w:tcPr>
            <w:tcW w:w="4104" w:type="dxa"/>
            <w:tcBorders>
              <w:top w:val="single" w:sz="4" w:space="0" w:color="auto"/>
              <w:left w:val="nil"/>
              <w:bottom w:val="single" w:sz="4" w:space="0" w:color="auto"/>
              <w:right w:val="single" w:sz="4" w:space="0" w:color="auto"/>
            </w:tcBorders>
            <w:shd w:val="clear" w:color="000000" w:fill="FFFFFF"/>
            <w:vAlign w:val="center"/>
            <w:hideMark/>
          </w:tcPr>
          <w:p w14:paraId="519B2793"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Trường Cao đẳng sư phạm Nam Định</w:t>
            </w:r>
          </w:p>
        </w:tc>
        <w:tc>
          <w:tcPr>
            <w:tcW w:w="1512" w:type="dxa"/>
            <w:tcBorders>
              <w:top w:val="single" w:sz="4" w:space="0" w:color="auto"/>
              <w:left w:val="nil"/>
              <w:bottom w:val="single" w:sz="4" w:space="0" w:color="auto"/>
              <w:right w:val="single" w:sz="4" w:space="0" w:color="auto"/>
            </w:tcBorders>
            <w:shd w:val="clear" w:color="000000" w:fill="FFFFFF"/>
            <w:vAlign w:val="center"/>
            <w:hideMark/>
          </w:tcPr>
          <w:p w14:paraId="519B2794"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P. Hạ Long</w:t>
            </w:r>
          </w:p>
        </w:tc>
        <w:tc>
          <w:tcPr>
            <w:tcW w:w="1021" w:type="dxa"/>
            <w:tcBorders>
              <w:top w:val="single" w:sz="4" w:space="0" w:color="auto"/>
              <w:left w:val="nil"/>
              <w:bottom w:val="single" w:sz="4" w:space="0" w:color="auto"/>
              <w:right w:val="single" w:sz="4" w:space="0" w:color="auto"/>
            </w:tcBorders>
            <w:shd w:val="clear" w:color="000000" w:fill="FFFFFF"/>
            <w:vAlign w:val="center"/>
            <w:hideMark/>
          </w:tcPr>
          <w:p w14:paraId="519B2795"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44.557,0</w:t>
            </w:r>
          </w:p>
        </w:tc>
        <w:tc>
          <w:tcPr>
            <w:tcW w:w="1065" w:type="dxa"/>
            <w:tcBorders>
              <w:top w:val="single" w:sz="4" w:space="0" w:color="auto"/>
              <w:left w:val="nil"/>
              <w:bottom w:val="single" w:sz="4" w:space="0" w:color="auto"/>
              <w:right w:val="single" w:sz="4" w:space="0" w:color="auto"/>
            </w:tcBorders>
            <w:shd w:val="clear" w:color="000000" w:fill="FFFFFF"/>
            <w:vAlign w:val="center"/>
            <w:hideMark/>
          </w:tcPr>
          <w:p w14:paraId="519B2796" w14:textId="77777777" w:rsidR="006F67D0" w:rsidRPr="008E63BB" w:rsidRDefault="006F67D0" w:rsidP="00C90BF8">
            <w:pPr>
              <w:jc w:val="right"/>
              <w:rPr>
                <w:rFonts w:ascii="Times" w:eastAsia="Times New Roman" w:hAnsi="Times" w:cs="Times"/>
                <w:sz w:val="20"/>
                <w:szCs w:val="20"/>
              </w:rPr>
            </w:pPr>
            <w:r w:rsidRPr="008E63BB">
              <w:rPr>
                <w:rFonts w:ascii="Times" w:eastAsia="Times New Roman" w:hAnsi="Times" w:cs="Times"/>
                <w:sz w:val="20"/>
                <w:szCs w:val="20"/>
              </w:rPr>
              <w:t>13.802,0</w:t>
            </w:r>
          </w:p>
        </w:tc>
        <w:tc>
          <w:tcPr>
            <w:tcW w:w="983" w:type="dxa"/>
            <w:tcBorders>
              <w:top w:val="single" w:sz="4" w:space="0" w:color="auto"/>
              <w:left w:val="nil"/>
              <w:bottom w:val="single" w:sz="4" w:space="0" w:color="auto"/>
              <w:right w:val="single" w:sz="4" w:space="0" w:color="auto"/>
            </w:tcBorders>
            <w:shd w:val="clear" w:color="000000" w:fill="FFFFFF"/>
            <w:vAlign w:val="center"/>
            <w:hideMark/>
          </w:tcPr>
          <w:p w14:paraId="519B2797" w14:textId="77777777" w:rsidR="006F67D0" w:rsidRPr="008E63BB" w:rsidRDefault="006F67D0" w:rsidP="00C90BF8">
            <w:pPr>
              <w:rPr>
                <w:rFonts w:ascii="Times" w:eastAsia="Times New Roman" w:hAnsi="Times" w:cs="Times"/>
                <w:sz w:val="20"/>
                <w:szCs w:val="20"/>
              </w:rPr>
            </w:pPr>
            <w:r w:rsidRPr="008E63BB">
              <w:rPr>
                <w:rFonts w:ascii="Times" w:eastAsia="Times New Roman" w:hAnsi="Times" w:cs="Times"/>
                <w:sz w:val="20"/>
                <w:szCs w:val="20"/>
              </w:rPr>
              <w:t> </w:t>
            </w:r>
          </w:p>
        </w:tc>
      </w:tr>
    </w:tbl>
    <w:p w14:paraId="519B2799" w14:textId="77777777" w:rsidR="00B46F67" w:rsidRPr="008E63BB" w:rsidRDefault="00B46F67" w:rsidP="0065184D">
      <w:pPr>
        <w:pStyle w:val="Footer"/>
        <w:spacing w:before="120"/>
        <w:ind w:firstLine="720"/>
        <w:jc w:val="center"/>
        <w:rPr>
          <w:b/>
          <w:bCs/>
          <w:spacing w:val="6"/>
          <w:szCs w:val="26"/>
          <w:lang w:val="en-US"/>
        </w:rPr>
      </w:pPr>
      <w:r w:rsidRPr="008E63BB">
        <w:rPr>
          <w:b/>
          <w:bCs/>
          <w:spacing w:val="6"/>
          <w:szCs w:val="26"/>
          <w:lang w:val="en-US"/>
        </w:rPr>
        <w:t>Bảng hệ thống các trường dạy nghề, giáo dục thường xuyên</w:t>
      </w:r>
    </w:p>
    <w:tbl>
      <w:tblPr>
        <w:tblW w:w="9181" w:type="dxa"/>
        <w:tblInd w:w="108" w:type="dxa"/>
        <w:tblLook w:val="04A0" w:firstRow="1" w:lastRow="0" w:firstColumn="1" w:lastColumn="0" w:noHBand="0" w:noVBand="1"/>
      </w:tblPr>
      <w:tblGrid>
        <w:gridCol w:w="491"/>
        <w:gridCol w:w="4110"/>
        <w:gridCol w:w="1593"/>
        <w:gridCol w:w="1016"/>
        <w:gridCol w:w="1008"/>
        <w:gridCol w:w="976"/>
      </w:tblGrid>
      <w:tr w:rsidR="008D5BFE" w:rsidRPr="008E63BB" w14:paraId="519B279F" w14:textId="77777777" w:rsidTr="00A25035">
        <w:trPr>
          <w:cantSplit/>
          <w:trHeight w:val="510"/>
          <w:tblHeader/>
        </w:trPr>
        <w:tc>
          <w:tcPr>
            <w:tcW w:w="49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9B279A" w14:textId="77777777" w:rsidR="00B46F67" w:rsidRPr="008E63BB" w:rsidRDefault="00B46F67" w:rsidP="0065184D">
            <w:pPr>
              <w:jc w:val="center"/>
              <w:rPr>
                <w:rFonts w:ascii="Times" w:eastAsia="Times New Roman" w:hAnsi="Times" w:cs="Times"/>
                <w:sz w:val="22"/>
              </w:rPr>
            </w:pPr>
            <w:r w:rsidRPr="008E63BB">
              <w:rPr>
                <w:rFonts w:ascii="Times" w:eastAsia="Times New Roman" w:hAnsi="Times" w:cs="Times"/>
                <w:sz w:val="22"/>
              </w:rPr>
              <w:t>TT</w:t>
            </w:r>
          </w:p>
        </w:tc>
        <w:tc>
          <w:tcPr>
            <w:tcW w:w="411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9B279B" w14:textId="77777777" w:rsidR="00B46F67" w:rsidRPr="008E63BB" w:rsidRDefault="00B46F67" w:rsidP="0065184D">
            <w:pPr>
              <w:jc w:val="center"/>
              <w:rPr>
                <w:rFonts w:ascii="Times" w:eastAsia="Times New Roman" w:hAnsi="Times" w:cs="Times"/>
                <w:sz w:val="22"/>
              </w:rPr>
            </w:pPr>
            <w:r w:rsidRPr="008E63BB">
              <w:rPr>
                <w:rFonts w:ascii="Times" w:eastAsia="Times New Roman" w:hAnsi="Times" w:cs="Times"/>
                <w:sz w:val="22"/>
              </w:rPr>
              <w:t>Danh mục</w:t>
            </w:r>
          </w:p>
        </w:tc>
        <w:tc>
          <w:tcPr>
            <w:tcW w:w="159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19B279C" w14:textId="77777777" w:rsidR="00B46F67" w:rsidRPr="008E63BB" w:rsidRDefault="00B46F67" w:rsidP="0065184D">
            <w:pPr>
              <w:jc w:val="center"/>
              <w:rPr>
                <w:rFonts w:ascii="Times" w:eastAsia="Times New Roman" w:hAnsi="Times" w:cs="Times"/>
                <w:sz w:val="22"/>
              </w:rPr>
            </w:pPr>
            <w:r w:rsidRPr="008E63BB">
              <w:rPr>
                <w:rFonts w:ascii="Times" w:eastAsia="Times New Roman" w:hAnsi="Times" w:cs="Times"/>
                <w:sz w:val="22"/>
              </w:rPr>
              <w:t>Vị trí</w:t>
            </w:r>
          </w:p>
        </w:tc>
        <w:tc>
          <w:tcPr>
            <w:tcW w:w="10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279D"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Diện tích đất (m2)</w:t>
            </w:r>
          </w:p>
        </w:tc>
        <w:tc>
          <w:tcPr>
            <w:tcW w:w="1984" w:type="dxa"/>
            <w:gridSpan w:val="2"/>
            <w:tcBorders>
              <w:top w:val="single" w:sz="4" w:space="0" w:color="auto"/>
              <w:left w:val="nil"/>
              <w:bottom w:val="single" w:sz="4" w:space="0" w:color="auto"/>
              <w:right w:val="single" w:sz="4" w:space="0" w:color="auto"/>
            </w:tcBorders>
            <w:shd w:val="clear" w:color="auto" w:fill="auto"/>
            <w:vAlign w:val="center"/>
            <w:hideMark/>
          </w:tcPr>
          <w:p w14:paraId="519B279E"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Ghi chú</w:t>
            </w:r>
          </w:p>
        </w:tc>
      </w:tr>
      <w:tr w:rsidR="008D5BFE" w:rsidRPr="008E63BB" w14:paraId="519B27A6" w14:textId="77777777" w:rsidTr="00A25035">
        <w:trPr>
          <w:cantSplit/>
          <w:trHeight w:val="931"/>
          <w:tblHeader/>
        </w:trPr>
        <w:tc>
          <w:tcPr>
            <w:tcW w:w="491" w:type="dxa"/>
            <w:vMerge/>
            <w:tcBorders>
              <w:top w:val="single" w:sz="4" w:space="0" w:color="auto"/>
              <w:left w:val="single" w:sz="4" w:space="0" w:color="auto"/>
              <w:bottom w:val="single" w:sz="4" w:space="0" w:color="auto"/>
              <w:right w:val="single" w:sz="4" w:space="0" w:color="auto"/>
            </w:tcBorders>
            <w:vAlign w:val="center"/>
            <w:hideMark/>
          </w:tcPr>
          <w:p w14:paraId="519B27A0" w14:textId="77777777" w:rsidR="00B46F67" w:rsidRPr="008E63BB" w:rsidRDefault="00B46F67" w:rsidP="0065184D">
            <w:pPr>
              <w:rPr>
                <w:rFonts w:ascii="Times" w:eastAsia="Times New Roman" w:hAnsi="Times" w:cs="Times"/>
                <w:sz w:val="22"/>
              </w:rPr>
            </w:pPr>
          </w:p>
        </w:tc>
        <w:tc>
          <w:tcPr>
            <w:tcW w:w="4110" w:type="dxa"/>
            <w:vMerge/>
            <w:tcBorders>
              <w:top w:val="single" w:sz="4" w:space="0" w:color="auto"/>
              <w:left w:val="single" w:sz="4" w:space="0" w:color="auto"/>
              <w:bottom w:val="single" w:sz="4" w:space="0" w:color="auto"/>
              <w:right w:val="single" w:sz="4" w:space="0" w:color="auto"/>
            </w:tcBorders>
            <w:vAlign w:val="center"/>
            <w:hideMark/>
          </w:tcPr>
          <w:p w14:paraId="519B27A1" w14:textId="77777777" w:rsidR="00B46F67" w:rsidRPr="008E63BB" w:rsidRDefault="00B46F67" w:rsidP="0065184D">
            <w:pPr>
              <w:rPr>
                <w:rFonts w:ascii="Times" w:eastAsia="Times New Roman" w:hAnsi="Times" w:cs="Times"/>
                <w:sz w:val="22"/>
              </w:rPr>
            </w:pPr>
          </w:p>
        </w:tc>
        <w:tc>
          <w:tcPr>
            <w:tcW w:w="1593" w:type="dxa"/>
            <w:vMerge/>
            <w:tcBorders>
              <w:top w:val="single" w:sz="4" w:space="0" w:color="auto"/>
              <w:left w:val="single" w:sz="4" w:space="0" w:color="auto"/>
              <w:bottom w:val="single" w:sz="4" w:space="0" w:color="000000"/>
              <w:right w:val="single" w:sz="4" w:space="0" w:color="auto"/>
            </w:tcBorders>
            <w:vAlign w:val="center"/>
            <w:hideMark/>
          </w:tcPr>
          <w:p w14:paraId="519B27A2" w14:textId="77777777" w:rsidR="00B46F67" w:rsidRPr="008E63BB" w:rsidRDefault="00B46F67" w:rsidP="0065184D">
            <w:pPr>
              <w:rPr>
                <w:rFonts w:ascii="Times" w:eastAsia="Times New Roman" w:hAnsi="Times" w:cs="Times"/>
                <w:sz w:val="22"/>
              </w:rPr>
            </w:pPr>
          </w:p>
        </w:tc>
        <w:tc>
          <w:tcPr>
            <w:tcW w:w="1003" w:type="dxa"/>
            <w:vMerge/>
            <w:tcBorders>
              <w:top w:val="single" w:sz="4" w:space="0" w:color="auto"/>
              <w:left w:val="single" w:sz="4" w:space="0" w:color="auto"/>
              <w:bottom w:val="single" w:sz="4" w:space="0" w:color="auto"/>
              <w:right w:val="single" w:sz="4" w:space="0" w:color="auto"/>
            </w:tcBorders>
            <w:vAlign w:val="center"/>
            <w:hideMark/>
          </w:tcPr>
          <w:p w14:paraId="519B27A3" w14:textId="77777777" w:rsidR="00B46F67" w:rsidRPr="008E63BB" w:rsidRDefault="00B46F67" w:rsidP="0065184D">
            <w:pPr>
              <w:rPr>
                <w:rFonts w:ascii="Times" w:eastAsia="Times New Roman" w:hAnsi="Times" w:cs="Times"/>
                <w:sz w:val="20"/>
                <w:szCs w:val="20"/>
              </w:rPr>
            </w:pPr>
          </w:p>
        </w:tc>
        <w:tc>
          <w:tcPr>
            <w:tcW w:w="1008" w:type="dxa"/>
            <w:tcBorders>
              <w:top w:val="nil"/>
              <w:left w:val="nil"/>
              <w:bottom w:val="single" w:sz="4" w:space="0" w:color="auto"/>
              <w:right w:val="single" w:sz="4" w:space="0" w:color="auto"/>
            </w:tcBorders>
            <w:shd w:val="clear" w:color="auto" w:fill="auto"/>
            <w:vAlign w:val="center"/>
            <w:hideMark/>
          </w:tcPr>
          <w:p w14:paraId="519B27A4"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Diện tích bị lấn, chiếm</w:t>
            </w:r>
          </w:p>
        </w:tc>
        <w:tc>
          <w:tcPr>
            <w:tcW w:w="976" w:type="dxa"/>
            <w:tcBorders>
              <w:top w:val="nil"/>
              <w:left w:val="nil"/>
              <w:bottom w:val="single" w:sz="4" w:space="0" w:color="auto"/>
              <w:right w:val="single" w:sz="4" w:space="0" w:color="auto"/>
            </w:tcBorders>
            <w:shd w:val="clear" w:color="auto" w:fill="auto"/>
            <w:vAlign w:val="center"/>
            <w:hideMark/>
          </w:tcPr>
          <w:p w14:paraId="519B27A5"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Diện tích lấn, chiếm</w:t>
            </w:r>
          </w:p>
        </w:tc>
      </w:tr>
      <w:tr w:rsidR="008D5BFE" w:rsidRPr="008E63BB" w14:paraId="519B27AD" w14:textId="77777777" w:rsidTr="00B46F67">
        <w:trPr>
          <w:trHeight w:val="285"/>
        </w:trPr>
        <w:tc>
          <w:tcPr>
            <w:tcW w:w="491" w:type="dxa"/>
            <w:tcBorders>
              <w:top w:val="single" w:sz="4" w:space="0" w:color="auto"/>
              <w:left w:val="single" w:sz="4" w:space="0" w:color="auto"/>
              <w:bottom w:val="single" w:sz="4" w:space="0" w:color="auto"/>
              <w:right w:val="single" w:sz="4" w:space="0" w:color="auto"/>
            </w:tcBorders>
            <w:shd w:val="clear" w:color="000000" w:fill="CCFFCC"/>
            <w:noWrap/>
            <w:vAlign w:val="bottom"/>
            <w:hideMark/>
          </w:tcPr>
          <w:p w14:paraId="519B27A7" w14:textId="77777777" w:rsidR="00B46F67" w:rsidRPr="008E63BB" w:rsidRDefault="00B46F67" w:rsidP="0065184D">
            <w:pPr>
              <w:jc w:val="center"/>
              <w:rPr>
                <w:rFonts w:ascii="Times" w:eastAsia="Times New Roman" w:hAnsi="Times" w:cs="Times"/>
                <w:b/>
                <w:bCs/>
                <w:sz w:val="20"/>
                <w:szCs w:val="20"/>
              </w:rPr>
            </w:pPr>
            <w:r w:rsidRPr="008E63BB">
              <w:rPr>
                <w:rFonts w:ascii="Times" w:eastAsia="Times New Roman" w:hAnsi="Times" w:cs="Times"/>
                <w:b/>
                <w:bCs/>
                <w:sz w:val="20"/>
                <w:szCs w:val="20"/>
              </w:rPr>
              <w:t> </w:t>
            </w:r>
          </w:p>
        </w:tc>
        <w:tc>
          <w:tcPr>
            <w:tcW w:w="4110" w:type="dxa"/>
            <w:tcBorders>
              <w:top w:val="single" w:sz="4" w:space="0" w:color="auto"/>
              <w:left w:val="nil"/>
              <w:bottom w:val="single" w:sz="4" w:space="0" w:color="auto"/>
              <w:right w:val="single" w:sz="4" w:space="0" w:color="auto"/>
            </w:tcBorders>
            <w:shd w:val="clear" w:color="000000" w:fill="CCFFCC"/>
            <w:noWrap/>
            <w:vAlign w:val="bottom"/>
            <w:hideMark/>
          </w:tcPr>
          <w:p w14:paraId="519B27A8" w14:textId="77777777" w:rsidR="00B46F67" w:rsidRPr="008E63BB" w:rsidRDefault="00B46F67" w:rsidP="0065184D">
            <w:pPr>
              <w:jc w:val="center"/>
              <w:rPr>
                <w:rFonts w:ascii="Times" w:eastAsia="Times New Roman" w:hAnsi="Times" w:cs="Times"/>
                <w:b/>
                <w:bCs/>
                <w:sz w:val="20"/>
                <w:szCs w:val="20"/>
              </w:rPr>
            </w:pPr>
            <w:r w:rsidRPr="008E63BB">
              <w:rPr>
                <w:rFonts w:ascii="Times" w:eastAsia="Times New Roman" w:hAnsi="Times" w:cs="Times"/>
                <w:b/>
                <w:bCs/>
                <w:sz w:val="20"/>
                <w:szCs w:val="20"/>
              </w:rPr>
              <w:t>Tổng cộng</w:t>
            </w:r>
          </w:p>
        </w:tc>
        <w:tc>
          <w:tcPr>
            <w:tcW w:w="1593" w:type="dxa"/>
            <w:tcBorders>
              <w:top w:val="single" w:sz="4" w:space="0" w:color="auto"/>
              <w:left w:val="nil"/>
              <w:bottom w:val="single" w:sz="4" w:space="0" w:color="auto"/>
              <w:right w:val="single" w:sz="4" w:space="0" w:color="auto"/>
            </w:tcBorders>
            <w:shd w:val="clear" w:color="000000" w:fill="CCFFCC"/>
            <w:noWrap/>
            <w:vAlign w:val="bottom"/>
            <w:hideMark/>
          </w:tcPr>
          <w:p w14:paraId="519B27A9" w14:textId="77777777" w:rsidR="00B46F67" w:rsidRPr="008E63BB" w:rsidRDefault="00B46F67" w:rsidP="0065184D">
            <w:pPr>
              <w:jc w:val="center"/>
              <w:rPr>
                <w:rFonts w:ascii="Times" w:eastAsia="Times New Roman" w:hAnsi="Times" w:cs="Times"/>
                <w:b/>
                <w:bCs/>
                <w:sz w:val="20"/>
                <w:szCs w:val="20"/>
              </w:rPr>
            </w:pPr>
            <w:r w:rsidRPr="008E63BB">
              <w:rPr>
                <w:rFonts w:ascii="Times" w:eastAsia="Times New Roman" w:hAnsi="Times" w:cs="Times"/>
                <w:b/>
                <w:bCs/>
                <w:sz w:val="20"/>
                <w:szCs w:val="20"/>
              </w:rPr>
              <w:t> </w:t>
            </w:r>
          </w:p>
        </w:tc>
        <w:tc>
          <w:tcPr>
            <w:tcW w:w="1003" w:type="dxa"/>
            <w:tcBorders>
              <w:top w:val="single" w:sz="4" w:space="0" w:color="auto"/>
              <w:left w:val="nil"/>
              <w:bottom w:val="single" w:sz="4" w:space="0" w:color="auto"/>
              <w:right w:val="single" w:sz="4" w:space="0" w:color="auto"/>
            </w:tcBorders>
            <w:shd w:val="clear" w:color="000000" w:fill="CCFFCC"/>
            <w:noWrap/>
            <w:vAlign w:val="bottom"/>
            <w:hideMark/>
          </w:tcPr>
          <w:p w14:paraId="519B27AA" w14:textId="77777777" w:rsidR="00B46F67" w:rsidRPr="008E63BB" w:rsidRDefault="00B46F67" w:rsidP="0065184D">
            <w:pPr>
              <w:jc w:val="right"/>
              <w:rPr>
                <w:rFonts w:ascii="Times" w:eastAsia="Times New Roman" w:hAnsi="Times" w:cs="Times"/>
                <w:b/>
                <w:bCs/>
                <w:sz w:val="20"/>
                <w:szCs w:val="20"/>
              </w:rPr>
            </w:pPr>
            <w:r w:rsidRPr="008E63BB">
              <w:rPr>
                <w:rFonts w:ascii="Times" w:eastAsia="Times New Roman" w:hAnsi="Times" w:cs="Times"/>
                <w:b/>
                <w:bCs/>
                <w:sz w:val="20"/>
                <w:szCs w:val="20"/>
              </w:rPr>
              <w:t>181.739,4</w:t>
            </w:r>
          </w:p>
        </w:tc>
        <w:tc>
          <w:tcPr>
            <w:tcW w:w="1008" w:type="dxa"/>
            <w:tcBorders>
              <w:top w:val="single" w:sz="4" w:space="0" w:color="auto"/>
              <w:left w:val="nil"/>
              <w:bottom w:val="single" w:sz="4" w:space="0" w:color="auto"/>
              <w:right w:val="single" w:sz="4" w:space="0" w:color="auto"/>
            </w:tcBorders>
            <w:shd w:val="clear" w:color="000000" w:fill="CCFFCC"/>
            <w:noWrap/>
            <w:vAlign w:val="bottom"/>
            <w:hideMark/>
          </w:tcPr>
          <w:p w14:paraId="519B27AB" w14:textId="77777777" w:rsidR="00B46F67" w:rsidRPr="008E63BB" w:rsidRDefault="00B46F67" w:rsidP="0065184D">
            <w:pPr>
              <w:jc w:val="right"/>
              <w:rPr>
                <w:rFonts w:ascii="Times" w:eastAsia="Times New Roman" w:hAnsi="Times" w:cs="Times"/>
                <w:b/>
                <w:bCs/>
                <w:sz w:val="20"/>
                <w:szCs w:val="20"/>
              </w:rPr>
            </w:pPr>
            <w:r w:rsidRPr="008E63BB">
              <w:rPr>
                <w:rFonts w:ascii="Times" w:eastAsia="Times New Roman" w:hAnsi="Times" w:cs="Times"/>
                <w:b/>
                <w:bCs/>
                <w:sz w:val="20"/>
                <w:szCs w:val="20"/>
              </w:rPr>
              <w:t>69,7</w:t>
            </w:r>
          </w:p>
        </w:tc>
        <w:tc>
          <w:tcPr>
            <w:tcW w:w="976" w:type="dxa"/>
            <w:tcBorders>
              <w:top w:val="single" w:sz="4" w:space="0" w:color="auto"/>
              <w:left w:val="nil"/>
              <w:bottom w:val="single" w:sz="4" w:space="0" w:color="auto"/>
              <w:right w:val="single" w:sz="4" w:space="0" w:color="auto"/>
            </w:tcBorders>
            <w:shd w:val="clear" w:color="000000" w:fill="CCFFCC"/>
            <w:noWrap/>
            <w:vAlign w:val="bottom"/>
            <w:hideMark/>
          </w:tcPr>
          <w:p w14:paraId="519B27AC" w14:textId="77777777" w:rsidR="00B46F67" w:rsidRPr="008E63BB" w:rsidRDefault="00B46F67" w:rsidP="0065184D">
            <w:pPr>
              <w:jc w:val="right"/>
              <w:rPr>
                <w:rFonts w:ascii="Times" w:eastAsia="Times New Roman" w:hAnsi="Times" w:cs="Times"/>
                <w:b/>
                <w:bCs/>
                <w:sz w:val="20"/>
                <w:szCs w:val="20"/>
              </w:rPr>
            </w:pPr>
            <w:r w:rsidRPr="008E63BB">
              <w:rPr>
                <w:rFonts w:ascii="Times" w:eastAsia="Times New Roman" w:hAnsi="Times" w:cs="Times"/>
                <w:b/>
                <w:bCs/>
                <w:sz w:val="20"/>
                <w:szCs w:val="20"/>
              </w:rPr>
              <w:t>1.009,3</w:t>
            </w:r>
          </w:p>
        </w:tc>
      </w:tr>
      <w:tr w:rsidR="008D5BFE" w:rsidRPr="008E63BB" w14:paraId="519B27B4" w14:textId="77777777" w:rsidTr="00B46F67">
        <w:trPr>
          <w:trHeight w:val="360"/>
        </w:trPr>
        <w:tc>
          <w:tcPr>
            <w:tcW w:w="49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19B27AE"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1</w:t>
            </w:r>
          </w:p>
        </w:tc>
        <w:tc>
          <w:tcPr>
            <w:tcW w:w="4110" w:type="dxa"/>
            <w:tcBorders>
              <w:top w:val="single" w:sz="4" w:space="0" w:color="auto"/>
              <w:left w:val="nil"/>
              <w:bottom w:val="single" w:sz="4" w:space="0" w:color="auto"/>
              <w:right w:val="single" w:sz="4" w:space="0" w:color="auto"/>
            </w:tcBorders>
            <w:shd w:val="clear" w:color="000000" w:fill="FFFFFF"/>
            <w:vAlign w:val="center"/>
            <w:hideMark/>
          </w:tcPr>
          <w:p w14:paraId="519B27AF"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Trường Dạy nghề TMDL - Dịch vụ</w:t>
            </w:r>
          </w:p>
        </w:tc>
        <w:tc>
          <w:tcPr>
            <w:tcW w:w="1593" w:type="dxa"/>
            <w:tcBorders>
              <w:top w:val="single" w:sz="4" w:space="0" w:color="auto"/>
              <w:left w:val="nil"/>
              <w:bottom w:val="single" w:sz="4" w:space="0" w:color="auto"/>
              <w:right w:val="single" w:sz="4" w:space="0" w:color="auto"/>
            </w:tcBorders>
            <w:shd w:val="clear" w:color="000000" w:fill="FFFFFF"/>
            <w:vAlign w:val="center"/>
            <w:hideMark/>
          </w:tcPr>
          <w:p w14:paraId="519B27B0"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Cửa Bắc</w:t>
            </w:r>
          </w:p>
        </w:tc>
        <w:tc>
          <w:tcPr>
            <w:tcW w:w="1003" w:type="dxa"/>
            <w:tcBorders>
              <w:top w:val="single" w:sz="4" w:space="0" w:color="auto"/>
              <w:left w:val="nil"/>
              <w:bottom w:val="single" w:sz="4" w:space="0" w:color="auto"/>
              <w:right w:val="single" w:sz="4" w:space="0" w:color="auto"/>
            </w:tcBorders>
            <w:shd w:val="clear" w:color="000000" w:fill="FFFFFF"/>
            <w:vAlign w:val="center"/>
            <w:hideMark/>
          </w:tcPr>
          <w:p w14:paraId="519B27B1"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4.980,8</w:t>
            </w:r>
          </w:p>
        </w:tc>
        <w:tc>
          <w:tcPr>
            <w:tcW w:w="1008" w:type="dxa"/>
            <w:tcBorders>
              <w:top w:val="single" w:sz="4" w:space="0" w:color="auto"/>
              <w:left w:val="nil"/>
              <w:bottom w:val="single" w:sz="4" w:space="0" w:color="auto"/>
              <w:right w:val="single" w:sz="4" w:space="0" w:color="auto"/>
            </w:tcBorders>
            <w:shd w:val="clear" w:color="000000" w:fill="FFFFFF"/>
            <w:vAlign w:val="center"/>
            <w:hideMark/>
          </w:tcPr>
          <w:p w14:paraId="519B27B2"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single" w:sz="4" w:space="0" w:color="auto"/>
              <w:left w:val="nil"/>
              <w:bottom w:val="single" w:sz="4" w:space="0" w:color="auto"/>
              <w:right w:val="single" w:sz="4" w:space="0" w:color="auto"/>
            </w:tcBorders>
            <w:shd w:val="clear" w:color="000000" w:fill="FFFFFF"/>
            <w:vAlign w:val="center"/>
            <w:hideMark/>
          </w:tcPr>
          <w:p w14:paraId="519B27B3"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BB" w14:textId="77777777" w:rsidTr="00B46F67">
        <w:trPr>
          <w:trHeight w:val="57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B5"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2</w:t>
            </w:r>
          </w:p>
        </w:tc>
        <w:tc>
          <w:tcPr>
            <w:tcW w:w="4110" w:type="dxa"/>
            <w:tcBorders>
              <w:top w:val="nil"/>
              <w:left w:val="nil"/>
              <w:bottom w:val="single" w:sz="4" w:space="0" w:color="auto"/>
              <w:right w:val="single" w:sz="4" w:space="0" w:color="auto"/>
            </w:tcBorders>
            <w:shd w:val="clear" w:color="000000" w:fill="FFFFFF"/>
            <w:vAlign w:val="center"/>
            <w:hideMark/>
          </w:tcPr>
          <w:p w14:paraId="519B27B6"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tổng hợp hướng nghiệp và dạy nghề Nam Định</w:t>
            </w:r>
          </w:p>
        </w:tc>
        <w:tc>
          <w:tcPr>
            <w:tcW w:w="1593" w:type="dxa"/>
            <w:tcBorders>
              <w:top w:val="nil"/>
              <w:left w:val="nil"/>
              <w:bottom w:val="single" w:sz="4" w:space="0" w:color="auto"/>
              <w:right w:val="single" w:sz="4" w:space="0" w:color="auto"/>
            </w:tcBorders>
            <w:shd w:val="clear" w:color="000000" w:fill="FFFFFF"/>
            <w:vAlign w:val="center"/>
            <w:hideMark/>
          </w:tcPr>
          <w:p w14:paraId="519B27B7"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Nguyễn Du</w:t>
            </w:r>
          </w:p>
        </w:tc>
        <w:tc>
          <w:tcPr>
            <w:tcW w:w="1003" w:type="dxa"/>
            <w:tcBorders>
              <w:top w:val="nil"/>
              <w:left w:val="nil"/>
              <w:bottom w:val="single" w:sz="4" w:space="0" w:color="auto"/>
              <w:right w:val="single" w:sz="4" w:space="0" w:color="auto"/>
            </w:tcBorders>
            <w:shd w:val="clear" w:color="000000" w:fill="FFFFFF"/>
            <w:vAlign w:val="center"/>
            <w:hideMark/>
          </w:tcPr>
          <w:p w14:paraId="519B27B8"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299,6</w:t>
            </w:r>
          </w:p>
        </w:tc>
        <w:tc>
          <w:tcPr>
            <w:tcW w:w="1008" w:type="dxa"/>
            <w:tcBorders>
              <w:top w:val="nil"/>
              <w:left w:val="nil"/>
              <w:bottom w:val="single" w:sz="4" w:space="0" w:color="auto"/>
              <w:right w:val="single" w:sz="4" w:space="0" w:color="auto"/>
            </w:tcBorders>
            <w:shd w:val="clear" w:color="000000" w:fill="FFFFFF"/>
            <w:vAlign w:val="center"/>
            <w:hideMark/>
          </w:tcPr>
          <w:p w14:paraId="519B27B9"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9,9</w:t>
            </w:r>
          </w:p>
        </w:tc>
        <w:tc>
          <w:tcPr>
            <w:tcW w:w="976" w:type="dxa"/>
            <w:tcBorders>
              <w:top w:val="nil"/>
              <w:left w:val="nil"/>
              <w:bottom w:val="single" w:sz="4" w:space="0" w:color="auto"/>
              <w:right w:val="single" w:sz="4" w:space="0" w:color="auto"/>
            </w:tcBorders>
            <w:shd w:val="clear" w:color="000000" w:fill="FFFFFF"/>
            <w:vAlign w:val="center"/>
            <w:hideMark/>
          </w:tcPr>
          <w:p w14:paraId="519B27BA"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C2" w14:textId="77777777" w:rsidTr="00B46F67">
        <w:trPr>
          <w:trHeight w:val="285"/>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BC"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3</w:t>
            </w:r>
          </w:p>
        </w:tc>
        <w:tc>
          <w:tcPr>
            <w:tcW w:w="4110" w:type="dxa"/>
            <w:tcBorders>
              <w:top w:val="nil"/>
              <w:left w:val="nil"/>
              <w:bottom w:val="single" w:sz="4" w:space="0" w:color="auto"/>
              <w:right w:val="single" w:sz="4" w:space="0" w:color="auto"/>
            </w:tcBorders>
            <w:shd w:val="clear" w:color="000000" w:fill="FFFFFF"/>
            <w:noWrap/>
            <w:vAlign w:val="bottom"/>
            <w:hideMark/>
          </w:tcPr>
          <w:p w14:paraId="519B27BD"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xml:space="preserve">Trung tâm giáo dục thường xuyên </w:t>
            </w:r>
          </w:p>
        </w:tc>
        <w:tc>
          <w:tcPr>
            <w:tcW w:w="1593" w:type="dxa"/>
            <w:tcBorders>
              <w:top w:val="nil"/>
              <w:left w:val="nil"/>
              <w:bottom w:val="single" w:sz="4" w:space="0" w:color="auto"/>
              <w:right w:val="single" w:sz="4" w:space="0" w:color="auto"/>
            </w:tcBorders>
            <w:shd w:val="clear" w:color="000000" w:fill="FFFFFF"/>
            <w:vAlign w:val="center"/>
            <w:hideMark/>
          </w:tcPr>
          <w:p w14:paraId="519B27BE"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Nguyễn Du</w:t>
            </w:r>
          </w:p>
        </w:tc>
        <w:tc>
          <w:tcPr>
            <w:tcW w:w="1003" w:type="dxa"/>
            <w:tcBorders>
              <w:top w:val="nil"/>
              <w:left w:val="nil"/>
              <w:bottom w:val="single" w:sz="4" w:space="0" w:color="auto"/>
              <w:right w:val="single" w:sz="4" w:space="0" w:color="auto"/>
            </w:tcBorders>
            <w:shd w:val="clear" w:color="000000" w:fill="FFFFFF"/>
            <w:noWrap/>
            <w:vAlign w:val="bottom"/>
            <w:hideMark/>
          </w:tcPr>
          <w:p w14:paraId="519B27BF"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485,0</w:t>
            </w:r>
          </w:p>
        </w:tc>
        <w:tc>
          <w:tcPr>
            <w:tcW w:w="1008" w:type="dxa"/>
            <w:tcBorders>
              <w:top w:val="nil"/>
              <w:left w:val="nil"/>
              <w:bottom w:val="single" w:sz="4" w:space="0" w:color="auto"/>
              <w:right w:val="single" w:sz="4" w:space="0" w:color="auto"/>
            </w:tcBorders>
            <w:shd w:val="clear" w:color="000000" w:fill="FFFFFF"/>
            <w:noWrap/>
            <w:vAlign w:val="bottom"/>
            <w:hideMark/>
          </w:tcPr>
          <w:p w14:paraId="519B27C0"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noWrap/>
            <w:vAlign w:val="bottom"/>
            <w:hideMark/>
          </w:tcPr>
          <w:p w14:paraId="519B27C1"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C9" w14:textId="77777777" w:rsidTr="00B46F67">
        <w:trPr>
          <w:trHeight w:val="589"/>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C3"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4</w:t>
            </w:r>
          </w:p>
        </w:tc>
        <w:tc>
          <w:tcPr>
            <w:tcW w:w="4110" w:type="dxa"/>
            <w:tcBorders>
              <w:top w:val="nil"/>
              <w:left w:val="nil"/>
              <w:bottom w:val="single" w:sz="4" w:space="0" w:color="auto"/>
              <w:right w:val="single" w:sz="4" w:space="0" w:color="auto"/>
            </w:tcBorders>
            <w:shd w:val="clear" w:color="000000" w:fill="FFFFFF"/>
            <w:vAlign w:val="center"/>
            <w:hideMark/>
          </w:tcPr>
          <w:p w14:paraId="519B27C4"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Trường nghiệp vụ thể dục thể thao</w:t>
            </w:r>
          </w:p>
        </w:tc>
        <w:tc>
          <w:tcPr>
            <w:tcW w:w="1593" w:type="dxa"/>
            <w:tcBorders>
              <w:top w:val="nil"/>
              <w:left w:val="nil"/>
              <w:bottom w:val="single" w:sz="4" w:space="0" w:color="auto"/>
              <w:right w:val="single" w:sz="4" w:space="0" w:color="auto"/>
            </w:tcBorders>
            <w:shd w:val="clear" w:color="000000" w:fill="FFFFFF"/>
            <w:vAlign w:val="center"/>
            <w:hideMark/>
          </w:tcPr>
          <w:p w14:paraId="519B27C5"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Vị Hoàng</w:t>
            </w:r>
          </w:p>
        </w:tc>
        <w:tc>
          <w:tcPr>
            <w:tcW w:w="1003" w:type="dxa"/>
            <w:tcBorders>
              <w:top w:val="nil"/>
              <w:left w:val="nil"/>
              <w:bottom w:val="single" w:sz="4" w:space="0" w:color="auto"/>
              <w:right w:val="single" w:sz="4" w:space="0" w:color="auto"/>
            </w:tcBorders>
            <w:shd w:val="clear" w:color="000000" w:fill="FFFFFF"/>
            <w:vAlign w:val="center"/>
            <w:hideMark/>
          </w:tcPr>
          <w:p w14:paraId="519B27C6"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63.688,6</w:t>
            </w:r>
          </w:p>
        </w:tc>
        <w:tc>
          <w:tcPr>
            <w:tcW w:w="1008" w:type="dxa"/>
            <w:tcBorders>
              <w:top w:val="nil"/>
              <w:left w:val="nil"/>
              <w:bottom w:val="single" w:sz="4" w:space="0" w:color="auto"/>
              <w:right w:val="single" w:sz="4" w:space="0" w:color="auto"/>
            </w:tcBorders>
            <w:shd w:val="clear" w:color="000000" w:fill="FFFFFF"/>
            <w:vAlign w:val="center"/>
            <w:hideMark/>
          </w:tcPr>
          <w:p w14:paraId="519B27C7"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vAlign w:val="center"/>
            <w:hideMark/>
          </w:tcPr>
          <w:p w14:paraId="519B27C8"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D0" w14:textId="77777777" w:rsidTr="00B46F67">
        <w:trPr>
          <w:trHeight w:val="439"/>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CA"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5</w:t>
            </w:r>
          </w:p>
        </w:tc>
        <w:tc>
          <w:tcPr>
            <w:tcW w:w="4110" w:type="dxa"/>
            <w:tcBorders>
              <w:top w:val="nil"/>
              <w:left w:val="nil"/>
              <w:bottom w:val="single" w:sz="4" w:space="0" w:color="auto"/>
              <w:right w:val="single" w:sz="4" w:space="0" w:color="auto"/>
            </w:tcBorders>
            <w:shd w:val="clear" w:color="000000" w:fill="FFFFFF"/>
            <w:vAlign w:val="center"/>
            <w:hideMark/>
          </w:tcPr>
          <w:p w14:paraId="519B27CB"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Trường trung cấp nghề số 8</w:t>
            </w:r>
          </w:p>
        </w:tc>
        <w:tc>
          <w:tcPr>
            <w:tcW w:w="1593" w:type="dxa"/>
            <w:tcBorders>
              <w:top w:val="nil"/>
              <w:left w:val="nil"/>
              <w:bottom w:val="single" w:sz="4" w:space="0" w:color="auto"/>
              <w:right w:val="single" w:sz="4" w:space="0" w:color="auto"/>
            </w:tcBorders>
            <w:shd w:val="clear" w:color="000000" w:fill="FFFFFF"/>
            <w:vAlign w:val="center"/>
            <w:hideMark/>
          </w:tcPr>
          <w:p w14:paraId="519B27CC"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Vị Hoàng</w:t>
            </w:r>
          </w:p>
        </w:tc>
        <w:tc>
          <w:tcPr>
            <w:tcW w:w="1003" w:type="dxa"/>
            <w:tcBorders>
              <w:top w:val="nil"/>
              <w:left w:val="nil"/>
              <w:bottom w:val="single" w:sz="4" w:space="0" w:color="auto"/>
              <w:right w:val="single" w:sz="4" w:space="0" w:color="auto"/>
            </w:tcBorders>
            <w:shd w:val="clear" w:color="000000" w:fill="FFFFFF"/>
            <w:vAlign w:val="center"/>
            <w:hideMark/>
          </w:tcPr>
          <w:p w14:paraId="519B27CD"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714,9</w:t>
            </w:r>
          </w:p>
        </w:tc>
        <w:tc>
          <w:tcPr>
            <w:tcW w:w="1008" w:type="dxa"/>
            <w:tcBorders>
              <w:top w:val="nil"/>
              <w:left w:val="nil"/>
              <w:bottom w:val="single" w:sz="4" w:space="0" w:color="auto"/>
              <w:right w:val="single" w:sz="4" w:space="0" w:color="auto"/>
            </w:tcBorders>
            <w:shd w:val="clear" w:color="000000" w:fill="FFFFFF"/>
            <w:vAlign w:val="center"/>
            <w:hideMark/>
          </w:tcPr>
          <w:p w14:paraId="519B27CE"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13,7</w:t>
            </w:r>
          </w:p>
        </w:tc>
        <w:tc>
          <w:tcPr>
            <w:tcW w:w="976" w:type="dxa"/>
            <w:tcBorders>
              <w:top w:val="nil"/>
              <w:left w:val="nil"/>
              <w:bottom w:val="single" w:sz="4" w:space="0" w:color="auto"/>
              <w:right w:val="single" w:sz="4" w:space="0" w:color="auto"/>
            </w:tcBorders>
            <w:shd w:val="clear" w:color="000000" w:fill="FFFFFF"/>
            <w:vAlign w:val="center"/>
            <w:hideMark/>
          </w:tcPr>
          <w:p w14:paraId="519B27CF"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D7" w14:textId="77777777" w:rsidTr="00B46F67">
        <w:trPr>
          <w:trHeight w:val="39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D1"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6</w:t>
            </w:r>
          </w:p>
        </w:tc>
        <w:tc>
          <w:tcPr>
            <w:tcW w:w="4110" w:type="dxa"/>
            <w:tcBorders>
              <w:top w:val="nil"/>
              <w:left w:val="nil"/>
              <w:bottom w:val="single" w:sz="4" w:space="0" w:color="auto"/>
              <w:right w:val="single" w:sz="4" w:space="0" w:color="auto"/>
            </w:tcBorders>
            <w:shd w:val="clear" w:color="000000" w:fill="FFFFFF"/>
            <w:vAlign w:val="center"/>
            <w:hideMark/>
          </w:tcPr>
          <w:p w14:paraId="519B27D2"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giáo dục thường xuyên Trần Phú</w:t>
            </w:r>
          </w:p>
        </w:tc>
        <w:tc>
          <w:tcPr>
            <w:tcW w:w="1593" w:type="dxa"/>
            <w:tcBorders>
              <w:top w:val="nil"/>
              <w:left w:val="nil"/>
              <w:bottom w:val="single" w:sz="4" w:space="0" w:color="auto"/>
              <w:right w:val="single" w:sz="4" w:space="0" w:color="auto"/>
            </w:tcBorders>
            <w:shd w:val="clear" w:color="000000" w:fill="FFFFFF"/>
            <w:vAlign w:val="center"/>
            <w:hideMark/>
          </w:tcPr>
          <w:p w14:paraId="519B27D3"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Trần Hưng Đạo</w:t>
            </w:r>
          </w:p>
        </w:tc>
        <w:tc>
          <w:tcPr>
            <w:tcW w:w="1003" w:type="dxa"/>
            <w:tcBorders>
              <w:top w:val="nil"/>
              <w:left w:val="nil"/>
              <w:bottom w:val="single" w:sz="4" w:space="0" w:color="auto"/>
              <w:right w:val="single" w:sz="4" w:space="0" w:color="auto"/>
            </w:tcBorders>
            <w:shd w:val="clear" w:color="000000" w:fill="FFFFFF"/>
            <w:vAlign w:val="center"/>
            <w:hideMark/>
          </w:tcPr>
          <w:p w14:paraId="519B27D4"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2.512,0</w:t>
            </w:r>
          </w:p>
        </w:tc>
        <w:tc>
          <w:tcPr>
            <w:tcW w:w="1008" w:type="dxa"/>
            <w:tcBorders>
              <w:top w:val="nil"/>
              <w:left w:val="nil"/>
              <w:bottom w:val="single" w:sz="4" w:space="0" w:color="auto"/>
              <w:right w:val="single" w:sz="4" w:space="0" w:color="auto"/>
            </w:tcBorders>
            <w:shd w:val="clear" w:color="000000" w:fill="FFFFFF"/>
            <w:vAlign w:val="center"/>
            <w:hideMark/>
          </w:tcPr>
          <w:p w14:paraId="519B27D5"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vAlign w:val="center"/>
            <w:hideMark/>
          </w:tcPr>
          <w:p w14:paraId="519B27D6"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DE" w14:textId="77777777" w:rsidTr="00B46F67">
        <w:trPr>
          <w:trHeight w:val="655"/>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D8"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7</w:t>
            </w:r>
          </w:p>
        </w:tc>
        <w:tc>
          <w:tcPr>
            <w:tcW w:w="4110" w:type="dxa"/>
            <w:tcBorders>
              <w:top w:val="nil"/>
              <w:left w:val="nil"/>
              <w:bottom w:val="single" w:sz="4" w:space="0" w:color="auto"/>
              <w:right w:val="single" w:sz="4" w:space="0" w:color="auto"/>
            </w:tcBorders>
            <w:shd w:val="clear" w:color="000000" w:fill="FFFFFF"/>
            <w:vAlign w:val="center"/>
            <w:hideMark/>
          </w:tcPr>
          <w:p w14:paraId="519B27D9"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kỹ thuật tổng hợp hướng nghiệp và dạy nghề Nam Định</w:t>
            </w:r>
          </w:p>
        </w:tc>
        <w:tc>
          <w:tcPr>
            <w:tcW w:w="1593" w:type="dxa"/>
            <w:tcBorders>
              <w:top w:val="nil"/>
              <w:left w:val="nil"/>
              <w:bottom w:val="single" w:sz="4" w:space="0" w:color="auto"/>
              <w:right w:val="single" w:sz="4" w:space="0" w:color="auto"/>
            </w:tcBorders>
            <w:shd w:val="clear" w:color="000000" w:fill="FFFFFF"/>
            <w:vAlign w:val="center"/>
            <w:hideMark/>
          </w:tcPr>
          <w:p w14:paraId="519B27DA"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Trần Hưng Đạo</w:t>
            </w:r>
          </w:p>
        </w:tc>
        <w:tc>
          <w:tcPr>
            <w:tcW w:w="1003" w:type="dxa"/>
            <w:tcBorders>
              <w:top w:val="nil"/>
              <w:left w:val="nil"/>
              <w:bottom w:val="single" w:sz="4" w:space="0" w:color="auto"/>
              <w:right w:val="single" w:sz="4" w:space="0" w:color="auto"/>
            </w:tcBorders>
            <w:shd w:val="clear" w:color="000000" w:fill="FFFFFF"/>
            <w:vAlign w:val="center"/>
            <w:hideMark/>
          </w:tcPr>
          <w:p w14:paraId="519B27DB"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223,8</w:t>
            </w:r>
          </w:p>
        </w:tc>
        <w:tc>
          <w:tcPr>
            <w:tcW w:w="1008" w:type="dxa"/>
            <w:tcBorders>
              <w:top w:val="nil"/>
              <w:left w:val="nil"/>
              <w:bottom w:val="single" w:sz="4" w:space="0" w:color="auto"/>
              <w:right w:val="single" w:sz="4" w:space="0" w:color="auto"/>
            </w:tcBorders>
            <w:shd w:val="clear" w:color="000000" w:fill="FFFFFF"/>
            <w:vAlign w:val="center"/>
            <w:hideMark/>
          </w:tcPr>
          <w:p w14:paraId="519B27DC"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vAlign w:val="center"/>
            <w:hideMark/>
          </w:tcPr>
          <w:p w14:paraId="519B27DD"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165,8</w:t>
            </w:r>
          </w:p>
        </w:tc>
      </w:tr>
      <w:tr w:rsidR="008D5BFE" w:rsidRPr="008E63BB" w14:paraId="519B27E7" w14:textId="77777777" w:rsidTr="00B46F67">
        <w:trPr>
          <w:trHeight w:val="285"/>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DF"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8</w:t>
            </w:r>
          </w:p>
        </w:tc>
        <w:tc>
          <w:tcPr>
            <w:tcW w:w="4110" w:type="dxa"/>
            <w:tcBorders>
              <w:top w:val="nil"/>
              <w:left w:val="nil"/>
              <w:bottom w:val="single" w:sz="4" w:space="0" w:color="auto"/>
              <w:right w:val="single" w:sz="4" w:space="0" w:color="auto"/>
            </w:tcBorders>
            <w:shd w:val="clear" w:color="000000" w:fill="FFFFFF"/>
            <w:noWrap/>
            <w:vAlign w:val="bottom"/>
            <w:hideMark/>
          </w:tcPr>
          <w:p w14:paraId="519B27E0"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giáo dục thường xuyên Nguyễn Hiền</w:t>
            </w:r>
          </w:p>
          <w:p w14:paraId="519B27E1" w14:textId="77777777" w:rsidR="00B46F67" w:rsidRPr="008E63BB" w:rsidRDefault="00B46F67" w:rsidP="0065184D">
            <w:pPr>
              <w:rPr>
                <w:rFonts w:ascii="Times" w:eastAsia="Times New Roman" w:hAnsi="Times" w:cs="Times"/>
                <w:sz w:val="20"/>
                <w:szCs w:val="20"/>
              </w:rPr>
            </w:pPr>
          </w:p>
        </w:tc>
        <w:tc>
          <w:tcPr>
            <w:tcW w:w="1593" w:type="dxa"/>
            <w:tcBorders>
              <w:top w:val="nil"/>
              <w:left w:val="nil"/>
              <w:bottom w:val="single" w:sz="4" w:space="0" w:color="auto"/>
              <w:right w:val="single" w:sz="4" w:space="0" w:color="auto"/>
            </w:tcBorders>
            <w:shd w:val="clear" w:color="000000" w:fill="FFFFFF"/>
            <w:vAlign w:val="center"/>
            <w:hideMark/>
          </w:tcPr>
          <w:p w14:paraId="519B27E2"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 Trần Tế Xương</w:t>
            </w:r>
          </w:p>
        </w:tc>
        <w:tc>
          <w:tcPr>
            <w:tcW w:w="1003" w:type="dxa"/>
            <w:tcBorders>
              <w:top w:val="nil"/>
              <w:left w:val="nil"/>
              <w:bottom w:val="single" w:sz="4" w:space="0" w:color="auto"/>
              <w:right w:val="single" w:sz="4" w:space="0" w:color="auto"/>
            </w:tcBorders>
            <w:shd w:val="clear" w:color="000000" w:fill="FFFFFF"/>
            <w:noWrap/>
            <w:vAlign w:val="bottom"/>
            <w:hideMark/>
          </w:tcPr>
          <w:p w14:paraId="519B27E3"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2.441,0</w:t>
            </w:r>
          </w:p>
          <w:p w14:paraId="519B27E4" w14:textId="77777777" w:rsidR="00B46F67" w:rsidRPr="008E63BB" w:rsidRDefault="00B46F67" w:rsidP="0065184D">
            <w:pPr>
              <w:jc w:val="right"/>
              <w:rPr>
                <w:rFonts w:ascii="Times" w:eastAsia="Times New Roman" w:hAnsi="Times" w:cs="Times"/>
                <w:sz w:val="20"/>
                <w:szCs w:val="20"/>
              </w:rPr>
            </w:pPr>
          </w:p>
        </w:tc>
        <w:tc>
          <w:tcPr>
            <w:tcW w:w="1008" w:type="dxa"/>
            <w:tcBorders>
              <w:top w:val="nil"/>
              <w:left w:val="nil"/>
              <w:bottom w:val="single" w:sz="4" w:space="0" w:color="auto"/>
              <w:right w:val="single" w:sz="4" w:space="0" w:color="auto"/>
            </w:tcBorders>
            <w:shd w:val="clear" w:color="000000" w:fill="FFFFFF"/>
            <w:noWrap/>
            <w:vAlign w:val="bottom"/>
            <w:hideMark/>
          </w:tcPr>
          <w:p w14:paraId="519B27E5"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noWrap/>
            <w:vAlign w:val="bottom"/>
            <w:hideMark/>
          </w:tcPr>
          <w:p w14:paraId="519B27E6"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EE" w14:textId="77777777" w:rsidTr="00B46F67">
        <w:trPr>
          <w:trHeight w:val="36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E8"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9</w:t>
            </w:r>
          </w:p>
        </w:tc>
        <w:tc>
          <w:tcPr>
            <w:tcW w:w="4110" w:type="dxa"/>
            <w:tcBorders>
              <w:top w:val="nil"/>
              <w:left w:val="nil"/>
              <w:bottom w:val="single" w:sz="4" w:space="0" w:color="auto"/>
              <w:right w:val="single" w:sz="4" w:space="0" w:color="auto"/>
            </w:tcBorders>
            <w:shd w:val="clear" w:color="000000" w:fill="FFFFFF"/>
            <w:vAlign w:val="center"/>
            <w:hideMark/>
          </w:tcPr>
          <w:p w14:paraId="519B27E9"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Trường TH Cơ Điện</w:t>
            </w:r>
          </w:p>
        </w:tc>
        <w:tc>
          <w:tcPr>
            <w:tcW w:w="1593" w:type="dxa"/>
            <w:tcBorders>
              <w:top w:val="nil"/>
              <w:left w:val="nil"/>
              <w:bottom w:val="single" w:sz="4" w:space="0" w:color="auto"/>
              <w:right w:val="single" w:sz="4" w:space="0" w:color="auto"/>
            </w:tcBorders>
            <w:shd w:val="clear" w:color="000000" w:fill="FFFFFF"/>
            <w:vAlign w:val="center"/>
            <w:hideMark/>
          </w:tcPr>
          <w:p w14:paraId="519B27EA"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X. Mỹ Xá</w:t>
            </w:r>
          </w:p>
        </w:tc>
        <w:tc>
          <w:tcPr>
            <w:tcW w:w="1003" w:type="dxa"/>
            <w:tcBorders>
              <w:top w:val="nil"/>
              <w:left w:val="nil"/>
              <w:bottom w:val="single" w:sz="4" w:space="0" w:color="auto"/>
              <w:right w:val="single" w:sz="4" w:space="0" w:color="auto"/>
            </w:tcBorders>
            <w:shd w:val="clear" w:color="000000" w:fill="FFFFFF"/>
            <w:vAlign w:val="center"/>
            <w:hideMark/>
          </w:tcPr>
          <w:p w14:paraId="519B27EB"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52.346,5</w:t>
            </w:r>
          </w:p>
        </w:tc>
        <w:tc>
          <w:tcPr>
            <w:tcW w:w="1008" w:type="dxa"/>
            <w:tcBorders>
              <w:top w:val="nil"/>
              <w:left w:val="nil"/>
              <w:bottom w:val="single" w:sz="4" w:space="0" w:color="auto"/>
              <w:right w:val="single" w:sz="4" w:space="0" w:color="auto"/>
            </w:tcBorders>
            <w:shd w:val="clear" w:color="000000" w:fill="FFFFFF"/>
            <w:vAlign w:val="center"/>
            <w:hideMark/>
          </w:tcPr>
          <w:p w14:paraId="519B27EC"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vAlign w:val="center"/>
            <w:hideMark/>
          </w:tcPr>
          <w:p w14:paraId="519B27ED"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728,7</w:t>
            </w:r>
          </w:p>
        </w:tc>
      </w:tr>
      <w:tr w:rsidR="008D5BFE" w:rsidRPr="008E63BB" w14:paraId="519B27F5" w14:textId="77777777" w:rsidTr="00B46F67">
        <w:trPr>
          <w:trHeight w:val="30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EF"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10</w:t>
            </w:r>
          </w:p>
        </w:tc>
        <w:tc>
          <w:tcPr>
            <w:tcW w:w="4110" w:type="dxa"/>
            <w:tcBorders>
              <w:top w:val="nil"/>
              <w:left w:val="nil"/>
              <w:bottom w:val="single" w:sz="4" w:space="0" w:color="auto"/>
              <w:right w:val="single" w:sz="4" w:space="0" w:color="auto"/>
            </w:tcBorders>
            <w:shd w:val="clear" w:color="000000" w:fill="FFFFFF"/>
            <w:vAlign w:val="center"/>
            <w:hideMark/>
          </w:tcPr>
          <w:p w14:paraId="519B27F0"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bồi dưỡng tại chức tỉnh Nam Định</w:t>
            </w:r>
          </w:p>
        </w:tc>
        <w:tc>
          <w:tcPr>
            <w:tcW w:w="1593" w:type="dxa"/>
            <w:tcBorders>
              <w:top w:val="nil"/>
              <w:left w:val="nil"/>
              <w:bottom w:val="single" w:sz="4" w:space="0" w:color="auto"/>
              <w:right w:val="single" w:sz="4" w:space="0" w:color="auto"/>
            </w:tcBorders>
            <w:shd w:val="clear" w:color="000000" w:fill="FFFFFF"/>
            <w:vAlign w:val="center"/>
            <w:hideMark/>
          </w:tcPr>
          <w:p w14:paraId="519B27F1"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P.Bà Triệu</w:t>
            </w:r>
          </w:p>
        </w:tc>
        <w:tc>
          <w:tcPr>
            <w:tcW w:w="1003" w:type="dxa"/>
            <w:tcBorders>
              <w:top w:val="nil"/>
              <w:left w:val="nil"/>
              <w:bottom w:val="single" w:sz="4" w:space="0" w:color="auto"/>
              <w:right w:val="single" w:sz="4" w:space="0" w:color="auto"/>
            </w:tcBorders>
            <w:shd w:val="clear" w:color="000000" w:fill="FFFFFF"/>
            <w:vAlign w:val="center"/>
            <w:hideMark/>
          </w:tcPr>
          <w:p w14:paraId="519B27F2"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5.704,5</w:t>
            </w:r>
          </w:p>
        </w:tc>
        <w:tc>
          <w:tcPr>
            <w:tcW w:w="1008" w:type="dxa"/>
            <w:tcBorders>
              <w:top w:val="nil"/>
              <w:left w:val="nil"/>
              <w:bottom w:val="single" w:sz="4" w:space="0" w:color="auto"/>
              <w:right w:val="single" w:sz="4" w:space="0" w:color="auto"/>
            </w:tcBorders>
            <w:shd w:val="clear" w:color="000000" w:fill="FFFFFF"/>
            <w:vAlign w:val="center"/>
            <w:hideMark/>
          </w:tcPr>
          <w:p w14:paraId="519B27F3"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3,8</w:t>
            </w:r>
          </w:p>
        </w:tc>
        <w:tc>
          <w:tcPr>
            <w:tcW w:w="976" w:type="dxa"/>
            <w:tcBorders>
              <w:top w:val="nil"/>
              <w:left w:val="nil"/>
              <w:bottom w:val="single" w:sz="4" w:space="0" w:color="auto"/>
              <w:right w:val="single" w:sz="4" w:space="0" w:color="auto"/>
            </w:tcBorders>
            <w:shd w:val="clear" w:color="000000" w:fill="FFFFFF"/>
            <w:vAlign w:val="center"/>
            <w:hideMark/>
          </w:tcPr>
          <w:p w14:paraId="519B27F4"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7FC" w14:textId="77777777" w:rsidTr="00B46F67">
        <w:trPr>
          <w:trHeight w:val="36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F6"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11</w:t>
            </w:r>
          </w:p>
        </w:tc>
        <w:tc>
          <w:tcPr>
            <w:tcW w:w="4110" w:type="dxa"/>
            <w:tcBorders>
              <w:top w:val="nil"/>
              <w:left w:val="nil"/>
              <w:bottom w:val="single" w:sz="4" w:space="0" w:color="auto"/>
              <w:right w:val="single" w:sz="4" w:space="0" w:color="auto"/>
            </w:tcBorders>
            <w:shd w:val="clear" w:color="000000" w:fill="FFFFFF"/>
            <w:vAlign w:val="center"/>
            <w:hideMark/>
          </w:tcPr>
          <w:p w14:paraId="519B27F7"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đào tạo sát hạch cấp giấy phép lái xe</w:t>
            </w:r>
          </w:p>
        </w:tc>
        <w:tc>
          <w:tcPr>
            <w:tcW w:w="1593" w:type="dxa"/>
            <w:tcBorders>
              <w:top w:val="nil"/>
              <w:left w:val="nil"/>
              <w:bottom w:val="single" w:sz="4" w:space="0" w:color="auto"/>
              <w:right w:val="single" w:sz="4" w:space="0" w:color="auto"/>
            </w:tcBorders>
            <w:shd w:val="clear" w:color="000000" w:fill="FFFFFF"/>
            <w:vAlign w:val="center"/>
            <w:hideMark/>
          </w:tcPr>
          <w:p w14:paraId="519B27F8"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X.Lộc An</w:t>
            </w:r>
          </w:p>
        </w:tc>
        <w:tc>
          <w:tcPr>
            <w:tcW w:w="1003" w:type="dxa"/>
            <w:tcBorders>
              <w:top w:val="nil"/>
              <w:left w:val="nil"/>
              <w:bottom w:val="single" w:sz="4" w:space="0" w:color="auto"/>
              <w:right w:val="single" w:sz="4" w:space="0" w:color="auto"/>
            </w:tcBorders>
            <w:shd w:val="clear" w:color="000000" w:fill="FFFFFF"/>
            <w:vAlign w:val="center"/>
            <w:hideMark/>
          </w:tcPr>
          <w:p w14:paraId="519B27F9"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39.106,1</w:t>
            </w:r>
          </w:p>
        </w:tc>
        <w:tc>
          <w:tcPr>
            <w:tcW w:w="1008" w:type="dxa"/>
            <w:tcBorders>
              <w:top w:val="nil"/>
              <w:left w:val="nil"/>
              <w:bottom w:val="single" w:sz="4" w:space="0" w:color="auto"/>
              <w:right w:val="single" w:sz="4" w:space="0" w:color="auto"/>
            </w:tcBorders>
            <w:shd w:val="clear" w:color="000000" w:fill="FFFFFF"/>
            <w:vAlign w:val="center"/>
            <w:hideMark/>
          </w:tcPr>
          <w:p w14:paraId="519B27FA"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28,6</w:t>
            </w:r>
          </w:p>
        </w:tc>
        <w:tc>
          <w:tcPr>
            <w:tcW w:w="976" w:type="dxa"/>
            <w:tcBorders>
              <w:top w:val="nil"/>
              <w:left w:val="nil"/>
              <w:bottom w:val="single" w:sz="4" w:space="0" w:color="auto"/>
              <w:right w:val="single" w:sz="4" w:space="0" w:color="auto"/>
            </w:tcBorders>
            <w:shd w:val="clear" w:color="000000" w:fill="FFFFFF"/>
            <w:vAlign w:val="center"/>
            <w:hideMark/>
          </w:tcPr>
          <w:p w14:paraId="519B27FB"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803" w14:textId="77777777" w:rsidTr="00B46F67">
        <w:trPr>
          <w:trHeight w:val="30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7FD"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lastRenderedPageBreak/>
              <w:t>12</w:t>
            </w:r>
          </w:p>
        </w:tc>
        <w:tc>
          <w:tcPr>
            <w:tcW w:w="4110" w:type="dxa"/>
            <w:tcBorders>
              <w:top w:val="nil"/>
              <w:left w:val="nil"/>
              <w:bottom w:val="single" w:sz="4" w:space="0" w:color="auto"/>
              <w:right w:val="single" w:sz="4" w:space="0" w:color="auto"/>
            </w:tcBorders>
            <w:shd w:val="clear" w:color="000000" w:fill="FFFFFF"/>
            <w:vAlign w:val="center"/>
            <w:hideMark/>
          </w:tcPr>
          <w:p w14:paraId="519B27FE"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TT Dạy nghề trẻ khuyết tật</w:t>
            </w:r>
          </w:p>
        </w:tc>
        <w:tc>
          <w:tcPr>
            <w:tcW w:w="1593" w:type="dxa"/>
            <w:tcBorders>
              <w:top w:val="nil"/>
              <w:left w:val="nil"/>
              <w:bottom w:val="single" w:sz="4" w:space="0" w:color="auto"/>
              <w:right w:val="single" w:sz="4" w:space="0" w:color="auto"/>
            </w:tcBorders>
            <w:shd w:val="clear" w:color="000000" w:fill="FFFFFF"/>
            <w:vAlign w:val="center"/>
            <w:hideMark/>
          </w:tcPr>
          <w:p w14:paraId="519B27FF"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X.Lộc An</w:t>
            </w:r>
          </w:p>
        </w:tc>
        <w:tc>
          <w:tcPr>
            <w:tcW w:w="1003" w:type="dxa"/>
            <w:tcBorders>
              <w:top w:val="nil"/>
              <w:left w:val="nil"/>
              <w:bottom w:val="single" w:sz="4" w:space="0" w:color="auto"/>
              <w:right w:val="single" w:sz="4" w:space="0" w:color="auto"/>
            </w:tcBorders>
            <w:shd w:val="clear" w:color="000000" w:fill="FFFFFF"/>
            <w:vAlign w:val="center"/>
            <w:hideMark/>
          </w:tcPr>
          <w:p w14:paraId="519B2800"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3.260,8</w:t>
            </w:r>
          </w:p>
        </w:tc>
        <w:tc>
          <w:tcPr>
            <w:tcW w:w="1008" w:type="dxa"/>
            <w:tcBorders>
              <w:top w:val="nil"/>
              <w:left w:val="nil"/>
              <w:bottom w:val="single" w:sz="4" w:space="0" w:color="auto"/>
              <w:right w:val="single" w:sz="4" w:space="0" w:color="auto"/>
            </w:tcBorders>
            <w:shd w:val="clear" w:color="000000" w:fill="FFFFFF"/>
            <w:vAlign w:val="center"/>
            <w:hideMark/>
          </w:tcPr>
          <w:p w14:paraId="519B2801"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vAlign w:val="center"/>
            <w:hideMark/>
          </w:tcPr>
          <w:p w14:paraId="519B2802"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114,8</w:t>
            </w:r>
          </w:p>
        </w:tc>
      </w:tr>
      <w:tr w:rsidR="008D5BFE" w:rsidRPr="008E63BB" w14:paraId="519B280A" w14:textId="77777777" w:rsidTr="00B46F67">
        <w:trPr>
          <w:trHeight w:val="54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804"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13</w:t>
            </w:r>
          </w:p>
        </w:tc>
        <w:tc>
          <w:tcPr>
            <w:tcW w:w="4110" w:type="dxa"/>
            <w:tcBorders>
              <w:top w:val="nil"/>
              <w:left w:val="nil"/>
              <w:bottom w:val="single" w:sz="4" w:space="0" w:color="auto"/>
              <w:right w:val="single" w:sz="4" w:space="0" w:color="auto"/>
            </w:tcBorders>
            <w:shd w:val="clear" w:color="000000" w:fill="FFFFFF"/>
            <w:vAlign w:val="center"/>
            <w:hideMark/>
          </w:tcPr>
          <w:p w14:paraId="519B2805"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dạy nghề và dịch vụ việc làm thanh niên khu vực Nam sông Hồng</w:t>
            </w:r>
          </w:p>
        </w:tc>
        <w:tc>
          <w:tcPr>
            <w:tcW w:w="1593" w:type="dxa"/>
            <w:tcBorders>
              <w:top w:val="nil"/>
              <w:left w:val="nil"/>
              <w:bottom w:val="single" w:sz="4" w:space="0" w:color="auto"/>
              <w:right w:val="single" w:sz="4" w:space="0" w:color="auto"/>
            </w:tcBorders>
            <w:shd w:val="clear" w:color="000000" w:fill="FFFFFF"/>
            <w:vAlign w:val="center"/>
            <w:hideMark/>
          </w:tcPr>
          <w:p w14:paraId="519B2806"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X.Lộc Hòa</w:t>
            </w:r>
          </w:p>
        </w:tc>
        <w:tc>
          <w:tcPr>
            <w:tcW w:w="1003" w:type="dxa"/>
            <w:tcBorders>
              <w:top w:val="nil"/>
              <w:left w:val="nil"/>
              <w:bottom w:val="single" w:sz="4" w:space="0" w:color="auto"/>
              <w:right w:val="single" w:sz="4" w:space="0" w:color="auto"/>
            </w:tcBorders>
            <w:shd w:val="clear" w:color="000000" w:fill="FFFFFF"/>
            <w:vAlign w:val="center"/>
            <w:hideMark/>
          </w:tcPr>
          <w:p w14:paraId="519B2807"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5.200,0</w:t>
            </w:r>
          </w:p>
        </w:tc>
        <w:tc>
          <w:tcPr>
            <w:tcW w:w="1008" w:type="dxa"/>
            <w:tcBorders>
              <w:top w:val="nil"/>
              <w:left w:val="nil"/>
              <w:bottom w:val="single" w:sz="4" w:space="0" w:color="auto"/>
              <w:right w:val="single" w:sz="4" w:space="0" w:color="auto"/>
            </w:tcBorders>
            <w:shd w:val="clear" w:color="000000" w:fill="FFFFFF"/>
            <w:vAlign w:val="center"/>
            <w:hideMark/>
          </w:tcPr>
          <w:p w14:paraId="519B2808"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13,7</w:t>
            </w:r>
          </w:p>
        </w:tc>
        <w:tc>
          <w:tcPr>
            <w:tcW w:w="976" w:type="dxa"/>
            <w:tcBorders>
              <w:top w:val="nil"/>
              <w:left w:val="nil"/>
              <w:bottom w:val="single" w:sz="4" w:space="0" w:color="auto"/>
              <w:right w:val="single" w:sz="4" w:space="0" w:color="auto"/>
            </w:tcBorders>
            <w:shd w:val="clear" w:color="000000" w:fill="FFFFFF"/>
            <w:vAlign w:val="center"/>
            <w:hideMark/>
          </w:tcPr>
          <w:p w14:paraId="519B2809"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r w:rsidR="008D5BFE" w:rsidRPr="008E63BB" w14:paraId="519B2811" w14:textId="77777777" w:rsidTr="00B46F67">
        <w:trPr>
          <w:trHeight w:val="330"/>
        </w:trPr>
        <w:tc>
          <w:tcPr>
            <w:tcW w:w="491" w:type="dxa"/>
            <w:tcBorders>
              <w:top w:val="nil"/>
              <w:left w:val="single" w:sz="4" w:space="0" w:color="auto"/>
              <w:bottom w:val="single" w:sz="4" w:space="0" w:color="auto"/>
              <w:right w:val="single" w:sz="4" w:space="0" w:color="auto"/>
            </w:tcBorders>
            <w:shd w:val="clear" w:color="000000" w:fill="FFFFFF"/>
            <w:vAlign w:val="center"/>
            <w:hideMark/>
          </w:tcPr>
          <w:p w14:paraId="519B280B" w14:textId="77777777" w:rsidR="00B46F67" w:rsidRPr="008E63BB" w:rsidRDefault="00B46F67" w:rsidP="0065184D">
            <w:pPr>
              <w:jc w:val="center"/>
              <w:rPr>
                <w:rFonts w:ascii="Times" w:eastAsia="Times New Roman" w:hAnsi="Times" w:cs="Times"/>
                <w:sz w:val="20"/>
                <w:szCs w:val="20"/>
              </w:rPr>
            </w:pPr>
            <w:r w:rsidRPr="008E63BB">
              <w:rPr>
                <w:rFonts w:ascii="Times" w:eastAsia="Times New Roman" w:hAnsi="Times" w:cs="Times"/>
                <w:sz w:val="20"/>
                <w:szCs w:val="20"/>
              </w:rPr>
              <w:t>14</w:t>
            </w:r>
          </w:p>
        </w:tc>
        <w:tc>
          <w:tcPr>
            <w:tcW w:w="4110" w:type="dxa"/>
            <w:tcBorders>
              <w:top w:val="nil"/>
              <w:left w:val="nil"/>
              <w:bottom w:val="single" w:sz="4" w:space="0" w:color="auto"/>
              <w:right w:val="single" w:sz="4" w:space="0" w:color="auto"/>
            </w:tcBorders>
            <w:shd w:val="clear" w:color="000000" w:fill="FFFFFF"/>
            <w:vAlign w:val="center"/>
            <w:hideMark/>
          </w:tcPr>
          <w:p w14:paraId="519B280C"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Trung tâm bồi dưỡng chính trị TP Nam Định</w:t>
            </w:r>
          </w:p>
        </w:tc>
        <w:tc>
          <w:tcPr>
            <w:tcW w:w="1593" w:type="dxa"/>
            <w:tcBorders>
              <w:top w:val="nil"/>
              <w:left w:val="nil"/>
              <w:bottom w:val="single" w:sz="4" w:space="0" w:color="auto"/>
              <w:right w:val="single" w:sz="4" w:space="0" w:color="auto"/>
            </w:tcBorders>
            <w:shd w:val="clear" w:color="000000" w:fill="FFFFFF"/>
            <w:vAlign w:val="center"/>
            <w:hideMark/>
          </w:tcPr>
          <w:p w14:paraId="519B280D"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P.Bà Triệu</w:t>
            </w:r>
          </w:p>
        </w:tc>
        <w:tc>
          <w:tcPr>
            <w:tcW w:w="1003" w:type="dxa"/>
            <w:tcBorders>
              <w:top w:val="nil"/>
              <w:left w:val="nil"/>
              <w:bottom w:val="single" w:sz="4" w:space="0" w:color="auto"/>
              <w:right w:val="single" w:sz="4" w:space="0" w:color="auto"/>
            </w:tcBorders>
            <w:shd w:val="clear" w:color="000000" w:fill="FFFFFF"/>
            <w:vAlign w:val="center"/>
            <w:hideMark/>
          </w:tcPr>
          <w:p w14:paraId="519B280E" w14:textId="77777777" w:rsidR="00B46F67" w:rsidRPr="008E63BB" w:rsidRDefault="00B46F67" w:rsidP="0065184D">
            <w:pPr>
              <w:jc w:val="right"/>
              <w:rPr>
                <w:rFonts w:ascii="Times" w:eastAsia="Times New Roman" w:hAnsi="Times" w:cs="Times"/>
                <w:sz w:val="20"/>
                <w:szCs w:val="20"/>
              </w:rPr>
            </w:pPr>
            <w:r w:rsidRPr="008E63BB">
              <w:rPr>
                <w:rFonts w:ascii="Times" w:eastAsia="Times New Roman" w:hAnsi="Times" w:cs="Times"/>
                <w:sz w:val="20"/>
                <w:szCs w:val="20"/>
              </w:rPr>
              <w:t>775,8</w:t>
            </w:r>
          </w:p>
        </w:tc>
        <w:tc>
          <w:tcPr>
            <w:tcW w:w="1008" w:type="dxa"/>
            <w:tcBorders>
              <w:top w:val="nil"/>
              <w:left w:val="nil"/>
              <w:bottom w:val="single" w:sz="4" w:space="0" w:color="auto"/>
              <w:right w:val="single" w:sz="4" w:space="0" w:color="auto"/>
            </w:tcBorders>
            <w:shd w:val="clear" w:color="000000" w:fill="FFFFFF"/>
            <w:vAlign w:val="center"/>
            <w:hideMark/>
          </w:tcPr>
          <w:p w14:paraId="519B280F"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c>
          <w:tcPr>
            <w:tcW w:w="976" w:type="dxa"/>
            <w:tcBorders>
              <w:top w:val="nil"/>
              <w:left w:val="nil"/>
              <w:bottom w:val="single" w:sz="4" w:space="0" w:color="auto"/>
              <w:right w:val="single" w:sz="4" w:space="0" w:color="auto"/>
            </w:tcBorders>
            <w:shd w:val="clear" w:color="000000" w:fill="FFFFFF"/>
            <w:vAlign w:val="center"/>
            <w:hideMark/>
          </w:tcPr>
          <w:p w14:paraId="519B2810" w14:textId="77777777" w:rsidR="00B46F67" w:rsidRPr="008E63BB" w:rsidRDefault="00B46F67" w:rsidP="0065184D">
            <w:pPr>
              <w:rPr>
                <w:rFonts w:ascii="Times" w:eastAsia="Times New Roman" w:hAnsi="Times" w:cs="Times"/>
                <w:sz w:val="20"/>
                <w:szCs w:val="20"/>
              </w:rPr>
            </w:pPr>
            <w:r w:rsidRPr="008E63BB">
              <w:rPr>
                <w:rFonts w:ascii="Times" w:eastAsia="Times New Roman" w:hAnsi="Times" w:cs="Times"/>
                <w:sz w:val="20"/>
                <w:szCs w:val="20"/>
              </w:rPr>
              <w:t> </w:t>
            </w:r>
          </w:p>
        </w:tc>
      </w:tr>
    </w:tbl>
    <w:p w14:paraId="519B2812" w14:textId="77777777" w:rsidR="00B46F67" w:rsidRPr="008E63BB" w:rsidRDefault="00B46F67" w:rsidP="0065184D"/>
    <w:tbl>
      <w:tblPr>
        <w:tblW w:w="9182" w:type="dxa"/>
        <w:tblInd w:w="108" w:type="dxa"/>
        <w:tblLayout w:type="fixed"/>
        <w:tblLook w:val="04A0" w:firstRow="1" w:lastRow="0" w:firstColumn="1" w:lastColumn="0" w:noHBand="0" w:noVBand="1"/>
      </w:tblPr>
      <w:tblGrid>
        <w:gridCol w:w="4678"/>
        <w:gridCol w:w="4504"/>
      </w:tblGrid>
      <w:tr w:rsidR="00077538" w:rsidRPr="008E63BB" w14:paraId="519B2815" w14:textId="77777777" w:rsidTr="00F860F0">
        <w:tc>
          <w:tcPr>
            <w:tcW w:w="4678" w:type="dxa"/>
            <w:shd w:val="clear" w:color="auto" w:fill="auto"/>
          </w:tcPr>
          <w:p w14:paraId="519B2813" w14:textId="77777777" w:rsidR="00F67BF3" w:rsidRPr="008E63BB" w:rsidRDefault="00B16653" w:rsidP="0065184D">
            <w:pPr>
              <w:widowControl w:val="0"/>
              <w:ind w:left="-108"/>
              <w:rPr>
                <w:sz w:val="28"/>
                <w:szCs w:val="26"/>
              </w:rPr>
            </w:pPr>
            <w:r w:rsidRPr="008E63BB">
              <w:rPr>
                <w:noProof/>
                <w:lang w:eastAsia="zh-CN"/>
              </w:rPr>
              <w:drawing>
                <wp:inline distT="0" distB="0" distL="0" distR="0" wp14:anchorId="519B51DF" wp14:editId="519B51E0">
                  <wp:extent cx="2914650" cy="193357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914650" cy="1933575"/>
                          </a:xfrm>
                          <a:prstGeom prst="rect">
                            <a:avLst/>
                          </a:prstGeom>
                          <a:noFill/>
                          <a:ln>
                            <a:noFill/>
                          </a:ln>
                        </pic:spPr>
                      </pic:pic>
                    </a:graphicData>
                  </a:graphic>
                </wp:inline>
              </w:drawing>
            </w:r>
          </w:p>
        </w:tc>
        <w:tc>
          <w:tcPr>
            <w:tcW w:w="4504" w:type="dxa"/>
          </w:tcPr>
          <w:p w14:paraId="519B2814" w14:textId="77777777" w:rsidR="00F67BF3" w:rsidRPr="008E63BB" w:rsidRDefault="00B16653" w:rsidP="0065184D">
            <w:pPr>
              <w:widowControl w:val="0"/>
              <w:ind w:left="34" w:right="-140"/>
              <w:rPr>
                <w:sz w:val="28"/>
                <w:szCs w:val="26"/>
              </w:rPr>
            </w:pPr>
            <w:r w:rsidRPr="008E63BB">
              <w:rPr>
                <w:noProof/>
                <w:lang w:eastAsia="zh-CN"/>
              </w:rPr>
              <w:drawing>
                <wp:inline distT="0" distB="0" distL="0" distR="0" wp14:anchorId="519B51E1" wp14:editId="519B51E2">
                  <wp:extent cx="2771775" cy="19335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771775" cy="1933575"/>
                          </a:xfrm>
                          <a:prstGeom prst="rect">
                            <a:avLst/>
                          </a:prstGeom>
                          <a:noFill/>
                          <a:ln>
                            <a:noFill/>
                          </a:ln>
                        </pic:spPr>
                      </pic:pic>
                    </a:graphicData>
                  </a:graphic>
                </wp:inline>
              </w:drawing>
            </w:r>
          </w:p>
        </w:tc>
      </w:tr>
      <w:tr w:rsidR="00077538" w:rsidRPr="008E63BB" w14:paraId="519B2818" w14:textId="77777777" w:rsidTr="00F860F0">
        <w:tc>
          <w:tcPr>
            <w:tcW w:w="4678" w:type="dxa"/>
            <w:shd w:val="clear" w:color="auto" w:fill="auto"/>
            <w:vAlign w:val="center"/>
          </w:tcPr>
          <w:p w14:paraId="519B2816" w14:textId="77777777" w:rsidR="00F67BF3" w:rsidRPr="008E63BB" w:rsidRDefault="00F67BF3" w:rsidP="0065184D">
            <w:pPr>
              <w:widowControl w:val="0"/>
              <w:jc w:val="center"/>
              <w:rPr>
                <w:i/>
                <w:szCs w:val="26"/>
              </w:rPr>
            </w:pPr>
            <w:r w:rsidRPr="008E63BB">
              <w:rPr>
                <w:i/>
                <w:szCs w:val="26"/>
              </w:rPr>
              <w:t xml:space="preserve">Trường PTTH Nguyễn Khuyến </w:t>
            </w:r>
          </w:p>
        </w:tc>
        <w:tc>
          <w:tcPr>
            <w:tcW w:w="4504" w:type="dxa"/>
          </w:tcPr>
          <w:p w14:paraId="519B2817" w14:textId="77777777" w:rsidR="00F67BF3" w:rsidRPr="008E63BB" w:rsidRDefault="00F67BF3" w:rsidP="0065184D">
            <w:pPr>
              <w:widowControl w:val="0"/>
              <w:tabs>
                <w:tab w:val="center" w:pos="2144"/>
                <w:tab w:val="left" w:pos="3513"/>
              </w:tabs>
              <w:rPr>
                <w:i/>
                <w:szCs w:val="26"/>
              </w:rPr>
            </w:pPr>
            <w:r w:rsidRPr="008E63BB">
              <w:rPr>
                <w:i/>
                <w:szCs w:val="26"/>
              </w:rPr>
              <w:tab/>
              <w:t xml:space="preserve">Trường PTTH Lê Hồng Phong </w:t>
            </w:r>
          </w:p>
        </w:tc>
      </w:tr>
      <w:tr w:rsidR="00077538" w:rsidRPr="008E63BB" w14:paraId="519B281B" w14:textId="77777777" w:rsidTr="00F860F0">
        <w:tc>
          <w:tcPr>
            <w:tcW w:w="4678" w:type="dxa"/>
            <w:shd w:val="clear" w:color="auto" w:fill="auto"/>
            <w:vAlign w:val="center"/>
          </w:tcPr>
          <w:p w14:paraId="519B2819" w14:textId="77777777" w:rsidR="00F67BF3" w:rsidRPr="008E63BB" w:rsidRDefault="00B16653" w:rsidP="0065184D">
            <w:pPr>
              <w:widowControl w:val="0"/>
              <w:jc w:val="center"/>
              <w:rPr>
                <w:i/>
                <w:szCs w:val="26"/>
              </w:rPr>
            </w:pPr>
            <w:r w:rsidRPr="008E63BB">
              <w:rPr>
                <w:i/>
                <w:noProof/>
                <w:szCs w:val="26"/>
                <w:lang w:eastAsia="zh-CN"/>
              </w:rPr>
              <w:drawing>
                <wp:inline distT="0" distB="0" distL="0" distR="0" wp14:anchorId="519B51E3" wp14:editId="519B51E4">
                  <wp:extent cx="2838450" cy="187642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838450" cy="1876425"/>
                          </a:xfrm>
                          <a:prstGeom prst="rect">
                            <a:avLst/>
                          </a:prstGeom>
                          <a:noFill/>
                          <a:ln>
                            <a:noFill/>
                          </a:ln>
                        </pic:spPr>
                      </pic:pic>
                    </a:graphicData>
                  </a:graphic>
                </wp:inline>
              </w:drawing>
            </w:r>
          </w:p>
        </w:tc>
        <w:tc>
          <w:tcPr>
            <w:tcW w:w="4504" w:type="dxa"/>
          </w:tcPr>
          <w:p w14:paraId="519B281A" w14:textId="77777777" w:rsidR="00F67BF3" w:rsidRPr="008E63BB" w:rsidRDefault="00B16653" w:rsidP="0065184D">
            <w:pPr>
              <w:widowControl w:val="0"/>
              <w:tabs>
                <w:tab w:val="center" w:pos="2144"/>
                <w:tab w:val="left" w:pos="3513"/>
              </w:tabs>
              <w:rPr>
                <w:i/>
                <w:szCs w:val="26"/>
              </w:rPr>
            </w:pPr>
            <w:r w:rsidRPr="008E63BB">
              <w:rPr>
                <w:i/>
                <w:noProof/>
                <w:szCs w:val="26"/>
                <w:lang w:eastAsia="zh-CN"/>
              </w:rPr>
              <w:drawing>
                <wp:inline distT="0" distB="0" distL="0" distR="0" wp14:anchorId="519B51E5" wp14:editId="519B51E6">
                  <wp:extent cx="2790825" cy="18764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790825" cy="1876425"/>
                          </a:xfrm>
                          <a:prstGeom prst="rect">
                            <a:avLst/>
                          </a:prstGeom>
                          <a:noFill/>
                          <a:ln>
                            <a:noFill/>
                          </a:ln>
                        </pic:spPr>
                      </pic:pic>
                    </a:graphicData>
                  </a:graphic>
                </wp:inline>
              </w:drawing>
            </w:r>
          </w:p>
        </w:tc>
      </w:tr>
      <w:tr w:rsidR="00077538" w:rsidRPr="008E63BB" w14:paraId="519B281E" w14:textId="77777777" w:rsidTr="00F860F0">
        <w:tc>
          <w:tcPr>
            <w:tcW w:w="4678" w:type="dxa"/>
            <w:shd w:val="clear" w:color="auto" w:fill="auto"/>
            <w:vAlign w:val="center"/>
          </w:tcPr>
          <w:p w14:paraId="519B281C" w14:textId="77777777" w:rsidR="00F67BF3" w:rsidRPr="008E63BB" w:rsidRDefault="00F67BF3" w:rsidP="0065184D">
            <w:pPr>
              <w:widowControl w:val="0"/>
              <w:jc w:val="center"/>
              <w:rPr>
                <w:i/>
                <w:szCs w:val="26"/>
              </w:rPr>
            </w:pPr>
            <w:r w:rsidRPr="008E63BB">
              <w:rPr>
                <w:i/>
                <w:szCs w:val="26"/>
              </w:rPr>
              <w:t xml:space="preserve">Trường CĐ Kinh tế - Kỹ thuật CN I </w:t>
            </w:r>
          </w:p>
        </w:tc>
        <w:tc>
          <w:tcPr>
            <w:tcW w:w="4504" w:type="dxa"/>
          </w:tcPr>
          <w:p w14:paraId="519B281D" w14:textId="77777777" w:rsidR="00F67BF3" w:rsidRPr="008E63BB" w:rsidRDefault="00F67BF3" w:rsidP="0065184D">
            <w:pPr>
              <w:widowControl w:val="0"/>
              <w:tabs>
                <w:tab w:val="center" w:pos="2144"/>
                <w:tab w:val="left" w:pos="3513"/>
              </w:tabs>
              <w:rPr>
                <w:i/>
                <w:szCs w:val="26"/>
              </w:rPr>
            </w:pPr>
            <w:r w:rsidRPr="008E63BB">
              <w:rPr>
                <w:i/>
                <w:szCs w:val="26"/>
              </w:rPr>
              <w:t>Trường đại học Sư phạm Kỹ thuật Nam Định</w:t>
            </w:r>
          </w:p>
        </w:tc>
      </w:tr>
    </w:tbl>
    <w:p w14:paraId="519B281F" w14:textId="77777777" w:rsidR="00F67BF3" w:rsidRPr="008E63BB" w:rsidRDefault="009671CF" w:rsidP="003D057A">
      <w:pPr>
        <w:pStyle w:val="Heading3"/>
        <w:spacing w:before="120"/>
      </w:pPr>
      <w:bookmarkStart w:id="189" w:name="_Toc21954832"/>
      <w:bookmarkStart w:id="190" w:name="_Toc21955331"/>
      <w:bookmarkStart w:id="191" w:name="_Toc24361905"/>
      <w:bookmarkStart w:id="192" w:name="_Toc47524664"/>
      <w:r w:rsidRPr="008E63BB">
        <w:t>2.6.3. Các thiế</w:t>
      </w:r>
      <w:r w:rsidR="00267A58" w:rsidRPr="008E63BB">
        <w:t>t chế văn hóa</w:t>
      </w:r>
      <w:bookmarkEnd w:id="189"/>
      <w:bookmarkEnd w:id="190"/>
      <w:bookmarkEnd w:id="191"/>
      <w:bookmarkEnd w:id="192"/>
    </w:p>
    <w:p w14:paraId="519B2820" w14:textId="77777777" w:rsidR="00A12AD3" w:rsidRPr="008E63BB" w:rsidRDefault="00A12AD3" w:rsidP="003D057A">
      <w:pPr>
        <w:widowControl w:val="0"/>
        <w:spacing w:before="120"/>
        <w:rPr>
          <w:i/>
          <w:iCs/>
        </w:rPr>
      </w:pPr>
      <w:r w:rsidRPr="008E63BB">
        <w:rPr>
          <w:i/>
          <w:iCs/>
        </w:rPr>
        <w:t>a. Khu vực thành phố Nam Định</w:t>
      </w:r>
      <w:r w:rsidR="00F67BF3" w:rsidRPr="008E63BB">
        <w:rPr>
          <w:iCs/>
        </w:rPr>
        <w:tab/>
      </w:r>
    </w:p>
    <w:p w14:paraId="519B2821" w14:textId="77777777" w:rsidR="00A12AD3" w:rsidRPr="008E63BB" w:rsidRDefault="00105C76" w:rsidP="003D057A">
      <w:pPr>
        <w:pStyle w:val="Footer"/>
        <w:spacing w:before="120"/>
        <w:rPr>
          <w:iCs/>
        </w:rPr>
      </w:pPr>
      <w:r w:rsidRPr="008E63BB">
        <w:rPr>
          <w:iCs/>
        </w:rPr>
        <w:tab/>
      </w:r>
      <w:r w:rsidR="00F67BF3" w:rsidRPr="008E63BB">
        <w:rPr>
          <w:iCs/>
        </w:rPr>
        <w:t>Trên địa bàn thành phố có trên 125 công trình văn hóa, bao gồm: 1 trung tâm văn hóa thể thao, 1 thư viện thành phố, 1 bảo tàng, 2 rạp chiếu phim, 1 quảng trường lớn và nhiều trung tâm văn hóa khác thuộc các phường trong khu vực nội thành. Nhiều công trình lớn tạo cảnh quan đẹp đã được đầu tư như Đài tưởng niệm liệt sỹ, bảo tàng Tỉnh.</w:t>
      </w:r>
    </w:p>
    <w:p w14:paraId="519B2822" w14:textId="77777777" w:rsidR="00A12AD3" w:rsidRPr="008E63BB" w:rsidRDefault="00A12AD3" w:rsidP="003D057A">
      <w:pPr>
        <w:widowControl w:val="0"/>
        <w:spacing w:before="120"/>
        <w:rPr>
          <w:i/>
          <w:iCs/>
          <w:lang w:val="vi-VN"/>
        </w:rPr>
      </w:pPr>
      <w:r w:rsidRPr="008E63BB">
        <w:rPr>
          <w:i/>
          <w:iCs/>
          <w:lang w:val="vi-VN"/>
        </w:rPr>
        <w:t>b. Khu vực dự kiến mở rộng</w:t>
      </w:r>
    </w:p>
    <w:p w14:paraId="519B2823" w14:textId="77777777" w:rsidR="00F67BF3" w:rsidRPr="008E63BB" w:rsidRDefault="00105C76" w:rsidP="003D057A">
      <w:pPr>
        <w:pStyle w:val="Footer"/>
        <w:spacing w:before="120"/>
        <w:ind w:firstLine="720"/>
      </w:pPr>
      <w:r w:rsidRPr="008E63BB">
        <w:rPr>
          <w:szCs w:val="26"/>
        </w:rPr>
        <w:tab/>
      </w:r>
      <w:r w:rsidR="00135F1B" w:rsidRPr="008E63BB">
        <w:rPr>
          <w:szCs w:val="26"/>
        </w:rPr>
        <w:t>Huyện Mỹ Lộc</w:t>
      </w:r>
      <w:r w:rsidRPr="008E63BB">
        <w:rPr>
          <w:szCs w:val="26"/>
        </w:rPr>
        <w:t xml:space="preserve">: </w:t>
      </w:r>
      <w:r w:rsidRPr="008E63BB">
        <w:rPr>
          <w:szCs w:val="28"/>
          <w:lang w:val="es-ES"/>
        </w:rPr>
        <w:t>72 % khu dân cư xây dựng được nhà văn hóa – khu thể thao xóm (tổ dân phố) có nhà văn hóa diện tích tối thiểu 500m</w:t>
      </w:r>
      <w:r w:rsidRPr="008E63BB">
        <w:rPr>
          <w:szCs w:val="28"/>
          <w:vertAlign w:val="superscript"/>
          <w:lang w:val="es-ES"/>
        </w:rPr>
        <w:t>2</w:t>
      </w:r>
      <w:r w:rsidRPr="008E63BB">
        <w:t>.</w:t>
      </w:r>
    </w:p>
    <w:p w14:paraId="519B2824" w14:textId="77777777" w:rsidR="00E62A41" w:rsidRPr="008E63BB" w:rsidRDefault="00E62A41" w:rsidP="003D057A">
      <w:pPr>
        <w:pStyle w:val="Footer"/>
        <w:spacing w:before="120"/>
        <w:ind w:firstLine="720"/>
      </w:pPr>
      <w:r w:rsidRPr="008E63BB">
        <w:t>Khu vực các xã thuộc huyện Nam Trực và Vụ Bản: không có công trình văn hóa cấp đô thị nằm trong phạm vi nghiên cứu.</w:t>
      </w:r>
      <w:r w:rsidR="00135F1B" w:rsidRPr="008E63BB">
        <w:t xml:space="preserve"> Khoảng 70% </w:t>
      </w:r>
      <w:r w:rsidR="00135F1B" w:rsidRPr="008E63BB">
        <w:rPr>
          <w:szCs w:val="28"/>
          <w:lang w:val="es-ES"/>
        </w:rPr>
        <w:t>khu dân cư xây dựng được nhà văn hóa – khu thể thao xóm.</w:t>
      </w:r>
    </w:p>
    <w:p w14:paraId="519B2825" w14:textId="77777777" w:rsidR="00F67BF3" w:rsidRPr="008E63BB" w:rsidRDefault="00267A58" w:rsidP="0065184D">
      <w:pPr>
        <w:pStyle w:val="Heading3"/>
      </w:pPr>
      <w:bookmarkStart w:id="193" w:name="_Toc21954833"/>
      <w:bookmarkStart w:id="194" w:name="_Toc21955332"/>
      <w:bookmarkStart w:id="195" w:name="_Toc24361906"/>
      <w:bookmarkStart w:id="196" w:name="_Toc47524665"/>
      <w:r w:rsidRPr="008E63BB">
        <w:lastRenderedPageBreak/>
        <w:t>2.6.4</w:t>
      </w:r>
      <w:r w:rsidR="00F67BF3" w:rsidRPr="008E63BB">
        <w:t>.</w:t>
      </w:r>
      <w:r w:rsidRPr="008E63BB">
        <w:t xml:space="preserve"> Các trung tâm thể dục thể thao</w:t>
      </w:r>
      <w:bookmarkEnd w:id="193"/>
      <w:bookmarkEnd w:id="194"/>
      <w:bookmarkEnd w:id="195"/>
      <w:bookmarkEnd w:id="196"/>
    </w:p>
    <w:p w14:paraId="519B2826" w14:textId="77777777" w:rsidR="00A12AD3" w:rsidRPr="008E63BB" w:rsidRDefault="00A12AD3" w:rsidP="0065184D">
      <w:pPr>
        <w:widowControl w:val="0"/>
        <w:rPr>
          <w:i/>
          <w:iCs/>
          <w:lang w:val="pt-BR"/>
        </w:rPr>
      </w:pPr>
      <w:r w:rsidRPr="008E63BB">
        <w:rPr>
          <w:i/>
          <w:iCs/>
          <w:lang w:val="pt-BR"/>
        </w:rPr>
        <w:t>a. Khu vực thành phố Nam Định</w:t>
      </w:r>
    </w:p>
    <w:p w14:paraId="519B2827" w14:textId="77777777" w:rsidR="00F67BF3" w:rsidRPr="008E63BB" w:rsidRDefault="00F67BF3" w:rsidP="0065184D">
      <w:pPr>
        <w:widowControl w:val="0"/>
        <w:ind w:firstLine="567"/>
        <w:rPr>
          <w:szCs w:val="26"/>
          <w:lang w:val="pt-BR"/>
        </w:rPr>
      </w:pPr>
      <w:r w:rsidRPr="008E63BB">
        <w:rPr>
          <w:szCs w:val="26"/>
          <w:lang w:val="pt-BR"/>
        </w:rPr>
        <w:t xml:space="preserve">Toàn thành phố có trên 1.130 công trình thể thao các loại </w:t>
      </w:r>
      <w:r w:rsidRPr="008E63BB">
        <w:rPr>
          <w:i/>
          <w:szCs w:val="26"/>
          <w:lang w:val="pt-BR"/>
        </w:rPr>
        <w:t>(bao gồm: sân vận động, sân bóng đá mini, sân bóng chuyền, sân bóng rổ, sân cầu lông, sân điền kinh, bể bơi, nhà luyện tập thể thao.v.v…).</w:t>
      </w:r>
      <w:r w:rsidRPr="008E63BB">
        <w:rPr>
          <w:szCs w:val="26"/>
          <w:lang w:val="pt-BR"/>
        </w:rPr>
        <w:t xml:space="preserve"> Trong đó, thành phố có gần 70 công trình thể dục thể thao có quy mô lớn đáp ứng được nhu cầu tổ chức các sự kiện thi đấu thể dục thể thao toàn thành phố, tỉnh Nam Định cũng như toàn vùng. </w:t>
      </w:r>
    </w:p>
    <w:p w14:paraId="519B2828" w14:textId="77777777" w:rsidR="00A12AD3" w:rsidRPr="008E63BB" w:rsidRDefault="00F67BF3" w:rsidP="0065184D">
      <w:pPr>
        <w:widowControl w:val="0"/>
        <w:ind w:firstLine="709"/>
        <w:rPr>
          <w:iCs/>
          <w:lang w:val="pt-BR"/>
        </w:rPr>
      </w:pPr>
      <w:r w:rsidRPr="008E63BB">
        <w:rPr>
          <w:iCs/>
          <w:lang w:val="pt-BR"/>
        </w:rPr>
        <w:t>Các công trình đạt tiêu chuẩn quốc gia, quốc tế: nhà thi đấu Trần Quốc Toản, nhà thi đấu trường Đại học Sư phạm kỹ thuật Nam Định, trường Cao đẳng công nghiệp Nam Định, bể bơi Trần Khánh Dư, sân vận động Thiên Trường, Nhà thi đấu thể thao đa năng tỉnh 4000 chỗ ngồi và Bể bơi có mái che. Ngoài ra còn có hệ thống các sân chơi, câu lạc bộ thể thao xã hội hóa khá đa dạng. Thành phố là 1 trong những đô thị có nhiều công trình thể thao lớn nhất cả nước, là trung tâm đào tạo vận động viên thành tích cao của quốc gia ở nhiều bộ môn thể thao.</w:t>
      </w:r>
    </w:p>
    <w:tbl>
      <w:tblPr>
        <w:tblW w:w="0" w:type="auto"/>
        <w:tblInd w:w="108" w:type="dxa"/>
        <w:tblLayout w:type="fixed"/>
        <w:tblLook w:val="04A0" w:firstRow="1" w:lastRow="0" w:firstColumn="1" w:lastColumn="0" w:noHBand="0" w:noVBand="1"/>
      </w:tblPr>
      <w:tblGrid>
        <w:gridCol w:w="4536"/>
        <w:gridCol w:w="4536"/>
      </w:tblGrid>
      <w:tr w:rsidR="00077538" w:rsidRPr="008E63BB" w14:paraId="519B282B" w14:textId="77777777" w:rsidTr="00F860F0">
        <w:tc>
          <w:tcPr>
            <w:tcW w:w="4536" w:type="dxa"/>
            <w:shd w:val="clear" w:color="auto" w:fill="auto"/>
            <w:vAlign w:val="center"/>
          </w:tcPr>
          <w:p w14:paraId="519B2829" w14:textId="77777777" w:rsidR="00F67BF3" w:rsidRPr="008E63BB" w:rsidRDefault="00B16653" w:rsidP="0065184D">
            <w:pPr>
              <w:widowControl w:val="0"/>
              <w:ind w:left="-108"/>
              <w:jc w:val="center"/>
              <w:rPr>
                <w:szCs w:val="26"/>
              </w:rPr>
            </w:pPr>
            <w:r w:rsidRPr="008E63BB">
              <w:rPr>
                <w:noProof/>
                <w:szCs w:val="26"/>
                <w:lang w:eastAsia="zh-CN"/>
              </w:rPr>
              <w:drawing>
                <wp:inline distT="0" distB="0" distL="0" distR="0" wp14:anchorId="519B51E7" wp14:editId="519B51E8">
                  <wp:extent cx="2762250" cy="1914525"/>
                  <wp:effectExtent l="0" t="0" r="0" b="9525"/>
                  <wp:docPr id="95" name="Picture 95" descr="633927513937617500dsc0368920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33927513937617500dsc0368920copy"/>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762250" cy="1914525"/>
                          </a:xfrm>
                          <a:prstGeom prst="rect">
                            <a:avLst/>
                          </a:prstGeom>
                          <a:noFill/>
                          <a:ln>
                            <a:noFill/>
                          </a:ln>
                        </pic:spPr>
                      </pic:pic>
                    </a:graphicData>
                  </a:graphic>
                </wp:inline>
              </w:drawing>
            </w:r>
          </w:p>
        </w:tc>
        <w:tc>
          <w:tcPr>
            <w:tcW w:w="4536" w:type="dxa"/>
            <w:vAlign w:val="center"/>
          </w:tcPr>
          <w:p w14:paraId="519B282A" w14:textId="77777777" w:rsidR="00F67BF3" w:rsidRPr="008E63BB" w:rsidRDefault="00B16653" w:rsidP="0065184D">
            <w:pPr>
              <w:widowControl w:val="0"/>
              <w:ind w:left="34" w:right="-140"/>
              <w:jc w:val="center"/>
              <w:rPr>
                <w:szCs w:val="26"/>
              </w:rPr>
            </w:pPr>
            <w:r w:rsidRPr="008E63BB">
              <w:rPr>
                <w:noProof/>
                <w:szCs w:val="26"/>
                <w:lang w:eastAsia="zh-CN"/>
              </w:rPr>
              <w:drawing>
                <wp:inline distT="0" distB="0" distL="0" distR="0" wp14:anchorId="519B51E9" wp14:editId="519B51EA">
                  <wp:extent cx="2781300" cy="1914525"/>
                  <wp:effectExtent l="0" t="0" r="0" b="9525"/>
                  <wp:docPr id="94" name="Picture 94" descr="nha thi dau tran quoc t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ha thi dau tran quoc toan"/>
                          <pic:cNvPicPr>
                            <a:picLocks noChangeAspect="1" noChangeArrowheads="1"/>
                          </pic:cNvPicPr>
                        </pic:nvPicPr>
                        <pic:blipFill>
                          <a:blip r:embed="rId50">
                            <a:lum contrast="20000"/>
                            <a:extLst>
                              <a:ext uri="{28A0092B-C50C-407E-A947-70E740481C1C}">
                                <a14:useLocalDpi xmlns:a14="http://schemas.microsoft.com/office/drawing/2010/main"/>
                              </a:ext>
                            </a:extLst>
                          </a:blip>
                          <a:srcRect/>
                          <a:stretch>
                            <a:fillRect/>
                          </a:stretch>
                        </pic:blipFill>
                        <pic:spPr bwMode="auto">
                          <a:xfrm>
                            <a:off x="0" y="0"/>
                            <a:ext cx="2781300" cy="1914525"/>
                          </a:xfrm>
                          <a:prstGeom prst="rect">
                            <a:avLst/>
                          </a:prstGeom>
                          <a:noFill/>
                          <a:ln>
                            <a:noFill/>
                          </a:ln>
                        </pic:spPr>
                      </pic:pic>
                    </a:graphicData>
                  </a:graphic>
                </wp:inline>
              </w:drawing>
            </w:r>
          </w:p>
        </w:tc>
      </w:tr>
      <w:tr w:rsidR="00077538" w:rsidRPr="008E63BB" w14:paraId="519B282E" w14:textId="77777777" w:rsidTr="00F860F0">
        <w:tc>
          <w:tcPr>
            <w:tcW w:w="4536" w:type="dxa"/>
            <w:shd w:val="clear" w:color="auto" w:fill="auto"/>
            <w:vAlign w:val="center"/>
          </w:tcPr>
          <w:p w14:paraId="519B282C" w14:textId="77777777" w:rsidR="00F67BF3" w:rsidRPr="008E63BB" w:rsidRDefault="00F67BF3" w:rsidP="0065184D">
            <w:pPr>
              <w:widowControl w:val="0"/>
              <w:jc w:val="center"/>
              <w:rPr>
                <w:i/>
                <w:szCs w:val="26"/>
              </w:rPr>
            </w:pPr>
            <w:r w:rsidRPr="008E63BB">
              <w:rPr>
                <w:i/>
                <w:szCs w:val="26"/>
              </w:rPr>
              <w:t xml:space="preserve">Sân vận động Thiên Trường </w:t>
            </w:r>
          </w:p>
        </w:tc>
        <w:tc>
          <w:tcPr>
            <w:tcW w:w="4536" w:type="dxa"/>
            <w:vAlign w:val="center"/>
          </w:tcPr>
          <w:p w14:paraId="519B282D" w14:textId="77777777" w:rsidR="00F67BF3" w:rsidRPr="008E63BB" w:rsidRDefault="00F67BF3" w:rsidP="0065184D">
            <w:pPr>
              <w:widowControl w:val="0"/>
              <w:tabs>
                <w:tab w:val="center" w:pos="2144"/>
                <w:tab w:val="left" w:pos="3513"/>
              </w:tabs>
              <w:jc w:val="center"/>
              <w:rPr>
                <w:i/>
                <w:szCs w:val="26"/>
              </w:rPr>
            </w:pPr>
            <w:r w:rsidRPr="008E63BB">
              <w:rPr>
                <w:i/>
                <w:szCs w:val="26"/>
              </w:rPr>
              <w:t>Nhà thi đấu Trần Quốc Toản</w:t>
            </w:r>
          </w:p>
        </w:tc>
      </w:tr>
    </w:tbl>
    <w:p w14:paraId="519B282F" w14:textId="77777777" w:rsidR="00A12AD3" w:rsidRPr="008E63BB" w:rsidRDefault="00A12AD3" w:rsidP="0065184D">
      <w:pPr>
        <w:widowControl w:val="0"/>
        <w:rPr>
          <w:i/>
          <w:iCs/>
        </w:rPr>
      </w:pPr>
      <w:r w:rsidRPr="008E63BB">
        <w:rPr>
          <w:i/>
          <w:iCs/>
        </w:rPr>
        <w:t>b. Khu vực dự kiến mở rộng</w:t>
      </w:r>
    </w:p>
    <w:p w14:paraId="519B2830" w14:textId="77777777" w:rsidR="00CF7BD6" w:rsidRPr="008E63BB" w:rsidRDefault="00CF7BD6" w:rsidP="0065184D">
      <w:pPr>
        <w:ind w:firstLine="720"/>
      </w:pPr>
      <w:r w:rsidRPr="008E63BB">
        <w:t xml:space="preserve">Huyện Mỹ Lộc đã có nhà thi đấu cầu lông, sân vận động. </w:t>
      </w:r>
      <w:r w:rsidRPr="008E63BB">
        <w:rPr>
          <w:lang w:val="es-ES"/>
        </w:rPr>
        <w:t>Tất cả các xã, thị trấ</w:t>
      </w:r>
      <w:r w:rsidR="00951120" w:rsidRPr="008E63BB">
        <w:rPr>
          <w:lang w:val="es-ES"/>
        </w:rPr>
        <w:t>n</w:t>
      </w:r>
      <w:r w:rsidRPr="008E63BB">
        <w:rPr>
          <w:lang w:val="es-ES"/>
        </w:rPr>
        <w:t xml:space="preserve"> đã </w:t>
      </w:r>
      <w:r w:rsidRPr="008E63BB">
        <w:t>có sân vận động quy hoạch theo tiêu chí nông thôn mới</w:t>
      </w:r>
      <w:r w:rsidR="004420B4" w:rsidRPr="008E63BB">
        <w:t>.</w:t>
      </w:r>
    </w:p>
    <w:p w14:paraId="519B2831" w14:textId="77777777" w:rsidR="00A12AD3" w:rsidRPr="008E63BB" w:rsidRDefault="00E62A41" w:rsidP="0065184D">
      <w:pPr>
        <w:ind w:firstLine="720"/>
        <w:rPr>
          <w:b/>
          <w:bCs/>
          <w:i/>
        </w:rPr>
      </w:pPr>
      <w:r w:rsidRPr="008E63BB">
        <w:t>Khu vực các xã thuộc huyện Nam Trực và Vụ Bản: không có công trình TDTT cấp đô thị nằm trong phạm vi nghiên cứu.</w:t>
      </w:r>
    </w:p>
    <w:p w14:paraId="519B2832" w14:textId="77777777" w:rsidR="004C4BFE" w:rsidRPr="008E63BB" w:rsidRDefault="00267A58" w:rsidP="0065184D">
      <w:pPr>
        <w:pStyle w:val="Heading3"/>
      </w:pPr>
      <w:bookmarkStart w:id="197" w:name="_Toc21954834"/>
      <w:bookmarkStart w:id="198" w:name="_Toc21955333"/>
      <w:bookmarkStart w:id="199" w:name="_Toc24361907"/>
      <w:bookmarkStart w:id="200" w:name="_Toc47524666"/>
      <w:r w:rsidRPr="008E63BB">
        <w:t>2.6.5</w:t>
      </w:r>
      <w:r w:rsidR="004C4BFE" w:rsidRPr="008E63BB">
        <w:t>. Công viên cây xanh</w:t>
      </w:r>
      <w:bookmarkEnd w:id="197"/>
      <w:bookmarkEnd w:id="198"/>
      <w:bookmarkEnd w:id="199"/>
      <w:bookmarkEnd w:id="200"/>
    </w:p>
    <w:p w14:paraId="519B2833" w14:textId="77777777" w:rsidR="00A12AD3" w:rsidRPr="008E63BB" w:rsidRDefault="00A12AD3" w:rsidP="0065184D">
      <w:pPr>
        <w:widowControl w:val="0"/>
        <w:rPr>
          <w:i/>
          <w:iCs/>
        </w:rPr>
      </w:pPr>
      <w:r w:rsidRPr="008E63BB">
        <w:rPr>
          <w:i/>
          <w:iCs/>
        </w:rPr>
        <w:t>a. Khu vực thành phố Nam Định</w:t>
      </w:r>
    </w:p>
    <w:p w14:paraId="519B2834" w14:textId="77777777" w:rsidR="00B03746" w:rsidRPr="008E63BB" w:rsidRDefault="00B03746" w:rsidP="0065184D">
      <w:pPr>
        <w:widowControl w:val="0"/>
        <w:ind w:firstLine="720"/>
        <w:rPr>
          <w:iCs/>
        </w:rPr>
      </w:pPr>
      <w:r w:rsidRPr="008E63BB">
        <w:rPr>
          <w:iCs/>
        </w:rPr>
        <w:t xml:space="preserve">Hiện tại, trên địa bàn thành phố có 6 công viên chính gồm Vị Xuyên, Vị Hoàng, Đông hồ Truyền Thống, Prato, Tức Mặc, Đầm Bét, Đầm Đọ với tổng </w:t>
      </w:r>
      <w:r w:rsidR="00F945EA" w:rsidRPr="008E63BB">
        <w:rPr>
          <w:iCs/>
        </w:rPr>
        <w:t>diện tích là hơn 25,7ha</w:t>
      </w:r>
      <w:r w:rsidRPr="008E63BB">
        <w:rPr>
          <w:iCs/>
        </w:rPr>
        <w:t>. Cùng với đó là hệ thống vườn hoa, cây cảnh phong phú kết hợp với các dải phân cách, đảo giao thông được phủ xanh bằng hoa, cây màu trang trí, tạo không gian xanh xen kẽ hài hòa giữa các khu dân cư và các tuyến phố.</w:t>
      </w:r>
    </w:p>
    <w:p w14:paraId="519B2835" w14:textId="77777777" w:rsidR="001F16B3" w:rsidRPr="008E63BB" w:rsidRDefault="001F16B3" w:rsidP="0065184D">
      <w:pPr>
        <w:widowControl w:val="0"/>
        <w:ind w:firstLine="720"/>
        <w:rPr>
          <w:iCs/>
        </w:rPr>
      </w:pPr>
      <w:r w:rsidRPr="008E63BB">
        <w:rPr>
          <w:iCs/>
        </w:rPr>
        <w:t>Công viên Vị Xuyên ở trung tâm thành phố, gắn với hồ Vị Xuyên và Tượng đài Hưng Đạo Đại Vương Trần Quốc Tuấn được đặt trước Nhà hát 3/2 bên bờ hồ, mộ cụ Trần Tế Xương.</w:t>
      </w:r>
    </w:p>
    <w:p w14:paraId="519B2836" w14:textId="77777777" w:rsidR="00A5127F" w:rsidRPr="008E63BB" w:rsidRDefault="00A5127F" w:rsidP="0065184D">
      <w:pPr>
        <w:widowControl w:val="0"/>
        <w:ind w:firstLine="720"/>
        <w:rPr>
          <w:iCs/>
        </w:rPr>
      </w:pPr>
      <w:r w:rsidRPr="008E63BB">
        <w:rPr>
          <w:iCs/>
        </w:rPr>
        <w:t>Công viên Tức Mặc được xây dựng trên 2 hòn đảo nổi giữa mặt hồ Truyền Thống – Một công viên lớn về quy mô, đẹp về cảnh quan, giàu tính văn hoá, bản sắc, nghệ thuật, tính nhân văn, mang đậm chất thiền. Đây là công trình được xây dựng theo kiến trúc nghệ thuật sắp đặt đầu tiên tại Việt Nam. Trong công viên quanh năm khói sương bao phủ khiến cho nơi đây lúc nào cũng mang một vẻ hoang sơ, tĩnh lặng, quyến rũ đầy hư ảo.</w:t>
      </w:r>
      <w:r w:rsidR="00B03746" w:rsidRPr="008E63BB">
        <w:rPr>
          <w:iCs/>
        </w:rPr>
        <w:t xml:space="preserve"> Công viên Tức Mặc gắn liền với Khu di tích lịch sử </w:t>
      </w:r>
      <w:r w:rsidR="00A25035" w:rsidRPr="008E63BB">
        <w:rPr>
          <w:iCs/>
        </w:rPr>
        <w:t xml:space="preserve">Hành cung Thiên Trường </w:t>
      </w:r>
      <w:r w:rsidR="00B03746" w:rsidRPr="008E63BB">
        <w:rPr>
          <w:iCs/>
        </w:rPr>
        <w:t xml:space="preserve">thành một quần thể văn hóa với những công trình hồ nước, cây xanh, hệ thống cầu và đặc biệt là công trình bảo tàng cổ vật xây dựng trong những năm chiến đấu ác liệt của </w:t>
      </w:r>
      <w:r w:rsidR="00B03746" w:rsidRPr="008E63BB">
        <w:rPr>
          <w:iCs/>
        </w:rPr>
        <w:lastRenderedPageBreak/>
        <w:t>cuộc kháng chiến chống Mỹ. Đây là một trong những công trình mang dấu ấn chủ nghĩa biểu hiện, do chính kiến trúc sư lão thành Nguyễn Cao Luyện thiết kế.</w:t>
      </w:r>
    </w:p>
    <w:p w14:paraId="519B2837" w14:textId="77777777" w:rsidR="00EC727C" w:rsidRPr="008E63BB" w:rsidRDefault="00EC727C" w:rsidP="0065184D">
      <w:pPr>
        <w:widowControl w:val="0"/>
        <w:ind w:firstLine="720"/>
        <w:rPr>
          <w:iCs/>
        </w:rPr>
      </w:pPr>
      <w:r w:rsidRPr="008E63BB">
        <w:rPr>
          <w:iCs/>
        </w:rPr>
        <w:t>Việc đầu tư hoàn thiện hệ thống các công viên, cây xanh, các tuyến đường mới mở đã tạo điều kiện cho người dân được tham gia phát triển các phong trào văn hóa thể dục thể thao quần chúng vừa phục vụ đời sống tinh thần cho người dân.</w:t>
      </w:r>
    </w:p>
    <w:p w14:paraId="519B2838" w14:textId="77777777" w:rsidR="00A12AD3" w:rsidRPr="008E63BB" w:rsidRDefault="00A12AD3" w:rsidP="0065184D">
      <w:pPr>
        <w:widowControl w:val="0"/>
        <w:rPr>
          <w:i/>
          <w:iCs/>
        </w:rPr>
      </w:pPr>
      <w:r w:rsidRPr="008E63BB">
        <w:rPr>
          <w:i/>
          <w:iCs/>
        </w:rPr>
        <w:t>b. Khu vực dự kiến mở rộng</w:t>
      </w:r>
    </w:p>
    <w:p w14:paraId="519B2839" w14:textId="77777777" w:rsidR="00A12AD3" w:rsidRPr="008E63BB" w:rsidRDefault="000F4944" w:rsidP="0065184D">
      <w:pPr>
        <w:widowControl w:val="0"/>
        <w:ind w:firstLine="720"/>
        <w:rPr>
          <w:iCs/>
        </w:rPr>
      </w:pPr>
      <w:r w:rsidRPr="008E63BB">
        <w:rPr>
          <w:iCs/>
        </w:rPr>
        <w:t xml:space="preserve">Chưa có các khu công viên cây xanh tập trung. Chỉ có các vườn hoa nhỏ rải rác trong các khu dân cư, khu vực trung tâm hành chính </w:t>
      </w:r>
      <w:r w:rsidR="00F945EA" w:rsidRPr="008E63BB">
        <w:rPr>
          <w:iCs/>
        </w:rPr>
        <w:t>huyện Mỹ Lộc</w:t>
      </w:r>
      <w:r w:rsidRPr="008E63BB">
        <w:rPr>
          <w:iCs/>
        </w:rPr>
        <w:t>.</w:t>
      </w:r>
    </w:p>
    <w:p w14:paraId="519B283A" w14:textId="77777777" w:rsidR="00A5127F" w:rsidRPr="008E63BB" w:rsidRDefault="00267A58" w:rsidP="0065184D">
      <w:pPr>
        <w:pStyle w:val="Heading3"/>
      </w:pPr>
      <w:bookmarkStart w:id="201" w:name="_Toc21954835"/>
      <w:bookmarkStart w:id="202" w:name="_Toc21955334"/>
      <w:bookmarkStart w:id="203" w:name="_Toc24361908"/>
      <w:bookmarkStart w:id="204" w:name="_Toc47524667"/>
      <w:r w:rsidRPr="008E63BB">
        <w:t>2.6.6</w:t>
      </w:r>
      <w:r w:rsidR="00A5127F" w:rsidRPr="008E63BB">
        <w:t>. Các t</w:t>
      </w:r>
      <w:r w:rsidRPr="008E63BB">
        <w:t>rung tâm thương mại dịch vụ</w:t>
      </w:r>
      <w:bookmarkEnd w:id="201"/>
      <w:bookmarkEnd w:id="202"/>
      <w:bookmarkEnd w:id="203"/>
      <w:bookmarkEnd w:id="204"/>
    </w:p>
    <w:p w14:paraId="519B283B" w14:textId="77777777" w:rsidR="00A12AD3" w:rsidRPr="008E63BB" w:rsidRDefault="00A12AD3" w:rsidP="0065184D">
      <w:pPr>
        <w:widowControl w:val="0"/>
        <w:rPr>
          <w:i/>
          <w:iCs/>
          <w:lang w:val="pt-BR"/>
        </w:rPr>
      </w:pPr>
      <w:r w:rsidRPr="008E63BB">
        <w:rPr>
          <w:i/>
          <w:iCs/>
          <w:lang w:val="pt-BR"/>
        </w:rPr>
        <w:t>a. Khu vực thành phố Nam Định</w:t>
      </w:r>
    </w:p>
    <w:p w14:paraId="519B283C" w14:textId="77777777" w:rsidR="002066A6" w:rsidRPr="008E63BB" w:rsidRDefault="009671CF" w:rsidP="0065184D">
      <w:pPr>
        <w:widowControl w:val="0"/>
        <w:ind w:firstLine="567"/>
        <w:rPr>
          <w:szCs w:val="26"/>
          <w:lang w:val="pt-BR"/>
        </w:rPr>
      </w:pPr>
      <w:r w:rsidRPr="008E63BB">
        <w:rPr>
          <w:bCs/>
          <w:spacing w:val="6"/>
          <w:szCs w:val="26"/>
          <w:lang w:val="pt-BR"/>
        </w:rPr>
        <w:t xml:space="preserve">TP Nam Định </w:t>
      </w:r>
      <w:r w:rsidRPr="008E63BB">
        <w:rPr>
          <w:szCs w:val="26"/>
          <w:lang w:val="vi-VN"/>
        </w:rPr>
        <w:t>có</w:t>
      </w:r>
      <w:r w:rsidRPr="008E63BB">
        <w:rPr>
          <w:szCs w:val="26"/>
          <w:lang w:val="pt-BR"/>
        </w:rPr>
        <w:t xml:space="preserve"> 20 chợ</w:t>
      </w:r>
      <w:r w:rsidR="006F67D0" w:rsidRPr="008E63BB">
        <w:rPr>
          <w:szCs w:val="26"/>
          <w:lang w:val="pt-BR"/>
        </w:rPr>
        <w:t xml:space="preserve">, 3 trung tâm thương mại, 12 </w:t>
      </w:r>
      <w:r w:rsidR="006F67D0" w:rsidRPr="008E63BB">
        <w:rPr>
          <w:lang w:val="pt-BR"/>
        </w:rPr>
        <w:t>cửa hàng tiện dụng của hệ thống Vinmart</w:t>
      </w:r>
      <w:r w:rsidRPr="008E63BB">
        <w:rPr>
          <w:szCs w:val="26"/>
          <w:lang w:val="pt-BR"/>
        </w:rPr>
        <w:t>và 11 siêu thị đang hoạt động. Trong đó, 02 chợ hạng I (Chợ Rồng – Trần Hưng Đạo – Bà Triệu, chợ Mỹ Tho – Quang Trung – Bà Triệu)</w:t>
      </w:r>
      <w:r w:rsidRPr="008E63BB">
        <w:rPr>
          <w:szCs w:val="26"/>
          <w:lang w:val="vi-VN"/>
        </w:rPr>
        <w:t>,</w:t>
      </w:r>
      <w:r w:rsidRPr="008E63BB">
        <w:rPr>
          <w:szCs w:val="26"/>
          <w:lang w:val="pt-BR"/>
        </w:rPr>
        <w:t xml:space="preserve"> 02 chợ hạng II (Chợ </w:t>
      </w:r>
      <w:r w:rsidR="00450752" w:rsidRPr="008E63BB">
        <w:rPr>
          <w:szCs w:val="26"/>
          <w:lang w:val="pt-BR"/>
        </w:rPr>
        <w:t>Nam Định</w:t>
      </w:r>
      <w:r w:rsidRPr="008E63BB">
        <w:rPr>
          <w:szCs w:val="26"/>
          <w:lang w:val="pt-BR"/>
        </w:rPr>
        <w:t xml:space="preserve"> – Phù Nghĩa – </w:t>
      </w:r>
      <w:r w:rsidR="00450752" w:rsidRPr="008E63BB">
        <w:rPr>
          <w:szCs w:val="26"/>
          <w:lang w:val="pt-BR"/>
        </w:rPr>
        <w:t>Nam Định</w:t>
      </w:r>
      <w:r w:rsidRPr="008E63BB">
        <w:rPr>
          <w:szCs w:val="26"/>
          <w:lang w:val="pt-BR"/>
        </w:rPr>
        <w:t xml:space="preserve">, Chợ Phù Long – Trần Nhật Duật – Vỵ Xuyên), </w:t>
      </w:r>
      <w:r w:rsidRPr="008E63BB">
        <w:rPr>
          <w:lang w:val="pt-BR" w:eastAsia="vi-VN"/>
        </w:rPr>
        <w:t xml:space="preserve">16 chợ  hạng  III, </w:t>
      </w:r>
      <w:r w:rsidRPr="008E63BB">
        <w:rPr>
          <w:szCs w:val="26"/>
          <w:lang w:val="pt-BR"/>
        </w:rPr>
        <w:t>đảm bảo phục vụ nhu cầu của nhân dân. Chợ Rồng Nam Định đã nổi tiếng sầm uất từ thời thuộc Pháp.</w:t>
      </w:r>
    </w:p>
    <w:p w14:paraId="519B283D" w14:textId="77777777" w:rsidR="00A5127F" w:rsidRPr="008E63BB" w:rsidRDefault="00EC727C" w:rsidP="0065184D">
      <w:pPr>
        <w:widowControl w:val="0"/>
        <w:ind w:firstLine="567"/>
        <w:rPr>
          <w:bCs/>
          <w:spacing w:val="6"/>
          <w:szCs w:val="26"/>
          <w:lang w:val="pt-BR"/>
        </w:rPr>
      </w:pPr>
      <w:r w:rsidRPr="008E63BB">
        <w:rPr>
          <w:bCs/>
          <w:spacing w:val="6"/>
          <w:szCs w:val="26"/>
          <w:lang w:val="pt-BR"/>
        </w:rPr>
        <w:t xml:space="preserve">Hệ thống thương mại, dịch vụ và xuất khẩu của thành phố phát triển nhanh, đa dạng, được quan tâm trong chiến lược phát triển kinh tế của thành phố. Trên địa bàn thành phố có hơn 600 doanh nghiệp hoạt động trong lĩnh vực thương mại - dịch vụ và khoảng 12.500 hộ kinh doanh các loại hình dịch vụ tại 336 tuyến phố thương mại, các chợ truyền thống, trung tâm thương mại, siêu thị. Hệ thống siêu thị, cửa hàng chuyên doanh, cửa hàng tự chọn, chợ đầu mối có cơ sở hạ tầng hiện đại như: Big C, Micom Plaza, Media Mart, Trần Anh, Thế giới di động, siêu thị FPT, Viễn thông, Điện máy Xanh... được đầu tư mới, cải tạo, nâng cấp và tích hợp với các dịch vụ vui chơi, giải trí đáp ứng nhu cầu giao thương không chỉ cho nhân dân trong tỉnh mà thu hút cả người tiêu dùng khu vực lân cận, góp phần thúc đẩy giao lưu hàng hoá, mang lại diện mạo mới cho thương mại thành phố. </w:t>
      </w:r>
      <w:r w:rsidR="00223183" w:rsidRPr="008E63BB">
        <w:rPr>
          <w:bCs/>
          <w:spacing w:val="6"/>
          <w:szCs w:val="26"/>
          <w:lang w:val="pt-BR"/>
        </w:rPr>
        <w:t xml:space="preserve">Khu thương mại - du lịch - dịch vụ khách sạn đô thị mới Hòa Vượng cũng đã được hình thành. </w:t>
      </w:r>
    </w:p>
    <w:tbl>
      <w:tblPr>
        <w:tblW w:w="9528" w:type="dxa"/>
        <w:tblInd w:w="78" w:type="dxa"/>
        <w:tblLayout w:type="fixed"/>
        <w:tblLook w:val="04A0" w:firstRow="1" w:lastRow="0" w:firstColumn="1" w:lastColumn="0" w:noHBand="0" w:noVBand="1"/>
      </w:tblPr>
      <w:tblGrid>
        <w:gridCol w:w="4693"/>
        <w:gridCol w:w="4835"/>
      </w:tblGrid>
      <w:tr w:rsidR="00077538" w:rsidRPr="008E63BB" w14:paraId="519B2840" w14:textId="77777777" w:rsidTr="004C11BD">
        <w:tc>
          <w:tcPr>
            <w:tcW w:w="4693" w:type="dxa"/>
            <w:shd w:val="clear" w:color="auto" w:fill="auto"/>
          </w:tcPr>
          <w:p w14:paraId="519B283E" w14:textId="77777777" w:rsidR="00A5127F" w:rsidRPr="008E63BB" w:rsidRDefault="00B16653" w:rsidP="0065184D">
            <w:pPr>
              <w:widowControl w:val="0"/>
              <w:ind w:left="-108"/>
              <w:rPr>
                <w:sz w:val="28"/>
                <w:szCs w:val="26"/>
              </w:rPr>
            </w:pPr>
            <w:r w:rsidRPr="008E63BB">
              <w:rPr>
                <w:noProof/>
                <w:lang w:eastAsia="zh-CN"/>
              </w:rPr>
              <w:drawing>
                <wp:inline distT="0" distB="0" distL="0" distR="0" wp14:anchorId="519B51EB" wp14:editId="519B51EC">
                  <wp:extent cx="2926080" cy="1920240"/>
                  <wp:effectExtent l="0" t="0" r="762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screen">
                            <a:lum contrast="20000"/>
                            <a:extLst>
                              <a:ext uri="{28A0092B-C50C-407E-A947-70E740481C1C}">
                                <a14:useLocalDpi xmlns:a14="http://schemas.microsoft.com/office/drawing/2010/main"/>
                              </a:ext>
                            </a:extLst>
                          </a:blip>
                          <a:srcRect/>
                          <a:stretch>
                            <a:fillRect/>
                          </a:stretch>
                        </pic:blipFill>
                        <pic:spPr bwMode="auto">
                          <a:xfrm>
                            <a:off x="0" y="0"/>
                            <a:ext cx="2926080" cy="1920240"/>
                          </a:xfrm>
                          <a:prstGeom prst="rect">
                            <a:avLst/>
                          </a:prstGeom>
                          <a:noFill/>
                          <a:ln>
                            <a:noFill/>
                          </a:ln>
                        </pic:spPr>
                      </pic:pic>
                    </a:graphicData>
                  </a:graphic>
                </wp:inline>
              </w:drawing>
            </w:r>
          </w:p>
        </w:tc>
        <w:tc>
          <w:tcPr>
            <w:tcW w:w="4835" w:type="dxa"/>
          </w:tcPr>
          <w:p w14:paraId="519B283F" w14:textId="77777777" w:rsidR="00A5127F" w:rsidRPr="008E63BB" w:rsidRDefault="00B16653" w:rsidP="0065184D">
            <w:pPr>
              <w:widowControl w:val="0"/>
              <w:ind w:right="-140"/>
              <w:rPr>
                <w:sz w:val="28"/>
                <w:szCs w:val="26"/>
              </w:rPr>
            </w:pPr>
            <w:r w:rsidRPr="008E63BB">
              <w:rPr>
                <w:noProof/>
                <w:lang w:eastAsia="zh-CN"/>
              </w:rPr>
              <w:drawing>
                <wp:inline distT="0" distB="0" distL="0" distR="0" wp14:anchorId="519B51ED" wp14:editId="519B51EE">
                  <wp:extent cx="2743200" cy="2011680"/>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screen">
                            <a:lum bright="24000" contrast="40000"/>
                            <a:extLst>
                              <a:ext uri="{28A0092B-C50C-407E-A947-70E740481C1C}">
                                <a14:useLocalDpi xmlns:a14="http://schemas.microsoft.com/office/drawing/2010/main"/>
                              </a:ext>
                            </a:extLst>
                          </a:blip>
                          <a:srcRect/>
                          <a:stretch>
                            <a:fillRect/>
                          </a:stretch>
                        </pic:blipFill>
                        <pic:spPr bwMode="auto">
                          <a:xfrm>
                            <a:off x="0" y="0"/>
                            <a:ext cx="2743200" cy="2011680"/>
                          </a:xfrm>
                          <a:prstGeom prst="rect">
                            <a:avLst/>
                          </a:prstGeom>
                          <a:noFill/>
                          <a:ln>
                            <a:noFill/>
                          </a:ln>
                        </pic:spPr>
                      </pic:pic>
                    </a:graphicData>
                  </a:graphic>
                </wp:inline>
              </w:drawing>
            </w:r>
          </w:p>
        </w:tc>
      </w:tr>
      <w:tr w:rsidR="00077538" w:rsidRPr="008E63BB" w14:paraId="519B2843" w14:textId="77777777" w:rsidTr="004C11BD">
        <w:tc>
          <w:tcPr>
            <w:tcW w:w="4693" w:type="dxa"/>
            <w:shd w:val="clear" w:color="auto" w:fill="auto"/>
            <w:vAlign w:val="center"/>
          </w:tcPr>
          <w:p w14:paraId="519B2841" w14:textId="77777777" w:rsidR="00A5127F" w:rsidRPr="008E63BB" w:rsidRDefault="00A5127F" w:rsidP="0065184D">
            <w:pPr>
              <w:widowControl w:val="0"/>
              <w:jc w:val="center"/>
              <w:rPr>
                <w:i/>
                <w:szCs w:val="26"/>
              </w:rPr>
            </w:pPr>
            <w:r w:rsidRPr="008E63BB">
              <w:rPr>
                <w:i/>
                <w:szCs w:val="26"/>
              </w:rPr>
              <w:t xml:space="preserve">Chợ Rồng – Tp. Nam Định </w:t>
            </w:r>
          </w:p>
        </w:tc>
        <w:tc>
          <w:tcPr>
            <w:tcW w:w="4835" w:type="dxa"/>
          </w:tcPr>
          <w:p w14:paraId="519B2842" w14:textId="77777777" w:rsidR="00A5127F" w:rsidRPr="008E63BB" w:rsidRDefault="00A5127F" w:rsidP="0065184D">
            <w:pPr>
              <w:widowControl w:val="0"/>
              <w:ind w:right="176"/>
              <w:jc w:val="center"/>
              <w:rPr>
                <w:i/>
                <w:szCs w:val="26"/>
              </w:rPr>
            </w:pPr>
            <w:r w:rsidRPr="008E63BB">
              <w:rPr>
                <w:i/>
                <w:szCs w:val="26"/>
              </w:rPr>
              <w:t>Trung tâm thương mại Thiên Trường – Big C Nam Định</w:t>
            </w:r>
          </w:p>
        </w:tc>
      </w:tr>
    </w:tbl>
    <w:p w14:paraId="519B2844" w14:textId="77777777" w:rsidR="00A12AD3" w:rsidRPr="008E63BB" w:rsidRDefault="00A12AD3" w:rsidP="0065184D">
      <w:pPr>
        <w:widowControl w:val="0"/>
        <w:rPr>
          <w:i/>
          <w:iCs/>
        </w:rPr>
      </w:pPr>
      <w:r w:rsidRPr="008E63BB">
        <w:rPr>
          <w:i/>
          <w:iCs/>
        </w:rPr>
        <w:t>b. Khu vực dự kiến mở rộng</w:t>
      </w:r>
    </w:p>
    <w:p w14:paraId="519B2845" w14:textId="77777777" w:rsidR="00993172" w:rsidRPr="008E63BB" w:rsidRDefault="00951120" w:rsidP="0065184D">
      <w:pPr>
        <w:widowControl w:val="0"/>
        <w:rPr>
          <w:bCs/>
          <w:spacing w:val="6"/>
          <w:szCs w:val="26"/>
        </w:rPr>
      </w:pPr>
      <w:r w:rsidRPr="008E63BB">
        <w:rPr>
          <w:bCs/>
          <w:spacing w:val="6"/>
          <w:szCs w:val="26"/>
        </w:rPr>
        <w:tab/>
        <w:t>Chủ yếu là chợ dân sinh các xã phục vụ nhu cầu thiết yếu của dân cư hàng ngày, không có chợ đầu mối lớn.</w:t>
      </w:r>
    </w:p>
    <w:p w14:paraId="519B2846" w14:textId="77777777" w:rsidR="00F67BF3" w:rsidRPr="008E63BB" w:rsidRDefault="00993172" w:rsidP="0065184D">
      <w:pPr>
        <w:widowControl w:val="0"/>
        <w:jc w:val="center"/>
        <w:rPr>
          <w:bCs/>
          <w:i/>
          <w:spacing w:val="6"/>
          <w:szCs w:val="26"/>
        </w:rPr>
      </w:pPr>
      <w:r w:rsidRPr="008E63BB">
        <w:rPr>
          <w:bCs/>
          <w:i/>
          <w:spacing w:val="6"/>
          <w:szCs w:val="26"/>
        </w:rPr>
        <w:t>(chi tiết xem phụ lục)</w:t>
      </w:r>
    </w:p>
    <w:p w14:paraId="519B2847" w14:textId="77777777" w:rsidR="008D6019" w:rsidRPr="008E63BB" w:rsidRDefault="008D6019" w:rsidP="00BF0F0C">
      <w:pPr>
        <w:widowControl w:val="0"/>
        <w:ind w:firstLine="720"/>
        <w:rPr>
          <w:bCs/>
          <w:spacing w:val="6"/>
          <w:szCs w:val="26"/>
        </w:rPr>
      </w:pPr>
      <w:r w:rsidRPr="008E63BB">
        <w:rPr>
          <w:bCs/>
          <w:i/>
          <w:spacing w:val="6"/>
          <w:szCs w:val="26"/>
        </w:rPr>
        <w:t>Đánh giá:</w:t>
      </w:r>
      <w:r w:rsidRPr="008E63BB">
        <w:rPr>
          <w:bCs/>
          <w:spacing w:val="6"/>
          <w:szCs w:val="26"/>
        </w:rPr>
        <w:t xml:space="preserve"> Nhìn chung, quy mô hệ thống công trình thương mại hiện có đáp ứng đủ nhu cầu của người dân thành phố và khu vực lân cận nhưng các công trình dịch vụ còn thiếu, chưa đa dạng loại hình. Để đáp ứng được yêu cầu phát triển trong </w:t>
      </w:r>
      <w:r w:rsidRPr="008E63BB">
        <w:rPr>
          <w:bCs/>
          <w:spacing w:val="6"/>
          <w:szCs w:val="26"/>
        </w:rPr>
        <w:lastRenderedPageBreak/>
        <w:t>tương lai, thành phố Nam Định và khu vực mở rộng cần hình thành thêm không chỉ các khu trung tâm thương mại, chợ đầu mối</w:t>
      </w:r>
      <w:r w:rsidR="00BF0F0C" w:rsidRPr="008E63BB">
        <w:rPr>
          <w:bCs/>
          <w:spacing w:val="6"/>
          <w:szCs w:val="26"/>
        </w:rPr>
        <w:t>…</w:t>
      </w:r>
      <w:r w:rsidRPr="008E63BB">
        <w:rPr>
          <w:bCs/>
          <w:spacing w:val="6"/>
          <w:szCs w:val="26"/>
        </w:rPr>
        <w:t xml:space="preserve"> mà còn cần phát triển thêm các quỹ đất dành cho các công trình dịch vụ, </w:t>
      </w:r>
      <w:r w:rsidR="00BF0F0C" w:rsidRPr="008E63BB">
        <w:rPr>
          <w:bCs/>
          <w:spacing w:val="6"/>
          <w:szCs w:val="26"/>
        </w:rPr>
        <w:t xml:space="preserve">du lịch, </w:t>
      </w:r>
      <w:r w:rsidRPr="008E63BB">
        <w:rPr>
          <w:bCs/>
          <w:spacing w:val="6"/>
          <w:szCs w:val="26"/>
        </w:rPr>
        <w:t>vui chơi giải trí….để không chỉ đáp ứng nhu cầu dân sinh mà còn là tạo động lực phát triển kinh tế</w:t>
      </w:r>
      <w:r w:rsidR="00BF0F0C" w:rsidRPr="008E63BB">
        <w:rPr>
          <w:bCs/>
          <w:spacing w:val="6"/>
          <w:szCs w:val="26"/>
        </w:rPr>
        <w:t>.</w:t>
      </w:r>
    </w:p>
    <w:p w14:paraId="519B2848" w14:textId="77777777" w:rsidR="0048543D" w:rsidRPr="008E63BB" w:rsidRDefault="00A71373" w:rsidP="0065184D">
      <w:pPr>
        <w:pStyle w:val="Heading2"/>
        <w:spacing w:before="0" w:after="0"/>
        <w:rPr>
          <w:lang w:val="pt-BR"/>
        </w:rPr>
      </w:pPr>
      <w:bookmarkStart w:id="205" w:name="_Toc330799138"/>
      <w:bookmarkStart w:id="206" w:name="_Toc341519024"/>
      <w:bookmarkStart w:id="207" w:name="_Toc341519125"/>
      <w:bookmarkStart w:id="208" w:name="_Toc344928437"/>
      <w:bookmarkStart w:id="209" w:name="_Toc345538345"/>
      <w:bookmarkStart w:id="210" w:name="_Toc47524668"/>
      <w:r w:rsidRPr="008E63BB">
        <w:rPr>
          <w:lang w:val="pt-BR"/>
        </w:rPr>
        <w:t>2.7</w:t>
      </w:r>
      <w:r w:rsidR="0048543D" w:rsidRPr="008E63BB">
        <w:rPr>
          <w:lang w:val="pt-BR"/>
        </w:rPr>
        <w:t>. Hiện trạng hạ tầng kỹ thuật</w:t>
      </w:r>
      <w:bookmarkEnd w:id="205"/>
      <w:bookmarkEnd w:id="206"/>
      <w:bookmarkEnd w:id="207"/>
      <w:bookmarkEnd w:id="208"/>
      <w:bookmarkEnd w:id="209"/>
      <w:bookmarkEnd w:id="210"/>
    </w:p>
    <w:p w14:paraId="519B2849" w14:textId="77777777" w:rsidR="0048543D" w:rsidRPr="008E63BB" w:rsidRDefault="00A71373" w:rsidP="0065184D">
      <w:pPr>
        <w:pStyle w:val="Heading3"/>
        <w:rPr>
          <w:lang w:val="it-IT"/>
        </w:rPr>
      </w:pPr>
      <w:bookmarkStart w:id="211" w:name="_Toc330799139"/>
      <w:bookmarkStart w:id="212" w:name="_Toc341519025"/>
      <w:bookmarkStart w:id="213" w:name="_Toc341519126"/>
      <w:bookmarkStart w:id="214" w:name="_Toc344928438"/>
      <w:bookmarkStart w:id="215" w:name="_Toc345538346"/>
      <w:bookmarkStart w:id="216" w:name="_Toc21954837"/>
      <w:bookmarkStart w:id="217" w:name="_Toc21955336"/>
      <w:bookmarkStart w:id="218" w:name="_Toc24361910"/>
      <w:bookmarkStart w:id="219" w:name="_Toc47524669"/>
      <w:r w:rsidRPr="008E63BB">
        <w:rPr>
          <w:lang w:val="it-IT"/>
        </w:rPr>
        <w:t>2.7</w:t>
      </w:r>
      <w:r w:rsidR="0048543D" w:rsidRPr="008E63BB">
        <w:rPr>
          <w:lang w:val="it-IT"/>
        </w:rPr>
        <w:t>.1. Hiện trạng giao thông</w:t>
      </w:r>
      <w:bookmarkEnd w:id="211"/>
      <w:bookmarkEnd w:id="212"/>
      <w:bookmarkEnd w:id="213"/>
      <w:bookmarkEnd w:id="214"/>
      <w:bookmarkEnd w:id="215"/>
      <w:bookmarkEnd w:id="216"/>
      <w:bookmarkEnd w:id="217"/>
      <w:bookmarkEnd w:id="218"/>
      <w:bookmarkEnd w:id="219"/>
    </w:p>
    <w:p w14:paraId="519B284A" w14:textId="77777777" w:rsidR="00914EA7" w:rsidRPr="008E63BB" w:rsidRDefault="00914EA7" w:rsidP="0065184D">
      <w:pPr>
        <w:rPr>
          <w:b/>
          <w:bCs/>
          <w:i/>
          <w:iCs/>
          <w:szCs w:val="26"/>
          <w:lang w:val="it-IT"/>
        </w:rPr>
      </w:pPr>
      <w:r w:rsidRPr="008E63BB">
        <w:rPr>
          <w:b/>
          <w:bCs/>
          <w:i/>
          <w:iCs/>
          <w:szCs w:val="26"/>
          <w:lang w:val="it-IT"/>
        </w:rPr>
        <w:t>a. Giao thông đối ngoại</w:t>
      </w:r>
    </w:p>
    <w:p w14:paraId="519B284B" w14:textId="77777777" w:rsidR="00914EA7" w:rsidRPr="008E63BB" w:rsidRDefault="00914EA7" w:rsidP="0065184D">
      <w:pPr>
        <w:rPr>
          <w:szCs w:val="26"/>
          <w:lang w:val="it-IT"/>
        </w:rPr>
      </w:pPr>
      <w:r w:rsidRPr="008E63BB">
        <w:rPr>
          <w:szCs w:val="26"/>
          <w:lang w:val="it-IT"/>
        </w:rPr>
        <w:t>* Đường bộ:</w:t>
      </w:r>
    </w:p>
    <w:p w14:paraId="519B284C" w14:textId="77777777" w:rsidR="00914EA7" w:rsidRPr="008E63BB" w:rsidRDefault="00914EA7" w:rsidP="0065184D">
      <w:pPr>
        <w:rPr>
          <w:szCs w:val="26"/>
          <w:lang w:val="it-IT"/>
        </w:rPr>
      </w:pPr>
      <w:r w:rsidRPr="008E63BB">
        <w:rPr>
          <w:szCs w:val="26"/>
          <w:lang w:val="it-IT"/>
        </w:rPr>
        <w:t>- Quốc lộ 21 đoạn qua khu vực nghiên cứu có quy mô đường cấp III đồng bằng, riêng đoạn tuyến tránh thành phố Nam Định (S2) đạt quy mô đường cấp II đồng bằng.</w:t>
      </w:r>
    </w:p>
    <w:p w14:paraId="519B284D" w14:textId="77777777" w:rsidR="00914EA7" w:rsidRPr="008E63BB" w:rsidRDefault="00914EA7" w:rsidP="0065184D">
      <w:pPr>
        <w:rPr>
          <w:szCs w:val="26"/>
          <w:lang w:val="it-IT"/>
        </w:rPr>
      </w:pPr>
      <w:r w:rsidRPr="008E63BB">
        <w:rPr>
          <w:szCs w:val="26"/>
          <w:lang w:val="it-IT"/>
        </w:rPr>
        <w:t>- Tuyến cao tốc Nam Định – Phủ Lý (QL 21B) đã được xây dựng, đoạn trong khu đô thị có chiều rộng nền đường 48m, đoạn ngoài đô thị đạt quy mô đường cấp II đồng bằng. Đường vành đai Đông Nam (QL 21B) nối QL 10 và QL 21 (gồm cầu Tân Phong) đã được xây dựng hoàn thiện.</w:t>
      </w:r>
    </w:p>
    <w:p w14:paraId="519B284E" w14:textId="77777777" w:rsidR="00914EA7" w:rsidRPr="008E63BB" w:rsidRDefault="00914EA7" w:rsidP="0065184D">
      <w:pPr>
        <w:rPr>
          <w:szCs w:val="26"/>
          <w:lang w:val="it-IT"/>
        </w:rPr>
      </w:pPr>
      <w:r w:rsidRPr="008E63BB">
        <w:rPr>
          <w:szCs w:val="26"/>
          <w:lang w:val="it-IT"/>
        </w:rPr>
        <w:t>- QL 10 có vai trò giao thông liên tỉnh, chạy dọc vùng duyên hải Bắc Trung Bộ, đoạn tuyến tránh qua TP. Nam Định có mặt cắt ngang nền rộng 19m, mặt rộng 14m.</w:t>
      </w:r>
    </w:p>
    <w:p w14:paraId="519B284F" w14:textId="77777777" w:rsidR="00914EA7" w:rsidRPr="008E63BB" w:rsidRDefault="00914EA7" w:rsidP="0065184D">
      <w:pPr>
        <w:rPr>
          <w:szCs w:val="26"/>
          <w:lang w:val="it-IT"/>
        </w:rPr>
      </w:pPr>
      <w:r w:rsidRPr="008E63BB">
        <w:rPr>
          <w:szCs w:val="26"/>
          <w:lang w:val="it-IT"/>
        </w:rPr>
        <w:t>- QL 38B đoạn qua khu vực nghiên cứu đã được nâng cấp, cải tạo đạt quy mô cấp IV đồng bằng (Riêng tuyến tránh QL 38B nối QL 10 và QL 38B đã được xây dựng mới).</w:t>
      </w:r>
    </w:p>
    <w:p w14:paraId="519B2850" w14:textId="77777777" w:rsidR="00914EA7" w:rsidRPr="008E63BB" w:rsidRDefault="00914EA7" w:rsidP="0065184D">
      <w:pPr>
        <w:rPr>
          <w:szCs w:val="26"/>
          <w:lang w:val="it-IT"/>
        </w:rPr>
      </w:pPr>
      <w:r w:rsidRPr="008E63BB">
        <w:rPr>
          <w:szCs w:val="26"/>
          <w:lang w:val="it-IT"/>
        </w:rPr>
        <w:t>- Hệ thống đường tỉnh có liên quan ĐT 490C, ĐT 486B nối TP. Nam Định đi các Huyện, quy mô đạt cấp IV-III đồng bằng.</w:t>
      </w:r>
    </w:p>
    <w:p w14:paraId="519B2851" w14:textId="77777777" w:rsidR="00715EE9" w:rsidRPr="008E63BB" w:rsidRDefault="00715EE9" w:rsidP="0065184D">
      <w:pPr>
        <w:rPr>
          <w:szCs w:val="26"/>
          <w:lang w:val="it-IT"/>
        </w:rPr>
      </w:pPr>
      <w:r w:rsidRPr="008E63BB">
        <w:rPr>
          <w:szCs w:val="26"/>
          <w:lang w:val="it-IT"/>
        </w:rPr>
        <w:t>- Tuyến đường tránh QL38 (VĐ 2) đã được triển khai đầu tư xây dựng, giai đoạn 1 đã triển khai san lấp mặt bằng tuyến đoạn từ điểm giao QL21B xuống phía Nam tới xã Đại An và Thành Lợi của huyện Vụ Bản.</w:t>
      </w:r>
    </w:p>
    <w:p w14:paraId="519B2852" w14:textId="77777777" w:rsidR="00914EA7" w:rsidRPr="008E63BB" w:rsidRDefault="00B16653" w:rsidP="0065184D">
      <w:pPr>
        <w:jc w:val="center"/>
        <w:rPr>
          <w:sz w:val="24"/>
          <w:szCs w:val="24"/>
        </w:rPr>
      </w:pPr>
      <w:r w:rsidRPr="008E63BB">
        <w:rPr>
          <w:noProof/>
          <w:lang w:eastAsia="zh-CN"/>
        </w:rPr>
        <w:drawing>
          <wp:inline distT="0" distB="0" distL="0" distR="0" wp14:anchorId="519B51EF" wp14:editId="519B51F0">
            <wp:extent cx="4553374" cy="3437693"/>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a:ext>
                      </a:extLst>
                    </a:blip>
                    <a:stretch>
                      <a:fillRect/>
                    </a:stretch>
                  </pic:blipFill>
                  <pic:spPr bwMode="auto">
                    <a:xfrm>
                      <a:off x="0" y="0"/>
                      <a:ext cx="4553374" cy="3437693"/>
                    </a:xfrm>
                    <a:prstGeom prst="rect">
                      <a:avLst/>
                    </a:prstGeom>
                    <a:noFill/>
                    <a:ln>
                      <a:noFill/>
                    </a:ln>
                    <a:extLst>
                      <a:ext uri="{53640926-AAD7-44D8-BBD7-CCE9431645EC}">
                        <a14:shadowObscured xmlns:a14="http://schemas.microsoft.com/office/drawing/2010/main"/>
                      </a:ext>
                    </a:extLst>
                  </pic:spPr>
                </pic:pic>
              </a:graphicData>
            </a:graphic>
          </wp:inline>
        </w:drawing>
      </w:r>
    </w:p>
    <w:p w14:paraId="519B2853" w14:textId="77777777" w:rsidR="00914EA7" w:rsidRPr="008E63BB" w:rsidRDefault="00914EA7" w:rsidP="0065184D">
      <w:pPr>
        <w:jc w:val="center"/>
        <w:rPr>
          <w:szCs w:val="26"/>
        </w:rPr>
      </w:pPr>
      <w:r w:rsidRPr="008E63BB">
        <w:rPr>
          <w:szCs w:val="26"/>
        </w:rPr>
        <w:t>Hình. Sơ đồ hiện trạng hệ thống đường bộ đối ngoại</w:t>
      </w:r>
    </w:p>
    <w:p w14:paraId="519B2854" w14:textId="77777777" w:rsidR="00914EA7" w:rsidRPr="008E63BB" w:rsidRDefault="00B16653" w:rsidP="0065184D">
      <w:pPr>
        <w:jc w:val="center"/>
        <w:rPr>
          <w:szCs w:val="26"/>
        </w:rPr>
      </w:pPr>
      <w:r w:rsidRPr="008E63BB">
        <w:rPr>
          <w:noProof/>
          <w:szCs w:val="26"/>
          <w:lang w:eastAsia="zh-CN"/>
        </w:rPr>
        <w:lastRenderedPageBreak/>
        <w:drawing>
          <wp:inline distT="0" distB="0" distL="0" distR="0" wp14:anchorId="519B51F1" wp14:editId="519B51F2">
            <wp:extent cx="5569585" cy="1371600"/>
            <wp:effectExtent l="0" t="0" r="0" b="0"/>
            <wp:docPr id="228" name="Picture 228" descr="quoc 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oc lo"/>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569585" cy="1371600"/>
                    </a:xfrm>
                    <a:prstGeom prst="rect">
                      <a:avLst/>
                    </a:prstGeom>
                    <a:noFill/>
                    <a:ln>
                      <a:noFill/>
                    </a:ln>
                  </pic:spPr>
                </pic:pic>
              </a:graphicData>
            </a:graphic>
          </wp:inline>
        </w:drawing>
      </w:r>
    </w:p>
    <w:p w14:paraId="519B2855" w14:textId="77777777" w:rsidR="00914EA7" w:rsidRPr="008E63BB" w:rsidRDefault="00914EA7" w:rsidP="0065184D">
      <w:pPr>
        <w:jc w:val="center"/>
        <w:rPr>
          <w:szCs w:val="26"/>
        </w:rPr>
      </w:pPr>
      <w:r w:rsidRPr="008E63BB">
        <w:rPr>
          <w:szCs w:val="26"/>
        </w:rPr>
        <w:t>Hình. Hiện trạng một số tuyến đường đối ngoại</w:t>
      </w:r>
    </w:p>
    <w:p w14:paraId="519B2856" w14:textId="77777777" w:rsidR="00914EA7" w:rsidRPr="008E63BB" w:rsidRDefault="00914EA7" w:rsidP="0065184D">
      <w:pPr>
        <w:rPr>
          <w:szCs w:val="26"/>
          <w:lang w:val="de-DE"/>
        </w:rPr>
      </w:pPr>
      <w:r w:rsidRPr="008E63BB">
        <w:rPr>
          <w:szCs w:val="26"/>
          <w:lang w:val="de-DE"/>
        </w:rPr>
        <w:t>* Đường sắt: Đường sắt Bắc Nam chạy qua TP Nam Định có khổ 1m, hiện nay chưa có quy hoạch đường gom dọc 2 bên đường và có nhiều điểm giao cắt với đường bộ. Ga Nam Định là một trong những ga trung tâm vận chuyển hành khách và hàng hoá thông thương giữa Nam Định và các địa phương trong cả nước; hiện có vị trí nằm sâu trong nội thành ảnh hưởng đến an toàn giao thông.</w:t>
      </w:r>
    </w:p>
    <w:p w14:paraId="519B2857" w14:textId="77777777" w:rsidR="00914EA7" w:rsidRPr="008E63BB" w:rsidRDefault="00B16653" w:rsidP="0065184D">
      <w:pPr>
        <w:jc w:val="center"/>
        <w:rPr>
          <w:szCs w:val="26"/>
          <w:lang w:val="de-DE"/>
        </w:rPr>
      </w:pPr>
      <w:r w:rsidRPr="008E63BB">
        <w:rPr>
          <w:noProof/>
          <w:szCs w:val="26"/>
          <w:lang w:eastAsia="zh-CN"/>
        </w:rPr>
        <w:drawing>
          <wp:inline distT="0" distB="0" distL="0" distR="0" wp14:anchorId="519B51F3" wp14:editId="519B51F4">
            <wp:extent cx="5575300" cy="1953260"/>
            <wp:effectExtent l="0" t="0" r="6350" b="8890"/>
            <wp:docPr id="226" name="Picture 226" descr="duong s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ong sat"/>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575300" cy="1953260"/>
                    </a:xfrm>
                    <a:prstGeom prst="rect">
                      <a:avLst/>
                    </a:prstGeom>
                    <a:noFill/>
                    <a:ln>
                      <a:noFill/>
                    </a:ln>
                  </pic:spPr>
                </pic:pic>
              </a:graphicData>
            </a:graphic>
          </wp:inline>
        </w:drawing>
      </w:r>
    </w:p>
    <w:p w14:paraId="519B2858" w14:textId="77777777" w:rsidR="00914EA7" w:rsidRPr="008E63BB" w:rsidRDefault="00914EA7" w:rsidP="0065184D">
      <w:pPr>
        <w:jc w:val="center"/>
        <w:rPr>
          <w:szCs w:val="26"/>
          <w:lang w:val="de-DE"/>
        </w:rPr>
      </w:pPr>
      <w:r w:rsidRPr="008E63BB">
        <w:rPr>
          <w:szCs w:val="26"/>
          <w:lang w:val="de-DE"/>
        </w:rPr>
        <w:t>Hình. Hiện trạng giao cắt đường sắt.</w:t>
      </w:r>
    </w:p>
    <w:p w14:paraId="519B2859" w14:textId="77777777" w:rsidR="00914EA7" w:rsidRPr="008E63BB" w:rsidRDefault="00914EA7" w:rsidP="003D057A">
      <w:pPr>
        <w:spacing w:before="120"/>
        <w:rPr>
          <w:szCs w:val="26"/>
          <w:lang w:val="de-DE"/>
        </w:rPr>
      </w:pPr>
      <w:r w:rsidRPr="008E63BB">
        <w:rPr>
          <w:szCs w:val="26"/>
          <w:lang w:val="de-DE"/>
        </w:rPr>
        <w:t xml:space="preserve">* Đường thủy: </w:t>
      </w:r>
    </w:p>
    <w:p w14:paraId="519B285A" w14:textId="77777777" w:rsidR="00914EA7" w:rsidRPr="008E63BB" w:rsidRDefault="00914EA7" w:rsidP="003D057A">
      <w:pPr>
        <w:spacing w:before="120"/>
        <w:ind w:firstLine="709"/>
        <w:rPr>
          <w:szCs w:val="26"/>
          <w:lang w:val="de-DE"/>
        </w:rPr>
      </w:pPr>
      <w:r w:rsidRPr="008E63BB">
        <w:rPr>
          <w:szCs w:val="26"/>
          <w:lang w:val="de-DE"/>
        </w:rPr>
        <w:t xml:space="preserve">- Trong khu vực nghiên cứu có tuyến vận tải chính qua hệ thống sông Đào: tuyến Quảng Ninh – Ninh Bình, luồng tuyến chủ yếu dựa vào dòng chảy tự nhiên chưa được quan tâm nạo vét, chỉnh trị. </w:t>
      </w:r>
    </w:p>
    <w:p w14:paraId="519B285B" w14:textId="77777777" w:rsidR="00914EA7" w:rsidRPr="008E63BB" w:rsidRDefault="00914EA7" w:rsidP="003D057A">
      <w:pPr>
        <w:spacing w:before="120"/>
        <w:ind w:firstLine="709"/>
        <w:rPr>
          <w:szCs w:val="26"/>
          <w:lang w:val="de-DE"/>
        </w:rPr>
      </w:pPr>
      <w:r w:rsidRPr="008E63BB">
        <w:rPr>
          <w:szCs w:val="26"/>
          <w:lang w:val="de-DE"/>
        </w:rPr>
        <w:t>- Cảng Nam Định nằm ở hữu ngạn sông Đào, cách cầu Đò Quan 800m về phía hạ lưu. Hiện nay cảng có cầu cảng bê tông cốt thép vĩnh cửu dài 200m, rộng 8m. Tổng diện tích thực tế là 7,1ha, kho chứa hàng 1,5ha. Độ sâu trước bến 10m, có thể cho phương tiện tới 3.000 tấn ra vào. Cảng chủ yếu phục vụ mục đích xếp dỡ hàng hóa thông thường (Lương thực, vật liệu xây dựng...). Việc di dời cảng ra sông Hồng đã được quy hoạch và đưa vào danh mục kêu gọi đầu tư bằng nguồn xã hội hóa.</w:t>
      </w:r>
    </w:p>
    <w:p w14:paraId="519B285C" w14:textId="77777777" w:rsidR="00914EA7" w:rsidRPr="008E63BB" w:rsidRDefault="00914EA7" w:rsidP="003D057A">
      <w:pPr>
        <w:spacing w:before="120"/>
        <w:rPr>
          <w:bCs/>
          <w:szCs w:val="26"/>
          <w:lang w:val="de-DE"/>
        </w:rPr>
      </w:pPr>
      <w:r w:rsidRPr="008E63BB">
        <w:rPr>
          <w:bCs/>
          <w:szCs w:val="26"/>
          <w:lang w:val="de-DE"/>
        </w:rPr>
        <w:t>* Công trình giao thông:</w:t>
      </w:r>
    </w:p>
    <w:p w14:paraId="519B285D" w14:textId="77777777" w:rsidR="00914EA7" w:rsidRPr="008E63BB" w:rsidRDefault="00914EA7" w:rsidP="003D057A">
      <w:pPr>
        <w:spacing w:before="120"/>
        <w:rPr>
          <w:bCs/>
          <w:szCs w:val="26"/>
          <w:lang w:val="de-DE"/>
        </w:rPr>
      </w:pPr>
      <w:r w:rsidRPr="008E63BB">
        <w:rPr>
          <w:bCs/>
          <w:szCs w:val="26"/>
          <w:lang w:val="de-DE"/>
        </w:rPr>
        <w:t>- Bến xe liên tỉnh: Hiện nay tại thành phố Nam Định có 2 bến xe</w:t>
      </w:r>
    </w:p>
    <w:p w14:paraId="519B285E" w14:textId="77777777" w:rsidR="00914EA7" w:rsidRPr="008E63BB" w:rsidRDefault="00914EA7" w:rsidP="003D057A">
      <w:pPr>
        <w:spacing w:before="120"/>
        <w:ind w:firstLine="720"/>
        <w:rPr>
          <w:bCs/>
          <w:szCs w:val="26"/>
          <w:lang w:val="de-DE"/>
        </w:rPr>
      </w:pPr>
      <w:r w:rsidRPr="008E63BB">
        <w:rPr>
          <w:bCs/>
          <w:szCs w:val="26"/>
          <w:lang w:val="de-DE"/>
        </w:rPr>
        <w:t>+ Bến xe cửa ngõ phía Bắc tại khu vực xã Lộc Hòa (QL 10), được xây dựng đầy đủ các hạng mục theo tiêu chuẩn bến xe loại II, diện tích 1,5ha</w:t>
      </w:r>
    </w:p>
    <w:p w14:paraId="519B285F" w14:textId="77777777" w:rsidR="00914EA7" w:rsidRPr="008E63BB" w:rsidRDefault="00914EA7" w:rsidP="003D057A">
      <w:pPr>
        <w:spacing w:before="120"/>
        <w:ind w:firstLine="720"/>
        <w:rPr>
          <w:bCs/>
          <w:szCs w:val="26"/>
          <w:lang w:val="de-DE"/>
        </w:rPr>
      </w:pPr>
      <w:r w:rsidRPr="008E63BB">
        <w:rPr>
          <w:bCs/>
          <w:szCs w:val="26"/>
          <w:lang w:val="de-DE"/>
        </w:rPr>
        <w:t>+ Bến xe phía Nam tại khu vực xã Nghĩa An (giáp đường vành đai), được xây dựng đạt quy mô bến loại III, hạ tầng cơ sở của bến được đầu tư cơ bản đạt chuẩn quy mô bến loại I, diện tích 0,77 ha.</w:t>
      </w:r>
    </w:p>
    <w:p w14:paraId="519B2860" w14:textId="77777777" w:rsidR="00914EA7" w:rsidRPr="008E63BB" w:rsidRDefault="00914EA7" w:rsidP="003D057A">
      <w:pPr>
        <w:spacing w:before="120"/>
        <w:rPr>
          <w:bCs/>
          <w:szCs w:val="26"/>
          <w:lang w:val="de-DE"/>
        </w:rPr>
      </w:pPr>
      <w:r w:rsidRPr="008E63BB">
        <w:rPr>
          <w:bCs/>
          <w:szCs w:val="26"/>
          <w:lang w:val="de-DE"/>
        </w:rPr>
        <w:t>- Cầu: Gồm cầu Tân Đệ trên QL 10 qua sông Hồng; cầu Đò Quan, cầu Nam Định và cầu Tân Phong (mới xây dựng) qua sông Đào.</w:t>
      </w:r>
    </w:p>
    <w:p w14:paraId="519B2861" w14:textId="77777777" w:rsidR="00914EA7" w:rsidRPr="008E63BB" w:rsidRDefault="00B16653" w:rsidP="0065184D">
      <w:pPr>
        <w:jc w:val="center"/>
        <w:rPr>
          <w:bCs/>
          <w:szCs w:val="26"/>
          <w:lang w:val="de-DE"/>
        </w:rPr>
      </w:pPr>
      <w:r w:rsidRPr="008E63BB">
        <w:rPr>
          <w:noProof/>
          <w:lang w:eastAsia="zh-CN"/>
        </w:rPr>
        <w:lastRenderedPageBreak/>
        <w:drawing>
          <wp:inline distT="0" distB="0" distL="0" distR="0" wp14:anchorId="519B51F5" wp14:editId="519B51F6">
            <wp:extent cx="4952010" cy="3673832"/>
            <wp:effectExtent l="0" t="0" r="1270"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958169" cy="3678401"/>
                    </a:xfrm>
                    <a:prstGeom prst="rect">
                      <a:avLst/>
                    </a:prstGeom>
                    <a:noFill/>
                    <a:ln>
                      <a:noFill/>
                    </a:ln>
                  </pic:spPr>
                </pic:pic>
              </a:graphicData>
            </a:graphic>
          </wp:inline>
        </w:drawing>
      </w:r>
    </w:p>
    <w:p w14:paraId="519B2862" w14:textId="77777777" w:rsidR="00914EA7" w:rsidRPr="008E63BB" w:rsidRDefault="00914EA7" w:rsidP="0065184D">
      <w:pPr>
        <w:jc w:val="center"/>
        <w:rPr>
          <w:szCs w:val="26"/>
          <w:lang w:val="de-DE"/>
        </w:rPr>
      </w:pPr>
      <w:r w:rsidRPr="008E63BB">
        <w:rPr>
          <w:szCs w:val="26"/>
          <w:lang w:val="de-DE"/>
        </w:rPr>
        <w:t>Hình. Sơ đồ hiện trạng hệ thống đường sắt – đường thủy – công trình giao thông</w:t>
      </w:r>
    </w:p>
    <w:p w14:paraId="519B2863" w14:textId="77777777" w:rsidR="00914EA7" w:rsidRPr="008E63BB" w:rsidRDefault="00914EA7" w:rsidP="0065184D">
      <w:pPr>
        <w:rPr>
          <w:b/>
          <w:i/>
          <w:iCs/>
          <w:szCs w:val="26"/>
          <w:lang w:val="de-DE"/>
        </w:rPr>
      </w:pPr>
      <w:r w:rsidRPr="008E63BB">
        <w:rPr>
          <w:b/>
          <w:i/>
          <w:iCs/>
          <w:szCs w:val="26"/>
          <w:lang w:val="de-DE"/>
        </w:rPr>
        <w:t>b. Giao thông đô thị</w:t>
      </w:r>
    </w:p>
    <w:p w14:paraId="519B2864" w14:textId="77777777" w:rsidR="00914EA7" w:rsidRPr="008E63BB" w:rsidRDefault="00914EA7" w:rsidP="0065184D">
      <w:pPr>
        <w:rPr>
          <w:szCs w:val="26"/>
          <w:lang w:val="de-DE"/>
        </w:rPr>
      </w:pPr>
      <w:r w:rsidRPr="008E63BB">
        <w:rPr>
          <w:szCs w:val="26"/>
          <w:lang w:val="de-DE"/>
        </w:rPr>
        <w:t>Tổng chiều dài đường đô thị (tuyến chính) là 191,5km và 31,23km đường khu công nghiệp đã được trải nhựa, tuy nhiên hầu hết các tuyến đường đều có quy mô nhỏ, mặt đường hẹp (đặc biệt các tuyến đường đô thị trong phố cũ đều có bề rộng mặt đường ≤ 2 làn xe), thiếu vỉa hè, đèn chiếu sáng, dải phân cách, chất lượng mặt đường và hệ thống thoát nước chưa tốt.</w:t>
      </w:r>
    </w:p>
    <w:p w14:paraId="519B2865" w14:textId="77777777" w:rsidR="00914EA7" w:rsidRPr="008E63BB" w:rsidRDefault="00914EA7" w:rsidP="0065184D">
      <w:pPr>
        <w:pStyle w:val="Bang"/>
        <w:spacing w:before="0" w:after="0"/>
      </w:pPr>
      <w:r w:rsidRPr="008E63BB">
        <w:t xml:space="preserve">Bảng: Tổng hợp đường </w:t>
      </w:r>
      <w:r w:rsidRPr="008E63BB">
        <w:rPr>
          <w:lang w:val="sv-SE"/>
        </w:rPr>
        <w:t>đ</w:t>
      </w:r>
      <w:r w:rsidRPr="008E63BB">
        <w:t xml:space="preserve">ô </w:t>
      </w:r>
      <w:r w:rsidRPr="008E63BB">
        <w:rPr>
          <w:lang w:val="sv-SE"/>
        </w:rPr>
        <w:t>t</w:t>
      </w:r>
      <w:r w:rsidRPr="008E63BB">
        <w:t>hị và đường khu công nghiệp</w:t>
      </w:r>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3331"/>
        <w:gridCol w:w="1771"/>
        <w:gridCol w:w="1118"/>
        <w:gridCol w:w="1044"/>
        <w:gridCol w:w="717"/>
        <w:gridCol w:w="700"/>
      </w:tblGrid>
      <w:tr w:rsidR="008D5BFE" w:rsidRPr="008E63BB" w14:paraId="519B286B" w14:textId="77777777" w:rsidTr="00914EA7">
        <w:trPr>
          <w:trHeight w:val="330"/>
          <w:tblHeader/>
          <w:jc w:val="center"/>
        </w:trPr>
        <w:tc>
          <w:tcPr>
            <w:tcW w:w="301" w:type="pct"/>
            <w:vMerge w:val="restart"/>
            <w:tcBorders>
              <w:top w:val="single" w:sz="4" w:space="0" w:color="auto"/>
              <w:left w:val="single" w:sz="4" w:space="0" w:color="auto"/>
              <w:bottom w:val="single" w:sz="4" w:space="0" w:color="auto"/>
              <w:right w:val="single" w:sz="4" w:space="0" w:color="auto"/>
            </w:tcBorders>
            <w:vAlign w:val="center"/>
            <w:hideMark/>
          </w:tcPr>
          <w:p w14:paraId="519B2866" w14:textId="77777777" w:rsidR="00914EA7" w:rsidRPr="008E63BB" w:rsidRDefault="00914EA7" w:rsidP="0065184D">
            <w:pPr>
              <w:jc w:val="center"/>
              <w:rPr>
                <w:b/>
                <w:bCs/>
                <w:sz w:val="24"/>
                <w:szCs w:val="24"/>
              </w:rPr>
            </w:pPr>
            <w:r w:rsidRPr="008E63BB">
              <w:rPr>
                <w:b/>
                <w:bCs/>
                <w:sz w:val="24"/>
                <w:szCs w:val="24"/>
              </w:rPr>
              <w:t>TT</w:t>
            </w:r>
          </w:p>
        </w:tc>
        <w:tc>
          <w:tcPr>
            <w:tcW w:w="1803" w:type="pct"/>
            <w:vMerge w:val="restart"/>
            <w:tcBorders>
              <w:top w:val="single" w:sz="4" w:space="0" w:color="auto"/>
              <w:left w:val="single" w:sz="4" w:space="0" w:color="auto"/>
              <w:bottom w:val="single" w:sz="4" w:space="0" w:color="auto"/>
              <w:right w:val="single" w:sz="4" w:space="0" w:color="auto"/>
            </w:tcBorders>
            <w:noWrap/>
            <w:vAlign w:val="center"/>
            <w:hideMark/>
          </w:tcPr>
          <w:p w14:paraId="519B2867" w14:textId="77777777" w:rsidR="00914EA7" w:rsidRPr="008E63BB" w:rsidRDefault="00914EA7" w:rsidP="0065184D">
            <w:pPr>
              <w:jc w:val="center"/>
              <w:rPr>
                <w:b/>
                <w:bCs/>
                <w:sz w:val="24"/>
                <w:szCs w:val="24"/>
              </w:rPr>
            </w:pPr>
            <w:r w:rsidRPr="008E63BB">
              <w:rPr>
                <w:b/>
                <w:bCs/>
                <w:sz w:val="24"/>
                <w:szCs w:val="24"/>
              </w:rPr>
              <w:t>Hạng mục</w:t>
            </w:r>
          </w:p>
        </w:tc>
        <w:tc>
          <w:tcPr>
            <w:tcW w:w="959" w:type="pct"/>
            <w:vMerge w:val="restart"/>
            <w:tcBorders>
              <w:top w:val="single" w:sz="4" w:space="0" w:color="auto"/>
              <w:left w:val="single" w:sz="4" w:space="0" w:color="auto"/>
              <w:bottom w:val="single" w:sz="4" w:space="0" w:color="auto"/>
              <w:right w:val="single" w:sz="4" w:space="0" w:color="auto"/>
            </w:tcBorders>
            <w:vAlign w:val="center"/>
            <w:hideMark/>
          </w:tcPr>
          <w:p w14:paraId="519B2868" w14:textId="77777777" w:rsidR="00914EA7" w:rsidRPr="008E63BB" w:rsidRDefault="00914EA7" w:rsidP="0065184D">
            <w:pPr>
              <w:jc w:val="center"/>
              <w:rPr>
                <w:b/>
                <w:bCs/>
                <w:sz w:val="24"/>
                <w:szCs w:val="24"/>
              </w:rPr>
            </w:pPr>
            <w:r w:rsidRPr="008E63BB">
              <w:rPr>
                <w:b/>
                <w:bCs/>
                <w:sz w:val="24"/>
                <w:szCs w:val="24"/>
              </w:rPr>
              <w:t>Tuyến phố</w:t>
            </w:r>
          </w:p>
        </w:tc>
        <w:tc>
          <w:tcPr>
            <w:tcW w:w="605" w:type="pct"/>
            <w:vMerge w:val="restart"/>
            <w:tcBorders>
              <w:top w:val="single" w:sz="4" w:space="0" w:color="auto"/>
              <w:left w:val="single" w:sz="4" w:space="0" w:color="auto"/>
              <w:bottom w:val="single" w:sz="4" w:space="0" w:color="auto"/>
              <w:right w:val="single" w:sz="4" w:space="0" w:color="auto"/>
            </w:tcBorders>
            <w:vAlign w:val="center"/>
            <w:hideMark/>
          </w:tcPr>
          <w:p w14:paraId="519B2869" w14:textId="77777777" w:rsidR="00914EA7" w:rsidRPr="008E63BB" w:rsidRDefault="00914EA7" w:rsidP="0065184D">
            <w:pPr>
              <w:jc w:val="center"/>
              <w:rPr>
                <w:b/>
                <w:bCs/>
                <w:sz w:val="24"/>
                <w:szCs w:val="24"/>
              </w:rPr>
            </w:pPr>
            <w:r w:rsidRPr="008E63BB">
              <w:rPr>
                <w:b/>
                <w:bCs/>
                <w:sz w:val="24"/>
                <w:szCs w:val="24"/>
              </w:rPr>
              <w:t>Chiều dài (Km)</w:t>
            </w:r>
          </w:p>
        </w:tc>
        <w:tc>
          <w:tcPr>
            <w:tcW w:w="1332" w:type="pct"/>
            <w:gridSpan w:val="3"/>
            <w:tcBorders>
              <w:top w:val="single" w:sz="4" w:space="0" w:color="auto"/>
              <w:left w:val="single" w:sz="4" w:space="0" w:color="auto"/>
              <w:bottom w:val="single" w:sz="4" w:space="0" w:color="auto"/>
              <w:right w:val="single" w:sz="4" w:space="0" w:color="auto"/>
            </w:tcBorders>
            <w:vAlign w:val="center"/>
            <w:hideMark/>
          </w:tcPr>
          <w:p w14:paraId="519B286A" w14:textId="77777777" w:rsidR="00914EA7" w:rsidRPr="008E63BB" w:rsidRDefault="00914EA7" w:rsidP="0065184D">
            <w:pPr>
              <w:jc w:val="center"/>
              <w:rPr>
                <w:b/>
                <w:bCs/>
                <w:sz w:val="24"/>
                <w:szCs w:val="24"/>
              </w:rPr>
            </w:pPr>
            <w:r w:rsidRPr="008E63BB">
              <w:rPr>
                <w:b/>
                <w:bCs/>
                <w:sz w:val="24"/>
                <w:szCs w:val="24"/>
              </w:rPr>
              <w:t>Kết cấu mặt đ</w:t>
            </w:r>
            <w:r w:rsidRPr="008E63BB">
              <w:rPr>
                <w:b/>
                <w:bCs/>
                <w:sz w:val="24"/>
                <w:szCs w:val="24"/>
              </w:rPr>
              <w:softHyphen/>
              <w:t>ường</w:t>
            </w:r>
          </w:p>
        </w:tc>
      </w:tr>
      <w:tr w:rsidR="008D5BFE" w:rsidRPr="008E63BB" w14:paraId="519B2873" w14:textId="77777777" w:rsidTr="00914EA7">
        <w:trPr>
          <w:trHeight w:val="299"/>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9B286C"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6D"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6E"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6F" w14:textId="77777777" w:rsidR="00914EA7" w:rsidRPr="008E63BB" w:rsidRDefault="00914EA7" w:rsidP="0065184D">
            <w:pPr>
              <w:rPr>
                <w:b/>
                <w:bCs/>
                <w:sz w:val="24"/>
                <w:szCs w:val="24"/>
              </w:rPr>
            </w:pPr>
          </w:p>
        </w:tc>
        <w:tc>
          <w:tcPr>
            <w:tcW w:w="565" w:type="pct"/>
            <w:vMerge w:val="restart"/>
            <w:tcBorders>
              <w:top w:val="single" w:sz="4" w:space="0" w:color="auto"/>
              <w:left w:val="single" w:sz="4" w:space="0" w:color="auto"/>
              <w:bottom w:val="single" w:sz="4" w:space="0" w:color="auto"/>
              <w:right w:val="single" w:sz="4" w:space="0" w:color="auto"/>
            </w:tcBorders>
            <w:vAlign w:val="center"/>
            <w:hideMark/>
          </w:tcPr>
          <w:p w14:paraId="519B2870" w14:textId="77777777" w:rsidR="00914EA7" w:rsidRPr="008E63BB" w:rsidRDefault="00914EA7" w:rsidP="0065184D">
            <w:pPr>
              <w:jc w:val="center"/>
              <w:rPr>
                <w:b/>
                <w:bCs/>
                <w:sz w:val="24"/>
                <w:szCs w:val="24"/>
              </w:rPr>
            </w:pPr>
            <w:r w:rsidRPr="008E63BB">
              <w:rPr>
                <w:b/>
                <w:bCs/>
                <w:sz w:val="24"/>
                <w:szCs w:val="24"/>
              </w:rPr>
              <w:t>Nhựa, BTXM</w:t>
            </w:r>
          </w:p>
        </w:tc>
        <w:tc>
          <w:tcPr>
            <w:tcW w:w="388" w:type="pct"/>
            <w:vMerge w:val="restart"/>
            <w:tcBorders>
              <w:top w:val="single" w:sz="4" w:space="0" w:color="auto"/>
              <w:left w:val="single" w:sz="4" w:space="0" w:color="auto"/>
              <w:bottom w:val="single" w:sz="4" w:space="0" w:color="auto"/>
              <w:right w:val="single" w:sz="4" w:space="0" w:color="auto"/>
            </w:tcBorders>
            <w:vAlign w:val="center"/>
            <w:hideMark/>
          </w:tcPr>
          <w:p w14:paraId="519B2871" w14:textId="77777777" w:rsidR="00914EA7" w:rsidRPr="008E63BB" w:rsidRDefault="00914EA7" w:rsidP="0065184D">
            <w:pPr>
              <w:jc w:val="center"/>
              <w:rPr>
                <w:b/>
                <w:bCs/>
                <w:sz w:val="24"/>
                <w:szCs w:val="24"/>
              </w:rPr>
            </w:pPr>
            <w:r w:rsidRPr="008E63BB">
              <w:rPr>
                <w:b/>
                <w:bCs/>
                <w:sz w:val="24"/>
                <w:szCs w:val="24"/>
              </w:rPr>
              <w:t>Cấp phối</w:t>
            </w:r>
          </w:p>
        </w:tc>
        <w:tc>
          <w:tcPr>
            <w:tcW w:w="379" w:type="pct"/>
            <w:vMerge w:val="restart"/>
            <w:tcBorders>
              <w:top w:val="single" w:sz="4" w:space="0" w:color="auto"/>
              <w:left w:val="single" w:sz="4" w:space="0" w:color="auto"/>
              <w:bottom w:val="single" w:sz="4" w:space="0" w:color="auto"/>
              <w:right w:val="single" w:sz="4" w:space="0" w:color="auto"/>
            </w:tcBorders>
            <w:vAlign w:val="center"/>
            <w:hideMark/>
          </w:tcPr>
          <w:p w14:paraId="519B2872" w14:textId="77777777" w:rsidR="00914EA7" w:rsidRPr="008E63BB" w:rsidRDefault="00914EA7" w:rsidP="0065184D">
            <w:pPr>
              <w:jc w:val="center"/>
              <w:rPr>
                <w:b/>
                <w:bCs/>
                <w:sz w:val="24"/>
                <w:szCs w:val="24"/>
              </w:rPr>
            </w:pPr>
            <w:r w:rsidRPr="008E63BB">
              <w:rPr>
                <w:b/>
                <w:bCs/>
                <w:sz w:val="24"/>
                <w:szCs w:val="24"/>
              </w:rPr>
              <w:t>Đất</w:t>
            </w:r>
          </w:p>
        </w:tc>
      </w:tr>
      <w:tr w:rsidR="008D5BFE" w:rsidRPr="008E63BB" w14:paraId="519B287B" w14:textId="77777777" w:rsidTr="00914EA7">
        <w:trPr>
          <w:trHeight w:val="299"/>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4"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5"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6"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7"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8"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9" w14:textId="77777777" w:rsidR="00914EA7" w:rsidRPr="008E63BB" w:rsidRDefault="00914EA7" w:rsidP="0065184D">
            <w:pPr>
              <w:rPr>
                <w:b/>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9B287A" w14:textId="77777777" w:rsidR="00914EA7" w:rsidRPr="008E63BB" w:rsidRDefault="00914EA7" w:rsidP="0065184D">
            <w:pPr>
              <w:rPr>
                <w:b/>
                <w:bCs/>
                <w:sz w:val="24"/>
                <w:szCs w:val="24"/>
              </w:rPr>
            </w:pPr>
          </w:p>
        </w:tc>
      </w:tr>
      <w:tr w:rsidR="008D5BFE" w:rsidRPr="008E63BB" w14:paraId="519B2883" w14:textId="77777777" w:rsidTr="00914EA7">
        <w:trPr>
          <w:trHeight w:val="387"/>
          <w:jc w:val="center"/>
        </w:trPr>
        <w:tc>
          <w:tcPr>
            <w:tcW w:w="301" w:type="pct"/>
            <w:tcBorders>
              <w:top w:val="single" w:sz="4" w:space="0" w:color="auto"/>
              <w:left w:val="single" w:sz="4" w:space="0" w:color="auto"/>
              <w:bottom w:val="single" w:sz="4" w:space="0" w:color="auto"/>
              <w:right w:val="single" w:sz="4" w:space="0" w:color="auto"/>
            </w:tcBorders>
            <w:noWrap/>
            <w:vAlign w:val="center"/>
            <w:hideMark/>
          </w:tcPr>
          <w:p w14:paraId="519B287C" w14:textId="77777777" w:rsidR="00914EA7" w:rsidRPr="008E63BB" w:rsidRDefault="00914EA7" w:rsidP="0065184D">
            <w:pPr>
              <w:rPr>
                <w:b/>
                <w:bCs/>
                <w:sz w:val="24"/>
                <w:szCs w:val="24"/>
              </w:rPr>
            </w:pPr>
            <w:r w:rsidRPr="008E63BB">
              <w:rPr>
                <w:b/>
                <w:bCs/>
                <w:sz w:val="24"/>
                <w:szCs w:val="24"/>
              </w:rPr>
              <w:t>A</w:t>
            </w:r>
          </w:p>
        </w:tc>
        <w:tc>
          <w:tcPr>
            <w:tcW w:w="1803" w:type="pct"/>
            <w:tcBorders>
              <w:top w:val="single" w:sz="4" w:space="0" w:color="auto"/>
              <w:left w:val="single" w:sz="4" w:space="0" w:color="auto"/>
              <w:bottom w:val="single" w:sz="4" w:space="0" w:color="auto"/>
              <w:right w:val="single" w:sz="4" w:space="0" w:color="auto"/>
            </w:tcBorders>
            <w:noWrap/>
            <w:vAlign w:val="center"/>
            <w:hideMark/>
          </w:tcPr>
          <w:p w14:paraId="519B287D" w14:textId="77777777" w:rsidR="00914EA7" w:rsidRPr="008E63BB" w:rsidRDefault="00914EA7" w:rsidP="0065184D">
            <w:pPr>
              <w:rPr>
                <w:b/>
                <w:bCs/>
                <w:sz w:val="24"/>
                <w:szCs w:val="24"/>
              </w:rPr>
            </w:pPr>
            <w:r w:rsidRPr="008E63BB">
              <w:rPr>
                <w:b/>
                <w:bCs/>
                <w:sz w:val="24"/>
                <w:szCs w:val="24"/>
              </w:rPr>
              <w:t>Đ</w:t>
            </w:r>
            <w:r w:rsidRPr="008E63BB">
              <w:rPr>
                <w:b/>
                <w:bCs/>
                <w:sz w:val="24"/>
                <w:szCs w:val="24"/>
              </w:rPr>
              <w:softHyphen/>
              <w:t>ường đô thị</w:t>
            </w:r>
          </w:p>
        </w:tc>
        <w:tc>
          <w:tcPr>
            <w:tcW w:w="959" w:type="pct"/>
            <w:tcBorders>
              <w:top w:val="single" w:sz="4" w:space="0" w:color="auto"/>
              <w:left w:val="single" w:sz="4" w:space="0" w:color="auto"/>
              <w:bottom w:val="single" w:sz="4" w:space="0" w:color="auto"/>
              <w:right w:val="single" w:sz="4" w:space="0" w:color="auto"/>
            </w:tcBorders>
            <w:vAlign w:val="center"/>
            <w:hideMark/>
          </w:tcPr>
          <w:p w14:paraId="519B287E" w14:textId="77777777" w:rsidR="00914EA7" w:rsidRPr="008E63BB" w:rsidRDefault="00914EA7" w:rsidP="0065184D">
            <w:pPr>
              <w:rPr>
                <w:b/>
                <w:bCs/>
                <w:sz w:val="24"/>
                <w:szCs w:val="24"/>
              </w:rPr>
            </w:pPr>
            <w:r w:rsidRPr="008E63BB">
              <w:rPr>
                <w:b/>
                <w:bCs/>
                <w:sz w:val="24"/>
                <w:szCs w:val="24"/>
              </w:rPr>
              <w:t>362 đ</w:t>
            </w:r>
            <w:r w:rsidRPr="008E63BB">
              <w:rPr>
                <w:b/>
                <w:bCs/>
                <w:sz w:val="24"/>
                <w:szCs w:val="24"/>
              </w:rPr>
              <w:softHyphen/>
              <w:t>ường phố</w:t>
            </w: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7F" w14:textId="77777777" w:rsidR="00914EA7" w:rsidRPr="008E63BB" w:rsidRDefault="00914EA7" w:rsidP="0065184D">
            <w:pPr>
              <w:rPr>
                <w:b/>
                <w:bCs/>
                <w:sz w:val="24"/>
                <w:szCs w:val="24"/>
              </w:rPr>
            </w:pPr>
            <w:r w:rsidRPr="008E63BB">
              <w:rPr>
                <w:b/>
                <w:bCs/>
                <w:sz w:val="24"/>
                <w:szCs w:val="24"/>
              </w:rPr>
              <w:t>191,5</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80" w14:textId="77777777" w:rsidR="00914EA7" w:rsidRPr="008E63BB" w:rsidRDefault="00914EA7" w:rsidP="0065184D">
            <w:pPr>
              <w:rPr>
                <w:b/>
                <w:bCs/>
                <w:sz w:val="24"/>
                <w:szCs w:val="24"/>
              </w:rPr>
            </w:pPr>
            <w:r w:rsidRPr="008E63BB">
              <w:rPr>
                <w:b/>
                <w:bCs/>
                <w:sz w:val="24"/>
                <w:szCs w:val="24"/>
              </w:rPr>
              <w:t>191,5</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81" w14:textId="77777777" w:rsidR="00914EA7" w:rsidRPr="008E63BB" w:rsidRDefault="00914EA7" w:rsidP="0065184D">
            <w:pPr>
              <w:rPr>
                <w:b/>
                <w:bCs/>
                <w:sz w:val="24"/>
                <w:szCs w:val="24"/>
              </w:rPr>
            </w:pPr>
            <w:r w:rsidRPr="008E63BB">
              <w:rPr>
                <w:b/>
                <w:bCs/>
                <w:sz w:val="24"/>
                <w:szCs w:val="24"/>
              </w:rPr>
              <w:t>0</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82" w14:textId="77777777" w:rsidR="00914EA7" w:rsidRPr="008E63BB" w:rsidRDefault="00914EA7" w:rsidP="0065184D">
            <w:pPr>
              <w:rPr>
                <w:b/>
                <w:bCs/>
                <w:sz w:val="24"/>
                <w:szCs w:val="24"/>
              </w:rPr>
            </w:pPr>
            <w:r w:rsidRPr="008E63BB">
              <w:rPr>
                <w:b/>
                <w:bCs/>
                <w:sz w:val="24"/>
                <w:szCs w:val="24"/>
              </w:rPr>
              <w:t>0</w:t>
            </w:r>
          </w:p>
        </w:tc>
      </w:tr>
      <w:tr w:rsidR="008D5BFE" w:rsidRPr="008E63BB" w14:paraId="519B288B" w14:textId="77777777" w:rsidTr="00914EA7">
        <w:trPr>
          <w:trHeight w:val="387"/>
          <w:jc w:val="center"/>
        </w:trPr>
        <w:tc>
          <w:tcPr>
            <w:tcW w:w="301" w:type="pct"/>
            <w:tcBorders>
              <w:top w:val="single" w:sz="4" w:space="0" w:color="auto"/>
              <w:left w:val="single" w:sz="4" w:space="0" w:color="auto"/>
              <w:bottom w:val="single" w:sz="4" w:space="0" w:color="auto"/>
              <w:right w:val="single" w:sz="4" w:space="0" w:color="auto"/>
            </w:tcBorders>
            <w:noWrap/>
            <w:vAlign w:val="center"/>
            <w:hideMark/>
          </w:tcPr>
          <w:p w14:paraId="519B2884" w14:textId="77777777" w:rsidR="00914EA7" w:rsidRPr="008E63BB" w:rsidRDefault="00914EA7" w:rsidP="0065184D">
            <w:pPr>
              <w:rPr>
                <w:sz w:val="24"/>
                <w:szCs w:val="24"/>
              </w:rPr>
            </w:pPr>
            <w:r w:rsidRPr="008E63BB">
              <w:rPr>
                <w:sz w:val="24"/>
                <w:szCs w:val="24"/>
              </w:rPr>
              <w:t>1</w:t>
            </w:r>
          </w:p>
        </w:tc>
        <w:tc>
          <w:tcPr>
            <w:tcW w:w="1803" w:type="pct"/>
            <w:tcBorders>
              <w:top w:val="single" w:sz="4" w:space="0" w:color="auto"/>
              <w:left w:val="single" w:sz="4" w:space="0" w:color="auto"/>
              <w:bottom w:val="single" w:sz="4" w:space="0" w:color="auto"/>
              <w:right w:val="single" w:sz="4" w:space="0" w:color="auto"/>
            </w:tcBorders>
            <w:noWrap/>
            <w:vAlign w:val="center"/>
            <w:hideMark/>
          </w:tcPr>
          <w:p w14:paraId="519B2885" w14:textId="77777777" w:rsidR="00914EA7" w:rsidRPr="008E63BB" w:rsidRDefault="00914EA7" w:rsidP="0065184D">
            <w:pPr>
              <w:rPr>
                <w:sz w:val="24"/>
                <w:szCs w:val="24"/>
              </w:rPr>
            </w:pPr>
            <w:r w:rsidRPr="008E63BB">
              <w:rPr>
                <w:sz w:val="24"/>
                <w:szCs w:val="24"/>
              </w:rPr>
              <w:t>Đường thành phố đã đặt tên</w:t>
            </w:r>
          </w:p>
        </w:tc>
        <w:tc>
          <w:tcPr>
            <w:tcW w:w="959" w:type="pct"/>
            <w:tcBorders>
              <w:top w:val="single" w:sz="4" w:space="0" w:color="auto"/>
              <w:left w:val="single" w:sz="4" w:space="0" w:color="auto"/>
              <w:bottom w:val="single" w:sz="4" w:space="0" w:color="auto"/>
              <w:right w:val="single" w:sz="4" w:space="0" w:color="auto"/>
            </w:tcBorders>
            <w:vAlign w:val="center"/>
            <w:hideMark/>
          </w:tcPr>
          <w:p w14:paraId="519B2886" w14:textId="77777777" w:rsidR="00914EA7" w:rsidRPr="008E63BB" w:rsidRDefault="00914EA7" w:rsidP="0065184D">
            <w:pPr>
              <w:rPr>
                <w:sz w:val="24"/>
                <w:szCs w:val="24"/>
              </w:rPr>
            </w:pPr>
            <w:r w:rsidRPr="008E63BB">
              <w:rPr>
                <w:sz w:val="24"/>
                <w:szCs w:val="24"/>
              </w:rPr>
              <w:t>344 đư</w:t>
            </w:r>
            <w:r w:rsidRPr="008E63BB">
              <w:rPr>
                <w:sz w:val="24"/>
                <w:szCs w:val="24"/>
              </w:rPr>
              <w:softHyphen/>
              <w:t>ờng phố</w:t>
            </w: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87" w14:textId="77777777" w:rsidR="00914EA7" w:rsidRPr="008E63BB" w:rsidRDefault="00914EA7" w:rsidP="0065184D">
            <w:pPr>
              <w:rPr>
                <w:sz w:val="24"/>
                <w:szCs w:val="24"/>
              </w:rPr>
            </w:pPr>
            <w:r w:rsidRPr="008E63BB">
              <w:rPr>
                <w:sz w:val="24"/>
                <w:szCs w:val="24"/>
              </w:rPr>
              <w:t>185,75</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88" w14:textId="77777777" w:rsidR="00914EA7" w:rsidRPr="008E63BB" w:rsidRDefault="00914EA7" w:rsidP="0065184D">
            <w:pPr>
              <w:rPr>
                <w:sz w:val="24"/>
                <w:szCs w:val="24"/>
              </w:rPr>
            </w:pPr>
            <w:r w:rsidRPr="008E63BB">
              <w:rPr>
                <w:sz w:val="24"/>
                <w:szCs w:val="24"/>
              </w:rPr>
              <w:t>185,75</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89" w14:textId="77777777" w:rsidR="00914EA7" w:rsidRPr="008E63BB" w:rsidRDefault="00914EA7" w:rsidP="0065184D">
            <w:pPr>
              <w:rPr>
                <w:sz w:val="24"/>
                <w:szCs w:val="24"/>
              </w:rPr>
            </w:pPr>
            <w:r w:rsidRPr="008E63BB">
              <w:rPr>
                <w:sz w:val="24"/>
                <w:szCs w:val="24"/>
              </w:rPr>
              <w:t>0</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8A" w14:textId="77777777" w:rsidR="00914EA7" w:rsidRPr="008E63BB" w:rsidRDefault="00914EA7" w:rsidP="0065184D">
            <w:pPr>
              <w:rPr>
                <w:sz w:val="24"/>
                <w:szCs w:val="24"/>
              </w:rPr>
            </w:pPr>
            <w:r w:rsidRPr="008E63BB">
              <w:rPr>
                <w:sz w:val="24"/>
                <w:szCs w:val="24"/>
              </w:rPr>
              <w:t>0</w:t>
            </w:r>
          </w:p>
        </w:tc>
      </w:tr>
      <w:tr w:rsidR="008D5BFE" w:rsidRPr="008E63BB" w14:paraId="519B2893" w14:textId="77777777" w:rsidTr="00914EA7">
        <w:trPr>
          <w:trHeight w:val="387"/>
          <w:jc w:val="center"/>
        </w:trPr>
        <w:tc>
          <w:tcPr>
            <w:tcW w:w="301" w:type="pct"/>
            <w:tcBorders>
              <w:top w:val="single" w:sz="4" w:space="0" w:color="auto"/>
              <w:left w:val="single" w:sz="4" w:space="0" w:color="auto"/>
              <w:bottom w:val="single" w:sz="4" w:space="0" w:color="auto"/>
              <w:right w:val="single" w:sz="4" w:space="0" w:color="auto"/>
            </w:tcBorders>
            <w:noWrap/>
            <w:vAlign w:val="bottom"/>
            <w:hideMark/>
          </w:tcPr>
          <w:p w14:paraId="519B288C" w14:textId="77777777" w:rsidR="00914EA7" w:rsidRPr="008E63BB" w:rsidRDefault="00914EA7" w:rsidP="0065184D">
            <w:pPr>
              <w:rPr>
                <w:sz w:val="24"/>
                <w:szCs w:val="24"/>
              </w:rPr>
            </w:pPr>
            <w:r w:rsidRPr="008E63BB">
              <w:rPr>
                <w:sz w:val="24"/>
                <w:szCs w:val="24"/>
              </w:rPr>
              <w:t>2</w:t>
            </w:r>
          </w:p>
        </w:tc>
        <w:tc>
          <w:tcPr>
            <w:tcW w:w="1803" w:type="pct"/>
            <w:tcBorders>
              <w:top w:val="single" w:sz="4" w:space="0" w:color="auto"/>
              <w:left w:val="single" w:sz="4" w:space="0" w:color="auto"/>
              <w:bottom w:val="single" w:sz="4" w:space="0" w:color="auto"/>
              <w:right w:val="single" w:sz="4" w:space="0" w:color="auto"/>
            </w:tcBorders>
            <w:noWrap/>
            <w:vAlign w:val="bottom"/>
            <w:hideMark/>
          </w:tcPr>
          <w:p w14:paraId="519B288D" w14:textId="77777777" w:rsidR="00914EA7" w:rsidRPr="008E63BB" w:rsidRDefault="00914EA7" w:rsidP="0065184D">
            <w:pPr>
              <w:rPr>
                <w:sz w:val="24"/>
                <w:szCs w:val="24"/>
              </w:rPr>
            </w:pPr>
            <w:r w:rsidRPr="008E63BB">
              <w:rPr>
                <w:sz w:val="24"/>
                <w:szCs w:val="24"/>
              </w:rPr>
              <w:t>Đường thành phố chưa đặt tên</w:t>
            </w:r>
          </w:p>
        </w:tc>
        <w:tc>
          <w:tcPr>
            <w:tcW w:w="959" w:type="pct"/>
            <w:tcBorders>
              <w:top w:val="single" w:sz="4" w:space="0" w:color="auto"/>
              <w:left w:val="single" w:sz="4" w:space="0" w:color="auto"/>
              <w:bottom w:val="single" w:sz="4" w:space="0" w:color="auto"/>
              <w:right w:val="single" w:sz="4" w:space="0" w:color="auto"/>
            </w:tcBorders>
            <w:vAlign w:val="center"/>
            <w:hideMark/>
          </w:tcPr>
          <w:p w14:paraId="519B288E" w14:textId="77777777" w:rsidR="00914EA7" w:rsidRPr="008E63BB" w:rsidRDefault="00914EA7" w:rsidP="0065184D">
            <w:pPr>
              <w:rPr>
                <w:sz w:val="24"/>
                <w:szCs w:val="24"/>
              </w:rPr>
            </w:pPr>
            <w:r w:rsidRPr="008E63BB">
              <w:rPr>
                <w:sz w:val="24"/>
                <w:szCs w:val="24"/>
              </w:rPr>
              <w:t>18 đ</w:t>
            </w:r>
            <w:r w:rsidRPr="008E63BB">
              <w:rPr>
                <w:sz w:val="24"/>
                <w:szCs w:val="24"/>
              </w:rPr>
              <w:softHyphen/>
              <w:t>ường phố</w:t>
            </w: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8F" w14:textId="77777777" w:rsidR="00914EA7" w:rsidRPr="008E63BB" w:rsidRDefault="00914EA7" w:rsidP="0065184D">
            <w:pPr>
              <w:rPr>
                <w:sz w:val="24"/>
                <w:szCs w:val="24"/>
              </w:rPr>
            </w:pPr>
            <w:r w:rsidRPr="008E63BB">
              <w:rPr>
                <w:sz w:val="24"/>
                <w:szCs w:val="24"/>
              </w:rPr>
              <w:t>5,75</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90" w14:textId="77777777" w:rsidR="00914EA7" w:rsidRPr="008E63BB" w:rsidRDefault="00914EA7" w:rsidP="0065184D">
            <w:pPr>
              <w:rPr>
                <w:sz w:val="24"/>
                <w:szCs w:val="24"/>
              </w:rPr>
            </w:pPr>
            <w:r w:rsidRPr="008E63BB">
              <w:rPr>
                <w:sz w:val="24"/>
                <w:szCs w:val="24"/>
              </w:rPr>
              <w:t>5,75</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91" w14:textId="77777777" w:rsidR="00914EA7" w:rsidRPr="008E63BB" w:rsidRDefault="00914EA7" w:rsidP="0065184D">
            <w:pPr>
              <w:rPr>
                <w:sz w:val="24"/>
                <w:szCs w:val="24"/>
              </w:rPr>
            </w:pPr>
            <w:r w:rsidRPr="008E63BB">
              <w:rPr>
                <w:sz w:val="24"/>
                <w:szCs w:val="24"/>
              </w:rPr>
              <w:t> </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92" w14:textId="77777777" w:rsidR="00914EA7" w:rsidRPr="008E63BB" w:rsidRDefault="00914EA7" w:rsidP="0065184D">
            <w:pPr>
              <w:rPr>
                <w:sz w:val="24"/>
                <w:szCs w:val="24"/>
              </w:rPr>
            </w:pPr>
            <w:r w:rsidRPr="008E63BB">
              <w:rPr>
                <w:sz w:val="24"/>
                <w:szCs w:val="24"/>
              </w:rPr>
              <w:t> </w:t>
            </w:r>
          </w:p>
        </w:tc>
      </w:tr>
      <w:tr w:rsidR="008D5BFE" w:rsidRPr="008E63BB" w14:paraId="519B289B" w14:textId="77777777" w:rsidTr="00914EA7">
        <w:trPr>
          <w:trHeight w:val="369"/>
          <w:jc w:val="center"/>
        </w:trPr>
        <w:tc>
          <w:tcPr>
            <w:tcW w:w="301" w:type="pct"/>
            <w:tcBorders>
              <w:top w:val="single" w:sz="4" w:space="0" w:color="auto"/>
              <w:left w:val="single" w:sz="4" w:space="0" w:color="auto"/>
              <w:bottom w:val="single" w:sz="4" w:space="0" w:color="auto"/>
              <w:right w:val="single" w:sz="4" w:space="0" w:color="auto"/>
            </w:tcBorders>
            <w:noWrap/>
            <w:vAlign w:val="center"/>
            <w:hideMark/>
          </w:tcPr>
          <w:p w14:paraId="519B2894" w14:textId="77777777" w:rsidR="00914EA7" w:rsidRPr="008E63BB" w:rsidRDefault="00914EA7" w:rsidP="0065184D">
            <w:pPr>
              <w:rPr>
                <w:b/>
                <w:bCs/>
                <w:sz w:val="24"/>
                <w:szCs w:val="24"/>
              </w:rPr>
            </w:pPr>
            <w:r w:rsidRPr="008E63BB">
              <w:rPr>
                <w:b/>
                <w:bCs/>
                <w:sz w:val="24"/>
                <w:szCs w:val="24"/>
              </w:rPr>
              <w:t>B</w:t>
            </w:r>
          </w:p>
        </w:tc>
        <w:tc>
          <w:tcPr>
            <w:tcW w:w="1803" w:type="pct"/>
            <w:tcBorders>
              <w:top w:val="single" w:sz="4" w:space="0" w:color="auto"/>
              <w:left w:val="single" w:sz="4" w:space="0" w:color="auto"/>
              <w:bottom w:val="single" w:sz="4" w:space="0" w:color="auto"/>
              <w:right w:val="single" w:sz="4" w:space="0" w:color="auto"/>
            </w:tcBorders>
            <w:noWrap/>
            <w:vAlign w:val="center"/>
            <w:hideMark/>
          </w:tcPr>
          <w:p w14:paraId="519B2895" w14:textId="77777777" w:rsidR="00914EA7" w:rsidRPr="008E63BB" w:rsidRDefault="00914EA7" w:rsidP="0065184D">
            <w:pPr>
              <w:rPr>
                <w:b/>
                <w:bCs/>
                <w:sz w:val="24"/>
                <w:szCs w:val="24"/>
              </w:rPr>
            </w:pPr>
            <w:r w:rsidRPr="008E63BB">
              <w:rPr>
                <w:b/>
                <w:bCs/>
                <w:sz w:val="24"/>
                <w:szCs w:val="24"/>
              </w:rPr>
              <w:t>Đ</w:t>
            </w:r>
            <w:r w:rsidRPr="008E63BB">
              <w:rPr>
                <w:b/>
                <w:bCs/>
                <w:sz w:val="24"/>
                <w:szCs w:val="24"/>
              </w:rPr>
              <w:softHyphen/>
              <w:t>ường khu công nghiệp</w:t>
            </w:r>
          </w:p>
        </w:tc>
        <w:tc>
          <w:tcPr>
            <w:tcW w:w="959" w:type="pct"/>
            <w:tcBorders>
              <w:top w:val="single" w:sz="4" w:space="0" w:color="auto"/>
              <w:left w:val="single" w:sz="4" w:space="0" w:color="auto"/>
              <w:bottom w:val="single" w:sz="4" w:space="0" w:color="auto"/>
              <w:right w:val="single" w:sz="4" w:space="0" w:color="auto"/>
            </w:tcBorders>
            <w:noWrap/>
            <w:vAlign w:val="bottom"/>
          </w:tcPr>
          <w:p w14:paraId="519B2896" w14:textId="77777777" w:rsidR="00914EA7" w:rsidRPr="008E63BB" w:rsidRDefault="00914EA7" w:rsidP="0065184D">
            <w:pPr>
              <w:rPr>
                <w:sz w:val="24"/>
                <w:szCs w:val="24"/>
              </w:rPr>
            </w:pP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97" w14:textId="77777777" w:rsidR="00914EA7" w:rsidRPr="008E63BB" w:rsidRDefault="00914EA7" w:rsidP="0065184D">
            <w:pPr>
              <w:rPr>
                <w:b/>
                <w:bCs/>
                <w:sz w:val="24"/>
                <w:szCs w:val="24"/>
              </w:rPr>
            </w:pPr>
            <w:r w:rsidRPr="008E63BB">
              <w:rPr>
                <w:b/>
                <w:bCs/>
                <w:sz w:val="24"/>
                <w:szCs w:val="24"/>
              </w:rPr>
              <w:t>33,35</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98" w14:textId="77777777" w:rsidR="00914EA7" w:rsidRPr="008E63BB" w:rsidRDefault="00914EA7" w:rsidP="0065184D">
            <w:pPr>
              <w:rPr>
                <w:sz w:val="24"/>
                <w:szCs w:val="24"/>
              </w:rPr>
            </w:pPr>
            <w:r w:rsidRPr="008E63BB">
              <w:rPr>
                <w:b/>
                <w:bCs/>
                <w:sz w:val="24"/>
                <w:szCs w:val="24"/>
              </w:rPr>
              <w:t>33,35</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99" w14:textId="77777777" w:rsidR="00914EA7" w:rsidRPr="008E63BB" w:rsidRDefault="00914EA7" w:rsidP="0065184D">
            <w:pPr>
              <w:rPr>
                <w:sz w:val="24"/>
                <w:szCs w:val="24"/>
              </w:rPr>
            </w:pPr>
            <w:r w:rsidRPr="008E63BB">
              <w:rPr>
                <w:sz w:val="24"/>
                <w:szCs w:val="24"/>
              </w:rPr>
              <w:t> </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9A" w14:textId="77777777" w:rsidR="00914EA7" w:rsidRPr="008E63BB" w:rsidRDefault="00914EA7" w:rsidP="0065184D">
            <w:pPr>
              <w:rPr>
                <w:sz w:val="24"/>
                <w:szCs w:val="24"/>
              </w:rPr>
            </w:pPr>
            <w:r w:rsidRPr="008E63BB">
              <w:rPr>
                <w:sz w:val="24"/>
                <w:szCs w:val="24"/>
              </w:rPr>
              <w:t> </w:t>
            </w:r>
          </w:p>
        </w:tc>
      </w:tr>
      <w:tr w:rsidR="008D5BFE" w:rsidRPr="008E63BB" w14:paraId="519B28A3" w14:textId="77777777" w:rsidTr="00914EA7">
        <w:trPr>
          <w:trHeight w:val="371"/>
          <w:jc w:val="center"/>
        </w:trPr>
        <w:tc>
          <w:tcPr>
            <w:tcW w:w="301" w:type="pct"/>
            <w:tcBorders>
              <w:top w:val="single" w:sz="4" w:space="0" w:color="auto"/>
              <w:left w:val="single" w:sz="4" w:space="0" w:color="auto"/>
              <w:bottom w:val="single" w:sz="4" w:space="0" w:color="auto"/>
              <w:right w:val="single" w:sz="4" w:space="0" w:color="auto"/>
            </w:tcBorders>
            <w:noWrap/>
            <w:vAlign w:val="bottom"/>
            <w:hideMark/>
          </w:tcPr>
          <w:p w14:paraId="519B289C" w14:textId="77777777" w:rsidR="00914EA7" w:rsidRPr="008E63BB" w:rsidRDefault="00914EA7" w:rsidP="0065184D">
            <w:pPr>
              <w:rPr>
                <w:sz w:val="24"/>
                <w:szCs w:val="24"/>
              </w:rPr>
            </w:pPr>
            <w:r w:rsidRPr="008E63BB">
              <w:rPr>
                <w:sz w:val="24"/>
                <w:szCs w:val="24"/>
              </w:rPr>
              <w:t>1</w:t>
            </w:r>
          </w:p>
        </w:tc>
        <w:tc>
          <w:tcPr>
            <w:tcW w:w="1803" w:type="pct"/>
            <w:tcBorders>
              <w:top w:val="single" w:sz="4" w:space="0" w:color="auto"/>
              <w:left w:val="single" w:sz="4" w:space="0" w:color="auto"/>
              <w:bottom w:val="single" w:sz="4" w:space="0" w:color="auto"/>
              <w:right w:val="single" w:sz="4" w:space="0" w:color="auto"/>
            </w:tcBorders>
            <w:noWrap/>
            <w:vAlign w:val="bottom"/>
            <w:hideMark/>
          </w:tcPr>
          <w:p w14:paraId="519B289D" w14:textId="77777777" w:rsidR="00914EA7" w:rsidRPr="008E63BB" w:rsidRDefault="00914EA7" w:rsidP="0065184D">
            <w:pPr>
              <w:rPr>
                <w:sz w:val="24"/>
                <w:szCs w:val="24"/>
              </w:rPr>
            </w:pPr>
            <w:r w:rsidRPr="008E63BB">
              <w:rPr>
                <w:sz w:val="24"/>
                <w:szCs w:val="24"/>
              </w:rPr>
              <w:t>Khu Công nghiệp Hoà Xá</w:t>
            </w:r>
          </w:p>
        </w:tc>
        <w:tc>
          <w:tcPr>
            <w:tcW w:w="959" w:type="pct"/>
            <w:tcBorders>
              <w:top w:val="single" w:sz="4" w:space="0" w:color="auto"/>
              <w:left w:val="single" w:sz="4" w:space="0" w:color="auto"/>
              <w:bottom w:val="single" w:sz="4" w:space="0" w:color="auto"/>
              <w:right w:val="single" w:sz="4" w:space="0" w:color="auto"/>
            </w:tcBorders>
            <w:vAlign w:val="center"/>
            <w:hideMark/>
          </w:tcPr>
          <w:p w14:paraId="519B289E" w14:textId="77777777" w:rsidR="00914EA7" w:rsidRPr="008E63BB" w:rsidRDefault="00914EA7" w:rsidP="0065184D">
            <w:pPr>
              <w:rPr>
                <w:sz w:val="24"/>
                <w:szCs w:val="24"/>
              </w:rPr>
            </w:pPr>
            <w:r w:rsidRPr="008E63BB">
              <w:rPr>
                <w:sz w:val="24"/>
                <w:szCs w:val="24"/>
              </w:rPr>
              <w:t>13 tuyến</w:t>
            </w: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9F" w14:textId="77777777" w:rsidR="00914EA7" w:rsidRPr="008E63BB" w:rsidRDefault="00914EA7" w:rsidP="0065184D">
            <w:pPr>
              <w:rPr>
                <w:sz w:val="24"/>
                <w:szCs w:val="24"/>
              </w:rPr>
            </w:pPr>
            <w:r w:rsidRPr="008E63BB">
              <w:rPr>
                <w:sz w:val="24"/>
                <w:szCs w:val="24"/>
              </w:rPr>
              <w:t>16,25</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A0" w14:textId="77777777" w:rsidR="00914EA7" w:rsidRPr="008E63BB" w:rsidRDefault="00914EA7" w:rsidP="0065184D">
            <w:pPr>
              <w:rPr>
                <w:sz w:val="24"/>
                <w:szCs w:val="24"/>
              </w:rPr>
            </w:pPr>
            <w:r w:rsidRPr="008E63BB">
              <w:rPr>
                <w:sz w:val="24"/>
                <w:szCs w:val="24"/>
              </w:rPr>
              <w:t>16,3</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A1" w14:textId="77777777" w:rsidR="00914EA7" w:rsidRPr="008E63BB" w:rsidRDefault="00914EA7" w:rsidP="0065184D">
            <w:pPr>
              <w:rPr>
                <w:sz w:val="24"/>
                <w:szCs w:val="24"/>
              </w:rPr>
            </w:pPr>
            <w:r w:rsidRPr="008E63BB">
              <w:rPr>
                <w:sz w:val="24"/>
                <w:szCs w:val="24"/>
              </w:rPr>
              <w:t> </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A2" w14:textId="77777777" w:rsidR="00914EA7" w:rsidRPr="008E63BB" w:rsidRDefault="00914EA7" w:rsidP="0065184D">
            <w:pPr>
              <w:rPr>
                <w:sz w:val="24"/>
                <w:szCs w:val="24"/>
              </w:rPr>
            </w:pPr>
            <w:r w:rsidRPr="008E63BB">
              <w:rPr>
                <w:sz w:val="24"/>
                <w:szCs w:val="24"/>
              </w:rPr>
              <w:t> </w:t>
            </w:r>
          </w:p>
        </w:tc>
      </w:tr>
      <w:tr w:rsidR="008D5BFE" w:rsidRPr="008E63BB" w14:paraId="519B28AB" w14:textId="77777777" w:rsidTr="00914EA7">
        <w:trPr>
          <w:trHeight w:val="371"/>
          <w:jc w:val="center"/>
        </w:trPr>
        <w:tc>
          <w:tcPr>
            <w:tcW w:w="301" w:type="pct"/>
            <w:tcBorders>
              <w:top w:val="single" w:sz="4" w:space="0" w:color="auto"/>
              <w:left w:val="single" w:sz="4" w:space="0" w:color="auto"/>
              <w:bottom w:val="single" w:sz="4" w:space="0" w:color="auto"/>
              <w:right w:val="single" w:sz="4" w:space="0" w:color="auto"/>
            </w:tcBorders>
            <w:noWrap/>
            <w:vAlign w:val="bottom"/>
            <w:hideMark/>
          </w:tcPr>
          <w:p w14:paraId="519B28A4" w14:textId="77777777" w:rsidR="00914EA7" w:rsidRPr="008E63BB" w:rsidRDefault="00914EA7" w:rsidP="0065184D">
            <w:pPr>
              <w:rPr>
                <w:sz w:val="24"/>
                <w:szCs w:val="24"/>
              </w:rPr>
            </w:pPr>
            <w:r w:rsidRPr="008E63BB">
              <w:rPr>
                <w:sz w:val="24"/>
                <w:szCs w:val="24"/>
              </w:rPr>
              <w:t>2</w:t>
            </w:r>
          </w:p>
        </w:tc>
        <w:tc>
          <w:tcPr>
            <w:tcW w:w="1803" w:type="pct"/>
            <w:tcBorders>
              <w:top w:val="single" w:sz="4" w:space="0" w:color="auto"/>
              <w:left w:val="single" w:sz="4" w:space="0" w:color="auto"/>
              <w:bottom w:val="single" w:sz="4" w:space="0" w:color="auto"/>
              <w:right w:val="single" w:sz="4" w:space="0" w:color="auto"/>
            </w:tcBorders>
            <w:noWrap/>
            <w:vAlign w:val="bottom"/>
            <w:hideMark/>
          </w:tcPr>
          <w:p w14:paraId="519B28A5" w14:textId="77777777" w:rsidR="00914EA7" w:rsidRPr="008E63BB" w:rsidRDefault="00914EA7" w:rsidP="0065184D">
            <w:pPr>
              <w:rPr>
                <w:sz w:val="24"/>
                <w:szCs w:val="24"/>
              </w:rPr>
            </w:pPr>
            <w:r w:rsidRPr="008E63BB">
              <w:rPr>
                <w:sz w:val="24"/>
                <w:szCs w:val="24"/>
              </w:rPr>
              <w:t>Khu Công nghiệp Mỹ Trung</w:t>
            </w:r>
          </w:p>
        </w:tc>
        <w:tc>
          <w:tcPr>
            <w:tcW w:w="959" w:type="pct"/>
            <w:tcBorders>
              <w:top w:val="single" w:sz="4" w:space="0" w:color="auto"/>
              <w:left w:val="single" w:sz="4" w:space="0" w:color="auto"/>
              <w:bottom w:val="single" w:sz="4" w:space="0" w:color="auto"/>
              <w:right w:val="single" w:sz="4" w:space="0" w:color="auto"/>
            </w:tcBorders>
            <w:vAlign w:val="center"/>
            <w:hideMark/>
          </w:tcPr>
          <w:p w14:paraId="519B28A6" w14:textId="77777777" w:rsidR="00914EA7" w:rsidRPr="008E63BB" w:rsidRDefault="00914EA7" w:rsidP="0065184D">
            <w:pPr>
              <w:rPr>
                <w:sz w:val="24"/>
                <w:szCs w:val="24"/>
              </w:rPr>
            </w:pPr>
            <w:r w:rsidRPr="008E63BB">
              <w:rPr>
                <w:sz w:val="24"/>
                <w:szCs w:val="24"/>
              </w:rPr>
              <w:t>12 tuyến</w:t>
            </w: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A7" w14:textId="77777777" w:rsidR="00914EA7" w:rsidRPr="008E63BB" w:rsidRDefault="00914EA7" w:rsidP="0065184D">
            <w:pPr>
              <w:rPr>
                <w:sz w:val="24"/>
                <w:szCs w:val="24"/>
              </w:rPr>
            </w:pPr>
            <w:r w:rsidRPr="008E63BB">
              <w:rPr>
                <w:sz w:val="24"/>
                <w:szCs w:val="24"/>
              </w:rPr>
              <w:t>8,60</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A8" w14:textId="77777777" w:rsidR="00914EA7" w:rsidRPr="008E63BB" w:rsidRDefault="00914EA7" w:rsidP="0065184D">
            <w:pPr>
              <w:rPr>
                <w:sz w:val="24"/>
                <w:szCs w:val="24"/>
              </w:rPr>
            </w:pPr>
            <w:r w:rsidRPr="008E63BB">
              <w:rPr>
                <w:sz w:val="24"/>
                <w:szCs w:val="24"/>
              </w:rPr>
              <w:t>8,6</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A9" w14:textId="77777777" w:rsidR="00914EA7" w:rsidRPr="008E63BB" w:rsidRDefault="00914EA7" w:rsidP="0065184D">
            <w:pPr>
              <w:rPr>
                <w:sz w:val="24"/>
                <w:szCs w:val="24"/>
              </w:rPr>
            </w:pPr>
            <w:r w:rsidRPr="008E63BB">
              <w:rPr>
                <w:sz w:val="24"/>
                <w:szCs w:val="24"/>
              </w:rPr>
              <w:t> </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AA" w14:textId="77777777" w:rsidR="00914EA7" w:rsidRPr="008E63BB" w:rsidRDefault="00914EA7" w:rsidP="0065184D">
            <w:pPr>
              <w:rPr>
                <w:sz w:val="24"/>
                <w:szCs w:val="24"/>
              </w:rPr>
            </w:pPr>
            <w:r w:rsidRPr="008E63BB">
              <w:rPr>
                <w:sz w:val="24"/>
                <w:szCs w:val="24"/>
              </w:rPr>
              <w:t> </w:t>
            </w:r>
          </w:p>
        </w:tc>
      </w:tr>
      <w:tr w:rsidR="008D5BFE" w:rsidRPr="008E63BB" w14:paraId="519B28B3" w14:textId="77777777" w:rsidTr="00914EA7">
        <w:trPr>
          <w:trHeight w:val="371"/>
          <w:jc w:val="center"/>
        </w:trPr>
        <w:tc>
          <w:tcPr>
            <w:tcW w:w="301" w:type="pct"/>
            <w:tcBorders>
              <w:top w:val="single" w:sz="4" w:space="0" w:color="auto"/>
              <w:left w:val="single" w:sz="4" w:space="0" w:color="auto"/>
              <w:bottom w:val="single" w:sz="4" w:space="0" w:color="auto"/>
              <w:right w:val="single" w:sz="4" w:space="0" w:color="auto"/>
            </w:tcBorders>
            <w:noWrap/>
            <w:vAlign w:val="bottom"/>
            <w:hideMark/>
          </w:tcPr>
          <w:p w14:paraId="519B28AC" w14:textId="77777777" w:rsidR="00914EA7" w:rsidRPr="008E63BB" w:rsidRDefault="00914EA7" w:rsidP="0065184D">
            <w:pPr>
              <w:rPr>
                <w:sz w:val="24"/>
                <w:szCs w:val="24"/>
              </w:rPr>
            </w:pPr>
            <w:r w:rsidRPr="008E63BB">
              <w:rPr>
                <w:sz w:val="24"/>
                <w:szCs w:val="24"/>
              </w:rPr>
              <w:t>3</w:t>
            </w:r>
          </w:p>
        </w:tc>
        <w:tc>
          <w:tcPr>
            <w:tcW w:w="1803" w:type="pct"/>
            <w:tcBorders>
              <w:top w:val="single" w:sz="4" w:space="0" w:color="auto"/>
              <w:left w:val="single" w:sz="4" w:space="0" w:color="auto"/>
              <w:bottom w:val="single" w:sz="4" w:space="0" w:color="auto"/>
              <w:right w:val="single" w:sz="4" w:space="0" w:color="auto"/>
            </w:tcBorders>
            <w:noWrap/>
            <w:vAlign w:val="bottom"/>
            <w:hideMark/>
          </w:tcPr>
          <w:p w14:paraId="519B28AD" w14:textId="77777777" w:rsidR="00914EA7" w:rsidRPr="008E63BB" w:rsidRDefault="00914EA7" w:rsidP="0065184D">
            <w:pPr>
              <w:rPr>
                <w:sz w:val="24"/>
                <w:szCs w:val="24"/>
              </w:rPr>
            </w:pPr>
            <w:r w:rsidRPr="008E63BB">
              <w:rPr>
                <w:sz w:val="24"/>
                <w:szCs w:val="24"/>
              </w:rPr>
              <w:t>Khu Công nghiệp BảoMinh</w:t>
            </w:r>
          </w:p>
        </w:tc>
        <w:tc>
          <w:tcPr>
            <w:tcW w:w="959" w:type="pct"/>
            <w:tcBorders>
              <w:top w:val="single" w:sz="4" w:space="0" w:color="auto"/>
              <w:left w:val="single" w:sz="4" w:space="0" w:color="auto"/>
              <w:bottom w:val="single" w:sz="4" w:space="0" w:color="auto"/>
              <w:right w:val="single" w:sz="4" w:space="0" w:color="auto"/>
            </w:tcBorders>
            <w:vAlign w:val="center"/>
            <w:hideMark/>
          </w:tcPr>
          <w:p w14:paraId="519B28AE" w14:textId="77777777" w:rsidR="00914EA7" w:rsidRPr="008E63BB" w:rsidRDefault="00914EA7" w:rsidP="0065184D">
            <w:pPr>
              <w:rPr>
                <w:sz w:val="24"/>
                <w:szCs w:val="24"/>
              </w:rPr>
            </w:pPr>
            <w:r w:rsidRPr="008E63BB">
              <w:rPr>
                <w:sz w:val="24"/>
                <w:szCs w:val="24"/>
              </w:rPr>
              <w:t>9 tuyến</w:t>
            </w:r>
          </w:p>
        </w:tc>
        <w:tc>
          <w:tcPr>
            <w:tcW w:w="605" w:type="pct"/>
            <w:tcBorders>
              <w:top w:val="single" w:sz="4" w:space="0" w:color="auto"/>
              <w:left w:val="single" w:sz="4" w:space="0" w:color="auto"/>
              <w:bottom w:val="single" w:sz="4" w:space="0" w:color="auto"/>
              <w:right w:val="single" w:sz="4" w:space="0" w:color="auto"/>
            </w:tcBorders>
            <w:noWrap/>
            <w:vAlign w:val="bottom"/>
            <w:hideMark/>
          </w:tcPr>
          <w:p w14:paraId="519B28AF" w14:textId="77777777" w:rsidR="00914EA7" w:rsidRPr="008E63BB" w:rsidRDefault="00914EA7" w:rsidP="0065184D">
            <w:pPr>
              <w:rPr>
                <w:sz w:val="24"/>
                <w:szCs w:val="24"/>
              </w:rPr>
            </w:pPr>
            <w:r w:rsidRPr="008E63BB">
              <w:rPr>
                <w:sz w:val="24"/>
                <w:szCs w:val="24"/>
              </w:rPr>
              <w:t>8,5</w:t>
            </w:r>
          </w:p>
        </w:tc>
        <w:tc>
          <w:tcPr>
            <w:tcW w:w="565" w:type="pct"/>
            <w:tcBorders>
              <w:top w:val="single" w:sz="4" w:space="0" w:color="auto"/>
              <w:left w:val="single" w:sz="4" w:space="0" w:color="auto"/>
              <w:bottom w:val="single" w:sz="4" w:space="0" w:color="auto"/>
              <w:right w:val="single" w:sz="4" w:space="0" w:color="auto"/>
            </w:tcBorders>
            <w:noWrap/>
            <w:vAlign w:val="bottom"/>
            <w:hideMark/>
          </w:tcPr>
          <w:p w14:paraId="519B28B0" w14:textId="77777777" w:rsidR="00914EA7" w:rsidRPr="008E63BB" w:rsidRDefault="00914EA7" w:rsidP="0065184D">
            <w:pPr>
              <w:rPr>
                <w:sz w:val="24"/>
                <w:szCs w:val="24"/>
              </w:rPr>
            </w:pPr>
            <w:r w:rsidRPr="008E63BB">
              <w:rPr>
                <w:sz w:val="24"/>
                <w:szCs w:val="24"/>
              </w:rPr>
              <w:t>8,5</w:t>
            </w:r>
          </w:p>
        </w:tc>
        <w:tc>
          <w:tcPr>
            <w:tcW w:w="388" w:type="pct"/>
            <w:tcBorders>
              <w:top w:val="single" w:sz="4" w:space="0" w:color="auto"/>
              <w:left w:val="single" w:sz="4" w:space="0" w:color="auto"/>
              <w:bottom w:val="single" w:sz="4" w:space="0" w:color="auto"/>
              <w:right w:val="single" w:sz="4" w:space="0" w:color="auto"/>
            </w:tcBorders>
            <w:noWrap/>
            <w:vAlign w:val="bottom"/>
            <w:hideMark/>
          </w:tcPr>
          <w:p w14:paraId="519B28B1" w14:textId="77777777" w:rsidR="00914EA7" w:rsidRPr="008E63BB" w:rsidRDefault="00914EA7" w:rsidP="0065184D">
            <w:pPr>
              <w:rPr>
                <w:sz w:val="24"/>
                <w:szCs w:val="24"/>
              </w:rPr>
            </w:pPr>
            <w:r w:rsidRPr="008E63BB">
              <w:rPr>
                <w:sz w:val="24"/>
                <w:szCs w:val="24"/>
              </w:rPr>
              <w:t> </w:t>
            </w:r>
          </w:p>
        </w:tc>
        <w:tc>
          <w:tcPr>
            <w:tcW w:w="379" w:type="pct"/>
            <w:tcBorders>
              <w:top w:val="single" w:sz="4" w:space="0" w:color="auto"/>
              <w:left w:val="single" w:sz="4" w:space="0" w:color="auto"/>
              <w:bottom w:val="single" w:sz="4" w:space="0" w:color="auto"/>
              <w:right w:val="single" w:sz="4" w:space="0" w:color="auto"/>
            </w:tcBorders>
            <w:noWrap/>
            <w:vAlign w:val="bottom"/>
            <w:hideMark/>
          </w:tcPr>
          <w:p w14:paraId="519B28B2" w14:textId="77777777" w:rsidR="00914EA7" w:rsidRPr="008E63BB" w:rsidRDefault="00914EA7" w:rsidP="0065184D">
            <w:pPr>
              <w:rPr>
                <w:sz w:val="24"/>
                <w:szCs w:val="24"/>
              </w:rPr>
            </w:pPr>
            <w:r w:rsidRPr="008E63BB">
              <w:rPr>
                <w:sz w:val="24"/>
                <w:szCs w:val="24"/>
              </w:rPr>
              <w:t> </w:t>
            </w:r>
          </w:p>
        </w:tc>
      </w:tr>
    </w:tbl>
    <w:p w14:paraId="519B28B4" w14:textId="77777777" w:rsidR="00914EA7" w:rsidRPr="008E63BB" w:rsidRDefault="00914EA7" w:rsidP="0065184D">
      <w:pPr>
        <w:jc w:val="right"/>
        <w:rPr>
          <w:i/>
          <w:sz w:val="20"/>
          <w:szCs w:val="20"/>
          <w:lang w:val="sv-SE"/>
        </w:rPr>
      </w:pPr>
      <w:r w:rsidRPr="008E63BB">
        <w:rPr>
          <w:i/>
          <w:sz w:val="20"/>
          <w:szCs w:val="20"/>
          <w:lang w:val="sv-SE"/>
        </w:rPr>
        <w:t>Nguồn: Sở GTVT Nam Định</w:t>
      </w:r>
    </w:p>
    <w:p w14:paraId="519B28B5" w14:textId="77777777" w:rsidR="00914EA7" w:rsidRPr="008E63BB" w:rsidRDefault="00B16653" w:rsidP="0065184D">
      <w:pPr>
        <w:jc w:val="center"/>
        <w:rPr>
          <w:sz w:val="24"/>
          <w:szCs w:val="24"/>
        </w:rPr>
      </w:pPr>
      <w:r w:rsidRPr="008E63BB">
        <w:rPr>
          <w:noProof/>
          <w:lang w:eastAsia="zh-CN"/>
        </w:rPr>
        <w:lastRenderedPageBreak/>
        <w:drawing>
          <wp:inline distT="0" distB="0" distL="0" distR="0" wp14:anchorId="519B51F7" wp14:editId="519B51F8">
            <wp:extent cx="5569585" cy="40792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569585" cy="4079240"/>
                    </a:xfrm>
                    <a:prstGeom prst="rect">
                      <a:avLst/>
                    </a:prstGeom>
                    <a:noFill/>
                    <a:ln>
                      <a:noFill/>
                    </a:ln>
                  </pic:spPr>
                </pic:pic>
              </a:graphicData>
            </a:graphic>
          </wp:inline>
        </w:drawing>
      </w:r>
    </w:p>
    <w:p w14:paraId="519B28B6" w14:textId="77777777" w:rsidR="00914EA7" w:rsidRPr="008E63BB" w:rsidRDefault="00914EA7" w:rsidP="0065184D">
      <w:pPr>
        <w:jc w:val="center"/>
        <w:rPr>
          <w:b/>
          <w:bCs/>
          <w:szCs w:val="26"/>
        </w:rPr>
      </w:pPr>
      <w:r w:rsidRPr="008E63BB">
        <w:t>Hình. Sơ đồ mạng lưới đường chính đô thị</w:t>
      </w:r>
    </w:p>
    <w:p w14:paraId="519B28B7" w14:textId="77777777" w:rsidR="00914EA7" w:rsidRPr="008E63BB" w:rsidRDefault="00914EA7" w:rsidP="0065184D">
      <w:pPr>
        <w:rPr>
          <w:b/>
          <w:bCs/>
          <w:i/>
          <w:iCs/>
          <w:szCs w:val="26"/>
        </w:rPr>
      </w:pPr>
      <w:r w:rsidRPr="008E63BB">
        <w:rPr>
          <w:b/>
          <w:bCs/>
          <w:i/>
          <w:iCs/>
          <w:szCs w:val="26"/>
        </w:rPr>
        <w:t>c. Giao thông nông thôn</w:t>
      </w:r>
    </w:p>
    <w:p w14:paraId="519B28B8" w14:textId="77777777" w:rsidR="00914EA7" w:rsidRPr="008E63BB" w:rsidRDefault="00914EA7" w:rsidP="0065184D">
      <w:pPr>
        <w:rPr>
          <w:szCs w:val="26"/>
        </w:rPr>
      </w:pPr>
      <w:r w:rsidRPr="008E63BB">
        <w:rPr>
          <w:szCs w:val="26"/>
        </w:rPr>
        <w:t xml:space="preserve">Đường giao thông nông thôn bao gồm đường huyện, đường xã và đường thôn xóm. Hầu hết đường huyện, đường xã hiện nay đạt tiêu chuẩn cấp V trở xuống, đánh giá chung về chất lượng, hiện nay hơn 80% là đường nhựa, bê tông xi măng, còn lại là đường cấp phối, đường đất. </w:t>
      </w:r>
    </w:p>
    <w:p w14:paraId="519B28B9" w14:textId="77777777" w:rsidR="00914EA7" w:rsidRPr="008E63BB" w:rsidRDefault="00914EA7" w:rsidP="0065184D">
      <w:pPr>
        <w:rPr>
          <w:b/>
          <w:bCs/>
          <w:i/>
          <w:iCs/>
          <w:szCs w:val="26"/>
        </w:rPr>
      </w:pPr>
      <w:r w:rsidRPr="008E63BB">
        <w:rPr>
          <w:b/>
          <w:bCs/>
          <w:i/>
          <w:iCs/>
          <w:szCs w:val="26"/>
        </w:rPr>
        <w:t>d. Giao thông công cộng</w:t>
      </w:r>
    </w:p>
    <w:p w14:paraId="519B28BA" w14:textId="77777777" w:rsidR="00914EA7" w:rsidRPr="008E63BB" w:rsidRDefault="00914EA7" w:rsidP="0065184D">
      <w:pPr>
        <w:rPr>
          <w:szCs w:val="26"/>
        </w:rPr>
      </w:pPr>
      <w:r w:rsidRPr="008E63BB">
        <w:rPr>
          <w:szCs w:val="26"/>
        </w:rPr>
        <w:t>Hiện tại, giao thông công cộng tại thành phố chỉ gồm loại hình xe buýt, phục vụ hành khách từ thành phố đi các huyện và ngược lại, lưu lượng hành khách / năm khoảng 4 triệu lượt, tỷ lệ đảm nhận của giao thông công cộng còn nhỏ (&lt;1%) so với tổng nhu cầu đi lại của người dân.</w:t>
      </w:r>
    </w:p>
    <w:p w14:paraId="519B28BB" w14:textId="77777777" w:rsidR="00914EA7" w:rsidRPr="008E63BB" w:rsidRDefault="00914EA7" w:rsidP="0065184D">
      <w:pPr>
        <w:pStyle w:val="Bang"/>
        <w:spacing w:before="0" w:after="0"/>
        <w:rPr>
          <w:lang w:val="sv-SE"/>
        </w:rPr>
      </w:pPr>
      <w:bookmarkStart w:id="220" w:name="_Toc328518837"/>
      <w:r w:rsidRPr="008E63BB">
        <w:t xml:space="preserve">Bảng. Hiện trạng </w:t>
      </w:r>
      <w:bookmarkEnd w:id="220"/>
      <w:r w:rsidRPr="008E63BB">
        <w:t>các tuyến xe buýt</w:t>
      </w:r>
    </w:p>
    <w:tbl>
      <w:tblPr>
        <w:tblW w:w="4887" w:type="pct"/>
        <w:jc w:val="center"/>
        <w:tblLook w:val="04A0" w:firstRow="1" w:lastRow="0" w:firstColumn="1" w:lastColumn="0" w:noHBand="0" w:noVBand="1"/>
      </w:tblPr>
      <w:tblGrid>
        <w:gridCol w:w="1576"/>
        <w:gridCol w:w="2206"/>
        <w:gridCol w:w="5501"/>
      </w:tblGrid>
      <w:tr w:rsidR="008D5BFE" w:rsidRPr="008E63BB" w14:paraId="519B28BF" w14:textId="77777777" w:rsidTr="00914EA7">
        <w:trPr>
          <w:trHeight w:val="482"/>
          <w:tblHeader/>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BC" w14:textId="77777777" w:rsidR="00914EA7" w:rsidRPr="008E63BB" w:rsidRDefault="00914EA7" w:rsidP="0065184D">
            <w:pPr>
              <w:jc w:val="center"/>
              <w:rPr>
                <w:b/>
                <w:bCs/>
                <w:sz w:val="23"/>
                <w:szCs w:val="27"/>
                <w:lang w:eastAsia="vi-VN"/>
              </w:rPr>
            </w:pPr>
            <w:r w:rsidRPr="008E63BB">
              <w:rPr>
                <w:b/>
                <w:bCs/>
                <w:sz w:val="23"/>
                <w:szCs w:val="27"/>
                <w:lang w:eastAsia="vi-VN"/>
              </w:rPr>
              <w:t>STT</w:t>
            </w:r>
          </w:p>
        </w:tc>
        <w:tc>
          <w:tcPr>
            <w:tcW w:w="1188" w:type="pct"/>
            <w:tcBorders>
              <w:top w:val="single" w:sz="4" w:space="0" w:color="auto"/>
              <w:left w:val="nil"/>
              <w:bottom w:val="single" w:sz="4" w:space="0" w:color="auto"/>
              <w:right w:val="single" w:sz="4" w:space="0" w:color="auto"/>
            </w:tcBorders>
            <w:noWrap/>
            <w:vAlign w:val="center"/>
            <w:hideMark/>
          </w:tcPr>
          <w:p w14:paraId="519B28BD" w14:textId="77777777" w:rsidR="00914EA7" w:rsidRPr="008E63BB" w:rsidRDefault="00914EA7" w:rsidP="0065184D">
            <w:pPr>
              <w:jc w:val="center"/>
              <w:rPr>
                <w:b/>
                <w:bCs/>
                <w:sz w:val="23"/>
                <w:szCs w:val="27"/>
                <w:lang w:val="vi-VN" w:eastAsia="vi-VN"/>
              </w:rPr>
            </w:pPr>
            <w:r w:rsidRPr="008E63BB">
              <w:rPr>
                <w:b/>
                <w:bCs/>
                <w:sz w:val="23"/>
                <w:szCs w:val="27"/>
                <w:lang w:val="vi-VN" w:eastAsia="vi-VN"/>
              </w:rPr>
              <w:t>MS</w:t>
            </w:r>
          </w:p>
        </w:tc>
        <w:tc>
          <w:tcPr>
            <w:tcW w:w="2963" w:type="pct"/>
            <w:tcBorders>
              <w:top w:val="single" w:sz="4" w:space="0" w:color="auto"/>
              <w:left w:val="nil"/>
              <w:bottom w:val="single" w:sz="4" w:space="0" w:color="auto"/>
              <w:right w:val="single" w:sz="4" w:space="0" w:color="auto"/>
            </w:tcBorders>
            <w:noWrap/>
            <w:vAlign w:val="center"/>
            <w:hideMark/>
          </w:tcPr>
          <w:p w14:paraId="519B28BE" w14:textId="77777777" w:rsidR="00914EA7" w:rsidRPr="008E63BB" w:rsidRDefault="00914EA7" w:rsidP="0065184D">
            <w:pPr>
              <w:jc w:val="center"/>
              <w:rPr>
                <w:b/>
                <w:bCs/>
                <w:sz w:val="23"/>
                <w:szCs w:val="27"/>
                <w:lang w:val="vi-VN" w:eastAsia="vi-VN"/>
              </w:rPr>
            </w:pPr>
            <w:r w:rsidRPr="008E63BB">
              <w:rPr>
                <w:b/>
                <w:bCs/>
                <w:sz w:val="23"/>
                <w:szCs w:val="27"/>
                <w:lang w:val="vi-VN" w:eastAsia="vi-VN"/>
              </w:rPr>
              <w:t>Tuyến</w:t>
            </w:r>
          </w:p>
        </w:tc>
      </w:tr>
      <w:tr w:rsidR="008D5BFE" w:rsidRPr="008E63BB" w14:paraId="519B28C3" w14:textId="77777777" w:rsidTr="00914EA7">
        <w:trPr>
          <w:trHeight w:val="508"/>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C0" w14:textId="77777777" w:rsidR="00914EA7" w:rsidRPr="008E63BB" w:rsidRDefault="00914EA7" w:rsidP="0065184D">
            <w:pPr>
              <w:jc w:val="center"/>
              <w:rPr>
                <w:sz w:val="23"/>
                <w:szCs w:val="27"/>
                <w:lang w:val="vi-VN" w:eastAsia="vi-VN"/>
              </w:rPr>
            </w:pPr>
            <w:r w:rsidRPr="008E63BB">
              <w:rPr>
                <w:sz w:val="23"/>
                <w:szCs w:val="27"/>
                <w:lang w:val="vi-VN" w:eastAsia="vi-VN"/>
              </w:rPr>
              <w:t>1</w:t>
            </w:r>
          </w:p>
        </w:tc>
        <w:tc>
          <w:tcPr>
            <w:tcW w:w="1188" w:type="pct"/>
            <w:tcBorders>
              <w:top w:val="single" w:sz="4" w:space="0" w:color="auto"/>
              <w:left w:val="nil"/>
              <w:bottom w:val="single" w:sz="4" w:space="0" w:color="auto"/>
              <w:right w:val="single" w:sz="4" w:space="0" w:color="auto"/>
            </w:tcBorders>
            <w:noWrap/>
            <w:vAlign w:val="center"/>
            <w:hideMark/>
          </w:tcPr>
          <w:p w14:paraId="519B28C1" w14:textId="77777777" w:rsidR="00914EA7" w:rsidRPr="008E63BB" w:rsidRDefault="00914EA7" w:rsidP="0065184D">
            <w:pPr>
              <w:jc w:val="center"/>
              <w:rPr>
                <w:b/>
                <w:bCs/>
                <w:sz w:val="23"/>
                <w:szCs w:val="27"/>
                <w:lang w:val="vi-VN" w:eastAsia="vi-VN"/>
              </w:rPr>
            </w:pPr>
            <w:r w:rsidRPr="008E63BB">
              <w:rPr>
                <w:b/>
                <w:bCs/>
                <w:sz w:val="23"/>
                <w:szCs w:val="27"/>
                <w:lang w:val="vi-VN" w:eastAsia="vi-VN"/>
              </w:rPr>
              <w:t>NĐ01</w:t>
            </w:r>
          </w:p>
        </w:tc>
        <w:tc>
          <w:tcPr>
            <w:tcW w:w="2963" w:type="pct"/>
            <w:tcBorders>
              <w:top w:val="single" w:sz="4" w:space="0" w:color="auto"/>
              <w:left w:val="nil"/>
              <w:bottom w:val="single" w:sz="4" w:space="0" w:color="auto"/>
              <w:right w:val="single" w:sz="4" w:space="0" w:color="auto"/>
            </w:tcBorders>
            <w:vAlign w:val="center"/>
            <w:hideMark/>
          </w:tcPr>
          <w:p w14:paraId="519B28C2" w14:textId="77777777" w:rsidR="00914EA7" w:rsidRPr="008E63BB" w:rsidRDefault="00914EA7" w:rsidP="0065184D">
            <w:pPr>
              <w:rPr>
                <w:sz w:val="23"/>
                <w:szCs w:val="27"/>
                <w:lang w:val="vi-VN" w:eastAsia="vi-VN"/>
              </w:rPr>
            </w:pPr>
            <w:r w:rsidRPr="008E63BB">
              <w:rPr>
                <w:sz w:val="23"/>
                <w:szCs w:val="27"/>
                <w:lang w:val="vi-VN" w:eastAsia="vi-VN"/>
              </w:rPr>
              <w:t>TP. Nam Định-TT Quất Lâm, Huyện Giao Thủy</w:t>
            </w:r>
          </w:p>
        </w:tc>
      </w:tr>
      <w:tr w:rsidR="008D5BFE" w:rsidRPr="008E63BB" w14:paraId="519B28C7" w14:textId="77777777" w:rsidTr="00914EA7">
        <w:trPr>
          <w:trHeight w:val="426"/>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C4" w14:textId="77777777" w:rsidR="00914EA7" w:rsidRPr="008E63BB" w:rsidRDefault="00914EA7" w:rsidP="0065184D">
            <w:pPr>
              <w:jc w:val="center"/>
              <w:rPr>
                <w:sz w:val="23"/>
                <w:szCs w:val="27"/>
                <w:lang w:val="vi-VN" w:eastAsia="vi-VN"/>
              </w:rPr>
            </w:pPr>
            <w:r w:rsidRPr="008E63BB">
              <w:rPr>
                <w:sz w:val="23"/>
                <w:szCs w:val="27"/>
                <w:lang w:val="vi-VN" w:eastAsia="vi-VN"/>
              </w:rPr>
              <w:t>2</w:t>
            </w:r>
          </w:p>
        </w:tc>
        <w:tc>
          <w:tcPr>
            <w:tcW w:w="1188" w:type="pct"/>
            <w:tcBorders>
              <w:top w:val="single" w:sz="4" w:space="0" w:color="auto"/>
              <w:left w:val="nil"/>
              <w:bottom w:val="single" w:sz="4" w:space="0" w:color="auto"/>
              <w:right w:val="single" w:sz="4" w:space="0" w:color="auto"/>
            </w:tcBorders>
            <w:noWrap/>
            <w:vAlign w:val="center"/>
            <w:hideMark/>
          </w:tcPr>
          <w:p w14:paraId="519B28C5" w14:textId="77777777" w:rsidR="00914EA7" w:rsidRPr="008E63BB" w:rsidRDefault="00914EA7" w:rsidP="0065184D">
            <w:pPr>
              <w:jc w:val="center"/>
              <w:rPr>
                <w:b/>
                <w:bCs/>
                <w:sz w:val="23"/>
                <w:szCs w:val="27"/>
                <w:lang w:val="vi-VN" w:eastAsia="vi-VN"/>
              </w:rPr>
            </w:pPr>
            <w:r w:rsidRPr="008E63BB">
              <w:rPr>
                <w:b/>
                <w:bCs/>
                <w:sz w:val="23"/>
                <w:szCs w:val="27"/>
                <w:lang w:val="vi-VN" w:eastAsia="vi-VN"/>
              </w:rPr>
              <w:t>NĐ02</w:t>
            </w:r>
          </w:p>
        </w:tc>
        <w:tc>
          <w:tcPr>
            <w:tcW w:w="2963" w:type="pct"/>
            <w:tcBorders>
              <w:top w:val="single" w:sz="4" w:space="0" w:color="auto"/>
              <w:left w:val="nil"/>
              <w:bottom w:val="single" w:sz="4" w:space="0" w:color="auto"/>
              <w:right w:val="single" w:sz="4" w:space="0" w:color="auto"/>
            </w:tcBorders>
            <w:vAlign w:val="center"/>
            <w:hideMark/>
          </w:tcPr>
          <w:p w14:paraId="519B28C6" w14:textId="77777777" w:rsidR="00914EA7" w:rsidRPr="008E63BB" w:rsidRDefault="00914EA7" w:rsidP="0065184D">
            <w:pPr>
              <w:rPr>
                <w:sz w:val="23"/>
                <w:szCs w:val="27"/>
                <w:lang w:val="vi-VN" w:eastAsia="vi-VN"/>
              </w:rPr>
            </w:pPr>
            <w:r w:rsidRPr="008E63BB">
              <w:rPr>
                <w:sz w:val="23"/>
                <w:szCs w:val="27"/>
                <w:lang w:val="vi-VN" w:eastAsia="vi-VN"/>
              </w:rPr>
              <w:t>TP. Nam Định-Thị trấn Thịnh Long, Huyện Hải Hậu</w:t>
            </w:r>
          </w:p>
        </w:tc>
      </w:tr>
      <w:tr w:rsidR="008D5BFE" w:rsidRPr="008E63BB" w14:paraId="519B28CB" w14:textId="77777777" w:rsidTr="00914EA7">
        <w:trPr>
          <w:trHeight w:val="576"/>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C8" w14:textId="77777777" w:rsidR="00914EA7" w:rsidRPr="008E63BB" w:rsidRDefault="00914EA7" w:rsidP="0065184D">
            <w:pPr>
              <w:jc w:val="center"/>
              <w:rPr>
                <w:sz w:val="23"/>
                <w:szCs w:val="27"/>
                <w:lang w:val="vi-VN" w:eastAsia="vi-VN"/>
              </w:rPr>
            </w:pPr>
            <w:r w:rsidRPr="008E63BB">
              <w:rPr>
                <w:sz w:val="23"/>
                <w:szCs w:val="27"/>
                <w:lang w:val="vi-VN" w:eastAsia="vi-VN"/>
              </w:rPr>
              <w:t>3</w:t>
            </w:r>
          </w:p>
        </w:tc>
        <w:tc>
          <w:tcPr>
            <w:tcW w:w="1188" w:type="pct"/>
            <w:tcBorders>
              <w:top w:val="single" w:sz="4" w:space="0" w:color="auto"/>
              <w:left w:val="nil"/>
              <w:bottom w:val="single" w:sz="4" w:space="0" w:color="auto"/>
              <w:right w:val="single" w:sz="4" w:space="0" w:color="auto"/>
            </w:tcBorders>
            <w:noWrap/>
            <w:vAlign w:val="center"/>
            <w:hideMark/>
          </w:tcPr>
          <w:p w14:paraId="519B28C9" w14:textId="77777777" w:rsidR="00914EA7" w:rsidRPr="008E63BB" w:rsidRDefault="00914EA7" w:rsidP="0065184D">
            <w:pPr>
              <w:jc w:val="center"/>
              <w:rPr>
                <w:b/>
                <w:bCs/>
                <w:sz w:val="23"/>
                <w:szCs w:val="27"/>
                <w:lang w:val="vi-VN" w:eastAsia="vi-VN"/>
              </w:rPr>
            </w:pPr>
            <w:r w:rsidRPr="008E63BB">
              <w:rPr>
                <w:b/>
                <w:bCs/>
                <w:sz w:val="23"/>
                <w:szCs w:val="27"/>
                <w:lang w:val="vi-VN" w:eastAsia="vi-VN"/>
              </w:rPr>
              <w:t>NĐ03</w:t>
            </w:r>
          </w:p>
        </w:tc>
        <w:tc>
          <w:tcPr>
            <w:tcW w:w="2963" w:type="pct"/>
            <w:tcBorders>
              <w:top w:val="single" w:sz="4" w:space="0" w:color="auto"/>
              <w:left w:val="nil"/>
              <w:bottom w:val="single" w:sz="4" w:space="0" w:color="auto"/>
              <w:right w:val="single" w:sz="4" w:space="0" w:color="auto"/>
            </w:tcBorders>
            <w:vAlign w:val="center"/>
            <w:hideMark/>
          </w:tcPr>
          <w:p w14:paraId="519B28CA" w14:textId="77777777" w:rsidR="00914EA7" w:rsidRPr="008E63BB" w:rsidRDefault="00914EA7" w:rsidP="0065184D">
            <w:pPr>
              <w:rPr>
                <w:sz w:val="23"/>
                <w:szCs w:val="27"/>
                <w:lang w:val="vi-VN" w:eastAsia="vi-VN"/>
              </w:rPr>
            </w:pPr>
            <w:r w:rsidRPr="008E63BB">
              <w:rPr>
                <w:sz w:val="23"/>
                <w:szCs w:val="27"/>
                <w:lang w:val="vi-VN" w:eastAsia="vi-VN"/>
              </w:rPr>
              <w:t>TP. Nam Định- Đông Bình, Huyện Nghĩa Hưng</w:t>
            </w:r>
          </w:p>
        </w:tc>
      </w:tr>
      <w:tr w:rsidR="008D5BFE" w:rsidRPr="008E63BB" w14:paraId="519B28CF" w14:textId="77777777" w:rsidTr="00914EA7">
        <w:trPr>
          <w:trHeight w:val="443"/>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CC" w14:textId="77777777" w:rsidR="00914EA7" w:rsidRPr="008E63BB" w:rsidRDefault="00914EA7" w:rsidP="0065184D">
            <w:pPr>
              <w:jc w:val="center"/>
              <w:rPr>
                <w:sz w:val="23"/>
                <w:szCs w:val="27"/>
                <w:lang w:val="vi-VN" w:eastAsia="vi-VN"/>
              </w:rPr>
            </w:pPr>
            <w:r w:rsidRPr="008E63BB">
              <w:rPr>
                <w:sz w:val="23"/>
                <w:szCs w:val="27"/>
                <w:lang w:val="vi-VN" w:eastAsia="vi-VN"/>
              </w:rPr>
              <w:t>4</w:t>
            </w:r>
          </w:p>
        </w:tc>
        <w:tc>
          <w:tcPr>
            <w:tcW w:w="1188" w:type="pct"/>
            <w:tcBorders>
              <w:top w:val="single" w:sz="4" w:space="0" w:color="auto"/>
              <w:left w:val="nil"/>
              <w:bottom w:val="single" w:sz="4" w:space="0" w:color="auto"/>
              <w:right w:val="single" w:sz="4" w:space="0" w:color="auto"/>
            </w:tcBorders>
            <w:noWrap/>
            <w:vAlign w:val="center"/>
            <w:hideMark/>
          </w:tcPr>
          <w:p w14:paraId="519B28CD" w14:textId="77777777" w:rsidR="00914EA7" w:rsidRPr="008E63BB" w:rsidRDefault="00914EA7" w:rsidP="0065184D">
            <w:pPr>
              <w:jc w:val="center"/>
              <w:rPr>
                <w:b/>
                <w:bCs/>
                <w:sz w:val="23"/>
                <w:szCs w:val="27"/>
                <w:lang w:val="vi-VN" w:eastAsia="vi-VN"/>
              </w:rPr>
            </w:pPr>
            <w:r w:rsidRPr="008E63BB">
              <w:rPr>
                <w:b/>
                <w:bCs/>
                <w:sz w:val="23"/>
                <w:szCs w:val="27"/>
                <w:lang w:val="vi-VN" w:eastAsia="vi-VN"/>
              </w:rPr>
              <w:t>NĐ06A</w:t>
            </w:r>
          </w:p>
        </w:tc>
        <w:tc>
          <w:tcPr>
            <w:tcW w:w="2963" w:type="pct"/>
            <w:tcBorders>
              <w:top w:val="single" w:sz="4" w:space="0" w:color="auto"/>
              <w:left w:val="nil"/>
              <w:bottom w:val="single" w:sz="4" w:space="0" w:color="auto"/>
              <w:right w:val="single" w:sz="4" w:space="0" w:color="auto"/>
            </w:tcBorders>
            <w:vAlign w:val="center"/>
            <w:hideMark/>
          </w:tcPr>
          <w:p w14:paraId="519B28CE" w14:textId="77777777" w:rsidR="00914EA7" w:rsidRPr="008E63BB" w:rsidRDefault="00914EA7" w:rsidP="0065184D">
            <w:pPr>
              <w:rPr>
                <w:sz w:val="23"/>
                <w:szCs w:val="27"/>
                <w:lang w:val="vi-VN" w:eastAsia="vi-VN"/>
              </w:rPr>
            </w:pPr>
            <w:r w:rsidRPr="008E63BB">
              <w:rPr>
                <w:sz w:val="23"/>
                <w:szCs w:val="27"/>
                <w:lang w:val="vi-VN" w:eastAsia="vi-VN"/>
              </w:rPr>
              <w:t>TP. Nam Định-Huyện Ý Yên</w:t>
            </w:r>
          </w:p>
        </w:tc>
      </w:tr>
      <w:tr w:rsidR="008D5BFE" w:rsidRPr="008E63BB" w14:paraId="519B28D3" w14:textId="77777777" w:rsidTr="00914EA7">
        <w:trPr>
          <w:trHeight w:val="435"/>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D0" w14:textId="77777777" w:rsidR="00914EA7" w:rsidRPr="008E63BB" w:rsidRDefault="00914EA7" w:rsidP="0065184D">
            <w:pPr>
              <w:jc w:val="center"/>
              <w:rPr>
                <w:sz w:val="23"/>
                <w:szCs w:val="27"/>
                <w:lang w:eastAsia="vi-VN"/>
              </w:rPr>
            </w:pPr>
            <w:r w:rsidRPr="008E63BB">
              <w:rPr>
                <w:sz w:val="23"/>
                <w:szCs w:val="27"/>
                <w:lang w:eastAsia="vi-VN"/>
              </w:rPr>
              <w:t>5</w:t>
            </w:r>
          </w:p>
        </w:tc>
        <w:tc>
          <w:tcPr>
            <w:tcW w:w="1188" w:type="pct"/>
            <w:tcBorders>
              <w:top w:val="single" w:sz="4" w:space="0" w:color="auto"/>
              <w:left w:val="nil"/>
              <w:bottom w:val="single" w:sz="4" w:space="0" w:color="auto"/>
              <w:right w:val="single" w:sz="4" w:space="0" w:color="auto"/>
            </w:tcBorders>
            <w:noWrap/>
            <w:vAlign w:val="center"/>
            <w:hideMark/>
          </w:tcPr>
          <w:p w14:paraId="519B28D1" w14:textId="77777777" w:rsidR="00914EA7" w:rsidRPr="008E63BB" w:rsidRDefault="00914EA7" w:rsidP="0065184D">
            <w:pPr>
              <w:jc w:val="center"/>
              <w:rPr>
                <w:b/>
                <w:bCs/>
                <w:sz w:val="23"/>
                <w:szCs w:val="27"/>
                <w:lang w:val="vi-VN" w:eastAsia="vi-VN"/>
              </w:rPr>
            </w:pPr>
            <w:r w:rsidRPr="008E63BB">
              <w:rPr>
                <w:b/>
                <w:bCs/>
                <w:sz w:val="23"/>
                <w:szCs w:val="27"/>
                <w:lang w:val="vi-VN" w:eastAsia="vi-VN"/>
              </w:rPr>
              <w:t>NĐ07</w:t>
            </w:r>
          </w:p>
        </w:tc>
        <w:tc>
          <w:tcPr>
            <w:tcW w:w="2963" w:type="pct"/>
            <w:tcBorders>
              <w:top w:val="single" w:sz="4" w:space="0" w:color="auto"/>
              <w:left w:val="nil"/>
              <w:bottom w:val="single" w:sz="4" w:space="0" w:color="auto"/>
              <w:right w:val="single" w:sz="4" w:space="0" w:color="auto"/>
            </w:tcBorders>
            <w:vAlign w:val="center"/>
            <w:hideMark/>
          </w:tcPr>
          <w:p w14:paraId="519B28D2" w14:textId="77777777" w:rsidR="00914EA7" w:rsidRPr="008E63BB" w:rsidRDefault="00914EA7" w:rsidP="0065184D">
            <w:pPr>
              <w:rPr>
                <w:sz w:val="23"/>
                <w:szCs w:val="27"/>
                <w:lang w:val="vi-VN" w:eastAsia="vi-VN"/>
              </w:rPr>
            </w:pPr>
            <w:r w:rsidRPr="008E63BB">
              <w:rPr>
                <w:sz w:val="23"/>
                <w:szCs w:val="27"/>
                <w:lang w:val="vi-VN" w:eastAsia="vi-VN"/>
              </w:rPr>
              <w:t>TP. Nam Định- Xã Liêm Hải, Huyện Trực Ninh</w:t>
            </w:r>
          </w:p>
        </w:tc>
      </w:tr>
      <w:tr w:rsidR="008D5BFE" w:rsidRPr="008E63BB" w14:paraId="519B28D7" w14:textId="77777777" w:rsidTr="00914EA7">
        <w:trPr>
          <w:trHeight w:val="468"/>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D4" w14:textId="77777777" w:rsidR="00914EA7" w:rsidRPr="008E63BB" w:rsidRDefault="00914EA7" w:rsidP="0065184D">
            <w:pPr>
              <w:jc w:val="center"/>
              <w:rPr>
                <w:sz w:val="23"/>
                <w:szCs w:val="27"/>
                <w:lang w:eastAsia="vi-VN"/>
              </w:rPr>
            </w:pPr>
            <w:r w:rsidRPr="008E63BB">
              <w:rPr>
                <w:sz w:val="23"/>
                <w:szCs w:val="27"/>
                <w:lang w:eastAsia="vi-VN"/>
              </w:rPr>
              <w:t>6</w:t>
            </w:r>
          </w:p>
        </w:tc>
        <w:tc>
          <w:tcPr>
            <w:tcW w:w="1188" w:type="pct"/>
            <w:tcBorders>
              <w:top w:val="single" w:sz="4" w:space="0" w:color="auto"/>
              <w:left w:val="nil"/>
              <w:bottom w:val="single" w:sz="4" w:space="0" w:color="auto"/>
              <w:right w:val="single" w:sz="4" w:space="0" w:color="auto"/>
            </w:tcBorders>
            <w:noWrap/>
            <w:vAlign w:val="center"/>
            <w:hideMark/>
          </w:tcPr>
          <w:p w14:paraId="519B28D5" w14:textId="77777777" w:rsidR="00914EA7" w:rsidRPr="008E63BB" w:rsidRDefault="00914EA7" w:rsidP="0065184D">
            <w:pPr>
              <w:jc w:val="center"/>
              <w:rPr>
                <w:sz w:val="23"/>
                <w:szCs w:val="27"/>
                <w:lang w:eastAsia="vi-VN"/>
              </w:rPr>
            </w:pPr>
            <w:r w:rsidRPr="008E63BB">
              <w:rPr>
                <w:b/>
                <w:bCs/>
                <w:sz w:val="23"/>
                <w:szCs w:val="27"/>
                <w:lang w:val="vi-VN" w:eastAsia="vi-VN"/>
              </w:rPr>
              <w:t>NĐ08</w:t>
            </w:r>
            <w:r w:rsidRPr="008E63BB">
              <w:rPr>
                <w:b/>
                <w:bCs/>
                <w:sz w:val="23"/>
                <w:szCs w:val="27"/>
                <w:lang w:eastAsia="vi-VN"/>
              </w:rPr>
              <w:t>A</w:t>
            </w:r>
          </w:p>
        </w:tc>
        <w:tc>
          <w:tcPr>
            <w:tcW w:w="2963" w:type="pct"/>
            <w:tcBorders>
              <w:top w:val="single" w:sz="4" w:space="0" w:color="auto"/>
              <w:left w:val="nil"/>
              <w:bottom w:val="single" w:sz="4" w:space="0" w:color="auto"/>
              <w:right w:val="single" w:sz="4" w:space="0" w:color="auto"/>
            </w:tcBorders>
            <w:vAlign w:val="center"/>
            <w:hideMark/>
          </w:tcPr>
          <w:p w14:paraId="519B28D6" w14:textId="77777777" w:rsidR="00914EA7" w:rsidRPr="008E63BB" w:rsidRDefault="00914EA7" w:rsidP="0065184D">
            <w:pPr>
              <w:rPr>
                <w:sz w:val="23"/>
                <w:szCs w:val="27"/>
                <w:lang w:val="vi-VN" w:eastAsia="vi-VN"/>
              </w:rPr>
            </w:pPr>
            <w:r w:rsidRPr="008E63BB">
              <w:rPr>
                <w:sz w:val="23"/>
                <w:szCs w:val="27"/>
                <w:lang w:val="vi-VN" w:eastAsia="vi-VN"/>
              </w:rPr>
              <w:t>TP. Nam Định- Xã Giao Thiện (Giao Thủy)</w:t>
            </w:r>
          </w:p>
        </w:tc>
      </w:tr>
      <w:tr w:rsidR="008D5BFE" w:rsidRPr="008E63BB" w14:paraId="519B28DB" w14:textId="77777777" w:rsidTr="00914EA7">
        <w:trPr>
          <w:trHeight w:val="387"/>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D8" w14:textId="77777777" w:rsidR="00914EA7" w:rsidRPr="008E63BB" w:rsidRDefault="00914EA7" w:rsidP="0065184D">
            <w:pPr>
              <w:jc w:val="center"/>
              <w:rPr>
                <w:sz w:val="23"/>
                <w:szCs w:val="27"/>
                <w:lang w:eastAsia="vi-VN"/>
              </w:rPr>
            </w:pPr>
            <w:r w:rsidRPr="008E63BB">
              <w:rPr>
                <w:sz w:val="23"/>
                <w:szCs w:val="27"/>
                <w:lang w:eastAsia="vi-VN"/>
              </w:rPr>
              <w:t>7</w:t>
            </w:r>
          </w:p>
        </w:tc>
        <w:tc>
          <w:tcPr>
            <w:tcW w:w="1188" w:type="pct"/>
            <w:tcBorders>
              <w:top w:val="single" w:sz="4" w:space="0" w:color="auto"/>
              <w:left w:val="nil"/>
              <w:bottom w:val="single" w:sz="4" w:space="0" w:color="auto"/>
              <w:right w:val="single" w:sz="4" w:space="0" w:color="auto"/>
            </w:tcBorders>
            <w:noWrap/>
            <w:vAlign w:val="center"/>
            <w:hideMark/>
          </w:tcPr>
          <w:p w14:paraId="519B28D9" w14:textId="77777777" w:rsidR="00914EA7" w:rsidRPr="008E63BB" w:rsidRDefault="00914EA7" w:rsidP="0065184D">
            <w:pPr>
              <w:jc w:val="center"/>
              <w:rPr>
                <w:b/>
                <w:bCs/>
                <w:sz w:val="23"/>
                <w:szCs w:val="27"/>
                <w:lang w:eastAsia="vi-VN"/>
              </w:rPr>
            </w:pPr>
            <w:r w:rsidRPr="008E63BB">
              <w:rPr>
                <w:b/>
                <w:bCs/>
                <w:sz w:val="23"/>
                <w:szCs w:val="27"/>
                <w:lang w:eastAsia="vi-VN"/>
              </w:rPr>
              <w:t>NH05</w:t>
            </w:r>
          </w:p>
        </w:tc>
        <w:tc>
          <w:tcPr>
            <w:tcW w:w="2963" w:type="pct"/>
            <w:tcBorders>
              <w:top w:val="single" w:sz="4" w:space="0" w:color="auto"/>
              <w:left w:val="nil"/>
              <w:bottom w:val="single" w:sz="4" w:space="0" w:color="auto"/>
              <w:right w:val="single" w:sz="4" w:space="0" w:color="auto"/>
            </w:tcBorders>
            <w:vAlign w:val="center"/>
            <w:hideMark/>
          </w:tcPr>
          <w:p w14:paraId="519B28DA" w14:textId="77777777" w:rsidR="00914EA7" w:rsidRPr="008E63BB" w:rsidRDefault="00914EA7" w:rsidP="0065184D">
            <w:pPr>
              <w:rPr>
                <w:sz w:val="23"/>
                <w:szCs w:val="27"/>
                <w:lang w:eastAsia="vi-VN"/>
              </w:rPr>
            </w:pPr>
            <w:r w:rsidRPr="008E63BB">
              <w:rPr>
                <w:sz w:val="23"/>
                <w:szCs w:val="27"/>
                <w:lang w:eastAsia="vi-VN"/>
              </w:rPr>
              <w:t>TP Nam Định - TP Phủ Lý (Hà Nam)</w:t>
            </w:r>
          </w:p>
        </w:tc>
      </w:tr>
      <w:tr w:rsidR="008D5BFE" w:rsidRPr="008E63BB" w14:paraId="519B28DF" w14:textId="77777777" w:rsidTr="00914EA7">
        <w:trPr>
          <w:trHeight w:val="424"/>
          <w:jc w:val="center"/>
        </w:trPr>
        <w:tc>
          <w:tcPr>
            <w:tcW w:w="849" w:type="pct"/>
            <w:tcBorders>
              <w:top w:val="single" w:sz="4" w:space="0" w:color="auto"/>
              <w:left w:val="single" w:sz="4" w:space="0" w:color="auto"/>
              <w:bottom w:val="single" w:sz="4" w:space="0" w:color="auto"/>
              <w:right w:val="single" w:sz="4" w:space="0" w:color="auto"/>
            </w:tcBorders>
            <w:noWrap/>
            <w:vAlign w:val="center"/>
            <w:hideMark/>
          </w:tcPr>
          <w:p w14:paraId="519B28DC" w14:textId="77777777" w:rsidR="00914EA7" w:rsidRPr="008E63BB" w:rsidRDefault="00914EA7" w:rsidP="0065184D">
            <w:pPr>
              <w:jc w:val="center"/>
              <w:rPr>
                <w:sz w:val="23"/>
                <w:szCs w:val="27"/>
                <w:lang w:eastAsia="vi-VN"/>
              </w:rPr>
            </w:pPr>
            <w:r w:rsidRPr="008E63BB">
              <w:rPr>
                <w:sz w:val="23"/>
                <w:szCs w:val="27"/>
                <w:lang w:eastAsia="vi-VN"/>
              </w:rPr>
              <w:t>8</w:t>
            </w:r>
          </w:p>
        </w:tc>
        <w:tc>
          <w:tcPr>
            <w:tcW w:w="1188" w:type="pct"/>
            <w:tcBorders>
              <w:top w:val="single" w:sz="4" w:space="0" w:color="auto"/>
              <w:left w:val="nil"/>
              <w:bottom w:val="single" w:sz="4" w:space="0" w:color="auto"/>
              <w:right w:val="single" w:sz="4" w:space="0" w:color="auto"/>
            </w:tcBorders>
            <w:noWrap/>
            <w:vAlign w:val="center"/>
            <w:hideMark/>
          </w:tcPr>
          <w:p w14:paraId="519B28DD" w14:textId="77777777" w:rsidR="00914EA7" w:rsidRPr="008E63BB" w:rsidRDefault="00914EA7" w:rsidP="0065184D">
            <w:pPr>
              <w:jc w:val="center"/>
              <w:rPr>
                <w:b/>
                <w:bCs/>
                <w:sz w:val="23"/>
                <w:szCs w:val="27"/>
                <w:lang w:eastAsia="vi-VN"/>
              </w:rPr>
            </w:pPr>
            <w:r w:rsidRPr="008E63BB">
              <w:rPr>
                <w:b/>
                <w:bCs/>
                <w:sz w:val="23"/>
                <w:szCs w:val="27"/>
                <w:lang w:eastAsia="vi-VN"/>
              </w:rPr>
              <w:t>NĐ10</w:t>
            </w:r>
          </w:p>
        </w:tc>
        <w:tc>
          <w:tcPr>
            <w:tcW w:w="2963" w:type="pct"/>
            <w:tcBorders>
              <w:top w:val="single" w:sz="4" w:space="0" w:color="auto"/>
              <w:left w:val="nil"/>
              <w:bottom w:val="single" w:sz="4" w:space="0" w:color="auto"/>
              <w:right w:val="single" w:sz="4" w:space="0" w:color="auto"/>
            </w:tcBorders>
            <w:vAlign w:val="center"/>
            <w:hideMark/>
          </w:tcPr>
          <w:p w14:paraId="519B28DE" w14:textId="77777777" w:rsidR="00914EA7" w:rsidRPr="008E63BB" w:rsidRDefault="00914EA7" w:rsidP="0065184D">
            <w:pPr>
              <w:rPr>
                <w:sz w:val="23"/>
                <w:szCs w:val="27"/>
                <w:lang w:eastAsia="vi-VN"/>
              </w:rPr>
            </w:pPr>
            <w:r w:rsidRPr="008E63BB">
              <w:rPr>
                <w:sz w:val="23"/>
                <w:szCs w:val="27"/>
                <w:lang w:eastAsia="vi-VN"/>
              </w:rPr>
              <w:t>TP Nam Định - TT Quất Lâm, Giao Thủy</w:t>
            </w:r>
          </w:p>
        </w:tc>
      </w:tr>
    </w:tbl>
    <w:p w14:paraId="519B28E0" w14:textId="77777777" w:rsidR="00914EA7" w:rsidRPr="008E63BB" w:rsidRDefault="00914EA7" w:rsidP="0065184D">
      <w:pPr>
        <w:rPr>
          <w:b/>
          <w:bCs/>
          <w:i/>
          <w:iCs/>
          <w:szCs w:val="26"/>
        </w:rPr>
      </w:pPr>
      <w:r w:rsidRPr="008E63BB">
        <w:rPr>
          <w:b/>
          <w:bCs/>
          <w:i/>
          <w:iCs/>
          <w:szCs w:val="26"/>
        </w:rPr>
        <w:lastRenderedPageBreak/>
        <w:t xml:space="preserve">e. Đánh giá hiện trạng, quá trình thực hiện quy hoạch </w:t>
      </w:r>
    </w:p>
    <w:p w14:paraId="519B28E1" w14:textId="77777777" w:rsidR="00914EA7" w:rsidRPr="008E63BB" w:rsidRDefault="00110330" w:rsidP="003D057A">
      <w:pPr>
        <w:ind w:firstLine="709"/>
        <w:rPr>
          <w:bCs/>
          <w:szCs w:val="26"/>
          <w:lang w:val="de-DE"/>
        </w:rPr>
      </w:pPr>
      <w:r w:rsidRPr="008E63BB">
        <w:rPr>
          <w:bCs/>
          <w:szCs w:val="26"/>
          <w:lang w:val="de-DE"/>
        </w:rPr>
        <w:t>- Kết nối vùng: Về cơ bản, mạng lưới giao thông đối ngoại (đường bộ) của thành phố đã được nâng cấp, xây dựng hoàn chỉnh, cụ thể là các tuyến đường hướng tâm nối với đường vành đai (QL 10, QL21B), trong đó phía Tây Bắc có QL 21, QL21B (tuyến cao tốc Phủ Lý – Nam Định nối cao tốc Cầu Giẽ - Ninh Bình) đi Thủ đô Hà Nội ( phía Tây Nam có QL 10, QL38B đi Ninh Bình và các tỉnh phía Nam, phía Đông có QL 10 nối với Thái Bình đi Hải Phòng, Quảng Ninh - Nam Định, phía Bắc có QL38B đi Hà Nam và phía Nam có QL21, ĐT 490C đi khu vực Nghĩa Hưng, tương lai kết nối với tuyến đường bộ ven biển Ninh Bình – Hải Phòng – Quảng Ninh</w:t>
      </w:r>
      <w:r w:rsidR="00914EA7" w:rsidRPr="008E63BB">
        <w:rPr>
          <w:bCs/>
          <w:szCs w:val="26"/>
          <w:lang w:val="de-DE"/>
        </w:rPr>
        <w:t xml:space="preserve">. </w:t>
      </w:r>
    </w:p>
    <w:p w14:paraId="519B28E2" w14:textId="77777777" w:rsidR="00914EA7" w:rsidRPr="008E63BB" w:rsidRDefault="00914EA7" w:rsidP="003D057A">
      <w:pPr>
        <w:ind w:firstLine="709"/>
        <w:rPr>
          <w:bCs/>
          <w:szCs w:val="26"/>
          <w:lang w:val="de-DE"/>
        </w:rPr>
      </w:pPr>
      <w:r w:rsidRPr="008E63BB">
        <w:rPr>
          <w:bCs/>
          <w:szCs w:val="26"/>
          <w:lang w:val="de-DE"/>
        </w:rPr>
        <w:t xml:space="preserve">- Hệ thống đường vành đai: Đường vành đai 1 (phía Bắc) hình thành trên cơ sở Quốc lộ 10, hiện nay nhiều khu vực đã phát triển xung quanh đường vành đai gây ra các xung đột với giao thông đô thị, </w:t>
      </w:r>
      <w:r w:rsidR="00CA5E49" w:rsidRPr="008E63BB">
        <w:rPr>
          <w:bCs/>
          <w:szCs w:val="26"/>
          <w:lang w:val="de-DE"/>
        </w:rPr>
        <w:t>để</w:t>
      </w:r>
      <w:r w:rsidRPr="008E63BB">
        <w:rPr>
          <w:bCs/>
          <w:szCs w:val="26"/>
          <w:lang w:val="de-DE"/>
        </w:rPr>
        <w:t xml:space="preserve"> tách dòng giao thông đối ngoại đi qua khu vực nội đô </w:t>
      </w:r>
      <w:r w:rsidR="00CA5E49" w:rsidRPr="008E63BB">
        <w:rPr>
          <w:bCs/>
          <w:szCs w:val="26"/>
          <w:lang w:val="de-DE"/>
        </w:rPr>
        <w:t xml:space="preserve">Tỉnh đã triển khai đầu tư xây dựng </w:t>
      </w:r>
      <w:r w:rsidR="001F24FF" w:rsidRPr="008E63BB">
        <w:rPr>
          <w:bCs/>
          <w:szCs w:val="26"/>
          <w:lang w:val="de-DE"/>
        </w:rPr>
        <w:t xml:space="preserve">một phần </w:t>
      </w:r>
      <w:r w:rsidR="00CA5E49" w:rsidRPr="008E63BB">
        <w:rPr>
          <w:bCs/>
          <w:szCs w:val="26"/>
          <w:lang w:val="de-DE"/>
        </w:rPr>
        <w:t xml:space="preserve">tuyến </w:t>
      </w:r>
      <w:r w:rsidRPr="008E63BB">
        <w:rPr>
          <w:bCs/>
          <w:szCs w:val="26"/>
          <w:lang w:val="de-DE"/>
        </w:rPr>
        <w:t>đường vành đai 2</w:t>
      </w:r>
      <w:r w:rsidR="00CA5E49" w:rsidRPr="008E63BB">
        <w:rPr>
          <w:bCs/>
          <w:szCs w:val="26"/>
          <w:lang w:val="de-DE"/>
        </w:rPr>
        <w:t>, trong giai đoạn tới cần đầu tư xây dựng khép kín toàn tuyến và các nút giao quan trọng với các trục hướng tâm vào đô thị</w:t>
      </w:r>
      <w:r w:rsidRPr="008E63BB">
        <w:rPr>
          <w:bCs/>
          <w:szCs w:val="26"/>
          <w:lang w:val="de-DE"/>
        </w:rPr>
        <w:t>.</w:t>
      </w:r>
    </w:p>
    <w:p w14:paraId="519B28E3" w14:textId="77777777" w:rsidR="00914EA7" w:rsidRPr="008E63BB" w:rsidRDefault="00914EA7" w:rsidP="003D057A">
      <w:pPr>
        <w:ind w:firstLine="709"/>
        <w:rPr>
          <w:bCs/>
          <w:szCs w:val="26"/>
          <w:lang w:val="de-DE"/>
        </w:rPr>
      </w:pPr>
      <w:r w:rsidRPr="008E63BB">
        <w:rPr>
          <w:bCs/>
          <w:szCs w:val="26"/>
          <w:lang w:val="de-DE"/>
        </w:rPr>
        <w:t>- Hệ thống đường sắt quốc gia đi qua Thành phố Nam Định là một lợi thế, tuy nhiên hiện nay vẫn dùng khổ đường sắt cũ (1m), có nhiều giao cắt với hệ thống đường đô thị và chưa bố trí đường gom khi đi qua khu vực nội đô, nhà ga Nam Đinh nằm sâu trong khu vực hiện hữu, do đó gây nhiều bất cập trong việc tổ chức, đảm bảo an toàn giao thông.</w:t>
      </w:r>
    </w:p>
    <w:p w14:paraId="519B28E4" w14:textId="77777777" w:rsidR="00914EA7" w:rsidRPr="008E63BB" w:rsidRDefault="00914EA7" w:rsidP="003D057A">
      <w:pPr>
        <w:ind w:firstLine="709"/>
        <w:rPr>
          <w:bCs/>
          <w:szCs w:val="26"/>
          <w:lang w:val="de-DE"/>
        </w:rPr>
      </w:pPr>
      <w:r w:rsidRPr="008E63BB">
        <w:rPr>
          <w:bCs/>
          <w:szCs w:val="26"/>
          <w:lang w:val="de-DE"/>
        </w:rPr>
        <w:t>- Hệ thống đường thủy nội địa chủ yếu được khai thác từ điều kiện tự nhiên, nhiều tuyến sông, kênh chưa được đầu tư cải tạo, nâng cấp thường có bề rộng luồng hẹp, bán kính cong nhỏ, độ sâu chạy tàu thấp, hàng năm có sự biến đổi, không ổn định. Cần nghiên cứu phát triển hệ thống đường thủy nội địa trước mắt phục vụ vận tải hàng hóa, dài hạn có thể tính đến vận tải hành khách nội tỉnh.</w:t>
      </w:r>
    </w:p>
    <w:p w14:paraId="519B28E5" w14:textId="77777777" w:rsidR="00914EA7" w:rsidRPr="008E63BB" w:rsidRDefault="00914EA7" w:rsidP="003D057A">
      <w:pPr>
        <w:ind w:firstLine="709"/>
        <w:rPr>
          <w:bCs/>
          <w:szCs w:val="26"/>
          <w:lang w:val="de-DE"/>
        </w:rPr>
      </w:pPr>
      <w:r w:rsidRPr="008E63BB">
        <w:rPr>
          <w:bCs/>
          <w:szCs w:val="26"/>
          <w:lang w:val="de-DE"/>
        </w:rPr>
        <w:t xml:space="preserve"> - Kết nối khu vực trung tâm hiện hữu với khu vực Đông Nam qua sông Đào còn hạn chế, cần nghiên cứu xây dựng thêm các phương án cầu/hầm qua sông Đào ở các vị trí hợp lý, gắn liền với phát triển không gian đô thị.</w:t>
      </w:r>
    </w:p>
    <w:p w14:paraId="519B28E6" w14:textId="77777777" w:rsidR="00914EA7" w:rsidRPr="008E63BB" w:rsidRDefault="00914EA7" w:rsidP="003D057A">
      <w:pPr>
        <w:ind w:firstLine="709"/>
        <w:rPr>
          <w:bCs/>
          <w:szCs w:val="26"/>
          <w:lang w:val="de-DE"/>
        </w:rPr>
      </w:pPr>
      <w:r w:rsidRPr="008E63BB">
        <w:rPr>
          <w:bCs/>
          <w:szCs w:val="26"/>
          <w:lang w:val="de-DE"/>
        </w:rPr>
        <w:t xml:space="preserve">- Hiện nay, giao thông công cộng của thành phố chưa được chú trọng phát triển, chỉ có loại hình xe buýt trong đó phần lớn là các tuyến từ thành phố đi các Huyện. Qua bài học từ các thành phố lớn của Việt Nam như Hà Nội, TP. Hồ Chí Minh trong việc giải quyết bà toán ùn tắc giao thông và khống chế sự phát triển của phương tiện giao thông các nhân, cần nghiên cứu phát triển loại hình giao thông công cộng phù hợp cho Thành phố, cụ thể là hệ thống xe buýt nhanh BRT, tàu điện nhẹ LRT. </w:t>
      </w:r>
    </w:p>
    <w:p w14:paraId="519B28E7" w14:textId="77777777" w:rsidR="009E67ED" w:rsidRPr="008E63BB" w:rsidRDefault="00914EA7" w:rsidP="003D057A">
      <w:pPr>
        <w:ind w:firstLine="709"/>
        <w:rPr>
          <w:b/>
          <w:szCs w:val="26"/>
          <w:lang w:val="vi-VN"/>
        </w:rPr>
      </w:pPr>
      <w:r w:rsidRPr="008E63BB">
        <w:rPr>
          <w:bCs/>
          <w:szCs w:val="26"/>
          <w:lang w:val="de-DE"/>
        </w:rPr>
        <w:t>- Hệ thống giao thông tĩnh, cụ thể là bến, bãi đỗ xe chưa được đầu tư. Với tốc độ gia tăng số lượng phương tiện xe cá nhân (ô tô con, xe máy), quỹ đất xây dựng đô thị khó có thể đáp ứng được. Thành phố Nam Định là thành phố cổ, cấu trục mạng lưới đường theo ô bàn cờ, chủ yếu là đường có mặt cắt nhỏ, cả vỉa hè và lòng đường không đáp ứng được nhu cầu đỗ dừng của phương tiện gây cản trở, ùn tắc giao thông. Một số khu vực dịch vụ như chợ Rồng, chợ Mỹ Tho đều tận dụng diện tích vỉa hè xung quanh gây ra tình trạng ùn tắc.</w:t>
      </w:r>
    </w:p>
    <w:p w14:paraId="519B28E8" w14:textId="77777777" w:rsidR="009E001E" w:rsidRPr="008E63BB" w:rsidRDefault="009E001E" w:rsidP="0065184D">
      <w:pPr>
        <w:pStyle w:val="Heading3"/>
        <w:rPr>
          <w:lang w:val="vi-VN"/>
        </w:rPr>
      </w:pPr>
      <w:bookmarkStart w:id="221" w:name="_Toc21954838"/>
      <w:bookmarkStart w:id="222" w:name="_Toc21955337"/>
      <w:bookmarkStart w:id="223" w:name="_Toc24361911"/>
      <w:bookmarkStart w:id="224" w:name="_Toc47524670"/>
      <w:r w:rsidRPr="008E63BB">
        <w:rPr>
          <w:lang w:val="vi-VN"/>
        </w:rPr>
        <w:t>2.</w:t>
      </w:r>
      <w:r w:rsidR="00A71373" w:rsidRPr="008E63BB">
        <w:rPr>
          <w:lang w:val="vi-VN"/>
        </w:rPr>
        <w:t>7</w:t>
      </w:r>
      <w:r w:rsidRPr="008E63BB">
        <w:rPr>
          <w:lang w:val="vi-VN"/>
        </w:rPr>
        <w:t>.2. Hiện trạng chuẩn bị kỹ thuật</w:t>
      </w:r>
      <w:bookmarkEnd w:id="221"/>
      <w:bookmarkEnd w:id="222"/>
      <w:bookmarkEnd w:id="223"/>
      <w:bookmarkEnd w:id="224"/>
    </w:p>
    <w:p w14:paraId="519B28E9" w14:textId="77777777" w:rsidR="002302CA" w:rsidRPr="008E63BB" w:rsidRDefault="002302CA" w:rsidP="0065184D">
      <w:pPr>
        <w:rPr>
          <w:rFonts w:eastAsia="Times New Roman"/>
          <w:i/>
          <w:szCs w:val="26"/>
          <w:lang w:val="vi-VN"/>
        </w:rPr>
      </w:pPr>
      <w:bookmarkStart w:id="225" w:name="_Toc330799142"/>
      <w:bookmarkStart w:id="226" w:name="_Toc341519027"/>
      <w:bookmarkStart w:id="227" w:name="_Toc341519128"/>
      <w:bookmarkStart w:id="228" w:name="_Toc344928440"/>
      <w:bookmarkStart w:id="229" w:name="_Toc345276870"/>
      <w:r w:rsidRPr="008E63BB">
        <w:rPr>
          <w:rFonts w:eastAsia="Times New Roman"/>
          <w:i/>
          <w:szCs w:val="26"/>
          <w:lang w:val="vi-VN"/>
        </w:rPr>
        <w:t>1/. Hệ thống công trình thủy lợi và công trình phòng chống bão lũ :</w:t>
      </w:r>
    </w:p>
    <w:p w14:paraId="519B28EA" w14:textId="77777777" w:rsidR="002302CA" w:rsidRPr="008E63BB" w:rsidRDefault="002302CA" w:rsidP="0065184D">
      <w:pPr>
        <w:pStyle w:val="ListParagraph"/>
        <w:numPr>
          <w:ilvl w:val="0"/>
          <w:numId w:val="4"/>
        </w:numPr>
        <w:tabs>
          <w:tab w:val="left" w:pos="284"/>
        </w:tabs>
        <w:spacing w:after="0"/>
        <w:ind w:left="0" w:firstLine="0"/>
        <w:rPr>
          <w:i/>
          <w:sz w:val="26"/>
          <w:szCs w:val="26"/>
        </w:rPr>
      </w:pPr>
      <w:r w:rsidRPr="008E63BB">
        <w:rPr>
          <w:i/>
          <w:sz w:val="26"/>
          <w:szCs w:val="26"/>
        </w:rPr>
        <w:t>Hệ thống đê</w:t>
      </w:r>
    </w:p>
    <w:p w14:paraId="519B28EB" w14:textId="77777777" w:rsidR="002302CA" w:rsidRPr="008E63BB" w:rsidRDefault="002302CA" w:rsidP="0065184D">
      <w:pPr>
        <w:ind w:firstLine="709"/>
        <w:rPr>
          <w:bCs/>
          <w:szCs w:val="26"/>
          <w:lang w:val="vi-VN"/>
        </w:rPr>
      </w:pPr>
      <w:r w:rsidRPr="008E63BB">
        <w:rPr>
          <w:szCs w:val="26"/>
          <w:lang w:val="vi-VN"/>
        </w:rPr>
        <w:t xml:space="preserve">* </w:t>
      </w:r>
      <w:r w:rsidRPr="008E63BB">
        <w:rPr>
          <w:bCs/>
          <w:szCs w:val="26"/>
          <w:lang w:val="vi-VN"/>
        </w:rPr>
        <w:t xml:space="preserve">Hệ thống đê thành phố Nam Định dài 13,078km. Trong đó, đê Hữu Hồng dài 3,684 km từ K163+610 đến K167+294. Đê Tả Đào dài 4,351 km từ K0 đến K4+351. Đê Hữu Đào dài 5,043km từ K0 đến K5+043. Nhiều đoạn địa chất thân đê, nền đê yếu khi lũ cao (Báo động II) xuất hiện thẩm lậu, rò rỉ qua thân đê tại tuyến đê Hữu Hồng từ </w:t>
      </w:r>
      <w:r w:rsidRPr="008E63BB">
        <w:rPr>
          <w:bCs/>
          <w:szCs w:val="26"/>
          <w:lang w:val="vi-VN"/>
        </w:rPr>
        <w:lastRenderedPageBreak/>
        <w:t>K166 đến K166+950 thuộc địa phận xã Nam Phong và tại K4 đến K5 thuộc địa phận phường Trần Quang Khải.</w:t>
      </w:r>
    </w:p>
    <w:p w14:paraId="519B28EC" w14:textId="77777777" w:rsidR="002302CA" w:rsidRPr="008E63BB" w:rsidRDefault="002302CA" w:rsidP="0065184D">
      <w:pPr>
        <w:ind w:firstLine="709"/>
        <w:rPr>
          <w:bCs/>
          <w:szCs w:val="26"/>
          <w:lang w:val="vi-VN"/>
        </w:rPr>
      </w:pPr>
      <w:r w:rsidRPr="008E63BB">
        <w:rPr>
          <w:bCs/>
          <w:szCs w:val="26"/>
          <w:lang w:val="vi-VN"/>
        </w:rPr>
        <w:t>* Thành phố Nam Định có trên 8km kè sông Đào và sông Hồng (trong đó có 4,2km tường kè sông Đào từ K0 đến K4+200) gồm kè Tân Cốc, kè Óng Bò, kè Vạn Hà, kè Phù Long, kè sông Đào, Ngô Xá, Tam Phủ. Do nhiều năm không được duy tu nên nhiều đoạn mái kè, chân kè bị sạt lở đặc biệt là kè Ngô Xá, Óng Bò… Kè Tân Cốc  từ K7+100 đến K8+200 hiện đã bị huỷ liệt do xây dựng từ thời Pháp lâu nay không được tu bổ.</w:t>
      </w:r>
    </w:p>
    <w:p w14:paraId="519B28ED" w14:textId="77777777" w:rsidR="002302CA" w:rsidRPr="008E63BB" w:rsidRDefault="002302CA" w:rsidP="0065184D">
      <w:pPr>
        <w:tabs>
          <w:tab w:val="left" w:pos="2464"/>
        </w:tabs>
        <w:ind w:firstLine="720"/>
        <w:rPr>
          <w:iCs/>
          <w:lang w:val="pt-BR"/>
        </w:rPr>
      </w:pPr>
      <w:r w:rsidRPr="008E63BB">
        <w:rPr>
          <w:iCs/>
          <w:lang w:val="pt-BR"/>
        </w:rPr>
        <w:t xml:space="preserve">* Thành phố Nam Định có 9 cống qua đê gồm: </w:t>
      </w:r>
    </w:p>
    <w:p w14:paraId="519B28EE" w14:textId="77777777" w:rsidR="002302CA" w:rsidRPr="008E63BB" w:rsidRDefault="002302CA" w:rsidP="0065184D">
      <w:pPr>
        <w:tabs>
          <w:tab w:val="left" w:pos="2464"/>
        </w:tabs>
        <w:ind w:firstLine="720"/>
        <w:rPr>
          <w:iCs/>
          <w:lang w:val="pt-BR"/>
        </w:rPr>
      </w:pPr>
      <w:r w:rsidRPr="008E63BB">
        <w:rPr>
          <w:iCs/>
          <w:lang w:val="pt-BR"/>
        </w:rPr>
        <w:t>2 cống qua đê tả sông Đào: cống Quán Chuột (2500x2500), cống Kênh Gia (1500x1500).</w:t>
      </w:r>
    </w:p>
    <w:p w14:paraId="519B28EF" w14:textId="77777777" w:rsidR="002302CA" w:rsidRPr="008E63BB" w:rsidRDefault="002302CA" w:rsidP="0065184D">
      <w:pPr>
        <w:tabs>
          <w:tab w:val="left" w:pos="2464"/>
        </w:tabs>
        <w:ind w:firstLine="720"/>
        <w:rPr>
          <w:iCs/>
          <w:lang w:val="pt-BR"/>
        </w:rPr>
      </w:pPr>
      <w:r w:rsidRPr="008E63BB">
        <w:rPr>
          <w:iCs/>
          <w:lang w:val="pt-BR"/>
        </w:rPr>
        <w:t>6 cống qua đê hữu sông Đào: cống Cốc Thành, cống An Lá 1 (1000x2500), cống An Lá 2 (1000x4000), cống Đồng Lựu (1200x4500), cống Vạn Diệp trong (2000x6000), cống Vạn Diệp ngoài (2000x6000).</w:t>
      </w:r>
    </w:p>
    <w:p w14:paraId="519B28F0" w14:textId="77777777" w:rsidR="002302CA" w:rsidRPr="008E63BB" w:rsidRDefault="002302CA" w:rsidP="0065184D">
      <w:pPr>
        <w:tabs>
          <w:tab w:val="left" w:pos="2464"/>
        </w:tabs>
        <w:ind w:firstLine="720"/>
        <w:rPr>
          <w:iCs/>
          <w:lang w:val="pt-BR"/>
        </w:rPr>
      </w:pPr>
      <w:r w:rsidRPr="008E63BB">
        <w:rPr>
          <w:iCs/>
          <w:lang w:val="pt-BR"/>
        </w:rPr>
        <w:t>1 cống qua đê sông Hồng: cống Ngô Xá (11000x7000).</w:t>
      </w:r>
    </w:p>
    <w:p w14:paraId="519B28F1" w14:textId="77777777" w:rsidR="00F87317" w:rsidRPr="008E63BB" w:rsidRDefault="00F87317" w:rsidP="0065184D">
      <w:pPr>
        <w:tabs>
          <w:tab w:val="left" w:pos="2464"/>
        </w:tabs>
        <w:ind w:firstLine="720"/>
        <w:rPr>
          <w:iCs/>
          <w:lang w:val="pt-BR"/>
        </w:rPr>
      </w:pPr>
      <w:r w:rsidRPr="008E63BB">
        <w:rPr>
          <w:iCs/>
          <w:lang w:val="pt-BR"/>
        </w:rPr>
        <w:t xml:space="preserve">* Hệ thống công trình thủy lợi huyện Mỹ Lộc: </w:t>
      </w:r>
    </w:p>
    <w:p w14:paraId="519B28F2" w14:textId="77777777" w:rsidR="00F87317" w:rsidRPr="008E63BB" w:rsidRDefault="00F87317" w:rsidP="00F06125">
      <w:pPr>
        <w:pStyle w:val="ListParagraph"/>
        <w:numPr>
          <w:ilvl w:val="0"/>
          <w:numId w:val="35"/>
        </w:numPr>
        <w:tabs>
          <w:tab w:val="left" w:pos="479"/>
          <w:tab w:val="left" w:pos="851"/>
        </w:tabs>
        <w:spacing w:after="160" w:line="259" w:lineRule="auto"/>
        <w:ind w:left="0" w:firstLine="709"/>
        <w:jc w:val="left"/>
        <w:rPr>
          <w:sz w:val="26"/>
          <w:szCs w:val="26"/>
        </w:rPr>
      </w:pPr>
      <w:r w:rsidRPr="008E63BB">
        <w:rPr>
          <w:sz w:val="26"/>
          <w:szCs w:val="26"/>
        </w:rPr>
        <w:t>Đê hữu Hồng từ Km156+621÷Km163+610 dài 6.989m.</w:t>
      </w:r>
    </w:p>
    <w:p w14:paraId="519B28F3" w14:textId="77777777" w:rsidR="00F87317" w:rsidRPr="008E63BB" w:rsidRDefault="00F87317" w:rsidP="00F06125">
      <w:pPr>
        <w:pStyle w:val="ListParagraph"/>
        <w:numPr>
          <w:ilvl w:val="0"/>
          <w:numId w:val="35"/>
        </w:numPr>
        <w:tabs>
          <w:tab w:val="left" w:pos="479"/>
          <w:tab w:val="left" w:pos="851"/>
        </w:tabs>
        <w:spacing w:after="160" w:line="259" w:lineRule="auto"/>
        <w:ind w:left="0" w:firstLine="709"/>
        <w:jc w:val="left"/>
        <w:rPr>
          <w:sz w:val="26"/>
          <w:szCs w:val="26"/>
        </w:rPr>
      </w:pPr>
      <w:r w:rsidRPr="008E63BB">
        <w:rPr>
          <w:sz w:val="26"/>
          <w:szCs w:val="26"/>
        </w:rPr>
        <w:t>Hệ thống kè sông: Kè Hữu Bị, Cống Mý, Hồng Hà, Tân Đệ, Bách Linh, Vạn Hà.</w:t>
      </w:r>
    </w:p>
    <w:p w14:paraId="519B28F4" w14:textId="77777777" w:rsidR="00F87317" w:rsidRPr="008E63BB" w:rsidRDefault="00F87317" w:rsidP="00F06125">
      <w:pPr>
        <w:pStyle w:val="ListParagraph"/>
        <w:numPr>
          <w:ilvl w:val="0"/>
          <w:numId w:val="35"/>
        </w:numPr>
        <w:tabs>
          <w:tab w:val="left" w:pos="479"/>
          <w:tab w:val="left" w:pos="851"/>
        </w:tabs>
        <w:spacing w:after="160" w:line="259" w:lineRule="auto"/>
        <w:ind w:left="0" w:firstLine="709"/>
        <w:jc w:val="left"/>
        <w:rPr>
          <w:sz w:val="26"/>
          <w:szCs w:val="26"/>
        </w:rPr>
      </w:pPr>
      <w:r w:rsidRPr="008E63BB">
        <w:rPr>
          <w:sz w:val="26"/>
          <w:szCs w:val="26"/>
        </w:rPr>
        <w:t>Hệ thống cống dưới đê: cống Hữu Bị 1, cống Hữu Bị 2, cống Quán Chuột.</w:t>
      </w:r>
    </w:p>
    <w:p w14:paraId="519B28F5" w14:textId="77777777" w:rsidR="00F87317" w:rsidRPr="008E63BB" w:rsidRDefault="00F87317" w:rsidP="003D057A">
      <w:pPr>
        <w:pStyle w:val="ListParagraph"/>
        <w:numPr>
          <w:ilvl w:val="0"/>
          <w:numId w:val="35"/>
        </w:numPr>
        <w:tabs>
          <w:tab w:val="left" w:pos="479"/>
          <w:tab w:val="left" w:pos="851"/>
        </w:tabs>
        <w:spacing w:after="0"/>
        <w:ind w:left="0" w:firstLine="709"/>
        <w:jc w:val="left"/>
        <w:rPr>
          <w:sz w:val="26"/>
          <w:szCs w:val="26"/>
        </w:rPr>
      </w:pPr>
      <w:r w:rsidRPr="008E63BB">
        <w:rPr>
          <w:sz w:val="26"/>
          <w:szCs w:val="26"/>
        </w:rPr>
        <w:t>Hệ thống đê bối: Đê bối Hồng Hà dài 5.200m, đê bối Hồng Long dài 5.800m, trên hệ thống đê bối có 13 cống.</w:t>
      </w:r>
    </w:p>
    <w:p w14:paraId="519B28F6" w14:textId="77777777" w:rsidR="00F87317" w:rsidRPr="008E63BB" w:rsidRDefault="00F87317" w:rsidP="0065184D">
      <w:pPr>
        <w:tabs>
          <w:tab w:val="left" w:pos="709"/>
        </w:tabs>
        <w:ind w:firstLine="720"/>
        <w:rPr>
          <w:iCs/>
          <w:lang w:val="pt-BR"/>
        </w:rPr>
      </w:pPr>
      <w:r w:rsidRPr="008E63BB">
        <w:rPr>
          <w:iCs/>
          <w:lang w:val="pt-BR"/>
        </w:rPr>
        <w:t>* Thành phố Nam Định 84 cửa khẩu hiện vẫn đang hoạt động tốt:</w:t>
      </w:r>
    </w:p>
    <w:p w14:paraId="519B28F7" w14:textId="77777777" w:rsidR="00F87317" w:rsidRPr="008E63BB" w:rsidRDefault="00F87317" w:rsidP="0065184D">
      <w:pPr>
        <w:tabs>
          <w:tab w:val="left" w:pos="709"/>
        </w:tabs>
        <w:ind w:firstLine="720"/>
        <w:rPr>
          <w:iCs/>
          <w:lang w:val="pt-BR"/>
        </w:rPr>
      </w:pPr>
      <w:r w:rsidRPr="008E63BB">
        <w:rPr>
          <w:iCs/>
          <w:lang w:val="pt-BR"/>
        </w:rPr>
        <w:t xml:space="preserve">Đê Hữu Hồng: 25 cửa khẩu, đê Hữu Đào: 06 cửa khẩu, đê Tả Đào: 53 cửa khẩu. </w:t>
      </w:r>
    </w:p>
    <w:tbl>
      <w:tblPr>
        <w:tblW w:w="8378" w:type="dxa"/>
        <w:jc w:val="center"/>
        <w:tblLook w:val="04A0" w:firstRow="1" w:lastRow="0" w:firstColumn="1" w:lastColumn="0" w:noHBand="0" w:noVBand="1"/>
      </w:tblPr>
      <w:tblGrid>
        <w:gridCol w:w="2738"/>
        <w:gridCol w:w="2949"/>
        <w:gridCol w:w="2691"/>
      </w:tblGrid>
      <w:tr w:rsidR="008D5BFE" w:rsidRPr="008E63BB" w14:paraId="519B28FB" w14:textId="77777777" w:rsidTr="00F87317">
        <w:trPr>
          <w:trHeight w:val="1703"/>
          <w:jc w:val="center"/>
        </w:trPr>
        <w:tc>
          <w:tcPr>
            <w:tcW w:w="2738" w:type="dxa"/>
            <w:vAlign w:val="center"/>
          </w:tcPr>
          <w:p w14:paraId="519B28F8" w14:textId="77777777" w:rsidR="002302CA" w:rsidRPr="008E63BB" w:rsidRDefault="00B16653" w:rsidP="0065184D">
            <w:pPr>
              <w:jc w:val="center"/>
              <w:rPr>
                <w:sz w:val="24"/>
                <w:szCs w:val="24"/>
              </w:rPr>
            </w:pPr>
            <w:r w:rsidRPr="008E63BB">
              <w:rPr>
                <w:noProof/>
                <w:sz w:val="24"/>
                <w:szCs w:val="24"/>
                <w:lang w:eastAsia="zh-CN"/>
              </w:rPr>
              <w:drawing>
                <wp:inline distT="0" distB="0" distL="0" distR="0" wp14:anchorId="519B51F9" wp14:editId="519B51FA">
                  <wp:extent cx="1581814" cy="1186659"/>
                  <wp:effectExtent l="19050" t="0" r="0" b="0"/>
                  <wp:docPr id="25" name="Picture 7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8" cstate="screen">
                            <a:extLst>
                              <a:ext uri="{28A0092B-C50C-407E-A947-70E740481C1C}">
                                <a14:useLocalDpi xmlns:a14="http://schemas.microsoft.com/office/drawing/2010/main"/>
                              </a:ext>
                            </a:extLst>
                          </a:blip>
                          <a:stretch>
                            <a:fillRect/>
                          </a:stretch>
                        </pic:blipFill>
                        <pic:spPr>
                          <a:xfrm>
                            <a:off x="0" y="0"/>
                            <a:ext cx="1585715" cy="1189585"/>
                          </a:xfrm>
                          <a:prstGeom prst="rect">
                            <a:avLst/>
                          </a:prstGeom>
                        </pic:spPr>
                      </pic:pic>
                    </a:graphicData>
                  </a:graphic>
                </wp:inline>
              </w:drawing>
            </w:r>
          </w:p>
        </w:tc>
        <w:tc>
          <w:tcPr>
            <w:tcW w:w="2949" w:type="dxa"/>
            <w:vAlign w:val="center"/>
          </w:tcPr>
          <w:p w14:paraId="519B28F9" w14:textId="77777777" w:rsidR="002302CA" w:rsidRPr="008E63BB" w:rsidRDefault="00B16653" w:rsidP="0065184D">
            <w:pPr>
              <w:jc w:val="center"/>
              <w:rPr>
                <w:sz w:val="24"/>
                <w:szCs w:val="24"/>
              </w:rPr>
            </w:pPr>
            <w:r w:rsidRPr="008E63BB">
              <w:rPr>
                <w:noProof/>
                <w:sz w:val="24"/>
                <w:szCs w:val="24"/>
                <w:lang w:eastAsia="zh-CN"/>
              </w:rPr>
              <w:drawing>
                <wp:inline distT="0" distB="0" distL="0" distR="0" wp14:anchorId="519B51FB" wp14:editId="519B51FC">
                  <wp:extent cx="1559360" cy="1169814"/>
                  <wp:effectExtent l="19050" t="0" r="2740" b="0"/>
                  <wp:docPr id="26" name="Picture 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9" cstate="screen">
                            <a:extLst>
                              <a:ext uri="{28A0092B-C50C-407E-A947-70E740481C1C}">
                                <a14:useLocalDpi xmlns:a14="http://schemas.microsoft.com/office/drawing/2010/main"/>
                              </a:ext>
                            </a:extLst>
                          </a:blip>
                          <a:stretch>
                            <a:fillRect/>
                          </a:stretch>
                        </pic:blipFill>
                        <pic:spPr>
                          <a:xfrm>
                            <a:off x="0" y="0"/>
                            <a:ext cx="1564704" cy="1173823"/>
                          </a:xfrm>
                          <a:prstGeom prst="rect">
                            <a:avLst/>
                          </a:prstGeom>
                        </pic:spPr>
                      </pic:pic>
                    </a:graphicData>
                  </a:graphic>
                </wp:inline>
              </w:drawing>
            </w:r>
          </w:p>
        </w:tc>
        <w:tc>
          <w:tcPr>
            <w:tcW w:w="2691" w:type="dxa"/>
            <w:vAlign w:val="center"/>
          </w:tcPr>
          <w:p w14:paraId="519B28FA" w14:textId="77777777" w:rsidR="002302CA" w:rsidRPr="008E63BB" w:rsidRDefault="00B16653" w:rsidP="0065184D">
            <w:pPr>
              <w:jc w:val="center"/>
              <w:rPr>
                <w:sz w:val="24"/>
                <w:szCs w:val="24"/>
              </w:rPr>
            </w:pPr>
            <w:r w:rsidRPr="008E63BB">
              <w:rPr>
                <w:noProof/>
                <w:sz w:val="24"/>
                <w:szCs w:val="24"/>
                <w:lang w:eastAsia="zh-CN"/>
              </w:rPr>
              <w:drawing>
                <wp:inline distT="0" distB="0" distL="0" distR="0" wp14:anchorId="519B51FD" wp14:editId="519B51FE">
                  <wp:extent cx="1501525" cy="1126144"/>
                  <wp:effectExtent l="19050" t="0" r="3425" b="0"/>
                  <wp:docPr id="83" name="Picture 8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0" cstate="screen">
                            <a:extLst>
                              <a:ext uri="{28A0092B-C50C-407E-A947-70E740481C1C}">
                                <a14:useLocalDpi xmlns:a14="http://schemas.microsoft.com/office/drawing/2010/main"/>
                              </a:ext>
                            </a:extLst>
                          </a:blip>
                          <a:stretch>
                            <a:fillRect/>
                          </a:stretch>
                        </pic:blipFill>
                        <pic:spPr>
                          <a:xfrm>
                            <a:off x="0" y="0"/>
                            <a:ext cx="1503611" cy="1127708"/>
                          </a:xfrm>
                          <a:prstGeom prst="rect">
                            <a:avLst/>
                          </a:prstGeom>
                        </pic:spPr>
                      </pic:pic>
                    </a:graphicData>
                  </a:graphic>
                </wp:inline>
              </w:drawing>
            </w:r>
          </w:p>
        </w:tc>
      </w:tr>
      <w:tr w:rsidR="008D5BFE" w:rsidRPr="008E63BB" w14:paraId="519B28FF" w14:textId="77777777" w:rsidTr="00F87317">
        <w:trPr>
          <w:trHeight w:val="268"/>
          <w:jc w:val="center"/>
        </w:trPr>
        <w:tc>
          <w:tcPr>
            <w:tcW w:w="2738" w:type="dxa"/>
            <w:vAlign w:val="center"/>
          </w:tcPr>
          <w:p w14:paraId="519B28FC" w14:textId="77777777" w:rsidR="002302CA" w:rsidRPr="008E63BB" w:rsidRDefault="002302CA" w:rsidP="0065184D">
            <w:pPr>
              <w:jc w:val="center"/>
              <w:rPr>
                <w:sz w:val="24"/>
                <w:szCs w:val="24"/>
              </w:rPr>
            </w:pPr>
            <w:r w:rsidRPr="008E63BB">
              <w:rPr>
                <w:i/>
                <w:iCs/>
                <w:sz w:val="24"/>
                <w:szCs w:val="24"/>
              </w:rPr>
              <w:t>Đê sông Đào</w:t>
            </w:r>
          </w:p>
        </w:tc>
        <w:tc>
          <w:tcPr>
            <w:tcW w:w="2949" w:type="dxa"/>
            <w:vAlign w:val="center"/>
          </w:tcPr>
          <w:p w14:paraId="519B28FD" w14:textId="77777777" w:rsidR="002302CA" w:rsidRPr="008E63BB" w:rsidRDefault="002302CA" w:rsidP="0065184D">
            <w:pPr>
              <w:jc w:val="center"/>
              <w:rPr>
                <w:sz w:val="24"/>
                <w:szCs w:val="24"/>
              </w:rPr>
            </w:pPr>
            <w:r w:rsidRPr="008E63BB">
              <w:rPr>
                <w:i/>
                <w:iCs/>
                <w:sz w:val="24"/>
                <w:szCs w:val="24"/>
              </w:rPr>
              <w:t>Đê sông Đào</w:t>
            </w:r>
          </w:p>
        </w:tc>
        <w:tc>
          <w:tcPr>
            <w:tcW w:w="2691" w:type="dxa"/>
            <w:vAlign w:val="center"/>
          </w:tcPr>
          <w:p w14:paraId="519B28FE" w14:textId="77777777" w:rsidR="002302CA" w:rsidRPr="008E63BB" w:rsidRDefault="002302CA" w:rsidP="0065184D">
            <w:pPr>
              <w:jc w:val="center"/>
              <w:rPr>
                <w:sz w:val="24"/>
                <w:szCs w:val="24"/>
              </w:rPr>
            </w:pPr>
            <w:r w:rsidRPr="008E63BB">
              <w:rPr>
                <w:i/>
                <w:iCs/>
                <w:sz w:val="24"/>
                <w:szCs w:val="24"/>
              </w:rPr>
              <w:t>Đê sông Hồng</w:t>
            </w:r>
          </w:p>
        </w:tc>
      </w:tr>
    </w:tbl>
    <w:p w14:paraId="519B2900" w14:textId="77777777" w:rsidR="002302CA" w:rsidRPr="008E63BB" w:rsidRDefault="00B24870" w:rsidP="0065184D">
      <w:pPr>
        <w:tabs>
          <w:tab w:val="left" w:pos="2464"/>
        </w:tabs>
        <w:ind w:firstLine="720"/>
        <w:jc w:val="center"/>
        <w:rPr>
          <w:iCs/>
          <w:lang w:val="pt-BR"/>
        </w:rPr>
      </w:pPr>
      <w:r w:rsidRPr="008E63BB">
        <w:rPr>
          <w:iCs/>
          <w:noProof/>
          <w:lang w:eastAsia="zh-CN"/>
        </w:rPr>
        <w:drawing>
          <wp:inline distT="0" distB="0" distL="0" distR="0" wp14:anchorId="519B51FF" wp14:editId="519B5200">
            <wp:extent cx="4568939" cy="3134734"/>
            <wp:effectExtent l="0" t="0" r="3175" b="8890"/>
            <wp:docPr id="27" name="Picture 1" descr="Present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1.jpg"/>
                    <pic:cNvPicPr/>
                  </pic:nvPicPr>
                  <pic:blipFill>
                    <a:blip r:embed="rId61" cstate="screen">
                      <a:extLst>
                        <a:ext uri="{28A0092B-C50C-407E-A947-70E740481C1C}">
                          <a14:useLocalDpi xmlns:a14="http://schemas.microsoft.com/office/drawing/2010/main"/>
                        </a:ext>
                      </a:extLst>
                    </a:blip>
                    <a:srcRect/>
                    <a:stretch>
                      <a:fillRect/>
                    </a:stretch>
                  </pic:blipFill>
                  <pic:spPr>
                    <a:xfrm>
                      <a:off x="0" y="0"/>
                      <a:ext cx="4588666" cy="3148269"/>
                    </a:xfrm>
                    <a:prstGeom prst="rect">
                      <a:avLst/>
                    </a:prstGeom>
                  </pic:spPr>
                </pic:pic>
              </a:graphicData>
            </a:graphic>
          </wp:inline>
        </w:drawing>
      </w:r>
    </w:p>
    <w:p w14:paraId="519B2901" w14:textId="77777777" w:rsidR="002302CA" w:rsidRPr="008E63BB" w:rsidRDefault="002302CA" w:rsidP="0065184D">
      <w:pPr>
        <w:tabs>
          <w:tab w:val="left" w:pos="2464"/>
        </w:tabs>
        <w:ind w:firstLine="720"/>
        <w:jc w:val="center"/>
        <w:rPr>
          <w:i/>
          <w:iCs/>
          <w:lang w:val="pt-BR"/>
        </w:rPr>
      </w:pPr>
      <w:r w:rsidRPr="008E63BB">
        <w:rPr>
          <w:i/>
          <w:iCs/>
          <w:lang w:val="pt-BR"/>
        </w:rPr>
        <w:t>Sơ đồ vị trí tuyến đê thành phố Nam Định</w:t>
      </w:r>
    </w:p>
    <w:p w14:paraId="519B2902" w14:textId="77777777" w:rsidR="002302CA" w:rsidRPr="008E63BB" w:rsidRDefault="002302CA" w:rsidP="0065184D">
      <w:pPr>
        <w:pStyle w:val="ListParagraph"/>
        <w:numPr>
          <w:ilvl w:val="0"/>
          <w:numId w:val="4"/>
        </w:numPr>
        <w:tabs>
          <w:tab w:val="left" w:pos="284"/>
        </w:tabs>
        <w:spacing w:after="0"/>
        <w:ind w:left="0" w:firstLine="0"/>
        <w:rPr>
          <w:i/>
          <w:sz w:val="26"/>
          <w:szCs w:val="26"/>
          <w:lang w:val="fr-FR"/>
        </w:rPr>
      </w:pPr>
      <w:r w:rsidRPr="008E63BB">
        <w:rPr>
          <w:i/>
          <w:sz w:val="26"/>
          <w:szCs w:val="26"/>
        </w:rPr>
        <w:lastRenderedPageBreak/>
        <w:t>Hệ thống trạm bơm tiêu nước mưa</w:t>
      </w:r>
    </w:p>
    <w:p w14:paraId="519B2903" w14:textId="77777777" w:rsidR="002302CA" w:rsidRPr="008E63BB" w:rsidRDefault="002302CA" w:rsidP="0065184D">
      <w:pPr>
        <w:tabs>
          <w:tab w:val="left" w:pos="2464"/>
        </w:tabs>
        <w:ind w:firstLine="720"/>
        <w:rPr>
          <w:iCs/>
          <w:lang w:val="pt-BR"/>
        </w:rPr>
      </w:pPr>
      <w:r w:rsidRPr="008E63BB">
        <w:rPr>
          <w:iCs/>
          <w:lang w:val="pt-BR"/>
        </w:rPr>
        <w:t>Thành phố Nam Định có 3 trạm bơm Tả sông Đào và 1 trạm bơm Hữu sông Đào:</w:t>
      </w:r>
    </w:p>
    <w:p w14:paraId="519B2904" w14:textId="77777777" w:rsidR="002302CA" w:rsidRPr="008E63BB" w:rsidRDefault="002302CA" w:rsidP="0065184D">
      <w:pPr>
        <w:tabs>
          <w:tab w:val="left" w:pos="2464"/>
        </w:tabs>
        <w:ind w:firstLine="720"/>
        <w:rPr>
          <w:iCs/>
          <w:lang w:val="pt-BR"/>
        </w:rPr>
      </w:pPr>
      <w:r w:rsidRPr="008E63BB">
        <w:rPr>
          <w:iCs/>
          <w:lang w:val="pt-BR"/>
        </w:rPr>
        <w:t>- Trạm bơm Quán Chuột 59.000 m3/h đáp ứng việc tiêu thoát nước chủ động cho nửa phía Đông Bắc thành phố Nam Định với lưu vực khoảng 800ha.</w:t>
      </w:r>
    </w:p>
    <w:p w14:paraId="519B2905" w14:textId="77777777" w:rsidR="002302CA" w:rsidRPr="008E63BB" w:rsidRDefault="002302CA" w:rsidP="0065184D">
      <w:pPr>
        <w:tabs>
          <w:tab w:val="left" w:pos="2464"/>
        </w:tabs>
        <w:ind w:firstLine="720"/>
        <w:rPr>
          <w:iCs/>
          <w:lang w:val="pt-BR"/>
        </w:rPr>
      </w:pPr>
      <w:r w:rsidRPr="008E63BB">
        <w:rPr>
          <w:iCs/>
          <w:lang w:val="pt-BR"/>
        </w:rPr>
        <w:t>- Trạm bơm Kênh Gia công suất lớn 43.000 m3/h đáp ứng việc tiêu thoát nước  nhưng do trước bể hút không có hồ điều hoà nên không phát huy được hết hiệu quả khi có mưa lớn.</w:t>
      </w:r>
    </w:p>
    <w:p w14:paraId="519B2906" w14:textId="77777777" w:rsidR="002302CA" w:rsidRPr="008E63BB" w:rsidRDefault="002302CA" w:rsidP="0065184D">
      <w:pPr>
        <w:tabs>
          <w:tab w:val="left" w:pos="2464"/>
        </w:tabs>
        <w:ind w:firstLine="720"/>
        <w:rPr>
          <w:iCs/>
          <w:lang w:val="pt-BR"/>
        </w:rPr>
      </w:pPr>
      <w:r w:rsidRPr="008E63BB">
        <w:rPr>
          <w:iCs/>
          <w:lang w:val="pt-BR"/>
        </w:rPr>
        <w:t>- Trạm bơm An Lá 5máyx4.000 m3/h  đang hoạt động tốt, là trạm bơm tưới tiêu kết hợp với Ftiêu = 2.309ha.</w:t>
      </w:r>
    </w:p>
    <w:p w14:paraId="519B2907" w14:textId="77777777" w:rsidR="002302CA" w:rsidRPr="008E63BB" w:rsidRDefault="002302CA" w:rsidP="0065184D">
      <w:pPr>
        <w:tabs>
          <w:tab w:val="left" w:pos="2464"/>
        </w:tabs>
        <w:ind w:firstLine="720"/>
        <w:rPr>
          <w:iCs/>
          <w:lang w:val="pt-BR"/>
        </w:rPr>
      </w:pPr>
      <w:r w:rsidRPr="008E63BB">
        <w:rPr>
          <w:iCs/>
          <w:lang w:val="pt-BR"/>
        </w:rPr>
        <w:t>- Trạm bơm Cốc Thành 7máyx32.000 m3/h hoạt động tốt đảm bảo việc tiêu thoát nước cho 24.817ha phía Nam sông Vĩnh Giang.</w:t>
      </w:r>
    </w:p>
    <w:tbl>
      <w:tblPr>
        <w:tblW w:w="8658" w:type="dxa"/>
        <w:jc w:val="center"/>
        <w:tblLook w:val="04A0" w:firstRow="1" w:lastRow="0" w:firstColumn="1" w:lastColumn="0" w:noHBand="0" w:noVBand="1"/>
      </w:tblPr>
      <w:tblGrid>
        <w:gridCol w:w="2982"/>
        <w:gridCol w:w="2861"/>
        <w:gridCol w:w="2815"/>
      </w:tblGrid>
      <w:tr w:rsidR="008D5BFE" w:rsidRPr="008E63BB" w14:paraId="519B290B" w14:textId="77777777" w:rsidTr="00A71373">
        <w:trPr>
          <w:trHeight w:val="737"/>
          <w:jc w:val="center"/>
        </w:trPr>
        <w:tc>
          <w:tcPr>
            <w:tcW w:w="2886" w:type="dxa"/>
            <w:vAlign w:val="center"/>
          </w:tcPr>
          <w:p w14:paraId="519B2908" w14:textId="77777777" w:rsidR="002302CA" w:rsidRPr="008E63BB" w:rsidRDefault="00282C31" w:rsidP="0065184D">
            <w:pPr>
              <w:jc w:val="center"/>
              <w:rPr>
                <w:szCs w:val="26"/>
              </w:rPr>
            </w:pPr>
            <w:r w:rsidRPr="008E63BB">
              <w:rPr>
                <w:noProof/>
                <w:szCs w:val="26"/>
                <w:lang w:eastAsia="zh-CN"/>
              </w:rPr>
              <w:drawing>
                <wp:inline distT="0" distB="0" distL="0" distR="0" wp14:anchorId="519B5201" wp14:editId="519B5202">
                  <wp:extent cx="1737831" cy="1303092"/>
                  <wp:effectExtent l="19050" t="0" r="0" b="0"/>
                  <wp:docPr id="84" name="Picture 8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2" cstate="screen">
                            <a:extLst>
                              <a:ext uri="{28A0092B-C50C-407E-A947-70E740481C1C}">
                                <a14:useLocalDpi xmlns:a14="http://schemas.microsoft.com/office/drawing/2010/main"/>
                              </a:ext>
                            </a:extLst>
                          </a:blip>
                          <a:stretch>
                            <a:fillRect/>
                          </a:stretch>
                        </pic:blipFill>
                        <pic:spPr>
                          <a:xfrm>
                            <a:off x="0" y="0"/>
                            <a:ext cx="1761326" cy="1320709"/>
                          </a:xfrm>
                          <a:prstGeom prst="rect">
                            <a:avLst/>
                          </a:prstGeom>
                        </pic:spPr>
                      </pic:pic>
                    </a:graphicData>
                  </a:graphic>
                </wp:inline>
              </w:drawing>
            </w:r>
          </w:p>
        </w:tc>
        <w:tc>
          <w:tcPr>
            <w:tcW w:w="2886" w:type="dxa"/>
            <w:vAlign w:val="center"/>
          </w:tcPr>
          <w:p w14:paraId="519B2909" w14:textId="77777777" w:rsidR="002302CA" w:rsidRPr="008E63BB" w:rsidRDefault="00282C31" w:rsidP="0065184D">
            <w:pPr>
              <w:jc w:val="center"/>
              <w:rPr>
                <w:szCs w:val="26"/>
              </w:rPr>
            </w:pPr>
            <w:r w:rsidRPr="008E63BB">
              <w:rPr>
                <w:noProof/>
                <w:szCs w:val="26"/>
                <w:lang w:eastAsia="zh-CN"/>
              </w:rPr>
              <w:drawing>
                <wp:inline distT="0" distB="0" distL="0" distR="0" wp14:anchorId="519B5203" wp14:editId="519B5204">
                  <wp:extent cx="1643511" cy="1232899"/>
                  <wp:effectExtent l="19050" t="0" r="0" b="0"/>
                  <wp:docPr id="28" name="Picture 8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3" cstate="screen">
                            <a:extLst>
                              <a:ext uri="{28A0092B-C50C-407E-A947-70E740481C1C}">
                                <a14:useLocalDpi xmlns:a14="http://schemas.microsoft.com/office/drawing/2010/main"/>
                              </a:ext>
                            </a:extLst>
                          </a:blip>
                          <a:stretch>
                            <a:fillRect/>
                          </a:stretch>
                        </pic:blipFill>
                        <pic:spPr>
                          <a:xfrm>
                            <a:off x="0" y="0"/>
                            <a:ext cx="1642428" cy="1232087"/>
                          </a:xfrm>
                          <a:prstGeom prst="rect">
                            <a:avLst/>
                          </a:prstGeom>
                        </pic:spPr>
                      </pic:pic>
                    </a:graphicData>
                  </a:graphic>
                </wp:inline>
              </w:drawing>
            </w:r>
          </w:p>
        </w:tc>
        <w:tc>
          <w:tcPr>
            <w:tcW w:w="2886" w:type="dxa"/>
            <w:vAlign w:val="center"/>
          </w:tcPr>
          <w:p w14:paraId="519B290A" w14:textId="77777777" w:rsidR="002302CA" w:rsidRPr="008E63BB" w:rsidRDefault="00282C31" w:rsidP="0065184D">
            <w:pPr>
              <w:jc w:val="center"/>
              <w:rPr>
                <w:szCs w:val="26"/>
              </w:rPr>
            </w:pPr>
            <w:r w:rsidRPr="008E63BB">
              <w:rPr>
                <w:noProof/>
                <w:szCs w:val="26"/>
                <w:lang w:eastAsia="zh-CN"/>
              </w:rPr>
              <w:drawing>
                <wp:inline distT="0" distB="0" distL="0" distR="0" wp14:anchorId="519B5205" wp14:editId="519B5206">
                  <wp:extent cx="1575032" cy="1181528"/>
                  <wp:effectExtent l="19050" t="0" r="6118" b="0"/>
                  <wp:docPr id="29" name="Picture 8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 cstate="screen">
                            <a:extLst>
                              <a:ext uri="{28A0092B-C50C-407E-A947-70E740481C1C}">
                                <a14:useLocalDpi xmlns:a14="http://schemas.microsoft.com/office/drawing/2010/main"/>
                              </a:ext>
                            </a:extLst>
                          </a:blip>
                          <a:stretch>
                            <a:fillRect/>
                          </a:stretch>
                        </pic:blipFill>
                        <pic:spPr>
                          <a:xfrm>
                            <a:off x="0" y="0"/>
                            <a:ext cx="1577135" cy="1183106"/>
                          </a:xfrm>
                          <a:prstGeom prst="rect">
                            <a:avLst/>
                          </a:prstGeom>
                        </pic:spPr>
                      </pic:pic>
                    </a:graphicData>
                  </a:graphic>
                </wp:inline>
              </w:drawing>
            </w:r>
          </w:p>
        </w:tc>
      </w:tr>
      <w:tr w:rsidR="008D5BFE" w:rsidRPr="008E63BB" w14:paraId="519B290F" w14:textId="77777777" w:rsidTr="00A71373">
        <w:trPr>
          <w:trHeight w:val="70"/>
          <w:jc w:val="center"/>
        </w:trPr>
        <w:tc>
          <w:tcPr>
            <w:tcW w:w="2886" w:type="dxa"/>
            <w:vAlign w:val="center"/>
          </w:tcPr>
          <w:p w14:paraId="519B290C" w14:textId="77777777" w:rsidR="002302CA" w:rsidRPr="008E63BB" w:rsidRDefault="002302CA" w:rsidP="0065184D">
            <w:pPr>
              <w:jc w:val="center"/>
              <w:rPr>
                <w:i/>
                <w:iCs/>
                <w:szCs w:val="26"/>
              </w:rPr>
            </w:pPr>
            <w:r w:rsidRPr="008E63BB">
              <w:rPr>
                <w:i/>
                <w:iCs/>
                <w:szCs w:val="26"/>
              </w:rPr>
              <w:t>TB Cốc Thành</w:t>
            </w:r>
          </w:p>
        </w:tc>
        <w:tc>
          <w:tcPr>
            <w:tcW w:w="2886" w:type="dxa"/>
            <w:vAlign w:val="center"/>
          </w:tcPr>
          <w:p w14:paraId="519B290D" w14:textId="77777777" w:rsidR="002302CA" w:rsidRPr="008E63BB" w:rsidRDefault="002302CA" w:rsidP="0065184D">
            <w:pPr>
              <w:jc w:val="center"/>
              <w:rPr>
                <w:i/>
                <w:iCs/>
                <w:szCs w:val="26"/>
              </w:rPr>
            </w:pPr>
            <w:r w:rsidRPr="008E63BB">
              <w:rPr>
                <w:i/>
                <w:iCs/>
                <w:szCs w:val="26"/>
              </w:rPr>
              <w:t>TB Kênh Gia</w:t>
            </w:r>
          </w:p>
        </w:tc>
        <w:tc>
          <w:tcPr>
            <w:tcW w:w="2886" w:type="dxa"/>
            <w:vAlign w:val="center"/>
          </w:tcPr>
          <w:p w14:paraId="519B290E" w14:textId="77777777" w:rsidR="002302CA" w:rsidRPr="008E63BB" w:rsidRDefault="002302CA" w:rsidP="0065184D">
            <w:pPr>
              <w:jc w:val="center"/>
              <w:rPr>
                <w:i/>
                <w:iCs/>
                <w:szCs w:val="26"/>
              </w:rPr>
            </w:pPr>
            <w:r w:rsidRPr="008E63BB">
              <w:rPr>
                <w:i/>
                <w:iCs/>
                <w:szCs w:val="26"/>
              </w:rPr>
              <w:t>TB Hữu Bi</w:t>
            </w:r>
          </w:p>
        </w:tc>
      </w:tr>
    </w:tbl>
    <w:p w14:paraId="519B2910" w14:textId="77777777" w:rsidR="002302CA" w:rsidRPr="008E63BB" w:rsidRDefault="002302CA" w:rsidP="0065184D">
      <w:pPr>
        <w:pStyle w:val="ListParagraph"/>
        <w:tabs>
          <w:tab w:val="left" w:pos="284"/>
        </w:tabs>
        <w:spacing w:after="0"/>
        <w:ind w:left="0"/>
        <w:rPr>
          <w:i/>
          <w:sz w:val="26"/>
          <w:szCs w:val="26"/>
          <w:lang w:val="en-US"/>
        </w:rPr>
      </w:pPr>
    </w:p>
    <w:p w14:paraId="519B2911" w14:textId="77777777" w:rsidR="002302CA" w:rsidRPr="008E63BB" w:rsidRDefault="00282C31" w:rsidP="0065184D">
      <w:pPr>
        <w:tabs>
          <w:tab w:val="left" w:pos="2464"/>
        </w:tabs>
        <w:ind w:firstLine="720"/>
        <w:jc w:val="center"/>
        <w:rPr>
          <w:i/>
          <w:iCs/>
          <w:lang w:val="pt-BR"/>
        </w:rPr>
      </w:pPr>
      <w:r w:rsidRPr="008E63BB">
        <w:rPr>
          <w:i/>
          <w:iCs/>
          <w:noProof/>
          <w:lang w:eastAsia="zh-CN"/>
        </w:rPr>
        <w:drawing>
          <wp:inline distT="0" distB="0" distL="0" distR="0" wp14:anchorId="519B5207" wp14:editId="519B5208">
            <wp:extent cx="4573498" cy="3637052"/>
            <wp:effectExtent l="19050" t="0" r="0" b="0"/>
            <wp:docPr id="30" name="Picture 3" descr="HT CBKT ND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 CBKT ND copy.jpg"/>
                    <pic:cNvPicPr/>
                  </pic:nvPicPr>
                  <pic:blipFill>
                    <a:blip r:embed="rId65" cstate="screen">
                      <a:extLst>
                        <a:ext uri="{28A0092B-C50C-407E-A947-70E740481C1C}">
                          <a14:useLocalDpi xmlns:a14="http://schemas.microsoft.com/office/drawing/2010/main"/>
                        </a:ext>
                      </a:extLst>
                    </a:blip>
                    <a:srcRect/>
                    <a:stretch>
                      <a:fillRect/>
                    </a:stretch>
                  </pic:blipFill>
                  <pic:spPr>
                    <a:xfrm>
                      <a:off x="0" y="0"/>
                      <a:ext cx="4573498" cy="3637052"/>
                    </a:xfrm>
                    <a:prstGeom prst="rect">
                      <a:avLst/>
                    </a:prstGeom>
                  </pic:spPr>
                </pic:pic>
              </a:graphicData>
            </a:graphic>
          </wp:inline>
        </w:drawing>
      </w:r>
    </w:p>
    <w:p w14:paraId="519B2912" w14:textId="77777777" w:rsidR="002302CA" w:rsidRPr="008E63BB" w:rsidRDefault="002302CA" w:rsidP="0065184D">
      <w:pPr>
        <w:tabs>
          <w:tab w:val="left" w:pos="2464"/>
        </w:tabs>
        <w:ind w:firstLine="720"/>
        <w:jc w:val="center"/>
        <w:rPr>
          <w:i/>
          <w:iCs/>
          <w:lang w:val="pt-BR"/>
        </w:rPr>
      </w:pPr>
      <w:r w:rsidRPr="008E63BB">
        <w:rPr>
          <w:i/>
          <w:iCs/>
          <w:lang w:val="pt-BR"/>
        </w:rPr>
        <w:t>Sơ đồ vị trí trạm bơm tiêu</w:t>
      </w:r>
    </w:p>
    <w:p w14:paraId="519B2913" w14:textId="77777777" w:rsidR="002302CA" w:rsidRPr="008E63BB" w:rsidRDefault="002302CA" w:rsidP="0065184D">
      <w:pPr>
        <w:rPr>
          <w:rFonts w:eastAsia="Times New Roman"/>
          <w:b/>
          <w:i/>
          <w:szCs w:val="26"/>
          <w:lang w:val="pt-BR"/>
        </w:rPr>
      </w:pPr>
      <w:r w:rsidRPr="008E63BB">
        <w:rPr>
          <w:rFonts w:eastAsia="Times New Roman"/>
          <w:b/>
          <w:i/>
          <w:szCs w:val="26"/>
          <w:lang w:val="pt-BR"/>
        </w:rPr>
        <w:t>2/. Hiện trạng kênh mương tiêu:</w:t>
      </w:r>
    </w:p>
    <w:p w14:paraId="519B2914" w14:textId="77777777" w:rsidR="002302CA" w:rsidRPr="008E63BB" w:rsidRDefault="002302CA" w:rsidP="0065184D">
      <w:pPr>
        <w:pStyle w:val="ListParagraph"/>
        <w:numPr>
          <w:ilvl w:val="0"/>
          <w:numId w:val="5"/>
        </w:numPr>
        <w:tabs>
          <w:tab w:val="left" w:pos="284"/>
          <w:tab w:val="left" w:pos="851"/>
        </w:tabs>
        <w:spacing w:after="0"/>
        <w:ind w:left="0" w:firstLine="709"/>
        <w:rPr>
          <w:sz w:val="26"/>
          <w:szCs w:val="26"/>
        </w:rPr>
      </w:pPr>
      <w:r w:rsidRPr="008E63BB">
        <w:rPr>
          <w:bCs/>
          <w:sz w:val="26"/>
          <w:szCs w:val="26"/>
          <w:lang w:val="pt-BR"/>
        </w:rPr>
        <w:t>Khu vực nghiên cứu có 8 h</w:t>
      </w:r>
      <w:r w:rsidRPr="008E63BB">
        <w:rPr>
          <w:sz w:val="26"/>
          <w:szCs w:val="26"/>
        </w:rPr>
        <w:t xml:space="preserve">ệ thống kênh tiêu chính: </w:t>
      </w:r>
      <w:r w:rsidRPr="008E63BB">
        <w:rPr>
          <w:sz w:val="26"/>
          <w:szCs w:val="26"/>
          <w:lang w:val="pt-BR"/>
        </w:rPr>
        <w:t>kênh T3, kênh T13-11, kênh T3-19, kênh T5, kênh Tiên Hương, kênh An Lá, kênh Nam Hà… với tổng chiều dài khoảng 70km, bề rộng lòng mương 15÷50m.</w:t>
      </w:r>
    </w:p>
    <w:p w14:paraId="519B2915" w14:textId="77777777" w:rsidR="002302CA" w:rsidRPr="008E63BB" w:rsidRDefault="002302CA" w:rsidP="0065184D">
      <w:pPr>
        <w:pStyle w:val="ListParagraph"/>
        <w:numPr>
          <w:ilvl w:val="0"/>
          <w:numId w:val="5"/>
        </w:numPr>
        <w:tabs>
          <w:tab w:val="left" w:pos="284"/>
          <w:tab w:val="left" w:pos="851"/>
        </w:tabs>
        <w:spacing w:after="0"/>
        <w:ind w:left="0" w:firstLine="709"/>
        <w:rPr>
          <w:sz w:val="26"/>
          <w:szCs w:val="26"/>
        </w:rPr>
      </w:pPr>
      <w:r w:rsidRPr="008E63BB">
        <w:rPr>
          <w:sz w:val="26"/>
          <w:szCs w:val="26"/>
        </w:rPr>
        <w:t>Phần lớn hệ thống mương tiêu chưa được kiên cố hóa, hàng năm ít có kinh phí nạo vét khơi thông dòng chảy.</w:t>
      </w:r>
    </w:p>
    <w:p w14:paraId="519B2916" w14:textId="77777777" w:rsidR="002302CA" w:rsidRPr="008E63BB" w:rsidRDefault="002302CA" w:rsidP="0065184D">
      <w:pPr>
        <w:pStyle w:val="ListParagraph"/>
        <w:numPr>
          <w:ilvl w:val="0"/>
          <w:numId w:val="5"/>
        </w:numPr>
        <w:tabs>
          <w:tab w:val="left" w:pos="0"/>
          <w:tab w:val="left" w:pos="851"/>
        </w:tabs>
        <w:ind w:left="0" w:firstLine="706"/>
        <w:rPr>
          <w:sz w:val="26"/>
          <w:szCs w:val="26"/>
        </w:rPr>
      </w:pPr>
      <w:r w:rsidRPr="008E63BB">
        <w:rPr>
          <w:sz w:val="26"/>
          <w:szCs w:val="26"/>
          <w:lang w:val="pt-BR"/>
        </w:rPr>
        <w:t xml:space="preserve">Lòng mương bị ứ đọng bùn rác, tiếp nhận cả nguồn nước thải sinh hoạt, công nghiệp, vệ sinh môi trường không đảm bảo. </w:t>
      </w:r>
    </w:p>
    <w:tbl>
      <w:tblPr>
        <w:tblW w:w="8378" w:type="dxa"/>
        <w:jc w:val="center"/>
        <w:tblLook w:val="04A0" w:firstRow="1" w:lastRow="0" w:firstColumn="1" w:lastColumn="0" w:noHBand="0" w:noVBand="1"/>
      </w:tblPr>
      <w:tblGrid>
        <w:gridCol w:w="3247"/>
        <w:gridCol w:w="3115"/>
        <w:gridCol w:w="3136"/>
      </w:tblGrid>
      <w:tr w:rsidR="008D5BFE" w:rsidRPr="008E63BB" w14:paraId="519B291A" w14:textId="77777777" w:rsidTr="00A71373">
        <w:trPr>
          <w:trHeight w:val="1703"/>
          <w:jc w:val="center"/>
        </w:trPr>
        <w:tc>
          <w:tcPr>
            <w:tcW w:w="2676" w:type="dxa"/>
            <w:vAlign w:val="center"/>
          </w:tcPr>
          <w:p w14:paraId="519B2917" w14:textId="77777777" w:rsidR="002302CA" w:rsidRPr="008E63BB" w:rsidRDefault="00282C31" w:rsidP="0065184D">
            <w:pPr>
              <w:ind w:left="-100"/>
              <w:jc w:val="left"/>
              <w:rPr>
                <w:szCs w:val="26"/>
              </w:rPr>
            </w:pPr>
            <w:r w:rsidRPr="008E63BB">
              <w:rPr>
                <w:noProof/>
                <w:szCs w:val="26"/>
                <w:lang w:eastAsia="zh-CN"/>
              </w:rPr>
              <w:lastRenderedPageBreak/>
              <w:drawing>
                <wp:inline distT="0" distB="0" distL="0" distR="0" wp14:anchorId="519B5209" wp14:editId="519B520A">
                  <wp:extent cx="2063329" cy="1445733"/>
                  <wp:effectExtent l="0" t="0" r="0" b="2540"/>
                  <wp:docPr id="31" name="Picture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 cstate="print"/>
                          <a:stretch>
                            <a:fillRect/>
                          </a:stretch>
                        </pic:blipFill>
                        <pic:spPr>
                          <a:xfrm>
                            <a:off x="0" y="0"/>
                            <a:ext cx="2107965" cy="1477008"/>
                          </a:xfrm>
                          <a:prstGeom prst="rect">
                            <a:avLst/>
                          </a:prstGeom>
                        </pic:spPr>
                      </pic:pic>
                    </a:graphicData>
                  </a:graphic>
                </wp:inline>
              </w:drawing>
            </w:r>
          </w:p>
        </w:tc>
        <w:tc>
          <w:tcPr>
            <w:tcW w:w="2996" w:type="dxa"/>
            <w:vAlign w:val="center"/>
          </w:tcPr>
          <w:p w14:paraId="519B2918" w14:textId="77777777" w:rsidR="002302CA" w:rsidRPr="008E63BB" w:rsidRDefault="00282C31" w:rsidP="0065184D">
            <w:pPr>
              <w:jc w:val="center"/>
              <w:rPr>
                <w:szCs w:val="26"/>
              </w:rPr>
            </w:pPr>
            <w:r w:rsidRPr="008E63BB">
              <w:rPr>
                <w:noProof/>
                <w:szCs w:val="26"/>
                <w:lang w:eastAsia="zh-CN"/>
              </w:rPr>
              <w:drawing>
                <wp:inline distT="0" distB="0" distL="0" distR="0" wp14:anchorId="519B520B" wp14:editId="519B520C">
                  <wp:extent cx="1913862" cy="1435395"/>
                  <wp:effectExtent l="0" t="0" r="0" b="0"/>
                  <wp:docPr id="32" name="Picture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7"/>
                          <a:stretch>
                            <a:fillRect/>
                          </a:stretch>
                        </pic:blipFill>
                        <pic:spPr>
                          <a:xfrm>
                            <a:off x="0" y="0"/>
                            <a:ext cx="1934561" cy="1450919"/>
                          </a:xfrm>
                          <a:prstGeom prst="rect">
                            <a:avLst/>
                          </a:prstGeom>
                        </pic:spPr>
                      </pic:pic>
                    </a:graphicData>
                  </a:graphic>
                </wp:inline>
              </w:drawing>
            </w:r>
          </w:p>
        </w:tc>
        <w:tc>
          <w:tcPr>
            <w:tcW w:w="2706" w:type="dxa"/>
            <w:vAlign w:val="center"/>
          </w:tcPr>
          <w:p w14:paraId="519B2919" w14:textId="77777777" w:rsidR="002302CA" w:rsidRPr="008E63BB" w:rsidRDefault="00282C31" w:rsidP="0065184D">
            <w:pPr>
              <w:jc w:val="center"/>
              <w:rPr>
                <w:szCs w:val="26"/>
              </w:rPr>
            </w:pPr>
            <w:r w:rsidRPr="008E63BB">
              <w:rPr>
                <w:noProof/>
                <w:szCs w:val="26"/>
                <w:lang w:eastAsia="zh-CN"/>
              </w:rPr>
              <w:drawing>
                <wp:inline distT="0" distB="0" distL="0" distR="0" wp14:anchorId="519B520D" wp14:editId="519B520E">
                  <wp:extent cx="1927624" cy="1446028"/>
                  <wp:effectExtent l="0" t="0" r="0" b="1905"/>
                  <wp:docPr id="33" name="Picture 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 cstate="screen">
                            <a:extLst>
                              <a:ext uri="{28A0092B-C50C-407E-A947-70E740481C1C}">
                                <a14:useLocalDpi xmlns:a14="http://schemas.microsoft.com/office/drawing/2010/main"/>
                              </a:ext>
                            </a:extLst>
                          </a:blip>
                          <a:stretch>
                            <a:fillRect/>
                          </a:stretch>
                        </pic:blipFill>
                        <pic:spPr>
                          <a:xfrm>
                            <a:off x="0" y="0"/>
                            <a:ext cx="1952106" cy="1464393"/>
                          </a:xfrm>
                          <a:prstGeom prst="rect">
                            <a:avLst/>
                          </a:prstGeom>
                        </pic:spPr>
                      </pic:pic>
                    </a:graphicData>
                  </a:graphic>
                </wp:inline>
              </w:drawing>
            </w:r>
          </w:p>
        </w:tc>
      </w:tr>
      <w:tr w:rsidR="008D5BFE" w:rsidRPr="008E63BB" w14:paraId="519B291E" w14:textId="77777777" w:rsidTr="00A71373">
        <w:trPr>
          <w:trHeight w:val="416"/>
          <w:jc w:val="center"/>
        </w:trPr>
        <w:tc>
          <w:tcPr>
            <w:tcW w:w="2676" w:type="dxa"/>
            <w:vAlign w:val="center"/>
          </w:tcPr>
          <w:p w14:paraId="519B291B" w14:textId="77777777" w:rsidR="002302CA" w:rsidRPr="008E63BB" w:rsidRDefault="002302CA" w:rsidP="0065184D">
            <w:pPr>
              <w:jc w:val="center"/>
              <w:rPr>
                <w:szCs w:val="26"/>
              </w:rPr>
            </w:pPr>
            <w:r w:rsidRPr="008E63BB">
              <w:rPr>
                <w:i/>
                <w:iCs/>
                <w:szCs w:val="26"/>
              </w:rPr>
              <w:t>Kênh T5</w:t>
            </w:r>
          </w:p>
        </w:tc>
        <w:tc>
          <w:tcPr>
            <w:tcW w:w="2996" w:type="dxa"/>
            <w:vAlign w:val="center"/>
          </w:tcPr>
          <w:p w14:paraId="519B291C" w14:textId="77777777" w:rsidR="002302CA" w:rsidRPr="008E63BB" w:rsidRDefault="002302CA" w:rsidP="0065184D">
            <w:pPr>
              <w:jc w:val="center"/>
              <w:rPr>
                <w:szCs w:val="26"/>
              </w:rPr>
            </w:pPr>
            <w:r w:rsidRPr="008E63BB">
              <w:rPr>
                <w:i/>
                <w:iCs/>
                <w:szCs w:val="26"/>
              </w:rPr>
              <w:t>Kênh T3</w:t>
            </w:r>
          </w:p>
        </w:tc>
        <w:tc>
          <w:tcPr>
            <w:tcW w:w="2706" w:type="dxa"/>
            <w:vAlign w:val="center"/>
          </w:tcPr>
          <w:p w14:paraId="519B291D" w14:textId="77777777" w:rsidR="002302CA" w:rsidRPr="008E63BB" w:rsidRDefault="002302CA" w:rsidP="0065184D">
            <w:pPr>
              <w:jc w:val="center"/>
              <w:rPr>
                <w:i/>
                <w:iCs/>
                <w:szCs w:val="26"/>
              </w:rPr>
            </w:pPr>
            <w:r w:rsidRPr="008E63BB">
              <w:rPr>
                <w:i/>
                <w:iCs/>
                <w:szCs w:val="26"/>
              </w:rPr>
              <w:t>Kênh T3</w:t>
            </w:r>
          </w:p>
        </w:tc>
      </w:tr>
    </w:tbl>
    <w:p w14:paraId="519B291F" w14:textId="77777777" w:rsidR="002302CA" w:rsidRPr="008E63BB" w:rsidRDefault="002302CA" w:rsidP="0065184D">
      <w:pPr>
        <w:rPr>
          <w:rFonts w:eastAsia="Times New Roman"/>
          <w:b/>
          <w:i/>
          <w:szCs w:val="26"/>
        </w:rPr>
      </w:pPr>
    </w:p>
    <w:p w14:paraId="519B2920" w14:textId="77777777" w:rsidR="002302CA" w:rsidRPr="008E63BB" w:rsidRDefault="00282C31" w:rsidP="0065184D">
      <w:pPr>
        <w:jc w:val="center"/>
        <w:rPr>
          <w:rFonts w:eastAsia="Times New Roman"/>
          <w:b/>
          <w:i/>
          <w:szCs w:val="26"/>
        </w:rPr>
      </w:pPr>
      <w:r w:rsidRPr="008E63BB">
        <w:rPr>
          <w:rFonts w:eastAsia="Times New Roman"/>
          <w:b/>
          <w:i/>
          <w:noProof/>
          <w:szCs w:val="26"/>
          <w:lang w:eastAsia="zh-CN"/>
        </w:rPr>
        <w:drawing>
          <wp:inline distT="0" distB="0" distL="0" distR="0" wp14:anchorId="519B520F" wp14:editId="519B5210">
            <wp:extent cx="4474785" cy="3595955"/>
            <wp:effectExtent l="19050" t="0" r="1965" b="0"/>
            <wp:docPr id="7" name="Picture 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9" cstate="screen">
                      <a:extLst>
                        <a:ext uri="{28A0092B-C50C-407E-A947-70E740481C1C}">
                          <a14:useLocalDpi xmlns:a14="http://schemas.microsoft.com/office/drawing/2010/main"/>
                        </a:ext>
                      </a:extLst>
                    </a:blip>
                    <a:srcRect/>
                    <a:stretch>
                      <a:fillRect/>
                    </a:stretch>
                  </pic:blipFill>
                  <pic:spPr>
                    <a:xfrm>
                      <a:off x="0" y="0"/>
                      <a:ext cx="4474785" cy="3595955"/>
                    </a:xfrm>
                    <a:prstGeom prst="rect">
                      <a:avLst/>
                    </a:prstGeom>
                  </pic:spPr>
                </pic:pic>
              </a:graphicData>
            </a:graphic>
          </wp:inline>
        </w:drawing>
      </w:r>
    </w:p>
    <w:p w14:paraId="519B2921" w14:textId="77777777" w:rsidR="002302CA" w:rsidRPr="008E63BB" w:rsidRDefault="002302CA" w:rsidP="0065184D">
      <w:pPr>
        <w:tabs>
          <w:tab w:val="left" w:pos="2464"/>
        </w:tabs>
        <w:ind w:firstLine="720"/>
        <w:jc w:val="center"/>
        <w:rPr>
          <w:i/>
          <w:iCs/>
          <w:lang w:val="pt-BR"/>
        </w:rPr>
      </w:pPr>
      <w:r w:rsidRPr="008E63BB">
        <w:rPr>
          <w:i/>
          <w:iCs/>
          <w:lang w:val="pt-BR"/>
        </w:rPr>
        <w:t>Sơ đồ vị trí tuyến kênh tiêu</w:t>
      </w:r>
    </w:p>
    <w:p w14:paraId="519B2922" w14:textId="77777777" w:rsidR="002302CA" w:rsidRPr="008E63BB" w:rsidRDefault="002302CA" w:rsidP="0065184D">
      <w:pPr>
        <w:rPr>
          <w:rFonts w:eastAsia="Times New Roman"/>
          <w:b/>
          <w:i/>
          <w:szCs w:val="26"/>
          <w:lang w:val="pt-BR"/>
        </w:rPr>
      </w:pPr>
      <w:r w:rsidRPr="008E63BB">
        <w:rPr>
          <w:rFonts w:eastAsia="Times New Roman"/>
          <w:b/>
          <w:i/>
          <w:szCs w:val="26"/>
          <w:lang w:val="pt-BR"/>
        </w:rPr>
        <w:t>3/. Hiện trạng hồ điều tiết nước mưa:</w:t>
      </w:r>
    </w:p>
    <w:p w14:paraId="519B2923" w14:textId="77777777" w:rsidR="002302CA" w:rsidRPr="008E63BB" w:rsidRDefault="002302CA" w:rsidP="0065184D">
      <w:pPr>
        <w:rPr>
          <w:rFonts w:eastAsia="Times New Roman"/>
          <w:szCs w:val="26"/>
        </w:rPr>
      </w:pPr>
      <w:r w:rsidRPr="008E63BB">
        <w:rPr>
          <w:rFonts w:eastAsia="Times New Roman"/>
          <w:b/>
          <w:i/>
          <w:szCs w:val="26"/>
          <w:lang w:val="pt-BR"/>
        </w:rPr>
        <w:tab/>
      </w:r>
      <w:r w:rsidRPr="008E63BB">
        <w:rPr>
          <w:rFonts w:eastAsia="Times New Roman"/>
          <w:szCs w:val="26"/>
          <w:lang w:val="pt-BR"/>
        </w:rPr>
        <w:t xml:space="preserve">Khu vực trung tâm thành phố Nam Định có khoảng 13 hồ điều tiết nước mưa với tổng diện tích khoảng 49,71ha. Chiều sâu điều tiết các hồ nằm trong khoảng 0,3÷0,6m. </w:t>
      </w:r>
      <w:r w:rsidRPr="008E63BB">
        <w:rPr>
          <w:rFonts w:eastAsia="Times New Roman"/>
          <w:szCs w:val="26"/>
        </w:rPr>
        <w:t>Các hồ đã được kè bờ, chất lượng tốt.</w:t>
      </w:r>
    </w:p>
    <w:tbl>
      <w:tblPr>
        <w:tblW w:w="95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
        <w:gridCol w:w="2721"/>
        <w:gridCol w:w="1134"/>
        <w:gridCol w:w="1134"/>
        <w:gridCol w:w="1134"/>
        <w:gridCol w:w="1094"/>
        <w:gridCol w:w="1701"/>
      </w:tblGrid>
      <w:tr w:rsidR="008D5BFE" w:rsidRPr="008E63BB" w14:paraId="519B292E" w14:textId="77777777" w:rsidTr="003D057A">
        <w:trPr>
          <w:tblHeader/>
          <w:jc w:val="center"/>
        </w:trPr>
        <w:tc>
          <w:tcPr>
            <w:tcW w:w="596" w:type="dxa"/>
            <w:vAlign w:val="center"/>
          </w:tcPr>
          <w:p w14:paraId="519B2924" w14:textId="77777777" w:rsidR="002302CA" w:rsidRPr="008E63BB" w:rsidRDefault="002302CA" w:rsidP="003D057A">
            <w:pPr>
              <w:jc w:val="center"/>
              <w:rPr>
                <w:b/>
                <w:sz w:val="24"/>
                <w:szCs w:val="24"/>
              </w:rPr>
            </w:pPr>
            <w:r w:rsidRPr="008E63BB">
              <w:rPr>
                <w:b/>
                <w:sz w:val="24"/>
                <w:szCs w:val="24"/>
              </w:rPr>
              <w:t>TT</w:t>
            </w:r>
          </w:p>
        </w:tc>
        <w:tc>
          <w:tcPr>
            <w:tcW w:w="2721" w:type="dxa"/>
            <w:vAlign w:val="center"/>
          </w:tcPr>
          <w:p w14:paraId="519B2925" w14:textId="77777777" w:rsidR="002302CA" w:rsidRPr="008E63BB" w:rsidRDefault="002302CA" w:rsidP="003D057A">
            <w:pPr>
              <w:jc w:val="center"/>
              <w:rPr>
                <w:b/>
                <w:sz w:val="24"/>
                <w:szCs w:val="24"/>
              </w:rPr>
            </w:pPr>
            <w:r w:rsidRPr="008E63BB">
              <w:rPr>
                <w:b/>
                <w:sz w:val="24"/>
                <w:szCs w:val="24"/>
              </w:rPr>
              <w:t>Tên hồ</w:t>
            </w:r>
          </w:p>
        </w:tc>
        <w:tc>
          <w:tcPr>
            <w:tcW w:w="1134" w:type="dxa"/>
            <w:vAlign w:val="center"/>
          </w:tcPr>
          <w:p w14:paraId="519B2926" w14:textId="77777777" w:rsidR="002302CA" w:rsidRPr="008E63BB" w:rsidRDefault="002302CA" w:rsidP="003D057A">
            <w:pPr>
              <w:ind w:right="-68"/>
              <w:jc w:val="center"/>
              <w:rPr>
                <w:b/>
                <w:sz w:val="24"/>
                <w:szCs w:val="24"/>
              </w:rPr>
            </w:pPr>
            <w:r w:rsidRPr="008E63BB">
              <w:rPr>
                <w:b/>
                <w:sz w:val="24"/>
                <w:szCs w:val="24"/>
              </w:rPr>
              <w:t>Diện tích</w:t>
            </w:r>
          </w:p>
          <w:p w14:paraId="519B2927" w14:textId="77777777" w:rsidR="002302CA" w:rsidRPr="008E63BB" w:rsidRDefault="002302CA" w:rsidP="003D057A">
            <w:pPr>
              <w:jc w:val="center"/>
              <w:rPr>
                <w:b/>
                <w:sz w:val="24"/>
                <w:szCs w:val="24"/>
              </w:rPr>
            </w:pPr>
            <w:r w:rsidRPr="008E63BB">
              <w:rPr>
                <w:b/>
                <w:sz w:val="24"/>
                <w:szCs w:val="24"/>
              </w:rPr>
              <w:t>(ha)</w:t>
            </w:r>
          </w:p>
        </w:tc>
        <w:tc>
          <w:tcPr>
            <w:tcW w:w="1134" w:type="dxa"/>
            <w:vAlign w:val="center"/>
          </w:tcPr>
          <w:p w14:paraId="519B2928" w14:textId="77777777" w:rsidR="002302CA" w:rsidRPr="008E63BB" w:rsidRDefault="002302CA" w:rsidP="003D057A">
            <w:pPr>
              <w:jc w:val="center"/>
              <w:rPr>
                <w:b/>
                <w:sz w:val="24"/>
                <w:szCs w:val="24"/>
              </w:rPr>
            </w:pPr>
            <w:r w:rsidRPr="008E63BB">
              <w:rPr>
                <w:b/>
                <w:sz w:val="24"/>
                <w:szCs w:val="24"/>
              </w:rPr>
              <w:t>Hmax</w:t>
            </w:r>
          </w:p>
          <w:p w14:paraId="519B2929" w14:textId="77777777" w:rsidR="002302CA" w:rsidRPr="008E63BB" w:rsidRDefault="002302CA" w:rsidP="003D057A">
            <w:pPr>
              <w:jc w:val="center"/>
              <w:rPr>
                <w:b/>
                <w:sz w:val="24"/>
                <w:szCs w:val="24"/>
              </w:rPr>
            </w:pPr>
            <w:r w:rsidRPr="008E63BB">
              <w:rPr>
                <w:b/>
                <w:sz w:val="24"/>
                <w:szCs w:val="24"/>
              </w:rPr>
              <w:t>(m)</w:t>
            </w:r>
          </w:p>
        </w:tc>
        <w:tc>
          <w:tcPr>
            <w:tcW w:w="1134" w:type="dxa"/>
            <w:vAlign w:val="center"/>
          </w:tcPr>
          <w:p w14:paraId="519B292A" w14:textId="77777777" w:rsidR="002302CA" w:rsidRPr="008E63BB" w:rsidRDefault="002302CA" w:rsidP="003D057A">
            <w:pPr>
              <w:jc w:val="center"/>
              <w:rPr>
                <w:b/>
                <w:sz w:val="24"/>
                <w:szCs w:val="24"/>
              </w:rPr>
            </w:pPr>
            <w:r w:rsidRPr="008E63BB">
              <w:rPr>
                <w:b/>
                <w:sz w:val="24"/>
                <w:szCs w:val="24"/>
              </w:rPr>
              <w:t>Hmin</w:t>
            </w:r>
          </w:p>
          <w:p w14:paraId="519B292B" w14:textId="77777777" w:rsidR="002302CA" w:rsidRPr="008E63BB" w:rsidRDefault="002302CA" w:rsidP="003D057A">
            <w:pPr>
              <w:jc w:val="center"/>
              <w:rPr>
                <w:b/>
                <w:sz w:val="24"/>
                <w:szCs w:val="24"/>
              </w:rPr>
            </w:pPr>
            <w:r w:rsidRPr="008E63BB">
              <w:rPr>
                <w:b/>
                <w:sz w:val="24"/>
                <w:szCs w:val="24"/>
              </w:rPr>
              <w:t>(m)</w:t>
            </w:r>
          </w:p>
        </w:tc>
        <w:tc>
          <w:tcPr>
            <w:tcW w:w="1094" w:type="dxa"/>
            <w:vAlign w:val="center"/>
          </w:tcPr>
          <w:p w14:paraId="519B292C" w14:textId="77777777" w:rsidR="002302CA" w:rsidRPr="008E63BB" w:rsidRDefault="002302CA" w:rsidP="003D057A">
            <w:pPr>
              <w:jc w:val="center"/>
              <w:rPr>
                <w:b/>
                <w:sz w:val="24"/>
                <w:szCs w:val="24"/>
              </w:rPr>
            </w:pPr>
            <w:r w:rsidRPr="008E63BB">
              <w:rPr>
                <w:b/>
                <w:sz w:val="24"/>
                <w:szCs w:val="24"/>
              </w:rPr>
              <w:t>H điều tiết</w:t>
            </w:r>
          </w:p>
        </w:tc>
        <w:tc>
          <w:tcPr>
            <w:tcW w:w="1701" w:type="dxa"/>
            <w:vAlign w:val="center"/>
          </w:tcPr>
          <w:p w14:paraId="519B292D" w14:textId="77777777" w:rsidR="002302CA" w:rsidRPr="008E63BB" w:rsidRDefault="002302CA" w:rsidP="003D057A">
            <w:pPr>
              <w:jc w:val="center"/>
              <w:rPr>
                <w:b/>
                <w:sz w:val="24"/>
                <w:szCs w:val="24"/>
              </w:rPr>
            </w:pPr>
            <w:r w:rsidRPr="008E63BB">
              <w:rPr>
                <w:b/>
                <w:sz w:val="24"/>
                <w:szCs w:val="24"/>
              </w:rPr>
              <w:t>Hiện trạng kè hồ</w:t>
            </w:r>
          </w:p>
        </w:tc>
      </w:tr>
      <w:tr w:rsidR="008D5BFE" w:rsidRPr="008E63BB" w14:paraId="519B2936" w14:textId="77777777" w:rsidTr="003D057A">
        <w:trPr>
          <w:jc w:val="center"/>
        </w:trPr>
        <w:tc>
          <w:tcPr>
            <w:tcW w:w="596" w:type="dxa"/>
          </w:tcPr>
          <w:p w14:paraId="519B292F" w14:textId="77777777" w:rsidR="002302CA" w:rsidRPr="008E63BB" w:rsidRDefault="002302CA" w:rsidP="0065184D">
            <w:pPr>
              <w:jc w:val="center"/>
              <w:rPr>
                <w:sz w:val="24"/>
                <w:szCs w:val="24"/>
              </w:rPr>
            </w:pPr>
            <w:r w:rsidRPr="008E63BB">
              <w:rPr>
                <w:sz w:val="24"/>
                <w:szCs w:val="24"/>
              </w:rPr>
              <w:t>1</w:t>
            </w:r>
          </w:p>
        </w:tc>
        <w:tc>
          <w:tcPr>
            <w:tcW w:w="2721" w:type="dxa"/>
          </w:tcPr>
          <w:p w14:paraId="519B2930" w14:textId="77777777" w:rsidR="002302CA" w:rsidRPr="008E63BB" w:rsidRDefault="002302CA" w:rsidP="0065184D">
            <w:pPr>
              <w:rPr>
                <w:sz w:val="24"/>
                <w:szCs w:val="24"/>
              </w:rPr>
            </w:pPr>
            <w:r w:rsidRPr="008E63BB">
              <w:rPr>
                <w:sz w:val="24"/>
                <w:szCs w:val="24"/>
              </w:rPr>
              <w:t>Hồ Vỵ Xuyên</w:t>
            </w:r>
          </w:p>
        </w:tc>
        <w:tc>
          <w:tcPr>
            <w:tcW w:w="1134" w:type="dxa"/>
          </w:tcPr>
          <w:p w14:paraId="519B2931" w14:textId="77777777" w:rsidR="002302CA" w:rsidRPr="008E63BB" w:rsidRDefault="002302CA" w:rsidP="0065184D">
            <w:pPr>
              <w:rPr>
                <w:sz w:val="24"/>
                <w:szCs w:val="24"/>
              </w:rPr>
            </w:pPr>
            <w:r w:rsidRPr="008E63BB">
              <w:rPr>
                <w:sz w:val="24"/>
                <w:szCs w:val="24"/>
              </w:rPr>
              <w:t>6,5</w:t>
            </w:r>
          </w:p>
        </w:tc>
        <w:tc>
          <w:tcPr>
            <w:tcW w:w="1134" w:type="dxa"/>
          </w:tcPr>
          <w:p w14:paraId="519B2932" w14:textId="77777777" w:rsidR="002302CA" w:rsidRPr="008E63BB" w:rsidRDefault="002302CA" w:rsidP="0065184D">
            <w:pPr>
              <w:jc w:val="center"/>
              <w:rPr>
                <w:sz w:val="24"/>
                <w:szCs w:val="24"/>
              </w:rPr>
            </w:pPr>
            <w:r w:rsidRPr="008E63BB">
              <w:rPr>
                <w:sz w:val="24"/>
                <w:szCs w:val="24"/>
              </w:rPr>
              <w:t>2,8</w:t>
            </w:r>
          </w:p>
        </w:tc>
        <w:tc>
          <w:tcPr>
            <w:tcW w:w="1134" w:type="dxa"/>
          </w:tcPr>
          <w:p w14:paraId="519B2933" w14:textId="77777777" w:rsidR="002302CA" w:rsidRPr="008E63BB" w:rsidRDefault="002302CA" w:rsidP="0065184D">
            <w:pPr>
              <w:jc w:val="center"/>
              <w:rPr>
                <w:sz w:val="24"/>
                <w:szCs w:val="24"/>
              </w:rPr>
            </w:pPr>
            <w:r w:rsidRPr="008E63BB">
              <w:rPr>
                <w:sz w:val="24"/>
                <w:szCs w:val="24"/>
              </w:rPr>
              <w:t>2,5</w:t>
            </w:r>
          </w:p>
        </w:tc>
        <w:tc>
          <w:tcPr>
            <w:tcW w:w="1094" w:type="dxa"/>
          </w:tcPr>
          <w:p w14:paraId="519B2934" w14:textId="77777777" w:rsidR="002302CA" w:rsidRPr="008E63BB" w:rsidRDefault="002302CA" w:rsidP="003D057A">
            <w:pPr>
              <w:jc w:val="center"/>
              <w:rPr>
                <w:sz w:val="24"/>
                <w:szCs w:val="24"/>
              </w:rPr>
            </w:pPr>
            <w:r w:rsidRPr="008E63BB">
              <w:rPr>
                <w:sz w:val="24"/>
                <w:szCs w:val="24"/>
              </w:rPr>
              <w:t>0,3</w:t>
            </w:r>
          </w:p>
        </w:tc>
        <w:tc>
          <w:tcPr>
            <w:tcW w:w="1701" w:type="dxa"/>
          </w:tcPr>
          <w:p w14:paraId="519B2935" w14:textId="77777777" w:rsidR="002302CA" w:rsidRPr="008E63BB" w:rsidRDefault="002302CA" w:rsidP="0065184D">
            <w:pPr>
              <w:rPr>
                <w:sz w:val="24"/>
                <w:szCs w:val="24"/>
              </w:rPr>
            </w:pPr>
            <w:r w:rsidRPr="008E63BB">
              <w:rPr>
                <w:sz w:val="24"/>
                <w:szCs w:val="24"/>
              </w:rPr>
              <w:t>Kè đá, có 1 vị trí bị nứt vỡ</w:t>
            </w:r>
          </w:p>
        </w:tc>
      </w:tr>
      <w:tr w:rsidR="008D5BFE" w:rsidRPr="008E63BB" w14:paraId="519B293E" w14:textId="77777777" w:rsidTr="003D057A">
        <w:trPr>
          <w:jc w:val="center"/>
        </w:trPr>
        <w:tc>
          <w:tcPr>
            <w:tcW w:w="596" w:type="dxa"/>
          </w:tcPr>
          <w:p w14:paraId="519B2937" w14:textId="77777777" w:rsidR="002302CA" w:rsidRPr="008E63BB" w:rsidRDefault="002302CA" w:rsidP="0065184D">
            <w:pPr>
              <w:jc w:val="center"/>
              <w:rPr>
                <w:sz w:val="24"/>
                <w:szCs w:val="24"/>
              </w:rPr>
            </w:pPr>
            <w:r w:rsidRPr="008E63BB">
              <w:rPr>
                <w:sz w:val="24"/>
                <w:szCs w:val="24"/>
              </w:rPr>
              <w:t>2</w:t>
            </w:r>
          </w:p>
        </w:tc>
        <w:tc>
          <w:tcPr>
            <w:tcW w:w="2721" w:type="dxa"/>
          </w:tcPr>
          <w:p w14:paraId="519B2938" w14:textId="77777777" w:rsidR="002302CA" w:rsidRPr="008E63BB" w:rsidRDefault="002302CA" w:rsidP="0065184D">
            <w:pPr>
              <w:rPr>
                <w:sz w:val="24"/>
                <w:szCs w:val="24"/>
              </w:rPr>
            </w:pPr>
            <w:r w:rsidRPr="008E63BB">
              <w:rPr>
                <w:sz w:val="24"/>
                <w:szCs w:val="24"/>
              </w:rPr>
              <w:t>Hồ Tiểu khu Thống Nhất</w:t>
            </w:r>
          </w:p>
        </w:tc>
        <w:tc>
          <w:tcPr>
            <w:tcW w:w="1134" w:type="dxa"/>
          </w:tcPr>
          <w:p w14:paraId="519B2939" w14:textId="77777777" w:rsidR="002302CA" w:rsidRPr="008E63BB" w:rsidRDefault="002302CA" w:rsidP="0065184D">
            <w:pPr>
              <w:rPr>
                <w:sz w:val="24"/>
                <w:szCs w:val="24"/>
              </w:rPr>
            </w:pPr>
            <w:r w:rsidRPr="008E63BB">
              <w:rPr>
                <w:sz w:val="24"/>
                <w:szCs w:val="24"/>
              </w:rPr>
              <w:t>4,3</w:t>
            </w:r>
          </w:p>
        </w:tc>
        <w:tc>
          <w:tcPr>
            <w:tcW w:w="1134" w:type="dxa"/>
          </w:tcPr>
          <w:p w14:paraId="519B293A" w14:textId="77777777" w:rsidR="002302CA" w:rsidRPr="008E63BB" w:rsidRDefault="002302CA" w:rsidP="0065184D">
            <w:pPr>
              <w:jc w:val="center"/>
              <w:rPr>
                <w:sz w:val="24"/>
                <w:szCs w:val="24"/>
              </w:rPr>
            </w:pPr>
            <w:r w:rsidRPr="008E63BB">
              <w:rPr>
                <w:sz w:val="24"/>
                <w:szCs w:val="24"/>
              </w:rPr>
              <w:t>1,8</w:t>
            </w:r>
          </w:p>
        </w:tc>
        <w:tc>
          <w:tcPr>
            <w:tcW w:w="1134" w:type="dxa"/>
          </w:tcPr>
          <w:p w14:paraId="519B293B" w14:textId="77777777" w:rsidR="002302CA" w:rsidRPr="008E63BB" w:rsidRDefault="002302CA" w:rsidP="0065184D">
            <w:pPr>
              <w:jc w:val="center"/>
              <w:rPr>
                <w:sz w:val="24"/>
                <w:szCs w:val="24"/>
              </w:rPr>
            </w:pPr>
            <w:r w:rsidRPr="008E63BB">
              <w:rPr>
                <w:sz w:val="24"/>
                <w:szCs w:val="24"/>
              </w:rPr>
              <w:t>1,2</w:t>
            </w:r>
          </w:p>
        </w:tc>
        <w:tc>
          <w:tcPr>
            <w:tcW w:w="1094" w:type="dxa"/>
          </w:tcPr>
          <w:p w14:paraId="519B293C" w14:textId="77777777" w:rsidR="002302CA" w:rsidRPr="008E63BB" w:rsidRDefault="002302CA" w:rsidP="003D057A">
            <w:pPr>
              <w:jc w:val="center"/>
              <w:rPr>
                <w:sz w:val="24"/>
                <w:szCs w:val="24"/>
              </w:rPr>
            </w:pPr>
            <w:r w:rsidRPr="008E63BB">
              <w:rPr>
                <w:sz w:val="24"/>
                <w:szCs w:val="24"/>
              </w:rPr>
              <w:t>0,6</w:t>
            </w:r>
          </w:p>
        </w:tc>
        <w:tc>
          <w:tcPr>
            <w:tcW w:w="1701" w:type="dxa"/>
          </w:tcPr>
          <w:p w14:paraId="519B293D" w14:textId="77777777" w:rsidR="002302CA" w:rsidRPr="008E63BB" w:rsidRDefault="002302CA" w:rsidP="0065184D">
            <w:pPr>
              <w:rPr>
                <w:sz w:val="24"/>
                <w:szCs w:val="24"/>
              </w:rPr>
            </w:pPr>
            <w:r w:rsidRPr="008E63BB">
              <w:rPr>
                <w:sz w:val="24"/>
                <w:szCs w:val="24"/>
              </w:rPr>
              <w:t>Kè đá, Tốt</w:t>
            </w:r>
          </w:p>
        </w:tc>
      </w:tr>
      <w:tr w:rsidR="008D5BFE" w:rsidRPr="008E63BB" w14:paraId="519B2946" w14:textId="77777777" w:rsidTr="003D057A">
        <w:trPr>
          <w:jc w:val="center"/>
        </w:trPr>
        <w:tc>
          <w:tcPr>
            <w:tcW w:w="596" w:type="dxa"/>
          </w:tcPr>
          <w:p w14:paraId="519B293F" w14:textId="77777777" w:rsidR="002302CA" w:rsidRPr="008E63BB" w:rsidRDefault="002302CA" w:rsidP="0065184D">
            <w:pPr>
              <w:jc w:val="center"/>
              <w:rPr>
                <w:sz w:val="24"/>
                <w:szCs w:val="24"/>
              </w:rPr>
            </w:pPr>
            <w:r w:rsidRPr="008E63BB">
              <w:rPr>
                <w:sz w:val="24"/>
                <w:szCs w:val="24"/>
              </w:rPr>
              <w:t>3</w:t>
            </w:r>
          </w:p>
        </w:tc>
        <w:tc>
          <w:tcPr>
            <w:tcW w:w="2721" w:type="dxa"/>
          </w:tcPr>
          <w:p w14:paraId="519B2940" w14:textId="77777777" w:rsidR="002302CA" w:rsidRPr="008E63BB" w:rsidRDefault="002302CA" w:rsidP="0065184D">
            <w:pPr>
              <w:rPr>
                <w:sz w:val="24"/>
                <w:szCs w:val="24"/>
              </w:rPr>
            </w:pPr>
            <w:r w:rsidRPr="008E63BB">
              <w:rPr>
                <w:sz w:val="24"/>
                <w:szCs w:val="24"/>
              </w:rPr>
              <w:t>Hồ Truyền Thống</w:t>
            </w:r>
          </w:p>
        </w:tc>
        <w:tc>
          <w:tcPr>
            <w:tcW w:w="1134" w:type="dxa"/>
          </w:tcPr>
          <w:p w14:paraId="519B2941" w14:textId="77777777" w:rsidR="002302CA" w:rsidRPr="008E63BB" w:rsidRDefault="002302CA" w:rsidP="0065184D">
            <w:pPr>
              <w:rPr>
                <w:sz w:val="24"/>
                <w:szCs w:val="24"/>
              </w:rPr>
            </w:pPr>
            <w:r w:rsidRPr="008E63BB">
              <w:rPr>
                <w:sz w:val="24"/>
                <w:szCs w:val="24"/>
              </w:rPr>
              <w:t>18,01</w:t>
            </w:r>
          </w:p>
        </w:tc>
        <w:tc>
          <w:tcPr>
            <w:tcW w:w="1134" w:type="dxa"/>
          </w:tcPr>
          <w:p w14:paraId="519B2942" w14:textId="77777777" w:rsidR="002302CA" w:rsidRPr="008E63BB" w:rsidRDefault="002302CA" w:rsidP="0065184D">
            <w:pPr>
              <w:jc w:val="center"/>
              <w:rPr>
                <w:sz w:val="24"/>
                <w:szCs w:val="24"/>
              </w:rPr>
            </w:pPr>
            <w:r w:rsidRPr="008E63BB">
              <w:rPr>
                <w:sz w:val="24"/>
                <w:szCs w:val="24"/>
              </w:rPr>
              <w:t>2,2</w:t>
            </w:r>
          </w:p>
        </w:tc>
        <w:tc>
          <w:tcPr>
            <w:tcW w:w="1134" w:type="dxa"/>
          </w:tcPr>
          <w:p w14:paraId="519B2943" w14:textId="77777777" w:rsidR="002302CA" w:rsidRPr="008E63BB" w:rsidRDefault="002302CA" w:rsidP="0065184D">
            <w:pPr>
              <w:jc w:val="center"/>
              <w:rPr>
                <w:sz w:val="24"/>
                <w:szCs w:val="24"/>
              </w:rPr>
            </w:pPr>
            <w:r w:rsidRPr="008E63BB">
              <w:rPr>
                <w:sz w:val="24"/>
                <w:szCs w:val="24"/>
              </w:rPr>
              <w:t>1,8</w:t>
            </w:r>
          </w:p>
        </w:tc>
        <w:tc>
          <w:tcPr>
            <w:tcW w:w="1094" w:type="dxa"/>
          </w:tcPr>
          <w:p w14:paraId="519B2944" w14:textId="77777777" w:rsidR="002302CA" w:rsidRPr="008E63BB" w:rsidRDefault="002302CA" w:rsidP="003D057A">
            <w:pPr>
              <w:jc w:val="center"/>
              <w:rPr>
                <w:sz w:val="24"/>
                <w:szCs w:val="24"/>
              </w:rPr>
            </w:pPr>
            <w:r w:rsidRPr="008E63BB">
              <w:rPr>
                <w:sz w:val="24"/>
                <w:szCs w:val="24"/>
              </w:rPr>
              <w:t>0,4</w:t>
            </w:r>
          </w:p>
        </w:tc>
        <w:tc>
          <w:tcPr>
            <w:tcW w:w="1701" w:type="dxa"/>
          </w:tcPr>
          <w:p w14:paraId="519B2945" w14:textId="77777777" w:rsidR="002302CA" w:rsidRPr="008E63BB" w:rsidRDefault="002302CA" w:rsidP="0065184D">
            <w:pPr>
              <w:rPr>
                <w:sz w:val="24"/>
                <w:szCs w:val="24"/>
              </w:rPr>
            </w:pPr>
            <w:r w:rsidRPr="008E63BB">
              <w:rPr>
                <w:sz w:val="24"/>
                <w:szCs w:val="24"/>
              </w:rPr>
              <w:t>Kè đá, Tốt</w:t>
            </w:r>
          </w:p>
        </w:tc>
      </w:tr>
      <w:tr w:rsidR="008D5BFE" w:rsidRPr="008E63BB" w14:paraId="519B294E" w14:textId="77777777" w:rsidTr="003D057A">
        <w:trPr>
          <w:jc w:val="center"/>
        </w:trPr>
        <w:tc>
          <w:tcPr>
            <w:tcW w:w="596" w:type="dxa"/>
          </w:tcPr>
          <w:p w14:paraId="519B2947" w14:textId="77777777" w:rsidR="002302CA" w:rsidRPr="008E63BB" w:rsidRDefault="002302CA" w:rsidP="0065184D">
            <w:pPr>
              <w:jc w:val="center"/>
              <w:rPr>
                <w:sz w:val="24"/>
                <w:szCs w:val="24"/>
              </w:rPr>
            </w:pPr>
            <w:r w:rsidRPr="008E63BB">
              <w:rPr>
                <w:sz w:val="24"/>
                <w:szCs w:val="24"/>
              </w:rPr>
              <w:t>4</w:t>
            </w:r>
          </w:p>
        </w:tc>
        <w:tc>
          <w:tcPr>
            <w:tcW w:w="2721" w:type="dxa"/>
          </w:tcPr>
          <w:p w14:paraId="519B2948" w14:textId="77777777" w:rsidR="002302CA" w:rsidRPr="008E63BB" w:rsidRDefault="002302CA" w:rsidP="0065184D">
            <w:pPr>
              <w:rPr>
                <w:sz w:val="24"/>
                <w:szCs w:val="24"/>
              </w:rPr>
            </w:pPr>
            <w:r w:rsidRPr="008E63BB">
              <w:rPr>
                <w:sz w:val="24"/>
                <w:szCs w:val="24"/>
              </w:rPr>
              <w:t>Hồ Hàng Nan</w:t>
            </w:r>
          </w:p>
        </w:tc>
        <w:tc>
          <w:tcPr>
            <w:tcW w:w="1134" w:type="dxa"/>
          </w:tcPr>
          <w:p w14:paraId="519B2949" w14:textId="77777777" w:rsidR="002302CA" w:rsidRPr="008E63BB" w:rsidRDefault="002302CA" w:rsidP="0065184D">
            <w:pPr>
              <w:rPr>
                <w:sz w:val="24"/>
                <w:szCs w:val="24"/>
              </w:rPr>
            </w:pPr>
            <w:r w:rsidRPr="008E63BB">
              <w:rPr>
                <w:sz w:val="24"/>
                <w:szCs w:val="24"/>
              </w:rPr>
              <w:t>6</w:t>
            </w:r>
            <w:r w:rsidR="00115079" w:rsidRPr="008E63BB">
              <w:rPr>
                <w:sz w:val="24"/>
                <w:szCs w:val="24"/>
              </w:rPr>
              <w:t>,</w:t>
            </w:r>
            <w:r w:rsidRPr="008E63BB">
              <w:rPr>
                <w:sz w:val="24"/>
                <w:szCs w:val="24"/>
              </w:rPr>
              <w:t>5</w:t>
            </w:r>
          </w:p>
        </w:tc>
        <w:tc>
          <w:tcPr>
            <w:tcW w:w="1134" w:type="dxa"/>
          </w:tcPr>
          <w:p w14:paraId="519B294A" w14:textId="77777777" w:rsidR="002302CA" w:rsidRPr="008E63BB" w:rsidRDefault="002302CA" w:rsidP="0065184D">
            <w:pPr>
              <w:jc w:val="center"/>
              <w:rPr>
                <w:sz w:val="24"/>
                <w:szCs w:val="24"/>
              </w:rPr>
            </w:pPr>
            <w:r w:rsidRPr="008E63BB">
              <w:rPr>
                <w:sz w:val="24"/>
                <w:szCs w:val="24"/>
              </w:rPr>
              <w:t>2</w:t>
            </w:r>
          </w:p>
        </w:tc>
        <w:tc>
          <w:tcPr>
            <w:tcW w:w="1134" w:type="dxa"/>
          </w:tcPr>
          <w:p w14:paraId="519B294B" w14:textId="77777777" w:rsidR="002302CA" w:rsidRPr="008E63BB" w:rsidRDefault="002302CA" w:rsidP="0065184D">
            <w:pPr>
              <w:jc w:val="center"/>
              <w:rPr>
                <w:sz w:val="24"/>
                <w:szCs w:val="24"/>
              </w:rPr>
            </w:pPr>
            <w:r w:rsidRPr="008E63BB">
              <w:rPr>
                <w:sz w:val="24"/>
                <w:szCs w:val="24"/>
              </w:rPr>
              <w:t>1,8</w:t>
            </w:r>
          </w:p>
        </w:tc>
        <w:tc>
          <w:tcPr>
            <w:tcW w:w="1094" w:type="dxa"/>
          </w:tcPr>
          <w:p w14:paraId="519B294C" w14:textId="77777777" w:rsidR="002302CA" w:rsidRPr="008E63BB" w:rsidRDefault="002302CA" w:rsidP="003D057A">
            <w:pPr>
              <w:jc w:val="center"/>
              <w:rPr>
                <w:sz w:val="24"/>
                <w:szCs w:val="24"/>
              </w:rPr>
            </w:pPr>
            <w:r w:rsidRPr="008E63BB">
              <w:rPr>
                <w:sz w:val="24"/>
                <w:szCs w:val="24"/>
              </w:rPr>
              <w:t>0,2</w:t>
            </w:r>
          </w:p>
        </w:tc>
        <w:tc>
          <w:tcPr>
            <w:tcW w:w="1701" w:type="dxa"/>
          </w:tcPr>
          <w:p w14:paraId="519B294D" w14:textId="77777777" w:rsidR="002302CA" w:rsidRPr="008E63BB" w:rsidRDefault="002302CA" w:rsidP="0065184D">
            <w:pPr>
              <w:rPr>
                <w:sz w:val="24"/>
                <w:szCs w:val="24"/>
              </w:rPr>
            </w:pPr>
            <w:r w:rsidRPr="008E63BB">
              <w:rPr>
                <w:sz w:val="24"/>
                <w:szCs w:val="24"/>
              </w:rPr>
              <w:t>Kè đá, tốt</w:t>
            </w:r>
          </w:p>
        </w:tc>
      </w:tr>
      <w:tr w:rsidR="008D5BFE" w:rsidRPr="008E63BB" w14:paraId="519B2956" w14:textId="77777777" w:rsidTr="003D057A">
        <w:trPr>
          <w:jc w:val="center"/>
        </w:trPr>
        <w:tc>
          <w:tcPr>
            <w:tcW w:w="596" w:type="dxa"/>
          </w:tcPr>
          <w:p w14:paraId="519B294F" w14:textId="77777777" w:rsidR="002302CA" w:rsidRPr="008E63BB" w:rsidRDefault="002302CA" w:rsidP="0065184D">
            <w:pPr>
              <w:jc w:val="center"/>
              <w:rPr>
                <w:sz w:val="24"/>
                <w:szCs w:val="24"/>
              </w:rPr>
            </w:pPr>
            <w:r w:rsidRPr="008E63BB">
              <w:rPr>
                <w:sz w:val="24"/>
                <w:szCs w:val="24"/>
              </w:rPr>
              <w:t>5</w:t>
            </w:r>
          </w:p>
        </w:tc>
        <w:tc>
          <w:tcPr>
            <w:tcW w:w="2721" w:type="dxa"/>
          </w:tcPr>
          <w:p w14:paraId="519B2950" w14:textId="77777777" w:rsidR="002302CA" w:rsidRPr="008E63BB" w:rsidRDefault="002302CA" w:rsidP="0065184D">
            <w:pPr>
              <w:rPr>
                <w:sz w:val="24"/>
                <w:szCs w:val="24"/>
              </w:rPr>
            </w:pPr>
            <w:r w:rsidRPr="008E63BB">
              <w:rPr>
                <w:sz w:val="24"/>
                <w:szCs w:val="24"/>
              </w:rPr>
              <w:t>Hồ Đầm Bét</w:t>
            </w:r>
          </w:p>
        </w:tc>
        <w:tc>
          <w:tcPr>
            <w:tcW w:w="1134" w:type="dxa"/>
          </w:tcPr>
          <w:p w14:paraId="519B2951" w14:textId="77777777" w:rsidR="002302CA" w:rsidRPr="008E63BB" w:rsidRDefault="002302CA" w:rsidP="0065184D">
            <w:pPr>
              <w:rPr>
                <w:sz w:val="24"/>
                <w:szCs w:val="24"/>
              </w:rPr>
            </w:pPr>
            <w:r w:rsidRPr="008E63BB">
              <w:rPr>
                <w:sz w:val="24"/>
                <w:szCs w:val="24"/>
              </w:rPr>
              <w:t>3,4</w:t>
            </w:r>
          </w:p>
        </w:tc>
        <w:tc>
          <w:tcPr>
            <w:tcW w:w="1134" w:type="dxa"/>
          </w:tcPr>
          <w:p w14:paraId="519B2952" w14:textId="77777777" w:rsidR="002302CA" w:rsidRPr="008E63BB" w:rsidRDefault="002302CA" w:rsidP="0065184D">
            <w:pPr>
              <w:jc w:val="center"/>
              <w:rPr>
                <w:sz w:val="24"/>
                <w:szCs w:val="24"/>
              </w:rPr>
            </w:pPr>
            <w:r w:rsidRPr="008E63BB">
              <w:rPr>
                <w:sz w:val="24"/>
                <w:szCs w:val="24"/>
              </w:rPr>
              <w:t>1,5</w:t>
            </w:r>
          </w:p>
        </w:tc>
        <w:tc>
          <w:tcPr>
            <w:tcW w:w="1134" w:type="dxa"/>
          </w:tcPr>
          <w:p w14:paraId="519B2953" w14:textId="77777777" w:rsidR="002302CA" w:rsidRPr="008E63BB" w:rsidRDefault="002302CA" w:rsidP="0065184D">
            <w:pPr>
              <w:jc w:val="center"/>
              <w:rPr>
                <w:sz w:val="24"/>
                <w:szCs w:val="24"/>
              </w:rPr>
            </w:pPr>
            <w:r w:rsidRPr="008E63BB">
              <w:rPr>
                <w:sz w:val="24"/>
                <w:szCs w:val="24"/>
              </w:rPr>
              <w:t>1,2</w:t>
            </w:r>
          </w:p>
        </w:tc>
        <w:tc>
          <w:tcPr>
            <w:tcW w:w="1094" w:type="dxa"/>
          </w:tcPr>
          <w:p w14:paraId="519B2954" w14:textId="77777777" w:rsidR="002302CA" w:rsidRPr="008E63BB" w:rsidRDefault="002302CA" w:rsidP="003D057A">
            <w:pPr>
              <w:jc w:val="center"/>
              <w:rPr>
                <w:sz w:val="24"/>
                <w:szCs w:val="24"/>
              </w:rPr>
            </w:pPr>
            <w:r w:rsidRPr="008E63BB">
              <w:rPr>
                <w:sz w:val="24"/>
                <w:szCs w:val="24"/>
              </w:rPr>
              <w:t>0,3</w:t>
            </w:r>
          </w:p>
        </w:tc>
        <w:tc>
          <w:tcPr>
            <w:tcW w:w="1701" w:type="dxa"/>
          </w:tcPr>
          <w:p w14:paraId="519B2955" w14:textId="77777777" w:rsidR="002302CA" w:rsidRPr="008E63BB" w:rsidRDefault="002302CA" w:rsidP="0065184D">
            <w:pPr>
              <w:rPr>
                <w:sz w:val="24"/>
                <w:szCs w:val="24"/>
              </w:rPr>
            </w:pPr>
            <w:r w:rsidRPr="008E63BB">
              <w:rPr>
                <w:sz w:val="24"/>
                <w:szCs w:val="24"/>
              </w:rPr>
              <w:t>Kè đá, tốt</w:t>
            </w:r>
          </w:p>
        </w:tc>
      </w:tr>
      <w:tr w:rsidR="008D5BFE" w:rsidRPr="008E63BB" w14:paraId="519B295E" w14:textId="77777777" w:rsidTr="003D057A">
        <w:trPr>
          <w:jc w:val="center"/>
        </w:trPr>
        <w:tc>
          <w:tcPr>
            <w:tcW w:w="596" w:type="dxa"/>
          </w:tcPr>
          <w:p w14:paraId="519B2957" w14:textId="77777777" w:rsidR="002302CA" w:rsidRPr="008E63BB" w:rsidRDefault="002302CA" w:rsidP="0065184D">
            <w:pPr>
              <w:jc w:val="center"/>
              <w:rPr>
                <w:sz w:val="24"/>
                <w:szCs w:val="24"/>
              </w:rPr>
            </w:pPr>
            <w:r w:rsidRPr="008E63BB">
              <w:rPr>
                <w:sz w:val="24"/>
                <w:szCs w:val="24"/>
              </w:rPr>
              <w:t>6</w:t>
            </w:r>
          </w:p>
        </w:tc>
        <w:tc>
          <w:tcPr>
            <w:tcW w:w="2721" w:type="dxa"/>
          </w:tcPr>
          <w:p w14:paraId="519B2958" w14:textId="77777777" w:rsidR="002302CA" w:rsidRPr="008E63BB" w:rsidRDefault="002302CA" w:rsidP="0065184D">
            <w:pPr>
              <w:rPr>
                <w:sz w:val="24"/>
                <w:szCs w:val="24"/>
              </w:rPr>
            </w:pPr>
            <w:r w:rsidRPr="008E63BB">
              <w:rPr>
                <w:sz w:val="24"/>
                <w:szCs w:val="24"/>
              </w:rPr>
              <w:t>Hồ Đầm Đọ</w:t>
            </w:r>
          </w:p>
        </w:tc>
        <w:tc>
          <w:tcPr>
            <w:tcW w:w="1134" w:type="dxa"/>
          </w:tcPr>
          <w:p w14:paraId="519B2959" w14:textId="77777777" w:rsidR="002302CA" w:rsidRPr="008E63BB" w:rsidRDefault="002302CA" w:rsidP="0065184D">
            <w:pPr>
              <w:rPr>
                <w:sz w:val="24"/>
                <w:szCs w:val="24"/>
              </w:rPr>
            </w:pPr>
            <w:r w:rsidRPr="008E63BB">
              <w:rPr>
                <w:sz w:val="24"/>
                <w:szCs w:val="24"/>
              </w:rPr>
              <w:t>6,04</w:t>
            </w:r>
          </w:p>
        </w:tc>
        <w:tc>
          <w:tcPr>
            <w:tcW w:w="1134" w:type="dxa"/>
          </w:tcPr>
          <w:p w14:paraId="519B295A" w14:textId="77777777" w:rsidR="002302CA" w:rsidRPr="008E63BB" w:rsidRDefault="002302CA" w:rsidP="0065184D">
            <w:pPr>
              <w:jc w:val="center"/>
              <w:rPr>
                <w:sz w:val="24"/>
                <w:szCs w:val="24"/>
              </w:rPr>
            </w:pPr>
            <w:r w:rsidRPr="008E63BB">
              <w:rPr>
                <w:sz w:val="24"/>
                <w:szCs w:val="24"/>
              </w:rPr>
              <w:t>1,5</w:t>
            </w:r>
          </w:p>
        </w:tc>
        <w:tc>
          <w:tcPr>
            <w:tcW w:w="1134" w:type="dxa"/>
          </w:tcPr>
          <w:p w14:paraId="519B295B" w14:textId="77777777" w:rsidR="002302CA" w:rsidRPr="008E63BB" w:rsidRDefault="002302CA" w:rsidP="0065184D">
            <w:pPr>
              <w:jc w:val="center"/>
              <w:rPr>
                <w:sz w:val="24"/>
                <w:szCs w:val="24"/>
              </w:rPr>
            </w:pPr>
            <w:r w:rsidRPr="008E63BB">
              <w:rPr>
                <w:sz w:val="24"/>
                <w:szCs w:val="24"/>
              </w:rPr>
              <w:t>1,2</w:t>
            </w:r>
          </w:p>
        </w:tc>
        <w:tc>
          <w:tcPr>
            <w:tcW w:w="1094" w:type="dxa"/>
          </w:tcPr>
          <w:p w14:paraId="519B295C" w14:textId="77777777" w:rsidR="002302CA" w:rsidRPr="008E63BB" w:rsidRDefault="002302CA" w:rsidP="003D057A">
            <w:pPr>
              <w:jc w:val="center"/>
              <w:rPr>
                <w:sz w:val="24"/>
                <w:szCs w:val="24"/>
              </w:rPr>
            </w:pPr>
            <w:r w:rsidRPr="008E63BB">
              <w:rPr>
                <w:sz w:val="24"/>
                <w:szCs w:val="24"/>
              </w:rPr>
              <w:t>0,3</w:t>
            </w:r>
          </w:p>
        </w:tc>
        <w:tc>
          <w:tcPr>
            <w:tcW w:w="1701" w:type="dxa"/>
          </w:tcPr>
          <w:p w14:paraId="519B295D" w14:textId="77777777" w:rsidR="002302CA" w:rsidRPr="008E63BB" w:rsidRDefault="002302CA" w:rsidP="0065184D">
            <w:pPr>
              <w:rPr>
                <w:sz w:val="24"/>
                <w:szCs w:val="24"/>
              </w:rPr>
            </w:pPr>
            <w:r w:rsidRPr="008E63BB">
              <w:rPr>
                <w:sz w:val="24"/>
                <w:szCs w:val="24"/>
              </w:rPr>
              <w:t>Kè đá, tốt</w:t>
            </w:r>
          </w:p>
        </w:tc>
      </w:tr>
      <w:tr w:rsidR="008D5BFE" w:rsidRPr="008E63BB" w14:paraId="519B2966" w14:textId="77777777" w:rsidTr="003D057A">
        <w:trPr>
          <w:jc w:val="center"/>
        </w:trPr>
        <w:tc>
          <w:tcPr>
            <w:tcW w:w="596" w:type="dxa"/>
          </w:tcPr>
          <w:p w14:paraId="519B295F" w14:textId="77777777" w:rsidR="002302CA" w:rsidRPr="008E63BB" w:rsidRDefault="002302CA" w:rsidP="0065184D">
            <w:pPr>
              <w:jc w:val="center"/>
              <w:rPr>
                <w:sz w:val="24"/>
                <w:szCs w:val="24"/>
              </w:rPr>
            </w:pPr>
            <w:r w:rsidRPr="008E63BB">
              <w:rPr>
                <w:sz w:val="24"/>
                <w:szCs w:val="24"/>
              </w:rPr>
              <w:t>7</w:t>
            </w:r>
          </w:p>
        </w:tc>
        <w:tc>
          <w:tcPr>
            <w:tcW w:w="2721" w:type="dxa"/>
          </w:tcPr>
          <w:p w14:paraId="519B2960" w14:textId="77777777" w:rsidR="002302CA" w:rsidRPr="008E63BB" w:rsidRDefault="002302CA" w:rsidP="0065184D">
            <w:pPr>
              <w:rPr>
                <w:sz w:val="24"/>
                <w:szCs w:val="24"/>
              </w:rPr>
            </w:pPr>
            <w:r w:rsidRPr="008E63BB">
              <w:rPr>
                <w:sz w:val="24"/>
                <w:szCs w:val="24"/>
              </w:rPr>
              <w:t>Hồ An Trạch</w:t>
            </w:r>
          </w:p>
        </w:tc>
        <w:tc>
          <w:tcPr>
            <w:tcW w:w="1134" w:type="dxa"/>
          </w:tcPr>
          <w:p w14:paraId="519B2961" w14:textId="77777777" w:rsidR="002302CA" w:rsidRPr="008E63BB" w:rsidRDefault="002302CA" w:rsidP="0065184D">
            <w:pPr>
              <w:rPr>
                <w:sz w:val="24"/>
                <w:szCs w:val="24"/>
              </w:rPr>
            </w:pPr>
            <w:r w:rsidRPr="008E63BB">
              <w:rPr>
                <w:sz w:val="24"/>
                <w:szCs w:val="24"/>
              </w:rPr>
              <w:t>0,2</w:t>
            </w:r>
          </w:p>
        </w:tc>
        <w:tc>
          <w:tcPr>
            <w:tcW w:w="1134" w:type="dxa"/>
          </w:tcPr>
          <w:p w14:paraId="519B2962" w14:textId="77777777" w:rsidR="002302CA" w:rsidRPr="008E63BB" w:rsidRDefault="002302CA" w:rsidP="0065184D">
            <w:pPr>
              <w:jc w:val="center"/>
              <w:rPr>
                <w:sz w:val="24"/>
                <w:szCs w:val="24"/>
              </w:rPr>
            </w:pPr>
            <w:r w:rsidRPr="008E63BB">
              <w:rPr>
                <w:sz w:val="24"/>
                <w:szCs w:val="24"/>
              </w:rPr>
              <w:t>1,1</w:t>
            </w:r>
          </w:p>
        </w:tc>
        <w:tc>
          <w:tcPr>
            <w:tcW w:w="1134" w:type="dxa"/>
          </w:tcPr>
          <w:p w14:paraId="519B2963" w14:textId="77777777" w:rsidR="002302CA" w:rsidRPr="008E63BB" w:rsidRDefault="002302CA" w:rsidP="0065184D">
            <w:pPr>
              <w:jc w:val="center"/>
              <w:rPr>
                <w:sz w:val="24"/>
                <w:szCs w:val="24"/>
              </w:rPr>
            </w:pPr>
            <w:r w:rsidRPr="008E63BB">
              <w:rPr>
                <w:sz w:val="24"/>
                <w:szCs w:val="24"/>
              </w:rPr>
              <w:t>0,8</w:t>
            </w:r>
          </w:p>
        </w:tc>
        <w:tc>
          <w:tcPr>
            <w:tcW w:w="1094" w:type="dxa"/>
          </w:tcPr>
          <w:p w14:paraId="519B2964" w14:textId="77777777" w:rsidR="002302CA" w:rsidRPr="008E63BB" w:rsidRDefault="002302CA" w:rsidP="003D057A">
            <w:pPr>
              <w:jc w:val="center"/>
              <w:rPr>
                <w:sz w:val="24"/>
                <w:szCs w:val="24"/>
              </w:rPr>
            </w:pPr>
            <w:r w:rsidRPr="008E63BB">
              <w:rPr>
                <w:sz w:val="24"/>
                <w:szCs w:val="24"/>
              </w:rPr>
              <w:t>0,3</w:t>
            </w:r>
          </w:p>
        </w:tc>
        <w:tc>
          <w:tcPr>
            <w:tcW w:w="1701" w:type="dxa"/>
          </w:tcPr>
          <w:p w14:paraId="519B2965" w14:textId="77777777" w:rsidR="002302CA" w:rsidRPr="008E63BB" w:rsidRDefault="002302CA" w:rsidP="0065184D">
            <w:pPr>
              <w:rPr>
                <w:sz w:val="24"/>
                <w:szCs w:val="24"/>
              </w:rPr>
            </w:pPr>
            <w:r w:rsidRPr="008E63BB">
              <w:rPr>
                <w:sz w:val="24"/>
                <w:szCs w:val="24"/>
              </w:rPr>
              <w:t>Kè đá, tốt</w:t>
            </w:r>
          </w:p>
        </w:tc>
      </w:tr>
      <w:tr w:rsidR="008D5BFE" w:rsidRPr="008E63BB" w14:paraId="519B296E" w14:textId="77777777" w:rsidTr="003D057A">
        <w:trPr>
          <w:jc w:val="center"/>
        </w:trPr>
        <w:tc>
          <w:tcPr>
            <w:tcW w:w="596" w:type="dxa"/>
          </w:tcPr>
          <w:p w14:paraId="519B2967" w14:textId="77777777" w:rsidR="002302CA" w:rsidRPr="008E63BB" w:rsidRDefault="002302CA" w:rsidP="0065184D">
            <w:pPr>
              <w:jc w:val="center"/>
              <w:rPr>
                <w:sz w:val="24"/>
                <w:szCs w:val="24"/>
              </w:rPr>
            </w:pPr>
            <w:r w:rsidRPr="008E63BB">
              <w:rPr>
                <w:sz w:val="24"/>
                <w:szCs w:val="24"/>
              </w:rPr>
              <w:t>8</w:t>
            </w:r>
          </w:p>
        </w:tc>
        <w:tc>
          <w:tcPr>
            <w:tcW w:w="2721" w:type="dxa"/>
          </w:tcPr>
          <w:p w14:paraId="519B2968" w14:textId="77777777" w:rsidR="002302CA" w:rsidRPr="008E63BB" w:rsidRDefault="002302CA" w:rsidP="0065184D">
            <w:pPr>
              <w:rPr>
                <w:sz w:val="24"/>
                <w:szCs w:val="24"/>
              </w:rPr>
            </w:pPr>
            <w:r w:rsidRPr="008E63BB">
              <w:rPr>
                <w:sz w:val="24"/>
                <w:szCs w:val="24"/>
              </w:rPr>
              <w:t>Hồ Bảo Bối</w:t>
            </w:r>
          </w:p>
        </w:tc>
        <w:tc>
          <w:tcPr>
            <w:tcW w:w="1134" w:type="dxa"/>
          </w:tcPr>
          <w:p w14:paraId="519B2969" w14:textId="77777777" w:rsidR="002302CA" w:rsidRPr="008E63BB" w:rsidRDefault="002302CA" w:rsidP="0065184D">
            <w:pPr>
              <w:rPr>
                <w:sz w:val="24"/>
                <w:szCs w:val="24"/>
              </w:rPr>
            </w:pPr>
            <w:r w:rsidRPr="008E63BB">
              <w:rPr>
                <w:sz w:val="24"/>
                <w:szCs w:val="24"/>
              </w:rPr>
              <w:t>1,8</w:t>
            </w:r>
          </w:p>
        </w:tc>
        <w:tc>
          <w:tcPr>
            <w:tcW w:w="1134" w:type="dxa"/>
          </w:tcPr>
          <w:p w14:paraId="519B296A" w14:textId="77777777" w:rsidR="002302CA" w:rsidRPr="008E63BB" w:rsidRDefault="002302CA" w:rsidP="0065184D">
            <w:pPr>
              <w:jc w:val="center"/>
              <w:rPr>
                <w:sz w:val="24"/>
                <w:szCs w:val="24"/>
              </w:rPr>
            </w:pPr>
            <w:r w:rsidRPr="008E63BB">
              <w:rPr>
                <w:sz w:val="24"/>
                <w:szCs w:val="24"/>
              </w:rPr>
              <w:t>2,2</w:t>
            </w:r>
          </w:p>
        </w:tc>
        <w:tc>
          <w:tcPr>
            <w:tcW w:w="1134" w:type="dxa"/>
          </w:tcPr>
          <w:p w14:paraId="519B296B" w14:textId="77777777" w:rsidR="002302CA" w:rsidRPr="008E63BB" w:rsidRDefault="002302CA" w:rsidP="0065184D">
            <w:pPr>
              <w:jc w:val="center"/>
              <w:rPr>
                <w:sz w:val="24"/>
                <w:szCs w:val="24"/>
              </w:rPr>
            </w:pPr>
            <w:r w:rsidRPr="008E63BB">
              <w:rPr>
                <w:sz w:val="24"/>
                <w:szCs w:val="24"/>
              </w:rPr>
              <w:t>1,8</w:t>
            </w:r>
          </w:p>
        </w:tc>
        <w:tc>
          <w:tcPr>
            <w:tcW w:w="1094" w:type="dxa"/>
          </w:tcPr>
          <w:p w14:paraId="519B296C" w14:textId="77777777" w:rsidR="002302CA" w:rsidRPr="008E63BB" w:rsidRDefault="002302CA" w:rsidP="003D057A">
            <w:pPr>
              <w:jc w:val="center"/>
              <w:rPr>
                <w:sz w:val="24"/>
                <w:szCs w:val="24"/>
              </w:rPr>
            </w:pPr>
            <w:r w:rsidRPr="008E63BB">
              <w:rPr>
                <w:sz w:val="24"/>
                <w:szCs w:val="24"/>
              </w:rPr>
              <w:t>0,4</w:t>
            </w:r>
          </w:p>
        </w:tc>
        <w:tc>
          <w:tcPr>
            <w:tcW w:w="1701" w:type="dxa"/>
          </w:tcPr>
          <w:p w14:paraId="519B296D" w14:textId="77777777" w:rsidR="002302CA" w:rsidRPr="008E63BB" w:rsidRDefault="002302CA" w:rsidP="0065184D">
            <w:pPr>
              <w:rPr>
                <w:sz w:val="24"/>
                <w:szCs w:val="24"/>
              </w:rPr>
            </w:pPr>
            <w:r w:rsidRPr="008E63BB">
              <w:rPr>
                <w:sz w:val="24"/>
                <w:szCs w:val="24"/>
              </w:rPr>
              <w:t>Kè đá, tốt</w:t>
            </w:r>
          </w:p>
        </w:tc>
      </w:tr>
      <w:tr w:rsidR="008D5BFE" w:rsidRPr="008E63BB" w14:paraId="519B2976" w14:textId="77777777" w:rsidTr="003D057A">
        <w:trPr>
          <w:jc w:val="center"/>
        </w:trPr>
        <w:tc>
          <w:tcPr>
            <w:tcW w:w="596" w:type="dxa"/>
          </w:tcPr>
          <w:p w14:paraId="519B296F" w14:textId="77777777" w:rsidR="002302CA" w:rsidRPr="008E63BB" w:rsidRDefault="002302CA" w:rsidP="0065184D">
            <w:pPr>
              <w:jc w:val="center"/>
              <w:rPr>
                <w:sz w:val="24"/>
                <w:szCs w:val="24"/>
              </w:rPr>
            </w:pPr>
            <w:r w:rsidRPr="008E63BB">
              <w:rPr>
                <w:sz w:val="24"/>
                <w:szCs w:val="24"/>
              </w:rPr>
              <w:t>9</w:t>
            </w:r>
          </w:p>
        </w:tc>
        <w:tc>
          <w:tcPr>
            <w:tcW w:w="2721" w:type="dxa"/>
          </w:tcPr>
          <w:p w14:paraId="519B2970" w14:textId="77777777" w:rsidR="002302CA" w:rsidRPr="008E63BB" w:rsidRDefault="002302CA" w:rsidP="0065184D">
            <w:pPr>
              <w:rPr>
                <w:sz w:val="24"/>
                <w:szCs w:val="24"/>
              </w:rPr>
            </w:pPr>
            <w:r w:rsidRPr="008E63BB">
              <w:rPr>
                <w:sz w:val="24"/>
                <w:szCs w:val="24"/>
              </w:rPr>
              <w:t>Hồ Năng Tĩnh</w:t>
            </w:r>
          </w:p>
        </w:tc>
        <w:tc>
          <w:tcPr>
            <w:tcW w:w="1134" w:type="dxa"/>
          </w:tcPr>
          <w:p w14:paraId="519B2971" w14:textId="77777777" w:rsidR="002302CA" w:rsidRPr="008E63BB" w:rsidRDefault="002302CA" w:rsidP="0065184D">
            <w:pPr>
              <w:rPr>
                <w:sz w:val="24"/>
                <w:szCs w:val="24"/>
              </w:rPr>
            </w:pPr>
            <w:r w:rsidRPr="008E63BB">
              <w:rPr>
                <w:sz w:val="24"/>
                <w:szCs w:val="24"/>
              </w:rPr>
              <w:t>4,6</w:t>
            </w:r>
          </w:p>
        </w:tc>
        <w:tc>
          <w:tcPr>
            <w:tcW w:w="1134" w:type="dxa"/>
          </w:tcPr>
          <w:p w14:paraId="519B2972" w14:textId="77777777" w:rsidR="002302CA" w:rsidRPr="008E63BB" w:rsidRDefault="002302CA" w:rsidP="0065184D">
            <w:pPr>
              <w:jc w:val="center"/>
              <w:rPr>
                <w:sz w:val="24"/>
                <w:szCs w:val="24"/>
              </w:rPr>
            </w:pPr>
            <w:r w:rsidRPr="008E63BB">
              <w:rPr>
                <w:sz w:val="24"/>
                <w:szCs w:val="24"/>
              </w:rPr>
              <w:t>2,2</w:t>
            </w:r>
          </w:p>
        </w:tc>
        <w:tc>
          <w:tcPr>
            <w:tcW w:w="1134" w:type="dxa"/>
          </w:tcPr>
          <w:p w14:paraId="519B2973" w14:textId="77777777" w:rsidR="002302CA" w:rsidRPr="008E63BB" w:rsidRDefault="002302CA" w:rsidP="0065184D">
            <w:pPr>
              <w:jc w:val="center"/>
              <w:rPr>
                <w:sz w:val="24"/>
                <w:szCs w:val="24"/>
              </w:rPr>
            </w:pPr>
            <w:r w:rsidRPr="008E63BB">
              <w:rPr>
                <w:sz w:val="24"/>
                <w:szCs w:val="24"/>
              </w:rPr>
              <w:t>1,8</w:t>
            </w:r>
          </w:p>
        </w:tc>
        <w:tc>
          <w:tcPr>
            <w:tcW w:w="1094" w:type="dxa"/>
          </w:tcPr>
          <w:p w14:paraId="519B2974" w14:textId="77777777" w:rsidR="002302CA" w:rsidRPr="008E63BB" w:rsidRDefault="002302CA" w:rsidP="003D057A">
            <w:pPr>
              <w:jc w:val="center"/>
              <w:rPr>
                <w:sz w:val="24"/>
                <w:szCs w:val="24"/>
              </w:rPr>
            </w:pPr>
            <w:r w:rsidRPr="008E63BB">
              <w:rPr>
                <w:sz w:val="24"/>
                <w:szCs w:val="24"/>
              </w:rPr>
              <w:t>0,4</w:t>
            </w:r>
          </w:p>
        </w:tc>
        <w:tc>
          <w:tcPr>
            <w:tcW w:w="1701" w:type="dxa"/>
          </w:tcPr>
          <w:p w14:paraId="519B2975" w14:textId="77777777" w:rsidR="002302CA" w:rsidRPr="008E63BB" w:rsidRDefault="002302CA" w:rsidP="0065184D">
            <w:pPr>
              <w:rPr>
                <w:sz w:val="24"/>
                <w:szCs w:val="24"/>
              </w:rPr>
            </w:pPr>
            <w:r w:rsidRPr="008E63BB">
              <w:rPr>
                <w:sz w:val="24"/>
                <w:szCs w:val="24"/>
              </w:rPr>
              <w:t>Kè đá, tốt</w:t>
            </w:r>
          </w:p>
        </w:tc>
      </w:tr>
      <w:tr w:rsidR="008D5BFE" w:rsidRPr="008E63BB" w14:paraId="519B297E" w14:textId="77777777" w:rsidTr="003D057A">
        <w:trPr>
          <w:jc w:val="center"/>
        </w:trPr>
        <w:tc>
          <w:tcPr>
            <w:tcW w:w="596" w:type="dxa"/>
          </w:tcPr>
          <w:p w14:paraId="519B2977" w14:textId="77777777" w:rsidR="002302CA" w:rsidRPr="008E63BB" w:rsidRDefault="002302CA" w:rsidP="0065184D">
            <w:pPr>
              <w:jc w:val="center"/>
              <w:rPr>
                <w:sz w:val="24"/>
                <w:szCs w:val="24"/>
              </w:rPr>
            </w:pPr>
            <w:r w:rsidRPr="008E63BB">
              <w:rPr>
                <w:sz w:val="24"/>
                <w:szCs w:val="24"/>
              </w:rPr>
              <w:t>10</w:t>
            </w:r>
          </w:p>
        </w:tc>
        <w:tc>
          <w:tcPr>
            <w:tcW w:w="2721" w:type="dxa"/>
          </w:tcPr>
          <w:p w14:paraId="519B2978" w14:textId="77777777" w:rsidR="002302CA" w:rsidRPr="008E63BB" w:rsidRDefault="002302CA" w:rsidP="0065184D">
            <w:pPr>
              <w:rPr>
                <w:sz w:val="24"/>
                <w:szCs w:val="24"/>
              </w:rPr>
            </w:pPr>
            <w:r w:rsidRPr="008E63BB">
              <w:rPr>
                <w:sz w:val="24"/>
                <w:szCs w:val="24"/>
              </w:rPr>
              <w:t>Hồ Đình Ông</w:t>
            </w:r>
          </w:p>
        </w:tc>
        <w:tc>
          <w:tcPr>
            <w:tcW w:w="1134" w:type="dxa"/>
          </w:tcPr>
          <w:p w14:paraId="519B2979" w14:textId="77777777" w:rsidR="002302CA" w:rsidRPr="008E63BB" w:rsidRDefault="002302CA" w:rsidP="0065184D">
            <w:pPr>
              <w:rPr>
                <w:sz w:val="24"/>
                <w:szCs w:val="24"/>
              </w:rPr>
            </w:pPr>
            <w:r w:rsidRPr="008E63BB">
              <w:rPr>
                <w:sz w:val="24"/>
                <w:szCs w:val="24"/>
              </w:rPr>
              <w:t>0,4</w:t>
            </w:r>
          </w:p>
        </w:tc>
        <w:tc>
          <w:tcPr>
            <w:tcW w:w="1134" w:type="dxa"/>
          </w:tcPr>
          <w:p w14:paraId="519B297A" w14:textId="77777777" w:rsidR="002302CA" w:rsidRPr="008E63BB" w:rsidRDefault="002302CA" w:rsidP="0065184D">
            <w:pPr>
              <w:jc w:val="center"/>
              <w:rPr>
                <w:sz w:val="24"/>
                <w:szCs w:val="24"/>
              </w:rPr>
            </w:pPr>
            <w:r w:rsidRPr="008E63BB">
              <w:rPr>
                <w:sz w:val="24"/>
                <w:szCs w:val="24"/>
              </w:rPr>
              <w:t>1,1</w:t>
            </w:r>
          </w:p>
        </w:tc>
        <w:tc>
          <w:tcPr>
            <w:tcW w:w="1134" w:type="dxa"/>
          </w:tcPr>
          <w:p w14:paraId="519B297B" w14:textId="77777777" w:rsidR="002302CA" w:rsidRPr="008E63BB" w:rsidRDefault="002302CA" w:rsidP="0065184D">
            <w:pPr>
              <w:jc w:val="center"/>
              <w:rPr>
                <w:sz w:val="24"/>
                <w:szCs w:val="24"/>
              </w:rPr>
            </w:pPr>
            <w:r w:rsidRPr="008E63BB">
              <w:rPr>
                <w:sz w:val="24"/>
                <w:szCs w:val="24"/>
              </w:rPr>
              <w:t>0,8</w:t>
            </w:r>
          </w:p>
        </w:tc>
        <w:tc>
          <w:tcPr>
            <w:tcW w:w="1094" w:type="dxa"/>
          </w:tcPr>
          <w:p w14:paraId="519B297C" w14:textId="77777777" w:rsidR="002302CA" w:rsidRPr="008E63BB" w:rsidRDefault="002302CA" w:rsidP="003D057A">
            <w:pPr>
              <w:jc w:val="center"/>
              <w:rPr>
                <w:sz w:val="24"/>
                <w:szCs w:val="24"/>
              </w:rPr>
            </w:pPr>
            <w:r w:rsidRPr="008E63BB">
              <w:rPr>
                <w:sz w:val="24"/>
                <w:szCs w:val="24"/>
              </w:rPr>
              <w:t>0,3</w:t>
            </w:r>
          </w:p>
        </w:tc>
        <w:tc>
          <w:tcPr>
            <w:tcW w:w="1701" w:type="dxa"/>
          </w:tcPr>
          <w:p w14:paraId="519B297D" w14:textId="77777777" w:rsidR="002302CA" w:rsidRPr="008E63BB" w:rsidRDefault="002302CA" w:rsidP="0065184D">
            <w:pPr>
              <w:rPr>
                <w:sz w:val="24"/>
                <w:szCs w:val="24"/>
              </w:rPr>
            </w:pPr>
            <w:r w:rsidRPr="008E63BB">
              <w:rPr>
                <w:sz w:val="24"/>
                <w:szCs w:val="24"/>
              </w:rPr>
              <w:t>Kè đá, tốt</w:t>
            </w:r>
          </w:p>
        </w:tc>
      </w:tr>
      <w:tr w:rsidR="008D5BFE" w:rsidRPr="008E63BB" w14:paraId="519B2986" w14:textId="77777777" w:rsidTr="003D057A">
        <w:trPr>
          <w:jc w:val="center"/>
        </w:trPr>
        <w:tc>
          <w:tcPr>
            <w:tcW w:w="596" w:type="dxa"/>
          </w:tcPr>
          <w:p w14:paraId="519B297F" w14:textId="77777777" w:rsidR="002302CA" w:rsidRPr="008E63BB" w:rsidRDefault="002302CA" w:rsidP="0065184D">
            <w:pPr>
              <w:jc w:val="center"/>
              <w:rPr>
                <w:sz w:val="24"/>
                <w:szCs w:val="24"/>
              </w:rPr>
            </w:pPr>
            <w:r w:rsidRPr="008E63BB">
              <w:rPr>
                <w:sz w:val="24"/>
                <w:szCs w:val="24"/>
              </w:rPr>
              <w:t>11</w:t>
            </w:r>
          </w:p>
        </w:tc>
        <w:tc>
          <w:tcPr>
            <w:tcW w:w="2721" w:type="dxa"/>
          </w:tcPr>
          <w:p w14:paraId="519B2980" w14:textId="77777777" w:rsidR="002302CA" w:rsidRPr="008E63BB" w:rsidRDefault="002302CA" w:rsidP="0065184D">
            <w:pPr>
              <w:rPr>
                <w:sz w:val="24"/>
                <w:szCs w:val="24"/>
              </w:rPr>
            </w:pPr>
            <w:r w:rsidRPr="008E63BB">
              <w:rPr>
                <w:sz w:val="24"/>
                <w:szCs w:val="24"/>
              </w:rPr>
              <w:t>Hồ Bắc Kính</w:t>
            </w:r>
          </w:p>
        </w:tc>
        <w:tc>
          <w:tcPr>
            <w:tcW w:w="1134" w:type="dxa"/>
          </w:tcPr>
          <w:p w14:paraId="519B2981" w14:textId="77777777" w:rsidR="002302CA" w:rsidRPr="008E63BB" w:rsidRDefault="002302CA" w:rsidP="0065184D">
            <w:pPr>
              <w:rPr>
                <w:sz w:val="24"/>
                <w:szCs w:val="24"/>
              </w:rPr>
            </w:pPr>
            <w:r w:rsidRPr="008E63BB">
              <w:rPr>
                <w:sz w:val="24"/>
                <w:szCs w:val="24"/>
              </w:rPr>
              <w:t>0,15</w:t>
            </w:r>
          </w:p>
        </w:tc>
        <w:tc>
          <w:tcPr>
            <w:tcW w:w="1134" w:type="dxa"/>
          </w:tcPr>
          <w:p w14:paraId="519B2982" w14:textId="77777777" w:rsidR="002302CA" w:rsidRPr="008E63BB" w:rsidRDefault="002302CA" w:rsidP="0065184D">
            <w:pPr>
              <w:jc w:val="center"/>
              <w:rPr>
                <w:sz w:val="24"/>
                <w:szCs w:val="24"/>
              </w:rPr>
            </w:pPr>
            <w:r w:rsidRPr="008E63BB">
              <w:rPr>
                <w:sz w:val="24"/>
                <w:szCs w:val="24"/>
              </w:rPr>
              <w:t>1,5</w:t>
            </w:r>
          </w:p>
        </w:tc>
        <w:tc>
          <w:tcPr>
            <w:tcW w:w="1134" w:type="dxa"/>
          </w:tcPr>
          <w:p w14:paraId="519B2983" w14:textId="77777777" w:rsidR="002302CA" w:rsidRPr="008E63BB" w:rsidRDefault="002302CA" w:rsidP="0065184D">
            <w:pPr>
              <w:jc w:val="center"/>
              <w:rPr>
                <w:sz w:val="24"/>
                <w:szCs w:val="24"/>
              </w:rPr>
            </w:pPr>
            <w:r w:rsidRPr="008E63BB">
              <w:rPr>
                <w:sz w:val="24"/>
                <w:szCs w:val="24"/>
              </w:rPr>
              <w:t>1,2</w:t>
            </w:r>
          </w:p>
        </w:tc>
        <w:tc>
          <w:tcPr>
            <w:tcW w:w="1094" w:type="dxa"/>
          </w:tcPr>
          <w:p w14:paraId="519B2984" w14:textId="77777777" w:rsidR="002302CA" w:rsidRPr="008E63BB" w:rsidRDefault="002302CA" w:rsidP="003D057A">
            <w:pPr>
              <w:jc w:val="center"/>
              <w:rPr>
                <w:sz w:val="24"/>
                <w:szCs w:val="24"/>
              </w:rPr>
            </w:pPr>
            <w:r w:rsidRPr="008E63BB">
              <w:rPr>
                <w:sz w:val="24"/>
                <w:szCs w:val="24"/>
              </w:rPr>
              <w:t>0,3</w:t>
            </w:r>
          </w:p>
        </w:tc>
        <w:tc>
          <w:tcPr>
            <w:tcW w:w="1701" w:type="dxa"/>
          </w:tcPr>
          <w:p w14:paraId="519B2985" w14:textId="77777777" w:rsidR="002302CA" w:rsidRPr="008E63BB" w:rsidRDefault="002302CA" w:rsidP="0065184D">
            <w:pPr>
              <w:rPr>
                <w:b/>
                <w:sz w:val="24"/>
                <w:szCs w:val="24"/>
              </w:rPr>
            </w:pPr>
            <w:r w:rsidRPr="008E63BB">
              <w:rPr>
                <w:sz w:val="24"/>
                <w:szCs w:val="24"/>
              </w:rPr>
              <w:t>Kè đá, tốt</w:t>
            </w:r>
          </w:p>
        </w:tc>
      </w:tr>
      <w:tr w:rsidR="008D5BFE" w:rsidRPr="008E63BB" w14:paraId="519B298E" w14:textId="77777777" w:rsidTr="003D057A">
        <w:trPr>
          <w:jc w:val="center"/>
        </w:trPr>
        <w:tc>
          <w:tcPr>
            <w:tcW w:w="596" w:type="dxa"/>
          </w:tcPr>
          <w:p w14:paraId="519B2987" w14:textId="77777777" w:rsidR="002302CA" w:rsidRPr="008E63BB" w:rsidRDefault="002302CA" w:rsidP="0065184D">
            <w:pPr>
              <w:jc w:val="center"/>
              <w:rPr>
                <w:sz w:val="24"/>
                <w:szCs w:val="24"/>
              </w:rPr>
            </w:pPr>
            <w:r w:rsidRPr="008E63BB">
              <w:rPr>
                <w:sz w:val="24"/>
                <w:szCs w:val="24"/>
              </w:rPr>
              <w:lastRenderedPageBreak/>
              <w:t>12</w:t>
            </w:r>
          </w:p>
        </w:tc>
        <w:tc>
          <w:tcPr>
            <w:tcW w:w="2721" w:type="dxa"/>
          </w:tcPr>
          <w:p w14:paraId="519B2988" w14:textId="77777777" w:rsidR="002302CA" w:rsidRPr="008E63BB" w:rsidRDefault="002302CA" w:rsidP="0065184D">
            <w:pPr>
              <w:rPr>
                <w:sz w:val="24"/>
                <w:szCs w:val="24"/>
              </w:rPr>
            </w:pPr>
            <w:r w:rsidRPr="008E63BB">
              <w:rPr>
                <w:sz w:val="24"/>
                <w:szCs w:val="24"/>
              </w:rPr>
              <w:t>Hồ Vỵ Hoàng</w:t>
            </w:r>
          </w:p>
        </w:tc>
        <w:tc>
          <w:tcPr>
            <w:tcW w:w="1134" w:type="dxa"/>
          </w:tcPr>
          <w:p w14:paraId="519B2989" w14:textId="77777777" w:rsidR="002302CA" w:rsidRPr="008E63BB" w:rsidRDefault="002302CA" w:rsidP="0065184D">
            <w:pPr>
              <w:rPr>
                <w:sz w:val="24"/>
                <w:szCs w:val="24"/>
              </w:rPr>
            </w:pPr>
            <w:r w:rsidRPr="008E63BB">
              <w:rPr>
                <w:sz w:val="24"/>
                <w:szCs w:val="24"/>
              </w:rPr>
              <w:t>2,6</w:t>
            </w:r>
          </w:p>
        </w:tc>
        <w:tc>
          <w:tcPr>
            <w:tcW w:w="1134" w:type="dxa"/>
          </w:tcPr>
          <w:p w14:paraId="519B298A" w14:textId="77777777" w:rsidR="002302CA" w:rsidRPr="008E63BB" w:rsidRDefault="002302CA" w:rsidP="0065184D">
            <w:pPr>
              <w:jc w:val="center"/>
              <w:rPr>
                <w:sz w:val="24"/>
                <w:szCs w:val="24"/>
              </w:rPr>
            </w:pPr>
            <w:r w:rsidRPr="008E63BB">
              <w:rPr>
                <w:sz w:val="24"/>
                <w:szCs w:val="24"/>
              </w:rPr>
              <w:t>2,2</w:t>
            </w:r>
          </w:p>
        </w:tc>
        <w:tc>
          <w:tcPr>
            <w:tcW w:w="1134" w:type="dxa"/>
          </w:tcPr>
          <w:p w14:paraId="519B298B" w14:textId="77777777" w:rsidR="002302CA" w:rsidRPr="008E63BB" w:rsidRDefault="002302CA" w:rsidP="0065184D">
            <w:pPr>
              <w:jc w:val="center"/>
              <w:rPr>
                <w:sz w:val="24"/>
                <w:szCs w:val="24"/>
              </w:rPr>
            </w:pPr>
            <w:r w:rsidRPr="008E63BB">
              <w:rPr>
                <w:sz w:val="24"/>
                <w:szCs w:val="24"/>
              </w:rPr>
              <w:t>1,8</w:t>
            </w:r>
          </w:p>
        </w:tc>
        <w:tc>
          <w:tcPr>
            <w:tcW w:w="1094" w:type="dxa"/>
          </w:tcPr>
          <w:p w14:paraId="519B298C" w14:textId="77777777" w:rsidR="002302CA" w:rsidRPr="008E63BB" w:rsidRDefault="002302CA" w:rsidP="003D057A">
            <w:pPr>
              <w:jc w:val="center"/>
              <w:rPr>
                <w:sz w:val="24"/>
                <w:szCs w:val="24"/>
              </w:rPr>
            </w:pPr>
            <w:r w:rsidRPr="008E63BB">
              <w:rPr>
                <w:sz w:val="24"/>
                <w:szCs w:val="24"/>
              </w:rPr>
              <w:t>0,4</w:t>
            </w:r>
          </w:p>
        </w:tc>
        <w:tc>
          <w:tcPr>
            <w:tcW w:w="1701" w:type="dxa"/>
          </w:tcPr>
          <w:p w14:paraId="519B298D" w14:textId="77777777" w:rsidR="002302CA" w:rsidRPr="008E63BB" w:rsidRDefault="002302CA" w:rsidP="0065184D">
            <w:pPr>
              <w:rPr>
                <w:sz w:val="24"/>
                <w:szCs w:val="24"/>
              </w:rPr>
            </w:pPr>
            <w:r w:rsidRPr="008E63BB">
              <w:rPr>
                <w:sz w:val="24"/>
                <w:szCs w:val="24"/>
              </w:rPr>
              <w:t>Kè đá, tốt</w:t>
            </w:r>
          </w:p>
        </w:tc>
      </w:tr>
      <w:tr w:rsidR="008D5BFE" w:rsidRPr="008E63BB" w14:paraId="519B2996" w14:textId="77777777" w:rsidTr="003D057A">
        <w:trPr>
          <w:jc w:val="center"/>
        </w:trPr>
        <w:tc>
          <w:tcPr>
            <w:tcW w:w="596" w:type="dxa"/>
          </w:tcPr>
          <w:p w14:paraId="519B298F" w14:textId="77777777" w:rsidR="002302CA" w:rsidRPr="008E63BB" w:rsidRDefault="002302CA" w:rsidP="0065184D">
            <w:pPr>
              <w:jc w:val="center"/>
              <w:rPr>
                <w:sz w:val="24"/>
                <w:szCs w:val="24"/>
              </w:rPr>
            </w:pPr>
            <w:r w:rsidRPr="008E63BB">
              <w:rPr>
                <w:sz w:val="24"/>
                <w:szCs w:val="24"/>
              </w:rPr>
              <w:t>13</w:t>
            </w:r>
          </w:p>
        </w:tc>
        <w:tc>
          <w:tcPr>
            <w:tcW w:w="2721" w:type="dxa"/>
          </w:tcPr>
          <w:p w14:paraId="519B2990" w14:textId="77777777" w:rsidR="002302CA" w:rsidRPr="008E63BB" w:rsidRDefault="002302CA" w:rsidP="0065184D">
            <w:pPr>
              <w:rPr>
                <w:sz w:val="24"/>
                <w:szCs w:val="24"/>
              </w:rPr>
            </w:pPr>
            <w:r w:rsidRPr="008E63BB">
              <w:rPr>
                <w:sz w:val="24"/>
                <w:szCs w:val="24"/>
              </w:rPr>
              <w:t>Hồ Cơ Khí</w:t>
            </w:r>
          </w:p>
        </w:tc>
        <w:tc>
          <w:tcPr>
            <w:tcW w:w="1134" w:type="dxa"/>
          </w:tcPr>
          <w:p w14:paraId="519B2991" w14:textId="77777777" w:rsidR="002302CA" w:rsidRPr="008E63BB" w:rsidRDefault="002302CA" w:rsidP="0065184D">
            <w:pPr>
              <w:rPr>
                <w:sz w:val="24"/>
                <w:szCs w:val="24"/>
              </w:rPr>
            </w:pPr>
            <w:r w:rsidRPr="008E63BB">
              <w:rPr>
                <w:sz w:val="24"/>
                <w:szCs w:val="24"/>
              </w:rPr>
              <w:t>0,97</w:t>
            </w:r>
          </w:p>
        </w:tc>
        <w:tc>
          <w:tcPr>
            <w:tcW w:w="1134" w:type="dxa"/>
          </w:tcPr>
          <w:p w14:paraId="519B2992" w14:textId="77777777" w:rsidR="002302CA" w:rsidRPr="008E63BB" w:rsidRDefault="002302CA" w:rsidP="0065184D">
            <w:pPr>
              <w:jc w:val="center"/>
              <w:rPr>
                <w:sz w:val="24"/>
                <w:szCs w:val="24"/>
              </w:rPr>
            </w:pPr>
            <w:r w:rsidRPr="008E63BB">
              <w:rPr>
                <w:sz w:val="24"/>
                <w:szCs w:val="24"/>
              </w:rPr>
              <w:t>2,1</w:t>
            </w:r>
          </w:p>
        </w:tc>
        <w:tc>
          <w:tcPr>
            <w:tcW w:w="1134" w:type="dxa"/>
          </w:tcPr>
          <w:p w14:paraId="519B2993" w14:textId="77777777" w:rsidR="002302CA" w:rsidRPr="008E63BB" w:rsidRDefault="002302CA" w:rsidP="0065184D">
            <w:pPr>
              <w:jc w:val="center"/>
              <w:rPr>
                <w:sz w:val="24"/>
                <w:szCs w:val="24"/>
              </w:rPr>
            </w:pPr>
            <w:r w:rsidRPr="008E63BB">
              <w:rPr>
                <w:sz w:val="24"/>
                <w:szCs w:val="24"/>
              </w:rPr>
              <w:t>1,8</w:t>
            </w:r>
          </w:p>
        </w:tc>
        <w:tc>
          <w:tcPr>
            <w:tcW w:w="1094" w:type="dxa"/>
          </w:tcPr>
          <w:p w14:paraId="519B2994" w14:textId="77777777" w:rsidR="002302CA" w:rsidRPr="008E63BB" w:rsidRDefault="002302CA" w:rsidP="003D057A">
            <w:pPr>
              <w:jc w:val="center"/>
              <w:rPr>
                <w:sz w:val="24"/>
                <w:szCs w:val="24"/>
              </w:rPr>
            </w:pPr>
            <w:r w:rsidRPr="008E63BB">
              <w:rPr>
                <w:sz w:val="24"/>
                <w:szCs w:val="24"/>
              </w:rPr>
              <w:t>0,3</w:t>
            </w:r>
          </w:p>
        </w:tc>
        <w:tc>
          <w:tcPr>
            <w:tcW w:w="1701" w:type="dxa"/>
          </w:tcPr>
          <w:p w14:paraId="519B2995" w14:textId="77777777" w:rsidR="002302CA" w:rsidRPr="008E63BB" w:rsidRDefault="002302CA" w:rsidP="0065184D">
            <w:pPr>
              <w:rPr>
                <w:sz w:val="24"/>
                <w:szCs w:val="24"/>
              </w:rPr>
            </w:pPr>
            <w:r w:rsidRPr="008E63BB">
              <w:rPr>
                <w:sz w:val="24"/>
                <w:szCs w:val="24"/>
              </w:rPr>
              <w:t>Kè bê tông, tốt</w:t>
            </w:r>
          </w:p>
        </w:tc>
      </w:tr>
    </w:tbl>
    <w:p w14:paraId="519B2997" w14:textId="77777777" w:rsidR="002302CA" w:rsidRPr="008E63BB" w:rsidRDefault="002302CA" w:rsidP="0065184D">
      <w:pPr>
        <w:rPr>
          <w:rFonts w:eastAsia="Times New Roman"/>
          <w:b/>
          <w:i/>
          <w:szCs w:val="26"/>
        </w:rPr>
      </w:pPr>
      <w:r w:rsidRPr="008E63BB">
        <w:rPr>
          <w:rFonts w:eastAsia="Times New Roman"/>
          <w:b/>
          <w:i/>
          <w:szCs w:val="26"/>
        </w:rPr>
        <w:t>4/. Nền xây dựng:</w:t>
      </w:r>
    </w:p>
    <w:p w14:paraId="519B2998" w14:textId="77777777" w:rsidR="00115079" w:rsidRPr="008E63BB" w:rsidRDefault="00115079" w:rsidP="00115079">
      <w:pPr>
        <w:ind w:firstLine="709"/>
        <w:rPr>
          <w:bCs/>
          <w:szCs w:val="26"/>
        </w:rPr>
      </w:pPr>
      <w:r w:rsidRPr="008E63BB">
        <w:rPr>
          <w:bCs/>
          <w:szCs w:val="26"/>
        </w:rPr>
        <w:t>Khu vực nghiên cứu nằm trong vùng đồng bằng sông Hồng, địa hình thấp và bằng phẳng, cao độ từ +0,3 ÷ +5,7m..</w:t>
      </w:r>
    </w:p>
    <w:p w14:paraId="519B2999" w14:textId="77777777" w:rsidR="00115079" w:rsidRPr="008E63BB" w:rsidRDefault="00115079" w:rsidP="00115079">
      <w:pPr>
        <w:numPr>
          <w:ilvl w:val="0"/>
          <w:numId w:val="15"/>
        </w:numPr>
        <w:tabs>
          <w:tab w:val="clear" w:pos="720"/>
          <w:tab w:val="left" w:pos="851"/>
        </w:tabs>
        <w:ind w:left="0" w:firstLine="709"/>
        <w:rPr>
          <w:bCs/>
          <w:szCs w:val="26"/>
        </w:rPr>
      </w:pPr>
      <w:r w:rsidRPr="008E63BB">
        <w:rPr>
          <w:bCs/>
          <w:szCs w:val="26"/>
        </w:rPr>
        <w:t>Khu vực trung tâm thành phố Nam Định, cao độ nền xây dựng từ +2,0 ÷ +4,8m.</w:t>
      </w:r>
    </w:p>
    <w:p w14:paraId="519B299A" w14:textId="77777777" w:rsidR="00115079" w:rsidRPr="008E63BB" w:rsidRDefault="00115079" w:rsidP="00115079">
      <w:pPr>
        <w:numPr>
          <w:ilvl w:val="0"/>
          <w:numId w:val="15"/>
        </w:numPr>
        <w:tabs>
          <w:tab w:val="clear" w:pos="720"/>
          <w:tab w:val="left" w:pos="851"/>
        </w:tabs>
        <w:ind w:left="0" w:firstLine="709"/>
        <w:rPr>
          <w:bCs/>
          <w:szCs w:val="26"/>
        </w:rPr>
      </w:pPr>
      <w:r w:rsidRPr="008E63BB">
        <w:rPr>
          <w:bCs/>
          <w:szCs w:val="26"/>
        </w:rPr>
        <w:t>Khu vực trung tâm thị trấn Mỹ Lộc, cao độ nền xây dựng từ +2,0÷ +3,0m.</w:t>
      </w:r>
    </w:p>
    <w:p w14:paraId="519B299B" w14:textId="77777777" w:rsidR="002302CA" w:rsidRPr="008E63BB" w:rsidRDefault="002302CA" w:rsidP="00F06125">
      <w:pPr>
        <w:numPr>
          <w:ilvl w:val="0"/>
          <w:numId w:val="15"/>
        </w:numPr>
        <w:tabs>
          <w:tab w:val="clear" w:pos="720"/>
          <w:tab w:val="left" w:pos="851"/>
        </w:tabs>
        <w:ind w:left="0" w:firstLine="709"/>
        <w:rPr>
          <w:bCs/>
          <w:szCs w:val="26"/>
        </w:rPr>
      </w:pPr>
      <w:r w:rsidRPr="008E63BB">
        <w:rPr>
          <w:bCs/>
          <w:szCs w:val="26"/>
        </w:rPr>
        <w:t>Khu vực làng xóm có cao độ nền xây dựng từ +2,0 ÷ +2,9m.</w:t>
      </w:r>
    </w:p>
    <w:p w14:paraId="519B299C" w14:textId="77777777" w:rsidR="002302CA" w:rsidRPr="008E63BB" w:rsidRDefault="002302CA" w:rsidP="00F06125">
      <w:pPr>
        <w:numPr>
          <w:ilvl w:val="0"/>
          <w:numId w:val="15"/>
        </w:numPr>
        <w:tabs>
          <w:tab w:val="clear" w:pos="720"/>
          <w:tab w:val="left" w:pos="851"/>
        </w:tabs>
        <w:ind w:left="0" w:firstLine="709"/>
        <w:rPr>
          <w:bCs/>
          <w:szCs w:val="26"/>
        </w:rPr>
      </w:pPr>
      <w:r w:rsidRPr="008E63BB">
        <w:rPr>
          <w:bCs/>
          <w:szCs w:val="26"/>
        </w:rPr>
        <w:t>Cao độ Quốc lộ 21 từ +2,2 ÷ +4,6m.</w:t>
      </w:r>
    </w:p>
    <w:p w14:paraId="519B299D" w14:textId="77777777" w:rsidR="002302CA" w:rsidRPr="008E63BB" w:rsidRDefault="002302CA" w:rsidP="00F06125">
      <w:pPr>
        <w:numPr>
          <w:ilvl w:val="0"/>
          <w:numId w:val="15"/>
        </w:numPr>
        <w:tabs>
          <w:tab w:val="clear" w:pos="720"/>
          <w:tab w:val="left" w:pos="851"/>
        </w:tabs>
        <w:ind w:left="0" w:firstLine="709"/>
        <w:rPr>
          <w:bCs/>
          <w:szCs w:val="26"/>
        </w:rPr>
      </w:pPr>
      <w:r w:rsidRPr="008E63BB">
        <w:rPr>
          <w:bCs/>
          <w:szCs w:val="26"/>
        </w:rPr>
        <w:t>Cao độ Quốc lộ 21B từ +2,2 ÷ +2,9m.</w:t>
      </w:r>
    </w:p>
    <w:p w14:paraId="519B299E" w14:textId="77777777" w:rsidR="002302CA" w:rsidRPr="008E63BB" w:rsidRDefault="002302CA" w:rsidP="00F06125">
      <w:pPr>
        <w:numPr>
          <w:ilvl w:val="0"/>
          <w:numId w:val="15"/>
        </w:numPr>
        <w:tabs>
          <w:tab w:val="clear" w:pos="720"/>
          <w:tab w:val="left" w:pos="851"/>
        </w:tabs>
        <w:ind w:left="0" w:firstLine="709"/>
        <w:rPr>
          <w:bCs/>
          <w:szCs w:val="26"/>
        </w:rPr>
      </w:pPr>
      <w:r w:rsidRPr="008E63BB">
        <w:rPr>
          <w:bCs/>
          <w:szCs w:val="26"/>
        </w:rPr>
        <w:t>Cao độ Quốc lộ 10 từ +2,4 ÷ +6,9m.</w:t>
      </w:r>
    </w:p>
    <w:p w14:paraId="519B299F" w14:textId="77777777" w:rsidR="002302CA" w:rsidRPr="008E63BB" w:rsidRDefault="002302CA" w:rsidP="00F06125">
      <w:pPr>
        <w:numPr>
          <w:ilvl w:val="0"/>
          <w:numId w:val="15"/>
        </w:numPr>
        <w:tabs>
          <w:tab w:val="clear" w:pos="720"/>
          <w:tab w:val="left" w:pos="851"/>
        </w:tabs>
        <w:ind w:left="0" w:firstLine="709"/>
        <w:rPr>
          <w:bCs/>
          <w:szCs w:val="26"/>
        </w:rPr>
      </w:pPr>
      <w:r w:rsidRPr="008E63BB">
        <w:rPr>
          <w:bCs/>
          <w:szCs w:val="26"/>
        </w:rPr>
        <w:t>Khu vực ruộng canh tác có cao độ từ +0,3 ÷ +1,2m.</w:t>
      </w:r>
    </w:p>
    <w:p w14:paraId="519B29A0" w14:textId="77777777" w:rsidR="002302CA" w:rsidRPr="008E63BB" w:rsidRDefault="002302CA" w:rsidP="00F06125">
      <w:pPr>
        <w:numPr>
          <w:ilvl w:val="0"/>
          <w:numId w:val="15"/>
        </w:numPr>
        <w:tabs>
          <w:tab w:val="clear" w:pos="720"/>
          <w:tab w:val="left" w:pos="851"/>
        </w:tabs>
        <w:ind w:left="0" w:firstLine="709"/>
        <w:rPr>
          <w:bCs/>
          <w:szCs w:val="26"/>
        </w:rPr>
      </w:pPr>
      <w:r w:rsidRPr="008E63BB">
        <w:rPr>
          <w:bCs/>
          <w:szCs w:val="26"/>
        </w:rPr>
        <w:t>Đê Hữu sông Đào bảo vệ thành phố chống lũ có cao độ từ +5,1 ÷ +5,7m. Đê Tả sông Đào có cao độ từ +5,5 ÷ +6,2m. Đê Hữu sông Hồng có cao độ từ +5,7 ÷ +6,6m.</w:t>
      </w:r>
    </w:p>
    <w:p w14:paraId="519B29A1" w14:textId="77777777" w:rsidR="002302CA" w:rsidRPr="008E63BB" w:rsidRDefault="002302CA" w:rsidP="0065184D">
      <w:pPr>
        <w:ind w:firstLine="709"/>
        <w:rPr>
          <w:bCs/>
          <w:szCs w:val="26"/>
        </w:rPr>
      </w:pPr>
      <w:r w:rsidRPr="008E63BB">
        <w:rPr>
          <w:bCs/>
          <w:szCs w:val="26"/>
        </w:rPr>
        <w:t>Một số điểm khu vực ngập úng trong nội thành thành phố Nam Định: đường Hàn Thuyên, Máy Tơ, Mạc Thị Bưởi, Hàng Thao, Phan Đình Phùng, Hàng Tiện, Trần Hưng Đạo kéo dài, Đông A, khu đô thị Hòa Vượng ngập úng cục bộ do hệ thống thoát nước nội bộ của khu đô thị chưa kết nối với hệ thống thoát nước của thành phố.</w:t>
      </w:r>
    </w:p>
    <w:p w14:paraId="519B29A2" w14:textId="77777777" w:rsidR="002302CA" w:rsidRPr="008E63BB" w:rsidRDefault="002302CA" w:rsidP="0065184D">
      <w:pPr>
        <w:ind w:firstLine="709"/>
        <w:rPr>
          <w:bCs/>
          <w:szCs w:val="26"/>
        </w:rPr>
      </w:pPr>
      <w:r w:rsidRPr="008E63BB">
        <w:rPr>
          <w:bCs/>
          <w:szCs w:val="26"/>
        </w:rPr>
        <w:t xml:space="preserve">Trong mùa lũ, cao độ mực nước sông thường xuyên cao hơn cao độ của đô thị. Những vùng cao độ &lt; +1,4m thường xuyên ngập úng hàng năm. </w:t>
      </w:r>
    </w:p>
    <w:p w14:paraId="519B29A3" w14:textId="77777777" w:rsidR="002302CA" w:rsidRPr="008E63BB" w:rsidRDefault="002302CA" w:rsidP="0065184D">
      <w:pPr>
        <w:rPr>
          <w:rFonts w:eastAsia="Times New Roman"/>
          <w:bCs/>
          <w:szCs w:val="26"/>
          <w:lang w:val="pt-BR"/>
        </w:rPr>
      </w:pPr>
      <w:r w:rsidRPr="008E63BB">
        <w:rPr>
          <w:rFonts w:eastAsia="Times New Roman"/>
          <w:b/>
          <w:bCs/>
          <w:szCs w:val="26"/>
          <w:lang w:val="pt-BR"/>
        </w:rPr>
        <w:tab/>
      </w:r>
      <w:r w:rsidRPr="008E63BB">
        <w:rPr>
          <w:rFonts w:eastAsia="Times New Roman"/>
          <w:bCs/>
          <w:szCs w:val="26"/>
          <w:lang w:val="pt-BR"/>
        </w:rPr>
        <w:t>Các khu vực ngập úng trên khu vực trung tâm thành phố Nam Định:</w:t>
      </w:r>
    </w:p>
    <w:tbl>
      <w:tblPr>
        <w:tblW w:w="94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
        <w:gridCol w:w="3621"/>
        <w:gridCol w:w="1260"/>
        <w:gridCol w:w="1150"/>
        <w:gridCol w:w="1266"/>
        <w:gridCol w:w="1434"/>
      </w:tblGrid>
      <w:tr w:rsidR="008D5BFE" w:rsidRPr="008E63BB" w14:paraId="519B29AB" w14:textId="77777777" w:rsidTr="00282C31">
        <w:trPr>
          <w:trHeight w:val="750"/>
          <w:jc w:val="center"/>
        </w:trPr>
        <w:tc>
          <w:tcPr>
            <w:tcW w:w="708" w:type="dxa"/>
            <w:shd w:val="clear" w:color="auto" w:fill="auto"/>
            <w:noWrap/>
            <w:vAlign w:val="center"/>
          </w:tcPr>
          <w:p w14:paraId="519B29A4" w14:textId="77777777" w:rsidR="002302CA" w:rsidRPr="008E63BB" w:rsidRDefault="002302CA" w:rsidP="0065184D">
            <w:pPr>
              <w:jc w:val="center"/>
              <w:rPr>
                <w:b/>
                <w:bCs/>
                <w:sz w:val="24"/>
                <w:szCs w:val="24"/>
              </w:rPr>
            </w:pPr>
            <w:r w:rsidRPr="008E63BB">
              <w:rPr>
                <w:b/>
                <w:bCs/>
                <w:sz w:val="24"/>
                <w:szCs w:val="24"/>
              </w:rPr>
              <w:t>STT</w:t>
            </w:r>
          </w:p>
        </w:tc>
        <w:tc>
          <w:tcPr>
            <w:tcW w:w="3621" w:type="dxa"/>
            <w:shd w:val="clear" w:color="auto" w:fill="auto"/>
            <w:noWrap/>
            <w:vAlign w:val="center"/>
          </w:tcPr>
          <w:p w14:paraId="519B29A5" w14:textId="77777777" w:rsidR="002302CA" w:rsidRPr="008E63BB" w:rsidRDefault="002302CA" w:rsidP="0065184D">
            <w:pPr>
              <w:jc w:val="center"/>
              <w:rPr>
                <w:b/>
                <w:bCs/>
                <w:sz w:val="24"/>
                <w:szCs w:val="24"/>
              </w:rPr>
            </w:pPr>
            <w:r w:rsidRPr="008E63BB">
              <w:rPr>
                <w:b/>
                <w:bCs/>
                <w:sz w:val="24"/>
                <w:szCs w:val="24"/>
              </w:rPr>
              <w:t>Vị trí</w:t>
            </w:r>
          </w:p>
        </w:tc>
        <w:tc>
          <w:tcPr>
            <w:tcW w:w="1260" w:type="dxa"/>
            <w:vAlign w:val="center"/>
          </w:tcPr>
          <w:p w14:paraId="519B29A6" w14:textId="77777777" w:rsidR="002302CA" w:rsidRPr="008E63BB" w:rsidRDefault="002302CA" w:rsidP="0065184D">
            <w:pPr>
              <w:jc w:val="center"/>
              <w:rPr>
                <w:b/>
                <w:bCs/>
                <w:sz w:val="24"/>
                <w:szCs w:val="24"/>
              </w:rPr>
            </w:pPr>
            <w:r w:rsidRPr="008E63BB">
              <w:rPr>
                <w:b/>
                <w:bCs/>
                <w:sz w:val="24"/>
                <w:szCs w:val="24"/>
              </w:rPr>
              <w:t>Diện tích ngập</w:t>
            </w:r>
          </w:p>
          <w:p w14:paraId="519B29A7" w14:textId="77777777" w:rsidR="002302CA" w:rsidRPr="008E63BB" w:rsidRDefault="002302CA" w:rsidP="0065184D">
            <w:pPr>
              <w:jc w:val="center"/>
              <w:rPr>
                <w:b/>
                <w:bCs/>
                <w:sz w:val="24"/>
                <w:szCs w:val="24"/>
              </w:rPr>
            </w:pPr>
            <w:r w:rsidRPr="008E63BB">
              <w:rPr>
                <w:b/>
                <w:bCs/>
                <w:sz w:val="24"/>
                <w:szCs w:val="24"/>
              </w:rPr>
              <w:t>(m2)</w:t>
            </w:r>
          </w:p>
        </w:tc>
        <w:tc>
          <w:tcPr>
            <w:tcW w:w="1150" w:type="dxa"/>
            <w:shd w:val="clear" w:color="auto" w:fill="auto"/>
            <w:vAlign w:val="center"/>
          </w:tcPr>
          <w:p w14:paraId="519B29A8" w14:textId="77777777" w:rsidR="002302CA" w:rsidRPr="008E63BB" w:rsidRDefault="002302CA" w:rsidP="0065184D">
            <w:pPr>
              <w:jc w:val="center"/>
              <w:rPr>
                <w:b/>
                <w:bCs/>
                <w:sz w:val="24"/>
                <w:szCs w:val="24"/>
              </w:rPr>
            </w:pPr>
            <w:r w:rsidRPr="008E63BB">
              <w:rPr>
                <w:b/>
                <w:bCs/>
                <w:sz w:val="24"/>
                <w:szCs w:val="24"/>
              </w:rPr>
              <w:t>Độ sâu</w:t>
            </w:r>
            <w:r w:rsidRPr="008E63BB">
              <w:rPr>
                <w:b/>
                <w:bCs/>
                <w:sz w:val="24"/>
                <w:szCs w:val="24"/>
              </w:rPr>
              <w:br/>
              <w:t>(cm)</w:t>
            </w:r>
          </w:p>
        </w:tc>
        <w:tc>
          <w:tcPr>
            <w:tcW w:w="1266" w:type="dxa"/>
            <w:shd w:val="clear" w:color="auto" w:fill="auto"/>
            <w:noWrap/>
            <w:vAlign w:val="center"/>
          </w:tcPr>
          <w:p w14:paraId="519B29A9" w14:textId="77777777" w:rsidR="002302CA" w:rsidRPr="008E63BB" w:rsidRDefault="002302CA" w:rsidP="0065184D">
            <w:pPr>
              <w:jc w:val="center"/>
              <w:rPr>
                <w:b/>
                <w:bCs/>
                <w:sz w:val="24"/>
                <w:szCs w:val="24"/>
              </w:rPr>
            </w:pPr>
            <w:r w:rsidRPr="008E63BB">
              <w:rPr>
                <w:b/>
                <w:bCs/>
                <w:sz w:val="24"/>
                <w:szCs w:val="24"/>
              </w:rPr>
              <w:t>Thời gian ngập</w:t>
            </w:r>
          </w:p>
        </w:tc>
        <w:tc>
          <w:tcPr>
            <w:tcW w:w="1434" w:type="dxa"/>
            <w:shd w:val="clear" w:color="auto" w:fill="auto"/>
            <w:noWrap/>
            <w:vAlign w:val="center"/>
          </w:tcPr>
          <w:p w14:paraId="519B29AA" w14:textId="77777777" w:rsidR="002302CA" w:rsidRPr="008E63BB" w:rsidRDefault="002302CA" w:rsidP="0065184D">
            <w:pPr>
              <w:jc w:val="center"/>
              <w:rPr>
                <w:b/>
                <w:bCs/>
                <w:sz w:val="24"/>
                <w:szCs w:val="24"/>
              </w:rPr>
            </w:pPr>
            <w:r w:rsidRPr="008E63BB">
              <w:rPr>
                <w:b/>
                <w:bCs/>
                <w:sz w:val="24"/>
                <w:szCs w:val="24"/>
              </w:rPr>
              <w:t>Ghi chú</w:t>
            </w:r>
          </w:p>
        </w:tc>
      </w:tr>
      <w:tr w:rsidR="008D5BFE" w:rsidRPr="008E63BB" w14:paraId="519B29B2" w14:textId="77777777" w:rsidTr="00282C31">
        <w:trPr>
          <w:trHeight w:val="467"/>
          <w:jc w:val="center"/>
        </w:trPr>
        <w:tc>
          <w:tcPr>
            <w:tcW w:w="708" w:type="dxa"/>
            <w:shd w:val="clear" w:color="auto" w:fill="auto"/>
            <w:noWrap/>
            <w:vAlign w:val="bottom"/>
          </w:tcPr>
          <w:p w14:paraId="519B29AC" w14:textId="77777777" w:rsidR="002302CA" w:rsidRPr="008E63BB" w:rsidRDefault="002302CA" w:rsidP="0065184D">
            <w:pPr>
              <w:jc w:val="center"/>
              <w:rPr>
                <w:sz w:val="24"/>
                <w:szCs w:val="24"/>
              </w:rPr>
            </w:pPr>
            <w:r w:rsidRPr="008E63BB">
              <w:rPr>
                <w:sz w:val="24"/>
                <w:szCs w:val="24"/>
              </w:rPr>
              <w:t>1</w:t>
            </w:r>
          </w:p>
        </w:tc>
        <w:tc>
          <w:tcPr>
            <w:tcW w:w="3621" w:type="dxa"/>
            <w:shd w:val="clear" w:color="auto" w:fill="auto"/>
            <w:noWrap/>
            <w:vAlign w:val="bottom"/>
          </w:tcPr>
          <w:p w14:paraId="519B29AD" w14:textId="77777777" w:rsidR="002302CA" w:rsidRPr="008E63BB" w:rsidRDefault="002302CA" w:rsidP="0065184D">
            <w:pPr>
              <w:rPr>
                <w:sz w:val="24"/>
                <w:szCs w:val="24"/>
              </w:rPr>
            </w:pPr>
            <w:r w:rsidRPr="008E63BB">
              <w:rPr>
                <w:sz w:val="24"/>
                <w:szCs w:val="24"/>
              </w:rPr>
              <w:t>Trần Đăng Ninh (khu chợ 5 tầng)</w:t>
            </w:r>
          </w:p>
        </w:tc>
        <w:tc>
          <w:tcPr>
            <w:tcW w:w="1260" w:type="dxa"/>
          </w:tcPr>
          <w:p w14:paraId="519B29AE" w14:textId="77777777" w:rsidR="002302CA" w:rsidRPr="008E63BB" w:rsidRDefault="002302CA" w:rsidP="0065184D">
            <w:pPr>
              <w:jc w:val="center"/>
              <w:rPr>
                <w:sz w:val="24"/>
                <w:szCs w:val="24"/>
              </w:rPr>
            </w:pPr>
            <w:r w:rsidRPr="008E63BB">
              <w:rPr>
                <w:sz w:val="24"/>
                <w:szCs w:val="24"/>
              </w:rPr>
              <w:t>800</w:t>
            </w:r>
          </w:p>
        </w:tc>
        <w:tc>
          <w:tcPr>
            <w:tcW w:w="1150" w:type="dxa"/>
            <w:shd w:val="clear" w:color="auto" w:fill="auto"/>
            <w:noWrap/>
            <w:vAlign w:val="bottom"/>
          </w:tcPr>
          <w:p w14:paraId="519B29AF" w14:textId="77777777" w:rsidR="002302CA" w:rsidRPr="008E63BB" w:rsidRDefault="002302CA" w:rsidP="0065184D">
            <w:pPr>
              <w:jc w:val="center"/>
              <w:rPr>
                <w:sz w:val="24"/>
                <w:szCs w:val="24"/>
              </w:rPr>
            </w:pPr>
            <w:r w:rsidRPr="008E63BB">
              <w:rPr>
                <w:sz w:val="24"/>
                <w:szCs w:val="24"/>
              </w:rPr>
              <w:t>20-30</w:t>
            </w:r>
          </w:p>
        </w:tc>
        <w:tc>
          <w:tcPr>
            <w:tcW w:w="1266" w:type="dxa"/>
            <w:shd w:val="clear" w:color="auto" w:fill="auto"/>
            <w:noWrap/>
            <w:vAlign w:val="bottom"/>
          </w:tcPr>
          <w:p w14:paraId="519B29B0" w14:textId="77777777" w:rsidR="002302CA" w:rsidRPr="008E63BB" w:rsidRDefault="002302CA" w:rsidP="0065184D">
            <w:pPr>
              <w:jc w:val="center"/>
              <w:rPr>
                <w:sz w:val="24"/>
                <w:szCs w:val="24"/>
              </w:rPr>
            </w:pPr>
            <w:r w:rsidRPr="008E63BB">
              <w:rPr>
                <w:sz w:val="24"/>
                <w:szCs w:val="24"/>
              </w:rPr>
              <w:t>1,5÷2 h</w:t>
            </w:r>
          </w:p>
        </w:tc>
        <w:tc>
          <w:tcPr>
            <w:tcW w:w="1434" w:type="dxa"/>
            <w:shd w:val="clear" w:color="auto" w:fill="auto"/>
            <w:noWrap/>
            <w:vAlign w:val="bottom"/>
          </w:tcPr>
          <w:p w14:paraId="519B29B1" w14:textId="77777777" w:rsidR="002302CA" w:rsidRPr="008E63BB" w:rsidRDefault="002302CA" w:rsidP="0065184D">
            <w:pPr>
              <w:rPr>
                <w:sz w:val="24"/>
                <w:szCs w:val="24"/>
              </w:rPr>
            </w:pPr>
            <w:r w:rsidRPr="008E63BB">
              <w:rPr>
                <w:sz w:val="24"/>
                <w:szCs w:val="24"/>
              </w:rPr>
              <w:t>Lượng mưa &gt; 50 mm</w:t>
            </w:r>
          </w:p>
        </w:tc>
      </w:tr>
      <w:tr w:rsidR="008D5BFE" w:rsidRPr="008E63BB" w14:paraId="519B29B9" w14:textId="77777777" w:rsidTr="00282C31">
        <w:trPr>
          <w:trHeight w:val="440"/>
          <w:jc w:val="center"/>
        </w:trPr>
        <w:tc>
          <w:tcPr>
            <w:tcW w:w="708" w:type="dxa"/>
            <w:shd w:val="clear" w:color="auto" w:fill="auto"/>
            <w:noWrap/>
            <w:vAlign w:val="bottom"/>
          </w:tcPr>
          <w:p w14:paraId="519B29B3" w14:textId="77777777" w:rsidR="002302CA" w:rsidRPr="008E63BB" w:rsidRDefault="002302CA" w:rsidP="0065184D">
            <w:pPr>
              <w:jc w:val="center"/>
              <w:rPr>
                <w:sz w:val="24"/>
                <w:szCs w:val="24"/>
              </w:rPr>
            </w:pPr>
            <w:r w:rsidRPr="008E63BB">
              <w:rPr>
                <w:sz w:val="24"/>
                <w:szCs w:val="24"/>
              </w:rPr>
              <w:t>3</w:t>
            </w:r>
          </w:p>
        </w:tc>
        <w:tc>
          <w:tcPr>
            <w:tcW w:w="3621" w:type="dxa"/>
            <w:shd w:val="clear" w:color="auto" w:fill="auto"/>
            <w:noWrap/>
            <w:vAlign w:val="bottom"/>
          </w:tcPr>
          <w:p w14:paraId="519B29B4" w14:textId="77777777" w:rsidR="002302CA" w:rsidRPr="008E63BB" w:rsidRDefault="002302CA" w:rsidP="0065184D">
            <w:pPr>
              <w:rPr>
                <w:sz w:val="24"/>
                <w:szCs w:val="24"/>
              </w:rPr>
            </w:pPr>
            <w:r w:rsidRPr="008E63BB">
              <w:rPr>
                <w:sz w:val="24"/>
                <w:szCs w:val="24"/>
              </w:rPr>
              <w:t>Hàn Thuyên (ngã tư giao Hùng Vương)</w:t>
            </w:r>
          </w:p>
        </w:tc>
        <w:tc>
          <w:tcPr>
            <w:tcW w:w="1260" w:type="dxa"/>
          </w:tcPr>
          <w:p w14:paraId="519B29B5" w14:textId="77777777" w:rsidR="002302CA" w:rsidRPr="008E63BB" w:rsidRDefault="002302CA" w:rsidP="0065184D">
            <w:pPr>
              <w:jc w:val="center"/>
              <w:rPr>
                <w:sz w:val="24"/>
                <w:szCs w:val="24"/>
              </w:rPr>
            </w:pPr>
            <w:r w:rsidRPr="008E63BB">
              <w:rPr>
                <w:sz w:val="24"/>
                <w:szCs w:val="24"/>
              </w:rPr>
              <w:t>800</w:t>
            </w:r>
          </w:p>
        </w:tc>
        <w:tc>
          <w:tcPr>
            <w:tcW w:w="1150" w:type="dxa"/>
            <w:shd w:val="clear" w:color="auto" w:fill="auto"/>
            <w:noWrap/>
            <w:vAlign w:val="bottom"/>
          </w:tcPr>
          <w:p w14:paraId="519B29B6" w14:textId="77777777" w:rsidR="002302CA" w:rsidRPr="008E63BB" w:rsidRDefault="002302CA" w:rsidP="0065184D">
            <w:pPr>
              <w:jc w:val="center"/>
              <w:rPr>
                <w:sz w:val="24"/>
                <w:szCs w:val="24"/>
              </w:rPr>
            </w:pPr>
            <w:r w:rsidRPr="008E63BB">
              <w:rPr>
                <w:sz w:val="24"/>
                <w:szCs w:val="24"/>
              </w:rPr>
              <w:t>25-30</w:t>
            </w:r>
          </w:p>
        </w:tc>
        <w:tc>
          <w:tcPr>
            <w:tcW w:w="1266" w:type="dxa"/>
            <w:shd w:val="clear" w:color="auto" w:fill="auto"/>
            <w:noWrap/>
            <w:vAlign w:val="bottom"/>
          </w:tcPr>
          <w:p w14:paraId="519B29B7" w14:textId="77777777" w:rsidR="002302CA" w:rsidRPr="008E63BB" w:rsidRDefault="002302CA" w:rsidP="0065184D">
            <w:pPr>
              <w:jc w:val="center"/>
              <w:rPr>
                <w:sz w:val="24"/>
                <w:szCs w:val="24"/>
              </w:rPr>
            </w:pPr>
            <w:r w:rsidRPr="008E63BB">
              <w:rPr>
                <w:sz w:val="24"/>
                <w:szCs w:val="24"/>
              </w:rPr>
              <w:t>2÷2,5 h</w:t>
            </w:r>
          </w:p>
        </w:tc>
        <w:tc>
          <w:tcPr>
            <w:tcW w:w="1434" w:type="dxa"/>
            <w:shd w:val="clear" w:color="auto" w:fill="auto"/>
            <w:noWrap/>
            <w:vAlign w:val="bottom"/>
          </w:tcPr>
          <w:p w14:paraId="519B29B8" w14:textId="77777777" w:rsidR="002302CA" w:rsidRPr="008E63BB" w:rsidRDefault="002302CA" w:rsidP="0065184D">
            <w:pPr>
              <w:rPr>
                <w:sz w:val="24"/>
                <w:szCs w:val="24"/>
              </w:rPr>
            </w:pPr>
            <w:r w:rsidRPr="008E63BB">
              <w:rPr>
                <w:sz w:val="24"/>
                <w:szCs w:val="24"/>
              </w:rPr>
              <w:t> </w:t>
            </w:r>
          </w:p>
        </w:tc>
      </w:tr>
      <w:tr w:rsidR="008D5BFE" w:rsidRPr="008E63BB" w14:paraId="519B29C0" w14:textId="77777777" w:rsidTr="00282C31">
        <w:trPr>
          <w:trHeight w:val="593"/>
          <w:jc w:val="center"/>
        </w:trPr>
        <w:tc>
          <w:tcPr>
            <w:tcW w:w="708" w:type="dxa"/>
            <w:shd w:val="clear" w:color="auto" w:fill="auto"/>
            <w:noWrap/>
            <w:vAlign w:val="bottom"/>
          </w:tcPr>
          <w:p w14:paraId="519B29BA" w14:textId="77777777" w:rsidR="002302CA" w:rsidRPr="008E63BB" w:rsidRDefault="002302CA" w:rsidP="0065184D">
            <w:pPr>
              <w:jc w:val="center"/>
              <w:rPr>
                <w:sz w:val="24"/>
                <w:szCs w:val="24"/>
              </w:rPr>
            </w:pPr>
            <w:r w:rsidRPr="008E63BB">
              <w:rPr>
                <w:sz w:val="24"/>
                <w:szCs w:val="24"/>
              </w:rPr>
              <w:t>4</w:t>
            </w:r>
          </w:p>
        </w:tc>
        <w:tc>
          <w:tcPr>
            <w:tcW w:w="3621" w:type="dxa"/>
            <w:shd w:val="clear" w:color="auto" w:fill="auto"/>
            <w:noWrap/>
            <w:vAlign w:val="bottom"/>
          </w:tcPr>
          <w:p w14:paraId="519B29BB" w14:textId="77777777" w:rsidR="002302CA" w:rsidRPr="008E63BB" w:rsidRDefault="002302CA" w:rsidP="0065184D">
            <w:pPr>
              <w:rPr>
                <w:sz w:val="24"/>
                <w:szCs w:val="24"/>
              </w:rPr>
            </w:pPr>
            <w:r w:rsidRPr="008E63BB">
              <w:rPr>
                <w:sz w:val="24"/>
                <w:szCs w:val="24"/>
              </w:rPr>
              <w:t>Hàng Thao, Máy Tơ, Tô Hiệu, chợ Cửa Trường</w:t>
            </w:r>
          </w:p>
        </w:tc>
        <w:tc>
          <w:tcPr>
            <w:tcW w:w="1260" w:type="dxa"/>
          </w:tcPr>
          <w:p w14:paraId="519B29BC" w14:textId="77777777" w:rsidR="002302CA" w:rsidRPr="008E63BB" w:rsidRDefault="002302CA" w:rsidP="0065184D">
            <w:pPr>
              <w:jc w:val="center"/>
              <w:rPr>
                <w:sz w:val="24"/>
                <w:szCs w:val="24"/>
              </w:rPr>
            </w:pPr>
            <w:r w:rsidRPr="008E63BB">
              <w:rPr>
                <w:sz w:val="24"/>
                <w:szCs w:val="24"/>
              </w:rPr>
              <w:t>150.000</w:t>
            </w:r>
          </w:p>
        </w:tc>
        <w:tc>
          <w:tcPr>
            <w:tcW w:w="1150" w:type="dxa"/>
            <w:shd w:val="clear" w:color="auto" w:fill="auto"/>
            <w:noWrap/>
            <w:vAlign w:val="bottom"/>
          </w:tcPr>
          <w:p w14:paraId="519B29BD" w14:textId="77777777" w:rsidR="002302CA" w:rsidRPr="008E63BB" w:rsidRDefault="002302CA" w:rsidP="0065184D">
            <w:pPr>
              <w:jc w:val="center"/>
              <w:rPr>
                <w:sz w:val="24"/>
                <w:szCs w:val="24"/>
              </w:rPr>
            </w:pPr>
            <w:r w:rsidRPr="008E63BB">
              <w:rPr>
                <w:sz w:val="24"/>
                <w:szCs w:val="24"/>
              </w:rPr>
              <w:t>30-40</w:t>
            </w:r>
          </w:p>
        </w:tc>
        <w:tc>
          <w:tcPr>
            <w:tcW w:w="1266" w:type="dxa"/>
            <w:shd w:val="clear" w:color="auto" w:fill="auto"/>
            <w:noWrap/>
            <w:vAlign w:val="bottom"/>
          </w:tcPr>
          <w:p w14:paraId="519B29BE" w14:textId="77777777" w:rsidR="002302CA" w:rsidRPr="008E63BB" w:rsidRDefault="002302CA" w:rsidP="0065184D">
            <w:pPr>
              <w:jc w:val="center"/>
              <w:rPr>
                <w:sz w:val="24"/>
                <w:szCs w:val="24"/>
              </w:rPr>
            </w:pPr>
            <w:r w:rsidRPr="008E63BB">
              <w:rPr>
                <w:sz w:val="24"/>
                <w:szCs w:val="24"/>
              </w:rPr>
              <w:t>2,5÷3,5 h</w:t>
            </w:r>
          </w:p>
        </w:tc>
        <w:tc>
          <w:tcPr>
            <w:tcW w:w="1434" w:type="dxa"/>
            <w:shd w:val="clear" w:color="auto" w:fill="auto"/>
            <w:noWrap/>
            <w:vAlign w:val="bottom"/>
          </w:tcPr>
          <w:p w14:paraId="519B29BF" w14:textId="77777777" w:rsidR="002302CA" w:rsidRPr="008E63BB" w:rsidRDefault="002302CA" w:rsidP="0065184D">
            <w:pPr>
              <w:rPr>
                <w:sz w:val="24"/>
                <w:szCs w:val="24"/>
              </w:rPr>
            </w:pPr>
            <w:r w:rsidRPr="008E63BB">
              <w:rPr>
                <w:sz w:val="24"/>
                <w:szCs w:val="24"/>
              </w:rPr>
              <w:t> </w:t>
            </w:r>
          </w:p>
        </w:tc>
      </w:tr>
      <w:tr w:rsidR="008D5BFE" w:rsidRPr="008E63BB" w14:paraId="519B29C7" w14:textId="77777777" w:rsidTr="00282C31">
        <w:trPr>
          <w:trHeight w:val="323"/>
          <w:jc w:val="center"/>
        </w:trPr>
        <w:tc>
          <w:tcPr>
            <w:tcW w:w="708" w:type="dxa"/>
            <w:shd w:val="clear" w:color="auto" w:fill="auto"/>
            <w:noWrap/>
            <w:vAlign w:val="bottom"/>
          </w:tcPr>
          <w:p w14:paraId="519B29C1" w14:textId="77777777" w:rsidR="002302CA" w:rsidRPr="008E63BB" w:rsidRDefault="002302CA" w:rsidP="0065184D">
            <w:pPr>
              <w:jc w:val="center"/>
              <w:rPr>
                <w:sz w:val="24"/>
                <w:szCs w:val="24"/>
              </w:rPr>
            </w:pPr>
            <w:r w:rsidRPr="008E63BB">
              <w:rPr>
                <w:sz w:val="24"/>
                <w:szCs w:val="24"/>
              </w:rPr>
              <w:t>5</w:t>
            </w:r>
          </w:p>
        </w:tc>
        <w:tc>
          <w:tcPr>
            <w:tcW w:w="3621" w:type="dxa"/>
            <w:shd w:val="clear" w:color="auto" w:fill="auto"/>
            <w:noWrap/>
            <w:vAlign w:val="bottom"/>
          </w:tcPr>
          <w:p w14:paraId="519B29C2" w14:textId="77777777" w:rsidR="002302CA" w:rsidRPr="008E63BB" w:rsidRDefault="002302CA" w:rsidP="0065184D">
            <w:pPr>
              <w:rPr>
                <w:sz w:val="24"/>
                <w:szCs w:val="24"/>
              </w:rPr>
            </w:pPr>
            <w:r w:rsidRPr="008E63BB">
              <w:rPr>
                <w:sz w:val="24"/>
                <w:szCs w:val="24"/>
              </w:rPr>
              <w:t>Văn Cao (chợ Năng Tĩnh)</w:t>
            </w:r>
          </w:p>
        </w:tc>
        <w:tc>
          <w:tcPr>
            <w:tcW w:w="1260" w:type="dxa"/>
          </w:tcPr>
          <w:p w14:paraId="519B29C3" w14:textId="77777777" w:rsidR="002302CA" w:rsidRPr="008E63BB" w:rsidRDefault="002302CA" w:rsidP="0065184D">
            <w:pPr>
              <w:jc w:val="center"/>
              <w:rPr>
                <w:sz w:val="24"/>
                <w:szCs w:val="24"/>
              </w:rPr>
            </w:pPr>
            <w:r w:rsidRPr="008E63BB">
              <w:rPr>
                <w:sz w:val="24"/>
                <w:szCs w:val="24"/>
              </w:rPr>
              <w:t>1.600</w:t>
            </w:r>
          </w:p>
        </w:tc>
        <w:tc>
          <w:tcPr>
            <w:tcW w:w="1150" w:type="dxa"/>
            <w:shd w:val="clear" w:color="auto" w:fill="auto"/>
            <w:noWrap/>
            <w:vAlign w:val="bottom"/>
          </w:tcPr>
          <w:p w14:paraId="519B29C4" w14:textId="77777777" w:rsidR="002302CA" w:rsidRPr="008E63BB" w:rsidRDefault="002302CA" w:rsidP="0065184D">
            <w:pPr>
              <w:jc w:val="center"/>
              <w:rPr>
                <w:sz w:val="24"/>
                <w:szCs w:val="24"/>
              </w:rPr>
            </w:pPr>
            <w:r w:rsidRPr="008E63BB">
              <w:rPr>
                <w:sz w:val="24"/>
                <w:szCs w:val="24"/>
              </w:rPr>
              <w:t>30-35</w:t>
            </w:r>
          </w:p>
        </w:tc>
        <w:tc>
          <w:tcPr>
            <w:tcW w:w="1266" w:type="dxa"/>
            <w:shd w:val="clear" w:color="auto" w:fill="auto"/>
            <w:noWrap/>
            <w:vAlign w:val="bottom"/>
          </w:tcPr>
          <w:p w14:paraId="519B29C5" w14:textId="77777777" w:rsidR="002302CA" w:rsidRPr="008E63BB" w:rsidRDefault="002302CA" w:rsidP="0065184D">
            <w:pPr>
              <w:jc w:val="center"/>
              <w:rPr>
                <w:sz w:val="24"/>
                <w:szCs w:val="24"/>
              </w:rPr>
            </w:pPr>
            <w:r w:rsidRPr="008E63BB">
              <w:rPr>
                <w:sz w:val="24"/>
                <w:szCs w:val="24"/>
              </w:rPr>
              <w:t>2÷3 h</w:t>
            </w:r>
          </w:p>
        </w:tc>
        <w:tc>
          <w:tcPr>
            <w:tcW w:w="1434" w:type="dxa"/>
            <w:shd w:val="clear" w:color="auto" w:fill="auto"/>
            <w:noWrap/>
            <w:vAlign w:val="bottom"/>
          </w:tcPr>
          <w:p w14:paraId="519B29C6" w14:textId="77777777" w:rsidR="002302CA" w:rsidRPr="008E63BB" w:rsidRDefault="002302CA" w:rsidP="0065184D">
            <w:pPr>
              <w:rPr>
                <w:sz w:val="24"/>
                <w:szCs w:val="24"/>
              </w:rPr>
            </w:pPr>
            <w:r w:rsidRPr="008E63BB">
              <w:rPr>
                <w:sz w:val="24"/>
                <w:szCs w:val="24"/>
              </w:rPr>
              <w:t> </w:t>
            </w:r>
          </w:p>
        </w:tc>
      </w:tr>
      <w:tr w:rsidR="008D5BFE" w:rsidRPr="008E63BB" w14:paraId="519B29CE" w14:textId="77777777" w:rsidTr="00282C31">
        <w:trPr>
          <w:trHeight w:val="575"/>
          <w:jc w:val="center"/>
        </w:trPr>
        <w:tc>
          <w:tcPr>
            <w:tcW w:w="708" w:type="dxa"/>
            <w:shd w:val="clear" w:color="auto" w:fill="auto"/>
            <w:noWrap/>
            <w:vAlign w:val="bottom"/>
          </w:tcPr>
          <w:p w14:paraId="519B29C8" w14:textId="77777777" w:rsidR="002302CA" w:rsidRPr="008E63BB" w:rsidRDefault="002302CA" w:rsidP="0065184D">
            <w:pPr>
              <w:jc w:val="center"/>
              <w:rPr>
                <w:sz w:val="24"/>
                <w:szCs w:val="24"/>
              </w:rPr>
            </w:pPr>
            <w:r w:rsidRPr="008E63BB">
              <w:rPr>
                <w:sz w:val="24"/>
                <w:szCs w:val="24"/>
              </w:rPr>
              <w:t>6</w:t>
            </w:r>
          </w:p>
        </w:tc>
        <w:tc>
          <w:tcPr>
            <w:tcW w:w="3621" w:type="dxa"/>
            <w:shd w:val="clear" w:color="auto" w:fill="auto"/>
            <w:noWrap/>
            <w:vAlign w:val="bottom"/>
          </w:tcPr>
          <w:p w14:paraId="519B29C9" w14:textId="77777777" w:rsidR="002302CA" w:rsidRPr="008E63BB" w:rsidRDefault="002302CA" w:rsidP="0065184D">
            <w:pPr>
              <w:rPr>
                <w:sz w:val="24"/>
                <w:szCs w:val="24"/>
              </w:rPr>
            </w:pPr>
            <w:r w:rsidRPr="008E63BB">
              <w:rPr>
                <w:sz w:val="24"/>
                <w:szCs w:val="24"/>
              </w:rPr>
              <w:t>Hai Bà Trưng - Hàng Cau -Phan Đình Phùng</w:t>
            </w:r>
          </w:p>
        </w:tc>
        <w:tc>
          <w:tcPr>
            <w:tcW w:w="1260" w:type="dxa"/>
          </w:tcPr>
          <w:p w14:paraId="519B29CA" w14:textId="77777777" w:rsidR="002302CA" w:rsidRPr="008E63BB" w:rsidRDefault="002302CA" w:rsidP="0065184D">
            <w:pPr>
              <w:jc w:val="center"/>
              <w:rPr>
                <w:sz w:val="24"/>
                <w:szCs w:val="24"/>
              </w:rPr>
            </w:pPr>
            <w:r w:rsidRPr="008E63BB">
              <w:rPr>
                <w:sz w:val="24"/>
                <w:szCs w:val="24"/>
              </w:rPr>
              <w:t>500</w:t>
            </w:r>
          </w:p>
        </w:tc>
        <w:tc>
          <w:tcPr>
            <w:tcW w:w="1150" w:type="dxa"/>
            <w:shd w:val="clear" w:color="auto" w:fill="auto"/>
            <w:noWrap/>
            <w:vAlign w:val="bottom"/>
          </w:tcPr>
          <w:p w14:paraId="519B29CB" w14:textId="77777777" w:rsidR="002302CA" w:rsidRPr="008E63BB" w:rsidRDefault="002302CA" w:rsidP="0065184D">
            <w:pPr>
              <w:jc w:val="center"/>
              <w:rPr>
                <w:sz w:val="24"/>
                <w:szCs w:val="24"/>
              </w:rPr>
            </w:pPr>
            <w:r w:rsidRPr="008E63BB">
              <w:rPr>
                <w:sz w:val="24"/>
                <w:szCs w:val="24"/>
              </w:rPr>
              <w:t>30-40</w:t>
            </w:r>
          </w:p>
        </w:tc>
        <w:tc>
          <w:tcPr>
            <w:tcW w:w="1266" w:type="dxa"/>
            <w:shd w:val="clear" w:color="auto" w:fill="auto"/>
            <w:noWrap/>
            <w:vAlign w:val="bottom"/>
          </w:tcPr>
          <w:p w14:paraId="519B29CC" w14:textId="77777777" w:rsidR="002302CA" w:rsidRPr="008E63BB" w:rsidRDefault="002302CA" w:rsidP="0065184D">
            <w:pPr>
              <w:jc w:val="center"/>
              <w:rPr>
                <w:sz w:val="24"/>
                <w:szCs w:val="24"/>
              </w:rPr>
            </w:pPr>
            <w:r w:rsidRPr="008E63BB">
              <w:rPr>
                <w:sz w:val="24"/>
                <w:szCs w:val="24"/>
              </w:rPr>
              <w:t>2,5÷3 h</w:t>
            </w:r>
          </w:p>
        </w:tc>
        <w:tc>
          <w:tcPr>
            <w:tcW w:w="1434" w:type="dxa"/>
            <w:shd w:val="clear" w:color="auto" w:fill="auto"/>
            <w:noWrap/>
            <w:vAlign w:val="bottom"/>
          </w:tcPr>
          <w:p w14:paraId="519B29CD" w14:textId="77777777" w:rsidR="002302CA" w:rsidRPr="008E63BB" w:rsidRDefault="002302CA" w:rsidP="0065184D">
            <w:pPr>
              <w:rPr>
                <w:sz w:val="24"/>
                <w:szCs w:val="24"/>
              </w:rPr>
            </w:pPr>
            <w:r w:rsidRPr="008E63BB">
              <w:rPr>
                <w:sz w:val="24"/>
                <w:szCs w:val="24"/>
              </w:rPr>
              <w:t> </w:t>
            </w:r>
          </w:p>
        </w:tc>
      </w:tr>
      <w:tr w:rsidR="008D5BFE" w:rsidRPr="008E63BB" w14:paraId="519B29D5" w14:textId="77777777" w:rsidTr="00282C31">
        <w:trPr>
          <w:trHeight w:val="395"/>
          <w:jc w:val="center"/>
        </w:trPr>
        <w:tc>
          <w:tcPr>
            <w:tcW w:w="708" w:type="dxa"/>
            <w:shd w:val="clear" w:color="auto" w:fill="auto"/>
            <w:noWrap/>
            <w:vAlign w:val="bottom"/>
          </w:tcPr>
          <w:p w14:paraId="519B29CF" w14:textId="77777777" w:rsidR="002302CA" w:rsidRPr="008E63BB" w:rsidRDefault="002302CA" w:rsidP="0065184D">
            <w:pPr>
              <w:jc w:val="center"/>
              <w:rPr>
                <w:sz w:val="24"/>
                <w:szCs w:val="24"/>
              </w:rPr>
            </w:pPr>
            <w:r w:rsidRPr="008E63BB">
              <w:rPr>
                <w:sz w:val="24"/>
                <w:szCs w:val="24"/>
              </w:rPr>
              <w:t>7</w:t>
            </w:r>
          </w:p>
        </w:tc>
        <w:tc>
          <w:tcPr>
            <w:tcW w:w="3621" w:type="dxa"/>
            <w:shd w:val="clear" w:color="auto" w:fill="auto"/>
            <w:noWrap/>
            <w:vAlign w:val="bottom"/>
          </w:tcPr>
          <w:p w14:paraId="519B29D0" w14:textId="77777777" w:rsidR="002302CA" w:rsidRPr="008E63BB" w:rsidRDefault="002302CA" w:rsidP="0065184D">
            <w:pPr>
              <w:rPr>
                <w:sz w:val="24"/>
                <w:szCs w:val="24"/>
              </w:rPr>
            </w:pPr>
            <w:r w:rsidRPr="008E63BB">
              <w:rPr>
                <w:sz w:val="24"/>
                <w:szCs w:val="24"/>
              </w:rPr>
              <w:t>Hàng Cấp (chợ Diên Hồng)</w:t>
            </w:r>
          </w:p>
        </w:tc>
        <w:tc>
          <w:tcPr>
            <w:tcW w:w="1260" w:type="dxa"/>
          </w:tcPr>
          <w:p w14:paraId="519B29D1" w14:textId="77777777" w:rsidR="002302CA" w:rsidRPr="008E63BB" w:rsidRDefault="002302CA" w:rsidP="0065184D">
            <w:pPr>
              <w:jc w:val="center"/>
              <w:rPr>
                <w:sz w:val="24"/>
                <w:szCs w:val="24"/>
              </w:rPr>
            </w:pPr>
            <w:r w:rsidRPr="008E63BB">
              <w:rPr>
                <w:sz w:val="24"/>
                <w:szCs w:val="24"/>
              </w:rPr>
              <w:t>600</w:t>
            </w:r>
          </w:p>
        </w:tc>
        <w:tc>
          <w:tcPr>
            <w:tcW w:w="1150" w:type="dxa"/>
            <w:shd w:val="clear" w:color="auto" w:fill="auto"/>
            <w:noWrap/>
            <w:vAlign w:val="bottom"/>
          </w:tcPr>
          <w:p w14:paraId="519B29D2" w14:textId="77777777" w:rsidR="002302CA" w:rsidRPr="008E63BB" w:rsidRDefault="002302CA" w:rsidP="0065184D">
            <w:pPr>
              <w:jc w:val="center"/>
              <w:rPr>
                <w:sz w:val="24"/>
                <w:szCs w:val="24"/>
              </w:rPr>
            </w:pPr>
            <w:r w:rsidRPr="008E63BB">
              <w:rPr>
                <w:sz w:val="24"/>
                <w:szCs w:val="24"/>
              </w:rPr>
              <w:t>30-40</w:t>
            </w:r>
          </w:p>
        </w:tc>
        <w:tc>
          <w:tcPr>
            <w:tcW w:w="1266" w:type="dxa"/>
            <w:shd w:val="clear" w:color="auto" w:fill="auto"/>
            <w:noWrap/>
            <w:vAlign w:val="bottom"/>
          </w:tcPr>
          <w:p w14:paraId="519B29D3" w14:textId="77777777" w:rsidR="002302CA" w:rsidRPr="008E63BB" w:rsidRDefault="002302CA" w:rsidP="0065184D">
            <w:pPr>
              <w:jc w:val="center"/>
              <w:rPr>
                <w:sz w:val="24"/>
                <w:szCs w:val="24"/>
              </w:rPr>
            </w:pPr>
            <w:r w:rsidRPr="008E63BB">
              <w:rPr>
                <w:sz w:val="24"/>
                <w:szCs w:val="24"/>
              </w:rPr>
              <w:t>2÷3 h</w:t>
            </w:r>
          </w:p>
        </w:tc>
        <w:tc>
          <w:tcPr>
            <w:tcW w:w="1434" w:type="dxa"/>
            <w:shd w:val="clear" w:color="auto" w:fill="auto"/>
            <w:noWrap/>
            <w:vAlign w:val="bottom"/>
          </w:tcPr>
          <w:p w14:paraId="519B29D4" w14:textId="77777777" w:rsidR="002302CA" w:rsidRPr="008E63BB" w:rsidRDefault="002302CA" w:rsidP="0065184D">
            <w:pPr>
              <w:rPr>
                <w:sz w:val="24"/>
                <w:szCs w:val="24"/>
              </w:rPr>
            </w:pPr>
            <w:r w:rsidRPr="008E63BB">
              <w:rPr>
                <w:sz w:val="24"/>
                <w:szCs w:val="24"/>
              </w:rPr>
              <w:t> </w:t>
            </w:r>
          </w:p>
        </w:tc>
      </w:tr>
      <w:tr w:rsidR="008D5BFE" w:rsidRPr="008E63BB" w14:paraId="519B29DC" w14:textId="77777777" w:rsidTr="00282C31">
        <w:trPr>
          <w:trHeight w:val="341"/>
          <w:jc w:val="center"/>
        </w:trPr>
        <w:tc>
          <w:tcPr>
            <w:tcW w:w="708" w:type="dxa"/>
            <w:shd w:val="clear" w:color="auto" w:fill="auto"/>
            <w:noWrap/>
            <w:vAlign w:val="bottom"/>
          </w:tcPr>
          <w:p w14:paraId="519B29D6" w14:textId="77777777" w:rsidR="002302CA" w:rsidRPr="008E63BB" w:rsidRDefault="002302CA" w:rsidP="0065184D">
            <w:pPr>
              <w:jc w:val="center"/>
              <w:rPr>
                <w:sz w:val="24"/>
                <w:szCs w:val="24"/>
              </w:rPr>
            </w:pPr>
            <w:r w:rsidRPr="008E63BB">
              <w:rPr>
                <w:sz w:val="24"/>
                <w:szCs w:val="24"/>
              </w:rPr>
              <w:t>8</w:t>
            </w:r>
          </w:p>
        </w:tc>
        <w:tc>
          <w:tcPr>
            <w:tcW w:w="3621" w:type="dxa"/>
            <w:shd w:val="clear" w:color="auto" w:fill="auto"/>
            <w:noWrap/>
            <w:vAlign w:val="bottom"/>
          </w:tcPr>
          <w:p w14:paraId="519B29D7" w14:textId="77777777" w:rsidR="002302CA" w:rsidRPr="008E63BB" w:rsidRDefault="002302CA" w:rsidP="0065184D">
            <w:pPr>
              <w:rPr>
                <w:sz w:val="24"/>
                <w:szCs w:val="24"/>
              </w:rPr>
            </w:pPr>
            <w:r w:rsidRPr="008E63BB">
              <w:rPr>
                <w:sz w:val="24"/>
                <w:szCs w:val="24"/>
              </w:rPr>
              <w:t>Nguyễn Du (chợ Diên Hồng)</w:t>
            </w:r>
          </w:p>
        </w:tc>
        <w:tc>
          <w:tcPr>
            <w:tcW w:w="1260" w:type="dxa"/>
          </w:tcPr>
          <w:p w14:paraId="519B29D8" w14:textId="77777777" w:rsidR="002302CA" w:rsidRPr="008E63BB" w:rsidRDefault="002302CA" w:rsidP="0065184D">
            <w:pPr>
              <w:jc w:val="center"/>
              <w:rPr>
                <w:sz w:val="24"/>
                <w:szCs w:val="24"/>
              </w:rPr>
            </w:pPr>
            <w:r w:rsidRPr="008E63BB">
              <w:rPr>
                <w:sz w:val="24"/>
                <w:szCs w:val="24"/>
              </w:rPr>
              <w:t>500</w:t>
            </w:r>
          </w:p>
        </w:tc>
        <w:tc>
          <w:tcPr>
            <w:tcW w:w="1150" w:type="dxa"/>
            <w:shd w:val="clear" w:color="auto" w:fill="auto"/>
            <w:noWrap/>
            <w:vAlign w:val="bottom"/>
          </w:tcPr>
          <w:p w14:paraId="519B29D9" w14:textId="77777777" w:rsidR="002302CA" w:rsidRPr="008E63BB" w:rsidRDefault="002302CA" w:rsidP="0065184D">
            <w:pPr>
              <w:jc w:val="center"/>
              <w:rPr>
                <w:sz w:val="24"/>
                <w:szCs w:val="24"/>
              </w:rPr>
            </w:pPr>
            <w:r w:rsidRPr="008E63BB">
              <w:rPr>
                <w:sz w:val="24"/>
                <w:szCs w:val="24"/>
              </w:rPr>
              <w:t>20-30</w:t>
            </w:r>
          </w:p>
        </w:tc>
        <w:tc>
          <w:tcPr>
            <w:tcW w:w="1266" w:type="dxa"/>
            <w:shd w:val="clear" w:color="auto" w:fill="auto"/>
            <w:noWrap/>
            <w:vAlign w:val="bottom"/>
          </w:tcPr>
          <w:p w14:paraId="519B29DA" w14:textId="77777777" w:rsidR="002302CA" w:rsidRPr="008E63BB" w:rsidRDefault="002302CA" w:rsidP="0065184D">
            <w:pPr>
              <w:jc w:val="center"/>
              <w:rPr>
                <w:sz w:val="24"/>
                <w:szCs w:val="24"/>
              </w:rPr>
            </w:pPr>
            <w:r w:rsidRPr="008E63BB">
              <w:rPr>
                <w:sz w:val="24"/>
                <w:szCs w:val="24"/>
              </w:rPr>
              <w:t>2÷2,5 h</w:t>
            </w:r>
          </w:p>
        </w:tc>
        <w:tc>
          <w:tcPr>
            <w:tcW w:w="1434" w:type="dxa"/>
            <w:shd w:val="clear" w:color="auto" w:fill="auto"/>
            <w:noWrap/>
            <w:vAlign w:val="bottom"/>
          </w:tcPr>
          <w:p w14:paraId="519B29DB" w14:textId="77777777" w:rsidR="002302CA" w:rsidRPr="008E63BB" w:rsidRDefault="002302CA" w:rsidP="0065184D">
            <w:pPr>
              <w:rPr>
                <w:sz w:val="24"/>
                <w:szCs w:val="24"/>
              </w:rPr>
            </w:pPr>
            <w:r w:rsidRPr="008E63BB">
              <w:rPr>
                <w:sz w:val="24"/>
                <w:szCs w:val="24"/>
              </w:rPr>
              <w:t> </w:t>
            </w:r>
          </w:p>
        </w:tc>
      </w:tr>
      <w:tr w:rsidR="008D5BFE" w:rsidRPr="008E63BB" w14:paraId="519B29E3" w14:textId="77777777" w:rsidTr="00282C31">
        <w:trPr>
          <w:trHeight w:val="350"/>
          <w:jc w:val="center"/>
        </w:trPr>
        <w:tc>
          <w:tcPr>
            <w:tcW w:w="708" w:type="dxa"/>
            <w:shd w:val="clear" w:color="auto" w:fill="auto"/>
            <w:noWrap/>
            <w:vAlign w:val="bottom"/>
          </w:tcPr>
          <w:p w14:paraId="519B29DD" w14:textId="77777777" w:rsidR="002302CA" w:rsidRPr="008E63BB" w:rsidRDefault="002302CA" w:rsidP="0065184D">
            <w:pPr>
              <w:jc w:val="center"/>
              <w:rPr>
                <w:sz w:val="24"/>
                <w:szCs w:val="24"/>
              </w:rPr>
            </w:pPr>
            <w:r w:rsidRPr="008E63BB">
              <w:rPr>
                <w:sz w:val="24"/>
                <w:szCs w:val="24"/>
              </w:rPr>
              <w:t>9</w:t>
            </w:r>
          </w:p>
        </w:tc>
        <w:tc>
          <w:tcPr>
            <w:tcW w:w="3621" w:type="dxa"/>
            <w:shd w:val="clear" w:color="auto" w:fill="auto"/>
            <w:noWrap/>
            <w:vAlign w:val="bottom"/>
          </w:tcPr>
          <w:p w14:paraId="519B29DE" w14:textId="77777777" w:rsidR="002302CA" w:rsidRPr="008E63BB" w:rsidRDefault="002302CA" w:rsidP="0065184D">
            <w:pPr>
              <w:rPr>
                <w:sz w:val="24"/>
                <w:szCs w:val="24"/>
              </w:rPr>
            </w:pPr>
            <w:r w:rsidRPr="008E63BB">
              <w:rPr>
                <w:sz w:val="24"/>
                <w:szCs w:val="24"/>
              </w:rPr>
              <w:t>Quang Trung (chợ Diên Hồng)</w:t>
            </w:r>
          </w:p>
        </w:tc>
        <w:tc>
          <w:tcPr>
            <w:tcW w:w="1260" w:type="dxa"/>
          </w:tcPr>
          <w:p w14:paraId="519B29DF" w14:textId="77777777" w:rsidR="002302CA" w:rsidRPr="008E63BB" w:rsidRDefault="002302CA" w:rsidP="0065184D">
            <w:pPr>
              <w:jc w:val="center"/>
              <w:rPr>
                <w:sz w:val="24"/>
                <w:szCs w:val="24"/>
              </w:rPr>
            </w:pPr>
            <w:r w:rsidRPr="008E63BB">
              <w:rPr>
                <w:sz w:val="24"/>
                <w:szCs w:val="24"/>
              </w:rPr>
              <w:t>700</w:t>
            </w:r>
          </w:p>
        </w:tc>
        <w:tc>
          <w:tcPr>
            <w:tcW w:w="1150" w:type="dxa"/>
            <w:shd w:val="clear" w:color="auto" w:fill="auto"/>
            <w:noWrap/>
            <w:vAlign w:val="bottom"/>
          </w:tcPr>
          <w:p w14:paraId="519B29E0" w14:textId="77777777" w:rsidR="002302CA" w:rsidRPr="008E63BB" w:rsidRDefault="002302CA" w:rsidP="0065184D">
            <w:pPr>
              <w:jc w:val="center"/>
              <w:rPr>
                <w:sz w:val="24"/>
                <w:szCs w:val="24"/>
              </w:rPr>
            </w:pPr>
            <w:r w:rsidRPr="008E63BB">
              <w:rPr>
                <w:sz w:val="24"/>
                <w:szCs w:val="24"/>
              </w:rPr>
              <w:t>25-30</w:t>
            </w:r>
          </w:p>
        </w:tc>
        <w:tc>
          <w:tcPr>
            <w:tcW w:w="1266" w:type="dxa"/>
            <w:shd w:val="clear" w:color="auto" w:fill="auto"/>
            <w:noWrap/>
            <w:vAlign w:val="bottom"/>
          </w:tcPr>
          <w:p w14:paraId="519B29E1" w14:textId="77777777" w:rsidR="002302CA" w:rsidRPr="008E63BB" w:rsidRDefault="002302CA" w:rsidP="0065184D">
            <w:pPr>
              <w:jc w:val="center"/>
              <w:rPr>
                <w:sz w:val="24"/>
                <w:szCs w:val="24"/>
              </w:rPr>
            </w:pPr>
            <w:r w:rsidRPr="008E63BB">
              <w:rPr>
                <w:sz w:val="24"/>
                <w:szCs w:val="24"/>
              </w:rPr>
              <w:t>2÷3 h</w:t>
            </w:r>
          </w:p>
        </w:tc>
        <w:tc>
          <w:tcPr>
            <w:tcW w:w="1434" w:type="dxa"/>
            <w:shd w:val="clear" w:color="auto" w:fill="auto"/>
            <w:noWrap/>
            <w:vAlign w:val="bottom"/>
          </w:tcPr>
          <w:p w14:paraId="519B29E2" w14:textId="77777777" w:rsidR="002302CA" w:rsidRPr="008E63BB" w:rsidRDefault="002302CA" w:rsidP="0065184D">
            <w:pPr>
              <w:rPr>
                <w:sz w:val="24"/>
                <w:szCs w:val="24"/>
              </w:rPr>
            </w:pPr>
            <w:r w:rsidRPr="008E63BB">
              <w:rPr>
                <w:sz w:val="24"/>
                <w:szCs w:val="24"/>
              </w:rPr>
              <w:t> </w:t>
            </w:r>
          </w:p>
        </w:tc>
      </w:tr>
      <w:tr w:rsidR="008D5BFE" w:rsidRPr="008E63BB" w14:paraId="519B29EA" w14:textId="77777777" w:rsidTr="00282C31">
        <w:trPr>
          <w:trHeight w:val="296"/>
          <w:jc w:val="center"/>
        </w:trPr>
        <w:tc>
          <w:tcPr>
            <w:tcW w:w="708" w:type="dxa"/>
            <w:shd w:val="clear" w:color="auto" w:fill="auto"/>
            <w:noWrap/>
            <w:vAlign w:val="bottom"/>
          </w:tcPr>
          <w:p w14:paraId="519B29E4" w14:textId="77777777" w:rsidR="002302CA" w:rsidRPr="008E63BB" w:rsidRDefault="002302CA" w:rsidP="0065184D">
            <w:pPr>
              <w:jc w:val="center"/>
              <w:rPr>
                <w:sz w:val="24"/>
                <w:szCs w:val="24"/>
              </w:rPr>
            </w:pPr>
            <w:r w:rsidRPr="008E63BB">
              <w:rPr>
                <w:sz w:val="24"/>
                <w:szCs w:val="24"/>
              </w:rPr>
              <w:t>10</w:t>
            </w:r>
          </w:p>
        </w:tc>
        <w:tc>
          <w:tcPr>
            <w:tcW w:w="3621" w:type="dxa"/>
            <w:shd w:val="clear" w:color="auto" w:fill="auto"/>
            <w:noWrap/>
            <w:vAlign w:val="bottom"/>
          </w:tcPr>
          <w:p w14:paraId="519B29E5" w14:textId="77777777" w:rsidR="002302CA" w:rsidRPr="008E63BB" w:rsidRDefault="002302CA" w:rsidP="0065184D">
            <w:pPr>
              <w:rPr>
                <w:sz w:val="24"/>
                <w:szCs w:val="24"/>
              </w:rPr>
            </w:pPr>
            <w:r w:rsidRPr="008E63BB">
              <w:rPr>
                <w:sz w:val="24"/>
                <w:szCs w:val="24"/>
              </w:rPr>
              <w:t>Trần Hưng Đạo (trường KTKT)</w:t>
            </w:r>
          </w:p>
        </w:tc>
        <w:tc>
          <w:tcPr>
            <w:tcW w:w="1260" w:type="dxa"/>
          </w:tcPr>
          <w:p w14:paraId="519B29E6" w14:textId="77777777" w:rsidR="002302CA" w:rsidRPr="008E63BB" w:rsidRDefault="002302CA" w:rsidP="0065184D">
            <w:pPr>
              <w:jc w:val="center"/>
              <w:rPr>
                <w:sz w:val="24"/>
                <w:szCs w:val="24"/>
              </w:rPr>
            </w:pPr>
            <w:r w:rsidRPr="008E63BB">
              <w:rPr>
                <w:sz w:val="24"/>
                <w:szCs w:val="24"/>
              </w:rPr>
              <w:t>2.600</w:t>
            </w:r>
          </w:p>
        </w:tc>
        <w:tc>
          <w:tcPr>
            <w:tcW w:w="1150" w:type="dxa"/>
            <w:shd w:val="clear" w:color="auto" w:fill="auto"/>
            <w:noWrap/>
            <w:vAlign w:val="bottom"/>
          </w:tcPr>
          <w:p w14:paraId="519B29E7" w14:textId="77777777" w:rsidR="002302CA" w:rsidRPr="008E63BB" w:rsidRDefault="002302CA" w:rsidP="0065184D">
            <w:pPr>
              <w:jc w:val="center"/>
              <w:rPr>
                <w:sz w:val="24"/>
                <w:szCs w:val="24"/>
              </w:rPr>
            </w:pPr>
            <w:r w:rsidRPr="008E63BB">
              <w:rPr>
                <w:sz w:val="24"/>
                <w:szCs w:val="24"/>
              </w:rPr>
              <w:t>20-30</w:t>
            </w:r>
          </w:p>
        </w:tc>
        <w:tc>
          <w:tcPr>
            <w:tcW w:w="1266" w:type="dxa"/>
            <w:shd w:val="clear" w:color="auto" w:fill="auto"/>
            <w:noWrap/>
            <w:vAlign w:val="bottom"/>
          </w:tcPr>
          <w:p w14:paraId="519B29E8" w14:textId="77777777" w:rsidR="002302CA" w:rsidRPr="008E63BB" w:rsidRDefault="002302CA" w:rsidP="0065184D">
            <w:pPr>
              <w:jc w:val="center"/>
              <w:rPr>
                <w:sz w:val="24"/>
                <w:szCs w:val="24"/>
              </w:rPr>
            </w:pPr>
            <w:r w:rsidRPr="008E63BB">
              <w:rPr>
                <w:sz w:val="24"/>
                <w:szCs w:val="24"/>
              </w:rPr>
              <w:t>2÷2,5 h</w:t>
            </w:r>
          </w:p>
        </w:tc>
        <w:tc>
          <w:tcPr>
            <w:tcW w:w="1434" w:type="dxa"/>
            <w:shd w:val="clear" w:color="auto" w:fill="auto"/>
            <w:noWrap/>
            <w:vAlign w:val="bottom"/>
          </w:tcPr>
          <w:p w14:paraId="519B29E9" w14:textId="77777777" w:rsidR="002302CA" w:rsidRPr="008E63BB" w:rsidRDefault="002302CA" w:rsidP="0065184D">
            <w:pPr>
              <w:rPr>
                <w:sz w:val="24"/>
                <w:szCs w:val="24"/>
              </w:rPr>
            </w:pPr>
            <w:r w:rsidRPr="008E63BB">
              <w:rPr>
                <w:sz w:val="24"/>
                <w:szCs w:val="24"/>
              </w:rPr>
              <w:t> </w:t>
            </w:r>
          </w:p>
        </w:tc>
      </w:tr>
      <w:tr w:rsidR="008D5BFE" w:rsidRPr="008E63BB" w14:paraId="519B29F1" w14:textId="77777777" w:rsidTr="00282C31">
        <w:trPr>
          <w:trHeight w:val="260"/>
          <w:jc w:val="center"/>
        </w:trPr>
        <w:tc>
          <w:tcPr>
            <w:tcW w:w="708" w:type="dxa"/>
            <w:shd w:val="clear" w:color="auto" w:fill="auto"/>
            <w:noWrap/>
            <w:vAlign w:val="bottom"/>
          </w:tcPr>
          <w:p w14:paraId="519B29EB" w14:textId="77777777" w:rsidR="002302CA" w:rsidRPr="008E63BB" w:rsidRDefault="002302CA" w:rsidP="0065184D">
            <w:pPr>
              <w:jc w:val="center"/>
              <w:rPr>
                <w:sz w:val="24"/>
                <w:szCs w:val="24"/>
              </w:rPr>
            </w:pPr>
            <w:r w:rsidRPr="008E63BB">
              <w:rPr>
                <w:sz w:val="24"/>
                <w:szCs w:val="24"/>
              </w:rPr>
              <w:t>11</w:t>
            </w:r>
          </w:p>
        </w:tc>
        <w:tc>
          <w:tcPr>
            <w:tcW w:w="3621" w:type="dxa"/>
            <w:shd w:val="clear" w:color="auto" w:fill="auto"/>
            <w:noWrap/>
            <w:vAlign w:val="bottom"/>
          </w:tcPr>
          <w:p w14:paraId="519B29EC" w14:textId="77777777" w:rsidR="002302CA" w:rsidRPr="008E63BB" w:rsidRDefault="002302CA" w:rsidP="0065184D">
            <w:pPr>
              <w:rPr>
                <w:sz w:val="24"/>
                <w:szCs w:val="24"/>
              </w:rPr>
            </w:pPr>
            <w:r w:rsidRPr="008E63BB">
              <w:rPr>
                <w:sz w:val="24"/>
                <w:szCs w:val="24"/>
              </w:rPr>
              <w:t>Trần Hưng Đạo kéo dài</w:t>
            </w:r>
          </w:p>
        </w:tc>
        <w:tc>
          <w:tcPr>
            <w:tcW w:w="1260" w:type="dxa"/>
          </w:tcPr>
          <w:p w14:paraId="519B29ED" w14:textId="77777777" w:rsidR="002302CA" w:rsidRPr="008E63BB" w:rsidRDefault="002302CA" w:rsidP="0065184D">
            <w:pPr>
              <w:jc w:val="center"/>
              <w:rPr>
                <w:sz w:val="24"/>
                <w:szCs w:val="24"/>
              </w:rPr>
            </w:pPr>
            <w:r w:rsidRPr="008E63BB">
              <w:rPr>
                <w:sz w:val="24"/>
                <w:szCs w:val="24"/>
              </w:rPr>
              <w:t>6.000</w:t>
            </w:r>
          </w:p>
        </w:tc>
        <w:tc>
          <w:tcPr>
            <w:tcW w:w="1150" w:type="dxa"/>
            <w:shd w:val="clear" w:color="auto" w:fill="auto"/>
            <w:noWrap/>
            <w:vAlign w:val="bottom"/>
          </w:tcPr>
          <w:p w14:paraId="519B29EE" w14:textId="77777777" w:rsidR="002302CA" w:rsidRPr="008E63BB" w:rsidRDefault="002302CA" w:rsidP="0065184D">
            <w:pPr>
              <w:jc w:val="center"/>
              <w:rPr>
                <w:sz w:val="24"/>
                <w:szCs w:val="24"/>
              </w:rPr>
            </w:pPr>
            <w:r w:rsidRPr="008E63BB">
              <w:rPr>
                <w:sz w:val="24"/>
                <w:szCs w:val="24"/>
              </w:rPr>
              <w:t>40-45</w:t>
            </w:r>
          </w:p>
        </w:tc>
        <w:tc>
          <w:tcPr>
            <w:tcW w:w="1266" w:type="dxa"/>
            <w:shd w:val="clear" w:color="auto" w:fill="auto"/>
            <w:noWrap/>
            <w:vAlign w:val="bottom"/>
          </w:tcPr>
          <w:p w14:paraId="519B29EF" w14:textId="77777777" w:rsidR="002302CA" w:rsidRPr="008E63BB" w:rsidRDefault="002302CA" w:rsidP="0065184D">
            <w:pPr>
              <w:jc w:val="center"/>
              <w:rPr>
                <w:sz w:val="24"/>
                <w:szCs w:val="24"/>
              </w:rPr>
            </w:pPr>
            <w:r w:rsidRPr="008E63BB">
              <w:rPr>
                <w:sz w:val="24"/>
                <w:szCs w:val="24"/>
              </w:rPr>
              <w:t>3,5÷4 h</w:t>
            </w:r>
          </w:p>
        </w:tc>
        <w:tc>
          <w:tcPr>
            <w:tcW w:w="1434" w:type="dxa"/>
            <w:shd w:val="clear" w:color="auto" w:fill="auto"/>
            <w:noWrap/>
            <w:vAlign w:val="bottom"/>
          </w:tcPr>
          <w:p w14:paraId="519B29F0" w14:textId="77777777" w:rsidR="002302CA" w:rsidRPr="008E63BB" w:rsidRDefault="002302CA" w:rsidP="0065184D">
            <w:pPr>
              <w:rPr>
                <w:sz w:val="24"/>
                <w:szCs w:val="24"/>
              </w:rPr>
            </w:pPr>
            <w:r w:rsidRPr="008E63BB">
              <w:rPr>
                <w:sz w:val="24"/>
                <w:szCs w:val="24"/>
              </w:rPr>
              <w:t> </w:t>
            </w:r>
          </w:p>
        </w:tc>
      </w:tr>
      <w:tr w:rsidR="008D5BFE" w:rsidRPr="008E63BB" w14:paraId="519B29F8" w14:textId="77777777" w:rsidTr="00282C31">
        <w:trPr>
          <w:trHeight w:val="260"/>
          <w:jc w:val="center"/>
        </w:trPr>
        <w:tc>
          <w:tcPr>
            <w:tcW w:w="708" w:type="dxa"/>
            <w:shd w:val="clear" w:color="auto" w:fill="auto"/>
            <w:noWrap/>
            <w:vAlign w:val="bottom"/>
          </w:tcPr>
          <w:p w14:paraId="519B29F2" w14:textId="77777777" w:rsidR="002302CA" w:rsidRPr="008E63BB" w:rsidRDefault="002302CA" w:rsidP="0065184D">
            <w:pPr>
              <w:jc w:val="center"/>
              <w:rPr>
                <w:sz w:val="24"/>
                <w:szCs w:val="24"/>
              </w:rPr>
            </w:pPr>
            <w:r w:rsidRPr="008E63BB">
              <w:rPr>
                <w:sz w:val="24"/>
                <w:szCs w:val="24"/>
              </w:rPr>
              <w:t>12</w:t>
            </w:r>
          </w:p>
        </w:tc>
        <w:tc>
          <w:tcPr>
            <w:tcW w:w="3621" w:type="dxa"/>
            <w:shd w:val="clear" w:color="auto" w:fill="auto"/>
            <w:noWrap/>
            <w:vAlign w:val="bottom"/>
          </w:tcPr>
          <w:p w14:paraId="519B29F3" w14:textId="77777777" w:rsidR="002302CA" w:rsidRPr="008E63BB" w:rsidRDefault="002302CA" w:rsidP="0065184D">
            <w:pPr>
              <w:rPr>
                <w:sz w:val="24"/>
                <w:szCs w:val="24"/>
              </w:rPr>
            </w:pPr>
            <w:r w:rsidRPr="008E63BB">
              <w:rPr>
                <w:sz w:val="24"/>
                <w:szCs w:val="24"/>
              </w:rPr>
              <w:t>Hàn Thuyên (chùa Cả)</w:t>
            </w:r>
          </w:p>
        </w:tc>
        <w:tc>
          <w:tcPr>
            <w:tcW w:w="1260" w:type="dxa"/>
          </w:tcPr>
          <w:p w14:paraId="519B29F4" w14:textId="77777777" w:rsidR="002302CA" w:rsidRPr="008E63BB" w:rsidRDefault="002302CA" w:rsidP="0065184D">
            <w:pPr>
              <w:jc w:val="center"/>
              <w:rPr>
                <w:sz w:val="24"/>
                <w:szCs w:val="24"/>
              </w:rPr>
            </w:pPr>
            <w:r w:rsidRPr="008E63BB">
              <w:rPr>
                <w:sz w:val="24"/>
                <w:szCs w:val="24"/>
              </w:rPr>
              <w:t>1.600</w:t>
            </w:r>
          </w:p>
        </w:tc>
        <w:tc>
          <w:tcPr>
            <w:tcW w:w="1150" w:type="dxa"/>
            <w:shd w:val="clear" w:color="auto" w:fill="auto"/>
            <w:noWrap/>
            <w:vAlign w:val="bottom"/>
          </w:tcPr>
          <w:p w14:paraId="519B29F5" w14:textId="77777777" w:rsidR="002302CA" w:rsidRPr="008E63BB" w:rsidRDefault="002302CA" w:rsidP="0065184D">
            <w:pPr>
              <w:jc w:val="center"/>
              <w:rPr>
                <w:sz w:val="24"/>
                <w:szCs w:val="24"/>
              </w:rPr>
            </w:pPr>
            <w:r w:rsidRPr="008E63BB">
              <w:rPr>
                <w:sz w:val="24"/>
                <w:szCs w:val="24"/>
              </w:rPr>
              <w:t>30-40</w:t>
            </w:r>
          </w:p>
        </w:tc>
        <w:tc>
          <w:tcPr>
            <w:tcW w:w="1266" w:type="dxa"/>
            <w:shd w:val="clear" w:color="auto" w:fill="auto"/>
            <w:noWrap/>
            <w:vAlign w:val="bottom"/>
          </w:tcPr>
          <w:p w14:paraId="519B29F6" w14:textId="77777777" w:rsidR="002302CA" w:rsidRPr="008E63BB" w:rsidRDefault="002302CA" w:rsidP="0065184D">
            <w:pPr>
              <w:jc w:val="center"/>
              <w:rPr>
                <w:sz w:val="24"/>
                <w:szCs w:val="24"/>
              </w:rPr>
            </w:pPr>
            <w:r w:rsidRPr="008E63BB">
              <w:rPr>
                <w:sz w:val="24"/>
                <w:szCs w:val="24"/>
              </w:rPr>
              <w:t>3÷3,5 h</w:t>
            </w:r>
          </w:p>
        </w:tc>
        <w:tc>
          <w:tcPr>
            <w:tcW w:w="1434" w:type="dxa"/>
            <w:shd w:val="clear" w:color="auto" w:fill="auto"/>
            <w:noWrap/>
            <w:vAlign w:val="bottom"/>
          </w:tcPr>
          <w:p w14:paraId="519B29F7" w14:textId="77777777" w:rsidR="002302CA" w:rsidRPr="008E63BB" w:rsidRDefault="002302CA" w:rsidP="0065184D">
            <w:pPr>
              <w:rPr>
                <w:sz w:val="24"/>
                <w:szCs w:val="24"/>
              </w:rPr>
            </w:pPr>
            <w:r w:rsidRPr="008E63BB">
              <w:rPr>
                <w:sz w:val="24"/>
                <w:szCs w:val="24"/>
              </w:rPr>
              <w:t> </w:t>
            </w:r>
          </w:p>
        </w:tc>
      </w:tr>
      <w:tr w:rsidR="008D5BFE" w:rsidRPr="008E63BB" w14:paraId="519B29FF" w14:textId="77777777" w:rsidTr="00282C31">
        <w:trPr>
          <w:trHeight w:val="260"/>
          <w:jc w:val="center"/>
        </w:trPr>
        <w:tc>
          <w:tcPr>
            <w:tcW w:w="708" w:type="dxa"/>
            <w:shd w:val="clear" w:color="auto" w:fill="auto"/>
            <w:noWrap/>
            <w:vAlign w:val="bottom"/>
          </w:tcPr>
          <w:p w14:paraId="519B29F9" w14:textId="77777777" w:rsidR="002302CA" w:rsidRPr="008E63BB" w:rsidRDefault="002302CA" w:rsidP="0065184D">
            <w:pPr>
              <w:jc w:val="center"/>
              <w:rPr>
                <w:sz w:val="24"/>
                <w:szCs w:val="24"/>
              </w:rPr>
            </w:pPr>
            <w:r w:rsidRPr="008E63BB">
              <w:rPr>
                <w:sz w:val="24"/>
                <w:szCs w:val="24"/>
              </w:rPr>
              <w:t>13</w:t>
            </w:r>
          </w:p>
        </w:tc>
        <w:tc>
          <w:tcPr>
            <w:tcW w:w="3621" w:type="dxa"/>
            <w:shd w:val="clear" w:color="auto" w:fill="auto"/>
            <w:noWrap/>
            <w:vAlign w:val="bottom"/>
          </w:tcPr>
          <w:p w14:paraId="519B29FA" w14:textId="77777777" w:rsidR="002302CA" w:rsidRPr="008E63BB" w:rsidRDefault="002302CA" w:rsidP="0065184D">
            <w:pPr>
              <w:rPr>
                <w:sz w:val="24"/>
                <w:szCs w:val="24"/>
              </w:rPr>
            </w:pPr>
            <w:r w:rsidRPr="008E63BB">
              <w:rPr>
                <w:sz w:val="24"/>
                <w:szCs w:val="24"/>
              </w:rPr>
              <w:t xml:space="preserve">Khu đô thị Hòa Vượng </w:t>
            </w:r>
          </w:p>
        </w:tc>
        <w:tc>
          <w:tcPr>
            <w:tcW w:w="1260" w:type="dxa"/>
          </w:tcPr>
          <w:p w14:paraId="519B29FB" w14:textId="77777777" w:rsidR="002302CA" w:rsidRPr="008E63BB" w:rsidRDefault="002302CA" w:rsidP="0065184D">
            <w:pPr>
              <w:jc w:val="center"/>
              <w:rPr>
                <w:sz w:val="24"/>
                <w:szCs w:val="24"/>
              </w:rPr>
            </w:pPr>
            <w:r w:rsidRPr="008E63BB">
              <w:rPr>
                <w:sz w:val="24"/>
                <w:szCs w:val="24"/>
              </w:rPr>
              <w:t>40.000</w:t>
            </w:r>
          </w:p>
        </w:tc>
        <w:tc>
          <w:tcPr>
            <w:tcW w:w="1150" w:type="dxa"/>
            <w:shd w:val="clear" w:color="auto" w:fill="auto"/>
            <w:noWrap/>
            <w:vAlign w:val="bottom"/>
          </w:tcPr>
          <w:p w14:paraId="519B29FC" w14:textId="77777777" w:rsidR="002302CA" w:rsidRPr="008E63BB" w:rsidRDefault="002302CA" w:rsidP="0065184D">
            <w:pPr>
              <w:jc w:val="center"/>
              <w:rPr>
                <w:sz w:val="24"/>
                <w:szCs w:val="24"/>
              </w:rPr>
            </w:pPr>
            <w:r w:rsidRPr="008E63BB">
              <w:rPr>
                <w:sz w:val="24"/>
                <w:szCs w:val="24"/>
              </w:rPr>
              <w:t>25-30</w:t>
            </w:r>
          </w:p>
        </w:tc>
        <w:tc>
          <w:tcPr>
            <w:tcW w:w="1266" w:type="dxa"/>
            <w:shd w:val="clear" w:color="auto" w:fill="auto"/>
            <w:noWrap/>
            <w:vAlign w:val="bottom"/>
          </w:tcPr>
          <w:p w14:paraId="519B29FD" w14:textId="77777777" w:rsidR="002302CA" w:rsidRPr="008E63BB" w:rsidRDefault="002302CA" w:rsidP="0065184D">
            <w:pPr>
              <w:jc w:val="center"/>
              <w:rPr>
                <w:sz w:val="24"/>
                <w:szCs w:val="24"/>
              </w:rPr>
            </w:pPr>
            <w:r w:rsidRPr="008E63BB">
              <w:rPr>
                <w:sz w:val="24"/>
                <w:szCs w:val="24"/>
              </w:rPr>
              <w:t>2-3h</w:t>
            </w:r>
          </w:p>
        </w:tc>
        <w:tc>
          <w:tcPr>
            <w:tcW w:w="1434" w:type="dxa"/>
            <w:shd w:val="clear" w:color="auto" w:fill="auto"/>
            <w:noWrap/>
            <w:vAlign w:val="bottom"/>
          </w:tcPr>
          <w:p w14:paraId="519B29FE" w14:textId="77777777" w:rsidR="002302CA" w:rsidRPr="008E63BB" w:rsidRDefault="002302CA" w:rsidP="0065184D">
            <w:pPr>
              <w:rPr>
                <w:sz w:val="24"/>
                <w:szCs w:val="24"/>
              </w:rPr>
            </w:pPr>
            <w:r w:rsidRPr="008E63BB">
              <w:rPr>
                <w:sz w:val="24"/>
                <w:szCs w:val="24"/>
              </w:rPr>
              <w:t> </w:t>
            </w:r>
          </w:p>
        </w:tc>
      </w:tr>
    </w:tbl>
    <w:p w14:paraId="519B2A00" w14:textId="77777777" w:rsidR="002302CA" w:rsidRPr="008E63BB" w:rsidRDefault="002302CA" w:rsidP="0065184D">
      <w:pPr>
        <w:rPr>
          <w:rFonts w:eastAsia="Times New Roman"/>
          <w:b/>
          <w:i/>
          <w:szCs w:val="26"/>
          <w:lang w:val="pt-BR"/>
        </w:rPr>
      </w:pPr>
      <w:r w:rsidRPr="008E63BB">
        <w:rPr>
          <w:rFonts w:eastAsia="Times New Roman"/>
          <w:b/>
          <w:i/>
          <w:szCs w:val="26"/>
          <w:lang w:val="pt-BR"/>
        </w:rPr>
        <w:t>5/.  Hệ thống thoát nước mưa:</w:t>
      </w:r>
    </w:p>
    <w:p w14:paraId="519B2A01" w14:textId="77777777" w:rsidR="00115079" w:rsidRPr="008E63BB" w:rsidRDefault="00115079" w:rsidP="00115079">
      <w:pPr>
        <w:ind w:firstLine="709"/>
        <w:rPr>
          <w:bCs/>
          <w:spacing w:val="-4"/>
          <w:szCs w:val="26"/>
          <w:lang w:val="pt-BR"/>
        </w:rPr>
      </w:pPr>
      <w:r w:rsidRPr="008E63BB">
        <w:rPr>
          <w:bCs/>
          <w:spacing w:val="-4"/>
          <w:szCs w:val="26"/>
          <w:lang w:val="pt-BR"/>
        </w:rPr>
        <w:t>Hệ thống thoát nước Thành phố Nam Định đã được đầu tư xây dựng từ thời Pháp thuộc; qua các thời kỳ đã sửa chữa, cải tạo, nâng cấp, mở rộng, phát triển đến nay đã tương đối hoàn chỉnh với mạng lưới cống, ga thu nước của 344 tuyến đường phố, với các hồ điều hòa đã được kè đá, hệ thống kênh dẫn T3-11, kênh Gia dẫn nước ra 2 công trình đầu mối là Trạm Bơm Kênh Gia và trạm bơm Quán Chuột và một phần tự chảy ra sông Vĩnh Giang</w:t>
      </w:r>
    </w:p>
    <w:p w14:paraId="519B2A02" w14:textId="77777777" w:rsidR="00115079" w:rsidRPr="008E63BB" w:rsidRDefault="00115079" w:rsidP="00115079">
      <w:pPr>
        <w:ind w:firstLine="709"/>
        <w:rPr>
          <w:bCs/>
          <w:szCs w:val="26"/>
          <w:lang w:val="pt-BR"/>
        </w:rPr>
      </w:pPr>
      <w:r w:rsidRPr="008E63BB">
        <w:rPr>
          <w:bCs/>
          <w:szCs w:val="26"/>
          <w:lang w:val="pt-BR"/>
        </w:rPr>
        <w:lastRenderedPageBreak/>
        <w:t>Hệ thống thoát nước hiện tại là hệ thống thoát nước chung cho cả nước thải và nước mưa (riêng các khu đô thị mới được thiết kế riêng biệt 2 hệ thống này). Nước thải, nước mặt thoát qua các tuyến cống ngầm, ga thu nước, tuyến cống hộp nổi, cửa xả, dẫn ra hệ thống ao hồ điều hòa, kênh mương hở Kênh Gia, T3-11 và được điều tiết bởi hai trạm bơm Quán Chuột, trạm bơm Kênh Gia. Tuyến cống hộp nổi có tổng chiều dài 5,17km, tuyến cống ngầm có tổng chiều dài 71,54km và có tổng số 3.600 ga thu nước. Cửa xả gồm có 6 cửa với tổng diện tích 288m2, hệ thống 14 ao hồ điều hòa với tổng diện tích 80,17 ha. Mương hở Kênh Gia dài 5,8km dẫn nước ra trạm bơm Kênh Gia có công suất 43.000m</w:t>
      </w:r>
      <w:r w:rsidRPr="008E63BB">
        <w:rPr>
          <w:bCs/>
          <w:szCs w:val="26"/>
          <w:vertAlign w:val="superscript"/>
          <w:lang w:val="pt-BR"/>
        </w:rPr>
        <w:t>3</w:t>
      </w:r>
      <w:r w:rsidRPr="008E63BB">
        <w:rPr>
          <w:bCs/>
          <w:szCs w:val="26"/>
          <w:lang w:val="pt-BR"/>
        </w:rPr>
        <w:t>/h với 10 tổ máy. Mương hở T3-11 dài 4,0km dẫn nước ra trạm bơm Quán Chuột có công suất 59.000m</w:t>
      </w:r>
      <w:r w:rsidRPr="008E63BB">
        <w:rPr>
          <w:bCs/>
          <w:szCs w:val="26"/>
          <w:vertAlign w:val="superscript"/>
          <w:lang w:val="pt-BR"/>
        </w:rPr>
        <w:t>3</w:t>
      </w:r>
      <w:r w:rsidRPr="008E63BB">
        <w:rPr>
          <w:bCs/>
          <w:szCs w:val="26"/>
          <w:lang w:val="pt-BR"/>
        </w:rPr>
        <w:t>/h với 13 tổ máy. Trạm bơm Cốc Thành có công suất 224.000 m</w:t>
      </w:r>
      <w:r w:rsidRPr="008E63BB">
        <w:rPr>
          <w:bCs/>
          <w:szCs w:val="26"/>
          <w:vertAlign w:val="superscript"/>
          <w:lang w:val="pt-BR"/>
        </w:rPr>
        <w:t>3</w:t>
      </w:r>
      <w:r w:rsidRPr="008E63BB">
        <w:rPr>
          <w:bCs/>
          <w:szCs w:val="26"/>
          <w:lang w:val="pt-BR"/>
        </w:rPr>
        <w:t>/h với 7 tổ máy.</w:t>
      </w:r>
    </w:p>
    <w:p w14:paraId="519B2A03" w14:textId="77777777" w:rsidR="00115079" w:rsidRPr="008E63BB" w:rsidRDefault="00115079" w:rsidP="00115079">
      <w:pPr>
        <w:ind w:firstLine="709"/>
        <w:rPr>
          <w:bCs/>
          <w:szCs w:val="26"/>
          <w:lang w:val="pt-BR"/>
        </w:rPr>
      </w:pPr>
      <w:r w:rsidRPr="008E63BB">
        <w:rPr>
          <w:bCs/>
          <w:szCs w:val="26"/>
          <w:lang w:val="pt-BR"/>
        </w:rPr>
        <w:t>Khu vực thị trấn Mỹ Lộc đã đầu tư được khoảng 7km mương nắp đan thoát nước chung giữa nước thải và nước mưa.</w:t>
      </w:r>
    </w:p>
    <w:p w14:paraId="519B2A04" w14:textId="77777777" w:rsidR="00115079" w:rsidRPr="008E63BB" w:rsidRDefault="00115079" w:rsidP="00115079">
      <w:pPr>
        <w:ind w:firstLine="709"/>
        <w:rPr>
          <w:bCs/>
          <w:szCs w:val="26"/>
          <w:lang w:val="pt-BR"/>
        </w:rPr>
      </w:pPr>
      <w:r w:rsidRPr="008E63BB">
        <w:rPr>
          <w:bCs/>
          <w:szCs w:val="26"/>
          <w:lang w:val="pt-BR"/>
        </w:rPr>
        <w:t>Các khu vực ngoại thị, dân cư thôn xóm chưa có hệ thống thoát nước, nước mưa một phần tự thấm, một phần chảy tràn trên bề mặt theo độ dốc địa hình ra ao, hồ, kênh tiêu.</w:t>
      </w:r>
    </w:p>
    <w:p w14:paraId="519B2A05" w14:textId="77777777" w:rsidR="00115079" w:rsidRPr="008E63BB" w:rsidRDefault="00115079" w:rsidP="00115079">
      <w:pPr>
        <w:ind w:firstLine="709"/>
        <w:rPr>
          <w:bCs/>
          <w:szCs w:val="26"/>
          <w:lang w:val="pt-BR"/>
        </w:rPr>
      </w:pPr>
      <w:r w:rsidRPr="008E63BB">
        <w:rPr>
          <w:bCs/>
          <w:szCs w:val="26"/>
          <w:lang w:val="pt-BR"/>
        </w:rPr>
        <w:t>Hệ thống thoát nước khu vực nghiên cứu được chia theo 7 lưu vực thoát nước chính, cụ thể:</w:t>
      </w:r>
    </w:p>
    <w:p w14:paraId="519B2A06" w14:textId="77777777" w:rsidR="00115079" w:rsidRPr="008E63BB" w:rsidRDefault="00115079" w:rsidP="00115079">
      <w:pPr>
        <w:ind w:firstLine="709"/>
        <w:rPr>
          <w:bCs/>
          <w:szCs w:val="26"/>
          <w:lang w:val="pt-BR"/>
        </w:rPr>
      </w:pPr>
      <w:r w:rsidRPr="008E63BB">
        <w:rPr>
          <w:bCs/>
          <w:szCs w:val="26"/>
          <w:lang w:val="pt-BR"/>
        </w:rPr>
        <w:t>* Lưu vực trạm bơm Kênh Gia:</w:t>
      </w:r>
    </w:p>
    <w:p w14:paraId="519B2A07" w14:textId="77777777" w:rsidR="00115079" w:rsidRPr="008E63BB" w:rsidRDefault="00115079" w:rsidP="00115079">
      <w:pPr>
        <w:ind w:firstLine="709"/>
        <w:rPr>
          <w:bCs/>
          <w:szCs w:val="26"/>
          <w:lang w:val="pt-BR"/>
        </w:rPr>
      </w:pPr>
      <w:r w:rsidRPr="008E63BB">
        <w:rPr>
          <w:bCs/>
          <w:szCs w:val="26"/>
          <w:lang w:val="pt-BR"/>
        </w:rPr>
        <w:t>Nước mưa, nước thải qua hệ thống cống, mương hiện trạng trong trung tâm thành phố thuộc 6 phường (Văn Miếu, Trường Thi, Năng Tĩnh, Ngô Quyền,Trần Quang Khải, Trần Đăng Ninh) và 1 phần của 3 xã ( Mỹ Xá, Lộc An, Tân Thành) đổ ra Kênh Gia chảy về trạm bơm Kênh Gia công suất 43.000m</w:t>
      </w:r>
      <w:r w:rsidRPr="008E63BB">
        <w:rPr>
          <w:bCs/>
          <w:szCs w:val="26"/>
          <w:vertAlign w:val="superscript"/>
          <w:lang w:val="pt-BR"/>
        </w:rPr>
        <w:t>3</w:t>
      </w:r>
      <w:r w:rsidRPr="008E63BB">
        <w:rPr>
          <w:bCs/>
          <w:szCs w:val="26"/>
          <w:lang w:val="pt-BR"/>
        </w:rPr>
        <w:t>/h và được bơm ra sông Đào.</w:t>
      </w:r>
    </w:p>
    <w:p w14:paraId="519B2A08" w14:textId="77777777" w:rsidR="00115079" w:rsidRPr="008E63BB" w:rsidRDefault="00115079" w:rsidP="00115079">
      <w:pPr>
        <w:ind w:firstLine="709"/>
        <w:rPr>
          <w:bCs/>
          <w:szCs w:val="26"/>
          <w:lang w:val="pt-BR"/>
        </w:rPr>
      </w:pPr>
      <w:r w:rsidRPr="008E63BB">
        <w:rPr>
          <w:bCs/>
          <w:szCs w:val="26"/>
          <w:lang w:val="pt-BR"/>
        </w:rPr>
        <w:t>* Lưu vực trạm bơm Quán Chuột:</w:t>
      </w:r>
    </w:p>
    <w:p w14:paraId="519B2A09" w14:textId="77777777" w:rsidR="00115079" w:rsidRPr="008E63BB" w:rsidRDefault="00115079" w:rsidP="00115079">
      <w:pPr>
        <w:ind w:firstLine="709"/>
        <w:rPr>
          <w:bCs/>
          <w:szCs w:val="26"/>
          <w:lang w:val="pt-BR"/>
        </w:rPr>
      </w:pPr>
      <w:r w:rsidRPr="008E63BB">
        <w:rPr>
          <w:bCs/>
          <w:szCs w:val="26"/>
          <w:lang w:val="pt-BR"/>
        </w:rPr>
        <w:t xml:space="preserve">Nước mưa, nước thải qua hệ thống cống, mương hiện trạng trong trung tâm thành phố thuộc 14 phường (Lộc Hạ, </w:t>
      </w:r>
      <w:r w:rsidR="00450752" w:rsidRPr="008E63BB">
        <w:rPr>
          <w:bCs/>
          <w:szCs w:val="26"/>
          <w:lang w:val="pt-BR"/>
        </w:rPr>
        <w:t>Nam Định</w:t>
      </w:r>
      <w:r w:rsidRPr="008E63BB">
        <w:rPr>
          <w:bCs/>
          <w:szCs w:val="26"/>
          <w:lang w:val="pt-BR"/>
        </w:rPr>
        <w:t>, Trần Tế Xương, Vị Hoàng, Vị Xuyên, Phan Đình Phùng,Trần Hưng Đạo, Lộc Vượng, Thống Nhất, Quang Trung, Bà Triệu, Nguyễn Du, Cửa Bắc, Trần Đăng Ninh) và 1 phần của 2 xã ( Mỹ Trung, Mỹ Tân) đổ ra Kênh T3-11, T3-19 chảy về trạm bơm Quán Chuột công suất 59.000m</w:t>
      </w:r>
      <w:r w:rsidRPr="008E63BB">
        <w:rPr>
          <w:bCs/>
          <w:szCs w:val="26"/>
          <w:vertAlign w:val="superscript"/>
          <w:lang w:val="pt-BR"/>
        </w:rPr>
        <w:t>3</w:t>
      </w:r>
      <w:r w:rsidRPr="008E63BB">
        <w:rPr>
          <w:bCs/>
          <w:szCs w:val="26"/>
          <w:lang w:val="pt-BR"/>
        </w:rPr>
        <w:t>/h và được bơm ra sông Hồng.</w:t>
      </w:r>
    </w:p>
    <w:p w14:paraId="519B2A0A" w14:textId="77777777" w:rsidR="00115079" w:rsidRPr="008E63BB" w:rsidRDefault="00115079" w:rsidP="00115079">
      <w:pPr>
        <w:ind w:firstLine="709"/>
        <w:rPr>
          <w:bCs/>
          <w:szCs w:val="26"/>
          <w:lang w:val="pt-BR"/>
        </w:rPr>
      </w:pPr>
      <w:r w:rsidRPr="008E63BB">
        <w:rPr>
          <w:bCs/>
          <w:szCs w:val="26"/>
          <w:lang w:val="pt-BR"/>
        </w:rPr>
        <w:t>* Lưu vực trạm bơm Cốc Thành:</w:t>
      </w:r>
    </w:p>
    <w:p w14:paraId="519B2A0B" w14:textId="77777777" w:rsidR="00115079" w:rsidRPr="008E63BB" w:rsidRDefault="00115079" w:rsidP="00115079">
      <w:pPr>
        <w:ind w:firstLine="709"/>
        <w:rPr>
          <w:bCs/>
          <w:szCs w:val="26"/>
          <w:lang w:val="pt-BR"/>
        </w:rPr>
      </w:pPr>
      <w:r w:rsidRPr="008E63BB">
        <w:rPr>
          <w:bCs/>
          <w:szCs w:val="26"/>
          <w:lang w:val="pt-BR"/>
        </w:rPr>
        <w:t>Nước mưa, nước thải qua hệ thống cống, mương hiện trạng các xã của huyện Mỹ Lộc và 3 xã huyện Vụ Bản đổ ra Kênh T3, kênh T5, kênh Tiên Hương chảy về trạm bơm Cốc Thành  công suất 224.000m</w:t>
      </w:r>
      <w:r w:rsidRPr="008E63BB">
        <w:rPr>
          <w:bCs/>
          <w:szCs w:val="26"/>
          <w:vertAlign w:val="superscript"/>
          <w:lang w:val="pt-BR"/>
        </w:rPr>
        <w:t>3</w:t>
      </w:r>
      <w:r w:rsidRPr="008E63BB">
        <w:rPr>
          <w:bCs/>
          <w:szCs w:val="26"/>
          <w:lang w:val="pt-BR"/>
        </w:rPr>
        <w:t>/h và được bơm ra sông Đào.</w:t>
      </w:r>
    </w:p>
    <w:p w14:paraId="519B2A0C" w14:textId="77777777" w:rsidR="00115079" w:rsidRPr="008E63BB" w:rsidRDefault="00115079" w:rsidP="00115079">
      <w:pPr>
        <w:ind w:firstLine="709"/>
        <w:rPr>
          <w:bCs/>
          <w:szCs w:val="26"/>
          <w:lang w:val="pt-BR"/>
        </w:rPr>
      </w:pPr>
      <w:r w:rsidRPr="008E63BB">
        <w:rPr>
          <w:bCs/>
          <w:szCs w:val="26"/>
          <w:lang w:val="pt-BR"/>
        </w:rPr>
        <w:t>* Lưu vực trạm bơm An Lá:</w:t>
      </w:r>
    </w:p>
    <w:p w14:paraId="519B2A0D" w14:textId="77777777" w:rsidR="00115079" w:rsidRPr="008E63BB" w:rsidRDefault="00115079" w:rsidP="00115079">
      <w:pPr>
        <w:ind w:firstLine="709"/>
        <w:rPr>
          <w:bCs/>
          <w:szCs w:val="26"/>
          <w:lang w:val="pt-BR"/>
        </w:rPr>
      </w:pPr>
      <w:r w:rsidRPr="008E63BB">
        <w:rPr>
          <w:bCs/>
          <w:szCs w:val="26"/>
          <w:lang w:val="pt-BR"/>
        </w:rPr>
        <w:t>Nước mưa, nước thải qua hệ thống cống, mương hiện trạng các phường Cửa Nam, xã Nam Phong, Nam Mỹ, Nam Toàn, Nam Vân, Nghĩa An, Hồng Quang đổ ra kênh An Lá chảy về trạm bơm An Lá 2  công suất 32.000m</w:t>
      </w:r>
      <w:r w:rsidRPr="008E63BB">
        <w:rPr>
          <w:bCs/>
          <w:szCs w:val="26"/>
          <w:vertAlign w:val="superscript"/>
          <w:lang w:val="pt-BR"/>
        </w:rPr>
        <w:t>3</w:t>
      </w:r>
      <w:r w:rsidRPr="008E63BB">
        <w:rPr>
          <w:bCs/>
          <w:szCs w:val="26"/>
          <w:lang w:val="pt-BR"/>
        </w:rPr>
        <w:t>/h và được bơm ra sông Đào.</w:t>
      </w:r>
    </w:p>
    <w:p w14:paraId="519B2A0E" w14:textId="77777777" w:rsidR="00115079" w:rsidRPr="008E63BB" w:rsidRDefault="00115079" w:rsidP="00115079">
      <w:pPr>
        <w:ind w:firstLine="709"/>
        <w:rPr>
          <w:bCs/>
          <w:szCs w:val="26"/>
          <w:lang w:val="pt-BR"/>
        </w:rPr>
      </w:pPr>
      <w:r w:rsidRPr="008E63BB">
        <w:rPr>
          <w:bCs/>
          <w:szCs w:val="26"/>
          <w:lang w:val="pt-BR"/>
        </w:rPr>
        <w:t>* Lưu vực tiêu tự chảy thoát trực tiếp ra sông Hồng, sông Đào, sông Châu Giang: bao gồm các khu vực ngoài đê sông Đào, sông Hồng, sông Châu Giang.</w:t>
      </w:r>
    </w:p>
    <w:p w14:paraId="519B2A0F" w14:textId="77777777" w:rsidR="00115079" w:rsidRPr="008E63BB" w:rsidRDefault="00115079" w:rsidP="00115079">
      <w:pPr>
        <w:ind w:firstLine="709"/>
        <w:rPr>
          <w:bCs/>
          <w:szCs w:val="26"/>
          <w:lang w:val="pt-BR"/>
        </w:rPr>
      </w:pPr>
      <w:r w:rsidRPr="008E63BB">
        <w:rPr>
          <w:bCs/>
          <w:szCs w:val="26"/>
          <w:lang w:val="pt-BR"/>
        </w:rPr>
        <w:t>* Lưu vực tiêu tự chảy qua cống Ngô Xá thoát ra sông Hồng: bao gồm 1 phần xã Nam Phong, xã Điền Xá và xã Nam Mỹ</w:t>
      </w:r>
    </w:p>
    <w:p w14:paraId="519B2A10" w14:textId="77777777" w:rsidR="00115079" w:rsidRPr="008E63BB" w:rsidRDefault="00115079" w:rsidP="00115079">
      <w:pPr>
        <w:ind w:firstLine="709"/>
        <w:rPr>
          <w:bCs/>
          <w:szCs w:val="26"/>
          <w:lang w:val="pt-BR"/>
        </w:rPr>
      </w:pPr>
      <w:r w:rsidRPr="008E63BB">
        <w:rPr>
          <w:bCs/>
          <w:szCs w:val="26"/>
          <w:lang w:val="pt-BR"/>
        </w:rPr>
        <w:t>* Lưu vực trạm bơm Nam Hà: Bao gồm 1 phần xã Điền Xá và xã Hồng Quang thoát ra kênh Nam Hà rồi chảy về trạm bơm Nam Hà và được bơm ra sông Hồng.</w:t>
      </w:r>
    </w:p>
    <w:p w14:paraId="519B2A11" w14:textId="77777777" w:rsidR="00115079" w:rsidRPr="008E63BB" w:rsidRDefault="00115079" w:rsidP="00115079">
      <w:pPr>
        <w:rPr>
          <w:rFonts w:eastAsia="Times New Roman"/>
          <w:b/>
          <w:i/>
          <w:szCs w:val="26"/>
          <w:lang w:val="pt-BR"/>
        </w:rPr>
      </w:pPr>
      <w:r w:rsidRPr="008E63BB">
        <w:rPr>
          <w:rFonts w:eastAsia="Times New Roman"/>
          <w:b/>
          <w:i/>
          <w:szCs w:val="26"/>
          <w:lang w:val="pt-BR"/>
        </w:rPr>
        <w:t>6/.  Đánh giá đất xây dựng:</w:t>
      </w:r>
    </w:p>
    <w:p w14:paraId="519B2A12" w14:textId="77777777" w:rsidR="00115079" w:rsidRPr="008E63BB" w:rsidRDefault="00115079" w:rsidP="00115079">
      <w:pPr>
        <w:ind w:firstLine="709"/>
        <w:rPr>
          <w:bCs/>
          <w:szCs w:val="26"/>
          <w:lang w:val="pt-BR"/>
        </w:rPr>
      </w:pPr>
      <w:r w:rsidRPr="008E63BB">
        <w:rPr>
          <w:bCs/>
          <w:szCs w:val="26"/>
          <w:lang w:val="pt-BR"/>
        </w:rPr>
        <w:t>Căn cứ vào cao độ nền địa hình, điều kiện thủy văn sông Hồng, sông Đào, sông Châu Giang sơ bộ đánh giá đất xây dựng khu vực nghiên cứu như sau:</w:t>
      </w:r>
    </w:p>
    <w:p w14:paraId="519B2A13" w14:textId="77777777" w:rsidR="00115079" w:rsidRPr="008E63BB" w:rsidRDefault="00115079" w:rsidP="00115079">
      <w:pPr>
        <w:ind w:firstLine="709"/>
        <w:rPr>
          <w:bCs/>
          <w:szCs w:val="26"/>
          <w:lang w:val="pt-BR"/>
        </w:rPr>
      </w:pPr>
      <w:r w:rsidRPr="008E63BB">
        <w:rPr>
          <w:bCs/>
          <w:szCs w:val="26"/>
          <w:lang w:val="pt-BR"/>
        </w:rPr>
        <w:lastRenderedPageBreak/>
        <w:t>Đất đã xây dựng: bao gồm các khu vực đô thị, khu vực dân cư nông thôn, các công trình công cộng, dịch vụ, công nghiệp... chiếm diện tích 42%.</w:t>
      </w:r>
    </w:p>
    <w:p w14:paraId="519B2A14" w14:textId="77777777" w:rsidR="00115079" w:rsidRPr="008E63BB" w:rsidRDefault="00115079" w:rsidP="00115079">
      <w:pPr>
        <w:ind w:firstLine="709"/>
        <w:rPr>
          <w:bCs/>
          <w:szCs w:val="26"/>
          <w:lang w:val="pt-BR"/>
        </w:rPr>
      </w:pPr>
      <w:r w:rsidRPr="008E63BB">
        <w:rPr>
          <w:bCs/>
          <w:szCs w:val="26"/>
          <w:lang w:val="pt-BR"/>
        </w:rPr>
        <w:t>Đất thuận lợi xây dựng: bao gồm các khu vực không bị ngập úng cao độ nền bờ tả Đào H</w:t>
      </w:r>
      <w:r w:rsidRPr="008E63BB">
        <w:rPr>
          <w:bCs/>
          <w:szCs w:val="26"/>
          <w:vertAlign w:val="subscript"/>
          <w:lang w:val="pt-BR"/>
        </w:rPr>
        <w:t>nền</w:t>
      </w:r>
      <w:r w:rsidRPr="008E63BB">
        <w:rPr>
          <w:bCs/>
          <w:szCs w:val="26"/>
          <w:lang w:val="pt-BR"/>
        </w:rPr>
        <w:t>≥2,0m, bờ hữu Đào H</w:t>
      </w:r>
      <w:r w:rsidRPr="008E63BB">
        <w:rPr>
          <w:bCs/>
          <w:szCs w:val="26"/>
          <w:vertAlign w:val="subscript"/>
          <w:lang w:val="pt-BR"/>
        </w:rPr>
        <w:t>nền</w:t>
      </w:r>
      <w:r w:rsidRPr="008E63BB">
        <w:rPr>
          <w:bCs/>
          <w:szCs w:val="26"/>
          <w:lang w:val="pt-BR"/>
        </w:rPr>
        <w:t>≥2,3m , độ dốc nền địa hình 0,4%≤I ≤10%: chiếm diện tích 2,5%.</w:t>
      </w:r>
    </w:p>
    <w:p w14:paraId="519B2A15" w14:textId="77777777" w:rsidR="00115079" w:rsidRPr="008E63BB" w:rsidRDefault="00115079" w:rsidP="00115079">
      <w:pPr>
        <w:ind w:firstLine="709"/>
        <w:rPr>
          <w:bCs/>
          <w:szCs w:val="26"/>
          <w:lang w:val="pt-BR"/>
        </w:rPr>
      </w:pPr>
      <w:r w:rsidRPr="008E63BB">
        <w:rPr>
          <w:bCs/>
          <w:szCs w:val="26"/>
          <w:lang w:val="pt-BR"/>
        </w:rPr>
        <w:t>Đất xây dựng ít thuận lợi do chiều cao ngập H</w:t>
      </w:r>
      <w:r w:rsidRPr="008E63BB">
        <w:rPr>
          <w:bCs/>
          <w:szCs w:val="26"/>
          <w:vertAlign w:val="subscript"/>
          <w:lang w:val="pt-BR"/>
        </w:rPr>
        <w:t>ngập</w:t>
      </w:r>
      <w:r w:rsidRPr="008E63BB">
        <w:rPr>
          <w:bCs/>
          <w:szCs w:val="26"/>
          <w:lang w:val="pt-BR"/>
        </w:rPr>
        <w:t xml:space="preserve"> ≤1,0m: bao gồm các khu vực ruộng, khu đất thấp trũng có khả năng bị ngập úng khi trời mưa to, khi phát triển xây dựng phải cải tạo nền: cao độ nền bờ tả Đào 1,0m≤ H</w:t>
      </w:r>
      <w:r w:rsidRPr="008E63BB">
        <w:rPr>
          <w:bCs/>
          <w:szCs w:val="26"/>
          <w:vertAlign w:val="subscript"/>
          <w:lang w:val="pt-BR"/>
        </w:rPr>
        <w:t>nền</w:t>
      </w:r>
      <w:r w:rsidRPr="008E63BB">
        <w:rPr>
          <w:bCs/>
          <w:szCs w:val="26"/>
          <w:lang w:val="pt-BR"/>
        </w:rPr>
        <w:t xml:space="preserve"> ≤2,0m, bờ hữu Đào 1,3m≤ H</w:t>
      </w:r>
      <w:r w:rsidRPr="008E63BB">
        <w:rPr>
          <w:bCs/>
          <w:szCs w:val="26"/>
          <w:vertAlign w:val="subscript"/>
          <w:lang w:val="pt-BR"/>
        </w:rPr>
        <w:t>nền</w:t>
      </w:r>
      <w:r w:rsidRPr="008E63BB">
        <w:rPr>
          <w:bCs/>
          <w:szCs w:val="26"/>
          <w:lang w:val="pt-BR"/>
        </w:rPr>
        <w:t xml:space="preserve"> ≤2,3m: chiếm diện tích 23%.</w:t>
      </w:r>
    </w:p>
    <w:p w14:paraId="519B2A16" w14:textId="77777777" w:rsidR="00115079" w:rsidRPr="008E63BB" w:rsidRDefault="00115079" w:rsidP="00115079">
      <w:pPr>
        <w:ind w:firstLine="709"/>
        <w:rPr>
          <w:bCs/>
          <w:szCs w:val="26"/>
          <w:lang w:val="pt-BR"/>
        </w:rPr>
      </w:pPr>
      <w:r w:rsidRPr="008E63BB">
        <w:rPr>
          <w:bCs/>
          <w:szCs w:val="26"/>
          <w:lang w:val="pt-BR"/>
        </w:rPr>
        <w:t>Đất xây dựng không thuận lợi xây dựng do chiều cao ngập H</w:t>
      </w:r>
      <w:r w:rsidRPr="008E63BB">
        <w:rPr>
          <w:bCs/>
          <w:szCs w:val="26"/>
          <w:vertAlign w:val="subscript"/>
          <w:lang w:val="pt-BR"/>
        </w:rPr>
        <w:t>ngập</w:t>
      </w:r>
      <w:r w:rsidRPr="008E63BB">
        <w:rPr>
          <w:bCs/>
          <w:szCs w:val="26"/>
          <w:lang w:val="pt-BR"/>
        </w:rPr>
        <w:t>&gt;1,0m: bao gồm cacsk hu vực ruộng, khu vực thấp trũng có khả năng bị ngập úng, cao độ nền bờ tả Đào H&lt;1,0m, bờ hữu Đào H&lt;1,3m: chiếm diện tích 16,8%.</w:t>
      </w:r>
    </w:p>
    <w:p w14:paraId="519B2A17" w14:textId="77777777" w:rsidR="00115079" w:rsidRPr="008E63BB" w:rsidRDefault="00115079" w:rsidP="00115079">
      <w:pPr>
        <w:ind w:firstLine="709"/>
        <w:rPr>
          <w:bCs/>
          <w:szCs w:val="26"/>
          <w:lang w:val="pt-BR"/>
        </w:rPr>
      </w:pPr>
      <w:r w:rsidRPr="008E63BB">
        <w:rPr>
          <w:bCs/>
          <w:szCs w:val="26"/>
          <w:lang w:val="pt-BR"/>
        </w:rPr>
        <w:t>Đất cấm xây dựng: bao gồm đất an ninh quốc phòng, đất di tích văn hóa lịch sử: chiếm diện tích 1,2%.</w:t>
      </w:r>
    </w:p>
    <w:p w14:paraId="519B2A18" w14:textId="77777777" w:rsidR="00115079" w:rsidRPr="008E63BB" w:rsidRDefault="00115079" w:rsidP="00115079">
      <w:pPr>
        <w:ind w:firstLine="709"/>
        <w:rPr>
          <w:bCs/>
          <w:szCs w:val="26"/>
          <w:lang w:val="pt-BR"/>
        </w:rPr>
      </w:pPr>
      <w:r w:rsidRPr="008E63BB">
        <w:rPr>
          <w:bCs/>
          <w:szCs w:val="26"/>
          <w:lang w:val="pt-BR"/>
        </w:rPr>
        <w:t xml:space="preserve">Đất mặt nước: 14,5%. </w:t>
      </w:r>
    </w:p>
    <w:p w14:paraId="519B2A19" w14:textId="77777777" w:rsidR="00115079" w:rsidRPr="008E63BB" w:rsidRDefault="00115079" w:rsidP="00115079">
      <w:pPr>
        <w:rPr>
          <w:rFonts w:eastAsia="Times New Roman"/>
          <w:b/>
          <w:i/>
          <w:szCs w:val="26"/>
          <w:lang w:val="pt-BR"/>
        </w:rPr>
      </w:pPr>
      <w:r w:rsidRPr="008E63BB">
        <w:rPr>
          <w:rFonts w:eastAsia="Times New Roman"/>
          <w:b/>
          <w:i/>
          <w:szCs w:val="26"/>
          <w:lang w:val="pt-BR"/>
        </w:rPr>
        <w:t>7/.  Đánh giá hiện trạng Chuẩn bị kỹ thuật:</w:t>
      </w:r>
    </w:p>
    <w:p w14:paraId="519B2A1A" w14:textId="77777777" w:rsidR="000309D0" w:rsidRPr="008E63BB" w:rsidRDefault="000309D0" w:rsidP="000309D0">
      <w:pPr>
        <w:rPr>
          <w:i/>
          <w:iCs/>
          <w:szCs w:val="26"/>
          <w:lang w:val="sv-SE"/>
        </w:rPr>
      </w:pPr>
      <w:r w:rsidRPr="008E63BB">
        <w:rPr>
          <w:i/>
          <w:iCs/>
          <w:szCs w:val="26"/>
          <w:lang w:val="sv-SE"/>
        </w:rPr>
        <w:t>* Thuận lợi:</w:t>
      </w:r>
    </w:p>
    <w:p w14:paraId="519B2A1B" w14:textId="77777777" w:rsidR="000309D0" w:rsidRPr="008E63BB" w:rsidRDefault="000309D0" w:rsidP="000309D0">
      <w:pPr>
        <w:numPr>
          <w:ilvl w:val="0"/>
          <w:numId w:val="16"/>
        </w:numPr>
        <w:tabs>
          <w:tab w:val="left" w:pos="900"/>
        </w:tabs>
        <w:ind w:left="0" w:firstLine="720"/>
        <w:rPr>
          <w:szCs w:val="26"/>
          <w:lang w:val="sv-SE"/>
        </w:rPr>
      </w:pPr>
      <w:r w:rsidRPr="008E63BB">
        <w:rPr>
          <w:szCs w:val="26"/>
          <w:lang w:val="sv-SE"/>
        </w:rPr>
        <w:t>Nhiều quỹ đất bằng phẳng, thuận lợi phát triển xây dựng.</w:t>
      </w:r>
    </w:p>
    <w:p w14:paraId="519B2A1C" w14:textId="77777777" w:rsidR="000309D0" w:rsidRPr="008E63BB" w:rsidRDefault="000309D0" w:rsidP="000309D0">
      <w:pPr>
        <w:numPr>
          <w:ilvl w:val="0"/>
          <w:numId w:val="16"/>
        </w:numPr>
        <w:tabs>
          <w:tab w:val="left" w:pos="900"/>
        </w:tabs>
        <w:ind w:left="0" w:firstLine="720"/>
        <w:rPr>
          <w:szCs w:val="26"/>
          <w:lang w:val="sv-SE"/>
        </w:rPr>
      </w:pPr>
      <w:r w:rsidRPr="008E63BB">
        <w:rPr>
          <w:szCs w:val="26"/>
          <w:lang w:val="sv-SE"/>
        </w:rPr>
        <w:t xml:space="preserve">Hệ thống kênh tiêu, sông ngòi nhiều thuận lợi cho thoát nước mặt nhanh chóng, triệt để. </w:t>
      </w:r>
    </w:p>
    <w:p w14:paraId="519B2A1D" w14:textId="77777777" w:rsidR="000309D0" w:rsidRPr="008E63BB" w:rsidRDefault="000309D0" w:rsidP="000309D0">
      <w:pPr>
        <w:rPr>
          <w:i/>
          <w:iCs/>
          <w:szCs w:val="26"/>
          <w:lang w:val="sv-SE"/>
        </w:rPr>
      </w:pPr>
      <w:r w:rsidRPr="008E63BB">
        <w:rPr>
          <w:i/>
          <w:iCs/>
          <w:szCs w:val="26"/>
          <w:lang w:val="sv-SE"/>
        </w:rPr>
        <w:t>* Hạn chế:</w:t>
      </w:r>
    </w:p>
    <w:p w14:paraId="519B2A1E" w14:textId="77777777" w:rsidR="000309D0" w:rsidRPr="008E63BB" w:rsidRDefault="000309D0" w:rsidP="000309D0">
      <w:pPr>
        <w:rPr>
          <w:iCs/>
          <w:szCs w:val="26"/>
          <w:lang w:val="sv-SE"/>
        </w:rPr>
      </w:pPr>
      <w:r w:rsidRPr="008E63BB">
        <w:rPr>
          <w:i/>
          <w:iCs/>
          <w:szCs w:val="26"/>
          <w:lang w:val="sv-SE"/>
        </w:rPr>
        <w:tab/>
      </w:r>
      <w:r w:rsidRPr="008E63BB">
        <w:rPr>
          <w:iCs/>
          <w:szCs w:val="26"/>
          <w:lang w:val="sv-SE"/>
        </w:rPr>
        <w:t>- Nhiều khu vực trung tâm nội thành có địa hình trũng thấp, dễ bị ngập úng khi trời mưa to kéo dài.</w:t>
      </w:r>
    </w:p>
    <w:p w14:paraId="519B2A1F" w14:textId="77777777" w:rsidR="000309D0" w:rsidRPr="008E63BB" w:rsidRDefault="000309D0" w:rsidP="000309D0">
      <w:pPr>
        <w:rPr>
          <w:iCs/>
          <w:szCs w:val="26"/>
          <w:lang w:val="sv-SE"/>
        </w:rPr>
      </w:pPr>
      <w:r w:rsidRPr="008E63BB">
        <w:rPr>
          <w:iCs/>
          <w:szCs w:val="26"/>
          <w:lang w:val="sv-SE"/>
        </w:rPr>
        <w:tab/>
        <w:t>- Các khu vực có quỹ đất phát triển xây dựng mới phần lớn là ruộng trũng dẫn tới trong quá trình đầu tư cần chi phí san nền lớn.</w:t>
      </w:r>
    </w:p>
    <w:p w14:paraId="519B2A20" w14:textId="77777777" w:rsidR="000309D0" w:rsidRPr="008E63BB" w:rsidRDefault="000309D0" w:rsidP="000309D0">
      <w:pPr>
        <w:rPr>
          <w:iCs/>
          <w:szCs w:val="26"/>
          <w:lang w:val="sv-SE"/>
        </w:rPr>
      </w:pPr>
      <w:r w:rsidRPr="008E63BB">
        <w:rPr>
          <w:iCs/>
          <w:szCs w:val="26"/>
          <w:lang w:val="sv-SE"/>
        </w:rPr>
        <w:tab/>
        <w:t>- Hệ thống cống thoát nước chung, lòng mương, cống, hồ, kênh tiêu ứ đọng nhiều bùn rác hạn chế khả năng thoát nước.</w:t>
      </w:r>
    </w:p>
    <w:p w14:paraId="519B2A21" w14:textId="77777777" w:rsidR="000309D0" w:rsidRPr="008E63BB" w:rsidRDefault="000309D0" w:rsidP="000309D0">
      <w:pPr>
        <w:rPr>
          <w:iCs/>
          <w:szCs w:val="26"/>
          <w:lang w:val="sv-SE"/>
        </w:rPr>
      </w:pPr>
      <w:r w:rsidRPr="008E63BB">
        <w:rPr>
          <w:iCs/>
          <w:szCs w:val="26"/>
          <w:lang w:val="sv-SE"/>
        </w:rPr>
        <w:tab/>
        <w:t>- Khu vực Ngoại Thành, dân cư thôn xóm tập trung chưa được đầu tư hệ thống thoát nước, vệ sinh môi trường chưa được đảm bảo</w:t>
      </w:r>
    </w:p>
    <w:p w14:paraId="519B2A22" w14:textId="77777777" w:rsidR="008F21D7" w:rsidRPr="008E63BB" w:rsidRDefault="008F21D7" w:rsidP="000309D0">
      <w:pPr>
        <w:rPr>
          <w:rFonts w:eastAsia="Times New Roman"/>
          <w:b/>
          <w:i/>
          <w:szCs w:val="26"/>
          <w:lang w:val="pt-BR"/>
        </w:rPr>
      </w:pPr>
      <w:r w:rsidRPr="008E63BB">
        <w:rPr>
          <w:rFonts w:eastAsia="Times New Roman"/>
          <w:b/>
          <w:i/>
          <w:szCs w:val="26"/>
          <w:lang w:val="pt-BR"/>
        </w:rPr>
        <w:t>8/.  Đánh giá thực</w:t>
      </w:r>
      <w:r w:rsidR="001A7F62" w:rsidRPr="008E63BB">
        <w:rPr>
          <w:rFonts w:eastAsia="Times New Roman"/>
          <w:b/>
          <w:i/>
          <w:szCs w:val="26"/>
          <w:lang w:val="pt-BR"/>
        </w:rPr>
        <w:t xml:space="preserve"> hiện theo QHC</w:t>
      </w:r>
      <w:r w:rsidRPr="008E63BB">
        <w:rPr>
          <w:rFonts w:eastAsia="Times New Roman"/>
          <w:b/>
          <w:i/>
          <w:szCs w:val="26"/>
          <w:lang w:val="pt-BR"/>
        </w:rPr>
        <w:t xml:space="preserve"> 2011: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4740"/>
        <w:gridCol w:w="2914"/>
      </w:tblGrid>
      <w:tr w:rsidR="001A7F62" w:rsidRPr="008E63BB" w14:paraId="519B2A26" w14:textId="77777777" w:rsidTr="001A4F88">
        <w:tc>
          <w:tcPr>
            <w:tcW w:w="1555" w:type="dxa"/>
          </w:tcPr>
          <w:p w14:paraId="519B2A23" w14:textId="77777777" w:rsidR="001A7F62" w:rsidRPr="008E63BB" w:rsidRDefault="001A7F62" w:rsidP="001A4F88">
            <w:pPr>
              <w:jc w:val="center"/>
              <w:rPr>
                <w:b/>
                <w:lang w:val="pt-BR" w:eastAsia="ja-JP"/>
              </w:rPr>
            </w:pPr>
            <w:r w:rsidRPr="008E63BB">
              <w:rPr>
                <w:b/>
                <w:lang w:val="pt-BR" w:eastAsia="ja-JP"/>
              </w:rPr>
              <w:t>Hạng mục</w:t>
            </w:r>
          </w:p>
        </w:tc>
        <w:tc>
          <w:tcPr>
            <w:tcW w:w="4740" w:type="dxa"/>
          </w:tcPr>
          <w:p w14:paraId="519B2A24" w14:textId="77777777" w:rsidR="001A7F62" w:rsidRPr="008E63BB" w:rsidRDefault="001A7F62" w:rsidP="001A4F88">
            <w:pPr>
              <w:jc w:val="center"/>
              <w:rPr>
                <w:b/>
                <w:lang w:val="pt-BR" w:eastAsia="ja-JP"/>
              </w:rPr>
            </w:pPr>
            <w:r w:rsidRPr="008E63BB">
              <w:rPr>
                <w:b/>
                <w:lang w:val="pt-BR" w:eastAsia="ja-JP"/>
              </w:rPr>
              <w:t>Định hướng QHC 2011</w:t>
            </w:r>
          </w:p>
        </w:tc>
        <w:tc>
          <w:tcPr>
            <w:tcW w:w="2914" w:type="dxa"/>
          </w:tcPr>
          <w:p w14:paraId="519B2A25" w14:textId="77777777" w:rsidR="001A7F62" w:rsidRPr="008E63BB" w:rsidRDefault="001A7F62" w:rsidP="001A4F88">
            <w:pPr>
              <w:jc w:val="center"/>
              <w:rPr>
                <w:b/>
                <w:lang w:val="pt-BR" w:eastAsia="ja-JP"/>
              </w:rPr>
            </w:pPr>
            <w:r w:rsidRPr="008E63BB">
              <w:rPr>
                <w:b/>
                <w:lang w:val="pt-BR" w:eastAsia="ja-JP"/>
              </w:rPr>
              <w:t>Rà soát, đánh giá hiện trạng năm 2019 với Định hướng QHC 2011</w:t>
            </w:r>
          </w:p>
        </w:tc>
      </w:tr>
      <w:tr w:rsidR="001A7F62" w:rsidRPr="008E63BB" w14:paraId="519B2A2F" w14:textId="77777777" w:rsidTr="001A4F88">
        <w:tc>
          <w:tcPr>
            <w:tcW w:w="1555" w:type="dxa"/>
          </w:tcPr>
          <w:p w14:paraId="519B2A27" w14:textId="77777777" w:rsidR="001A7F62" w:rsidRPr="008E63BB" w:rsidRDefault="001A7F62" w:rsidP="001A4F88">
            <w:pPr>
              <w:rPr>
                <w:lang w:val="pt-BR" w:eastAsia="ja-JP"/>
              </w:rPr>
            </w:pPr>
            <w:r w:rsidRPr="008E63BB">
              <w:rPr>
                <w:lang w:val="pt-BR" w:eastAsia="ja-JP"/>
              </w:rPr>
              <w:t xml:space="preserve">I. Công trình thủy lợi </w:t>
            </w:r>
          </w:p>
        </w:tc>
        <w:tc>
          <w:tcPr>
            <w:tcW w:w="4740" w:type="dxa"/>
          </w:tcPr>
          <w:p w14:paraId="519B2A28" w14:textId="77777777" w:rsidR="001A7F62" w:rsidRPr="008E63BB" w:rsidRDefault="001A7F62" w:rsidP="001A4F88">
            <w:pPr>
              <w:rPr>
                <w:lang w:val="pt-BR" w:eastAsia="ja-JP"/>
              </w:rPr>
            </w:pPr>
            <w:r w:rsidRPr="008E63BB">
              <w:rPr>
                <w:lang w:val="pt-BR" w:eastAsia="ja-JP"/>
              </w:rPr>
              <w:t>Giữ nguyên công suất các công trình trạm bơm tiêu nước mưa:</w:t>
            </w:r>
          </w:p>
          <w:p w14:paraId="519B2A29" w14:textId="77777777" w:rsidR="001A7F62" w:rsidRPr="008E63BB" w:rsidRDefault="001A7F62" w:rsidP="001A4F88">
            <w:pPr>
              <w:rPr>
                <w:lang w:val="pt-BR" w:eastAsia="ja-JP"/>
              </w:rPr>
            </w:pPr>
            <w:r w:rsidRPr="008E63BB">
              <w:rPr>
                <w:lang w:val="pt-BR" w:eastAsia="ja-JP"/>
              </w:rPr>
              <w:t>- Trạm bơm Quán Chuột: công suất 59.000 m</w:t>
            </w:r>
            <w:r w:rsidRPr="008E63BB">
              <w:rPr>
                <w:vertAlign w:val="superscript"/>
                <w:lang w:val="pt-BR" w:eastAsia="ja-JP"/>
              </w:rPr>
              <w:t>3</w:t>
            </w:r>
            <w:r w:rsidRPr="008E63BB">
              <w:rPr>
                <w:lang w:val="pt-BR" w:eastAsia="ja-JP"/>
              </w:rPr>
              <w:t>/h.</w:t>
            </w:r>
          </w:p>
          <w:p w14:paraId="519B2A2A" w14:textId="77777777" w:rsidR="001A7F62" w:rsidRPr="008E63BB" w:rsidRDefault="001A7F62" w:rsidP="001A4F88">
            <w:pPr>
              <w:rPr>
                <w:lang w:val="pt-BR" w:eastAsia="ja-JP"/>
              </w:rPr>
            </w:pPr>
            <w:r w:rsidRPr="008E63BB">
              <w:rPr>
                <w:lang w:val="pt-BR" w:eastAsia="ja-JP"/>
              </w:rPr>
              <w:t>- Trạm bơm Cốc Thành: công suất 224.000 m</w:t>
            </w:r>
            <w:r w:rsidRPr="008E63BB">
              <w:rPr>
                <w:vertAlign w:val="superscript"/>
                <w:lang w:val="pt-BR" w:eastAsia="ja-JP"/>
              </w:rPr>
              <w:t>3</w:t>
            </w:r>
            <w:r w:rsidRPr="008E63BB">
              <w:rPr>
                <w:lang w:val="pt-BR" w:eastAsia="ja-JP"/>
              </w:rPr>
              <w:t>/h,</w:t>
            </w:r>
          </w:p>
          <w:p w14:paraId="519B2A2B" w14:textId="77777777" w:rsidR="001A7F62" w:rsidRPr="008E63BB" w:rsidRDefault="001A7F62" w:rsidP="001A4F88">
            <w:pPr>
              <w:rPr>
                <w:lang w:val="pt-BR" w:eastAsia="ja-JP"/>
              </w:rPr>
            </w:pPr>
            <w:r w:rsidRPr="008E63BB">
              <w:rPr>
                <w:lang w:val="pt-BR" w:eastAsia="ja-JP"/>
              </w:rPr>
              <w:t>- Trạm Bơm Kênh Gia: công suất 43.000 m</w:t>
            </w:r>
            <w:r w:rsidRPr="008E63BB">
              <w:rPr>
                <w:vertAlign w:val="superscript"/>
                <w:lang w:val="pt-BR" w:eastAsia="ja-JP"/>
              </w:rPr>
              <w:t>3</w:t>
            </w:r>
            <w:r w:rsidRPr="008E63BB">
              <w:rPr>
                <w:lang w:val="pt-BR" w:eastAsia="ja-JP"/>
              </w:rPr>
              <w:t>/h.</w:t>
            </w:r>
          </w:p>
          <w:p w14:paraId="519B2A2C" w14:textId="77777777" w:rsidR="001A7F62" w:rsidRPr="008E63BB" w:rsidRDefault="001A7F62" w:rsidP="001A4F88">
            <w:pPr>
              <w:rPr>
                <w:lang w:val="pt-BR" w:eastAsia="ja-JP"/>
              </w:rPr>
            </w:pPr>
            <w:r w:rsidRPr="008E63BB">
              <w:rPr>
                <w:lang w:val="pt-BR" w:eastAsia="ja-JP"/>
              </w:rPr>
              <w:t>- Trạm bơm An Lá 2: công suất: 32000 m</w:t>
            </w:r>
            <w:r w:rsidRPr="008E63BB">
              <w:rPr>
                <w:vertAlign w:val="superscript"/>
                <w:lang w:val="pt-BR" w:eastAsia="ja-JP"/>
              </w:rPr>
              <w:t>3</w:t>
            </w:r>
            <w:r w:rsidRPr="008E63BB">
              <w:rPr>
                <w:lang w:val="pt-BR" w:eastAsia="ja-JP"/>
              </w:rPr>
              <w:t>/h</w:t>
            </w:r>
          </w:p>
          <w:p w14:paraId="519B2A2D" w14:textId="77777777" w:rsidR="001A7F62" w:rsidRPr="008E63BB" w:rsidRDefault="001A7F62" w:rsidP="001A4F88">
            <w:pPr>
              <w:rPr>
                <w:szCs w:val="26"/>
                <w:lang w:val="pt-BR" w:eastAsia="ja-JP"/>
              </w:rPr>
            </w:pPr>
          </w:p>
        </w:tc>
        <w:tc>
          <w:tcPr>
            <w:tcW w:w="2914" w:type="dxa"/>
          </w:tcPr>
          <w:p w14:paraId="519B2A2E" w14:textId="77777777" w:rsidR="001A7F62" w:rsidRPr="008E63BB" w:rsidRDefault="001A7F62" w:rsidP="001A4F88">
            <w:pPr>
              <w:rPr>
                <w:lang w:val="pt-BR" w:eastAsia="ja-JP"/>
              </w:rPr>
            </w:pPr>
            <w:r w:rsidRPr="008E63BB">
              <w:rPr>
                <w:lang w:val="pt-BR" w:eastAsia="ja-JP"/>
              </w:rPr>
              <w:t>Trong giai đoạn sau năm 2011 thành phố Nam Định đã hoàn thành dự án xây mới 2 trạm bơm: Quán Chuột: 59.000m</w:t>
            </w:r>
            <w:r w:rsidRPr="008E63BB">
              <w:rPr>
                <w:vertAlign w:val="superscript"/>
                <w:lang w:val="pt-BR" w:eastAsia="ja-JP"/>
              </w:rPr>
              <w:t>3</w:t>
            </w:r>
            <w:r w:rsidRPr="008E63BB">
              <w:rPr>
                <w:lang w:val="pt-BR" w:eastAsia="ja-JP"/>
              </w:rPr>
              <w:t>/h và Kênh Gia 43.000m</w:t>
            </w:r>
            <w:r w:rsidRPr="008E63BB">
              <w:rPr>
                <w:vertAlign w:val="superscript"/>
                <w:lang w:val="pt-BR" w:eastAsia="ja-JP"/>
              </w:rPr>
              <w:t>3</w:t>
            </w:r>
            <w:r w:rsidRPr="008E63BB">
              <w:rPr>
                <w:lang w:val="pt-BR" w:eastAsia="ja-JP"/>
              </w:rPr>
              <w:t>/h. Đồng thời cải tạo xây mới các hệ thống kênh tiêu cấp I, cấp II của các trạm bơm. Đáp ứng tốt nhu cầu thoát nước mưa cho thành phố Nam Đị</w:t>
            </w:r>
            <w:r w:rsidR="001A4F88" w:rsidRPr="008E63BB">
              <w:rPr>
                <w:lang w:val="pt-BR" w:eastAsia="ja-JP"/>
              </w:rPr>
              <w:t>nh vào mùa mưa lũ.</w:t>
            </w:r>
          </w:p>
        </w:tc>
      </w:tr>
      <w:tr w:rsidR="001A7F62" w:rsidRPr="008E63BB" w14:paraId="519B2A37" w14:textId="77777777" w:rsidTr="001A4F88">
        <w:tc>
          <w:tcPr>
            <w:tcW w:w="1555" w:type="dxa"/>
          </w:tcPr>
          <w:p w14:paraId="519B2A30" w14:textId="77777777" w:rsidR="001A7F62" w:rsidRPr="008E63BB" w:rsidRDefault="001A7F62" w:rsidP="001A4F88">
            <w:pPr>
              <w:rPr>
                <w:lang w:val="pt-BR" w:eastAsia="ja-JP"/>
              </w:rPr>
            </w:pPr>
            <w:r w:rsidRPr="008E63BB">
              <w:rPr>
                <w:lang w:val="pt-BR" w:eastAsia="ja-JP"/>
              </w:rPr>
              <w:t>I. San nền</w:t>
            </w:r>
          </w:p>
        </w:tc>
        <w:tc>
          <w:tcPr>
            <w:tcW w:w="4740" w:type="dxa"/>
          </w:tcPr>
          <w:p w14:paraId="519B2A31" w14:textId="77777777" w:rsidR="001A7F62" w:rsidRPr="008E63BB" w:rsidRDefault="001A7F62" w:rsidP="001A4F88">
            <w:pPr>
              <w:rPr>
                <w:lang w:val="pt-BR" w:eastAsia="ja-JP"/>
              </w:rPr>
            </w:pPr>
            <w:r w:rsidRPr="008E63BB">
              <w:rPr>
                <w:lang w:val="pt-BR" w:eastAsia="ja-JP"/>
              </w:rPr>
              <w:t>- Cao độ nền xây dựng khống chế như sau:</w:t>
            </w:r>
          </w:p>
          <w:p w14:paraId="519B2A32" w14:textId="77777777" w:rsidR="001A7F62" w:rsidRPr="008E63BB" w:rsidRDefault="001A7F62" w:rsidP="001A4F88">
            <w:pPr>
              <w:rPr>
                <w:lang w:val="pt-BR" w:eastAsia="ja-JP"/>
              </w:rPr>
            </w:pPr>
            <w:r w:rsidRPr="008E63BB">
              <w:rPr>
                <w:lang w:val="pt-BR" w:eastAsia="ja-JP"/>
              </w:rPr>
              <w:t>+ Bờ Tả sông Đào H</w:t>
            </w:r>
            <w:r w:rsidRPr="008E63BB">
              <w:rPr>
                <w:vertAlign w:val="subscript"/>
                <w:lang w:val="pt-BR" w:eastAsia="ja-JP"/>
              </w:rPr>
              <w:t>xdmin</w:t>
            </w:r>
            <w:r w:rsidRPr="008E63BB">
              <w:rPr>
                <w:lang w:val="pt-BR" w:eastAsia="ja-JP"/>
              </w:rPr>
              <w:t xml:space="preserve"> ≥ +2,5m</w:t>
            </w:r>
          </w:p>
          <w:p w14:paraId="519B2A33" w14:textId="77777777" w:rsidR="001A7F62" w:rsidRPr="008E63BB" w:rsidRDefault="001A7F62" w:rsidP="001A4F88">
            <w:pPr>
              <w:rPr>
                <w:lang w:val="pt-BR" w:eastAsia="ja-JP"/>
              </w:rPr>
            </w:pPr>
            <w:r w:rsidRPr="008E63BB">
              <w:rPr>
                <w:lang w:val="pt-BR" w:eastAsia="ja-JP"/>
              </w:rPr>
              <w:lastRenderedPageBreak/>
              <w:t>+ Bờ Hữu sông Đào H</w:t>
            </w:r>
            <w:r w:rsidRPr="008E63BB">
              <w:rPr>
                <w:vertAlign w:val="subscript"/>
                <w:lang w:val="pt-BR" w:eastAsia="ja-JP"/>
              </w:rPr>
              <w:t>xdmin</w:t>
            </w:r>
            <w:r w:rsidRPr="008E63BB">
              <w:rPr>
                <w:lang w:val="pt-BR" w:eastAsia="ja-JP"/>
              </w:rPr>
              <w:t xml:space="preserve"> ≥ +2,8m</w:t>
            </w:r>
          </w:p>
          <w:p w14:paraId="519B2A34" w14:textId="77777777" w:rsidR="001A7F62" w:rsidRPr="008E63BB" w:rsidRDefault="001A7F62" w:rsidP="001A4F88">
            <w:pPr>
              <w:rPr>
                <w:lang w:val="pt-BR" w:eastAsia="ja-JP"/>
              </w:rPr>
            </w:pPr>
            <w:r w:rsidRPr="008E63BB">
              <w:rPr>
                <w:lang w:val="pt-BR" w:eastAsia="ja-JP"/>
              </w:rPr>
              <w:t>- Các khu vực đã xây dựng: khu thành phố cũ, khu dân cư Ngoại Thành, các làng xóm có cao độ nền từ +(2,0 ÷ 4,8)m giữ nguyên địa hình tự nhiên, khi cải tạo và xây dựng công trình mới chỉ san lấp cục bộ, cao độ nền phải đảm bảo phối kết với cao độ nền xung quanh và không được ảnh hưởng tới tiêu thoát nước chung.</w:t>
            </w:r>
          </w:p>
          <w:p w14:paraId="519B2A35" w14:textId="77777777" w:rsidR="001A7F62" w:rsidRPr="008E63BB" w:rsidRDefault="001A7F62" w:rsidP="001A4F88">
            <w:pPr>
              <w:rPr>
                <w:lang w:val="pt-BR" w:eastAsia="ja-JP"/>
              </w:rPr>
            </w:pPr>
            <w:r w:rsidRPr="008E63BB">
              <w:rPr>
                <w:lang w:val="pt-BR" w:eastAsia="ja-JP"/>
              </w:rPr>
              <w:t>- Các công trình có cao độ nền &lt; +2m khi xây dựng cần đảm bảo cao độ tối thiể</w:t>
            </w:r>
            <w:r w:rsidR="001A4F88" w:rsidRPr="008E63BB">
              <w:rPr>
                <w:lang w:val="pt-BR" w:eastAsia="ja-JP"/>
              </w:rPr>
              <w:t>u.</w:t>
            </w:r>
          </w:p>
        </w:tc>
        <w:tc>
          <w:tcPr>
            <w:tcW w:w="2914" w:type="dxa"/>
          </w:tcPr>
          <w:p w14:paraId="519B2A36" w14:textId="77777777" w:rsidR="001A7F62" w:rsidRPr="008E63BB" w:rsidRDefault="001A7F62" w:rsidP="001A4F88">
            <w:pPr>
              <w:rPr>
                <w:lang w:val="pt-BR" w:eastAsia="ja-JP"/>
              </w:rPr>
            </w:pPr>
            <w:r w:rsidRPr="008E63BB">
              <w:rPr>
                <w:lang w:val="pt-BR" w:eastAsia="ja-JP"/>
              </w:rPr>
              <w:lastRenderedPageBreak/>
              <w:t xml:space="preserve">Các đồ án quy hoạch phân khu, quy hoạch chi </w:t>
            </w:r>
            <w:r w:rsidRPr="008E63BB">
              <w:rPr>
                <w:lang w:val="pt-BR" w:eastAsia="ja-JP"/>
              </w:rPr>
              <w:lastRenderedPageBreak/>
              <w:t>tiết, các dự án đầu tư xây dựng trên địa bàn thành phố Nam Định tuân thủ tốt cao độ nền xây dựng tối thiểu đã được phê duyệt</w:t>
            </w:r>
          </w:p>
        </w:tc>
      </w:tr>
      <w:tr w:rsidR="001A7F62" w:rsidRPr="008E63BB" w14:paraId="519B2A4B" w14:textId="77777777" w:rsidTr="001A4F88">
        <w:tc>
          <w:tcPr>
            <w:tcW w:w="1555" w:type="dxa"/>
          </w:tcPr>
          <w:p w14:paraId="519B2A38" w14:textId="77777777" w:rsidR="001A7F62" w:rsidRPr="008E63BB" w:rsidRDefault="001A7F62" w:rsidP="003D057A">
            <w:pPr>
              <w:rPr>
                <w:lang w:val="pt-BR" w:eastAsia="ja-JP"/>
              </w:rPr>
            </w:pPr>
            <w:r w:rsidRPr="008E63BB">
              <w:rPr>
                <w:lang w:val="pt-BR" w:eastAsia="ja-JP"/>
              </w:rPr>
              <w:lastRenderedPageBreak/>
              <w:t>II. Thoát nước mưa</w:t>
            </w:r>
          </w:p>
        </w:tc>
        <w:tc>
          <w:tcPr>
            <w:tcW w:w="4740" w:type="dxa"/>
          </w:tcPr>
          <w:p w14:paraId="519B2A39" w14:textId="77777777" w:rsidR="001A7F62" w:rsidRPr="008E63BB" w:rsidRDefault="001A7F62" w:rsidP="003D057A">
            <w:pPr>
              <w:numPr>
                <w:ilvl w:val="1"/>
                <w:numId w:val="15"/>
              </w:numPr>
              <w:tabs>
                <w:tab w:val="clear" w:pos="1440"/>
                <w:tab w:val="num" w:pos="322"/>
              </w:tabs>
              <w:ind w:left="0" w:firstLine="0"/>
              <w:jc w:val="left"/>
              <w:rPr>
                <w:lang w:val="pt-BR" w:eastAsia="ja-JP"/>
              </w:rPr>
            </w:pPr>
            <w:r w:rsidRPr="008E63BB">
              <w:rPr>
                <w:lang w:val="pt-BR" w:eastAsia="ja-JP"/>
              </w:rPr>
              <w:t>Hệ thống thoát nước:</w:t>
            </w:r>
          </w:p>
          <w:p w14:paraId="519B2A3A" w14:textId="77777777" w:rsidR="001A7F62" w:rsidRPr="008E63BB" w:rsidRDefault="001A7F62" w:rsidP="003D057A">
            <w:pPr>
              <w:rPr>
                <w:bCs/>
                <w:szCs w:val="26"/>
                <w:lang w:val="pt-BR"/>
              </w:rPr>
            </w:pPr>
            <w:r w:rsidRPr="008E63BB">
              <w:rPr>
                <w:bCs/>
                <w:szCs w:val="26"/>
                <w:lang w:val="pt-BR"/>
              </w:rPr>
              <w:t>+ Khu vực thành phố cũ, hệ thống thoát nước thiết kế riêng một nửa.</w:t>
            </w:r>
          </w:p>
          <w:p w14:paraId="519B2A3B" w14:textId="77777777" w:rsidR="001A7F62" w:rsidRPr="008E63BB" w:rsidRDefault="001A7F62" w:rsidP="003D057A">
            <w:pPr>
              <w:rPr>
                <w:bCs/>
                <w:szCs w:val="26"/>
                <w:lang w:val="pt-BR"/>
              </w:rPr>
            </w:pPr>
            <w:r w:rsidRPr="008E63BB">
              <w:rPr>
                <w:bCs/>
                <w:szCs w:val="26"/>
                <w:lang w:val="pt-BR"/>
              </w:rPr>
              <w:t>+ Khu vực xây mới, thiết kế hệ thống thoát nước mưa riêng hoàn toàn.</w:t>
            </w:r>
          </w:p>
          <w:p w14:paraId="519B2A3C" w14:textId="77777777" w:rsidR="001A7F62" w:rsidRPr="008E63BB" w:rsidRDefault="001A7F62" w:rsidP="003D057A">
            <w:pPr>
              <w:numPr>
                <w:ilvl w:val="1"/>
                <w:numId w:val="15"/>
              </w:numPr>
              <w:tabs>
                <w:tab w:val="clear" w:pos="1440"/>
                <w:tab w:val="num" w:pos="322"/>
              </w:tabs>
              <w:ind w:left="0" w:firstLine="0"/>
              <w:jc w:val="left"/>
              <w:rPr>
                <w:lang w:val="pt-BR" w:eastAsia="ja-JP"/>
              </w:rPr>
            </w:pPr>
            <w:r w:rsidRPr="008E63BB">
              <w:rPr>
                <w:lang w:val="pt-BR" w:eastAsia="ja-JP"/>
              </w:rPr>
              <w:t xml:space="preserve">Phân chia 4 lưu vực thoát nước mưa: </w:t>
            </w:r>
          </w:p>
          <w:p w14:paraId="519B2A3D" w14:textId="77777777" w:rsidR="001A7F62" w:rsidRPr="008E63BB" w:rsidRDefault="001A7F62" w:rsidP="003D057A">
            <w:pPr>
              <w:rPr>
                <w:bCs/>
                <w:szCs w:val="26"/>
                <w:lang w:val="pt-BR"/>
              </w:rPr>
            </w:pPr>
            <w:r w:rsidRPr="008E63BB">
              <w:rPr>
                <w:bCs/>
                <w:szCs w:val="26"/>
                <w:lang w:val="pt-BR"/>
              </w:rPr>
              <w:t>* Lưu vực phía Tây Nam thành phố</w:t>
            </w:r>
          </w:p>
          <w:p w14:paraId="519B2A3E" w14:textId="77777777" w:rsidR="001A7F62" w:rsidRPr="008E63BB" w:rsidRDefault="001A7F62" w:rsidP="003D057A">
            <w:pPr>
              <w:rPr>
                <w:bCs/>
                <w:szCs w:val="26"/>
                <w:lang w:val="pt-BR"/>
              </w:rPr>
            </w:pPr>
            <w:r w:rsidRPr="008E63BB">
              <w:rPr>
                <w:bCs/>
                <w:szCs w:val="26"/>
                <w:lang w:val="pt-BR"/>
              </w:rPr>
              <w:t>Nước mưa qua hệ thống cống, mương thuộc các phường Trần Hưng Đạo, Văn Miếu, Trường Thi, phường Năng Tĩnh, phường Ngô Quyền và phường Trần Quang Khải đổ ra Kênh Gia chảy về trạm bơm Kênh Gia 43.000m</w:t>
            </w:r>
            <w:r w:rsidRPr="008E63BB">
              <w:rPr>
                <w:bCs/>
                <w:szCs w:val="26"/>
                <w:vertAlign w:val="superscript"/>
                <w:lang w:val="pt-BR"/>
              </w:rPr>
              <w:t>3</w:t>
            </w:r>
            <w:r w:rsidRPr="008E63BB">
              <w:rPr>
                <w:bCs/>
                <w:szCs w:val="26"/>
                <w:lang w:val="pt-BR"/>
              </w:rPr>
              <w:t>/h  và trạm bơm Cốc Thành 224.000m</w:t>
            </w:r>
            <w:r w:rsidRPr="008E63BB">
              <w:rPr>
                <w:bCs/>
                <w:szCs w:val="26"/>
                <w:vertAlign w:val="superscript"/>
                <w:lang w:val="pt-BR"/>
              </w:rPr>
              <w:t>3</w:t>
            </w:r>
            <w:r w:rsidRPr="008E63BB">
              <w:rPr>
                <w:bCs/>
                <w:szCs w:val="26"/>
                <w:lang w:val="pt-BR"/>
              </w:rPr>
              <w:t xml:space="preserve">/h rồi sau đó được bơm ra sông Đào. </w:t>
            </w:r>
          </w:p>
          <w:p w14:paraId="519B2A3F" w14:textId="77777777" w:rsidR="001A7F62" w:rsidRPr="008E63BB" w:rsidRDefault="001A7F62" w:rsidP="003D057A">
            <w:pPr>
              <w:rPr>
                <w:bCs/>
                <w:szCs w:val="26"/>
                <w:lang w:val="pt-BR"/>
              </w:rPr>
            </w:pPr>
            <w:r w:rsidRPr="008E63BB">
              <w:rPr>
                <w:bCs/>
                <w:szCs w:val="26"/>
                <w:lang w:val="pt-BR"/>
              </w:rPr>
              <w:t>* Lưu vực phía Đông Bắc thành phố</w:t>
            </w:r>
          </w:p>
          <w:p w14:paraId="519B2A40" w14:textId="77777777" w:rsidR="001A7F62" w:rsidRPr="008E63BB" w:rsidRDefault="001A7F62" w:rsidP="003D057A">
            <w:pPr>
              <w:rPr>
                <w:bCs/>
                <w:szCs w:val="26"/>
                <w:lang w:val="pt-BR"/>
              </w:rPr>
            </w:pPr>
            <w:r w:rsidRPr="008E63BB">
              <w:rPr>
                <w:bCs/>
                <w:szCs w:val="26"/>
                <w:lang w:val="pt-BR"/>
              </w:rPr>
              <w:t>Nước mưa qua hệ thống cống, mương hiện trạng thuộc các phường Lộc Hạ, Hạ Long, Trần Tế Xương, Vị Hoàng, Phan Đình Phùng một phần đổ ra các hồ chứa nước hiện trạng như hồ Vị Xuyên, hồ Lê Hồng Phong, hồ Vị Hoàng sau đó đổ ra kênh thoát T3-11 chảy về trạm bơm Quán Chuột 43.000m</w:t>
            </w:r>
            <w:r w:rsidRPr="008E63BB">
              <w:rPr>
                <w:bCs/>
                <w:szCs w:val="26"/>
                <w:vertAlign w:val="superscript"/>
                <w:lang w:val="pt-BR"/>
              </w:rPr>
              <w:t>3</w:t>
            </w:r>
            <w:r w:rsidRPr="008E63BB">
              <w:rPr>
                <w:bCs/>
                <w:szCs w:val="26"/>
                <w:lang w:val="pt-BR"/>
              </w:rPr>
              <w:t xml:space="preserve">/h và được bơm ra sông Hồng. </w:t>
            </w:r>
          </w:p>
          <w:p w14:paraId="519B2A41" w14:textId="77777777" w:rsidR="001A7F62" w:rsidRPr="008E63BB" w:rsidRDefault="001A7F62" w:rsidP="003D057A">
            <w:pPr>
              <w:rPr>
                <w:bCs/>
                <w:szCs w:val="26"/>
                <w:lang w:val="pt-BR"/>
              </w:rPr>
            </w:pPr>
            <w:r w:rsidRPr="008E63BB">
              <w:rPr>
                <w:bCs/>
                <w:szCs w:val="26"/>
                <w:lang w:val="pt-BR"/>
              </w:rPr>
              <w:t xml:space="preserve">* Lưu vực phía Tây Bắc thành phố </w:t>
            </w:r>
          </w:p>
          <w:p w14:paraId="519B2A42" w14:textId="77777777" w:rsidR="001A7F62" w:rsidRPr="008E63BB" w:rsidRDefault="001A7F62" w:rsidP="003D057A">
            <w:pPr>
              <w:rPr>
                <w:bCs/>
                <w:szCs w:val="26"/>
                <w:lang w:val="pt-BR"/>
              </w:rPr>
            </w:pPr>
            <w:r w:rsidRPr="008E63BB">
              <w:rPr>
                <w:bCs/>
                <w:szCs w:val="26"/>
                <w:lang w:val="pt-BR"/>
              </w:rPr>
              <w:t>Nước mưa qua hệ thống cống, mương hiện trạng thuộc các phường Lộc Vượng, Thống Nhất, Quang Trung, Bà Triệu, Nguyễn Du, Cửa Bắc, Trần Đăng Ninh thoát ra kênh T3-11 chảy về trạm bơm Quán Chuột, một phần thoát ra sông Vĩnh Giang.</w:t>
            </w:r>
          </w:p>
          <w:p w14:paraId="519B2A43" w14:textId="77777777" w:rsidR="001A7F62" w:rsidRPr="008E63BB" w:rsidRDefault="001A7F62" w:rsidP="003D057A">
            <w:pPr>
              <w:rPr>
                <w:bCs/>
                <w:szCs w:val="26"/>
                <w:lang w:val="pt-BR"/>
              </w:rPr>
            </w:pPr>
            <w:r w:rsidRPr="008E63BB">
              <w:rPr>
                <w:bCs/>
                <w:szCs w:val="26"/>
                <w:lang w:val="pt-BR"/>
              </w:rPr>
              <w:t>* Lưu vực phía Nam thành phố ( bờ tả sông Đào).</w:t>
            </w:r>
          </w:p>
          <w:p w14:paraId="519B2A44" w14:textId="77777777" w:rsidR="001A7F62" w:rsidRPr="008E63BB" w:rsidRDefault="001A7F62" w:rsidP="003D057A">
            <w:pPr>
              <w:rPr>
                <w:bCs/>
                <w:szCs w:val="26"/>
                <w:lang w:val="pt-BR"/>
              </w:rPr>
            </w:pPr>
            <w:r w:rsidRPr="008E63BB">
              <w:rPr>
                <w:bCs/>
                <w:szCs w:val="26"/>
                <w:lang w:val="pt-BR"/>
              </w:rPr>
              <w:t>Nước mưa tự chảy thoát ra hệ thống kênh, mương tiêu tự nhiên rồi thoát ra sông Hồng và sông Đào qua các cống tiêu và trạm bơm An Lá 2 công suất 32.000 m</w:t>
            </w:r>
            <w:r w:rsidRPr="008E63BB">
              <w:rPr>
                <w:bCs/>
                <w:szCs w:val="26"/>
                <w:vertAlign w:val="superscript"/>
                <w:lang w:val="pt-BR"/>
              </w:rPr>
              <w:t>3</w:t>
            </w:r>
            <w:r w:rsidR="001A4F88" w:rsidRPr="008E63BB">
              <w:rPr>
                <w:bCs/>
                <w:szCs w:val="26"/>
                <w:lang w:val="pt-BR"/>
              </w:rPr>
              <w:t>/h.</w:t>
            </w:r>
          </w:p>
        </w:tc>
        <w:tc>
          <w:tcPr>
            <w:tcW w:w="2914" w:type="dxa"/>
          </w:tcPr>
          <w:p w14:paraId="519B2A45" w14:textId="77777777" w:rsidR="001A7F62" w:rsidRPr="008E63BB" w:rsidRDefault="001A7F62" w:rsidP="001A4F88">
            <w:pPr>
              <w:numPr>
                <w:ilvl w:val="0"/>
                <w:numId w:val="41"/>
              </w:numPr>
              <w:tabs>
                <w:tab w:val="left" w:pos="321"/>
              </w:tabs>
              <w:ind w:left="0" w:firstLine="0"/>
              <w:jc w:val="left"/>
              <w:rPr>
                <w:lang w:val="pt-BR" w:eastAsia="ja-JP"/>
              </w:rPr>
            </w:pPr>
            <w:r w:rsidRPr="008E63BB">
              <w:rPr>
                <w:lang w:val="pt-BR" w:eastAsia="ja-JP"/>
              </w:rPr>
              <w:t xml:space="preserve">Hệ thống thoát nước: </w:t>
            </w:r>
          </w:p>
          <w:p w14:paraId="519B2A46" w14:textId="77777777" w:rsidR="001A7F62" w:rsidRPr="008E63BB" w:rsidRDefault="001A7F62" w:rsidP="001A4F88">
            <w:pPr>
              <w:rPr>
                <w:bCs/>
                <w:szCs w:val="26"/>
                <w:lang w:val="pt-BR"/>
              </w:rPr>
            </w:pPr>
            <w:r w:rsidRPr="008E63BB">
              <w:rPr>
                <w:bCs/>
                <w:szCs w:val="26"/>
                <w:lang w:val="pt-BR"/>
              </w:rPr>
              <w:t>+ Khu vực thành phố cũ: chưa cải tạo được thành hệ thống thoát nước nửa riêng. Vẫn là hệ thống thoát chung giữa nước thải và nước mưa.</w:t>
            </w:r>
          </w:p>
          <w:p w14:paraId="519B2A47" w14:textId="77777777" w:rsidR="001A7F62" w:rsidRPr="008E63BB" w:rsidRDefault="001A7F62" w:rsidP="001A4F88">
            <w:pPr>
              <w:rPr>
                <w:bCs/>
                <w:szCs w:val="26"/>
                <w:lang w:val="pt-BR"/>
              </w:rPr>
            </w:pPr>
            <w:r w:rsidRPr="008E63BB">
              <w:rPr>
                <w:bCs/>
                <w:szCs w:val="26"/>
                <w:lang w:val="pt-BR"/>
              </w:rPr>
              <w:t>+ Khu vực xây mới: tuân thủ tốt thiết kế hệ thống thoát nước mưa riêng hoàn toàn.</w:t>
            </w:r>
          </w:p>
          <w:p w14:paraId="519B2A48" w14:textId="77777777" w:rsidR="001A7F62" w:rsidRPr="008E63BB" w:rsidRDefault="001A7F62" w:rsidP="001A4F88">
            <w:pPr>
              <w:numPr>
                <w:ilvl w:val="0"/>
                <w:numId w:val="41"/>
              </w:numPr>
              <w:tabs>
                <w:tab w:val="left" w:pos="321"/>
              </w:tabs>
              <w:ind w:left="0" w:firstLine="0"/>
              <w:jc w:val="left"/>
              <w:rPr>
                <w:lang w:val="pt-BR" w:eastAsia="ja-JP"/>
              </w:rPr>
            </w:pPr>
            <w:r w:rsidRPr="008E63BB">
              <w:rPr>
                <w:lang w:val="pt-BR" w:eastAsia="ja-JP"/>
              </w:rPr>
              <w:t xml:space="preserve">Phân chia 4 lưu vực thoát nước mưa: </w:t>
            </w:r>
          </w:p>
          <w:p w14:paraId="519B2A49" w14:textId="77777777" w:rsidR="001A7F62" w:rsidRPr="008E63BB" w:rsidRDefault="001A7F62" w:rsidP="001A4F88">
            <w:pPr>
              <w:tabs>
                <w:tab w:val="left" w:pos="321"/>
              </w:tabs>
              <w:rPr>
                <w:lang w:val="pt-BR" w:eastAsia="ja-JP"/>
              </w:rPr>
            </w:pPr>
            <w:r w:rsidRPr="008E63BB">
              <w:rPr>
                <w:lang w:val="pt-BR" w:eastAsia="ja-JP"/>
              </w:rPr>
              <w:t>Tuân thủ tốt định hướng phân chia lưu vực thoát nước mưa</w:t>
            </w:r>
          </w:p>
          <w:p w14:paraId="519B2A4A" w14:textId="77777777" w:rsidR="001A7F62" w:rsidRPr="008E63BB" w:rsidRDefault="001A7F62" w:rsidP="001A4F88">
            <w:pPr>
              <w:ind w:left="720"/>
              <w:rPr>
                <w:lang w:val="pt-BR" w:eastAsia="ja-JP"/>
              </w:rPr>
            </w:pPr>
          </w:p>
        </w:tc>
      </w:tr>
    </w:tbl>
    <w:p w14:paraId="519B2A4C" w14:textId="77777777" w:rsidR="00682A01" w:rsidRPr="008E63BB" w:rsidRDefault="00682A01" w:rsidP="0065184D">
      <w:pPr>
        <w:pStyle w:val="Heading3"/>
      </w:pPr>
      <w:bookmarkStart w:id="230" w:name="_Toc21954839"/>
      <w:bookmarkStart w:id="231" w:name="_Toc21955338"/>
      <w:bookmarkStart w:id="232" w:name="_Toc24361912"/>
      <w:bookmarkStart w:id="233" w:name="_Toc47524671"/>
      <w:r w:rsidRPr="008E63BB">
        <w:lastRenderedPageBreak/>
        <w:t>2.7.3. Hiện trạng cấp nước</w:t>
      </w:r>
      <w:bookmarkEnd w:id="230"/>
      <w:bookmarkEnd w:id="231"/>
      <w:bookmarkEnd w:id="232"/>
      <w:bookmarkEnd w:id="233"/>
    </w:p>
    <w:p w14:paraId="519B2A4D" w14:textId="77777777" w:rsidR="00682A01" w:rsidRPr="008E63BB" w:rsidRDefault="00682A01" w:rsidP="0065184D">
      <w:pPr>
        <w:rPr>
          <w:b/>
          <w:i/>
          <w:szCs w:val="26"/>
          <w:lang w:val="pt-BR"/>
        </w:rPr>
      </w:pPr>
      <w:r w:rsidRPr="008E63BB">
        <w:rPr>
          <w:b/>
          <w:i/>
          <w:szCs w:val="26"/>
          <w:lang w:val="pt-BR"/>
        </w:rPr>
        <w:t>2.7.3.1. Hiện trạng cấp nướ</w:t>
      </w:r>
      <w:r w:rsidR="00A76470" w:rsidRPr="008E63BB">
        <w:rPr>
          <w:b/>
          <w:i/>
          <w:szCs w:val="26"/>
          <w:lang w:val="pt-BR"/>
        </w:rPr>
        <w:t>c</w:t>
      </w:r>
    </w:p>
    <w:p w14:paraId="519B2A4E" w14:textId="77777777" w:rsidR="00682A01" w:rsidRPr="008E63BB" w:rsidRDefault="00682A01" w:rsidP="0065184D">
      <w:pPr>
        <w:rPr>
          <w:b/>
          <w:i/>
          <w:iCs/>
          <w:szCs w:val="26"/>
          <w:lang w:val="pt-BR"/>
        </w:rPr>
      </w:pPr>
      <w:r w:rsidRPr="008E63BB">
        <w:rPr>
          <w:b/>
          <w:i/>
          <w:iCs/>
          <w:szCs w:val="26"/>
          <w:lang w:val="pt-BR"/>
        </w:rPr>
        <w:t>a. Nguồn nước:</w:t>
      </w:r>
    </w:p>
    <w:p w14:paraId="519B2A4F" w14:textId="77777777" w:rsidR="00682A01" w:rsidRPr="008E63BB" w:rsidRDefault="00682A01" w:rsidP="0065184D">
      <w:pPr>
        <w:rPr>
          <w:iCs/>
          <w:szCs w:val="26"/>
          <w:lang w:val="pt-BR"/>
        </w:rPr>
      </w:pPr>
      <w:r w:rsidRPr="008E63BB">
        <w:rPr>
          <w:b/>
          <w:i/>
          <w:iCs/>
          <w:szCs w:val="26"/>
          <w:lang w:val="pt-BR"/>
        </w:rPr>
        <w:tab/>
      </w:r>
      <w:r w:rsidRPr="008E63BB">
        <w:rPr>
          <w:iCs/>
          <w:szCs w:val="26"/>
          <w:lang w:val="pt-BR"/>
        </w:rPr>
        <w:t>Thành phố Nam Định hiện đang sử dụng nguồn nước mặt sông Hồng và sông Đào làm nguồn nước cấp cho sinh hoạt và sản xuất.</w:t>
      </w:r>
    </w:p>
    <w:p w14:paraId="519B2A50" w14:textId="77777777" w:rsidR="00682A01" w:rsidRPr="008E63BB" w:rsidRDefault="00682A01" w:rsidP="0065184D">
      <w:pPr>
        <w:rPr>
          <w:b/>
          <w:i/>
          <w:iCs/>
          <w:szCs w:val="26"/>
          <w:lang w:val="pt-BR"/>
        </w:rPr>
      </w:pPr>
      <w:r w:rsidRPr="008E63BB">
        <w:rPr>
          <w:b/>
          <w:i/>
          <w:iCs/>
          <w:szCs w:val="26"/>
          <w:lang w:val="pt-BR"/>
        </w:rPr>
        <w:t>b. Công trình đầu mối:</w:t>
      </w:r>
    </w:p>
    <w:p w14:paraId="519B2A51" w14:textId="77777777" w:rsidR="00682A01" w:rsidRPr="008E63BB" w:rsidRDefault="00682A01" w:rsidP="0065184D">
      <w:pPr>
        <w:rPr>
          <w:i/>
          <w:szCs w:val="26"/>
          <w:lang w:val="pt-BR"/>
        </w:rPr>
      </w:pPr>
      <w:r w:rsidRPr="008E63BB">
        <w:rPr>
          <w:i/>
          <w:szCs w:val="26"/>
          <w:lang w:val="pt-BR"/>
        </w:rPr>
        <w:t>b.1. Cấp nước đô thị</w:t>
      </w:r>
    </w:p>
    <w:p w14:paraId="519B2A52" w14:textId="77777777" w:rsidR="00682A01" w:rsidRPr="008E63BB" w:rsidRDefault="00682A01" w:rsidP="0065184D">
      <w:pPr>
        <w:pStyle w:val="BodyText2"/>
        <w:spacing w:after="0" w:line="240" w:lineRule="auto"/>
        <w:ind w:firstLine="709"/>
        <w:rPr>
          <w:szCs w:val="26"/>
          <w:lang w:val="pt-BR"/>
        </w:rPr>
      </w:pPr>
      <w:r w:rsidRPr="008E63BB">
        <w:rPr>
          <w:szCs w:val="26"/>
          <w:lang w:val="pt-BR"/>
        </w:rPr>
        <w:t xml:space="preserve">- Nhà máy nước sản xuất nước sạch thành phố Nam Định </w:t>
      </w:r>
      <w:r w:rsidRPr="008E63BB">
        <w:rPr>
          <w:szCs w:val="26"/>
        </w:rPr>
        <w:t xml:space="preserve">công suất thiết kế </w:t>
      </w:r>
      <w:r w:rsidRPr="008E63BB">
        <w:rPr>
          <w:szCs w:val="26"/>
          <w:lang w:val="pt-BR"/>
        </w:rPr>
        <w:t>7</w:t>
      </w:r>
      <w:r w:rsidRPr="008E63BB">
        <w:rPr>
          <w:szCs w:val="26"/>
        </w:rPr>
        <w:t>5.000m</w:t>
      </w:r>
      <w:r w:rsidRPr="008E63BB">
        <w:rPr>
          <w:szCs w:val="26"/>
          <w:vertAlign w:val="superscript"/>
        </w:rPr>
        <w:t>3</w:t>
      </w:r>
      <w:r w:rsidRPr="008E63BB">
        <w:rPr>
          <w:szCs w:val="26"/>
        </w:rPr>
        <w:t>/ ngày đêm</w:t>
      </w:r>
      <w:r w:rsidRPr="008E63BB">
        <w:rPr>
          <w:szCs w:val="26"/>
          <w:lang w:val="pt-BR"/>
        </w:rPr>
        <w:t>, công suất khai thác tại thời điểm lớn nhất: 73.000 m3/ngày đêm; tỷ lệ % dân số cung cấp nước sạch đạt 100%, tỷ lệ thất thoát nước: 21,5%</w:t>
      </w:r>
    </w:p>
    <w:p w14:paraId="519B2A53" w14:textId="77777777" w:rsidR="00682A01" w:rsidRPr="008E63BB" w:rsidRDefault="00682A01" w:rsidP="0065184D">
      <w:pPr>
        <w:pStyle w:val="BodyText2"/>
        <w:spacing w:after="0" w:line="240" w:lineRule="auto"/>
        <w:ind w:firstLine="709"/>
        <w:rPr>
          <w:szCs w:val="26"/>
          <w:lang w:val="pt-BR"/>
        </w:rPr>
      </w:pPr>
      <w:r w:rsidRPr="008E63BB">
        <w:rPr>
          <w:szCs w:val="26"/>
          <w:lang w:val="pt-BR"/>
        </w:rPr>
        <w:t>+T</w:t>
      </w:r>
      <w:r w:rsidRPr="008E63BB">
        <w:rPr>
          <w:szCs w:val="26"/>
        </w:rPr>
        <w:t xml:space="preserve">rạm bơm nước thô được xây dựng tại bờ </w:t>
      </w:r>
      <w:r w:rsidRPr="008E63BB">
        <w:rPr>
          <w:szCs w:val="26"/>
          <w:lang w:val="pt-BR"/>
        </w:rPr>
        <w:t>Tây</w:t>
      </w:r>
      <w:r w:rsidRPr="008E63BB">
        <w:rPr>
          <w:szCs w:val="26"/>
        </w:rPr>
        <w:t xml:space="preserve"> sông </w:t>
      </w:r>
      <w:r w:rsidRPr="008E63BB">
        <w:rPr>
          <w:szCs w:val="26"/>
          <w:lang w:val="pt-BR"/>
        </w:rPr>
        <w:t>Đào</w:t>
      </w:r>
      <w:r w:rsidRPr="008E63BB">
        <w:rPr>
          <w:szCs w:val="26"/>
        </w:rPr>
        <w:t xml:space="preserve"> thuộc </w:t>
      </w:r>
      <w:r w:rsidRPr="008E63BB">
        <w:rPr>
          <w:szCs w:val="26"/>
          <w:lang w:val="pt-BR"/>
        </w:rPr>
        <w:t>thành phố Nam Định</w:t>
      </w:r>
      <w:r w:rsidRPr="008E63BB">
        <w:rPr>
          <w:szCs w:val="26"/>
        </w:rPr>
        <w:t xml:space="preserve">; nguồn khai thác là nước Sông </w:t>
      </w:r>
      <w:r w:rsidRPr="008E63BB">
        <w:rPr>
          <w:szCs w:val="26"/>
          <w:lang w:val="pt-BR"/>
        </w:rPr>
        <w:t>Đào</w:t>
      </w:r>
      <w:r w:rsidRPr="008E63BB">
        <w:rPr>
          <w:szCs w:val="26"/>
        </w:rPr>
        <w:t xml:space="preserve"> với công suất thiết kế </w:t>
      </w:r>
      <w:r w:rsidRPr="008E63BB">
        <w:rPr>
          <w:szCs w:val="26"/>
          <w:lang w:val="pt-BR"/>
        </w:rPr>
        <w:t>trạm bơm số 1: 75</w:t>
      </w:r>
      <w:r w:rsidRPr="008E63BB">
        <w:rPr>
          <w:szCs w:val="26"/>
        </w:rPr>
        <w:t>.000m</w:t>
      </w:r>
      <w:r w:rsidRPr="008E63BB">
        <w:rPr>
          <w:szCs w:val="26"/>
          <w:vertAlign w:val="superscript"/>
        </w:rPr>
        <w:t>3</w:t>
      </w:r>
      <w:r w:rsidRPr="008E63BB">
        <w:rPr>
          <w:szCs w:val="26"/>
        </w:rPr>
        <w:t>/ngày đêm</w:t>
      </w:r>
      <w:r w:rsidRPr="008E63BB">
        <w:rPr>
          <w:szCs w:val="26"/>
          <w:lang w:val="pt-BR"/>
        </w:rPr>
        <w:t>, trạm bơm số 2: 30.000 m3/ngày đêm</w:t>
      </w:r>
      <w:r w:rsidRPr="008E63BB">
        <w:rPr>
          <w:szCs w:val="26"/>
        </w:rPr>
        <w:t>.</w:t>
      </w:r>
    </w:p>
    <w:p w14:paraId="519B2A54" w14:textId="77777777" w:rsidR="00682A01" w:rsidRPr="008E63BB" w:rsidRDefault="00682A01" w:rsidP="0065184D">
      <w:pPr>
        <w:pStyle w:val="BodyText2"/>
        <w:spacing w:after="0" w:line="240" w:lineRule="auto"/>
        <w:ind w:firstLine="709"/>
        <w:rPr>
          <w:szCs w:val="26"/>
          <w:lang w:val="pt-BR"/>
        </w:rPr>
      </w:pPr>
      <w:r w:rsidRPr="008E63BB">
        <w:rPr>
          <w:szCs w:val="26"/>
          <w:lang w:val="pt-BR"/>
        </w:rPr>
        <w:t>+ Phạm vi phục vụ: Khu vực thành phố Nam Định và 07 xã: Mỹ Trung, Mỹ Tân, Mỹ Phúc, Mỹ Thành, Tân Thành huyện Vụ Bản và một phần xã Nam Vân, Nam Phong huyện Nam Trực</w:t>
      </w:r>
    </w:p>
    <w:p w14:paraId="519B2A55" w14:textId="77777777" w:rsidR="00682A01" w:rsidRPr="008E63BB" w:rsidRDefault="00682A01" w:rsidP="0065184D">
      <w:pPr>
        <w:pStyle w:val="BodyText2"/>
        <w:spacing w:after="0" w:line="240" w:lineRule="auto"/>
        <w:ind w:firstLine="709"/>
        <w:rPr>
          <w:szCs w:val="26"/>
          <w:lang w:val="pt-BR"/>
        </w:rPr>
      </w:pPr>
      <w:r w:rsidRPr="008E63BB">
        <w:rPr>
          <w:szCs w:val="26"/>
          <w:lang w:val="pt-BR"/>
        </w:rPr>
        <w:t xml:space="preserve">- Mạng lưới cấp nước gồm các tuyến ống cấp 1 có đường kính từ </w:t>
      </w:r>
      <w:r w:rsidRPr="008E63BB">
        <w:rPr>
          <w:szCs w:val="26"/>
          <w:lang w:val="en-US"/>
        </w:rPr>
        <w:sym w:font="Symbol" w:char="F0C6"/>
      </w:r>
      <w:r w:rsidRPr="008E63BB">
        <w:rPr>
          <w:szCs w:val="26"/>
          <w:lang w:val="pt-BR"/>
        </w:rPr>
        <w:t xml:space="preserve">110mm ÷ </w:t>
      </w:r>
      <w:r w:rsidRPr="008E63BB">
        <w:rPr>
          <w:szCs w:val="26"/>
          <w:lang w:val="en-US"/>
        </w:rPr>
        <w:sym w:font="Symbol" w:char="F0C6"/>
      </w:r>
      <w:r w:rsidRPr="008E63BB">
        <w:rPr>
          <w:szCs w:val="26"/>
          <w:lang w:val="pt-BR"/>
        </w:rPr>
        <w:t xml:space="preserve">800 mm với tổng chiều dài: 100.669m, tuyến ống cấp 2 có đường kính từ </w:t>
      </w:r>
      <w:r w:rsidRPr="008E63BB">
        <w:rPr>
          <w:szCs w:val="26"/>
          <w:lang w:val="en-US"/>
        </w:rPr>
        <w:sym w:font="Symbol" w:char="F0C6"/>
      </w:r>
      <w:r w:rsidRPr="008E63BB">
        <w:rPr>
          <w:szCs w:val="26"/>
          <w:lang w:val="pt-BR"/>
        </w:rPr>
        <w:t>32÷</w:t>
      </w:r>
      <w:r w:rsidRPr="008E63BB">
        <w:rPr>
          <w:szCs w:val="26"/>
          <w:lang w:val="en-US"/>
        </w:rPr>
        <w:sym w:font="Symbol" w:char="F0C6"/>
      </w:r>
      <w:r w:rsidRPr="008E63BB">
        <w:rPr>
          <w:szCs w:val="26"/>
          <w:lang w:val="pt-BR"/>
        </w:rPr>
        <w:t>90mm với tổng chiều dài: 951.000 m</w:t>
      </w:r>
    </w:p>
    <w:p w14:paraId="519B2A56" w14:textId="77777777" w:rsidR="00682A01" w:rsidRPr="008E63BB" w:rsidRDefault="00682A01" w:rsidP="0065184D">
      <w:pPr>
        <w:pStyle w:val="BodyText2"/>
        <w:spacing w:after="0" w:line="240" w:lineRule="auto"/>
        <w:jc w:val="center"/>
        <w:rPr>
          <w:b/>
          <w:szCs w:val="26"/>
          <w:lang w:val="pt-BR"/>
        </w:rPr>
      </w:pPr>
      <w:r w:rsidRPr="008E63BB">
        <w:rPr>
          <w:b/>
          <w:szCs w:val="26"/>
          <w:lang w:val="pt-BR"/>
        </w:rPr>
        <w:t>Bảng thống kê chi tiết mạng lưới cấp nước</w:t>
      </w: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672"/>
        <w:gridCol w:w="1080"/>
        <w:gridCol w:w="720"/>
        <w:gridCol w:w="2880"/>
        <w:gridCol w:w="1440"/>
      </w:tblGrid>
      <w:tr w:rsidR="008D5BFE" w:rsidRPr="008E63BB" w14:paraId="519B2A5D" w14:textId="77777777" w:rsidTr="000C0CC7">
        <w:tc>
          <w:tcPr>
            <w:tcW w:w="563" w:type="dxa"/>
            <w:shd w:val="clear" w:color="auto" w:fill="auto"/>
          </w:tcPr>
          <w:p w14:paraId="519B2A57"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TT</w:t>
            </w:r>
          </w:p>
        </w:tc>
        <w:tc>
          <w:tcPr>
            <w:tcW w:w="2672" w:type="dxa"/>
            <w:shd w:val="clear" w:color="auto" w:fill="auto"/>
          </w:tcPr>
          <w:p w14:paraId="519B2A58"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Chủng loại ống</w:t>
            </w:r>
          </w:p>
        </w:tc>
        <w:tc>
          <w:tcPr>
            <w:tcW w:w="1080" w:type="dxa"/>
            <w:shd w:val="clear" w:color="auto" w:fill="auto"/>
          </w:tcPr>
          <w:p w14:paraId="519B2A59"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Chiều dài (m)</w:t>
            </w:r>
          </w:p>
        </w:tc>
        <w:tc>
          <w:tcPr>
            <w:tcW w:w="720" w:type="dxa"/>
            <w:shd w:val="clear" w:color="auto" w:fill="auto"/>
          </w:tcPr>
          <w:p w14:paraId="519B2A5A"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TT</w:t>
            </w:r>
          </w:p>
        </w:tc>
        <w:tc>
          <w:tcPr>
            <w:tcW w:w="2880" w:type="dxa"/>
            <w:shd w:val="clear" w:color="auto" w:fill="auto"/>
          </w:tcPr>
          <w:p w14:paraId="519B2A5B"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Chủng loại ống</w:t>
            </w:r>
          </w:p>
        </w:tc>
        <w:tc>
          <w:tcPr>
            <w:tcW w:w="1440" w:type="dxa"/>
            <w:shd w:val="clear" w:color="auto" w:fill="auto"/>
          </w:tcPr>
          <w:p w14:paraId="519B2A5C"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Chiều dài (m)</w:t>
            </w:r>
          </w:p>
        </w:tc>
      </w:tr>
      <w:tr w:rsidR="008D5BFE" w:rsidRPr="008E63BB" w14:paraId="519B2A64" w14:textId="77777777" w:rsidTr="000C0CC7">
        <w:tc>
          <w:tcPr>
            <w:tcW w:w="563" w:type="dxa"/>
            <w:shd w:val="clear" w:color="auto" w:fill="auto"/>
          </w:tcPr>
          <w:p w14:paraId="519B2A5E"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I/</w:t>
            </w:r>
          </w:p>
        </w:tc>
        <w:tc>
          <w:tcPr>
            <w:tcW w:w="2672" w:type="dxa"/>
            <w:shd w:val="clear" w:color="auto" w:fill="auto"/>
          </w:tcPr>
          <w:p w14:paraId="519B2A5F"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Tuyến ống cấp 1</w:t>
            </w:r>
          </w:p>
        </w:tc>
        <w:tc>
          <w:tcPr>
            <w:tcW w:w="1080" w:type="dxa"/>
            <w:shd w:val="clear" w:color="auto" w:fill="auto"/>
          </w:tcPr>
          <w:p w14:paraId="519B2A60"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73.744</w:t>
            </w:r>
          </w:p>
        </w:tc>
        <w:tc>
          <w:tcPr>
            <w:tcW w:w="720" w:type="dxa"/>
            <w:shd w:val="clear" w:color="auto" w:fill="auto"/>
          </w:tcPr>
          <w:p w14:paraId="519B2A61" w14:textId="77777777" w:rsidR="00682A01" w:rsidRPr="008E63BB" w:rsidRDefault="00682A01" w:rsidP="0065184D">
            <w:pPr>
              <w:pStyle w:val="BodyText2"/>
              <w:spacing w:after="0" w:line="240" w:lineRule="auto"/>
              <w:jc w:val="center"/>
              <w:rPr>
                <w:b/>
                <w:sz w:val="24"/>
                <w:szCs w:val="24"/>
                <w:lang w:val="en-US"/>
              </w:rPr>
            </w:pPr>
          </w:p>
        </w:tc>
        <w:tc>
          <w:tcPr>
            <w:tcW w:w="2880" w:type="dxa"/>
            <w:shd w:val="clear" w:color="auto" w:fill="auto"/>
          </w:tcPr>
          <w:p w14:paraId="519B2A62" w14:textId="77777777" w:rsidR="00682A01" w:rsidRPr="008E63BB" w:rsidRDefault="00682A01" w:rsidP="0065184D">
            <w:pPr>
              <w:pStyle w:val="BodyText2"/>
              <w:spacing w:after="0" w:line="240" w:lineRule="auto"/>
              <w:jc w:val="center"/>
              <w:rPr>
                <w:b/>
                <w:sz w:val="24"/>
                <w:szCs w:val="24"/>
                <w:lang w:val="en-US"/>
              </w:rPr>
            </w:pPr>
          </w:p>
        </w:tc>
        <w:tc>
          <w:tcPr>
            <w:tcW w:w="1440" w:type="dxa"/>
            <w:shd w:val="clear" w:color="auto" w:fill="auto"/>
          </w:tcPr>
          <w:p w14:paraId="519B2A63"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39.512</w:t>
            </w:r>
          </w:p>
        </w:tc>
      </w:tr>
      <w:tr w:rsidR="008D5BFE" w:rsidRPr="008E63BB" w14:paraId="519B2A6B" w14:textId="77777777" w:rsidTr="000C0CC7">
        <w:tc>
          <w:tcPr>
            <w:tcW w:w="563" w:type="dxa"/>
            <w:shd w:val="clear" w:color="auto" w:fill="auto"/>
          </w:tcPr>
          <w:p w14:paraId="519B2A65"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w:t>
            </w:r>
          </w:p>
        </w:tc>
        <w:tc>
          <w:tcPr>
            <w:tcW w:w="2672" w:type="dxa"/>
            <w:shd w:val="clear" w:color="auto" w:fill="auto"/>
          </w:tcPr>
          <w:p w14:paraId="519B2A66"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 xml:space="preserve">Ống thép đen </w:t>
            </w:r>
            <w:r w:rsidRPr="008E63BB">
              <w:rPr>
                <w:sz w:val="24"/>
                <w:szCs w:val="24"/>
                <w:lang w:val="en-US"/>
              </w:rPr>
              <w:sym w:font="Symbol" w:char="F0C6"/>
            </w:r>
            <w:r w:rsidRPr="008E63BB">
              <w:rPr>
                <w:sz w:val="24"/>
                <w:szCs w:val="24"/>
                <w:lang w:val="en-US"/>
              </w:rPr>
              <w:t>800</w:t>
            </w:r>
          </w:p>
        </w:tc>
        <w:tc>
          <w:tcPr>
            <w:tcW w:w="1080" w:type="dxa"/>
            <w:shd w:val="clear" w:color="auto" w:fill="auto"/>
          </w:tcPr>
          <w:p w14:paraId="519B2A67"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1.200</w:t>
            </w:r>
          </w:p>
        </w:tc>
        <w:tc>
          <w:tcPr>
            <w:tcW w:w="720" w:type="dxa"/>
            <w:shd w:val="clear" w:color="auto" w:fill="auto"/>
          </w:tcPr>
          <w:p w14:paraId="519B2A68"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10</w:t>
            </w:r>
          </w:p>
        </w:tc>
        <w:tc>
          <w:tcPr>
            <w:tcW w:w="2880" w:type="dxa"/>
            <w:shd w:val="clear" w:color="auto" w:fill="auto"/>
          </w:tcPr>
          <w:p w14:paraId="519B2A69"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150</w:t>
            </w:r>
          </w:p>
        </w:tc>
        <w:tc>
          <w:tcPr>
            <w:tcW w:w="1440" w:type="dxa"/>
            <w:shd w:val="clear" w:color="auto" w:fill="auto"/>
          </w:tcPr>
          <w:p w14:paraId="519B2A6A"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13.698</w:t>
            </w:r>
          </w:p>
        </w:tc>
      </w:tr>
      <w:tr w:rsidR="008D5BFE" w:rsidRPr="008E63BB" w14:paraId="519B2A72" w14:textId="77777777" w:rsidTr="000C0CC7">
        <w:tc>
          <w:tcPr>
            <w:tcW w:w="563" w:type="dxa"/>
            <w:shd w:val="clear" w:color="auto" w:fill="auto"/>
          </w:tcPr>
          <w:p w14:paraId="519B2A6C"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2</w:t>
            </w:r>
          </w:p>
        </w:tc>
        <w:tc>
          <w:tcPr>
            <w:tcW w:w="2672" w:type="dxa"/>
            <w:shd w:val="clear" w:color="auto" w:fill="auto"/>
          </w:tcPr>
          <w:p w14:paraId="519B2A6D" w14:textId="77777777" w:rsidR="00682A01" w:rsidRPr="008E63BB" w:rsidRDefault="00682A01" w:rsidP="0065184D">
            <w:pPr>
              <w:pStyle w:val="BodyText2"/>
              <w:spacing w:after="0" w:line="240" w:lineRule="auto"/>
              <w:ind w:right="-108"/>
              <w:rPr>
                <w:sz w:val="24"/>
                <w:szCs w:val="24"/>
                <w:lang w:val="en-US"/>
              </w:rPr>
            </w:pPr>
            <w:r w:rsidRPr="008E63BB">
              <w:rPr>
                <w:sz w:val="24"/>
                <w:szCs w:val="24"/>
                <w:lang w:val="en-US"/>
              </w:rPr>
              <w:t>Ống nhựa HDPE-OD</w:t>
            </w:r>
            <w:r w:rsidRPr="008E63BB">
              <w:rPr>
                <w:sz w:val="24"/>
                <w:szCs w:val="24"/>
                <w:lang w:val="en-US"/>
              </w:rPr>
              <w:sym w:font="Symbol" w:char="F0C6"/>
            </w:r>
            <w:r w:rsidRPr="008E63BB">
              <w:rPr>
                <w:sz w:val="24"/>
                <w:szCs w:val="24"/>
                <w:lang w:val="en-US"/>
              </w:rPr>
              <w:t>800</w:t>
            </w:r>
          </w:p>
        </w:tc>
        <w:tc>
          <w:tcPr>
            <w:tcW w:w="1080" w:type="dxa"/>
            <w:shd w:val="clear" w:color="auto" w:fill="auto"/>
          </w:tcPr>
          <w:p w14:paraId="519B2A6E"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1.150</w:t>
            </w:r>
          </w:p>
        </w:tc>
        <w:tc>
          <w:tcPr>
            <w:tcW w:w="720" w:type="dxa"/>
            <w:shd w:val="clear" w:color="auto" w:fill="auto"/>
          </w:tcPr>
          <w:p w14:paraId="519B2A6F"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11</w:t>
            </w:r>
          </w:p>
        </w:tc>
        <w:tc>
          <w:tcPr>
            <w:tcW w:w="2880" w:type="dxa"/>
            <w:shd w:val="clear" w:color="auto" w:fill="auto"/>
          </w:tcPr>
          <w:p w14:paraId="519B2A70"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100</w:t>
            </w:r>
          </w:p>
        </w:tc>
        <w:tc>
          <w:tcPr>
            <w:tcW w:w="1440" w:type="dxa"/>
            <w:shd w:val="clear" w:color="auto" w:fill="auto"/>
          </w:tcPr>
          <w:p w14:paraId="519B2A71"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10.742</w:t>
            </w:r>
          </w:p>
        </w:tc>
      </w:tr>
      <w:tr w:rsidR="008D5BFE" w:rsidRPr="008E63BB" w14:paraId="519B2A79" w14:textId="77777777" w:rsidTr="000C0CC7">
        <w:tc>
          <w:tcPr>
            <w:tcW w:w="563" w:type="dxa"/>
            <w:shd w:val="clear" w:color="auto" w:fill="auto"/>
          </w:tcPr>
          <w:p w14:paraId="519B2A73"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3</w:t>
            </w:r>
          </w:p>
        </w:tc>
        <w:tc>
          <w:tcPr>
            <w:tcW w:w="2672" w:type="dxa"/>
            <w:shd w:val="clear" w:color="auto" w:fill="auto"/>
          </w:tcPr>
          <w:p w14:paraId="519B2A74"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600</w:t>
            </w:r>
          </w:p>
        </w:tc>
        <w:tc>
          <w:tcPr>
            <w:tcW w:w="1080" w:type="dxa"/>
            <w:shd w:val="clear" w:color="auto" w:fill="auto"/>
          </w:tcPr>
          <w:p w14:paraId="519B2A75"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2.354</w:t>
            </w:r>
          </w:p>
        </w:tc>
        <w:tc>
          <w:tcPr>
            <w:tcW w:w="720" w:type="dxa"/>
            <w:shd w:val="clear" w:color="auto" w:fill="auto"/>
          </w:tcPr>
          <w:p w14:paraId="519B2A76"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12</w:t>
            </w:r>
          </w:p>
        </w:tc>
        <w:tc>
          <w:tcPr>
            <w:tcW w:w="2880" w:type="dxa"/>
            <w:shd w:val="clear" w:color="auto" w:fill="auto"/>
          </w:tcPr>
          <w:p w14:paraId="519B2A77"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HDPE -OD</w:t>
            </w:r>
            <w:r w:rsidRPr="008E63BB">
              <w:rPr>
                <w:sz w:val="24"/>
                <w:szCs w:val="24"/>
                <w:lang w:val="en-US"/>
              </w:rPr>
              <w:sym w:font="Symbol" w:char="F0C6"/>
            </w:r>
            <w:r w:rsidRPr="008E63BB">
              <w:rPr>
                <w:sz w:val="24"/>
                <w:szCs w:val="24"/>
                <w:lang w:val="en-US"/>
              </w:rPr>
              <w:t>225</w:t>
            </w:r>
          </w:p>
        </w:tc>
        <w:tc>
          <w:tcPr>
            <w:tcW w:w="1440" w:type="dxa"/>
            <w:shd w:val="clear" w:color="auto" w:fill="auto"/>
          </w:tcPr>
          <w:p w14:paraId="519B2A78"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2.335</w:t>
            </w:r>
          </w:p>
        </w:tc>
      </w:tr>
      <w:tr w:rsidR="008D5BFE" w:rsidRPr="008E63BB" w14:paraId="519B2A80" w14:textId="77777777" w:rsidTr="000C0CC7">
        <w:tc>
          <w:tcPr>
            <w:tcW w:w="563" w:type="dxa"/>
            <w:shd w:val="clear" w:color="auto" w:fill="auto"/>
          </w:tcPr>
          <w:p w14:paraId="519B2A7A"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4</w:t>
            </w:r>
          </w:p>
        </w:tc>
        <w:tc>
          <w:tcPr>
            <w:tcW w:w="2672" w:type="dxa"/>
            <w:shd w:val="clear" w:color="auto" w:fill="auto"/>
          </w:tcPr>
          <w:p w14:paraId="519B2A7B"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500</w:t>
            </w:r>
          </w:p>
        </w:tc>
        <w:tc>
          <w:tcPr>
            <w:tcW w:w="1080" w:type="dxa"/>
            <w:shd w:val="clear" w:color="auto" w:fill="auto"/>
          </w:tcPr>
          <w:p w14:paraId="519B2A7C"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2.317</w:t>
            </w:r>
          </w:p>
        </w:tc>
        <w:tc>
          <w:tcPr>
            <w:tcW w:w="720" w:type="dxa"/>
            <w:shd w:val="clear" w:color="auto" w:fill="auto"/>
          </w:tcPr>
          <w:p w14:paraId="519B2A7D"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13</w:t>
            </w:r>
          </w:p>
        </w:tc>
        <w:tc>
          <w:tcPr>
            <w:tcW w:w="2880" w:type="dxa"/>
            <w:shd w:val="clear" w:color="auto" w:fill="auto"/>
          </w:tcPr>
          <w:p w14:paraId="519B2A7E"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uPVC -OD</w:t>
            </w:r>
            <w:r w:rsidRPr="008E63BB">
              <w:rPr>
                <w:sz w:val="24"/>
                <w:szCs w:val="24"/>
                <w:lang w:val="en-US"/>
              </w:rPr>
              <w:sym w:font="Symbol" w:char="F0C6"/>
            </w:r>
            <w:r w:rsidRPr="008E63BB">
              <w:rPr>
                <w:sz w:val="24"/>
                <w:szCs w:val="24"/>
                <w:lang w:val="en-US"/>
              </w:rPr>
              <w:t>225</w:t>
            </w:r>
          </w:p>
        </w:tc>
        <w:tc>
          <w:tcPr>
            <w:tcW w:w="1440" w:type="dxa"/>
            <w:shd w:val="clear" w:color="auto" w:fill="auto"/>
          </w:tcPr>
          <w:p w14:paraId="519B2A7F"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2.389</w:t>
            </w:r>
          </w:p>
        </w:tc>
      </w:tr>
      <w:tr w:rsidR="008D5BFE" w:rsidRPr="008E63BB" w14:paraId="519B2A87" w14:textId="77777777" w:rsidTr="000C0CC7">
        <w:tc>
          <w:tcPr>
            <w:tcW w:w="563" w:type="dxa"/>
            <w:shd w:val="clear" w:color="auto" w:fill="auto"/>
          </w:tcPr>
          <w:p w14:paraId="519B2A81"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5</w:t>
            </w:r>
          </w:p>
        </w:tc>
        <w:tc>
          <w:tcPr>
            <w:tcW w:w="2672" w:type="dxa"/>
            <w:shd w:val="clear" w:color="auto" w:fill="auto"/>
          </w:tcPr>
          <w:p w14:paraId="519B2A82"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400</w:t>
            </w:r>
          </w:p>
        </w:tc>
        <w:tc>
          <w:tcPr>
            <w:tcW w:w="1080" w:type="dxa"/>
            <w:shd w:val="clear" w:color="auto" w:fill="auto"/>
          </w:tcPr>
          <w:p w14:paraId="519B2A83"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5.566</w:t>
            </w:r>
          </w:p>
        </w:tc>
        <w:tc>
          <w:tcPr>
            <w:tcW w:w="720" w:type="dxa"/>
            <w:shd w:val="clear" w:color="auto" w:fill="auto"/>
          </w:tcPr>
          <w:p w14:paraId="519B2A84"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14</w:t>
            </w:r>
          </w:p>
        </w:tc>
        <w:tc>
          <w:tcPr>
            <w:tcW w:w="2880" w:type="dxa"/>
            <w:shd w:val="clear" w:color="auto" w:fill="auto"/>
          </w:tcPr>
          <w:p w14:paraId="519B2A85"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uPVC -OD</w:t>
            </w:r>
            <w:r w:rsidRPr="008E63BB">
              <w:rPr>
                <w:sz w:val="24"/>
                <w:szCs w:val="24"/>
                <w:lang w:val="en-US"/>
              </w:rPr>
              <w:sym w:font="Symbol" w:char="F0C6"/>
            </w:r>
            <w:r w:rsidRPr="008E63BB">
              <w:rPr>
                <w:sz w:val="24"/>
                <w:szCs w:val="24"/>
                <w:lang w:val="en-US"/>
              </w:rPr>
              <w:t>180</w:t>
            </w:r>
          </w:p>
        </w:tc>
        <w:tc>
          <w:tcPr>
            <w:tcW w:w="1440" w:type="dxa"/>
            <w:shd w:val="clear" w:color="auto" w:fill="auto"/>
          </w:tcPr>
          <w:p w14:paraId="519B2A86"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1.549</w:t>
            </w:r>
          </w:p>
        </w:tc>
      </w:tr>
      <w:tr w:rsidR="008D5BFE" w:rsidRPr="008E63BB" w14:paraId="519B2A8E" w14:textId="77777777" w:rsidTr="000C0CC7">
        <w:tc>
          <w:tcPr>
            <w:tcW w:w="563" w:type="dxa"/>
            <w:shd w:val="clear" w:color="auto" w:fill="auto"/>
          </w:tcPr>
          <w:p w14:paraId="519B2A88"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6</w:t>
            </w:r>
          </w:p>
        </w:tc>
        <w:tc>
          <w:tcPr>
            <w:tcW w:w="2672" w:type="dxa"/>
            <w:shd w:val="clear" w:color="auto" w:fill="auto"/>
          </w:tcPr>
          <w:p w14:paraId="519B2A89"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300</w:t>
            </w:r>
          </w:p>
        </w:tc>
        <w:tc>
          <w:tcPr>
            <w:tcW w:w="1080" w:type="dxa"/>
            <w:shd w:val="clear" w:color="auto" w:fill="auto"/>
          </w:tcPr>
          <w:p w14:paraId="519B2A8A"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13.575</w:t>
            </w:r>
          </w:p>
        </w:tc>
        <w:tc>
          <w:tcPr>
            <w:tcW w:w="720" w:type="dxa"/>
            <w:shd w:val="clear" w:color="auto" w:fill="auto"/>
          </w:tcPr>
          <w:p w14:paraId="519B2A8B"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15</w:t>
            </w:r>
          </w:p>
        </w:tc>
        <w:tc>
          <w:tcPr>
            <w:tcW w:w="2880" w:type="dxa"/>
            <w:shd w:val="clear" w:color="auto" w:fill="auto"/>
          </w:tcPr>
          <w:p w14:paraId="519B2A8C"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uPVC -OD</w:t>
            </w:r>
            <w:r w:rsidRPr="008E63BB">
              <w:rPr>
                <w:sz w:val="24"/>
                <w:szCs w:val="24"/>
                <w:lang w:val="en-US"/>
              </w:rPr>
              <w:sym w:font="Symbol" w:char="F0C6"/>
            </w:r>
            <w:r w:rsidRPr="008E63BB">
              <w:rPr>
                <w:sz w:val="24"/>
                <w:szCs w:val="24"/>
                <w:lang w:val="en-US"/>
              </w:rPr>
              <w:t>160</w:t>
            </w:r>
          </w:p>
        </w:tc>
        <w:tc>
          <w:tcPr>
            <w:tcW w:w="1440" w:type="dxa"/>
            <w:shd w:val="clear" w:color="auto" w:fill="auto"/>
          </w:tcPr>
          <w:p w14:paraId="519B2A8D"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5.812</w:t>
            </w:r>
          </w:p>
        </w:tc>
      </w:tr>
      <w:tr w:rsidR="008D5BFE" w:rsidRPr="008E63BB" w14:paraId="519B2A95" w14:textId="77777777" w:rsidTr="000C0CC7">
        <w:tc>
          <w:tcPr>
            <w:tcW w:w="563" w:type="dxa"/>
            <w:shd w:val="clear" w:color="auto" w:fill="auto"/>
          </w:tcPr>
          <w:p w14:paraId="519B2A8F"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7</w:t>
            </w:r>
          </w:p>
        </w:tc>
        <w:tc>
          <w:tcPr>
            <w:tcW w:w="2672" w:type="dxa"/>
            <w:shd w:val="clear" w:color="auto" w:fill="auto"/>
          </w:tcPr>
          <w:p w14:paraId="519B2A90"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HDPE-OD</w:t>
            </w:r>
            <w:r w:rsidRPr="008E63BB">
              <w:rPr>
                <w:sz w:val="24"/>
                <w:szCs w:val="24"/>
                <w:lang w:val="en-US"/>
              </w:rPr>
              <w:sym w:font="Symbol" w:char="F0C6"/>
            </w:r>
            <w:r w:rsidRPr="008E63BB">
              <w:rPr>
                <w:sz w:val="24"/>
                <w:szCs w:val="24"/>
                <w:lang w:val="en-US"/>
              </w:rPr>
              <w:t>355</w:t>
            </w:r>
          </w:p>
        </w:tc>
        <w:tc>
          <w:tcPr>
            <w:tcW w:w="1080" w:type="dxa"/>
            <w:shd w:val="clear" w:color="auto" w:fill="auto"/>
          </w:tcPr>
          <w:p w14:paraId="519B2A91"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1.371</w:t>
            </w:r>
          </w:p>
        </w:tc>
        <w:tc>
          <w:tcPr>
            <w:tcW w:w="720" w:type="dxa"/>
            <w:shd w:val="clear" w:color="auto" w:fill="auto"/>
          </w:tcPr>
          <w:p w14:paraId="519B2A92"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16</w:t>
            </w:r>
          </w:p>
        </w:tc>
        <w:tc>
          <w:tcPr>
            <w:tcW w:w="2880" w:type="dxa"/>
            <w:shd w:val="clear" w:color="auto" w:fill="auto"/>
          </w:tcPr>
          <w:p w14:paraId="519B2A93"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uPVC -OD</w:t>
            </w:r>
            <w:r w:rsidRPr="008E63BB">
              <w:rPr>
                <w:sz w:val="24"/>
                <w:szCs w:val="24"/>
                <w:lang w:val="en-US"/>
              </w:rPr>
              <w:sym w:font="Symbol" w:char="F0C6"/>
            </w:r>
            <w:r w:rsidRPr="008E63BB">
              <w:rPr>
                <w:sz w:val="24"/>
                <w:szCs w:val="24"/>
                <w:lang w:val="en-US"/>
              </w:rPr>
              <w:t>125</w:t>
            </w:r>
          </w:p>
        </w:tc>
        <w:tc>
          <w:tcPr>
            <w:tcW w:w="1440" w:type="dxa"/>
            <w:shd w:val="clear" w:color="auto" w:fill="auto"/>
          </w:tcPr>
          <w:p w14:paraId="519B2A94"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1.120</w:t>
            </w:r>
          </w:p>
        </w:tc>
      </w:tr>
      <w:tr w:rsidR="008D5BFE" w:rsidRPr="008E63BB" w14:paraId="519B2A9C" w14:textId="77777777" w:rsidTr="000C0CC7">
        <w:tc>
          <w:tcPr>
            <w:tcW w:w="563" w:type="dxa"/>
            <w:shd w:val="clear" w:color="auto" w:fill="auto"/>
          </w:tcPr>
          <w:p w14:paraId="519B2A96"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8</w:t>
            </w:r>
          </w:p>
        </w:tc>
        <w:tc>
          <w:tcPr>
            <w:tcW w:w="2672" w:type="dxa"/>
            <w:shd w:val="clear" w:color="auto" w:fill="auto"/>
          </w:tcPr>
          <w:p w14:paraId="519B2A97"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250</w:t>
            </w:r>
          </w:p>
        </w:tc>
        <w:tc>
          <w:tcPr>
            <w:tcW w:w="1080" w:type="dxa"/>
            <w:shd w:val="clear" w:color="auto" w:fill="auto"/>
          </w:tcPr>
          <w:p w14:paraId="519B2A98"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6.259</w:t>
            </w:r>
          </w:p>
        </w:tc>
        <w:tc>
          <w:tcPr>
            <w:tcW w:w="720" w:type="dxa"/>
            <w:shd w:val="clear" w:color="auto" w:fill="auto"/>
          </w:tcPr>
          <w:p w14:paraId="519B2A99"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17</w:t>
            </w:r>
          </w:p>
        </w:tc>
        <w:tc>
          <w:tcPr>
            <w:tcW w:w="2880" w:type="dxa"/>
            <w:shd w:val="clear" w:color="auto" w:fill="auto"/>
          </w:tcPr>
          <w:p w14:paraId="519B2A9A"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nhựa uPVC -OD</w:t>
            </w:r>
            <w:r w:rsidRPr="008E63BB">
              <w:rPr>
                <w:sz w:val="24"/>
                <w:szCs w:val="24"/>
                <w:lang w:val="en-US"/>
              </w:rPr>
              <w:sym w:font="Symbol" w:char="F0C6"/>
            </w:r>
            <w:r w:rsidRPr="008E63BB">
              <w:rPr>
                <w:sz w:val="24"/>
                <w:szCs w:val="24"/>
                <w:lang w:val="en-US"/>
              </w:rPr>
              <w:t>110</w:t>
            </w:r>
          </w:p>
        </w:tc>
        <w:tc>
          <w:tcPr>
            <w:tcW w:w="1440" w:type="dxa"/>
            <w:shd w:val="clear" w:color="auto" w:fill="auto"/>
          </w:tcPr>
          <w:p w14:paraId="519B2A9B"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1.867</w:t>
            </w:r>
          </w:p>
        </w:tc>
      </w:tr>
      <w:tr w:rsidR="008D5BFE" w:rsidRPr="008E63BB" w14:paraId="519B2AA3" w14:textId="77777777" w:rsidTr="000C0CC7">
        <w:tc>
          <w:tcPr>
            <w:tcW w:w="563" w:type="dxa"/>
            <w:shd w:val="clear" w:color="auto" w:fill="auto"/>
          </w:tcPr>
          <w:p w14:paraId="519B2A9D"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9</w:t>
            </w:r>
          </w:p>
        </w:tc>
        <w:tc>
          <w:tcPr>
            <w:tcW w:w="2672" w:type="dxa"/>
            <w:shd w:val="clear" w:color="auto" w:fill="auto"/>
          </w:tcPr>
          <w:p w14:paraId="519B2A9E"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Ống gang DN</w:t>
            </w:r>
            <w:r w:rsidRPr="008E63BB">
              <w:rPr>
                <w:sz w:val="24"/>
                <w:szCs w:val="24"/>
                <w:lang w:val="en-US"/>
              </w:rPr>
              <w:sym w:font="Symbol" w:char="F0C6"/>
            </w:r>
            <w:r w:rsidRPr="008E63BB">
              <w:rPr>
                <w:sz w:val="24"/>
                <w:szCs w:val="24"/>
                <w:lang w:val="en-US"/>
              </w:rPr>
              <w:t>200</w:t>
            </w:r>
          </w:p>
        </w:tc>
        <w:tc>
          <w:tcPr>
            <w:tcW w:w="1080" w:type="dxa"/>
            <w:shd w:val="clear" w:color="auto" w:fill="auto"/>
          </w:tcPr>
          <w:p w14:paraId="519B2A9F" w14:textId="77777777" w:rsidR="00682A01" w:rsidRPr="008E63BB" w:rsidRDefault="00682A01" w:rsidP="0065184D">
            <w:pPr>
              <w:pStyle w:val="BodyText2"/>
              <w:spacing w:after="0" w:line="240" w:lineRule="auto"/>
              <w:jc w:val="right"/>
              <w:rPr>
                <w:sz w:val="24"/>
                <w:szCs w:val="24"/>
                <w:lang w:val="en-US"/>
              </w:rPr>
            </w:pPr>
            <w:r w:rsidRPr="008E63BB">
              <w:rPr>
                <w:sz w:val="24"/>
                <w:szCs w:val="24"/>
                <w:lang w:val="en-US"/>
              </w:rPr>
              <w:t>27.365</w:t>
            </w:r>
          </w:p>
        </w:tc>
        <w:tc>
          <w:tcPr>
            <w:tcW w:w="720" w:type="dxa"/>
            <w:shd w:val="clear" w:color="auto" w:fill="auto"/>
          </w:tcPr>
          <w:p w14:paraId="519B2AA0" w14:textId="77777777" w:rsidR="00682A01" w:rsidRPr="008E63BB" w:rsidRDefault="00682A01" w:rsidP="0065184D">
            <w:pPr>
              <w:pStyle w:val="BodyText2"/>
              <w:spacing w:after="0" w:line="240" w:lineRule="auto"/>
              <w:jc w:val="center"/>
              <w:rPr>
                <w:sz w:val="24"/>
                <w:szCs w:val="24"/>
                <w:lang w:val="en-US"/>
              </w:rPr>
            </w:pPr>
          </w:p>
        </w:tc>
        <w:tc>
          <w:tcPr>
            <w:tcW w:w="2880" w:type="dxa"/>
            <w:shd w:val="clear" w:color="auto" w:fill="auto"/>
          </w:tcPr>
          <w:p w14:paraId="519B2AA1" w14:textId="77777777" w:rsidR="00682A01" w:rsidRPr="008E63BB" w:rsidRDefault="00682A01" w:rsidP="0065184D">
            <w:pPr>
              <w:pStyle w:val="BodyText2"/>
              <w:spacing w:after="0" w:line="240" w:lineRule="auto"/>
              <w:rPr>
                <w:sz w:val="24"/>
                <w:szCs w:val="24"/>
                <w:lang w:val="en-US"/>
              </w:rPr>
            </w:pPr>
          </w:p>
        </w:tc>
        <w:tc>
          <w:tcPr>
            <w:tcW w:w="1440" w:type="dxa"/>
            <w:shd w:val="clear" w:color="auto" w:fill="auto"/>
          </w:tcPr>
          <w:p w14:paraId="519B2AA2" w14:textId="77777777" w:rsidR="00682A01" w:rsidRPr="008E63BB" w:rsidRDefault="00682A01" w:rsidP="0065184D">
            <w:pPr>
              <w:pStyle w:val="BodyText2"/>
              <w:spacing w:after="0" w:line="240" w:lineRule="auto"/>
              <w:rPr>
                <w:sz w:val="24"/>
                <w:szCs w:val="24"/>
                <w:lang w:val="en-US"/>
              </w:rPr>
            </w:pPr>
          </w:p>
        </w:tc>
      </w:tr>
      <w:tr w:rsidR="008D5BFE" w:rsidRPr="008E63BB" w14:paraId="519B2AA8" w14:textId="77777777" w:rsidTr="000C0CC7">
        <w:tc>
          <w:tcPr>
            <w:tcW w:w="563" w:type="dxa"/>
            <w:shd w:val="clear" w:color="auto" w:fill="auto"/>
          </w:tcPr>
          <w:p w14:paraId="519B2AA4" w14:textId="77777777" w:rsidR="00682A01" w:rsidRPr="008E63BB" w:rsidRDefault="00682A01" w:rsidP="0065184D">
            <w:pPr>
              <w:pStyle w:val="BodyText2"/>
              <w:spacing w:after="0" w:line="240" w:lineRule="auto"/>
              <w:jc w:val="center"/>
              <w:rPr>
                <w:b/>
                <w:sz w:val="24"/>
                <w:szCs w:val="24"/>
                <w:lang w:val="en-US"/>
              </w:rPr>
            </w:pPr>
            <w:r w:rsidRPr="008E63BB">
              <w:rPr>
                <w:b/>
                <w:sz w:val="24"/>
                <w:szCs w:val="24"/>
                <w:lang w:val="en-US"/>
              </w:rPr>
              <w:t>II/</w:t>
            </w:r>
          </w:p>
        </w:tc>
        <w:tc>
          <w:tcPr>
            <w:tcW w:w="2672" w:type="dxa"/>
            <w:shd w:val="clear" w:color="auto" w:fill="auto"/>
          </w:tcPr>
          <w:p w14:paraId="519B2AA5" w14:textId="77777777" w:rsidR="00682A01" w:rsidRPr="008E63BB" w:rsidRDefault="00682A01" w:rsidP="0065184D">
            <w:pPr>
              <w:pStyle w:val="BodyText2"/>
              <w:spacing w:after="0" w:line="240" w:lineRule="auto"/>
              <w:rPr>
                <w:b/>
                <w:sz w:val="24"/>
                <w:szCs w:val="24"/>
                <w:lang w:val="en-US"/>
              </w:rPr>
            </w:pPr>
            <w:r w:rsidRPr="008E63BB">
              <w:rPr>
                <w:b/>
                <w:sz w:val="24"/>
                <w:szCs w:val="24"/>
                <w:lang w:val="en-US"/>
              </w:rPr>
              <w:t>Tuyến ống cấp 2</w:t>
            </w:r>
          </w:p>
        </w:tc>
        <w:tc>
          <w:tcPr>
            <w:tcW w:w="4680" w:type="dxa"/>
            <w:gridSpan w:val="3"/>
            <w:shd w:val="clear" w:color="auto" w:fill="auto"/>
          </w:tcPr>
          <w:p w14:paraId="519B2AA6" w14:textId="77777777" w:rsidR="00682A01" w:rsidRPr="008E63BB" w:rsidRDefault="00682A01" w:rsidP="0065184D">
            <w:pPr>
              <w:pStyle w:val="BodyText2"/>
              <w:spacing w:after="0" w:line="240" w:lineRule="auto"/>
              <w:rPr>
                <w:b/>
                <w:sz w:val="24"/>
                <w:szCs w:val="24"/>
                <w:lang w:val="en-US"/>
              </w:rPr>
            </w:pPr>
          </w:p>
        </w:tc>
        <w:tc>
          <w:tcPr>
            <w:tcW w:w="1440" w:type="dxa"/>
            <w:shd w:val="clear" w:color="auto" w:fill="auto"/>
          </w:tcPr>
          <w:p w14:paraId="519B2AA7" w14:textId="77777777" w:rsidR="00682A01" w:rsidRPr="008E63BB" w:rsidRDefault="00682A01" w:rsidP="0065184D">
            <w:pPr>
              <w:pStyle w:val="BodyText2"/>
              <w:spacing w:after="0" w:line="240" w:lineRule="auto"/>
              <w:rPr>
                <w:b/>
                <w:sz w:val="24"/>
                <w:szCs w:val="24"/>
                <w:lang w:val="en-US"/>
              </w:rPr>
            </w:pPr>
          </w:p>
        </w:tc>
      </w:tr>
      <w:tr w:rsidR="008D5BFE" w:rsidRPr="008E63BB" w14:paraId="519B2AAC" w14:textId="77777777" w:rsidTr="000C0CC7">
        <w:tc>
          <w:tcPr>
            <w:tcW w:w="563" w:type="dxa"/>
            <w:shd w:val="clear" w:color="auto" w:fill="auto"/>
          </w:tcPr>
          <w:p w14:paraId="519B2AA9" w14:textId="77777777" w:rsidR="00682A01" w:rsidRPr="008E63BB" w:rsidRDefault="00682A01" w:rsidP="0065184D">
            <w:pPr>
              <w:pStyle w:val="BodyText2"/>
              <w:spacing w:after="0" w:line="240" w:lineRule="auto"/>
              <w:jc w:val="center"/>
              <w:rPr>
                <w:sz w:val="24"/>
                <w:szCs w:val="24"/>
                <w:lang w:val="en-US"/>
              </w:rPr>
            </w:pPr>
            <w:r w:rsidRPr="008E63BB">
              <w:rPr>
                <w:sz w:val="24"/>
                <w:szCs w:val="24"/>
                <w:lang w:val="en-US"/>
              </w:rPr>
              <w:t>1</w:t>
            </w:r>
          </w:p>
        </w:tc>
        <w:tc>
          <w:tcPr>
            <w:tcW w:w="7352" w:type="dxa"/>
            <w:gridSpan w:val="4"/>
            <w:shd w:val="clear" w:color="auto" w:fill="auto"/>
          </w:tcPr>
          <w:p w14:paraId="519B2AAA"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Các chủng loại ống gang DN</w:t>
            </w:r>
            <w:r w:rsidRPr="008E63BB">
              <w:rPr>
                <w:sz w:val="24"/>
                <w:szCs w:val="24"/>
                <w:lang w:val="en-US"/>
              </w:rPr>
              <w:sym w:font="Symbol" w:char="F0C6"/>
            </w:r>
            <w:r w:rsidRPr="008E63BB">
              <w:rPr>
                <w:sz w:val="24"/>
                <w:szCs w:val="24"/>
                <w:lang w:val="en-US"/>
              </w:rPr>
              <w:t xml:space="preserve">80, ống nhựa HDPE-OD từ </w:t>
            </w:r>
            <w:r w:rsidRPr="008E63BB">
              <w:rPr>
                <w:sz w:val="24"/>
                <w:szCs w:val="24"/>
                <w:lang w:val="en-US"/>
              </w:rPr>
              <w:sym w:font="Symbol" w:char="F0C6"/>
            </w:r>
            <w:r w:rsidRPr="008E63BB">
              <w:rPr>
                <w:sz w:val="24"/>
                <w:szCs w:val="24"/>
                <w:lang w:val="en-US"/>
              </w:rPr>
              <w:t>32÷</w:t>
            </w:r>
            <w:r w:rsidRPr="008E63BB">
              <w:rPr>
                <w:sz w:val="24"/>
                <w:szCs w:val="24"/>
                <w:lang w:val="en-US"/>
              </w:rPr>
              <w:sym w:font="Symbol" w:char="F0C6"/>
            </w:r>
            <w:r w:rsidRPr="008E63BB">
              <w:rPr>
                <w:sz w:val="24"/>
                <w:szCs w:val="24"/>
                <w:lang w:val="en-US"/>
              </w:rPr>
              <w:t>90</w:t>
            </w:r>
          </w:p>
        </w:tc>
        <w:tc>
          <w:tcPr>
            <w:tcW w:w="1440" w:type="dxa"/>
            <w:shd w:val="clear" w:color="auto" w:fill="auto"/>
          </w:tcPr>
          <w:p w14:paraId="519B2AAB" w14:textId="77777777" w:rsidR="00682A01" w:rsidRPr="008E63BB" w:rsidRDefault="00682A01" w:rsidP="0065184D">
            <w:pPr>
              <w:pStyle w:val="BodyText2"/>
              <w:spacing w:after="0" w:line="240" w:lineRule="auto"/>
              <w:rPr>
                <w:sz w:val="24"/>
                <w:szCs w:val="24"/>
                <w:lang w:val="en-US"/>
              </w:rPr>
            </w:pPr>
            <w:r w:rsidRPr="008E63BB">
              <w:rPr>
                <w:sz w:val="24"/>
                <w:szCs w:val="24"/>
                <w:lang w:val="en-US"/>
              </w:rPr>
              <w:t>951.000</w:t>
            </w:r>
          </w:p>
        </w:tc>
      </w:tr>
    </w:tbl>
    <w:p w14:paraId="519B2AAD" w14:textId="77777777" w:rsidR="00682A01" w:rsidRPr="008E63BB" w:rsidRDefault="00682A01" w:rsidP="00F8156E">
      <w:pPr>
        <w:pStyle w:val="BodyText2"/>
        <w:spacing w:before="120" w:after="0" w:line="240" w:lineRule="auto"/>
        <w:rPr>
          <w:i/>
          <w:szCs w:val="26"/>
          <w:lang w:val="en-US"/>
        </w:rPr>
      </w:pPr>
      <w:r w:rsidRPr="008E63BB">
        <w:rPr>
          <w:i/>
          <w:szCs w:val="26"/>
          <w:lang w:val="en-US"/>
        </w:rPr>
        <w:t>b.2. Cấp nước nông thôn:</w:t>
      </w:r>
    </w:p>
    <w:p w14:paraId="519B2AAE" w14:textId="77777777" w:rsidR="00682A01" w:rsidRPr="008E63BB" w:rsidRDefault="00682A01" w:rsidP="00F8156E">
      <w:pPr>
        <w:pStyle w:val="BodyText2"/>
        <w:spacing w:before="120" w:after="0" w:line="240" w:lineRule="auto"/>
        <w:ind w:firstLine="709"/>
        <w:rPr>
          <w:i/>
          <w:szCs w:val="26"/>
          <w:lang w:val="en-US"/>
        </w:rPr>
      </w:pPr>
      <w:r w:rsidRPr="008E63BB">
        <w:rPr>
          <w:i/>
          <w:szCs w:val="26"/>
          <w:lang w:val="en-US"/>
        </w:rPr>
        <w:t>* Các nhà máy nước:</w:t>
      </w:r>
    </w:p>
    <w:p w14:paraId="519B2AAF" w14:textId="77777777" w:rsidR="00682A01" w:rsidRPr="008E63BB" w:rsidRDefault="00682A01" w:rsidP="00F8156E">
      <w:pPr>
        <w:pStyle w:val="BodyText2"/>
        <w:spacing w:before="120" w:after="0" w:line="240" w:lineRule="auto"/>
        <w:ind w:firstLine="709"/>
        <w:rPr>
          <w:szCs w:val="26"/>
          <w:lang w:val="en-US"/>
        </w:rPr>
      </w:pPr>
      <w:r w:rsidRPr="008E63BB">
        <w:rPr>
          <w:szCs w:val="26"/>
          <w:lang w:val="en-US"/>
        </w:rPr>
        <w:t xml:space="preserve">- Nhà máy nước Mỹ Lộc công suất: 8.000 m3/ngày đêm, nguồn nước lấy từ sông Hồng, tỷ lệ cấp nước đạt 80%, tỷ lệ thất thoát: 19,3%; </w:t>
      </w:r>
    </w:p>
    <w:p w14:paraId="519B2AB0" w14:textId="77777777" w:rsidR="00682A01" w:rsidRPr="008E63BB" w:rsidRDefault="00682A01" w:rsidP="00F8156E">
      <w:pPr>
        <w:pStyle w:val="BodyText2"/>
        <w:spacing w:before="120" w:after="0" w:line="240" w:lineRule="auto"/>
        <w:ind w:firstLine="709"/>
        <w:rPr>
          <w:szCs w:val="26"/>
          <w:lang w:val="en-US"/>
        </w:rPr>
      </w:pPr>
      <w:r w:rsidRPr="008E63BB">
        <w:rPr>
          <w:szCs w:val="26"/>
          <w:lang w:val="en-US"/>
        </w:rPr>
        <w:t>+ Phạm vi cấp nước: thị trấn Mỹ Lộc và các xã Mỹ Hà, Mỹ Thắng, Mỹ Tiến, Mỹ Hưng, Mỹ Thịnh, Mỹ Thuận, Phú Phúc và Hiển Khánh;</w:t>
      </w:r>
    </w:p>
    <w:p w14:paraId="519B2AB1" w14:textId="77777777" w:rsidR="00682A01" w:rsidRPr="008E63BB" w:rsidRDefault="00682A01" w:rsidP="00F8156E">
      <w:pPr>
        <w:pStyle w:val="BodyText2"/>
        <w:spacing w:before="120" w:after="0" w:line="240" w:lineRule="auto"/>
        <w:ind w:firstLine="709"/>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szCs w:val="26"/>
          <w:lang w:val="en-US"/>
        </w:rPr>
        <w:t>mm với tổng chiều dài: 49.670 m</w:t>
      </w:r>
    </w:p>
    <w:p w14:paraId="519B2AB2" w14:textId="77777777" w:rsidR="00F8156E" w:rsidRPr="008E63BB" w:rsidRDefault="00F8156E">
      <w:pPr>
        <w:jc w:val="left"/>
        <w:rPr>
          <w:rFonts w:eastAsia="Arial"/>
          <w:szCs w:val="26"/>
        </w:rPr>
      </w:pPr>
      <w:r w:rsidRPr="008E63BB">
        <w:rPr>
          <w:szCs w:val="26"/>
        </w:rPr>
        <w:br w:type="page"/>
      </w:r>
    </w:p>
    <w:p w14:paraId="519B2AB3" w14:textId="77777777" w:rsidR="00682A01" w:rsidRPr="008E63BB" w:rsidRDefault="00682A01" w:rsidP="0065184D">
      <w:pPr>
        <w:pStyle w:val="BodyText2"/>
        <w:spacing w:after="0" w:line="240" w:lineRule="auto"/>
        <w:jc w:val="center"/>
        <w:rPr>
          <w:b/>
          <w:szCs w:val="26"/>
          <w:lang w:val="en-US"/>
        </w:rPr>
      </w:pPr>
      <w:r w:rsidRPr="008E63BB">
        <w:rPr>
          <w:b/>
          <w:szCs w:val="26"/>
          <w:lang w:val="en-US"/>
        </w:rPr>
        <w:lastRenderedPageBreak/>
        <w:t xml:space="preserve">Bảng tổng hợp mạng lưới cấp nước </w:t>
      </w:r>
    </w:p>
    <w:tbl>
      <w:tblPr>
        <w:tblW w:w="5658" w:type="dxa"/>
        <w:jc w:val="center"/>
        <w:tblLook w:val="04A0" w:firstRow="1" w:lastRow="0" w:firstColumn="1" w:lastColumn="0" w:noHBand="0" w:noVBand="1"/>
      </w:tblPr>
      <w:tblGrid>
        <w:gridCol w:w="708"/>
        <w:gridCol w:w="2810"/>
        <w:gridCol w:w="2140"/>
      </w:tblGrid>
      <w:tr w:rsidR="008D5BFE" w:rsidRPr="008E63BB" w14:paraId="519B2AB7" w14:textId="77777777" w:rsidTr="00DE0230">
        <w:trPr>
          <w:trHeight w:val="285"/>
          <w:jc w:val="center"/>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AB4"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2810" w:type="dxa"/>
            <w:tcBorders>
              <w:top w:val="single" w:sz="4" w:space="0" w:color="auto"/>
              <w:left w:val="nil"/>
              <w:bottom w:val="single" w:sz="4" w:space="0" w:color="auto"/>
              <w:right w:val="single" w:sz="4" w:space="0" w:color="auto"/>
            </w:tcBorders>
            <w:shd w:val="clear" w:color="auto" w:fill="auto"/>
            <w:noWrap/>
            <w:vAlign w:val="bottom"/>
            <w:hideMark/>
          </w:tcPr>
          <w:p w14:paraId="519B2AB5"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14:paraId="519B2AB6"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ABB" w14:textId="77777777" w:rsidTr="00DE0230">
        <w:trPr>
          <w:trHeight w:val="285"/>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B8" w14:textId="77777777" w:rsidR="00682A01" w:rsidRPr="008E63BB" w:rsidRDefault="00682A01" w:rsidP="0065184D">
            <w:pPr>
              <w:jc w:val="center"/>
              <w:rPr>
                <w:rFonts w:eastAsia="Times New Roman"/>
                <w:b/>
                <w:bCs/>
                <w:szCs w:val="26"/>
              </w:rPr>
            </w:pPr>
          </w:p>
        </w:tc>
        <w:tc>
          <w:tcPr>
            <w:tcW w:w="2810" w:type="dxa"/>
            <w:tcBorders>
              <w:top w:val="nil"/>
              <w:left w:val="nil"/>
              <w:bottom w:val="single" w:sz="4" w:space="0" w:color="auto"/>
              <w:right w:val="single" w:sz="4" w:space="0" w:color="auto"/>
            </w:tcBorders>
            <w:shd w:val="clear" w:color="auto" w:fill="auto"/>
            <w:noWrap/>
            <w:vAlign w:val="bottom"/>
            <w:hideMark/>
          </w:tcPr>
          <w:p w14:paraId="519B2AB9" w14:textId="77777777" w:rsidR="00682A01" w:rsidRPr="008E63BB" w:rsidRDefault="00682A01" w:rsidP="0065184D">
            <w:pPr>
              <w:jc w:val="center"/>
              <w:rPr>
                <w:rFonts w:eastAsia="Times New Roman"/>
                <w:b/>
                <w:bCs/>
                <w:szCs w:val="26"/>
              </w:rPr>
            </w:pPr>
            <w:r w:rsidRPr="008E63BB">
              <w:rPr>
                <w:rFonts w:eastAsia="Times New Roman"/>
                <w:b/>
                <w:bCs/>
                <w:szCs w:val="26"/>
              </w:rPr>
              <w:t>Nhà máy nước Mỹ Lộc</w:t>
            </w:r>
          </w:p>
        </w:tc>
        <w:tc>
          <w:tcPr>
            <w:tcW w:w="2140" w:type="dxa"/>
            <w:tcBorders>
              <w:top w:val="nil"/>
              <w:left w:val="nil"/>
              <w:bottom w:val="single" w:sz="4" w:space="0" w:color="auto"/>
              <w:right w:val="single" w:sz="4" w:space="0" w:color="auto"/>
            </w:tcBorders>
            <w:shd w:val="clear" w:color="auto" w:fill="auto"/>
            <w:noWrap/>
            <w:vAlign w:val="bottom"/>
            <w:hideMark/>
          </w:tcPr>
          <w:p w14:paraId="519B2ABA" w14:textId="77777777" w:rsidR="00682A01" w:rsidRPr="008E63BB" w:rsidRDefault="00682A01" w:rsidP="0065184D">
            <w:pPr>
              <w:jc w:val="right"/>
              <w:rPr>
                <w:rFonts w:eastAsia="Times New Roman"/>
                <w:b/>
                <w:bCs/>
                <w:szCs w:val="26"/>
              </w:rPr>
            </w:pPr>
            <w:r w:rsidRPr="008E63BB">
              <w:rPr>
                <w:rFonts w:eastAsia="Times New Roman"/>
                <w:b/>
                <w:bCs/>
                <w:szCs w:val="26"/>
              </w:rPr>
              <w:t>49.670</w:t>
            </w:r>
          </w:p>
        </w:tc>
      </w:tr>
      <w:tr w:rsidR="008D5BFE" w:rsidRPr="008E63BB" w14:paraId="519B2ABF"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BC"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BD"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2140" w:type="dxa"/>
            <w:tcBorders>
              <w:top w:val="nil"/>
              <w:left w:val="nil"/>
              <w:bottom w:val="single" w:sz="4" w:space="0" w:color="auto"/>
              <w:right w:val="single" w:sz="4" w:space="0" w:color="auto"/>
            </w:tcBorders>
            <w:shd w:val="clear" w:color="auto" w:fill="auto"/>
            <w:noWrap/>
            <w:vAlign w:val="bottom"/>
            <w:hideMark/>
          </w:tcPr>
          <w:p w14:paraId="519B2ABE" w14:textId="77777777" w:rsidR="00682A01" w:rsidRPr="008E63BB" w:rsidRDefault="00682A01" w:rsidP="0065184D">
            <w:pPr>
              <w:jc w:val="right"/>
              <w:rPr>
                <w:rFonts w:eastAsia="Times New Roman"/>
                <w:szCs w:val="26"/>
              </w:rPr>
            </w:pPr>
            <w:r w:rsidRPr="008E63BB">
              <w:rPr>
                <w:rFonts w:eastAsia="Times New Roman"/>
                <w:szCs w:val="26"/>
              </w:rPr>
              <w:t>8.920</w:t>
            </w:r>
          </w:p>
        </w:tc>
      </w:tr>
      <w:tr w:rsidR="008D5BFE" w:rsidRPr="008E63BB" w14:paraId="519B2AC3"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C0"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C1"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2140" w:type="dxa"/>
            <w:tcBorders>
              <w:top w:val="nil"/>
              <w:left w:val="nil"/>
              <w:bottom w:val="single" w:sz="4" w:space="0" w:color="auto"/>
              <w:right w:val="single" w:sz="4" w:space="0" w:color="auto"/>
            </w:tcBorders>
            <w:shd w:val="clear" w:color="auto" w:fill="auto"/>
            <w:noWrap/>
            <w:vAlign w:val="bottom"/>
            <w:hideMark/>
          </w:tcPr>
          <w:p w14:paraId="519B2AC2" w14:textId="77777777" w:rsidR="00682A01" w:rsidRPr="008E63BB" w:rsidRDefault="00682A01" w:rsidP="0065184D">
            <w:pPr>
              <w:jc w:val="right"/>
              <w:rPr>
                <w:rFonts w:eastAsia="Times New Roman"/>
                <w:szCs w:val="26"/>
              </w:rPr>
            </w:pPr>
            <w:r w:rsidRPr="008E63BB">
              <w:rPr>
                <w:rFonts w:eastAsia="Times New Roman"/>
                <w:szCs w:val="26"/>
              </w:rPr>
              <w:t>8.835</w:t>
            </w:r>
          </w:p>
        </w:tc>
      </w:tr>
      <w:tr w:rsidR="008D5BFE" w:rsidRPr="008E63BB" w14:paraId="519B2AC7"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C4"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C5"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C6" w14:textId="77777777" w:rsidR="00682A01" w:rsidRPr="008E63BB" w:rsidRDefault="00682A01" w:rsidP="0065184D">
            <w:pPr>
              <w:jc w:val="right"/>
              <w:rPr>
                <w:rFonts w:eastAsia="Times New Roman"/>
                <w:szCs w:val="26"/>
              </w:rPr>
            </w:pPr>
            <w:r w:rsidRPr="008E63BB">
              <w:rPr>
                <w:rFonts w:eastAsia="Times New Roman"/>
                <w:szCs w:val="26"/>
              </w:rPr>
              <w:t>3.180</w:t>
            </w:r>
          </w:p>
        </w:tc>
      </w:tr>
      <w:tr w:rsidR="008D5BFE" w:rsidRPr="008E63BB" w14:paraId="519B2ACB"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C8"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C9"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CA" w14:textId="77777777" w:rsidR="00682A01" w:rsidRPr="008E63BB" w:rsidRDefault="00682A01" w:rsidP="0065184D">
            <w:pPr>
              <w:jc w:val="right"/>
              <w:rPr>
                <w:rFonts w:eastAsia="Times New Roman"/>
                <w:szCs w:val="26"/>
              </w:rPr>
            </w:pPr>
            <w:r w:rsidRPr="008E63BB">
              <w:rPr>
                <w:rFonts w:eastAsia="Times New Roman"/>
                <w:szCs w:val="26"/>
              </w:rPr>
              <w:t>2.270</w:t>
            </w:r>
          </w:p>
        </w:tc>
      </w:tr>
      <w:tr w:rsidR="008D5BFE" w:rsidRPr="008E63BB" w14:paraId="519B2ACF"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CC"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CD"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CE" w14:textId="77777777" w:rsidR="00682A01" w:rsidRPr="008E63BB" w:rsidRDefault="00682A01" w:rsidP="0065184D">
            <w:pPr>
              <w:jc w:val="right"/>
              <w:rPr>
                <w:rFonts w:eastAsia="Times New Roman"/>
                <w:szCs w:val="26"/>
              </w:rPr>
            </w:pPr>
            <w:r w:rsidRPr="008E63BB">
              <w:rPr>
                <w:rFonts w:eastAsia="Times New Roman"/>
                <w:szCs w:val="26"/>
              </w:rPr>
              <w:t>7.735</w:t>
            </w:r>
          </w:p>
        </w:tc>
      </w:tr>
      <w:tr w:rsidR="008D5BFE" w:rsidRPr="008E63BB" w14:paraId="519B2AD3"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D0"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D1"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D2" w14:textId="77777777" w:rsidR="00682A01" w:rsidRPr="008E63BB" w:rsidRDefault="00682A01" w:rsidP="0065184D">
            <w:pPr>
              <w:jc w:val="right"/>
              <w:rPr>
                <w:rFonts w:eastAsia="Times New Roman"/>
                <w:szCs w:val="26"/>
              </w:rPr>
            </w:pPr>
            <w:r w:rsidRPr="008E63BB">
              <w:rPr>
                <w:rFonts w:eastAsia="Times New Roman"/>
                <w:szCs w:val="26"/>
              </w:rPr>
              <w:t>3.025</w:t>
            </w:r>
          </w:p>
        </w:tc>
      </w:tr>
      <w:tr w:rsidR="008D5BFE" w:rsidRPr="008E63BB" w14:paraId="519B2AD7"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D4"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D5"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D6" w14:textId="77777777" w:rsidR="00682A01" w:rsidRPr="008E63BB" w:rsidRDefault="00682A01" w:rsidP="0065184D">
            <w:pPr>
              <w:jc w:val="right"/>
              <w:rPr>
                <w:rFonts w:eastAsia="Times New Roman"/>
                <w:szCs w:val="26"/>
              </w:rPr>
            </w:pPr>
            <w:r w:rsidRPr="008E63BB">
              <w:rPr>
                <w:rFonts w:eastAsia="Times New Roman"/>
                <w:szCs w:val="26"/>
              </w:rPr>
              <w:t>4.420</w:t>
            </w:r>
          </w:p>
        </w:tc>
      </w:tr>
      <w:tr w:rsidR="008D5BFE" w:rsidRPr="008E63BB" w14:paraId="519B2ADB"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D8"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D9"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DA" w14:textId="77777777" w:rsidR="00682A01" w:rsidRPr="008E63BB" w:rsidRDefault="00682A01" w:rsidP="0065184D">
            <w:pPr>
              <w:jc w:val="right"/>
              <w:rPr>
                <w:rFonts w:eastAsia="Times New Roman"/>
                <w:szCs w:val="26"/>
              </w:rPr>
            </w:pPr>
            <w:r w:rsidRPr="008E63BB">
              <w:rPr>
                <w:rFonts w:eastAsia="Times New Roman"/>
                <w:szCs w:val="26"/>
              </w:rPr>
              <w:t>930</w:t>
            </w:r>
          </w:p>
        </w:tc>
      </w:tr>
      <w:tr w:rsidR="008D5BFE" w:rsidRPr="008E63BB" w14:paraId="519B2ADF" w14:textId="77777777" w:rsidTr="00DE0230">
        <w:trPr>
          <w:trHeight w:val="300"/>
          <w:jc w:val="center"/>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DC" w14:textId="77777777" w:rsidR="00682A01" w:rsidRPr="008E63BB" w:rsidRDefault="00682A01" w:rsidP="0065184D">
            <w:pPr>
              <w:jc w:val="center"/>
              <w:rPr>
                <w:rFonts w:eastAsia="Times New Roman"/>
                <w:szCs w:val="26"/>
              </w:rPr>
            </w:pPr>
            <w:r w:rsidRPr="008E63BB">
              <w:rPr>
                <w:rFonts w:eastAsia="Times New Roman"/>
                <w:szCs w:val="26"/>
              </w:rPr>
              <w:t>-</w:t>
            </w:r>
          </w:p>
        </w:tc>
        <w:tc>
          <w:tcPr>
            <w:tcW w:w="2810" w:type="dxa"/>
            <w:tcBorders>
              <w:top w:val="nil"/>
              <w:left w:val="nil"/>
              <w:bottom w:val="single" w:sz="4" w:space="0" w:color="auto"/>
              <w:right w:val="single" w:sz="4" w:space="0" w:color="auto"/>
            </w:tcBorders>
            <w:shd w:val="clear" w:color="auto" w:fill="auto"/>
            <w:noWrap/>
            <w:vAlign w:val="bottom"/>
            <w:hideMark/>
          </w:tcPr>
          <w:p w14:paraId="519B2ADD"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2140" w:type="dxa"/>
            <w:tcBorders>
              <w:top w:val="nil"/>
              <w:left w:val="nil"/>
              <w:bottom w:val="single" w:sz="4" w:space="0" w:color="auto"/>
              <w:right w:val="single" w:sz="4" w:space="0" w:color="auto"/>
            </w:tcBorders>
            <w:shd w:val="clear" w:color="auto" w:fill="auto"/>
            <w:noWrap/>
            <w:vAlign w:val="bottom"/>
            <w:hideMark/>
          </w:tcPr>
          <w:p w14:paraId="519B2ADE" w14:textId="77777777" w:rsidR="00682A01" w:rsidRPr="008E63BB" w:rsidRDefault="00682A01" w:rsidP="0065184D">
            <w:pPr>
              <w:jc w:val="right"/>
              <w:rPr>
                <w:rFonts w:eastAsia="Times New Roman"/>
                <w:szCs w:val="26"/>
              </w:rPr>
            </w:pPr>
            <w:r w:rsidRPr="008E63BB">
              <w:rPr>
                <w:rFonts w:eastAsia="Times New Roman"/>
                <w:szCs w:val="26"/>
              </w:rPr>
              <w:t>10.355</w:t>
            </w:r>
          </w:p>
        </w:tc>
      </w:tr>
    </w:tbl>
    <w:p w14:paraId="519B2AE0" w14:textId="77777777" w:rsidR="00682A01" w:rsidRPr="008E63BB" w:rsidRDefault="00682A01" w:rsidP="0065184D">
      <w:pPr>
        <w:rPr>
          <w:szCs w:val="26"/>
        </w:rPr>
      </w:pPr>
      <w:r w:rsidRPr="008E63BB">
        <w:rPr>
          <w:szCs w:val="26"/>
        </w:rPr>
        <w:tab/>
        <w:t>- Nhà máy nước Nghĩa An công suất: 7.000 m3/ngày đêm, nguồn nước sông Đào, tỷ lệ cấp nước đạt 92%, tỷ lệ thất thoát: 18,9%; phạm vi phục vụ cấp cho xã Nghĩa An, Hồng Quang, Nam Toàn, Nam Mỹ, Nam Cường, Nam Hùng;</w:t>
      </w:r>
    </w:p>
    <w:p w14:paraId="519B2AE1" w14:textId="77777777" w:rsidR="00682A01" w:rsidRPr="008E63BB" w:rsidRDefault="00682A01" w:rsidP="0065184D">
      <w:pPr>
        <w:pStyle w:val="BodyText2"/>
        <w:spacing w:after="0" w:line="240" w:lineRule="auto"/>
        <w:ind w:firstLine="709"/>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szCs w:val="26"/>
          <w:lang w:val="en-US"/>
        </w:rPr>
        <w:t>mm với tổng chiều dài: 31.065 m</w:t>
      </w:r>
    </w:p>
    <w:p w14:paraId="519B2AE2" w14:textId="77777777" w:rsidR="00682A01" w:rsidRPr="008E63BB" w:rsidRDefault="00682A01" w:rsidP="0065184D">
      <w:pPr>
        <w:pStyle w:val="BodyText2"/>
        <w:spacing w:after="0" w:line="240" w:lineRule="auto"/>
        <w:jc w:val="center"/>
        <w:rPr>
          <w:b/>
          <w:szCs w:val="26"/>
          <w:lang w:val="en-US"/>
        </w:rPr>
      </w:pPr>
      <w:r w:rsidRPr="008E63BB">
        <w:rPr>
          <w:b/>
          <w:szCs w:val="26"/>
          <w:lang w:val="en-US"/>
        </w:rPr>
        <w:t xml:space="preserve">Bảng tổng hợp mạng lưới cấp nước </w:t>
      </w:r>
    </w:p>
    <w:tbl>
      <w:tblPr>
        <w:tblW w:w="5528" w:type="dxa"/>
        <w:tblInd w:w="1809" w:type="dxa"/>
        <w:tblLook w:val="04A0" w:firstRow="1" w:lastRow="0" w:firstColumn="1" w:lastColumn="0" w:noHBand="0" w:noVBand="1"/>
      </w:tblPr>
      <w:tblGrid>
        <w:gridCol w:w="708"/>
        <w:gridCol w:w="3039"/>
        <w:gridCol w:w="1781"/>
      </w:tblGrid>
      <w:tr w:rsidR="008D5BFE" w:rsidRPr="008E63BB" w14:paraId="519B2AE6"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AE3"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3039" w:type="dxa"/>
            <w:tcBorders>
              <w:top w:val="single" w:sz="4" w:space="0" w:color="auto"/>
              <w:left w:val="nil"/>
              <w:bottom w:val="single" w:sz="4" w:space="0" w:color="auto"/>
              <w:right w:val="single" w:sz="4" w:space="0" w:color="auto"/>
            </w:tcBorders>
            <w:shd w:val="clear" w:color="auto" w:fill="auto"/>
            <w:noWrap/>
            <w:vAlign w:val="bottom"/>
          </w:tcPr>
          <w:p w14:paraId="519B2AE4"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1781" w:type="dxa"/>
            <w:tcBorders>
              <w:top w:val="single" w:sz="4" w:space="0" w:color="auto"/>
              <w:left w:val="nil"/>
              <w:bottom w:val="single" w:sz="4" w:space="0" w:color="auto"/>
              <w:right w:val="single" w:sz="4" w:space="0" w:color="auto"/>
            </w:tcBorders>
            <w:shd w:val="clear" w:color="auto" w:fill="auto"/>
            <w:noWrap/>
            <w:vAlign w:val="bottom"/>
          </w:tcPr>
          <w:p w14:paraId="519B2AE5"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AEA"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AE7" w14:textId="77777777" w:rsidR="00682A01" w:rsidRPr="008E63BB" w:rsidRDefault="00682A01" w:rsidP="0065184D">
            <w:pPr>
              <w:jc w:val="center"/>
              <w:rPr>
                <w:rFonts w:eastAsia="Times New Roman"/>
                <w:b/>
                <w:bCs/>
                <w:szCs w:val="26"/>
              </w:rPr>
            </w:pPr>
          </w:p>
        </w:tc>
        <w:tc>
          <w:tcPr>
            <w:tcW w:w="3039" w:type="dxa"/>
            <w:tcBorders>
              <w:top w:val="single" w:sz="4" w:space="0" w:color="auto"/>
              <w:left w:val="nil"/>
              <w:bottom w:val="single" w:sz="4" w:space="0" w:color="auto"/>
              <w:right w:val="single" w:sz="4" w:space="0" w:color="auto"/>
            </w:tcBorders>
            <w:shd w:val="clear" w:color="auto" w:fill="auto"/>
            <w:noWrap/>
            <w:vAlign w:val="bottom"/>
            <w:hideMark/>
          </w:tcPr>
          <w:p w14:paraId="519B2AE8" w14:textId="77777777" w:rsidR="00682A01" w:rsidRPr="008E63BB" w:rsidRDefault="00682A01" w:rsidP="0065184D">
            <w:pPr>
              <w:rPr>
                <w:rFonts w:eastAsia="Times New Roman"/>
                <w:b/>
                <w:bCs/>
                <w:szCs w:val="26"/>
              </w:rPr>
            </w:pPr>
            <w:r w:rsidRPr="008E63BB">
              <w:rPr>
                <w:rFonts w:eastAsia="Times New Roman"/>
                <w:b/>
                <w:bCs/>
                <w:szCs w:val="26"/>
              </w:rPr>
              <w:t>Nhà máy nước Nghĩa An</w:t>
            </w:r>
          </w:p>
        </w:tc>
        <w:tc>
          <w:tcPr>
            <w:tcW w:w="1781" w:type="dxa"/>
            <w:tcBorders>
              <w:top w:val="single" w:sz="4" w:space="0" w:color="auto"/>
              <w:left w:val="nil"/>
              <w:bottom w:val="single" w:sz="4" w:space="0" w:color="auto"/>
              <w:right w:val="single" w:sz="4" w:space="0" w:color="auto"/>
            </w:tcBorders>
            <w:shd w:val="clear" w:color="auto" w:fill="auto"/>
            <w:noWrap/>
            <w:vAlign w:val="bottom"/>
            <w:hideMark/>
          </w:tcPr>
          <w:p w14:paraId="519B2AE9" w14:textId="77777777" w:rsidR="00682A01" w:rsidRPr="008E63BB" w:rsidRDefault="00682A01" w:rsidP="0065184D">
            <w:pPr>
              <w:jc w:val="right"/>
              <w:rPr>
                <w:rFonts w:eastAsia="Times New Roman"/>
                <w:b/>
                <w:bCs/>
                <w:szCs w:val="26"/>
              </w:rPr>
            </w:pPr>
            <w:r w:rsidRPr="008E63BB">
              <w:rPr>
                <w:rFonts w:eastAsia="Times New Roman"/>
                <w:b/>
                <w:bCs/>
                <w:szCs w:val="26"/>
              </w:rPr>
              <w:t>31.065</w:t>
            </w:r>
          </w:p>
        </w:tc>
      </w:tr>
      <w:tr w:rsidR="008D5BFE" w:rsidRPr="008E63BB" w14:paraId="519B2AEE"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EB" w14:textId="77777777" w:rsidR="00682A01" w:rsidRPr="008E63BB" w:rsidRDefault="00682A01" w:rsidP="0065184D">
            <w:pPr>
              <w:jc w:val="center"/>
              <w:rPr>
                <w:rFonts w:eastAsia="Times New Roman"/>
                <w:szCs w:val="26"/>
              </w:rPr>
            </w:pPr>
            <w:r w:rsidRPr="008E63BB">
              <w:rPr>
                <w:rFonts w:eastAsia="Times New Roman"/>
                <w:szCs w:val="26"/>
              </w:rPr>
              <w:t>-</w:t>
            </w:r>
          </w:p>
        </w:tc>
        <w:tc>
          <w:tcPr>
            <w:tcW w:w="3039" w:type="dxa"/>
            <w:tcBorders>
              <w:top w:val="nil"/>
              <w:left w:val="nil"/>
              <w:bottom w:val="single" w:sz="4" w:space="0" w:color="auto"/>
              <w:right w:val="single" w:sz="4" w:space="0" w:color="auto"/>
            </w:tcBorders>
            <w:shd w:val="clear" w:color="auto" w:fill="auto"/>
            <w:noWrap/>
            <w:vAlign w:val="bottom"/>
            <w:hideMark/>
          </w:tcPr>
          <w:p w14:paraId="519B2AEC"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1781" w:type="dxa"/>
            <w:tcBorders>
              <w:top w:val="nil"/>
              <w:left w:val="nil"/>
              <w:bottom w:val="single" w:sz="4" w:space="0" w:color="auto"/>
              <w:right w:val="single" w:sz="4" w:space="0" w:color="auto"/>
            </w:tcBorders>
            <w:shd w:val="clear" w:color="auto" w:fill="auto"/>
            <w:noWrap/>
            <w:vAlign w:val="bottom"/>
            <w:hideMark/>
          </w:tcPr>
          <w:p w14:paraId="519B2AED" w14:textId="77777777" w:rsidR="00682A01" w:rsidRPr="008E63BB" w:rsidRDefault="00682A01" w:rsidP="0065184D">
            <w:pPr>
              <w:jc w:val="right"/>
              <w:rPr>
                <w:rFonts w:eastAsia="Times New Roman"/>
                <w:szCs w:val="26"/>
              </w:rPr>
            </w:pPr>
            <w:r w:rsidRPr="008E63BB">
              <w:rPr>
                <w:rFonts w:eastAsia="Times New Roman"/>
                <w:szCs w:val="26"/>
              </w:rPr>
              <w:t>3.710</w:t>
            </w:r>
          </w:p>
        </w:tc>
      </w:tr>
      <w:tr w:rsidR="008D5BFE" w:rsidRPr="008E63BB" w14:paraId="519B2AF2"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EF" w14:textId="77777777" w:rsidR="00682A01" w:rsidRPr="008E63BB" w:rsidRDefault="00682A01" w:rsidP="0065184D">
            <w:pPr>
              <w:jc w:val="center"/>
              <w:rPr>
                <w:rFonts w:eastAsia="Times New Roman"/>
                <w:szCs w:val="26"/>
              </w:rPr>
            </w:pPr>
            <w:r w:rsidRPr="008E63BB">
              <w:rPr>
                <w:rFonts w:eastAsia="Times New Roman"/>
                <w:szCs w:val="26"/>
              </w:rPr>
              <w:t>-</w:t>
            </w:r>
          </w:p>
        </w:tc>
        <w:tc>
          <w:tcPr>
            <w:tcW w:w="3039" w:type="dxa"/>
            <w:tcBorders>
              <w:top w:val="nil"/>
              <w:left w:val="nil"/>
              <w:bottom w:val="single" w:sz="4" w:space="0" w:color="auto"/>
              <w:right w:val="single" w:sz="4" w:space="0" w:color="auto"/>
            </w:tcBorders>
            <w:shd w:val="clear" w:color="auto" w:fill="auto"/>
            <w:noWrap/>
            <w:vAlign w:val="bottom"/>
            <w:hideMark/>
          </w:tcPr>
          <w:p w14:paraId="519B2AF0"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781" w:type="dxa"/>
            <w:tcBorders>
              <w:top w:val="nil"/>
              <w:left w:val="nil"/>
              <w:bottom w:val="single" w:sz="4" w:space="0" w:color="auto"/>
              <w:right w:val="single" w:sz="4" w:space="0" w:color="auto"/>
            </w:tcBorders>
            <w:shd w:val="clear" w:color="auto" w:fill="auto"/>
            <w:noWrap/>
            <w:vAlign w:val="bottom"/>
            <w:hideMark/>
          </w:tcPr>
          <w:p w14:paraId="519B2AF1" w14:textId="77777777" w:rsidR="00682A01" w:rsidRPr="008E63BB" w:rsidRDefault="00682A01" w:rsidP="0065184D">
            <w:pPr>
              <w:jc w:val="right"/>
              <w:rPr>
                <w:rFonts w:eastAsia="Times New Roman"/>
                <w:szCs w:val="26"/>
              </w:rPr>
            </w:pPr>
            <w:r w:rsidRPr="008E63BB">
              <w:rPr>
                <w:rFonts w:eastAsia="Times New Roman"/>
                <w:szCs w:val="26"/>
              </w:rPr>
              <w:t>9.955</w:t>
            </w:r>
          </w:p>
        </w:tc>
      </w:tr>
      <w:tr w:rsidR="008D5BFE" w:rsidRPr="008E63BB" w14:paraId="519B2AF6"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F3" w14:textId="77777777" w:rsidR="00682A01" w:rsidRPr="008E63BB" w:rsidRDefault="00682A01" w:rsidP="0065184D">
            <w:pPr>
              <w:jc w:val="center"/>
              <w:rPr>
                <w:rFonts w:eastAsia="Times New Roman"/>
                <w:szCs w:val="26"/>
              </w:rPr>
            </w:pPr>
            <w:r w:rsidRPr="008E63BB">
              <w:rPr>
                <w:rFonts w:eastAsia="Times New Roman"/>
                <w:szCs w:val="26"/>
              </w:rPr>
              <w:t>-</w:t>
            </w:r>
          </w:p>
        </w:tc>
        <w:tc>
          <w:tcPr>
            <w:tcW w:w="3039" w:type="dxa"/>
            <w:tcBorders>
              <w:top w:val="nil"/>
              <w:left w:val="nil"/>
              <w:bottom w:val="single" w:sz="4" w:space="0" w:color="auto"/>
              <w:right w:val="single" w:sz="4" w:space="0" w:color="auto"/>
            </w:tcBorders>
            <w:shd w:val="clear" w:color="auto" w:fill="auto"/>
            <w:noWrap/>
            <w:vAlign w:val="bottom"/>
            <w:hideMark/>
          </w:tcPr>
          <w:p w14:paraId="519B2AF4"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81" w:type="dxa"/>
            <w:tcBorders>
              <w:top w:val="nil"/>
              <w:left w:val="nil"/>
              <w:bottom w:val="single" w:sz="4" w:space="0" w:color="auto"/>
              <w:right w:val="single" w:sz="4" w:space="0" w:color="auto"/>
            </w:tcBorders>
            <w:shd w:val="clear" w:color="auto" w:fill="auto"/>
            <w:noWrap/>
            <w:vAlign w:val="bottom"/>
            <w:hideMark/>
          </w:tcPr>
          <w:p w14:paraId="519B2AF5" w14:textId="77777777" w:rsidR="00682A01" w:rsidRPr="008E63BB" w:rsidRDefault="00682A01" w:rsidP="0065184D">
            <w:pPr>
              <w:jc w:val="right"/>
              <w:rPr>
                <w:rFonts w:eastAsia="Times New Roman"/>
                <w:szCs w:val="26"/>
              </w:rPr>
            </w:pPr>
            <w:r w:rsidRPr="008E63BB">
              <w:rPr>
                <w:rFonts w:eastAsia="Times New Roman"/>
                <w:szCs w:val="26"/>
              </w:rPr>
              <w:t>6.170</w:t>
            </w:r>
          </w:p>
        </w:tc>
      </w:tr>
      <w:tr w:rsidR="008D5BFE" w:rsidRPr="008E63BB" w14:paraId="519B2AFA"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F7" w14:textId="77777777" w:rsidR="00682A01" w:rsidRPr="008E63BB" w:rsidRDefault="00682A01" w:rsidP="0065184D">
            <w:pPr>
              <w:jc w:val="center"/>
              <w:rPr>
                <w:rFonts w:eastAsia="Times New Roman"/>
                <w:szCs w:val="26"/>
              </w:rPr>
            </w:pPr>
            <w:r w:rsidRPr="008E63BB">
              <w:rPr>
                <w:rFonts w:eastAsia="Times New Roman"/>
                <w:szCs w:val="26"/>
              </w:rPr>
              <w:t>-</w:t>
            </w:r>
          </w:p>
        </w:tc>
        <w:tc>
          <w:tcPr>
            <w:tcW w:w="3039" w:type="dxa"/>
            <w:tcBorders>
              <w:top w:val="nil"/>
              <w:left w:val="nil"/>
              <w:bottom w:val="single" w:sz="4" w:space="0" w:color="auto"/>
              <w:right w:val="single" w:sz="4" w:space="0" w:color="auto"/>
            </w:tcBorders>
            <w:shd w:val="clear" w:color="auto" w:fill="auto"/>
            <w:noWrap/>
            <w:vAlign w:val="bottom"/>
            <w:hideMark/>
          </w:tcPr>
          <w:p w14:paraId="519B2AF8"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81" w:type="dxa"/>
            <w:tcBorders>
              <w:top w:val="nil"/>
              <w:left w:val="nil"/>
              <w:bottom w:val="single" w:sz="4" w:space="0" w:color="auto"/>
              <w:right w:val="single" w:sz="4" w:space="0" w:color="auto"/>
            </w:tcBorders>
            <w:shd w:val="clear" w:color="auto" w:fill="auto"/>
            <w:noWrap/>
            <w:vAlign w:val="bottom"/>
            <w:hideMark/>
          </w:tcPr>
          <w:p w14:paraId="519B2AF9" w14:textId="77777777" w:rsidR="00682A01" w:rsidRPr="008E63BB" w:rsidRDefault="00682A01" w:rsidP="0065184D">
            <w:pPr>
              <w:jc w:val="right"/>
              <w:rPr>
                <w:rFonts w:eastAsia="Times New Roman"/>
                <w:szCs w:val="26"/>
              </w:rPr>
            </w:pPr>
            <w:r w:rsidRPr="008E63BB">
              <w:rPr>
                <w:rFonts w:eastAsia="Times New Roman"/>
                <w:szCs w:val="26"/>
              </w:rPr>
              <w:t>6.520</w:t>
            </w:r>
          </w:p>
        </w:tc>
      </w:tr>
      <w:tr w:rsidR="008D5BFE" w:rsidRPr="008E63BB" w14:paraId="519B2AFE"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FB" w14:textId="77777777" w:rsidR="00682A01" w:rsidRPr="008E63BB" w:rsidRDefault="00682A01" w:rsidP="0065184D">
            <w:pPr>
              <w:jc w:val="center"/>
              <w:rPr>
                <w:rFonts w:eastAsia="Times New Roman"/>
                <w:szCs w:val="26"/>
              </w:rPr>
            </w:pPr>
            <w:r w:rsidRPr="008E63BB">
              <w:rPr>
                <w:rFonts w:eastAsia="Times New Roman"/>
                <w:szCs w:val="26"/>
              </w:rPr>
              <w:t>-</w:t>
            </w:r>
          </w:p>
        </w:tc>
        <w:tc>
          <w:tcPr>
            <w:tcW w:w="3039" w:type="dxa"/>
            <w:tcBorders>
              <w:top w:val="nil"/>
              <w:left w:val="nil"/>
              <w:bottom w:val="single" w:sz="4" w:space="0" w:color="auto"/>
              <w:right w:val="single" w:sz="4" w:space="0" w:color="auto"/>
            </w:tcBorders>
            <w:shd w:val="clear" w:color="auto" w:fill="auto"/>
            <w:noWrap/>
            <w:vAlign w:val="bottom"/>
            <w:hideMark/>
          </w:tcPr>
          <w:p w14:paraId="519B2AFC"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81" w:type="dxa"/>
            <w:tcBorders>
              <w:top w:val="nil"/>
              <w:left w:val="nil"/>
              <w:bottom w:val="single" w:sz="4" w:space="0" w:color="auto"/>
              <w:right w:val="single" w:sz="4" w:space="0" w:color="auto"/>
            </w:tcBorders>
            <w:shd w:val="clear" w:color="auto" w:fill="auto"/>
            <w:noWrap/>
            <w:vAlign w:val="bottom"/>
            <w:hideMark/>
          </w:tcPr>
          <w:p w14:paraId="519B2AFD" w14:textId="77777777" w:rsidR="00682A01" w:rsidRPr="008E63BB" w:rsidRDefault="00682A01" w:rsidP="0065184D">
            <w:pPr>
              <w:jc w:val="right"/>
              <w:rPr>
                <w:rFonts w:eastAsia="Times New Roman"/>
                <w:szCs w:val="26"/>
              </w:rPr>
            </w:pPr>
            <w:r w:rsidRPr="008E63BB">
              <w:rPr>
                <w:rFonts w:eastAsia="Times New Roman"/>
                <w:szCs w:val="26"/>
              </w:rPr>
              <w:t>2.160</w:t>
            </w:r>
          </w:p>
        </w:tc>
      </w:tr>
      <w:tr w:rsidR="008D5BFE" w:rsidRPr="008E63BB" w14:paraId="519B2B02"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AFF" w14:textId="77777777" w:rsidR="00682A01" w:rsidRPr="008E63BB" w:rsidRDefault="00682A01" w:rsidP="0065184D">
            <w:pPr>
              <w:jc w:val="center"/>
              <w:rPr>
                <w:rFonts w:eastAsia="Times New Roman"/>
                <w:szCs w:val="26"/>
              </w:rPr>
            </w:pPr>
            <w:r w:rsidRPr="008E63BB">
              <w:rPr>
                <w:rFonts w:eastAsia="Times New Roman"/>
                <w:szCs w:val="26"/>
              </w:rPr>
              <w:t>-</w:t>
            </w:r>
          </w:p>
        </w:tc>
        <w:tc>
          <w:tcPr>
            <w:tcW w:w="3039" w:type="dxa"/>
            <w:tcBorders>
              <w:top w:val="nil"/>
              <w:left w:val="nil"/>
              <w:bottom w:val="single" w:sz="4" w:space="0" w:color="auto"/>
              <w:right w:val="single" w:sz="4" w:space="0" w:color="auto"/>
            </w:tcBorders>
            <w:shd w:val="clear" w:color="auto" w:fill="auto"/>
            <w:noWrap/>
            <w:vAlign w:val="bottom"/>
            <w:hideMark/>
          </w:tcPr>
          <w:p w14:paraId="519B2B00"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81" w:type="dxa"/>
            <w:tcBorders>
              <w:top w:val="nil"/>
              <w:left w:val="nil"/>
              <w:bottom w:val="single" w:sz="4" w:space="0" w:color="auto"/>
              <w:right w:val="single" w:sz="4" w:space="0" w:color="auto"/>
            </w:tcBorders>
            <w:shd w:val="clear" w:color="auto" w:fill="auto"/>
            <w:noWrap/>
            <w:vAlign w:val="bottom"/>
            <w:hideMark/>
          </w:tcPr>
          <w:p w14:paraId="519B2B01" w14:textId="77777777" w:rsidR="00682A01" w:rsidRPr="008E63BB" w:rsidRDefault="00682A01" w:rsidP="0065184D">
            <w:pPr>
              <w:jc w:val="right"/>
              <w:rPr>
                <w:rFonts w:eastAsia="Times New Roman"/>
                <w:szCs w:val="26"/>
              </w:rPr>
            </w:pPr>
            <w:r w:rsidRPr="008E63BB">
              <w:rPr>
                <w:rFonts w:eastAsia="Times New Roman"/>
                <w:szCs w:val="26"/>
              </w:rPr>
              <w:t>2.550</w:t>
            </w:r>
          </w:p>
        </w:tc>
      </w:tr>
    </w:tbl>
    <w:p w14:paraId="519B2B03" w14:textId="77777777" w:rsidR="00682A01" w:rsidRPr="008E63BB" w:rsidRDefault="00682A01" w:rsidP="00F8156E">
      <w:pPr>
        <w:pStyle w:val="BodyText2"/>
        <w:spacing w:before="120" w:after="0" w:line="240" w:lineRule="auto"/>
        <w:ind w:firstLine="539"/>
        <w:rPr>
          <w:szCs w:val="26"/>
          <w:lang w:val="en-US"/>
        </w:rPr>
      </w:pPr>
      <w:r w:rsidRPr="008E63BB">
        <w:rPr>
          <w:szCs w:val="26"/>
          <w:lang w:val="en-US"/>
        </w:rPr>
        <w:t>- Nhà máy nước Liên Bảo công suất: 5.000 m3/ngày đêm, nguồn nước mặt sông Đào, tỷ lệ cấp nước đạt 78%, tỷ lệ thất thoát: 13,8%; Phạm vi cấp nước gồm các xã: Đại An, Liên Bảo, Hợp Hưng huyện Vụ Bản</w:t>
      </w:r>
    </w:p>
    <w:p w14:paraId="519B2B04" w14:textId="77777777" w:rsidR="00682A01" w:rsidRPr="008E63BB" w:rsidRDefault="00682A01" w:rsidP="0065184D">
      <w:pPr>
        <w:pStyle w:val="BodyText2"/>
        <w:spacing w:after="0" w:line="240" w:lineRule="auto"/>
        <w:ind w:firstLine="709"/>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szCs w:val="26"/>
          <w:lang w:val="en-US"/>
        </w:rPr>
        <w:t>mm với tổng chiều dài: 14.285 m</w:t>
      </w:r>
    </w:p>
    <w:p w14:paraId="519B2B05" w14:textId="77777777" w:rsidR="00682A01" w:rsidRPr="008E63BB" w:rsidRDefault="00682A01" w:rsidP="0065184D">
      <w:pPr>
        <w:pStyle w:val="BodyText2"/>
        <w:spacing w:after="0" w:line="240" w:lineRule="auto"/>
        <w:jc w:val="center"/>
        <w:rPr>
          <w:b/>
          <w:szCs w:val="26"/>
          <w:lang w:val="en-US"/>
        </w:rPr>
      </w:pPr>
      <w:r w:rsidRPr="008E63BB">
        <w:rPr>
          <w:b/>
          <w:szCs w:val="26"/>
          <w:lang w:val="en-US"/>
        </w:rPr>
        <w:t xml:space="preserve">Bảng tổng hợp mạng lưới cấp nước </w:t>
      </w:r>
    </w:p>
    <w:tbl>
      <w:tblPr>
        <w:tblW w:w="5528" w:type="dxa"/>
        <w:tblInd w:w="2093" w:type="dxa"/>
        <w:tblLook w:val="04A0" w:firstRow="1" w:lastRow="0" w:firstColumn="1" w:lastColumn="0" w:noHBand="0" w:noVBand="1"/>
      </w:tblPr>
      <w:tblGrid>
        <w:gridCol w:w="708"/>
        <w:gridCol w:w="3024"/>
        <w:gridCol w:w="1796"/>
      </w:tblGrid>
      <w:tr w:rsidR="008D5BFE" w:rsidRPr="008E63BB" w14:paraId="519B2B09"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B06"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3024" w:type="dxa"/>
            <w:tcBorders>
              <w:top w:val="single" w:sz="4" w:space="0" w:color="auto"/>
              <w:left w:val="nil"/>
              <w:bottom w:val="single" w:sz="4" w:space="0" w:color="auto"/>
              <w:right w:val="single" w:sz="4" w:space="0" w:color="auto"/>
            </w:tcBorders>
            <w:shd w:val="clear" w:color="auto" w:fill="auto"/>
            <w:noWrap/>
            <w:vAlign w:val="bottom"/>
          </w:tcPr>
          <w:p w14:paraId="519B2B07"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1796" w:type="dxa"/>
            <w:tcBorders>
              <w:top w:val="single" w:sz="4" w:space="0" w:color="auto"/>
              <w:left w:val="nil"/>
              <w:bottom w:val="single" w:sz="4" w:space="0" w:color="auto"/>
              <w:right w:val="single" w:sz="4" w:space="0" w:color="auto"/>
            </w:tcBorders>
            <w:shd w:val="clear" w:color="auto" w:fill="auto"/>
            <w:noWrap/>
            <w:vAlign w:val="bottom"/>
          </w:tcPr>
          <w:p w14:paraId="519B2B08"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B0D"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B0A" w14:textId="77777777" w:rsidR="00682A01" w:rsidRPr="008E63BB" w:rsidRDefault="00682A01" w:rsidP="0065184D">
            <w:pPr>
              <w:jc w:val="center"/>
              <w:rPr>
                <w:rFonts w:eastAsia="Times New Roman"/>
                <w:b/>
                <w:bCs/>
                <w:szCs w:val="26"/>
              </w:rPr>
            </w:pPr>
          </w:p>
        </w:tc>
        <w:tc>
          <w:tcPr>
            <w:tcW w:w="3024" w:type="dxa"/>
            <w:tcBorders>
              <w:top w:val="single" w:sz="4" w:space="0" w:color="auto"/>
              <w:left w:val="nil"/>
              <w:bottom w:val="single" w:sz="4" w:space="0" w:color="auto"/>
              <w:right w:val="single" w:sz="4" w:space="0" w:color="auto"/>
            </w:tcBorders>
            <w:shd w:val="clear" w:color="auto" w:fill="auto"/>
            <w:noWrap/>
            <w:vAlign w:val="bottom"/>
            <w:hideMark/>
          </w:tcPr>
          <w:p w14:paraId="519B2B0B" w14:textId="77777777" w:rsidR="00682A01" w:rsidRPr="008E63BB" w:rsidRDefault="00682A01" w:rsidP="0065184D">
            <w:pPr>
              <w:rPr>
                <w:rFonts w:eastAsia="Times New Roman"/>
                <w:b/>
                <w:bCs/>
                <w:szCs w:val="26"/>
              </w:rPr>
            </w:pPr>
            <w:r w:rsidRPr="008E63BB">
              <w:rPr>
                <w:rFonts w:eastAsia="Times New Roman"/>
                <w:b/>
                <w:bCs/>
                <w:szCs w:val="26"/>
              </w:rPr>
              <w:t>Nhà máy nước Liên Bảo</w:t>
            </w:r>
          </w:p>
        </w:tc>
        <w:tc>
          <w:tcPr>
            <w:tcW w:w="1796" w:type="dxa"/>
            <w:tcBorders>
              <w:top w:val="single" w:sz="4" w:space="0" w:color="auto"/>
              <w:left w:val="nil"/>
              <w:bottom w:val="single" w:sz="4" w:space="0" w:color="auto"/>
              <w:right w:val="single" w:sz="4" w:space="0" w:color="auto"/>
            </w:tcBorders>
            <w:shd w:val="clear" w:color="auto" w:fill="auto"/>
            <w:noWrap/>
            <w:vAlign w:val="bottom"/>
            <w:hideMark/>
          </w:tcPr>
          <w:p w14:paraId="519B2B0C" w14:textId="77777777" w:rsidR="00682A01" w:rsidRPr="008E63BB" w:rsidRDefault="00682A01" w:rsidP="0065184D">
            <w:pPr>
              <w:jc w:val="right"/>
              <w:rPr>
                <w:rFonts w:eastAsia="Times New Roman"/>
                <w:b/>
                <w:bCs/>
                <w:szCs w:val="26"/>
              </w:rPr>
            </w:pPr>
            <w:r w:rsidRPr="008E63BB">
              <w:rPr>
                <w:rFonts w:eastAsia="Times New Roman"/>
                <w:b/>
                <w:bCs/>
                <w:szCs w:val="26"/>
              </w:rPr>
              <w:t>14.285</w:t>
            </w:r>
          </w:p>
        </w:tc>
      </w:tr>
      <w:tr w:rsidR="008D5BFE" w:rsidRPr="008E63BB" w14:paraId="519B2B11"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0E" w14:textId="77777777" w:rsidR="00682A01" w:rsidRPr="008E63BB" w:rsidRDefault="00682A01" w:rsidP="0065184D">
            <w:pPr>
              <w:jc w:val="center"/>
              <w:rPr>
                <w:rFonts w:eastAsia="Times New Roman"/>
                <w:szCs w:val="26"/>
              </w:rPr>
            </w:pPr>
            <w:r w:rsidRPr="008E63BB">
              <w:rPr>
                <w:rFonts w:eastAsia="Times New Roman"/>
                <w:szCs w:val="26"/>
              </w:rPr>
              <w:t>-</w:t>
            </w:r>
          </w:p>
        </w:tc>
        <w:tc>
          <w:tcPr>
            <w:tcW w:w="3024" w:type="dxa"/>
            <w:tcBorders>
              <w:top w:val="nil"/>
              <w:left w:val="nil"/>
              <w:bottom w:val="single" w:sz="4" w:space="0" w:color="auto"/>
              <w:right w:val="single" w:sz="4" w:space="0" w:color="auto"/>
            </w:tcBorders>
            <w:shd w:val="clear" w:color="auto" w:fill="auto"/>
            <w:noWrap/>
            <w:vAlign w:val="bottom"/>
            <w:hideMark/>
          </w:tcPr>
          <w:p w14:paraId="519B2B0F"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1796" w:type="dxa"/>
            <w:tcBorders>
              <w:top w:val="nil"/>
              <w:left w:val="nil"/>
              <w:bottom w:val="single" w:sz="4" w:space="0" w:color="auto"/>
              <w:right w:val="single" w:sz="4" w:space="0" w:color="auto"/>
            </w:tcBorders>
            <w:shd w:val="clear" w:color="auto" w:fill="auto"/>
            <w:noWrap/>
            <w:vAlign w:val="bottom"/>
            <w:hideMark/>
          </w:tcPr>
          <w:p w14:paraId="519B2B10" w14:textId="77777777" w:rsidR="00682A01" w:rsidRPr="008E63BB" w:rsidRDefault="00682A01" w:rsidP="0065184D">
            <w:pPr>
              <w:jc w:val="right"/>
              <w:rPr>
                <w:rFonts w:eastAsia="Times New Roman"/>
                <w:szCs w:val="26"/>
              </w:rPr>
            </w:pPr>
            <w:r w:rsidRPr="008E63BB">
              <w:rPr>
                <w:rFonts w:eastAsia="Times New Roman"/>
                <w:szCs w:val="26"/>
              </w:rPr>
              <w:t>4.955</w:t>
            </w:r>
          </w:p>
        </w:tc>
      </w:tr>
      <w:tr w:rsidR="008D5BFE" w:rsidRPr="008E63BB" w14:paraId="519B2B15"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12" w14:textId="77777777" w:rsidR="00682A01" w:rsidRPr="008E63BB" w:rsidRDefault="00682A01" w:rsidP="0065184D">
            <w:pPr>
              <w:jc w:val="center"/>
              <w:rPr>
                <w:rFonts w:eastAsia="Times New Roman"/>
                <w:szCs w:val="26"/>
              </w:rPr>
            </w:pPr>
            <w:r w:rsidRPr="008E63BB">
              <w:rPr>
                <w:rFonts w:eastAsia="Times New Roman"/>
                <w:szCs w:val="26"/>
              </w:rPr>
              <w:t>-</w:t>
            </w:r>
          </w:p>
        </w:tc>
        <w:tc>
          <w:tcPr>
            <w:tcW w:w="3024" w:type="dxa"/>
            <w:tcBorders>
              <w:top w:val="nil"/>
              <w:left w:val="nil"/>
              <w:bottom w:val="single" w:sz="4" w:space="0" w:color="auto"/>
              <w:right w:val="single" w:sz="4" w:space="0" w:color="auto"/>
            </w:tcBorders>
            <w:shd w:val="clear" w:color="auto" w:fill="auto"/>
            <w:noWrap/>
            <w:vAlign w:val="bottom"/>
            <w:hideMark/>
          </w:tcPr>
          <w:p w14:paraId="519B2B13"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796" w:type="dxa"/>
            <w:tcBorders>
              <w:top w:val="nil"/>
              <w:left w:val="nil"/>
              <w:bottom w:val="single" w:sz="4" w:space="0" w:color="auto"/>
              <w:right w:val="single" w:sz="4" w:space="0" w:color="auto"/>
            </w:tcBorders>
            <w:shd w:val="clear" w:color="auto" w:fill="auto"/>
            <w:noWrap/>
            <w:vAlign w:val="bottom"/>
            <w:hideMark/>
          </w:tcPr>
          <w:p w14:paraId="519B2B14" w14:textId="77777777" w:rsidR="00682A01" w:rsidRPr="008E63BB" w:rsidRDefault="00682A01" w:rsidP="0065184D">
            <w:pPr>
              <w:jc w:val="right"/>
              <w:rPr>
                <w:rFonts w:eastAsia="Times New Roman"/>
                <w:szCs w:val="26"/>
              </w:rPr>
            </w:pPr>
            <w:r w:rsidRPr="008E63BB">
              <w:rPr>
                <w:rFonts w:eastAsia="Times New Roman"/>
                <w:szCs w:val="26"/>
              </w:rPr>
              <w:t>1.630</w:t>
            </w:r>
          </w:p>
        </w:tc>
      </w:tr>
      <w:tr w:rsidR="008D5BFE" w:rsidRPr="008E63BB" w14:paraId="519B2B19"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16" w14:textId="77777777" w:rsidR="00682A01" w:rsidRPr="008E63BB" w:rsidRDefault="00682A01" w:rsidP="0065184D">
            <w:pPr>
              <w:jc w:val="center"/>
              <w:rPr>
                <w:rFonts w:eastAsia="Times New Roman"/>
                <w:szCs w:val="26"/>
              </w:rPr>
            </w:pPr>
            <w:r w:rsidRPr="008E63BB">
              <w:rPr>
                <w:rFonts w:eastAsia="Times New Roman"/>
                <w:szCs w:val="26"/>
              </w:rPr>
              <w:t>-</w:t>
            </w:r>
          </w:p>
        </w:tc>
        <w:tc>
          <w:tcPr>
            <w:tcW w:w="3024" w:type="dxa"/>
            <w:tcBorders>
              <w:top w:val="nil"/>
              <w:left w:val="nil"/>
              <w:bottom w:val="single" w:sz="4" w:space="0" w:color="auto"/>
              <w:right w:val="single" w:sz="4" w:space="0" w:color="auto"/>
            </w:tcBorders>
            <w:shd w:val="clear" w:color="auto" w:fill="auto"/>
            <w:noWrap/>
            <w:vAlign w:val="bottom"/>
            <w:hideMark/>
          </w:tcPr>
          <w:p w14:paraId="519B2B17"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96" w:type="dxa"/>
            <w:tcBorders>
              <w:top w:val="nil"/>
              <w:left w:val="nil"/>
              <w:bottom w:val="single" w:sz="4" w:space="0" w:color="auto"/>
              <w:right w:val="single" w:sz="4" w:space="0" w:color="auto"/>
            </w:tcBorders>
            <w:shd w:val="clear" w:color="auto" w:fill="auto"/>
            <w:noWrap/>
            <w:vAlign w:val="bottom"/>
            <w:hideMark/>
          </w:tcPr>
          <w:p w14:paraId="519B2B18" w14:textId="77777777" w:rsidR="00682A01" w:rsidRPr="008E63BB" w:rsidRDefault="00682A01" w:rsidP="0065184D">
            <w:pPr>
              <w:jc w:val="right"/>
              <w:rPr>
                <w:rFonts w:eastAsia="Times New Roman"/>
                <w:szCs w:val="26"/>
              </w:rPr>
            </w:pPr>
            <w:r w:rsidRPr="008E63BB">
              <w:rPr>
                <w:rFonts w:eastAsia="Times New Roman"/>
                <w:szCs w:val="26"/>
              </w:rPr>
              <w:t>2.675</w:t>
            </w:r>
          </w:p>
        </w:tc>
      </w:tr>
      <w:tr w:rsidR="008D5BFE" w:rsidRPr="008E63BB" w14:paraId="519B2B1D"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1A" w14:textId="77777777" w:rsidR="00682A01" w:rsidRPr="008E63BB" w:rsidRDefault="00682A01" w:rsidP="0065184D">
            <w:pPr>
              <w:jc w:val="center"/>
              <w:rPr>
                <w:rFonts w:eastAsia="Times New Roman"/>
                <w:szCs w:val="26"/>
              </w:rPr>
            </w:pPr>
            <w:r w:rsidRPr="008E63BB">
              <w:rPr>
                <w:rFonts w:eastAsia="Times New Roman"/>
                <w:szCs w:val="26"/>
              </w:rPr>
              <w:t>-</w:t>
            </w:r>
          </w:p>
        </w:tc>
        <w:tc>
          <w:tcPr>
            <w:tcW w:w="3024" w:type="dxa"/>
            <w:tcBorders>
              <w:top w:val="nil"/>
              <w:left w:val="nil"/>
              <w:bottom w:val="single" w:sz="4" w:space="0" w:color="auto"/>
              <w:right w:val="single" w:sz="4" w:space="0" w:color="auto"/>
            </w:tcBorders>
            <w:shd w:val="clear" w:color="auto" w:fill="auto"/>
            <w:noWrap/>
            <w:vAlign w:val="bottom"/>
            <w:hideMark/>
          </w:tcPr>
          <w:p w14:paraId="519B2B1B"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96" w:type="dxa"/>
            <w:tcBorders>
              <w:top w:val="nil"/>
              <w:left w:val="nil"/>
              <w:bottom w:val="single" w:sz="4" w:space="0" w:color="auto"/>
              <w:right w:val="single" w:sz="4" w:space="0" w:color="auto"/>
            </w:tcBorders>
            <w:shd w:val="clear" w:color="auto" w:fill="auto"/>
            <w:noWrap/>
            <w:vAlign w:val="bottom"/>
            <w:hideMark/>
          </w:tcPr>
          <w:p w14:paraId="519B2B1C" w14:textId="77777777" w:rsidR="00682A01" w:rsidRPr="008E63BB" w:rsidRDefault="00682A01" w:rsidP="0065184D">
            <w:pPr>
              <w:jc w:val="right"/>
              <w:rPr>
                <w:rFonts w:eastAsia="Times New Roman"/>
                <w:szCs w:val="26"/>
              </w:rPr>
            </w:pPr>
            <w:r w:rsidRPr="008E63BB">
              <w:rPr>
                <w:rFonts w:eastAsia="Times New Roman"/>
                <w:szCs w:val="26"/>
              </w:rPr>
              <w:t>1.395</w:t>
            </w:r>
          </w:p>
        </w:tc>
      </w:tr>
      <w:tr w:rsidR="008D5BFE" w:rsidRPr="008E63BB" w14:paraId="519B2B21"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1E" w14:textId="77777777" w:rsidR="00682A01" w:rsidRPr="008E63BB" w:rsidRDefault="00682A01" w:rsidP="0065184D">
            <w:pPr>
              <w:jc w:val="center"/>
              <w:rPr>
                <w:rFonts w:eastAsia="Times New Roman"/>
                <w:szCs w:val="26"/>
              </w:rPr>
            </w:pPr>
            <w:r w:rsidRPr="008E63BB">
              <w:rPr>
                <w:rFonts w:eastAsia="Times New Roman"/>
                <w:szCs w:val="26"/>
              </w:rPr>
              <w:t>-</w:t>
            </w:r>
          </w:p>
        </w:tc>
        <w:tc>
          <w:tcPr>
            <w:tcW w:w="3024" w:type="dxa"/>
            <w:tcBorders>
              <w:top w:val="nil"/>
              <w:left w:val="nil"/>
              <w:bottom w:val="single" w:sz="4" w:space="0" w:color="auto"/>
              <w:right w:val="single" w:sz="4" w:space="0" w:color="auto"/>
            </w:tcBorders>
            <w:shd w:val="clear" w:color="auto" w:fill="auto"/>
            <w:noWrap/>
            <w:vAlign w:val="bottom"/>
            <w:hideMark/>
          </w:tcPr>
          <w:p w14:paraId="519B2B1F"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796" w:type="dxa"/>
            <w:tcBorders>
              <w:top w:val="nil"/>
              <w:left w:val="nil"/>
              <w:bottom w:val="single" w:sz="4" w:space="0" w:color="auto"/>
              <w:right w:val="single" w:sz="4" w:space="0" w:color="auto"/>
            </w:tcBorders>
            <w:shd w:val="clear" w:color="auto" w:fill="auto"/>
            <w:noWrap/>
            <w:vAlign w:val="bottom"/>
            <w:hideMark/>
          </w:tcPr>
          <w:p w14:paraId="519B2B20" w14:textId="77777777" w:rsidR="00682A01" w:rsidRPr="008E63BB" w:rsidRDefault="00682A01" w:rsidP="0065184D">
            <w:pPr>
              <w:jc w:val="right"/>
              <w:rPr>
                <w:rFonts w:eastAsia="Times New Roman"/>
                <w:szCs w:val="26"/>
              </w:rPr>
            </w:pPr>
            <w:r w:rsidRPr="008E63BB">
              <w:rPr>
                <w:rFonts w:eastAsia="Times New Roman"/>
                <w:szCs w:val="26"/>
              </w:rPr>
              <w:t>3.630</w:t>
            </w:r>
          </w:p>
        </w:tc>
      </w:tr>
    </w:tbl>
    <w:p w14:paraId="519B2B22" w14:textId="77777777" w:rsidR="00682A01" w:rsidRPr="008E63BB" w:rsidRDefault="00682A01" w:rsidP="00F8156E">
      <w:pPr>
        <w:spacing w:before="120"/>
        <w:ind w:firstLine="539"/>
        <w:rPr>
          <w:szCs w:val="26"/>
        </w:rPr>
      </w:pPr>
      <w:r w:rsidRPr="008E63BB">
        <w:rPr>
          <w:szCs w:val="26"/>
        </w:rPr>
        <w:tab/>
        <w:t>- Nhà máy nước Điền Xá công suất: 2.000 m3/ngày đêm, nguồn nước sông Hồng; phạm vi phục vụ cấp cho xã Điền Xá;</w:t>
      </w:r>
    </w:p>
    <w:p w14:paraId="519B2B23" w14:textId="77777777" w:rsidR="00682A01" w:rsidRPr="008E63BB" w:rsidRDefault="00682A01" w:rsidP="001A4F88">
      <w:pPr>
        <w:pStyle w:val="BodyText2"/>
        <w:spacing w:after="0" w:line="240" w:lineRule="auto"/>
        <w:ind w:firstLine="540"/>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szCs w:val="26"/>
          <w:lang w:val="en-US"/>
        </w:rPr>
        <w:t>mm với tổng chiề</w:t>
      </w:r>
      <w:r w:rsidR="00F8156E" w:rsidRPr="008E63BB">
        <w:rPr>
          <w:szCs w:val="26"/>
          <w:lang w:val="en-US"/>
        </w:rPr>
        <w:t>u dài: 10.590</w:t>
      </w:r>
      <w:r w:rsidRPr="008E63BB">
        <w:rPr>
          <w:szCs w:val="26"/>
          <w:lang w:val="en-US"/>
        </w:rPr>
        <w:t>m</w:t>
      </w:r>
    </w:p>
    <w:p w14:paraId="519B2B24" w14:textId="77777777" w:rsidR="00F8156E" w:rsidRPr="008E63BB" w:rsidRDefault="00F8156E">
      <w:pPr>
        <w:jc w:val="left"/>
        <w:rPr>
          <w:rFonts w:eastAsia="Arial"/>
          <w:szCs w:val="26"/>
        </w:rPr>
      </w:pPr>
      <w:r w:rsidRPr="008E63BB">
        <w:rPr>
          <w:szCs w:val="26"/>
        </w:rPr>
        <w:br w:type="page"/>
      </w:r>
    </w:p>
    <w:p w14:paraId="519B2B25" w14:textId="77777777" w:rsidR="00682A01" w:rsidRPr="008E63BB" w:rsidRDefault="00682A01" w:rsidP="0065184D">
      <w:pPr>
        <w:pStyle w:val="BodyText2"/>
        <w:spacing w:after="0" w:line="240" w:lineRule="auto"/>
        <w:jc w:val="center"/>
        <w:rPr>
          <w:b/>
          <w:szCs w:val="26"/>
          <w:lang w:val="en-US"/>
        </w:rPr>
      </w:pPr>
      <w:r w:rsidRPr="008E63BB">
        <w:rPr>
          <w:b/>
          <w:szCs w:val="26"/>
          <w:lang w:val="en-US"/>
        </w:rPr>
        <w:lastRenderedPageBreak/>
        <w:t xml:space="preserve">Bảng tổng hợp mạng lưới cấp nước </w:t>
      </w:r>
    </w:p>
    <w:tbl>
      <w:tblPr>
        <w:tblW w:w="5386" w:type="dxa"/>
        <w:tblInd w:w="1809" w:type="dxa"/>
        <w:tblLook w:val="04A0" w:firstRow="1" w:lastRow="0" w:firstColumn="1" w:lastColumn="0" w:noHBand="0" w:noVBand="1"/>
      </w:tblPr>
      <w:tblGrid>
        <w:gridCol w:w="708"/>
        <w:gridCol w:w="2851"/>
        <w:gridCol w:w="1827"/>
      </w:tblGrid>
      <w:tr w:rsidR="008D5BFE" w:rsidRPr="008E63BB" w14:paraId="519B2B29"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B26"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2851" w:type="dxa"/>
            <w:tcBorders>
              <w:top w:val="single" w:sz="4" w:space="0" w:color="auto"/>
              <w:left w:val="nil"/>
              <w:bottom w:val="single" w:sz="4" w:space="0" w:color="auto"/>
              <w:right w:val="single" w:sz="4" w:space="0" w:color="auto"/>
            </w:tcBorders>
            <w:shd w:val="clear" w:color="auto" w:fill="auto"/>
            <w:noWrap/>
            <w:vAlign w:val="bottom"/>
          </w:tcPr>
          <w:p w14:paraId="519B2B27"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1827" w:type="dxa"/>
            <w:tcBorders>
              <w:top w:val="single" w:sz="4" w:space="0" w:color="auto"/>
              <w:left w:val="nil"/>
              <w:bottom w:val="single" w:sz="4" w:space="0" w:color="auto"/>
              <w:right w:val="single" w:sz="4" w:space="0" w:color="auto"/>
            </w:tcBorders>
            <w:shd w:val="clear" w:color="auto" w:fill="auto"/>
            <w:noWrap/>
            <w:vAlign w:val="bottom"/>
          </w:tcPr>
          <w:p w14:paraId="519B2B28"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B2D"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B2A" w14:textId="77777777" w:rsidR="00682A01" w:rsidRPr="008E63BB" w:rsidRDefault="00682A01" w:rsidP="0065184D">
            <w:pPr>
              <w:jc w:val="center"/>
              <w:rPr>
                <w:rFonts w:eastAsia="Times New Roman"/>
                <w:b/>
                <w:bCs/>
                <w:szCs w:val="26"/>
              </w:rPr>
            </w:pPr>
          </w:p>
        </w:tc>
        <w:tc>
          <w:tcPr>
            <w:tcW w:w="2851" w:type="dxa"/>
            <w:tcBorders>
              <w:top w:val="single" w:sz="4" w:space="0" w:color="auto"/>
              <w:left w:val="nil"/>
              <w:bottom w:val="single" w:sz="4" w:space="0" w:color="auto"/>
              <w:right w:val="single" w:sz="4" w:space="0" w:color="auto"/>
            </w:tcBorders>
            <w:shd w:val="clear" w:color="auto" w:fill="auto"/>
            <w:noWrap/>
            <w:vAlign w:val="bottom"/>
            <w:hideMark/>
          </w:tcPr>
          <w:p w14:paraId="519B2B2B" w14:textId="77777777" w:rsidR="00682A01" w:rsidRPr="008E63BB" w:rsidRDefault="00682A01" w:rsidP="0065184D">
            <w:pPr>
              <w:ind w:right="-222"/>
              <w:rPr>
                <w:rFonts w:eastAsia="Times New Roman"/>
                <w:b/>
                <w:bCs/>
                <w:szCs w:val="26"/>
              </w:rPr>
            </w:pPr>
            <w:r w:rsidRPr="008E63BB">
              <w:rPr>
                <w:rFonts w:eastAsia="Times New Roman"/>
                <w:b/>
                <w:bCs/>
                <w:szCs w:val="26"/>
              </w:rPr>
              <w:t>Nhà máy nước Điền Xá</w:t>
            </w:r>
          </w:p>
        </w:tc>
        <w:tc>
          <w:tcPr>
            <w:tcW w:w="1827" w:type="dxa"/>
            <w:tcBorders>
              <w:top w:val="single" w:sz="4" w:space="0" w:color="auto"/>
              <w:left w:val="nil"/>
              <w:bottom w:val="single" w:sz="4" w:space="0" w:color="auto"/>
              <w:right w:val="single" w:sz="4" w:space="0" w:color="auto"/>
            </w:tcBorders>
            <w:shd w:val="clear" w:color="auto" w:fill="auto"/>
            <w:noWrap/>
            <w:vAlign w:val="bottom"/>
            <w:hideMark/>
          </w:tcPr>
          <w:p w14:paraId="519B2B2C" w14:textId="77777777" w:rsidR="00682A01" w:rsidRPr="008E63BB" w:rsidRDefault="00682A01" w:rsidP="0065184D">
            <w:pPr>
              <w:jc w:val="right"/>
              <w:rPr>
                <w:rFonts w:eastAsia="Times New Roman"/>
                <w:b/>
                <w:bCs/>
                <w:szCs w:val="26"/>
              </w:rPr>
            </w:pPr>
            <w:r w:rsidRPr="008E63BB">
              <w:rPr>
                <w:rFonts w:eastAsia="Times New Roman"/>
                <w:b/>
                <w:bCs/>
                <w:szCs w:val="26"/>
              </w:rPr>
              <w:t>10.590</w:t>
            </w:r>
          </w:p>
        </w:tc>
      </w:tr>
      <w:tr w:rsidR="008D5BFE" w:rsidRPr="008E63BB" w14:paraId="519B2B31"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2E"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2F"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1827" w:type="dxa"/>
            <w:tcBorders>
              <w:top w:val="nil"/>
              <w:left w:val="nil"/>
              <w:bottom w:val="single" w:sz="4" w:space="0" w:color="auto"/>
              <w:right w:val="single" w:sz="4" w:space="0" w:color="auto"/>
            </w:tcBorders>
            <w:shd w:val="clear" w:color="auto" w:fill="auto"/>
            <w:noWrap/>
            <w:vAlign w:val="bottom"/>
            <w:hideMark/>
          </w:tcPr>
          <w:p w14:paraId="519B2B30" w14:textId="77777777" w:rsidR="00682A01" w:rsidRPr="008E63BB" w:rsidRDefault="00682A01" w:rsidP="0065184D">
            <w:pPr>
              <w:jc w:val="right"/>
              <w:rPr>
                <w:rFonts w:eastAsia="Times New Roman"/>
                <w:szCs w:val="26"/>
              </w:rPr>
            </w:pPr>
            <w:r w:rsidRPr="008E63BB">
              <w:rPr>
                <w:rFonts w:eastAsia="Times New Roman"/>
                <w:szCs w:val="26"/>
              </w:rPr>
              <w:t>2.250</w:t>
            </w:r>
          </w:p>
        </w:tc>
      </w:tr>
      <w:tr w:rsidR="008D5BFE" w:rsidRPr="008E63BB" w14:paraId="519B2B35"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32"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33"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827" w:type="dxa"/>
            <w:tcBorders>
              <w:top w:val="nil"/>
              <w:left w:val="nil"/>
              <w:bottom w:val="single" w:sz="4" w:space="0" w:color="auto"/>
              <w:right w:val="single" w:sz="4" w:space="0" w:color="auto"/>
            </w:tcBorders>
            <w:shd w:val="clear" w:color="auto" w:fill="auto"/>
            <w:noWrap/>
            <w:vAlign w:val="bottom"/>
            <w:hideMark/>
          </w:tcPr>
          <w:p w14:paraId="519B2B34" w14:textId="77777777" w:rsidR="00682A01" w:rsidRPr="008E63BB" w:rsidRDefault="00682A01" w:rsidP="0065184D">
            <w:pPr>
              <w:jc w:val="right"/>
              <w:rPr>
                <w:rFonts w:eastAsia="Times New Roman"/>
                <w:szCs w:val="26"/>
              </w:rPr>
            </w:pPr>
            <w:r w:rsidRPr="008E63BB">
              <w:rPr>
                <w:rFonts w:eastAsia="Times New Roman"/>
                <w:szCs w:val="26"/>
              </w:rPr>
              <w:t>1.875</w:t>
            </w:r>
          </w:p>
        </w:tc>
      </w:tr>
      <w:tr w:rsidR="008D5BFE" w:rsidRPr="008E63BB" w14:paraId="519B2B39"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36"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37"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27" w:type="dxa"/>
            <w:tcBorders>
              <w:top w:val="nil"/>
              <w:left w:val="nil"/>
              <w:bottom w:val="single" w:sz="4" w:space="0" w:color="auto"/>
              <w:right w:val="single" w:sz="4" w:space="0" w:color="auto"/>
            </w:tcBorders>
            <w:shd w:val="clear" w:color="auto" w:fill="auto"/>
            <w:noWrap/>
            <w:vAlign w:val="bottom"/>
            <w:hideMark/>
          </w:tcPr>
          <w:p w14:paraId="519B2B38" w14:textId="77777777" w:rsidR="00682A01" w:rsidRPr="008E63BB" w:rsidRDefault="00682A01" w:rsidP="0065184D">
            <w:pPr>
              <w:jc w:val="right"/>
              <w:rPr>
                <w:rFonts w:eastAsia="Times New Roman"/>
                <w:szCs w:val="26"/>
              </w:rPr>
            </w:pPr>
            <w:r w:rsidRPr="008E63BB">
              <w:rPr>
                <w:rFonts w:eastAsia="Times New Roman"/>
                <w:szCs w:val="26"/>
              </w:rPr>
              <w:t>1.615</w:t>
            </w:r>
          </w:p>
        </w:tc>
      </w:tr>
      <w:tr w:rsidR="008D5BFE" w:rsidRPr="008E63BB" w14:paraId="519B2B3D"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3A"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3B"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27" w:type="dxa"/>
            <w:tcBorders>
              <w:top w:val="nil"/>
              <w:left w:val="nil"/>
              <w:bottom w:val="single" w:sz="4" w:space="0" w:color="auto"/>
              <w:right w:val="single" w:sz="4" w:space="0" w:color="auto"/>
            </w:tcBorders>
            <w:shd w:val="clear" w:color="auto" w:fill="auto"/>
            <w:noWrap/>
            <w:vAlign w:val="bottom"/>
            <w:hideMark/>
          </w:tcPr>
          <w:p w14:paraId="519B2B3C" w14:textId="77777777" w:rsidR="00682A01" w:rsidRPr="008E63BB" w:rsidRDefault="00682A01" w:rsidP="0065184D">
            <w:pPr>
              <w:jc w:val="right"/>
              <w:rPr>
                <w:rFonts w:eastAsia="Times New Roman"/>
                <w:szCs w:val="26"/>
              </w:rPr>
            </w:pPr>
            <w:r w:rsidRPr="008E63BB">
              <w:rPr>
                <w:rFonts w:eastAsia="Times New Roman"/>
                <w:szCs w:val="26"/>
              </w:rPr>
              <w:t>500</w:t>
            </w:r>
          </w:p>
        </w:tc>
      </w:tr>
      <w:tr w:rsidR="008D5BFE" w:rsidRPr="008E63BB" w14:paraId="519B2B41"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3E"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3F"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27" w:type="dxa"/>
            <w:tcBorders>
              <w:top w:val="nil"/>
              <w:left w:val="nil"/>
              <w:bottom w:val="single" w:sz="4" w:space="0" w:color="auto"/>
              <w:right w:val="single" w:sz="4" w:space="0" w:color="auto"/>
            </w:tcBorders>
            <w:shd w:val="clear" w:color="auto" w:fill="auto"/>
            <w:noWrap/>
            <w:vAlign w:val="bottom"/>
            <w:hideMark/>
          </w:tcPr>
          <w:p w14:paraId="519B2B40" w14:textId="77777777" w:rsidR="00682A01" w:rsidRPr="008E63BB" w:rsidRDefault="00682A01" w:rsidP="0065184D">
            <w:pPr>
              <w:jc w:val="right"/>
              <w:rPr>
                <w:rFonts w:eastAsia="Times New Roman"/>
                <w:szCs w:val="26"/>
              </w:rPr>
            </w:pPr>
            <w:r w:rsidRPr="008E63BB">
              <w:rPr>
                <w:rFonts w:eastAsia="Times New Roman"/>
                <w:szCs w:val="26"/>
              </w:rPr>
              <w:t>1.480</w:t>
            </w:r>
          </w:p>
        </w:tc>
      </w:tr>
      <w:tr w:rsidR="008D5BFE" w:rsidRPr="008E63BB" w14:paraId="519B2B45"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42"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43"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27" w:type="dxa"/>
            <w:tcBorders>
              <w:top w:val="nil"/>
              <w:left w:val="nil"/>
              <w:bottom w:val="single" w:sz="4" w:space="0" w:color="auto"/>
              <w:right w:val="single" w:sz="4" w:space="0" w:color="auto"/>
            </w:tcBorders>
            <w:shd w:val="clear" w:color="auto" w:fill="auto"/>
            <w:noWrap/>
            <w:vAlign w:val="bottom"/>
            <w:hideMark/>
          </w:tcPr>
          <w:p w14:paraId="519B2B44" w14:textId="77777777" w:rsidR="00682A01" w:rsidRPr="008E63BB" w:rsidRDefault="00682A01" w:rsidP="0065184D">
            <w:pPr>
              <w:jc w:val="right"/>
              <w:rPr>
                <w:rFonts w:eastAsia="Times New Roman"/>
                <w:szCs w:val="26"/>
              </w:rPr>
            </w:pPr>
            <w:r w:rsidRPr="008E63BB">
              <w:rPr>
                <w:rFonts w:eastAsia="Times New Roman"/>
                <w:szCs w:val="26"/>
              </w:rPr>
              <w:t>1.380</w:t>
            </w:r>
          </w:p>
        </w:tc>
      </w:tr>
      <w:tr w:rsidR="008D5BFE" w:rsidRPr="008E63BB" w14:paraId="519B2B49" w14:textId="77777777" w:rsidTr="00DE0230">
        <w:trPr>
          <w:trHeight w:val="30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46" w14:textId="77777777" w:rsidR="00682A01" w:rsidRPr="008E63BB" w:rsidRDefault="00682A01" w:rsidP="0065184D">
            <w:pPr>
              <w:jc w:val="center"/>
              <w:rPr>
                <w:rFonts w:eastAsia="Times New Roman"/>
                <w:szCs w:val="26"/>
              </w:rPr>
            </w:pPr>
            <w:r w:rsidRPr="008E63BB">
              <w:rPr>
                <w:rFonts w:eastAsia="Times New Roman"/>
                <w:szCs w:val="26"/>
              </w:rPr>
              <w:t>-</w:t>
            </w:r>
          </w:p>
        </w:tc>
        <w:tc>
          <w:tcPr>
            <w:tcW w:w="2851" w:type="dxa"/>
            <w:tcBorders>
              <w:top w:val="nil"/>
              <w:left w:val="nil"/>
              <w:bottom w:val="single" w:sz="4" w:space="0" w:color="auto"/>
              <w:right w:val="single" w:sz="4" w:space="0" w:color="auto"/>
            </w:tcBorders>
            <w:shd w:val="clear" w:color="auto" w:fill="auto"/>
            <w:noWrap/>
            <w:vAlign w:val="bottom"/>
            <w:hideMark/>
          </w:tcPr>
          <w:p w14:paraId="519B2B47"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27" w:type="dxa"/>
            <w:tcBorders>
              <w:top w:val="nil"/>
              <w:left w:val="nil"/>
              <w:bottom w:val="single" w:sz="4" w:space="0" w:color="auto"/>
              <w:right w:val="single" w:sz="4" w:space="0" w:color="auto"/>
            </w:tcBorders>
            <w:shd w:val="clear" w:color="auto" w:fill="auto"/>
            <w:noWrap/>
            <w:vAlign w:val="bottom"/>
            <w:hideMark/>
          </w:tcPr>
          <w:p w14:paraId="519B2B48" w14:textId="77777777" w:rsidR="00682A01" w:rsidRPr="008E63BB" w:rsidRDefault="00682A01" w:rsidP="0065184D">
            <w:pPr>
              <w:jc w:val="right"/>
              <w:rPr>
                <w:rFonts w:eastAsia="Times New Roman"/>
                <w:szCs w:val="26"/>
              </w:rPr>
            </w:pPr>
            <w:r w:rsidRPr="008E63BB">
              <w:rPr>
                <w:rFonts w:eastAsia="Times New Roman"/>
                <w:szCs w:val="26"/>
              </w:rPr>
              <w:t>1.490</w:t>
            </w:r>
          </w:p>
        </w:tc>
      </w:tr>
    </w:tbl>
    <w:p w14:paraId="519B2B4A" w14:textId="77777777" w:rsidR="00682A01" w:rsidRPr="008E63BB" w:rsidRDefault="00682A01" w:rsidP="001A4F88">
      <w:pPr>
        <w:ind w:firstLine="540"/>
        <w:rPr>
          <w:szCs w:val="26"/>
        </w:rPr>
      </w:pPr>
      <w:r w:rsidRPr="008E63BB">
        <w:rPr>
          <w:szCs w:val="26"/>
        </w:rPr>
        <w:t>- Nhà máy nước Nam Phong công suất: 1.500 m3/ngày đêm, nguồn nước sông Đào; phạm vi phục vụ: cấp cho xã Nam Phong</w:t>
      </w:r>
    </w:p>
    <w:p w14:paraId="519B2B4B" w14:textId="77777777" w:rsidR="00682A01" w:rsidRPr="008E63BB" w:rsidRDefault="00682A01" w:rsidP="001A4F88">
      <w:pPr>
        <w:pStyle w:val="BodyText2"/>
        <w:spacing w:after="0" w:line="240" w:lineRule="auto"/>
        <w:ind w:firstLine="540"/>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szCs w:val="26"/>
          <w:lang w:val="en-US"/>
        </w:rPr>
        <w:t>mm với tổng chiều dài: 8.270 m</w:t>
      </w:r>
    </w:p>
    <w:p w14:paraId="519B2B4C" w14:textId="77777777" w:rsidR="00682A01" w:rsidRPr="008E63BB" w:rsidRDefault="00682A01" w:rsidP="0065184D">
      <w:pPr>
        <w:pStyle w:val="BodyText2"/>
        <w:spacing w:after="0" w:line="240" w:lineRule="auto"/>
        <w:jc w:val="center"/>
        <w:rPr>
          <w:szCs w:val="26"/>
          <w:lang w:val="en-US"/>
        </w:rPr>
      </w:pPr>
      <w:r w:rsidRPr="008E63BB">
        <w:rPr>
          <w:szCs w:val="26"/>
          <w:lang w:val="en-US"/>
        </w:rPr>
        <w:t xml:space="preserve">Bảng tổng hợp mạng lưới cấp nước </w:t>
      </w:r>
    </w:p>
    <w:tbl>
      <w:tblPr>
        <w:tblW w:w="5953" w:type="dxa"/>
        <w:tblInd w:w="1526" w:type="dxa"/>
        <w:tblLook w:val="04A0" w:firstRow="1" w:lastRow="0" w:firstColumn="1" w:lastColumn="0" w:noHBand="0" w:noVBand="1"/>
      </w:tblPr>
      <w:tblGrid>
        <w:gridCol w:w="708"/>
        <w:gridCol w:w="3403"/>
        <w:gridCol w:w="1842"/>
      </w:tblGrid>
      <w:tr w:rsidR="008D5BFE" w:rsidRPr="008E63BB" w14:paraId="519B2B50" w14:textId="77777777" w:rsidTr="00DE0230">
        <w:trPr>
          <w:trHeight w:val="28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B4D"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3403" w:type="dxa"/>
            <w:tcBorders>
              <w:top w:val="single" w:sz="4" w:space="0" w:color="auto"/>
              <w:left w:val="nil"/>
              <w:bottom w:val="single" w:sz="4" w:space="0" w:color="auto"/>
              <w:right w:val="single" w:sz="4" w:space="0" w:color="auto"/>
            </w:tcBorders>
            <w:shd w:val="clear" w:color="auto" w:fill="auto"/>
            <w:noWrap/>
            <w:vAlign w:val="bottom"/>
          </w:tcPr>
          <w:p w14:paraId="519B2B4E"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1842" w:type="dxa"/>
            <w:tcBorders>
              <w:top w:val="single" w:sz="4" w:space="0" w:color="auto"/>
              <w:left w:val="nil"/>
              <w:bottom w:val="single" w:sz="4" w:space="0" w:color="auto"/>
              <w:right w:val="single" w:sz="4" w:space="0" w:color="auto"/>
            </w:tcBorders>
            <w:shd w:val="clear" w:color="auto" w:fill="auto"/>
            <w:noWrap/>
            <w:vAlign w:val="bottom"/>
          </w:tcPr>
          <w:p w14:paraId="519B2B4F"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B54" w14:textId="77777777" w:rsidTr="00DE0230">
        <w:trPr>
          <w:trHeight w:val="330"/>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B51" w14:textId="77777777" w:rsidR="00682A01" w:rsidRPr="008E63BB" w:rsidRDefault="00682A01" w:rsidP="0065184D">
            <w:pPr>
              <w:jc w:val="center"/>
              <w:rPr>
                <w:rFonts w:eastAsia="Times New Roman"/>
                <w:b/>
                <w:bCs/>
                <w:szCs w:val="26"/>
              </w:rPr>
            </w:pPr>
          </w:p>
        </w:tc>
        <w:tc>
          <w:tcPr>
            <w:tcW w:w="3403" w:type="dxa"/>
            <w:tcBorders>
              <w:top w:val="single" w:sz="4" w:space="0" w:color="auto"/>
              <w:left w:val="nil"/>
              <w:bottom w:val="single" w:sz="4" w:space="0" w:color="auto"/>
              <w:right w:val="single" w:sz="4" w:space="0" w:color="auto"/>
            </w:tcBorders>
            <w:shd w:val="clear" w:color="auto" w:fill="auto"/>
            <w:noWrap/>
            <w:vAlign w:val="bottom"/>
            <w:hideMark/>
          </w:tcPr>
          <w:p w14:paraId="519B2B52" w14:textId="77777777" w:rsidR="00682A01" w:rsidRPr="008E63BB" w:rsidRDefault="00682A01" w:rsidP="0065184D">
            <w:pPr>
              <w:rPr>
                <w:rFonts w:eastAsia="Times New Roman"/>
                <w:b/>
                <w:bCs/>
                <w:szCs w:val="26"/>
              </w:rPr>
            </w:pPr>
            <w:r w:rsidRPr="008E63BB">
              <w:rPr>
                <w:rFonts w:eastAsia="Times New Roman"/>
                <w:b/>
                <w:bCs/>
                <w:szCs w:val="26"/>
              </w:rPr>
              <w:t>Nhà máy nước Nam Phong</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14:paraId="519B2B53" w14:textId="77777777" w:rsidR="00682A01" w:rsidRPr="008E63BB" w:rsidRDefault="00682A01" w:rsidP="0065184D">
            <w:pPr>
              <w:jc w:val="right"/>
              <w:rPr>
                <w:rFonts w:eastAsia="Times New Roman"/>
                <w:b/>
                <w:bCs/>
                <w:szCs w:val="26"/>
              </w:rPr>
            </w:pPr>
            <w:r w:rsidRPr="008E63BB">
              <w:rPr>
                <w:rFonts w:eastAsia="Times New Roman"/>
                <w:b/>
                <w:bCs/>
                <w:szCs w:val="26"/>
              </w:rPr>
              <w:t>8.270</w:t>
            </w:r>
          </w:p>
        </w:tc>
      </w:tr>
      <w:tr w:rsidR="008D5BFE" w:rsidRPr="008E63BB" w14:paraId="519B2B58"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55" w14:textId="77777777" w:rsidR="00682A01" w:rsidRPr="008E63BB" w:rsidRDefault="00682A01" w:rsidP="0065184D">
            <w:pPr>
              <w:jc w:val="center"/>
              <w:rPr>
                <w:rFonts w:eastAsia="Times New Roman"/>
                <w:szCs w:val="26"/>
              </w:rPr>
            </w:pPr>
            <w:r w:rsidRPr="008E63BB">
              <w:rPr>
                <w:rFonts w:eastAsia="Times New Roman"/>
                <w:szCs w:val="26"/>
              </w:rPr>
              <w:t>-</w:t>
            </w:r>
          </w:p>
        </w:tc>
        <w:tc>
          <w:tcPr>
            <w:tcW w:w="3403" w:type="dxa"/>
            <w:tcBorders>
              <w:top w:val="nil"/>
              <w:left w:val="nil"/>
              <w:bottom w:val="single" w:sz="4" w:space="0" w:color="auto"/>
              <w:right w:val="single" w:sz="4" w:space="0" w:color="auto"/>
            </w:tcBorders>
            <w:shd w:val="clear" w:color="auto" w:fill="auto"/>
            <w:noWrap/>
            <w:vAlign w:val="bottom"/>
            <w:hideMark/>
          </w:tcPr>
          <w:p w14:paraId="519B2B56"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1842" w:type="dxa"/>
            <w:tcBorders>
              <w:top w:val="nil"/>
              <w:left w:val="nil"/>
              <w:bottom w:val="single" w:sz="4" w:space="0" w:color="auto"/>
              <w:right w:val="single" w:sz="4" w:space="0" w:color="auto"/>
            </w:tcBorders>
            <w:shd w:val="clear" w:color="auto" w:fill="auto"/>
            <w:noWrap/>
            <w:vAlign w:val="bottom"/>
            <w:hideMark/>
          </w:tcPr>
          <w:p w14:paraId="519B2B57" w14:textId="77777777" w:rsidR="00682A01" w:rsidRPr="008E63BB" w:rsidRDefault="00682A01" w:rsidP="0065184D">
            <w:pPr>
              <w:jc w:val="right"/>
              <w:rPr>
                <w:rFonts w:eastAsia="Times New Roman"/>
                <w:szCs w:val="26"/>
              </w:rPr>
            </w:pPr>
            <w:r w:rsidRPr="008E63BB">
              <w:rPr>
                <w:rFonts w:eastAsia="Times New Roman"/>
                <w:szCs w:val="26"/>
              </w:rPr>
              <w:t>3.365</w:t>
            </w:r>
          </w:p>
        </w:tc>
      </w:tr>
      <w:tr w:rsidR="008D5BFE" w:rsidRPr="008E63BB" w14:paraId="519B2B5C"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59" w14:textId="77777777" w:rsidR="00682A01" w:rsidRPr="008E63BB" w:rsidRDefault="00682A01" w:rsidP="0065184D">
            <w:pPr>
              <w:jc w:val="center"/>
              <w:rPr>
                <w:rFonts w:eastAsia="Times New Roman"/>
                <w:szCs w:val="26"/>
              </w:rPr>
            </w:pPr>
            <w:r w:rsidRPr="008E63BB">
              <w:rPr>
                <w:rFonts w:eastAsia="Times New Roman"/>
                <w:szCs w:val="26"/>
              </w:rPr>
              <w:t>-</w:t>
            </w:r>
          </w:p>
        </w:tc>
        <w:tc>
          <w:tcPr>
            <w:tcW w:w="3403" w:type="dxa"/>
            <w:tcBorders>
              <w:top w:val="nil"/>
              <w:left w:val="nil"/>
              <w:bottom w:val="single" w:sz="4" w:space="0" w:color="auto"/>
              <w:right w:val="single" w:sz="4" w:space="0" w:color="auto"/>
            </w:tcBorders>
            <w:shd w:val="clear" w:color="auto" w:fill="auto"/>
            <w:noWrap/>
            <w:vAlign w:val="bottom"/>
            <w:hideMark/>
          </w:tcPr>
          <w:p w14:paraId="519B2B5A"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842" w:type="dxa"/>
            <w:tcBorders>
              <w:top w:val="nil"/>
              <w:left w:val="nil"/>
              <w:bottom w:val="single" w:sz="4" w:space="0" w:color="auto"/>
              <w:right w:val="single" w:sz="4" w:space="0" w:color="auto"/>
            </w:tcBorders>
            <w:shd w:val="clear" w:color="auto" w:fill="auto"/>
            <w:noWrap/>
            <w:vAlign w:val="bottom"/>
            <w:hideMark/>
          </w:tcPr>
          <w:p w14:paraId="519B2B5B" w14:textId="77777777" w:rsidR="00682A01" w:rsidRPr="008E63BB" w:rsidRDefault="00682A01" w:rsidP="0065184D">
            <w:pPr>
              <w:jc w:val="right"/>
              <w:rPr>
                <w:rFonts w:eastAsia="Times New Roman"/>
                <w:szCs w:val="26"/>
              </w:rPr>
            </w:pPr>
            <w:r w:rsidRPr="008E63BB">
              <w:rPr>
                <w:rFonts w:eastAsia="Times New Roman"/>
                <w:szCs w:val="26"/>
              </w:rPr>
              <w:t>920</w:t>
            </w:r>
          </w:p>
        </w:tc>
      </w:tr>
      <w:tr w:rsidR="008D5BFE" w:rsidRPr="008E63BB" w14:paraId="519B2B60"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5D" w14:textId="77777777" w:rsidR="00682A01" w:rsidRPr="008E63BB" w:rsidRDefault="00682A01" w:rsidP="0065184D">
            <w:pPr>
              <w:jc w:val="center"/>
              <w:rPr>
                <w:rFonts w:eastAsia="Times New Roman"/>
                <w:szCs w:val="26"/>
              </w:rPr>
            </w:pPr>
            <w:r w:rsidRPr="008E63BB">
              <w:rPr>
                <w:rFonts w:eastAsia="Times New Roman"/>
                <w:szCs w:val="26"/>
              </w:rPr>
              <w:t>-</w:t>
            </w:r>
          </w:p>
        </w:tc>
        <w:tc>
          <w:tcPr>
            <w:tcW w:w="3403" w:type="dxa"/>
            <w:tcBorders>
              <w:top w:val="nil"/>
              <w:left w:val="nil"/>
              <w:bottom w:val="single" w:sz="4" w:space="0" w:color="auto"/>
              <w:right w:val="single" w:sz="4" w:space="0" w:color="auto"/>
            </w:tcBorders>
            <w:shd w:val="clear" w:color="auto" w:fill="auto"/>
            <w:noWrap/>
            <w:vAlign w:val="bottom"/>
            <w:hideMark/>
          </w:tcPr>
          <w:p w14:paraId="519B2B5E"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42" w:type="dxa"/>
            <w:tcBorders>
              <w:top w:val="nil"/>
              <w:left w:val="nil"/>
              <w:bottom w:val="single" w:sz="4" w:space="0" w:color="auto"/>
              <w:right w:val="single" w:sz="4" w:space="0" w:color="auto"/>
            </w:tcBorders>
            <w:shd w:val="clear" w:color="auto" w:fill="auto"/>
            <w:noWrap/>
            <w:vAlign w:val="bottom"/>
            <w:hideMark/>
          </w:tcPr>
          <w:p w14:paraId="519B2B5F" w14:textId="77777777" w:rsidR="00682A01" w:rsidRPr="008E63BB" w:rsidRDefault="00682A01" w:rsidP="0065184D">
            <w:pPr>
              <w:jc w:val="right"/>
              <w:rPr>
                <w:rFonts w:eastAsia="Times New Roman"/>
                <w:szCs w:val="26"/>
              </w:rPr>
            </w:pPr>
            <w:r w:rsidRPr="008E63BB">
              <w:rPr>
                <w:rFonts w:eastAsia="Times New Roman"/>
                <w:szCs w:val="26"/>
              </w:rPr>
              <w:t>2.585</w:t>
            </w:r>
          </w:p>
        </w:tc>
      </w:tr>
      <w:tr w:rsidR="008D5BFE" w:rsidRPr="008E63BB" w14:paraId="519B2B64"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61" w14:textId="77777777" w:rsidR="00682A01" w:rsidRPr="008E63BB" w:rsidRDefault="00682A01" w:rsidP="0065184D">
            <w:pPr>
              <w:jc w:val="center"/>
              <w:rPr>
                <w:rFonts w:eastAsia="Times New Roman"/>
                <w:szCs w:val="26"/>
              </w:rPr>
            </w:pPr>
            <w:r w:rsidRPr="008E63BB">
              <w:rPr>
                <w:rFonts w:eastAsia="Times New Roman"/>
                <w:szCs w:val="26"/>
              </w:rPr>
              <w:t>-</w:t>
            </w:r>
          </w:p>
        </w:tc>
        <w:tc>
          <w:tcPr>
            <w:tcW w:w="3403" w:type="dxa"/>
            <w:tcBorders>
              <w:top w:val="nil"/>
              <w:left w:val="nil"/>
              <w:bottom w:val="single" w:sz="4" w:space="0" w:color="auto"/>
              <w:right w:val="single" w:sz="4" w:space="0" w:color="auto"/>
            </w:tcBorders>
            <w:shd w:val="clear" w:color="auto" w:fill="auto"/>
            <w:noWrap/>
            <w:vAlign w:val="bottom"/>
            <w:hideMark/>
          </w:tcPr>
          <w:p w14:paraId="519B2B62"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42" w:type="dxa"/>
            <w:tcBorders>
              <w:top w:val="nil"/>
              <w:left w:val="nil"/>
              <w:bottom w:val="single" w:sz="4" w:space="0" w:color="auto"/>
              <w:right w:val="single" w:sz="4" w:space="0" w:color="auto"/>
            </w:tcBorders>
            <w:shd w:val="clear" w:color="auto" w:fill="auto"/>
            <w:noWrap/>
            <w:vAlign w:val="bottom"/>
            <w:hideMark/>
          </w:tcPr>
          <w:p w14:paraId="519B2B63" w14:textId="77777777" w:rsidR="00682A01" w:rsidRPr="008E63BB" w:rsidRDefault="00682A01" w:rsidP="0065184D">
            <w:pPr>
              <w:jc w:val="right"/>
              <w:rPr>
                <w:rFonts w:eastAsia="Times New Roman"/>
                <w:szCs w:val="26"/>
              </w:rPr>
            </w:pPr>
            <w:r w:rsidRPr="008E63BB">
              <w:rPr>
                <w:rFonts w:eastAsia="Times New Roman"/>
                <w:szCs w:val="26"/>
              </w:rPr>
              <w:t>1.400</w:t>
            </w:r>
          </w:p>
        </w:tc>
      </w:tr>
    </w:tbl>
    <w:p w14:paraId="519B2B65" w14:textId="77777777" w:rsidR="00682A01" w:rsidRPr="008E63BB" w:rsidRDefault="00682A01" w:rsidP="001A4F88">
      <w:pPr>
        <w:ind w:firstLine="540"/>
        <w:rPr>
          <w:szCs w:val="26"/>
        </w:rPr>
      </w:pPr>
      <w:r w:rsidRPr="008E63BB">
        <w:rPr>
          <w:szCs w:val="26"/>
        </w:rPr>
        <w:tab/>
        <w:t>- TCN Nam Vân công suất: 1.000 m3/ngày đêm, nguồn nước sông Đào; phạm vi phục vụ cấp cho một phần của xã Nam Vân (phần còn lại do nhà máy nước Thành phố Nam Định cấp);</w:t>
      </w:r>
    </w:p>
    <w:p w14:paraId="519B2B66" w14:textId="77777777" w:rsidR="00682A01" w:rsidRPr="008E63BB" w:rsidRDefault="00682A01" w:rsidP="001A4F88">
      <w:pPr>
        <w:pStyle w:val="BodyText2"/>
        <w:spacing w:after="0" w:line="240" w:lineRule="auto"/>
        <w:ind w:firstLine="540"/>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szCs w:val="26"/>
          <w:lang w:val="en-US"/>
        </w:rPr>
        <w:t>mm với tổng chiều dài: 7.110 m</w:t>
      </w:r>
    </w:p>
    <w:p w14:paraId="519B2B67" w14:textId="77777777" w:rsidR="00682A01" w:rsidRPr="008E63BB" w:rsidRDefault="00682A01" w:rsidP="0065184D">
      <w:pPr>
        <w:pStyle w:val="BodyText2"/>
        <w:spacing w:after="0" w:line="240" w:lineRule="auto"/>
        <w:jc w:val="center"/>
        <w:rPr>
          <w:szCs w:val="26"/>
          <w:lang w:val="en-US"/>
        </w:rPr>
      </w:pPr>
      <w:r w:rsidRPr="008E63BB">
        <w:rPr>
          <w:szCs w:val="26"/>
          <w:lang w:val="en-US"/>
        </w:rPr>
        <w:t xml:space="preserve">Bảng tổng hợp mạng lưới cấp nước </w:t>
      </w:r>
    </w:p>
    <w:tbl>
      <w:tblPr>
        <w:tblW w:w="5685" w:type="dxa"/>
        <w:tblInd w:w="1809" w:type="dxa"/>
        <w:tblLook w:val="04A0" w:firstRow="1" w:lastRow="0" w:firstColumn="1" w:lastColumn="0" w:noHBand="0" w:noVBand="1"/>
      </w:tblPr>
      <w:tblGrid>
        <w:gridCol w:w="708"/>
        <w:gridCol w:w="3080"/>
        <w:gridCol w:w="1897"/>
      </w:tblGrid>
      <w:tr w:rsidR="008D5BFE" w:rsidRPr="008E63BB" w14:paraId="519B2B6B" w14:textId="77777777" w:rsidTr="00DE0230">
        <w:trPr>
          <w:trHeight w:val="330"/>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B68"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3080" w:type="dxa"/>
            <w:tcBorders>
              <w:top w:val="single" w:sz="4" w:space="0" w:color="auto"/>
              <w:left w:val="nil"/>
              <w:bottom w:val="single" w:sz="4" w:space="0" w:color="auto"/>
              <w:right w:val="single" w:sz="4" w:space="0" w:color="auto"/>
            </w:tcBorders>
            <w:shd w:val="clear" w:color="auto" w:fill="auto"/>
            <w:noWrap/>
            <w:vAlign w:val="bottom"/>
          </w:tcPr>
          <w:p w14:paraId="519B2B69"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1897" w:type="dxa"/>
            <w:tcBorders>
              <w:top w:val="single" w:sz="4" w:space="0" w:color="auto"/>
              <w:left w:val="nil"/>
              <w:bottom w:val="single" w:sz="4" w:space="0" w:color="auto"/>
              <w:right w:val="single" w:sz="4" w:space="0" w:color="auto"/>
            </w:tcBorders>
            <w:shd w:val="clear" w:color="auto" w:fill="auto"/>
            <w:noWrap/>
            <w:vAlign w:val="bottom"/>
          </w:tcPr>
          <w:p w14:paraId="519B2B6A"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B6F" w14:textId="77777777" w:rsidTr="00DE0230">
        <w:trPr>
          <w:trHeight w:val="330"/>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B6C" w14:textId="77777777" w:rsidR="00682A01" w:rsidRPr="008E63BB" w:rsidRDefault="00682A01" w:rsidP="0065184D">
            <w:pPr>
              <w:jc w:val="center"/>
              <w:rPr>
                <w:rFonts w:eastAsia="Times New Roman"/>
                <w:b/>
                <w:bCs/>
                <w:szCs w:val="26"/>
              </w:rPr>
            </w:pPr>
          </w:p>
        </w:tc>
        <w:tc>
          <w:tcPr>
            <w:tcW w:w="3080" w:type="dxa"/>
            <w:tcBorders>
              <w:top w:val="single" w:sz="4" w:space="0" w:color="auto"/>
              <w:left w:val="nil"/>
              <w:bottom w:val="single" w:sz="4" w:space="0" w:color="auto"/>
              <w:right w:val="single" w:sz="4" w:space="0" w:color="auto"/>
            </w:tcBorders>
            <w:shd w:val="clear" w:color="auto" w:fill="auto"/>
            <w:noWrap/>
            <w:vAlign w:val="bottom"/>
            <w:hideMark/>
          </w:tcPr>
          <w:p w14:paraId="519B2B6D" w14:textId="77777777" w:rsidR="00682A01" w:rsidRPr="008E63BB" w:rsidRDefault="00682A01" w:rsidP="0065184D">
            <w:pPr>
              <w:rPr>
                <w:rFonts w:eastAsia="Times New Roman"/>
                <w:b/>
                <w:bCs/>
                <w:szCs w:val="26"/>
              </w:rPr>
            </w:pPr>
            <w:r w:rsidRPr="008E63BB">
              <w:rPr>
                <w:rFonts w:eastAsia="Times New Roman"/>
                <w:b/>
                <w:bCs/>
                <w:szCs w:val="26"/>
              </w:rPr>
              <w:t>Trạm cấp nước Nam Vân</w:t>
            </w:r>
          </w:p>
        </w:tc>
        <w:tc>
          <w:tcPr>
            <w:tcW w:w="1897" w:type="dxa"/>
            <w:tcBorders>
              <w:top w:val="single" w:sz="4" w:space="0" w:color="auto"/>
              <w:left w:val="nil"/>
              <w:bottom w:val="single" w:sz="4" w:space="0" w:color="auto"/>
              <w:right w:val="single" w:sz="4" w:space="0" w:color="auto"/>
            </w:tcBorders>
            <w:shd w:val="clear" w:color="auto" w:fill="auto"/>
            <w:noWrap/>
            <w:vAlign w:val="bottom"/>
            <w:hideMark/>
          </w:tcPr>
          <w:p w14:paraId="519B2B6E" w14:textId="77777777" w:rsidR="00682A01" w:rsidRPr="008E63BB" w:rsidRDefault="00682A01" w:rsidP="0065184D">
            <w:pPr>
              <w:jc w:val="right"/>
              <w:rPr>
                <w:rFonts w:eastAsia="Times New Roman"/>
                <w:b/>
                <w:bCs/>
                <w:szCs w:val="26"/>
              </w:rPr>
            </w:pPr>
            <w:r w:rsidRPr="008E63BB">
              <w:rPr>
                <w:rFonts w:eastAsia="Times New Roman"/>
                <w:b/>
                <w:bCs/>
                <w:szCs w:val="26"/>
              </w:rPr>
              <w:t>7.110</w:t>
            </w:r>
          </w:p>
        </w:tc>
      </w:tr>
      <w:tr w:rsidR="008D5BFE" w:rsidRPr="008E63BB" w14:paraId="519B2B73"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70"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71"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1897" w:type="dxa"/>
            <w:tcBorders>
              <w:top w:val="nil"/>
              <w:left w:val="nil"/>
              <w:bottom w:val="single" w:sz="4" w:space="0" w:color="auto"/>
              <w:right w:val="single" w:sz="4" w:space="0" w:color="auto"/>
            </w:tcBorders>
            <w:shd w:val="clear" w:color="auto" w:fill="auto"/>
            <w:noWrap/>
            <w:vAlign w:val="bottom"/>
            <w:hideMark/>
          </w:tcPr>
          <w:p w14:paraId="519B2B72" w14:textId="77777777" w:rsidR="00682A01" w:rsidRPr="008E63BB" w:rsidRDefault="00682A01" w:rsidP="0065184D">
            <w:pPr>
              <w:jc w:val="right"/>
              <w:rPr>
                <w:rFonts w:eastAsia="Times New Roman"/>
                <w:szCs w:val="26"/>
              </w:rPr>
            </w:pPr>
            <w:r w:rsidRPr="008E63BB">
              <w:rPr>
                <w:rFonts w:eastAsia="Times New Roman"/>
                <w:szCs w:val="26"/>
              </w:rPr>
              <w:t>3.420</w:t>
            </w:r>
          </w:p>
        </w:tc>
      </w:tr>
      <w:tr w:rsidR="008D5BFE" w:rsidRPr="008E63BB" w14:paraId="519B2B77"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74"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75"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897" w:type="dxa"/>
            <w:tcBorders>
              <w:top w:val="nil"/>
              <w:left w:val="nil"/>
              <w:bottom w:val="single" w:sz="4" w:space="0" w:color="auto"/>
              <w:right w:val="single" w:sz="4" w:space="0" w:color="auto"/>
            </w:tcBorders>
            <w:shd w:val="clear" w:color="auto" w:fill="auto"/>
            <w:noWrap/>
            <w:vAlign w:val="bottom"/>
            <w:hideMark/>
          </w:tcPr>
          <w:p w14:paraId="519B2B76" w14:textId="77777777" w:rsidR="00682A01" w:rsidRPr="008E63BB" w:rsidRDefault="00682A01" w:rsidP="0065184D">
            <w:pPr>
              <w:jc w:val="right"/>
              <w:rPr>
                <w:rFonts w:eastAsia="Times New Roman"/>
                <w:szCs w:val="26"/>
              </w:rPr>
            </w:pPr>
            <w:r w:rsidRPr="008E63BB">
              <w:rPr>
                <w:rFonts w:eastAsia="Times New Roman"/>
                <w:szCs w:val="26"/>
              </w:rPr>
              <w:t>1.865</w:t>
            </w:r>
          </w:p>
        </w:tc>
      </w:tr>
      <w:tr w:rsidR="008D5BFE" w:rsidRPr="008E63BB" w14:paraId="519B2B7B"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78"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79"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97" w:type="dxa"/>
            <w:tcBorders>
              <w:top w:val="nil"/>
              <w:left w:val="nil"/>
              <w:bottom w:val="single" w:sz="4" w:space="0" w:color="auto"/>
              <w:right w:val="single" w:sz="4" w:space="0" w:color="auto"/>
            </w:tcBorders>
            <w:shd w:val="clear" w:color="auto" w:fill="auto"/>
            <w:noWrap/>
            <w:vAlign w:val="bottom"/>
            <w:hideMark/>
          </w:tcPr>
          <w:p w14:paraId="519B2B7A" w14:textId="77777777" w:rsidR="00682A01" w:rsidRPr="008E63BB" w:rsidRDefault="00682A01" w:rsidP="0065184D">
            <w:pPr>
              <w:jc w:val="right"/>
              <w:rPr>
                <w:rFonts w:eastAsia="Times New Roman"/>
                <w:szCs w:val="26"/>
              </w:rPr>
            </w:pPr>
            <w:r w:rsidRPr="008E63BB">
              <w:rPr>
                <w:rFonts w:eastAsia="Times New Roman"/>
                <w:szCs w:val="26"/>
              </w:rPr>
              <w:t>200</w:t>
            </w:r>
          </w:p>
        </w:tc>
      </w:tr>
      <w:tr w:rsidR="008D5BFE" w:rsidRPr="008E63BB" w14:paraId="519B2B7F"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7C"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7D"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97" w:type="dxa"/>
            <w:tcBorders>
              <w:top w:val="nil"/>
              <w:left w:val="nil"/>
              <w:bottom w:val="single" w:sz="4" w:space="0" w:color="auto"/>
              <w:right w:val="single" w:sz="4" w:space="0" w:color="auto"/>
            </w:tcBorders>
            <w:shd w:val="clear" w:color="auto" w:fill="auto"/>
            <w:noWrap/>
            <w:vAlign w:val="bottom"/>
            <w:hideMark/>
          </w:tcPr>
          <w:p w14:paraId="519B2B7E" w14:textId="77777777" w:rsidR="00682A01" w:rsidRPr="008E63BB" w:rsidRDefault="00682A01" w:rsidP="0065184D">
            <w:pPr>
              <w:jc w:val="right"/>
              <w:rPr>
                <w:rFonts w:eastAsia="Times New Roman"/>
                <w:szCs w:val="26"/>
              </w:rPr>
            </w:pPr>
            <w:r w:rsidRPr="008E63BB">
              <w:rPr>
                <w:rFonts w:eastAsia="Times New Roman"/>
                <w:szCs w:val="26"/>
              </w:rPr>
              <w:t>625</w:t>
            </w:r>
          </w:p>
        </w:tc>
      </w:tr>
      <w:tr w:rsidR="008D5BFE" w:rsidRPr="008E63BB" w14:paraId="519B2B83"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80"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81"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97" w:type="dxa"/>
            <w:tcBorders>
              <w:top w:val="nil"/>
              <w:left w:val="nil"/>
              <w:bottom w:val="single" w:sz="4" w:space="0" w:color="auto"/>
              <w:right w:val="single" w:sz="4" w:space="0" w:color="auto"/>
            </w:tcBorders>
            <w:shd w:val="clear" w:color="auto" w:fill="auto"/>
            <w:noWrap/>
            <w:vAlign w:val="bottom"/>
            <w:hideMark/>
          </w:tcPr>
          <w:p w14:paraId="519B2B82" w14:textId="77777777" w:rsidR="00682A01" w:rsidRPr="008E63BB" w:rsidRDefault="00682A01" w:rsidP="0065184D">
            <w:pPr>
              <w:jc w:val="right"/>
              <w:rPr>
                <w:rFonts w:eastAsia="Times New Roman"/>
                <w:szCs w:val="26"/>
              </w:rPr>
            </w:pPr>
            <w:r w:rsidRPr="008E63BB">
              <w:rPr>
                <w:rFonts w:eastAsia="Times New Roman"/>
                <w:szCs w:val="26"/>
              </w:rPr>
              <w:t>1.000</w:t>
            </w:r>
          </w:p>
        </w:tc>
      </w:tr>
    </w:tbl>
    <w:p w14:paraId="519B2B84" w14:textId="77777777" w:rsidR="00682A01" w:rsidRPr="008E63BB" w:rsidRDefault="00682A01" w:rsidP="001A4F88">
      <w:pPr>
        <w:ind w:firstLine="540"/>
        <w:rPr>
          <w:szCs w:val="26"/>
        </w:rPr>
      </w:pPr>
      <w:r w:rsidRPr="008E63BB">
        <w:rPr>
          <w:szCs w:val="26"/>
        </w:rPr>
        <w:t>- 03 Trạm cấp nước: TCN Lê Lợi công suất: 1.200 m3/ngày đêm, TCN Cốc Thành công suất: 738 m3/ngày đêm, TCN Mỹ Trung công suất: 527 m3/ngày đêm, nguồn nước sông Đào; Phạm vi cấp nước cho toàn bộ xã Thành Lợi;</w:t>
      </w:r>
    </w:p>
    <w:p w14:paraId="519B2B85" w14:textId="77777777" w:rsidR="00682A01" w:rsidRPr="008E63BB" w:rsidRDefault="00682A01" w:rsidP="001A4F88">
      <w:pPr>
        <w:pStyle w:val="BodyText2"/>
        <w:spacing w:after="0" w:line="240" w:lineRule="auto"/>
        <w:ind w:firstLine="540"/>
        <w:rPr>
          <w:szCs w:val="26"/>
          <w:lang w:val="en-US"/>
        </w:rPr>
      </w:pPr>
      <w:r w:rsidRPr="008E63BB">
        <w:rPr>
          <w:szCs w:val="26"/>
          <w:lang w:val="en-US"/>
        </w:rPr>
        <w:t xml:space="preserve">+ Mạng lưới cấp nước có đường kính từ </w:t>
      </w:r>
      <w:r w:rsidRPr="008E63BB">
        <w:rPr>
          <w:rFonts w:ascii="Symbol" w:eastAsia="Times New Roman" w:hAnsi="Symbol"/>
          <w:szCs w:val="26"/>
        </w:rPr>
        <w:t></w:t>
      </w:r>
      <w:r w:rsidRPr="008E63BB">
        <w:rPr>
          <w:rFonts w:eastAsia="Times New Roman"/>
          <w:szCs w:val="26"/>
        </w:rPr>
        <w:t>90÷</w:t>
      </w:r>
      <w:r w:rsidRPr="008E63BB">
        <w:rPr>
          <w:rFonts w:ascii="Symbol" w:eastAsia="Times New Roman" w:hAnsi="Symbol"/>
          <w:szCs w:val="26"/>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rFonts w:ascii="Symbol" w:eastAsia="Times New Roman" w:hAnsi="Symbol"/>
          <w:szCs w:val="26"/>
          <w:lang w:val="en-US"/>
        </w:rPr>
        <w:t></w:t>
      </w:r>
      <w:r w:rsidRPr="008E63BB">
        <w:rPr>
          <w:szCs w:val="26"/>
          <w:lang w:val="en-US"/>
        </w:rPr>
        <w:t>mm với tổng chiề</w:t>
      </w:r>
      <w:r w:rsidR="00F8156E" w:rsidRPr="008E63BB">
        <w:rPr>
          <w:szCs w:val="26"/>
          <w:lang w:val="en-US"/>
        </w:rPr>
        <w:t>u dài: 10.135</w:t>
      </w:r>
      <w:r w:rsidRPr="008E63BB">
        <w:rPr>
          <w:szCs w:val="26"/>
          <w:lang w:val="en-US"/>
        </w:rPr>
        <w:t>m</w:t>
      </w:r>
    </w:p>
    <w:p w14:paraId="519B2B86" w14:textId="77777777" w:rsidR="00682A01" w:rsidRPr="008E63BB" w:rsidRDefault="00682A01" w:rsidP="0065184D">
      <w:pPr>
        <w:pStyle w:val="BodyText2"/>
        <w:spacing w:after="0" w:line="240" w:lineRule="auto"/>
        <w:jc w:val="center"/>
        <w:rPr>
          <w:szCs w:val="26"/>
          <w:lang w:val="en-US"/>
        </w:rPr>
      </w:pPr>
      <w:r w:rsidRPr="008E63BB">
        <w:rPr>
          <w:szCs w:val="26"/>
          <w:lang w:val="en-US"/>
        </w:rPr>
        <w:t xml:space="preserve">Bảng tổng hợp mạng lưới cấp nước </w:t>
      </w:r>
    </w:p>
    <w:tbl>
      <w:tblPr>
        <w:tblW w:w="5670" w:type="dxa"/>
        <w:tblInd w:w="1809" w:type="dxa"/>
        <w:tblLook w:val="04A0" w:firstRow="1" w:lastRow="0" w:firstColumn="1" w:lastColumn="0" w:noHBand="0" w:noVBand="1"/>
      </w:tblPr>
      <w:tblGrid>
        <w:gridCol w:w="708"/>
        <w:gridCol w:w="3080"/>
        <w:gridCol w:w="1882"/>
      </w:tblGrid>
      <w:tr w:rsidR="008D5BFE" w:rsidRPr="008E63BB" w14:paraId="519B2B8A" w14:textId="77777777" w:rsidTr="00F8156E">
        <w:trPr>
          <w:trHeight w:val="330"/>
          <w:tblHeader/>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B87" w14:textId="77777777" w:rsidR="00682A01" w:rsidRPr="008E63BB" w:rsidRDefault="00682A01" w:rsidP="0065184D">
            <w:pPr>
              <w:jc w:val="center"/>
              <w:rPr>
                <w:rFonts w:eastAsia="Times New Roman"/>
                <w:b/>
                <w:bCs/>
                <w:szCs w:val="26"/>
              </w:rPr>
            </w:pPr>
            <w:r w:rsidRPr="008E63BB">
              <w:rPr>
                <w:rFonts w:eastAsia="Times New Roman"/>
                <w:b/>
                <w:bCs/>
                <w:szCs w:val="26"/>
              </w:rPr>
              <w:t>STT</w:t>
            </w:r>
          </w:p>
        </w:tc>
        <w:tc>
          <w:tcPr>
            <w:tcW w:w="3080" w:type="dxa"/>
            <w:tcBorders>
              <w:top w:val="single" w:sz="4" w:space="0" w:color="auto"/>
              <w:left w:val="nil"/>
              <w:bottom w:val="single" w:sz="4" w:space="0" w:color="auto"/>
              <w:right w:val="single" w:sz="4" w:space="0" w:color="auto"/>
            </w:tcBorders>
            <w:shd w:val="clear" w:color="auto" w:fill="auto"/>
            <w:noWrap/>
            <w:vAlign w:val="bottom"/>
          </w:tcPr>
          <w:p w14:paraId="519B2B88" w14:textId="77777777" w:rsidR="00682A01" w:rsidRPr="008E63BB" w:rsidRDefault="00682A01" w:rsidP="0065184D">
            <w:pPr>
              <w:jc w:val="center"/>
              <w:rPr>
                <w:rFonts w:eastAsia="Times New Roman"/>
                <w:b/>
                <w:bCs/>
                <w:szCs w:val="26"/>
              </w:rPr>
            </w:pPr>
            <w:r w:rsidRPr="008E63BB">
              <w:rPr>
                <w:rFonts w:eastAsia="Times New Roman"/>
                <w:b/>
                <w:bCs/>
                <w:szCs w:val="26"/>
              </w:rPr>
              <w:t>Hạng mục</w:t>
            </w:r>
          </w:p>
        </w:tc>
        <w:tc>
          <w:tcPr>
            <w:tcW w:w="1882" w:type="dxa"/>
            <w:tcBorders>
              <w:top w:val="single" w:sz="4" w:space="0" w:color="auto"/>
              <w:left w:val="nil"/>
              <w:bottom w:val="single" w:sz="4" w:space="0" w:color="auto"/>
              <w:right w:val="single" w:sz="4" w:space="0" w:color="auto"/>
            </w:tcBorders>
            <w:shd w:val="clear" w:color="auto" w:fill="auto"/>
            <w:noWrap/>
            <w:vAlign w:val="bottom"/>
          </w:tcPr>
          <w:p w14:paraId="519B2B89" w14:textId="77777777" w:rsidR="00682A01" w:rsidRPr="008E63BB" w:rsidRDefault="00682A01" w:rsidP="0065184D">
            <w:pPr>
              <w:jc w:val="center"/>
              <w:rPr>
                <w:rFonts w:eastAsia="Times New Roman"/>
                <w:b/>
                <w:bCs/>
                <w:szCs w:val="26"/>
              </w:rPr>
            </w:pPr>
            <w:r w:rsidRPr="008E63BB">
              <w:rPr>
                <w:rFonts w:eastAsia="Times New Roman"/>
                <w:b/>
                <w:bCs/>
                <w:szCs w:val="26"/>
              </w:rPr>
              <w:t>Chiều dài (m)</w:t>
            </w:r>
          </w:p>
        </w:tc>
      </w:tr>
      <w:tr w:rsidR="008D5BFE" w:rsidRPr="008E63BB" w14:paraId="519B2B8E" w14:textId="77777777" w:rsidTr="00DE0230">
        <w:trPr>
          <w:trHeight w:val="330"/>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2B8B" w14:textId="77777777" w:rsidR="00682A01" w:rsidRPr="008E63BB" w:rsidRDefault="00682A01" w:rsidP="0065184D">
            <w:pPr>
              <w:jc w:val="center"/>
              <w:rPr>
                <w:rFonts w:eastAsia="Times New Roman"/>
                <w:b/>
                <w:bCs/>
                <w:szCs w:val="26"/>
              </w:rPr>
            </w:pPr>
            <w:r w:rsidRPr="008E63BB">
              <w:rPr>
                <w:rFonts w:eastAsia="Times New Roman"/>
                <w:b/>
                <w:bCs/>
                <w:szCs w:val="26"/>
              </w:rPr>
              <w:t>1</w:t>
            </w:r>
          </w:p>
        </w:tc>
        <w:tc>
          <w:tcPr>
            <w:tcW w:w="3080" w:type="dxa"/>
            <w:tcBorders>
              <w:top w:val="single" w:sz="4" w:space="0" w:color="auto"/>
              <w:left w:val="nil"/>
              <w:bottom w:val="single" w:sz="4" w:space="0" w:color="auto"/>
              <w:right w:val="single" w:sz="4" w:space="0" w:color="auto"/>
            </w:tcBorders>
            <w:shd w:val="clear" w:color="auto" w:fill="auto"/>
            <w:noWrap/>
            <w:vAlign w:val="bottom"/>
            <w:hideMark/>
          </w:tcPr>
          <w:p w14:paraId="519B2B8C" w14:textId="77777777" w:rsidR="00682A01" w:rsidRPr="008E63BB" w:rsidRDefault="00682A01" w:rsidP="0065184D">
            <w:pPr>
              <w:rPr>
                <w:rFonts w:eastAsia="Times New Roman"/>
                <w:b/>
                <w:bCs/>
                <w:szCs w:val="26"/>
              </w:rPr>
            </w:pPr>
            <w:r w:rsidRPr="008E63BB">
              <w:rPr>
                <w:rFonts w:eastAsia="Times New Roman"/>
                <w:b/>
                <w:bCs/>
                <w:szCs w:val="26"/>
              </w:rPr>
              <w:t>Trạm cấp nước Lê Lợi</w:t>
            </w:r>
          </w:p>
        </w:tc>
        <w:tc>
          <w:tcPr>
            <w:tcW w:w="1882" w:type="dxa"/>
            <w:tcBorders>
              <w:top w:val="single" w:sz="4" w:space="0" w:color="auto"/>
              <w:left w:val="nil"/>
              <w:bottom w:val="single" w:sz="4" w:space="0" w:color="auto"/>
              <w:right w:val="single" w:sz="4" w:space="0" w:color="auto"/>
            </w:tcBorders>
            <w:shd w:val="clear" w:color="auto" w:fill="auto"/>
            <w:noWrap/>
            <w:vAlign w:val="bottom"/>
            <w:hideMark/>
          </w:tcPr>
          <w:p w14:paraId="519B2B8D" w14:textId="77777777" w:rsidR="00682A01" w:rsidRPr="008E63BB" w:rsidRDefault="00682A01" w:rsidP="0065184D">
            <w:pPr>
              <w:jc w:val="right"/>
              <w:rPr>
                <w:rFonts w:eastAsia="Times New Roman"/>
                <w:b/>
                <w:bCs/>
                <w:szCs w:val="26"/>
              </w:rPr>
            </w:pPr>
            <w:r w:rsidRPr="008E63BB">
              <w:rPr>
                <w:rFonts w:eastAsia="Times New Roman"/>
                <w:b/>
                <w:bCs/>
                <w:szCs w:val="26"/>
              </w:rPr>
              <w:t>3.150</w:t>
            </w:r>
          </w:p>
        </w:tc>
      </w:tr>
      <w:tr w:rsidR="008D5BFE" w:rsidRPr="008E63BB" w14:paraId="519B2B92"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8F"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90"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882" w:type="dxa"/>
            <w:tcBorders>
              <w:top w:val="nil"/>
              <w:left w:val="nil"/>
              <w:bottom w:val="single" w:sz="4" w:space="0" w:color="auto"/>
              <w:right w:val="single" w:sz="4" w:space="0" w:color="auto"/>
            </w:tcBorders>
            <w:shd w:val="clear" w:color="auto" w:fill="auto"/>
            <w:noWrap/>
            <w:vAlign w:val="bottom"/>
            <w:hideMark/>
          </w:tcPr>
          <w:p w14:paraId="519B2B91" w14:textId="77777777" w:rsidR="00682A01" w:rsidRPr="008E63BB" w:rsidRDefault="00682A01" w:rsidP="0065184D">
            <w:pPr>
              <w:jc w:val="right"/>
              <w:rPr>
                <w:rFonts w:eastAsia="Times New Roman"/>
                <w:szCs w:val="26"/>
              </w:rPr>
            </w:pPr>
            <w:r w:rsidRPr="008E63BB">
              <w:rPr>
                <w:rFonts w:eastAsia="Times New Roman"/>
                <w:szCs w:val="26"/>
              </w:rPr>
              <w:t>1.815</w:t>
            </w:r>
          </w:p>
        </w:tc>
      </w:tr>
      <w:tr w:rsidR="008D5BFE" w:rsidRPr="008E63BB" w14:paraId="519B2B96"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93"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94"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82" w:type="dxa"/>
            <w:tcBorders>
              <w:top w:val="nil"/>
              <w:left w:val="nil"/>
              <w:bottom w:val="single" w:sz="4" w:space="0" w:color="auto"/>
              <w:right w:val="single" w:sz="4" w:space="0" w:color="auto"/>
            </w:tcBorders>
            <w:shd w:val="clear" w:color="auto" w:fill="auto"/>
            <w:noWrap/>
            <w:vAlign w:val="bottom"/>
            <w:hideMark/>
          </w:tcPr>
          <w:p w14:paraId="519B2B95" w14:textId="77777777" w:rsidR="00682A01" w:rsidRPr="008E63BB" w:rsidRDefault="00682A01" w:rsidP="0065184D">
            <w:pPr>
              <w:jc w:val="right"/>
              <w:rPr>
                <w:rFonts w:eastAsia="Times New Roman"/>
                <w:szCs w:val="26"/>
              </w:rPr>
            </w:pPr>
            <w:r w:rsidRPr="008E63BB">
              <w:rPr>
                <w:rFonts w:eastAsia="Times New Roman"/>
                <w:szCs w:val="26"/>
              </w:rPr>
              <w:t>1.335</w:t>
            </w:r>
          </w:p>
        </w:tc>
      </w:tr>
      <w:tr w:rsidR="008D5BFE" w:rsidRPr="008E63BB" w14:paraId="519B2B9A"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97" w14:textId="77777777" w:rsidR="00682A01" w:rsidRPr="008E63BB" w:rsidRDefault="00682A01" w:rsidP="0065184D">
            <w:pPr>
              <w:jc w:val="center"/>
              <w:rPr>
                <w:rFonts w:eastAsia="Times New Roman"/>
                <w:b/>
                <w:bCs/>
                <w:szCs w:val="26"/>
              </w:rPr>
            </w:pPr>
            <w:r w:rsidRPr="008E63BB">
              <w:rPr>
                <w:rFonts w:eastAsia="Times New Roman"/>
                <w:b/>
                <w:bCs/>
                <w:szCs w:val="26"/>
              </w:rPr>
              <w:lastRenderedPageBreak/>
              <w:t>2</w:t>
            </w:r>
          </w:p>
        </w:tc>
        <w:tc>
          <w:tcPr>
            <w:tcW w:w="3080" w:type="dxa"/>
            <w:tcBorders>
              <w:top w:val="nil"/>
              <w:left w:val="nil"/>
              <w:bottom w:val="single" w:sz="4" w:space="0" w:color="auto"/>
              <w:right w:val="single" w:sz="4" w:space="0" w:color="auto"/>
            </w:tcBorders>
            <w:shd w:val="clear" w:color="auto" w:fill="auto"/>
            <w:noWrap/>
            <w:vAlign w:val="bottom"/>
            <w:hideMark/>
          </w:tcPr>
          <w:p w14:paraId="519B2B98" w14:textId="77777777" w:rsidR="00682A01" w:rsidRPr="008E63BB" w:rsidRDefault="00682A01" w:rsidP="0065184D">
            <w:pPr>
              <w:rPr>
                <w:rFonts w:eastAsia="Times New Roman"/>
                <w:b/>
                <w:bCs/>
                <w:szCs w:val="26"/>
              </w:rPr>
            </w:pPr>
            <w:r w:rsidRPr="008E63BB">
              <w:rPr>
                <w:rFonts w:eastAsia="Times New Roman"/>
                <w:b/>
                <w:bCs/>
                <w:szCs w:val="26"/>
              </w:rPr>
              <w:t>TCN Cốc Thành</w:t>
            </w:r>
          </w:p>
        </w:tc>
        <w:tc>
          <w:tcPr>
            <w:tcW w:w="1882" w:type="dxa"/>
            <w:tcBorders>
              <w:top w:val="nil"/>
              <w:left w:val="nil"/>
              <w:bottom w:val="single" w:sz="4" w:space="0" w:color="auto"/>
              <w:right w:val="single" w:sz="4" w:space="0" w:color="auto"/>
            </w:tcBorders>
            <w:shd w:val="clear" w:color="auto" w:fill="auto"/>
            <w:noWrap/>
            <w:vAlign w:val="bottom"/>
            <w:hideMark/>
          </w:tcPr>
          <w:p w14:paraId="519B2B99" w14:textId="77777777" w:rsidR="00682A01" w:rsidRPr="008E63BB" w:rsidRDefault="00682A01" w:rsidP="0065184D">
            <w:pPr>
              <w:jc w:val="right"/>
              <w:rPr>
                <w:rFonts w:eastAsia="Times New Roman"/>
                <w:b/>
                <w:bCs/>
                <w:szCs w:val="26"/>
              </w:rPr>
            </w:pPr>
            <w:r w:rsidRPr="008E63BB">
              <w:rPr>
                <w:rFonts w:eastAsia="Times New Roman"/>
                <w:b/>
                <w:bCs/>
                <w:szCs w:val="26"/>
              </w:rPr>
              <w:t>4.985</w:t>
            </w:r>
          </w:p>
        </w:tc>
      </w:tr>
      <w:tr w:rsidR="008D5BFE" w:rsidRPr="008E63BB" w14:paraId="519B2B9E"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9B"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9C"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eastAsia="Times New Roman"/>
                <w:szCs w:val="26"/>
              </w:rPr>
              <w:t>90</w:t>
            </w:r>
          </w:p>
        </w:tc>
        <w:tc>
          <w:tcPr>
            <w:tcW w:w="1882" w:type="dxa"/>
            <w:tcBorders>
              <w:top w:val="nil"/>
              <w:left w:val="nil"/>
              <w:bottom w:val="single" w:sz="4" w:space="0" w:color="auto"/>
              <w:right w:val="single" w:sz="4" w:space="0" w:color="auto"/>
            </w:tcBorders>
            <w:shd w:val="clear" w:color="auto" w:fill="auto"/>
            <w:noWrap/>
            <w:vAlign w:val="bottom"/>
            <w:hideMark/>
          </w:tcPr>
          <w:p w14:paraId="519B2B9D" w14:textId="77777777" w:rsidR="00682A01" w:rsidRPr="008E63BB" w:rsidRDefault="00682A01" w:rsidP="0065184D">
            <w:pPr>
              <w:jc w:val="right"/>
              <w:rPr>
                <w:rFonts w:eastAsia="Times New Roman"/>
                <w:szCs w:val="26"/>
              </w:rPr>
            </w:pPr>
            <w:r w:rsidRPr="008E63BB">
              <w:rPr>
                <w:rFonts w:eastAsia="Times New Roman"/>
                <w:szCs w:val="26"/>
              </w:rPr>
              <w:t>2.100</w:t>
            </w:r>
          </w:p>
        </w:tc>
      </w:tr>
      <w:tr w:rsidR="008D5BFE" w:rsidRPr="008E63BB" w14:paraId="519B2BA2"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9F"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A0"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882" w:type="dxa"/>
            <w:tcBorders>
              <w:top w:val="nil"/>
              <w:left w:val="nil"/>
              <w:bottom w:val="single" w:sz="4" w:space="0" w:color="auto"/>
              <w:right w:val="single" w:sz="4" w:space="0" w:color="auto"/>
            </w:tcBorders>
            <w:shd w:val="clear" w:color="auto" w:fill="auto"/>
            <w:noWrap/>
            <w:vAlign w:val="bottom"/>
            <w:hideMark/>
          </w:tcPr>
          <w:p w14:paraId="519B2BA1" w14:textId="77777777" w:rsidR="00682A01" w:rsidRPr="008E63BB" w:rsidRDefault="00682A01" w:rsidP="0065184D">
            <w:pPr>
              <w:jc w:val="right"/>
              <w:rPr>
                <w:rFonts w:eastAsia="Times New Roman"/>
                <w:szCs w:val="26"/>
              </w:rPr>
            </w:pPr>
            <w:r w:rsidRPr="008E63BB">
              <w:rPr>
                <w:rFonts w:eastAsia="Times New Roman"/>
                <w:szCs w:val="26"/>
              </w:rPr>
              <w:t>710</w:t>
            </w:r>
          </w:p>
        </w:tc>
      </w:tr>
      <w:tr w:rsidR="008D5BFE" w:rsidRPr="008E63BB" w14:paraId="519B2BA6"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A3"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A4"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p>
        </w:tc>
        <w:tc>
          <w:tcPr>
            <w:tcW w:w="1882" w:type="dxa"/>
            <w:tcBorders>
              <w:top w:val="nil"/>
              <w:left w:val="nil"/>
              <w:bottom w:val="single" w:sz="4" w:space="0" w:color="auto"/>
              <w:right w:val="single" w:sz="4" w:space="0" w:color="auto"/>
            </w:tcBorders>
            <w:shd w:val="clear" w:color="auto" w:fill="auto"/>
            <w:noWrap/>
            <w:vAlign w:val="bottom"/>
            <w:hideMark/>
          </w:tcPr>
          <w:p w14:paraId="519B2BA5" w14:textId="77777777" w:rsidR="00682A01" w:rsidRPr="008E63BB" w:rsidRDefault="00682A01" w:rsidP="0065184D">
            <w:pPr>
              <w:jc w:val="right"/>
              <w:rPr>
                <w:rFonts w:eastAsia="Times New Roman"/>
                <w:szCs w:val="26"/>
              </w:rPr>
            </w:pPr>
            <w:r w:rsidRPr="008E63BB">
              <w:rPr>
                <w:rFonts w:eastAsia="Times New Roman"/>
                <w:szCs w:val="26"/>
              </w:rPr>
              <w:t>2.175</w:t>
            </w:r>
          </w:p>
        </w:tc>
      </w:tr>
      <w:tr w:rsidR="008D5BFE" w:rsidRPr="008E63BB" w14:paraId="519B2BAA"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A7" w14:textId="77777777" w:rsidR="00682A01" w:rsidRPr="008E63BB" w:rsidRDefault="00682A01" w:rsidP="0065184D">
            <w:pPr>
              <w:jc w:val="center"/>
              <w:rPr>
                <w:rFonts w:eastAsia="Times New Roman"/>
                <w:b/>
                <w:bCs/>
                <w:szCs w:val="26"/>
              </w:rPr>
            </w:pPr>
            <w:r w:rsidRPr="008E63BB">
              <w:rPr>
                <w:rFonts w:eastAsia="Times New Roman"/>
                <w:b/>
                <w:bCs/>
                <w:szCs w:val="26"/>
              </w:rPr>
              <w:t>3</w:t>
            </w:r>
          </w:p>
        </w:tc>
        <w:tc>
          <w:tcPr>
            <w:tcW w:w="3080" w:type="dxa"/>
            <w:tcBorders>
              <w:top w:val="nil"/>
              <w:left w:val="nil"/>
              <w:bottom w:val="single" w:sz="4" w:space="0" w:color="auto"/>
              <w:right w:val="single" w:sz="4" w:space="0" w:color="auto"/>
            </w:tcBorders>
            <w:shd w:val="clear" w:color="auto" w:fill="auto"/>
            <w:noWrap/>
            <w:vAlign w:val="bottom"/>
            <w:hideMark/>
          </w:tcPr>
          <w:p w14:paraId="519B2BA8" w14:textId="77777777" w:rsidR="00682A01" w:rsidRPr="008E63BB" w:rsidRDefault="00682A01" w:rsidP="0065184D">
            <w:pPr>
              <w:rPr>
                <w:rFonts w:eastAsia="Times New Roman"/>
                <w:b/>
                <w:bCs/>
                <w:szCs w:val="26"/>
              </w:rPr>
            </w:pPr>
            <w:r w:rsidRPr="008E63BB">
              <w:rPr>
                <w:rFonts w:eastAsia="Times New Roman"/>
                <w:b/>
                <w:bCs/>
                <w:szCs w:val="26"/>
              </w:rPr>
              <w:t>TCN Mỹ Trung</w:t>
            </w:r>
          </w:p>
        </w:tc>
        <w:tc>
          <w:tcPr>
            <w:tcW w:w="1882" w:type="dxa"/>
            <w:tcBorders>
              <w:top w:val="nil"/>
              <w:left w:val="nil"/>
              <w:bottom w:val="single" w:sz="4" w:space="0" w:color="auto"/>
              <w:right w:val="single" w:sz="4" w:space="0" w:color="auto"/>
            </w:tcBorders>
            <w:shd w:val="clear" w:color="auto" w:fill="auto"/>
            <w:noWrap/>
            <w:vAlign w:val="bottom"/>
            <w:hideMark/>
          </w:tcPr>
          <w:p w14:paraId="519B2BA9" w14:textId="77777777" w:rsidR="00682A01" w:rsidRPr="008E63BB" w:rsidRDefault="00682A01" w:rsidP="0065184D">
            <w:pPr>
              <w:jc w:val="right"/>
              <w:rPr>
                <w:rFonts w:eastAsia="Times New Roman"/>
                <w:b/>
                <w:bCs/>
                <w:szCs w:val="26"/>
              </w:rPr>
            </w:pPr>
            <w:r w:rsidRPr="008E63BB">
              <w:rPr>
                <w:rFonts w:eastAsia="Times New Roman"/>
                <w:b/>
                <w:bCs/>
                <w:szCs w:val="26"/>
              </w:rPr>
              <w:t>2.000</w:t>
            </w:r>
          </w:p>
        </w:tc>
      </w:tr>
      <w:tr w:rsidR="008D5BFE" w:rsidRPr="008E63BB" w14:paraId="519B2BAE" w14:textId="77777777" w:rsidTr="00DE0230">
        <w:trPr>
          <w:trHeight w:val="330"/>
        </w:trPr>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519B2BAB" w14:textId="77777777" w:rsidR="00682A01" w:rsidRPr="008E63BB" w:rsidRDefault="00682A01" w:rsidP="0065184D">
            <w:pPr>
              <w:jc w:val="center"/>
              <w:rPr>
                <w:rFonts w:eastAsia="Times New Roman"/>
                <w:szCs w:val="26"/>
              </w:rPr>
            </w:pPr>
            <w:r w:rsidRPr="008E63BB">
              <w:rPr>
                <w:rFonts w:eastAsia="Times New Roman"/>
                <w:szCs w:val="26"/>
              </w:rPr>
              <w:t>-</w:t>
            </w:r>
          </w:p>
        </w:tc>
        <w:tc>
          <w:tcPr>
            <w:tcW w:w="3080" w:type="dxa"/>
            <w:tcBorders>
              <w:top w:val="nil"/>
              <w:left w:val="nil"/>
              <w:bottom w:val="single" w:sz="4" w:space="0" w:color="auto"/>
              <w:right w:val="single" w:sz="4" w:space="0" w:color="auto"/>
            </w:tcBorders>
            <w:shd w:val="clear" w:color="auto" w:fill="auto"/>
            <w:noWrap/>
            <w:vAlign w:val="bottom"/>
            <w:hideMark/>
          </w:tcPr>
          <w:p w14:paraId="519B2BAC" w14:textId="77777777" w:rsidR="00682A01" w:rsidRPr="008E63BB" w:rsidRDefault="00682A01" w:rsidP="0065184D">
            <w:pPr>
              <w:rPr>
                <w:rFonts w:eastAsia="Times New Roman"/>
                <w:szCs w:val="26"/>
              </w:rPr>
            </w:pPr>
            <w:r w:rsidRPr="008E63BB">
              <w:rPr>
                <w:rFonts w:eastAsia="Times New Roman"/>
                <w:szCs w:val="26"/>
              </w:rPr>
              <w:t xml:space="preserve">Ống nhựa HDPE </w:t>
            </w:r>
            <w:r w:rsidRPr="008E63BB">
              <w:rPr>
                <w:rFonts w:ascii="Symbol" w:eastAsia="Times New Roman" w:hAnsi="Symbol"/>
                <w:szCs w:val="26"/>
              </w:rPr>
              <w:t></w:t>
            </w:r>
            <w:r w:rsidRPr="008E63BB">
              <w:rPr>
                <w:rFonts w:ascii="Symbol" w:eastAsia="Times New Roman" w:hAnsi="Symbol"/>
                <w:szCs w:val="26"/>
              </w:rPr>
              <w:t></w:t>
            </w:r>
            <w:r w:rsidRPr="008E63BB">
              <w:rPr>
                <w:rFonts w:ascii="Symbol" w:eastAsia="Times New Roman" w:hAnsi="Symbol"/>
                <w:szCs w:val="26"/>
              </w:rPr>
              <w:t></w:t>
            </w:r>
            <w:r w:rsidRPr="008E63BB">
              <w:rPr>
                <w:rFonts w:eastAsia="Times New Roman"/>
                <w:szCs w:val="26"/>
              </w:rPr>
              <w:t>0</w:t>
            </w:r>
          </w:p>
        </w:tc>
        <w:tc>
          <w:tcPr>
            <w:tcW w:w="1882" w:type="dxa"/>
            <w:tcBorders>
              <w:top w:val="nil"/>
              <w:left w:val="nil"/>
              <w:bottom w:val="single" w:sz="4" w:space="0" w:color="auto"/>
              <w:right w:val="single" w:sz="4" w:space="0" w:color="auto"/>
            </w:tcBorders>
            <w:shd w:val="clear" w:color="auto" w:fill="auto"/>
            <w:noWrap/>
            <w:vAlign w:val="bottom"/>
            <w:hideMark/>
          </w:tcPr>
          <w:p w14:paraId="519B2BAD" w14:textId="77777777" w:rsidR="00682A01" w:rsidRPr="008E63BB" w:rsidRDefault="00682A01" w:rsidP="0065184D">
            <w:pPr>
              <w:jc w:val="right"/>
              <w:rPr>
                <w:rFonts w:eastAsia="Times New Roman"/>
                <w:szCs w:val="26"/>
              </w:rPr>
            </w:pPr>
            <w:r w:rsidRPr="008E63BB">
              <w:rPr>
                <w:rFonts w:eastAsia="Times New Roman"/>
                <w:szCs w:val="26"/>
              </w:rPr>
              <w:t>2.000</w:t>
            </w:r>
          </w:p>
        </w:tc>
      </w:tr>
      <w:tr w:rsidR="008D5BFE" w:rsidRPr="008E63BB" w14:paraId="519B2BB2" w14:textId="77777777" w:rsidTr="00DE0230">
        <w:trPr>
          <w:trHeight w:val="330"/>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2BAF" w14:textId="77777777" w:rsidR="00682A01" w:rsidRPr="008E63BB" w:rsidRDefault="00682A01" w:rsidP="0065184D">
            <w:pPr>
              <w:jc w:val="center"/>
              <w:rPr>
                <w:rFonts w:eastAsia="Times New Roman"/>
                <w:b/>
                <w:szCs w:val="26"/>
              </w:rPr>
            </w:pPr>
          </w:p>
        </w:tc>
        <w:tc>
          <w:tcPr>
            <w:tcW w:w="3080" w:type="dxa"/>
            <w:tcBorders>
              <w:top w:val="single" w:sz="4" w:space="0" w:color="auto"/>
              <w:left w:val="nil"/>
              <w:bottom w:val="single" w:sz="4" w:space="0" w:color="auto"/>
              <w:right w:val="single" w:sz="4" w:space="0" w:color="auto"/>
            </w:tcBorders>
            <w:shd w:val="clear" w:color="auto" w:fill="auto"/>
            <w:noWrap/>
            <w:vAlign w:val="bottom"/>
          </w:tcPr>
          <w:p w14:paraId="519B2BB0" w14:textId="77777777" w:rsidR="00682A01" w:rsidRPr="008E63BB" w:rsidRDefault="00682A01" w:rsidP="0065184D">
            <w:pPr>
              <w:rPr>
                <w:rFonts w:eastAsia="Times New Roman"/>
                <w:b/>
                <w:szCs w:val="26"/>
              </w:rPr>
            </w:pPr>
            <w:r w:rsidRPr="008E63BB">
              <w:rPr>
                <w:rFonts w:eastAsia="Times New Roman"/>
                <w:b/>
                <w:szCs w:val="26"/>
              </w:rPr>
              <w:t>Tổng cộng</w:t>
            </w:r>
          </w:p>
        </w:tc>
        <w:tc>
          <w:tcPr>
            <w:tcW w:w="1882" w:type="dxa"/>
            <w:tcBorders>
              <w:top w:val="single" w:sz="4" w:space="0" w:color="auto"/>
              <w:left w:val="nil"/>
              <w:bottom w:val="single" w:sz="4" w:space="0" w:color="auto"/>
              <w:right w:val="single" w:sz="4" w:space="0" w:color="auto"/>
            </w:tcBorders>
            <w:shd w:val="clear" w:color="auto" w:fill="auto"/>
            <w:noWrap/>
            <w:vAlign w:val="bottom"/>
          </w:tcPr>
          <w:p w14:paraId="519B2BB1" w14:textId="77777777" w:rsidR="00682A01" w:rsidRPr="008E63BB" w:rsidRDefault="00682A01" w:rsidP="0065184D">
            <w:pPr>
              <w:jc w:val="right"/>
              <w:rPr>
                <w:rFonts w:eastAsia="Times New Roman"/>
                <w:b/>
                <w:szCs w:val="26"/>
              </w:rPr>
            </w:pPr>
            <w:r w:rsidRPr="008E63BB">
              <w:rPr>
                <w:rFonts w:eastAsia="Times New Roman"/>
                <w:b/>
                <w:szCs w:val="26"/>
              </w:rPr>
              <w:t>10.135</w:t>
            </w:r>
          </w:p>
        </w:tc>
      </w:tr>
    </w:tbl>
    <w:p w14:paraId="519B2BB3" w14:textId="77777777" w:rsidR="00682A01" w:rsidRPr="008E63BB" w:rsidRDefault="00682A01" w:rsidP="0065184D">
      <w:pPr>
        <w:ind w:firstLine="720"/>
        <w:rPr>
          <w:szCs w:val="26"/>
        </w:rPr>
      </w:pPr>
      <w:r w:rsidRPr="008E63BB">
        <w:rPr>
          <w:szCs w:val="26"/>
        </w:rPr>
        <w:t>* Bảng tổng hợp các nhà máy nước</w:t>
      </w:r>
    </w:p>
    <w:tbl>
      <w:tblPr>
        <w:tblW w:w="9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350"/>
        <w:gridCol w:w="1869"/>
        <w:gridCol w:w="1134"/>
        <w:gridCol w:w="1418"/>
        <w:gridCol w:w="1644"/>
      </w:tblGrid>
      <w:tr w:rsidR="008D5BFE" w:rsidRPr="008E63BB" w14:paraId="519B2BBA" w14:textId="77777777" w:rsidTr="00DE0230">
        <w:tc>
          <w:tcPr>
            <w:tcW w:w="709" w:type="dxa"/>
            <w:shd w:val="clear" w:color="auto" w:fill="auto"/>
          </w:tcPr>
          <w:p w14:paraId="519B2BB4" w14:textId="77777777" w:rsidR="00682A01" w:rsidRPr="008E63BB" w:rsidRDefault="00682A01" w:rsidP="0065184D">
            <w:pPr>
              <w:jc w:val="center"/>
              <w:rPr>
                <w:b/>
                <w:szCs w:val="26"/>
                <w:lang w:val="nl-NL"/>
              </w:rPr>
            </w:pPr>
            <w:r w:rsidRPr="008E63BB">
              <w:rPr>
                <w:b/>
                <w:szCs w:val="26"/>
                <w:lang w:val="nl-NL"/>
              </w:rPr>
              <w:t>STT</w:t>
            </w:r>
          </w:p>
        </w:tc>
        <w:tc>
          <w:tcPr>
            <w:tcW w:w="2350" w:type="dxa"/>
            <w:shd w:val="clear" w:color="auto" w:fill="auto"/>
          </w:tcPr>
          <w:p w14:paraId="519B2BB5" w14:textId="77777777" w:rsidR="00682A01" w:rsidRPr="008E63BB" w:rsidRDefault="00682A01" w:rsidP="0065184D">
            <w:pPr>
              <w:jc w:val="center"/>
              <w:rPr>
                <w:b/>
                <w:szCs w:val="26"/>
                <w:lang w:val="nl-NL"/>
              </w:rPr>
            </w:pPr>
            <w:r w:rsidRPr="008E63BB">
              <w:rPr>
                <w:b/>
                <w:szCs w:val="26"/>
                <w:lang w:val="nl-NL"/>
              </w:rPr>
              <w:t>Nhà máy nước</w:t>
            </w:r>
          </w:p>
        </w:tc>
        <w:tc>
          <w:tcPr>
            <w:tcW w:w="1869" w:type="dxa"/>
          </w:tcPr>
          <w:p w14:paraId="519B2BB6" w14:textId="77777777" w:rsidR="00682A01" w:rsidRPr="008E63BB" w:rsidRDefault="00682A01" w:rsidP="0065184D">
            <w:pPr>
              <w:jc w:val="center"/>
              <w:rPr>
                <w:b/>
                <w:szCs w:val="26"/>
                <w:lang w:val="nl-NL"/>
              </w:rPr>
            </w:pPr>
            <w:r w:rsidRPr="008E63BB">
              <w:rPr>
                <w:b/>
                <w:szCs w:val="26"/>
                <w:lang w:val="nl-NL"/>
              </w:rPr>
              <w:t>Năm xây dựng</w:t>
            </w:r>
          </w:p>
        </w:tc>
        <w:tc>
          <w:tcPr>
            <w:tcW w:w="1134" w:type="dxa"/>
            <w:shd w:val="clear" w:color="auto" w:fill="auto"/>
          </w:tcPr>
          <w:p w14:paraId="519B2BB7" w14:textId="77777777" w:rsidR="00682A01" w:rsidRPr="008E63BB" w:rsidRDefault="00682A01" w:rsidP="0065184D">
            <w:pPr>
              <w:jc w:val="center"/>
              <w:rPr>
                <w:b/>
                <w:szCs w:val="26"/>
                <w:lang w:val="nl-NL"/>
              </w:rPr>
            </w:pPr>
            <w:r w:rsidRPr="008E63BB">
              <w:rPr>
                <w:b/>
                <w:szCs w:val="26"/>
                <w:lang w:val="nl-NL"/>
              </w:rPr>
              <w:t>Đơn vị</w:t>
            </w:r>
          </w:p>
        </w:tc>
        <w:tc>
          <w:tcPr>
            <w:tcW w:w="1418" w:type="dxa"/>
            <w:shd w:val="clear" w:color="auto" w:fill="auto"/>
          </w:tcPr>
          <w:p w14:paraId="519B2BB8" w14:textId="77777777" w:rsidR="00682A01" w:rsidRPr="008E63BB" w:rsidRDefault="00682A01" w:rsidP="0065184D">
            <w:pPr>
              <w:jc w:val="center"/>
              <w:rPr>
                <w:b/>
                <w:szCs w:val="26"/>
                <w:lang w:val="nl-NL"/>
              </w:rPr>
            </w:pPr>
            <w:r w:rsidRPr="008E63BB">
              <w:rPr>
                <w:b/>
                <w:szCs w:val="26"/>
                <w:lang w:val="nl-NL"/>
              </w:rPr>
              <w:t>Công suất</w:t>
            </w:r>
          </w:p>
        </w:tc>
        <w:tc>
          <w:tcPr>
            <w:tcW w:w="1644" w:type="dxa"/>
            <w:shd w:val="clear" w:color="auto" w:fill="auto"/>
          </w:tcPr>
          <w:p w14:paraId="519B2BB9" w14:textId="77777777" w:rsidR="00682A01" w:rsidRPr="008E63BB" w:rsidRDefault="00682A01" w:rsidP="0065184D">
            <w:pPr>
              <w:jc w:val="center"/>
              <w:rPr>
                <w:b/>
                <w:szCs w:val="26"/>
                <w:lang w:val="nl-NL"/>
              </w:rPr>
            </w:pPr>
            <w:r w:rsidRPr="008E63BB">
              <w:rPr>
                <w:b/>
                <w:szCs w:val="26"/>
                <w:lang w:val="nl-NL"/>
              </w:rPr>
              <w:t>Nguồn nước</w:t>
            </w:r>
          </w:p>
        </w:tc>
      </w:tr>
      <w:tr w:rsidR="008D5BFE" w:rsidRPr="008E63BB" w14:paraId="519B2BC1" w14:textId="77777777" w:rsidTr="00DE0230">
        <w:tc>
          <w:tcPr>
            <w:tcW w:w="709" w:type="dxa"/>
            <w:shd w:val="clear" w:color="auto" w:fill="auto"/>
          </w:tcPr>
          <w:p w14:paraId="519B2BBB" w14:textId="77777777" w:rsidR="00682A01" w:rsidRPr="008E63BB" w:rsidRDefault="00682A01" w:rsidP="0065184D">
            <w:pPr>
              <w:jc w:val="center"/>
              <w:rPr>
                <w:szCs w:val="26"/>
                <w:lang w:val="nl-NL"/>
              </w:rPr>
            </w:pPr>
            <w:r w:rsidRPr="008E63BB">
              <w:rPr>
                <w:szCs w:val="26"/>
                <w:lang w:val="nl-NL"/>
              </w:rPr>
              <w:t>1</w:t>
            </w:r>
          </w:p>
        </w:tc>
        <w:tc>
          <w:tcPr>
            <w:tcW w:w="2350" w:type="dxa"/>
            <w:shd w:val="clear" w:color="auto" w:fill="auto"/>
          </w:tcPr>
          <w:p w14:paraId="519B2BBC" w14:textId="77777777" w:rsidR="00682A01" w:rsidRPr="008E63BB" w:rsidRDefault="00682A01" w:rsidP="0065184D">
            <w:pPr>
              <w:rPr>
                <w:szCs w:val="26"/>
                <w:lang w:val="nl-NL"/>
              </w:rPr>
            </w:pPr>
            <w:r w:rsidRPr="008E63BB">
              <w:rPr>
                <w:szCs w:val="26"/>
                <w:lang w:val="nl-NL"/>
              </w:rPr>
              <w:t>NMN TP Nam Định</w:t>
            </w:r>
          </w:p>
        </w:tc>
        <w:tc>
          <w:tcPr>
            <w:tcW w:w="1869" w:type="dxa"/>
          </w:tcPr>
          <w:p w14:paraId="519B2BBD" w14:textId="77777777" w:rsidR="00682A01" w:rsidRPr="008E63BB" w:rsidRDefault="00682A01" w:rsidP="0065184D">
            <w:pPr>
              <w:jc w:val="center"/>
              <w:rPr>
                <w:szCs w:val="26"/>
                <w:lang w:val="nl-NL"/>
              </w:rPr>
            </w:pPr>
            <w:r w:rsidRPr="008E63BB">
              <w:rPr>
                <w:szCs w:val="26"/>
                <w:lang w:val="nl-NL"/>
              </w:rPr>
              <w:t>1924</w:t>
            </w:r>
          </w:p>
        </w:tc>
        <w:tc>
          <w:tcPr>
            <w:tcW w:w="1134" w:type="dxa"/>
            <w:shd w:val="clear" w:color="auto" w:fill="auto"/>
          </w:tcPr>
          <w:p w14:paraId="519B2BBE"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BF" w14:textId="77777777" w:rsidR="00682A01" w:rsidRPr="008E63BB" w:rsidRDefault="00682A01" w:rsidP="0065184D">
            <w:pPr>
              <w:jc w:val="center"/>
              <w:rPr>
                <w:szCs w:val="26"/>
                <w:lang w:val="nl-NL"/>
              </w:rPr>
            </w:pPr>
            <w:r w:rsidRPr="008E63BB">
              <w:rPr>
                <w:szCs w:val="26"/>
                <w:lang w:val="nl-NL"/>
              </w:rPr>
              <w:t xml:space="preserve">75.000 </w:t>
            </w:r>
          </w:p>
        </w:tc>
        <w:tc>
          <w:tcPr>
            <w:tcW w:w="1644" w:type="dxa"/>
            <w:shd w:val="clear" w:color="auto" w:fill="auto"/>
          </w:tcPr>
          <w:p w14:paraId="519B2BC0"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BC8" w14:textId="77777777" w:rsidTr="00DE0230">
        <w:tc>
          <w:tcPr>
            <w:tcW w:w="709" w:type="dxa"/>
            <w:shd w:val="clear" w:color="auto" w:fill="auto"/>
          </w:tcPr>
          <w:p w14:paraId="519B2BC2" w14:textId="77777777" w:rsidR="00682A01" w:rsidRPr="008E63BB" w:rsidRDefault="00682A01" w:rsidP="0065184D">
            <w:pPr>
              <w:jc w:val="center"/>
              <w:rPr>
                <w:szCs w:val="26"/>
                <w:lang w:val="nl-NL"/>
              </w:rPr>
            </w:pPr>
            <w:r w:rsidRPr="008E63BB">
              <w:rPr>
                <w:szCs w:val="26"/>
                <w:lang w:val="nl-NL"/>
              </w:rPr>
              <w:t>2</w:t>
            </w:r>
          </w:p>
        </w:tc>
        <w:tc>
          <w:tcPr>
            <w:tcW w:w="2350" w:type="dxa"/>
            <w:shd w:val="clear" w:color="auto" w:fill="auto"/>
          </w:tcPr>
          <w:p w14:paraId="519B2BC3" w14:textId="77777777" w:rsidR="00682A01" w:rsidRPr="008E63BB" w:rsidRDefault="00682A01" w:rsidP="0065184D">
            <w:pPr>
              <w:rPr>
                <w:szCs w:val="26"/>
                <w:lang w:val="nl-NL"/>
              </w:rPr>
            </w:pPr>
            <w:r w:rsidRPr="008E63BB">
              <w:rPr>
                <w:szCs w:val="26"/>
                <w:lang w:val="nl-NL"/>
              </w:rPr>
              <w:t>NMN Mỹ Lộc</w:t>
            </w:r>
          </w:p>
        </w:tc>
        <w:tc>
          <w:tcPr>
            <w:tcW w:w="1869" w:type="dxa"/>
          </w:tcPr>
          <w:p w14:paraId="519B2BC4" w14:textId="77777777" w:rsidR="00682A01" w:rsidRPr="008E63BB" w:rsidRDefault="00682A01" w:rsidP="0065184D">
            <w:pPr>
              <w:jc w:val="center"/>
              <w:rPr>
                <w:szCs w:val="26"/>
                <w:lang w:val="nl-NL"/>
              </w:rPr>
            </w:pPr>
            <w:r w:rsidRPr="008E63BB">
              <w:rPr>
                <w:szCs w:val="26"/>
                <w:lang w:val="nl-NL"/>
              </w:rPr>
              <w:t>2009</w:t>
            </w:r>
          </w:p>
        </w:tc>
        <w:tc>
          <w:tcPr>
            <w:tcW w:w="1134" w:type="dxa"/>
            <w:shd w:val="clear" w:color="auto" w:fill="auto"/>
          </w:tcPr>
          <w:p w14:paraId="519B2BC5"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C6" w14:textId="77777777" w:rsidR="00682A01" w:rsidRPr="008E63BB" w:rsidRDefault="00682A01" w:rsidP="0065184D">
            <w:pPr>
              <w:jc w:val="center"/>
              <w:rPr>
                <w:szCs w:val="26"/>
                <w:lang w:val="nl-NL"/>
              </w:rPr>
            </w:pPr>
            <w:r w:rsidRPr="008E63BB">
              <w:rPr>
                <w:szCs w:val="26"/>
                <w:lang w:val="nl-NL"/>
              </w:rPr>
              <w:t>8.000</w:t>
            </w:r>
          </w:p>
        </w:tc>
        <w:tc>
          <w:tcPr>
            <w:tcW w:w="1644" w:type="dxa"/>
            <w:shd w:val="clear" w:color="auto" w:fill="auto"/>
          </w:tcPr>
          <w:p w14:paraId="519B2BC7" w14:textId="77777777" w:rsidR="00682A01" w:rsidRPr="008E63BB" w:rsidRDefault="00682A01" w:rsidP="0065184D">
            <w:pPr>
              <w:jc w:val="center"/>
              <w:rPr>
                <w:szCs w:val="26"/>
                <w:lang w:val="nl-NL"/>
              </w:rPr>
            </w:pPr>
            <w:r w:rsidRPr="008E63BB">
              <w:rPr>
                <w:szCs w:val="26"/>
                <w:lang w:val="nl-NL"/>
              </w:rPr>
              <w:t>Sông Hồng</w:t>
            </w:r>
          </w:p>
        </w:tc>
      </w:tr>
      <w:tr w:rsidR="008D5BFE" w:rsidRPr="008E63BB" w14:paraId="519B2BCF" w14:textId="77777777" w:rsidTr="00DE0230">
        <w:tc>
          <w:tcPr>
            <w:tcW w:w="709" w:type="dxa"/>
            <w:shd w:val="clear" w:color="auto" w:fill="auto"/>
          </w:tcPr>
          <w:p w14:paraId="519B2BC9" w14:textId="77777777" w:rsidR="00682A01" w:rsidRPr="008E63BB" w:rsidRDefault="00682A01" w:rsidP="0065184D">
            <w:pPr>
              <w:jc w:val="center"/>
              <w:rPr>
                <w:szCs w:val="26"/>
                <w:lang w:val="nl-NL"/>
              </w:rPr>
            </w:pPr>
            <w:r w:rsidRPr="008E63BB">
              <w:rPr>
                <w:szCs w:val="26"/>
                <w:lang w:val="nl-NL"/>
              </w:rPr>
              <w:t>3</w:t>
            </w:r>
          </w:p>
        </w:tc>
        <w:tc>
          <w:tcPr>
            <w:tcW w:w="2350" w:type="dxa"/>
            <w:shd w:val="clear" w:color="auto" w:fill="auto"/>
          </w:tcPr>
          <w:p w14:paraId="519B2BCA" w14:textId="77777777" w:rsidR="00682A01" w:rsidRPr="008E63BB" w:rsidRDefault="00682A01" w:rsidP="0065184D">
            <w:pPr>
              <w:rPr>
                <w:szCs w:val="26"/>
                <w:lang w:val="nl-NL"/>
              </w:rPr>
            </w:pPr>
            <w:r w:rsidRPr="008E63BB">
              <w:rPr>
                <w:szCs w:val="26"/>
                <w:lang w:val="nl-NL"/>
              </w:rPr>
              <w:t>NMN Nghĩa An</w:t>
            </w:r>
          </w:p>
        </w:tc>
        <w:tc>
          <w:tcPr>
            <w:tcW w:w="1869" w:type="dxa"/>
          </w:tcPr>
          <w:p w14:paraId="519B2BCB" w14:textId="77777777" w:rsidR="00682A01" w:rsidRPr="008E63BB" w:rsidRDefault="00682A01" w:rsidP="0065184D">
            <w:pPr>
              <w:jc w:val="center"/>
              <w:rPr>
                <w:szCs w:val="26"/>
                <w:lang w:val="nl-NL"/>
              </w:rPr>
            </w:pPr>
            <w:r w:rsidRPr="008E63BB">
              <w:rPr>
                <w:szCs w:val="26"/>
                <w:lang w:val="nl-NL"/>
              </w:rPr>
              <w:t>2009</w:t>
            </w:r>
          </w:p>
        </w:tc>
        <w:tc>
          <w:tcPr>
            <w:tcW w:w="1134" w:type="dxa"/>
            <w:shd w:val="clear" w:color="auto" w:fill="auto"/>
          </w:tcPr>
          <w:p w14:paraId="519B2BCC"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CD" w14:textId="77777777" w:rsidR="00682A01" w:rsidRPr="008E63BB" w:rsidRDefault="00682A01" w:rsidP="0065184D">
            <w:pPr>
              <w:jc w:val="center"/>
              <w:rPr>
                <w:szCs w:val="26"/>
                <w:lang w:val="nl-NL"/>
              </w:rPr>
            </w:pPr>
            <w:r w:rsidRPr="008E63BB">
              <w:rPr>
                <w:szCs w:val="26"/>
                <w:lang w:val="nl-NL"/>
              </w:rPr>
              <w:t>7.000</w:t>
            </w:r>
          </w:p>
        </w:tc>
        <w:tc>
          <w:tcPr>
            <w:tcW w:w="1644" w:type="dxa"/>
            <w:shd w:val="clear" w:color="auto" w:fill="auto"/>
          </w:tcPr>
          <w:p w14:paraId="519B2BCE"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BD6" w14:textId="77777777" w:rsidTr="00DE0230">
        <w:tc>
          <w:tcPr>
            <w:tcW w:w="709" w:type="dxa"/>
            <w:shd w:val="clear" w:color="auto" w:fill="auto"/>
          </w:tcPr>
          <w:p w14:paraId="519B2BD0" w14:textId="77777777" w:rsidR="00682A01" w:rsidRPr="008E63BB" w:rsidRDefault="00682A01" w:rsidP="0065184D">
            <w:pPr>
              <w:jc w:val="center"/>
              <w:rPr>
                <w:szCs w:val="26"/>
                <w:lang w:val="nl-NL"/>
              </w:rPr>
            </w:pPr>
            <w:r w:rsidRPr="008E63BB">
              <w:rPr>
                <w:szCs w:val="26"/>
                <w:lang w:val="nl-NL"/>
              </w:rPr>
              <w:t>4</w:t>
            </w:r>
          </w:p>
        </w:tc>
        <w:tc>
          <w:tcPr>
            <w:tcW w:w="2350" w:type="dxa"/>
            <w:shd w:val="clear" w:color="auto" w:fill="auto"/>
          </w:tcPr>
          <w:p w14:paraId="519B2BD1" w14:textId="77777777" w:rsidR="00682A01" w:rsidRPr="008E63BB" w:rsidRDefault="00682A01" w:rsidP="0065184D">
            <w:pPr>
              <w:rPr>
                <w:szCs w:val="26"/>
                <w:lang w:val="nl-NL"/>
              </w:rPr>
            </w:pPr>
            <w:r w:rsidRPr="008E63BB">
              <w:rPr>
                <w:szCs w:val="26"/>
                <w:lang w:val="nl-NL"/>
              </w:rPr>
              <w:t>NMN Liên Bảo</w:t>
            </w:r>
          </w:p>
        </w:tc>
        <w:tc>
          <w:tcPr>
            <w:tcW w:w="1869" w:type="dxa"/>
          </w:tcPr>
          <w:p w14:paraId="519B2BD2" w14:textId="77777777" w:rsidR="00682A01" w:rsidRPr="008E63BB" w:rsidRDefault="00682A01" w:rsidP="0065184D">
            <w:pPr>
              <w:jc w:val="center"/>
              <w:rPr>
                <w:szCs w:val="26"/>
                <w:lang w:val="nl-NL"/>
              </w:rPr>
            </w:pPr>
            <w:r w:rsidRPr="008E63BB">
              <w:rPr>
                <w:szCs w:val="26"/>
                <w:lang w:val="nl-NL"/>
              </w:rPr>
              <w:t>2009</w:t>
            </w:r>
          </w:p>
        </w:tc>
        <w:tc>
          <w:tcPr>
            <w:tcW w:w="1134" w:type="dxa"/>
            <w:shd w:val="clear" w:color="auto" w:fill="auto"/>
          </w:tcPr>
          <w:p w14:paraId="519B2BD3"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D4" w14:textId="77777777" w:rsidR="00682A01" w:rsidRPr="008E63BB" w:rsidRDefault="00682A01" w:rsidP="0065184D">
            <w:pPr>
              <w:jc w:val="center"/>
              <w:rPr>
                <w:szCs w:val="26"/>
                <w:lang w:val="nl-NL"/>
              </w:rPr>
            </w:pPr>
            <w:r w:rsidRPr="008E63BB">
              <w:rPr>
                <w:szCs w:val="26"/>
                <w:lang w:val="nl-NL"/>
              </w:rPr>
              <w:t>5.000</w:t>
            </w:r>
          </w:p>
        </w:tc>
        <w:tc>
          <w:tcPr>
            <w:tcW w:w="1644" w:type="dxa"/>
            <w:shd w:val="clear" w:color="auto" w:fill="auto"/>
          </w:tcPr>
          <w:p w14:paraId="519B2BD5"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BDD" w14:textId="77777777" w:rsidTr="00DE0230">
        <w:tc>
          <w:tcPr>
            <w:tcW w:w="709" w:type="dxa"/>
            <w:shd w:val="clear" w:color="auto" w:fill="auto"/>
          </w:tcPr>
          <w:p w14:paraId="519B2BD7" w14:textId="77777777" w:rsidR="00682A01" w:rsidRPr="008E63BB" w:rsidRDefault="00682A01" w:rsidP="0065184D">
            <w:pPr>
              <w:jc w:val="center"/>
              <w:rPr>
                <w:szCs w:val="26"/>
                <w:lang w:val="nl-NL"/>
              </w:rPr>
            </w:pPr>
            <w:r w:rsidRPr="008E63BB">
              <w:rPr>
                <w:szCs w:val="26"/>
                <w:lang w:val="nl-NL"/>
              </w:rPr>
              <w:t>5</w:t>
            </w:r>
          </w:p>
        </w:tc>
        <w:tc>
          <w:tcPr>
            <w:tcW w:w="2350" w:type="dxa"/>
            <w:shd w:val="clear" w:color="auto" w:fill="auto"/>
          </w:tcPr>
          <w:p w14:paraId="519B2BD8" w14:textId="77777777" w:rsidR="00682A01" w:rsidRPr="008E63BB" w:rsidRDefault="00682A01" w:rsidP="0065184D">
            <w:pPr>
              <w:rPr>
                <w:szCs w:val="26"/>
                <w:lang w:val="nl-NL"/>
              </w:rPr>
            </w:pPr>
            <w:r w:rsidRPr="008E63BB">
              <w:rPr>
                <w:szCs w:val="26"/>
                <w:lang w:val="nl-NL"/>
              </w:rPr>
              <w:t>NMN Điền Xá</w:t>
            </w:r>
          </w:p>
        </w:tc>
        <w:tc>
          <w:tcPr>
            <w:tcW w:w="1869" w:type="dxa"/>
          </w:tcPr>
          <w:p w14:paraId="519B2BD9" w14:textId="77777777" w:rsidR="00682A01" w:rsidRPr="008E63BB" w:rsidRDefault="00682A01" w:rsidP="0065184D">
            <w:pPr>
              <w:jc w:val="center"/>
              <w:rPr>
                <w:szCs w:val="26"/>
                <w:lang w:val="nl-NL"/>
              </w:rPr>
            </w:pPr>
            <w:r w:rsidRPr="008E63BB">
              <w:rPr>
                <w:szCs w:val="26"/>
                <w:lang w:val="nl-NL"/>
              </w:rPr>
              <w:t>2005</w:t>
            </w:r>
          </w:p>
        </w:tc>
        <w:tc>
          <w:tcPr>
            <w:tcW w:w="1134" w:type="dxa"/>
            <w:shd w:val="clear" w:color="auto" w:fill="auto"/>
          </w:tcPr>
          <w:p w14:paraId="519B2BDA"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DB" w14:textId="77777777" w:rsidR="00682A01" w:rsidRPr="008E63BB" w:rsidRDefault="00682A01" w:rsidP="0065184D">
            <w:pPr>
              <w:jc w:val="center"/>
              <w:rPr>
                <w:szCs w:val="26"/>
                <w:lang w:val="nl-NL"/>
              </w:rPr>
            </w:pPr>
            <w:r w:rsidRPr="008E63BB">
              <w:rPr>
                <w:szCs w:val="26"/>
                <w:lang w:val="nl-NL"/>
              </w:rPr>
              <w:t>2.000</w:t>
            </w:r>
          </w:p>
        </w:tc>
        <w:tc>
          <w:tcPr>
            <w:tcW w:w="1644" w:type="dxa"/>
            <w:shd w:val="clear" w:color="auto" w:fill="auto"/>
          </w:tcPr>
          <w:p w14:paraId="519B2BDC" w14:textId="77777777" w:rsidR="00682A01" w:rsidRPr="008E63BB" w:rsidRDefault="00682A01" w:rsidP="0065184D">
            <w:pPr>
              <w:jc w:val="center"/>
              <w:rPr>
                <w:szCs w:val="26"/>
                <w:lang w:val="nl-NL"/>
              </w:rPr>
            </w:pPr>
            <w:r w:rsidRPr="008E63BB">
              <w:rPr>
                <w:szCs w:val="26"/>
                <w:lang w:val="nl-NL"/>
              </w:rPr>
              <w:t>Sông Hồng</w:t>
            </w:r>
          </w:p>
        </w:tc>
      </w:tr>
      <w:tr w:rsidR="008D5BFE" w:rsidRPr="008E63BB" w14:paraId="519B2BE4" w14:textId="77777777" w:rsidTr="00DE0230">
        <w:tc>
          <w:tcPr>
            <w:tcW w:w="709" w:type="dxa"/>
            <w:shd w:val="clear" w:color="auto" w:fill="auto"/>
          </w:tcPr>
          <w:p w14:paraId="519B2BDE" w14:textId="77777777" w:rsidR="00682A01" w:rsidRPr="008E63BB" w:rsidRDefault="00682A01" w:rsidP="0065184D">
            <w:pPr>
              <w:jc w:val="center"/>
              <w:rPr>
                <w:szCs w:val="26"/>
                <w:lang w:val="nl-NL"/>
              </w:rPr>
            </w:pPr>
            <w:r w:rsidRPr="008E63BB">
              <w:rPr>
                <w:szCs w:val="26"/>
                <w:lang w:val="nl-NL"/>
              </w:rPr>
              <w:t>6</w:t>
            </w:r>
          </w:p>
        </w:tc>
        <w:tc>
          <w:tcPr>
            <w:tcW w:w="2350" w:type="dxa"/>
            <w:shd w:val="clear" w:color="auto" w:fill="auto"/>
          </w:tcPr>
          <w:p w14:paraId="519B2BDF" w14:textId="77777777" w:rsidR="00682A01" w:rsidRPr="008E63BB" w:rsidRDefault="00682A01" w:rsidP="0065184D">
            <w:pPr>
              <w:rPr>
                <w:szCs w:val="26"/>
                <w:lang w:val="nl-NL"/>
              </w:rPr>
            </w:pPr>
            <w:r w:rsidRPr="008E63BB">
              <w:rPr>
                <w:szCs w:val="26"/>
                <w:lang w:val="nl-NL"/>
              </w:rPr>
              <w:t>NMN Nam Phong</w:t>
            </w:r>
          </w:p>
        </w:tc>
        <w:tc>
          <w:tcPr>
            <w:tcW w:w="1869" w:type="dxa"/>
          </w:tcPr>
          <w:p w14:paraId="519B2BE0" w14:textId="77777777" w:rsidR="00682A01" w:rsidRPr="008E63BB" w:rsidRDefault="00682A01" w:rsidP="0065184D">
            <w:pPr>
              <w:jc w:val="center"/>
              <w:rPr>
                <w:szCs w:val="26"/>
                <w:lang w:val="nl-NL"/>
              </w:rPr>
            </w:pPr>
            <w:r w:rsidRPr="008E63BB">
              <w:rPr>
                <w:szCs w:val="26"/>
                <w:lang w:val="nl-NL"/>
              </w:rPr>
              <w:t>2002</w:t>
            </w:r>
          </w:p>
        </w:tc>
        <w:tc>
          <w:tcPr>
            <w:tcW w:w="1134" w:type="dxa"/>
            <w:shd w:val="clear" w:color="auto" w:fill="auto"/>
          </w:tcPr>
          <w:p w14:paraId="519B2BE1"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E2" w14:textId="77777777" w:rsidR="00682A01" w:rsidRPr="008E63BB" w:rsidRDefault="00682A01" w:rsidP="0065184D">
            <w:pPr>
              <w:jc w:val="center"/>
              <w:rPr>
                <w:szCs w:val="26"/>
                <w:lang w:val="nl-NL"/>
              </w:rPr>
            </w:pPr>
            <w:r w:rsidRPr="008E63BB">
              <w:rPr>
                <w:szCs w:val="26"/>
                <w:lang w:val="nl-NL"/>
              </w:rPr>
              <w:t>1.500</w:t>
            </w:r>
          </w:p>
        </w:tc>
        <w:tc>
          <w:tcPr>
            <w:tcW w:w="1644" w:type="dxa"/>
            <w:shd w:val="clear" w:color="auto" w:fill="auto"/>
          </w:tcPr>
          <w:p w14:paraId="519B2BE3"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BEB" w14:textId="77777777" w:rsidTr="00DE0230">
        <w:tc>
          <w:tcPr>
            <w:tcW w:w="709" w:type="dxa"/>
            <w:shd w:val="clear" w:color="auto" w:fill="auto"/>
          </w:tcPr>
          <w:p w14:paraId="519B2BE5" w14:textId="77777777" w:rsidR="00682A01" w:rsidRPr="008E63BB" w:rsidRDefault="00682A01" w:rsidP="0065184D">
            <w:pPr>
              <w:jc w:val="center"/>
              <w:rPr>
                <w:szCs w:val="26"/>
                <w:lang w:val="nl-NL"/>
              </w:rPr>
            </w:pPr>
            <w:r w:rsidRPr="008E63BB">
              <w:rPr>
                <w:szCs w:val="26"/>
                <w:lang w:val="nl-NL"/>
              </w:rPr>
              <w:t>7</w:t>
            </w:r>
          </w:p>
        </w:tc>
        <w:tc>
          <w:tcPr>
            <w:tcW w:w="2350" w:type="dxa"/>
            <w:shd w:val="clear" w:color="auto" w:fill="auto"/>
          </w:tcPr>
          <w:p w14:paraId="519B2BE6" w14:textId="77777777" w:rsidR="00682A01" w:rsidRPr="008E63BB" w:rsidRDefault="00682A01" w:rsidP="0065184D">
            <w:pPr>
              <w:rPr>
                <w:szCs w:val="26"/>
                <w:lang w:val="nl-NL"/>
              </w:rPr>
            </w:pPr>
            <w:r w:rsidRPr="008E63BB">
              <w:rPr>
                <w:szCs w:val="26"/>
                <w:lang w:val="nl-NL"/>
              </w:rPr>
              <w:t>TCN Nam Vân</w:t>
            </w:r>
          </w:p>
        </w:tc>
        <w:tc>
          <w:tcPr>
            <w:tcW w:w="1869" w:type="dxa"/>
          </w:tcPr>
          <w:p w14:paraId="519B2BE7" w14:textId="77777777" w:rsidR="00682A01" w:rsidRPr="008E63BB" w:rsidRDefault="00682A01" w:rsidP="0065184D">
            <w:pPr>
              <w:jc w:val="center"/>
              <w:rPr>
                <w:szCs w:val="26"/>
                <w:lang w:val="nl-NL"/>
              </w:rPr>
            </w:pPr>
            <w:r w:rsidRPr="008E63BB">
              <w:rPr>
                <w:szCs w:val="26"/>
                <w:lang w:val="nl-NL"/>
              </w:rPr>
              <w:t>2000</w:t>
            </w:r>
          </w:p>
        </w:tc>
        <w:tc>
          <w:tcPr>
            <w:tcW w:w="1134" w:type="dxa"/>
            <w:shd w:val="clear" w:color="auto" w:fill="auto"/>
          </w:tcPr>
          <w:p w14:paraId="519B2BE8"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E9" w14:textId="77777777" w:rsidR="00682A01" w:rsidRPr="008E63BB" w:rsidRDefault="00682A01" w:rsidP="0065184D">
            <w:pPr>
              <w:jc w:val="center"/>
              <w:rPr>
                <w:szCs w:val="26"/>
                <w:lang w:val="nl-NL"/>
              </w:rPr>
            </w:pPr>
            <w:r w:rsidRPr="008E63BB">
              <w:rPr>
                <w:szCs w:val="26"/>
                <w:lang w:val="nl-NL"/>
              </w:rPr>
              <w:t>1.000</w:t>
            </w:r>
          </w:p>
        </w:tc>
        <w:tc>
          <w:tcPr>
            <w:tcW w:w="1644" w:type="dxa"/>
            <w:shd w:val="clear" w:color="auto" w:fill="auto"/>
          </w:tcPr>
          <w:p w14:paraId="519B2BEA"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BF2" w14:textId="77777777" w:rsidTr="00DE0230">
        <w:tc>
          <w:tcPr>
            <w:tcW w:w="709" w:type="dxa"/>
            <w:shd w:val="clear" w:color="auto" w:fill="auto"/>
          </w:tcPr>
          <w:p w14:paraId="519B2BEC" w14:textId="77777777" w:rsidR="00682A01" w:rsidRPr="008E63BB" w:rsidRDefault="00682A01" w:rsidP="0065184D">
            <w:pPr>
              <w:jc w:val="center"/>
              <w:rPr>
                <w:szCs w:val="26"/>
                <w:lang w:val="nl-NL"/>
              </w:rPr>
            </w:pPr>
            <w:r w:rsidRPr="008E63BB">
              <w:rPr>
                <w:szCs w:val="26"/>
                <w:lang w:val="nl-NL"/>
              </w:rPr>
              <w:t>8</w:t>
            </w:r>
          </w:p>
        </w:tc>
        <w:tc>
          <w:tcPr>
            <w:tcW w:w="2350" w:type="dxa"/>
            <w:shd w:val="clear" w:color="auto" w:fill="auto"/>
          </w:tcPr>
          <w:p w14:paraId="519B2BED" w14:textId="77777777" w:rsidR="00682A01" w:rsidRPr="008E63BB" w:rsidRDefault="00682A01" w:rsidP="0065184D">
            <w:pPr>
              <w:rPr>
                <w:szCs w:val="26"/>
                <w:lang w:val="nl-NL"/>
              </w:rPr>
            </w:pPr>
            <w:r w:rsidRPr="008E63BB">
              <w:rPr>
                <w:szCs w:val="26"/>
                <w:lang w:val="nl-NL"/>
              </w:rPr>
              <w:t>TCN Lê Lợi</w:t>
            </w:r>
          </w:p>
        </w:tc>
        <w:tc>
          <w:tcPr>
            <w:tcW w:w="1869" w:type="dxa"/>
          </w:tcPr>
          <w:p w14:paraId="519B2BEE" w14:textId="77777777" w:rsidR="00682A01" w:rsidRPr="008E63BB" w:rsidRDefault="00682A01" w:rsidP="0065184D">
            <w:pPr>
              <w:jc w:val="center"/>
              <w:rPr>
                <w:szCs w:val="26"/>
                <w:lang w:val="nl-NL"/>
              </w:rPr>
            </w:pPr>
            <w:r w:rsidRPr="008E63BB">
              <w:rPr>
                <w:szCs w:val="26"/>
                <w:lang w:val="nl-NL"/>
              </w:rPr>
              <w:t>1999</w:t>
            </w:r>
          </w:p>
        </w:tc>
        <w:tc>
          <w:tcPr>
            <w:tcW w:w="1134" w:type="dxa"/>
            <w:shd w:val="clear" w:color="auto" w:fill="auto"/>
          </w:tcPr>
          <w:p w14:paraId="519B2BEF"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F0" w14:textId="77777777" w:rsidR="00682A01" w:rsidRPr="008E63BB" w:rsidRDefault="00682A01" w:rsidP="0065184D">
            <w:pPr>
              <w:jc w:val="center"/>
              <w:rPr>
                <w:szCs w:val="26"/>
                <w:lang w:val="nl-NL"/>
              </w:rPr>
            </w:pPr>
            <w:r w:rsidRPr="008E63BB">
              <w:rPr>
                <w:szCs w:val="26"/>
                <w:lang w:val="nl-NL"/>
              </w:rPr>
              <w:t>1.200</w:t>
            </w:r>
          </w:p>
        </w:tc>
        <w:tc>
          <w:tcPr>
            <w:tcW w:w="1644" w:type="dxa"/>
            <w:shd w:val="clear" w:color="auto" w:fill="auto"/>
          </w:tcPr>
          <w:p w14:paraId="519B2BF1"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BF9" w14:textId="77777777" w:rsidTr="00DE0230">
        <w:tc>
          <w:tcPr>
            <w:tcW w:w="709" w:type="dxa"/>
            <w:shd w:val="clear" w:color="auto" w:fill="auto"/>
          </w:tcPr>
          <w:p w14:paraId="519B2BF3" w14:textId="77777777" w:rsidR="00682A01" w:rsidRPr="008E63BB" w:rsidRDefault="00682A01" w:rsidP="0065184D">
            <w:pPr>
              <w:jc w:val="center"/>
              <w:rPr>
                <w:szCs w:val="26"/>
                <w:lang w:val="nl-NL"/>
              </w:rPr>
            </w:pPr>
            <w:r w:rsidRPr="008E63BB">
              <w:rPr>
                <w:szCs w:val="26"/>
                <w:lang w:val="nl-NL"/>
              </w:rPr>
              <w:t>9</w:t>
            </w:r>
          </w:p>
        </w:tc>
        <w:tc>
          <w:tcPr>
            <w:tcW w:w="2350" w:type="dxa"/>
            <w:shd w:val="clear" w:color="auto" w:fill="auto"/>
          </w:tcPr>
          <w:p w14:paraId="519B2BF4" w14:textId="77777777" w:rsidR="00682A01" w:rsidRPr="008E63BB" w:rsidRDefault="00682A01" w:rsidP="0065184D">
            <w:pPr>
              <w:rPr>
                <w:szCs w:val="26"/>
                <w:lang w:val="nl-NL"/>
              </w:rPr>
            </w:pPr>
            <w:r w:rsidRPr="008E63BB">
              <w:rPr>
                <w:szCs w:val="26"/>
                <w:lang w:val="nl-NL"/>
              </w:rPr>
              <w:t>TCN Cốc Thành</w:t>
            </w:r>
          </w:p>
        </w:tc>
        <w:tc>
          <w:tcPr>
            <w:tcW w:w="1869" w:type="dxa"/>
          </w:tcPr>
          <w:p w14:paraId="519B2BF5" w14:textId="77777777" w:rsidR="00682A01" w:rsidRPr="008E63BB" w:rsidRDefault="00682A01" w:rsidP="0065184D">
            <w:pPr>
              <w:jc w:val="center"/>
              <w:rPr>
                <w:szCs w:val="26"/>
                <w:lang w:val="nl-NL"/>
              </w:rPr>
            </w:pPr>
            <w:r w:rsidRPr="008E63BB">
              <w:rPr>
                <w:szCs w:val="26"/>
                <w:lang w:val="nl-NL"/>
              </w:rPr>
              <w:t>2004</w:t>
            </w:r>
          </w:p>
        </w:tc>
        <w:tc>
          <w:tcPr>
            <w:tcW w:w="1134" w:type="dxa"/>
            <w:shd w:val="clear" w:color="auto" w:fill="auto"/>
          </w:tcPr>
          <w:p w14:paraId="519B2BF6"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F7" w14:textId="77777777" w:rsidR="00682A01" w:rsidRPr="008E63BB" w:rsidRDefault="00682A01" w:rsidP="0065184D">
            <w:pPr>
              <w:jc w:val="center"/>
              <w:rPr>
                <w:szCs w:val="26"/>
                <w:lang w:val="nl-NL"/>
              </w:rPr>
            </w:pPr>
            <w:r w:rsidRPr="008E63BB">
              <w:rPr>
                <w:szCs w:val="26"/>
                <w:lang w:val="nl-NL"/>
              </w:rPr>
              <w:t>738</w:t>
            </w:r>
          </w:p>
        </w:tc>
        <w:tc>
          <w:tcPr>
            <w:tcW w:w="1644" w:type="dxa"/>
            <w:shd w:val="clear" w:color="auto" w:fill="auto"/>
          </w:tcPr>
          <w:p w14:paraId="519B2BF8"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C00" w14:textId="77777777" w:rsidTr="00DE0230">
        <w:tc>
          <w:tcPr>
            <w:tcW w:w="709" w:type="dxa"/>
            <w:shd w:val="clear" w:color="auto" w:fill="auto"/>
          </w:tcPr>
          <w:p w14:paraId="519B2BFA" w14:textId="77777777" w:rsidR="00682A01" w:rsidRPr="008E63BB" w:rsidRDefault="00682A01" w:rsidP="0065184D">
            <w:pPr>
              <w:jc w:val="center"/>
              <w:rPr>
                <w:szCs w:val="26"/>
                <w:lang w:val="nl-NL"/>
              </w:rPr>
            </w:pPr>
            <w:r w:rsidRPr="008E63BB">
              <w:rPr>
                <w:szCs w:val="26"/>
                <w:lang w:val="nl-NL"/>
              </w:rPr>
              <w:t>10</w:t>
            </w:r>
          </w:p>
        </w:tc>
        <w:tc>
          <w:tcPr>
            <w:tcW w:w="2350" w:type="dxa"/>
            <w:shd w:val="clear" w:color="auto" w:fill="auto"/>
          </w:tcPr>
          <w:p w14:paraId="519B2BFB" w14:textId="77777777" w:rsidR="00682A01" w:rsidRPr="008E63BB" w:rsidRDefault="00682A01" w:rsidP="0065184D">
            <w:pPr>
              <w:rPr>
                <w:szCs w:val="26"/>
                <w:lang w:val="nl-NL"/>
              </w:rPr>
            </w:pPr>
            <w:r w:rsidRPr="008E63BB">
              <w:rPr>
                <w:szCs w:val="26"/>
                <w:lang w:val="nl-NL"/>
              </w:rPr>
              <w:t>TCN Mỹ Trung</w:t>
            </w:r>
          </w:p>
        </w:tc>
        <w:tc>
          <w:tcPr>
            <w:tcW w:w="1869" w:type="dxa"/>
          </w:tcPr>
          <w:p w14:paraId="519B2BFC" w14:textId="77777777" w:rsidR="00682A01" w:rsidRPr="008E63BB" w:rsidRDefault="00682A01" w:rsidP="0065184D">
            <w:pPr>
              <w:jc w:val="center"/>
              <w:rPr>
                <w:szCs w:val="26"/>
                <w:lang w:val="nl-NL"/>
              </w:rPr>
            </w:pPr>
            <w:r w:rsidRPr="008E63BB">
              <w:rPr>
                <w:szCs w:val="26"/>
                <w:lang w:val="nl-NL"/>
              </w:rPr>
              <w:t>2010</w:t>
            </w:r>
          </w:p>
        </w:tc>
        <w:tc>
          <w:tcPr>
            <w:tcW w:w="1134" w:type="dxa"/>
            <w:shd w:val="clear" w:color="auto" w:fill="auto"/>
          </w:tcPr>
          <w:p w14:paraId="519B2BFD" w14:textId="77777777" w:rsidR="00682A01" w:rsidRPr="008E63BB" w:rsidRDefault="00682A01" w:rsidP="0065184D">
            <w:pPr>
              <w:jc w:val="center"/>
              <w:rPr>
                <w:szCs w:val="26"/>
                <w:lang w:val="nl-NL"/>
              </w:rPr>
            </w:pPr>
            <w:r w:rsidRPr="008E63BB">
              <w:rPr>
                <w:szCs w:val="26"/>
                <w:lang w:val="nl-NL"/>
              </w:rPr>
              <w:t>m3/ngđ</w:t>
            </w:r>
          </w:p>
        </w:tc>
        <w:tc>
          <w:tcPr>
            <w:tcW w:w="1418" w:type="dxa"/>
            <w:shd w:val="clear" w:color="auto" w:fill="auto"/>
          </w:tcPr>
          <w:p w14:paraId="519B2BFE" w14:textId="77777777" w:rsidR="00682A01" w:rsidRPr="008E63BB" w:rsidRDefault="00682A01" w:rsidP="0065184D">
            <w:pPr>
              <w:jc w:val="center"/>
              <w:rPr>
                <w:szCs w:val="26"/>
                <w:lang w:val="nl-NL"/>
              </w:rPr>
            </w:pPr>
            <w:r w:rsidRPr="008E63BB">
              <w:rPr>
                <w:szCs w:val="26"/>
                <w:lang w:val="nl-NL"/>
              </w:rPr>
              <w:t>527</w:t>
            </w:r>
          </w:p>
        </w:tc>
        <w:tc>
          <w:tcPr>
            <w:tcW w:w="1644" w:type="dxa"/>
            <w:shd w:val="clear" w:color="auto" w:fill="auto"/>
          </w:tcPr>
          <w:p w14:paraId="519B2BFF" w14:textId="77777777" w:rsidR="00682A01" w:rsidRPr="008E63BB" w:rsidRDefault="00682A01" w:rsidP="0065184D">
            <w:pPr>
              <w:jc w:val="center"/>
              <w:rPr>
                <w:szCs w:val="26"/>
                <w:lang w:val="nl-NL"/>
              </w:rPr>
            </w:pPr>
            <w:r w:rsidRPr="008E63BB">
              <w:rPr>
                <w:szCs w:val="26"/>
                <w:lang w:val="nl-NL"/>
              </w:rPr>
              <w:t>Sông Đào</w:t>
            </w:r>
          </w:p>
        </w:tc>
      </w:tr>
      <w:tr w:rsidR="008D5BFE" w:rsidRPr="008E63BB" w14:paraId="519B2C07" w14:textId="77777777" w:rsidTr="00DE0230">
        <w:tc>
          <w:tcPr>
            <w:tcW w:w="709" w:type="dxa"/>
            <w:shd w:val="clear" w:color="auto" w:fill="auto"/>
          </w:tcPr>
          <w:p w14:paraId="519B2C01" w14:textId="77777777" w:rsidR="00682A01" w:rsidRPr="008E63BB" w:rsidRDefault="00682A01" w:rsidP="0065184D">
            <w:pPr>
              <w:jc w:val="center"/>
              <w:rPr>
                <w:b/>
                <w:szCs w:val="26"/>
                <w:lang w:val="nl-NL"/>
              </w:rPr>
            </w:pPr>
          </w:p>
        </w:tc>
        <w:tc>
          <w:tcPr>
            <w:tcW w:w="2350" w:type="dxa"/>
            <w:shd w:val="clear" w:color="auto" w:fill="auto"/>
          </w:tcPr>
          <w:p w14:paraId="519B2C02" w14:textId="77777777" w:rsidR="00682A01" w:rsidRPr="008E63BB" w:rsidRDefault="00682A01" w:rsidP="0065184D">
            <w:pPr>
              <w:jc w:val="center"/>
              <w:rPr>
                <w:b/>
                <w:szCs w:val="26"/>
                <w:lang w:val="nl-NL"/>
              </w:rPr>
            </w:pPr>
            <w:r w:rsidRPr="008E63BB">
              <w:rPr>
                <w:b/>
                <w:szCs w:val="26"/>
                <w:lang w:val="nl-NL"/>
              </w:rPr>
              <w:t>Tổng cộng</w:t>
            </w:r>
          </w:p>
        </w:tc>
        <w:tc>
          <w:tcPr>
            <w:tcW w:w="1869" w:type="dxa"/>
          </w:tcPr>
          <w:p w14:paraId="519B2C03" w14:textId="77777777" w:rsidR="00682A01" w:rsidRPr="008E63BB" w:rsidRDefault="00682A01" w:rsidP="0065184D">
            <w:pPr>
              <w:jc w:val="center"/>
              <w:rPr>
                <w:b/>
                <w:szCs w:val="26"/>
                <w:lang w:val="nl-NL"/>
              </w:rPr>
            </w:pPr>
          </w:p>
        </w:tc>
        <w:tc>
          <w:tcPr>
            <w:tcW w:w="1134" w:type="dxa"/>
            <w:shd w:val="clear" w:color="auto" w:fill="auto"/>
          </w:tcPr>
          <w:p w14:paraId="519B2C04" w14:textId="77777777" w:rsidR="00682A01" w:rsidRPr="008E63BB" w:rsidRDefault="00682A01" w:rsidP="0065184D">
            <w:pPr>
              <w:jc w:val="center"/>
              <w:rPr>
                <w:b/>
                <w:szCs w:val="26"/>
                <w:lang w:val="nl-NL"/>
              </w:rPr>
            </w:pPr>
          </w:p>
        </w:tc>
        <w:tc>
          <w:tcPr>
            <w:tcW w:w="1418" w:type="dxa"/>
            <w:shd w:val="clear" w:color="auto" w:fill="auto"/>
          </w:tcPr>
          <w:p w14:paraId="519B2C05" w14:textId="77777777" w:rsidR="00682A01" w:rsidRPr="008E63BB" w:rsidRDefault="00682A01" w:rsidP="0065184D">
            <w:pPr>
              <w:jc w:val="center"/>
              <w:rPr>
                <w:b/>
                <w:szCs w:val="26"/>
                <w:lang w:val="nl-NL"/>
              </w:rPr>
            </w:pPr>
            <w:r w:rsidRPr="008E63BB">
              <w:rPr>
                <w:b/>
                <w:szCs w:val="26"/>
                <w:lang w:val="nl-NL"/>
              </w:rPr>
              <w:t>101.965</w:t>
            </w:r>
          </w:p>
        </w:tc>
        <w:tc>
          <w:tcPr>
            <w:tcW w:w="1644" w:type="dxa"/>
            <w:shd w:val="clear" w:color="auto" w:fill="auto"/>
          </w:tcPr>
          <w:p w14:paraId="519B2C06" w14:textId="77777777" w:rsidR="00682A01" w:rsidRPr="008E63BB" w:rsidRDefault="00682A01" w:rsidP="0065184D">
            <w:pPr>
              <w:jc w:val="center"/>
              <w:rPr>
                <w:b/>
                <w:szCs w:val="26"/>
                <w:lang w:val="nl-NL"/>
              </w:rPr>
            </w:pPr>
          </w:p>
        </w:tc>
      </w:tr>
    </w:tbl>
    <w:p w14:paraId="519B2C08" w14:textId="77777777" w:rsidR="00682A01" w:rsidRPr="008E63BB" w:rsidRDefault="00682A01" w:rsidP="0065184D">
      <w:pPr>
        <w:rPr>
          <w:i/>
          <w:szCs w:val="26"/>
        </w:rPr>
      </w:pPr>
      <w:r w:rsidRPr="008E63BB">
        <w:rPr>
          <w:i/>
          <w:szCs w:val="26"/>
        </w:rPr>
        <w:t>b.4. Nhận xét hiện trạng:</w:t>
      </w:r>
    </w:p>
    <w:p w14:paraId="519B2C09" w14:textId="77777777" w:rsidR="00682A01" w:rsidRPr="008E63BB" w:rsidRDefault="00682A01" w:rsidP="0065184D">
      <w:pPr>
        <w:rPr>
          <w:rFonts w:eastAsia="Times New Roman"/>
          <w:szCs w:val="26"/>
          <w:lang w:val="vi-VN"/>
        </w:rPr>
      </w:pPr>
      <w:r w:rsidRPr="008E63BB">
        <w:rPr>
          <w:rFonts w:eastAsia="Times New Roman"/>
          <w:szCs w:val="26"/>
        </w:rPr>
        <w:tab/>
        <w:t>- Nguồn nước: Tất cả các nhà máy nước hiện tại trong phạm vi nghiên cứu của</w:t>
      </w:r>
      <w:r w:rsidRPr="008E63BB">
        <w:rPr>
          <w:rFonts w:eastAsia="Times New Roman"/>
          <w:szCs w:val="26"/>
          <w:lang w:val="vi-VN"/>
        </w:rPr>
        <w:t xml:space="preserve"> đồ án đều dùng nước mặt lấy từ sông Đào và sông Hồng v</w:t>
      </w:r>
      <w:r w:rsidRPr="008E63BB">
        <w:rPr>
          <w:rFonts w:eastAsia="Times New Roman"/>
          <w:szCs w:val="26"/>
        </w:rPr>
        <w:t>ì</w:t>
      </w:r>
      <w:r w:rsidRPr="008E63BB">
        <w:rPr>
          <w:rFonts w:eastAsia="Times New Roman"/>
          <w:szCs w:val="26"/>
          <w:lang w:val="vi-VN"/>
        </w:rPr>
        <w:t xml:space="preserve"> chất lượng nước mặt khá tốt. Tuy nhiên phải có biện pháp bảo vệ nguồn nước khai thác để duy trì công suất khai khác.</w:t>
      </w:r>
    </w:p>
    <w:p w14:paraId="519B2C0A" w14:textId="77777777" w:rsidR="00682A01" w:rsidRPr="008E63BB" w:rsidRDefault="00682A01" w:rsidP="0065184D">
      <w:pPr>
        <w:ind w:firstLine="720"/>
        <w:rPr>
          <w:rFonts w:eastAsia="Times New Roman"/>
          <w:szCs w:val="26"/>
          <w:lang w:val="vi-VN"/>
        </w:rPr>
      </w:pPr>
      <w:r w:rsidRPr="008E63BB">
        <w:rPr>
          <w:rFonts w:eastAsia="Times New Roman"/>
          <w:szCs w:val="26"/>
          <w:lang w:val="vi-VN"/>
        </w:rPr>
        <w:t>- Cấp nước đô thị: Các công trình trong nhà máy được duy trì và bảo dưỡng thường xuyên vì thế vẫn hoạt động tốt. Tuy nhiên nhà máy vẫn chưa có hệ thống xử lý bùn cặn. Cần có giải pháp xử lý bùn cặn của nhà máy là việc làm cấp bách vì hàng ngày nhà máy có lượng bùn cặn xả ra sông Đào chưa qua xử lý là rất lớn</w:t>
      </w:r>
      <w:r w:rsidR="006C5B08" w:rsidRPr="008E63BB">
        <w:rPr>
          <w:rFonts w:eastAsia="Times New Roman"/>
          <w:szCs w:val="26"/>
          <w:lang w:val="vi-VN"/>
        </w:rPr>
        <w:t xml:space="preserve"> gây ảnh hưởng môi trường</w:t>
      </w:r>
      <w:r w:rsidRPr="008E63BB">
        <w:rPr>
          <w:rFonts w:eastAsia="Times New Roman"/>
          <w:szCs w:val="26"/>
          <w:lang w:val="vi-VN"/>
        </w:rPr>
        <w:t>.</w:t>
      </w:r>
    </w:p>
    <w:p w14:paraId="519B2C0B" w14:textId="77777777" w:rsidR="00682A01" w:rsidRPr="008E63BB" w:rsidRDefault="00682A01" w:rsidP="0065184D">
      <w:pPr>
        <w:ind w:firstLine="720"/>
        <w:rPr>
          <w:w w:val="105"/>
          <w:szCs w:val="26"/>
          <w:lang w:val="vi-VN"/>
        </w:rPr>
      </w:pPr>
      <w:r w:rsidRPr="008E63BB">
        <w:rPr>
          <w:rFonts w:eastAsia="Times New Roman"/>
          <w:szCs w:val="26"/>
          <w:lang w:val="vi-VN"/>
        </w:rPr>
        <w:t xml:space="preserve">- Hệ thống mạng lưới cấp nước còn tương đối tốt. </w:t>
      </w:r>
      <w:r w:rsidRPr="008E63BB">
        <w:rPr>
          <w:w w:val="105"/>
          <w:szCs w:val="26"/>
          <w:lang w:val="vi-VN"/>
        </w:rPr>
        <w:t>Tuy nhiên có một số mạng lưới hiện trạng có tuyến ống D600 trên đường Lê Hồng Phong được xây dựng từ năm 1983 và đường ống D400 trên đường Hàng Tiện được xây dựng từ năm 1970 đã xuống cấp nghiêm trọng cần phải thay thế.</w:t>
      </w:r>
    </w:p>
    <w:p w14:paraId="519B2C0C" w14:textId="77777777" w:rsidR="00682A01" w:rsidRPr="008E63BB" w:rsidRDefault="00682A01" w:rsidP="0065184D">
      <w:pPr>
        <w:ind w:firstLine="720"/>
        <w:rPr>
          <w:rFonts w:eastAsia="Times New Roman"/>
          <w:szCs w:val="26"/>
          <w:lang w:val="fr-FR"/>
        </w:rPr>
      </w:pPr>
      <w:r w:rsidRPr="008E63BB">
        <w:rPr>
          <w:rFonts w:eastAsia="Times New Roman"/>
          <w:szCs w:val="26"/>
          <w:lang w:val="vi-VN"/>
        </w:rPr>
        <w:t xml:space="preserve">- Cấp nước nông thôn: Các nhà máy nước nông thôn trong phạm vi nghiên cứu hiện vẫn hoạt động bình thường theo </w:t>
      </w:r>
      <w:r w:rsidRPr="008E63BB">
        <w:rPr>
          <w:rFonts w:eastAsia="Times New Roman"/>
          <w:szCs w:val="26"/>
          <w:lang w:val="fr-FR"/>
        </w:rPr>
        <w:t>báo cáo điều chỉnh Quy hoạch cấp nước sạch nông thôn tỉnh Nam Định đến năm 2020, định hướng đến năm 2030 trong điều kiện BĐKH phê duyệt theo Quyết đ</w:t>
      </w:r>
      <w:r w:rsidRPr="008E63BB">
        <w:rPr>
          <w:rFonts w:eastAsia="Times New Roman"/>
          <w:szCs w:val="26"/>
          <w:lang w:val="vi-VN"/>
        </w:rPr>
        <w:t>ị</w:t>
      </w:r>
      <w:r w:rsidRPr="008E63BB">
        <w:rPr>
          <w:rFonts w:eastAsia="Times New Roman"/>
          <w:szCs w:val="26"/>
          <w:lang w:val="fr-FR"/>
        </w:rPr>
        <w:t>nh số 402/QĐ-UBND của UBND tỉnh Nam Định ngày 03 thàng 03 năm 2016</w:t>
      </w:r>
      <w:r w:rsidR="006C5B08" w:rsidRPr="008E63BB">
        <w:rPr>
          <w:rFonts w:eastAsia="Times New Roman"/>
          <w:szCs w:val="26"/>
          <w:lang w:val="fr-FR"/>
        </w:rPr>
        <w:t xml:space="preserve">. Trong tương lai khi đô thị phát triển mở rộng đạt tới định hướng cần tính phương án gôm các nhà máy nước nhỏ lẻ ra khỏi VĐ1 để đảm bảo an toàn môi trường nước. </w:t>
      </w:r>
    </w:p>
    <w:p w14:paraId="519B2C0D" w14:textId="77777777" w:rsidR="00682A01" w:rsidRPr="008E63BB" w:rsidRDefault="00E9609D" w:rsidP="0065184D">
      <w:pPr>
        <w:rPr>
          <w:rFonts w:eastAsia="Times New Roman"/>
          <w:b/>
          <w:i/>
          <w:noProof/>
          <w:szCs w:val="26"/>
          <w:lang w:val="fr-FR"/>
        </w:rPr>
      </w:pPr>
      <w:hyperlink w:anchor="_toc366335597" w:history="1">
        <w:r w:rsidR="00682A01" w:rsidRPr="008E63BB">
          <w:rPr>
            <w:rFonts w:eastAsia="Times New Roman"/>
            <w:b/>
            <w:i/>
            <w:noProof/>
            <w:szCs w:val="26"/>
            <w:lang w:val="it-IT"/>
          </w:rPr>
          <w:t>2.7.3.2. Đánh giá thực hiện theo quy hoạch chung được duyệt năm 2011.</w:t>
        </w:r>
      </w:hyperlink>
    </w:p>
    <w:p w14:paraId="519B2C0E" w14:textId="77777777" w:rsidR="00682A01" w:rsidRPr="008E63BB" w:rsidRDefault="00E9609D" w:rsidP="0065184D">
      <w:pPr>
        <w:rPr>
          <w:i/>
          <w:szCs w:val="26"/>
          <w:lang w:val="fr-FR"/>
        </w:rPr>
      </w:pPr>
      <w:hyperlink w:anchor="_Toc366335603" w:history="1">
        <w:r w:rsidR="00682A01" w:rsidRPr="008E63BB">
          <w:rPr>
            <w:rStyle w:val="Hyperlink"/>
            <w:i/>
            <w:color w:val="auto"/>
            <w:szCs w:val="26"/>
            <w:lang w:val="fr-FR"/>
          </w:rPr>
          <w:t xml:space="preserve">a. </w:t>
        </w:r>
      </w:hyperlink>
      <w:r w:rsidR="00682A01" w:rsidRPr="008E63BB">
        <w:rPr>
          <w:i/>
          <w:szCs w:val="26"/>
          <w:lang w:val="fr-FR"/>
        </w:rPr>
        <w:t>Các định hướng cấp nước chính của đồ án được duyệt năm 2011.</w:t>
      </w:r>
    </w:p>
    <w:p w14:paraId="519B2C0F" w14:textId="77777777" w:rsidR="00682A01" w:rsidRPr="008E63BB" w:rsidRDefault="00682A01" w:rsidP="00F06125">
      <w:pPr>
        <w:numPr>
          <w:ilvl w:val="0"/>
          <w:numId w:val="14"/>
        </w:numPr>
        <w:ind w:left="851"/>
        <w:rPr>
          <w:i/>
          <w:szCs w:val="26"/>
        </w:rPr>
      </w:pPr>
      <w:r w:rsidRPr="008E63BB">
        <w:rPr>
          <w:i/>
          <w:szCs w:val="26"/>
        </w:rPr>
        <w:t>Tiêu chuẩn dùng nước:</w:t>
      </w:r>
    </w:p>
    <w:p w14:paraId="519B2C10" w14:textId="77777777" w:rsidR="00682A01" w:rsidRPr="008E63BB" w:rsidRDefault="00682A01" w:rsidP="0065184D">
      <w:pPr>
        <w:ind w:firstLine="709"/>
        <w:rPr>
          <w:szCs w:val="26"/>
        </w:rPr>
      </w:pPr>
      <w:r w:rsidRPr="008E63BB">
        <w:rPr>
          <w:szCs w:val="26"/>
        </w:rPr>
        <w:tab/>
      </w:r>
      <w:r w:rsidRPr="008E63BB">
        <w:rPr>
          <w:szCs w:val="26"/>
        </w:rPr>
        <w:tab/>
        <w:t xml:space="preserve">Nước sinh hoạt: </w:t>
      </w:r>
      <w:r w:rsidRPr="008E63BB">
        <w:rPr>
          <w:szCs w:val="26"/>
        </w:rPr>
        <w:tab/>
        <w:t>Năm 2020: 150 l/ngđ, cấp cho 100% dân</w:t>
      </w:r>
    </w:p>
    <w:p w14:paraId="519B2C11" w14:textId="77777777" w:rsidR="00682A01" w:rsidRPr="008E63BB" w:rsidRDefault="00682A01" w:rsidP="0065184D">
      <w:pPr>
        <w:ind w:firstLine="709"/>
        <w:rPr>
          <w:szCs w:val="26"/>
        </w:rPr>
      </w:pPr>
      <w:r w:rsidRPr="008E63BB">
        <w:rPr>
          <w:szCs w:val="26"/>
        </w:rPr>
        <w:tab/>
      </w:r>
      <w:r w:rsidRPr="008E63BB">
        <w:rPr>
          <w:szCs w:val="26"/>
        </w:rPr>
        <w:tab/>
      </w:r>
      <w:r w:rsidRPr="008E63BB">
        <w:rPr>
          <w:szCs w:val="26"/>
        </w:rPr>
        <w:tab/>
      </w:r>
      <w:r w:rsidRPr="008E63BB">
        <w:rPr>
          <w:szCs w:val="26"/>
        </w:rPr>
        <w:tab/>
      </w:r>
      <w:r w:rsidRPr="008E63BB">
        <w:rPr>
          <w:szCs w:val="26"/>
        </w:rPr>
        <w:tab/>
        <w:t>Năm 20</w:t>
      </w:r>
      <w:r w:rsidR="00A05BE4" w:rsidRPr="008E63BB">
        <w:rPr>
          <w:szCs w:val="26"/>
        </w:rPr>
        <w:t>25</w:t>
      </w:r>
      <w:r w:rsidRPr="008E63BB">
        <w:rPr>
          <w:szCs w:val="26"/>
        </w:rPr>
        <w:t>: 180 l/ngđ, cấp cho 100% dân</w:t>
      </w:r>
    </w:p>
    <w:p w14:paraId="519B2C12" w14:textId="77777777" w:rsidR="00682A01" w:rsidRPr="008E63BB" w:rsidRDefault="00682A01" w:rsidP="0065184D">
      <w:pPr>
        <w:ind w:firstLine="993"/>
        <w:rPr>
          <w:szCs w:val="26"/>
          <w:lang w:val="vi-VN"/>
        </w:rPr>
      </w:pPr>
      <w:r w:rsidRPr="008E63BB">
        <w:rPr>
          <w:szCs w:val="26"/>
          <w:lang w:val="vi-VN"/>
        </w:rPr>
        <w:lastRenderedPageBreak/>
        <w:tab/>
        <w:t>Nước công nghiệp: 30 m3/ha.ngđ, tính 80% diện tích</w:t>
      </w:r>
    </w:p>
    <w:p w14:paraId="519B2C13" w14:textId="77777777" w:rsidR="00682A01" w:rsidRPr="008E63BB" w:rsidRDefault="00682A01" w:rsidP="00F06125">
      <w:pPr>
        <w:numPr>
          <w:ilvl w:val="0"/>
          <w:numId w:val="14"/>
        </w:numPr>
        <w:ind w:left="851"/>
        <w:rPr>
          <w:i/>
          <w:szCs w:val="26"/>
          <w:lang w:val="vi-VN"/>
        </w:rPr>
      </w:pPr>
      <w:r w:rsidRPr="008E63BB">
        <w:rPr>
          <w:i/>
          <w:szCs w:val="26"/>
          <w:lang w:val="vi-VN"/>
        </w:rPr>
        <w:t>Tổng nhu cầu dùng nước:</w:t>
      </w:r>
    </w:p>
    <w:p w14:paraId="519B2C14" w14:textId="77777777" w:rsidR="00682A01" w:rsidRPr="008E63BB" w:rsidRDefault="00682A01" w:rsidP="0065184D">
      <w:pPr>
        <w:ind w:firstLine="3686"/>
        <w:rPr>
          <w:szCs w:val="26"/>
          <w:lang w:val="vi-VN"/>
        </w:rPr>
      </w:pPr>
      <w:r w:rsidRPr="008E63BB">
        <w:rPr>
          <w:szCs w:val="26"/>
          <w:lang w:val="vi-VN"/>
        </w:rPr>
        <w:t>Năm 2020: 120.000 m3/ngđ</w:t>
      </w:r>
    </w:p>
    <w:p w14:paraId="519B2C15" w14:textId="77777777" w:rsidR="00682A01" w:rsidRPr="008E63BB" w:rsidRDefault="00682A01" w:rsidP="0065184D">
      <w:pPr>
        <w:ind w:firstLine="3686"/>
        <w:rPr>
          <w:szCs w:val="26"/>
          <w:lang w:val="vi-VN"/>
        </w:rPr>
      </w:pPr>
      <w:r w:rsidRPr="008E63BB">
        <w:rPr>
          <w:szCs w:val="26"/>
          <w:lang w:val="vi-VN"/>
        </w:rPr>
        <w:t>Năm 20</w:t>
      </w:r>
      <w:r w:rsidR="00A05BE4" w:rsidRPr="008E63BB">
        <w:rPr>
          <w:szCs w:val="26"/>
          <w:lang w:val="vi-VN"/>
        </w:rPr>
        <w:t>25</w:t>
      </w:r>
      <w:r w:rsidRPr="008E63BB">
        <w:rPr>
          <w:szCs w:val="26"/>
          <w:lang w:val="vi-VN"/>
        </w:rPr>
        <w:t>: 180.000 m3/ngđ</w:t>
      </w:r>
    </w:p>
    <w:p w14:paraId="519B2C16" w14:textId="77777777" w:rsidR="00682A01" w:rsidRPr="008E63BB" w:rsidRDefault="00682A01" w:rsidP="00F06125">
      <w:pPr>
        <w:numPr>
          <w:ilvl w:val="0"/>
          <w:numId w:val="14"/>
        </w:numPr>
        <w:ind w:left="851"/>
        <w:rPr>
          <w:i/>
          <w:szCs w:val="26"/>
        </w:rPr>
      </w:pPr>
      <w:r w:rsidRPr="008E63BB">
        <w:rPr>
          <w:i/>
          <w:szCs w:val="26"/>
        </w:rPr>
        <w:t>Giải pháp cấp nước:</w:t>
      </w:r>
    </w:p>
    <w:p w14:paraId="519B2C17" w14:textId="77777777" w:rsidR="00682A01" w:rsidRPr="008E63BB" w:rsidRDefault="00682A01" w:rsidP="0065184D">
      <w:pPr>
        <w:ind w:firstLine="720"/>
        <w:rPr>
          <w:szCs w:val="26"/>
          <w:lang w:val="vi-VN"/>
        </w:rPr>
      </w:pPr>
      <w:r w:rsidRPr="008E63BB">
        <w:rPr>
          <w:szCs w:val="26"/>
        </w:rPr>
        <w:t xml:space="preserve">- </w:t>
      </w:r>
      <w:r w:rsidRPr="008E63BB">
        <w:rPr>
          <w:szCs w:val="26"/>
          <w:lang w:val="vi-VN"/>
        </w:rPr>
        <w:t xml:space="preserve">Nguồn nước: Nguồn nước ngầm tại khu vực rất nghèo và bị nhiễm mặn, vì thế sông Đào và sông Hồng với trữ lượng lớn sẽ là nguồn cung cấp nước cho thành phố. </w:t>
      </w:r>
    </w:p>
    <w:p w14:paraId="519B2C18" w14:textId="77777777" w:rsidR="00682A01" w:rsidRPr="008E63BB" w:rsidRDefault="00682A01" w:rsidP="0065184D">
      <w:pPr>
        <w:rPr>
          <w:szCs w:val="26"/>
          <w:lang w:val="vi-VN"/>
        </w:rPr>
      </w:pPr>
      <w:r w:rsidRPr="008E63BB">
        <w:rPr>
          <w:szCs w:val="26"/>
          <w:lang w:val="vi-VN"/>
        </w:rPr>
        <w:tab/>
        <w:t xml:space="preserve">- Công trình đầu mối: </w:t>
      </w:r>
      <w:r w:rsidRPr="008E63BB">
        <w:rPr>
          <w:szCs w:val="26"/>
          <w:lang w:val="vi-VN"/>
        </w:rPr>
        <w:tab/>
      </w:r>
    </w:p>
    <w:p w14:paraId="519B2C19" w14:textId="77777777" w:rsidR="00682A01" w:rsidRPr="008E63BB" w:rsidRDefault="00682A01" w:rsidP="0065184D">
      <w:pPr>
        <w:ind w:firstLine="720"/>
        <w:rPr>
          <w:szCs w:val="26"/>
          <w:lang w:val="vi-VN"/>
        </w:rPr>
      </w:pPr>
      <w:r w:rsidRPr="008E63BB">
        <w:rPr>
          <w:szCs w:val="26"/>
          <w:lang w:val="vi-VN"/>
        </w:rPr>
        <w:t>+ Giai đoạn đầu: sử dụng NMN Thành phố Nam Định công suất: 75.000m3/ngđ, nguồn nước sông Đào. Xây dựng trạm bơm nước thô, nhà máy nước phía Bắc sông Đào thuộc xã Mỹ Trung công suất dự kiến 25.000 m3/ngđ, nguồn nước sông Hồng bổ sung phục vụ cho khu vực phía Bắc và xây dựng trạm bơm nước thô, nhà máy nước Nam sông Đào thuộc xã Nam Phong công suất dự kiến 20.000 m3/ngđ, nguồn nước sông Đào phục vụ cho khu vực phía Nam.</w:t>
      </w:r>
    </w:p>
    <w:p w14:paraId="519B2C1A" w14:textId="77777777" w:rsidR="00682A01" w:rsidRPr="008E63BB" w:rsidRDefault="00682A01" w:rsidP="0065184D">
      <w:pPr>
        <w:ind w:firstLine="720"/>
        <w:rPr>
          <w:szCs w:val="26"/>
          <w:lang w:val="vi-VN"/>
        </w:rPr>
      </w:pPr>
      <w:r w:rsidRPr="008E63BB">
        <w:rPr>
          <w:szCs w:val="26"/>
          <w:lang w:val="vi-VN"/>
        </w:rPr>
        <w:t>+ Giai đoạn dài hạn: tiếp tục sử dụng nhà máy nước thành phố công suất 75.000 m3/ngđ, nguồn nước sông Đào; nâng công suất trạm bơm, nhà máy nước phía Bắc từ 25.000m3/ngđ lên 55.000m3/ngđ, nguồn nước sông Hồng và nâng công suất trạm bơm, nhà máy nước phía Nam từ 20.000 m3/ngđ lên 50.000m3/ngđ, nguồn nước sông Đào.</w:t>
      </w:r>
    </w:p>
    <w:p w14:paraId="519B2C1B" w14:textId="77777777" w:rsidR="00682A01" w:rsidRPr="008E63BB" w:rsidRDefault="00682A01" w:rsidP="0065184D">
      <w:pPr>
        <w:ind w:firstLine="709"/>
        <w:rPr>
          <w:szCs w:val="26"/>
          <w:lang w:val="vi-VN"/>
        </w:rPr>
      </w:pPr>
      <w:r w:rsidRPr="008E63BB">
        <w:rPr>
          <w:szCs w:val="26"/>
          <w:lang w:val="vi-VN"/>
        </w:rPr>
        <w:t xml:space="preserve">- Mạng lưới đường ống: Mạng lưới đường ống cấp nước thành phố Nam Định tương đối hoàn chỉnh, thiết kế thêm các đường ống cấp nước có đường kính </w:t>
      </w:r>
      <w:r w:rsidRPr="008E63BB">
        <w:rPr>
          <w:szCs w:val="26"/>
          <w:lang w:val="vi-VN"/>
        </w:rPr>
        <w:sym w:font="Symbol" w:char="F0C6"/>
      </w:r>
      <w:r w:rsidRPr="008E63BB">
        <w:rPr>
          <w:szCs w:val="26"/>
          <w:lang w:val="vi-VN"/>
        </w:rPr>
        <w:t xml:space="preserve">100mm- </w:t>
      </w:r>
      <w:r w:rsidRPr="008E63BB">
        <w:rPr>
          <w:szCs w:val="26"/>
          <w:lang w:val="vi-VN"/>
        </w:rPr>
        <w:sym w:font="Symbol" w:char="F0C6"/>
      </w:r>
      <w:r w:rsidRPr="008E63BB">
        <w:rPr>
          <w:szCs w:val="26"/>
          <w:lang w:val="vi-VN"/>
        </w:rPr>
        <w:t>600mm để đảm bảo cấp nước bao phủ toàn bộ khu vực thiết kế.</w:t>
      </w:r>
    </w:p>
    <w:p w14:paraId="519B2C1C" w14:textId="77777777" w:rsidR="00682A01" w:rsidRPr="008E63BB" w:rsidRDefault="00682A01" w:rsidP="0065184D">
      <w:pPr>
        <w:rPr>
          <w:i/>
          <w:szCs w:val="26"/>
          <w:lang w:val="vi-VN"/>
        </w:rPr>
      </w:pPr>
      <w:r w:rsidRPr="008E63BB">
        <w:rPr>
          <w:i/>
          <w:szCs w:val="26"/>
          <w:lang w:val="vi-VN"/>
        </w:rPr>
        <w:t>b.Đánh giá sự phát triển hệ thống cấp nước giai đoạn 2011-201</w:t>
      </w:r>
      <w:r w:rsidR="00482664" w:rsidRPr="008E63BB">
        <w:rPr>
          <w:i/>
          <w:szCs w:val="26"/>
          <w:lang w:val="vi-VN"/>
        </w:rPr>
        <w:t>9</w:t>
      </w:r>
      <w:r w:rsidRPr="008E63BB">
        <w:rPr>
          <w:i/>
          <w:szCs w:val="26"/>
          <w:lang w:val="vi-VN"/>
        </w:rPr>
        <w:t xml:space="preserve"> và rà soát so sánh với QHC 2011</w:t>
      </w:r>
    </w:p>
    <w:p w14:paraId="519B2C1D" w14:textId="77777777" w:rsidR="00682A01" w:rsidRPr="008E63BB" w:rsidRDefault="00682A01" w:rsidP="0065184D">
      <w:pPr>
        <w:autoSpaceDE w:val="0"/>
        <w:autoSpaceDN w:val="0"/>
        <w:adjustRightInd w:val="0"/>
        <w:ind w:firstLine="720"/>
        <w:rPr>
          <w:i/>
          <w:szCs w:val="26"/>
          <w:lang w:val="sv-SE"/>
        </w:rPr>
      </w:pPr>
      <w:r w:rsidRPr="008E63BB">
        <w:rPr>
          <w:i/>
          <w:szCs w:val="26"/>
          <w:lang w:val="sv-SE"/>
        </w:rPr>
        <w:t>* So sánh với hiện trạng cấp nước đánh giá từ năm 2011 đến nay:</w:t>
      </w:r>
    </w:p>
    <w:p w14:paraId="519B2C1E" w14:textId="77777777" w:rsidR="00682A01" w:rsidRPr="008E63BB" w:rsidRDefault="00682A01" w:rsidP="0065184D">
      <w:pPr>
        <w:autoSpaceDE w:val="0"/>
        <w:autoSpaceDN w:val="0"/>
        <w:adjustRightInd w:val="0"/>
        <w:ind w:firstLine="720"/>
        <w:rPr>
          <w:szCs w:val="26"/>
          <w:lang w:val="sv-SE"/>
        </w:rPr>
      </w:pPr>
      <w:r w:rsidRPr="008E63BB">
        <w:rPr>
          <w:szCs w:val="26"/>
          <w:lang w:val="sv-SE"/>
        </w:rPr>
        <w:t>+ Nguồn nước: hiện vẫn đang sử dụng nguồn nước mặt Sông Đào và có bổ sung thêm nguồn nước mặt sông Hồng.</w:t>
      </w:r>
    </w:p>
    <w:p w14:paraId="519B2C1F" w14:textId="77777777" w:rsidR="00682A01" w:rsidRPr="008E63BB" w:rsidRDefault="00682A01" w:rsidP="0065184D">
      <w:pPr>
        <w:autoSpaceDE w:val="0"/>
        <w:autoSpaceDN w:val="0"/>
        <w:adjustRightInd w:val="0"/>
        <w:ind w:firstLine="720"/>
        <w:rPr>
          <w:szCs w:val="26"/>
          <w:lang w:val="sv-SE"/>
        </w:rPr>
      </w:pPr>
      <w:r w:rsidRPr="008E63BB">
        <w:rPr>
          <w:szCs w:val="26"/>
          <w:lang w:val="sv-SE"/>
        </w:rPr>
        <w:t>+ Công trình đầu mối: Hiện nay vẫn giữ nguyên công suất nhà máy nước thành phố Nam Định; nhà máy nước Nam Phong; nhà máy nước Nam Vân; các trạm cấp nước Lê Lợi, Cốc Thành và Mỹ Trung</w:t>
      </w:r>
    </w:p>
    <w:p w14:paraId="519B2C20" w14:textId="77777777" w:rsidR="00682A01" w:rsidRPr="008E63BB" w:rsidRDefault="00682A01" w:rsidP="0065184D">
      <w:pPr>
        <w:autoSpaceDE w:val="0"/>
        <w:autoSpaceDN w:val="0"/>
        <w:adjustRightInd w:val="0"/>
        <w:ind w:firstLine="720"/>
        <w:rPr>
          <w:szCs w:val="26"/>
          <w:lang w:val="sv-SE"/>
        </w:rPr>
      </w:pPr>
      <w:r w:rsidRPr="008E63BB">
        <w:rPr>
          <w:szCs w:val="26"/>
          <w:lang w:val="sv-SE"/>
        </w:rPr>
        <w:t xml:space="preserve">+ So với đồ án quy hoạch chung duyệt năm 2011 ngoài 03 nhà máy nước trên thì thành phố Nam Định hiện đã bổ sung thêm 04 nhà máy nước: nhà máy nước Nghĩa An, nhà máy nước Mỹ Lộc, nhà máy nước Liên Bảo, nhà máy nước Điền Xá. </w:t>
      </w:r>
    </w:p>
    <w:p w14:paraId="519B2C21" w14:textId="77777777" w:rsidR="00682A01" w:rsidRPr="008E63BB" w:rsidRDefault="00682A01" w:rsidP="0065184D">
      <w:pPr>
        <w:ind w:firstLine="720"/>
        <w:rPr>
          <w:szCs w:val="26"/>
          <w:lang w:val="sv-SE"/>
        </w:rPr>
      </w:pPr>
      <w:r w:rsidRPr="008E63BB">
        <w:rPr>
          <w:i/>
          <w:szCs w:val="26"/>
          <w:lang w:val="sv-SE"/>
        </w:rPr>
        <w:t>* So sánh với Định hướng Điều chỉnh quy hoạch chung năm 2011</w:t>
      </w:r>
      <w:r w:rsidRPr="008E63BB">
        <w:rPr>
          <w:szCs w:val="26"/>
          <w:lang w:val="sv-SE"/>
        </w:rPr>
        <w:t>: Quy hoạch có đề xuất xây dựng mới 02 nhà máy nước phía Bắc và phía Nam sông Đào nhưng hiện nay chưa thực hiện được</w:t>
      </w:r>
    </w:p>
    <w:p w14:paraId="519B2C22" w14:textId="77777777" w:rsidR="00682A01" w:rsidRPr="008E63BB" w:rsidRDefault="00682A01" w:rsidP="0065184D">
      <w:pPr>
        <w:rPr>
          <w:i/>
          <w:szCs w:val="26"/>
          <w:lang w:val="sv-SE"/>
        </w:rPr>
      </w:pPr>
      <w:r w:rsidRPr="008E63BB">
        <w:rPr>
          <w:i/>
          <w:szCs w:val="26"/>
          <w:lang w:val="sv-SE"/>
        </w:rPr>
        <w:t>c.Nhận xét chung</w:t>
      </w:r>
    </w:p>
    <w:p w14:paraId="519B2C23" w14:textId="77777777" w:rsidR="00682A01" w:rsidRPr="008E63BB" w:rsidRDefault="00A76470" w:rsidP="0065184D">
      <w:pPr>
        <w:autoSpaceDE w:val="0"/>
        <w:autoSpaceDN w:val="0"/>
        <w:adjustRightInd w:val="0"/>
        <w:ind w:firstLine="720"/>
        <w:rPr>
          <w:szCs w:val="26"/>
          <w:lang w:val="sv-SE"/>
        </w:rPr>
      </w:pPr>
      <w:r w:rsidRPr="008E63BB">
        <w:rPr>
          <w:szCs w:val="26"/>
          <w:lang w:val="sv-SE"/>
        </w:rPr>
        <w:t>Điều chỉnh QHC thành phố Nam Định năm 2011 đã xác định được nguồn cấp nước hiện tại là nguồn nước mặt sông Đào, sông Hồng và tương lai của thành phố sẽ lấy nước sinh hoạt và sản xuất từ nguồn nước này. Tuy nhiên Theo Quy hoạch cấp nước thành phố Nam Định giai đoạn 2015-2020 định hướng đến năm 2025 thực hiện năm 2014 đã đánh giá về tính không khả thi khi xây dựng 02 nhà máy nước phía Bắc và phía Nam sông Đào nên đã đưa ra phương án mới để định hướng cho Điều chỉnh QHC thành phố Nam Định sau này</w:t>
      </w:r>
      <w:r w:rsidR="00682A01" w:rsidRPr="008E63BB">
        <w:rPr>
          <w:szCs w:val="26"/>
          <w:lang w:val="sv-SE"/>
        </w:rPr>
        <w:t xml:space="preserve">: </w:t>
      </w:r>
    </w:p>
    <w:p w14:paraId="519B2C24" w14:textId="77777777" w:rsidR="00682A01" w:rsidRPr="008E63BB" w:rsidRDefault="00682A01" w:rsidP="0065184D">
      <w:pPr>
        <w:autoSpaceDE w:val="0"/>
        <w:autoSpaceDN w:val="0"/>
        <w:adjustRightInd w:val="0"/>
        <w:ind w:firstLine="720"/>
        <w:rPr>
          <w:szCs w:val="26"/>
          <w:lang w:val="sv-SE"/>
        </w:rPr>
      </w:pPr>
      <w:r w:rsidRPr="008E63BB">
        <w:rPr>
          <w:szCs w:val="26"/>
          <w:lang w:val="sv-SE"/>
        </w:rPr>
        <w:t>+ Nâng công suất nhà máy nước thành phố Nam Định từ 75.000 m3/ngđ thành 105.000 m3/ngđ ở giai đoạn năm 2015-2020 và xử lý bùn cặn của nhà máy.</w:t>
      </w:r>
    </w:p>
    <w:p w14:paraId="519B2C25" w14:textId="77777777" w:rsidR="00682A01" w:rsidRPr="008E63BB" w:rsidRDefault="00682A01" w:rsidP="0065184D">
      <w:pPr>
        <w:autoSpaceDE w:val="0"/>
        <w:autoSpaceDN w:val="0"/>
        <w:adjustRightInd w:val="0"/>
        <w:ind w:firstLine="720"/>
        <w:rPr>
          <w:szCs w:val="26"/>
          <w:lang w:val="sv-SE"/>
        </w:rPr>
      </w:pPr>
      <w:r w:rsidRPr="008E63BB">
        <w:rPr>
          <w:szCs w:val="26"/>
          <w:lang w:val="sv-SE"/>
        </w:rPr>
        <w:t>+ Xây dựng mới 01 nhà máy nước mặt bên phía Bắc sông Đào tại xã Mỹ Tân (gần cầu Tân Đệ). Với công suất là 26.000 m3/ngđ ở giai đoạn đến năm 2025.</w:t>
      </w:r>
    </w:p>
    <w:p w14:paraId="519B2C26" w14:textId="77777777" w:rsidR="00682A01" w:rsidRPr="008E63BB" w:rsidRDefault="00682A01" w:rsidP="0065184D">
      <w:pPr>
        <w:autoSpaceDE w:val="0"/>
        <w:autoSpaceDN w:val="0"/>
        <w:adjustRightInd w:val="0"/>
        <w:ind w:firstLine="720"/>
        <w:rPr>
          <w:szCs w:val="26"/>
          <w:lang w:val="sv-SE"/>
        </w:rPr>
      </w:pPr>
      <w:r w:rsidRPr="008E63BB">
        <w:rPr>
          <w:szCs w:val="26"/>
          <w:lang w:val="sv-SE"/>
        </w:rPr>
        <w:lastRenderedPageBreak/>
        <w:t>Điều chỉnh QHC năm 2011 đã đánh giá được cụ thể về hệ thống mạng lưới đường ống. Trong tương lai cần rà soát, bổ sung và thay thế đường ống mới để đảm bảo chống rò rỉ gây lãng phí nguồn nước và tổn thất áp lực.</w:t>
      </w:r>
    </w:p>
    <w:p w14:paraId="519B2C27" w14:textId="77777777" w:rsidR="001E0B06" w:rsidRPr="008E63BB" w:rsidRDefault="001E0B06" w:rsidP="0065184D">
      <w:pPr>
        <w:pStyle w:val="Heading3"/>
        <w:rPr>
          <w:lang w:val="vi-VN"/>
        </w:rPr>
      </w:pPr>
      <w:bookmarkStart w:id="234" w:name="_Toc330799143"/>
      <w:bookmarkStart w:id="235" w:name="_Toc341519028"/>
      <w:bookmarkStart w:id="236" w:name="_Toc341519129"/>
      <w:bookmarkStart w:id="237" w:name="_Toc344928441"/>
      <w:bookmarkStart w:id="238" w:name="_Toc345538349"/>
      <w:bookmarkStart w:id="239" w:name="_Toc21954840"/>
      <w:bookmarkStart w:id="240" w:name="_Toc21955339"/>
      <w:bookmarkStart w:id="241" w:name="_Toc24361913"/>
      <w:bookmarkStart w:id="242" w:name="_Toc47524672"/>
      <w:bookmarkEnd w:id="225"/>
      <w:bookmarkEnd w:id="226"/>
      <w:bookmarkEnd w:id="227"/>
      <w:bookmarkEnd w:id="228"/>
      <w:bookmarkEnd w:id="229"/>
      <w:r w:rsidRPr="008E63BB">
        <w:rPr>
          <w:lang w:val="vi-VN"/>
        </w:rPr>
        <w:t>2.</w:t>
      </w:r>
      <w:r w:rsidR="00A71373" w:rsidRPr="008E63BB">
        <w:rPr>
          <w:lang w:val="sv-SE"/>
        </w:rPr>
        <w:t>7</w:t>
      </w:r>
      <w:r w:rsidRPr="008E63BB">
        <w:rPr>
          <w:lang w:val="vi-VN"/>
        </w:rPr>
        <w:t>.4. Hiện trạng cấp điện</w:t>
      </w:r>
      <w:bookmarkEnd w:id="234"/>
      <w:bookmarkEnd w:id="235"/>
      <w:bookmarkEnd w:id="236"/>
      <w:bookmarkEnd w:id="237"/>
      <w:bookmarkEnd w:id="238"/>
      <w:bookmarkEnd w:id="239"/>
      <w:bookmarkEnd w:id="240"/>
      <w:bookmarkEnd w:id="241"/>
      <w:bookmarkEnd w:id="242"/>
    </w:p>
    <w:p w14:paraId="519B2C28" w14:textId="77777777" w:rsidR="006A5F1D" w:rsidRPr="008E63BB" w:rsidRDefault="006A5F1D" w:rsidP="0065184D">
      <w:pPr>
        <w:rPr>
          <w:b/>
          <w:i/>
          <w:szCs w:val="26"/>
          <w:lang w:val="sv-SE"/>
        </w:rPr>
      </w:pPr>
      <w:bookmarkStart w:id="243" w:name="_Toc330799147"/>
      <w:bookmarkStart w:id="244" w:name="_Toc341519029"/>
      <w:bookmarkStart w:id="245" w:name="_Toc341519130"/>
      <w:bookmarkStart w:id="246" w:name="_Toc344928442"/>
      <w:bookmarkStart w:id="247" w:name="_Toc345538350"/>
      <w:r w:rsidRPr="008E63BB">
        <w:rPr>
          <w:b/>
          <w:i/>
          <w:szCs w:val="26"/>
          <w:lang w:val="sv-SE"/>
        </w:rPr>
        <w:t xml:space="preserve">a. Hiện trạng cấp điện </w:t>
      </w:r>
      <w:r w:rsidR="0064784B" w:rsidRPr="008E63BB">
        <w:rPr>
          <w:b/>
          <w:i/>
          <w:szCs w:val="26"/>
          <w:lang w:val="sv-SE"/>
        </w:rPr>
        <w:t>2019:</w:t>
      </w:r>
    </w:p>
    <w:p w14:paraId="519B2C29" w14:textId="77777777" w:rsidR="006A5F1D" w:rsidRPr="008E63BB" w:rsidRDefault="006A5F1D" w:rsidP="0065184D">
      <w:pPr>
        <w:tabs>
          <w:tab w:val="num" w:pos="900"/>
        </w:tabs>
        <w:ind w:right="-1"/>
        <w:rPr>
          <w:szCs w:val="26"/>
          <w:lang w:val="vi-VN"/>
        </w:rPr>
      </w:pPr>
      <w:r w:rsidRPr="008E63BB">
        <w:rPr>
          <w:i/>
          <w:iCs/>
          <w:szCs w:val="26"/>
          <w:lang w:val="sv-SE"/>
        </w:rPr>
        <w:t>a1. Nguồn điện:</w:t>
      </w:r>
      <w:r w:rsidRPr="008E63BB">
        <w:rPr>
          <w:szCs w:val="26"/>
          <w:lang w:val="vi-VN"/>
        </w:rPr>
        <w:t xml:space="preserve"> Hiện nay thành phố Nam Định nhận điện từ các nguồn sau:</w:t>
      </w:r>
    </w:p>
    <w:p w14:paraId="519B2C2A" w14:textId="77777777" w:rsidR="006A5F1D" w:rsidRPr="008E63BB" w:rsidRDefault="006A5F1D" w:rsidP="0000256A">
      <w:pPr>
        <w:tabs>
          <w:tab w:val="left" w:pos="720"/>
        </w:tabs>
        <w:autoSpaceDE w:val="0"/>
        <w:autoSpaceDN w:val="0"/>
        <w:adjustRightInd w:val="0"/>
        <w:ind w:firstLine="720"/>
        <w:jc w:val="left"/>
        <w:rPr>
          <w:szCs w:val="26"/>
          <w:lang w:val="vi-VN"/>
        </w:rPr>
      </w:pPr>
      <w:r w:rsidRPr="008E63BB">
        <w:rPr>
          <w:szCs w:val="26"/>
          <w:lang w:val="vi-VN"/>
        </w:rPr>
        <w:t xml:space="preserve">- Trạm 220kV Nam Định </w:t>
      </w:r>
      <w:r w:rsidRPr="008E63BB">
        <w:rPr>
          <w:rFonts w:ascii="TimesNewRoman" w:hAnsi="TimesNewRoman" w:cs="TimesNewRoman"/>
          <w:szCs w:val="26"/>
          <w:lang w:val="vi-VN"/>
        </w:rPr>
        <w:t>đặ</w:t>
      </w:r>
      <w:r w:rsidRPr="008E63BB">
        <w:rPr>
          <w:szCs w:val="26"/>
          <w:lang w:val="vi-VN"/>
        </w:rPr>
        <w:t>t t</w:t>
      </w:r>
      <w:r w:rsidRPr="008E63BB">
        <w:rPr>
          <w:rFonts w:ascii="TimesNewRoman" w:hAnsi="TimesNewRoman" w:cs="TimesNewRoman"/>
          <w:szCs w:val="26"/>
          <w:lang w:val="vi-VN"/>
        </w:rPr>
        <w:t>ạ</w:t>
      </w:r>
      <w:r w:rsidRPr="008E63BB">
        <w:rPr>
          <w:szCs w:val="26"/>
          <w:lang w:val="vi-VN"/>
        </w:rPr>
        <w:t>i xã M</w:t>
      </w:r>
      <w:r w:rsidRPr="008E63BB">
        <w:rPr>
          <w:rFonts w:ascii="TimesNewRoman" w:hAnsi="TimesNewRoman" w:cs="TimesNewRoman"/>
          <w:szCs w:val="26"/>
          <w:lang w:val="vi-VN"/>
        </w:rPr>
        <w:t xml:space="preserve">ỹ </w:t>
      </w:r>
      <w:r w:rsidRPr="008E63BB">
        <w:rPr>
          <w:szCs w:val="26"/>
          <w:lang w:val="vi-VN"/>
        </w:rPr>
        <w:t>Phúc, huy</w:t>
      </w:r>
      <w:r w:rsidRPr="008E63BB">
        <w:rPr>
          <w:rFonts w:ascii="TimesNewRoman" w:hAnsi="TimesNewRoman" w:cs="TimesNewRoman"/>
          <w:szCs w:val="26"/>
          <w:lang w:val="vi-VN"/>
        </w:rPr>
        <w:t>ệ</w:t>
      </w:r>
      <w:r w:rsidRPr="008E63BB">
        <w:rPr>
          <w:szCs w:val="26"/>
          <w:lang w:val="vi-VN"/>
        </w:rPr>
        <w:t>n M</w:t>
      </w:r>
      <w:r w:rsidRPr="008E63BB">
        <w:rPr>
          <w:rFonts w:ascii="TimesNewRoman" w:hAnsi="TimesNewRoman" w:cs="TimesNewRoman"/>
          <w:szCs w:val="26"/>
          <w:lang w:val="vi-VN"/>
        </w:rPr>
        <w:t xml:space="preserve">ỹ </w:t>
      </w:r>
      <w:r w:rsidRPr="008E63BB">
        <w:rPr>
          <w:szCs w:val="26"/>
          <w:lang w:val="vi-VN"/>
        </w:rPr>
        <w:t>L</w:t>
      </w:r>
      <w:r w:rsidRPr="008E63BB">
        <w:rPr>
          <w:rFonts w:ascii="TimesNewRoman" w:hAnsi="TimesNewRoman" w:cs="TimesNewRoman"/>
          <w:szCs w:val="26"/>
          <w:lang w:val="vi-VN"/>
        </w:rPr>
        <w:t>ộ</w:t>
      </w:r>
      <w:r w:rsidRPr="008E63BB">
        <w:rPr>
          <w:szCs w:val="26"/>
          <w:lang w:val="vi-VN"/>
        </w:rPr>
        <w:t>c. Trạm mới được nâng công suất 2x250MVA, điện áp 220/110/22 kV. Trạm có 1 máy nối cấp 110kV công suấ</w:t>
      </w:r>
      <w:r w:rsidR="0000256A" w:rsidRPr="008E63BB">
        <w:rPr>
          <w:szCs w:val="26"/>
          <w:lang w:val="vi-VN"/>
        </w:rPr>
        <w:t xml:space="preserve">t 1x25MVA </w:t>
      </w:r>
      <w:r w:rsidRPr="008E63BB">
        <w:rPr>
          <w:spacing w:val="-1"/>
          <w:lang w:val="vi-VN"/>
        </w:rPr>
        <w:t>với</w:t>
      </w:r>
      <w:r w:rsidR="0000256A" w:rsidRPr="008E63BB">
        <w:rPr>
          <w:spacing w:val="-1"/>
        </w:rPr>
        <w:t xml:space="preserve"> </w:t>
      </w:r>
      <w:r w:rsidRPr="008E63BB">
        <w:rPr>
          <w:lang w:val="vi-VN"/>
        </w:rPr>
        <w:t>Pmax=18,6MW.Trạm</w:t>
      </w:r>
      <w:r w:rsidR="0000256A" w:rsidRPr="008E63BB">
        <w:t xml:space="preserve"> </w:t>
      </w:r>
      <w:r w:rsidRPr="008E63BB">
        <w:rPr>
          <w:lang w:val="vi-VN"/>
        </w:rPr>
        <w:t>cấp</w:t>
      </w:r>
      <w:r w:rsidR="0000256A" w:rsidRPr="008E63BB">
        <w:t xml:space="preserve"> </w:t>
      </w:r>
      <w:r w:rsidRPr="008E63BB">
        <w:rPr>
          <w:lang w:val="vi-VN"/>
        </w:rPr>
        <w:t>điện</w:t>
      </w:r>
      <w:r w:rsidR="0000256A" w:rsidRPr="008E63BB">
        <w:t xml:space="preserve"> </w:t>
      </w:r>
      <w:r w:rsidRPr="008E63BB">
        <w:rPr>
          <w:lang w:val="vi-VN"/>
        </w:rPr>
        <w:t>cho</w:t>
      </w:r>
      <w:r w:rsidR="0000256A" w:rsidRPr="008E63BB">
        <w:t xml:space="preserve"> </w:t>
      </w:r>
      <w:r w:rsidRPr="008E63BB">
        <w:rPr>
          <w:lang w:val="vi-VN"/>
        </w:rPr>
        <w:t>các</w:t>
      </w:r>
      <w:r w:rsidR="0000256A" w:rsidRPr="008E63BB">
        <w:t xml:space="preserve"> </w:t>
      </w:r>
      <w:r w:rsidRPr="008E63BB">
        <w:rPr>
          <w:lang w:val="vi-VN"/>
        </w:rPr>
        <w:t>phụ</w:t>
      </w:r>
      <w:r w:rsidR="0000256A" w:rsidRPr="008E63BB">
        <w:t xml:space="preserve"> </w:t>
      </w:r>
      <w:r w:rsidRPr="008E63BB">
        <w:rPr>
          <w:lang w:val="vi-VN"/>
        </w:rPr>
        <w:t>tải</w:t>
      </w:r>
      <w:r w:rsidR="0000256A" w:rsidRPr="008E63BB">
        <w:t xml:space="preserve"> </w:t>
      </w:r>
      <w:r w:rsidRPr="008E63BB">
        <w:rPr>
          <w:lang w:val="vi-VN"/>
        </w:rPr>
        <w:t>22kV</w:t>
      </w:r>
      <w:r w:rsidR="0000256A" w:rsidRPr="008E63BB">
        <w:t xml:space="preserve"> </w:t>
      </w:r>
      <w:r w:rsidRPr="008E63BB">
        <w:rPr>
          <w:lang w:val="vi-VN"/>
        </w:rPr>
        <w:t>thành</w:t>
      </w:r>
      <w:r w:rsidR="0000256A" w:rsidRPr="008E63BB">
        <w:t xml:space="preserve"> </w:t>
      </w:r>
      <w:r w:rsidRPr="008E63BB">
        <w:rPr>
          <w:lang w:val="vi-VN"/>
        </w:rPr>
        <w:t>phố</w:t>
      </w:r>
      <w:r w:rsidR="0000256A" w:rsidRPr="008E63BB">
        <w:t xml:space="preserve"> </w:t>
      </w:r>
      <w:r w:rsidRPr="008E63BB">
        <w:rPr>
          <w:spacing w:val="1"/>
          <w:lang w:val="vi-VN"/>
        </w:rPr>
        <w:t>Nam</w:t>
      </w:r>
      <w:r w:rsidR="0000256A" w:rsidRPr="008E63BB">
        <w:rPr>
          <w:spacing w:val="1"/>
        </w:rPr>
        <w:t xml:space="preserve"> </w:t>
      </w:r>
      <w:r w:rsidRPr="008E63BB">
        <w:rPr>
          <w:lang w:val="vi-VN"/>
        </w:rPr>
        <w:t>Định</w:t>
      </w:r>
      <w:r w:rsidR="0000256A" w:rsidRPr="008E63BB">
        <w:t xml:space="preserve"> </w:t>
      </w:r>
      <w:r w:rsidRPr="008E63BB">
        <w:rPr>
          <w:lang w:val="vi-VN"/>
        </w:rPr>
        <w:t>và</w:t>
      </w:r>
      <w:r w:rsidR="0000256A" w:rsidRPr="008E63BB">
        <w:t xml:space="preserve"> </w:t>
      </w:r>
      <w:r w:rsidRPr="008E63BB">
        <w:rPr>
          <w:lang w:val="vi-VN"/>
        </w:rPr>
        <w:t>huyện</w:t>
      </w:r>
      <w:r w:rsidR="0000256A" w:rsidRPr="008E63BB">
        <w:t xml:space="preserve"> </w:t>
      </w:r>
      <w:r w:rsidRPr="008E63BB">
        <w:rPr>
          <w:spacing w:val="2"/>
          <w:lang w:val="vi-VN"/>
        </w:rPr>
        <w:t>Mỹ</w:t>
      </w:r>
      <w:r w:rsidR="0000256A" w:rsidRPr="008E63BB">
        <w:rPr>
          <w:spacing w:val="2"/>
        </w:rPr>
        <w:t xml:space="preserve"> </w:t>
      </w:r>
      <w:r w:rsidRPr="008E63BB">
        <w:rPr>
          <w:lang w:val="vi-VN"/>
        </w:rPr>
        <w:t>Lộc</w:t>
      </w:r>
      <w:r w:rsidRPr="008E63BB">
        <w:rPr>
          <w:szCs w:val="26"/>
          <w:lang w:val="vi-VN"/>
        </w:rPr>
        <w:t>.</w:t>
      </w:r>
    </w:p>
    <w:p w14:paraId="519B2C2B" w14:textId="77777777" w:rsidR="006A5F1D" w:rsidRPr="008E63BB" w:rsidRDefault="00D04C5A" w:rsidP="0000256A">
      <w:pPr>
        <w:tabs>
          <w:tab w:val="left" w:pos="720"/>
          <w:tab w:val="num" w:pos="900"/>
        </w:tabs>
        <w:ind w:right="-1"/>
        <w:jc w:val="left"/>
        <w:rPr>
          <w:szCs w:val="26"/>
          <w:lang w:val="vi-VN"/>
        </w:rPr>
      </w:pPr>
      <w:r w:rsidRPr="008E63BB">
        <w:rPr>
          <w:szCs w:val="26"/>
          <w:lang w:val="vi-VN"/>
        </w:rPr>
        <w:tab/>
      </w:r>
      <w:r w:rsidR="0000256A" w:rsidRPr="008E63BB">
        <w:rPr>
          <w:szCs w:val="26"/>
          <w:lang w:val="vi-VN"/>
        </w:rPr>
        <w:t xml:space="preserve">- </w:t>
      </w:r>
      <w:r w:rsidR="006A5F1D" w:rsidRPr="008E63BB">
        <w:rPr>
          <w:lang w:val="vi-VN"/>
        </w:rPr>
        <w:t>Trạm</w:t>
      </w:r>
      <w:r w:rsidR="0000256A" w:rsidRPr="008E63BB">
        <w:t xml:space="preserve"> </w:t>
      </w:r>
      <w:r w:rsidR="006A5F1D" w:rsidRPr="008E63BB">
        <w:rPr>
          <w:lang w:val="vi-VN"/>
        </w:rPr>
        <w:t>110kV</w:t>
      </w:r>
      <w:r w:rsidR="0000256A" w:rsidRPr="008E63BB">
        <w:t xml:space="preserve"> </w:t>
      </w:r>
      <w:r w:rsidR="006A5F1D" w:rsidRPr="008E63BB">
        <w:rPr>
          <w:spacing w:val="-1"/>
          <w:lang w:val="vi-VN"/>
        </w:rPr>
        <w:t>Phi</w:t>
      </w:r>
      <w:r w:rsidR="0000256A" w:rsidRPr="008E63BB">
        <w:rPr>
          <w:spacing w:val="-1"/>
        </w:rPr>
        <w:t xml:space="preserve"> </w:t>
      </w:r>
      <w:r w:rsidR="006A5F1D" w:rsidRPr="008E63BB">
        <w:rPr>
          <w:lang w:val="vi-VN"/>
        </w:rPr>
        <w:t>Trường</w:t>
      </w:r>
      <w:r w:rsidR="0000256A" w:rsidRPr="008E63BB">
        <w:t xml:space="preserve"> </w:t>
      </w:r>
      <w:r w:rsidR="006A5F1D" w:rsidRPr="008E63BB">
        <w:rPr>
          <w:lang w:val="vi-VN"/>
        </w:rPr>
        <w:t>(E3.4)</w:t>
      </w:r>
      <w:r w:rsidR="0000256A" w:rsidRPr="008E63BB">
        <w:t xml:space="preserve"> </w:t>
      </w:r>
      <w:r w:rsidR="006A5F1D" w:rsidRPr="008E63BB">
        <w:rPr>
          <w:lang w:val="vi-VN"/>
        </w:rPr>
        <w:t>nằm</w:t>
      </w:r>
      <w:r w:rsidR="0000256A" w:rsidRPr="008E63BB">
        <w:t xml:space="preserve"> </w:t>
      </w:r>
      <w:r w:rsidR="006A5F1D" w:rsidRPr="008E63BB">
        <w:rPr>
          <w:lang w:val="vi-VN"/>
        </w:rPr>
        <w:t>tại</w:t>
      </w:r>
      <w:r w:rsidR="0000256A" w:rsidRPr="008E63BB">
        <w:t xml:space="preserve"> </w:t>
      </w:r>
      <w:r w:rsidR="006A5F1D" w:rsidRPr="008E63BB">
        <w:rPr>
          <w:lang w:val="vi-VN"/>
        </w:rPr>
        <w:t>phường</w:t>
      </w:r>
      <w:r w:rsidR="0000256A" w:rsidRPr="008E63BB">
        <w:t xml:space="preserve"> </w:t>
      </w:r>
      <w:r w:rsidR="006A5F1D" w:rsidRPr="008E63BB">
        <w:rPr>
          <w:lang w:val="vi-VN"/>
        </w:rPr>
        <w:t>Cửa</w:t>
      </w:r>
      <w:r w:rsidR="0000256A" w:rsidRPr="008E63BB">
        <w:t xml:space="preserve"> </w:t>
      </w:r>
      <w:r w:rsidR="006A5F1D" w:rsidRPr="008E63BB">
        <w:rPr>
          <w:lang w:val="vi-VN"/>
        </w:rPr>
        <w:t>Bắc</w:t>
      </w:r>
      <w:r w:rsidR="0000256A" w:rsidRPr="008E63BB">
        <w:t xml:space="preserve"> </w:t>
      </w:r>
      <w:r w:rsidR="006A5F1D" w:rsidRPr="008E63BB">
        <w:rPr>
          <w:lang w:val="vi-VN"/>
        </w:rPr>
        <w:t>thành</w:t>
      </w:r>
      <w:r w:rsidR="0000256A" w:rsidRPr="008E63BB">
        <w:t xml:space="preserve"> </w:t>
      </w:r>
      <w:r w:rsidR="006A5F1D" w:rsidRPr="008E63BB">
        <w:rPr>
          <w:lang w:val="vi-VN"/>
        </w:rPr>
        <w:t>phố</w:t>
      </w:r>
      <w:r w:rsidR="0000256A" w:rsidRPr="008E63BB">
        <w:t xml:space="preserve"> </w:t>
      </w:r>
      <w:r w:rsidR="006A5F1D" w:rsidRPr="008E63BB">
        <w:rPr>
          <w:lang w:val="vi-VN"/>
        </w:rPr>
        <w:t>Nam</w:t>
      </w:r>
      <w:r w:rsidR="0000256A" w:rsidRPr="008E63BB">
        <w:t xml:space="preserve"> </w:t>
      </w:r>
      <w:r w:rsidR="006A5F1D" w:rsidRPr="008E63BB">
        <w:rPr>
          <w:lang w:val="vi-VN"/>
        </w:rPr>
        <w:t>Định</w:t>
      </w:r>
      <w:r w:rsidR="0000256A" w:rsidRPr="008E63BB">
        <w:t xml:space="preserve"> </w:t>
      </w:r>
      <w:r w:rsidR="006A5F1D" w:rsidRPr="008E63BB">
        <w:rPr>
          <w:lang w:val="vi-VN"/>
        </w:rPr>
        <w:t>công</w:t>
      </w:r>
      <w:r w:rsidR="0000256A" w:rsidRPr="008E63BB">
        <w:t xml:space="preserve"> </w:t>
      </w:r>
      <w:r w:rsidR="006A5F1D" w:rsidRPr="008E63BB">
        <w:rPr>
          <w:lang w:val="vi-VN"/>
        </w:rPr>
        <w:t>suất</w:t>
      </w:r>
      <w:r w:rsidR="0000256A" w:rsidRPr="008E63BB">
        <w:t xml:space="preserve"> </w:t>
      </w:r>
      <w:r w:rsidR="006A5F1D" w:rsidRPr="008E63BB">
        <w:rPr>
          <w:lang w:val="vi-VN"/>
        </w:rPr>
        <w:t>2x25MVA-110/35/22-</w:t>
      </w:r>
      <w:r w:rsidR="0000256A" w:rsidRPr="008E63BB">
        <w:t xml:space="preserve"> </w:t>
      </w:r>
      <w:r w:rsidR="006A5F1D" w:rsidRPr="008E63BB">
        <w:rPr>
          <w:lang w:val="vi-VN"/>
        </w:rPr>
        <w:t>6kV</w:t>
      </w:r>
      <w:r w:rsidR="0000256A" w:rsidRPr="008E63BB">
        <w:t xml:space="preserve"> </w:t>
      </w:r>
      <w:r w:rsidR="006A5F1D" w:rsidRPr="008E63BB">
        <w:rPr>
          <w:lang w:val="vi-VN"/>
        </w:rPr>
        <w:t>với</w:t>
      </w:r>
      <w:r w:rsidR="0000256A" w:rsidRPr="008E63BB">
        <w:t xml:space="preserve"> </w:t>
      </w:r>
      <w:r w:rsidR="006A5F1D" w:rsidRPr="008E63BB">
        <w:rPr>
          <w:lang w:val="vi-VN"/>
        </w:rPr>
        <w:t>Pmax=14,8MW</w:t>
      </w:r>
      <w:r w:rsidR="0000256A" w:rsidRPr="008E63BB">
        <w:t xml:space="preserve"> </w:t>
      </w:r>
      <w:r w:rsidR="006A5F1D" w:rsidRPr="008E63BB">
        <w:rPr>
          <w:lang w:val="vi-VN"/>
        </w:rPr>
        <w:t>cấp</w:t>
      </w:r>
      <w:r w:rsidR="0000256A" w:rsidRPr="008E63BB">
        <w:t xml:space="preserve"> </w:t>
      </w:r>
      <w:r w:rsidR="006A5F1D" w:rsidRPr="008E63BB">
        <w:rPr>
          <w:lang w:val="vi-VN"/>
        </w:rPr>
        <w:t>nguồn</w:t>
      </w:r>
      <w:r w:rsidR="0000256A" w:rsidRPr="008E63BB">
        <w:t xml:space="preserve"> </w:t>
      </w:r>
      <w:r w:rsidR="006A5F1D" w:rsidRPr="008E63BB">
        <w:rPr>
          <w:lang w:val="vi-VN"/>
        </w:rPr>
        <w:t>22kV</w:t>
      </w:r>
      <w:r w:rsidR="0000256A" w:rsidRPr="008E63BB">
        <w:t xml:space="preserve"> </w:t>
      </w:r>
      <w:r w:rsidR="006A5F1D" w:rsidRPr="008E63BB">
        <w:rPr>
          <w:lang w:val="vi-VN"/>
        </w:rPr>
        <w:t>cho</w:t>
      </w:r>
      <w:r w:rsidR="0000256A" w:rsidRPr="008E63BB">
        <w:t xml:space="preserve"> </w:t>
      </w:r>
      <w:r w:rsidR="006A5F1D" w:rsidRPr="008E63BB">
        <w:rPr>
          <w:lang w:val="vi-VN"/>
        </w:rPr>
        <w:t>phụ</w:t>
      </w:r>
      <w:r w:rsidR="0000256A" w:rsidRPr="008E63BB">
        <w:t xml:space="preserve"> </w:t>
      </w:r>
      <w:r w:rsidR="006A5F1D" w:rsidRPr="008E63BB">
        <w:rPr>
          <w:lang w:val="vi-VN"/>
        </w:rPr>
        <w:t>tải</w:t>
      </w:r>
      <w:r w:rsidR="0000256A" w:rsidRPr="008E63BB">
        <w:t xml:space="preserve"> </w:t>
      </w:r>
      <w:r w:rsidR="006A5F1D" w:rsidRPr="008E63BB">
        <w:rPr>
          <w:lang w:val="vi-VN"/>
        </w:rPr>
        <w:t>thành</w:t>
      </w:r>
      <w:r w:rsidR="0000256A" w:rsidRPr="008E63BB">
        <w:t xml:space="preserve"> </w:t>
      </w:r>
      <w:r w:rsidR="006A5F1D" w:rsidRPr="008E63BB">
        <w:rPr>
          <w:lang w:val="vi-VN"/>
        </w:rPr>
        <w:t>phố</w:t>
      </w:r>
      <w:r w:rsidR="0000256A" w:rsidRPr="008E63BB">
        <w:t xml:space="preserve"> </w:t>
      </w:r>
      <w:r w:rsidR="006A5F1D" w:rsidRPr="008E63BB">
        <w:rPr>
          <w:lang w:val="vi-VN"/>
        </w:rPr>
        <w:t>Nam</w:t>
      </w:r>
      <w:r w:rsidR="0000256A" w:rsidRPr="008E63BB">
        <w:t xml:space="preserve"> </w:t>
      </w:r>
      <w:r w:rsidR="006A5F1D" w:rsidRPr="008E63BB">
        <w:rPr>
          <w:lang w:val="vi-VN"/>
        </w:rPr>
        <w:t>Định.Trạm</w:t>
      </w:r>
      <w:r w:rsidR="0000256A" w:rsidRPr="008E63BB">
        <w:t xml:space="preserve"> </w:t>
      </w:r>
      <w:r w:rsidR="006A5F1D" w:rsidRPr="008E63BB">
        <w:rPr>
          <w:lang w:val="vi-VN"/>
        </w:rPr>
        <w:t>E3.4</w:t>
      </w:r>
      <w:r w:rsidR="0000256A" w:rsidRPr="008E63BB">
        <w:t xml:space="preserve"> </w:t>
      </w:r>
      <w:r w:rsidR="006A5F1D" w:rsidRPr="008E63BB">
        <w:rPr>
          <w:lang w:val="vi-VN"/>
        </w:rPr>
        <w:t>hiện</w:t>
      </w:r>
      <w:r w:rsidR="0000256A" w:rsidRPr="008E63BB">
        <w:t xml:space="preserve"> </w:t>
      </w:r>
      <w:r w:rsidR="006A5F1D" w:rsidRPr="008E63BB">
        <w:rPr>
          <w:lang w:val="vi-VN"/>
        </w:rPr>
        <w:t>đang</w:t>
      </w:r>
      <w:r w:rsidR="0000256A" w:rsidRPr="008E63BB">
        <w:t xml:space="preserve"> </w:t>
      </w:r>
      <w:r w:rsidR="006A5F1D" w:rsidRPr="008E63BB">
        <w:rPr>
          <w:lang w:val="vi-VN"/>
        </w:rPr>
        <w:t>vận</w:t>
      </w:r>
      <w:r w:rsidR="0000256A" w:rsidRPr="008E63BB">
        <w:t xml:space="preserve"> </w:t>
      </w:r>
      <w:r w:rsidR="006A5F1D" w:rsidRPr="008E63BB">
        <w:rPr>
          <w:lang w:val="vi-VN"/>
        </w:rPr>
        <w:t>hành</w:t>
      </w:r>
      <w:r w:rsidR="0000256A" w:rsidRPr="008E63BB">
        <w:t xml:space="preserve"> </w:t>
      </w:r>
      <w:r w:rsidR="006A5F1D" w:rsidRPr="008E63BB">
        <w:rPr>
          <w:lang w:val="vi-VN"/>
        </w:rPr>
        <w:t>vừa</w:t>
      </w:r>
      <w:r w:rsidR="0000256A" w:rsidRPr="008E63BB">
        <w:t xml:space="preserve"> </w:t>
      </w:r>
      <w:r w:rsidR="006A5F1D" w:rsidRPr="008E63BB">
        <w:rPr>
          <w:lang w:val="vi-VN"/>
        </w:rPr>
        <w:t>tải,</w:t>
      </w:r>
      <w:r w:rsidR="0000256A" w:rsidRPr="008E63BB">
        <w:t xml:space="preserve"> </w:t>
      </w:r>
      <w:r w:rsidR="006A5F1D" w:rsidRPr="008E63BB">
        <w:rPr>
          <w:lang w:val="vi-VN"/>
        </w:rPr>
        <w:t>máy</w:t>
      </w:r>
      <w:r w:rsidR="0000256A" w:rsidRPr="008E63BB">
        <w:t xml:space="preserve"> </w:t>
      </w:r>
      <w:r w:rsidR="006A5F1D" w:rsidRPr="008E63BB">
        <w:rPr>
          <w:lang w:val="vi-VN"/>
        </w:rPr>
        <w:t>T1</w:t>
      </w:r>
      <w:r w:rsidR="0000256A" w:rsidRPr="008E63BB">
        <w:t xml:space="preserve"> </w:t>
      </w:r>
      <w:r w:rsidR="006A5F1D" w:rsidRPr="008E63BB">
        <w:rPr>
          <w:lang w:val="vi-VN"/>
        </w:rPr>
        <w:t>công</w:t>
      </w:r>
      <w:r w:rsidR="0000256A" w:rsidRPr="008E63BB">
        <w:t xml:space="preserve"> </w:t>
      </w:r>
      <w:r w:rsidR="006A5F1D" w:rsidRPr="008E63BB">
        <w:rPr>
          <w:lang w:val="vi-VN"/>
        </w:rPr>
        <w:t>suất</w:t>
      </w:r>
      <w:r w:rsidR="0000256A" w:rsidRPr="008E63BB">
        <w:t xml:space="preserve"> </w:t>
      </w:r>
      <w:r w:rsidR="006A5F1D" w:rsidRPr="008E63BB">
        <w:rPr>
          <w:lang w:val="vi-VN"/>
        </w:rPr>
        <w:t>25MVA-110/35/6kVchỉ</w:t>
      </w:r>
      <w:r w:rsidR="0000256A" w:rsidRPr="008E63BB">
        <w:t xml:space="preserve"> </w:t>
      </w:r>
      <w:r w:rsidR="006A5F1D" w:rsidRPr="008E63BB">
        <w:rPr>
          <w:lang w:val="vi-VN"/>
        </w:rPr>
        <w:t>dự</w:t>
      </w:r>
      <w:r w:rsidR="0000256A" w:rsidRPr="008E63BB">
        <w:t xml:space="preserve"> </w:t>
      </w:r>
      <w:r w:rsidR="006A5F1D" w:rsidRPr="008E63BB">
        <w:rPr>
          <w:lang w:val="vi-VN"/>
        </w:rPr>
        <w:t>phòng</w:t>
      </w:r>
      <w:r w:rsidR="0000256A" w:rsidRPr="008E63BB">
        <w:t xml:space="preserve"> </w:t>
      </w:r>
      <w:r w:rsidR="006A5F1D" w:rsidRPr="008E63BB">
        <w:rPr>
          <w:lang w:val="vi-VN"/>
        </w:rPr>
        <w:t>cấp</w:t>
      </w:r>
      <w:r w:rsidR="0000256A" w:rsidRPr="008E63BB">
        <w:t xml:space="preserve"> </w:t>
      </w:r>
      <w:r w:rsidR="006A5F1D" w:rsidRPr="008E63BB">
        <w:rPr>
          <w:lang w:val="vi-VN"/>
        </w:rPr>
        <w:t>nguồn</w:t>
      </w:r>
      <w:r w:rsidR="0000256A" w:rsidRPr="008E63BB">
        <w:t xml:space="preserve"> </w:t>
      </w:r>
      <w:r w:rsidR="006A5F1D" w:rsidRPr="008E63BB">
        <w:rPr>
          <w:lang w:val="vi-VN"/>
        </w:rPr>
        <w:t>35kV</w:t>
      </w:r>
      <w:r w:rsidR="0000256A" w:rsidRPr="008E63BB">
        <w:t xml:space="preserve"> </w:t>
      </w:r>
      <w:r w:rsidR="006A5F1D" w:rsidRPr="008E63BB">
        <w:rPr>
          <w:lang w:val="vi-VN"/>
        </w:rPr>
        <w:t>cho</w:t>
      </w:r>
      <w:r w:rsidR="0000256A" w:rsidRPr="008E63BB">
        <w:t xml:space="preserve"> </w:t>
      </w:r>
      <w:r w:rsidR="006A5F1D" w:rsidRPr="008E63BB">
        <w:rPr>
          <w:lang w:val="vi-VN"/>
        </w:rPr>
        <w:t>lộ</w:t>
      </w:r>
      <w:r w:rsidR="0000256A" w:rsidRPr="008E63BB">
        <w:t xml:space="preserve"> </w:t>
      </w:r>
      <w:r w:rsidR="006A5F1D" w:rsidRPr="008E63BB">
        <w:rPr>
          <w:lang w:val="vi-VN"/>
        </w:rPr>
        <w:t>371E3.14-</w:t>
      </w:r>
      <w:r w:rsidR="006A5F1D" w:rsidRPr="008E63BB">
        <w:rPr>
          <w:spacing w:val="2"/>
          <w:lang w:val="vi-VN"/>
        </w:rPr>
        <w:t>Mỹ</w:t>
      </w:r>
      <w:r w:rsidR="0000256A" w:rsidRPr="008E63BB">
        <w:rPr>
          <w:spacing w:val="2"/>
        </w:rPr>
        <w:t xml:space="preserve"> </w:t>
      </w:r>
      <w:r w:rsidR="006A5F1D" w:rsidRPr="008E63BB">
        <w:rPr>
          <w:lang w:val="vi-VN"/>
        </w:rPr>
        <w:t>Lộc</w:t>
      </w:r>
      <w:r w:rsidR="006A5F1D" w:rsidRPr="008E63BB">
        <w:rPr>
          <w:szCs w:val="26"/>
          <w:lang w:val="vi-VN"/>
        </w:rPr>
        <w:t>.</w:t>
      </w:r>
    </w:p>
    <w:p w14:paraId="519B2C2C" w14:textId="77777777" w:rsidR="006A5F1D" w:rsidRPr="008E63BB" w:rsidRDefault="00D04C5A" w:rsidP="0065184D">
      <w:pPr>
        <w:tabs>
          <w:tab w:val="left" w:pos="720"/>
          <w:tab w:val="num" w:pos="900"/>
        </w:tabs>
        <w:ind w:right="-1"/>
        <w:rPr>
          <w:szCs w:val="26"/>
          <w:lang w:val="vi-VN"/>
        </w:rPr>
      </w:pPr>
      <w:r w:rsidRPr="008E63BB">
        <w:rPr>
          <w:szCs w:val="26"/>
          <w:lang w:val="vi-VN"/>
        </w:rPr>
        <w:tab/>
      </w:r>
      <w:r w:rsidR="006A5F1D" w:rsidRPr="008E63BB">
        <w:rPr>
          <w:szCs w:val="26"/>
          <w:lang w:val="vi-VN"/>
        </w:rPr>
        <w:t>- Trạm 110kV Mỹ Xá (E3.9) ở tại xã Mỹ Xá thành phố Nam Định, công suất 2x40MVA - 110/22kV với Pmax=42MW. Trạm cấp điện cho phụ tải thành phố Nam Định, KCN Hòa Xá và CCN An Xá. Hiện tại máy T1 trạm 110kV Mỹ Xá đã bắt đầu đầy tải vào lúc cao điểm tối.</w:t>
      </w:r>
    </w:p>
    <w:p w14:paraId="519B2C2D"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xml:space="preserve">- </w:t>
      </w:r>
      <w:r w:rsidR="007E65C8" w:rsidRPr="008E63BB">
        <w:rPr>
          <w:szCs w:val="26"/>
          <w:lang w:val="vi-VN"/>
        </w:rPr>
        <w:t>Trạm 110kV Mỹ Lộc (E3.14) đặt tại xã Mỹ Hưng huyện Mỹ Lộc cấp điện cho thành  phố  Nam Định  và  huyện  Mỹ Lộc,  công  suất  25</w:t>
      </w:r>
      <w:r w:rsidR="007E65C8" w:rsidRPr="008E63BB">
        <w:rPr>
          <w:szCs w:val="26"/>
        </w:rPr>
        <w:t>+40</w:t>
      </w:r>
      <w:r w:rsidR="007E65C8" w:rsidRPr="008E63BB">
        <w:rPr>
          <w:szCs w:val="26"/>
          <w:lang w:val="vi-VN"/>
        </w:rPr>
        <w:t>MVA  -  110/35/22kV  với Pmax=20,6MW, hiện tại trạm Mỹ Lộc đã vận hành đầy tải</w:t>
      </w:r>
      <w:r w:rsidR="006A5F1D" w:rsidRPr="008E63BB">
        <w:rPr>
          <w:szCs w:val="26"/>
          <w:lang w:val="vi-VN"/>
        </w:rPr>
        <w:t>.</w:t>
      </w:r>
    </w:p>
    <w:p w14:paraId="519B2C2E" w14:textId="77777777" w:rsidR="006A5F1D" w:rsidRPr="008E63BB" w:rsidRDefault="0000256A" w:rsidP="0065184D">
      <w:pPr>
        <w:tabs>
          <w:tab w:val="left" w:pos="720"/>
          <w:tab w:val="num" w:pos="900"/>
        </w:tabs>
        <w:spacing w:after="120"/>
        <w:rPr>
          <w:szCs w:val="26"/>
          <w:lang w:val="vi-VN"/>
        </w:rPr>
      </w:pPr>
      <w:r w:rsidRPr="008E63BB">
        <w:rPr>
          <w:szCs w:val="26"/>
          <w:lang w:val="vi-VN"/>
        </w:rPr>
        <w:tab/>
      </w:r>
      <w:r w:rsidR="006A5F1D" w:rsidRPr="008E63BB">
        <w:rPr>
          <w:szCs w:val="26"/>
          <w:lang w:val="vi-VN"/>
        </w:rPr>
        <w:t>Trạm 110kV Trình Xuyên (E3.1) đặt tại thôn Trình Xuyên huyện Vụ Bản, công suất (25+40) MVA - 110/35/22kV với Pmax=43MW. Trạm cấp điện cho các phụ tải các huyện Vụ Bản, Ý Yên, Nam Trực và thành phố Nam Định.</w:t>
      </w:r>
    </w:p>
    <w:p w14:paraId="519B2C2F" w14:textId="77777777" w:rsidR="006A5F1D" w:rsidRPr="008E63BB" w:rsidRDefault="006A5F1D" w:rsidP="0065184D">
      <w:pPr>
        <w:rPr>
          <w:i/>
          <w:iCs/>
          <w:szCs w:val="26"/>
          <w:lang w:val="sv-SE"/>
        </w:rPr>
      </w:pPr>
      <w:r w:rsidRPr="008E63BB">
        <w:rPr>
          <w:i/>
          <w:iCs/>
          <w:szCs w:val="26"/>
          <w:lang w:val="sv-SE"/>
        </w:rPr>
        <w:t>a2. Lưới điện:</w:t>
      </w:r>
    </w:p>
    <w:p w14:paraId="519B2C30" w14:textId="77777777" w:rsidR="006A5F1D" w:rsidRPr="008E63BB" w:rsidRDefault="006A5F1D" w:rsidP="0065184D">
      <w:pPr>
        <w:rPr>
          <w:i/>
          <w:iCs/>
          <w:szCs w:val="26"/>
          <w:lang w:val="sv-SE"/>
        </w:rPr>
      </w:pPr>
      <w:r w:rsidRPr="008E63BB">
        <w:rPr>
          <w:i/>
          <w:iCs/>
          <w:szCs w:val="26"/>
          <w:lang w:val="sv-SE"/>
        </w:rPr>
        <w:t>* Lưới truyền tải điện 220KV – 110KV :</w:t>
      </w:r>
    </w:p>
    <w:p w14:paraId="519B2C31" w14:textId="77777777" w:rsidR="00D04C5A" w:rsidRPr="008E63BB" w:rsidRDefault="0064784B" w:rsidP="0065184D">
      <w:pPr>
        <w:spacing w:before="60" w:line="320" w:lineRule="exact"/>
        <w:ind w:firstLine="720"/>
        <w:rPr>
          <w:iCs/>
          <w:szCs w:val="26"/>
          <w:lang w:val="sv-SE"/>
        </w:rPr>
      </w:pPr>
      <w:r w:rsidRPr="008E63BB">
        <w:rPr>
          <w:iCs/>
          <w:szCs w:val="26"/>
          <w:lang w:val="sv-SE"/>
        </w:rPr>
        <w:t>Dự án xây dựng mới đường dây 220kV Ninh Bình - Nam Định đã hoàn thành và đóng điện 220kV vào cuối năm 2018 , tháo dỡ đường dây cũ 1 mạch, xây dựng đường dây 3 mạch(2 mạch 220kV và 1 mạch 110kV Nam Định-Mỹ Lộc đi chung cột), tổng chiều dài 34,7km trong đó đoạn 3 mạch dài 4,6km</w:t>
      </w:r>
      <w:r w:rsidR="00D04C5A" w:rsidRPr="008E63BB">
        <w:rPr>
          <w:iCs/>
          <w:szCs w:val="26"/>
          <w:lang w:val="sv-SE"/>
        </w:rPr>
        <w:t>.</w:t>
      </w:r>
    </w:p>
    <w:p w14:paraId="519B2C32" w14:textId="77777777" w:rsidR="006A5F1D" w:rsidRPr="008E63BB" w:rsidRDefault="0064784B" w:rsidP="0065184D">
      <w:pPr>
        <w:tabs>
          <w:tab w:val="num" w:pos="900"/>
        </w:tabs>
        <w:ind w:right="-1"/>
        <w:rPr>
          <w:szCs w:val="26"/>
          <w:lang w:val="vi-VN"/>
        </w:rPr>
      </w:pPr>
      <w:r w:rsidRPr="008E63BB">
        <w:rPr>
          <w:szCs w:val="26"/>
          <w:lang w:val="sv-SE"/>
        </w:rPr>
        <w:tab/>
      </w:r>
      <w:r w:rsidR="00D04C5A" w:rsidRPr="008E63BB">
        <w:rPr>
          <w:szCs w:val="26"/>
          <w:lang w:val="sv-SE"/>
        </w:rPr>
        <w:t>Như vậy t</w:t>
      </w:r>
      <w:r w:rsidR="00D04C5A" w:rsidRPr="008E63BB">
        <w:rPr>
          <w:szCs w:val="26"/>
          <w:lang w:val="vi-VN"/>
        </w:rPr>
        <w:t>rên địa bàn tỉnh Nam Định có các tuyến dây 220kV liên kết với lưới điện 220kV khu vực như sau</w:t>
      </w:r>
      <w:r w:rsidR="006A5F1D" w:rsidRPr="008E63BB">
        <w:rPr>
          <w:szCs w:val="26"/>
          <w:lang w:val="vi-VN"/>
        </w:rPr>
        <w:t>:</w:t>
      </w:r>
    </w:p>
    <w:p w14:paraId="519B2C33"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Đường dây 220kV Nam Định - Ninh Bình là đường dây mạch đơn, dây dẫn phân pha 2 mạch ACSR-300 chiều dài 31,5km, từ trạm 220kV Ninh Bình đến trạm 220kV Nam Định có Pmax=181MW mang tải là 38%.</w:t>
      </w:r>
    </w:p>
    <w:p w14:paraId="519B2C34"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Đường dây 220kV Nam Định - Thái Bình là đường dây 2 mạch từ trạm 220kV Nam Định đi trạm 220kV Thái Bình; mạch 1 là 273 Nam Định – 271 Thái Bình, dây dẫn ACK-500, chiều dài 25,5km; mạch 2 là 274 Nam Định - 277 Thái Bình, dây dẫn ACK-500 có Pmax=157MW mang tải 23%.</w:t>
      </w:r>
    </w:p>
    <w:p w14:paraId="519B2C35"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Có 6 xuất tuyến 110kV từ trạm 220kV Nam Định. Cụ thể:</w:t>
      </w:r>
    </w:p>
    <w:p w14:paraId="519B2C36"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Lộ 171 Nam Định - Vũ Thư - Thái Bình, bao gồm 2 đoạn đường dây Nam Định- Vũ Thư dây dẫn AC-120, chiều dài 4,5km (hiện đang được thay dây thành AC-150) và đường dây Vũ Thư - Thái Bình dây dẫn AC-185, chiều dài 7km; là mạch vòng liên kết với trạm 220kV Thái Bình (tỉnh Thái Bình) hiện đang vận hành non tải;</w:t>
      </w:r>
    </w:p>
    <w:p w14:paraId="519B2C37"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Lộ 172 Nam Định - Trực Ninh, dây dẫn AC-185, chiều dài 25km cấp điện cho trạm 110kV Trực Ninh, vận hành đầy tải với Pmax 86,9MW mang tải 94,1%;</w:t>
      </w:r>
    </w:p>
    <w:p w14:paraId="519B2C38" w14:textId="77777777" w:rsidR="006A5F1D" w:rsidRPr="008E63BB" w:rsidRDefault="00D04C5A" w:rsidP="0065184D">
      <w:pPr>
        <w:tabs>
          <w:tab w:val="num" w:pos="720"/>
        </w:tabs>
        <w:ind w:right="-1"/>
        <w:rPr>
          <w:szCs w:val="26"/>
          <w:lang w:val="vi-VN"/>
        </w:rPr>
      </w:pPr>
      <w:r w:rsidRPr="008E63BB">
        <w:rPr>
          <w:szCs w:val="26"/>
          <w:lang w:val="vi-VN"/>
        </w:rPr>
        <w:lastRenderedPageBreak/>
        <w:tab/>
      </w:r>
      <w:r w:rsidR="006A5F1D" w:rsidRPr="008E63BB">
        <w:rPr>
          <w:szCs w:val="26"/>
          <w:lang w:val="vi-VN"/>
        </w:rPr>
        <w:t>+ Lộ 173 Nam Định - Nam Ninh, dây dẫn AC-185, chiều dài 15,8km cấp điện cho trạm 110kV Nam Ninh hiện đang bị quá tải với Pmax 104,2MW mang tải 112,8%;</w:t>
      </w:r>
    </w:p>
    <w:p w14:paraId="519B2C39"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Lộ 174 Nam Định - Phi Trường - Mỹ Xá mạch kép dây dẫn AC-120, chiều dài 3,9km và đường dây mạch kép rẽ nhánh trạm 110kV Phi Trường dây dẫn AC-120, chiều dài 3,1km, cấp điện cho trạm 110kV Phi Trường hiện đang vận hành non tải;</w:t>
      </w:r>
    </w:p>
    <w:p w14:paraId="519B2C3A"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Lộ 175 Nam Định - Mỹ Xá - Trình Xuyên, dây dẫn ACSR-266, tổng chiều dài 9,5km cấp điện cho trạm 110kV Trình Xuyên và là mạch vòng liên kết với trạm 220kV Ninh Bình hiện đang vận hành vừa tải;</w:t>
      </w:r>
    </w:p>
    <w:p w14:paraId="519B2C3B"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xml:space="preserve">+ </w:t>
      </w:r>
      <w:r w:rsidRPr="008E63BB">
        <w:rPr>
          <w:szCs w:val="26"/>
          <w:lang w:val="vi-VN"/>
        </w:rPr>
        <w:t>Lộ 176 Nam Định - Mỹ Lộc đã được di dời đi chung cột dài 4,6km với tuyến 220kV Ninh Bình-Nma Định,  dây dẫn AC-185, cấp điện cho trạm 110kV Mỹ Lộc hiện đang vận hành vừa tải</w:t>
      </w:r>
      <w:r w:rsidR="006A5F1D" w:rsidRPr="008E63BB">
        <w:rPr>
          <w:szCs w:val="26"/>
          <w:lang w:val="vi-VN"/>
        </w:rPr>
        <w:t>;</w:t>
      </w:r>
    </w:p>
    <w:p w14:paraId="519B2C3C" w14:textId="77777777" w:rsidR="00D04C5A" w:rsidRPr="008E63BB" w:rsidRDefault="006A5F1D" w:rsidP="0065184D">
      <w:pPr>
        <w:ind w:right="-1"/>
        <w:rPr>
          <w:szCs w:val="26"/>
          <w:lang w:val="vi-VN"/>
        </w:rPr>
      </w:pPr>
      <w:r w:rsidRPr="008E63BB">
        <w:rPr>
          <w:i/>
          <w:iCs/>
          <w:szCs w:val="26"/>
          <w:lang w:val="sv-SE"/>
        </w:rPr>
        <w:t>* Lưới phân phố</w:t>
      </w:r>
      <w:r w:rsidR="00D04C5A" w:rsidRPr="008E63BB">
        <w:rPr>
          <w:i/>
          <w:iCs/>
          <w:szCs w:val="26"/>
          <w:lang w:val="sv-SE"/>
        </w:rPr>
        <w:t>i</w:t>
      </w:r>
      <w:r w:rsidRPr="008E63BB">
        <w:rPr>
          <w:i/>
          <w:iCs/>
          <w:szCs w:val="26"/>
          <w:lang w:val="sv-SE"/>
        </w:rPr>
        <w:t>:</w:t>
      </w:r>
    </w:p>
    <w:p w14:paraId="519B2C3D" w14:textId="77777777" w:rsidR="006A5F1D" w:rsidRPr="008E63BB" w:rsidRDefault="006A5F1D" w:rsidP="0065184D">
      <w:pPr>
        <w:ind w:right="-1" w:firstLine="720"/>
        <w:rPr>
          <w:szCs w:val="26"/>
          <w:lang w:val="vi-VN"/>
        </w:rPr>
      </w:pPr>
      <w:r w:rsidRPr="008E63BB">
        <w:rPr>
          <w:szCs w:val="26"/>
          <w:lang w:val="vi-VN"/>
        </w:rPr>
        <w:t>Hiện tại lưới phân phối thành phố Nam Định vận hành ở 2 cấp điện áp là 35, 22kV. Lưới 22kV cấp điện cho phần lớn phụ tải thuộc trung tâm thành phố, còn lưới 35kV chỉ có sau trạm 110kV Phi Trường cấp điện cho phụ tải các xã lân cận.</w:t>
      </w:r>
    </w:p>
    <w:p w14:paraId="519B2C3E" w14:textId="77777777" w:rsidR="00D04C5A" w:rsidRPr="008E63BB" w:rsidRDefault="006A5F1D" w:rsidP="0065184D">
      <w:pPr>
        <w:tabs>
          <w:tab w:val="num" w:pos="900"/>
        </w:tabs>
        <w:ind w:right="-1"/>
        <w:rPr>
          <w:szCs w:val="26"/>
          <w:lang w:val="vi-VN"/>
        </w:rPr>
      </w:pPr>
      <w:r w:rsidRPr="008E63BB">
        <w:rPr>
          <w:i/>
          <w:iCs/>
          <w:szCs w:val="26"/>
          <w:lang w:val="sv-SE"/>
        </w:rPr>
        <w:t>* Đường dây hạ thế:</w:t>
      </w:r>
    </w:p>
    <w:p w14:paraId="519B2C3F" w14:textId="77777777" w:rsidR="006A5F1D" w:rsidRPr="008E63BB" w:rsidRDefault="00D04C5A" w:rsidP="0065184D">
      <w:pPr>
        <w:tabs>
          <w:tab w:val="num" w:pos="720"/>
        </w:tabs>
        <w:ind w:right="-1"/>
        <w:rPr>
          <w:szCs w:val="26"/>
          <w:lang w:val="vi-VN"/>
        </w:rPr>
      </w:pPr>
      <w:r w:rsidRPr="008E63BB">
        <w:rPr>
          <w:szCs w:val="26"/>
          <w:lang w:val="vi-VN"/>
        </w:rPr>
        <w:tab/>
      </w:r>
      <w:r w:rsidR="006A5F1D" w:rsidRPr="008E63BB">
        <w:rPr>
          <w:szCs w:val="26"/>
          <w:lang w:val="vi-VN"/>
        </w:rPr>
        <w:t>- Hiện tại lưới hạ áp thành phố vận hành ổn định ở một số khu vực. Đến nay lưới điện hạ áp chủ yếu sử dụng dây dẫn chủ yếu A, AC,AV, ABC, AXLPE 70, 50, 35. Nên lưới điện hạ áp cần được thiết kế thi công theo đúng tiêu chuẩn để đảm bảo cung cấp điện tin cậy và đảm bảo.</w:t>
      </w:r>
    </w:p>
    <w:p w14:paraId="519B2C40" w14:textId="77777777" w:rsidR="006A5F1D" w:rsidRPr="008E63BB" w:rsidRDefault="006A5F1D" w:rsidP="0065184D">
      <w:pPr>
        <w:tabs>
          <w:tab w:val="num" w:pos="720"/>
        </w:tabs>
        <w:ind w:firstLine="720"/>
        <w:rPr>
          <w:szCs w:val="26"/>
          <w:lang w:val="vi-VN"/>
        </w:rPr>
      </w:pPr>
      <w:r w:rsidRPr="008E63BB">
        <w:rPr>
          <w:szCs w:val="26"/>
          <w:lang w:val="vi-VN"/>
        </w:rPr>
        <w:t>- Lưới chiếu sáng đèn đường đã được xây dựng trong khu vực nội thành, nội thị và một số tuyến đường chính. Hình thức chiếu sáng chủ yếu là cột đèn độc lập, sử dụng bóng Natri cao áp với công suất từ 220V-150W đến 220V- 400W. Lưới điện chiếu sáng cho các khu dân cư xa trung tâm chưa được  đầu tư.</w:t>
      </w:r>
    </w:p>
    <w:p w14:paraId="519B2C41" w14:textId="77777777" w:rsidR="006A5F1D" w:rsidRPr="008E63BB" w:rsidRDefault="006A5F1D" w:rsidP="0065184D">
      <w:pPr>
        <w:rPr>
          <w:b/>
          <w:i/>
          <w:szCs w:val="26"/>
          <w:lang w:val="sv-SE"/>
        </w:rPr>
      </w:pPr>
      <w:r w:rsidRPr="008E63BB">
        <w:rPr>
          <w:b/>
          <w:i/>
          <w:szCs w:val="26"/>
          <w:lang w:val="sv-SE"/>
        </w:rPr>
        <w:t xml:space="preserve">b. Đánh giá sự phát triển lưới điện trong  giai đoạn </w:t>
      </w:r>
      <w:r w:rsidR="0064784B" w:rsidRPr="008E63BB">
        <w:rPr>
          <w:b/>
          <w:i/>
          <w:szCs w:val="26"/>
          <w:lang w:val="sv-SE"/>
        </w:rPr>
        <w:t>2011-2019</w:t>
      </w:r>
      <w:r w:rsidRPr="008E63BB">
        <w:rPr>
          <w:b/>
          <w:i/>
          <w:szCs w:val="26"/>
          <w:lang w:val="sv-SE"/>
        </w:rPr>
        <w:t>:</w:t>
      </w:r>
    </w:p>
    <w:p w14:paraId="519B2C42" w14:textId="77777777" w:rsidR="006A5F1D" w:rsidRPr="008E63BB" w:rsidRDefault="006A5F1D" w:rsidP="0065184D">
      <w:pPr>
        <w:ind w:firstLine="720"/>
        <w:rPr>
          <w:szCs w:val="26"/>
          <w:lang w:val="sv-SE"/>
        </w:rPr>
      </w:pPr>
      <w:r w:rsidRPr="008E63BB">
        <w:rPr>
          <w:szCs w:val="26"/>
          <w:lang w:val="sv-SE"/>
        </w:rPr>
        <w:t xml:space="preserve">Thành Phố là phụ tải lớn nhất tỉnh tuy nhiên tốc độ phát triển phụ tải của Thành phố Nam Định lại thấp nhất trong toàn tỉnh. Sau đây là thống kê về phát triển về nguồn và lưới điện trong giai đoạn </w:t>
      </w:r>
      <w:r w:rsidR="0064784B" w:rsidRPr="008E63BB">
        <w:rPr>
          <w:szCs w:val="26"/>
          <w:lang w:val="sv-SE"/>
        </w:rPr>
        <w:t>2011-2019.</w:t>
      </w:r>
    </w:p>
    <w:p w14:paraId="519B2C43" w14:textId="77777777" w:rsidR="006A5F1D" w:rsidRPr="008E63BB" w:rsidRDefault="006A5F1D" w:rsidP="0065184D">
      <w:pPr>
        <w:ind w:firstLine="720"/>
        <w:rPr>
          <w:szCs w:val="26"/>
          <w:lang w:val="sv-SE"/>
        </w:rPr>
      </w:pPr>
      <w:r w:rsidRPr="008E63BB">
        <w:rPr>
          <w:szCs w:val="26"/>
          <w:lang w:val="sv-SE"/>
        </w:rPr>
        <w:t>- Dung lượng trạm 220kV tăng thêm 250MVA ,như vậy đáp ứng nhu cầu tiêu thụ điện của TP Nam Định.</w:t>
      </w:r>
    </w:p>
    <w:p w14:paraId="519B2C44" w14:textId="77777777" w:rsidR="006A5F1D" w:rsidRPr="008E63BB" w:rsidRDefault="006A5F1D" w:rsidP="0065184D">
      <w:pPr>
        <w:ind w:firstLine="720"/>
        <w:rPr>
          <w:szCs w:val="26"/>
          <w:lang w:val="sv-SE"/>
        </w:rPr>
      </w:pPr>
      <w:r w:rsidRPr="008E63BB">
        <w:rPr>
          <w:szCs w:val="26"/>
          <w:lang w:val="sv-SE"/>
        </w:rPr>
        <w:t>- Số lượng trạm 110kV không thay đổi vẫn là 4 trạm, tổng dung lượng trạm 110kV</w:t>
      </w:r>
    </w:p>
    <w:p w14:paraId="519B2C45" w14:textId="77777777" w:rsidR="006A5F1D" w:rsidRPr="008E63BB" w:rsidRDefault="006A5F1D" w:rsidP="0065184D">
      <w:pPr>
        <w:rPr>
          <w:szCs w:val="26"/>
          <w:lang w:val="sv-SE"/>
        </w:rPr>
      </w:pPr>
      <w:r w:rsidRPr="008E63BB">
        <w:rPr>
          <w:szCs w:val="26"/>
          <w:lang w:val="sv-SE"/>
        </w:rPr>
        <w:t xml:space="preserve"> tăng thêm là 40MVA. Lưới điện 110kV không phát triển thêm.</w:t>
      </w:r>
    </w:p>
    <w:p w14:paraId="519B2C46" w14:textId="77777777" w:rsidR="006A5F1D" w:rsidRPr="008E63BB" w:rsidRDefault="006A5F1D" w:rsidP="0065184D">
      <w:pPr>
        <w:ind w:firstLine="720"/>
        <w:rPr>
          <w:szCs w:val="26"/>
          <w:lang w:val="sv-SE"/>
        </w:rPr>
      </w:pPr>
      <w:r w:rsidRPr="008E63BB">
        <w:rPr>
          <w:szCs w:val="26"/>
          <w:lang w:val="sv-SE"/>
        </w:rPr>
        <w:t xml:space="preserve">- Khối lượng đường dây hạ áp và công tơ tăng nhiều từ các chương trình tiếp nhận lưới điện nông thôn về cho Ngành điện quản lý và bán điện trực tiếp đến các hộ dân. </w:t>
      </w:r>
    </w:p>
    <w:p w14:paraId="519B2C47" w14:textId="77777777" w:rsidR="006A5F1D" w:rsidRPr="008E63BB" w:rsidRDefault="006A5F1D" w:rsidP="0065184D">
      <w:pPr>
        <w:ind w:firstLine="720"/>
        <w:rPr>
          <w:szCs w:val="26"/>
          <w:lang w:val="sv-SE"/>
        </w:rPr>
      </w:pPr>
      <w:r w:rsidRPr="008E63BB">
        <w:rPr>
          <w:szCs w:val="26"/>
          <w:lang w:val="sv-SE"/>
        </w:rPr>
        <w:t>Trong các năm qua Công ty Điện lực Nam Định thực hiện cải tạo nâng cấp lưới điện 6kV, 10kV lên 22kV và 35kV, cũng như cải tạo nâng cấp lưới điện hạ áp sau tiếp nhận và nâng cấp tiết diện dây dẫn các tuyến trung áp 22kV, 35kV nên giảm được khá nhiều tổn thất điện năng. Tuy nhiên tổn thất điện năng của tỉnh vẫn ở mức cao.</w:t>
      </w:r>
    </w:p>
    <w:p w14:paraId="519B2C48" w14:textId="77777777" w:rsidR="006A5F1D" w:rsidRPr="008E63BB" w:rsidRDefault="006A5F1D" w:rsidP="0065184D">
      <w:pPr>
        <w:ind w:firstLine="720"/>
        <w:rPr>
          <w:szCs w:val="26"/>
          <w:lang w:val="sv-SE"/>
        </w:rPr>
      </w:pPr>
      <w:r w:rsidRPr="008E63BB">
        <w:rPr>
          <w:szCs w:val="26"/>
          <w:lang w:val="sv-SE"/>
        </w:rPr>
        <w:t>Nhìn vào đánh giá sơ bộ có thể thấy tốc độ phát triển nguồn lưới điện của riêng TP Nam Định là khá thấp, chất lượng kém tiêu biểu là dự án lưới điện hạ áp nông thôn đã xuống cấp nghiêm trọng.</w:t>
      </w:r>
    </w:p>
    <w:p w14:paraId="519B2C49" w14:textId="77777777" w:rsidR="006A5F1D" w:rsidRPr="008E63BB" w:rsidRDefault="006A5F1D" w:rsidP="0065184D">
      <w:pPr>
        <w:rPr>
          <w:szCs w:val="26"/>
          <w:lang w:val="sv-SE"/>
        </w:rPr>
      </w:pPr>
      <w:r w:rsidRPr="008E63BB">
        <w:rPr>
          <w:b/>
          <w:i/>
          <w:szCs w:val="26"/>
          <w:lang w:val="sv-SE"/>
        </w:rPr>
        <w:t>c. So sánh hiện trạng 201</w:t>
      </w:r>
      <w:r w:rsidR="0064784B" w:rsidRPr="008E63BB">
        <w:rPr>
          <w:b/>
          <w:i/>
          <w:szCs w:val="26"/>
          <w:lang w:val="sv-SE"/>
        </w:rPr>
        <w:t>9</w:t>
      </w:r>
      <w:r w:rsidRPr="008E63BB">
        <w:rPr>
          <w:b/>
          <w:i/>
          <w:szCs w:val="26"/>
          <w:lang w:val="sv-SE"/>
        </w:rPr>
        <w:t xml:space="preserve"> với quy hoạch được đề ra từ 2011:</w:t>
      </w:r>
    </w:p>
    <w:p w14:paraId="519B2C4A" w14:textId="77777777" w:rsidR="006A5F1D" w:rsidRPr="008E63BB" w:rsidRDefault="006A5F1D" w:rsidP="0065184D">
      <w:pPr>
        <w:ind w:firstLine="720"/>
        <w:rPr>
          <w:szCs w:val="26"/>
          <w:lang w:val="sv-SE"/>
        </w:rPr>
      </w:pPr>
      <w:r w:rsidRPr="008E63BB">
        <w:rPr>
          <w:szCs w:val="26"/>
          <w:lang w:val="sv-SE"/>
        </w:rPr>
        <w:t xml:space="preserve">- Về thực hiện nguồn trạm 220kV: Giai đoạn 2011-2015 công suất trạm 220kV tăng thêm là 250MVA đạt tiến độ theo quy hoạch, tổng công suất nguồn trạm 220kV trên địa bàn TP Nam Định là 500MVA. </w:t>
      </w:r>
    </w:p>
    <w:p w14:paraId="519B2C4B" w14:textId="77777777" w:rsidR="006A5F1D" w:rsidRPr="008E63BB" w:rsidRDefault="006A5F1D" w:rsidP="0065184D">
      <w:pPr>
        <w:ind w:firstLine="720"/>
        <w:rPr>
          <w:szCs w:val="26"/>
          <w:lang w:val="sv-SE"/>
        </w:rPr>
      </w:pPr>
      <w:r w:rsidRPr="008E63BB">
        <w:rPr>
          <w:szCs w:val="26"/>
          <w:lang w:val="sv-SE"/>
        </w:rPr>
        <w:lastRenderedPageBreak/>
        <w:t xml:space="preserve">- </w:t>
      </w:r>
      <w:r w:rsidR="007E65C8" w:rsidRPr="008E63BB">
        <w:rPr>
          <w:szCs w:val="26"/>
          <w:lang w:val="sv-SE"/>
        </w:rPr>
        <w:t>Quy hoạch đề ra xây dựng 2 tuyến 220kV: mạch kép Nam Định - Trực Ninh, mạch số 2 Ninh Bình - Nam Định, tuy nhiên đến nay mới thực hiện xây dựng được mạch 2 tuyến 220kV Ninh Bình-Nam Định , chậm tiến độ đề ra</w:t>
      </w:r>
      <w:r w:rsidRPr="008E63BB">
        <w:rPr>
          <w:szCs w:val="26"/>
          <w:lang w:val="sv-SE"/>
        </w:rPr>
        <w:t>.</w:t>
      </w:r>
    </w:p>
    <w:p w14:paraId="519B2C4C" w14:textId="77777777" w:rsidR="006A5F1D" w:rsidRPr="008E63BB" w:rsidRDefault="006A5F1D" w:rsidP="0065184D">
      <w:pPr>
        <w:ind w:firstLine="720"/>
        <w:rPr>
          <w:szCs w:val="26"/>
          <w:lang w:val="sv-SE"/>
        </w:rPr>
      </w:pPr>
      <w:r w:rsidRPr="008E63BB">
        <w:rPr>
          <w:szCs w:val="26"/>
          <w:lang w:val="sv-SE"/>
        </w:rPr>
        <w:t xml:space="preserve">- Về thực hiện phát triển lưới điện 110kV: </w:t>
      </w:r>
    </w:p>
    <w:p w14:paraId="519B2C4D" w14:textId="77777777" w:rsidR="006A5F1D" w:rsidRPr="008E63BB" w:rsidRDefault="00D04C5A" w:rsidP="0065184D">
      <w:pPr>
        <w:rPr>
          <w:szCs w:val="26"/>
          <w:lang w:val="sv-SE"/>
        </w:rPr>
      </w:pPr>
      <w:r w:rsidRPr="008E63BB">
        <w:rPr>
          <w:szCs w:val="26"/>
          <w:lang w:val="sv-SE"/>
        </w:rPr>
        <w:tab/>
      </w:r>
      <w:r w:rsidR="006A5F1D" w:rsidRPr="008E63BB">
        <w:rPr>
          <w:szCs w:val="26"/>
          <w:lang w:val="sv-SE"/>
        </w:rPr>
        <w:t>+ Nâng công suất trạm Nam Định E3.7 lên 25+40MVA chậm tiến độ.</w:t>
      </w:r>
    </w:p>
    <w:p w14:paraId="519B2C4E" w14:textId="77777777" w:rsidR="006A5F1D" w:rsidRPr="008E63BB" w:rsidRDefault="00D04C5A" w:rsidP="0065184D">
      <w:pPr>
        <w:rPr>
          <w:szCs w:val="26"/>
          <w:lang w:val="sv-SE"/>
        </w:rPr>
      </w:pPr>
      <w:r w:rsidRPr="008E63BB">
        <w:rPr>
          <w:szCs w:val="26"/>
          <w:lang w:val="sv-SE"/>
        </w:rPr>
        <w:tab/>
      </w:r>
      <w:r w:rsidR="006A5F1D" w:rsidRPr="008E63BB">
        <w:rPr>
          <w:szCs w:val="26"/>
          <w:lang w:val="sv-SE"/>
        </w:rPr>
        <w:t>+ Nâng công suất trạm Mỹ Lộc lên 2x25MVA chậm tiến độ.</w:t>
      </w:r>
    </w:p>
    <w:p w14:paraId="519B2C4F" w14:textId="77777777" w:rsidR="006A5F1D" w:rsidRPr="008E63BB" w:rsidRDefault="006A5F1D" w:rsidP="0065184D">
      <w:pPr>
        <w:ind w:firstLine="720"/>
        <w:rPr>
          <w:szCs w:val="26"/>
          <w:lang w:val="sv-SE"/>
        </w:rPr>
      </w:pPr>
      <w:r w:rsidRPr="008E63BB">
        <w:rPr>
          <w:szCs w:val="26"/>
          <w:lang w:val="sv-SE"/>
        </w:rPr>
        <w:t xml:space="preserve"> + Nâng công suất trạm Mỹ Xá lên 2x40MVA đạt tiến độ theo quy hoạch.</w:t>
      </w:r>
    </w:p>
    <w:p w14:paraId="519B2C50" w14:textId="77777777" w:rsidR="006A5F1D" w:rsidRPr="008E63BB" w:rsidRDefault="006A5F1D" w:rsidP="0065184D">
      <w:pPr>
        <w:ind w:firstLine="720"/>
        <w:rPr>
          <w:szCs w:val="26"/>
          <w:lang w:val="sv-SE"/>
        </w:rPr>
      </w:pPr>
      <w:r w:rsidRPr="008E63BB">
        <w:rPr>
          <w:szCs w:val="26"/>
          <w:lang w:val="sv-SE"/>
        </w:rPr>
        <w:t xml:space="preserve"> + Xây dựng mới trạm 110kV Nam Điền 1x40MVA bị chậm tiến độ(hiện chưa có gì).</w:t>
      </w:r>
    </w:p>
    <w:p w14:paraId="519B2C51" w14:textId="77777777" w:rsidR="006A5F1D" w:rsidRPr="008E63BB" w:rsidRDefault="006A5F1D" w:rsidP="0065184D">
      <w:pPr>
        <w:ind w:firstLine="720"/>
        <w:rPr>
          <w:szCs w:val="26"/>
          <w:lang w:val="sv-SE"/>
        </w:rPr>
      </w:pPr>
      <w:r w:rsidRPr="008E63BB">
        <w:rPr>
          <w:szCs w:val="26"/>
          <w:lang w:val="sv-SE"/>
        </w:rPr>
        <w:t>- Về thực hiện phát triển lưới điện trung, hạ áp: Phát triển lưới điện trung, hạ áp tỉnh Nam Định đều đạt so với quy hoạch đã đề ra. Lưới điện trung áp có độ dự phòng cao tuy vẫn còn một số tuyến mang tải cao, chiều dài lớn. Lưới điện hạ áp tăng cao do chương trình tiếp nhận lưới điện nông thôn nên chất lượng còn kém, cần thêm nhiều nguồn vốn để cải tạo và nâng cấp lưới điện để đảm bảo chất lượng điện năng.</w:t>
      </w:r>
    </w:p>
    <w:p w14:paraId="519B2C52" w14:textId="77777777" w:rsidR="006A5F1D" w:rsidRPr="008E63BB" w:rsidRDefault="006A5F1D" w:rsidP="0065184D">
      <w:pPr>
        <w:ind w:firstLine="720"/>
        <w:rPr>
          <w:b/>
          <w:i/>
          <w:szCs w:val="26"/>
          <w:lang w:val="sv-SE"/>
        </w:rPr>
      </w:pPr>
      <w:r w:rsidRPr="008E63BB">
        <w:rPr>
          <w:b/>
          <w:i/>
          <w:szCs w:val="26"/>
          <w:lang w:val="sv-SE"/>
        </w:rPr>
        <w:t xml:space="preserve">Một số nhận xét, đánh giá về hiện trạng lưới điện TP Nam Định, mục đích đưa ra phương án Quy </w:t>
      </w:r>
      <w:r w:rsidR="00971236" w:rsidRPr="008E63BB">
        <w:rPr>
          <w:b/>
          <w:i/>
          <w:szCs w:val="26"/>
          <w:lang w:val="sv-SE"/>
        </w:rPr>
        <w:t>h</w:t>
      </w:r>
      <w:r w:rsidRPr="008E63BB">
        <w:rPr>
          <w:b/>
          <w:i/>
          <w:szCs w:val="26"/>
          <w:lang w:val="sv-SE"/>
        </w:rPr>
        <w:t>oạch giai đoạn 201</w:t>
      </w:r>
      <w:r w:rsidR="0064784B" w:rsidRPr="008E63BB">
        <w:rPr>
          <w:b/>
          <w:i/>
          <w:szCs w:val="26"/>
          <w:lang w:val="sv-SE"/>
        </w:rPr>
        <w:t>9</w:t>
      </w:r>
      <w:r w:rsidRPr="008E63BB">
        <w:rPr>
          <w:b/>
          <w:i/>
          <w:szCs w:val="26"/>
          <w:lang w:val="sv-SE"/>
        </w:rPr>
        <w:t>-2035 chính xác nhất:</w:t>
      </w:r>
    </w:p>
    <w:p w14:paraId="519B2C53" w14:textId="77777777" w:rsidR="006A5F1D" w:rsidRPr="008E63BB" w:rsidRDefault="006A5F1D" w:rsidP="0065184D">
      <w:pPr>
        <w:ind w:firstLine="720"/>
        <w:rPr>
          <w:i/>
          <w:szCs w:val="26"/>
          <w:lang w:val="sv-SE"/>
        </w:rPr>
      </w:pPr>
      <w:r w:rsidRPr="008E63BB">
        <w:rPr>
          <w:i/>
          <w:szCs w:val="26"/>
          <w:lang w:val="sv-SE"/>
        </w:rPr>
        <w:t>Lưới điện 220kV tỉnh Nam Định hiện được cấp từ 2 nguồn trạm 220kV, trong đó đường dây 220kV Nam Định - Thái Bình thành mạch kép, đường dây 220kV Ninh Bình - Nam Định là đường dây phân pha 2 mạch, do vậy khả năng đảm bảo công suất truyền tải giữa lưới điện 220kV của tỉnh với các tỉnh lân cận vẫn ở mức cao.</w:t>
      </w:r>
    </w:p>
    <w:p w14:paraId="519B2C54" w14:textId="77777777" w:rsidR="006A5F1D" w:rsidRPr="008E63BB" w:rsidRDefault="006A5F1D" w:rsidP="0065184D">
      <w:pPr>
        <w:rPr>
          <w:i/>
          <w:szCs w:val="26"/>
          <w:lang w:val="sv-SE"/>
        </w:rPr>
      </w:pPr>
      <w:r w:rsidRPr="008E63BB">
        <w:rPr>
          <w:i/>
          <w:szCs w:val="26"/>
          <w:lang w:val="sv-SE"/>
        </w:rPr>
        <w:t>Công suất trạm 220kV Nam Định thấp 2x250MVA đảm bảo cấp điện cho phụ tải trên địa bàn thành phố</w:t>
      </w:r>
    </w:p>
    <w:p w14:paraId="519B2C55" w14:textId="77777777" w:rsidR="006A5F1D" w:rsidRPr="008E63BB" w:rsidRDefault="006A5F1D" w:rsidP="0065184D">
      <w:pPr>
        <w:ind w:firstLine="720"/>
        <w:rPr>
          <w:i/>
          <w:spacing w:val="-4"/>
          <w:szCs w:val="26"/>
          <w:lang w:val="sv-SE"/>
        </w:rPr>
      </w:pPr>
      <w:r w:rsidRPr="008E63BB">
        <w:rPr>
          <w:i/>
          <w:spacing w:val="-4"/>
          <w:szCs w:val="26"/>
          <w:lang w:val="sv-SE"/>
        </w:rPr>
        <w:t>Hiện chỉ có trạm 110kV Phi Trường là không còn khả năng mở rộng, tuy nhiên còn 3 trạm 110kV còn lại có thể nâng công suất đảm bảo dự phòng cấp điện trong tương lai..</w:t>
      </w:r>
    </w:p>
    <w:p w14:paraId="519B2C56" w14:textId="77777777" w:rsidR="006A5F1D" w:rsidRPr="008E63BB" w:rsidRDefault="006A5F1D" w:rsidP="0065184D">
      <w:pPr>
        <w:ind w:firstLine="720"/>
        <w:rPr>
          <w:i/>
          <w:szCs w:val="26"/>
          <w:lang w:val="sv-SE"/>
        </w:rPr>
      </w:pPr>
      <w:r w:rsidRPr="008E63BB">
        <w:rPr>
          <w:i/>
          <w:szCs w:val="26"/>
          <w:lang w:val="sv-SE"/>
        </w:rPr>
        <w:t xml:space="preserve">Hầu hết các tuyến dây 110kV trên địa bàn tỉnh Nam Định có tiết diện nhỏ (AC- 120,150,185), các tuyến đều là mạch đơn nên khả năng đảm bảo cấp điện ổn định trong trường hợp sự cố thấp. </w:t>
      </w:r>
    </w:p>
    <w:p w14:paraId="519B2C57" w14:textId="77777777" w:rsidR="002677E4" w:rsidRPr="008E63BB" w:rsidRDefault="006A5F1D" w:rsidP="0065184D">
      <w:pPr>
        <w:ind w:firstLine="720"/>
        <w:rPr>
          <w:szCs w:val="26"/>
          <w:lang w:val="vi-VN"/>
        </w:rPr>
      </w:pPr>
      <w:r w:rsidRPr="008E63BB">
        <w:rPr>
          <w:i/>
          <w:szCs w:val="26"/>
          <w:lang w:val="sv-SE"/>
        </w:rPr>
        <w:t>Hiện chưa có nhiều mạch vòng liên kết lưới điện 110kV nếu có thì mức độ hỗ trợ lẫn nhau giữa các tuyến còn thấp do tiết diện dây dẫn nhỏ, các đường dây hầu hết đều là đường dây mạch đơn</w:t>
      </w:r>
    </w:p>
    <w:p w14:paraId="519B2C58" w14:textId="77777777" w:rsidR="00303AEB" w:rsidRPr="008E63BB" w:rsidRDefault="00A71373" w:rsidP="0065184D">
      <w:pPr>
        <w:pStyle w:val="Heading3"/>
        <w:rPr>
          <w:lang w:val="vi-VN"/>
        </w:rPr>
      </w:pPr>
      <w:bookmarkStart w:id="248" w:name="_Toc21954841"/>
      <w:bookmarkStart w:id="249" w:name="_Toc21955340"/>
      <w:bookmarkStart w:id="250" w:name="_Toc24361914"/>
      <w:bookmarkStart w:id="251" w:name="_Toc47524673"/>
      <w:r w:rsidRPr="008E63BB">
        <w:rPr>
          <w:lang w:val="vi-VN"/>
        </w:rPr>
        <w:t>2.7</w:t>
      </w:r>
      <w:r w:rsidR="00303AEB" w:rsidRPr="008E63BB">
        <w:rPr>
          <w:lang w:val="vi-VN"/>
        </w:rPr>
        <w:t>.5. Hiện trạng xử lý nước thải, quản lý CTR và nghĩa trang</w:t>
      </w:r>
      <w:bookmarkEnd w:id="243"/>
      <w:bookmarkEnd w:id="244"/>
      <w:bookmarkEnd w:id="245"/>
      <w:bookmarkEnd w:id="246"/>
      <w:bookmarkEnd w:id="247"/>
      <w:bookmarkEnd w:id="248"/>
      <w:bookmarkEnd w:id="249"/>
      <w:bookmarkEnd w:id="250"/>
      <w:bookmarkEnd w:id="251"/>
    </w:p>
    <w:p w14:paraId="519B2C59" w14:textId="77777777" w:rsidR="006A5F1D" w:rsidRPr="008E63BB" w:rsidRDefault="006A5F1D" w:rsidP="0065184D">
      <w:pPr>
        <w:rPr>
          <w:b/>
          <w:i/>
          <w:szCs w:val="26"/>
          <w:lang w:val="vi-VN"/>
        </w:rPr>
      </w:pPr>
      <w:bookmarkStart w:id="252" w:name="_Toc330799148"/>
      <w:bookmarkStart w:id="253" w:name="_Toc341519030"/>
      <w:bookmarkStart w:id="254" w:name="_Toc341519131"/>
      <w:bookmarkStart w:id="255" w:name="_Toc344928443"/>
      <w:bookmarkStart w:id="256" w:name="_Toc345538351"/>
      <w:r w:rsidRPr="008E63BB">
        <w:rPr>
          <w:b/>
          <w:i/>
          <w:szCs w:val="26"/>
          <w:lang w:val="vi-VN"/>
        </w:rPr>
        <w:t>a. Hiện trạng thoát nước:</w:t>
      </w:r>
    </w:p>
    <w:p w14:paraId="519B2C5A" w14:textId="77777777" w:rsidR="006A5F1D" w:rsidRPr="008E63BB" w:rsidRDefault="006A5F1D" w:rsidP="0065184D">
      <w:pPr>
        <w:autoSpaceDE w:val="0"/>
        <w:autoSpaceDN w:val="0"/>
        <w:adjustRightInd w:val="0"/>
        <w:rPr>
          <w:b/>
          <w:i/>
          <w:szCs w:val="26"/>
          <w:lang w:val="sv-SE"/>
        </w:rPr>
      </w:pPr>
      <w:r w:rsidRPr="008E63BB">
        <w:rPr>
          <w:b/>
          <w:i/>
          <w:szCs w:val="26"/>
          <w:lang w:val="sv-SE"/>
        </w:rPr>
        <w:t>a1. Thoát nước thải</w:t>
      </w:r>
    </w:p>
    <w:p w14:paraId="519B2C5B" w14:textId="77777777" w:rsidR="006A5F1D" w:rsidRPr="008E63BB" w:rsidRDefault="006A5F1D" w:rsidP="0065184D">
      <w:pPr>
        <w:ind w:firstLine="567"/>
        <w:rPr>
          <w:i/>
          <w:szCs w:val="26"/>
          <w:lang w:val="vi-VN"/>
        </w:rPr>
      </w:pPr>
      <w:r w:rsidRPr="008E63BB">
        <w:rPr>
          <w:i/>
          <w:szCs w:val="26"/>
          <w:lang w:val="vi-VN"/>
        </w:rPr>
        <w:t xml:space="preserve">* Nước thải sinh hoạt: </w:t>
      </w:r>
    </w:p>
    <w:p w14:paraId="519B2C5C" w14:textId="77777777" w:rsidR="006A5F1D" w:rsidRPr="008E63BB" w:rsidRDefault="006A5F1D" w:rsidP="0065184D">
      <w:pPr>
        <w:ind w:firstLine="567"/>
        <w:rPr>
          <w:szCs w:val="26"/>
          <w:lang w:val="vi-VN"/>
        </w:rPr>
      </w:pPr>
      <w:r w:rsidRPr="008E63BB">
        <w:rPr>
          <w:szCs w:val="26"/>
          <w:lang w:val="vi-VN"/>
        </w:rPr>
        <w:t>Hệ thống thoát nước hiện trạng của thành phố và phạm vi nghiên cứu mở rộng là hệ thống thoát  nước chung cho cả nước thải và nước mưa; chưa có trạm xử lý nước thải tập trung (riêng các khu đô thị mới đã có hệ thống thoát nước thải riêng).</w:t>
      </w:r>
    </w:p>
    <w:p w14:paraId="519B2C5D" w14:textId="77777777" w:rsidR="006A5F1D" w:rsidRPr="008E63BB" w:rsidRDefault="006A5F1D" w:rsidP="0065184D">
      <w:pPr>
        <w:ind w:firstLine="567"/>
        <w:rPr>
          <w:szCs w:val="26"/>
          <w:lang w:val="vi-VN"/>
        </w:rPr>
      </w:pPr>
      <w:r w:rsidRPr="008E63BB">
        <w:rPr>
          <w:szCs w:val="26"/>
          <w:lang w:val="vi-VN"/>
        </w:rPr>
        <w:t xml:space="preserve"> Mạng lưới thoát nước thành phố được chia theo 3 lưu vực thoát nước chính  phía Đông Bắc, phía Tây Nam và hướng Tây Bắc, cụ thể:</w:t>
      </w:r>
    </w:p>
    <w:p w14:paraId="519B2C5E" w14:textId="77777777" w:rsidR="006A5F1D" w:rsidRPr="008E63BB" w:rsidRDefault="006A5F1D" w:rsidP="0065184D">
      <w:pPr>
        <w:tabs>
          <w:tab w:val="left" w:pos="851"/>
          <w:tab w:val="left" w:pos="1134"/>
        </w:tabs>
        <w:ind w:left="567"/>
        <w:rPr>
          <w:i/>
          <w:szCs w:val="26"/>
          <w:lang w:val="vi-VN"/>
        </w:rPr>
      </w:pPr>
      <w:r w:rsidRPr="008E63BB">
        <w:rPr>
          <w:i/>
          <w:szCs w:val="26"/>
          <w:lang w:val="vi-VN"/>
        </w:rPr>
        <w:t>Lưu vực phía Tây Nam thành phố</w:t>
      </w:r>
    </w:p>
    <w:p w14:paraId="519B2C5F" w14:textId="77777777" w:rsidR="006A5F1D" w:rsidRPr="008E63BB" w:rsidRDefault="006A5F1D" w:rsidP="0065184D">
      <w:pPr>
        <w:ind w:firstLine="567"/>
        <w:rPr>
          <w:szCs w:val="26"/>
          <w:lang w:val="vi-VN"/>
        </w:rPr>
      </w:pPr>
      <w:r w:rsidRPr="008E63BB">
        <w:rPr>
          <w:szCs w:val="26"/>
          <w:lang w:val="vi-VN"/>
        </w:rPr>
        <w:t xml:space="preserve">Nước mưa, nước thải qua hệ thống cống, mương thuộc các phường Trần Hưng Đạo, Văn Miếu, Trường Thi, phường Năng Tĩnh, phường Ngô Quyền và phường Trần Quang Khải đổ ra Kênh Gia chảy về trạm bơm Kênh Gia và được bơm ra sông Đào. </w:t>
      </w:r>
    </w:p>
    <w:p w14:paraId="519B2C60" w14:textId="77777777" w:rsidR="006A5F1D" w:rsidRPr="008E63BB" w:rsidRDefault="006A5F1D" w:rsidP="0065184D">
      <w:pPr>
        <w:tabs>
          <w:tab w:val="left" w:pos="851"/>
          <w:tab w:val="left" w:pos="1134"/>
        </w:tabs>
        <w:ind w:left="567"/>
        <w:rPr>
          <w:i/>
          <w:szCs w:val="26"/>
          <w:lang w:val="vi-VN"/>
        </w:rPr>
      </w:pPr>
      <w:r w:rsidRPr="008E63BB">
        <w:rPr>
          <w:i/>
          <w:szCs w:val="26"/>
          <w:lang w:val="vi-VN"/>
        </w:rPr>
        <w:t>Lưu vực phía Đông Bắc thành phố</w:t>
      </w:r>
    </w:p>
    <w:p w14:paraId="519B2C61" w14:textId="77777777" w:rsidR="006A5F1D" w:rsidRPr="008E63BB" w:rsidRDefault="006A5F1D" w:rsidP="0065184D">
      <w:pPr>
        <w:ind w:firstLine="567"/>
        <w:rPr>
          <w:szCs w:val="26"/>
          <w:lang w:val="vi-VN"/>
        </w:rPr>
      </w:pPr>
      <w:r w:rsidRPr="008E63BB">
        <w:rPr>
          <w:szCs w:val="26"/>
          <w:lang w:val="vi-VN"/>
        </w:rPr>
        <w:t xml:space="preserve">Nước mưa, nước thải qua hệ thống cống, mương hiện trạng thuộc các phường Lộc Hạ, </w:t>
      </w:r>
      <w:r w:rsidR="00450752" w:rsidRPr="008E63BB">
        <w:rPr>
          <w:szCs w:val="26"/>
          <w:lang w:val="vi-VN"/>
        </w:rPr>
        <w:t>Nam Định</w:t>
      </w:r>
      <w:r w:rsidRPr="008E63BB">
        <w:rPr>
          <w:szCs w:val="26"/>
          <w:lang w:val="vi-VN"/>
        </w:rPr>
        <w:t xml:space="preserve">, Trần Tế Xương, Vị Hoàng, Phan Đình Phùng một phần đổ ra các hồ chứa nước hiện trạng như hồ Vị Xuyên, hồ Lê Hồng Phong, hồ Vị Hoàng sau đó đổ ra kênh thoát T3-11 chảy về trạm bơm Quán Chuột và được bơm ra sông Đào. </w:t>
      </w:r>
    </w:p>
    <w:p w14:paraId="519B2C62" w14:textId="77777777" w:rsidR="006A5F1D" w:rsidRPr="008E63BB" w:rsidRDefault="006A5F1D" w:rsidP="0065184D">
      <w:pPr>
        <w:tabs>
          <w:tab w:val="left" w:pos="851"/>
          <w:tab w:val="left" w:pos="1134"/>
        </w:tabs>
        <w:ind w:left="567"/>
        <w:rPr>
          <w:i/>
          <w:szCs w:val="26"/>
          <w:lang w:val="vi-VN"/>
        </w:rPr>
      </w:pPr>
      <w:r w:rsidRPr="008E63BB">
        <w:rPr>
          <w:i/>
          <w:szCs w:val="26"/>
          <w:lang w:val="vi-VN"/>
        </w:rPr>
        <w:lastRenderedPageBreak/>
        <w:t xml:space="preserve">Lưu vực phía Tây </w:t>
      </w:r>
      <w:r w:rsidR="00482664" w:rsidRPr="008E63BB">
        <w:rPr>
          <w:i/>
          <w:szCs w:val="26"/>
          <w:lang w:val="vi-VN"/>
        </w:rPr>
        <w:t>B</w:t>
      </w:r>
      <w:r w:rsidRPr="008E63BB">
        <w:rPr>
          <w:i/>
          <w:szCs w:val="26"/>
          <w:lang w:val="vi-VN"/>
        </w:rPr>
        <w:t xml:space="preserve">ắc thành phố </w:t>
      </w:r>
    </w:p>
    <w:p w14:paraId="519B2C63" w14:textId="77777777" w:rsidR="006A5F1D" w:rsidRPr="008E63BB" w:rsidRDefault="006A5F1D" w:rsidP="0065184D">
      <w:pPr>
        <w:ind w:firstLine="567"/>
        <w:rPr>
          <w:szCs w:val="26"/>
          <w:lang w:val="vi-VN"/>
        </w:rPr>
      </w:pPr>
      <w:r w:rsidRPr="008E63BB">
        <w:rPr>
          <w:szCs w:val="26"/>
          <w:lang w:val="vi-VN"/>
        </w:rPr>
        <w:t>Nước mưa, nước thải qua hệ thống cống, mương hiện trạng thuộc các phường Lộc Vượng, Thống Nhất, Quang Trung, Bà Triệu, Nguyễn Du, Cửa Bắc, Trần Đăng Ninh thoát ra kênh T3-11 chảy về trạm bơm Quán Chuột, một phần thoát ra sông Vĩnh Giang.</w:t>
      </w:r>
    </w:p>
    <w:p w14:paraId="519B2C64" w14:textId="77777777" w:rsidR="006A5F1D" w:rsidRPr="008E63BB" w:rsidRDefault="006A5F1D" w:rsidP="0065184D">
      <w:pPr>
        <w:autoSpaceDE w:val="0"/>
        <w:autoSpaceDN w:val="0"/>
        <w:adjustRightInd w:val="0"/>
        <w:rPr>
          <w:szCs w:val="26"/>
          <w:lang w:val="vi-VN"/>
        </w:rPr>
      </w:pPr>
      <w:r w:rsidRPr="008E63BB">
        <w:rPr>
          <w:szCs w:val="26"/>
          <w:lang w:val="vi-VN"/>
        </w:rPr>
        <w:tab/>
        <w:t>Ba lưu vực này sẽ thoát ra 2 công trình đầu mối là Trạm bơm Kênh Gia, trạm bơm Quán Chuột và một phần tự chảy thoát ra sông Vĩnh Giang.</w:t>
      </w:r>
    </w:p>
    <w:p w14:paraId="519B2C65" w14:textId="77777777" w:rsidR="006A5F1D" w:rsidRPr="008E63BB" w:rsidRDefault="006A5F1D" w:rsidP="0065184D">
      <w:pPr>
        <w:autoSpaceDE w:val="0"/>
        <w:autoSpaceDN w:val="0"/>
        <w:adjustRightInd w:val="0"/>
        <w:rPr>
          <w:i/>
          <w:szCs w:val="26"/>
          <w:lang w:val="vi-VN"/>
        </w:rPr>
      </w:pPr>
      <w:r w:rsidRPr="008E63BB">
        <w:rPr>
          <w:i/>
          <w:szCs w:val="26"/>
          <w:lang w:val="vi-VN"/>
        </w:rPr>
        <w:t>* Nước thải y tế:</w:t>
      </w:r>
    </w:p>
    <w:p w14:paraId="519B2C66" w14:textId="77777777" w:rsidR="006A5F1D" w:rsidRPr="008E63BB" w:rsidRDefault="006A5F1D" w:rsidP="0065184D">
      <w:pPr>
        <w:autoSpaceDE w:val="0"/>
        <w:autoSpaceDN w:val="0"/>
        <w:adjustRightInd w:val="0"/>
        <w:rPr>
          <w:szCs w:val="26"/>
          <w:lang w:val="vi-VN"/>
        </w:rPr>
      </w:pPr>
      <w:r w:rsidRPr="008E63BB">
        <w:rPr>
          <w:szCs w:val="26"/>
          <w:lang w:val="vi-VN"/>
        </w:rPr>
        <w:tab/>
        <w:t xml:space="preserve">Nước thải y tế của các bệnh viện tuyến tỉnh và tuyến huyện đã được xử lý đạt quy chuẩn môi trường. </w:t>
      </w:r>
      <w:r w:rsidRPr="008E63BB">
        <w:rPr>
          <w:szCs w:val="26"/>
          <w:lang w:val="vi-VN"/>
        </w:rPr>
        <w:tab/>
      </w:r>
    </w:p>
    <w:p w14:paraId="519B2C67" w14:textId="77777777" w:rsidR="006A5F1D" w:rsidRPr="008E63BB" w:rsidRDefault="006A5F1D" w:rsidP="0065184D">
      <w:pPr>
        <w:autoSpaceDE w:val="0"/>
        <w:autoSpaceDN w:val="0"/>
        <w:adjustRightInd w:val="0"/>
        <w:rPr>
          <w:szCs w:val="26"/>
          <w:lang w:val="vi-VN"/>
        </w:rPr>
      </w:pPr>
      <w:r w:rsidRPr="008E63BB">
        <w:rPr>
          <w:szCs w:val="26"/>
          <w:lang w:val="vi-VN"/>
        </w:rPr>
        <w:tab/>
        <w:t>Bệnh viện đa khoa tỉnh đã xây dựng trạm XLNT, công suất 700 m</w:t>
      </w:r>
      <w:r w:rsidRPr="008E63BB">
        <w:rPr>
          <w:szCs w:val="26"/>
          <w:vertAlign w:val="superscript"/>
          <w:lang w:val="vi-VN"/>
        </w:rPr>
        <w:t>3</w:t>
      </w:r>
      <w:r w:rsidRPr="008E63BB">
        <w:rPr>
          <w:szCs w:val="26"/>
          <w:lang w:val="vi-VN"/>
        </w:rPr>
        <w:t xml:space="preserve">/ngđ. </w:t>
      </w:r>
    </w:p>
    <w:p w14:paraId="519B2C68" w14:textId="77777777" w:rsidR="006A5F1D" w:rsidRPr="008E63BB" w:rsidRDefault="006A5F1D" w:rsidP="0065184D">
      <w:pPr>
        <w:autoSpaceDE w:val="0"/>
        <w:autoSpaceDN w:val="0"/>
        <w:adjustRightInd w:val="0"/>
        <w:rPr>
          <w:szCs w:val="26"/>
          <w:lang w:val="vi-VN"/>
        </w:rPr>
      </w:pPr>
      <w:r w:rsidRPr="008E63BB">
        <w:rPr>
          <w:szCs w:val="26"/>
          <w:lang w:val="vi-VN"/>
        </w:rPr>
        <w:tab/>
        <w:t>Bệnh viện đa khoa huyện Mỹ Lộc, công suất trạm XLNT: 100 m</w:t>
      </w:r>
      <w:r w:rsidRPr="008E63BB">
        <w:rPr>
          <w:szCs w:val="26"/>
          <w:vertAlign w:val="superscript"/>
          <w:lang w:val="vi-VN"/>
        </w:rPr>
        <w:t>3</w:t>
      </w:r>
      <w:r w:rsidRPr="008E63BB">
        <w:rPr>
          <w:szCs w:val="26"/>
          <w:lang w:val="vi-VN"/>
        </w:rPr>
        <w:t>/ngđ</w:t>
      </w:r>
    </w:p>
    <w:p w14:paraId="519B2C69" w14:textId="77777777" w:rsidR="006A5F1D" w:rsidRPr="008E63BB" w:rsidRDefault="006A5F1D" w:rsidP="0065184D">
      <w:pPr>
        <w:autoSpaceDE w:val="0"/>
        <w:autoSpaceDN w:val="0"/>
        <w:adjustRightInd w:val="0"/>
        <w:rPr>
          <w:i/>
          <w:szCs w:val="26"/>
          <w:lang w:val="vi-VN"/>
        </w:rPr>
      </w:pPr>
      <w:r w:rsidRPr="008E63BB">
        <w:rPr>
          <w:i/>
          <w:szCs w:val="26"/>
          <w:lang w:val="vi-VN"/>
        </w:rPr>
        <w:t>* Nước thải công nghiệp:</w:t>
      </w:r>
    </w:p>
    <w:p w14:paraId="519B2C6A" w14:textId="77777777" w:rsidR="00E13651" w:rsidRPr="008E63BB" w:rsidRDefault="006A5F1D" w:rsidP="00E13651">
      <w:pPr>
        <w:autoSpaceDE w:val="0"/>
        <w:autoSpaceDN w:val="0"/>
        <w:adjustRightInd w:val="0"/>
        <w:rPr>
          <w:szCs w:val="26"/>
          <w:lang w:val="vi-VN"/>
        </w:rPr>
      </w:pPr>
      <w:r w:rsidRPr="008E63BB">
        <w:rPr>
          <w:szCs w:val="26"/>
          <w:lang w:val="vi-VN"/>
        </w:rPr>
        <w:tab/>
      </w:r>
      <w:r w:rsidR="00E13651" w:rsidRPr="008E63BB">
        <w:rPr>
          <w:szCs w:val="26"/>
          <w:lang w:val="vi-VN"/>
        </w:rPr>
        <w:t>Trong phạm vi nghiên cứu quy hoạch, mới có KCN Hòa Xá, KCN Mỹ Trung, CCN An Xá có trạm xử lý nước thải công nghiệp tập trung:</w:t>
      </w:r>
    </w:p>
    <w:p w14:paraId="519B2C6B" w14:textId="77777777" w:rsidR="00E13651" w:rsidRPr="008E63BB" w:rsidRDefault="00E13651" w:rsidP="00E13651">
      <w:pPr>
        <w:autoSpaceDE w:val="0"/>
        <w:autoSpaceDN w:val="0"/>
        <w:adjustRightInd w:val="0"/>
        <w:ind w:firstLine="720"/>
        <w:rPr>
          <w:szCs w:val="26"/>
          <w:lang w:val="vi-VN"/>
        </w:rPr>
      </w:pPr>
      <w:r w:rsidRPr="008E63BB">
        <w:rPr>
          <w:szCs w:val="26"/>
          <w:lang w:val="vi-VN"/>
        </w:rPr>
        <w:t>+ KCN Hoà Xá: Trạm XLNT được thiết kế với tổng công suất 12876,3 m</w:t>
      </w:r>
      <w:r w:rsidRPr="008E63BB">
        <w:rPr>
          <w:szCs w:val="26"/>
          <w:vertAlign w:val="superscript"/>
          <w:lang w:val="vi-VN"/>
        </w:rPr>
        <w:t>3</w:t>
      </w:r>
      <w:r w:rsidRPr="008E63BB">
        <w:rPr>
          <w:szCs w:val="26"/>
          <w:lang w:val="vi-VN"/>
        </w:rPr>
        <w:t>/ngđ, trong đó giai đoạn 1 xây dựng với công suất 4500 m</w:t>
      </w:r>
      <w:r w:rsidRPr="008E63BB">
        <w:rPr>
          <w:szCs w:val="26"/>
          <w:vertAlign w:val="superscript"/>
          <w:lang w:val="vi-VN"/>
        </w:rPr>
        <w:t>3</w:t>
      </w:r>
      <w:r w:rsidRPr="008E63BB">
        <w:rPr>
          <w:szCs w:val="26"/>
          <w:lang w:val="vi-VN"/>
        </w:rPr>
        <w:t>/ngđ, sau cải tạo lên 5000 m</w:t>
      </w:r>
      <w:r w:rsidRPr="008E63BB">
        <w:rPr>
          <w:szCs w:val="26"/>
          <w:vertAlign w:val="superscript"/>
          <w:lang w:val="vi-VN"/>
        </w:rPr>
        <w:t>3</w:t>
      </w:r>
      <w:r w:rsidRPr="008E63BB">
        <w:rPr>
          <w:szCs w:val="26"/>
          <w:lang w:val="vi-VN"/>
        </w:rPr>
        <w:t>/ngđ và đầu tư xây dựng 1 trạm XLNT công suất 2000 m</w:t>
      </w:r>
      <w:r w:rsidRPr="008E63BB">
        <w:rPr>
          <w:szCs w:val="26"/>
          <w:vertAlign w:val="superscript"/>
          <w:lang w:val="vi-VN"/>
        </w:rPr>
        <w:t>3</w:t>
      </w:r>
      <w:r w:rsidRPr="008E63BB">
        <w:rPr>
          <w:szCs w:val="26"/>
          <w:lang w:val="vi-VN"/>
        </w:rPr>
        <w:t>/ngđ. Giai đoạn 2 xây dựng trạm XLNT công suất 5876,3 m</w:t>
      </w:r>
      <w:r w:rsidRPr="008E63BB">
        <w:rPr>
          <w:szCs w:val="26"/>
          <w:vertAlign w:val="superscript"/>
          <w:lang w:val="vi-VN"/>
        </w:rPr>
        <w:t>3</w:t>
      </w:r>
      <w:r w:rsidRPr="008E63BB">
        <w:rPr>
          <w:szCs w:val="26"/>
          <w:lang w:val="vi-VN"/>
        </w:rPr>
        <w:t>/ngđ.</w:t>
      </w:r>
    </w:p>
    <w:p w14:paraId="519B2C6C" w14:textId="77777777" w:rsidR="00E13651" w:rsidRPr="008E63BB" w:rsidRDefault="00E13651" w:rsidP="00E13651">
      <w:pPr>
        <w:autoSpaceDE w:val="0"/>
        <w:autoSpaceDN w:val="0"/>
        <w:adjustRightInd w:val="0"/>
        <w:ind w:firstLine="720"/>
        <w:rPr>
          <w:szCs w:val="26"/>
          <w:lang w:val="vi-VN"/>
        </w:rPr>
      </w:pPr>
      <w:r w:rsidRPr="008E63BB">
        <w:rPr>
          <w:szCs w:val="26"/>
          <w:lang w:val="vi-VN"/>
        </w:rPr>
        <w:t>+ KCN Mỹ Trung: Trạm XLNT được thiết kế với tổng công suất 7000 m</w:t>
      </w:r>
      <w:r w:rsidRPr="008E63BB">
        <w:rPr>
          <w:szCs w:val="26"/>
          <w:vertAlign w:val="superscript"/>
          <w:lang w:val="vi-VN"/>
        </w:rPr>
        <w:t>3</w:t>
      </w:r>
      <w:r w:rsidRPr="008E63BB">
        <w:rPr>
          <w:szCs w:val="26"/>
          <w:lang w:val="vi-VN"/>
        </w:rPr>
        <w:t>/ ngđ.</w:t>
      </w:r>
    </w:p>
    <w:p w14:paraId="519B2C6D" w14:textId="77777777" w:rsidR="006E4EC7" w:rsidRPr="008E63BB" w:rsidRDefault="00E13651" w:rsidP="00E13651">
      <w:pPr>
        <w:autoSpaceDE w:val="0"/>
        <w:autoSpaceDN w:val="0"/>
        <w:adjustRightInd w:val="0"/>
        <w:rPr>
          <w:szCs w:val="26"/>
          <w:lang w:val="vi-VN"/>
        </w:rPr>
      </w:pPr>
      <w:r w:rsidRPr="008E63BB">
        <w:rPr>
          <w:szCs w:val="26"/>
          <w:lang w:val="vi-VN"/>
        </w:rPr>
        <w:tab/>
        <w:t>+ Cụm CN An Xá xây dựng trạm XLNT công suất 3000 m</w:t>
      </w:r>
      <w:r w:rsidRPr="008E63BB">
        <w:rPr>
          <w:szCs w:val="26"/>
          <w:vertAlign w:val="superscript"/>
          <w:lang w:val="vi-VN"/>
        </w:rPr>
        <w:t>3</w:t>
      </w:r>
      <w:r w:rsidRPr="008E63BB">
        <w:rPr>
          <w:szCs w:val="26"/>
          <w:lang w:val="vi-VN"/>
        </w:rPr>
        <w:t>/ngđ</w:t>
      </w:r>
      <w:r w:rsidR="006A5F1D" w:rsidRPr="008E63BB">
        <w:rPr>
          <w:szCs w:val="26"/>
          <w:lang w:val="vi-VN"/>
        </w:rPr>
        <w:t>.</w:t>
      </w:r>
    </w:p>
    <w:p w14:paraId="519B2C6E" w14:textId="77777777" w:rsidR="006A5F1D" w:rsidRPr="008E63BB" w:rsidRDefault="006A5F1D" w:rsidP="0065184D">
      <w:pPr>
        <w:rPr>
          <w:i/>
          <w:iCs/>
          <w:szCs w:val="26"/>
        </w:rPr>
      </w:pPr>
      <w:r w:rsidRPr="008E63BB">
        <w:rPr>
          <w:b/>
          <w:i/>
          <w:iCs/>
          <w:szCs w:val="26"/>
        </w:rPr>
        <w:t>a2. Quản lý chất thải rắn</w:t>
      </w:r>
      <w:r w:rsidRPr="008E63BB">
        <w:rPr>
          <w:i/>
          <w:iCs/>
          <w:szCs w:val="26"/>
        </w:rPr>
        <w:t>:</w:t>
      </w:r>
    </w:p>
    <w:p w14:paraId="519B2C6F" w14:textId="77777777" w:rsidR="006A5F1D" w:rsidRPr="008E63BB" w:rsidRDefault="006A5F1D" w:rsidP="0065184D">
      <w:pPr>
        <w:ind w:firstLine="720"/>
        <w:rPr>
          <w:szCs w:val="26"/>
        </w:rPr>
      </w:pPr>
      <w:r w:rsidRPr="008E63BB">
        <w:rPr>
          <w:szCs w:val="26"/>
        </w:rPr>
        <w:t>- Khu vực thành phố:</w:t>
      </w:r>
    </w:p>
    <w:p w14:paraId="519B2C70" w14:textId="77777777" w:rsidR="006A5F1D" w:rsidRPr="008E63BB" w:rsidRDefault="00182145" w:rsidP="0065184D">
      <w:pPr>
        <w:ind w:firstLine="720"/>
        <w:rPr>
          <w:szCs w:val="26"/>
        </w:rPr>
      </w:pPr>
      <w:r w:rsidRPr="008E63BB">
        <w:rPr>
          <w:szCs w:val="26"/>
        </w:rPr>
        <w:t>Chất thải rắn (CTR) sinh hoạt trên địa bàn thành phố Nam Định được Công ty TNHH MTV Môi trường Nam Định thu gom và xử lý tại khu liên hợp xử lý CTR Lộc Hòa tại Làng Man - xã Lộc Hòa - thành phố Nam Định. Trung bình một ngày, lượng CTR thu gom được trên địa bàn thành phố là 200 tấn/ngày, tỷ lệ thu gom đạt khoảng 90%</w:t>
      </w:r>
      <w:r w:rsidR="00244409" w:rsidRPr="008E63BB">
        <w:rPr>
          <w:szCs w:val="26"/>
        </w:rPr>
        <w:t>.</w:t>
      </w:r>
    </w:p>
    <w:p w14:paraId="519B2C71" w14:textId="77777777" w:rsidR="006A5F1D" w:rsidRPr="008E63BB" w:rsidRDefault="006A5F1D" w:rsidP="00690808">
      <w:pPr>
        <w:ind w:firstLine="720"/>
        <w:rPr>
          <w:szCs w:val="26"/>
        </w:rPr>
      </w:pPr>
      <w:r w:rsidRPr="008E63BB">
        <w:rPr>
          <w:szCs w:val="26"/>
        </w:rPr>
        <w:t>Công nghệ xử lý CTR hiện đang được sử dụng tại khu liên hợp xử lý rác thải Lộc Hòa là sản xuất phân Compost, chôn lấp hợp vệ sinh và lò đố</w:t>
      </w:r>
      <w:r w:rsidR="00690808" w:rsidRPr="008E63BB">
        <w:rPr>
          <w:szCs w:val="26"/>
        </w:rPr>
        <w:t xml:space="preserve">t. </w:t>
      </w:r>
      <w:r w:rsidRPr="008E63BB">
        <w:rPr>
          <w:szCs w:val="26"/>
        </w:rPr>
        <w:t xml:space="preserve">Xử lý rác thải sinh hoạt làm phân compost theo công nghệ sinh học công suất thiết kế 250 tấn/ngày. Công suất hoạt động thực tế khoảng 120 tấn/ngày. </w:t>
      </w:r>
    </w:p>
    <w:p w14:paraId="519B2C72" w14:textId="77777777" w:rsidR="006A5F1D" w:rsidRPr="008E63BB" w:rsidRDefault="006A5F1D" w:rsidP="0065184D">
      <w:pPr>
        <w:ind w:firstLine="720"/>
        <w:rPr>
          <w:szCs w:val="26"/>
        </w:rPr>
      </w:pPr>
      <w:r w:rsidRPr="008E63BB">
        <w:rPr>
          <w:szCs w:val="26"/>
        </w:rPr>
        <w:t>- Xử lý rác vô cơ, rác công nghiệp bằng Lò đốt, công suất 18 tấn/ngày.</w:t>
      </w:r>
    </w:p>
    <w:p w14:paraId="519B2C73" w14:textId="77777777" w:rsidR="006A5F1D" w:rsidRPr="008E63BB" w:rsidRDefault="006A5F1D" w:rsidP="0065184D">
      <w:pPr>
        <w:spacing w:after="120"/>
        <w:rPr>
          <w:szCs w:val="26"/>
        </w:rPr>
      </w:pPr>
      <w:r w:rsidRPr="008E63BB">
        <w:rPr>
          <w:szCs w:val="26"/>
        </w:rPr>
        <w:tab/>
        <w:t>- Xử lý CTR bằng chôn lấp hợp vệ sinh, công suất &lt;500 tấn/ngày.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2436"/>
        <w:gridCol w:w="3368"/>
      </w:tblGrid>
      <w:tr w:rsidR="008D5BFE" w:rsidRPr="008E63BB" w14:paraId="519B2C77" w14:textId="77777777" w:rsidTr="000C0CC7">
        <w:tc>
          <w:tcPr>
            <w:tcW w:w="3481" w:type="dxa"/>
          </w:tcPr>
          <w:p w14:paraId="519B2C74" w14:textId="77777777" w:rsidR="000C0CC7" w:rsidRPr="008E63BB" w:rsidRDefault="000C0CC7" w:rsidP="0065184D">
            <w:pPr>
              <w:rPr>
                <w:szCs w:val="26"/>
              </w:rPr>
            </w:pPr>
            <w:r w:rsidRPr="008E63BB">
              <w:rPr>
                <w:iCs/>
                <w:noProof/>
                <w:szCs w:val="26"/>
                <w:lang w:eastAsia="zh-CN"/>
              </w:rPr>
              <w:drawing>
                <wp:inline distT="0" distB="0" distL="0" distR="0" wp14:anchorId="519B5211" wp14:editId="519B5212">
                  <wp:extent cx="2056240" cy="1542180"/>
                  <wp:effectExtent l="19050" t="0" r="1160" b="0"/>
                  <wp:docPr id="19" name="Picture 1" descr="20190712_09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2_090327.jpg"/>
                          <pic:cNvPicPr/>
                        </pic:nvPicPr>
                        <pic:blipFill>
                          <a:blip r:embed="rId70" cstate="screen">
                            <a:extLst>
                              <a:ext uri="{28A0092B-C50C-407E-A947-70E740481C1C}">
                                <a14:useLocalDpi xmlns:a14="http://schemas.microsoft.com/office/drawing/2010/main"/>
                              </a:ext>
                            </a:extLst>
                          </a:blip>
                          <a:stretch>
                            <a:fillRect/>
                          </a:stretch>
                        </pic:blipFill>
                        <pic:spPr>
                          <a:xfrm>
                            <a:off x="0" y="0"/>
                            <a:ext cx="2056408" cy="1542306"/>
                          </a:xfrm>
                          <a:prstGeom prst="rect">
                            <a:avLst/>
                          </a:prstGeom>
                        </pic:spPr>
                      </pic:pic>
                    </a:graphicData>
                  </a:graphic>
                </wp:inline>
              </w:drawing>
            </w:r>
          </w:p>
        </w:tc>
        <w:tc>
          <w:tcPr>
            <w:tcW w:w="2432" w:type="dxa"/>
          </w:tcPr>
          <w:p w14:paraId="519B2C75" w14:textId="77777777" w:rsidR="000C0CC7" w:rsidRPr="008E63BB" w:rsidRDefault="000C0CC7" w:rsidP="0065184D">
            <w:pPr>
              <w:rPr>
                <w:szCs w:val="26"/>
              </w:rPr>
            </w:pPr>
            <w:r w:rsidRPr="008E63BB">
              <w:rPr>
                <w:iCs/>
                <w:noProof/>
                <w:szCs w:val="26"/>
                <w:lang w:eastAsia="zh-CN"/>
              </w:rPr>
              <w:drawing>
                <wp:inline distT="0" distB="0" distL="0" distR="0" wp14:anchorId="519B5213" wp14:editId="519B5214">
                  <wp:extent cx="1867514" cy="1400636"/>
                  <wp:effectExtent l="4762" t="0" r="4763" b="4762"/>
                  <wp:docPr id="20" name="Picture 2" descr="20190712_09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2_090405.jpg"/>
                          <pic:cNvPicPr/>
                        </pic:nvPicPr>
                        <pic:blipFill>
                          <a:blip r:embed="rId71" cstate="screen">
                            <a:extLst>
                              <a:ext uri="{28A0092B-C50C-407E-A947-70E740481C1C}">
                                <a14:useLocalDpi xmlns:a14="http://schemas.microsoft.com/office/drawing/2010/main"/>
                              </a:ext>
                            </a:extLst>
                          </a:blip>
                          <a:stretch>
                            <a:fillRect/>
                          </a:stretch>
                        </pic:blipFill>
                        <pic:spPr>
                          <a:xfrm rot="5400000">
                            <a:off x="0" y="0"/>
                            <a:ext cx="1881645" cy="1411234"/>
                          </a:xfrm>
                          <a:prstGeom prst="rect">
                            <a:avLst/>
                          </a:prstGeom>
                        </pic:spPr>
                      </pic:pic>
                    </a:graphicData>
                  </a:graphic>
                </wp:inline>
              </w:drawing>
            </w:r>
          </w:p>
        </w:tc>
        <w:tc>
          <w:tcPr>
            <w:tcW w:w="3363" w:type="dxa"/>
          </w:tcPr>
          <w:p w14:paraId="519B2C76" w14:textId="77777777" w:rsidR="000C0CC7" w:rsidRPr="008E63BB" w:rsidRDefault="000C0CC7" w:rsidP="0065184D">
            <w:pPr>
              <w:rPr>
                <w:szCs w:val="26"/>
              </w:rPr>
            </w:pPr>
            <w:r w:rsidRPr="008E63BB">
              <w:rPr>
                <w:iCs/>
                <w:noProof/>
                <w:szCs w:val="26"/>
                <w:lang w:eastAsia="zh-CN"/>
              </w:rPr>
              <w:drawing>
                <wp:inline distT="0" distB="0" distL="0" distR="0" wp14:anchorId="519B5215" wp14:editId="519B5216">
                  <wp:extent cx="1982524" cy="1486894"/>
                  <wp:effectExtent l="19050" t="0" r="0" b="0"/>
                  <wp:docPr id="4" name="Picture 3" descr="20190712_09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2_090444.jpg"/>
                          <pic:cNvPicPr/>
                        </pic:nvPicPr>
                        <pic:blipFill>
                          <a:blip r:embed="rId72" cstate="screen">
                            <a:extLst>
                              <a:ext uri="{28A0092B-C50C-407E-A947-70E740481C1C}">
                                <a14:useLocalDpi xmlns:a14="http://schemas.microsoft.com/office/drawing/2010/main"/>
                              </a:ext>
                            </a:extLst>
                          </a:blip>
                          <a:stretch>
                            <a:fillRect/>
                          </a:stretch>
                        </pic:blipFill>
                        <pic:spPr>
                          <a:xfrm>
                            <a:off x="0" y="0"/>
                            <a:ext cx="1985904" cy="1489429"/>
                          </a:xfrm>
                          <a:prstGeom prst="rect">
                            <a:avLst/>
                          </a:prstGeom>
                        </pic:spPr>
                      </pic:pic>
                    </a:graphicData>
                  </a:graphic>
                </wp:inline>
              </w:drawing>
            </w:r>
          </w:p>
        </w:tc>
      </w:tr>
      <w:tr w:rsidR="008D5BFE" w:rsidRPr="008E63BB" w14:paraId="519B2C79" w14:textId="77777777" w:rsidTr="000C0CC7">
        <w:tc>
          <w:tcPr>
            <w:tcW w:w="9276" w:type="dxa"/>
            <w:gridSpan w:val="3"/>
          </w:tcPr>
          <w:p w14:paraId="519B2C78" w14:textId="77777777" w:rsidR="000C0CC7" w:rsidRPr="008E63BB" w:rsidRDefault="000C0CC7" w:rsidP="0065184D">
            <w:pPr>
              <w:jc w:val="center"/>
              <w:rPr>
                <w:iCs/>
                <w:noProof/>
                <w:szCs w:val="26"/>
              </w:rPr>
            </w:pPr>
            <w:r w:rsidRPr="008E63BB">
              <w:rPr>
                <w:iCs/>
                <w:szCs w:val="26"/>
              </w:rPr>
              <w:t>Hình: Khu liên hợp xử lý CTR Lộc Hòa</w:t>
            </w:r>
          </w:p>
        </w:tc>
      </w:tr>
    </w:tbl>
    <w:p w14:paraId="519B2C7A" w14:textId="77777777" w:rsidR="008D1964" w:rsidRPr="008E63BB" w:rsidRDefault="006A5F1D" w:rsidP="0065184D">
      <w:pPr>
        <w:rPr>
          <w:iCs/>
          <w:szCs w:val="26"/>
        </w:rPr>
      </w:pPr>
      <w:r w:rsidRPr="008E63BB">
        <w:rPr>
          <w:iCs/>
          <w:szCs w:val="26"/>
        </w:rPr>
        <w:tab/>
      </w:r>
      <w:r w:rsidR="008D1964" w:rsidRPr="008E63BB">
        <w:rPr>
          <w:iCs/>
          <w:szCs w:val="26"/>
        </w:rPr>
        <w:t>- Phạm vi nghiên cứu quy hoạch mở rộng thành phố thuộc huyện Mỹ Lộc, Vụ Bản, Nam Trực:</w:t>
      </w:r>
    </w:p>
    <w:p w14:paraId="519B2C7B" w14:textId="77777777" w:rsidR="008D1964" w:rsidRPr="008E63BB" w:rsidRDefault="008D1964" w:rsidP="0065184D">
      <w:pPr>
        <w:rPr>
          <w:iCs/>
          <w:szCs w:val="26"/>
        </w:rPr>
      </w:pPr>
      <w:r w:rsidRPr="008E63BB">
        <w:rPr>
          <w:iCs/>
          <w:szCs w:val="26"/>
        </w:rPr>
        <w:lastRenderedPageBreak/>
        <w:tab/>
      </w:r>
      <w:r w:rsidR="00182145" w:rsidRPr="008E63BB">
        <w:rPr>
          <w:iCs/>
          <w:szCs w:val="26"/>
        </w:rPr>
        <w:t>Thị trấn Mỹ Lộc và các xã đều có các tổ chức thu gom CTR và đưa về các bãi chôn lấp CTR hợp vệ sinh, tỷ lệ thu gom đạt 50-60%</w:t>
      </w:r>
      <w:r w:rsidRPr="008E63BB">
        <w:rPr>
          <w:iCs/>
          <w:szCs w:val="26"/>
        </w:rPr>
        <w:t>.</w:t>
      </w:r>
    </w:p>
    <w:p w14:paraId="519B2C7C" w14:textId="77777777" w:rsidR="006A5F1D" w:rsidRPr="008E63BB" w:rsidRDefault="008D1964" w:rsidP="0065184D">
      <w:pPr>
        <w:rPr>
          <w:iCs/>
          <w:szCs w:val="26"/>
        </w:rPr>
      </w:pPr>
      <w:r w:rsidRPr="008E63BB">
        <w:rPr>
          <w:iCs/>
          <w:szCs w:val="26"/>
        </w:rPr>
        <w:tab/>
        <w:t>Hiện nay, tỉnh đang tiến hành thực hiện thủ tục phê duyệt chủ trương đầu tư dự án xây dựng khu xử lý CTR tại xã Mỹ Thành, huyện Mỹ Lộc với công suất 300 tấn/ ngày</w:t>
      </w:r>
      <w:r w:rsidR="006A5F1D" w:rsidRPr="008E63BB">
        <w:rPr>
          <w:iCs/>
          <w:szCs w:val="26"/>
        </w:rPr>
        <w:t>.</w:t>
      </w:r>
    </w:p>
    <w:p w14:paraId="519B2C7D" w14:textId="77777777" w:rsidR="006A5F1D" w:rsidRPr="008E63BB" w:rsidRDefault="006A5F1D" w:rsidP="0065184D">
      <w:pPr>
        <w:rPr>
          <w:i/>
          <w:iCs/>
          <w:szCs w:val="26"/>
          <w:lang w:val="sv-SE"/>
        </w:rPr>
      </w:pPr>
      <w:r w:rsidRPr="008E63BB">
        <w:rPr>
          <w:i/>
          <w:iCs/>
          <w:szCs w:val="26"/>
          <w:lang w:val="sv-SE"/>
        </w:rPr>
        <w:t>a3. Nghĩa trang:</w:t>
      </w:r>
    </w:p>
    <w:p w14:paraId="519B2C7E" w14:textId="77777777" w:rsidR="00244409" w:rsidRPr="008E63BB" w:rsidRDefault="00244409" w:rsidP="0065184D">
      <w:pPr>
        <w:spacing w:before="120"/>
        <w:ind w:firstLine="720"/>
        <w:rPr>
          <w:szCs w:val="26"/>
        </w:rPr>
      </w:pPr>
      <w:r w:rsidRPr="008E63BB">
        <w:rPr>
          <w:szCs w:val="26"/>
        </w:rPr>
        <w:t>- Hiện nay thành phố đang quản lý 02 nghĩa trang tập trung lớn bao gồm:</w:t>
      </w:r>
    </w:p>
    <w:p w14:paraId="519B2C7F" w14:textId="77777777" w:rsidR="00244409" w:rsidRPr="008E63BB" w:rsidRDefault="00244409" w:rsidP="0065184D">
      <w:pPr>
        <w:spacing w:before="120"/>
        <w:ind w:firstLine="720"/>
        <w:rPr>
          <w:szCs w:val="26"/>
          <w:lang w:val="pt-BR" w:eastAsia="ja-JP"/>
        </w:rPr>
      </w:pPr>
      <w:r w:rsidRPr="008E63BB">
        <w:rPr>
          <w:szCs w:val="26"/>
        </w:rPr>
        <w:t xml:space="preserve">+ Nghĩa trang Thanh Bình: quy mô 15 ha cách trung tâm thành phố 13 km về phía Tây, ven đường quốc lộ 21 đi Phủ Lý. </w:t>
      </w:r>
      <w:r w:rsidRPr="008E63BB">
        <w:rPr>
          <w:szCs w:val="26"/>
          <w:lang w:val="pt-BR" w:eastAsia="ja-JP"/>
        </w:rPr>
        <w:t>Trong nghĩa trang có công trình hỏa táng.</w:t>
      </w:r>
    </w:p>
    <w:p w14:paraId="519B2C80" w14:textId="77777777" w:rsidR="006A5F1D" w:rsidRPr="008E63BB" w:rsidRDefault="00244409" w:rsidP="0065184D">
      <w:pPr>
        <w:spacing w:after="120"/>
        <w:ind w:firstLine="720"/>
        <w:rPr>
          <w:szCs w:val="26"/>
        </w:rPr>
      </w:pPr>
      <w:r w:rsidRPr="008E63BB">
        <w:rPr>
          <w:szCs w:val="26"/>
        </w:rPr>
        <w:t>+ Nghĩa trang Cánh Phượng: là nghĩa trang cát táng, quy mô 3,6 ha, hiện đã sử dụng 60% diện tích. Đường vào nhỏ, không thuận lợi. Nghĩa trang còn khả năng mở rộng</w:t>
      </w:r>
      <w:r w:rsidR="006A5F1D" w:rsidRPr="008E63BB">
        <w:rPr>
          <w:szCs w:val="26"/>
        </w:rPr>
        <w:t>.</w:t>
      </w:r>
    </w:p>
    <w:tbl>
      <w:tblPr>
        <w:tblW w:w="0" w:type="auto"/>
        <w:tblLook w:val="04A0" w:firstRow="1" w:lastRow="0" w:firstColumn="1" w:lastColumn="0" w:noHBand="0" w:noVBand="1"/>
      </w:tblPr>
      <w:tblGrid>
        <w:gridCol w:w="4751"/>
        <w:gridCol w:w="4747"/>
      </w:tblGrid>
      <w:tr w:rsidR="008D5BFE" w:rsidRPr="008E63BB" w14:paraId="519B2C83" w14:textId="77777777" w:rsidTr="00A71373">
        <w:tc>
          <w:tcPr>
            <w:tcW w:w="4788" w:type="dxa"/>
          </w:tcPr>
          <w:p w14:paraId="519B2C81" w14:textId="77777777" w:rsidR="006A5F1D" w:rsidRPr="008E63BB" w:rsidRDefault="000C0CC7" w:rsidP="0065184D">
            <w:pPr>
              <w:rPr>
                <w:szCs w:val="26"/>
              </w:rPr>
            </w:pPr>
            <w:r w:rsidRPr="008E63BB">
              <w:rPr>
                <w:noProof/>
                <w:szCs w:val="26"/>
                <w:lang w:eastAsia="zh-CN"/>
              </w:rPr>
              <w:drawing>
                <wp:inline distT="0" distB="0" distL="0" distR="0" wp14:anchorId="519B5217" wp14:editId="519B5218">
                  <wp:extent cx="2466754" cy="184914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2476054" cy="1856113"/>
                          </a:xfrm>
                          <a:prstGeom prst="rect">
                            <a:avLst/>
                          </a:prstGeom>
                          <a:noFill/>
                          <a:ln w="9525">
                            <a:noFill/>
                            <a:miter lim="800000"/>
                            <a:headEnd/>
                            <a:tailEnd/>
                          </a:ln>
                        </pic:spPr>
                      </pic:pic>
                    </a:graphicData>
                  </a:graphic>
                </wp:inline>
              </w:drawing>
            </w:r>
          </w:p>
        </w:tc>
        <w:tc>
          <w:tcPr>
            <w:tcW w:w="4788" w:type="dxa"/>
          </w:tcPr>
          <w:p w14:paraId="519B2C82" w14:textId="77777777" w:rsidR="006A5F1D" w:rsidRPr="008E63BB" w:rsidRDefault="000C0CC7" w:rsidP="0065184D">
            <w:pPr>
              <w:rPr>
                <w:szCs w:val="26"/>
              </w:rPr>
            </w:pPr>
            <w:r w:rsidRPr="008E63BB">
              <w:rPr>
                <w:noProof/>
                <w:szCs w:val="26"/>
                <w:lang w:eastAsia="zh-CN"/>
              </w:rPr>
              <w:drawing>
                <wp:inline distT="0" distB="0" distL="0" distR="0" wp14:anchorId="519B5219" wp14:editId="519B521A">
                  <wp:extent cx="2418565" cy="1813019"/>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2427132" cy="1819441"/>
                          </a:xfrm>
                          <a:prstGeom prst="rect">
                            <a:avLst/>
                          </a:prstGeom>
                          <a:noFill/>
                          <a:ln w="9525">
                            <a:noFill/>
                            <a:miter lim="800000"/>
                            <a:headEnd/>
                            <a:tailEnd/>
                          </a:ln>
                        </pic:spPr>
                      </pic:pic>
                    </a:graphicData>
                  </a:graphic>
                </wp:inline>
              </w:drawing>
            </w:r>
          </w:p>
        </w:tc>
      </w:tr>
      <w:tr w:rsidR="008D5BFE" w:rsidRPr="008E63BB" w14:paraId="519B2C85" w14:textId="77777777" w:rsidTr="00A71373">
        <w:tc>
          <w:tcPr>
            <w:tcW w:w="9576" w:type="dxa"/>
            <w:gridSpan w:val="2"/>
          </w:tcPr>
          <w:p w14:paraId="519B2C84" w14:textId="77777777" w:rsidR="006A5F1D" w:rsidRPr="008E63BB" w:rsidRDefault="006A5F1D" w:rsidP="0065184D">
            <w:pPr>
              <w:jc w:val="center"/>
              <w:rPr>
                <w:szCs w:val="26"/>
              </w:rPr>
            </w:pPr>
            <w:r w:rsidRPr="008E63BB">
              <w:rPr>
                <w:szCs w:val="26"/>
              </w:rPr>
              <w:t>Hình: Nghĩa trang tại thành phố Nam Định</w:t>
            </w:r>
          </w:p>
        </w:tc>
      </w:tr>
    </w:tbl>
    <w:p w14:paraId="519B2C86" w14:textId="77777777" w:rsidR="006A5F1D" w:rsidRPr="008E63BB" w:rsidRDefault="006A5F1D" w:rsidP="0065184D">
      <w:pPr>
        <w:ind w:firstLine="720"/>
        <w:rPr>
          <w:szCs w:val="26"/>
        </w:rPr>
      </w:pPr>
      <w:r w:rsidRPr="008E63BB">
        <w:rPr>
          <w:szCs w:val="26"/>
        </w:rPr>
        <w:t xml:space="preserve">- Ngoài ra còn rất nhiều nghĩa trang làng xã, thuộc quyền quản lý của các xã. Các nghĩa trang này hầu như chỉ phục vụ nhân dân trong xã, tổ chức không theo quy hoạch, không có hệ thống xử lý môi trường, phục vụ mai táng, thăm viếng. </w:t>
      </w:r>
    </w:p>
    <w:p w14:paraId="519B2C87" w14:textId="77777777" w:rsidR="006A5F1D" w:rsidRPr="008E63BB" w:rsidRDefault="006A5F1D" w:rsidP="0065184D">
      <w:pPr>
        <w:ind w:firstLine="720"/>
        <w:rPr>
          <w:szCs w:val="26"/>
        </w:rPr>
      </w:pPr>
      <w:r w:rsidRPr="008E63BB">
        <w:rPr>
          <w:szCs w:val="26"/>
        </w:rPr>
        <w:t xml:space="preserve">- Tổng diện tích đất nghĩa trang </w:t>
      </w:r>
      <w:r w:rsidR="00244409" w:rsidRPr="008E63BB">
        <w:rPr>
          <w:szCs w:val="26"/>
        </w:rPr>
        <w:t xml:space="preserve">trong </w:t>
      </w:r>
      <w:r w:rsidRPr="008E63BB">
        <w:rPr>
          <w:szCs w:val="26"/>
        </w:rPr>
        <w:t>khu vực nghiên cứ</w:t>
      </w:r>
      <w:r w:rsidR="00244409" w:rsidRPr="008E63BB">
        <w:rPr>
          <w:szCs w:val="26"/>
        </w:rPr>
        <w:t>u: khoảng 243</w:t>
      </w:r>
      <w:r w:rsidRPr="008E63BB">
        <w:rPr>
          <w:szCs w:val="26"/>
        </w:rPr>
        <w:t xml:space="preserve"> ha.</w:t>
      </w:r>
    </w:p>
    <w:tbl>
      <w:tblPr>
        <w:tblW w:w="0" w:type="auto"/>
        <w:tblLook w:val="04A0" w:firstRow="1" w:lastRow="0" w:firstColumn="1" w:lastColumn="0" w:noHBand="0" w:noVBand="1"/>
      </w:tblPr>
      <w:tblGrid>
        <w:gridCol w:w="9257"/>
      </w:tblGrid>
      <w:tr w:rsidR="008D5BFE" w:rsidRPr="008E63BB" w14:paraId="519B2C89" w14:textId="77777777" w:rsidTr="00A71373">
        <w:tc>
          <w:tcPr>
            <w:tcW w:w="9257" w:type="dxa"/>
          </w:tcPr>
          <w:p w14:paraId="519B2C88" w14:textId="77777777" w:rsidR="006A5F1D" w:rsidRPr="008E63BB" w:rsidRDefault="000C0CC7" w:rsidP="00690808">
            <w:pPr>
              <w:jc w:val="center"/>
              <w:rPr>
                <w:szCs w:val="26"/>
              </w:rPr>
            </w:pPr>
            <w:r w:rsidRPr="008E63BB">
              <w:rPr>
                <w:noProof/>
                <w:szCs w:val="26"/>
                <w:lang w:eastAsia="zh-CN"/>
              </w:rPr>
              <w:drawing>
                <wp:inline distT="0" distB="0" distL="0" distR="0" wp14:anchorId="519B521B" wp14:editId="519B521C">
                  <wp:extent cx="4298934" cy="3092355"/>
                  <wp:effectExtent l="0" t="0" r="6985" b="0"/>
                  <wp:docPr id="23" name="Picture 23" descr="A3-1hien trang HTKT Nam Dinh-CBKT-CN-dien-VSMT-TTLL-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3-1hien trang HTKT Nam Dinh-CBKT-CN-dien-VSMT-TTLL-Model"/>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298561" cy="3092087"/>
                          </a:xfrm>
                          <a:prstGeom prst="rect">
                            <a:avLst/>
                          </a:prstGeom>
                          <a:noFill/>
                          <a:ln w="9525">
                            <a:noFill/>
                            <a:miter lim="800000"/>
                            <a:headEnd/>
                            <a:tailEnd/>
                          </a:ln>
                        </pic:spPr>
                      </pic:pic>
                    </a:graphicData>
                  </a:graphic>
                </wp:inline>
              </w:drawing>
            </w:r>
          </w:p>
        </w:tc>
      </w:tr>
      <w:tr w:rsidR="008D5BFE" w:rsidRPr="008E63BB" w14:paraId="519B2C8B" w14:textId="77777777" w:rsidTr="00A71373">
        <w:tc>
          <w:tcPr>
            <w:tcW w:w="9257" w:type="dxa"/>
          </w:tcPr>
          <w:p w14:paraId="519B2C8A" w14:textId="77777777" w:rsidR="006A5F1D" w:rsidRPr="008E63BB" w:rsidRDefault="006A5F1D" w:rsidP="0065184D">
            <w:pPr>
              <w:rPr>
                <w:szCs w:val="26"/>
              </w:rPr>
            </w:pPr>
            <w:r w:rsidRPr="008E63BB">
              <w:rPr>
                <w:szCs w:val="26"/>
              </w:rPr>
              <w:t>Hình: Sơ đồ hiện trạng hệ thống thoát nước, quản lý CTR, nghĩa trang thành phố</w:t>
            </w:r>
          </w:p>
        </w:tc>
      </w:tr>
    </w:tbl>
    <w:p w14:paraId="6650646A" w14:textId="77777777" w:rsidR="00503BB2" w:rsidRDefault="00503BB2" w:rsidP="0065184D">
      <w:pPr>
        <w:rPr>
          <w:b/>
          <w:i/>
          <w:szCs w:val="26"/>
          <w:lang w:val="sv-SE"/>
        </w:rPr>
      </w:pPr>
    </w:p>
    <w:p w14:paraId="07D744CB" w14:textId="77777777" w:rsidR="00503BB2" w:rsidRDefault="00503BB2">
      <w:pPr>
        <w:jc w:val="left"/>
        <w:rPr>
          <w:b/>
          <w:i/>
          <w:szCs w:val="26"/>
          <w:lang w:val="sv-SE"/>
        </w:rPr>
      </w:pPr>
      <w:r>
        <w:rPr>
          <w:b/>
          <w:i/>
          <w:szCs w:val="26"/>
          <w:lang w:val="sv-SE"/>
        </w:rPr>
        <w:br w:type="page"/>
      </w:r>
    </w:p>
    <w:p w14:paraId="519B2C8C" w14:textId="35292E05" w:rsidR="006A5F1D" w:rsidRPr="008E63BB" w:rsidRDefault="006A5F1D" w:rsidP="0065184D">
      <w:pPr>
        <w:rPr>
          <w:b/>
          <w:i/>
          <w:szCs w:val="26"/>
          <w:lang w:val="sv-SE"/>
        </w:rPr>
      </w:pPr>
      <w:r w:rsidRPr="008E63BB">
        <w:rPr>
          <w:b/>
          <w:i/>
          <w:szCs w:val="26"/>
          <w:lang w:val="sv-SE"/>
        </w:rPr>
        <w:lastRenderedPageBreak/>
        <w:t>b. Nhận xét, đánh giá</w:t>
      </w:r>
    </w:p>
    <w:p w14:paraId="519B2C8D" w14:textId="77777777" w:rsidR="006A5F1D" w:rsidRPr="008E63BB" w:rsidRDefault="006A5F1D" w:rsidP="0065184D">
      <w:pPr>
        <w:rPr>
          <w:szCs w:val="26"/>
          <w:lang w:val="sv-SE"/>
        </w:rPr>
      </w:pPr>
      <w:r w:rsidRPr="008E63BB">
        <w:rPr>
          <w:szCs w:val="26"/>
          <w:lang w:val="sv-SE"/>
        </w:rPr>
        <w:t>b1. Thoát nước thải: Hệ thống thoát nước thải của thành phố, thị trấn Mỹ Lộc và các xã (thuộc phạm vi nghiên cứu mở rộng) là hệ thống thoát nước chung, chưa có trạm xử lý nước thải tập trung, nên không đảm bảo về môi trường, đặc biệt là môi trường nước.</w:t>
      </w:r>
    </w:p>
    <w:p w14:paraId="519B2C8E" w14:textId="77777777" w:rsidR="006A5F1D" w:rsidRPr="008E63BB" w:rsidRDefault="006A5F1D" w:rsidP="0065184D">
      <w:pPr>
        <w:rPr>
          <w:szCs w:val="26"/>
          <w:lang w:val="sv-SE"/>
        </w:rPr>
      </w:pPr>
      <w:r w:rsidRPr="008E63BB">
        <w:rPr>
          <w:szCs w:val="26"/>
          <w:lang w:val="sv-SE"/>
        </w:rPr>
        <w:t>b2. Quản lý chất thải rắn: Mặc dù thành phố đã có khu liên hợp xử lý CTR Lộc Hòa với các công nghệ tiên tiến như nhà máy sản xuất phân compost, lò đốt và chôn lấp hợp vệ sinh. Tuy nhiên, khu liên hợp xử lý CTR này vẫn gây ra ô nhiễm môi trường khu vực xung quanh, đặc biệt là từ các ô chôn lấp CTR. Điều này đòi hỏi phải có giải pháp bền vững để bảo vệ môi trường. Tại thị trấn Mỹ Lộc và các xã mới chỉ có các bãi chôn lấp CTR hợp vệ sinh, quy mô diện tích còn nhỏ.</w:t>
      </w:r>
    </w:p>
    <w:p w14:paraId="519B2C8F" w14:textId="77777777" w:rsidR="006A5F1D" w:rsidRPr="008E63BB" w:rsidRDefault="006A5F1D" w:rsidP="0065184D">
      <w:pPr>
        <w:rPr>
          <w:szCs w:val="26"/>
          <w:lang w:val="sv-SE"/>
        </w:rPr>
      </w:pPr>
      <w:r w:rsidRPr="008E63BB">
        <w:rPr>
          <w:szCs w:val="26"/>
          <w:lang w:val="sv-SE"/>
        </w:rPr>
        <w:t>b3. Quản lý nghĩa trang: Thành phố và các xã chưa có các nghĩa trang tập trung được quy hoạch, xây dựng đầy đủ hệ thống bảo vệ môi trường theo quy định.</w:t>
      </w:r>
    </w:p>
    <w:p w14:paraId="519B2C90" w14:textId="77777777" w:rsidR="006A5F1D" w:rsidRPr="008E63BB" w:rsidRDefault="006A5F1D" w:rsidP="0065184D">
      <w:pPr>
        <w:rPr>
          <w:b/>
          <w:szCs w:val="26"/>
          <w:lang w:val="sv-SE"/>
        </w:rPr>
      </w:pPr>
      <w:r w:rsidRPr="008E63BB">
        <w:rPr>
          <w:b/>
          <w:szCs w:val="26"/>
          <w:lang w:val="sv-SE"/>
        </w:rPr>
        <w:t>2. Đánh giá việc thực hiện theo QHC 2011:</w:t>
      </w:r>
    </w:p>
    <w:tbl>
      <w:tblPr>
        <w:tblW w:w="999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702"/>
        <w:gridCol w:w="3870"/>
      </w:tblGrid>
      <w:tr w:rsidR="008D5BFE" w:rsidRPr="008E63BB" w14:paraId="519B2C94" w14:textId="77777777" w:rsidTr="00503BB2">
        <w:trPr>
          <w:tblHeader/>
        </w:trPr>
        <w:tc>
          <w:tcPr>
            <w:tcW w:w="1418" w:type="dxa"/>
          </w:tcPr>
          <w:p w14:paraId="519B2C91" w14:textId="77777777" w:rsidR="006A5F1D" w:rsidRPr="008E63BB" w:rsidRDefault="006A5F1D" w:rsidP="0065184D">
            <w:pPr>
              <w:rPr>
                <w:b/>
                <w:szCs w:val="26"/>
                <w:lang w:val="pt-BR" w:eastAsia="ja-JP"/>
              </w:rPr>
            </w:pPr>
            <w:r w:rsidRPr="008E63BB">
              <w:rPr>
                <w:b/>
                <w:szCs w:val="26"/>
                <w:lang w:val="pt-BR" w:eastAsia="ja-JP"/>
              </w:rPr>
              <w:t>Hạng mục</w:t>
            </w:r>
          </w:p>
        </w:tc>
        <w:tc>
          <w:tcPr>
            <w:tcW w:w="4702" w:type="dxa"/>
          </w:tcPr>
          <w:p w14:paraId="519B2C92" w14:textId="77777777" w:rsidR="006A5F1D" w:rsidRPr="008E63BB" w:rsidRDefault="006A5F1D" w:rsidP="0065184D">
            <w:pPr>
              <w:rPr>
                <w:b/>
                <w:szCs w:val="26"/>
                <w:lang w:val="pt-BR" w:eastAsia="ja-JP"/>
              </w:rPr>
            </w:pPr>
            <w:r w:rsidRPr="008E63BB">
              <w:rPr>
                <w:b/>
                <w:szCs w:val="26"/>
                <w:lang w:val="pt-BR" w:eastAsia="ja-JP"/>
              </w:rPr>
              <w:t xml:space="preserve">Mục tiêu quy hoạch thành phố đề ra trong đồ án QHC2011 </w:t>
            </w:r>
          </w:p>
        </w:tc>
        <w:tc>
          <w:tcPr>
            <w:tcW w:w="3870" w:type="dxa"/>
          </w:tcPr>
          <w:p w14:paraId="519B2C93" w14:textId="77777777" w:rsidR="006A5F1D" w:rsidRPr="008E63BB" w:rsidRDefault="006A5F1D" w:rsidP="0065184D">
            <w:pPr>
              <w:rPr>
                <w:b/>
                <w:szCs w:val="26"/>
                <w:lang w:val="pt-BR" w:eastAsia="ja-JP"/>
              </w:rPr>
            </w:pPr>
            <w:r w:rsidRPr="008E63BB">
              <w:rPr>
                <w:b/>
                <w:szCs w:val="26"/>
                <w:lang w:val="pt-BR" w:eastAsia="ja-JP"/>
              </w:rPr>
              <w:t>Rà soát, đánh giá mục tiêu QHC2011 so với hiện trạng năm 2019</w:t>
            </w:r>
          </w:p>
        </w:tc>
      </w:tr>
      <w:tr w:rsidR="008D5BFE" w:rsidRPr="008E63BB" w14:paraId="519B2C9C" w14:textId="77777777" w:rsidTr="00503BB2">
        <w:tc>
          <w:tcPr>
            <w:tcW w:w="1418" w:type="dxa"/>
          </w:tcPr>
          <w:p w14:paraId="519B2C95" w14:textId="77777777" w:rsidR="006A5F1D" w:rsidRPr="008E63BB" w:rsidRDefault="006A5F1D" w:rsidP="0065184D">
            <w:pPr>
              <w:rPr>
                <w:szCs w:val="26"/>
                <w:lang w:val="pt-BR" w:eastAsia="ja-JP"/>
              </w:rPr>
            </w:pPr>
            <w:r w:rsidRPr="008E63BB">
              <w:rPr>
                <w:szCs w:val="26"/>
                <w:lang w:val="pt-BR" w:eastAsia="ja-JP"/>
              </w:rPr>
              <w:t>I. Thoát nước thải</w:t>
            </w:r>
          </w:p>
        </w:tc>
        <w:tc>
          <w:tcPr>
            <w:tcW w:w="4702" w:type="dxa"/>
          </w:tcPr>
          <w:p w14:paraId="519B2C96" w14:textId="77777777" w:rsidR="006A5F1D" w:rsidRPr="008E63BB" w:rsidRDefault="006A5F1D" w:rsidP="0065184D">
            <w:pPr>
              <w:rPr>
                <w:szCs w:val="26"/>
                <w:lang w:val="pt-BR" w:eastAsia="ja-JP"/>
              </w:rPr>
            </w:pPr>
            <w:r w:rsidRPr="008E63BB">
              <w:rPr>
                <w:szCs w:val="26"/>
                <w:lang w:val="pt-BR" w:eastAsia="ja-JP"/>
              </w:rPr>
              <w:t>1. Lưu vực phía Bắc sông Đào:</w:t>
            </w:r>
          </w:p>
          <w:p w14:paraId="519B2C97" w14:textId="77777777" w:rsidR="006A5F1D" w:rsidRPr="008E63BB" w:rsidRDefault="006A5F1D" w:rsidP="0065184D">
            <w:pPr>
              <w:rPr>
                <w:szCs w:val="26"/>
                <w:lang w:val="pt-BR" w:eastAsia="ja-JP"/>
              </w:rPr>
            </w:pPr>
            <w:r w:rsidRPr="008E63BB">
              <w:rPr>
                <w:szCs w:val="26"/>
                <w:lang w:val="pt-BR" w:eastAsia="ja-JP"/>
              </w:rPr>
              <w:t xml:space="preserve">+ TXLNT số 1, tại đồng Cánh Lủng, </w:t>
            </w:r>
            <w:r w:rsidR="00146AD0" w:rsidRPr="008E63BB">
              <w:rPr>
                <w:szCs w:val="26"/>
                <w:lang w:val="pt-BR" w:eastAsia="ja-JP"/>
              </w:rPr>
              <w:t xml:space="preserve">xóm Hồng Phúc, </w:t>
            </w:r>
            <w:r w:rsidRPr="008E63BB">
              <w:rPr>
                <w:szCs w:val="26"/>
                <w:lang w:val="pt-BR" w:eastAsia="ja-JP"/>
              </w:rPr>
              <w:t>công suất 22.000 m</w:t>
            </w:r>
            <w:r w:rsidRPr="008E63BB">
              <w:rPr>
                <w:szCs w:val="26"/>
                <w:vertAlign w:val="superscript"/>
                <w:lang w:val="pt-BR" w:eastAsia="ja-JP"/>
              </w:rPr>
              <w:t>3</w:t>
            </w:r>
            <w:r w:rsidRPr="008E63BB">
              <w:rPr>
                <w:szCs w:val="26"/>
                <w:lang w:val="pt-BR" w:eastAsia="ja-JP"/>
              </w:rPr>
              <w:t>/ngđ.</w:t>
            </w:r>
          </w:p>
          <w:p w14:paraId="519B2C98" w14:textId="77777777" w:rsidR="006A5F1D" w:rsidRPr="008E63BB" w:rsidRDefault="006A5F1D" w:rsidP="0065184D">
            <w:pPr>
              <w:rPr>
                <w:szCs w:val="26"/>
                <w:lang w:val="pt-BR" w:eastAsia="ja-JP"/>
              </w:rPr>
            </w:pPr>
            <w:r w:rsidRPr="008E63BB">
              <w:rPr>
                <w:szCs w:val="26"/>
                <w:lang w:val="pt-BR" w:eastAsia="ja-JP"/>
              </w:rPr>
              <w:t>+ TXLNT số 2, tại cánh đồng thôn Lương Xá, công suất 11.000 m</w:t>
            </w:r>
            <w:r w:rsidRPr="008E63BB">
              <w:rPr>
                <w:szCs w:val="26"/>
                <w:vertAlign w:val="superscript"/>
                <w:lang w:val="pt-BR" w:eastAsia="ja-JP"/>
              </w:rPr>
              <w:t>3</w:t>
            </w:r>
            <w:r w:rsidRPr="008E63BB">
              <w:rPr>
                <w:szCs w:val="26"/>
                <w:lang w:val="pt-BR" w:eastAsia="ja-JP"/>
              </w:rPr>
              <w:t>/ngđ.</w:t>
            </w:r>
          </w:p>
          <w:p w14:paraId="519B2C99" w14:textId="77777777" w:rsidR="006A5F1D" w:rsidRPr="008E63BB" w:rsidRDefault="006A5F1D" w:rsidP="0065184D">
            <w:pPr>
              <w:rPr>
                <w:szCs w:val="26"/>
                <w:lang w:val="pt-BR" w:eastAsia="ja-JP"/>
              </w:rPr>
            </w:pPr>
            <w:r w:rsidRPr="008E63BB">
              <w:rPr>
                <w:szCs w:val="26"/>
                <w:lang w:val="pt-BR" w:eastAsia="ja-JP"/>
              </w:rPr>
              <w:t>2. Lưu vực phía Nam sông Đào:</w:t>
            </w:r>
          </w:p>
          <w:p w14:paraId="519B2C9A" w14:textId="77777777" w:rsidR="006A5F1D" w:rsidRPr="008E63BB" w:rsidRDefault="006A5F1D" w:rsidP="0065184D">
            <w:pPr>
              <w:rPr>
                <w:szCs w:val="26"/>
                <w:lang w:val="pt-BR" w:eastAsia="ja-JP"/>
              </w:rPr>
            </w:pPr>
            <w:r w:rsidRPr="008E63BB">
              <w:rPr>
                <w:szCs w:val="26"/>
                <w:lang w:val="pt-BR" w:eastAsia="ja-JP"/>
              </w:rPr>
              <w:t>+ TXLNT số 3, tại khu ruộng xã Nam Toàn, công suất 5500 m</w:t>
            </w:r>
            <w:r w:rsidRPr="008E63BB">
              <w:rPr>
                <w:szCs w:val="26"/>
                <w:vertAlign w:val="superscript"/>
                <w:lang w:val="pt-BR" w:eastAsia="ja-JP"/>
              </w:rPr>
              <w:t>3</w:t>
            </w:r>
            <w:r w:rsidRPr="008E63BB">
              <w:rPr>
                <w:szCs w:val="26"/>
                <w:lang w:val="pt-BR" w:eastAsia="ja-JP"/>
              </w:rPr>
              <w:t>/ngđ</w:t>
            </w:r>
          </w:p>
        </w:tc>
        <w:tc>
          <w:tcPr>
            <w:tcW w:w="3870" w:type="dxa"/>
          </w:tcPr>
          <w:p w14:paraId="519B2C9B" w14:textId="77777777" w:rsidR="006A5F1D" w:rsidRPr="008E63BB" w:rsidRDefault="006A5F1D" w:rsidP="0065184D">
            <w:pPr>
              <w:rPr>
                <w:szCs w:val="26"/>
                <w:lang w:val="pt-BR" w:eastAsia="ja-JP"/>
              </w:rPr>
            </w:pPr>
            <w:r w:rsidRPr="008E63BB">
              <w:rPr>
                <w:szCs w:val="26"/>
                <w:lang w:val="pt-BR" w:eastAsia="ja-JP"/>
              </w:rPr>
              <w:t>Cả 3 TXLNT đều chưa được đầu tư xây dựng.</w:t>
            </w:r>
          </w:p>
        </w:tc>
      </w:tr>
      <w:tr w:rsidR="008D5BFE" w:rsidRPr="008E63BB" w14:paraId="519B2CA3" w14:textId="77777777" w:rsidTr="00503BB2">
        <w:tc>
          <w:tcPr>
            <w:tcW w:w="1418" w:type="dxa"/>
          </w:tcPr>
          <w:p w14:paraId="519B2C9D" w14:textId="77777777" w:rsidR="006A5F1D" w:rsidRPr="008E63BB" w:rsidRDefault="006A5F1D" w:rsidP="0065184D">
            <w:pPr>
              <w:rPr>
                <w:szCs w:val="26"/>
                <w:lang w:val="pt-BR" w:eastAsia="ja-JP"/>
              </w:rPr>
            </w:pPr>
            <w:r w:rsidRPr="008E63BB">
              <w:rPr>
                <w:szCs w:val="26"/>
                <w:lang w:val="pt-BR" w:eastAsia="ja-JP"/>
              </w:rPr>
              <w:t>II. Quản lý CTR</w:t>
            </w:r>
          </w:p>
        </w:tc>
        <w:tc>
          <w:tcPr>
            <w:tcW w:w="4702" w:type="dxa"/>
          </w:tcPr>
          <w:p w14:paraId="519B2C9E" w14:textId="77777777" w:rsidR="008D1964" w:rsidRPr="008E63BB" w:rsidRDefault="006A5F1D" w:rsidP="0065184D">
            <w:pPr>
              <w:rPr>
                <w:szCs w:val="26"/>
                <w:lang w:val="pt-BR" w:eastAsia="ja-JP"/>
              </w:rPr>
            </w:pPr>
            <w:r w:rsidRPr="008E63BB">
              <w:rPr>
                <w:szCs w:val="26"/>
                <w:lang w:val="pt-BR" w:eastAsia="ja-JP"/>
              </w:rPr>
              <w:t>Khu xử lý CTR tập trung: Mở rộng về phía nam khu xử lý CTR Lộc Hòa. Diện tích khu xử lý sau mở rộng khoảng 40 ha.</w:t>
            </w:r>
          </w:p>
          <w:p w14:paraId="519B2C9F" w14:textId="77777777" w:rsidR="006A5F1D" w:rsidRPr="008E63BB" w:rsidRDefault="006A5F1D" w:rsidP="0065184D">
            <w:pPr>
              <w:rPr>
                <w:szCs w:val="26"/>
                <w:lang w:val="pt-BR" w:eastAsia="ja-JP"/>
              </w:rPr>
            </w:pPr>
            <w:r w:rsidRPr="008E63BB">
              <w:rPr>
                <w:szCs w:val="26"/>
                <w:lang w:val="pt-BR" w:eastAsia="ja-JP"/>
              </w:rPr>
              <w:t>Nghiên cứu xây dựng một khu xử lý CTR tập trung phục vụ khu vực phía Nam sông Đào. Diện tích khu xử lý CTR tập trung phía Nam khoảng 15 ha. Khu vực dự kiến đặt tại phía Nam xã Nam Toàn</w:t>
            </w:r>
          </w:p>
        </w:tc>
        <w:tc>
          <w:tcPr>
            <w:tcW w:w="3870" w:type="dxa"/>
          </w:tcPr>
          <w:p w14:paraId="519B2CA0" w14:textId="77777777" w:rsidR="008D1964" w:rsidRPr="008E63BB" w:rsidRDefault="008D1964" w:rsidP="0065184D">
            <w:pPr>
              <w:rPr>
                <w:szCs w:val="26"/>
                <w:lang w:val="pt-BR" w:eastAsia="ja-JP"/>
              </w:rPr>
            </w:pPr>
            <w:r w:rsidRPr="008E63BB">
              <w:rPr>
                <w:szCs w:val="26"/>
                <w:lang w:val="pt-BR" w:eastAsia="ja-JP"/>
              </w:rPr>
              <w:t>+ Khu xử lý CTR Lộc Hòa đã xây dựng nhưng chưa được đầu tư xây dựng mở rộng theo quy hoạch.</w:t>
            </w:r>
          </w:p>
          <w:p w14:paraId="519B2CA1" w14:textId="77777777" w:rsidR="008D1964" w:rsidRPr="008E63BB" w:rsidRDefault="008D1964" w:rsidP="0065184D">
            <w:pPr>
              <w:rPr>
                <w:szCs w:val="26"/>
                <w:lang w:val="pt-BR" w:eastAsia="ja-JP"/>
              </w:rPr>
            </w:pPr>
            <w:r w:rsidRPr="008E63BB">
              <w:rPr>
                <w:szCs w:val="26"/>
                <w:lang w:val="pt-BR" w:eastAsia="ja-JP"/>
              </w:rPr>
              <w:t>+ Chưa đầu tư xây dựng khu xử lý CTR mới tại phía Nam xã Nam Toàn.</w:t>
            </w:r>
          </w:p>
          <w:p w14:paraId="519B2CA2" w14:textId="77777777" w:rsidR="006A5F1D" w:rsidRPr="008E63BB" w:rsidRDefault="008D1964" w:rsidP="0065184D">
            <w:pPr>
              <w:rPr>
                <w:szCs w:val="26"/>
                <w:lang w:val="pt-BR" w:eastAsia="ja-JP"/>
              </w:rPr>
            </w:pPr>
            <w:r w:rsidRPr="008E63BB">
              <w:rPr>
                <w:szCs w:val="26"/>
                <w:lang w:val="pt-BR" w:eastAsia="ja-JP"/>
              </w:rPr>
              <w:t>+</w:t>
            </w:r>
            <w:r w:rsidRPr="008E63BB">
              <w:rPr>
                <w:iCs/>
                <w:szCs w:val="26"/>
                <w:lang w:val="pt-BR"/>
              </w:rPr>
              <w:t>Hiện nay, tỉnh đang tiến hành thực hiện thủ tục phê duyệt chủ trương đầu tư dự án xây dựng khu xử lý CTR tại xã Mỹ Thành, huyện Mỹ Lộc với công suất 300 tấn/ ngày.</w:t>
            </w:r>
          </w:p>
        </w:tc>
      </w:tr>
      <w:tr w:rsidR="008D5BFE" w:rsidRPr="008E63BB" w14:paraId="519B2CA7" w14:textId="77777777" w:rsidTr="00503BB2">
        <w:tc>
          <w:tcPr>
            <w:tcW w:w="1418" w:type="dxa"/>
          </w:tcPr>
          <w:p w14:paraId="519B2CA4" w14:textId="77777777" w:rsidR="006A5F1D" w:rsidRPr="008E63BB" w:rsidRDefault="006A5F1D" w:rsidP="0065184D">
            <w:pPr>
              <w:rPr>
                <w:szCs w:val="26"/>
                <w:lang w:val="pt-BR" w:eastAsia="ja-JP"/>
              </w:rPr>
            </w:pPr>
            <w:r w:rsidRPr="008E63BB">
              <w:rPr>
                <w:szCs w:val="26"/>
                <w:lang w:val="pt-BR" w:eastAsia="ja-JP"/>
              </w:rPr>
              <w:t>III. Nghĩa trang</w:t>
            </w:r>
          </w:p>
        </w:tc>
        <w:tc>
          <w:tcPr>
            <w:tcW w:w="4702" w:type="dxa"/>
          </w:tcPr>
          <w:p w14:paraId="519B2CA5" w14:textId="77777777" w:rsidR="006A5F1D" w:rsidRPr="008E63BB" w:rsidRDefault="006A5F1D" w:rsidP="0065184D">
            <w:pPr>
              <w:rPr>
                <w:szCs w:val="26"/>
                <w:lang w:val="pt-BR" w:eastAsia="ja-JP"/>
              </w:rPr>
            </w:pPr>
            <w:r w:rsidRPr="008E63BB">
              <w:rPr>
                <w:rFonts w:ascii="Verdana" w:hAnsi="Verdana"/>
                <w:szCs w:val="26"/>
                <w:lang w:val="vi-VN"/>
              </w:rPr>
              <w:t xml:space="preserve">- </w:t>
            </w:r>
            <w:r w:rsidRPr="008E63BB">
              <w:rPr>
                <w:szCs w:val="26"/>
                <w:lang w:val="pt-BR" w:eastAsia="ja-JP"/>
              </w:rPr>
              <w:t>Mở rộng diện tích an táng nghĩa trang Cầu Họ lên 15 ha. Xây dựng mô hình nghĩa trang công viên, nhà hỏa táng phục vụ nhân dân thành phố Nam Định nói riêng và tỉnh Nam Định nói chung.</w:t>
            </w:r>
          </w:p>
        </w:tc>
        <w:tc>
          <w:tcPr>
            <w:tcW w:w="3870" w:type="dxa"/>
          </w:tcPr>
          <w:p w14:paraId="519B2CA6" w14:textId="77777777" w:rsidR="006A5F1D" w:rsidRPr="008E63BB" w:rsidRDefault="006A5F1D" w:rsidP="0065184D">
            <w:pPr>
              <w:rPr>
                <w:szCs w:val="26"/>
                <w:lang w:val="pt-BR" w:eastAsia="ja-JP"/>
              </w:rPr>
            </w:pPr>
            <w:r w:rsidRPr="008E63BB">
              <w:rPr>
                <w:szCs w:val="26"/>
                <w:lang w:val="pt-BR" w:eastAsia="ja-JP"/>
              </w:rPr>
              <w:t>Đã triển khai đầu tư dự án mở rộng nghĩa trang Cầu Họ lên 15ha (tên mới là công viên nghĩa trang Thanh Bình).</w:t>
            </w:r>
          </w:p>
        </w:tc>
      </w:tr>
      <w:tr w:rsidR="008D5BFE" w:rsidRPr="008E63BB" w14:paraId="519B2CAB" w14:textId="77777777" w:rsidTr="00503BB2">
        <w:tc>
          <w:tcPr>
            <w:tcW w:w="1418" w:type="dxa"/>
          </w:tcPr>
          <w:p w14:paraId="519B2CA8" w14:textId="77777777" w:rsidR="006A5F1D" w:rsidRPr="008E63BB" w:rsidRDefault="006A5F1D" w:rsidP="0065184D">
            <w:pPr>
              <w:rPr>
                <w:szCs w:val="26"/>
                <w:lang w:val="pt-BR" w:eastAsia="ja-JP"/>
              </w:rPr>
            </w:pPr>
          </w:p>
        </w:tc>
        <w:tc>
          <w:tcPr>
            <w:tcW w:w="4702" w:type="dxa"/>
          </w:tcPr>
          <w:p w14:paraId="519B2CA9" w14:textId="77777777" w:rsidR="006A5F1D" w:rsidRPr="008E63BB" w:rsidRDefault="006A5F1D" w:rsidP="0065184D">
            <w:pPr>
              <w:rPr>
                <w:rFonts w:ascii="Verdana" w:hAnsi="Verdana"/>
                <w:szCs w:val="26"/>
                <w:lang w:val="vi-VN"/>
              </w:rPr>
            </w:pPr>
            <w:r w:rsidRPr="008E63BB">
              <w:rPr>
                <w:szCs w:val="26"/>
                <w:lang w:val="pt-BR" w:eastAsia="ja-JP"/>
              </w:rPr>
              <w:t xml:space="preserve">- Xây dựng khu nghĩa trang mới phía Nam sông Đào tại khu vực xã Nam Mỹ, Nam Phong. Đây là khu vực nghĩa trang hiện trạng với diện tích hiện có khoảng hơn 2 ha, có thể mở rộng lên khoảng 10 ha để phục vụ nhân dân phía nam sông Đào. </w:t>
            </w:r>
          </w:p>
        </w:tc>
        <w:tc>
          <w:tcPr>
            <w:tcW w:w="3870" w:type="dxa"/>
          </w:tcPr>
          <w:p w14:paraId="519B2CAA" w14:textId="77777777" w:rsidR="006A5F1D" w:rsidRPr="008E63BB" w:rsidRDefault="006A5F1D" w:rsidP="0065184D">
            <w:pPr>
              <w:rPr>
                <w:szCs w:val="26"/>
                <w:lang w:val="pt-BR" w:eastAsia="ja-JP"/>
              </w:rPr>
            </w:pPr>
            <w:r w:rsidRPr="008E63BB">
              <w:rPr>
                <w:szCs w:val="26"/>
                <w:lang w:val="pt-BR" w:eastAsia="ja-JP"/>
              </w:rPr>
              <w:t>Chưa đầu tư xây dựng khu nghĩa trang mới phía Nam sông Đào.</w:t>
            </w:r>
          </w:p>
        </w:tc>
      </w:tr>
    </w:tbl>
    <w:p w14:paraId="519B2CAC" w14:textId="77777777" w:rsidR="00303AEB" w:rsidRPr="008E63BB" w:rsidRDefault="00F67BF3" w:rsidP="0065184D">
      <w:pPr>
        <w:pStyle w:val="Heading3"/>
        <w:spacing w:before="60" w:line="26" w:lineRule="atLeast"/>
        <w:rPr>
          <w:lang w:val="sv-SE"/>
        </w:rPr>
      </w:pPr>
      <w:bookmarkStart w:id="257" w:name="_Toc21954842"/>
      <w:bookmarkStart w:id="258" w:name="_Toc21955341"/>
      <w:bookmarkStart w:id="259" w:name="_Toc24361915"/>
      <w:bookmarkStart w:id="260" w:name="_Toc47524674"/>
      <w:r w:rsidRPr="008E63BB">
        <w:rPr>
          <w:lang w:val="sv-SE"/>
        </w:rPr>
        <w:lastRenderedPageBreak/>
        <w:t>2.7</w:t>
      </w:r>
      <w:r w:rsidR="00303AEB" w:rsidRPr="008E63BB">
        <w:rPr>
          <w:lang w:val="sv-SE"/>
        </w:rPr>
        <w:t>.6. Hiện trạng hệ thống thông tin liên lạc</w:t>
      </w:r>
      <w:bookmarkEnd w:id="252"/>
      <w:bookmarkEnd w:id="253"/>
      <w:bookmarkEnd w:id="254"/>
      <w:bookmarkEnd w:id="255"/>
      <w:bookmarkEnd w:id="256"/>
      <w:bookmarkEnd w:id="257"/>
      <w:bookmarkEnd w:id="258"/>
      <w:bookmarkEnd w:id="259"/>
      <w:bookmarkEnd w:id="260"/>
    </w:p>
    <w:p w14:paraId="519B2CAD" w14:textId="77777777" w:rsidR="006A5F1D" w:rsidRPr="008E63BB" w:rsidRDefault="006A5F1D" w:rsidP="0065184D">
      <w:pPr>
        <w:spacing w:before="60" w:line="26" w:lineRule="atLeast"/>
        <w:rPr>
          <w:rFonts w:eastAsia="Times New Roman"/>
          <w:i/>
          <w:szCs w:val="26"/>
          <w:lang w:val="sv-SE"/>
        </w:rPr>
      </w:pPr>
      <w:bookmarkStart w:id="261" w:name="_Toc330799149"/>
      <w:r w:rsidRPr="008E63BB">
        <w:rPr>
          <w:i/>
          <w:szCs w:val="26"/>
          <w:lang w:val="it-IT"/>
        </w:rPr>
        <w:t>a. Mạng Viễn thông.</w:t>
      </w:r>
      <w:bookmarkEnd w:id="261"/>
    </w:p>
    <w:p w14:paraId="519B2CAE" w14:textId="77777777" w:rsidR="006A5F1D" w:rsidRPr="008E63BB" w:rsidRDefault="006A5F1D" w:rsidP="0065184D">
      <w:pPr>
        <w:numPr>
          <w:ilvl w:val="0"/>
          <w:numId w:val="1"/>
        </w:numPr>
        <w:spacing w:before="60" w:line="26" w:lineRule="atLeast"/>
        <w:rPr>
          <w:rFonts w:eastAsia="Times New Roman"/>
          <w:szCs w:val="26"/>
          <w:lang w:val="sv-SE"/>
        </w:rPr>
      </w:pPr>
      <w:r w:rsidRPr="008E63BB">
        <w:rPr>
          <w:rFonts w:eastAsia="Times New Roman"/>
          <w:szCs w:val="26"/>
          <w:lang w:val="sv-SE"/>
        </w:rPr>
        <w:t>Mạng chuyển mạch:</w:t>
      </w:r>
    </w:p>
    <w:p w14:paraId="519B2CAF" w14:textId="77777777" w:rsidR="006A5F1D" w:rsidRPr="008E63BB" w:rsidRDefault="006A5F1D" w:rsidP="0065184D">
      <w:pPr>
        <w:ind w:firstLine="567"/>
        <w:rPr>
          <w:szCs w:val="26"/>
          <w:lang w:val="vi-VN"/>
        </w:rPr>
      </w:pPr>
      <w:r w:rsidRPr="008E63BB">
        <w:rPr>
          <w:szCs w:val="26"/>
          <w:lang w:val="vi-VN" w:eastAsia="ko-KR"/>
        </w:rPr>
        <w:t xml:space="preserve">Trên địa bàn tỉnh hiện có 2 doanh nghiệp </w:t>
      </w:r>
      <w:r w:rsidRPr="008E63BB">
        <w:rPr>
          <w:szCs w:val="26"/>
          <w:lang w:val="vi-VN"/>
        </w:rPr>
        <w:t xml:space="preserve">đầu tư xây dựng hệ thống chuyển mạch để </w:t>
      </w:r>
      <w:r w:rsidRPr="008E63BB">
        <w:rPr>
          <w:szCs w:val="26"/>
          <w:lang w:val="vi-VN" w:eastAsia="ko-KR"/>
        </w:rPr>
        <w:t xml:space="preserve">cung cấp dịch vụ điện thoại cố định có dây: Viễn thông tỉnh Nam Định (thuộc VNPT) và Viettel Telecom (Tổng công ty Viễn thông Quân đội). Ngoài ra còn có EVN Telecom (công ty Thông tin Viễn thông Điện lực), </w:t>
      </w:r>
      <w:r w:rsidRPr="008E63BB">
        <w:rPr>
          <w:szCs w:val="26"/>
          <w:lang w:val="vi-VN"/>
        </w:rPr>
        <w:t>cung cấp dịch vụ điện thoại cố định không dây dựa trên hạ tầng sẵn có của mạng di động.</w:t>
      </w:r>
    </w:p>
    <w:p w14:paraId="519B2CB0" w14:textId="77777777" w:rsidR="006A5F1D" w:rsidRPr="008E63BB" w:rsidRDefault="006A5F1D" w:rsidP="0065184D">
      <w:pPr>
        <w:ind w:firstLine="567"/>
        <w:rPr>
          <w:szCs w:val="26"/>
          <w:lang w:val="vi-VN"/>
        </w:rPr>
      </w:pPr>
      <w:r w:rsidRPr="008E63BB">
        <w:rPr>
          <w:szCs w:val="26"/>
          <w:lang w:val="vi-VN" w:eastAsia="ko-KR"/>
        </w:rPr>
        <w:t>H</w:t>
      </w:r>
      <w:r w:rsidRPr="008E63BB">
        <w:rPr>
          <w:szCs w:val="26"/>
          <w:lang w:val="vi-VN"/>
        </w:rPr>
        <w:t>ệ thống tổng đài của Viễn thông Nam Định bao gồm</w:t>
      </w:r>
      <w:r w:rsidRPr="008E63BB">
        <w:rPr>
          <w:szCs w:val="26"/>
          <w:lang w:val="vi-VN" w:eastAsia="ko-KR"/>
        </w:rPr>
        <w:t>:</w:t>
      </w:r>
      <w:r w:rsidRPr="008E63BB">
        <w:rPr>
          <w:szCs w:val="26"/>
          <w:lang w:val="vi-VN"/>
        </w:rPr>
        <w:t>3 tổng đài trung tâm (2 tổng đài Alcatel 1000E10 và 1 tổng đài STAREX – VKX) tại thành phố Nam Định</w:t>
      </w:r>
    </w:p>
    <w:p w14:paraId="519B2CB1" w14:textId="77777777" w:rsidR="006A5F1D" w:rsidRPr="008E63BB" w:rsidRDefault="006A5F1D" w:rsidP="0065184D">
      <w:pPr>
        <w:ind w:firstLine="567"/>
        <w:rPr>
          <w:szCs w:val="26"/>
          <w:lang w:val="vi-VN"/>
        </w:rPr>
      </w:pPr>
      <w:r w:rsidRPr="008E63BB">
        <w:rPr>
          <w:szCs w:val="26"/>
          <w:lang w:val="vi-VN"/>
        </w:rPr>
        <w:t xml:space="preserve">Toàn bộ tổng đài đã được kết nối bằng các tuyến truyền dẫn quang. </w:t>
      </w:r>
    </w:p>
    <w:p w14:paraId="519B2CB2" w14:textId="77777777" w:rsidR="006A5F1D" w:rsidRPr="008E63BB" w:rsidRDefault="006A5F1D" w:rsidP="0065184D">
      <w:pPr>
        <w:ind w:firstLine="567"/>
        <w:rPr>
          <w:szCs w:val="26"/>
          <w:lang w:val="vi-VN" w:eastAsia="ko-KR"/>
        </w:rPr>
      </w:pPr>
      <w:r w:rsidRPr="008E63BB">
        <w:rPr>
          <w:szCs w:val="26"/>
          <w:lang w:val="vi-VN" w:eastAsia="ko-KR"/>
        </w:rPr>
        <w:t>H</w:t>
      </w:r>
      <w:r w:rsidRPr="008E63BB">
        <w:rPr>
          <w:szCs w:val="26"/>
          <w:lang w:val="vi-VN"/>
        </w:rPr>
        <w:t xml:space="preserve">ệ thống tổng đài </w:t>
      </w:r>
      <w:r w:rsidRPr="008E63BB">
        <w:rPr>
          <w:szCs w:val="26"/>
          <w:lang w:val="vi-VN" w:eastAsia="ko-KR"/>
        </w:rPr>
        <w:t>của Viettel bao g</w:t>
      </w:r>
      <w:r w:rsidRPr="008E63BB">
        <w:rPr>
          <w:szCs w:val="26"/>
          <w:lang w:val="vi-VN"/>
        </w:rPr>
        <w:t>ồm</w:t>
      </w:r>
      <w:r w:rsidRPr="008E63BB">
        <w:rPr>
          <w:szCs w:val="26"/>
          <w:lang w:val="vi-VN" w:eastAsia="ko-KR"/>
        </w:rPr>
        <w:t xml:space="preserve">: </w:t>
      </w:r>
      <w:r w:rsidRPr="008E63BB">
        <w:rPr>
          <w:szCs w:val="26"/>
          <w:lang w:val="vi-VN"/>
        </w:rPr>
        <w:t>1 tổng đài trung tâm tại thành phố Nam Định</w:t>
      </w:r>
    </w:p>
    <w:p w14:paraId="519B2CB3" w14:textId="77777777" w:rsidR="006A5F1D" w:rsidRPr="008E63BB" w:rsidRDefault="006A5F1D" w:rsidP="0065184D">
      <w:pPr>
        <w:numPr>
          <w:ilvl w:val="0"/>
          <w:numId w:val="1"/>
        </w:numPr>
        <w:spacing w:before="60" w:line="26" w:lineRule="atLeast"/>
        <w:rPr>
          <w:rFonts w:eastAsia="Times New Roman"/>
          <w:szCs w:val="26"/>
        </w:rPr>
      </w:pPr>
      <w:r w:rsidRPr="008E63BB">
        <w:rPr>
          <w:rFonts w:eastAsia="Times New Roman"/>
          <w:szCs w:val="26"/>
        </w:rPr>
        <w:t>Mạng truyền dẫn:</w:t>
      </w:r>
    </w:p>
    <w:p w14:paraId="519B2CB4" w14:textId="77777777" w:rsidR="006A5F1D" w:rsidRPr="008E63BB" w:rsidRDefault="006A5F1D" w:rsidP="0065184D">
      <w:pPr>
        <w:ind w:firstLine="567"/>
        <w:rPr>
          <w:szCs w:val="26"/>
          <w:lang w:val="vi-VN"/>
        </w:rPr>
      </w:pPr>
      <w:r w:rsidRPr="008E63BB">
        <w:rPr>
          <w:szCs w:val="26"/>
          <w:lang w:val="vi-VN"/>
        </w:rPr>
        <w:t>Mạng truyền dẫn liên tỉnh trên địa bàn tỉnh hiện nay chủ yếu do các đơn vị: VTN (VNPT), Viettel và EVN cung cấp, quản lý.</w:t>
      </w:r>
    </w:p>
    <w:p w14:paraId="519B2CB5" w14:textId="77777777" w:rsidR="006A5F1D" w:rsidRPr="008E63BB" w:rsidRDefault="006A5F1D" w:rsidP="0065184D">
      <w:pPr>
        <w:ind w:firstLine="567"/>
        <w:rPr>
          <w:szCs w:val="26"/>
          <w:lang w:val="vi-VN"/>
        </w:rPr>
      </w:pPr>
      <w:r w:rsidRPr="008E63BB">
        <w:rPr>
          <w:szCs w:val="26"/>
          <w:lang w:val="vi-VN"/>
        </w:rPr>
        <w:t>- VTN đã đầu tư xây dựng mạng viễn thông thế hệ mới NGN, hệ thống truyền dẫn hiện đại sử dụng công nghệ SDH (k</w:t>
      </w:r>
      <w:r w:rsidRPr="008E63BB">
        <w:rPr>
          <w:iCs/>
          <w:szCs w:val="26"/>
          <w:lang w:val="vi-VN"/>
        </w:rPr>
        <w:t>ết hợp hai phương thức cáp quang và viba)</w:t>
      </w:r>
      <w:r w:rsidRPr="008E63BB">
        <w:rPr>
          <w:szCs w:val="26"/>
          <w:lang w:val="vi-VN"/>
        </w:rPr>
        <w:t xml:space="preserve">, DWDM với dung lượng tuyến trục lên tới 40Gb/s. </w:t>
      </w:r>
      <w:r w:rsidRPr="008E63BB">
        <w:rPr>
          <w:iCs/>
          <w:szCs w:val="26"/>
          <w:lang w:val="vi-VN"/>
        </w:rPr>
        <w:t>Mạch vòng cáp quang chuyển mạch tự động đảm bảo thông tin liên lạc thông suốt. Hệ thống truyền dẫn hoạt động có dự phòng.</w:t>
      </w:r>
    </w:p>
    <w:p w14:paraId="519B2CB6" w14:textId="77777777" w:rsidR="006A5F1D" w:rsidRPr="008E63BB" w:rsidRDefault="006A5F1D" w:rsidP="0065184D">
      <w:pPr>
        <w:ind w:firstLine="567"/>
        <w:rPr>
          <w:szCs w:val="26"/>
          <w:lang w:val="vi-VN"/>
        </w:rPr>
      </w:pPr>
      <w:r w:rsidRPr="008E63BB">
        <w:rPr>
          <w:szCs w:val="26"/>
          <w:lang w:val="vi-VN"/>
        </w:rPr>
        <w:t>Tại Nam Định, VTN đã đầu tư xây dựng 2 tuyến truyền dẫn liên tỉnh trong đó 1 tuyến truyền dẫn viba, 1 tuyến truyền dẫn cáp quang. Cáp quang liên tỉnh nằm trong 2 mạch vòng dọc theo các tuyến đường quốc lộ QL1A, QL21, QL10:</w:t>
      </w:r>
    </w:p>
    <w:p w14:paraId="519B2CB7" w14:textId="77777777" w:rsidR="006A5F1D" w:rsidRPr="008E63BB" w:rsidRDefault="006A5F1D" w:rsidP="0065184D">
      <w:pPr>
        <w:ind w:firstLine="567"/>
        <w:rPr>
          <w:szCs w:val="26"/>
          <w:lang w:val="vi-VN"/>
        </w:rPr>
      </w:pPr>
      <w:r w:rsidRPr="008E63BB">
        <w:rPr>
          <w:szCs w:val="26"/>
          <w:lang w:val="vi-VN"/>
        </w:rPr>
        <w:t>Ring 1: Hà Nội - Ninh Bình – Thanh Hoá – Vinh – Thanh Hoá - Nam Định - Hà Nội dung lượng 40 Gbps.</w:t>
      </w:r>
    </w:p>
    <w:p w14:paraId="519B2CB8" w14:textId="77777777" w:rsidR="006A5F1D" w:rsidRPr="008E63BB" w:rsidRDefault="006A5F1D" w:rsidP="0065184D">
      <w:pPr>
        <w:ind w:firstLine="567"/>
        <w:rPr>
          <w:szCs w:val="26"/>
          <w:lang w:val="vi-VN"/>
        </w:rPr>
      </w:pPr>
      <w:r w:rsidRPr="008E63BB">
        <w:rPr>
          <w:szCs w:val="26"/>
          <w:lang w:val="vi-VN"/>
        </w:rPr>
        <w:t>Ring 2: Hà Nội - Nam Định - Thái Bình - Hải Phòng - Hải Dương - Hà Nội dung lượng 2,5Gbps.</w:t>
      </w:r>
    </w:p>
    <w:p w14:paraId="519B2CB9" w14:textId="77777777" w:rsidR="006A5F1D" w:rsidRPr="008E63BB" w:rsidRDefault="006A5F1D" w:rsidP="0065184D">
      <w:pPr>
        <w:ind w:firstLine="567"/>
        <w:rPr>
          <w:szCs w:val="26"/>
          <w:lang w:val="vi-VN"/>
        </w:rPr>
      </w:pPr>
      <w:r w:rsidRPr="008E63BB">
        <w:rPr>
          <w:szCs w:val="26"/>
          <w:lang w:val="vi-VN"/>
        </w:rPr>
        <w:t>- Viettel xây dựng tuyến truyền dẫn liên tỉnh dọc tuyến đường sắt Bắc - Nam với dung lượng 2,5Gb/s.</w:t>
      </w:r>
    </w:p>
    <w:p w14:paraId="519B2CBA" w14:textId="77777777" w:rsidR="006A5F1D" w:rsidRPr="008E63BB" w:rsidRDefault="006A5F1D" w:rsidP="0065184D">
      <w:pPr>
        <w:ind w:firstLine="567"/>
        <w:rPr>
          <w:szCs w:val="26"/>
          <w:lang w:val="vi-VN"/>
        </w:rPr>
      </w:pPr>
      <w:r w:rsidRPr="008E63BB">
        <w:rPr>
          <w:szCs w:val="26"/>
          <w:lang w:val="vi-VN"/>
        </w:rPr>
        <w:t>- EVN Telecom cũng xây dựng truyền dẫn quang liên tỉnh dọc trên các tuyến đường dây tải điện 220/110KV với dung lượng 2,5Gb/s theo hai hướng Nam Định - Thái Bình và Nam Định - Ninh Bình.</w:t>
      </w:r>
    </w:p>
    <w:p w14:paraId="519B2CBB" w14:textId="77777777" w:rsidR="006A5F1D" w:rsidRPr="008E63BB" w:rsidRDefault="006A5F1D" w:rsidP="0065184D">
      <w:pPr>
        <w:ind w:firstLine="567"/>
        <w:rPr>
          <w:szCs w:val="26"/>
          <w:lang w:val="vi-VN"/>
        </w:rPr>
      </w:pPr>
      <w:r w:rsidRPr="008E63BB">
        <w:rPr>
          <w:szCs w:val="26"/>
          <w:lang w:val="vi-VN"/>
        </w:rPr>
        <w:t>VNPT, ViettelvàEVN Telecom đã hợp tác với nhau để chia sẻ hạ tầng mạng cáp quang liên tỉnh.</w:t>
      </w:r>
    </w:p>
    <w:p w14:paraId="519B2CBC" w14:textId="77777777" w:rsidR="006A5F1D" w:rsidRPr="008E63BB" w:rsidRDefault="006A5F1D" w:rsidP="0065184D">
      <w:pPr>
        <w:numPr>
          <w:ilvl w:val="0"/>
          <w:numId w:val="1"/>
        </w:numPr>
        <w:spacing w:before="60" w:line="26" w:lineRule="atLeast"/>
        <w:rPr>
          <w:rFonts w:eastAsia="Times New Roman"/>
          <w:szCs w:val="26"/>
        </w:rPr>
      </w:pPr>
      <w:r w:rsidRPr="008E63BB">
        <w:rPr>
          <w:rFonts w:eastAsia="Times New Roman"/>
          <w:szCs w:val="26"/>
        </w:rPr>
        <w:t>Mạng ngoại vi</w:t>
      </w:r>
    </w:p>
    <w:p w14:paraId="519B2CBD" w14:textId="77777777" w:rsidR="006A5F1D" w:rsidRPr="008E63BB" w:rsidRDefault="006A5F1D" w:rsidP="0065184D">
      <w:pPr>
        <w:spacing w:before="60" w:line="26" w:lineRule="atLeast"/>
        <w:ind w:left="720"/>
        <w:rPr>
          <w:rFonts w:eastAsia="Times New Roman"/>
          <w:szCs w:val="26"/>
        </w:rPr>
      </w:pPr>
      <w:r w:rsidRPr="008E63BB">
        <w:rPr>
          <w:rFonts w:eastAsia="Times New Roman"/>
          <w:szCs w:val="26"/>
        </w:rPr>
        <w:t xml:space="preserve">Mạng ngoại vi ( cống, bể cáp điện thoại và internet) trên địa bàn thành phố trong những năm qua đã được các doanh nghiệp đặc biệt quan tâm đầu tư, đã đáp ứng được cơ bản nhu cầu lắp đặt điện thoại của nhân dân và chính quyền địa phương. Để nâng cao chất lượng, rút ngắn cự ly phục vụ của mạng ngoại vi các doanh nghiệp đã mở rộng các trạm chuyển mạch, các điểm tập chung thuê bao, bán kính phục vụ bình quân của các trạm đã giảm đáng kể. </w:t>
      </w:r>
    </w:p>
    <w:p w14:paraId="519B2CBE" w14:textId="77777777" w:rsidR="006A5F1D" w:rsidRPr="008E63BB" w:rsidRDefault="006A5F1D" w:rsidP="0065184D">
      <w:pPr>
        <w:numPr>
          <w:ilvl w:val="0"/>
          <w:numId w:val="1"/>
        </w:numPr>
        <w:spacing w:before="60" w:line="26" w:lineRule="atLeast"/>
        <w:rPr>
          <w:rFonts w:eastAsia="Times New Roman"/>
          <w:szCs w:val="26"/>
        </w:rPr>
      </w:pPr>
      <w:r w:rsidRPr="008E63BB">
        <w:rPr>
          <w:rFonts w:eastAsia="Times New Roman"/>
          <w:szCs w:val="26"/>
        </w:rPr>
        <w:t>Mạng di động:</w:t>
      </w:r>
    </w:p>
    <w:p w14:paraId="519B2CBF" w14:textId="77777777" w:rsidR="006A5F1D" w:rsidRPr="008E63BB" w:rsidRDefault="006A5F1D" w:rsidP="0065184D">
      <w:pPr>
        <w:spacing w:before="60" w:line="26" w:lineRule="atLeast"/>
        <w:ind w:left="720"/>
        <w:rPr>
          <w:rFonts w:eastAsia="Times New Roman"/>
          <w:szCs w:val="26"/>
        </w:rPr>
      </w:pPr>
      <w:r w:rsidRPr="008E63BB">
        <w:rPr>
          <w:rFonts w:eastAsia="Times New Roman"/>
          <w:szCs w:val="26"/>
        </w:rPr>
        <w:t>Trên địa bàn TP hiện tại có 3 nhà điện thoại đi động với tổng số 57 cột ăng ten(trên địa bàn thành phố hiện tại) :</w:t>
      </w:r>
    </w:p>
    <w:p w14:paraId="519B2CC0" w14:textId="77777777" w:rsidR="006A5F1D" w:rsidRPr="008E63BB" w:rsidRDefault="006A5F1D" w:rsidP="0065184D">
      <w:pPr>
        <w:numPr>
          <w:ilvl w:val="1"/>
          <w:numId w:val="1"/>
        </w:numPr>
        <w:spacing w:before="60" w:line="26" w:lineRule="atLeast"/>
        <w:rPr>
          <w:rFonts w:eastAsia="Times New Roman"/>
          <w:szCs w:val="26"/>
        </w:rPr>
      </w:pPr>
      <w:r w:rsidRPr="008E63BB">
        <w:rPr>
          <w:rFonts w:eastAsia="Times New Roman"/>
          <w:szCs w:val="26"/>
        </w:rPr>
        <w:lastRenderedPageBreak/>
        <w:t>Mạng vinaphone (công nghệ GSM), trạm thu phát sóng di động chủ yếu dược lắp đặt, sử dụng chung cơ sở hạn tầng và được quản lý chung với các trạm Viễn thông của Viễn thông Nam Định.</w:t>
      </w:r>
    </w:p>
    <w:p w14:paraId="519B2CC1" w14:textId="77777777" w:rsidR="006A5F1D" w:rsidRPr="008E63BB" w:rsidRDefault="006A5F1D" w:rsidP="0065184D">
      <w:pPr>
        <w:numPr>
          <w:ilvl w:val="1"/>
          <w:numId w:val="1"/>
        </w:numPr>
        <w:spacing w:before="60" w:line="26" w:lineRule="atLeast"/>
        <w:rPr>
          <w:rFonts w:eastAsia="Times New Roman"/>
          <w:szCs w:val="26"/>
        </w:rPr>
      </w:pPr>
      <w:r w:rsidRPr="008E63BB">
        <w:rPr>
          <w:rFonts w:eastAsia="Times New Roman"/>
          <w:szCs w:val="26"/>
        </w:rPr>
        <w:t>Mạng mobiphone (công nghệ GSM).</w:t>
      </w:r>
    </w:p>
    <w:p w14:paraId="519B2CC2" w14:textId="77777777" w:rsidR="006A5F1D" w:rsidRPr="008E63BB" w:rsidRDefault="006A5F1D" w:rsidP="0065184D">
      <w:pPr>
        <w:numPr>
          <w:ilvl w:val="1"/>
          <w:numId w:val="1"/>
        </w:numPr>
        <w:spacing w:before="60" w:line="26" w:lineRule="atLeast"/>
        <w:rPr>
          <w:rFonts w:eastAsia="Times New Roman"/>
          <w:szCs w:val="26"/>
        </w:rPr>
      </w:pPr>
      <w:r w:rsidRPr="008E63BB">
        <w:rPr>
          <w:rFonts w:eastAsia="Times New Roman"/>
          <w:szCs w:val="26"/>
        </w:rPr>
        <w:t>Mạng Viettel Mobile (công nghệ GSM), trạm thu phát sóng di động chủ yếu lắp đặt tại các cơ quan, nhà dân trên địa bàn TP.</w:t>
      </w:r>
    </w:p>
    <w:p w14:paraId="519B2CC3" w14:textId="77777777" w:rsidR="006A5F1D" w:rsidRPr="008E63BB" w:rsidRDefault="006A5F1D" w:rsidP="0065184D">
      <w:pPr>
        <w:numPr>
          <w:ilvl w:val="1"/>
          <w:numId w:val="1"/>
        </w:numPr>
        <w:spacing w:before="60" w:line="26" w:lineRule="atLeast"/>
        <w:rPr>
          <w:rFonts w:eastAsia="Times New Roman"/>
          <w:szCs w:val="26"/>
        </w:rPr>
      </w:pPr>
      <w:r w:rsidRPr="008E63BB">
        <w:rPr>
          <w:szCs w:val="26"/>
          <w:lang w:val="vi-VN"/>
        </w:rPr>
        <w:t>Mạng E- Mobile do công ty Thông tin Viễn thông Điện lực xây dựng, quản lý và tổ chức kinh doanh, phát triển thuê bao trên địa bàn tỉnh</w:t>
      </w:r>
      <w:r w:rsidRPr="008E63BB">
        <w:rPr>
          <w:szCs w:val="26"/>
        </w:rPr>
        <w:t>.</w:t>
      </w:r>
    </w:p>
    <w:p w14:paraId="519B2CC4" w14:textId="77777777" w:rsidR="006A5F1D" w:rsidRPr="008E63BB" w:rsidRDefault="006A5F1D" w:rsidP="0065184D">
      <w:pPr>
        <w:numPr>
          <w:ilvl w:val="0"/>
          <w:numId w:val="1"/>
        </w:numPr>
        <w:spacing w:before="60" w:line="26" w:lineRule="atLeast"/>
        <w:rPr>
          <w:rFonts w:eastAsia="Times New Roman"/>
          <w:szCs w:val="26"/>
        </w:rPr>
      </w:pPr>
      <w:r w:rsidRPr="008E63BB">
        <w:rPr>
          <w:rFonts w:eastAsia="Times New Roman"/>
          <w:szCs w:val="26"/>
        </w:rPr>
        <w:t xml:space="preserve">Dịch vụ viễn thông, Internet: Tại TP Nam Định hiện có viễn thông Nam Định và Viễn thông Quân Đội cung cấp dịch vụ internet. Mạng Internet tốc độ cao ADSL đã triển khai cung cấp dịch vụ toàn Thành Phố </w:t>
      </w:r>
    </w:p>
    <w:p w14:paraId="519B2CC5" w14:textId="77777777" w:rsidR="006A5F1D" w:rsidRPr="008E63BB" w:rsidRDefault="006A5F1D" w:rsidP="0065184D">
      <w:pPr>
        <w:spacing w:before="60" w:line="26" w:lineRule="atLeast"/>
        <w:rPr>
          <w:i/>
          <w:szCs w:val="26"/>
          <w:lang w:val="it-IT"/>
        </w:rPr>
      </w:pPr>
      <w:bookmarkStart w:id="262" w:name="_Toc330799150"/>
      <w:r w:rsidRPr="008E63BB">
        <w:rPr>
          <w:i/>
          <w:szCs w:val="26"/>
          <w:lang w:val="it-IT"/>
        </w:rPr>
        <w:t>b. Mạng Bưu chính.</w:t>
      </w:r>
      <w:bookmarkEnd w:id="262"/>
    </w:p>
    <w:p w14:paraId="519B2CC6" w14:textId="77777777" w:rsidR="006A5F1D" w:rsidRPr="008E63BB" w:rsidRDefault="006A5F1D" w:rsidP="0065184D">
      <w:pPr>
        <w:numPr>
          <w:ilvl w:val="0"/>
          <w:numId w:val="2"/>
        </w:numPr>
        <w:spacing w:before="60" w:line="26" w:lineRule="atLeast"/>
        <w:rPr>
          <w:rFonts w:eastAsia="Times New Roman"/>
          <w:szCs w:val="26"/>
          <w:lang w:val="it-IT"/>
        </w:rPr>
      </w:pPr>
      <w:r w:rsidRPr="008E63BB">
        <w:rPr>
          <w:rFonts w:eastAsia="Times New Roman"/>
          <w:szCs w:val="26"/>
          <w:lang w:val="it-IT"/>
        </w:rPr>
        <w:t>Điểm phục vụ: Mạng bưu chính TP.Nam Định đã phát triển rộng khắp, 100% số phường có điểm phục vụ. Nhu cầu về dịch vụ Bưu chính của người dân trên địa bàn đã được đáp ứng tương đối đầy đủ.</w:t>
      </w:r>
    </w:p>
    <w:p w14:paraId="519B2CC7" w14:textId="77777777" w:rsidR="006A5F1D" w:rsidRPr="008E63BB" w:rsidRDefault="006A5F1D" w:rsidP="0065184D">
      <w:pPr>
        <w:numPr>
          <w:ilvl w:val="0"/>
          <w:numId w:val="2"/>
        </w:numPr>
        <w:spacing w:before="60" w:line="26" w:lineRule="atLeast"/>
        <w:rPr>
          <w:rFonts w:eastAsia="Times New Roman"/>
          <w:szCs w:val="26"/>
          <w:lang w:val="it-IT"/>
        </w:rPr>
      </w:pPr>
      <w:r w:rsidRPr="008E63BB">
        <w:rPr>
          <w:rFonts w:eastAsia="Times New Roman"/>
          <w:szCs w:val="26"/>
          <w:lang w:val="it-IT"/>
        </w:rPr>
        <w:t>Mạng vận chuyển Bưu chính:Hiện tại mạng vận chuyển trên địa bàn TP như sau:</w:t>
      </w:r>
    </w:p>
    <w:p w14:paraId="519B2CC8" w14:textId="77777777" w:rsidR="006A5F1D" w:rsidRPr="008E63BB" w:rsidRDefault="006A5F1D" w:rsidP="0065184D">
      <w:pPr>
        <w:numPr>
          <w:ilvl w:val="1"/>
          <w:numId w:val="2"/>
        </w:numPr>
        <w:spacing w:before="60" w:line="26" w:lineRule="atLeast"/>
        <w:rPr>
          <w:rFonts w:eastAsia="Times New Roman"/>
          <w:szCs w:val="26"/>
          <w:lang w:val="it-IT"/>
        </w:rPr>
      </w:pPr>
      <w:r w:rsidRPr="008E63BB">
        <w:rPr>
          <w:rFonts w:eastAsia="Times New Roman"/>
          <w:szCs w:val="26"/>
          <w:lang w:val="it-IT"/>
        </w:rPr>
        <w:t>* Mạng vận chuyển Bưu chính của VNPT</w:t>
      </w:r>
    </w:p>
    <w:p w14:paraId="519B2CC9" w14:textId="77777777" w:rsidR="006A5F1D" w:rsidRPr="008E63BB" w:rsidRDefault="006A5F1D" w:rsidP="0065184D">
      <w:pPr>
        <w:spacing w:before="60" w:line="26" w:lineRule="atLeast"/>
        <w:ind w:left="720"/>
        <w:rPr>
          <w:rFonts w:eastAsia="Times New Roman"/>
          <w:szCs w:val="26"/>
          <w:lang w:val="it-IT"/>
        </w:rPr>
      </w:pPr>
      <w:r w:rsidRPr="008E63BB">
        <w:rPr>
          <w:rFonts w:eastAsia="Times New Roman"/>
          <w:szCs w:val="26"/>
          <w:lang w:val="it-IT"/>
        </w:rPr>
        <w:t>- Đường cấp 1: Hà Nội – Nam Định. Mỗi ngày có 2 chuyến đi và về</w:t>
      </w:r>
    </w:p>
    <w:p w14:paraId="519B2CCA" w14:textId="77777777" w:rsidR="006A5F1D" w:rsidRPr="008E63BB" w:rsidRDefault="006A5F1D" w:rsidP="0065184D">
      <w:pPr>
        <w:spacing w:before="60" w:line="26" w:lineRule="atLeast"/>
        <w:ind w:left="720"/>
        <w:rPr>
          <w:rFonts w:eastAsia="Times New Roman"/>
          <w:szCs w:val="26"/>
          <w:lang w:val="it-IT"/>
        </w:rPr>
      </w:pPr>
      <w:r w:rsidRPr="008E63BB">
        <w:rPr>
          <w:rFonts w:eastAsia="Times New Roman"/>
          <w:szCs w:val="26"/>
          <w:lang w:val="it-IT"/>
        </w:rPr>
        <w:t>- Đường cấp 2 (nội thành): Chủ yếu sử dụng xe máy do Bưu điện TP thực hiện.</w:t>
      </w:r>
    </w:p>
    <w:p w14:paraId="519B2CCB"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t>* Mạng vận chuyển Bưu chính Công ty Bưu chính Viettel</w:t>
      </w:r>
    </w:p>
    <w:p w14:paraId="519B2CCC" w14:textId="77777777" w:rsidR="006A5F1D" w:rsidRPr="008E63BB" w:rsidRDefault="006A5F1D" w:rsidP="0065184D">
      <w:pPr>
        <w:spacing w:before="60" w:line="26" w:lineRule="atLeast"/>
        <w:ind w:left="720"/>
        <w:rPr>
          <w:rFonts w:eastAsia="Times New Roman"/>
          <w:szCs w:val="26"/>
          <w:lang w:val="it-IT"/>
        </w:rPr>
      </w:pPr>
      <w:r w:rsidRPr="008E63BB">
        <w:rPr>
          <w:rFonts w:eastAsia="Times New Roman"/>
          <w:szCs w:val="26"/>
          <w:lang w:val="it-IT"/>
        </w:rPr>
        <w:t>- Đường cấp 1: Hà Nội – Nam Định 1 chuyến đi và về</w:t>
      </w:r>
    </w:p>
    <w:p w14:paraId="519B2CCD" w14:textId="77777777" w:rsidR="006A5F1D" w:rsidRPr="008E63BB" w:rsidRDefault="006A5F1D" w:rsidP="0065184D">
      <w:pPr>
        <w:spacing w:before="60" w:line="26" w:lineRule="atLeast"/>
        <w:rPr>
          <w:rFonts w:eastAsia="Times New Roman"/>
          <w:szCs w:val="26"/>
          <w:lang w:val="it-IT"/>
        </w:rPr>
      </w:pPr>
      <w:bookmarkStart w:id="263" w:name="_Toc330799151"/>
      <w:r w:rsidRPr="008E63BB">
        <w:rPr>
          <w:rFonts w:eastAsia="Times New Roman"/>
          <w:szCs w:val="26"/>
          <w:lang w:val="it-IT"/>
        </w:rPr>
        <w:t>3. Dịch vụ</w:t>
      </w:r>
      <w:bookmarkEnd w:id="263"/>
    </w:p>
    <w:p w14:paraId="519B2CCE"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t>Bưu điện TP Nam Định cung cấp các dịch vụ Bưu chính như: dịch vụ cơ bản, dịch vụ cộng thêm, dịch vụ EMS, dịch vụ chuyển tiền, dịch vụ tiết kiệm bưu điện .. v.v..</w:t>
      </w:r>
    </w:p>
    <w:p w14:paraId="519B2CCF"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t>Công ty Bưu chính Viettel chủ yếu cung cấp dịch vụ phát hành báo chí và dịch vụ chuyển phát nhanh.</w:t>
      </w:r>
    </w:p>
    <w:p w14:paraId="519B2CD0"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t>Các dịch vụ Bưu chính hiện dược cung cấp trên địa bàn tỉnh Nam Định như sau:</w:t>
      </w:r>
    </w:p>
    <w:p w14:paraId="519B2CD1"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Bưu phẩm – bưu kiện trong nước và quốc tế</w:t>
      </w:r>
    </w:p>
    <w:p w14:paraId="519B2CD2"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Thư chuyển tiền và chuyển tiền nhanh</w:t>
      </w:r>
    </w:p>
    <w:p w14:paraId="519B2CD3"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Tiết kiệm bưu điện</w:t>
      </w:r>
    </w:p>
    <w:p w14:paraId="519B2CD4"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Phát hành báo chí</w:t>
      </w:r>
    </w:p>
    <w:p w14:paraId="519B2CD5"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Chuyển phát nhanh EMS và quốc tế</w:t>
      </w:r>
    </w:p>
    <w:p w14:paraId="519B2CD6"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Bưu phẩm không địa chỉ</w:t>
      </w:r>
    </w:p>
    <w:p w14:paraId="519B2CD7"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Điện hoa</w:t>
      </w:r>
    </w:p>
    <w:p w14:paraId="519B2CD8" w14:textId="77777777" w:rsidR="006A5F1D" w:rsidRPr="008E63BB" w:rsidRDefault="006A5F1D" w:rsidP="0065184D">
      <w:pPr>
        <w:spacing w:before="60" w:line="26" w:lineRule="atLeast"/>
        <w:rPr>
          <w:rFonts w:eastAsia="Times New Roman"/>
          <w:szCs w:val="26"/>
          <w:lang w:val="it-IT"/>
        </w:rPr>
      </w:pPr>
      <w:r w:rsidRPr="008E63BB">
        <w:rPr>
          <w:rFonts w:eastAsia="Times New Roman"/>
          <w:szCs w:val="26"/>
          <w:lang w:val="it-IT"/>
        </w:rPr>
        <w:tab/>
      </w:r>
      <w:r w:rsidRPr="008E63BB">
        <w:rPr>
          <w:rFonts w:eastAsia="Times New Roman"/>
          <w:szCs w:val="26"/>
          <w:lang w:val="it-IT"/>
        </w:rPr>
        <w:tab/>
        <w:t>+ Tem Bưu chính</w:t>
      </w:r>
    </w:p>
    <w:p w14:paraId="519B2CD9" w14:textId="77777777" w:rsidR="000602D1" w:rsidRPr="008E63BB" w:rsidRDefault="006A5F1D" w:rsidP="0065184D">
      <w:pPr>
        <w:rPr>
          <w:szCs w:val="26"/>
          <w:lang w:val="sv-SE"/>
        </w:rPr>
      </w:pPr>
      <w:r w:rsidRPr="008E63BB">
        <w:rPr>
          <w:rFonts w:eastAsia="Times New Roman"/>
          <w:szCs w:val="26"/>
          <w:lang w:val="it-IT"/>
        </w:rPr>
        <w:tab/>
      </w:r>
      <w:r w:rsidRPr="008E63BB">
        <w:rPr>
          <w:rFonts w:eastAsia="Times New Roman"/>
          <w:szCs w:val="26"/>
          <w:lang w:val="it-IT"/>
        </w:rPr>
        <w:tab/>
        <w:t>+ Dịch vụ khai giá</w:t>
      </w:r>
    </w:p>
    <w:p w14:paraId="293F4289" w14:textId="77777777" w:rsidR="00503BB2" w:rsidRDefault="00503BB2">
      <w:pPr>
        <w:jc w:val="left"/>
        <w:rPr>
          <w:rFonts w:eastAsia="Times New Roman"/>
          <w:b/>
          <w:bCs/>
          <w:kern w:val="32"/>
          <w:sz w:val="24"/>
          <w:szCs w:val="24"/>
          <w:lang w:val="vi-VN"/>
        </w:rPr>
      </w:pPr>
      <w:bookmarkStart w:id="264" w:name="_Toc330799153"/>
      <w:bookmarkStart w:id="265" w:name="_Toc341519032"/>
      <w:bookmarkStart w:id="266" w:name="_Toc341519133"/>
      <w:bookmarkStart w:id="267" w:name="_Toc344928445"/>
      <w:bookmarkStart w:id="268" w:name="_Toc345538353"/>
      <w:bookmarkStart w:id="269" w:name="_Toc47524675"/>
      <w:r>
        <w:rPr>
          <w:lang w:val="vi-VN"/>
        </w:rPr>
        <w:br w:type="page"/>
      </w:r>
    </w:p>
    <w:p w14:paraId="519B2CDA" w14:textId="2ADADC39" w:rsidR="003D5893" w:rsidRPr="008E63BB" w:rsidRDefault="003D5893" w:rsidP="0065184D">
      <w:pPr>
        <w:pStyle w:val="Heading1"/>
        <w:spacing w:before="60" w:after="0" w:line="26" w:lineRule="atLeast"/>
        <w:rPr>
          <w:lang w:val="vi-VN"/>
        </w:rPr>
      </w:pPr>
      <w:r w:rsidRPr="008E63BB">
        <w:rPr>
          <w:lang w:val="vi-VN"/>
        </w:rPr>
        <w:lastRenderedPageBreak/>
        <w:t>III. PHẦN 3: ĐÁNH GIÁ THỰC HIỆN THEO QUY HOẠCH CHUNG ĐƯỢC DUYỆT NĂM 20</w:t>
      </w:r>
      <w:r w:rsidR="000602D1" w:rsidRPr="008E63BB">
        <w:rPr>
          <w:lang w:val="vi-VN"/>
        </w:rPr>
        <w:t>11</w:t>
      </w:r>
      <w:r w:rsidRPr="008E63BB">
        <w:rPr>
          <w:lang w:val="vi-VN"/>
        </w:rPr>
        <w:t>.</w:t>
      </w:r>
      <w:bookmarkEnd w:id="264"/>
      <w:bookmarkEnd w:id="265"/>
      <w:bookmarkEnd w:id="266"/>
      <w:bookmarkEnd w:id="267"/>
      <w:bookmarkEnd w:id="268"/>
      <w:bookmarkEnd w:id="269"/>
    </w:p>
    <w:p w14:paraId="519B2CDB" w14:textId="77777777" w:rsidR="00DF4250" w:rsidRPr="008E63BB" w:rsidRDefault="00DF4250" w:rsidP="0065184D">
      <w:pPr>
        <w:pStyle w:val="Heading2"/>
        <w:spacing w:before="60" w:after="0" w:line="26" w:lineRule="atLeast"/>
        <w:rPr>
          <w:lang w:val="pt-BR"/>
        </w:rPr>
      </w:pPr>
      <w:bookmarkStart w:id="270" w:name="_Toc47524676"/>
      <w:bookmarkStart w:id="271" w:name="_Toc330799155"/>
      <w:bookmarkStart w:id="272" w:name="_Toc341519034"/>
      <w:bookmarkStart w:id="273" w:name="_Toc341519135"/>
      <w:bookmarkStart w:id="274" w:name="_Toc344928447"/>
      <w:bookmarkStart w:id="275" w:name="_Toc345538355"/>
      <w:r w:rsidRPr="008E63BB">
        <w:rPr>
          <w:lang w:val="pt-BR"/>
        </w:rPr>
        <w:t xml:space="preserve">3.1. </w:t>
      </w:r>
      <w:r w:rsidR="00D917EC" w:rsidRPr="008E63BB">
        <w:rPr>
          <w:lang w:val="pt-BR"/>
        </w:rPr>
        <w:t>Tình hình lập, triển khai các quy hoạch có liên quan, các dự án đầu tư xây dựng theo quy hoạch xây dựng được duyệt và kế hoạch thực hiện quy hoạch</w:t>
      </w:r>
      <w:bookmarkEnd w:id="270"/>
    </w:p>
    <w:p w14:paraId="519B2CDC" w14:textId="77777777" w:rsidR="009076D7" w:rsidRPr="008E63BB" w:rsidRDefault="009076D7" w:rsidP="00F06125">
      <w:pPr>
        <w:numPr>
          <w:ilvl w:val="0"/>
          <w:numId w:val="11"/>
        </w:numPr>
      </w:pPr>
      <w:r w:rsidRPr="008E63BB">
        <w:t>Lập Quy hoạch phân khu</w:t>
      </w:r>
    </w:p>
    <w:p w14:paraId="519B2CDD" w14:textId="77777777" w:rsidR="009076D7" w:rsidRPr="008E63BB" w:rsidRDefault="009076D7" w:rsidP="0065184D">
      <w:pPr>
        <w:ind w:firstLine="709"/>
      </w:pPr>
      <w:r w:rsidRPr="008E63BB">
        <w:t>Sau khi Quy hoạch chung được phê duyệt tháng 11/2011. UBND Tỉnh và Thành phố đã chỉ đạo triển khai lập và phê duyệt 5 QHPK và 16 QHCT tỷ lệ 1/2000 đã được lập sau khi QHC được duyệt. Tỷ lệ phủ của Quy hoạch phân khu đến nay đạt 80% diện tích Quy hoạch thành phố Nam Định. Quá trình nghiên cứu quy hoạch phân khu đã có những nội dung điều chỉnh, cụ thể hóa so với nội dung quy hoạch chung đã được phê duyệt.</w:t>
      </w:r>
    </w:p>
    <w:p w14:paraId="519B2CDE" w14:textId="77777777" w:rsidR="009076D7" w:rsidRPr="008E63BB" w:rsidRDefault="009076D7" w:rsidP="00F06125">
      <w:pPr>
        <w:numPr>
          <w:ilvl w:val="0"/>
          <w:numId w:val="11"/>
        </w:numPr>
      </w:pPr>
      <w:r w:rsidRPr="008E63BB">
        <w:t>Lập Quy hoạch chi tiết</w:t>
      </w:r>
    </w:p>
    <w:p w14:paraId="519B2CDF" w14:textId="77777777" w:rsidR="009076D7" w:rsidRPr="008E63BB" w:rsidRDefault="009076D7" w:rsidP="0065184D">
      <w:pPr>
        <w:rPr>
          <w:lang w:val="pt-BR" w:eastAsia="ja-JP"/>
        </w:rPr>
      </w:pPr>
      <w:r w:rsidRPr="008E63BB">
        <w:t xml:space="preserve">Hệ thống các quy hoạch chi tiết được lập khá nhiều, gắn với các dự án đầu tư xây dựng các khu đô thị, khu vực chức năng đô thị, công viên, quảng trường, các công trình công cộng …Tính đến nay, </w:t>
      </w:r>
      <w:r w:rsidRPr="008E63BB">
        <w:rPr>
          <w:lang w:val="pt-BR" w:eastAsia="ja-JP"/>
        </w:rPr>
        <w:t xml:space="preserve">đến nay có tổng  cộng 16 đồ án quy hoạch chi tiết 1/500 đã được phê duyệt với tổng diện tích  588,61ha, trong đó: </w:t>
      </w:r>
    </w:p>
    <w:p w14:paraId="519B2CE0" w14:textId="77777777" w:rsidR="009076D7" w:rsidRPr="008E63BB" w:rsidRDefault="009076D7" w:rsidP="0065184D">
      <w:pPr>
        <w:ind w:firstLine="720"/>
        <w:rPr>
          <w:lang w:val="pt-BR" w:eastAsia="ja-JP"/>
        </w:rPr>
      </w:pPr>
      <w:r w:rsidRPr="008E63BB">
        <w:rPr>
          <w:lang w:val="pt-BR" w:eastAsia="ja-JP"/>
        </w:rPr>
        <w:t>+ Có 9 đồ án quy hoạch chi tiết được phê duyệt trước quy hoạch chung 2011 với tổng diện tích 245,47ha</w:t>
      </w:r>
    </w:p>
    <w:p w14:paraId="519B2CE1" w14:textId="77777777" w:rsidR="009076D7" w:rsidRPr="008E63BB" w:rsidRDefault="009076D7" w:rsidP="00040899">
      <w:pPr>
        <w:ind w:firstLine="720"/>
        <w:rPr>
          <w:lang w:val="pt-BR" w:eastAsia="ja-JP"/>
        </w:rPr>
      </w:pPr>
      <w:r w:rsidRPr="008E63BB">
        <w:rPr>
          <w:lang w:val="pt-BR" w:eastAsia="ja-JP"/>
        </w:rPr>
        <w:t>+ Có 7 đồ án quy hoạch chi tiết được phê duyệt sau quy hoạch chung 2011 với tổng diện tích 343,14ha.</w:t>
      </w:r>
    </w:p>
    <w:p w14:paraId="519B2CE2" w14:textId="77777777" w:rsidR="00D917EC" w:rsidRPr="008E63BB" w:rsidRDefault="00D917EC" w:rsidP="0065184D">
      <w:pPr>
        <w:ind w:firstLine="567"/>
        <w:rPr>
          <w:lang w:val="pt-BR"/>
        </w:rPr>
      </w:pPr>
      <w:r w:rsidRPr="008E63BB">
        <w:rPr>
          <w:lang w:val="pt-BR"/>
        </w:rPr>
        <w:t>c. Các dự án:</w:t>
      </w:r>
    </w:p>
    <w:p w14:paraId="519B2CE3" w14:textId="77777777" w:rsidR="00DC6845" w:rsidRPr="008E63BB" w:rsidRDefault="009076D7" w:rsidP="0065184D">
      <w:pPr>
        <w:ind w:firstLine="720"/>
        <w:rPr>
          <w:lang w:val="pt-BR"/>
        </w:rPr>
      </w:pPr>
      <w:r w:rsidRPr="008E63BB">
        <w:rPr>
          <w:lang w:val="pt-BR"/>
        </w:rPr>
        <w:t>Trên địa bàn Thành phố hiện có nhiều dự án đã và đang triển khai thực hiện (trong đó có có dự án đã được giao đất, cho thuê đất). Tỉnh và Thành phố thường xuyên rà soát và xử lý các dự án triển khai chậm tiến độ.</w:t>
      </w:r>
    </w:p>
    <w:p w14:paraId="519B2CE4" w14:textId="77777777" w:rsidR="00A77F4C" w:rsidRPr="008E63BB" w:rsidRDefault="003B0EE6" w:rsidP="00A77F4C">
      <w:pPr>
        <w:ind w:firstLine="720"/>
        <w:rPr>
          <w:lang w:val="pt-BR"/>
        </w:rPr>
      </w:pPr>
      <w:r w:rsidRPr="008E63BB">
        <w:rPr>
          <w:lang w:val="pt-BR"/>
        </w:rPr>
        <w:t>Thực hiện chủ trương “trải thảm đỏ” thu hút đầu tư, thành phố đã có những giải pháp, sắp xếp tạo quỹ đất dịch vụ thương mại, tiểu thủ công nghiệ</w:t>
      </w:r>
      <w:r w:rsidR="00040899" w:rsidRPr="008E63BB">
        <w:rPr>
          <w:lang w:val="pt-BR"/>
        </w:rPr>
        <w:t xml:space="preserve">p, </w:t>
      </w:r>
      <w:r w:rsidRPr="008E63BB">
        <w:rPr>
          <w:lang w:val="pt-BR"/>
        </w:rPr>
        <w:t>từng bước thu hút các doanh nghiệp đầu tư sản xuất, kinh doanh. Khu vực hai bên tuyến đường bộ mới Nam Định - Phủ Lý hiện đã có 11 doanh nghiệp có dự án đầu tư đi vào hoạt động; tuyến đường Lê Đức Thọ đã có 13 dự án đầu tư đi vào hoạt động; tuyến đường dẫn cầu Tân Phong đã có 1 dự án đầu tư xây dựng. Một số dự án lớn như: Xây dựng nhà máy xử lý rác thải tập trung cho thành phố; cải tạo chung cư 5 tầng; xây dựng khu phức hợp vui chơi, giải trí và đô thị thông minh; xây dựng khu chức năng hỗn hợp Lộc Vượng, xây dựng bãi đỗ xe công cộng tại khu đất số 1 đường Quang Trung, phường Bà Triệu…</w:t>
      </w:r>
      <w:r w:rsidR="00040899" w:rsidRPr="008E63BB">
        <w:rPr>
          <w:lang w:val="pt-BR"/>
        </w:rPr>
        <w:t xml:space="preserve">Các dự án khác như Dự án xây dựng </w:t>
      </w:r>
      <w:r w:rsidR="007A2F55" w:rsidRPr="008E63BB">
        <w:rPr>
          <w:lang w:val="pt-BR"/>
        </w:rPr>
        <w:t>Trung tâm thương mại, Khu đô thị dệt may, bệnh viện đa khoa Tỉnh, Khu di tích lịch sử đền Trần...được triển khai đầu tư xây dựng đã góp phần thay đổi bộ mặt đô thị, tăng quỹ đất phát triển hạ tầng, các công trình đầu mối và nhà ở cho thành phố.</w:t>
      </w:r>
    </w:p>
    <w:p w14:paraId="519B2CE5" w14:textId="77777777" w:rsidR="00A77F4C" w:rsidRPr="008E63BB" w:rsidRDefault="00A77F4C" w:rsidP="00A77F4C">
      <w:pPr>
        <w:widowControl w:val="0"/>
        <w:ind w:firstLine="567"/>
        <w:rPr>
          <w:rFonts w:eastAsia="Arial Unicode MS"/>
          <w:szCs w:val="26"/>
          <w:u w:color="000000"/>
          <w:lang w:val="sv-SE"/>
        </w:rPr>
      </w:pPr>
      <w:r w:rsidRPr="008E63BB">
        <w:rPr>
          <w:lang w:val="pt-BR"/>
        </w:rPr>
        <w:t>Có thể</w:t>
      </w:r>
      <w:r w:rsidR="003B0EE6" w:rsidRPr="008E63BB">
        <w:rPr>
          <w:lang w:val="pt-BR"/>
        </w:rPr>
        <w:t xml:space="preserve"> thấy, </w:t>
      </w:r>
      <w:r w:rsidRPr="008E63BB">
        <w:rPr>
          <w:rFonts w:eastAsia="Arial Unicode MS"/>
          <w:szCs w:val="26"/>
          <w:u w:color="000000"/>
          <w:lang w:val="sv-SE"/>
        </w:rPr>
        <w:t>mục tiêu xây dựng, phát triển thành phố theo quy hoạch chung xây dựng đã dần được cụ thế hóa bởi các quy hoạch cấp độ nhỏ hơn, dự án trọng điểm, có tính lan tỏa, chiến lược và tạo động lực phát triển cho các dự án khác. Một số dự án đã có những đề xuất đột phá mới, là yếu tố cần xem xét trong quá trình điều chỉnh quy hoạch</w:t>
      </w:r>
      <w:r w:rsidR="003223C4" w:rsidRPr="008E63BB">
        <w:rPr>
          <w:rFonts w:eastAsia="Arial Unicode MS"/>
          <w:szCs w:val="26"/>
          <w:u w:color="000000"/>
          <w:lang w:val="sv-SE"/>
        </w:rPr>
        <w:t>.</w:t>
      </w:r>
    </w:p>
    <w:p w14:paraId="519B2CE6" w14:textId="77777777" w:rsidR="003B0EE6" w:rsidRPr="008E63BB" w:rsidRDefault="00A77F4C" w:rsidP="00A77F4C">
      <w:pPr>
        <w:widowControl w:val="0"/>
        <w:ind w:firstLine="567"/>
        <w:rPr>
          <w:rFonts w:eastAsia="Arial Unicode MS"/>
          <w:szCs w:val="26"/>
          <w:u w:color="000000"/>
          <w:lang w:val="sv-SE"/>
        </w:rPr>
      </w:pPr>
      <w:r w:rsidRPr="008E63BB">
        <w:rPr>
          <w:lang w:val="pt-BR"/>
        </w:rPr>
        <w:t xml:space="preserve">Quá trình triển khai quy hoạch chi tiết của các dự án thành phần cho thấy cần có các quy định cụ thể hơn của đồ án quy hoạch chung và quy hoạch phân khu khu định hướng cho quy hoạch tầng cao, kiến trúc công trình, thiết kế cảnh quan và đấu nối hạ tầng để tạo nên hình ảnh quy hoạch kiến trúc chung cho Thành phố Nam Định và từng bước hình thành bản sắc kiến trúc cho đô thị. </w:t>
      </w:r>
    </w:p>
    <w:p w14:paraId="519B2CE7" w14:textId="77777777" w:rsidR="0030081E" w:rsidRPr="008E63BB" w:rsidRDefault="00E81C2F" w:rsidP="0065184D">
      <w:pPr>
        <w:pStyle w:val="Heading2"/>
        <w:spacing w:before="60" w:after="0" w:line="26" w:lineRule="atLeast"/>
        <w:rPr>
          <w:lang w:val="pt-BR"/>
        </w:rPr>
      </w:pPr>
      <w:bookmarkStart w:id="276" w:name="_Toc330799156"/>
      <w:bookmarkStart w:id="277" w:name="_Toc341519035"/>
      <w:bookmarkStart w:id="278" w:name="_Toc341519136"/>
      <w:bookmarkStart w:id="279" w:name="_Toc344928448"/>
      <w:bookmarkStart w:id="280" w:name="_Toc345538356"/>
      <w:bookmarkStart w:id="281" w:name="_Toc47524677"/>
      <w:bookmarkEnd w:id="271"/>
      <w:bookmarkEnd w:id="272"/>
      <w:bookmarkEnd w:id="273"/>
      <w:bookmarkEnd w:id="274"/>
      <w:bookmarkEnd w:id="275"/>
      <w:r w:rsidRPr="008E63BB">
        <w:rPr>
          <w:lang w:val="pt-BR"/>
        </w:rPr>
        <w:lastRenderedPageBreak/>
        <w:t>3.2</w:t>
      </w:r>
      <w:r w:rsidR="0030081E" w:rsidRPr="008E63BB">
        <w:rPr>
          <w:lang w:val="pt-BR"/>
        </w:rPr>
        <w:t>.</w:t>
      </w:r>
      <w:r w:rsidR="00B70B19" w:rsidRPr="008E63BB">
        <w:rPr>
          <w:lang w:val="pt-BR"/>
        </w:rPr>
        <w:t xml:space="preserve"> </w:t>
      </w:r>
      <w:r w:rsidR="0030081E" w:rsidRPr="008E63BB">
        <w:rPr>
          <w:lang w:val="pt-BR"/>
        </w:rPr>
        <w:t xml:space="preserve">Đánh giá việc thực hiện theo đồ án </w:t>
      </w:r>
      <w:r w:rsidR="00A7280A" w:rsidRPr="008E63BB">
        <w:rPr>
          <w:lang w:val="pt-BR"/>
        </w:rPr>
        <w:t>QH</w:t>
      </w:r>
      <w:r w:rsidR="006E42D4" w:rsidRPr="008E63BB">
        <w:rPr>
          <w:lang w:val="pt-BR"/>
        </w:rPr>
        <w:t>C 2011</w:t>
      </w:r>
      <w:r w:rsidR="00B70B19" w:rsidRPr="008E63BB">
        <w:rPr>
          <w:lang w:val="pt-BR"/>
        </w:rPr>
        <w:t xml:space="preserve"> </w:t>
      </w:r>
      <w:r w:rsidR="0030081E" w:rsidRPr="008E63BB">
        <w:rPr>
          <w:lang w:val="pt-BR"/>
        </w:rPr>
        <w:t>được duyệt</w:t>
      </w:r>
      <w:bookmarkEnd w:id="276"/>
      <w:bookmarkEnd w:id="277"/>
      <w:bookmarkEnd w:id="278"/>
      <w:bookmarkEnd w:id="279"/>
      <w:bookmarkEnd w:id="280"/>
      <w:bookmarkEnd w:id="281"/>
    </w:p>
    <w:p w14:paraId="519B2CE8" w14:textId="77777777" w:rsidR="009076D7" w:rsidRPr="008E63BB" w:rsidRDefault="005C2C02" w:rsidP="005C2C02">
      <w:pPr>
        <w:rPr>
          <w:b/>
          <w:i/>
          <w:lang w:val="pt-BR"/>
        </w:rPr>
      </w:pPr>
      <w:bookmarkStart w:id="282" w:name="_Toc536004692"/>
      <w:bookmarkStart w:id="283" w:name="_Toc21955347"/>
      <w:bookmarkStart w:id="284" w:name="_Toc24344858"/>
      <w:bookmarkStart w:id="285" w:name="_Toc24361919"/>
      <w:bookmarkStart w:id="286" w:name="_Toc26860512"/>
      <w:bookmarkStart w:id="287" w:name="_Toc27562997"/>
      <w:bookmarkStart w:id="288" w:name="_Toc27563176"/>
      <w:bookmarkStart w:id="289" w:name="_Toc38984230"/>
      <w:bookmarkStart w:id="290" w:name="_Toc41042140"/>
      <w:r w:rsidRPr="008E63BB">
        <w:rPr>
          <w:b/>
          <w:i/>
          <w:lang w:val="pt-BR"/>
        </w:rPr>
        <w:t xml:space="preserve">3.2.1. </w:t>
      </w:r>
      <w:r w:rsidR="009076D7" w:rsidRPr="008E63BB">
        <w:rPr>
          <w:b/>
          <w:i/>
          <w:lang w:val="pt-BR"/>
        </w:rPr>
        <w:t>Những nội dung đã làm được</w:t>
      </w:r>
      <w:bookmarkEnd w:id="282"/>
      <w:bookmarkEnd w:id="283"/>
      <w:bookmarkEnd w:id="284"/>
      <w:bookmarkEnd w:id="285"/>
      <w:bookmarkEnd w:id="286"/>
      <w:bookmarkEnd w:id="287"/>
      <w:bookmarkEnd w:id="288"/>
      <w:bookmarkEnd w:id="289"/>
      <w:bookmarkEnd w:id="290"/>
    </w:p>
    <w:p w14:paraId="519B2CE9" w14:textId="77777777" w:rsidR="009076D7" w:rsidRPr="008E63BB" w:rsidRDefault="009076D7" w:rsidP="0065184D">
      <w:pPr>
        <w:ind w:firstLine="709"/>
        <w:rPr>
          <w:lang w:val="pt-BR"/>
        </w:rPr>
      </w:pPr>
      <w:r w:rsidRPr="008E63BB">
        <w:rPr>
          <w:lang w:val="pt-BR"/>
        </w:rPr>
        <w:t>Về tính chất đô thị: đang từng bước được xây dựng, khẳng định vai trò và tính chất chức năng của đô thị Nam Định trong hệ thống đô thị của tỉnh Nam Định và của Quốc gia.</w:t>
      </w:r>
    </w:p>
    <w:p w14:paraId="519B2CEA" w14:textId="77777777" w:rsidR="009076D7" w:rsidRPr="008E63BB" w:rsidRDefault="009076D7" w:rsidP="0065184D">
      <w:pPr>
        <w:ind w:firstLine="709"/>
        <w:rPr>
          <w:lang w:val="pt-BR"/>
        </w:rPr>
      </w:pPr>
      <w:r w:rsidRPr="008E63BB">
        <w:rPr>
          <w:lang w:val="pt-BR"/>
        </w:rPr>
        <w:t>Về quy mô đô thị: Quy mô dân số thường trú đang gần tiệm cận với dự báo phát triển quy hoạch năm 2011, tuy nhiên quy mô khách du lịch, lao động các khu công nghiệp đang tăng, đạt ra nhiều yêu cầu cho phát triển cơ sở hạ tầng đô thị.</w:t>
      </w:r>
    </w:p>
    <w:p w14:paraId="519B2CEB" w14:textId="77777777" w:rsidR="009076D7" w:rsidRPr="008E63BB" w:rsidRDefault="009076D7" w:rsidP="0065184D">
      <w:pPr>
        <w:ind w:firstLine="709"/>
        <w:rPr>
          <w:lang w:val="pt-BR"/>
        </w:rPr>
      </w:pPr>
      <w:r w:rsidRPr="008E63BB">
        <w:rPr>
          <w:lang w:val="pt-BR"/>
        </w:rPr>
        <w:t>Định hướng phát triển không gian đô thị đang tập trung phát triển về phía Bắc thành phố Nam Định, các khu vực chức năng đã cơ bản hình thành theo định hướng quy hoạch.</w:t>
      </w:r>
      <w:r w:rsidR="00461CA6" w:rsidRPr="008E63BB">
        <w:rPr>
          <w:lang w:val="pt-BR"/>
        </w:rPr>
        <w:t xml:space="preserve"> các khu đất tái định cư, đất thương mại dịch vụ, đất công cộng…được đẩy mạnh xây dựng. Hoàn thành xây dựng Khu đô thị Dệt may Nam Định; cơ bản hoàn thành các khu đô thị mới Thống Nhất, Hòa Vượng. Thành phố cũng đã thống nhất, chấp thuận chủ trương đầu tư nhiều dự án quan trọng như: Khu đô thị mới phía nam sông Đào, dự án xây dựng khu dân cư phường Lộc Vượng (khu vực Trường Ðại học Lương Thế Vinh), đáp ứng nhu cầu sinh hoạt của người dân, có vai trò quan trọng trong công tác mở rộng, chỉnh trang đô thị.</w:t>
      </w:r>
    </w:p>
    <w:p w14:paraId="519B2CEC" w14:textId="77777777" w:rsidR="009076D7" w:rsidRPr="008E63BB" w:rsidRDefault="009076D7" w:rsidP="0065184D">
      <w:pPr>
        <w:ind w:firstLine="709"/>
        <w:rPr>
          <w:lang w:val="pt-BR"/>
        </w:rPr>
      </w:pPr>
      <w:r w:rsidRPr="008E63BB">
        <w:rPr>
          <w:lang w:val="pt-BR"/>
        </w:rPr>
        <w:t>Về định hướng phát triển các trung tâm chuyên ngành: Hệ thống các trung tâm chuyên ngành về dịch vụ thương mại, du lịch, công cộng, văn hóa, không gian xanh đang được hình thành, gắn với các chương trình thu hút đầu tư của Thành phố và Tỉnh, từng bước hình thành các trung tâm theo định hướng của Quy hoạch chung.</w:t>
      </w:r>
      <w:r w:rsidR="00397483" w:rsidRPr="008E63BB">
        <w:rPr>
          <w:lang w:val="pt-BR"/>
        </w:rPr>
        <w:t xml:space="preserve"> Dự án đầu tư xây dựng khu trung tâm lễ hội thuộc Khu di tích lịch sử - văn hóa thời Trần với tổng mức đầu tư hơn 700 tỉ đồng đã được khởi công, dự kiến hoàn thành năm 2020, góp phần quan trọng trong việc hoàn thiện quy hoạch tổng thể bảo tồn, tôn tạo và phát huy giá trị Khu di tích lịch sử - văn hóa thời Trần tại tỉnh Nam Định đã được Thủ tướng Chính phủ phê duyệt.</w:t>
      </w:r>
    </w:p>
    <w:p w14:paraId="519B2CED" w14:textId="77777777" w:rsidR="007A2F55" w:rsidRPr="008E63BB" w:rsidRDefault="00BD7B78" w:rsidP="007A2F55">
      <w:pPr>
        <w:ind w:firstLine="709"/>
        <w:rPr>
          <w:lang w:val="pt-BR"/>
        </w:rPr>
      </w:pPr>
      <w:r w:rsidRPr="008E63BB">
        <w:rPr>
          <w:lang w:val="pt-BR"/>
        </w:rPr>
        <w:t>Cơ sở hạ tầng, diện mạo đô thị ngày càng phát triển và có sự thay đổi. Các công trình trọng điểm được hoàn thành và đưa vào sử dụng tạo điểm nhấn cho thành phố như: Khách sạn Nam Cường; Trung tâm thương mại Nam Đị</w:t>
      </w:r>
      <w:r w:rsidR="0018586F" w:rsidRPr="008E63BB">
        <w:rPr>
          <w:lang w:val="pt-BR"/>
        </w:rPr>
        <w:t>nh Tower</w:t>
      </w:r>
      <w:r w:rsidRPr="008E63BB">
        <w:rPr>
          <w:lang w:val="pt-BR"/>
        </w:rPr>
        <w:t>; Trường tiểu học chất lượng cao tại Khu đô thị Hòa Vượng. Đang tập trung chỉ đạo hoàn thành các dự án khách sạn thông minh và trung tâm thương mại Nam Định; đường trục trung tâm phía nam thành phố Nam Đị</w:t>
      </w:r>
      <w:r w:rsidR="00461CA6" w:rsidRPr="008E63BB">
        <w:rPr>
          <w:lang w:val="pt-BR"/>
        </w:rPr>
        <w:t>nh</w:t>
      </w:r>
      <w:r w:rsidRPr="008E63BB">
        <w:rPr>
          <w:lang w:val="pt-BR"/>
        </w:rPr>
        <w:t xml:space="preserve">; </w:t>
      </w:r>
      <w:r w:rsidR="007A2F55" w:rsidRPr="008E63BB">
        <w:rPr>
          <w:lang w:val="pt-BR"/>
        </w:rPr>
        <w:t>dự án x</w:t>
      </w:r>
      <w:r w:rsidRPr="008E63BB">
        <w:rPr>
          <w:lang w:val="pt-BR"/>
        </w:rPr>
        <w:t xml:space="preserve">ây dựng Bệnh viện đa khoa tỉnh 700 giường; </w:t>
      </w:r>
      <w:r w:rsidR="007A2F55" w:rsidRPr="008E63BB">
        <w:rPr>
          <w:lang w:val="pt-BR"/>
        </w:rPr>
        <w:t>Khu xử lý rác thải tại xã Mỹ Thành, huyện Mỹ lộc. Các dự án đô thị mới trong nội đô đang được triển khai đồng bộ, tạo hiệu ứng tích cực cải thiện bộ mặt kiến trúc đô thị như Khu đô thị Dệt may, Nam Định Tower. Các khu tái định cư: hồ Hàng Nan, Bãi Viên – Phúc Trọng, phường Cửa Nam, Tây đường 38ª được xây dựng cơ bản hoàn thiện đã góp phần tăng đáng kể diện tích nhà ở của thành phố.</w:t>
      </w:r>
    </w:p>
    <w:p w14:paraId="519B2CEE" w14:textId="77777777" w:rsidR="00BD7B78" w:rsidRPr="008E63BB" w:rsidRDefault="00461CA6" w:rsidP="0065184D">
      <w:pPr>
        <w:ind w:firstLine="709"/>
        <w:rPr>
          <w:lang w:val="pt-BR"/>
        </w:rPr>
      </w:pPr>
      <w:r w:rsidRPr="008E63BB">
        <w:rPr>
          <w:lang w:val="pt-BR"/>
        </w:rPr>
        <w:t xml:space="preserve">Việc chủ động điều chỉnh quy hoạch, sắp xếp tạo quỹ đất dịch vụ thương mại, tiểu thủ công nghiệp đã giúp thành phố từng bước thu hút các doanh nghiệp đầu tư sản xuất, kinh doanh, đáp ứng yêu cầu phát triển. Tiêu biểu như thu hút đầu tư vào hai bên các tuyến đường cửa ngõ và vành đai của thành phố gồm: Tuyến đường bộ mới Nam Định - Phủ Lý, Lê Đức Thọ, tuyến đường dẫn cầu Tân Phong. </w:t>
      </w:r>
      <w:r w:rsidR="00BD7B78" w:rsidRPr="008E63BB">
        <w:rPr>
          <w:lang w:val="pt-BR"/>
        </w:rPr>
        <w:t xml:space="preserve">Các khu, cụm công nghiệp trên địa bàn thành phố </w:t>
      </w:r>
      <w:r w:rsidRPr="008E63BB">
        <w:rPr>
          <w:lang w:val="pt-BR"/>
        </w:rPr>
        <w:t xml:space="preserve">cũng </w:t>
      </w:r>
      <w:r w:rsidR="00BD7B78" w:rsidRPr="008E63BB">
        <w:rPr>
          <w:lang w:val="pt-BR"/>
        </w:rPr>
        <w:t>đã thu hút nguồn đầu tư lớn góp phần đẩy nhanh tốc độ phát triển của thành phố.</w:t>
      </w:r>
      <w:r w:rsidR="00A77F4C" w:rsidRPr="008E63BB">
        <w:rPr>
          <w:rFonts w:eastAsia="Arial Unicode MS"/>
          <w:szCs w:val="26"/>
          <w:u w:color="000000"/>
          <w:lang w:val="sv-SE"/>
        </w:rPr>
        <w:t>Thành phố cũng đã thu hút được nhiều nhà đầu tư có năng lực, kinh nghiệm đến nghiên cứu, tìm hiểu đề xuất ý tưởng đầu tư các dự án với quy mô lớn, một số phương án quy hoạch và đề xuất đầu tư có tính đột phá nhằm phát huy tối đa các tiềm năng lợi thế của khu vực.</w:t>
      </w:r>
    </w:p>
    <w:p w14:paraId="519B2CEF" w14:textId="77777777" w:rsidR="009076D7" w:rsidRPr="008E63BB" w:rsidRDefault="009076D7" w:rsidP="0065184D">
      <w:pPr>
        <w:ind w:firstLine="709"/>
        <w:rPr>
          <w:lang w:val="pt-BR"/>
        </w:rPr>
      </w:pPr>
      <w:r w:rsidRPr="008E63BB">
        <w:rPr>
          <w:lang w:val="pt-BR"/>
        </w:rPr>
        <w:lastRenderedPageBreak/>
        <w:t>Hệ thống cơ sở hạ tầng giao thông được đầu tư xây dựng nhanh chóng tạo động lực cho phát triển đô thị Nam Định, nhiều công trình trọng điểm, nổi bật được đầu tư góp phần hỗ trợ phát triển giao thông và cải thiện đáng kể</w:t>
      </w:r>
      <w:r w:rsidR="00BD7B78" w:rsidRPr="008E63BB">
        <w:rPr>
          <w:lang w:val="pt-BR"/>
        </w:rPr>
        <w:t xml:space="preserve"> môi trường đô thị, dịch vụ như</w:t>
      </w:r>
      <w:r w:rsidR="00461CA6" w:rsidRPr="008E63BB">
        <w:rPr>
          <w:lang w:val="pt-BR"/>
        </w:rPr>
        <w:t xml:space="preserve">: hoàn thành xây dựng cầu Tân Phong và đường dẫn nối Quốc lộ 21 với Quốc lộ 10 qua cầu Tân Phong; cải tạo, nâng cấp Quốc lộ 38B đoạn từ Quốc lộ 10 đến Quốc lộ 1A, tuyến đường trục trung tâm phía nam thành phố; đoạn nối từ tỉnh lộ 490C đến vị trí giao với đường dẫn cầu Tân Phong. Thành phố cũng đang triển khai dự </w:t>
      </w:r>
      <w:r w:rsidR="00BD7B78" w:rsidRPr="008E63BB">
        <w:rPr>
          <w:lang w:val="pt-BR"/>
        </w:rPr>
        <w:t>án xây dựng đường gom Quốc lộ 10 (đoạn từ đường trục Lộc Vượng đến đường Phù Nghĩa); xây dựng đường Lưu Hữu Phước kéo dài (đoạn từ đường Thanh Bình đến khu đô thị Mỹ Trung) và khu dân cư Liên Hà 1, phường Lộc Hạ...</w:t>
      </w:r>
      <w:r w:rsidR="003D32D6" w:rsidRPr="008E63BB">
        <w:rPr>
          <w:lang w:val="pt-BR"/>
        </w:rPr>
        <w:t>Đặc biệt là việc đầu tư xây dựng tuyến Vành đai 2 bao quanh thành phố nhiều đoạn đã cơ bản hoàn thành, chuẩn bị đưa vào sử dụng, sẽ sớm hoàn thành toàn tuyến.</w:t>
      </w:r>
    </w:p>
    <w:p w14:paraId="519B2CF0" w14:textId="77777777" w:rsidR="009076D7" w:rsidRPr="008E63BB" w:rsidRDefault="009076D7" w:rsidP="0065184D">
      <w:pPr>
        <w:ind w:firstLine="709"/>
        <w:rPr>
          <w:lang w:val="pt-BR"/>
        </w:rPr>
      </w:pPr>
      <w:r w:rsidRPr="008E63BB">
        <w:rPr>
          <w:lang w:val="pt-BR"/>
        </w:rPr>
        <w:t>Về công trình đầu mối cấp nước, cấp điện, thông tin liên lạc được khai thác sử dụng kết hợp với các công trình đầu mối cấp tỉnh đã đáp ứng nhu cầu sử dụng của hoạt động đô thị và đang từng bước được đầu tư theo quy hoạch.</w:t>
      </w:r>
      <w:r w:rsidR="009B3578" w:rsidRPr="008E63BB">
        <w:rPr>
          <w:lang w:val="pt-BR"/>
        </w:rPr>
        <w:t xml:space="preserve"> Hệ thống đèn trang trí, chiếu sáng đô thị tiếp tục được đầu tư nâng cấp; hệ thống thoát nước, công viên cây xanh được Thành phố duy tu bảo dưỡng kịp thời, đảm bảo sáng - xanh - sạch - đẹp.</w:t>
      </w:r>
    </w:p>
    <w:p w14:paraId="519B2CF1" w14:textId="77777777" w:rsidR="009076D7" w:rsidRPr="008E63BB" w:rsidRDefault="005C2C02" w:rsidP="005C2C02">
      <w:pPr>
        <w:rPr>
          <w:b/>
          <w:i/>
          <w:lang w:val="pt-BR"/>
        </w:rPr>
      </w:pPr>
      <w:bookmarkStart w:id="291" w:name="_Toc536004693"/>
      <w:bookmarkStart w:id="292" w:name="_Toc21955348"/>
      <w:bookmarkStart w:id="293" w:name="_Toc24344859"/>
      <w:bookmarkStart w:id="294" w:name="_Toc24361920"/>
      <w:bookmarkStart w:id="295" w:name="_Toc26860513"/>
      <w:bookmarkStart w:id="296" w:name="_Toc27562998"/>
      <w:bookmarkStart w:id="297" w:name="_Toc27563177"/>
      <w:bookmarkStart w:id="298" w:name="_Toc38984231"/>
      <w:bookmarkStart w:id="299" w:name="_Toc41042141"/>
      <w:r w:rsidRPr="008E63BB">
        <w:rPr>
          <w:b/>
          <w:i/>
          <w:lang w:val="pt-BR"/>
        </w:rPr>
        <w:t xml:space="preserve">3.2.2. </w:t>
      </w:r>
      <w:r w:rsidR="009076D7" w:rsidRPr="008E63BB">
        <w:rPr>
          <w:b/>
          <w:i/>
          <w:lang w:val="pt-BR"/>
        </w:rPr>
        <w:t>Những nội dung chưa làm được</w:t>
      </w:r>
      <w:bookmarkEnd w:id="291"/>
      <w:bookmarkEnd w:id="292"/>
      <w:bookmarkEnd w:id="293"/>
      <w:bookmarkEnd w:id="294"/>
      <w:bookmarkEnd w:id="295"/>
      <w:bookmarkEnd w:id="296"/>
      <w:bookmarkEnd w:id="297"/>
      <w:bookmarkEnd w:id="298"/>
      <w:bookmarkEnd w:id="299"/>
    </w:p>
    <w:p w14:paraId="519B2CF2" w14:textId="77777777" w:rsidR="009076D7" w:rsidRPr="008E63BB" w:rsidRDefault="003C24CA" w:rsidP="0065184D">
      <w:pPr>
        <w:tabs>
          <w:tab w:val="left" w:pos="900"/>
        </w:tabs>
        <w:ind w:firstLine="709"/>
        <w:rPr>
          <w:lang w:val="pt-BR"/>
        </w:rPr>
      </w:pPr>
      <w:r w:rsidRPr="008E63BB">
        <w:rPr>
          <w:lang w:val="pt-BR"/>
        </w:rPr>
        <w:t xml:space="preserve">* </w:t>
      </w:r>
      <w:r w:rsidR="009076D7" w:rsidRPr="008E63BB">
        <w:rPr>
          <w:lang w:val="pt-BR"/>
        </w:rPr>
        <w:t xml:space="preserve">Về định hướng phát triển phát triển không gian: </w:t>
      </w:r>
    </w:p>
    <w:p w14:paraId="519B2CF3" w14:textId="77777777" w:rsidR="009076D7" w:rsidRPr="008E63BB" w:rsidRDefault="009076D7" w:rsidP="0065184D">
      <w:pPr>
        <w:pStyle w:val="-"/>
        <w:tabs>
          <w:tab w:val="left" w:pos="900"/>
        </w:tabs>
        <w:spacing w:before="0" w:after="0"/>
        <w:ind w:left="0" w:firstLine="709"/>
        <w:rPr>
          <w:lang w:val="pt-BR"/>
        </w:rPr>
      </w:pPr>
      <w:r w:rsidRPr="008E63BB">
        <w:rPr>
          <w:lang w:val="pt-BR"/>
        </w:rPr>
        <w:t xml:space="preserve">Khu vực phía Tây Nam và phía Tây chưa được hình thành để tạo nên không gian đô thị xung quanh đô thị trung tâm. </w:t>
      </w:r>
    </w:p>
    <w:p w14:paraId="519B2CF4" w14:textId="77777777" w:rsidR="009076D7" w:rsidRPr="008E63BB" w:rsidRDefault="009076D7" w:rsidP="0065184D">
      <w:pPr>
        <w:pStyle w:val="-"/>
        <w:tabs>
          <w:tab w:val="left" w:pos="900"/>
        </w:tabs>
        <w:spacing w:before="0" w:after="0"/>
        <w:ind w:left="0" w:firstLine="709"/>
        <w:rPr>
          <w:lang w:val="pt-BR"/>
        </w:rPr>
      </w:pPr>
      <w:r w:rsidRPr="008E63BB">
        <w:rPr>
          <w:lang w:val="pt-BR"/>
        </w:rPr>
        <w:t xml:space="preserve">Định hướng phát triển mở rộng đô thị về phía Bắc và Tây chưa được hình thành theo quy hoạch do thiếu hấp dẫn và những điểm yếu về môi trường. </w:t>
      </w:r>
    </w:p>
    <w:p w14:paraId="519B2CF5" w14:textId="77777777" w:rsidR="009076D7" w:rsidRPr="008E63BB" w:rsidRDefault="009076D7" w:rsidP="0065184D">
      <w:pPr>
        <w:pStyle w:val="-"/>
        <w:tabs>
          <w:tab w:val="left" w:pos="900"/>
        </w:tabs>
        <w:spacing w:before="0" w:after="0"/>
        <w:ind w:left="0" w:firstLine="709"/>
        <w:rPr>
          <w:lang w:val="pt-BR"/>
        </w:rPr>
      </w:pPr>
      <w:r w:rsidRPr="008E63BB">
        <w:rPr>
          <w:lang w:val="pt-BR"/>
        </w:rPr>
        <w:t xml:space="preserve">Quan điểm về Chiến lược – định hướng phát triển cảnh quan môi trường được QH2011 đưa ra mạnh mẽ như “tạo bản sắc đô thị gắn với hệ thống cấu trúc mặt nước”, nhấn mạnh vào hệ thống sông; xây dựng đô thị công viên và công viên đô thị,… Tuy nhiên những quan điểm này gần như không được làm bật lên trong bản đồ định hướng phát triển không gian, không gian đô thị thiếu các trục cây xanh, cảnh quan, đặc biệt là khu vực trung tâm hiện hữu, tuyến vành đai QL10-QL38B ôm trọn khu vực nội đô khiến cấu trúc đô thị bị bó cứng, thiếu linh hoạt. </w:t>
      </w:r>
    </w:p>
    <w:p w14:paraId="519B2CF6" w14:textId="77777777" w:rsidR="009076D7" w:rsidRPr="008E63BB" w:rsidRDefault="009076D7" w:rsidP="0065184D">
      <w:pPr>
        <w:pStyle w:val="-"/>
        <w:tabs>
          <w:tab w:val="left" w:pos="900"/>
        </w:tabs>
        <w:spacing w:before="0" w:after="0"/>
        <w:ind w:left="0" w:firstLine="709"/>
        <w:rPr>
          <w:lang w:val="pt-BR"/>
        </w:rPr>
      </w:pPr>
      <w:r w:rsidRPr="008E63BB">
        <w:rPr>
          <w:lang w:val="pt-BR"/>
        </w:rPr>
        <w:t>QH2011 định hướng xây dựng không gian đô thị Nam Định với hình ảnh ấn tượng về một thành phố sông nước – tuy nhiên “không phải là thành phố hai bên sông”. Trong bối cảnh hiện nay, phát triển đô thị hướng biển đang là một xu thế lớn, phát huy tối đa tiềm năng cho các đô thị gần biển như Nam Định, đồng thời cũng phù hợp với các chính sách phát triển kinh tế biển của cả nước, việc phát triển không gian thành phố Nam Định về hướng Đông Nam, sang phía bên kia sông Đào, hướng về phía Biển Đông (kết nối với khu vực biển Hải Hậu) – trở thành thành phố hai bên bờ sông là điều cần thiết.</w:t>
      </w:r>
    </w:p>
    <w:p w14:paraId="519B2CF7" w14:textId="77777777" w:rsidR="009076D7" w:rsidRPr="008E63BB" w:rsidRDefault="009076D7" w:rsidP="0065184D">
      <w:pPr>
        <w:pStyle w:val="-"/>
        <w:tabs>
          <w:tab w:val="left" w:pos="900"/>
        </w:tabs>
        <w:spacing w:before="0" w:after="0"/>
        <w:ind w:left="0" w:firstLine="709"/>
        <w:rPr>
          <w:lang w:val="pt-BR"/>
        </w:rPr>
      </w:pPr>
      <w:r w:rsidRPr="008E63BB">
        <w:rPr>
          <w:lang w:val="pt-BR"/>
        </w:rPr>
        <w:t>Hình ảnh kiến trúc đô thị của Nam Định đã có những thay đổi nhanh chóng trong 5 năm gần đây, tuy nhiên chưa tạo được bản sắc riêng biệt cho đô thị Nam Định.</w:t>
      </w:r>
    </w:p>
    <w:p w14:paraId="519B2CF8" w14:textId="77777777" w:rsidR="009076D7" w:rsidRPr="008E63BB" w:rsidRDefault="003C24CA" w:rsidP="0065184D">
      <w:pPr>
        <w:pStyle w:val="-"/>
        <w:numPr>
          <w:ilvl w:val="0"/>
          <w:numId w:val="0"/>
        </w:numPr>
        <w:spacing w:before="0" w:after="0"/>
        <w:ind w:left="720"/>
        <w:rPr>
          <w:lang w:val="pt-BR"/>
        </w:rPr>
      </w:pPr>
      <w:r w:rsidRPr="008E63BB">
        <w:rPr>
          <w:lang w:val="pt-BR"/>
        </w:rPr>
        <w:t xml:space="preserve">* </w:t>
      </w:r>
      <w:r w:rsidR="009076D7" w:rsidRPr="008E63BB">
        <w:rPr>
          <w:lang w:val="pt-BR"/>
        </w:rPr>
        <w:t xml:space="preserve">Về quy hoạch sử dụng đất: </w:t>
      </w:r>
    </w:p>
    <w:p w14:paraId="519B2CF9" w14:textId="77777777" w:rsidR="009076D7" w:rsidRPr="008E63BB" w:rsidRDefault="003C24CA" w:rsidP="0065184D">
      <w:pPr>
        <w:ind w:firstLine="709"/>
        <w:rPr>
          <w:lang w:val="pt-BR"/>
        </w:rPr>
      </w:pPr>
      <w:r w:rsidRPr="008E63BB">
        <w:rPr>
          <w:lang w:val="pt-BR"/>
        </w:rPr>
        <w:t>-</w:t>
      </w:r>
      <w:r w:rsidR="009076D7" w:rsidRPr="008E63BB">
        <w:rPr>
          <w:lang w:val="pt-BR"/>
        </w:rPr>
        <w:t xml:space="preserve"> Theo quy hoạch chung đã được phê duyệt, thành phố Nam Định mở rộng đ</w:t>
      </w:r>
      <w:r w:rsidR="003D32D6" w:rsidRPr="008E63BB">
        <w:rPr>
          <w:lang w:val="pt-BR"/>
        </w:rPr>
        <w:t>ịa</w:t>
      </w:r>
      <w:r w:rsidR="009076D7" w:rsidRPr="008E63BB">
        <w:rPr>
          <w:lang w:val="pt-BR"/>
        </w:rPr>
        <w:t xml:space="preserve"> giới hành chính gồm huyện Mỹ Lộc, 3 xã huyện Vụ Bản gồm Đại An, Thành Lợi, Tân Thành; 5 xã huyện Nam Trực gồm Nam Mỹ, Nam Toàn, Hồng Quang, Điền Xá và Nghĩa An. Đồ án quy hoạch chủ yếu nghiên cứu tập trung cải tạo khu trung tâm thành phố hiện hữu. Phần mở rộng theo quy hoạch chung chưa có định hướng cụ thể phát triển các khu vực trên. Đặc biệt cần nghiên cứu thu hút đầu tư đối với các khu vực đã được đầu tư hạ tầng kỹ thuât.</w:t>
      </w:r>
    </w:p>
    <w:p w14:paraId="519B2CFA" w14:textId="77777777" w:rsidR="009076D7" w:rsidRPr="008E63BB" w:rsidRDefault="003C24CA" w:rsidP="0065184D">
      <w:pPr>
        <w:ind w:firstLine="709"/>
        <w:rPr>
          <w:lang w:val="pt-BR"/>
        </w:rPr>
      </w:pPr>
      <w:r w:rsidRPr="008E63BB">
        <w:rPr>
          <w:lang w:val="pt-BR"/>
        </w:rPr>
        <w:lastRenderedPageBreak/>
        <w:t>-</w:t>
      </w:r>
      <w:r w:rsidR="009076D7" w:rsidRPr="008E63BB">
        <w:rPr>
          <w:lang w:val="pt-BR"/>
        </w:rPr>
        <w:t xml:space="preserve"> Dự báo quy hoạch chung xa không sát với thực tế phát triển: Hiện nay tốc độ đô thị hóa nhanh nhằm đáp ứng việc mở rộng địa giới hành chính sau khi sát nhập, mở rộng diện tích nội thành phía Bắc sông Đào tại các xã Lộc Hòa, Mỹ Xá, Lộc An, điều chỉnh chia tách thành lập một số phường mới trên cơ sở hiện tại của 05 xã, 01 phường và khu đô thị Hòa Vượng trong đồ án quy hoạch vẫn còn dành phần lớn quỹ đất cho phát triển nông nghiệp nên kh</w:t>
      </w:r>
      <w:r w:rsidR="004710C7" w:rsidRPr="008E63BB">
        <w:rPr>
          <w:lang w:val="pt-BR"/>
        </w:rPr>
        <w:t>ó khă</w:t>
      </w:r>
      <w:r w:rsidR="009076D7" w:rsidRPr="008E63BB">
        <w:rPr>
          <w:lang w:val="pt-BR"/>
        </w:rPr>
        <w:t>n cho việc triển khai, cụ thể hóa lập quy hoạch phân khu, chi tiết nhất là khi các nhà đầu tư dự kiến vào đầu tư xây dựng cần có quỹ đất phù hợp</w:t>
      </w:r>
    </w:p>
    <w:p w14:paraId="519B2CFB" w14:textId="77777777" w:rsidR="009076D7" w:rsidRPr="008E63BB" w:rsidRDefault="003C24CA" w:rsidP="0065184D">
      <w:pPr>
        <w:ind w:firstLine="709"/>
        <w:rPr>
          <w:lang w:val="pt-BR"/>
        </w:rPr>
      </w:pPr>
      <w:r w:rsidRPr="008E63BB">
        <w:rPr>
          <w:lang w:val="pt-BR"/>
        </w:rPr>
        <w:t>-</w:t>
      </w:r>
      <w:r w:rsidR="009076D7" w:rsidRPr="008E63BB">
        <w:rPr>
          <w:lang w:val="pt-BR"/>
        </w:rPr>
        <w:t xml:space="preserve"> Một số khu chức năng tập trung nằm trong khu lõi đô thị như khu đất quy hoạch TT TDTT cấp vùng (quy mô 29,5 ha), trong khi thành phố đã đầu tư các công trinhg TDTT của tỉnh, như: nhà thi dấu 4000 chỗ, bể bơi tiêu chuẩn quốc tế, sân vận động Thiên Trường sức chứa 20.000 chỗ. Ngoài ra còn nhiều khu đất khác trong quy hoạch đã được duyệt cần được điều chỉnh cho phù hợp hơn với thực tế.</w:t>
      </w:r>
    </w:p>
    <w:p w14:paraId="519B2CFC" w14:textId="77777777" w:rsidR="009076D7" w:rsidRPr="008E63BB" w:rsidRDefault="003C24CA" w:rsidP="0065184D">
      <w:pPr>
        <w:ind w:firstLine="709"/>
        <w:rPr>
          <w:lang w:val="pt-BR"/>
        </w:rPr>
      </w:pPr>
      <w:r w:rsidRPr="008E63BB">
        <w:rPr>
          <w:lang w:val="pt-BR"/>
        </w:rPr>
        <w:t xml:space="preserve">* </w:t>
      </w:r>
      <w:r w:rsidR="009076D7" w:rsidRPr="008E63BB">
        <w:rPr>
          <w:lang w:val="pt-BR"/>
        </w:rPr>
        <w:t xml:space="preserve">Về giao thông: </w:t>
      </w:r>
    </w:p>
    <w:p w14:paraId="519B2CFD" w14:textId="77777777" w:rsidR="00143AB2" w:rsidRPr="008E63BB" w:rsidRDefault="003C24CA" w:rsidP="00555EBF">
      <w:pPr>
        <w:ind w:firstLine="709"/>
        <w:textAlignment w:val="baseline"/>
        <w:rPr>
          <w:lang w:val="pt-BR"/>
        </w:rPr>
      </w:pPr>
      <w:r w:rsidRPr="008E63BB">
        <w:rPr>
          <w:lang w:val="pt-BR"/>
        </w:rPr>
        <w:t>-</w:t>
      </w:r>
      <w:r w:rsidR="009076D7" w:rsidRPr="008E63BB">
        <w:rPr>
          <w:lang w:val="pt-BR"/>
        </w:rPr>
        <w:t xml:space="preserve"> Cần xem xét lại tính khả thi và quy mô của các tuyến đường quy hoạch, như: đường quy hoạch nối từ đường Phạm Ngũ Lão qua ga Nam Định nối với đường Hoàng Diệu ra Trần Nhân Tông, đoạn đường Lương Thế Vinh nối đường Trường Chinh với Ga Nam Đị</w:t>
      </w:r>
      <w:bookmarkStart w:id="300" w:name="_Toc330799164"/>
      <w:bookmarkStart w:id="301" w:name="_Toc341519043"/>
      <w:bookmarkStart w:id="302" w:name="_Toc341519144"/>
      <w:bookmarkStart w:id="303" w:name="_Toc344928456"/>
      <w:bookmarkStart w:id="304" w:name="_Toc345538364"/>
      <w:bookmarkStart w:id="305" w:name="_Toc350703931"/>
      <w:r w:rsidR="003D32D6" w:rsidRPr="008E63BB">
        <w:rPr>
          <w:lang w:val="pt-BR"/>
        </w:rPr>
        <w:t>nh. Các quyến đường này nếu thực hiện theo quy hoạch sẽ rất khó cho việc đền bù giải tỏa và hiệu quả của dự án.</w:t>
      </w:r>
    </w:p>
    <w:p w14:paraId="519B2CFE" w14:textId="77777777" w:rsidR="003C24CA" w:rsidRPr="008E63BB" w:rsidRDefault="003C24CA" w:rsidP="003C24CA">
      <w:pPr>
        <w:ind w:firstLine="709"/>
        <w:rPr>
          <w:lang w:val="pt-BR"/>
        </w:rPr>
      </w:pPr>
      <w:r w:rsidRPr="008E63BB">
        <w:rPr>
          <w:lang w:val="pt-BR"/>
        </w:rPr>
        <w:t>- Hệ thống giao thông công cộng chưa được hình thành, đặc biệt là các loại hình giao thông xanh, thân thiện với hoạt động du lịch chưa được phát triển để hỗ trợ cho hoạt động du lịch và dịch vụ đô thị.</w:t>
      </w:r>
    </w:p>
    <w:p w14:paraId="519B2CFF" w14:textId="77777777" w:rsidR="003C24CA" w:rsidRPr="008E63BB" w:rsidRDefault="003C24CA" w:rsidP="003C24CA">
      <w:pPr>
        <w:ind w:firstLine="709"/>
        <w:rPr>
          <w:lang w:val="pt-BR"/>
        </w:rPr>
      </w:pPr>
      <w:r w:rsidRPr="008E63BB">
        <w:rPr>
          <w:lang w:val="pt-BR"/>
        </w:rPr>
        <w:t xml:space="preserve">* Về chuẩn bị kỹ thuật: </w:t>
      </w:r>
    </w:p>
    <w:p w14:paraId="519B2D00" w14:textId="77777777" w:rsidR="003C24CA" w:rsidRPr="008E63BB" w:rsidRDefault="003C24CA" w:rsidP="003C24CA">
      <w:pPr>
        <w:ind w:firstLine="709"/>
        <w:rPr>
          <w:lang w:val="pt-BR"/>
        </w:rPr>
      </w:pPr>
      <w:r w:rsidRPr="008E63BB">
        <w:rPr>
          <w:lang w:val="pt-BR"/>
        </w:rPr>
        <w:t>Đã thực hiện theo các định hướng của quy hoạch, tuy nhiên trong bối cảnh biến đổi khí hậu toàn cầu, quá trình xây dựng phát triển đô thị chưa được kiểm soát tốt đã gây ngập úng, ách tắc tại một số khu vực khi có điều kiện thời tiết bất thường.</w:t>
      </w:r>
    </w:p>
    <w:p w14:paraId="519B2D01" w14:textId="77777777" w:rsidR="00182145" w:rsidRPr="008E63BB" w:rsidRDefault="00182145" w:rsidP="00182145">
      <w:pPr>
        <w:ind w:firstLine="709"/>
        <w:rPr>
          <w:lang w:val="pt-BR"/>
        </w:rPr>
      </w:pPr>
      <w:r w:rsidRPr="008E63BB">
        <w:rPr>
          <w:lang w:val="pt-BR"/>
        </w:rPr>
        <w:t>*Về thoát nước thải- quản lý chất thải rắn- nghĩa trang</w:t>
      </w:r>
    </w:p>
    <w:p w14:paraId="519B2D02" w14:textId="77777777" w:rsidR="00182145" w:rsidRPr="008E63BB" w:rsidRDefault="00182145" w:rsidP="00182145">
      <w:pPr>
        <w:ind w:firstLine="709"/>
        <w:rPr>
          <w:lang w:val="pt-BR"/>
        </w:rPr>
      </w:pPr>
      <w:r w:rsidRPr="008E63BB">
        <w:rPr>
          <w:lang w:val="pt-BR"/>
        </w:rPr>
        <w:t>- Thoát nước thải: Chưa đầu tư xây dựng 03 trạm xử lý nước thải đô thị</w:t>
      </w:r>
    </w:p>
    <w:p w14:paraId="519B2D03" w14:textId="77777777" w:rsidR="00182145" w:rsidRPr="008E63BB" w:rsidRDefault="00182145" w:rsidP="00182145">
      <w:pPr>
        <w:ind w:firstLine="709"/>
        <w:rPr>
          <w:lang w:val="pt-BR"/>
        </w:rPr>
      </w:pPr>
      <w:r w:rsidRPr="008E63BB">
        <w:rPr>
          <w:lang w:val="pt-BR"/>
        </w:rPr>
        <w:t xml:space="preserve">- Quản lý CTR: </w:t>
      </w:r>
    </w:p>
    <w:p w14:paraId="519B2D04" w14:textId="77777777" w:rsidR="00182145" w:rsidRPr="008E63BB" w:rsidRDefault="00182145" w:rsidP="00182145">
      <w:pPr>
        <w:ind w:firstLine="709"/>
        <w:rPr>
          <w:lang w:val="pt-BR"/>
        </w:rPr>
      </w:pPr>
      <w:r w:rsidRPr="008E63BB">
        <w:rPr>
          <w:lang w:val="pt-BR"/>
        </w:rPr>
        <w:t xml:space="preserve">+ Khu xử lý CTR Lộc Hòa đã xây dựng nhưng chưa được nâng cấp công nghệ và  đầu tư xây dựng mở rộng theo quy hoạch. </w:t>
      </w:r>
    </w:p>
    <w:p w14:paraId="519B2D05" w14:textId="77777777" w:rsidR="00182145" w:rsidRPr="008E63BB" w:rsidRDefault="00182145" w:rsidP="00182145">
      <w:pPr>
        <w:ind w:firstLine="709"/>
        <w:rPr>
          <w:lang w:val="pt-BR"/>
        </w:rPr>
      </w:pPr>
      <w:r w:rsidRPr="008E63BB">
        <w:rPr>
          <w:lang w:val="pt-BR"/>
        </w:rPr>
        <w:t xml:space="preserve">+ Chưa đầu tư xây dựng khu xử lý CTR mới phía Nam sông Đào tại xã Nam Toàn. </w:t>
      </w:r>
    </w:p>
    <w:p w14:paraId="519B2D06" w14:textId="77777777" w:rsidR="00182145" w:rsidRPr="008E63BB" w:rsidRDefault="00182145" w:rsidP="00182145">
      <w:pPr>
        <w:ind w:firstLine="709"/>
        <w:rPr>
          <w:lang w:val="pt-BR"/>
        </w:rPr>
      </w:pPr>
      <w:r w:rsidRPr="008E63BB">
        <w:rPr>
          <w:lang w:val="pt-BR"/>
        </w:rPr>
        <w:tab/>
        <w:t>- Nghĩa trang: Chưa đầu tư xây dựng các khu nghĩa trang mới phía Nam sông Đào tại xã Nam Mỹ, Nam Phong.</w:t>
      </w:r>
    </w:p>
    <w:p w14:paraId="519B2D07" w14:textId="77777777" w:rsidR="00DF49B6" w:rsidRPr="008E63BB" w:rsidRDefault="00DF49B6" w:rsidP="003C24CA">
      <w:pPr>
        <w:ind w:firstLine="709"/>
        <w:rPr>
          <w:lang w:val="pt-BR"/>
        </w:rPr>
      </w:pPr>
      <w:r w:rsidRPr="008E63BB">
        <w:rPr>
          <w:lang w:val="pt-BR"/>
        </w:rPr>
        <w:t xml:space="preserve">* Nguyên nhân những hạn chế trong triển khai QHC2011: </w:t>
      </w:r>
    </w:p>
    <w:p w14:paraId="519B2D08" w14:textId="77777777" w:rsidR="00DF49B6" w:rsidRPr="008E63BB" w:rsidRDefault="00DF49B6" w:rsidP="003C24CA">
      <w:pPr>
        <w:ind w:firstLine="709"/>
        <w:rPr>
          <w:lang w:val="pt-BR"/>
        </w:rPr>
      </w:pPr>
      <w:r w:rsidRPr="008E63BB">
        <w:rPr>
          <w:lang w:val="pt-BR"/>
        </w:rPr>
        <w:t>- Diện tích đất xây dựng quy hoạch khá lớn, tiến độ lập và điều chỉnh quy hoạch còn chậm, không đáp ứng yêu cầu phát triển.</w:t>
      </w:r>
    </w:p>
    <w:p w14:paraId="519B2D09" w14:textId="77777777" w:rsidR="00DF49B6" w:rsidRPr="008E63BB" w:rsidRDefault="003D32D6" w:rsidP="003C24CA">
      <w:pPr>
        <w:ind w:firstLine="709"/>
        <w:rPr>
          <w:spacing w:val="-4"/>
          <w:lang w:val="pt-BR"/>
        </w:rPr>
      </w:pPr>
      <w:r w:rsidRPr="008E63BB">
        <w:rPr>
          <w:spacing w:val="-4"/>
          <w:lang w:val="pt-BR"/>
        </w:rPr>
        <w:t>- Q</w:t>
      </w:r>
      <w:r w:rsidR="00DF49B6" w:rsidRPr="008E63BB">
        <w:rPr>
          <w:spacing w:val="-4"/>
          <w:lang w:val="pt-BR"/>
        </w:rPr>
        <w:t>uy hoạch dự báo còn thiếu chính xác, chưa sát với với nhu cầu của các nhà đầu tư</w:t>
      </w:r>
      <w:r w:rsidR="001B4128" w:rsidRPr="008E63BB">
        <w:rPr>
          <w:spacing w:val="-4"/>
          <w:lang w:val="pt-BR"/>
        </w:rPr>
        <w:t>.</w:t>
      </w:r>
    </w:p>
    <w:p w14:paraId="519B2D0A" w14:textId="77777777" w:rsidR="001B4128" w:rsidRPr="008E63BB" w:rsidRDefault="00DF49B6" w:rsidP="001B4128">
      <w:pPr>
        <w:ind w:firstLine="709"/>
        <w:rPr>
          <w:lang w:val="pt-BR"/>
        </w:rPr>
      </w:pPr>
      <w:r w:rsidRPr="008E63BB">
        <w:rPr>
          <w:lang w:val="pt-BR"/>
        </w:rPr>
        <w:t>- Một số định hướn</w:t>
      </w:r>
      <w:r w:rsidR="003D32D6" w:rsidRPr="008E63BB">
        <w:rPr>
          <w:lang w:val="pt-BR"/>
        </w:rPr>
        <w:t>g trong QHC 2011 chưa cụ thể, đặc biệt là khu vực phía Tây Bắc</w:t>
      </w:r>
      <w:r w:rsidRPr="008E63BB">
        <w:rPr>
          <w:lang w:val="pt-BR"/>
        </w:rPr>
        <w:t xml:space="preserve"> gây khó </w:t>
      </w:r>
      <w:r w:rsidR="001B4128" w:rsidRPr="008E63BB">
        <w:rPr>
          <w:lang w:val="pt-BR"/>
        </w:rPr>
        <w:t>khă</w:t>
      </w:r>
      <w:r w:rsidRPr="008E63BB">
        <w:rPr>
          <w:lang w:val="pt-BR"/>
        </w:rPr>
        <w:t>n khi triển kh</w:t>
      </w:r>
      <w:r w:rsidR="001B4128" w:rsidRPr="008E63BB">
        <w:rPr>
          <w:lang w:val="pt-BR"/>
        </w:rPr>
        <w:t xml:space="preserve">ai </w:t>
      </w:r>
      <w:r w:rsidR="003D32D6" w:rsidRPr="008E63BB">
        <w:rPr>
          <w:lang w:val="pt-BR"/>
        </w:rPr>
        <w:t xml:space="preserve">quy hoạch phân khu, quy hoạch chi chi tiết và các </w:t>
      </w:r>
      <w:r w:rsidR="001B4128" w:rsidRPr="008E63BB">
        <w:rPr>
          <w:lang w:val="pt-BR"/>
        </w:rPr>
        <w:t xml:space="preserve">dự án thực tế. </w:t>
      </w:r>
    </w:p>
    <w:p w14:paraId="519B2D0B" w14:textId="77777777" w:rsidR="00DF49B6" w:rsidRPr="008E63BB" w:rsidRDefault="00DF49B6" w:rsidP="003C24CA">
      <w:pPr>
        <w:ind w:firstLine="709"/>
        <w:rPr>
          <w:spacing w:val="-4"/>
          <w:lang w:val="pt-BR"/>
        </w:rPr>
      </w:pPr>
      <w:r w:rsidRPr="008E63BB">
        <w:rPr>
          <w:spacing w:val="-4"/>
          <w:lang w:val="pt-BR"/>
        </w:rPr>
        <w:t>- Nhu cầu vốn cho công tác lập quy hoạch xây dựng phục vụ quản lý và phát triển đô thị lớn trong khi ngân sách còn hạn chế, nguồn lực cho công tác lập quy hoạch còn thiếu.</w:t>
      </w:r>
    </w:p>
    <w:p w14:paraId="3E06CD3E" w14:textId="77777777" w:rsidR="00503BB2" w:rsidRDefault="00503BB2" w:rsidP="001A7F62">
      <w:pPr>
        <w:pStyle w:val="Heading2"/>
        <w:spacing w:before="60" w:after="0" w:line="26" w:lineRule="atLeast"/>
        <w:rPr>
          <w:lang w:val="pt-BR"/>
        </w:rPr>
      </w:pPr>
      <w:bookmarkStart w:id="306" w:name="_Toc44850845"/>
      <w:bookmarkStart w:id="307" w:name="_Toc47524678"/>
    </w:p>
    <w:p w14:paraId="25FC986B" w14:textId="77777777" w:rsidR="00503BB2" w:rsidRDefault="00503BB2" w:rsidP="001A7F62">
      <w:pPr>
        <w:pStyle w:val="Heading2"/>
        <w:spacing w:before="60" w:after="0" w:line="26" w:lineRule="atLeast"/>
        <w:rPr>
          <w:lang w:val="pt-BR"/>
        </w:rPr>
      </w:pPr>
    </w:p>
    <w:p w14:paraId="73A2B046" w14:textId="77777777" w:rsidR="00503BB2" w:rsidRDefault="00503BB2">
      <w:pPr>
        <w:jc w:val="left"/>
        <w:rPr>
          <w:rFonts w:eastAsia="Times New Roman"/>
          <w:b/>
          <w:bCs/>
          <w:iCs/>
          <w:szCs w:val="26"/>
          <w:lang w:val="pt-BR"/>
        </w:rPr>
      </w:pPr>
      <w:r>
        <w:rPr>
          <w:lang w:val="pt-BR"/>
        </w:rPr>
        <w:br w:type="page"/>
      </w:r>
    </w:p>
    <w:p w14:paraId="519B2D0C" w14:textId="2389AC46" w:rsidR="001A7F62" w:rsidRPr="008E63BB" w:rsidRDefault="001A7F62" w:rsidP="001A7F62">
      <w:pPr>
        <w:pStyle w:val="Heading2"/>
        <w:spacing w:before="60" w:after="0" w:line="26" w:lineRule="atLeast"/>
        <w:rPr>
          <w:lang w:val="pt-BR"/>
        </w:rPr>
      </w:pPr>
      <w:r w:rsidRPr="008E63BB">
        <w:rPr>
          <w:lang w:val="pt-BR"/>
        </w:rPr>
        <w:lastRenderedPageBreak/>
        <w:t>3.3. So sánh QH 2011 được phê duyệt với hiện trạng năm 2019</w:t>
      </w:r>
      <w:bookmarkEnd w:id="306"/>
      <w:bookmarkEnd w:id="307"/>
    </w:p>
    <w:tbl>
      <w:tblPr>
        <w:tblW w:w="9754" w:type="dxa"/>
        <w:tblInd w:w="-252" w:type="dxa"/>
        <w:tblLook w:val="04A0" w:firstRow="1" w:lastRow="0" w:firstColumn="1" w:lastColumn="0" w:noHBand="0" w:noVBand="1"/>
      </w:tblPr>
      <w:tblGrid>
        <w:gridCol w:w="510"/>
        <w:gridCol w:w="3990"/>
        <w:gridCol w:w="1710"/>
        <w:gridCol w:w="1220"/>
        <w:gridCol w:w="2324"/>
      </w:tblGrid>
      <w:tr w:rsidR="00F8156E" w:rsidRPr="008E63BB" w14:paraId="519B2D12" w14:textId="77777777" w:rsidTr="003F085B">
        <w:trPr>
          <w:trHeight w:val="262"/>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2D0D" w14:textId="77777777" w:rsidR="00F8156E" w:rsidRPr="008E63BB" w:rsidRDefault="00F8156E" w:rsidP="00C90BF8">
            <w:pPr>
              <w:jc w:val="left"/>
              <w:rPr>
                <w:rFonts w:eastAsia="Times New Roman"/>
                <w:sz w:val="24"/>
                <w:szCs w:val="24"/>
              </w:rPr>
            </w:pPr>
            <w:r w:rsidRPr="008E63BB">
              <w:rPr>
                <w:rFonts w:eastAsia="Times New Roman"/>
                <w:sz w:val="24"/>
                <w:szCs w:val="24"/>
              </w:rPr>
              <w:t>TT</w:t>
            </w:r>
          </w:p>
        </w:tc>
        <w:tc>
          <w:tcPr>
            <w:tcW w:w="3990" w:type="dxa"/>
            <w:tcBorders>
              <w:top w:val="single" w:sz="4" w:space="0" w:color="auto"/>
              <w:left w:val="nil"/>
              <w:bottom w:val="single" w:sz="4" w:space="0" w:color="auto"/>
              <w:right w:val="single" w:sz="4" w:space="0" w:color="auto"/>
            </w:tcBorders>
            <w:shd w:val="clear" w:color="auto" w:fill="auto"/>
            <w:vAlign w:val="center"/>
            <w:hideMark/>
          </w:tcPr>
          <w:p w14:paraId="519B2D0E" w14:textId="77777777" w:rsidR="00F8156E" w:rsidRPr="008E63BB" w:rsidRDefault="00F8156E" w:rsidP="00C90BF8">
            <w:pPr>
              <w:jc w:val="left"/>
              <w:rPr>
                <w:rFonts w:eastAsia="Times New Roman"/>
                <w:sz w:val="24"/>
                <w:szCs w:val="24"/>
              </w:rPr>
            </w:pPr>
            <w:r w:rsidRPr="008E63BB">
              <w:rPr>
                <w:rFonts w:eastAsia="Times New Roman"/>
                <w:sz w:val="24"/>
                <w:szCs w:val="24"/>
              </w:rPr>
              <w:t>Danh mục</w:t>
            </w:r>
          </w:p>
        </w:tc>
        <w:tc>
          <w:tcPr>
            <w:tcW w:w="1710" w:type="dxa"/>
            <w:tcBorders>
              <w:top w:val="single" w:sz="4" w:space="0" w:color="auto"/>
              <w:left w:val="nil"/>
              <w:bottom w:val="single" w:sz="4" w:space="0" w:color="auto"/>
              <w:right w:val="single" w:sz="4" w:space="0" w:color="auto"/>
            </w:tcBorders>
            <w:shd w:val="clear" w:color="auto" w:fill="auto"/>
            <w:vAlign w:val="center"/>
            <w:hideMark/>
          </w:tcPr>
          <w:p w14:paraId="519B2D0F" w14:textId="77777777" w:rsidR="00F8156E" w:rsidRPr="008E63BB" w:rsidRDefault="00F8156E" w:rsidP="00C90BF8">
            <w:pPr>
              <w:jc w:val="center"/>
              <w:rPr>
                <w:rFonts w:eastAsia="Times New Roman"/>
                <w:sz w:val="24"/>
                <w:szCs w:val="24"/>
              </w:rPr>
            </w:pPr>
            <w:r w:rsidRPr="008E63BB">
              <w:rPr>
                <w:rFonts w:eastAsia="Times New Roman"/>
                <w:sz w:val="24"/>
                <w:szCs w:val="24"/>
              </w:rPr>
              <w:t>QĐ được phê duyệt 2011 đến năm 2025</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14:paraId="519B2D10" w14:textId="77777777" w:rsidR="00F8156E" w:rsidRPr="008E63BB" w:rsidRDefault="00F8156E" w:rsidP="00C90BF8">
            <w:pPr>
              <w:jc w:val="center"/>
              <w:rPr>
                <w:rFonts w:eastAsia="Times New Roman"/>
                <w:sz w:val="24"/>
                <w:szCs w:val="24"/>
              </w:rPr>
            </w:pPr>
            <w:r w:rsidRPr="008E63BB">
              <w:rPr>
                <w:rFonts w:eastAsia="Times New Roman"/>
                <w:sz w:val="24"/>
                <w:szCs w:val="24"/>
              </w:rPr>
              <w:t>Hiên trạng 2019</w:t>
            </w:r>
          </w:p>
        </w:tc>
        <w:tc>
          <w:tcPr>
            <w:tcW w:w="2324" w:type="dxa"/>
            <w:tcBorders>
              <w:top w:val="single" w:sz="4" w:space="0" w:color="auto"/>
              <w:left w:val="nil"/>
              <w:bottom w:val="single" w:sz="4" w:space="0" w:color="auto"/>
              <w:right w:val="single" w:sz="4" w:space="0" w:color="auto"/>
            </w:tcBorders>
            <w:vAlign w:val="center"/>
          </w:tcPr>
          <w:p w14:paraId="519B2D11" w14:textId="77777777" w:rsidR="00F8156E" w:rsidRPr="008E63BB" w:rsidRDefault="00F8156E" w:rsidP="00C90BF8">
            <w:pPr>
              <w:jc w:val="center"/>
              <w:rPr>
                <w:rFonts w:eastAsia="Times New Roman"/>
                <w:sz w:val="24"/>
                <w:szCs w:val="24"/>
              </w:rPr>
            </w:pPr>
            <w:r w:rsidRPr="008E63BB">
              <w:rPr>
                <w:rFonts w:eastAsia="Times New Roman"/>
                <w:sz w:val="24"/>
                <w:szCs w:val="24"/>
              </w:rPr>
              <w:t>Chênh lệch QH 2011 đã được phê duyệt với HT 2019</w:t>
            </w:r>
          </w:p>
        </w:tc>
      </w:tr>
      <w:tr w:rsidR="00F8156E" w:rsidRPr="008E63BB" w14:paraId="519B2D18" w14:textId="77777777" w:rsidTr="003F085B">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2D13" w14:textId="77777777" w:rsidR="00F8156E" w:rsidRPr="008E63BB" w:rsidRDefault="00F8156E" w:rsidP="00C90BF8">
            <w:pPr>
              <w:jc w:val="center"/>
              <w:rPr>
                <w:rFonts w:eastAsia="Times New Roman"/>
                <w:b/>
                <w:bCs/>
                <w:sz w:val="24"/>
                <w:szCs w:val="24"/>
              </w:rPr>
            </w:pPr>
            <w:r w:rsidRPr="008E63BB">
              <w:rPr>
                <w:rFonts w:eastAsia="Times New Roman"/>
                <w:b/>
                <w:bCs/>
                <w:sz w:val="24"/>
                <w:szCs w:val="24"/>
              </w:rPr>
              <w:t>1</w:t>
            </w:r>
          </w:p>
        </w:tc>
        <w:tc>
          <w:tcPr>
            <w:tcW w:w="3990" w:type="dxa"/>
            <w:tcBorders>
              <w:top w:val="nil"/>
              <w:left w:val="nil"/>
              <w:bottom w:val="single" w:sz="4" w:space="0" w:color="auto"/>
              <w:right w:val="single" w:sz="4" w:space="0" w:color="auto"/>
            </w:tcBorders>
            <w:shd w:val="clear" w:color="auto" w:fill="auto"/>
            <w:vAlign w:val="center"/>
            <w:hideMark/>
          </w:tcPr>
          <w:p w14:paraId="519B2D14" w14:textId="77777777" w:rsidR="00F8156E" w:rsidRPr="008E63BB" w:rsidRDefault="00F8156E" w:rsidP="00C90BF8">
            <w:pPr>
              <w:jc w:val="left"/>
              <w:rPr>
                <w:rFonts w:eastAsia="Times New Roman"/>
                <w:b/>
                <w:bCs/>
                <w:sz w:val="24"/>
                <w:szCs w:val="24"/>
              </w:rPr>
            </w:pPr>
            <w:r w:rsidRPr="008E63BB">
              <w:rPr>
                <w:rFonts w:eastAsia="Times New Roman"/>
                <w:b/>
                <w:bCs/>
                <w:sz w:val="24"/>
                <w:szCs w:val="24"/>
              </w:rPr>
              <w:t>Tổng diện tích tòan thành phố</w:t>
            </w:r>
          </w:p>
        </w:tc>
        <w:tc>
          <w:tcPr>
            <w:tcW w:w="1710" w:type="dxa"/>
            <w:tcBorders>
              <w:top w:val="nil"/>
              <w:left w:val="nil"/>
              <w:bottom w:val="single" w:sz="4" w:space="0" w:color="auto"/>
              <w:right w:val="single" w:sz="4" w:space="0" w:color="auto"/>
            </w:tcBorders>
            <w:shd w:val="clear" w:color="auto" w:fill="auto"/>
            <w:vAlign w:val="center"/>
            <w:hideMark/>
          </w:tcPr>
          <w:p w14:paraId="519B2D15" w14:textId="77777777" w:rsidR="00F8156E" w:rsidRPr="008E63BB" w:rsidRDefault="00F8156E" w:rsidP="00C90BF8">
            <w:pPr>
              <w:jc w:val="right"/>
              <w:rPr>
                <w:rFonts w:eastAsia="Times New Roman"/>
                <w:b/>
                <w:bCs/>
                <w:sz w:val="24"/>
                <w:szCs w:val="24"/>
              </w:rPr>
            </w:pPr>
            <w:r w:rsidRPr="008E63BB">
              <w:rPr>
                <w:rFonts w:eastAsia="Times New Roman"/>
                <w:b/>
                <w:bCs/>
                <w:sz w:val="24"/>
                <w:szCs w:val="24"/>
              </w:rPr>
              <w:t>18.445,00</w:t>
            </w:r>
          </w:p>
        </w:tc>
        <w:tc>
          <w:tcPr>
            <w:tcW w:w="1220" w:type="dxa"/>
            <w:tcBorders>
              <w:top w:val="nil"/>
              <w:left w:val="nil"/>
              <w:bottom w:val="single" w:sz="4" w:space="0" w:color="auto"/>
              <w:right w:val="single" w:sz="4" w:space="0" w:color="auto"/>
            </w:tcBorders>
            <w:shd w:val="clear" w:color="auto" w:fill="auto"/>
            <w:vAlign w:val="center"/>
            <w:hideMark/>
          </w:tcPr>
          <w:p w14:paraId="519B2D16" w14:textId="77777777" w:rsidR="00F8156E" w:rsidRPr="008E63BB" w:rsidRDefault="00F8156E" w:rsidP="00C90BF8">
            <w:pPr>
              <w:jc w:val="right"/>
              <w:rPr>
                <w:rFonts w:eastAsia="Times New Roman"/>
                <w:b/>
                <w:bCs/>
                <w:sz w:val="24"/>
                <w:szCs w:val="24"/>
              </w:rPr>
            </w:pPr>
            <w:r w:rsidRPr="008E63BB">
              <w:rPr>
                <w:rFonts w:eastAsia="Times New Roman"/>
                <w:b/>
                <w:bCs/>
                <w:sz w:val="24"/>
                <w:szCs w:val="24"/>
              </w:rPr>
              <w:t>18.798,69</w:t>
            </w:r>
          </w:p>
        </w:tc>
        <w:tc>
          <w:tcPr>
            <w:tcW w:w="2324" w:type="dxa"/>
            <w:tcBorders>
              <w:top w:val="nil"/>
              <w:left w:val="nil"/>
              <w:bottom w:val="single" w:sz="4" w:space="0" w:color="auto"/>
              <w:right w:val="single" w:sz="4" w:space="0" w:color="auto"/>
            </w:tcBorders>
            <w:vAlign w:val="center"/>
          </w:tcPr>
          <w:p w14:paraId="519B2D17" w14:textId="77777777" w:rsidR="00F8156E" w:rsidRPr="008E63BB" w:rsidRDefault="00F8156E" w:rsidP="00C90BF8">
            <w:pPr>
              <w:jc w:val="right"/>
              <w:rPr>
                <w:rFonts w:eastAsia="Times New Roman"/>
                <w:b/>
                <w:bCs/>
                <w:sz w:val="24"/>
                <w:szCs w:val="24"/>
              </w:rPr>
            </w:pPr>
            <w:r w:rsidRPr="008E63BB">
              <w:rPr>
                <w:rFonts w:eastAsia="Times New Roman"/>
                <w:b/>
                <w:bCs/>
                <w:sz w:val="24"/>
                <w:szCs w:val="24"/>
              </w:rPr>
              <w:t>353,69</w:t>
            </w:r>
          </w:p>
        </w:tc>
      </w:tr>
      <w:tr w:rsidR="00F8156E" w:rsidRPr="008E63BB" w14:paraId="519B2D1E" w14:textId="77777777" w:rsidTr="003F085B">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2D19" w14:textId="77777777" w:rsidR="00F8156E" w:rsidRPr="008E63BB" w:rsidRDefault="00F8156E" w:rsidP="00C90BF8">
            <w:pPr>
              <w:jc w:val="center"/>
              <w:rPr>
                <w:rFonts w:eastAsia="Times New Roman"/>
                <w:b/>
                <w:bCs/>
                <w:sz w:val="24"/>
                <w:szCs w:val="24"/>
              </w:rPr>
            </w:pPr>
            <w:r w:rsidRPr="008E63BB">
              <w:rPr>
                <w:rFonts w:eastAsia="Times New Roman"/>
                <w:b/>
                <w:bCs/>
                <w:sz w:val="24"/>
                <w:szCs w:val="24"/>
              </w:rPr>
              <w:t>2</w:t>
            </w:r>
          </w:p>
        </w:tc>
        <w:tc>
          <w:tcPr>
            <w:tcW w:w="3990" w:type="dxa"/>
            <w:tcBorders>
              <w:top w:val="nil"/>
              <w:left w:val="nil"/>
              <w:bottom w:val="single" w:sz="4" w:space="0" w:color="auto"/>
              <w:right w:val="single" w:sz="4" w:space="0" w:color="auto"/>
            </w:tcBorders>
            <w:shd w:val="clear" w:color="auto" w:fill="auto"/>
            <w:vAlign w:val="center"/>
            <w:hideMark/>
          </w:tcPr>
          <w:p w14:paraId="519B2D1A" w14:textId="77777777" w:rsidR="00F8156E" w:rsidRPr="008E63BB" w:rsidRDefault="00F8156E" w:rsidP="00C90BF8">
            <w:pPr>
              <w:jc w:val="left"/>
              <w:rPr>
                <w:rFonts w:eastAsia="Times New Roman"/>
                <w:b/>
                <w:bCs/>
                <w:sz w:val="24"/>
                <w:szCs w:val="24"/>
              </w:rPr>
            </w:pPr>
            <w:r w:rsidRPr="008E63BB">
              <w:rPr>
                <w:rFonts w:eastAsia="Times New Roman"/>
                <w:b/>
                <w:bCs/>
                <w:sz w:val="24"/>
                <w:szCs w:val="24"/>
              </w:rPr>
              <w:t>Khu vực nội thành</w:t>
            </w:r>
          </w:p>
        </w:tc>
        <w:tc>
          <w:tcPr>
            <w:tcW w:w="1710" w:type="dxa"/>
            <w:tcBorders>
              <w:top w:val="nil"/>
              <w:left w:val="nil"/>
              <w:bottom w:val="single" w:sz="4" w:space="0" w:color="auto"/>
              <w:right w:val="single" w:sz="4" w:space="0" w:color="auto"/>
            </w:tcBorders>
            <w:shd w:val="clear" w:color="auto" w:fill="auto"/>
            <w:vAlign w:val="center"/>
            <w:hideMark/>
          </w:tcPr>
          <w:p w14:paraId="519B2D1B" w14:textId="77777777" w:rsidR="00F8156E" w:rsidRPr="008E63BB" w:rsidRDefault="00F8156E" w:rsidP="00C90BF8">
            <w:pPr>
              <w:jc w:val="right"/>
              <w:rPr>
                <w:rFonts w:eastAsia="Times New Roman"/>
                <w:b/>
                <w:bCs/>
                <w:sz w:val="24"/>
                <w:szCs w:val="24"/>
              </w:rPr>
            </w:pPr>
            <w:r w:rsidRPr="008E63BB">
              <w:rPr>
                <w:rFonts w:eastAsia="Times New Roman"/>
                <w:b/>
                <w:bCs/>
                <w:sz w:val="24"/>
                <w:szCs w:val="24"/>
              </w:rPr>
              <w:t>7.000,00</w:t>
            </w:r>
          </w:p>
        </w:tc>
        <w:tc>
          <w:tcPr>
            <w:tcW w:w="1220" w:type="dxa"/>
            <w:tcBorders>
              <w:top w:val="nil"/>
              <w:left w:val="nil"/>
              <w:bottom w:val="single" w:sz="4" w:space="0" w:color="auto"/>
              <w:right w:val="single" w:sz="4" w:space="0" w:color="auto"/>
            </w:tcBorders>
            <w:shd w:val="clear" w:color="auto" w:fill="auto"/>
            <w:vAlign w:val="center"/>
            <w:hideMark/>
          </w:tcPr>
          <w:p w14:paraId="519B2D1C" w14:textId="77777777" w:rsidR="00F8156E" w:rsidRPr="008E63BB" w:rsidRDefault="00F8156E" w:rsidP="00C90BF8">
            <w:pPr>
              <w:jc w:val="right"/>
              <w:rPr>
                <w:rFonts w:eastAsia="Times New Roman"/>
                <w:b/>
                <w:bCs/>
                <w:sz w:val="24"/>
                <w:szCs w:val="24"/>
              </w:rPr>
            </w:pPr>
            <w:r w:rsidRPr="008E63BB">
              <w:rPr>
                <w:rFonts w:eastAsia="Times New Roman"/>
                <w:b/>
                <w:bCs/>
                <w:sz w:val="24"/>
                <w:szCs w:val="24"/>
              </w:rPr>
              <w:t>3.559,75</w:t>
            </w:r>
          </w:p>
        </w:tc>
        <w:tc>
          <w:tcPr>
            <w:tcW w:w="2324" w:type="dxa"/>
            <w:tcBorders>
              <w:top w:val="nil"/>
              <w:left w:val="nil"/>
              <w:bottom w:val="single" w:sz="4" w:space="0" w:color="auto"/>
              <w:right w:val="single" w:sz="4" w:space="0" w:color="auto"/>
            </w:tcBorders>
            <w:vAlign w:val="center"/>
          </w:tcPr>
          <w:p w14:paraId="519B2D1D" w14:textId="77777777" w:rsidR="00F8156E" w:rsidRPr="008E63BB" w:rsidRDefault="00F8156E" w:rsidP="00C90BF8">
            <w:pPr>
              <w:jc w:val="right"/>
              <w:rPr>
                <w:rFonts w:eastAsia="Times New Roman"/>
                <w:b/>
                <w:bCs/>
                <w:sz w:val="24"/>
                <w:szCs w:val="24"/>
              </w:rPr>
            </w:pPr>
            <w:r w:rsidRPr="008E63BB">
              <w:rPr>
                <w:rFonts w:eastAsia="Times New Roman"/>
                <w:b/>
                <w:bCs/>
                <w:sz w:val="24"/>
                <w:szCs w:val="24"/>
              </w:rPr>
              <w:t>-3.440,25</w:t>
            </w:r>
          </w:p>
        </w:tc>
      </w:tr>
      <w:tr w:rsidR="00F8156E" w:rsidRPr="008E63BB" w14:paraId="519B2D24" w14:textId="77777777" w:rsidTr="003F085B">
        <w:trPr>
          <w:trHeight w:val="77"/>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2D1F" w14:textId="77777777" w:rsidR="00F8156E" w:rsidRPr="008E63BB" w:rsidRDefault="00F8156E" w:rsidP="00C90BF8">
            <w:pPr>
              <w:jc w:val="right"/>
              <w:rPr>
                <w:rFonts w:eastAsia="Times New Roman"/>
                <w:sz w:val="24"/>
                <w:szCs w:val="24"/>
              </w:rPr>
            </w:pPr>
            <w:r w:rsidRPr="008E63BB">
              <w:rPr>
                <w:rFonts w:eastAsia="Times New Roman"/>
                <w:sz w:val="24"/>
                <w:szCs w:val="24"/>
              </w:rPr>
              <w:t> </w:t>
            </w:r>
          </w:p>
        </w:tc>
        <w:tc>
          <w:tcPr>
            <w:tcW w:w="3990" w:type="dxa"/>
            <w:tcBorders>
              <w:top w:val="nil"/>
              <w:left w:val="nil"/>
              <w:bottom w:val="single" w:sz="4" w:space="0" w:color="auto"/>
              <w:right w:val="single" w:sz="4" w:space="0" w:color="auto"/>
            </w:tcBorders>
            <w:shd w:val="clear" w:color="auto" w:fill="auto"/>
            <w:vAlign w:val="center"/>
            <w:hideMark/>
          </w:tcPr>
          <w:p w14:paraId="519B2D20" w14:textId="77777777" w:rsidR="00F8156E" w:rsidRPr="008E63BB" w:rsidRDefault="00F8156E" w:rsidP="00C90BF8">
            <w:pPr>
              <w:jc w:val="left"/>
              <w:rPr>
                <w:rFonts w:eastAsia="Times New Roman"/>
                <w:sz w:val="24"/>
                <w:szCs w:val="24"/>
              </w:rPr>
            </w:pPr>
            <w:r w:rsidRPr="008E63BB">
              <w:rPr>
                <w:rFonts w:eastAsia="Times New Roman"/>
                <w:sz w:val="24"/>
                <w:szCs w:val="24"/>
              </w:rPr>
              <w:t>Đất xây dựng đô thị khu vực nội thành</w:t>
            </w:r>
          </w:p>
        </w:tc>
        <w:tc>
          <w:tcPr>
            <w:tcW w:w="1710" w:type="dxa"/>
            <w:tcBorders>
              <w:top w:val="nil"/>
              <w:left w:val="nil"/>
              <w:bottom w:val="single" w:sz="4" w:space="0" w:color="auto"/>
              <w:right w:val="single" w:sz="4" w:space="0" w:color="auto"/>
            </w:tcBorders>
            <w:shd w:val="clear" w:color="auto" w:fill="auto"/>
            <w:vAlign w:val="center"/>
            <w:hideMark/>
          </w:tcPr>
          <w:p w14:paraId="519B2D21" w14:textId="77777777" w:rsidR="00F8156E" w:rsidRPr="008E63BB" w:rsidRDefault="00F8156E" w:rsidP="00C90BF8">
            <w:pPr>
              <w:jc w:val="right"/>
              <w:rPr>
                <w:rFonts w:eastAsia="Times New Roman"/>
                <w:sz w:val="24"/>
                <w:szCs w:val="24"/>
              </w:rPr>
            </w:pPr>
            <w:r w:rsidRPr="008E63BB">
              <w:rPr>
                <w:rFonts w:eastAsia="Times New Roman"/>
                <w:sz w:val="24"/>
                <w:szCs w:val="24"/>
              </w:rPr>
              <w:t>4.100,00</w:t>
            </w:r>
          </w:p>
        </w:tc>
        <w:tc>
          <w:tcPr>
            <w:tcW w:w="1220" w:type="dxa"/>
            <w:tcBorders>
              <w:top w:val="nil"/>
              <w:left w:val="nil"/>
              <w:bottom w:val="single" w:sz="4" w:space="0" w:color="auto"/>
              <w:right w:val="single" w:sz="4" w:space="0" w:color="auto"/>
            </w:tcBorders>
            <w:shd w:val="clear" w:color="auto" w:fill="auto"/>
            <w:vAlign w:val="center"/>
            <w:hideMark/>
          </w:tcPr>
          <w:p w14:paraId="519B2D22" w14:textId="77777777" w:rsidR="00F8156E" w:rsidRPr="008E63BB" w:rsidRDefault="00F8156E" w:rsidP="00C90BF8">
            <w:pPr>
              <w:jc w:val="right"/>
              <w:rPr>
                <w:rFonts w:eastAsia="Times New Roman"/>
                <w:sz w:val="24"/>
                <w:szCs w:val="24"/>
              </w:rPr>
            </w:pPr>
            <w:r w:rsidRPr="008E63BB">
              <w:rPr>
                <w:rFonts w:eastAsia="Times New Roman"/>
                <w:sz w:val="24"/>
                <w:szCs w:val="24"/>
              </w:rPr>
              <w:t>2.262,30</w:t>
            </w:r>
          </w:p>
        </w:tc>
        <w:tc>
          <w:tcPr>
            <w:tcW w:w="2324" w:type="dxa"/>
            <w:tcBorders>
              <w:top w:val="nil"/>
              <w:left w:val="nil"/>
              <w:bottom w:val="single" w:sz="4" w:space="0" w:color="auto"/>
              <w:right w:val="single" w:sz="4" w:space="0" w:color="auto"/>
            </w:tcBorders>
            <w:vAlign w:val="center"/>
          </w:tcPr>
          <w:p w14:paraId="519B2D23" w14:textId="77777777" w:rsidR="00F8156E" w:rsidRPr="008E63BB" w:rsidRDefault="00F8156E" w:rsidP="00C90BF8">
            <w:pPr>
              <w:jc w:val="right"/>
              <w:rPr>
                <w:rFonts w:eastAsia="Times New Roman"/>
                <w:bCs/>
                <w:sz w:val="24"/>
                <w:szCs w:val="24"/>
              </w:rPr>
            </w:pPr>
            <w:r w:rsidRPr="008E63BB">
              <w:rPr>
                <w:rFonts w:eastAsia="Times New Roman"/>
                <w:bCs/>
                <w:sz w:val="24"/>
                <w:szCs w:val="24"/>
              </w:rPr>
              <w:t>-1.837,70</w:t>
            </w:r>
          </w:p>
        </w:tc>
      </w:tr>
      <w:tr w:rsidR="00F8156E" w:rsidRPr="008E63BB" w14:paraId="519B2D2A" w14:textId="77777777" w:rsidTr="003F085B">
        <w:trPr>
          <w:trHeight w:val="77"/>
        </w:trPr>
        <w:tc>
          <w:tcPr>
            <w:tcW w:w="510" w:type="dxa"/>
            <w:tcBorders>
              <w:top w:val="nil"/>
              <w:left w:val="single" w:sz="4" w:space="0" w:color="auto"/>
              <w:bottom w:val="single" w:sz="4" w:space="0" w:color="auto"/>
              <w:right w:val="single" w:sz="4" w:space="0" w:color="auto"/>
            </w:tcBorders>
            <w:shd w:val="clear" w:color="auto" w:fill="auto"/>
            <w:vAlign w:val="center"/>
          </w:tcPr>
          <w:p w14:paraId="519B2D25" w14:textId="77777777" w:rsidR="00F8156E" w:rsidRPr="008E63BB" w:rsidRDefault="00F8156E" w:rsidP="00C90BF8">
            <w:pPr>
              <w:jc w:val="right"/>
              <w:rPr>
                <w:rFonts w:eastAsia="Times New Roman"/>
                <w:iCs/>
                <w:sz w:val="24"/>
                <w:szCs w:val="24"/>
              </w:rPr>
            </w:pPr>
          </w:p>
        </w:tc>
        <w:tc>
          <w:tcPr>
            <w:tcW w:w="3990" w:type="dxa"/>
            <w:tcBorders>
              <w:top w:val="nil"/>
              <w:left w:val="nil"/>
              <w:bottom w:val="single" w:sz="4" w:space="0" w:color="auto"/>
              <w:right w:val="single" w:sz="4" w:space="0" w:color="auto"/>
            </w:tcBorders>
            <w:shd w:val="clear" w:color="auto" w:fill="auto"/>
            <w:vAlign w:val="center"/>
          </w:tcPr>
          <w:p w14:paraId="519B2D26" w14:textId="77777777" w:rsidR="00F8156E" w:rsidRPr="008E63BB" w:rsidRDefault="00F8156E" w:rsidP="00C90BF8">
            <w:pPr>
              <w:jc w:val="left"/>
              <w:rPr>
                <w:rFonts w:eastAsia="Times New Roman"/>
                <w:iCs/>
                <w:sz w:val="24"/>
                <w:szCs w:val="24"/>
              </w:rPr>
            </w:pPr>
            <w:r w:rsidRPr="008E63BB">
              <w:rPr>
                <w:rFonts w:eastAsia="Times New Roman"/>
                <w:iCs/>
                <w:sz w:val="24"/>
                <w:szCs w:val="24"/>
              </w:rPr>
              <w:t>Trong đó: Chỉ tiêu đất xây dựng đô thị (m</w:t>
            </w:r>
            <w:r w:rsidRPr="008E63BB">
              <w:rPr>
                <w:rFonts w:eastAsia="Times New Roman"/>
                <w:iCs/>
                <w:sz w:val="24"/>
                <w:szCs w:val="24"/>
                <w:vertAlign w:val="superscript"/>
              </w:rPr>
              <w:t>2</w:t>
            </w:r>
            <w:r w:rsidRPr="008E63BB">
              <w:rPr>
                <w:rFonts w:eastAsia="Times New Roman"/>
                <w:iCs/>
                <w:sz w:val="24"/>
                <w:szCs w:val="24"/>
              </w:rPr>
              <w:t>/ người)</w:t>
            </w:r>
          </w:p>
        </w:tc>
        <w:tc>
          <w:tcPr>
            <w:tcW w:w="1710" w:type="dxa"/>
            <w:tcBorders>
              <w:top w:val="nil"/>
              <w:left w:val="nil"/>
              <w:bottom w:val="single" w:sz="4" w:space="0" w:color="auto"/>
              <w:right w:val="single" w:sz="4" w:space="0" w:color="auto"/>
            </w:tcBorders>
            <w:shd w:val="clear" w:color="auto" w:fill="auto"/>
            <w:vAlign w:val="center"/>
          </w:tcPr>
          <w:p w14:paraId="519B2D27" w14:textId="77777777" w:rsidR="00F8156E" w:rsidRPr="008E63BB" w:rsidRDefault="00F8156E" w:rsidP="00C90BF8">
            <w:pPr>
              <w:jc w:val="right"/>
              <w:rPr>
                <w:rFonts w:eastAsia="Times New Roman"/>
                <w:i/>
                <w:iCs/>
                <w:sz w:val="24"/>
                <w:szCs w:val="24"/>
              </w:rPr>
            </w:pPr>
            <w:r w:rsidRPr="008E63BB">
              <w:t>120</w:t>
            </w:r>
          </w:p>
        </w:tc>
        <w:tc>
          <w:tcPr>
            <w:tcW w:w="1220" w:type="dxa"/>
            <w:tcBorders>
              <w:top w:val="nil"/>
              <w:left w:val="nil"/>
              <w:bottom w:val="single" w:sz="4" w:space="0" w:color="auto"/>
              <w:right w:val="single" w:sz="4" w:space="0" w:color="auto"/>
            </w:tcBorders>
            <w:shd w:val="clear" w:color="auto" w:fill="auto"/>
            <w:vAlign w:val="center"/>
          </w:tcPr>
          <w:p w14:paraId="519B2D28" w14:textId="77777777" w:rsidR="00F8156E" w:rsidRPr="008E63BB" w:rsidRDefault="00F8156E" w:rsidP="00C90BF8">
            <w:pPr>
              <w:jc w:val="right"/>
              <w:rPr>
                <w:rFonts w:eastAsia="Times New Roman"/>
                <w:i/>
                <w:iCs/>
                <w:sz w:val="24"/>
                <w:szCs w:val="24"/>
              </w:rPr>
            </w:pPr>
            <w:r w:rsidRPr="008E63BB">
              <w:t>95,91</w:t>
            </w:r>
          </w:p>
        </w:tc>
        <w:tc>
          <w:tcPr>
            <w:tcW w:w="2324" w:type="dxa"/>
            <w:tcBorders>
              <w:top w:val="nil"/>
              <w:left w:val="nil"/>
              <w:bottom w:val="single" w:sz="4" w:space="0" w:color="auto"/>
              <w:right w:val="single" w:sz="4" w:space="0" w:color="auto"/>
            </w:tcBorders>
            <w:vAlign w:val="center"/>
          </w:tcPr>
          <w:p w14:paraId="519B2D29" w14:textId="77777777" w:rsidR="00F8156E" w:rsidRPr="008E63BB" w:rsidRDefault="00F8156E" w:rsidP="00C90BF8">
            <w:pPr>
              <w:jc w:val="right"/>
              <w:rPr>
                <w:rFonts w:eastAsia="Times New Roman"/>
                <w:bCs/>
                <w:i/>
                <w:sz w:val="24"/>
                <w:szCs w:val="24"/>
              </w:rPr>
            </w:pPr>
          </w:p>
        </w:tc>
      </w:tr>
      <w:tr w:rsidR="00F8156E" w:rsidRPr="008E63BB" w14:paraId="519B2D30" w14:textId="77777777" w:rsidTr="003F085B">
        <w:trPr>
          <w:trHeight w:val="77"/>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2D2B" w14:textId="77777777" w:rsidR="00F8156E" w:rsidRPr="008E63BB" w:rsidRDefault="00F8156E" w:rsidP="00C90BF8">
            <w:pPr>
              <w:jc w:val="right"/>
              <w:rPr>
                <w:rFonts w:eastAsia="Times New Roman"/>
                <w:i/>
                <w:iCs/>
                <w:sz w:val="24"/>
                <w:szCs w:val="24"/>
              </w:rPr>
            </w:pPr>
            <w:r w:rsidRPr="008E63BB">
              <w:rPr>
                <w:rFonts w:eastAsia="Times New Roman"/>
                <w:i/>
                <w:iCs/>
                <w:sz w:val="24"/>
                <w:szCs w:val="24"/>
              </w:rPr>
              <w:t>-</w:t>
            </w:r>
          </w:p>
        </w:tc>
        <w:tc>
          <w:tcPr>
            <w:tcW w:w="3990" w:type="dxa"/>
            <w:tcBorders>
              <w:top w:val="nil"/>
              <w:left w:val="nil"/>
              <w:bottom w:val="single" w:sz="4" w:space="0" w:color="auto"/>
              <w:right w:val="single" w:sz="4" w:space="0" w:color="auto"/>
            </w:tcBorders>
            <w:shd w:val="clear" w:color="auto" w:fill="auto"/>
            <w:vAlign w:val="center"/>
            <w:hideMark/>
          </w:tcPr>
          <w:p w14:paraId="519B2D2C" w14:textId="77777777" w:rsidR="00F8156E" w:rsidRPr="008E63BB" w:rsidRDefault="00F8156E" w:rsidP="00C90BF8">
            <w:pPr>
              <w:jc w:val="left"/>
              <w:rPr>
                <w:rFonts w:eastAsia="Times New Roman"/>
                <w:i/>
                <w:iCs/>
                <w:sz w:val="24"/>
                <w:szCs w:val="24"/>
              </w:rPr>
            </w:pPr>
            <w:r w:rsidRPr="008E63BB">
              <w:rPr>
                <w:rFonts w:eastAsia="Times New Roman"/>
                <w:i/>
                <w:iCs/>
                <w:sz w:val="24"/>
                <w:szCs w:val="24"/>
              </w:rPr>
              <w:t>Đất dân dụng</w:t>
            </w:r>
          </w:p>
        </w:tc>
        <w:tc>
          <w:tcPr>
            <w:tcW w:w="1710" w:type="dxa"/>
            <w:tcBorders>
              <w:top w:val="nil"/>
              <w:left w:val="nil"/>
              <w:bottom w:val="single" w:sz="4" w:space="0" w:color="auto"/>
              <w:right w:val="single" w:sz="4" w:space="0" w:color="auto"/>
            </w:tcBorders>
            <w:shd w:val="clear" w:color="auto" w:fill="auto"/>
            <w:vAlign w:val="center"/>
            <w:hideMark/>
          </w:tcPr>
          <w:p w14:paraId="519B2D2D" w14:textId="77777777" w:rsidR="00F8156E" w:rsidRPr="008E63BB" w:rsidRDefault="00F8156E" w:rsidP="00C90BF8">
            <w:pPr>
              <w:jc w:val="right"/>
              <w:rPr>
                <w:rFonts w:eastAsia="Times New Roman"/>
                <w:i/>
                <w:iCs/>
                <w:sz w:val="24"/>
                <w:szCs w:val="24"/>
              </w:rPr>
            </w:pPr>
            <w:r w:rsidRPr="008E63BB">
              <w:rPr>
                <w:rFonts w:eastAsia="Times New Roman"/>
                <w:i/>
                <w:iCs/>
                <w:sz w:val="24"/>
                <w:szCs w:val="24"/>
              </w:rPr>
              <w:t>3.135,00</w:t>
            </w:r>
          </w:p>
        </w:tc>
        <w:tc>
          <w:tcPr>
            <w:tcW w:w="1220" w:type="dxa"/>
            <w:tcBorders>
              <w:top w:val="nil"/>
              <w:left w:val="nil"/>
              <w:bottom w:val="single" w:sz="4" w:space="0" w:color="auto"/>
              <w:right w:val="single" w:sz="4" w:space="0" w:color="auto"/>
            </w:tcBorders>
            <w:shd w:val="clear" w:color="auto" w:fill="auto"/>
            <w:vAlign w:val="center"/>
            <w:hideMark/>
          </w:tcPr>
          <w:p w14:paraId="519B2D2E" w14:textId="77777777" w:rsidR="00F8156E" w:rsidRPr="008E63BB" w:rsidRDefault="00F8156E" w:rsidP="00C90BF8">
            <w:pPr>
              <w:jc w:val="right"/>
              <w:rPr>
                <w:rFonts w:eastAsia="Times New Roman"/>
                <w:i/>
                <w:iCs/>
                <w:sz w:val="24"/>
                <w:szCs w:val="24"/>
              </w:rPr>
            </w:pPr>
            <w:r w:rsidRPr="008E63BB">
              <w:rPr>
                <w:rFonts w:eastAsia="Times New Roman"/>
                <w:i/>
                <w:iCs/>
                <w:sz w:val="24"/>
                <w:szCs w:val="24"/>
              </w:rPr>
              <w:t>1.385,63</w:t>
            </w:r>
          </w:p>
        </w:tc>
        <w:tc>
          <w:tcPr>
            <w:tcW w:w="2324" w:type="dxa"/>
            <w:tcBorders>
              <w:top w:val="nil"/>
              <w:left w:val="nil"/>
              <w:bottom w:val="single" w:sz="4" w:space="0" w:color="auto"/>
              <w:right w:val="single" w:sz="4" w:space="0" w:color="auto"/>
            </w:tcBorders>
            <w:vAlign w:val="center"/>
          </w:tcPr>
          <w:p w14:paraId="519B2D2F" w14:textId="77777777" w:rsidR="00F8156E" w:rsidRPr="008E63BB" w:rsidRDefault="00F8156E" w:rsidP="00C90BF8">
            <w:pPr>
              <w:jc w:val="right"/>
              <w:rPr>
                <w:rFonts w:eastAsia="Times New Roman"/>
                <w:bCs/>
                <w:i/>
                <w:sz w:val="24"/>
                <w:szCs w:val="24"/>
              </w:rPr>
            </w:pPr>
            <w:r w:rsidRPr="008E63BB">
              <w:rPr>
                <w:rFonts w:eastAsia="Times New Roman"/>
                <w:bCs/>
                <w:i/>
                <w:sz w:val="24"/>
                <w:szCs w:val="24"/>
              </w:rPr>
              <w:t>-1.749,37</w:t>
            </w:r>
          </w:p>
        </w:tc>
      </w:tr>
      <w:tr w:rsidR="00F8156E" w:rsidRPr="008E63BB" w14:paraId="519B2D36" w14:textId="77777777" w:rsidTr="003F085B">
        <w:trPr>
          <w:trHeight w:val="77"/>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2D31" w14:textId="77777777" w:rsidR="00F8156E" w:rsidRPr="008E63BB" w:rsidRDefault="00F8156E" w:rsidP="00C90BF8">
            <w:pPr>
              <w:jc w:val="right"/>
              <w:rPr>
                <w:rFonts w:eastAsia="Times New Roman"/>
                <w:i/>
                <w:iCs/>
                <w:sz w:val="24"/>
                <w:szCs w:val="24"/>
              </w:rPr>
            </w:pPr>
            <w:r w:rsidRPr="008E63BB">
              <w:rPr>
                <w:rFonts w:eastAsia="Times New Roman"/>
                <w:i/>
                <w:iCs/>
                <w:sz w:val="24"/>
                <w:szCs w:val="24"/>
              </w:rPr>
              <w:t>-</w:t>
            </w:r>
          </w:p>
        </w:tc>
        <w:tc>
          <w:tcPr>
            <w:tcW w:w="3990" w:type="dxa"/>
            <w:tcBorders>
              <w:top w:val="nil"/>
              <w:left w:val="nil"/>
              <w:bottom w:val="single" w:sz="4" w:space="0" w:color="auto"/>
              <w:right w:val="single" w:sz="4" w:space="0" w:color="auto"/>
            </w:tcBorders>
            <w:shd w:val="clear" w:color="auto" w:fill="auto"/>
            <w:vAlign w:val="center"/>
            <w:hideMark/>
          </w:tcPr>
          <w:p w14:paraId="519B2D32" w14:textId="77777777" w:rsidR="00F8156E" w:rsidRPr="008E63BB" w:rsidRDefault="00F8156E" w:rsidP="00C90BF8">
            <w:pPr>
              <w:jc w:val="left"/>
              <w:rPr>
                <w:rFonts w:eastAsia="Times New Roman"/>
                <w:i/>
                <w:iCs/>
                <w:sz w:val="24"/>
                <w:szCs w:val="24"/>
              </w:rPr>
            </w:pPr>
            <w:r w:rsidRPr="008E63BB">
              <w:rPr>
                <w:rFonts w:eastAsia="Times New Roman"/>
                <w:i/>
                <w:iCs/>
                <w:sz w:val="24"/>
                <w:szCs w:val="24"/>
              </w:rPr>
              <w:t>Đất ngoài dân dụng</w:t>
            </w:r>
          </w:p>
        </w:tc>
        <w:tc>
          <w:tcPr>
            <w:tcW w:w="1710" w:type="dxa"/>
            <w:tcBorders>
              <w:top w:val="nil"/>
              <w:left w:val="nil"/>
              <w:bottom w:val="single" w:sz="4" w:space="0" w:color="auto"/>
              <w:right w:val="single" w:sz="4" w:space="0" w:color="auto"/>
            </w:tcBorders>
            <w:shd w:val="clear" w:color="auto" w:fill="auto"/>
            <w:vAlign w:val="center"/>
            <w:hideMark/>
          </w:tcPr>
          <w:p w14:paraId="519B2D33" w14:textId="77777777" w:rsidR="00F8156E" w:rsidRPr="008E63BB" w:rsidRDefault="00F8156E" w:rsidP="00C90BF8">
            <w:pPr>
              <w:jc w:val="right"/>
              <w:rPr>
                <w:rFonts w:eastAsia="Times New Roman"/>
                <w:i/>
                <w:iCs/>
                <w:sz w:val="24"/>
                <w:szCs w:val="24"/>
              </w:rPr>
            </w:pPr>
            <w:r w:rsidRPr="008E63BB">
              <w:rPr>
                <w:rFonts w:eastAsia="Times New Roman"/>
                <w:i/>
                <w:iCs/>
                <w:sz w:val="24"/>
                <w:szCs w:val="24"/>
              </w:rPr>
              <w:t>965,00</w:t>
            </w:r>
          </w:p>
        </w:tc>
        <w:tc>
          <w:tcPr>
            <w:tcW w:w="1220" w:type="dxa"/>
            <w:tcBorders>
              <w:top w:val="nil"/>
              <w:left w:val="nil"/>
              <w:bottom w:val="single" w:sz="4" w:space="0" w:color="auto"/>
              <w:right w:val="single" w:sz="4" w:space="0" w:color="auto"/>
            </w:tcBorders>
            <w:shd w:val="clear" w:color="auto" w:fill="auto"/>
            <w:vAlign w:val="center"/>
            <w:hideMark/>
          </w:tcPr>
          <w:p w14:paraId="519B2D34" w14:textId="77777777" w:rsidR="00F8156E" w:rsidRPr="008E63BB" w:rsidRDefault="00F8156E" w:rsidP="00C90BF8">
            <w:pPr>
              <w:jc w:val="right"/>
              <w:rPr>
                <w:rFonts w:eastAsia="Times New Roman"/>
                <w:i/>
                <w:iCs/>
                <w:sz w:val="24"/>
                <w:szCs w:val="24"/>
              </w:rPr>
            </w:pPr>
            <w:r w:rsidRPr="008E63BB">
              <w:rPr>
                <w:rFonts w:eastAsia="Times New Roman"/>
                <w:i/>
                <w:iCs/>
                <w:sz w:val="24"/>
                <w:szCs w:val="24"/>
              </w:rPr>
              <w:t>876,67</w:t>
            </w:r>
          </w:p>
        </w:tc>
        <w:tc>
          <w:tcPr>
            <w:tcW w:w="2324" w:type="dxa"/>
            <w:tcBorders>
              <w:top w:val="nil"/>
              <w:left w:val="nil"/>
              <w:bottom w:val="single" w:sz="4" w:space="0" w:color="auto"/>
              <w:right w:val="single" w:sz="4" w:space="0" w:color="auto"/>
            </w:tcBorders>
            <w:vAlign w:val="center"/>
          </w:tcPr>
          <w:p w14:paraId="519B2D35" w14:textId="77777777" w:rsidR="00F8156E" w:rsidRPr="008E63BB" w:rsidRDefault="00F8156E" w:rsidP="00C90BF8">
            <w:pPr>
              <w:jc w:val="right"/>
              <w:rPr>
                <w:rFonts w:eastAsia="Times New Roman"/>
                <w:bCs/>
                <w:i/>
                <w:sz w:val="24"/>
                <w:szCs w:val="24"/>
              </w:rPr>
            </w:pPr>
            <w:r w:rsidRPr="008E63BB">
              <w:rPr>
                <w:rFonts w:eastAsia="Times New Roman"/>
                <w:bCs/>
                <w:i/>
                <w:sz w:val="24"/>
                <w:szCs w:val="24"/>
              </w:rPr>
              <w:t>-88,33</w:t>
            </w:r>
          </w:p>
        </w:tc>
      </w:tr>
      <w:tr w:rsidR="00F8156E" w:rsidRPr="008E63BB" w14:paraId="519B2D3C" w14:textId="77777777" w:rsidTr="003F085B">
        <w:trPr>
          <w:trHeight w:val="7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19B2D37" w14:textId="77777777" w:rsidR="00F8156E" w:rsidRPr="008E63BB" w:rsidRDefault="00F8156E" w:rsidP="00C90BF8">
            <w:pPr>
              <w:jc w:val="center"/>
              <w:rPr>
                <w:rFonts w:eastAsia="Times New Roman"/>
                <w:sz w:val="24"/>
                <w:szCs w:val="24"/>
              </w:rPr>
            </w:pPr>
            <w:r w:rsidRPr="008E63BB">
              <w:rPr>
                <w:rFonts w:eastAsia="Times New Roman"/>
                <w:sz w:val="24"/>
                <w:szCs w:val="24"/>
              </w:rPr>
              <w:t>3</w:t>
            </w:r>
          </w:p>
        </w:tc>
        <w:tc>
          <w:tcPr>
            <w:tcW w:w="3990" w:type="dxa"/>
            <w:tcBorders>
              <w:top w:val="nil"/>
              <w:left w:val="nil"/>
              <w:bottom w:val="single" w:sz="4" w:space="0" w:color="auto"/>
              <w:right w:val="single" w:sz="4" w:space="0" w:color="auto"/>
            </w:tcBorders>
            <w:shd w:val="clear" w:color="auto" w:fill="auto"/>
            <w:noWrap/>
            <w:vAlign w:val="center"/>
            <w:hideMark/>
          </w:tcPr>
          <w:p w14:paraId="519B2D38" w14:textId="77777777" w:rsidR="00F8156E" w:rsidRPr="008E63BB" w:rsidRDefault="00F8156E" w:rsidP="00C90BF8">
            <w:pPr>
              <w:jc w:val="left"/>
              <w:rPr>
                <w:rFonts w:eastAsia="Times New Roman"/>
                <w:sz w:val="24"/>
                <w:szCs w:val="24"/>
              </w:rPr>
            </w:pPr>
            <w:r w:rsidRPr="008E63BB">
              <w:rPr>
                <w:rFonts w:eastAsia="Times New Roman"/>
                <w:sz w:val="24"/>
                <w:szCs w:val="24"/>
              </w:rPr>
              <w:t>Dân số (người)</w:t>
            </w:r>
          </w:p>
        </w:tc>
        <w:tc>
          <w:tcPr>
            <w:tcW w:w="1710" w:type="dxa"/>
            <w:tcBorders>
              <w:top w:val="nil"/>
              <w:left w:val="nil"/>
              <w:bottom w:val="single" w:sz="4" w:space="0" w:color="auto"/>
              <w:right w:val="single" w:sz="4" w:space="0" w:color="auto"/>
            </w:tcBorders>
            <w:shd w:val="clear" w:color="auto" w:fill="auto"/>
            <w:noWrap/>
            <w:vAlign w:val="center"/>
            <w:hideMark/>
          </w:tcPr>
          <w:p w14:paraId="519B2D39" w14:textId="77777777" w:rsidR="00F8156E" w:rsidRPr="008E63BB" w:rsidRDefault="00F8156E" w:rsidP="00C90BF8">
            <w:pPr>
              <w:jc w:val="right"/>
              <w:rPr>
                <w:rFonts w:eastAsia="Times New Roman"/>
                <w:sz w:val="24"/>
                <w:szCs w:val="24"/>
              </w:rPr>
            </w:pPr>
            <w:r w:rsidRPr="008E63BB">
              <w:rPr>
                <w:rFonts w:eastAsia="Times New Roman"/>
                <w:sz w:val="24"/>
                <w:szCs w:val="24"/>
              </w:rPr>
              <w:t>480.000</w:t>
            </w:r>
          </w:p>
        </w:tc>
        <w:tc>
          <w:tcPr>
            <w:tcW w:w="1220" w:type="dxa"/>
            <w:tcBorders>
              <w:top w:val="nil"/>
              <w:left w:val="nil"/>
              <w:bottom w:val="single" w:sz="4" w:space="0" w:color="auto"/>
              <w:right w:val="single" w:sz="4" w:space="0" w:color="auto"/>
            </w:tcBorders>
            <w:shd w:val="clear" w:color="auto" w:fill="auto"/>
            <w:noWrap/>
            <w:vAlign w:val="center"/>
            <w:hideMark/>
          </w:tcPr>
          <w:p w14:paraId="519B2D3A" w14:textId="77777777" w:rsidR="00F8156E" w:rsidRPr="008E63BB" w:rsidRDefault="00F8156E" w:rsidP="00C90BF8">
            <w:pPr>
              <w:jc w:val="right"/>
              <w:rPr>
                <w:rFonts w:eastAsia="Times New Roman"/>
                <w:sz w:val="24"/>
                <w:szCs w:val="24"/>
              </w:rPr>
            </w:pPr>
            <w:r w:rsidRPr="008E63BB">
              <w:rPr>
                <w:rFonts w:eastAsia="Times New Roman"/>
                <w:sz w:val="24"/>
                <w:szCs w:val="24"/>
              </w:rPr>
              <w:t>258.552</w:t>
            </w:r>
          </w:p>
        </w:tc>
        <w:tc>
          <w:tcPr>
            <w:tcW w:w="2324" w:type="dxa"/>
            <w:tcBorders>
              <w:top w:val="nil"/>
              <w:left w:val="nil"/>
              <w:bottom w:val="single" w:sz="4" w:space="0" w:color="auto"/>
              <w:right w:val="single" w:sz="4" w:space="0" w:color="auto"/>
            </w:tcBorders>
            <w:vAlign w:val="center"/>
          </w:tcPr>
          <w:p w14:paraId="519B2D3B" w14:textId="77777777" w:rsidR="00F8156E" w:rsidRPr="008E63BB" w:rsidRDefault="00F8156E" w:rsidP="00C90BF8">
            <w:pPr>
              <w:jc w:val="right"/>
              <w:rPr>
                <w:rFonts w:eastAsia="Times New Roman"/>
                <w:bCs/>
                <w:sz w:val="24"/>
                <w:szCs w:val="24"/>
              </w:rPr>
            </w:pPr>
            <w:r w:rsidRPr="008E63BB">
              <w:rPr>
                <w:rFonts w:eastAsia="Times New Roman"/>
                <w:bCs/>
                <w:sz w:val="24"/>
                <w:szCs w:val="24"/>
              </w:rPr>
              <w:t>-221.448</w:t>
            </w:r>
          </w:p>
        </w:tc>
      </w:tr>
      <w:tr w:rsidR="00F8156E" w:rsidRPr="008E63BB" w14:paraId="519B2D42" w14:textId="77777777" w:rsidTr="003F085B">
        <w:trPr>
          <w:trHeight w:val="77"/>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19B2D3D" w14:textId="77777777" w:rsidR="00F8156E" w:rsidRPr="008E63BB" w:rsidRDefault="00F8156E" w:rsidP="00C90BF8">
            <w:pPr>
              <w:jc w:val="center"/>
              <w:rPr>
                <w:rFonts w:eastAsia="Times New Roman"/>
                <w:sz w:val="24"/>
                <w:szCs w:val="24"/>
              </w:rPr>
            </w:pPr>
            <w:r w:rsidRPr="008E63BB">
              <w:rPr>
                <w:rFonts w:eastAsia="Times New Roman"/>
                <w:sz w:val="24"/>
                <w:szCs w:val="24"/>
              </w:rPr>
              <w:t> </w:t>
            </w:r>
          </w:p>
        </w:tc>
        <w:tc>
          <w:tcPr>
            <w:tcW w:w="3990" w:type="dxa"/>
            <w:tcBorders>
              <w:top w:val="nil"/>
              <w:left w:val="nil"/>
              <w:bottom w:val="single" w:sz="4" w:space="0" w:color="auto"/>
              <w:right w:val="single" w:sz="4" w:space="0" w:color="auto"/>
            </w:tcBorders>
            <w:shd w:val="clear" w:color="auto" w:fill="auto"/>
            <w:noWrap/>
            <w:vAlign w:val="center"/>
            <w:hideMark/>
          </w:tcPr>
          <w:p w14:paraId="519B2D3E" w14:textId="77777777" w:rsidR="00F8156E" w:rsidRPr="008E63BB" w:rsidRDefault="00F8156E" w:rsidP="00C90BF8">
            <w:pPr>
              <w:jc w:val="left"/>
              <w:rPr>
                <w:rFonts w:eastAsia="Times New Roman"/>
                <w:sz w:val="24"/>
                <w:szCs w:val="24"/>
              </w:rPr>
            </w:pPr>
            <w:r w:rsidRPr="008E63BB">
              <w:rPr>
                <w:rFonts w:eastAsia="Times New Roman"/>
                <w:sz w:val="24"/>
                <w:szCs w:val="24"/>
              </w:rPr>
              <w:t>Trong đó: Dân số nội thành (người)</w:t>
            </w:r>
          </w:p>
        </w:tc>
        <w:tc>
          <w:tcPr>
            <w:tcW w:w="1710" w:type="dxa"/>
            <w:tcBorders>
              <w:top w:val="nil"/>
              <w:left w:val="nil"/>
              <w:bottom w:val="single" w:sz="4" w:space="0" w:color="auto"/>
              <w:right w:val="single" w:sz="4" w:space="0" w:color="auto"/>
            </w:tcBorders>
            <w:shd w:val="clear" w:color="auto" w:fill="auto"/>
            <w:noWrap/>
            <w:vAlign w:val="center"/>
            <w:hideMark/>
          </w:tcPr>
          <w:p w14:paraId="519B2D3F" w14:textId="77777777" w:rsidR="00F8156E" w:rsidRPr="008E63BB" w:rsidRDefault="00F8156E" w:rsidP="00C90BF8">
            <w:pPr>
              <w:jc w:val="right"/>
              <w:rPr>
                <w:rFonts w:eastAsia="Times New Roman"/>
                <w:sz w:val="24"/>
                <w:szCs w:val="24"/>
              </w:rPr>
            </w:pPr>
            <w:r w:rsidRPr="008E63BB">
              <w:rPr>
                <w:rFonts w:eastAsia="Times New Roman"/>
                <w:sz w:val="24"/>
                <w:szCs w:val="24"/>
              </w:rPr>
              <w:t>340.000</w:t>
            </w:r>
          </w:p>
        </w:tc>
        <w:tc>
          <w:tcPr>
            <w:tcW w:w="1220" w:type="dxa"/>
            <w:tcBorders>
              <w:top w:val="nil"/>
              <w:left w:val="nil"/>
              <w:bottom w:val="single" w:sz="4" w:space="0" w:color="auto"/>
              <w:right w:val="single" w:sz="4" w:space="0" w:color="auto"/>
            </w:tcBorders>
            <w:shd w:val="clear" w:color="auto" w:fill="auto"/>
            <w:noWrap/>
            <w:vAlign w:val="center"/>
            <w:hideMark/>
          </w:tcPr>
          <w:p w14:paraId="519B2D40" w14:textId="77777777" w:rsidR="00F8156E" w:rsidRPr="008E63BB" w:rsidRDefault="00F8156E" w:rsidP="00C90BF8">
            <w:pPr>
              <w:jc w:val="right"/>
              <w:rPr>
                <w:rFonts w:eastAsia="Times New Roman"/>
                <w:sz w:val="24"/>
                <w:szCs w:val="24"/>
              </w:rPr>
            </w:pPr>
            <w:r w:rsidRPr="008E63BB">
              <w:rPr>
                <w:rFonts w:eastAsia="Times New Roman"/>
                <w:sz w:val="24"/>
                <w:szCs w:val="24"/>
              </w:rPr>
              <w:t>235.889</w:t>
            </w:r>
          </w:p>
        </w:tc>
        <w:tc>
          <w:tcPr>
            <w:tcW w:w="2324" w:type="dxa"/>
            <w:tcBorders>
              <w:top w:val="nil"/>
              <w:left w:val="nil"/>
              <w:bottom w:val="single" w:sz="4" w:space="0" w:color="auto"/>
              <w:right w:val="single" w:sz="4" w:space="0" w:color="auto"/>
            </w:tcBorders>
            <w:vAlign w:val="center"/>
          </w:tcPr>
          <w:p w14:paraId="519B2D41" w14:textId="77777777" w:rsidR="00F8156E" w:rsidRPr="008E63BB" w:rsidRDefault="00F8156E" w:rsidP="00C90BF8">
            <w:pPr>
              <w:jc w:val="right"/>
              <w:rPr>
                <w:rFonts w:eastAsia="Times New Roman"/>
                <w:bCs/>
                <w:sz w:val="24"/>
                <w:szCs w:val="24"/>
              </w:rPr>
            </w:pPr>
            <w:r w:rsidRPr="008E63BB">
              <w:rPr>
                <w:rFonts w:eastAsia="Times New Roman"/>
                <w:bCs/>
                <w:sz w:val="24"/>
                <w:szCs w:val="24"/>
              </w:rPr>
              <w:t>-104.111</w:t>
            </w:r>
          </w:p>
        </w:tc>
      </w:tr>
    </w:tbl>
    <w:p w14:paraId="519B2D43" w14:textId="77777777" w:rsidR="001A7F62" w:rsidRPr="008E63BB" w:rsidRDefault="001A7F62" w:rsidP="003C24CA">
      <w:pPr>
        <w:ind w:firstLine="709"/>
      </w:pPr>
      <w:r w:rsidRPr="008E63BB">
        <w:rPr>
          <w:lang w:val="pt-BR"/>
        </w:rPr>
        <w:t>Qua so sánh đồ án QH 2011 đã được phê duyệt cho thấy các chỉ số dự báo đưa ra quá lớn (≈ gấp 2 lần) → hiệu quả về sử dụng đất thấp</w:t>
      </w:r>
      <w:r w:rsidR="003F085B" w:rsidRPr="008E63BB">
        <w:rPr>
          <w:lang w:val="pt-BR"/>
        </w:rPr>
        <w:t>.</w:t>
      </w:r>
    </w:p>
    <w:p w14:paraId="519B2D44" w14:textId="77777777" w:rsidR="00834762" w:rsidRPr="008E63BB" w:rsidRDefault="001A7F62" w:rsidP="0065184D">
      <w:pPr>
        <w:pStyle w:val="Heading2"/>
        <w:spacing w:before="60" w:after="0" w:line="26" w:lineRule="atLeast"/>
        <w:rPr>
          <w:lang w:val="pt-BR"/>
        </w:rPr>
      </w:pPr>
      <w:bookmarkStart w:id="308" w:name="_Toc14778255"/>
      <w:bookmarkStart w:id="309" w:name="_Toc47524679"/>
      <w:r w:rsidRPr="008E63BB">
        <w:rPr>
          <w:lang w:val="pt-BR"/>
        </w:rPr>
        <w:t>3.4</w:t>
      </w:r>
      <w:r w:rsidR="00834762" w:rsidRPr="008E63BB">
        <w:rPr>
          <w:lang w:val="pt-BR"/>
        </w:rPr>
        <w:t xml:space="preserve">. Rà soát đánh giá theo tiêu chuẩn đô thị loại </w:t>
      </w:r>
      <w:bookmarkEnd w:id="308"/>
      <w:r w:rsidR="00834762" w:rsidRPr="008E63BB">
        <w:rPr>
          <w:lang w:val="pt-BR"/>
        </w:rPr>
        <w:t xml:space="preserve"> I</w:t>
      </w:r>
      <w:bookmarkEnd w:id="309"/>
    </w:p>
    <w:tbl>
      <w:tblPr>
        <w:tblW w:w="9152" w:type="dxa"/>
        <w:tblInd w:w="113" w:type="dxa"/>
        <w:tblLook w:val="04A0" w:firstRow="1" w:lastRow="0" w:firstColumn="1" w:lastColumn="0" w:noHBand="0" w:noVBand="1"/>
      </w:tblPr>
      <w:tblGrid>
        <w:gridCol w:w="801"/>
        <w:gridCol w:w="2738"/>
        <w:gridCol w:w="1833"/>
        <w:gridCol w:w="1170"/>
        <w:gridCol w:w="1890"/>
        <w:gridCol w:w="720"/>
      </w:tblGrid>
      <w:tr w:rsidR="001A7F62" w:rsidRPr="008E63BB" w14:paraId="519B2D4A" w14:textId="77777777" w:rsidTr="00F8156E">
        <w:trPr>
          <w:trHeight w:val="255"/>
          <w:tblHeader/>
        </w:trPr>
        <w:tc>
          <w:tcPr>
            <w:tcW w:w="80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2D45"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TT</w:t>
            </w:r>
          </w:p>
        </w:tc>
        <w:tc>
          <w:tcPr>
            <w:tcW w:w="273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2D46"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Chỉ tiêu</w:t>
            </w:r>
          </w:p>
        </w:tc>
        <w:tc>
          <w:tcPr>
            <w:tcW w:w="183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2D4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Đô Thị Loại I trực thuộc Trung ương</w:t>
            </w:r>
          </w:p>
        </w:tc>
        <w:tc>
          <w:tcPr>
            <w:tcW w:w="117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2D48"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Thang điểm</w:t>
            </w:r>
          </w:p>
        </w:tc>
        <w:tc>
          <w:tcPr>
            <w:tcW w:w="2610" w:type="dxa"/>
            <w:gridSpan w:val="2"/>
            <w:tcBorders>
              <w:top w:val="single" w:sz="4" w:space="0" w:color="auto"/>
              <w:left w:val="nil"/>
              <w:bottom w:val="single" w:sz="4" w:space="0" w:color="auto"/>
              <w:right w:val="single" w:sz="4" w:space="0" w:color="000000"/>
            </w:tcBorders>
            <w:shd w:val="clear" w:color="auto" w:fill="auto"/>
            <w:vAlign w:val="center"/>
            <w:hideMark/>
          </w:tcPr>
          <w:p w14:paraId="519B2D49"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TP Nam Định</w:t>
            </w:r>
          </w:p>
        </w:tc>
      </w:tr>
      <w:tr w:rsidR="001A7F62" w:rsidRPr="008E63BB" w14:paraId="519B2D51" w14:textId="77777777" w:rsidTr="00F8156E">
        <w:trPr>
          <w:trHeight w:val="255"/>
          <w:tblHeader/>
        </w:trPr>
        <w:tc>
          <w:tcPr>
            <w:tcW w:w="801" w:type="dxa"/>
            <w:vMerge/>
            <w:tcBorders>
              <w:top w:val="single" w:sz="4" w:space="0" w:color="auto"/>
              <w:left w:val="single" w:sz="4" w:space="0" w:color="auto"/>
              <w:bottom w:val="single" w:sz="4" w:space="0" w:color="000000"/>
              <w:right w:val="single" w:sz="4" w:space="0" w:color="auto"/>
            </w:tcBorders>
            <w:vAlign w:val="center"/>
            <w:hideMark/>
          </w:tcPr>
          <w:p w14:paraId="519B2D4B" w14:textId="77777777" w:rsidR="001A7F62" w:rsidRPr="008E63BB" w:rsidRDefault="001A7F62" w:rsidP="00C90BF8">
            <w:pPr>
              <w:jc w:val="left"/>
              <w:rPr>
                <w:rFonts w:eastAsia="Times New Roman"/>
                <w:b/>
                <w:bCs/>
                <w:sz w:val="20"/>
                <w:szCs w:val="20"/>
              </w:rPr>
            </w:pPr>
          </w:p>
        </w:tc>
        <w:tc>
          <w:tcPr>
            <w:tcW w:w="2738" w:type="dxa"/>
            <w:vMerge/>
            <w:tcBorders>
              <w:top w:val="single" w:sz="4" w:space="0" w:color="auto"/>
              <w:left w:val="single" w:sz="4" w:space="0" w:color="auto"/>
              <w:bottom w:val="single" w:sz="4" w:space="0" w:color="000000"/>
              <w:right w:val="single" w:sz="4" w:space="0" w:color="auto"/>
            </w:tcBorders>
            <w:vAlign w:val="center"/>
            <w:hideMark/>
          </w:tcPr>
          <w:p w14:paraId="519B2D4C" w14:textId="77777777" w:rsidR="001A7F62" w:rsidRPr="008E63BB" w:rsidRDefault="001A7F62" w:rsidP="00C90BF8">
            <w:pPr>
              <w:jc w:val="left"/>
              <w:rPr>
                <w:rFonts w:eastAsia="Times New Roman"/>
                <w:b/>
                <w:bCs/>
                <w:sz w:val="20"/>
                <w:szCs w:val="20"/>
              </w:rPr>
            </w:pPr>
          </w:p>
        </w:tc>
        <w:tc>
          <w:tcPr>
            <w:tcW w:w="1833" w:type="dxa"/>
            <w:vMerge/>
            <w:tcBorders>
              <w:top w:val="single" w:sz="4" w:space="0" w:color="auto"/>
              <w:left w:val="single" w:sz="4" w:space="0" w:color="auto"/>
              <w:bottom w:val="single" w:sz="4" w:space="0" w:color="000000"/>
              <w:right w:val="single" w:sz="4" w:space="0" w:color="auto"/>
            </w:tcBorders>
            <w:vAlign w:val="center"/>
            <w:hideMark/>
          </w:tcPr>
          <w:p w14:paraId="519B2D4D" w14:textId="77777777" w:rsidR="001A7F62" w:rsidRPr="008E63BB" w:rsidRDefault="001A7F62" w:rsidP="00C90BF8">
            <w:pPr>
              <w:jc w:val="left"/>
              <w:rPr>
                <w:rFonts w:eastAsia="Times New Roman"/>
                <w:b/>
                <w:bCs/>
                <w:sz w:val="20"/>
                <w:szCs w:val="20"/>
              </w:rPr>
            </w:pPr>
          </w:p>
        </w:tc>
        <w:tc>
          <w:tcPr>
            <w:tcW w:w="1170" w:type="dxa"/>
            <w:vMerge/>
            <w:tcBorders>
              <w:top w:val="single" w:sz="4" w:space="0" w:color="auto"/>
              <w:left w:val="single" w:sz="4" w:space="0" w:color="auto"/>
              <w:bottom w:val="single" w:sz="4" w:space="0" w:color="000000"/>
              <w:right w:val="single" w:sz="4" w:space="0" w:color="auto"/>
            </w:tcBorders>
            <w:vAlign w:val="center"/>
            <w:hideMark/>
          </w:tcPr>
          <w:p w14:paraId="519B2D4E" w14:textId="77777777" w:rsidR="001A7F62" w:rsidRPr="008E63BB" w:rsidRDefault="001A7F62" w:rsidP="00C90BF8">
            <w:pPr>
              <w:jc w:val="left"/>
              <w:rPr>
                <w:rFonts w:eastAsia="Times New Roman"/>
                <w:b/>
                <w:bCs/>
                <w:sz w:val="20"/>
                <w:szCs w:val="20"/>
              </w:rPr>
            </w:pPr>
          </w:p>
        </w:tc>
        <w:tc>
          <w:tcPr>
            <w:tcW w:w="1890" w:type="dxa"/>
            <w:tcBorders>
              <w:top w:val="nil"/>
              <w:left w:val="nil"/>
              <w:bottom w:val="single" w:sz="4" w:space="0" w:color="auto"/>
              <w:right w:val="single" w:sz="4" w:space="0" w:color="auto"/>
            </w:tcBorders>
            <w:shd w:val="clear" w:color="auto" w:fill="auto"/>
            <w:noWrap/>
            <w:vAlign w:val="center"/>
            <w:hideMark/>
          </w:tcPr>
          <w:p w14:paraId="519B2D4F"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xml:space="preserve">Đạt </w:t>
            </w:r>
          </w:p>
        </w:tc>
        <w:tc>
          <w:tcPr>
            <w:tcW w:w="720" w:type="dxa"/>
            <w:tcBorders>
              <w:top w:val="nil"/>
              <w:left w:val="nil"/>
              <w:bottom w:val="single" w:sz="4" w:space="0" w:color="auto"/>
              <w:right w:val="single" w:sz="4" w:space="0" w:color="auto"/>
            </w:tcBorders>
            <w:shd w:val="clear" w:color="auto" w:fill="auto"/>
            <w:noWrap/>
            <w:vAlign w:val="center"/>
            <w:hideMark/>
          </w:tcPr>
          <w:p w14:paraId="519B2D50"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Điểm</w:t>
            </w:r>
          </w:p>
        </w:tc>
      </w:tr>
      <w:tr w:rsidR="001A7F62" w:rsidRPr="008E63BB" w14:paraId="519B2D58"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52"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D53"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Tổng cộng</w:t>
            </w:r>
          </w:p>
        </w:tc>
        <w:tc>
          <w:tcPr>
            <w:tcW w:w="1833" w:type="dxa"/>
            <w:tcBorders>
              <w:top w:val="nil"/>
              <w:left w:val="nil"/>
              <w:bottom w:val="single" w:sz="4" w:space="0" w:color="auto"/>
              <w:right w:val="single" w:sz="4" w:space="0" w:color="auto"/>
            </w:tcBorders>
            <w:shd w:val="clear" w:color="auto" w:fill="auto"/>
            <w:vAlign w:val="center"/>
            <w:hideMark/>
          </w:tcPr>
          <w:p w14:paraId="519B2D54"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55"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75-100</w:t>
            </w:r>
          </w:p>
        </w:tc>
        <w:tc>
          <w:tcPr>
            <w:tcW w:w="1890" w:type="dxa"/>
            <w:tcBorders>
              <w:top w:val="nil"/>
              <w:left w:val="nil"/>
              <w:bottom w:val="single" w:sz="4" w:space="0" w:color="auto"/>
              <w:right w:val="single" w:sz="4" w:space="0" w:color="auto"/>
            </w:tcBorders>
            <w:shd w:val="clear" w:color="auto" w:fill="auto"/>
            <w:noWrap/>
            <w:vAlign w:val="center"/>
            <w:hideMark/>
          </w:tcPr>
          <w:p w14:paraId="519B2D56"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5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78,14</w:t>
            </w:r>
          </w:p>
        </w:tc>
      </w:tr>
      <w:tr w:rsidR="001A7F62" w:rsidRPr="008E63BB" w14:paraId="519B2D5F"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59"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I</w:t>
            </w:r>
          </w:p>
        </w:tc>
        <w:tc>
          <w:tcPr>
            <w:tcW w:w="2738" w:type="dxa"/>
            <w:tcBorders>
              <w:top w:val="nil"/>
              <w:left w:val="nil"/>
              <w:bottom w:val="single" w:sz="4" w:space="0" w:color="auto"/>
              <w:right w:val="single" w:sz="4" w:space="0" w:color="auto"/>
            </w:tcBorders>
            <w:shd w:val="clear" w:color="auto" w:fill="auto"/>
            <w:noWrap/>
            <w:vAlign w:val="center"/>
            <w:hideMark/>
          </w:tcPr>
          <w:p w14:paraId="519B2D5A"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CHỨC NĂNG ĐÔ THỊ</w:t>
            </w:r>
          </w:p>
        </w:tc>
        <w:tc>
          <w:tcPr>
            <w:tcW w:w="1833" w:type="dxa"/>
            <w:tcBorders>
              <w:top w:val="nil"/>
              <w:left w:val="nil"/>
              <w:bottom w:val="single" w:sz="4" w:space="0" w:color="auto"/>
              <w:right w:val="single" w:sz="4" w:space="0" w:color="auto"/>
            </w:tcBorders>
            <w:shd w:val="clear" w:color="auto" w:fill="auto"/>
            <w:noWrap/>
            <w:vAlign w:val="center"/>
            <w:hideMark/>
          </w:tcPr>
          <w:p w14:paraId="519B2D5B"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noWrap/>
            <w:vAlign w:val="center"/>
            <w:hideMark/>
          </w:tcPr>
          <w:p w14:paraId="519B2D5C"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15-20</w:t>
            </w:r>
          </w:p>
        </w:tc>
        <w:tc>
          <w:tcPr>
            <w:tcW w:w="1890" w:type="dxa"/>
            <w:tcBorders>
              <w:top w:val="nil"/>
              <w:left w:val="nil"/>
              <w:bottom w:val="single" w:sz="4" w:space="0" w:color="auto"/>
              <w:right w:val="single" w:sz="4" w:space="0" w:color="auto"/>
            </w:tcBorders>
            <w:shd w:val="clear" w:color="auto" w:fill="auto"/>
            <w:noWrap/>
            <w:vAlign w:val="center"/>
            <w:hideMark/>
          </w:tcPr>
          <w:p w14:paraId="519B2D5D"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5E"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15,50</w:t>
            </w:r>
          </w:p>
        </w:tc>
      </w:tr>
      <w:tr w:rsidR="001A7F62" w:rsidRPr="008E63BB" w14:paraId="519B2D66"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60"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1</w:t>
            </w:r>
          </w:p>
        </w:tc>
        <w:tc>
          <w:tcPr>
            <w:tcW w:w="2738" w:type="dxa"/>
            <w:tcBorders>
              <w:top w:val="nil"/>
              <w:left w:val="nil"/>
              <w:bottom w:val="single" w:sz="4" w:space="0" w:color="auto"/>
              <w:right w:val="single" w:sz="4" w:space="0" w:color="auto"/>
            </w:tcBorders>
            <w:shd w:val="clear" w:color="auto" w:fill="auto"/>
            <w:vAlign w:val="center"/>
            <w:hideMark/>
          </w:tcPr>
          <w:p w14:paraId="519B2D61"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Chỉ tiêu về vị trí và tính chất đô thị</w:t>
            </w:r>
          </w:p>
        </w:tc>
        <w:tc>
          <w:tcPr>
            <w:tcW w:w="1833" w:type="dxa"/>
            <w:tcBorders>
              <w:top w:val="nil"/>
              <w:left w:val="nil"/>
              <w:bottom w:val="single" w:sz="4" w:space="0" w:color="auto"/>
              <w:right w:val="single" w:sz="4" w:space="0" w:color="auto"/>
            </w:tcBorders>
            <w:shd w:val="clear" w:color="auto" w:fill="auto"/>
            <w:vAlign w:val="center"/>
            <w:hideMark/>
          </w:tcPr>
          <w:p w14:paraId="519B2D62"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63"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3,75-5,0</w:t>
            </w:r>
          </w:p>
        </w:tc>
        <w:tc>
          <w:tcPr>
            <w:tcW w:w="1890" w:type="dxa"/>
            <w:tcBorders>
              <w:top w:val="nil"/>
              <w:left w:val="nil"/>
              <w:bottom w:val="single" w:sz="4" w:space="0" w:color="auto"/>
              <w:right w:val="single" w:sz="4" w:space="0" w:color="auto"/>
            </w:tcBorders>
            <w:shd w:val="clear" w:color="auto" w:fill="auto"/>
            <w:noWrap/>
            <w:vAlign w:val="center"/>
            <w:hideMark/>
          </w:tcPr>
          <w:p w14:paraId="519B2D64"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65"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3,75</w:t>
            </w:r>
          </w:p>
        </w:tc>
      </w:tr>
      <w:tr w:rsidR="001A7F62" w:rsidRPr="008E63BB" w14:paraId="519B2D6D" w14:textId="77777777" w:rsidTr="00C90BF8">
        <w:trPr>
          <w:trHeight w:val="2295"/>
        </w:trPr>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2D6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2738" w:type="dxa"/>
            <w:tcBorders>
              <w:top w:val="single" w:sz="4" w:space="0" w:color="auto"/>
              <w:left w:val="nil"/>
              <w:bottom w:val="single" w:sz="4" w:space="0" w:color="auto"/>
              <w:right w:val="single" w:sz="4" w:space="0" w:color="auto"/>
            </w:tcBorders>
            <w:shd w:val="clear" w:color="auto" w:fill="auto"/>
            <w:vAlign w:val="center"/>
            <w:hideMark/>
          </w:tcPr>
          <w:p w14:paraId="519B2D68" w14:textId="77777777" w:rsidR="001A7F62" w:rsidRPr="008E63BB" w:rsidRDefault="001A7F62" w:rsidP="00C90BF8">
            <w:pPr>
              <w:jc w:val="left"/>
              <w:rPr>
                <w:rFonts w:eastAsia="Times New Roman"/>
                <w:sz w:val="20"/>
                <w:szCs w:val="20"/>
              </w:rPr>
            </w:pPr>
            <w:r w:rsidRPr="008E63BB">
              <w:rPr>
                <w:rFonts w:eastAsia="Times New Roman"/>
                <w:sz w:val="20"/>
                <w:szCs w:val="20"/>
              </w:rPr>
              <w:t>Là trung tâm tổng hợp cấp quốc gia  về kinh tế, tài chính, văn hóa, giáo dục, đào tạo, y tế, du lịch, khoa học và công nghệ, đầu mối giao thông, giao lưu trong nước và quốc tế, có vai trò thúc đẩy sự phát triển kinh tế - xã hội của một vùng liên tỉnh hoặc cả nước.</w:t>
            </w:r>
          </w:p>
        </w:tc>
        <w:tc>
          <w:tcPr>
            <w:tcW w:w="1833" w:type="dxa"/>
            <w:tcBorders>
              <w:top w:val="single" w:sz="4" w:space="0" w:color="auto"/>
              <w:left w:val="nil"/>
              <w:bottom w:val="single" w:sz="4" w:space="0" w:color="auto"/>
              <w:right w:val="single" w:sz="4" w:space="0" w:color="auto"/>
            </w:tcBorders>
            <w:shd w:val="clear" w:color="auto" w:fill="auto"/>
            <w:vAlign w:val="center"/>
            <w:hideMark/>
          </w:tcPr>
          <w:p w14:paraId="519B2D69" w14:textId="77777777" w:rsidR="001A7F62" w:rsidRPr="008E63BB" w:rsidRDefault="001A7F62" w:rsidP="00C90BF8">
            <w:pPr>
              <w:jc w:val="left"/>
              <w:rPr>
                <w:rFonts w:eastAsia="Times New Roman"/>
                <w:sz w:val="20"/>
                <w:szCs w:val="20"/>
              </w:rPr>
            </w:pPr>
            <w:r w:rsidRPr="008E63BB">
              <w:rPr>
                <w:rFonts w:eastAsia="Times New Roman"/>
                <w:sz w:val="20"/>
                <w:szCs w:val="20"/>
              </w:rPr>
              <w:t> </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14:paraId="519B2D6A" w14:textId="77777777" w:rsidR="001A7F62" w:rsidRPr="008E63BB" w:rsidRDefault="001A7F62" w:rsidP="00C90BF8">
            <w:pPr>
              <w:jc w:val="right"/>
              <w:rPr>
                <w:rFonts w:eastAsia="Times New Roman"/>
                <w:sz w:val="20"/>
                <w:szCs w:val="20"/>
              </w:rPr>
            </w:pPr>
            <w:r w:rsidRPr="008E63BB">
              <w:rPr>
                <w:rFonts w:eastAsia="Times New Roman"/>
                <w:sz w:val="20"/>
                <w:szCs w:val="20"/>
              </w:rPr>
              <w:t>5,00</w:t>
            </w: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D6B" w14:textId="77777777" w:rsidR="001A7F62" w:rsidRPr="008E63BB" w:rsidRDefault="001A7F62" w:rsidP="00C90BF8">
            <w:pPr>
              <w:jc w:val="center"/>
              <w:rPr>
                <w:rFonts w:eastAsia="Times New Roman"/>
                <w:sz w:val="20"/>
                <w:szCs w:val="20"/>
              </w:rPr>
            </w:pPr>
            <w:r w:rsidRPr="008E63BB">
              <w:rPr>
                <w:rFonts w:eastAsia="Times New Roman"/>
                <w:sz w:val="20"/>
                <w:szCs w:val="20"/>
              </w:rPr>
              <w:t>Là trung tâm tổng hợp cấp vùng</w:t>
            </w:r>
          </w:p>
        </w:tc>
        <w:tc>
          <w:tcPr>
            <w:tcW w:w="72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D6C" w14:textId="77777777" w:rsidR="001A7F62" w:rsidRPr="008E63BB" w:rsidRDefault="001A7F62" w:rsidP="00C90BF8">
            <w:pPr>
              <w:jc w:val="center"/>
              <w:rPr>
                <w:rFonts w:eastAsia="Times New Roman"/>
                <w:sz w:val="20"/>
                <w:szCs w:val="20"/>
              </w:rPr>
            </w:pPr>
            <w:r w:rsidRPr="008E63BB">
              <w:rPr>
                <w:rFonts w:eastAsia="Times New Roman"/>
                <w:sz w:val="20"/>
                <w:szCs w:val="20"/>
              </w:rPr>
              <w:t>3,75</w:t>
            </w:r>
          </w:p>
        </w:tc>
      </w:tr>
      <w:tr w:rsidR="001A7F62" w:rsidRPr="008E63BB" w14:paraId="519B2D74" w14:textId="77777777" w:rsidTr="00C90BF8">
        <w:trPr>
          <w:trHeight w:val="210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D6E" w14:textId="77777777" w:rsidR="001A7F62" w:rsidRPr="008E63BB" w:rsidRDefault="001A7F62" w:rsidP="00C90BF8">
            <w:pPr>
              <w:jc w:val="left"/>
              <w:rPr>
                <w:rFonts w:eastAsia="Times New Roman"/>
                <w:sz w:val="20"/>
                <w:szCs w:val="20"/>
              </w:rPr>
            </w:pPr>
            <w:r w:rsidRPr="008E63BB">
              <w:rPr>
                <w:rFonts w:eastAsia="Times New Roman"/>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D6F" w14:textId="77777777" w:rsidR="001A7F62" w:rsidRPr="008E63BB" w:rsidRDefault="001A7F62" w:rsidP="00C90BF8">
            <w:pPr>
              <w:jc w:val="left"/>
              <w:rPr>
                <w:rFonts w:eastAsia="Times New Roman"/>
                <w:sz w:val="20"/>
                <w:szCs w:val="20"/>
              </w:rPr>
            </w:pPr>
            <w:r w:rsidRPr="008E63BB">
              <w:rPr>
                <w:rFonts w:eastAsia="Times New Roman"/>
                <w:sz w:val="20"/>
                <w:szCs w:val="20"/>
              </w:rPr>
              <w:t>Là trung tâm tổng hợp cấp vùng hoặc cấp tỉnh về kinh tế, tài chính, văn hóa, giáo dục, đào tạo, y tế, du lịch, khoa học và công nghệ, đầu mối giao thông, giao lưu trong nước và quốc tế, có vai trò thúc đẩy sự phát triển kinh tế-xã hội của một vùng liên tỉnh.</w:t>
            </w:r>
          </w:p>
        </w:tc>
        <w:tc>
          <w:tcPr>
            <w:tcW w:w="1833" w:type="dxa"/>
            <w:tcBorders>
              <w:top w:val="nil"/>
              <w:left w:val="nil"/>
              <w:bottom w:val="single" w:sz="4" w:space="0" w:color="auto"/>
              <w:right w:val="single" w:sz="4" w:space="0" w:color="auto"/>
            </w:tcBorders>
            <w:shd w:val="clear" w:color="auto" w:fill="auto"/>
            <w:vAlign w:val="center"/>
            <w:hideMark/>
          </w:tcPr>
          <w:p w14:paraId="519B2D70" w14:textId="77777777" w:rsidR="001A7F62" w:rsidRPr="008E63BB" w:rsidRDefault="001A7F62" w:rsidP="00C90BF8">
            <w:pPr>
              <w:jc w:val="left"/>
              <w:rPr>
                <w:rFonts w:eastAsia="Times New Roman"/>
                <w:sz w:val="20"/>
                <w:szCs w:val="20"/>
              </w:rPr>
            </w:pPr>
            <w:r w:rsidRPr="008E63BB">
              <w:rPr>
                <w:rFonts w:eastAsia="Times New Roman"/>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71" w14:textId="77777777" w:rsidR="001A7F62" w:rsidRPr="008E63BB" w:rsidRDefault="001A7F62" w:rsidP="00C90BF8">
            <w:pPr>
              <w:jc w:val="right"/>
              <w:rPr>
                <w:rFonts w:eastAsia="Times New Roman"/>
                <w:sz w:val="20"/>
                <w:szCs w:val="20"/>
              </w:rPr>
            </w:pPr>
            <w:r w:rsidRPr="008E63BB">
              <w:rPr>
                <w:rFonts w:eastAsia="Times New Roman"/>
                <w:sz w:val="20"/>
                <w:szCs w:val="20"/>
              </w:rPr>
              <w:t>3,75</w:t>
            </w:r>
          </w:p>
        </w:tc>
        <w:tc>
          <w:tcPr>
            <w:tcW w:w="1890" w:type="dxa"/>
            <w:vMerge/>
            <w:tcBorders>
              <w:top w:val="nil"/>
              <w:left w:val="single" w:sz="4" w:space="0" w:color="auto"/>
              <w:bottom w:val="single" w:sz="4" w:space="0" w:color="000000"/>
              <w:right w:val="single" w:sz="4" w:space="0" w:color="auto"/>
            </w:tcBorders>
            <w:vAlign w:val="center"/>
            <w:hideMark/>
          </w:tcPr>
          <w:p w14:paraId="519B2D72" w14:textId="77777777" w:rsidR="001A7F62" w:rsidRPr="008E63BB" w:rsidRDefault="001A7F62" w:rsidP="00C90BF8">
            <w:pPr>
              <w:jc w:val="left"/>
              <w:rPr>
                <w:rFonts w:eastAsia="Times New Roman"/>
                <w:sz w:val="20"/>
                <w:szCs w:val="20"/>
              </w:rPr>
            </w:pPr>
          </w:p>
        </w:tc>
        <w:tc>
          <w:tcPr>
            <w:tcW w:w="720" w:type="dxa"/>
            <w:vMerge/>
            <w:tcBorders>
              <w:top w:val="nil"/>
              <w:left w:val="single" w:sz="4" w:space="0" w:color="auto"/>
              <w:bottom w:val="single" w:sz="4" w:space="0" w:color="000000"/>
              <w:right w:val="single" w:sz="4" w:space="0" w:color="auto"/>
            </w:tcBorders>
            <w:vAlign w:val="center"/>
            <w:hideMark/>
          </w:tcPr>
          <w:p w14:paraId="519B2D73" w14:textId="77777777" w:rsidR="001A7F62" w:rsidRPr="008E63BB" w:rsidRDefault="001A7F62" w:rsidP="00C90BF8">
            <w:pPr>
              <w:jc w:val="left"/>
              <w:rPr>
                <w:rFonts w:eastAsia="Times New Roman"/>
                <w:sz w:val="20"/>
                <w:szCs w:val="20"/>
              </w:rPr>
            </w:pPr>
          </w:p>
        </w:tc>
      </w:tr>
      <w:tr w:rsidR="001A7F62" w:rsidRPr="008E63BB" w14:paraId="519B2D7B"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D75"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1.2</w:t>
            </w:r>
          </w:p>
        </w:tc>
        <w:tc>
          <w:tcPr>
            <w:tcW w:w="2738" w:type="dxa"/>
            <w:tcBorders>
              <w:top w:val="nil"/>
              <w:left w:val="nil"/>
              <w:bottom w:val="single" w:sz="4" w:space="0" w:color="auto"/>
              <w:right w:val="single" w:sz="4" w:space="0" w:color="auto"/>
            </w:tcBorders>
            <w:shd w:val="clear" w:color="auto" w:fill="auto"/>
            <w:vAlign w:val="center"/>
            <w:hideMark/>
          </w:tcPr>
          <w:p w14:paraId="519B2D76"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Cơ cấu và trình độ phát triển kinh tế - xã hội</w:t>
            </w:r>
          </w:p>
        </w:tc>
        <w:tc>
          <w:tcPr>
            <w:tcW w:w="1833" w:type="dxa"/>
            <w:tcBorders>
              <w:top w:val="nil"/>
              <w:left w:val="nil"/>
              <w:bottom w:val="single" w:sz="4" w:space="0" w:color="auto"/>
              <w:right w:val="single" w:sz="4" w:space="0" w:color="auto"/>
            </w:tcBorders>
            <w:shd w:val="clear" w:color="auto" w:fill="auto"/>
            <w:vAlign w:val="center"/>
            <w:hideMark/>
          </w:tcPr>
          <w:p w14:paraId="519B2D7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78"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11,25 - 15</w:t>
            </w:r>
          </w:p>
        </w:tc>
        <w:tc>
          <w:tcPr>
            <w:tcW w:w="1890" w:type="dxa"/>
            <w:tcBorders>
              <w:top w:val="nil"/>
              <w:left w:val="nil"/>
              <w:bottom w:val="single" w:sz="4" w:space="0" w:color="auto"/>
              <w:right w:val="single" w:sz="4" w:space="0" w:color="auto"/>
            </w:tcBorders>
            <w:shd w:val="clear" w:color="auto" w:fill="auto"/>
            <w:noWrap/>
            <w:vAlign w:val="center"/>
            <w:hideMark/>
          </w:tcPr>
          <w:p w14:paraId="519B2D79"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7A"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11,75</w:t>
            </w:r>
          </w:p>
        </w:tc>
      </w:tr>
      <w:tr w:rsidR="001A7F62" w:rsidRPr="008E63BB" w14:paraId="519B2D82" w14:textId="77777777" w:rsidTr="00C90BF8">
        <w:trPr>
          <w:trHeight w:val="255"/>
        </w:trPr>
        <w:tc>
          <w:tcPr>
            <w:tcW w:w="8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D7C" w14:textId="77777777" w:rsidR="001A7F62" w:rsidRPr="008E63BB" w:rsidRDefault="001A7F62" w:rsidP="00C90BF8">
            <w:pPr>
              <w:jc w:val="center"/>
              <w:rPr>
                <w:rFonts w:eastAsia="Times New Roman"/>
                <w:sz w:val="20"/>
                <w:szCs w:val="20"/>
              </w:rPr>
            </w:pPr>
            <w:r w:rsidRPr="008E63BB">
              <w:rPr>
                <w:rFonts w:eastAsia="Times New Roman"/>
                <w:sz w:val="20"/>
                <w:szCs w:val="20"/>
              </w:rPr>
              <w:t xml:space="preserve"> -</w:t>
            </w:r>
          </w:p>
        </w:tc>
        <w:tc>
          <w:tcPr>
            <w:tcW w:w="2738" w:type="dxa"/>
            <w:vMerge w:val="restart"/>
            <w:tcBorders>
              <w:top w:val="nil"/>
              <w:left w:val="single" w:sz="4" w:space="0" w:color="auto"/>
              <w:bottom w:val="single" w:sz="4" w:space="0" w:color="auto"/>
              <w:right w:val="single" w:sz="4" w:space="0" w:color="auto"/>
            </w:tcBorders>
            <w:shd w:val="clear" w:color="auto" w:fill="auto"/>
            <w:vAlign w:val="center"/>
            <w:hideMark/>
          </w:tcPr>
          <w:p w14:paraId="519B2D7D" w14:textId="77777777" w:rsidR="001A7F62" w:rsidRPr="008E63BB" w:rsidRDefault="001A7F62" w:rsidP="00C90BF8">
            <w:pPr>
              <w:jc w:val="left"/>
              <w:rPr>
                <w:rFonts w:eastAsia="Times New Roman"/>
                <w:sz w:val="20"/>
                <w:szCs w:val="20"/>
              </w:rPr>
            </w:pPr>
            <w:r w:rsidRPr="008E63BB">
              <w:rPr>
                <w:rFonts w:eastAsia="Times New Roman"/>
                <w:sz w:val="20"/>
                <w:szCs w:val="20"/>
              </w:rPr>
              <w:t>Cân đối thu chi ngân sách</w:t>
            </w:r>
          </w:p>
        </w:tc>
        <w:tc>
          <w:tcPr>
            <w:tcW w:w="1833" w:type="dxa"/>
            <w:tcBorders>
              <w:top w:val="nil"/>
              <w:left w:val="nil"/>
              <w:bottom w:val="single" w:sz="4" w:space="0" w:color="auto"/>
              <w:right w:val="single" w:sz="4" w:space="0" w:color="auto"/>
            </w:tcBorders>
            <w:shd w:val="clear" w:color="auto" w:fill="auto"/>
            <w:vAlign w:val="center"/>
            <w:hideMark/>
          </w:tcPr>
          <w:p w14:paraId="519B2D7E" w14:textId="77777777" w:rsidR="001A7F62" w:rsidRPr="008E63BB" w:rsidRDefault="001A7F62" w:rsidP="00C90BF8">
            <w:pPr>
              <w:jc w:val="center"/>
              <w:rPr>
                <w:rFonts w:eastAsia="Times New Roman"/>
                <w:sz w:val="20"/>
                <w:szCs w:val="20"/>
              </w:rPr>
            </w:pPr>
            <w:r w:rsidRPr="008E63BB">
              <w:rPr>
                <w:rFonts w:eastAsia="Times New Roman"/>
                <w:sz w:val="20"/>
                <w:szCs w:val="20"/>
              </w:rPr>
              <w:t>cân đối dư</w:t>
            </w:r>
          </w:p>
        </w:tc>
        <w:tc>
          <w:tcPr>
            <w:tcW w:w="1170" w:type="dxa"/>
            <w:tcBorders>
              <w:top w:val="nil"/>
              <w:left w:val="nil"/>
              <w:bottom w:val="single" w:sz="4" w:space="0" w:color="auto"/>
              <w:right w:val="single" w:sz="4" w:space="0" w:color="auto"/>
            </w:tcBorders>
            <w:shd w:val="clear" w:color="auto" w:fill="auto"/>
            <w:vAlign w:val="center"/>
            <w:hideMark/>
          </w:tcPr>
          <w:p w14:paraId="519B2D7F" w14:textId="77777777" w:rsidR="001A7F62" w:rsidRPr="008E63BB" w:rsidRDefault="001A7F62" w:rsidP="00C90BF8">
            <w:pPr>
              <w:jc w:val="center"/>
              <w:rPr>
                <w:rFonts w:eastAsia="Times New Roman"/>
                <w:sz w:val="20"/>
                <w:szCs w:val="20"/>
              </w:rPr>
            </w:pPr>
            <w:r w:rsidRPr="008E63BB">
              <w:rPr>
                <w:rFonts w:eastAsia="Times New Roman"/>
                <w:sz w:val="20"/>
                <w:szCs w:val="20"/>
              </w:rPr>
              <w:t>2,0</w:t>
            </w:r>
          </w:p>
        </w:tc>
        <w:tc>
          <w:tcPr>
            <w:tcW w:w="18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D80" w14:textId="77777777" w:rsidR="001A7F62" w:rsidRPr="008E63BB" w:rsidRDefault="001A7F62" w:rsidP="00C90BF8">
            <w:pPr>
              <w:jc w:val="center"/>
              <w:rPr>
                <w:rFonts w:eastAsia="Times New Roman"/>
                <w:sz w:val="20"/>
                <w:szCs w:val="20"/>
              </w:rPr>
            </w:pPr>
            <w:r w:rsidRPr="008E63BB">
              <w:rPr>
                <w:rFonts w:eastAsia="Times New Roman"/>
                <w:sz w:val="20"/>
                <w:szCs w:val="20"/>
              </w:rPr>
              <w:t>cân đối dư</w:t>
            </w:r>
          </w:p>
        </w:tc>
        <w:tc>
          <w:tcPr>
            <w:tcW w:w="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D81"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D89" w14:textId="77777777" w:rsidTr="00C90BF8">
        <w:trPr>
          <w:trHeight w:val="255"/>
        </w:trPr>
        <w:tc>
          <w:tcPr>
            <w:tcW w:w="801" w:type="dxa"/>
            <w:vMerge/>
            <w:tcBorders>
              <w:top w:val="nil"/>
              <w:left w:val="single" w:sz="4" w:space="0" w:color="auto"/>
              <w:bottom w:val="single" w:sz="4" w:space="0" w:color="auto"/>
              <w:right w:val="single" w:sz="4" w:space="0" w:color="auto"/>
            </w:tcBorders>
            <w:vAlign w:val="center"/>
            <w:hideMark/>
          </w:tcPr>
          <w:p w14:paraId="519B2D83" w14:textId="77777777" w:rsidR="001A7F62" w:rsidRPr="008E63BB" w:rsidRDefault="001A7F62" w:rsidP="00C90BF8">
            <w:pPr>
              <w:jc w:val="left"/>
              <w:rPr>
                <w:rFonts w:eastAsia="Times New Roman"/>
                <w:sz w:val="20"/>
                <w:szCs w:val="20"/>
              </w:rPr>
            </w:pPr>
          </w:p>
        </w:tc>
        <w:tc>
          <w:tcPr>
            <w:tcW w:w="2738" w:type="dxa"/>
            <w:vMerge/>
            <w:tcBorders>
              <w:top w:val="nil"/>
              <w:left w:val="single" w:sz="4" w:space="0" w:color="auto"/>
              <w:bottom w:val="single" w:sz="4" w:space="0" w:color="auto"/>
              <w:right w:val="single" w:sz="4" w:space="0" w:color="auto"/>
            </w:tcBorders>
            <w:vAlign w:val="center"/>
            <w:hideMark/>
          </w:tcPr>
          <w:p w14:paraId="519B2D84" w14:textId="77777777" w:rsidR="001A7F62" w:rsidRPr="008E63BB" w:rsidRDefault="001A7F62" w:rsidP="00C90BF8">
            <w:pPr>
              <w:jc w:val="left"/>
              <w:rPr>
                <w:rFonts w:eastAsia="Times New Roman"/>
                <w:sz w:val="20"/>
                <w:szCs w:val="20"/>
              </w:rPr>
            </w:pPr>
          </w:p>
        </w:tc>
        <w:tc>
          <w:tcPr>
            <w:tcW w:w="1833" w:type="dxa"/>
            <w:tcBorders>
              <w:top w:val="nil"/>
              <w:left w:val="nil"/>
              <w:bottom w:val="single" w:sz="4" w:space="0" w:color="auto"/>
              <w:right w:val="single" w:sz="4" w:space="0" w:color="auto"/>
            </w:tcBorders>
            <w:shd w:val="clear" w:color="auto" w:fill="auto"/>
            <w:vAlign w:val="center"/>
            <w:hideMark/>
          </w:tcPr>
          <w:p w14:paraId="519B2D85" w14:textId="77777777" w:rsidR="001A7F62" w:rsidRPr="008E63BB" w:rsidRDefault="001A7F62" w:rsidP="00C90BF8">
            <w:pPr>
              <w:jc w:val="center"/>
              <w:rPr>
                <w:rFonts w:eastAsia="Times New Roman"/>
                <w:sz w:val="20"/>
                <w:szCs w:val="20"/>
              </w:rPr>
            </w:pPr>
            <w:r w:rsidRPr="008E63BB">
              <w:rPr>
                <w:rFonts w:eastAsia="Times New Roman"/>
                <w:sz w:val="20"/>
                <w:szCs w:val="20"/>
              </w:rPr>
              <w:t>cân đối đủ</w:t>
            </w:r>
          </w:p>
        </w:tc>
        <w:tc>
          <w:tcPr>
            <w:tcW w:w="1170" w:type="dxa"/>
            <w:tcBorders>
              <w:top w:val="nil"/>
              <w:left w:val="nil"/>
              <w:bottom w:val="single" w:sz="4" w:space="0" w:color="auto"/>
              <w:right w:val="single" w:sz="4" w:space="0" w:color="auto"/>
            </w:tcBorders>
            <w:shd w:val="clear" w:color="auto" w:fill="auto"/>
            <w:vAlign w:val="center"/>
            <w:hideMark/>
          </w:tcPr>
          <w:p w14:paraId="519B2D86" w14:textId="77777777" w:rsidR="001A7F62" w:rsidRPr="008E63BB" w:rsidRDefault="001A7F62" w:rsidP="00C90BF8">
            <w:pPr>
              <w:jc w:val="center"/>
              <w:rPr>
                <w:rFonts w:eastAsia="Times New Roman"/>
                <w:sz w:val="20"/>
                <w:szCs w:val="20"/>
              </w:rPr>
            </w:pPr>
            <w:r w:rsidRPr="008E63BB">
              <w:rPr>
                <w:rFonts w:eastAsia="Times New Roman"/>
                <w:sz w:val="20"/>
                <w:szCs w:val="20"/>
              </w:rPr>
              <w:t>1,5</w:t>
            </w:r>
          </w:p>
        </w:tc>
        <w:tc>
          <w:tcPr>
            <w:tcW w:w="1890" w:type="dxa"/>
            <w:vMerge/>
            <w:tcBorders>
              <w:top w:val="nil"/>
              <w:left w:val="single" w:sz="4" w:space="0" w:color="auto"/>
              <w:bottom w:val="single" w:sz="4" w:space="0" w:color="auto"/>
              <w:right w:val="single" w:sz="4" w:space="0" w:color="auto"/>
            </w:tcBorders>
            <w:vAlign w:val="center"/>
            <w:hideMark/>
          </w:tcPr>
          <w:p w14:paraId="519B2D87" w14:textId="77777777" w:rsidR="001A7F62" w:rsidRPr="008E63BB" w:rsidRDefault="001A7F62" w:rsidP="00C90BF8">
            <w:pPr>
              <w:jc w:val="left"/>
              <w:rPr>
                <w:rFonts w:eastAsia="Times New Roman"/>
                <w:sz w:val="20"/>
                <w:szCs w:val="20"/>
              </w:rPr>
            </w:pPr>
          </w:p>
        </w:tc>
        <w:tc>
          <w:tcPr>
            <w:tcW w:w="720" w:type="dxa"/>
            <w:vMerge/>
            <w:tcBorders>
              <w:top w:val="nil"/>
              <w:left w:val="single" w:sz="4" w:space="0" w:color="auto"/>
              <w:bottom w:val="single" w:sz="4" w:space="0" w:color="auto"/>
              <w:right w:val="single" w:sz="4" w:space="0" w:color="auto"/>
            </w:tcBorders>
            <w:vAlign w:val="center"/>
            <w:hideMark/>
          </w:tcPr>
          <w:p w14:paraId="519B2D88" w14:textId="77777777" w:rsidR="001A7F62" w:rsidRPr="008E63BB" w:rsidRDefault="001A7F62" w:rsidP="00C90BF8">
            <w:pPr>
              <w:jc w:val="left"/>
              <w:rPr>
                <w:rFonts w:eastAsia="Times New Roman"/>
                <w:sz w:val="20"/>
                <w:szCs w:val="20"/>
              </w:rPr>
            </w:pPr>
          </w:p>
        </w:tc>
      </w:tr>
      <w:tr w:rsidR="001A7F62" w:rsidRPr="008E63BB" w14:paraId="519B2D90"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8A" w14:textId="77777777" w:rsidR="001A7F62" w:rsidRPr="008E63BB" w:rsidRDefault="001A7F62" w:rsidP="00C90BF8">
            <w:pPr>
              <w:jc w:val="center"/>
              <w:rPr>
                <w:rFonts w:eastAsia="Times New Roman"/>
                <w:sz w:val="20"/>
                <w:szCs w:val="20"/>
              </w:rPr>
            </w:pPr>
            <w:r w:rsidRPr="008E63BB">
              <w:rPr>
                <w:rFonts w:eastAsia="Times New Roman"/>
                <w:sz w:val="20"/>
                <w:szCs w:val="20"/>
              </w:rPr>
              <w:t xml:space="preserve"> -</w:t>
            </w:r>
          </w:p>
        </w:tc>
        <w:tc>
          <w:tcPr>
            <w:tcW w:w="2738" w:type="dxa"/>
            <w:tcBorders>
              <w:top w:val="nil"/>
              <w:left w:val="nil"/>
              <w:bottom w:val="single" w:sz="4" w:space="0" w:color="auto"/>
              <w:right w:val="single" w:sz="4" w:space="0" w:color="auto"/>
            </w:tcBorders>
            <w:shd w:val="clear" w:color="auto" w:fill="auto"/>
            <w:vAlign w:val="center"/>
            <w:hideMark/>
          </w:tcPr>
          <w:p w14:paraId="519B2D8B" w14:textId="77777777" w:rsidR="001A7F62" w:rsidRPr="008E63BB" w:rsidRDefault="001A7F62" w:rsidP="00C90BF8">
            <w:pPr>
              <w:jc w:val="left"/>
              <w:rPr>
                <w:rFonts w:eastAsia="Times New Roman"/>
                <w:sz w:val="20"/>
                <w:szCs w:val="20"/>
              </w:rPr>
            </w:pPr>
            <w:r w:rsidRPr="008E63BB">
              <w:rPr>
                <w:rFonts w:eastAsia="Times New Roman"/>
                <w:sz w:val="20"/>
                <w:szCs w:val="20"/>
              </w:rPr>
              <w:t>Thu nhập bình quân đầu người (năm) so với cả nước (lần)</w:t>
            </w:r>
          </w:p>
        </w:tc>
        <w:tc>
          <w:tcPr>
            <w:tcW w:w="1833" w:type="dxa"/>
            <w:tcBorders>
              <w:top w:val="nil"/>
              <w:left w:val="nil"/>
              <w:bottom w:val="single" w:sz="4" w:space="0" w:color="auto"/>
              <w:right w:val="single" w:sz="4" w:space="0" w:color="auto"/>
            </w:tcBorders>
            <w:shd w:val="clear" w:color="auto" w:fill="auto"/>
            <w:vAlign w:val="center"/>
            <w:hideMark/>
          </w:tcPr>
          <w:p w14:paraId="519B2D8C" w14:textId="77777777" w:rsidR="001A7F62" w:rsidRPr="008E63BB" w:rsidRDefault="001A7F62" w:rsidP="00C90BF8">
            <w:pPr>
              <w:jc w:val="center"/>
              <w:rPr>
                <w:rFonts w:eastAsia="Times New Roman"/>
                <w:sz w:val="20"/>
                <w:szCs w:val="20"/>
              </w:rPr>
            </w:pPr>
            <w:r w:rsidRPr="008E63BB">
              <w:rPr>
                <w:rFonts w:eastAsia="Times New Roman"/>
                <w:sz w:val="20"/>
                <w:szCs w:val="20"/>
              </w:rPr>
              <w:t>1,75-≥ 2,1</w:t>
            </w:r>
          </w:p>
        </w:tc>
        <w:tc>
          <w:tcPr>
            <w:tcW w:w="1170" w:type="dxa"/>
            <w:tcBorders>
              <w:top w:val="nil"/>
              <w:left w:val="nil"/>
              <w:bottom w:val="single" w:sz="4" w:space="0" w:color="auto"/>
              <w:right w:val="single" w:sz="4" w:space="0" w:color="auto"/>
            </w:tcBorders>
            <w:shd w:val="clear" w:color="auto" w:fill="auto"/>
            <w:vAlign w:val="center"/>
            <w:hideMark/>
          </w:tcPr>
          <w:p w14:paraId="519B2D8D" w14:textId="77777777" w:rsidR="001A7F62" w:rsidRPr="008E63BB" w:rsidRDefault="001A7F62" w:rsidP="00C90BF8">
            <w:pPr>
              <w:jc w:val="center"/>
              <w:rPr>
                <w:rFonts w:eastAsia="Times New Roman"/>
                <w:sz w:val="20"/>
                <w:szCs w:val="20"/>
              </w:rPr>
            </w:pPr>
            <w:r w:rsidRPr="008E63BB">
              <w:rPr>
                <w:rFonts w:eastAsia="Times New Roman"/>
                <w:sz w:val="20"/>
                <w:szCs w:val="20"/>
              </w:rPr>
              <w:t>2,25 - 3,0</w:t>
            </w:r>
          </w:p>
        </w:tc>
        <w:tc>
          <w:tcPr>
            <w:tcW w:w="1890" w:type="dxa"/>
            <w:tcBorders>
              <w:top w:val="nil"/>
              <w:left w:val="nil"/>
              <w:bottom w:val="single" w:sz="4" w:space="0" w:color="auto"/>
              <w:right w:val="single" w:sz="4" w:space="0" w:color="auto"/>
            </w:tcBorders>
            <w:shd w:val="clear" w:color="auto" w:fill="auto"/>
            <w:noWrap/>
            <w:vAlign w:val="center"/>
            <w:hideMark/>
          </w:tcPr>
          <w:p w14:paraId="519B2D8E" w14:textId="77777777" w:rsidR="001A7F62" w:rsidRPr="008E63BB" w:rsidRDefault="001A7F62" w:rsidP="00C90BF8">
            <w:pPr>
              <w:jc w:val="center"/>
              <w:rPr>
                <w:rFonts w:eastAsia="Times New Roman"/>
                <w:sz w:val="20"/>
                <w:szCs w:val="20"/>
              </w:rPr>
            </w:pPr>
            <w:r w:rsidRPr="008E63BB">
              <w:rPr>
                <w:rFonts w:eastAsia="Times New Roman"/>
                <w:sz w:val="20"/>
                <w:szCs w:val="20"/>
              </w:rPr>
              <w:t>0,80</w:t>
            </w:r>
          </w:p>
        </w:tc>
        <w:tc>
          <w:tcPr>
            <w:tcW w:w="720" w:type="dxa"/>
            <w:tcBorders>
              <w:top w:val="nil"/>
              <w:left w:val="nil"/>
              <w:bottom w:val="single" w:sz="4" w:space="0" w:color="auto"/>
              <w:right w:val="single" w:sz="4" w:space="0" w:color="auto"/>
            </w:tcBorders>
            <w:shd w:val="clear" w:color="auto" w:fill="auto"/>
            <w:noWrap/>
            <w:vAlign w:val="center"/>
            <w:hideMark/>
          </w:tcPr>
          <w:p w14:paraId="519B2D8F" w14:textId="77777777" w:rsidR="001A7F62" w:rsidRPr="008E63BB" w:rsidRDefault="001A7F62" w:rsidP="00C90BF8">
            <w:pPr>
              <w:jc w:val="center"/>
              <w:rPr>
                <w:rFonts w:eastAsia="Times New Roman"/>
                <w:sz w:val="20"/>
                <w:szCs w:val="20"/>
              </w:rPr>
            </w:pPr>
            <w:r w:rsidRPr="008E63BB">
              <w:rPr>
                <w:rFonts w:eastAsia="Times New Roman"/>
                <w:sz w:val="20"/>
                <w:szCs w:val="20"/>
              </w:rPr>
              <w:t>0,00</w:t>
            </w:r>
          </w:p>
        </w:tc>
      </w:tr>
      <w:tr w:rsidR="001A7F62" w:rsidRPr="008E63BB" w14:paraId="519B2D97" w14:textId="77777777" w:rsidTr="00C90BF8">
        <w:trPr>
          <w:trHeight w:val="1260"/>
        </w:trPr>
        <w:tc>
          <w:tcPr>
            <w:tcW w:w="8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D91" w14:textId="77777777" w:rsidR="001A7F62" w:rsidRPr="008E63BB" w:rsidRDefault="001A7F62" w:rsidP="00C90BF8">
            <w:pPr>
              <w:jc w:val="center"/>
              <w:rPr>
                <w:rFonts w:eastAsia="Times New Roman"/>
                <w:sz w:val="20"/>
                <w:szCs w:val="20"/>
              </w:rPr>
            </w:pPr>
            <w:r w:rsidRPr="008E63BB">
              <w:rPr>
                <w:rFonts w:eastAsia="Times New Roman"/>
                <w:sz w:val="20"/>
                <w:szCs w:val="20"/>
              </w:rPr>
              <w:t xml:space="preserve"> -</w:t>
            </w:r>
          </w:p>
        </w:tc>
        <w:tc>
          <w:tcPr>
            <w:tcW w:w="2738" w:type="dxa"/>
            <w:vMerge w:val="restart"/>
            <w:tcBorders>
              <w:top w:val="nil"/>
              <w:left w:val="single" w:sz="4" w:space="0" w:color="auto"/>
              <w:bottom w:val="single" w:sz="4" w:space="0" w:color="auto"/>
              <w:right w:val="single" w:sz="4" w:space="0" w:color="auto"/>
            </w:tcBorders>
            <w:shd w:val="clear" w:color="auto" w:fill="auto"/>
            <w:vAlign w:val="center"/>
            <w:hideMark/>
          </w:tcPr>
          <w:p w14:paraId="519B2D92" w14:textId="77777777" w:rsidR="001A7F62" w:rsidRPr="008E63BB" w:rsidRDefault="001A7F62" w:rsidP="00C90BF8">
            <w:pPr>
              <w:jc w:val="left"/>
              <w:rPr>
                <w:rFonts w:eastAsia="Times New Roman"/>
                <w:sz w:val="20"/>
                <w:szCs w:val="20"/>
              </w:rPr>
            </w:pPr>
            <w:r w:rsidRPr="008E63BB">
              <w:rPr>
                <w:rFonts w:eastAsia="Times New Roman"/>
                <w:sz w:val="20"/>
                <w:szCs w:val="20"/>
              </w:rPr>
              <w:t>Chuyển dịch cơ cấu kinh tế (*)</w:t>
            </w:r>
          </w:p>
        </w:tc>
        <w:tc>
          <w:tcPr>
            <w:tcW w:w="1833" w:type="dxa"/>
            <w:tcBorders>
              <w:top w:val="nil"/>
              <w:left w:val="nil"/>
              <w:bottom w:val="single" w:sz="4" w:space="0" w:color="auto"/>
              <w:right w:val="single" w:sz="4" w:space="0" w:color="auto"/>
            </w:tcBorders>
            <w:shd w:val="clear" w:color="auto" w:fill="auto"/>
            <w:vAlign w:val="center"/>
            <w:hideMark/>
          </w:tcPr>
          <w:p w14:paraId="519B2D93" w14:textId="77777777" w:rsidR="001A7F62" w:rsidRPr="008E63BB" w:rsidRDefault="001A7F62" w:rsidP="00C90BF8">
            <w:pPr>
              <w:jc w:val="center"/>
              <w:rPr>
                <w:rFonts w:eastAsia="Times New Roman"/>
                <w:sz w:val="20"/>
                <w:szCs w:val="20"/>
              </w:rPr>
            </w:pPr>
            <w:r w:rsidRPr="008E63BB">
              <w:rPr>
                <w:rFonts w:eastAsia="Times New Roman"/>
                <w:sz w:val="20"/>
                <w:szCs w:val="20"/>
              </w:rPr>
              <w:t>Tăng tỷ trọng CN, XD và dịch vụ; Giảm tỷ trọng Nông - lâm - thủy sản theo mục tiêu đề ra</w:t>
            </w:r>
          </w:p>
        </w:tc>
        <w:tc>
          <w:tcPr>
            <w:tcW w:w="1170" w:type="dxa"/>
            <w:tcBorders>
              <w:top w:val="nil"/>
              <w:left w:val="nil"/>
              <w:bottom w:val="single" w:sz="4" w:space="0" w:color="auto"/>
              <w:right w:val="single" w:sz="4" w:space="0" w:color="auto"/>
            </w:tcBorders>
            <w:shd w:val="clear" w:color="auto" w:fill="auto"/>
            <w:vAlign w:val="center"/>
            <w:hideMark/>
          </w:tcPr>
          <w:p w14:paraId="519B2D94" w14:textId="77777777" w:rsidR="001A7F62" w:rsidRPr="008E63BB" w:rsidRDefault="001A7F62" w:rsidP="00C90BF8">
            <w:pPr>
              <w:jc w:val="center"/>
              <w:rPr>
                <w:rFonts w:eastAsia="Times New Roman"/>
                <w:sz w:val="20"/>
                <w:szCs w:val="20"/>
              </w:rPr>
            </w:pPr>
            <w:r w:rsidRPr="008E63BB">
              <w:rPr>
                <w:rFonts w:eastAsia="Times New Roman"/>
                <w:sz w:val="20"/>
                <w:szCs w:val="20"/>
              </w:rPr>
              <w:t>3,00</w:t>
            </w: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D95" w14:textId="77777777" w:rsidR="001A7F62" w:rsidRPr="008E63BB" w:rsidRDefault="001A7F62" w:rsidP="00C90BF8">
            <w:pPr>
              <w:jc w:val="center"/>
              <w:rPr>
                <w:rFonts w:eastAsia="Times New Roman"/>
                <w:sz w:val="20"/>
                <w:szCs w:val="20"/>
              </w:rPr>
            </w:pPr>
            <w:r w:rsidRPr="008E63BB">
              <w:rPr>
                <w:rFonts w:eastAsia="Times New Roman"/>
                <w:sz w:val="20"/>
                <w:szCs w:val="20"/>
              </w:rPr>
              <w:t>Tăng tỷ trọng CN, XD và dịch vụ; Giảm tỷ trọng Nông - lâm - thủy sản theo mục tiêu đề ra</w:t>
            </w:r>
          </w:p>
        </w:tc>
        <w:tc>
          <w:tcPr>
            <w:tcW w:w="72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D96" w14:textId="77777777" w:rsidR="001A7F62" w:rsidRPr="008E63BB" w:rsidRDefault="001A7F62" w:rsidP="00C90BF8">
            <w:pPr>
              <w:jc w:val="center"/>
              <w:rPr>
                <w:rFonts w:eastAsia="Times New Roman"/>
                <w:sz w:val="20"/>
                <w:szCs w:val="20"/>
              </w:rPr>
            </w:pPr>
            <w:r w:rsidRPr="008E63BB">
              <w:rPr>
                <w:rFonts w:eastAsia="Times New Roman"/>
                <w:sz w:val="20"/>
                <w:szCs w:val="20"/>
              </w:rPr>
              <w:t>3,00</w:t>
            </w:r>
          </w:p>
        </w:tc>
      </w:tr>
      <w:tr w:rsidR="001A7F62" w:rsidRPr="008E63BB" w14:paraId="519B2D9E" w14:textId="77777777" w:rsidTr="00C90BF8">
        <w:trPr>
          <w:trHeight w:val="1500"/>
        </w:trPr>
        <w:tc>
          <w:tcPr>
            <w:tcW w:w="801" w:type="dxa"/>
            <w:vMerge/>
            <w:tcBorders>
              <w:top w:val="nil"/>
              <w:left w:val="single" w:sz="4" w:space="0" w:color="auto"/>
              <w:bottom w:val="single" w:sz="4" w:space="0" w:color="auto"/>
              <w:right w:val="single" w:sz="4" w:space="0" w:color="auto"/>
            </w:tcBorders>
            <w:vAlign w:val="center"/>
            <w:hideMark/>
          </w:tcPr>
          <w:p w14:paraId="519B2D98" w14:textId="77777777" w:rsidR="001A7F62" w:rsidRPr="008E63BB" w:rsidRDefault="001A7F62" w:rsidP="00C90BF8">
            <w:pPr>
              <w:jc w:val="left"/>
              <w:rPr>
                <w:rFonts w:eastAsia="Times New Roman"/>
                <w:sz w:val="20"/>
                <w:szCs w:val="20"/>
              </w:rPr>
            </w:pPr>
          </w:p>
        </w:tc>
        <w:tc>
          <w:tcPr>
            <w:tcW w:w="2738" w:type="dxa"/>
            <w:vMerge/>
            <w:tcBorders>
              <w:top w:val="nil"/>
              <w:left w:val="single" w:sz="4" w:space="0" w:color="auto"/>
              <w:bottom w:val="single" w:sz="4" w:space="0" w:color="auto"/>
              <w:right w:val="single" w:sz="4" w:space="0" w:color="auto"/>
            </w:tcBorders>
            <w:vAlign w:val="center"/>
            <w:hideMark/>
          </w:tcPr>
          <w:p w14:paraId="519B2D99" w14:textId="77777777" w:rsidR="001A7F62" w:rsidRPr="008E63BB" w:rsidRDefault="001A7F62" w:rsidP="00C90BF8">
            <w:pPr>
              <w:jc w:val="left"/>
              <w:rPr>
                <w:rFonts w:eastAsia="Times New Roman"/>
                <w:sz w:val="20"/>
                <w:szCs w:val="20"/>
              </w:rPr>
            </w:pPr>
          </w:p>
        </w:tc>
        <w:tc>
          <w:tcPr>
            <w:tcW w:w="1833" w:type="dxa"/>
            <w:tcBorders>
              <w:top w:val="nil"/>
              <w:left w:val="nil"/>
              <w:bottom w:val="single" w:sz="4" w:space="0" w:color="auto"/>
              <w:right w:val="single" w:sz="4" w:space="0" w:color="auto"/>
            </w:tcBorders>
            <w:shd w:val="clear" w:color="auto" w:fill="auto"/>
            <w:vAlign w:val="center"/>
            <w:hideMark/>
          </w:tcPr>
          <w:p w14:paraId="519B2D9A" w14:textId="77777777" w:rsidR="001A7F62" w:rsidRPr="008E63BB" w:rsidRDefault="001A7F62" w:rsidP="00C90BF8">
            <w:pPr>
              <w:jc w:val="center"/>
              <w:rPr>
                <w:rFonts w:eastAsia="Times New Roman"/>
                <w:sz w:val="20"/>
                <w:szCs w:val="20"/>
              </w:rPr>
            </w:pPr>
            <w:r w:rsidRPr="008E63BB">
              <w:rPr>
                <w:rFonts w:eastAsia="Times New Roman"/>
                <w:sz w:val="20"/>
                <w:szCs w:val="20"/>
              </w:rPr>
              <w:t>Tăng tỷ trọng CN, XD hoặc tăng tỷ trọng dịch vụ; Giảm tỷ trọng Nông - lâm - thủy sản theo mục tiêu đề ra</w:t>
            </w:r>
          </w:p>
        </w:tc>
        <w:tc>
          <w:tcPr>
            <w:tcW w:w="1170" w:type="dxa"/>
            <w:tcBorders>
              <w:top w:val="nil"/>
              <w:left w:val="nil"/>
              <w:bottom w:val="single" w:sz="4" w:space="0" w:color="auto"/>
              <w:right w:val="single" w:sz="4" w:space="0" w:color="auto"/>
            </w:tcBorders>
            <w:shd w:val="clear" w:color="auto" w:fill="auto"/>
            <w:vAlign w:val="center"/>
            <w:hideMark/>
          </w:tcPr>
          <w:p w14:paraId="519B2D9B" w14:textId="77777777" w:rsidR="001A7F62" w:rsidRPr="008E63BB" w:rsidRDefault="001A7F62" w:rsidP="00C90BF8">
            <w:pPr>
              <w:jc w:val="center"/>
              <w:rPr>
                <w:rFonts w:eastAsia="Times New Roman"/>
                <w:sz w:val="20"/>
                <w:szCs w:val="20"/>
              </w:rPr>
            </w:pPr>
            <w:r w:rsidRPr="008E63BB">
              <w:rPr>
                <w:rFonts w:eastAsia="Times New Roman"/>
                <w:sz w:val="20"/>
                <w:szCs w:val="20"/>
              </w:rPr>
              <w:t>2,25</w:t>
            </w:r>
          </w:p>
        </w:tc>
        <w:tc>
          <w:tcPr>
            <w:tcW w:w="1890" w:type="dxa"/>
            <w:vMerge/>
            <w:tcBorders>
              <w:top w:val="nil"/>
              <w:left w:val="single" w:sz="4" w:space="0" w:color="auto"/>
              <w:bottom w:val="single" w:sz="4" w:space="0" w:color="000000"/>
              <w:right w:val="single" w:sz="4" w:space="0" w:color="auto"/>
            </w:tcBorders>
            <w:vAlign w:val="center"/>
            <w:hideMark/>
          </w:tcPr>
          <w:p w14:paraId="519B2D9C" w14:textId="77777777" w:rsidR="001A7F62" w:rsidRPr="008E63BB" w:rsidRDefault="001A7F62" w:rsidP="00C90BF8">
            <w:pPr>
              <w:jc w:val="left"/>
              <w:rPr>
                <w:rFonts w:eastAsia="Times New Roman"/>
                <w:sz w:val="20"/>
                <w:szCs w:val="20"/>
              </w:rPr>
            </w:pPr>
          </w:p>
        </w:tc>
        <w:tc>
          <w:tcPr>
            <w:tcW w:w="720" w:type="dxa"/>
            <w:vMerge/>
            <w:tcBorders>
              <w:top w:val="nil"/>
              <w:left w:val="single" w:sz="4" w:space="0" w:color="auto"/>
              <w:bottom w:val="single" w:sz="4" w:space="0" w:color="000000"/>
              <w:right w:val="single" w:sz="4" w:space="0" w:color="auto"/>
            </w:tcBorders>
            <w:vAlign w:val="center"/>
            <w:hideMark/>
          </w:tcPr>
          <w:p w14:paraId="519B2D9D" w14:textId="77777777" w:rsidR="001A7F62" w:rsidRPr="008E63BB" w:rsidRDefault="001A7F62" w:rsidP="00C90BF8">
            <w:pPr>
              <w:jc w:val="left"/>
              <w:rPr>
                <w:rFonts w:eastAsia="Times New Roman"/>
                <w:sz w:val="20"/>
                <w:szCs w:val="20"/>
              </w:rPr>
            </w:pPr>
          </w:p>
        </w:tc>
      </w:tr>
      <w:tr w:rsidR="001A7F62" w:rsidRPr="008E63BB" w14:paraId="519B2DA5"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9F" w14:textId="77777777" w:rsidR="001A7F62" w:rsidRPr="008E63BB" w:rsidRDefault="001A7F62" w:rsidP="00C90BF8">
            <w:pPr>
              <w:jc w:val="center"/>
              <w:rPr>
                <w:rFonts w:eastAsia="Times New Roman"/>
                <w:sz w:val="20"/>
                <w:szCs w:val="20"/>
              </w:rPr>
            </w:pPr>
            <w:r w:rsidRPr="008E63BB">
              <w:rPr>
                <w:rFonts w:eastAsia="Times New Roman"/>
                <w:sz w:val="20"/>
                <w:szCs w:val="20"/>
              </w:rPr>
              <w:t xml:space="preserve"> -</w:t>
            </w:r>
          </w:p>
        </w:tc>
        <w:tc>
          <w:tcPr>
            <w:tcW w:w="2738" w:type="dxa"/>
            <w:tcBorders>
              <w:top w:val="nil"/>
              <w:left w:val="nil"/>
              <w:bottom w:val="single" w:sz="4" w:space="0" w:color="auto"/>
              <w:right w:val="single" w:sz="4" w:space="0" w:color="auto"/>
            </w:tcBorders>
            <w:shd w:val="clear" w:color="auto" w:fill="auto"/>
            <w:vAlign w:val="center"/>
            <w:hideMark/>
          </w:tcPr>
          <w:p w14:paraId="519B2DA0" w14:textId="77777777" w:rsidR="001A7F62" w:rsidRPr="008E63BB" w:rsidRDefault="001A7F62" w:rsidP="00C90BF8">
            <w:pPr>
              <w:jc w:val="left"/>
              <w:rPr>
                <w:rFonts w:eastAsia="Times New Roman"/>
                <w:sz w:val="20"/>
                <w:szCs w:val="20"/>
              </w:rPr>
            </w:pPr>
            <w:r w:rsidRPr="008E63BB">
              <w:rPr>
                <w:rFonts w:eastAsia="Times New Roman"/>
                <w:sz w:val="20"/>
                <w:szCs w:val="20"/>
              </w:rPr>
              <w:t>Mức tăng trưởng kinh tế trung bình 3 năm gần nhất (%) (**)</w:t>
            </w:r>
          </w:p>
        </w:tc>
        <w:tc>
          <w:tcPr>
            <w:tcW w:w="1833" w:type="dxa"/>
            <w:tcBorders>
              <w:top w:val="nil"/>
              <w:left w:val="nil"/>
              <w:bottom w:val="single" w:sz="4" w:space="0" w:color="auto"/>
              <w:right w:val="single" w:sz="4" w:space="0" w:color="auto"/>
            </w:tcBorders>
            <w:shd w:val="clear" w:color="auto" w:fill="auto"/>
            <w:vAlign w:val="center"/>
            <w:hideMark/>
          </w:tcPr>
          <w:p w14:paraId="519B2DA1" w14:textId="77777777" w:rsidR="001A7F62" w:rsidRPr="008E63BB" w:rsidRDefault="001A7F62" w:rsidP="00C90BF8">
            <w:pPr>
              <w:jc w:val="center"/>
              <w:rPr>
                <w:rFonts w:eastAsia="Times New Roman"/>
                <w:sz w:val="20"/>
                <w:szCs w:val="20"/>
              </w:rPr>
            </w:pPr>
            <w:r w:rsidRPr="008E63BB">
              <w:rPr>
                <w:rFonts w:eastAsia="Times New Roman"/>
                <w:sz w:val="20"/>
                <w:szCs w:val="20"/>
              </w:rPr>
              <w:t>7-≥9</w:t>
            </w:r>
          </w:p>
        </w:tc>
        <w:tc>
          <w:tcPr>
            <w:tcW w:w="1170" w:type="dxa"/>
            <w:tcBorders>
              <w:top w:val="nil"/>
              <w:left w:val="nil"/>
              <w:bottom w:val="single" w:sz="4" w:space="0" w:color="auto"/>
              <w:right w:val="single" w:sz="4" w:space="0" w:color="auto"/>
            </w:tcBorders>
            <w:shd w:val="clear" w:color="auto" w:fill="auto"/>
            <w:vAlign w:val="center"/>
            <w:hideMark/>
          </w:tcPr>
          <w:p w14:paraId="519B2DA2" w14:textId="77777777" w:rsidR="001A7F62" w:rsidRPr="008E63BB" w:rsidRDefault="001A7F62" w:rsidP="00C90BF8">
            <w:pPr>
              <w:jc w:val="center"/>
              <w:rPr>
                <w:rFonts w:eastAsia="Times New Roman"/>
                <w:sz w:val="20"/>
                <w:szCs w:val="20"/>
              </w:rPr>
            </w:pPr>
            <w:r w:rsidRPr="008E63BB">
              <w:rPr>
                <w:rFonts w:eastAsia="Times New Roman"/>
                <w:sz w:val="20"/>
                <w:szCs w:val="20"/>
              </w:rPr>
              <w:t>1,5 - 2</w:t>
            </w:r>
          </w:p>
        </w:tc>
        <w:tc>
          <w:tcPr>
            <w:tcW w:w="1890" w:type="dxa"/>
            <w:tcBorders>
              <w:top w:val="nil"/>
              <w:left w:val="nil"/>
              <w:bottom w:val="single" w:sz="4" w:space="0" w:color="auto"/>
              <w:right w:val="single" w:sz="4" w:space="0" w:color="auto"/>
            </w:tcBorders>
            <w:shd w:val="clear" w:color="auto" w:fill="auto"/>
            <w:vAlign w:val="center"/>
            <w:hideMark/>
          </w:tcPr>
          <w:p w14:paraId="519B2DA3" w14:textId="77777777" w:rsidR="001A7F62" w:rsidRPr="008E63BB" w:rsidRDefault="001A7F62" w:rsidP="00C90BF8">
            <w:pPr>
              <w:jc w:val="center"/>
              <w:rPr>
                <w:rFonts w:eastAsia="Times New Roman"/>
                <w:sz w:val="20"/>
                <w:szCs w:val="20"/>
              </w:rPr>
            </w:pPr>
            <w:r w:rsidRPr="008E63BB">
              <w:rPr>
                <w:rFonts w:eastAsia="Times New Roman"/>
                <w:sz w:val="20"/>
                <w:szCs w:val="20"/>
              </w:rPr>
              <w:t>7,85</w:t>
            </w:r>
          </w:p>
        </w:tc>
        <w:tc>
          <w:tcPr>
            <w:tcW w:w="720" w:type="dxa"/>
            <w:tcBorders>
              <w:top w:val="nil"/>
              <w:left w:val="nil"/>
              <w:bottom w:val="single" w:sz="4" w:space="0" w:color="auto"/>
              <w:right w:val="single" w:sz="4" w:space="0" w:color="auto"/>
            </w:tcBorders>
            <w:shd w:val="clear" w:color="auto" w:fill="auto"/>
            <w:noWrap/>
            <w:vAlign w:val="center"/>
            <w:hideMark/>
          </w:tcPr>
          <w:p w14:paraId="519B2DA4" w14:textId="77777777" w:rsidR="001A7F62" w:rsidRPr="008E63BB" w:rsidRDefault="001A7F62" w:rsidP="00C90BF8">
            <w:pPr>
              <w:jc w:val="center"/>
              <w:rPr>
                <w:rFonts w:eastAsia="Times New Roman"/>
                <w:sz w:val="20"/>
                <w:szCs w:val="20"/>
              </w:rPr>
            </w:pPr>
            <w:r w:rsidRPr="008E63BB">
              <w:rPr>
                <w:rFonts w:eastAsia="Times New Roman"/>
                <w:sz w:val="20"/>
                <w:szCs w:val="20"/>
              </w:rPr>
              <w:t>1,75</w:t>
            </w:r>
          </w:p>
        </w:tc>
      </w:tr>
      <w:tr w:rsidR="001A7F62" w:rsidRPr="008E63BB" w14:paraId="519B2DAC"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A6" w14:textId="77777777" w:rsidR="001A7F62" w:rsidRPr="008E63BB" w:rsidRDefault="001A7F62" w:rsidP="00C90BF8">
            <w:pPr>
              <w:jc w:val="center"/>
              <w:rPr>
                <w:rFonts w:eastAsia="Times New Roman"/>
                <w:sz w:val="20"/>
                <w:szCs w:val="20"/>
              </w:rPr>
            </w:pPr>
            <w:r w:rsidRPr="008E63BB">
              <w:rPr>
                <w:rFonts w:eastAsia="Times New Roman"/>
                <w:sz w:val="20"/>
                <w:szCs w:val="20"/>
              </w:rPr>
              <w:t xml:space="preserve"> -</w:t>
            </w:r>
          </w:p>
        </w:tc>
        <w:tc>
          <w:tcPr>
            <w:tcW w:w="2738" w:type="dxa"/>
            <w:tcBorders>
              <w:top w:val="nil"/>
              <w:left w:val="nil"/>
              <w:bottom w:val="single" w:sz="4" w:space="0" w:color="auto"/>
              <w:right w:val="single" w:sz="4" w:space="0" w:color="auto"/>
            </w:tcBorders>
            <w:shd w:val="clear" w:color="auto" w:fill="auto"/>
            <w:vAlign w:val="center"/>
            <w:hideMark/>
          </w:tcPr>
          <w:p w14:paraId="519B2DA7" w14:textId="77777777" w:rsidR="001A7F62" w:rsidRPr="008E63BB" w:rsidRDefault="001A7F62" w:rsidP="00C90BF8">
            <w:pPr>
              <w:jc w:val="left"/>
              <w:rPr>
                <w:rFonts w:eastAsia="Times New Roman"/>
                <w:sz w:val="20"/>
                <w:szCs w:val="20"/>
              </w:rPr>
            </w:pPr>
            <w:r w:rsidRPr="008E63BB">
              <w:rPr>
                <w:rFonts w:eastAsia="Times New Roman"/>
                <w:sz w:val="20"/>
                <w:szCs w:val="20"/>
              </w:rPr>
              <w:t>Tỷ lệ hộ nghèo (%) (**)</w:t>
            </w:r>
          </w:p>
        </w:tc>
        <w:tc>
          <w:tcPr>
            <w:tcW w:w="1833" w:type="dxa"/>
            <w:tcBorders>
              <w:top w:val="nil"/>
              <w:left w:val="nil"/>
              <w:bottom w:val="single" w:sz="4" w:space="0" w:color="auto"/>
              <w:right w:val="single" w:sz="4" w:space="0" w:color="auto"/>
            </w:tcBorders>
            <w:shd w:val="clear" w:color="auto" w:fill="auto"/>
            <w:vAlign w:val="center"/>
            <w:hideMark/>
          </w:tcPr>
          <w:p w14:paraId="519B2DA8" w14:textId="77777777" w:rsidR="001A7F62" w:rsidRPr="008E63BB" w:rsidRDefault="001A7F62" w:rsidP="00C90BF8">
            <w:pPr>
              <w:jc w:val="center"/>
              <w:rPr>
                <w:rFonts w:eastAsia="Times New Roman"/>
                <w:sz w:val="20"/>
                <w:szCs w:val="20"/>
              </w:rPr>
            </w:pPr>
            <w:r w:rsidRPr="008E63BB">
              <w:rPr>
                <w:rFonts w:eastAsia="Times New Roman"/>
                <w:sz w:val="20"/>
                <w:szCs w:val="20"/>
              </w:rPr>
              <w:t>5,5≤ 6</w:t>
            </w:r>
          </w:p>
        </w:tc>
        <w:tc>
          <w:tcPr>
            <w:tcW w:w="1170" w:type="dxa"/>
            <w:tcBorders>
              <w:top w:val="nil"/>
              <w:left w:val="nil"/>
              <w:bottom w:val="single" w:sz="4" w:space="0" w:color="auto"/>
              <w:right w:val="single" w:sz="4" w:space="0" w:color="auto"/>
            </w:tcBorders>
            <w:shd w:val="clear" w:color="auto" w:fill="auto"/>
            <w:vAlign w:val="center"/>
            <w:hideMark/>
          </w:tcPr>
          <w:p w14:paraId="519B2DA9" w14:textId="77777777" w:rsidR="001A7F62" w:rsidRPr="008E63BB" w:rsidRDefault="001A7F62" w:rsidP="00C90BF8">
            <w:pPr>
              <w:jc w:val="center"/>
              <w:rPr>
                <w:rFonts w:eastAsia="Times New Roman"/>
                <w:sz w:val="20"/>
                <w:szCs w:val="20"/>
              </w:rPr>
            </w:pPr>
            <w:r w:rsidRPr="008E63BB">
              <w:rPr>
                <w:rFonts w:eastAsia="Times New Roman"/>
                <w:sz w:val="20"/>
                <w:szCs w:val="20"/>
              </w:rPr>
              <w:t>1,5 - 2</w:t>
            </w:r>
          </w:p>
        </w:tc>
        <w:tc>
          <w:tcPr>
            <w:tcW w:w="1890" w:type="dxa"/>
            <w:tcBorders>
              <w:top w:val="nil"/>
              <w:left w:val="nil"/>
              <w:bottom w:val="single" w:sz="4" w:space="0" w:color="auto"/>
              <w:right w:val="single" w:sz="4" w:space="0" w:color="auto"/>
            </w:tcBorders>
            <w:shd w:val="clear" w:color="auto" w:fill="auto"/>
            <w:vAlign w:val="center"/>
            <w:hideMark/>
          </w:tcPr>
          <w:p w14:paraId="519B2DAA" w14:textId="77777777" w:rsidR="001A7F62" w:rsidRPr="008E63BB" w:rsidRDefault="001A7F62" w:rsidP="00C90BF8">
            <w:pPr>
              <w:jc w:val="center"/>
              <w:rPr>
                <w:rFonts w:eastAsia="Times New Roman"/>
                <w:sz w:val="20"/>
                <w:szCs w:val="20"/>
              </w:rPr>
            </w:pPr>
            <w:r w:rsidRPr="008E63BB">
              <w:rPr>
                <w:rFonts w:eastAsia="Times New Roman"/>
                <w:sz w:val="20"/>
                <w:szCs w:val="20"/>
              </w:rPr>
              <w:t>2,4</w:t>
            </w:r>
          </w:p>
        </w:tc>
        <w:tc>
          <w:tcPr>
            <w:tcW w:w="720" w:type="dxa"/>
            <w:tcBorders>
              <w:top w:val="nil"/>
              <w:left w:val="nil"/>
              <w:bottom w:val="single" w:sz="4" w:space="0" w:color="auto"/>
              <w:right w:val="single" w:sz="4" w:space="0" w:color="auto"/>
            </w:tcBorders>
            <w:shd w:val="clear" w:color="auto" w:fill="auto"/>
            <w:noWrap/>
            <w:vAlign w:val="center"/>
            <w:hideMark/>
          </w:tcPr>
          <w:p w14:paraId="519B2DAB"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DB3"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AD" w14:textId="77777777" w:rsidR="001A7F62" w:rsidRPr="008E63BB" w:rsidRDefault="001A7F62" w:rsidP="00C90BF8">
            <w:pPr>
              <w:jc w:val="center"/>
              <w:rPr>
                <w:rFonts w:eastAsia="Times New Roman"/>
                <w:sz w:val="20"/>
                <w:szCs w:val="20"/>
              </w:rPr>
            </w:pPr>
            <w:r w:rsidRPr="008E63BB">
              <w:rPr>
                <w:rFonts w:eastAsia="Times New Roman"/>
                <w:sz w:val="20"/>
                <w:szCs w:val="20"/>
              </w:rPr>
              <w:t xml:space="preserve"> -</w:t>
            </w:r>
          </w:p>
        </w:tc>
        <w:tc>
          <w:tcPr>
            <w:tcW w:w="2738" w:type="dxa"/>
            <w:tcBorders>
              <w:top w:val="nil"/>
              <w:left w:val="nil"/>
              <w:bottom w:val="single" w:sz="4" w:space="0" w:color="auto"/>
              <w:right w:val="single" w:sz="4" w:space="0" w:color="auto"/>
            </w:tcBorders>
            <w:shd w:val="clear" w:color="auto" w:fill="auto"/>
            <w:vAlign w:val="center"/>
            <w:hideMark/>
          </w:tcPr>
          <w:p w14:paraId="519B2DAE" w14:textId="77777777" w:rsidR="001A7F62" w:rsidRPr="008E63BB" w:rsidRDefault="001A7F62" w:rsidP="00C90BF8">
            <w:pPr>
              <w:jc w:val="left"/>
              <w:rPr>
                <w:rFonts w:eastAsia="Times New Roman"/>
                <w:sz w:val="20"/>
                <w:szCs w:val="20"/>
              </w:rPr>
            </w:pPr>
            <w:r w:rsidRPr="008E63BB">
              <w:rPr>
                <w:rFonts w:eastAsia="Times New Roman"/>
                <w:sz w:val="20"/>
                <w:szCs w:val="20"/>
              </w:rPr>
              <w:t>Tỷ lệ tăng dân số hàng năm (bao gồm tăng tự nhiên và tăng cơ học) (%)</w:t>
            </w:r>
          </w:p>
        </w:tc>
        <w:tc>
          <w:tcPr>
            <w:tcW w:w="1833" w:type="dxa"/>
            <w:tcBorders>
              <w:top w:val="nil"/>
              <w:left w:val="nil"/>
              <w:bottom w:val="single" w:sz="4" w:space="0" w:color="auto"/>
              <w:right w:val="single" w:sz="4" w:space="0" w:color="auto"/>
            </w:tcBorders>
            <w:shd w:val="clear" w:color="auto" w:fill="auto"/>
            <w:vAlign w:val="center"/>
            <w:hideMark/>
          </w:tcPr>
          <w:p w14:paraId="519B2DAF" w14:textId="77777777" w:rsidR="001A7F62" w:rsidRPr="008E63BB" w:rsidRDefault="001A7F62" w:rsidP="00C90BF8">
            <w:pPr>
              <w:jc w:val="center"/>
              <w:rPr>
                <w:rFonts w:eastAsia="Times New Roman"/>
                <w:sz w:val="20"/>
                <w:szCs w:val="20"/>
              </w:rPr>
            </w:pPr>
            <w:r w:rsidRPr="008E63BB">
              <w:rPr>
                <w:rFonts w:eastAsia="Times New Roman"/>
                <w:sz w:val="20"/>
                <w:szCs w:val="20"/>
              </w:rPr>
              <w:t>1,6-≥2</w:t>
            </w:r>
          </w:p>
        </w:tc>
        <w:tc>
          <w:tcPr>
            <w:tcW w:w="1170" w:type="dxa"/>
            <w:tcBorders>
              <w:top w:val="nil"/>
              <w:left w:val="nil"/>
              <w:bottom w:val="single" w:sz="4" w:space="0" w:color="auto"/>
              <w:right w:val="single" w:sz="4" w:space="0" w:color="auto"/>
            </w:tcBorders>
            <w:shd w:val="clear" w:color="auto" w:fill="auto"/>
            <w:vAlign w:val="center"/>
            <w:hideMark/>
          </w:tcPr>
          <w:p w14:paraId="519B2DB0" w14:textId="77777777" w:rsidR="001A7F62" w:rsidRPr="008E63BB" w:rsidRDefault="001A7F62" w:rsidP="00C90BF8">
            <w:pPr>
              <w:jc w:val="center"/>
              <w:rPr>
                <w:rFonts w:eastAsia="Times New Roman"/>
                <w:sz w:val="20"/>
                <w:szCs w:val="20"/>
              </w:rPr>
            </w:pPr>
            <w:r w:rsidRPr="008E63BB">
              <w:rPr>
                <w:rFonts w:eastAsia="Times New Roman"/>
                <w:sz w:val="20"/>
                <w:szCs w:val="20"/>
              </w:rPr>
              <w:t>2,25 - 3</w:t>
            </w:r>
          </w:p>
        </w:tc>
        <w:tc>
          <w:tcPr>
            <w:tcW w:w="1890" w:type="dxa"/>
            <w:tcBorders>
              <w:top w:val="nil"/>
              <w:left w:val="nil"/>
              <w:bottom w:val="single" w:sz="4" w:space="0" w:color="auto"/>
              <w:right w:val="single" w:sz="4" w:space="0" w:color="auto"/>
            </w:tcBorders>
            <w:shd w:val="clear" w:color="auto" w:fill="auto"/>
            <w:vAlign w:val="center"/>
            <w:hideMark/>
          </w:tcPr>
          <w:p w14:paraId="519B2DB1" w14:textId="77777777" w:rsidR="001A7F62" w:rsidRPr="008E63BB" w:rsidRDefault="001A7F62" w:rsidP="00C90BF8">
            <w:pPr>
              <w:jc w:val="center"/>
              <w:rPr>
                <w:rFonts w:eastAsia="Times New Roman"/>
                <w:sz w:val="20"/>
                <w:szCs w:val="20"/>
              </w:rPr>
            </w:pPr>
            <w:r w:rsidRPr="008E63BB">
              <w:rPr>
                <w:rFonts w:eastAsia="Times New Roman"/>
                <w:sz w:val="20"/>
                <w:szCs w:val="20"/>
              </w:rPr>
              <w:t>2,26</w:t>
            </w:r>
          </w:p>
        </w:tc>
        <w:tc>
          <w:tcPr>
            <w:tcW w:w="720" w:type="dxa"/>
            <w:tcBorders>
              <w:top w:val="nil"/>
              <w:left w:val="nil"/>
              <w:bottom w:val="single" w:sz="4" w:space="0" w:color="auto"/>
              <w:right w:val="single" w:sz="4" w:space="0" w:color="auto"/>
            </w:tcBorders>
            <w:shd w:val="clear" w:color="auto" w:fill="auto"/>
            <w:noWrap/>
            <w:vAlign w:val="center"/>
            <w:hideMark/>
          </w:tcPr>
          <w:p w14:paraId="519B2DB2" w14:textId="77777777" w:rsidR="001A7F62" w:rsidRPr="008E63BB" w:rsidRDefault="001A7F62" w:rsidP="00C90BF8">
            <w:pPr>
              <w:jc w:val="center"/>
              <w:rPr>
                <w:rFonts w:eastAsia="Times New Roman"/>
                <w:sz w:val="20"/>
                <w:szCs w:val="20"/>
              </w:rPr>
            </w:pPr>
            <w:r w:rsidRPr="008E63BB">
              <w:rPr>
                <w:rFonts w:eastAsia="Times New Roman"/>
                <w:sz w:val="20"/>
                <w:szCs w:val="20"/>
              </w:rPr>
              <w:t>3,00</w:t>
            </w:r>
          </w:p>
        </w:tc>
      </w:tr>
      <w:tr w:rsidR="001A7F62" w:rsidRPr="008E63BB" w14:paraId="519B2DBA"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B4"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II</w:t>
            </w:r>
          </w:p>
        </w:tc>
        <w:tc>
          <w:tcPr>
            <w:tcW w:w="2738" w:type="dxa"/>
            <w:tcBorders>
              <w:top w:val="nil"/>
              <w:left w:val="nil"/>
              <w:bottom w:val="single" w:sz="4" w:space="0" w:color="auto"/>
              <w:right w:val="single" w:sz="4" w:space="0" w:color="auto"/>
            </w:tcBorders>
            <w:shd w:val="clear" w:color="auto" w:fill="auto"/>
            <w:vAlign w:val="center"/>
            <w:hideMark/>
          </w:tcPr>
          <w:p w14:paraId="519B2DB5"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QUY MÔ DÂN SỐ (quy đổi)</w:t>
            </w:r>
          </w:p>
        </w:tc>
        <w:tc>
          <w:tcPr>
            <w:tcW w:w="1833" w:type="dxa"/>
            <w:tcBorders>
              <w:top w:val="nil"/>
              <w:left w:val="nil"/>
              <w:bottom w:val="single" w:sz="4" w:space="0" w:color="auto"/>
              <w:right w:val="single" w:sz="4" w:space="0" w:color="auto"/>
            </w:tcBorders>
            <w:shd w:val="clear" w:color="auto" w:fill="auto"/>
            <w:vAlign w:val="center"/>
            <w:hideMark/>
          </w:tcPr>
          <w:p w14:paraId="519B2DB6"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B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6,0 - 8,0</w:t>
            </w:r>
          </w:p>
        </w:tc>
        <w:tc>
          <w:tcPr>
            <w:tcW w:w="1890" w:type="dxa"/>
            <w:tcBorders>
              <w:top w:val="nil"/>
              <w:left w:val="nil"/>
              <w:bottom w:val="single" w:sz="4" w:space="0" w:color="auto"/>
              <w:right w:val="single" w:sz="4" w:space="0" w:color="auto"/>
            </w:tcBorders>
            <w:shd w:val="clear" w:color="auto" w:fill="auto"/>
            <w:noWrap/>
            <w:vAlign w:val="center"/>
            <w:hideMark/>
          </w:tcPr>
          <w:p w14:paraId="519B2DB8"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B9"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6,00</w:t>
            </w:r>
          </w:p>
        </w:tc>
      </w:tr>
      <w:tr w:rsidR="001A7F62" w:rsidRPr="008E63BB" w14:paraId="519B2DC1"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BB" w14:textId="77777777" w:rsidR="001A7F62" w:rsidRPr="008E63BB" w:rsidRDefault="001A7F62" w:rsidP="00C90BF8">
            <w:pPr>
              <w:jc w:val="center"/>
              <w:rPr>
                <w:rFonts w:eastAsia="Times New Roman"/>
                <w:sz w:val="20"/>
                <w:szCs w:val="20"/>
              </w:rPr>
            </w:pPr>
            <w:r w:rsidRPr="008E63BB">
              <w:rPr>
                <w:rFonts w:eastAsia="Times New Roman"/>
                <w:sz w:val="20"/>
                <w:szCs w:val="20"/>
              </w:rPr>
              <w:t>2.1</w:t>
            </w:r>
          </w:p>
        </w:tc>
        <w:tc>
          <w:tcPr>
            <w:tcW w:w="2738" w:type="dxa"/>
            <w:tcBorders>
              <w:top w:val="nil"/>
              <w:left w:val="nil"/>
              <w:bottom w:val="single" w:sz="4" w:space="0" w:color="auto"/>
              <w:right w:val="single" w:sz="4" w:space="0" w:color="auto"/>
            </w:tcBorders>
            <w:shd w:val="clear" w:color="auto" w:fill="auto"/>
            <w:vAlign w:val="center"/>
            <w:hideMark/>
          </w:tcPr>
          <w:p w14:paraId="519B2DBC" w14:textId="77777777" w:rsidR="001A7F62" w:rsidRPr="008E63BB" w:rsidRDefault="001A7F62" w:rsidP="00C90BF8">
            <w:pPr>
              <w:jc w:val="left"/>
              <w:rPr>
                <w:rFonts w:eastAsia="Times New Roman"/>
                <w:sz w:val="20"/>
                <w:szCs w:val="20"/>
              </w:rPr>
            </w:pPr>
            <w:r w:rsidRPr="008E63BB">
              <w:rPr>
                <w:rFonts w:eastAsia="Times New Roman"/>
                <w:sz w:val="20"/>
                <w:szCs w:val="20"/>
              </w:rPr>
              <w:t>Dân số toàn đô thị (1.000 người)</w:t>
            </w:r>
          </w:p>
        </w:tc>
        <w:tc>
          <w:tcPr>
            <w:tcW w:w="1833" w:type="dxa"/>
            <w:tcBorders>
              <w:top w:val="nil"/>
              <w:left w:val="nil"/>
              <w:bottom w:val="single" w:sz="4" w:space="0" w:color="auto"/>
              <w:right w:val="single" w:sz="4" w:space="0" w:color="auto"/>
            </w:tcBorders>
            <w:shd w:val="clear" w:color="auto" w:fill="auto"/>
            <w:vAlign w:val="center"/>
            <w:hideMark/>
          </w:tcPr>
          <w:p w14:paraId="519B2DBD" w14:textId="77777777" w:rsidR="001A7F62" w:rsidRPr="008E63BB" w:rsidRDefault="001A7F62" w:rsidP="00C90BF8">
            <w:pPr>
              <w:jc w:val="center"/>
              <w:rPr>
                <w:rFonts w:eastAsia="Times New Roman"/>
                <w:sz w:val="20"/>
                <w:szCs w:val="20"/>
              </w:rPr>
            </w:pPr>
            <w:r w:rsidRPr="008E63BB">
              <w:rPr>
                <w:rFonts w:eastAsia="Times New Roman"/>
                <w:sz w:val="20"/>
                <w:szCs w:val="20"/>
              </w:rPr>
              <w:t>≥1.000</w:t>
            </w:r>
          </w:p>
        </w:tc>
        <w:tc>
          <w:tcPr>
            <w:tcW w:w="1170" w:type="dxa"/>
            <w:tcBorders>
              <w:top w:val="nil"/>
              <w:left w:val="nil"/>
              <w:bottom w:val="single" w:sz="4" w:space="0" w:color="auto"/>
              <w:right w:val="single" w:sz="4" w:space="0" w:color="auto"/>
            </w:tcBorders>
            <w:shd w:val="clear" w:color="auto" w:fill="auto"/>
            <w:vAlign w:val="center"/>
            <w:hideMark/>
          </w:tcPr>
          <w:p w14:paraId="519B2DBE" w14:textId="77777777" w:rsidR="001A7F62" w:rsidRPr="008E63BB" w:rsidRDefault="001A7F62" w:rsidP="00C90BF8">
            <w:pPr>
              <w:jc w:val="center"/>
              <w:rPr>
                <w:rFonts w:eastAsia="Times New Roman"/>
                <w:sz w:val="20"/>
                <w:szCs w:val="20"/>
              </w:rPr>
            </w:pPr>
            <w:r w:rsidRPr="008E63BB">
              <w:rPr>
                <w:rFonts w:eastAsia="Times New Roman"/>
                <w:sz w:val="20"/>
                <w:szCs w:val="20"/>
              </w:rPr>
              <w:t>1,5 - 2</w:t>
            </w:r>
          </w:p>
        </w:tc>
        <w:tc>
          <w:tcPr>
            <w:tcW w:w="1890" w:type="dxa"/>
            <w:tcBorders>
              <w:top w:val="nil"/>
              <w:left w:val="nil"/>
              <w:bottom w:val="single" w:sz="4" w:space="0" w:color="auto"/>
              <w:right w:val="single" w:sz="4" w:space="0" w:color="auto"/>
            </w:tcBorders>
            <w:shd w:val="clear" w:color="auto" w:fill="auto"/>
            <w:noWrap/>
            <w:vAlign w:val="center"/>
            <w:hideMark/>
          </w:tcPr>
          <w:p w14:paraId="519B2DBF" w14:textId="77777777" w:rsidR="001A7F62" w:rsidRPr="008E63BB" w:rsidRDefault="001A7F62" w:rsidP="00C90BF8">
            <w:pPr>
              <w:jc w:val="center"/>
              <w:rPr>
                <w:rFonts w:eastAsia="Times New Roman"/>
                <w:sz w:val="20"/>
                <w:szCs w:val="20"/>
              </w:rPr>
            </w:pPr>
            <w:r w:rsidRPr="008E63BB">
              <w:rPr>
                <w:rFonts w:eastAsia="Times New Roman"/>
                <w:sz w:val="20"/>
                <w:szCs w:val="20"/>
              </w:rPr>
              <w:t>381,51</w:t>
            </w:r>
          </w:p>
        </w:tc>
        <w:tc>
          <w:tcPr>
            <w:tcW w:w="720" w:type="dxa"/>
            <w:tcBorders>
              <w:top w:val="nil"/>
              <w:left w:val="nil"/>
              <w:bottom w:val="single" w:sz="4" w:space="0" w:color="auto"/>
              <w:right w:val="single" w:sz="4" w:space="0" w:color="auto"/>
            </w:tcBorders>
            <w:shd w:val="clear" w:color="auto" w:fill="auto"/>
            <w:vAlign w:val="center"/>
            <w:hideMark/>
          </w:tcPr>
          <w:p w14:paraId="519B2DC0" w14:textId="77777777" w:rsidR="001A7F62" w:rsidRPr="008E63BB" w:rsidRDefault="001A7F62" w:rsidP="00C90BF8">
            <w:pPr>
              <w:jc w:val="center"/>
              <w:rPr>
                <w:rFonts w:eastAsia="Times New Roman"/>
                <w:sz w:val="20"/>
                <w:szCs w:val="20"/>
              </w:rPr>
            </w:pPr>
            <w:r w:rsidRPr="008E63BB">
              <w:rPr>
                <w:rFonts w:eastAsia="Times New Roman"/>
                <w:sz w:val="20"/>
                <w:szCs w:val="20"/>
              </w:rPr>
              <w:t>0,00</w:t>
            </w:r>
          </w:p>
        </w:tc>
      </w:tr>
      <w:tr w:rsidR="001A7F62" w:rsidRPr="008E63BB" w14:paraId="519B2DC8"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C2" w14:textId="77777777" w:rsidR="001A7F62" w:rsidRPr="008E63BB" w:rsidRDefault="001A7F62" w:rsidP="00C90BF8">
            <w:pPr>
              <w:jc w:val="center"/>
              <w:rPr>
                <w:rFonts w:eastAsia="Times New Roman"/>
                <w:sz w:val="20"/>
                <w:szCs w:val="20"/>
              </w:rPr>
            </w:pPr>
            <w:r w:rsidRPr="008E63BB">
              <w:rPr>
                <w:rFonts w:eastAsia="Times New Roman"/>
                <w:sz w:val="20"/>
                <w:szCs w:val="20"/>
              </w:rPr>
              <w:t>2.2</w:t>
            </w:r>
          </w:p>
        </w:tc>
        <w:tc>
          <w:tcPr>
            <w:tcW w:w="2738" w:type="dxa"/>
            <w:tcBorders>
              <w:top w:val="nil"/>
              <w:left w:val="nil"/>
              <w:bottom w:val="single" w:sz="4" w:space="0" w:color="auto"/>
              <w:right w:val="single" w:sz="4" w:space="0" w:color="auto"/>
            </w:tcBorders>
            <w:shd w:val="clear" w:color="auto" w:fill="auto"/>
            <w:vAlign w:val="center"/>
            <w:hideMark/>
          </w:tcPr>
          <w:p w14:paraId="519B2DC3" w14:textId="77777777" w:rsidR="001A7F62" w:rsidRPr="008E63BB" w:rsidRDefault="001A7F62" w:rsidP="00C90BF8">
            <w:pPr>
              <w:jc w:val="left"/>
              <w:rPr>
                <w:rFonts w:eastAsia="Times New Roman"/>
                <w:sz w:val="20"/>
                <w:szCs w:val="20"/>
              </w:rPr>
            </w:pPr>
            <w:r w:rsidRPr="008E63BB">
              <w:rPr>
                <w:rFonts w:eastAsia="Times New Roman"/>
                <w:sz w:val="20"/>
                <w:szCs w:val="20"/>
              </w:rPr>
              <w:t xml:space="preserve">Dân số nội thành (1.000 người) </w:t>
            </w:r>
          </w:p>
        </w:tc>
        <w:tc>
          <w:tcPr>
            <w:tcW w:w="1833" w:type="dxa"/>
            <w:tcBorders>
              <w:top w:val="nil"/>
              <w:left w:val="nil"/>
              <w:bottom w:val="single" w:sz="4" w:space="0" w:color="auto"/>
              <w:right w:val="single" w:sz="4" w:space="0" w:color="auto"/>
            </w:tcBorders>
            <w:shd w:val="clear" w:color="auto" w:fill="auto"/>
            <w:vAlign w:val="center"/>
            <w:hideMark/>
          </w:tcPr>
          <w:p w14:paraId="519B2DC4" w14:textId="77777777" w:rsidR="001A7F62" w:rsidRPr="008E63BB" w:rsidRDefault="001A7F62" w:rsidP="00C90BF8">
            <w:pPr>
              <w:jc w:val="center"/>
              <w:rPr>
                <w:rFonts w:eastAsia="Times New Roman"/>
                <w:sz w:val="20"/>
                <w:szCs w:val="20"/>
              </w:rPr>
            </w:pPr>
            <w:r w:rsidRPr="008E63BB">
              <w:rPr>
                <w:rFonts w:eastAsia="Times New Roman"/>
                <w:sz w:val="20"/>
                <w:szCs w:val="20"/>
              </w:rPr>
              <w:t>200- ≥ 500</w:t>
            </w:r>
          </w:p>
        </w:tc>
        <w:tc>
          <w:tcPr>
            <w:tcW w:w="1170" w:type="dxa"/>
            <w:tcBorders>
              <w:top w:val="nil"/>
              <w:left w:val="nil"/>
              <w:bottom w:val="single" w:sz="4" w:space="0" w:color="auto"/>
              <w:right w:val="single" w:sz="4" w:space="0" w:color="auto"/>
            </w:tcBorders>
            <w:shd w:val="clear" w:color="auto" w:fill="auto"/>
            <w:vAlign w:val="center"/>
            <w:hideMark/>
          </w:tcPr>
          <w:p w14:paraId="519B2DC5" w14:textId="77777777" w:rsidR="001A7F62" w:rsidRPr="008E63BB" w:rsidRDefault="001A7F62" w:rsidP="00C90BF8">
            <w:pPr>
              <w:jc w:val="center"/>
              <w:rPr>
                <w:rFonts w:eastAsia="Times New Roman"/>
                <w:sz w:val="20"/>
                <w:szCs w:val="20"/>
              </w:rPr>
            </w:pPr>
            <w:r w:rsidRPr="008E63BB">
              <w:rPr>
                <w:rFonts w:eastAsia="Times New Roman"/>
                <w:sz w:val="20"/>
                <w:szCs w:val="20"/>
              </w:rPr>
              <w:t>4,5 - 6,0</w:t>
            </w:r>
          </w:p>
        </w:tc>
        <w:tc>
          <w:tcPr>
            <w:tcW w:w="1890" w:type="dxa"/>
            <w:tcBorders>
              <w:top w:val="nil"/>
              <w:left w:val="nil"/>
              <w:bottom w:val="single" w:sz="4" w:space="0" w:color="auto"/>
              <w:right w:val="single" w:sz="4" w:space="0" w:color="auto"/>
            </w:tcBorders>
            <w:shd w:val="clear" w:color="auto" w:fill="auto"/>
            <w:noWrap/>
            <w:vAlign w:val="center"/>
            <w:hideMark/>
          </w:tcPr>
          <w:p w14:paraId="519B2DC6" w14:textId="77777777" w:rsidR="001A7F62" w:rsidRPr="008E63BB" w:rsidRDefault="001A7F62" w:rsidP="00C90BF8">
            <w:pPr>
              <w:jc w:val="center"/>
              <w:rPr>
                <w:rFonts w:eastAsia="Times New Roman"/>
                <w:sz w:val="20"/>
                <w:szCs w:val="20"/>
              </w:rPr>
            </w:pPr>
            <w:r w:rsidRPr="008E63BB">
              <w:rPr>
                <w:rFonts w:eastAsia="Times New Roman"/>
                <w:sz w:val="20"/>
                <w:szCs w:val="20"/>
              </w:rPr>
              <w:t>184,32</w:t>
            </w:r>
          </w:p>
        </w:tc>
        <w:tc>
          <w:tcPr>
            <w:tcW w:w="720" w:type="dxa"/>
            <w:tcBorders>
              <w:top w:val="nil"/>
              <w:left w:val="nil"/>
              <w:bottom w:val="single" w:sz="4" w:space="0" w:color="auto"/>
              <w:right w:val="single" w:sz="4" w:space="0" w:color="auto"/>
            </w:tcBorders>
            <w:shd w:val="clear" w:color="auto" w:fill="auto"/>
            <w:vAlign w:val="center"/>
            <w:hideMark/>
          </w:tcPr>
          <w:p w14:paraId="519B2DC7" w14:textId="77777777" w:rsidR="001A7F62" w:rsidRPr="008E63BB" w:rsidRDefault="001A7F62" w:rsidP="00C90BF8">
            <w:pPr>
              <w:jc w:val="center"/>
              <w:rPr>
                <w:rFonts w:eastAsia="Times New Roman"/>
                <w:sz w:val="20"/>
                <w:szCs w:val="20"/>
              </w:rPr>
            </w:pPr>
            <w:r w:rsidRPr="008E63BB">
              <w:rPr>
                <w:rFonts w:eastAsia="Times New Roman"/>
                <w:sz w:val="20"/>
                <w:szCs w:val="20"/>
              </w:rPr>
              <w:t>6,00</w:t>
            </w:r>
          </w:p>
        </w:tc>
      </w:tr>
      <w:tr w:rsidR="001A7F62" w:rsidRPr="008E63BB" w14:paraId="519B2DCF"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C9"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xml:space="preserve">III </w:t>
            </w:r>
          </w:p>
        </w:tc>
        <w:tc>
          <w:tcPr>
            <w:tcW w:w="2738" w:type="dxa"/>
            <w:tcBorders>
              <w:top w:val="nil"/>
              <w:left w:val="nil"/>
              <w:bottom w:val="single" w:sz="4" w:space="0" w:color="auto"/>
              <w:right w:val="single" w:sz="4" w:space="0" w:color="auto"/>
            </w:tcBorders>
            <w:shd w:val="clear" w:color="auto" w:fill="auto"/>
            <w:vAlign w:val="center"/>
            <w:hideMark/>
          </w:tcPr>
          <w:p w14:paraId="519B2DCA"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MẬT ĐỘ DÂN SỐ</w:t>
            </w:r>
          </w:p>
        </w:tc>
        <w:tc>
          <w:tcPr>
            <w:tcW w:w="1833" w:type="dxa"/>
            <w:tcBorders>
              <w:top w:val="nil"/>
              <w:left w:val="nil"/>
              <w:bottom w:val="single" w:sz="4" w:space="0" w:color="auto"/>
              <w:right w:val="single" w:sz="4" w:space="0" w:color="auto"/>
            </w:tcBorders>
            <w:shd w:val="clear" w:color="auto" w:fill="auto"/>
            <w:vAlign w:val="center"/>
            <w:hideMark/>
          </w:tcPr>
          <w:p w14:paraId="519B2DCB"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CC"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4,5 - 6</w:t>
            </w:r>
          </w:p>
        </w:tc>
        <w:tc>
          <w:tcPr>
            <w:tcW w:w="1890" w:type="dxa"/>
            <w:tcBorders>
              <w:top w:val="nil"/>
              <w:left w:val="nil"/>
              <w:bottom w:val="single" w:sz="4" w:space="0" w:color="auto"/>
              <w:right w:val="single" w:sz="4" w:space="0" w:color="auto"/>
            </w:tcBorders>
            <w:shd w:val="clear" w:color="auto" w:fill="auto"/>
            <w:noWrap/>
            <w:vAlign w:val="center"/>
            <w:hideMark/>
          </w:tcPr>
          <w:p w14:paraId="519B2DCD"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CE"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5,50</w:t>
            </w:r>
          </w:p>
        </w:tc>
      </w:tr>
      <w:tr w:rsidR="001A7F62" w:rsidRPr="008E63BB" w14:paraId="519B2DD6"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D0" w14:textId="77777777" w:rsidR="001A7F62" w:rsidRPr="008E63BB" w:rsidRDefault="001A7F62" w:rsidP="00C90BF8">
            <w:pPr>
              <w:jc w:val="center"/>
              <w:rPr>
                <w:rFonts w:eastAsia="Times New Roman"/>
                <w:sz w:val="20"/>
                <w:szCs w:val="20"/>
              </w:rPr>
            </w:pPr>
            <w:r w:rsidRPr="008E63BB">
              <w:rPr>
                <w:rFonts w:eastAsia="Times New Roman"/>
                <w:sz w:val="20"/>
                <w:szCs w:val="20"/>
              </w:rPr>
              <w:t>3.1</w:t>
            </w:r>
          </w:p>
        </w:tc>
        <w:tc>
          <w:tcPr>
            <w:tcW w:w="2738" w:type="dxa"/>
            <w:tcBorders>
              <w:top w:val="nil"/>
              <w:left w:val="nil"/>
              <w:bottom w:val="single" w:sz="4" w:space="0" w:color="auto"/>
              <w:right w:val="single" w:sz="4" w:space="0" w:color="auto"/>
            </w:tcBorders>
            <w:shd w:val="clear" w:color="auto" w:fill="auto"/>
            <w:vAlign w:val="center"/>
            <w:hideMark/>
          </w:tcPr>
          <w:p w14:paraId="519B2DD1" w14:textId="77777777" w:rsidR="001A7F62" w:rsidRPr="008E63BB" w:rsidRDefault="001A7F62" w:rsidP="00C90BF8">
            <w:pPr>
              <w:jc w:val="left"/>
              <w:rPr>
                <w:rFonts w:eastAsia="Times New Roman"/>
                <w:sz w:val="20"/>
                <w:szCs w:val="20"/>
              </w:rPr>
            </w:pPr>
            <w:r w:rsidRPr="008E63BB">
              <w:rPr>
                <w:rFonts w:eastAsia="Times New Roman"/>
                <w:sz w:val="20"/>
                <w:szCs w:val="20"/>
              </w:rPr>
              <w:t>Mật độ dân số toàn đô thị (người/km2 đất tự nhiên)</w:t>
            </w:r>
          </w:p>
        </w:tc>
        <w:tc>
          <w:tcPr>
            <w:tcW w:w="1833" w:type="dxa"/>
            <w:tcBorders>
              <w:top w:val="nil"/>
              <w:left w:val="nil"/>
              <w:bottom w:val="single" w:sz="4" w:space="0" w:color="auto"/>
              <w:right w:val="single" w:sz="4" w:space="0" w:color="auto"/>
            </w:tcBorders>
            <w:shd w:val="clear" w:color="auto" w:fill="auto"/>
            <w:vAlign w:val="center"/>
            <w:hideMark/>
          </w:tcPr>
          <w:p w14:paraId="519B2DD2" w14:textId="77777777" w:rsidR="001A7F62" w:rsidRPr="008E63BB" w:rsidRDefault="001A7F62" w:rsidP="00C90BF8">
            <w:pPr>
              <w:jc w:val="center"/>
              <w:rPr>
                <w:rFonts w:eastAsia="Times New Roman"/>
                <w:sz w:val="20"/>
                <w:szCs w:val="20"/>
              </w:rPr>
            </w:pPr>
            <w:r w:rsidRPr="008E63BB">
              <w:rPr>
                <w:rFonts w:eastAsia="Times New Roman"/>
                <w:sz w:val="20"/>
                <w:szCs w:val="20"/>
              </w:rPr>
              <w:t>2.000 - ≥3.000</w:t>
            </w:r>
          </w:p>
        </w:tc>
        <w:tc>
          <w:tcPr>
            <w:tcW w:w="1170" w:type="dxa"/>
            <w:tcBorders>
              <w:top w:val="nil"/>
              <w:left w:val="nil"/>
              <w:bottom w:val="single" w:sz="4" w:space="0" w:color="auto"/>
              <w:right w:val="single" w:sz="4" w:space="0" w:color="auto"/>
            </w:tcBorders>
            <w:shd w:val="clear" w:color="auto" w:fill="auto"/>
            <w:vAlign w:val="center"/>
            <w:hideMark/>
          </w:tcPr>
          <w:p w14:paraId="519B2DD3" w14:textId="77777777" w:rsidR="001A7F62" w:rsidRPr="008E63BB" w:rsidRDefault="001A7F62" w:rsidP="00C90BF8">
            <w:pPr>
              <w:jc w:val="center"/>
              <w:rPr>
                <w:rFonts w:eastAsia="Times New Roman"/>
                <w:sz w:val="20"/>
                <w:szCs w:val="20"/>
              </w:rPr>
            </w:pPr>
            <w:r w:rsidRPr="008E63BB">
              <w:rPr>
                <w:rFonts w:eastAsia="Times New Roman"/>
                <w:sz w:val="20"/>
                <w:szCs w:val="20"/>
              </w:rPr>
              <w:t>1 - 1,5</w:t>
            </w:r>
          </w:p>
        </w:tc>
        <w:tc>
          <w:tcPr>
            <w:tcW w:w="1890" w:type="dxa"/>
            <w:tcBorders>
              <w:top w:val="nil"/>
              <w:left w:val="nil"/>
              <w:bottom w:val="single" w:sz="4" w:space="0" w:color="auto"/>
              <w:right w:val="single" w:sz="4" w:space="0" w:color="auto"/>
            </w:tcBorders>
            <w:shd w:val="clear" w:color="auto" w:fill="auto"/>
            <w:vAlign w:val="center"/>
            <w:hideMark/>
          </w:tcPr>
          <w:p w14:paraId="519B2DD4" w14:textId="77777777" w:rsidR="001A7F62" w:rsidRPr="008E63BB" w:rsidRDefault="001A7F62" w:rsidP="00C90BF8">
            <w:pPr>
              <w:jc w:val="center"/>
              <w:rPr>
                <w:rFonts w:eastAsia="Times New Roman"/>
                <w:sz w:val="20"/>
                <w:szCs w:val="20"/>
              </w:rPr>
            </w:pPr>
            <w:r w:rsidRPr="008E63BB">
              <w:rPr>
                <w:rFonts w:eastAsia="Times New Roman"/>
                <w:sz w:val="20"/>
                <w:szCs w:val="20"/>
              </w:rPr>
              <w:t>2.029</w:t>
            </w:r>
          </w:p>
        </w:tc>
        <w:tc>
          <w:tcPr>
            <w:tcW w:w="720" w:type="dxa"/>
            <w:tcBorders>
              <w:top w:val="nil"/>
              <w:left w:val="nil"/>
              <w:bottom w:val="single" w:sz="4" w:space="0" w:color="auto"/>
              <w:right w:val="single" w:sz="4" w:space="0" w:color="auto"/>
            </w:tcBorders>
            <w:shd w:val="clear" w:color="auto" w:fill="auto"/>
            <w:noWrap/>
            <w:vAlign w:val="center"/>
            <w:hideMark/>
          </w:tcPr>
          <w:p w14:paraId="519B2DD5"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DDD"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D7" w14:textId="77777777" w:rsidR="001A7F62" w:rsidRPr="008E63BB" w:rsidRDefault="001A7F62" w:rsidP="00C90BF8">
            <w:pPr>
              <w:jc w:val="center"/>
              <w:rPr>
                <w:rFonts w:eastAsia="Times New Roman"/>
                <w:sz w:val="20"/>
                <w:szCs w:val="20"/>
              </w:rPr>
            </w:pPr>
            <w:r w:rsidRPr="008E63BB">
              <w:rPr>
                <w:rFonts w:eastAsia="Times New Roman"/>
                <w:sz w:val="20"/>
                <w:szCs w:val="20"/>
              </w:rPr>
              <w:t>3.2</w:t>
            </w:r>
          </w:p>
        </w:tc>
        <w:tc>
          <w:tcPr>
            <w:tcW w:w="2738" w:type="dxa"/>
            <w:tcBorders>
              <w:top w:val="nil"/>
              <w:left w:val="nil"/>
              <w:bottom w:val="single" w:sz="4" w:space="0" w:color="auto"/>
              <w:right w:val="single" w:sz="4" w:space="0" w:color="auto"/>
            </w:tcBorders>
            <w:shd w:val="clear" w:color="auto" w:fill="auto"/>
            <w:vAlign w:val="center"/>
            <w:hideMark/>
          </w:tcPr>
          <w:p w14:paraId="519B2DD8" w14:textId="77777777" w:rsidR="001A7F62" w:rsidRPr="008E63BB" w:rsidRDefault="001A7F62" w:rsidP="00C90BF8">
            <w:pPr>
              <w:jc w:val="left"/>
              <w:rPr>
                <w:rFonts w:eastAsia="Times New Roman"/>
                <w:sz w:val="20"/>
                <w:szCs w:val="20"/>
              </w:rPr>
            </w:pPr>
            <w:r w:rsidRPr="008E63BB">
              <w:rPr>
                <w:rFonts w:eastAsia="Times New Roman"/>
                <w:sz w:val="20"/>
                <w:szCs w:val="20"/>
              </w:rPr>
              <w:t>Mật độ dân số khu vực nội thành (người/km2 đất XD đô thị)</w:t>
            </w:r>
          </w:p>
        </w:tc>
        <w:tc>
          <w:tcPr>
            <w:tcW w:w="1833" w:type="dxa"/>
            <w:tcBorders>
              <w:top w:val="nil"/>
              <w:left w:val="nil"/>
              <w:bottom w:val="single" w:sz="4" w:space="0" w:color="auto"/>
              <w:right w:val="single" w:sz="4" w:space="0" w:color="auto"/>
            </w:tcBorders>
            <w:shd w:val="clear" w:color="auto" w:fill="auto"/>
            <w:vAlign w:val="center"/>
            <w:hideMark/>
          </w:tcPr>
          <w:p w14:paraId="519B2DD9" w14:textId="77777777" w:rsidR="001A7F62" w:rsidRPr="008E63BB" w:rsidRDefault="001A7F62" w:rsidP="00C90BF8">
            <w:pPr>
              <w:jc w:val="center"/>
              <w:rPr>
                <w:rFonts w:eastAsia="Times New Roman"/>
                <w:sz w:val="20"/>
                <w:szCs w:val="20"/>
              </w:rPr>
            </w:pPr>
            <w:r w:rsidRPr="008E63BB">
              <w:rPr>
                <w:rFonts w:eastAsia="Times New Roman"/>
                <w:sz w:val="20"/>
                <w:szCs w:val="20"/>
              </w:rPr>
              <w:t>10.000 - ≥12.000</w:t>
            </w:r>
          </w:p>
        </w:tc>
        <w:tc>
          <w:tcPr>
            <w:tcW w:w="1170" w:type="dxa"/>
            <w:tcBorders>
              <w:top w:val="nil"/>
              <w:left w:val="nil"/>
              <w:bottom w:val="single" w:sz="4" w:space="0" w:color="auto"/>
              <w:right w:val="single" w:sz="4" w:space="0" w:color="auto"/>
            </w:tcBorders>
            <w:shd w:val="clear" w:color="auto" w:fill="auto"/>
            <w:vAlign w:val="center"/>
            <w:hideMark/>
          </w:tcPr>
          <w:p w14:paraId="519B2DDA" w14:textId="77777777" w:rsidR="001A7F62" w:rsidRPr="008E63BB" w:rsidRDefault="001A7F62" w:rsidP="00C90BF8">
            <w:pPr>
              <w:jc w:val="center"/>
              <w:rPr>
                <w:rFonts w:eastAsia="Times New Roman"/>
                <w:sz w:val="20"/>
                <w:szCs w:val="20"/>
              </w:rPr>
            </w:pPr>
            <w:r w:rsidRPr="008E63BB">
              <w:rPr>
                <w:rFonts w:eastAsia="Times New Roman"/>
                <w:sz w:val="20"/>
                <w:szCs w:val="20"/>
              </w:rPr>
              <w:t>3,5 - 4,5</w:t>
            </w:r>
          </w:p>
        </w:tc>
        <w:tc>
          <w:tcPr>
            <w:tcW w:w="1890" w:type="dxa"/>
            <w:tcBorders>
              <w:top w:val="nil"/>
              <w:left w:val="nil"/>
              <w:bottom w:val="single" w:sz="4" w:space="0" w:color="auto"/>
              <w:right w:val="single" w:sz="4" w:space="0" w:color="auto"/>
            </w:tcBorders>
            <w:shd w:val="clear" w:color="auto" w:fill="auto"/>
            <w:vAlign w:val="center"/>
            <w:hideMark/>
          </w:tcPr>
          <w:p w14:paraId="519B2DDB" w14:textId="77777777" w:rsidR="001A7F62" w:rsidRPr="008E63BB" w:rsidRDefault="001A7F62" w:rsidP="00C90BF8">
            <w:pPr>
              <w:jc w:val="center"/>
              <w:rPr>
                <w:rFonts w:eastAsia="Times New Roman"/>
                <w:sz w:val="20"/>
                <w:szCs w:val="20"/>
              </w:rPr>
            </w:pPr>
            <w:r w:rsidRPr="008E63BB">
              <w:rPr>
                <w:rFonts w:eastAsia="Times New Roman"/>
                <w:sz w:val="20"/>
                <w:szCs w:val="20"/>
              </w:rPr>
              <w:t>11.772</w:t>
            </w:r>
          </w:p>
        </w:tc>
        <w:tc>
          <w:tcPr>
            <w:tcW w:w="720" w:type="dxa"/>
            <w:tcBorders>
              <w:top w:val="nil"/>
              <w:left w:val="nil"/>
              <w:bottom w:val="single" w:sz="4" w:space="0" w:color="auto"/>
              <w:right w:val="single" w:sz="4" w:space="0" w:color="auto"/>
            </w:tcBorders>
            <w:shd w:val="clear" w:color="auto" w:fill="auto"/>
            <w:noWrap/>
            <w:vAlign w:val="center"/>
            <w:hideMark/>
          </w:tcPr>
          <w:p w14:paraId="519B2DDC" w14:textId="77777777" w:rsidR="001A7F62" w:rsidRPr="008E63BB" w:rsidRDefault="001A7F62" w:rsidP="00C90BF8">
            <w:pPr>
              <w:jc w:val="center"/>
              <w:rPr>
                <w:rFonts w:eastAsia="Times New Roman"/>
                <w:sz w:val="20"/>
                <w:szCs w:val="20"/>
              </w:rPr>
            </w:pPr>
            <w:r w:rsidRPr="008E63BB">
              <w:rPr>
                <w:rFonts w:eastAsia="Times New Roman"/>
                <w:sz w:val="20"/>
                <w:szCs w:val="20"/>
              </w:rPr>
              <w:t>4,50</w:t>
            </w:r>
          </w:p>
        </w:tc>
      </w:tr>
      <w:tr w:rsidR="001A7F62" w:rsidRPr="008E63BB" w14:paraId="519B2DE4"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DE"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IV</w:t>
            </w:r>
          </w:p>
        </w:tc>
        <w:tc>
          <w:tcPr>
            <w:tcW w:w="2738" w:type="dxa"/>
            <w:tcBorders>
              <w:top w:val="nil"/>
              <w:left w:val="nil"/>
              <w:bottom w:val="single" w:sz="4" w:space="0" w:color="auto"/>
              <w:right w:val="single" w:sz="4" w:space="0" w:color="auto"/>
            </w:tcBorders>
            <w:shd w:val="clear" w:color="auto" w:fill="auto"/>
            <w:vAlign w:val="center"/>
            <w:hideMark/>
          </w:tcPr>
          <w:p w14:paraId="519B2DDF"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TỶ LỆ LAO ĐỘNG PHI NÔNG NGHIỆP</w:t>
            </w:r>
          </w:p>
        </w:tc>
        <w:tc>
          <w:tcPr>
            <w:tcW w:w="1833" w:type="dxa"/>
            <w:tcBorders>
              <w:top w:val="nil"/>
              <w:left w:val="nil"/>
              <w:bottom w:val="single" w:sz="4" w:space="0" w:color="auto"/>
              <w:right w:val="single" w:sz="4" w:space="0" w:color="auto"/>
            </w:tcBorders>
            <w:shd w:val="clear" w:color="auto" w:fill="auto"/>
            <w:vAlign w:val="center"/>
            <w:hideMark/>
          </w:tcPr>
          <w:p w14:paraId="519B2DE0"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E1"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4,5 - 6</w:t>
            </w:r>
          </w:p>
        </w:tc>
        <w:tc>
          <w:tcPr>
            <w:tcW w:w="1890" w:type="dxa"/>
            <w:tcBorders>
              <w:top w:val="nil"/>
              <w:left w:val="nil"/>
              <w:bottom w:val="single" w:sz="4" w:space="0" w:color="auto"/>
              <w:right w:val="single" w:sz="4" w:space="0" w:color="auto"/>
            </w:tcBorders>
            <w:shd w:val="clear" w:color="auto" w:fill="auto"/>
            <w:noWrap/>
            <w:vAlign w:val="center"/>
            <w:hideMark/>
          </w:tcPr>
          <w:p w14:paraId="519B2DE2"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E3"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5,80</w:t>
            </w:r>
          </w:p>
        </w:tc>
      </w:tr>
      <w:tr w:rsidR="001A7F62" w:rsidRPr="008E63BB" w14:paraId="519B2DEB"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E5" w14:textId="77777777" w:rsidR="001A7F62" w:rsidRPr="008E63BB" w:rsidRDefault="001A7F62" w:rsidP="00C90BF8">
            <w:pPr>
              <w:jc w:val="center"/>
              <w:rPr>
                <w:rFonts w:eastAsia="Times New Roman"/>
                <w:sz w:val="20"/>
                <w:szCs w:val="20"/>
              </w:rPr>
            </w:pPr>
            <w:r w:rsidRPr="008E63BB">
              <w:rPr>
                <w:rFonts w:eastAsia="Times New Roman"/>
                <w:sz w:val="20"/>
                <w:szCs w:val="20"/>
              </w:rPr>
              <w:t>4.1</w:t>
            </w:r>
          </w:p>
        </w:tc>
        <w:tc>
          <w:tcPr>
            <w:tcW w:w="2738" w:type="dxa"/>
            <w:tcBorders>
              <w:top w:val="nil"/>
              <w:left w:val="nil"/>
              <w:bottom w:val="single" w:sz="4" w:space="0" w:color="auto"/>
              <w:right w:val="single" w:sz="4" w:space="0" w:color="auto"/>
            </w:tcBorders>
            <w:shd w:val="clear" w:color="auto" w:fill="auto"/>
            <w:vAlign w:val="center"/>
            <w:hideMark/>
          </w:tcPr>
          <w:p w14:paraId="519B2DE6" w14:textId="77777777" w:rsidR="001A7F62" w:rsidRPr="008E63BB" w:rsidRDefault="001A7F62" w:rsidP="00C90BF8">
            <w:pPr>
              <w:jc w:val="left"/>
              <w:rPr>
                <w:rFonts w:eastAsia="Times New Roman"/>
                <w:sz w:val="20"/>
                <w:szCs w:val="20"/>
              </w:rPr>
            </w:pPr>
            <w:r w:rsidRPr="008E63BB">
              <w:rPr>
                <w:rFonts w:eastAsia="Times New Roman"/>
                <w:sz w:val="20"/>
                <w:szCs w:val="20"/>
              </w:rPr>
              <w:t>Tỷ lệ lao động phi nông nghiệp toàn đô thị (%)</w:t>
            </w:r>
          </w:p>
        </w:tc>
        <w:tc>
          <w:tcPr>
            <w:tcW w:w="1833" w:type="dxa"/>
            <w:tcBorders>
              <w:top w:val="nil"/>
              <w:left w:val="nil"/>
              <w:bottom w:val="single" w:sz="4" w:space="0" w:color="auto"/>
              <w:right w:val="single" w:sz="4" w:space="0" w:color="auto"/>
            </w:tcBorders>
            <w:shd w:val="clear" w:color="auto" w:fill="auto"/>
            <w:vAlign w:val="center"/>
            <w:hideMark/>
          </w:tcPr>
          <w:p w14:paraId="519B2DE7" w14:textId="77777777" w:rsidR="001A7F62" w:rsidRPr="008E63BB" w:rsidRDefault="001A7F62" w:rsidP="00C90BF8">
            <w:pPr>
              <w:jc w:val="center"/>
              <w:rPr>
                <w:rFonts w:eastAsia="Times New Roman"/>
                <w:sz w:val="20"/>
                <w:szCs w:val="20"/>
              </w:rPr>
            </w:pPr>
            <w:r w:rsidRPr="008E63BB">
              <w:rPr>
                <w:rFonts w:eastAsia="Times New Roman"/>
                <w:sz w:val="20"/>
                <w:szCs w:val="20"/>
              </w:rPr>
              <w:t>65 - ≥75</w:t>
            </w:r>
          </w:p>
        </w:tc>
        <w:tc>
          <w:tcPr>
            <w:tcW w:w="1170" w:type="dxa"/>
            <w:tcBorders>
              <w:top w:val="nil"/>
              <w:left w:val="nil"/>
              <w:bottom w:val="single" w:sz="4" w:space="0" w:color="auto"/>
              <w:right w:val="single" w:sz="4" w:space="0" w:color="auto"/>
            </w:tcBorders>
            <w:shd w:val="clear" w:color="auto" w:fill="auto"/>
            <w:vAlign w:val="center"/>
            <w:hideMark/>
          </w:tcPr>
          <w:p w14:paraId="519B2DE8" w14:textId="77777777" w:rsidR="001A7F62" w:rsidRPr="008E63BB" w:rsidRDefault="001A7F62" w:rsidP="00C90BF8">
            <w:pPr>
              <w:jc w:val="center"/>
              <w:rPr>
                <w:rFonts w:eastAsia="Times New Roman"/>
                <w:sz w:val="20"/>
                <w:szCs w:val="20"/>
              </w:rPr>
            </w:pPr>
            <w:r w:rsidRPr="008E63BB">
              <w:rPr>
                <w:rFonts w:eastAsia="Times New Roman"/>
                <w:sz w:val="20"/>
                <w:szCs w:val="20"/>
              </w:rPr>
              <w:t>1 - 1,5</w:t>
            </w:r>
          </w:p>
        </w:tc>
        <w:tc>
          <w:tcPr>
            <w:tcW w:w="1890" w:type="dxa"/>
            <w:tcBorders>
              <w:top w:val="nil"/>
              <w:left w:val="nil"/>
              <w:bottom w:val="nil"/>
              <w:right w:val="nil"/>
            </w:tcBorders>
            <w:shd w:val="clear" w:color="auto" w:fill="auto"/>
            <w:noWrap/>
            <w:vAlign w:val="center"/>
            <w:hideMark/>
          </w:tcPr>
          <w:p w14:paraId="519B2DE9" w14:textId="77777777" w:rsidR="001A7F62" w:rsidRPr="008E63BB" w:rsidRDefault="001A7F62" w:rsidP="00C90BF8">
            <w:pPr>
              <w:jc w:val="center"/>
              <w:rPr>
                <w:rFonts w:eastAsia="Times New Roman"/>
                <w:sz w:val="20"/>
                <w:szCs w:val="20"/>
              </w:rPr>
            </w:pPr>
            <w:r w:rsidRPr="008E63BB">
              <w:rPr>
                <w:rFonts w:eastAsia="Times New Roman"/>
                <w:sz w:val="20"/>
                <w:szCs w:val="20"/>
              </w:rPr>
              <w:t>70,98</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19B2DEA" w14:textId="77777777" w:rsidR="001A7F62" w:rsidRPr="008E63BB" w:rsidRDefault="001A7F62" w:rsidP="00C90BF8">
            <w:pPr>
              <w:jc w:val="center"/>
              <w:rPr>
                <w:rFonts w:eastAsia="Times New Roman"/>
                <w:sz w:val="20"/>
                <w:szCs w:val="20"/>
              </w:rPr>
            </w:pPr>
            <w:r w:rsidRPr="008E63BB">
              <w:rPr>
                <w:rFonts w:eastAsia="Times New Roman"/>
                <w:sz w:val="20"/>
                <w:szCs w:val="20"/>
              </w:rPr>
              <w:t>1,30</w:t>
            </w:r>
          </w:p>
        </w:tc>
      </w:tr>
      <w:tr w:rsidR="001A7F62" w:rsidRPr="008E63BB" w14:paraId="519B2DF2"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EC" w14:textId="77777777" w:rsidR="001A7F62" w:rsidRPr="008E63BB" w:rsidRDefault="001A7F62" w:rsidP="00C90BF8">
            <w:pPr>
              <w:jc w:val="center"/>
              <w:rPr>
                <w:rFonts w:eastAsia="Times New Roman"/>
                <w:sz w:val="20"/>
                <w:szCs w:val="20"/>
              </w:rPr>
            </w:pPr>
            <w:r w:rsidRPr="008E63BB">
              <w:rPr>
                <w:rFonts w:eastAsia="Times New Roman"/>
                <w:sz w:val="20"/>
                <w:szCs w:val="20"/>
              </w:rPr>
              <w:t>4.2</w:t>
            </w:r>
          </w:p>
        </w:tc>
        <w:tc>
          <w:tcPr>
            <w:tcW w:w="2738" w:type="dxa"/>
            <w:tcBorders>
              <w:top w:val="nil"/>
              <w:left w:val="nil"/>
              <w:bottom w:val="single" w:sz="4" w:space="0" w:color="auto"/>
              <w:right w:val="single" w:sz="4" w:space="0" w:color="auto"/>
            </w:tcBorders>
            <w:shd w:val="clear" w:color="auto" w:fill="auto"/>
            <w:vAlign w:val="center"/>
            <w:hideMark/>
          </w:tcPr>
          <w:p w14:paraId="519B2DED" w14:textId="77777777" w:rsidR="001A7F62" w:rsidRPr="008E63BB" w:rsidRDefault="001A7F62" w:rsidP="00C90BF8">
            <w:pPr>
              <w:jc w:val="left"/>
              <w:rPr>
                <w:rFonts w:eastAsia="Times New Roman"/>
                <w:sz w:val="20"/>
                <w:szCs w:val="20"/>
              </w:rPr>
            </w:pPr>
            <w:r w:rsidRPr="008E63BB">
              <w:rPr>
                <w:rFonts w:eastAsia="Times New Roman"/>
                <w:sz w:val="20"/>
                <w:szCs w:val="20"/>
              </w:rPr>
              <w:t>Tỷ lệ lao động phi nông nghiệp khu vực nội thành (%)</w:t>
            </w:r>
          </w:p>
        </w:tc>
        <w:tc>
          <w:tcPr>
            <w:tcW w:w="1833" w:type="dxa"/>
            <w:tcBorders>
              <w:top w:val="nil"/>
              <w:left w:val="nil"/>
              <w:bottom w:val="single" w:sz="4" w:space="0" w:color="auto"/>
              <w:right w:val="single" w:sz="4" w:space="0" w:color="auto"/>
            </w:tcBorders>
            <w:shd w:val="clear" w:color="auto" w:fill="auto"/>
            <w:vAlign w:val="center"/>
            <w:hideMark/>
          </w:tcPr>
          <w:p w14:paraId="519B2DEE" w14:textId="77777777" w:rsidR="001A7F62" w:rsidRPr="008E63BB" w:rsidRDefault="001A7F62" w:rsidP="00C90BF8">
            <w:pPr>
              <w:jc w:val="center"/>
              <w:rPr>
                <w:rFonts w:eastAsia="Times New Roman"/>
                <w:sz w:val="20"/>
                <w:szCs w:val="20"/>
              </w:rPr>
            </w:pPr>
            <w:r w:rsidRPr="008E63BB">
              <w:rPr>
                <w:rFonts w:eastAsia="Times New Roman"/>
                <w:sz w:val="20"/>
                <w:szCs w:val="20"/>
              </w:rPr>
              <w:t>85 - ≥90</w:t>
            </w:r>
          </w:p>
        </w:tc>
        <w:tc>
          <w:tcPr>
            <w:tcW w:w="1170" w:type="dxa"/>
            <w:tcBorders>
              <w:top w:val="nil"/>
              <w:left w:val="nil"/>
              <w:bottom w:val="single" w:sz="4" w:space="0" w:color="auto"/>
              <w:right w:val="single" w:sz="4" w:space="0" w:color="auto"/>
            </w:tcBorders>
            <w:shd w:val="clear" w:color="auto" w:fill="auto"/>
            <w:vAlign w:val="center"/>
            <w:hideMark/>
          </w:tcPr>
          <w:p w14:paraId="519B2DEF" w14:textId="77777777" w:rsidR="001A7F62" w:rsidRPr="008E63BB" w:rsidRDefault="001A7F62" w:rsidP="00C90BF8">
            <w:pPr>
              <w:jc w:val="center"/>
              <w:rPr>
                <w:rFonts w:eastAsia="Times New Roman"/>
                <w:sz w:val="20"/>
                <w:szCs w:val="20"/>
              </w:rPr>
            </w:pPr>
            <w:r w:rsidRPr="008E63BB">
              <w:rPr>
                <w:rFonts w:eastAsia="Times New Roman"/>
                <w:sz w:val="20"/>
                <w:szCs w:val="20"/>
              </w:rPr>
              <w:t>3,5 - 4,5</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14:paraId="519B2DF0" w14:textId="77777777" w:rsidR="001A7F62" w:rsidRPr="008E63BB" w:rsidRDefault="001A7F62" w:rsidP="00C90BF8">
            <w:pPr>
              <w:jc w:val="center"/>
              <w:rPr>
                <w:rFonts w:eastAsia="Times New Roman"/>
                <w:sz w:val="20"/>
                <w:szCs w:val="20"/>
              </w:rPr>
            </w:pPr>
            <w:r w:rsidRPr="008E63BB">
              <w:rPr>
                <w:rFonts w:eastAsia="Times New Roman"/>
                <w:sz w:val="20"/>
                <w:szCs w:val="20"/>
              </w:rPr>
              <w:t>91,72</w:t>
            </w:r>
          </w:p>
        </w:tc>
        <w:tc>
          <w:tcPr>
            <w:tcW w:w="720" w:type="dxa"/>
            <w:tcBorders>
              <w:top w:val="nil"/>
              <w:left w:val="nil"/>
              <w:bottom w:val="single" w:sz="4" w:space="0" w:color="auto"/>
              <w:right w:val="single" w:sz="4" w:space="0" w:color="auto"/>
            </w:tcBorders>
            <w:shd w:val="clear" w:color="auto" w:fill="auto"/>
            <w:noWrap/>
            <w:vAlign w:val="center"/>
            <w:hideMark/>
          </w:tcPr>
          <w:p w14:paraId="519B2DF1" w14:textId="77777777" w:rsidR="001A7F62" w:rsidRPr="008E63BB" w:rsidRDefault="001A7F62" w:rsidP="00C90BF8">
            <w:pPr>
              <w:jc w:val="center"/>
              <w:rPr>
                <w:rFonts w:eastAsia="Times New Roman"/>
                <w:sz w:val="20"/>
                <w:szCs w:val="20"/>
              </w:rPr>
            </w:pPr>
            <w:r w:rsidRPr="008E63BB">
              <w:rPr>
                <w:rFonts w:eastAsia="Times New Roman"/>
                <w:sz w:val="20"/>
                <w:szCs w:val="20"/>
              </w:rPr>
              <w:t>4,50</w:t>
            </w:r>
          </w:p>
        </w:tc>
      </w:tr>
      <w:tr w:rsidR="001A7F62" w:rsidRPr="008E63BB" w14:paraId="519B2DF9"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F3"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V</w:t>
            </w:r>
          </w:p>
        </w:tc>
        <w:tc>
          <w:tcPr>
            <w:tcW w:w="2738" w:type="dxa"/>
            <w:tcBorders>
              <w:top w:val="nil"/>
              <w:left w:val="nil"/>
              <w:bottom w:val="single" w:sz="4" w:space="0" w:color="auto"/>
              <w:right w:val="single" w:sz="4" w:space="0" w:color="auto"/>
            </w:tcBorders>
            <w:shd w:val="clear" w:color="auto" w:fill="auto"/>
            <w:vAlign w:val="center"/>
            <w:hideMark/>
          </w:tcPr>
          <w:p w14:paraId="519B2DF4"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CƠ SỞ HẠ TẦNG VÀ KIẾN TRÚC CẢNH QUAN</w:t>
            </w:r>
          </w:p>
        </w:tc>
        <w:tc>
          <w:tcPr>
            <w:tcW w:w="1833" w:type="dxa"/>
            <w:tcBorders>
              <w:top w:val="nil"/>
              <w:left w:val="nil"/>
              <w:bottom w:val="single" w:sz="4" w:space="0" w:color="auto"/>
              <w:right w:val="single" w:sz="4" w:space="0" w:color="auto"/>
            </w:tcBorders>
            <w:shd w:val="clear" w:color="auto" w:fill="auto"/>
            <w:vAlign w:val="center"/>
            <w:hideMark/>
          </w:tcPr>
          <w:p w14:paraId="519B2DF5"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F6"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45 - 60</w:t>
            </w:r>
          </w:p>
        </w:tc>
        <w:tc>
          <w:tcPr>
            <w:tcW w:w="1890" w:type="dxa"/>
            <w:tcBorders>
              <w:top w:val="nil"/>
              <w:left w:val="nil"/>
              <w:bottom w:val="single" w:sz="4" w:space="0" w:color="auto"/>
              <w:right w:val="single" w:sz="4" w:space="0" w:color="auto"/>
            </w:tcBorders>
            <w:shd w:val="clear" w:color="auto" w:fill="auto"/>
            <w:noWrap/>
            <w:vAlign w:val="center"/>
            <w:hideMark/>
          </w:tcPr>
          <w:p w14:paraId="519B2DF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F8"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45,34</w:t>
            </w:r>
          </w:p>
        </w:tc>
      </w:tr>
      <w:tr w:rsidR="001A7F62" w:rsidRPr="008E63BB" w14:paraId="519B2E00"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DFA"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5.A</w:t>
            </w:r>
          </w:p>
        </w:tc>
        <w:tc>
          <w:tcPr>
            <w:tcW w:w="2738" w:type="dxa"/>
            <w:tcBorders>
              <w:top w:val="nil"/>
              <w:left w:val="nil"/>
              <w:bottom w:val="single" w:sz="4" w:space="0" w:color="auto"/>
              <w:right w:val="single" w:sz="4" w:space="0" w:color="auto"/>
            </w:tcBorders>
            <w:shd w:val="clear" w:color="auto" w:fill="auto"/>
            <w:vAlign w:val="center"/>
            <w:hideMark/>
          </w:tcPr>
          <w:p w14:paraId="519B2DFB"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Cơ sở hạ tầng và kiến trúc, cảnh quan khu vực nội thành</w:t>
            </w:r>
          </w:p>
        </w:tc>
        <w:tc>
          <w:tcPr>
            <w:tcW w:w="1833" w:type="dxa"/>
            <w:tcBorders>
              <w:top w:val="nil"/>
              <w:left w:val="nil"/>
              <w:bottom w:val="single" w:sz="4" w:space="0" w:color="auto"/>
              <w:right w:val="single" w:sz="4" w:space="0" w:color="auto"/>
            </w:tcBorders>
            <w:shd w:val="clear" w:color="auto" w:fill="auto"/>
            <w:vAlign w:val="center"/>
            <w:hideMark/>
          </w:tcPr>
          <w:p w14:paraId="519B2DFC"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DFD"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36-48</w:t>
            </w:r>
          </w:p>
        </w:tc>
        <w:tc>
          <w:tcPr>
            <w:tcW w:w="1890" w:type="dxa"/>
            <w:tcBorders>
              <w:top w:val="nil"/>
              <w:left w:val="nil"/>
              <w:bottom w:val="single" w:sz="4" w:space="0" w:color="auto"/>
              <w:right w:val="single" w:sz="4" w:space="0" w:color="auto"/>
            </w:tcBorders>
            <w:shd w:val="clear" w:color="auto" w:fill="auto"/>
            <w:noWrap/>
            <w:vAlign w:val="center"/>
            <w:hideMark/>
          </w:tcPr>
          <w:p w14:paraId="519B2DFE"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DFF"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33,34</w:t>
            </w:r>
          </w:p>
        </w:tc>
      </w:tr>
      <w:tr w:rsidR="001A7F62" w:rsidRPr="008E63BB" w14:paraId="519B2E07"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01"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5.A.1</w:t>
            </w:r>
          </w:p>
        </w:tc>
        <w:tc>
          <w:tcPr>
            <w:tcW w:w="2738" w:type="dxa"/>
            <w:tcBorders>
              <w:top w:val="nil"/>
              <w:left w:val="nil"/>
              <w:bottom w:val="single" w:sz="4" w:space="0" w:color="auto"/>
              <w:right w:val="single" w:sz="4" w:space="0" w:color="auto"/>
            </w:tcBorders>
            <w:shd w:val="clear" w:color="auto" w:fill="auto"/>
            <w:vAlign w:val="center"/>
            <w:hideMark/>
          </w:tcPr>
          <w:p w14:paraId="519B2E02"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Các tiêu chuẩn về hạ tầng xã hội</w:t>
            </w:r>
          </w:p>
        </w:tc>
        <w:tc>
          <w:tcPr>
            <w:tcW w:w="1833" w:type="dxa"/>
            <w:tcBorders>
              <w:top w:val="nil"/>
              <w:left w:val="nil"/>
              <w:bottom w:val="single" w:sz="4" w:space="0" w:color="auto"/>
              <w:right w:val="single" w:sz="4" w:space="0" w:color="auto"/>
            </w:tcBorders>
            <w:shd w:val="clear" w:color="auto" w:fill="auto"/>
            <w:vAlign w:val="center"/>
            <w:hideMark/>
          </w:tcPr>
          <w:p w14:paraId="519B2E03"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04"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7,5-10</w:t>
            </w:r>
          </w:p>
        </w:tc>
        <w:tc>
          <w:tcPr>
            <w:tcW w:w="1890" w:type="dxa"/>
            <w:tcBorders>
              <w:top w:val="nil"/>
              <w:left w:val="nil"/>
              <w:bottom w:val="single" w:sz="4" w:space="0" w:color="auto"/>
              <w:right w:val="single" w:sz="4" w:space="0" w:color="auto"/>
            </w:tcBorders>
            <w:shd w:val="clear" w:color="auto" w:fill="auto"/>
            <w:noWrap/>
            <w:vAlign w:val="center"/>
            <w:hideMark/>
          </w:tcPr>
          <w:p w14:paraId="519B2E05"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E06"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7,50</w:t>
            </w:r>
          </w:p>
        </w:tc>
      </w:tr>
      <w:tr w:rsidR="001A7F62" w:rsidRPr="008E63BB" w14:paraId="519B2E0E" w14:textId="77777777" w:rsidTr="00C90BF8">
        <w:trPr>
          <w:trHeight w:val="31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08"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a)</w:t>
            </w:r>
          </w:p>
        </w:tc>
        <w:tc>
          <w:tcPr>
            <w:tcW w:w="2738" w:type="dxa"/>
            <w:tcBorders>
              <w:top w:val="nil"/>
              <w:left w:val="nil"/>
              <w:bottom w:val="single" w:sz="4" w:space="0" w:color="auto"/>
              <w:right w:val="single" w:sz="4" w:space="0" w:color="auto"/>
            </w:tcBorders>
            <w:shd w:val="clear" w:color="auto" w:fill="auto"/>
            <w:vAlign w:val="center"/>
            <w:hideMark/>
          </w:tcPr>
          <w:p w14:paraId="519B2E09"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Nhà ở</w:t>
            </w:r>
          </w:p>
        </w:tc>
        <w:tc>
          <w:tcPr>
            <w:tcW w:w="1833" w:type="dxa"/>
            <w:tcBorders>
              <w:top w:val="nil"/>
              <w:left w:val="nil"/>
              <w:bottom w:val="single" w:sz="4" w:space="0" w:color="auto"/>
              <w:right w:val="single" w:sz="4" w:space="0" w:color="auto"/>
            </w:tcBorders>
            <w:shd w:val="clear" w:color="auto" w:fill="auto"/>
            <w:vAlign w:val="center"/>
            <w:hideMark/>
          </w:tcPr>
          <w:p w14:paraId="519B2E0A"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0B"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1,5-2</w:t>
            </w:r>
          </w:p>
        </w:tc>
        <w:tc>
          <w:tcPr>
            <w:tcW w:w="1890" w:type="dxa"/>
            <w:tcBorders>
              <w:top w:val="nil"/>
              <w:left w:val="nil"/>
              <w:bottom w:val="single" w:sz="4" w:space="0" w:color="auto"/>
              <w:right w:val="single" w:sz="4" w:space="0" w:color="auto"/>
            </w:tcBorders>
            <w:shd w:val="clear" w:color="auto" w:fill="auto"/>
            <w:noWrap/>
            <w:vAlign w:val="center"/>
            <w:hideMark/>
          </w:tcPr>
          <w:p w14:paraId="519B2E0C"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E0D"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1,00</w:t>
            </w:r>
          </w:p>
        </w:tc>
      </w:tr>
      <w:tr w:rsidR="001A7F62" w:rsidRPr="008E63BB" w14:paraId="519B2E15" w14:textId="77777777" w:rsidTr="00C90BF8">
        <w:trPr>
          <w:trHeight w:val="60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0F"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10" w14:textId="77777777" w:rsidR="001A7F62" w:rsidRPr="008E63BB" w:rsidRDefault="001A7F62" w:rsidP="00C90BF8">
            <w:pPr>
              <w:jc w:val="left"/>
              <w:rPr>
                <w:rFonts w:eastAsia="Times New Roman"/>
                <w:sz w:val="20"/>
                <w:szCs w:val="20"/>
              </w:rPr>
            </w:pPr>
            <w:r w:rsidRPr="008E63BB">
              <w:rPr>
                <w:rFonts w:eastAsia="Times New Roman"/>
                <w:sz w:val="20"/>
                <w:szCs w:val="20"/>
              </w:rPr>
              <w:t>Diện tích sàn nhà ở bình quân cho khu vực nội thành (m2 sàn/người)</w:t>
            </w:r>
          </w:p>
        </w:tc>
        <w:tc>
          <w:tcPr>
            <w:tcW w:w="1833" w:type="dxa"/>
            <w:tcBorders>
              <w:top w:val="nil"/>
              <w:left w:val="nil"/>
              <w:bottom w:val="single" w:sz="4" w:space="0" w:color="auto"/>
              <w:right w:val="single" w:sz="4" w:space="0" w:color="auto"/>
            </w:tcBorders>
            <w:shd w:val="clear" w:color="auto" w:fill="auto"/>
            <w:vAlign w:val="center"/>
            <w:hideMark/>
          </w:tcPr>
          <w:p w14:paraId="519B2E11" w14:textId="77777777" w:rsidR="001A7F62" w:rsidRPr="008E63BB" w:rsidRDefault="001A7F62" w:rsidP="00C90BF8">
            <w:pPr>
              <w:jc w:val="center"/>
              <w:rPr>
                <w:rFonts w:eastAsia="Times New Roman"/>
                <w:sz w:val="20"/>
                <w:szCs w:val="20"/>
              </w:rPr>
            </w:pPr>
            <w:r w:rsidRPr="008E63BB">
              <w:rPr>
                <w:rFonts w:eastAsia="Times New Roman"/>
                <w:sz w:val="20"/>
                <w:szCs w:val="20"/>
              </w:rPr>
              <w:t>26,5 -≥29</w:t>
            </w:r>
          </w:p>
        </w:tc>
        <w:tc>
          <w:tcPr>
            <w:tcW w:w="1170" w:type="dxa"/>
            <w:tcBorders>
              <w:top w:val="nil"/>
              <w:left w:val="nil"/>
              <w:bottom w:val="single" w:sz="4" w:space="0" w:color="auto"/>
              <w:right w:val="single" w:sz="4" w:space="0" w:color="auto"/>
            </w:tcBorders>
            <w:shd w:val="clear" w:color="auto" w:fill="auto"/>
            <w:vAlign w:val="center"/>
            <w:hideMark/>
          </w:tcPr>
          <w:p w14:paraId="519B2E12"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center"/>
            <w:hideMark/>
          </w:tcPr>
          <w:p w14:paraId="519B2E13" w14:textId="77777777" w:rsidR="001A7F62" w:rsidRPr="008E63BB" w:rsidRDefault="001A7F62" w:rsidP="00C90BF8">
            <w:pPr>
              <w:jc w:val="center"/>
              <w:rPr>
                <w:rFonts w:eastAsia="Times New Roman"/>
                <w:sz w:val="20"/>
                <w:szCs w:val="20"/>
              </w:rPr>
            </w:pPr>
            <w:r w:rsidRPr="008E63BB">
              <w:rPr>
                <w:rFonts w:eastAsia="Times New Roman"/>
                <w:sz w:val="20"/>
                <w:szCs w:val="20"/>
              </w:rPr>
              <w:t>17,50</w:t>
            </w:r>
          </w:p>
        </w:tc>
        <w:tc>
          <w:tcPr>
            <w:tcW w:w="720" w:type="dxa"/>
            <w:tcBorders>
              <w:top w:val="nil"/>
              <w:left w:val="nil"/>
              <w:bottom w:val="single" w:sz="4" w:space="0" w:color="auto"/>
              <w:right w:val="single" w:sz="4" w:space="0" w:color="auto"/>
            </w:tcBorders>
            <w:shd w:val="clear" w:color="auto" w:fill="auto"/>
            <w:noWrap/>
            <w:vAlign w:val="center"/>
            <w:hideMark/>
          </w:tcPr>
          <w:p w14:paraId="519B2E14" w14:textId="77777777" w:rsidR="001A7F62" w:rsidRPr="008E63BB" w:rsidRDefault="001A7F62" w:rsidP="00C90BF8">
            <w:pPr>
              <w:jc w:val="center"/>
              <w:rPr>
                <w:rFonts w:eastAsia="Times New Roman"/>
                <w:sz w:val="20"/>
                <w:szCs w:val="20"/>
              </w:rPr>
            </w:pPr>
            <w:r w:rsidRPr="008E63BB">
              <w:rPr>
                <w:rFonts w:eastAsia="Times New Roman"/>
                <w:sz w:val="20"/>
                <w:szCs w:val="20"/>
              </w:rPr>
              <w:t>0,00</w:t>
            </w:r>
          </w:p>
        </w:tc>
      </w:tr>
      <w:tr w:rsidR="001A7F62" w:rsidRPr="008E63BB" w14:paraId="519B2E1C"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16"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17" w14:textId="77777777" w:rsidR="001A7F62" w:rsidRPr="008E63BB" w:rsidRDefault="001A7F62" w:rsidP="00C90BF8">
            <w:pPr>
              <w:jc w:val="left"/>
              <w:rPr>
                <w:rFonts w:eastAsia="Times New Roman"/>
                <w:sz w:val="20"/>
                <w:szCs w:val="20"/>
              </w:rPr>
            </w:pPr>
            <w:r w:rsidRPr="008E63BB">
              <w:rPr>
                <w:rFonts w:eastAsia="Times New Roman"/>
                <w:sz w:val="20"/>
                <w:szCs w:val="20"/>
              </w:rPr>
              <w:t>Tỷ lệ nhà ở kiên cố, khá kiên cố, bán kiên cố cho khu vực nội thành (%)</w:t>
            </w:r>
          </w:p>
        </w:tc>
        <w:tc>
          <w:tcPr>
            <w:tcW w:w="1833" w:type="dxa"/>
            <w:tcBorders>
              <w:top w:val="nil"/>
              <w:left w:val="nil"/>
              <w:bottom w:val="single" w:sz="4" w:space="0" w:color="auto"/>
              <w:right w:val="single" w:sz="4" w:space="0" w:color="auto"/>
            </w:tcBorders>
            <w:shd w:val="clear" w:color="auto" w:fill="auto"/>
            <w:vAlign w:val="center"/>
            <w:hideMark/>
          </w:tcPr>
          <w:p w14:paraId="519B2E18" w14:textId="77777777" w:rsidR="001A7F62" w:rsidRPr="008E63BB" w:rsidRDefault="001A7F62" w:rsidP="00C90BF8">
            <w:pPr>
              <w:jc w:val="center"/>
              <w:rPr>
                <w:rFonts w:eastAsia="Times New Roman"/>
                <w:sz w:val="20"/>
                <w:szCs w:val="20"/>
              </w:rPr>
            </w:pPr>
            <w:r w:rsidRPr="008E63BB">
              <w:rPr>
                <w:rFonts w:eastAsia="Times New Roman"/>
                <w:sz w:val="20"/>
                <w:szCs w:val="20"/>
              </w:rPr>
              <w:t>90 -≥95</w:t>
            </w:r>
          </w:p>
        </w:tc>
        <w:tc>
          <w:tcPr>
            <w:tcW w:w="1170" w:type="dxa"/>
            <w:tcBorders>
              <w:top w:val="nil"/>
              <w:left w:val="nil"/>
              <w:bottom w:val="single" w:sz="4" w:space="0" w:color="auto"/>
              <w:right w:val="single" w:sz="4" w:space="0" w:color="auto"/>
            </w:tcBorders>
            <w:shd w:val="clear" w:color="auto" w:fill="auto"/>
            <w:vAlign w:val="center"/>
            <w:hideMark/>
          </w:tcPr>
          <w:p w14:paraId="519B2E19"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center"/>
            <w:hideMark/>
          </w:tcPr>
          <w:p w14:paraId="519B2E1A" w14:textId="77777777" w:rsidR="001A7F62" w:rsidRPr="008E63BB" w:rsidRDefault="001A7F62" w:rsidP="00C90BF8">
            <w:pPr>
              <w:jc w:val="center"/>
              <w:rPr>
                <w:rFonts w:eastAsia="Times New Roman"/>
                <w:sz w:val="20"/>
                <w:szCs w:val="20"/>
              </w:rPr>
            </w:pPr>
            <w:r w:rsidRPr="008E63BB">
              <w:rPr>
                <w:rFonts w:eastAsia="Times New Roman"/>
                <w:sz w:val="20"/>
                <w:szCs w:val="20"/>
              </w:rPr>
              <w:t>96,32</w:t>
            </w:r>
          </w:p>
        </w:tc>
        <w:tc>
          <w:tcPr>
            <w:tcW w:w="720" w:type="dxa"/>
            <w:tcBorders>
              <w:top w:val="nil"/>
              <w:left w:val="nil"/>
              <w:bottom w:val="single" w:sz="4" w:space="0" w:color="auto"/>
              <w:right w:val="single" w:sz="4" w:space="0" w:color="auto"/>
            </w:tcBorders>
            <w:shd w:val="clear" w:color="auto" w:fill="auto"/>
            <w:noWrap/>
            <w:vAlign w:val="center"/>
            <w:hideMark/>
          </w:tcPr>
          <w:p w14:paraId="519B2E1B"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23"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1D"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b)</w:t>
            </w:r>
          </w:p>
        </w:tc>
        <w:tc>
          <w:tcPr>
            <w:tcW w:w="2738" w:type="dxa"/>
            <w:tcBorders>
              <w:top w:val="nil"/>
              <w:left w:val="nil"/>
              <w:bottom w:val="single" w:sz="4" w:space="0" w:color="auto"/>
              <w:right w:val="single" w:sz="4" w:space="0" w:color="auto"/>
            </w:tcBorders>
            <w:shd w:val="clear" w:color="auto" w:fill="auto"/>
            <w:vAlign w:val="center"/>
            <w:hideMark/>
          </w:tcPr>
          <w:p w14:paraId="519B2E1E"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Công trình công cộng cấp đô thị</w:t>
            </w:r>
          </w:p>
        </w:tc>
        <w:tc>
          <w:tcPr>
            <w:tcW w:w="1833" w:type="dxa"/>
            <w:tcBorders>
              <w:top w:val="nil"/>
              <w:left w:val="nil"/>
              <w:bottom w:val="single" w:sz="4" w:space="0" w:color="auto"/>
              <w:right w:val="single" w:sz="4" w:space="0" w:color="auto"/>
            </w:tcBorders>
            <w:shd w:val="clear" w:color="auto" w:fill="auto"/>
            <w:vAlign w:val="center"/>
            <w:hideMark/>
          </w:tcPr>
          <w:p w14:paraId="519B2E1F"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20"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6-8</w:t>
            </w:r>
          </w:p>
        </w:tc>
        <w:tc>
          <w:tcPr>
            <w:tcW w:w="1890" w:type="dxa"/>
            <w:tcBorders>
              <w:top w:val="nil"/>
              <w:left w:val="nil"/>
              <w:bottom w:val="single" w:sz="4" w:space="0" w:color="auto"/>
              <w:right w:val="single" w:sz="4" w:space="0" w:color="auto"/>
            </w:tcBorders>
            <w:shd w:val="clear" w:color="auto" w:fill="auto"/>
            <w:noWrap/>
            <w:vAlign w:val="center"/>
            <w:hideMark/>
          </w:tcPr>
          <w:p w14:paraId="519B2E21"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E22"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6,50</w:t>
            </w:r>
          </w:p>
        </w:tc>
      </w:tr>
      <w:tr w:rsidR="001A7F62" w:rsidRPr="008E63BB" w14:paraId="519B2E2A" w14:textId="77777777" w:rsidTr="00C90BF8">
        <w:trPr>
          <w:trHeight w:val="34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24"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25" w14:textId="77777777" w:rsidR="001A7F62" w:rsidRPr="008E63BB" w:rsidRDefault="001A7F62" w:rsidP="00C90BF8">
            <w:pPr>
              <w:jc w:val="left"/>
              <w:rPr>
                <w:rFonts w:eastAsia="Times New Roman"/>
                <w:sz w:val="20"/>
                <w:szCs w:val="20"/>
              </w:rPr>
            </w:pPr>
            <w:r w:rsidRPr="008E63BB">
              <w:rPr>
                <w:rFonts w:eastAsia="Times New Roman"/>
                <w:sz w:val="20"/>
                <w:szCs w:val="20"/>
              </w:rPr>
              <w:t>Chỉ tiêu đất dân dụng (m2/người)</w:t>
            </w:r>
          </w:p>
        </w:tc>
        <w:tc>
          <w:tcPr>
            <w:tcW w:w="1833" w:type="dxa"/>
            <w:tcBorders>
              <w:top w:val="nil"/>
              <w:left w:val="nil"/>
              <w:bottom w:val="single" w:sz="4" w:space="0" w:color="auto"/>
              <w:right w:val="single" w:sz="4" w:space="0" w:color="auto"/>
            </w:tcBorders>
            <w:shd w:val="clear" w:color="auto" w:fill="auto"/>
            <w:vAlign w:val="center"/>
            <w:hideMark/>
          </w:tcPr>
          <w:p w14:paraId="519B2E26" w14:textId="77777777" w:rsidR="001A7F62" w:rsidRPr="008E63BB" w:rsidRDefault="001A7F62" w:rsidP="00C90BF8">
            <w:pPr>
              <w:jc w:val="center"/>
              <w:rPr>
                <w:rFonts w:eastAsia="Times New Roman"/>
                <w:sz w:val="20"/>
                <w:szCs w:val="20"/>
              </w:rPr>
            </w:pPr>
            <w:r w:rsidRPr="008E63BB">
              <w:rPr>
                <w:rFonts w:eastAsia="Times New Roman"/>
                <w:sz w:val="20"/>
                <w:szCs w:val="20"/>
              </w:rPr>
              <w:t>54 -≥61</w:t>
            </w:r>
          </w:p>
        </w:tc>
        <w:tc>
          <w:tcPr>
            <w:tcW w:w="1170" w:type="dxa"/>
            <w:tcBorders>
              <w:top w:val="nil"/>
              <w:left w:val="nil"/>
              <w:bottom w:val="single" w:sz="4" w:space="0" w:color="auto"/>
              <w:right w:val="single" w:sz="4" w:space="0" w:color="auto"/>
            </w:tcBorders>
            <w:shd w:val="clear" w:color="auto" w:fill="auto"/>
            <w:vAlign w:val="center"/>
            <w:hideMark/>
          </w:tcPr>
          <w:p w14:paraId="519B2E27"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28" w14:textId="77777777" w:rsidR="001A7F62" w:rsidRPr="008E63BB" w:rsidRDefault="001A7F62" w:rsidP="00C90BF8">
            <w:pPr>
              <w:jc w:val="center"/>
              <w:rPr>
                <w:rFonts w:eastAsia="Times New Roman"/>
                <w:sz w:val="20"/>
                <w:szCs w:val="20"/>
              </w:rPr>
            </w:pPr>
            <w:r w:rsidRPr="008E63BB">
              <w:rPr>
                <w:rFonts w:eastAsia="Times New Roman"/>
                <w:sz w:val="20"/>
                <w:szCs w:val="20"/>
              </w:rPr>
              <w:t>54,87</w:t>
            </w:r>
          </w:p>
        </w:tc>
        <w:tc>
          <w:tcPr>
            <w:tcW w:w="720" w:type="dxa"/>
            <w:tcBorders>
              <w:top w:val="nil"/>
              <w:left w:val="nil"/>
              <w:bottom w:val="single" w:sz="4" w:space="0" w:color="auto"/>
              <w:right w:val="single" w:sz="4" w:space="0" w:color="auto"/>
            </w:tcBorders>
            <w:shd w:val="clear" w:color="auto" w:fill="auto"/>
            <w:noWrap/>
            <w:vAlign w:val="center"/>
            <w:hideMark/>
          </w:tcPr>
          <w:p w14:paraId="519B2E29" w14:textId="77777777" w:rsidR="001A7F62" w:rsidRPr="008E63BB" w:rsidRDefault="001A7F62" w:rsidP="00C90BF8">
            <w:pPr>
              <w:jc w:val="center"/>
              <w:rPr>
                <w:rFonts w:eastAsia="Times New Roman"/>
                <w:sz w:val="20"/>
                <w:szCs w:val="20"/>
              </w:rPr>
            </w:pPr>
            <w:r w:rsidRPr="008E63BB">
              <w:rPr>
                <w:rFonts w:eastAsia="Times New Roman"/>
                <w:sz w:val="20"/>
                <w:szCs w:val="20"/>
              </w:rPr>
              <w:t>0,75</w:t>
            </w:r>
          </w:p>
        </w:tc>
      </w:tr>
      <w:tr w:rsidR="001A7F62" w:rsidRPr="008E63BB" w14:paraId="519B2E31" w14:textId="77777777" w:rsidTr="00C90BF8">
        <w:trPr>
          <w:trHeight w:val="60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2B"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2C" w14:textId="77777777" w:rsidR="001A7F62" w:rsidRPr="008E63BB" w:rsidRDefault="001A7F62" w:rsidP="00C90BF8">
            <w:pPr>
              <w:jc w:val="left"/>
              <w:rPr>
                <w:rFonts w:eastAsia="Times New Roman"/>
                <w:sz w:val="20"/>
                <w:szCs w:val="20"/>
              </w:rPr>
            </w:pPr>
            <w:r w:rsidRPr="008E63BB">
              <w:rPr>
                <w:rFonts w:eastAsia="Times New Roman"/>
                <w:sz w:val="20"/>
                <w:szCs w:val="20"/>
              </w:rPr>
              <w:t>Đất xây dựng các công trình dịch vụ công cộng đô thị (m2/người)</w:t>
            </w:r>
          </w:p>
        </w:tc>
        <w:tc>
          <w:tcPr>
            <w:tcW w:w="1833" w:type="dxa"/>
            <w:tcBorders>
              <w:top w:val="nil"/>
              <w:left w:val="nil"/>
              <w:bottom w:val="single" w:sz="4" w:space="0" w:color="auto"/>
              <w:right w:val="single" w:sz="4" w:space="0" w:color="auto"/>
            </w:tcBorders>
            <w:shd w:val="clear" w:color="auto" w:fill="auto"/>
            <w:vAlign w:val="center"/>
            <w:hideMark/>
          </w:tcPr>
          <w:p w14:paraId="519B2E2D" w14:textId="77777777" w:rsidR="001A7F62" w:rsidRPr="008E63BB" w:rsidRDefault="001A7F62" w:rsidP="00C90BF8">
            <w:pPr>
              <w:jc w:val="center"/>
              <w:rPr>
                <w:rFonts w:eastAsia="Times New Roman"/>
                <w:sz w:val="20"/>
                <w:szCs w:val="20"/>
              </w:rPr>
            </w:pPr>
            <w:r w:rsidRPr="008E63BB">
              <w:rPr>
                <w:rFonts w:eastAsia="Times New Roman"/>
                <w:sz w:val="20"/>
                <w:szCs w:val="20"/>
              </w:rPr>
              <w:t>4-≥5</w:t>
            </w:r>
          </w:p>
        </w:tc>
        <w:tc>
          <w:tcPr>
            <w:tcW w:w="1170" w:type="dxa"/>
            <w:tcBorders>
              <w:top w:val="nil"/>
              <w:left w:val="nil"/>
              <w:bottom w:val="single" w:sz="4" w:space="0" w:color="auto"/>
              <w:right w:val="single" w:sz="4" w:space="0" w:color="auto"/>
            </w:tcBorders>
            <w:shd w:val="clear" w:color="auto" w:fill="auto"/>
            <w:vAlign w:val="center"/>
            <w:hideMark/>
          </w:tcPr>
          <w:p w14:paraId="519B2E2E"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2F" w14:textId="77777777" w:rsidR="001A7F62" w:rsidRPr="008E63BB" w:rsidRDefault="001A7F62" w:rsidP="00C90BF8">
            <w:pPr>
              <w:jc w:val="center"/>
              <w:rPr>
                <w:rFonts w:eastAsia="Times New Roman"/>
                <w:sz w:val="20"/>
                <w:szCs w:val="20"/>
              </w:rPr>
            </w:pPr>
            <w:r w:rsidRPr="008E63BB">
              <w:rPr>
                <w:rFonts w:eastAsia="Times New Roman"/>
                <w:sz w:val="20"/>
                <w:szCs w:val="20"/>
              </w:rPr>
              <w:t>5,3</w:t>
            </w:r>
          </w:p>
        </w:tc>
        <w:tc>
          <w:tcPr>
            <w:tcW w:w="720" w:type="dxa"/>
            <w:tcBorders>
              <w:top w:val="nil"/>
              <w:left w:val="nil"/>
              <w:bottom w:val="single" w:sz="4" w:space="0" w:color="auto"/>
              <w:right w:val="single" w:sz="4" w:space="0" w:color="auto"/>
            </w:tcBorders>
            <w:shd w:val="clear" w:color="auto" w:fill="auto"/>
            <w:noWrap/>
            <w:vAlign w:val="center"/>
            <w:hideMark/>
          </w:tcPr>
          <w:p w14:paraId="519B2E30"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38"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32"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33" w14:textId="77777777" w:rsidR="001A7F62" w:rsidRPr="008E63BB" w:rsidRDefault="001A7F62" w:rsidP="00C90BF8">
            <w:pPr>
              <w:jc w:val="left"/>
              <w:rPr>
                <w:rFonts w:eastAsia="Times New Roman"/>
                <w:sz w:val="20"/>
                <w:szCs w:val="20"/>
              </w:rPr>
            </w:pPr>
            <w:r w:rsidRPr="008E63BB">
              <w:rPr>
                <w:rFonts w:eastAsia="Times New Roman"/>
                <w:sz w:val="20"/>
                <w:szCs w:val="20"/>
              </w:rPr>
              <w:t>Đất xây dựng công trình công cộng cấp đơn vị ở (m2/người)</w:t>
            </w:r>
          </w:p>
        </w:tc>
        <w:tc>
          <w:tcPr>
            <w:tcW w:w="1833" w:type="dxa"/>
            <w:tcBorders>
              <w:top w:val="nil"/>
              <w:left w:val="nil"/>
              <w:bottom w:val="single" w:sz="4" w:space="0" w:color="auto"/>
              <w:right w:val="single" w:sz="4" w:space="0" w:color="auto"/>
            </w:tcBorders>
            <w:shd w:val="clear" w:color="auto" w:fill="auto"/>
            <w:vAlign w:val="center"/>
            <w:hideMark/>
          </w:tcPr>
          <w:p w14:paraId="519B2E34"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170" w:type="dxa"/>
            <w:tcBorders>
              <w:top w:val="nil"/>
              <w:left w:val="nil"/>
              <w:bottom w:val="single" w:sz="4" w:space="0" w:color="auto"/>
              <w:right w:val="single" w:sz="4" w:space="0" w:color="auto"/>
            </w:tcBorders>
            <w:shd w:val="clear" w:color="auto" w:fill="auto"/>
            <w:vAlign w:val="center"/>
            <w:hideMark/>
          </w:tcPr>
          <w:p w14:paraId="519B2E35"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36" w14:textId="77777777" w:rsidR="001A7F62" w:rsidRPr="008E63BB" w:rsidRDefault="001A7F62" w:rsidP="00C90BF8">
            <w:pPr>
              <w:jc w:val="center"/>
              <w:rPr>
                <w:rFonts w:eastAsia="Times New Roman"/>
                <w:sz w:val="20"/>
                <w:szCs w:val="20"/>
              </w:rPr>
            </w:pPr>
            <w:r w:rsidRPr="008E63BB">
              <w:rPr>
                <w:rFonts w:eastAsia="Times New Roman"/>
                <w:sz w:val="20"/>
                <w:szCs w:val="20"/>
              </w:rPr>
              <w:t>2,6</w:t>
            </w:r>
          </w:p>
        </w:tc>
        <w:tc>
          <w:tcPr>
            <w:tcW w:w="720" w:type="dxa"/>
            <w:tcBorders>
              <w:top w:val="nil"/>
              <w:left w:val="nil"/>
              <w:bottom w:val="single" w:sz="4" w:space="0" w:color="auto"/>
              <w:right w:val="single" w:sz="4" w:space="0" w:color="auto"/>
            </w:tcBorders>
            <w:shd w:val="clear" w:color="auto" w:fill="auto"/>
            <w:noWrap/>
            <w:vAlign w:val="center"/>
            <w:hideMark/>
          </w:tcPr>
          <w:p w14:paraId="519B2E37"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3F"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39"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3A" w14:textId="77777777" w:rsidR="001A7F62" w:rsidRPr="008E63BB" w:rsidRDefault="001A7F62" w:rsidP="00C90BF8">
            <w:pPr>
              <w:jc w:val="left"/>
              <w:rPr>
                <w:rFonts w:eastAsia="Times New Roman"/>
                <w:sz w:val="20"/>
                <w:szCs w:val="20"/>
              </w:rPr>
            </w:pPr>
            <w:r w:rsidRPr="008E63BB">
              <w:rPr>
                <w:rFonts w:eastAsia="Times New Roman"/>
                <w:sz w:val="20"/>
                <w:szCs w:val="20"/>
              </w:rPr>
              <w:t>Cơ sở y tế cấp đô thị (giường/1.000 dân)</w:t>
            </w:r>
          </w:p>
        </w:tc>
        <w:tc>
          <w:tcPr>
            <w:tcW w:w="1833" w:type="dxa"/>
            <w:tcBorders>
              <w:top w:val="nil"/>
              <w:left w:val="nil"/>
              <w:bottom w:val="single" w:sz="4" w:space="0" w:color="auto"/>
              <w:right w:val="single" w:sz="4" w:space="0" w:color="auto"/>
            </w:tcBorders>
            <w:shd w:val="clear" w:color="auto" w:fill="auto"/>
            <w:vAlign w:val="center"/>
            <w:hideMark/>
          </w:tcPr>
          <w:p w14:paraId="519B2E3B" w14:textId="77777777" w:rsidR="001A7F62" w:rsidRPr="008E63BB" w:rsidRDefault="001A7F62" w:rsidP="00C90BF8">
            <w:pPr>
              <w:jc w:val="center"/>
              <w:rPr>
                <w:rFonts w:eastAsia="Times New Roman"/>
                <w:sz w:val="20"/>
                <w:szCs w:val="20"/>
              </w:rPr>
            </w:pPr>
            <w:r w:rsidRPr="008E63BB">
              <w:rPr>
                <w:rFonts w:eastAsia="Times New Roman"/>
                <w:sz w:val="20"/>
                <w:szCs w:val="20"/>
              </w:rPr>
              <w:t>2,4-≥2,8</w:t>
            </w:r>
          </w:p>
        </w:tc>
        <w:tc>
          <w:tcPr>
            <w:tcW w:w="1170" w:type="dxa"/>
            <w:tcBorders>
              <w:top w:val="nil"/>
              <w:left w:val="nil"/>
              <w:bottom w:val="single" w:sz="4" w:space="0" w:color="auto"/>
              <w:right w:val="single" w:sz="4" w:space="0" w:color="auto"/>
            </w:tcBorders>
            <w:shd w:val="clear" w:color="auto" w:fill="auto"/>
            <w:vAlign w:val="center"/>
            <w:hideMark/>
          </w:tcPr>
          <w:p w14:paraId="519B2E3C"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3D" w14:textId="77777777" w:rsidR="001A7F62" w:rsidRPr="008E63BB" w:rsidRDefault="001A7F62" w:rsidP="00C90BF8">
            <w:pPr>
              <w:jc w:val="center"/>
              <w:rPr>
                <w:rFonts w:eastAsia="Times New Roman"/>
                <w:sz w:val="20"/>
                <w:szCs w:val="20"/>
              </w:rPr>
            </w:pPr>
            <w:r w:rsidRPr="008E63BB">
              <w:rPr>
                <w:rFonts w:eastAsia="Times New Roman"/>
                <w:sz w:val="20"/>
                <w:szCs w:val="20"/>
              </w:rPr>
              <w:t>2,8</w:t>
            </w:r>
          </w:p>
        </w:tc>
        <w:tc>
          <w:tcPr>
            <w:tcW w:w="720" w:type="dxa"/>
            <w:tcBorders>
              <w:top w:val="nil"/>
              <w:left w:val="nil"/>
              <w:bottom w:val="single" w:sz="4" w:space="0" w:color="auto"/>
              <w:right w:val="single" w:sz="4" w:space="0" w:color="auto"/>
            </w:tcBorders>
            <w:shd w:val="clear" w:color="auto" w:fill="auto"/>
            <w:noWrap/>
            <w:vAlign w:val="center"/>
            <w:hideMark/>
          </w:tcPr>
          <w:p w14:paraId="519B2E3E"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46"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40"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41" w14:textId="77777777" w:rsidR="001A7F62" w:rsidRPr="008E63BB" w:rsidRDefault="001A7F62" w:rsidP="00C90BF8">
            <w:pPr>
              <w:jc w:val="left"/>
              <w:rPr>
                <w:rFonts w:eastAsia="Times New Roman"/>
                <w:sz w:val="20"/>
                <w:szCs w:val="20"/>
              </w:rPr>
            </w:pPr>
            <w:r w:rsidRPr="008E63BB">
              <w:rPr>
                <w:rFonts w:eastAsia="Times New Roman"/>
                <w:sz w:val="20"/>
                <w:szCs w:val="20"/>
              </w:rPr>
              <w:t>Cơ sở giáo dục, đào tạo cấp đô thị (cơ sở)</w:t>
            </w:r>
          </w:p>
        </w:tc>
        <w:tc>
          <w:tcPr>
            <w:tcW w:w="1833" w:type="dxa"/>
            <w:tcBorders>
              <w:top w:val="nil"/>
              <w:left w:val="nil"/>
              <w:bottom w:val="single" w:sz="4" w:space="0" w:color="auto"/>
              <w:right w:val="single" w:sz="4" w:space="0" w:color="auto"/>
            </w:tcBorders>
            <w:shd w:val="clear" w:color="auto" w:fill="auto"/>
            <w:vAlign w:val="center"/>
            <w:hideMark/>
          </w:tcPr>
          <w:p w14:paraId="519B2E42" w14:textId="77777777" w:rsidR="001A7F62" w:rsidRPr="008E63BB" w:rsidRDefault="001A7F62" w:rsidP="00C90BF8">
            <w:pPr>
              <w:jc w:val="center"/>
              <w:rPr>
                <w:rFonts w:eastAsia="Times New Roman"/>
                <w:sz w:val="20"/>
                <w:szCs w:val="20"/>
              </w:rPr>
            </w:pPr>
            <w:r w:rsidRPr="008E63BB">
              <w:rPr>
                <w:rFonts w:eastAsia="Times New Roman"/>
                <w:sz w:val="20"/>
                <w:szCs w:val="20"/>
              </w:rPr>
              <w:t>20-≥30</w:t>
            </w:r>
          </w:p>
        </w:tc>
        <w:tc>
          <w:tcPr>
            <w:tcW w:w="1170" w:type="dxa"/>
            <w:tcBorders>
              <w:top w:val="nil"/>
              <w:left w:val="nil"/>
              <w:bottom w:val="single" w:sz="4" w:space="0" w:color="auto"/>
              <w:right w:val="single" w:sz="4" w:space="0" w:color="auto"/>
            </w:tcBorders>
            <w:shd w:val="clear" w:color="auto" w:fill="auto"/>
            <w:vAlign w:val="center"/>
            <w:hideMark/>
          </w:tcPr>
          <w:p w14:paraId="519B2E43"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44" w14:textId="77777777" w:rsidR="001A7F62" w:rsidRPr="008E63BB" w:rsidRDefault="001A7F62" w:rsidP="00C90BF8">
            <w:pPr>
              <w:jc w:val="center"/>
              <w:rPr>
                <w:rFonts w:eastAsia="Times New Roman"/>
                <w:sz w:val="20"/>
                <w:szCs w:val="20"/>
              </w:rPr>
            </w:pPr>
            <w:r w:rsidRPr="008E63BB">
              <w:rPr>
                <w:rFonts w:eastAsia="Times New Roman"/>
                <w:sz w:val="20"/>
                <w:szCs w:val="20"/>
              </w:rPr>
              <w:t>47</w:t>
            </w:r>
          </w:p>
        </w:tc>
        <w:tc>
          <w:tcPr>
            <w:tcW w:w="720" w:type="dxa"/>
            <w:tcBorders>
              <w:top w:val="nil"/>
              <w:left w:val="nil"/>
              <w:bottom w:val="single" w:sz="4" w:space="0" w:color="auto"/>
              <w:right w:val="single" w:sz="4" w:space="0" w:color="auto"/>
            </w:tcBorders>
            <w:shd w:val="clear" w:color="auto" w:fill="auto"/>
            <w:noWrap/>
            <w:vAlign w:val="center"/>
            <w:hideMark/>
          </w:tcPr>
          <w:p w14:paraId="519B2E45"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4D"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47" w14:textId="77777777" w:rsidR="001A7F62" w:rsidRPr="008E63BB" w:rsidRDefault="001A7F62" w:rsidP="00C90BF8">
            <w:pPr>
              <w:jc w:val="right"/>
              <w:rPr>
                <w:rFonts w:eastAsia="Times New Roman"/>
                <w:sz w:val="20"/>
                <w:szCs w:val="20"/>
              </w:rPr>
            </w:pPr>
            <w:r w:rsidRPr="008E63BB">
              <w:rPr>
                <w:rFonts w:eastAsia="Times New Roman"/>
                <w:sz w:val="20"/>
                <w:szCs w:val="20"/>
              </w:rPr>
              <w:lastRenderedPageBreak/>
              <w:t>-</w:t>
            </w:r>
          </w:p>
        </w:tc>
        <w:tc>
          <w:tcPr>
            <w:tcW w:w="2738" w:type="dxa"/>
            <w:tcBorders>
              <w:top w:val="nil"/>
              <w:left w:val="nil"/>
              <w:bottom w:val="single" w:sz="4" w:space="0" w:color="auto"/>
              <w:right w:val="single" w:sz="4" w:space="0" w:color="auto"/>
            </w:tcBorders>
            <w:shd w:val="clear" w:color="auto" w:fill="auto"/>
            <w:vAlign w:val="center"/>
            <w:hideMark/>
          </w:tcPr>
          <w:p w14:paraId="519B2E48" w14:textId="77777777" w:rsidR="001A7F62" w:rsidRPr="008E63BB" w:rsidRDefault="001A7F62" w:rsidP="00C90BF8">
            <w:pPr>
              <w:jc w:val="left"/>
              <w:rPr>
                <w:rFonts w:eastAsia="Times New Roman"/>
                <w:sz w:val="20"/>
                <w:szCs w:val="20"/>
              </w:rPr>
            </w:pPr>
            <w:r w:rsidRPr="008E63BB">
              <w:rPr>
                <w:rFonts w:eastAsia="Times New Roman"/>
                <w:sz w:val="20"/>
                <w:szCs w:val="20"/>
              </w:rPr>
              <w:t>Công trình văn hóa cấp đô thị (công trình)</w:t>
            </w:r>
          </w:p>
        </w:tc>
        <w:tc>
          <w:tcPr>
            <w:tcW w:w="1833" w:type="dxa"/>
            <w:tcBorders>
              <w:top w:val="nil"/>
              <w:left w:val="nil"/>
              <w:bottom w:val="single" w:sz="4" w:space="0" w:color="auto"/>
              <w:right w:val="single" w:sz="4" w:space="0" w:color="auto"/>
            </w:tcBorders>
            <w:shd w:val="clear" w:color="auto" w:fill="auto"/>
            <w:vAlign w:val="center"/>
            <w:hideMark/>
          </w:tcPr>
          <w:p w14:paraId="519B2E49" w14:textId="77777777" w:rsidR="001A7F62" w:rsidRPr="008E63BB" w:rsidRDefault="001A7F62" w:rsidP="00C90BF8">
            <w:pPr>
              <w:jc w:val="center"/>
              <w:rPr>
                <w:rFonts w:eastAsia="Times New Roman"/>
                <w:sz w:val="20"/>
                <w:szCs w:val="20"/>
              </w:rPr>
            </w:pPr>
            <w:r w:rsidRPr="008E63BB">
              <w:rPr>
                <w:rFonts w:eastAsia="Times New Roman"/>
                <w:sz w:val="20"/>
                <w:szCs w:val="20"/>
              </w:rPr>
              <w:t>10-≥14</w:t>
            </w:r>
          </w:p>
        </w:tc>
        <w:tc>
          <w:tcPr>
            <w:tcW w:w="1170" w:type="dxa"/>
            <w:tcBorders>
              <w:top w:val="nil"/>
              <w:left w:val="nil"/>
              <w:bottom w:val="single" w:sz="4" w:space="0" w:color="auto"/>
              <w:right w:val="single" w:sz="4" w:space="0" w:color="auto"/>
            </w:tcBorders>
            <w:shd w:val="clear" w:color="auto" w:fill="auto"/>
            <w:vAlign w:val="center"/>
            <w:hideMark/>
          </w:tcPr>
          <w:p w14:paraId="519B2E4A"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4B" w14:textId="77777777" w:rsidR="001A7F62" w:rsidRPr="008E63BB" w:rsidRDefault="001A7F62" w:rsidP="00C90BF8">
            <w:pPr>
              <w:jc w:val="center"/>
              <w:rPr>
                <w:rFonts w:eastAsia="Times New Roman"/>
                <w:sz w:val="20"/>
                <w:szCs w:val="20"/>
              </w:rPr>
            </w:pPr>
            <w:r w:rsidRPr="008E63BB">
              <w:rPr>
                <w:rFonts w:eastAsia="Times New Roman"/>
                <w:sz w:val="20"/>
                <w:szCs w:val="20"/>
              </w:rPr>
              <w:t>5,0</w:t>
            </w:r>
          </w:p>
        </w:tc>
        <w:tc>
          <w:tcPr>
            <w:tcW w:w="720" w:type="dxa"/>
            <w:tcBorders>
              <w:top w:val="nil"/>
              <w:left w:val="nil"/>
              <w:bottom w:val="single" w:sz="4" w:space="0" w:color="auto"/>
              <w:right w:val="single" w:sz="4" w:space="0" w:color="auto"/>
            </w:tcBorders>
            <w:shd w:val="clear" w:color="auto" w:fill="auto"/>
            <w:noWrap/>
            <w:vAlign w:val="center"/>
            <w:hideMark/>
          </w:tcPr>
          <w:p w14:paraId="519B2E4C" w14:textId="77777777" w:rsidR="001A7F62" w:rsidRPr="008E63BB" w:rsidRDefault="001A7F62" w:rsidP="00C90BF8">
            <w:pPr>
              <w:jc w:val="center"/>
              <w:rPr>
                <w:rFonts w:eastAsia="Times New Roman"/>
                <w:sz w:val="20"/>
                <w:szCs w:val="20"/>
              </w:rPr>
            </w:pPr>
            <w:r w:rsidRPr="008E63BB">
              <w:rPr>
                <w:rFonts w:eastAsia="Times New Roman"/>
                <w:sz w:val="20"/>
                <w:szCs w:val="20"/>
              </w:rPr>
              <w:t>0,00</w:t>
            </w:r>
          </w:p>
        </w:tc>
      </w:tr>
      <w:tr w:rsidR="001A7F62" w:rsidRPr="008E63BB" w14:paraId="519B2E54"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4E"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4F" w14:textId="77777777" w:rsidR="001A7F62" w:rsidRPr="008E63BB" w:rsidRDefault="001A7F62" w:rsidP="00C90BF8">
            <w:pPr>
              <w:jc w:val="left"/>
              <w:rPr>
                <w:rFonts w:eastAsia="Times New Roman"/>
                <w:sz w:val="20"/>
                <w:szCs w:val="20"/>
              </w:rPr>
            </w:pPr>
            <w:r w:rsidRPr="008E63BB">
              <w:rPr>
                <w:rFonts w:eastAsia="Times New Roman"/>
                <w:sz w:val="20"/>
                <w:szCs w:val="20"/>
              </w:rPr>
              <w:t>Công trình thể dục, thể thao cấp đô thị (công trình)</w:t>
            </w:r>
          </w:p>
        </w:tc>
        <w:tc>
          <w:tcPr>
            <w:tcW w:w="1833" w:type="dxa"/>
            <w:tcBorders>
              <w:top w:val="nil"/>
              <w:left w:val="nil"/>
              <w:bottom w:val="single" w:sz="4" w:space="0" w:color="auto"/>
              <w:right w:val="single" w:sz="4" w:space="0" w:color="auto"/>
            </w:tcBorders>
            <w:shd w:val="clear" w:color="auto" w:fill="auto"/>
            <w:vAlign w:val="center"/>
            <w:hideMark/>
          </w:tcPr>
          <w:p w14:paraId="519B2E50" w14:textId="77777777" w:rsidR="001A7F62" w:rsidRPr="008E63BB" w:rsidRDefault="001A7F62" w:rsidP="00C90BF8">
            <w:pPr>
              <w:jc w:val="center"/>
              <w:rPr>
                <w:rFonts w:eastAsia="Times New Roman"/>
                <w:sz w:val="20"/>
                <w:szCs w:val="20"/>
              </w:rPr>
            </w:pPr>
            <w:r w:rsidRPr="008E63BB">
              <w:rPr>
                <w:rFonts w:eastAsia="Times New Roman"/>
                <w:sz w:val="20"/>
                <w:szCs w:val="20"/>
              </w:rPr>
              <w:t>7-≥10</w:t>
            </w:r>
          </w:p>
        </w:tc>
        <w:tc>
          <w:tcPr>
            <w:tcW w:w="1170" w:type="dxa"/>
            <w:tcBorders>
              <w:top w:val="nil"/>
              <w:left w:val="nil"/>
              <w:bottom w:val="single" w:sz="4" w:space="0" w:color="auto"/>
              <w:right w:val="single" w:sz="4" w:space="0" w:color="auto"/>
            </w:tcBorders>
            <w:shd w:val="clear" w:color="auto" w:fill="auto"/>
            <w:vAlign w:val="center"/>
            <w:hideMark/>
          </w:tcPr>
          <w:p w14:paraId="519B2E51"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52" w14:textId="77777777" w:rsidR="001A7F62" w:rsidRPr="008E63BB" w:rsidRDefault="001A7F62" w:rsidP="00C90BF8">
            <w:pPr>
              <w:jc w:val="center"/>
              <w:rPr>
                <w:rFonts w:eastAsia="Times New Roman"/>
                <w:sz w:val="20"/>
                <w:szCs w:val="20"/>
              </w:rPr>
            </w:pPr>
            <w:r w:rsidRPr="008E63BB">
              <w:rPr>
                <w:rFonts w:eastAsia="Times New Roman"/>
                <w:sz w:val="20"/>
                <w:szCs w:val="20"/>
              </w:rPr>
              <w:t>3,0</w:t>
            </w:r>
          </w:p>
        </w:tc>
        <w:tc>
          <w:tcPr>
            <w:tcW w:w="720" w:type="dxa"/>
            <w:tcBorders>
              <w:top w:val="nil"/>
              <w:left w:val="nil"/>
              <w:bottom w:val="single" w:sz="4" w:space="0" w:color="auto"/>
              <w:right w:val="single" w:sz="4" w:space="0" w:color="auto"/>
            </w:tcBorders>
            <w:shd w:val="clear" w:color="auto" w:fill="auto"/>
            <w:noWrap/>
            <w:vAlign w:val="center"/>
            <w:hideMark/>
          </w:tcPr>
          <w:p w14:paraId="519B2E53" w14:textId="77777777" w:rsidR="001A7F62" w:rsidRPr="008E63BB" w:rsidRDefault="001A7F62" w:rsidP="00C90BF8">
            <w:pPr>
              <w:jc w:val="center"/>
              <w:rPr>
                <w:rFonts w:eastAsia="Times New Roman"/>
                <w:sz w:val="20"/>
                <w:szCs w:val="20"/>
              </w:rPr>
            </w:pPr>
            <w:r w:rsidRPr="008E63BB">
              <w:rPr>
                <w:rFonts w:eastAsia="Times New Roman"/>
                <w:sz w:val="20"/>
                <w:szCs w:val="20"/>
              </w:rPr>
              <w:t>0,88</w:t>
            </w:r>
          </w:p>
        </w:tc>
      </w:tr>
      <w:tr w:rsidR="001A7F62" w:rsidRPr="008E63BB" w14:paraId="519B2E5B"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55"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56" w14:textId="77777777" w:rsidR="001A7F62" w:rsidRPr="008E63BB" w:rsidRDefault="001A7F62" w:rsidP="00C90BF8">
            <w:pPr>
              <w:jc w:val="left"/>
              <w:rPr>
                <w:rFonts w:eastAsia="Times New Roman"/>
                <w:sz w:val="20"/>
                <w:szCs w:val="20"/>
              </w:rPr>
            </w:pPr>
            <w:r w:rsidRPr="008E63BB">
              <w:rPr>
                <w:rFonts w:eastAsia="Times New Roman"/>
                <w:sz w:val="20"/>
                <w:szCs w:val="20"/>
              </w:rPr>
              <w:t>Công trình thương mại, dịch vụ cấp đô thị (công trình)</w:t>
            </w:r>
          </w:p>
        </w:tc>
        <w:tc>
          <w:tcPr>
            <w:tcW w:w="1833" w:type="dxa"/>
            <w:tcBorders>
              <w:top w:val="nil"/>
              <w:left w:val="nil"/>
              <w:bottom w:val="single" w:sz="4" w:space="0" w:color="auto"/>
              <w:right w:val="single" w:sz="4" w:space="0" w:color="auto"/>
            </w:tcBorders>
            <w:shd w:val="clear" w:color="auto" w:fill="auto"/>
            <w:vAlign w:val="center"/>
            <w:hideMark/>
          </w:tcPr>
          <w:p w14:paraId="519B2E57" w14:textId="77777777" w:rsidR="001A7F62" w:rsidRPr="008E63BB" w:rsidRDefault="001A7F62" w:rsidP="00C90BF8">
            <w:pPr>
              <w:jc w:val="center"/>
              <w:rPr>
                <w:rFonts w:eastAsia="Times New Roman"/>
                <w:sz w:val="20"/>
                <w:szCs w:val="20"/>
              </w:rPr>
            </w:pPr>
            <w:r w:rsidRPr="008E63BB">
              <w:rPr>
                <w:rFonts w:eastAsia="Times New Roman"/>
                <w:sz w:val="20"/>
                <w:szCs w:val="20"/>
              </w:rPr>
              <w:t>10-≥14</w:t>
            </w:r>
          </w:p>
        </w:tc>
        <w:tc>
          <w:tcPr>
            <w:tcW w:w="1170" w:type="dxa"/>
            <w:tcBorders>
              <w:top w:val="nil"/>
              <w:left w:val="nil"/>
              <w:bottom w:val="single" w:sz="4" w:space="0" w:color="auto"/>
              <w:right w:val="single" w:sz="4" w:space="0" w:color="auto"/>
            </w:tcBorders>
            <w:shd w:val="clear" w:color="auto" w:fill="auto"/>
            <w:vAlign w:val="center"/>
            <w:hideMark/>
          </w:tcPr>
          <w:p w14:paraId="519B2E58" w14:textId="77777777" w:rsidR="001A7F62" w:rsidRPr="008E63BB" w:rsidRDefault="001A7F62" w:rsidP="00C90BF8">
            <w:pPr>
              <w:jc w:val="center"/>
              <w:rPr>
                <w:rFonts w:eastAsia="Times New Roman"/>
                <w:sz w:val="20"/>
                <w:szCs w:val="20"/>
              </w:rPr>
            </w:pPr>
            <w:r w:rsidRPr="008E63BB">
              <w:rPr>
                <w:rFonts w:eastAsia="Times New Roman"/>
                <w:sz w:val="20"/>
                <w:szCs w:val="20"/>
              </w:rPr>
              <w:t>0,75 - 1</w:t>
            </w:r>
          </w:p>
        </w:tc>
        <w:tc>
          <w:tcPr>
            <w:tcW w:w="1890" w:type="dxa"/>
            <w:tcBorders>
              <w:top w:val="nil"/>
              <w:left w:val="nil"/>
              <w:bottom w:val="single" w:sz="4" w:space="0" w:color="auto"/>
              <w:right w:val="single" w:sz="4" w:space="0" w:color="auto"/>
            </w:tcBorders>
            <w:shd w:val="clear" w:color="auto" w:fill="auto"/>
            <w:vAlign w:val="center"/>
            <w:hideMark/>
          </w:tcPr>
          <w:p w14:paraId="519B2E59" w14:textId="77777777" w:rsidR="001A7F62" w:rsidRPr="008E63BB" w:rsidRDefault="001A7F62" w:rsidP="00C90BF8">
            <w:pPr>
              <w:jc w:val="center"/>
              <w:rPr>
                <w:rFonts w:eastAsia="Times New Roman"/>
                <w:sz w:val="20"/>
                <w:szCs w:val="20"/>
              </w:rPr>
            </w:pPr>
            <w:r w:rsidRPr="008E63BB">
              <w:rPr>
                <w:rFonts w:eastAsia="Times New Roman"/>
                <w:sz w:val="20"/>
                <w:szCs w:val="20"/>
              </w:rPr>
              <w:t>12,0</w:t>
            </w:r>
          </w:p>
        </w:tc>
        <w:tc>
          <w:tcPr>
            <w:tcW w:w="720" w:type="dxa"/>
            <w:tcBorders>
              <w:top w:val="nil"/>
              <w:left w:val="nil"/>
              <w:bottom w:val="single" w:sz="4" w:space="0" w:color="auto"/>
              <w:right w:val="single" w:sz="4" w:space="0" w:color="auto"/>
            </w:tcBorders>
            <w:shd w:val="clear" w:color="auto" w:fill="auto"/>
            <w:noWrap/>
            <w:vAlign w:val="center"/>
            <w:hideMark/>
          </w:tcPr>
          <w:p w14:paraId="519B2E5A" w14:textId="77777777" w:rsidR="001A7F62" w:rsidRPr="008E63BB" w:rsidRDefault="001A7F62" w:rsidP="00C90BF8">
            <w:pPr>
              <w:jc w:val="center"/>
              <w:rPr>
                <w:rFonts w:eastAsia="Times New Roman"/>
                <w:sz w:val="20"/>
                <w:szCs w:val="20"/>
              </w:rPr>
            </w:pPr>
            <w:r w:rsidRPr="008E63BB">
              <w:rPr>
                <w:rFonts w:eastAsia="Times New Roman"/>
                <w:sz w:val="20"/>
                <w:szCs w:val="20"/>
              </w:rPr>
              <w:t>0,88</w:t>
            </w:r>
          </w:p>
        </w:tc>
      </w:tr>
      <w:tr w:rsidR="001A7F62" w:rsidRPr="008E63BB" w14:paraId="519B2E62"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5C"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5.A.2</w:t>
            </w:r>
          </w:p>
        </w:tc>
        <w:tc>
          <w:tcPr>
            <w:tcW w:w="2738" w:type="dxa"/>
            <w:tcBorders>
              <w:top w:val="nil"/>
              <w:left w:val="nil"/>
              <w:bottom w:val="single" w:sz="4" w:space="0" w:color="auto"/>
              <w:right w:val="single" w:sz="4" w:space="0" w:color="auto"/>
            </w:tcBorders>
            <w:shd w:val="clear" w:color="auto" w:fill="auto"/>
            <w:vAlign w:val="center"/>
            <w:hideMark/>
          </w:tcPr>
          <w:p w14:paraId="519B2E5D"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Các tiêu chuẩn về hạ tầng kỹ thuật</w:t>
            </w:r>
          </w:p>
        </w:tc>
        <w:tc>
          <w:tcPr>
            <w:tcW w:w="1833" w:type="dxa"/>
            <w:tcBorders>
              <w:top w:val="nil"/>
              <w:left w:val="nil"/>
              <w:bottom w:val="single" w:sz="4" w:space="0" w:color="auto"/>
              <w:right w:val="single" w:sz="4" w:space="0" w:color="auto"/>
            </w:tcBorders>
            <w:shd w:val="clear" w:color="auto" w:fill="auto"/>
            <w:vAlign w:val="center"/>
            <w:hideMark/>
          </w:tcPr>
          <w:p w14:paraId="519B2E5E"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5F"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10,5-14</w:t>
            </w:r>
          </w:p>
        </w:tc>
        <w:tc>
          <w:tcPr>
            <w:tcW w:w="1890" w:type="dxa"/>
            <w:tcBorders>
              <w:top w:val="nil"/>
              <w:left w:val="nil"/>
              <w:bottom w:val="single" w:sz="4" w:space="0" w:color="auto"/>
              <w:right w:val="single" w:sz="4" w:space="0" w:color="auto"/>
            </w:tcBorders>
            <w:shd w:val="clear" w:color="auto" w:fill="auto"/>
            <w:noWrap/>
            <w:vAlign w:val="center"/>
            <w:hideMark/>
          </w:tcPr>
          <w:p w14:paraId="519B2E60"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E61"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13,58</w:t>
            </w:r>
          </w:p>
        </w:tc>
      </w:tr>
      <w:tr w:rsidR="001A7F62" w:rsidRPr="008E63BB" w14:paraId="519B2E69"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63"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a)</w:t>
            </w:r>
          </w:p>
        </w:tc>
        <w:tc>
          <w:tcPr>
            <w:tcW w:w="2738" w:type="dxa"/>
            <w:tcBorders>
              <w:top w:val="nil"/>
              <w:left w:val="nil"/>
              <w:bottom w:val="single" w:sz="4" w:space="0" w:color="auto"/>
              <w:right w:val="single" w:sz="4" w:space="0" w:color="auto"/>
            </w:tcBorders>
            <w:shd w:val="clear" w:color="auto" w:fill="auto"/>
            <w:vAlign w:val="center"/>
            <w:hideMark/>
          </w:tcPr>
          <w:p w14:paraId="519B2E64"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giao thông</w:t>
            </w:r>
          </w:p>
        </w:tc>
        <w:tc>
          <w:tcPr>
            <w:tcW w:w="1833" w:type="dxa"/>
            <w:tcBorders>
              <w:top w:val="nil"/>
              <w:left w:val="nil"/>
              <w:bottom w:val="single" w:sz="4" w:space="0" w:color="auto"/>
              <w:right w:val="single" w:sz="4" w:space="0" w:color="auto"/>
            </w:tcBorders>
            <w:shd w:val="clear" w:color="auto" w:fill="auto"/>
            <w:vAlign w:val="center"/>
            <w:hideMark/>
          </w:tcPr>
          <w:p w14:paraId="519B2E65"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66"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4,5-6</w:t>
            </w:r>
          </w:p>
        </w:tc>
        <w:tc>
          <w:tcPr>
            <w:tcW w:w="1890" w:type="dxa"/>
            <w:tcBorders>
              <w:top w:val="nil"/>
              <w:left w:val="nil"/>
              <w:bottom w:val="single" w:sz="4" w:space="0" w:color="auto"/>
              <w:right w:val="single" w:sz="4" w:space="0" w:color="auto"/>
            </w:tcBorders>
            <w:shd w:val="clear" w:color="auto" w:fill="auto"/>
            <w:noWrap/>
            <w:vAlign w:val="center"/>
            <w:hideMark/>
          </w:tcPr>
          <w:p w14:paraId="519B2E67"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E68"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5,58</w:t>
            </w:r>
          </w:p>
        </w:tc>
      </w:tr>
      <w:tr w:rsidR="001A7F62" w:rsidRPr="008E63BB" w14:paraId="519B2E70" w14:textId="77777777" w:rsidTr="00C90BF8">
        <w:trPr>
          <w:trHeight w:val="600"/>
        </w:trPr>
        <w:tc>
          <w:tcPr>
            <w:tcW w:w="8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E6A"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vMerge w:val="restart"/>
            <w:tcBorders>
              <w:top w:val="nil"/>
              <w:left w:val="single" w:sz="4" w:space="0" w:color="auto"/>
              <w:bottom w:val="single" w:sz="4" w:space="0" w:color="auto"/>
              <w:right w:val="single" w:sz="4" w:space="0" w:color="auto"/>
            </w:tcBorders>
            <w:shd w:val="clear" w:color="auto" w:fill="auto"/>
            <w:vAlign w:val="center"/>
            <w:hideMark/>
          </w:tcPr>
          <w:p w14:paraId="519B2E6B" w14:textId="77777777" w:rsidR="001A7F62" w:rsidRPr="008E63BB" w:rsidRDefault="001A7F62" w:rsidP="00C90BF8">
            <w:pPr>
              <w:jc w:val="left"/>
              <w:rPr>
                <w:rFonts w:eastAsia="Times New Roman"/>
                <w:sz w:val="20"/>
                <w:szCs w:val="20"/>
              </w:rPr>
            </w:pPr>
            <w:r w:rsidRPr="008E63BB">
              <w:rPr>
                <w:rFonts w:eastAsia="Times New Roman"/>
                <w:sz w:val="20"/>
                <w:szCs w:val="20"/>
              </w:rPr>
              <w:t>Đấu mối giao thông (cảng biển, cảng hàng không, cảng đường thủy nội địa, ga đường sắt, bến xe ô tô) (cấp)</w:t>
            </w:r>
          </w:p>
        </w:tc>
        <w:tc>
          <w:tcPr>
            <w:tcW w:w="1833" w:type="dxa"/>
            <w:tcBorders>
              <w:top w:val="nil"/>
              <w:left w:val="nil"/>
              <w:bottom w:val="single" w:sz="4" w:space="0" w:color="auto"/>
              <w:right w:val="single" w:sz="4" w:space="0" w:color="auto"/>
            </w:tcBorders>
            <w:shd w:val="clear" w:color="auto" w:fill="auto"/>
            <w:vAlign w:val="center"/>
            <w:hideMark/>
          </w:tcPr>
          <w:p w14:paraId="519B2E6C" w14:textId="77777777" w:rsidR="001A7F62" w:rsidRPr="008E63BB" w:rsidRDefault="001A7F62" w:rsidP="00C90BF8">
            <w:pPr>
              <w:jc w:val="center"/>
              <w:rPr>
                <w:rFonts w:eastAsia="Times New Roman"/>
                <w:sz w:val="20"/>
                <w:szCs w:val="20"/>
              </w:rPr>
            </w:pPr>
            <w:r w:rsidRPr="008E63BB">
              <w:rPr>
                <w:rFonts w:eastAsia="Times New Roman"/>
                <w:sz w:val="20"/>
                <w:szCs w:val="20"/>
              </w:rPr>
              <w:t>Quốc tế</w:t>
            </w:r>
          </w:p>
        </w:tc>
        <w:tc>
          <w:tcPr>
            <w:tcW w:w="1170" w:type="dxa"/>
            <w:tcBorders>
              <w:top w:val="nil"/>
              <w:left w:val="nil"/>
              <w:bottom w:val="single" w:sz="4" w:space="0" w:color="auto"/>
              <w:right w:val="single" w:sz="4" w:space="0" w:color="auto"/>
            </w:tcBorders>
            <w:shd w:val="clear" w:color="auto" w:fill="auto"/>
            <w:vAlign w:val="center"/>
            <w:hideMark/>
          </w:tcPr>
          <w:p w14:paraId="519B2E6D" w14:textId="77777777" w:rsidR="001A7F62" w:rsidRPr="008E63BB" w:rsidRDefault="001A7F62" w:rsidP="00C90BF8">
            <w:pPr>
              <w:jc w:val="center"/>
              <w:rPr>
                <w:rFonts w:eastAsia="Times New Roman"/>
                <w:sz w:val="20"/>
                <w:szCs w:val="20"/>
              </w:rPr>
            </w:pPr>
            <w:r w:rsidRPr="008E63BB">
              <w:rPr>
                <w:rFonts w:eastAsia="Times New Roman"/>
                <w:sz w:val="20"/>
                <w:szCs w:val="20"/>
              </w:rPr>
              <w:t>2,0</w:t>
            </w:r>
          </w:p>
        </w:tc>
        <w:tc>
          <w:tcPr>
            <w:tcW w:w="18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E6E" w14:textId="77777777" w:rsidR="001A7F62" w:rsidRPr="008E63BB" w:rsidRDefault="001A7F62" w:rsidP="00C90BF8">
            <w:pPr>
              <w:jc w:val="center"/>
              <w:rPr>
                <w:rFonts w:eastAsia="Times New Roman"/>
                <w:sz w:val="20"/>
                <w:szCs w:val="20"/>
              </w:rPr>
            </w:pPr>
            <w:r w:rsidRPr="008E63BB">
              <w:rPr>
                <w:rFonts w:eastAsia="Times New Roman"/>
                <w:sz w:val="20"/>
                <w:szCs w:val="20"/>
              </w:rPr>
              <w:t>Quốc gia</w:t>
            </w:r>
          </w:p>
        </w:tc>
        <w:tc>
          <w:tcPr>
            <w:tcW w:w="7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9B2E6F"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E77" w14:textId="77777777" w:rsidTr="00C90BF8">
        <w:trPr>
          <w:trHeight w:val="600"/>
        </w:trPr>
        <w:tc>
          <w:tcPr>
            <w:tcW w:w="801" w:type="dxa"/>
            <w:vMerge/>
            <w:tcBorders>
              <w:top w:val="nil"/>
              <w:left w:val="single" w:sz="4" w:space="0" w:color="auto"/>
              <w:bottom w:val="single" w:sz="4" w:space="0" w:color="auto"/>
              <w:right w:val="single" w:sz="4" w:space="0" w:color="auto"/>
            </w:tcBorders>
            <w:vAlign w:val="center"/>
            <w:hideMark/>
          </w:tcPr>
          <w:p w14:paraId="519B2E71" w14:textId="77777777" w:rsidR="001A7F62" w:rsidRPr="008E63BB" w:rsidRDefault="001A7F62" w:rsidP="00C90BF8">
            <w:pPr>
              <w:jc w:val="left"/>
              <w:rPr>
                <w:rFonts w:eastAsia="Times New Roman"/>
                <w:sz w:val="20"/>
                <w:szCs w:val="20"/>
              </w:rPr>
            </w:pPr>
          </w:p>
        </w:tc>
        <w:tc>
          <w:tcPr>
            <w:tcW w:w="2738" w:type="dxa"/>
            <w:vMerge/>
            <w:tcBorders>
              <w:top w:val="nil"/>
              <w:left w:val="single" w:sz="4" w:space="0" w:color="auto"/>
              <w:bottom w:val="single" w:sz="4" w:space="0" w:color="auto"/>
              <w:right w:val="single" w:sz="4" w:space="0" w:color="auto"/>
            </w:tcBorders>
            <w:vAlign w:val="center"/>
            <w:hideMark/>
          </w:tcPr>
          <w:p w14:paraId="519B2E72" w14:textId="77777777" w:rsidR="001A7F62" w:rsidRPr="008E63BB" w:rsidRDefault="001A7F62" w:rsidP="00C90BF8">
            <w:pPr>
              <w:jc w:val="left"/>
              <w:rPr>
                <w:rFonts w:eastAsia="Times New Roman"/>
                <w:sz w:val="20"/>
                <w:szCs w:val="20"/>
              </w:rPr>
            </w:pPr>
          </w:p>
        </w:tc>
        <w:tc>
          <w:tcPr>
            <w:tcW w:w="1833" w:type="dxa"/>
            <w:tcBorders>
              <w:top w:val="nil"/>
              <w:left w:val="nil"/>
              <w:bottom w:val="single" w:sz="4" w:space="0" w:color="auto"/>
              <w:right w:val="single" w:sz="4" w:space="0" w:color="auto"/>
            </w:tcBorders>
            <w:shd w:val="clear" w:color="auto" w:fill="auto"/>
            <w:vAlign w:val="center"/>
            <w:hideMark/>
          </w:tcPr>
          <w:p w14:paraId="519B2E73" w14:textId="77777777" w:rsidR="001A7F62" w:rsidRPr="008E63BB" w:rsidRDefault="001A7F62" w:rsidP="00C90BF8">
            <w:pPr>
              <w:jc w:val="center"/>
              <w:rPr>
                <w:rFonts w:eastAsia="Times New Roman"/>
                <w:sz w:val="20"/>
                <w:szCs w:val="20"/>
              </w:rPr>
            </w:pPr>
            <w:r w:rsidRPr="008E63BB">
              <w:rPr>
                <w:rFonts w:eastAsia="Times New Roman"/>
                <w:sz w:val="20"/>
                <w:szCs w:val="20"/>
              </w:rPr>
              <w:t>Quốc gia</w:t>
            </w:r>
          </w:p>
        </w:tc>
        <w:tc>
          <w:tcPr>
            <w:tcW w:w="1170" w:type="dxa"/>
            <w:tcBorders>
              <w:top w:val="nil"/>
              <w:left w:val="nil"/>
              <w:bottom w:val="single" w:sz="4" w:space="0" w:color="auto"/>
              <w:right w:val="single" w:sz="4" w:space="0" w:color="auto"/>
            </w:tcBorders>
            <w:shd w:val="clear" w:color="auto" w:fill="auto"/>
            <w:vAlign w:val="center"/>
            <w:hideMark/>
          </w:tcPr>
          <w:p w14:paraId="519B2E74" w14:textId="77777777" w:rsidR="001A7F62" w:rsidRPr="008E63BB" w:rsidRDefault="001A7F62" w:rsidP="00C90BF8">
            <w:pPr>
              <w:jc w:val="center"/>
              <w:rPr>
                <w:rFonts w:eastAsia="Times New Roman"/>
                <w:sz w:val="20"/>
                <w:szCs w:val="20"/>
              </w:rPr>
            </w:pPr>
            <w:r w:rsidRPr="008E63BB">
              <w:rPr>
                <w:rFonts w:eastAsia="Times New Roman"/>
                <w:sz w:val="20"/>
                <w:szCs w:val="20"/>
              </w:rPr>
              <w:t>1,5</w:t>
            </w:r>
          </w:p>
        </w:tc>
        <w:tc>
          <w:tcPr>
            <w:tcW w:w="1890" w:type="dxa"/>
            <w:vMerge/>
            <w:tcBorders>
              <w:top w:val="nil"/>
              <w:left w:val="single" w:sz="4" w:space="0" w:color="auto"/>
              <w:bottom w:val="single" w:sz="4" w:space="0" w:color="auto"/>
              <w:right w:val="single" w:sz="4" w:space="0" w:color="auto"/>
            </w:tcBorders>
            <w:vAlign w:val="center"/>
            <w:hideMark/>
          </w:tcPr>
          <w:p w14:paraId="519B2E75" w14:textId="77777777" w:rsidR="001A7F62" w:rsidRPr="008E63BB" w:rsidRDefault="001A7F62" w:rsidP="00C90BF8">
            <w:pPr>
              <w:jc w:val="left"/>
              <w:rPr>
                <w:rFonts w:eastAsia="Times New Roman"/>
                <w:sz w:val="20"/>
                <w:szCs w:val="20"/>
              </w:rPr>
            </w:pPr>
          </w:p>
        </w:tc>
        <w:tc>
          <w:tcPr>
            <w:tcW w:w="720" w:type="dxa"/>
            <w:vMerge/>
            <w:tcBorders>
              <w:top w:val="nil"/>
              <w:left w:val="single" w:sz="4" w:space="0" w:color="auto"/>
              <w:bottom w:val="single" w:sz="4" w:space="0" w:color="auto"/>
              <w:right w:val="single" w:sz="4" w:space="0" w:color="auto"/>
            </w:tcBorders>
            <w:vAlign w:val="center"/>
            <w:hideMark/>
          </w:tcPr>
          <w:p w14:paraId="519B2E76" w14:textId="77777777" w:rsidR="001A7F62" w:rsidRPr="008E63BB" w:rsidRDefault="001A7F62" w:rsidP="00C90BF8">
            <w:pPr>
              <w:jc w:val="left"/>
              <w:rPr>
                <w:rFonts w:eastAsia="Times New Roman"/>
                <w:sz w:val="20"/>
                <w:szCs w:val="20"/>
              </w:rPr>
            </w:pPr>
          </w:p>
        </w:tc>
      </w:tr>
      <w:tr w:rsidR="001A7F62" w:rsidRPr="008E63BB" w14:paraId="519B2E7E"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78"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79" w14:textId="77777777" w:rsidR="001A7F62" w:rsidRPr="008E63BB" w:rsidRDefault="001A7F62" w:rsidP="00C90BF8">
            <w:pPr>
              <w:jc w:val="left"/>
              <w:rPr>
                <w:rFonts w:eastAsia="Times New Roman"/>
                <w:sz w:val="20"/>
                <w:szCs w:val="20"/>
              </w:rPr>
            </w:pPr>
            <w:r w:rsidRPr="008E63BB">
              <w:rPr>
                <w:rFonts w:eastAsia="Times New Roman"/>
                <w:sz w:val="20"/>
                <w:szCs w:val="20"/>
              </w:rPr>
              <w:t>Tỷ lệ đất giao thông so với đất XD đô thị (%)</w:t>
            </w:r>
          </w:p>
        </w:tc>
        <w:tc>
          <w:tcPr>
            <w:tcW w:w="1833" w:type="dxa"/>
            <w:tcBorders>
              <w:top w:val="nil"/>
              <w:left w:val="nil"/>
              <w:bottom w:val="single" w:sz="4" w:space="0" w:color="auto"/>
              <w:right w:val="single" w:sz="4" w:space="0" w:color="auto"/>
            </w:tcBorders>
            <w:shd w:val="clear" w:color="auto" w:fill="auto"/>
            <w:vAlign w:val="center"/>
            <w:hideMark/>
          </w:tcPr>
          <w:p w14:paraId="519B2E7A" w14:textId="77777777" w:rsidR="001A7F62" w:rsidRPr="008E63BB" w:rsidRDefault="001A7F62" w:rsidP="00C90BF8">
            <w:pPr>
              <w:jc w:val="center"/>
              <w:rPr>
                <w:rFonts w:eastAsia="Times New Roman"/>
                <w:sz w:val="20"/>
                <w:szCs w:val="20"/>
              </w:rPr>
            </w:pPr>
            <w:r w:rsidRPr="008E63BB">
              <w:rPr>
                <w:rFonts w:eastAsia="Times New Roman"/>
                <w:sz w:val="20"/>
                <w:szCs w:val="20"/>
              </w:rPr>
              <w:t>16-≥24</w:t>
            </w:r>
          </w:p>
        </w:tc>
        <w:tc>
          <w:tcPr>
            <w:tcW w:w="1170" w:type="dxa"/>
            <w:tcBorders>
              <w:top w:val="nil"/>
              <w:left w:val="nil"/>
              <w:bottom w:val="single" w:sz="4" w:space="0" w:color="auto"/>
              <w:right w:val="single" w:sz="4" w:space="0" w:color="auto"/>
            </w:tcBorders>
            <w:shd w:val="clear" w:color="auto" w:fill="auto"/>
            <w:vAlign w:val="center"/>
            <w:hideMark/>
          </w:tcPr>
          <w:p w14:paraId="519B2E7B"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7C" w14:textId="77777777" w:rsidR="001A7F62" w:rsidRPr="008E63BB" w:rsidRDefault="001A7F62" w:rsidP="00C90BF8">
            <w:pPr>
              <w:jc w:val="center"/>
              <w:rPr>
                <w:rFonts w:eastAsia="Times New Roman"/>
                <w:sz w:val="20"/>
                <w:szCs w:val="20"/>
              </w:rPr>
            </w:pPr>
            <w:r w:rsidRPr="008E63BB">
              <w:rPr>
                <w:rFonts w:eastAsia="Times New Roman"/>
                <w:sz w:val="20"/>
                <w:szCs w:val="20"/>
              </w:rPr>
              <w:t>24,05</w:t>
            </w:r>
          </w:p>
        </w:tc>
        <w:tc>
          <w:tcPr>
            <w:tcW w:w="720" w:type="dxa"/>
            <w:tcBorders>
              <w:top w:val="nil"/>
              <w:left w:val="nil"/>
              <w:bottom w:val="single" w:sz="4" w:space="0" w:color="auto"/>
              <w:right w:val="single" w:sz="4" w:space="0" w:color="auto"/>
            </w:tcBorders>
            <w:shd w:val="clear" w:color="auto" w:fill="auto"/>
            <w:noWrap/>
            <w:vAlign w:val="center"/>
            <w:hideMark/>
          </w:tcPr>
          <w:p w14:paraId="519B2E7D"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85"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7F"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80" w14:textId="77777777" w:rsidR="001A7F62" w:rsidRPr="008E63BB" w:rsidRDefault="001A7F62" w:rsidP="00C90BF8">
            <w:pPr>
              <w:jc w:val="left"/>
              <w:rPr>
                <w:rFonts w:eastAsia="Times New Roman"/>
                <w:sz w:val="20"/>
                <w:szCs w:val="20"/>
              </w:rPr>
            </w:pPr>
            <w:r w:rsidRPr="008E63BB">
              <w:rPr>
                <w:rFonts w:eastAsia="Times New Roman"/>
                <w:sz w:val="20"/>
                <w:szCs w:val="20"/>
              </w:rPr>
              <w:t>Mật độ đường giao thông (tính đến đường có chiều rộng phần xe chạy≥ 7,5m) (km/km2)</w:t>
            </w:r>
          </w:p>
        </w:tc>
        <w:tc>
          <w:tcPr>
            <w:tcW w:w="1833" w:type="dxa"/>
            <w:tcBorders>
              <w:top w:val="nil"/>
              <w:left w:val="nil"/>
              <w:bottom w:val="single" w:sz="4" w:space="0" w:color="auto"/>
              <w:right w:val="single" w:sz="4" w:space="0" w:color="auto"/>
            </w:tcBorders>
            <w:shd w:val="clear" w:color="auto" w:fill="auto"/>
            <w:vAlign w:val="center"/>
            <w:hideMark/>
          </w:tcPr>
          <w:p w14:paraId="519B2E81" w14:textId="77777777" w:rsidR="001A7F62" w:rsidRPr="008E63BB" w:rsidRDefault="001A7F62" w:rsidP="00C90BF8">
            <w:pPr>
              <w:jc w:val="center"/>
              <w:rPr>
                <w:rFonts w:eastAsia="Times New Roman"/>
                <w:sz w:val="20"/>
                <w:szCs w:val="20"/>
              </w:rPr>
            </w:pPr>
            <w:r w:rsidRPr="008E63BB">
              <w:rPr>
                <w:rFonts w:eastAsia="Times New Roman"/>
                <w:sz w:val="20"/>
                <w:szCs w:val="20"/>
              </w:rPr>
              <w:t>10-≥13</w:t>
            </w:r>
          </w:p>
        </w:tc>
        <w:tc>
          <w:tcPr>
            <w:tcW w:w="1170" w:type="dxa"/>
            <w:tcBorders>
              <w:top w:val="nil"/>
              <w:left w:val="nil"/>
              <w:bottom w:val="single" w:sz="4" w:space="0" w:color="auto"/>
              <w:right w:val="single" w:sz="4" w:space="0" w:color="auto"/>
            </w:tcBorders>
            <w:shd w:val="clear" w:color="auto" w:fill="auto"/>
            <w:vAlign w:val="center"/>
            <w:hideMark/>
          </w:tcPr>
          <w:p w14:paraId="519B2E82"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83" w14:textId="77777777" w:rsidR="001A7F62" w:rsidRPr="008E63BB" w:rsidRDefault="001A7F62" w:rsidP="00C90BF8">
            <w:pPr>
              <w:jc w:val="center"/>
              <w:rPr>
                <w:rFonts w:eastAsia="Times New Roman"/>
                <w:sz w:val="20"/>
                <w:szCs w:val="20"/>
              </w:rPr>
            </w:pPr>
            <w:r w:rsidRPr="008E63BB">
              <w:rPr>
                <w:rFonts w:eastAsia="Times New Roman"/>
                <w:sz w:val="20"/>
                <w:szCs w:val="20"/>
              </w:rPr>
              <w:t>12,18</w:t>
            </w:r>
          </w:p>
        </w:tc>
        <w:tc>
          <w:tcPr>
            <w:tcW w:w="720" w:type="dxa"/>
            <w:tcBorders>
              <w:top w:val="nil"/>
              <w:left w:val="nil"/>
              <w:bottom w:val="single" w:sz="4" w:space="0" w:color="auto"/>
              <w:right w:val="single" w:sz="4" w:space="0" w:color="auto"/>
            </w:tcBorders>
            <w:shd w:val="clear" w:color="auto" w:fill="auto"/>
            <w:noWrap/>
            <w:vAlign w:val="center"/>
            <w:hideMark/>
          </w:tcPr>
          <w:p w14:paraId="519B2E84" w14:textId="77777777" w:rsidR="001A7F62" w:rsidRPr="008E63BB" w:rsidRDefault="001A7F62" w:rsidP="00C90BF8">
            <w:pPr>
              <w:jc w:val="center"/>
              <w:rPr>
                <w:rFonts w:eastAsia="Times New Roman"/>
                <w:sz w:val="20"/>
                <w:szCs w:val="20"/>
              </w:rPr>
            </w:pPr>
            <w:r w:rsidRPr="008E63BB">
              <w:rPr>
                <w:rFonts w:eastAsia="Times New Roman"/>
                <w:sz w:val="20"/>
                <w:szCs w:val="20"/>
              </w:rPr>
              <w:t>0,92</w:t>
            </w:r>
          </w:p>
        </w:tc>
      </w:tr>
      <w:tr w:rsidR="001A7F62" w:rsidRPr="008E63BB" w14:paraId="519B2E8C"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86"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87" w14:textId="77777777" w:rsidR="001A7F62" w:rsidRPr="008E63BB" w:rsidRDefault="001A7F62" w:rsidP="00C90BF8">
            <w:pPr>
              <w:jc w:val="left"/>
              <w:rPr>
                <w:rFonts w:eastAsia="Times New Roman"/>
                <w:sz w:val="20"/>
                <w:szCs w:val="20"/>
              </w:rPr>
            </w:pPr>
            <w:r w:rsidRPr="008E63BB">
              <w:rPr>
                <w:rFonts w:eastAsia="Times New Roman"/>
                <w:sz w:val="20"/>
                <w:szCs w:val="20"/>
              </w:rPr>
              <w:t>Diện tích đất giao thông tính trên dân số  (m2/người)</w:t>
            </w:r>
          </w:p>
        </w:tc>
        <w:tc>
          <w:tcPr>
            <w:tcW w:w="1833" w:type="dxa"/>
            <w:tcBorders>
              <w:top w:val="nil"/>
              <w:left w:val="nil"/>
              <w:bottom w:val="single" w:sz="4" w:space="0" w:color="auto"/>
              <w:right w:val="single" w:sz="4" w:space="0" w:color="auto"/>
            </w:tcBorders>
            <w:shd w:val="clear" w:color="auto" w:fill="auto"/>
            <w:vAlign w:val="center"/>
            <w:hideMark/>
          </w:tcPr>
          <w:p w14:paraId="519B2E88" w14:textId="77777777" w:rsidR="001A7F62" w:rsidRPr="008E63BB" w:rsidRDefault="001A7F62" w:rsidP="00C90BF8">
            <w:pPr>
              <w:jc w:val="center"/>
              <w:rPr>
                <w:rFonts w:eastAsia="Times New Roman"/>
                <w:sz w:val="20"/>
                <w:szCs w:val="20"/>
              </w:rPr>
            </w:pPr>
            <w:r w:rsidRPr="008E63BB">
              <w:rPr>
                <w:rFonts w:eastAsia="Times New Roman"/>
                <w:sz w:val="20"/>
                <w:szCs w:val="20"/>
              </w:rPr>
              <w:t>13-≥15</w:t>
            </w:r>
          </w:p>
        </w:tc>
        <w:tc>
          <w:tcPr>
            <w:tcW w:w="1170" w:type="dxa"/>
            <w:tcBorders>
              <w:top w:val="nil"/>
              <w:left w:val="nil"/>
              <w:bottom w:val="single" w:sz="4" w:space="0" w:color="auto"/>
              <w:right w:val="single" w:sz="4" w:space="0" w:color="auto"/>
            </w:tcBorders>
            <w:shd w:val="clear" w:color="auto" w:fill="auto"/>
            <w:vAlign w:val="center"/>
            <w:hideMark/>
          </w:tcPr>
          <w:p w14:paraId="519B2E89"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8A" w14:textId="77777777" w:rsidR="001A7F62" w:rsidRPr="008E63BB" w:rsidRDefault="001A7F62" w:rsidP="00C90BF8">
            <w:pPr>
              <w:jc w:val="center"/>
              <w:rPr>
                <w:rFonts w:eastAsia="Times New Roman"/>
                <w:sz w:val="20"/>
                <w:szCs w:val="20"/>
              </w:rPr>
            </w:pPr>
            <w:r w:rsidRPr="008E63BB">
              <w:rPr>
                <w:rFonts w:eastAsia="Times New Roman"/>
                <w:sz w:val="20"/>
                <w:szCs w:val="20"/>
              </w:rPr>
              <w:t>14,0</w:t>
            </w:r>
          </w:p>
        </w:tc>
        <w:tc>
          <w:tcPr>
            <w:tcW w:w="720" w:type="dxa"/>
            <w:tcBorders>
              <w:top w:val="nil"/>
              <w:left w:val="nil"/>
              <w:bottom w:val="single" w:sz="4" w:space="0" w:color="auto"/>
              <w:right w:val="single" w:sz="4" w:space="0" w:color="auto"/>
            </w:tcBorders>
            <w:shd w:val="clear" w:color="auto" w:fill="auto"/>
            <w:noWrap/>
            <w:vAlign w:val="center"/>
            <w:hideMark/>
          </w:tcPr>
          <w:p w14:paraId="519B2E8B" w14:textId="77777777" w:rsidR="001A7F62" w:rsidRPr="008E63BB" w:rsidRDefault="001A7F62" w:rsidP="00C90BF8">
            <w:pPr>
              <w:jc w:val="center"/>
              <w:rPr>
                <w:rFonts w:eastAsia="Times New Roman"/>
                <w:sz w:val="20"/>
                <w:szCs w:val="20"/>
              </w:rPr>
            </w:pPr>
            <w:r w:rsidRPr="008E63BB">
              <w:rPr>
                <w:rFonts w:eastAsia="Times New Roman"/>
                <w:sz w:val="20"/>
                <w:szCs w:val="20"/>
              </w:rPr>
              <w:t>0,92</w:t>
            </w:r>
          </w:p>
        </w:tc>
      </w:tr>
      <w:tr w:rsidR="001A7F62" w:rsidRPr="008E63BB" w14:paraId="519B2E93"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8D"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8E" w14:textId="77777777" w:rsidR="001A7F62" w:rsidRPr="008E63BB" w:rsidRDefault="001A7F62" w:rsidP="00C90BF8">
            <w:pPr>
              <w:jc w:val="left"/>
              <w:rPr>
                <w:rFonts w:eastAsia="Times New Roman"/>
                <w:sz w:val="20"/>
                <w:szCs w:val="20"/>
              </w:rPr>
            </w:pPr>
            <w:r w:rsidRPr="008E63BB">
              <w:rPr>
                <w:rFonts w:eastAsia="Times New Roman"/>
                <w:sz w:val="20"/>
                <w:szCs w:val="20"/>
              </w:rPr>
              <w:t>Tỷ lệ phục vụ vận tải hành khách công cộng (%)</w:t>
            </w:r>
          </w:p>
        </w:tc>
        <w:tc>
          <w:tcPr>
            <w:tcW w:w="1833" w:type="dxa"/>
            <w:tcBorders>
              <w:top w:val="nil"/>
              <w:left w:val="nil"/>
              <w:bottom w:val="single" w:sz="4" w:space="0" w:color="auto"/>
              <w:right w:val="single" w:sz="4" w:space="0" w:color="auto"/>
            </w:tcBorders>
            <w:shd w:val="clear" w:color="auto" w:fill="auto"/>
            <w:vAlign w:val="center"/>
            <w:hideMark/>
          </w:tcPr>
          <w:p w14:paraId="519B2E8F" w14:textId="77777777" w:rsidR="001A7F62" w:rsidRPr="008E63BB" w:rsidRDefault="001A7F62" w:rsidP="00C90BF8">
            <w:pPr>
              <w:jc w:val="center"/>
              <w:rPr>
                <w:rFonts w:eastAsia="Times New Roman"/>
                <w:sz w:val="20"/>
                <w:szCs w:val="20"/>
              </w:rPr>
            </w:pPr>
            <w:r w:rsidRPr="008E63BB">
              <w:rPr>
                <w:rFonts w:eastAsia="Times New Roman"/>
                <w:sz w:val="20"/>
                <w:szCs w:val="20"/>
              </w:rPr>
              <w:t>15-≥20</w:t>
            </w:r>
          </w:p>
        </w:tc>
        <w:tc>
          <w:tcPr>
            <w:tcW w:w="1170" w:type="dxa"/>
            <w:tcBorders>
              <w:top w:val="nil"/>
              <w:left w:val="nil"/>
              <w:bottom w:val="single" w:sz="4" w:space="0" w:color="auto"/>
              <w:right w:val="single" w:sz="4" w:space="0" w:color="auto"/>
            </w:tcBorders>
            <w:shd w:val="clear" w:color="auto" w:fill="auto"/>
            <w:vAlign w:val="center"/>
            <w:hideMark/>
          </w:tcPr>
          <w:p w14:paraId="519B2E90"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91" w14:textId="77777777" w:rsidR="001A7F62" w:rsidRPr="008E63BB" w:rsidRDefault="001A7F62" w:rsidP="00C90BF8">
            <w:pPr>
              <w:jc w:val="center"/>
              <w:rPr>
                <w:rFonts w:eastAsia="Times New Roman"/>
                <w:sz w:val="20"/>
                <w:szCs w:val="20"/>
              </w:rPr>
            </w:pPr>
            <w:r w:rsidRPr="008E63BB">
              <w:rPr>
                <w:rFonts w:eastAsia="Times New Roman"/>
                <w:sz w:val="20"/>
                <w:szCs w:val="20"/>
              </w:rPr>
              <w:t>&lt;15%</w:t>
            </w:r>
          </w:p>
        </w:tc>
        <w:tc>
          <w:tcPr>
            <w:tcW w:w="720" w:type="dxa"/>
            <w:tcBorders>
              <w:top w:val="nil"/>
              <w:left w:val="nil"/>
              <w:bottom w:val="single" w:sz="4" w:space="0" w:color="auto"/>
              <w:right w:val="single" w:sz="4" w:space="0" w:color="auto"/>
            </w:tcBorders>
            <w:shd w:val="clear" w:color="auto" w:fill="auto"/>
            <w:noWrap/>
            <w:vAlign w:val="center"/>
            <w:hideMark/>
          </w:tcPr>
          <w:p w14:paraId="519B2E92" w14:textId="77777777" w:rsidR="001A7F62" w:rsidRPr="008E63BB" w:rsidRDefault="001A7F62" w:rsidP="00C90BF8">
            <w:pPr>
              <w:jc w:val="center"/>
              <w:rPr>
                <w:rFonts w:eastAsia="Times New Roman"/>
                <w:sz w:val="20"/>
                <w:szCs w:val="20"/>
              </w:rPr>
            </w:pPr>
            <w:r w:rsidRPr="008E63BB">
              <w:rPr>
                <w:rFonts w:eastAsia="Times New Roman"/>
                <w:sz w:val="20"/>
                <w:szCs w:val="20"/>
              </w:rPr>
              <w:t>0,75</w:t>
            </w:r>
          </w:p>
        </w:tc>
      </w:tr>
      <w:tr w:rsidR="001A7F62" w:rsidRPr="008E63BB" w14:paraId="519B2E9A"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94"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b)</w:t>
            </w:r>
          </w:p>
        </w:tc>
        <w:tc>
          <w:tcPr>
            <w:tcW w:w="2738" w:type="dxa"/>
            <w:tcBorders>
              <w:top w:val="nil"/>
              <w:left w:val="nil"/>
              <w:bottom w:val="single" w:sz="4" w:space="0" w:color="auto"/>
              <w:right w:val="single" w:sz="4" w:space="0" w:color="auto"/>
            </w:tcBorders>
            <w:shd w:val="clear" w:color="auto" w:fill="auto"/>
            <w:vAlign w:val="center"/>
            <w:hideMark/>
          </w:tcPr>
          <w:p w14:paraId="519B2E95"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cấp điện và chiếu sáng công cộng</w:t>
            </w:r>
          </w:p>
        </w:tc>
        <w:tc>
          <w:tcPr>
            <w:tcW w:w="1833" w:type="dxa"/>
            <w:tcBorders>
              <w:top w:val="nil"/>
              <w:left w:val="nil"/>
              <w:bottom w:val="single" w:sz="4" w:space="0" w:color="auto"/>
              <w:right w:val="single" w:sz="4" w:space="0" w:color="auto"/>
            </w:tcBorders>
            <w:shd w:val="clear" w:color="auto" w:fill="auto"/>
            <w:vAlign w:val="center"/>
            <w:hideMark/>
          </w:tcPr>
          <w:p w14:paraId="519B2E96"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97"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2,25-3</w:t>
            </w:r>
          </w:p>
        </w:tc>
        <w:tc>
          <w:tcPr>
            <w:tcW w:w="1890" w:type="dxa"/>
            <w:tcBorders>
              <w:top w:val="nil"/>
              <w:left w:val="nil"/>
              <w:bottom w:val="single" w:sz="4" w:space="0" w:color="auto"/>
              <w:right w:val="single" w:sz="4" w:space="0" w:color="auto"/>
            </w:tcBorders>
            <w:shd w:val="clear" w:color="auto" w:fill="auto"/>
            <w:noWrap/>
            <w:vAlign w:val="center"/>
            <w:hideMark/>
          </w:tcPr>
          <w:p w14:paraId="519B2E98"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E99"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3,0</w:t>
            </w:r>
          </w:p>
        </w:tc>
      </w:tr>
      <w:tr w:rsidR="001A7F62" w:rsidRPr="008E63BB" w14:paraId="519B2EA1"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9B"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9C" w14:textId="77777777" w:rsidR="001A7F62" w:rsidRPr="008E63BB" w:rsidRDefault="001A7F62" w:rsidP="00C90BF8">
            <w:pPr>
              <w:jc w:val="left"/>
              <w:rPr>
                <w:rFonts w:eastAsia="Times New Roman"/>
                <w:sz w:val="20"/>
                <w:szCs w:val="20"/>
              </w:rPr>
            </w:pPr>
            <w:r w:rsidRPr="008E63BB">
              <w:rPr>
                <w:rFonts w:eastAsia="Times New Roman"/>
                <w:sz w:val="20"/>
                <w:szCs w:val="20"/>
              </w:rPr>
              <w:t>Cấp điện sinh hoạt (kwh/người/năm)</w:t>
            </w:r>
          </w:p>
        </w:tc>
        <w:tc>
          <w:tcPr>
            <w:tcW w:w="1833" w:type="dxa"/>
            <w:tcBorders>
              <w:top w:val="nil"/>
              <w:left w:val="nil"/>
              <w:bottom w:val="single" w:sz="4" w:space="0" w:color="auto"/>
              <w:right w:val="single" w:sz="4" w:space="0" w:color="auto"/>
            </w:tcBorders>
            <w:shd w:val="clear" w:color="auto" w:fill="auto"/>
            <w:vAlign w:val="center"/>
            <w:hideMark/>
          </w:tcPr>
          <w:p w14:paraId="519B2E9D" w14:textId="77777777" w:rsidR="001A7F62" w:rsidRPr="008E63BB" w:rsidRDefault="001A7F62" w:rsidP="00C90BF8">
            <w:pPr>
              <w:jc w:val="center"/>
              <w:rPr>
                <w:rFonts w:eastAsia="Times New Roman"/>
                <w:sz w:val="20"/>
                <w:szCs w:val="20"/>
              </w:rPr>
            </w:pPr>
            <w:r w:rsidRPr="008E63BB">
              <w:rPr>
                <w:rFonts w:eastAsia="Times New Roman"/>
                <w:sz w:val="20"/>
                <w:szCs w:val="20"/>
              </w:rPr>
              <w:t>850 ≥ 1.000</w:t>
            </w:r>
          </w:p>
        </w:tc>
        <w:tc>
          <w:tcPr>
            <w:tcW w:w="1170" w:type="dxa"/>
            <w:tcBorders>
              <w:top w:val="nil"/>
              <w:left w:val="nil"/>
              <w:bottom w:val="single" w:sz="4" w:space="0" w:color="auto"/>
              <w:right w:val="single" w:sz="4" w:space="0" w:color="auto"/>
            </w:tcBorders>
            <w:shd w:val="clear" w:color="auto" w:fill="auto"/>
            <w:vAlign w:val="center"/>
            <w:hideMark/>
          </w:tcPr>
          <w:p w14:paraId="519B2E9E"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9F" w14:textId="77777777" w:rsidR="001A7F62" w:rsidRPr="008E63BB" w:rsidRDefault="001A7F62" w:rsidP="00C90BF8">
            <w:pPr>
              <w:jc w:val="center"/>
              <w:rPr>
                <w:rFonts w:eastAsia="Times New Roman"/>
                <w:sz w:val="20"/>
                <w:szCs w:val="20"/>
              </w:rPr>
            </w:pPr>
            <w:r w:rsidRPr="008E63BB">
              <w:rPr>
                <w:rFonts w:eastAsia="Times New Roman"/>
                <w:sz w:val="20"/>
                <w:szCs w:val="20"/>
              </w:rPr>
              <w:t>950</w:t>
            </w:r>
          </w:p>
        </w:tc>
        <w:tc>
          <w:tcPr>
            <w:tcW w:w="720" w:type="dxa"/>
            <w:tcBorders>
              <w:top w:val="nil"/>
              <w:left w:val="nil"/>
              <w:bottom w:val="single" w:sz="4" w:space="0" w:color="auto"/>
              <w:right w:val="single" w:sz="4" w:space="0" w:color="auto"/>
            </w:tcBorders>
            <w:shd w:val="clear" w:color="auto" w:fill="auto"/>
            <w:noWrap/>
            <w:vAlign w:val="center"/>
            <w:hideMark/>
          </w:tcPr>
          <w:p w14:paraId="519B2EA0"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A8"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A2"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A3" w14:textId="77777777" w:rsidR="001A7F62" w:rsidRPr="008E63BB" w:rsidRDefault="001A7F62" w:rsidP="00C90BF8">
            <w:pPr>
              <w:jc w:val="left"/>
              <w:rPr>
                <w:rFonts w:eastAsia="Times New Roman"/>
                <w:sz w:val="20"/>
                <w:szCs w:val="20"/>
              </w:rPr>
            </w:pPr>
            <w:r w:rsidRPr="008E63BB">
              <w:rPr>
                <w:rFonts w:eastAsia="Times New Roman"/>
                <w:sz w:val="20"/>
                <w:szCs w:val="20"/>
              </w:rPr>
              <w:t>Tỷ lệ đường phố chính được chiếu sáng (%)</w:t>
            </w:r>
          </w:p>
        </w:tc>
        <w:tc>
          <w:tcPr>
            <w:tcW w:w="1833" w:type="dxa"/>
            <w:tcBorders>
              <w:top w:val="nil"/>
              <w:left w:val="nil"/>
              <w:bottom w:val="single" w:sz="4" w:space="0" w:color="auto"/>
              <w:right w:val="single" w:sz="4" w:space="0" w:color="auto"/>
            </w:tcBorders>
            <w:shd w:val="clear" w:color="auto" w:fill="auto"/>
            <w:vAlign w:val="center"/>
            <w:hideMark/>
          </w:tcPr>
          <w:p w14:paraId="519B2EA4" w14:textId="77777777" w:rsidR="001A7F62" w:rsidRPr="008E63BB" w:rsidRDefault="001A7F62" w:rsidP="00C90BF8">
            <w:pPr>
              <w:jc w:val="center"/>
              <w:rPr>
                <w:rFonts w:eastAsia="Times New Roman"/>
                <w:sz w:val="20"/>
                <w:szCs w:val="20"/>
              </w:rPr>
            </w:pPr>
            <w:r w:rsidRPr="008E63BB">
              <w:rPr>
                <w:rFonts w:eastAsia="Times New Roman"/>
                <w:sz w:val="20"/>
                <w:szCs w:val="20"/>
              </w:rPr>
              <w:t>95-100</w:t>
            </w:r>
          </w:p>
        </w:tc>
        <w:tc>
          <w:tcPr>
            <w:tcW w:w="1170" w:type="dxa"/>
            <w:tcBorders>
              <w:top w:val="nil"/>
              <w:left w:val="nil"/>
              <w:bottom w:val="single" w:sz="4" w:space="0" w:color="auto"/>
              <w:right w:val="single" w:sz="4" w:space="0" w:color="auto"/>
            </w:tcBorders>
            <w:shd w:val="clear" w:color="auto" w:fill="auto"/>
            <w:vAlign w:val="center"/>
            <w:hideMark/>
          </w:tcPr>
          <w:p w14:paraId="519B2EA5"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A6"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c>
          <w:tcPr>
            <w:tcW w:w="720" w:type="dxa"/>
            <w:tcBorders>
              <w:top w:val="nil"/>
              <w:left w:val="nil"/>
              <w:bottom w:val="single" w:sz="4" w:space="0" w:color="auto"/>
              <w:right w:val="single" w:sz="4" w:space="0" w:color="auto"/>
            </w:tcBorders>
            <w:shd w:val="clear" w:color="auto" w:fill="auto"/>
            <w:noWrap/>
            <w:vAlign w:val="center"/>
            <w:hideMark/>
          </w:tcPr>
          <w:p w14:paraId="519B2EA7"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AF"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A9"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AA" w14:textId="77777777" w:rsidR="001A7F62" w:rsidRPr="008E63BB" w:rsidRDefault="001A7F62" w:rsidP="00C90BF8">
            <w:pPr>
              <w:jc w:val="left"/>
              <w:rPr>
                <w:rFonts w:eastAsia="Times New Roman"/>
                <w:sz w:val="20"/>
                <w:szCs w:val="20"/>
              </w:rPr>
            </w:pPr>
            <w:r w:rsidRPr="008E63BB">
              <w:rPr>
                <w:rFonts w:eastAsia="Times New Roman"/>
                <w:sz w:val="20"/>
                <w:szCs w:val="20"/>
              </w:rPr>
              <w:t>Tỷ lệ đường khu nhà ở, ngõ xóm được chiếu sáng (%)</w:t>
            </w:r>
          </w:p>
        </w:tc>
        <w:tc>
          <w:tcPr>
            <w:tcW w:w="1833" w:type="dxa"/>
            <w:tcBorders>
              <w:top w:val="nil"/>
              <w:left w:val="nil"/>
              <w:bottom w:val="single" w:sz="4" w:space="0" w:color="auto"/>
              <w:right w:val="single" w:sz="4" w:space="0" w:color="auto"/>
            </w:tcBorders>
            <w:shd w:val="clear" w:color="auto" w:fill="auto"/>
            <w:vAlign w:val="center"/>
            <w:hideMark/>
          </w:tcPr>
          <w:p w14:paraId="519B2EAB" w14:textId="77777777" w:rsidR="001A7F62" w:rsidRPr="008E63BB" w:rsidRDefault="001A7F62" w:rsidP="00C90BF8">
            <w:pPr>
              <w:jc w:val="center"/>
              <w:rPr>
                <w:rFonts w:eastAsia="Times New Roman"/>
                <w:sz w:val="20"/>
                <w:szCs w:val="20"/>
              </w:rPr>
            </w:pPr>
            <w:r w:rsidRPr="008E63BB">
              <w:rPr>
                <w:rFonts w:eastAsia="Times New Roman"/>
                <w:sz w:val="20"/>
                <w:szCs w:val="20"/>
              </w:rPr>
              <w:t>60-≥85</w:t>
            </w:r>
          </w:p>
        </w:tc>
        <w:tc>
          <w:tcPr>
            <w:tcW w:w="1170" w:type="dxa"/>
            <w:tcBorders>
              <w:top w:val="nil"/>
              <w:left w:val="nil"/>
              <w:bottom w:val="single" w:sz="4" w:space="0" w:color="auto"/>
              <w:right w:val="single" w:sz="4" w:space="0" w:color="auto"/>
            </w:tcBorders>
            <w:shd w:val="clear" w:color="auto" w:fill="auto"/>
            <w:vAlign w:val="center"/>
            <w:hideMark/>
          </w:tcPr>
          <w:p w14:paraId="519B2EAC"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AD" w14:textId="77777777" w:rsidR="001A7F62" w:rsidRPr="008E63BB" w:rsidRDefault="001A7F62" w:rsidP="00C90BF8">
            <w:pPr>
              <w:jc w:val="center"/>
              <w:rPr>
                <w:rFonts w:eastAsia="Times New Roman"/>
                <w:sz w:val="20"/>
                <w:szCs w:val="20"/>
              </w:rPr>
            </w:pPr>
            <w:r w:rsidRPr="008E63BB">
              <w:rPr>
                <w:rFonts w:eastAsia="Times New Roman"/>
                <w:sz w:val="20"/>
                <w:szCs w:val="20"/>
              </w:rPr>
              <w:t>87</w:t>
            </w:r>
          </w:p>
        </w:tc>
        <w:tc>
          <w:tcPr>
            <w:tcW w:w="720" w:type="dxa"/>
            <w:tcBorders>
              <w:top w:val="nil"/>
              <w:left w:val="nil"/>
              <w:bottom w:val="single" w:sz="4" w:space="0" w:color="auto"/>
              <w:right w:val="single" w:sz="4" w:space="0" w:color="auto"/>
            </w:tcBorders>
            <w:shd w:val="clear" w:color="auto" w:fill="auto"/>
            <w:noWrap/>
            <w:vAlign w:val="center"/>
            <w:hideMark/>
          </w:tcPr>
          <w:p w14:paraId="519B2EAE"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B6" w14:textId="77777777" w:rsidTr="00C90BF8">
        <w:trPr>
          <w:trHeight w:val="25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B0"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c)</w:t>
            </w:r>
          </w:p>
        </w:tc>
        <w:tc>
          <w:tcPr>
            <w:tcW w:w="2738" w:type="dxa"/>
            <w:tcBorders>
              <w:top w:val="nil"/>
              <w:left w:val="nil"/>
              <w:bottom w:val="single" w:sz="4" w:space="0" w:color="auto"/>
              <w:right w:val="single" w:sz="4" w:space="0" w:color="auto"/>
            </w:tcBorders>
            <w:shd w:val="clear" w:color="auto" w:fill="auto"/>
            <w:vAlign w:val="center"/>
            <w:hideMark/>
          </w:tcPr>
          <w:p w14:paraId="519B2EB1"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cấp nước</w:t>
            </w:r>
          </w:p>
        </w:tc>
        <w:tc>
          <w:tcPr>
            <w:tcW w:w="1833" w:type="dxa"/>
            <w:tcBorders>
              <w:top w:val="nil"/>
              <w:left w:val="nil"/>
              <w:bottom w:val="single" w:sz="4" w:space="0" w:color="auto"/>
              <w:right w:val="single" w:sz="4" w:space="0" w:color="auto"/>
            </w:tcBorders>
            <w:shd w:val="clear" w:color="auto" w:fill="auto"/>
            <w:vAlign w:val="center"/>
            <w:hideMark/>
          </w:tcPr>
          <w:p w14:paraId="519B2EB2"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B3"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2,25-3</w:t>
            </w:r>
          </w:p>
        </w:tc>
        <w:tc>
          <w:tcPr>
            <w:tcW w:w="1890" w:type="dxa"/>
            <w:tcBorders>
              <w:top w:val="nil"/>
              <w:left w:val="nil"/>
              <w:bottom w:val="single" w:sz="4" w:space="0" w:color="auto"/>
              <w:right w:val="single" w:sz="4" w:space="0" w:color="auto"/>
            </w:tcBorders>
            <w:shd w:val="clear" w:color="auto" w:fill="auto"/>
            <w:noWrap/>
            <w:vAlign w:val="center"/>
            <w:hideMark/>
          </w:tcPr>
          <w:p w14:paraId="519B2EB4"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EB5"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3,0</w:t>
            </w:r>
          </w:p>
        </w:tc>
      </w:tr>
      <w:tr w:rsidR="001A7F62" w:rsidRPr="008E63BB" w14:paraId="519B2EBD"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B7"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B8" w14:textId="77777777" w:rsidR="001A7F62" w:rsidRPr="008E63BB" w:rsidRDefault="001A7F62" w:rsidP="00C90BF8">
            <w:pPr>
              <w:jc w:val="left"/>
              <w:rPr>
                <w:rFonts w:eastAsia="Times New Roman"/>
                <w:sz w:val="20"/>
                <w:szCs w:val="20"/>
              </w:rPr>
            </w:pPr>
            <w:r w:rsidRPr="008E63BB">
              <w:rPr>
                <w:rFonts w:eastAsia="Times New Roman"/>
                <w:sz w:val="20"/>
                <w:szCs w:val="20"/>
              </w:rPr>
              <w:t>Tiêu chuẩn cấp nước sinh hoạt (lít/người/ngày đêm)</w:t>
            </w:r>
          </w:p>
        </w:tc>
        <w:tc>
          <w:tcPr>
            <w:tcW w:w="1833" w:type="dxa"/>
            <w:tcBorders>
              <w:top w:val="nil"/>
              <w:left w:val="nil"/>
              <w:bottom w:val="single" w:sz="4" w:space="0" w:color="auto"/>
              <w:right w:val="single" w:sz="4" w:space="0" w:color="auto"/>
            </w:tcBorders>
            <w:shd w:val="clear" w:color="auto" w:fill="auto"/>
            <w:vAlign w:val="center"/>
            <w:hideMark/>
          </w:tcPr>
          <w:p w14:paraId="519B2EB9" w14:textId="77777777" w:rsidR="001A7F62" w:rsidRPr="008E63BB" w:rsidRDefault="001A7F62" w:rsidP="00C90BF8">
            <w:pPr>
              <w:jc w:val="center"/>
              <w:rPr>
                <w:rFonts w:eastAsia="Times New Roman"/>
                <w:sz w:val="20"/>
                <w:szCs w:val="20"/>
              </w:rPr>
            </w:pPr>
            <w:r w:rsidRPr="008E63BB">
              <w:rPr>
                <w:rFonts w:eastAsia="Times New Roman"/>
                <w:sz w:val="20"/>
                <w:szCs w:val="20"/>
              </w:rPr>
              <w:t>120-≥130</w:t>
            </w:r>
          </w:p>
        </w:tc>
        <w:tc>
          <w:tcPr>
            <w:tcW w:w="1170" w:type="dxa"/>
            <w:tcBorders>
              <w:top w:val="nil"/>
              <w:left w:val="nil"/>
              <w:bottom w:val="single" w:sz="4" w:space="0" w:color="auto"/>
              <w:right w:val="single" w:sz="4" w:space="0" w:color="auto"/>
            </w:tcBorders>
            <w:shd w:val="clear" w:color="auto" w:fill="auto"/>
            <w:vAlign w:val="center"/>
            <w:hideMark/>
          </w:tcPr>
          <w:p w14:paraId="519B2EBA"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BB" w14:textId="77777777" w:rsidR="001A7F62" w:rsidRPr="008E63BB" w:rsidRDefault="001A7F62" w:rsidP="00C90BF8">
            <w:pPr>
              <w:jc w:val="center"/>
              <w:rPr>
                <w:rFonts w:eastAsia="Times New Roman"/>
                <w:sz w:val="20"/>
                <w:szCs w:val="20"/>
              </w:rPr>
            </w:pPr>
            <w:r w:rsidRPr="008E63BB">
              <w:rPr>
                <w:rFonts w:eastAsia="Times New Roman"/>
                <w:sz w:val="20"/>
                <w:szCs w:val="20"/>
              </w:rPr>
              <w:t>130</w:t>
            </w:r>
          </w:p>
        </w:tc>
        <w:tc>
          <w:tcPr>
            <w:tcW w:w="720" w:type="dxa"/>
            <w:tcBorders>
              <w:top w:val="nil"/>
              <w:left w:val="nil"/>
              <w:bottom w:val="single" w:sz="4" w:space="0" w:color="auto"/>
              <w:right w:val="single" w:sz="4" w:space="0" w:color="auto"/>
            </w:tcBorders>
            <w:shd w:val="clear" w:color="auto" w:fill="auto"/>
            <w:noWrap/>
            <w:vAlign w:val="center"/>
            <w:hideMark/>
          </w:tcPr>
          <w:p w14:paraId="519B2EBC"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C4"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BE"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BF" w14:textId="77777777" w:rsidR="001A7F62" w:rsidRPr="008E63BB" w:rsidRDefault="001A7F62" w:rsidP="00C90BF8">
            <w:pPr>
              <w:jc w:val="left"/>
              <w:rPr>
                <w:rFonts w:eastAsia="Times New Roman"/>
                <w:sz w:val="20"/>
                <w:szCs w:val="20"/>
              </w:rPr>
            </w:pPr>
            <w:r w:rsidRPr="008E63BB">
              <w:rPr>
                <w:rFonts w:eastAsia="Times New Roman"/>
                <w:sz w:val="20"/>
                <w:szCs w:val="20"/>
              </w:rPr>
              <w:t>Tỷ lệ hộ dân được cấp nước sạch,hợp vệ sinh (%)</w:t>
            </w:r>
          </w:p>
        </w:tc>
        <w:tc>
          <w:tcPr>
            <w:tcW w:w="1833" w:type="dxa"/>
            <w:tcBorders>
              <w:top w:val="nil"/>
              <w:left w:val="nil"/>
              <w:bottom w:val="single" w:sz="4" w:space="0" w:color="auto"/>
              <w:right w:val="single" w:sz="4" w:space="0" w:color="auto"/>
            </w:tcBorders>
            <w:shd w:val="clear" w:color="auto" w:fill="auto"/>
            <w:vAlign w:val="center"/>
            <w:hideMark/>
          </w:tcPr>
          <w:p w14:paraId="519B2EC0" w14:textId="77777777" w:rsidR="001A7F62" w:rsidRPr="008E63BB" w:rsidRDefault="001A7F62" w:rsidP="00C90BF8">
            <w:pPr>
              <w:jc w:val="center"/>
              <w:rPr>
                <w:rFonts w:eastAsia="Times New Roman"/>
                <w:sz w:val="20"/>
                <w:szCs w:val="20"/>
              </w:rPr>
            </w:pPr>
            <w:r w:rsidRPr="008E63BB">
              <w:rPr>
                <w:rFonts w:eastAsia="Times New Roman"/>
                <w:sz w:val="20"/>
                <w:szCs w:val="20"/>
              </w:rPr>
              <w:t>95-100</w:t>
            </w:r>
          </w:p>
        </w:tc>
        <w:tc>
          <w:tcPr>
            <w:tcW w:w="1170" w:type="dxa"/>
            <w:tcBorders>
              <w:top w:val="nil"/>
              <w:left w:val="nil"/>
              <w:bottom w:val="single" w:sz="4" w:space="0" w:color="auto"/>
              <w:right w:val="single" w:sz="4" w:space="0" w:color="auto"/>
            </w:tcBorders>
            <w:shd w:val="clear" w:color="auto" w:fill="auto"/>
            <w:vAlign w:val="center"/>
            <w:hideMark/>
          </w:tcPr>
          <w:p w14:paraId="519B2EC1"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vAlign w:val="center"/>
            <w:hideMark/>
          </w:tcPr>
          <w:p w14:paraId="519B2EC2"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c>
          <w:tcPr>
            <w:tcW w:w="720" w:type="dxa"/>
            <w:tcBorders>
              <w:top w:val="nil"/>
              <w:left w:val="nil"/>
              <w:bottom w:val="single" w:sz="4" w:space="0" w:color="auto"/>
              <w:right w:val="single" w:sz="4" w:space="0" w:color="auto"/>
            </w:tcBorders>
            <w:shd w:val="clear" w:color="auto" w:fill="auto"/>
            <w:noWrap/>
            <w:vAlign w:val="center"/>
            <w:hideMark/>
          </w:tcPr>
          <w:p w14:paraId="519B2EC3"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ECB"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C5"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d)</w:t>
            </w:r>
          </w:p>
        </w:tc>
        <w:tc>
          <w:tcPr>
            <w:tcW w:w="2738" w:type="dxa"/>
            <w:tcBorders>
              <w:top w:val="nil"/>
              <w:left w:val="nil"/>
              <w:bottom w:val="single" w:sz="4" w:space="0" w:color="auto"/>
              <w:right w:val="single" w:sz="4" w:space="0" w:color="auto"/>
            </w:tcBorders>
            <w:shd w:val="clear" w:color="auto" w:fill="auto"/>
            <w:vAlign w:val="center"/>
            <w:hideMark/>
          </w:tcPr>
          <w:p w14:paraId="519B2EC6"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Hệ thống thông tin, bưu chính viễn thông</w:t>
            </w:r>
          </w:p>
        </w:tc>
        <w:tc>
          <w:tcPr>
            <w:tcW w:w="1833" w:type="dxa"/>
            <w:tcBorders>
              <w:top w:val="nil"/>
              <w:left w:val="nil"/>
              <w:bottom w:val="single" w:sz="4" w:space="0" w:color="auto"/>
              <w:right w:val="single" w:sz="4" w:space="0" w:color="auto"/>
            </w:tcBorders>
            <w:shd w:val="clear" w:color="auto" w:fill="auto"/>
            <w:vAlign w:val="center"/>
            <w:hideMark/>
          </w:tcPr>
          <w:p w14:paraId="519B2EC7"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C8"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1,5-2.0</w:t>
            </w:r>
          </w:p>
        </w:tc>
        <w:tc>
          <w:tcPr>
            <w:tcW w:w="1890" w:type="dxa"/>
            <w:tcBorders>
              <w:top w:val="nil"/>
              <w:left w:val="nil"/>
              <w:bottom w:val="single" w:sz="4" w:space="0" w:color="auto"/>
              <w:right w:val="single" w:sz="4" w:space="0" w:color="auto"/>
            </w:tcBorders>
            <w:shd w:val="clear" w:color="auto" w:fill="auto"/>
            <w:vAlign w:val="center"/>
            <w:hideMark/>
          </w:tcPr>
          <w:p w14:paraId="519B2EC9"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ECA"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2,0</w:t>
            </w:r>
          </w:p>
        </w:tc>
      </w:tr>
      <w:tr w:rsidR="001A7F62" w:rsidRPr="008E63BB" w14:paraId="519B2ED2"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CC"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CD" w14:textId="77777777" w:rsidR="001A7F62" w:rsidRPr="008E63BB" w:rsidRDefault="001A7F62" w:rsidP="00C90BF8">
            <w:pPr>
              <w:jc w:val="left"/>
              <w:rPr>
                <w:rFonts w:eastAsia="Times New Roman"/>
                <w:sz w:val="20"/>
                <w:szCs w:val="20"/>
              </w:rPr>
            </w:pPr>
            <w:r w:rsidRPr="008E63BB">
              <w:rPr>
                <w:rFonts w:eastAsia="Times New Roman"/>
                <w:sz w:val="20"/>
                <w:szCs w:val="20"/>
              </w:rPr>
              <w:t>Số thuê bao internet (băng rộng cố định và băng rộng di động) (Số thuê baointernet/100 dân)</w:t>
            </w:r>
          </w:p>
        </w:tc>
        <w:tc>
          <w:tcPr>
            <w:tcW w:w="1833" w:type="dxa"/>
            <w:tcBorders>
              <w:top w:val="nil"/>
              <w:left w:val="nil"/>
              <w:bottom w:val="single" w:sz="4" w:space="0" w:color="auto"/>
              <w:right w:val="single" w:sz="4" w:space="0" w:color="auto"/>
            </w:tcBorders>
            <w:shd w:val="clear" w:color="auto" w:fill="auto"/>
            <w:vAlign w:val="center"/>
            <w:hideMark/>
          </w:tcPr>
          <w:p w14:paraId="519B2ECE" w14:textId="77777777" w:rsidR="001A7F62" w:rsidRPr="008E63BB" w:rsidRDefault="001A7F62" w:rsidP="00C90BF8">
            <w:pPr>
              <w:jc w:val="center"/>
              <w:rPr>
                <w:rFonts w:eastAsia="Times New Roman"/>
                <w:sz w:val="20"/>
                <w:szCs w:val="20"/>
              </w:rPr>
            </w:pPr>
            <w:r w:rsidRPr="008E63BB">
              <w:rPr>
                <w:rFonts w:eastAsia="Times New Roman"/>
                <w:sz w:val="20"/>
                <w:szCs w:val="20"/>
              </w:rPr>
              <w:t>25-≥30</w:t>
            </w:r>
          </w:p>
        </w:tc>
        <w:tc>
          <w:tcPr>
            <w:tcW w:w="1170" w:type="dxa"/>
            <w:tcBorders>
              <w:top w:val="nil"/>
              <w:left w:val="nil"/>
              <w:bottom w:val="single" w:sz="4" w:space="0" w:color="auto"/>
              <w:right w:val="single" w:sz="4" w:space="0" w:color="auto"/>
            </w:tcBorders>
            <w:shd w:val="clear" w:color="auto" w:fill="auto"/>
            <w:vAlign w:val="center"/>
            <w:hideMark/>
          </w:tcPr>
          <w:p w14:paraId="519B2ECF"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ED0" w14:textId="77777777" w:rsidR="001A7F62" w:rsidRPr="008E63BB" w:rsidRDefault="001A7F62" w:rsidP="00C90BF8">
            <w:pPr>
              <w:jc w:val="center"/>
              <w:rPr>
                <w:rFonts w:eastAsia="Times New Roman"/>
                <w:sz w:val="20"/>
                <w:szCs w:val="20"/>
              </w:rPr>
            </w:pPr>
            <w:r w:rsidRPr="008E63BB">
              <w:rPr>
                <w:rFonts w:eastAsia="Times New Roman"/>
                <w:sz w:val="20"/>
                <w:szCs w:val="20"/>
              </w:rPr>
              <w:t>52</w:t>
            </w:r>
          </w:p>
        </w:tc>
        <w:tc>
          <w:tcPr>
            <w:tcW w:w="720" w:type="dxa"/>
            <w:tcBorders>
              <w:top w:val="nil"/>
              <w:left w:val="nil"/>
              <w:bottom w:val="single" w:sz="4" w:space="0" w:color="auto"/>
              <w:right w:val="single" w:sz="4" w:space="0" w:color="auto"/>
            </w:tcBorders>
            <w:shd w:val="clear" w:color="auto" w:fill="auto"/>
            <w:noWrap/>
            <w:vAlign w:val="center"/>
            <w:hideMark/>
          </w:tcPr>
          <w:p w14:paraId="519B2ED1"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D9"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D3"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D4" w14:textId="77777777" w:rsidR="001A7F62" w:rsidRPr="008E63BB" w:rsidRDefault="001A7F62" w:rsidP="00C90BF8">
            <w:pPr>
              <w:jc w:val="left"/>
              <w:rPr>
                <w:rFonts w:eastAsia="Times New Roman"/>
                <w:sz w:val="20"/>
                <w:szCs w:val="20"/>
              </w:rPr>
            </w:pPr>
            <w:r w:rsidRPr="008E63BB">
              <w:rPr>
                <w:rFonts w:eastAsia="Times New Roman"/>
                <w:sz w:val="20"/>
                <w:szCs w:val="20"/>
              </w:rPr>
              <w:t>Tỷ lệ phủ sóng thông tin di động trên dân số (%)</w:t>
            </w:r>
          </w:p>
        </w:tc>
        <w:tc>
          <w:tcPr>
            <w:tcW w:w="1833" w:type="dxa"/>
            <w:tcBorders>
              <w:top w:val="nil"/>
              <w:left w:val="nil"/>
              <w:bottom w:val="single" w:sz="4" w:space="0" w:color="auto"/>
              <w:right w:val="single" w:sz="4" w:space="0" w:color="auto"/>
            </w:tcBorders>
            <w:shd w:val="clear" w:color="auto" w:fill="auto"/>
            <w:vAlign w:val="center"/>
            <w:hideMark/>
          </w:tcPr>
          <w:p w14:paraId="519B2ED5" w14:textId="77777777" w:rsidR="001A7F62" w:rsidRPr="008E63BB" w:rsidRDefault="001A7F62" w:rsidP="00C90BF8">
            <w:pPr>
              <w:jc w:val="center"/>
              <w:rPr>
                <w:rFonts w:eastAsia="Times New Roman"/>
                <w:sz w:val="20"/>
                <w:szCs w:val="20"/>
              </w:rPr>
            </w:pPr>
            <w:r w:rsidRPr="008E63BB">
              <w:rPr>
                <w:rFonts w:eastAsia="Times New Roman"/>
                <w:sz w:val="20"/>
                <w:szCs w:val="20"/>
              </w:rPr>
              <w:t>95-100</w:t>
            </w:r>
          </w:p>
        </w:tc>
        <w:tc>
          <w:tcPr>
            <w:tcW w:w="1170" w:type="dxa"/>
            <w:tcBorders>
              <w:top w:val="nil"/>
              <w:left w:val="nil"/>
              <w:bottom w:val="single" w:sz="4" w:space="0" w:color="auto"/>
              <w:right w:val="single" w:sz="4" w:space="0" w:color="auto"/>
            </w:tcBorders>
            <w:shd w:val="clear" w:color="auto" w:fill="auto"/>
            <w:vAlign w:val="center"/>
            <w:hideMark/>
          </w:tcPr>
          <w:p w14:paraId="519B2ED6"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center"/>
            <w:hideMark/>
          </w:tcPr>
          <w:p w14:paraId="519B2ED7" w14:textId="77777777" w:rsidR="001A7F62" w:rsidRPr="008E63BB" w:rsidRDefault="001A7F62" w:rsidP="00C90BF8">
            <w:pPr>
              <w:jc w:val="center"/>
              <w:rPr>
                <w:rFonts w:eastAsia="Times New Roman"/>
                <w:sz w:val="20"/>
                <w:szCs w:val="20"/>
              </w:rPr>
            </w:pPr>
            <w:r w:rsidRPr="008E63BB">
              <w:rPr>
                <w:rFonts w:eastAsia="Times New Roman"/>
                <w:sz w:val="20"/>
                <w:szCs w:val="20"/>
              </w:rPr>
              <w:t>100,00</w:t>
            </w:r>
          </w:p>
        </w:tc>
        <w:tc>
          <w:tcPr>
            <w:tcW w:w="720" w:type="dxa"/>
            <w:tcBorders>
              <w:top w:val="nil"/>
              <w:left w:val="nil"/>
              <w:bottom w:val="single" w:sz="4" w:space="0" w:color="auto"/>
              <w:right w:val="single" w:sz="4" w:space="0" w:color="auto"/>
            </w:tcBorders>
            <w:shd w:val="clear" w:color="auto" w:fill="auto"/>
            <w:noWrap/>
            <w:vAlign w:val="center"/>
            <w:hideMark/>
          </w:tcPr>
          <w:p w14:paraId="519B2ED8"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EE0"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DA"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5.A.3</w:t>
            </w:r>
          </w:p>
        </w:tc>
        <w:tc>
          <w:tcPr>
            <w:tcW w:w="2738" w:type="dxa"/>
            <w:tcBorders>
              <w:top w:val="nil"/>
              <w:left w:val="nil"/>
              <w:bottom w:val="single" w:sz="4" w:space="0" w:color="auto"/>
              <w:right w:val="single" w:sz="4" w:space="0" w:color="auto"/>
            </w:tcBorders>
            <w:shd w:val="clear" w:color="auto" w:fill="auto"/>
            <w:vAlign w:val="center"/>
            <w:hideMark/>
          </w:tcPr>
          <w:p w14:paraId="519B2EDB"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Các tiêu chuẩn về vệ sinh môi trường</w:t>
            </w:r>
          </w:p>
        </w:tc>
        <w:tc>
          <w:tcPr>
            <w:tcW w:w="1833" w:type="dxa"/>
            <w:tcBorders>
              <w:top w:val="nil"/>
              <w:left w:val="nil"/>
              <w:bottom w:val="single" w:sz="4" w:space="0" w:color="auto"/>
              <w:right w:val="single" w:sz="4" w:space="0" w:color="auto"/>
            </w:tcBorders>
            <w:shd w:val="clear" w:color="auto" w:fill="auto"/>
            <w:vAlign w:val="center"/>
            <w:hideMark/>
          </w:tcPr>
          <w:p w14:paraId="519B2EDC"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DD"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10,5-14</w:t>
            </w:r>
          </w:p>
        </w:tc>
        <w:tc>
          <w:tcPr>
            <w:tcW w:w="1890" w:type="dxa"/>
            <w:tcBorders>
              <w:top w:val="nil"/>
              <w:left w:val="nil"/>
              <w:bottom w:val="single" w:sz="4" w:space="0" w:color="auto"/>
              <w:right w:val="single" w:sz="4" w:space="0" w:color="auto"/>
            </w:tcBorders>
            <w:shd w:val="clear" w:color="auto" w:fill="auto"/>
            <w:vAlign w:val="center"/>
            <w:hideMark/>
          </w:tcPr>
          <w:p w14:paraId="519B2EDE"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EDF"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2,93</w:t>
            </w:r>
          </w:p>
        </w:tc>
      </w:tr>
      <w:tr w:rsidR="001A7F62" w:rsidRPr="008E63BB" w14:paraId="519B2EE7"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E1"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a)</w:t>
            </w:r>
          </w:p>
        </w:tc>
        <w:tc>
          <w:tcPr>
            <w:tcW w:w="2738" w:type="dxa"/>
            <w:tcBorders>
              <w:top w:val="nil"/>
              <w:left w:val="nil"/>
              <w:bottom w:val="single" w:sz="4" w:space="0" w:color="auto"/>
              <w:right w:val="single" w:sz="4" w:space="0" w:color="auto"/>
            </w:tcBorders>
            <w:shd w:val="clear" w:color="auto" w:fill="auto"/>
            <w:vAlign w:val="center"/>
            <w:hideMark/>
          </w:tcPr>
          <w:p w14:paraId="519B2EE2"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hệ thống thoát nước mưa và chống ngập úng</w:t>
            </w:r>
          </w:p>
        </w:tc>
        <w:tc>
          <w:tcPr>
            <w:tcW w:w="1833" w:type="dxa"/>
            <w:tcBorders>
              <w:top w:val="nil"/>
              <w:left w:val="nil"/>
              <w:bottom w:val="single" w:sz="4" w:space="0" w:color="auto"/>
              <w:right w:val="single" w:sz="4" w:space="0" w:color="auto"/>
            </w:tcBorders>
            <w:shd w:val="clear" w:color="auto" w:fill="auto"/>
            <w:vAlign w:val="center"/>
            <w:hideMark/>
          </w:tcPr>
          <w:p w14:paraId="519B2EE3"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E4"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2,25-3</w:t>
            </w:r>
          </w:p>
        </w:tc>
        <w:tc>
          <w:tcPr>
            <w:tcW w:w="1890" w:type="dxa"/>
            <w:tcBorders>
              <w:top w:val="nil"/>
              <w:left w:val="nil"/>
              <w:bottom w:val="single" w:sz="4" w:space="0" w:color="auto"/>
              <w:right w:val="single" w:sz="4" w:space="0" w:color="auto"/>
            </w:tcBorders>
            <w:shd w:val="clear" w:color="auto" w:fill="auto"/>
            <w:noWrap/>
            <w:vAlign w:val="center"/>
            <w:hideMark/>
          </w:tcPr>
          <w:p w14:paraId="519B2EE5"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EE6"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2,9</w:t>
            </w:r>
          </w:p>
        </w:tc>
      </w:tr>
      <w:tr w:rsidR="001A7F62" w:rsidRPr="008E63BB" w14:paraId="519B2EEE"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E8" w14:textId="77777777" w:rsidR="001A7F62" w:rsidRPr="008E63BB" w:rsidRDefault="001A7F62" w:rsidP="00C90BF8">
            <w:pPr>
              <w:jc w:val="right"/>
              <w:rPr>
                <w:rFonts w:eastAsia="Times New Roman"/>
                <w:sz w:val="20"/>
                <w:szCs w:val="20"/>
              </w:rPr>
            </w:pPr>
            <w:r w:rsidRPr="008E63BB">
              <w:rPr>
                <w:rFonts w:eastAsia="Times New Roman"/>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EE9" w14:textId="77777777" w:rsidR="001A7F62" w:rsidRPr="008E63BB" w:rsidRDefault="001A7F62" w:rsidP="00C90BF8">
            <w:pPr>
              <w:jc w:val="left"/>
              <w:rPr>
                <w:rFonts w:eastAsia="Times New Roman"/>
                <w:sz w:val="20"/>
                <w:szCs w:val="20"/>
              </w:rPr>
            </w:pPr>
            <w:r w:rsidRPr="008E63BB">
              <w:rPr>
                <w:rFonts w:eastAsia="Times New Roman"/>
                <w:sz w:val="20"/>
                <w:szCs w:val="20"/>
              </w:rPr>
              <w:t>Mật độ đường cống thoát nước chính (km/km2)</w:t>
            </w:r>
          </w:p>
        </w:tc>
        <w:tc>
          <w:tcPr>
            <w:tcW w:w="1833" w:type="dxa"/>
            <w:tcBorders>
              <w:top w:val="nil"/>
              <w:left w:val="nil"/>
              <w:bottom w:val="single" w:sz="4" w:space="0" w:color="auto"/>
              <w:right w:val="single" w:sz="4" w:space="0" w:color="auto"/>
            </w:tcBorders>
            <w:shd w:val="clear" w:color="auto" w:fill="auto"/>
            <w:vAlign w:val="center"/>
            <w:hideMark/>
          </w:tcPr>
          <w:p w14:paraId="519B2EEA" w14:textId="77777777" w:rsidR="001A7F62" w:rsidRPr="008E63BB" w:rsidRDefault="001A7F62" w:rsidP="00C90BF8">
            <w:pPr>
              <w:jc w:val="center"/>
              <w:rPr>
                <w:rFonts w:eastAsia="Times New Roman"/>
                <w:sz w:val="20"/>
                <w:szCs w:val="20"/>
              </w:rPr>
            </w:pPr>
            <w:r w:rsidRPr="008E63BB">
              <w:rPr>
                <w:rFonts w:eastAsia="Times New Roman"/>
                <w:sz w:val="20"/>
                <w:szCs w:val="20"/>
              </w:rPr>
              <w:t>4-≥4,5</w:t>
            </w:r>
          </w:p>
        </w:tc>
        <w:tc>
          <w:tcPr>
            <w:tcW w:w="1170" w:type="dxa"/>
            <w:tcBorders>
              <w:top w:val="nil"/>
              <w:left w:val="nil"/>
              <w:bottom w:val="single" w:sz="4" w:space="0" w:color="auto"/>
              <w:right w:val="single" w:sz="4" w:space="0" w:color="auto"/>
            </w:tcBorders>
            <w:shd w:val="clear" w:color="auto" w:fill="auto"/>
            <w:vAlign w:val="center"/>
            <w:hideMark/>
          </w:tcPr>
          <w:p w14:paraId="519B2EEB"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vAlign w:val="center"/>
            <w:hideMark/>
          </w:tcPr>
          <w:p w14:paraId="519B2EEC" w14:textId="77777777" w:rsidR="001A7F62" w:rsidRPr="008E63BB" w:rsidRDefault="001A7F62" w:rsidP="00C90BF8">
            <w:pPr>
              <w:jc w:val="center"/>
              <w:rPr>
                <w:rFonts w:eastAsia="Times New Roman"/>
                <w:sz w:val="20"/>
                <w:szCs w:val="20"/>
              </w:rPr>
            </w:pPr>
            <w:r w:rsidRPr="008E63BB">
              <w:rPr>
                <w:rFonts w:eastAsia="Times New Roman"/>
                <w:sz w:val="20"/>
                <w:szCs w:val="20"/>
              </w:rPr>
              <w:t>4,89</w:t>
            </w:r>
          </w:p>
        </w:tc>
        <w:tc>
          <w:tcPr>
            <w:tcW w:w="720" w:type="dxa"/>
            <w:tcBorders>
              <w:top w:val="nil"/>
              <w:left w:val="nil"/>
              <w:bottom w:val="single" w:sz="4" w:space="0" w:color="auto"/>
              <w:right w:val="single" w:sz="4" w:space="0" w:color="auto"/>
            </w:tcBorders>
            <w:shd w:val="clear" w:color="auto" w:fill="auto"/>
            <w:noWrap/>
            <w:vAlign w:val="center"/>
            <w:hideMark/>
          </w:tcPr>
          <w:p w14:paraId="519B2EED"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EF5"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EF" w14:textId="77777777" w:rsidR="001A7F62" w:rsidRPr="008E63BB" w:rsidRDefault="001A7F62" w:rsidP="00C90BF8">
            <w:pPr>
              <w:jc w:val="right"/>
              <w:rPr>
                <w:rFonts w:eastAsia="Times New Roman"/>
                <w:sz w:val="20"/>
                <w:szCs w:val="20"/>
              </w:rPr>
            </w:pPr>
            <w:r w:rsidRPr="008E63BB">
              <w:rPr>
                <w:rFonts w:eastAsia="Times New Roman"/>
                <w:sz w:val="20"/>
                <w:szCs w:val="20"/>
              </w:rPr>
              <w:lastRenderedPageBreak/>
              <w:t> </w:t>
            </w:r>
          </w:p>
        </w:tc>
        <w:tc>
          <w:tcPr>
            <w:tcW w:w="2738" w:type="dxa"/>
            <w:tcBorders>
              <w:top w:val="nil"/>
              <w:left w:val="nil"/>
              <w:bottom w:val="single" w:sz="4" w:space="0" w:color="auto"/>
              <w:right w:val="single" w:sz="4" w:space="0" w:color="auto"/>
            </w:tcBorders>
            <w:shd w:val="clear" w:color="auto" w:fill="auto"/>
            <w:vAlign w:val="center"/>
            <w:hideMark/>
          </w:tcPr>
          <w:p w14:paraId="519B2EF0" w14:textId="77777777" w:rsidR="001A7F62" w:rsidRPr="008E63BB" w:rsidRDefault="001A7F62" w:rsidP="00C90BF8">
            <w:pPr>
              <w:jc w:val="left"/>
              <w:rPr>
                <w:rFonts w:eastAsia="Times New Roman"/>
                <w:sz w:val="20"/>
                <w:szCs w:val="20"/>
              </w:rPr>
            </w:pPr>
            <w:r w:rsidRPr="008E63BB">
              <w:rPr>
                <w:rFonts w:eastAsia="Times New Roman"/>
                <w:sz w:val="20"/>
                <w:szCs w:val="20"/>
              </w:rPr>
              <w:t>Tỷ lệ các khu vực ngập úng có giải pháp phòng chống, giảm ngập úng (%)</w:t>
            </w:r>
          </w:p>
        </w:tc>
        <w:tc>
          <w:tcPr>
            <w:tcW w:w="1833" w:type="dxa"/>
            <w:tcBorders>
              <w:top w:val="nil"/>
              <w:left w:val="nil"/>
              <w:bottom w:val="single" w:sz="4" w:space="0" w:color="auto"/>
              <w:right w:val="single" w:sz="4" w:space="0" w:color="auto"/>
            </w:tcBorders>
            <w:shd w:val="clear" w:color="auto" w:fill="auto"/>
            <w:vAlign w:val="center"/>
            <w:hideMark/>
          </w:tcPr>
          <w:p w14:paraId="519B2EF1" w14:textId="77777777" w:rsidR="001A7F62" w:rsidRPr="008E63BB" w:rsidRDefault="001A7F62" w:rsidP="00C90BF8">
            <w:pPr>
              <w:jc w:val="center"/>
              <w:rPr>
                <w:rFonts w:eastAsia="Times New Roman"/>
                <w:sz w:val="20"/>
                <w:szCs w:val="20"/>
              </w:rPr>
            </w:pPr>
            <w:r w:rsidRPr="008E63BB">
              <w:rPr>
                <w:rFonts w:eastAsia="Times New Roman"/>
                <w:sz w:val="20"/>
                <w:szCs w:val="20"/>
              </w:rPr>
              <w:t>20-≥50</w:t>
            </w:r>
          </w:p>
        </w:tc>
        <w:tc>
          <w:tcPr>
            <w:tcW w:w="1170" w:type="dxa"/>
            <w:tcBorders>
              <w:top w:val="nil"/>
              <w:left w:val="nil"/>
              <w:bottom w:val="single" w:sz="4" w:space="0" w:color="auto"/>
              <w:right w:val="single" w:sz="4" w:space="0" w:color="auto"/>
            </w:tcBorders>
            <w:shd w:val="clear" w:color="auto" w:fill="auto"/>
            <w:vAlign w:val="center"/>
            <w:hideMark/>
          </w:tcPr>
          <w:p w14:paraId="519B2EF2"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center"/>
            <w:hideMark/>
          </w:tcPr>
          <w:p w14:paraId="519B2EF3" w14:textId="77777777" w:rsidR="001A7F62" w:rsidRPr="008E63BB" w:rsidRDefault="001A7F62" w:rsidP="00C90BF8">
            <w:pPr>
              <w:jc w:val="center"/>
              <w:rPr>
                <w:rFonts w:eastAsia="Times New Roman"/>
                <w:sz w:val="20"/>
                <w:szCs w:val="20"/>
              </w:rPr>
            </w:pPr>
            <w:r w:rsidRPr="008E63BB">
              <w:rPr>
                <w:rFonts w:eastAsia="Times New Roman"/>
                <w:sz w:val="20"/>
                <w:szCs w:val="20"/>
              </w:rPr>
              <w:t>35</w:t>
            </w:r>
          </w:p>
        </w:tc>
        <w:tc>
          <w:tcPr>
            <w:tcW w:w="720" w:type="dxa"/>
            <w:tcBorders>
              <w:top w:val="nil"/>
              <w:left w:val="nil"/>
              <w:bottom w:val="single" w:sz="4" w:space="0" w:color="auto"/>
              <w:right w:val="single" w:sz="4" w:space="0" w:color="auto"/>
            </w:tcBorders>
            <w:shd w:val="clear" w:color="auto" w:fill="auto"/>
            <w:noWrap/>
            <w:vAlign w:val="center"/>
            <w:hideMark/>
          </w:tcPr>
          <w:p w14:paraId="519B2EF4" w14:textId="77777777" w:rsidR="001A7F62" w:rsidRPr="008E63BB" w:rsidRDefault="001A7F62" w:rsidP="00C90BF8">
            <w:pPr>
              <w:jc w:val="center"/>
              <w:rPr>
                <w:rFonts w:eastAsia="Times New Roman"/>
                <w:sz w:val="20"/>
                <w:szCs w:val="20"/>
              </w:rPr>
            </w:pPr>
            <w:r w:rsidRPr="008E63BB">
              <w:rPr>
                <w:rFonts w:eastAsia="Times New Roman"/>
                <w:sz w:val="20"/>
                <w:szCs w:val="20"/>
              </w:rPr>
              <w:t>0,93</w:t>
            </w:r>
          </w:p>
        </w:tc>
      </w:tr>
      <w:tr w:rsidR="001A7F62" w:rsidRPr="008E63BB" w14:paraId="519B2EFC"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F6"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b)</w:t>
            </w:r>
          </w:p>
        </w:tc>
        <w:tc>
          <w:tcPr>
            <w:tcW w:w="2738" w:type="dxa"/>
            <w:tcBorders>
              <w:top w:val="nil"/>
              <w:left w:val="nil"/>
              <w:bottom w:val="single" w:sz="4" w:space="0" w:color="auto"/>
              <w:right w:val="single" w:sz="4" w:space="0" w:color="auto"/>
            </w:tcBorders>
            <w:shd w:val="clear" w:color="auto" w:fill="auto"/>
            <w:vAlign w:val="center"/>
            <w:hideMark/>
          </w:tcPr>
          <w:p w14:paraId="519B2EF7"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 xml:space="preserve">Các tiêu chuẩn về thu gom xử lý nước thải, chất thải </w:t>
            </w:r>
          </w:p>
        </w:tc>
        <w:tc>
          <w:tcPr>
            <w:tcW w:w="1833" w:type="dxa"/>
            <w:tcBorders>
              <w:top w:val="nil"/>
              <w:left w:val="nil"/>
              <w:bottom w:val="single" w:sz="4" w:space="0" w:color="auto"/>
              <w:right w:val="single" w:sz="4" w:space="0" w:color="auto"/>
            </w:tcBorders>
            <w:shd w:val="clear" w:color="auto" w:fill="auto"/>
            <w:vAlign w:val="center"/>
            <w:hideMark/>
          </w:tcPr>
          <w:p w14:paraId="519B2EF8"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EF9"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3,75-5</w:t>
            </w:r>
          </w:p>
        </w:tc>
        <w:tc>
          <w:tcPr>
            <w:tcW w:w="1890" w:type="dxa"/>
            <w:tcBorders>
              <w:top w:val="nil"/>
              <w:left w:val="nil"/>
              <w:bottom w:val="single" w:sz="4" w:space="0" w:color="auto"/>
              <w:right w:val="single" w:sz="4" w:space="0" w:color="auto"/>
            </w:tcBorders>
            <w:shd w:val="clear" w:color="auto" w:fill="auto"/>
            <w:noWrap/>
            <w:vAlign w:val="center"/>
            <w:hideMark/>
          </w:tcPr>
          <w:p w14:paraId="519B2EFA"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EFB"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r>
      <w:tr w:rsidR="001A7F62" w:rsidRPr="008E63BB" w14:paraId="519B2F03"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EFD"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EFE" w14:textId="77777777" w:rsidR="001A7F62" w:rsidRPr="008E63BB" w:rsidRDefault="001A7F62" w:rsidP="00C90BF8">
            <w:pPr>
              <w:jc w:val="left"/>
              <w:rPr>
                <w:rFonts w:eastAsia="Times New Roman"/>
                <w:sz w:val="20"/>
                <w:szCs w:val="20"/>
              </w:rPr>
            </w:pPr>
            <w:r w:rsidRPr="008E63BB">
              <w:rPr>
                <w:rFonts w:eastAsia="Times New Roman"/>
                <w:sz w:val="20"/>
                <w:szCs w:val="20"/>
              </w:rPr>
              <w:t>Tỷ lệ chất thải nguy hại được xử lý, tiêu hủy, chôn lấp an toàn sau xử lý, tiêu hủy (%)</w:t>
            </w:r>
          </w:p>
        </w:tc>
        <w:tc>
          <w:tcPr>
            <w:tcW w:w="1833" w:type="dxa"/>
            <w:tcBorders>
              <w:top w:val="nil"/>
              <w:left w:val="nil"/>
              <w:bottom w:val="single" w:sz="4" w:space="0" w:color="auto"/>
              <w:right w:val="single" w:sz="4" w:space="0" w:color="auto"/>
            </w:tcBorders>
            <w:shd w:val="clear" w:color="auto" w:fill="auto"/>
            <w:vAlign w:val="center"/>
            <w:hideMark/>
          </w:tcPr>
          <w:p w14:paraId="519B2EFF" w14:textId="77777777" w:rsidR="001A7F62" w:rsidRPr="008E63BB" w:rsidRDefault="001A7F62" w:rsidP="00C90BF8">
            <w:pPr>
              <w:jc w:val="center"/>
              <w:rPr>
                <w:rFonts w:eastAsia="Times New Roman"/>
                <w:sz w:val="20"/>
                <w:szCs w:val="20"/>
              </w:rPr>
            </w:pPr>
            <w:r w:rsidRPr="008E63BB">
              <w:rPr>
                <w:rFonts w:eastAsia="Times New Roman"/>
                <w:sz w:val="20"/>
                <w:szCs w:val="20"/>
              </w:rPr>
              <w:t>70-≥ 85</w:t>
            </w:r>
          </w:p>
        </w:tc>
        <w:tc>
          <w:tcPr>
            <w:tcW w:w="1170" w:type="dxa"/>
            <w:tcBorders>
              <w:top w:val="nil"/>
              <w:left w:val="nil"/>
              <w:bottom w:val="single" w:sz="4" w:space="0" w:color="auto"/>
              <w:right w:val="single" w:sz="4" w:space="0" w:color="auto"/>
            </w:tcBorders>
            <w:shd w:val="clear" w:color="auto" w:fill="auto"/>
            <w:vAlign w:val="center"/>
            <w:hideMark/>
          </w:tcPr>
          <w:p w14:paraId="519B2F00"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01" w14:textId="77777777" w:rsidR="001A7F62" w:rsidRPr="008E63BB" w:rsidRDefault="001A7F62" w:rsidP="00C90BF8">
            <w:pPr>
              <w:jc w:val="center"/>
              <w:rPr>
                <w:rFonts w:eastAsia="Times New Roman"/>
                <w:sz w:val="20"/>
                <w:szCs w:val="20"/>
              </w:rPr>
            </w:pPr>
            <w:r w:rsidRPr="008E63BB">
              <w:rPr>
                <w:rFonts w:eastAsia="Times New Roman"/>
                <w:sz w:val="20"/>
                <w:szCs w:val="20"/>
              </w:rPr>
              <w:t>70</w:t>
            </w:r>
          </w:p>
        </w:tc>
        <w:tc>
          <w:tcPr>
            <w:tcW w:w="720" w:type="dxa"/>
            <w:tcBorders>
              <w:top w:val="nil"/>
              <w:left w:val="nil"/>
              <w:bottom w:val="single" w:sz="4" w:space="0" w:color="auto"/>
              <w:right w:val="single" w:sz="4" w:space="0" w:color="auto"/>
            </w:tcBorders>
            <w:shd w:val="clear" w:color="auto" w:fill="auto"/>
            <w:noWrap/>
            <w:vAlign w:val="center"/>
            <w:hideMark/>
          </w:tcPr>
          <w:p w14:paraId="519B2F02" w14:textId="77777777" w:rsidR="001A7F62" w:rsidRPr="008E63BB" w:rsidRDefault="001A7F62" w:rsidP="00C90BF8">
            <w:pPr>
              <w:jc w:val="center"/>
              <w:rPr>
                <w:rFonts w:eastAsia="Times New Roman"/>
                <w:sz w:val="20"/>
                <w:szCs w:val="20"/>
              </w:rPr>
            </w:pPr>
            <w:r w:rsidRPr="008E63BB">
              <w:rPr>
                <w:rFonts w:eastAsia="Times New Roman"/>
                <w:sz w:val="20"/>
                <w:szCs w:val="20"/>
              </w:rPr>
              <w:t>0,75</w:t>
            </w:r>
          </w:p>
        </w:tc>
      </w:tr>
      <w:tr w:rsidR="001A7F62" w:rsidRPr="008E63BB" w14:paraId="519B2F0A"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04"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05" w14:textId="77777777" w:rsidR="001A7F62" w:rsidRPr="008E63BB" w:rsidRDefault="001A7F62" w:rsidP="00C90BF8">
            <w:pPr>
              <w:jc w:val="left"/>
              <w:rPr>
                <w:rFonts w:eastAsia="Times New Roman"/>
                <w:sz w:val="20"/>
                <w:szCs w:val="20"/>
              </w:rPr>
            </w:pPr>
            <w:r w:rsidRPr="008E63BB">
              <w:rPr>
                <w:rFonts w:eastAsia="Times New Roman"/>
                <w:sz w:val="20"/>
                <w:szCs w:val="20"/>
              </w:rPr>
              <w:t>Tỷ lệ nước thải đô thị được xử lý đạt quy chuẩn kỹ thuật (%)</w:t>
            </w:r>
          </w:p>
        </w:tc>
        <w:tc>
          <w:tcPr>
            <w:tcW w:w="1833" w:type="dxa"/>
            <w:tcBorders>
              <w:top w:val="nil"/>
              <w:left w:val="nil"/>
              <w:bottom w:val="single" w:sz="4" w:space="0" w:color="auto"/>
              <w:right w:val="single" w:sz="4" w:space="0" w:color="auto"/>
            </w:tcBorders>
            <w:shd w:val="clear" w:color="auto" w:fill="auto"/>
            <w:vAlign w:val="center"/>
            <w:hideMark/>
          </w:tcPr>
          <w:p w14:paraId="519B2F06" w14:textId="77777777" w:rsidR="001A7F62" w:rsidRPr="008E63BB" w:rsidRDefault="001A7F62" w:rsidP="00C90BF8">
            <w:pPr>
              <w:jc w:val="center"/>
              <w:rPr>
                <w:rFonts w:eastAsia="Times New Roman"/>
                <w:sz w:val="20"/>
                <w:szCs w:val="20"/>
              </w:rPr>
            </w:pPr>
            <w:r w:rsidRPr="008E63BB">
              <w:rPr>
                <w:rFonts w:eastAsia="Times New Roman"/>
                <w:sz w:val="20"/>
                <w:szCs w:val="20"/>
              </w:rPr>
              <w:t>40-≥ 50</w:t>
            </w:r>
          </w:p>
        </w:tc>
        <w:tc>
          <w:tcPr>
            <w:tcW w:w="1170" w:type="dxa"/>
            <w:tcBorders>
              <w:top w:val="nil"/>
              <w:left w:val="nil"/>
              <w:bottom w:val="single" w:sz="4" w:space="0" w:color="auto"/>
              <w:right w:val="single" w:sz="4" w:space="0" w:color="auto"/>
            </w:tcBorders>
            <w:shd w:val="clear" w:color="auto" w:fill="auto"/>
            <w:vAlign w:val="center"/>
            <w:hideMark/>
          </w:tcPr>
          <w:p w14:paraId="519B2F07"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08" w14:textId="77777777" w:rsidR="001A7F62" w:rsidRPr="008E63BB" w:rsidRDefault="001A7F62" w:rsidP="00C90BF8">
            <w:pPr>
              <w:jc w:val="center"/>
              <w:rPr>
                <w:rFonts w:eastAsia="Times New Roman"/>
                <w:sz w:val="20"/>
                <w:szCs w:val="20"/>
              </w:rPr>
            </w:pPr>
            <w:r w:rsidRPr="008E63BB">
              <w:rPr>
                <w:rFonts w:eastAsia="Times New Roman"/>
                <w:sz w:val="20"/>
                <w:szCs w:val="20"/>
              </w:rPr>
              <w:t>80</w:t>
            </w:r>
          </w:p>
        </w:tc>
        <w:tc>
          <w:tcPr>
            <w:tcW w:w="720" w:type="dxa"/>
            <w:tcBorders>
              <w:top w:val="nil"/>
              <w:left w:val="nil"/>
              <w:bottom w:val="single" w:sz="4" w:space="0" w:color="auto"/>
              <w:right w:val="single" w:sz="4" w:space="0" w:color="auto"/>
            </w:tcBorders>
            <w:shd w:val="clear" w:color="auto" w:fill="auto"/>
            <w:noWrap/>
            <w:vAlign w:val="center"/>
            <w:hideMark/>
          </w:tcPr>
          <w:p w14:paraId="519B2F09"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F11"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0B"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0C" w14:textId="77777777" w:rsidR="001A7F62" w:rsidRPr="008E63BB" w:rsidRDefault="001A7F62" w:rsidP="00C90BF8">
            <w:pPr>
              <w:jc w:val="left"/>
              <w:rPr>
                <w:rFonts w:eastAsia="Times New Roman"/>
                <w:sz w:val="20"/>
                <w:szCs w:val="20"/>
              </w:rPr>
            </w:pPr>
            <w:r w:rsidRPr="008E63BB">
              <w:rPr>
                <w:rFonts w:eastAsia="Times New Roman"/>
                <w:sz w:val="20"/>
                <w:szCs w:val="20"/>
              </w:rPr>
              <w:t>Tỷ lệ chất thải rắn sinh hoạt được thu gom (%)</w:t>
            </w:r>
          </w:p>
        </w:tc>
        <w:tc>
          <w:tcPr>
            <w:tcW w:w="1833" w:type="dxa"/>
            <w:tcBorders>
              <w:top w:val="nil"/>
              <w:left w:val="nil"/>
              <w:bottom w:val="single" w:sz="4" w:space="0" w:color="auto"/>
              <w:right w:val="single" w:sz="4" w:space="0" w:color="auto"/>
            </w:tcBorders>
            <w:shd w:val="clear" w:color="auto" w:fill="auto"/>
            <w:vAlign w:val="center"/>
            <w:hideMark/>
          </w:tcPr>
          <w:p w14:paraId="519B2F0D" w14:textId="77777777" w:rsidR="001A7F62" w:rsidRPr="008E63BB" w:rsidRDefault="001A7F62" w:rsidP="00C90BF8">
            <w:pPr>
              <w:jc w:val="center"/>
              <w:rPr>
                <w:rFonts w:eastAsia="Times New Roman"/>
                <w:sz w:val="20"/>
                <w:szCs w:val="20"/>
              </w:rPr>
            </w:pPr>
            <w:r w:rsidRPr="008E63BB">
              <w:rPr>
                <w:rFonts w:eastAsia="Times New Roman"/>
                <w:sz w:val="20"/>
                <w:szCs w:val="20"/>
              </w:rPr>
              <w:t>90-≥100</w:t>
            </w:r>
          </w:p>
        </w:tc>
        <w:tc>
          <w:tcPr>
            <w:tcW w:w="1170" w:type="dxa"/>
            <w:tcBorders>
              <w:top w:val="nil"/>
              <w:left w:val="nil"/>
              <w:bottom w:val="single" w:sz="4" w:space="0" w:color="auto"/>
              <w:right w:val="single" w:sz="4" w:space="0" w:color="auto"/>
            </w:tcBorders>
            <w:shd w:val="clear" w:color="auto" w:fill="auto"/>
            <w:vAlign w:val="center"/>
            <w:hideMark/>
          </w:tcPr>
          <w:p w14:paraId="519B2F0E"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0F" w14:textId="77777777" w:rsidR="001A7F62" w:rsidRPr="008E63BB" w:rsidRDefault="001A7F62" w:rsidP="00C90BF8">
            <w:pPr>
              <w:jc w:val="center"/>
              <w:rPr>
                <w:rFonts w:eastAsia="Times New Roman"/>
                <w:sz w:val="20"/>
                <w:szCs w:val="20"/>
              </w:rPr>
            </w:pPr>
            <w:r w:rsidRPr="008E63BB">
              <w:rPr>
                <w:rFonts w:eastAsia="Times New Roman"/>
                <w:sz w:val="20"/>
                <w:szCs w:val="20"/>
              </w:rPr>
              <w:t>90</w:t>
            </w:r>
          </w:p>
        </w:tc>
        <w:tc>
          <w:tcPr>
            <w:tcW w:w="720" w:type="dxa"/>
            <w:tcBorders>
              <w:top w:val="nil"/>
              <w:left w:val="nil"/>
              <w:bottom w:val="single" w:sz="4" w:space="0" w:color="auto"/>
              <w:right w:val="single" w:sz="4" w:space="0" w:color="auto"/>
            </w:tcBorders>
            <w:shd w:val="clear" w:color="auto" w:fill="auto"/>
            <w:noWrap/>
            <w:vAlign w:val="center"/>
            <w:hideMark/>
          </w:tcPr>
          <w:p w14:paraId="519B2F10" w14:textId="77777777" w:rsidR="001A7F62" w:rsidRPr="008E63BB" w:rsidRDefault="001A7F62" w:rsidP="00C90BF8">
            <w:pPr>
              <w:jc w:val="center"/>
              <w:rPr>
                <w:rFonts w:eastAsia="Times New Roman"/>
                <w:sz w:val="20"/>
                <w:szCs w:val="20"/>
              </w:rPr>
            </w:pPr>
            <w:r w:rsidRPr="008E63BB">
              <w:rPr>
                <w:rFonts w:eastAsia="Times New Roman"/>
                <w:sz w:val="20"/>
                <w:szCs w:val="20"/>
              </w:rPr>
              <w:t>0,75</w:t>
            </w:r>
          </w:p>
        </w:tc>
      </w:tr>
      <w:tr w:rsidR="001A7F62" w:rsidRPr="008E63BB" w14:paraId="519B2F18" w14:textId="77777777" w:rsidTr="00C90BF8">
        <w:trPr>
          <w:trHeight w:val="114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12"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13" w14:textId="77777777" w:rsidR="001A7F62" w:rsidRPr="008E63BB" w:rsidRDefault="001A7F62" w:rsidP="00C90BF8">
            <w:pPr>
              <w:jc w:val="left"/>
              <w:rPr>
                <w:rFonts w:eastAsia="Times New Roman"/>
                <w:sz w:val="20"/>
                <w:szCs w:val="20"/>
              </w:rPr>
            </w:pPr>
            <w:r w:rsidRPr="008E63BB">
              <w:rPr>
                <w:rFonts w:eastAsia="Times New Roman"/>
                <w:sz w:val="20"/>
                <w:szCs w:val="20"/>
              </w:rPr>
              <w:t>Tỷ lệ chất thải rắn sinh hoạt được xử lý tại khu chôn lấp hợp vệ sinh hoặc tại các nhà máy đốt, nhà máy chế biến rác thải (%)</w:t>
            </w:r>
          </w:p>
        </w:tc>
        <w:tc>
          <w:tcPr>
            <w:tcW w:w="1833" w:type="dxa"/>
            <w:tcBorders>
              <w:top w:val="nil"/>
              <w:left w:val="nil"/>
              <w:bottom w:val="single" w:sz="4" w:space="0" w:color="auto"/>
              <w:right w:val="single" w:sz="4" w:space="0" w:color="auto"/>
            </w:tcBorders>
            <w:shd w:val="clear" w:color="auto" w:fill="auto"/>
            <w:vAlign w:val="center"/>
            <w:hideMark/>
          </w:tcPr>
          <w:p w14:paraId="519B2F14" w14:textId="77777777" w:rsidR="001A7F62" w:rsidRPr="008E63BB" w:rsidRDefault="001A7F62" w:rsidP="00C90BF8">
            <w:pPr>
              <w:jc w:val="center"/>
              <w:rPr>
                <w:rFonts w:eastAsia="Times New Roman"/>
                <w:sz w:val="20"/>
                <w:szCs w:val="20"/>
              </w:rPr>
            </w:pPr>
            <w:r w:rsidRPr="008E63BB">
              <w:rPr>
                <w:rFonts w:eastAsia="Times New Roman"/>
                <w:sz w:val="20"/>
                <w:szCs w:val="20"/>
              </w:rPr>
              <w:t>80-≥90</w:t>
            </w:r>
          </w:p>
        </w:tc>
        <w:tc>
          <w:tcPr>
            <w:tcW w:w="1170" w:type="dxa"/>
            <w:tcBorders>
              <w:top w:val="nil"/>
              <w:left w:val="nil"/>
              <w:bottom w:val="single" w:sz="4" w:space="0" w:color="auto"/>
              <w:right w:val="single" w:sz="4" w:space="0" w:color="auto"/>
            </w:tcBorders>
            <w:shd w:val="clear" w:color="auto" w:fill="auto"/>
            <w:vAlign w:val="center"/>
            <w:hideMark/>
          </w:tcPr>
          <w:p w14:paraId="519B2F15"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16" w14:textId="77777777" w:rsidR="001A7F62" w:rsidRPr="008E63BB" w:rsidRDefault="001A7F62" w:rsidP="00C90BF8">
            <w:pPr>
              <w:jc w:val="center"/>
              <w:rPr>
                <w:rFonts w:eastAsia="Times New Roman"/>
                <w:sz w:val="20"/>
                <w:szCs w:val="20"/>
              </w:rPr>
            </w:pPr>
            <w:r w:rsidRPr="008E63BB">
              <w:rPr>
                <w:rFonts w:eastAsia="Times New Roman"/>
                <w:sz w:val="20"/>
                <w:szCs w:val="20"/>
              </w:rPr>
              <w:t>90</w:t>
            </w:r>
          </w:p>
        </w:tc>
        <w:tc>
          <w:tcPr>
            <w:tcW w:w="720" w:type="dxa"/>
            <w:tcBorders>
              <w:top w:val="nil"/>
              <w:left w:val="nil"/>
              <w:bottom w:val="single" w:sz="4" w:space="0" w:color="auto"/>
              <w:right w:val="single" w:sz="4" w:space="0" w:color="auto"/>
            </w:tcBorders>
            <w:shd w:val="clear" w:color="auto" w:fill="auto"/>
            <w:noWrap/>
            <w:vAlign w:val="center"/>
            <w:hideMark/>
          </w:tcPr>
          <w:p w14:paraId="519B2F17"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F1F"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19"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1A" w14:textId="77777777" w:rsidR="001A7F62" w:rsidRPr="008E63BB" w:rsidRDefault="001A7F62" w:rsidP="00C90BF8">
            <w:pPr>
              <w:jc w:val="left"/>
              <w:rPr>
                <w:rFonts w:eastAsia="Times New Roman"/>
                <w:sz w:val="20"/>
                <w:szCs w:val="20"/>
              </w:rPr>
            </w:pPr>
            <w:r w:rsidRPr="008E63BB">
              <w:rPr>
                <w:rFonts w:eastAsia="Times New Roman"/>
                <w:sz w:val="20"/>
                <w:szCs w:val="20"/>
              </w:rPr>
              <w:t>Tỷ lệ chất thải y tế được xử lý, tiêu hủy, chôn lấp an toàn sau xử lý, tiêu hủy (%)</w:t>
            </w:r>
          </w:p>
        </w:tc>
        <w:tc>
          <w:tcPr>
            <w:tcW w:w="1833" w:type="dxa"/>
            <w:tcBorders>
              <w:top w:val="nil"/>
              <w:left w:val="nil"/>
              <w:bottom w:val="single" w:sz="4" w:space="0" w:color="auto"/>
              <w:right w:val="single" w:sz="4" w:space="0" w:color="auto"/>
            </w:tcBorders>
            <w:shd w:val="clear" w:color="auto" w:fill="auto"/>
            <w:vAlign w:val="center"/>
            <w:hideMark/>
          </w:tcPr>
          <w:p w14:paraId="519B2F1B" w14:textId="77777777" w:rsidR="001A7F62" w:rsidRPr="008E63BB" w:rsidRDefault="001A7F62" w:rsidP="00C90BF8">
            <w:pPr>
              <w:jc w:val="center"/>
              <w:rPr>
                <w:rFonts w:eastAsia="Times New Roman"/>
                <w:sz w:val="20"/>
                <w:szCs w:val="20"/>
              </w:rPr>
            </w:pPr>
            <w:r w:rsidRPr="008E63BB">
              <w:rPr>
                <w:rFonts w:eastAsia="Times New Roman"/>
                <w:sz w:val="20"/>
                <w:szCs w:val="20"/>
              </w:rPr>
              <w:t>90-≥ 100</w:t>
            </w:r>
          </w:p>
        </w:tc>
        <w:tc>
          <w:tcPr>
            <w:tcW w:w="1170" w:type="dxa"/>
            <w:tcBorders>
              <w:top w:val="nil"/>
              <w:left w:val="nil"/>
              <w:bottom w:val="single" w:sz="4" w:space="0" w:color="auto"/>
              <w:right w:val="single" w:sz="4" w:space="0" w:color="auto"/>
            </w:tcBorders>
            <w:shd w:val="clear" w:color="auto" w:fill="auto"/>
            <w:vAlign w:val="center"/>
            <w:hideMark/>
          </w:tcPr>
          <w:p w14:paraId="519B2F1C"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1D" w14:textId="77777777" w:rsidR="001A7F62" w:rsidRPr="008E63BB" w:rsidRDefault="001A7F62" w:rsidP="00C90BF8">
            <w:pPr>
              <w:jc w:val="center"/>
              <w:rPr>
                <w:rFonts w:eastAsia="Times New Roman"/>
                <w:sz w:val="20"/>
                <w:szCs w:val="20"/>
              </w:rPr>
            </w:pPr>
            <w:r w:rsidRPr="008E63BB">
              <w:rPr>
                <w:rFonts w:eastAsia="Times New Roman"/>
                <w:sz w:val="20"/>
                <w:szCs w:val="20"/>
              </w:rPr>
              <w:t>90</w:t>
            </w:r>
          </w:p>
        </w:tc>
        <w:tc>
          <w:tcPr>
            <w:tcW w:w="720" w:type="dxa"/>
            <w:tcBorders>
              <w:top w:val="nil"/>
              <w:left w:val="nil"/>
              <w:bottom w:val="single" w:sz="4" w:space="0" w:color="auto"/>
              <w:right w:val="single" w:sz="4" w:space="0" w:color="auto"/>
            </w:tcBorders>
            <w:shd w:val="clear" w:color="auto" w:fill="auto"/>
            <w:noWrap/>
            <w:vAlign w:val="center"/>
            <w:hideMark/>
          </w:tcPr>
          <w:p w14:paraId="519B2F1E" w14:textId="77777777" w:rsidR="001A7F62" w:rsidRPr="008E63BB" w:rsidRDefault="001A7F62" w:rsidP="00C90BF8">
            <w:pPr>
              <w:jc w:val="center"/>
              <w:rPr>
                <w:rFonts w:eastAsia="Times New Roman"/>
                <w:sz w:val="20"/>
                <w:szCs w:val="20"/>
              </w:rPr>
            </w:pPr>
            <w:r w:rsidRPr="008E63BB">
              <w:rPr>
                <w:rFonts w:eastAsia="Times New Roman"/>
                <w:sz w:val="20"/>
                <w:szCs w:val="20"/>
              </w:rPr>
              <w:t>0,75</w:t>
            </w:r>
          </w:p>
        </w:tc>
      </w:tr>
      <w:tr w:rsidR="001A7F62" w:rsidRPr="008E63BB" w14:paraId="519B2F26" w14:textId="77777777" w:rsidTr="00C90BF8">
        <w:trPr>
          <w:trHeight w:val="34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20"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c)</w:t>
            </w:r>
          </w:p>
        </w:tc>
        <w:tc>
          <w:tcPr>
            <w:tcW w:w="2738" w:type="dxa"/>
            <w:tcBorders>
              <w:top w:val="nil"/>
              <w:left w:val="nil"/>
              <w:bottom w:val="single" w:sz="4" w:space="0" w:color="auto"/>
              <w:right w:val="single" w:sz="4" w:space="0" w:color="auto"/>
            </w:tcBorders>
            <w:shd w:val="clear" w:color="auto" w:fill="auto"/>
            <w:noWrap/>
            <w:vAlign w:val="center"/>
            <w:hideMark/>
          </w:tcPr>
          <w:p w14:paraId="519B2F21"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nhà tang lễ</w:t>
            </w:r>
          </w:p>
        </w:tc>
        <w:tc>
          <w:tcPr>
            <w:tcW w:w="1833" w:type="dxa"/>
            <w:tcBorders>
              <w:top w:val="nil"/>
              <w:left w:val="nil"/>
              <w:bottom w:val="single" w:sz="4" w:space="0" w:color="auto"/>
              <w:right w:val="single" w:sz="4" w:space="0" w:color="auto"/>
            </w:tcBorders>
            <w:shd w:val="clear" w:color="auto" w:fill="auto"/>
            <w:vAlign w:val="center"/>
            <w:hideMark/>
          </w:tcPr>
          <w:p w14:paraId="519B2F22"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F23"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1,5-2</w:t>
            </w:r>
          </w:p>
        </w:tc>
        <w:tc>
          <w:tcPr>
            <w:tcW w:w="1890" w:type="dxa"/>
            <w:tcBorders>
              <w:top w:val="nil"/>
              <w:left w:val="nil"/>
              <w:bottom w:val="single" w:sz="4" w:space="0" w:color="auto"/>
              <w:right w:val="single" w:sz="4" w:space="0" w:color="auto"/>
            </w:tcBorders>
            <w:shd w:val="clear" w:color="auto" w:fill="auto"/>
            <w:noWrap/>
            <w:vAlign w:val="center"/>
            <w:hideMark/>
          </w:tcPr>
          <w:p w14:paraId="519B2F24"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F25"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r>
      <w:tr w:rsidR="001A7F62" w:rsidRPr="008E63BB" w14:paraId="519B2F2D" w14:textId="77777777" w:rsidTr="00C90BF8">
        <w:trPr>
          <w:trHeight w:val="345"/>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27" w14:textId="77777777" w:rsidR="001A7F62" w:rsidRPr="008E63BB" w:rsidRDefault="001A7F62" w:rsidP="00C90BF8">
            <w:pPr>
              <w:jc w:val="right"/>
              <w:rPr>
                <w:rFonts w:eastAsia="Times New Roman"/>
                <w:sz w:val="20"/>
                <w:szCs w:val="20"/>
              </w:rPr>
            </w:pPr>
            <w:r w:rsidRPr="008E63BB">
              <w:rPr>
                <w:rFonts w:eastAsia="Times New Roman"/>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28" w14:textId="77777777" w:rsidR="001A7F62" w:rsidRPr="008E63BB" w:rsidRDefault="001A7F62" w:rsidP="00C90BF8">
            <w:pPr>
              <w:jc w:val="left"/>
              <w:rPr>
                <w:rFonts w:eastAsia="Times New Roman"/>
                <w:sz w:val="20"/>
                <w:szCs w:val="20"/>
              </w:rPr>
            </w:pPr>
            <w:r w:rsidRPr="008E63BB">
              <w:rPr>
                <w:rFonts w:eastAsia="Times New Roman"/>
                <w:sz w:val="20"/>
                <w:szCs w:val="20"/>
              </w:rPr>
              <w:t>Nhà tang lễ</w:t>
            </w:r>
          </w:p>
        </w:tc>
        <w:tc>
          <w:tcPr>
            <w:tcW w:w="1833" w:type="dxa"/>
            <w:tcBorders>
              <w:top w:val="nil"/>
              <w:left w:val="nil"/>
              <w:bottom w:val="single" w:sz="4" w:space="0" w:color="auto"/>
              <w:right w:val="single" w:sz="4" w:space="0" w:color="auto"/>
            </w:tcBorders>
            <w:shd w:val="clear" w:color="auto" w:fill="auto"/>
            <w:vAlign w:val="center"/>
            <w:hideMark/>
          </w:tcPr>
          <w:p w14:paraId="519B2F29" w14:textId="77777777" w:rsidR="001A7F62" w:rsidRPr="008E63BB" w:rsidRDefault="001A7F62" w:rsidP="00C90BF8">
            <w:pPr>
              <w:jc w:val="center"/>
              <w:rPr>
                <w:rFonts w:eastAsia="Times New Roman"/>
                <w:sz w:val="20"/>
                <w:szCs w:val="20"/>
              </w:rPr>
            </w:pPr>
            <w:r w:rsidRPr="008E63BB">
              <w:rPr>
                <w:rFonts w:eastAsia="Times New Roman"/>
                <w:sz w:val="20"/>
                <w:szCs w:val="20"/>
              </w:rPr>
              <w:t>2 -≥ 4</w:t>
            </w:r>
          </w:p>
        </w:tc>
        <w:tc>
          <w:tcPr>
            <w:tcW w:w="1170" w:type="dxa"/>
            <w:tcBorders>
              <w:top w:val="nil"/>
              <w:left w:val="nil"/>
              <w:bottom w:val="single" w:sz="4" w:space="0" w:color="auto"/>
              <w:right w:val="single" w:sz="4" w:space="0" w:color="auto"/>
            </w:tcBorders>
            <w:shd w:val="clear" w:color="auto" w:fill="auto"/>
            <w:vAlign w:val="center"/>
            <w:hideMark/>
          </w:tcPr>
          <w:p w14:paraId="519B2F2A"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2B" w14:textId="77777777" w:rsidR="001A7F62" w:rsidRPr="008E63BB" w:rsidRDefault="001A7F62" w:rsidP="00C90BF8">
            <w:pPr>
              <w:jc w:val="center"/>
              <w:rPr>
                <w:rFonts w:eastAsia="Times New Roman"/>
                <w:sz w:val="20"/>
                <w:szCs w:val="20"/>
              </w:rPr>
            </w:pPr>
            <w:r w:rsidRPr="008E63BB">
              <w:rPr>
                <w:rFonts w:eastAsia="Times New Roman"/>
                <w:sz w:val="20"/>
                <w:szCs w:val="20"/>
              </w:rPr>
              <w:t>2</w:t>
            </w:r>
          </w:p>
        </w:tc>
        <w:tc>
          <w:tcPr>
            <w:tcW w:w="720" w:type="dxa"/>
            <w:tcBorders>
              <w:top w:val="nil"/>
              <w:left w:val="nil"/>
              <w:bottom w:val="single" w:sz="4" w:space="0" w:color="auto"/>
              <w:right w:val="single" w:sz="4" w:space="0" w:color="auto"/>
            </w:tcBorders>
            <w:shd w:val="clear" w:color="auto" w:fill="auto"/>
            <w:noWrap/>
            <w:vAlign w:val="center"/>
            <w:hideMark/>
          </w:tcPr>
          <w:p w14:paraId="519B2F2C" w14:textId="77777777" w:rsidR="001A7F62" w:rsidRPr="008E63BB" w:rsidRDefault="001A7F62" w:rsidP="00C90BF8">
            <w:pPr>
              <w:jc w:val="center"/>
              <w:rPr>
                <w:rFonts w:eastAsia="Times New Roman"/>
                <w:sz w:val="20"/>
                <w:szCs w:val="20"/>
              </w:rPr>
            </w:pPr>
            <w:r w:rsidRPr="008E63BB">
              <w:rPr>
                <w:rFonts w:eastAsia="Times New Roman"/>
                <w:sz w:val="20"/>
                <w:szCs w:val="20"/>
              </w:rPr>
              <w:t>0,75</w:t>
            </w:r>
          </w:p>
        </w:tc>
      </w:tr>
      <w:tr w:rsidR="001A7F62" w:rsidRPr="008E63BB" w14:paraId="519B2F34"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2E" w14:textId="77777777" w:rsidR="001A7F62" w:rsidRPr="008E63BB" w:rsidRDefault="001A7F62" w:rsidP="00C90BF8">
            <w:pPr>
              <w:jc w:val="right"/>
              <w:rPr>
                <w:rFonts w:eastAsia="Times New Roman"/>
                <w:sz w:val="20"/>
                <w:szCs w:val="20"/>
              </w:rPr>
            </w:pPr>
            <w:r w:rsidRPr="008E63BB">
              <w:rPr>
                <w:rFonts w:eastAsia="Times New Roman"/>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2F" w14:textId="77777777" w:rsidR="001A7F62" w:rsidRPr="008E63BB" w:rsidRDefault="001A7F62" w:rsidP="00C90BF8">
            <w:pPr>
              <w:jc w:val="left"/>
              <w:rPr>
                <w:rFonts w:eastAsia="Times New Roman"/>
                <w:sz w:val="20"/>
                <w:szCs w:val="20"/>
              </w:rPr>
            </w:pPr>
            <w:r w:rsidRPr="008E63BB">
              <w:rPr>
                <w:rFonts w:eastAsia="Times New Roman"/>
                <w:sz w:val="20"/>
                <w:szCs w:val="20"/>
              </w:rPr>
              <w:t>Tỷ lệ sử dụng hình thức hỏa táng (%)</w:t>
            </w:r>
          </w:p>
        </w:tc>
        <w:tc>
          <w:tcPr>
            <w:tcW w:w="1833" w:type="dxa"/>
            <w:tcBorders>
              <w:top w:val="nil"/>
              <w:left w:val="nil"/>
              <w:bottom w:val="single" w:sz="4" w:space="0" w:color="auto"/>
              <w:right w:val="single" w:sz="4" w:space="0" w:color="auto"/>
            </w:tcBorders>
            <w:shd w:val="clear" w:color="auto" w:fill="auto"/>
            <w:vAlign w:val="center"/>
            <w:hideMark/>
          </w:tcPr>
          <w:p w14:paraId="519B2F30" w14:textId="77777777" w:rsidR="001A7F62" w:rsidRPr="008E63BB" w:rsidRDefault="001A7F62" w:rsidP="00C90BF8">
            <w:pPr>
              <w:jc w:val="center"/>
              <w:rPr>
                <w:rFonts w:eastAsia="Times New Roman"/>
                <w:sz w:val="20"/>
                <w:szCs w:val="20"/>
              </w:rPr>
            </w:pPr>
            <w:r w:rsidRPr="008E63BB">
              <w:rPr>
                <w:rFonts w:eastAsia="Times New Roman"/>
                <w:sz w:val="20"/>
                <w:szCs w:val="20"/>
              </w:rPr>
              <w:t>20-≥ 25</w:t>
            </w:r>
          </w:p>
        </w:tc>
        <w:tc>
          <w:tcPr>
            <w:tcW w:w="1170" w:type="dxa"/>
            <w:tcBorders>
              <w:top w:val="nil"/>
              <w:left w:val="nil"/>
              <w:bottom w:val="single" w:sz="4" w:space="0" w:color="auto"/>
              <w:right w:val="single" w:sz="4" w:space="0" w:color="auto"/>
            </w:tcBorders>
            <w:shd w:val="clear" w:color="auto" w:fill="auto"/>
            <w:vAlign w:val="center"/>
            <w:hideMark/>
          </w:tcPr>
          <w:p w14:paraId="519B2F31"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32" w14:textId="77777777" w:rsidR="001A7F62" w:rsidRPr="008E63BB" w:rsidRDefault="001A7F62" w:rsidP="00C90BF8">
            <w:pPr>
              <w:jc w:val="center"/>
              <w:rPr>
                <w:rFonts w:eastAsia="Times New Roman"/>
                <w:sz w:val="20"/>
                <w:szCs w:val="20"/>
              </w:rPr>
            </w:pPr>
            <w:r w:rsidRPr="008E63BB">
              <w:rPr>
                <w:rFonts w:eastAsia="Times New Roman"/>
                <w:sz w:val="20"/>
                <w:szCs w:val="20"/>
              </w:rPr>
              <w:t>40</w:t>
            </w:r>
          </w:p>
        </w:tc>
        <w:tc>
          <w:tcPr>
            <w:tcW w:w="720" w:type="dxa"/>
            <w:tcBorders>
              <w:top w:val="nil"/>
              <w:left w:val="nil"/>
              <w:bottom w:val="single" w:sz="4" w:space="0" w:color="auto"/>
              <w:right w:val="single" w:sz="4" w:space="0" w:color="auto"/>
            </w:tcBorders>
            <w:shd w:val="clear" w:color="auto" w:fill="auto"/>
            <w:noWrap/>
            <w:vAlign w:val="center"/>
            <w:hideMark/>
          </w:tcPr>
          <w:p w14:paraId="519B2F33" w14:textId="77777777" w:rsidR="001A7F62" w:rsidRPr="008E63BB" w:rsidRDefault="001A7F62" w:rsidP="00C90BF8">
            <w:pPr>
              <w:jc w:val="center"/>
              <w:rPr>
                <w:rFonts w:eastAsia="Times New Roman"/>
                <w:sz w:val="20"/>
                <w:szCs w:val="20"/>
              </w:rPr>
            </w:pPr>
            <w:r w:rsidRPr="008E63BB">
              <w:rPr>
                <w:rFonts w:eastAsia="Times New Roman"/>
                <w:sz w:val="20"/>
                <w:szCs w:val="20"/>
              </w:rPr>
              <w:t>1,00</w:t>
            </w:r>
          </w:p>
        </w:tc>
      </w:tr>
      <w:tr w:rsidR="001A7F62" w:rsidRPr="008E63BB" w14:paraId="519B2F3B"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35"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d)</w:t>
            </w:r>
          </w:p>
        </w:tc>
        <w:tc>
          <w:tcPr>
            <w:tcW w:w="2738" w:type="dxa"/>
            <w:tcBorders>
              <w:top w:val="nil"/>
              <w:left w:val="nil"/>
              <w:bottom w:val="single" w:sz="4" w:space="0" w:color="auto"/>
              <w:right w:val="single" w:sz="4" w:space="0" w:color="auto"/>
            </w:tcBorders>
            <w:shd w:val="clear" w:color="auto" w:fill="auto"/>
            <w:noWrap/>
            <w:vAlign w:val="center"/>
            <w:hideMark/>
          </w:tcPr>
          <w:p w14:paraId="519B2F36" w14:textId="77777777" w:rsidR="001A7F62" w:rsidRPr="008E63BB" w:rsidRDefault="001A7F62" w:rsidP="00C90BF8">
            <w:pPr>
              <w:jc w:val="left"/>
              <w:rPr>
                <w:rFonts w:eastAsia="Times New Roman"/>
                <w:i/>
                <w:iCs/>
                <w:sz w:val="20"/>
                <w:szCs w:val="20"/>
              </w:rPr>
            </w:pPr>
            <w:r w:rsidRPr="008E63BB">
              <w:rPr>
                <w:rFonts w:eastAsia="Times New Roman"/>
                <w:i/>
                <w:iCs/>
                <w:sz w:val="20"/>
                <w:szCs w:val="20"/>
              </w:rPr>
              <w:t>Các tiêu chuẩn về cây xanh đô thị</w:t>
            </w:r>
          </w:p>
        </w:tc>
        <w:tc>
          <w:tcPr>
            <w:tcW w:w="1833" w:type="dxa"/>
            <w:tcBorders>
              <w:top w:val="nil"/>
              <w:left w:val="nil"/>
              <w:bottom w:val="single" w:sz="4" w:space="0" w:color="auto"/>
              <w:right w:val="single" w:sz="4" w:space="0" w:color="auto"/>
            </w:tcBorders>
            <w:shd w:val="clear" w:color="auto" w:fill="auto"/>
            <w:vAlign w:val="center"/>
            <w:hideMark/>
          </w:tcPr>
          <w:p w14:paraId="519B2F37"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F38"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3-4</w:t>
            </w:r>
          </w:p>
        </w:tc>
        <w:tc>
          <w:tcPr>
            <w:tcW w:w="1890" w:type="dxa"/>
            <w:tcBorders>
              <w:top w:val="nil"/>
              <w:left w:val="nil"/>
              <w:bottom w:val="single" w:sz="4" w:space="0" w:color="auto"/>
              <w:right w:val="single" w:sz="4" w:space="0" w:color="auto"/>
            </w:tcBorders>
            <w:shd w:val="clear" w:color="auto" w:fill="auto"/>
            <w:vAlign w:val="center"/>
            <w:hideMark/>
          </w:tcPr>
          <w:p w14:paraId="519B2F39"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vAlign w:val="center"/>
            <w:hideMark/>
          </w:tcPr>
          <w:p w14:paraId="519B2F3A"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0,0</w:t>
            </w:r>
          </w:p>
        </w:tc>
      </w:tr>
      <w:tr w:rsidR="001A7F62" w:rsidRPr="008E63BB" w14:paraId="519B2F42"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3C" w14:textId="77777777" w:rsidR="001A7F62" w:rsidRPr="008E63BB" w:rsidRDefault="001A7F62" w:rsidP="00C90BF8">
            <w:pPr>
              <w:jc w:val="right"/>
              <w:rPr>
                <w:rFonts w:eastAsia="Times New Roman"/>
                <w:sz w:val="20"/>
                <w:szCs w:val="20"/>
              </w:rPr>
            </w:pPr>
            <w:r w:rsidRPr="008E63BB">
              <w:rPr>
                <w:rFonts w:eastAsia="Times New Roman"/>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3D" w14:textId="77777777" w:rsidR="001A7F62" w:rsidRPr="008E63BB" w:rsidRDefault="001A7F62" w:rsidP="00C90BF8">
            <w:pPr>
              <w:jc w:val="left"/>
              <w:rPr>
                <w:rFonts w:eastAsia="Times New Roman"/>
                <w:sz w:val="20"/>
                <w:szCs w:val="20"/>
              </w:rPr>
            </w:pPr>
            <w:r w:rsidRPr="008E63BB">
              <w:rPr>
                <w:rFonts w:eastAsia="Times New Roman"/>
                <w:sz w:val="20"/>
                <w:szCs w:val="20"/>
              </w:rPr>
              <w:t>Đất cây xanh toàn đô thị (m2/người)</w:t>
            </w:r>
          </w:p>
        </w:tc>
        <w:tc>
          <w:tcPr>
            <w:tcW w:w="1833" w:type="dxa"/>
            <w:tcBorders>
              <w:top w:val="nil"/>
              <w:left w:val="nil"/>
              <w:bottom w:val="single" w:sz="4" w:space="0" w:color="auto"/>
              <w:right w:val="single" w:sz="4" w:space="0" w:color="auto"/>
            </w:tcBorders>
            <w:shd w:val="clear" w:color="auto" w:fill="auto"/>
            <w:vAlign w:val="center"/>
            <w:hideMark/>
          </w:tcPr>
          <w:p w14:paraId="519B2F3E" w14:textId="77777777" w:rsidR="001A7F62" w:rsidRPr="008E63BB" w:rsidRDefault="001A7F62" w:rsidP="00C90BF8">
            <w:pPr>
              <w:jc w:val="center"/>
              <w:rPr>
                <w:rFonts w:eastAsia="Times New Roman"/>
                <w:sz w:val="20"/>
                <w:szCs w:val="20"/>
              </w:rPr>
            </w:pPr>
            <w:r w:rsidRPr="008E63BB">
              <w:rPr>
                <w:rFonts w:eastAsia="Times New Roman"/>
                <w:sz w:val="20"/>
                <w:szCs w:val="20"/>
              </w:rPr>
              <w:t>10-≥15</w:t>
            </w:r>
          </w:p>
        </w:tc>
        <w:tc>
          <w:tcPr>
            <w:tcW w:w="1170" w:type="dxa"/>
            <w:tcBorders>
              <w:top w:val="nil"/>
              <w:left w:val="nil"/>
              <w:bottom w:val="single" w:sz="4" w:space="0" w:color="auto"/>
              <w:right w:val="single" w:sz="4" w:space="0" w:color="auto"/>
            </w:tcBorders>
            <w:shd w:val="clear" w:color="auto" w:fill="auto"/>
            <w:vAlign w:val="center"/>
            <w:hideMark/>
          </w:tcPr>
          <w:p w14:paraId="519B2F3F"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vAlign w:val="center"/>
            <w:hideMark/>
          </w:tcPr>
          <w:p w14:paraId="519B2F40" w14:textId="77777777" w:rsidR="001A7F62" w:rsidRPr="008E63BB" w:rsidRDefault="001A7F62" w:rsidP="00C90BF8">
            <w:pPr>
              <w:jc w:val="center"/>
              <w:rPr>
                <w:rFonts w:eastAsia="Times New Roman"/>
                <w:sz w:val="20"/>
                <w:szCs w:val="20"/>
              </w:rPr>
            </w:pPr>
            <w:r w:rsidRPr="008E63BB">
              <w:rPr>
                <w:rFonts w:eastAsia="Times New Roman"/>
                <w:sz w:val="20"/>
                <w:szCs w:val="20"/>
              </w:rPr>
              <w:t>2,40</w:t>
            </w:r>
          </w:p>
        </w:tc>
        <w:tc>
          <w:tcPr>
            <w:tcW w:w="720" w:type="dxa"/>
            <w:tcBorders>
              <w:top w:val="nil"/>
              <w:left w:val="nil"/>
              <w:bottom w:val="single" w:sz="4" w:space="0" w:color="auto"/>
              <w:right w:val="single" w:sz="4" w:space="0" w:color="auto"/>
            </w:tcBorders>
            <w:shd w:val="clear" w:color="auto" w:fill="auto"/>
            <w:noWrap/>
            <w:vAlign w:val="center"/>
            <w:hideMark/>
          </w:tcPr>
          <w:p w14:paraId="519B2F41" w14:textId="77777777" w:rsidR="001A7F62" w:rsidRPr="008E63BB" w:rsidRDefault="001A7F62" w:rsidP="00C90BF8">
            <w:pPr>
              <w:jc w:val="center"/>
              <w:rPr>
                <w:rFonts w:eastAsia="Times New Roman"/>
                <w:sz w:val="20"/>
                <w:szCs w:val="20"/>
              </w:rPr>
            </w:pPr>
            <w:r w:rsidRPr="008E63BB">
              <w:rPr>
                <w:rFonts w:eastAsia="Times New Roman"/>
                <w:sz w:val="20"/>
                <w:szCs w:val="20"/>
              </w:rPr>
              <w:t>0,00</w:t>
            </w:r>
          </w:p>
        </w:tc>
      </w:tr>
      <w:tr w:rsidR="001A7F62" w:rsidRPr="008E63BB" w14:paraId="519B2F49"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43" w14:textId="77777777" w:rsidR="001A7F62" w:rsidRPr="008E63BB" w:rsidRDefault="001A7F62" w:rsidP="00C90BF8">
            <w:pPr>
              <w:jc w:val="right"/>
              <w:rPr>
                <w:rFonts w:eastAsia="Times New Roman"/>
                <w:sz w:val="20"/>
                <w:szCs w:val="20"/>
              </w:rPr>
            </w:pPr>
            <w:r w:rsidRPr="008E63BB">
              <w:rPr>
                <w:rFonts w:eastAsia="Times New Roman"/>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44" w14:textId="77777777" w:rsidR="001A7F62" w:rsidRPr="008E63BB" w:rsidRDefault="001A7F62" w:rsidP="00C90BF8">
            <w:pPr>
              <w:jc w:val="left"/>
              <w:rPr>
                <w:rFonts w:eastAsia="Times New Roman"/>
                <w:sz w:val="20"/>
                <w:szCs w:val="20"/>
              </w:rPr>
            </w:pPr>
            <w:r w:rsidRPr="008E63BB">
              <w:rPr>
                <w:rFonts w:eastAsia="Times New Roman"/>
                <w:sz w:val="20"/>
                <w:szCs w:val="20"/>
              </w:rPr>
              <w:t>Đất cây xanh công cộng khu vực nội thành, nội thành (m2/người)</w:t>
            </w:r>
          </w:p>
        </w:tc>
        <w:tc>
          <w:tcPr>
            <w:tcW w:w="1833" w:type="dxa"/>
            <w:tcBorders>
              <w:top w:val="nil"/>
              <w:left w:val="nil"/>
              <w:bottom w:val="single" w:sz="4" w:space="0" w:color="auto"/>
              <w:right w:val="single" w:sz="4" w:space="0" w:color="auto"/>
            </w:tcBorders>
            <w:shd w:val="clear" w:color="auto" w:fill="auto"/>
            <w:vAlign w:val="center"/>
            <w:hideMark/>
          </w:tcPr>
          <w:p w14:paraId="519B2F45" w14:textId="77777777" w:rsidR="001A7F62" w:rsidRPr="008E63BB" w:rsidRDefault="001A7F62" w:rsidP="00C90BF8">
            <w:pPr>
              <w:jc w:val="center"/>
              <w:rPr>
                <w:rFonts w:eastAsia="Times New Roman"/>
                <w:sz w:val="20"/>
                <w:szCs w:val="20"/>
              </w:rPr>
            </w:pPr>
            <w:r w:rsidRPr="008E63BB">
              <w:rPr>
                <w:rFonts w:eastAsia="Times New Roman"/>
                <w:sz w:val="20"/>
                <w:szCs w:val="20"/>
              </w:rPr>
              <w:t>5-≥ 6</w:t>
            </w:r>
          </w:p>
        </w:tc>
        <w:tc>
          <w:tcPr>
            <w:tcW w:w="1170" w:type="dxa"/>
            <w:tcBorders>
              <w:top w:val="nil"/>
              <w:left w:val="nil"/>
              <w:bottom w:val="single" w:sz="4" w:space="0" w:color="auto"/>
              <w:right w:val="single" w:sz="4" w:space="0" w:color="auto"/>
            </w:tcBorders>
            <w:shd w:val="clear" w:color="auto" w:fill="auto"/>
            <w:vAlign w:val="center"/>
            <w:hideMark/>
          </w:tcPr>
          <w:p w14:paraId="519B2F46"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noWrap/>
            <w:vAlign w:val="center"/>
            <w:hideMark/>
          </w:tcPr>
          <w:p w14:paraId="519B2F47" w14:textId="77777777" w:rsidR="001A7F62" w:rsidRPr="008E63BB" w:rsidRDefault="001A7F62" w:rsidP="00C90BF8">
            <w:pPr>
              <w:jc w:val="center"/>
              <w:rPr>
                <w:rFonts w:eastAsia="Times New Roman"/>
                <w:sz w:val="20"/>
                <w:szCs w:val="20"/>
              </w:rPr>
            </w:pPr>
            <w:r w:rsidRPr="008E63BB">
              <w:rPr>
                <w:rFonts w:eastAsia="Times New Roman"/>
                <w:sz w:val="20"/>
                <w:szCs w:val="20"/>
              </w:rPr>
              <w:t>3,52</w:t>
            </w:r>
          </w:p>
        </w:tc>
        <w:tc>
          <w:tcPr>
            <w:tcW w:w="720" w:type="dxa"/>
            <w:tcBorders>
              <w:top w:val="nil"/>
              <w:left w:val="nil"/>
              <w:bottom w:val="single" w:sz="4" w:space="0" w:color="auto"/>
              <w:right w:val="single" w:sz="4" w:space="0" w:color="auto"/>
            </w:tcBorders>
            <w:shd w:val="clear" w:color="auto" w:fill="auto"/>
            <w:noWrap/>
            <w:vAlign w:val="center"/>
            <w:hideMark/>
          </w:tcPr>
          <w:p w14:paraId="519B2F48" w14:textId="77777777" w:rsidR="001A7F62" w:rsidRPr="008E63BB" w:rsidRDefault="001A7F62" w:rsidP="00C90BF8">
            <w:pPr>
              <w:jc w:val="center"/>
              <w:rPr>
                <w:rFonts w:eastAsia="Times New Roman"/>
                <w:sz w:val="20"/>
                <w:szCs w:val="20"/>
              </w:rPr>
            </w:pPr>
            <w:r w:rsidRPr="008E63BB">
              <w:rPr>
                <w:rFonts w:eastAsia="Times New Roman"/>
                <w:sz w:val="20"/>
                <w:szCs w:val="20"/>
              </w:rPr>
              <w:t>0,00</w:t>
            </w:r>
          </w:p>
        </w:tc>
      </w:tr>
      <w:tr w:rsidR="001A7F62" w:rsidRPr="008E63BB" w14:paraId="519B2F50"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4A"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5.A.4</w:t>
            </w:r>
          </w:p>
        </w:tc>
        <w:tc>
          <w:tcPr>
            <w:tcW w:w="2738" w:type="dxa"/>
            <w:tcBorders>
              <w:top w:val="nil"/>
              <w:left w:val="nil"/>
              <w:bottom w:val="single" w:sz="4" w:space="0" w:color="auto"/>
              <w:right w:val="single" w:sz="4" w:space="0" w:color="auto"/>
            </w:tcBorders>
            <w:shd w:val="clear" w:color="auto" w:fill="auto"/>
            <w:vAlign w:val="center"/>
            <w:hideMark/>
          </w:tcPr>
          <w:p w14:paraId="519B2F4B"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Tiêu chuẩn về Kiến trúc, cảnh quan đô thị</w:t>
            </w:r>
          </w:p>
        </w:tc>
        <w:tc>
          <w:tcPr>
            <w:tcW w:w="1833" w:type="dxa"/>
            <w:tcBorders>
              <w:top w:val="nil"/>
              <w:left w:val="nil"/>
              <w:bottom w:val="single" w:sz="4" w:space="0" w:color="auto"/>
              <w:right w:val="single" w:sz="4" w:space="0" w:color="auto"/>
            </w:tcBorders>
            <w:shd w:val="clear" w:color="auto" w:fill="auto"/>
            <w:vAlign w:val="center"/>
            <w:hideMark/>
          </w:tcPr>
          <w:p w14:paraId="519B2F4C"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F4D"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7,5-10</w:t>
            </w:r>
          </w:p>
        </w:tc>
        <w:tc>
          <w:tcPr>
            <w:tcW w:w="1890" w:type="dxa"/>
            <w:tcBorders>
              <w:top w:val="nil"/>
              <w:left w:val="nil"/>
              <w:bottom w:val="single" w:sz="4" w:space="0" w:color="auto"/>
              <w:right w:val="single" w:sz="4" w:space="0" w:color="auto"/>
            </w:tcBorders>
            <w:shd w:val="clear" w:color="auto" w:fill="auto"/>
            <w:vAlign w:val="center"/>
            <w:hideMark/>
          </w:tcPr>
          <w:p w14:paraId="519B2F4E"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F4F"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9,33</w:t>
            </w:r>
          </w:p>
        </w:tc>
      </w:tr>
      <w:tr w:rsidR="001A7F62" w:rsidRPr="008E63BB" w14:paraId="519B2F57" w14:textId="77777777" w:rsidTr="00C90BF8">
        <w:trPr>
          <w:trHeight w:val="1095"/>
        </w:trPr>
        <w:tc>
          <w:tcPr>
            <w:tcW w:w="801" w:type="dxa"/>
            <w:vMerge w:val="restart"/>
            <w:tcBorders>
              <w:top w:val="nil"/>
              <w:left w:val="single" w:sz="4" w:space="0" w:color="auto"/>
              <w:bottom w:val="single" w:sz="4" w:space="0" w:color="auto"/>
              <w:right w:val="single" w:sz="4" w:space="0" w:color="auto"/>
            </w:tcBorders>
            <w:shd w:val="clear" w:color="auto" w:fill="auto"/>
            <w:vAlign w:val="center"/>
            <w:hideMark/>
          </w:tcPr>
          <w:p w14:paraId="519B2F51"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vMerge w:val="restart"/>
            <w:tcBorders>
              <w:top w:val="nil"/>
              <w:left w:val="single" w:sz="4" w:space="0" w:color="auto"/>
              <w:bottom w:val="single" w:sz="4" w:space="0" w:color="auto"/>
              <w:right w:val="single" w:sz="4" w:space="0" w:color="auto"/>
            </w:tcBorders>
            <w:shd w:val="clear" w:color="auto" w:fill="auto"/>
            <w:vAlign w:val="center"/>
            <w:hideMark/>
          </w:tcPr>
          <w:p w14:paraId="519B2F52" w14:textId="77777777" w:rsidR="001A7F62" w:rsidRPr="008E63BB" w:rsidRDefault="001A7F62" w:rsidP="00C90BF8">
            <w:pPr>
              <w:jc w:val="left"/>
              <w:rPr>
                <w:rFonts w:eastAsia="Times New Roman"/>
                <w:sz w:val="20"/>
                <w:szCs w:val="20"/>
              </w:rPr>
            </w:pPr>
            <w:r w:rsidRPr="008E63BB">
              <w:rPr>
                <w:rFonts w:eastAsia="Times New Roman"/>
                <w:sz w:val="20"/>
                <w:szCs w:val="20"/>
              </w:rPr>
              <w:t>Quy chế quản lý quy hoạch kiến trúc đô thị (Quy chế)</w:t>
            </w:r>
          </w:p>
        </w:tc>
        <w:tc>
          <w:tcPr>
            <w:tcW w:w="1833" w:type="dxa"/>
            <w:tcBorders>
              <w:top w:val="nil"/>
              <w:left w:val="nil"/>
              <w:bottom w:val="single" w:sz="4" w:space="0" w:color="auto"/>
              <w:right w:val="single" w:sz="4" w:space="0" w:color="auto"/>
            </w:tcBorders>
            <w:shd w:val="clear" w:color="auto" w:fill="auto"/>
            <w:vAlign w:val="center"/>
            <w:hideMark/>
          </w:tcPr>
          <w:p w14:paraId="519B2F53" w14:textId="77777777" w:rsidR="001A7F62" w:rsidRPr="008E63BB" w:rsidRDefault="001A7F62" w:rsidP="00C90BF8">
            <w:pPr>
              <w:jc w:val="center"/>
              <w:rPr>
                <w:rFonts w:eastAsia="Times New Roman"/>
                <w:sz w:val="20"/>
                <w:szCs w:val="20"/>
              </w:rPr>
            </w:pPr>
            <w:r w:rsidRPr="008E63BB">
              <w:rPr>
                <w:rFonts w:eastAsia="Times New Roman"/>
                <w:sz w:val="20"/>
                <w:szCs w:val="20"/>
              </w:rPr>
              <w:t>Đã có quy chế được ban hành tối thiểu 2 năm, thực hiện tốt quy chế</w:t>
            </w:r>
          </w:p>
        </w:tc>
        <w:tc>
          <w:tcPr>
            <w:tcW w:w="1170" w:type="dxa"/>
            <w:tcBorders>
              <w:top w:val="nil"/>
              <w:left w:val="nil"/>
              <w:bottom w:val="single" w:sz="4" w:space="0" w:color="auto"/>
              <w:right w:val="single" w:sz="4" w:space="0" w:color="auto"/>
            </w:tcBorders>
            <w:shd w:val="clear" w:color="auto" w:fill="auto"/>
            <w:vAlign w:val="center"/>
            <w:hideMark/>
          </w:tcPr>
          <w:p w14:paraId="519B2F54" w14:textId="77777777" w:rsidR="001A7F62" w:rsidRPr="008E63BB" w:rsidRDefault="001A7F62" w:rsidP="00C90BF8">
            <w:pPr>
              <w:jc w:val="center"/>
              <w:rPr>
                <w:rFonts w:eastAsia="Times New Roman"/>
                <w:sz w:val="20"/>
                <w:szCs w:val="20"/>
              </w:rPr>
            </w:pPr>
            <w:r w:rsidRPr="008E63BB">
              <w:rPr>
                <w:rFonts w:eastAsia="Times New Roman"/>
                <w:sz w:val="20"/>
                <w:szCs w:val="20"/>
              </w:rPr>
              <w:t>2,0</w:t>
            </w: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F55" w14:textId="77777777" w:rsidR="001A7F62" w:rsidRPr="008E63BB" w:rsidRDefault="001A7F62" w:rsidP="00C90BF8">
            <w:pPr>
              <w:jc w:val="center"/>
              <w:rPr>
                <w:rFonts w:eastAsia="Times New Roman"/>
                <w:sz w:val="20"/>
                <w:szCs w:val="20"/>
              </w:rPr>
            </w:pPr>
            <w:r w:rsidRPr="008E63BB">
              <w:rPr>
                <w:rFonts w:eastAsia="Times New Roman"/>
                <w:sz w:val="20"/>
                <w:szCs w:val="20"/>
              </w:rPr>
              <w:t>Đã có quy chế được ban hành tối thiểu 2 năm, thực hiện tốt quy chế</w:t>
            </w:r>
          </w:p>
        </w:tc>
        <w:tc>
          <w:tcPr>
            <w:tcW w:w="72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F56" w14:textId="77777777" w:rsidR="001A7F62" w:rsidRPr="008E63BB" w:rsidRDefault="001A7F62" w:rsidP="00C90BF8">
            <w:pPr>
              <w:jc w:val="center"/>
              <w:rPr>
                <w:rFonts w:eastAsia="Times New Roman"/>
                <w:sz w:val="20"/>
                <w:szCs w:val="20"/>
              </w:rPr>
            </w:pPr>
            <w:r w:rsidRPr="008E63BB">
              <w:rPr>
                <w:rFonts w:eastAsia="Times New Roman"/>
                <w:sz w:val="20"/>
                <w:szCs w:val="20"/>
              </w:rPr>
              <w:t>2,0</w:t>
            </w:r>
          </w:p>
        </w:tc>
      </w:tr>
      <w:tr w:rsidR="001A7F62" w:rsidRPr="008E63BB" w14:paraId="519B2F5E" w14:textId="77777777" w:rsidTr="00C90BF8">
        <w:trPr>
          <w:trHeight w:val="360"/>
        </w:trPr>
        <w:tc>
          <w:tcPr>
            <w:tcW w:w="801" w:type="dxa"/>
            <w:vMerge/>
            <w:tcBorders>
              <w:top w:val="nil"/>
              <w:left w:val="single" w:sz="4" w:space="0" w:color="auto"/>
              <w:bottom w:val="single" w:sz="4" w:space="0" w:color="auto"/>
              <w:right w:val="single" w:sz="4" w:space="0" w:color="auto"/>
            </w:tcBorders>
            <w:vAlign w:val="center"/>
            <w:hideMark/>
          </w:tcPr>
          <w:p w14:paraId="519B2F58" w14:textId="77777777" w:rsidR="001A7F62" w:rsidRPr="008E63BB" w:rsidRDefault="001A7F62" w:rsidP="00C90BF8">
            <w:pPr>
              <w:jc w:val="left"/>
              <w:rPr>
                <w:rFonts w:eastAsia="Times New Roman"/>
                <w:sz w:val="20"/>
                <w:szCs w:val="20"/>
              </w:rPr>
            </w:pPr>
          </w:p>
        </w:tc>
        <w:tc>
          <w:tcPr>
            <w:tcW w:w="2738" w:type="dxa"/>
            <w:vMerge/>
            <w:tcBorders>
              <w:top w:val="nil"/>
              <w:left w:val="single" w:sz="4" w:space="0" w:color="auto"/>
              <w:bottom w:val="single" w:sz="4" w:space="0" w:color="auto"/>
              <w:right w:val="single" w:sz="4" w:space="0" w:color="auto"/>
            </w:tcBorders>
            <w:vAlign w:val="center"/>
            <w:hideMark/>
          </w:tcPr>
          <w:p w14:paraId="519B2F59" w14:textId="77777777" w:rsidR="001A7F62" w:rsidRPr="008E63BB" w:rsidRDefault="001A7F62" w:rsidP="00C90BF8">
            <w:pPr>
              <w:jc w:val="left"/>
              <w:rPr>
                <w:rFonts w:eastAsia="Times New Roman"/>
                <w:sz w:val="20"/>
                <w:szCs w:val="20"/>
              </w:rPr>
            </w:pPr>
          </w:p>
        </w:tc>
        <w:tc>
          <w:tcPr>
            <w:tcW w:w="1833" w:type="dxa"/>
            <w:tcBorders>
              <w:top w:val="nil"/>
              <w:left w:val="nil"/>
              <w:bottom w:val="single" w:sz="4" w:space="0" w:color="auto"/>
              <w:right w:val="single" w:sz="4" w:space="0" w:color="auto"/>
            </w:tcBorders>
            <w:shd w:val="clear" w:color="auto" w:fill="auto"/>
            <w:vAlign w:val="center"/>
            <w:hideMark/>
          </w:tcPr>
          <w:p w14:paraId="519B2F5A" w14:textId="77777777" w:rsidR="001A7F62" w:rsidRPr="008E63BB" w:rsidRDefault="001A7F62" w:rsidP="00C90BF8">
            <w:pPr>
              <w:jc w:val="center"/>
              <w:rPr>
                <w:rFonts w:eastAsia="Times New Roman"/>
                <w:sz w:val="20"/>
                <w:szCs w:val="20"/>
              </w:rPr>
            </w:pPr>
            <w:r w:rsidRPr="008E63BB">
              <w:rPr>
                <w:rFonts w:eastAsia="Times New Roman"/>
                <w:sz w:val="20"/>
                <w:szCs w:val="20"/>
              </w:rPr>
              <w:t>Đã có quy chế</w:t>
            </w:r>
          </w:p>
        </w:tc>
        <w:tc>
          <w:tcPr>
            <w:tcW w:w="1170" w:type="dxa"/>
            <w:tcBorders>
              <w:top w:val="nil"/>
              <w:left w:val="nil"/>
              <w:bottom w:val="single" w:sz="4" w:space="0" w:color="auto"/>
              <w:right w:val="single" w:sz="4" w:space="0" w:color="auto"/>
            </w:tcBorders>
            <w:shd w:val="clear" w:color="auto" w:fill="auto"/>
            <w:vAlign w:val="center"/>
            <w:hideMark/>
          </w:tcPr>
          <w:p w14:paraId="519B2F5B" w14:textId="77777777" w:rsidR="001A7F62" w:rsidRPr="008E63BB" w:rsidRDefault="001A7F62" w:rsidP="00C90BF8">
            <w:pPr>
              <w:jc w:val="center"/>
              <w:rPr>
                <w:rFonts w:eastAsia="Times New Roman"/>
                <w:sz w:val="20"/>
                <w:szCs w:val="20"/>
              </w:rPr>
            </w:pPr>
            <w:r w:rsidRPr="008E63BB">
              <w:rPr>
                <w:rFonts w:eastAsia="Times New Roman"/>
                <w:sz w:val="20"/>
                <w:szCs w:val="20"/>
              </w:rPr>
              <w:t>1,5</w:t>
            </w:r>
          </w:p>
        </w:tc>
        <w:tc>
          <w:tcPr>
            <w:tcW w:w="1890" w:type="dxa"/>
            <w:vMerge/>
            <w:tcBorders>
              <w:top w:val="nil"/>
              <w:left w:val="single" w:sz="4" w:space="0" w:color="auto"/>
              <w:bottom w:val="single" w:sz="4" w:space="0" w:color="000000"/>
              <w:right w:val="single" w:sz="4" w:space="0" w:color="auto"/>
            </w:tcBorders>
            <w:vAlign w:val="center"/>
            <w:hideMark/>
          </w:tcPr>
          <w:p w14:paraId="519B2F5C" w14:textId="77777777" w:rsidR="001A7F62" w:rsidRPr="008E63BB" w:rsidRDefault="001A7F62" w:rsidP="00C90BF8">
            <w:pPr>
              <w:jc w:val="left"/>
              <w:rPr>
                <w:rFonts w:eastAsia="Times New Roman"/>
                <w:sz w:val="20"/>
                <w:szCs w:val="20"/>
              </w:rPr>
            </w:pPr>
          </w:p>
        </w:tc>
        <w:tc>
          <w:tcPr>
            <w:tcW w:w="720" w:type="dxa"/>
            <w:vMerge/>
            <w:tcBorders>
              <w:top w:val="nil"/>
              <w:left w:val="single" w:sz="4" w:space="0" w:color="auto"/>
              <w:bottom w:val="single" w:sz="4" w:space="0" w:color="000000"/>
              <w:right w:val="single" w:sz="4" w:space="0" w:color="auto"/>
            </w:tcBorders>
            <w:vAlign w:val="center"/>
            <w:hideMark/>
          </w:tcPr>
          <w:p w14:paraId="519B2F5D" w14:textId="77777777" w:rsidR="001A7F62" w:rsidRPr="008E63BB" w:rsidRDefault="001A7F62" w:rsidP="00C90BF8">
            <w:pPr>
              <w:jc w:val="left"/>
              <w:rPr>
                <w:rFonts w:eastAsia="Times New Roman"/>
                <w:sz w:val="20"/>
                <w:szCs w:val="20"/>
              </w:rPr>
            </w:pPr>
          </w:p>
        </w:tc>
      </w:tr>
      <w:tr w:rsidR="001A7F62" w:rsidRPr="008E63BB" w14:paraId="519B2F65" w14:textId="77777777" w:rsidTr="00C90BF8">
        <w:trPr>
          <w:trHeight w:val="765"/>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5F"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60" w14:textId="77777777" w:rsidR="001A7F62" w:rsidRPr="008E63BB" w:rsidRDefault="001A7F62" w:rsidP="00C90BF8">
            <w:pPr>
              <w:jc w:val="left"/>
              <w:rPr>
                <w:rFonts w:eastAsia="Times New Roman"/>
                <w:sz w:val="20"/>
                <w:szCs w:val="20"/>
              </w:rPr>
            </w:pPr>
            <w:r w:rsidRPr="008E63BB">
              <w:rPr>
                <w:rFonts w:eastAsia="Times New Roman"/>
                <w:sz w:val="20"/>
                <w:szCs w:val="20"/>
              </w:rPr>
              <w:t>Tỷ lệ tuyến phố văn minh đô thị tính trên tổng số trục phố chính (%)</w:t>
            </w:r>
          </w:p>
        </w:tc>
        <w:tc>
          <w:tcPr>
            <w:tcW w:w="1833" w:type="dxa"/>
            <w:tcBorders>
              <w:top w:val="nil"/>
              <w:left w:val="nil"/>
              <w:bottom w:val="single" w:sz="4" w:space="0" w:color="auto"/>
              <w:right w:val="single" w:sz="4" w:space="0" w:color="auto"/>
            </w:tcBorders>
            <w:shd w:val="clear" w:color="auto" w:fill="auto"/>
            <w:vAlign w:val="center"/>
            <w:hideMark/>
          </w:tcPr>
          <w:p w14:paraId="519B2F61" w14:textId="77777777" w:rsidR="001A7F62" w:rsidRPr="008E63BB" w:rsidRDefault="001A7F62" w:rsidP="00C90BF8">
            <w:pPr>
              <w:jc w:val="center"/>
              <w:rPr>
                <w:rFonts w:eastAsia="Times New Roman"/>
                <w:sz w:val="20"/>
                <w:szCs w:val="20"/>
              </w:rPr>
            </w:pPr>
            <w:r w:rsidRPr="008E63BB">
              <w:rPr>
                <w:rFonts w:eastAsia="Times New Roman"/>
                <w:sz w:val="20"/>
                <w:szCs w:val="20"/>
              </w:rPr>
              <w:t>50-≥60</w:t>
            </w:r>
          </w:p>
        </w:tc>
        <w:tc>
          <w:tcPr>
            <w:tcW w:w="1170" w:type="dxa"/>
            <w:tcBorders>
              <w:top w:val="nil"/>
              <w:left w:val="nil"/>
              <w:bottom w:val="single" w:sz="4" w:space="0" w:color="auto"/>
              <w:right w:val="single" w:sz="4" w:space="0" w:color="auto"/>
            </w:tcBorders>
            <w:shd w:val="clear" w:color="auto" w:fill="auto"/>
            <w:vAlign w:val="center"/>
            <w:hideMark/>
          </w:tcPr>
          <w:p w14:paraId="519B2F62"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noWrap/>
            <w:vAlign w:val="center"/>
            <w:hideMark/>
          </w:tcPr>
          <w:p w14:paraId="519B2F63" w14:textId="77777777" w:rsidR="001A7F62" w:rsidRPr="008E63BB" w:rsidRDefault="001A7F62" w:rsidP="00C90BF8">
            <w:pPr>
              <w:jc w:val="center"/>
              <w:rPr>
                <w:rFonts w:eastAsia="Times New Roman"/>
                <w:sz w:val="20"/>
                <w:szCs w:val="20"/>
              </w:rPr>
            </w:pPr>
            <w:r w:rsidRPr="008E63BB">
              <w:rPr>
                <w:rFonts w:eastAsia="Times New Roman"/>
                <w:sz w:val="20"/>
                <w:szCs w:val="20"/>
              </w:rPr>
              <w:t>90</w:t>
            </w:r>
          </w:p>
        </w:tc>
        <w:tc>
          <w:tcPr>
            <w:tcW w:w="720" w:type="dxa"/>
            <w:tcBorders>
              <w:top w:val="nil"/>
              <w:left w:val="nil"/>
              <w:bottom w:val="single" w:sz="4" w:space="0" w:color="auto"/>
              <w:right w:val="single" w:sz="4" w:space="0" w:color="auto"/>
            </w:tcBorders>
            <w:shd w:val="clear" w:color="auto" w:fill="auto"/>
            <w:noWrap/>
            <w:vAlign w:val="center"/>
            <w:hideMark/>
          </w:tcPr>
          <w:p w14:paraId="519B2F64"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F6C"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66"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67" w14:textId="77777777" w:rsidR="001A7F62" w:rsidRPr="008E63BB" w:rsidRDefault="001A7F62" w:rsidP="00C90BF8">
            <w:pPr>
              <w:jc w:val="left"/>
              <w:rPr>
                <w:rFonts w:eastAsia="Times New Roman"/>
                <w:sz w:val="20"/>
                <w:szCs w:val="20"/>
              </w:rPr>
            </w:pPr>
            <w:r w:rsidRPr="008E63BB">
              <w:rPr>
                <w:rFonts w:eastAsia="Times New Roman"/>
                <w:sz w:val="20"/>
                <w:szCs w:val="20"/>
              </w:rPr>
              <w:t>Số lượng dự án cải tạo, chỉnh trang đô thị (dự án)</w:t>
            </w:r>
          </w:p>
        </w:tc>
        <w:tc>
          <w:tcPr>
            <w:tcW w:w="1833" w:type="dxa"/>
            <w:tcBorders>
              <w:top w:val="nil"/>
              <w:left w:val="nil"/>
              <w:bottom w:val="single" w:sz="4" w:space="0" w:color="auto"/>
              <w:right w:val="single" w:sz="4" w:space="0" w:color="auto"/>
            </w:tcBorders>
            <w:shd w:val="clear" w:color="auto" w:fill="auto"/>
            <w:vAlign w:val="center"/>
            <w:hideMark/>
          </w:tcPr>
          <w:p w14:paraId="519B2F68" w14:textId="77777777" w:rsidR="001A7F62" w:rsidRPr="008E63BB" w:rsidRDefault="001A7F62" w:rsidP="00C90BF8">
            <w:pPr>
              <w:jc w:val="center"/>
              <w:rPr>
                <w:rFonts w:eastAsia="Times New Roman"/>
                <w:sz w:val="20"/>
                <w:szCs w:val="20"/>
              </w:rPr>
            </w:pPr>
            <w:r w:rsidRPr="008E63BB">
              <w:rPr>
                <w:rFonts w:eastAsia="Times New Roman"/>
                <w:sz w:val="20"/>
                <w:szCs w:val="20"/>
              </w:rPr>
              <w:t>4-≥6</w:t>
            </w:r>
          </w:p>
        </w:tc>
        <w:tc>
          <w:tcPr>
            <w:tcW w:w="1170" w:type="dxa"/>
            <w:tcBorders>
              <w:top w:val="nil"/>
              <w:left w:val="nil"/>
              <w:bottom w:val="single" w:sz="4" w:space="0" w:color="auto"/>
              <w:right w:val="single" w:sz="4" w:space="0" w:color="auto"/>
            </w:tcBorders>
            <w:shd w:val="clear" w:color="auto" w:fill="auto"/>
            <w:vAlign w:val="center"/>
            <w:hideMark/>
          </w:tcPr>
          <w:p w14:paraId="519B2F69"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vAlign w:val="center"/>
            <w:hideMark/>
          </w:tcPr>
          <w:p w14:paraId="519B2F6A" w14:textId="77777777" w:rsidR="001A7F62" w:rsidRPr="008E63BB" w:rsidRDefault="001A7F62" w:rsidP="00C90BF8">
            <w:pPr>
              <w:jc w:val="center"/>
              <w:rPr>
                <w:rFonts w:eastAsia="Times New Roman"/>
                <w:sz w:val="20"/>
                <w:szCs w:val="20"/>
              </w:rPr>
            </w:pPr>
            <w:r w:rsidRPr="008E63BB">
              <w:rPr>
                <w:rFonts w:eastAsia="Times New Roman"/>
                <w:sz w:val="20"/>
                <w:szCs w:val="20"/>
              </w:rPr>
              <w:t>5</w:t>
            </w:r>
          </w:p>
        </w:tc>
        <w:tc>
          <w:tcPr>
            <w:tcW w:w="720" w:type="dxa"/>
            <w:tcBorders>
              <w:top w:val="nil"/>
              <w:left w:val="nil"/>
              <w:bottom w:val="single" w:sz="4" w:space="0" w:color="auto"/>
              <w:right w:val="single" w:sz="4" w:space="0" w:color="auto"/>
            </w:tcBorders>
            <w:shd w:val="clear" w:color="auto" w:fill="auto"/>
            <w:noWrap/>
            <w:vAlign w:val="center"/>
            <w:hideMark/>
          </w:tcPr>
          <w:p w14:paraId="519B2F6B" w14:textId="77777777" w:rsidR="001A7F62" w:rsidRPr="008E63BB" w:rsidRDefault="001A7F62" w:rsidP="00C90BF8">
            <w:pPr>
              <w:jc w:val="center"/>
              <w:rPr>
                <w:rFonts w:eastAsia="Times New Roman"/>
                <w:sz w:val="20"/>
                <w:szCs w:val="20"/>
              </w:rPr>
            </w:pPr>
            <w:r w:rsidRPr="008E63BB">
              <w:rPr>
                <w:rFonts w:eastAsia="Times New Roman"/>
                <w:sz w:val="20"/>
                <w:szCs w:val="20"/>
              </w:rPr>
              <w:t>1,83</w:t>
            </w:r>
          </w:p>
        </w:tc>
      </w:tr>
      <w:tr w:rsidR="001A7F62" w:rsidRPr="008E63BB" w14:paraId="519B2F73"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6D"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tcBorders>
              <w:top w:val="nil"/>
              <w:left w:val="nil"/>
              <w:bottom w:val="single" w:sz="4" w:space="0" w:color="auto"/>
              <w:right w:val="single" w:sz="4" w:space="0" w:color="auto"/>
            </w:tcBorders>
            <w:shd w:val="clear" w:color="auto" w:fill="auto"/>
            <w:vAlign w:val="center"/>
            <w:hideMark/>
          </w:tcPr>
          <w:p w14:paraId="519B2F6E" w14:textId="77777777" w:rsidR="001A7F62" w:rsidRPr="008E63BB" w:rsidRDefault="001A7F62" w:rsidP="00C90BF8">
            <w:pPr>
              <w:jc w:val="left"/>
              <w:rPr>
                <w:rFonts w:eastAsia="Times New Roman"/>
                <w:sz w:val="20"/>
                <w:szCs w:val="20"/>
              </w:rPr>
            </w:pPr>
            <w:r w:rsidRPr="008E63BB">
              <w:rPr>
                <w:rFonts w:eastAsia="Times New Roman"/>
                <w:sz w:val="20"/>
                <w:szCs w:val="20"/>
              </w:rPr>
              <w:t>Số lượng không gian công cộng của đô thị (khu)</w:t>
            </w:r>
          </w:p>
        </w:tc>
        <w:tc>
          <w:tcPr>
            <w:tcW w:w="1833" w:type="dxa"/>
            <w:tcBorders>
              <w:top w:val="nil"/>
              <w:left w:val="nil"/>
              <w:bottom w:val="single" w:sz="4" w:space="0" w:color="auto"/>
              <w:right w:val="single" w:sz="4" w:space="0" w:color="auto"/>
            </w:tcBorders>
            <w:shd w:val="clear" w:color="auto" w:fill="auto"/>
            <w:vAlign w:val="center"/>
            <w:hideMark/>
          </w:tcPr>
          <w:p w14:paraId="519B2F6F" w14:textId="77777777" w:rsidR="001A7F62" w:rsidRPr="008E63BB" w:rsidRDefault="001A7F62" w:rsidP="00C90BF8">
            <w:pPr>
              <w:jc w:val="center"/>
              <w:rPr>
                <w:rFonts w:eastAsia="Times New Roman"/>
                <w:sz w:val="20"/>
                <w:szCs w:val="20"/>
              </w:rPr>
            </w:pPr>
            <w:r w:rsidRPr="008E63BB">
              <w:rPr>
                <w:rFonts w:eastAsia="Times New Roman"/>
                <w:sz w:val="20"/>
                <w:szCs w:val="20"/>
              </w:rPr>
              <w:t>5-≥7</w:t>
            </w:r>
          </w:p>
        </w:tc>
        <w:tc>
          <w:tcPr>
            <w:tcW w:w="1170" w:type="dxa"/>
            <w:tcBorders>
              <w:top w:val="nil"/>
              <w:left w:val="nil"/>
              <w:bottom w:val="single" w:sz="4" w:space="0" w:color="auto"/>
              <w:right w:val="single" w:sz="4" w:space="0" w:color="auto"/>
            </w:tcBorders>
            <w:shd w:val="clear" w:color="auto" w:fill="auto"/>
            <w:vAlign w:val="center"/>
            <w:hideMark/>
          </w:tcPr>
          <w:p w14:paraId="519B2F70" w14:textId="77777777" w:rsidR="001A7F62" w:rsidRPr="008E63BB" w:rsidRDefault="001A7F62" w:rsidP="00C90BF8">
            <w:pPr>
              <w:jc w:val="center"/>
              <w:rPr>
                <w:rFonts w:eastAsia="Times New Roman"/>
                <w:sz w:val="20"/>
                <w:szCs w:val="20"/>
              </w:rPr>
            </w:pPr>
            <w:r w:rsidRPr="008E63BB">
              <w:rPr>
                <w:rFonts w:eastAsia="Times New Roman"/>
                <w:sz w:val="20"/>
                <w:szCs w:val="20"/>
              </w:rPr>
              <w:t>1,5-2</w:t>
            </w:r>
          </w:p>
        </w:tc>
        <w:tc>
          <w:tcPr>
            <w:tcW w:w="1890" w:type="dxa"/>
            <w:tcBorders>
              <w:top w:val="nil"/>
              <w:left w:val="nil"/>
              <w:bottom w:val="single" w:sz="4" w:space="0" w:color="auto"/>
              <w:right w:val="single" w:sz="4" w:space="0" w:color="auto"/>
            </w:tcBorders>
            <w:shd w:val="clear" w:color="auto" w:fill="auto"/>
            <w:vAlign w:val="center"/>
            <w:hideMark/>
          </w:tcPr>
          <w:p w14:paraId="519B2F71" w14:textId="77777777" w:rsidR="001A7F62" w:rsidRPr="008E63BB" w:rsidRDefault="001A7F62" w:rsidP="00C90BF8">
            <w:pPr>
              <w:jc w:val="center"/>
              <w:rPr>
                <w:rFonts w:eastAsia="Times New Roman"/>
                <w:sz w:val="20"/>
                <w:szCs w:val="20"/>
              </w:rPr>
            </w:pPr>
            <w:r w:rsidRPr="008E63BB">
              <w:rPr>
                <w:rFonts w:eastAsia="Times New Roman"/>
                <w:sz w:val="20"/>
                <w:szCs w:val="20"/>
              </w:rPr>
              <w:t>12</w:t>
            </w:r>
          </w:p>
        </w:tc>
        <w:tc>
          <w:tcPr>
            <w:tcW w:w="720" w:type="dxa"/>
            <w:tcBorders>
              <w:top w:val="nil"/>
              <w:left w:val="nil"/>
              <w:bottom w:val="single" w:sz="4" w:space="0" w:color="auto"/>
              <w:right w:val="single" w:sz="4" w:space="0" w:color="auto"/>
            </w:tcBorders>
            <w:shd w:val="clear" w:color="auto" w:fill="auto"/>
            <w:noWrap/>
            <w:vAlign w:val="center"/>
            <w:hideMark/>
          </w:tcPr>
          <w:p w14:paraId="519B2F72"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F7A" w14:textId="77777777" w:rsidTr="00C90BF8">
        <w:trPr>
          <w:trHeight w:val="510"/>
        </w:trPr>
        <w:tc>
          <w:tcPr>
            <w:tcW w:w="801" w:type="dxa"/>
            <w:vMerge w:val="restart"/>
            <w:tcBorders>
              <w:top w:val="nil"/>
              <w:left w:val="single" w:sz="4" w:space="0" w:color="auto"/>
              <w:bottom w:val="single" w:sz="4" w:space="0" w:color="auto"/>
              <w:right w:val="single" w:sz="4" w:space="0" w:color="auto"/>
            </w:tcBorders>
            <w:shd w:val="clear" w:color="auto" w:fill="auto"/>
            <w:vAlign w:val="center"/>
            <w:hideMark/>
          </w:tcPr>
          <w:p w14:paraId="519B2F74" w14:textId="77777777" w:rsidR="001A7F62" w:rsidRPr="008E63BB" w:rsidRDefault="001A7F62" w:rsidP="00C90BF8">
            <w:pPr>
              <w:jc w:val="right"/>
              <w:rPr>
                <w:rFonts w:eastAsia="Times New Roman"/>
                <w:sz w:val="20"/>
                <w:szCs w:val="20"/>
              </w:rPr>
            </w:pPr>
            <w:r w:rsidRPr="008E63BB">
              <w:rPr>
                <w:rFonts w:eastAsia="Times New Roman"/>
                <w:sz w:val="20"/>
                <w:szCs w:val="20"/>
              </w:rPr>
              <w:t>-</w:t>
            </w:r>
          </w:p>
        </w:tc>
        <w:tc>
          <w:tcPr>
            <w:tcW w:w="2738" w:type="dxa"/>
            <w:vMerge w:val="restart"/>
            <w:tcBorders>
              <w:top w:val="nil"/>
              <w:left w:val="single" w:sz="4" w:space="0" w:color="auto"/>
              <w:bottom w:val="single" w:sz="4" w:space="0" w:color="auto"/>
              <w:right w:val="single" w:sz="4" w:space="0" w:color="auto"/>
            </w:tcBorders>
            <w:shd w:val="clear" w:color="auto" w:fill="auto"/>
            <w:vAlign w:val="center"/>
            <w:hideMark/>
          </w:tcPr>
          <w:p w14:paraId="519B2F75" w14:textId="77777777" w:rsidR="001A7F62" w:rsidRPr="008E63BB" w:rsidRDefault="001A7F62" w:rsidP="00C90BF8">
            <w:pPr>
              <w:jc w:val="left"/>
              <w:rPr>
                <w:rFonts w:eastAsia="Times New Roman"/>
                <w:sz w:val="20"/>
                <w:szCs w:val="20"/>
              </w:rPr>
            </w:pPr>
            <w:r w:rsidRPr="008E63BB">
              <w:rPr>
                <w:rFonts w:eastAsia="Times New Roman"/>
                <w:sz w:val="20"/>
                <w:szCs w:val="20"/>
              </w:rPr>
              <w:t>Công trình kiến trúc tiêu biểu (cấp)</w:t>
            </w:r>
          </w:p>
        </w:tc>
        <w:tc>
          <w:tcPr>
            <w:tcW w:w="1833" w:type="dxa"/>
            <w:tcBorders>
              <w:top w:val="nil"/>
              <w:left w:val="nil"/>
              <w:bottom w:val="single" w:sz="4" w:space="0" w:color="auto"/>
              <w:right w:val="single" w:sz="4" w:space="0" w:color="auto"/>
            </w:tcBorders>
            <w:shd w:val="clear" w:color="auto" w:fill="auto"/>
            <w:vAlign w:val="center"/>
            <w:hideMark/>
          </w:tcPr>
          <w:p w14:paraId="519B2F76" w14:textId="77777777" w:rsidR="001A7F62" w:rsidRPr="008E63BB" w:rsidRDefault="001A7F62" w:rsidP="00C90BF8">
            <w:pPr>
              <w:jc w:val="center"/>
              <w:rPr>
                <w:rFonts w:eastAsia="Times New Roman"/>
                <w:sz w:val="20"/>
                <w:szCs w:val="20"/>
              </w:rPr>
            </w:pPr>
            <w:r w:rsidRPr="008E63BB">
              <w:rPr>
                <w:rFonts w:eastAsia="Times New Roman"/>
                <w:sz w:val="20"/>
                <w:szCs w:val="20"/>
              </w:rPr>
              <w:t>Có công trình cấp quốc gia</w:t>
            </w:r>
          </w:p>
        </w:tc>
        <w:tc>
          <w:tcPr>
            <w:tcW w:w="1170" w:type="dxa"/>
            <w:tcBorders>
              <w:top w:val="nil"/>
              <w:left w:val="nil"/>
              <w:bottom w:val="single" w:sz="4" w:space="0" w:color="auto"/>
              <w:right w:val="single" w:sz="4" w:space="0" w:color="auto"/>
            </w:tcBorders>
            <w:shd w:val="clear" w:color="auto" w:fill="auto"/>
            <w:vAlign w:val="center"/>
            <w:hideMark/>
          </w:tcPr>
          <w:p w14:paraId="519B2F77" w14:textId="77777777" w:rsidR="001A7F62" w:rsidRPr="008E63BB" w:rsidRDefault="001A7F62" w:rsidP="00C90BF8">
            <w:pPr>
              <w:jc w:val="center"/>
              <w:rPr>
                <w:rFonts w:eastAsia="Times New Roman"/>
                <w:sz w:val="20"/>
                <w:szCs w:val="20"/>
              </w:rPr>
            </w:pPr>
            <w:r w:rsidRPr="008E63BB">
              <w:rPr>
                <w:rFonts w:eastAsia="Times New Roman"/>
                <w:sz w:val="20"/>
                <w:szCs w:val="20"/>
              </w:rPr>
              <w:t>2,0</w:t>
            </w:r>
          </w:p>
        </w:tc>
        <w:tc>
          <w:tcPr>
            <w:tcW w:w="1890"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2F78" w14:textId="77777777" w:rsidR="001A7F62" w:rsidRPr="008E63BB" w:rsidRDefault="001A7F62" w:rsidP="00C90BF8">
            <w:pPr>
              <w:jc w:val="center"/>
              <w:rPr>
                <w:rFonts w:eastAsia="Times New Roman"/>
                <w:sz w:val="20"/>
                <w:szCs w:val="20"/>
              </w:rPr>
            </w:pPr>
            <w:r w:rsidRPr="008E63BB">
              <w:rPr>
                <w:rFonts w:eastAsia="Times New Roman"/>
                <w:sz w:val="20"/>
                <w:szCs w:val="20"/>
              </w:rPr>
              <w:t>Có công trình cấp quốc gia</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9B2F79" w14:textId="77777777" w:rsidR="001A7F62" w:rsidRPr="008E63BB" w:rsidRDefault="001A7F62" w:rsidP="00C90BF8">
            <w:pPr>
              <w:jc w:val="center"/>
              <w:rPr>
                <w:rFonts w:eastAsia="Times New Roman"/>
                <w:sz w:val="20"/>
                <w:szCs w:val="20"/>
              </w:rPr>
            </w:pPr>
            <w:r w:rsidRPr="008E63BB">
              <w:rPr>
                <w:rFonts w:eastAsia="Times New Roman"/>
                <w:sz w:val="20"/>
                <w:szCs w:val="20"/>
              </w:rPr>
              <w:t>2,00</w:t>
            </w:r>
          </w:p>
        </w:tc>
      </w:tr>
      <w:tr w:rsidR="001A7F62" w:rsidRPr="008E63BB" w14:paraId="519B2F81" w14:textId="77777777" w:rsidTr="00C90BF8">
        <w:trPr>
          <w:trHeight w:val="510"/>
        </w:trPr>
        <w:tc>
          <w:tcPr>
            <w:tcW w:w="801" w:type="dxa"/>
            <w:vMerge/>
            <w:tcBorders>
              <w:top w:val="nil"/>
              <w:left w:val="single" w:sz="4" w:space="0" w:color="auto"/>
              <w:bottom w:val="single" w:sz="4" w:space="0" w:color="auto"/>
              <w:right w:val="single" w:sz="4" w:space="0" w:color="auto"/>
            </w:tcBorders>
            <w:vAlign w:val="center"/>
            <w:hideMark/>
          </w:tcPr>
          <w:p w14:paraId="519B2F7B" w14:textId="77777777" w:rsidR="001A7F62" w:rsidRPr="008E63BB" w:rsidRDefault="001A7F62" w:rsidP="00C90BF8">
            <w:pPr>
              <w:jc w:val="left"/>
              <w:rPr>
                <w:rFonts w:eastAsia="Times New Roman"/>
                <w:sz w:val="20"/>
                <w:szCs w:val="20"/>
              </w:rPr>
            </w:pPr>
          </w:p>
        </w:tc>
        <w:tc>
          <w:tcPr>
            <w:tcW w:w="2738" w:type="dxa"/>
            <w:vMerge/>
            <w:tcBorders>
              <w:top w:val="nil"/>
              <w:left w:val="single" w:sz="4" w:space="0" w:color="auto"/>
              <w:bottom w:val="single" w:sz="4" w:space="0" w:color="auto"/>
              <w:right w:val="single" w:sz="4" w:space="0" w:color="auto"/>
            </w:tcBorders>
            <w:vAlign w:val="center"/>
            <w:hideMark/>
          </w:tcPr>
          <w:p w14:paraId="519B2F7C" w14:textId="77777777" w:rsidR="001A7F62" w:rsidRPr="008E63BB" w:rsidRDefault="001A7F62" w:rsidP="00C90BF8">
            <w:pPr>
              <w:jc w:val="left"/>
              <w:rPr>
                <w:rFonts w:eastAsia="Times New Roman"/>
                <w:sz w:val="20"/>
                <w:szCs w:val="20"/>
              </w:rPr>
            </w:pPr>
          </w:p>
        </w:tc>
        <w:tc>
          <w:tcPr>
            <w:tcW w:w="1833" w:type="dxa"/>
            <w:tcBorders>
              <w:top w:val="nil"/>
              <w:left w:val="nil"/>
              <w:bottom w:val="single" w:sz="4" w:space="0" w:color="auto"/>
              <w:right w:val="single" w:sz="4" w:space="0" w:color="auto"/>
            </w:tcBorders>
            <w:shd w:val="clear" w:color="auto" w:fill="auto"/>
            <w:vAlign w:val="center"/>
            <w:hideMark/>
          </w:tcPr>
          <w:p w14:paraId="519B2F7D" w14:textId="77777777" w:rsidR="001A7F62" w:rsidRPr="008E63BB" w:rsidRDefault="001A7F62" w:rsidP="00C90BF8">
            <w:pPr>
              <w:jc w:val="center"/>
              <w:rPr>
                <w:rFonts w:eastAsia="Times New Roman"/>
                <w:sz w:val="20"/>
                <w:szCs w:val="20"/>
              </w:rPr>
            </w:pPr>
            <w:r w:rsidRPr="008E63BB">
              <w:rPr>
                <w:rFonts w:eastAsia="Times New Roman"/>
                <w:sz w:val="20"/>
                <w:szCs w:val="20"/>
              </w:rPr>
              <w:t>Có công trình cấp tỉnh</w:t>
            </w:r>
          </w:p>
        </w:tc>
        <w:tc>
          <w:tcPr>
            <w:tcW w:w="1170" w:type="dxa"/>
            <w:tcBorders>
              <w:top w:val="nil"/>
              <w:left w:val="nil"/>
              <w:bottom w:val="single" w:sz="4" w:space="0" w:color="auto"/>
              <w:right w:val="single" w:sz="4" w:space="0" w:color="auto"/>
            </w:tcBorders>
            <w:shd w:val="clear" w:color="auto" w:fill="auto"/>
            <w:vAlign w:val="center"/>
            <w:hideMark/>
          </w:tcPr>
          <w:p w14:paraId="519B2F7E" w14:textId="77777777" w:rsidR="001A7F62" w:rsidRPr="008E63BB" w:rsidRDefault="001A7F62" w:rsidP="00C90BF8">
            <w:pPr>
              <w:jc w:val="center"/>
              <w:rPr>
                <w:rFonts w:eastAsia="Times New Roman"/>
                <w:sz w:val="20"/>
                <w:szCs w:val="20"/>
              </w:rPr>
            </w:pPr>
            <w:r w:rsidRPr="008E63BB">
              <w:rPr>
                <w:rFonts w:eastAsia="Times New Roman"/>
                <w:sz w:val="20"/>
                <w:szCs w:val="20"/>
              </w:rPr>
              <w:t>1,5</w:t>
            </w:r>
          </w:p>
        </w:tc>
        <w:tc>
          <w:tcPr>
            <w:tcW w:w="1890" w:type="dxa"/>
            <w:vMerge/>
            <w:tcBorders>
              <w:top w:val="nil"/>
              <w:left w:val="single" w:sz="4" w:space="0" w:color="auto"/>
              <w:bottom w:val="single" w:sz="4" w:space="0" w:color="000000"/>
              <w:right w:val="single" w:sz="4" w:space="0" w:color="auto"/>
            </w:tcBorders>
            <w:vAlign w:val="center"/>
            <w:hideMark/>
          </w:tcPr>
          <w:p w14:paraId="519B2F7F" w14:textId="77777777" w:rsidR="001A7F62" w:rsidRPr="008E63BB" w:rsidRDefault="001A7F62" w:rsidP="00C90BF8">
            <w:pPr>
              <w:jc w:val="left"/>
              <w:rPr>
                <w:rFonts w:eastAsia="Times New Roman"/>
                <w:sz w:val="20"/>
                <w:szCs w:val="20"/>
              </w:rPr>
            </w:pPr>
          </w:p>
        </w:tc>
        <w:tc>
          <w:tcPr>
            <w:tcW w:w="720" w:type="dxa"/>
            <w:vMerge/>
            <w:tcBorders>
              <w:top w:val="nil"/>
              <w:left w:val="single" w:sz="4" w:space="0" w:color="auto"/>
              <w:bottom w:val="single" w:sz="4" w:space="0" w:color="000000"/>
              <w:right w:val="single" w:sz="4" w:space="0" w:color="auto"/>
            </w:tcBorders>
            <w:vAlign w:val="center"/>
            <w:hideMark/>
          </w:tcPr>
          <w:p w14:paraId="519B2F80" w14:textId="77777777" w:rsidR="001A7F62" w:rsidRPr="008E63BB" w:rsidRDefault="001A7F62" w:rsidP="00C90BF8">
            <w:pPr>
              <w:jc w:val="left"/>
              <w:rPr>
                <w:rFonts w:eastAsia="Times New Roman"/>
                <w:sz w:val="20"/>
                <w:szCs w:val="20"/>
              </w:rPr>
            </w:pPr>
          </w:p>
        </w:tc>
      </w:tr>
      <w:tr w:rsidR="001A7F62" w:rsidRPr="008E63BB" w14:paraId="519B2F88" w14:textId="77777777" w:rsidTr="00C90BF8">
        <w:trPr>
          <w:trHeight w:val="102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82"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5.B</w:t>
            </w:r>
          </w:p>
        </w:tc>
        <w:tc>
          <w:tcPr>
            <w:tcW w:w="2738" w:type="dxa"/>
            <w:tcBorders>
              <w:top w:val="nil"/>
              <w:left w:val="nil"/>
              <w:bottom w:val="single" w:sz="4" w:space="0" w:color="auto"/>
              <w:right w:val="single" w:sz="4" w:space="0" w:color="auto"/>
            </w:tcBorders>
            <w:shd w:val="clear" w:color="auto" w:fill="auto"/>
            <w:vAlign w:val="center"/>
            <w:hideMark/>
          </w:tcPr>
          <w:p w14:paraId="519B2F83" w14:textId="77777777" w:rsidR="001A7F62" w:rsidRPr="008E63BB" w:rsidRDefault="001A7F62" w:rsidP="00C90BF8">
            <w:pPr>
              <w:jc w:val="left"/>
              <w:rPr>
                <w:rFonts w:eastAsia="Times New Roman"/>
                <w:b/>
                <w:bCs/>
                <w:sz w:val="20"/>
                <w:szCs w:val="20"/>
              </w:rPr>
            </w:pPr>
            <w:r w:rsidRPr="008E63BB">
              <w:rPr>
                <w:rFonts w:eastAsia="Times New Roman"/>
                <w:b/>
                <w:bCs/>
                <w:sz w:val="20"/>
                <w:szCs w:val="20"/>
              </w:rPr>
              <w:t>Các tiêu chuẩn về trình độ phát triển cơ sở hạ tầng và kiến trúc, cảnh quan khu vực ngoại thành, ngoại Thành</w:t>
            </w:r>
          </w:p>
        </w:tc>
        <w:tc>
          <w:tcPr>
            <w:tcW w:w="1833" w:type="dxa"/>
            <w:tcBorders>
              <w:top w:val="nil"/>
              <w:left w:val="nil"/>
              <w:bottom w:val="single" w:sz="4" w:space="0" w:color="auto"/>
              <w:right w:val="single" w:sz="4" w:space="0" w:color="auto"/>
            </w:tcBorders>
            <w:shd w:val="clear" w:color="auto" w:fill="auto"/>
            <w:vAlign w:val="center"/>
            <w:hideMark/>
          </w:tcPr>
          <w:p w14:paraId="519B2F84"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F85"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9-12</w:t>
            </w:r>
          </w:p>
        </w:tc>
        <w:tc>
          <w:tcPr>
            <w:tcW w:w="1890" w:type="dxa"/>
            <w:tcBorders>
              <w:top w:val="nil"/>
              <w:left w:val="nil"/>
              <w:bottom w:val="nil"/>
              <w:right w:val="single" w:sz="4" w:space="0" w:color="auto"/>
            </w:tcBorders>
            <w:shd w:val="clear" w:color="auto" w:fill="auto"/>
            <w:vAlign w:val="center"/>
            <w:hideMark/>
          </w:tcPr>
          <w:p w14:paraId="519B2F86"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F87" w14:textId="77777777" w:rsidR="001A7F62" w:rsidRPr="008E63BB" w:rsidRDefault="001A7F62" w:rsidP="00C90BF8">
            <w:pPr>
              <w:jc w:val="center"/>
              <w:rPr>
                <w:rFonts w:eastAsia="Times New Roman"/>
                <w:b/>
                <w:bCs/>
                <w:sz w:val="20"/>
                <w:szCs w:val="20"/>
              </w:rPr>
            </w:pPr>
            <w:r w:rsidRPr="008E63BB">
              <w:rPr>
                <w:rFonts w:eastAsia="Times New Roman"/>
                <w:b/>
                <w:bCs/>
                <w:sz w:val="20"/>
                <w:szCs w:val="20"/>
              </w:rPr>
              <w:t>12,00</w:t>
            </w:r>
          </w:p>
        </w:tc>
      </w:tr>
      <w:tr w:rsidR="001A7F62" w:rsidRPr="008E63BB" w14:paraId="519B2F8F"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89"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lastRenderedPageBreak/>
              <w:t>5.B.1</w:t>
            </w:r>
          </w:p>
        </w:tc>
        <w:tc>
          <w:tcPr>
            <w:tcW w:w="2738" w:type="dxa"/>
            <w:tcBorders>
              <w:top w:val="nil"/>
              <w:left w:val="nil"/>
              <w:bottom w:val="single" w:sz="4" w:space="0" w:color="auto"/>
              <w:right w:val="single" w:sz="4" w:space="0" w:color="auto"/>
            </w:tcBorders>
            <w:shd w:val="clear" w:color="auto" w:fill="auto"/>
            <w:vAlign w:val="center"/>
            <w:hideMark/>
          </w:tcPr>
          <w:p w14:paraId="519B2F8A"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Nhóm các tiêu chuẩn về hạ tầng xã hội</w:t>
            </w:r>
          </w:p>
        </w:tc>
        <w:tc>
          <w:tcPr>
            <w:tcW w:w="1833" w:type="dxa"/>
            <w:tcBorders>
              <w:top w:val="nil"/>
              <w:left w:val="nil"/>
              <w:bottom w:val="single" w:sz="4" w:space="0" w:color="auto"/>
              <w:right w:val="single" w:sz="4" w:space="0" w:color="auto"/>
            </w:tcBorders>
            <w:shd w:val="clear" w:color="auto" w:fill="auto"/>
            <w:vAlign w:val="center"/>
            <w:hideMark/>
          </w:tcPr>
          <w:p w14:paraId="519B2F8B"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F8C"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3,0-4</w:t>
            </w:r>
          </w:p>
        </w:tc>
        <w:tc>
          <w:tcPr>
            <w:tcW w:w="1890" w:type="dxa"/>
            <w:tcBorders>
              <w:top w:val="nil"/>
              <w:left w:val="nil"/>
              <w:bottom w:val="single" w:sz="4" w:space="0" w:color="auto"/>
              <w:right w:val="single" w:sz="4" w:space="0" w:color="auto"/>
            </w:tcBorders>
            <w:shd w:val="clear" w:color="auto" w:fill="auto"/>
            <w:vAlign w:val="center"/>
            <w:hideMark/>
          </w:tcPr>
          <w:p w14:paraId="519B2F8D"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F8E"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4,00</w:t>
            </w:r>
          </w:p>
        </w:tc>
      </w:tr>
      <w:tr w:rsidR="001A7F62" w:rsidRPr="008E63BB" w14:paraId="519B2F96"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90"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91" w14:textId="77777777" w:rsidR="001A7F62" w:rsidRPr="008E63BB" w:rsidRDefault="001A7F62" w:rsidP="00C90BF8">
            <w:pPr>
              <w:jc w:val="left"/>
              <w:rPr>
                <w:rFonts w:eastAsia="Times New Roman"/>
                <w:sz w:val="20"/>
                <w:szCs w:val="20"/>
              </w:rPr>
            </w:pPr>
            <w:r w:rsidRPr="008E63BB">
              <w:rPr>
                <w:rFonts w:eastAsia="Times New Roman"/>
                <w:sz w:val="20"/>
                <w:szCs w:val="20"/>
              </w:rPr>
              <w:t>Trường học (%)</w:t>
            </w:r>
          </w:p>
        </w:tc>
        <w:tc>
          <w:tcPr>
            <w:tcW w:w="1833" w:type="dxa"/>
            <w:tcBorders>
              <w:top w:val="nil"/>
              <w:left w:val="nil"/>
              <w:bottom w:val="single" w:sz="4" w:space="0" w:color="auto"/>
              <w:right w:val="single" w:sz="4" w:space="0" w:color="auto"/>
            </w:tcBorders>
            <w:shd w:val="clear" w:color="auto" w:fill="auto"/>
            <w:vAlign w:val="center"/>
            <w:hideMark/>
          </w:tcPr>
          <w:p w14:paraId="519B2F92"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50-≥60</w:t>
            </w:r>
          </w:p>
        </w:tc>
        <w:tc>
          <w:tcPr>
            <w:tcW w:w="1170" w:type="dxa"/>
            <w:tcBorders>
              <w:top w:val="nil"/>
              <w:left w:val="nil"/>
              <w:bottom w:val="single" w:sz="4" w:space="0" w:color="auto"/>
              <w:right w:val="single" w:sz="4" w:space="0" w:color="auto"/>
            </w:tcBorders>
            <w:shd w:val="clear" w:color="auto" w:fill="auto"/>
            <w:vAlign w:val="center"/>
            <w:hideMark/>
          </w:tcPr>
          <w:p w14:paraId="519B2F93"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vAlign w:val="center"/>
            <w:hideMark/>
          </w:tcPr>
          <w:p w14:paraId="519B2F94" w14:textId="77777777" w:rsidR="001A7F62" w:rsidRPr="008E63BB" w:rsidRDefault="001A7F62" w:rsidP="00C90BF8">
            <w:pPr>
              <w:jc w:val="center"/>
              <w:rPr>
                <w:rFonts w:eastAsia="Times New Roman"/>
                <w:sz w:val="20"/>
                <w:szCs w:val="20"/>
              </w:rPr>
            </w:pPr>
            <w:r w:rsidRPr="008E63BB">
              <w:rPr>
                <w:rFonts w:eastAsia="Times New Roman"/>
                <w:sz w:val="20"/>
                <w:szCs w:val="20"/>
              </w:rPr>
              <w:t>60</w:t>
            </w:r>
          </w:p>
        </w:tc>
        <w:tc>
          <w:tcPr>
            <w:tcW w:w="720" w:type="dxa"/>
            <w:tcBorders>
              <w:top w:val="nil"/>
              <w:left w:val="nil"/>
              <w:bottom w:val="single" w:sz="4" w:space="0" w:color="auto"/>
              <w:right w:val="single" w:sz="4" w:space="0" w:color="auto"/>
            </w:tcBorders>
            <w:shd w:val="clear" w:color="auto" w:fill="auto"/>
            <w:noWrap/>
            <w:vAlign w:val="bottom"/>
            <w:hideMark/>
          </w:tcPr>
          <w:p w14:paraId="519B2F95" w14:textId="77777777" w:rsidR="001A7F62" w:rsidRPr="008E63BB" w:rsidRDefault="001A7F62" w:rsidP="00C90BF8">
            <w:pPr>
              <w:jc w:val="right"/>
              <w:rPr>
                <w:rFonts w:eastAsia="Times New Roman"/>
                <w:sz w:val="20"/>
                <w:szCs w:val="20"/>
              </w:rPr>
            </w:pPr>
            <w:r w:rsidRPr="008E63BB">
              <w:rPr>
                <w:rFonts w:eastAsia="Times New Roman"/>
                <w:sz w:val="20"/>
                <w:szCs w:val="20"/>
              </w:rPr>
              <w:t>1,00</w:t>
            </w:r>
          </w:p>
        </w:tc>
      </w:tr>
      <w:tr w:rsidR="001A7F62" w:rsidRPr="008E63BB" w14:paraId="519B2F9D"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97"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98" w14:textId="77777777" w:rsidR="001A7F62" w:rsidRPr="008E63BB" w:rsidRDefault="001A7F62" w:rsidP="00C90BF8">
            <w:pPr>
              <w:jc w:val="left"/>
              <w:rPr>
                <w:rFonts w:eastAsia="Times New Roman"/>
                <w:sz w:val="20"/>
                <w:szCs w:val="20"/>
              </w:rPr>
            </w:pPr>
            <w:r w:rsidRPr="008E63BB">
              <w:rPr>
                <w:rFonts w:eastAsia="Times New Roman"/>
                <w:sz w:val="20"/>
                <w:szCs w:val="20"/>
              </w:rPr>
              <w:t>Cơ sở vật chất văn hóa (%)</w:t>
            </w:r>
          </w:p>
        </w:tc>
        <w:tc>
          <w:tcPr>
            <w:tcW w:w="1833" w:type="dxa"/>
            <w:tcBorders>
              <w:top w:val="nil"/>
              <w:left w:val="nil"/>
              <w:bottom w:val="single" w:sz="4" w:space="0" w:color="auto"/>
              <w:right w:val="single" w:sz="4" w:space="0" w:color="auto"/>
            </w:tcBorders>
            <w:shd w:val="clear" w:color="auto" w:fill="auto"/>
            <w:vAlign w:val="center"/>
            <w:hideMark/>
          </w:tcPr>
          <w:p w14:paraId="519B2F99"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45-≥60</w:t>
            </w:r>
          </w:p>
        </w:tc>
        <w:tc>
          <w:tcPr>
            <w:tcW w:w="1170" w:type="dxa"/>
            <w:tcBorders>
              <w:top w:val="nil"/>
              <w:left w:val="nil"/>
              <w:bottom w:val="single" w:sz="4" w:space="0" w:color="auto"/>
              <w:right w:val="single" w:sz="4" w:space="0" w:color="auto"/>
            </w:tcBorders>
            <w:shd w:val="clear" w:color="auto" w:fill="auto"/>
            <w:vAlign w:val="center"/>
            <w:hideMark/>
          </w:tcPr>
          <w:p w14:paraId="519B2F9A"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bottom"/>
            <w:hideMark/>
          </w:tcPr>
          <w:p w14:paraId="519B2F9B" w14:textId="77777777" w:rsidR="001A7F62" w:rsidRPr="008E63BB" w:rsidRDefault="001A7F62" w:rsidP="00C90BF8">
            <w:pPr>
              <w:jc w:val="center"/>
              <w:rPr>
                <w:rFonts w:eastAsia="Times New Roman"/>
                <w:sz w:val="20"/>
                <w:szCs w:val="20"/>
              </w:rPr>
            </w:pPr>
            <w:r w:rsidRPr="008E63BB">
              <w:rPr>
                <w:rFonts w:eastAsia="Times New Roman"/>
                <w:sz w:val="20"/>
                <w:szCs w:val="20"/>
              </w:rPr>
              <w:t>60</w:t>
            </w:r>
          </w:p>
        </w:tc>
        <w:tc>
          <w:tcPr>
            <w:tcW w:w="720" w:type="dxa"/>
            <w:tcBorders>
              <w:top w:val="nil"/>
              <w:left w:val="nil"/>
              <w:bottom w:val="single" w:sz="4" w:space="0" w:color="auto"/>
              <w:right w:val="single" w:sz="4" w:space="0" w:color="auto"/>
            </w:tcBorders>
            <w:shd w:val="clear" w:color="auto" w:fill="auto"/>
            <w:noWrap/>
            <w:vAlign w:val="bottom"/>
            <w:hideMark/>
          </w:tcPr>
          <w:p w14:paraId="519B2F9C" w14:textId="77777777" w:rsidR="001A7F62" w:rsidRPr="008E63BB" w:rsidRDefault="001A7F62" w:rsidP="00C90BF8">
            <w:pPr>
              <w:jc w:val="right"/>
              <w:rPr>
                <w:rFonts w:eastAsia="Times New Roman"/>
                <w:sz w:val="20"/>
                <w:szCs w:val="20"/>
              </w:rPr>
            </w:pPr>
            <w:r w:rsidRPr="008E63BB">
              <w:rPr>
                <w:rFonts w:eastAsia="Times New Roman"/>
                <w:sz w:val="20"/>
                <w:szCs w:val="20"/>
              </w:rPr>
              <w:t>1,00</w:t>
            </w:r>
          </w:p>
        </w:tc>
      </w:tr>
      <w:tr w:rsidR="001A7F62" w:rsidRPr="008E63BB" w14:paraId="519B2FA4"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9E"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9F" w14:textId="77777777" w:rsidR="001A7F62" w:rsidRPr="008E63BB" w:rsidRDefault="001A7F62" w:rsidP="00C90BF8">
            <w:pPr>
              <w:jc w:val="left"/>
              <w:rPr>
                <w:rFonts w:eastAsia="Times New Roman"/>
                <w:sz w:val="20"/>
                <w:szCs w:val="20"/>
              </w:rPr>
            </w:pPr>
            <w:r w:rsidRPr="008E63BB">
              <w:rPr>
                <w:rFonts w:eastAsia="Times New Roman"/>
                <w:sz w:val="20"/>
                <w:szCs w:val="20"/>
              </w:rPr>
              <w:t>Chợ nông thôn (%)</w:t>
            </w:r>
          </w:p>
        </w:tc>
        <w:tc>
          <w:tcPr>
            <w:tcW w:w="1833" w:type="dxa"/>
            <w:tcBorders>
              <w:top w:val="nil"/>
              <w:left w:val="nil"/>
              <w:bottom w:val="single" w:sz="4" w:space="0" w:color="auto"/>
              <w:right w:val="single" w:sz="4" w:space="0" w:color="auto"/>
            </w:tcBorders>
            <w:shd w:val="clear" w:color="auto" w:fill="auto"/>
            <w:vAlign w:val="center"/>
            <w:hideMark/>
          </w:tcPr>
          <w:p w14:paraId="519B2FA0"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70-≥80</w:t>
            </w:r>
          </w:p>
        </w:tc>
        <w:tc>
          <w:tcPr>
            <w:tcW w:w="1170" w:type="dxa"/>
            <w:tcBorders>
              <w:top w:val="nil"/>
              <w:left w:val="nil"/>
              <w:bottom w:val="single" w:sz="4" w:space="0" w:color="auto"/>
              <w:right w:val="single" w:sz="4" w:space="0" w:color="auto"/>
            </w:tcBorders>
            <w:shd w:val="clear" w:color="auto" w:fill="auto"/>
            <w:vAlign w:val="center"/>
            <w:hideMark/>
          </w:tcPr>
          <w:p w14:paraId="519B2FA1"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bottom"/>
            <w:hideMark/>
          </w:tcPr>
          <w:p w14:paraId="519B2FA2" w14:textId="77777777" w:rsidR="001A7F62" w:rsidRPr="008E63BB" w:rsidRDefault="001A7F62" w:rsidP="00C90BF8">
            <w:pPr>
              <w:jc w:val="center"/>
              <w:rPr>
                <w:rFonts w:eastAsia="Times New Roman"/>
                <w:sz w:val="20"/>
                <w:szCs w:val="20"/>
              </w:rPr>
            </w:pPr>
            <w:r w:rsidRPr="008E63BB">
              <w:rPr>
                <w:rFonts w:eastAsia="Times New Roman"/>
                <w:sz w:val="20"/>
                <w:szCs w:val="20"/>
              </w:rPr>
              <w:t>70</w:t>
            </w:r>
          </w:p>
        </w:tc>
        <w:tc>
          <w:tcPr>
            <w:tcW w:w="720" w:type="dxa"/>
            <w:tcBorders>
              <w:top w:val="nil"/>
              <w:left w:val="nil"/>
              <w:bottom w:val="single" w:sz="4" w:space="0" w:color="auto"/>
              <w:right w:val="single" w:sz="4" w:space="0" w:color="auto"/>
            </w:tcBorders>
            <w:shd w:val="clear" w:color="auto" w:fill="auto"/>
            <w:noWrap/>
            <w:vAlign w:val="bottom"/>
            <w:hideMark/>
          </w:tcPr>
          <w:p w14:paraId="519B2FA3" w14:textId="77777777" w:rsidR="001A7F62" w:rsidRPr="008E63BB" w:rsidRDefault="001A7F62" w:rsidP="00C90BF8">
            <w:pPr>
              <w:jc w:val="right"/>
              <w:rPr>
                <w:rFonts w:eastAsia="Times New Roman"/>
                <w:sz w:val="20"/>
                <w:szCs w:val="20"/>
              </w:rPr>
            </w:pPr>
            <w:r w:rsidRPr="008E63BB">
              <w:rPr>
                <w:rFonts w:eastAsia="Times New Roman"/>
                <w:sz w:val="20"/>
                <w:szCs w:val="20"/>
              </w:rPr>
              <w:t>1,00</w:t>
            </w:r>
          </w:p>
        </w:tc>
      </w:tr>
      <w:tr w:rsidR="001A7F62" w:rsidRPr="008E63BB" w14:paraId="519B2FAB"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A5"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A6" w14:textId="77777777" w:rsidR="001A7F62" w:rsidRPr="008E63BB" w:rsidRDefault="001A7F62" w:rsidP="00C90BF8">
            <w:pPr>
              <w:jc w:val="left"/>
              <w:rPr>
                <w:rFonts w:eastAsia="Times New Roman"/>
                <w:sz w:val="20"/>
                <w:szCs w:val="20"/>
              </w:rPr>
            </w:pPr>
            <w:r w:rsidRPr="008E63BB">
              <w:rPr>
                <w:rFonts w:eastAsia="Times New Roman"/>
                <w:sz w:val="20"/>
                <w:szCs w:val="20"/>
              </w:rPr>
              <w:t>Nhà ở dân cư (%)</w:t>
            </w:r>
          </w:p>
        </w:tc>
        <w:tc>
          <w:tcPr>
            <w:tcW w:w="1833" w:type="dxa"/>
            <w:tcBorders>
              <w:top w:val="nil"/>
              <w:left w:val="nil"/>
              <w:bottom w:val="single" w:sz="4" w:space="0" w:color="auto"/>
              <w:right w:val="single" w:sz="4" w:space="0" w:color="auto"/>
            </w:tcBorders>
            <w:shd w:val="clear" w:color="auto" w:fill="auto"/>
            <w:vAlign w:val="center"/>
            <w:hideMark/>
          </w:tcPr>
          <w:p w14:paraId="519B2FA7"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80-≥90</w:t>
            </w:r>
          </w:p>
        </w:tc>
        <w:tc>
          <w:tcPr>
            <w:tcW w:w="1170" w:type="dxa"/>
            <w:tcBorders>
              <w:top w:val="nil"/>
              <w:left w:val="nil"/>
              <w:bottom w:val="single" w:sz="4" w:space="0" w:color="auto"/>
              <w:right w:val="single" w:sz="4" w:space="0" w:color="auto"/>
            </w:tcBorders>
            <w:shd w:val="clear" w:color="auto" w:fill="auto"/>
            <w:vAlign w:val="center"/>
            <w:hideMark/>
          </w:tcPr>
          <w:p w14:paraId="519B2FA8"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bottom"/>
            <w:hideMark/>
          </w:tcPr>
          <w:p w14:paraId="519B2FA9" w14:textId="77777777" w:rsidR="001A7F62" w:rsidRPr="008E63BB" w:rsidRDefault="001A7F62" w:rsidP="00C90BF8">
            <w:pPr>
              <w:jc w:val="center"/>
              <w:rPr>
                <w:rFonts w:eastAsia="Times New Roman"/>
                <w:sz w:val="20"/>
                <w:szCs w:val="20"/>
              </w:rPr>
            </w:pPr>
            <w:r w:rsidRPr="008E63BB">
              <w:rPr>
                <w:rFonts w:eastAsia="Times New Roman"/>
                <w:sz w:val="20"/>
                <w:szCs w:val="20"/>
              </w:rPr>
              <w:t>80</w:t>
            </w:r>
          </w:p>
        </w:tc>
        <w:tc>
          <w:tcPr>
            <w:tcW w:w="720" w:type="dxa"/>
            <w:tcBorders>
              <w:top w:val="nil"/>
              <w:left w:val="nil"/>
              <w:bottom w:val="single" w:sz="4" w:space="0" w:color="auto"/>
              <w:right w:val="single" w:sz="4" w:space="0" w:color="auto"/>
            </w:tcBorders>
            <w:shd w:val="clear" w:color="auto" w:fill="auto"/>
            <w:noWrap/>
            <w:vAlign w:val="bottom"/>
            <w:hideMark/>
          </w:tcPr>
          <w:p w14:paraId="519B2FAA" w14:textId="77777777" w:rsidR="001A7F62" w:rsidRPr="008E63BB" w:rsidRDefault="001A7F62" w:rsidP="00C90BF8">
            <w:pPr>
              <w:jc w:val="right"/>
              <w:rPr>
                <w:rFonts w:eastAsia="Times New Roman"/>
                <w:sz w:val="20"/>
                <w:szCs w:val="20"/>
              </w:rPr>
            </w:pPr>
            <w:r w:rsidRPr="008E63BB">
              <w:rPr>
                <w:rFonts w:eastAsia="Times New Roman"/>
                <w:sz w:val="20"/>
                <w:szCs w:val="20"/>
              </w:rPr>
              <w:t>1,00</w:t>
            </w:r>
          </w:p>
        </w:tc>
      </w:tr>
      <w:tr w:rsidR="001A7F62" w:rsidRPr="008E63BB" w14:paraId="519B2FB2"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AC"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5.B.2</w:t>
            </w:r>
          </w:p>
        </w:tc>
        <w:tc>
          <w:tcPr>
            <w:tcW w:w="2738" w:type="dxa"/>
            <w:tcBorders>
              <w:top w:val="nil"/>
              <w:left w:val="nil"/>
              <w:bottom w:val="single" w:sz="4" w:space="0" w:color="auto"/>
              <w:right w:val="single" w:sz="4" w:space="0" w:color="auto"/>
            </w:tcBorders>
            <w:shd w:val="clear" w:color="auto" w:fill="auto"/>
            <w:vAlign w:val="center"/>
            <w:hideMark/>
          </w:tcPr>
          <w:p w14:paraId="519B2FAD"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Nhóm các tiêu chuẩn về hạ tầng kỹ thuật</w:t>
            </w:r>
          </w:p>
        </w:tc>
        <w:tc>
          <w:tcPr>
            <w:tcW w:w="1833" w:type="dxa"/>
            <w:tcBorders>
              <w:top w:val="nil"/>
              <w:left w:val="nil"/>
              <w:bottom w:val="single" w:sz="4" w:space="0" w:color="auto"/>
              <w:right w:val="single" w:sz="4" w:space="0" w:color="auto"/>
            </w:tcBorders>
            <w:shd w:val="clear" w:color="auto" w:fill="auto"/>
            <w:vAlign w:val="center"/>
            <w:hideMark/>
          </w:tcPr>
          <w:p w14:paraId="519B2FAE"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1170" w:type="dxa"/>
            <w:tcBorders>
              <w:top w:val="nil"/>
              <w:left w:val="nil"/>
              <w:bottom w:val="single" w:sz="4" w:space="0" w:color="auto"/>
              <w:right w:val="single" w:sz="4" w:space="0" w:color="auto"/>
            </w:tcBorders>
            <w:shd w:val="clear" w:color="auto" w:fill="auto"/>
            <w:vAlign w:val="center"/>
            <w:hideMark/>
          </w:tcPr>
          <w:p w14:paraId="519B2FAF"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3,0-4</w:t>
            </w:r>
          </w:p>
        </w:tc>
        <w:tc>
          <w:tcPr>
            <w:tcW w:w="1890" w:type="dxa"/>
            <w:tcBorders>
              <w:top w:val="nil"/>
              <w:left w:val="nil"/>
              <w:bottom w:val="single" w:sz="4" w:space="0" w:color="auto"/>
              <w:right w:val="single" w:sz="4" w:space="0" w:color="auto"/>
            </w:tcBorders>
            <w:shd w:val="clear" w:color="auto" w:fill="auto"/>
            <w:noWrap/>
            <w:vAlign w:val="bottom"/>
            <w:hideMark/>
          </w:tcPr>
          <w:p w14:paraId="519B2FB0" w14:textId="77777777" w:rsidR="001A7F62" w:rsidRPr="008E63BB" w:rsidRDefault="001A7F62" w:rsidP="00C90BF8">
            <w:pPr>
              <w:jc w:val="center"/>
              <w:rPr>
                <w:rFonts w:eastAsia="Times New Roman"/>
                <w:sz w:val="20"/>
                <w:szCs w:val="20"/>
              </w:rPr>
            </w:pPr>
            <w:r w:rsidRPr="008E63BB">
              <w:rPr>
                <w:rFonts w:eastAsia="Times New Roman"/>
                <w:sz w:val="20"/>
                <w:szCs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19B2FB1"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4,00</w:t>
            </w:r>
          </w:p>
        </w:tc>
      </w:tr>
      <w:tr w:rsidR="001A7F62" w:rsidRPr="008E63BB" w14:paraId="519B2FB9"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B3"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B4" w14:textId="77777777" w:rsidR="001A7F62" w:rsidRPr="008E63BB" w:rsidRDefault="001A7F62" w:rsidP="00C90BF8">
            <w:pPr>
              <w:jc w:val="left"/>
              <w:rPr>
                <w:rFonts w:eastAsia="Times New Roman"/>
                <w:sz w:val="20"/>
                <w:szCs w:val="20"/>
              </w:rPr>
            </w:pPr>
            <w:r w:rsidRPr="008E63BB">
              <w:rPr>
                <w:rFonts w:eastAsia="Times New Roman"/>
                <w:sz w:val="20"/>
                <w:szCs w:val="20"/>
              </w:rPr>
              <w:t>Giao thông (%)</w:t>
            </w:r>
          </w:p>
        </w:tc>
        <w:tc>
          <w:tcPr>
            <w:tcW w:w="1833" w:type="dxa"/>
            <w:tcBorders>
              <w:top w:val="nil"/>
              <w:left w:val="nil"/>
              <w:bottom w:val="single" w:sz="4" w:space="0" w:color="auto"/>
              <w:right w:val="single" w:sz="4" w:space="0" w:color="auto"/>
            </w:tcBorders>
            <w:shd w:val="clear" w:color="auto" w:fill="auto"/>
            <w:vAlign w:val="center"/>
            <w:hideMark/>
          </w:tcPr>
          <w:p w14:paraId="519B2FB5"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50-≥60</w:t>
            </w:r>
          </w:p>
        </w:tc>
        <w:tc>
          <w:tcPr>
            <w:tcW w:w="1170" w:type="dxa"/>
            <w:tcBorders>
              <w:top w:val="nil"/>
              <w:left w:val="nil"/>
              <w:bottom w:val="single" w:sz="4" w:space="0" w:color="auto"/>
              <w:right w:val="single" w:sz="4" w:space="0" w:color="auto"/>
            </w:tcBorders>
            <w:shd w:val="clear" w:color="auto" w:fill="auto"/>
            <w:vAlign w:val="center"/>
            <w:hideMark/>
          </w:tcPr>
          <w:p w14:paraId="519B2FB6" w14:textId="77777777" w:rsidR="001A7F62" w:rsidRPr="008E63BB" w:rsidRDefault="001A7F62" w:rsidP="00C90BF8">
            <w:pPr>
              <w:jc w:val="center"/>
              <w:rPr>
                <w:rFonts w:eastAsia="Times New Roman"/>
                <w:sz w:val="20"/>
                <w:szCs w:val="20"/>
              </w:rPr>
            </w:pPr>
            <w:r w:rsidRPr="008E63BB">
              <w:rPr>
                <w:rFonts w:eastAsia="Times New Roman"/>
                <w:sz w:val="20"/>
                <w:szCs w:val="20"/>
              </w:rPr>
              <w:t>2,25-3</w:t>
            </w:r>
          </w:p>
        </w:tc>
        <w:tc>
          <w:tcPr>
            <w:tcW w:w="1890" w:type="dxa"/>
            <w:tcBorders>
              <w:top w:val="nil"/>
              <w:left w:val="nil"/>
              <w:bottom w:val="single" w:sz="4" w:space="0" w:color="auto"/>
              <w:right w:val="single" w:sz="4" w:space="0" w:color="auto"/>
            </w:tcBorders>
            <w:shd w:val="clear" w:color="auto" w:fill="auto"/>
            <w:noWrap/>
            <w:vAlign w:val="bottom"/>
            <w:hideMark/>
          </w:tcPr>
          <w:p w14:paraId="519B2FB7" w14:textId="77777777" w:rsidR="001A7F62" w:rsidRPr="008E63BB" w:rsidRDefault="001A7F62" w:rsidP="00C90BF8">
            <w:pPr>
              <w:jc w:val="center"/>
              <w:rPr>
                <w:rFonts w:eastAsia="Times New Roman"/>
                <w:sz w:val="20"/>
                <w:szCs w:val="20"/>
              </w:rPr>
            </w:pPr>
            <w:r w:rsidRPr="008E63BB">
              <w:rPr>
                <w:rFonts w:eastAsia="Times New Roman"/>
                <w:sz w:val="20"/>
                <w:szCs w:val="20"/>
              </w:rPr>
              <w:t>60</w:t>
            </w:r>
          </w:p>
        </w:tc>
        <w:tc>
          <w:tcPr>
            <w:tcW w:w="720" w:type="dxa"/>
            <w:tcBorders>
              <w:top w:val="nil"/>
              <w:left w:val="nil"/>
              <w:bottom w:val="single" w:sz="4" w:space="0" w:color="auto"/>
              <w:right w:val="single" w:sz="4" w:space="0" w:color="auto"/>
            </w:tcBorders>
            <w:shd w:val="clear" w:color="auto" w:fill="auto"/>
            <w:noWrap/>
            <w:vAlign w:val="bottom"/>
            <w:hideMark/>
          </w:tcPr>
          <w:p w14:paraId="519B2FB8" w14:textId="77777777" w:rsidR="001A7F62" w:rsidRPr="008E63BB" w:rsidRDefault="001A7F62" w:rsidP="00C90BF8">
            <w:pPr>
              <w:jc w:val="right"/>
              <w:rPr>
                <w:rFonts w:eastAsia="Times New Roman"/>
                <w:sz w:val="20"/>
                <w:szCs w:val="20"/>
              </w:rPr>
            </w:pPr>
            <w:r w:rsidRPr="008E63BB">
              <w:rPr>
                <w:rFonts w:eastAsia="Times New Roman"/>
                <w:sz w:val="20"/>
                <w:szCs w:val="20"/>
              </w:rPr>
              <w:t>3,00</w:t>
            </w:r>
          </w:p>
        </w:tc>
      </w:tr>
      <w:tr w:rsidR="001A7F62" w:rsidRPr="008E63BB" w14:paraId="519B2FC0" w14:textId="77777777" w:rsidTr="00C90BF8">
        <w:trPr>
          <w:trHeight w:val="360"/>
        </w:trPr>
        <w:tc>
          <w:tcPr>
            <w:tcW w:w="801" w:type="dxa"/>
            <w:tcBorders>
              <w:top w:val="nil"/>
              <w:left w:val="single" w:sz="4" w:space="0" w:color="auto"/>
              <w:bottom w:val="single" w:sz="4" w:space="0" w:color="auto"/>
              <w:right w:val="single" w:sz="4" w:space="0" w:color="auto"/>
            </w:tcBorders>
            <w:shd w:val="clear" w:color="auto" w:fill="auto"/>
            <w:vAlign w:val="center"/>
            <w:hideMark/>
          </w:tcPr>
          <w:p w14:paraId="519B2FBA" w14:textId="77777777" w:rsidR="001A7F62" w:rsidRPr="008E63BB" w:rsidRDefault="001A7F62" w:rsidP="00C90BF8">
            <w:pPr>
              <w:jc w:val="right"/>
              <w:rPr>
                <w:rFonts w:eastAsia="Times New Roman"/>
                <w:i/>
                <w:iCs/>
                <w:sz w:val="20"/>
                <w:szCs w:val="20"/>
              </w:rPr>
            </w:pPr>
            <w:r w:rsidRPr="008E63BB">
              <w:rPr>
                <w:rFonts w:eastAsia="Times New Roman"/>
                <w:i/>
                <w:iCs/>
                <w:sz w:val="20"/>
                <w:szCs w:val="20"/>
              </w:rPr>
              <w:t> </w:t>
            </w:r>
          </w:p>
        </w:tc>
        <w:tc>
          <w:tcPr>
            <w:tcW w:w="2738" w:type="dxa"/>
            <w:tcBorders>
              <w:top w:val="nil"/>
              <w:left w:val="nil"/>
              <w:bottom w:val="single" w:sz="4" w:space="0" w:color="auto"/>
              <w:right w:val="single" w:sz="4" w:space="0" w:color="auto"/>
            </w:tcBorders>
            <w:shd w:val="clear" w:color="auto" w:fill="auto"/>
            <w:vAlign w:val="center"/>
            <w:hideMark/>
          </w:tcPr>
          <w:p w14:paraId="519B2FBB" w14:textId="77777777" w:rsidR="001A7F62" w:rsidRPr="008E63BB" w:rsidRDefault="001A7F62" w:rsidP="00C90BF8">
            <w:pPr>
              <w:jc w:val="left"/>
              <w:rPr>
                <w:rFonts w:eastAsia="Times New Roman"/>
                <w:sz w:val="20"/>
                <w:szCs w:val="20"/>
              </w:rPr>
            </w:pPr>
            <w:r w:rsidRPr="008E63BB">
              <w:rPr>
                <w:rFonts w:eastAsia="Times New Roman"/>
                <w:sz w:val="20"/>
                <w:szCs w:val="20"/>
              </w:rPr>
              <w:t>Điện (%)</w:t>
            </w:r>
          </w:p>
        </w:tc>
        <w:tc>
          <w:tcPr>
            <w:tcW w:w="1833" w:type="dxa"/>
            <w:tcBorders>
              <w:top w:val="nil"/>
              <w:left w:val="nil"/>
              <w:bottom w:val="single" w:sz="4" w:space="0" w:color="auto"/>
              <w:right w:val="single" w:sz="4" w:space="0" w:color="auto"/>
            </w:tcBorders>
            <w:shd w:val="clear" w:color="auto" w:fill="auto"/>
            <w:vAlign w:val="center"/>
            <w:hideMark/>
          </w:tcPr>
          <w:p w14:paraId="519B2FBC" w14:textId="77777777" w:rsidR="001A7F62" w:rsidRPr="008E63BB" w:rsidRDefault="001A7F62" w:rsidP="00C90BF8">
            <w:pPr>
              <w:jc w:val="center"/>
              <w:rPr>
                <w:rFonts w:eastAsia="Times New Roman"/>
                <w:i/>
                <w:iCs/>
                <w:sz w:val="20"/>
                <w:szCs w:val="20"/>
              </w:rPr>
            </w:pPr>
            <w:r w:rsidRPr="008E63BB">
              <w:rPr>
                <w:rFonts w:eastAsia="Times New Roman"/>
                <w:i/>
                <w:iCs/>
                <w:sz w:val="20"/>
                <w:szCs w:val="20"/>
              </w:rPr>
              <w:t>85-≥90</w:t>
            </w:r>
          </w:p>
        </w:tc>
        <w:tc>
          <w:tcPr>
            <w:tcW w:w="1170" w:type="dxa"/>
            <w:tcBorders>
              <w:top w:val="nil"/>
              <w:left w:val="nil"/>
              <w:bottom w:val="single" w:sz="4" w:space="0" w:color="auto"/>
              <w:right w:val="single" w:sz="4" w:space="0" w:color="auto"/>
            </w:tcBorders>
            <w:shd w:val="clear" w:color="auto" w:fill="auto"/>
            <w:vAlign w:val="center"/>
            <w:hideMark/>
          </w:tcPr>
          <w:p w14:paraId="519B2FBD" w14:textId="77777777" w:rsidR="001A7F62" w:rsidRPr="008E63BB" w:rsidRDefault="001A7F62" w:rsidP="00C90BF8">
            <w:pPr>
              <w:jc w:val="center"/>
              <w:rPr>
                <w:rFonts w:eastAsia="Times New Roman"/>
                <w:sz w:val="20"/>
                <w:szCs w:val="20"/>
              </w:rPr>
            </w:pPr>
            <w:r w:rsidRPr="008E63BB">
              <w:rPr>
                <w:rFonts w:eastAsia="Times New Roman"/>
                <w:sz w:val="20"/>
                <w:szCs w:val="20"/>
              </w:rPr>
              <w:t>0,75-1</w:t>
            </w:r>
          </w:p>
        </w:tc>
        <w:tc>
          <w:tcPr>
            <w:tcW w:w="1890" w:type="dxa"/>
            <w:tcBorders>
              <w:top w:val="nil"/>
              <w:left w:val="nil"/>
              <w:bottom w:val="single" w:sz="4" w:space="0" w:color="auto"/>
              <w:right w:val="single" w:sz="4" w:space="0" w:color="auto"/>
            </w:tcBorders>
            <w:shd w:val="clear" w:color="auto" w:fill="auto"/>
            <w:noWrap/>
            <w:vAlign w:val="center"/>
            <w:hideMark/>
          </w:tcPr>
          <w:p w14:paraId="519B2FBE"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 </w:t>
            </w:r>
          </w:p>
        </w:tc>
        <w:tc>
          <w:tcPr>
            <w:tcW w:w="720" w:type="dxa"/>
            <w:tcBorders>
              <w:top w:val="nil"/>
              <w:left w:val="nil"/>
              <w:bottom w:val="single" w:sz="4" w:space="0" w:color="auto"/>
              <w:right w:val="single" w:sz="4" w:space="0" w:color="auto"/>
            </w:tcBorders>
            <w:shd w:val="clear" w:color="auto" w:fill="auto"/>
            <w:noWrap/>
            <w:vAlign w:val="bottom"/>
            <w:hideMark/>
          </w:tcPr>
          <w:p w14:paraId="519B2FBF" w14:textId="77777777" w:rsidR="001A7F62" w:rsidRPr="008E63BB" w:rsidRDefault="001A7F62" w:rsidP="00C90BF8">
            <w:pPr>
              <w:jc w:val="right"/>
              <w:rPr>
                <w:rFonts w:eastAsia="Times New Roman"/>
                <w:sz w:val="20"/>
                <w:szCs w:val="20"/>
              </w:rPr>
            </w:pPr>
            <w:r w:rsidRPr="008E63BB">
              <w:rPr>
                <w:rFonts w:eastAsia="Times New Roman"/>
                <w:sz w:val="20"/>
                <w:szCs w:val="20"/>
              </w:rPr>
              <w:t>1,00</w:t>
            </w:r>
          </w:p>
        </w:tc>
      </w:tr>
      <w:tr w:rsidR="001A7F62" w:rsidRPr="008E63BB" w14:paraId="519B2FC7"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C1"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5.B.3</w:t>
            </w:r>
          </w:p>
        </w:tc>
        <w:tc>
          <w:tcPr>
            <w:tcW w:w="2738" w:type="dxa"/>
            <w:tcBorders>
              <w:top w:val="nil"/>
              <w:left w:val="nil"/>
              <w:bottom w:val="single" w:sz="4" w:space="0" w:color="auto"/>
              <w:right w:val="single" w:sz="4" w:space="0" w:color="auto"/>
            </w:tcBorders>
            <w:shd w:val="clear" w:color="auto" w:fill="auto"/>
            <w:vAlign w:val="center"/>
            <w:hideMark/>
          </w:tcPr>
          <w:p w14:paraId="519B2FC2"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Nhóm các tiêu chuẩn về môi trường (%)</w:t>
            </w:r>
          </w:p>
        </w:tc>
        <w:tc>
          <w:tcPr>
            <w:tcW w:w="1833" w:type="dxa"/>
            <w:tcBorders>
              <w:top w:val="nil"/>
              <w:left w:val="nil"/>
              <w:bottom w:val="single" w:sz="4" w:space="0" w:color="auto"/>
              <w:right w:val="single" w:sz="4" w:space="0" w:color="auto"/>
            </w:tcBorders>
            <w:shd w:val="clear" w:color="auto" w:fill="auto"/>
            <w:noWrap/>
            <w:vAlign w:val="center"/>
            <w:hideMark/>
          </w:tcPr>
          <w:p w14:paraId="519B2FC3"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65-≥70</w:t>
            </w:r>
          </w:p>
        </w:tc>
        <w:tc>
          <w:tcPr>
            <w:tcW w:w="1170" w:type="dxa"/>
            <w:tcBorders>
              <w:top w:val="nil"/>
              <w:left w:val="nil"/>
              <w:bottom w:val="single" w:sz="4" w:space="0" w:color="auto"/>
              <w:right w:val="single" w:sz="4" w:space="0" w:color="auto"/>
            </w:tcBorders>
            <w:shd w:val="clear" w:color="auto" w:fill="auto"/>
            <w:noWrap/>
            <w:vAlign w:val="center"/>
            <w:hideMark/>
          </w:tcPr>
          <w:p w14:paraId="519B2FC4"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1,5-2</w:t>
            </w:r>
          </w:p>
        </w:tc>
        <w:tc>
          <w:tcPr>
            <w:tcW w:w="1890" w:type="dxa"/>
            <w:tcBorders>
              <w:top w:val="nil"/>
              <w:left w:val="nil"/>
              <w:bottom w:val="single" w:sz="4" w:space="0" w:color="auto"/>
              <w:right w:val="single" w:sz="4" w:space="0" w:color="auto"/>
            </w:tcBorders>
            <w:shd w:val="clear" w:color="auto" w:fill="auto"/>
            <w:noWrap/>
            <w:vAlign w:val="bottom"/>
            <w:hideMark/>
          </w:tcPr>
          <w:p w14:paraId="519B2FC5" w14:textId="77777777" w:rsidR="001A7F62" w:rsidRPr="008E63BB" w:rsidRDefault="001A7F62" w:rsidP="00C90BF8">
            <w:pPr>
              <w:jc w:val="center"/>
              <w:rPr>
                <w:rFonts w:eastAsia="Times New Roman"/>
                <w:sz w:val="20"/>
                <w:szCs w:val="20"/>
              </w:rPr>
            </w:pPr>
            <w:r w:rsidRPr="008E63BB">
              <w:rPr>
                <w:rFonts w:eastAsia="Times New Roman"/>
                <w:sz w:val="20"/>
                <w:szCs w:val="20"/>
              </w:rPr>
              <w:t>65</w:t>
            </w:r>
          </w:p>
        </w:tc>
        <w:tc>
          <w:tcPr>
            <w:tcW w:w="720" w:type="dxa"/>
            <w:tcBorders>
              <w:top w:val="nil"/>
              <w:left w:val="nil"/>
              <w:bottom w:val="single" w:sz="4" w:space="0" w:color="auto"/>
              <w:right w:val="single" w:sz="4" w:space="0" w:color="auto"/>
            </w:tcBorders>
            <w:shd w:val="clear" w:color="auto" w:fill="auto"/>
            <w:noWrap/>
            <w:vAlign w:val="bottom"/>
            <w:hideMark/>
          </w:tcPr>
          <w:p w14:paraId="519B2FC6" w14:textId="77777777" w:rsidR="001A7F62" w:rsidRPr="008E63BB" w:rsidRDefault="001A7F62" w:rsidP="00C90BF8">
            <w:pPr>
              <w:jc w:val="right"/>
              <w:rPr>
                <w:rFonts w:eastAsia="Times New Roman"/>
                <w:sz w:val="20"/>
                <w:szCs w:val="20"/>
              </w:rPr>
            </w:pPr>
            <w:r w:rsidRPr="008E63BB">
              <w:rPr>
                <w:rFonts w:eastAsia="Times New Roman"/>
                <w:sz w:val="20"/>
                <w:szCs w:val="20"/>
              </w:rPr>
              <w:t>2,00</w:t>
            </w:r>
          </w:p>
        </w:tc>
      </w:tr>
      <w:tr w:rsidR="001A7F62" w:rsidRPr="008E63BB" w14:paraId="519B2FCE" w14:textId="77777777" w:rsidTr="00C90BF8">
        <w:trPr>
          <w:trHeight w:val="510"/>
        </w:trPr>
        <w:tc>
          <w:tcPr>
            <w:tcW w:w="801" w:type="dxa"/>
            <w:tcBorders>
              <w:top w:val="nil"/>
              <w:left w:val="single" w:sz="4" w:space="0" w:color="auto"/>
              <w:bottom w:val="single" w:sz="4" w:space="0" w:color="auto"/>
              <w:right w:val="single" w:sz="4" w:space="0" w:color="auto"/>
            </w:tcBorders>
            <w:shd w:val="clear" w:color="auto" w:fill="auto"/>
            <w:noWrap/>
            <w:vAlign w:val="center"/>
            <w:hideMark/>
          </w:tcPr>
          <w:p w14:paraId="519B2FC8"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5.B.4</w:t>
            </w:r>
          </w:p>
        </w:tc>
        <w:tc>
          <w:tcPr>
            <w:tcW w:w="2738" w:type="dxa"/>
            <w:tcBorders>
              <w:top w:val="nil"/>
              <w:left w:val="nil"/>
              <w:bottom w:val="single" w:sz="4" w:space="0" w:color="auto"/>
              <w:right w:val="single" w:sz="4" w:space="0" w:color="auto"/>
            </w:tcBorders>
            <w:shd w:val="clear" w:color="auto" w:fill="auto"/>
            <w:vAlign w:val="center"/>
            <w:hideMark/>
          </w:tcPr>
          <w:p w14:paraId="519B2FC9" w14:textId="77777777" w:rsidR="001A7F62" w:rsidRPr="008E63BB" w:rsidRDefault="001A7F62" w:rsidP="00C90BF8">
            <w:pPr>
              <w:jc w:val="left"/>
              <w:rPr>
                <w:rFonts w:eastAsia="Times New Roman"/>
                <w:b/>
                <w:bCs/>
                <w:i/>
                <w:iCs/>
                <w:sz w:val="20"/>
                <w:szCs w:val="20"/>
              </w:rPr>
            </w:pPr>
            <w:r w:rsidRPr="008E63BB">
              <w:rPr>
                <w:rFonts w:eastAsia="Times New Roman"/>
                <w:b/>
                <w:bCs/>
                <w:i/>
                <w:iCs/>
                <w:sz w:val="20"/>
                <w:szCs w:val="20"/>
              </w:rPr>
              <w:t>Nhóm các tiêu chuẩn về kiến trúc, cảnh quan (%)</w:t>
            </w:r>
          </w:p>
        </w:tc>
        <w:tc>
          <w:tcPr>
            <w:tcW w:w="1833" w:type="dxa"/>
            <w:tcBorders>
              <w:top w:val="nil"/>
              <w:left w:val="nil"/>
              <w:bottom w:val="single" w:sz="4" w:space="0" w:color="auto"/>
              <w:right w:val="single" w:sz="4" w:space="0" w:color="auto"/>
            </w:tcBorders>
            <w:shd w:val="clear" w:color="auto" w:fill="auto"/>
            <w:noWrap/>
            <w:vAlign w:val="center"/>
            <w:hideMark/>
          </w:tcPr>
          <w:p w14:paraId="519B2FCA"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80-≥90</w:t>
            </w:r>
          </w:p>
        </w:tc>
        <w:tc>
          <w:tcPr>
            <w:tcW w:w="1170" w:type="dxa"/>
            <w:tcBorders>
              <w:top w:val="nil"/>
              <w:left w:val="nil"/>
              <w:bottom w:val="single" w:sz="4" w:space="0" w:color="auto"/>
              <w:right w:val="single" w:sz="4" w:space="0" w:color="auto"/>
            </w:tcBorders>
            <w:shd w:val="clear" w:color="auto" w:fill="auto"/>
            <w:noWrap/>
            <w:vAlign w:val="center"/>
            <w:hideMark/>
          </w:tcPr>
          <w:p w14:paraId="519B2FCB" w14:textId="77777777" w:rsidR="001A7F62" w:rsidRPr="008E63BB" w:rsidRDefault="001A7F62" w:rsidP="00C90BF8">
            <w:pPr>
              <w:jc w:val="center"/>
              <w:rPr>
                <w:rFonts w:eastAsia="Times New Roman"/>
                <w:b/>
                <w:bCs/>
                <w:i/>
                <w:iCs/>
                <w:sz w:val="20"/>
                <w:szCs w:val="20"/>
              </w:rPr>
            </w:pPr>
            <w:r w:rsidRPr="008E63BB">
              <w:rPr>
                <w:rFonts w:eastAsia="Times New Roman"/>
                <w:b/>
                <w:bCs/>
                <w:i/>
                <w:iCs/>
                <w:sz w:val="20"/>
                <w:szCs w:val="20"/>
              </w:rPr>
              <w:t>1,5-2</w:t>
            </w:r>
          </w:p>
        </w:tc>
        <w:tc>
          <w:tcPr>
            <w:tcW w:w="1890" w:type="dxa"/>
            <w:tcBorders>
              <w:top w:val="nil"/>
              <w:left w:val="nil"/>
              <w:bottom w:val="single" w:sz="4" w:space="0" w:color="auto"/>
              <w:right w:val="single" w:sz="4" w:space="0" w:color="auto"/>
            </w:tcBorders>
            <w:shd w:val="clear" w:color="auto" w:fill="auto"/>
            <w:noWrap/>
            <w:vAlign w:val="bottom"/>
            <w:hideMark/>
          </w:tcPr>
          <w:p w14:paraId="519B2FCC" w14:textId="77777777" w:rsidR="001A7F62" w:rsidRPr="008E63BB" w:rsidRDefault="001A7F62" w:rsidP="00C90BF8">
            <w:pPr>
              <w:jc w:val="center"/>
              <w:rPr>
                <w:rFonts w:eastAsia="Times New Roman"/>
                <w:sz w:val="20"/>
                <w:szCs w:val="20"/>
              </w:rPr>
            </w:pPr>
            <w:r w:rsidRPr="008E63BB">
              <w:rPr>
                <w:rFonts w:eastAsia="Times New Roman"/>
                <w:sz w:val="20"/>
                <w:szCs w:val="20"/>
              </w:rPr>
              <w:t>80</w:t>
            </w:r>
          </w:p>
        </w:tc>
        <w:tc>
          <w:tcPr>
            <w:tcW w:w="720" w:type="dxa"/>
            <w:tcBorders>
              <w:top w:val="nil"/>
              <w:left w:val="nil"/>
              <w:bottom w:val="single" w:sz="4" w:space="0" w:color="auto"/>
              <w:right w:val="single" w:sz="4" w:space="0" w:color="auto"/>
            </w:tcBorders>
            <w:shd w:val="clear" w:color="auto" w:fill="auto"/>
            <w:noWrap/>
            <w:vAlign w:val="bottom"/>
            <w:hideMark/>
          </w:tcPr>
          <w:p w14:paraId="519B2FCD" w14:textId="77777777" w:rsidR="001A7F62" w:rsidRPr="008E63BB" w:rsidRDefault="001A7F62" w:rsidP="00C90BF8">
            <w:pPr>
              <w:jc w:val="right"/>
              <w:rPr>
                <w:rFonts w:eastAsia="Times New Roman"/>
                <w:sz w:val="20"/>
                <w:szCs w:val="20"/>
              </w:rPr>
            </w:pPr>
            <w:r w:rsidRPr="008E63BB">
              <w:rPr>
                <w:rFonts w:eastAsia="Times New Roman"/>
                <w:sz w:val="20"/>
                <w:szCs w:val="20"/>
              </w:rPr>
              <w:t>2,00</w:t>
            </w:r>
          </w:p>
        </w:tc>
      </w:tr>
    </w:tbl>
    <w:p w14:paraId="519B2FCF" w14:textId="77777777" w:rsidR="006A1E15" w:rsidRPr="008E63BB" w:rsidRDefault="006A1E15" w:rsidP="0065184D">
      <w:pPr>
        <w:spacing w:before="60" w:after="60"/>
        <w:ind w:firstLine="720"/>
        <w:rPr>
          <w:szCs w:val="26"/>
        </w:rPr>
      </w:pPr>
      <w:r w:rsidRPr="008E63BB">
        <w:rPr>
          <w:szCs w:val="26"/>
        </w:rPr>
        <w:t xml:space="preserve">Thành phố Nam Định đã được công nhận là đô thị loại I trực thuộc tỉnh Nam Định tại Quyết định số </w:t>
      </w:r>
      <w:r w:rsidRPr="008E63BB">
        <w:t xml:space="preserve">2016/QĐ-TTg ngày 28/11/2011 của Thủ tướng chính phủ. </w:t>
      </w:r>
    </w:p>
    <w:p w14:paraId="519B2FD0" w14:textId="77777777" w:rsidR="006A1E15" w:rsidRPr="008E63BB" w:rsidRDefault="006A1E15" w:rsidP="0065184D">
      <w:pPr>
        <w:spacing w:before="60" w:after="60"/>
        <w:ind w:firstLine="720"/>
        <w:rPr>
          <w:szCs w:val="26"/>
          <w:lang w:val="vi-VN"/>
        </w:rPr>
      </w:pPr>
      <w:r w:rsidRPr="008E63BB">
        <w:rPr>
          <w:lang w:val="vi-VN"/>
        </w:rPr>
        <w:t>Ngày 25/5/2016Ủy ban thường vụ Quốc hội</w:t>
      </w:r>
      <w:r w:rsidRPr="008E63BB">
        <w:t xml:space="preserve"> đã ban hành </w:t>
      </w:r>
      <w:r w:rsidRPr="008E63BB">
        <w:rPr>
          <w:lang w:val="vi-VN"/>
        </w:rPr>
        <w:t>Nghị quyết số 1210/2016/UBTVQH13</w:t>
      </w:r>
      <w:r w:rsidRPr="008E63BB">
        <w:t xml:space="preserve"> về phân loại đô thị.</w:t>
      </w:r>
      <w:r w:rsidRPr="008E63BB">
        <w:rPr>
          <w:szCs w:val="26"/>
          <w:lang w:val="vi-VN"/>
        </w:rPr>
        <w:t xml:space="preserve">Đối chiếu, so sánh </w:t>
      </w:r>
      <w:r w:rsidRPr="008E63BB">
        <w:rPr>
          <w:szCs w:val="26"/>
        </w:rPr>
        <w:t xml:space="preserve">hiện trạng thành phố Nam Định </w:t>
      </w:r>
      <w:r w:rsidRPr="008E63BB">
        <w:rPr>
          <w:szCs w:val="26"/>
          <w:lang w:val="vi-VN"/>
        </w:rPr>
        <w:t>với các tiêu chuẩn quy định của đô thị</w:t>
      </w:r>
      <w:r w:rsidRPr="008E63BB">
        <w:rPr>
          <w:szCs w:val="26"/>
        </w:rPr>
        <w:t xml:space="preserve"> loạiItheo Nghị quyết 1210 cho thấy: thành phố còn 15/59 tiêu chuẩn chưa đạt điểm tối đa và </w:t>
      </w:r>
      <w:r w:rsidRPr="008E63BB">
        <w:rPr>
          <w:szCs w:val="26"/>
          <w:lang w:val="vi-VN"/>
        </w:rPr>
        <w:t>06</w:t>
      </w:r>
      <w:r w:rsidRPr="008E63BB">
        <w:rPr>
          <w:szCs w:val="26"/>
        </w:rPr>
        <w:t>/59</w:t>
      </w:r>
      <w:r w:rsidRPr="008E63BB">
        <w:rPr>
          <w:szCs w:val="26"/>
          <w:lang w:val="vi-VN"/>
        </w:rPr>
        <w:t xml:space="preserve"> tiêu chuẩn chưa có điểm. Các tiêu chuẩn chưa có điểm bao gồm tiêu chuẩn về Thu nhập bình quân đầu người (năm) so với cả nước,  quy mô Dân số toàn đô thị, Diện tích sàn nhà ở bình quân cho khu vực nội thị, Công trình văn hóa cấp đô thị, Đất cây xanh toàn đô thị và Đất cây xanh công cộng khu vực nội thành, nội thị.</w:t>
      </w:r>
      <w:r w:rsidR="009A5AF4" w:rsidRPr="008E63BB">
        <w:rPr>
          <w:szCs w:val="26"/>
          <w:lang w:val="vi-VN"/>
        </w:rPr>
        <w:t xml:space="preserve"> Các chỉ tiêu đã đạt điểm vẫn còn ở mức thấp, nhiều chỉ tiêu quan trọng chưa đạt.</w:t>
      </w:r>
    </w:p>
    <w:p w14:paraId="519B2FD1" w14:textId="77777777" w:rsidR="006A1E15" w:rsidRPr="008E63BB" w:rsidRDefault="006A1E15" w:rsidP="0065184D">
      <w:pPr>
        <w:spacing w:before="60" w:after="60"/>
        <w:ind w:firstLine="720"/>
        <w:rPr>
          <w:szCs w:val="26"/>
          <w:lang w:val="vi-VN"/>
        </w:rPr>
      </w:pPr>
      <w:r w:rsidRPr="008E63BB">
        <w:rPr>
          <w:szCs w:val="26"/>
          <w:lang w:val="vi-VN"/>
        </w:rPr>
        <w:t xml:space="preserve">Trong thời gian tới, bên cạnh các giải pháp thúc đẩy phát triển kinh tế xã hội, thành phố cần quy hoạch và đầu tư xây dựng bổ sung các công trình hạ tầng xã hội, hạ tầng kỹ thuật còn thiếu so với tiêu chuẩn đô thị loại I, trong đó ưu tiên các hạng mục cho các tiêu chuẩn chưa có điểm như: phát triển quỹ đất xây dựng nhà ở, xây dựng công trình  văn hóa cấp đô thị (cung văn hóa thành phố), xây dựng thêm các khu công viên cây xanh trong khu vực nội thị…  </w:t>
      </w:r>
    </w:p>
    <w:p w14:paraId="519B2FD2" w14:textId="77777777" w:rsidR="00B9666D" w:rsidRPr="008E63BB" w:rsidRDefault="00B9666D" w:rsidP="0065184D">
      <w:pPr>
        <w:pStyle w:val="Heading2"/>
        <w:spacing w:before="60" w:after="0" w:line="26" w:lineRule="atLeast"/>
        <w:rPr>
          <w:lang w:val="pt-BR"/>
        </w:rPr>
      </w:pPr>
      <w:bookmarkStart w:id="310" w:name="_Toc47524680"/>
      <w:r w:rsidRPr="008E63BB">
        <w:rPr>
          <w:lang w:val="pt-BR"/>
        </w:rPr>
        <w:t>3.</w:t>
      </w:r>
      <w:r w:rsidR="001A7F62" w:rsidRPr="008E63BB">
        <w:rPr>
          <w:lang w:val="pt-BR"/>
        </w:rPr>
        <w:t>5</w:t>
      </w:r>
      <w:r w:rsidRPr="008E63BB">
        <w:rPr>
          <w:lang w:val="pt-BR"/>
        </w:rPr>
        <w:t>. Một số nội dung cần điều chỉnh, bổ sung</w:t>
      </w:r>
      <w:bookmarkEnd w:id="310"/>
    </w:p>
    <w:p w14:paraId="519B2FD3" w14:textId="77777777" w:rsidR="00B9666D" w:rsidRPr="008E63BB" w:rsidRDefault="00B9666D" w:rsidP="0065184D">
      <w:pPr>
        <w:tabs>
          <w:tab w:val="left" w:pos="2464"/>
        </w:tabs>
        <w:ind w:firstLine="720"/>
        <w:rPr>
          <w:iCs/>
          <w:szCs w:val="26"/>
          <w:lang w:val="sv-SE"/>
        </w:rPr>
      </w:pPr>
      <w:r w:rsidRPr="008E63BB">
        <w:rPr>
          <w:iCs/>
          <w:szCs w:val="26"/>
          <w:lang w:val="sv-SE"/>
        </w:rPr>
        <w:t xml:space="preserve">Qua rà soát đánh giá cho thấy, quá trình thực hiện quy hoạch, các đồ án quy hoạch phân khu, quy hoạch chi tiết trên địa bàn thành phố được lập đã tuân thủ theo điều chỉnh quy hoạch chung xây dựng thành phố Nam Định đến năm 2025 được Thủ tướng Chính phủ phê duyệt tại Quyết định số 2084/QĐ-TTg ngày 22/11/2011. </w:t>
      </w:r>
    </w:p>
    <w:p w14:paraId="519B2FD4" w14:textId="77777777" w:rsidR="00B9666D" w:rsidRPr="008E63BB" w:rsidRDefault="00B9666D" w:rsidP="0065184D">
      <w:pPr>
        <w:tabs>
          <w:tab w:val="left" w:pos="2464"/>
        </w:tabs>
        <w:ind w:firstLine="720"/>
        <w:rPr>
          <w:iCs/>
          <w:spacing w:val="-2"/>
          <w:szCs w:val="26"/>
          <w:lang w:val="sv-SE"/>
        </w:rPr>
      </w:pPr>
      <w:r w:rsidRPr="008E63BB">
        <w:rPr>
          <w:iCs/>
          <w:spacing w:val="-2"/>
          <w:szCs w:val="26"/>
          <w:lang w:val="sv-SE"/>
        </w:rPr>
        <w:t>Tuy nhiên, trong quá trình triển khai thực hiện theo đồ án QHC 2011 đã bộc lộ một số bất cập, chưa phù hợp với yêu cầu thực tiễn phát triển. Bên cạnh đó, các định hướng quy hoạch quốc gia, vùng và ngành mới phê duyệt cũng có tác động không nhỏ tới định hướng phát triển tổng thể của thành phố. Một số khu vực chức năng đô thị cần được xem xét nghiên cứu điều chỉnh cho phù hợp với nhu cầu đầu tư trong giai đoạn mới.</w:t>
      </w:r>
    </w:p>
    <w:p w14:paraId="519B2FD5" w14:textId="77777777" w:rsidR="00B9666D" w:rsidRPr="008E63BB" w:rsidRDefault="00B9666D" w:rsidP="0065184D">
      <w:pPr>
        <w:tabs>
          <w:tab w:val="left" w:pos="2464"/>
        </w:tabs>
        <w:ind w:firstLine="720"/>
        <w:rPr>
          <w:iCs/>
          <w:szCs w:val="26"/>
          <w:lang w:val="sv-SE"/>
        </w:rPr>
      </w:pPr>
      <w:r w:rsidRPr="008E63BB">
        <w:rPr>
          <w:iCs/>
          <w:szCs w:val="26"/>
          <w:lang w:val="sv-SE"/>
        </w:rPr>
        <w:t>Vì vậy để xây dựng thành phố Nam Định tương xứng với vị thế đô thị loại I, trung tâm vùng Nam đồng bằng sông Hồng; cũng như khai thác, sử dụng hiệu quả quỹ đất trên địa bàn thành phố và tạo nguồn lực phát triển đô thị thì việc điều chỉnh quy hoạch chung xây dựng thành phố Nam Định là hết sức cần thiết.</w:t>
      </w:r>
    </w:p>
    <w:p w14:paraId="519B2FD6" w14:textId="77777777" w:rsidR="00B9666D" w:rsidRPr="008E63BB" w:rsidRDefault="00B9666D" w:rsidP="0065184D">
      <w:pPr>
        <w:tabs>
          <w:tab w:val="left" w:pos="2464"/>
        </w:tabs>
        <w:ind w:firstLine="720"/>
        <w:rPr>
          <w:iCs/>
          <w:szCs w:val="26"/>
          <w:lang w:val="sv-SE"/>
        </w:rPr>
      </w:pPr>
      <w:r w:rsidRPr="008E63BB">
        <w:rPr>
          <w:b/>
          <w:szCs w:val="26"/>
          <w:lang w:val="pt-BR"/>
        </w:rPr>
        <w:lastRenderedPageBreak/>
        <w:t>Một số nội dung cần điều chỉnh, bổ sung:</w:t>
      </w:r>
    </w:p>
    <w:p w14:paraId="519B2FD7" w14:textId="77777777" w:rsidR="00B9666D" w:rsidRPr="008E63BB" w:rsidRDefault="00F8156E" w:rsidP="00F8156E">
      <w:pPr>
        <w:pStyle w:val="-"/>
        <w:numPr>
          <w:ilvl w:val="0"/>
          <w:numId w:val="0"/>
        </w:numPr>
        <w:spacing w:before="0" w:after="0"/>
        <w:ind w:firstLine="709"/>
        <w:rPr>
          <w:lang w:val="sv-SE"/>
        </w:rPr>
      </w:pPr>
      <w:r w:rsidRPr="008E63BB">
        <w:rPr>
          <w:lang w:val="sv-SE"/>
        </w:rPr>
        <w:t xml:space="preserve">- </w:t>
      </w:r>
      <w:r w:rsidR="00B9666D" w:rsidRPr="008E63BB">
        <w:rPr>
          <w:lang w:val="sv-SE"/>
        </w:rPr>
        <w:t>Hệ thống luật, nghị định, thông tư mới cần được cập nhật, bổ sung để QHC thành phố Nam Định trong giai đoạn tới nhằm thuận lợi cho việc quản lý, thu hút đầu tư và xây dựng phát triển cho thành phố;</w:t>
      </w:r>
    </w:p>
    <w:p w14:paraId="519B2FD8" w14:textId="77777777" w:rsidR="00B9666D" w:rsidRPr="008E63BB" w:rsidRDefault="00F8156E" w:rsidP="00F8156E">
      <w:pPr>
        <w:pStyle w:val="-"/>
        <w:numPr>
          <w:ilvl w:val="0"/>
          <w:numId w:val="0"/>
        </w:numPr>
        <w:spacing w:before="0" w:after="0"/>
        <w:ind w:firstLine="709"/>
        <w:rPr>
          <w:lang w:val="sv-SE"/>
        </w:rPr>
      </w:pPr>
      <w:r w:rsidRPr="008E63BB">
        <w:rPr>
          <w:iCs/>
          <w:lang w:val="sv-SE"/>
        </w:rPr>
        <w:t xml:space="preserve">- </w:t>
      </w:r>
      <w:r w:rsidR="00B9666D" w:rsidRPr="008E63BB">
        <w:rPr>
          <w:iCs/>
          <w:lang w:val="sv-SE"/>
        </w:rPr>
        <w:t>Xác định rõ vai trò, vị thế của thành phố trong bối cảnh mới khi các Quy hoạch vùng, các quy hoạch ngành đã và đang được lập và phê duyệt sau khi QHC 2011 được duyệt đã tạo cho thành phố những động lực, những tiềm năng mới để phát triển;</w:t>
      </w:r>
    </w:p>
    <w:p w14:paraId="519B2FD9" w14:textId="77777777" w:rsidR="00B9666D" w:rsidRPr="008E63BB" w:rsidRDefault="00F8156E" w:rsidP="00F8156E">
      <w:pPr>
        <w:pStyle w:val="-"/>
        <w:numPr>
          <w:ilvl w:val="0"/>
          <w:numId w:val="0"/>
        </w:numPr>
        <w:spacing w:before="0" w:after="0"/>
        <w:ind w:firstLine="709"/>
        <w:rPr>
          <w:lang w:val="sv-SE"/>
        </w:rPr>
      </w:pPr>
      <w:r w:rsidRPr="008E63BB">
        <w:rPr>
          <w:lang w:val="sv-SE"/>
        </w:rPr>
        <w:t xml:space="preserve">- </w:t>
      </w:r>
      <w:r w:rsidR="00B9666D" w:rsidRPr="008E63BB">
        <w:rPr>
          <w:lang w:val="sv-SE"/>
        </w:rPr>
        <w:t>Bổ sung thêm tính chất, chức năng và dự báo lại các chỉ tiêu phát triển</w:t>
      </w:r>
      <w:r w:rsidR="003D32D6" w:rsidRPr="008E63BB">
        <w:rPr>
          <w:lang w:val="sv-SE"/>
        </w:rPr>
        <w:t xml:space="preserve"> cho phù hợp với giai đoạn quy hoạch mới</w:t>
      </w:r>
      <w:r w:rsidR="00B9666D" w:rsidRPr="008E63BB">
        <w:rPr>
          <w:lang w:val="sv-SE"/>
        </w:rPr>
        <w:t xml:space="preserve">; </w:t>
      </w:r>
    </w:p>
    <w:p w14:paraId="519B2FDA" w14:textId="77777777" w:rsidR="00B9666D" w:rsidRPr="008E63BB" w:rsidRDefault="00F8156E" w:rsidP="00F8156E">
      <w:pPr>
        <w:pStyle w:val="-"/>
        <w:numPr>
          <w:ilvl w:val="0"/>
          <w:numId w:val="0"/>
        </w:numPr>
        <w:spacing w:before="0" w:after="0"/>
        <w:ind w:firstLine="709"/>
        <w:rPr>
          <w:iCs/>
          <w:spacing w:val="-2"/>
          <w:lang w:val="sv-SE"/>
        </w:rPr>
      </w:pPr>
      <w:r w:rsidRPr="008E63BB">
        <w:rPr>
          <w:iCs/>
          <w:spacing w:val="-2"/>
          <w:lang w:val="sv-SE"/>
        </w:rPr>
        <w:t xml:space="preserve">- </w:t>
      </w:r>
      <w:r w:rsidR="00B9666D" w:rsidRPr="008E63BB">
        <w:rPr>
          <w:iCs/>
          <w:spacing w:val="-2"/>
          <w:lang w:val="sv-SE"/>
        </w:rPr>
        <w:t>Bố trí lại một số chức năng sử dụng đất để đảm bảo khai thác sử dụng hợp lý,  phù hợp với nhu cầu đầu tư và thực tiễn phát triển của thành phố; Xem xét định hướng phát triển không gian thành phố trong bối cảnh mới, đảm bảo các mục tiêu phát triển lâu dài, bền vững. Một số quỹ đất trong đồ án Quy hoạch chung xây dựng đã được duyệt đến nay chưa được khai thác và sử dụng hiệu quả như quỹ đất dành cho trung tâm thể dục thể thao, trung tâm hành chính mới của thành phố, bệnh viện đa khoa tỉnh, khu vực phía Tây Bắc thành phố thuộc huyện Mỹ Lộc...Chức năng một số khu vực không gian công cộng, công viên cây xanh, mặt nước như hồ Đình Ông, hồ Năng Tĩnh… không còn đủ quỹ đất để thực hiện, cần xem xét điều chỉnh bổ sung và cân bằng sử dụng đất các chức năng này;</w:t>
      </w:r>
    </w:p>
    <w:p w14:paraId="519B2FDB" w14:textId="77777777" w:rsidR="00B9666D" w:rsidRPr="008E63BB" w:rsidRDefault="00F8156E" w:rsidP="00F8156E">
      <w:pPr>
        <w:pStyle w:val="-"/>
        <w:numPr>
          <w:ilvl w:val="0"/>
          <w:numId w:val="0"/>
        </w:numPr>
        <w:spacing w:before="0" w:after="0"/>
        <w:ind w:firstLine="709"/>
        <w:rPr>
          <w:lang w:val="sv-SE"/>
        </w:rPr>
      </w:pPr>
      <w:r w:rsidRPr="008E63BB">
        <w:rPr>
          <w:lang w:val="sv-SE"/>
        </w:rPr>
        <w:t xml:space="preserve">- </w:t>
      </w:r>
      <w:r w:rsidR="00B9666D" w:rsidRPr="008E63BB">
        <w:rPr>
          <w:lang w:val="sv-SE"/>
        </w:rPr>
        <w:t xml:space="preserve">Năm 2014, Thủ tướng Chính phủ đã bỏ quy hoạch KCN Thành An (Vụ Bản) </w:t>
      </w:r>
      <w:r w:rsidR="003C0271" w:rsidRPr="008E63BB">
        <w:rPr>
          <w:lang w:val="sv-SE"/>
        </w:rPr>
        <w:t xml:space="preserve">và KCN Nghĩa An </w:t>
      </w:r>
      <w:r w:rsidR="00B9666D" w:rsidRPr="008E63BB">
        <w:rPr>
          <w:lang w:val="sv-SE"/>
        </w:rPr>
        <w:t>ra khỏi quy hoạch phát triển KCN của cả nước, do đó cần nghiên cứu phương án quy hoạch khu vực này cho phù hợp, tránh lãng phí tài nguyên đất;</w:t>
      </w:r>
    </w:p>
    <w:bookmarkEnd w:id="300"/>
    <w:bookmarkEnd w:id="301"/>
    <w:bookmarkEnd w:id="302"/>
    <w:bookmarkEnd w:id="303"/>
    <w:bookmarkEnd w:id="304"/>
    <w:bookmarkEnd w:id="305"/>
    <w:p w14:paraId="519B2FDC" w14:textId="77777777" w:rsidR="00857C52" w:rsidRPr="008E63BB" w:rsidRDefault="00F8156E" w:rsidP="00F8156E">
      <w:pPr>
        <w:pStyle w:val="-"/>
        <w:numPr>
          <w:ilvl w:val="0"/>
          <w:numId w:val="0"/>
        </w:numPr>
        <w:spacing w:before="0" w:after="0"/>
        <w:ind w:firstLine="709"/>
        <w:rPr>
          <w:lang w:val="sv-SE"/>
        </w:rPr>
      </w:pPr>
      <w:r w:rsidRPr="008E63BB">
        <w:rPr>
          <w:lang w:val="sv-SE"/>
        </w:rPr>
        <w:t xml:space="preserve">- </w:t>
      </w:r>
      <w:r w:rsidR="00E81C2F" w:rsidRPr="008E63BB">
        <w:rPr>
          <w:lang w:val="sv-SE"/>
        </w:rPr>
        <w:t>Sa</w:t>
      </w:r>
      <w:r w:rsidR="00857C52" w:rsidRPr="008E63BB">
        <w:rPr>
          <w:lang w:val="sv-SE"/>
        </w:rPr>
        <w:t>u khi hình thành tuyến Đại lộ Thiên Trường (tuyến đường Nam Định – Phủ Lý) tại khu vực phía Tây Bắc Thành phố thuộc địa bàn huyện Mỹ Lộc xuất hiện nhu cầu đầu tư phát triển mạnh dịch vụ thương mại tại các khu vực quỹ đất dành cho dự trữ phát triển trong QHC 2011. Cần xem xét nghiên cứu để có định hướng quy hoạch mới cho khu vực này.</w:t>
      </w:r>
    </w:p>
    <w:p w14:paraId="519B2FDD" w14:textId="77777777" w:rsidR="00B104A3" w:rsidRPr="008E63BB" w:rsidRDefault="00F8156E" w:rsidP="00F8156E">
      <w:pPr>
        <w:pStyle w:val="-"/>
        <w:numPr>
          <w:ilvl w:val="0"/>
          <w:numId w:val="0"/>
        </w:numPr>
        <w:spacing w:before="0" w:after="0"/>
        <w:ind w:firstLine="709"/>
        <w:rPr>
          <w:lang w:val="sv-SE"/>
        </w:rPr>
      </w:pPr>
      <w:r w:rsidRPr="008E63BB">
        <w:rPr>
          <w:lang w:val="sv-SE"/>
        </w:rPr>
        <w:t xml:space="preserve">- </w:t>
      </w:r>
      <w:r w:rsidR="00B104A3" w:rsidRPr="008E63BB">
        <w:rPr>
          <w:lang w:val="sv-SE"/>
        </w:rPr>
        <w:t>Một số dự án vẫn còn khó khăn về giải phóng mặt bằng khiến hiệu quả đầu tư của dự án bị giảm sút, hạ tầng thiếu đồng bộ gây mất mỹ quan đô thị như dự án khu đô thị mới Tây Đông Mạc, ven kênh tiêu T3-11 thuộc dự án khu tái định cư Đông Đông Mạ</w:t>
      </w:r>
      <w:r w:rsidR="00857C52" w:rsidRPr="008E63BB">
        <w:rPr>
          <w:lang w:val="sv-SE"/>
        </w:rPr>
        <w:t>c…</w:t>
      </w:r>
      <w:r w:rsidR="00B104A3" w:rsidRPr="008E63BB">
        <w:rPr>
          <w:lang w:val="sv-SE"/>
        </w:rPr>
        <w:t>;</w:t>
      </w:r>
    </w:p>
    <w:p w14:paraId="519B2FDE" w14:textId="77777777" w:rsidR="0080025C" w:rsidRPr="008E63BB" w:rsidRDefault="00F8156E" w:rsidP="00F8156E">
      <w:pPr>
        <w:pStyle w:val="-"/>
        <w:numPr>
          <w:ilvl w:val="0"/>
          <w:numId w:val="0"/>
        </w:numPr>
        <w:spacing w:before="0" w:after="0"/>
        <w:ind w:firstLine="709"/>
        <w:rPr>
          <w:lang w:val="sv-SE"/>
        </w:rPr>
      </w:pPr>
      <w:r w:rsidRPr="008E63BB">
        <w:rPr>
          <w:lang w:val="sv-SE"/>
        </w:rPr>
        <w:t xml:space="preserve">- </w:t>
      </w:r>
      <w:r w:rsidR="0080025C" w:rsidRPr="008E63BB">
        <w:rPr>
          <w:lang w:val="sv-SE"/>
        </w:rPr>
        <w:t>Cần tập trung chỉnh trang kiến trúc cảnh quan đô thị, phát triển hạ tầng cơ sở, tạo điểm nhấn riêng cho thành phố nhằm thu hút khách du lịch trong và ngoài nước, phát triển du lịch địa phương.</w:t>
      </w:r>
    </w:p>
    <w:p w14:paraId="519B2FDF" w14:textId="77777777" w:rsidR="00B104A3" w:rsidRPr="008E63BB" w:rsidRDefault="00857C52" w:rsidP="00F8156E">
      <w:pPr>
        <w:pStyle w:val="-"/>
        <w:numPr>
          <w:ilvl w:val="0"/>
          <w:numId w:val="0"/>
        </w:numPr>
        <w:spacing w:before="0" w:after="0"/>
        <w:ind w:firstLine="709"/>
        <w:rPr>
          <w:iCs/>
          <w:lang w:val="sv-SE"/>
        </w:rPr>
      </w:pPr>
      <w:r w:rsidRPr="008E63BB">
        <w:rPr>
          <w:lang w:val="sv-SE"/>
        </w:rPr>
        <w:t>Về  hệ thông hạ tầng kỹ thuật:</w:t>
      </w:r>
    </w:p>
    <w:p w14:paraId="519B2FE0" w14:textId="77777777" w:rsidR="00B104A3" w:rsidRPr="008E63BB" w:rsidRDefault="00B104A3" w:rsidP="0065184D">
      <w:pPr>
        <w:tabs>
          <w:tab w:val="left" w:pos="720"/>
        </w:tabs>
        <w:autoSpaceDE w:val="0"/>
        <w:autoSpaceDN w:val="0"/>
        <w:adjustRightInd w:val="0"/>
        <w:rPr>
          <w:lang w:val="sv-SE"/>
        </w:rPr>
      </w:pPr>
      <w:r w:rsidRPr="008E63BB">
        <w:rPr>
          <w:iCs/>
          <w:szCs w:val="26"/>
          <w:lang w:val="sv-SE"/>
        </w:rPr>
        <w:tab/>
        <w:t xml:space="preserve">+ </w:t>
      </w:r>
      <w:r w:rsidRPr="008E63BB">
        <w:rPr>
          <w:lang w:val="sv-SE"/>
        </w:rPr>
        <w:t>Tại một số nút giao thông nội thị xung đột giao thông lớn nên thường xuyên tái diễn tình trạng các phương tiện gây cản trở lẫn nhau và phải lưu thông với tốc độ thấp như: ngã tư Lê Hồng Phong - Hoàng Văn Thụ, ngã tư Trần Hưng Đạo - Trường Chinh, ngã tư Văn Cao - Trần Nhân Tông - Giải Phóng; ngã tư Trần Huy Liệu - Giải Phóng; điểm giao cắt giữa đường sắt và đường Trần Huy Liệu (ghi Nam)... đòi hỏi cần xem xét lại tổng thể hệ thống giao thông đô thị về hướng tuyến, đấu nối cũng như mặt cắt để phù hợp với sự phát triển và nhu cầu giao thông thực tế;</w:t>
      </w:r>
    </w:p>
    <w:p w14:paraId="519B2FE1" w14:textId="77777777" w:rsidR="00B104A3" w:rsidRPr="008E63BB" w:rsidRDefault="00B104A3" w:rsidP="0065184D">
      <w:pPr>
        <w:tabs>
          <w:tab w:val="left" w:pos="720"/>
        </w:tabs>
        <w:autoSpaceDE w:val="0"/>
        <w:autoSpaceDN w:val="0"/>
        <w:adjustRightInd w:val="0"/>
        <w:rPr>
          <w:lang w:val="sv-SE"/>
        </w:rPr>
      </w:pPr>
      <w:r w:rsidRPr="008E63BB">
        <w:rPr>
          <w:lang w:val="sv-SE"/>
        </w:rPr>
        <w:tab/>
        <w:t>+ Hiện nay, cầu Đò Quan nằm trong đô thị đã bị quá tải, cần nghiên cứu bổ sung thêm một số cây cầu kết nối 2 bên bờ sông Đào tạo động lực thúc đẩy phát triển khu vực phía nam nói riêng và toàn thành phố nói chung;</w:t>
      </w:r>
    </w:p>
    <w:p w14:paraId="519B2FE2" w14:textId="77777777" w:rsidR="00B104A3" w:rsidRPr="008E63BB" w:rsidRDefault="00B104A3" w:rsidP="0065184D">
      <w:pPr>
        <w:tabs>
          <w:tab w:val="left" w:pos="720"/>
        </w:tabs>
        <w:autoSpaceDE w:val="0"/>
        <w:autoSpaceDN w:val="0"/>
        <w:adjustRightInd w:val="0"/>
        <w:rPr>
          <w:lang w:val="sv-SE"/>
        </w:rPr>
      </w:pPr>
      <w:r w:rsidRPr="008E63BB">
        <w:rPr>
          <w:lang w:val="sv-SE"/>
        </w:rPr>
        <w:tab/>
        <w:t xml:space="preserve">+ Một số tuyến đường quy hoạch theo QHC 2011 không khả thi cần xem xét lại: Tuyến đường Lê Hồng Phong, đường Phạm Ngũ Lão QH mở kết nối vào trung tâm đi qua khu đô thị dệt may và kết nối ra đường Trần Nhân Tông, Ngõ 418 từ đường Điện </w:t>
      </w:r>
      <w:r w:rsidRPr="008E63BB">
        <w:rPr>
          <w:lang w:val="sv-SE"/>
        </w:rPr>
        <w:lastRenderedPageBreak/>
        <w:t>Biên kết nối vào khu đô thị Hòa Vượng và nhiều tuyến đường trong trung tâm QH mở rộng rất khó thực hiện;</w:t>
      </w:r>
    </w:p>
    <w:p w14:paraId="519B2FE3" w14:textId="77777777" w:rsidR="008A1EBD" w:rsidRPr="008E63BB" w:rsidRDefault="00B104A3" w:rsidP="0065184D">
      <w:pPr>
        <w:tabs>
          <w:tab w:val="left" w:pos="720"/>
        </w:tabs>
        <w:autoSpaceDE w:val="0"/>
        <w:autoSpaceDN w:val="0"/>
        <w:adjustRightInd w:val="0"/>
        <w:rPr>
          <w:lang w:val="sv-SE"/>
        </w:rPr>
      </w:pPr>
      <w:r w:rsidRPr="008E63BB">
        <w:rPr>
          <w:lang w:val="sv-SE"/>
        </w:rPr>
        <w:tab/>
        <w:t>+ Tuyến đường dẫn cầu Tân Phong đã hình thành, dự án đường trục phía Nam đang thực hiện cũng tác động nhiều đến phương án điều chỉnh quy hoạch chung;</w:t>
      </w:r>
    </w:p>
    <w:p w14:paraId="519B2FE4" w14:textId="77777777" w:rsidR="008A1EBD" w:rsidRPr="008E63BB" w:rsidRDefault="008A1EBD" w:rsidP="008A1EBD">
      <w:pPr>
        <w:ind w:firstLine="720"/>
        <w:rPr>
          <w:iCs/>
          <w:szCs w:val="26"/>
          <w:lang w:val="sv-SE"/>
        </w:rPr>
      </w:pPr>
      <w:r w:rsidRPr="008E63BB">
        <w:rPr>
          <w:iCs/>
          <w:szCs w:val="26"/>
          <w:lang w:val="sv-SE"/>
        </w:rPr>
        <w:t>+ Bổ sung tuyến đường vành đai để mở rộng không gian phát triển các chức năng mới của thành phố.</w:t>
      </w:r>
    </w:p>
    <w:p w14:paraId="519B2FE5" w14:textId="77777777" w:rsidR="008A1EBD" w:rsidRPr="008E63BB" w:rsidRDefault="008A1EBD" w:rsidP="008A1EBD">
      <w:pPr>
        <w:ind w:firstLine="720"/>
        <w:rPr>
          <w:iCs/>
          <w:szCs w:val="26"/>
          <w:lang w:val="sv-SE"/>
        </w:rPr>
      </w:pPr>
      <w:r w:rsidRPr="008E63BB">
        <w:rPr>
          <w:iCs/>
          <w:szCs w:val="26"/>
          <w:lang w:val="sv-SE"/>
        </w:rPr>
        <w:t>+  Bổ sung kết nối giao thông hướng đô thị tới các trung tâm kinh tế biển của tỉnh cũng như kết nối sang Hà Nam và Thái Bình</w:t>
      </w:r>
      <w:r w:rsidR="002C2B68" w:rsidRPr="008E63BB">
        <w:rPr>
          <w:iCs/>
          <w:szCs w:val="26"/>
          <w:lang w:val="sv-SE"/>
        </w:rPr>
        <w:t>.</w:t>
      </w:r>
    </w:p>
    <w:p w14:paraId="519B2FE6" w14:textId="77777777" w:rsidR="00B104A3" w:rsidRPr="008E63BB" w:rsidRDefault="008A1EBD" w:rsidP="0065184D">
      <w:pPr>
        <w:tabs>
          <w:tab w:val="left" w:pos="720"/>
        </w:tabs>
        <w:autoSpaceDE w:val="0"/>
        <w:autoSpaceDN w:val="0"/>
        <w:adjustRightInd w:val="0"/>
        <w:rPr>
          <w:lang w:val="sv-SE"/>
        </w:rPr>
      </w:pPr>
      <w:r w:rsidRPr="008E63BB">
        <w:rPr>
          <w:lang w:val="sv-SE"/>
        </w:rPr>
        <w:tab/>
        <w:t>+ Tăng kết nối đô thị cũ với đô thị mới Nam sông Đào bằng hệ thống cầu</w:t>
      </w:r>
      <w:r w:rsidR="002C2B68" w:rsidRPr="008E63BB">
        <w:rPr>
          <w:lang w:val="sv-SE"/>
        </w:rPr>
        <w:t xml:space="preserve"> qua sông Đào.</w:t>
      </w:r>
    </w:p>
    <w:p w14:paraId="519B2FE7" w14:textId="77777777" w:rsidR="008A1EBD" w:rsidRPr="008E63BB" w:rsidRDefault="008A1EBD" w:rsidP="0065184D">
      <w:pPr>
        <w:tabs>
          <w:tab w:val="left" w:pos="720"/>
        </w:tabs>
        <w:autoSpaceDE w:val="0"/>
        <w:autoSpaceDN w:val="0"/>
        <w:adjustRightInd w:val="0"/>
        <w:rPr>
          <w:lang w:val="sv-SE"/>
        </w:rPr>
      </w:pPr>
      <w:r w:rsidRPr="008E63BB">
        <w:rPr>
          <w:lang w:val="sv-SE"/>
        </w:rPr>
        <w:tab/>
        <w:t>+ Xây dựng các khu đô thị mới hướng tới đô thị thông minh, ứng phó với BĐKH;</w:t>
      </w:r>
    </w:p>
    <w:p w14:paraId="519B2FE8" w14:textId="77777777" w:rsidR="002C2B68" w:rsidRPr="008E63BB" w:rsidRDefault="00B104A3" w:rsidP="008A1EBD">
      <w:pPr>
        <w:ind w:firstLine="720"/>
        <w:rPr>
          <w:iCs/>
          <w:szCs w:val="26"/>
          <w:lang w:val="sv-SE"/>
        </w:rPr>
      </w:pPr>
      <w:r w:rsidRPr="008E63BB">
        <w:rPr>
          <w:iCs/>
          <w:szCs w:val="26"/>
          <w:lang w:val="sv-SE"/>
        </w:rPr>
        <w:t>+</w:t>
      </w:r>
      <w:r w:rsidR="00857C52" w:rsidRPr="008E63BB">
        <w:rPr>
          <w:iCs/>
          <w:szCs w:val="26"/>
          <w:lang w:val="sv-SE"/>
        </w:rPr>
        <w:t>Một số công trình hạ tầng kỹ thuật đầu mối cần được xem xét lại cho phù hợp với các quy hoạch chuyên ngành mới được phê duyệ</w:t>
      </w:r>
      <w:r w:rsidR="008A1EBD" w:rsidRPr="008E63BB">
        <w:rPr>
          <w:iCs/>
          <w:szCs w:val="26"/>
          <w:lang w:val="sv-SE"/>
        </w:rPr>
        <w:t xml:space="preserve">t; </w:t>
      </w:r>
    </w:p>
    <w:p w14:paraId="519B2FE9" w14:textId="77777777" w:rsidR="002C2B68" w:rsidRPr="008E63BB" w:rsidRDefault="002C2B68" w:rsidP="002C2B68">
      <w:pPr>
        <w:ind w:firstLine="720"/>
        <w:rPr>
          <w:iCs/>
          <w:szCs w:val="26"/>
          <w:lang w:val="sv-SE"/>
        </w:rPr>
      </w:pPr>
      <w:r w:rsidRPr="008E63BB">
        <w:rPr>
          <w:iCs/>
          <w:szCs w:val="26"/>
          <w:lang w:val="sv-SE"/>
        </w:rPr>
        <w:t xml:space="preserve">+ </w:t>
      </w:r>
      <w:r w:rsidR="00B104A3" w:rsidRPr="008E63BB">
        <w:rPr>
          <w:iCs/>
          <w:szCs w:val="26"/>
          <w:lang w:val="sv-SE"/>
        </w:rPr>
        <w:t>Điều chỉnh định hướng nguồn nước cấp cho thành phố, nâng công suất nhà máy nước thành phố Nam Định cũng như định hướng xây dựng nhà máy nước mới cho thành phố;</w:t>
      </w:r>
    </w:p>
    <w:p w14:paraId="519B2FEA" w14:textId="77777777" w:rsidR="0092426D" w:rsidRPr="008E63BB" w:rsidRDefault="002C2B68" w:rsidP="002C2B68">
      <w:pPr>
        <w:ind w:firstLine="720"/>
        <w:rPr>
          <w:lang w:val="pt-BR"/>
        </w:rPr>
      </w:pPr>
      <w:r w:rsidRPr="008E63BB">
        <w:rPr>
          <w:iCs/>
          <w:szCs w:val="26"/>
          <w:lang w:val="sv-SE"/>
        </w:rPr>
        <w:t xml:space="preserve">+ </w:t>
      </w:r>
      <w:r w:rsidR="00B104A3" w:rsidRPr="008E63BB">
        <w:rPr>
          <w:lang w:val="sv-SE"/>
        </w:rPr>
        <w:t>Cập nhật kịch bản biến đổi khí hậu cũng như các vấn đề môi trường của thành phố Nam Định và vùng lân cận trong tình hình mới để từ đó có đánh giá môi trường chiến lược phù hợp</w:t>
      </w:r>
    </w:p>
    <w:p w14:paraId="25AE3430" w14:textId="77777777" w:rsidR="00503BB2" w:rsidRDefault="00503BB2">
      <w:pPr>
        <w:jc w:val="left"/>
        <w:rPr>
          <w:rFonts w:eastAsia="Times New Roman"/>
          <w:b/>
          <w:bCs/>
          <w:kern w:val="32"/>
          <w:sz w:val="24"/>
          <w:szCs w:val="24"/>
          <w:lang w:val="de-DE"/>
        </w:rPr>
      </w:pPr>
      <w:bookmarkStart w:id="311" w:name="_Toc330799165"/>
      <w:bookmarkStart w:id="312" w:name="_Toc341519044"/>
      <w:bookmarkStart w:id="313" w:name="_Toc341519145"/>
      <w:bookmarkStart w:id="314" w:name="_Toc344928457"/>
      <w:bookmarkStart w:id="315" w:name="_Toc345538365"/>
      <w:bookmarkStart w:id="316" w:name="_Toc47524681"/>
      <w:r>
        <w:rPr>
          <w:lang w:val="de-DE"/>
        </w:rPr>
        <w:br w:type="page"/>
      </w:r>
    </w:p>
    <w:p w14:paraId="519B2FEB" w14:textId="43516C22" w:rsidR="00630FE1" w:rsidRPr="008E63BB" w:rsidRDefault="00630FE1" w:rsidP="0065184D">
      <w:pPr>
        <w:pStyle w:val="Heading1"/>
        <w:spacing w:before="60" w:after="0" w:line="26" w:lineRule="atLeast"/>
        <w:rPr>
          <w:lang w:val="de-DE"/>
        </w:rPr>
      </w:pPr>
      <w:r w:rsidRPr="008E63BB">
        <w:rPr>
          <w:lang w:val="de-DE"/>
        </w:rPr>
        <w:lastRenderedPageBreak/>
        <w:t xml:space="preserve">IV. </w:t>
      </w:r>
      <w:r w:rsidR="00E71EF0" w:rsidRPr="008E63BB">
        <w:rPr>
          <w:lang w:val="de-DE"/>
        </w:rPr>
        <w:t>PHẦN 4</w:t>
      </w:r>
      <w:r w:rsidRPr="008E63BB">
        <w:rPr>
          <w:lang w:val="de-DE"/>
        </w:rPr>
        <w:t xml:space="preserve">: </w:t>
      </w:r>
      <w:bookmarkEnd w:id="311"/>
      <w:r w:rsidR="00A4345F" w:rsidRPr="008E63BB">
        <w:rPr>
          <w:lang w:val="de-DE"/>
        </w:rPr>
        <w:t>TIỀN ĐỀ PHÁT TRIỂN ĐÔ THỊ VÀ CÁC DỰ BÁO PHÁT TRIỂN</w:t>
      </w:r>
      <w:bookmarkEnd w:id="312"/>
      <w:bookmarkEnd w:id="313"/>
      <w:bookmarkEnd w:id="314"/>
      <w:bookmarkEnd w:id="315"/>
      <w:bookmarkEnd w:id="316"/>
    </w:p>
    <w:p w14:paraId="519B2FEC" w14:textId="77777777" w:rsidR="005E2502" w:rsidRPr="008E63BB" w:rsidRDefault="005E2502" w:rsidP="0065184D">
      <w:pPr>
        <w:pStyle w:val="Heading2"/>
        <w:spacing w:before="60" w:after="0" w:line="26" w:lineRule="atLeast"/>
        <w:rPr>
          <w:lang w:val="sv-SE"/>
        </w:rPr>
      </w:pPr>
      <w:bookmarkStart w:id="317" w:name="_Toc47524682"/>
      <w:bookmarkStart w:id="318" w:name="_Toc341519045"/>
      <w:bookmarkStart w:id="319" w:name="_Toc341519146"/>
      <w:bookmarkStart w:id="320" w:name="_Toc344928458"/>
      <w:bookmarkStart w:id="321" w:name="_Toc345538366"/>
      <w:r w:rsidRPr="008E63BB">
        <w:rPr>
          <w:lang w:val="sv-SE"/>
        </w:rPr>
        <w:t>4.1. Vai trò, vị thế của thành phố</w:t>
      </w:r>
      <w:bookmarkEnd w:id="317"/>
    </w:p>
    <w:p w14:paraId="519B2FED" w14:textId="77777777" w:rsidR="00613537" w:rsidRPr="008E63BB" w:rsidRDefault="00613537" w:rsidP="00613537">
      <w:pPr>
        <w:rPr>
          <w:b/>
          <w:i/>
          <w:lang w:val="it-IT"/>
        </w:rPr>
      </w:pPr>
      <w:r w:rsidRPr="008E63BB">
        <w:rPr>
          <w:b/>
          <w:i/>
          <w:lang w:val="it-IT"/>
        </w:rPr>
        <w:t xml:space="preserve">4.1.1. Vị trí và mối liên hệ vùng </w:t>
      </w:r>
    </w:p>
    <w:p w14:paraId="519B2FEE" w14:textId="77777777" w:rsidR="005E2502" w:rsidRPr="008E63BB" w:rsidRDefault="005E2502" w:rsidP="0065184D">
      <w:pPr>
        <w:spacing w:before="60" w:line="26" w:lineRule="atLeast"/>
        <w:ind w:firstLine="720"/>
        <w:rPr>
          <w:lang w:val="pt-BR"/>
        </w:rPr>
      </w:pPr>
      <w:r w:rsidRPr="008E63BB">
        <w:rPr>
          <w:lang w:val="pt-BR"/>
        </w:rPr>
        <w:t>Thành phố Nam Định có vị trí thuận lợ</w:t>
      </w:r>
      <w:r w:rsidR="007D7F93" w:rsidRPr="008E63BB">
        <w:rPr>
          <w:lang w:val="pt-BR"/>
        </w:rPr>
        <w:t>i trong</w:t>
      </w:r>
      <w:r w:rsidRPr="008E63BB">
        <w:rPr>
          <w:lang w:val="pt-BR"/>
        </w:rPr>
        <w:t xml:space="preserve"> vùng tam giác kinh tế nơi tiếp giáp với nhiều đầu mối giao thông trong và ngoài tỉnh; cách Thủ đô Hà Nội 90 km về phía Tây Bắc, cách cảng Hải Phòng 80 km về phía Đông Bắc và được bao quanh một số tỉnh lị khác như: Thái Bình (19 km); Ninh Bình (28 km), Phủ Lý (30 km); thành phố nằm trong vùng ảnh hưởng của địa bàn kinh tế trọng điểm các tỉnh phía Bắc gồm: Hà Nội, Vĩnh Phúc, Bắc Ninh, Hưng Yên, Hải Dương, Hải Phòng và Quảng Ninh. </w:t>
      </w:r>
      <w:r w:rsidR="007D7F93" w:rsidRPr="008E63BB">
        <w:rPr>
          <w:lang w:val="pt-BR"/>
        </w:rPr>
        <w:t>Nam Định có vị trí quan trọng trong vùng ảnh hưởng của Vùng kinh tế trọng điểm Bắc Bộ và duyên hải Bắc Bộ với vị thế chiến lược trong trục hành lang phát triển kinh tế ven biển của vùng duyên hải Bắc Bộ và chùm đô thị động lực phía Nam đồng bằng sông Hồng.</w:t>
      </w:r>
    </w:p>
    <w:p w14:paraId="519B2FEF" w14:textId="77777777" w:rsidR="005E2502" w:rsidRPr="008E63BB" w:rsidRDefault="005E2502" w:rsidP="0065184D">
      <w:pPr>
        <w:spacing w:before="60" w:line="26" w:lineRule="atLeast"/>
        <w:ind w:firstLine="720"/>
        <w:rPr>
          <w:sz w:val="28"/>
          <w:szCs w:val="26"/>
          <w:lang w:val="pt-BR"/>
        </w:rPr>
      </w:pPr>
      <w:r w:rsidRPr="008E63BB">
        <w:rPr>
          <w:lang w:val="pt-BR"/>
        </w:rPr>
        <w:t xml:space="preserve">Giao thông từ thành phố Nam Định đi các tỉnh lân cận tương đối thuận tiện: Quốc lộ 10 đi các tỉnh Ninh Bình, Thái Bình; Quốc lộ 21, QL21B và QL 38B đi Hà Nam. Ngoài ra việc kết nối từ thành phố Nam Định đến các huyện trong tỉnh bằng các tuyến Quốc lộ và đường tỉnh rất thuận tiện như: QL21 đi qua Thành phố Nam Định đến các huyện Trực Ninh, Xuân Trường, Hải Hậu, ĐT 490C từ thành phố đi các huyện Nam Trực, Nghĩa Hưng…. Thành phố Nam Định còn có tuyến đường sắt Bắc Nam chạy qua. Ga Nam Định là một trong những ga lớn trên tuyến đường sắt, thuận tiện cho hành khách đi đến các thành phố lớn trong cả nước như Huế, </w:t>
      </w:r>
      <w:hyperlink r:id="rId76" w:history="1">
        <w:r w:rsidRPr="008E63BB">
          <w:rPr>
            <w:lang w:val="pt-BR"/>
          </w:rPr>
          <w:t>Đà Nẵng</w:t>
        </w:r>
      </w:hyperlink>
      <w:r w:rsidRPr="008E63BB">
        <w:rPr>
          <w:lang w:val="pt-BR"/>
        </w:rPr>
        <w:t>, Thành phố Hồ Chí Minh</w:t>
      </w:r>
      <w:r w:rsidRPr="008E63BB">
        <w:rPr>
          <w:sz w:val="28"/>
          <w:szCs w:val="26"/>
          <w:lang w:val="pt-BR"/>
        </w:rPr>
        <w:t>.</w:t>
      </w:r>
    </w:p>
    <w:p w14:paraId="519B2FF0" w14:textId="77777777" w:rsidR="005E2502" w:rsidRPr="008E63BB" w:rsidRDefault="005E2502" w:rsidP="0065184D">
      <w:pPr>
        <w:spacing w:before="60" w:line="26" w:lineRule="atLeast"/>
        <w:ind w:firstLine="720"/>
        <w:rPr>
          <w:rFonts w:eastAsia="Times New Roman" w:cs="Arial"/>
          <w:szCs w:val="26"/>
          <w:lang w:val="pt-BR"/>
        </w:rPr>
      </w:pPr>
      <w:r w:rsidRPr="008E63BB">
        <w:rPr>
          <w:rFonts w:eastAsia="Times New Roman" w:cs="Arial"/>
          <w:szCs w:val="26"/>
          <w:lang w:val="pt-BR"/>
        </w:rPr>
        <w:t>Trong tỉnh Nam Định, thành phố Nam Định nằm ở phía Bắc, là cửa ngõ vào tỉnh Nam Định từ phía Thái Bình và là trung tâm kinh tế, chính trị văn hóa của tỉnh.</w:t>
      </w:r>
    </w:p>
    <w:p w14:paraId="519B2FF1" w14:textId="77777777" w:rsidR="007D7F93" w:rsidRPr="008E63BB" w:rsidRDefault="007D7F93" w:rsidP="0065184D">
      <w:pPr>
        <w:spacing w:before="60" w:line="26" w:lineRule="atLeast"/>
        <w:ind w:firstLine="720"/>
        <w:rPr>
          <w:lang w:val="pt-BR"/>
        </w:rPr>
      </w:pPr>
    </w:p>
    <w:tbl>
      <w:tblPr>
        <w:tblW w:w="0" w:type="auto"/>
        <w:tblLook w:val="04A0" w:firstRow="1" w:lastRow="0" w:firstColumn="1" w:lastColumn="0" w:noHBand="0" w:noVBand="1"/>
      </w:tblPr>
      <w:tblGrid>
        <w:gridCol w:w="9257"/>
      </w:tblGrid>
      <w:tr w:rsidR="008D5BFE" w:rsidRPr="008E63BB" w14:paraId="519B2FF3" w14:textId="77777777" w:rsidTr="005E2502">
        <w:tc>
          <w:tcPr>
            <w:tcW w:w="9257" w:type="dxa"/>
            <w:shd w:val="clear" w:color="auto" w:fill="auto"/>
          </w:tcPr>
          <w:p w14:paraId="519B2FF2" w14:textId="194CC3CE" w:rsidR="005E2502" w:rsidRPr="008E63BB" w:rsidRDefault="001C5522" w:rsidP="0065184D">
            <w:pPr>
              <w:jc w:val="center"/>
              <w:rPr>
                <w:rFonts w:eastAsia="Times New Roman" w:cs="Arial"/>
                <w:i/>
                <w:szCs w:val="26"/>
              </w:rPr>
            </w:pPr>
            <w:r>
              <w:rPr>
                <w:rFonts w:eastAsia="Times New Roman" w:cs="Arial"/>
                <w:i/>
                <w:noProof/>
                <w:szCs w:val="26"/>
                <w:lang w:eastAsia="zh-CN"/>
              </w:rPr>
              <w:drawing>
                <wp:inline distT="0" distB="0" distL="0" distR="0" wp14:anchorId="58648FD6" wp14:editId="355A29BA">
                  <wp:extent cx="5390147" cy="4136637"/>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1582" cy="4145413"/>
                          </a:xfrm>
                          <a:prstGeom prst="rect">
                            <a:avLst/>
                          </a:prstGeom>
                          <a:noFill/>
                        </pic:spPr>
                      </pic:pic>
                    </a:graphicData>
                  </a:graphic>
                </wp:inline>
              </w:drawing>
            </w:r>
          </w:p>
        </w:tc>
      </w:tr>
    </w:tbl>
    <w:p w14:paraId="519B2FF4" w14:textId="77777777" w:rsidR="005E2502" w:rsidRPr="008E63BB" w:rsidRDefault="005E2502" w:rsidP="0065184D">
      <w:pPr>
        <w:ind w:firstLine="720"/>
        <w:jc w:val="center"/>
        <w:rPr>
          <w:rFonts w:eastAsia="Times New Roman" w:cs="Arial"/>
          <w:i/>
          <w:szCs w:val="26"/>
        </w:rPr>
      </w:pPr>
      <w:r w:rsidRPr="008E63BB">
        <w:rPr>
          <w:rFonts w:eastAsia="Times New Roman" w:cs="Arial"/>
          <w:i/>
          <w:szCs w:val="26"/>
        </w:rPr>
        <w:t>Mối liên hệ thành phố Nam Định với các vùng kinh tế</w:t>
      </w:r>
    </w:p>
    <w:tbl>
      <w:tblPr>
        <w:tblW w:w="0" w:type="auto"/>
        <w:tblLook w:val="04A0" w:firstRow="1" w:lastRow="0" w:firstColumn="1" w:lastColumn="0" w:noHBand="0" w:noVBand="1"/>
      </w:tblPr>
      <w:tblGrid>
        <w:gridCol w:w="9366"/>
      </w:tblGrid>
      <w:tr w:rsidR="008D5BFE" w:rsidRPr="008E63BB" w14:paraId="519B2FF6" w14:textId="77777777" w:rsidTr="005E2502">
        <w:tc>
          <w:tcPr>
            <w:tcW w:w="9257" w:type="dxa"/>
            <w:shd w:val="clear" w:color="auto" w:fill="auto"/>
          </w:tcPr>
          <w:p w14:paraId="519B2FF5" w14:textId="2D2AB7B1" w:rsidR="005E2502" w:rsidRPr="008E63BB" w:rsidRDefault="001C5522" w:rsidP="0065184D">
            <w:pPr>
              <w:rPr>
                <w:rFonts w:eastAsia="Times New Roman" w:cs="Arial"/>
                <w:szCs w:val="26"/>
              </w:rPr>
            </w:pPr>
            <w:r>
              <w:rPr>
                <w:rFonts w:eastAsia="Times New Roman" w:cs="Arial"/>
                <w:noProof/>
                <w:szCs w:val="26"/>
                <w:lang w:eastAsia="zh-CN"/>
              </w:rPr>
              <w:lastRenderedPageBreak/>
              <w:drawing>
                <wp:inline distT="0" distB="0" distL="0" distR="0" wp14:anchorId="165750E2" wp14:editId="5D5E7559">
                  <wp:extent cx="5803900" cy="4608830"/>
                  <wp:effectExtent l="0" t="0" r="635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03900" cy="4608830"/>
                          </a:xfrm>
                          <a:prstGeom prst="rect">
                            <a:avLst/>
                          </a:prstGeom>
                          <a:noFill/>
                        </pic:spPr>
                      </pic:pic>
                    </a:graphicData>
                  </a:graphic>
                </wp:inline>
              </w:drawing>
            </w:r>
          </w:p>
        </w:tc>
      </w:tr>
    </w:tbl>
    <w:p w14:paraId="519B2FF7" w14:textId="77777777" w:rsidR="005E2502" w:rsidRPr="008E63BB" w:rsidRDefault="005E2502" w:rsidP="0065184D">
      <w:pPr>
        <w:ind w:firstLine="720"/>
        <w:jc w:val="center"/>
        <w:rPr>
          <w:rFonts w:eastAsia="Times New Roman" w:cs="Arial"/>
          <w:i/>
          <w:szCs w:val="26"/>
        </w:rPr>
      </w:pPr>
      <w:r w:rsidRPr="008E63BB">
        <w:rPr>
          <w:rFonts w:eastAsia="Times New Roman" w:cs="Arial"/>
          <w:i/>
          <w:szCs w:val="26"/>
        </w:rPr>
        <w:t>Vị trị thành phố Nam Định trong tỉnh Nam Định</w:t>
      </w:r>
    </w:p>
    <w:bookmarkEnd w:id="318"/>
    <w:bookmarkEnd w:id="319"/>
    <w:bookmarkEnd w:id="320"/>
    <w:bookmarkEnd w:id="321"/>
    <w:p w14:paraId="519B2FF8" w14:textId="77777777" w:rsidR="00613537" w:rsidRPr="008E63BB" w:rsidRDefault="00613537" w:rsidP="0065184D">
      <w:pPr>
        <w:rPr>
          <w:b/>
          <w:i/>
          <w:lang w:val="it-IT"/>
        </w:rPr>
      </w:pPr>
      <w:r w:rsidRPr="008E63BB">
        <w:rPr>
          <w:b/>
          <w:i/>
          <w:lang w:val="it-IT"/>
        </w:rPr>
        <w:t>4.1.2. Vai trò của thành phố Nam Định trong Vùng Đồng Bằng sông Hồng</w:t>
      </w:r>
    </w:p>
    <w:p w14:paraId="519B2FF9" w14:textId="77777777" w:rsidR="006523D8" w:rsidRPr="008E63BB" w:rsidRDefault="006523D8" w:rsidP="00613537">
      <w:pPr>
        <w:ind w:firstLine="720"/>
        <w:rPr>
          <w:iCs/>
          <w:szCs w:val="26"/>
          <w:lang w:val="sv-SE"/>
        </w:rPr>
      </w:pPr>
      <w:r w:rsidRPr="008E63BB">
        <w:rPr>
          <w:iCs/>
          <w:szCs w:val="26"/>
          <w:lang w:val="sv-SE"/>
        </w:rPr>
        <w:t>Theo Quyết định số 795/QĐ-TTg ngày 23/5/2013 của Thủ tướng Chính phủ về việc phê duyệt Quy hoạch tổng thể phát triển kinh tế xã hội vùng đồng bằng sông Hồng đến năm 2020, Vùng Đồng bằng sông Hồng (ĐBSH) bao gồm 11 tỉnh, thành phố trực thuộc Trung ương: Hà Nội, Hải Phòng, Hải Dương, Bắc Ninh, Vĩnh Phúc, Hưng Yên, Thái Bình, Nam Định, Hà Nam, Ninh Bình và Quảng Ninh, là cửa ngõ ở phía biển Đông với thế giới và là một trong những cầu nối trực tiếp giữa hai khu vực phát triển năng động là khu vực Đông Nam Á và Đông Bắc Á</w:t>
      </w:r>
    </w:p>
    <w:p w14:paraId="519B2FFA" w14:textId="77777777" w:rsidR="006523D8" w:rsidRPr="008E63BB" w:rsidRDefault="006523D8" w:rsidP="0065184D">
      <w:pPr>
        <w:ind w:firstLine="720"/>
        <w:rPr>
          <w:iCs/>
          <w:szCs w:val="26"/>
          <w:lang w:val="sv-SE"/>
        </w:rPr>
      </w:pPr>
      <w:r w:rsidRPr="008E63BB">
        <w:rPr>
          <w:iCs/>
          <w:szCs w:val="26"/>
          <w:lang w:val="sv-SE"/>
        </w:rPr>
        <w:t>Quy hoạch đã nêu rõ: Mục tiêu Xây dựng Vùng ĐBSH thực sự là địa bàn tiên phong của cả nước thực hiện các “đột phá chiến lược”, tái cấu trúc kinh tế, đổi mới thành công mô hình tăng trưởng, trở thành đầu tàu của cả nước về phát triển kinh tế, đảm đương vai trò to lớn đối với sự nghiệp công nghiệp hóa, hiện đại hóa đất nước và góp phần nâng cao vị thế của Việt Nam trên trường quốc tế; bảo đảm sự gắn kết chặt chẽ giữa phát triển kinh tế với bảo đảm an sinh xã hội, giữ vững thế trận quốc phòng toàn dân, an ninh nhân dân và trật tự an toàn xã hội.</w:t>
      </w:r>
    </w:p>
    <w:p w14:paraId="519B2FFB" w14:textId="77777777" w:rsidR="006523D8" w:rsidRPr="008E63BB" w:rsidRDefault="006523D8" w:rsidP="0065184D">
      <w:pPr>
        <w:ind w:firstLine="720"/>
        <w:rPr>
          <w:b/>
          <w:i/>
          <w:iCs/>
          <w:szCs w:val="26"/>
          <w:lang w:val="sv-SE"/>
        </w:rPr>
      </w:pPr>
      <w:r w:rsidRPr="008E63BB">
        <w:rPr>
          <w:iCs/>
          <w:szCs w:val="26"/>
          <w:lang w:val="sv-SE"/>
        </w:rPr>
        <w:t xml:space="preserve">Những định hướng cụ thể đối với thành phố Nam Định là: </w:t>
      </w:r>
      <w:r w:rsidRPr="008E63BB">
        <w:rPr>
          <w:b/>
          <w:i/>
          <w:iCs/>
          <w:szCs w:val="26"/>
          <w:lang w:val="sv-SE"/>
        </w:rPr>
        <w:t>”Phát triển thành phố Nam Định (quy mô dân số đô thị khoảng 518 nghìn dân năm 2020) thành đô thị trung tâm khu vực phía Nam Đồng bằng sông Hồng với các ưu tiên phát triển là công nghiệp phục vụ nông nghiệp, đào tạo và chữa bệnh cho tiểu vùng Nam Đồng bằng sông Hồng và chùm đô thị Ninh Bình, Thái Bình và các đô thị ven biển”.</w:t>
      </w:r>
    </w:p>
    <w:p w14:paraId="519B2FFC" w14:textId="77777777" w:rsidR="006523D8" w:rsidRPr="008E63BB" w:rsidRDefault="006523D8" w:rsidP="0065184D">
      <w:pPr>
        <w:ind w:firstLine="720"/>
        <w:rPr>
          <w:lang w:val="sv-SE"/>
        </w:rPr>
      </w:pPr>
      <w:r w:rsidRPr="008E63BB">
        <w:rPr>
          <w:lang w:val="sv-SE"/>
        </w:rPr>
        <w:t xml:space="preserve">Đối với tiểu vùng Nam Đồng bằng sông Hồng (gồm các tỉnh Hà Nam, Thái Bình, Ninh Bình và Nam Định), Quy hoạch cũng xác định: Ưu tiên phát triển vùng lúa chất </w:t>
      </w:r>
      <w:r w:rsidRPr="008E63BB">
        <w:rPr>
          <w:lang w:val="sv-SE"/>
        </w:rPr>
        <w:lastRenderedPageBreak/>
        <w:t xml:space="preserve">lượng cao; chăn nuôi gia súc, gia cầm, thủy sản với quy mô lớn; tập trung phát triển ngành công nghiệp phụ trợ phục vụ chế biến nông sản và bảo quản sản phẩm nông nghiệp sau thu hoạch. </w:t>
      </w:r>
      <w:r w:rsidRPr="008E63BB">
        <w:rPr>
          <w:b/>
          <w:i/>
          <w:lang w:val="sv-SE"/>
        </w:rPr>
        <w:t xml:space="preserve">Phát triển thành phố Nam Định thành một trung tâm chuyển giao khoa học - công nghệ, tập trung vào công nghệ sinh học như lai tạo, sản xuất giống cây, giống con có năng suất, chất lượng cao. </w:t>
      </w:r>
      <w:r w:rsidRPr="008E63BB">
        <w:rPr>
          <w:lang w:val="sv-SE"/>
        </w:rPr>
        <w:t>Đẩy mạnh việc bảo tồn và phát huy các giá trị văn hóa, lịch sử của vùng; phát triển các loại hình du lịch sinh thái, du lịch làng nghề, du lịch hội nghị, hội thảo; hình thành trung tâm hội chợ, triển lãm, xúc tiến thương mại; thể dục thể thao.</w:t>
      </w:r>
    </w:p>
    <w:p w14:paraId="519B2FFD" w14:textId="77777777" w:rsidR="006523D8" w:rsidRPr="008E63BB" w:rsidRDefault="006523D8" w:rsidP="0065184D">
      <w:pPr>
        <w:ind w:firstLine="720"/>
        <w:rPr>
          <w:iCs/>
          <w:szCs w:val="26"/>
          <w:lang w:val="sv-SE"/>
        </w:rPr>
      </w:pPr>
      <w:r w:rsidRPr="008E63BB">
        <w:rPr>
          <w:iCs/>
          <w:szCs w:val="26"/>
          <w:lang w:val="sv-SE"/>
        </w:rPr>
        <w:t>Một số chương trình, dự án ưu tiên nghiên cứu đầu tư được xác định trong Quy hoạch vùng đồng bằng sông Hồng sẽ có tác động ảnh hưởng đến sự phát triển của Nam Định như Dự án Đường kết nối 3 tỉnh Thái Bình - Nam Định - Hà Nam; Dự án tuyến đường bộ ven biển đi qua 6 tỉnh Quảng Ninh, Hải Phòng, Thái Bình, Nam Định, Ninh Bình, Thanh Hóa; Dự án đường sắt cao tốc Bắc – Nam.</w:t>
      </w:r>
    </w:p>
    <w:p w14:paraId="519B2FFE" w14:textId="77777777" w:rsidR="00613537" w:rsidRPr="008E63BB" w:rsidRDefault="00613537" w:rsidP="00613537">
      <w:pPr>
        <w:rPr>
          <w:b/>
          <w:i/>
          <w:lang w:val="it-IT"/>
        </w:rPr>
      </w:pPr>
      <w:r w:rsidRPr="008E63BB">
        <w:rPr>
          <w:b/>
          <w:i/>
          <w:lang w:val="it-IT"/>
        </w:rPr>
        <w:t>4.1.3. Vai trò của thành phố Nam Định trong Vùng tỉnh Nam Định</w:t>
      </w:r>
    </w:p>
    <w:p w14:paraId="519B2FFF" w14:textId="77777777" w:rsidR="006523D8" w:rsidRPr="008E63BB" w:rsidRDefault="006523D8" w:rsidP="0065184D">
      <w:pPr>
        <w:ind w:firstLine="567"/>
        <w:rPr>
          <w:iCs/>
          <w:szCs w:val="26"/>
          <w:lang w:val="sv-SE"/>
        </w:rPr>
      </w:pPr>
      <w:r w:rsidRPr="008E63BB">
        <w:rPr>
          <w:iCs/>
          <w:szCs w:val="26"/>
          <w:lang w:val="sv-SE"/>
        </w:rPr>
        <w:t>Quy hoạch xây dựng vùng tỉnh Nam Định đến năm 2030, tầm nhìn đến năm 2050 đã được UBND tỉnh Nam Định phê duyệt tại Quyết định số 2701/QĐ-UBND ngày 31-12-2014. Các định hướng của quy hoạch đối với thành phố Nam Định là:</w:t>
      </w:r>
    </w:p>
    <w:p w14:paraId="519B3000" w14:textId="77777777" w:rsidR="006523D8" w:rsidRPr="008E63BB" w:rsidRDefault="006523D8" w:rsidP="00F06125">
      <w:pPr>
        <w:numPr>
          <w:ilvl w:val="0"/>
          <w:numId w:val="12"/>
        </w:numPr>
        <w:ind w:left="0" w:firstLine="567"/>
        <w:rPr>
          <w:b/>
          <w:i/>
          <w:iCs/>
          <w:szCs w:val="26"/>
          <w:lang w:val="sv-SE"/>
        </w:rPr>
      </w:pPr>
      <w:r w:rsidRPr="008E63BB">
        <w:rPr>
          <w:iCs/>
          <w:szCs w:val="26"/>
          <w:lang w:val="sv-SE"/>
        </w:rPr>
        <w:t xml:space="preserve">Xây dựng khu vực kinh tế trung tâm bao gồm Thành phố Nam Định và khu vực phụ cận: huyện Mỹ Lộc, huyện Vụ Bản, huyện Nam Trực. </w:t>
      </w:r>
      <w:r w:rsidRPr="008E63BB">
        <w:rPr>
          <w:b/>
          <w:i/>
          <w:iCs/>
          <w:szCs w:val="26"/>
          <w:lang w:val="sv-SE"/>
        </w:rPr>
        <w:t>Phát triển thành phố Nam Định trở thành trung tâm kinh tế, văn hóa, xã hội, là đô thị trung tâm vùng Nam đồng bằng sông Hồng; là trung tâm đào tạo, khoa học - công nghệ, y tế, chăm sóc sức khỏe, hóa dược phẩm, dịch vụ du lịch cho vùng Nam đồng bằng sông Hồng; là trung tâm dịch vụ chất lượng cao, trung tâm công nghiệp - công nghệ cao như công nghệ thông tin và sản xuất phần mềm của vùng.</w:t>
      </w:r>
    </w:p>
    <w:p w14:paraId="519B3001" w14:textId="77777777" w:rsidR="006523D8" w:rsidRPr="008E63BB" w:rsidRDefault="006523D8" w:rsidP="0065184D">
      <w:pPr>
        <w:ind w:firstLine="720"/>
        <w:rPr>
          <w:iCs/>
          <w:szCs w:val="26"/>
          <w:lang w:val="sv-SE"/>
        </w:rPr>
      </w:pPr>
      <w:r w:rsidRPr="008E63BB">
        <w:rPr>
          <w:iCs/>
          <w:szCs w:val="26"/>
          <w:lang w:val="sv-SE"/>
        </w:rPr>
        <w:t xml:space="preserve">- </w:t>
      </w:r>
      <w:r w:rsidR="00182243" w:rsidRPr="008E63BB">
        <w:rPr>
          <w:iCs/>
          <w:szCs w:val="26"/>
          <w:lang w:val="sv-SE"/>
        </w:rPr>
        <w:t>Chùm đô thị trung tâm lấy thành phố Nam Định là đô thị hạt nhân, gắn kết với các đô thị vệ tinh theo các tuyến đường QL21B, QL38B, QL10, ĐT490C kết nối đường trục phát triển kinh tế phía Nam, QL21B, QL21 kết nối trực tiếp Thành phố Nam Định với các trung tâm phát triển kinh tế dịch vụ du lịch như: đô thị Lâm, đô thị Quất Lâm, thành phố Thịnh Long – Khu kinh tế Ninh Cơ</w:t>
      </w:r>
      <w:r w:rsidRPr="008E63BB">
        <w:rPr>
          <w:iCs/>
          <w:szCs w:val="26"/>
          <w:lang w:val="sv-SE"/>
        </w:rPr>
        <w:t>.</w:t>
      </w:r>
    </w:p>
    <w:p w14:paraId="519B3002" w14:textId="77777777" w:rsidR="006523D8" w:rsidRPr="008E63BB" w:rsidRDefault="006523D8" w:rsidP="0065184D">
      <w:pPr>
        <w:ind w:firstLine="600"/>
        <w:rPr>
          <w:iCs/>
          <w:szCs w:val="26"/>
          <w:lang w:val="sv-SE"/>
        </w:rPr>
      </w:pPr>
      <w:r w:rsidRPr="008E63BB">
        <w:rPr>
          <w:b/>
          <w:iCs/>
          <w:szCs w:val="26"/>
          <w:lang w:val="sv-SE"/>
        </w:rPr>
        <w:t xml:space="preserve">- </w:t>
      </w:r>
      <w:r w:rsidRPr="008E63BB">
        <w:rPr>
          <w:iCs/>
          <w:szCs w:val="26"/>
          <w:lang w:val="sv-SE"/>
        </w:rPr>
        <w:t xml:space="preserve">Phát triển thành phố Nam Định để đảm bảo vị trí, vai trò của Thành phố đối với Vùng Nam đồng bằng sông Hồng ngày càng tăng lên, có đóng góp ngày càng nhiều vào tăng trưởng kinh tế của Vùng, mang lại lợi ích không chỉ cho người dân Thành phố và tỉnh Nam Định mà cho cả Vùng Nam đồng bằng sông Hồng. Thành phố Nam Định cần có những tầm nhìn dài hạn, hướng tới văn minh, hiện đại và giữ gìn được bản sắc riêng biệt của Thành phố đã có truyền thống </w:t>
      </w:r>
      <w:r w:rsidR="00F40382" w:rsidRPr="008E63BB">
        <w:rPr>
          <w:iCs/>
          <w:szCs w:val="26"/>
          <w:lang w:val="sv-SE"/>
        </w:rPr>
        <w:t xml:space="preserve">hơn </w:t>
      </w:r>
      <w:r w:rsidRPr="008E63BB">
        <w:rPr>
          <w:iCs/>
          <w:szCs w:val="26"/>
          <w:lang w:val="sv-SE"/>
        </w:rPr>
        <w:t>750 năm, một trong 3 đô thị đầu tiên của vùng Bắc Bộ (Nam Định - Hà Nội - Hải Phòng). Gắn phát triển kinh tế với chỉnh trang, mở rộng đô thị và phát triển kết cấu hạ tầng, bảo đảm quốc phòng, an ninh và phát triển bền vững.</w:t>
      </w:r>
    </w:p>
    <w:p w14:paraId="519B3003" w14:textId="77777777" w:rsidR="006523D8" w:rsidRPr="008E63BB" w:rsidRDefault="006523D8" w:rsidP="0065184D">
      <w:pPr>
        <w:ind w:firstLine="600"/>
        <w:rPr>
          <w:iCs/>
          <w:szCs w:val="26"/>
          <w:lang w:val="sv-SE"/>
        </w:rPr>
      </w:pPr>
      <w:r w:rsidRPr="008E63BB">
        <w:rPr>
          <w:iCs/>
          <w:szCs w:val="26"/>
          <w:lang w:val="sv-SE"/>
        </w:rPr>
        <w:t>- Dựa vào nội lực và lợi thế của Thành phố, nhất là lợi thế về vị trí địa lý và nguồn nhân lực phát triển bền vững, thu hút đầu tư từ trong và ngoài nước. Phát triển kinh tế gắn với các lĩnh vực xã hội, xây dựng thành phố Nam Định thành Trung tâm dậy nghề, đào tạo nguồn nhân lực chất lượng cao cho các ngành công nghiệp lợi thế của tỉnh, tạo nguồn nhân lực chất lượng cao cho thành phố, cho tỉnh và cho vùng; dồng thời phục vụ xuất khẩu lao động. Có chất lượng văn hóa cao và cơ sở vật chất hiện đại là một trong những nhiệm vụ đầu tiên Thành phố phải thực hiện.</w:t>
      </w:r>
    </w:p>
    <w:p w14:paraId="519B3004" w14:textId="77777777" w:rsidR="006523D8" w:rsidRPr="008E63BB" w:rsidRDefault="006523D8" w:rsidP="0065184D">
      <w:pPr>
        <w:ind w:firstLine="600"/>
        <w:rPr>
          <w:iCs/>
          <w:szCs w:val="26"/>
          <w:lang w:val="sv-SE"/>
        </w:rPr>
      </w:pPr>
      <w:r w:rsidRPr="008E63BB">
        <w:rPr>
          <w:iCs/>
          <w:szCs w:val="26"/>
          <w:lang w:val="sv-SE"/>
        </w:rPr>
        <w:t>- Thành phố không chỉ có hệ thống trung tâm cấp Tỉnh mà phải có một số hệ thống trung tâm cấp vùng đối với vùng Nam ĐBSH cũng như: cấp quốc gia, quốc tế...</w:t>
      </w:r>
    </w:p>
    <w:p w14:paraId="519B3005" w14:textId="77777777" w:rsidR="006523D8" w:rsidRPr="008E63BB" w:rsidRDefault="006523D8" w:rsidP="0065184D">
      <w:pPr>
        <w:ind w:firstLine="600"/>
        <w:rPr>
          <w:iCs/>
          <w:szCs w:val="26"/>
          <w:lang w:val="sv-SE"/>
        </w:rPr>
      </w:pPr>
      <w:r w:rsidRPr="008E63BB">
        <w:rPr>
          <w:iCs/>
          <w:szCs w:val="26"/>
          <w:lang w:val="sv-SE"/>
        </w:rPr>
        <w:t>(1) Trung tâm của một số ngành công nghiệp có chất lượng cao hiện đại.</w:t>
      </w:r>
    </w:p>
    <w:p w14:paraId="519B3006" w14:textId="77777777" w:rsidR="006523D8" w:rsidRPr="008E63BB" w:rsidRDefault="006523D8" w:rsidP="0065184D">
      <w:pPr>
        <w:ind w:firstLine="600"/>
        <w:rPr>
          <w:iCs/>
          <w:szCs w:val="26"/>
          <w:lang w:val="sv-SE"/>
        </w:rPr>
      </w:pPr>
      <w:r w:rsidRPr="008E63BB">
        <w:rPr>
          <w:iCs/>
          <w:szCs w:val="26"/>
          <w:lang w:val="sv-SE"/>
        </w:rPr>
        <w:lastRenderedPageBreak/>
        <w:t>(2) Trung tâm đào tạo nghề truyền thống (công nghệ chăn nuôi tằm, tạo cảnh quan môi trường...).</w:t>
      </w:r>
    </w:p>
    <w:p w14:paraId="519B3007" w14:textId="77777777" w:rsidR="006523D8" w:rsidRPr="008E63BB" w:rsidRDefault="006523D8" w:rsidP="0065184D">
      <w:pPr>
        <w:ind w:firstLine="600"/>
        <w:rPr>
          <w:iCs/>
          <w:szCs w:val="26"/>
          <w:lang w:val="sv-SE"/>
        </w:rPr>
      </w:pPr>
      <w:r w:rsidRPr="008E63BB">
        <w:rPr>
          <w:iCs/>
          <w:szCs w:val="26"/>
          <w:lang w:val="sv-SE"/>
        </w:rPr>
        <w:t>(3) Trung tâm khoa học - công nghệ về sản xuất nông nghiệp, sinh thái môi trường.</w:t>
      </w:r>
    </w:p>
    <w:p w14:paraId="519B3008" w14:textId="77777777" w:rsidR="006523D8" w:rsidRPr="008E63BB" w:rsidRDefault="006523D8" w:rsidP="0065184D">
      <w:pPr>
        <w:ind w:firstLine="600"/>
        <w:rPr>
          <w:iCs/>
          <w:szCs w:val="26"/>
          <w:lang w:val="sv-SE"/>
        </w:rPr>
      </w:pPr>
      <w:r w:rsidRPr="008E63BB">
        <w:rPr>
          <w:iCs/>
          <w:szCs w:val="26"/>
          <w:lang w:val="sv-SE"/>
        </w:rPr>
        <w:t>(4) Trung tâm y tế, chăm sóc sức khỏe và nghiên cứu y học.</w:t>
      </w:r>
    </w:p>
    <w:p w14:paraId="519B3009" w14:textId="77777777" w:rsidR="006523D8" w:rsidRPr="008E63BB" w:rsidRDefault="006523D8" w:rsidP="0065184D">
      <w:pPr>
        <w:ind w:firstLine="600"/>
        <w:rPr>
          <w:iCs/>
          <w:szCs w:val="26"/>
          <w:lang w:val="sv-SE"/>
        </w:rPr>
      </w:pPr>
      <w:r w:rsidRPr="008E63BB">
        <w:rPr>
          <w:iCs/>
          <w:szCs w:val="26"/>
          <w:lang w:val="sv-SE"/>
        </w:rPr>
        <w:t>(5) Trung tâm văn hóa, lịch sử, du lịch truyền thống.</w:t>
      </w:r>
    </w:p>
    <w:p w14:paraId="519B300A" w14:textId="77777777" w:rsidR="006523D8" w:rsidRPr="008E63BB" w:rsidRDefault="006523D8" w:rsidP="0065184D">
      <w:pPr>
        <w:ind w:firstLine="600"/>
        <w:rPr>
          <w:iCs/>
          <w:szCs w:val="26"/>
          <w:lang w:val="sv-SE"/>
        </w:rPr>
      </w:pPr>
      <w:r w:rsidRPr="008E63BB">
        <w:rPr>
          <w:iCs/>
          <w:szCs w:val="26"/>
          <w:lang w:val="sv-SE"/>
        </w:rPr>
        <w:t xml:space="preserve">(6) Trung tâm thể thao, thể dục cấp quốc gia và khu vực. </w:t>
      </w:r>
    </w:p>
    <w:p w14:paraId="519B300B" w14:textId="77777777" w:rsidR="006523D8" w:rsidRPr="008E63BB" w:rsidRDefault="006523D8" w:rsidP="00F06125">
      <w:pPr>
        <w:numPr>
          <w:ilvl w:val="0"/>
          <w:numId w:val="12"/>
        </w:numPr>
        <w:ind w:left="0" w:firstLine="567"/>
        <w:rPr>
          <w:iCs/>
          <w:spacing w:val="-4"/>
          <w:szCs w:val="26"/>
          <w:lang w:val="sv-SE"/>
        </w:rPr>
      </w:pPr>
      <w:r w:rsidRPr="008E63BB">
        <w:rPr>
          <w:iCs/>
          <w:spacing w:val="-4"/>
          <w:szCs w:val="26"/>
          <w:lang w:val="sv-SE"/>
        </w:rPr>
        <w:t>Thành phố Nam Định là trung tâm chính trị, kinh tế, văn hóa, khoa học, xã hội của tỉnh Nam Định. Là trung tâm kinh tế, văn hóa, khoa học và xã hội của vùng Nam đồng bằng sông Hồng. Quy mô dân số: Đến năm 2015 dân số toàn thành phố khoảng 480.000 người. Trong đó dân số nội thành khoảng 260.000 người. Đến năm 2020 dân số toàn thành phố khoảng 570.000 người. Trong đó dân số nội thành khoảng 340.000 người.</w:t>
      </w:r>
    </w:p>
    <w:p w14:paraId="519B300C" w14:textId="77777777" w:rsidR="006523D8" w:rsidRPr="008E63BB" w:rsidRDefault="006523D8" w:rsidP="00F06125">
      <w:pPr>
        <w:numPr>
          <w:ilvl w:val="0"/>
          <w:numId w:val="12"/>
        </w:numPr>
        <w:ind w:left="0" w:firstLine="567"/>
        <w:rPr>
          <w:iCs/>
          <w:szCs w:val="26"/>
          <w:lang w:val="sv-SE"/>
        </w:rPr>
      </w:pPr>
      <w:r w:rsidRPr="008E63BB">
        <w:rPr>
          <w:iCs/>
          <w:szCs w:val="26"/>
          <w:lang w:val="sv-SE"/>
        </w:rPr>
        <w:t>Quy mô đất xây dựng đô thị : Đất xây dựng đô thị đến năm 2025 là 4.100 ha – trung bình 120m2/người. Đất dự trữ xây dựng đô thị 1.000 ha.</w:t>
      </w:r>
    </w:p>
    <w:p w14:paraId="519B300D"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Định hướng phát triển không gian, hướng phát triển đô thị:</w:t>
      </w:r>
    </w:p>
    <w:p w14:paraId="519B300E"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Tập trung phát triển đô thị phía Bắc sông Đào tới sông Vĩnh Giang.</w:t>
      </w:r>
    </w:p>
    <w:p w14:paraId="519B300F"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Phát triển một số khu chức năng đô thị tập trung, đan xen trong không gian đô thị sinh thái nông nghiệp phía Nam sông Đào.</w:t>
      </w:r>
    </w:p>
    <w:p w14:paraId="519B3010"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Dự trữ phát triển các khu chức năng đô thị phía Bắc sông Vĩnh Giang.</w:t>
      </w:r>
    </w:p>
    <w:p w14:paraId="519B3011"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Cấu trúc đô thị và phân khu chức năng:</w:t>
      </w:r>
    </w:p>
    <w:p w14:paraId="519B3012" w14:textId="77777777" w:rsidR="006523D8" w:rsidRPr="008E63BB" w:rsidRDefault="006523D8" w:rsidP="00F06125">
      <w:pPr>
        <w:numPr>
          <w:ilvl w:val="0"/>
          <w:numId w:val="12"/>
        </w:numPr>
        <w:tabs>
          <w:tab w:val="left" w:pos="851"/>
        </w:tabs>
        <w:ind w:left="0" w:firstLine="567"/>
        <w:rPr>
          <w:iCs/>
          <w:szCs w:val="26"/>
          <w:lang w:val="sv-SE"/>
        </w:rPr>
      </w:pPr>
      <w:r w:rsidRPr="008E63BB">
        <w:rPr>
          <w:iCs/>
          <w:szCs w:val="26"/>
          <w:lang w:val="sv-SE"/>
        </w:rPr>
        <w:t>Các khu trung tâm:</w:t>
      </w:r>
    </w:p>
    <w:p w14:paraId="519B3013"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Trung tâm hành chính cấp tỉnh: Nâng cấp trên cơ sở hiện trạng.</w:t>
      </w:r>
    </w:p>
    <w:p w14:paraId="519B3014" w14:textId="77777777" w:rsidR="006523D8" w:rsidRPr="008E63BB" w:rsidRDefault="006523D8" w:rsidP="00F06125">
      <w:pPr>
        <w:numPr>
          <w:ilvl w:val="0"/>
          <w:numId w:val="13"/>
        </w:numPr>
        <w:tabs>
          <w:tab w:val="left" w:pos="851"/>
        </w:tabs>
        <w:ind w:left="0" w:firstLine="600"/>
        <w:rPr>
          <w:iCs/>
          <w:spacing w:val="-6"/>
          <w:szCs w:val="26"/>
          <w:lang w:val="sv-SE"/>
        </w:rPr>
      </w:pPr>
      <w:r w:rsidRPr="008E63BB">
        <w:rPr>
          <w:iCs/>
          <w:spacing w:val="-6"/>
          <w:szCs w:val="26"/>
          <w:lang w:val="sv-SE"/>
        </w:rPr>
        <w:t>Trung tâm văn hóa: Khu văn hóa Trần, quanh hồ vị Xuyên và quanh hồ Truyền Thống.</w:t>
      </w:r>
    </w:p>
    <w:p w14:paraId="519B3015"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Trung tâm thể dục thể thao: Phía Đông hồ Tỉnh ủy và phía Bắc hồ Truyền Thống.</w:t>
      </w:r>
    </w:p>
    <w:p w14:paraId="519B3016" w14:textId="77777777" w:rsidR="00A0345A" w:rsidRPr="008E63BB" w:rsidRDefault="00A0345A" w:rsidP="00F06125">
      <w:pPr>
        <w:numPr>
          <w:ilvl w:val="0"/>
          <w:numId w:val="13"/>
        </w:numPr>
        <w:tabs>
          <w:tab w:val="left" w:pos="851"/>
        </w:tabs>
        <w:ind w:left="0" w:firstLine="600"/>
        <w:rPr>
          <w:iCs/>
          <w:szCs w:val="26"/>
          <w:lang w:val="sv-SE"/>
        </w:rPr>
      </w:pPr>
      <w:r w:rsidRPr="008E63BB">
        <w:rPr>
          <w:iCs/>
          <w:szCs w:val="26"/>
          <w:lang w:val="sv-SE"/>
        </w:rPr>
        <w:t xml:space="preserve">Cơ sở y tế: Dự án Bệnh viện Đa khoa tỉnh quy mô 700 giường tại khu đô thị mới Mỹ Trung; </w:t>
      </w:r>
    </w:p>
    <w:p w14:paraId="519B3017" w14:textId="77777777" w:rsidR="006523D8" w:rsidRPr="008E63BB" w:rsidRDefault="006523D8" w:rsidP="00F06125">
      <w:pPr>
        <w:numPr>
          <w:ilvl w:val="0"/>
          <w:numId w:val="13"/>
        </w:numPr>
        <w:tabs>
          <w:tab w:val="left" w:pos="851"/>
        </w:tabs>
        <w:ind w:left="0" w:firstLine="600"/>
        <w:rPr>
          <w:iCs/>
          <w:spacing w:val="-2"/>
          <w:szCs w:val="26"/>
          <w:lang w:val="sv-SE"/>
        </w:rPr>
      </w:pPr>
      <w:r w:rsidRPr="008E63BB">
        <w:rPr>
          <w:iCs/>
          <w:spacing w:val="-2"/>
          <w:szCs w:val="26"/>
          <w:lang w:val="sv-SE"/>
        </w:rPr>
        <w:t>Trung tâm giáo dục đào tạo: Cải tạo, nâng cấp các trường hiện hữu; thu hút các trường đại học ở Hà Nội chuyển hoặc mở chi nhành đào tạo tại Nam Định phục vụ mục tiêu xây dựng TP Nam Định thành trung tâm dậy nghề, đào tạo nguồn nhân lực chất lượng cao. Phát triển mới các cơ sở giáo dục chuyên nghiệp và dạy nghề phía Nam sông Đào.</w:t>
      </w:r>
    </w:p>
    <w:p w14:paraId="519B3018"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Trung tâm thương mại: Trung tâm thương mại tài chính tại khu vực nhà máy dệt, dệt lụa cũ; chợ đầu mối quy mô 5 ha trên đường Lê Đức Thọ (đường S2 cũ), phía Nam sông Đào; trung tâm hội chợ, triển lãm quy mô 5,5 ha trên đường Lê Đức Thọ.</w:t>
      </w:r>
    </w:p>
    <w:p w14:paraId="519B3019"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Các trung tâm đa năng: Với trọng tâm là thương mại, dịch vụ: Phát triển tại khu vực nhà máy dệt, nhà máy dệt lụa, gắn kết với khu trung tâm hiện hữu (khu vực đường Trần Hưng Đạo); quanh hồ Truyền Thống; dọc bờ Bắc sông Đào; xung quanh không gian kết nối đường hướng tâm với quốc lộ 10; khu vực trung tâm phía Nam sông Đào</w:t>
      </w:r>
    </w:p>
    <w:p w14:paraId="519B301A"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 xml:space="preserve">Nghiên cứu di chuyển Ga trung tâm ra khu vực đường QL38B dự kiến, xây dựng tuyến đường sắt mới nối Thái Bình - Hải Phòng và tuyến đường sắt nối với khu kinh tế Ninh Cơ, thành phố Thịnh Long khi có nhu cầu cần thiết. </w:t>
      </w:r>
    </w:p>
    <w:p w14:paraId="519B301B" w14:textId="77777777" w:rsidR="006523D8" w:rsidRPr="008E63BB" w:rsidRDefault="006523D8" w:rsidP="00F06125">
      <w:pPr>
        <w:numPr>
          <w:ilvl w:val="0"/>
          <w:numId w:val="13"/>
        </w:numPr>
        <w:tabs>
          <w:tab w:val="left" w:pos="851"/>
        </w:tabs>
        <w:ind w:left="0" w:firstLine="600"/>
        <w:rPr>
          <w:iCs/>
          <w:szCs w:val="26"/>
          <w:lang w:val="sv-SE"/>
        </w:rPr>
      </w:pPr>
      <w:r w:rsidRPr="008E63BB">
        <w:rPr>
          <w:iCs/>
          <w:szCs w:val="26"/>
          <w:lang w:val="sv-SE"/>
        </w:rPr>
        <w:t>Nghiên cứu xây dựng trung tâm thương mại triển lãm tại khu vực cửa ngõ thành phố gắn với tuyến đường Phủ Lý – Nam Định.</w:t>
      </w:r>
    </w:p>
    <w:p w14:paraId="519B301C" w14:textId="77777777" w:rsidR="00212BA1" w:rsidRPr="008E63BB" w:rsidRDefault="006523D8" w:rsidP="0065184D">
      <w:pPr>
        <w:ind w:firstLine="720"/>
        <w:rPr>
          <w:rFonts w:eastAsia="Arial Unicode MS"/>
          <w:i/>
          <w:szCs w:val="26"/>
          <w:u w:color="000000"/>
          <w:lang w:val="sv-SE"/>
        </w:rPr>
      </w:pPr>
      <w:r w:rsidRPr="008E63BB">
        <w:rPr>
          <w:rFonts w:eastAsia="Arial Unicode MS"/>
          <w:i/>
          <w:szCs w:val="26"/>
          <w:u w:color="000000"/>
          <w:lang w:val="sv-SE"/>
        </w:rPr>
        <w:t>Những định hướng cấp vùng và tỉnh trên mang lại cho thành phố Nam Định một vị thế mới, tạo hành lang pháp lý và là cơ sở để thành phố xây dựng chiến lược phát triển trong giai đoạn mới</w:t>
      </w:r>
      <w:r w:rsidR="009671CF" w:rsidRPr="008E63BB">
        <w:rPr>
          <w:rFonts w:eastAsia="Arial Unicode MS"/>
          <w:i/>
          <w:szCs w:val="26"/>
          <w:u w:color="000000"/>
          <w:lang w:val="sv-SE"/>
        </w:rPr>
        <w:t>.</w:t>
      </w:r>
    </w:p>
    <w:p w14:paraId="519B301D" w14:textId="77777777" w:rsidR="00260F14" w:rsidRPr="008E63BB" w:rsidRDefault="00E40A2C" w:rsidP="00260F14">
      <w:pPr>
        <w:pStyle w:val="Heading2"/>
        <w:spacing w:before="0" w:after="0"/>
        <w:rPr>
          <w:lang w:val="it-IT"/>
        </w:rPr>
      </w:pPr>
      <w:bookmarkStart w:id="322" w:name="_Toc47524683"/>
      <w:r w:rsidRPr="008E63BB">
        <w:rPr>
          <w:lang w:val="it-IT"/>
        </w:rPr>
        <w:lastRenderedPageBreak/>
        <w:t>4.2. Đánh giá tổng hợp các tiềm năng, thế mạnh</w:t>
      </w:r>
      <w:bookmarkEnd w:id="322"/>
    </w:p>
    <w:p w14:paraId="519B301E" w14:textId="77777777" w:rsidR="00E64C4B" w:rsidRPr="008E63BB" w:rsidRDefault="00E64C4B" w:rsidP="0065184D">
      <w:pPr>
        <w:ind w:firstLine="720"/>
        <w:rPr>
          <w:iCs/>
          <w:szCs w:val="26"/>
          <w:lang w:val="sv-SE"/>
        </w:rPr>
      </w:pPr>
      <w:r w:rsidRPr="008E63BB">
        <w:rPr>
          <w:iCs/>
          <w:szCs w:val="26"/>
          <w:lang w:val="sv-SE"/>
        </w:rPr>
        <w:t>Với vị trí nằm gần khu vực kinh tế tăng trưởng Hà Nội- Hải Phòng- Quảng Ninh và nhiều trung tâm kinh tế, công nghiệp, du lịch lớn khác, lại có kết nối giao thông thuận tiện tập trung nhiều đầu mối giao thông quan trọng về đường sắt, đường bộ và đường thuỷ, Nam Định có nhiều điều kiện tham gia vào sự phân công, hợp tác để hoà nhập quá trình phát triển chung của vùng và cả nước.</w:t>
      </w:r>
    </w:p>
    <w:p w14:paraId="519B301F" w14:textId="77777777" w:rsidR="00613537" w:rsidRPr="008E63BB" w:rsidRDefault="00613537" w:rsidP="00613537">
      <w:pPr>
        <w:ind w:firstLine="720"/>
        <w:rPr>
          <w:lang w:val="sv-SE"/>
        </w:rPr>
      </w:pPr>
      <w:r w:rsidRPr="008E63BB">
        <w:rPr>
          <w:lang w:val="sv-SE"/>
        </w:rPr>
        <w:t>- Tiềm năng phát triển công nghiệp:</w:t>
      </w:r>
    </w:p>
    <w:p w14:paraId="519B3020" w14:textId="77777777" w:rsidR="00E40A2C" w:rsidRPr="008E63BB" w:rsidRDefault="00E64C4B" w:rsidP="0047666B">
      <w:pPr>
        <w:ind w:firstLine="720"/>
        <w:rPr>
          <w:iCs/>
          <w:szCs w:val="26"/>
          <w:lang w:val="sv-SE"/>
        </w:rPr>
      </w:pPr>
      <w:r w:rsidRPr="008E63BB">
        <w:rPr>
          <w:iCs/>
          <w:szCs w:val="26"/>
          <w:lang w:val="sv-SE"/>
        </w:rPr>
        <w:t>Thành phố v</w:t>
      </w:r>
      <w:r w:rsidR="00E40A2C" w:rsidRPr="008E63BB">
        <w:rPr>
          <w:iCs/>
          <w:szCs w:val="26"/>
          <w:lang w:val="sv-SE"/>
        </w:rPr>
        <w:t>ới vai trò là trung tâm kinh tế, công nghiệp của tỉnh, đô thị trung tâm khu vực phía Nam Đồng bằng sông Hồng</w:t>
      </w:r>
      <w:r w:rsidRPr="008E63BB">
        <w:rPr>
          <w:iCs/>
          <w:szCs w:val="26"/>
          <w:lang w:val="sv-SE"/>
        </w:rPr>
        <w:t xml:space="preserve">, có nhiều tiềm năng để phát triển công nghiệp. Là một trong những đô thị có ngành công nghiệp phát triển sớm so với các tỉnh trong cả nước, </w:t>
      </w:r>
      <w:r w:rsidR="006C1DA8" w:rsidRPr="008E63BB">
        <w:rPr>
          <w:iCs/>
          <w:szCs w:val="26"/>
          <w:lang w:val="sv-SE"/>
        </w:rPr>
        <w:t xml:space="preserve">cái nôi của ngành công nghiệp dệt, </w:t>
      </w:r>
      <w:r w:rsidR="00F442FF" w:rsidRPr="008E63BB">
        <w:rPr>
          <w:iCs/>
          <w:szCs w:val="26"/>
          <w:lang w:val="sv-SE"/>
        </w:rPr>
        <w:t xml:space="preserve">Nam Định được biết đến như là một khu trọng tâm phát triển chiến lược của ngành Dệt - May Việt Nam. </w:t>
      </w:r>
      <w:r w:rsidRPr="008E63BB">
        <w:rPr>
          <w:iCs/>
          <w:szCs w:val="26"/>
          <w:lang w:val="sv-SE"/>
        </w:rPr>
        <w:t>Nam Định có</w:t>
      </w:r>
      <w:r w:rsidR="00E40A2C" w:rsidRPr="008E63BB">
        <w:rPr>
          <w:iCs/>
          <w:szCs w:val="26"/>
          <w:lang w:val="sv-SE"/>
        </w:rPr>
        <w:t xml:space="preserve"> lượng lao động dồ</w:t>
      </w:r>
      <w:r w:rsidRPr="008E63BB">
        <w:rPr>
          <w:iCs/>
          <w:szCs w:val="26"/>
          <w:lang w:val="sv-SE"/>
        </w:rPr>
        <w:t>i dào, có trình độ và kinh nghiệm</w:t>
      </w:r>
      <w:r w:rsidR="00F442FF" w:rsidRPr="008E63BB">
        <w:rPr>
          <w:iCs/>
          <w:szCs w:val="26"/>
          <w:lang w:val="sv-SE"/>
        </w:rPr>
        <w:t>, đ</w:t>
      </w:r>
      <w:r w:rsidRPr="008E63BB">
        <w:rPr>
          <w:iCs/>
          <w:szCs w:val="26"/>
          <w:lang w:val="sv-SE"/>
        </w:rPr>
        <w:t>ất đai bằng phẳng, tính chất cơ lý của đất phù hợp cho việc xây dựng các công trình công nghiệp</w:t>
      </w:r>
      <w:r w:rsidR="006C1DA8" w:rsidRPr="008E63BB">
        <w:rPr>
          <w:iCs/>
          <w:szCs w:val="26"/>
          <w:lang w:val="sv-SE"/>
        </w:rPr>
        <w:t>. Nguồn nguyên liệu dồi dào của các khu vực lận cận và hệ thống cơ sở hạ tầng sẵn có cũng là điều kiện thuận lợi để thành phố phát triển một số ngành công nghiệp chủ lực như công nghiệp chế biến, dệt may, da giày, cơ khí, điện, công nghiệp phục vụ phát triển nông nghiệ</w:t>
      </w:r>
      <w:r w:rsidR="0047666B" w:rsidRPr="008E63BB">
        <w:rPr>
          <w:iCs/>
          <w:szCs w:val="26"/>
          <w:lang w:val="sv-SE"/>
        </w:rPr>
        <w:t>p và sản xuất vật liệu xây dựng. Hầu hết các ngành công nghiệp mà thành phố có tiềm năng, lợi thế cũng là những ngành công nghiệp được xác định tập trung ưu tiên phát triển theo quan điểm chỉ đạo và chính sách phát triển công nghiệp tại NQ 23-NQ/TW ngày 22/3/2018 về định hướng xây dựng chính sách phát triển công nghiệp quốc gia đến năm 2030, tầm nhìn 2045.</w:t>
      </w:r>
    </w:p>
    <w:p w14:paraId="519B3021" w14:textId="77777777" w:rsidR="00613537" w:rsidRPr="008E63BB" w:rsidRDefault="00613537" w:rsidP="00613537">
      <w:pPr>
        <w:ind w:firstLine="720"/>
        <w:rPr>
          <w:lang w:val="sv-SE"/>
        </w:rPr>
      </w:pPr>
      <w:r w:rsidRPr="008E63BB">
        <w:rPr>
          <w:lang w:val="sv-SE"/>
        </w:rPr>
        <w:t>- Tiềm năng phát triể</w:t>
      </w:r>
      <w:r w:rsidR="007F6E3B" w:rsidRPr="008E63BB">
        <w:rPr>
          <w:lang w:val="sv-SE"/>
        </w:rPr>
        <w:t>n du lịch</w:t>
      </w:r>
      <w:r w:rsidRPr="008E63BB">
        <w:rPr>
          <w:lang w:val="sv-SE"/>
        </w:rPr>
        <w:t>:</w:t>
      </w:r>
    </w:p>
    <w:p w14:paraId="519B3022" w14:textId="77777777" w:rsidR="00260F14" w:rsidRPr="008E63BB" w:rsidRDefault="00E40A2C" w:rsidP="0065184D">
      <w:pPr>
        <w:ind w:firstLine="720"/>
        <w:rPr>
          <w:iCs/>
          <w:szCs w:val="26"/>
          <w:lang w:val="sv-SE"/>
        </w:rPr>
      </w:pPr>
      <w:r w:rsidRPr="008E63BB">
        <w:rPr>
          <w:iCs/>
          <w:szCs w:val="26"/>
          <w:lang w:val="sv-SE"/>
        </w:rPr>
        <w:t>Nam Định là thành phố giàu giá trị văn hóa, lịch sử, nhân văn có thể phát huy để phát triển du lịch, có những giá trị đặc trưng của vùng văn minh nông nghiệp lúa nước và các làng nghề truyền thống với cảnh quan sinh thái nông nghiệp đặc trưng.</w:t>
      </w:r>
      <w:r w:rsidR="00A02FAD" w:rsidRPr="008E63BB">
        <w:rPr>
          <w:iCs/>
          <w:szCs w:val="26"/>
          <w:lang w:val="sv-SE"/>
        </w:rPr>
        <w:t>Với nét đặc trưng của một đô thị cổ, thành phố vẫn còn phần nào giữ được dáng vẻ cổ kính của nó với những những nét riêng mà không nơi nào có được. T</w:t>
      </w:r>
      <w:r w:rsidR="00F442FF" w:rsidRPr="008E63BB">
        <w:rPr>
          <w:iCs/>
          <w:szCs w:val="26"/>
          <w:lang w:val="sv-SE"/>
        </w:rPr>
        <w:t>hành phố</w:t>
      </w:r>
      <w:r w:rsidR="006C1DA8" w:rsidRPr="008E63BB">
        <w:rPr>
          <w:iCs/>
          <w:szCs w:val="26"/>
          <w:lang w:val="sv-SE"/>
        </w:rPr>
        <w:t xml:space="preserve"> có cảnh quan sông Đào và sông Hồng có thể khai thác nâng cao giá trị cảnh quan và giá trị du lịch, dịch vụ của thành phố, trở thành không gian kết nối giữa các khu vực xây dựng đô thị hiện đại với các không gian sinh thái nông nghiệp đặc trưng ở phía Nam Thành phố</w:t>
      </w:r>
      <w:r w:rsidR="00F442FF" w:rsidRPr="008E63BB">
        <w:rPr>
          <w:iCs/>
          <w:szCs w:val="26"/>
          <w:lang w:val="sv-SE"/>
        </w:rPr>
        <w:t>.</w:t>
      </w:r>
    </w:p>
    <w:p w14:paraId="519B3023" w14:textId="77777777" w:rsidR="00613537" w:rsidRPr="008E63BB" w:rsidRDefault="00613537" w:rsidP="00613537">
      <w:pPr>
        <w:ind w:firstLine="720"/>
        <w:rPr>
          <w:lang w:val="sv-SE"/>
        </w:rPr>
      </w:pPr>
      <w:r w:rsidRPr="008E63BB">
        <w:rPr>
          <w:lang w:val="sv-SE"/>
        </w:rPr>
        <w:t xml:space="preserve">Nằm trong vùng đồng bằng châu thổ sông Hồng, Nam Định có bề dày văn hóa truyền thống, với văn hóa phi vật thể phong phú như hát chèo, hát văn, rối nước và lễ hội cổ truyền (lễ hội Phủ Dầy, hội chợ Viềng, lễ Khai ấn tại đền Thiên Trường…). Truyền thống lịch sử và văn hóa đã ghi dấu trên vùng đất Nam Định nhiều di tích nổi tiếng như: Khu di tích lịch sử- văn hóa Trần, chùa Cổ Lễ, chùa Keo Hành Thiện, quần thể di tích lịch sử- văn hoá Phủ Dầy… Đây chính là những tài nguyên du lịch nhân văn hấp dẫn khách du lịch. </w:t>
      </w:r>
    </w:p>
    <w:p w14:paraId="519B3024" w14:textId="77777777" w:rsidR="007F6E3B" w:rsidRPr="008E63BB" w:rsidRDefault="00613537" w:rsidP="000D7FF5">
      <w:pPr>
        <w:ind w:firstLine="720"/>
        <w:rPr>
          <w:lang w:val="sv-SE"/>
        </w:rPr>
      </w:pPr>
      <w:r w:rsidRPr="008E63BB">
        <w:rPr>
          <w:lang w:val="sv-SE"/>
        </w:rPr>
        <w:t>Với khoảng cách không xa tới các khu du lịch biển và các trung tâm văn hóa lễ hội trong tỉnh, trong xu thế mở cửa, hoà nhập kinh tế thế giới của đất nước, với những lợi thế về vị trí địa lý và tài nguyên tự nhiên, tài nguyên nhân văn, Nam Định đã và sẽ có những điều kiện, cơ hội thuận lợi để phát triển ngành du lịch và dịch vụ</w:t>
      </w:r>
      <w:r w:rsidR="000D7FF5" w:rsidRPr="008E63BB">
        <w:rPr>
          <w:lang w:val="sv-SE"/>
        </w:rPr>
        <w:t>.</w:t>
      </w:r>
    </w:p>
    <w:p w14:paraId="519B3025" w14:textId="77777777" w:rsidR="007F6E3B" w:rsidRPr="008E63BB" w:rsidRDefault="007F6E3B" w:rsidP="0065184D">
      <w:pPr>
        <w:ind w:firstLine="720"/>
        <w:rPr>
          <w:lang w:val="sv-SE"/>
        </w:rPr>
      </w:pPr>
      <w:r w:rsidRPr="008E63BB">
        <w:rPr>
          <w:lang w:val="sv-SE"/>
        </w:rPr>
        <w:t>- Tiềm năng phát triển đào tạo nguồn nhân lực:</w:t>
      </w:r>
    </w:p>
    <w:p w14:paraId="519B3026" w14:textId="77777777" w:rsidR="00D93133" w:rsidRPr="008E63BB" w:rsidRDefault="00F442FF" w:rsidP="0065184D">
      <w:pPr>
        <w:ind w:firstLine="720"/>
        <w:rPr>
          <w:iCs/>
          <w:szCs w:val="26"/>
          <w:lang w:val="sv-SE"/>
        </w:rPr>
      </w:pPr>
      <w:r w:rsidRPr="008E63BB">
        <w:rPr>
          <w:iCs/>
          <w:szCs w:val="26"/>
          <w:lang w:val="sv-SE"/>
        </w:rPr>
        <w:t>Nam Định có truyền thống là vùng đất học</w:t>
      </w:r>
      <w:r w:rsidR="00D93133" w:rsidRPr="008E63BB">
        <w:rPr>
          <w:iCs/>
          <w:szCs w:val="26"/>
          <w:lang w:val="sv-SE"/>
        </w:rPr>
        <w:t xml:space="preserve">, là một trong những trung tâm đào tạo lớn của cả nước với hệ thống các trường đại học, cao đẳng, trung cấp dậy nghề của các bộ, ngànhcấp trung ương và tỉnh Nam Định, đặc biệt Có hẳn một trường chuyên đào tạo lao động kỹ thuật cao cho ngành Dệt May là Trường Cao Đẳng Nghề Công nghiệp Dệt May Nam Định với trang thiết bị hiện đại hàng đầu so với các trường đào tạo nghề Dệt </w:t>
      </w:r>
      <w:r w:rsidR="00D93133" w:rsidRPr="008E63BB">
        <w:rPr>
          <w:iCs/>
          <w:szCs w:val="26"/>
          <w:lang w:val="sv-SE"/>
        </w:rPr>
        <w:lastRenderedPageBreak/>
        <w:t xml:space="preserve">May tại VN. Đây là một lợi thế cho Nam Định </w:t>
      </w:r>
      <w:r w:rsidR="00EE2D32" w:rsidRPr="008E63BB">
        <w:rPr>
          <w:iCs/>
          <w:szCs w:val="26"/>
          <w:lang w:val="sv-SE"/>
        </w:rPr>
        <w:t xml:space="preserve">trong việc đào tạo nhân lực cho </w:t>
      </w:r>
      <w:r w:rsidR="00D93133" w:rsidRPr="008E63BB">
        <w:rPr>
          <w:iCs/>
          <w:szCs w:val="26"/>
          <w:lang w:val="sv-SE"/>
        </w:rPr>
        <w:t>các ngành công nghiệp, dịch vụ</w:t>
      </w:r>
      <w:r w:rsidR="00EE2D32" w:rsidRPr="008E63BB">
        <w:rPr>
          <w:iCs/>
          <w:szCs w:val="26"/>
          <w:lang w:val="sv-SE"/>
        </w:rPr>
        <w:t>, đồng thời cũng là</w:t>
      </w:r>
      <w:r w:rsidR="00D93133" w:rsidRPr="008E63BB">
        <w:rPr>
          <w:iCs/>
          <w:szCs w:val="26"/>
          <w:lang w:val="sv-SE"/>
        </w:rPr>
        <w:t xml:space="preserve"> lợi thế để </w:t>
      </w:r>
      <w:r w:rsidR="00EE2D32" w:rsidRPr="008E63BB">
        <w:rPr>
          <w:iCs/>
          <w:szCs w:val="26"/>
          <w:lang w:val="sv-SE"/>
        </w:rPr>
        <w:t xml:space="preserve">Nam Định </w:t>
      </w:r>
      <w:r w:rsidR="00D93133" w:rsidRPr="008E63BB">
        <w:rPr>
          <w:iCs/>
          <w:szCs w:val="26"/>
          <w:lang w:val="sv-SE"/>
        </w:rPr>
        <w:t>có thể trở thành một trung tâm nghiên cứu, ứng dụng công nghệ sinh học phục vụ nông nghiệp.</w:t>
      </w:r>
    </w:p>
    <w:p w14:paraId="519B3027" w14:textId="77777777" w:rsidR="007F6E3B" w:rsidRPr="008E63BB" w:rsidRDefault="007F6E3B" w:rsidP="007F6E3B">
      <w:pPr>
        <w:ind w:firstLine="720"/>
        <w:rPr>
          <w:lang w:val="sv-SE"/>
        </w:rPr>
      </w:pPr>
      <w:r w:rsidRPr="008E63BB">
        <w:rPr>
          <w:lang w:val="sv-SE"/>
        </w:rPr>
        <w:t>- Tiềm năng phát triển nông nghiệp:</w:t>
      </w:r>
    </w:p>
    <w:p w14:paraId="519B3029" w14:textId="77777777" w:rsidR="00E40A2C" w:rsidRPr="008E63BB" w:rsidRDefault="00B32814" w:rsidP="00B32814">
      <w:pPr>
        <w:ind w:firstLine="720"/>
        <w:rPr>
          <w:rFonts w:eastAsia="Arial"/>
          <w:bCs/>
          <w:szCs w:val="26"/>
          <w:lang w:val="it-IT"/>
        </w:rPr>
      </w:pPr>
      <w:r w:rsidRPr="008E63BB">
        <w:rPr>
          <w:rFonts w:eastAsia="Arial"/>
          <w:bCs/>
          <w:szCs w:val="26"/>
          <w:lang w:val="it-IT"/>
        </w:rPr>
        <w:t>Với điều kiện đất đai màu mỡ, chủ động tưới tiêu, người nông dân cần cù, sáng tạo, Nam Định có nhiều tiềm năng phát triển nông nghiệp hàng hóa tập trung, ứng dụng công nghệ cao. Đặc biệt những làng nghề trồng hoa cây cảnh đã tạo thêm nét đặc trưng cho thành phố, không chỉ mang lại giá trị kinh tế, góp phần tạo dựng giá trị cảnh quan sinh thái nông nghiệp đặc biệt cho đô thị mà cũng là tiềm năng để có thể kết hợp phát triển du lịch sinh thái, tham quan, nghiên cứu học tập...</w:t>
      </w:r>
    </w:p>
    <w:p w14:paraId="519B302A" w14:textId="77777777" w:rsidR="00015209" w:rsidRPr="008E63BB" w:rsidRDefault="00015209" w:rsidP="00015209">
      <w:pPr>
        <w:pStyle w:val="Heading2"/>
        <w:spacing w:before="0" w:after="0"/>
        <w:rPr>
          <w:lang w:val="it-IT"/>
        </w:rPr>
      </w:pPr>
      <w:bookmarkStart w:id="323" w:name="_Toc44850851"/>
      <w:bookmarkStart w:id="324" w:name="_Toc47524684"/>
      <w:r w:rsidRPr="008E63BB">
        <w:rPr>
          <w:lang w:val="it-IT"/>
        </w:rPr>
        <w:t xml:space="preserve">4.3. </w:t>
      </w:r>
      <w:bookmarkEnd w:id="323"/>
      <w:r w:rsidRPr="008E63BB">
        <w:rPr>
          <w:lang w:val="it-IT"/>
        </w:rPr>
        <w:t>Các chủ trương, chiến lược phát triển kinh tế xã hội của tỉnh Nam Định</w:t>
      </w:r>
      <w:bookmarkEnd w:id="324"/>
    </w:p>
    <w:p w14:paraId="519B302B" w14:textId="77777777" w:rsidR="00015209" w:rsidRPr="008E63BB" w:rsidRDefault="00015209" w:rsidP="00015209">
      <w:pPr>
        <w:rPr>
          <w:lang w:val="it-IT"/>
        </w:rPr>
      </w:pPr>
      <w:r w:rsidRPr="008E63BB">
        <w:rPr>
          <w:lang w:val="it-IT"/>
        </w:rPr>
        <w:tab/>
        <w:t>Mục tiêu tổng quát về phát triển kinh tế xã hội tỉnh Nam Định giai đoạn 2020-2025: Nâng cao chất lượng tăng trưởng kinh tế, chú trọng sản xuất nông nghiệp sạch, công nghiệp công nghệ cao và các ngành công nghiệp có đóng góp lớn cho nguồn thu ngân sách. Tăng cường khai thác thế mạnh vùng kinh tế biển để trở thành vùng kinh tế động lực. Triển khai xây dựng đô thị thông minh, nông thôn kiểu mẫu; phấn đấu xây dựng thành phố Nam Định cơ bản đạt một số chức năng trung tâm vùng Nam đồng bằng sông Hồng. Chú trọng bảo vệ môi trường và phát triển toàn diện các lĩnh vực văn hóa, xã hội. Phấn đấu đến năm 2030, thu nhập bình quân đầu người của tỉnh Nam Định cao hơn bình quân chung của cả nước.</w:t>
      </w:r>
    </w:p>
    <w:p w14:paraId="519B302C" w14:textId="77777777" w:rsidR="00015209" w:rsidRPr="008E63BB" w:rsidRDefault="00015209" w:rsidP="00015209">
      <w:pPr>
        <w:rPr>
          <w:lang w:val="it-IT"/>
        </w:rPr>
      </w:pPr>
      <w:r w:rsidRPr="008E63BB">
        <w:rPr>
          <w:lang w:val="it-IT"/>
        </w:rPr>
        <w:tab/>
        <w:t>Các định hướng, chiến lược và giải pháp chính thực hiện mục tiêu phát triển kinh tế xã hội của tỉnh:</w:t>
      </w:r>
    </w:p>
    <w:p w14:paraId="519B302D" w14:textId="77777777" w:rsidR="00015209" w:rsidRPr="008E63BB" w:rsidRDefault="00015209" w:rsidP="00015209">
      <w:pPr>
        <w:rPr>
          <w:lang w:val="it-IT"/>
        </w:rPr>
      </w:pPr>
      <w:r w:rsidRPr="008E63BB">
        <w:rPr>
          <w:lang w:val="it-IT"/>
        </w:rPr>
        <w:tab/>
        <w:t>1. Tiếp tục nâng cao chất lượng công tác quy hoạch và đầu tư kết cấu hạ tầng kinh tế, xã hội để phục vụ cho nhu cầu phát triển kinh tế. Lồng ghép các nguồn vốn hỡ trợ từ ngân sách Trung ương, vốn ODA, ngân sách địa phương và huy động các nguồn vốn hợp pháp khác để ưu tiên đầu tư, sớm hoàn thành một số công trình trọng điểm theo các lĩnh vực.</w:t>
      </w:r>
    </w:p>
    <w:p w14:paraId="519B302E" w14:textId="77777777" w:rsidR="00015209" w:rsidRPr="008E63BB" w:rsidRDefault="00015209" w:rsidP="00015209">
      <w:pPr>
        <w:rPr>
          <w:lang w:val="it-IT"/>
        </w:rPr>
      </w:pPr>
      <w:r w:rsidRPr="008E63BB">
        <w:rPr>
          <w:lang w:val="it-IT"/>
        </w:rPr>
        <w:tab/>
        <w:t>2. Phát triển công nghiệp – thương mại – dịch vụ theo hướng nâng cao giá trị gia tăng và tạo thêm nguồn thu mới.</w:t>
      </w:r>
    </w:p>
    <w:p w14:paraId="519B302F" w14:textId="77777777" w:rsidR="00015209" w:rsidRPr="008E63BB" w:rsidRDefault="00015209" w:rsidP="00015209">
      <w:pPr>
        <w:rPr>
          <w:lang w:val="it-IT"/>
        </w:rPr>
      </w:pPr>
      <w:r w:rsidRPr="008E63BB">
        <w:rPr>
          <w:lang w:val="it-IT"/>
        </w:rPr>
        <w:tab/>
        <w:t>3. Đây mạnh khai thác tiềm năng, thế mạnh vùng kinh tế biển để trở thành vùng kinh tế động lực, là cực tăng trưởng phía Nam của tỉnh.</w:t>
      </w:r>
    </w:p>
    <w:p w14:paraId="519B3030" w14:textId="77777777" w:rsidR="00015209" w:rsidRPr="008E63BB" w:rsidRDefault="00015209" w:rsidP="00015209">
      <w:pPr>
        <w:ind w:firstLine="720"/>
        <w:rPr>
          <w:lang w:val="it-IT"/>
        </w:rPr>
      </w:pPr>
      <w:r w:rsidRPr="008E63BB">
        <w:rPr>
          <w:lang w:val="it-IT"/>
        </w:rPr>
        <w:t>4. Ưu tiên kết hợp các nguồn lực để đẩy mạnh xây dựng đô thị thông minh và phát triển trung tâm công nghiệp, dịch vụ thành phố Nam Định; phấn đấu đến năm 2030 thành phố cơ bản đạt một số chức năng trung tâm vùng Nam đồng bằng sông Hồng</w:t>
      </w:r>
    </w:p>
    <w:p w14:paraId="519B3031" w14:textId="77777777" w:rsidR="00015209" w:rsidRPr="008E63BB" w:rsidRDefault="00015209" w:rsidP="00015209">
      <w:pPr>
        <w:ind w:firstLine="720"/>
        <w:rPr>
          <w:lang w:val="it-IT"/>
        </w:rPr>
      </w:pPr>
      <w:r w:rsidRPr="008E63BB">
        <w:rPr>
          <w:lang w:val="it-IT"/>
        </w:rPr>
        <w:t>5. Phát triển vùng sản xuất nông nghiệp gắn với quá trình xây dựng nông thôn mới nâng cao, kiểu mẫu.</w:t>
      </w:r>
    </w:p>
    <w:p w14:paraId="519B3032" w14:textId="77777777" w:rsidR="00015209" w:rsidRPr="008E63BB" w:rsidRDefault="00015209" w:rsidP="00015209">
      <w:pPr>
        <w:ind w:firstLine="720"/>
        <w:rPr>
          <w:lang w:val="it-IT"/>
        </w:rPr>
      </w:pPr>
      <w:r w:rsidRPr="008E63BB">
        <w:rPr>
          <w:lang w:val="it-IT"/>
        </w:rPr>
        <w:t>6. Tăng cường quản lý và sử dụng hiệu quả đất đai, tài nguyên; chủ động phòng, chống thiên tai, ứng phó với biến đổi khí hậu và bảo vệ môi trường</w:t>
      </w:r>
    </w:p>
    <w:p w14:paraId="519B3033" w14:textId="77777777" w:rsidR="00015209" w:rsidRPr="008E63BB" w:rsidRDefault="00015209" w:rsidP="00015209">
      <w:pPr>
        <w:ind w:firstLine="720"/>
        <w:rPr>
          <w:rFonts w:eastAsia="Arial"/>
          <w:bCs/>
          <w:szCs w:val="26"/>
          <w:lang w:val="it-IT"/>
        </w:rPr>
      </w:pPr>
      <w:r w:rsidRPr="008E63BB">
        <w:rPr>
          <w:lang w:val="it-IT"/>
        </w:rPr>
        <w:t>Các định hướng đối với các ngành kinh tế:</w:t>
      </w:r>
    </w:p>
    <w:p w14:paraId="519B3034" w14:textId="77777777" w:rsidR="0029692D" w:rsidRPr="008E63BB" w:rsidRDefault="001820BE" w:rsidP="0065184D">
      <w:pPr>
        <w:rPr>
          <w:i/>
          <w:lang w:val="it-IT"/>
        </w:rPr>
      </w:pPr>
      <w:r w:rsidRPr="008E63BB">
        <w:rPr>
          <w:i/>
          <w:lang w:val="it-IT"/>
        </w:rPr>
        <w:t xml:space="preserve">a. </w:t>
      </w:r>
      <w:r w:rsidR="0029692D" w:rsidRPr="008E63BB">
        <w:rPr>
          <w:i/>
          <w:lang w:val="it-IT"/>
        </w:rPr>
        <w:t>Công nghiệp</w:t>
      </w:r>
    </w:p>
    <w:p w14:paraId="519B3035" w14:textId="77777777" w:rsidR="006E42D4" w:rsidRPr="008E63BB" w:rsidRDefault="007D7F93" w:rsidP="0065184D">
      <w:pPr>
        <w:ind w:firstLine="720"/>
        <w:rPr>
          <w:rFonts w:eastAsia="Arial"/>
          <w:bCs/>
          <w:szCs w:val="26"/>
          <w:lang w:val="it-IT"/>
        </w:rPr>
      </w:pPr>
      <w:r w:rsidRPr="008E63BB">
        <w:rPr>
          <w:rFonts w:eastAsia="Arial"/>
          <w:bCs/>
          <w:szCs w:val="26"/>
          <w:lang w:val="it-IT"/>
        </w:rPr>
        <w:t xml:space="preserve">Thực hiện Nghị quyết số 23-NQ/TW ngày 22-3-2018 của Bộ Chính trị về định hướng xây dựng chính sách phát triển công nghiệp quốc gia đến năm 2030, tầm nhìn đến năm 2045, ngày 29-5-2018, BCH Đảng bộ tỉnh khóa XIX đã ban hành Chương trình hành động số 25-CTr/TU; ngày 28-6-2018 UBND tỉnh </w:t>
      </w:r>
      <w:r w:rsidR="007F6E3B" w:rsidRPr="008E63BB">
        <w:rPr>
          <w:rFonts w:eastAsia="Arial"/>
          <w:bCs/>
          <w:szCs w:val="26"/>
          <w:lang w:val="it-IT"/>
        </w:rPr>
        <w:t xml:space="preserve">Nam Định </w:t>
      </w:r>
      <w:r w:rsidRPr="008E63BB">
        <w:rPr>
          <w:rFonts w:eastAsia="Arial"/>
          <w:bCs/>
          <w:szCs w:val="26"/>
          <w:lang w:val="it-IT"/>
        </w:rPr>
        <w:t>đã ban hành Kế hoạch số 71/KH-UBND với mục tiêu tổng quát là phát huy sức mạnh tổng thể của cả hệ thống chính trị, huy động mọi nguồn lực để tập trung phát triển các ngành công nghiệp có lợi thế cạnh tranh của tỉnh, đáp ứng yêu cầu hội nhập kinh tế quốc tế, phát triển bền vững, hiệu quả và bảo vệ môi trường.</w:t>
      </w:r>
    </w:p>
    <w:p w14:paraId="519B3036" w14:textId="77777777" w:rsidR="007D7F93" w:rsidRPr="008E63BB" w:rsidRDefault="007D7F93" w:rsidP="0065184D">
      <w:pPr>
        <w:ind w:firstLine="720"/>
        <w:rPr>
          <w:rFonts w:eastAsia="Arial"/>
          <w:bCs/>
          <w:szCs w:val="26"/>
          <w:lang w:val="it-IT"/>
        </w:rPr>
      </w:pPr>
      <w:r w:rsidRPr="008E63BB">
        <w:rPr>
          <w:rFonts w:eastAsia="Arial"/>
          <w:bCs/>
          <w:szCs w:val="26"/>
          <w:lang w:val="it-IT"/>
        </w:rPr>
        <w:lastRenderedPageBreak/>
        <w:t>Mục tiêu cụ thể của Kế hoạ</w:t>
      </w:r>
      <w:r w:rsidR="001820BE" w:rsidRPr="008E63BB">
        <w:rPr>
          <w:rFonts w:eastAsia="Arial"/>
          <w:bCs/>
          <w:szCs w:val="26"/>
          <w:lang w:val="it-IT"/>
        </w:rPr>
        <w:t xml:space="preserve">ch là </w:t>
      </w:r>
      <w:r w:rsidRPr="008E63BB">
        <w:rPr>
          <w:rFonts w:eastAsia="Arial"/>
          <w:bCs/>
          <w:szCs w:val="26"/>
          <w:lang w:val="it-IT"/>
        </w:rPr>
        <w:t>đến năm 2030 tỉnh Nam Định cơ bản hoàn thành mục tiêu CNH-HĐH, nằm trong nhóm các tỉnh phát triển khá về sản xuất công nghiệp trong vùng đồng bằng sông Hồng. Đến năm 2045 trở thành tỉnh công nghiệp phát triển hiện đại.</w:t>
      </w:r>
    </w:p>
    <w:p w14:paraId="519B3037" w14:textId="77777777" w:rsidR="007D7F93" w:rsidRPr="008E63BB" w:rsidRDefault="007D7F93" w:rsidP="0065184D">
      <w:pPr>
        <w:ind w:firstLine="720"/>
        <w:rPr>
          <w:rFonts w:eastAsia="Arial"/>
          <w:bCs/>
          <w:szCs w:val="26"/>
          <w:lang w:val="vi-VN"/>
        </w:rPr>
      </w:pPr>
      <w:r w:rsidRPr="008E63BB">
        <w:rPr>
          <w:rFonts w:eastAsia="Arial"/>
          <w:bCs/>
          <w:szCs w:val="26"/>
          <w:lang w:val="it-IT"/>
        </w:rPr>
        <w:t>Thành phố Nam Định có vai trò là trung tâm kinh tế công nghiệp của tỉnh</w:t>
      </w:r>
      <w:r w:rsidR="00C17D93" w:rsidRPr="008E63BB">
        <w:rPr>
          <w:rFonts w:eastAsia="Arial"/>
          <w:bCs/>
          <w:szCs w:val="26"/>
          <w:lang w:val="it-IT"/>
        </w:rPr>
        <w:t xml:space="preserve">, được định hướng sẽ phát triển </w:t>
      </w:r>
      <w:r w:rsidR="001A09D2" w:rsidRPr="008E63BB">
        <w:rPr>
          <w:rFonts w:eastAsia="Arial"/>
          <w:bCs/>
          <w:szCs w:val="26"/>
          <w:lang w:val="it-IT"/>
        </w:rPr>
        <w:t>đa dạng các ngành công nghiệp chủ yếu như: dệt may, cơ khí chế tạo, sản xuất thuốc và hóa dược, điện tử, công nghiệp hỗ trợ, công nghiệp công nghệ cao...</w:t>
      </w:r>
      <w:r w:rsidR="001C1799" w:rsidRPr="008E63BB">
        <w:rPr>
          <w:rFonts w:eastAsia="Arial Unicode MS"/>
          <w:szCs w:val="26"/>
          <w:u w:color="000000"/>
          <w:lang w:val="vi-VN"/>
        </w:rPr>
        <w:t xml:space="preserve"> Tập trung phát triển các ngành công nghiệp sạch (công nghiệp phi khai khoáng, chế biến, chế tạo), công nghệ cao, giảm dần tỷ trọng các ngành công nghiệp khai khoáng, đưa ngành chế biến chế tạo trở thành động lực cho sự tăng trưởng của thành phố.</w:t>
      </w:r>
    </w:p>
    <w:p w14:paraId="519B3038" w14:textId="77777777" w:rsidR="001A09D2" w:rsidRPr="008E63BB" w:rsidRDefault="001820BE" w:rsidP="0065184D">
      <w:pPr>
        <w:rPr>
          <w:i/>
          <w:lang w:val="sv-SE"/>
        </w:rPr>
      </w:pPr>
      <w:r w:rsidRPr="008E63BB">
        <w:rPr>
          <w:i/>
          <w:lang w:val="sv-SE"/>
        </w:rPr>
        <w:t>b</w:t>
      </w:r>
      <w:r w:rsidR="001A09D2" w:rsidRPr="008E63BB">
        <w:rPr>
          <w:i/>
          <w:lang w:val="sv-SE"/>
        </w:rPr>
        <w:t>. Thương mại dịch vụ</w:t>
      </w:r>
    </w:p>
    <w:p w14:paraId="519B3039" w14:textId="77777777" w:rsidR="0001428A" w:rsidRPr="008E63BB" w:rsidRDefault="001820BE" w:rsidP="0065184D">
      <w:pPr>
        <w:ind w:firstLine="720"/>
        <w:rPr>
          <w:rFonts w:eastAsia="Arial"/>
          <w:bCs/>
          <w:szCs w:val="26"/>
          <w:lang w:val="it-IT"/>
        </w:rPr>
      </w:pPr>
      <w:r w:rsidRPr="008E63BB">
        <w:rPr>
          <w:rFonts w:eastAsia="Arial"/>
          <w:bCs/>
          <w:szCs w:val="26"/>
          <w:lang w:val="it-IT"/>
        </w:rPr>
        <w:t>T</w:t>
      </w:r>
      <w:r w:rsidR="0001428A" w:rsidRPr="008E63BB">
        <w:rPr>
          <w:rFonts w:eastAsia="Arial"/>
          <w:bCs/>
          <w:szCs w:val="26"/>
          <w:lang w:val="it-IT"/>
        </w:rPr>
        <w:t>hương mại Thành phố Nam Định và vùng phụ cận được ưu tiên khuyến khích đầu tư xây dựng mới, tạo điều kiện phát triển các trung tâm thương mại, siêu thị, khu vui chơi giải trí, khách sạn cao cấp… quy mô cấp vùng. Phát triển đa dạng các loại hình dịch vụ khác như vận tải, dịch vụ phục vụ cho sản xuất, kinh doanh, dịch vụ viễn thông và công nghệ thông tin đáp ứng yêu cầu hội nhập. Chú trọng phát triển loại hình bán lẻ hiện đại (trung tâm thương mại, siêu thị, cửa hàng tiện lợi) hỗ trợ cho các chợ truyền thống, chợ dân sinh.</w:t>
      </w:r>
    </w:p>
    <w:p w14:paraId="519B303A" w14:textId="77777777" w:rsidR="001A09D2" w:rsidRPr="008E63BB" w:rsidRDefault="001820BE" w:rsidP="0065184D">
      <w:pPr>
        <w:rPr>
          <w:i/>
          <w:lang w:val="sv-SE"/>
        </w:rPr>
      </w:pPr>
      <w:r w:rsidRPr="008E63BB">
        <w:rPr>
          <w:i/>
          <w:lang w:val="sv-SE"/>
        </w:rPr>
        <w:t>c</w:t>
      </w:r>
      <w:r w:rsidR="001A09D2" w:rsidRPr="008E63BB">
        <w:rPr>
          <w:i/>
          <w:lang w:val="sv-SE"/>
        </w:rPr>
        <w:t>. Du lịch</w:t>
      </w:r>
    </w:p>
    <w:p w14:paraId="519B303B" w14:textId="77777777" w:rsidR="001A09D2" w:rsidRPr="008E63BB" w:rsidRDefault="001A09D2" w:rsidP="0065184D">
      <w:pPr>
        <w:tabs>
          <w:tab w:val="left" w:pos="851"/>
        </w:tabs>
        <w:rPr>
          <w:lang w:val="it-IT"/>
        </w:rPr>
      </w:pPr>
      <w:r w:rsidRPr="008E63BB">
        <w:rPr>
          <w:lang w:val="it-IT"/>
        </w:rPr>
        <w:tab/>
      </w:r>
      <w:r w:rsidR="001820BE" w:rsidRPr="008E63BB">
        <w:rPr>
          <w:lang w:val="it-IT"/>
        </w:rPr>
        <w:t>Định hướng</w:t>
      </w:r>
      <w:r w:rsidR="001820BE" w:rsidRPr="008E63BB">
        <w:rPr>
          <w:szCs w:val="26"/>
          <w:lang w:val="it-IT"/>
        </w:rPr>
        <w:t>đ</w:t>
      </w:r>
      <w:r w:rsidRPr="008E63BB">
        <w:rPr>
          <w:szCs w:val="26"/>
          <w:lang w:val="it-IT"/>
        </w:rPr>
        <w:t xml:space="preserve">ến năm 2030, Nam Định trở thành tỉnh có ngành du lịch phát triển với hệ </w:t>
      </w:r>
      <w:r w:rsidRPr="008E63BB">
        <w:rPr>
          <w:szCs w:val="26"/>
          <w:lang w:val="vi-VN"/>
        </w:rPr>
        <w:t>thống c</w:t>
      </w:r>
      <w:r w:rsidRPr="008E63BB">
        <w:rPr>
          <w:szCs w:val="26"/>
          <w:lang w:val="it-IT"/>
        </w:rPr>
        <w:t>ơ s</w:t>
      </w:r>
      <w:r w:rsidRPr="008E63BB">
        <w:rPr>
          <w:szCs w:val="26"/>
          <w:lang w:val="vi-VN"/>
        </w:rPr>
        <w:t>ở</w:t>
      </w:r>
      <w:r w:rsidRPr="008E63BB">
        <w:rPr>
          <w:szCs w:val="26"/>
          <w:lang w:val="it-IT"/>
        </w:rPr>
        <w:t xml:space="preserve"> vật chất - kỹ thuật đồng bộ; sản phẩm du lịch có chất lư</w:t>
      </w:r>
      <w:r w:rsidRPr="008E63BB">
        <w:rPr>
          <w:szCs w:val="26"/>
          <w:lang w:val="vi-VN"/>
        </w:rPr>
        <w:t>ợng</w:t>
      </w:r>
      <w:r w:rsidRPr="008E63BB">
        <w:rPr>
          <w:szCs w:val="26"/>
          <w:lang w:val="it-IT"/>
        </w:rPr>
        <w:t xml:space="preserve"> cao, đa dạng, mang đậm bản sắc văn hoá dân tộc, </w:t>
      </w:r>
      <w:r w:rsidRPr="008E63BB">
        <w:rPr>
          <w:szCs w:val="26"/>
          <w:lang w:val="vi-VN"/>
        </w:rPr>
        <w:t>có tính chuyên nghiệp</w:t>
      </w:r>
      <w:r w:rsidRPr="008E63BB">
        <w:rPr>
          <w:szCs w:val="26"/>
          <w:lang w:val="it-IT"/>
        </w:rPr>
        <w:t xml:space="preserve">, </w:t>
      </w:r>
      <w:r w:rsidRPr="008E63BB">
        <w:rPr>
          <w:bCs/>
          <w:iCs/>
          <w:szCs w:val="26"/>
          <w:lang w:val="it-IT"/>
        </w:rPr>
        <w:t xml:space="preserve">thân thiện với môi trường; đưa </w:t>
      </w:r>
      <w:r w:rsidRPr="008E63BB">
        <w:rPr>
          <w:szCs w:val="26"/>
          <w:lang w:val="it-IT"/>
        </w:rPr>
        <w:t xml:space="preserve">Nam Định </w:t>
      </w:r>
      <w:r w:rsidRPr="008E63BB">
        <w:rPr>
          <w:bCs/>
          <w:iCs/>
          <w:szCs w:val="26"/>
          <w:lang w:val="it-IT"/>
        </w:rPr>
        <w:t>trở thành điểm đến hấp dẫn của khu vực đồng bằng sông Hồng.</w:t>
      </w:r>
    </w:p>
    <w:p w14:paraId="519B303C" w14:textId="77777777" w:rsidR="001C1799" w:rsidRPr="008E63BB" w:rsidRDefault="001C1799" w:rsidP="001C1799">
      <w:pPr>
        <w:pStyle w:val="BodyText2"/>
        <w:spacing w:after="0" w:line="240" w:lineRule="auto"/>
        <w:ind w:firstLine="720"/>
        <w:rPr>
          <w:bCs/>
          <w:szCs w:val="26"/>
          <w:lang w:val="it-IT"/>
        </w:rPr>
      </w:pPr>
      <w:r w:rsidRPr="008E63BB">
        <w:rPr>
          <w:bCs/>
          <w:szCs w:val="26"/>
          <w:lang w:val="it-IT"/>
        </w:rPr>
        <w:t>Định hướng p</w:t>
      </w:r>
      <w:r w:rsidRPr="008E63BB">
        <w:rPr>
          <w:rFonts w:eastAsia="Arial Unicode MS"/>
          <w:szCs w:val="26"/>
          <w:u w:color="000000"/>
        </w:rPr>
        <w:t xml:space="preserve">hát triển du lịch đa dạng </w:t>
      </w:r>
      <w:r w:rsidRPr="008E63BB">
        <w:rPr>
          <w:lang w:val="it-IT"/>
        </w:rPr>
        <w:t>có chất lư</w:t>
      </w:r>
      <w:r w:rsidRPr="008E63BB">
        <w:t>ợng</w:t>
      </w:r>
      <w:r w:rsidRPr="008E63BB">
        <w:rPr>
          <w:lang w:val="it-IT"/>
        </w:rPr>
        <w:t xml:space="preserve"> cao, mang đậm bản sắc văn hoá dân tộc. </w:t>
      </w:r>
      <w:r w:rsidRPr="008E63BB">
        <w:rPr>
          <w:rFonts w:eastAsia="Arial Unicode MS"/>
          <w:szCs w:val="26"/>
          <w:u w:color="000000"/>
        </w:rPr>
        <w:t xml:space="preserve">Phát triển du lịch Nam Định mang tính kết nối vùng, liên kết với các sản phẩm du lịch các địa phương trong </w:t>
      </w:r>
      <w:r w:rsidRPr="008E63BB">
        <w:rPr>
          <w:bCs/>
          <w:iCs/>
          <w:lang w:val="it-IT"/>
        </w:rPr>
        <w:t>khu vực đồng bằng sông Hồng</w:t>
      </w:r>
      <w:r w:rsidRPr="008E63BB">
        <w:rPr>
          <w:bCs/>
          <w:szCs w:val="26"/>
          <w:lang w:val="it-IT"/>
        </w:rPr>
        <w:t>. X</w:t>
      </w:r>
      <w:r w:rsidR="001A09D2" w:rsidRPr="008E63BB">
        <w:rPr>
          <w:bCs/>
          <w:szCs w:val="26"/>
          <w:lang w:val="it-IT"/>
        </w:rPr>
        <w:t>ây dựng sản phẩm du lịch đặc thù của Nam Định: Du lịch văn hóa lịch sử; Du lịch văn hóa tâm linh mang tính đặc trưng riêng của Nam Định, Du lịch làng nghề với sản phẩm truyền thống trong đó có các làng nghề cây cảnh, Du lịch trên sông (</w:t>
      </w:r>
      <w:r w:rsidR="001A09D2" w:rsidRPr="008E63BB">
        <w:rPr>
          <w:iCs/>
          <w:lang w:val="it-IT"/>
        </w:rPr>
        <w:t>xây dựng các tour du lịch ngắn trên sông với điểm xuất phát từ các bến của sông Đào thuộc địa phận thành phố Nam Định, phát triển ra các hướng nối với sông Hồng tham quan cầu Tân Đệ,  Phà Tân Đệ, Đền Cây Quế hoặc xuôi về phía nam thăm làng nghề cây cảnh Vị Khê, đền thờ Trạng nguyên Nguyễn Hiền, Chùa Cổ Lễ, chùa Keo Hành Thiện. Đồng thời, tiếp tục phối hợp với Thành phố Hà Nội và các tỉnh liên quan để nghiên cứu xây dựng tuyến du lịch sông Hồng liên tỉnh...)</w:t>
      </w:r>
      <w:r w:rsidRPr="008E63BB">
        <w:rPr>
          <w:bCs/>
          <w:szCs w:val="26"/>
          <w:lang w:val="it-IT"/>
        </w:rPr>
        <w:t xml:space="preserve">. </w:t>
      </w:r>
      <w:r w:rsidRPr="008E63BB">
        <w:rPr>
          <w:bCs/>
          <w:iCs/>
          <w:lang w:val="it-IT"/>
        </w:rPr>
        <w:t xml:space="preserve">Tập trung xây dựng </w:t>
      </w:r>
      <w:r w:rsidRPr="008E63BB">
        <w:rPr>
          <w:bCs/>
        </w:rPr>
        <w:t xml:space="preserve">Khu du lịch văn hóa lịch sử thời Trần, Khu du lịch văn hóa tâm linh Phủ Dầy, </w:t>
      </w:r>
      <w:r w:rsidRPr="008E63BB">
        <w:rPr>
          <w:bCs/>
          <w:iCs/>
          <w:lang w:val="it-IT"/>
        </w:rPr>
        <w:t>khu du lịch VQG Xuân Thủy, Khu du lịch Quất Lâm, Thịnh Long...</w:t>
      </w:r>
      <w:r w:rsidRPr="008E63BB">
        <w:rPr>
          <w:rFonts w:eastAsia="Arial Unicode MS"/>
          <w:szCs w:val="26"/>
          <w:u w:color="000000"/>
        </w:rPr>
        <w:t xml:space="preserve"> Ngoài ra, phát triển một số làng nghề là sản phẩm du lịch như </w:t>
      </w:r>
      <w:r w:rsidRPr="008E63BB">
        <w:rPr>
          <w:bCs/>
        </w:rPr>
        <w:t>làng nghề trồng hoa cây cảnh Vị Khê, làng nghề chạm khắc gỗ La Xuyên, làng nghề đúc đồng Tống Xá, làng nghề múa rối nước Hồng Quang (Nam Trực), làng nghề ươm tơ Cổ Chất (Trực Ninh), các làng nghề làm muối thuộc các xã Hải Hòa (Hải Hậu), Giao Lâm (Quất Lâm), Nghĩa Thắng (Nghĩa Hưng), làng nghề đan lưới Hải Triều (Hải Hậu).</w:t>
      </w:r>
    </w:p>
    <w:p w14:paraId="519B303D" w14:textId="77777777" w:rsidR="007B7A76" w:rsidRPr="008E63BB" w:rsidRDefault="001820BE" w:rsidP="0065184D">
      <w:pPr>
        <w:rPr>
          <w:i/>
          <w:lang w:val="sv-SE"/>
        </w:rPr>
      </w:pPr>
      <w:r w:rsidRPr="008E63BB">
        <w:rPr>
          <w:i/>
          <w:lang w:val="sv-SE"/>
        </w:rPr>
        <w:t>d</w:t>
      </w:r>
      <w:r w:rsidR="007B7A76" w:rsidRPr="008E63BB">
        <w:rPr>
          <w:i/>
          <w:lang w:val="sv-SE"/>
        </w:rPr>
        <w:t>. Nông nghiệp</w:t>
      </w:r>
    </w:p>
    <w:p w14:paraId="519B303E" w14:textId="77777777" w:rsidR="001A09D2" w:rsidRPr="008E63BB" w:rsidRDefault="001820BE" w:rsidP="001820BE">
      <w:pPr>
        <w:ind w:firstLine="720"/>
        <w:rPr>
          <w:rFonts w:eastAsia="Arial"/>
          <w:bCs/>
          <w:szCs w:val="26"/>
          <w:lang w:val="it-IT"/>
        </w:rPr>
      </w:pPr>
      <w:r w:rsidRPr="008E63BB">
        <w:rPr>
          <w:rFonts w:eastAsia="Arial"/>
          <w:bCs/>
          <w:szCs w:val="26"/>
          <w:lang w:val="it-IT"/>
        </w:rPr>
        <w:t>P</w:t>
      </w:r>
      <w:r w:rsidR="00591D32" w:rsidRPr="008E63BB">
        <w:rPr>
          <w:rFonts w:eastAsia="Arial"/>
          <w:bCs/>
          <w:szCs w:val="26"/>
          <w:lang w:val="it-IT"/>
        </w:rPr>
        <w:t>hát triển nền nông nghiệp thành phố theo hướng nền nông nghiệp đô thị sinh thái có năng suất, chất lượng, hiệu quả, bền vững với môi trường. Phát triển nông nghiệp gắn chặt với hình thành vành đai cây xanh, vùng trồng rau sạch, vùng trồng hoa, cây cảnh gắn với hệ thống phân phối tiện lợi cho người dân.</w:t>
      </w:r>
    </w:p>
    <w:p w14:paraId="519B303F"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lastRenderedPageBreak/>
        <w:t>Tập trung nguồn lực để nâng cao giá trị gia tăng đối với các sản phẩm nông nghiệp đặc trưng; nâng cao năng suất tập trung áp dụng công nghệ cao và sản lượng bằng cách sử dụng các nguồn giống đã được cải tiến, tăng quy mô sản xuất, áp dụng các biện pháp canh tác và kỹ thuật tiên tiến vào sản xuất nông nghiệp.</w:t>
      </w:r>
    </w:p>
    <w:p w14:paraId="519B3040"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Về trồng trọt: tập trung phát triển hệ thống sản xuất công nghệ cao, sạch, công nghệ hữu cơ, áp dụng các loại giống có năng suất cao nhằm nâng cao giá trị gia tăng trên cơ sở triển khai quy hoạch các vùng sản xuất tập trung.</w:t>
      </w:r>
    </w:p>
    <w:p w14:paraId="519B3041"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Về chăn nuôi: Khuyến khích phát triển chăn nuôi tập trung, chăn nuôi công nghiệp áp dụng công nghệ tiên tiến để nâng cao chất lượng, vệ sinh, môi trường; khuyến khích sản xuất gắn với các hoạt động chế biến thực phẩm nhằm nâng cao giá trị gia tăng.</w:t>
      </w:r>
    </w:p>
    <w:p w14:paraId="519B3042"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Về thủy sản: Phát triển kinh tế thủy sản về nuôi trồng, chế biến gia tăng giá trị.</w:t>
      </w:r>
    </w:p>
    <w:p w14:paraId="519B3043" w14:textId="77777777" w:rsidR="00E033D3" w:rsidRPr="008E63BB" w:rsidRDefault="007F6E3B" w:rsidP="0065184D">
      <w:pPr>
        <w:pStyle w:val="Heading2"/>
        <w:spacing w:before="0" w:after="0"/>
        <w:rPr>
          <w:lang w:val="it-IT"/>
        </w:rPr>
      </w:pPr>
      <w:bookmarkStart w:id="325" w:name="_Toc341519049"/>
      <w:bookmarkStart w:id="326" w:name="_Toc341519150"/>
      <w:bookmarkStart w:id="327" w:name="_Toc344928462"/>
      <w:bookmarkStart w:id="328" w:name="_Toc345538370"/>
      <w:bookmarkStart w:id="329" w:name="_Toc47524685"/>
      <w:r w:rsidRPr="008E63BB">
        <w:rPr>
          <w:lang w:val="it-IT"/>
        </w:rPr>
        <w:t>4.4</w:t>
      </w:r>
      <w:r w:rsidR="00E033D3" w:rsidRPr="008E63BB">
        <w:rPr>
          <w:lang w:val="it-IT"/>
        </w:rPr>
        <w:t xml:space="preserve">. </w:t>
      </w:r>
      <w:r w:rsidRPr="008E63BB">
        <w:rPr>
          <w:lang w:val="it-IT"/>
        </w:rPr>
        <w:t>Xây dựng t</w:t>
      </w:r>
      <w:r w:rsidR="00E033D3" w:rsidRPr="008E63BB">
        <w:rPr>
          <w:lang w:val="it-IT"/>
        </w:rPr>
        <w:t>ầm nhìn đến năm 2050</w:t>
      </w:r>
      <w:bookmarkEnd w:id="325"/>
      <w:bookmarkEnd w:id="326"/>
      <w:bookmarkEnd w:id="327"/>
      <w:bookmarkEnd w:id="328"/>
      <w:bookmarkEnd w:id="329"/>
    </w:p>
    <w:p w14:paraId="519B3044" w14:textId="77777777" w:rsidR="00E033D3" w:rsidRPr="008E63BB" w:rsidRDefault="00E033D3" w:rsidP="0065184D">
      <w:pPr>
        <w:tabs>
          <w:tab w:val="num" w:pos="720"/>
        </w:tabs>
        <w:rPr>
          <w:szCs w:val="26"/>
          <w:lang w:val="it-IT"/>
        </w:rPr>
      </w:pPr>
      <w:r w:rsidRPr="008E63BB">
        <w:rPr>
          <w:szCs w:val="26"/>
          <w:lang w:val="it-IT"/>
        </w:rPr>
        <w:tab/>
        <w:t>Sự phát triển thành phố Nam Định sẽ tận dụng lợi thế vị trí và vai trò trong vùng phía Nam của sông Hồng. Đồng thời sự phát triển cũng đồng nghĩa với việc tiếp tục đóng góp cho sự tăng trưởng của vùng, mang lại lợi ích cho người dân địa phương ở phía nam đồng bằng sông Hồng.</w:t>
      </w:r>
    </w:p>
    <w:p w14:paraId="519B3045" w14:textId="77777777" w:rsidR="00E033D3" w:rsidRPr="008E63BB" w:rsidRDefault="00E033D3" w:rsidP="0065184D">
      <w:pPr>
        <w:tabs>
          <w:tab w:val="num" w:pos="720"/>
        </w:tabs>
        <w:rPr>
          <w:szCs w:val="26"/>
          <w:lang w:val="it-IT"/>
        </w:rPr>
      </w:pPr>
      <w:r w:rsidRPr="008E63BB">
        <w:rPr>
          <w:szCs w:val="26"/>
          <w:lang w:val="it-IT"/>
        </w:rPr>
        <w:tab/>
        <w:t xml:space="preserve">Tầm nhìn dài hạn của Thành phố Nam Định cần phải hướng đến cân bằng đô thị hóa / hiện đại hóa và giữ gìn bản sắc độc đáo. Tiếp tục bảo tồn thành phố di sản có giá trị lịch sử </w:t>
      </w:r>
      <w:r w:rsidR="00591D32" w:rsidRPr="008E63BB">
        <w:rPr>
          <w:szCs w:val="26"/>
          <w:lang w:val="it-IT"/>
        </w:rPr>
        <w:t xml:space="preserve">hơn </w:t>
      </w:r>
      <w:r w:rsidRPr="008E63BB">
        <w:rPr>
          <w:szCs w:val="26"/>
          <w:lang w:val="it-IT"/>
        </w:rPr>
        <w:t>750 năm, đồng thời hỗ trợ mở rộng đô thị, phát triển cơ sở hạ tầng, đảm bảo quốc phòng và phát triển bền vững.</w:t>
      </w:r>
    </w:p>
    <w:p w14:paraId="519B3046" w14:textId="77777777" w:rsidR="00E033D3" w:rsidRPr="008E63BB" w:rsidRDefault="00E033D3" w:rsidP="0065184D">
      <w:pPr>
        <w:tabs>
          <w:tab w:val="num" w:pos="720"/>
        </w:tabs>
        <w:rPr>
          <w:szCs w:val="26"/>
          <w:lang w:val="it-IT"/>
        </w:rPr>
      </w:pPr>
      <w:r w:rsidRPr="008E63BB">
        <w:rPr>
          <w:szCs w:val="26"/>
          <w:lang w:val="it-IT"/>
        </w:rPr>
        <w:tab/>
        <w:t>Tầm nhìn thành phố Nam Định hướng đến là:</w:t>
      </w:r>
    </w:p>
    <w:p w14:paraId="519B3047" w14:textId="77777777" w:rsidR="00E033D3" w:rsidRPr="008E63BB" w:rsidRDefault="00E033D3" w:rsidP="0065184D">
      <w:pPr>
        <w:tabs>
          <w:tab w:val="num" w:pos="720"/>
        </w:tabs>
        <w:rPr>
          <w:b/>
          <w:i/>
          <w:iCs/>
          <w:szCs w:val="26"/>
          <w:lang w:val="it-IT"/>
        </w:rPr>
      </w:pPr>
      <w:r w:rsidRPr="008E63BB">
        <w:rPr>
          <w:b/>
          <w:szCs w:val="26"/>
          <w:lang w:val="it-IT"/>
        </w:rPr>
        <w:tab/>
        <w:t>“</w:t>
      </w:r>
      <w:r w:rsidRPr="008E63BB">
        <w:rPr>
          <w:b/>
          <w:i/>
          <w:iCs/>
          <w:szCs w:val="26"/>
          <w:lang w:val="it-IT"/>
        </w:rPr>
        <w:t xml:space="preserve">Đến năm 2050, </w:t>
      </w:r>
      <w:r w:rsidRPr="008E63BB">
        <w:rPr>
          <w:b/>
          <w:bCs/>
          <w:i/>
          <w:iCs/>
          <w:szCs w:val="26"/>
          <w:lang w:val="it-IT"/>
        </w:rPr>
        <w:t>Nam Định sẽ là Thành phố thông minh đáng sống của vùng đồng bằng sông Hồng</w:t>
      </w:r>
      <w:r w:rsidRPr="008E63BB">
        <w:rPr>
          <w:b/>
          <w:i/>
          <w:iCs/>
          <w:szCs w:val="26"/>
          <w:lang w:val="it-IT"/>
        </w:rPr>
        <w:t>, Một đô thị có truyền thống lịch sử được bảo tồn phát huy gắn với các không gian mới hiện đại, tiện nghi hấp dẫn thân thiện môi trường”</w:t>
      </w:r>
    </w:p>
    <w:p w14:paraId="519B3048" w14:textId="77777777" w:rsidR="007F6E3B" w:rsidRPr="008E63BB" w:rsidRDefault="007F6E3B" w:rsidP="007F6E3B">
      <w:pPr>
        <w:pStyle w:val="Heading2"/>
        <w:spacing w:before="0" w:after="0"/>
        <w:rPr>
          <w:lang w:val="it-IT"/>
        </w:rPr>
      </w:pPr>
      <w:bookmarkStart w:id="330" w:name="_Toc341519050"/>
      <w:bookmarkStart w:id="331" w:name="_Toc341519151"/>
      <w:bookmarkStart w:id="332" w:name="_Toc344928463"/>
      <w:bookmarkStart w:id="333" w:name="_Toc345538371"/>
      <w:bookmarkStart w:id="334" w:name="_Toc47524686"/>
      <w:r w:rsidRPr="008E63BB">
        <w:rPr>
          <w:lang w:val="it-IT"/>
        </w:rPr>
        <w:t>4.5. Tính chất, chức năng đô thị</w:t>
      </w:r>
      <w:bookmarkEnd w:id="330"/>
      <w:bookmarkEnd w:id="331"/>
      <w:bookmarkEnd w:id="332"/>
      <w:bookmarkEnd w:id="333"/>
      <w:bookmarkEnd w:id="334"/>
    </w:p>
    <w:p w14:paraId="519B3049" w14:textId="77777777" w:rsidR="007F6E3B" w:rsidRPr="008E63BB" w:rsidRDefault="007F6E3B" w:rsidP="007F6E3B">
      <w:pPr>
        <w:widowControl w:val="0"/>
        <w:ind w:firstLine="720"/>
        <w:rPr>
          <w:lang w:val="it-IT"/>
        </w:rPr>
      </w:pPr>
      <w:r w:rsidRPr="008E63BB">
        <w:rPr>
          <w:lang w:val="it-IT"/>
        </w:rPr>
        <w:t>- Là đô thị tỉnh lỵ, trung tâm chính trị, kinh tế, văn hóa, xã hội, khoa học kỹ thuật, giáo dục đào tạo của tỉnh Nam Định.</w:t>
      </w:r>
    </w:p>
    <w:p w14:paraId="519B304A" w14:textId="77777777" w:rsidR="007F6E3B" w:rsidRPr="008E63BB" w:rsidRDefault="007F6E3B" w:rsidP="007F6E3B">
      <w:pPr>
        <w:widowControl w:val="0"/>
        <w:ind w:firstLine="720"/>
        <w:rPr>
          <w:lang w:val="it-IT"/>
        </w:rPr>
      </w:pPr>
      <w:r w:rsidRPr="008E63BB">
        <w:rPr>
          <w:lang w:val="it-IT"/>
        </w:rPr>
        <w:t>- Là trung tâm kinh tế, văn hóa, khoa học – đào tạo, y tế, dịch vụ du lịch của Vùng Nam đồng bằng sông Hồng. Là đô thị có các giá trị văn hóa, lịch sử nôi trội.</w:t>
      </w:r>
    </w:p>
    <w:p w14:paraId="519B304B" w14:textId="77777777" w:rsidR="007F6E3B" w:rsidRPr="008E63BB" w:rsidRDefault="007F6E3B" w:rsidP="007F6E3B">
      <w:pPr>
        <w:widowControl w:val="0"/>
        <w:ind w:firstLine="720"/>
        <w:rPr>
          <w:lang w:val="it-IT"/>
        </w:rPr>
      </w:pPr>
      <w:r w:rsidRPr="008E63BB">
        <w:rPr>
          <w:lang w:val="it-IT"/>
        </w:rPr>
        <w:t>- Là khu vực có vị trí quan trọng về quốc phòng an ninh.</w:t>
      </w:r>
    </w:p>
    <w:p w14:paraId="519B304C" w14:textId="77777777" w:rsidR="007F6E3B" w:rsidRPr="008E63BB" w:rsidRDefault="007F6E3B" w:rsidP="007F6E3B">
      <w:pPr>
        <w:pStyle w:val="Heading2"/>
        <w:spacing w:before="0" w:after="0"/>
        <w:rPr>
          <w:lang w:val="it-IT"/>
        </w:rPr>
      </w:pPr>
      <w:bookmarkStart w:id="335" w:name="_Toc47524687"/>
      <w:r w:rsidRPr="008E63BB">
        <w:rPr>
          <w:lang w:val="it-IT"/>
        </w:rPr>
        <w:t>4.6. Các chiến lược phát triển đô thị</w:t>
      </w:r>
      <w:bookmarkEnd w:id="335"/>
    </w:p>
    <w:p w14:paraId="519B304D" w14:textId="77777777" w:rsidR="007215B7" w:rsidRPr="008E63BB" w:rsidRDefault="00F8156E" w:rsidP="009C4546">
      <w:pPr>
        <w:ind w:firstLine="720"/>
        <w:rPr>
          <w:kern w:val="32"/>
          <w:lang w:val="it-IT"/>
        </w:rPr>
      </w:pPr>
      <w:r w:rsidRPr="008E63BB">
        <w:rPr>
          <w:noProof/>
          <w:lang w:eastAsia="zh-CN"/>
        </w:rPr>
        <w:drawing>
          <wp:anchor distT="0" distB="0" distL="114300" distR="114300" simplePos="0" relativeHeight="251656192" behindDoc="0" locked="0" layoutInCell="1" allowOverlap="1" wp14:anchorId="519B5221" wp14:editId="519B5222">
            <wp:simplePos x="0" y="0"/>
            <wp:positionH relativeFrom="column">
              <wp:posOffset>3000375</wp:posOffset>
            </wp:positionH>
            <wp:positionV relativeFrom="paragraph">
              <wp:posOffset>194945</wp:posOffset>
            </wp:positionV>
            <wp:extent cx="3032125" cy="2275205"/>
            <wp:effectExtent l="19050" t="0" r="0" b="0"/>
            <wp:wrapSquare wrapText="bothSides"/>
            <wp:docPr id="14" name="Picture 2" descr="A picture containing text, map&#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4581979-804E-4FB0-9C27-989F9A2090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text, map&#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4581979-804E-4FB0-9C27-989F9A2090BD}"/>
                        </a:ext>
                      </a:extLst>
                    </pic:cNvPr>
                    <pic:cNvPicPr>
                      <a:picLocks noChangeAspect="1"/>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3032125" cy="2275205"/>
                    </a:xfrm>
                    <a:prstGeom prst="rect">
                      <a:avLst/>
                    </a:prstGeom>
                    <a:ln>
                      <a:noFill/>
                    </a:ln>
                    <a:extLst>
                      <a:ext uri="{53640926-AAD7-44D8-BBD7-CCE9431645EC}">
                        <a14:shadowObscured xmlns:a14="http://schemas.microsoft.com/office/drawing/2010/main"/>
                      </a:ext>
                    </a:extLst>
                  </pic:spPr>
                </pic:pic>
              </a:graphicData>
            </a:graphic>
          </wp:anchor>
        </w:drawing>
      </w:r>
      <w:r w:rsidR="007215B7" w:rsidRPr="008E63BB">
        <w:rPr>
          <w:lang w:val="pt-BR"/>
        </w:rPr>
        <w:t xml:space="preserve">Xây dựng 08 </w:t>
      </w:r>
      <w:r w:rsidR="009C4546" w:rsidRPr="008E63BB">
        <w:rPr>
          <w:lang w:val="pt-BR"/>
        </w:rPr>
        <w:t>chiến lược</w:t>
      </w:r>
      <w:r w:rsidR="007215B7" w:rsidRPr="008E63BB">
        <w:rPr>
          <w:lang w:val="pt-BR"/>
        </w:rPr>
        <w:t xml:space="preserve"> phát triển cho thành phố Nam Định như sau:</w:t>
      </w:r>
    </w:p>
    <w:tbl>
      <w:tblPr>
        <w:tblW w:w="0" w:type="auto"/>
        <w:tblLook w:val="04A0" w:firstRow="1" w:lastRow="0" w:firstColumn="1" w:lastColumn="0" w:noHBand="0" w:noVBand="1"/>
      </w:tblPr>
      <w:tblGrid>
        <w:gridCol w:w="4731"/>
      </w:tblGrid>
      <w:tr w:rsidR="007D7CC4" w:rsidRPr="008E63BB" w14:paraId="519B304F" w14:textId="77777777" w:rsidTr="00077538">
        <w:tc>
          <w:tcPr>
            <w:tcW w:w="9502" w:type="dxa"/>
          </w:tcPr>
          <w:p w14:paraId="519B304E" w14:textId="77777777" w:rsidR="007215B7" w:rsidRPr="008E63BB" w:rsidRDefault="007215B7" w:rsidP="00077538">
            <w:r w:rsidRPr="008E63BB">
              <w:rPr>
                <w:noProof/>
                <w:lang w:eastAsia="zh-CN"/>
              </w:rPr>
              <w:drawing>
                <wp:inline distT="0" distB="0" distL="0" distR="0" wp14:anchorId="519B5223" wp14:editId="519B5224">
                  <wp:extent cx="5667217" cy="25199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nguyentacQH.JPG"/>
                          <pic:cNvPicPr/>
                        </pic:nvPicPr>
                        <pic:blipFill>
                          <a:blip r:embed="rId80" cstate="screen">
                            <a:extLst>
                              <a:ext uri="{28A0092B-C50C-407E-A947-70E740481C1C}">
                                <a14:useLocalDpi xmlns:a14="http://schemas.microsoft.com/office/drawing/2010/main"/>
                              </a:ext>
                            </a:extLst>
                          </a:blip>
                          <a:stretch>
                            <a:fillRect/>
                          </a:stretch>
                        </pic:blipFill>
                        <pic:spPr>
                          <a:xfrm>
                            <a:off x="0" y="0"/>
                            <a:ext cx="5671162" cy="2521670"/>
                          </a:xfrm>
                          <a:prstGeom prst="rect">
                            <a:avLst/>
                          </a:prstGeom>
                        </pic:spPr>
                      </pic:pic>
                    </a:graphicData>
                  </a:graphic>
                </wp:inline>
              </w:drawing>
            </w:r>
          </w:p>
        </w:tc>
      </w:tr>
    </w:tbl>
    <w:p w14:paraId="519B3050" w14:textId="77777777" w:rsidR="007215B7" w:rsidRPr="008E63BB" w:rsidRDefault="009C4546" w:rsidP="007215B7">
      <w:pPr>
        <w:rPr>
          <w:i/>
          <w:iCs/>
        </w:rPr>
      </w:pPr>
      <w:r w:rsidRPr="008E63BB">
        <w:rPr>
          <w:i/>
          <w:iCs/>
        </w:rPr>
        <w:t>Chiến lược</w:t>
      </w:r>
      <w:r w:rsidR="007215B7" w:rsidRPr="008E63BB">
        <w:rPr>
          <w:i/>
          <w:iCs/>
        </w:rPr>
        <w:t xml:space="preserve"> 01: Thành phố sẵn sàng ứng phó biến đổi khi hậu</w:t>
      </w:r>
    </w:p>
    <w:p w14:paraId="519B3051" w14:textId="77777777" w:rsidR="007215B7" w:rsidRPr="008E63BB" w:rsidRDefault="007215B7" w:rsidP="007215B7">
      <w:pPr>
        <w:ind w:firstLine="540"/>
      </w:pPr>
      <w:r w:rsidRPr="008E63BB">
        <w:lastRenderedPageBreak/>
        <w:t>Tác động của biến đổi khí hậu đến môi trường sống, môi trường tự nhiên và các thành phố như Nam Định sẽ có tác động đến cộng đồng đô thị và cũng như sự vận hành nền kinh tế của thành phố. Việc chuẩn bị để Nam Định sẵn sàng ứng phó với biến đổi khí hậu là rất quan trọng, giúp giảm thiểu rủi ro dài hạn, cải thiện khả năng phục hồi đô thị trước các tác động của biến đổi khí hậu dự kiến. Để Nam Định trở thành một thành phố sẵn sàng ứng phó với biến đổi khí hậu, các chiến lược sau được áp dụng:</w:t>
      </w:r>
    </w:p>
    <w:p w14:paraId="519B3052" w14:textId="77777777" w:rsidR="007215B7" w:rsidRPr="008E63BB" w:rsidRDefault="007215B7" w:rsidP="007215B7">
      <w:pPr>
        <w:ind w:firstLine="540"/>
        <w:rPr>
          <w:spacing w:val="-2"/>
        </w:rPr>
      </w:pPr>
      <w:r w:rsidRPr="008E63BB">
        <w:rPr>
          <w:spacing w:val="-2"/>
        </w:rPr>
        <w:t xml:space="preserve">- </w:t>
      </w:r>
      <w:r w:rsidRPr="008E63BB">
        <w:rPr>
          <w:spacing w:val="-2"/>
          <w:lang w:val="vi-VN"/>
        </w:rPr>
        <w:t xml:space="preserve">Quản lý sự phát triển trong tương lai tới các hành lang và </w:t>
      </w:r>
      <w:r w:rsidRPr="008E63BB">
        <w:rPr>
          <w:spacing w:val="-2"/>
        </w:rPr>
        <w:t xml:space="preserve">các </w:t>
      </w:r>
      <w:r w:rsidRPr="008E63BB">
        <w:rPr>
          <w:spacing w:val="-2"/>
          <w:lang w:val="vi-VN"/>
        </w:rPr>
        <w:t xml:space="preserve">nút được chỉ định ở cả hai bên sông </w:t>
      </w:r>
      <w:r w:rsidRPr="008E63BB">
        <w:rPr>
          <w:spacing w:val="-2"/>
        </w:rPr>
        <w:t>Đà</w:t>
      </w:r>
      <w:r w:rsidRPr="008E63BB">
        <w:rPr>
          <w:spacing w:val="-2"/>
          <w:lang w:val="vi-VN"/>
        </w:rPr>
        <w:t>o</w:t>
      </w:r>
      <w:r w:rsidR="00C37C36" w:rsidRPr="008E63BB">
        <w:rPr>
          <w:spacing w:val="-2"/>
        </w:rPr>
        <w:t xml:space="preserve"> và một bên sông Thái Bình (đối với các xã thuộc Mỹ Lộc và thành phố)</w:t>
      </w:r>
    </w:p>
    <w:p w14:paraId="519B3053" w14:textId="77777777" w:rsidR="007215B7" w:rsidRPr="008E63BB" w:rsidRDefault="007215B7" w:rsidP="007215B7">
      <w:pPr>
        <w:ind w:firstLine="540"/>
      </w:pPr>
      <w:r w:rsidRPr="008E63BB">
        <w:t xml:space="preserve">- </w:t>
      </w:r>
      <w:r w:rsidRPr="008E63BB">
        <w:rPr>
          <w:lang w:val="vi-VN"/>
        </w:rPr>
        <w:t xml:space="preserve">Củng cố </w:t>
      </w:r>
      <w:r w:rsidRPr="008E63BB">
        <w:t xml:space="preserve">hệ thống </w:t>
      </w:r>
      <w:r w:rsidRPr="008E63BB">
        <w:rPr>
          <w:lang w:val="vi-VN"/>
        </w:rPr>
        <w:t xml:space="preserve">đê </w:t>
      </w:r>
      <w:r w:rsidRPr="008E63BB">
        <w:t xml:space="preserve">của TP </w:t>
      </w:r>
      <w:r w:rsidRPr="008E63BB">
        <w:rPr>
          <w:lang w:val="vi-VN"/>
        </w:rPr>
        <w:t xml:space="preserve">để phòng chống lũ lụt kéo dài. </w:t>
      </w:r>
    </w:p>
    <w:p w14:paraId="519B3054" w14:textId="77777777" w:rsidR="007215B7" w:rsidRPr="008E63BB" w:rsidRDefault="007215B7" w:rsidP="00C37C36">
      <w:pPr>
        <w:ind w:firstLine="540"/>
      </w:pPr>
      <w:r w:rsidRPr="008E63BB">
        <w:t xml:space="preserve">- </w:t>
      </w:r>
      <w:r w:rsidRPr="008E63BB">
        <w:rPr>
          <w:lang w:val="vi-VN"/>
        </w:rPr>
        <w:t xml:space="preserve">Củng cố </w:t>
      </w:r>
      <w:r w:rsidRPr="008E63BB">
        <w:t xml:space="preserve">hệ thống </w:t>
      </w:r>
      <w:r w:rsidRPr="008E63BB">
        <w:rPr>
          <w:lang w:val="vi-VN"/>
        </w:rPr>
        <w:t xml:space="preserve">đường thủy và mạng không gian mở </w:t>
      </w:r>
      <w:r w:rsidRPr="008E63BB">
        <w:t>củ</w:t>
      </w:r>
      <w:r w:rsidR="00C37C36" w:rsidRPr="008E63BB">
        <w:t xml:space="preserve">a TP </w:t>
      </w:r>
    </w:p>
    <w:p w14:paraId="519B3055" w14:textId="77777777" w:rsidR="007215B7" w:rsidRPr="008E63BB" w:rsidRDefault="009C4546" w:rsidP="007215B7">
      <w:pPr>
        <w:rPr>
          <w:i/>
          <w:iCs/>
        </w:rPr>
      </w:pPr>
      <w:r w:rsidRPr="008E63BB">
        <w:rPr>
          <w:i/>
          <w:iCs/>
        </w:rPr>
        <w:t>Chiến lược 02: Phát triển</w:t>
      </w:r>
      <w:r w:rsidR="007215B7" w:rsidRPr="008E63BB">
        <w:rPr>
          <w:i/>
          <w:iCs/>
        </w:rPr>
        <w:t xml:space="preserve"> thành phố </w:t>
      </w:r>
      <w:r w:rsidRPr="008E63BB">
        <w:rPr>
          <w:i/>
          <w:iCs/>
        </w:rPr>
        <w:t xml:space="preserve">hai </w:t>
      </w:r>
      <w:r w:rsidR="007215B7" w:rsidRPr="008E63BB">
        <w:rPr>
          <w:i/>
          <w:iCs/>
        </w:rPr>
        <w:t>bên sông</w:t>
      </w:r>
    </w:p>
    <w:p w14:paraId="519B3056" w14:textId="77777777" w:rsidR="007215B7" w:rsidRPr="008E63BB" w:rsidRDefault="00F8156E" w:rsidP="007215B7">
      <w:pPr>
        <w:ind w:firstLine="540"/>
        <w:rPr>
          <w:lang w:val="vi-VN"/>
        </w:rPr>
      </w:pPr>
      <w:r w:rsidRPr="008E63BB">
        <w:rPr>
          <w:noProof/>
          <w:lang w:eastAsia="zh-CN"/>
        </w:rPr>
        <w:drawing>
          <wp:anchor distT="0" distB="0" distL="114300" distR="114300" simplePos="0" relativeHeight="251658240" behindDoc="0" locked="0" layoutInCell="1" allowOverlap="1" wp14:anchorId="519B5225" wp14:editId="519B5226">
            <wp:simplePos x="0" y="0"/>
            <wp:positionH relativeFrom="column">
              <wp:posOffset>2734310</wp:posOffset>
            </wp:positionH>
            <wp:positionV relativeFrom="paragraph">
              <wp:posOffset>1144905</wp:posOffset>
            </wp:positionV>
            <wp:extent cx="3148965" cy="2211070"/>
            <wp:effectExtent l="19050" t="0" r="0" b="0"/>
            <wp:wrapSquare wrapText="bothSides"/>
            <wp:docPr id="16" name="Picture 2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E1D3C07-35C9-4862-9237-E0320BECEC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AE1D3C07-35C9-4862-9237-E0320BECECFA}"/>
                        </a:ext>
                      </a:extLst>
                    </pic:cNvPr>
                    <pic:cNvPicPr>
                      <a:picLocks noChangeAspect="1"/>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3148965" cy="2211070"/>
                    </a:xfrm>
                    <a:prstGeom prst="rect">
                      <a:avLst/>
                    </a:prstGeom>
                    <a:ln>
                      <a:noFill/>
                    </a:ln>
                    <a:extLst>
                      <a:ext uri="{53640926-AAD7-44D8-BBD7-CCE9431645EC}">
                        <a14:shadowObscured xmlns:a14="http://schemas.microsoft.com/office/drawing/2010/main"/>
                      </a:ext>
                    </a:extLst>
                  </pic:spPr>
                </pic:pic>
              </a:graphicData>
            </a:graphic>
          </wp:anchor>
        </w:drawing>
      </w:r>
      <w:r w:rsidR="007215B7" w:rsidRPr="008E63BB">
        <w:rPr>
          <w:lang w:val="vi-VN"/>
        </w:rPr>
        <w:t>Từ lịch sử hình thành và phát triển cho thấy, các dòng sông đóng vai trò quan trọ</w:t>
      </w:r>
      <w:r w:rsidR="00C37C36" w:rsidRPr="008E63BB">
        <w:rPr>
          <w:lang w:val="vi-VN"/>
        </w:rPr>
        <w:t>ng trong quá trình phát triển KTXH</w:t>
      </w:r>
      <w:r w:rsidR="007215B7" w:rsidRPr="008E63BB">
        <w:rPr>
          <w:lang w:val="vi-VN"/>
        </w:rPr>
        <w:t xml:space="preserve"> của Nam Định, làm thay đổi hình thái và cấ</w:t>
      </w:r>
      <w:r w:rsidR="00C37C36" w:rsidRPr="008E63BB">
        <w:rPr>
          <w:lang w:val="vi-VN"/>
        </w:rPr>
        <w:t>u trúc</w:t>
      </w:r>
      <w:r w:rsidR="007215B7" w:rsidRPr="008E63BB">
        <w:rPr>
          <w:lang w:val="vi-VN"/>
        </w:rPr>
        <w:t xml:space="preserve"> của đô thị. Thông qua việc quản lý tốt, cải thiện chất lượng sông, giảm ô nhiễm, khuyến khích phát triển phù hợp và cải tạo các bờ sông, thành phố sẽ có thêm nhiều không gian dành cho nhu cầu nghỉ ngơi, giải trí, cảnh quan đẹp hấp dẫn, từ đó giúp tăng giá trị đất đai, thu hút các hoạt động đầu tư khai thác bờ sông để phát triển kinh tế. </w:t>
      </w:r>
    </w:p>
    <w:p w14:paraId="519B3057" w14:textId="77777777" w:rsidR="007215B7" w:rsidRPr="008E63BB" w:rsidRDefault="007215B7" w:rsidP="007215B7">
      <w:pPr>
        <w:ind w:firstLine="540"/>
      </w:pPr>
      <w:r w:rsidRPr="008E63BB">
        <w:rPr>
          <w:lang w:val="vi-VN"/>
        </w:rPr>
        <w:t xml:space="preserve">Để Nam Định trở thành một thành phố bên bờ sông, không gian trọng tâm là sông Hồng và sông Đào cần được nhấn mạnh. </w:t>
      </w:r>
      <w:r w:rsidRPr="008E63BB">
        <w:t>C</w:t>
      </w:r>
      <w:r w:rsidRPr="008E63BB">
        <w:rPr>
          <w:lang w:val="vi-VN"/>
        </w:rPr>
        <w:t>ác chiến lược sau đây được áp dụng</w:t>
      </w:r>
      <w:r w:rsidRPr="008E63BB">
        <w:t>:</w:t>
      </w:r>
    </w:p>
    <w:p w14:paraId="519B3058" w14:textId="77777777" w:rsidR="007215B7" w:rsidRPr="008E63BB" w:rsidRDefault="007215B7" w:rsidP="007215B7">
      <w:pPr>
        <w:pStyle w:val="ListParagraph"/>
        <w:numPr>
          <w:ilvl w:val="0"/>
          <w:numId w:val="3"/>
        </w:numPr>
        <w:tabs>
          <w:tab w:val="clear" w:pos="720"/>
          <w:tab w:val="num" w:pos="360"/>
        </w:tabs>
        <w:ind w:left="0" w:firstLine="540"/>
        <w:rPr>
          <w:rFonts w:eastAsia="Calibri"/>
          <w:sz w:val="26"/>
          <w:lang w:val="en-US"/>
        </w:rPr>
      </w:pPr>
      <w:r w:rsidRPr="008E63BB">
        <w:rPr>
          <w:rFonts w:eastAsia="Calibri"/>
          <w:sz w:val="26"/>
          <w:lang w:val="en-US"/>
        </w:rPr>
        <w:t>Xác định lại Sông Đào là trục xương sống của Thành phố (không phải thành phố bên cạnh sông).</w:t>
      </w:r>
    </w:p>
    <w:p w14:paraId="519B3059" w14:textId="77777777" w:rsidR="007215B7" w:rsidRPr="008E63BB" w:rsidRDefault="007215B7" w:rsidP="00F8156E">
      <w:pPr>
        <w:pStyle w:val="ListParagraph"/>
        <w:numPr>
          <w:ilvl w:val="0"/>
          <w:numId w:val="3"/>
        </w:numPr>
        <w:tabs>
          <w:tab w:val="clear" w:pos="720"/>
          <w:tab w:val="num" w:pos="360"/>
        </w:tabs>
        <w:spacing w:after="0"/>
        <w:ind w:left="0" w:firstLine="540"/>
        <w:rPr>
          <w:rFonts w:eastAsia="Calibri"/>
          <w:sz w:val="26"/>
          <w:lang w:val="en-US"/>
        </w:rPr>
      </w:pPr>
      <w:r w:rsidRPr="008E63BB">
        <w:rPr>
          <w:rFonts w:eastAsia="Calibri"/>
          <w:sz w:val="26"/>
          <w:lang w:val="en-US"/>
        </w:rPr>
        <w:t>Kích hoạt và tạo sự sôi động trên khu vực Bờ trái sông.</w:t>
      </w:r>
    </w:p>
    <w:p w14:paraId="519B305A" w14:textId="77777777" w:rsidR="00C37C36" w:rsidRPr="008E63BB" w:rsidRDefault="007215B7" w:rsidP="00F8156E">
      <w:pPr>
        <w:pStyle w:val="ListParagraph"/>
        <w:numPr>
          <w:ilvl w:val="0"/>
          <w:numId w:val="3"/>
        </w:numPr>
        <w:tabs>
          <w:tab w:val="clear" w:pos="720"/>
          <w:tab w:val="num" w:pos="360"/>
        </w:tabs>
        <w:spacing w:after="0"/>
        <w:ind w:left="0" w:firstLine="540"/>
        <w:rPr>
          <w:rFonts w:eastAsia="Calibri"/>
          <w:sz w:val="26"/>
          <w:lang w:val="en-US"/>
        </w:rPr>
      </w:pPr>
      <w:r w:rsidRPr="008E63BB">
        <w:rPr>
          <w:rFonts w:eastAsia="Calibri"/>
          <w:sz w:val="26"/>
          <w:lang w:val="en-US"/>
        </w:rPr>
        <w:t>Hình thành dải cảnh quan trên khu vực Bờ phải sông, phát triển các khu dịch vụ giải trí công cộng, sinh thái nông nghiệp</w:t>
      </w:r>
    </w:p>
    <w:p w14:paraId="519B305B" w14:textId="77777777" w:rsidR="007215B7" w:rsidRPr="008E63BB" w:rsidRDefault="00C37C36" w:rsidP="00F8156E">
      <w:pPr>
        <w:pStyle w:val="ListParagraph"/>
        <w:spacing w:after="0"/>
        <w:ind w:left="0" w:firstLine="540"/>
        <w:rPr>
          <w:rFonts w:eastAsia="Calibri"/>
          <w:sz w:val="26"/>
          <w:lang w:val="en-US"/>
        </w:rPr>
      </w:pPr>
      <w:r w:rsidRPr="008E63BB">
        <w:rPr>
          <w:rFonts w:eastAsia="Calibri"/>
          <w:sz w:val="26"/>
          <w:lang w:val="en-US"/>
        </w:rPr>
        <w:t>- Tạo các trục kết nối hai bờ với không gian mở vào trong lõi đô thị cũ và trung tâm mới Nam sông Đào</w:t>
      </w:r>
    </w:p>
    <w:p w14:paraId="519B305C" w14:textId="77777777" w:rsidR="007215B7" w:rsidRPr="008E63BB" w:rsidRDefault="009C4546" w:rsidP="00F8156E">
      <w:pPr>
        <w:rPr>
          <w:i/>
          <w:iCs/>
        </w:rPr>
      </w:pPr>
      <w:r w:rsidRPr="008E63BB">
        <w:rPr>
          <w:i/>
          <w:iCs/>
        </w:rPr>
        <w:t>Chiến lược 03: Gìn giữ và phát huy các giá trị lịch sử</w:t>
      </w:r>
    </w:p>
    <w:p w14:paraId="519B305D" w14:textId="77777777" w:rsidR="00C37C36" w:rsidRPr="008E63BB" w:rsidRDefault="00F8156E" w:rsidP="00F8156E">
      <w:pPr>
        <w:ind w:firstLine="540"/>
        <w:rPr>
          <w:lang w:val="vi-VN"/>
        </w:rPr>
      </w:pPr>
      <w:r w:rsidRPr="008E63BB">
        <w:rPr>
          <w:noProof/>
          <w:lang w:eastAsia="zh-CN"/>
        </w:rPr>
        <w:drawing>
          <wp:anchor distT="0" distB="0" distL="114300" distR="114300" simplePos="0" relativeHeight="251660288" behindDoc="0" locked="0" layoutInCell="1" allowOverlap="1" wp14:anchorId="519B5227" wp14:editId="519B5228">
            <wp:simplePos x="0" y="0"/>
            <wp:positionH relativeFrom="column">
              <wp:posOffset>2896235</wp:posOffset>
            </wp:positionH>
            <wp:positionV relativeFrom="paragraph">
              <wp:posOffset>1177290</wp:posOffset>
            </wp:positionV>
            <wp:extent cx="3049905" cy="2232660"/>
            <wp:effectExtent l="19050" t="0" r="0" b="0"/>
            <wp:wrapSquare wrapText="bothSides"/>
            <wp:docPr id="17" name="Picture 2" descr="A close up of a map&#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DA98C7A-AB1D-4F81-9504-2C5ABC332F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map&#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DA98C7A-AB1D-4F81-9504-2C5ABC332F91}"/>
                        </a:ext>
                      </a:extLst>
                    </pic:cNvPr>
                    <pic:cNvPicPr>
                      <a:picLocks noChangeAspect="1"/>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3049905" cy="2232660"/>
                    </a:xfrm>
                    <a:prstGeom prst="rect">
                      <a:avLst/>
                    </a:prstGeom>
                    <a:ln>
                      <a:noFill/>
                    </a:ln>
                    <a:extLst>
                      <a:ext uri="{53640926-AAD7-44D8-BBD7-CCE9431645EC}">
                        <a14:shadowObscured xmlns:a14="http://schemas.microsoft.com/office/drawing/2010/main"/>
                      </a:ext>
                    </a:extLst>
                  </pic:spPr>
                </pic:pic>
              </a:graphicData>
            </a:graphic>
          </wp:anchor>
        </w:drawing>
      </w:r>
      <w:r w:rsidR="007215B7" w:rsidRPr="008E63BB">
        <w:rPr>
          <w:lang w:val="vi-VN"/>
        </w:rPr>
        <w:t xml:space="preserve">Nằm ở trung tâm thành phố là khu vực đô thị </w:t>
      </w:r>
      <w:r w:rsidR="007215B7" w:rsidRPr="008E63BB">
        <w:t xml:space="preserve">cổ, phố </w:t>
      </w:r>
      <w:r w:rsidR="007215B7" w:rsidRPr="008E63BB">
        <w:rPr>
          <w:lang w:val="vi-VN"/>
        </w:rPr>
        <w:t xml:space="preserve">cũ ở bờ Tây sông Đào. Mặc dù sự phát triển gần đây đã thay đổi nhiều khu phố cổ, nhưng hình thái, dáng dấp của nó vẫn còn, trong đó nổi bật là những dấu tích còn lại của </w:t>
      </w:r>
      <w:r w:rsidR="00C37C36" w:rsidRPr="008E63BB">
        <w:rPr>
          <w:lang w:val="vi-VN"/>
        </w:rPr>
        <w:t>hệ khung giao thông, các công trình kiến trúc có giá trị</w:t>
      </w:r>
      <w:r w:rsidR="007215B7" w:rsidRPr="008E63BB">
        <w:rPr>
          <w:lang w:val="vi-VN"/>
        </w:rPr>
        <w:t xml:space="preserve"> và mối quan hệ của nó với hệ thống không gian mở và đường thủy. Bên cạnh các công trình chùa chiền, nhà thờ, đài tưởng niệm và các di tích khác mang dấu ấn lịch sử của thành phố, Nam Định cũng sẽ cần thể hiện sự sáng tạo của thành phố trong bối cảnh đương đại. </w:t>
      </w:r>
    </w:p>
    <w:p w14:paraId="519B305E" w14:textId="77777777" w:rsidR="007215B7" w:rsidRPr="008E63BB" w:rsidRDefault="007215B7" w:rsidP="00C37C36">
      <w:pPr>
        <w:ind w:firstLine="540"/>
        <w:rPr>
          <w:lang w:val="vi-VN"/>
        </w:rPr>
      </w:pPr>
      <w:r w:rsidRPr="008E63BB">
        <w:rPr>
          <w:lang w:val="vi-VN"/>
        </w:rPr>
        <w:t>Để Nam Định trở thành một thành phố của lịch sử và văn hóa truyền thống, cần nhấn mạnh về nơi chốn và niềm tự hào của người dân địa phương thông qua:</w:t>
      </w:r>
    </w:p>
    <w:p w14:paraId="519B305F" w14:textId="77777777" w:rsidR="007215B7" w:rsidRPr="008E63BB" w:rsidRDefault="007215B7" w:rsidP="007215B7">
      <w:pPr>
        <w:ind w:firstLine="540"/>
        <w:rPr>
          <w:lang w:val="vi-VN"/>
        </w:rPr>
      </w:pPr>
      <w:r w:rsidRPr="008E63BB">
        <w:rPr>
          <w:lang w:val="vi-VN"/>
        </w:rPr>
        <w:t>- Duy trì phát triển khu phố cổ  với các giá trị văn hóa trong TP bằng việc bổ xung những không gian công cộng mới</w:t>
      </w:r>
    </w:p>
    <w:p w14:paraId="519B3060" w14:textId="77777777" w:rsidR="007215B7" w:rsidRPr="008E63BB" w:rsidRDefault="007215B7" w:rsidP="007215B7">
      <w:pPr>
        <w:ind w:firstLine="540"/>
        <w:rPr>
          <w:lang w:val="vi-VN"/>
        </w:rPr>
      </w:pPr>
      <w:r w:rsidRPr="008E63BB">
        <w:rPr>
          <w:lang w:val="vi-VN"/>
        </w:rPr>
        <w:lastRenderedPageBreak/>
        <w:t>- Khuyến khích các ngành công nghiệp sáng tạo (nghệ thuật và thủ công, doanh nghiệp siêu nhỏ) và đầu tư vào nghệ thuật và văn hóa trong khu vực đô thị</w:t>
      </w:r>
      <w:r w:rsidR="00C37C36" w:rsidRPr="008E63BB">
        <w:rPr>
          <w:lang w:val="vi-VN"/>
        </w:rPr>
        <w:t>, cải tạo chỉnh trang và thay thế công năng sử dụng.</w:t>
      </w:r>
    </w:p>
    <w:p w14:paraId="519B3061" w14:textId="77777777" w:rsidR="007215B7" w:rsidRPr="008E63BB" w:rsidRDefault="007215B7" w:rsidP="007215B7">
      <w:pPr>
        <w:ind w:firstLine="540"/>
        <w:rPr>
          <w:lang w:val="vi-VN"/>
        </w:rPr>
      </w:pPr>
      <w:r w:rsidRPr="008E63BB">
        <w:rPr>
          <w:lang w:val="vi-VN"/>
        </w:rPr>
        <w:t xml:space="preserve">- Hỗ trợ các hoạt động nông nghiệp </w:t>
      </w:r>
      <w:r w:rsidR="00C37C36" w:rsidRPr="008E63BB">
        <w:rPr>
          <w:lang w:val="vi-VN"/>
        </w:rPr>
        <w:t xml:space="preserve">truyền thống </w:t>
      </w:r>
      <w:r w:rsidRPr="008E63BB">
        <w:rPr>
          <w:lang w:val="vi-VN"/>
        </w:rPr>
        <w:t>trong khu vự</w:t>
      </w:r>
      <w:r w:rsidR="00C37C36" w:rsidRPr="008E63BB">
        <w:rPr>
          <w:lang w:val="vi-VN"/>
        </w:rPr>
        <w:t>c ngoại ô</w:t>
      </w:r>
      <w:r w:rsidRPr="008E63BB">
        <w:rPr>
          <w:lang w:val="vi-VN"/>
        </w:rPr>
        <w:t>, bao gồm cả nông nghiệp công nghệ cao</w:t>
      </w:r>
      <w:r w:rsidR="00C37C36" w:rsidRPr="008E63BB">
        <w:rPr>
          <w:lang w:val="vi-VN"/>
        </w:rPr>
        <w:t xml:space="preserve"> gắn với phát triển du lịch làng nghề, du lịch trải nghiệm.</w:t>
      </w:r>
    </w:p>
    <w:p w14:paraId="519B3062" w14:textId="77777777" w:rsidR="007215B7" w:rsidRPr="008E63BB" w:rsidRDefault="007215B7" w:rsidP="007215B7">
      <w:pPr>
        <w:ind w:firstLine="540"/>
        <w:rPr>
          <w:lang w:val="vi-VN"/>
        </w:rPr>
      </w:pPr>
    </w:p>
    <w:p w14:paraId="519B3063" w14:textId="77777777" w:rsidR="007215B7" w:rsidRPr="008E63BB" w:rsidRDefault="009C4546" w:rsidP="007215B7">
      <w:pPr>
        <w:rPr>
          <w:i/>
          <w:iCs/>
        </w:rPr>
      </w:pPr>
      <w:r w:rsidRPr="008E63BB">
        <w:rPr>
          <w:i/>
          <w:iCs/>
          <w:lang w:val="vi-VN"/>
        </w:rPr>
        <w:t>Chiến lược</w:t>
      </w:r>
      <w:r w:rsidR="007215B7" w:rsidRPr="008E63BB">
        <w:rPr>
          <w:i/>
          <w:iCs/>
          <w:lang w:val="vi-VN"/>
        </w:rPr>
        <w:t xml:space="preserve"> 04: </w:t>
      </w:r>
      <w:r w:rsidR="003F085B" w:rsidRPr="008E63BB">
        <w:rPr>
          <w:i/>
          <w:iCs/>
        </w:rPr>
        <w:t>Tái thiết các</w:t>
      </w:r>
      <w:r w:rsidR="00A27C01" w:rsidRPr="008E63BB">
        <w:rPr>
          <w:i/>
          <w:iCs/>
        </w:rPr>
        <w:t xml:space="preserve"> không gian</w:t>
      </w:r>
      <w:r w:rsidR="003F085B" w:rsidRPr="008E63BB">
        <w:rPr>
          <w:i/>
          <w:iCs/>
        </w:rPr>
        <w:t xml:space="preserve">trong </w:t>
      </w:r>
      <w:r w:rsidR="007215B7" w:rsidRPr="008E63BB">
        <w:rPr>
          <w:i/>
          <w:iCs/>
          <w:lang w:val="vi-VN"/>
        </w:rPr>
        <w:t xml:space="preserve">thành phố </w:t>
      </w:r>
    </w:p>
    <w:p w14:paraId="519B3064" w14:textId="77777777" w:rsidR="007215B7" w:rsidRPr="008E63BB" w:rsidRDefault="007215B7" w:rsidP="00A27C01">
      <w:pPr>
        <w:ind w:firstLine="540"/>
        <w:rPr>
          <w:lang w:val="vi-VN"/>
        </w:rPr>
      </w:pPr>
      <w:r w:rsidRPr="008E63BB">
        <w:rPr>
          <w:lang w:val="vi-VN"/>
        </w:rPr>
        <w:t>Trong suốt quá trình phát triển của mình, trung tâm đô thị được thành lập sẽ cần phải trải qua quá trình đổi mới đô thị để theo kịp nhu cầu đương đại của cư dân và vẫn là một nơi hấp dẫn để sống, làm việ</w:t>
      </w:r>
      <w:r w:rsidR="00C37C36" w:rsidRPr="008E63BB">
        <w:rPr>
          <w:lang w:val="vi-VN"/>
        </w:rPr>
        <w:t xml:space="preserve">c và tham quan. </w:t>
      </w:r>
      <w:r w:rsidRPr="008E63BB">
        <w:rPr>
          <w:lang w:val="vi-VN"/>
        </w:rPr>
        <w:t xml:space="preserve">Ở khu vực đô thị cũ, trong giai đoạn trước, các nhà máy, cơ sở sản xuất đã được xây dựng tại các địa điểm có vị trí chiến lược với quy mô tương đối lớn. Việc </w:t>
      </w:r>
      <w:r w:rsidR="00A27C01" w:rsidRPr="008E63BB">
        <w:t>cải tạo, chỉnh trang và</w:t>
      </w:r>
      <w:r w:rsidRPr="008E63BB">
        <w:rPr>
          <w:lang w:val="vi-VN"/>
        </w:rPr>
        <w:t xml:space="preserve"> phát triển những chức năng mới tại vị trí các khu công nghiệp/nhà máy cũ sẽ mang lại sự thay đổi đáng kể cho Nam Định và là điểm đến mới của Thành phố</w:t>
      </w:r>
      <w:r w:rsidR="00C37C36" w:rsidRPr="008E63BB">
        <w:rPr>
          <w:noProof/>
          <w:lang w:eastAsia="zh-CN"/>
        </w:rPr>
        <w:drawing>
          <wp:anchor distT="0" distB="0" distL="114300" distR="114300" simplePos="0" relativeHeight="251666432" behindDoc="0" locked="0" layoutInCell="1" allowOverlap="1" wp14:anchorId="519B5229" wp14:editId="519B522A">
            <wp:simplePos x="0" y="0"/>
            <wp:positionH relativeFrom="column">
              <wp:posOffset>2892425</wp:posOffset>
            </wp:positionH>
            <wp:positionV relativeFrom="paragraph">
              <wp:posOffset>113030</wp:posOffset>
            </wp:positionV>
            <wp:extent cx="3105150" cy="2257425"/>
            <wp:effectExtent l="0" t="0" r="0" b="9525"/>
            <wp:wrapSquare wrapText="bothSides"/>
            <wp:docPr id="36" name="Picture 2" descr="A close up of a map&#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2CCF3E7-8FCD-4A94-B23A-4CA8496256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map&#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2CCF3E7-8FCD-4A94-B23A-4CA849625628}"/>
                        </a:ext>
                      </a:extLst>
                    </pic:cNvPr>
                    <pic:cNvPicPr>
                      <a:picLocks noChangeAspect="1"/>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3105150" cy="2257425"/>
                    </a:xfrm>
                    <a:prstGeom prst="rect">
                      <a:avLst/>
                    </a:prstGeom>
                    <a:ln>
                      <a:noFill/>
                    </a:ln>
                    <a:extLst>
                      <a:ext uri="{53640926-AAD7-44D8-BBD7-CCE9431645EC}">
                        <a14:shadowObscured xmlns:a14="http://schemas.microsoft.com/office/drawing/2010/main"/>
                      </a:ext>
                    </a:extLst>
                  </pic:spPr>
                </pic:pic>
              </a:graphicData>
            </a:graphic>
          </wp:anchor>
        </w:drawing>
      </w:r>
      <w:r w:rsidRPr="008E63BB">
        <w:rPr>
          <w:lang w:val="vi-VN"/>
        </w:rPr>
        <w:t>, các chiến lược sau đây được áp dụng:</w:t>
      </w:r>
    </w:p>
    <w:p w14:paraId="519B3065" w14:textId="77777777" w:rsidR="007215B7" w:rsidRPr="008E63BB" w:rsidRDefault="007215B7" w:rsidP="007215B7">
      <w:pPr>
        <w:pStyle w:val="ListParagraph"/>
        <w:numPr>
          <w:ilvl w:val="0"/>
          <w:numId w:val="3"/>
        </w:numPr>
        <w:tabs>
          <w:tab w:val="left" w:pos="540"/>
        </w:tabs>
        <w:ind w:left="0" w:firstLine="540"/>
        <w:rPr>
          <w:rFonts w:eastAsia="Calibri"/>
          <w:sz w:val="26"/>
        </w:rPr>
      </w:pPr>
      <w:r w:rsidRPr="008E63BB">
        <w:rPr>
          <w:rFonts w:eastAsia="Calibri"/>
          <w:sz w:val="26"/>
        </w:rPr>
        <w:t xml:space="preserve">Khuyến khích </w:t>
      </w:r>
      <w:r w:rsidR="00A27C01" w:rsidRPr="008E63BB">
        <w:rPr>
          <w:rFonts w:eastAsia="Calibri"/>
          <w:sz w:val="26"/>
          <w:lang w:val="en-US"/>
        </w:rPr>
        <w:t>cải tạo chỉnh trang và</w:t>
      </w:r>
      <w:r w:rsidRPr="008E63BB">
        <w:rPr>
          <w:rFonts w:eastAsia="Calibri"/>
          <w:sz w:val="26"/>
        </w:rPr>
        <w:t xml:space="preserve"> phát triển</w:t>
      </w:r>
      <w:r w:rsidR="00A27C01" w:rsidRPr="008E63BB">
        <w:rPr>
          <w:rFonts w:eastAsia="Calibri"/>
          <w:sz w:val="26"/>
          <w:lang w:val="en-US"/>
        </w:rPr>
        <w:t xml:space="preserve"> mới</w:t>
      </w:r>
      <w:r w:rsidRPr="008E63BB">
        <w:rPr>
          <w:rFonts w:eastAsia="Calibri"/>
          <w:sz w:val="26"/>
        </w:rPr>
        <w:t xml:space="preserve"> tại khu vực nhà máy</w:t>
      </w:r>
      <w:r w:rsidR="00A27C01" w:rsidRPr="008E63BB">
        <w:rPr>
          <w:rFonts w:eastAsia="Calibri"/>
          <w:sz w:val="26"/>
          <w:lang w:val="en-US"/>
        </w:rPr>
        <w:t>, xí nghiệp</w:t>
      </w:r>
      <w:r w:rsidRPr="008E63BB">
        <w:rPr>
          <w:rFonts w:eastAsia="Calibri"/>
          <w:sz w:val="26"/>
        </w:rPr>
        <w:t xml:space="preserve"> trước đây.</w:t>
      </w:r>
    </w:p>
    <w:p w14:paraId="519B3066" w14:textId="77777777" w:rsidR="007215B7" w:rsidRPr="008E63BB" w:rsidRDefault="003F085B" w:rsidP="007215B7">
      <w:pPr>
        <w:pStyle w:val="ListParagraph"/>
        <w:numPr>
          <w:ilvl w:val="0"/>
          <w:numId w:val="3"/>
        </w:numPr>
        <w:tabs>
          <w:tab w:val="left" w:pos="540"/>
        </w:tabs>
        <w:ind w:left="0" w:firstLine="540"/>
        <w:rPr>
          <w:rFonts w:eastAsia="Calibri"/>
          <w:sz w:val="26"/>
        </w:rPr>
      </w:pPr>
      <w:r w:rsidRPr="008E63BB">
        <w:rPr>
          <w:rFonts w:eastAsia="Calibri"/>
          <w:sz w:val="26"/>
          <w:lang w:val="en-US"/>
        </w:rPr>
        <w:t>Xây dựng</w:t>
      </w:r>
      <w:r w:rsidR="007215B7" w:rsidRPr="008E63BB">
        <w:rPr>
          <w:rFonts w:eastAsia="Calibri"/>
          <w:sz w:val="26"/>
        </w:rPr>
        <w:t xml:space="preserve"> mô hình về phát triển tích hợp sử dụng đa chức năng.</w:t>
      </w:r>
    </w:p>
    <w:p w14:paraId="519B3067" w14:textId="77777777" w:rsidR="007215B7" w:rsidRPr="008E63BB" w:rsidRDefault="007215B7" w:rsidP="007215B7">
      <w:pPr>
        <w:pStyle w:val="ListParagraph"/>
        <w:numPr>
          <w:ilvl w:val="0"/>
          <w:numId w:val="3"/>
        </w:numPr>
        <w:tabs>
          <w:tab w:val="left" w:pos="540"/>
        </w:tabs>
        <w:ind w:left="0" w:firstLine="540"/>
        <w:rPr>
          <w:rFonts w:eastAsia="Calibri"/>
          <w:sz w:val="26"/>
        </w:rPr>
      </w:pPr>
      <w:r w:rsidRPr="008E63BB">
        <w:rPr>
          <w:rFonts w:eastAsia="Calibri"/>
          <w:sz w:val="26"/>
        </w:rPr>
        <w:t>Tái thiết đô thị không chỉ bằng việc XD công trình mới mà còn là gìn giữ công trình cũ nhưng với những chức năng mới.</w:t>
      </w:r>
    </w:p>
    <w:p w14:paraId="519B3068" w14:textId="77777777" w:rsidR="00C37C36" w:rsidRPr="008E63BB" w:rsidRDefault="00C37C36" w:rsidP="007215B7">
      <w:pPr>
        <w:pStyle w:val="ListParagraph"/>
        <w:numPr>
          <w:ilvl w:val="0"/>
          <w:numId w:val="3"/>
        </w:numPr>
        <w:tabs>
          <w:tab w:val="left" w:pos="540"/>
        </w:tabs>
        <w:ind w:left="0" w:firstLine="540"/>
        <w:rPr>
          <w:rFonts w:eastAsia="Calibri"/>
          <w:sz w:val="26"/>
        </w:rPr>
      </w:pPr>
      <w:r w:rsidRPr="008E63BB">
        <w:rPr>
          <w:rFonts w:eastAsia="Calibri"/>
          <w:sz w:val="26"/>
        </w:rPr>
        <w:t>Bổ sung các không gian công cộng dịch vụ mới, tạo không gian hấp dẫn thu hút người dân và khách du lịch.</w:t>
      </w:r>
    </w:p>
    <w:p w14:paraId="519B3069" w14:textId="77777777" w:rsidR="007215B7" w:rsidRPr="008E63BB" w:rsidRDefault="009C4546" w:rsidP="007215B7">
      <w:pPr>
        <w:rPr>
          <w:i/>
          <w:iCs/>
          <w:lang w:val="vi-VN"/>
        </w:rPr>
      </w:pPr>
      <w:r w:rsidRPr="008E63BB">
        <w:rPr>
          <w:i/>
          <w:iCs/>
          <w:lang w:val="vi-VN"/>
        </w:rPr>
        <w:t>Chiến lược</w:t>
      </w:r>
      <w:r w:rsidR="007215B7" w:rsidRPr="008E63BB">
        <w:rPr>
          <w:i/>
          <w:iCs/>
          <w:lang w:val="vi-VN"/>
        </w:rPr>
        <w:t xml:space="preserve"> 05</w:t>
      </w:r>
      <w:r w:rsidRPr="008E63BB">
        <w:rPr>
          <w:i/>
          <w:iCs/>
          <w:lang w:val="vi-VN"/>
        </w:rPr>
        <w:t>: Phát triển m</w:t>
      </w:r>
      <w:r w:rsidR="007215B7" w:rsidRPr="008E63BB">
        <w:rPr>
          <w:i/>
          <w:iCs/>
          <w:lang w:val="vi-VN"/>
        </w:rPr>
        <w:t>ột thành phố dễ tiếp cận</w:t>
      </w:r>
    </w:p>
    <w:p w14:paraId="519B306A" w14:textId="77777777" w:rsidR="0000747C" w:rsidRPr="008E63BB" w:rsidRDefault="007215B7" w:rsidP="007215B7">
      <w:pPr>
        <w:ind w:firstLine="540"/>
        <w:rPr>
          <w:lang w:val="vi-VN"/>
        </w:rPr>
      </w:pPr>
      <w:r w:rsidRPr="008E63BB">
        <w:rPr>
          <w:lang w:val="vi-VN"/>
        </w:rPr>
        <w:t xml:space="preserve">Đầu tư vào cơ sở hạ tầng phải theo kịp nhu cầu mới nổi về dịch vụ đô thị. Tại Nam Định, việc phụ thuộc quá nhiều vào phương tiện cá nhân là phương thức vận tải chính và vận chuyển hàng hóa khu vực qua lõi đô thị sẽ gây thêm áp lực lên cơ sở hạ tầng hiện có. Đầu tư chiến lược vào giao thông công cộng và tuyến vận tải hàng hóa sẽ đảm bảo khu vực đô thị hiện tại và tương lai có thể dễ dàng tiếp cận và thu hút loại hình đầu tư thích hợp. </w:t>
      </w:r>
    </w:p>
    <w:p w14:paraId="519B306B" w14:textId="77777777" w:rsidR="007215B7" w:rsidRPr="008E63BB" w:rsidRDefault="0000747C" w:rsidP="0000747C">
      <w:pPr>
        <w:ind w:firstLine="540"/>
        <w:rPr>
          <w:lang w:val="vi-VN"/>
        </w:rPr>
      </w:pPr>
      <w:r w:rsidRPr="008E63BB">
        <w:rPr>
          <w:noProof/>
          <w:lang w:eastAsia="zh-CN"/>
        </w:rPr>
        <w:drawing>
          <wp:anchor distT="0" distB="0" distL="114300" distR="114300" simplePos="0" relativeHeight="251662336" behindDoc="0" locked="0" layoutInCell="1" allowOverlap="1" wp14:anchorId="519B522B" wp14:editId="519B522C">
            <wp:simplePos x="0" y="0"/>
            <wp:positionH relativeFrom="column">
              <wp:posOffset>2758632</wp:posOffset>
            </wp:positionH>
            <wp:positionV relativeFrom="paragraph">
              <wp:posOffset>68625</wp:posOffset>
            </wp:positionV>
            <wp:extent cx="3133725" cy="2320618"/>
            <wp:effectExtent l="0" t="0" r="0" b="3810"/>
            <wp:wrapSquare wrapText="bothSides"/>
            <wp:docPr id="37" name="Picture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43E0219-6BAD-4810-BDE7-D2ABC5D214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43E0219-6BAD-4810-BDE7-D2ABC5D21430}"/>
                        </a:ext>
                      </a:extLst>
                    </pic:cNvPr>
                    <pic:cNvPicPr>
                      <a:picLocks noChangeAspect="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3133725" cy="2320618"/>
                    </a:xfrm>
                    <a:prstGeom prst="rect">
                      <a:avLst/>
                    </a:prstGeom>
                    <a:ln>
                      <a:noFill/>
                    </a:ln>
                    <a:extLst>
                      <a:ext uri="{53640926-AAD7-44D8-BBD7-CCE9431645EC}">
                        <a14:shadowObscured xmlns:a14="http://schemas.microsoft.com/office/drawing/2010/main"/>
                      </a:ext>
                    </a:extLst>
                  </pic:spPr>
                </pic:pic>
              </a:graphicData>
            </a:graphic>
          </wp:anchor>
        </w:drawing>
      </w:r>
      <w:r w:rsidR="007215B7" w:rsidRPr="008E63BB">
        <w:rPr>
          <w:lang w:val="vi-VN"/>
        </w:rPr>
        <w:t xml:space="preserve">Để Nam Định trở thành một thành phố có thể dễ dàng tiếp cận, </w:t>
      </w:r>
      <w:r w:rsidR="007215B7" w:rsidRPr="008E63BB">
        <w:rPr>
          <w:szCs w:val="26"/>
          <w:lang w:val="vi-VN"/>
        </w:rPr>
        <w:t>có cơ sở hạ tầng thuận tiện cho việc di chuyển và vận chuyển hàng hóa</w:t>
      </w:r>
      <w:r w:rsidR="007215B7" w:rsidRPr="008E63BB">
        <w:rPr>
          <w:lang w:val="vi-VN"/>
        </w:rPr>
        <w:t>, các chiến lược sau đây được áp dụng</w:t>
      </w:r>
      <w:r w:rsidRPr="008E63BB">
        <w:rPr>
          <w:lang w:val="vi-VN"/>
        </w:rPr>
        <w:t>:</w:t>
      </w:r>
    </w:p>
    <w:p w14:paraId="519B306C" w14:textId="77777777" w:rsidR="007215B7" w:rsidRPr="008E63BB" w:rsidRDefault="007215B7" w:rsidP="007215B7">
      <w:pPr>
        <w:pStyle w:val="ListParagraph"/>
        <w:numPr>
          <w:ilvl w:val="0"/>
          <w:numId w:val="3"/>
        </w:numPr>
        <w:tabs>
          <w:tab w:val="left" w:pos="540"/>
        </w:tabs>
        <w:ind w:left="0" w:firstLine="540"/>
        <w:rPr>
          <w:rFonts w:eastAsia="Calibri"/>
          <w:sz w:val="26"/>
        </w:rPr>
      </w:pPr>
      <w:r w:rsidRPr="008E63BB">
        <w:rPr>
          <w:rFonts w:eastAsia="Calibri"/>
          <w:sz w:val="26"/>
        </w:rPr>
        <w:t>Tăng cường trục giao thông Đông - Tây.</w:t>
      </w:r>
    </w:p>
    <w:p w14:paraId="519B306D" w14:textId="77777777" w:rsidR="007215B7" w:rsidRPr="008E63BB" w:rsidRDefault="007215B7" w:rsidP="007215B7">
      <w:pPr>
        <w:pStyle w:val="ListParagraph"/>
        <w:numPr>
          <w:ilvl w:val="0"/>
          <w:numId w:val="3"/>
        </w:numPr>
        <w:tabs>
          <w:tab w:val="left" w:pos="540"/>
        </w:tabs>
        <w:ind w:left="0" w:firstLine="540"/>
        <w:rPr>
          <w:rFonts w:eastAsia="Calibri"/>
          <w:sz w:val="26"/>
        </w:rPr>
      </w:pPr>
      <w:r w:rsidRPr="008E63BB">
        <w:rPr>
          <w:rFonts w:eastAsia="Calibri"/>
          <w:sz w:val="26"/>
        </w:rPr>
        <w:t>Thiết lập mạng lưới giao thông công cộng kết nối qua khu vực trung tâm TP và đường vành đai</w:t>
      </w:r>
      <w:r w:rsidR="00F2148D" w:rsidRPr="008E63BB">
        <w:rPr>
          <w:rFonts w:eastAsia="Calibri"/>
          <w:sz w:val="26"/>
        </w:rPr>
        <w:t xml:space="preserve"> mới</w:t>
      </w:r>
    </w:p>
    <w:p w14:paraId="519B306E" w14:textId="77777777" w:rsidR="009C4546" w:rsidRPr="008E63BB" w:rsidRDefault="007215B7" w:rsidP="007215B7">
      <w:pPr>
        <w:pStyle w:val="ListParagraph"/>
        <w:numPr>
          <w:ilvl w:val="0"/>
          <w:numId w:val="3"/>
        </w:numPr>
        <w:tabs>
          <w:tab w:val="left" w:pos="540"/>
        </w:tabs>
        <w:ind w:left="0" w:firstLine="540"/>
        <w:rPr>
          <w:rFonts w:eastAsia="Calibri"/>
          <w:sz w:val="26"/>
        </w:rPr>
      </w:pPr>
      <w:r w:rsidRPr="008E63BB">
        <w:rPr>
          <w:rFonts w:eastAsia="Calibri"/>
          <w:sz w:val="26"/>
        </w:rPr>
        <w:t>Tăng cường kết nối  theo hướng Bắc Nam ở khu vực phát triển mới</w:t>
      </w:r>
      <w:r w:rsidR="00F2148D" w:rsidRPr="008E63BB">
        <w:rPr>
          <w:rFonts w:eastAsia="Calibri"/>
          <w:sz w:val="26"/>
        </w:rPr>
        <w:t xml:space="preserve"> </w:t>
      </w:r>
      <w:r w:rsidR="00F2148D" w:rsidRPr="008E63BB">
        <w:rPr>
          <w:rFonts w:eastAsia="Calibri"/>
          <w:sz w:val="26"/>
        </w:rPr>
        <w:lastRenderedPageBreak/>
        <w:t xml:space="preserve">bằng việc bổ sung và tang cường năng lực các trục kết nối hướng tâm với các đô thị Biển. </w:t>
      </w:r>
    </w:p>
    <w:p w14:paraId="519B306F" w14:textId="77777777" w:rsidR="007215B7" w:rsidRPr="008E63BB" w:rsidRDefault="009C4546" w:rsidP="007215B7">
      <w:pPr>
        <w:rPr>
          <w:i/>
          <w:iCs/>
          <w:lang w:val="vi-VN"/>
        </w:rPr>
      </w:pPr>
      <w:r w:rsidRPr="008E63BB">
        <w:rPr>
          <w:i/>
          <w:iCs/>
          <w:lang w:val="vi-VN"/>
        </w:rPr>
        <w:t>Chiến lược</w:t>
      </w:r>
      <w:r w:rsidR="007215B7" w:rsidRPr="008E63BB">
        <w:rPr>
          <w:i/>
          <w:iCs/>
          <w:lang w:val="vi-VN"/>
        </w:rPr>
        <w:t xml:space="preserve"> 06: </w:t>
      </w:r>
      <w:r w:rsidRPr="008E63BB">
        <w:rPr>
          <w:i/>
          <w:iCs/>
          <w:lang w:val="vi-VN"/>
        </w:rPr>
        <w:t>Phát triển m</w:t>
      </w:r>
      <w:r w:rsidR="007215B7" w:rsidRPr="008E63BB">
        <w:rPr>
          <w:i/>
          <w:iCs/>
          <w:lang w:val="vi-VN"/>
        </w:rPr>
        <w:t xml:space="preserve">ột thành phố </w:t>
      </w:r>
      <w:r w:rsidR="003F085B" w:rsidRPr="008E63BB">
        <w:rPr>
          <w:i/>
          <w:iCs/>
        </w:rPr>
        <w:t xml:space="preserve">gắn với các trục </w:t>
      </w:r>
      <w:r w:rsidR="007215B7" w:rsidRPr="008E63BB">
        <w:rPr>
          <w:i/>
          <w:iCs/>
          <w:lang w:val="vi-VN"/>
        </w:rPr>
        <w:t>đi bộ</w:t>
      </w:r>
    </w:p>
    <w:p w14:paraId="519B3070" w14:textId="77777777" w:rsidR="007215B7" w:rsidRPr="008E63BB" w:rsidRDefault="007215B7" w:rsidP="007215B7">
      <w:pPr>
        <w:ind w:firstLine="540"/>
        <w:rPr>
          <w:lang w:val="vi-VN"/>
        </w:rPr>
      </w:pPr>
      <w:r w:rsidRPr="008E63BB">
        <w:rPr>
          <w:noProof/>
          <w:lang w:eastAsia="zh-CN"/>
        </w:rPr>
        <w:drawing>
          <wp:anchor distT="0" distB="0" distL="114300" distR="114300" simplePos="0" relativeHeight="251664384" behindDoc="0" locked="0" layoutInCell="1" allowOverlap="1" wp14:anchorId="519B522D" wp14:editId="519B522E">
            <wp:simplePos x="0" y="0"/>
            <wp:positionH relativeFrom="column">
              <wp:posOffset>2893060</wp:posOffset>
            </wp:positionH>
            <wp:positionV relativeFrom="paragraph">
              <wp:posOffset>30480</wp:posOffset>
            </wp:positionV>
            <wp:extent cx="3152775" cy="2292350"/>
            <wp:effectExtent l="0" t="0" r="9525" b="0"/>
            <wp:wrapSquare wrapText="bothSides"/>
            <wp:docPr id="38" name="Picture 2" descr="A close up of a map&#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700FBAC-7FE9-4B74-9F75-CB2EA5BB0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 up of a map&#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700FBAC-7FE9-4B74-9F75-CB2EA5BB0DBC}"/>
                        </a:ext>
                      </a:extLst>
                    </pic:cNvPr>
                    <pic:cNvPicPr>
                      <a:picLocks noChangeAspect="1"/>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3152775" cy="2292350"/>
                    </a:xfrm>
                    <a:prstGeom prst="rect">
                      <a:avLst/>
                    </a:prstGeom>
                    <a:ln>
                      <a:noFill/>
                    </a:ln>
                    <a:extLst>
                      <a:ext uri="{53640926-AAD7-44D8-BBD7-CCE9431645EC}">
                        <a14:shadowObscured xmlns:a14="http://schemas.microsoft.com/office/drawing/2010/main"/>
                      </a:ext>
                    </a:extLst>
                  </pic:spPr>
                </pic:pic>
              </a:graphicData>
            </a:graphic>
          </wp:anchor>
        </w:drawing>
      </w:r>
      <w:r w:rsidRPr="008E63BB">
        <w:rPr>
          <w:shd w:val="clear" w:color="auto" w:fill="F8F9FA"/>
          <w:lang w:val="vi-VN"/>
        </w:rPr>
        <w:t>Môi trường dành cho người đi bộ an toàn và dễ chịu đóng vai trò quan trọng trong việc thiết lập Nam Định thành một nơi hấp dẫn để sống, làm việc và vui chơi. Đầu tư vào các lối đi dành cho người đi bộ được kết nối tốt, không gian mở dễ dàng tiếp cận và sự đa dạng của các dịch vụ giải trí sẽ bảo đảm hình ảnh thành phố Nam Định là một thành phố đáng sống và bền vững. Để Nam Định trở thành một thành phố dành cho người đi bộ, các chiến lược sau đây được áp dụng:</w:t>
      </w:r>
    </w:p>
    <w:p w14:paraId="519B3071" w14:textId="77777777" w:rsidR="007215B7" w:rsidRPr="008E63BB" w:rsidRDefault="007215B7" w:rsidP="007215B7">
      <w:pPr>
        <w:ind w:firstLine="540"/>
        <w:rPr>
          <w:lang w:val="vi-VN"/>
        </w:rPr>
      </w:pPr>
      <w:r w:rsidRPr="008E63BB">
        <w:rPr>
          <w:lang w:val="vi-VN"/>
        </w:rPr>
        <w:t>- Tạo một mạng lưới các con đường đi bộ dọc và qua sông</w:t>
      </w:r>
    </w:p>
    <w:p w14:paraId="519B3072" w14:textId="77777777" w:rsidR="007215B7" w:rsidRPr="008E63BB" w:rsidRDefault="007215B7" w:rsidP="007215B7">
      <w:pPr>
        <w:ind w:firstLine="540"/>
        <w:rPr>
          <w:lang w:val="vi-VN"/>
        </w:rPr>
      </w:pPr>
      <w:r w:rsidRPr="008E63BB">
        <w:rPr>
          <w:lang w:val="vi-VN"/>
        </w:rPr>
        <w:t>- Trồng cây ở tất cả các phố, giảm thiểu hiệu ứng đảo nhiệt đô thị.</w:t>
      </w:r>
    </w:p>
    <w:p w14:paraId="519B3073" w14:textId="77777777" w:rsidR="007215B7" w:rsidRPr="008E63BB" w:rsidRDefault="007215B7" w:rsidP="007215B7">
      <w:pPr>
        <w:ind w:firstLine="540"/>
        <w:rPr>
          <w:lang w:val="vi-VN"/>
        </w:rPr>
      </w:pPr>
      <w:r w:rsidRPr="008E63BB">
        <w:rPr>
          <w:lang w:val="vi-VN"/>
        </w:rPr>
        <w:t>- Phân bố cân đối các không gian công cộng mở trên toàn Thành phố.</w:t>
      </w:r>
    </w:p>
    <w:p w14:paraId="519B3074" w14:textId="77777777" w:rsidR="009C4546" w:rsidRPr="008E63BB" w:rsidRDefault="009C4546" w:rsidP="009C4546">
      <w:pPr>
        <w:rPr>
          <w:i/>
          <w:iCs/>
          <w:lang w:val="vi-VN"/>
        </w:rPr>
      </w:pPr>
      <w:r w:rsidRPr="008E63BB">
        <w:rPr>
          <w:i/>
          <w:iCs/>
          <w:lang w:val="vi-VN"/>
        </w:rPr>
        <w:t xml:space="preserve">Chiến lược 07: </w:t>
      </w:r>
      <w:r w:rsidR="003F085B" w:rsidRPr="008E63BB">
        <w:rPr>
          <w:i/>
          <w:iCs/>
        </w:rPr>
        <w:t xml:space="preserve">Phát triển </w:t>
      </w:r>
      <w:r w:rsidRPr="008E63BB">
        <w:rPr>
          <w:i/>
          <w:iCs/>
          <w:lang w:val="vi-VN"/>
        </w:rPr>
        <w:t xml:space="preserve">Thành phố </w:t>
      </w:r>
      <w:r w:rsidR="003F085B" w:rsidRPr="008E63BB">
        <w:rPr>
          <w:i/>
          <w:iCs/>
          <w:lang w:val="vi-VN"/>
        </w:rPr>
        <w:t>sống</w:t>
      </w:r>
      <w:r w:rsidRPr="008E63BB">
        <w:rPr>
          <w:i/>
          <w:iCs/>
          <w:lang w:val="vi-VN"/>
        </w:rPr>
        <w:t>khỏe</w:t>
      </w:r>
    </w:p>
    <w:p w14:paraId="519B3075" w14:textId="77777777" w:rsidR="009C4546" w:rsidRPr="008E63BB" w:rsidRDefault="009C4546" w:rsidP="009C4546">
      <w:pPr>
        <w:ind w:firstLine="540"/>
        <w:rPr>
          <w:lang w:val="vi-VN"/>
        </w:rPr>
      </w:pPr>
      <w:r w:rsidRPr="008E63BB">
        <w:rPr>
          <w:noProof/>
          <w:lang w:eastAsia="zh-CN"/>
        </w:rPr>
        <w:drawing>
          <wp:anchor distT="0" distB="0" distL="114300" distR="114300" simplePos="0" relativeHeight="251668480" behindDoc="0" locked="0" layoutInCell="1" allowOverlap="1" wp14:anchorId="519B522F" wp14:editId="519B5230">
            <wp:simplePos x="0" y="0"/>
            <wp:positionH relativeFrom="column">
              <wp:posOffset>2882265</wp:posOffset>
            </wp:positionH>
            <wp:positionV relativeFrom="paragraph">
              <wp:posOffset>101600</wp:posOffset>
            </wp:positionV>
            <wp:extent cx="3101340" cy="2286000"/>
            <wp:effectExtent l="0" t="0" r="3810" b="0"/>
            <wp:wrapSquare wrapText="bothSides"/>
            <wp:docPr id="40" name="Picture 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D508421-18D3-4B76-B584-67BFE66745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4D508421-18D3-4B76-B584-67BFE6674528}"/>
                        </a:ext>
                      </a:extLst>
                    </pic:cNvPr>
                    <pic:cNvPicPr>
                      <a:picLocks noChangeAspect="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3101340" cy="2286000"/>
                    </a:xfrm>
                    <a:prstGeom prst="rect">
                      <a:avLst/>
                    </a:prstGeom>
                    <a:ln>
                      <a:noFill/>
                    </a:ln>
                    <a:extLst>
                      <a:ext uri="{53640926-AAD7-44D8-BBD7-CCE9431645EC}">
                        <a14:shadowObscured xmlns:a14="http://schemas.microsoft.com/office/drawing/2010/main"/>
                      </a:ext>
                    </a:extLst>
                  </pic:spPr>
                </pic:pic>
              </a:graphicData>
            </a:graphic>
          </wp:anchor>
        </w:drawing>
      </w:r>
      <w:r w:rsidRPr="008E63BB">
        <w:rPr>
          <w:lang w:val="vi-VN"/>
        </w:rPr>
        <w:t>Đầu tư vào cơ sở hạ tầng xã hội và phúc lợi là chìa khóa tạo nên một cộng đồng  dân cư lao động có năng suất. Để thành phố trở nên hấp dẫn và năng động dành cho người đi bộ, đi xe đạp đòi hỏi phải tạo ra môi trường đô thị an toàn và toàn diện. Phân phối cơ sở hạ tầng mềm trên các khu vực đô thị được thiết lập và trong tương lai cũng sẽ cần được xem xét liên quan đến khả năng tiếp cận của họ, đảm bảo các cơ sở này được phân phối tốt và có thể truy cập bằng phương tiện giao thông tích cực nếu có thể.</w:t>
      </w:r>
    </w:p>
    <w:p w14:paraId="519B3076" w14:textId="77777777" w:rsidR="009C4546" w:rsidRPr="008E63BB" w:rsidRDefault="009C4546" w:rsidP="009C4546">
      <w:pPr>
        <w:ind w:firstLine="540"/>
        <w:rPr>
          <w:lang w:val="vi-VN"/>
        </w:rPr>
      </w:pPr>
      <w:r w:rsidRPr="008E63BB">
        <w:rPr>
          <w:lang w:val="vi-VN"/>
        </w:rPr>
        <w:t>Cần mang lại các tiện ích chăm sóc sức khỏe và phúc lợi xã hội một cách công bằng tới cho cộng đồng, trong đó có xem xét đến khả năng tiếp cận của người dân, đảm bảo hệ thống các công trình công cộng được bố trí hợp lý, có thể tiếp cận bằng phương tiện giao thông  công cộng dễ dàng.</w:t>
      </w:r>
    </w:p>
    <w:p w14:paraId="519B3077" w14:textId="77777777" w:rsidR="009C4546" w:rsidRPr="008E63BB" w:rsidRDefault="009C4546" w:rsidP="009C4546">
      <w:pPr>
        <w:ind w:firstLine="540"/>
        <w:rPr>
          <w:lang w:val="vi-VN"/>
        </w:rPr>
      </w:pPr>
      <w:r w:rsidRPr="008E63BB">
        <w:rPr>
          <w:lang w:val="vi-VN"/>
        </w:rPr>
        <w:t>Để Nam Định trở thành một thành phố sống khỏe, các chiến lược sau đây được áp dụng:</w:t>
      </w:r>
    </w:p>
    <w:p w14:paraId="519B3078" w14:textId="77777777" w:rsidR="009C4546" w:rsidRPr="008E63BB" w:rsidRDefault="009C4546" w:rsidP="009C4546">
      <w:pPr>
        <w:ind w:firstLine="540"/>
        <w:rPr>
          <w:lang w:val="vi-VN"/>
        </w:rPr>
      </w:pPr>
      <w:r w:rsidRPr="008E63BB">
        <w:rPr>
          <w:lang w:val="vi-VN"/>
        </w:rPr>
        <w:t>- Tích hợp các chức năng thể thao, giải trí  trong vanh đai xanh của đô thị</w:t>
      </w:r>
    </w:p>
    <w:p w14:paraId="519B3079" w14:textId="77777777" w:rsidR="009C4546" w:rsidRPr="008E63BB" w:rsidRDefault="009C4546" w:rsidP="009C4546">
      <w:pPr>
        <w:ind w:firstLine="540"/>
        <w:rPr>
          <w:lang w:val="vi-VN"/>
        </w:rPr>
      </w:pPr>
      <w:r w:rsidRPr="008E63BB">
        <w:rPr>
          <w:lang w:val="vi-VN"/>
        </w:rPr>
        <w:t>- Thành lập các điểm dịch vụ tích hợp  phục vụ người dân trên toàn TP</w:t>
      </w:r>
    </w:p>
    <w:p w14:paraId="519B307A" w14:textId="77777777" w:rsidR="007215B7" w:rsidRPr="008E63BB" w:rsidRDefault="009C4546" w:rsidP="009C4546">
      <w:pPr>
        <w:ind w:firstLine="540"/>
        <w:rPr>
          <w:lang w:val="vi-VN"/>
        </w:rPr>
      </w:pPr>
      <w:r w:rsidRPr="008E63BB">
        <w:rPr>
          <w:lang w:val="vi-VN"/>
        </w:rPr>
        <w:t>- Kết nối thuận tiện giữa các tiện ích công cộng, dịch vụ với  các khu vực tự nhiên</w:t>
      </w:r>
    </w:p>
    <w:p w14:paraId="519B307B" w14:textId="77777777" w:rsidR="007215B7" w:rsidRPr="008E63BB" w:rsidRDefault="009C4546" w:rsidP="009C4546">
      <w:pPr>
        <w:rPr>
          <w:lang w:val="vi-VN"/>
        </w:rPr>
      </w:pPr>
      <w:r w:rsidRPr="008E63BB">
        <w:rPr>
          <w:i/>
          <w:iCs/>
          <w:lang w:val="vi-VN"/>
        </w:rPr>
        <w:t>Chiến lược 08</w:t>
      </w:r>
      <w:r w:rsidR="007215B7" w:rsidRPr="008E63BB">
        <w:rPr>
          <w:i/>
          <w:iCs/>
          <w:lang w:val="vi-VN"/>
        </w:rPr>
        <w:t xml:space="preserve">: </w:t>
      </w:r>
      <w:r w:rsidR="0000747C" w:rsidRPr="008E63BB">
        <w:rPr>
          <w:i/>
          <w:iCs/>
          <w:lang w:val="vi-VN"/>
        </w:rPr>
        <w:t>Xây dựng t</w:t>
      </w:r>
      <w:r w:rsidR="007215B7" w:rsidRPr="008E63BB">
        <w:rPr>
          <w:i/>
          <w:iCs/>
          <w:lang w:val="vi-VN"/>
        </w:rPr>
        <w:t xml:space="preserve">hành phố thông minh thông qua </w:t>
      </w:r>
      <w:r w:rsidR="00F2148D" w:rsidRPr="008E63BB">
        <w:rPr>
          <w:i/>
          <w:iCs/>
          <w:lang w:val="vi-VN"/>
        </w:rPr>
        <w:t>đ</w:t>
      </w:r>
      <w:r w:rsidR="007215B7" w:rsidRPr="008E63BB">
        <w:rPr>
          <w:i/>
          <w:iCs/>
          <w:lang w:val="vi-VN"/>
        </w:rPr>
        <w:t>ổi mới công nghiệp, giáo dục và cải thiện các chức năng đô thị:</w:t>
      </w:r>
    </w:p>
    <w:p w14:paraId="519B307C" w14:textId="77777777" w:rsidR="007215B7" w:rsidRPr="008E63BB" w:rsidRDefault="007215B7" w:rsidP="007215B7">
      <w:pPr>
        <w:shd w:val="clear" w:color="auto" w:fill="FFFFFF"/>
        <w:ind w:firstLine="540"/>
        <w:rPr>
          <w:lang w:val="vi-VN"/>
        </w:rPr>
      </w:pPr>
      <w:r w:rsidRPr="008E63BB">
        <w:rPr>
          <w:lang w:val="vi-VN"/>
        </w:rPr>
        <w:t xml:space="preserve">Thành phố thông minh là nơi các mạng lưới và dịch vụ truyền thống được thực hiện hiệu quả hơn với việc sử dụng các công nghệ kỹ thuật số và viễn thông vì lợi ích của cư </w:t>
      </w:r>
      <w:r w:rsidRPr="008E63BB">
        <w:rPr>
          <w:lang w:val="vi-VN"/>
        </w:rPr>
        <w:lastRenderedPageBreak/>
        <w:t xml:space="preserve">dân và doanh nghiệp. Các thành phố sử dụng các giải pháp công nghệ để cải thiện quản lý và hiệu quả của môi trường đô thị. </w:t>
      </w:r>
    </w:p>
    <w:p w14:paraId="519B307E" w14:textId="77777777" w:rsidR="009C4546" w:rsidRPr="008E63BB" w:rsidRDefault="007215B7" w:rsidP="009C4546">
      <w:pPr>
        <w:shd w:val="clear" w:color="auto" w:fill="FFFFFF"/>
        <w:ind w:firstLine="540"/>
        <w:rPr>
          <w:lang w:val="vi-VN"/>
        </w:rPr>
      </w:pPr>
      <w:r w:rsidRPr="008E63BB">
        <w:rPr>
          <w:lang w:val="vi-VN"/>
        </w:rPr>
        <w:t xml:space="preserve">Phát triển thành phố thông minh là một xu hướng mới. Trong tương lai, khi nền kinh tế chuyển từ việc làm dựa trên sản xuất sang việc làm dựa trên tri thức, thành phố cần đảm bảo cơ sở hạ tầng phù hợp được cung cấp để thu hút các khoản đầu tư đúng đắn. Một khu vực đổi mới, nơi các cơ sở công nghiệp, giáo dục và nghiên cứu được đặt gần nhau cho phép phối hợp các khu chức năng với nhau sẽ đem lại nhiều lợi ích. </w:t>
      </w:r>
    </w:p>
    <w:p w14:paraId="519B307F" w14:textId="77777777" w:rsidR="009C4546" w:rsidRPr="008E63BB" w:rsidRDefault="009C4546" w:rsidP="009C4546">
      <w:pPr>
        <w:ind w:firstLine="720"/>
        <w:rPr>
          <w:lang w:val="vi-VN"/>
        </w:rPr>
      </w:pPr>
      <w:r w:rsidRPr="008E63BB">
        <w:rPr>
          <w:lang w:val="vi-VN"/>
        </w:rPr>
        <w:t>Năm 2040, Nam Định có khả năng trở thành Thành phố thông minh và là nơi hỗ trợ các khái niệm về đổi mới, công nghệ, tiện lợi và lối sống để hỗ trợ dân số ngày càng thịnh vượng.</w:t>
      </w:r>
    </w:p>
    <w:p w14:paraId="519B3080" w14:textId="77777777" w:rsidR="009C4546" w:rsidRPr="008E63BB" w:rsidRDefault="009C4546" w:rsidP="009C4546">
      <w:pPr>
        <w:ind w:firstLine="720"/>
        <w:rPr>
          <w:lang w:val="vi-VN"/>
        </w:rPr>
      </w:pPr>
      <w:r w:rsidRPr="008E63BB">
        <w:rPr>
          <w:lang w:val="vi-VN"/>
        </w:rPr>
        <w:t>Thành phố đã có nhiều thế hệ nổi tiếng với các tổ chức giáo dục, thương mại và kinh doanh nghiêm ngặt - và những yếu tố này là trung tâm của giai đoạn tiếp theo của sự phát triển của Thành phố thành một "Thành phố thông minh". Khái niệm Thành phố thông minh được nêu trong kế hoạch tổng thể năm 2040 (và tầm nhìn đến năm 2050) xác định 3 cơ hội chính - mỗi cơ hội thể hiện khái niệm Thành phố thông minh trong các biểu hiện khác nhau. Điều quan trọng cần nhận ra rằng Thành phố thông minh không chỉ là những môi trường đô thị hỗ trợ công nghệ và đổi mới mà còn có thể được thực hiện ở nhiều định dạng và cấu hình khác nhau.</w:t>
      </w:r>
    </w:p>
    <w:p w14:paraId="519B3081" w14:textId="77777777" w:rsidR="009C4546" w:rsidRPr="008E63BB" w:rsidRDefault="009C4546" w:rsidP="009C4546">
      <w:pPr>
        <w:ind w:firstLine="720"/>
        <w:rPr>
          <w:lang w:val="vi-VN"/>
        </w:rPr>
      </w:pPr>
      <w:r w:rsidRPr="008E63BB">
        <w:rPr>
          <w:lang w:val="vi-VN"/>
        </w:rPr>
        <w:t>Đối với Nam Định 2040, khái niệm Thành phố thông minh có thể được thể hiện theo 3 cách khác nhau:</w:t>
      </w:r>
    </w:p>
    <w:p w14:paraId="519B3082" w14:textId="77777777" w:rsidR="009C4546" w:rsidRPr="008E63BB" w:rsidRDefault="009C4546" w:rsidP="009C4546">
      <w:pPr>
        <w:rPr>
          <w:lang w:val="vi-VN"/>
        </w:rPr>
      </w:pPr>
      <w:r w:rsidRPr="008E63BB">
        <w:rPr>
          <w:lang w:val="vi-VN"/>
        </w:rPr>
        <w:t>* Cửa ngõ phía Tây – Đô thị tri thức:</w:t>
      </w:r>
    </w:p>
    <w:p w14:paraId="519B3083" w14:textId="77777777" w:rsidR="009C4546" w:rsidRPr="008E63BB" w:rsidRDefault="009C4546" w:rsidP="009C4546">
      <w:pPr>
        <w:ind w:firstLine="540"/>
        <w:rPr>
          <w:lang w:val="vi-VN"/>
        </w:rPr>
      </w:pPr>
      <w:r w:rsidRPr="008E63BB">
        <w:rPr>
          <w:lang w:val="vi-VN"/>
        </w:rPr>
        <w:t>Tăng trưởng về công nghệ thông tin, giáo dục và đào tạo và đổi mới là trọng tâm của việc thiết lập các sáng kiến ​​Thành phố thông minh. Các phát minh, sáng kiến, được củng cố bởi các tổ chức giáo dục và đào tạo mạnh mẽ, các doanh nghiệp và ngành công nghiệp tiên tiến tiến bộ và cách tiếp cận hợp tác 'hợp tác' để đổi mới là trung tâm của thành công trong lĩnh vực này.</w:t>
      </w:r>
    </w:p>
    <w:p w14:paraId="519B3084" w14:textId="77777777" w:rsidR="009C4546" w:rsidRPr="008E63BB" w:rsidRDefault="009C4546" w:rsidP="009C4546">
      <w:pPr>
        <w:ind w:firstLine="540"/>
        <w:rPr>
          <w:lang w:val="vi-VN"/>
        </w:rPr>
      </w:pPr>
      <w:r w:rsidRPr="008E63BB">
        <w:rPr>
          <w:lang w:val="vi-VN"/>
        </w:rPr>
        <w:t>Với truyền thống mạnh mẽ ở thành phố Nam Định về giáo dục - việc tạo ra một nút kiến ​​thức vượt qua đào tạo (giáo dục), công nghiệp và kinh doanh (việc làm) là chìa khóa cho sự phát triển tiến bộ của Thành phố. Không phải tất cả các trung tâm đô thị đều phù hợp với phương pháp này, tuy nhiên vị trí chiến lược của Nam Đình Định liên quan đến Hà Nội, Thái Bình và các điểm đến lân cận khác đảm bảo rằng nền tảng kiến ​​thức mạnh mẽ của nó là nền tảng cho sự phát triển trong tương lai. Cách tiếp cận này không nên giới hạn trong đầu tư công, thay vào đó nó tạo cơ hội nổi bật cho sự phát triển và thành lập các doanh nghiệp tư nhân, trường học, trường đại học và các tổ chức để hoạt động song song với các cơ sở của chính phủ đã được thiết lập tốt.</w:t>
      </w:r>
    </w:p>
    <w:p w14:paraId="519B3085" w14:textId="77777777" w:rsidR="009C4546" w:rsidRPr="008E63BB" w:rsidRDefault="009C4546" w:rsidP="009C4546">
      <w:pPr>
        <w:ind w:firstLine="540"/>
        <w:rPr>
          <w:lang w:val="vi-VN"/>
        </w:rPr>
      </w:pPr>
      <w:r w:rsidRPr="008E63BB">
        <w:rPr>
          <w:lang w:val="vi-VN"/>
        </w:rPr>
        <w:t>Đề xuất: Hình thành đô thị mới tại khu vực cửa ngõ phía Tây với các chức năng về giáo dục, công nghiệp sáng tạo và dân cư, được hỗ trợ bởi hệ thống giao thông đa phương tiện.</w:t>
      </w:r>
    </w:p>
    <w:p w14:paraId="519B3086" w14:textId="77777777" w:rsidR="009C4546" w:rsidRPr="008E63BB" w:rsidRDefault="009C4546" w:rsidP="009C4546">
      <w:pPr>
        <w:rPr>
          <w:lang w:val="vi-VN"/>
        </w:rPr>
      </w:pPr>
      <w:r w:rsidRPr="008E63BB">
        <w:rPr>
          <w:lang w:val="vi-VN"/>
        </w:rPr>
        <w:t>* Khu lõi trung tâm - Đô thị tái thiết: Nâng cao tiện ích cho khu vực lõi trung tâm bằng hệ thống thiết bị công nghệ hiện đại.</w:t>
      </w:r>
    </w:p>
    <w:p w14:paraId="519B3087" w14:textId="77777777" w:rsidR="009C4546" w:rsidRPr="008E63BB" w:rsidRDefault="009C4546" w:rsidP="009C4546">
      <w:pPr>
        <w:ind w:firstLine="540"/>
        <w:rPr>
          <w:lang w:val="vi-VN"/>
        </w:rPr>
      </w:pPr>
      <w:r w:rsidRPr="008E63BB">
        <w:rPr>
          <w:lang w:val="vi-VN"/>
        </w:rPr>
        <w:t xml:space="preserve">Đổi mới đô thị và giới thiệu công nghệ Thành phố thông minh tiện lợi là rất quan trọng đối với sự thành công của các khu vực đô thị đã được thiết lập hiện tại đã chín muồi để tái sinh và thay đổi tiến bộ. Không có thành phố hoặc khu định cư đô thị nào là tĩnh - và đầu tư của các thực thể công cộng và tư nhân trong các khu vực đô thị hiện tại phải tuân thủ thực tiễn tốt nhất đối với công nghệ Thành phố thông minh. Điều này cần xem xét những tiến bộ quan trọng 'hàng ngày' giúp các trung tâm đô thị trở thành nơi sinh sống, làm việc và vui chơi thuận tiện và hấp dẫn hơn. Nó bao gồm việc cung cấp các nút Wi-Fi miễn phí trên toàn Thành phố, thông tin giao thông công cộng theo thời </w:t>
      </w:r>
      <w:r w:rsidRPr="008E63BB">
        <w:rPr>
          <w:lang w:val="vi-VN"/>
        </w:rPr>
        <w:lastRenderedPageBreak/>
        <w:t>gian thực dành cho người dân , việc cung cấp các dịch vụ y tế và phúc lợi cộng đồng có thể truy cập thông qua các hệ thống trực tuyến được bao gồm cho tất cả cư dân.</w:t>
      </w:r>
    </w:p>
    <w:p w14:paraId="519B3088" w14:textId="77777777" w:rsidR="009C4546" w:rsidRPr="008E63BB" w:rsidRDefault="009C4546" w:rsidP="009C4546">
      <w:pPr>
        <w:ind w:firstLine="540"/>
        <w:rPr>
          <w:lang w:val="vi-VN"/>
        </w:rPr>
      </w:pPr>
      <w:r w:rsidRPr="008E63BB">
        <w:rPr>
          <w:lang w:val="vi-VN"/>
        </w:rPr>
        <w:t>Cách tiếp cận này không giới hạn các siêu đô thị; thực sự nó thực tế hơn và dễ dàng thực hiện ở các khu định cư nhỏ hơn làm cơ sở cho một mô hình lân cận tăng trưởng trong tái sinh. Công nghệ Thành phố thông minh rất quan trọng để quản trị thành công các địa điểm đô thị - được chính quyền Thành phố sử dụng trong việc quản lý, bảo trì và giám sát cơ sở hạ tầng đô thị có liên quan (bao gồm đường xá, tiện ích, dịch vụ cộng đồng và dân số)</w:t>
      </w:r>
    </w:p>
    <w:p w14:paraId="519B3089" w14:textId="77777777" w:rsidR="009C4546" w:rsidRPr="008E63BB" w:rsidRDefault="009C4546" w:rsidP="009C4546">
      <w:pPr>
        <w:rPr>
          <w:lang w:val="vi-VN"/>
        </w:rPr>
      </w:pPr>
      <w:r w:rsidRPr="008E63BB">
        <w:rPr>
          <w:lang w:val="vi-VN"/>
        </w:rPr>
        <w:t>* Cộng đồng thông minh: Xây dựng đô thị mới phía Đông Nam với môi trường sống và vui chơi giải trí chất lượng cao, gắn kết chặt chẽ với hệ sinh thái nông nghiệp hiện hữu.</w:t>
      </w:r>
    </w:p>
    <w:p w14:paraId="519B308A" w14:textId="77777777" w:rsidR="009C4546" w:rsidRPr="008E63BB" w:rsidRDefault="009C4546" w:rsidP="009C4546">
      <w:pPr>
        <w:ind w:firstLine="540"/>
        <w:rPr>
          <w:lang w:val="vi-VN"/>
        </w:rPr>
      </w:pPr>
      <w:r w:rsidRPr="008E63BB">
        <w:rPr>
          <w:lang w:val="vi-VN"/>
        </w:rPr>
        <w:t xml:space="preserve">Công tác quản lý môi trường (bao gồm quản lý mạng lưới sông hồ chính, các vùng sản xuất nông nghiệp, quản lý môi trường nước, thoát nước và kiểm soát tác động của biến đổi khí hậu) đều được thực hiện thông qua việc áp dụng các công nghệ và hệ thống của Thành phố thông minh. Việc thành lập các cộng đồng đô thị mới ở Nam Định không thể áp dụng 'kiểu phân lô và tiêu thụ đất đai kiểu cũ. </w:t>
      </w:r>
    </w:p>
    <w:p w14:paraId="519B308B" w14:textId="77777777" w:rsidR="009C4546" w:rsidRPr="008E63BB" w:rsidRDefault="009C4546" w:rsidP="009C4546">
      <w:pPr>
        <w:ind w:firstLine="540"/>
        <w:rPr>
          <w:lang w:val="vi-VN"/>
        </w:rPr>
      </w:pPr>
      <w:r w:rsidRPr="008E63BB">
        <w:rPr>
          <w:lang w:val="vi-VN"/>
        </w:rPr>
        <w:t>Sự phát triển của Thành phố thông minh ở các khu vực đô thị mới (đặc biệt là các khu vực đất thấp hoặc liền kề với các hành lang và cửa sông) cần giám sát và quản lý các điều kiện môi trường để chúng an toàn, có thể di chuyển và bền vững như các cộng đồng đang phát triển. Nhiều nguyên tắc tăng trưởng Thành phố thông minh bền vững được đặt nền tảng trong hình ảnh của các ngôi làng hiện có xung quanh Thành phố. Những thực tiễn này nên được tăng cường - nền tảng của sự phát triển cụm các khu dân cư sử dụng hợp lý cảnh quan, nước, nông nghiệp và khía cạnh để tạo ra những nơi hấp dẫn cho đầu tư và phát triển dân cư. Điều này cung cấp một sự bù đắp rất tích cực cho cuộc sống đô thị thông thường trong các khu vực quy hoạch.</w:t>
      </w:r>
    </w:p>
    <w:p w14:paraId="519B308C" w14:textId="77777777" w:rsidR="009C4546" w:rsidRPr="008E63BB" w:rsidRDefault="009C4546" w:rsidP="009C4546">
      <w:pPr>
        <w:shd w:val="clear" w:color="auto" w:fill="FFFFFF"/>
        <w:ind w:firstLine="540"/>
        <w:rPr>
          <w:lang w:val="vi-VN"/>
        </w:rPr>
      </w:pPr>
      <w:r w:rsidRPr="008E63BB">
        <w:rPr>
          <w:lang w:val="vi-VN"/>
        </w:rPr>
        <w:tab/>
        <w:t>Đối với thành phố Nam Định, mô hình đô thị thông minh khó áp dụng trên phạm vi toàn thành phố, nhưng đối với các khu vực đô thị mới, đặc biệt là khu vực phát triển mới phía Tây Bắc có nhiều điều kiện thích hợp để áp dụng.</w:t>
      </w:r>
    </w:p>
    <w:p w14:paraId="519B308D" w14:textId="77777777" w:rsidR="009C4546" w:rsidRPr="008E63BB" w:rsidRDefault="009C4546" w:rsidP="005B7147">
      <w:pPr>
        <w:shd w:val="clear" w:color="auto" w:fill="FFFFFF"/>
        <w:ind w:firstLine="540"/>
        <w:jc w:val="center"/>
      </w:pPr>
      <w:r w:rsidRPr="008E63BB">
        <w:rPr>
          <w:noProof/>
          <w:lang w:eastAsia="zh-CN"/>
        </w:rPr>
        <w:drawing>
          <wp:inline distT="0" distB="0" distL="0" distR="0" wp14:anchorId="519B5231" wp14:editId="519B5232">
            <wp:extent cx="4379762" cy="2933205"/>
            <wp:effectExtent l="0" t="0" r="190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martCityStrategy-2.JPG"/>
                    <pic:cNvPicPr/>
                  </pic:nvPicPr>
                  <pic:blipFill>
                    <a:blip r:embed="rId87" cstate="screen">
                      <a:extLst>
                        <a:ext uri="{28A0092B-C50C-407E-A947-70E740481C1C}">
                          <a14:useLocalDpi xmlns:a14="http://schemas.microsoft.com/office/drawing/2010/main"/>
                        </a:ext>
                      </a:extLst>
                    </a:blip>
                    <a:stretch>
                      <a:fillRect/>
                    </a:stretch>
                  </pic:blipFill>
                  <pic:spPr>
                    <a:xfrm>
                      <a:off x="0" y="0"/>
                      <a:ext cx="4380754" cy="2933869"/>
                    </a:xfrm>
                    <a:prstGeom prst="rect">
                      <a:avLst/>
                    </a:prstGeom>
                  </pic:spPr>
                </pic:pic>
              </a:graphicData>
            </a:graphic>
          </wp:inline>
        </w:drawing>
      </w:r>
    </w:p>
    <w:p w14:paraId="519B308E" w14:textId="77777777" w:rsidR="00F53F66" w:rsidRPr="008E63BB" w:rsidRDefault="00F53F66" w:rsidP="0065184D">
      <w:pPr>
        <w:tabs>
          <w:tab w:val="num" w:pos="720"/>
        </w:tabs>
        <w:rPr>
          <w:b/>
          <w:szCs w:val="26"/>
          <w:lang w:val="it-IT"/>
        </w:rPr>
      </w:pPr>
    </w:p>
    <w:p w14:paraId="519B308F" w14:textId="77777777" w:rsidR="00E97B7F" w:rsidRPr="008E63BB" w:rsidRDefault="00060912" w:rsidP="0065184D">
      <w:pPr>
        <w:pStyle w:val="Heading2"/>
        <w:spacing w:before="0" w:after="0"/>
        <w:rPr>
          <w:lang w:val="it-IT"/>
        </w:rPr>
      </w:pPr>
      <w:bookmarkStart w:id="336" w:name="_Toc341519053"/>
      <w:bookmarkStart w:id="337" w:name="_Toc341519154"/>
      <w:bookmarkStart w:id="338" w:name="_Toc344928466"/>
      <w:bookmarkStart w:id="339" w:name="_Toc345538374"/>
      <w:bookmarkStart w:id="340" w:name="_Toc47524688"/>
      <w:r w:rsidRPr="008E63BB">
        <w:rPr>
          <w:lang w:val="it-IT"/>
        </w:rPr>
        <w:lastRenderedPageBreak/>
        <w:t>4.</w:t>
      </w:r>
      <w:r w:rsidR="007F6E3B" w:rsidRPr="008E63BB">
        <w:rPr>
          <w:lang w:val="it-IT"/>
        </w:rPr>
        <w:t>7</w:t>
      </w:r>
      <w:r w:rsidRPr="008E63BB">
        <w:rPr>
          <w:lang w:val="it-IT"/>
        </w:rPr>
        <w:t xml:space="preserve">. Các dự báo phát triển </w:t>
      </w:r>
      <w:r w:rsidR="00B70F02" w:rsidRPr="008E63BB">
        <w:rPr>
          <w:lang w:val="it-IT"/>
        </w:rPr>
        <w:t>thành phố Nam Định đến năm 2040</w:t>
      </w:r>
      <w:r w:rsidRPr="008E63BB">
        <w:rPr>
          <w:lang w:val="it-IT"/>
        </w:rPr>
        <w:t xml:space="preserve"> và các chỉ tiêu kinh tế kỹ thuật</w:t>
      </w:r>
      <w:r w:rsidR="00496554" w:rsidRPr="008E63BB">
        <w:rPr>
          <w:lang w:val="it-IT"/>
        </w:rPr>
        <w:t>:</w:t>
      </w:r>
      <w:bookmarkEnd w:id="336"/>
      <w:bookmarkEnd w:id="337"/>
      <w:bookmarkEnd w:id="338"/>
      <w:bookmarkEnd w:id="339"/>
      <w:bookmarkEnd w:id="340"/>
    </w:p>
    <w:p w14:paraId="519B3090" w14:textId="77777777" w:rsidR="001C1799" w:rsidRPr="008E63BB" w:rsidRDefault="001C1799" w:rsidP="001C1799">
      <w:pPr>
        <w:pStyle w:val="Heading3"/>
        <w:rPr>
          <w:lang w:val="it-IT"/>
        </w:rPr>
      </w:pPr>
      <w:bookmarkStart w:id="341" w:name="_Toc44850856"/>
      <w:bookmarkStart w:id="342" w:name="_Toc47524689"/>
      <w:r w:rsidRPr="008E63BB">
        <w:rPr>
          <w:lang w:val="it-IT"/>
        </w:rPr>
        <w:t>4.7.1. Dự báo phát triển các ngành, lĩnh vực</w:t>
      </w:r>
      <w:bookmarkEnd w:id="341"/>
      <w:bookmarkEnd w:id="342"/>
    </w:p>
    <w:p w14:paraId="519B3091" w14:textId="722F5774"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Tốc độ tăng trưởng bình quân (GRDP) giai đoạn 201</w:t>
      </w:r>
      <w:r w:rsidRPr="008E63BB">
        <w:rPr>
          <w:rFonts w:eastAsia="Arial Unicode MS"/>
          <w:szCs w:val="26"/>
          <w:u w:color="000000"/>
          <w:lang w:val="it-IT"/>
        </w:rPr>
        <w:t>9</w:t>
      </w:r>
      <w:r w:rsidRPr="008E63BB">
        <w:rPr>
          <w:rFonts w:eastAsia="Arial Unicode MS"/>
          <w:szCs w:val="26"/>
          <w:u w:color="000000"/>
          <w:lang w:val="vi-VN"/>
        </w:rPr>
        <w:t>-2030</w:t>
      </w:r>
      <w:r w:rsidR="00D5019B" w:rsidRPr="008E63BB">
        <w:rPr>
          <w:rFonts w:eastAsia="Arial Unicode MS"/>
          <w:szCs w:val="26"/>
          <w:u w:color="000000"/>
        </w:rPr>
        <w:t xml:space="preserve"> </w:t>
      </w:r>
      <w:r w:rsidRPr="008E63BB">
        <w:rPr>
          <w:rFonts w:eastAsia="Arial Unicode MS"/>
          <w:szCs w:val="26"/>
          <w:u w:color="000000"/>
          <w:lang w:val="vi-VN"/>
        </w:rPr>
        <w:t>đạt 1</w:t>
      </w:r>
      <w:r w:rsidRPr="008E63BB">
        <w:rPr>
          <w:rFonts w:eastAsia="Arial Unicode MS"/>
          <w:szCs w:val="26"/>
          <w:u w:color="000000"/>
          <w:lang w:val="it-IT"/>
        </w:rPr>
        <w:t>3</w:t>
      </w:r>
      <w:r w:rsidRPr="008E63BB">
        <w:rPr>
          <w:rFonts w:eastAsia="Arial Unicode MS"/>
          <w:szCs w:val="26"/>
          <w:u w:color="000000"/>
          <w:lang w:val="vi-VN"/>
        </w:rPr>
        <w:t>-</w:t>
      </w:r>
      <w:r w:rsidRPr="008E63BB">
        <w:rPr>
          <w:rFonts w:eastAsia="Arial Unicode MS"/>
          <w:szCs w:val="26"/>
          <w:u w:color="000000"/>
          <w:lang w:val="it-IT"/>
        </w:rPr>
        <w:t>16</w:t>
      </w:r>
      <w:r w:rsidRPr="008E63BB">
        <w:rPr>
          <w:rFonts w:eastAsia="Arial Unicode MS"/>
          <w:szCs w:val="26"/>
          <w:u w:color="000000"/>
          <w:lang w:val="vi-VN"/>
        </w:rPr>
        <w:t>%/năm; giai đoạn 20</w:t>
      </w:r>
      <w:r w:rsidRPr="008E63BB">
        <w:rPr>
          <w:rFonts w:eastAsia="Arial Unicode MS"/>
          <w:szCs w:val="26"/>
          <w:u w:color="000000"/>
          <w:lang w:val="it-IT"/>
        </w:rPr>
        <w:t>3</w:t>
      </w:r>
      <w:r w:rsidRPr="008E63BB">
        <w:rPr>
          <w:rFonts w:eastAsia="Arial Unicode MS"/>
          <w:szCs w:val="26"/>
          <w:u w:color="000000"/>
          <w:lang w:val="vi-VN"/>
        </w:rPr>
        <w:t>1- 20</w:t>
      </w:r>
      <w:r w:rsidRPr="008E63BB">
        <w:rPr>
          <w:rFonts w:eastAsia="Arial Unicode MS"/>
          <w:szCs w:val="26"/>
          <w:u w:color="000000"/>
          <w:lang w:val="it-IT"/>
        </w:rPr>
        <w:t>4</w:t>
      </w:r>
      <w:r w:rsidRPr="008E63BB">
        <w:rPr>
          <w:rFonts w:eastAsia="Arial Unicode MS"/>
          <w:szCs w:val="26"/>
          <w:u w:color="000000"/>
          <w:lang w:val="vi-VN"/>
        </w:rPr>
        <w:t>0 đạt khoảng 7-8%/năm.</w:t>
      </w:r>
    </w:p>
    <w:p w14:paraId="519B3092"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Cơ cấu kinh tế (GRDP):</w:t>
      </w:r>
    </w:p>
    <w:p w14:paraId="519B3093"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Năm 2030, nông nghiệp chiếm 0,35%; công nghiệp - xây dựng, dịch vụ chiếm 99,65%.</w:t>
      </w:r>
    </w:p>
    <w:p w14:paraId="519B3094"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Năm 2040, nông nghiệp chiếm 0,2%; công nghiệp - xây dựng, dịch vụ chiếm 99,8%.</w:t>
      </w:r>
    </w:p>
    <w:p w14:paraId="519B3095"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 GRDP bình quân đầu người (giá hiện hành): đến năm 2030 đạt khoảng 10.000-12.000 USD; đến năm 2040 đạt khoảng 15.000-22.000 USD.</w:t>
      </w:r>
    </w:p>
    <w:p w14:paraId="519B3096"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Định hướng phát triển các ngành lĩnh vực chính trên địa bàn thành phố như sau:</w:t>
      </w:r>
    </w:p>
    <w:p w14:paraId="519B3097" w14:textId="77777777" w:rsidR="001C1799" w:rsidRPr="008E63BB" w:rsidRDefault="001C1799" w:rsidP="001C1799">
      <w:pPr>
        <w:rPr>
          <w:rFonts w:eastAsia="Arial Unicode MS"/>
          <w:szCs w:val="26"/>
          <w:u w:color="000000"/>
          <w:lang w:val="vi-VN"/>
        </w:rPr>
      </w:pPr>
      <w:r w:rsidRPr="008E63BB">
        <w:rPr>
          <w:rFonts w:eastAsia="Arial Unicode MS"/>
          <w:szCs w:val="26"/>
          <w:u w:color="000000"/>
          <w:lang w:val="vi-VN"/>
        </w:rPr>
        <w:t xml:space="preserve">* Ngành dịch vụ: </w:t>
      </w:r>
    </w:p>
    <w:p w14:paraId="519B3098"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Phấn đấu tốc độ tăng trưởng (giá trị tăng thêm) ngành dịch vụ giai đoạn 2019-2030 đạt 10-13%/năm; giai đoạn 2031- 2040 đạt 7%/năm.</w:t>
      </w:r>
    </w:p>
    <w:p w14:paraId="519B3099" w14:textId="77777777" w:rsidR="001C1799" w:rsidRPr="008E63BB" w:rsidRDefault="001C1799" w:rsidP="001C1799">
      <w:pPr>
        <w:ind w:firstLine="709"/>
        <w:rPr>
          <w:rFonts w:eastAsia="Arial Unicode MS"/>
          <w:szCs w:val="26"/>
          <w:u w:color="000000"/>
          <w:lang w:val="vi-VN"/>
        </w:rPr>
      </w:pPr>
      <w:r w:rsidRPr="008E63BB">
        <w:rPr>
          <w:rFonts w:eastAsia="Arial Unicode MS"/>
          <w:szCs w:val="26"/>
          <w:u w:color="000000"/>
          <w:lang w:val="vi-VN"/>
        </w:rPr>
        <w:t xml:space="preserve">Du lịch: </w:t>
      </w:r>
      <w:r w:rsidRPr="008E63BB">
        <w:rPr>
          <w:lang w:val="it-IT"/>
        </w:rPr>
        <w:t xml:space="preserve">Phấn đấu </w:t>
      </w:r>
      <w:r w:rsidRPr="008E63BB">
        <w:rPr>
          <w:lang w:val="vi-VN"/>
        </w:rPr>
        <w:t>thu hút khoảng 3,75 triệu lượt khách du lịch vào năm 2030</w:t>
      </w:r>
      <w:r w:rsidRPr="008E63BB">
        <w:rPr>
          <w:lang w:val="it-IT"/>
        </w:rPr>
        <w:t xml:space="preserve">. </w:t>
      </w:r>
    </w:p>
    <w:p w14:paraId="519B309A" w14:textId="77777777" w:rsidR="001C1799" w:rsidRPr="008E63BB" w:rsidRDefault="001C1799" w:rsidP="001C1799">
      <w:pPr>
        <w:rPr>
          <w:rFonts w:eastAsia="Arial Unicode MS"/>
          <w:szCs w:val="26"/>
          <w:u w:color="000000"/>
          <w:lang w:val="vi-VN"/>
        </w:rPr>
      </w:pPr>
      <w:r w:rsidRPr="008E63BB">
        <w:rPr>
          <w:rFonts w:eastAsia="Arial Unicode MS"/>
          <w:szCs w:val="26"/>
          <w:u w:color="000000"/>
          <w:lang w:val="vi-VN"/>
        </w:rPr>
        <w:t>* Ngành công nghiệp, xây dựng:</w:t>
      </w:r>
    </w:p>
    <w:p w14:paraId="519B309B"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Phấn đấu tốc độ tăng trưởng (giá trị tăng thêm) ngành công nghiệp - xây dựng tăng trưởng bình quân đạt 13-16% giai đoạn 2019-2030; giai đoạn 2031-2040 đạt 12%/năm.</w:t>
      </w:r>
    </w:p>
    <w:p w14:paraId="519B309C" w14:textId="77777777" w:rsidR="001C1799" w:rsidRPr="008E63BB" w:rsidRDefault="001C1799" w:rsidP="001C1799">
      <w:pPr>
        <w:rPr>
          <w:rFonts w:eastAsia="Arial Unicode MS"/>
          <w:szCs w:val="26"/>
          <w:u w:color="000000"/>
          <w:lang w:val="vi-VN"/>
        </w:rPr>
      </w:pPr>
      <w:r w:rsidRPr="008E63BB">
        <w:rPr>
          <w:rFonts w:eastAsia="Arial Unicode MS"/>
          <w:szCs w:val="26"/>
          <w:u w:color="000000"/>
          <w:lang w:val="vi-VN"/>
        </w:rPr>
        <w:t>* Ngành nông nghiệp:</w:t>
      </w:r>
    </w:p>
    <w:p w14:paraId="519B309D" w14:textId="77777777" w:rsidR="001C1799" w:rsidRPr="008E63BB" w:rsidRDefault="001C1799" w:rsidP="001C1799">
      <w:pPr>
        <w:ind w:firstLine="720"/>
        <w:rPr>
          <w:rFonts w:eastAsia="Arial Unicode MS"/>
          <w:szCs w:val="26"/>
          <w:u w:color="000000"/>
          <w:lang w:val="vi-VN"/>
        </w:rPr>
      </w:pPr>
      <w:r w:rsidRPr="008E63BB">
        <w:rPr>
          <w:rFonts w:eastAsia="Arial Unicode MS"/>
          <w:szCs w:val="26"/>
          <w:u w:color="000000"/>
          <w:lang w:val="vi-VN"/>
        </w:rPr>
        <w:t>Tốc độ tăng trưởng (giá trị tăng thêm) ngành nông nghiệp tăng trung bình 1-3%/năm giai đoạn 2019-2030 và duy trì tăng trưởng 2%/năm giai đoạn 2031-2040.</w:t>
      </w:r>
    </w:p>
    <w:p w14:paraId="519B309E" w14:textId="77777777" w:rsidR="00060912" w:rsidRPr="008E63BB" w:rsidRDefault="00060912" w:rsidP="0065184D">
      <w:pPr>
        <w:pStyle w:val="Heading3"/>
        <w:rPr>
          <w:lang w:val="it-IT"/>
        </w:rPr>
      </w:pPr>
      <w:bookmarkStart w:id="343" w:name="_Toc341519054"/>
      <w:bookmarkStart w:id="344" w:name="_Toc341519155"/>
      <w:bookmarkStart w:id="345" w:name="_Toc344928467"/>
      <w:bookmarkStart w:id="346" w:name="_Toc345538375"/>
      <w:bookmarkStart w:id="347" w:name="_Toc21955355"/>
      <w:bookmarkStart w:id="348" w:name="_Toc47524690"/>
      <w:r w:rsidRPr="008E63BB">
        <w:rPr>
          <w:lang w:val="it-IT"/>
        </w:rPr>
        <w:t>4.</w:t>
      </w:r>
      <w:r w:rsidR="007F6E3B" w:rsidRPr="008E63BB">
        <w:rPr>
          <w:lang w:val="it-IT"/>
        </w:rPr>
        <w:t>7</w:t>
      </w:r>
      <w:r w:rsidR="001221FE" w:rsidRPr="008E63BB">
        <w:rPr>
          <w:lang w:val="it-IT"/>
        </w:rPr>
        <w:t>.2</w:t>
      </w:r>
      <w:r w:rsidRPr="008E63BB">
        <w:rPr>
          <w:lang w:val="it-IT"/>
        </w:rPr>
        <w:t>. Dự báo dân số, lao động</w:t>
      </w:r>
      <w:r w:rsidR="00665012" w:rsidRPr="008E63BB">
        <w:rPr>
          <w:lang w:val="it-IT"/>
        </w:rPr>
        <w:t>:</w:t>
      </w:r>
      <w:bookmarkEnd w:id="343"/>
      <w:bookmarkEnd w:id="344"/>
      <w:bookmarkEnd w:id="345"/>
      <w:bookmarkEnd w:id="346"/>
      <w:bookmarkEnd w:id="347"/>
      <w:bookmarkEnd w:id="348"/>
    </w:p>
    <w:p w14:paraId="519B309F" w14:textId="77777777" w:rsidR="00572DF7" w:rsidRPr="008E63BB" w:rsidRDefault="00572DF7" w:rsidP="0065184D">
      <w:pPr>
        <w:rPr>
          <w:b/>
          <w:lang w:val="it-IT"/>
        </w:rPr>
      </w:pPr>
      <w:r w:rsidRPr="008E63BB">
        <w:rPr>
          <w:b/>
          <w:lang w:val="it-IT"/>
        </w:rPr>
        <w:t>A. Dân số:</w:t>
      </w:r>
    </w:p>
    <w:p w14:paraId="519B30A0" w14:textId="77777777" w:rsidR="004C5A00" w:rsidRPr="008E63BB" w:rsidRDefault="004C5A00" w:rsidP="0065184D">
      <w:pPr>
        <w:tabs>
          <w:tab w:val="left" w:pos="709"/>
        </w:tabs>
        <w:ind w:firstLine="709"/>
        <w:rPr>
          <w:b/>
          <w:i/>
        </w:rPr>
      </w:pPr>
      <w:bookmarkStart w:id="349" w:name="_Toc344928471"/>
      <w:bookmarkStart w:id="350" w:name="_Toc345538379"/>
      <w:r w:rsidRPr="008E63BB">
        <w:rPr>
          <w:b/>
          <w:i/>
        </w:rPr>
        <w:t>a)  C</w:t>
      </w:r>
      <w:r w:rsidRPr="008E63BB">
        <w:rPr>
          <w:rFonts w:hint="cs"/>
          <w:b/>
          <w:i/>
        </w:rPr>
        <w:t>ơ</w:t>
      </w:r>
      <w:r w:rsidRPr="008E63BB">
        <w:rPr>
          <w:b/>
          <w:i/>
        </w:rPr>
        <w:t xml:space="preserve"> sở dự b</w:t>
      </w:r>
      <w:r w:rsidRPr="008E63BB">
        <w:rPr>
          <w:rFonts w:hint="cs"/>
          <w:b/>
          <w:i/>
        </w:rPr>
        <w:t>á</w:t>
      </w:r>
      <w:r w:rsidRPr="008E63BB">
        <w:rPr>
          <w:b/>
          <w:i/>
        </w:rPr>
        <w:t xml:space="preserve">o: </w:t>
      </w:r>
    </w:p>
    <w:p w14:paraId="519B30A1" w14:textId="77777777" w:rsidR="001221FE" w:rsidRPr="008E63BB" w:rsidRDefault="001221FE" w:rsidP="001221FE">
      <w:pPr>
        <w:pStyle w:val="ListParagraph"/>
        <w:numPr>
          <w:ilvl w:val="0"/>
          <w:numId w:val="12"/>
        </w:numPr>
        <w:tabs>
          <w:tab w:val="left" w:pos="993"/>
          <w:tab w:val="left" w:pos="1276"/>
        </w:tabs>
        <w:ind w:left="0" w:firstLine="720"/>
        <w:contextualSpacing w:val="0"/>
        <w:rPr>
          <w:rFonts w:eastAsia="Arial Unicode MS"/>
          <w:sz w:val="26"/>
          <w:szCs w:val="26"/>
          <w:u w:color="000000"/>
          <w:lang w:val="en-US"/>
        </w:rPr>
      </w:pPr>
      <w:r w:rsidRPr="008E63BB">
        <w:rPr>
          <w:rFonts w:eastAsia="Arial Unicode MS"/>
          <w:sz w:val="26"/>
          <w:szCs w:val="26"/>
          <w:u w:color="000000"/>
          <w:lang w:val="en-US"/>
        </w:rPr>
        <w:t xml:space="preserve">Quá trình phân bố dân cư và xu thế đô thị hóa trên địa bàn Thành phố. </w:t>
      </w:r>
    </w:p>
    <w:p w14:paraId="519B30A2" w14:textId="77777777" w:rsidR="001221FE" w:rsidRPr="008E63BB" w:rsidRDefault="001221FE" w:rsidP="001221FE">
      <w:pPr>
        <w:pStyle w:val="ListParagraph"/>
        <w:numPr>
          <w:ilvl w:val="0"/>
          <w:numId w:val="12"/>
        </w:numPr>
        <w:tabs>
          <w:tab w:val="left" w:pos="993"/>
          <w:tab w:val="left" w:pos="1276"/>
        </w:tabs>
        <w:ind w:left="0" w:firstLine="720"/>
        <w:contextualSpacing w:val="0"/>
        <w:rPr>
          <w:rFonts w:eastAsia="Arial Unicode MS"/>
          <w:sz w:val="26"/>
          <w:szCs w:val="26"/>
          <w:u w:color="000000"/>
          <w:lang w:val="en-US"/>
        </w:rPr>
      </w:pPr>
      <w:r w:rsidRPr="008E63BB">
        <w:rPr>
          <w:rFonts w:eastAsia="Arial Unicode MS"/>
          <w:sz w:val="26"/>
          <w:szCs w:val="26"/>
          <w:u w:color="000000"/>
          <w:lang w:val="en-US"/>
        </w:rPr>
        <w:t>Quy luật tăng trưởng dân số thành phố và trên địa bàn toàn tỉnh trong quá khứ và xu thế tăng dân số trong tương lai.</w:t>
      </w:r>
    </w:p>
    <w:p w14:paraId="519B30A3" w14:textId="77777777" w:rsidR="001221FE" w:rsidRPr="008E63BB" w:rsidRDefault="001221FE" w:rsidP="001221FE">
      <w:pPr>
        <w:pStyle w:val="ListParagraph"/>
        <w:numPr>
          <w:ilvl w:val="0"/>
          <w:numId w:val="12"/>
        </w:numPr>
        <w:tabs>
          <w:tab w:val="left" w:pos="993"/>
          <w:tab w:val="left" w:pos="1276"/>
        </w:tabs>
        <w:ind w:left="0" w:firstLine="720"/>
        <w:contextualSpacing w:val="0"/>
        <w:rPr>
          <w:rFonts w:eastAsia="Arial Unicode MS"/>
          <w:sz w:val="26"/>
          <w:szCs w:val="26"/>
          <w:u w:color="000000"/>
          <w:lang w:val="en-US"/>
        </w:rPr>
      </w:pPr>
      <w:r w:rsidRPr="008E63BB">
        <w:rPr>
          <w:rFonts w:eastAsia="Arial Unicode MS"/>
          <w:sz w:val="26"/>
          <w:szCs w:val="26"/>
          <w:u w:color="000000"/>
          <w:lang w:val="en-US"/>
        </w:rPr>
        <w:t xml:space="preserve">Dân số tạm trú quy đổi gồm: khách du lịch, lao động trong các khu, cụm công nghiệp, sinh viên, và các lực lượng khác. </w:t>
      </w:r>
    </w:p>
    <w:p w14:paraId="519B30A4" w14:textId="77777777" w:rsidR="001221FE" w:rsidRPr="008E63BB" w:rsidRDefault="001221FE" w:rsidP="001221FE">
      <w:pPr>
        <w:pStyle w:val="ListParagraph"/>
        <w:numPr>
          <w:ilvl w:val="0"/>
          <w:numId w:val="12"/>
        </w:numPr>
        <w:tabs>
          <w:tab w:val="left" w:pos="993"/>
          <w:tab w:val="left" w:pos="1276"/>
        </w:tabs>
        <w:ind w:left="0" w:firstLine="720"/>
        <w:contextualSpacing w:val="0"/>
        <w:rPr>
          <w:rFonts w:eastAsia="Arial Unicode MS"/>
          <w:sz w:val="26"/>
          <w:szCs w:val="26"/>
          <w:u w:color="000000"/>
          <w:lang w:val="en-US"/>
        </w:rPr>
      </w:pPr>
      <w:r w:rsidRPr="008E63BB">
        <w:rPr>
          <w:rFonts w:eastAsia="Arial Unicode MS"/>
          <w:sz w:val="26"/>
          <w:szCs w:val="26"/>
          <w:u w:color="000000"/>
          <w:lang w:val="en-US"/>
        </w:rPr>
        <w:t>Sức chứa lãnh thổ hoặc khả năng dung nạp dân số của thành phố.</w:t>
      </w:r>
    </w:p>
    <w:p w14:paraId="519B30A5" w14:textId="77777777" w:rsidR="001221FE" w:rsidRPr="008E63BB" w:rsidRDefault="001221FE" w:rsidP="001221FE">
      <w:pPr>
        <w:tabs>
          <w:tab w:val="left" w:pos="993"/>
          <w:tab w:val="left" w:pos="1276"/>
        </w:tabs>
        <w:ind w:left="720"/>
        <w:rPr>
          <w:rFonts w:eastAsia="Arial Unicode MS"/>
          <w:b/>
          <w:i/>
          <w:szCs w:val="26"/>
          <w:u w:color="000000"/>
        </w:rPr>
      </w:pPr>
      <w:r w:rsidRPr="008E63BB">
        <w:rPr>
          <w:rFonts w:eastAsia="Arial Unicode MS"/>
          <w:b/>
          <w:i/>
          <w:szCs w:val="26"/>
          <w:u w:color="000000"/>
        </w:rPr>
        <w:t xml:space="preserve">b) Dự báo dân số: </w:t>
      </w:r>
    </w:p>
    <w:p w14:paraId="519B30A6" w14:textId="77777777" w:rsidR="001221FE" w:rsidRPr="008E63BB" w:rsidRDefault="001221FE" w:rsidP="001221FE">
      <w:pPr>
        <w:tabs>
          <w:tab w:val="left" w:pos="709"/>
        </w:tabs>
        <w:ind w:firstLine="709"/>
      </w:pPr>
      <w:r w:rsidRPr="008E63BB">
        <w:rPr>
          <w:rFonts w:eastAsia="Arial Unicode MS"/>
          <w:szCs w:val="26"/>
          <w:u w:color="000000"/>
          <w:lang w:val="vi-VN"/>
        </w:rPr>
        <w:t>Hiện trạng dân số</w:t>
      </w:r>
      <w:r w:rsidRPr="008E63BB">
        <w:rPr>
          <w:rFonts w:eastAsia="Arial Unicode MS"/>
          <w:szCs w:val="26"/>
          <w:u w:color="000000"/>
        </w:rPr>
        <w:t xml:space="preserve">: </w:t>
      </w:r>
      <w:r w:rsidRPr="008E63BB">
        <w:rPr>
          <w:rFonts w:eastAsia="Arial Unicode MS"/>
          <w:szCs w:val="26"/>
          <w:u w:color="000000"/>
          <w:lang w:val="vi-VN"/>
        </w:rPr>
        <w:t xml:space="preserve">Theo phòng Kinh tế - xã hội Liên Hợp Quốc (nguồn: https://danso.org): Dân số trung bình Việt Nam năm 2017: 95.414.640 người, </w:t>
      </w:r>
      <w:r w:rsidRPr="008E63BB">
        <w:rPr>
          <w:rFonts w:eastAsia="Arial Unicode MS"/>
          <w:szCs w:val="26"/>
          <w:u w:color="000000"/>
        </w:rPr>
        <w:t>t</w:t>
      </w:r>
      <w:r w:rsidRPr="008E63BB">
        <w:rPr>
          <w:rFonts w:eastAsia="Arial Unicode MS"/>
          <w:szCs w:val="26"/>
          <w:u w:color="000000"/>
          <w:lang w:val="vi-VN"/>
        </w:rPr>
        <w:t>ỷ lệ tăng tự nhiên: 1,03%, Dân số thành thị: 33.121.357 người (34,7%).</w:t>
      </w:r>
    </w:p>
    <w:p w14:paraId="519B30A7" w14:textId="77777777" w:rsidR="00E46C1D" w:rsidRPr="008E63BB" w:rsidRDefault="00E46C1D" w:rsidP="00F06125">
      <w:pPr>
        <w:pStyle w:val="ListParagraph"/>
        <w:numPr>
          <w:ilvl w:val="0"/>
          <w:numId w:val="12"/>
        </w:numPr>
        <w:tabs>
          <w:tab w:val="left" w:pos="993"/>
          <w:tab w:val="left" w:pos="1276"/>
        </w:tabs>
        <w:ind w:left="0" w:firstLine="720"/>
        <w:contextualSpacing w:val="0"/>
        <w:rPr>
          <w:rFonts w:eastAsia="Arial Unicode MS"/>
          <w:sz w:val="26"/>
          <w:szCs w:val="26"/>
          <w:u w:color="000000"/>
        </w:rPr>
      </w:pPr>
      <w:bookmarkStart w:id="351" w:name="_Toc21955356"/>
      <w:r w:rsidRPr="008E63BB">
        <w:rPr>
          <w:rFonts w:eastAsia="Arial Unicode MS"/>
          <w:sz w:val="26"/>
          <w:szCs w:val="26"/>
          <w:u w:color="000000"/>
        </w:rPr>
        <w:t>Dự báo của UNDP dân số Việt Nam có xu hướng tăng nhưng chậm lại so với hiện nay (nguồn: https://danso.org):</w:t>
      </w:r>
    </w:p>
    <w:p w14:paraId="519B30A8" w14:textId="77777777" w:rsidR="00E46C1D" w:rsidRPr="008E63BB" w:rsidRDefault="00E46C1D" w:rsidP="00F06125">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Năm 2030: 105.220.343 người, trong đó dân số thành thị là 43.742.576 người, tỷ lệ đô thị hóa là 41,6%.</w:t>
      </w:r>
    </w:p>
    <w:p w14:paraId="519B30A9" w14:textId="77777777" w:rsidR="00E46C1D" w:rsidRPr="008E63BB" w:rsidRDefault="00E46C1D" w:rsidP="00F06125">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Năm 2040: 109.925.372 người, trong đó dân số thành thị là 50.413.202 người, tỷ lệ đô thị hóa chiếm 45,9%.</w:t>
      </w:r>
    </w:p>
    <w:p w14:paraId="519B30AA" w14:textId="77777777" w:rsidR="00E46C1D" w:rsidRPr="008E63BB" w:rsidRDefault="00E46C1D" w:rsidP="00F06125">
      <w:pPr>
        <w:pStyle w:val="ListParagraph"/>
        <w:numPr>
          <w:ilvl w:val="0"/>
          <w:numId w:val="12"/>
        </w:numPr>
        <w:tabs>
          <w:tab w:val="left" w:pos="993"/>
          <w:tab w:val="left" w:pos="1276"/>
        </w:tabs>
        <w:ind w:left="0" w:firstLine="720"/>
        <w:contextualSpacing w:val="0"/>
        <w:rPr>
          <w:rFonts w:eastAsia="Arial Unicode MS"/>
          <w:sz w:val="26"/>
          <w:szCs w:val="26"/>
          <w:u w:color="000000"/>
        </w:rPr>
      </w:pPr>
      <w:r w:rsidRPr="008E63BB">
        <w:rPr>
          <w:rFonts w:eastAsia="Arial Unicode MS"/>
          <w:sz w:val="26"/>
          <w:szCs w:val="26"/>
          <w:u w:color="000000"/>
        </w:rPr>
        <w:lastRenderedPageBreak/>
        <w:t>Phân bố dân cư đô thị trên phạm vi toàn quốc: Theo xu thế đô thị hóa dân số đô thị tiếp tục tăng, do tăng dân số tự nhiên, tăng dân số cơ học và mở rộng địa giới hành chính các đô thị.</w:t>
      </w:r>
    </w:p>
    <w:p w14:paraId="519B30AB" w14:textId="77777777" w:rsidR="00E46C1D" w:rsidRPr="008E63BB" w:rsidRDefault="00E46C1D" w:rsidP="00F06125">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Tỷ lệ tăng dân số khu vực thành thị giai đoạn 2000 – 2010 khoảng 3,2%/năm (từ 19.715.397 người năm 2000 lên 27.063.643 người năm 2010), giai đoạn 2010 – 2017 tỷ lệ tăng dân số khu vực thành thị có xu hướng giảm còn khoảng 2,9%/ năm (từ 27.063.643 người năm 2010 lên 33.121.357 người năm 2017).</w:t>
      </w:r>
    </w:p>
    <w:p w14:paraId="519B30AC" w14:textId="77777777" w:rsidR="00E46C1D" w:rsidRPr="008E63BB" w:rsidRDefault="00E46C1D" w:rsidP="00F06125">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Xu hướng phân bố dân cư đô thị ở nước ta là không đồng đều, chủ yếu tập trung tại các đô thị lớn. Quá trình đô thị hóa trong tương lai xu hướng phân bố dân cư tiếp tục gia tăng tại các đô thị lớn (đô thị loại 1 trở lên).</w:t>
      </w:r>
    </w:p>
    <w:p w14:paraId="519B30AD" w14:textId="77777777" w:rsidR="00E46C1D" w:rsidRPr="008E63BB" w:rsidRDefault="00E46C1D" w:rsidP="00F06125">
      <w:pPr>
        <w:pStyle w:val="ListParagraph"/>
        <w:numPr>
          <w:ilvl w:val="0"/>
          <w:numId w:val="12"/>
        </w:numPr>
        <w:tabs>
          <w:tab w:val="left" w:pos="993"/>
          <w:tab w:val="left" w:pos="1276"/>
        </w:tabs>
        <w:ind w:left="0" w:firstLine="720"/>
        <w:contextualSpacing w:val="0"/>
        <w:rPr>
          <w:rFonts w:eastAsia="Arial Unicode MS"/>
          <w:sz w:val="26"/>
          <w:szCs w:val="26"/>
          <w:u w:color="000000"/>
        </w:rPr>
      </w:pPr>
      <w:r w:rsidRPr="008E63BB">
        <w:rPr>
          <w:rFonts w:eastAsia="Arial Unicode MS"/>
          <w:sz w:val="26"/>
          <w:szCs w:val="26"/>
          <w:u w:color="000000"/>
        </w:rPr>
        <w:t>Dự báo quy mô dân số</w:t>
      </w:r>
    </w:p>
    <w:p w14:paraId="519B30AE" w14:textId="77777777" w:rsidR="00E46C1D" w:rsidRPr="008E63BB" w:rsidRDefault="00E46C1D" w:rsidP="00E46C1D">
      <w:pPr>
        <w:tabs>
          <w:tab w:val="left" w:pos="709"/>
        </w:tabs>
        <w:ind w:firstLine="709"/>
        <w:rPr>
          <w:lang w:val="vi-VN"/>
        </w:rPr>
      </w:pPr>
      <w:r w:rsidRPr="008E63BB">
        <w:rPr>
          <w:lang w:val="vi-VN"/>
        </w:rPr>
        <w:t>D</w:t>
      </w:r>
      <w:r w:rsidRPr="008E63BB">
        <w:rPr>
          <w:rFonts w:hint="cs"/>
          <w:lang w:val="vi-VN"/>
        </w:rPr>
        <w:t>â</w:t>
      </w:r>
      <w:r w:rsidRPr="008E63BB">
        <w:rPr>
          <w:lang w:val="vi-VN"/>
        </w:rPr>
        <w:t>n s</w:t>
      </w:r>
      <w:r w:rsidRPr="008E63BB">
        <w:rPr>
          <w:rFonts w:cs="Tahoma"/>
          <w:lang w:val="vi-VN"/>
        </w:rPr>
        <w:t>ố</w:t>
      </w:r>
      <w:r w:rsidRPr="008E63BB">
        <w:rPr>
          <w:lang w:val="vi-VN"/>
        </w:rPr>
        <w:t xml:space="preserve"> Th</w:t>
      </w:r>
      <w:r w:rsidRPr="008E63BB">
        <w:rPr>
          <w:rFonts w:hint="cs"/>
          <w:lang w:val="vi-VN"/>
        </w:rPr>
        <w:t>à</w:t>
      </w:r>
      <w:r w:rsidRPr="008E63BB">
        <w:rPr>
          <w:lang w:val="vi-VN"/>
        </w:rPr>
        <w:t>nh phố Nam Định trong t</w:t>
      </w:r>
      <w:r w:rsidRPr="008E63BB">
        <w:rPr>
          <w:rFonts w:cs="Tahoma"/>
          <w:lang w:val="vi-VN"/>
        </w:rPr>
        <w:t>ươ</w:t>
      </w:r>
      <w:r w:rsidRPr="008E63BB">
        <w:rPr>
          <w:lang w:val="vi-VN"/>
        </w:rPr>
        <w:t>ng lai s</w:t>
      </w:r>
      <w:r w:rsidRPr="008E63BB">
        <w:rPr>
          <w:rFonts w:cs="Tahoma"/>
          <w:lang w:val="vi-VN"/>
        </w:rPr>
        <w:t>ẽ</w:t>
      </w:r>
      <w:r w:rsidRPr="008E63BB">
        <w:rPr>
          <w:lang w:val="vi-VN"/>
        </w:rPr>
        <w:t xml:space="preserve"> ph</w:t>
      </w:r>
      <w:r w:rsidRPr="008E63BB">
        <w:rPr>
          <w:rFonts w:cs="Tahoma"/>
          <w:lang w:val="vi-VN"/>
        </w:rPr>
        <w:t>ụ</w:t>
      </w:r>
      <w:r w:rsidRPr="008E63BB">
        <w:rPr>
          <w:lang w:val="vi-VN"/>
        </w:rPr>
        <w:t xml:space="preserve"> thu</w:t>
      </w:r>
      <w:r w:rsidRPr="008E63BB">
        <w:rPr>
          <w:rFonts w:cs="Tahoma"/>
          <w:lang w:val="vi-VN"/>
        </w:rPr>
        <w:t>ộ</w:t>
      </w:r>
      <w:r w:rsidRPr="008E63BB">
        <w:rPr>
          <w:lang w:val="vi-VN"/>
        </w:rPr>
        <w:t>c v</w:t>
      </w:r>
      <w:r w:rsidRPr="008E63BB">
        <w:rPr>
          <w:rFonts w:hint="cs"/>
          <w:lang w:val="vi-VN"/>
        </w:rPr>
        <w:t>à</w:t>
      </w:r>
      <w:r w:rsidRPr="008E63BB">
        <w:rPr>
          <w:lang w:val="vi-VN"/>
        </w:rPr>
        <w:t>o: Quy lu</w:t>
      </w:r>
      <w:r w:rsidRPr="008E63BB">
        <w:rPr>
          <w:rFonts w:cs="Tahoma"/>
          <w:lang w:val="vi-VN"/>
        </w:rPr>
        <w:t>ậ</w:t>
      </w:r>
      <w:r w:rsidRPr="008E63BB">
        <w:rPr>
          <w:lang w:val="vi-VN"/>
        </w:rPr>
        <w:t>t t</w:t>
      </w:r>
      <w:r w:rsidRPr="008E63BB">
        <w:rPr>
          <w:rFonts w:hint="cs"/>
          <w:lang w:val="vi-VN"/>
        </w:rPr>
        <w:t>ă</w:t>
      </w:r>
      <w:r w:rsidRPr="008E63BB">
        <w:rPr>
          <w:lang w:val="vi-VN"/>
        </w:rPr>
        <w:t>ng d</w:t>
      </w:r>
      <w:r w:rsidRPr="008E63BB">
        <w:rPr>
          <w:rFonts w:hint="cs"/>
          <w:lang w:val="vi-VN"/>
        </w:rPr>
        <w:t>â</w:t>
      </w:r>
      <w:r w:rsidRPr="008E63BB">
        <w:rPr>
          <w:lang w:val="vi-VN"/>
        </w:rPr>
        <w:t>n s</w:t>
      </w:r>
      <w:r w:rsidRPr="008E63BB">
        <w:rPr>
          <w:rFonts w:cs="Tahoma"/>
          <w:lang w:val="vi-VN"/>
        </w:rPr>
        <w:t>ố</w:t>
      </w:r>
      <w:r w:rsidRPr="008E63BB">
        <w:rPr>
          <w:lang w:val="vi-VN"/>
        </w:rPr>
        <w:t xml:space="preserve"> t</w:t>
      </w:r>
      <w:r w:rsidRPr="008E63BB">
        <w:rPr>
          <w:rFonts w:cs="Tahoma"/>
          <w:lang w:val="vi-VN"/>
        </w:rPr>
        <w:t>ự</w:t>
      </w:r>
      <w:r w:rsidRPr="008E63BB">
        <w:rPr>
          <w:lang w:val="vi-VN"/>
        </w:rPr>
        <w:t xml:space="preserve"> nhi</w:t>
      </w:r>
      <w:r w:rsidRPr="008E63BB">
        <w:rPr>
          <w:rFonts w:hint="cs"/>
          <w:lang w:val="vi-VN"/>
        </w:rPr>
        <w:t>ê</w:t>
      </w:r>
      <w:r w:rsidRPr="008E63BB">
        <w:rPr>
          <w:lang w:val="vi-VN"/>
        </w:rPr>
        <w:t>n; xu h</w:t>
      </w:r>
      <w:r w:rsidRPr="008E63BB">
        <w:rPr>
          <w:rFonts w:cs="Tahoma"/>
          <w:lang w:val="vi-VN"/>
        </w:rPr>
        <w:t>ướ</w:t>
      </w:r>
      <w:r w:rsidRPr="008E63BB">
        <w:rPr>
          <w:lang w:val="vi-VN"/>
        </w:rPr>
        <w:t>ng t</w:t>
      </w:r>
      <w:r w:rsidRPr="008E63BB">
        <w:rPr>
          <w:rFonts w:hint="cs"/>
          <w:lang w:val="vi-VN"/>
        </w:rPr>
        <w:t>ă</w:t>
      </w:r>
      <w:r w:rsidRPr="008E63BB">
        <w:rPr>
          <w:lang w:val="vi-VN"/>
        </w:rPr>
        <w:t>ng d</w:t>
      </w:r>
      <w:r w:rsidRPr="008E63BB">
        <w:rPr>
          <w:rFonts w:hint="cs"/>
          <w:lang w:val="vi-VN"/>
        </w:rPr>
        <w:t>â</w:t>
      </w:r>
      <w:r w:rsidRPr="008E63BB">
        <w:rPr>
          <w:lang w:val="vi-VN"/>
        </w:rPr>
        <w:t>n s</w:t>
      </w:r>
      <w:r w:rsidRPr="008E63BB">
        <w:rPr>
          <w:rFonts w:cs="Tahoma"/>
          <w:lang w:val="vi-VN"/>
        </w:rPr>
        <w:t>ố</w:t>
      </w:r>
      <w:r w:rsidRPr="008E63BB">
        <w:rPr>
          <w:lang w:val="vi-VN"/>
        </w:rPr>
        <w:t xml:space="preserve"> c</w:t>
      </w:r>
      <w:r w:rsidRPr="008E63BB">
        <w:rPr>
          <w:rFonts w:cs="Tahoma"/>
          <w:lang w:val="vi-VN"/>
        </w:rPr>
        <w:t>ơ</w:t>
      </w:r>
      <w:r w:rsidRPr="008E63BB">
        <w:rPr>
          <w:lang w:val="vi-VN"/>
        </w:rPr>
        <w:t xml:space="preserve"> h</w:t>
      </w:r>
      <w:r w:rsidRPr="008E63BB">
        <w:rPr>
          <w:rFonts w:cs="Tahoma"/>
          <w:lang w:val="vi-VN"/>
        </w:rPr>
        <w:t>ọ</w:t>
      </w:r>
      <w:r w:rsidRPr="008E63BB">
        <w:rPr>
          <w:lang w:val="vi-VN"/>
        </w:rPr>
        <w:t>c t</w:t>
      </w:r>
      <w:r w:rsidRPr="008E63BB">
        <w:rPr>
          <w:rFonts w:cs="Tahoma"/>
          <w:lang w:val="vi-VN"/>
        </w:rPr>
        <w:t>ạ</w:t>
      </w:r>
      <w:r w:rsidRPr="008E63BB">
        <w:rPr>
          <w:lang w:val="vi-VN"/>
        </w:rPr>
        <w:t>i c</w:t>
      </w:r>
      <w:r w:rsidRPr="008E63BB">
        <w:rPr>
          <w:rFonts w:hint="cs"/>
          <w:lang w:val="vi-VN"/>
        </w:rPr>
        <w:t>á</w:t>
      </w:r>
      <w:r w:rsidRPr="008E63BB">
        <w:rPr>
          <w:lang w:val="vi-VN"/>
        </w:rPr>
        <w:t>c th</w:t>
      </w:r>
      <w:r w:rsidRPr="008E63BB">
        <w:rPr>
          <w:rFonts w:hint="cs"/>
          <w:lang w:val="vi-VN"/>
        </w:rPr>
        <w:t>à</w:t>
      </w:r>
      <w:r w:rsidRPr="008E63BB">
        <w:rPr>
          <w:lang w:val="vi-VN"/>
        </w:rPr>
        <w:t>nh ph</w:t>
      </w:r>
      <w:r w:rsidRPr="008E63BB">
        <w:rPr>
          <w:rFonts w:cs="Tahoma"/>
          <w:lang w:val="vi-VN"/>
        </w:rPr>
        <w:t>ố</w:t>
      </w:r>
      <w:r w:rsidRPr="008E63BB">
        <w:rPr>
          <w:lang w:val="vi-VN"/>
        </w:rPr>
        <w:t xml:space="preserve"> l</w:t>
      </w:r>
      <w:r w:rsidRPr="008E63BB">
        <w:rPr>
          <w:rFonts w:cs="Tahoma"/>
          <w:lang w:val="vi-VN"/>
        </w:rPr>
        <w:t>ớ</w:t>
      </w:r>
      <w:r w:rsidRPr="008E63BB">
        <w:rPr>
          <w:lang w:val="vi-VN"/>
        </w:rPr>
        <w:t>n v</w:t>
      </w:r>
      <w:r w:rsidRPr="008E63BB">
        <w:rPr>
          <w:rFonts w:hint="cs"/>
          <w:lang w:val="vi-VN"/>
        </w:rPr>
        <w:t>à</w:t>
      </w:r>
      <w:r w:rsidRPr="008E63BB">
        <w:rPr>
          <w:lang w:val="vi-VN"/>
        </w:rPr>
        <w:t xml:space="preserve"> xu h</w:t>
      </w:r>
      <w:r w:rsidRPr="008E63BB">
        <w:rPr>
          <w:rFonts w:hint="cs"/>
          <w:lang w:val="vi-VN"/>
        </w:rPr>
        <w:t>ư</w:t>
      </w:r>
      <w:r w:rsidRPr="008E63BB">
        <w:rPr>
          <w:lang w:val="vi-VN"/>
        </w:rPr>
        <w:t>ớng t</w:t>
      </w:r>
      <w:r w:rsidRPr="008E63BB">
        <w:rPr>
          <w:rFonts w:hint="cs"/>
          <w:lang w:val="vi-VN"/>
        </w:rPr>
        <w:t>ă</w:t>
      </w:r>
      <w:r w:rsidRPr="008E63BB">
        <w:rPr>
          <w:lang w:val="vi-VN"/>
        </w:rPr>
        <w:t xml:space="preserve">ng </w:t>
      </w:r>
      <w:r w:rsidRPr="008E63BB">
        <w:rPr>
          <w:rFonts w:hint="cs"/>
          <w:lang w:val="vi-VN"/>
        </w:rPr>
        <w:t>dâ</w:t>
      </w:r>
      <w:r w:rsidRPr="008E63BB">
        <w:rPr>
          <w:lang w:val="vi-VN"/>
        </w:rPr>
        <w:t>n số của tỉnh Nam Định.</w:t>
      </w:r>
    </w:p>
    <w:p w14:paraId="519B30AF" w14:textId="77777777" w:rsidR="00E46C1D" w:rsidRPr="008E63BB" w:rsidRDefault="00E46C1D" w:rsidP="00E46C1D">
      <w:pPr>
        <w:ind w:firstLine="709"/>
        <w:rPr>
          <w:lang w:val="fr-FR"/>
        </w:rPr>
      </w:pPr>
      <w:r w:rsidRPr="008E63BB">
        <w:rPr>
          <w:lang w:val="fr-FR"/>
        </w:rPr>
        <w:t xml:space="preserve">Phương pháp dự báo theo phương pháp toán học  </w:t>
      </w:r>
      <w:r w:rsidRPr="008E63BB">
        <w:rPr>
          <w:lang w:val="fr-FR"/>
        </w:rPr>
        <w:tab/>
      </w:r>
      <w:r w:rsidRPr="008E63BB">
        <w:rPr>
          <w:lang w:val="fr-FR"/>
        </w:rPr>
        <w:tab/>
      </w:r>
      <w:r w:rsidRPr="008E63BB">
        <w:rPr>
          <w:lang w:val="fr-FR"/>
        </w:rPr>
        <w:tab/>
      </w:r>
      <w:r w:rsidRPr="008E63BB">
        <w:rPr>
          <w:sz w:val="24"/>
          <w:szCs w:val="24"/>
          <w:lang w:val="fr-FR"/>
        </w:rPr>
        <w:tab/>
      </w:r>
    </w:p>
    <w:p w14:paraId="519B30B0" w14:textId="77777777" w:rsidR="00E46C1D" w:rsidRPr="008E63BB" w:rsidRDefault="00E46C1D" w:rsidP="00E46C1D">
      <w:pPr>
        <w:rPr>
          <w:lang w:val="fr-FR"/>
        </w:rPr>
      </w:pPr>
      <w:r w:rsidRPr="008E63BB">
        <w:rPr>
          <w:lang w:val="fr-FR"/>
        </w:rPr>
        <w:tab/>
        <w:t>Qua công thức dự báo: P</w:t>
      </w:r>
      <w:r w:rsidRPr="008E63BB">
        <w:rPr>
          <w:vertAlign w:val="subscript"/>
          <w:lang w:val="fr-FR"/>
        </w:rPr>
        <w:t xml:space="preserve">t  </w:t>
      </w:r>
      <w:r w:rsidRPr="008E63BB">
        <w:rPr>
          <w:lang w:val="fr-FR"/>
        </w:rPr>
        <w:t>= P</w:t>
      </w:r>
      <w:r w:rsidRPr="008E63BB">
        <w:rPr>
          <w:vertAlign w:val="subscript"/>
          <w:lang w:val="fr-FR"/>
        </w:rPr>
        <w:t xml:space="preserve">1 </w:t>
      </w:r>
      <w:r w:rsidRPr="008E63BB">
        <w:rPr>
          <w:lang w:val="fr-FR"/>
        </w:rPr>
        <w:t xml:space="preserve">x (1+ n) </w:t>
      </w:r>
      <w:r w:rsidRPr="008E63BB">
        <w:rPr>
          <w:vertAlign w:val="superscript"/>
          <w:lang w:val="fr-FR"/>
        </w:rPr>
        <w:t xml:space="preserve">t </w:t>
      </w:r>
      <w:r w:rsidRPr="008E63BB">
        <w:rPr>
          <w:u w:val="single"/>
          <w:lang w:val="fr-FR"/>
        </w:rPr>
        <w:t>+</w:t>
      </w:r>
      <w:r w:rsidRPr="008E63BB">
        <w:rPr>
          <w:lang w:val="fr-FR"/>
        </w:rPr>
        <w:t xml:space="preserve"> P</w:t>
      </w:r>
      <w:r w:rsidRPr="008E63BB">
        <w:rPr>
          <w:vertAlign w:val="subscript"/>
          <w:lang w:val="fr-FR"/>
        </w:rPr>
        <w:t>u</w:t>
      </w:r>
      <w:r w:rsidRPr="008E63BB">
        <w:rPr>
          <w:lang w:val="fr-FR"/>
        </w:rPr>
        <w:t>+ P</w:t>
      </w:r>
      <w:r w:rsidRPr="008E63BB">
        <w:rPr>
          <w:vertAlign w:val="subscript"/>
          <w:lang w:val="fr-FR"/>
        </w:rPr>
        <w:t>n</w:t>
      </w:r>
      <w:r w:rsidRPr="008E63BB">
        <w:rPr>
          <w:lang w:val="fr-FR"/>
        </w:rPr>
        <w:tab/>
      </w:r>
      <w:r w:rsidRPr="008E63BB">
        <w:rPr>
          <w:lang w:val="fr-FR"/>
        </w:rPr>
        <w:tab/>
      </w:r>
      <w:r w:rsidRPr="008E63BB">
        <w:rPr>
          <w:lang w:val="fr-FR"/>
        </w:rPr>
        <w:tab/>
      </w:r>
      <w:r w:rsidRPr="008E63BB">
        <w:rPr>
          <w:sz w:val="24"/>
          <w:szCs w:val="24"/>
          <w:lang w:val="fr-FR"/>
        </w:rPr>
        <w:tab/>
      </w:r>
    </w:p>
    <w:p w14:paraId="519B30B1" w14:textId="77777777" w:rsidR="00E46C1D" w:rsidRPr="008E63BB" w:rsidRDefault="00E46C1D" w:rsidP="00E46C1D">
      <w:pPr>
        <w:rPr>
          <w:lang w:val="fr-FR"/>
        </w:rPr>
      </w:pPr>
      <w:r w:rsidRPr="008E63BB">
        <w:rPr>
          <w:lang w:val="fr-FR"/>
        </w:rPr>
        <w:t>Trong đó:     P</w:t>
      </w:r>
      <w:r w:rsidRPr="008E63BB">
        <w:rPr>
          <w:vertAlign w:val="subscript"/>
          <w:lang w:val="fr-FR"/>
        </w:rPr>
        <w:t>t</w:t>
      </w:r>
      <w:r w:rsidRPr="008E63BB">
        <w:rPr>
          <w:lang w:val="fr-FR"/>
        </w:rPr>
        <w:t>: Dân số dự báo năm t</w:t>
      </w:r>
      <w:r w:rsidRPr="008E63BB">
        <w:rPr>
          <w:lang w:val="fr-FR"/>
        </w:rPr>
        <w:tab/>
      </w:r>
      <w:r w:rsidRPr="008E63BB">
        <w:rPr>
          <w:lang w:val="fr-FR"/>
        </w:rPr>
        <w:tab/>
      </w:r>
      <w:r w:rsidRPr="008E63BB">
        <w:rPr>
          <w:lang w:val="fr-FR"/>
        </w:rPr>
        <w:tab/>
      </w:r>
      <w:r w:rsidRPr="008E63BB">
        <w:rPr>
          <w:lang w:val="fr-FR"/>
        </w:rPr>
        <w:tab/>
      </w:r>
      <w:r w:rsidRPr="008E63BB">
        <w:rPr>
          <w:lang w:val="fr-FR"/>
        </w:rPr>
        <w:tab/>
      </w:r>
      <w:r w:rsidRPr="008E63BB">
        <w:rPr>
          <w:sz w:val="24"/>
          <w:szCs w:val="24"/>
          <w:lang w:val="fr-FR"/>
        </w:rPr>
        <w:tab/>
      </w:r>
    </w:p>
    <w:p w14:paraId="519B30B2" w14:textId="77777777" w:rsidR="00E46C1D" w:rsidRPr="008E63BB" w:rsidRDefault="00E46C1D" w:rsidP="00E46C1D">
      <w:pPr>
        <w:rPr>
          <w:lang w:val="fr-FR"/>
        </w:rPr>
      </w:pPr>
      <w:r w:rsidRPr="008E63BB">
        <w:rPr>
          <w:lang w:val="fr-FR"/>
        </w:rPr>
        <w:tab/>
        <w:t xml:space="preserve">          P</w:t>
      </w:r>
      <w:r w:rsidRPr="008E63BB">
        <w:rPr>
          <w:vertAlign w:val="subscript"/>
          <w:lang w:val="fr-FR"/>
        </w:rPr>
        <w:t>1</w:t>
      </w:r>
      <w:r w:rsidRPr="008E63BB">
        <w:rPr>
          <w:lang w:val="fr-FR"/>
        </w:rPr>
        <w:t>: Dân số hiện trạng năm dự báo</w:t>
      </w:r>
      <w:r w:rsidRPr="008E63BB">
        <w:rPr>
          <w:lang w:val="fr-FR"/>
        </w:rPr>
        <w:tab/>
      </w:r>
      <w:r w:rsidRPr="008E63BB">
        <w:rPr>
          <w:lang w:val="fr-FR"/>
        </w:rPr>
        <w:tab/>
      </w:r>
      <w:r w:rsidRPr="008E63BB">
        <w:rPr>
          <w:lang w:val="fr-FR"/>
        </w:rPr>
        <w:tab/>
      </w:r>
      <w:r w:rsidRPr="008E63BB">
        <w:rPr>
          <w:sz w:val="24"/>
          <w:szCs w:val="24"/>
          <w:lang w:val="fr-FR"/>
        </w:rPr>
        <w:tab/>
      </w:r>
    </w:p>
    <w:p w14:paraId="519B30B3" w14:textId="77777777" w:rsidR="00E46C1D" w:rsidRPr="008E63BB" w:rsidRDefault="00E46C1D" w:rsidP="00E46C1D">
      <w:pPr>
        <w:rPr>
          <w:lang w:val="fr-FR"/>
        </w:rPr>
      </w:pPr>
      <w:r w:rsidRPr="008E63BB">
        <w:rPr>
          <w:lang w:val="fr-FR"/>
        </w:rPr>
        <w:tab/>
        <w:t xml:space="preserve">            n: Tỷ lệ tăng trưởng dân số (bao gồm tăng tự nhiên + tăng cơ học)</w:t>
      </w:r>
      <w:r w:rsidRPr="008E63BB">
        <w:rPr>
          <w:lang w:val="fr-FR"/>
        </w:rPr>
        <w:tab/>
      </w:r>
      <w:r w:rsidRPr="008E63BB">
        <w:rPr>
          <w:lang w:val="fr-FR"/>
        </w:rPr>
        <w:tab/>
      </w:r>
      <w:r w:rsidRPr="008E63BB">
        <w:rPr>
          <w:lang w:val="fr-FR"/>
        </w:rPr>
        <w:tab/>
        <w:t>P</w:t>
      </w:r>
      <w:r w:rsidRPr="008E63BB">
        <w:rPr>
          <w:vertAlign w:val="subscript"/>
          <w:lang w:val="fr-FR"/>
        </w:rPr>
        <w:t>u</w:t>
      </w:r>
      <w:r w:rsidRPr="008E63BB">
        <w:rPr>
          <w:lang w:val="fr-FR"/>
        </w:rPr>
        <w:t>: Tăng cơ học trong (trường hợp đột biến không theo quy luật)</w:t>
      </w:r>
      <w:r w:rsidRPr="008E63BB">
        <w:rPr>
          <w:lang w:val="fr-FR"/>
        </w:rPr>
        <w:tab/>
      </w:r>
      <w:r w:rsidRPr="008E63BB">
        <w:rPr>
          <w:lang w:val="fr-FR"/>
        </w:rPr>
        <w:tab/>
      </w:r>
      <w:r w:rsidRPr="008E63BB">
        <w:rPr>
          <w:lang w:val="fr-FR"/>
        </w:rPr>
        <w:tab/>
        <w:t>P</w:t>
      </w:r>
      <w:r w:rsidRPr="008E63BB">
        <w:rPr>
          <w:vertAlign w:val="subscript"/>
          <w:lang w:val="fr-FR"/>
        </w:rPr>
        <w:t>n</w:t>
      </w:r>
      <w:r w:rsidRPr="008E63BB">
        <w:rPr>
          <w:lang w:val="fr-FR"/>
        </w:rPr>
        <w:t>: Dân số đô thị tăng do mở rộng ranh giới nội th</w:t>
      </w:r>
      <w:r w:rsidR="00C90BF8" w:rsidRPr="008E63BB">
        <w:rPr>
          <w:lang w:val="fr-FR"/>
        </w:rPr>
        <w:t>ành</w:t>
      </w:r>
    </w:p>
    <w:p w14:paraId="519B30B4" w14:textId="77777777" w:rsidR="00E46C1D" w:rsidRPr="008E63BB" w:rsidRDefault="00E46C1D" w:rsidP="00E46C1D">
      <w:pPr>
        <w:ind w:left="18" w:firstLine="522"/>
        <w:rPr>
          <w:b/>
          <w:szCs w:val="26"/>
          <w:lang w:val="fr-FR"/>
        </w:rPr>
      </w:pPr>
      <w:r w:rsidRPr="008E63BB">
        <w:rPr>
          <w:b/>
          <w:szCs w:val="26"/>
          <w:lang w:val="fr-FR"/>
        </w:rPr>
        <w:t>* Kết quả dự báo dân số:</w:t>
      </w:r>
    </w:p>
    <w:p w14:paraId="519B30B5" w14:textId="77777777" w:rsidR="00E46C1D" w:rsidRPr="008E63BB" w:rsidRDefault="00E46C1D" w:rsidP="00E46C1D">
      <w:pPr>
        <w:tabs>
          <w:tab w:val="num" w:pos="360"/>
          <w:tab w:val="left" w:pos="709"/>
        </w:tabs>
        <w:ind w:firstLine="709"/>
        <w:rPr>
          <w:rFonts w:cs="Tahoma"/>
          <w:lang w:val="fr-FR"/>
        </w:rPr>
      </w:pPr>
      <w:r w:rsidRPr="008E63BB">
        <w:rPr>
          <w:rFonts w:cs="Tahoma"/>
          <w:lang w:val="fr-FR"/>
        </w:rPr>
        <w:t xml:space="preserve">Hiện trạng: Dân số năm 2019 trong ranh giới quy hoạch </w:t>
      </w:r>
      <w:r w:rsidR="003270A4" w:rsidRPr="008E63BB">
        <w:rPr>
          <w:rFonts w:cs="Tahoma"/>
          <w:lang w:val="fr-FR"/>
        </w:rPr>
        <w:t>398.188</w:t>
      </w:r>
      <w:r w:rsidRPr="008E63BB">
        <w:rPr>
          <w:rFonts w:cs="Tahoma"/>
          <w:lang w:val="fr-FR"/>
        </w:rPr>
        <w:t xml:space="preserve"> người, khu vực nội thành là 235.889 người. Dân số thành phố Nam định là 253.343 người, trong đó khu vực nội thành là 230.680 người.</w:t>
      </w:r>
    </w:p>
    <w:p w14:paraId="519B30B6" w14:textId="77777777" w:rsidR="00E46C1D" w:rsidRPr="008E63BB" w:rsidRDefault="00E46C1D" w:rsidP="00E46C1D">
      <w:pPr>
        <w:tabs>
          <w:tab w:val="num" w:pos="360"/>
          <w:tab w:val="left" w:pos="709"/>
        </w:tabs>
        <w:ind w:firstLine="709"/>
        <w:rPr>
          <w:rFonts w:cs="Tahoma"/>
          <w:lang w:val="fr-FR"/>
        </w:rPr>
      </w:pPr>
      <w:r w:rsidRPr="008E63BB">
        <w:rPr>
          <w:rFonts w:cs="Tahoma"/>
          <w:lang w:val="fr-FR"/>
        </w:rPr>
        <w:t>Tỷ lệ tăng dân số trung bình ranh giới quy hoạch là 2,41%, dân số khu vực nội th</w:t>
      </w:r>
      <w:r w:rsidR="00C90BF8" w:rsidRPr="008E63BB">
        <w:rPr>
          <w:rFonts w:cs="Tahoma"/>
          <w:lang w:val="fr-FR"/>
        </w:rPr>
        <w:t>ành</w:t>
      </w:r>
      <w:r w:rsidRPr="008E63BB">
        <w:rPr>
          <w:rFonts w:cs="Tahoma"/>
          <w:lang w:val="fr-FR"/>
        </w:rPr>
        <w:t xml:space="preserve"> giai đoạn 2008 – 2019 là 1,5%/ năm. </w:t>
      </w:r>
    </w:p>
    <w:p w14:paraId="519B30B7" w14:textId="77777777" w:rsidR="00E46C1D" w:rsidRPr="008E63BB" w:rsidRDefault="00E46C1D" w:rsidP="00E46C1D">
      <w:pPr>
        <w:spacing w:before="120" w:line="288" w:lineRule="auto"/>
        <w:rPr>
          <w:b/>
          <w:szCs w:val="26"/>
          <w:lang w:val="fr-FR"/>
        </w:rPr>
      </w:pPr>
      <w:r w:rsidRPr="008E63BB">
        <w:rPr>
          <w:b/>
          <w:szCs w:val="26"/>
          <w:lang w:val="fr-FR"/>
        </w:rPr>
        <w:t>Các phương án dự báo quy mô dân số:</w:t>
      </w:r>
    </w:p>
    <w:p w14:paraId="519B30B8" w14:textId="77777777" w:rsidR="00E63C68" w:rsidRPr="008E63BB" w:rsidRDefault="00E63C68" w:rsidP="00E63C68">
      <w:pPr>
        <w:tabs>
          <w:tab w:val="num" w:pos="360"/>
          <w:tab w:val="left" w:pos="709"/>
        </w:tabs>
        <w:ind w:firstLine="709"/>
        <w:rPr>
          <w:rFonts w:cs="Tahoma"/>
          <w:lang w:val="fr-FR"/>
        </w:rPr>
      </w:pPr>
      <w:r w:rsidRPr="008E63BB">
        <w:rPr>
          <w:rFonts w:cs="Tahoma"/>
          <w:b/>
          <w:lang w:val="fr-FR"/>
        </w:rPr>
        <w:t>Phương án 1</w:t>
      </w:r>
      <w:r w:rsidRPr="008E63BB">
        <w:rPr>
          <w:rFonts w:cs="Tahoma"/>
          <w:lang w:val="fr-FR"/>
        </w:rPr>
        <w:t xml:space="preserve"> – Quy mô dân số đô thị tăng trưởng theo tốc độ tương đương tốc độ tăng trưởng dân số trong giai đoạn 2010 - 2019. Quy mô dân số toàn Thành phố đến năm 2030 là khoảng 520.000 người gấp 1,87 lần so với hiện trạng, </w:t>
      </w:r>
      <w:r w:rsidRPr="008E63BB">
        <w:rPr>
          <w:rFonts w:eastAsia="Arial Unicode MS"/>
          <w:szCs w:val="26"/>
          <w:u w:color="000000"/>
          <w:lang w:val="vi-VN"/>
        </w:rPr>
        <w:t>tỷ lệ tăng dân số bình quân giai đoạn 201</w:t>
      </w:r>
      <w:r w:rsidRPr="008E63BB">
        <w:rPr>
          <w:rFonts w:eastAsia="Arial Unicode MS"/>
          <w:szCs w:val="26"/>
          <w:u w:color="000000"/>
          <w:lang w:val="fr-FR"/>
        </w:rPr>
        <w:t>9</w:t>
      </w:r>
      <w:r w:rsidRPr="008E63BB">
        <w:rPr>
          <w:rFonts w:eastAsia="Arial Unicode MS"/>
          <w:szCs w:val="26"/>
          <w:u w:color="000000"/>
          <w:lang w:val="vi-VN"/>
        </w:rPr>
        <w:t xml:space="preserve">-2030 ở mức </w:t>
      </w:r>
      <w:r w:rsidRPr="008E63BB">
        <w:rPr>
          <w:rFonts w:eastAsia="Arial Unicode MS"/>
          <w:szCs w:val="26"/>
          <w:u w:color="000000"/>
          <w:lang w:val="fr-FR"/>
        </w:rPr>
        <w:t>1,87</w:t>
      </w:r>
      <w:r w:rsidRPr="008E63BB">
        <w:rPr>
          <w:rFonts w:eastAsia="Arial Unicode MS"/>
          <w:szCs w:val="26"/>
          <w:u w:color="000000"/>
          <w:lang w:val="vi-VN"/>
        </w:rPr>
        <w:t>%/năm</w:t>
      </w:r>
      <w:r w:rsidRPr="008E63BB">
        <w:rPr>
          <w:rFonts w:cs="Tahoma"/>
          <w:lang w:val="fr-FR"/>
        </w:rPr>
        <w:t xml:space="preserve"> trong đó dân số nội thành là khoảng 384.500 người; Đến năm 2040 là khoảng 600.000 người gấp 1,15 lần so với năm 2030, </w:t>
      </w:r>
      <w:r w:rsidRPr="008E63BB">
        <w:rPr>
          <w:rFonts w:eastAsia="Arial Unicode MS"/>
          <w:szCs w:val="26"/>
          <w:u w:color="000000"/>
          <w:lang w:val="vi-VN"/>
        </w:rPr>
        <w:t xml:space="preserve">tỷ lệ tăng dân số bình quân giai đoạn 2030-2040ở mức </w:t>
      </w:r>
      <w:r w:rsidRPr="008E63BB">
        <w:rPr>
          <w:rFonts w:eastAsia="Arial Unicode MS"/>
          <w:szCs w:val="26"/>
          <w:u w:color="000000"/>
          <w:lang w:val="fr-FR"/>
        </w:rPr>
        <w:t>1,38</w:t>
      </w:r>
      <w:r w:rsidRPr="008E63BB">
        <w:rPr>
          <w:rFonts w:eastAsia="Arial Unicode MS"/>
          <w:szCs w:val="26"/>
          <w:u w:color="000000"/>
          <w:lang w:val="vi-VN"/>
        </w:rPr>
        <w:t>%/năm</w:t>
      </w:r>
      <w:r w:rsidRPr="008E63BB">
        <w:rPr>
          <w:rFonts w:eastAsia="Arial Unicode MS"/>
          <w:szCs w:val="26"/>
          <w:u w:color="000000"/>
          <w:lang w:val="fr-FR"/>
        </w:rPr>
        <w:t>,</w:t>
      </w:r>
      <w:r w:rsidRPr="008E63BB">
        <w:rPr>
          <w:rFonts w:cs="Tahoma"/>
          <w:lang w:val="fr-FR"/>
        </w:rPr>
        <w:t xml:space="preserve"> trong đó dân số nội thành là khoảng 485.000 người; Tầm nhìn đến năm 2050 khoảng 665.000 người, </w:t>
      </w:r>
      <w:r w:rsidRPr="008E63BB">
        <w:rPr>
          <w:rFonts w:eastAsia="Arial Unicode MS"/>
          <w:szCs w:val="26"/>
          <w:u w:color="000000"/>
          <w:lang w:val="vi-VN"/>
        </w:rPr>
        <w:t>tỷ lệ tăng dân số bình quân giai đoạn 20</w:t>
      </w:r>
      <w:r w:rsidRPr="008E63BB">
        <w:rPr>
          <w:rFonts w:eastAsia="Arial Unicode MS"/>
          <w:szCs w:val="26"/>
          <w:u w:color="000000"/>
          <w:lang w:val="fr-FR"/>
        </w:rPr>
        <w:t>4</w:t>
      </w:r>
      <w:r w:rsidRPr="008E63BB">
        <w:rPr>
          <w:rFonts w:eastAsia="Arial Unicode MS"/>
          <w:szCs w:val="26"/>
          <w:u w:color="000000"/>
          <w:lang w:val="vi-VN"/>
        </w:rPr>
        <w:t>0-20</w:t>
      </w:r>
      <w:r w:rsidRPr="008E63BB">
        <w:rPr>
          <w:rFonts w:eastAsia="Arial Unicode MS"/>
          <w:szCs w:val="26"/>
          <w:u w:color="000000"/>
          <w:lang w:val="fr-FR"/>
        </w:rPr>
        <w:t>5</w:t>
      </w:r>
      <w:r w:rsidRPr="008E63BB">
        <w:rPr>
          <w:rFonts w:eastAsia="Arial Unicode MS"/>
          <w:szCs w:val="26"/>
          <w:u w:color="000000"/>
          <w:lang w:val="vi-VN"/>
        </w:rPr>
        <w:t xml:space="preserve">0ở mức </w:t>
      </w:r>
      <w:r w:rsidRPr="008E63BB">
        <w:rPr>
          <w:rFonts w:eastAsia="Arial Unicode MS"/>
          <w:szCs w:val="26"/>
          <w:u w:color="000000"/>
          <w:lang w:val="fr-FR"/>
        </w:rPr>
        <w:t>0,97</w:t>
      </w:r>
      <w:r w:rsidRPr="008E63BB">
        <w:rPr>
          <w:rFonts w:eastAsia="Arial Unicode MS"/>
          <w:szCs w:val="26"/>
          <w:u w:color="000000"/>
          <w:lang w:val="vi-VN"/>
        </w:rPr>
        <w:t>%/năm</w:t>
      </w:r>
      <w:r w:rsidRPr="008E63BB">
        <w:rPr>
          <w:rFonts w:cs="Tahoma"/>
          <w:lang w:val="fr-FR"/>
        </w:rPr>
        <w:t>, trong đó dân số nội thành là khoảng 555.000 người.</w:t>
      </w:r>
    </w:p>
    <w:p w14:paraId="519B30B9" w14:textId="77777777" w:rsidR="00E63C68" w:rsidRPr="008E63BB" w:rsidRDefault="00E63C68" w:rsidP="00E63C68">
      <w:pPr>
        <w:tabs>
          <w:tab w:val="num" w:pos="360"/>
          <w:tab w:val="left" w:pos="709"/>
        </w:tabs>
        <w:ind w:firstLine="709"/>
        <w:rPr>
          <w:rFonts w:cs="Tahoma"/>
          <w:lang w:val="fr-FR"/>
        </w:rPr>
      </w:pPr>
    </w:p>
    <w:p w14:paraId="519B30BA" w14:textId="6CA9F42B" w:rsidR="00E63C68" w:rsidRPr="008E63BB" w:rsidRDefault="00E63C68" w:rsidP="00E63C68">
      <w:pPr>
        <w:tabs>
          <w:tab w:val="num" w:pos="360"/>
          <w:tab w:val="left" w:pos="709"/>
        </w:tabs>
        <w:ind w:firstLine="709"/>
        <w:rPr>
          <w:rFonts w:cs="Tahoma"/>
          <w:lang w:val="fr-FR"/>
        </w:rPr>
      </w:pPr>
      <w:r w:rsidRPr="008E63BB">
        <w:rPr>
          <w:rFonts w:cs="Tahoma"/>
          <w:b/>
          <w:lang w:val="fr-FR"/>
        </w:rPr>
        <w:t>Phương án 2</w:t>
      </w:r>
      <w:r w:rsidRPr="008E63BB">
        <w:rPr>
          <w:rFonts w:cs="Tahoma"/>
          <w:lang w:val="fr-FR"/>
        </w:rPr>
        <w:t xml:space="preserve"> – Phương án tăng trưởng tích cực, quy mô dân số tăng ở tốc độ tương đương tốc độ tăng trưởng của các đô thị trong giai đoạn công nghiệp hóa nhanh – khoảng 2,39%/năm. Trong đó, năm 2030 là khoảng 547.000 người gấp 1,41 lần so với hiện trạng, </w:t>
      </w:r>
      <w:r w:rsidRPr="008E63BB">
        <w:rPr>
          <w:rFonts w:eastAsia="Arial Unicode MS"/>
          <w:szCs w:val="26"/>
          <w:u w:color="000000"/>
          <w:lang w:val="vi-VN"/>
        </w:rPr>
        <w:t>tỷ lệ tăng dân số bình quân giai đoạn 201</w:t>
      </w:r>
      <w:r w:rsidRPr="008E63BB">
        <w:rPr>
          <w:rFonts w:eastAsia="Arial Unicode MS"/>
          <w:szCs w:val="26"/>
          <w:u w:color="000000"/>
          <w:lang w:val="fr-FR"/>
        </w:rPr>
        <w:t>8</w:t>
      </w:r>
      <w:r w:rsidRPr="008E63BB">
        <w:rPr>
          <w:rFonts w:eastAsia="Arial Unicode MS"/>
          <w:szCs w:val="26"/>
          <w:u w:color="000000"/>
          <w:lang w:val="vi-VN"/>
        </w:rPr>
        <w:t xml:space="preserve">-2030 ở mức </w:t>
      </w:r>
      <w:r w:rsidRPr="008E63BB">
        <w:rPr>
          <w:rFonts w:eastAsia="Arial Unicode MS"/>
          <w:szCs w:val="26"/>
          <w:u w:color="000000"/>
          <w:lang w:val="fr-FR"/>
        </w:rPr>
        <w:t>2,39</w:t>
      </w:r>
      <w:r w:rsidRPr="008E63BB">
        <w:rPr>
          <w:rFonts w:eastAsia="Arial Unicode MS"/>
          <w:szCs w:val="26"/>
          <w:u w:color="000000"/>
          <w:lang w:val="vi-VN"/>
        </w:rPr>
        <w:t>%/năm</w:t>
      </w:r>
      <w:r w:rsidRPr="008E63BB">
        <w:rPr>
          <w:rFonts w:cs="Tahoma"/>
          <w:lang w:val="fr-FR"/>
        </w:rPr>
        <w:t xml:space="preserve">, dân số nội thành là khoảng 395.000 người; Đến năm 2040 là khoảng 621.000 người gấp 1,21 lần so với năm 2030, </w:t>
      </w:r>
      <w:r w:rsidRPr="008E63BB">
        <w:rPr>
          <w:rFonts w:eastAsia="Arial Unicode MS"/>
          <w:szCs w:val="26"/>
          <w:u w:color="000000"/>
          <w:lang w:val="vi-VN"/>
        </w:rPr>
        <w:t>tỷ lệ tăng dân số bình quân giai đoạn 2030-2040</w:t>
      </w:r>
      <w:r w:rsidR="00C97FE0" w:rsidRPr="008E63BB">
        <w:rPr>
          <w:rFonts w:eastAsia="Arial Unicode MS"/>
          <w:szCs w:val="26"/>
          <w:u w:color="000000"/>
        </w:rPr>
        <w:t xml:space="preserve"> </w:t>
      </w:r>
      <w:r w:rsidRPr="008E63BB">
        <w:rPr>
          <w:rFonts w:eastAsia="Arial Unicode MS"/>
          <w:szCs w:val="26"/>
          <w:u w:color="000000"/>
          <w:lang w:val="vi-VN"/>
        </w:rPr>
        <w:t xml:space="preserve">ở mức </w:t>
      </w:r>
      <w:r w:rsidRPr="008E63BB">
        <w:rPr>
          <w:rFonts w:eastAsia="Arial Unicode MS"/>
          <w:szCs w:val="26"/>
          <w:u w:color="000000"/>
          <w:lang w:val="fr-FR"/>
        </w:rPr>
        <w:t>1,21</w:t>
      </w:r>
      <w:r w:rsidRPr="008E63BB">
        <w:rPr>
          <w:rFonts w:eastAsia="Arial Unicode MS"/>
          <w:szCs w:val="26"/>
          <w:u w:color="000000"/>
          <w:lang w:val="vi-VN"/>
        </w:rPr>
        <w:t>%/năm</w:t>
      </w:r>
      <w:r w:rsidRPr="008E63BB">
        <w:rPr>
          <w:rFonts w:cs="Tahoma"/>
          <w:lang w:val="fr-FR"/>
        </w:rPr>
        <w:t xml:space="preserve">, trong đó dân số nội thành là khoảng 505.000 người; Tầm nhìn đến năm </w:t>
      </w:r>
      <w:r w:rsidRPr="008E63BB">
        <w:rPr>
          <w:rFonts w:cs="Tahoma"/>
          <w:lang w:val="fr-FR"/>
        </w:rPr>
        <w:lastRenderedPageBreak/>
        <w:t xml:space="preserve">2050 khoảng 700.000 người, </w:t>
      </w:r>
      <w:r w:rsidRPr="008E63BB">
        <w:rPr>
          <w:rFonts w:eastAsia="Arial Unicode MS"/>
          <w:szCs w:val="26"/>
          <w:u w:color="000000"/>
          <w:lang w:val="vi-VN"/>
        </w:rPr>
        <w:t>tỷ lệ tăng dân số bình quân giai đoạn 20</w:t>
      </w:r>
      <w:r w:rsidRPr="008E63BB">
        <w:rPr>
          <w:rFonts w:eastAsia="Arial Unicode MS"/>
          <w:szCs w:val="26"/>
          <w:u w:color="000000"/>
          <w:lang w:val="fr-FR"/>
        </w:rPr>
        <w:t>4</w:t>
      </w:r>
      <w:r w:rsidRPr="008E63BB">
        <w:rPr>
          <w:rFonts w:eastAsia="Arial Unicode MS"/>
          <w:szCs w:val="26"/>
          <w:u w:color="000000"/>
          <w:lang w:val="vi-VN"/>
        </w:rPr>
        <w:t>0-20</w:t>
      </w:r>
      <w:r w:rsidRPr="008E63BB">
        <w:rPr>
          <w:rFonts w:eastAsia="Arial Unicode MS"/>
          <w:szCs w:val="26"/>
          <w:u w:color="000000"/>
          <w:lang w:val="fr-FR"/>
        </w:rPr>
        <w:t>5</w:t>
      </w:r>
      <w:r w:rsidRPr="008E63BB">
        <w:rPr>
          <w:rFonts w:eastAsia="Arial Unicode MS"/>
          <w:szCs w:val="26"/>
          <w:u w:color="000000"/>
          <w:lang w:val="vi-VN"/>
        </w:rPr>
        <w:t>0</w:t>
      </w:r>
      <w:r w:rsidR="00C97FE0" w:rsidRPr="008E63BB">
        <w:rPr>
          <w:rFonts w:eastAsia="Arial Unicode MS"/>
          <w:szCs w:val="26"/>
          <w:u w:color="000000"/>
        </w:rPr>
        <w:t xml:space="preserve"> </w:t>
      </w:r>
      <w:r w:rsidRPr="008E63BB">
        <w:rPr>
          <w:rFonts w:eastAsia="Arial Unicode MS"/>
          <w:szCs w:val="26"/>
          <w:u w:color="000000"/>
          <w:lang w:val="vi-VN"/>
        </w:rPr>
        <w:t xml:space="preserve">ở mức </w:t>
      </w:r>
      <w:r w:rsidRPr="008E63BB">
        <w:rPr>
          <w:rFonts w:eastAsia="Arial Unicode MS"/>
          <w:szCs w:val="26"/>
          <w:u w:color="000000"/>
          <w:lang w:val="fr-FR"/>
        </w:rPr>
        <w:t>1,16</w:t>
      </w:r>
      <w:r w:rsidRPr="008E63BB">
        <w:rPr>
          <w:rFonts w:eastAsia="Arial Unicode MS"/>
          <w:szCs w:val="26"/>
          <w:u w:color="000000"/>
          <w:lang w:val="vi-VN"/>
        </w:rPr>
        <w:t>%/năm</w:t>
      </w:r>
      <w:r w:rsidRPr="008E63BB">
        <w:rPr>
          <w:rFonts w:cs="Tahoma"/>
          <w:lang w:val="fr-FR"/>
        </w:rPr>
        <w:t>, trong đó dân số nội thành là khoảng 575.000 người.</w:t>
      </w:r>
    </w:p>
    <w:p w14:paraId="519B30BB" w14:textId="77777777" w:rsidR="00E46C1D" w:rsidRPr="008E63BB" w:rsidRDefault="00E46C1D" w:rsidP="00E46C1D">
      <w:pPr>
        <w:spacing w:before="120" w:line="288" w:lineRule="auto"/>
        <w:ind w:left="709"/>
        <w:rPr>
          <w:b/>
          <w:szCs w:val="26"/>
          <w:lang w:val="fr-FR"/>
        </w:rPr>
      </w:pPr>
      <w:r w:rsidRPr="008E63BB">
        <w:rPr>
          <w:b/>
          <w:szCs w:val="26"/>
          <w:lang w:val="fr-FR"/>
        </w:rPr>
        <w:t>Kết quả dự báo dân sốvà dân số nội thành:</w:t>
      </w:r>
    </w:p>
    <w:p w14:paraId="519B30BC" w14:textId="77777777" w:rsidR="00C90BF8" w:rsidRPr="008E63BB" w:rsidRDefault="00C90BF8" w:rsidP="00C90BF8">
      <w:pPr>
        <w:pStyle w:val="ListParagraph"/>
        <w:numPr>
          <w:ilvl w:val="0"/>
          <w:numId w:val="45"/>
        </w:numPr>
        <w:tabs>
          <w:tab w:val="left" w:pos="900"/>
        </w:tabs>
        <w:spacing w:before="120"/>
        <w:ind w:left="0" w:firstLine="720"/>
        <w:contextualSpacing w:val="0"/>
        <w:rPr>
          <w:rFonts w:eastAsia="Arial Unicode MS"/>
          <w:sz w:val="26"/>
          <w:szCs w:val="26"/>
          <w:u w:color="000000"/>
        </w:rPr>
      </w:pPr>
      <w:r w:rsidRPr="008E63BB">
        <w:rPr>
          <w:rFonts w:eastAsia="Arial Unicode MS"/>
          <w:sz w:val="26"/>
          <w:szCs w:val="26"/>
          <w:u w:color="000000"/>
        </w:rPr>
        <w:t>Quy m</w:t>
      </w:r>
      <w:r w:rsidRPr="008E63BB">
        <w:rPr>
          <w:rFonts w:eastAsia="Arial Unicode MS" w:hint="cs"/>
          <w:sz w:val="26"/>
          <w:szCs w:val="26"/>
          <w:u w:color="000000"/>
        </w:rPr>
        <w:t>ô</w:t>
      </w:r>
      <w:r w:rsidRPr="008E63BB">
        <w:rPr>
          <w:rFonts w:eastAsia="Arial Unicode MS"/>
          <w:sz w:val="26"/>
          <w:szCs w:val="26"/>
          <w:u w:color="000000"/>
        </w:rPr>
        <w:t xml:space="preserve"> d</w:t>
      </w:r>
      <w:r w:rsidRPr="008E63BB">
        <w:rPr>
          <w:rFonts w:eastAsia="Arial Unicode MS" w:hint="cs"/>
          <w:sz w:val="26"/>
          <w:szCs w:val="26"/>
          <w:u w:color="000000"/>
        </w:rPr>
        <w:t>â</w:t>
      </w:r>
      <w:r w:rsidRPr="008E63BB">
        <w:rPr>
          <w:rFonts w:eastAsia="Arial Unicode MS"/>
          <w:sz w:val="26"/>
          <w:szCs w:val="26"/>
          <w:u w:color="000000"/>
        </w:rPr>
        <w:t xml:space="preserve">n số quy đổi bao gồm: </w:t>
      </w:r>
    </w:p>
    <w:p w14:paraId="519B30BD" w14:textId="77777777" w:rsidR="00C90BF8" w:rsidRPr="008E63BB" w:rsidRDefault="00C90BF8" w:rsidP="00C90BF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Kh</w:t>
      </w:r>
      <w:r w:rsidRPr="008E63BB">
        <w:rPr>
          <w:rFonts w:eastAsia="Arial Unicode MS" w:hint="cs"/>
          <w:sz w:val="26"/>
          <w:szCs w:val="26"/>
          <w:u w:color="000000"/>
        </w:rPr>
        <w:t>á</w:t>
      </w:r>
      <w:r w:rsidRPr="008E63BB">
        <w:rPr>
          <w:rFonts w:eastAsia="Arial Unicode MS"/>
          <w:sz w:val="26"/>
          <w:szCs w:val="26"/>
          <w:u w:color="000000"/>
        </w:rPr>
        <w:t>ch du lịch, kh</w:t>
      </w:r>
      <w:r w:rsidRPr="008E63BB">
        <w:rPr>
          <w:rFonts w:eastAsia="Arial Unicode MS" w:hint="cs"/>
          <w:sz w:val="26"/>
          <w:szCs w:val="26"/>
          <w:u w:color="000000"/>
        </w:rPr>
        <w:t>á</w:t>
      </w:r>
      <w:r w:rsidRPr="008E63BB">
        <w:rPr>
          <w:rFonts w:eastAsia="Arial Unicode MS"/>
          <w:sz w:val="26"/>
          <w:szCs w:val="26"/>
          <w:u w:color="000000"/>
        </w:rPr>
        <w:t>ch v</w:t>
      </w:r>
      <w:r w:rsidRPr="008E63BB">
        <w:rPr>
          <w:rFonts w:eastAsia="Arial Unicode MS" w:hint="cs"/>
          <w:sz w:val="26"/>
          <w:szCs w:val="26"/>
          <w:u w:color="000000"/>
        </w:rPr>
        <w:t>ã</w:t>
      </w:r>
      <w:r w:rsidRPr="008E63BB">
        <w:rPr>
          <w:rFonts w:eastAsia="Arial Unicode MS"/>
          <w:sz w:val="26"/>
          <w:szCs w:val="26"/>
          <w:u w:color="000000"/>
        </w:rPr>
        <w:t>ng lai, người ngoài địa phương đến khám chữa bệnh, các cơ sở đào tạo ngắn hạn, các cơ sở kinh doanh buôn bán đóng trên địa bàn, người ngoài địa phương tham gia các hoạt động thể thao, huấn luyện quân sự, thăm than</w:t>
      </w:r>
    </w:p>
    <w:p w14:paraId="519B30BE" w14:textId="77777777" w:rsidR="00C90BF8" w:rsidRPr="008E63BB" w:rsidRDefault="00C90BF8" w:rsidP="00C90BF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 xml:space="preserve">Lao </w:t>
      </w:r>
      <w:r w:rsidRPr="008E63BB">
        <w:rPr>
          <w:rFonts w:eastAsia="Arial Unicode MS" w:hint="cs"/>
          <w:sz w:val="26"/>
          <w:szCs w:val="26"/>
          <w:u w:color="000000"/>
        </w:rPr>
        <w:t>đ</w:t>
      </w:r>
      <w:r w:rsidRPr="008E63BB">
        <w:rPr>
          <w:rFonts w:eastAsia="Arial Unicode MS"/>
          <w:sz w:val="26"/>
          <w:szCs w:val="26"/>
          <w:u w:color="000000"/>
        </w:rPr>
        <w:t>ộng thời vụ và lao động con lắc: Là lực lượng lao động làm việc tại các cơ sở kinh tế, các khu du lịch, các doanh nghiệp trên địa bàn tạm trú dưới 6 tháng và lao động con lắc từ nơi khác đến thành phố làm việc ban ngày.</w:t>
      </w:r>
    </w:p>
    <w:p w14:paraId="519B30BF" w14:textId="77777777" w:rsidR="00C90BF8" w:rsidRPr="008E63BB" w:rsidRDefault="00C90BF8" w:rsidP="00C90BF8">
      <w:pPr>
        <w:pStyle w:val="ListParagraph"/>
        <w:numPr>
          <w:ilvl w:val="0"/>
          <w:numId w:val="45"/>
        </w:numPr>
        <w:tabs>
          <w:tab w:val="left" w:pos="900"/>
        </w:tabs>
        <w:spacing w:before="120"/>
        <w:ind w:left="0" w:firstLine="720"/>
        <w:contextualSpacing w:val="0"/>
        <w:rPr>
          <w:rFonts w:eastAsia="Arial Unicode MS"/>
          <w:sz w:val="26"/>
          <w:szCs w:val="26"/>
          <w:u w:color="000000"/>
        </w:rPr>
      </w:pPr>
      <w:r w:rsidRPr="008E63BB">
        <w:rPr>
          <w:rFonts w:eastAsia="Arial Unicode MS"/>
          <w:sz w:val="26"/>
          <w:szCs w:val="26"/>
          <w:u w:color="000000"/>
        </w:rPr>
        <w:t>Cơ sở t</w:t>
      </w:r>
      <w:r w:rsidRPr="008E63BB">
        <w:rPr>
          <w:rFonts w:eastAsia="Arial Unicode MS" w:hint="cs"/>
          <w:sz w:val="26"/>
          <w:szCs w:val="26"/>
          <w:u w:color="000000"/>
        </w:rPr>
        <w:t>í</w:t>
      </w:r>
      <w:r w:rsidRPr="008E63BB">
        <w:rPr>
          <w:rFonts w:eastAsia="Arial Unicode MS"/>
          <w:sz w:val="26"/>
          <w:szCs w:val="26"/>
          <w:u w:color="000000"/>
        </w:rPr>
        <w:t>nh to</w:t>
      </w:r>
      <w:r w:rsidRPr="008E63BB">
        <w:rPr>
          <w:rFonts w:eastAsia="Arial Unicode MS" w:hint="cs"/>
          <w:sz w:val="26"/>
          <w:szCs w:val="26"/>
          <w:u w:color="000000"/>
        </w:rPr>
        <w:t>á</w:t>
      </w:r>
      <w:r w:rsidRPr="008E63BB">
        <w:rPr>
          <w:rFonts w:eastAsia="Arial Unicode MS"/>
          <w:sz w:val="26"/>
          <w:szCs w:val="26"/>
          <w:u w:color="000000"/>
        </w:rPr>
        <w:t>n quy m</w:t>
      </w:r>
      <w:r w:rsidRPr="008E63BB">
        <w:rPr>
          <w:rFonts w:eastAsia="Arial Unicode MS" w:hint="cs"/>
          <w:sz w:val="26"/>
          <w:szCs w:val="26"/>
          <w:u w:color="000000"/>
        </w:rPr>
        <w:t>ô</w:t>
      </w:r>
      <w:r w:rsidRPr="008E63BB">
        <w:rPr>
          <w:rFonts w:eastAsia="Arial Unicode MS"/>
          <w:sz w:val="26"/>
          <w:szCs w:val="26"/>
          <w:u w:color="000000"/>
        </w:rPr>
        <w:t xml:space="preserve"> d</w:t>
      </w:r>
      <w:r w:rsidRPr="008E63BB">
        <w:rPr>
          <w:rFonts w:eastAsia="Arial Unicode MS" w:hint="cs"/>
          <w:sz w:val="26"/>
          <w:szCs w:val="26"/>
          <w:u w:color="000000"/>
        </w:rPr>
        <w:t>â</w:t>
      </w:r>
      <w:r w:rsidRPr="008E63BB">
        <w:rPr>
          <w:rFonts w:eastAsia="Arial Unicode MS"/>
          <w:sz w:val="26"/>
          <w:szCs w:val="26"/>
          <w:u w:color="000000"/>
        </w:rPr>
        <w:t>n số tạm tr</w:t>
      </w:r>
      <w:r w:rsidRPr="008E63BB">
        <w:rPr>
          <w:rFonts w:eastAsia="Arial Unicode MS" w:hint="cs"/>
          <w:sz w:val="26"/>
          <w:szCs w:val="26"/>
          <w:u w:color="000000"/>
        </w:rPr>
        <w:t>ú</w:t>
      </w:r>
      <w:r w:rsidRPr="008E63BB">
        <w:rPr>
          <w:rFonts w:eastAsia="Arial Unicode MS"/>
          <w:sz w:val="26"/>
          <w:szCs w:val="26"/>
          <w:u w:color="000000"/>
        </w:rPr>
        <w:t xml:space="preserve"> quy </w:t>
      </w:r>
      <w:r w:rsidRPr="008E63BB">
        <w:rPr>
          <w:rFonts w:eastAsia="Arial Unicode MS" w:hint="cs"/>
          <w:sz w:val="26"/>
          <w:szCs w:val="26"/>
          <w:u w:color="000000"/>
        </w:rPr>
        <w:t>đ</w:t>
      </w:r>
      <w:r w:rsidRPr="008E63BB">
        <w:rPr>
          <w:rFonts w:eastAsia="Arial Unicode MS"/>
          <w:sz w:val="26"/>
          <w:szCs w:val="26"/>
          <w:u w:color="000000"/>
        </w:rPr>
        <w:t>ổi như sau:</w:t>
      </w:r>
    </w:p>
    <w:p w14:paraId="519B30C0" w14:textId="77777777" w:rsidR="00C90BF8" w:rsidRPr="008E63BB" w:rsidRDefault="00C90BF8" w:rsidP="00C90BF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D</w:t>
      </w:r>
      <w:r w:rsidRPr="008E63BB">
        <w:rPr>
          <w:rFonts w:eastAsia="Arial Unicode MS" w:hint="cs"/>
          <w:sz w:val="26"/>
          <w:szCs w:val="26"/>
          <w:u w:color="000000"/>
        </w:rPr>
        <w:t>â</w:t>
      </w:r>
      <w:r w:rsidRPr="008E63BB">
        <w:rPr>
          <w:rFonts w:eastAsia="Arial Unicode MS"/>
          <w:sz w:val="26"/>
          <w:szCs w:val="26"/>
          <w:u w:color="000000"/>
        </w:rPr>
        <w:t>n số tạm tr</w:t>
      </w:r>
      <w:r w:rsidRPr="008E63BB">
        <w:rPr>
          <w:rFonts w:eastAsia="Arial Unicode MS" w:hint="cs"/>
          <w:sz w:val="26"/>
          <w:szCs w:val="26"/>
          <w:u w:color="000000"/>
        </w:rPr>
        <w:t>ú</w:t>
      </w:r>
      <w:r w:rsidRPr="008E63BB">
        <w:rPr>
          <w:rFonts w:eastAsia="Arial Unicode MS"/>
          <w:sz w:val="26"/>
          <w:szCs w:val="26"/>
          <w:u w:color="000000"/>
        </w:rPr>
        <w:t xml:space="preserve"> quy </w:t>
      </w:r>
      <w:r w:rsidRPr="008E63BB">
        <w:rPr>
          <w:rFonts w:eastAsia="Arial Unicode MS" w:hint="cs"/>
          <w:sz w:val="26"/>
          <w:szCs w:val="26"/>
          <w:u w:color="000000"/>
        </w:rPr>
        <w:t>đ</w:t>
      </w:r>
      <w:r w:rsidRPr="008E63BB">
        <w:rPr>
          <w:rFonts w:eastAsia="Arial Unicode MS"/>
          <w:sz w:val="26"/>
          <w:szCs w:val="26"/>
          <w:u w:color="000000"/>
        </w:rPr>
        <w:t>ổi kh</w:t>
      </w:r>
      <w:r w:rsidRPr="008E63BB">
        <w:rPr>
          <w:rFonts w:eastAsia="Arial Unicode MS" w:hint="cs"/>
          <w:sz w:val="26"/>
          <w:szCs w:val="26"/>
          <w:u w:color="000000"/>
        </w:rPr>
        <w:t>á</w:t>
      </w:r>
      <w:r w:rsidRPr="008E63BB">
        <w:rPr>
          <w:rFonts w:eastAsia="Arial Unicode MS"/>
          <w:sz w:val="26"/>
          <w:szCs w:val="26"/>
          <w:u w:color="000000"/>
        </w:rPr>
        <w:t>ch du lịch (</w:t>
      </w:r>
      <w:r w:rsidRPr="008E63BB">
        <w:rPr>
          <w:rFonts w:eastAsia="Arial Unicode MS" w:hint="cs"/>
          <w:sz w:val="26"/>
          <w:szCs w:val="26"/>
          <w:u w:color="000000"/>
        </w:rPr>
        <w:t>Á</w:t>
      </w:r>
      <w:r w:rsidRPr="008E63BB">
        <w:rPr>
          <w:rFonts w:eastAsia="Arial Unicode MS"/>
          <w:sz w:val="26"/>
          <w:szCs w:val="26"/>
          <w:u w:color="000000"/>
        </w:rPr>
        <w:t>p dụng c</w:t>
      </w:r>
      <w:r w:rsidRPr="008E63BB">
        <w:rPr>
          <w:rFonts w:eastAsia="Arial Unicode MS" w:hint="cs"/>
          <w:sz w:val="26"/>
          <w:szCs w:val="26"/>
          <w:u w:color="000000"/>
        </w:rPr>
        <w:t>ô</w:t>
      </w:r>
      <w:r w:rsidRPr="008E63BB">
        <w:rPr>
          <w:rFonts w:eastAsia="Arial Unicode MS"/>
          <w:sz w:val="26"/>
          <w:szCs w:val="26"/>
          <w:u w:color="000000"/>
        </w:rPr>
        <w:t xml:space="preserve">ng thức quy </w:t>
      </w:r>
      <w:r w:rsidRPr="008E63BB">
        <w:rPr>
          <w:rFonts w:eastAsia="Arial Unicode MS" w:hint="cs"/>
          <w:sz w:val="26"/>
          <w:szCs w:val="26"/>
          <w:u w:color="000000"/>
        </w:rPr>
        <w:t>đ</w:t>
      </w:r>
      <w:r w:rsidRPr="008E63BB">
        <w:rPr>
          <w:rFonts w:eastAsia="Arial Unicode MS"/>
          <w:sz w:val="26"/>
          <w:szCs w:val="26"/>
          <w:u w:color="000000"/>
        </w:rPr>
        <w:t>ổi dân số tại Phụ lục của Nghị quyết 1211/2016/UBTVQH13 ng</w:t>
      </w:r>
      <w:r w:rsidRPr="008E63BB">
        <w:rPr>
          <w:rFonts w:eastAsia="Arial Unicode MS" w:hint="cs"/>
          <w:sz w:val="26"/>
          <w:szCs w:val="26"/>
          <w:u w:color="000000"/>
        </w:rPr>
        <w:t>à</w:t>
      </w:r>
      <w:r w:rsidRPr="008E63BB">
        <w:rPr>
          <w:rFonts w:eastAsia="Arial Unicode MS"/>
          <w:sz w:val="26"/>
          <w:szCs w:val="26"/>
          <w:u w:color="000000"/>
        </w:rPr>
        <w:t>y 25/05/2016 của Quốc hội).</w:t>
      </w:r>
    </w:p>
    <w:p w14:paraId="519B30C1" w14:textId="77777777" w:rsidR="00C90BF8" w:rsidRPr="008E63BB" w:rsidRDefault="00E63C68" w:rsidP="00C90BF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 xml:space="preserve">Hiện tại số sinh viên đang học tập tại Nam Định khoảng 70 nghìn học sinh, sinh viên. Dự kiến </w:t>
      </w:r>
      <w:r w:rsidRPr="008E63BB">
        <w:rPr>
          <w:rFonts w:eastAsia="Arial Unicode MS"/>
          <w:sz w:val="26"/>
          <w:szCs w:val="26"/>
          <w:u w:color="000000"/>
          <w:lang w:val="en-US"/>
        </w:rPr>
        <w:t xml:space="preserve">mở thêm 2 trường Đại học: 01 phía Nam khu vực phía Nam với qui mô 54ha và 01 trường tại </w:t>
      </w:r>
      <w:r w:rsidRPr="008E63BB">
        <w:rPr>
          <w:rFonts w:eastAsia="Arial Unicode MS"/>
          <w:sz w:val="26"/>
          <w:szCs w:val="26"/>
          <w:u w:color="000000"/>
        </w:rPr>
        <w:t>khu vực phía Tây Thành phố bổ sung thêm 120</w:t>
      </w:r>
      <w:r w:rsidR="00F5236F" w:rsidRPr="008E63BB">
        <w:rPr>
          <w:rFonts w:eastAsia="Arial Unicode MS"/>
          <w:sz w:val="26"/>
          <w:szCs w:val="26"/>
          <w:u w:color="000000"/>
          <w:lang w:val="en-US"/>
        </w:rPr>
        <w:t xml:space="preserve"> </w:t>
      </w:r>
      <w:r w:rsidRPr="008E63BB">
        <w:rPr>
          <w:rFonts w:eastAsia="Arial Unicode MS"/>
          <w:sz w:val="26"/>
          <w:szCs w:val="26"/>
          <w:u w:color="000000"/>
        </w:rPr>
        <w:t>ha đất trường Đại học (tuân thủ Tiêu chuẩn Việt Nam TCVN 3981:1985 về trường đại học - tiêu chuẩn thiết kế)</w:t>
      </w:r>
      <w:r w:rsidR="00C90BF8" w:rsidRPr="008E63BB">
        <w:rPr>
          <w:rFonts w:eastAsia="Arial Unicode MS"/>
          <w:sz w:val="26"/>
          <w:szCs w:val="26"/>
          <w:u w:color="000000"/>
        </w:rPr>
        <w:t xml:space="preserve">. </w:t>
      </w:r>
    </w:p>
    <w:p w14:paraId="519B30C2" w14:textId="77777777" w:rsidR="00C90BF8" w:rsidRPr="008E63BB" w:rsidRDefault="00C90BF8" w:rsidP="00C90BF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Hiện trạng đất khu, cụm công nghiệp trên địa bàn 733ha. Dự báo đến năm 2030 tăng thêm khoảng 298ha, lao động tăng thêm 21.000-30.000 người; đến năm 2040 đất khu, cụm công nghiệp trên địa bàn tăng thêm khoảng 120ha, lao động tăng thêm 9.000-12.000 người.</w:t>
      </w:r>
    </w:p>
    <w:p w14:paraId="519B30C3" w14:textId="77777777" w:rsidR="00C90BF8" w:rsidRPr="008E63BB" w:rsidRDefault="00C90BF8" w:rsidP="00C90BF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 xml:space="preserve">Hiện trạng khách du lịch đến Nam Định đạt 2,5 triệu lượt khách. Mục tiêu phát huy tiềm năng du lịch, khai thác hiệu quả loại hình du lịch lịch sử, văn hóa lịch sử, sinh thái, tâm linh, du lịch cộng đồng; thu hút nhà đầu tư có năng lực phát triển các dịch vụ du lịch; đến năm 2030, Nam Định trở thành tỉnh có ngành du lịch phát triển và quan trọng. Dự báo đến năm 2025 thu hút khoảng 3,2 triệu lượt khách du lịch, năm 2030 thu hút khoảng 3,75 triệu lượt khách du lịch. </w:t>
      </w:r>
    </w:p>
    <w:p w14:paraId="519B30C4" w14:textId="77777777" w:rsidR="00E63C68" w:rsidRPr="008E63BB" w:rsidRDefault="00E63C68" w:rsidP="00E63C6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 xml:space="preserve">Dựa trên các lợi thế của Nam Định lựa chọn phương án 1. Dân số toàn thành phố đến năm 2030 là khoảng 520.000 người, trong đó dân số nội thành là khoảng 384.500 người. </w:t>
      </w:r>
    </w:p>
    <w:p w14:paraId="519B30C5" w14:textId="77777777" w:rsidR="00E63C68" w:rsidRPr="008E63BB" w:rsidRDefault="00E63C68" w:rsidP="00E63C6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 xml:space="preserve">Dân số toàn thành phố đến năm 2040 là khoảng 600.000 người, trong đó dân số nội thành là khoảng 485.000 người. </w:t>
      </w:r>
    </w:p>
    <w:p w14:paraId="519B30C6" w14:textId="77777777" w:rsidR="00E63C68" w:rsidRPr="008E63BB" w:rsidRDefault="00E63C68" w:rsidP="00E63C6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Dân số toàn thành phố đến năm 2050 là khoảng 665.000 người, trong đó dân số nội thành là khoảng 555.000 người</w:t>
      </w:r>
    </w:p>
    <w:p w14:paraId="519B30C7" w14:textId="77777777" w:rsidR="00E63C68" w:rsidRPr="008E63BB" w:rsidRDefault="00E63C68" w:rsidP="00E63C68">
      <w:pPr>
        <w:spacing w:before="120" w:line="288" w:lineRule="auto"/>
        <w:rPr>
          <w:i/>
          <w:szCs w:val="24"/>
          <w:lang w:val="pt-BR"/>
        </w:rPr>
      </w:pPr>
      <w:r w:rsidRPr="008E63BB">
        <w:rPr>
          <w:i/>
          <w:szCs w:val="24"/>
          <w:lang w:val="pt-BR"/>
        </w:rPr>
        <w:t>Bảng: Dự báo dân số - phương án 1</w:t>
      </w:r>
    </w:p>
    <w:tbl>
      <w:tblPr>
        <w:tblW w:w="9296" w:type="dxa"/>
        <w:tblLook w:val="04A0" w:firstRow="1" w:lastRow="0" w:firstColumn="1" w:lastColumn="0" w:noHBand="0" w:noVBand="1"/>
      </w:tblPr>
      <w:tblGrid>
        <w:gridCol w:w="516"/>
        <w:gridCol w:w="4299"/>
        <w:gridCol w:w="918"/>
        <w:gridCol w:w="866"/>
        <w:gridCol w:w="899"/>
        <w:gridCol w:w="880"/>
        <w:gridCol w:w="918"/>
      </w:tblGrid>
      <w:tr w:rsidR="00E63C68" w:rsidRPr="008E63BB" w14:paraId="519B30CC" w14:textId="77777777" w:rsidTr="00C97FE0">
        <w:trPr>
          <w:cantSplit/>
          <w:trHeight w:val="315"/>
          <w:tblHeader/>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0C8" w14:textId="77777777" w:rsidR="00E63C68" w:rsidRPr="008E63BB" w:rsidRDefault="00E63C68" w:rsidP="00E63C68">
            <w:pPr>
              <w:jc w:val="center"/>
              <w:rPr>
                <w:rFonts w:eastAsia="Times New Roman"/>
                <w:sz w:val="20"/>
                <w:szCs w:val="20"/>
              </w:rPr>
            </w:pPr>
            <w:r w:rsidRPr="008E63BB">
              <w:rPr>
                <w:rFonts w:eastAsia="Times New Roman"/>
                <w:sz w:val="20"/>
                <w:szCs w:val="20"/>
              </w:rPr>
              <w:t>TT</w:t>
            </w:r>
          </w:p>
        </w:tc>
        <w:tc>
          <w:tcPr>
            <w:tcW w:w="4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0C9" w14:textId="77777777" w:rsidR="00E63C68" w:rsidRPr="008E63BB" w:rsidRDefault="00E63C68" w:rsidP="00E63C68">
            <w:pPr>
              <w:jc w:val="center"/>
              <w:rPr>
                <w:rFonts w:eastAsia="Times New Roman"/>
                <w:sz w:val="20"/>
                <w:szCs w:val="20"/>
              </w:rPr>
            </w:pPr>
            <w:r w:rsidRPr="008E63BB">
              <w:rPr>
                <w:rFonts w:eastAsia="Times New Roman"/>
                <w:sz w:val="20"/>
                <w:szCs w:val="20"/>
              </w:rPr>
              <w:t>Hạng mục</w:t>
            </w:r>
          </w:p>
        </w:tc>
        <w:tc>
          <w:tcPr>
            <w:tcW w:w="1784" w:type="dxa"/>
            <w:gridSpan w:val="2"/>
            <w:tcBorders>
              <w:top w:val="single" w:sz="4" w:space="0" w:color="auto"/>
              <w:left w:val="nil"/>
              <w:bottom w:val="single" w:sz="4" w:space="0" w:color="auto"/>
              <w:right w:val="single" w:sz="4" w:space="0" w:color="auto"/>
            </w:tcBorders>
            <w:shd w:val="clear" w:color="auto" w:fill="auto"/>
            <w:hideMark/>
          </w:tcPr>
          <w:p w14:paraId="519B30CA"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Hiện trạng</w:t>
            </w:r>
          </w:p>
        </w:tc>
        <w:tc>
          <w:tcPr>
            <w:tcW w:w="2697" w:type="dxa"/>
            <w:gridSpan w:val="3"/>
            <w:tcBorders>
              <w:top w:val="single" w:sz="4" w:space="0" w:color="auto"/>
              <w:left w:val="nil"/>
              <w:bottom w:val="single" w:sz="4" w:space="0" w:color="auto"/>
              <w:right w:val="single" w:sz="4" w:space="0" w:color="auto"/>
            </w:tcBorders>
            <w:shd w:val="clear" w:color="auto" w:fill="auto"/>
            <w:hideMark/>
          </w:tcPr>
          <w:p w14:paraId="519B30CB"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Dự báo</w:t>
            </w:r>
          </w:p>
        </w:tc>
      </w:tr>
      <w:tr w:rsidR="00E63C68" w:rsidRPr="008E63BB" w14:paraId="519B30D4" w14:textId="77777777" w:rsidTr="00C97FE0">
        <w:trPr>
          <w:cantSplit/>
          <w:trHeight w:val="300"/>
          <w:tblHeader/>
        </w:trPr>
        <w:tc>
          <w:tcPr>
            <w:tcW w:w="516" w:type="dxa"/>
            <w:vMerge/>
            <w:tcBorders>
              <w:top w:val="single" w:sz="4" w:space="0" w:color="auto"/>
              <w:left w:val="single" w:sz="4" w:space="0" w:color="auto"/>
              <w:bottom w:val="single" w:sz="4" w:space="0" w:color="auto"/>
              <w:right w:val="single" w:sz="4" w:space="0" w:color="auto"/>
            </w:tcBorders>
            <w:vAlign w:val="center"/>
            <w:hideMark/>
          </w:tcPr>
          <w:p w14:paraId="519B30CD" w14:textId="77777777" w:rsidR="00E63C68" w:rsidRPr="008E63BB" w:rsidRDefault="00E63C68" w:rsidP="00E63C68">
            <w:pPr>
              <w:jc w:val="left"/>
              <w:rPr>
                <w:rFonts w:eastAsia="Times New Roman"/>
                <w:sz w:val="20"/>
                <w:szCs w:val="20"/>
              </w:rPr>
            </w:pPr>
          </w:p>
        </w:tc>
        <w:tc>
          <w:tcPr>
            <w:tcW w:w="4299" w:type="dxa"/>
            <w:vMerge/>
            <w:tcBorders>
              <w:top w:val="single" w:sz="4" w:space="0" w:color="auto"/>
              <w:left w:val="single" w:sz="4" w:space="0" w:color="auto"/>
              <w:bottom w:val="single" w:sz="4" w:space="0" w:color="auto"/>
              <w:right w:val="single" w:sz="4" w:space="0" w:color="auto"/>
            </w:tcBorders>
            <w:vAlign w:val="center"/>
            <w:hideMark/>
          </w:tcPr>
          <w:p w14:paraId="519B30CE" w14:textId="77777777" w:rsidR="00E63C68" w:rsidRPr="008E63BB" w:rsidRDefault="00E63C68" w:rsidP="00E63C68">
            <w:pPr>
              <w:jc w:val="left"/>
              <w:rPr>
                <w:rFonts w:eastAsia="Times New Roman"/>
                <w:sz w:val="20"/>
                <w:szCs w:val="20"/>
              </w:rPr>
            </w:pPr>
          </w:p>
        </w:tc>
        <w:tc>
          <w:tcPr>
            <w:tcW w:w="918" w:type="dxa"/>
            <w:tcBorders>
              <w:top w:val="nil"/>
              <w:left w:val="nil"/>
              <w:bottom w:val="single" w:sz="4" w:space="0" w:color="auto"/>
              <w:right w:val="single" w:sz="4" w:space="0" w:color="auto"/>
            </w:tcBorders>
            <w:shd w:val="clear" w:color="auto" w:fill="auto"/>
            <w:hideMark/>
          </w:tcPr>
          <w:p w14:paraId="519B30CF"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2008</w:t>
            </w:r>
          </w:p>
        </w:tc>
        <w:tc>
          <w:tcPr>
            <w:tcW w:w="866" w:type="dxa"/>
            <w:tcBorders>
              <w:top w:val="nil"/>
              <w:left w:val="nil"/>
              <w:bottom w:val="single" w:sz="4" w:space="0" w:color="auto"/>
              <w:right w:val="single" w:sz="4" w:space="0" w:color="auto"/>
            </w:tcBorders>
            <w:shd w:val="clear" w:color="auto" w:fill="auto"/>
            <w:hideMark/>
          </w:tcPr>
          <w:p w14:paraId="519B30D0"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2019</w:t>
            </w:r>
          </w:p>
        </w:tc>
        <w:tc>
          <w:tcPr>
            <w:tcW w:w="899" w:type="dxa"/>
            <w:tcBorders>
              <w:top w:val="nil"/>
              <w:left w:val="nil"/>
              <w:bottom w:val="single" w:sz="4" w:space="0" w:color="auto"/>
              <w:right w:val="single" w:sz="4" w:space="0" w:color="auto"/>
            </w:tcBorders>
            <w:shd w:val="clear" w:color="auto" w:fill="auto"/>
            <w:hideMark/>
          </w:tcPr>
          <w:p w14:paraId="519B30D1"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2030</w:t>
            </w:r>
          </w:p>
        </w:tc>
        <w:tc>
          <w:tcPr>
            <w:tcW w:w="880" w:type="dxa"/>
            <w:tcBorders>
              <w:top w:val="nil"/>
              <w:left w:val="nil"/>
              <w:bottom w:val="single" w:sz="4" w:space="0" w:color="auto"/>
              <w:right w:val="single" w:sz="4" w:space="0" w:color="auto"/>
            </w:tcBorders>
            <w:shd w:val="clear" w:color="auto" w:fill="auto"/>
            <w:hideMark/>
          </w:tcPr>
          <w:p w14:paraId="519B30D2"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2040</w:t>
            </w:r>
          </w:p>
        </w:tc>
        <w:tc>
          <w:tcPr>
            <w:tcW w:w="918" w:type="dxa"/>
            <w:tcBorders>
              <w:top w:val="nil"/>
              <w:left w:val="nil"/>
              <w:bottom w:val="single" w:sz="4" w:space="0" w:color="auto"/>
              <w:right w:val="single" w:sz="4" w:space="0" w:color="auto"/>
            </w:tcBorders>
            <w:shd w:val="clear" w:color="auto" w:fill="auto"/>
            <w:hideMark/>
          </w:tcPr>
          <w:p w14:paraId="519B30D3"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2050</w:t>
            </w:r>
          </w:p>
        </w:tc>
      </w:tr>
      <w:tr w:rsidR="003270A4" w:rsidRPr="008E63BB" w14:paraId="519B30DC" w14:textId="77777777" w:rsidTr="00E63C68">
        <w:trPr>
          <w:trHeight w:val="525"/>
        </w:trPr>
        <w:tc>
          <w:tcPr>
            <w:tcW w:w="516" w:type="dxa"/>
            <w:tcBorders>
              <w:top w:val="nil"/>
              <w:left w:val="single" w:sz="4" w:space="0" w:color="auto"/>
              <w:bottom w:val="single" w:sz="4" w:space="0" w:color="auto"/>
              <w:right w:val="single" w:sz="4" w:space="0" w:color="auto"/>
            </w:tcBorders>
            <w:shd w:val="clear" w:color="auto" w:fill="auto"/>
            <w:vAlign w:val="bottom"/>
            <w:hideMark/>
          </w:tcPr>
          <w:p w14:paraId="519B30D5" w14:textId="77777777" w:rsidR="003270A4" w:rsidRPr="008E63BB" w:rsidRDefault="003270A4" w:rsidP="003270A4">
            <w:pPr>
              <w:jc w:val="center"/>
              <w:rPr>
                <w:rFonts w:eastAsia="Times New Roman"/>
                <w:b/>
                <w:bCs/>
                <w:sz w:val="20"/>
                <w:szCs w:val="20"/>
              </w:rPr>
            </w:pPr>
            <w:r w:rsidRPr="008E63BB">
              <w:rPr>
                <w:rFonts w:eastAsia="Times New Roman"/>
                <w:b/>
                <w:bCs/>
                <w:sz w:val="20"/>
                <w:szCs w:val="20"/>
              </w:rPr>
              <w:t> </w:t>
            </w:r>
          </w:p>
        </w:tc>
        <w:tc>
          <w:tcPr>
            <w:tcW w:w="4299" w:type="dxa"/>
            <w:tcBorders>
              <w:top w:val="nil"/>
              <w:left w:val="nil"/>
              <w:bottom w:val="single" w:sz="4" w:space="0" w:color="auto"/>
              <w:right w:val="single" w:sz="4" w:space="0" w:color="auto"/>
            </w:tcBorders>
            <w:shd w:val="clear" w:color="auto" w:fill="auto"/>
            <w:vAlign w:val="bottom"/>
            <w:hideMark/>
          </w:tcPr>
          <w:p w14:paraId="519B30D6" w14:textId="77777777" w:rsidR="003270A4" w:rsidRPr="008E63BB" w:rsidRDefault="003270A4" w:rsidP="003270A4">
            <w:pPr>
              <w:jc w:val="left"/>
              <w:rPr>
                <w:rFonts w:eastAsia="Times New Roman"/>
                <w:b/>
                <w:bCs/>
                <w:sz w:val="20"/>
                <w:szCs w:val="20"/>
              </w:rPr>
            </w:pPr>
            <w:r w:rsidRPr="008E63BB">
              <w:rPr>
                <w:rFonts w:eastAsia="Times New Roman"/>
                <w:b/>
                <w:bCs/>
                <w:sz w:val="20"/>
                <w:szCs w:val="20"/>
              </w:rPr>
              <w:t>Tổng dân số kể cả các thành phần dân số khác (người)</w:t>
            </w:r>
          </w:p>
        </w:tc>
        <w:tc>
          <w:tcPr>
            <w:tcW w:w="918" w:type="dxa"/>
            <w:tcBorders>
              <w:top w:val="nil"/>
              <w:left w:val="nil"/>
              <w:bottom w:val="single" w:sz="4" w:space="0" w:color="auto"/>
              <w:right w:val="single" w:sz="4" w:space="0" w:color="auto"/>
            </w:tcBorders>
            <w:shd w:val="clear" w:color="auto" w:fill="auto"/>
            <w:hideMark/>
          </w:tcPr>
          <w:p w14:paraId="519B30D7" w14:textId="77777777" w:rsidR="003270A4" w:rsidRPr="008E63BB" w:rsidRDefault="003270A4" w:rsidP="003270A4">
            <w:pPr>
              <w:jc w:val="right"/>
              <w:rPr>
                <w:rFonts w:eastAsia="Times New Roman"/>
                <w:b/>
                <w:bCs/>
                <w:sz w:val="20"/>
                <w:szCs w:val="20"/>
              </w:rPr>
            </w:pPr>
            <w:r w:rsidRPr="008E63BB">
              <w:rPr>
                <w:rFonts w:eastAsia="Times New Roman"/>
                <w:b/>
                <w:bCs/>
                <w:sz w:val="20"/>
                <w:szCs w:val="20"/>
              </w:rPr>
              <w:t>323.243</w:t>
            </w:r>
          </w:p>
        </w:tc>
        <w:tc>
          <w:tcPr>
            <w:tcW w:w="866" w:type="dxa"/>
            <w:tcBorders>
              <w:top w:val="nil"/>
              <w:left w:val="nil"/>
              <w:bottom w:val="single" w:sz="4" w:space="0" w:color="auto"/>
              <w:right w:val="single" w:sz="4" w:space="0" w:color="auto"/>
            </w:tcBorders>
            <w:shd w:val="clear" w:color="auto" w:fill="auto"/>
            <w:hideMark/>
          </w:tcPr>
          <w:p w14:paraId="519B30D8" w14:textId="77777777" w:rsidR="003270A4" w:rsidRPr="008E63BB" w:rsidRDefault="003270A4" w:rsidP="003270A4">
            <w:pPr>
              <w:jc w:val="right"/>
              <w:rPr>
                <w:rFonts w:eastAsia="Times New Roman"/>
                <w:b/>
                <w:bCs/>
                <w:sz w:val="20"/>
                <w:szCs w:val="20"/>
              </w:rPr>
            </w:pPr>
            <w:r w:rsidRPr="008E63BB">
              <w:rPr>
                <w:b/>
                <w:bCs/>
                <w:sz w:val="20"/>
                <w:szCs w:val="20"/>
              </w:rPr>
              <w:t>398.188</w:t>
            </w:r>
          </w:p>
        </w:tc>
        <w:tc>
          <w:tcPr>
            <w:tcW w:w="899" w:type="dxa"/>
            <w:tcBorders>
              <w:top w:val="nil"/>
              <w:left w:val="nil"/>
              <w:bottom w:val="single" w:sz="4" w:space="0" w:color="auto"/>
              <w:right w:val="single" w:sz="4" w:space="0" w:color="auto"/>
            </w:tcBorders>
            <w:shd w:val="clear" w:color="auto" w:fill="auto"/>
            <w:hideMark/>
          </w:tcPr>
          <w:p w14:paraId="519B30D9" w14:textId="77777777" w:rsidR="003270A4" w:rsidRPr="008E63BB" w:rsidRDefault="003270A4" w:rsidP="003270A4">
            <w:pPr>
              <w:jc w:val="right"/>
              <w:rPr>
                <w:rFonts w:eastAsia="Times New Roman"/>
                <w:b/>
                <w:bCs/>
                <w:sz w:val="20"/>
                <w:szCs w:val="20"/>
              </w:rPr>
            </w:pPr>
            <w:r w:rsidRPr="008E63BB">
              <w:rPr>
                <w:b/>
                <w:bCs/>
                <w:sz w:val="20"/>
                <w:szCs w:val="20"/>
              </w:rPr>
              <w:t>520.000</w:t>
            </w:r>
          </w:p>
        </w:tc>
        <w:tc>
          <w:tcPr>
            <w:tcW w:w="880" w:type="dxa"/>
            <w:tcBorders>
              <w:top w:val="nil"/>
              <w:left w:val="nil"/>
              <w:bottom w:val="single" w:sz="4" w:space="0" w:color="auto"/>
              <w:right w:val="single" w:sz="4" w:space="0" w:color="auto"/>
            </w:tcBorders>
            <w:shd w:val="clear" w:color="auto" w:fill="auto"/>
            <w:hideMark/>
          </w:tcPr>
          <w:p w14:paraId="519B30DA" w14:textId="77777777" w:rsidR="003270A4" w:rsidRPr="008E63BB" w:rsidRDefault="003270A4" w:rsidP="003270A4">
            <w:pPr>
              <w:jc w:val="right"/>
              <w:rPr>
                <w:rFonts w:eastAsia="Times New Roman"/>
                <w:b/>
                <w:bCs/>
                <w:sz w:val="20"/>
                <w:szCs w:val="20"/>
              </w:rPr>
            </w:pPr>
            <w:r w:rsidRPr="008E63BB">
              <w:rPr>
                <w:b/>
                <w:bCs/>
                <w:sz w:val="20"/>
                <w:szCs w:val="20"/>
              </w:rPr>
              <w:t>600.000</w:t>
            </w:r>
          </w:p>
        </w:tc>
        <w:tc>
          <w:tcPr>
            <w:tcW w:w="918" w:type="dxa"/>
            <w:tcBorders>
              <w:top w:val="nil"/>
              <w:left w:val="nil"/>
              <w:bottom w:val="single" w:sz="4" w:space="0" w:color="auto"/>
              <w:right w:val="single" w:sz="4" w:space="0" w:color="auto"/>
            </w:tcBorders>
            <w:shd w:val="clear" w:color="auto" w:fill="auto"/>
            <w:hideMark/>
          </w:tcPr>
          <w:p w14:paraId="519B30DB" w14:textId="77777777" w:rsidR="003270A4" w:rsidRPr="008E63BB" w:rsidRDefault="003270A4" w:rsidP="003270A4">
            <w:pPr>
              <w:jc w:val="right"/>
              <w:rPr>
                <w:rFonts w:eastAsia="Times New Roman"/>
                <w:b/>
                <w:bCs/>
                <w:sz w:val="20"/>
                <w:szCs w:val="20"/>
              </w:rPr>
            </w:pPr>
            <w:r w:rsidRPr="008E63BB">
              <w:rPr>
                <w:b/>
                <w:bCs/>
                <w:sz w:val="20"/>
                <w:szCs w:val="20"/>
              </w:rPr>
              <w:t>665.000</w:t>
            </w:r>
          </w:p>
        </w:tc>
      </w:tr>
      <w:tr w:rsidR="003270A4" w:rsidRPr="008E63BB" w14:paraId="519B30E4"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0DD" w14:textId="77777777" w:rsidR="003270A4" w:rsidRPr="008E63BB" w:rsidRDefault="003270A4" w:rsidP="003270A4">
            <w:pPr>
              <w:jc w:val="center"/>
              <w:rPr>
                <w:rFonts w:eastAsia="Times New Roman"/>
                <w:b/>
                <w:bCs/>
                <w:sz w:val="20"/>
                <w:szCs w:val="20"/>
              </w:rPr>
            </w:pPr>
            <w:r w:rsidRPr="008E63BB">
              <w:rPr>
                <w:rFonts w:eastAsia="Times New Roman"/>
                <w:b/>
                <w:bCs/>
                <w:sz w:val="20"/>
                <w:szCs w:val="20"/>
              </w:rPr>
              <w:t>1</w:t>
            </w:r>
          </w:p>
        </w:tc>
        <w:tc>
          <w:tcPr>
            <w:tcW w:w="4299" w:type="dxa"/>
            <w:tcBorders>
              <w:top w:val="nil"/>
              <w:left w:val="nil"/>
              <w:bottom w:val="single" w:sz="4" w:space="0" w:color="auto"/>
              <w:right w:val="single" w:sz="4" w:space="0" w:color="auto"/>
            </w:tcBorders>
            <w:shd w:val="clear" w:color="auto" w:fill="auto"/>
            <w:hideMark/>
          </w:tcPr>
          <w:p w14:paraId="519B30DE" w14:textId="77777777" w:rsidR="003270A4" w:rsidRPr="008E63BB" w:rsidRDefault="003270A4" w:rsidP="003270A4">
            <w:pPr>
              <w:jc w:val="left"/>
              <w:rPr>
                <w:rFonts w:eastAsia="Times New Roman"/>
                <w:b/>
                <w:bCs/>
                <w:sz w:val="20"/>
                <w:szCs w:val="20"/>
              </w:rPr>
            </w:pPr>
            <w:r w:rsidRPr="008E63BB">
              <w:rPr>
                <w:rFonts w:eastAsia="Times New Roman"/>
                <w:b/>
                <w:bCs/>
                <w:sz w:val="20"/>
                <w:szCs w:val="20"/>
              </w:rPr>
              <w:t>Tổng dân số (người)</w:t>
            </w:r>
          </w:p>
        </w:tc>
        <w:tc>
          <w:tcPr>
            <w:tcW w:w="918" w:type="dxa"/>
            <w:tcBorders>
              <w:top w:val="nil"/>
              <w:left w:val="nil"/>
              <w:bottom w:val="single" w:sz="4" w:space="0" w:color="auto"/>
              <w:right w:val="single" w:sz="4" w:space="0" w:color="auto"/>
            </w:tcBorders>
            <w:shd w:val="clear" w:color="auto" w:fill="auto"/>
            <w:hideMark/>
          </w:tcPr>
          <w:p w14:paraId="519B30DF" w14:textId="77777777" w:rsidR="003270A4" w:rsidRPr="008E63BB" w:rsidRDefault="003270A4" w:rsidP="003270A4">
            <w:pPr>
              <w:jc w:val="right"/>
              <w:rPr>
                <w:rFonts w:eastAsia="Times New Roman"/>
                <w:b/>
                <w:bCs/>
                <w:sz w:val="20"/>
                <w:szCs w:val="20"/>
              </w:rPr>
            </w:pPr>
            <w:r w:rsidRPr="008E63BB">
              <w:rPr>
                <w:rFonts w:eastAsia="Times New Roman"/>
                <w:b/>
                <w:bCs/>
                <w:sz w:val="20"/>
                <w:szCs w:val="20"/>
              </w:rPr>
              <w:t>323.243</w:t>
            </w:r>
          </w:p>
        </w:tc>
        <w:tc>
          <w:tcPr>
            <w:tcW w:w="866" w:type="dxa"/>
            <w:tcBorders>
              <w:top w:val="nil"/>
              <w:left w:val="nil"/>
              <w:bottom w:val="single" w:sz="4" w:space="0" w:color="auto"/>
              <w:right w:val="single" w:sz="4" w:space="0" w:color="auto"/>
            </w:tcBorders>
            <w:shd w:val="clear" w:color="auto" w:fill="auto"/>
            <w:hideMark/>
          </w:tcPr>
          <w:p w14:paraId="519B30E0" w14:textId="77777777" w:rsidR="003270A4" w:rsidRPr="008E63BB" w:rsidRDefault="003270A4" w:rsidP="003270A4">
            <w:pPr>
              <w:jc w:val="right"/>
              <w:rPr>
                <w:rFonts w:eastAsia="Times New Roman"/>
                <w:b/>
                <w:bCs/>
                <w:sz w:val="20"/>
                <w:szCs w:val="20"/>
              </w:rPr>
            </w:pPr>
            <w:r w:rsidRPr="008E63BB">
              <w:rPr>
                <w:b/>
                <w:bCs/>
                <w:sz w:val="20"/>
                <w:szCs w:val="20"/>
              </w:rPr>
              <w:t>398.188</w:t>
            </w:r>
          </w:p>
        </w:tc>
        <w:tc>
          <w:tcPr>
            <w:tcW w:w="899" w:type="dxa"/>
            <w:tcBorders>
              <w:top w:val="nil"/>
              <w:left w:val="nil"/>
              <w:bottom w:val="single" w:sz="4" w:space="0" w:color="auto"/>
              <w:right w:val="single" w:sz="4" w:space="0" w:color="auto"/>
            </w:tcBorders>
            <w:shd w:val="clear" w:color="auto" w:fill="auto"/>
            <w:hideMark/>
          </w:tcPr>
          <w:p w14:paraId="519B30E1" w14:textId="77777777" w:rsidR="003270A4" w:rsidRPr="008E63BB" w:rsidRDefault="003270A4" w:rsidP="003270A4">
            <w:pPr>
              <w:jc w:val="right"/>
              <w:rPr>
                <w:rFonts w:eastAsia="Times New Roman"/>
                <w:b/>
                <w:bCs/>
                <w:sz w:val="20"/>
                <w:szCs w:val="20"/>
              </w:rPr>
            </w:pPr>
            <w:r w:rsidRPr="008E63BB">
              <w:rPr>
                <w:b/>
                <w:bCs/>
                <w:sz w:val="20"/>
                <w:szCs w:val="20"/>
              </w:rPr>
              <w:t>475.000</w:t>
            </w:r>
          </w:p>
        </w:tc>
        <w:tc>
          <w:tcPr>
            <w:tcW w:w="880" w:type="dxa"/>
            <w:tcBorders>
              <w:top w:val="nil"/>
              <w:left w:val="nil"/>
              <w:bottom w:val="single" w:sz="4" w:space="0" w:color="auto"/>
              <w:right w:val="single" w:sz="4" w:space="0" w:color="auto"/>
            </w:tcBorders>
            <w:shd w:val="clear" w:color="auto" w:fill="auto"/>
            <w:hideMark/>
          </w:tcPr>
          <w:p w14:paraId="519B30E2" w14:textId="77777777" w:rsidR="003270A4" w:rsidRPr="008E63BB" w:rsidRDefault="003270A4" w:rsidP="003270A4">
            <w:pPr>
              <w:jc w:val="right"/>
              <w:rPr>
                <w:rFonts w:eastAsia="Times New Roman"/>
                <w:b/>
                <w:bCs/>
                <w:sz w:val="20"/>
                <w:szCs w:val="20"/>
              </w:rPr>
            </w:pPr>
            <w:r w:rsidRPr="008E63BB">
              <w:rPr>
                <w:b/>
                <w:bCs/>
                <w:sz w:val="20"/>
                <w:szCs w:val="20"/>
              </w:rPr>
              <w:t>545.000</w:t>
            </w:r>
          </w:p>
        </w:tc>
        <w:tc>
          <w:tcPr>
            <w:tcW w:w="918" w:type="dxa"/>
            <w:tcBorders>
              <w:top w:val="nil"/>
              <w:left w:val="nil"/>
              <w:bottom w:val="single" w:sz="4" w:space="0" w:color="auto"/>
              <w:right w:val="single" w:sz="4" w:space="0" w:color="auto"/>
            </w:tcBorders>
            <w:shd w:val="clear" w:color="auto" w:fill="auto"/>
            <w:hideMark/>
          </w:tcPr>
          <w:p w14:paraId="519B30E3" w14:textId="77777777" w:rsidR="003270A4" w:rsidRPr="008E63BB" w:rsidRDefault="003270A4" w:rsidP="003270A4">
            <w:pPr>
              <w:jc w:val="right"/>
              <w:rPr>
                <w:rFonts w:eastAsia="Times New Roman"/>
                <w:b/>
                <w:bCs/>
                <w:sz w:val="20"/>
                <w:szCs w:val="20"/>
              </w:rPr>
            </w:pPr>
            <w:r w:rsidRPr="008E63BB">
              <w:rPr>
                <w:b/>
                <w:bCs/>
                <w:sz w:val="20"/>
                <w:szCs w:val="20"/>
              </w:rPr>
              <w:t>600.000</w:t>
            </w:r>
          </w:p>
        </w:tc>
      </w:tr>
      <w:tr w:rsidR="003270A4" w:rsidRPr="008E63BB" w14:paraId="519B30EC"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0E5" w14:textId="77777777" w:rsidR="003270A4" w:rsidRPr="008E63BB" w:rsidRDefault="003270A4" w:rsidP="003270A4">
            <w:pPr>
              <w:jc w:val="center"/>
              <w:rPr>
                <w:rFonts w:eastAsia="Times New Roman"/>
                <w:sz w:val="20"/>
                <w:szCs w:val="20"/>
              </w:rPr>
            </w:pPr>
            <w:r w:rsidRPr="008E63BB">
              <w:rPr>
                <w:rFonts w:eastAsia="Times New Roman"/>
                <w:sz w:val="20"/>
                <w:szCs w:val="20"/>
              </w:rPr>
              <w:t>-</w:t>
            </w:r>
          </w:p>
        </w:tc>
        <w:tc>
          <w:tcPr>
            <w:tcW w:w="4299" w:type="dxa"/>
            <w:tcBorders>
              <w:top w:val="nil"/>
              <w:left w:val="nil"/>
              <w:bottom w:val="single" w:sz="4" w:space="0" w:color="auto"/>
              <w:right w:val="single" w:sz="4" w:space="0" w:color="auto"/>
            </w:tcBorders>
            <w:shd w:val="clear" w:color="auto" w:fill="auto"/>
            <w:hideMark/>
          </w:tcPr>
          <w:p w14:paraId="519B30E6" w14:textId="77777777" w:rsidR="003270A4" w:rsidRPr="008E63BB" w:rsidRDefault="003270A4" w:rsidP="003270A4">
            <w:pPr>
              <w:jc w:val="left"/>
              <w:rPr>
                <w:rFonts w:eastAsia="Times New Roman"/>
                <w:sz w:val="20"/>
                <w:szCs w:val="20"/>
              </w:rPr>
            </w:pPr>
            <w:r w:rsidRPr="008E63BB">
              <w:rPr>
                <w:rFonts w:eastAsia="Times New Roman"/>
                <w:sz w:val="20"/>
                <w:szCs w:val="20"/>
              </w:rPr>
              <w:t>Tỷ lệ tăng trung bình, %/năm</w:t>
            </w:r>
          </w:p>
        </w:tc>
        <w:tc>
          <w:tcPr>
            <w:tcW w:w="918" w:type="dxa"/>
            <w:tcBorders>
              <w:top w:val="nil"/>
              <w:left w:val="nil"/>
              <w:bottom w:val="single" w:sz="4" w:space="0" w:color="auto"/>
              <w:right w:val="single" w:sz="4" w:space="0" w:color="auto"/>
            </w:tcBorders>
            <w:shd w:val="clear" w:color="auto" w:fill="auto"/>
            <w:hideMark/>
          </w:tcPr>
          <w:p w14:paraId="519B30E7" w14:textId="77777777" w:rsidR="003270A4" w:rsidRPr="008E63BB" w:rsidRDefault="003270A4" w:rsidP="003270A4">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0E8" w14:textId="77777777" w:rsidR="003270A4" w:rsidRPr="008E63BB" w:rsidRDefault="003270A4" w:rsidP="003270A4">
            <w:pPr>
              <w:jc w:val="right"/>
              <w:rPr>
                <w:rFonts w:eastAsia="Times New Roman"/>
                <w:sz w:val="20"/>
                <w:szCs w:val="20"/>
              </w:rPr>
            </w:pPr>
            <w:r w:rsidRPr="008E63BB">
              <w:rPr>
                <w:sz w:val="20"/>
                <w:szCs w:val="20"/>
              </w:rPr>
              <w:t>1,91</w:t>
            </w:r>
          </w:p>
        </w:tc>
        <w:tc>
          <w:tcPr>
            <w:tcW w:w="899" w:type="dxa"/>
            <w:tcBorders>
              <w:top w:val="nil"/>
              <w:left w:val="nil"/>
              <w:bottom w:val="single" w:sz="4" w:space="0" w:color="auto"/>
              <w:right w:val="single" w:sz="4" w:space="0" w:color="auto"/>
            </w:tcBorders>
            <w:shd w:val="clear" w:color="auto" w:fill="auto"/>
            <w:hideMark/>
          </w:tcPr>
          <w:p w14:paraId="519B30E9" w14:textId="77777777" w:rsidR="003270A4" w:rsidRPr="008E63BB" w:rsidRDefault="003270A4" w:rsidP="003270A4">
            <w:pPr>
              <w:jc w:val="right"/>
              <w:rPr>
                <w:rFonts w:eastAsia="Times New Roman"/>
                <w:sz w:val="20"/>
                <w:szCs w:val="20"/>
              </w:rPr>
            </w:pPr>
            <w:r w:rsidRPr="008E63BB">
              <w:rPr>
                <w:sz w:val="20"/>
                <w:szCs w:val="20"/>
              </w:rPr>
              <w:t>1,62</w:t>
            </w:r>
          </w:p>
        </w:tc>
        <w:tc>
          <w:tcPr>
            <w:tcW w:w="880" w:type="dxa"/>
            <w:tcBorders>
              <w:top w:val="nil"/>
              <w:left w:val="nil"/>
              <w:bottom w:val="single" w:sz="4" w:space="0" w:color="auto"/>
              <w:right w:val="single" w:sz="4" w:space="0" w:color="auto"/>
            </w:tcBorders>
            <w:shd w:val="clear" w:color="auto" w:fill="auto"/>
            <w:hideMark/>
          </w:tcPr>
          <w:p w14:paraId="519B30EA" w14:textId="77777777" w:rsidR="003270A4" w:rsidRPr="008E63BB" w:rsidRDefault="003270A4" w:rsidP="003270A4">
            <w:pPr>
              <w:jc w:val="right"/>
              <w:rPr>
                <w:rFonts w:eastAsia="Times New Roman"/>
                <w:sz w:val="20"/>
                <w:szCs w:val="20"/>
              </w:rPr>
            </w:pPr>
            <w:r w:rsidRPr="008E63BB">
              <w:rPr>
                <w:sz w:val="20"/>
                <w:szCs w:val="20"/>
              </w:rPr>
              <w:t>1,38</w:t>
            </w:r>
          </w:p>
        </w:tc>
        <w:tc>
          <w:tcPr>
            <w:tcW w:w="918" w:type="dxa"/>
            <w:tcBorders>
              <w:top w:val="nil"/>
              <w:left w:val="nil"/>
              <w:bottom w:val="single" w:sz="4" w:space="0" w:color="auto"/>
              <w:right w:val="single" w:sz="4" w:space="0" w:color="auto"/>
            </w:tcBorders>
            <w:shd w:val="clear" w:color="auto" w:fill="auto"/>
            <w:hideMark/>
          </w:tcPr>
          <w:p w14:paraId="519B30EB" w14:textId="77777777" w:rsidR="003270A4" w:rsidRPr="008E63BB" w:rsidRDefault="003270A4" w:rsidP="003270A4">
            <w:pPr>
              <w:jc w:val="right"/>
              <w:rPr>
                <w:rFonts w:eastAsia="Times New Roman"/>
                <w:sz w:val="20"/>
                <w:szCs w:val="20"/>
              </w:rPr>
            </w:pPr>
            <w:r w:rsidRPr="008E63BB">
              <w:rPr>
                <w:sz w:val="20"/>
                <w:szCs w:val="20"/>
              </w:rPr>
              <w:t>0,97</w:t>
            </w:r>
          </w:p>
        </w:tc>
      </w:tr>
      <w:tr w:rsidR="003270A4" w:rsidRPr="008E63BB" w14:paraId="519B30F4"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0ED" w14:textId="77777777" w:rsidR="003270A4" w:rsidRPr="008E63BB" w:rsidRDefault="003270A4" w:rsidP="003270A4">
            <w:pPr>
              <w:jc w:val="center"/>
              <w:rPr>
                <w:rFonts w:eastAsia="Times New Roman"/>
                <w:sz w:val="20"/>
                <w:szCs w:val="20"/>
              </w:rPr>
            </w:pPr>
            <w:r w:rsidRPr="008E63BB">
              <w:rPr>
                <w:rFonts w:eastAsia="Times New Roman"/>
                <w:sz w:val="20"/>
                <w:szCs w:val="20"/>
              </w:rPr>
              <w:lastRenderedPageBreak/>
              <w:t> </w:t>
            </w:r>
          </w:p>
        </w:tc>
        <w:tc>
          <w:tcPr>
            <w:tcW w:w="4299" w:type="dxa"/>
            <w:tcBorders>
              <w:top w:val="nil"/>
              <w:left w:val="nil"/>
              <w:bottom w:val="single" w:sz="4" w:space="0" w:color="auto"/>
              <w:right w:val="single" w:sz="4" w:space="0" w:color="auto"/>
            </w:tcBorders>
            <w:shd w:val="clear" w:color="auto" w:fill="auto"/>
            <w:hideMark/>
          </w:tcPr>
          <w:p w14:paraId="519B30EE" w14:textId="77777777" w:rsidR="003270A4" w:rsidRPr="008E63BB" w:rsidRDefault="003270A4" w:rsidP="003270A4">
            <w:pPr>
              <w:jc w:val="left"/>
              <w:rPr>
                <w:rFonts w:eastAsia="Times New Roman"/>
                <w:sz w:val="20"/>
                <w:szCs w:val="20"/>
              </w:rPr>
            </w:pPr>
            <w:r w:rsidRPr="008E63BB">
              <w:rPr>
                <w:rFonts w:eastAsia="Times New Roman"/>
                <w:sz w:val="20"/>
                <w:szCs w:val="20"/>
              </w:rPr>
              <w:t xml:space="preserve"> + tỷ lệ tăng tự nhiên, %/năm</w:t>
            </w:r>
          </w:p>
        </w:tc>
        <w:tc>
          <w:tcPr>
            <w:tcW w:w="918" w:type="dxa"/>
            <w:tcBorders>
              <w:top w:val="nil"/>
              <w:left w:val="nil"/>
              <w:bottom w:val="single" w:sz="4" w:space="0" w:color="auto"/>
              <w:right w:val="single" w:sz="4" w:space="0" w:color="auto"/>
            </w:tcBorders>
            <w:shd w:val="clear" w:color="auto" w:fill="auto"/>
            <w:hideMark/>
          </w:tcPr>
          <w:p w14:paraId="519B30EF" w14:textId="77777777" w:rsidR="003270A4" w:rsidRPr="008E63BB" w:rsidRDefault="003270A4" w:rsidP="003270A4">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0F0" w14:textId="77777777" w:rsidR="003270A4" w:rsidRPr="008E63BB" w:rsidRDefault="003270A4" w:rsidP="003270A4">
            <w:pPr>
              <w:jc w:val="right"/>
              <w:rPr>
                <w:rFonts w:eastAsia="Times New Roman"/>
                <w:sz w:val="20"/>
                <w:szCs w:val="20"/>
              </w:rPr>
            </w:pPr>
            <w:r w:rsidRPr="008E63BB">
              <w:rPr>
                <w:sz w:val="20"/>
                <w:szCs w:val="20"/>
              </w:rPr>
              <w:t>1,00</w:t>
            </w:r>
          </w:p>
        </w:tc>
        <w:tc>
          <w:tcPr>
            <w:tcW w:w="899" w:type="dxa"/>
            <w:tcBorders>
              <w:top w:val="nil"/>
              <w:left w:val="nil"/>
              <w:bottom w:val="single" w:sz="4" w:space="0" w:color="auto"/>
              <w:right w:val="single" w:sz="4" w:space="0" w:color="auto"/>
            </w:tcBorders>
            <w:shd w:val="clear" w:color="auto" w:fill="auto"/>
            <w:hideMark/>
          </w:tcPr>
          <w:p w14:paraId="519B30F1" w14:textId="77777777" w:rsidR="003270A4" w:rsidRPr="008E63BB" w:rsidRDefault="003270A4" w:rsidP="003270A4">
            <w:pPr>
              <w:jc w:val="right"/>
              <w:rPr>
                <w:rFonts w:eastAsia="Times New Roman"/>
                <w:sz w:val="20"/>
                <w:szCs w:val="20"/>
              </w:rPr>
            </w:pPr>
            <w:r w:rsidRPr="008E63BB">
              <w:rPr>
                <w:sz w:val="20"/>
                <w:szCs w:val="20"/>
              </w:rPr>
              <w:t>1,00</w:t>
            </w:r>
          </w:p>
        </w:tc>
        <w:tc>
          <w:tcPr>
            <w:tcW w:w="880" w:type="dxa"/>
            <w:tcBorders>
              <w:top w:val="nil"/>
              <w:left w:val="nil"/>
              <w:bottom w:val="single" w:sz="4" w:space="0" w:color="auto"/>
              <w:right w:val="single" w:sz="4" w:space="0" w:color="auto"/>
            </w:tcBorders>
            <w:shd w:val="clear" w:color="auto" w:fill="auto"/>
            <w:hideMark/>
          </w:tcPr>
          <w:p w14:paraId="519B30F2" w14:textId="77777777" w:rsidR="003270A4" w:rsidRPr="008E63BB" w:rsidRDefault="003270A4" w:rsidP="003270A4">
            <w:pPr>
              <w:jc w:val="right"/>
              <w:rPr>
                <w:rFonts w:eastAsia="Times New Roman"/>
                <w:sz w:val="20"/>
                <w:szCs w:val="20"/>
              </w:rPr>
            </w:pPr>
            <w:r w:rsidRPr="008E63BB">
              <w:rPr>
                <w:sz w:val="20"/>
                <w:szCs w:val="20"/>
              </w:rPr>
              <w:t>0,95</w:t>
            </w:r>
          </w:p>
        </w:tc>
        <w:tc>
          <w:tcPr>
            <w:tcW w:w="918" w:type="dxa"/>
            <w:tcBorders>
              <w:top w:val="nil"/>
              <w:left w:val="nil"/>
              <w:bottom w:val="single" w:sz="4" w:space="0" w:color="auto"/>
              <w:right w:val="single" w:sz="4" w:space="0" w:color="auto"/>
            </w:tcBorders>
            <w:shd w:val="clear" w:color="auto" w:fill="auto"/>
            <w:hideMark/>
          </w:tcPr>
          <w:p w14:paraId="519B30F3" w14:textId="77777777" w:rsidR="003270A4" w:rsidRPr="008E63BB" w:rsidRDefault="003270A4" w:rsidP="003270A4">
            <w:pPr>
              <w:jc w:val="right"/>
              <w:rPr>
                <w:rFonts w:eastAsia="Times New Roman"/>
                <w:sz w:val="20"/>
                <w:szCs w:val="20"/>
              </w:rPr>
            </w:pPr>
            <w:r w:rsidRPr="008E63BB">
              <w:rPr>
                <w:sz w:val="20"/>
                <w:szCs w:val="20"/>
              </w:rPr>
              <w:t>0,95</w:t>
            </w:r>
          </w:p>
        </w:tc>
      </w:tr>
      <w:tr w:rsidR="003270A4" w:rsidRPr="008E63BB" w14:paraId="519B30FC"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0F5" w14:textId="77777777" w:rsidR="003270A4" w:rsidRPr="008E63BB" w:rsidRDefault="003270A4" w:rsidP="003270A4">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0F6" w14:textId="77777777" w:rsidR="003270A4" w:rsidRPr="008E63BB" w:rsidRDefault="003270A4" w:rsidP="003270A4">
            <w:pPr>
              <w:jc w:val="left"/>
              <w:rPr>
                <w:rFonts w:eastAsia="Times New Roman"/>
                <w:sz w:val="20"/>
                <w:szCs w:val="20"/>
              </w:rPr>
            </w:pPr>
            <w:r w:rsidRPr="008E63BB">
              <w:rPr>
                <w:rFonts w:eastAsia="Times New Roman"/>
                <w:sz w:val="20"/>
                <w:szCs w:val="20"/>
              </w:rPr>
              <w:t xml:space="preserve"> + tỷ lệ tăng cơ học do nhập cư, %/năm</w:t>
            </w:r>
          </w:p>
        </w:tc>
        <w:tc>
          <w:tcPr>
            <w:tcW w:w="918" w:type="dxa"/>
            <w:tcBorders>
              <w:top w:val="nil"/>
              <w:left w:val="nil"/>
              <w:bottom w:val="single" w:sz="4" w:space="0" w:color="auto"/>
              <w:right w:val="single" w:sz="4" w:space="0" w:color="auto"/>
            </w:tcBorders>
            <w:shd w:val="clear" w:color="auto" w:fill="auto"/>
            <w:hideMark/>
          </w:tcPr>
          <w:p w14:paraId="519B30F7" w14:textId="77777777" w:rsidR="003270A4" w:rsidRPr="008E63BB" w:rsidRDefault="003270A4" w:rsidP="003270A4">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0F8" w14:textId="77777777" w:rsidR="003270A4" w:rsidRPr="008E63BB" w:rsidRDefault="003270A4" w:rsidP="003270A4">
            <w:pPr>
              <w:jc w:val="right"/>
              <w:rPr>
                <w:rFonts w:eastAsia="Times New Roman"/>
                <w:sz w:val="20"/>
                <w:szCs w:val="20"/>
              </w:rPr>
            </w:pPr>
            <w:r w:rsidRPr="008E63BB">
              <w:rPr>
                <w:sz w:val="20"/>
                <w:szCs w:val="20"/>
              </w:rPr>
              <w:t>0,91</w:t>
            </w:r>
          </w:p>
        </w:tc>
        <w:tc>
          <w:tcPr>
            <w:tcW w:w="899" w:type="dxa"/>
            <w:tcBorders>
              <w:top w:val="nil"/>
              <w:left w:val="nil"/>
              <w:bottom w:val="single" w:sz="4" w:space="0" w:color="auto"/>
              <w:right w:val="single" w:sz="4" w:space="0" w:color="auto"/>
            </w:tcBorders>
            <w:shd w:val="clear" w:color="auto" w:fill="auto"/>
            <w:hideMark/>
          </w:tcPr>
          <w:p w14:paraId="519B30F9" w14:textId="77777777" w:rsidR="003270A4" w:rsidRPr="008E63BB" w:rsidRDefault="003270A4" w:rsidP="003270A4">
            <w:pPr>
              <w:jc w:val="right"/>
              <w:rPr>
                <w:rFonts w:eastAsia="Times New Roman"/>
                <w:sz w:val="20"/>
                <w:szCs w:val="20"/>
              </w:rPr>
            </w:pPr>
            <w:r w:rsidRPr="008E63BB">
              <w:rPr>
                <w:sz w:val="20"/>
                <w:szCs w:val="20"/>
              </w:rPr>
              <w:t>0,62</w:t>
            </w:r>
          </w:p>
        </w:tc>
        <w:tc>
          <w:tcPr>
            <w:tcW w:w="880" w:type="dxa"/>
            <w:tcBorders>
              <w:top w:val="nil"/>
              <w:left w:val="nil"/>
              <w:bottom w:val="single" w:sz="4" w:space="0" w:color="auto"/>
              <w:right w:val="single" w:sz="4" w:space="0" w:color="auto"/>
            </w:tcBorders>
            <w:shd w:val="clear" w:color="auto" w:fill="auto"/>
            <w:hideMark/>
          </w:tcPr>
          <w:p w14:paraId="519B30FA" w14:textId="77777777" w:rsidR="003270A4" w:rsidRPr="008E63BB" w:rsidRDefault="003270A4" w:rsidP="003270A4">
            <w:pPr>
              <w:jc w:val="right"/>
              <w:rPr>
                <w:rFonts w:eastAsia="Times New Roman"/>
                <w:sz w:val="20"/>
                <w:szCs w:val="20"/>
              </w:rPr>
            </w:pPr>
            <w:r w:rsidRPr="008E63BB">
              <w:rPr>
                <w:sz w:val="20"/>
                <w:szCs w:val="20"/>
              </w:rPr>
              <w:t>0,43</w:t>
            </w:r>
          </w:p>
        </w:tc>
        <w:tc>
          <w:tcPr>
            <w:tcW w:w="918" w:type="dxa"/>
            <w:tcBorders>
              <w:top w:val="nil"/>
              <w:left w:val="nil"/>
              <w:bottom w:val="single" w:sz="4" w:space="0" w:color="auto"/>
              <w:right w:val="single" w:sz="4" w:space="0" w:color="auto"/>
            </w:tcBorders>
            <w:shd w:val="clear" w:color="auto" w:fill="auto"/>
            <w:hideMark/>
          </w:tcPr>
          <w:p w14:paraId="519B30FB" w14:textId="77777777" w:rsidR="003270A4" w:rsidRPr="008E63BB" w:rsidRDefault="003270A4" w:rsidP="003270A4">
            <w:pPr>
              <w:jc w:val="right"/>
              <w:rPr>
                <w:rFonts w:eastAsia="Times New Roman"/>
                <w:sz w:val="20"/>
                <w:szCs w:val="20"/>
              </w:rPr>
            </w:pPr>
            <w:r w:rsidRPr="008E63BB">
              <w:rPr>
                <w:sz w:val="20"/>
                <w:szCs w:val="20"/>
              </w:rPr>
              <w:t>0,02</w:t>
            </w:r>
          </w:p>
        </w:tc>
      </w:tr>
      <w:tr w:rsidR="00E63C68" w:rsidRPr="008E63BB" w14:paraId="519B3104"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0FD"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w:t>
            </w:r>
          </w:p>
        </w:tc>
        <w:tc>
          <w:tcPr>
            <w:tcW w:w="4299" w:type="dxa"/>
            <w:tcBorders>
              <w:top w:val="nil"/>
              <w:left w:val="nil"/>
              <w:bottom w:val="single" w:sz="4" w:space="0" w:color="auto"/>
              <w:right w:val="single" w:sz="4" w:space="0" w:color="auto"/>
            </w:tcBorders>
            <w:shd w:val="clear" w:color="auto" w:fill="auto"/>
            <w:hideMark/>
          </w:tcPr>
          <w:p w14:paraId="519B30FE"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Dân số nội thành (người)</w:t>
            </w:r>
          </w:p>
        </w:tc>
        <w:tc>
          <w:tcPr>
            <w:tcW w:w="918" w:type="dxa"/>
            <w:tcBorders>
              <w:top w:val="nil"/>
              <w:left w:val="nil"/>
              <w:bottom w:val="single" w:sz="4" w:space="0" w:color="auto"/>
              <w:right w:val="single" w:sz="4" w:space="0" w:color="auto"/>
            </w:tcBorders>
            <w:shd w:val="clear" w:color="auto" w:fill="auto"/>
            <w:hideMark/>
          </w:tcPr>
          <w:p w14:paraId="519B30FF"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221.817</w:t>
            </w:r>
          </w:p>
        </w:tc>
        <w:tc>
          <w:tcPr>
            <w:tcW w:w="866" w:type="dxa"/>
            <w:tcBorders>
              <w:top w:val="nil"/>
              <w:left w:val="nil"/>
              <w:bottom w:val="single" w:sz="4" w:space="0" w:color="auto"/>
              <w:right w:val="single" w:sz="4" w:space="0" w:color="auto"/>
            </w:tcBorders>
            <w:shd w:val="clear" w:color="auto" w:fill="auto"/>
            <w:hideMark/>
          </w:tcPr>
          <w:p w14:paraId="519B3100"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235.889</w:t>
            </w:r>
          </w:p>
        </w:tc>
        <w:tc>
          <w:tcPr>
            <w:tcW w:w="899" w:type="dxa"/>
            <w:tcBorders>
              <w:top w:val="nil"/>
              <w:left w:val="nil"/>
              <w:bottom w:val="single" w:sz="4" w:space="0" w:color="auto"/>
              <w:right w:val="single" w:sz="4" w:space="0" w:color="auto"/>
            </w:tcBorders>
            <w:shd w:val="clear" w:color="auto" w:fill="auto"/>
            <w:hideMark/>
          </w:tcPr>
          <w:p w14:paraId="519B3101" w14:textId="77777777" w:rsidR="00E63C68" w:rsidRPr="008E63BB" w:rsidRDefault="00E63C68" w:rsidP="00E63C68">
            <w:pPr>
              <w:jc w:val="right"/>
              <w:rPr>
                <w:rFonts w:eastAsia="Times New Roman"/>
                <w:b/>
                <w:bCs/>
                <w:sz w:val="20"/>
                <w:szCs w:val="20"/>
              </w:rPr>
            </w:pPr>
            <w:r w:rsidRPr="008E63BB">
              <w:rPr>
                <w:b/>
                <w:bCs/>
                <w:sz w:val="20"/>
                <w:szCs w:val="20"/>
              </w:rPr>
              <w:t>384.500</w:t>
            </w:r>
          </w:p>
        </w:tc>
        <w:tc>
          <w:tcPr>
            <w:tcW w:w="880" w:type="dxa"/>
            <w:tcBorders>
              <w:top w:val="nil"/>
              <w:left w:val="nil"/>
              <w:bottom w:val="single" w:sz="4" w:space="0" w:color="auto"/>
              <w:right w:val="single" w:sz="4" w:space="0" w:color="auto"/>
            </w:tcBorders>
            <w:shd w:val="clear" w:color="auto" w:fill="auto"/>
            <w:hideMark/>
          </w:tcPr>
          <w:p w14:paraId="519B3102" w14:textId="77777777" w:rsidR="00E63C68" w:rsidRPr="008E63BB" w:rsidRDefault="00E63C68" w:rsidP="00E63C68">
            <w:pPr>
              <w:jc w:val="right"/>
              <w:rPr>
                <w:rFonts w:eastAsia="Times New Roman"/>
                <w:b/>
                <w:bCs/>
                <w:sz w:val="20"/>
                <w:szCs w:val="20"/>
              </w:rPr>
            </w:pPr>
            <w:r w:rsidRPr="008E63BB">
              <w:rPr>
                <w:b/>
                <w:bCs/>
                <w:sz w:val="20"/>
                <w:szCs w:val="20"/>
              </w:rPr>
              <w:t>485.000</w:t>
            </w:r>
          </w:p>
        </w:tc>
        <w:tc>
          <w:tcPr>
            <w:tcW w:w="918" w:type="dxa"/>
            <w:tcBorders>
              <w:top w:val="nil"/>
              <w:left w:val="nil"/>
              <w:bottom w:val="single" w:sz="4" w:space="0" w:color="auto"/>
              <w:right w:val="single" w:sz="4" w:space="0" w:color="auto"/>
            </w:tcBorders>
            <w:shd w:val="clear" w:color="auto" w:fill="auto"/>
            <w:hideMark/>
          </w:tcPr>
          <w:p w14:paraId="519B3103" w14:textId="77777777" w:rsidR="00E63C68" w:rsidRPr="008E63BB" w:rsidRDefault="00E63C68" w:rsidP="00E63C68">
            <w:pPr>
              <w:jc w:val="right"/>
              <w:rPr>
                <w:rFonts w:eastAsia="Times New Roman"/>
                <w:b/>
                <w:bCs/>
                <w:sz w:val="20"/>
                <w:szCs w:val="20"/>
              </w:rPr>
            </w:pPr>
            <w:r w:rsidRPr="008E63BB">
              <w:rPr>
                <w:b/>
                <w:bCs/>
                <w:sz w:val="20"/>
                <w:szCs w:val="20"/>
              </w:rPr>
              <w:t>555.000</w:t>
            </w:r>
          </w:p>
        </w:tc>
      </w:tr>
      <w:tr w:rsidR="00E63C68" w:rsidRPr="008E63BB" w14:paraId="519B310C" w14:textId="77777777" w:rsidTr="00E63C68">
        <w:trPr>
          <w:trHeight w:val="315"/>
        </w:trPr>
        <w:tc>
          <w:tcPr>
            <w:tcW w:w="516" w:type="dxa"/>
            <w:tcBorders>
              <w:top w:val="nil"/>
              <w:left w:val="single" w:sz="4" w:space="0" w:color="auto"/>
              <w:bottom w:val="single" w:sz="4" w:space="0" w:color="auto"/>
              <w:right w:val="single" w:sz="4" w:space="0" w:color="auto"/>
            </w:tcBorders>
            <w:shd w:val="clear" w:color="auto" w:fill="auto"/>
          </w:tcPr>
          <w:p w14:paraId="519B3105" w14:textId="77777777" w:rsidR="00E63C68" w:rsidRPr="008E63BB" w:rsidRDefault="00E63C68" w:rsidP="00E63C68">
            <w:pPr>
              <w:jc w:val="center"/>
              <w:rPr>
                <w:rFonts w:eastAsia="Times New Roman"/>
                <w:sz w:val="20"/>
                <w:szCs w:val="20"/>
              </w:rPr>
            </w:pPr>
            <w:r w:rsidRPr="008E63BB">
              <w:rPr>
                <w:rFonts w:eastAsia="Times New Roman"/>
                <w:sz w:val="20"/>
                <w:szCs w:val="20"/>
              </w:rPr>
              <w:t>-</w:t>
            </w:r>
          </w:p>
        </w:tc>
        <w:tc>
          <w:tcPr>
            <w:tcW w:w="4299" w:type="dxa"/>
            <w:tcBorders>
              <w:top w:val="nil"/>
              <w:left w:val="nil"/>
              <w:bottom w:val="single" w:sz="4" w:space="0" w:color="auto"/>
              <w:right w:val="single" w:sz="4" w:space="0" w:color="auto"/>
            </w:tcBorders>
            <w:shd w:val="clear" w:color="auto" w:fill="auto"/>
            <w:hideMark/>
          </w:tcPr>
          <w:p w14:paraId="519B3106" w14:textId="77777777" w:rsidR="00E63C68" w:rsidRPr="008E63BB" w:rsidRDefault="00E63C68" w:rsidP="00E63C68">
            <w:pPr>
              <w:jc w:val="left"/>
              <w:rPr>
                <w:rFonts w:eastAsia="Times New Roman"/>
                <w:sz w:val="20"/>
                <w:szCs w:val="20"/>
              </w:rPr>
            </w:pPr>
            <w:r w:rsidRPr="008E63BB">
              <w:rPr>
                <w:rFonts w:eastAsia="Times New Roman"/>
                <w:sz w:val="20"/>
                <w:szCs w:val="20"/>
              </w:rPr>
              <w:t>Tỷ lệ tăng dân số nội thành trung bình, %/năm</w:t>
            </w:r>
          </w:p>
        </w:tc>
        <w:tc>
          <w:tcPr>
            <w:tcW w:w="918" w:type="dxa"/>
            <w:tcBorders>
              <w:top w:val="nil"/>
              <w:left w:val="nil"/>
              <w:bottom w:val="single" w:sz="4" w:space="0" w:color="auto"/>
              <w:right w:val="single" w:sz="4" w:space="0" w:color="auto"/>
            </w:tcBorders>
            <w:shd w:val="clear" w:color="auto" w:fill="auto"/>
            <w:hideMark/>
          </w:tcPr>
          <w:p w14:paraId="519B3107" w14:textId="77777777" w:rsidR="00E63C68" w:rsidRPr="008E63BB" w:rsidRDefault="00E63C68" w:rsidP="00E63C68">
            <w:pPr>
              <w:jc w:val="center"/>
              <w:rPr>
                <w:rFonts w:eastAsia="Times New Roman"/>
                <w:sz w:val="20"/>
                <w:szCs w:val="20"/>
              </w:rPr>
            </w:pPr>
            <w:r w:rsidRPr="008E63BB">
              <w:rPr>
                <w:rFonts w:eastAsia="Times New Roman"/>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08" w14:textId="77777777" w:rsidR="00E63C68" w:rsidRPr="008E63BB" w:rsidRDefault="00E63C68" w:rsidP="00E63C68">
            <w:pPr>
              <w:jc w:val="center"/>
              <w:rPr>
                <w:rFonts w:eastAsia="Times New Roman"/>
                <w:sz w:val="20"/>
                <w:szCs w:val="20"/>
              </w:rPr>
            </w:pPr>
            <w:r w:rsidRPr="008E63BB">
              <w:rPr>
                <w:rFonts w:eastAsia="Times New Roman"/>
                <w:sz w:val="20"/>
                <w:szCs w:val="20"/>
              </w:rPr>
              <w:t>0,56</w:t>
            </w:r>
          </w:p>
        </w:tc>
        <w:tc>
          <w:tcPr>
            <w:tcW w:w="899" w:type="dxa"/>
            <w:tcBorders>
              <w:top w:val="nil"/>
              <w:left w:val="nil"/>
              <w:bottom w:val="single" w:sz="4" w:space="0" w:color="auto"/>
              <w:right w:val="single" w:sz="4" w:space="0" w:color="auto"/>
            </w:tcBorders>
            <w:shd w:val="clear" w:color="auto" w:fill="auto"/>
            <w:hideMark/>
          </w:tcPr>
          <w:p w14:paraId="519B3109" w14:textId="77777777" w:rsidR="00E63C68" w:rsidRPr="008E63BB" w:rsidRDefault="00E63C68" w:rsidP="00E63C68">
            <w:pPr>
              <w:jc w:val="center"/>
              <w:rPr>
                <w:rFonts w:eastAsia="Times New Roman"/>
                <w:sz w:val="20"/>
                <w:szCs w:val="20"/>
              </w:rPr>
            </w:pPr>
            <w:r w:rsidRPr="008E63BB">
              <w:rPr>
                <w:b/>
                <w:bCs/>
                <w:i/>
                <w:iCs/>
                <w:sz w:val="20"/>
                <w:szCs w:val="20"/>
              </w:rPr>
              <w:t>4,5</w:t>
            </w:r>
          </w:p>
        </w:tc>
        <w:tc>
          <w:tcPr>
            <w:tcW w:w="880" w:type="dxa"/>
            <w:tcBorders>
              <w:top w:val="nil"/>
              <w:left w:val="nil"/>
              <w:bottom w:val="single" w:sz="4" w:space="0" w:color="auto"/>
              <w:right w:val="single" w:sz="4" w:space="0" w:color="auto"/>
            </w:tcBorders>
            <w:shd w:val="clear" w:color="auto" w:fill="auto"/>
            <w:hideMark/>
          </w:tcPr>
          <w:p w14:paraId="519B310A" w14:textId="77777777" w:rsidR="00E63C68" w:rsidRPr="008E63BB" w:rsidRDefault="00E63C68" w:rsidP="00E63C68">
            <w:pPr>
              <w:jc w:val="center"/>
              <w:rPr>
                <w:rFonts w:eastAsia="Times New Roman"/>
                <w:sz w:val="20"/>
                <w:szCs w:val="20"/>
              </w:rPr>
            </w:pPr>
            <w:r w:rsidRPr="008E63BB">
              <w:rPr>
                <w:b/>
                <w:bCs/>
                <w:i/>
                <w:iCs/>
                <w:sz w:val="20"/>
                <w:szCs w:val="20"/>
              </w:rPr>
              <w:t>2,3</w:t>
            </w:r>
          </w:p>
        </w:tc>
        <w:tc>
          <w:tcPr>
            <w:tcW w:w="918" w:type="dxa"/>
            <w:tcBorders>
              <w:top w:val="nil"/>
              <w:left w:val="nil"/>
              <w:bottom w:val="single" w:sz="4" w:space="0" w:color="auto"/>
              <w:right w:val="single" w:sz="4" w:space="0" w:color="auto"/>
            </w:tcBorders>
            <w:shd w:val="clear" w:color="auto" w:fill="auto"/>
            <w:hideMark/>
          </w:tcPr>
          <w:p w14:paraId="519B310B" w14:textId="77777777" w:rsidR="00E63C68" w:rsidRPr="008E63BB" w:rsidRDefault="00E63C68" w:rsidP="00E63C68">
            <w:pPr>
              <w:jc w:val="center"/>
              <w:rPr>
                <w:rFonts w:eastAsia="Times New Roman"/>
                <w:sz w:val="20"/>
                <w:szCs w:val="20"/>
              </w:rPr>
            </w:pPr>
            <w:r w:rsidRPr="008E63BB">
              <w:rPr>
                <w:b/>
                <w:bCs/>
                <w:i/>
                <w:iCs/>
                <w:sz w:val="20"/>
                <w:szCs w:val="20"/>
              </w:rPr>
              <w:t>1,4</w:t>
            </w:r>
          </w:p>
        </w:tc>
      </w:tr>
      <w:tr w:rsidR="00E63C68" w:rsidRPr="008E63BB" w14:paraId="519B3114"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0D"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0E"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 + tỷ lệ tăng tự nhiên, %/năm</w:t>
            </w:r>
          </w:p>
        </w:tc>
        <w:tc>
          <w:tcPr>
            <w:tcW w:w="918" w:type="dxa"/>
            <w:tcBorders>
              <w:top w:val="nil"/>
              <w:left w:val="nil"/>
              <w:bottom w:val="single" w:sz="4" w:space="0" w:color="auto"/>
              <w:right w:val="single" w:sz="4" w:space="0" w:color="auto"/>
            </w:tcBorders>
            <w:shd w:val="clear" w:color="auto" w:fill="auto"/>
            <w:hideMark/>
          </w:tcPr>
          <w:p w14:paraId="519B310F"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110" w14:textId="77777777" w:rsidR="00E63C68" w:rsidRPr="008E63BB" w:rsidRDefault="00E63C68" w:rsidP="00E63C68">
            <w:pPr>
              <w:jc w:val="right"/>
              <w:rPr>
                <w:rFonts w:eastAsia="Times New Roman"/>
                <w:sz w:val="20"/>
                <w:szCs w:val="20"/>
              </w:rPr>
            </w:pPr>
            <w:r w:rsidRPr="008E63BB">
              <w:rPr>
                <w:rFonts w:eastAsia="Times New Roman"/>
                <w:sz w:val="20"/>
                <w:szCs w:val="20"/>
              </w:rPr>
              <w:t>1,00</w:t>
            </w:r>
          </w:p>
        </w:tc>
        <w:tc>
          <w:tcPr>
            <w:tcW w:w="899" w:type="dxa"/>
            <w:tcBorders>
              <w:top w:val="nil"/>
              <w:left w:val="nil"/>
              <w:bottom w:val="single" w:sz="4" w:space="0" w:color="auto"/>
              <w:right w:val="single" w:sz="4" w:space="0" w:color="auto"/>
            </w:tcBorders>
            <w:shd w:val="clear" w:color="auto" w:fill="auto"/>
            <w:hideMark/>
          </w:tcPr>
          <w:p w14:paraId="519B3111" w14:textId="77777777" w:rsidR="00E63C68" w:rsidRPr="008E63BB" w:rsidRDefault="00E63C68" w:rsidP="00E63C68">
            <w:pPr>
              <w:jc w:val="right"/>
              <w:rPr>
                <w:sz w:val="20"/>
                <w:szCs w:val="20"/>
              </w:rPr>
            </w:pPr>
            <w:r w:rsidRPr="008E63BB">
              <w:rPr>
                <w:sz w:val="20"/>
                <w:szCs w:val="20"/>
              </w:rPr>
              <w:t>1,00</w:t>
            </w:r>
          </w:p>
        </w:tc>
        <w:tc>
          <w:tcPr>
            <w:tcW w:w="880" w:type="dxa"/>
            <w:tcBorders>
              <w:top w:val="nil"/>
              <w:left w:val="nil"/>
              <w:bottom w:val="single" w:sz="4" w:space="0" w:color="auto"/>
              <w:right w:val="single" w:sz="4" w:space="0" w:color="auto"/>
            </w:tcBorders>
            <w:shd w:val="clear" w:color="auto" w:fill="auto"/>
            <w:hideMark/>
          </w:tcPr>
          <w:p w14:paraId="519B3112" w14:textId="77777777" w:rsidR="00E63C68" w:rsidRPr="008E63BB" w:rsidRDefault="00E63C68" w:rsidP="00E63C68">
            <w:pPr>
              <w:jc w:val="right"/>
              <w:rPr>
                <w:sz w:val="20"/>
                <w:szCs w:val="20"/>
              </w:rPr>
            </w:pPr>
            <w:r w:rsidRPr="008E63BB">
              <w:rPr>
                <w:sz w:val="20"/>
                <w:szCs w:val="20"/>
              </w:rPr>
              <w:t>0,95</w:t>
            </w:r>
          </w:p>
        </w:tc>
        <w:tc>
          <w:tcPr>
            <w:tcW w:w="918" w:type="dxa"/>
            <w:tcBorders>
              <w:top w:val="nil"/>
              <w:left w:val="nil"/>
              <w:bottom w:val="single" w:sz="4" w:space="0" w:color="auto"/>
              <w:right w:val="single" w:sz="4" w:space="0" w:color="auto"/>
            </w:tcBorders>
            <w:shd w:val="clear" w:color="auto" w:fill="auto"/>
            <w:hideMark/>
          </w:tcPr>
          <w:p w14:paraId="519B3113" w14:textId="77777777" w:rsidR="00E63C68" w:rsidRPr="008E63BB" w:rsidRDefault="00E63C68" w:rsidP="00E63C68">
            <w:pPr>
              <w:jc w:val="right"/>
              <w:rPr>
                <w:sz w:val="20"/>
                <w:szCs w:val="20"/>
              </w:rPr>
            </w:pPr>
            <w:r w:rsidRPr="008E63BB">
              <w:rPr>
                <w:sz w:val="20"/>
                <w:szCs w:val="20"/>
              </w:rPr>
              <w:t>0,95</w:t>
            </w:r>
          </w:p>
        </w:tc>
      </w:tr>
      <w:tr w:rsidR="00E63C68" w:rsidRPr="008E63BB" w14:paraId="519B311C"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15"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16"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 + Tỷ lệ tăng dân số do đô thị hóa, %/năm</w:t>
            </w:r>
          </w:p>
        </w:tc>
        <w:tc>
          <w:tcPr>
            <w:tcW w:w="918" w:type="dxa"/>
            <w:tcBorders>
              <w:top w:val="nil"/>
              <w:left w:val="nil"/>
              <w:bottom w:val="single" w:sz="4" w:space="0" w:color="auto"/>
              <w:right w:val="single" w:sz="4" w:space="0" w:color="auto"/>
            </w:tcBorders>
            <w:shd w:val="clear" w:color="auto" w:fill="auto"/>
            <w:hideMark/>
          </w:tcPr>
          <w:p w14:paraId="519B3117" w14:textId="77777777" w:rsidR="00E63C68" w:rsidRPr="008E63BB" w:rsidRDefault="00E63C68" w:rsidP="00E63C68">
            <w:pPr>
              <w:jc w:val="center"/>
              <w:rPr>
                <w:rFonts w:eastAsia="Times New Roman"/>
                <w:sz w:val="20"/>
                <w:szCs w:val="20"/>
              </w:rPr>
            </w:pPr>
            <w:r w:rsidRPr="008E63BB">
              <w:rPr>
                <w:rFonts w:eastAsia="Times New Roman"/>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18" w14:textId="77777777" w:rsidR="00E63C68" w:rsidRPr="008E63BB" w:rsidRDefault="00E63C68" w:rsidP="00E63C68">
            <w:pPr>
              <w:jc w:val="right"/>
              <w:rPr>
                <w:rFonts w:eastAsia="Times New Roman"/>
                <w:sz w:val="20"/>
                <w:szCs w:val="20"/>
              </w:rPr>
            </w:pPr>
            <w:r w:rsidRPr="008E63BB">
              <w:rPr>
                <w:rFonts w:eastAsia="Times New Roman"/>
                <w:sz w:val="20"/>
                <w:szCs w:val="20"/>
              </w:rPr>
              <w:t>-0,34</w:t>
            </w:r>
          </w:p>
        </w:tc>
        <w:tc>
          <w:tcPr>
            <w:tcW w:w="899" w:type="dxa"/>
            <w:tcBorders>
              <w:top w:val="nil"/>
              <w:left w:val="nil"/>
              <w:bottom w:val="single" w:sz="4" w:space="0" w:color="auto"/>
              <w:right w:val="single" w:sz="4" w:space="0" w:color="auto"/>
            </w:tcBorders>
            <w:shd w:val="clear" w:color="auto" w:fill="auto"/>
            <w:hideMark/>
          </w:tcPr>
          <w:p w14:paraId="519B3119" w14:textId="77777777" w:rsidR="00E63C68" w:rsidRPr="008E63BB" w:rsidRDefault="00E63C68" w:rsidP="00E63C68">
            <w:pPr>
              <w:jc w:val="right"/>
              <w:rPr>
                <w:sz w:val="20"/>
                <w:szCs w:val="20"/>
              </w:rPr>
            </w:pPr>
            <w:r w:rsidRPr="008E63BB">
              <w:rPr>
                <w:sz w:val="20"/>
                <w:szCs w:val="20"/>
              </w:rPr>
              <w:t>0,5</w:t>
            </w:r>
          </w:p>
        </w:tc>
        <w:tc>
          <w:tcPr>
            <w:tcW w:w="880" w:type="dxa"/>
            <w:tcBorders>
              <w:top w:val="nil"/>
              <w:left w:val="nil"/>
              <w:bottom w:val="single" w:sz="4" w:space="0" w:color="auto"/>
              <w:right w:val="single" w:sz="4" w:space="0" w:color="auto"/>
            </w:tcBorders>
            <w:shd w:val="clear" w:color="auto" w:fill="auto"/>
            <w:hideMark/>
          </w:tcPr>
          <w:p w14:paraId="519B311A" w14:textId="77777777" w:rsidR="00E63C68" w:rsidRPr="008E63BB" w:rsidRDefault="00E63C68" w:rsidP="00E63C68">
            <w:pPr>
              <w:jc w:val="right"/>
              <w:rPr>
                <w:sz w:val="20"/>
                <w:szCs w:val="20"/>
              </w:rPr>
            </w:pPr>
            <w:r w:rsidRPr="008E63BB">
              <w:rPr>
                <w:sz w:val="20"/>
                <w:szCs w:val="20"/>
              </w:rPr>
              <w:t>0,7</w:t>
            </w:r>
          </w:p>
        </w:tc>
        <w:tc>
          <w:tcPr>
            <w:tcW w:w="918" w:type="dxa"/>
            <w:tcBorders>
              <w:top w:val="nil"/>
              <w:left w:val="nil"/>
              <w:bottom w:val="single" w:sz="4" w:space="0" w:color="auto"/>
              <w:right w:val="single" w:sz="4" w:space="0" w:color="auto"/>
            </w:tcBorders>
            <w:shd w:val="clear" w:color="auto" w:fill="auto"/>
            <w:hideMark/>
          </w:tcPr>
          <w:p w14:paraId="519B311B" w14:textId="77777777" w:rsidR="00E63C68" w:rsidRPr="008E63BB" w:rsidRDefault="00E63C68" w:rsidP="00E63C68">
            <w:pPr>
              <w:jc w:val="right"/>
              <w:rPr>
                <w:sz w:val="20"/>
                <w:szCs w:val="20"/>
              </w:rPr>
            </w:pPr>
            <w:r w:rsidRPr="008E63BB">
              <w:rPr>
                <w:sz w:val="20"/>
                <w:szCs w:val="20"/>
              </w:rPr>
              <w:t>0,3</w:t>
            </w:r>
          </w:p>
        </w:tc>
      </w:tr>
      <w:tr w:rsidR="00E63C68" w:rsidRPr="008E63BB" w14:paraId="519B3124"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1D"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1E"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 + tỷ lệ tăng cơ học do nhập cư, %/năm</w:t>
            </w:r>
          </w:p>
        </w:tc>
        <w:tc>
          <w:tcPr>
            <w:tcW w:w="918" w:type="dxa"/>
            <w:tcBorders>
              <w:top w:val="nil"/>
              <w:left w:val="nil"/>
              <w:bottom w:val="single" w:sz="4" w:space="0" w:color="auto"/>
              <w:right w:val="single" w:sz="4" w:space="0" w:color="auto"/>
            </w:tcBorders>
            <w:shd w:val="clear" w:color="auto" w:fill="auto"/>
            <w:hideMark/>
          </w:tcPr>
          <w:p w14:paraId="519B311F" w14:textId="77777777" w:rsidR="00E63C68" w:rsidRPr="008E63BB" w:rsidRDefault="00E63C68" w:rsidP="00E63C68">
            <w:pPr>
              <w:jc w:val="center"/>
              <w:rPr>
                <w:rFonts w:eastAsia="Times New Roman"/>
                <w:sz w:val="20"/>
                <w:szCs w:val="20"/>
              </w:rPr>
            </w:pPr>
            <w:r w:rsidRPr="008E63BB">
              <w:rPr>
                <w:rFonts w:eastAsia="Times New Roman"/>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20" w14:textId="77777777" w:rsidR="00E63C68" w:rsidRPr="008E63BB" w:rsidRDefault="00E63C68" w:rsidP="00E63C68">
            <w:pPr>
              <w:jc w:val="right"/>
              <w:rPr>
                <w:rFonts w:eastAsia="Times New Roman"/>
                <w:sz w:val="20"/>
                <w:szCs w:val="20"/>
              </w:rPr>
            </w:pPr>
            <w:r w:rsidRPr="008E63BB">
              <w:rPr>
                <w:rFonts w:eastAsia="Times New Roman"/>
                <w:sz w:val="20"/>
                <w:szCs w:val="20"/>
              </w:rPr>
              <w:t>-0,10</w:t>
            </w:r>
          </w:p>
        </w:tc>
        <w:tc>
          <w:tcPr>
            <w:tcW w:w="899" w:type="dxa"/>
            <w:tcBorders>
              <w:top w:val="nil"/>
              <w:left w:val="nil"/>
              <w:bottom w:val="single" w:sz="4" w:space="0" w:color="auto"/>
              <w:right w:val="single" w:sz="4" w:space="0" w:color="auto"/>
            </w:tcBorders>
            <w:shd w:val="clear" w:color="auto" w:fill="auto"/>
            <w:hideMark/>
          </w:tcPr>
          <w:p w14:paraId="519B3121" w14:textId="77777777" w:rsidR="00E63C68" w:rsidRPr="008E63BB" w:rsidRDefault="00E63C68" w:rsidP="00E63C68">
            <w:pPr>
              <w:jc w:val="right"/>
              <w:rPr>
                <w:sz w:val="20"/>
                <w:szCs w:val="20"/>
              </w:rPr>
            </w:pPr>
            <w:r w:rsidRPr="008E63BB">
              <w:rPr>
                <w:sz w:val="20"/>
                <w:szCs w:val="20"/>
              </w:rPr>
              <w:t>3,0</w:t>
            </w:r>
          </w:p>
        </w:tc>
        <w:tc>
          <w:tcPr>
            <w:tcW w:w="880" w:type="dxa"/>
            <w:tcBorders>
              <w:top w:val="nil"/>
              <w:left w:val="nil"/>
              <w:bottom w:val="single" w:sz="4" w:space="0" w:color="auto"/>
              <w:right w:val="single" w:sz="4" w:space="0" w:color="auto"/>
            </w:tcBorders>
            <w:shd w:val="clear" w:color="auto" w:fill="auto"/>
            <w:hideMark/>
          </w:tcPr>
          <w:p w14:paraId="519B3122" w14:textId="77777777" w:rsidR="00E63C68" w:rsidRPr="008E63BB" w:rsidRDefault="00E63C68" w:rsidP="00E63C68">
            <w:pPr>
              <w:jc w:val="right"/>
              <w:rPr>
                <w:sz w:val="20"/>
                <w:szCs w:val="20"/>
              </w:rPr>
            </w:pPr>
            <w:r w:rsidRPr="008E63BB">
              <w:rPr>
                <w:sz w:val="20"/>
                <w:szCs w:val="20"/>
              </w:rPr>
              <w:t>0,7</w:t>
            </w:r>
          </w:p>
        </w:tc>
        <w:tc>
          <w:tcPr>
            <w:tcW w:w="918" w:type="dxa"/>
            <w:tcBorders>
              <w:top w:val="nil"/>
              <w:left w:val="nil"/>
              <w:bottom w:val="single" w:sz="4" w:space="0" w:color="auto"/>
              <w:right w:val="single" w:sz="4" w:space="0" w:color="auto"/>
            </w:tcBorders>
            <w:shd w:val="clear" w:color="auto" w:fill="auto"/>
            <w:hideMark/>
          </w:tcPr>
          <w:p w14:paraId="519B3123" w14:textId="77777777" w:rsidR="00E63C68" w:rsidRPr="008E63BB" w:rsidRDefault="00E63C68" w:rsidP="00E63C68">
            <w:pPr>
              <w:jc w:val="right"/>
              <w:rPr>
                <w:sz w:val="20"/>
                <w:szCs w:val="20"/>
              </w:rPr>
            </w:pPr>
            <w:r w:rsidRPr="008E63BB">
              <w:rPr>
                <w:sz w:val="20"/>
                <w:szCs w:val="20"/>
              </w:rPr>
              <w:t>0,1</w:t>
            </w:r>
          </w:p>
        </w:tc>
      </w:tr>
      <w:tr w:rsidR="00E63C68" w:rsidRPr="008E63BB" w14:paraId="519B312C" w14:textId="77777777" w:rsidTr="00E63C68">
        <w:trPr>
          <w:trHeight w:val="765"/>
        </w:trPr>
        <w:tc>
          <w:tcPr>
            <w:tcW w:w="516" w:type="dxa"/>
            <w:tcBorders>
              <w:top w:val="nil"/>
              <w:left w:val="single" w:sz="4" w:space="0" w:color="auto"/>
              <w:bottom w:val="single" w:sz="4" w:space="0" w:color="auto"/>
              <w:right w:val="single" w:sz="4" w:space="0" w:color="auto"/>
            </w:tcBorders>
            <w:shd w:val="clear" w:color="auto" w:fill="auto"/>
            <w:hideMark/>
          </w:tcPr>
          <w:p w14:paraId="519B3125"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3</w:t>
            </w:r>
          </w:p>
        </w:tc>
        <w:tc>
          <w:tcPr>
            <w:tcW w:w="4299" w:type="dxa"/>
            <w:tcBorders>
              <w:top w:val="nil"/>
              <w:left w:val="nil"/>
              <w:bottom w:val="single" w:sz="4" w:space="0" w:color="auto"/>
              <w:right w:val="single" w:sz="4" w:space="0" w:color="auto"/>
            </w:tcBorders>
            <w:shd w:val="clear" w:color="auto" w:fill="auto"/>
            <w:hideMark/>
          </w:tcPr>
          <w:p w14:paraId="519B3126"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Dân số khác (Sinh viên nội trú, lực lượng vũ trang,  khách vãng lai, lao động con lắc v.v. = 5%-10% dân số chính thức)</w:t>
            </w:r>
          </w:p>
        </w:tc>
        <w:tc>
          <w:tcPr>
            <w:tcW w:w="918" w:type="dxa"/>
            <w:tcBorders>
              <w:top w:val="nil"/>
              <w:left w:val="nil"/>
              <w:bottom w:val="single" w:sz="4" w:space="0" w:color="auto"/>
              <w:right w:val="single" w:sz="4" w:space="0" w:color="auto"/>
            </w:tcBorders>
            <w:shd w:val="clear" w:color="auto" w:fill="auto"/>
            <w:hideMark/>
          </w:tcPr>
          <w:p w14:paraId="519B3127"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28"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 -</w:t>
            </w:r>
          </w:p>
        </w:tc>
        <w:tc>
          <w:tcPr>
            <w:tcW w:w="899" w:type="dxa"/>
            <w:tcBorders>
              <w:top w:val="nil"/>
              <w:left w:val="nil"/>
              <w:bottom w:val="single" w:sz="4" w:space="0" w:color="auto"/>
              <w:right w:val="single" w:sz="4" w:space="0" w:color="auto"/>
            </w:tcBorders>
            <w:shd w:val="clear" w:color="auto" w:fill="auto"/>
            <w:hideMark/>
          </w:tcPr>
          <w:p w14:paraId="519B312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45.000</w:t>
            </w:r>
          </w:p>
        </w:tc>
        <w:tc>
          <w:tcPr>
            <w:tcW w:w="880" w:type="dxa"/>
            <w:tcBorders>
              <w:top w:val="nil"/>
              <w:left w:val="nil"/>
              <w:bottom w:val="single" w:sz="4" w:space="0" w:color="auto"/>
              <w:right w:val="single" w:sz="4" w:space="0" w:color="auto"/>
            </w:tcBorders>
            <w:shd w:val="clear" w:color="auto" w:fill="auto"/>
            <w:hideMark/>
          </w:tcPr>
          <w:p w14:paraId="519B312A"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55.000</w:t>
            </w:r>
          </w:p>
        </w:tc>
        <w:tc>
          <w:tcPr>
            <w:tcW w:w="918" w:type="dxa"/>
            <w:tcBorders>
              <w:top w:val="nil"/>
              <w:left w:val="nil"/>
              <w:bottom w:val="single" w:sz="4" w:space="0" w:color="auto"/>
              <w:right w:val="single" w:sz="4" w:space="0" w:color="auto"/>
            </w:tcBorders>
            <w:shd w:val="clear" w:color="auto" w:fill="auto"/>
            <w:hideMark/>
          </w:tcPr>
          <w:p w14:paraId="519B312B"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65.000</w:t>
            </w:r>
          </w:p>
        </w:tc>
      </w:tr>
    </w:tbl>
    <w:p w14:paraId="519B312D" w14:textId="77777777" w:rsidR="00E63C68" w:rsidRPr="008E63BB" w:rsidRDefault="00E63C68" w:rsidP="00E63C68">
      <w:pPr>
        <w:spacing w:before="120" w:line="288" w:lineRule="auto"/>
        <w:rPr>
          <w:i/>
          <w:szCs w:val="24"/>
          <w:lang w:val="pt-BR"/>
        </w:rPr>
      </w:pPr>
      <w:r w:rsidRPr="008E63BB">
        <w:rPr>
          <w:i/>
          <w:szCs w:val="24"/>
          <w:lang w:val="pt-BR"/>
        </w:rPr>
        <w:t>Bảng : Dự báo dân số - phương án 2</w:t>
      </w:r>
    </w:p>
    <w:tbl>
      <w:tblPr>
        <w:tblW w:w="9296" w:type="dxa"/>
        <w:tblLook w:val="04A0" w:firstRow="1" w:lastRow="0" w:firstColumn="1" w:lastColumn="0" w:noHBand="0" w:noVBand="1"/>
      </w:tblPr>
      <w:tblGrid>
        <w:gridCol w:w="516"/>
        <w:gridCol w:w="4299"/>
        <w:gridCol w:w="918"/>
        <w:gridCol w:w="866"/>
        <w:gridCol w:w="899"/>
        <w:gridCol w:w="880"/>
        <w:gridCol w:w="918"/>
      </w:tblGrid>
      <w:tr w:rsidR="00E63C68" w:rsidRPr="008E63BB" w14:paraId="519B3132" w14:textId="77777777" w:rsidTr="00E63C68">
        <w:trPr>
          <w:trHeight w:val="315"/>
        </w:trPr>
        <w:tc>
          <w:tcPr>
            <w:tcW w:w="5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12E" w14:textId="77777777" w:rsidR="00E63C68" w:rsidRPr="008E63BB" w:rsidRDefault="00E63C68" w:rsidP="00E63C68">
            <w:pPr>
              <w:jc w:val="center"/>
              <w:rPr>
                <w:rFonts w:eastAsia="Times New Roman"/>
                <w:sz w:val="20"/>
                <w:szCs w:val="20"/>
              </w:rPr>
            </w:pPr>
            <w:r w:rsidRPr="008E63BB">
              <w:rPr>
                <w:rFonts w:eastAsia="Times New Roman"/>
                <w:sz w:val="20"/>
                <w:szCs w:val="20"/>
              </w:rPr>
              <w:t>TT</w:t>
            </w:r>
          </w:p>
        </w:tc>
        <w:tc>
          <w:tcPr>
            <w:tcW w:w="42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12F" w14:textId="77777777" w:rsidR="00E63C68" w:rsidRPr="008E63BB" w:rsidRDefault="00E63C68" w:rsidP="00E63C68">
            <w:pPr>
              <w:jc w:val="center"/>
              <w:rPr>
                <w:rFonts w:eastAsia="Times New Roman"/>
                <w:sz w:val="20"/>
                <w:szCs w:val="20"/>
              </w:rPr>
            </w:pPr>
            <w:r w:rsidRPr="008E63BB">
              <w:rPr>
                <w:rFonts w:eastAsia="Times New Roman"/>
                <w:sz w:val="20"/>
                <w:szCs w:val="20"/>
              </w:rPr>
              <w:t>Hạng mục</w:t>
            </w:r>
          </w:p>
        </w:tc>
        <w:tc>
          <w:tcPr>
            <w:tcW w:w="1784" w:type="dxa"/>
            <w:gridSpan w:val="2"/>
            <w:tcBorders>
              <w:top w:val="single" w:sz="4" w:space="0" w:color="auto"/>
              <w:left w:val="nil"/>
              <w:bottom w:val="single" w:sz="4" w:space="0" w:color="auto"/>
              <w:right w:val="single" w:sz="4" w:space="0" w:color="auto"/>
            </w:tcBorders>
            <w:shd w:val="clear" w:color="auto" w:fill="auto"/>
            <w:hideMark/>
          </w:tcPr>
          <w:p w14:paraId="519B3130"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Hiện trạng</w:t>
            </w:r>
          </w:p>
        </w:tc>
        <w:tc>
          <w:tcPr>
            <w:tcW w:w="2697" w:type="dxa"/>
            <w:gridSpan w:val="3"/>
            <w:tcBorders>
              <w:top w:val="single" w:sz="4" w:space="0" w:color="auto"/>
              <w:left w:val="nil"/>
              <w:bottom w:val="single" w:sz="4" w:space="0" w:color="auto"/>
              <w:right w:val="single" w:sz="4" w:space="0" w:color="auto"/>
            </w:tcBorders>
            <w:shd w:val="clear" w:color="auto" w:fill="auto"/>
            <w:hideMark/>
          </w:tcPr>
          <w:p w14:paraId="519B3131"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Dự báo</w:t>
            </w:r>
          </w:p>
        </w:tc>
      </w:tr>
      <w:tr w:rsidR="00E63C68" w:rsidRPr="008E63BB" w14:paraId="519B313A" w14:textId="77777777" w:rsidTr="00E63C68">
        <w:trPr>
          <w:trHeight w:val="300"/>
        </w:trPr>
        <w:tc>
          <w:tcPr>
            <w:tcW w:w="516" w:type="dxa"/>
            <w:vMerge/>
            <w:tcBorders>
              <w:top w:val="single" w:sz="4" w:space="0" w:color="auto"/>
              <w:left w:val="single" w:sz="4" w:space="0" w:color="auto"/>
              <w:bottom w:val="single" w:sz="4" w:space="0" w:color="auto"/>
              <w:right w:val="single" w:sz="4" w:space="0" w:color="auto"/>
            </w:tcBorders>
            <w:vAlign w:val="center"/>
            <w:hideMark/>
          </w:tcPr>
          <w:p w14:paraId="519B3133" w14:textId="77777777" w:rsidR="00E63C68" w:rsidRPr="008E63BB" w:rsidRDefault="00E63C68" w:rsidP="00E63C68">
            <w:pPr>
              <w:jc w:val="left"/>
              <w:rPr>
                <w:rFonts w:eastAsia="Times New Roman"/>
                <w:sz w:val="20"/>
                <w:szCs w:val="20"/>
              </w:rPr>
            </w:pPr>
          </w:p>
        </w:tc>
        <w:tc>
          <w:tcPr>
            <w:tcW w:w="4299" w:type="dxa"/>
            <w:vMerge/>
            <w:tcBorders>
              <w:top w:val="single" w:sz="4" w:space="0" w:color="auto"/>
              <w:left w:val="single" w:sz="4" w:space="0" w:color="auto"/>
              <w:bottom w:val="single" w:sz="4" w:space="0" w:color="auto"/>
              <w:right w:val="single" w:sz="4" w:space="0" w:color="auto"/>
            </w:tcBorders>
            <w:vAlign w:val="center"/>
            <w:hideMark/>
          </w:tcPr>
          <w:p w14:paraId="519B3134" w14:textId="77777777" w:rsidR="00E63C68" w:rsidRPr="008E63BB" w:rsidRDefault="00E63C68" w:rsidP="00E63C68">
            <w:pPr>
              <w:jc w:val="left"/>
              <w:rPr>
                <w:rFonts w:eastAsia="Times New Roman"/>
                <w:sz w:val="20"/>
                <w:szCs w:val="20"/>
              </w:rPr>
            </w:pPr>
          </w:p>
        </w:tc>
        <w:tc>
          <w:tcPr>
            <w:tcW w:w="918" w:type="dxa"/>
            <w:tcBorders>
              <w:top w:val="nil"/>
              <w:left w:val="nil"/>
              <w:bottom w:val="single" w:sz="4" w:space="0" w:color="auto"/>
              <w:right w:val="single" w:sz="4" w:space="0" w:color="auto"/>
            </w:tcBorders>
            <w:shd w:val="clear" w:color="auto" w:fill="auto"/>
            <w:hideMark/>
          </w:tcPr>
          <w:p w14:paraId="519B3135"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2008</w:t>
            </w:r>
          </w:p>
        </w:tc>
        <w:tc>
          <w:tcPr>
            <w:tcW w:w="866" w:type="dxa"/>
            <w:tcBorders>
              <w:top w:val="nil"/>
              <w:left w:val="nil"/>
              <w:bottom w:val="single" w:sz="4" w:space="0" w:color="auto"/>
              <w:right w:val="single" w:sz="4" w:space="0" w:color="auto"/>
            </w:tcBorders>
            <w:shd w:val="clear" w:color="auto" w:fill="auto"/>
            <w:hideMark/>
          </w:tcPr>
          <w:p w14:paraId="519B3136"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2019</w:t>
            </w:r>
          </w:p>
        </w:tc>
        <w:tc>
          <w:tcPr>
            <w:tcW w:w="899" w:type="dxa"/>
            <w:tcBorders>
              <w:top w:val="nil"/>
              <w:left w:val="nil"/>
              <w:bottom w:val="single" w:sz="4" w:space="0" w:color="auto"/>
              <w:right w:val="single" w:sz="4" w:space="0" w:color="auto"/>
            </w:tcBorders>
            <w:shd w:val="clear" w:color="auto" w:fill="auto"/>
            <w:hideMark/>
          </w:tcPr>
          <w:p w14:paraId="519B3137"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2030</w:t>
            </w:r>
          </w:p>
        </w:tc>
        <w:tc>
          <w:tcPr>
            <w:tcW w:w="880" w:type="dxa"/>
            <w:tcBorders>
              <w:top w:val="nil"/>
              <w:left w:val="nil"/>
              <w:bottom w:val="single" w:sz="4" w:space="0" w:color="auto"/>
              <w:right w:val="single" w:sz="4" w:space="0" w:color="auto"/>
            </w:tcBorders>
            <w:shd w:val="clear" w:color="auto" w:fill="auto"/>
            <w:hideMark/>
          </w:tcPr>
          <w:p w14:paraId="519B3138"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2040</w:t>
            </w:r>
          </w:p>
        </w:tc>
        <w:tc>
          <w:tcPr>
            <w:tcW w:w="918" w:type="dxa"/>
            <w:tcBorders>
              <w:top w:val="nil"/>
              <w:left w:val="nil"/>
              <w:bottom w:val="single" w:sz="4" w:space="0" w:color="auto"/>
              <w:right w:val="single" w:sz="4" w:space="0" w:color="auto"/>
            </w:tcBorders>
            <w:shd w:val="clear" w:color="auto" w:fill="auto"/>
            <w:hideMark/>
          </w:tcPr>
          <w:p w14:paraId="519B3139"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2050</w:t>
            </w:r>
          </w:p>
        </w:tc>
      </w:tr>
      <w:tr w:rsidR="003270A4" w:rsidRPr="008E63BB" w14:paraId="519B3142" w14:textId="77777777" w:rsidTr="00E63C68">
        <w:trPr>
          <w:trHeight w:val="525"/>
        </w:trPr>
        <w:tc>
          <w:tcPr>
            <w:tcW w:w="516" w:type="dxa"/>
            <w:tcBorders>
              <w:top w:val="nil"/>
              <w:left w:val="single" w:sz="4" w:space="0" w:color="auto"/>
              <w:bottom w:val="single" w:sz="4" w:space="0" w:color="auto"/>
              <w:right w:val="single" w:sz="4" w:space="0" w:color="auto"/>
            </w:tcBorders>
            <w:shd w:val="clear" w:color="auto" w:fill="auto"/>
            <w:vAlign w:val="bottom"/>
            <w:hideMark/>
          </w:tcPr>
          <w:p w14:paraId="519B313B" w14:textId="77777777" w:rsidR="003270A4" w:rsidRPr="008E63BB" w:rsidRDefault="003270A4" w:rsidP="003270A4">
            <w:pPr>
              <w:jc w:val="center"/>
              <w:rPr>
                <w:rFonts w:eastAsia="Times New Roman"/>
                <w:b/>
                <w:bCs/>
                <w:sz w:val="20"/>
                <w:szCs w:val="20"/>
              </w:rPr>
            </w:pPr>
            <w:r w:rsidRPr="008E63BB">
              <w:rPr>
                <w:rFonts w:eastAsia="Times New Roman"/>
                <w:b/>
                <w:bCs/>
                <w:sz w:val="20"/>
                <w:szCs w:val="20"/>
              </w:rPr>
              <w:t> </w:t>
            </w:r>
          </w:p>
        </w:tc>
        <w:tc>
          <w:tcPr>
            <w:tcW w:w="4299" w:type="dxa"/>
            <w:tcBorders>
              <w:top w:val="nil"/>
              <w:left w:val="nil"/>
              <w:bottom w:val="single" w:sz="4" w:space="0" w:color="auto"/>
              <w:right w:val="single" w:sz="4" w:space="0" w:color="auto"/>
            </w:tcBorders>
            <w:shd w:val="clear" w:color="auto" w:fill="auto"/>
            <w:vAlign w:val="bottom"/>
            <w:hideMark/>
          </w:tcPr>
          <w:p w14:paraId="519B313C" w14:textId="77777777" w:rsidR="003270A4" w:rsidRPr="008E63BB" w:rsidRDefault="003270A4" w:rsidP="003270A4">
            <w:pPr>
              <w:jc w:val="left"/>
              <w:rPr>
                <w:rFonts w:eastAsia="Times New Roman"/>
                <w:b/>
                <w:bCs/>
                <w:sz w:val="20"/>
                <w:szCs w:val="20"/>
              </w:rPr>
            </w:pPr>
            <w:r w:rsidRPr="008E63BB">
              <w:rPr>
                <w:rFonts w:eastAsia="Times New Roman"/>
                <w:b/>
                <w:bCs/>
                <w:sz w:val="20"/>
                <w:szCs w:val="20"/>
              </w:rPr>
              <w:t>Tổng dân số kể cả các thành phần dân số khác (người)</w:t>
            </w:r>
          </w:p>
        </w:tc>
        <w:tc>
          <w:tcPr>
            <w:tcW w:w="918" w:type="dxa"/>
            <w:tcBorders>
              <w:top w:val="nil"/>
              <w:left w:val="nil"/>
              <w:bottom w:val="single" w:sz="4" w:space="0" w:color="auto"/>
              <w:right w:val="single" w:sz="4" w:space="0" w:color="auto"/>
            </w:tcBorders>
            <w:shd w:val="clear" w:color="auto" w:fill="auto"/>
            <w:hideMark/>
          </w:tcPr>
          <w:p w14:paraId="519B313D" w14:textId="77777777" w:rsidR="003270A4" w:rsidRPr="008E63BB" w:rsidRDefault="003270A4" w:rsidP="003270A4">
            <w:pPr>
              <w:jc w:val="right"/>
              <w:rPr>
                <w:rFonts w:eastAsia="Times New Roman"/>
                <w:b/>
                <w:bCs/>
                <w:sz w:val="20"/>
                <w:szCs w:val="20"/>
              </w:rPr>
            </w:pPr>
            <w:r w:rsidRPr="008E63BB">
              <w:rPr>
                <w:rFonts w:eastAsia="Times New Roman"/>
                <w:b/>
                <w:bCs/>
                <w:sz w:val="20"/>
                <w:szCs w:val="20"/>
              </w:rPr>
              <w:t>323.243</w:t>
            </w:r>
          </w:p>
        </w:tc>
        <w:tc>
          <w:tcPr>
            <w:tcW w:w="866" w:type="dxa"/>
            <w:tcBorders>
              <w:top w:val="nil"/>
              <w:left w:val="nil"/>
              <w:bottom w:val="single" w:sz="4" w:space="0" w:color="auto"/>
              <w:right w:val="single" w:sz="4" w:space="0" w:color="auto"/>
            </w:tcBorders>
            <w:shd w:val="clear" w:color="auto" w:fill="auto"/>
            <w:hideMark/>
          </w:tcPr>
          <w:p w14:paraId="519B313E" w14:textId="77777777" w:rsidR="003270A4" w:rsidRPr="008E63BB" w:rsidRDefault="003270A4" w:rsidP="003270A4">
            <w:pPr>
              <w:jc w:val="right"/>
              <w:rPr>
                <w:rFonts w:eastAsia="Times New Roman"/>
                <w:b/>
                <w:bCs/>
                <w:sz w:val="20"/>
                <w:szCs w:val="20"/>
              </w:rPr>
            </w:pPr>
            <w:r w:rsidRPr="008E63BB">
              <w:rPr>
                <w:b/>
                <w:bCs/>
                <w:sz w:val="20"/>
                <w:szCs w:val="20"/>
              </w:rPr>
              <w:t>398.188</w:t>
            </w:r>
          </w:p>
        </w:tc>
        <w:tc>
          <w:tcPr>
            <w:tcW w:w="899" w:type="dxa"/>
            <w:tcBorders>
              <w:top w:val="nil"/>
              <w:left w:val="nil"/>
              <w:bottom w:val="single" w:sz="4" w:space="0" w:color="auto"/>
              <w:right w:val="single" w:sz="4" w:space="0" w:color="auto"/>
            </w:tcBorders>
            <w:shd w:val="clear" w:color="auto" w:fill="auto"/>
            <w:hideMark/>
          </w:tcPr>
          <w:p w14:paraId="519B313F" w14:textId="77777777" w:rsidR="003270A4" w:rsidRPr="008E63BB" w:rsidRDefault="003270A4" w:rsidP="003270A4">
            <w:pPr>
              <w:jc w:val="right"/>
              <w:rPr>
                <w:rFonts w:eastAsia="Times New Roman"/>
                <w:b/>
                <w:bCs/>
                <w:sz w:val="20"/>
                <w:szCs w:val="20"/>
              </w:rPr>
            </w:pPr>
            <w:r w:rsidRPr="008E63BB">
              <w:rPr>
                <w:b/>
                <w:bCs/>
                <w:sz w:val="20"/>
                <w:szCs w:val="20"/>
              </w:rPr>
              <w:t>547.000</w:t>
            </w:r>
          </w:p>
        </w:tc>
        <w:tc>
          <w:tcPr>
            <w:tcW w:w="880" w:type="dxa"/>
            <w:tcBorders>
              <w:top w:val="nil"/>
              <w:left w:val="nil"/>
              <w:bottom w:val="single" w:sz="4" w:space="0" w:color="auto"/>
              <w:right w:val="single" w:sz="4" w:space="0" w:color="auto"/>
            </w:tcBorders>
            <w:shd w:val="clear" w:color="auto" w:fill="auto"/>
            <w:hideMark/>
          </w:tcPr>
          <w:p w14:paraId="519B3140" w14:textId="77777777" w:rsidR="003270A4" w:rsidRPr="008E63BB" w:rsidRDefault="003270A4" w:rsidP="003270A4">
            <w:pPr>
              <w:jc w:val="right"/>
              <w:rPr>
                <w:rFonts w:eastAsia="Times New Roman"/>
                <w:b/>
                <w:bCs/>
                <w:sz w:val="20"/>
                <w:szCs w:val="20"/>
              </w:rPr>
            </w:pPr>
            <w:r w:rsidRPr="008E63BB">
              <w:rPr>
                <w:b/>
                <w:bCs/>
                <w:sz w:val="20"/>
                <w:szCs w:val="20"/>
              </w:rPr>
              <w:t>621.000</w:t>
            </w:r>
          </w:p>
        </w:tc>
        <w:tc>
          <w:tcPr>
            <w:tcW w:w="918" w:type="dxa"/>
            <w:tcBorders>
              <w:top w:val="nil"/>
              <w:left w:val="nil"/>
              <w:bottom w:val="single" w:sz="4" w:space="0" w:color="auto"/>
              <w:right w:val="single" w:sz="4" w:space="0" w:color="auto"/>
            </w:tcBorders>
            <w:shd w:val="clear" w:color="auto" w:fill="auto"/>
            <w:hideMark/>
          </w:tcPr>
          <w:p w14:paraId="519B3141" w14:textId="77777777" w:rsidR="003270A4" w:rsidRPr="008E63BB" w:rsidRDefault="003270A4" w:rsidP="003270A4">
            <w:pPr>
              <w:jc w:val="right"/>
              <w:rPr>
                <w:rFonts w:eastAsia="Times New Roman"/>
                <w:b/>
                <w:bCs/>
                <w:sz w:val="20"/>
                <w:szCs w:val="20"/>
              </w:rPr>
            </w:pPr>
            <w:r w:rsidRPr="008E63BB">
              <w:rPr>
                <w:b/>
                <w:bCs/>
                <w:sz w:val="20"/>
                <w:szCs w:val="20"/>
              </w:rPr>
              <w:t>700.000</w:t>
            </w:r>
          </w:p>
        </w:tc>
      </w:tr>
      <w:tr w:rsidR="003270A4" w:rsidRPr="008E63BB" w14:paraId="519B314A"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43" w14:textId="77777777" w:rsidR="003270A4" w:rsidRPr="008E63BB" w:rsidRDefault="003270A4" w:rsidP="003270A4">
            <w:pPr>
              <w:jc w:val="center"/>
              <w:rPr>
                <w:rFonts w:eastAsia="Times New Roman"/>
                <w:b/>
                <w:bCs/>
                <w:sz w:val="20"/>
                <w:szCs w:val="20"/>
              </w:rPr>
            </w:pPr>
            <w:r w:rsidRPr="008E63BB">
              <w:rPr>
                <w:rFonts w:eastAsia="Times New Roman"/>
                <w:b/>
                <w:bCs/>
                <w:sz w:val="20"/>
                <w:szCs w:val="20"/>
              </w:rPr>
              <w:t>1</w:t>
            </w:r>
          </w:p>
        </w:tc>
        <w:tc>
          <w:tcPr>
            <w:tcW w:w="4299" w:type="dxa"/>
            <w:tcBorders>
              <w:top w:val="nil"/>
              <w:left w:val="nil"/>
              <w:bottom w:val="single" w:sz="4" w:space="0" w:color="auto"/>
              <w:right w:val="single" w:sz="4" w:space="0" w:color="auto"/>
            </w:tcBorders>
            <w:shd w:val="clear" w:color="auto" w:fill="auto"/>
            <w:hideMark/>
          </w:tcPr>
          <w:p w14:paraId="519B3144" w14:textId="77777777" w:rsidR="003270A4" w:rsidRPr="008E63BB" w:rsidRDefault="003270A4" w:rsidP="003270A4">
            <w:pPr>
              <w:jc w:val="left"/>
              <w:rPr>
                <w:rFonts w:eastAsia="Times New Roman"/>
                <w:b/>
                <w:bCs/>
                <w:sz w:val="20"/>
                <w:szCs w:val="20"/>
              </w:rPr>
            </w:pPr>
            <w:r w:rsidRPr="008E63BB">
              <w:rPr>
                <w:rFonts w:eastAsia="Times New Roman"/>
                <w:b/>
                <w:bCs/>
                <w:sz w:val="20"/>
                <w:szCs w:val="20"/>
              </w:rPr>
              <w:t>Tổng dân số (người)</w:t>
            </w:r>
          </w:p>
        </w:tc>
        <w:tc>
          <w:tcPr>
            <w:tcW w:w="918" w:type="dxa"/>
            <w:tcBorders>
              <w:top w:val="nil"/>
              <w:left w:val="nil"/>
              <w:bottom w:val="single" w:sz="4" w:space="0" w:color="auto"/>
              <w:right w:val="single" w:sz="4" w:space="0" w:color="auto"/>
            </w:tcBorders>
            <w:shd w:val="clear" w:color="auto" w:fill="auto"/>
            <w:hideMark/>
          </w:tcPr>
          <w:p w14:paraId="519B3145" w14:textId="77777777" w:rsidR="003270A4" w:rsidRPr="008E63BB" w:rsidRDefault="003270A4" w:rsidP="003270A4">
            <w:pPr>
              <w:jc w:val="right"/>
              <w:rPr>
                <w:rFonts w:eastAsia="Times New Roman"/>
                <w:b/>
                <w:bCs/>
                <w:sz w:val="20"/>
                <w:szCs w:val="20"/>
              </w:rPr>
            </w:pPr>
            <w:r w:rsidRPr="008E63BB">
              <w:rPr>
                <w:rFonts w:eastAsia="Times New Roman"/>
                <w:b/>
                <w:bCs/>
                <w:sz w:val="20"/>
                <w:szCs w:val="20"/>
              </w:rPr>
              <w:t>323.243</w:t>
            </w:r>
          </w:p>
        </w:tc>
        <w:tc>
          <w:tcPr>
            <w:tcW w:w="866" w:type="dxa"/>
            <w:tcBorders>
              <w:top w:val="nil"/>
              <w:left w:val="nil"/>
              <w:bottom w:val="single" w:sz="4" w:space="0" w:color="auto"/>
              <w:right w:val="single" w:sz="4" w:space="0" w:color="auto"/>
            </w:tcBorders>
            <w:shd w:val="clear" w:color="auto" w:fill="auto"/>
            <w:hideMark/>
          </w:tcPr>
          <w:p w14:paraId="519B3146" w14:textId="77777777" w:rsidR="003270A4" w:rsidRPr="008E63BB" w:rsidRDefault="003270A4" w:rsidP="003270A4">
            <w:pPr>
              <w:jc w:val="right"/>
              <w:rPr>
                <w:rFonts w:eastAsia="Times New Roman"/>
                <w:b/>
                <w:bCs/>
                <w:sz w:val="20"/>
                <w:szCs w:val="20"/>
              </w:rPr>
            </w:pPr>
            <w:r w:rsidRPr="008E63BB">
              <w:rPr>
                <w:b/>
                <w:bCs/>
                <w:sz w:val="20"/>
                <w:szCs w:val="20"/>
              </w:rPr>
              <w:t>398.188</w:t>
            </w:r>
          </w:p>
        </w:tc>
        <w:tc>
          <w:tcPr>
            <w:tcW w:w="899" w:type="dxa"/>
            <w:tcBorders>
              <w:top w:val="nil"/>
              <w:left w:val="nil"/>
              <w:bottom w:val="single" w:sz="4" w:space="0" w:color="auto"/>
              <w:right w:val="single" w:sz="4" w:space="0" w:color="auto"/>
            </w:tcBorders>
            <w:shd w:val="clear" w:color="auto" w:fill="auto"/>
            <w:hideMark/>
          </w:tcPr>
          <w:p w14:paraId="519B3147" w14:textId="77777777" w:rsidR="003270A4" w:rsidRPr="008E63BB" w:rsidRDefault="003270A4" w:rsidP="003270A4">
            <w:pPr>
              <w:jc w:val="right"/>
              <w:rPr>
                <w:rFonts w:eastAsia="Times New Roman"/>
                <w:b/>
                <w:bCs/>
                <w:sz w:val="20"/>
                <w:szCs w:val="20"/>
              </w:rPr>
            </w:pPr>
            <w:r w:rsidRPr="008E63BB">
              <w:rPr>
                <w:b/>
                <w:bCs/>
                <w:sz w:val="20"/>
                <w:szCs w:val="20"/>
              </w:rPr>
              <w:t>502.000</w:t>
            </w:r>
          </w:p>
        </w:tc>
        <w:tc>
          <w:tcPr>
            <w:tcW w:w="880" w:type="dxa"/>
            <w:tcBorders>
              <w:top w:val="nil"/>
              <w:left w:val="nil"/>
              <w:bottom w:val="single" w:sz="4" w:space="0" w:color="auto"/>
              <w:right w:val="single" w:sz="4" w:space="0" w:color="auto"/>
            </w:tcBorders>
            <w:shd w:val="clear" w:color="auto" w:fill="auto"/>
            <w:hideMark/>
          </w:tcPr>
          <w:p w14:paraId="519B3148" w14:textId="77777777" w:rsidR="003270A4" w:rsidRPr="008E63BB" w:rsidRDefault="003270A4" w:rsidP="003270A4">
            <w:pPr>
              <w:jc w:val="right"/>
              <w:rPr>
                <w:rFonts w:eastAsia="Times New Roman"/>
                <w:b/>
                <w:bCs/>
                <w:sz w:val="20"/>
                <w:szCs w:val="20"/>
              </w:rPr>
            </w:pPr>
            <w:r w:rsidRPr="008E63BB">
              <w:rPr>
                <w:b/>
                <w:bCs/>
                <w:sz w:val="20"/>
                <w:szCs w:val="20"/>
              </w:rPr>
              <w:t>566.000</w:t>
            </w:r>
          </w:p>
        </w:tc>
        <w:tc>
          <w:tcPr>
            <w:tcW w:w="918" w:type="dxa"/>
            <w:tcBorders>
              <w:top w:val="nil"/>
              <w:left w:val="nil"/>
              <w:bottom w:val="single" w:sz="4" w:space="0" w:color="auto"/>
              <w:right w:val="single" w:sz="4" w:space="0" w:color="auto"/>
            </w:tcBorders>
            <w:shd w:val="clear" w:color="auto" w:fill="auto"/>
            <w:hideMark/>
          </w:tcPr>
          <w:p w14:paraId="519B3149" w14:textId="77777777" w:rsidR="003270A4" w:rsidRPr="008E63BB" w:rsidRDefault="003270A4" w:rsidP="003270A4">
            <w:pPr>
              <w:jc w:val="right"/>
              <w:rPr>
                <w:rFonts w:eastAsia="Times New Roman"/>
                <w:b/>
                <w:bCs/>
                <w:sz w:val="20"/>
                <w:szCs w:val="20"/>
              </w:rPr>
            </w:pPr>
            <w:r w:rsidRPr="008E63BB">
              <w:rPr>
                <w:b/>
                <w:bCs/>
                <w:sz w:val="20"/>
                <w:szCs w:val="20"/>
              </w:rPr>
              <w:t>635.000</w:t>
            </w:r>
          </w:p>
        </w:tc>
      </w:tr>
      <w:tr w:rsidR="003270A4" w:rsidRPr="008E63BB" w14:paraId="519B3152"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4B" w14:textId="77777777" w:rsidR="003270A4" w:rsidRPr="008E63BB" w:rsidRDefault="003270A4" w:rsidP="003270A4">
            <w:pPr>
              <w:jc w:val="center"/>
              <w:rPr>
                <w:rFonts w:eastAsia="Times New Roman"/>
                <w:sz w:val="20"/>
                <w:szCs w:val="20"/>
              </w:rPr>
            </w:pPr>
            <w:r w:rsidRPr="008E63BB">
              <w:rPr>
                <w:rFonts w:eastAsia="Times New Roman"/>
                <w:sz w:val="20"/>
                <w:szCs w:val="20"/>
              </w:rPr>
              <w:t>-</w:t>
            </w:r>
          </w:p>
        </w:tc>
        <w:tc>
          <w:tcPr>
            <w:tcW w:w="4299" w:type="dxa"/>
            <w:tcBorders>
              <w:top w:val="nil"/>
              <w:left w:val="nil"/>
              <w:bottom w:val="single" w:sz="4" w:space="0" w:color="auto"/>
              <w:right w:val="single" w:sz="4" w:space="0" w:color="auto"/>
            </w:tcBorders>
            <w:shd w:val="clear" w:color="auto" w:fill="auto"/>
            <w:hideMark/>
          </w:tcPr>
          <w:p w14:paraId="519B314C" w14:textId="77777777" w:rsidR="003270A4" w:rsidRPr="008E63BB" w:rsidRDefault="003270A4" w:rsidP="003270A4">
            <w:pPr>
              <w:jc w:val="left"/>
              <w:rPr>
                <w:rFonts w:eastAsia="Times New Roman"/>
                <w:sz w:val="20"/>
                <w:szCs w:val="20"/>
              </w:rPr>
            </w:pPr>
            <w:r w:rsidRPr="008E63BB">
              <w:rPr>
                <w:rFonts w:eastAsia="Times New Roman"/>
                <w:sz w:val="20"/>
                <w:szCs w:val="20"/>
              </w:rPr>
              <w:t>Tỷ lệ tăng trung bình, %/năm</w:t>
            </w:r>
          </w:p>
        </w:tc>
        <w:tc>
          <w:tcPr>
            <w:tcW w:w="918" w:type="dxa"/>
            <w:tcBorders>
              <w:top w:val="nil"/>
              <w:left w:val="nil"/>
              <w:bottom w:val="single" w:sz="4" w:space="0" w:color="auto"/>
              <w:right w:val="single" w:sz="4" w:space="0" w:color="auto"/>
            </w:tcBorders>
            <w:shd w:val="clear" w:color="auto" w:fill="auto"/>
            <w:hideMark/>
          </w:tcPr>
          <w:p w14:paraId="519B314D" w14:textId="77777777" w:rsidR="003270A4" w:rsidRPr="008E63BB" w:rsidRDefault="003270A4" w:rsidP="003270A4">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14E" w14:textId="77777777" w:rsidR="003270A4" w:rsidRPr="008E63BB" w:rsidRDefault="003270A4" w:rsidP="003270A4">
            <w:pPr>
              <w:jc w:val="right"/>
              <w:rPr>
                <w:rFonts w:eastAsia="Times New Roman"/>
                <w:sz w:val="20"/>
                <w:szCs w:val="20"/>
              </w:rPr>
            </w:pPr>
            <w:r w:rsidRPr="008E63BB">
              <w:rPr>
                <w:sz w:val="20"/>
                <w:szCs w:val="20"/>
              </w:rPr>
              <w:t>1,91</w:t>
            </w:r>
          </w:p>
        </w:tc>
        <w:tc>
          <w:tcPr>
            <w:tcW w:w="899" w:type="dxa"/>
            <w:tcBorders>
              <w:top w:val="nil"/>
              <w:left w:val="nil"/>
              <w:bottom w:val="single" w:sz="4" w:space="0" w:color="auto"/>
              <w:right w:val="single" w:sz="4" w:space="0" w:color="auto"/>
            </w:tcBorders>
            <w:shd w:val="clear" w:color="auto" w:fill="auto"/>
            <w:hideMark/>
          </w:tcPr>
          <w:p w14:paraId="519B314F" w14:textId="77777777" w:rsidR="003270A4" w:rsidRPr="008E63BB" w:rsidRDefault="003270A4" w:rsidP="003270A4">
            <w:pPr>
              <w:jc w:val="right"/>
              <w:rPr>
                <w:rFonts w:eastAsia="Times New Roman"/>
                <w:sz w:val="20"/>
                <w:szCs w:val="20"/>
              </w:rPr>
            </w:pPr>
            <w:r w:rsidRPr="008E63BB">
              <w:rPr>
                <w:sz w:val="20"/>
                <w:szCs w:val="20"/>
              </w:rPr>
              <w:t>2,13</w:t>
            </w:r>
          </w:p>
        </w:tc>
        <w:tc>
          <w:tcPr>
            <w:tcW w:w="880" w:type="dxa"/>
            <w:tcBorders>
              <w:top w:val="nil"/>
              <w:left w:val="nil"/>
              <w:bottom w:val="single" w:sz="4" w:space="0" w:color="auto"/>
              <w:right w:val="single" w:sz="4" w:space="0" w:color="auto"/>
            </w:tcBorders>
            <w:shd w:val="clear" w:color="auto" w:fill="auto"/>
            <w:hideMark/>
          </w:tcPr>
          <w:p w14:paraId="519B3150" w14:textId="77777777" w:rsidR="003270A4" w:rsidRPr="008E63BB" w:rsidRDefault="003270A4" w:rsidP="003270A4">
            <w:pPr>
              <w:jc w:val="right"/>
              <w:rPr>
                <w:rFonts w:eastAsia="Times New Roman"/>
                <w:sz w:val="20"/>
                <w:szCs w:val="20"/>
              </w:rPr>
            </w:pPr>
            <w:r w:rsidRPr="008E63BB">
              <w:rPr>
                <w:sz w:val="20"/>
                <w:szCs w:val="20"/>
              </w:rPr>
              <w:t>1,21</w:t>
            </w:r>
          </w:p>
        </w:tc>
        <w:tc>
          <w:tcPr>
            <w:tcW w:w="918" w:type="dxa"/>
            <w:tcBorders>
              <w:top w:val="nil"/>
              <w:left w:val="nil"/>
              <w:bottom w:val="single" w:sz="4" w:space="0" w:color="auto"/>
              <w:right w:val="single" w:sz="4" w:space="0" w:color="auto"/>
            </w:tcBorders>
            <w:shd w:val="clear" w:color="auto" w:fill="auto"/>
            <w:hideMark/>
          </w:tcPr>
          <w:p w14:paraId="519B3151" w14:textId="77777777" w:rsidR="003270A4" w:rsidRPr="008E63BB" w:rsidRDefault="003270A4" w:rsidP="003270A4">
            <w:pPr>
              <w:jc w:val="right"/>
              <w:rPr>
                <w:rFonts w:eastAsia="Times New Roman"/>
                <w:sz w:val="20"/>
                <w:szCs w:val="20"/>
              </w:rPr>
            </w:pPr>
            <w:r w:rsidRPr="008E63BB">
              <w:rPr>
                <w:sz w:val="20"/>
                <w:szCs w:val="20"/>
              </w:rPr>
              <w:t>1,16</w:t>
            </w:r>
          </w:p>
        </w:tc>
      </w:tr>
      <w:tr w:rsidR="003270A4" w:rsidRPr="008E63BB" w14:paraId="519B315A"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53" w14:textId="77777777" w:rsidR="003270A4" w:rsidRPr="008E63BB" w:rsidRDefault="003270A4" w:rsidP="003270A4">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54" w14:textId="77777777" w:rsidR="003270A4" w:rsidRPr="008E63BB" w:rsidRDefault="003270A4" w:rsidP="003270A4">
            <w:pPr>
              <w:jc w:val="left"/>
              <w:rPr>
                <w:rFonts w:eastAsia="Times New Roman"/>
                <w:sz w:val="20"/>
                <w:szCs w:val="20"/>
              </w:rPr>
            </w:pPr>
            <w:r w:rsidRPr="008E63BB">
              <w:rPr>
                <w:rFonts w:eastAsia="Times New Roman"/>
                <w:sz w:val="20"/>
                <w:szCs w:val="20"/>
              </w:rPr>
              <w:t xml:space="preserve"> + tỷ lệ tăng tự nhiên, %/năm</w:t>
            </w:r>
          </w:p>
        </w:tc>
        <w:tc>
          <w:tcPr>
            <w:tcW w:w="918" w:type="dxa"/>
            <w:tcBorders>
              <w:top w:val="nil"/>
              <w:left w:val="nil"/>
              <w:bottom w:val="single" w:sz="4" w:space="0" w:color="auto"/>
              <w:right w:val="single" w:sz="4" w:space="0" w:color="auto"/>
            </w:tcBorders>
            <w:shd w:val="clear" w:color="auto" w:fill="auto"/>
            <w:hideMark/>
          </w:tcPr>
          <w:p w14:paraId="519B3155" w14:textId="77777777" w:rsidR="003270A4" w:rsidRPr="008E63BB" w:rsidRDefault="003270A4" w:rsidP="003270A4">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156" w14:textId="77777777" w:rsidR="003270A4" w:rsidRPr="008E63BB" w:rsidRDefault="003270A4" w:rsidP="003270A4">
            <w:pPr>
              <w:jc w:val="right"/>
              <w:rPr>
                <w:rFonts w:eastAsia="Times New Roman"/>
                <w:sz w:val="20"/>
                <w:szCs w:val="20"/>
              </w:rPr>
            </w:pPr>
            <w:r w:rsidRPr="008E63BB">
              <w:rPr>
                <w:sz w:val="20"/>
                <w:szCs w:val="20"/>
              </w:rPr>
              <w:t>1,00</w:t>
            </w:r>
          </w:p>
        </w:tc>
        <w:tc>
          <w:tcPr>
            <w:tcW w:w="899" w:type="dxa"/>
            <w:tcBorders>
              <w:top w:val="nil"/>
              <w:left w:val="nil"/>
              <w:bottom w:val="single" w:sz="4" w:space="0" w:color="auto"/>
              <w:right w:val="single" w:sz="4" w:space="0" w:color="auto"/>
            </w:tcBorders>
            <w:shd w:val="clear" w:color="auto" w:fill="auto"/>
            <w:hideMark/>
          </w:tcPr>
          <w:p w14:paraId="519B3157" w14:textId="77777777" w:rsidR="003270A4" w:rsidRPr="008E63BB" w:rsidRDefault="003270A4" w:rsidP="003270A4">
            <w:pPr>
              <w:jc w:val="right"/>
              <w:rPr>
                <w:rFonts w:eastAsia="Times New Roman"/>
                <w:sz w:val="20"/>
                <w:szCs w:val="20"/>
              </w:rPr>
            </w:pPr>
            <w:r w:rsidRPr="008E63BB">
              <w:rPr>
                <w:sz w:val="20"/>
                <w:szCs w:val="20"/>
              </w:rPr>
              <w:t>1,00</w:t>
            </w:r>
          </w:p>
        </w:tc>
        <w:tc>
          <w:tcPr>
            <w:tcW w:w="880" w:type="dxa"/>
            <w:tcBorders>
              <w:top w:val="nil"/>
              <w:left w:val="nil"/>
              <w:bottom w:val="single" w:sz="4" w:space="0" w:color="auto"/>
              <w:right w:val="single" w:sz="4" w:space="0" w:color="auto"/>
            </w:tcBorders>
            <w:shd w:val="clear" w:color="auto" w:fill="auto"/>
            <w:hideMark/>
          </w:tcPr>
          <w:p w14:paraId="519B3158" w14:textId="77777777" w:rsidR="003270A4" w:rsidRPr="008E63BB" w:rsidRDefault="003270A4" w:rsidP="003270A4">
            <w:pPr>
              <w:jc w:val="right"/>
              <w:rPr>
                <w:rFonts w:eastAsia="Times New Roman"/>
                <w:sz w:val="20"/>
                <w:szCs w:val="20"/>
              </w:rPr>
            </w:pPr>
            <w:r w:rsidRPr="008E63BB">
              <w:rPr>
                <w:sz w:val="20"/>
                <w:szCs w:val="20"/>
              </w:rPr>
              <w:t>0,95</w:t>
            </w:r>
          </w:p>
        </w:tc>
        <w:tc>
          <w:tcPr>
            <w:tcW w:w="918" w:type="dxa"/>
            <w:tcBorders>
              <w:top w:val="nil"/>
              <w:left w:val="nil"/>
              <w:bottom w:val="single" w:sz="4" w:space="0" w:color="auto"/>
              <w:right w:val="single" w:sz="4" w:space="0" w:color="auto"/>
            </w:tcBorders>
            <w:shd w:val="clear" w:color="auto" w:fill="auto"/>
            <w:hideMark/>
          </w:tcPr>
          <w:p w14:paraId="519B3159" w14:textId="77777777" w:rsidR="003270A4" w:rsidRPr="008E63BB" w:rsidRDefault="003270A4" w:rsidP="003270A4">
            <w:pPr>
              <w:jc w:val="right"/>
              <w:rPr>
                <w:rFonts w:eastAsia="Times New Roman"/>
                <w:sz w:val="20"/>
                <w:szCs w:val="20"/>
              </w:rPr>
            </w:pPr>
            <w:r w:rsidRPr="008E63BB">
              <w:rPr>
                <w:sz w:val="20"/>
                <w:szCs w:val="20"/>
              </w:rPr>
              <w:t>0,95</w:t>
            </w:r>
          </w:p>
        </w:tc>
      </w:tr>
      <w:tr w:rsidR="003270A4" w:rsidRPr="008E63BB" w14:paraId="519B3162"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5B" w14:textId="77777777" w:rsidR="003270A4" w:rsidRPr="008E63BB" w:rsidRDefault="003270A4" w:rsidP="003270A4">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5C" w14:textId="77777777" w:rsidR="003270A4" w:rsidRPr="008E63BB" w:rsidRDefault="003270A4" w:rsidP="003270A4">
            <w:pPr>
              <w:jc w:val="left"/>
              <w:rPr>
                <w:rFonts w:eastAsia="Times New Roman"/>
                <w:sz w:val="20"/>
                <w:szCs w:val="20"/>
              </w:rPr>
            </w:pPr>
            <w:r w:rsidRPr="008E63BB">
              <w:rPr>
                <w:rFonts w:eastAsia="Times New Roman"/>
                <w:sz w:val="20"/>
                <w:szCs w:val="20"/>
              </w:rPr>
              <w:t xml:space="preserve"> + tỷ lệ tăng cơ học do nhập cư, %/năm</w:t>
            </w:r>
          </w:p>
        </w:tc>
        <w:tc>
          <w:tcPr>
            <w:tcW w:w="918" w:type="dxa"/>
            <w:tcBorders>
              <w:top w:val="nil"/>
              <w:left w:val="nil"/>
              <w:bottom w:val="single" w:sz="4" w:space="0" w:color="auto"/>
              <w:right w:val="single" w:sz="4" w:space="0" w:color="auto"/>
            </w:tcBorders>
            <w:shd w:val="clear" w:color="auto" w:fill="auto"/>
            <w:hideMark/>
          </w:tcPr>
          <w:p w14:paraId="519B315D" w14:textId="77777777" w:rsidR="003270A4" w:rsidRPr="008E63BB" w:rsidRDefault="003270A4" w:rsidP="003270A4">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15E" w14:textId="77777777" w:rsidR="003270A4" w:rsidRPr="008E63BB" w:rsidRDefault="003270A4" w:rsidP="003270A4">
            <w:pPr>
              <w:jc w:val="right"/>
              <w:rPr>
                <w:rFonts w:eastAsia="Times New Roman"/>
                <w:sz w:val="20"/>
                <w:szCs w:val="20"/>
              </w:rPr>
            </w:pPr>
            <w:r w:rsidRPr="008E63BB">
              <w:rPr>
                <w:sz w:val="20"/>
                <w:szCs w:val="20"/>
              </w:rPr>
              <w:t>0,91</w:t>
            </w:r>
          </w:p>
        </w:tc>
        <w:tc>
          <w:tcPr>
            <w:tcW w:w="899" w:type="dxa"/>
            <w:tcBorders>
              <w:top w:val="nil"/>
              <w:left w:val="nil"/>
              <w:bottom w:val="single" w:sz="4" w:space="0" w:color="auto"/>
              <w:right w:val="single" w:sz="4" w:space="0" w:color="auto"/>
            </w:tcBorders>
            <w:shd w:val="clear" w:color="auto" w:fill="auto"/>
            <w:hideMark/>
          </w:tcPr>
          <w:p w14:paraId="519B315F" w14:textId="77777777" w:rsidR="003270A4" w:rsidRPr="008E63BB" w:rsidRDefault="003270A4" w:rsidP="003270A4">
            <w:pPr>
              <w:jc w:val="right"/>
              <w:rPr>
                <w:rFonts w:eastAsia="Times New Roman"/>
                <w:sz w:val="20"/>
                <w:szCs w:val="20"/>
              </w:rPr>
            </w:pPr>
            <w:r w:rsidRPr="008E63BB">
              <w:rPr>
                <w:sz w:val="20"/>
                <w:szCs w:val="20"/>
              </w:rPr>
              <w:t>1,13</w:t>
            </w:r>
          </w:p>
        </w:tc>
        <w:tc>
          <w:tcPr>
            <w:tcW w:w="880" w:type="dxa"/>
            <w:tcBorders>
              <w:top w:val="nil"/>
              <w:left w:val="nil"/>
              <w:bottom w:val="single" w:sz="4" w:space="0" w:color="auto"/>
              <w:right w:val="single" w:sz="4" w:space="0" w:color="auto"/>
            </w:tcBorders>
            <w:shd w:val="clear" w:color="auto" w:fill="auto"/>
            <w:hideMark/>
          </w:tcPr>
          <w:p w14:paraId="519B3160" w14:textId="77777777" w:rsidR="003270A4" w:rsidRPr="008E63BB" w:rsidRDefault="003270A4" w:rsidP="003270A4">
            <w:pPr>
              <w:jc w:val="right"/>
              <w:rPr>
                <w:rFonts w:eastAsia="Times New Roman"/>
                <w:sz w:val="20"/>
                <w:szCs w:val="20"/>
              </w:rPr>
            </w:pPr>
            <w:r w:rsidRPr="008E63BB">
              <w:rPr>
                <w:sz w:val="20"/>
                <w:szCs w:val="20"/>
              </w:rPr>
              <w:t>0,26</w:t>
            </w:r>
          </w:p>
        </w:tc>
        <w:tc>
          <w:tcPr>
            <w:tcW w:w="918" w:type="dxa"/>
            <w:tcBorders>
              <w:top w:val="nil"/>
              <w:left w:val="nil"/>
              <w:bottom w:val="single" w:sz="4" w:space="0" w:color="auto"/>
              <w:right w:val="single" w:sz="4" w:space="0" w:color="auto"/>
            </w:tcBorders>
            <w:shd w:val="clear" w:color="auto" w:fill="auto"/>
            <w:hideMark/>
          </w:tcPr>
          <w:p w14:paraId="519B3161" w14:textId="77777777" w:rsidR="003270A4" w:rsidRPr="008E63BB" w:rsidRDefault="003270A4" w:rsidP="003270A4">
            <w:pPr>
              <w:jc w:val="right"/>
              <w:rPr>
                <w:rFonts w:eastAsia="Times New Roman"/>
                <w:sz w:val="20"/>
                <w:szCs w:val="20"/>
              </w:rPr>
            </w:pPr>
            <w:r w:rsidRPr="008E63BB">
              <w:rPr>
                <w:sz w:val="20"/>
                <w:szCs w:val="20"/>
              </w:rPr>
              <w:t>0,21</w:t>
            </w:r>
          </w:p>
        </w:tc>
      </w:tr>
      <w:tr w:rsidR="003270A4" w:rsidRPr="008E63BB" w14:paraId="519B316A"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63" w14:textId="77777777" w:rsidR="003270A4" w:rsidRPr="008E63BB" w:rsidRDefault="003270A4" w:rsidP="003270A4">
            <w:pPr>
              <w:jc w:val="center"/>
              <w:rPr>
                <w:rFonts w:eastAsia="Times New Roman"/>
                <w:b/>
                <w:bCs/>
                <w:sz w:val="20"/>
                <w:szCs w:val="20"/>
              </w:rPr>
            </w:pPr>
            <w:r w:rsidRPr="008E63BB">
              <w:rPr>
                <w:rFonts w:eastAsia="Times New Roman"/>
                <w:b/>
                <w:bCs/>
                <w:sz w:val="20"/>
                <w:szCs w:val="20"/>
              </w:rPr>
              <w:t>2</w:t>
            </w:r>
          </w:p>
        </w:tc>
        <w:tc>
          <w:tcPr>
            <w:tcW w:w="4299" w:type="dxa"/>
            <w:tcBorders>
              <w:top w:val="nil"/>
              <w:left w:val="nil"/>
              <w:bottom w:val="single" w:sz="4" w:space="0" w:color="auto"/>
              <w:right w:val="single" w:sz="4" w:space="0" w:color="auto"/>
            </w:tcBorders>
            <w:shd w:val="clear" w:color="auto" w:fill="auto"/>
            <w:hideMark/>
          </w:tcPr>
          <w:p w14:paraId="519B3164" w14:textId="77777777" w:rsidR="003270A4" w:rsidRPr="008E63BB" w:rsidRDefault="003270A4" w:rsidP="003270A4">
            <w:pPr>
              <w:jc w:val="left"/>
              <w:rPr>
                <w:rFonts w:eastAsia="Times New Roman"/>
                <w:b/>
                <w:bCs/>
                <w:sz w:val="20"/>
                <w:szCs w:val="20"/>
              </w:rPr>
            </w:pPr>
            <w:r w:rsidRPr="008E63BB">
              <w:rPr>
                <w:rFonts w:eastAsia="Times New Roman"/>
                <w:b/>
                <w:bCs/>
                <w:sz w:val="20"/>
                <w:szCs w:val="20"/>
              </w:rPr>
              <w:t>Dân số nội thành (người)</w:t>
            </w:r>
          </w:p>
        </w:tc>
        <w:tc>
          <w:tcPr>
            <w:tcW w:w="918" w:type="dxa"/>
            <w:tcBorders>
              <w:top w:val="nil"/>
              <w:left w:val="nil"/>
              <w:bottom w:val="single" w:sz="4" w:space="0" w:color="auto"/>
              <w:right w:val="single" w:sz="4" w:space="0" w:color="auto"/>
            </w:tcBorders>
            <w:shd w:val="clear" w:color="auto" w:fill="auto"/>
            <w:hideMark/>
          </w:tcPr>
          <w:p w14:paraId="519B3165" w14:textId="77777777" w:rsidR="003270A4" w:rsidRPr="008E63BB" w:rsidRDefault="003270A4" w:rsidP="003270A4">
            <w:pPr>
              <w:jc w:val="right"/>
              <w:rPr>
                <w:rFonts w:eastAsia="Times New Roman"/>
                <w:b/>
                <w:bCs/>
                <w:sz w:val="20"/>
                <w:szCs w:val="20"/>
              </w:rPr>
            </w:pPr>
            <w:r w:rsidRPr="008E63BB">
              <w:rPr>
                <w:rFonts w:eastAsia="Times New Roman"/>
                <w:b/>
                <w:bCs/>
                <w:sz w:val="20"/>
                <w:szCs w:val="20"/>
              </w:rPr>
              <w:t>221.817</w:t>
            </w:r>
          </w:p>
        </w:tc>
        <w:tc>
          <w:tcPr>
            <w:tcW w:w="866" w:type="dxa"/>
            <w:tcBorders>
              <w:top w:val="nil"/>
              <w:left w:val="nil"/>
              <w:bottom w:val="single" w:sz="4" w:space="0" w:color="auto"/>
              <w:right w:val="single" w:sz="4" w:space="0" w:color="auto"/>
            </w:tcBorders>
            <w:shd w:val="clear" w:color="auto" w:fill="auto"/>
            <w:hideMark/>
          </w:tcPr>
          <w:p w14:paraId="519B3166" w14:textId="77777777" w:rsidR="003270A4" w:rsidRPr="008E63BB" w:rsidRDefault="003270A4" w:rsidP="003270A4">
            <w:pPr>
              <w:jc w:val="right"/>
              <w:rPr>
                <w:rFonts w:eastAsia="Times New Roman"/>
                <w:b/>
                <w:bCs/>
                <w:sz w:val="20"/>
                <w:szCs w:val="20"/>
              </w:rPr>
            </w:pPr>
            <w:r w:rsidRPr="008E63BB">
              <w:rPr>
                <w:b/>
                <w:bCs/>
                <w:sz w:val="20"/>
                <w:szCs w:val="20"/>
              </w:rPr>
              <w:t>235.889</w:t>
            </w:r>
          </w:p>
        </w:tc>
        <w:tc>
          <w:tcPr>
            <w:tcW w:w="899" w:type="dxa"/>
            <w:tcBorders>
              <w:top w:val="nil"/>
              <w:left w:val="nil"/>
              <w:bottom w:val="single" w:sz="4" w:space="0" w:color="auto"/>
              <w:right w:val="single" w:sz="4" w:space="0" w:color="auto"/>
            </w:tcBorders>
            <w:shd w:val="clear" w:color="auto" w:fill="auto"/>
            <w:hideMark/>
          </w:tcPr>
          <w:p w14:paraId="519B3167" w14:textId="77777777" w:rsidR="003270A4" w:rsidRPr="008E63BB" w:rsidRDefault="003270A4" w:rsidP="003270A4">
            <w:pPr>
              <w:jc w:val="right"/>
              <w:rPr>
                <w:rFonts w:eastAsia="Times New Roman"/>
                <w:b/>
                <w:bCs/>
                <w:sz w:val="20"/>
                <w:szCs w:val="20"/>
              </w:rPr>
            </w:pPr>
            <w:r w:rsidRPr="008E63BB">
              <w:rPr>
                <w:b/>
                <w:bCs/>
                <w:sz w:val="20"/>
                <w:szCs w:val="20"/>
              </w:rPr>
              <w:t>395.000</w:t>
            </w:r>
          </w:p>
        </w:tc>
        <w:tc>
          <w:tcPr>
            <w:tcW w:w="880" w:type="dxa"/>
            <w:tcBorders>
              <w:top w:val="nil"/>
              <w:left w:val="nil"/>
              <w:bottom w:val="single" w:sz="4" w:space="0" w:color="auto"/>
              <w:right w:val="single" w:sz="4" w:space="0" w:color="auto"/>
            </w:tcBorders>
            <w:shd w:val="clear" w:color="auto" w:fill="auto"/>
            <w:hideMark/>
          </w:tcPr>
          <w:p w14:paraId="519B3168" w14:textId="77777777" w:rsidR="003270A4" w:rsidRPr="008E63BB" w:rsidRDefault="003270A4" w:rsidP="003270A4">
            <w:pPr>
              <w:jc w:val="right"/>
              <w:rPr>
                <w:rFonts w:eastAsia="Times New Roman"/>
                <w:b/>
                <w:bCs/>
                <w:sz w:val="20"/>
                <w:szCs w:val="20"/>
              </w:rPr>
            </w:pPr>
            <w:r w:rsidRPr="008E63BB">
              <w:rPr>
                <w:b/>
                <w:bCs/>
                <w:sz w:val="20"/>
                <w:szCs w:val="20"/>
              </w:rPr>
              <w:t>505.000</w:t>
            </w:r>
          </w:p>
        </w:tc>
        <w:tc>
          <w:tcPr>
            <w:tcW w:w="918" w:type="dxa"/>
            <w:tcBorders>
              <w:top w:val="nil"/>
              <w:left w:val="nil"/>
              <w:bottom w:val="single" w:sz="4" w:space="0" w:color="auto"/>
              <w:right w:val="single" w:sz="4" w:space="0" w:color="auto"/>
            </w:tcBorders>
            <w:shd w:val="clear" w:color="auto" w:fill="auto"/>
            <w:hideMark/>
          </w:tcPr>
          <w:p w14:paraId="519B3169" w14:textId="77777777" w:rsidR="003270A4" w:rsidRPr="008E63BB" w:rsidRDefault="003270A4" w:rsidP="003270A4">
            <w:pPr>
              <w:jc w:val="right"/>
              <w:rPr>
                <w:rFonts w:eastAsia="Times New Roman"/>
                <w:b/>
                <w:bCs/>
                <w:sz w:val="20"/>
                <w:szCs w:val="20"/>
              </w:rPr>
            </w:pPr>
            <w:r w:rsidRPr="008E63BB">
              <w:rPr>
                <w:b/>
                <w:bCs/>
                <w:sz w:val="20"/>
                <w:szCs w:val="20"/>
              </w:rPr>
              <w:t>575.000</w:t>
            </w:r>
          </w:p>
        </w:tc>
      </w:tr>
      <w:tr w:rsidR="00E63C68" w:rsidRPr="008E63BB" w14:paraId="519B3172" w14:textId="77777777" w:rsidTr="00E63C68">
        <w:trPr>
          <w:trHeight w:val="315"/>
        </w:trPr>
        <w:tc>
          <w:tcPr>
            <w:tcW w:w="516" w:type="dxa"/>
            <w:tcBorders>
              <w:top w:val="nil"/>
              <w:left w:val="single" w:sz="4" w:space="0" w:color="auto"/>
              <w:bottom w:val="single" w:sz="4" w:space="0" w:color="auto"/>
              <w:right w:val="single" w:sz="4" w:space="0" w:color="auto"/>
            </w:tcBorders>
            <w:shd w:val="clear" w:color="auto" w:fill="auto"/>
            <w:hideMark/>
          </w:tcPr>
          <w:p w14:paraId="519B316B" w14:textId="77777777" w:rsidR="00E63C68" w:rsidRPr="008E63BB" w:rsidRDefault="00E63C68" w:rsidP="00E63C68">
            <w:pPr>
              <w:jc w:val="center"/>
              <w:rPr>
                <w:rFonts w:eastAsia="Times New Roman"/>
                <w:sz w:val="20"/>
                <w:szCs w:val="20"/>
              </w:rPr>
            </w:pPr>
            <w:r w:rsidRPr="008E63BB">
              <w:rPr>
                <w:rFonts w:eastAsia="Times New Roman"/>
                <w:sz w:val="20"/>
                <w:szCs w:val="20"/>
              </w:rPr>
              <w:t>-</w:t>
            </w:r>
          </w:p>
        </w:tc>
        <w:tc>
          <w:tcPr>
            <w:tcW w:w="4299" w:type="dxa"/>
            <w:tcBorders>
              <w:top w:val="nil"/>
              <w:left w:val="nil"/>
              <w:bottom w:val="single" w:sz="4" w:space="0" w:color="auto"/>
              <w:right w:val="single" w:sz="4" w:space="0" w:color="auto"/>
            </w:tcBorders>
            <w:shd w:val="clear" w:color="auto" w:fill="auto"/>
            <w:hideMark/>
          </w:tcPr>
          <w:p w14:paraId="519B316C" w14:textId="77777777" w:rsidR="00E63C68" w:rsidRPr="008E63BB" w:rsidRDefault="00E63C68" w:rsidP="00E63C68">
            <w:pPr>
              <w:jc w:val="left"/>
              <w:rPr>
                <w:rFonts w:eastAsia="Times New Roman"/>
                <w:sz w:val="20"/>
                <w:szCs w:val="20"/>
              </w:rPr>
            </w:pPr>
            <w:r w:rsidRPr="008E63BB">
              <w:rPr>
                <w:rFonts w:eastAsia="Times New Roman"/>
                <w:sz w:val="20"/>
                <w:szCs w:val="20"/>
              </w:rPr>
              <w:t>Tỷ lệ tăng dân số nội thành trung bình, %/năm</w:t>
            </w:r>
          </w:p>
        </w:tc>
        <w:tc>
          <w:tcPr>
            <w:tcW w:w="918" w:type="dxa"/>
            <w:tcBorders>
              <w:top w:val="nil"/>
              <w:left w:val="nil"/>
              <w:bottom w:val="single" w:sz="4" w:space="0" w:color="auto"/>
              <w:right w:val="single" w:sz="4" w:space="0" w:color="auto"/>
            </w:tcBorders>
            <w:shd w:val="clear" w:color="auto" w:fill="auto"/>
            <w:hideMark/>
          </w:tcPr>
          <w:p w14:paraId="519B316D" w14:textId="77777777" w:rsidR="00E63C68" w:rsidRPr="008E63BB" w:rsidRDefault="00E63C68" w:rsidP="00E63C68">
            <w:pPr>
              <w:jc w:val="center"/>
              <w:rPr>
                <w:rFonts w:eastAsia="Times New Roman"/>
                <w:sz w:val="20"/>
                <w:szCs w:val="20"/>
              </w:rPr>
            </w:pPr>
            <w:r w:rsidRPr="008E63BB">
              <w:rPr>
                <w:rFonts w:eastAsia="Times New Roman"/>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6E" w14:textId="77777777" w:rsidR="00E63C68" w:rsidRPr="008E63BB" w:rsidRDefault="00E63C68" w:rsidP="00E63C68">
            <w:pPr>
              <w:jc w:val="right"/>
              <w:rPr>
                <w:rFonts w:eastAsia="Times New Roman"/>
                <w:sz w:val="20"/>
                <w:szCs w:val="20"/>
              </w:rPr>
            </w:pPr>
            <w:r w:rsidRPr="008E63BB">
              <w:rPr>
                <w:rFonts w:eastAsia="Times New Roman"/>
                <w:sz w:val="20"/>
                <w:szCs w:val="20"/>
              </w:rPr>
              <w:t>0,56</w:t>
            </w:r>
          </w:p>
        </w:tc>
        <w:tc>
          <w:tcPr>
            <w:tcW w:w="899" w:type="dxa"/>
            <w:tcBorders>
              <w:top w:val="nil"/>
              <w:left w:val="nil"/>
              <w:bottom w:val="single" w:sz="4" w:space="0" w:color="auto"/>
              <w:right w:val="single" w:sz="4" w:space="0" w:color="auto"/>
            </w:tcBorders>
            <w:shd w:val="clear" w:color="auto" w:fill="auto"/>
            <w:hideMark/>
          </w:tcPr>
          <w:p w14:paraId="519B316F" w14:textId="77777777" w:rsidR="00E63C68" w:rsidRPr="008E63BB" w:rsidRDefault="00E63C68" w:rsidP="00E63C68">
            <w:pPr>
              <w:jc w:val="right"/>
              <w:rPr>
                <w:rFonts w:eastAsia="Times New Roman"/>
                <w:sz w:val="20"/>
                <w:szCs w:val="20"/>
              </w:rPr>
            </w:pPr>
            <w:r w:rsidRPr="008E63BB">
              <w:rPr>
                <w:bCs/>
                <w:iCs/>
                <w:sz w:val="20"/>
                <w:szCs w:val="20"/>
              </w:rPr>
              <w:t>4,8</w:t>
            </w:r>
          </w:p>
        </w:tc>
        <w:tc>
          <w:tcPr>
            <w:tcW w:w="880" w:type="dxa"/>
            <w:tcBorders>
              <w:top w:val="nil"/>
              <w:left w:val="nil"/>
              <w:bottom w:val="single" w:sz="4" w:space="0" w:color="auto"/>
              <w:right w:val="single" w:sz="4" w:space="0" w:color="auto"/>
            </w:tcBorders>
            <w:shd w:val="clear" w:color="auto" w:fill="auto"/>
            <w:hideMark/>
          </w:tcPr>
          <w:p w14:paraId="519B3170" w14:textId="77777777" w:rsidR="00E63C68" w:rsidRPr="008E63BB" w:rsidRDefault="00E63C68" w:rsidP="00E63C68">
            <w:pPr>
              <w:jc w:val="right"/>
              <w:rPr>
                <w:rFonts w:eastAsia="Times New Roman"/>
                <w:sz w:val="20"/>
                <w:szCs w:val="20"/>
              </w:rPr>
            </w:pPr>
            <w:r w:rsidRPr="008E63BB">
              <w:rPr>
                <w:bCs/>
                <w:iCs/>
                <w:sz w:val="20"/>
                <w:szCs w:val="20"/>
              </w:rPr>
              <w:t>2,5</w:t>
            </w:r>
          </w:p>
        </w:tc>
        <w:tc>
          <w:tcPr>
            <w:tcW w:w="918" w:type="dxa"/>
            <w:tcBorders>
              <w:top w:val="nil"/>
              <w:left w:val="nil"/>
              <w:bottom w:val="single" w:sz="4" w:space="0" w:color="auto"/>
              <w:right w:val="single" w:sz="4" w:space="0" w:color="auto"/>
            </w:tcBorders>
            <w:shd w:val="clear" w:color="auto" w:fill="auto"/>
            <w:hideMark/>
          </w:tcPr>
          <w:p w14:paraId="519B3171" w14:textId="77777777" w:rsidR="00E63C68" w:rsidRPr="008E63BB" w:rsidRDefault="00E63C68" w:rsidP="00E63C68">
            <w:pPr>
              <w:jc w:val="right"/>
              <w:rPr>
                <w:rFonts w:eastAsia="Times New Roman"/>
                <w:sz w:val="20"/>
                <w:szCs w:val="20"/>
              </w:rPr>
            </w:pPr>
            <w:r w:rsidRPr="008E63BB">
              <w:rPr>
                <w:bCs/>
                <w:iCs/>
                <w:sz w:val="20"/>
                <w:szCs w:val="20"/>
              </w:rPr>
              <w:t>1,3</w:t>
            </w:r>
          </w:p>
        </w:tc>
      </w:tr>
      <w:tr w:rsidR="00E63C68" w:rsidRPr="008E63BB" w14:paraId="519B317A"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73"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74"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 + tỷ lệ tăng tự nhiên, %/năm</w:t>
            </w:r>
          </w:p>
        </w:tc>
        <w:tc>
          <w:tcPr>
            <w:tcW w:w="918" w:type="dxa"/>
            <w:tcBorders>
              <w:top w:val="nil"/>
              <w:left w:val="nil"/>
              <w:bottom w:val="single" w:sz="4" w:space="0" w:color="auto"/>
              <w:right w:val="single" w:sz="4" w:space="0" w:color="auto"/>
            </w:tcBorders>
            <w:shd w:val="clear" w:color="auto" w:fill="auto"/>
            <w:hideMark/>
          </w:tcPr>
          <w:p w14:paraId="519B3175"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hideMark/>
          </w:tcPr>
          <w:p w14:paraId="519B3176" w14:textId="77777777" w:rsidR="00E63C68" w:rsidRPr="008E63BB" w:rsidRDefault="00E63C68" w:rsidP="00E63C68">
            <w:pPr>
              <w:jc w:val="right"/>
              <w:rPr>
                <w:rFonts w:eastAsia="Times New Roman"/>
                <w:sz w:val="20"/>
                <w:szCs w:val="20"/>
              </w:rPr>
            </w:pPr>
            <w:r w:rsidRPr="008E63BB">
              <w:rPr>
                <w:rFonts w:eastAsia="Times New Roman"/>
                <w:sz w:val="20"/>
                <w:szCs w:val="20"/>
              </w:rPr>
              <w:t>1,00</w:t>
            </w:r>
          </w:p>
        </w:tc>
        <w:tc>
          <w:tcPr>
            <w:tcW w:w="899" w:type="dxa"/>
            <w:tcBorders>
              <w:top w:val="nil"/>
              <w:left w:val="nil"/>
              <w:bottom w:val="single" w:sz="4" w:space="0" w:color="auto"/>
              <w:right w:val="single" w:sz="4" w:space="0" w:color="auto"/>
            </w:tcBorders>
            <w:shd w:val="clear" w:color="auto" w:fill="auto"/>
            <w:hideMark/>
          </w:tcPr>
          <w:p w14:paraId="519B3177" w14:textId="77777777" w:rsidR="00E63C68" w:rsidRPr="008E63BB" w:rsidRDefault="00E63C68" w:rsidP="00E63C68">
            <w:pPr>
              <w:jc w:val="right"/>
              <w:rPr>
                <w:rFonts w:eastAsia="Times New Roman"/>
                <w:sz w:val="20"/>
                <w:szCs w:val="20"/>
              </w:rPr>
            </w:pPr>
            <w:r w:rsidRPr="008E63BB">
              <w:rPr>
                <w:sz w:val="20"/>
                <w:szCs w:val="20"/>
              </w:rPr>
              <w:t>1,00</w:t>
            </w:r>
          </w:p>
        </w:tc>
        <w:tc>
          <w:tcPr>
            <w:tcW w:w="880" w:type="dxa"/>
            <w:tcBorders>
              <w:top w:val="nil"/>
              <w:left w:val="nil"/>
              <w:bottom w:val="single" w:sz="4" w:space="0" w:color="auto"/>
              <w:right w:val="single" w:sz="4" w:space="0" w:color="auto"/>
            </w:tcBorders>
            <w:shd w:val="clear" w:color="auto" w:fill="auto"/>
            <w:hideMark/>
          </w:tcPr>
          <w:p w14:paraId="519B3178" w14:textId="77777777" w:rsidR="00E63C68" w:rsidRPr="008E63BB" w:rsidRDefault="00E63C68" w:rsidP="00E63C68">
            <w:pPr>
              <w:jc w:val="right"/>
              <w:rPr>
                <w:rFonts w:eastAsia="Times New Roman"/>
                <w:sz w:val="20"/>
                <w:szCs w:val="20"/>
              </w:rPr>
            </w:pPr>
            <w:r w:rsidRPr="008E63BB">
              <w:rPr>
                <w:sz w:val="20"/>
                <w:szCs w:val="20"/>
              </w:rPr>
              <w:t>0,95</w:t>
            </w:r>
          </w:p>
        </w:tc>
        <w:tc>
          <w:tcPr>
            <w:tcW w:w="918" w:type="dxa"/>
            <w:tcBorders>
              <w:top w:val="nil"/>
              <w:left w:val="nil"/>
              <w:bottom w:val="single" w:sz="4" w:space="0" w:color="auto"/>
              <w:right w:val="single" w:sz="4" w:space="0" w:color="auto"/>
            </w:tcBorders>
            <w:shd w:val="clear" w:color="auto" w:fill="auto"/>
            <w:hideMark/>
          </w:tcPr>
          <w:p w14:paraId="519B3179" w14:textId="77777777" w:rsidR="00E63C68" w:rsidRPr="008E63BB" w:rsidRDefault="00E63C68" w:rsidP="00E63C68">
            <w:pPr>
              <w:jc w:val="right"/>
              <w:rPr>
                <w:rFonts w:eastAsia="Times New Roman"/>
                <w:sz w:val="20"/>
                <w:szCs w:val="20"/>
              </w:rPr>
            </w:pPr>
            <w:r w:rsidRPr="008E63BB">
              <w:rPr>
                <w:sz w:val="20"/>
                <w:szCs w:val="20"/>
              </w:rPr>
              <w:t>0,95</w:t>
            </w:r>
          </w:p>
        </w:tc>
      </w:tr>
      <w:tr w:rsidR="00E63C68" w:rsidRPr="008E63BB" w14:paraId="519B3182"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7B"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7C"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 + Tỷ lệ tăng dân số do đô thị hóa, %/năm</w:t>
            </w:r>
          </w:p>
        </w:tc>
        <w:tc>
          <w:tcPr>
            <w:tcW w:w="918" w:type="dxa"/>
            <w:tcBorders>
              <w:top w:val="nil"/>
              <w:left w:val="nil"/>
              <w:bottom w:val="single" w:sz="4" w:space="0" w:color="auto"/>
              <w:right w:val="single" w:sz="4" w:space="0" w:color="auto"/>
            </w:tcBorders>
            <w:shd w:val="clear" w:color="auto" w:fill="auto"/>
            <w:hideMark/>
          </w:tcPr>
          <w:p w14:paraId="519B317D" w14:textId="77777777" w:rsidR="00E63C68" w:rsidRPr="008E63BB" w:rsidRDefault="00E63C68" w:rsidP="00E63C68">
            <w:pPr>
              <w:jc w:val="center"/>
              <w:rPr>
                <w:rFonts w:eastAsia="Times New Roman"/>
                <w:sz w:val="20"/>
                <w:szCs w:val="20"/>
              </w:rPr>
            </w:pPr>
            <w:r w:rsidRPr="008E63BB">
              <w:rPr>
                <w:rFonts w:eastAsia="Times New Roman"/>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7E" w14:textId="77777777" w:rsidR="00E63C68" w:rsidRPr="008E63BB" w:rsidRDefault="00E63C68" w:rsidP="00E63C68">
            <w:pPr>
              <w:jc w:val="right"/>
              <w:rPr>
                <w:rFonts w:eastAsia="Times New Roman"/>
                <w:sz w:val="20"/>
                <w:szCs w:val="20"/>
              </w:rPr>
            </w:pPr>
            <w:r w:rsidRPr="008E63BB">
              <w:rPr>
                <w:rFonts w:eastAsia="Times New Roman"/>
                <w:sz w:val="20"/>
                <w:szCs w:val="20"/>
              </w:rPr>
              <w:t>-0,34</w:t>
            </w:r>
          </w:p>
        </w:tc>
        <w:tc>
          <w:tcPr>
            <w:tcW w:w="899" w:type="dxa"/>
            <w:tcBorders>
              <w:top w:val="nil"/>
              <w:left w:val="nil"/>
              <w:bottom w:val="single" w:sz="4" w:space="0" w:color="auto"/>
              <w:right w:val="single" w:sz="4" w:space="0" w:color="auto"/>
            </w:tcBorders>
            <w:shd w:val="clear" w:color="auto" w:fill="auto"/>
            <w:hideMark/>
          </w:tcPr>
          <w:p w14:paraId="519B317F" w14:textId="77777777" w:rsidR="00E63C68" w:rsidRPr="008E63BB" w:rsidRDefault="00E63C68" w:rsidP="00E63C68">
            <w:pPr>
              <w:jc w:val="right"/>
              <w:rPr>
                <w:rFonts w:eastAsia="Times New Roman"/>
                <w:sz w:val="20"/>
                <w:szCs w:val="20"/>
              </w:rPr>
            </w:pPr>
            <w:r w:rsidRPr="008E63BB">
              <w:rPr>
                <w:sz w:val="20"/>
                <w:szCs w:val="20"/>
              </w:rPr>
              <w:t>0,5</w:t>
            </w:r>
          </w:p>
        </w:tc>
        <w:tc>
          <w:tcPr>
            <w:tcW w:w="880" w:type="dxa"/>
            <w:tcBorders>
              <w:top w:val="nil"/>
              <w:left w:val="nil"/>
              <w:bottom w:val="single" w:sz="4" w:space="0" w:color="auto"/>
              <w:right w:val="single" w:sz="4" w:space="0" w:color="auto"/>
            </w:tcBorders>
            <w:shd w:val="clear" w:color="auto" w:fill="auto"/>
            <w:hideMark/>
          </w:tcPr>
          <w:p w14:paraId="519B3180" w14:textId="77777777" w:rsidR="00E63C68" w:rsidRPr="008E63BB" w:rsidRDefault="00E63C68" w:rsidP="00E63C68">
            <w:pPr>
              <w:jc w:val="right"/>
              <w:rPr>
                <w:rFonts w:eastAsia="Times New Roman"/>
                <w:sz w:val="20"/>
                <w:szCs w:val="20"/>
              </w:rPr>
            </w:pPr>
            <w:r w:rsidRPr="008E63BB">
              <w:rPr>
                <w:sz w:val="20"/>
                <w:szCs w:val="20"/>
              </w:rPr>
              <w:t>0,6</w:t>
            </w:r>
          </w:p>
        </w:tc>
        <w:tc>
          <w:tcPr>
            <w:tcW w:w="918" w:type="dxa"/>
            <w:tcBorders>
              <w:top w:val="nil"/>
              <w:left w:val="nil"/>
              <w:bottom w:val="single" w:sz="4" w:space="0" w:color="auto"/>
              <w:right w:val="single" w:sz="4" w:space="0" w:color="auto"/>
            </w:tcBorders>
            <w:shd w:val="clear" w:color="auto" w:fill="auto"/>
            <w:hideMark/>
          </w:tcPr>
          <w:p w14:paraId="519B3181" w14:textId="77777777" w:rsidR="00E63C68" w:rsidRPr="008E63BB" w:rsidRDefault="00E63C68" w:rsidP="00E63C68">
            <w:pPr>
              <w:jc w:val="right"/>
              <w:rPr>
                <w:rFonts w:eastAsia="Times New Roman"/>
                <w:sz w:val="20"/>
                <w:szCs w:val="20"/>
              </w:rPr>
            </w:pPr>
            <w:r w:rsidRPr="008E63BB">
              <w:rPr>
                <w:sz w:val="20"/>
                <w:szCs w:val="20"/>
              </w:rPr>
              <w:t>0,3</w:t>
            </w:r>
          </w:p>
        </w:tc>
      </w:tr>
      <w:tr w:rsidR="00E63C68" w:rsidRPr="008E63BB" w14:paraId="519B318A" w14:textId="77777777" w:rsidTr="00E63C68">
        <w:trPr>
          <w:trHeight w:val="300"/>
        </w:trPr>
        <w:tc>
          <w:tcPr>
            <w:tcW w:w="516" w:type="dxa"/>
            <w:tcBorders>
              <w:top w:val="nil"/>
              <w:left w:val="single" w:sz="4" w:space="0" w:color="auto"/>
              <w:bottom w:val="single" w:sz="4" w:space="0" w:color="auto"/>
              <w:right w:val="single" w:sz="4" w:space="0" w:color="auto"/>
            </w:tcBorders>
            <w:shd w:val="clear" w:color="auto" w:fill="auto"/>
            <w:hideMark/>
          </w:tcPr>
          <w:p w14:paraId="519B3183"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4299" w:type="dxa"/>
            <w:tcBorders>
              <w:top w:val="nil"/>
              <w:left w:val="nil"/>
              <w:bottom w:val="single" w:sz="4" w:space="0" w:color="auto"/>
              <w:right w:val="single" w:sz="4" w:space="0" w:color="auto"/>
            </w:tcBorders>
            <w:shd w:val="clear" w:color="auto" w:fill="auto"/>
            <w:hideMark/>
          </w:tcPr>
          <w:p w14:paraId="519B3184"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 + tỷ lệ tăng cơ học do nhập cư, %/năm</w:t>
            </w:r>
          </w:p>
        </w:tc>
        <w:tc>
          <w:tcPr>
            <w:tcW w:w="918" w:type="dxa"/>
            <w:tcBorders>
              <w:top w:val="nil"/>
              <w:left w:val="nil"/>
              <w:bottom w:val="single" w:sz="4" w:space="0" w:color="auto"/>
              <w:right w:val="single" w:sz="4" w:space="0" w:color="auto"/>
            </w:tcBorders>
            <w:shd w:val="clear" w:color="auto" w:fill="auto"/>
            <w:hideMark/>
          </w:tcPr>
          <w:p w14:paraId="519B3185" w14:textId="77777777" w:rsidR="00E63C68" w:rsidRPr="008E63BB" w:rsidRDefault="00E63C68" w:rsidP="00E63C68">
            <w:pPr>
              <w:jc w:val="center"/>
              <w:rPr>
                <w:rFonts w:eastAsia="Times New Roman"/>
                <w:sz w:val="20"/>
                <w:szCs w:val="20"/>
              </w:rPr>
            </w:pPr>
            <w:r w:rsidRPr="008E63BB">
              <w:rPr>
                <w:rFonts w:eastAsia="Times New Roman"/>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86" w14:textId="77777777" w:rsidR="00E63C68" w:rsidRPr="008E63BB" w:rsidRDefault="00E63C68" w:rsidP="00E63C68">
            <w:pPr>
              <w:jc w:val="right"/>
              <w:rPr>
                <w:rFonts w:eastAsia="Times New Roman"/>
                <w:sz w:val="20"/>
                <w:szCs w:val="20"/>
              </w:rPr>
            </w:pPr>
            <w:r w:rsidRPr="008E63BB">
              <w:rPr>
                <w:rFonts w:eastAsia="Times New Roman"/>
                <w:sz w:val="20"/>
                <w:szCs w:val="20"/>
              </w:rPr>
              <w:t>-0,10</w:t>
            </w:r>
          </w:p>
        </w:tc>
        <w:tc>
          <w:tcPr>
            <w:tcW w:w="899" w:type="dxa"/>
            <w:tcBorders>
              <w:top w:val="nil"/>
              <w:left w:val="nil"/>
              <w:bottom w:val="single" w:sz="4" w:space="0" w:color="auto"/>
              <w:right w:val="single" w:sz="4" w:space="0" w:color="auto"/>
            </w:tcBorders>
            <w:shd w:val="clear" w:color="auto" w:fill="auto"/>
            <w:hideMark/>
          </w:tcPr>
          <w:p w14:paraId="519B3187" w14:textId="77777777" w:rsidR="00E63C68" w:rsidRPr="008E63BB" w:rsidRDefault="00E63C68" w:rsidP="00E63C68">
            <w:pPr>
              <w:jc w:val="right"/>
              <w:rPr>
                <w:rFonts w:eastAsia="Times New Roman"/>
                <w:sz w:val="20"/>
                <w:szCs w:val="20"/>
              </w:rPr>
            </w:pPr>
            <w:r w:rsidRPr="008E63BB">
              <w:rPr>
                <w:sz w:val="20"/>
                <w:szCs w:val="20"/>
              </w:rPr>
              <w:t>3,3</w:t>
            </w:r>
          </w:p>
        </w:tc>
        <w:tc>
          <w:tcPr>
            <w:tcW w:w="880" w:type="dxa"/>
            <w:tcBorders>
              <w:top w:val="nil"/>
              <w:left w:val="nil"/>
              <w:bottom w:val="single" w:sz="4" w:space="0" w:color="auto"/>
              <w:right w:val="single" w:sz="4" w:space="0" w:color="auto"/>
            </w:tcBorders>
            <w:shd w:val="clear" w:color="auto" w:fill="auto"/>
            <w:hideMark/>
          </w:tcPr>
          <w:p w14:paraId="519B3188" w14:textId="77777777" w:rsidR="00E63C68" w:rsidRPr="008E63BB" w:rsidRDefault="00E63C68" w:rsidP="00E63C68">
            <w:pPr>
              <w:jc w:val="right"/>
              <w:rPr>
                <w:rFonts w:eastAsia="Times New Roman"/>
                <w:sz w:val="20"/>
                <w:szCs w:val="20"/>
              </w:rPr>
            </w:pPr>
            <w:r w:rsidRPr="008E63BB">
              <w:rPr>
                <w:sz w:val="20"/>
                <w:szCs w:val="20"/>
              </w:rPr>
              <w:t>0,9</w:t>
            </w:r>
          </w:p>
        </w:tc>
        <w:tc>
          <w:tcPr>
            <w:tcW w:w="918" w:type="dxa"/>
            <w:tcBorders>
              <w:top w:val="nil"/>
              <w:left w:val="nil"/>
              <w:bottom w:val="single" w:sz="4" w:space="0" w:color="auto"/>
              <w:right w:val="single" w:sz="4" w:space="0" w:color="auto"/>
            </w:tcBorders>
            <w:shd w:val="clear" w:color="auto" w:fill="auto"/>
            <w:hideMark/>
          </w:tcPr>
          <w:p w14:paraId="519B3189" w14:textId="77777777" w:rsidR="00E63C68" w:rsidRPr="008E63BB" w:rsidRDefault="00E63C68" w:rsidP="00E63C68">
            <w:pPr>
              <w:jc w:val="right"/>
              <w:rPr>
                <w:rFonts w:eastAsia="Times New Roman"/>
                <w:sz w:val="20"/>
                <w:szCs w:val="20"/>
              </w:rPr>
            </w:pPr>
            <w:r w:rsidRPr="008E63BB">
              <w:rPr>
                <w:sz w:val="20"/>
                <w:szCs w:val="20"/>
              </w:rPr>
              <w:t>0,1</w:t>
            </w:r>
          </w:p>
        </w:tc>
      </w:tr>
      <w:tr w:rsidR="00E63C68" w:rsidRPr="008E63BB" w14:paraId="519B3192" w14:textId="77777777" w:rsidTr="00E63C68">
        <w:trPr>
          <w:trHeight w:val="765"/>
        </w:trPr>
        <w:tc>
          <w:tcPr>
            <w:tcW w:w="516" w:type="dxa"/>
            <w:tcBorders>
              <w:top w:val="nil"/>
              <w:left w:val="single" w:sz="4" w:space="0" w:color="auto"/>
              <w:bottom w:val="single" w:sz="4" w:space="0" w:color="auto"/>
              <w:right w:val="single" w:sz="4" w:space="0" w:color="auto"/>
            </w:tcBorders>
            <w:shd w:val="clear" w:color="auto" w:fill="auto"/>
            <w:hideMark/>
          </w:tcPr>
          <w:p w14:paraId="519B318B"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3</w:t>
            </w:r>
          </w:p>
        </w:tc>
        <w:tc>
          <w:tcPr>
            <w:tcW w:w="4299" w:type="dxa"/>
            <w:tcBorders>
              <w:top w:val="nil"/>
              <w:left w:val="nil"/>
              <w:bottom w:val="single" w:sz="4" w:space="0" w:color="auto"/>
              <w:right w:val="single" w:sz="4" w:space="0" w:color="auto"/>
            </w:tcBorders>
            <w:shd w:val="clear" w:color="auto" w:fill="auto"/>
            <w:hideMark/>
          </w:tcPr>
          <w:p w14:paraId="519B318C"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Dân số khác (Sinh viên nội trú, lực lượng vũ trang,  khách vãng lai, lao động con lắc v.v. = 5%-10% dân số chính thức)</w:t>
            </w:r>
          </w:p>
        </w:tc>
        <w:tc>
          <w:tcPr>
            <w:tcW w:w="918" w:type="dxa"/>
            <w:tcBorders>
              <w:top w:val="nil"/>
              <w:left w:val="nil"/>
              <w:bottom w:val="single" w:sz="4" w:space="0" w:color="auto"/>
              <w:right w:val="single" w:sz="4" w:space="0" w:color="auto"/>
            </w:tcBorders>
            <w:shd w:val="clear" w:color="auto" w:fill="auto"/>
            <w:hideMark/>
          </w:tcPr>
          <w:p w14:paraId="519B318D"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 -</w:t>
            </w:r>
          </w:p>
        </w:tc>
        <w:tc>
          <w:tcPr>
            <w:tcW w:w="866" w:type="dxa"/>
            <w:tcBorders>
              <w:top w:val="nil"/>
              <w:left w:val="nil"/>
              <w:bottom w:val="single" w:sz="4" w:space="0" w:color="auto"/>
              <w:right w:val="single" w:sz="4" w:space="0" w:color="auto"/>
            </w:tcBorders>
            <w:shd w:val="clear" w:color="auto" w:fill="auto"/>
            <w:hideMark/>
          </w:tcPr>
          <w:p w14:paraId="519B318E"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 -</w:t>
            </w:r>
          </w:p>
        </w:tc>
        <w:tc>
          <w:tcPr>
            <w:tcW w:w="899" w:type="dxa"/>
            <w:tcBorders>
              <w:top w:val="nil"/>
              <w:left w:val="nil"/>
              <w:bottom w:val="single" w:sz="4" w:space="0" w:color="auto"/>
              <w:right w:val="single" w:sz="4" w:space="0" w:color="auto"/>
            </w:tcBorders>
            <w:shd w:val="clear" w:color="auto" w:fill="auto"/>
            <w:hideMark/>
          </w:tcPr>
          <w:p w14:paraId="519B318F"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45.000</w:t>
            </w:r>
          </w:p>
        </w:tc>
        <w:tc>
          <w:tcPr>
            <w:tcW w:w="880" w:type="dxa"/>
            <w:tcBorders>
              <w:top w:val="nil"/>
              <w:left w:val="nil"/>
              <w:bottom w:val="single" w:sz="4" w:space="0" w:color="auto"/>
              <w:right w:val="single" w:sz="4" w:space="0" w:color="auto"/>
            </w:tcBorders>
            <w:shd w:val="clear" w:color="auto" w:fill="auto"/>
            <w:hideMark/>
          </w:tcPr>
          <w:p w14:paraId="519B3190"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55.000</w:t>
            </w:r>
          </w:p>
        </w:tc>
        <w:tc>
          <w:tcPr>
            <w:tcW w:w="918" w:type="dxa"/>
            <w:tcBorders>
              <w:top w:val="nil"/>
              <w:left w:val="nil"/>
              <w:bottom w:val="single" w:sz="4" w:space="0" w:color="auto"/>
              <w:right w:val="single" w:sz="4" w:space="0" w:color="auto"/>
            </w:tcBorders>
            <w:shd w:val="clear" w:color="auto" w:fill="auto"/>
            <w:hideMark/>
          </w:tcPr>
          <w:p w14:paraId="519B3191"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65.000</w:t>
            </w:r>
          </w:p>
        </w:tc>
      </w:tr>
    </w:tbl>
    <w:p w14:paraId="519B3193" w14:textId="77777777" w:rsidR="00E63C68" w:rsidRPr="008E63BB" w:rsidRDefault="00E63C68" w:rsidP="00E63C68">
      <w:pPr>
        <w:rPr>
          <w:b/>
          <w:lang w:val="it-IT"/>
        </w:rPr>
      </w:pPr>
      <w:r w:rsidRPr="008E63BB">
        <w:rPr>
          <w:b/>
          <w:lang w:val="it-IT"/>
        </w:rPr>
        <w:t>B. Dự báo Lao động:</w:t>
      </w:r>
    </w:p>
    <w:p w14:paraId="519B3194" w14:textId="77777777" w:rsidR="00E63C68" w:rsidRPr="008E63BB" w:rsidRDefault="00E63C68" w:rsidP="00E63C68">
      <w:pPr>
        <w:pStyle w:val="ListParagraph"/>
        <w:numPr>
          <w:ilvl w:val="0"/>
          <w:numId w:val="37"/>
        </w:numPr>
        <w:tabs>
          <w:tab w:val="left" w:pos="1276"/>
        </w:tabs>
        <w:ind w:left="0" w:firstLine="916"/>
        <w:contextualSpacing w:val="0"/>
        <w:rPr>
          <w:rFonts w:eastAsia="Arial Unicode MS"/>
          <w:sz w:val="26"/>
          <w:szCs w:val="26"/>
          <w:u w:color="000000"/>
        </w:rPr>
      </w:pPr>
      <w:r w:rsidRPr="008E63BB">
        <w:rPr>
          <w:rFonts w:eastAsia="Arial Unicode MS"/>
          <w:sz w:val="26"/>
          <w:szCs w:val="26"/>
          <w:u w:color="000000"/>
        </w:rPr>
        <w:t>Lao động khu vực quy hoạch có sự thay đổi theo hướng tăng dần tỷ trọng khu vực công nghiệp – xây dựng, khu vực dịch vụ - thương mại – du lịch và giảm mạnh khu vực nông, lâm, thủy sản. Theo đó các khu, cụm công nghiệp giai đoạn đầu áp dụng tiến bộ khoa học kỹ thuật, cải tiến quy trình sản xuất và nâng cao trình độ quản lý để tăng nâng suất lao động từ đó giảm được số lượng lao động. Thu hút lực lượng lao động trong lĩnh vực du lịch từ nơi khác đến và thúc đẩy việc chuyển đổi nghề nghiệp các khu vực khác sang khu vực dịch vụ - thương mại – du lịch hướng tới trở thành trung tâm dịch vụ – công nghiệp kho bãi.</w:t>
      </w:r>
    </w:p>
    <w:p w14:paraId="519B3195" w14:textId="77777777" w:rsidR="00E63C68" w:rsidRPr="008E63BB" w:rsidRDefault="00E63C68" w:rsidP="00E63C68">
      <w:pPr>
        <w:tabs>
          <w:tab w:val="left" w:pos="1276"/>
        </w:tabs>
        <w:rPr>
          <w:rFonts w:eastAsia="Arial Unicode MS"/>
          <w:szCs w:val="26"/>
          <w:u w:color="000000"/>
        </w:rPr>
      </w:pPr>
      <w:r w:rsidRPr="008E63BB">
        <w:rPr>
          <w:rFonts w:eastAsia="Arial Unicode MS"/>
          <w:szCs w:val="26"/>
          <w:u w:color="000000"/>
        </w:rPr>
        <w:t>Bảng: Dự báo lao động trong các ngành kinh tế:</w:t>
      </w:r>
    </w:p>
    <w:tbl>
      <w:tblPr>
        <w:tblW w:w="5005"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5"/>
        <w:gridCol w:w="3483"/>
        <w:gridCol w:w="1044"/>
        <w:gridCol w:w="766"/>
        <w:gridCol w:w="1069"/>
        <w:gridCol w:w="859"/>
        <w:gridCol w:w="6"/>
        <w:gridCol w:w="1006"/>
        <w:gridCol w:w="799"/>
      </w:tblGrid>
      <w:tr w:rsidR="00E63C68" w:rsidRPr="008E63BB" w14:paraId="519B319B" w14:textId="77777777" w:rsidTr="00E63C68">
        <w:trPr>
          <w:trHeight w:val="359"/>
        </w:trPr>
        <w:tc>
          <w:tcPr>
            <w:tcW w:w="250" w:type="pct"/>
            <w:vMerge w:val="restart"/>
            <w:shd w:val="clear" w:color="auto" w:fill="auto"/>
            <w:noWrap/>
            <w:vAlign w:val="center"/>
            <w:hideMark/>
          </w:tcPr>
          <w:p w14:paraId="519B3196"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TT</w:t>
            </w:r>
          </w:p>
        </w:tc>
        <w:tc>
          <w:tcPr>
            <w:tcW w:w="1832" w:type="pct"/>
            <w:vMerge w:val="restart"/>
            <w:shd w:val="clear" w:color="auto" w:fill="auto"/>
            <w:noWrap/>
            <w:vAlign w:val="center"/>
            <w:hideMark/>
          </w:tcPr>
          <w:p w14:paraId="519B3197"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Danh mục</w:t>
            </w:r>
          </w:p>
        </w:tc>
        <w:tc>
          <w:tcPr>
            <w:tcW w:w="952" w:type="pct"/>
            <w:gridSpan w:val="2"/>
            <w:shd w:val="clear" w:color="auto" w:fill="auto"/>
            <w:vAlign w:val="center"/>
            <w:hideMark/>
          </w:tcPr>
          <w:p w14:paraId="519B3198"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Hiện trạng</w:t>
            </w:r>
          </w:p>
        </w:tc>
        <w:tc>
          <w:tcPr>
            <w:tcW w:w="1017" w:type="pct"/>
            <w:gridSpan w:val="3"/>
            <w:shd w:val="clear" w:color="auto" w:fill="auto"/>
            <w:noWrap/>
            <w:vAlign w:val="center"/>
            <w:hideMark/>
          </w:tcPr>
          <w:p w14:paraId="519B3199"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Năm 2030</w:t>
            </w:r>
          </w:p>
        </w:tc>
        <w:tc>
          <w:tcPr>
            <w:tcW w:w="949" w:type="pct"/>
            <w:gridSpan w:val="2"/>
            <w:shd w:val="clear" w:color="auto" w:fill="auto"/>
            <w:noWrap/>
            <w:vAlign w:val="center"/>
            <w:hideMark/>
          </w:tcPr>
          <w:p w14:paraId="519B319A"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Năm 2040</w:t>
            </w:r>
          </w:p>
        </w:tc>
      </w:tr>
      <w:tr w:rsidR="00E63C68" w:rsidRPr="008E63BB" w14:paraId="519B31A4" w14:textId="77777777" w:rsidTr="00E63C68">
        <w:trPr>
          <w:trHeight w:val="605"/>
        </w:trPr>
        <w:tc>
          <w:tcPr>
            <w:tcW w:w="250" w:type="pct"/>
            <w:vMerge/>
            <w:vAlign w:val="center"/>
            <w:hideMark/>
          </w:tcPr>
          <w:p w14:paraId="519B319C" w14:textId="77777777" w:rsidR="00E63C68" w:rsidRPr="008E63BB" w:rsidRDefault="00E63C68" w:rsidP="00E63C68">
            <w:pPr>
              <w:jc w:val="left"/>
              <w:rPr>
                <w:rFonts w:eastAsia="Times New Roman"/>
                <w:b/>
                <w:bCs/>
                <w:sz w:val="20"/>
                <w:szCs w:val="20"/>
              </w:rPr>
            </w:pPr>
          </w:p>
        </w:tc>
        <w:tc>
          <w:tcPr>
            <w:tcW w:w="1832" w:type="pct"/>
            <w:vMerge/>
            <w:vAlign w:val="center"/>
            <w:hideMark/>
          </w:tcPr>
          <w:p w14:paraId="519B319D" w14:textId="77777777" w:rsidR="00E63C68" w:rsidRPr="008E63BB" w:rsidRDefault="00E63C68" w:rsidP="00E63C68">
            <w:pPr>
              <w:jc w:val="left"/>
              <w:rPr>
                <w:rFonts w:eastAsia="Times New Roman"/>
                <w:b/>
                <w:bCs/>
                <w:sz w:val="20"/>
                <w:szCs w:val="20"/>
              </w:rPr>
            </w:pPr>
          </w:p>
        </w:tc>
        <w:tc>
          <w:tcPr>
            <w:tcW w:w="549" w:type="pct"/>
            <w:shd w:val="clear" w:color="auto" w:fill="auto"/>
            <w:vAlign w:val="center"/>
            <w:hideMark/>
          </w:tcPr>
          <w:p w14:paraId="519B319E"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Số lượng (người)</w:t>
            </w:r>
          </w:p>
        </w:tc>
        <w:tc>
          <w:tcPr>
            <w:tcW w:w="403" w:type="pct"/>
            <w:shd w:val="clear" w:color="auto" w:fill="auto"/>
            <w:noWrap/>
            <w:vAlign w:val="center"/>
            <w:hideMark/>
          </w:tcPr>
          <w:p w14:paraId="519B319F"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Tỷ lệ (%)</w:t>
            </w:r>
          </w:p>
        </w:tc>
        <w:tc>
          <w:tcPr>
            <w:tcW w:w="562" w:type="pct"/>
            <w:shd w:val="clear" w:color="auto" w:fill="auto"/>
            <w:vAlign w:val="center"/>
            <w:hideMark/>
          </w:tcPr>
          <w:p w14:paraId="519B31A0"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Số lượng (người)</w:t>
            </w:r>
          </w:p>
        </w:tc>
        <w:tc>
          <w:tcPr>
            <w:tcW w:w="452" w:type="pct"/>
            <w:shd w:val="clear" w:color="auto" w:fill="auto"/>
            <w:noWrap/>
            <w:vAlign w:val="center"/>
            <w:hideMark/>
          </w:tcPr>
          <w:p w14:paraId="519B31A1"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Tỷ lệ (%)</w:t>
            </w:r>
          </w:p>
        </w:tc>
        <w:tc>
          <w:tcPr>
            <w:tcW w:w="532" w:type="pct"/>
            <w:gridSpan w:val="2"/>
            <w:shd w:val="clear" w:color="auto" w:fill="auto"/>
            <w:vAlign w:val="center"/>
            <w:hideMark/>
          </w:tcPr>
          <w:p w14:paraId="519B31A2"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Số lượng (người)</w:t>
            </w:r>
          </w:p>
        </w:tc>
        <w:tc>
          <w:tcPr>
            <w:tcW w:w="418" w:type="pct"/>
            <w:shd w:val="clear" w:color="auto" w:fill="auto"/>
            <w:noWrap/>
            <w:vAlign w:val="center"/>
            <w:hideMark/>
          </w:tcPr>
          <w:p w14:paraId="519B31A3"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Tỷ lệ (%)</w:t>
            </w:r>
          </w:p>
        </w:tc>
      </w:tr>
      <w:tr w:rsidR="00E63C68" w:rsidRPr="008E63BB" w14:paraId="519B31AD" w14:textId="77777777" w:rsidTr="00E63C68">
        <w:trPr>
          <w:trHeight w:val="271"/>
        </w:trPr>
        <w:tc>
          <w:tcPr>
            <w:tcW w:w="250" w:type="pct"/>
            <w:shd w:val="clear" w:color="auto" w:fill="auto"/>
            <w:noWrap/>
            <w:vAlign w:val="center"/>
            <w:hideMark/>
          </w:tcPr>
          <w:p w14:paraId="519B31A5"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1</w:t>
            </w:r>
          </w:p>
        </w:tc>
        <w:tc>
          <w:tcPr>
            <w:tcW w:w="1832" w:type="pct"/>
            <w:shd w:val="clear" w:color="auto" w:fill="auto"/>
            <w:noWrap/>
            <w:vAlign w:val="center"/>
            <w:hideMark/>
          </w:tcPr>
          <w:p w14:paraId="519B31A6"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Tổng dân số</w:t>
            </w:r>
          </w:p>
        </w:tc>
        <w:tc>
          <w:tcPr>
            <w:tcW w:w="549" w:type="pct"/>
            <w:shd w:val="clear" w:color="auto" w:fill="auto"/>
            <w:noWrap/>
            <w:vAlign w:val="center"/>
            <w:hideMark/>
          </w:tcPr>
          <w:p w14:paraId="519B31A7" w14:textId="77777777" w:rsidR="00E63C68" w:rsidRPr="008E63BB" w:rsidRDefault="003270A4" w:rsidP="003270A4">
            <w:pPr>
              <w:jc w:val="right"/>
              <w:rPr>
                <w:rFonts w:eastAsia="Times New Roman"/>
                <w:b/>
                <w:bCs/>
                <w:sz w:val="20"/>
                <w:szCs w:val="20"/>
              </w:rPr>
            </w:pPr>
            <w:r w:rsidRPr="008E63BB">
              <w:rPr>
                <w:rFonts w:eastAsia="Times New Roman"/>
                <w:b/>
                <w:bCs/>
                <w:sz w:val="20"/>
                <w:szCs w:val="20"/>
              </w:rPr>
              <w:t>398.188</w:t>
            </w:r>
          </w:p>
        </w:tc>
        <w:tc>
          <w:tcPr>
            <w:tcW w:w="403" w:type="pct"/>
            <w:shd w:val="clear" w:color="auto" w:fill="auto"/>
            <w:noWrap/>
            <w:vAlign w:val="center"/>
            <w:hideMark/>
          </w:tcPr>
          <w:p w14:paraId="519B31A8"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 </w:t>
            </w:r>
          </w:p>
        </w:tc>
        <w:tc>
          <w:tcPr>
            <w:tcW w:w="562" w:type="pct"/>
            <w:shd w:val="clear" w:color="auto" w:fill="auto"/>
            <w:noWrap/>
            <w:vAlign w:val="center"/>
            <w:hideMark/>
          </w:tcPr>
          <w:p w14:paraId="519B31A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520.000</w:t>
            </w:r>
          </w:p>
        </w:tc>
        <w:tc>
          <w:tcPr>
            <w:tcW w:w="452" w:type="pct"/>
            <w:shd w:val="clear" w:color="auto" w:fill="auto"/>
            <w:noWrap/>
            <w:vAlign w:val="center"/>
            <w:hideMark/>
          </w:tcPr>
          <w:p w14:paraId="519B31AA"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 </w:t>
            </w:r>
          </w:p>
        </w:tc>
        <w:tc>
          <w:tcPr>
            <w:tcW w:w="532" w:type="pct"/>
            <w:gridSpan w:val="2"/>
            <w:shd w:val="clear" w:color="auto" w:fill="auto"/>
            <w:noWrap/>
            <w:vAlign w:val="center"/>
            <w:hideMark/>
          </w:tcPr>
          <w:p w14:paraId="519B31AB"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600.000</w:t>
            </w:r>
          </w:p>
        </w:tc>
        <w:tc>
          <w:tcPr>
            <w:tcW w:w="418" w:type="pct"/>
            <w:shd w:val="clear" w:color="auto" w:fill="auto"/>
            <w:noWrap/>
            <w:vAlign w:val="center"/>
            <w:hideMark/>
          </w:tcPr>
          <w:p w14:paraId="519B31AC"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 </w:t>
            </w:r>
          </w:p>
        </w:tc>
      </w:tr>
      <w:tr w:rsidR="00E63C68" w:rsidRPr="008E63BB" w14:paraId="519B31B6" w14:textId="77777777" w:rsidTr="00E63C68">
        <w:trPr>
          <w:trHeight w:val="271"/>
        </w:trPr>
        <w:tc>
          <w:tcPr>
            <w:tcW w:w="250" w:type="pct"/>
            <w:shd w:val="clear" w:color="auto" w:fill="auto"/>
            <w:noWrap/>
            <w:vAlign w:val="center"/>
            <w:hideMark/>
          </w:tcPr>
          <w:p w14:paraId="519B31AE"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2</w:t>
            </w:r>
          </w:p>
        </w:tc>
        <w:tc>
          <w:tcPr>
            <w:tcW w:w="1832" w:type="pct"/>
            <w:shd w:val="clear" w:color="auto" w:fill="auto"/>
            <w:noWrap/>
            <w:vAlign w:val="center"/>
            <w:hideMark/>
          </w:tcPr>
          <w:p w14:paraId="519B31AF"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Nguồn lao động</w:t>
            </w:r>
          </w:p>
        </w:tc>
        <w:tc>
          <w:tcPr>
            <w:tcW w:w="549" w:type="pct"/>
            <w:shd w:val="clear" w:color="auto" w:fill="auto"/>
            <w:noWrap/>
            <w:vAlign w:val="center"/>
            <w:hideMark/>
          </w:tcPr>
          <w:p w14:paraId="519B31B0"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207.823</w:t>
            </w:r>
          </w:p>
        </w:tc>
        <w:tc>
          <w:tcPr>
            <w:tcW w:w="403" w:type="pct"/>
            <w:shd w:val="clear" w:color="auto" w:fill="auto"/>
            <w:noWrap/>
            <w:vAlign w:val="center"/>
            <w:hideMark/>
          </w:tcPr>
          <w:p w14:paraId="519B31B1"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 </w:t>
            </w:r>
          </w:p>
        </w:tc>
        <w:tc>
          <w:tcPr>
            <w:tcW w:w="562" w:type="pct"/>
            <w:shd w:val="clear" w:color="auto" w:fill="auto"/>
            <w:noWrap/>
            <w:vAlign w:val="center"/>
            <w:hideMark/>
          </w:tcPr>
          <w:p w14:paraId="519B31B2"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286.000</w:t>
            </w:r>
          </w:p>
        </w:tc>
        <w:tc>
          <w:tcPr>
            <w:tcW w:w="452" w:type="pct"/>
            <w:shd w:val="clear" w:color="auto" w:fill="auto"/>
            <w:noWrap/>
            <w:vAlign w:val="center"/>
            <w:hideMark/>
          </w:tcPr>
          <w:p w14:paraId="519B31B3"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 </w:t>
            </w:r>
          </w:p>
        </w:tc>
        <w:tc>
          <w:tcPr>
            <w:tcW w:w="532" w:type="pct"/>
            <w:gridSpan w:val="2"/>
            <w:shd w:val="clear" w:color="auto" w:fill="auto"/>
            <w:noWrap/>
            <w:vAlign w:val="center"/>
            <w:hideMark/>
          </w:tcPr>
          <w:p w14:paraId="519B31B4"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342.000</w:t>
            </w:r>
          </w:p>
        </w:tc>
        <w:tc>
          <w:tcPr>
            <w:tcW w:w="418" w:type="pct"/>
            <w:shd w:val="clear" w:color="auto" w:fill="auto"/>
            <w:noWrap/>
            <w:vAlign w:val="center"/>
            <w:hideMark/>
          </w:tcPr>
          <w:p w14:paraId="519B31B5"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 </w:t>
            </w:r>
          </w:p>
        </w:tc>
      </w:tr>
      <w:tr w:rsidR="00E63C68" w:rsidRPr="008E63BB" w14:paraId="519B31BF" w14:textId="77777777" w:rsidTr="00E63C68">
        <w:trPr>
          <w:trHeight w:val="271"/>
        </w:trPr>
        <w:tc>
          <w:tcPr>
            <w:tcW w:w="250" w:type="pct"/>
            <w:shd w:val="clear" w:color="auto" w:fill="auto"/>
            <w:noWrap/>
            <w:vAlign w:val="center"/>
            <w:hideMark/>
          </w:tcPr>
          <w:p w14:paraId="519B31B7"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 </w:t>
            </w:r>
          </w:p>
        </w:tc>
        <w:tc>
          <w:tcPr>
            <w:tcW w:w="1832" w:type="pct"/>
            <w:shd w:val="clear" w:color="auto" w:fill="auto"/>
            <w:noWrap/>
            <w:vAlign w:val="center"/>
            <w:hideMark/>
          </w:tcPr>
          <w:p w14:paraId="519B31B8"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(Tỷ lệ so với tổng dân số - %)</w:t>
            </w:r>
          </w:p>
        </w:tc>
        <w:tc>
          <w:tcPr>
            <w:tcW w:w="549" w:type="pct"/>
            <w:shd w:val="clear" w:color="auto" w:fill="auto"/>
            <w:noWrap/>
            <w:vAlign w:val="center"/>
            <w:hideMark/>
          </w:tcPr>
          <w:p w14:paraId="519B31B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53,66</w:t>
            </w:r>
          </w:p>
        </w:tc>
        <w:tc>
          <w:tcPr>
            <w:tcW w:w="403" w:type="pct"/>
            <w:shd w:val="clear" w:color="auto" w:fill="auto"/>
            <w:noWrap/>
            <w:vAlign w:val="center"/>
            <w:hideMark/>
          </w:tcPr>
          <w:p w14:paraId="519B31BA"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562" w:type="pct"/>
            <w:shd w:val="clear" w:color="auto" w:fill="auto"/>
            <w:noWrap/>
            <w:vAlign w:val="center"/>
            <w:hideMark/>
          </w:tcPr>
          <w:p w14:paraId="519B31B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55,0</w:t>
            </w:r>
          </w:p>
        </w:tc>
        <w:tc>
          <w:tcPr>
            <w:tcW w:w="452" w:type="pct"/>
            <w:shd w:val="clear" w:color="auto" w:fill="auto"/>
            <w:noWrap/>
            <w:vAlign w:val="center"/>
            <w:hideMark/>
          </w:tcPr>
          <w:p w14:paraId="519B31BC"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532" w:type="pct"/>
            <w:gridSpan w:val="2"/>
            <w:shd w:val="clear" w:color="auto" w:fill="auto"/>
            <w:noWrap/>
            <w:vAlign w:val="center"/>
            <w:hideMark/>
          </w:tcPr>
          <w:p w14:paraId="519B31B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57,00</w:t>
            </w:r>
          </w:p>
        </w:tc>
        <w:tc>
          <w:tcPr>
            <w:tcW w:w="418" w:type="pct"/>
            <w:shd w:val="clear" w:color="auto" w:fill="auto"/>
            <w:noWrap/>
            <w:vAlign w:val="center"/>
            <w:hideMark/>
          </w:tcPr>
          <w:p w14:paraId="519B31BE"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r>
      <w:tr w:rsidR="00E63C68" w:rsidRPr="008E63BB" w14:paraId="519B31C8" w14:textId="77777777" w:rsidTr="00E63C68">
        <w:trPr>
          <w:trHeight w:val="271"/>
        </w:trPr>
        <w:tc>
          <w:tcPr>
            <w:tcW w:w="250" w:type="pct"/>
            <w:shd w:val="clear" w:color="auto" w:fill="auto"/>
            <w:noWrap/>
            <w:vAlign w:val="center"/>
            <w:hideMark/>
          </w:tcPr>
          <w:p w14:paraId="519B31C0"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3</w:t>
            </w:r>
          </w:p>
        </w:tc>
        <w:tc>
          <w:tcPr>
            <w:tcW w:w="1832" w:type="pct"/>
            <w:shd w:val="clear" w:color="auto" w:fill="auto"/>
            <w:noWrap/>
            <w:vAlign w:val="center"/>
            <w:hideMark/>
          </w:tcPr>
          <w:p w14:paraId="519B31C1"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Lao động HĐ các ngành kinh tế</w:t>
            </w:r>
          </w:p>
        </w:tc>
        <w:tc>
          <w:tcPr>
            <w:tcW w:w="549" w:type="pct"/>
            <w:shd w:val="clear" w:color="auto" w:fill="auto"/>
            <w:noWrap/>
            <w:vAlign w:val="center"/>
            <w:hideMark/>
          </w:tcPr>
          <w:p w14:paraId="519B31C2"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203.690</w:t>
            </w:r>
          </w:p>
        </w:tc>
        <w:tc>
          <w:tcPr>
            <w:tcW w:w="403" w:type="pct"/>
            <w:shd w:val="clear" w:color="auto" w:fill="auto"/>
            <w:noWrap/>
            <w:vAlign w:val="center"/>
            <w:hideMark/>
          </w:tcPr>
          <w:p w14:paraId="519B31C3"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w:t>
            </w:r>
          </w:p>
        </w:tc>
        <w:tc>
          <w:tcPr>
            <w:tcW w:w="562" w:type="pct"/>
            <w:shd w:val="clear" w:color="auto" w:fill="auto"/>
            <w:noWrap/>
            <w:vAlign w:val="center"/>
            <w:hideMark/>
          </w:tcPr>
          <w:p w14:paraId="519B31C4" w14:textId="77777777" w:rsidR="00E63C68" w:rsidRPr="008E63BB" w:rsidRDefault="00E63C68" w:rsidP="00E63C68">
            <w:pPr>
              <w:jc w:val="right"/>
              <w:rPr>
                <w:rFonts w:eastAsia="Times New Roman"/>
                <w:b/>
                <w:bCs/>
                <w:sz w:val="20"/>
                <w:szCs w:val="20"/>
              </w:rPr>
            </w:pPr>
            <w:r w:rsidRPr="008E63BB">
              <w:rPr>
                <w:b/>
                <w:sz w:val="20"/>
                <w:szCs w:val="20"/>
              </w:rPr>
              <w:t>257.400</w:t>
            </w:r>
          </w:p>
        </w:tc>
        <w:tc>
          <w:tcPr>
            <w:tcW w:w="452" w:type="pct"/>
            <w:shd w:val="clear" w:color="auto" w:fill="auto"/>
            <w:noWrap/>
            <w:vAlign w:val="center"/>
            <w:hideMark/>
          </w:tcPr>
          <w:p w14:paraId="519B31C5"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c>
          <w:tcPr>
            <w:tcW w:w="532" w:type="pct"/>
            <w:gridSpan w:val="2"/>
            <w:shd w:val="clear" w:color="auto" w:fill="auto"/>
            <w:noWrap/>
            <w:vAlign w:val="center"/>
          </w:tcPr>
          <w:p w14:paraId="519B31C6" w14:textId="77777777" w:rsidR="00E63C68" w:rsidRPr="008E63BB" w:rsidRDefault="00E63C68" w:rsidP="00E63C68">
            <w:pPr>
              <w:jc w:val="right"/>
              <w:rPr>
                <w:rFonts w:eastAsia="Times New Roman"/>
                <w:b/>
                <w:bCs/>
                <w:sz w:val="20"/>
                <w:szCs w:val="20"/>
              </w:rPr>
            </w:pPr>
            <w:r w:rsidRPr="008E63BB">
              <w:rPr>
                <w:b/>
                <w:sz w:val="20"/>
                <w:szCs w:val="20"/>
              </w:rPr>
              <w:t>290.700</w:t>
            </w:r>
          </w:p>
        </w:tc>
        <w:tc>
          <w:tcPr>
            <w:tcW w:w="418" w:type="pct"/>
            <w:shd w:val="clear" w:color="auto" w:fill="auto"/>
            <w:noWrap/>
            <w:vAlign w:val="center"/>
            <w:hideMark/>
          </w:tcPr>
          <w:p w14:paraId="519B31C7"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r>
      <w:tr w:rsidR="00E63C68" w:rsidRPr="008E63BB" w14:paraId="519B31D1" w14:textId="77777777" w:rsidTr="00E63C68">
        <w:trPr>
          <w:trHeight w:val="271"/>
        </w:trPr>
        <w:tc>
          <w:tcPr>
            <w:tcW w:w="250" w:type="pct"/>
            <w:shd w:val="clear" w:color="auto" w:fill="auto"/>
            <w:noWrap/>
            <w:vAlign w:val="center"/>
            <w:hideMark/>
          </w:tcPr>
          <w:p w14:paraId="519B31C9" w14:textId="77777777" w:rsidR="00E63C68" w:rsidRPr="008E63BB" w:rsidRDefault="00E63C68" w:rsidP="00E63C68">
            <w:pPr>
              <w:jc w:val="center"/>
              <w:rPr>
                <w:rFonts w:eastAsia="Times New Roman"/>
                <w:sz w:val="20"/>
                <w:szCs w:val="20"/>
              </w:rPr>
            </w:pPr>
            <w:r w:rsidRPr="008E63BB">
              <w:rPr>
                <w:rFonts w:eastAsia="Times New Roman"/>
                <w:sz w:val="20"/>
                <w:szCs w:val="20"/>
              </w:rPr>
              <w:t> </w:t>
            </w:r>
          </w:p>
        </w:tc>
        <w:tc>
          <w:tcPr>
            <w:tcW w:w="1832" w:type="pct"/>
            <w:shd w:val="clear" w:color="auto" w:fill="auto"/>
            <w:noWrap/>
            <w:vAlign w:val="center"/>
            <w:hideMark/>
          </w:tcPr>
          <w:p w14:paraId="519B31CA"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(Tỷ lệ so với nguồn lao động - %)</w:t>
            </w:r>
          </w:p>
        </w:tc>
        <w:tc>
          <w:tcPr>
            <w:tcW w:w="549" w:type="pct"/>
            <w:shd w:val="clear" w:color="auto" w:fill="auto"/>
            <w:noWrap/>
            <w:vAlign w:val="center"/>
            <w:hideMark/>
          </w:tcPr>
          <w:p w14:paraId="519B31C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98,01</w:t>
            </w:r>
          </w:p>
        </w:tc>
        <w:tc>
          <w:tcPr>
            <w:tcW w:w="403" w:type="pct"/>
            <w:shd w:val="clear" w:color="auto" w:fill="auto"/>
            <w:noWrap/>
            <w:vAlign w:val="center"/>
            <w:hideMark/>
          </w:tcPr>
          <w:p w14:paraId="519B31CC"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562" w:type="pct"/>
            <w:shd w:val="clear" w:color="auto" w:fill="auto"/>
            <w:noWrap/>
            <w:vAlign w:val="center"/>
            <w:hideMark/>
          </w:tcPr>
          <w:p w14:paraId="519B31C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90,00</w:t>
            </w:r>
          </w:p>
        </w:tc>
        <w:tc>
          <w:tcPr>
            <w:tcW w:w="452" w:type="pct"/>
            <w:shd w:val="clear" w:color="auto" w:fill="auto"/>
            <w:noWrap/>
            <w:vAlign w:val="center"/>
            <w:hideMark/>
          </w:tcPr>
          <w:p w14:paraId="519B31CE"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532" w:type="pct"/>
            <w:gridSpan w:val="2"/>
            <w:shd w:val="clear" w:color="auto" w:fill="auto"/>
            <w:noWrap/>
            <w:vAlign w:val="center"/>
            <w:hideMark/>
          </w:tcPr>
          <w:p w14:paraId="519B31C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85,00</w:t>
            </w:r>
          </w:p>
        </w:tc>
        <w:tc>
          <w:tcPr>
            <w:tcW w:w="418" w:type="pct"/>
            <w:shd w:val="clear" w:color="auto" w:fill="auto"/>
            <w:noWrap/>
            <w:vAlign w:val="center"/>
            <w:hideMark/>
          </w:tcPr>
          <w:p w14:paraId="519B31D0"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r>
      <w:tr w:rsidR="00E63C68" w:rsidRPr="008E63BB" w14:paraId="519B31DA" w14:textId="77777777" w:rsidTr="00E63C68">
        <w:trPr>
          <w:trHeight w:val="271"/>
        </w:trPr>
        <w:tc>
          <w:tcPr>
            <w:tcW w:w="250" w:type="pct"/>
            <w:shd w:val="clear" w:color="auto" w:fill="auto"/>
            <w:noWrap/>
            <w:vAlign w:val="center"/>
            <w:hideMark/>
          </w:tcPr>
          <w:p w14:paraId="519B31D2" w14:textId="77777777" w:rsidR="00E63C68" w:rsidRPr="008E63BB" w:rsidRDefault="00E63C68" w:rsidP="00E63C68">
            <w:pPr>
              <w:jc w:val="center"/>
              <w:rPr>
                <w:rFonts w:eastAsia="Times New Roman"/>
                <w:sz w:val="20"/>
                <w:szCs w:val="20"/>
              </w:rPr>
            </w:pPr>
            <w:r w:rsidRPr="008E63BB">
              <w:rPr>
                <w:rFonts w:eastAsia="Times New Roman"/>
                <w:sz w:val="20"/>
                <w:szCs w:val="20"/>
              </w:rPr>
              <w:lastRenderedPageBreak/>
              <w:t>3.1</w:t>
            </w:r>
          </w:p>
        </w:tc>
        <w:tc>
          <w:tcPr>
            <w:tcW w:w="1832" w:type="pct"/>
            <w:shd w:val="clear" w:color="auto" w:fill="auto"/>
            <w:noWrap/>
            <w:vAlign w:val="center"/>
            <w:hideMark/>
          </w:tcPr>
          <w:p w14:paraId="519B31D3" w14:textId="77777777" w:rsidR="00E63C68" w:rsidRPr="008E63BB" w:rsidRDefault="00E63C68" w:rsidP="00E63C68">
            <w:pPr>
              <w:jc w:val="left"/>
              <w:rPr>
                <w:rFonts w:eastAsia="Times New Roman"/>
                <w:sz w:val="20"/>
                <w:szCs w:val="20"/>
              </w:rPr>
            </w:pPr>
            <w:r w:rsidRPr="008E63BB">
              <w:rPr>
                <w:rFonts w:eastAsia="Times New Roman"/>
                <w:sz w:val="20"/>
                <w:szCs w:val="20"/>
              </w:rPr>
              <w:t>- LĐ Nông, lâm, thủy sản</w:t>
            </w:r>
          </w:p>
        </w:tc>
        <w:tc>
          <w:tcPr>
            <w:tcW w:w="549" w:type="pct"/>
            <w:shd w:val="clear" w:color="auto" w:fill="auto"/>
            <w:noWrap/>
            <w:vAlign w:val="center"/>
            <w:hideMark/>
          </w:tcPr>
          <w:p w14:paraId="519B31D4" w14:textId="77777777" w:rsidR="00E63C68" w:rsidRPr="008E63BB" w:rsidRDefault="00E63C68" w:rsidP="00E63C68">
            <w:pPr>
              <w:jc w:val="right"/>
              <w:rPr>
                <w:rFonts w:eastAsia="Times New Roman"/>
                <w:sz w:val="20"/>
                <w:szCs w:val="20"/>
              </w:rPr>
            </w:pPr>
            <w:r w:rsidRPr="008E63BB">
              <w:rPr>
                <w:rFonts w:eastAsia="Times New Roman"/>
                <w:sz w:val="20"/>
                <w:szCs w:val="20"/>
              </w:rPr>
              <w:t>53.631</w:t>
            </w:r>
          </w:p>
        </w:tc>
        <w:tc>
          <w:tcPr>
            <w:tcW w:w="403" w:type="pct"/>
            <w:shd w:val="clear" w:color="auto" w:fill="auto"/>
            <w:noWrap/>
            <w:vAlign w:val="center"/>
            <w:hideMark/>
          </w:tcPr>
          <w:p w14:paraId="519B31D5" w14:textId="77777777" w:rsidR="00E63C68" w:rsidRPr="008E63BB" w:rsidRDefault="00E63C68" w:rsidP="00E63C68">
            <w:pPr>
              <w:jc w:val="right"/>
              <w:rPr>
                <w:rFonts w:eastAsia="Times New Roman"/>
                <w:sz w:val="20"/>
                <w:szCs w:val="20"/>
              </w:rPr>
            </w:pPr>
            <w:r w:rsidRPr="008E63BB">
              <w:rPr>
                <w:rFonts w:eastAsia="Times New Roman"/>
                <w:sz w:val="20"/>
                <w:szCs w:val="20"/>
              </w:rPr>
              <w:t>26,33</w:t>
            </w:r>
          </w:p>
        </w:tc>
        <w:tc>
          <w:tcPr>
            <w:tcW w:w="562" w:type="pct"/>
            <w:shd w:val="clear" w:color="auto" w:fill="auto"/>
            <w:noWrap/>
            <w:vAlign w:val="center"/>
            <w:hideMark/>
          </w:tcPr>
          <w:p w14:paraId="519B31D6" w14:textId="77777777" w:rsidR="00E63C68" w:rsidRPr="008E63BB" w:rsidRDefault="00E63C68" w:rsidP="00E63C68">
            <w:pPr>
              <w:jc w:val="right"/>
              <w:rPr>
                <w:rFonts w:eastAsia="Times New Roman"/>
                <w:sz w:val="20"/>
                <w:szCs w:val="20"/>
              </w:rPr>
            </w:pPr>
            <w:r w:rsidRPr="008E63BB">
              <w:rPr>
                <w:rFonts w:eastAsia="Times New Roman"/>
                <w:sz w:val="20"/>
                <w:szCs w:val="20"/>
              </w:rPr>
              <w:t>43.758</w:t>
            </w:r>
          </w:p>
        </w:tc>
        <w:tc>
          <w:tcPr>
            <w:tcW w:w="452" w:type="pct"/>
            <w:shd w:val="clear" w:color="auto" w:fill="auto"/>
            <w:noWrap/>
            <w:vAlign w:val="center"/>
            <w:hideMark/>
          </w:tcPr>
          <w:p w14:paraId="519B31D7" w14:textId="77777777" w:rsidR="00E63C68" w:rsidRPr="008E63BB" w:rsidRDefault="00E63C68" w:rsidP="00E63C68">
            <w:pPr>
              <w:jc w:val="right"/>
              <w:rPr>
                <w:rFonts w:eastAsia="Times New Roman"/>
                <w:sz w:val="20"/>
                <w:szCs w:val="20"/>
              </w:rPr>
            </w:pPr>
            <w:r w:rsidRPr="008E63BB">
              <w:rPr>
                <w:rFonts w:eastAsia="Times New Roman"/>
                <w:sz w:val="20"/>
                <w:szCs w:val="20"/>
              </w:rPr>
              <w:t>17</w:t>
            </w:r>
          </w:p>
        </w:tc>
        <w:tc>
          <w:tcPr>
            <w:tcW w:w="532" w:type="pct"/>
            <w:gridSpan w:val="2"/>
            <w:shd w:val="clear" w:color="auto" w:fill="auto"/>
            <w:noWrap/>
            <w:vAlign w:val="center"/>
            <w:hideMark/>
          </w:tcPr>
          <w:p w14:paraId="519B31D8" w14:textId="77777777" w:rsidR="00E63C68" w:rsidRPr="008E63BB" w:rsidRDefault="00E63C68" w:rsidP="00E63C68">
            <w:pPr>
              <w:jc w:val="right"/>
              <w:rPr>
                <w:rFonts w:eastAsia="Times New Roman"/>
                <w:sz w:val="20"/>
                <w:szCs w:val="20"/>
              </w:rPr>
            </w:pPr>
            <w:r w:rsidRPr="008E63BB">
              <w:rPr>
                <w:rFonts w:eastAsia="Times New Roman"/>
                <w:sz w:val="20"/>
                <w:szCs w:val="20"/>
              </w:rPr>
              <w:t>26.163</w:t>
            </w:r>
          </w:p>
        </w:tc>
        <w:tc>
          <w:tcPr>
            <w:tcW w:w="418" w:type="pct"/>
            <w:shd w:val="clear" w:color="auto" w:fill="auto"/>
            <w:noWrap/>
            <w:vAlign w:val="center"/>
            <w:hideMark/>
          </w:tcPr>
          <w:p w14:paraId="519B31D9" w14:textId="77777777" w:rsidR="00E63C68" w:rsidRPr="008E63BB" w:rsidRDefault="00E63C68" w:rsidP="00E63C68">
            <w:pPr>
              <w:jc w:val="right"/>
              <w:rPr>
                <w:rFonts w:eastAsia="Times New Roman"/>
                <w:sz w:val="20"/>
                <w:szCs w:val="20"/>
              </w:rPr>
            </w:pPr>
            <w:r w:rsidRPr="008E63BB">
              <w:rPr>
                <w:rFonts w:eastAsia="Times New Roman"/>
                <w:sz w:val="20"/>
                <w:szCs w:val="20"/>
              </w:rPr>
              <w:t>9</w:t>
            </w:r>
          </w:p>
        </w:tc>
      </w:tr>
      <w:tr w:rsidR="00E63C68" w:rsidRPr="008E63BB" w14:paraId="519B31E3" w14:textId="77777777" w:rsidTr="00E63C68">
        <w:trPr>
          <w:trHeight w:val="271"/>
        </w:trPr>
        <w:tc>
          <w:tcPr>
            <w:tcW w:w="250" w:type="pct"/>
            <w:shd w:val="clear" w:color="auto" w:fill="auto"/>
            <w:noWrap/>
            <w:vAlign w:val="center"/>
            <w:hideMark/>
          </w:tcPr>
          <w:p w14:paraId="519B31DB" w14:textId="77777777" w:rsidR="00E63C68" w:rsidRPr="008E63BB" w:rsidRDefault="00E63C68" w:rsidP="00E63C68">
            <w:pPr>
              <w:jc w:val="center"/>
              <w:rPr>
                <w:rFonts w:eastAsia="Times New Roman"/>
                <w:sz w:val="20"/>
                <w:szCs w:val="20"/>
              </w:rPr>
            </w:pPr>
            <w:r w:rsidRPr="008E63BB">
              <w:rPr>
                <w:rFonts w:eastAsia="Times New Roman"/>
                <w:sz w:val="20"/>
                <w:szCs w:val="20"/>
              </w:rPr>
              <w:t>3.2</w:t>
            </w:r>
          </w:p>
        </w:tc>
        <w:tc>
          <w:tcPr>
            <w:tcW w:w="1832" w:type="pct"/>
            <w:shd w:val="clear" w:color="auto" w:fill="auto"/>
            <w:noWrap/>
            <w:vAlign w:val="center"/>
            <w:hideMark/>
          </w:tcPr>
          <w:p w14:paraId="519B31DC" w14:textId="77777777" w:rsidR="00E63C68" w:rsidRPr="008E63BB" w:rsidRDefault="00E63C68" w:rsidP="00E63C68">
            <w:pPr>
              <w:jc w:val="left"/>
              <w:rPr>
                <w:rFonts w:eastAsia="Times New Roman"/>
                <w:sz w:val="20"/>
                <w:szCs w:val="20"/>
              </w:rPr>
            </w:pPr>
            <w:r w:rsidRPr="008E63BB">
              <w:rPr>
                <w:rFonts w:eastAsia="Times New Roman"/>
                <w:sz w:val="20"/>
                <w:szCs w:val="20"/>
              </w:rPr>
              <w:t>- LĐ Công nghiệp, xây dựng</w:t>
            </w:r>
          </w:p>
        </w:tc>
        <w:tc>
          <w:tcPr>
            <w:tcW w:w="549" w:type="pct"/>
            <w:shd w:val="clear" w:color="auto" w:fill="auto"/>
            <w:noWrap/>
            <w:vAlign w:val="center"/>
            <w:hideMark/>
          </w:tcPr>
          <w:p w14:paraId="519B31DD" w14:textId="77777777" w:rsidR="00E63C68" w:rsidRPr="008E63BB" w:rsidRDefault="00E63C68" w:rsidP="00E63C68">
            <w:pPr>
              <w:jc w:val="right"/>
              <w:rPr>
                <w:rFonts w:eastAsia="Times New Roman"/>
                <w:sz w:val="20"/>
                <w:szCs w:val="20"/>
              </w:rPr>
            </w:pPr>
            <w:r w:rsidRPr="008E63BB">
              <w:rPr>
                <w:rFonts w:eastAsia="Times New Roman"/>
                <w:sz w:val="20"/>
                <w:szCs w:val="20"/>
              </w:rPr>
              <w:t>72.269</w:t>
            </w:r>
          </w:p>
        </w:tc>
        <w:tc>
          <w:tcPr>
            <w:tcW w:w="403" w:type="pct"/>
            <w:shd w:val="clear" w:color="auto" w:fill="auto"/>
            <w:noWrap/>
            <w:vAlign w:val="center"/>
            <w:hideMark/>
          </w:tcPr>
          <w:p w14:paraId="519B31DE" w14:textId="77777777" w:rsidR="00E63C68" w:rsidRPr="008E63BB" w:rsidRDefault="00E63C68" w:rsidP="00E63C68">
            <w:pPr>
              <w:jc w:val="right"/>
              <w:rPr>
                <w:rFonts w:eastAsia="Times New Roman"/>
                <w:sz w:val="20"/>
                <w:szCs w:val="20"/>
              </w:rPr>
            </w:pPr>
            <w:r w:rsidRPr="008E63BB">
              <w:rPr>
                <w:rFonts w:eastAsia="Times New Roman"/>
                <w:sz w:val="20"/>
                <w:szCs w:val="20"/>
              </w:rPr>
              <w:t>35,48</w:t>
            </w:r>
          </w:p>
        </w:tc>
        <w:tc>
          <w:tcPr>
            <w:tcW w:w="562" w:type="pct"/>
            <w:shd w:val="clear" w:color="auto" w:fill="auto"/>
            <w:noWrap/>
            <w:vAlign w:val="center"/>
            <w:hideMark/>
          </w:tcPr>
          <w:p w14:paraId="519B31DF" w14:textId="77777777" w:rsidR="00E63C68" w:rsidRPr="008E63BB" w:rsidRDefault="00E63C68" w:rsidP="00E63C68">
            <w:pPr>
              <w:jc w:val="right"/>
              <w:rPr>
                <w:rFonts w:eastAsia="Times New Roman"/>
                <w:sz w:val="20"/>
                <w:szCs w:val="20"/>
              </w:rPr>
            </w:pPr>
            <w:r w:rsidRPr="008E63BB">
              <w:rPr>
                <w:rFonts w:eastAsia="Times New Roman"/>
                <w:sz w:val="20"/>
                <w:szCs w:val="20"/>
              </w:rPr>
              <w:t>108.108</w:t>
            </w:r>
          </w:p>
        </w:tc>
        <w:tc>
          <w:tcPr>
            <w:tcW w:w="452" w:type="pct"/>
            <w:shd w:val="clear" w:color="auto" w:fill="auto"/>
            <w:noWrap/>
            <w:vAlign w:val="center"/>
            <w:hideMark/>
          </w:tcPr>
          <w:p w14:paraId="519B31E0" w14:textId="77777777" w:rsidR="00E63C68" w:rsidRPr="008E63BB" w:rsidRDefault="00E63C68" w:rsidP="00E63C68">
            <w:pPr>
              <w:jc w:val="right"/>
              <w:rPr>
                <w:rFonts w:eastAsia="Times New Roman"/>
                <w:sz w:val="20"/>
                <w:szCs w:val="20"/>
              </w:rPr>
            </w:pPr>
            <w:r w:rsidRPr="008E63BB">
              <w:rPr>
                <w:rFonts w:eastAsia="Times New Roman"/>
                <w:sz w:val="20"/>
                <w:szCs w:val="20"/>
              </w:rPr>
              <w:t>42</w:t>
            </w:r>
          </w:p>
        </w:tc>
        <w:tc>
          <w:tcPr>
            <w:tcW w:w="532" w:type="pct"/>
            <w:gridSpan w:val="2"/>
            <w:shd w:val="clear" w:color="auto" w:fill="auto"/>
            <w:noWrap/>
            <w:vAlign w:val="center"/>
            <w:hideMark/>
          </w:tcPr>
          <w:p w14:paraId="519B31E1" w14:textId="77777777" w:rsidR="00E63C68" w:rsidRPr="008E63BB" w:rsidRDefault="00E63C68" w:rsidP="00E63C68">
            <w:pPr>
              <w:jc w:val="right"/>
              <w:rPr>
                <w:rFonts w:eastAsia="Times New Roman"/>
                <w:sz w:val="20"/>
                <w:szCs w:val="20"/>
              </w:rPr>
            </w:pPr>
            <w:r w:rsidRPr="008E63BB">
              <w:rPr>
                <w:rFonts w:eastAsia="Times New Roman"/>
                <w:sz w:val="20"/>
                <w:szCs w:val="20"/>
              </w:rPr>
              <w:t>138.083</w:t>
            </w:r>
          </w:p>
        </w:tc>
        <w:tc>
          <w:tcPr>
            <w:tcW w:w="418" w:type="pct"/>
            <w:shd w:val="clear" w:color="auto" w:fill="auto"/>
            <w:noWrap/>
            <w:vAlign w:val="center"/>
            <w:hideMark/>
          </w:tcPr>
          <w:p w14:paraId="519B31E2" w14:textId="77777777" w:rsidR="00E63C68" w:rsidRPr="008E63BB" w:rsidRDefault="00E63C68" w:rsidP="00E63C68">
            <w:pPr>
              <w:jc w:val="right"/>
              <w:rPr>
                <w:rFonts w:eastAsia="Times New Roman"/>
                <w:sz w:val="20"/>
                <w:szCs w:val="20"/>
              </w:rPr>
            </w:pPr>
            <w:r w:rsidRPr="008E63BB">
              <w:rPr>
                <w:rFonts w:eastAsia="Times New Roman"/>
                <w:sz w:val="20"/>
                <w:szCs w:val="20"/>
              </w:rPr>
              <w:t>47,5</w:t>
            </w:r>
          </w:p>
        </w:tc>
      </w:tr>
      <w:tr w:rsidR="00E63C68" w:rsidRPr="008E63BB" w14:paraId="519B31EC" w14:textId="77777777" w:rsidTr="00E63C68">
        <w:trPr>
          <w:trHeight w:val="271"/>
        </w:trPr>
        <w:tc>
          <w:tcPr>
            <w:tcW w:w="250" w:type="pct"/>
            <w:shd w:val="clear" w:color="auto" w:fill="auto"/>
            <w:noWrap/>
            <w:vAlign w:val="center"/>
            <w:hideMark/>
          </w:tcPr>
          <w:p w14:paraId="519B31E4" w14:textId="77777777" w:rsidR="00E63C68" w:rsidRPr="008E63BB" w:rsidRDefault="00E63C68" w:rsidP="00E63C68">
            <w:pPr>
              <w:jc w:val="center"/>
              <w:rPr>
                <w:rFonts w:eastAsia="Times New Roman"/>
                <w:sz w:val="20"/>
                <w:szCs w:val="20"/>
              </w:rPr>
            </w:pPr>
            <w:r w:rsidRPr="008E63BB">
              <w:rPr>
                <w:rFonts w:eastAsia="Times New Roman"/>
                <w:sz w:val="20"/>
                <w:szCs w:val="20"/>
              </w:rPr>
              <w:t>3.3</w:t>
            </w:r>
          </w:p>
        </w:tc>
        <w:tc>
          <w:tcPr>
            <w:tcW w:w="1832" w:type="pct"/>
            <w:shd w:val="clear" w:color="auto" w:fill="auto"/>
            <w:noWrap/>
            <w:vAlign w:val="center"/>
            <w:hideMark/>
          </w:tcPr>
          <w:p w14:paraId="519B31E5" w14:textId="77777777" w:rsidR="00E63C68" w:rsidRPr="008E63BB" w:rsidRDefault="00E63C68" w:rsidP="00E63C68">
            <w:pPr>
              <w:jc w:val="left"/>
              <w:rPr>
                <w:rFonts w:eastAsia="Times New Roman"/>
                <w:sz w:val="20"/>
                <w:szCs w:val="20"/>
              </w:rPr>
            </w:pPr>
            <w:r w:rsidRPr="008E63BB">
              <w:rPr>
                <w:rFonts w:eastAsia="Times New Roman"/>
                <w:sz w:val="20"/>
                <w:szCs w:val="20"/>
              </w:rPr>
              <w:t>- LĐ Dịch vụ, TM, DL</w:t>
            </w:r>
          </w:p>
        </w:tc>
        <w:tc>
          <w:tcPr>
            <w:tcW w:w="549" w:type="pct"/>
            <w:shd w:val="clear" w:color="auto" w:fill="auto"/>
            <w:noWrap/>
            <w:vAlign w:val="center"/>
            <w:hideMark/>
          </w:tcPr>
          <w:p w14:paraId="519B31E6" w14:textId="77777777" w:rsidR="00E63C68" w:rsidRPr="008E63BB" w:rsidRDefault="00E63C68" w:rsidP="00E63C68">
            <w:pPr>
              <w:jc w:val="right"/>
              <w:rPr>
                <w:rFonts w:eastAsia="Times New Roman"/>
                <w:sz w:val="20"/>
                <w:szCs w:val="20"/>
              </w:rPr>
            </w:pPr>
            <w:r w:rsidRPr="008E63BB">
              <w:rPr>
                <w:rFonts w:eastAsia="Times New Roman"/>
                <w:sz w:val="20"/>
                <w:szCs w:val="20"/>
              </w:rPr>
              <w:t>77.789</w:t>
            </w:r>
          </w:p>
        </w:tc>
        <w:tc>
          <w:tcPr>
            <w:tcW w:w="403" w:type="pct"/>
            <w:shd w:val="clear" w:color="auto" w:fill="auto"/>
            <w:noWrap/>
            <w:vAlign w:val="center"/>
            <w:hideMark/>
          </w:tcPr>
          <w:p w14:paraId="519B31E7" w14:textId="77777777" w:rsidR="00E63C68" w:rsidRPr="008E63BB" w:rsidRDefault="00E63C68" w:rsidP="00E63C68">
            <w:pPr>
              <w:jc w:val="right"/>
              <w:rPr>
                <w:rFonts w:eastAsia="Times New Roman"/>
                <w:sz w:val="20"/>
                <w:szCs w:val="20"/>
              </w:rPr>
            </w:pPr>
            <w:r w:rsidRPr="008E63BB">
              <w:rPr>
                <w:rFonts w:eastAsia="Times New Roman"/>
                <w:sz w:val="20"/>
                <w:szCs w:val="20"/>
              </w:rPr>
              <w:t>38,19</w:t>
            </w:r>
          </w:p>
        </w:tc>
        <w:tc>
          <w:tcPr>
            <w:tcW w:w="562" w:type="pct"/>
            <w:shd w:val="clear" w:color="auto" w:fill="auto"/>
            <w:noWrap/>
            <w:vAlign w:val="center"/>
            <w:hideMark/>
          </w:tcPr>
          <w:p w14:paraId="519B31E8" w14:textId="77777777" w:rsidR="00E63C68" w:rsidRPr="008E63BB" w:rsidRDefault="00E63C68" w:rsidP="00E63C68">
            <w:pPr>
              <w:jc w:val="right"/>
              <w:rPr>
                <w:rFonts w:eastAsia="Times New Roman"/>
                <w:sz w:val="20"/>
                <w:szCs w:val="20"/>
              </w:rPr>
            </w:pPr>
            <w:r w:rsidRPr="008E63BB">
              <w:rPr>
                <w:rFonts w:eastAsia="Times New Roman"/>
                <w:sz w:val="20"/>
                <w:szCs w:val="20"/>
              </w:rPr>
              <w:t>105.534</w:t>
            </w:r>
          </w:p>
        </w:tc>
        <w:tc>
          <w:tcPr>
            <w:tcW w:w="452" w:type="pct"/>
            <w:shd w:val="clear" w:color="auto" w:fill="auto"/>
            <w:noWrap/>
            <w:vAlign w:val="center"/>
            <w:hideMark/>
          </w:tcPr>
          <w:p w14:paraId="519B31E9" w14:textId="77777777" w:rsidR="00E63C68" w:rsidRPr="008E63BB" w:rsidRDefault="00E63C68" w:rsidP="00E63C68">
            <w:pPr>
              <w:jc w:val="right"/>
              <w:rPr>
                <w:rFonts w:eastAsia="Times New Roman"/>
                <w:sz w:val="20"/>
                <w:szCs w:val="20"/>
              </w:rPr>
            </w:pPr>
            <w:r w:rsidRPr="008E63BB">
              <w:rPr>
                <w:rFonts w:eastAsia="Times New Roman"/>
                <w:sz w:val="20"/>
                <w:szCs w:val="20"/>
              </w:rPr>
              <w:t>41</w:t>
            </w:r>
          </w:p>
        </w:tc>
        <w:tc>
          <w:tcPr>
            <w:tcW w:w="532" w:type="pct"/>
            <w:gridSpan w:val="2"/>
            <w:shd w:val="clear" w:color="auto" w:fill="auto"/>
            <w:noWrap/>
            <w:vAlign w:val="center"/>
            <w:hideMark/>
          </w:tcPr>
          <w:p w14:paraId="519B31EA" w14:textId="77777777" w:rsidR="00E63C68" w:rsidRPr="008E63BB" w:rsidRDefault="00E63C68" w:rsidP="00E63C68">
            <w:pPr>
              <w:jc w:val="right"/>
              <w:rPr>
                <w:rFonts w:eastAsia="Times New Roman"/>
                <w:sz w:val="20"/>
                <w:szCs w:val="20"/>
              </w:rPr>
            </w:pPr>
            <w:r w:rsidRPr="008E63BB">
              <w:rPr>
                <w:rFonts w:eastAsia="Times New Roman"/>
                <w:sz w:val="20"/>
                <w:szCs w:val="20"/>
              </w:rPr>
              <w:t>126.455</w:t>
            </w:r>
          </w:p>
        </w:tc>
        <w:tc>
          <w:tcPr>
            <w:tcW w:w="418" w:type="pct"/>
            <w:shd w:val="clear" w:color="auto" w:fill="auto"/>
            <w:noWrap/>
            <w:vAlign w:val="center"/>
            <w:hideMark/>
          </w:tcPr>
          <w:p w14:paraId="519B31EB" w14:textId="77777777" w:rsidR="00E63C68" w:rsidRPr="008E63BB" w:rsidRDefault="00E63C68" w:rsidP="00E63C68">
            <w:pPr>
              <w:jc w:val="right"/>
              <w:rPr>
                <w:rFonts w:eastAsia="Times New Roman"/>
                <w:sz w:val="20"/>
                <w:szCs w:val="20"/>
              </w:rPr>
            </w:pPr>
            <w:r w:rsidRPr="008E63BB">
              <w:rPr>
                <w:rFonts w:eastAsia="Times New Roman"/>
                <w:sz w:val="20"/>
                <w:szCs w:val="20"/>
              </w:rPr>
              <w:t>43,5</w:t>
            </w:r>
          </w:p>
        </w:tc>
      </w:tr>
    </w:tbl>
    <w:p w14:paraId="519B31ED" w14:textId="77777777" w:rsidR="00E63C68" w:rsidRPr="008E63BB" w:rsidRDefault="00E63C68" w:rsidP="00E63C68">
      <w:pPr>
        <w:rPr>
          <w:i/>
          <w:szCs w:val="26"/>
          <w:lang w:val="es-ES"/>
        </w:rPr>
      </w:pPr>
      <w:r w:rsidRPr="008E63BB">
        <w:rPr>
          <w:i/>
          <w:szCs w:val="26"/>
          <w:lang w:val="es-ES"/>
        </w:rPr>
        <w:t>Ghi chú: Lao động kể trên không bao gồm lao động tự do làm việc theo hợp đồng ngắn hạn</w:t>
      </w:r>
    </w:p>
    <w:p w14:paraId="519B31EE" w14:textId="77777777" w:rsidR="00E63C68" w:rsidRPr="008E63BB" w:rsidRDefault="00E63C68" w:rsidP="00E63C68">
      <w:pPr>
        <w:rPr>
          <w:szCs w:val="26"/>
          <w:lang w:val="es-ES"/>
        </w:rPr>
      </w:pPr>
      <w:r w:rsidRPr="008E63BB">
        <w:rPr>
          <w:szCs w:val="26"/>
          <w:lang w:val="es-ES"/>
        </w:rPr>
        <w:t>- Hiện trạng: Tổng số lao động hoạt động trong các ngành kinh tế là 207.823 người, trong đó:</w:t>
      </w:r>
    </w:p>
    <w:p w14:paraId="519B31EF" w14:textId="77777777" w:rsidR="00E63C68" w:rsidRPr="008E63BB" w:rsidRDefault="00E63C68" w:rsidP="00E63C68">
      <w:pPr>
        <w:rPr>
          <w:szCs w:val="26"/>
          <w:lang w:val="es-ES"/>
        </w:rPr>
      </w:pPr>
      <w:r w:rsidRPr="008E63BB">
        <w:rPr>
          <w:szCs w:val="26"/>
          <w:lang w:val="es-ES"/>
        </w:rPr>
        <w:t>+ Lao động khu vực nông, lâm, thủy sản 53.631 người, chiếm 26,33% tổng số lao động.</w:t>
      </w:r>
    </w:p>
    <w:p w14:paraId="519B31F0" w14:textId="77777777" w:rsidR="00E63C68" w:rsidRPr="008E63BB" w:rsidRDefault="00E63C68" w:rsidP="00E63C68">
      <w:pPr>
        <w:rPr>
          <w:szCs w:val="26"/>
          <w:lang w:val="es-ES"/>
        </w:rPr>
      </w:pPr>
      <w:r w:rsidRPr="008E63BB">
        <w:rPr>
          <w:szCs w:val="26"/>
          <w:lang w:val="es-ES"/>
        </w:rPr>
        <w:t>+ Lao động khu vực công nghiệp, xây dựng 72.269 người, chiếm 35,48% tổng số lao động.</w:t>
      </w:r>
    </w:p>
    <w:p w14:paraId="519B31F1" w14:textId="77777777" w:rsidR="00E63C68" w:rsidRPr="008E63BB" w:rsidRDefault="00E63C68" w:rsidP="00E63C68">
      <w:pPr>
        <w:rPr>
          <w:szCs w:val="26"/>
          <w:lang w:val="es-ES"/>
        </w:rPr>
      </w:pPr>
      <w:r w:rsidRPr="008E63BB">
        <w:rPr>
          <w:szCs w:val="26"/>
          <w:lang w:val="es-ES"/>
        </w:rPr>
        <w:t>+ Lao động khu vực dịch vụ, thương mại, du lịch 77.789 người, chiếm 38.19% tổng số lao động.</w:t>
      </w:r>
    </w:p>
    <w:p w14:paraId="519B31F2" w14:textId="77777777" w:rsidR="00E63C68" w:rsidRPr="008E63BB" w:rsidRDefault="00E63C68" w:rsidP="00E63C68">
      <w:pPr>
        <w:rPr>
          <w:szCs w:val="26"/>
          <w:lang w:val="es-ES"/>
        </w:rPr>
      </w:pPr>
      <w:r w:rsidRPr="008E63BB">
        <w:rPr>
          <w:szCs w:val="26"/>
          <w:lang w:val="es-ES"/>
        </w:rPr>
        <w:t>- Đến năm 2030</w:t>
      </w:r>
      <w:r w:rsidRPr="008E63BB">
        <w:rPr>
          <w:b/>
          <w:szCs w:val="26"/>
          <w:lang w:val="es-ES"/>
        </w:rPr>
        <w:t>:</w:t>
      </w:r>
      <w:r w:rsidRPr="008E63BB">
        <w:rPr>
          <w:szCs w:val="26"/>
          <w:lang w:val="es-ES"/>
        </w:rPr>
        <w:t xml:space="preserve"> Tổng số lao động hoạt động trong các ngành kinh tế là 257.400 người, trong đó:</w:t>
      </w:r>
    </w:p>
    <w:p w14:paraId="519B31F3" w14:textId="77777777" w:rsidR="00E63C68" w:rsidRPr="008E63BB" w:rsidRDefault="00E63C68" w:rsidP="00E63C68">
      <w:pPr>
        <w:rPr>
          <w:szCs w:val="26"/>
          <w:lang w:val="es-ES"/>
        </w:rPr>
      </w:pPr>
      <w:r w:rsidRPr="008E63BB">
        <w:rPr>
          <w:szCs w:val="26"/>
          <w:lang w:val="es-ES"/>
        </w:rPr>
        <w:t>+ Lao động khu vực nông, lâm, thủy sản 43.758 người, chiếm 17% tổng số lao động.</w:t>
      </w:r>
    </w:p>
    <w:p w14:paraId="519B31F4" w14:textId="77777777" w:rsidR="00E63C68" w:rsidRPr="008E63BB" w:rsidRDefault="00E63C68" w:rsidP="00E63C68">
      <w:pPr>
        <w:rPr>
          <w:szCs w:val="26"/>
          <w:lang w:val="es-ES"/>
        </w:rPr>
      </w:pPr>
      <w:r w:rsidRPr="008E63BB">
        <w:rPr>
          <w:szCs w:val="26"/>
          <w:lang w:val="es-ES"/>
        </w:rPr>
        <w:t>+ Lao động khu vực công nghiệp, xây dựng 108.108 người, chiếm 47,5% tổng số lao động.</w:t>
      </w:r>
    </w:p>
    <w:p w14:paraId="519B31F5" w14:textId="77777777" w:rsidR="00E63C68" w:rsidRPr="008E63BB" w:rsidRDefault="00E63C68" w:rsidP="00E63C68">
      <w:pPr>
        <w:rPr>
          <w:szCs w:val="26"/>
          <w:lang w:val="es-ES"/>
        </w:rPr>
      </w:pPr>
      <w:r w:rsidRPr="008E63BB">
        <w:rPr>
          <w:szCs w:val="26"/>
          <w:lang w:val="es-ES"/>
        </w:rPr>
        <w:t>+ Lao động khu vực dịch vụ, thương mại, du lịch 105.534 người, chiếm 41% tổng số lao động..</w:t>
      </w:r>
    </w:p>
    <w:p w14:paraId="519B31F6" w14:textId="77777777" w:rsidR="00E63C68" w:rsidRPr="008E63BB" w:rsidRDefault="00E63C68" w:rsidP="00E63C68">
      <w:pPr>
        <w:rPr>
          <w:szCs w:val="26"/>
          <w:lang w:val="es-ES"/>
        </w:rPr>
      </w:pPr>
      <w:r w:rsidRPr="008E63BB">
        <w:rPr>
          <w:szCs w:val="26"/>
          <w:lang w:val="es-ES"/>
        </w:rPr>
        <w:t>- Đến năm 2040: Tổng số lao động hoạt động trong các ngành kinh tế là 290.700 người, trong đó:</w:t>
      </w:r>
    </w:p>
    <w:p w14:paraId="519B31F7" w14:textId="77777777" w:rsidR="00E63C68" w:rsidRPr="008E63BB" w:rsidRDefault="00E63C68" w:rsidP="00E63C68">
      <w:pPr>
        <w:rPr>
          <w:szCs w:val="26"/>
          <w:lang w:val="es-ES"/>
        </w:rPr>
      </w:pPr>
      <w:r w:rsidRPr="008E63BB">
        <w:rPr>
          <w:szCs w:val="26"/>
          <w:lang w:val="es-ES"/>
        </w:rPr>
        <w:t>+ Lao động khu vực nông, lâm, thủy sản 26.163 người, chiếm 9% tổng số lao động.</w:t>
      </w:r>
    </w:p>
    <w:p w14:paraId="519B31F8" w14:textId="02238CE5" w:rsidR="00E63C68" w:rsidRPr="008E63BB" w:rsidRDefault="00E63C68" w:rsidP="00E63C68">
      <w:pPr>
        <w:rPr>
          <w:szCs w:val="26"/>
          <w:lang w:val="es-ES"/>
        </w:rPr>
      </w:pPr>
      <w:r w:rsidRPr="008E63BB">
        <w:rPr>
          <w:szCs w:val="26"/>
          <w:lang w:val="es-ES"/>
        </w:rPr>
        <w:t>+ Lao động khu vực công nghiệp, xây dựng 142.443</w:t>
      </w:r>
      <w:r w:rsidR="00C97FE0" w:rsidRPr="008E63BB">
        <w:rPr>
          <w:szCs w:val="26"/>
          <w:lang w:val="es-ES"/>
        </w:rPr>
        <w:t xml:space="preserve"> </w:t>
      </w:r>
      <w:r w:rsidRPr="008E63BB">
        <w:rPr>
          <w:szCs w:val="26"/>
          <w:lang w:val="es-ES"/>
        </w:rPr>
        <w:t>người, chiếm 49% tổng số lao động.</w:t>
      </w:r>
    </w:p>
    <w:p w14:paraId="519B31F9" w14:textId="77777777" w:rsidR="00E63C68" w:rsidRPr="008E63BB" w:rsidRDefault="00E63C68" w:rsidP="00E63C68">
      <w:pPr>
        <w:rPr>
          <w:szCs w:val="26"/>
          <w:lang w:val="es-ES"/>
        </w:rPr>
      </w:pPr>
      <w:r w:rsidRPr="008E63BB">
        <w:rPr>
          <w:szCs w:val="26"/>
          <w:lang w:val="es-ES"/>
        </w:rPr>
        <w:t>+ Lao động khu vực dịch vụ, thương mại, du lịch 122.094 người, chiếm 42% tổng số lao động...</w:t>
      </w:r>
    </w:p>
    <w:p w14:paraId="519B31FA" w14:textId="1C549457" w:rsidR="000E6EE8" w:rsidRPr="008E63BB" w:rsidRDefault="000E6EE8" w:rsidP="0065184D">
      <w:pPr>
        <w:pStyle w:val="Heading3"/>
        <w:spacing w:before="120"/>
        <w:rPr>
          <w:lang w:val="it-IT"/>
        </w:rPr>
      </w:pPr>
      <w:bookmarkStart w:id="352" w:name="_Toc47524691"/>
      <w:r w:rsidRPr="008E63BB">
        <w:rPr>
          <w:lang w:val="it-IT"/>
        </w:rPr>
        <w:t>4.</w:t>
      </w:r>
      <w:r w:rsidR="006006F4">
        <w:rPr>
          <w:lang w:val="it-IT"/>
        </w:rPr>
        <w:t>7</w:t>
      </w:r>
      <w:r w:rsidRPr="008E63BB">
        <w:rPr>
          <w:lang w:val="it-IT"/>
        </w:rPr>
        <w:t>.</w:t>
      </w:r>
      <w:r w:rsidR="006006F4">
        <w:rPr>
          <w:lang w:val="it-IT"/>
        </w:rPr>
        <w:t>3</w:t>
      </w:r>
      <w:r w:rsidRPr="008E63BB">
        <w:rPr>
          <w:lang w:val="it-IT"/>
        </w:rPr>
        <w:t>. Dự báo nhu cầu sử dụng đất đai:</w:t>
      </w:r>
      <w:bookmarkEnd w:id="351"/>
      <w:bookmarkEnd w:id="352"/>
    </w:p>
    <w:p w14:paraId="519B31FB" w14:textId="77777777" w:rsidR="00E46C1D" w:rsidRPr="008E63BB" w:rsidRDefault="00E46C1D" w:rsidP="00E46C1D">
      <w:pPr>
        <w:rPr>
          <w:szCs w:val="26"/>
          <w:lang w:val="es-ES"/>
        </w:rPr>
      </w:pPr>
      <w:bookmarkStart w:id="353" w:name="_Toc341519059"/>
      <w:bookmarkStart w:id="354" w:name="_Toc341519160"/>
      <w:bookmarkStart w:id="355" w:name="_Toc344928473"/>
      <w:bookmarkStart w:id="356" w:name="_Toc345538381"/>
      <w:bookmarkEnd w:id="349"/>
      <w:bookmarkEnd w:id="350"/>
      <w:r w:rsidRPr="008E63BB">
        <w:rPr>
          <w:szCs w:val="26"/>
          <w:lang w:val="es-ES"/>
        </w:rPr>
        <w:t>a. Căn cứ xác định chỉ tiêu sử dụng đất xây dựng đô thị</w:t>
      </w:r>
    </w:p>
    <w:p w14:paraId="519B31FC" w14:textId="77777777" w:rsidR="00E46C1D" w:rsidRPr="008E63BB" w:rsidRDefault="00E46C1D" w:rsidP="00E46C1D">
      <w:pPr>
        <w:ind w:firstLine="720"/>
        <w:rPr>
          <w:szCs w:val="26"/>
          <w:lang w:val="es-ES"/>
        </w:rPr>
      </w:pPr>
      <w:r w:rsidRPr="008E63BB">
        <w:rPr>
          <w:szCs w:val="26"/>
          <w:lang w:val="es-ES"/>
        </w:rPr>
        <w:t>- Căn cứ vào Quy chuẩn xây dựng Việt Nam được ban hành theo Quyết định số 22/2019/TT-BXD, ngày 31 tháng 12 năm 2019;</w:t>
      </w:r>
    </w:p>
    <w:p w14:paraId="519B31FD" w14:textId="77777777" w:rsidR="00E46C1D" w:rsidRPr="008E63BB" w:rsidRDefault="00E46C1D" w:rsidP="00E46C1D">
      <w:pPr>
        <w:ind w:firstLine="720"/>
        <w:rPr>
          <w:szCs w:val="26"/>
          <w:lang w:val="es-ES"/>
        </w:rPr>
      </w:pPr>
      <w:r w:rsidRPr="008E63BB">
        <w:rPr>
          <w:szCs w:val="26"/>
          <w:lang w:val="es-ES"/>
        </w:rPr>
        <w:t xml:space="preserve">- Căn cứ hướng dẫn định mức sử dụng đất trong công tác quy hoạch của Bộ TN&amp;MT; </w:t>
      </w:r>
    </w:p>
    <w:p w14:paraId="519B31FE" w14:textId="77777777" w:rsidR="00E46C1D" w:rsidRPr="008E63BB" w:rsidRDefault="00E46C1D" w:rsidP="00E46C1D">
      <w:pPr>
        <w:ind w:firstLine="720"/>
        <w:rPr>
          <w:szCs w:val="26"/>
          <w:lang w:val="es-ES"/>
        </w:rPr>
      </w:pPr>
      <w:r w:rsidRPr="008E63BB">
        <w:rPr>
          <w:szCs w:val="26"/>
          <w:lang w:val="es-ES"/>
        </w:rPr>
        <w:t>- Căn cứ đặc điểm đô thị, tình hình hiện trạng sử dụng đất và khả năng quỹ đất của khu vực quy hoạch;</w:t>
      </w:r>
    </w:p>
    <w:p w14:paraId="519B31FF" w14:textId="77777777" w:rsidR="00E46C1D" w:rsidRPr="008E63BB" w:rsidRDefault="00E46C1D" w:rsidP="00E46C1D">
      <w:pPr>
        <w:ind w:firstLine="720"/>
        <w:rPr>
          <w:szCs w:val="26"/>
          <w:lang w:val="es-ES"/>
        </w:rPr>
      </w:pPr>
      <w:r w:rsidRPr="008E63BB">
        <w:rPr>
          <w:szCs w:val="26"/>
          <w:lang w:val="es-ES"/>
        </w:rPr>
        <w:t>- Tham khảo áp dụng các tiêu chuẩn, quy chuẩn.</w:t>
      </w:r>
    </w:p>
    <w:p w14:paraId="519B3200" w14:textId="77777777" w:rsidR="00E46C1D" w:rsidRPr="008E63BB" w:rsidRDefault="00E46C1D" w:rsidP="00E46C1D">
      <w:pPr>
        <w:rPr>
          <w:szCs w:val="26"/>
          <w:lang w:val="es-ES"/>
        </w:rPr>
      </w:pPr>
      <w:r w:rsidRPr="008E63BB">
        <w:rPr>
          <w:szCs w:val="26"/>
          <w:lang w:val="es-ES"/>
        </w:rPr>
        <w:t>b. Đề xuất </w:t>
      </w:r>
    </w:p>
    <w:p w14:paraId="519B3201" w14:textId="77777777" w:rsidR="00E46C1D" w:rsidRPr="008E63BB" w:rsidRDefault="00E46C1D" w:rsidP="00E46C1D">
      <w:pPr>
        <w:rPr>
          <w:szCs w:val="26"/>
          <w:lang w:val="es-ES"/>
        </w:rPr>
      </w:pPr>
      <w:bookmarkStart w:id="357" w:name="_Toc21955357"/>
      <w:r w:rsidRPr="008E63BB">
        <w:rPr>
          <w:szCs w:val="26"/>
          <w:lang w:val="es-ES"/>
        </w:rPr>
        <w:t xml:space="preserve">Bảng: Dự báo chỉ tiêu đất xây dựng đô thị   </w:t>
      </w:r>
    </w:p>
    <w:tbl>
      <w:tblPr>
        <w:tblW w:w="9360" w:type="dxa"/>
        <w:tblInd w:w="-5" w:type="dxa"/>
        <w:tblLook w:val="04A0" w:firstRow="1" w:lastRow="0" w:firstColumn="1" w:lastColumn="0" w:noHBand="0" w:noVBand="1"/>
      </w:tblPr>
      <w:tblGrid>
        <w:gridCol w:w="537"/>
        <w:gridCol w:w="2343"/>
        <w:gridCol w:w="1260"/>
        <w:gridCol w:w="1350"/>
        <w:gridCol w:w="1260"/>
        <w:gridCol w:w="1350"/>
        <w:gridCol w:w="1260"/>
      </w:tblGrid>
      <w:tr w:rsidR="008D5BFE" w:rsidRPr="008E63BB" w14:paraId="519B3209" w14:textId="77777777" w:rsidTr="009A3167">
        <w:trPr>
          <w:trHeight w:val="315"/>
        </w:trPr>
        <w:tc>
          <w:tcPr>
            <w:tcW w:w="5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202" w14:textId="77777777" w:rsidR="00E46C1D" w:rsidRPr="008E63BB" w:rsidRDefault="00E46C1D" w:rsidP="00E46C1D">
            <w:pPr>
              <w:jc w:val="center"/>
              <w:rPr>
                <w:rFonts w:eastAsia="Times New Roman"/>
                <w:b/>
                <w:bCs/>
                <w:sz w:val="24"/>
                <w:szCs w:val="24"/>
              </w:rPr>
            </w:pPr>
            <w:r w:rsidRPr="008E63BB">
              <w:rPr>
                <w:rFonts w:eastAsia="Times New Roman"/>
                <w:b/>
                <w:bCs/>
                <w:sz w:val="24"/>
                <w:szCs w:val="26"/>
              </w:rPr>
              <w:t>TT</w:t>
            </w:r>
          </w:p>
        </w:tc>
        <w:tc>
          <w:tcPr>
            <w:tcW w:w="2343" w:type="dxa"/>
            <w:tcBorders>
              <w:top w:val="single" w:sz="4" w:space="0" w:color="auto"/>
              <w:left w:val="nil"/>
              <w:bottom w:val="single" w:sz="4" w:space="0" w:color="auto"/>
              <w:right w:val="single" w:sz="4" w:space="0" w:color="auto"/>
            </w:tcBorders>
            <w:shd w:val="clear" w:color="auto" w:fill="auto"/>
            <w:noWrap/>
            <w:vAlign w:val="center"/>
            <w:hideMark/>
          </w:tcPr>
          <w:p w14:paraId="519B3203" w14:textId="77777777" w:rsidR="00E46C1D" w:rsidRPr="008E63BB" w:rsidRDefault="00E46C1D" w:rsidP="00E46C1D">
            <w:pPr>
              <w:jc w:val="center"/>
              <w:rPr>
                <w:rFonts w:eastAsia="Times New Roman"/>
                <w:b/>
                <w:bCs/>
                <w:sz w:val="24"/>
                <w:szCs w:val="24"/>
              </w:rPr>
            </w:pPr>
            <w:r w:rsidRPr="008E63BB">
              <w:rPr>
                <w:rFonts w:eastAsia="Times New Roman"/>
                <w:b/>
                <w:bCs/>
                <w:sz w:val="24"/>
                <w:szCs w:val="26"/>
              </w:rPr>
              <w:t>Hạng mục</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19B3204" w14:textId="77777777" w:rsidR="00E46C1D" w:rsidRPr="008E63BB" w:rsidRDefault="00E46C1D" w:rsidP="009A3167">
            <w:pPr>
              <w:jc w:val="center"/>
              <w:rPr>
                <w:rFonts w:eastAsia="Times New Roman"/>
                <w:b/>
                <w:bCs/>
                <w:sz w:val="24"/>
                <w:szCs w:val="24"/>
              </w:rPr>
            </w:pPr>
            <w:r w:rsidRPr="008E63BB">
              <w:rPr>
                <w:rFonts w:eastAsia="Times New Roman"/>
                <w:b/>
                <w:bCs/>
                <w:sz w:val="24"/>
                <w:szCs w:val="26"/>
              </w:rPr>
              <w:t>Đơn vị</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519B3205" w14:textId="77777777" w:rsidR="00E46C1D" w:rsidRPr="008E63BB" w:rsidRDefault="00E46C1D" w:rsidP="00E46C1D">
            <w:pPr>
              <w:jc w:val="center"/>
              <w:rPr>
                <w:rFonts w:eastAsia="Times New Roman"/>
                <w:b/>
                <w:bCs/>
                <w:sz w:val="24"/>
                <w:szCs w:val="24"/>
              </w:rPr>
            </w:pPr>
            <w:r w:rsidRPr="008E63BB">
              <w:rPr>
                <w:rFonts w:eastAsia="Times New Roman"/>
                <w:b/>
                <w:bCs/>
                <w:sz w:val="24"/>
                <w:szCs w:val="26"/>
              </w:rPr>
              <w:t xml:space="preserve">Hiện trạng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19B3206" w14:textId="77777777" w:rsidR="00E46C1D" w:rsidRPr="008E63BB" w:rsidRDefault="00E46C1D" w:rsidP="00E46C1D">
            <w:pPr>
              <w:jc w:val="left"/>
              <w:rPr>
                <w:rFonts w:eastAsia="Times New Roman"/>
                <w:b/>
                <w:bCs/>
                <w:sz w:val="24"/>
                <w:szCs w:val="24"/>
              </w:rPr>
            </w:pPr>
            <w:r w:rsidRPr="008E63BB">
              <w:rPr>
                <w:rFonts w:eastAsia="Times New Roman"/>
                <w:b/>
                <w:bCs/>
                <w:sz w:val="24"/>
                <w:szCs w:val="26"/>
              </w:rPr>
              <w:t>Năm 2030</w:t>
            </w:r>
          </w:p>
        </w:tc>
        <w:tc>
          <w:tcPr>
            <w:tcW w:w="1350" w:type="dxa"/>
            <w:tcBorders>
              <w:top w:val="single" w:sz="4" w:space="0" w:color="auto"/>
              <w:left w:val="nil"/>
              <w:bottom w:val="single" w:sz="4" w:space="0" w:color="auto"/>
              <w:right w:val="single" w:sz="4" w:space="0" w:color="auto"/>
            </w:tcBorders>
            <w:shd w:val="clear" w:color="auto" w:fill="auto"/>
            <w:noWrap/>
            <w:vAlign w:val="center"/>
            <w:hideMark/>
          </w:tcPr>
          <w:p w14:paraId="519B3207" w14:textId="77777777" w:rsidR="00E46C1D" w:rsidRPr="008E63BB" w:rsidRDefault="00E46C1D" w:rsidP="00E46C1D">
            <w:pPr>
              <w:jc w:val="left"/>
              <w:rPr>
                <w:rFonts w:eastAsia="Times New Roman"/>
                <w:b/>
                <w:bCs/>
                <w:sz w:val="24"/>
                <w:szCs w:val="24"/>
              </w:rPr>
            </w:pPr>
            <w:r w:rsidRPr="008E63BB">
              <w:rPr>
                <w:rFonts w:eastAsia="Times New Roman"/>
                <w:b/>
                <w:bCs/>
                <w:sz w:val="24"/>
                <w:szCs w:val="26"/>
              </w:rPr>
              <w:t>Năm 2040</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19B3208" w14:textId="77777777" w:rsidR="00E46C1D" w:rsidRPr="008E63BB" w:rsidRDefault="00E46C1D" w:rsidP="00E46C1D">
            <w:pPr>
              <w:jc w:val="left"/>
              <w:rPr>
                <w:rFonts w:eastAsia="Times New Roman"/>
                <w:b/>
                <w:bCs/>
                <w:sz w:val="24"/>
                <w:szCs w:val="24"/>
              </w:rPr>
            </w:pPr>
            <w:r w:rsidRPr="008E63BB">
              <w:rPr>
                <w:rFonts w:eastAsia="Times New Roman"/>
                <w:b/>
                <w:bCs/>
                <w:sz w:val="24"/>
                <w:szCs w:val="24"/>
              </w:rPr>
              <w:t>Năm 2050</w:t>
            </w:r>
          </w:p>
        </w:tc>
      </w:tr>
      <w:tr w:rsidR="00E63C68" w:rsidRPr="008E63BB" w14:paraId="519B3211" w14:textId="77777777" w:rsidTr="009A3167">
        <w:trPr>
          <w:trHeight w:val="315"/>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19B320A" w14:textId="77777777" w:rsidR="00E63C68" w:rsidRPr="008E63BB" w:rsidRDefault="00E63C68" w:rsidP="00E63C68">
            <w:pPr>
              <w:jc w:val="center"/>
              <w:rPr>
                <w:rFonts w:eastAsia="Times New Roman"/>
                <w:sz w:val="24"/>
                <w:szCs w:val="24"/>
              </w:rPr>
            </w:pPr>
            <w:r w:rsidRPr="008E63BB">
              <w:rPr>
                <w:rFonts w:eastAsia="Times New Roman"/>
                <w:sz w:val="24"/>
                <w:szCs w:val="26"/>
              </w:rPr>
              <w:t> </w:t>
            </w:r>
          </w:p>
        </w:tc>
        <w:tc>
          <w:tcPr>
            <w:tcW w:w="2343" w:type="dxa"/>
            <w:tcBorders>
              <w:top w:val="nil"/>
              <w:left w:val="nil"/>
              <w:bottom w:val="single" w:sz="4" w:space="0" w:color="auto"/>
              <w:right w:val="single" w:sz="4" w:space="0" w:color="auto"/>
            </w:tcBorders>
            <w:shd w:val="clear" w:color="auto" w:fill="auto"/>
            <w:noWrap/>
            <w:vAlign w:val="center"/>
            <w:hideMark/>
          </w:tcPr>
          <w:p w14:paraId="519B320B" w14:textId="77777777" w:rsidR="00E63C68" w:rsidRPr="008E63BB" w:rsidRDefault="00E63C68" w:rsidP="00E63C68">
            <w:pPr>
              <w:jc w:val="left"/>
              <w:rPr>
                <w:rFonts w:eastAsia="Times New Roman"/>
                <w:sz w:val="24"/>
                <w:szCs w:val="24"/>
              </w:rPr>
            </w:pPr>
            <w:r w:rsidRPr="008E63BB">
              <w:rPr>
                <w:rFonts w:eastAsia="Times New Roman"/>
                <w:sz w:val="24"/>
                <w:szCs w:val="26"/>
              </w:rPr>
              <w:t>Đất xây dựng đô thị</w:t>
            </w:r>
          </w:p>
        </w:tc>
        <w:tc>
          <w:tcPr>
            <w:tcW w:w="1260" w:type="dxa"/>
            <w:tcBorders>
              <w:top w:val="nil"/>
              <w:left w:val="nil"/>
              <w:bottom w:val="single" w:sz="4" w:space="0" w:color="auto"/>
              <w:right w:val="single" w:sz="4" w:space="0" w:color="auto"/>
            </w:tcBorders>
            <w:shd w:val="clear" w:color="auto" w:fill="auto"/>
            <w:noWrap/>
            <w:vAlign w:val="center"/>
            <w:hideMark/>
          </w:tcPr>
          <w:p w14:paraId="519B320C" w14:textId="77777777" w:rsidR="00E63C68" w:rsidRPr="008E63BB" w:rsidRDefault="00E63C68" w:rsidP="00E63C68">
            <w:pPr>
              <w:jc w:val="center"/>
              <w:rPr>
                <w:rFonts w:eastAsia="Times New Roman"/>
                <w:sz w:val="24"/>
                <w:szCs w:val="24"/>
              </w:rPr>
            </w:pPr>
            <w:r w:rsidRPr="008E63BB">
              <w:rPr>
                <w:rFonts w:eastAsia="Times New Roman"/>
                <w:sz w:val="24"/>
                <w:szCs w:val="26"/>
              </w:rPr>
              <w:t>m2/ người</w:t>
            </w:r>
          </w:p>
        </w:tc>
        <w:tc>
          <w:tcPr>
            <w:tcW w:w="1350" w:type="dxa"/>
            <w:tcBorders>
              <w:top w:val="nil"/>
              <w:left w:val="nil"/>
              <w:bottom w:val="single" w:sz="4" w:space="0" w:color="auto"/>
              <w:right w:val="single" w:sz="4" w:space="0" w:color="auto"/>
            </w:tcBorders>
            <w:shd w:val="clear" w:color="auto" w:fill="auto"/>
            <w:noWrap/>
            <w:vAlign w:val="center"/>
            <w:hideMark/>
          </w:tcPr>
          <w:p w14:paraId="519B320D" w14:textId="77777777" w:rsidR="00E63C68" w:rsidRPr="008E63BB" w:rsidRDefault="00E63C68" w:rsidP="00E63C68">
            <w:pPr>
              <w:jc w:val="center"/>
              <w:rPr>
                <w:rFonts w:eastAsia="Times New Roman"/>
                <w:sz w:val="24"/>
                <w:szCs w:val="24"/>
              </w:rPr>
            </w:pPr>
            <w:r w:rsidRPr="008E63BB">
              <w:rPr>
                <w:rFonts w:eastAsia="Times New Roman"/>
                <w:sz w:val="24"/>
                <w:szCs w:val="24"/>
              </w:rPr>
              <w:t>131,4</w:t>
            </w:r>
          </w:p>
        </w:tc>
        <w:tc>
          <w:tcPr>
            <w:tcW w:w="1260" w:type="dxa"/>
            <w:tcBorders>
              <w:top w:val="nil"/>
              <w:left w:val="nil"/>
              <w:bottom w:val="single" w:sz="4" w:space="0" w:color="auto"/>
              <w:right w:val="single" w:sz="4" w:space="0" w:color="auto"/>
            </w:tcBorders>
            <w:shd w:val="clear" w:color="auto" w:fill="auto"/>
            <w:noWrap/>
            <w:vAlign w:val="center"/>
            <w:hideMark/>
          </w:tcPr>
          <w:p w14:paraId="519B320E" w14:textId="77777777" w:rsidR="00E63C68" w:rsidRPr="008E63BB" w:rsidRDefault="00E63C68" w:rsidP="00E63C68">
            <w:pPr>
              <w:jc w:val="center"/>
              <w:rPr>
                <w:rFonts w:eastAsia="Times New Roman"/>
                <w:sz w:val="24"/>
                <w:szCs w:val="24"/>
              </w:rPr>
            </w:pPr>
            <w:r w:rsidRPr="008E63BB">
              <w:rPr>
                <w:rFonts w:eastAsia="Times New Roman"/>
                <w:sz w:val="24"/>
                <w:szCs w:val="24"/>
              </w:rPr>
              <w:t>128,65</w:t>
            </w:r>
          </w:p>
        </w:tc>
        <w:tc>
          <w:tcPr>
            <w:tcW w:w="1350" w:type="dxa"/>
            <w:tcBorders>
              <w:top w:val="nil"/>
              <w:left w:val="nil"/>
              <w:bottom w:val="single" w:sz="4" w:space="0" w:color="auto"/>
              <w:right w:val="single" w:sz="4" w:space="0" w:color="auto"/>
            </w:tcBorders>
            <w:shd w:val="clear" w:color="auto" w:fill="auto"/>
            <w:noWrap/>
            <w:vAlign w:val="center"/>
            <w:hideMark/>
          </w:tcPr>
          <w:p w14:paraId="519B320F" w14:textId="77777777" w:rsidR="00E63C68" w:rsidRPr="008E63BB" w:rsidRDefault="00E63C68" w:rsidP="00E63C68">
            <w:pPr>
              <w:jc w:val="center"/>
              <w:rPr>
                <w:rFonts w:eastAsia="Times New Roman"/>
                <w:sz w:val="24"/>
                <w:szCs w:val="24"/>
              </w:rPr>
            </w:pPr>
            <w:r w:rsidRPr="008E63BB">
              <w:rPr>
                <w:rFonts w:eastAsia="Times New Roman"/>
                <w:sz w:val="24"/>
                <w:szCs w:val="24"/>
              </w:rPr>
              <w:t>138,87</w:t>
            </w:r>
          </w:p>
        </w:tc>
        <w:tc>
          <w:tcPr>
            <w:tcW w:w="1260" w:type="dxa"/>
            <w:tcBorders>
              <w:top w:val="nil"/>
              <w:left w:val="nil"/>
              <w:bottom w:val="single" w:sz="4" w:space="0" w:color="auto"/>
              <w:right w:val="single" w:sz="4" w:space="0" w:color="auto"/>
            </w:tcBorders>
            <w:shd w:val="clear" w:color="auto" w:fill="auto"/>
            <w:noWrap/>
            <w:vAlign w:val="center"/>
            <w:hideMark/>
          </w:tcPr>
          <w:p w14:paraId="519B3210" w14:textId="77777777" w:rsidR="00E63C68" w:rsidRPr="008E63BB" w:rsidRDefault="00E63C68" w:rsidP="00E63C68">
            <w:pPr>
              <w:jc w:val="center"/>
              <w:rPr>
                <w:rFonts w:eastAsia="Times New Roman"/>
                <w:sz w:val="24"/>
                <w:szCs w:val="24"/>
              </w:rPr>
            </w:pPr>
            <w:r w:rsidRPr="008E63BB">
              <w:rPr>
                <w:rFonts w:eastAsia="Times New Roman"/>
                <w:sz w:val="24"/>
                <w:szCs w:val="24"/>
              </w:rPr>
              <w:t>135,20</w:t>
            </w:r>
          </w:p>
        </w:tc>
      </w:tr>
      <w:tr w:rsidR="00E63C68" w:rsidRPr="008E63BB" w14:paraId="519B3219" w14:textId="77777777" w:rsidTr="009A3167">
        <w:trPr>
          <w:trHeight w:val="315"/>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19B3212" w14:textId="77777777" w:rsidR="00E63C68" w:rsidRPr="008E63BB" w:rsidRDefault="00E63C68" w:rsidP="00E63C68">
            <w:pPr>
              <w:jc w:val="center"/>
              <w:rPr>
                <w:rFonts w:eastAsia="Times New Roman"/>
                <w:sz w:val="24"/>
                <w:szCs w:val="24"/>
              </w:rPr>
            </w:pPr>
            <w:r w:rsidRPr="008E63BB">
              <w:rPr>
                <w:rFonts w:eastAsia="Times New Roman"/>
                <w:sz w:val="24"/>
                <w:szCs w:val="26"/>
              </w:rPr>
              <w:t>1</w:t>
            </w:r>
          </w:p>
        </w:tc>
        <w:tc>
          <w:tcPr>
            <w:tcW w:w="2343" w:type="dxa"/>
            <w:tcBorders>
              <w:top w:val="nil"/>
              <w:left w:val="nil"/>
              <w:bottom w:val="single" w:sz="4" w:space="0" w:color="auto"/>
              <w:right w:val="single" w:sz="4" w:space="0" w:color="auto"/>
            </w:tcBorders>
            <w:shd w:val="clear" w:color="auto" w:fill="auto"/>
            <w:noWrap/>
            <w:vAlign w:val="center"/>
            <w:hideMark/>
          </w:tcPr>
          <w:p w14:paraId="519B3213" w14:textId="77777777" w:rsidR="00E63C68" w:rsidRPr="008E63BB" w:rsidRDefault="00E63C68" w:rsidP="00E63C68">
            <w:pPr>
              <w:jc w:val="left"/>
              <w:rPr>
                <w:rFonts w:eastAsia="Times New Roman"/>
                <w:sz w:val="24"/>
                <w:szCs w:val="24"/>
              </w:rPr>
            </w:pPr>
            <w:r w:rsidRPr="008E63BB">
              <w:rPr>
                <w:rFonts w:eastAsia="Times New Roman"/>
                <w:sz w:val="24"/>
                <w:szCs w:val="26"/>
              </w:rPr>
              <w:t>Đất dân dụng (*)</w:t>
            </w:r>
          </w:p>
        </w:tc>
        <w:tc>
          <w:tcPr>
            <w:tcW w:w="1260" w:type="dxa"/>
            <w:tcBorders>
              <w:top w:val="nil"/>
              <w:left w:val="nil"/>
              <w:bottom w:val="single" w:sz="4" w:space="0" w:color="auto"/>
              <w:right w:val="single" w:sz="4" w:space="0" w:color="auto"/>
            </w:tcBorders>
            <w:shd w:val="clear" w:color="auto" w:fill="auto"/>
            <w:noWrap/>
            <w:vAlign w:val="center"/>
            <w:hideMark/>
          </w:tcPr>
          <w:p w14:paraId="519B3214" w14:textId="77777777" w:rsidR="00E63C68" w:rsidRPr="008E63BB" w:rsidRDefault="00E63C68" w:rsidP="00E63C68">
            <w:pPr>
              <w:jc w:val="center"/>
              <w:rPr>
                <w:rFonts w:eastAsia="Times New Roman"/>
                <w:sz w:val="24"/>
                <w:szCs w:val="24"/>
              </w:rPr>
            </w:pPr>
            <w:r w:rsidRPr="008E63BB">
              <w:rPr>
                <w:rFonts w:eastAsia="Times New Roman"/>
                <w:sz w:val="24"/>
                <w:szCs w:val="26"/>
              </w:rPr>
              <w:t>m2/ người</w:t>
            </w:r>
          </w:p>
        </w:tc>
        <w:tc>
          <w:tcPr>
            <w:tcW w:w="1350" w:type="dxa"/>
            <w:tcBorders>
              <w:top w:val="nil"/>
              <w:left w:val="nil"/>
              <w:bottom w:val="single" w:sz="4" w:space="0" w:color="auto"/>
              <w:right w:val="single" w:sz="4" w:space="0" w:color="auto"/>
            </w:tcBorders>
            <w:shd w:val="clear" w:color="auto" w:fill="auto"/>
            <w:noWrap/>
            <w:vAlign w:val="center"/>
            <w:hideMark/>
          </w:tcPr>
          <w:p w14:paraId="519B3215" w14:textId="77777777" w:rsidR="00E63C68" w:rsidRPr="008E63BB" w:rsidRDefault="00E63C68" w:rsidP="00E63C68">
            <w:pPr>
              <w:jc w:val="center"/>
              <w:rPr>
                <w:rFonts w:eastAsia="Times New Roman"/>
                <w:sz w:val="24"/>
                <w:szCs w:val="24"/>
              </w:rPr>
            </w:pPr>
            <w:r w:rsidRPr="008E63BB">
              <w:rPr>
                <w:rFonts w:eastAsia="Times New Roman"/>
                <w:sz w:val="24"/>
                <w:szCs w:val="24"/>
              </w:rPr>
              <w:t>93,73</w:t>
            </w:r>
          </w:p>
        </w:tc>
        <w:tc>
          <w:tcPr>
            <w:tcW w:w="1260" w:type="dxa"/>
            <w:tcBorders>
              <w:top w:val="nil"/>
              <w:left w:val="nil"/>
              <w:bottom w:val="single" w:sz="4" w:space="0" w:color="auto"/>
              <w:right w:val="single" w:sz="4" w:space="0" w:color="auto"/>
            </w:tcBorders>
            <w:shd w:val="clear" w:color="auto" w:fill="auto"/>
            <w:noWrap/>
            <w:vAlign w:val="center"/>
            <w:hideMark/>
          </w:tcPr>
          <w:p w14:paraId="519B3216" w14:textId="77777777" w:rsidR="00E63C68" w:rsidRPr="008E63BB" w:rsidRDefault="00E63C68" w:rsidP="00E63C68">
            <w:pPr>
              <w:jc w:val="center"/>
              <w:rPr>
                <w:rFonts w:eastAsia="Times New Roman"/>
                <w:sz w:val="24"/>
                <w:szCs w:val="24"/>
              </w:rPr>
            </w:pPr>
            <w:r w:rsidRPr="008E63BB">
              <w:rPr>
                <w:rFonts w:eastAsia="Times New Roman"/>
                <w:sz w:val="24"/>
                <w:szCs w:val="24"/>
              </w:rPr>
              <w:t>83,56</w:t>
            </w:r>
          </w:p>
        </w:tc>
        <w:tc>
          <w:tcPr>
            <w:tcW w:w="1350" w:type="dxa"/>
            <w:tcBorders>
              <w:top w:val="nil"/>
              <w:left w:val="nil"/>
              <w:bottom w:val="single" w:sz="4" w:space="0" w:color="auto"/>
              <w:right w:val="single" w:sz="4" w:space="0" w:color="auto"/>
            </w:tcBorders>
            <w:shd w:val="clear" w:color="auto" w:fill="auto"/>
            <w:noWrap/>
            <w:vAlign w:val="center"/>
            <w:hideMark/>
          </w:tcPr>
          <w:p w14:paraId="519B3217" w14:textId="77777777" w:rsidR="00E63C68" w:rsidRPr="008E63BB" w:rsidRDefault="00E63C68" w:rsidP="00E63C68">
            <w:pPr>
              <w:jc w:val="center"/>
              <w:rPr>
                <w:rFonts w:eastAsia="Times New Roman"/>
                <w:sz w:val="24"/>
                <w:szCs w:val="24"/>
              </w:rPr>
            </w:pPr>
            <w:r w:rsidRPr="008E63BB">
              <w:rPr>
                <w:rFonts w:eastAsia="Times New Roman"/>
                <w:sz w:val="24"/>
                <w:szCs w:val="24"/>
              </w:rPr>
              <w:t>83,17</w:t>
            </w:r>
          </w:p>
        </w:tc>
        <w:tc>
          <w:tcPr>
            <w:tcW w:w="1260" w:type="dxa"/>
            <w:tcBorders>
              <w:top w:val="nil"/>
              <w:left w:val="nil"/>
              <w:bottom w:val="single" w:sz="4" w:space="0" w:color="auto"/>
              <w:right w:val="single" w:sz="4" w:space="0" w:color="auto"/>
            </w:tcBorders>
            <w:shd w:val="clear" w:color="auto" w:fill="auto"/>
            <w:noWrap/>
            <w:vAlign w:val="center"/>
            <w:hideMark/>
          </w:tcPr>
          <w:p w14:paraId="519B3218" w14:textId="77777777" w:rsidR="00E63C68" w:rsidRPr="008E63BB" w:rsidRDefault="00E63C68" w:rsidP="00E63C68">
            <w:pPr>
              <w:jc w:val="center"/>
              <w:rPr>
                <w:rFonts w:eastAsia="Times New Roman"/>
                <w:sz w:val="24"/>
                <w:szCs w:val="24"/>
              </w:rPr>
            </w:pPr>
            <w:r w:rsidRPr="008E63BB">
              <w:rPr>
                <w:rFonts w:eastAsia="Times New Roman"/>
                <w:sz w:val="24"/>
                <w:szCs w:val="24"/>
              </w:rPr>
              <w:t>85,30</w:t>
            </w:r>
          </w:p>
        </w:tc>
      </w:tr>
      <w:tr w:rsidR="00E63C68" w:rsidRPr="008E63BB" w14:paraId="519B3221" w14:textId="77777777" w:rsidTr="009A3167">
        <w:trPr>
          <w:trHeight w:val="315"/>
        </w:trPr>
        <w:tc>
          <w:tcPr>
            <w:tcW w:w="537" w:type="dxa"/>
            <w:tcBorders>
              <w:top w:val="nil"/>
              <w:left w:val="single" w:sz="4" w:space="0" w:color="auto"/>
              <w:bottom w:val="single" w:sz="4" w:space="0" w:color="auto"/>
              <w:right w:val="single" w:sz="4" w:space="0" w:color="auto"/>
            </w:tcBorders>
            <w:shd w:val="clear" w:color="auto" w:fill="auto"/>
            <w:noWrap/>
            <w:vAlign w:val="center"/>
            <w:hideMark/>
          </w:tcPr>
          <w:p w14:paraId="519B321A" w14:textId="77777777" w:rsidR="00E63C68" w:rsidRPr="008E63BB" w:rsidRDefault="00E63C68" w:rsidP="00E63C68">
            <w:pPr>
              <w:jc w:val="center"/>
              <w:rPr>
                <w:rFonts w:eastAsia="Times New Roman"/>
                <w:sz w:val="24"/>
                <w:szCs w:val="24"/>
              </w:rPr>
            </w:pPr>
            <w:r w:rsidRPr="008E63BB">
              <w:rPr>
                <w:rFonts w:eastAsia="Times New Roman"/>
                <w:sz w:val="24"/>
                <w:szCs w:val="26"/>
              </w:rPr>
              <w:t>2</w:t>
            </w:r>
          </w:p>
        </w:tc>
        <w:tc>
          <w:tcPr>
            <w:tcW w:w="2343" w:type="dxa"/>
            <w:tcBorders>
              <w:top w:val="nil"/>
              <w:left w:val="nil"/>
              <w:bottom w:val="single" w:sz="4" w:space="0" w:color="auto"/>
              <w:right w:val="single" w:sz="4" w:space="0" w:color="auto"/>
            </w:tcBorders>
            <w:shd w:val="clear" w:color="auto" w:fill="auto"/>
            <w:noWrap/>
            <w:vAlign w:val="center"/>
            <w:hideMark/>
          </w:tcPr>
          <w:p w14:paraId="519B321B" w14:textId="77777777" w:rsidR="00E63C68" w:rsidRPr="008E63BB" w:rsidRDefault="00E63C68" w:rsidP="00E63C68">
            <w:pPr>
              <w:jc w:val="left"/>
              <w:rPr>
                <w:rFonts w:eastAsia="Times New Roman"/>
                <w:sz w:val="24"/>
                <w:szCs w:val="24"/>
              </w:rPr>
            </w:pPr>
            <w:r w:rsidRPr="008E63BB">
              <w:rPr>
                <w:rFonts w:eastAsia="Times New Roman"/>
                <w:sz w:val="24"/>
                <w:szCs w:val="26"/>
              </w:rPr>
              <w:t>Đất ngoài dân dụng</w:t>
            </w:r>
          </w:p>
        </w:tc>
        <w:tc>
          <w:tcPr>
            <w:tcW w:w="1260" w:type="dxa"/>
            <w:tcBorders>
              <w:top w:val="nil"/>
              <w:left w:val="nil"/>
              <w:bottom w:val="single" w:sz="4" w:space="0" w:color="auto"/>
              <w:right w:val="single" w:sz="4" w:space="0" w:color="auto"/>
            </w:tcBorders>
            <w:shd w:val="clear" w:color="auto" w:fill="auto"/>
            <w:noWrap/>
            <w:vAlign w:val="center"/>
            <w:hideMark/>
          </w:tcPr>
          <w:p w14:paraId="519B321C" w14:textId="77777777" w:rsidR="00E63C68" w:rsidRPr="008E63BB" w:rsidRDefault="00E63C68" w:rsidP="00E63C68">
            <w:pPr>
              <w:jc w:val="center"/>
              <w:rPr>
                <w:rFonts w:eastAsia="Times New Roman"/>
                <w:sz w:val="24"/>
                <w:szCs w:val="24"/>
              </w:rPr>
            </w:pPr>
            <w:r w:rsidRPr="008E63BB">
              <w:rPr>
                <w:rFonts w:eastAsia="Times New Roman"/>
                <w:sz w:val="24"/>
                <w:szCs w:val="26"/>
              </w:rPr>
              <w:t>m2/ người</w:t>
            </w:r>
          </w:p>
        </w:tc>
        <w:tc>
          <w:tcPr>
            <w:tcW w:w="1350" w:type="dxa"/>
            <w:tcBorders>
              <w:top w:val="nil"/>
              <w:left w:val="nil"/>
              <w:bottom w:val="single" w:sz="4" w:space="0" w:color="auto"/>
              <w:right w:val="single" w:sz="4" w:space="0" w:color="auto"/>
            </w:tcBorders>
            <w:shd w:val="clear" w:color="auto" w:fill="auto"/>
            <w:noWrap/>
            <w:vAlign w:val="center"/>
            <w:hideMark/>
          </w:tcPr>
          <w:p w14:paraId="519B321D" w14:textId="77777777" w:rsidR="00E63C68" w:rsidRPr="008E63BB" w:rsidRDefault="00E63C68" w:rsidP="00E63C68">
            <w:pPr>
              <w:jc w:val="center"/>
              <w:rPr>
                <w:rFonts w:eastAsia="Times New Roman"/>
                <w:sz w:val="24"/>
                <w:szCs w:val="24"/>
              </w:rPr>
            </w:pPr>
            <w:r w:rsidRPr="008E63BB">
              <w:rPr>
                <w:rFonts w:eastAsia="Times New Roman"/>
                <w:sz w:val="24"/>
                <w:szCs w:val="24"/>
              </w:rPr>
              <w:t>37,68</w:t>
            </w:r>
          </w:p>
        </w:tc>
        <w:tc>
          <w:tcPr>
            <w:tcW w:w="1260" w:type="dxa"/>
            <w:tcBorders>
              <w:top w:val="nil"/>
              <w:left w:val="nil"/>
              <w:bottom w:val="single" w:sz="4" w:space="0" w:color="auto"/>
              <w:right w:val="single" w:sz="4" w:space="0" w:color="auto"/>
            </w:tcBorders>
            <w:shd w:val="clear" w:color="auto" w:fill="auto"/>
            <w:noWrap/>
            <w:vAlign w:val="center"/>
            <w:hideMark/>
          </w:tcPr>
          <w:p w14:paraId="519B321E" w14:textId="77777777" w:rsidR="00E63C68" w:rsidRPr="008E63BB" w:rsidRDefault="00E63C68" w:rsidP="00E63C68">
            <w:pPr>
              <w:jc w:val="center"/>
              <w:rPr>
                <w:rFonts w:eastAsia="Times New Roman"/>
                <w:sz w:val="24"/>
                <w:szCs w:val="24"/>
              </w:rPr>
            </w:pPr>
            <w:r w:rsidRPr="008E63BB">
              <w:rPr>
                <w:rFonts w:eastAsia="Times New Roman"/>
                <w:sz w:val="24"/>
                <w:szCs w:val="24"/>
              </w:rPr>
              <w:t>44,96</w:t>
            </w:r>
          </w:p>
        </w:tc>
        <w:tc>
          <w:tcPr>
            <w:tcW w:w="1350" w:type="dxa"/>
            <w:tcBorders>
              <w:top w:val="nil"/>
              <w:left w:val="nil"/>
              <w:bottom w:val="single" w:sz="4" w:space="0" w:color="auto"/>
              <w:right w:val="single" w:sz="4" w:space="0" w:color="auto"/>
            </w:tcBorders>
            <w:shd w:val="clear" w:color="auto" w:fill="auto"/>
            <w:noWrap/>
            <w:vAlign w:val="center"/>
            <w:hideMark/>
          </w:tcPr>
          <w:p w14:paraId="519B321F" w14:textId="77777777" w:rsidR="00E63C68" w:rsidRPr="008E63BB" w:rsidRDefault="00E63C68" w:rsidP="00E63C68">
            <w:pPr>
              <w:jc w:val="center"/>
              <w:rPr>
                <w:rFonts w:eastAsia="Times New Roman"/>
                <w:sz w:val="24"/>
                <w:szCs w:val="24"/>
              </w:rPr>
            </w:pPr>
            <w:r w:rsidRPr="008E63BB">
              <w:rPr>
                <w:rFonts w:eastAsia="Times New Roman"/>
                <w:sz w:val="24"/>
                <w:szCs w:val="24"/>
              </w:rPr>
              <w:t>55,70</w:t>
            </w:r>
          </w:p>
        </w:tc>
        <w:tc>
          <w:tcPr>
            <w:tcW w:w="1260" w:type="dxa"/>
            <w:tcBorders>
              <w:top w:val="nil"/>
              <w:left w:val="nil"/>
              <w:bottom w:val="single" w:sz="4" w:space="0" w:color="auto"/>
              <w:right w:val="single" w:sz="4" w:space="0" w:color="auto"/>
            </w:tcBorders>
            <w:shd w:val="clear" w:color="auto" w:fill="auto"/>
            <w:noWrap/>
            <w:vAlign w:val="center"/>
            <w:hideMark/>
          </w:tcPr>
          <w:p w14:paraId="519B3220" w14:textId="77777777" w:rsidR="00E63C68" w:rsidRPr="008E63BB" w:rsidRDefault="00E63C68" w:rsidP="00E63C68">
            <w:pPr>
              <w:jc w:val="center"/>
              <w:rPr>
                <w:rFonts w:eastAsia="Times New Roman"/>
                <w:sz w:val="24"/>
                <w:szCs w:val="24"/>
              </w:rPr>
            </w:pPr>
            <w:r w:rsidRPr="008E63BB">
              <w:rPr>
                <w:rFonts w:eastAsia="Times New Roman"/>
                <w:sz w:val="24"/>
                <w:szCs w:val="24"/>
              </w:rPr>
              <w:t>52,40</w:t>
            </w:r>
          </w:p>
        </w:tc>
      </w:tr>
    </w:tbl>
    <w:p w14:paraId="519B3222" w14:textId="11F11A74" w:rsidR="00E46C1D" w:rsidRPr="008E63BB" w:rsidRDefault="00E46C1D" w:rsidP="005B7147">
      <w:pPr>
        <w:pStyle w:val="Heading3"/>
        <w:spacing w:before="120"/>
        <w:rPr>
          <w:lang w:val="it-IT"/>
        </w:rPr>
      </w:pPr>
      <w:bookmarkStart w:id="358" w:name="_Toc41042154"/>
      <w:bookmarkStart w:id="359" w:name="_Toc47524692"/>
      <w:r w:rsidRPr="008E63BB">
        <w:rPr>
          <w:lang w:val="it-IT"/>
        </w:rPr>
        <w:t>4.</w:t>
      </w:r>
      <w:r w:rsidR="006006F4">
        <w:rPr>
          <w:lang w:val="it-IT"/>
        </w:rPr>
        <w:t>7</w:t>
      </w:r>
      <w:r w:rsidRPr="008E63BB">
        <w:rPr>
          <w:lang w:val="it-IT"/>
        </w:rPr>
        <w:t>.</w:t>
      </w:r>
      <w:r w:rsidR="006006F4">
        <w:rPr>
          <w:lang w:val="it-IT"/>
        </w:rPr>
        <w:t>4</w:t>
      </w:r>
      <w:r w:rsidRPr="008E63BB">
        <w:rPr>
          <w:lang w:val="it-IT"/>
        </w:rPr>
        <w:t>. Các chỉ tiêu kinh tế kỹ thuật chủ yếu:</w:t>
      </w:r>
      <w:bookmarkEnd w:id="357"/>
      <w:bookmarkEnd w:id="358"/>
      <w:bookmarkEnd w:id="359"/>
    </w:p>
    <w:p w14:paraId="519B3223" w14:textId="77777777" w:rsidR="00E46C1D" w:rsidRPr="008E63BB" w:rsidRDefault="00E46C1D" w:rsidP="00E46C1D">
      <w:pPr>
        <w:ind w:firstLine="720"/>
        <w:rPr>
          <w:szCs w:val="26"/>
          <w:lang w:val="es-ES"/>
        </w:rPr>
      </w:pPr>
      <w:r w:rsidRPr="008E63BB">
        <w:rPr>
          <w:szCs w:val="26"/>
          <w:lang w:val="es-ES"/>
        </w:rPr>
        <w:t>- Căn cứ vào Quy chuẩn xây dựng Việt Nam được ban hành theo Quyết định số 22/2019/TT-BXD, ngày 31 tháng 12 năm 2019;</w:t>
      </w:r>
    </w:p>
    <w:p w14:paraId="519B3224" w14:textId="77777777" w:rsidR="00E46C1D" w:rsidRPr="008E63BB" w:rsidRDefault="00E46C1D" w:rsidP="00E46C1D">
      <w:pPr>
        <w:ind w:firstLine="567"/>
        <w:rPr>
          <w:lang w:val="vi-VN"/>
        </w:rPr>
      </w:pPr>
      <w:r w:rsidRPr="008E63BB">
        <w:rPr>
          <w:szCs w:val="26"/>
          <w:lang w:val="es-ES"/>
        </w:rPr>
        <w:t>- Căn cứ tình hình hiện trạng và xu thế phát triển của Nam Định;</w:t>
      </w:r>
    </w:p>
    <w:p w14:paraId="519B3225" w14:textId="77777777" w:rsidR="00E46C1D" w:rsidRPr="008E63BB" w:rsidRDefault="00E46C1D" w:rsidP="00E46C1D">
      <w:pPr>
        <w:ind w:firstLine="567"/>
        <w:rPr>
          <w:lang w:val="vi-VN"/>
        </w:rPr>
      </w:pPr>
      <w:r w:rsidRPr="008E63BB">
        <w:rPr>
          <w:lang w:val="vi-VN"/>
        </w:rPr>
        <w:lastRenderedPageBreak/>
        <w:t xml:space="preserve">- </w:t>
      </w:r>
      <w:r w:rsidRPr="008E63BB">
        <w:rPr>
          <w:rFonts w:eastAsia="Arial Unicode MS"/>
          <w:szCs w:val="26"/>
          <w:u w:color="000000"/>
          <w:lang w:val="vi-VN"/>
        </w:rPr>
        <w:t>Các tiêu chuẩn kinh tế, kỹ thuật áp dụng vào phát triển đô thị về nguyên tắc dựa trên các tiêu chuẩn đô thị loại I, khuyến khích áp dụng các tiêu chuẩn, quy chuẩn quốc tế một cách phù hợp để đưa vào nghiên cứu trong đồ án</w:t>
      </w:r>
      <w:r w:rsidRPr="008E63BB">
        <w:rPr>
          <w:lang w:val="vi-VN"/>
        </w:rPr>
        <w:t xml:space="preserve">; </w:t>
      </w:r>
    </w:p>
    <w:p w14:paraId="519B3226" w14:textId="77777777" w:rsidR="00E46C1D" w:rsidRPr="008E63BB" w:rsidRDefault="00E46C1D" w:rsidP="00E46C1D">
      <w:pPr>
        <w:ind w:firstLine="567"/>
        <w:rPr>
          <w:lang w:val="vi-VN"/>
        </w:rPr>
      </w:pPr>
      <w:r w:rsidRPr="008E63BB">
        <w:rPr>
          <w:lang w:val="vi-VN"/>
        </w:rPr>
        <w:t>- Với những hạng mục không quy định trong các tiêu chuẩn dưới đây sẽ tiến hành quy định trong các tiêu chuẩn phù hợp khác.</w:t>
      </w:r>
    </w:p>
    <w:p w14:paraId="519B3227" w14:textId="77777777" w:rsidR="00E46C1D" w:rsidRPr="008E63BB" w:rsidRDefault="00E46C1D" w:rsidP="005B7147">
      <w:pPr>
        <w:jc w:val="center"/>
        <w:rPr>
          <w:lang w:val="vi-VN"/>
        </w:rPr>
      </w:pPr>
      <w:r w:rsidRPr="008E63BB">
        <w:rPr>
          <w:lang w:val="vi-VN"/>
        </w:rPr>
        <w:t>Bảng: Các chỉ tiêu kinh tế kỹ thuật chính</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2565"/>
        <w:gridCol w:w="2572"/>
        <w:gridCol w:w="1760"/>
        <w:gridCol w:w="1818"/>
      </w:tblGrid>
      <w:tr w:rsidR="008D5BFE" w:rsidRPr="008E63BB" w14:paraId="519B322C" w14:textId="77777777" w:rsidTr="00E46C1D">
        <w:trPr>
          <w:trHeight w:val="315"/>
          <w:tblHeader/>
        </w:trPr>
        <w:tc>
          <w:tcPr>
            <w:tcW w:w="670" w:type="dxa"/>
            <w:vMerge w:val="restart"/>
            <w:shd w:val="clear" w:color="auto" w:fill="auto"/>
            <w:vAlign w:val="center"/>
            <w:hideMark/>
          </w:tcPr>
          <w:p w14:paraId="519B3228" w14:textId="77777777" w:rsidR="00E46C1D" w:rsidRPr="008E63BB" w:rsidRDefault="00E46C1D" w:rsidP="00E46C1D">
            <w:pPr>
              <w:jc w:val="center"/>
              <w:rPr>
                <w:b/>
                <w:bCs/>
                <w:sz w:val="24"/>
                <w:szCs w:val="24"/>
              </w:rPr>
            </w:pPr>
            <w:r w:rsidRPr="008E63BB">
              <w:rPr>
                <w:b/>
                <w:bCs/>
                <w:sz w:val="24"/>
                <w:szCs w:val="24"/>
              </w:rPr>
              <w:t>TT</w:t>
            </w:r>
          </w:p>
        </w:tc>
        <w:tc>
          <w:tcPr>
            <w:tcW w:w="2565" w:type="dxa"/>
            <w:vMerge w:val="restart"/>
            <w:shd w:val="clear" w:color="auto" w:fill="auto"/>
            <w:vAlign w:val="center"/>
            <w:hideMark/>
          </w:tcPr>
          <w:p w14:paraId="519B3229" w14:textId="77777777" w:rsidR="00E46C1D" w:rsidRPr="008E63BB" w:rsidRDefault="00E46C1D" w:rsidP="00E46C1D">
            <w:pPr>
              <w:jc w:val="center"/>
              <w:rPr>
                <w:b/>
                <w:bCs/>
                <w:sz w:val="24"/>
                <w:szCs w:val="24"/>
              </w:rPr>
            </w:pPr>
            <w:r w:rsidRPr="008E63BB">
              <w:rPr>
                <w:b/>
                <w:bCs/>
                <w:sz w:val="24"/>
                <w:szCs w:val="24"/>
              </w:rPr>
              <w:t>Hạng mục</w:t>
            </w:r>
          </w:p>
        </w:tc>
        <w:tc>
          <w:tcPr>
            <w:tcW w:w="2572" w:type="dxa"/>
            <w:vMerge w:val="restart"/>
            <w:shd w:val="clear" w:color="auto" w:fill="auto"/>
            <w:vAlign w:val="center"/>
            <w:hideMark/>
          </w:tcPr>
          <w:p w14:paraId="519B322A" w14:textId="77777777" w:rsidR="00E46C1D" w:rsidRPr="008E63BB" w:rsidRDefault="00E46C1D" w:rsidP="00E46C1D">
            <w:pPr>
              <w:jc w:val="center"/>
              <w:rPr>
                <w:b/>
                <w:bCs/>
                <w:sz w:val="24"/>
                <w:szCs w:val="24"/>
              </w:rPr>
            </w:pPr>
            <w:r w:rsidRPr="008E63BB">
              <w:rPr>
                <w:b/>
                <w:bCs/>
                <w:sz w:val="24"/>
                <w:szCs w:val="24"/>
              </w:rPr>
              <w:t>Đơn vị tính</w:t>
            </w:r>
          </w:p>
        </w:tc>
        <w:tc>
          <w:tcPr>
            <w:tcW w:w="0" w:type="auto"/>
            <w:gridSpan w:val="2"/>
            <w:shd w:val="clear" w:color="auto" w:fill="auto"/>
            <w:vAlign w:val="center"/>
            <w:hideMark/>
          </w:tcPr>
          <w:p w14:paraId="519B322B" w14:textId="77777777" w:rsidR="00E46C1D" w:rsidRPr="008E63BB" w:rsidRDefault="00E46C1D" w:rsidP="00E46C1D">
            <w:pPr>
              <w:jc w:val="center"/>
              <w:rPr>
                <w:b/>
                <w:bCs/>
                <w:sz w:val="24"/>
                <w:szCs w:val="24"/>
              </w:rPr>
            </w:pPr>
            <w:r w:rsidRPr="008E63BB">
              <w:rPr>
                <w:b/>
                <w:bCs/>
                <w:sz w:val="24"/>
                <w:szCs w:val="24"/>
              </w:rPr>
              <w:t>Chỉ tiêu quy hoạch</w:t>
            </w:r>
          </w:p>
        </w:tc>
      </w:tr>
      <w:tr w:rsidR="008D5BFE" w:rsidRPr="008E63BB" w14:paraId="519B3232" w14:textId="77777777" w:rsidTr="00E46C1D">
        <w:trPr>
          <w:trHeight w:val="315"/>
          <w:tblHeader/>
        </w:trPr>
        <w:tc>
          <w:tcPr>
            <w:tcW w:w="670" w:type="dxa"/>
            <w:vMerge/>
            <w:vAlign w:val="center"/>
            <w:hideMark/>
          </w:tcPr>
          <w:p w14:paraId="519B322D" w14:textId="77777777" w:rsidR="00E46C1D" w:rsidRPr="008E63BB" w:rsidRDefault="00E46C1D" w:rsidP="00E46C1D">
            <w:pPr>
              <w:jc w:val="left"/>
              <w:rPr>
                <w:b/>
                <w:bCs/>
                <w:sz w:val="24"/>
                <w:szCs w:val="24"/>
              </w:rPr>
            </w:pPr>
          </w:p>
        </w:tc>
        <w:tc>
          <w:tcPr>
            <w:tcW w:w="2565" w:type="dxa"/>
            <w:vMerge/>
            <w:vAlign w:val="center"/>
            <w:hideMark/>
          </w:tcPr>
          <w:p w14:paraId="519B322E" w14:textId="77777777" w:rsidR="00E46C1D" w:rsidRPr="008E63BB" w:rsidRDefault="00E46C1D" w:rsidP="00E46C1D">
            <w:pPr>
              <w:jc w:val="left"/>
              <w:rPr>
                <w:b/>
                <w:bCs/>
                <w:sz w:val="24"/>
                <w:szCs w:val="24"/>
              </w:rPr>
            </w:pPr>
          </w:p>
        </w:tc>
        <w:tc>
          <w:tcPr>
            <w:tcW w:w="2572" w:type="dxa"/>
            <w:vMerge/>
            <w:vAlign w:val="center"/>
            <w:hideMark/>
          </w:tcPr>
          <w:p w14:paraId="519B322F" w14:textId="77777777" w:rsidR="00E46C1D" w:rsidRPr="008E63BB" w:rsidRDefault="00E46C1D" w:rsidP="00E46C1D">
            <w:pPr>
              <w:jc w:val="left"/>
              <w:rPr>
                <w:b/>
                <w:bCs/>
                <w:sz w:val="24"/>
                <w:szCs w:val="24"/>
              </w:rPr>
            </w:pPr>
          </w:p>
        </w:tc>
        <w:tc>
          <w:tcPr>
            <w:tcW w:w="0" w:type="auto"/>
            <w:shd w:val="clear" w:color="auto" w:fill="auto"/>
            <w:vAlign w:val="center"/>
            <w:hideMark/>
          </w:tcPr>
          <w:p w14:paraId="519B3230" w14:textId="77777777" w:rsidR="00E46C1D" w:rsidRPr="008E63BB" w:rsidRDefault="00E46C1D" w:rsidP="00E46C1D">
            <w:pPr>
              <w:jc w:val="center"/>
              <w:rPr>
                <w:b/>
                <w:bCs/>
                <w:sz w:val="24"/>
                <w:szCs w:val="24"/>
              </w:rPr>
            </w:pPr>
            <w:r w:rsidRPr="008E63BB">
              <w:rPr>
                <w:b/>
                <w:bCs/>
                <w:sz w:val="24"/>
                <w:szCs w:val="24"/>
              </w:rPr>
              <w:t>Năm 2030</w:t>
            </w:r>
          </w:p>
        </w:tc>
        <w:tc>
          <w:tcPr>
            <w:tcW w:w="0" w:type="auto"/>
            <w:shd w:val="clear" w:color="auto" w:fill="auto"/>
            <w:vAlign w:val="center"/>
            <w:hideMark/>
          </w:tcPr>
          <w:p w14:paraId="519B3231" w14:textId="77777777" w:rsidR="00E46C1D" w:rsidRPr="008E63BB" w:rsidRDefault="00E46C1D" w:rsidP="00E46C1D">
            <w:pPr>
              <w:jc w:val="center"/>
              <w:rPr>
                <w:b/>
                <w:bCs/>
                <w:sz w:val="24"/>
                <w:szCs w:val="24"/>
              </w:rPr>
            </w:pPr>
            <w:r w:rsidRPr="008E63BB">
              <w:rPr>
                <w:b/>
                <w:bCs/>
                <w:sz w:val="24"/>
                <w:szCs w:val="24"/>
              </w:rPr>
              <w:t>Năm 2040</w:t>
            </w:r>
          </w:p>
        </w:tc>
      </w:tr>
      <w:tr w:rsidR="00E63C68" w:rsidRPr="008E63BB" w14:paraId="519B3238" w14:textId="77777777" w:rsidTr="00E46C1D">
        <w:trPr>
          <w:trHeight w:val="162"/>
        </w:trPr>
        <w:tc>
          <w:tcPr>
            <w:tcW w:w="670" w:type="dxa"/>
            <w:shd w:val="clear" w:color="auto" w:fill="auto"/>
            <w:noWrap/>
            <w:vAlign w:val="center"/>
            <w:hideMark/>
          </w:tcPr>
          <w:p w14:paraId="519B3233" w14:textId="77777777" w:rsidR="00E63C68" w:rsidRPr="008E63BB" w:rsidRDefault="00E63C68" w:rsidP="00E63C68">
            <w:pPr>
              <w:jc w:val="center"/>
              <w:rPr>
                <w:b/>
                <w:bCs/>
                <w:sz w:val="24"/>
                <w:szCs w:val="24"/>
              </w:rPr>
            </w:pPr>
            <w:r w:rsidRPr="008E63BB">
              <w:rPr>
                <w:b/>
                <w:bCs/>
                <w:sz w:val="24"/>
                <w:szCs w:val="24"/>
              </w:rPr>
              <w:t>1</w:t>
            </w:r>
          </w:p>
        </w:tc>
        <w:tc>
          <w:tcPr>
            <w:tcW w:w="2565" w:type="dxa"/>
            <w:shd w:val="clear" w:color="auto" w:fill="auto"/>
            <w:noWrap/>
            <w:vAlign w:val="center"/>
            <w:hideMark/>
          </w:tcPr>
          <w:p w14:paraId="519B3234" w14:textId="77777777" w:rsidR="00E63C68" w:rsidRPr="008E63BB" w:rsidRDefault="00E63C68" w:rsidP="00E63C68">
            <w:pPr>
              <w:jc w:val="left"/>
              <w:rPr>
                <w:b/>
                <w:bCs/>
                <w:sz w:val="24"/>
                <w:szCs w:val="24"/>
              </w:rPr>
            </w:pPr>
            <w:r w:rsidRPr="008E63BB">
              <w:rPr>
                <w:b/>
                <w:bCs/>
                <w:sz w:val="24"/>
                <w:szCs w:val="24"/>
              </w:rPr>
              <w:t>Đất dân dụng</w:t>
            </w:r>
          </w:p>
        </w:tc>
        <w:tc>
          <w:tcPr>
            <w:tcW w:w="2572" w:type="dxa"/>
            <w:shd w:val="clear" w:color="auto" w:fill="auto"/>
            <w:noWrap/>
            <w:vAlign w:val="center"/>
            <w:hideMark/>
          </w:tcPr>
          <w:p w14:paraId="519B3235" w14:textId="77777777" w:rsidR="00E63C68" w:rsidRPr="008E63BB" w:rsidRDefault="00E63C68" w:rsidP="00E63C68">
            <w:pPr>
              <w:jc w:val="center"/>
              <w:rPr>
                <w:b/>
                <w:bCs/>
                <w:sz w:val="24"/>
                <w:szCs w:val="24"/>
              </w:rPr>
            </w:pPr>
            <w:r w:rsidRPr="008E63BB">
              <w:rPr>
                <w:b/>
                <w:bCs/>
                <w:sz w:val="24"/>
                <w:szCs w:val="24"/>
              </w:rPr>
              <w:t>m2/người</w:t>
            </w:r>
          </w:p>
        </w:tc>
        <w:tc>
          <w:tcPr>
            <w:tcW w:w="0" w:type="auto"/>
            <w:shd w:val="clear" w:color="auto" w:fill="auto"/>
            <w:noWrap/>
            <w:vAlign w:val="center"/>
            <w:hideMark/>
          </w:tcPr>
          <w:p w14:paraId="519B3236" w14:textId="77777777" w:rsidR="00E63C68" w:rsidRPr="008E63BB" w:rsidRDefault="00E63C68" w:rsidP="00E63C68">
            <w:pPr>
              <w:jc w:val="center"/>
              <w:rPr>
                <w:b/>
                <w:bCs/>
                <w:sz w:val="24"/>
                <w:szCs w:val="24"/>
              </w:rPr>
            </w:pPr>
            <w:r w:rsidRPr="008E63BB">
              <w:rPr>
                <w:rFonts w:eastAsia="Times New Roman"/>
                <w:b/>
                <w:sz w:val="24"/>
                <w:szCs w:val="24"/>
              </w:rPr>
              <w:t>83,56</w:t>
            </w:r>
          </w:p>
        </w:tc>
        <w:tc>
          <w:tcPr>
            <w:tcW w:w="0" w:type="auto"/>
            <w:shd w:val="clear" w:color="auto" w:fill="auto"/>
            <w:noWrap/>
            <w:vAlign w:val="center"/>
            <w:hideMark/>
          </w:tcPr>
          <w:p w14:paraId="519B3237" w14:textId="77777777" w:rsidR="00E63C68" w:rsidRPr="008E63BB" w:rsidRDefault="00E63C68" w:rsidP="00E63C68">
            <w:pPr>
              <w:jc w:val="center"/>
              <w:rPr>
                <w:b/>
                <w:bCs/>
                <w:sz w:val="24"/>
                <w:szCs w:val="24"/>
              </w:rPr>
            </w:pPr>
            <w:r w:rsidRPr="008E63BB">
              <w:rPr>
                <w:rFonts w:eastAsia="Times New Roman"/>
                <w:b/>
                <w:sz w:val="24"/>
                <w:szCs w:val="24"/>
              </w:rPr>
              <w:t>83,17</w:t>
            </w:r>
          </w:p>
        </w:tc>
      </w:tr>
      <w:tr w:rsidR="00E63C68" w:rsidRPr="008E63BB" w14:paraId="519B323E" w14:textId="77777777" w:rsidTr="00E46C1D">
        <w:trPr>
          <w:trHeight w:val="315"/>
        </w:trPr>
        <w:tc>
          <w:tcPr>
            <w:tcW w:w="670" w:type="dxa"/>
            <w:shd w:val="clear" w:color="auto" w:fill="auto"/>
            <w:noWrap/>
            <w:vAlign w:val="center"/>
            <w:hideMark/>
          </w:tcPr>
          <w:p w14:paraId="519B3239" w14:textId="77777777" w:rsidR="00E63C68" w:rsidRPr="008E63BB" w:rsidRDefault="00E63C68" w:rsidP="00E63C68">
            <w:pPr>
              <w:jc w:val="center"/>
              <w:rPr>
                <w:sz w:val="24"/>
                <w:szCs w:val="24"/>
              </w:rPr>
            </w:pPr>
            <w:r w:rsidRPr="008E63BB">
              <w:rPr>
                <w:sz w:val="24"/>
                <w:szCs w:val="24"/>
              </w:rPr>
              <w:t>1.2</w:t>
            </w:r>
          </w:p>
        </w:tc>
        <w:tc>
          <w:tcPr>
            <w:tcW w:w="2565" w:type="dxa"/>
            <w:shd w:val="clear" w:color="auto" w:fill="auto"/>
            <w:noWrap/>
            <w:vAlign w:val="center"/>
            <w:hideMark/>
          </w:tcPr>
          <w:p w14:paraId="519B323A" w14:textId="77777777" w:rsidR="00E63C68" w:rsidRPr="008E63BB" w:rsidRDefault="00E63C68" w:rsidP="00E63C68">
            <w:pPr>
              <w:jc w:val="left"/>
              <w:rPr>
                <w:sz w:val="24"/>
                <w:szCs w:val="24"/>
              </w:rPr>
            </w:pPr>
            <w:r w:rsidRPr="008E63BB">
              <w:rPr>
                <w:sz w:val="24"/>
                <w:szCs w:val="24"/>
              </w:rPr>
              <w:t>Đất công trình dịch vụ - công cộng đô thị</w:t>
            </w:r>
          </w:p>
        </w:tc>
        <w:tc>
          <w:tcPr>
            <w:tcW w:w="2572" w:type="dxa"/>
            <w:shd w:val="clear" w:color="auto" w:fill="auto"/>
            <w:noWrap/>
            <w:vAlign w:val="center"/>
            <w:hideMark/>
          </w:tcPr>
          <w:p w14:paraId="519B323B" w14:textId="77777777" w:rsidR="00E63C68" w:rsidRPr="008E63BB" w:rsidRDefault="00E63C68" w:rsidP="00E63C68">
            <w:pPr>
              <w:jc w:val="center"/>
              <w:rPr>
                <w:sz w:val="24"/>
                <w:szCs w:val="24"/>
              </w:rPr>
            </w:pPr>
            <w:r w:rsidRPr="008E63BB">
              <w:rPr>
                <w:sz w:val="24"/>
                <w:szCs w:val="24"/>
              </w:rPr>
              <w:t>m2/người</w:t>
            </w:r>
          </w:p>
        </w:tc>
        <w:tc>
          <w:tcPr>
            <w:tcW w:w="0" w:type="auto"/>
            <w:shd w:val="clear" w:color="auto" w:fill="auto"/>
            <w:noWrap/>
            <w:vAlign w:val="center"/>
            <w:hideMark/>
          </w:tcPr>
          <w:p w14:paraId="519B323C" w14:textId="77777777" w:rsidR="00E63C68" w:rsidRPr="008E63BB" w:rsidRDefault="00E63C68" w:rsidP="00E63C68">
            <w:pPr>
              <w:jc w:val="center"/>
              <w:rPr>
                <w:sz w:val="24"/>
                <w:szCs w:val="24"/>
              </w:rPr>
            </w:pPr>
            <w:r w:rsidRPr="008E63BB">
              <w:rPr>
                <w:sz w:val="24"/>
                <w:szCs w:val="24"/>
              </w:rPr>
              <w:t>3,27</w:t>
            </w:r>
          </w:p>
        </w:tc>
        <w:tc>
          <w:tcPr>
            <w:tcW w:w="0" w:type="auto"/>
            <w:shd w:val="clear" w:color="auto" w:fill="auto"/>
            <w:noWrap/>
            <w:vAlign w:val="center"/>
            <w:hideMark/>
          </w:tcPr>
          <w:p w14:paraId="519B323D" w14:textId="77777777" w:rsidR="00E63C68" w:rsidRPr="008E63BB" w:rsidRDefault="00E63C68" w:rsidP="00E63C68">
            <w:pPr>
              <w:jc w:val="center"/>
              <w:rPr>
                <w:sz w:val="24"/>
                <w:szCs w:val="24"/>
              </w:rPr>
            </w:pPr>
            <w:r w:rsidRPr="008E63BB">
              <w:rPr>
                <w:sz w:val="24"/>
                <w:szCs w:val="24"/>
              </w:rPr>
              <w:t>3,61</w:t>
            </w:r>
          </w:p>
        </w:tc>
      </w:tr>
      <w:tr w:rsidR="00E63C68" w:rsidRPr="008E63BB" w14:paraId="519B3244" w14:textId="77777777" w:rsidTr="00E46C1D">
        <w:trPr>
          <w:trHeight w:val="162"/>
        </w:trPr>
        <w:tc>
          <w:tcPr>
            <w:tcW w:w="670" w:type="dxa"/>
            <w:shd w:val="clear" w:color="auto" w:fill="auto"/>
            <w:noWrap/>
            <w:vAlign w:val="center"/>
            <w:hideMark/>
          </w:tcPr>
          <w:p w14:paraId="519B323F" w14:textId="77777777" w:rsidR="00E63C68" w:rsidRPr="008E63BB" w:rsidRDefault="00E63C68" w:rsidP="00E63C68">
            <w:pPr>
              <w:jc w:val="center"/>
              <w:rPr>
                <w:sz w:val="24"/>
                <w:szCs w:val="24"/>
              </w:rPr>
            </w:pPr>
            <w:r w:rsidRPr="008E63BB">
              <w:rPr>
                <w:sz w:val="24"/>
                <w:szCs w:val="24"/>
              </w:rPr>
              <w:t>1.3</w:t>
            </w:r>
          </w:p>
        </w:tc>
        <w:tc>
          <w:tcPr>
            <w:tcW w:w="2565" w:type="dxa"/>
            <w:shd w:val="clear" w:color="auto" w:fill="auto"/>
            <w:noWrap/>
            <w:vAlign w:val="center"/>
            <w:hideMark/>
          </w:tcPr>
          <w:p w14:paraId="519B3240" w14:textId="77777777" w:rsidR="00E63C68" w:rsidRPr="008E63BB" w:rsidRDefault="00E63C68" w:rsidP="00E63C68">
            <w:pPr>
              <w:jc w:val="left"/>
              <w:rPr>
                <w:sz w:val="24"/>
                <w:szCs w:val="24"/>
              </w:rPr>
            </w:pPr>
            <w:r w:rsidRPr="008E63BB">
              <w:rPr>
                <w:sz w:val="24"/>
                <w:szCs w:val="24"/>
              </w:rPr>
              <w:t>Đất cây xanh đô thị</w:t>
            </w:r>
          </w:p>
        </w:tc>
        <w:tc>
          <w:tcPr>
            <w:tcW w:w="2572" w:type="dxa"/>
            <w:shd w:val="clear" w:color="auto" w:fill="auto"/>
            <w:noWrap/>
            <w:vAlign w:val="center"/>
            <w:hideMark/>
          </w:tcPr>
          <w:p w14:paraId="519B3241" w14:textId="77777777" w:rsidR="00E63C68" w:rsidRPr="008E63BB" w:rsidRDefault="00E63C68" w:rsidP="00E63C68">
            <w:pPr>
              <w:jc w:val="center"/>
              <w:rPr>
                <w:sz w:val="24"/>
                <w:szCs w:val="24"/>
              </w:rPr>
            </w:pPr>
            <w:r w:rsidRPr="008E63BB">
              <w:rPr>
                <w:sz w:val="24"/>
                <w:szCs w:val="24"/>
              </w:rPr>
              <w:t>m2/người</w:t>
            </w:r>
          </w:p>
        </w:tc>
        <w:tc>
          <w:tcPr>
            <w:tcW w:w="0" w:type="auto"/>
            <w:shd w:val="clear" w:color="auto" w:fill="auto"/>
            <w:noWrap/>
            <w:vAlign w:val="center"/>
            <w:hideMark/>
          </w:tcPr>
          <w:p w14:paraId="519B3242" w14:textId="77777777" w:rsidR="00E63C68" w:rsidRPr="008E63BB" w:rsidRDefault="00E63C68" w:rsidP="00E63C68">
            <w:pPr>
              <w:jc w:val="center"/>
              <w:rPr>
                <w:sz w:val="24"/>
                <w:szCs w:val="24"/>
              </w:rPr>
            </w:pPr>
            <w:r w:rsidRPr="008E63BB">
              <w:rPr>
                <w:sz w:val="24"/>
                <w:szCs w:val="24"/>
              </w:rPr>
              <w:t>8,94</w:t>
            </w:r>
          </w:p>
        </w:tc>
        <w:tc>
          <w:tcPr>
            <w:tcW w:w="0" w:type="auto"/>
            <w:shd w:val="clear" w:color="auto" w:fill="auto"/>
            <w:noWrap/>
            <w:vAlign w:val="center"/>
            <w:hideMark/>
          </w:tcPr>
          <w:p w14:paraId="519B3243" w14:textId="77777777" w:rsidR="00E63C68" w:rsidRPr="008E63BB" w:rsidRDefault="00E63C68" w:rsidP="00E63C68">
            <w:pPr>
              <w:jc w:val="center"/>
              <w:rPr>
                <w:sz w:val="24"/>
                <w:szCs w:val="24"/>
              </w:rPr>
            </w:pPr>
            <w:r w:rsidRPr="008E63BB">
              <w:rPr>
                <w:sz w:val="24"/>
                <w:szCs w:val="24"/>
              </w:rPr>
              <w:t>9,65</w:t>
            </w:r>
          </w:p>
        </w:tc>
      </w:tr>
      <w:tr w:rsidR="00E63C68" w:rsidRPr="008E63BB" w14:paraId="519B324A" w14:textId="77777777" w:rsidTr="00E46C1D">
        <w:trPr>
          <w:trHeight w:val="162"/>
        </w:trPr>
        <w:tc>
          <w:tcPr>
            <w:tcW w:w="670" w:type="dxa"/>
            <w:shd w:val="clear" w:color="auto" w:fill="auto"/>
            <w:noWrap/>
            <w:vAlign w:val="center"/>
            <w:hideMark/>
          </w:tcPr>
          <w:p w14:paraId="519B3245" w14:textId="77777777" w:rsidR="00E63C68" w:rsidRPr="008E63BB" w:rsidRDefault="00E63C68" w:rsidP="00E63C68">
            <w:pPr>
              <w:jc w:val="center"/>
              <w:rPr>
                <w:sz w:val="24"/>
                <w:szCs w:val="24"/>
              </w:rPr>
            </w:pPr>
            <w:r w:rsidRPr="008E63BB">
              <w:rPr>
                <w:sz w:val="24"/>
                <w:szCs w:val="24"/>
              </w:rPr>
              <w:t>1.4</w:t>
            </w:r>
          </w:p>
        </w:tc>
        <w:tc>
          <w:tcPr>
            <w:tcW w:w="2565" w:type="dxa"/>
            <w:shd w:val="clear" w:color="auto" w:fill="auto"/>
            <w:noWrap/>
            <w:vAlign w:val="center"/>
            <w:hideMark/>
          </w:tcPr>
          <w:p w14:paraId="519B3246" w14:textId="77777777" w:rsidR="00E63C68" w:rsidRPr="008E63BB" w:rsidRDefault="00E63C68" w:rsidP="00E63C68">
            <w:pPr>
              <w:jc w:val="left"/>
              <w:rPr>
                <w:sz w:val="24"/>
                <w:szCs w:val="24"/>
              </w:rPr>
            </w:pPr>
            <w:r w:rsidRPr="008E63BB">
              <w:rPr>
                <w:sz w:val="24"/>
                <w:szCs w:val="24"/>
              </w:rPr>
              <w:t>Đất hạ tầng kỹ thuật đô thị</w:t>
            </w:r>
          </w:p>
        </w:tc>
        <w:tc>
          <w:tcPr>
            <w:tcW w:w="2572" w:type="dxa"/>
            <w:shd w:val="clear" w:color="auto" w:fill="auto"/>
            <w:noWrap/>
            <w:vAlign w:val="center"/>
            <w:hideMark/>
          </w:tcPr>
          <w:p w14:paraId="519B3247" w14:textId="77777777" w:rsidR="00E63C68" w:rsidRPr="008E63BB" w:rsidRDefault="00E63C68" w:rsidP="00E63C68">
            <w:pPr>
              <w:jc w:val="center"/>
              <w:rPr>
                <w:sz w:val="24"/>
                <w:szCs w:val="24"/>
              </w:rPr>
            </w:pPr>
            <w:r w:rsidRPr="008E63BB">
              <w:rPr>
                <w:sz w:val="24"/>
                <w:szCs w:val="24"/>
              </w:rPr>
              <w:t>m2/người</w:t>
            </w:r>
          </w:p>
        </w:tc>
        <w:tc>
          <w:tcPr>
            <w:tcW w:w="0" w:type="auto"/>
            <w:shd w:val="clear" w:color="auto" w:fill="auto"/>
            <w:noWrap/>
            <w:vAlign w:val="center"/>
            <w:hideMark/>
          </w:tcPr>
          <w:p w14:paraId="519B3248" w14:textId="77777777" w:rsidR="00E63C68" w:rsidRPr="008E63BB" w:rsidRDefault="00E63C68" w:rsidP="00E63C68">
            <w:pPr>
              <w:jc w:val="center"/>
              <w:rPr>
                <w:sz w:val="24"/>
                <w:szCs w:val="24"/>
              </w:rPr>
            </w:pPr>
            <w:r w:rsidRPr="008E63BB">
              <w:rPr>
                <w:sz w:val="24"/>
                <w:szCs w:val="24"/>
              </w:rPr>
              <w:t>24,82</w:t>
            </w:r>
          </w:p>
        </w:tc>
        <w:tc>
          <w:tcPr>
            <w:tcW w:w="0" w:type="auto"/>
            <w:shd w:val="clear" w:color="auto" w:fill="auto"/>
            <w:noWrap/>
            <w:vAlign w:val="center"/>
            <w:hideMark/>
          </w:tcPr>
          <w:p w14:paraId="519B3249" w14:textId="77777777" w:rsidR="00E63C68" w:rsidRPr="008E63BB" w:rsidRDefault="00E63C68" w:rsidP="00E63C68">
            <w:pPr>
              <w:jc w:val="center"/>
              <w:rPr>
                <w:sz w:val="24"/>
                <w:szCs w:val="24"/>
              </w:rPr>
            </w:pPr>
            <w:r w:rsidRPr="008E63BB">
              <w:rPr>
                <w:sz w:val="24"/>
                <w:szCs w:val="24"/>
              </w:rPr>
              <w:t>15,45</w:t>
            </w:r>
          </w:p>
        </w:tc>
      </w:tr>
      <w:tr w:rsidR="00E63C68" w:rsidRPr="008E63BB" w14:paraId="519B3250" w14:textId="77777777" w:rsidTr="00E46C1D">
        <w:trPr>
          <w:trHeight w:val="162"/>
        </w:trPr>
        <w:tc>
          <w:tcPr>
            <w:tcW w:w="670" w:type="dxa"/>
            <w:shd w:val="clear" w:color="auto" w:fill="auto"/>
            <w:noWrap/>
            <w:vAlign w:val="center"/>
            <w:hideMark/>
          </w:tcPr>
          <w:p w14:paraId="519B324B" w14:textId="77777777" w:rsidR="00E63C68" w:rsidRPr="008E63BB" w:rsidRDefault="00E63C68" w:rsidP="00E63C68">
            <w:pPr>
              <w:jc w:val="center"/>
              <w:rPr>
                <w:sz w:val="24"/>
                <w:szCs w:val="24"/>
              </w:rPr>
            </w:pPr>
            <w:r w:rsidRPr="008E63BB">
              <w:rPr>
                <w:sz w:val="24"/>
                <w:szCs w:val="24"/>
              </w:rPr>
              <w:t>1.5</w:t>
            </w:r>
          </w:p>
        </w:tc>
        <w:tc>
          <w:tcPr>
            <w:tcW w:w="2565" w:type="dxa"/>
            <w:shd w:val="clear" w:color="auto" w:fill="auto"/>
            <w:noWrap/>
            <w:vAlign w:val="center"/>
            <w:hideMark/>
          </w:tcPr>
          <w:p w14:paraId="519B324C" w14:textId="77777777" w:rsidR="00E63C68" w:rsidRPr="008E63BB" w:rsidRDefault="00E63C68" w:rsidP="00E63C68">
            <w:pPr>
              <w:jc w:val="left"/>
              <w:rPr>
                <w:sz w:val="24"/>
                <w:szCs w:val="24"/>
              </w:rPr>
            </w:pPr>
            <w:r w:rsidRPr="008E63BB">
              <w:rPr>
                <w:sz w:val="24"/>
                <w:szCs w:val="24"/>
              </w:rPr>
              <w:t>Đất đơn vị ở</w:t>
            </w:r>
          </w:p>
        </w:tc>
        <w:tc>
          <w:tcPr>
            <w:tcW w:w="2572" w:type="dxa"/>
            <w:shd w:val="clear" w:color="auto" w:fill="auto"/>
            <w:noWrap/>
            <w:vAlign w:val="center"/>
            <w:hideMark/>
          </w:tcPr>
          <w:p w14:paraId="519B324D" w14:textId="77777777" w:rsidR="00E63C68" w:rsidRPr="008E63BB" w:rsidRDefault="00E63C68" w:rsidP="00E63C68">
            <w:pPr>
              <w:jc w:val="center"/>
              <w:rPr>
                <w:sz w:val="24"/>
                <w:szCs w:val="24"/>
              </w:rPr>
            </w:pPr>
            <w:r w:rsidRPr="008E63BB">
              <w:rPr>
                <w:sz w:val="24"/>
                <w:szCs w:val="24"/>
              </w:rPr>
              <w:t>m2/người</w:t>
            </w:r>
          </w:p>
        </w:tc>
        <w:tc>
          <w:tcPr>
            <w:tcW w:w="0" w:type="auto"/>
            <w:shd w:val="clear" w:color="auto" w:fill="auto"/>
            <w:noWrap/>
            <w:vAlign w:val="center"/>
            <w:hideMark/>
          </w:tcPr>
          <w:p w14:paraId="519B324E" w14:textId="77777777" w:rsidR="00E63C68" w:rsidRPr="008E63BB" w:rsidRDefault="00E63C68" w:rsidP="00E63C68">
            <w:pPr>
              <w:jc w:val="center"/>
              <w:rPr>
                <w:sz w:val="24"/>
                <w:szCs w:val="24"/>
              </w:rPr>
            </w:pPr>
            <w:r w:rsidRPr="008E63BB">
              <w:rPr>
                <w:sz w:val="24"/>
                <w:szCs w:val="24"/>
              </w:rPr>
              <w:t>44,96</w:t>
            </w:r>
          </w:p>
        </w:tc>
        <w:tc>
          <w:tcPr>
            <w:tcW w:w="0" w:type="auto"/>
            <w:shd w:val="clear" w:color="auto" w:fill="auto"/>
            <w:noWrap/>
            <w:vAlign w:val="center"/>
            <w:hideMark/>
          </w:tcPr>
          <w:p w14:paraId="519B324F" w14:textId="77777777" w:rsidR="00E63C68" w:rsidRPr="008E63BB" w:rsidRDefault="00E63C68" w:rsidP="00E63C68">
            <w:pPr>
              <w:jc w:val="center"/>
              <w:rPr>
                <w:sz w:val="24"/>
                <w:szCs w:val="24"/>
              </w:rPr>
            </w:pPr>
            <w:r w:rsidRPr="008E63BB">
              <w:rPr>
                <w:sz w:val="24"/>
                <w:szCs w:val="24"/>
              </w:rPr>
              <w:t>45,09</w:t>
            </w:r>
          </w:p>
        </w:tc>
      </w:tr>
      <w:tr w:rsidR="008D5BFE" w:rsidRPr="008E63BB" w14:paraId="519B3256" w14:textId="77777777" w:rsidTr="00E46C1D">
        <w:trPr>
          <w:trHeight w:val="162"/>
        </w:trPr>
        <w:tc>
          <w:tcPr>
            <w:tcW w:w="670" w:type="dxa"/>
            <w:shd w:val="clear" w:color="auto" w:fill="auto"/>
            <w:noWrap/>
            <w:vAlign w:val="center"/>
            <w:hideMark/>
          </w:tcPr>
          <w:p w14:paraId="519B3251" w14:textId="77777777" w:rsidR="00E46C1D" w:rsidRPr="008E63BB" w:rsidRDefault="00E46C1D" w:rsidP="00E46C1D">
            <w:pPr>
              <w:jc w:val="center"/>
              <w:rPr>
                <w:b/>
                <w:bCs/>
                <w:sz w:val="24"/>
                <w:szCs w:val="24"/>
              </w:rPr>
            </w:pPr>
            <w:r w:rsidRPr="008E63BB">
              <w:rPr>
                <w:b/>
                <w:bCs/>
                <w:sz w:val="24"/>
                <w:szCs w:val="24"/>
              </w:rPr>
              <w:t>2</w:t>
            </w:r>
          </w:p>
        </w:tc>
        <w:tc>
          <w:tcPr>
            <w:tcW w:w="2565" w:type="dxa"/>
            <w:shd w:val="clear" w:color="auto" w:fill="auto"/>
            <w:vAlign w:val="center"/>
            <w:hideMark/>
          </w:tcPr>
          <w:p w14:paraId="519B3252" w14:textId="77777777" w:rsidR="00E46C1D" w:rsidRPr="008E63BB" w:rsidRDefault="00967722" w:rsidP="00E46C1D">
            <w:pPr>
              <w:jc w:val="left"/>
              <w:rPr>
                <w:b/>
                <w:bCs/>
                <w:sz w:val="24"/>
                <w:szCs w:val="24"/>
              </w:rPr>
            </w:pPr>
            <w:r w:rsidRPr="008E63BB">
              <w:rPr>
                <w:b/>
                <w:bCs/>
                <w:sz w:val="24"/>
                <w:szCs w:val="24"/>
              </w:rPr>
              <w:t>Đất ngoài dân dụng</w:t>
            </w:r>
          </w:p>
        </w:tc>
        <w:tc>
          <w:tcPr>
            <w:tcW w:w="2572" w:type="dxa"/>
            <w:shd w:val="clear" w:color="auto" w:fill="auto"/>
            <w:noWrap/>
            <w:vAlign w:val="center"/>
            <w:hideMark/>
          </w:tcPr>
          <w:p w14:paraId="519B3253" w14:textId="77777777" w:rsidR="00E46C1D" w:rsidRPr="008E63BB" w:rsidRDefault="00E46C1D" w:rsidP="00E46C1D">
            <w:pPr>
              <w:jc w:val="center"/>
              <w:rPr>
                <w:b/>
                <w:bCs/>
                <w:sz w:val="24"/>
                <w:szCs w:val="24"/>
              </w:rPr>
            </w:pPr>
            <w:r w:rsidRPr="008E63BB">
              <w:rPr>
                <w:b/>
                <w:bCs/>
                <w:sz w:val="24"/>
                <w:szCs w:val="24"/>
              </w:rPr>
              <w:t> </w:t>
            </w:r>
          </w:p>
        </w:tc>
        <w:tc>
          <w:tcPr>
            <w:tcW w:w="0" w:type="auto"/>
            <w:shd w:val="clear" w:color="auto" w:fill="auto"/>
            <w:noWrap/>
            <w:vAlign w:val="center"/>
            <w:hideMark/>
          </w:tcPr>
          <w:p w14:paraId="519B3254" w14:textId="77777777" w:rsidR="00E46C1D" w:rsidRPr="008E63BB" w:rsidRDefault="00E46C1D" w:rsidP="00E46C1D">
            <w:pPr>
              <w:jc w:val="center"/>
              <w:rPr>
                <w:b/>
                <w:bCs/>
                <w:sz w:val="24"/>
                <w:szCs w:val="24"/>
              </w:rPr>
            </w:pPr>
            <w:r w:rsidRPr="008E63BB">
              <w:rPr>
                <w:b/>
                <w:bCs/>
                <w:sz w:val="24"/>
                <w:szCs w:val="24"/>
              </w:rPr>
              <w:t> </w:t>
            </w:r>
          </w:p>
        </w:tc>
        <w:tc>
          <w:tcPr>
            <w:tcW w:w="0" w:type="auto"/>
            <w:shd w:val="clear" w:color="auto" w:fill="auto"/>
            <w:noWrap/>
            <w:vAlign w:val="center"/>
            <w:hideMark/>
          </w:tcPr>
          <w:p w14:paraId="519B3255" w14:textId="77777777" w:rsidR="00E46C1D" w:rsidRPr="008E63BB" w:rsidRDefault="00E46C1D" w:rsidP="00E46C1D">
            <w:pPr>
              <w:jc w:val="center"/>
              <w:rPr>
                <w:b/>
                <w:bCs/>
                <w:sz w:val="24"/>
                <w:szCs w:val="24"/>
              </w:rPr>
            </w:pPr>
            <w:r w:rsidRPr="008E63BB">
              <w:rPr>
                <w:b/>
                <w:bCs/>
                <w:sz w:val="24"/>
                <w:szCs w:val="24"/>
              </w:rPr>
              <w:t> </w:t>
            </w:r>
          </w:p>
        </w:tc>
      </w:tr>
      <w:tr w:rsidR="008D5BFE" w:rsidRPr="008E63BB" w14:paraId="519B325C" w14:textId="77777777" w:rsidTr="00E46C1D">
        <w:trPr>
          <w:trHeight w:val="315"/>
        </w:trPr>
        <w:tc>
          <w:tcPr>
            <w:tcW w:w="670" w:type="dxa"/>
            <w:shd w:val="clear" w:color="auto" w:fill="auto"/>
            <w:noWrap/>
            <w:vAlign w:val="center"/>
            <w:hideMark/>
          </w:tcPr>
          <w:p w14:paraId="519B3257" w14:textId="77777777" w:rsidR="00E46C1D" w:rsidRPr="008E63BB" w:rsidRDefault="00E46C1D" w:rsidP="00E46C1D">
            <w:pPr>
              <w:jc w:val="center"/>
              <w:rPr>
                <w:i/>
                <w:iCs/>
                <w:sz w:val="24"/>
                <w:szCs w:val="24"/>
              </w:rPr>
            </w:pPr>
            <w:r w:rsidRPr="008E63BB">
              <w:rPr>
                <w:i/>
                <w:iCs/>
                <w:sz w:val="24"/>
                <w:szCs w:val="24"/>
              </w:rPr>
              <w:t>2.1</w:t>
            </w:r>
          </w:p>
        </w:tc>
        <w:tc>
          <w:tcPr>
            <w:tcW w:w="2565" w:type="dxa"/>
            <w:shd w:val="clear" w:color="auto" w:fill="auto"/>
            <w:vAlign w:val="center"/>
            <w:hideMark/>
          </w:tcPr>
          <w:p w14:paraId="519B3258" w14:textId="77777777" w:rsidR="00E46C1D" w:rsidRPr="008E63BB" w:rsidRDefault="00E46C1D" w:rsidP="00E46C1D">
            <w:pPr>
              <w:jc w:val="left"/>
              <w:rPr>
                <w:i/>
                <w:iCs/>
                <w:sz w:val="24"/>
                <w:szCs w:val="24"/>
              </w:rPr>
            </w:pPr>
            <w:r w:rsidRPr="008E63BB">
              <w:rPr>
                <w:i/>
                <w:iCs/>
                <w:sz w:val="24"/>
                <w:szCs w:val="24"/>
              </w:rPr>
              <w:t>Giáo dục</w:t>
            </w:r>
          </w:p>
        </w:tc>
        <w:tc>
          <w:tcPr>
            <w:tcW w:w="2572" w:type="dxa"/>
            <w:shd w:val="clear" w:color="auto" w:fill="auto"/>
            <w:noWrap/>
            <w:vAlign w:val="center"/>
            <w:hideMark/>
          </w:tcPr>
          <w:p w14:paraId="519B3259" w14:textId="77777777" w:rsidR="00E46C1D" w:rsidRPr="008E63BB" w:rsidRDefault="00E46C1D" w:rsidP="00E46C1D">
            <w:pPr>
              <w:jc w:val="center"/>
              <w:rPr>
                <w:i/>
                <w:iCs/>
                <w:sz w:val="24"/>
                <w:szCs w:val="24"/>
              </w:rPr>
            </w:pPr>
            <w:r w:rsidRPr="008E63BB">
              <w:rPr>
                <w:i/>
                <w:iCs/>
                <w:sz w:val="24"/>
                <w:szCs w:val="24"/>
              </w:rPr>
              <w:t> </w:t>
            </w:r>
          </w:p>
        </w:tc>
        <w:tc>
          <w:tcPr>
            <w:tcW w:w="0" w:type="auto"/>
            <w:shd w:val="clear" w:color="auto" w:fill="auto"/>
            <w:noWrap/>
            <w:vAlign w:val="center"/>
            <w:hideMark/>
          </w:tcPr>
          <w:p w14:paraId="519B325A" w14:textId="77777777" w:rsidR="00E46C1D" w:rsidRPr="008E63BB" w:rsidRDefault="00E46C1D" w:rsidP="00E46C1D">
            <w:pPr>
              <w:jc w:val="center"/>
              <w:rPr>
                <w:i/>
                <w:iCs/>
                <w:sz w:val="24"/>
                <w:szCs w:val="24"/>
              </w:rPr>
            </w:pPr>
            <w:r w:rsidRPr="008E63BB">
              <w:rPr>
                <w:i/>
                <w:iCs/>
                <w:sz w:val="24"/>
                <w:szCs w:val="24"/>
              </w:rPr>
              <w:t> </w:t>
            </w:r>
          </w:p>
        </w:tc>
        <w:tc>
          <w:tcPr>
            <w:tcW w:w="0" w:type="auto"/>
            <w:shd w:val="clear" w:color="auto" w:fill="auto"/>
            <w:noWrap/>
            <w:vAlign w:val="center"/>
            <w:hideMark/>
          </w:tcPr>
          <w:p w14:paraId="519B325B" w14:textId="77777777" w:rsidR="00E46C1D" w:rsidRPr="008E63BB" w:rsidRDefault="00E46C1D" w:rsidP="00E46C1D">
            <w:pPr>
              <w:jc w:val="center"/>
              <w:rPr>
                <w:i/>
                <w:iCs/>
                <w:sz w:val="24"/>
                <w:szCs w:val="24"/>
              </w:rPr>
            </w:pPr>
            <w:r w:rsidRPr="008E63BB">
              <w:rPr>
                <w:i/>
                <w:iCs/>
                <w:sz w:val="24"/>
                <w:szCs w:val="24"/>
              </w:rPr>
              <w:t> </w:t>
            </w:r>
          </w:p>
        </w:tc>
      </w:tr>
      <w:tr w:rsidR="008D5BFE" w:rsidRPr="008E63BB" w14:paraId="519B3262" w14:textId="77777777" w:rsidTr="00E46C1D">
        <w:trPr>
          <w:trHeight w:val="315"/>
        </w:trPr>
        <w:tc>
          <w:tcPr>
            <w:tcW w:w="670" w:type="dxa"/>
            <w:vMerge w:val="restart"/>
            <w:shd w:val="clear" w:color="auto" w:fill="auto"/>
            <w:noWrap/>
            <w:vAlign w:val="center"/>
            <w:hideMark/>
          </w:tcPr>
          <w:p w14:paraId="519B325D" w14:textId="77777777" w:rsidR="00E46C1D" w:rsidRPr="008E63BB" w:rsidRDefault="00E46C1D" w:rsidP="00E46C1D">
            <w:pPr>
              <w:jc w:val="center"/>
              <w:rPr>
                <w:sz w:val="24"/>
                <w:szCs w:val="24"/>
              </w:rPr>
            </w:pPr>
            <w:r w:rsidRPr="008E63BB">
              <w:rPr>
                <w:sz w:val="24"/>
                <w:szCs w:val="24"/>
              </w:rPr>
              <w:t> </w:t>
            </w:r>
          </w:p>
        </w:tc>
        <w:tc>
          <w:tcPr>
            <w:tcW w:w="2565" w:type="dxa"/>
            <w:vMerge w:val="restart"/>
            <w:shd w:val="clear" w:color="auto" w:fill="auto"/>
            <w:noWrap/>
            <w:vAlign w:val="center"/>
            <w:hideMark/>
          </w:tcPr>
          <w:p w14:paraId="519B325E" w14:textId="77777777" w:rsidR="00E46C1D" w:rsidRPr="008E63BB" w:rsidRDefault="00E46C1D" w:rsidP="00E46C1D">
            <w:pPr>
              <w:jc w:val="left"/>
              <w:rPr>
                <w:sz w:val="24"/>
                <w:szCs w:val="24"/>
              </w:rPr>
            </w:pPr>
            <w:r w:rsidRPr="008E63BB">
              <w:rPr>
                <w:sz w:val="24"/>
                <w:szCs w:val="24"/>
              </w:rPr>
              <w:t>Trường PTTH, dạy nghề</w:t>
            </w:r>
          </w:p>
        </w:tc>
        <w:tc>
          <w:tcPr>
            <w:tcW w:w="2572" w:type="dxa"/>
            <w:shd w:val="clear" w:color="auto" w:fill="auto"/>
            <w:noWrap/>
            <w:vAlign w:val="center"/>
            <w:hideMark/>
          </w:tcPr>
          <w:p w14:paraId="519B325F" w14:textId="77777777" w:rsidR="00E46C1D" w:rsidRPr="008E63BB" w:rsidRDefault="00E46C1D" w:rsidP="00E46C1D">
            <w:pPr>
              <w:jc w:val="center"/>
              <w:rPr>
                <w:sz w:val="24"/>
                <w:szCs w:val="24"/>
              </w:rPr>
            </w:pPr>
            <w:r w:rsidRPr="008E63BB">
              <w:rPr>
                <w:sz w:val="24"/>
                <w:szCs w:val="24"/>
              </w:rPr>
              <w:t>chỗ/1000 người</w:t>
            </w:r>
          </w:p>
        </w:tc>
        <w:tc>
          <w:tcPr>
            <w:tcW w:w="0" w:type="auto"/>
            <w:shd w:val="clear" w:color="auto" w:fill="auto"/>
            <w:noWrap/>
            <w:vAlign w:val="center"/>
            <w:hideMark/>
          </w:tcPr>
          <w:p w14:paraId="519B3260" w14:textId="77777777" w:rsidR="00E46C1D" w:rsidRPr="008E63BB" w:rsidRDefault="00E46C1D" w:rsidP="00E46C1D">
            <w:pPr>
              <w:jc w:val="center"/>
              <w:rPr>
                <w:sz w:val="24"/>
                <w:szCs w:val="24"/>
              </w:rPr>
            </w:pPr>
            <w:r w:rsidRPr="008E63BB">
              <w:rPr>
                <w:sz w:val="24"/>
                <w:szCs w:val="24"/>
              </w:rPr>
              <w:t>40</w:t>
            </w:r>
          </w:p>
        </w:tc>
        <w:tc>
          <w:tcPr>
            <w:tcW w:w="0" w:type="auto"/>
            <w:shd w:val="clear" w:color="auto" w:fill="auto"/>
            <w:noWrap/>
            <w:vAlign w:val="center"/>
            <w:hideMark/>
          </w:tcPr>
          <w:p w14:paraId="519B3261" w14:textId="77777777" w:rsidR="00E46C1D" w:rsidRPr="008E63BB" w:rsidRDefault="00E46C1D" w:rsidP="00E46C1D">
            <w:pPr>
              <w:jc w:val="center"/>
              <w:rPr>
                <w:sz w:val="24"/>
                <w:szCs w:val="24"/>
              </w:rPr>
            </w:pPr>
            <w:r w:rsidRPr="008E63BB">
              <w:rPr>
                <w:sz w:val="24"/>
                <w:szCs w:val="24"/>
              </w:rPr>
              <w:t>40</w:t>
            </w:r>
          </w:p>
        </w:tc>
      </w:tr>
      <w:tr w:rsidR="008D5BFE" w:rsidRPr="008E63BB" w14:paraId="519B3268" w14:textId="77777777" w:rsidTr="00E46C1D">
        <w:trPr>
          <w:trHeight w:val="77"/>
        </w:trPr>
        <w:tc>
          <w:tcPr>
            <w:tcW w:w="670" w:type="dxa"/>
            <w:vMerge/>
            <w:vAlign w:val="center"/>
            <w:hideMark/>
          </w:tcPr>
          <w:p w14:paraId="519B3263" w14:textId="77777777" w:rsidR="00E46C1D" w:rsidRPr="008E63BB" w:rsidRDefault="00E46C1D" w:rsidP="00E46C1D">
            <w:pPr>
              <w:jc w:val="left"/>
              <w:rPr>
                <w:sz w:val="24"/>
                <w:szCs w:val="24"/>
              </w:rPr>
            </w:pPr>
          </w:p>
        </w:tc>
        <w:tc>
          <w:tcPr>
            <w:tcW w:w="2565" w:type="dxa"/>
            <w:vMerge/>
            <w:vAlign w:val="center"/>
            <w:hideMark/>
          </w:tcPr>
          <w:p w14:paraId="519B3264" w14:textId="77777777" w:rsidR="00E46C1D" w:rsidRPr="008E63BB" w:rsidRDefault="00E46C1D" w:rsidP="00E46C1D">
            <w:pPr>
              <w:jc w:val="left"/>
              <w:rPr>
                <w:sz w:val="24"/>
                <w:szCs w:val="24"/>
              </w:rPr>
            </w:pPr>
          </w:p>
        </w:tc>
        <w:tc>
          <w:tcPr>
            <w:tcW w:w="2572" w:type="dxa"/>
            <w:shd w:val="clear" w:color="auto" w:fill="auto"/>
            <w:noWrap/>
            <w:vAlign w:val="center"/>
            <w:hideMark/>
          </w:tcPr>
          <w:p w14:paraId="519B3265" w14:textId="77777777" w:rsidR="00E46C1D" w:rsidRPr="008E63BB" w:rsidRDefault="00E46C1D" w:rsidP="00E46C1D">
            <w:pPr>
              <w:jc w:val="center"/>
              <w:rPr>
                <w:sz w:val="24"/>
                <w:szCs w:val="24"/>
              </w:rPr>
            </w:pPr>
            <w:r w:rsidRPr="008E63BB">
              <w:rPr>
                <w:sz w:val="24"/>
                <w:szCs w:val="24"/>
              </w:rPr>
              <w:t>m2/học sinh</w:t>
            </w:r>
          </w:p>
        </w:tc>
        <w:tc>
          <w:tcPr>
            <w:tcW w:w="0" w:type="auto"/>
            <w:shd w:val="clear" w:color="auto" w:fill="auto"/>
            <w:noWrap/>
            <w:vAlign w:val="center"/>
            <w:hideMark/>
          </w:tcPr>
          <w:p w14:paraId="519B3266" w14:textId="77777777" w:rsidR="00E46C1D" w:rsidRPr="008E63BB" w:rsidRDefault="00E46C1D" w:rsidP="00E46C1D">
            <w:pPr>
              <w:jc w:val="center"/>
              <w:rPr>
                <w:sz w:val="24"/>
                <w:szCs w:val="24"/>
              </w:rPr>
            </w:pPr>
            <w:r w:rsidRPr="008E63BB">
              <w:rPr>
                <w:sz w:val="24"/>
                <w:szCs w:val="24"/>
              </w:rPr>
              <w:t>10</w:t>
            </w:r>
          </w:p>
        </w:tc>
        <w:tc>
          <w:tcPr>
            <w:tcW w:w="0" w:type="auto"/>
            <w:shd w:val="clear" w:color="auto" w:fill="auto"/>
            <w:noWrap/>
            <w:vAlign w:val="center"/>
            <w:hideMark/>
          </w:tcPr>
          <w:p w14:paraId="519B3267" w14:textId="77777777" w:rsidR="00E46C1D" w:rsidRPr="008E63BB" w:rsidRDefault="00E46C1D" w:rsidP="00E46C1D">
            <w:pPr>
              <w:jc w:val="center"/>
              <w:rPr>
                <w:sz w:val="24"/>
                <w:szCs w:val="24"/>
              </w:rPr>
            </w:pPr>
            <w:r w:rsidRPr="008E63BB">
              <w:rPr>
                <w:sz w:val="24"/>
                <w:szCs w:val="24"/>
              </w:rPr>
              <w:t>10</w:t>
            </w:r>
          </w:p>
        </w:tc>
      </w:tr>
      <w:tr w:rsidR="008D5BFE" w:rsidRPr="008E63BB" w14:paraId="519B326E" w14:textId="77777777" w:rsidTr="00E46C1D">
        <w:trPr>
          <w:trHeight w:val="315"/>
        </w:trPr>
        <w:tc>
          <w:tcPr>
            <w:tcW w:w="670" w:type="dxa"/>
            <w:shd w:val="clear" w:color="auto" w:fill="auto"/>
            <w:noWrap/>
            <w:vAlign w:val="center"/>
            <w:hideMark/>
          </w:tcPr>
          <w:p w14:paraId="519B3269" w14:textId="77777777" w:rsidR="00E46C1D" w:rsidRPr="008E63BB" w:rsidRDefault="00E46C1D" w:rsidP="00E46C1D">
            <w:pPr>
              <w:jc w:val="center"/>
              <w:rPr>
                <w:i/>
                <w:iCs/>
                <w:sz w:val="24"/>
                <w:szCs w:val="24"/>
              </w:rPr>
            </w:pPr>
            <w:r w:rsidRPr="008E63BB">
              <w:rPr>
                <w:i/>
                <w:iCs/>
                <w:sz w:val="24"/>
                <w:szCs w:val="24"/>
              </w:rPr>
              <w:t>2.2</w:t>
            </w:r>
          </w:p>
        </w:tc>
        <w:tc>
          <w:tcPr>
            <w:tcW w:w="2565" w:type="dxa"/>
            <w:shd w:val="clear" w:color="auto" w:fill="auto"/>
            <w:noWrap/>
            <w:vAlign w:val="center"/>
            <w:hideMark/>
          </w:tcPr>
          <w:p w14:paraId="519B326A" w14:textId="77777777" w:rsidR="00E46C1D" w:rsidRPr="008E63BB" w:rsidRDefault="00E46C1D" w:rsidP="00E46C1D">
            <w:pPr>
              <w:jc w:val="left"/>
              <w:rPr>
                <w:i/>
                <w:iCs/>
                <w:sz w:val="24"/>
                <w:szCs w:val="24"/>
              </w:rPr>
            </w:pPr>
            <w:r w:rsidRPr="008E63BB">
              <w:rPr>
                <w:i/>
                <w:iCs/>
                <w:sz w:val="24"/>
                <w:szCs w:val="24"/>
              </w:rPr>
              <w:t>Y tế</w:t>
            </w:r>
          </w:p>
        </w:tc>
        <w:tc>
          <w:tcPr>
            <w:tcW w:w="2572" w:type="dxa"/>
            <w:shd w:val="clear" w:color="auto" w:fill="auto"/>
            <w:noWrap/>
            <w:vAlign w:val="center"/>
            <w:hideMark/>
          </w:tcPr>
          <w:p w14:paraId="519B326B" w14:textId="77777777" w:rsidR="00E46C1D" w:rsidRPr="008E63BB" w:rsidRDefault="00E46C1D" w:rsidP="00E46C1D">
            <w:pPr>
              <w:jc w:val="center"/>
              <w:rPr>
                <w:i/>
                <w:iCs/>
                <w:sz w:val="24"/>
                <w:szCs w:val="24"/>
              </w:rPr>
            </w:pPr>
            <w:r w:rsidRPr="008E63BB">
              <w:rPr>
                <w:i/>
                <w:iCs/>
                <w:sz w:val="24"/>
                <w:szCs w:val="24"/>
              </w:rPr>
              <w:t> </w:t>
            </w:r>
          </w:p>
        </w:tc>
        <w:tc>
          <w:tcPr>
            <w:tcW w:w="0" w:type="auto"/>
            <w:shd w:val="clear" w:color="auto" w:fill="auto"/>
            <w:noWrap/>
            <w:vAlign w:val="center"/>
            <w:hideMark/>
          </w:tcPr>
          <w:p w14:paraId="519B326C" w14:textId="77777777" w:rsidR="00E46C1D" w:rsidRPr="008E63BB" w:rsidRDefault="00E46C1D" w:rsidP="00E46C1D">
            <w:pPr>
              <w:jc w:val="center"/>
              <w:rPr>
                <w:i/>
                <w:iCs/>
                <w:sz w:val="24"/>
                <w:szCs w:val="24"/>
              </w:rPr>
            </w:pPr>
            <w:r w:rsidRPr="008E63BB">
              <w:rPr>
                <w:i/>
                <w:iCs/>
                <w:sz w:val="24"/>
                <w:szCs w:val="24"/>
              </w:rPr>
              <w:t> </w:t>
            </w:r>
          </w:p>
        </w:tc>
        <w:tc>
          <w:tcPr>
            <w:tcW w:w="0" w:type="auto"/>
            <w:shd w:val="clear" w:color="auto" w:fill="auto"/>
            <w:noWrap/>
            <w:vAlign w:val="center"/>
            <w:hideMark/>
          </w:tcPr>
          <w:p w14:paraId="519B326D" w14:textId="77777777" w:rsidR="00E46C1D" w:rsidRPr="008E63BB" w:rsidRDefault="00E46C1D" w:rsidP="00E46C1D">
            <w:pPr>
              <w:jc w:val="center"/>
              <w:rPr>
                <w:i/>
                <w:iCs/>
                <w:sz w:val="24"/>
                <w:szCs w:val="24"/>
              </w:rPr>
            </w:pPr>
            <w:r w:rsidRPr="008E63BB">
              <w:rPr>
                <w:i/>
                <w:iCs/>
                <w:sz w:val="24"/>
                <w:szCs w:val="24"/>
              </w:rPr>
              <w:t> </w:t>
            </w:r>
          </w:p>
        </w:tc>
      </w:tr>
      <w:tr w:rsidR="008D5BFE" w:rsidRPr="008E63BB" w14:paraId="519B3274" w14:textId="77777777" w:rsidTr="00E46C1D">
        <w:trPr>
          <w:trHeight w:val="162"/>
        </w:trPr>
        <w:tc>
          <w:tcPr>
            <w:tcW w:w="670" w:type="dxa"/>
            <w:vMerge w:val="restart"/>
            <w:shd w:val="clear" w:color="auto" w:fill="auto"/>
            <w:noWrap/>
            <w:vAlign w:val="center"/>
            <w:hideMark/>
          </w:tcPr>
          <w:p w14:paraId="519B326F" w14:textId="77777777" w:rsidR="00E46C1D" w:rsidRPr="008E63BB" w:rsidRDefault="00E46C1D" w:rsidP="00E46C1D">
            <w:pPr>
              <w:jc w:val="center"/>
              <w:rPr>
                <w:sz w:val="24"/>
                <w:szCs w:val="24"/>
              </w:rPr>
            </w:pPr>
            <w:r w:rsidRPr="008E63BB">
              <w:rPr>
                <w:sz w:val="24"/>
                <w:szCs w:val="24"/>
              </w:rPr>
              <w:t> </w:t>
            </w:r>
          </w:p>
        </w:tc>
        <w:tc>
          <w:tcPr>
            <w:tcW w:w="2565" w:type="dxa"/>
            <w:vMerge w:val="restart"/>
            <w:shd w:val="clear" w:color="auto" w:fill="auto"/>
            <w:noWrap/>
            <w:vAlign w:val="center"/>
            <w:hideMark/>
          </w:tcPr>
          <w:p w14:paraId="519B3270" w14:textId="77777777" w:rsidR="00E46C1D" w:rsidRPr="008E63BB" w:rsidRDefault="00E46C1D" w:rsidP="00E46C1D">
            <w:pPr>
              <w:jc w:val="left"/>
              <w:rPr>
                <w:sz w:val="24"/>
                <w:szCs w:val="24"/>
              </w:rPr>
            </w:pPr>
            <w:r w:rsidRPr="008E63BB">
              <w:rPr>
                <w:sz w:val="24"/>
                <w:szCs w:val="24"/>
              </w:rPr>
              <w:t>Bệnh viện đa khoa</w:t>
            </w:r>
          </w:p>
        </w:tc>
        <w:tc>
          <w:tcPr>
            <w:tcW w:w="2572" w:type="dxa"/>
            <w:shd w:val="clear" w:color="auto" w:fill="auto"/>
            <w:noWrap/>
            <w:vAlign w:val="center"/>
            <w:hideMark/>
          </w:tcPr>
          <w:p w14:paraId="519B3271" w14:textId="77777777" w:rsidR="00E46C1D" w:rsidRPr="008E63BB" w:rsidRDefault="00E46C1D" w:rsidP="00E46C1D">
            <w:pPr>
              <w:jc w:val="center"/>
              <w:rPr>
                <w:sz w:val="24"/>
                <w:szCs w:val="24"/>
              </w:rPr>
            </w:pPr>
            <w:r w:rsidRPr="008E63BB">
              <w:rPr>
                <w:sz w:val="24"/>
                <w:szCs w:val="24"/>
              </w:rPr>
              <w:t>giường/1000 người</w:t>
            </w:r>
          </w:p>
        </w:tc>
        <w:tc>
          <w:tcPr>
            <w:tcW w:w="0" w:type="auto"/>
            <w:shd w:val="clear" w:color="auto" w:fill="auto"/>
            <w:noWrap/>
            <w:vAlign w:val="center"/>
            <w:hideMark/>
          </w:tcPr>
          <w:p w14:paraId="519B3272" w14:textId="77777777" w:rsidR="00E46C1D" w:rsidRPr="008E63BB" w:rsidRDefault="00E46C1D" w:rsidP="00E46C1D">
            <w:pPr>
              <w:jc w:val="center"/>
              <w:rPr>
                <w:sz w:val="24"/>
                <w:szCs w:val="24"/>
              </w:rPr>
            </w:pPr>
            <w:r w:rsidRPr="008E63BB">
              <w:rPr>
                <w:sz w:val="24"/>
                <w:szCs w:val="24"/>
              </w:rPr>
              <w:t>4</w:t>
            </w:r>
          </w:p>
        </w:tc>
        <w:tc>
          <w:tcPr>
            <w:tcW w:w="0" w:type="auto"/>
            <w:shd w:val="clear" w:color="auto" w:fill="auto"/>
            <w:noWrap/>
            <w:vAlign w:val="center"/>
            <w:hideMark/>
          </w:tcPr>
          <w:p w14:paraId="519B3273" w14:textId="77777777" w:rsidR="00E46C1D" w:rsidRPr="008E63BB" w:rsidRDefault="00E46C1D" w:rsidP="00E46C1D">
            <w:pPr>
              <w:jc w:val="center"/>
              <w:rPr>
                <w:sz w:val="24"/>
                <w:szCs w:val="24"/>
              </w:rPr>
            </w:pPr>
            <w:r w:rsidRPr="008E63BB">
              <w:rPr>
                <w:sz w:val="24"/>
                <w:szCs w:val="24"/>
              </w:rPr>
              <w:t>4</w:t>
            </w:r>
          </w:p>
        </w:tc>
      </w:tr>
      <w:tr w:rsidR="008D5BFE" w:rsidRPr="008E63BB" w14:paraId="519B327A" w14:textId="77777777" w:rsidTr="00E46C1D">
        <w:trPr>
          <w:trHeight w:val="162"/>
        </w:trPr>
        <w:tc>
          <w:tcPr>
            <w:tcW w:w="670" w:type="dxa"/>
            <w:vMerge/>
            <w:vAlign w:val="center"/>
            <w:hideMark/>
          </w:tcPr>
          <w:p w14:paraId="519B3275" w14:textId="77777777" w:rsidR="00E46C1D" w:rsidRPr="008E63BB" w:rsidRDefault="00E46C1D" w:rsidP="00E46C1D">
            <w:pPr>
              <w:jc w:val="left"/>
              <w:rPr>
                <w:sz w:val="24"/>
                <w:szCs w:val="24"/>
              </w:rPr>
            </w:pPr>
          </w:p>
        </w:tc>
        <w:tc>
          <w:tcPr>
            <w:tcW w:w="2565" w:type="dxa"/>
            <w:vMerge/>
            <w:vAlign w:val="center"/>
            <w:hideMark/>
          </w:tcPr>
          <w:p w14:paraId="519B3276" w14:textId="77777777" w:rsidR="00E46C1D" w:rsidRPr="008E63BB" w:rsidRDefault="00E46C1D" w:rsidP="00E46C1D">
            <w:pPr>
              <w:jc w:val="left"/>
              <w:rPr>
                <w:sz w:val="24"/>
                <w:szCs w:val="24"/>
              </w:rPr>
            </w:pPr>
          </w:p>
        </w:tc>
        <w:tc>
          <w:tcPr>
            <w:tcW w:w="2572" w:type="dxa"/>
            <w:shd w:val="clear" w:color="auto" w:fill="auto"/>
            <w:noWrap/>
            <w:vAlign w:val="center"/>
            <w:hideMark/>
          </w:tcPr>
          <w:p w14:paraId="519B3277" w14:textId="77777777" w:rsidR="00E46C1D" w:rsidRPr="008E63BB" w:rsidRDefault="00E46C1D" w:rsidP="00E46C1D">
            <w:pPr>
              <w:jc w:val="center"/>
              <w:rPr>
                <w:sz w:val="24"/>
                <w:szCs w:val="24"/>
              </w:rPr>
            </w:pPr>
            <w:r w:rsidRPr="008E63BB">
              <w:rPr>
                <w:sz w:val="24"/>
                <w:szCs w:val="24"/>
              </w:rPr>
              <w:t>m2/giường</w:t>
            </w:r>
          </w:p>
        </w:tc>
        <w:tc>
          <w:tcPr>
            <w:tcW w:w="0" w:type="auto"/>
            <w:shd w:val="clear" w:color="auto" w:fill="auto"/>
            <w:noWrap/>
            <w:vAlign w:val="center"/>
            <w:hideMark/>
          </w:tcPr>
          <w:p w14:paraId="519B3278" w14:textId="77777777" w:rsidR="00E46C1D" w:rsidRPr="008E63BB" w:rsidRDefault="00E46C1D" w:rsidP="00E46C1D">
            <w:pPr>
              <w:jc w:val="center"/>
              <w:rPr>
                <w:sz w:val="24"/>
                <w:szCs w:val="24"/>
              </w:rPr>
            </w:pPr>
            <w:r w:rsidRPr="008E63BB">
              <w:rPr>
                <w:sz w:val="24"/>
                <w:szCs w:val="24"/>
              </w:rPr>
              <w:t>100</w:t>
            </w:r>
          </w:p>
        </w:tc>
        <w:tc>
          <w:tcPr>
            <w:tcW w:w="0" w:type="auto"/>
            <w:shd w:val="clear" w:color="auto" w:fill="auto"/>
            <w:noWrap/>
            <w:vAlign w:val="center"/>
            <w:hideMark/>
          </w:tcPr>
          <w:p w14:paraId="519B3279" w14:textId="77777777" w:rsidR="00E46C1D" w:rsidRPr="008E63BB" w:rsidRDefault="00E46C1D" w:rsidP="00E46C1D">
            <w:pPr>
              <w:jc w:val="center"/>
              <w:rPr>
                <w:sz w:val="24"/>
                <w:szCs w:val="24"/>
              </w:rPr>
            </w:pPr>
            <w:r w:rsidRPr="008E63BB">
              <w:rPr>
                <w:sz w:val="24"/>
                <w:szCs w:val="24"/>
              </w:rPr>
              <w:t>100</w:t>
            </w:r>
          </w:p>
        </w:tc>
      </w:tr>
      <w:tr w:rsidR="008D5BFE" w:rsidRPr="008E63BB" w14:paraId="519B3280" w14:textId="77777777" w:rsidTr="00E46C1D">
        <w:trPr>
          <w:trHeight w:val="315"/>
        </w:trPr>
        <w:tc>
          <w:tcPr>
            <w:tcW w:w="670" w:type="dxa"/>
            <w:vMerge w:val="restart"/>
            <w:shd w:val="clear" w:color="auto" w:fill="auto"/>
            <w:noWrap/>
            <w:vAlign w:val="center"/>
            <w:hideMark/>
          </w:tcPr>
          <w:p w14:paraId="519B327B" w14:textId="77777777" w:rsidR="00E46C1D" w:rsidRPr="008E63BB" w:rsidRDefault="00E46C1D" w:rsidP="00E46C1D">
            <w:pPr>
              <w:jc w:val="center"/>
              <w:rPr>
                <w:sz w:val="24"/>
                <w:szCs w:val="24"/>
              </w:rPr>
            </w:pPr>
            <w:r w:rsidRPr="008E63BB">
              <w:rPr>
                <w:sz w:val="24"/>
                <w:szCs w:val="24"/>
              </w:rPr>
              <w:t> </w:t>
            </w:r>
          </w:p>
        </w:tc>
        <w:tc>
          <w:tcPr>
            <w:tcW w:w="2565" w:type="dxa"/>
            <w:vMerge w:val="restart"/>
            <w:shd w:val="clear" w:color="auto" w:fill="auto"/>
            <w:noWrap/>
            <w:vAlign w:val="center"/>
            <w:hideMark/>
          </w:tcPr>
          <w:p w14:paraId="519B327C" w14:textId="77777777" w:rsidR="00E46C1D" w:rsidRPr="008E63BB" w:rsidRDefault="00E46C1D" w:rsidP="00E46C1D">
            <w:pPr>
              <w:jc w:val="left"/>
              <w:rPr>
                <w:sz w:val="24"/>
                <w:szCs w:val="24"/>
              </w:rPr>
            </w:pPr>
            <w:r w:rsidRPr="008E63BB">
              <w:rPr>
                <w:sz w:val="24"/>
                <w:szCs w:val="24"/>
              </w:rPr>
              <w:t>Phòng khám đa khoa</w:t>
            </w:r>
          </w:p>
        </w:tc>
        <w:tc>
          <w:tcPr>
            <w:tcW w:w="2572" w:type="dxa"/>
            <w:shd w:val="clear" w:color="auto" w:fill="auto"/>
            <w:noWrap/>
            <w:vAlign w:val="center"/>
            <w:hideMark/>
          </w:tcPr>
          <w:p w14:paraId="519B327D" w14:textId="77777777" w:rsidR="00E46C1D" w:rsidRPr="008E63BB" w:rsidRDefault="00E46C1D" w:rsidP="00E46C1D">
            <w:pPr>
              <w:jc w:val="center"/>
              <w:rPr>
                <w:sz w:val="24"/>
                <w:szCs w:val="24"/>
              </w:rPr>
            </w:pPr>
            <w:r w:rsidRPr="008E63BB">
              <w:rPr>
                <w:sz w:val="24"/>
                <w:szCs w:val="24"/>
              </w:rPr>
              <w:t>công trình/ đô thị</w:t>
            </w:r>
          </w:p>
        </w:tc>
        <w:tc>
          <w:tcPr>
            <w:tcW w:w="0" w:type="auto"/>
            <w:shd w:val="clear" w:color="auto" w:fill="auto"/>
            <w:noWrap/>
            <w:vAlign w:val="center"/>
            <w:hideMark/>
          </w:tcPr>
          <w:p w14:paraId="519B327E" w14:textId="77777777" w:rsidR="00E46C1D" w:rsidRPr="008E63BB" w:rsidRDefault="00E46C1D" w:rsidP="00E46C1D">
            <w:pPr>
              <w:jc w:val="center"/>
              <w:rPr>
                <w:sz w:val="24"/>
                <w:szCs w:val="24"/>
              </w:rPr>
            </w:pPr>
            <w:r w:rsidRPr="008E63BB">
              <w:rPr>
                <w:sz w:val="24"/>
                <w:szCs w:val="24"/>
              </w:rPr>
              <w:t>1</w:t>
            </w:r>
          </w:p>
        </w:tc>
        <w:tc>
          <w:tcPr>
            <w:tcW w:w="0" w:type="auto"/>
            <w:shd w:val="clear" w:color="auto" w:fill="auto"/>
            <w:noWrap/>
            <w:vAlign w:val="center"/>
            <w:hideMark/>
          </w:tcPr>
          <w:p w14:paraId="519B327F" w14:textId="77777777" w:rsidR="00E46C1D" w:rsidRPr="008E63BB" w:rsidRDefault="00E46C1D" w:rsidP="00E46C1D">
            <w:pPr>
              <w:jc w:val="center"/>
              <w:rPr>
                <w:sz w:val="24"/>
                <w:szCs w:val="24"/>
              </w:rPr>
            </w:pPr>
            <w:r w:rsidRPr="008E63BB">
              <w:rPr>
                <w:sz w:val="24"/>
                <w:szCs w:val="24"/>
              </w:rPr>
              <w:t>1</w:t>
            </w:r>
          </w:p>
        </w:tc>
      </w:tr>
      <w:tr w:rsidR="008D5BFE" w:rsidRPr="008E63BB" w14:paraId="519B3286" w14:textId="77777777" w:rsidTr="00E46C1D">
        <w:trPr>
          <w:trHeight w:val="162"/>
        </w:trPr>
        <w:tc>
          <w:tcPr>
            <w:tcW w:w="670" w:type="dxa"/>
            <w:vMerge/>
            <w:vAlign w:val="center"/>
            <w:hideMark/>
          </w:tcPr>
          <w:p w14:paraId="519B3281" w14:textId="77777777" w:rsidR="00E46C1D" w:rsidRPr="008E63BB" w:rsidRDefault="00E46C1D" w:rsidP="00E46C1D">
            <w:pPr>
              <w:jc w:val="left"/>
              <w:rPr>
                <w:sz w:val="24"/>
                <w:szCs w:val="24"/>
              </w:rPr>
            </w:pPr>
          </w:p>
        </w:tc>
        <w:tc>
          <w:tcPr>
            <w:tcW w:w="2565" w:type="dxa"/>
            <w:vMerge/>
            <w:vAlign w:val="center"/>
            <w:hideMark/>
          </w:tcPr>
          <w:p w14:paraId="519B3282" w14:textId="77777777" w:rsidR="00E46C1D" w:rsidRPr="008E63BB" w:rsidRDefault="00E46C1D" w:rsidP="00E46C1D">
            <w:pPr>
              <w:jc w:val="left"/>
              <w:rPr>
                <w:sz w:val="24"/>
                <w:szCs w:val="24"/>
              </w:rPr>
            </w:pPr>
          </w:p>
        </w:tc>
        <w:tc>
          <w:tcPr>
            <w:tcW w:w="2572" w:type="dxa"/>
            <w:shd w:val="clear" w:color="auto" w:fill="auto"/>
            <w:noWrap/>
            <w:vAlign w:val="center"/>
            <w:hideMark/>
          </w:tcPr>
          <w:p w14:paraId="519B3283" w14:textId="77777777" w:rsidR="00E46C1D" w:rsidRPr="008E63BB" w:rsidRDefault="00E46C1D" w:rsidP="00E46C1D">
            <w:pPr>
              <w:jc w:val="center"/>
              <w:rPr>
                <w:sz w:val="24"/>
                <w:szCs w:val="24"/>
              </w:rPr>
            </w:pPr>
            <w:r w:rsidRPr="008E63BB">
              <w:rPr>
                <w:sz w:val="24"/>
                <w:szCs w:val="24"/>
              </w:rPr>
              <w:t>m2/công trình</w:t>
            </w:r>
          </w:p>
        </w:tc>
        <w:tc>
          <w:tcPr>
            <w:tcW w:w="0" w:type="auto"/>
            <w:shd w:val="clear" w:color="auto" w:fill="auto"/>
            <w:noWrap/>
            <w:vAlign w:val="center"/>
            <w:hideMark/>
          </w:tcPr>
          <w:p w14:paraId="519B3284" w14:textId="77777777" w:rsidR="00E46C1D" w:rsidRPr="008E63BB" w:rsidRDefault="00E46C1D" w:rsidP="00E46C1D">
            <w:pPr>
              <w:jc w:val="center"/>
              <w:rPr>
                <w:sz w:val="24"/>
                <w:szCs w:val="24"/>
              </w:rPr>
            </w:pPr>
            <w:r w:rsidRPr="008E63BB">
              <w:rPr>
                <w:sz w:val="24"/>
                <w:szCs w:val="24"/>
              </w:rPr>
              <w:t>3000</w:t>
            </w:r>
          </w:p>
        </w:tc>
        <w:tc>
          <w:tcPr>
            <w:tcW w:w="0" w:type="auto"/>
            <w:shd w:val="clear" w:color="auto" w:fill="auto"/>
            <w:noWrap/>
            <w:vAlign w:val="center"/>
            <w:hideMark/>
          </w:tcPr>
          <w:p w14:paraId="519B3285" w14:textId="77777777" w:rsidR="00E46C1D" w:rsidRPr="008E63BB" w:rsidRDefault="00E46C1D" w:rsidP="00E46C1D">
            <w:pPr>
              <w:jc w:val="center"/>
              <w:rPr>
                <w:sz w:val="24"/>
                <w:szCs w:val="24"/>
              </w:rPr>
            </w:pPr>
            <w:r w:rsidRPr="008E63BB">
              <w:rPr>
                <w:sz w:val="24"/>
                <w:szCs w:val="24"/>
              </w:rPr>
              <w:t>3000</w:t>
            </w:r>
          </w:p>
        </w:tc>
      </w:tr>
      <w:tr w:rsidR="008D5BFE" w:rsidRPr="008E63BB" w14:paraId="519B328C" w14:textId="77777777" w:rsidTr="00E46C1D">
        <w:trPr>
          <w:trHeight w:val="162"/>
        </w:trPr>
        <w:tc>
          <w:tcPr>
            <w:tcW w:w="670" w:type="dxa"/>
            <w:shd w:val="clear" w:color="auto" w:fill="auto"/>
            <w:noWrap/>
            <w:vAlign w:val="center"/>
            <w:hideMark/>
          </w:tcPr>
          <w:p w14:paraId="519B3287" w14:textId="77777777" w:rsidR="00E46C1D" w:rsidRPr="008E63BB" w:rsidRDefault="00E46C1D" w:rsidP="00E46C1D">
            <w:pPr>
              <w:jc w:val="center"/>
              <w:rPr>
                <w:i/>
                <w:iCs/>
                <w:sz w:val="24"/>
                <w:szCs w:val="24"/>
              </w:rPr>
            </w:pPr>
            <w:r w:rsidRPr="008E63BB">
              <w:rPr>
                <w:i/>
                <w:iCs/>
                <w:sz w:val="24"/>
                <w:szCs w:val="24"/>
              </w:rPr>
              <w:t>2.3</w:t>
            </w:r>
          </w:p>
        </w:tc>
        <w:tc>
          <w:tcPr>
            <w:tcW w:w="2565" w:type="dxa"/>
            <w:shd w:val="clear" w:color="auto" w:fill="auto"/>
            <w:noWrap/>
            <w:vAlign w:val="center"/>
            <w:hideMark/>
          </w:tcPr>
          <w:p w14:paraId="519B3288" w14:textId="77777777" w:rsidR="00E46C1D" w:rsidRPr="008E63BB" w:rsidRDefault="00E46C1D" w:rsidP="00E46C1D">
            <w:pPr>
              <w:jc w:val="left"/>
              <w:rPr>
                <w:i/>
                <w:iCs/>
                <w:sz w:val="24"/>
                <w:szCs w:val="24"/>
              </w:rPr>
            </w:pPr>
            <w:r w:rsidRPr="008E63BB">
              <w:rPr>
                <w:i/>
                <w:iCs/>
                <w:sz w:val="24"/>
                <w:szCs w:val="24"/>
              </w:rPr>
              <w:t>Thể dục thể thao</w:t>
            </w:r>
          </w:p>
        </w:tc>
        <w:tc>
          <w:tcPr>
            <w:tcW w:w="2572" w:type="dxa"/>
            <w:shd w:val="clear" w:color="auto" w:fill="auto"/>
            <w:noWrap/>
            <w:vAlign w:val="center"/>
            <w:hideMark/>
          </w:tcPr>
          <w:p w14:paraId="519B3289" w14:textId="77777777" w:rsidR="00E46C1D" w:rsidRPr="008E63BB" w:rsidRDefault="00E46C1D" w:rsidP="00E46C1D">
            <w:pPr>
              <w:jc w:val="center"/>
              <w:rPr>
                <w:i/>
                <w:iCs/>
                <w:sz w:val="24"/>
                <w:szCs w:val="24"/>
              </w:rPr>
            </w:pPr>
            <w:r w:rsidRPr="008E63BB">
              <w:rPr>
                <w:i/>
                <w:iCs/>
                <w:sz w:val="24"/>
                <w:szCs w:val="24"/>
              </w:rPr>
              <w:t> </w:t>
            </w:r>
          </w:p>
        </w:tc>
        <w:tc>
          <w:tcPr>
            <w:tcW w:w="0" w:type="auto"/>
            <w:shd w:val="clear" w:color="auto" w:fill="auto"/>
            <w:noWrap/>
            <w:vAlign w:val="center"/>
            <w:hideMark/>
          </w:tcPr>
          <w:p w14:paraId="519B328A" w14:textId="77777777" w:rsidR="00E46C1D" w:rsidRPr="008E63BB" w:rsidRDefault="00E46C1D" w:rsidP="00E46C1D">
            <w:pPr>
              <w:jc w:val="center"/>
              <w:rPr>
                <w:i/>
                <w:iCs/>
                <w:sz w:val="24"/>
                <w:szCs w:val="24"/>
              </w:rPr>
            </w:pPr>
            <w:r w:rsidRPr="008E63BB">
              <w:rPr>
                <w:i/>
                <w:iCs/>
                <w:sz w:val="24"/>
                <w:szCs w:val="24"/>
              </w:rPr>
              <w:t> </w:t>
            </w:r>
          </w:p>
        </w:tc>
        <w:tc>
          <w:tcPr>
            <w:tcW w:w="0" w:type="auto"/>
            <w:shd w:val="clear" w:color="auto" w:fill="auto"/>
            <w:noWrap/>
            <w:vAlign w:val="center"/>
            <w:hideMark/>
          </w:tcPr>
          <w:p w14:paraId="519B328B" w14:textId="77777777" w:rsidR="00E46C1D" w:rsidRPr="008E63BB" w:rsidRDefault="00E46C1D" w:rsidP="00E46C1D">
            <w:pPr>
              <w:jc w:val="center"/>
              <w:rPr>
                <w:i/>
                <w:iCs/>
                <w:sz w:val="24"/>
                <w:szCs w:val="24"/>
              </w:rPr>
            </w:pPr>
            <w:r w:rsidRPr="008E63BB">
              <w:rPr>
                <w:i/>
                <w:iCs/>
                <w:sz w:val="24"/>
                <w:szCs w:val="24"/>
              </w:rPr>
              <w:t> </w:t>
            </w:r>
          </w:p>
        </w:tc>
      </w:tr>
      <w:tr w:rsidR="008D5BFE" w:rsidRPr="008E63BB" w14:paraId="519B3292" w14:textId="77777777" w:rsidTr="00E46C1D">
        <w:trPr>
          <w:trHeight w:val="315"/>
        </w:trPr>
        <w:tc>
          <w:tcPr>
            <w:tcW w:w="670" w:type="dxa"/>
            <w:vMerge w:val="restart"/>
            <w:shd w:val="clear" w:color="auto" w:fill="auto"/>
            <w:noWrap/>
            <w:vAlign w:val="center"/>
            <w:hideMark/>
          </w:tcPr>
          <w:p w14:paraId="519B328D" w14:textId="77777777" w:rsidR="00E46C1D" w:rsidRPr="008E63BB" w:rsidRDefault="00E46C1D" w:rsidP="00E46C1D">
            <w:pPr>
              <w:jc w:val="center"/>
              <w:rPr>
                <w:sz w:val="24"/>
                <w:szCs w:val="24"/>
              </w:rPr>
            </w:pPr>
            <w:r w:rsidRPr="008E63BB">
              <w:rPr>
                <w:sz w:val="24"/>
                <w:szCs w:val="24"/>
              </w:rPr>
              <w:t> </w:t>
            </w:r>
          </w:p>
        </w:tc>
        <w:tc>
          <w:tcPr>
            <w:tcW w:w="2565" w:type="dxa"/>
            <w:vMerge w:val="restart"/>
            <w:shd w:val="clear" w:color="auto" w:fill="auto"/>
            <w:noWrap/>
            <w:vAlign w:val="center"/>
            <w:hideMark/>
          </w:tcPr>
          <w:p w14:paraId="519B328E" w14:textId="77777777" w:rsidR="00E46C1D" w:rsidRPr="008E63BB" w:rsidRDefault="00E46C1D" w:rsidP="00E46C1D">
            <w:pPr>
              <w:jc w:val="left"/>
              <w:rPr>
                <w:sz w:val="24"/>
                <w:szCs w:val="24"/>
              </w:rPr>
            </w:pPr>
            <w:r w:rsidRPr="008E63BB">
              <w:rPr>
                <w:sz w:val="24"/>
                <w:szCs w:val="24"/>
              </w:rPr>
              <w:t>Sân vận động</w:t>
            </w:r>
          </w:p>
        </w:tc>
        <w:tc>
          <w:tcPr>
            <w:tcW w:w="2572" w:type="dxa"/>
            <w:shd w:val="clear" w:color="auto" w:fill="auto"/>
            <w:noWrap/>
            <w:vAlign w:val="center"/>
            <w:hideMark/>
          </w:tcPr>
          <w:p w14:paraId="519B328F" w14:textId="77777777" w:rsidR="00E46C1D" w:rsidRPr="008E63BB" w:rsidRDefault="00E46C1D" w:rsidP="00E46C1D">
            <w:pPr>
              <w:jc w:val="center"/>
              <w:rPr>
                <w:sz w:val="24"/>
                <w:szCs w:val="24"/>
              </w:rPr>
            </w:pPr>
            <w:r w:rsidRPr="008E63BB">
              <w:rPr>
                <w:sz w:val="24"/>
                <w:szCs w:val="24"/>
              </w:rPr>
              <w:t>m2/người</w:t>
            </w:r>
          </w:p>
        </w:tc>
        <w:tc>
          <w:tcPr>
            <w:tcW w:w="0" w:type="auto"/>
            <w:shd w:val="clear" w:color="auto" w:fill="auto"/>
            <w:noWrap/>
            <w:vAlign w:val="center"/>
            <w:hideMark/>
          </w:tcPr>
          <w:p w14:paraId="519B3290" w14:textId="77777777" w:rsidR="00E46C1D" w:rsidRPr="008E63BB" w:rsidRDefault="00E46C1D" w:rsidP="00E46C1D">
            <w:pPr>
              <w:jc w:val="center"/>
              <w:rPr>
                <w:sz w:val="24"/>
                <w:szCs w:val="24"/>
              </w:rPr>
            </w:pPr>
            <w:r w:rsidRPr="008E63BB">
              <w:rPr>
                <w:sz w:val="24"/>
                <w:szCs w:val="24"/>
              </w:rPr>
              <w:t>0,8</w:t>
            </w:r>
          </w:p>
        </w:tc>
        <w:tc>
          <w:tcPr>
            <w:tcW w:w="0" w:type="auto"/>
            <w:shd w:val="clear" w:color="auto" w:fill="auto"/>
            <w:noWrap/>
            <w:vAlign w:val="center"/>
            <w:hideMark/>
          </w:tcPr>
          <w:p w14:paraId="519B3291" w14:textId="77777777" w:rsidR="00E46C1D" w:rsidRPr="008E63BB" w:rsidRDefault="00E46C1D" w:rsidP="00E46C1D">
            <w:pPr>
              <w:jc w:val="center"/>
              <w:rPr>
                <w:sz w:val="24"/>
                <w:szCs w:val="24"/>
              </w:rPr>
            </w:pPr>
            <w:r w:rsidRPr="008E63BB">
              <w:rPr>
                <w:sz w:val="24"/>
                <w:szCs w:val="24"/>
              </w:rPr>
              <w:t>0,8</w:t>
            </w:r>
          </w:p>
        </w:tc>
      </w:tr>
      <w:tr w:rsidR="008D5BFE" w:rsidRPr="008E63BB" w14:paraId="519B3298" w14:textId="77777777" w:rsidTr="00E46C1D">
        <w:trPr>
          <w:trHeight w:val="315"/>
        </w:trPr>
        <w:tc>
          <w:tcPr>
            <w:tcW w:w="670" w:type="dxa"/>
            <w:vMerge/>
            <w:vAlign w:val="center"/>
            <w:hideMark/>
          </w:tcPr>
          <w:p w14:paraId="519B3293" w14:textId="77777777" w:rsidR="00E46C1D" w:rsidRPr="008E63BB" w:rsidRDefault="00E46C1D" w:rsidP="00E46C1D">
            <w:pPr>
              <w:jc w:val="left"/>
              <w:rPr>
                <w:sz w:val="24"/>
                <w:szCs w:val="24"/>
              </w:rPr>
            </w:pPr>
          </w:p>
        </w:tc>
        <w:tc>
          <w:tcPr>
            <w:tcW w:w="2565" w:type="dxa"/>
            <w:vMerge/>
            <w:vAlign w:val="center"/>
            <w:hideMark/>
          </w:tcPr>
          <w:p w14:paraId="519B3294" w14:textId="77777777" w:rsidR="00E46C1D" w:rsidRPr="008E63BB" w:rsidRDefault="00E46C1D" w:rsidP="00E46C1D">
            <w:pPr>
              <w:jc w:val="left"/>
              <w:rPr>
                <w:sz w:val="24"/>
                <w:szCs w:val="24"/>
              </w:rPr>
            </w:pPr>
          </w:p>
        </w:tc>
        <w:tc>
          <w:tcPr>
            <w:tcW w:w="2572" w:type="dxa"/>
            <w:shd w:val="clear" w:color="auto" w:fill="auto"/>
            <w:noWrap/>
            <w:vAlign w:val="center"/>
            <w:hideMark/>
          </w:tcPr>
          <w:p w14:paraId="519B3295" w14:textId="77777777" w:rsidR="00E46C1D" w:rsidRPr="008E63BB" w:rsidRDefault="00E46C1D" w:rsidP="00E46C1D">
            <w:pPr>
              <w:jc w:val="center"/>
              <w:rPr>
                <w:sz w:val="24"/>
                <w:szCs w:val="24"/>
              </w:rPr>
            </w:pPr>
            <w:r w:rsidRPr="008E63BB">
              <w:rPr>
                <w:sz w:val="24"/>
                <w:szCs w:val="24"/>
              </w:rPr>
              <w:t>ha/ công trình</w:t>
            </w:r>
          </w:p>
        </w:tc>
        <w:tc>
          <w:tcPr>
            <w:tcW w:w="0" w:type="auto"/>
            <w:shd w:val="clear" w:color="auto" w:fill="auto"/>
            <w:noWrap/>
            <w:vAlign w:val="center"/>
            <w:hideMark/>
          </w:tcPr>
          <w:p w14:paraId="519B3296" w14:textId="77777777" w:rsidR="00E46C1D" w:rsidRPr="008E63BB" w:rsidRDefault="00E46C1D" w:rsidP="00E46C1D">
            <w:pPr>
              <w:jc w:val="center"/>
              <w:rPr>
                <w:sz w:val="24"/>
                <w:szCs w:val="24"/>
              </w:rPr>
            </w:pPr>
            <w:r w:rsidRPr="008E63BB">
              <w:rPr>
                <w:sz w:val="24"/>
                <w:szCs w:val="24"/>
              </w:rPr>
              <w:t>2,5</w:t>
            </w:r>
          </w:p>
        </w:tc>
        <w:tc>
          <w:tcPr>
            <w:tcW w:w="0" w:type="auto"/>
            <w:shd w:val="clear" w:color="auto" w:fill="auto"/>
            <w:noWrap/>
            <w:vAlign w:val="center"/>
            <w:hideMark/>
          </w:tcPr>
          <w:p w14:paraId="519B3297" w14:textId="77777777" w:rsidR="00E46C1D" w:rsidRPr="008E63BB" w:rsidRDefault="00E46C1D" w:rsidP="00E46C1D">
            <w:pPr>
              <w:jc w:val="center"/>
              <w:rPr>
                <w:sz w:val="24"/>
                <w:szCs w:val="24"/>
              </w:rPr>
            </w:pPr>
            <w:r w:rsidRPr="008E63BB">
              <w:rPr>
                <w:sz w:val="24"/>
                <w:szCs w:val="24"/>
              </w:rPr>
              <w:t>2,5</w:t>
            </w:r>
          </w:p>
        </w:tc>
      </w:tr>
      <w:tr w:rsidR="008D5BFE" w:rsidRPr="008E63BB" w14:paraId="519B329E" w14:textId="77777777" w:rsidTr="00E46C1D">
        <w:trPr>
          <w:trHeight w:val="315"/>
        </w:trPr>
        <w:tc>
          <w:tcPr>
            <w:tcW w:w="670" w:type="dxa"/>
            <w:vMerge w:val="restart"/>
            <w:shd w:val="clear" w:color="auto" w:fill="auto"/>
            <w:noWrap/>
            <w:vAlign w:val="center"/>
            <w:hideMark/>
          </w:tcPr>
          <w:p w14:paraId="519B3299" w14:textId="77777777" w:rsidR="00E46C1D" w:rsidRPr="008E63BB" w:rsidRDefault="00E46C1D" w:rsidP="00E46C1D">
            <w:pPr>
              <w:jc w:val="center"/>
              <w:rPr>
                <w:sz w:val="24"/>
                <w:szCs w:val="24"/>
              </w:rPr>
            </w:pPr>
            <w:r w:rsidRPr="008E63BB">
              <w:rPr>
                <w:sz w:val="24"/>
                <w:szCs w:val="24"/>
              </w:rPr>
              <w:t> </w:t>
            </w:r>
          </w:p>
        </w:tc>
        <w:tc>
          <w:tcPr>
            <w:tcW w:w="2565" w:type="dxa"/>
            <w:vMerge w:val="restart"/>
            <w:shd w:val="clear" w:color="auto" w:fill="auto"/>
            <w:noWrap/>
            <w:vAlign w:val="center"/>
            <w:hideMark/>
          </w:tcPr>
          <w:p w14:paraId="519B329A" w14:textId="77777777" w:rsidR="00E46C1D" w:rsidRPr="008E63BB" w:rsidRDefault="00E46C1D" w:rsidP="00E46C1D">
            <w:pPr>
              <w:jc w:val="left"/>
              <w:rPr>
                <w:sz w:val="24"/>
                <w:szCs w:val="24"/>
              </w:rPr>
            </w:pPr>
            <w:r w:rsidRPr="008E63BB">
              <w:rPr>
                <w:sz w:val="24"/>
                <w:szCs w:val="24"/>
              </w:rPr>
              <w:t>Trung tâm TDTT</w:t>
            </w:r>
          </w:p>
        </w:tc>
        <w:tc>
          <w:tcPr>
            <w:tcW w:w="2572" w:type="dxa"/>
            <w:shd w:val="clear" w:color="auto" w:fill="auto"/>
            <w:noWrap/>
            <w:vAlign w:val="center"/>
            <w:hideMark/>
          </w:tcPr>
          <w:p w14:paraId="519B329B" w14:textId="77777777" w:rsidR="00E46C1D" w:rsidRPr="008E63BB" w:rsidRDefault="00E46C1D" w:rsidP="00E46C1D">
            <w:pPr>
              <w:jc w:val="center"/>
              <w:rPr>
                <w:sz w:val="24"/>
                <w:szCs w:val="24"/>
              </w:rPr>
            </w:pPr>
            <w:r w:rsidRPr="008E63BB">
              <w:rPr>
                <w:sz w:val="24"/>
                <w:szCs w:val="24"/>
              </w:rPr>
              <w:t>m2/người</w:t>
            </w:r>
          </w:p>
        </w:tc>
        <w:tc>
          <w:tcPr>
            <w:tcW w:w="0" w:type="auto"/>
            <w:shd w:val="clear" w:color="auto" w:fill="auto"/>
            <w:noWrap/>
            <w:vAlign w:val="center"/>
            <w:hideMark/>
          </w:tcPr>
          <w:p w14:paraId="519B329C" w14:textId="77777777" w:rsidR="00E46C1D" w:rsidRPr="008E63BB" w:rsidRDefault="00E46C1D" w:rsidP="00E46C1D">
            <w:pPr>
              <w:jc w:val="center"/>
              <w:rPr>
                <w:sz w:val="24"/>
                <w:szCs w:val="24"/>
              </w:rPr>
            </w:pPr>
            <w:r w:rsidRPr="008E63BB">
              <w:rPr>
                <w:sz w:val="24"/>
                <w:szCs w:val="24"/>
              </w:rPr>
              <w:t>0,8</w:t>
            </w:r>
          </w:p>
        </w:tc>
        <w:tc>
          <w:tcPr>
            <w:tcW w:w="0" w:type="auto"/>
            <w:shd w:val="clear" w:color="auto" w:fill="auto"/>
            <w:noWrap/>
            <w:vAlign w:val="center"/>
            <w:hideMark/>
          </w:tcPr>
          <w:p w14:paraId="519B329D" w14:textId="77777777" w:rsidR="00E46C1D" w:rsidRPr="008E63BB" w:rsidRDefault="00E46C1D" w:rsidP="00E46C1D">
            <w:pPr>
              <w:jc w:val="center"/>
              <w:rPr>
                <w:sz w:val="24"/>
                <w:szCs w:val="24"/>
              </w:rPr>
            </w:pPr>
            <w:r w:rsidRPr="008E63BB">
              <w:rPr>
                <w:sz w:val="24"/>
                <w:szCs w:val="24"/>
              </w:rPr>
              <w:t>0,8</w:t>
            </w:r>
          </w:p>
        </w:tc>
      </w:tr>
      <w:tr w:rsidR="008D5BFE" w:rsidRPr="008E63BB" w14:paraId="519B32A4" w14:textId="77777777" w:rsidTr="00E46C1D">
        <w:trPr>
          <w:trHeight w:val="315"/>
        </w:trPr>
        <w:tc>
          <w:tcPr>
            <w:tcW w:w="670" w:type="dxa"/>
            <w:vMerge/>
            <w:vAlign w:val="center"/>
            <w:hideMark/>
          </w:tcPr>
          <w:p w14:paraId="519B329F" w14:textId="77777777" w:rsidR="00E46C1D" w:rsidRPr="008E63BB" w:rsidRDefault="00E46C1D" w:rsidP="00E46C1D">
            <w:pPr>
              <w:jc w:val="left"/>
              <w:rPr>
                <w:sz w:val="24"/>
                <w:szCs w:val="24"/>
              </w:rPr>
            </w:pPr>
          </w:p>
        </w:tc>
        <w:tc>
          <w:tcPr>
            <w:tcW w:w="2565" w:type="dxa"/>
            <w:vMerge/>
            <w:vAlign w:val="center"/>
            <w:hideMark/>
          </w:tcPr>
          <w:p w14:paraId="519B32A0" w14:textId="77777777" w:rsidR="00E46C1D" w:rsidRPr="008E63BB" w:rsidRDefault="00E46C1D" w:rsidP="00E46C1D">
            <w:pPr>
              <w:jc w:val="left"/>
              <w:rPr>
                <w:sz w:val="24"/>
                <w:szCs w:val="24"/>
              </w:rPr>
            </w:pPr>
          </w:p>
        </w:tc>
        <w:tc>
          <w:tcPr>
            <w:tcW w:w="2572" w:type="dxa"/>
            <w:shd w:val="clear" w:color="auto" w:fill="auto"/>
            <w:noWrap/>
            <w:vAlign w:val="center"/>
            <w:hideMark/>
          </w:tcPr>
          <w:p w14:paraId="519B32A1" w14:textId="77777777" w:rsidR="00E46C1D" w:rsidRPr="008E63BB" w:rsidRDefault="00E46C1D" w:rsidP="00E46C1D">
            <w:pPr>
              <w:jc w:val="center"/>
              <w:rPr>
                <w:sz w:val="24"/>
                <w:szCs w:val="24"/>
              </w:rPr>
            </w:pPr>
            <w:r w:rsidRPr="008E63BB">
              <w:rPr>
                <w:sz w:val="24"/>
                <w:szCs w:val="24"/>
              </w:rPr>
              <w:t>ha/ công trình</w:t>
            </w:r>
          </w:p>
        </w:tc>
        <w:tc>
          <w:tcPr>
            <w:tcW w:w="0" w:type="auto"/>
            <w:shd w:val="clear" w:color="auto" w:fill="auto"/>
            <w:noWrap/>
            <w:vAlign w:val="center"/>
            <w:hideMark/>
          </w:tcPr>
          <w:p w14:paraId="519B32A2" w14:textId="77777777" w:rsidR="00E46C1D" w:rsidRPr="008E63BB" w:rsidRDefault="00E46C1D" w:rsidP="00E46C1D">
            <w:pPr>
              <w:jc w:val="center"/>
              <w:rPr>
                <w:sz w:val="24"/>
                <w:szCs w:val="24"/>
              </w:rPr>
            </w:pPr>
            <w:r w:rsidRPr="008E63BB">
              <w:rPr>
                <w:sz w:val="24"/>
                <w:szCs w:val="24"/>
              </w:rPr>
              <w:t>3,0</w:t>
            </w:r>
          </w:p>
        </w:tc>
        <w:tc>
          <w:tcPr>
            <w:tcW w:w="0" w:type="auto"/>
            <w:shd w:val="clear" w:color="auto" w:fill="auto"/>
            <w:noWrap/>
            <w:vAlign w:val="center"/>
            <w:hideMark/>
          </w:tcPr>
          <w:p w14:paraId="519B32A3" w14:textId="77777777" w:rsidR="00E46C1D" w:rsidRPr="008E63BB" w:rsidRDefault="00E46C1D" w:rsidP="00E46C1D">
            <w:pPr>
              <w:jc w:val="center"/>
              <w:rPr>
                <w:sz w:val="24"/>
                <w:szCs w:val="24"/>
              </w:rPr>
            </w:pPr>
            <w:r w:rsidRPr="008E63BB">
              <w:rPr>
                <w:sz w:val="24"/>
                <w:szCs w:val="24"/>
              </w:rPr>
              <w:t>3,0</w:t>
            </w:r>
          </w:p>
        </w:tc>
      </w:tr>
      <w:tr w:rsidR="008D5BFE" w:rsidRPr="008E63BB" w14:paraId="519B32AA" w14:textId="77777777" w:rsidTr="00E46C1D">
        <w:trPr>
          <w:trHeight w:val="315"/>
        </w:trPr>
        <w:tc>
          <w:tcPr>
            <w:tcW w:w="670" w:type="dxa"/>
            <w:vMerge w:val="restart"/>
            <w:shd w:val="clear" w:color="auto" w:fill="auto"/>
            <w:noWrap/>
            <w:vAlign w:val="center"/>
            <w:hideMark/>
          </w:tcPr>
          <w:p w14:paraId="519B32A5" w14:textId="77777777" w:rsidR="00E46C1D" w:rsidRPr="008E63BB" w:rsidRDefault="00E46C1D" w:rsidP="00E46C1D">
            <w:pPr>
              <w:jc w:val="center"/>
              <w:rPr>
                <w:sz w:val="24"/>
                <w:szCs w:val="24"/>
              </w:rPr>
            </w:pPr>
            <w:r w:rsidRPr="008E63BB">
              <w:rPr>
                <w:sz w:val="24"/>
                <w:szCs w:val="24"/>
              </w:rPr>
              <w:t> </w:t>
            </w:r>
          </w:p>
        </w:tc>
        <w:tc>
          <w:tcPr>
            <w:tcW w:w="2565" w:type="dxa"/>
            <w:vMerge w:val="restart"/>
            <w:shd w:val="clear" w:color="auto" w:fill="auto"/>
            <w:noWrap/>
            <w:vAlign w:val="center"/>
            <w:hideMark/>
          </w:tcPr>
          <w:p w14:paraId="519B32A6" w14:textId="77777777" w:rsidR="00E46C1D" w:rsidRPr="008E63BB" w:rsidRDefault="00E46C1D" w:rsidP="00E46C1D">
            <w:pPr>
              <w:jc w:val="left"/>
              <w:rPr>
                <w:sz w:val="24"/>
                <w:szCs w:val="24"/>
              </w:rPr>
            </w:pPr>
            <w:r w:rsidRPr="008E63BB">
              <w:rPr>
                <w:sz w:val="24"/>
                <w:szCs w:val="24"/>
              </w:rPr>
              <w:t>Sân thể thao cơ bản</w:t>
            </w:r>
          </w:p>
        </w:tc>
        <w:tc>
          <w:tcPr>
            <w:tcW w:w="2572" w:type="dxa"/>
            <w:shd w:val="clear" w:color="auto" w:fill="auto"/>
            <w:noWrap/>
            <w:vAlign w:val="center"/>
            <w:hideMark/>
          </w:tcPr>
          <w:p w14:paraId="519B32A7" w14:textId="77777777" w:rsidR="00E46C1D" w:rsidRPr="008E63BB" w:rsidRDefault="00E46C1D" w:rsidP="00E46C1D">
            <w:pPr>
              <w:jc w:val="center"/>
              <w:rPr>
                <w:sz w:val="24"/>
                <w:szCs w:val="24"/>
              </w:rPr>
            </w:pPr>
            <w:r w:rsidRPr="008E63BB">
              <w:rPr>
                <w:sz w:val="24"/>
                <w:szCs w:val="24"/>
              </w:rPr>
              <w:t>m2/người</w:t>
            </w:r>
          </w:p>
        </w:tc>
        <w:tc>
          <w:tcPr>
            <w:tcW w:w="0" w:type="auto"/>
            <w:shd w:val="clear" w:color="auto" w:fill="auto"/>
            <w:noWrap/>
            <w:vAlign w:val="center"/>
            <w:hideMark/>
          </w:tcPr>
          <w:p w14:paraId="519B32A8" w14:textId="77777777" w:rsidR="00E46C1D" w:rsidRPr="008E63BB" w:rsidRDefault="00E46C1D" w:rsidP="00E46C1D">
            <w:pPr>
              <w:jc w:val="center"/>
              <w:rPr>
                <w:sz w:val="24"/>
                <w:szCs w:val="24"/>
              </w:rPr>
            </w:pPr>
            <w:r w:rsidRPr="008E63BB">
              <w:rPr>
                <w:sz w:val="24"/>
                <w:szCs w:val="24"/>
              </w:rPr>
              <w:t>0,6</w:t>
            </w:r>
          </w:p>
        </w:tc>
        <w:tc>
          <w:tcPr>
            <w:tcW w:w="0" w:type="auto"/>
            <w:shd w:val="clear" w:color="auto" w:fill="auto"/>
            <w:noWrap/>
            <w:vAlign w:val="center"/>
            <w:hideMark/>
          </w:tcPr>
          <w:p w14:paraId="519B32A9" w14:textId="77777777" w:rsidR="00E46C1D" w:rsidRPr="008E63BB" w:rsidRDefault="00E46C1D" w:rsidP="00E46C1D">
            <w:pPr>
              <w:jc w:val="center"/>
              <w:rPr>
                <w:sz w:val="24"/>
                <w:szCs w:val="24"/>
              </w:rPr>
            </w:pPr>
            <w:r w:rsidRPr="008E63BB">
              <w:rPr>
                <w:sz w:val="24"/>
                <w:szCs w:val="24"/>
              </w:rPr>
              <w:t>0,6</w:t>
            </w:r>
          </w:p>
        </w:tc>
      </w:tr>
      <w:tr w:rsidR="008D5BFE" w:rsidRPr="008E63BB" w14:paraId="519B32B0" w14:textId="77777777" w:rsidTr="00E46C1D">
        <w:trPr>
          <w:trHeight w:val="315"/>
        </w:trPr>
        <w:tc>
          <w:tcPr>
            <w:tcW w:w="670" w:type="dxa"/>
            <w:vMerge/>
            <w:vAlign w:val="center"/>
            <w:hideMark/>
          </w:tcPr>
          <w:p w14:paraId="519B32AB" w14:textId="77777777" w:rsidR="00E46C1D" w:rsidRPr="008E63BB" w:rsidRDefault="00E46C1D" w:rsidP="00E46C1D">
            <w:pPr>
              <w:jc w:val="left"/>
              <w:rPr>
                <w:sz w:val="24"/>
                <w:szCs w:val="24"/>
              </w:rPr>
            </w:pPr>
          </w:p>
        </w:tc>
        <w:tc>
          <w:tcPr>
            <w:tcW w:w="2565" w:type="dxa"/>
            <w:vMerge/>
            <w:vAlign w:val="center"/>
            <w:hideMark/>
          </w:tcPr>
          <w:p w14:paraId="519B32AC" w14:textId="77777777" w:rsidR="00E46C1D" w:rsidRPr="008E63BB" w:rsidRDefault="00E46C1D" w:rsidP="00E46C1D">
            <w:pPr>
              <w:jc w:val="left"/>
              <w:rPr>
                <w:sz w:val="24"/>
                <w:szCs w:val="24"/>
              </w:rPr>
            </w:pPr>
          </w:p>
        </w:tc>
        <w:tc>
          <w:tcPr>
            <w:tcW w:w="2572" w:type="dxa"/>
            <w:shd w:val="clear" w:color="auto" w:fill="auto"/>
            <w:noWrap/>
            <w:vAlign w:val="center"/>
            <w:hideMark/>
          </w:tcPr>
          <w:p w14:paraId="519B32AD" w14:textId="77777777" w:rsidR="00E46C1D" w:rsidRPr="008E63BB" w:rsidRDefault="00E46C1D" w:rsidP="00E46C1D">
            <w:pPr>
              <w:jc w:val="center"/>
              <w:rPr>
                <w:sz w:val="24"/>
                <w:szCs w:val="24"/>
              </w:rPr>
            </w:pPr>
            <w:r w:rsidRPr="008E63BB">
              <w:rPr>
                <w:sz w:val="24"/>
                <w:szCs w:val="24"/>
              </w:rPr>
              <w:t>ha/ công trình</w:t>
            </w:r>
          </w:p>
        </w:tc>
        <w:tc>
          <w:tcPr>
            <w:tcW w:w="0" w:type="auto"/>
            <w:shd w:val="clear" w:color="auto" w:fill="auto"/>
            <w:noWrap/>
            <w:vAlign w:val="center"/>
            <w:hideMark/>
          </w:tcPr>
          <w:p w14:paraId="519B32AE" w14:textId="77777777" w:rsidR="00E46C1D" w:rsidRPr="008E63BB" w:rsidRDefault="00E46C1D" w:rsidP="00E46C1D">
            <w:pPr>
              <w:jc w:val="center"/>
              <w:rPr>
                <w:sz w:val="24"/>
                <w:szCs w:val="24"/>
              </w:rPr>
            </w:pPr>
            <w:r w:rsidRPr="008E63BB">
              <w:rPr>
                <w:sz w:val="24"/>
                <w:szCs w:val="24"/>
              </w:rPr>
              <w:t>1,0</w:t>
            </w:r>
          </w:p>
        </w:tc>
        <w:tc>
          <w:tcPr>
            <w:tcW w:w="0" w:type="auto"/>
            <w:shd w:val="clear" w:color="auto" w:fill="auto"/>
            <w:noWrap/>
            <w:vAlign w:val="center"/>
            <w:hideMark/>
          </w:tcPr>
          <w:p w14:paraId="519B32AF" w14:textId="77777777" w:rsidR="00E46C1D" w:rsidRPr="008E63BB" w:rsidRDefault="00E46C1D" w:rsidP="00E46C1D">
            <w:pPr>
              <w:jc w:val="center"/>
              <w:rPr>
                <w:sz w:val="24"/>
                <w:szCs w:val="24"/>
              </w:rPr>
            </w:pPr>
            <w:r w:rsidRPr="008E63BB">
              <w:rPr>
                <w:sz w:val="24"/>
                <w:szCs w:val="24"/>
              </w:rPr>
              <w:t>1,0</w:t>
            </w:r>
          </w:p>
        </w:tc>
      </w:tr>
      <w:tr w:rsidR="008D5BFE" w:rsidRPr="008E63BB" w14:paraId="519B32B6" w14:textId="77777777" w:rsidTr="00E46C1D">
        <w:trPr>
          <w:trHeight w:val="315"/>
        </w:trPr>
        <w:tc>
          <w:tcPr>
            <w:tcW w:w="670" w:type="dxa"/>
            <w:shd w:val="clear" w:color="auto" w:fill="auto"/>
            <w:noWrap/>
            <w:vAlign w:val="center"/>
            <w:hideMark/>
          </w:tcPr>
          <w:p w14:paraId="519B32B1" w14:textId="77777777" w:rsidR="00E46C1D" w:rsidRPr="008E63BB" w:rsidRDefault="00E46C1D" w:rsidP="00E46C1D">
            <w:pPr>
              <w:jc w:val="center"/>
              <w:rPr>
                <w:i/>
                <w:iCs/>
                <w:sz w:val="24"/>
                <w:szCs w:val="24"/>
              </w:rPr>
            </w:pPr>
            <w:r w:rsidRPr="008E63BB">
              <w:rPr>
                <w:i/>
                <w:iCs/>
                <w:sz w:val="24"/>
                <w:szCs w:val="24"/>
              </w:rPr>
              <w:t>2.4</w:t>
            </w:r>
          </w:p>
        </w:tc>
        <w:tc>
          <w:tcPr>
            <w:tcW w:w="2565" w:type="dxa"/>
            <w:shd w:val="clear" w:color="auto" w:fill="auto"/>
            <w:noWrap/>
            <w:vAlign w:val="center"/>
            <w:hideMark/>
          </w:tcPr>
          <w:p w14:paraId="519B32B2" w14:textId="77777777" w:rsidR="00E46C1D" w:rsidRPr="008E63BB" w:rsidRDefault="00E46C1D" w:rsidP="00E46C1D">
            <w:pPr>
              <w:jc w:val="left"/>
              <w:rPr>
                <w:i/>
                <w:iCs/>
                <w:sz w:val="24"/>
                <w:szCs w:val="24"/>
              </w:rPr>
            </w:pPr>
            <w:r w:rsidRPr="008E63BB">
              <w:rPr>
                <w:i/>
                <w:iCs/>
                <w:sz w:val="24"/>
                <w:szCs w:val="24"/>
              </w:rPr>
              <w:t>Chợ</w:t>
            </w:r>
          </w:p>
        </w:tc>
        <w:tc>
          <w:tcPr>
            <w:tcW w:w="2572" w:type="dxa"/>
            <w:shd w:val="clear" w:color="auto" w:fill="auto"/>
            <w:noWrap/>
            <w:vAlign w:val="center"/>
            <w:hideMark/>
          </w:tcPr>
          <w:p w14:paraId="519B32B3" w14:textId="77777777" w:rsidR="00E46C1D" w:rsidRPr="008E63BB" w:rsidRDefault="00E46C1D" w:rsidP="00E46C1D">
            <w:pPr>
              <w:jc w:val="center"/>
              <w:rPr>
                <w:sz w:val="24"/>
                <w:szCs w:val="24"/>
              </w:rPr>
            </w:pPr>
            <w:r w:rsidRPr="008E63BB">
              <w:rPr>
                <w:sz w:val="24"/>
                <w:szCs w:val="24"/>
              </w:rPr>
              <w:t>ha/ công trình</w:t>
            </w:r>
          </w:p>
        </w:tc>
        <w:tc>
          <w:tcPr>
            <w:tcW w:w="0" w:type="auto"/>
            <w:shd w:val="clear" w:color="auto" w:fill="auto"/>
            <w:noWrap/>
            <w:vAlign w:val="center"/>
            <w:hideMark/>
          </w:tcPr>
          <w:p w14:paraId="519B32B4" w14:textId="77777777" w:rsidR="00E46C1D" w:rsidRPr="008E63BB" w:rsidRDefault="00E46C1D" w:rsidP="00E46C1D">
            <w:pPr>
              <w:jc w:val="center"/>
              <w:rPr>
                <w:sz w:val="24"/>
                <w:szCs w:val="24"/>
              </w:rPr>
            </w:pPr>
            <w:r w:rsidRPr="008E63BB">
              <w:rPr>
                <w:sz w:val="24"/>
                <w:szCs w:val="24"/>
              </w:rPr>
              <w:t>2,5</w:t>
            </w:r>
          </w:p>
        </w:tc>
        <w:tc>
          <w:tcPr>
            <w:tcW w:w="0" w:type="auto"/>
            <w:shd w:val="clear" w:color="auto" w:fill="auto"/>
            <w:noWrap/>
            <w:vAlign w:val="center"/>
            <w:hideMark/>
          </w:tcPr>
          <w:p w14:paraId="519B32B5" w14:textId="77777777" w:rsidR="00E46C1D" w:rsidRPr="008E63BB" w:rsidRDefault="00E46C1D" w:rsidP="00E46C1D">
            <w:pPr>
              <w:jc w:val="center"/>
              <w:rPr>
                <w:sz w:val="24"/>
                <w:szCs w:val="24"/>
              </w:rPr>
            </w:pPr>
            <w:r w:rsidRPr="008E63BB">
              <w:rPr>
                <w:sz w:val="24"/>
                <w:szCs w:val="24"/>
              </w:rPr>
              <w:t>2,5</w:t>
            </w:r>
          </w:p>
        </w:tc>
      </w:tr>
      <w:tr w:rsidR="008D5BFE" w:rsidRPr="008E63BB" w14:paraId="519B32BC" w14:textId="77777777" w:rsidTr="00E46C1D">
        <w:trPr>
          <w:trHeight w:val="315"/>
        </w:trPr>
        <w:tc>
          <w:tcPr>
            <w:tcW w:w="670" w:type="dxa"/>
            <w:shd w:val="clear" w:color="auto" w:fill="auto"/>
            <w:noWrap/>
            <w:vAlign w:val="center"/>
            <w:hideMark/>
          </w:tcPr>
          <w:p w14:paraId="519B32B7" w14:textId="77777777" w:rsidR="00E46C1D" w:rsidRPr="008E63BB" w:rsidRDefault="00E46C1D" w:rsidP="00E46C1D">
            <w:pPr>
              <w:jc w:val="left"/>
              <w:rPr>
                <w:sz w:val="24"/>
                <w:szCs w:val="24"/>
              </w:rPr>
            </w:pPr>
            <w:r w:rsidRPr="008E63BB">
              <w:rPr>
                <w:sz w:val="24"/>
                <w:szCs w:val="24"/>
              </w:rPr>
              <w:t> </w:t>
            </w:r>
          </w:p>
        </w:tc>
        <w:tc>
          <w:tcPr>
            <w:tcW w:w="2565" w:type="dxa"/>
            <w:shd w:val="clear" w:color="auto" w:fill="auto"/>
            <w:noWrap/>
            <w:vAlign w:val="center"/>
            <w:hideMark/>
          </w:tcPr>
          <w:p w14:paraId="519B32B8" w14:textId="77777777" w:rsidR="00E46C1D" w:rsidRPr="008E63BB" w:rsidRDefault="00E46C1D" w:rsidP="00E46C1D">
            <w:pPr>
              <w:jc w:val="left"/>
              <w:rPr>
                <w:sz w:val="24"/>
                <w:szCs w:val="24"/>
              </w:rPr>
            </w:pPr>
            <w:r w:rsidRPr="008E63BB">
              <w:rPr>
                <w:sz w:val="24"/>
                <w:szCs w:val="24"/>
              </w:rPr>
              <w:t>Chợ đô thị</w:t>
            </w:r>
          </w:p>
        </w:tc>
        <w:tc>
          <w:tcPr>
            <w:tcW w:w="2572" w:type="dxa"/>
            <w:shd w:val="clear" w:color="auto" w:fill="auto"/>
            <w:noWrap/>
            <w:vAlign w:val="center"/>
            <w:hideMark/>
          </w:tcPr>
          <w:p w14:paraId="519B32B9" w14:textId="77777777" w:rsidR="00E46C1D" w:rsidRPr="008E63BB" w:rsidRDefault="00E46C1D" w:rsidP="00E46C1D">
            <w:pPr>
              <w:jc w:val="center"/>
              <w:rPr>
                <w:sz w:val="24"/>
                <w:szCs w:val="24"/>
              </w:rPr>
            </w:pPr>
            <w:r w:rsidRPr="008E63BB">
              <w:rPr>
                <w:sz w:val="24"/>
                <w:szCs w:val="24"/>
              </w:rPr>
              <w:t>ha/ công trình</w:t>
            </w:r>
          </w:p>
        </w:tc>
        <w:tc>
          <w:tcPr>
            <w:tcW w:w="0" w:type="auto"/>
            <w:shd w:val="clear" w:color="auto" w:fill="auto"/>
            <w:noWrap/>
            <w:vAlign w:val="center"/>
            <w:hideMark/>
          </w:tcPr>
          <w:p w14:paraId="519B32BA" w14:textId="77777777" w:rsidR="00E46C1D" w:rsidRPr="008E63BB" w:rsidRDefault="00E46C1D" w:rsidP="00E46C1D">
            <w:pPr>
              <w:jc w:val="center"/>
              <w:rPr>
                <w:sz w:val="24"/>
                <w:szCs w:val="24"/>
              </w:rPr>
            </w:pPr>
            <w:r w:rsidRPr="008E63BB">
              <w:rPr>
                <w:sz w:val="24"/>
                <w:szCs w:val="24"/>
              </w:rPr>
              <w:t>1</w:t>
            </w:r>
          </w:p>
        </w:tc>
        <w:tc>
          <w:tcPr>
            <w:tcW w:w="0" w:type="auto"/>
            <w:shd w:val="clear" w:color="auto" w:fill="auto"/>
            <w:noWrap/>
            <w:vAlign w:val="center"/>
            <w:hideMark/>
          </w:tcPr>
          <w:p w14:paraId="519B32BB" w14:textId="77777777" w:rsidR="00E46C1D" w:rsidRPr="008E63BB" w:rsidRDefault="00E46C1D" w:rsidP="00E46C1D">
            <w:pPr>
              <w:jc w:val="center"/>
              <w:rPr>
                <w:sz w:val="24"/>
                <w:szCs w:val="24"/>
              </w:rPr>
            </w:pPr>
            <w:r w:rsidRPr="008E63BB">
              <w:rPr>
                <w:sz w:val="24"/>
                <w:szCs w:val="24"/>
              </w:rPr>
              <w:t>1</w:t>
            </w:r>
          </w:p>
        </w:tc>
      </w:tr>
      <w:tr w:rsidR="008D5BFE" w:rsidRPr="008E63BB" w14:paraId="519B32C2" w14:textId="77777777" w:rsidTr="00E46C1D">
        <w:trPr>
          <w:trHeight w:val="315"/>
        </w:trPr>
        <w:tc>
          <w:tcPr>
            <w:tcW w:w="670" w:type="dxa"/>
            <w:shd w:val="clear" w:color="auto" w:fill="auto"/>
            <w:noWrap/>
            <w:vAlign w:val="center"/>
            <w:hideMark/>
          </w:tcPr>
          <w:p w14:paraId="519B32BD" w14:textId="77777777" w:rsidR="00E46C1D" w:rsidRPr="008E63BB" w:rsidRDefault="00E46C1D" w:rsidP="00E46C1D">
            <w:pPr>
              <w:jc w:val="left"/>
              <w:rPr>
                <w:sz w:val="24"/>
                <w:szCs w:val="24"/>
              </w:rPr>
            </w:pPr>
            <w:r w:rsidRPr="008E63BB">
              <w:rPr>
                <w:sz w:val="24"/>
                <w:szCs w:val="24"/>
              </w:rPr>
              <w:t>2.5</w:t>
            </w:r>
          </w:p>
        </w:tc>
        <w:tc>
          <w:tcPr>
            <w:tcW w:w="2565" w:type="dxa"/>
            <w:shd w:val="clear" w:color="auto" w:fill="auto"/>
            <w:noWrap/>
            <w:hideMark/>
          </w:tcPr>
          <w:p w14:paraId="519B32BE" w14:textId="77777777" w:rsidR="00E46C1D" w:rsidRPr="008E63BB" w:rsidRDefault="00E46C1D" w:rsidP="00E46C1D">
            <w:pPr>
              <w:rPr>
                <w:sz w:val="24"/>
                <w:szCs w:val="24"/>
              </w:rPr>
            </w:pPr>
            <w:r w:rsidRPr="008E63BB">
              <w:rPr>
                <w:sz w:val="24"/>
                <w:szCs w:val="24"/>
              </w:rPr>
              <w:t>Văn hoá</w:t>
            </w:r>
          </w:p>
        </w:tc>
        <w:tc>
          <w:tcPr>
            <w:tcW w:w="2572" w:type="dxa"/>
            <w:shd w:val="clear" w:color="auto" w:fill="auto"/>
            <w:noWrap/>
            <w:vAlign w:val="center"/>
            <w:hideMark/>
          </w:tcPr>
          <w:p w14:paraId="519B32BF" w14:textId="77777777" w:rsidR="00E46C1D" w:rsidRPr="008E63BB" w:rsidRDefault="00E46C1D" w:rsidP="00E46C1D">
            <w:pPr>
              <w:jc w:val="center"/>
              <w:rPr>
                <w:sz w:val="24"/>
                <w:szCs w:val="24"/>
              </w:rPr>
            </w:pPr>
          </w:p>
        </w:tc>
        <w:tc>
          <w:tcPr>
            <w:tcW w:w="0" w:type="auto"/>
            <w:shd w:val="clear" w:color="auto" w:fill="auto"/>
            <w:noWrap/>
            <w:vAlign w:val="center"/>
            <w:hideMark/>
          </w:tcPr>
          <w:p w14:paraId="519B32C0" w14:textId="77777777" w:rsidR="00E46C1D" w:rsidRPr="008E63BB" w:rsidRDefault="00E46C1D" w:rsidP="00E46C1D">
            <w:pPr>
              <w:jc w:val="center"/>
              <w:rPr>
                <w:sz w:val="24"/>
                <w:szCs w:val="24"/>
              </w:rPr>
            </w:pPr>
          </w:p>
        </w:tc>
        <w:tc>
          <w:tcPr>
            <w:tcW w:w="0" w:type="auto"/>
            <w:shd w:val="clear" w:color="auto" w:fill="auto"/>
            <w:noWrap/>
            <w:vAlign w:val="center"/>
            <w:hideMark/>
          </w:tcPr>
          <w:p w14:paraId="519B32C1" w14:textId="77777777" w:rsidR="00E46C1D" w:rsidRPr="008E63BB" w:rsidRDefault="00E46C1D" w:rsidP="00E46C1D">
            <w:pPr>
              <w:jc w:val="center"/>
              <w:rPr>
                <w:sz w:val="24"/>
                <w:szCs w:val="24"/>
              </w:rPr>
            </w:pPr>
          </w:p>
        </w:tc>
      </w:tr>
      <w:tr w:rsidR="008D5BFE" w:rsidRPr="008E63BB" w14:paraId="519B32C8" w14:textId="77777777" w:rsidTr="00E46C1D">
        <w:trPr>
          <w:trHeight w:val="315"/>
        </w:trPr>
        <w:tc>
          <w:tcPr>
            <w:tcW w:w="670" w:type="dxa"/>
            <w:shd w:val="clear" w:color="auto" w:fill="auto"/>
            <w:noWrap/>
            <w:vAlign w:val="center"/>
            <w:hideMark/>
          </w:tcPr>
          <w:p w14:paraId="519B32C3" w14:textId="77777777" w:rsidR="00E46C1D" w:rsidRPr="008E63BB" w:rsidRDefault="00E46C1D" w:rsidP="00E46C1D">
            <w:pPr>
              <w:jc w:val="left"/>
              <w:rPr>
                <w:sz w:val="24"/>
                <w:szCs w:val="24"/>
              </w:rPr>
            </w:pPr>
          </w:p>
        </w:tc>
        <w:tc>
          <w:tcPr>
            <w:tcW w:w="2565" w:type="dxa"/>
            <w:shd w:val="clear" w:color="auto" w:fill="auto"/>
            <w:noWrap/>
            <w:hideMark/>
          </w:tcPr>
          <w:p w14:paraId="519B32C4" w14:textId="77777777" w:rsidR="00E46C1D" w:rsidRPr="008E63BB" w:rsidRDefault="00E46C1D" w:rsidP="00E46C1D">
            <w:pPr>
              <w:rPr>
                <w:sz w:val="24"/>
                <w:szCs w:val="24"/>
              </w:rPr>
            </w:pPr>
            <w:r w:rsidRPr="008E63BB">
              <w:rPr>
                <w:sz w:val="24"/>
                <w:szCs w:val="24"/>
              </w:rPr>
              <w:t>a. Thư viện</w:t>
            </w:r>
          </w:p>
        </w:tc>
        <w:tc>
          <w:tcPr>
            <w:tcW w:w="2572" w:type="dxa"/>
            <w:shd w:val="clear" w:color="auto" w:fill="auto"/>
            <w:noWrap/>
            <w:hideMark/>
          </w:tcPr>
          <w:p w14:paraId="519B32C5" w14:textId="77777777" w:rsidR="00E46C1D" w:rsidRPr="008E63BB" w:rsidRDefault="00E46C1D" w:rsidP="00E46C1D">
            <w:pPr>
              <w:jc w:val="center"/>
              <w:rPr>
                <w:sz w:val="24"/>
                <w:szCs w:val="24"/>
              </w:rPr>
            </w:pPr>
            <w:r w:rsidRPr="008E63BB">
              <w:rPr>
                <w:sz w:val="24"/>
                <w:szCs w:val="24"/>
              </w:rPr>
              <w:t>ha/công trình</w:t>
            </w:r>
          </w:p>
        </w:tc>
        <w:tc>
          <w:tcPr>
            <w:tcW w:w="0" w:type="auto"/>
            <w:shd w:val="clear" w:color="auto" w:fill="auto"/>
            <w:noWrap/>
            <w:hideMark/>
          </w:tcPr>
          <w:p w14:paraId="519B32C6" w14:textId="77777777" w:rsidR="00E46C1D" w:rsidRPr="008E63BB" w:rsidRDefault="00E46C1D" w:rsidP="00E46C1D">
            <w:pPr>
              <w:jc w:val="center"/>
              <w:rPr>
                <w:sz w:val="24"/>
                <w:szCs w:val="24"/>
              </w:rPr>
            </w:pPr>
            <w:r w:rsidRPr="008E63BB">
              <w:rPr>
                <w:sz w:val="24"/>
                <w:szCs w:val="24"/>
              </w:rPr>
              <w:t>0,5</w:t>
            </w:r>
          </w:p>
        </w:tc>
        <w:tc>
          <w:tcPr>
            <w:tcW w:w="0" w:type="auto"/>
            <w:shd w:val="clear" w:color="auto" w:fill="auto"/>
            <w:noWrap/>
            <w:hideMark/>
          </w:tcPr>
          <w:p w14:paraId="519B32C7" w14:textId="77777777" w:rsidR="00E46C1D" w:rsidRPr="008E63BB" w:rsidRDefault="00E46C1D" w:rsidP="00E46C1D">
            <w:pPr>
              <w:jc w:val="center"/>
              <w:rPr>
                <w:sz w:val="24"/>
                <w:szCs w:val="24"/>
              </w:rPr>
            </w:pPr>
            <w:r w:rsidRPr="008E63BB">
              <w:rPr>
                <w:sz w:val="24"/>
                <w:szCs w:val="24"/>
              </w:rPr>
              <w:t>0,5</w:t>
            </w:r>
          </w:p>
        </w:tc>
      </w:tr>
      <w:tr w:rsidR="008D5BFE" w:rsidRPr="008E63BB" w14:paraId="519B32CE" w14:textId="77777777" w:rsidTr="00E46C1D">
        <w:trPr>
          <w:trHeight w:val="315"/>
        </w:trPr>
        <w:tc>
          <w:tcPr>
            <w:tcW w:w="670" w:type="dxa"/>
            <w:shd w:val="clear" w:color="auto" w:fill="auto"/>
            <w:noWrap/>
            <w:vAlign w:val="center"/>
            <w:hideMark/>
          </w:tcPr>
          <w:p w14:paraId="519B32C9" w14:textId="77777777" w:rsidR="00E46C1D" w:rsidRPr="008E63BB" w:rsidRDefault="00E46C1D" w:rsidP="00E46C1D">
            <w:pPr>
              <w:jc w:val="left"/>
              <w:rPr>
                <w:sz w:val="24"/>
                <w:szCs w:val="24"/>
              </w:rPr>
            </w:pPr>
          </w:p>
        </w:tc>
        <w:tc>
          <w:tcPr>
            <w:tcW w:w="2565" w:type="dxa"/>
            <w:shd w:val="clear" w:color="auto" w:fill="auto"/>
            <w:noWrap/>
            <w:hideMark/>
          </w:tcPr>
          <w:p w14:paraId="519B32CA" w14:textId="77777777" w:rsidR="00E46C1D" w:rsidRPr="008E63BB" w:rsidRDefault="00E46C1D" w:rsidP="00E46C1D">
            <w:pPr>
              <w:rPr>
                <w:sz w:val="24"/>
                <w:szCs w:val="24"/>
              </w:rPr>
            </w:pPr>
            <w:r w:rsidRPr="008E63BB">
              <w:rPr>
                <w:sz w:val="24"/>
                <w:szCs w:val="24"/>
              </w:rPr>
              <w:t>b. Bảo tàng</w:t>
            </w:r>
          </w:p>
        </w:tc>
        <w:tc>
          <w:tcPr>
            <w:tcW w:w="2572" w:type="dxa"/>
            <w:shd w:val="clear" w:color="auto" w:fill="auto"/>
            <w:noWrap/>
            <w:hideMark/>
          </w:tcPr>
          <w:p w14:paraId="519B32CB" w14:textId="77777777" w:rsidR="00E46C1D" w:rsidRPr="008E63BB" w:rsidRDefault="00E46C1D" w:rsidP="00E46C1D">
            <w:pPr>
              <w:jc w:val="center"/>
              <w:rPr>
                <w:sz w:val="24"/>
                <w:szCs w:val="24"/>
              </w:rPr>
            </w:pPr>
            <w:r w:rsidRPr="008E63BB">
              <w:rPr>
                <w:sz w:val="24"/>
                <w:szCs w:val="24"/>
              </w:rPr>
              <w:t>ha/công trình</w:t>
            </w:r>
          </w:p>
        </w:tc>
        <w:tc>
          <w:tcPr>
            <w:tcW w:w="0" w:type="auto"/>
            <w:shd w:val="clear" w:color="auto" w:fill="auto"/>
            <w:noWrap/>
            <w:hideMark/>
          </w:tcPr>
          <w:p w14:paraId="519B32CC" w14:textId="77777777" w:rsidR="00E46C1D" w:rsidRPr="008E63BB" w:rsidRDefault="00E46C1D" w:rsidP="00E46C1D">
            <w:pPr>
              <w:jc w:val="center"/>
              <w:rPr>
                <w:sz w:val="24"/>
                <w:szCs w:val="24"/>
              </w:rPr>
            </w:pPr>
            <w:r w:rsidRPr="008E63BB">
              <w:rPr>
                <w:sz w:val="24"/>
                <w:szCs w:val="24"/>
              </w:rPr>
              <w:t xml:space="preserve">1,0 </w:t>
            </w:r>
          </w:p>
        </w:tc>
        <w:tc>
          <w:tcPr>
            <w:tcW w:w="0" w:type="auto"/>
            <w:shd w:val="clear" w:color="auto" w:fill="auto"/>
            <w:noWrap/>
            <w:hideMark/>
          </w:tcPr>
          <w:p w14:paraId="519B32CD" w14:textId="77777777" w:rsidR="00E46C1D" w:rsidRPr="008E63BB" w:rsidRDefault="00E46C1D" w:rsidP="00E46C1D">
            <w:pPr>
              <w:jc w:val="center"/>
              <w:rPr>
                <w:sz w:val="24"/>
                <w:szCs w:val="24"/>
              </w:rPr>
            </w:pPr>
            <w:r w:rsidRPr="008E63BB">
              <w:rPr>
                <w:sz w:val="24"/>
                <w:szCs w:val="24"/>
              </w:rPr>
              <w:t xml:space="preserve">1,0 </w:t>
            </w:r>
          </w:p>
        </w:tc>
      </w:tr>
      <w:tr w:rsidR="008D5BFE" w:rsidRPr="008E63BB" w14:paraId="519B32D4" w14:textId="77777777" w:rsidTr="00E46C1D">
        <w:trPr>
          <w:trHeight w:val="315"/>
        </w:trPr>
        <w:tc>
          <w:tcPr>
            <w:tcW w:w="670" w:type="dxa"/>
            <w:shd w:val="clear" w:color="auto" w:fill="auto"/>
            <w:noWrap/>
            <w:vAlign w:val="center"/>
            <w:hideMark/>
          </w:tcPr>
          <w:p w14:paraId="519B32CF" w14:textId="77777777" w:rsidR="00E46C1D" w:rsidRPr="008E63BB" w:rsidRDefault="00E46C1D" w:rsidP="00E46C1D">
            <w:pPr>
              <w:jc w:val="left"/>
              <w:rPr>
                <w:sz w:val="24"/>
                <w:szCs w:val="24"/>
              </w:rPr>
            </w:pPr>
          </w:p>
        </w:tc>
        <w:tc>
          <w:tcPr>
            <w:tcW w:w="2565" w:type="dxa"/>
            <w:shd w:val="clear" w:color="auto" w:fill="auto"/>
            <w:noWrap/>
            <w:hideMark/>
          </w:tcPr>
          <w:p w14:paraId="519B32D0" w14:textId="77777777" w:rsidR="00E46C1D" w:rsidRPr="008E63BB" w:rsidRDefault="00E46C1D" w:rsidP="00E46C1D">
            <w:pPr>
              <w:rPr>
                <w:sz w:val="24"/>
                <w:szCs w:val="24"/>
              </w:rPr>
            </w:pPr>
            <w:r w:rsidRPr="008E63BB">
              <w:rPr>
                <w:sz w:val="24"/>
                <w:szCs w:val="24"/>
              </w:rPr>
              <w:t>c. Triển lãm</w:t>
            </w:r>
          </w:p>
        </w:tc>
        <w:tc>
          <w:tcPr>
            <w:tcW w:w="2572" w:type="dxa"/>
            <w:shd w:val="clear" w:color="auto" w:fill="auto"/>
            <w:noWrap/>
            <w:hideMark/>
          </w:tcPr>
          <w:p w14:paraId="519B32D1" w14:textId="77777777" w:rsidR="00E46C1D" w:rsidRPr="008E63BB" w:rsidRDefault="00E46C1D" w:rsidP="00E46C1D">
            <w:pPr>
              <w:jc w:val="center"/>
              <w:rPr>
                <w:sz w:val="24"/>
                <w:szCs w:val="24"/>
              </w:rPr>
            </w:pPr>
            <w:r w:rsidRPr="008E63BB">
              <w:rPr>
                <w:sz w:val="24"/>
                <w:szCs w:val="24"/>
              </w:rPr>
              <w:t>ha/công trình</w:t>
            </w:r>
          </w:p>
        </w:tc>
        <w:tc>
          <w:tcPr>
            <w:tcW w:w="0" w:type="auto"/>
            <w:shd w:val="clear" w:color="auto" w:fill="auto"/>
            <w:noWrap/>
            <w:hideMark/>
          </w:tcPr>
          <w:p w14:paraId="519B32D2" w14:textId="77777777" w:rsidR="00E46C1D" w:rsidRPr="008E63BB" w:rsidRDefault="00E46C1D" w:rsidP="00E46C1D">
            <w:pPr>
              <w:jc w:val="center"/>
              <w:rPr>
                <w:sz w:val="24"/>
                <w:szCs w:val="24"/>
              </w:rPr>
            </w:pPr>
            <w:r w:rsidRPr="008E63BB">
              <w:rPr>
                <w:sz w:val="24"/>
                <w:szCs w:val="24"/>
              </w:rPr>
              <w:t>1,0</w:t>
            </w:r>
          </w:p>
        </w:tc>
        <w:tc>
          <w:tcPr>
            <w:tcW w:w="0" w:type="auto"/>
            <w:shd w:val="clear" w:color="auto" w:fill="auto"/>
            <w:noWrap/>
            <w:hideMark/>
          </w:tcPr>
          <w:p w14:paraId="519B32D3" w14:textId="77777777" w:rsidR="00E46C1D" w:rsidRPr="008E63BB" w:rsidRDefault="00E46C1D" w:rsidP="00E46C1D">
            <w:pPr>
              <w:jc w:val="center"/>
              <w:rPr>
                <w:sz w:val="24"/>
                <w:szCs w:val="24"/>
              </w:rPr>
            </w:pPr>
            <w:r w:rsidRPr="008E63BB">
              <w:rPr>
                <w:sz w:val="24"/>
                <w:szCs w:val="24"/>
              </w:rPr>
              <w:t>1,0</w:t>
            </w:r>
          </w:p>
        </w:tc>
      </w:tr>
      <w:tr w:rsidR="008D5BFE" w:rsidRPr="008E63BB" w14:paraId="519B32DA" w14:textId="77777777" w:rsidTr="00E46C1D">
        <w:trPr>
          <w:trHeight w:val="315"/>
        </w:trPr>
        <w:tc>
          <w:tcPr>
            <w:tcW w:w="670" w:type="dxa"/>
            <w:shd w:val="clear" w:color="auto" w:fill="auto"/>
            <w:noWrap/>
            <w:vAlign w:val="center"/>
            <w:hideMark/>
          </w:tcPr>
          <w:p w14:paraId="519B32D5" w14:textId="77777777" w:rsidR="00E46C1D" w:rsidRPr="008E63BB" w:rsidRDefault="00E46C1D" w:rsidP="00E46C1D">
            <w:pPr>
              <w:jc w:val="left"/>
              <w:rPr>
                <w:sz w:val="24"/>
                <w:szCs w:val="24"/>
              </w:rPr>
            </w:pPr>
          </w:p>
        </w:tc>
        <w:tc>
          <w:tcPr>
            <w:tcW w:w="2565" w:type="dxa"/>
            <w:shd w:val="clear" w:color="auto" w:fill="auto"/>
            <w:noWrap/>
            <w:hideMark/>
          </w:tcPr>
          <w:p w14:paraId="519B32D6" w14:textId="77777777" w:rsidR="00E46C1D" w:rsidRPr="008E63BB" w:rsidRDefault="00E46C1D" w:rsidP="00E46C1D">
            <w:pPr>
              <w:rPr>
                <w:sz w:val="24"/>
                <w:szCs w:val="24"/>
              </w:rPr>
            </w:pPr>
            <w:r w:rsidRPr="008E63BB">
              <w:rPr>
                <w:sz w:val="24"/>
                <w:szCs w:val="24"/>
              </w:rPr>
              <w:t>d. Nhà hát</w:t>
            </w:r>
          </w:p>
        </w:tc>
        <w:tc>
          <w:tcPr>
            <w:tcW w:w="2572" w:type="dxa"/>
            <w:shd w:val="clear" w:color="auto" w:fill="auto"/>
            <w:noWrap/>
            <w:hideMark/>
          </w:tcPr>
          <w:p w14:paraId="41E32ADF" w14:textId="77777777" w:rsidR="00CF6DD8" w:rsidRPr="008E63BB" w:rsidRDefault="00E46C1D" w:rsidP="00E46C1D">
            <w:pPr>
              <w:jc w:val="center"/>
              <w:rPr>
                <w:sz w:val="24"/>
                <w:szCs w:val="24"/>
              </w:rPr>
            </w:pPr>
            <w:r w:rsidRPr="008E63BB">
              <w:rPr>
                <w:sz w:val="24"/>
                <w:szCs w:val="24"/>
              </w:rPr>
              <w:t xml:space="preserve">số chỗ/1000người </w:t>
            </w:r>
          </w:p>
          <w:p w14:paraId="519B32D7" w14:textId="3B4ADBE8" w:rsidR="00E46C1D" w:rsidRPr="008E63BB" w:rsidRDefault="00E46C1D" w:rsidP="00E46C1D">
            <w:pPr>
              <w:jc w:val="center"/>
              <w:rPr>
                <w:sz w:val="24"/>
                <w:szCs w:val="24"/>
              </w:rPr>
            </w:pPr>
            <w:r w:rsidRPr="008E63BB">
              <w:rPr>
                <w:sz w:val="24"/>
                <w:szCs w:val="24"/>
              </w:rPr>
              <w:t>(ha/1 ctrình)</w:t>
            </w:r>
          </w:p>
        </w:tc>
        <w:tc>
          <w:tcPr>
            <w:tcW w:w="0" w:type="auto"/>
            <w:shd w:val="clear" w:color="auto" w:fill="auto"/>
            <w:noWrap/>
            <w:hideMark/>
          </w:tcPr>
          <w:p w14:paraId="519B32D8" w14:textId="77777777" w:rsidR="00E46C1D" w:rsidRPr="008E63BB" w:rsidRDefault="00E46C1D" w:rsidP="00E46C1D">
            <w:pPr>
              <w:jc w:val="center"/>
              <w:rPr>
                <w:sz w:val="24"/>
                <w:szCs w:val="24"/>
              </w:rPr>
            </w:pPr>
            <w:r w:rsidRPr="008E63BB">
              <w:rPr>
                <w:sz w:val="24"/>
                <w:szCs w:val="24"/>
              </w:rPr>
              <w:t>5 (1,0)</w:t>
            </w:r>
          </w:p>
        </w:tc>
        <w:tc>
          <w:tcPr>
            <w:tcW w:w="0" w:type="auto"/>
            <w:shd w:val="clear" w:color="auto" w:fill="auto"/>
            <w:noWrap/>
            <w:hideMark/>
          </w:tcPr>
          <w:p w14:paraId="519B32D9" w14:textId="77777777" w:rsidR="00E46C1D" w:rsidRPr="008E63BB" w:rsidRDefault="00E46C1D" w:rsidP="00E46C1D">
            <w:pPr>
              <w:jc w:val="center"/>
              <w:rPr>
                <w:sz w:val="24"/>
                <w:szCs w:val="24"/>
              </w:rPr>
            </w:pPr>
            <w:r w:rsidRPr="008E63BB">
              <w:rPr>
                <w:sz w:val="24"/>
                <w:szCs w:val="24"/>
              </w:rPr>
              <w:t>5 (1,0)</w:t>
            </w:r>
          </w:p>
        </w:tc>
      </w:tr>
      <w:tr w:rsidR="008D5BFE" w:rsidRPr="008E63BB" w14:paraId="519B32E0" w14:textId="77777777" w:rsidTr="00E46C1D">
        <w:trPr>
          <w:trHeight w:val="96"/>
        </w:trPr>
        <w:tc>
          <w:tcPr>
            <w:tcW w:w="670" w:type="dxa"/>
            <w:shd w:val="clear" w:color="auto" w:fill="auto"/>
            <w:noWrap/>
            <w:vAlign w:val="center"/>
            <w:hideMark/>
          </w:tcPr>
          <w:p w14:paraId="519B32DB" w14:textId="77777777" w:rsidR="00E46C1D" w:rsidRPr="008E63BB" w:rsidRDefault="00E46C1D" w:rsidP="00E46C1D">
            <w:pPr>
              <w:jc w:val="left"/>
              <w:rPr>
                <w:sz w:val="24"/>
                <w:szCs w:val="24"/>
              </w:rPr>
            </w:pPr>
          </w:p>
        </w:tc>
        <w:tc>
          <w:tcPr>
            <w:tcW w:w="2565" w:type="dxa"/>
            <w:shd w:val="clear" w:color="auto" w:fill="auto"/>
            <w:noWrap/>
            <w:hideMark/>
          </w:tcPr>
          <w:p w14:paraId="519B32DC" w14:textId="77777777" w:rsidR="00E46C1D" w:rsidRPr="008E63BB" w:rsidRDefault="00E46C1D" w:rsidP="00E46C1D">
            <w:pPr>
              <w:rPr>
                <w:sz w:val="24"/>
                <w:szCs w:val="24"/>
              </w:rPr>
            </w:pPr>
            <w:r w:rsidRPr="008E63BB">
              <w:rPr>
                <w:sz w:val="24"/>
                <w:szCs w:val="24"/>
              </w:rPr>
              <w:t>e. Cung văn hoá</w:t>
            </w:r>
          </w:p>
        </w:tc>
        <w:tc>
          <w:tcPr>
            <w:tcW w:w="2572" w:type="dxa"/>
            <w:shd w:val="clear" w:color="auto" w:fill="auto"/>
            <w:noWrap/>
            <w:hideMark/>
          </w:tcPr>
          <w:p w14:paraId="2263747F" w14:textId="77777777" w:rsidR="00CF6DD8" w:rsidRPr="008E63BB" w:rsidRDefault="00E46C1D" w:rsidP="00E46C1D">
            <w:pPr>
              <w:jc w:val="center"/>
              <w:rPr>
                <w:sz w:val="24"/>
                <w:szCs w:val="24"/>
              </w:rPr>
            </w:pPr>
            <w:r w:rsidRPr="008E63BB">
              <w:rPr>
                <w:sz w:val="24"/>
                <w:szCs w:val="24"/>
              </w:rPr>
              <w:t xml:space="preserve">số chỗ/1000người </w:t>
            </w:r>
          </w:p>
          <w:p w14:paraId="519B32DD" w14:textId="42F093D0" w:rsidR="00E46C1D" w:rsidRPr="008E63BB" w:rsidRDefault="00E46C1D" w:rsidP="00E46C1D">
            <w:pPr>
              <w:jc w:val="center"/>
              <w:rPr>
                <w:sz w:val="24"/>
                <w:szCs w:val="24"/>
              </w:rPr>
            </w:pPr>
            <w:r w:rsidRPr="008E63BB">
              <w:rPr>
                <w:sz w:val="24"/>
                <w:szCs w:val="24"/>
              </w:rPr>
              <w:t>(ha/1 ctrình)</w:t>
            </w:r>
          </w:p>
        </w:tc>
        <w:tc>
          <w:tcPr>
            <w:tcW w:w="0" w:type="auto"/>
            <w:shd w:val="clear" w:color="auto" w:fill="auto"/>
            <w:noWrap/>
            <w:hideMark/>
          </w:tcPr>
          <w:p w14:paraId="519B32DE" w14:textId="77777777" w:rsidR="00E46C1D" w:rsidRPr="008E63BB" w:rsidRDefault="00E46C1D" w:rsidP="00E46C1D">
            <w:pPr>
              <w:jc w:val="center"/>
              <w:rPr>
                <w:sz w:val="24"/>
                <w:szCs w:val="24"/>
              </w:rPr>
            </w:pPr>
            <w:r w:rsidRPr="008E63BB">
              <w:rPr>
                <w:sz w:val="24"/>
                <w:szCs w:val="24"/>
              </w:rPr>
              <w:t>8 (0,5)</w:t>
            </w:r>
          </w:p>
        </w:tc>
        <w:tc>
          <w:tcPr>
            <w:tcW w:w="0" w:type="auto"/>
            <w:shd w:val="clear" w:color="auto" w:fill="auto"/>
            <w:noWrap/>
            <w:hideMark/>
          </w:tcPr>
          <w:p w14:paraId="519B32DF" w14:textId="77777777" w:rsidR="00E46C1D" w:rsidRPr="008E63BB" w:rsidRDefault="00E46C1D" w:rsidP="00E46C1D">
            <w:pPr>
              <w:jc w:val="center"/>
              <w:rPr>
                <w:sz w:val="24"/>
                <w:szCs w:val="24"/>
              </w:rPr>
            </w:pPr>
            <w:r w:rsidRPr="008E63BB">
              <w:rPr>
                <w:sz w:val="24"/>
                <w:szCs w:val="24"/>
              </w:rPr>
              <w:t>8 (0,5)</w:t>
            </w:r>
          </w:p>
        </w:tc>
      </w:tr>
      <w:tr w:rsidR="008D5BFE" w:rsidRPr="008E63BB" w14:paraId="519B32E6" w14:textId="77777777" w:rsidTr="00E46C1D">
        <w:trPr>
          <w:trHeight w:val="315"/>
        </w:trPr>
        <w:tc>
          <w:tcPr>
            <w:tcW w:w="670" w:type="dxa"/>
            <w:shd w:val="clear" w:color="auto" w:fill="auto"/>
            <w:noWrap/>
            <w:vAlign w:val="center"/>
            <w:hideMark/>
          </w:tcPr>
          <w:p w14:paraId="519B32E1" w14:textId="77777777" w:rsidR="00E46C1D" w:rsidRPr="008E63BB" w:rsidRDefault="00E46C1D" w:rsidP="00E46C1D">
            <w:pPr>
              <w:jc w:val="left"/>
              <w:rPr>
                <w:sz w:val="24"/>
                <w:szCs w:val="24"/>
              </w:rPr>
            </w:pPr>
          </w:p>
        </w:tc>
        <w:tc>
          <w:tcPr>
            <w:tcW w:w="2565" w:type="dxa"/>
            <w:shd w:val="clear" w:color="auto" w:fill="auto"/>
            <w:noWrap/>
            <w:hideMark/>
          </w:tcPr>
          <w:p w14:paraId="519B32E2" w14:textId="77777777" w:rsidR="00E46C1D" w:rsidRPr="008E63BB" w:rsidRDefault="00E46C1D" w:rsidP="00E46C1D">
            <w:pPr>
              <w:rPr>
                <w:sz w:val="24"/>
                <w:szCs w:val="24"/>
              </w:rPr>
            </w:pPr>
            <w:r w:rsidRPr="008E63BB">
              <w:rPr>
                <w:sz w:val="24"/>
                <w:szCs w:val="24"/>
              </w:rPr>
              <w:t>g. Rạp xiếc</w:t>
            </w:r>
          </w:p>
        </w:tc>
        <w:tc>
          <w:tcPr>
            <w:tcW w:w="2572" w:type="dxa"/>
            <w:shd w:val="clear" w:color="auto" w:fill="auto"/>
            <w:noWrap/>
            <w:hideMark/>
          </w:tcPr>
          <w:p w14:paraId="267A60F0" w14:textId="77777777" w:rsidR="00CF6DD8" w:rsidRPr="008E63BB" w:rsidRDefault="00E46C1D" w:rsidP="00E46C1D">
            <w:pPr>
              <w:jc w:val="center"/>
              <w:rPr>
                <w:sz w:val="24"/>
                <w:szCs w:val="24"/>
              </w:rPr>
            </w:pPr>
            <w:r w:rsidRPr="008E63BB">
              <w:rPr>
                <w:sz w:val="24"/>
                <w:szCs w:val="24"/>
              </w:rPr>
              <w:t xml:space="preserve">số chỗ/1000người </w:t>
            </w:r>
          </w:p>
          <w:p w14:paraId="519B32E3" w14:textId="5C78EF1F" w:rsidR="00E46C1D" w:rsidRPr="008E63BB" w:rsidRDefault="00E46C1D" w:rsidP="00E46C1D">
            <w:pPr>
              <w:jc w:val="center"/>
              <w:rPr>
                <w:sz w:val="24"/>
                <w:szCs w:val="24"/>
              </w:rPr>
            </w:pPr>
            <w:r w:rsidRPr="008E63BB">
              <w:rPr>
                <w:sz w:val="24"/>
                <w:szCs w:val="24"/>
              </w:rPr>
              <w:t>(ha/1 ctrình)</w:t>
            </w:r>
          </w:p>
        </w:tc>
        <w:tc>
          <w:tcPr>
            <w:tcW w:w="0" w:type="auto"/>
            <w:shd w:val="clear" w:color="auto" w:fill="auto"/>
            <w:noWrap/>
            <w:hideMark/>
          </w:tcPr>
          <w:p w14:paraId="519B32E4" w14:textId="77777777" w:rsidR="00E46C1D" w:rsidRPr="008E63BB" w:rsidRDefault="00E46C1D" w:rsidP="00E46C1D">
            <w:pPr>
              <w:jc w:val="center"/>
              <w:rPr>
                <w:sz w:val="24"/>
                <w:szCs w:val="24"/>
              </w:rPr>
            </w:pPr>
            <w:r w:rsidRPr="008E63BB">
              <w:rPr>
                <w:sz w:val="24"/>
                <w:szCs w:val="24"/>
              </w:rPr>
              <w:t>3 (0,7)</w:t>
            </w:r>
          </w:p>
        </w:tc>
        <w:tc>
          <w:tcPr>
            <w:tcW w:w="0" w:type="auto"/>
            <w:shd w:val="clear" w:color="auto" w:fill="auto"/>
            <w:noWrap/>
            <w:hideMark/>
          </w:tcPr>
          <w:p w14:paraId="519B32E5" w14:textId="77777777" w:rsidR="00E46C1D" w:rsidRPr="008E63BB" w:rsidRDefault="00E46C1D" w:rsidP="00E46C1D">
            <w:pPr>
              <w:jc w:val="center"/>
              <w:rPr>
                <w:sz w:val="24"/>
                <w:szCs w:val="24"/>
              </w:rPr>
            </w:pPr>
            <w:r w:rsidRPr="008E63BB">
              <w:rPr>
                <w:sz w:val="24"/>
                <w:szCs w:val="24"/>
              </w:rPr>
              <w:t>3 (0,7)</w:t>
            </w:r>
          </w:p>
        </w:tc>
      </w:tr>
      <w:tr w:rsidR="008D5BFE" w:rsidRPr="008E63BB" w14:paraId="519B32EC" w14:textId="77777777" w:rsidTr="00E46C1D">
        <w:trPr>
          <w:trHeight w:val="315"/>
        </w:trPr>
        <w:tc>
          <w:tcPr>
            <w:tcW w:w="670" w:type="dxa"/>
            <w:shd w:val="clear" w:color="auto" w:fill="auto"/>
            <w:noWrap/>
            <w:vAlign w:val="center"/>
            <w:hideMark/>
          </w:tcPr>
          <w:p w14:paraId="519B32E7" w14:textId="77777777" w:rsidR="00E46C1D" w:rsidRPr="008E63BB" w:rsidRDefault="00E46C1D" w:rsidP="00E46C1D">
            <w:pPr>
              <w:jc w:val="left"/>
              <w:rPr>
                <w:sz w:val="24"/>
                <w:szCs w:val="24"/>
              </w:rPr>
            </w:pPr>
          </w:p>
        </w:tc>
        <w:tc>
          <w:tcPr>
            <w:tcW w:w="2565" w:type="dxa"/>
            <w:shd w:val="clear" w:color="auto" w:fill="auto"/>
            <w:noWrap/>
            <w:hideMark/>
          </w:tcPr>
          <w:p w14:paraId="519B32E8" w14:textId="77777777" w:rsidR="00E46C1D" w:rsidRPr="008E63BB" w:rsidRDefault="00E46C1D" w:rsidP="00E46C1D">
            <w:pPr>
              <w:rPr>
                <w:sz w:val="24"/>
                <w:szCs w:val="24"/>
              </w:rPr>
            </w:pPr>
            <w:r w:rsidRPr="008E63BB">
              <w:rPr>
                <w:sz w:val="24"/>
                <w:szCs w:val="24"/>
              </w:rPr>
              <w:t>h. Cung thiếu nhi</w:t>
            </w:r>
          </w:p>
        </w:tc>
        <w:tc>
          <w:tcPr>
            <w:tcW w:w="2572" w:type="dxa"/>
            <w:shd w:val="clear" w:color="auto" w:fill="auto"/>
            <w:noWrap/>
            <w:hideMark/>
          </w:tcPr>
          <w:p w14:paraId="68581BA3" w14:textId="77777777" w:rsidR="00CF6DD8" w:rsidRPr="008E63BB" w:rsidRDefault="00E46C1D" w:rsidP="00E46C1D">
            <w:pPr>
              <w:jc w:val="center"/>
              <w:rPr>
                <w:sz w:val="24"/>
                <w:szCs w:val="24"/>
              </w:rPr>
            </w:pPr>
            <w:r w:rsidRPr="008E63BB">
              <w:rPr>
                <w:sz w:val="24"/>
                <w:szCs w:val="24"/>
              </w:rPr>
              <w:t xml:space="preserve">số chỗ/1000người </w:t>
            </w:r>
          </w:p>
          <w:p w14:paraId="519B32E9" w14:textId="3FE5A783" w:rsidR="00E46C1D" w:rsidRPr="008E63BB" w:rsidRDefault="00E46C1D" w:rsidP="00E46C1D">
            <w:pPr>
              <w:jc w:val="center"/>
              <w:rPr>
                <w:sz w:val="24"/>
                <w:szCs w:val="24"/>
              </w:rPr>
            </w:pPr>
            <w:r w:rsidRPr="008E63BB">
              <w:rPr>
                <w:sz w:val="24"/>
                <w:szCs w:val="24"/>
              </w:rPr>
              <w:t>(ha/1 ctrình)</w:t>
            </w:r>
          </w:p>
        </w:tc>
        <w:tc>
          <w:tcPr>
            <w:tcW w:w="0" w:type="auto"/>
            <w:shd w:val="clear" w:color="auto" w:fill="auto"/>
            <w:noWrap/>
            <w:hideMark/>
          </w:tcPr>
          <w:p w14:paraId="519B32EA" w14:textId="77777777" w:rsidR="00E46C1D" w:rsidRPr="008E63BB" w:rsidRDefault="00E46C1D" w:rsidP="00E46C1D">
            <w:pPr>
              <w:jc w:val="center"/>
              <w:rPr>
                <w:sz w:val="24"/>
                <w:szCs w:val="24"/>
              </w:rPr>
            </w:pPr>
            <w:r w:rsidRPr="008E63BB">
              <w:rPr>
                <w:sz w:val="24"/>
                <w:szCs w:val="24"/>
              </w:rPr>
              <w:t>2 (1,0)</w:t>
            </w:r>
          </w:p>
        </w:tc>
        <w:tc>
          <w:tcPr>
            <w:tcW w:w="0" w:type="auto"/>
            <w:shd w:val="clear" w:color="auto" w:fill="auto"/>
            <w:noWrap/>
            <w:hideMark/>
          </w:tcPr>
          <w:p w14:paraId="519B32EB" w14:textId="77777777" w:rsidR="00E46C1D" w:rsidRPr="008E63BB" w:rsidRDefault="00E46C1D" w:rsidP="00E46C1D">
            <w:pPr>
              <w:jc w:val="center"/>
              <w:rPr>
                <w:sz w:val="24"/>
                <w:szCs w:val="24"/>
              </w:rPr>
            </w:pPr>
            <w:r w:rsidRPr="008E63BB">
              <w:rPr>
                <w:sz w:val="24"/>
                <w:szCs w:val="24"/>
              </w:rPr>
              <w:t>2 (1,0)</w:t>
            </w:r>
          </w:p>
        </w:tc>
      </w:tr>
      <w:tr w:rsidR="008D5BFE" w:rsidRPr="008E63BB" w14:paraId="519B32F2" w14:textId="77777777" w:rsidTr="00E46C1D">
        <w:trPr>
          <w:trHeight w:val="315"/>
        </w:trPr>
        <w:tc>
          <w:tcPr>
            <w:tcW w:w="670" w:type="dxa"/>
            <w:shd w:val="clear" w:color="auto" w:fill="auto"/>
            <w:noWrap/>
            <w:vAlign w:val="center"/>
            <w:hideMark/>
          </w:tcPr>
          <w:p w14:paraId="519B32ED" w14:textId="77777777" w:rsidR="00E46C1D" w:rsidRPr="008E63BB" w:rsidRDefault="00E46C1D" w:rsidP="00E46C1D">
            <w:pPr>
              <w:jc w:val="center"/>
              <w:rPr>
                <w:b/>
                <w:bCs/>
                <w:sz w:val="24"/>
                <w:szCs w:val="24"/>
              </w:rPr>
            </w:pPr>
            <w:r w:rsidRPr="008E63BB">
              <w:rPr>
                <w:b/>
                <w:bCs/>
                <w:sz w:val="24"/>
                <w:szCs w:val="24"/>
              </w:rPr>
              <w:t>3</w:t>
            </w:r>
          </w:p>
        </w:tc>
        <w:tc>
          <w:tcPr>
            <w:tcW w:w="2565" w:type="dxa"/>
            <w:shd w:val="clear" w:color="auto" w:fill="auto"/>
            <w:noWrap/>
            <w:vAlign w:val="center"/>
            <w:hideMark/>
          </w:tcPr>
          <w:p w14:paraId="519B32EE" w14:textId="77777777" w:rsidR="00E46C1D" w:rsidRPr="008E63BB" w:rsidRDefault="00E46C1D" w:rsidP="00E46C1D">
            <w:pPr>
              <w:jc w:val="left"/>
              <w:rPr>
                <w:b/>
                <w:bCs/>
                <w:sz w:val="24"/>
                <w:szCs w:val="24"/>
              </w:rPr>
            </w:pPr>
            <w:r w:rsidRPr="008E63BB">
              <w:rPr>
                <w:b/>
                <w:bCs/>
                <w:sz w:val="24"/>
                <w:szCs w:val="24"/>
              </w:rPr>
              <w:t>Hạ tầng kỹ thuật</w:t>
            </w:r>
          </w:p>
        </w:tc>
        <w:tc>
          <w:tcPr>
            <w:tcW w:w="2572" w:type="dxa"/>
            <w:shd w:val="clear" w:color="auto" w:fill="auto"/>
            <w:noWrap/>
            <w:vAlign w:val="center"/>
            <w:hideMark/>
          </w:tcPr>
          <w:p w14:paraId="519B32EF" w14:textId="77777777" w:rsidR="00E46C1D" w:rsidRPr="008E63BB" w:rsidRDefault="00E46C1D" w:rsidP="00E46C1D">
            <w:pPr>
              <w:jc w:val="center"/>
              <w:rPr>
                <w:b/>
                <w:bCs/>
                <w:sz w:val="24"/>
                <w:szCs w:val="24"/>
              </w:rPr>
            </w:pPr>
            <w:r w:rsidRPr="008E63BB">
              <w:rPr>
                <w:b/>
                <w:bCs/>
                <w:sz w:val="24"/>
                <w:szCs w:val="24"/>
              </w:rPr>
              <w:t> </w:t>
            </w:r>
          </w:p>
        </w:tc>
        <w:tc>
          <w:tcPr>
            <w:tcW w:w="0" w:type="auto"/>
            <w:shd w:val="clear" w:color="auto" w:fill="auto"/>
            <w:noWrap/>
            <w:vAlign w:val="center"/>
            <w:hideMark/>
          </w:tcPr>
          <w:p w14:paraId="519B32F0" w14:textId="77777777" w:rsidR="00E46C1D" w:rsidRPr="008E63BB" w:rsidRDefault="00E46C1D" w:rsidP="00E46C1D">
            <w:pPr>
              <w:jc w:val="center"/>
              <w:rPr>
                <w:b/>
                <w:bCs/>
                <w:sz w:val="24"/>
                <w:szCs w:val="24"/>
              </w:rPr>
            </w:pPr>
            <w:r w:rsidRPr="008E63BB">
              <w:rPr>
                <w:b/>
                <w:bCs/>
                <w:sz w:val="24"/>
                <w:szCs w:val="24"/>
              </w:rPr>
              <w:t> </w:t>
            </w:r>
          </w:p>
        </w:tc>
        <w:tc>
          <w:tcPr>
            <w:tcW w:w="0" w:type="auto"/>
            <w:shd w:val="clear" w:color="auto" w:fill="auto"/>
            <w:noWrap/>
            <w:vAlign w:val="center"/>
            <w:hideMark/>
          </w:tcPr>
          <w:p w14:paraId="519B32F1" w14:textId="77777777" w:rsidR="00E46C1D" w:rsidRPr="008E63BB" w:rsidRDefault="00E46C1D" w:rsidP="00E46C1D">
            <w:pPr>
              <w:jc w:val="center"/>
              <w:rPr>
                <w:b/>
                <w:bCs/>
                <w:sz w:val="24"/>
                <w:szCs w:val="24"/>
              </w:rPr>
            </w:pPr>
            <w:r w:rsidRPr="008E63BB">
              <w:rPr>
                <w:b/>
                <w:bCs/>
                <w:sz w:val="24"/>
                <w:szCs w:val="24"/>
              </w:rPr>
              <w:t> </w:t>
            </w:r>
          </w:p>
        </w:tc>
      </w:tr>
      <w:tr w:rsidR="008D5BFE" w:rsidRPr="008E63BB" w14:paraId="519B32F8" w14:textId="77777777" w:rsidTr="00E46C1D">
        <w:trPr>
          <w:trHeight w:val="315"/>
        </w:trPr>
        <w:tc>
          <w:tcPr>
            <w:tcW w:w="670" w:type="dxa"/>
            <w:shd w:val="clear" w:color="auto" w:fill="auto"/>
            <w:noWrap/>
            <w:vAlign w:val="center"/>
            <w:hideMark/>
          </w:tcPr>
          <w:p w14:paraId="519B32F3" w14:textId="77777777" w:rsidR="00E46C1D" w:rsidRPr="008E63BB" w:rsidRDefault="00E46C1D" w:rsidP="00E46C1D">
            <w:pPr>
              <w:jc w:val="center"/>
              <w:rPr>
                <w:sz w:val="24"/>
                <w:szCs w:val="24"/>
              </w:rPr>
            </w:pPr>
            <w:r w:rsidRPr="008E63BB">
              <w:rPr>
                <w:sz w:val="24"/>
                <w:szCs w:val="24"/>
              </w:rPr>
              <w:t>3.1</w:t>
            </w:r>
          </w:p>
        </w:tc>
        <w:tc>
          <w:tcPr>
            <w:tcW w:w="2565" w:type="dxa"/>
            <w:shd w:val="clear" w:color="auto" w:fill="auto"/>
            <w:noWrap/>
            <w:vAlign w:val="center"/>
            <w:hideMark/>
          </w:tcPr>
          <w:p w14:paraId="519B32F4" w14:textId="77777777" w:rsidR="00E46C1D" w:rsidRPr="008E63BB" w:rsidRDefault="00E46C1D" w:rsidP="00E46C1D">
            <w:pPr>
              <w:jc w:val="left"/>
              <w:rPr>
                <w:sz w:val="24"/>
                <w:szCs w:val="24"/>
              </w:rPr>
            </w:pPr>
            <w:r w:rsidRPr="008E63BB">
              <w:rPr>
                <w:sz w:val="24"/>
                <w:szCs w:val="24"/>
              </w:rPr>
              <w:t>Giao thông</w:t>
            </w:r>
          </w:p>
        </w:tc>
        <w:tc>
          <w:tcPr>
            <w:tcW w:w="2572" w:type="dxa"/>
            <w:shd w:val="clear" w:color="auto" w:fill="auto"/>
            <w:noWrap/>
            <w:vAlign w:val="center"/>
            <w:hideMark/>
          </w:tcPr>
          <w:p w14:paraId="519B32F5"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2F6"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2F7" w14:textId="77777777" w:rsidR="00E46C1D" w:rsidRPr="008E63BB" w:rsidRDefault="00E46C1D" w:rsidP="00E46C1D">
            <w:pPr>
              <w:jc w:val="center"/>
              <w:rPr>
                <w:sz w:val="24"/>
                <w:szCs w:val="24"/>
              </w:rPr>
            </w:pPr>
            <w:r w:rsidRPr="008E63BB">
              <w:rPr>
                <w:sz w:val="24"/>
                <w:szCs w:val="24"/>
              </w:rPr>
              <w:t> </w:t>
            </w:r>
          </w:p>
        </w:tc>
      </w:tr>
      <w:tr w:rsidR="00E63C68" w:rsidRPr="008E63BB" w14:paraId="519B32FE" w14:textId="77777777" w:rsidTr="00E46C1D">
        <w:trPr>
          <w:trHeight w:val="156"/>
        </w:trPr>
        <w:tc>
          <w:tcPr>
            <w:tcW w:w="670" w:type="dxa"/>
            <w:shd w:val="clear" w:color="auto" w:fill="auto"/>
            <w:noWrap/>
            <w:vAlign w:val="center"/>
            <w:hideMark/>
          </w:tcPr>
          <w:p w14:paraId="519B32F9" w14:textId="77777777" w:rsidR="00E63C68" w:rsidRPr="008E63BB" w:rsidRDefault="00E63C68" w:rsidP="00E63C68">
            <w:pPr>
              <w:jc w:val="center"/>
              <w:rPr>
                <w:sz w:val="24"/>
                <w:szCs w:val="24"/>
              </w:rPr>
            </w:pPr>
            <w:r w:rsidRPr="008E63BB">
              <w:rPr>
                <w:sz w:val="24"/>
                <w:szCs w:val="24"/>
              </w:rPr>
              <w:lastRenderedPageBreak/>
              <w:t> </w:t>
            </w:r>
          </w:p>
        </w:tc>
        <w:tc>
          <w:tcPr>
            <w:tcW w:w="2565" w:type="dxa"/>
            <w:shd w:val="clear" w:color="auto" w:fill="auto"/>
            <w:vAlign w:val="center"/>
            <w:hideMark/>
          </w:tcPr>
          <w:p w14:paraId="519B32FA" w14:textId="77777777" w:rsidR="00E63C68" w:rsidRPr="008E63BB" w:rsidRDefault="00E63C68" w:rsidP="00E63C68">
            <w:pPr>
              <w:jc w:val="left"/>
              <w:rPr>
                <w:sz w:val="24"/>
                <w:szCs w:val="24"/>
              </w:rPr>
            </w:pPr>
            <w:r w:rsidRPr="008E63BB">
              <w:rPr>
                <w:sz w:val="24"/>
                <w:szCs w:val="24"/>
              </w:rPr>
              <w:t xml:space="preserve">Tỷ lệ đất giao thông </w:t>
            </w:r>
          </w:p>
        </w:tc>
        <w:tc>
          <w:tcPr>
            <w:tcW w:w="2572" w:type="dxa"/>
            <w:shd w:val="clear" w:color="auto" w:fill="auto"/>
            <w:vAlign w:val="center"/>
            <w:hideMark/>
          </w:tcPr>
          <w:p w14:paraId="519B32FB" w14:textId="77777777" w:rsidR="00E63C68" w:rsidRPr="008E63BB" w:rsidRDefault="00E63C68" w:rsidP="00E63C68">
            <w:pPr>
              <w:jc w:val="center"/>
              <w:rPr>
                <w:sz w:val="24"/>
                <w:szCs w:val="24"/>
              </w:rPr>
            </w:pPr>
            <w:r w:rsidRPr="008E63BB">
              <w:rPr>
                <w:sz w:val="24"/>
                <w:szCs w:val="24"/>
              </w:rPr>
              <w:t xml:space="preserve">% đất xây dựng </w:t>
            </w:r>
          </w:p>
        </w:tc>
        <w:tc>
          <w:tcPr>
            <w:tcW w:w="0" w:type="auto"/>
            <w:shd w:val="clear" w:color="auto" w:fill="auto"/>
            <w:noWrap/>
            <w:vAlign w:val="center"/>
            <w:hideMark/>
          </w:tcPr>
          <w:p w14:paraId="519B32FC" w14:textId="77777777" w:rsidR="00E63C68" w:rsidRPr="008E63BB" w:rsidRDefault="00E63C68" w:rsidP="00E63C68">
            <w:pPr>
              <w:jc w:val="center"/>
              <w:rPr>
                <w:sz w:val="24"/>
                <w:szCs w:val="24"/>
              </w:rPr>
            </w:pPr>
            <w:r w:rsidRPr="008E63BB">
              <w:rPr>
                <w:sz w:val="24"/>
                <w:szCs w:val="24"/>
              </w:rPr>
              <w:t>26,31</w:t>
            </w:r>
          </w:p>
        </w:tc>
        <w:tc>
          <w:tcPr>
            <w:tcW w:w="0" w:type="auto"/>
            <w:shd w:val="clear" w:color="auto" w:fill="auto"/>
            <w:noWrap/>
            <w:vAlign w:val="center"/>
            <w:hideMark/>
          </w:tcPr>
          <w:p w14:paraId="519B32FD" w14:textId="77777777" w:rsidR="00E63C68" w:rsidRPr="008E63BB" w:rsidRDefault="00E63C68" w:rsidP="00E63C68">
            <w:pPr>
              <w:jc w:val="center"/>
              <w:rPr>
                <w:sz w:val="24"/>
                <w:szCs w:val="24"/>
              </w:rPr>
            </w:pPr>
            <w:r w:rsidRPr="008E63BB">
              <w:rPr>
                <w:sz w:val="24"/>
                <w:szCs w:val="24"/>
              </w:rPr>
              <w:t>23,04</w:t>
            </w:r>
          </w:p>
        </w:tc>
      </w:tr>
      <w:tr w:rsidR="008D5BFE" w:rsidRPr="008E63BB" w14:paraId="519B3304" w14:textId="77777777" w:rsidTr="00E46C1D">
        <w:trPr>
          <w:trHeight w:val="80"/>
        </w:trPr>
        <w:tc>
          <w:tcPr>
            <w:tcW w:w="670" w:type="dxa"/>
            <w:shd w:val="clear" w:color="auto" w:fill="auto"/>
            <w:noWrap/>
            <w:vAlign w:val="center"/>
            <w:hideMark/>
          </w:tcPr>
          <w:p w14:paraId="519B32FF"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vAlign w:val="center"/>
            <w:hideMark/>
          </w:tcPr>
          <w:p w14:paraId="519B3300" w14:textId="77777777" w:rsidR="00E46C1D" w:rsidRPr="008E63BB" w:rsidRDefault="00E46C1D" w:rsidP="00E46C1D">
            <w:pPr>
              <w:jc w:val="left"/>
              <w:rPr>
                <w:sz w:val="24"/>
                <w:szCs w:val="24"/>
              </w:rPr>
            </w:pPr>
            <w:r w:rsidRPr="008E63BB">
              <w:rPr>
                <w:sz w:val="24"/>
                <w:szCs w:val="24"/>
              </w:rPr>
              <w:t>Mật độ mạng lưới đường</w:t>
            </w:r>
          </w:p>
        </w:tc>
        <w:tc>
          <w:tcPr>
            <w:tcW w:w="2572" w:type="dxa"/>
            <w:shd w:val="clear" w:color="auto" w:fill="auto"/>
            <w:noWrap/>
            <w:vAlign w:val="center"/>
            <w:hideMark/>
          </w:tcPr>
          <w:p w14:paraId="519B3301" w14:textId="77777777" w:rsidR="00E46C1D" w:rsidRPr="008E63BB" w:rsidRDefault="00E46C1D" w:rsidP="00E46C1D">
            <w:pPr>
              <w:jc w:val="center"/>
              <w:rPr>
                <w:sz w:val="24"/>
                <w:szCs w:val="24"/>
              </w:rPr>
            </w:pPr>
            <w:r w:rsidRPr="008E63BB">
              <w:rPr>
                <w:sz w:val="24"/>
                <w:szCs w:val="24"/>
              </w:rPr>
              <w:t>km/km2</w:t>
            </w:r>
          </w:p>
        </w:tc>
        <w:tc>
          <w:tcPr>
            <w:tcW w:w="0" w:type="auto"/>
            <w:shd w:val="clear" w:color="auto" w:fill="auto"/>
            <w:noWrap/>
            <w:vAlign w:val="center"/>
            <w:hideMark/>
          </w:tcPr>
          <w:p w14:paraId="519B3302" w14:textId="77777777" w:rsidR="00E46C1D" w:rsidRPr="008E63BB" w:rsidRDefault="00E46C1D" w:rsidP="00E46C1D">
            <w:pPr>
              <w:jc w:val="center"/>
              <w:rPr>
                <w:sz w:val="24"/>
                <w:szCs w:val="24"/>
              </w:rPr>
            </w:pPr>
            <w:r w:rsidRPr="008E63BB">
              <w:rPr>
                <w:sz w:val="24"/>
                <w:szCs w:val="24"/>
              </w:rPr>
              <w:t>4-6 (10)</w:t>
            </w:r>
          </w:p>
        </w:tc>
        <w:tc>
          <w:tcPr>
            <w:tcW w:w="0" w:type="auto"/>
            <w:shd w:val="clear" w:color="auto" w:fill="auto"/>
            <w:noWrap/>
            <w:vAlign w:val="center"/>
            <w:hideMark/>
          </w:tcPr>
          <w:p w14:paraId="519B3303" w14:textId="77777777" w:rsidR="00E46C1D" w:rsidRPr="008E63BB" w:rsidRDefault="00E46C1D" w:rsidP="00E46C1D">
            <w:pPr>
              <w:jc w:val="center"/>
              <w:rPr>
                <w:sz w:val="24"/>
                <w:szCs w:val="24"/>
              </w:rPr>
            </w:pPr>
            <w:r w:rsidRPr="008E63BB">
              <w:rPr>
                <w:sz w:val="24"/>
                <w:szCs w:val="24"/>
              </w:rPr>
              <w:t>4-6 (&gt;13)</w:t>
            </w:r>
          </w:p>
        </w:tc>
      </w:tr>
      <w:tr w:rsidR="008D5BFE" w:rsidRPr="008E63BB" w14:paraId="519B330A" w14:textId="77777777" w:rsidTr="00E46C1D">
        <w:trPr>
          <w:trHeight w:val="315"/>
        </w:trPr>
        <w:tc>
          <w:tcPr>
            <w:tcW w:w="670" w:type="dxa"/>
            <w:shd w:val="clear" w:color="auto" w:fill="auto"/>
            <w:noWrap/>
            <w:vAlign w:val="center"/>
            <w:hideMark/>
          </w:tcPr>
          <w:p w14:paraId="519B3305" w14:textId="77777777" w:rsidR="00E46C1D" w:rsidRPr="008E63BB" w:rsidRDefault="00E46C1D" w:rsidP="00E46C1D">
            <w:pPr>
              <w:jc w:val="center"/>
              <w:rPr>
                <w:sz w:val="24"/>
                <w:szCs w:val="24"/>
              </w:rPr>
            </w:pPr>
            <w:r w:rsidRPr="008E63BB">
              <w:rPr>
                <w:sz w:val="24"/>
                <w:szCs w:val="24"/>
              </w:rPr>
              <w:t>3.2</w:t>
            </w:r>
          </w:p>
        </w:tc>
        <w:tc>
          <w:tcPr>
            <w:tcW w:w="2565" w:type="dxa"/>
            <w:shd w:val="clear" w:color="auto" w:fill="auto"/>
            <w:noWrap/>
            <w:vAlign w:val="center"/>
            <w:hideMark/>
          </w:tcPr>
          <w:p w14:paraId="519B3306" w14:textId="77777777" w:rsidR="00E46C1D" w:rsidRPr="008E63BB" w:rsidRDefault="00E46C1D" w:rsidP="00E46C1D">
            <w:pPr>
              <w:jc w:val="left"/>
              <w:rPr>
                <w:sz w:val="24"/>
                <w:szCs w:val="24"/>
              </w:rPr>
            </w:pPr>
            <w:r w:rsidRPr="008E63BB">
              <w:rPr>
                <w:sz w:val="24"/>
                <w:szCs w:val="24"/>
              </w:rPr>
              <w:t>Cấp nước</w:t>
            </w:r>
          </w:p>
        </w:tc>
        <w:tc>
          <w:tcPr>
            <w:tcW w:w="2572" w:type="dxa"/>
            <w:shd w:val="clear" w:color="auto" w:fill="auto"/>
            <w:noWrap/>
            <w:vAlign w:val="center"/>
            <w:hideMark/>
          </w:tcPr>
          <w:p w14:paraId="519B3307"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308"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309" w14:textId="77777777" w:rsidR="00E46C1D" w:rsidRPr="008E63BB" w:rsidRDefault="00E46C1D" w:rsidP="00E46C1D">
            <w:pPr>
              <w:jc w:val="center"/>
              <w:rPr>
                <w:sz w:val="24"/>
                <w:szCs w:val="24"/>
              </w:rPr>
            </w:pPr>
            <w:r w:rsidRPr="008E63BB">
              <w:rPr>
                <w:sz w:val="24"/>
                <w:szCs w:val="24"/>
              </w:rPr>
              <w:t> </w:t>
            </w:r>
          </w:p>
        </w:tc>
      </w:tr>
      <w:tr w:rsidR="008D5BFE" w:rsidRPr="008E63BB" w14:paraId="519B3310" w14:textId="77777777" w:rsidTr="00E46C1D">
        <w:trPr>
          <w:trHeight w:val="315"/>
        </w:trPr>
        <w:tc>
          <w:tcPr>
            <w:tcW w:w="670" w:type="dxa"/>
            <w:shd w:val="clear" w:color="auto" w:fill="auto"/>
            <w:noWrap/>
            <w:vAlign w:val="center"/>
            <w:hideMark/>
          </w:tcPr>
          <w:p w14:paraId="519B330B"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0C" w14:textId="77777777" w:rsidR="00E46C1D" w:rsidRPr="008E63BB" w:rsidRDefault="00E46C1D" w:rsidP="00E46C1D">
            <w:pPr>
              <w:jc w:val="left"/>
              <w:rPr>
                <w:sz w:val="24"/>
                <w:szCs w:val="24"/>
              </w:rPr>
            </w:pPr>
            <w:r w:rsidRPr="008E63BB">
              <w:rPr>
                <w:sz w:val="24"/>
                <w:szCs w:val="24"/>
              </w:rPr>
              <w:t>Sinh hoạt</w:t>
            </w:r>
          </w:p>
        </w:tc>
        <w:tc>
          <w:tcPr>
            <w:tcW w:w="2572" w:type="dxa"/>
            <w:shd w:val="clear" w:color="auto" w:fill="auto"/>
            <w:noWrap/>
            <w:vAlign w:val="center"/>
            <w:hideMark/>
          </w:tcPr>
          <w:p w14:paraId="519B330D" w14:textId="77777777" w:rsidR="00E46C1D" w:rsidRPr="008E63BB" w:rsidRDefault="00E46C1D" w:rsidP="00E46C1D">
            <w:pPr>
              <w:jc w:val="center"/>
              <w:rPr>
                <w:sz w:val="24"/>
                <w:szCs w:val="24"/>
              </w:rPr>
            </w:pPr>
            <w:r w:rsidRPr="008E63BB">
              <w:rPr>
                <w:sz w:val="24"/>
                <w:szCs w:val="24"/>
              </w:rPr>
              <w:t>l/ng.ngđ</w:t>
            </w:r>
          </w:p>
        </w:tc>
        <w:tc>
          <w:tcPr>
            <w:tcW w:w="0" w:type="auto"/>
            <w:shd w:val="clear" w:color="auto" w:fill="auto"/>
            <w:noWrap/>
            <w:vAlign w:val="center"/>
            <w:hideMark/>
          </w:tcPr>
          <w:p w14:paraId="519B330E" w14:textId="77777777" w:rsidR="00E46C1D" w:rsidRPr="008E63BB" w:rsidRDefault="00E46C1D" w:rsidP="00E46C1D">
            <w:pPr>
              <w:jc w:val="center"/>
              <w:rPr>
                <w:sz w:val="24"/>
                <w:szCs w:val="24"/>
              </w:rPr>
            </w:pPr>
            <w:r w:rsidRPr="008E63BB">
              <w:rPr>
                <w:sz w:val="24"/>
                <w:szCs w:val="24"/>
              </w:rPr>
              <w:t>180</w:t>
            </w:r>
          </w:p>
        </w:tc>
        <w:tc>
          <w:tcPr>
            <w:tcW w:w="0" w:type="auto"/>
            <w:shd w:val="clear" w:color="auto" w:fill="auto"/>
            <w:noWrap/>
            <w:vAlign w:val="center"/>
            <w:hideMark/>
          </w:tcPr>
          <w:p w14:paraId="519B330F" w14:textId="77777777" w:rsidR="00E46C1D" w:rsidRPr="008E63BB" w:rsidRDefault="00E46C1D" w:rsidP="00E46C1D">
            <w:pPr>
              <w:jc w:val="center"/>
              <w:rPr>
                <w:sz w:val="24"/>
                <w:szCs w:val="24"/>
              </w:rPr>
            </w:pPr>
            <w:r w:rsidRPr="008E63BB">
              <w:rPr>
                <w:sz w:val="24"/>
                <w:szCs w:val="24"/>
              </w:rPr>
              <w:t>180</w:t>
            </w:r>
          </w:p>
        </w:tc>
      </w:tr>
      <w:tr w:rsidR="008D5BFE" w:rsidRPr="008E63BB" w14:paraId="519B3316" w14:textId="77777777" w:rsidTr="00E46C1D">
        <w:trPr>
          <w:trHeight w:val="315"/>
        </w:trPr>
        <w:tc>
          <w:tcPr>
            <w:tcW w:w="670" w:type="dxa"/>
            <w:shd w:val="clear" w:color="auto" w:fill="auto"/>
            <w:noWrap/>
            <w:vAlign w:val="center"/>
            <w:hideMark/>
          </w:tcPr>
          <w:p w14:paraId="519B3311"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12" w14:textId="77777777" w:rsidR="00E46C1D" w:rsidRPr="008E63BB" w:rsidRDefault="00E46C1D" w:rsidP="00E46C1D">
            <w:pPr>
              <w:jc w:val="left"/>
              <w:rPr>
                <w:sz w:val="24"/>
                <w:szCs w:val="24"/>
              </w:rPr>
            </w:pPr>
            <w:r w:rsidRPr="008E63BB">
              <w:rPr>
                <w:sz w:val="24"/>
                <w:szCs w:val="24"/>
              </w:rPr>
              <w:t>Công cộng, dịch vụ</w:t>
            </w:r>
          </w:p>
        </w:tc>
        <w:tc>
          <w:tcPr>
            <w:tcW w:w="2572" w:type="dxa"/>
            <w:shd w:val="clear" w:color="auto" w:fill="auto"/>
            <w:noWrap/>
            <w:vAlign w:val="center"/>
            <w:hideMark/>
          </w:tcPr>
          <w:p w14:paraId="519B3313" w14:textId="77777777" w:rsidR="00E46C1D" w:rsidRPr="008E63BB" w:rsidRDefault="00E46C1D" w:rsidP="00E46C1D">
            <w:pPr>
              <w:jc w:val="center"/>
              <w:rPr>
                <w:sz w:val="24"/>
                <w:szCs w:val="24"/>
              </w:rPr>
            </w:pPr>
            <w:r w:rsidRPr="008E63BB">
              <w:rPr>
                <w:sz w:val="24"/>
                <w:szCs w:val="24"/>
              </w:rPr>
              <w:t>% Qsh</w:t>
            </w:r>
          </w:p>
        </w:tc>
        <w:tc>
          <w:tcPr>
            <w:tcW w:w="0" w:type="auto"/>
            <w:shd w:val="clear" w:color="auto" w:fill="auto"/>
            <w:noWrap/>
            <w:vAlign w:val="center"/>
            <w:hideMark/>
          </w:tcPr>
          <w:p w14:paraId="519B3314" w14:textId="77777777" w:rsidR="00E46C1D" w:rsidRPr="008E63BB" w:rsidRDefault="00E46C1D" w:rsidP="00E46C1D">
            <w:pPr>
              <w:jc w:val="center"/>
              <w:rPr>
                <w:sz w:val="24"/>
                <w:szCs w:val="24"/>
              </w:rPr>
            </w:pPr>
            <w:r w:rsidRPr="008E63BB">
              <w:rPr>
                <w:sz w:val="24"/>
                <w:szCs w:val="24"/>
              </w:rPr>
              <w:t>10</w:t>
            </w:r>
          </w:p>
        </w:tc>
        <w:tc>
          <w:tcPr>
            <w:tcW w:w="0" w:type="auto"/>
            <w:shd w:val="clear" w:color="auto" w:fill="auto"/>
            <w:noWrap/>
            <w:vAlign w:val="center"/>
            <w:hideMark/>
          </w:tcPr>
          <w:p w14:paraId="519B3315" w14:textId="77777777" w:rsidR="00E46C1D" w:rsidRPr="008E63BB" w:rsidRDefault="00E46C1D" w:rsidP="00E46C1D">
            <w:pPr>
              <w:jc w:val="center"/>
              <w:rPr>
                <w:sz w:val="24"/>
                <w:szCs w:val="24"/>
              </w:rPr>
            </w:pPr>
            <w:r w:rsidRPr="008E63BB">
              <w:rPr>
                <w:sz w:val="24"/>
                <w:szCs w:val="24"/>
              </w:rPr>
              <w:t>10</w:t>
            </w:r>
          </w:p>
        </w:tc>
      </w:tr>
      <w:tr w:rsidR="008D5BFE" w:rsidRPr="008E63BB" w14:paraId="519B331C" w14:textId="77777777" w:rsidTr="00E46C1D">
        <w:trPr>
          <w:trHeight w:val="315"/>
        </w:trPr>
        <w:tc>
          <w:tcPr>
            <w:tcW w:w="670" w:type="dxa"/>
            <w:shd w:val="clear" w:color="auto" w:fill="auto"/>
            <w:noWrap/>
            <w:vAlign w:val="center"/>
            <w:hideMark/>
          </w:tcPr>
          <w:p w14:paraId="519B3317"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18" w14:textId="77777777" w:rsidR="00E46C1D" w:rsidRPr="008E63BB" w:rsidRDefault="00E46C1D" w:rsidP="00E46C1D">
            <w:pPr>
              <w:jc w:val="left"/>
              <w:rPr>
                <w:sz w:val="24"/>
                <w:szCs w:val="24"/>
              </w:rPr>
            </w:pPr>
            <w:r w:rsidRPr="008E63BB">
              <w:rPr>
                <w:sz w:val="24"/>
                <w:szCs w:val="24"/>
              </w:rPr>
              <w:t>Công nghiệp</w:t>
            </w:r>
          </w:p>
        </w:tc>
        <w:tc>
          <w:tcPr>
            <w:tcW w:w="2572" w:type="dxa"/>
            <w:shd w:val="clear" w:color="auto" w:fill="auto"/>
            <w:noWrap/>
            <w:vAlign w:val="center"/>
            <w:hideMark/>
          </w:tcPr>
          <w:p w14:paraId="519B3319" w14:textId="77777777" w:rsidR="00E46C1D" w:rsidRPr="008E63BB" w:rsidRDefault="00E46C1D" w:rsidP="00E46C1D">
            <w:pPr>
              <w:jc w:val="center"/>
              <w:rPr>
                <w:sz w:val="24"/>
                <w:szCs w:val="24"/>
              </w:rPr>
            </w:pPr>
            <w:r w:rsidRPr="008E63BB">
              <w:rPr>
                <w:sz w:val="24"/>
                <w:szCs w:val="24"/>
              </w:rPr>
              <w:t>m3/ha.ngđ</w:t>
            </w:r>
          </w:p>
        </w:tc>
        <w:tc>
          <w:tcPr>
            <w:tcW w:w="0" w:type="auto"/>
            <w:shd w:val="clear" w:color="auto" w:fill="auto"/>
            <w:noWrap/>
            <w:vAlign w:val="center"/>
            <w:hideMark/>
          </w:tcPr>
          <w:p w14:paraId="519B331A" w14:textId="77777777" w:rsidR="00E46C1D" w:rsidRPr="008E63BB" w:rsidRDefault="00E46C1D" w:rsidP="00E46C1D">
            <w:pPr>
              <w:jc w:val="center"/>
              <w:rPr>
                <w:sz w:val="24"/>
                <w:szCs w:val="24"/>
              </w:rPr>
            </w:pPr>
            <w:r w:rsidRPr="008E63BB">
              <w:rPr>
                <w:sz w:val="24"/>
                <w:szCs w:val="24"/>
              </w:rPr>
              <w:t>22- 45</w:t>
            </w:r>
          </w:p>
        </w:tc>
        <w:tc>
          <w:tcPr>
            <w:tcW w:w="0" w:type="auto"/>
            <w:shd w:val="clear" w:color="auto" w:fill="auto"/>
            <w:noWrap/>
            <w:vAlign w:val="center"/>
            <w:hideMark/>
          </w:tcPr>
          <w:p w14:paraId="519B331B" w14:textId="77777777" w:rsidR="00E46C1D" w:rsidRPr="008E63BB" w:rsidRDefault="00E46C1D" w:rsidP="00E46C1D">
            <w:pPr>
              <w:jc w:val="center"/>
              <w:rPr>
                <w:sz w:val="24"/>
                <w:szCs w:val="24"/>
              </w:rPr>
            </w:pPr>
            <w:r w:rsidRPr="008E63BB">
              <w:rPr>
                <w:sz w:val="24"/>
                <w:szCs w:val="24"/>
              </w:rPr>
              <w:t>22- 45</w:t>
            </w:r>
          </w:p>
        </w:tc>
      </w:tr>
      <w:tr w:rsidR="008D5BFE" w:rsidRPr="008E63BB" w14:paraId="519B3322" w14:textId="77777777" w:rsidTr="00E46C1D">
        <w:trPr>
          <w:trHeight w:val="315"/>
        </w:trPr>
        <w:tc>
          <w:tcPr>
            <w:tcW w:w="670" w:type="dxa"/>
            <w:shd w:val="clear" w:color="auto" w:fill="auto"/>
            <w:noWrap/>
            <w:vAlign w:val="center"/>
            <w:hideMark/>
          </w:tcPr>
          <w:p w14:paraId="519B331D"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1E" w14:textId="77777777" w:rsidR="00E46C1D" w:rsidRPr="008E63BB" w:rsidRDefault="00E46C1D" w:rsidP="00E46C1D">
            <w:pPr>
              <w:jc w:val="left"/>
              <w:rPr>
                <w:sz w:val="24"/>
                <w:szCs w:val="24"/>
              </w:rPr>
            </w:pPr>
            <w:r w:rsidRPr="008E63BB">
              <w:rPr>
                <w:sz w:val="24"/>
                <w:szCs w:val="24"/>
              </w:rPr>
              <w:t>Tỷ lệ cấp nước</w:t>
            </w:r>
          </w:p>
        </w:tc>
        <w:tc>
          <w:tcPr>
            <w:tcW w:w="2572" w:type="dxa"/>
            <w:shd w:val="clear" w:color="auto" w:fill="auto"/>
            <w:noWrap/>
            <w:vAlign w:val="center"/>
            <w:hideMark/>
          </w:tcPr>
          <w:p w14:paraId="519B331F" w14:textId="77777777" w:rsidR="00E46C1D" w:rsidRPr="008E63BB" w:rsidRDefault="00E46C1D" w:rsidP="00E46C1D">
            <w:pPr>
              <w:jc w:val="center"/>
              <w:rPr>
                <w:sz w:val="24"/>
                <w:szCs w:val="24"/>
              </w:rPr>
            </w:pPr>
            <w:r w:rsidRPr="008E63BB">
              <w:rPr>
                <w:sz w:val="24"/>
                <w:szCs w:val="24"/>
              </w:rPr>
              <w:t>%</w:t>
            </w:r>
          </w:p>
        </w:tc>
        <w:tc>
          <w:tcPr>
            <w:tcW w:w="0" w:type="auto"/>
            <w:shd w:val="clear" w:color="auto" w:fill="auto"/>
            <w:noWrap/>
            <w:vAlign w:val="center"/>
            <w:hideMark/>
          </w:tcPr>
          <w:p w14:paraId="519B3320" w14:textId="77777777" w:rsidR="00E46C1D" w:rsidRPr="008E63BB" w:rsidRDefault="00E46C1D" w:rsidP="00E46C1D">
            <w:pPr>
              <w:jc w:val="center"/>
              <w:rPr>
                <w:sz w:val="24"/>
                <w:szCs w:val="24"/>
              </w:rPr>
            </w:pPr>
            <w:r w:rsidRPr="008E63BB">
              <w:rPr>
                <w:sz w:val="24"/>
                <w:szCs w:val="24"/>
              </w:rPr>
              <w:t>100</w:t>
            </w:r>
          </w:p>
        </w:tc>
        <w:tc>
          <w:tcPr>
            <w:tcW w:w="0" w:type="auto"/>
            <w:shd w:val="clear" w:color="auto" w:fill="auto"/>
            <w:noWrap/>
            <w:vAlign w:val="center"/>
            <w:hideMark/>
          </w:tcPr>
          <w:p w14:paraId="519B3321" w14:textId="77777777" w:rsidR="00E46C1D" w:rsidRPr="008E63BB" w:rsidRDefault="00E46C1D" w:rsidP="00E46C1D">
            <w:pPr>
              <w:jc w:val="center"/>
              <w:rPr>
                <w:sz w:val="24"/>
                <w:szCs w:val="24"/>
              </w:rPr>
            </w:pPr>
            <w:r w:rsidRPr="008E63BB">
              <w:rPr>
                <w:sz w:val="24"/>
                <w:szCs w:val="24"/>
              </w:rPr>
              <w:t>100</w:t>
            </w:r>
          </w:p>
        </w:tc>
      </w:tr>
      <w:tr w:rsidR="008D5BFE" w:rsidRPr="008E63BB" w14:paraId="519B3328" w14:textId="77777777" w:rsidTr="00E46C1D">
        <w:trPr>
          <w:trHeight w:val="315"/>
        </w:trPr>
        <w:tc>
          <w:tcPr>
            <w:tcW w:w="670" w:type="dxa"/>
            <w:shd w:val="clear" w:color="auto" w:fill="auto"/>
            <w:noWrap/>
            <w:vAlign w:val="center"/>
            <w:hideMark/>
          </w:tcPr>
          <w:p w14:paraId="519B3323" w14:textId="77777777" w:rsidR="00E46C1D" w:rsidRPr="008E63BB" w:rsidRDefault="00E46C1D" w:rsidP="00E46C1D">
            <w:pPr>
              <w:jc w:val="center"/>
              <w:rPr>
                <w:sz w:val="24"/>
                <w:szCs w:val="24"/>
              </w:rPr>
            </w:pPr>
            <w:r w:rsidRPr="008E63BB">
              <w:rPr>
                <w:sz w:val="24"/>
                <w:szCs w:val="24"/>
              </w:rPr>
              <w:t>3.3</w:t>
            </w:r>
          </w:p>
        </w:tc>
        <w:tc>
          <w:tcPr>
            <w:tcW w:w="2565" w:type="dxa"/>
            <w:shd w:val="clear" w:color="auto" w:fill="auto"/>
            <w:noWrap/>
            <w:vAlign w:val="center"/>
            <w:hideMark/>
          </w:tcPr>
          <w:p w14:paraId="519B3324" w14:textId="77777777" w:rsidR="00E46C1D" w:rsidRPr="008E63BB" w:rsidRDefault="00E46C1D" w:rsidP="00E46C1D">
            <w:pPr>
              <w:jc w:val="left"/>
              <w:rPr>
                <w:sz w:val="24"/>
                <w:szCs w:val="24"/>
              </w:rPr>
            </w:pPr>
            <w:r w:rsidRPr="008E63BB">
              <w:rPr>
                <w:sz w:val="24"/>
                <w:szCs w:val="24"/>
              </w:rPr>
              <w:t>Cấp điện</w:t>
            </w:r>
          </w:p>
        </w:tc>
        <w:tc>
          <w:tcPr>
            <w:tcW w:w="2572" w:type="dxa"/>
            <w:shd w:val="clear" w:color="auto" w:fill="auto"/>
            <w:noWrap/>
            <w:vAlign w:val="center"/>
            <w:hideMark/>
          </w:tcPr>
          <w:p w14:paraId="519B3325"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326"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327" w14:textId="77777777" w:rsidR="00E46C1D" w:rsidRPr="008E63BB" w:rsidRDefault="00E46C1D" w:rsidP="00E46C1D">
            <w:pPr>
              <w:jc w:val="center"/>
              <w:rPr>
                <w:sz w:val="24"/>
                <w:szCs w:val="24"/>
              </w:rPr>
            </w:pPr>
            <w:r w:rsidRPr="008E63BB">
              <w:rPr>
                <w:sz w:val="24"/>
                <w:szCs w:val="24"/>
              </w:rPr>
              <w:t> </w:t>
            </w:r>
          </w:p>
        </w:tc>
      </w:tr>
      <w:tr w:rsidR="008D5BFE" w:rsidRPr="008E63BB" w14:paraId="519B332E" w14:textId="77777777" w:rsidTr="00E46C1D">
        <w:trPr>
          <w:trHeight w:val="315"/>
        </w:trPr>
        <w:tc>
          <w:tcPr>
            <w:tcW w:w="670" w:type="dxa"/>
            <w:shd w:val="clear" w:color="auto" w:fill="auto"/>
            <w:noWrap/>
            <w:vAlign w:val="center"/>
            <w:hideMark/>
          </w:tcPr>
          <w:p w14:paraId="519B3329"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2A" w14:textId="77777777" w:rsidR="00E46C1D" w:rsidRPr="008E63BB" w:rsidRDefault="00E46C1D" w:rsidP="00E46C1D">
            <w:pPr>
              <w:jc w:val="left"/>
              <w:rPr>
                <w:sz w:val="24"/>
                <w:szCs w:val="24"/>
              </w:rPr>
            </w:pPr>
            <w:r w:rsidRPr="008E63BB">
              <w:rPr>
                <w:sz w:val="24"/>
                <w:szCs w:val="24"/>
              </w:rPr>
              <w:t>Sinh hoạt</w:t>
            </w:r>
          </w:p>
        </w:tc>
        <w:tc>
          <w:tcPr>
            <w:tcW w:w="2572" w:type="dxa"/>
            <w:shd w:val="clear" w:color="auto" w:fill="auto"/>
            <w:noWrap/>
            <w:vAlign w:val="center"/>
            <w:hideMark/>
          </w:tcPr>
          <w:p w14:paraId="519B332B" w14:textId="77777777" w:rsidR="00E46C1D" w:rsidRPr="008E63BB" w:rsidRDefault="00E46C1D" w:rsidP="00E46C1D">
            <w:pPr>
              <w:jc w:val="center"/>
              <w:rPr>
                <w:sz w:val="24"/>
                <w:szCs w:val="24"/>
              </w:rPr>
            </w:pPr>
            <w:r w:rsidRPr="008E63BB">
              <w:rPr>
                <w:sz w:val="24"/>
                <w:szCs w:val="24"/>
              </w:rPr>
              <w:t>w/người</w:t>
            </w:r>
          </w:p>
        </w:tc>
        <w:tc>
          <w:tcPr>
            <w:tcW w:w="0" w:type="auto"/>
            <w:shd w:val="clear" w:color="auto" w:fill="auto"/>
            <w:noWrap/>
            <w:vAlign w:val="center"/>
            <w:hideMark/>
          </w:tcPr>
          <w:p w14:paraId="519B332C" w14:textId="77777777" w:rsidR="00E46C1D" w:rsidRPr="008E63BB" w:rsidRDefault="00E46C1D" w:rsidP="00E46C1D">
            <w:pPr>
              <w:jc w:val="center"/>
              <w:rPr>
                <w:sz w:val="24"/>
                <w:szCs w:val="24"/>
              </w:rPr>
            </w:pPr>
            <w:r w:rsidRPr="008E63BB">
              <w:rPr>
                <w:sz w:val="24"/>
                <w:szCs w:val="24"/>
              </w:rPr>
              <w:t>700</w:t>
            </w:r>
          </w:p>
        </w:tc>
        <w:tc>
          <w:tcPr>
            <w:tcW w:w="0" w:type="auto"/>
            <w:shd w:val="clear" w:color="auto" w:fill="auto"/>
            <w:noWrap/>
            <w:vAlign w:val="center"/>
            <w:hideMark/>
          </w:tcPr>
          <w:p w14:paraId="519B332D" w14:textId="77777777" w:rsidR="00E46C1D" w:rsidRPr="008E63BB" w:rsidRDefault="00E46C1D" w:rsidP="00E46C1D">
            <w:pPr>
              <w:jc w:val="center"/>
              <w:rPr>
                <w:sz w:val="24"/>
                <w:szCs w:val="24"/>
              </w:rPr>
            </w:pPr>
            <w:r w:rsidRPr="008E63BB">
              <w:rPr>
                <w:sz w:val="24"/>
                <w:szCs w:val="24"/>
              </w:rPr>
              <w:t>700</w:t>
            </w:r>
          </w:p>
        </w:tc>
      </w:tr>
      <w:tr w:rsidR="008D5BFE" w:rsidRPr="008E63BB" w14:paraId="519B3334" w14:textId="77777777" w:rsidTr="00E46C1D">
        <w:trPr>
          <w:trHeight w:val="315"/>
        </w:trPr>
        <w:tc>
          <w:tcPr>
            <w:tcW w:w="670" w:type="dxa"/>
            <w:shd w:val="clear" w:color="auto" w:fill="auto"/>
            <w:noWrap/>
            <w:vAlign w:val="center"/>
            <w:hideMark/>
          </w:tcPr>
          <w:p w14:paraId="519B332F"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30" w14:textId="77777777" w:rsidR="00E46C1D" w:rsidRPr="008E63BB" w:rsidRDefault="00E46C1D" w:rsidP="00E46C1D">
            <w:pPr>
              <w:jc w:val="left"/>
              <w:rPr>
                <w:sz w:val="24"/>
                <w:szCs w:val="24"/>
              </w:rPr>
            </w:pPr>
            <w:r w:rsidRPr="008E63BB">
              <w:rPr>
                <w:sz w:val="24"/>
                <w:szCs w:val="24"/>
              </w:rPr>
              <w:t>Công cộng, dịch vụ</w:t>
            </w:r>
          </w:p>
        </w:tc>
        <w:tc>
          <w:tcPr>
            <w:tcW w:w="2572" w:type="dxa"/>
            <w:shd w:val="clear" w:color="auto" w:fill="auto"/>
            <w:noWrap/>
            <w:vAlign w:val="center"/>
            <w:hideMark/>
          </w:tcPr>
          <w:p w14:paraId="519B3331" w14:textId="77777777" w:rsidR="00E46C1D" w:rsidRPr="008E63BB" w:rsidRDefault="00E46C1D" w:rsidP="00E46C1D">
            <w:pPr>
              <w:jc w:val="center"/>
              <w:rPr>
                <w:sz w:val="24"/>
                <w:szCs w:val="24"/>
              </w:rPr>
            </w:pPr>
            <w:r w:rsidRPr="008E63BB">
              <w:rPr>
                <w:sz w:val="24"/>
                <w:szCs w:val="24"/>
              </w:rPr>
              <w:t>% sinh hoạt</w:t>
            </w:r>
          </w:p>
        </w:tc>
        <w:tc>
          <w:tcPr>
            <w:tcW w:w="0" w:type="auto"/>
            <w:shd w:val="clear" w:color="auto" w:fill="auto"/>
            <w:noWrap/>
            <w:vAlign w:val="center"/>
            <w:hideMark/>
          </w:tcPr>
          <w:p w14:paraId="519B3332" w14:textId="77777777" w:rsidR="00E46C1D" w:rsidRPr="008E63BB" w:rsidRDefault="00E46C1D" w:rsidP="00E46C1D">
            <w:pPr>
              <w:jc w:val="center"/>
              <w:rPr>
                <w:sz w:val="24"/>
                <w:szCs w:val="24"/>
              </w:rPr>
            </w:pPr>
            <w:r w:rsidRPr="008E63BB">
              <w:rPr>
                <w:sz w:val="24"/>
                <w:szCs w:val="24"/>
              </w:rPr>
              <w:t>30-40</w:t>
            </w:r>
          </w:p>
        </w:tc>
        <w:tc>
          <w:tcPr>
            <w:tcW w:w="0" w:type="auto"/>
            <w:shd w:val="clear" w:color="auto" w:fill="auto"/>
            <w:noWrap/>
            <w:vAlign w:val="center"/>
            <w:hideMark/>
          </w:tcPr>
          <w:p w14:paraId="519B3333" w14:textId="77777777" w:rsidR="00E46C1D" w:rsidRPr="008E63BB" w:rsidRDefault="00E46C1D" w:rsidP="00E46C1D">
            <w:pPr>
              <w:jc w:val="center"/>
              <w:rPr>
                <w:sz w:val="24"/>
                <w:szCs w:val="24"/>
              </w:rPr>
            </w:pPr>
            <w:r w:rsidRPr="008E63BB">
              <w:rPr>
                <w:sz w:val="24"/>
                <w:szCs w:val="24"/>
              </w:rPr>
              <w:t>30-40</w:t>
            </w:r>
          </w:p>
        </w:tc>
      </w:tr>
      <w:tr w:rsidR="008D5BFE" w:rsidRPr="008E63BB" w14:paraId="519B333A" w14:textId="77777777" w:rsidTr="00E46C1D">
        <w:trPr>
          <w:trHeight w:val="315"/>
        </w:trPr>
        <w:tc>
          <w:tcPr>
            <w:tcW w:w="670" w:type="dxa"/>
            <w:shd w:val="clear" w:color="auto" w:fill="auto"/>
            <w:noWrap/>
            <w:vAlign w:val="center"/>
            <w:hideMark/>
          </w:tcPr>
          <w:p w14:paraId="519B3335"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36" w14:textId="77777777" w:rsidR="00E46C1D" w:rsidRPr="008E63BB" w:rsidRDefault="00E46C1D" w:rsidP="00E46C1D">
            <w:pPr>
              <w:jc w:val="left"/>
              <w:rPr>
                <w:sz w:val="24"/>
                <w:szCs w:val="24"/>
              </w:rPr>
            </w:pPr>
            <w:r w:rsidRPr="008E63BB">
              <w:rPr>
                <w:sz w:val="24"/>
                <w:szCs w:val="24"/>
              </w:rPr>
              <w:t>Công nghiệp</w:t>
            </w:r>
          </w:p>
        </w:tc>
        <w:tc>
          <w:tcPr>
            <w:tcW w:w="2572" w:type="dxa"/>
            <w:shd w:val="clear" w:color="auto" w:fill="auto"/>
            <w:noWrap/>
            <w:vAlign w:val="center"/>
            <w:hideMark/>
          </w:tcPr>
          <w:p w14:paraId="519B3337" w14:textId="77777777" w:rsidR="00E46C1D" w:rsidRPr="008E63BB" w:rsidRDefault="00E46C1D" w:rsidP="00E46C1D">
            <w:pPr>
              <w:jc w:val="center"/>
              <w:rPr>
                <w:sz w:val="24"/>
                <w:szCs w:val="24"/>
              </w:rPr>
            </w:pPr>
            <w:r w:rsidRPr="008E63BB">
              <w:rPr>
                <w:sz w:val="24"/>
                <w:szCs w:val="24"/>
              </w:rPr>
              <w:t>Kw/ha</w:t>
            </w:r>
          </w:p>
        </w:tc>
        <w:tc>
          <w:tcPr>
            <w:tcW w:w="0" w:type="auto"/>
            <w:shd w:val="clear" w:color="auto" w:fill="auto"/>
            <w:noWrap/>
            <w:vAlign w:val="center"/>
            <w:hideMark/>
          </w:tcPr>
          <w:p w14:paraId="519B3338" w14:textId="77777777" w:rsidR="00E46C1D" w:rsidRPr="008E63BB" w:rsidRDefault="00E46C1D" w:rsidP="00E46C1D">
            <w:pPr>
              <w:jc w:val="center"/>
              <w:rPr>
                <w:sz w:val="24"/>
                <w:szCs w:val="24"/>
              </w:rPr>
            </w:pPr>
            <w:r w:rsidRPr="008E63BB">
              <w:rPr>
                <w:sz w:val="24"/>
                <w:szCs w:val="24"/>
              </w:rPr>
              <w:t>120-350</w:t>
            </w:r>
          </w:p>
        </w:tc>
        <w:tc>
          <w:tcPr>
            <w:tcW w:w="0" w:type="auto"/>
            <w:shd w:val="clear" w:color="auto" w:fill="auto"/>
            <w:noWrap/>
            <w:vAlign w:val="center"/>
            <w:hideMark/>
          </w:tcPr>
          <w:p w14:paraId="519B3339" w14:textId="77777777" w:rsidR="00E46C1D" w:rsidRPr="008E63BB" w:rsidRDefault="00E46C1D" w:rsidP="00E46C1D">
            <w:pPr>
              <w:jc w:val="center"/>
              <w:rPr>
                <w:sz w:val="24"/>
                <w:szCs w:val="24"/>
              </w:rPr>
            </w:pPr>
            <w:r w:rsidRPr="008E63BB">
              <w:rPr>
                <w:sz w:val="24"/>
                <w:szCs w:val="24"/>
              </w:rPr>
              <w:t>120-350</w:t>
            </w:r>
          </w:p>
        </w:tc>
      </w:tr>
      <w:tr w:rsidR="008D5BFE" w:rsidRPr="008E63BB" w14:paraId="519B3340" w14:textId="77777777" w:rsidTr="00E46C1D">
        <w:trPr>
          <w:trHeight w:val="315"/>
        </w:trPr>
        <w:tc>
          <w:tcPr>
            <w:tcW w:w="670" w:type="dxa"/>
            <w:shd w:val="clear" w:color="auto" w:fill="auto"/>
            <w:noWrap/>
            <w:vAlign w:val="center"/>
            <w:hideMark/>
          </w:tcPr>
          <w:p w14:paraId="519B333B" w14:textId="77777777" w:rsidR="00E46C1D" w:rsidRPr="008E63BB" w:rsidRDefault="00E46C1D" w:rsidP="00E46C1D">
            <w:pPr>
              <w:jc w:val="center"/>
              <w:rPr>
                <w:sz w:val="24"/>
                <w:szCs w:val="24"/>
              </w:rPr>
            </w:pPr>
            <w:r w:rsidRPr="008E63BB">
              <w:rPr>
                <w:sz w:val="24"/>
                <w:szCs w:val="24"/>
              </w:rPr>
              <w:t>3.4</w:t>
            </w:r>
          </w:p>
        </w:tc>
        <w:tc>
          <w:tcPr>
            <w:tcW w:w="2565" w:type="dxa"/>
            <w:shd w:val="clear" w:color="auto" w:fill="auto"/>
            <w:noWrap/>
            <w:vAlign w:val="center"/>
            <w:hideMark/>
          </w:tcPr>
          <w:p w14:paraId="519B333C" w14:textId="77777777" w:rsidR="00E46C1D" w:rsidRPr="008E63BB" w:rsidRDefault="00E46C1D" w:rsidP="00E46C1D">
            <w:pPr>
              <w:jc w:val="left"/>
              <w:rPr>
                <w:sz w:val="24"/>
                <w:szCs w:val="24"/>
              </w:rPr>
            </w:pPr>
            <w:r w:rsidRPr="008E63BB">
              <w:rPr>
                <w:sz w:val="24"/>
                <w:szCs w:val="24"/>
              </w:rPr>
              <w:t>Thoát nước thải</w:t>
            </w:r>
          </w:p>
        </w:tc>
        <w:tc>
          <w:tcPr>
            <w:tcW w:w="2572" w:type="dxa"/>
            <w:shd w:val="clear" w:color="auto" w:fill="auto"/>
            <w:noWrap/>
            <w:vAlign w:val="center"/>
            <w:hideMark/>
          </w:tcPr>
          <w:p w14:paraId="519B333D"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33E"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noWrap/>
            <w:vAlign w:val="center"/>
            <w:hideMark/>
          </w:tcPr>
          <w:p w14:paraId="519B333F" w14:textId="77777777" w:rsidR="00E46C1D" w:rsidRPr="008E63BB" w:rsidRDefault="00E46C1D" w:rsidP="00E46C1D">
            <w:pPr>
              <w:jc w:val="center"/>
              <w:rPr>
                <w:sz w:val="24"/>
                <w:szCs w:val="24"/>
              </w:rPr>
            </w:pPr>
            <w:r w:rsidRPr="008E63BB">
              <w:rPr>
                <w:sz w:val="24"/>
                <w:szCs w:val="24"/>
              </w:rPr>
              <w:t> </w:t>
            </w:r>
          </w:p>
        </w:tc>
      </w:tr>
      <w:tr w:rsidR="008D5BFE" w:rsidRPr="008E63BB" w14:paraId="519B3346" w14:textId="77777777" w:rsidTr="00E46C1D">
        <w:trPr>
          <w:trHeight w:val="315"/>
        </w:trPr>
        <w:tc>
          <w:tcPr>
            <w:tcW w:w="670" w:type="dxa"/>
            <w:shd w:val="clear" w:color="auto" w:fill="auto"/>
            <w:noWrap/>
            <w:vAlign w:val="center"/>
            <w:hideMark/>
          </w:tcPr>
          <w:p w14:paraId="519B3341"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42" w14:textId="77777777" w:rsidR="00E46C1D" w:rsidRPr="008E63BB" w:rsidRDefault="00E46C1D" w:rsidP="00E46C1D">
            <w:pPr>
              <w:jc w:val="left"/>
              <w:rPr>
                <w:sz w:val="24"/>
                <w:szCs w:val="24"/>
              </w:rPr>
            </w:pPr>
            <w:r w:rsidRPr="008E63BB">
              <w:rPr>
                <w:sz w:val="24"/>
                <w:szCs w:val="24"/>
              </w:rPr>
              <w:t>Sinh hoạt</w:t>
            </w:r>
          </w:p>
        </w:tc>
        <w:tc>
          <w:tcPr>
            <w:tcW w:w="2572" w:type="dxa"/>
            <w:shd w:val="clear" w:color="auto" w:fill="auto"/>
            <w:noWrap/>
            <w:vAlign w:val="center"/>
            <w:hideMark/>
          </w:tcPr>
          <w:p w14:paraId="519B3343" w14:textId="77777777" w:rsidR="00E46C1D" w:rsidRPr="008E63BB" w:rsidRDefault="00E46C1D" w:rsidP="00E46C1D">
            <w:pPr>
              <w:jc w:val="center"/>
              <w:rPr>
                <w:sz w:val="24"/>
                <w:szCs w:val="24"/>
              </w:rPr>
            </w:pPr>
            <w:r w:rsidRPr="008E63BB">
              <w:rPr>
                <w:sz w:val="24"/>
                <w:szCs w:val="24"/>
              </w:rPr>
              <w:t>% Tiêu chuẩn cấp nước</w:t>
            </w:r>
          </w:p>
        </w:tc>
        <w:tc>
          <w:tcPr>
            <w:tcW w:w="0" w:type="auto"/>
            <w:shd w:val="clear" w:color="auto" w:fill="auto"/>
            <w:noWrap/>
            <w:vAlign w:val="center"/>
            <w:hideMark/>
          </w:tcPr>
          <w:p w14:paraId="519B3344" w14:textId="77777777" w:rsidR="00E46C1D" w:rsidRPr="008E63BB" w:rsidRDefault="00E46C1D" w:rsidP="00E46C1D">
            <w:pPr>
              <w:jc w:val="center"/>
              <w:rPr>
                <w:sz w:val="24"/>
                <w:szCs w:val="24"/>
              </w:rPr>
            </w:pPr>
            <w:r w:rsidRPr="008E63BB">
              <w:rPr>
                <w:sz w:val="24"/>
                <w:szCs w:val="24"/>
              </w:rPr>
              <w:t>90%</w:t>
            </w:r>
          </w:p>
        </w:tc>
        <w:tc>
          <w:tcPr>
            <w:tcW w:w="0" w:type="auto"/>
            <w:shd w:val="clear" w:color="auto" w:fill="auto"/>
            <w:noWrap/>
            <w:vAlign w:val="center"/>
            <w:hideMark/>
          </w:tcPr>
          <w:p w14:paraId="519B3345" w14:textId="77777777" w:rsidR="00E46C1D" w:rsidRPr="008E63BB" w:rsidRDefault="00E46C1D" w:rsidP="00E46C1D">
            <w:pPr>
              <w:jc w:val="center"/>
              <w:rPr>
                <w:sz w:val="24"/>
                <w:szCs w:val="24"/>
              </w:rPr>
            </w:pPr>
            <w:r w:rsidRPr="008E63BB">
              <w:rPr>
                <w:sz w:val="24"/>
                <w:szCs w:val="24"/>
              </w:rPr>
              <w:t>90%</w:t>
            </w:r>
          </w:p>
        </w:tc>
      </w:tr>
      <w:tr w:rsidR="008D5BFE" w:rsidRPr="008E63BB" w14:paraId="519B334C" w14:textId="77777777" w:rsidTr="00E46C1D">
        <w:trPr>
          <w:trHeight w:val="315"/>
        </w:trPr>
        <w:tc>
          <w:tcPr>
            <w:tcW w:w="670" w:type="dxa"/>
            <w:shd w:val="clear" w:color="auto" w:fill="auto"/>
            <w:noWrap/>
            <w:vAlign w:val="center"/>
            <w:hideMark/>
          </w:tcPr>
          <w:p w14:paraId="519B3347"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48" w14:textId="77777777" w:rsidR="00E46C1D" w:rsidRPr="008E63BB" w:rsidRDefault="00E46C1D" w:rsidP="00E46C1D">
            <w:pPr>
              <w:jc w:val="left"/>
              <w:rPr>
                <w:sz w:val="24"/>
                <w:szCs w:val="24"/>
              </w:rPr>
            </w:pPr>
            <w:r w:rsidRPr="008E63BB">
              <w:rPr>
                <w:sz w:val="24"/>
                <w:szCs w:val="24"/>
              </w:rPr>
              <w:t>Công nghiệp</w:t>
            </w:r>
          </w:p>
        </w:tc>
        <w:tc>
          <w:tcPr>
            <w:tcW w:w="2572" w:type="dxa"/>
            <w:shd w:val="clear" w:color="auto" w:fill="auto"/>
            <w:noWrap/>
            <w:vAlign w:val="center"/>
            <w:hideMark/>
          </w:tcPr>
          <w:p w14:paraId="519B3349" w14:textId="77777777" w:rsidR="00E46C1D" w:rsidRPr="008E63BB" w:rsidRDefault="00E46C1D" w:rsidP="00E46C1D">
            <w:pPr>
              <w:jc w:val="center"/>
              <w:rPr>
                <w:sz w:val="24"/>
                <w:szCs w:val="24"/>
              </w:rPr>
            </w:pPr>
            <w:r w:rsidRPr="008E63BB">
              <w:rPr>
                <w:sz w:val="24"/>
                <w:szCs w:val="24"/>
              </w:rPr>
              <w:t>% Tiêu chuẩn cấp nước</w:t>
            </w:r>
          </w:p>
        </w:tc>
        <w:tc>
          <w:tcPr>
            <w:tcW w:w="0" w:type="auto"/>
            <w:shd w:val="clear" w:color="auto" w:fill="auto"/>
            <w:noWrap/>
            <w:vAlign w:val="center"/>
            <w:hideMark/>
          </w:tcPr>
          <w:p w14:paraId="519B334A" w14:textId="77777777" w:rsidR="00E46C1D" w:rsidRPr="008E63BB" w:rsidRDefault="00E46C1D" w:rsidP="00E46C1D">
            <w:pPr>
              <w:jc w:val="center"/>
              <w:rPr>
                <w:sz w:val="24"/>
                <w:szCs w:val="24"/>
              </w:rPr>
            </w:pPr>
            <w:r w:rsidRPr="008E63BB">
              <w:rPr>
                <w:sz w:val="24"/>
                <w:szCs w:val="24"/>
              </w:rPr>
              <w:t>70%</w:t>
            </w:r>
          </w:p>
        </w:tc>
        <w:tc>
          <w:tcPr>
            <w:tcW w:w="0" w:type="auto"/>
            <w:shd w:val="clear" w:color="auto" w:fill="auto"/>
            <w:noWrap/>
            <w:vAlign w:val="center"/>
            <w:hideMark/>
          </w:tcPr>
          <w:p w14:paraId="519B334B" w14:textId="77777777" w:rsidR="00E46C1D" w:rsidRPr="008E63BB" w:rsidRDefault="00E46C1D" w:rsidP="00E46C1D">
            <w:pPr>
              <w:jc w:val="center"/>
              <w:rPr>
                <w:sz w:val="24"/>
                <w:szCs w:val="24"/>
              </w:rPr>
            </w:pPr>
            <w:r w:rsidRPr="008E63BB">
              <w:rPr>
                <w:sz w:val="24"/>
                <w:szCs w:val="24"/>
              </w:rPr>
              <w:t>70%</w:t>
            </w:r>
          </w:p>
        </w:tc>
      </w:tr>
      <w:tr w:rsidR="008D5BFE" w:rsidRPr="008E63BB" w14:paraId="519B3352" w14:textId="77777777" w:rsidTr="00E46C1D">
        <w:trPr>
          <w:trHeight w:val="315"/>
        </w:trPr>
        <w:tc>
          <w:tcPr>
            <w:tcW w:w="670" w:type="dxa"/>
            <w:shd w:val="clear" w:color="auto" w:fill="auto"/>
            <w:noWrap/>
            <w:vAlign w:val="center"/>
            <w:hideMark/>
          </w:tcPr>
          <w:p w14:paraId="519B334D" w14:textId="77777777" w:rsidR="00E46C1D" w:rsidRPr="008E63BB" w:rsidRDefault="00E46C1D" w:rsidP="00E46C1D">
            <w:pPr>
              <w:jc w:val="center"/>
              <w:rPr>
                <w:sz w:val="24"/>
                <w:szCs w:val="24"/>
              </w:rPr>
            </w:pPr>
            <w:r w:rsidRPr="008E63BB">
              <w:rPr>
                <w:sz w:val="24"/>
                <w:szCs w:val="24"/>
              </w:rPr>
              <w:t>3.5</w:t>
            </w:r>
          </w:p>
        </w:tc>
        <w:tc>
          <w:tcPr>
            <w:tcW w:w="2565" w:type="dxa"/>
            <w:shd w:val="clear" w:color="auto" w:fill="auto"/>
            <w:noWrap/>
            <w:vAlign w:val="center"/>
            <w:hideMark/>
          </w:tcPr>
          <w:p w14:paraId="519B334E" w14:textId="77777777" w:rsidR="00E46C1D" w:rsidRPr="008E63BB" w:rsidRDefault="00E46C1D" w:rsidP="00E46C1D">
            <w:pPr>
              <w:jc w:val="left"/>
              <w:rPr>
                <w:sz w:val="24"/>
                <w:szCs w:val="24"/>
              </w:rPr>
            </w:pPr>
            <w:r w:rsidRPr="008E63BB">
              <w:rPr>
                <w:sz w:val="24"/>
                <w:szCs w:val="24"/>
              </w:rPr>
              <w:t>Chất thải rắn</w:t>
            </w:r>
          </w:p>
        </w:tc>
        <w:tc>
          <w:tcPr>
            <w:tcW w:w="2572" w:type="dxa"/>
            <w:shd w:val="clear" w:color="auto" w:fill="auto"/>
            <w:noWrap/>
            <w:vAlign w:val="center"/>
            <w:hideMark/>
          </w:tcPr>
          <w:p w14:paraId="519B334F"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vAlign w:val="center"/>
            <w:hideMark/>
          </w:tcPr>
          <w:p w14:paraId="519B3350" w14:textId="77777777" w:rsidR="00E46C1D" w:rsidRPr="008E63BB" w:rsidRDefault="00E46C1D" w:rsidP="00E46C1D">
            <w:pPr>
              <w:jc w:val="center"/>
              <w:rPr>
                <w:sz w:val="24"/>
                <w:szCs w:val="24"/>
              </w:rPr>
            </w:pPr>
            <w:r w:rsidRPr="008E63BB">
              <w:rPr>
                <w:sz w:val="24"/>
                <w:szCs w:val="24"/>
              </w:rPr>
              <w:t> </w:t>
            </w:r>
          </w:p>
        </w:tc>
        <w:tc>
          <w:tcPr>
            <w:tcW w:w="0" w:type="auto"/>
            <w:shd w:val="clear" w:color="auto" w:fill="auto"/>
            <w:vAlign w:val="center"/>
            <w:hideMark/>
          </w:tcPr>
          <w:p w14:paraId="519B3351" w14:textId="77777777" w:rsidR="00E46C1D" w:rsidRPr="008E63BB" w:rsidRDefault="00E46C1D" w:rsidP="00E46C1D">
            <w:pPr>
              <w:jc w:val="center"/>
              <w:rPr>
                <w:sz w:val="24"/>
                <w:szCs w:val="24"/>
              </w:rPr>
            </w:pPr>
            <w:r w:rsidRPr="008E63BB">
              <w:rPr>
                <w:sz w:val="24"/>
                <w:szCs w:val="24"/>
              </w:rPr>
              <w:t> </w:t>
            </w:r>
          </w:p>
        </w:tc>
      </w:tr>
      <w:tr w:rsidR="008D5BFE" w:rsidRPr="008E63BB" w14:paraId="519B3358" w14:textId="77777777" w:rsidTr="00E46C1D">
        <w:trPr>
          <w:trHeight w:val="630"/>
        </w:trPr>
        <w:tc>
          <w:tcPr>
            <w:tcW w:w="670" w:type="dxa"/>
            <w:shd w:val="clear" w:color="auto" w:fill="auto"/>
            <w:noWrap/>
            <w:vAlign w:val="center"/>
            <w:hideMark/>
          </w:tcPr>
          <w:p w14:paraId="519B3353"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54" w14:textId="77777777" w:rsidR="00E46C1D" w:rsidRPr="008E63BB" w:rsidRDefault="00E46C1D" w:rsidP="00E46C1D">
            <w:pPr>
              <w:jc w:val="left"/>
              <w:rPr>
                <w:sz w:val="24"/>
                <w:szCs w:val="24"/>
              </w:rPr>
            </w:pPr>
            <w:r w:rsidRPr="008E63BB">
              <w:rPr>
                <w:sz w:val="24"/>
                <w:szCs w:val="24"/>
              </w:rPr>
              <w:t>Sinh hoạt</w:t>
            </w:r>
          </w:p>
        </w:tc>
        <w:tc>
          <w:tcPr>
            <w:tcW w:w="2572" w:type="dxa"/>
            <w:shd w:val="clear" w:color="auto" w:fill="auto"/>
            <w:noWrap/>
            <w:vAlign w:val="center"/>
            <w:hideMark/>
          </w:tcPr>
          <w:p w14:paraId="519B3355" w14:textId="77777777" w:rsidR="00E46C1D" w:rsidRPr="008E63BB" w:rsidRDefault="00E46C1D" w:rsidP="00E46C1D">
            <w:pPr>
              <w:jc w:val="center"/>
              <w:rPr>
                <w:sz w:val="24"/>
                <w:szCs w:val="24"/>
              </w:rPr>
            </w:pPr>
            <w:r w:rsidRPr="008E63BB">
              <w:rPr>
                <w:sz w:val="24"/>
                <w:szCs w:val="24"/>
              </w:rPr>
              <w:t>kg/ng/ngày</w:t>
            </w:r>
          </w:p>
        </w:tc>
        <w:tc>
          <w:tcPr>
            <w:tcW w:w="0" w:type="auto"/>
            <w:shd w:val="clear" w:color="auto" w:fill="auto"/>
            <w:vAlign w:val="center"/>
            <w:hideMark/>
          </w:tcPr>
          <w:p w14:paraId="519B3356" w14:textId="77777777" w:rsidR="00E46C1D" w:rsidRPr="008E63BB" w:rsidRDefault="00E46C1D" w:rsidP="00E46C1D">
            <w:pPr>
              <w:jc w:val="center"/>
              <w:rPr>
                <w:sz w:val="24"/>
                <w:szCs w:val="24"/>
              </w:rPr>
            </w:pPr>
            <w:r w:rsidRPr="008E63BB">
              <w:rPr>
                <w:sz w:val="24"/>
                <w:szCs w:val="24"/>
              </w:rPr>
              <w:t>1,3 (TL thu gom 100%)</w:t>
            </w:r>
          </w:p>
        </w:tc>
        <w:tc>
          <w:tcPr>
            <w:tcW w:w="0" w:type="auto"/>
            <w:shd w:val="clear" w:color="auto" w:fill="auto"/>
            <w:vAlign w:val="center"/>
            <w:hideMark/>
          </w:tcPr>
          <w:p w14:paraId="519B3357" w14:textId="77777777" w:rsidR="00E46C1D" w:rsidRPr="008E63BB" w:rsidRDefault="00E46C1D" w:rsidP="00E46C1D">
            <w:pPr>
              <w:jc w:val="center"/>
              <w:rPr>
                <w:sz w:val="24"/>
                <w:szCs w:val="24"/>
              </w:rPr>
            </w:pPr>
            <w:r w:rsidRPr="008E63BB">
              <w:rPr>
                <w:sz w:val="24"/>
                <w:szCs w:val="24"/>
              </w:rPr>
              <w:t>1,3 (TL thu gom 100%)</w:t>
            </w:r>
          </w:p>
        </w:tc>
      </w:tr>
      <w:tr w:rsidR="008D5BFE" w:rsidRPr="008E63BB" w14:paraId="519B335E" w14:textId="77777777" w:rsidTr="00E46C1D">
        <w:trPr>
          <w:trHeight w:val="630"/>
        </w:trPr>
        <w:tc>
          <w:tcPr>
            <w:tcW w:w="670" w:type="dxa"/>
            <w:shd w:val="clear" w:color="auto" w:fill="auto"/>
            <w:noWrap/>
            <w:vAlign w:val="center"/>
            <w:hideMark/>
          </w:tcPr>
          <w:p w14:paraId="519B3359" w14:textId="77777777" w:rsidR="00E46C1D" w:rsidRPr="008E63BB" w:rsidRDefault="00E46C1D" w:rsidP="00E46C1D">
            <w:pPr>
              <w:jc w:val="center"/>
              <w:rPr>
                <w:sz w:val="24"/>
                <w:szCs w:val="24"/>
              </w:rPr>
            </w:pPr>
            <w:r w:rsidRPr="008E63BB">
              <w:rPr>
                <w:sz w:val="24"/>
                <w:szCs w:val="24"/>
              </w:rPr>
              <w:t> </w:t>
            </w:r>
          </w:p>
        </w:tc>
        <w:tc>
          <w:tcPr>
            <w:tcW w:w="2565" w:type="dxa"/>
            <w:shd w:val="clear" w:color="auto" w:fill="auto"/>
            <w:noWrap/>
            <w:vAlign w:val="center"/>
            <w:hideMark/>
          </w:tcPr>
          <w:p w14:paraId="519B335A" w14:textId="77777777" w:rsidR="00E46C1D" w:rsidRPr="008E63BB" w:rsidRDefault="00E46C1D" w:rsidP="00E46C1D">
            <w:pPr>
              <w:jc w:val="left"/>
              <w:rPr>
                <w:sz w:val="24"/>
                <w:szCs w:val="24"/>
              </w:rPr>
            </w:pPr>
            <w:r w:rsidRPr="008E63BB">
              <w:rPr>
                <w:sz w:val="24"/>
                <w:szCs w:val="24"/>
              </w:rPr>
              <w:t>Công nghiệp</w:t>
            </w:r>
          </w:p>
        </w:tc>
        <w:tc>
          <w:tcPr>
            <w:tcW w:w="2572" w:type="dxa"/>
            <w:shd w:val="clear" w:color="auto" w:fill="auto"/>
            <w:noWrap/>
            <w:vAlign w:val="center"/>
            <w:hideMark/>
          </w:tcPr>
          <w:p w14:paraId="519B335B" w14:textId="77777777" w:rsidR="00E46C1D" w:rsidRPr="008E63BB" w:rsidRDefault="00E46C1D" w:rsidP="00E46C1D">
            <w:pPr>
              <w:jc w:val="center"/>
              <w:rPr>
                <w:sz w:val="24"/>
                <w:szCs w:val="24"/>
              </w:rPr>
            </w:pPr>
            <w:r w:rsidRPr="008E63BB">
              <w:rPr>
                <w:sz w:val="24"/>
                <w:szCs w:val="24"/>
              </w:rPr>
              <w:t>Tấn/ha/ngày</w:t>
            </w:r>
          </w:p>
        </w:tc>
        <w:tc>
          <w:tcPr>
            <w:tcW w:w="0" w:type="auto"/>
            <w:shd w:val="clear" w:color="auto" w:fill="auto"/>
            <w:vAlign w:val="center"/>
            <w:hideMark/>
          </w:tcPr>
          <w:p w14:paraId="519B335C" w14:textId="77777777" w:rsidR="00E46C1D" w:rsidRPr="008E63BB" w:rsidRDefault="00E46C1D" w:rsidP="00E46C1D">
            <w:pPr>
              <w:jc w:val="center"/>
              <w:rPr>
                <w:sz w:val="24"/>
                <w:szCs w:val="24"/>
              </w:rPr>
            </w:pPr>
            <w:r w:rsidRPr="008E63BB">
              <w:rPr>
                <w:sz w:val="24"/>
                <w:szCs w:val="24"/>
              </w:rPr>
              <w:t>0,3 (TL thu gom 100%)</w:t>
            </w:r>
          </w:p>
        </w:tc>
        <w:tc>
          <w:tcPr>
            <w:tcW w:w="0" w:type="auto"/>
            <w:shd w:val="clear" w:color="auto" w:fill="auto"/>
            <w:vAlign w:val="center"/>
            <w:hideMark/>
          </w:tcPr>
          <w:p w14:paraId="519B335D" w14:textId="77777777" w:rsidR="00E46C1D" w:rsidRPr="008E63BB" w:rsidRDefault="00E46C1D" w:rsidP="00E46C1D">
            <w:pPr>
              <w:jc w:val="center"/>
              <w:rPr>
                <w:sz w:val="24"/>
                <w:szCs w:val="24"/>
              </w:rPr>
            </w:pPr>
            <w:r w:rsidRPr="008E63BB">
              <w:rPr>
                <w:sz w:val="24"/>
                <w:szCs w:val="24"/>
              </w:rPr>
              <w:t>0,3 (TL thu gom 100%)</w:t>
            </w:r>
          </w:p>
        </w:tc>
      </w:tr>
      <w:tr w:rsidR="008D5BFE" w:rsidRPr="008E63BB" w14:paraId="519B3364" w14:textId="77777777" w:rsidTr="00E46C1D">
        <w:trPr>
          <w:trHeight w:val="391"/>
        </w:trPr>
        <w:tc>
          <w:tcPr>
            <w:tcW w:w="670" w:type="dxa"/>
            <w:shd w:val="clear" w:color="auto" w:fill="auto"/>
            <w:noWrap/>
            <w:vAlign w:val="center"/>
          </w:tcPr>
          <w:p w14:paraId="519B335F" w14:textId="77777777" w:rsidR="00E46C1D" w:rsidRPr="008E63BB" w:rsidRDefault="00E46C1D" w:rsidP="00E46C1D">
            <w:pPr>
              <w:jc w:val="center"/>
              <w:rPr>
                <w:sz w:val="24"/>
                <w:szCs w:val="24"/>
              </w:rPr>
            </w:pPr>
          </w:p>
        </w:tc>
        <w:tc>
          <w:tcPr>
            <w:tcW w:w="2565" w:type="dxa"/>
            <w:shd w:val="clear" w:color="auto" w:fill="auto"/>
            <w:noWrap/>
            <w:vAlign w:val="center"/>
          </w:tcPr>
          <w:p w14:paraId="519B3360" w14:textId="77777777" w:rsidR="00E46C1D" w:rsidRPr="008E63BB" w:rsidRDefault="00E46C1D" w:rsidP="00E46C1D">
            <w:pPr>
              <w:jc w:val="left"/>
              <w:rPr>
                <w:sz w:val="24"/>
                <w:szCs w:val="24"/>
              </w:rPr>
            </w:pPr>
            <w:r w:rsidRPr="008E63BB">
              <w:rPr>
                <w:sz w:val="24"/>
                <w:szCs w:val="24"/>
              </w:rPr>
              <w:t>Xây dựng</w:t>
            </w:r>
          </w:p>
        </w:tc>
        <w:tc>
          <w:tcPr>
            <w:tcW w:w="2572" w:type="dxa"/>
            <w:shd w:val="clear" w:color="auto" w:fill="auto"/>
            <w:noWrap/>
            <w:vAlign w:val="center"/>
          </w:tcPr>
          <w:p w14:paraId="519B3361" w14:textId="77777777" w:rsidR="00E46C1D" w:rsidRPr="008E63BB" w:rsidRDefault="00E46C1D" w:rsidP="00E46C1D">
            <w:pPr>
              <w:jc w:val="center"/>
              <w:rPr>
                <w:sz w:val="24"/>
                <w:szCs w:val="24"/>
              </w:rPr>
            </w:pPr>
            <w:r w:rsidRPr="008E63BB">
              <w:rPr>
                <w:sz w:val="24"/>
                <w:szCs w:val="24"/>
              </w:rPr>
              <w:t>% CTR sinh hoạt</w:t>
            </w:r>
          </w:p>
        </w:tc>
        <w:tc>
          <w:tcPr>
            <w:tcW w:w="0" w:type="auto"/>
            <w:shd w:val="clear" w:color="auto" w:fill="auto"/>
            <w:vAlign w:val="center"/>
          </w:tcPr>
          <w:p w14:paraId="519B3362" w14:textId="77777777" w:rsidR="00E46C1D" w:rsidRPr="008E63BB" w:rsidRDefault="00E46C1D" w:rsidP="00E46C1D">
            <w:pPr>
              <w:jc w:val="center"/>
              <w:rPr>
                <w:sz w:val="24"/>
                <w:szCs w:val="24"/>
              </w:rPr>
            </w:pPr>
            <w:r w:rsidRPr="008E63BB">
              <w:rPr>
                <w:sz w:val="24"/>
                <w:szCs w:val="24"/>
              </w:rPr>
              <w:t>25%</w:t>
            </w:r>
          </w:p>
        </w:tc>
        <w:tc>
          <w:tcPr>
            <w:tcW w:w="0" w:type="auto"/>
            <w:shd w:val="clear" w:color="auto" w:fill="auto"/>
            <w:vAlign w:val="center"/>
          </w:tcPr>
          <w:p w14:paraId="519B3363" w14:textId="77777777" w:rsidR="00E46C1D" w:rsidRPr="008E63BB" w:rsidRDefault="00E46C1D" w:rsidP="00E46C1D">
            <w:pPr>
              <w:jc w:val="center"/>
              <w:rPr>
                <w:sz w:val="24"/>
                <w:szCs w:val="24"/>
              </w:rPr>
            </w:pPr>
            <w:r w:rsidRPr="008E63BB">
              <w:rPr>
                <w:sz w:val="24"/>
                <w:szCs w:val="24"/>
              </w:rPr>
              <w:t>20%</w:t>
            </w:r>
          </w:p>
        </w:tc>
      </w:tr>
    </w:tbl>
    <w:p w14:paraId="519B3365" w14:textId="77777777" w:rsidR="007613CB" w:rsidRPr="008E63BB" w:rsidRDefault="007613CB" w:rsidP="0065184D">
      <w:pPr>
        <w:pStyle w:val="Heading1"/>
        <w:rPr>
          <w:lang w:val="vi-VN"/>
        </w:rPr>
      </w:pPr>
    </w:p>
    <w:p w14:paraId="519B3366" w14:textId="77777777" w:rsidR="007613CB" w:rsidRPr="008E63BB" w:rsidRDefault="007613CB">
      <w:pPr>
        <w:jc w:val="left"/>
        <w:rPr>
          <w:rFonts w:eastAsia="Times New Roman"/>
          <w:b/>
          <w:bCs/>
          <w:kern w:val="32"/>
          <w:sz w:val="24"/>
          <w:szCs w:val="24"/>
          <w:lang w:val="vi-VN"/>
        </w:rPr>
      </w:pPr>
      <w:r w:rsidRPr="008E63BB">
        <w:rPr>
          <w:lang w:val="vi-VN"/>
        </w:rPr>
        <w:br w:type="page"/>
      </w:r>
    </w:p>
    <w:p w14:paraId="519B3367" w14:textId="77777777" w:rsidR="00E71EF0" w:rsidRPr="008E63BB" w:rsidRDefault="00E71EF0" w:rsidP="0065184D">
      <w:pPr>
        <w:pStyle w:val="Heading1"/>
        <w:rPr>
          <w:lang w:val="vi-VN"/>
        </w:rPr>
      </w:pPr>
      <w:bookmarkStart w:id="360" w:name="_Toc47524693"/>
      <w:r w:rsidRPr="008E63BB">
        <w:rPr>
          <w:lang w:val="vi-VN"/>
        </w:rPr>
        <w:lastRenderedPageBreak/>
        <w:t>V. PHẦN 5: ĐỊNH HƯỚNG PHÁT TRIỂN KHÔNG</w:t>
      </w:r>
      <w:r w:rsidR="00F309A9" w:rsidRPr="008E63BB">
        <w:rPr>
          <w:lang w:val="vi-VN"/>
        </w:rPr>
        <w:t xml:space="preserve"> GIAN ĐÔ THỊ THÀNH PHỐ NAM ĐỊNH ĐẾN NĂM 2040</w:t>
      </w:r>
      <w:bookmarkEnd w:id="353"/>
      <w:bookmarkEnd w:id="354"/>
      <w:bookmarkEnd w:id="355"/>
      <w:bookmarkEnd w:id="356"/>
      <w:bookmarkEnd w:id="360"/>
    </w:p>
    <w:p w14:paraId="519B3368" w14:textId="77777777" w:rsidR="00A2594B" w:rsidRPr="008E63BB" w:rsidRDefault="00A2594B" w:rsidP="0065184D">
      <w:pPr>
        <w:pStyle w:val="Heading2"/>
        <w:spacing w:before="0" w:after="0"/>
        <w:rPr>
          <w:kern w:val="32"/>
          <w:lang w:val="vi-VN"/>
        </w:rPr>
      </w:pPr>
      <w:bookmarkStart w:id="361" w:name="_Toc47524694"/>
      <w:bookmarkStart w:id="362" w:name="_Toc341519060"/>
      <w:bookmarkStart w:id="363" w:name="_Toc341519161"/>
      <w:bookmarkStart w:id="364" w:name="_Toc344928474"/>
      <w:bookmarkStart w:id="365" w:name="_Toc345538382"/>
      <w:r w:rsidRPr="008E63BB">
        <w:rPr>
          <w:kern w:val="32"/>
          <w:lang w:val="vi-VN"/>
        </w:rPr>
        <w:t>5.</w:t>
      </w:r>
      <w:r w:rsidR="00077538" w:rsidRPr="008E63BB">
        <w:rPr>
          <w:kern w:val="32"/>
          <w:lang w:val="vi-VN"/>
        </w:rPr>
        <w:t>1</w:t>
      </w:r>
      <w:r w:rsidRPr="008E63BB">
        <w:rPr>
          <w:kern w:val="32"/>
          <w:lang w:val="vi-VN"/>
        </w:rPr>
        <w:t>. Xây dựng cơ cấu phân khu chức năng</w:t>
      </w:r>
      <w:bookmarkEnd w:id="361"/>
    </w:p>
    <w:p w14:paraId="519B3369" w14:textId="77777777" w:rsidR="00A2594B" w:rsidRPr="008E63BB" w:rsidRDefault="00077538" w:rsidP="0065184D">
      <w:pPr>
        <w:rPr>
          <w:rFonts w:eastAsia="Times New Roman"/>
          <w:b/>
          <w:bCs/>
          <w:i/>
          <w:szCs w:val="26"/>
          <w:lang w:val="vi-VN"/>
        </w:rPr>
      </w:pPr>
      <w:r w:rsidRPr="008E63BB">
        <w:rPr>
          <w:rFonts w:eastAsia="Times New Roman"/>
          <w:b/>
          <w:bCs/>
          <w:i/>
          <w:szCs w:val="26"/>
          <w:lang w:val="vi-VN"/>
        </w:rPr>
        <w:t>5.1</w:t>
      </w:r>
      <w:r w:rsidR="00A2594B" w:rsidRPr="008E63BB">
        <w:rPr>
          <w:rFonts w:eastAsia="Times New Roman"/>
          <w:b/>
          <w:bCs/>
          <w:i/>
          <w:szCs w:val="26"/>
          <w:lang w:val="vi-VN"/>
        </w:rPr>
        <w:t>.1. Phương án 1 (Phương án chọn):</w:t>
      </w:r>
    </w:p>
    <w:p w14:paraId="519B336A" w14:textId="77777777" w:rsidR="00D63C8D" w:rsidRPr="008E63BB" w:rsidRDefault="00D63C8D" w:rsidP="00D63C8D">
      <w:pPr>
        <w:pStyle w:val="bac-bullet03"/>
        <w:numPr>
          <w:ilvl w:val="0"/>
          <w:numId w:val="0"/>
        </w:numPr>
        <w:tabs>
          <w:tab w:val="clear" w:pos="1120"/>
        </w:tabs>
        <w:spacing w:before="80" w:after="80"/>
        <w:ind w:firstLine="720"/>
        <w:jc w:val="both"/>
        <w:rPr>
          <w:sz w:val="28"/>
          <w:szCs w:val="28"/>
        </w:rPr>
      </w:pPr>
      <w:r w:rsidRPr="008E63BB">
        <w:rPr>
          <w:sz w:val="28"/>
          <w:szCs w:val="28"/>
        </w:rPr>
        <w:t xml:space="preserve">Giải quyết các vấn đề của trung tâm đô thị hiện hữu và các khu vực tăng trưởng dọc theo QL 21 và QL21B, xây dựng phát triển thành phố hai bên sông với vành đai tăng trưởng thương mại, dịch vụ, mô hình và cấu trúc phát triển đô thị Nam Định cụ thể như sau: </w:t>
      </w:r>
    </w:p>
    <w:p w14:paraId="519B336B" w14:textId="77777777" w:rsidR="00D63C8D" w:rsidRPr="008E63BB" w:rsidRDefault="00D63C8D" w:rsidP="00D63C8D">
      <w:pPr>
        <w:pStyle w:val="bac-bullet03"/>
        <w:numPr>
          <w:ilvl w:val="0"/>
          <w:numId w:val="0"/>
        </w:numPr>
        <w:tabs>
          <w:tab w:val="clear" w:pos="1120"/>
        </w:tabs>
        <w:spacing w:before="80" w:after="80"/>
        <w:ind w:firstLine="720"/>
        <w:jc w:val="both"/>
        <w:rPr>
          <w:sz w:val="28"/>
          <w:szCs w:val="28"/>
        </w:rPr>
      </w:pPr>
      <w:r w:rsidRPr="008E63BB">
        <w:rPr>
          <w:sz w:val="28"/>
          <w:szCs w:val="28"/>
        </w:rPr>
        <w:t>- Tái thiết, tạo hình ảnh đặc trưng tại lõi đô thị cổ;</w:t>
      </w:r>
    </w:p>
    <w:p w14:paraId="519B336C" w14:textId="77777777" w:rsidR="00D63C8D" w:rsidRPr="008E63BB" w:rsidRDefault="00D63C8D" w:rsidP="00D63C8D">
      <w:pPr>
        <w:pStyle w:val="bac-bullet03"/>
        <w:numPr>
          <w:ilvl w:val="0"/>
          <w:numId w:val="0"/>
        </w:numPr>
        <w:tabs>
          <w:tab w:val="clear" w:pos="1120"/>
        </w:tabs>
        <w:spacing w:before="80" w:after="80"/>
        <w:ind w:firstLine="720"/>
        <w:jc w:val="both"/>
        <w:rPr>
          <w:sz w:val="28"/>
          <w:szCs w:val="28"/>
        </w:rPr>
      </w:pPr>
      <w:r w:rsidRPr="008E63BB">
        <w:rPr>
          <w:sz w:val="28"/>
          <w:szCs w:val="28"/>
        </w:rPr>
        <w:t>- Cải thiện hình ảnh và tiện ích của khu vực phát triển đô thị phía Nam vành đai 1;</w:t>
      </w:r>
    </w:p>
    <w:p w14:paraId="519B336D" w14:textId="77777777" w:rsidR="00D63C8D" w:rsidRPr="008E63BB" w:rsidRDefault="00D63C8D" w:rsidP="00D63C8D">
      <w:pPr>
        <w:pStyle w:val="bac-bullet03"/>
        <w:numPr>
          <w:ilvl w:val="0"/>
          <w:numId w:val="0"/>
        </w:numPr>
        <w:tabs>
          <w:tab w:val="clear" w:pos="1120"/>
        </w:tabs>
        <w:spacing w:before="80" w:after="80"/>
        <w:ind w:firstLine="720"/>
        <w:jc w:val="both"/>
        <w:rPr>
          <w:sz w:val="28"/>
          <w:szCs w:val="28"/>
        </w:rPr>
      </w:pPr>
      <w:r w:rsidRPr="008E63BB">
        <w:rPr>
          <w:sz w:val="28"/>
          <w:szCs w:val="28"/>
        </w:rPr>
        <w:t>- Xây dựng đô thị mới Nam sông Đào gắn với các công trình tiện ích đô thị mới tạo sức hút và hình ảnh đối trọng với đô thị hiện hữu;</w:t>
      </w:r>
    </w:p>
    <w:p w14:paraId="519B336E" w14:textId="77777777" w:rsidR="00D63C8D" w:rsidRPr="008E63BB" w:rsidRDefault="00D63C8D" w:rsidP="00D63C8D">
      <w:pPr>
        <w:pStyle w:val="bac-bullet03"/>
        <w:numPr>
          <w:ilvl w:val="0"/>
          <w:numId w:val="0"/>
        </w:numPr>
        <w:tabs>
          <w:tab w:val="clear" w:pos="1120"/>
        </w:tabs>
        <w:spacing w:before="80" w:after="80"/>
        <w:ind w:firstLine="720"/>
        <w:jc w:val="both"/>
        <w:rPr>
          <w:sz w:val="28"/>
          <w:szCs w:val="28"/>
        </w:rPr>
      </w:pPr>
      <w:r w:rsidRPr="008E63BB">
        <w:rPr>
          <w:sz w:val="28"/>
          <w:szCs w:val="28"/>
        </w:rPr>
        <w:t>- Tạo tuyến vành đai mới gắn với đô thị - dịch vụ - công nghiệp, thu hút đầu tư với công nghệ thông minh, xanh, là không gian bổ trợ khu vực phát triển mở rộng của thành phố, chuyển đường VĐ1 và QL10 thành đường nội thị;</w:t>
      </w:r>
    </w:p>
    <w:p w14:paraId="519B336F" w14:textId="77777777" w:rsidR="00D63C8D" w:rsidRPr="008E63BB" w:rsidRDefault="00D63C8D" w:rsidP="00D63C8D">
      <w:pPr>
        <w:pStyle w:val="bac-bullet03"/>
        <w:numPr>
          <w:ilvl w:val="0"/>
          <w:numId w:val="0"/>
        </w:numPr>
        <w:tabs>
          <w:tab w:val="clear" w:pos="1120"/>
        </w:tabs>
        <w:spacing w:before="80" w:after="80"/>
        <w:ind w:firstLine="720"/>
        <w:jc w:val="both"/>
        <w:rPr>
          <w:sz w:val="28"/>
          <w:szCs w:val="28"/>
        </w:rPr>
      </w:pPr>
      <w:r w:rsidRPr="008E63BB">
        <w:rPr>
          <w:sz w:val="28"/>
          <w:szCs w:val="28"/>
        </w:rPr>
        <w:t>- Tạo không gian xanh, sinh thái ven sông gắn với các hoạt động cộng đồng khai thác du lịch sinh thái, nông nghiệp và không gian đô thị. Hình thành các khu du lịch, khu ở sinh thái và khu nông nghiệp công nghệ cao (khu vực Nam sông Đào và các xã thuộc huyện Nam Trực);</w:t>
      </w:r>
    </w:p>
    <w:p w14:paraId="519B3370" w14:textId="77777777" w:rsidR="00A2594B" w:rsidRPr="008E63BB" w:rsidRDefault="00D63C8D" w:rsidP="00D63C8D">
      <w:pPr>
        <w:ind w:firstLine="540"/>
        <w:rPr>
          <w:lang w:val="vi-VN"/>
        </w:rPr>
      </w:pPr>
      <w:r w:rsidRPr="008E63BB">
        <w:rPr>
          <w:sz w:val="28"/>
          <w:szCs w:val="28"/>
          <w:lang w:val="vi-VN"/>
        </w:rPr>
        <w:t>- Tạo kết nối thành phố Nam Định với vùng kinh tế biển phía Nam của tỉnh với các trục hướng tâm mạnh mẽ, thu hút đầu tư mới.</w:t>
      </w:r>
    </w:p>
    <w:p w14:paraId="519B3371" w14:textId="77777777" w:rsidR="00A2594B" w:rsidRPr="008E63BB" w:rsidRDefault="00A2594B" w:rsidP="0065184D">
      <w:pPr>
        <w:ind w:firstLine="540"/>
        <w:rPr>
          <w:lang w:val="vi-VN"/>
        </w:rPr>
      </w:pPr>
      <w:r w:rsidRPr="008E63BB">
        <w:rPr>
          <w:noProof/>
          <w:lang w:eastAsia="zh-CN"/>
        </w:rPr>
        <w:drawing>
          <wp:inline distT="0" distB="0" distL="0" distR="0" wp14:anchorId="519B5233" wp14:editId="519B5234">
            <wp:extent cx="4572000" cy="2955758"/>
            <wp:effectExtent l="0" t="0" r="0" b="0"/>
            <wp:docPr id="53" name="Picture 2" descr="A picture containing text, map&#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93D6C0C-9656-4645-B33D-0F0127FCC80E}"/>
                </a:ext>
              </a:extLst>
            </wp:docPr>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map&#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93D6C0C-9656-4645-B33D-0F0127FCC80E}"/>
                        </a:ext>
                      </a:extLst>
                    </pic:cNvPr>
                    <pic:cNvPicPr>
                      <a:picLocks noChangeAspect="1"/>
                    </pic:cNvPicPr>
                  </pic:nvPicPr>
                  <pic:blipFill rotWithShape="1">
                    <a:blip r:embed="rId88" cstate="screen">
                      <a:extLst>
                        <a:ext uri="{28A0092B-C50C-407E-A947-70E740481C1C}">
                          <a14:useLocalDpi xmlns:a14="http://schemas.microsoft.com/office/drawing/2010/main"/>
                        </a:ext>
                      </a:extLst>
                    </a:blip>
                    <a:srcRect/>
                    <a:stretch/>
                  </pic:blipFill>
                  <pic:spPr>
                    <a:xfrm>
                      <a:off x="0" y="0"/>
                      <a:ext cx="4580493" cy="2961249"/>
                    </a:xfrm>
                    <a:prstGeom prst="rect">
                      <a:avLst/>
                    </a:prstGeom>
                  </pic:spPr>
                </pic:pic>
              </a:graphicData>
            </a:graphic>
          </wp:inline>
        </w:drawing>
      </w:r>
    </w:p>
    <w:p w14:paraId="519B3372" w14:textId="77777777" w:rsidR="00A2594B" w:rsidRPr="008E63BB" w:rsidRDefault="00A2594B" w:rsidP="0065184D">
      <w:pPr>
        <w:rPr>
          <w:rFonts w:eastAsia="Times New Roman"/>
          <w:b/>
          <w:bCs/>
          <w:i/>
          <w:szCs w:val="26"/>
          <w:lang w:val="vi-VN"/>
        </w:rPr>
      </w:pPr>
      <w:r w:rsidRPr="008E63BB">
        <w:rPr>
          <w:rFonts w:eastAsia="Times New Roman"/>
          <w:b/>
          <w:bCs/>
          <w:i/>
          <w:szCs w:val="26"/>
          <w:lang w:val="vi-VN"/>
        </w:rPr>
        <w:t>5.</w:t>
      </w:r>
      <w:r w:rsidR="00077538" w:rsidRPr="008E63BB">
        <w:rPr>
          <w:rFonts w:eastAsia="Times New Roman"/>
          <w:b/>
          <w:bCs/>
          <w:i/>
          <w:szCs w:val="26"/>
          <w:lang w:val="vi-VN"/>
        </w:rPr>
        <w:t>1</w:t>
      </w:r>
      <w:r w:rsidRPr="008E63BB">
        <w:rPr>
          <w:rFonts w:eastAsia="Times New Roman"/>
          <w:b/>
          <w:bCs/>
          <w:i/>
          <w:szCs w:val="26"/>
          <w:lang w:val="vi-VN"/>
        </w:rPr>
        <w:t>.2. Phương án 2:</w:t>
      </w:r>
    </w:p>
    <w:p w14:paraId="519B3373" w14:textId="77777777" w:rsidR="00A2594B" w:rsidRPr="008E63BB" w:rsidRDefault="00256055" w:rsidP="0065184D">
      <w:pPr>
        <w:ind w:firstLine="540"/>
        <w:rPr>
          <w:lang w:val="vi-VN"/>
        </w:rPr>
      </w:pPr>
      <w:r w:rsidRPr="008E63BB">
        <w:rPr>
          <w:lang w:val="vi-VN"/>
        </w:rPr>
        <w:t>Gi</w:t>
      </w:r>
      <w:r w:rsidR="00A2594B" w:rsidRPr="008E63BB">
        <w:rPr>
          <w:lang w:val="vi-VN"/>
        </w:rPr>
        <w:t>ải quyết các vấn đề của trung tâm đô thị hiện hữu và vành đai tăng trưởng Tây - Bắc cụ thể:</w:t>
      </w:r>
    </w:p>
    <w:p w14:paraId="519B3374" w14:textId="77777777" w:rsidR="00A2594B" w:rsidRPr="008E63BB" w:rsidRDefault="00A2594B" w:rsidP="0065184D">
      <w:pPr>
        <w:ind w:firstLine="540"/>
        <w:rPr>
          <w:lang w:val="vi-VN"/>
        </w:rPr>
      </w:pPr>
      <w:r w:rsidRPr="008E63BB">
        <w:rPr>
          <w:lang w:val="vi-VN"/>
        </w:rPr>
        <w:t xml:space="preserve">- Cải thiện hình ảnh &amp; củng cố trung tâm thành phố hiện hữu </w:t>
      </w:r>
    </w:p>
    <w:p w14:paraId="519B3375" w14:textId="77777777" w:rsidR="00A2594B" w:rsidRPr="008E63BB" w:rsidRDefault="00A2594B" w:rsidP="0065184D">
      <w:pPr>
        <w:ind w:firstLine="540"/>
        <w:rPr>
          <w:lang w:val="vi-VN"/>
        </w:rPr>
      </w:pPr>
      <w:r w:rsidRPr="008E63BB">
        <w:rPr>
          <w:lang w:val="vi-VN"/>
        </w:rPr>
        <w:t xml:space="preserve">- Hạn chế phát triển ở bờ phải </w:t>
      </w:r>
    </w:p>
    <w:p w14:paraId="519B3376" w14:textId="77777777" w:rsidR="00A2594B" w:rsidRPr="008E63BB" w:rsidRDefault="00A2594B" w:rsidP="0065184D">
      <w:pPr>
        <w:ind w:firstLine="540"/>
        <w:rPr>
          <w:lang w:val="vi-VN"/>
        </w:rPr>
      </w:pPr>
      <w:r w:rsidRPr="008E63BB">
        <w:rPr>
          <w:lang w:val="vi-VN"/>
        </w:rPr>
        <w:t xml:space="preserve">- Duy trì và nâng cao chất lượng môi trường đường vành đai </w:t>
      </w:r>
    </w:p>
    <w:p w14:paraId="519B3377" w14:textId="77777777" w:rsidR="00A2594B" w:rsidRPr="008E63BB" w:rsidRDefault="00A2594B" w:rsidP="0065184D">
      <w:pPr>
        <w:ind w:firstLine="540"/>
        <w:rPr>
          <w:lang w:val="vi-VN"/>
        </w:rPr>
      </w:pPr>
      <w:r w:rsidRPr="008E63BB">
        <w:rPr>
          <w:lang w:val="vi-VN"/>
        </w:rPr>
        <w:lastRenderedPageBreak/>
        <w:t xml:space="preserve">- Xây dựng và kết nối các khu công nghiệp/ khu chức năng việc làm bên ngoài đường vành đai </w:t>
      </w:r>
    </w:p>
    <w:p w14:paraId="519B3378" w14:textId="77777777" w:rsidR="00A2594B" w:rsidRPr="008E63BB" w:rsidRDefault="00A2594B" w:rsidP="0065184D">
      <w:pPr>
        <w:ind w:firstLine="540"/>
        <w:rPr>
          <w:lang w:val="vi-VN"/>
        </w:rPr>
      </w:pPr>
      <w:r w:rsidRPr="008E63BB">
        <w:rPr>
          <w:lang w:val="vi-VN"/>
        </w:rPr>
        <w:t xml:space="preserve">- Hành lang tăng trưởng về phía tây &amp; bắc khi mở rộng đô thị </w:t>
      </w:r>
    </w:p>
    <w:p w14:paraId="519B3379" w14:textId="77777777" w:rsidR="00A2594B" w:rsidRPr="008E63BB" w:rsidRDefault="00A2594B" w:rsidP="0065184D">
      <w:pPr>
        <w:ind w:firstLine="540"/>
        <w:rPr>
          <w:lang w:val="vi-VN"/>
        </w:rPr>
      </w:pPr>
      <w:r w:rsidRPr="008E63BB">
        <w:rPr>
          <w:lang w:val="vi-VN"/>
        </w:rPr>
        <w:t>- Hình thành các vành đai xanh xung quanh các khu vực đô thị.</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37B" w14:textId="77777777" w:rsidTr="00DB5160">
        <w:tc>
          <w:tcPr>
            <w:tcW w:w="9276" w:type="dxa"/>
          </w:tcPr>
          <w:p w14:paraId="519B337A" w14:textId="77777777" w:rsidR="00DB5160" w:rsidRPr="008E63BB" w:rsidRDefault="00DB5160" w:rsidP="00DB5160">
            <w:pPr>
              <w:jc w:val="center"/>
            </w:pPr>
            <w:r w:rsidRPr="008E63BB">
              <w:rPr>
                <w:noProof/>
                <w:lang w:eastAsia="zh-CN"/>
              </w:rPr>
              <w:drawing>
                <wp:inline distT="0" distB="0" distL="0" distR="0" wp14:anchorId="519B5235" wp14:editId="519B5236">
                  <wp:extent cx="4238625" cy="3150898"/>
                  <wp:effectExtent l="0" t="0" r="0" b="0"/>
                  <wp:docPr id="39" name="Picture 9" descr="A picture containing text, map&#10;&#10;Description automatically generated">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D627490-CE79-4A5A-BFF1-CD8A658FF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icture containing text, map&#10;&#10;Description automatically generated">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D627490-CE79-4A5A-BFF1-CD8A658FFCAA}"/>
                              </a:ext>
                            </a:extLst>
                          </pic:cNvPr>
                          <pic:cNvPicPr>
                            <a:picLocks noChangeAspect="1"/>
                          </pic:cNvPicPr>
                        </pic:nvPicPr>
                        <pic:blipFill rotWithShape="1">
                          <a:blip r:embed="rId89" cstate="screen">
                            <a:extLst>
                              <a:ext uri="{28A0092B-C50C-407E-A947-70E740481C1C}">
                                <a14:useLocalDpi xmlns:a14="http://schemas.microsoft.com/office/drawing/2010/main"/>
                              </a:ext>
                            </a:extLst>
                          </a:blip>
                          <a:srcRect/>
                          <a:stretch/>
                        </pic:blipFill>
                        <pic:spPr>
                          <a:xfrm>
                            <a:off x="0" y="0"/>
                            <a:ext cx="4245961" cy="3156351"/>
                          </a:xfrm>
                          <a:prstGeom prst="rect">
                            <a:avLst/>
                          </a:prstGeom>
                        </pic:spPr>
                      </pic:pic>
                    </a:graphicData>
                  </a:graphic>
                </wp:inline>
              </w:drawing>
            </w:r>
          </w:p>
        </w:tc>
      </w:tr>
    </w:tbl>
    <w:p w14:paraId="519B337C" w14:textId="77777777" w:rsidR="00DB5160" w:rsidRPr="008E63BB" w:rsidRDefault="00DB5160" w:rsidP="0065184D">
      <w:pPr>
        <w:ind w:firstLine="540"/>
      </w:pPr>
    </w:p>
    <w:p w14:paraId="519B337D" w14:textId="77777777" w:rsidR="00256055" w:rsidRPr="008E63BB" w:rsidRDefault="00370370" w:rsidP="00370370">
      <w:pPr>
        <w:ind w:firstLine="540"/>
        <w:rPr>
          <w:szCs w:val="26"/>
          <w:lang w:val="pt-BR"/>
        </w:rPr>
      </w:pPr>
      <w:r w:rsidRPr="008E63BB">
        <w:t>Phương án 1</w:t>
      </w:r>
      <w:r w:rsidRPr="008E63BB">
        <w:rPr>
          <w:szCs w:val="26"/>
          <w:lang w:val="pt-BR"/>
        </w:rPr>
        <w:t xml:space="preserve"> khai thác tối đa lợi thế của hệ thống giao thông liên vùng (đường sắt, đường thủy, đường cao tốc để hình thành các khu đầu mối giao thông và hạ tầng kinh tế cho đô thị ở khu vực huyện Mỹ Lộc; </w:t>
      </w:r>
      <w:r w:rsidR="00DB5160" w:rsidRPr="008E63BB">
        <w:rPr>
          <w:szCs w:val="26"/>
          <w:lang w:val="pt-BR"/>
        </w:rPr>
        <w:t>k</w:t>
      </w:r>
      <w:r w:rsidRPr="008E63BB">
        <w:rPr>
          <w:szCs w:val="26"/>
          <w:lang w:val="pt-BR"/>
        </w:rPr>
        <w:t xml:space="preserve">hai thác khung thiên nhiên, điều kiện tự nhiên để hình thành các khu chức năng mới. Do vậy lựa chọn </w:t>
      </w:r>
      <w:r w:rsidRPr="008E63BB">
        <w:rPr>
          <w:b/>
          <w:szCs w:val="26"/>
          <w:lang w:val="pt-BR"/>
        </w:rPr>
        <w:t>phương án 1</w:t>
      </w:r>
      <w:r w:rsidRPr="008E63BB">
        <w:rPr>
          <w:szCs w:val="26"/>
          <w:lang w:val="pt-BR"/>
        </w:rPr>
        <w:t>.</w:t>
      </w:r>
    </w:p>
    <w:p w14:paraId="519B337E" w14:textId="77777777" w:rsidR="00115E69" w:rsidRPr="008E63BB" w:rsidRDefault="00F53F66" w:rsidP="005C2C02">
      <w:pPr>
        <w:pStyle w:val="Heading2"/>
        <w:spacing w:before="0" w:after="0"/>
        <w:rPr>
          <w:kern w:val="32"/>
          <w:lang w:val="pt-BR"/>
        </w:rPr>
      </w:pPr>
      <w:bookmarkStart w:id="366" w:name="_Toc21955362"/>
      <w:bookmarkStart w:id="367" w:name="_Toc47524695"/>
      <w:bookmarkStart w:id="368" w:name="_Toc341519063"/>
      <w:bookmarkStart w:id="369" w:name="_Toc341519164"/>
      <w:bookmarkStart w:id="370" w:name="_Toc344928477"/>
      <w:bookmarkStart w:id="371" w:name="_Toc345538385"/>
      <w:bookmarkEnd w:id="362"/>
      <w:bookmarkEnd w:id="363"/>
      <w:bookmarkEnd w:id="364"/>
      <w:bookmarkEnd w:id="365"/>
      <w:r w:rsidRPr="008E63BB">
        <w:rPr>
          <w:kern w:val="32"/>
          <w:lang w:val="pt-BR"/>
        </w:rPr>
        <w:t>5.2</w:t>
      </w:r>
      <w:r w:rsidR="00115E69" w:rsidRPr="008E63BB">
        <w:rPr>
          <w:kern w:val="32"/>
          <w:lang w:val="pt-BR"/>
        </w:rPr>
        <w:t>. Hướng phát triển đô thị</w:t>
      </w:r>
      <w:bookmarkEnd w:id="366"/>
      <w:bookmarkEnd w:id="367"/>
    </w:p>
    <w:p w14:paraId="519B337F" w14:textId="77777777" w:rsidR="00CA3101" w:rsidRPr="008E63BB" w:rsidRDefault="007D5896" w:rsidP="0065184D">
      <w:pPr>
        <w:ind w:firstLine="720"/>
        <w:rPr>
          <w:szCs w:val="26"/>
          <w:lang w:val="pt-BR"/>
        </w:rPr>
      </w:pPr>
      <w:r w:rsidRPr="008E63BB">
        <w:rPr>
          <w:szCs w:val="26"/>
          <w:lang w:val="pt-BR"/>
        </w:rPr>
        <w:t>Về tổng thể, thành phố Nam Định được định hướng phát triển lan tỏa từ đô thị trung tâm hiện hữu, hướng sang phía Tây và Tây Bắc khu vực huyện Mỹ Lộc</w:t>
      </w:r>
      <w:r w:rsidR="00370370" w:rsidRPr="008E63BB">
        <w:rPr>
          <w:szCs w:val="26"/>
          <w:lang w:val="pt-BR"/>
        </w:rPr>
        <w:t>.</w:t>
      </w:r>
      <w:r w:rsidRPr="008E63BB">
        <w:rPr>
          <w:szCs w:val="26"/>
          <w:lang w:val="pt-BR"/>
        </w:rPr>
        <w:t xml:space="preserve"> Đây là hướng phát triển các khu vực đô thị tổng hợp, bao gồm các chức năng chính về phát triển dân cư đô thị, giáo dục, dịch vụ thương mại, công nghiệp và trung chuyển đầu mối giao thông, hàng hóa đối ngoại của đô thị, các khu dân cư, dịch vụ phục vụ các khu công nghiệp, cụm công nghiệp</w:t>
      </w:r>
      <w:r w:rsidR="00773383" w:rsidRPr="008E63BB">
        <w:rPr>
          <w:szCs w:val="26"/>
          <w:lang w:val="pt-BR"/>
        </w:rPr>
        <w:t>.</w:t>
      </w:r>
    </w:p>
    <w:p w14:paraId="519B3380" w14:textId="77777777" w:rsidR="0016427A" w:rsidRPr="008E63BB" w:rsidRDefault="0016427A" w:rsidP="0016427A">
      <w:pPr>
        <w:ind w:firstLine="720"/>
        <w:rPr>
          <w:szCs w:val="26"/>
          <w:lang w:val="pt-BR"/>
        </w:rPr>
      </w:pPr>
      <w:r w:rsidRPr="008E63BB">
        <w:rPr>
          <w:szCs w:val="26"/>
          <w:lang w:val="pt-BR"/>
        </w:rPr>
        <w:t>Hướng phát triển thứ hai về phía Nam và Đông Nam thành phố (về các xã thuộc thành phố và huyện Nam Trực), dọc trục vành đai 1 và trục mới song song với QL21 hướng đi xuống phía Nam: phát triển đô thị dịch vụ thương mại mới, phát triển kinh tế nông nghiệp gắn với du lịch trải nghiệm, du lịch sinh thái nông nghiệp. Quy hoạch xây dựng các công trình kiến trúc độc đáo, tạo điểm nhấn tại các khu vực trung tâm, khu vực ven sông.</w:t>
      </w:r>
    </w:p>
    <w:p w14:paraId="519B3381" w14:textId="77777777" w:rsidR="00370370" w:rsidRPr="008E63BB" w:rsidRDefault="00370370" w:rsidP="00370370">
      <w:pPr>
        <w:ind w:firstLine="720"/>
        <w:rPr>
          <w:szCs w:val="26"/>
          <w:lang w:val="pt-BR"/>
        </w:rPr>
      </w:pPr>
      <w:r w:rsidRPr="008E63BB">
        <w:rPr>
          <w:szCs w:val="26"/>
          <w:lang w:val="pt-BR"/>
        </w:rPr>
        <w:t>Phát triển hạ tầng giao thông trên cơ sở tôn trọng mạng lưới đường hiện trạng trong đô thị cũ; phát triển giao thông hiện đại và đồng bộ tại các khu vực phát triển đô thị mới; xây dựng các đầu mối giao thông trung chuyển liên kết các phương thức vận tải. Thiết lập tuyến đường song song với đường QL21B ở phía Bắc nhằm phát triển mô hình đô thị đại học tập trung mới gắn kết các khu lân cận, các khu vực sản xuất công nghiệp, trung chuyển hàng hóa. Hình thành khu vực phát triển thương mại dịch vụ tại đầu mối giao thông</w:t>
      </w:r>
      <w:r w:rsidRPr="008E63BB">
        <w:rPr>
          <w:sz w:val="28"/>
          <w:szCs w:val="28"/>
          <w:lang w:val="pt-BR"/>
        </w:rPr>
        <w:t>.</w:t>
      </w:r>
    </w:p>
    <w:p w14:paraId="519B3382" w14:textId="77777777" w:rsidR="00370370" w:rsidRPr="008E63BB" w:rsidRDefault="00370370" w:rsidP="0065184D">
      <w:pPr>
        <w:ind w:firstLine="720"/>
        <w:rPr>
          <w:szCs w:val="26"/>
          <w:lang w:val="pt-BR"/>
        </w:rPr>
      </w:pPr>
    </w:p>
    <w:tbl>
      <w:tblPr>
        <w:tblW w:w="0" w:type="auto"/>
        <w:tblLook w:val="04A0" w:firstRow="1" w:lastRow="0" w:firstColumn="1" w:lastColumn="0" w:noHBand="0" w:noVBand="1"/>
      </w:tblPr>
      <w:tblGrid>
        <w:gridCol w:w="9498"/>
      </w:tblGrid>
      <w:tr w:rsidR="008D5BFE" w:rsidRPr="008E63BB" w14:paraId="519B3384" w14:textId="77777777" w:rsidTr="00702EAE">
        <w:tc>
          <w:tcPr>
            <w:tcW w:w="9502" w:type="dxa"/>
          </w:tcPr>
          <w:p w14:paraId="519B3383" w14:textId="77777777" w:rsidR="00702EAE" w:rsidRPr="008E63BB" w:rsidRDefault="003E3237" w:rsidP="0065184D">
            <w:pPr>
              <w:jc w:val="center"/>
              <w:rPr>
                <w:lang w:val="pt-BR"/>
              </w:rPr>
            </w:pPr>
            <w:r w:rsidRPr="008E63BB">
              <w:rPr>
                <w:noProof/>
                <w:lang w:eastAsia="zh-CN"/>
              </w:rPr>
              <w:lastRenderedPageBreak/>
              <w:drawing>
                <wp:inline distT="0" distB="0" distL="0" distR="0" wp14:anchorId="519B5237" wp14:editId="519B5238">
                  <wp:extent cx="4286250" cy="2864577"/>
                  <wp:effectExtent l="0" t="0" r="0" b="0"/>
                  <wp:docPr id="7168" name="Picture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4FA57FD-BEFB-461D-999D-3C57EDE903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4FA57FD-BEFB-461D-999D-3C57EDE903CB}"/>
                              </a:ext>
                            </a:extLst>
                          </pic:cNvPr>
                          <pic:cNvPicPr>
                            <a:picLocks noChangeAspect="1"/>
                          </pic:cNvPicPr>
                        </pic:nvPicPr>
                        <pic:blipFill rotWithShape="1">
                          <a:blip r:embed="rId90" cstate="screen">
                            <a:extLst>
                              <a:ext uri="{28A0092B-C50C-407E-A947-70E740481C1C}">
                                <a14:useLocalDpi xmlns:a14="http://schemas.microsoft.com/office/drawing/2010/main"/>
                              </a:ext>
                            </a:extLst>
                          </a:blip>
                          <a:srcRect/>
                          <a:stretch/>
                        </pic:blipFill>
                        <pic:spPr>
                          <a:xfrm>
                            <a:off x="0" y="0"/>
                            <a:ext cx="4303977" cy="2876424"/>
                          </a:xfrm>
                          <a:prstGeom prst="rect">
                            <a:avLst/>
                          </a:prstGeom>
                        </pic:spPr>
                      </pic:pic>
                    </a:graphicData>
                  </a:graphic>
                </wp:inline>
              </w:drawing>
            </w:r>
          </w:p>
        </w:tc>
      </w:tr>
    </w:tbl>
    <w:p w14:paraId="519B3385" w14:textId="77777777" w:rsidR="00702EAE" w:rsidRPr="008E63BB" w:rsidRDefault="00702EAE" w:rsidP="0065184D">
      <w:pPr>
        <w:jc w:val="center"/>
        <w:rPr>
          <w:i/>
          <w:lang w:val="pt-BR"/>
        </w:rPr>
      </w:pPr>
      <w:r w:rsidRPr="008E63BB">
        <w:rPr>
          <w:i/>
          <w:lang w:val="pt-BR"/>
        </w:rPr>
        <w:t>Sơ đồ khung phát triển đô thị</w:t>
      </w:r>
    </w:p>
    <w:p w14:paraId="519B3386" w14:textId="77777777" w:rsidR="00F9056A" w:rsidRPr="008E63BB" w:rsidRDefault="00F9056A" w:rsidP="00F9056A">
      <w:pPr>
        <w:pStyle w:val="Heading2"/>
        <w:spacing w:before="0" w:after="0"/>
        <w:rPr>
          <w:kern w:val="32"/>
          <w:lang w:val="pt-BR"/>
        </w:rPr>
      </w:pPr>
      <w:bookmarkStart w:id="372" w:name="_Toc47524696"/>
      <w:r w:rsidRPr="008E63BB">
        <w:rPr>
          <w:kern w:val="32"/>
          <w:lang w:val="pt-BR"/>
        </w:rPr>
        <w:t xml:space="preserve">5.3. Phân vùng </w:t>
      </w:r>
      <w:r w:rsidR="004854B2" w:rsidRPr="008E63BB">
        <w:rPr>
          <w:kern w:val="32"/>
          <w:lang w:val="pt-BR"/>
        </w:rPr>
        <w:t xml:space="preserve">không gian </w:t>
      </w:r>
      <w:r w:rsidRPr="008E63BB">
        <w:rPr>
          <w:kern w:val="32"/>
          <w:lang w:val="pt-BR"/>
        </w:rPr>
        <w:t xml:space="preserve">kiểm soát </w:t>
      </w:r>
      <w:r w:rsidR="00CD0D7A" w:rsidRPr="008E63BB">
        <w:rPr>
          <w:kern w:val="32"/>
          <w:lang w:val="pt-BR"/>
        </w:rPr>
        <w:t>phát triển</w:t>
      </w:r>
      <w:bookmarkEnd w:id="372"/>
    </w:p>
    <w:p w14:paraId="519B3387" w14:textId="77777777" w:rsidR="00CD0D7A" w:rsidRPr="008E63BB" w:rsidRDefault="00CD0D7A" w:rsidP="00CD0D7A">
      <w:pPr>
        <w:rPr>
          <w:lang w:val="pt-BR"/>
        </w:rPr>
      </w:pPr>
      <w:r w:rsidRPr="008E63BB">
        <w:rPr>
          <w:lang w:val="pt-BR"/>
        </w:rPr>
        <w:tab/>
        <w:t xml:space="preserve">Khu vực lập quy hoạch bao gồm các </w:t>
      </w:r>
      <w:r w:rsidR="004854B2" w:rsidRPr="008E63BB">
        <w:rPr>
          <w:lang w:val="pt-BR"/>
        </w:rPr>
        <w:t>vùng không gian phát triển chính như sau:</w:t>
      </w:r>
    </w:p>
    <w:p w14:paraId="519B3388" w14:textId="77777777" w:rsidR="00CD0D7A" w:rsidRPr="008E63BB" w:rsidRDefault="00CD0D7A" w:rsidP="00CD0D7A">
      <w:pPr>
        <w:rPr>
          <w:lang w:val="pt-BR"/>
        </w:rPr>
      </w:pPr>
      <w:r w:rsidRPr="008E63BB">
        <w:rPr>
          <w:lang w:val="pt-BR"/>
        </w:rPr>
        <w:t>- Khu vực phố cổ</w:t>
      </w:r>
      <w:r w:rsidR="004854B2" w:rsidRPr="008E63BB">
        <w:rPr>
          <w:lang w:val="pt-BR"/>
        </w:rPr>
        <w:t xml:space="preserve">: Là không gian mang nét đặc trưng truyền thống của đô thị, </w:t>
      </w:r>
      <w:r w:rsidR="0001018F" w:rsidRPr="008E63BB">
        <w:rPr>
          <w:lang w:val="pt-BR"/>
        </w:rPr>
        <w:t>định hướng c</w:t>
      </w:r>
      <w:r w:rsidR="004854B2" w:rsidRPr="008E63BB">
        <w:rPr>
          <w:lang w:val="pt-BR"/>
        </w:rPr>
        <w:t>hủ yếu cải tạo</w:t>
      </w:r>
      <w:r w:rsidR="0001018F" w:rsidRPr="008E63BB">
        <w:rPr>
          <w:lang w:val="pt-BR"/>
        </w:rPr>
        <w:t xml:space="preserve"> chỉnh trang</w:t>
      </w:r>
      <w:r w:rsidR="004854B2" w:rsidRPr="008E63BB">
        <w:rPr>
          <w:lang w:val="pt-BR"/>
        </w:rPr>
        <w:t xml:space="preserve">, gìn giữ không gian </w:t>
      </w:r>
      <w:r w:rsidR="0001018F" w:rsidRPr="008E63BB">
        <w:rPr>
          <w:lang w:val="pt-BR"/>
        </w:rPr>
        <w:t>đường phố và các công trình kiến trúc có giá trị, hạn chế tác động xây dựng làm thay đổi cấu trúc không gian khu vực.</w:t>
      </w:r>
    </w:p>
    <w:p w14:paraId="519B3389" w14:textId="77777777" w:rsidR="00CD0D7A" w:rsidRPr="008E63BB" w:rsidRDefault="00CD0D7A" w:rsidP="00CD0D7A">
      <w:pPr>
        <w:rPr>
          <w:lang w:val="pt-BR"/>
        </w:rPr>
      </w:pPr>
      <w:r w:rsidRPr="008E63BB">
        <w:rPr>
          <w:lang w:val="pt-BR"/>
        </w:rPr>
        <w:t>- Khu vực có chức năng chuyển đổi</w:t>
      </w:r>
      <w:r w:rsidR="0001018F" w:rsidRPr="008E63BB">
        <w:rPr>
          <w:lang w:val="pt-BR"/>
        </w:rPr>
        <w:t>: Là khu nhà máy dệt cũ được chuyển đổi chức năng sử dụng đất, tạo hình ảnh mới cho đô thị.</w:t>
      </w:r>
    </w:p>
    <w:p w14:paraId="519B338A" w14:textId="77777777" w:rsidR="00CD0D7A" w:rsidRPr="008E63BB" w:rsidRDefault="00CD0D7A" w:rsidP="00CD0D7A">
      <w:pPr>
        <w:rPr>
          <w:lang w:val="pt-BR"/>
        </w:rPr>
      </w:pPr>
      <w:r w:rsidRPr="008E63BB">
        <w:rPr>
          <w:lang w:val="pt-BR"/>
        </w:rPr>
        <w:t>- Khu vực phố cũ – Trung tâm đô thị hiện hữu</w:t>
      </w:r>
      <w:r w:rsidR="0001018F" w:rsidRPr="008E63BB">
        <w:rPr>
          <w:lang w:val="pt-BR"/>
        </w:rPr>
        <w:t xml:space="preserve">: </w:t>
      </w:r>
      <w:r w:rsidR="00211C9B" w:rsidRPr="008E63BB">
        <w:rPr>
          <w:lang w:val="pt-BR"/>
        </w:rPr>
        <w:t>Là khu vực tập trung c</w:t>
      </w:r>
      <w:r w:rsidR="0001018F" w:rsidRPr="008E63BB">
        <w:rPr>
          <w:lang w:val="pt-BR"/>
        </w:rPr>
        <w:t xml:space="preserve">ải tạo chỉnh trang, nâng cao chất lượng </w:t>
      </w:r>
      <w:r w:rsidR="00211C9B" w:rsidRPr="008E63BB">
        <w:rPr>
          <w:lang w:val="pt-BR"/>
        </w:rPr>
        <w:t>hệ thống hạ tầng kỹ thuật, hạ tầng xã hội cũng như không gian kiến trúc cảnh quan đô thị.</w:t>
      </w:r>
    </w:p>
    <w:p w14:paraId="519B338B" w14:textId="77777777" w:rsidR="004854B2" w:rsidRPr="008E63BB" w:rsidRDefault="004854B2" w:rsidP="00DB6966">
      <w:pPr>
        <w:rPr>
          <w:lang w:val="pt-BR"/>
        </w:rPr>
      </w:pPr>
      <w:r w:rsidRPr="008E63BB">
        <w:rPr>
          <w:lang w:val="pt-BR"/>
        </w:rPr>
        <w:t>- Khu vực hồ truyền thống</w:t>
      </w:r>
      <w:r w:rsidR="00211C9B" w:rsidRPr="008E63BB">
        <w:rPr>
          <w:lang w:val="pt-BR"/>
        </w:rPr>
        <w:t xml:space="preserve">: Là không gian mở </w:t>
      </w:r>
      <w:r w:rsidR="00DB6966" w:rsidRPr="008E63BB">
        <w:rPr>
          <w:lang w:val="pt-BR"/>
        </w:rPr>
        <w:t>có ý nghĩa lớn trong tổng thể không gian và thoát nước thành phố, định hướng cải tạo, khai thác không gian quanh hồ Truyền Thống thành khu trung tâm mới của đô thị.</w:t>
      </w:r>
    </w:p>
    <w:p w14:paraId="519B338C" w14:textId="77777777" w:rsidR="004854B2" w:rsidRPr="008E63BB" w:rsidRDefault="004854B2" w:rsidP="00CD0D7A">
      <w:pPr>
        <w:rPr>
          <w:lang w:val="pt-BR"/>
        </w:rPr>
      </w:pPr>
      <w:r w:rsidRPr="008E63BB">
        <w:rPr>
          <w:lang w:val="pt-BR"/>
        </w:rPr>
        <w:t>- Khu vực bảo tồn di tích</w:t>
      </w:r>
      <w:r w:rsidR="00211C9B" w:rsidRPr="008E63BB">
        <w:rPr>
          <w:lang w:val="pt-BR"/>
        </w:rPr>
        <w:t>: Là khu vực bảo tồn gắn với Khu di tích văn hóa nhà Trần</w:t>
      </w:r>
    </w:p>
    <w:p w14:paraId="519B338D" w14:textId="77777777" w:rsidR="004854B2" w:rsidRPr="008E63BB" w:rsidRDefault="004854B2" w:rsidP="00CD0D7A">
      <w:pPr>
        <w:rPr>
          <w:lang w:val="pt-BR"/>
        </w:rPr>
      </w:pPr>
      <w:r w:rsidRPr="008E63BB">
        <w:rPr>
          <w:lang w:val="pt-BR"/>
        </w:rPr>
        <w:t>- Khu vực các đô thị mới đan xen hiện trạng</w:t>
      </w:r>
      <w:r w:rsidR="00211C9B" w:rsidRPr="008E63BB">
        <w:rPr>
          <w:lang w:val="pt-BR"/>
        </w:rPr>
        <w:t xml:space="preserve">: </w:t>
      </w:r>
      <w:r w:rsidR="00DB6966" w:rsidRPr="008E63BB">
        <w:rPr>
          <w:lang w:val="pt-BR"/>
        </w:rPr>
        <w:t>Cải tạo chỉnh trang khu vực hiện trạng, phát triển xen cấy các khu vực đô thị mới đảm bảo kết nối đồng bộ hệ thống hạ tầng đô thị.</w:t>
      </w:r>
    </w:p>
    <w:p w14:paraId="519B338E" w14:textId="77777777" w:rsidR="004854B2" w:rsidRPr="008E63BB" w:rsidRDefault="004854B2" w:rsidP="00CD0D7A">
      <w:pPr>
        <w:rPr>
          <w:lang w:val="pt-BR"/>
        </w:rPr>
      </w:pPr>
      <w:r w:rsidRPr="008E63BB">
        <w:rPr>
          <w:lang w:val="pt-BR"/>
        </w:rPr>
        <w:t>- Khu vực đô thị mới</w:t>
      </w:r>
      <w:r w:rsidR="00211C9B" w:rsidRPr="008E63BB">
        <w:rPr>
          <w:lang w:val="pt-BR"/>
        </w:rPr>
        <w:t xml:space="preserve">: Là vùng phát triển đô thị mới gắn liền với sự hình thành của các khu đại học, KCN và dịch vụ thương mại theo trục không gian chính phía Tây của đô thị. </w:t>
      </w:r>
    </w:p>
    <w:p w14:paraId="519B338F" w14:textId="77777777" w:rsidR="004854B2" w:rsidRPr="008E63BB" w:rsidRDefault="004854B2" w:rsidP="00CD0D7A">
      <w:pPr>
        <w:rPr>
          <w:lang w:val="pt-BR"/>
        </w:rPr>
      </w:pPr>
      <w:r w:rsidRPr="008E63BB">
        <w:rPr>
          <w:lang w:val="pt-BR"/>
        </w:rPr>
        <w:t>- Khu vực hai bên quốc lộ 10</w:t>
      </w:r>
      <w:r w:rsidR="00211C9B" w:rsidRPr="008E63BB">
        <w:rPr>
          <w:lang w:val="pt-BR"/>
        </w:rPr>
        <w:t>: Là vùng phát triển công nghiệp và thương mại dịch vụ đi kèm, hệ thống hạ tầng giao thông đối ngoại của đô thị, cần có giải pháp kiểm soát bảo vệ môi trường.</w:t>
      </w:r>
    </w:p>
    <w:p w14:paraId="519B3390" w14:textId="77777777" w:rsidR="004854B2" w:rsidRPr="008E63BB" w:rsidRDefault="004854B2" w:rsidP="00CD0D7A">
      <w:pPr>
        <w:rPr>
          <w:lang w:val="pt-BR"/>
        </w:rPr>
      </w:pPr>
      <w:r w:rsidRPr="008E63BB">
        <w:rPr>
          <w:lang w:val="pt-BR"/>
        </w:rPr>
        <w:t>- Khu vực đô thị phía Nam sông Đào</w:t>
      </w:r>
      <w:r w:rsidR="00211C9B" w:rsidRPr="008E63BB">
        <w:rPr>
          <w:lang w:val="pt-BR"/>
        </w:rPr>
        <w:t>: Là vùng phát triển đô thị mới gắn với hệ sinh thái nông nghiệp, du lịch sinh thái, làng nghề truyền thống của đô thị.</w:t>
      </w:r>
    </w:p>
    <w:p w14:paraId="519B3391" w14:textId="77777777" w:rsidR="004854B2" w:rsidRPr="008E63BB" w:rsidRDefault="004854B2" w:rsidP="00CD0D7A">
      <w:pPr>
        <w:rPr>
          <w:lang w:val="pt-BR"/>
        </w:rPr>
      </w:pPr>
      <w:r w:rsidRPr="008E63BB">
        <w:rPr>
          <w:lang w:val="pt-BR"/>
        </w:rPr>
        <w:t>- Khu vực ven sông</w:t>
      </w:r>
      <w:r w:rsidR="00211C9B" w:rsidRPr="008E63BB">
        <w:rPr>
          <w:lang w:val="pt-BR"/>
        </w:rPr>
        <w:t>: Là trục không gian mở chủ đạo của đô thị, tạo nên cấu trúc đặc trưng của đô thị - thành phố</w:t>
      </w:r>
      <w:r w:rsidR="00DB6966" w:rsidRPr="008E63BB">
        <w:rPr>
          <w:lang w:val="pt-BR"/>
        </w:rPr>
        <w:t xml:space="preserve"> hai bên sông, là khu vực thuận lợi để khai thác cảnh quan đô thị ven sông, phát triển gắn liền với việc kiểm soát đảm bảo hành lang an toàn đê điều.</w:t>
      </w:r>
    </w:p>
    <w:p w14:paraId="519B3392" w14:textId="77777777" w:rsidR="004854B2" w:rsidRPr="008E63BB" w:rsidRDefault="004854B2" w:rsidP="00CD0D7A">
      <w:pPr>
        <w:rPr>
          <w:lang w:val="pt-BR"/>
        </w:rPr>
      </w:pPr>
      <w:r w:rsidRPr="008E63BB">
        <w:rPr>
          <w:lang w:val="pt-BR"/>
        </w:rPr>
        <w:t>- Khu vực làng xóm – nông nghiệp</w:t>
      </w:r>
      <w:r w:rsidR="00211C9B" w:rsidRPr="008E63BB">
        <w:rPr>
          <w:lang w:val="pt-BR"/>
        </w:rPr>
        <w:t>: Là vùng không gian làng xóm nông thôn hiện hữu, các khu dân cư nông thôn mới, phát triển gắn liền với vùng sản xuất nông nghiệp của đô thị.</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CD0D7A" w:rsidRPr="008E63BB" w14:paraId="519B3394" w14:textId="77777777" w:rsidTr="00CD0D7A">
        <w:tc>
          <w:tcPr>
            <w:tcW w:w="9498" w:type="dxa"/>
          </w:tcPr>
          <w:p w14:paraId="519B3393" w14:textId="77777777" w:rsidR="00CD0D7A" w:rsidRPr="008E63BB" w:rsidRDefault="00CD0D7A" w:rsidP="0065184D">
            <w:pPr>
              <w:jc w:val="center"/>
              <w:rPr>
                <w:i/>
                <w:lang w:val="pt-BR"/>
              </w:rPr>
            </w:pPr>
            <w:r w:rsidRPr="008E63BB">
              <w:rPr>
                <w:i/>
                <w:noProof/>
                <w:lang w:eastAsia="zh-CN"/>
              </w:rPr>
              <w:lastRenderedPageBreak/>
              <w:drawing>
                <wp:inline distT="0" distB="0" distL="0" distR="0" wp14:anchorId="519B5239" wp14:editId="519B523A">
                  <wp:extent cx="5457825" cy="386679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a9c67b68a14774a2e05.jpg"/>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5482615" cy="38843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395" w14:textId="77777777" w:rsidR="006527CC" w:rsidRPr="008E63BB" w:rsidRDefault="006527CC" w:rsidP="006527CC">
      <w:pPr>
        <w:jc w:val="center"/>
        <w:rPr>
          <w:i/>
          <w:lang w:val="pt-BR"/>
        </w:rPr>
      </w:pPr>
      <w:r w:rsidRPr="008E63BB">
        <w:rPr>
          <w:i/>
          <w:lang w:val="pt-BR"/>
        </w:rPr>
        <w:t>Sơ đồ phân vùng phát triển</w:t>
      </w:r>
    </w:p>
    <w:p w14:paraId="519B3396" w14:textId="77777777" w:rsidR="00F53F66" w:rsidRPr="008E63BB" w:rsidRDefault="00F53F66" w:rsidP="00F8156E">
      <w:pPr>
        <w:pStyle w:val="Heading2"/>
        <w:spacing w:before="60" w:after="0"/>
        <w:rPr>
          <w:kern w:val="32"/>
          <w:lang w:val="pt-BR"/>
        </w:rPr>
      </w:pPr>
      <w:bookmarkStart w:id="373" w:name="_Toc47524697"/>
      <w:r w:rsidRPr="008E63BB">
        <w:rPr>
          <w:kern w:val="32"/>
          <w:lang w:val="vi-VN"/>
        </w:rPr>
        <w:t>5.</w:t>
      </w:r>
      <w:r w:rsidR="00F9056A" w:rsidRPr="008E63BB">
        <w:rPr>
          <w:kern w:val="32"/>
          <w:lang w:val="pt-BR"/>
        </w:rPr>
        <w:t>4</w:t>
      </w:r>
      <w:r w:rsidRPr="008E63BB">
        <w:rPr>
          <w:kern w:val="32"/>
          <w:lang w:val="vi-VN"/>
        </w:rPr>
        <w:t xml:space="preserve">. </w:t>
      </w:r>
      <w:r w:rsidRPr="008E63BB">
        <w:rPr>
          <w:kern w:val="32"/>
          <w:lang w:val="pt-BR"/>
        </w:rPr>
        <w:t>Định hướng phát triển các khu chức năng đô thị</w:t>
      </w:r>
      <w:bookmarkEnd w:id="373"/>
    </w:p>
    <w:p w14:paraId="519B3397" w14:textId="77777777" w:rsidR="00F53F66" w:rsidRPr="008E63BB" w:rsidRDefault="00F53F66" w:rsidP="00F8156E">
      <w:pPr>
        <w:pStyle w:val="Heading3"/>
        <w:spacing w:before="60"/>
      </w:pPr>
      <w:bookmarkStart w:id="374" w:name="_Toc21955367"/>
      <w:bookmarkStart w:id="375" w:name="_Toc47524698"/>
      <w:r w:rsidRPr="008E63BB">
        <w:t>5.</w:t>
      </w:r>
      <w:r w:rsidR="00F9056A" w:rsidRPr="008E63BB">
        <w:t>4</w:t>
      </w:r>
      <w:r w:rsidRPr="008E63BB">
        <w:t>.1. Khu vực phát triển dân cư</w:t>
      </w:r>
      <w:bookmarkEnd w:id="374"/>
      <w:bookmarkEnd w:id="375"/>
    </w:p>
    <w:p w14:paraId="519B3398" w14:textId="77777777" w:rsidR="009671CF" w:rsidRPr="008E63BB" w:rsidRDefault="00F53F66" w:rsidP="00F8156E">
      <w:pPr>
        <w:spacing w:before="60"/>
        <w:rPr>
          <w:lang w:val="pt-BR"/>
        </w:rPr>
      </w:pPr>
      <w:r w:rsidRPr="008E63BB">
        <w:rPr>
          <w:lang w:val="pt-BR"/>
        </w:rPr>
        <w:tab/>
      </w:r>
      <w:r w:rsidR="009671CF" w:rsidRPr="008E63BB">
        <w:rPr>
          <w:lang w:val="pt-BR"/>
        </w:rPr>
        <w:t>Trên địa bàn khu vực nghiên cứu, định hướng phát triển các khu dân cư như sau:</w:t>
      </w:r>
    </w:p>
    <w:p w14:paraId="519B3399" w14:textId="77777777" w:rsidR="009671CF" w:rsidRPr="008E63BB" w:rsidRDefault="009671CF" w:rsidP="00F8156E">
      <w:pPr>
        <w:spacing w:before="60"/>
        <w:ind w:firstLine="720"/>
        <w:rPr>
          <w:lang w:val="pt-BR"/>
        </w:rPr>
      </w:pPr>
      <w:r w:rsidRPr="008E63BB">
        <w:rPr>
          <w:lang w:val="pt-BR"/>
        </w:rPr>
        <w:t xml:space="preserve">- Khu dân cư trong khu trung tâm đô thị hiện hữu: </w:t>
      </w:r>
    </w:p>
    <w:p w14:paraId="519B339A" w14:textId="77777777" w:rsidR="009671CF" w:rsidRPr="008E63BB" w:rsidRDefault="009671CF" w:rsidP="00F8156E">
      <w:pPr>
        <w:spacing w:before="60"/>
        <w:ind w:firstLine="720"/>
        <w:rPr>
          <w:szCs w:val="26"/>
          <w:lang w:val="pt-BR"/>
        </w:rPr>
      </w:pPr>
      <w:r w:rsidRPr="008E63BB">
        <w:rPr>
          <w:szCs w:val="26"/>
          <w:lang w:val="pt-BR"/>
        </w:rPr>
        <w:t xml:space="preserve">Là khu vực Khu phố cổ - phố Pháp, khu dân cư đông đúc và tập trung dọc các trục phố cũ. Nhà ở chủ yếu là nhà ở kết hợp thương mại dịch vụ, nhà chia lô. </w:t>
      </w:r>
    </w:p>
    <w:p w14:paraId="519B339B" w14:textId="77777777" w:rsidR="009671CF" w:rsidRPr="008E63BB" w:rsidRDefault="009671CF" w:rsidP="00F8156E">
      <w:pPr>
        <w:spacing w:before="60"/>
        <w:ind w:firstLine="720"/>
        <w:rPr>
          <w:sz w:val="28"/>
          <w:szCs w:val="28"/>
          <w:lang w:val="pt-BR"/>
        </w:rPr>
      </w:pPr>
      <w:r w:rsidRPr="008E63BB">
        <w:rPr>
          <w:szCs w:val="26"/>
          <w:lang w:val="pt-BR"/>
        </w:rPr>
        <w:t xml:space="preserve">Hướng cải tạo: Cơ bản duy trì cấu trúc hiện có, tăng cường cây xanh, không gia tăng mật độ xây dựng. Xây dựng xen cấy một số khu dân cư với loại hình nhà ở liền kề, nhà biệt thự. Xây dựng bổ sung một số công trình hỗn hợp, dịch vụ công cộng, vườn hoa trên cơ sở tái sử dụng quỹ đất khi di dời di chuyển một số cơ quan, bệnh viện và cơ sở sản xuất kinh doanh. Cải tạo hệ thống hạ tầng kỹ thuật, tổ chức không gian công cộng, công viên cảnh quan tại khu vực </w:t>
      </w:r>
      <w:r w:rsidR="007613CB" w:rsidRPr="008E63BB">
        <w:rPr>
          <w:szCs w:val="26"/>
          <w:lang w:val="pt-BR"/>
        </w:rPr>
        <w:t>đô thị dệt may đã được đầu tư xây dựng</w:t>
      </w:r>
      <w:r w:rsidRPr="008E63BB">
        <w:rPr>
          <w:szCs w:val="26"/>
          <w:lang w:val="pt-BR"/>
        </w:rPr>
        <w:t>.</w:t>
      </w:r>
    </w:p>
    <w:p w14:paraId="519B339C" w14:textId="77777777" w:rsidR="009671CF" w:rsidRPr="008E63BB" w:rsidRDefault="009671CF" w:rsidP="00F8156E">
      <w:pPr>
        <w:spacing w:before="60"/>
        <w:rPr>
          <w:lang w:val="pt-BR"/>
        </w:rPr>
      </w:pPr>
      <w:r w:rsidRPr="008E63BB">
        <w:rPr>
          <w:lang w:val="pt-BR"/>
        </w:rPr>
        <w:tab/>
        <w:t>- Khu dân cư phát triển đan xen phía Nam vành đai 1 (Quốc lộ 10):</w:t>
      </w:r>
    </w:p>
    <w:p w14:paraId="519B339D" w14:textId="77777777" w:rsidR="009671CF" w:rsidRPr="008E63BB" w:rsidRDefault="009671CF" w:rsidP="00F8156E">
      <w:pPr>
        <w:spacing w:before="60"/>
        <w:rPr>
          <w:lang w:val="pt-BR"/>
        </w:rPr>
      </w:pPr>
      <w:r w:rsidRPr="008E63BB">
        <w:rPr>
          <w:lang w:val="pt-BR"/>
        </w:rPr>
        <w:tab/>
        <w:t>Là khu vực dân cư phát triển mới đan xen với nhiều dự án khu đô thị, khu dân cư đã và đang được triển khai xây dựng, đáp ứng nhu cầu phát triển dân cư hiện nay khi khu vực trung tâm không còn quỹ đất xây dựng mới.</w:t>
      </w:r>
    </w:p>
    <w:p w14:paraId="519B339E" w14:textId="77777777" w:rsidR="009671CF" w:rsidRPr="008E63BB" w:rsidRDefault="009671CF" w:rsidP="00F8156E">
      <w:pPr>
        <w:spacing w:before="60"/>
        <w:rPr>
          <w:lang w:val="pt-BR"/>
        </w:rPr>
      </w:pPr>
      <w:r w:rsidRPr="008E63BB">
        <w:rPr>
          <w:lang w:val="pt-BR"/>
        </w:rPr>
        <w:tab/>
        <w:t xml:space="preserve">Định hướng phát triển: Hoàn thiện hệ thống hạ tầng kỹ thuật, hạ tầng xã hội của các khu vực dự án đang triển khai. Mô hình nhà chủ yếu là nhà ở thấp tầng liền kề và biệt thự. Bố trí một số điểm công trình </w:t>
      </w:r>
      <w:r w:rsidR="007613CB" w:rsidRPr="008E63BB">
        <w:rPr>
          <w:lang w:val="pt-BR"/>
        </w:rPr>
        <w:t xml:space="preserve">hỗn hợp, chung cư, nhà ở xã hội </w:t>
      </w:r>
      <w:r w:rsidRPr="008E63BB">
        <w:rPr>
          <w:lang w:val="pt-BR"/>
        </w:rPr>
        <w:t>cao tầng làm điểm nhấn cho khu vực.</w:t>
      </w:r>
    </w:p>
    <w:p w14:paraId="519B339F" w14:textId="77777777" w:rsidR="009671CF" w:rsidRPr="008E63BB" w:rsidRDefault="009671CF" w:rsidP="00F8156E">
      <w:pPr>
        <w:spacing w:before="60"/>
        <w:rPr>
          <w:lang w:val="pt-BR"/>
        </w:rPr>
      </w:pPr>
      <w:r w:rsidRPr="008E63BB">
        <w:rPr>
          <w:lang w:val="pt-BR"/>
        </w:rPr>
        <w:tab/>
        <w:t>- Khu dân cư phía Bắc đường vành đai 1 (Quốc lộ 10):</w:t>
      </w:r>
    </w:p>
    <w:p w14:paraId="519B33A0" w14:textId="77777777" w:rsidR="009671CF" w:rsidRPr="008E63BB" w:rsidRDefault="009671CF" w:rsidP="00F8156E">
      <w:pPr>
        <w:spacing w:before="60"/>
        <w:rPr>
          <w:lang w:val="pt-BR"/>
        </w:rPr>
      </w:pPr>
      <w:r w:rsidRPr="008E63BB">
        <w:rPr>
          <w:lang w:val="pt-BR"/>
        </w:rPr>
        <w:tab/>
        <w:t xml:space="preserve">Là khu dân cư mới hình thành trên cơ sở phát triển các dịch vụ thương mại hậu cần phục vụ cho KCN Mỹ Trung. Các loại hình nhà ở chủ yếu là nhà ở liền kề, </w:t>
      </w:r>
      <w:r w:rsidRPr="008E63BB">
        <w:rPr>
          <w:szCs w:val="26"/>
          <w:lang w:val="pt-BR"/>
        </w:rPr>
        <w:t xml:space="preserve">nhà ở kết hợp dịch vụ thương mại, </w:t>
      </w:r>
      <w:r w:rsidRPr="008E63BB">
        <w:rPr>
          <w:lang w:val="pt-BR"/>
        </w:rPr>
        <w:t>nhà ở công nhân.</w:t>
      </w:r>
    </w:p>
    <w:p w14:paraId="519B33A1" w14:textId="77777777" w:rsidR="009671CF" w:rsidRPr="008E63BB" w:rsidRDefault="009671CF" w:rsidP="009671CF">
      <w:pPr>
        <w:rPr>
          <w:lang w:val="pt-BR"/>
        </w:rPr>
      </w:pPr>
      <w:r w:rsidRPr="008E63BB">
        <w:rPr>
          <w:lang w:val="pt-BR"/>
        </w:rPr>
        <w:lastRenderedPageBreak/>
        <w:t>- Khu dân cư phía Tây Bắc thành phố:</w:t>
      </w:r>
    </w:p>
    <w:p w14:paraId="519B33A2" w14:textId="77777777" w:rsidR="009671CF" w:rsidRPr="008E63BB" w:rsidRDefault="009671CF" w:rsidP="009671CF">
      <w:pPr>
        <w:rPr>
          <w:szCs w:val="26"/>
          <w:lang w:val="pt-BR"/>
        </w:rPr>
      </w:pPr>
      <w:r w:rsidRPr="008E63BB">
        <w:rPr>
          <w:lang w:val="pt-BR"/>
        </w:rPr>
        <w:tab/>
        <w:t xml:space="preserve">Là khu dân cư gắn liền với đô thị đại học mới, hình thành </w:t>
      </w:r>
      <w:r w:rsidRPr="008E63BB">
        <w:rPr>
          <w:szCs w:val="26"/>
          <w:lang w:val="pt-BR"/>
        </w:rPr>
        <w:t>trên cơ sở phát triển các loại hình dịch vụ thương mại hậu cần cho các trung tâm đào tạo, dịch vụ thể thao vui chơi giải trí. Mô hình nhà ở kết hợp dịch vụ thương mại, ký túc xá sinh viên, nhà ở cho chuyên gia, nhà biệt thự, hỗn hợp ở thương mại dịch vụ. Đây là khu vực điểm nhấn mới của thành phố với mô hình mật độ cao, tập trung và cao tầng.</w:t>
      </w:r>
    </w:p>
    <w:p w14:paraId="519B33A3" w14:textId="77777777" w:rsidR="009671CF" w:rsidRPr="008E63BB" w:rsidRDefault="009671CF" w:rsidP="009671CF">
      <w:pPr>
        <w:rPr>
          <w:szCs w:val="26"/>
          <w:lang w:val="pt-BR"/>
        </w:rPr>
      </w:pPr>
      <w:r w:rsidRPr="008E63BB">
        <w:rPr>
          <w:szCs w:val="26"/>
          <w:lang w:val="pt-BR"/>
        </w:rPr>
        <w:tab/>
        <w:t>- Khu dân cư đô thị mới phía Nam sông Đào:</w:t>
      </w:r>
    </w:p>
    <w:p w14:paraId="519B33A4" w14:textId="77777777" w:rsidR="009671CF" w:rsidRPr="008E63BB" w:rsidRDefault="009671CF" w:rsidP="009671CF">
      <w:pPr>
        <w:rPr>
          <w:szCs w:val="26"/>
          <w:lang w:val="pt-BR"/>
        </w:rPr>
      </w:pPr>
      <w:r w:rsidRPr="008E63BB">
        <w:rPr>
          <w:szCs w:val="26"/>
          <w:lang w:val="pt-BR"/>
        </w:rPr>
        <w:tab/>
        <w:t>Là khu dân cư hình thành mới trên cơ sở khai thác quỹ đất phía Nam sông Đào, phát triển gắn với dịch vụ thương mại ven đường đai 1 và trục đường trung tâm kết nối với khu trung tâm đô thị hiện hữu. Mô hình nhà ở đa dạng, phần lớn vẫn là thấp tầng: nhà phố kết hợp dịch vụ thương mại, nhà biệt thự; Khai thác lợi thế địa hình rộng, quỹ đất lớn, nhiều kênh mương ao hồ để khai thác thêm mô hình nhà ở sinh thái;Nghiên cứu bổ xungloại hình nhà ở cao tầng kết hợp dịch vụ thương mại tại khu vực điểm nút cửa ngõ phía Đông Nam thành phố, cùng với các tổ hợp thương mại dịch vụ khác tạo điểm nhấn cho khu vực phía Nam.</w:t>
      </w:r>
    </w:p>
    <w:p w14:paraId="519B33A5" w14:textId="77777777" w:rsidR="009671CF" w:rsidRPr="008E63BB" w:rsidRDefault="009671CF" w:rsidP="009671CF">
      <w:pPr>
        <w:rPr>
          <w:szCs w:val="26"/>
          <w:lang w:val="pt-BR"/>
        </w:rPr>
      </w:pPr>
      <w:r w:rsidRPr="008E63BB">
        <w:rPr>
          <w:szCs w:val="26"/>
          <w:lang w:val="pt-BR"/>
        </w:rPr>
        <w:tab/>
        <w:t>- Các khu làng xóm, dân cư nông thôn còn lại:</w:t>
      </w:r>
    </w:p>
    <w:p w14:paraId="519B33A6" w14:textId="77777777" w:rsidR="00F53F66" w:rsidRPr="008E63BB" w:rsidRDefault="009671CF" w:rsidP="009671CF">
      <w:pPr>
        <w:rPr>
          <w:szCs w:val="26"/>
          <w:lang w:val="pt-BR"/>
        </w:rPr>
      </w:pPr>
      <w:r w:rsidRPr="008E63BB">
        <w:rPr>
          <w:lang w:val="pt-BR"/>
        </w:rPr>
        <w:tab/>
      </w:r>
      <w:r w:rsidRPr="008E63BB">
        <w:rPr>
          <w:szCs w:val="26"/>
          <w:lang w:val="pt-BR"/>
        </w:rPr>
        <w:t>Định hướng cải tạo và phát triển các khu dân cư nông thôn trên nền cảnh quan nông nghiệp, tôn trọng cấu trúc hiện trạng. Các loại hình nhà ở gồm: nhà ở kết hợp dịch vụ thương mại, nhà ở nông thôn, nhà vườn sinh thái</w:t>
      </w:r>
      <w:r w:rsidR="00F53F66" w:rsidRPr="008E63BB">
        <w:rPr>
          <w:szCs w:val="26"/>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5B7147" w:rsidRPr="008E63BB" w14:paraId="519B33A8" w14:textId="77777777" w:rsidTr="005B7147">
        <w:tc>
          <w:tcPr>
            <w:tcW w:w="9498" w:type="dxa"/>
          </w:tcPr>
          <w:p w14:paraId="519B33A7" w14:textId="77777777" w:rsidR="005B7147" w:rsidRPr="008E63BB" w:rsidRDefault="005B7147" w:rsidP="005B7147">
            <w:pPr>
              <w:jc w:val="center"/>
              <w:rPr>
                <w:szCs w:val="26"/>
                <w:lang w:val="pt-BR"/>
              </w:rPr>
            </w:pPr>
            <w:r w:rsidRPr="008E63BB">
              <w:rPr>
                <w:noProof/>
                <w:szCs w:val="26"/>
                <w:lang w:eastAsia="zh-CN"/>
              </w:rPr>
              <w:drawing>
                <wp:inline distT="0" distB="0" distL="0" distR="0" wp14:anchorId="519B523B" wp14:editId="519B523C">
                  <wp:extent cx="4895850" cy="3581400"/>
                  <wp:effectExtent l="0" t="0" r="0" b="0"/>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2. Sơ đồ  định hướng dân cư.jpg"/>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4895850" cy="3581400"/>
                          </a:xfrm>
                          <a:prstGeom prst="rect">
                            <a:avLst/>
                          </a:prstGeom>
                          <a:ln>
                            <a:noFill/>
                          </a:ln>
                          <a:extLst>
                            <a:ext uri="{53640926-AAD7-44D8-BBD7-CCE9431645EC}">
                              <a14:shadowObscured xmlns:a14="http://schemas.microsoft.com/office/drawing/2010/main"/>
                            </a:ext>
                          </a:extLst>
                        </pic:spPr>
                      </pic:pic>
                    </a:graphicData>
                  </a:graphic>
                </wp:inline>
              </w:drawing>
            </w:r>
          </w:p>
        </w:tc>
      </w:tr>
      <w:tr w:rsidR="005B7147" w:rsidRPr="008E63BB" w14:paraId="519B33AA" w14:textId="77777777" w:rsidTr="005B7147">
        <w:tc>
          <w:tcPr>
            <w:tcW w:w="9498" w:type="dxa"/>
          </w:tcPr>
          <w:p w14:paraId="519B33A9" w14:textId="77777777" w:rsidR="005B7147" w:rsidRPr="008E63BB" w:rsidRDefault="005B7147" w:rsidP="005B7147">
            <w:pPr>
              <w:jc w:val="center"/>
              <w:rPr>
                <w:i/>
                <w:szCs w:val="26"/>
                <w:lang w:val="pt-BR"/>
              </w:rPr>
            </w:pPr>
            <w:r w:rsidRPr="008E63BB">
              <w:rPr>
                <w:i/>
                <w:szCs w:val="26"/>
                <w:lang w:val="pt-BR"/>
              </w:rPr>
              <w:t>Sơ đồ định hướng quy hoạch các khu dân cư</w:t>
            </w:r>
          </w:p>
        </w:tc>
      </w:tr>
    </w:tbl>
    <w:p w14:paraId="519B33AB" w14:textId="77777777" w:rsidR="00F53F66" w:rsidRPr="008E63BB" w:rsidRDefault="00F53F66" w:rsidP="005B7147">
      <w:pPr>
        <w:pStyle w:val="Heading3"/>
        <w:spacing w:before="120"/>
      </w:pPr>
      <w:bookmarkStart w:id="376" w:name="_Toc21955368"/>
      <w:bookmarkStart w:id="377" w:name="_Toc47524699"/>
      <w:r w:rsidRPr="008E63BB">
        <w:t>5.</w:t>
      </w:r>
      <w:r w:rsidR="00F9056A" w:rsidRPr="008E63BB">
        <w:t>4</w:t>
      </w:r>
      <w:r w:rsidRPr="008E63BB">
        <w:t>.2. Quy hoạch các khu vực phát triển công nghiệp, trung chuyển hàng hóa</w:t>
      </w:r>
      <w:bookmarkEnd w:id="376"/>
      <w:bookmarkEnd w:id="377"/>
    </w:p>
    <w:p w14:paraId="519B33AC" w14:textId="77777777" w:rsidR="009671CF" w:rsidRPr="008E63BB" w:rsidRDefault="00F53F66" w:rsidP="009671CF">
      <w:pPr>
        <w:rPr>
          <w:bCs/>
          <w:iCs/>
          <w:lang w:val="pt-BR"/>
        </w:rPr>
      </w:pPr>
      <w:r w:rsidRPr="008E63BB">
        <w:rPr>
          <w:lang w:val="pt-BR"/>
        </w:rPr>
        <w:tab/>
      </w:r>
      <w:bookmarkStart w:id="378" w:name="_Hlk24344121"/>
      <w:r w:rsidR="009671CF" w:rsidRPr="008E63BB">
        <w:rPr>
          <w:bCs/>
          <w:iCs/>
          <w:lang w:val="pt-BR"/>
        </w:rPr>
        <w:t>Các khu, cụm công nghiệp và các nhà máy xí nghiệp tuân thủ các quy hoạch ngành đã xác định, trên cơ sở các KCN, CNN hiện có tiếp tục tập trung phát triển ở phía Tây và 1 phần ở phía Đông Bắc thành phố, khu vực ven vành đai 1 (Quốc lộ 10) và vành đai 2 của thành phố. Đây là các vị trí thuận lợi trong kết nối với hệ thống giao thông liên vùng và các công trình đầu mối, hỗ trợ tốt cho việc sản xuất vận chuyển hàng hóa.</w:t>
      </w:r>
    </w:p>
    <w:p w14:paraId="519B33AD" w14:textId="5F2212BF" w:rsidR="00336840" w:rsidRPr="008E63BB" w:rsidRDefault="009671CF" w:rsidP="009671CF">
      <w:pPr>
        <w:rPr>
          <w:bCs/>
          <w:iCs/>
          <w:lang w:val="pt-BR"/>
        </w:rPr>
      </w:pPr>
      <w:r w:rsidRPr="008E63BB">
        <w:rPr>
          <w:bCs/>
          <w:iCs/>
          <w:lang w:val="pt-BR"/>
        </w:rPr>
        <w:tab/>
        <w:t xml:space="preserve">Các ngành nghề trong các KCN, CCN: bên cạnh các lĩnh vực truyền thống như công nghiệp chế biến, dệt may, da giày, cơ khí, điện, sản xuất vật liệu xây dựng, công </w:t>
      </w:r>
      <w:r w:rsidRPr="008E63BB">
        <w:rPr>
          <w:bCs/>
          <w:iCs/>
          <w:lang w:val="pt-BR"/>
        </w:rPr>
        <w:lastRenderedPageBreak/>
        <w:t>nghiệp phục vụ phát triển nông nghiệp... khuyến khích phát triển công nghiệp hỗ trợ (công nghiệp sản xuất vật liệu, phụ tùng linh kiện, phụ kiện, bán thành phẩm để cung cấp cho ngành công nghiệp sản xuất, lắp ráp các sản phẩm hoàn chỉnh là tư liệu sản xuất hoặc sản phẩm tiêu dùng), công nghiệp phục vụ phát triển nông nghiệp…</w:t>
      </w:r>
    </w:p>
    <w:p w14:paraId="519B33AE" w14:textId="77777777" w:rsidR="009671CF" w:rsidRPr="008E63BB" w:rsidRDefault="00336840" w:rsidP="009671CF">
      <w:pPr>
        <w:rPr>
          <w:bCs/>
          <w:iCs/>
          <w:lang w:val="pt-BR"/>
        </w:rPr>
      </w:pPr>
      <w:r w:rsidRPr="008E63BB">
        <w:rPr>
          <w:bCs/>
          <w:iCs/>
          <w:lang w:val="pt-BR"/>
        </w:rPr>
        <w:tab/>
      </w:r>
      <w:r w:rsidRPr="008E63BB">
        <w:rPr>
          <w:iCs/>
          <w:lang w:val="pt-BR"/>
        </w:rPr>
        <w:t xml:space="preserve">Trên cơ sở Quy hoạch phát triển các KCN ở Việt Nam đến năm 2020 và Điều chỉnh quy hoạch các Khu công nghiệp tỉnh Nam Định đến năm 2020; kế hoạch và tình hình phát triển kinh tế - xã hội tỉnh Nam Định; quy hoạch và kế hoạch sử dụng đất, </w:t>
      </w:r>
      <w:r w:rsidR="007603E9" w:rsidRPr="008E63BB">
        <w:rPr>
          <w:iCs/>
          <w:lang w:val="pt-BR"/>
        </w:rPr>
        <w:t>khả năng xây dựng hệ thống kết cấu hạ tầng kỹ thuật và hạ tầng xã hội, khả năng thu hút vốn đầu tư của các nhà đầu tư trong nước và nhà đầu tư nước ngoài, khả năng cung cấp và đáp ứng nhu cầu về lao động</w:t>
      </w:r>
      <w:r w:rsidRPr="008E63BB">
        <w:rPr>
          <w:iCs/>
          <w:lang w:val="pt-BR"/>
        </w:rPr>
        <w:t xml:space="preserve"> của tỉnh Nam Định và thành phố Nam Định, huyện Mỹ Lộc, huyện Nam Trực, huyện Vụ Bản, định hướng quy hoạch các KCN, CCN trong khu vực lạp quy hoạch như sau:</w:t>
      </w:r>
    </w:p>
    <w:p w14:paraId="519B33AF" w14:textId="77777777" w:rsidR="00F00E16" w:rsidRPr="008E63BB" w:rsidRDefault="009671CF" w:rsidP="009671CF">
      <w:pPr>
        <w:ind w:firstLine="720"/>
        <w:rPr>
          <w:i/>
          <w:iCs/>
          <w:lang w:val="pt-BR"/>
        </w:rPr>
      </w:pPr>
      <w:r w:rsidRPr="008E63BB">
        <w:rPr>
          <w:i/>
          <w:iCs/>
          <w:lang w:val="pt-BR"/>
        </w:rPr>
        <w:t>* Quy hoạch các KCN:</w:t>
      </w:r>
    </w:p>
    <w:p w14:paraId="519B33B0" w14:textId="77777777" w:rsidR="009671CF" w:rsidRPr="008E63BB" w:rsidRDefault="00336840" w:rsidP="009671CF">
      <w:pPr>
        <w:ind w:firstLine="720"/>
        <w:rPr>
          <w:iCs/>
          <w:lang w:val="pt-BR"/>
        </w:rPr>
      </w:pPr>
      <w:r w:rsidRPr="008E63BB">
        <w:rPr>
          <w:iCs/>
          <w:lang w:val="pt-BR"/>
        </w:rPr>
        <w:t>T</w:t>
      </w:r>
      <w:r w:rsidR="00A96E66" w:rsidRPr="008E63BB">
        <w:rPr>
          <w:iCs/>
          <w:lang w:val="pt-BR"/>
        </w:rPr>
        <w:t>rong khu vực lập quy hoạch có 03 khu công nghiệp:</w:t>
      </w:r>
    </w:p>
    <w:p w14:paraId="519B33B1" w14:textId="77777777" w:rsidR="00A96E66" w:rsidRPr="008E63BB" w:rsidRDefault="00A96E66" w:rsidP="009671CF">
      <w:pPr>
        <w:ind w:firstLine="720"/>
        <w:rPr>
          <w:bCs/>
          <w:iCs/>
          <w:lang w:val="pt-BR"/>
        </w:rPr>
      </w:pPr>
      <w:r w:rsidRPr="008E63BB">
        <w:rPr>
          <w:bCs/>
          <w:iCs/>
          <w:lang w:val="pt-BR"/>
        </w:rPr>
        <w:t>+</w:t>
      </w:r>
      <w:r w:rsidR="009671CF" w:rsidRPr="008E63BB">
        <w:rPr>
          <w:bCs/>
          <w:iCs/>
          <w:lang w:val="pt-BR"/>
        </w:rPr>
        <w:t xml:space="preserve"> KCN Hòa Xá (TP Nam Định) hiện đã </w:t>
      </w:r>
      <w:r w:rsidRPr="008E63BB">
        <w:rPr>
          <w:bCs/>
          <w:iCs/>
          <w:lang w:val="pt-BR"/>
        </w:rPr>
        <w:t>được khai thác sử dụng</w:t>
      </w:r>
      <w:r w:rsidR="009671CF" w:rsidRPr="008E63BB">
        <w:rPr>
          <w:bCs/>
          <w:iCs/>
          <w:lang w:val="pt-BR"/>
        </w:rPr>
        <w:t xml:space="preserve"> 285,37ha</w:t>
      </w:r>
      <w:r w:rsidRPr="008E63BB">
        <w:rPr>
          <w:bCs/>
          <w:iCs/>
          <w:lang w:val="pt-BR"/>
        </w:rPr>
        <w:t xml:space="preserve">/327ha, </w:t>
      </w:r>
    </w:p>
    <w:p w14:paraId="519B33B2" w14:textId="77777777" w:rsidR="00A96E66" w:rsidRPr="008E63BB" w:rsidRDefault="00A96E66" w:rsidP="009671CF">
      <w:pPr>
        <w:ind w:firstLine="720"/>
        <w:rPr>
          <w:bCs/>
          <w:iCs/>
          <w:lang w:val="pt-BR"/>
        </w:rPr>
      </w:pPr>
      <w:r w:rsidRPr="008E63BB">
        <w:rPr>
          <w:bCs/>
          <w:iCs/>
          <w:lang w:val="pt-BR"/>
        </w:rPr>
        <w:t xml:space="preserve">+ KCN Mỹ Trung tại Xã Mỹ Trung, huyện Mỹ Lộc và phường Lộc Hạ, TP Nam Định, quy mô 150,7ha, </w:t>
      </w:r>
      <w:r w:rsidR="00284AEB" w:rsidRPr="008E63BB">
        <w:rPr>
          <w:bCs/>
          <w:iCs/>
          <w:lang w:val="pt-BR"/>
        </w:rPr>
        <w:t xml:space="preserve">đã được đầu tư khai thác một phần, </w:t>
      </w:r>
      <w:r w:rsidRPr="008E63BB">
        <w:rPr>
          <w:bCs/>
          <w:iCs/>
          <w:lang w:val="pt-BR"/>
        </w:rPr>
        <w:t>t</w:t>
      </w:r>
      <w:r w:rsidR="009671CF" w:rsidRPr="008E63BB">
        <w:rPr>
          <w:bCs/>
          <w:iCs/>
          <w:lang w:val="pt-BR"/>
        </w:rPr>
        <w:t xml:space="preserve">iếp tục đẩy nhanh </w:t>
      </w:r>
      <w:r w:rsidR="00284AEB" w:rsidRPr="008E63BB">
        <w:rPr>
          <w:bCs/>
          <w:iCs/>
          <w:lang w:val="pt-BR"/>
        </w:rPr>
        <w:t>d</w:t>
      </w:r>
      <w:r w:rsidR="009671CF" w:rsidRPr="008E63BB">
        <w:rPr>
          <w:bCs/>
          <w:iCs/>
          <w:lang w:val="pt-BR"/>
        </w:rPr>
        <w:t>ự án đầu tư cơ sở hạ tầng</w:t>
      </w:r>
      <w:r w:rsidR="00284AEB" w:rsidRPr="008E63BB">
        <w:rPr>
          <w:bCs/>
          <w:iCs/>
          <w:lang w:val="pt-BR"/>
        </w:rPr>
        <w:t xml:space="preserve"> và lấp đầy trong giai đoạn tới</w:t>
      </w:r>
      <w:r w:rsidR="009671CF" w:rsidRPr="008E63BB">
        <w:rPr>
          <w:bCs/>
          <w:iCs/>
          <w:lang w:val="pt-BR"/>
        </w:rPr>
        <w:t xml:space="preserve">. </w:t>
      </w:r>
    </w:p>
    <w:p w14:paraId="519B33B3" w14:textId="77777777" w:rsidR="009671CF" w:rsidRPr="008E63BB" w:rsidRDefault="00A96E66" w:rsidP="009671CF">
      <w:pPr>
        <w:ind w:firstLine="720"/>
        <w:rPr>
          <w:bCs/>
          <w:iCs/>
          <w:lang w:val="pt-BR"/>
        </w:rPr>
      </w:pPr>
      <w:r w:rsidRPr="008E63BB">
        <w:rPr>
          <w:bCs/>
          <w:iCs/>
          <w:lang w:val="pt-BR"/>
        </w:rPr>
        <w:t xml:space="preserve">+ </w:t>
      </w:r>
      <w:r w:rsidR="009671CF" w:rsidRPr="008E63BB">
        <w:rPr>
          <w:bCs/>
          <w:iCs/>
          <w:lang w:val="pt-BR"/>
        </w:rPr>
        <w:t>KCN Mỹ Thuận quy mô 158,47ha tại xã Mỹ Thuận, Mỹ Thịnh – huyện Mỹ Lộc, xã Hiển Khánh, huyện Vụ Bản.</w:t>
      </w:r>
      <w:r w:rsidRPr="008E63BB">
        <w:rPr>
          <w:bCs/>
          <w:iCs/>
          <w:lang w:val="pt-BR"/>
        </w:rPr>
        <w:t xml:space="preserve"> Triển khai xây dựng theo chủ trương đầu tư được duyệt.</w:t>
      </w:r>
    </w:p>
    <w:p w14:paraId="519B33B4" w14:textId="39360181" w:rsidR="009671CF" w:rsidRPr="008E63BB" w:rsidRDefault="009671CF" w:rsidP="009671CF">
      <w:pPr>
        <w:rPr>
          <w:bCs/>
          <w:i/>
          <w:lang w:val="pt-BR"/>
        </w:rPr>
      </w:pPr>
      <w:r w:rsidRPr="008E63BB">
        <w:rPr>
          <w:bCs/>
          <w:iCs/>
          <w:lang w:val="pt-BR"/>
        </w:rPr>
        <w:tab/>
      </w:r>
      <w:r w:rsidRPr="008E63BB">
        <w:rPr>
          <w:bCs/>
          <w:i/>
          <w:lang w:val="pt-BR"/>
        </w:rPr>
        <w:t>* Quy hoạch các CCN:</w:t>
      </w:r>
      <w:r w:rsidR="00CF6DD8" w:rsidRPr="008E63BB">
        <w:rPr>
          <w:bCs/>
          <w:i/>
          <w:lang w:val="pt-BR"/>
        </w:rPr>
        <w:t xml:space="preserve"> </w:t>
      </w:r>
      <w:r w:rsidR="008525EE" w:rsidRPr="008E63BB">
        <w:rPr>
          <w:iCs/>
          <w:lang w:val="pt-BR"/>
        </w:rPr>
        <w:t>Trong khu vực lập quy hoạch có 06 cụm công nghiệp</w:t>
      </w:r>
    </w:p>
    <w:p w14:paraId="519B33B5" w14:textId="67E47CB7" w:rsidR="009671CF" w:rsidRPr="008E63BB" w:rsidRDefault="009671CF" w:rsidP="009671CF">
      <w:pPr>
        <w:ind w:firstLine="720"/>
        <w:rPr>
          <w:bCs/>
          <w:iCs/>
          <w:lang w:val="pt-BR"/>
        </w:rPr>
      </w:pPr>
      <w:r w:rsidRPr="008E63BB">
        <w:rPr>
          <w:bCs/>
          <w:iCs/>
          <w:lang w:val="pt-BR"/>
        </w:rPr>
        <w:t>- CCN An Xá (TP nam Định) hiện có với các ngành nghề chính bao gồm chế biến thủy hải sản, dệt may, đúc sắt thép, sản xuất plastic và cao su tổng hợp…, quy mô 97ha.</w:t>
      </w:r>
    </w:p>
    <w:p w14:paraId="519B33B6" w14:textId="77777777" w:rsidR="008525EE" w:rsidRPr="008E63BB" w:rsidRDefault="008525EE" w:rsidP="008525EE">
      <w:pPr>
        <w:ind w:firstLine="720"/>
        <w:rPr>
          <w:bCs/>
          <w:iCs/>
          <w:lang w:val="pt-BR"/>
        </w:rPr>
      </w:pPr>
      <w:r w:rsidRPr="008E63BB">
        <w:rPr>
          <w:bCs/>
          <w:iCs/>
          <w:lang w:val="pt-BR"/>
        </w:rPr>
        <w:t>- CCN Mỹ Tân (xã Mỹ Tân, huyện Mỹ Lộc) quy mô 23,2ha với các ngành chủ yếu là Cơ khí, điện, điện tử, ngành công nghiệp hỗ trợ khác (Không quy hoạch ngành dệt may, da giày).</w:t>
      </w:r>
    </w:p>
    <w:p w14:paraId="519B33B7" w14:textId="439163EE" w:rsidR="009671CF" w:rsidRPr="008E63BB" w:rsidRDefault="009671CF" w:rsidP="009671CF">
      <w:pPr>
        <w:ind w:firstLine="720"/>
        <w:rPr>
          <w:bCs/>
          <w:iCs/>
          <w:lang w:val="pt-BR"/>
        </w:rPr>
      </w:pPr>
      <w:r w:rsidRPr="008E63BB">
        <w:rPr>
          <w:bCs/>
          <w:iCs/>
          <w:lang w:val="pt-BR"/>
        </w:rPr>
        <w:t xml:space="preserve">- CCN Mỹ Thắng (xã Mỹ Thắng, huyện Mỹ Lộc) quy mô 34,9ha phục vụ di dời, mở rộng sản xuất các doanh nghiệp, cơ sở sản xuất ngành may mặc, chế biến bông vải sợi  thuộc làng nghề Mỹ Thắng. Kiến nghị quy hoạch tại vị trí phía Bắc đường vành đai 2 (điều chỉnh vị trí so với Quy hoạch xây dựng vùng huyện Mỹ Lộc đến năm 2030, tầm nhìn đến năm 2050); </w:t>
      </w:r>
    </w:p>
    <w:p w14:paraId="519B33B8" w14:textId="68F786DA" w:rsidR="009671CF" w:rsidRPr="008E63BB" w:rsidRDefault="009671CF" w:rsidP="009671CF">
      <w:pPr>
        <w:ind w:firstLine="720"/>
        <w:rPr>
          <w:bCs/>
          <w:iCs/>
          <w:lang w:val="pt-BR"/>
        </w:rPr>
      </w:pPr>
      <w:r w:rsidRPr="008E63BB">
        <w:rPr>
          <w:bCs/>
          <w:iCs/>
          <w:lang w:val="pt-BR"/>
        </w:rPr>
        <w:t>- Đề xuất quy hoạch CCN Mỹ Thuận (mới) tại xã Mỹ Thuận với quy mô 70ha, CCN mới tại xã Đại An quy mô 70ha và 01 CCN mới tại xã Tân Thành quy mô 70ha.</w:t>
      </w:r>
    </w:p>
    <w:p w14:paraId="519B33B9" w14:textId="77777777" w:rsidR="009671CF" w:rsidRPr="008E63BB" w:rsidRDefault="009671CF" w:rsidP="009671CF">
      <w:pPr>
        <w:ind w:firstLine="720"/>
        <w:rPr>
          <w:bCs/>
          <w:iCs/>
          <w:lang w:val="pt-BR"/>
        </w:rPr>
      </w:pPr>
      <w:r w:rsidRPr="008E63BB">
        <w:rPr>
          <w:bCs/>
          <w:i/>
          <w:lang w:val="pt-BR"/>
        </w:rPr>
        <w:t>* Quy hoạch hệ thống kho bãi, logistic:</w:t>
      </w:r>
    </w:p>
    <w:p w14:paraId="519B33BA" w14:textId="77777777" w:rsidR="009671CF" w:rsidRPr="008E63BB" w:rsidRDefault="009671CF" w:rsidP="009671CF">
      <w:pPr>
        <w:rPr>
          <w:bCs/>
          <w:iCs/>
          <w:lang w:val="pt-BR"/>
        </w:rPr>
      </w:pPr>
      <w:r w:rsidRPr="008E63BB">
        <w:rPr>
          <w:bCs/>
          <w:iCs/>
          <w:lang w:val="pt-BR"/>
        </w:rPr>
        <w:tab/>
        <w:t>Tại khu vực ven đường vành đai 2, phía Nam đường sắt Bắc Nam đoạn xã Mỹ Thịnh huyện Mỹ Lộc, tổ chức khu trung chuyển hàng hóa - logistic gắn với ga đường sắt dự kiến quy hoạch mới tại khu vực Mỹ Lộc – Mỹ Thịnh quy mô 100ha. Đây sẽ là các đầu mối thu gom, quá cảnh hàng hóa cho các cơ sở sản xuất của thành phố và khu vực mở rộng</w:t>
      </w:r>
      <w:r w:rsidR="008525EE" w:rsidRPr="008E63BB">
        <w:rPr>
          <w:bCs/>
          <w:iCs/>
          <w:lang w:val="pt-BR"/>
        </w:rPr>
        <w:t xml:space="preserve"> gắn với khu vực đầu mối giao thông đường bộ đường sắt và khu vực ga đường sắt</w:t>
      </w:r>
      <w:r w:rsidRPr="008E63BB">
        <w:rPr>
          <w:bCs/>
          <w:iCs/>
          <w:lang w:val="pt-BR"/>
        </w:rPr>
        <w:t>.</w:t>
      </w:r>
    </w:p>
    <w:p w14:paraId="519B33BB" w14:textId="77777777" w:rsidR="009671CF" w:rsidRPr="008E63BB" w:rsidRDefault="009671CF" w:rsidP="009671CF">
      <w:pPr>
        <w:jc w:val="center"/>
        <w:rPr>
          <w:bCs/>
          <w:i/>
          <w:lang w:val="pt-BR"/>
        </w:rPr>
      </w:pPr>
      <w:r w:rsidRPr="008E63BB">
        <w:rPr>
          <w:bCs/>
          <w:i/>
          <w:lang w:val="pt-BR"/>
        </w:rPr>
        <w:t>Bảng: Quy hoạch các KCN, CCN</w:t>
      </w:r>
    </w:p>
    <w:tbl>
      <w:tblPr>
        <w:tblW w:w="9389" w:type="dxa"/>
        <w:tblInd w:w="113" w:type="dxa"/>
        <w:tblLook w:val="04A0" w:firstRow="1" w:lastRow="0" w:firstColumn="1" w:lastColumn="0" w:noHBand="0" w:noVBand="1"/>
      </w:tblPr>
      <w:tblGrid>
        <w:gridCol w:w="895"/>
        <w:gridCol w:w="4590"/>
        <w:gridCol w:w="1440"/>
        <w:gridCol w:w="1189"/>
        <w:gridCol w:w="1275"/>
      </w:tblGrid>
      <w:tr w:rsidR="008D5BFE" w:rsidRPr="008E63BB" w14:paraId="519B33C1" w14:textId="77777777" w:rsidTr="005B7147">
        <w:trPr>
          <w:trHeight w:val="480"/>
          <w:tblHeader/>
        </w:trPr>
        <w:tc>
          <w:tcPr>
            <w:tcW w:w="8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3BC"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STT</w:t>
            </w:r>
          </w:p>
        </w:tc>
        <w:tc>
          <w:tcPr>
            <w:tcW w:w="4590" w:type="dxa"/>
            <w:tcBorders>
              <w:top w:val="single" w:sz="4" w:space="0" w:color="auto"/>
              <w:left w:val="nil"/>
              <w:bottom w:val="single" w:sz="4" w:space="0" w:color="auto"/>
              <w:right w:val="single" w:sz="4" w:space="0" w:color="auto"/>
            </w:tcBorders>
            <w:shd w:val="clear" w:color="auto" w:fill="auto"/>
            <w:vAlign w:val="center"/>
            <w:hideMark/>
          </w:tcPr>
          <w:p w14:paraId="519B33BD"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Danh mục</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519B33BE"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Hiện trạng (ha)</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14:paraId="519B33BF"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QH 2030 (ha)</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519B33C0"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QH 2040 (ha)</w:t>
            </w:r>
          </w:p>
        </w:tc>
      </w:tr>
      <w:tr w:rsidR="008D5BFE" w:rsidRPr="008E63BB" w14:paraId="519B33C7"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519B33C2"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I</w:t>
            </w:r>
          </w:p>
        </w:tc>
        <w:tc>
          <w:tcPr>
            <w:tcW w:w="4590" w:type="dxa"/>
            <w:tcBorders>
              <w:top w:val="nil"/>
              <w:left w:val="nil"/>
              <w:bottom w:val="single" w:sz="4" w:space="0" w:color="auto"/>
              <w:right w:val="single" w:sz="4" w:space="0" w:color="auto"/>
            </w:tcBorders>
            <w:shd w:val="clear" w:color="auto" w:fill="auto"/>
            <w:noWrap/>
            <w:vAlign w:val="center"/>
            <w:hideMark/>
          </w:tcPr>
          <w:p w14:paraId="519B33C3" w14:textId="77777777" w:rsidR="009671CF" w:rsidRPr="008E63BB" w:rsidRDefault="009671CF" w:rsidP="00F5692E">
            <w:pPr>
              <w:jc w:val="left"/>
              <w:rPr>
                <w:rFonts w:eastAsia="Times New Roman"/>
                <w:b/>
                <w:bCs/>
                <w:sz w:val="24"/>
                <w:szCs w:val="24"/>
              </w:rPr>
            </w:pPr>
            <w:r w:rsidRPr="008E63BB">
              <w:rPr>
                <w:rFonts w:eastAsia="Times New Roman"/>
                <w:b/>
                <w:bCs/>
                <w:sz w:val="24"/>
                <w:szCs w:val="24"/>
              </w:rPr>
              <w:t>Tổng KCN</w:t>
            </w:r>
          </w:p>
        </w:tc>
        <w:tc>
          <w:tcPr>
            <w:tcW w:w="1440" w:type="dxa"/>
            <w:tcBorders>
              <w:top w:val="nil"/>
              <w:left w:val="nil"/>
              <w:bottom w:val="single" w:sz="4" w:space="0" w:color="auto"/>
              <w:right w:val="single" w:sz="4" w:space="0" w:color="auto"/>
            </w:tcBorders>
            <w:shd w:val="clear" w:color="auto" w:fill="auto"/>
            <w:noWrap/>
            <w:vAlign w:val="center"/>
            <w:hideMark/>
          </w:tcPr>
          <w:p w14:paraId="519B33C4"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636</w:t>
            </w:r>
          </w:p>
        </w:tc>
        <w:tc>
          <w:tcPr>
            <w:tcW w:w="1189" w:type="dxa"/>
            <w:tcBorders>
              <w:top w:val="nil"/>
              <w:left w:val="nil"/>
              <w:bottom w:val="single" w:sz="4" w:space="0" w:color="auto"/>
              <w:right w:val="single" w:sz="4" w:space="0" w:color="auto"/>
            </w:tcBorders>
            <w:shd w:val="clear" w:color="auto" w:fill="auto"/>
            <w:noWrap/>
            <w:vAlign w:val="center"/>
            <w:hideMark/>
          </w:tcPr>
          <w:p w14:paraId="519B33C5"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636</w:t>
            </w:r>
          </w:p>
        </w:tc>
        <w:tc>
          <w:tcPr>
            <w:tcW w:w="1275" w:type="dxa"/>
            <w:tcBorders>
              <w:top w:val="nil"/>
              <w:left w:val="nil"/>
              <w:bottom w:val="single" w:sz="4" w:space="0" w:color="auto"/>
              <w:right w:val="single" w:sz="4" w:space="0" w:color="auto"/>
            </w:tcBorders>
            <w:shd w:val="clear" w:color="auto" w:fill="auto"/>
            <w:noWrap/>
            <w:vAlign w:val="center"/>
            <w:hideMark/>
          </w:tcPr>
          <w:p w14:paraId="519B33C6"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636</w:t>
            </w:r>
          </w:p>
        </w:tc>
      </w:tr>
      <w:tr w:rsidR="008D5BFE" w:rsidRPr="008E63BB" w14:paraId="519B33CD" w14:textId="77777777" w:rsidTr="005B7147">
        <w:trPr>
          <w:trHeight w:val="480"/>
        </w:trPr>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519B33C8" w14:textId="77777777" w:rsidR="009671CF" w:rsidRPr="008E63BB" w:rsidRDefault="009671CF" w:rsidP="00F5692E">
            <w:pPr>
              <w:jc w:val="center"/>
              <w:rPr>
                <w:rFonts w:eastAsia="Times New Roman"/>
                <w:sz w:val="24"/>
                <w:szCs w:val="24"/>
              </w:rPr>
            </w:pPr>
            <w:r w:rsidRPr="008E63BB">
              <w:rPr>
                <w:rFonts w:eastAsia="Times New Roman"/>
                <w:sz w:val="24"/>
                <w:szCs w:val="24"/>
              </w:rPr>
              <w:t>1</w:t>
            </w:r>
          </w:p>
        </w:tc>
        <w:tc>
          <w:tcPr>
            <w:tcW w:w="4590" w:type="dxa"/>
            <w:tcBorders>
              <w:top w:val="nil"/>
              <w:left w:val="nil"/>
              <w:bottom w:val="single" w:sz="4" w:space="0" w:color="auto"/>
              <w:right w:val="single" w:sz="4" w:space="0" w:color="auto"/>
            </w:tcBorders>
            <w:shd w:val="clear" w:color="auto" w:fill="auto"/>
            <w:vAlign w:val="center"/>
            <w:hideMark/>
          </w:tcPr>
          <w:p w14:paraId="519B33C9" w14:textId="77777777" w:rsidR="009671CF" w:rsidRPr="008E63BB" w:rsidRDefault="009671CF" w:rsidP="00F5692E">
            <w:pPr>
              <w:rPr>
                <w:rFonts w:eastAsia="Times New Roman"/>
                <w:sz w:val="24"/>
                <w:szCs w:val="24"/>
              </w:rPr>
            </w:pPr>
            <w:r w:rsidRPr="008E63BB">
              <w:rPr>
                <w:rFonts w:eastAsia="Times New Roman"/>
                <w:sz w:val="24"/>
                <w:szCs w:val="24"/>
              </w:rPr>
              <w:t>KCN Hòa Xá - Xã Lộc Hòa, xã Mỹ Xá - Thành phố</w:t>
            </w:r>
          </w:p>
        </w:tc>
        <w:tc>
          <w:tcPr>
            <w:tcW w:w="1440" w:type="dxa"/>
            <w:tcBorders>
              <w:top w:val="nil"/>
              <w:left w:val="nil"/>
              <w:bottom w:val="single" w:sz="4" w:space="0" w:color="auto"/>
              <w:right w:val="single" w:sz="4" w:space="0" w:color="auto"/>
            </w:tcBorders>
            <w:shd w:val="clear" w:color="auto" w:fill="auto"/>
            <w:vAlign w:val="center"/>
            <w:hideMark/>
          </w:tcPr>
          <w:p w14:paraId="519B33CA" w14:textId="77777777" w:rsidR="009671CF" w:rsidRPr="008E63BB" w:rsidRDefault="009671CF" w:rsidP="00F5692E">
            <w:pPr>
              <w:jc w:val="center"/>
              <w:rPr>
                <w:rFonts w:eastAsia="Times New Roman"/>
                <w:sz w:val="24"/>
                <w:szCs w:val="24"/>
              </w:rPr>
            </w:pPr>
            <w:r w:rsidRPr="008E63BB">
              <w:rPr>
                <w:rFonts w:eastAsia="Times New Roman"/>
                <w:sz w:val="24"/>
                <w:szCs w:val="24"/>
              </w:rPr>
              <w:t>327</w:t>
            </w:r>
          </w:p>
        </w:tc>
        <w:tc>
          <w:tcPr>
            <w:tcW w:w="1189" w:type="dxa"/>
            <w:tcBorders>
              <w:top w:val="nil"/>
              <w:left w:val="nil"/>
              <w:bottom w:val="single" w:sz="4" w:space="0" w:color="auto"/>
              <w:right w:val="single" w:sz="4" w:space="0" w:color="auto"/>
            </w:tcBorders>
            <w:shd w:val="clear" w:color="auto" w:fill="auto"/>
            <w:vAlign w:val="center"/>
            <w:hideMark/>
          </w:tcPr>
          <w:p w14:paraId="519B33CB" w14:textId="77777777" w:rsidR="009671CF" w:rsidRPr="008E63BB" w:rsidRDefault="009671CF" w:rsidP="00F5692E">
            <w:pPr>
              <w:jc w:val="center"/>
              <w:rPr>
                <w:rFonts w:eastAsia="Times New Roman"/>
                <w:sz w:val="24"/>
                <w:szCs w:val="24"/>
              </w:rPr>
            </w:pPr>
            <w:r w:rsidRPr="008E63BB">
              <w:rPr>
                <w:rFonts w:eastAsia="Times New Roman"/>
                <w:sz w:val="24"/>
                <w:szCs w:val="24"/>
              </w:rPr>
              <w:t>327</w:t>
            </w:r>
          </w:p>
        </w:tc>
        <w:tc>
          <w:tcPr>
            <w:tcW w:w="1275" w:type="dxa"/>
            <w:tcBorders>
              <w:top w:val="nil"/>
              <w:left w:val="nil"/>
              <w:bottom w:val="single" w:sz="4" w:space="0" w:color="auto"/>
              <w:right w:val="single" w:sz="4" w:space="0" w:color="auto"/>
            </w:tcBorders>
            <w:shd w:val="clear" w:color="auto" w:fill="auto"/>
            <w:vAlign w:val="center"/>
            <w:hideMark/>
          </w:tcPr>
          <w:p w14:paraId="519B33CC" w14:textId="77777777" w:rsidR="009671CF" w:rsidRPr="008E63BB" w:rsidRDefault="009671CF" w:rsidP="00F5692E">
            <w:pPr>
              <w:jc w:val="center"/>
              <w:rPr>
                <w:rFonts w:eastAsia="Times New Roman"/>
                <w:sz w:val="24"/>
                <w:szCs w:val="24"/>
              </w:rPr>
            </w:pPr>
            <w:r w:rsidRPr="008E63BB">
              <w:rPr>
                <w:rFonts w:eastAsia="Times New Roman"/>
                <w:sz w:val="24"/>
                <w:szCs w:val="24"/>
              </w:rPr>
              <w:t>327</w:t>
            </w:r>
          </w:p>
        </w:tc>
      </w:tr>
      <w:tr w:rsidR="008D5BFE" w:rsidRPr="008E63BB" w14:paraId="519B33D3" w14:textId="77777777" w:rsidTr="005B7147">
        <w:trPr>
          <w:trHeight w:val="512"/>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CE" w14:textId="77777777" w:rsidR="009671CF" w:rsidRPr="008E63BB" w:rsidRDefault="009671CF" w:rsidP="00F5692E">
            <w:pPr>
              <w:jc w:val="center"/>
              <w:rPr>
                <w:rFonts w:eastAsia="Times New Roman"/>
                <w:sz w:val="24"/>
                <w:szCs w:val="24"/>
              </w:rPr>
            </w:pPr>
            <w:r w:rsidRPr="008E63BB">
              <w:rPr>
                <w:rFonts w:eastAsia="Times New Roman"/>
                <w:sz w:val="24"/>
                <w:szCs w:val="24"/>
              </w:rPr>
              <w:lastRenderedPageBreak/>
              <w:t>2</w:t>
            </w:r>
          </w:p>
        </w:tc>
        <w:tc>
          <w:tcPr>
            <w:tcW w:w="4590" w:type="dxa"/>
            <w:tcBorders>
              <w:top w:val="nil"/>
              <w:left w:val="nil"/>
              <w:bottom w:val="single" w:sz="4" w:space="0" w:color="auto"/>
              <w:right w:val="single" w:sz="4" w:space="0" w:color="auto"/>
            </w:tcBorders>
            <w:shd w:val="clear" w:color="auto" w:fill="auto"/>
            <w:vAlign w:val="center"/>
            <w:hideMark/>
          </w:tcPr>
          <w:p w14:paraId="519B33CF" w14:textId="77777777" w:rsidR="009671CF" w:rsidRPr="008E63BB" w:rsidRDefault="009671CF" w:rsidP="00F5692E">
            <w:pPr>
              <w:rPr>
                <w:rFonts w:eastAsia="Times New Roman"/>
                <w:sz w:val="24"/>
                <w:szCs w:val="24"/>
              </w:rPr>
            </w:pPr>
            <w:r w:rsidRPr="008E63BB">
              <w:rPr>
                <w:rFonts w:eastAsia="Times New Roman"/>
                <w:sz w:val="24"/>
                <w:szCs w:val="24"/>
              </w:rPr>
              <w:t>KCN Mỹ Trung - xã Mỹ Trung-H. Mỹ Lộc và Phường Lộc Hạ - Thành phố</w:t>
            </w:r>
          </w:p>
        </w:tc>
        <w:tc>
          <w:tcPr>
            <w:tcW w:w="1440" w:type="dxa"/>
            <w:tcBorders>
              <w:top w:val="nil"/>
              <w:left w:val="nil"/>
              <w:bottom w:val="single" w:sz="4" w:space="0" w:color="auto"/>
              <w:right w:val="single" w:sz="4" w:space="0" w:color="auto"/>
            </w:tcBorders>
            <w:shd w:val="clear" w:color="auto" w:fill="auto"/>
            <w:vAlign w:val="center"/>
            <w:hideMark/>
          </w:tcPr>
          <w:p w14:paraId="519B33D0" w14:textId="77777777" w:rsidR="009671CF" w:rsidRPr="008E63BB" w:rsidRDefault="009671CF" w:rsidP="00F5692E">
            <w:pPr>
              <w:jc w:val="center"/>
              <w:rPr>
                <w:rFonts w:eastAsia="Times New Roman"/>
                <w:sz w:val="24"/>
                <w:szCs w:val="24"/>
              </w:rPr>
            </w:pPr>
            <w:r w:rsidRPr="008E63BB">
              <w:rPr>
                <w:rFonts w:eastAsia="Times New Roman"/>
                <w:sz w:val="24"/>
                <w:szCs w:val="24"/>
              </w:rPr>
              <w:t>150,7</w:t>
            </w:r>
          </w:p>
        </w:tc>
        <w:tc>
          <w:tcPr>
            <w:tcW w:w="1189" w:type="dxa"/>
            <w:tcBorders>
              <w:top w:val="nil"/>
              <w:left w:val="nil"/>
              <w:bottom w:val="single" w:sz="4" w:space="0" w:color="auto"/>
              <w:right w:val="single" w:sz="4" w:space="0" w:color="auto"/>
            </w:tcBorders>
            <w:shd w:val="clear" w:color="auto" w:fill="auto"/>
            <w:vAlign w:val="center"/>
            <w:hideMark/>
          </w:tcPr>
          <w:p w14:paraId="519B33D1" w14:textId="77777777" w:rsidR="009671CF" w:rsidRPr="008E63BB" w:rsidRDefault="009671CF" w:rsidP="00F5692E">
            <w:pPr>
              <w:jc w:val="center"/>
              <w:rPr>
                <w:rFonts w:eastAsia="Times New Roman"/>
                <w:sz w:val="24"/>
                <w:szCs w:val="24"/>
              </w:rPr>
            </w:pPr>
            <w:r w:rsidRPr="008E63BB">
              <w:rPr>
                <w:rFonts w:eastAsia="Times New Roman"/>
                <w:sz w:val="24"/>
                <w:szCs w:val="24"/>
              </w:rPr>
              <w:t>150,7</w:t>
            </w:r>
          </w:p>
        </w:tc>
        <w:tc>
          <w:tcPr>
            <w:tcW w:w="1275" w:type="dxa"/>
            <w:tcBorders>
              <w:top w:val="nil"/>
              <w:left w:val="nil"/>
              <w:bottom w:val="single" w:sz="4" w:space="0" w:color="auto"/>
              <w:right w:val="single" w:sz="4" w:space="0" w:color="auto"/>
            </w:tcBorders>
            <w:shd w:val="clear" w:color="auto" w:fill="auto"/>
            <w:vAlign w:val="center"/>
            <w:hideMark/>
          </w:tcPr>
          <w:p w14:paraId="519B33D2" w14:textId="77777777" w:rsidR="009671CF" w:rsidRPr="008E63BB" w:rsidRDefault="009671CF" w:rsidP="00F5692E">
            <w:pPr>
              <w:jc w:val="center"/>
              <w:rPr>
                <w:rFonts w:eastAsia="Times New Roman"/>
                <w:sz w:val="24"/>
                <w:szCs w:val="24"/>
              </w:rPr>
            </w:pPr>
            <w:r w:rsidRPr="008E63BB">
              <w:rPr>
                <w:rFonts w:eastAsia="Times New Roman"/>
                <w:sz w:val="24"/>
                <w:szCs w:val="24"/>
              </w:rPr>
              <w:t>150,7</w:t>
            </w:r>
          </w:p>
        </w:tc>
      </w:tr>
      <w:tr w:rsidR="008D5BFE" w:rsidRPr="008E63BB" w14:paraId="519B33D9" w14:textId="77777777" w:rsidTr="005B7147">
        <w:trPr>
          <w:trHeight w:val="584"/>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D4" w14:textId="77777777" w:rsidR="009671CF" w:rsidRPr="008E63BB" w:rsidRDefault="009671CF" w:rsidP="00F5692E">
            <w:pPr>
              <w:jc w:val="center"/>
              <w:rPr>
                <w:rFonts w:eastAsia="Times New Roman"/>
                <w:sz w:val="24"/>
                <w:szCs w:val="24"/>
              </w:rPr>
            </w:pPr>
            <w:r w:rsidRPr="008E63BB">
              <w:rPr>
                <w:rFonts w:eastAsia="Times New Roman"/>
                <w:sz w:val="24"/>
                <w:szCs w:val="24"/>
              </w:rPr>
              <w:t>3</w:t>
            </w:r>
          </w:p>
        </w:tc>
        <w:tc>
          <w:tcPr>
            <w:tcW w:w="4590" w:type="dxa"/>
            <w:tcBorders>
              <w:top w:val="nil"/>
              <w:left w:val="nil"/>
              <w:bottom w:val="single" w:sz="4" w:space="0" w:color="auto"/>
              <w:right w:val="single" w:sz="4" w:space="0" w:color="auto"/>
            </w:tcBorders>
            <w:shd w:val="clear" w:color="auto" w:fill="auto"/>
            <w:noWrap/>
            <w:vAlign w:val="center"/>
            <w:hideMark/>
          </w:tcPr>
          <w:p w14:paraId="519B33D5" w14:textId="77777777" w:rsidR="009671CF" w:rsidRPr="008E63BB" w:rsidRDefault="009671CF" w:rsidP="00F5692E">
            <w:pPr>
              <w:rPr>
                <w:rFonts w:eastAsia="Times New Roman"/>
                <w:sz w:val="24"/>
                <w:szCs w:val="24"/>
              </w:rPr>
            </w:pPr>
            <w:r w:rsidRPr="008E63BB">
              <w:rPr>
                <w:rFonts w:eastAsia="Times New Roman"/>
                <w:sz w:val="24"/>
                <w:szCs w:val="24"/>
              </w:rPr>
              <w:t>KCN Mỹ Th</w:t>
            </w:r>
            <w:r w:rsidR="005B7147" w:rsidRPr="008E63BB">
              <w:rPr>
                <w:rFonts w:eastAsia="Times New Roman"/>
                <w:sz w:val="24"/>
                <w:szCs w:val="24"/>
              </w:rPr>
              <w:t>uận - Xã Mỹ Thuận, Mỹ Thịnh – H. Mỹ Lộc, xã Hiển Khánh, H.</w:t>
            </w:r>
            <w:r w:rsidRPr="008E63BB">
              <w:rPr>
                <w:rFonts w:eastAsia="Times New Roman"/>
                <w:sz w:val="24"/>
                <w:szCs w:val="24"/>
              </w:rPr>
              <w:t>Vụ Bản</w:t>
            </w:r>
          </w:p>
        </w:tc>
        <w:tc>
          <w:tcPr>
            <w:tcW w:w="1440" w:type="dxa"/>
            <w:tcBorders>
              <w:top w:val="nil"/>
              <w:left w:val="nil"/>
              <w:bottom w:val="single" w:sz="4" w:space="0" w:color="auto"/>
              <w:right w:val="single" w:sz="4" w:space="0" w:color="auto"/>
            </w:tcBorders>
            <w:shd w:val="clear" w:color="auto" w:fill="auto"/>
            <w:noWrap/>
            <w:vAlign w:val="center"/>
            <w:hideMark/>
          </w:tcPr>
          <w:p w14:paraId="519B33D6" w14:textId="77777777" w:rsidR="009671CF" w:rsidRPr="008E63BB" w:rsidRDefault="009671CF" w:rsidP="00F5692E">
            <w:pPr>
              <w:jc w:val="center"/>
              <w:rPr>
                <w:rFonts w:eastAsia="Times New Roman"/>
                <w:sz w:val="24"/>
                <w:szCs w:val="24"/>
              </w:rPr>
            </w:pPr>
            <w:r w:rsidRPr="008E63BB">
              <w:rPr>
                <w:rFonts w:eastAsia="Times New Roman"/>
                <w:sz w:val="24"/>
                <w:szCs w:val="24"/>
              </w:rPr>
              <w:t>158,47</w:t>
            </w:r>
          </w:p>
        </w:tc>
        <w:tc>
          <w:tcPr>
            <w:tcW w:w="1189" w:type="dxa"/>
            <w:tcBorders>
              <w:top w:val="nil"/>
              <w:left w:val="nil"/>
              <w:bottom w:val="single" w:sz="4" w:space="0" w:color="auto"/>
              <w:right w:val="single" w:sz="4" w:space="0" w:color="auto"/>
            </w:tcBorders>
            <w:shd w:val="clear" w:color="auto" w:fill="auto"/>
            <w:noWrap/>
            <w:vAlign w:val="center"/>
            <w:hideMark/>
          </w:tcPr>
          <w:p w14:paraId="519B33D7" w14:textId="77777777" w:rsidR="009671CF" w:rsidRPr="008E63BB" w:rsidRDefault="009671CF" w:rsidP="00F5692E">
            <w:pPr>
              <w:jc w:val="center"/>
              <w:rPr>
                <w:rFonts w:eastAsia="Times New Roman"/>
                <w:sz w:val="24"/>
                <w:szCs w:val="24"/>
              </w:rPr>
            </w:pPr>
            <w:r w:rsidRPr="008E63BB">
              <w:rPr>
                <w:rFonts w:eastAsia="Times New Roman"/>
                <w:sz w:val="24"/>
                <w:szCs w:val="24"/>
              </w:rPr>
              <w:t>158,47</w:t>
            </w:r>
          </w:p>
        </w:tc>
        <w:tc>
          <w:tcPr>
            <w:tcW w:w="1275" w:type="dxa"/>
            <w:tcBorders>
              <w:top w:val="nil"/>
              <w:left w:val="nil"/>
              <w:bottom w:val="single" w:sz="4" w:space="0" w:color="auto"/>
              <w:right w:val="single" w:sz="4" w:space="0" w:color="auto"/>
            </w:tcBorders>
            <w:shd w:val="clear" w:color="auto" w:fill="auto"/>
            <w:noWrap/>
            <w:vAlign w:val="center"/>
            <w:hideMark/>
          </w:tcPr>
          <w:p w14:paraId="519B33D8" w14:textId="77777777" w:rsidR="009671CF" w:rsidRPr="008E63BB" w:rsidRDefault="009671CF" w:rsidP="00F5692E">
            <w:pPr>
              <w:jc w:val="center"/>
              <w:rPr>
                <w:rFonts w:eastAsia="Times New Roman"/>
                <w:sz w:val="24"/>
                <w:szCs w:val="24"/>
              </w:rPr>
            </w:pPr>
            <w:r w:rsidRPr="008E63BB">
              <w:rPr>
                <w:rFonts w:eastAsia="Times New Roman"/>
                <w:sz w:val="24"/>
                <w:szCs w:val="24"/>
              </w:rPr>
              <w:t>158,47</w:t>
            </w:r>
          </w:p>
        </w:tc>
      </w:tr>
      <w:tr w:rsidR="008D5BFE" w:rsidRPr="008E63BB" w14:paraId="519B33DF"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DA"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II</w:t>
            </w:r>
          </w:p>
        </w:tc>
        <w:tc>
          <w:tcPr>
            <w:tcW w:w="4590" w:type="dxa"/>
            <w:tcBorders>
              <w:top w:val="nil"/>
              <w:left w:val="nil"/>
              <w:bottom w:val="single" w:sz="4" w:space="0" w:color="auto"/>
              <w:right w:val="single" w:sz="4" w:space="0" w:color="auto"/>
            </w:tcBorders>
            <w:shd w:val="clear" w:color="auto" w:fill="auto"/>
            <w:vAlign w:val="center"/>
            <w:hideMark/>
          </w:tcPr>
          <w:p w14:paraId="519B33DB" w14:textId="77777777" w:rsidR="009671CF" w:rsidRPr="008E63BB" w:rsidRDefault="009671CF" w:rsidP="00F5692E">
            <w:pPr>
              <w:rPr>
                <w:rFonts w:eastAsia="Times New Roman"/>
                <w:b/>
                <w:bCs/>
                <w:sz w:val="24"/>
                <w:szCs w:val="24"/>
              </w:rPr>
            </w:pPr>
            <w:r w:rsidRPr="008E63BB">
              <w:rPr>
                <w:rFonts w:eastAsia="Times New Roman"/>
                <w:b/>
                <w:bCs/>
                <w:sz w:val="24"/>
                <w:szCs w:val="24"/>
              </w:rPr>
              <w:t xml:space="preserve">Tổng CCN </w:t>
            </w:r>
          </w:p>
        </w:tc>
        <w:tc>
          <w:tcPr>
            <w:tcW w:w="1440" w:type="dxa"/>
            <w:tcBorders>
              <w:top w:val="nil"/>
              <w:left w:val="nil"/>
              <w:bottom w:val="single" w:sz="4" w:space="0" w:color="auto"/>
              <w:right w:val="single" w:sz="4" w:space="0" w:color="auto"/>
            </w:tcBorders>
            <w:shd w:val="clear" w:color="auto" w:fill="auto"/>
            <w:vAlign w:val="center"/>
            <w:hideMark/>
          </w:tcPr>
          <w:p w14:paraId="519B33DC"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97</w:t>
            </w:r>
          </w:p>
        </w:tc>
        <w:tc>
          <w:tcPr>
            <w:tcW w:w="1189" w:type="dxa"/>
            <w:tcBorders>
              <w:top w:val="nil"/>
              <w:left w:val="nil"/>
              <w:bottom w:val="single" w:sz="4" w:space="0" w:color="auto"/>
              <w:right w:val="single" w:sz="4" w:space="0" w:color="auto"/>
            </w:tcBorders>
            <w:shd w:val="clear" w:color="auto" w:fill="auto"/>
            <w:vAlign w:val="center"/>
            <w:hideMark/>
          </w:tcPr>
          <w:p w14:paraId="519B33DD"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345</w:t>
            </w:r>
          </w:p>
        </w:tc>
        <w:tc>
          <w:tcPr>
            <w:tcW w:w="1275" w:type="dxa"/>
            <w:tcBorders>
              <w:top w:val="nil"/>
              <w:left w:val="nil"/>
              <w:bottom w:val="single" w:sz="4" w:space="0" w:color="auto"/>
              <w:right w:val="single" w:sz="4" w:space="0" w:color="auto"/>
            </w:tcBorders>
            <w:shd w:val="clear" w:color="auto" w:fill="auto"/>
            <w:vAlign w:val="center"/>
            <w:hideMark/>
          </w:tcPr>
          <w:p w14:paraId="519B33DE"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365</w:t>
            </w:r>
          </w:p>
        </w:tc>
      </w:tr>
      <w:tr w:rsidR="008D5BFE" w:rsidRPr="008E63BB" w14:paraId="519B33E5"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E0" w14:textId="77777777" w:rsidR="009671CF" w:rsidRPr="008E63BB" w:rsidRDefault="009671CF" w:rsidP="00F5692E">
            <w:pPr>
              <w:jc w:val="center"/>
              <w:rPr>
                <w:rFonts w:eastAsia="Times New Roman"/>
                <w:sz w:val="24"/>
                <w:szCs w:val="24"/>
              </w:rPr>
            </w:pPr>
            <w:r w:rsidRPr="008E63BB">
              <w:rPr>
                <w:rFonts w:eastAsia="Times New Roman"/>
                <w:sz w:val="24"/>
                <w:szCs w:val="24"/>
              </w:rPr>
              <w:t>1</w:t>
            </w:r>
          </w:p>
        </w:tc>
        <w:tc>
          <w:tcPr>
            <w:tcW w:w="4590" w:type="dxa"/>
            <w:tcBorders>
              <w:top w:val="nil"/>
              <w:left w:val="nil"/>
              <w:bottom w:val="single" w:sz="4" w:space="0" w:color="auto"/>
              <w:right w:val="single" w:sz="4" w:space="0" w:color="auto"/>
            </w:tcBorders>
            <w:shd w:val="clear" w:color="auto" w:fill="auto"/>
            <w:vAlign w:val="center"/>
            <w:hideMark/>
          </w:tcPr>
          <w:p w14:paraId="519B33E1" w14:textId="77777777" w:rsidR="009671CF" w:rsidRPr="008E63BB" w:rsidRDefault="009671CF" w:rsidP="00F5692E">
            <w:pPr>
              <w:rPr>
                <w:rFonts w:eastAsia="Times New Roman"/>
                <w:sz w:val="24"/>
                <w:szCs w:val="24"/>
              </w:rPr>
            </w:pPr>
            <w:r w:rsidRPr="008E63BB">
              <w:rPr>
                <w:rFonts w:eastAsia="Times New Roman"/>
                <w:sz w:val="24"/>
                <w:szCs w:val="24"/>
              </w:rPr>
              <w:t>CCN An Xá - Km111 QL10 TP.</w:t>
            </w:r>
          </w:p>
        </w:tc>
        <w:tc>
          <w:tcPr>
            <w:tcW w:w="1440" w:type="dxa"/>
            <w:tcBorders>
              <w:top w:val="nil"/>
              <w:left w:val="nil"/>
              <w:bottom w:val="single" w:sz="4" w:space="0" w:color="auto"/>
              <w:right w:val="single" w:sz="4" w:space="0" w:color="auto"/>
            </w:tcBorders>
            <w:shd w:val="clear" w:color="auto" w:fill="auto"/>
            <w:vAlign w:val="center"/>
            <w:hideMark/>
          </w:tcPr>
          <w:p w14:paraId="519B33E2" w14:textId="77777777" w:rsidR="009671CF" w:rsidRPr="008E63BB" w:rsidRDefault="009671CF" w:rsidP="00F5692E">
            <w:pPr>
              <w:jc w:val="center"/>
              <w:rPr>
                <w:rFonts w:eastAsia="Times New Roman"/>
                <w:sz w:val="24"/>
                <w:szCs w:val="24"/>
              </w:rPr>
            </w:pPr>
            <w:r w:rsidRPr="008E63BB">
              <w:rPr>
                <w:rFonts w:eastAsia="Times New Roman"/>
                <w:sz w:val="24"/>
                <w:szCs w:val="24"/>
              </w:rPr>
              <w:t>97</w:t>
            </w:r>
          </w:p>
        </w:tc>
        <w:tc>
          <w:tcPr>
            <w:tcW w:w="1189" w:type="dxa"/>
            <w:tcBorders>
              <w:top w:val="nil"/>
              <w:left w:val="nil"/>
              <w:bottom w:val="single" w:sz="4" w:space="0" w:color="auto"/>
              <w:right w:val="single" w:sz="4" w:space="0" w:color="auto"/>
            </w:tcBorders>
            <w:shd w:val="clear" w:color="auto" w:fill="auto"/>
            <w:vAlign w:val="center"/>
            <w:hideMark/>
          </w:tcPr>
          <w:p w14:paraId="519B33E3" w14:textId="77777777" w:rsidR="009671CF" w:rsidRPr="008E63BB" w:rsidRDefault="009671CF" w:rsidP="00F5692E">
            <w:pPr>
              <w:jc w:val="center"/>
              <w:rPr>
                <w:rFonts w:eastAsia="Times New Roman"/>
                <w:sz w:val="24"/>
                <w:szCs w:val="24"/>
              </w:rPr>
            </w:pPr>
            <w:r w:rsidRPr="008E63BB">
              <w:rPr>
                <w:rFonts w:eastAsia="Times New Roman"/>
                <w:sz w:val="24"/>
                <w:szCs w:val="24"/>
              </w:rPr>
              <w:t>97</w:t>
            </w:r>
          </w:p>
        </w:tc>
        <w:tc>
          <w:tcPr>
            <w:tcW w:w="1275" w:type="dxa"/>
            <w:tcBorders>
              <w:top w:val="nil"/>
              <w:left w:val="nil"/>
              <w:bottom w:val="single" w:sz="4" w:space="0" w:color="auto"/>
              <w:right w:val="single" w:sz="4" w:space="0" w:color="auto"/>
            </w:tcBorders>
            <w:shd w:val="clear" w:color="auto" w:fill="auto"/>
            <w:vAlign w:val="center"/>
            <w:hideMark/>
          </w:tcPr>
          <w:p w14:paraId="519B33E4" w14:textId="77777777" w:rsidR="009671CF" w:rsidRPr="008E63BB" w:rsidRDefault="009671CF" w:rsidP="00F5692E">
            <w:pPr>
              <w:jc w:val="center"/>
              <w:rPr>
                <w:rFonts w:eastAsia="Times New Roman"/>
                <w:sz w:val="24"/>
                <w:szCs w:val="24"/>
              </w:rPr>
            </w:pPr>
            <w:r w:rsidRPr="008E63BB">
              <w:rPr>
                <w:rFonts w:eastAsia="Times New Roman"/>
                <w:sz w:val="24"/>
                <w:szCs w:val="24"/>
              </w:rPr>
              <w:t>97</w:t>
            </w:r>
          </w:p>
        </w:tc>
      </w:tr>
      <w:tr w:rsidR="008D5BFE" w:rsidRPr="008E63BB" w14:paraId="519B33EB"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E6" w14:textId="77777777" w:rsidR="009671CF" w:rsidRPr="008E63BB" w:rsidRDefault="009671CF" w:rsidP="00F5692E">
            <w:pPr>
              <w:jc w:val="center"/>
              <w:rPr>
                <w:rFonts w:eastAsia="Times New Roman"/>
                <w:sz w:val="24"/>
                <w:szCs w:val="24"/>
              </w:rPr>
            </w:pPr>
            <w:r w:rsidRPr="008E63BB">
              <w:rPr>
                <w:rFonts w:eastAsia="Times New Roman"/>
                <w:sz w:val="24"/>
                <w:szCs w:val="24"/>
              </w:rPr>
              <w:t>2</w:t>
            </w:r>
          </w:p>
        </w:tc>
        <w:tc>
          <w:tcPr>
            <w:tcW w:w="4590" w:type="dxa"/>
            <w:tcBorders>
              <w:top w:val="nil"/>
              <w:left w:val="nil"/>
              <w:bottom w:val="single" w:sz="4" w:space="0" w:color="auto"/>
              <w:right w:val="single" w:sz="4" w:space="0" w:color="auto"/>
            </w:tcBorders>
            <w:shd w:val="clear" w:color="auto" w:fill="auto"/>
            <w:noWrap/>
            <w:vAlign w:val="center"/>
            <w:hideMark/>
          </w:tcPr>
          <w:p w14:paraId="519B33E7" w14:textId="77777777" w:rsidR="009671CF" w:rsidRPr="008E63BB" w:rsidRDefault="009671CF" w:rsidP="00F5692E">
            <w:pPr>
              <w:rPr>
                <w:rFonts w:eastAsia="Times New Roman"/>
                <w:sz w:val="24"/>
                <w:szCs w:val="24"/>
              </w:rPr>
            </w:pPr>
            <w:r w:rsidRPr="008E63BB">
              <w:rPr>
                <w:rFonts w:eastAsia="Times New Roman"/>
                <w:sz w:val="24"/>
                <w:szCs w:val="24"/>
              </w:rPr>
              <w:t>CCN Mỹ Thắng</w:t>
            </w:r>
          </w:p>
        </w:tc>
        <w:tc>
          <w:tcPr>
            <w:tcW w:w="1440" w:type="dxa"/>
            <w:tcBorders>
              <w:top w:val="nil"/>
              <w:left w:val="nil"/>
              <w:bottom w:val="single" w:sz="4" w:space="0" w:color="auto"/>
              <w:right w:val="single" w:sz="4" w:space="0" w:color="auto"/>
            </w:tcBorders>
            <w:shd w:val="clear" w:color="auto" w:fill="auto"/>
            <w:vAlign w:val="center"/>
            <w:hideMark/>
          </w:tcPr>
          <w:p w14:paraId="519B33E8" w14:textId="77777777" w:rsidR="009671CF" w:rsidRPr="008E63BB" w:rsidRDefault="009671CF" w:rsidP="00F5692E">
            <w:pPr>
              <w:jc w:val="center"/>
              <w:rPr>
                <w:rFonts w:eastAsia="Times New Roman"/>
                <w:sz w:val="24"/>
                <w:szCs w:val="24"/>
              </w:rPr>
            </w:pPr>
            <w:r w:rsidRPr="008E63BB">
              <w:rPr>
                <w:rFonts w:eastAsia="Times New Roman"/>
                <w:sz w:val="24"/>
                <w:szCs w:val="24"/>
              </w:rPr>
              <w:t> </w:t>
            </w:r>
          </w:p>
        </w:tc>
        <w:tc>
          <w:tcPr>
            <w:tcW w:w="1189" w:type="dxa"/>
            <w:tcBorders>
              <w:top w:val="nil"/>
              <w:left w:val="nil"/>
              <w:bottom w:val="single" w:sz="4" w:space="0" w:color="auto"/>
              <w:right w:val="single" w:sz="4" w:space="0" w:color="auto"/>
            </w:tcBorders>
            <w:shd w:val="clear" w:color="auto" w:fill="auto"/>
            <w:noWrap/>
            <w:vAlign w:val="center"/>
            <w:hideMark/>
          </w:tcPr>
          <w:p w14:paraId="519B33E9" w14:textId="77777777" w:rsidR="009671CF" w:rsidRPr="008E63BB" w:rsidRDefault="009671CF" w:rsidP="00F5692E">
            <w:pPr>
              <w:jc w:val="center"/>
              <w:rPr>
                <w:rFonts w:eastAsia="Times New Roman"/>
                <w:sz w:val="24"/>
                <w:szCs w:val="24"/>
              </w:rPr>
            </w:pPr>
            <w:r w:rsidRPr="008E63BB">
              <w:rPr>
                <w:rFonts w:eastAsia="Times New Roman"/>
                <w:sz w:val="24"/>
                <w:szCs w:val="24"/>
              </w:rPr>
              <w:t>34,9</w:t>
            </w:r>
          </w:p>
        </w:tc>
        <w:tc>
          <w:tcPr>
            <w:tcW w:w="1275" w:type="dxa"/>
            <w:tcBorders>
              <w:top w:val="nil"/>
              <w:left w:val="nil"/>
              <w:bottom w:val="single" w:sz="4" w:space="0" w:color="auto"/>
              <w:right w:val="single" w:sz="4" w:space="0" w:color="auto"/>
            </w:tcBorders>
            <w:shd w:val="clear" w:color="auto" w:fill="auto"/>
            <w:noWrap/>
            <w:vAlign w:val="center"/>
            <w:hideMark/>
          </w:tcPr>
          <w:p w14:paraId="519B33EA" w14:textId="77777777" w:rsidR="009671CF" w:rsidRPr="008E63BB" w:rsidRDefault="009671CF" w:rsidP="00F5692E">
            <w:pPr>
              <w:jc w:val="center"/>
              <w:rPr>
                <w:rFonts w:eastAsia="Times New Roman"/>
                <w:sz w:val="24"/>
                <w:szCs w:val="24"/>
              </w:rPr>
            </w:pPr>
            <w:r w:rsidRPr="008E63BB">
              <w:rPr>
                <w:rFonts w:eastAsia="Times New Roman"/>
                <w:sz w:val="24"/>
                <w:szCs w:val="24"/>
              </w:rPr>
              <w:t>34,90</w:t>
            </w:r>
          </w:p>
        </w:tc>
      </w:tr>
      <w:tr w:rsidR="008D5BFE" w:rsidRPr="008E63BB" w14:paraId="519B33F1"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EC" w14:textId="77777777" w:rsidR="009671CF" w:rsidRPr="008E63BB" w:rsidRDefault="009671CF" w:rsidP="00F5692E">
            <w:pPr>
              <w:jc w:val="center"/>
              <w:rPr>
                <w:rFonts w:eastAsia="Times New Roman"/>
                <w:sz w:val="24"/>
                <w:szCs w:val="24"/>
              </w:rPr>
            </w:pPr>
            <w:r w:rsidRPr="008E63BB">
              <w:rPr>
                <w:rFonts w:eastAsia="Times New Roman"/>
                <w:sz w:val="24"/>
                <w:szCs w:val="24"/>
              </w:rPr>
              <w:t>3</w:t>
            </w:r>
          </w:p>
        </w:tc>
        <w:tc>
          <w:tcPr>
            <w:tcW w:w="4590" w:type="dxa"/>
            <w:tcBorders>
              <w:top w:val="nil"/>
              <w:left w:val="nil"/>
              <w:bottom w:val="nil"/>
              <w:right w:val="single" w:sz="4" w:space="0" w:color="auto"/>
            </w:tcBorders>
            <w:shd w:val="clear" w:color="auto" w:fill="auto"/>
            <w:noWrap/>
            <w:vAlign w:val="center"/>
            <w:hideMark/>
          </w:tcPr>
          <w:p w14:paraId="519B33ED" w14:textId="77777777" w:rsidR="009671CF" w:rsidRPr="008E63BB" w:rsidRDefault="009671CF" w:rsidP="00F5692E">
            <w:pPr>
              <w:rPr>
                <w:rFonts w:eastAsia="Times New Roman"/>
                <w:sz w:val="24"/>
                <w:szCs w:val="24"/>
              </w:rPr>
            </w:pPr>
            <w:r w:rsidRPr="008E63BB">
              <w:rPr>
                <w:rFonts w:eastAsia="Times New Roman"/>
                <w:sz w:val="24"/>
                <w:szCs w:val="24"/>
              </w:rPr>
              <w:t>CCN Mỹ Tân - H. Mỹ Lộc</w:t>
            </w:r>
          </w:p>
        </w:tc>
        <w:tc>
          <w:tcPr>
            <w:tcW w:w="1440" w:type="dxa"/>
            <w:tcBorders>
              <w:top w:val="nil"/>
              <w:left w:val="nil"/>
              <w:bottom w:val="single" w:sz="4" w:space="0" w:color="auto"/>
              <w:right w:val="single" w:sz="4" w:space="0" w:color="auto"/>
            </w:tcBorders>
            <w:shd w:val="clear" w:color="auto" w:fill="auto"/>
            <w:vAlign w:val="center"/>
            <w:hideMark/>
          </w:tcPr>
          <w:p w14:paraId="519B33EE" w14:textId="77777777" w:rsidR="009671CF" w:rsidRPr="008E63BB" w:rsidRDefault="009671CF" w:rsidP="00F5692E">
            <w:pPr>
              <w:jc w:val="center"/>
              <w:rPr>
                <w:rFonts w:eastAsia="Times New Roman"/>
                <w:sz w:val="24"/>
                <w:szCs w:val="24"/>
              </w:rPr>
            </w:pPr>
            <w:r w:rsidRPr="008E63BB">
              <w:rPr>
                <w:rFonts w:eastAsia="Times New Roman"/>
                <w:sz w:val="24"/>
                <w:szCs w:val="24"/>
              </w:rPr>
              <w:t> </w:t>
            </w:r>
          </w:p>
        </w:tc>
        <w:tc>
          <w:tcPr>
            <w:tcW w:w="1189" w:type="dxa"/>
            <w:tcBorders>
              <w:top w:val="nil"/>
              <w:left w:val="nil"/>
              <w:bottom w:val="nil"/>
              <w:right w:val="nil"/>
            </w:tcBorders>
            <w:shd w:val="clear" w:color="auto" w:fill="auto"/>
            <w:noWrap/>
            <w:vAlign w:val="center"/>
            <w:hideMark/>
          </w:tcPr>
          <w:p w14:paraId="519B33EF" w14:textId="77777777" w:rsidR="009671CF" w:rsidRPr="008E63BB" w:rsidRDefault="009671CF" w:rsidP="00F5692E">
            <w:pPr>
              <w:jc w:val="center"/>
              <w:rPr>
                <w:rFonts w:eastAsia="Times New Roman"/>
                <w:sz w:val="24"/>
                <w:szCs w:val="24"/>
              </w:rPr>
            </w:pPr>
            <w:r w:rsidRPr="008E63BB">
              <w:rPr>
                <w:rFonts w:eastAsia="Times New Roman"/>
                <w:sz w:val="24"/>
                <w:szCs w:val="24"/>
              </w:rPr>
              <w:t>23,2</w:t>
            </w:r>
          </w:p>
        </w:tc>
        <w:tc>
          <w:tcPr>
            <w:tcW w:w="1275" w:type="dxa"/>
            <w:tcBorders>
              <w:top w:val="nil"/>
              <w:left w:val="single" w:sz="4" w:space="0" w:color="auto"/>
              <w:bottom w:val="nil"/>
              <w:right w:val="single" w:sz="4" w:space="0" w:color="auto"/>
            </w:tcBorders>
            <w:shd w:val="clear" w:color="auto" w:fill="auto"/>
            <w:noWrap/>
            <w:vAlign w:val="center"/>
            <w:hideMark/>
          </w:tcPr>
          <w:p w14:paraId="519B33F0" w14:textId="77777777" w:rsidR="009671CF" w:rsidRPr="008E63BB" w:rsidRDefault="009671CF" w:rsidP="00F5692E">
            <w:pPr>
              <w:jc w:val="center"/>
              <w:rPr>
                <w:rFonts w:eastAsia="Times New Roman"/>
                <w:sz w:val="24"/>
                <w:szCs w:val="24"/>
              </w:rPr>
            </w:pPr>
            <w:r w:rsidRPr="008E63BB">
              <w:rPr>
                <w:rFonts w:eastAsia="Times New Roman"/>
                <w:sz w:val="24"/>
                <w:szCs w:val="24"/>
              </w:rPr>
              <w:t>23,20</w:t>
            </w:r>
          </w:p>
        </w:tc>
      </w:tr>
      <w:tr w:rsidR="008D5BFE" w:rsidRPr="008E63BB" w14:paraId="519B33F7"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F2" w14:textId="77777777" w:rsidR="009671CF" w:rsidRPr="008E63BB" w:rsidRDefault="009671CF" w:rsidP="00F5692E">
            <w:pPr>
              <w:jc w:val="center"/>
              <w:rPr>
                <w:rFonts w:eastAsia="Times New Roman"/>
                <w:sz w:val="24"/>
                <w:szCs w:val="24"/>
              </w:rPr>
            </w:pPr>
            <w:r w:rsidRPr="008E63BB">
              <w:rPr>
                <w:rFonts w:eastAsia="Times New Roman"/>
                <w:sz w:val="24"/>
                <w:szCs w:val="24"/>
              </w:rPr>
              <w:t>4</w:t>
            </w:r>
          </w:p>
        </w:tc>
        <w:tc>
          <w:tcPr>
            <w:tcW w:w="4590" w:type="dxa"/>
            <w:tcBorders>
              <w:top w:val="single" w:sz="4" w:space="0" w:color="auto"/>
              <w:left w:val="nil"/>
              <w:bottom w:val="single" w:sz="4" w:space="0" w:color="auto"/>
              <w:right w:val="single" w:sz="4" w:space="0" w:color="auto"/>
            </w:tcBorders>
            <w:shd w:val="clear" w:color="auto" w:fill="auto"/>
            <w:noWrap/>
            <w:vAlign w:val="center"/>
            <w:hideMark/>
          </w:tcPr>
          <w:p w14:paraId="519B33F3" w14:textId="77777777" w:rsidR="009671CF" w:rsidRPr="008E63BB" w:rsidRDefault="009671CF" w:rsidP="00F5692E">
            <w:pPr>
              <w:rPr>
                <w:rFonts w:eastAsia="Times New Roman"/>
                <w:sz w:val="24"/>
                <w:szCs w:val="24"/>
              </w:rPr>
            </w:pPr>
            <w:r w:rsidRPr="008E63BB">
              <w:rPr>
                <w:rFonts w:eastAsia="Times New Roman"/>
                <w:sz w:val="24"/>
                <w:szCs w:val="24"/>
              </w:rPr>
              <w:t>CCN Mỹ Thuận (Mới) - xã Mỹ Thuận</w:t>
            </w:r>
          </w:p>
        </w:tc>
        <w:tc>
          <w:tcPr>
            <w:tcW w:w="1440" w:type="dxa"/>
            <w:tcBorders>
              <w:top w:val="nil"/>
              <w:left w:val="nil"/>
              <w:bottom w:val="single" w:sz="4" w:space="0" w:color="auto"/>
              <w:right w:val="single" w:sz="4" w:space="0" w:color="auto"/>
            </w:tcBorders>
            <w:shd w:val="clear" w:color="auto" w:fill="auto"/>
            <w:noWrap/>
            <w:vAlign w:val="center"/>
            <w:hideMark/>
          </w:tcPr>
          <w:p w14:paraId="519B33F4" w14:textId="77777777" w:rsidR="009671CF" w:rsidRPr="008E63BB" w:rsidRDefault="009671CF" w:rsidP="00F5692E">
            <w:pPr>
              <w:rPr>
                <w:rFonts w:eastAsia="Times New Roman"/>
                <w:sz w:val="24"/>
                <w:szCs w:val="24"/>
              </w:rPr>
            </w:pPr>
            <w:r w:rsidRPr="008E63BB">
              <w:rPr>
                <w:rFonts w:eastAsia="Times New Roman"/>
                <w:sz w:val="24"/>
                <w:szCs w:val="24"/>
              </w:rPr>
              <w:t> </w:t>
            </w:r>
          </w:p>
        </w:tc>
        <w:tc>
          <w:tcPr>
            <w:tcW w:w="1189" w:type="dxa"/>
            <w:tcBorders>
              <w:top w:val="single" w:sz="4" w:space="0" w:color="auto"/>
              <w:left w:val="nil"/>
              <w:bottom w:val="single" w:sz="4" w:space="0" w:color="auto"/>
              <w:right w:val="single" w:sz="4" w:space="0" w:color="auto"/>
            </w:tcBorders>
            <w:shd w:val="clear" w:color="auto" w:fill="auto"/>
            <w:noWrap/>
            <w:vAlign w:val="center"/>
            <w:hideMark/>
          </w:tcPr>
          <w:p w14:paraId="519B33F5" w14:textId="77777777" w:rsidR="009671CF" w:rsidRPr="008E63BB" w:rsidRDefault="009671CF" w:rsidP="00F5692E">
            <w:pPr>
              <w:jc w:val="center"/>
              <w:rPr>
                <w:rFonts w:eastAsia="Times New Roman"/>
                <w:sz w:val="24"/>
                <w:szCs w:val="24"/>
              </w:rPr>
            </w:pPr>
            <w:r w:rsidRPr="008E63BB">
              <w:rPr>
                <w:rFonts w:eastAsia="Times New Roman"/>
                <w:sz w:val="24"/>
                <w:szCs w:val="24"/>
              </w:rPr>
              <w:t>50,00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19B33F6" w14:textId="77777777" w:rsidR="009671CF" w:rsidRPr="008E63BB" w:rsidRDefault="009671CF" w:rsidP="00F5692E">
            <w:pPr>
              <w:jc w:val="center"/>
              <w:rPr>
                <w:rFonts w:eastAsia="Times New Roman"/>
                <w:sz w:val="24"/>
                <w:szCs w:val="24"/>
              </w:rPr>
            </w:pPr>
            <w:r w:rsidRPr="008E63BB">
              <w:rPr>
                <w:rFonts w:eastAsia="Times New Roman"/>
                <w:sz w:val="24"/>
                <w:szCs w:val="24"/>
              </w:rPr>
              <w:t>70,00</w:t>
            </w:r>
          </w:p>
        </w:tc>
      </w:tr>
      <w:tr w:rsidR="008D5BFE" w:rsidRPr="008E63BB" w14:paraId="519B33FD"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F8" w14:textId="77777777" w:rsidR="009671CF" w:rsidRPr="008E63BB" w:rsidRDefault="009671CF" w:rsidP="00F5692E">
            <w:pPr>
              <w:jc w:val="center"/>
              <w:rPr>
                <w:rFonts w:eastAsia="Times New Roman"/>
                <w:sz w:val="24"/>
                <w:szCs w:val="24"/>
              </w:rPr>
            </w:pPr>
            <w:r w:rsidRPr="008E63BB">
              <w:rPr>
                <w:rFonts w:eastAsia="Times New Roman"/>
                <w:sz w:val="24"/>
                <w:szCs w:val="24"/>
              </w:rPr>
              <w:t>5</w:t>
            </w:r>
          </w:p>
        </w:tc>
        <w:tc>
          <w:tcPr>
            <w:tcW w:w="4590" w:type="dxa"/>
            <w:tcBorders>
              <w:top w:val="nil"/>
              <w:left w:val="nil"/>
              <w:bottom w:val="single" w:sz="4" w:space="0" w:color="auto"/>
              <w:right w:val="single" w:sz="4" w:space="0" w:color="auto"/>
            </w:tcBorders>
            <w:shd w:val="clear" w:color="auto" w:fill="auto"/>
            <w:noWrap/>
            <w:vAlign w:val="center"/>
            <w:hideMark/>
          </w:tcPr>
          <w:p w14:paraId="519B33F9" w14:textId="77777777" w:rsidR="009671CF" w:rsidRPr="008E63BB" w:rsidRDefault="009671CF" w:rsidP="00F5692E">
            <w:pPr>
              <w:rPr>
                <w:rFonts w:eastAsia="Times New Roman"/>
                <w:sz w:val="24"/>
                <w:szCs w:val="24"/>
              </w:rPr>
            </w:pPr>
            <w:r w:rsidRPr="008E63BB">
              <w:rPr>
                <w:rFonts w:eastAsia="Times New Roman"/>
                <w:sz w:val="24"/>
                <w:szCs w:val="24"/>
              </w:rPr>
              <w:t>CCN Đại An</w:t>
            </w:r>
          </w:p>
        </w:tc>
        <w:tc>
          <w:tcPr>
            <w:tcW w:w="1440" w:type="dxa"/>
            <w:tcBorders>
              <w:top w:val="nil"/>
              <w:left w:val="nil"/>
              <w:bottom w:val="single" w:sz="4" w:space="0" w:color="auto"/>
              <w:right w:val="single" w:sz="4" w:space="0" w:color="auto"/>
            </w:tcBorders>
            <w:shd w:val="clear" w:color="auto" w:fill="auto"/>
            <w:vAlign w:val="center"/>
            <w:hideMark/>
          </w:tcPr>
          <w:p w14:paraId="519B33FA" w14:textId="77777777" w:rsidR="009671CF" w:rsidRPr="008E63BB" w:rsidRDefault="009671CF" w:rsidP="00F5692E">
            <w:pPr>
              <w:jc w:val="center"/>
              <w:rPr>
                <w:rFonts w:eastAsia="Times New Roman"/>
                <w:sz w:val="24"/>
                <w:szCs w:val="24"/>
              </w:rPr>
            </w:pPr>
            <w:r w:rsidRPr="008E63BB">
              <w:rPr>
                <w:rFonts w:eastAsia="Times New Roman"/>
                <w:sz w:val="24"/>
                <w:szCs w:val="24"/>
              </w:rPr>
              <w:t> </w:t>
            </w:r>
          </w:p>
        </w:tc>
        <w:tc>
          <w:tcPr>
            <w:tcW w:w="1189" w:type="dxa"/>
            <w:tcBorders>
              <w:top w:val="nil"/>
              <w:left w:val="nil"/>
              <w:bottom w:val="single" w:sz="4" w:space="0" w:color="auto"/>
              <w:right w:val="nil"/>
            </w:tcBorders>
            <w:shd w:val="clear" w:color="auto" w:fill="auto"/>
            <w:noWrap/>
            <w:vAlign w:val="center"/>
            <w:hideMark/>
          </w:tcPr>
          <w:p w14:paraId="519B33FB" w14:textId="77777777" w:rsidR="009671CF" w:rsidRPr="008E63BB" w:rsidRDefault="009671CF" w:rsidP="00F5692E">
            <w:pPr>
              <w:jc w:val="center"/>
              <w:rPr>
                <w:rFonts w:eastAsia="Times New Roman"/>
                <w:sz w:val="24"/>
                <w:szCs w:val="24"/>
              </w:rPr>
            </w:pPr>
            <w:r w:rsidRPr="008E63BB">
              <w:rPr>
                <w:rFonts w:eastAsia="Times New Roman"/>
                <w:sz w:val="24"/>
                <w:szCs w:val="24"/>
              </w:rPr>
              <w:t>70,00</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519B33FC" w14:textId="77777777" w:rsidR="009671CF" w:rsidRPr="008E63BB" w:rsidRDefault="009671CF" w:rsidP="00F5692E">
            <w:pPr>
              <w:jc w:val="center"/>
              <w:rPr>
                <w:rFonts w:eastAsia="Times New Roman"/>
                <w:sz w:val="24"/>
                <w:szCs w:val="24"/>
              </w:rPr>
            </w:pPr>
            <w:r w:rsidRPr="008E63BB">
              <w:rPr>
                <w:rFonts w:eastAsia="Times New Roman"/>
                <w:sz w:val="24"/>
                <w:szCs w:val="24"/>
              </w:rPr>
              <w:t>70,00</w:t>
            </w:r>
          </w:p>
        </w:tc>
      </w:tr>
      <w:tr w:rsidR="008D5BFE" w:rsidRPr="008E63BB" w14:paraId="519B3403"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3FE" w14:textId="77777777" w:rsidR="009671CF" w:rsidRPr="008E63BB" w:rsidRDefault="009671CF" w:rsidP="00F5692E">
            <w:pPr>
              <w:jc w:val="center"/>
              <w:rPr>
                <w:rFonts w:eastAsia="Times New Roman"/>
                <w:sz w:val="24"/>
                <w:szCs w:val="24"/>
              </w:rPr>
            </w:pPr>
            <w:r w:rsidRPr="008E63BB">
              <w:rPr>
                <w:rFonts w:eastAsia="Times New Roman"/>
                <w:sz w:val="24"/>
                <w:szCs w:val="24"/>
              </w:rPr>
              <w:t>6</w:t>
            </w:r>
          </w:p>
        </w:tc>
        <w:tc>
          <w:tcPr>
            <w:tcW w:w="4590" w:type="dxa"/>
            <w:tcBorders>
              <w:top w:val="nil"/>
              <w:left w:val="nil"/>
              <w:bottom w:val="single" w:sz="4" w:space="0" w:color="auto"/>
              <w:right w:val="single" w:sz="4" w:space="0" w:color="auto"/>
            </w:tcBorders>
            <w:shd w:val="clear" w:color="auto" w:fill="auto"/>
            <w:noWrap/>
            <w:vAlign w:val="center"/>
            <w:hideMark/>
          </w:tcPr>
          <w:p w14:paraId="519B33FF" w14:textId="77777777" w:rsidR="009671CF" w:rsidRPr="008E63BB" w:rsidRDefault="009671CF" w:rsidP="00F5692E">
            <w:pPr>
              <w:rPr>
                <w:rFonts w:eastAsia="Times New Roman"/>
                <w:sz w:val="24"/>
                <w:szCs w:val="24"/>
              </w:rPr>
            </w:pPr>
            <w:r w:rsidRPr="008E63BB">
              <w:rPr>
                <w:rFonts w:eastAsia="Times New Roman"/>
                <w:sz w:val="24"/>
                <w:szCs w:val="24"/>
              </w:rPr>
              <w:t>CCN Tân Thành</w:t>
            </w:r>
          </w:p>
        </w:tc>
        <w:tc>
          <w:tcPr>
            <w:tcW w:w="1440" w:type="dxa"/>
            <w:tcBorders>
              <w:top w:val="nil"/>
              <w:left w:val="nil"/>
              <w:bottom w:val="single" w:sz="4" w:space="0" w:color="auto"/>
              <w:right w:val="single" w:sz="4" w:space="0" w:color="auto"/>
            </w:tcBorders>
            <w:shd w:val="clear" w:color="auto" w:fill="auto"/>
            <w:vAlign w:val="center"/>
            <w:hideMark/>
          </w:tcPr>
          <w:p w14:paraId="519B3400" w14:textId="77777777" w:rsidR="009671CF" w:rsidRPr="008E63BB" w:rsidRDefault="009671CF" w:rsidP="00F5692E">
            <w:pPr>
              <w:jc w:val="center"/>
              <w:rPr>
                <w:rFonts w:eastAsia="Times New Roman"/>
                <w:sz w:val="24"/>
                <w:szCs w:val="24"/>
              </w:rPr>
            </w:pPr>
            <w:r w:rsidRPr="008E63BB">
              <w:rPr>
                <w:rFonts w:eastAsia="Times New Roman"/>
                <w:sz w:val="24"/>
                <w:szCs w:val="24"/>
              </w:rPr>
              <w:t> </w:t>
            </w:r>
          </w:p>
        </w:tc>
        <w:tc>
          <w:tcPr>
            <w:tcW w:w="1189" w:type="dxa"/>
            <w:tcBorders>
              <w:top w:val="nil"/>
              <w:left w:val="nil"/>
              <w:bottom w:val="single" w:sz="4" w:space="0" w:color="auto"/>
              <w:right w:val="nil"/>
            </w:tcBorders>
            <w:shd w:val="clear" w:color="auto" w:fill="auto"/>
            <w:noWrap/>
            <w:vAlign w:val="center"/>
            <w:hideMark/>
          </w:tcPr>
          <w:p w14:paraId="519B3401" w14:textId="77777777" w:rsidR="009671CF" w:rsidRPr="008E63BB" w:rsidRDefault="009671CF" w:rsidP="00F5692E">
            <w:pPr>
              <w:jc w:val="center"/>
              <w:rPr>
                <w:rFonts w:eastAsia="Times New Roman"/>
                <w:sz w:val="24"/>
                <w:szCs w:val="24"/>
              </w:rPr>
            </w:pPr>
            <w:r w:rsidRPr="008E63BB">
              <w:rPr>
                <w:rFonts w:eastAsia="Times New Roman"/>
                <w:sz w:val="24"/>
                <w:szCs w:val="24"/>
              </w:rPr>
              <w:t>70,00</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519B3402" w14:textId="77777777" w:rsidR="009671CF" w:rsidRPr="008E63BB" w:rsidRDefault="009671CF" w:rsidP="00F5692E">
            <w:pPr>
              <w:jc w:val="center"/>
              <w:rPr>
                <w:rFonts w:eastAsia="Times New Roman"/>
                <w:sz w:val="24"/>
                <w:szCs w:val="24"/>
              </w:rPr>
            </w:pPr>
            <w:r w:rsidRPr="008E63BB">
              <w:rPr>
                <w:rFonts w:eastAsia="Times New Roman"/>
                <w:sz w:val="24"/>
                <w:szCs w:val="24"/>
              </w:rPr>
              <w:t>70,00</w:t>
            </w:r>
          </w:p>
        </w:tc>
      </w:tr>
      <w:tr w:rsidR="008D5BFE" w:rsidRPr="008E63BB" w14:paraId="519B3409"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519B3404"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III</w:t>
            </w:r>
          </w:p>
        </w:tc>
        <w:tc>
          <w:tcPr>
            <w:tcW w:w="4590" w:type="dxa"/>
            <w:tcBorders>
              <w:top w:val="nil"/>
              <w:left w:val="nil"/>
              <w:bottom w:val="single" w:sz="4" w:space="0" w:color="auto"/>
              <w:right w:val="single" w:sz="4" w:space="0" w:color="auto"/>
            </w:tcBorders>
            <w:shd w:val="clear" w:color="auto" w:fill="auto"/>
            <w:noWrap/>
            <w:vAlign w:val="center"/>
            <w:hideMark/>
          </w:tcPr>
          <w:p w14:paraId="519B3405" w14:textId="77777777" w:rsidR="009671CF" w:rsidRPr="008E63BB" w:rsidRDefault="009671CF" w:rsidP="00F5692E">
            <w:pPr>
              <w:jc w:val="left"/>
              <w:rPr>
                <w:rFonts w:eastAsia="Times New Roman"/>
                <w:b/>
                <w:bCs/>
                <w:sz w:val="24"/>
                <w:szCs w:val="24"/>
              </w:rPr>
            </w:pPr>
            <w:r w:rsidRPr="008E63BB">
              <w:rPr>
                <w:rFonts w:eastAsia="Times New Roman"/>
                <w:b/>
                <w:bCs/>
                <w:sz w:val="24"/>
                <w:szCs w:val="24"/>
              </w:rPr>
              <w:t>Tổng KCN, CCN</w:t>
            </w:r>
          </w:p>
        </w:tc>
        <w:tc>
          <w:tcPr>
            <w:tcW w:w="1440" w:type="dxa"/>
            <w:tcBorders>
              <w:top w:val="nil"/>
              <w:left w:val="nil"/>
              <w:bottom w:val="single" w:sz="4" w:space="0" w:color="auto"/>
              <w:right w:val="single" w:sz="4" w:space="0" w:color="auto"/>
            </w:tcBorders>
            <w:shd w:val="clear" w:color="auto" w:fill="auto"/>
            <w:noWrap/>
            <w:vAlign w:val="center"/>
            <w:hideMark/>
          </w:tcPr>
          <w:p w14:paraId="519B3406"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733</w:t>
            </w:r>
          </w:p>
        </w:tc>
        <w:tc>
          <w:tcPr>
            <w:tcW w:w="1189" w:type="dxa"/>
            <w:tcBorders>
              <w:top w:val="nil"/>
              <w:left w:val="nil"/>
              <w:bottom w:val="single" w:sz="4" w:space="0" w:color="auto"/>
              <w:right w:val="single" w:sz="4" w:space="0" w:color="auto"/>
            </w:tcBorders>
            <w:shd w:val="clear" w:color="auto" w:fill="auto"/>
            <w:noWrap/>
            <w:vAlign w:val="center"/>
            <w:hideMark/>
          </w:tcPr>
          <w:p w14:paraId="519B3407"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981</w:t>
            </w:r>
          </w:p>
        </w:tc>
        <w:tc>
          <w:tcPr>
            <w:tcW w:w="1275" w:type="dxa"/>
            <w:tcBorders>
              <w:top w:val="nil"/>
              <w:left w:val="nil"/>
              <w:bottom w:val="single" w:sz="4" w:space="0" w:color="auto"/>
              <w:right w:val="single" w:sz="4" w:space="0" w:color="auto"/>
            </w:tcBorders>
            <w:shd w:val="clear" w:color="auto" w:fill="auto"/>
            <w:noWrap/>
            <w:vAlign w:val="center"/>
            <w:hideMark/>
          </w:tcPr>
          <w:p w14:paraId="519B3408"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1.001</w:t>
            </w:r>
          </w:p>
        </w:tc>
      </w:tr>
      <w:tr w:rsidR="008D5BFE" w:rsidRPr="008E63BB" w14:paraId="519B340F"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noWrap/>
            <w:vAlign w:val="center"/>
            <w:hideMark/>
          </w:tcPr>
          <w:p w14:paraId="519B340A"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IV</w:t>
            </w:r>
          </w:p>
        </w:tc>
        <w:tc>
          <w:tcPr>
            <w:tcW w:w="4590" w:type="dxa"/>
            <w:tcBorders>
              <w:top w:val="nil"/>
              <w:left w:val="nil"/>
              <w:bottom w:val="single" w:sz="4" w:space="0" w:color="auto"/>
              <w:right w:val="single" w:sz="4" w:space="0" w:color="auto"/>
            </w:tcBorders>
            <w:shd w:val="clear" w:color="auto" w:fill="auto"/>
            <w:noWrap/>
            <w:vAlign w:val="center"/>
            <w:hideMark/>
          </w:tcPr>
          <w:p w14:paraId="519B340B" w14:textId="77777777" w:rsidR="009671CF" w:rsidRPr="008E63BB" w:rsidRDefault="009671CF" w:rsidP="00F5692E">
            <w:pPr>
              <w:jc w:val="left"/>
              <w:rPr>
                <w:rFonts w:eastAsia="Times New Roman"/>
                <w:b/>
                <w:bCs/>
                <w:sz w:val="24"/>
                <w:szCs w:val="24"/>
              </w:rPr>
            </w:pPr>
            <w:r w:rsidRPr="008E63BB">
              <w:rPr>
                <w:rFonts w:eastAsia="Times New Roman"/>
                <w:b/>
                <w:bCs/>
                <w:sz w:val="24"/>
                <w:szCs w:val="24"/>
              </w:rPr>
              <w:t>Kho tàng, bến bãi - Logistic</w:t>
            </w:r>
          </w:p>
        </w:tc>
        <w:tc>
          <w:tcPr>
            <w:tcW w:w="1440" w:type="dxa"/>
            <w:tcBorders>
              <w:top w:val="nil"/>
              <w:left w:val="nil"/>
              <w:bottom w:val="single" w:sz="4" w:space="0" w:color="auto"/>
              <w:right w:val="single" w:sz="4" w:space="0" w:color="auto"/>
            </w:tcBorders>
            <w:shd w:val="clear" w:color="auto" w:fill="auto"/>
            <w:noWrap/>
            <w:vAlign w:val="center"/>
            <w:hideMark/>
          </w:tcPr>
          <w:p w14:paraId="519B340C"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0</w:t>
            </w:r>
          </w:p>
        </w:tc>
        <w:tc>
          <w:tcPr>
            <w:tcW w:w="1189" w:type="dxa"/>
            <w:tcBorders>
              <w:top w:val="nil"/>
              <w:left w:val="nil"/>
              <w:bottom w:val="single" w:sz="4" w:space="0" w:color="auto"/>
              <w:right w:val="single" w:sz="4" w:space="0" w:color="auto"/>
            </w:tcBorders>
            <w:shd w:val="clear" w:color="auto" w:fill="auto"/>
            <w:noWrap/>
            <w:vAlign w:val="center"/>
            <w:hideMark/>
          </w:tcPr>
          <w:p w14:paraId="519B340D"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50</w:t>
            </w:r>
          </w:p>
        </w:tc>
        <w:tc>
          <w:tcPr>
            <w:tcW w:w="1275" w:type="dxa"/>
            <w:tcBorders>
              <w:top w:val="nil"/>
              <w:left w:val="nil"/>
              <w:bottom w:val="single" w:sz="4" w:space="0" w:color="auto"/>
              <w:right w:val="single" w:sz="4" w:space="0" w:color="auto"/>
            </w:tcBorders>
            <w:shd w:val="clear" w:color="auto" w:fill="auto"/>
            <w:noWrap/>
            <w:vAlign w:val="center"/>
            <w:hideMark/>
          </w:tcPr>
          <w:p w14:paraId="519B340E" w14:textId="77777777" w:rsidR="009671CF" w:rsidRPr="008E63BB" w:rsidRDefault="009671CF" w:rsidP="00F5692E">
            <w:pPr>
              <w:jc w:val="center"/>
              <w:rPr>
                <w:rFonts w:eastAsia="Times New Roman"/>
                <w:b/>
                <w:bCs/>
                <w:sz w:val="24"/>
                <w:szCs w:val="24"/>
              </w:rPr>
            </w:pPr>
            <w:r w:rsidRPr="008E63BB">
              <w:rPr>
                <w:rFonts w:eastAsia="Times New Roman"/>
                <w:b/>
                <w:bCs/>
                <w:sz w:val="24"/>
                <w:szCs w:val="24"/>
              </w:rPr>
              <w:t>100</w:t>
            </w:r>
          </w:p>
        </w:tc>
      </w:tr>
      <w:tr w:rsidR="008D5BFE" w:rsidRPr="008E63BB" w14:paraId="519B3415" w14:textId="77777777" w:rsidTr="005B7147">
        <w:trPr>
          <w:trHeight w:val="300"/>
        </w:trPr>
        <w:tc>
          <w:tcPr>
            <w:tcW w:w="895" w:type="dxa"/>
            <w:tcBorders>
              <w:top w:val="nil"/>
              <w:left w:val="single" w:sz="4" w:space="0" w:color="auto"/>
              <w:bottom w:val="single" w:sz="4" w:space="0" w:color="auto"/>
              <w:right w:val="single" w:sz="4" w:space="0" w:color="auto"/>
            </w:tcBorders>
            <w:shd w:val="clear" w:color="auto" w:fill="auto"/>
            <w:vAlign w:val="center"/>
            <w:hideMark/>
          </w:tcPr>
          <w:p w14:paraId="519B3410" w14:textId="77777777" w:rsidR="009671CF" w:rsidRPr="008E63BB" w:rsidRDefault="009671CF" w:rsidP="00F5692E">
            <w:pPr>
              <w:jc w:val="center"/>
              <w:rPr>
                <w:rFonts w:eastAsia="Times New Roman"/>
                <w:sz w:val="24"/>
                <w:szCs w:val="24"/>
              </w:rPr>
            </w:pPr>
            <w:r w:rsidRPr="008E63BB">
              <w:rPr>
                <w:rFonts w:eastAsia="Times New Roman"/>
                <w:sz w:val="24"/>
                <w:szCs w:val="24"/>
              </w:rPr>
              <w:t>1</w:t>
            </w:r>
          </w:p>
        </w:tc>
        <w:tc>
          <w:tcPr>
            <w:tcW w:w="4590" w:type="dxa"/>
            <w:tcBorders>
              <w:top w:val="nil"/>
              <w:left w:val="nil"/>
              <w:bottom w:val="single" w:sz="4" w:space="0" w:color="auto"/>
              <w:right w:val="single" w:sz="4" w:space="0" w:color="auto"/>
            </w:tcBorders>
            <w:shd w:val="clear" w:color="auto" w:fill="auto"/>
            <w:noWrap/>
            <w:vAlign w:val="center"/>
            <w:hideMark/>
          </w:tcPr>
          <w:p w14:paraId="519B3411" w14:textId="77777777" w:rsidR="009671CF" w:rsidRPr="008E63BB" w:rsidRDefault="009671CF" w:rsidP="00F5692E">
            <w:pPr>
              <w:rPr>
                <w:rFonts w:eastAsia="Times New Roman"/>
                <w:sz w:val="24"/>
                <w:szCs w:val="24"/>
              </w:rPr>
            </w:pPr>
            <w:r w:rsidRPr="008E63BB">
              <w:rPr>
                <w:rFonts w:eastAsia="Times New Roman"/>
                <w:sz w:val="24"/>
                <w:szCs w:val="24"/>
              </w:rPr>
              <w:t>Khu logistic Mỹ Lộc - Mỹ Thịnh</w:t>
            </w:r>
          </w:p>
        </w:tc>
        <w:tc>
          <w:tcPr>
            <w:tcW w:w="1440" w:type="dxa"/>
            <w:tcBorders>
              <w:top w:val="nil"/>
              <w:left w:val="nil"/>
              <w:bottom w:val="single" w:sz="4" w:space="0" w:color="auto"/>
              <w:right w:val="single" w:sz="4" w:space="0" w:color="auto"/>
            </w:tcBorders>
            <w:shd w:val="clear" w:color="auto" w:fill="auto"/>
            <w:vAlign w:val="center"/>
            <w:hideMark/>
          </w:tcPr>
          <w:p w14:paraId="519B3412" w14:textId="77777777" w:rsidR="009671CF" w:rsidRPr="008E63BB" w:rsidRDefault="009671CF" w:rsidP="00F5692E">
            <w:pPr>
              <w:jc w:val="center"/>
              <w:rPr>
                <w:rFonts w:eastAsia="Times New Roman"/>
                <w:sz w:val="24"/>
                <w:szCs w:val="24"/>
              </w:rPr>
            </w:pPr>
            <w:r w:rsidRPr="008E63BB">
              <w:rPr>
                <w:rFonts w:eastAsia="Times New Roman"/>
                <w:sz w:val="24"/>
                <w:szCs w:val="24"/>
              </w:rPr>
              <w:t> </w:t>
            </w:r>
          </w:p>
        </w:tc>
        <w:tc>
          <w:tcPr>
            <w:tcW w:w="1189" w:type="dxa"/>
            <w:tcBorders>
              <w:top w:val="nil"/>
              <w:left w:val="nil"/>
              <w:bottom w:val="single" w:sz="4" w:space="0" w:color="auto"/>
              <w:right w:val="single" w:sz="4" w:space="0" w:color="auto"/>
            </w:tcBorders>
            <w:shd w:val="clear" w:color="auto" w:fill="auto"/>
            <w:noWrap/>
            <w:vAlign w:val="center"/>
            <w:hideMark/>
          </w:tcPr>
          <w:p w14:paraId="519B3413" w14:textId="77777777" w:rsidR="009671CF" w:rsidRPr="008E63BB" w:rsidRDefault="009671CF" w:rsidP="00F5692E">
            <w:pPr>
              <w:jc w:val="center"/>
              <w:rPr>
                <w:rFonts w:eastAsia="Times New Roman"/>
                <w:sz w:val="24"/>
                <w:szCs w:val="24"/>
              </w:rPr>
            </w:pPr>
            <w:r w:rsidRPr="008E63BB">
              <w:rPr>
                <w:rFonts w:eastAsia="Times New Roman"/>
                <w:sz w:val="24"/>
                <w:szCs w:val="24"/>
              </w:rPr>
              <w:t>50,0</w:t>
            </w:r>
          </w:p>
        </w:tc>
        <w:tc>
          <w:tcPr>
            <w:tcW w:w="1275" w:type="dxa"/>
            <w:tcBorders>
              <w:top w:val="nil"/>
              <w:left w:val="nil"/>
              <w:bottom w:val="single" w:sz="4" w:space="0" w:color="auto"/>
              <w:right w:val="single" w:sz="4" w:space="0" w:color="auto"/>
            </w:tcBorders>
            <w:shd w:val="clear" w:color="auto" w:fill="auto"/>
            <w:noWrap/>
            <w:vAlign w:val="center"/>
            <w:hideMark/>
          </w:tcPr>
          <w:p w14:paraId="519B3414" w14:textId="77777777" w:rsidR="009671CF" w:rsidRPr="008E63BB" w:rsidRDefault="009671CF" w:rsidP="00F5692E">
            <w:pPr>
              <w:jc w:val="center"/>
              <w:rPr>
                <w:rFonts w:eastAsia="Times New Roman"/>
                <w:sz w:val="24"/>
                <w:szCs w:val="24"/>
              </w:rPr>
            </w:pPr>
            <w:r w:rsidRPr="008E63BB">
              <w:rPr>
                <w:rFonts w:eastAsia="Times New Roman"/>
                <w:sz w:val="24"/>
                <w:szCs w:val="24"/>
              </w:rPr>
              <w:t>100,00</w:t>
            </w:r>
          </w:p>
        </w:tc>
      </w:tr>
      <w:bookmarkEnd w:id="378"/>
    </w:tbl>
    <w:p w14:paraId="519B3416" w14:textId="77777777" w:rsidR="00F53F66" w:rsidRPr="008E63BB" w:rsidRDefault="00F53F66" w:rsidP="009671CF">
      <w:pPr>
        <w:rPr>
          <w:bCs/>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AD06E1" w:rsidRPr="008E63BB" w14:paraId="519B3418" w14:textId="77777777" w:rsidTr="00AD06E1">
        <w:tc>
          <w:tcPr>
            <w:tcW w:w="9498" w:type="dxa"/>
          </w:tcPr>
          <w:p w14:paraId="519B3417" w14:textId="77777777" w:rsidR="00AD06E1" w:rsidRPr="008E63BB" w:rsidRDefault="00AD06E1" w:rsidP="009103DC">
            <w:bookmarkStart w:id="379" w:name="_Toc21955369"/>
            <w:r w:rsidRPr="008E63BB">
              <w:rPr>
                <w:noProof/>
                <w:lang w:eastAsia="zh-CN"/>
              </w:rPr>
              <w:drawing>
                <wp:inline distT="0" distB="0" distL="0" distR="0" wp14:anchorId="519B523D" wp14:editId="519B523E">
                  <wp:extent cx="4819650" cy="3619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Sơ đồ  công nghiệp.jpg"/>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4819650" cy="3619500"/>
                          </a:xfrm>
                          <a:prstGeom prst="rect">
                            <a:avLst/>
                          </a:prstGeom>
                          <a:ln>
                            <a:noFill/>
                          </a:ln>
                          <a:extLst>
                            <a:ext uri="{53640926-AAD7-44D8-BBD7-CCE9431645EC}">
                              <a14:shadowObscured xmlns:a14="http://schemas.microsoft.com/office/drawing/2010/main"/>
                            </a:ext>
                          </a:extLst>
                        </pic:spPr>
                      </pic:pic>
                    </a:graphicData>
                  </a:graphic>
                </wp:inline>
              </w:drawing>
            </w:r>
          </w:p>
        </w:tc>
      </w:tr>
      <w:tr w:rsidR="00AD06E1" w:rsidRPr="008E63BB" w14:paraId="519B341A" w14:textId="77777777" w:rsidTr="00AD06E1">
        <w:tc>
          <w:tcPr>
            <w:tcW w:w="9498" w:type="dxa"/>
          </w:tcPr>
          <w:p w14:paraId="519B3419" w14:textId="77777777" w:rsidR="00AD06E1" w:rsidRPr="008E63BB" w:rsidRDefault="00AD06E1" w:rsidP="009103DC">
            <w:pPr>
              <w:jc w:val="center"/>
              <w:rPr>
                <w:i/>
              </w:rPr>
            </w:pPr>
            <w:r w:rsidRPr="008E63BB">
              <w:rPr>
                <w:i/>
              </w:rPr>
              <w:t>Sơ đồ định hướng quy hoạch KCN – CCN - Logistic</w:t>
            </w:r>
          </w:p>
        </w:tc>
      </w:tr>
    </w:tbl>
    <w:p w14:paraId="519B341B" w14:textId="77777777" w:rsidR="00F53F66" w:rsidRPr="008E63BB" w:rsidRDefault="00F53F66" w:rsidP="00AD06E1">
      <w:pPr>
        <w:pStyle w:val="Heading3"/>
        <w:spacing w:before="120"/>
      </w:pPr>
      <w:bookmarkStart w:id="380" w:name="_Toc47524700"/>
      <w:r w:rsidRPr="008E63BB">
        <w:t>5.</w:t>
      </w:r>
      <w:r w:rsidR="00F9056A" w:rsidRPr="008E63BB">
        <w:t>4</w:t>
      </w:r>
      <w:r w:rsidRPr="008E63BB">
        <w:t>.3. Quy hoạch hệ thống trung tâm và phân bố các công trình công cộng</w:t>
      </w:r>
      <w:bookmarkEnd w:id="379"/>
      <w:bookmarkEnd w:id="380"/>
    </w:p>
    <w:p w14:paraId="519B341C" w14:textId="77777777" w:rsidR="00F53F66" w:rsidRPr="008E63BB" w:rsidRDefault="00F53F66" w:rsidP="00F53F66">
      <w:pPr>
        <w:ind w:firstLine="720"/>
        <w:rPr>
          <w:lang w:val="pt-BR"/>
        </w:rPr>
      </w:pPr>
      <w:r w:rsidRPr="008E63BB">
        <w:rPr>
          <w:lang w:val="pt-BR"/>
        </w:rPr>
        <w:t>Đối chiếu với các tiêu chuẩn của đô thị loại I thì thành phố Nam Định chỉ đạt mức thấp, nhiều chỉ tiêu quan trọng chưa đạt, do đó cần tập trung chỉnh trang kiến trúc cảnh quan đô thị, phát triển hạ tầng cơ sở, tạo điểm nhấn riêng cho thành phố nhằm thu hút khách du lịch trong và ngoài nước, phát triển du lịch địa phương theo hướng đề ra.</w:t>
      </w:r>
    </w:p>
    <w:p w14:paraId="519B341D" w14:textId="77777777" w:rsidR="009671CF" w:rsidRPr="008E63BB" w:rsidRDefault="009671CF" w:rsidP="009671CF">
      <w:pPr>
        <w:rPr>
          <w:i/>
          <w:lang w:val="pt-BR"/>
        </w:rPr>
      </w:pPr>
      <w:r w:rsidRPr="008E63BB">
        <w:rPr>
          <w:i/>
          <w:lang w:val="pt-BR"/>
        </w:rPr>
        <w:t>* Trung tâm hành chính, văn hóa:</w:t>
      </w:r>
    </w:p>
    <w:p w14:paraId="519B341E" w14:textId="77777777" w:rsidR="009671CF" w:rsidRPr="008E63BB" w:rsidRDefault="009671CF" w:rsidP="009671CF">
      <w:pPr>
        <w:rPr>
          <w:lang w:val="pt-BR"/>
        </w:rPr>
      </w:pPr>
      <w:r w:rsidRPr="008E63BB">
        <w:rPr>
          <w:lang w:val="pt-BR"/>
        </w:rPr>
        <w:tab/>
        <w:t>- Trung tâm hành chính tỉnh: Cải tạo nâng cấp trên cơ sở hiện trạng</w:t>
      </w:r>
    </w:p>
    <w:p w14:paraId="519B341F" w14:textId="77777777" w:rsidR="009671CF" w:rsidRPr="008E63BB" w:rsidRDefault="009671CF" w:rsidP="009671CF">
      <w:pPr>
        <w:rPr>
          <w:lang w:val="pt-BR"/>
        </w:rPr>
      </w:pPr>
      <w:r w:rsidRPr="008E63BB">
        <w:rPr>
          <w:lang w:val="pt-BR"/>
        </w:rPr>
        <w:tab/>
        <w:t>- Trung tâm hành chính thành phố: Quy hoạch mới tại Khu đô thị Thống Nhất, quy mô khoảng 11 ha. Vị trí hiện nay sẽ chuyển đổi sang chức năng hỗn hợp.</w:t>
      </w:r>
    </w:p>
    <w:p w14:paraId="519B3420" w14:textId="77777777" w:rsidR="009671CF" w:rsidRPr="008E63BB" w:rsidRDefault="009671CF" w:rsidP="009671CF">
      <w:pPr>
        <w:rPr>
          <w:lang w:val="pt-BR"/>
        </w:rPr>
      </w:pPr>
      <w:r w:rsidRPr="008E63BB">
        <w:rPr>
          <w:lang w:val="pt-BR"/>
        </w:rPr>
        <w:lastRenderedPageBreak/>
        <w:tab/>
        <w:t xml:space="preserve">- Trung tâm văn hóa cấp đô thị: Duy trì nâng cấp các công trình văn hóa trong khu trung tâm hiện hữu:nhà hát trung tâm, tượng đài Trần Hưng Đạo và quảng trường 3/2 (phố Nguyễn Du), </w:t>
      </w:r>
      <w:r w:rsidR="001523F5" w:rsidRPr="008E63BB">
        <w:rPr>
          <w:lang w:val="pt-BR"/>
        </w:rPr>
        <w:t>B</w:t>
      </w:r>
      <w:r w:rsidRPr="008E63BB">
        <w:rPr>
          <w:lang w:val="pt-BR"/>
        </w:rPr>
        <w:t xml:space="preserve">ảo tàng tỉnh (Cột Cờ, phố Ngô Quyền), </w:t>
      </w:r>
      <w:r w:rsidR="001523F5" w:rsidRPr="008E63BB">
        <w:rPr>
          <w:lang w:val="pt-BR"/>
        </w:rPr>
        <w:t>T</w:t>
      </w:r>
      <w:r w:rsidRPr="008E63BB">
        <w:rPr>
          <w:lang w:val="pt-BR"/>
        </w:rPr>
        <w:t xml:space="preserve">hư viện tỉnh (phố Lê Hồng Phong), nhà văn hóa thiếu nhi thành phố (đường Hà Huy Tập)... Xây dựng </w:t>
      </w:r>
      <w:r w:rsidR="000E6216" w:rsidRPr="008E63BB">
        <w:rPr>
          <w:lang w:val="pt-BR"/>
        </w:rPr>
        <w:t xml:space="preserve">Trung tâm văn hóa - </w:t>
      </w:r>
      <w:r w:rsidRPr="008E63BB">
        <w:rPr>
          <w:lang w:val="pt-BR"/>
        </w:rPr>
        <w:t xml:space="preserve">Cung văn hóathành phố mới </w:t>
      </w:r>
      <w:r w:rsidR="000E6216" w:rsidRPr="008E63BB">
        <w:rPr>
          <w:lang w:val="pt-BR"/>
        </w:rPr>
        <w:t xml:space="preserve">quy mô khoảng 13 ha </w:t>
      </w:r>
      <w:r w:rsidRPr="008E63BB">
        <w:rPr>
          <w:lang w:val="pt-BR"/>
        </w:rPr>
        <w:t>gắn với trung tâm thể dục thể thao tại khu đô thị mới Nam sông Đào.</w:t>
      </w:r>
    </w:p>
    <w:p w14:paraId="519B3421" w14:textId="77777777" w:rsidR="009671CF" w:rsidRPr="008E63BB" w:rsidRDefault="009671CF" w:rsidP="009671CF">
      <w:pPr>
        <w:rPr>
          <w:i/>
          <w:lang w:val="pt-BR"/>
        </w:rPr>
      </w:pPr>
      <w:r w:rsidRPr="008E63BB">
        <w:rPr>
          <w:i/>
          <w:lang w:val="pt-BR"/>
        </w:rPr>
        <w:t>* Trung tâm giáo dục, đào tạo:</w:t>
      </w:r>
    </w:p>
    <w:p w14:paraId="519B3422" w14:textId="77777777" w:rsidR="009671CF" w:rsidRPr="008E63BB" w:rsidRDefault="009671CF" w:rsidP="009671CF">
      <w:pPr>
        <w:ind w:firstLine="720"/>
        <w:rPr>
          <w:lang w:val="pt-BR"/>
        </w:rPr>
      </w:pPr>
      <w:r w:rsidRPr="008E63BB">
        <w:rPr>
          <w:lang w:val="pt-BR"/>
        </w:rPr>
        <w:t>- Trung tâm đào tạo cấp vùng: Thực hiện nâng cấp cải tạo đối với hệ thống các trường đại học, cao đẳng hiện hữu. Quy hoạch quỹ đất tại khu vực đô thị mới phía Tây quy mô khoả</w:t>
      </w:r>
      <w:r w:rsidR="00C90BF8" w:rsidRPr="008E63BB">
        <w:rPr>
          <w:lang w:val="pt-BR"/>
        </w:rPr>
        <w:t>ng 12</w:t>
      </w:r>
      <w:r w:rsidRPr="008E63BB">
        <w:rPr>
          <w:lang w:val="pt-BR"/>
        </w:rPr>
        <w:t>0 ha dành cho xây dựng trường đại học và dậy nghề mới.</w:t>
      </w:r>
    </w:p>
    <w:p w14:paraId="519B3423" w14:textId="77777777" w:rsidR="009671CF" w:rsidRPr="008E63BB" w:rsidRDefault="009671CF" w:rsidP="009671CF">
      <w:pPr>
        <w:ind w:firstLine="720"/>
        <w:rPr>
          <w:lang w:val="pt-BR"/>
        </w:rPr>
      </w:pPr>
      <w:r w:rsidRPr="008E63BB">
        <w:rPr>
          <w:lang w:val="pt-BR"/>
        </w:rPr>
        <w:t xml:space="preserve">- Hệ thống giáo dục đào tạo cấp đô thị: Thực hiện cải tạo nâng cấp 14 trường THPT hiện trạng,  riêng trường THPT Lê Hồng Phong di chuyển về khu vực trung tâm thể dục thể thao. Xây dựng thêm 06 trường THPT (quỹ đất khoảng 10 ha). </w:t>
      </w:r>
      <w:r w:rsidRPr="008E63BB">
        <w:rPr>
          <w:szCs w:val="26"/>
          <w:lang w:val="vi-VN"/>
        </w:rPr>
        <w:t>Quy mô của các trường đảm bảo phục vụ cho dân cư</w:t>
      </w:r>
      <w:r w:rsidRPr="008E63BB">
        <w:rPr>
          <w:szCs w:val="26"/>
          <w:lang w:val="pt-BR"/>
        </w:rPr>
        <w:t xml:space="preserve"> mới</w:t>
      </w:r>
      <w:r w:rsidRPr="008E63BB">
        <w:rPr>
          <w:szCs w:val="26"/>
          <w:lang w:val="vi-VN"/>
        </w:rPr>
        <w:t xml:space="preserve"> trong khu vực và một số khu vực dân cư làng xóm tiếp giáp với khu vực nghiên cứu lập quy hoạch</w:t>
      </w:r>
      <w:r w:rsidRPr="008E63BB">
        <w:rPr>
          <w:szCs w:val="26"/>
          <w:lang w:val="pt-BR"/>
        </w:rPr>
        <w:t>.</w:t>
      </w:r>
    </w:p>
    <w:p w14:paraId="519B3424" w14:textId="77777777" w:rsidR="009671CF" w:rsidRPr="008E63BB" w:rsidRDefault="009671CF" w:rsidP="009671CF">
      <w:pPr>
        <w:rPr>
          <w:i/>
          <w:lang w:val="pt-BR"/>
        </w:rPr>
      </w:pPr>
      <w:r w:rsidRPr="008E63BB">
        <w:rPr>
          <w:i/>
          <w:lang w:val="pt-BR"/>
        </w:rPr>
        <w:t>* Trung tâm y tế:</w:t>
      </w:r>
    </w:p>
    <w:p w14:paraId="519B3425" w14:textId="77777777" w:rsidR="009671CF" w:rsidRPr="008E63BB" w:rsidRDefault="009671CF" w:rsidP="009671CF">
      <w:pPr>
        <w:rPr>
          <w:rStyle w:val="Emphasis"/>
          <w:i w:val="0"/>
          <w:szCs w:val="28"/>
          <w:shd w:val="clear" w:color="auto" w:fill="FFFFFF"/>
          <w:lang w:val="pt-BR"/>
        </w:rPr>
      </w:pPr>
      <w:r w:rsidRPr="008E63BB">
        <w:rPr>
          <w:lang w:val="pt-BR"/>
        </w:rPr>
        <w:tab/>
        <w:t xml:space="preserve">Việc thực hiện cải tạo nâng cấp mở rộng bệnh viện đa khoa tỉnh tại vị trí hiện trạng là rất khó khăn, </w:t>
      </w:r>
      <w:r w:rsidRPr="008E63BB">
        <w:rPr>
          <w:rStyle w:val="Emphasis"/>
          <w:i w:val="0"/>
          <w:szCs w:val="28"/>
          <w:shd w:val="clear" w:color="auto" w:fill="FFFFFF"/>
          <w:lang w:val="pt-BR"/>
        </w:rPr>
        <w:t>tốn kém về chi phí xây dựng. Do vậy Tỉnh sẽ di dời bệnh viện đa khoa tỉnh ra đất dự án bệnh viện quy mô 700 giườ</w:t>
      </w:r>
      <w:r w:rsidR="0043007F" w:rsidRPr="008E63BB">
        <w:rPr>
          <w:rStyle w:val="Emphasis"/>
          <w:i w:val="0"/>
          <w:szCs w:val="28"/>
          <w:shd w:val="clear" w:color="auto" w:fill="FFFFFF"/>
          <w:lang w:val="pt-BR"/>
        </w:rPr>
        <w:t xml:space="preserve">ng, diện tích </w:t>
      </w:r>
      <w:r w:rsidR="00C4665C" w:rsidRPr="008E63BB">
        <w:rPr>
          <w:rStyle w:val="Emphasis"/>
          <w:i w:val="0"/>
          <w:szCs w:val="28"/>
          <w:shd w:val="clear" w:color="auto" w:fill="FFFFFF"/>
          <w:lang w:val="pt-BR"/>
        </w:rPr>
        <w:t>9,25</w:t>
      </w:r>
      <w:r w:rsidR="0043007F" w:rsidRPr="008E63BB">
        <w:rPr>
          <w:rStyle w:val="Emphasis"/>
          <w:i w:val="0"/>
          <w:szCs w:val="28"/>
          <w:shd w:val="clear" w:color="auto" w:fill="FFFFFF"/>
          <w:lang w:val="pt-BR"/>
        </w:rPr>
        <w:t xml:space="preserve"> ha </w:t>
      </w:r>
      <w:r w:rsidRPr="008E63BB">
        <w:rPr>
          <w:rStyle w:val="Emphasis"/>
          <w:i w:val="0"/>
          <w:szCs w:val="28"/>
          <w:shd w:val="clear" w:color="auto" w:fill="FFFFFF"/>
          <w:lang w:val="pt-BR"/>
        </w:rPr>
        <w:t xml:space="preserve">tại khu đô thị Mỹ Trung để vừa giảm tải cho khu vực trung tâm thành phố, vừa khai thác cơ sở hạ tầng dự án bệnh viện </w:t>
      </w:r>
      <w:r w:rsidR="001523F5" w:rsidRPr="008E63BB">
        <w:rPr>
          <w:rStyle w:val="Emphasis"/>
          <w:i w:val="0"/>
          <w:szCs w:val="28"/>
          <w:shd w:val="clear" w:color="auto" w:fill="FFFFFF"/>
          <w:lang w:val="pt-BR"/>
        </w:rPr>
        <w:t>mới</w:t>
      </w:r>
      <w:r w:rsidRPr="008E63BB">
        <w:rPr>
          <w:rStyle w:val="Emphasis"/>
          <w:i w:val="0"/>
          <w:szCs w:val="28"/>
          <w:shd w:val="clear" w:color="auto" w:fill="FFFFFF"/>
          <w:lang w:val="pt-BR"/>
        </w:rPr>
        <w:t xml:space="preserve">. Khu </w:t>
      </w:r>
      <w:r w:rsidR="001523F5" w:rsidRPr="008E63BB">
        <w:rPr>
          <w:rStyle w:val="Emphasis"/>
          <w:i w:val="0"/>
          <w:szCs w:val="28"/>
          <w:shd w:val="clear" w:color="auto" w:fill="FFFFFF"/>
          <w:lang w:val="pt-BR"/>
        </w:rPr>
        <w:t xml:space="preserve">đất </w:t>
      </w:r>
      <w:r w:rsidRPr="008E63BB">
        <w:rPr>
          <w:rStyle w:val="Emphasis"/>
          <w:i w:val="0"/>
          <w:szCs w:val="28"/>
          <w:shd w:val="clear" w:color="auto" w:fill="FFFFFF"/>
          <w:lang w:val="pt-BR"/>
        </w:rPr>
        <w:t>bệnh viện đa khoa hiện nay sẽ được chuyển đổi mục đích sử dụng cho các chức năng công cộng và hỗn hợp khác của đô thị.</w:t>
      </w:r>
    </w:p>
    <w:p w14:paraId="519B3426" w14:textId="77777777" w:rsidR="00F53F66" w:rsidRPr="008E63BB" w:rsidRDefault="009671CF" w:rsidP="009671CF">
      <w:pPr>
        <w:rPr>
          <w:rStyle w:val="Emphasis"/>
          <w:i w:val="0"/>
          <w:szCs w:val="28"/>
          <w:shd w:val="clear" w:color="auto" w:fill="FFFFFF"/>
          <w:lang w:val="pt-BR"/>
        </w:rPr>
      </w:pPr>
      <w:r w:rsidRPr="008E63BB">
        <w:rPr>
          <w:rStyle w:val="Emphasis"/>
          <w:i w:val="0"/>
          <w:szCs w:val="28"/>
          <w:shd w:val="clear" w:color="auto" w:fill="FFFFFF"/>
          <w:lang w:val="pt-BR"/>
        </w:rPr>
        <w:tab/>
        <w:t>Để đảm bảo nhu cầu phát triển trong tương lai, quy hoạch mới 01 trung tâm y tế của đô thị tại khu vực đô thị phía Nam sông Đào, quy mô khoảng 4 ha</w:t>
      </w:r>
      <w:r w:rsidR="00F53F66" w:rsidRPr="008E63BB">
        <w:rPr>
          <w:rStyle w:val="Emphasis"/>
          <w:i w:val="0"/>
          <w:szCs w:val="28"/>
          <w:shd w:val="clear" w:color="auto" w:fill="FFFFFF"/>
          <w:lang w:val="pt-BR"/>
        </w:rPr>
        <w:t>.</w:t>
      </w:r>
    </w:p>
    <w:p w14:paraId="519B3427" w14:textId="77777777" w:rsidR="00067AE8" w:rsidRPr="008E63BB" w:rsidRDefault="00067AE8" w:rsidP="00067AE8">
      <w:pPr>
        <w:ind w:firstLine="720"/>
        <w:rPr>
          <w:rStyle w:val="Emphasis"/>
          <w:i w:val="0"/>
          <w:szCs w:val="28"/>
          <w:shd w:val="clear" w:color="auto" w:fill="FFFFFF"/>
          <w:lang w:val="pt-BR"/>
        </w:rPr>
      </w:pPr>
      <w:r w:rsidRPr="008E63BB">
        <w:rPr>
          <w:rStyle w:val="Emphasis"/>
          <w:i w:val="0"/>
          <w:szCs w:val="28"/>
          <w:shd w:val="clear" w:color="auto" w:fill="FFFFFF"/>
          <w:lang w:val="pt-BR"/>
        </w:rPr>
        <w:t>Xây dựng các trung tâm điều dưỡng, chăm sóc sức khỏe, các trung tâm y tế chăm sóc sức khỏe chuyên ngành kết hợp dịch vụ nghỉ dưỡng, khám chữa bệnh.</w:t>
      </w:r>
    </w:p>
    <w:p w14:paraId="519B3428" w14:textId="77777777" w:rsidR="00F53F66" w:rsidRPr="008E63BB" w:rsidRDefault="00F53F66" w:rsidP="00F53F66">
      <w:pPr>
        <w:rPr>
          <w:i/>
          <w:lang w:val="pt-BR"/>
        </w:rPr>
      </w:pPr>
      <w:r w:rsidRPr="008E63BB">
        <w:rPr>
          <w:i/>
          <w:lang w:val="pt-BR"/>
        </w:rPr>
        <w:t>* Trung tâm thương mại dịch vụ:</w:t>
      </w:r>
    </w:p>
    <w:p w14:paraId="519B3429" w14:textId="77777777" w:rsidR="00F53F66" w:rsidRPr="008E63BB" w:rsidRDefault="00F53F66" w:rsidP="00F53F66">
      <w:pPr>
        <w:ind w:firstLine="720"/>
        <w:rPr>
          <w:szCs w:val="28"/>
          <w:lang w:val="es-ES"/>
        </w:rPr>
      </w:pPr>
      <w:r w:rsidRPr="008E63BB">
        <w:rPr>
          <w:bCs/>
          <w:szCs w:val="26"/>
          <w:lang w:val="es-ES"/>
        </w:rPr>
        <w:t xml:space="preserve">Xây dựng hệ thống siêu thị và trung tâm thương mại </w:t>
      </w:r>
      <w:r w:rsidRPr="008E63BB">
        <w:rPr>
          <w:szCs w:val="28"/>
          <w:lang w:val="es-ES"/>
        </w:rPr>
        <w:t>để cung ứng cho hệ thống thị trường hàng tiêu dùng nội tỉnh và các khu vực lân cận của vùng. Mạng lưới trung tâm thương mại sẽ là hạt nhân để hình thành một trục thương mại kết nối các khu vực đô thị trung tâm với các loại hình tổ chức thương mại được đầu tư hiện đại, có đầy đủ các chức năng dịch vụ để trở thành không gian thương mại chính của tỉnh.</w:t>
      </w:r>
    </w:p>
    <w:p w14:paraId="519B342A" w14:textId="77777777" w:rsidR="00F53F66" w:rsidRPr="008E63BB" w:rsidRDefault="00F53F66" w:rsidP="00F53F66">
      <w:pPr>
        <w:ind w:firstLine="720"/>
        <w:rPr>
          <w:szCs w:val="28"/>
          <w:lang w:val="es-ES"/>
        </w:rPr>
      </w:pPr>
      <w:r w:rsidRPr="008E63BB">
        <w:rPr>
          <w:szCs w:val="28"/>
          <w:lang w:val="es-ES"/>
        </w:rPr>
        <w:t>Định hướng các khu vực tập trung phát triển hạ tầng thương mại theo hướng trên địa bàn thành phố Nam Định mở rộng sẽ hình thành 3 khu vực chính có lợi thế phát triển thương mại. Các kết cấu hạ tầng thương mại sẽ được phát triển với với mật độ cao, đa dạng về loại hình và có quy mô lớn. Đây là khu vực đóng vai trò đầu mối phát triển hoạt động thương mại trong tỉnh và giữa tỉnh với bên ngoài:</w:t>
      </w:r>
    </w:p>
    <w:p w14:paraId="519B342B" w14:textId="77777777" w:rsidR="00F53F66" w:rsidRPr="008E63BB" w:rsidRDefault="00F53F66" w:rsidP="00F53F66">
      <w:pPr>
        <w:ind w:firstLine="720"/>
        <w:rPr>
          <w:szCs w:val="28"/>
          <w:lang w:val="es-ES"/>
        </w:rPr>
      </w:pPr>
      <w:r w:rsidRPr="008E63BB">
        <w:rPr>
          <w:szCs w:val="28"/>
          <w:lang w:val="es-ES"/>
        </w:rPr>
        <w:t>- Khu vực thị trấn Mỹ Lộc và phụ cận: (phục vụ dân cư trong vùng và KCN Mỹ Thuận): Quy hoạch, phát triển hình thành một số trung tâm thương mại tổng hợp trên hành lang theo tuyến đường bộ mới Nam Định – Phủ Lý, một số siêu thị hạng 2, 1 chợ hạng 2 tại thị trấn Mỹ Lộc.</w:t>
      </w:r>
    </w:p>
    <w:p w14:paraId="519B342C" w14:textId="77777777" w:rsidR="00F53F66" w:rsidRPr="008E63BB" w:rsidRDefault="00F53F66" w:rsidP="00F53F66">
      <w:pPr>
        <w:ind w:firstLine="720"/>
        <w:rPr>
          <w:szCs w:val="28"/>
          <w:lang w:val="es-ES"/>
        </w:rPr>
      </w:pPr>
      <w:r w:rsidRPr="008E63BB">
        <w:rPr>
          <w:szCs w:val="28"/>
          <w:lang w:val="es-ES"/>
        </w:rPr>
        <w:t>- Khu vực Trung tâm và Tây bắc thành phố Nam Định hiện nay tiếp tục quy hoạch, nâng cấp và đầu tư phát triển các trung tâm thương mại, siêu thị.</w:t>
      </w:r>
    </w:p>
    <w:p w14:paraId="519B342D" w14:textId="77777777" w:rsidR="00F53F66" w:rsidRPr="008E63BB" w:rsidRDefault="00F53F66" w:rsidP="00F53F66">
      <w:pPr>
        <w:ind w:firstLine="720"/>
        <w:rPr>
          <w:szCs w:val="28"/>
          <w:lang w:val="es-ES"/>
        </w:rPr>
      </w:pPr>
      <w:r w:rsidRPr="008E63BB">
        <w:rPr>
          <w:szCs w:val="28"/>
          <w:lang w:val="es-ES"/>
        </w:rPr>
        <w:t>- Khu vực 2 bên đường Lê Đức Thọ, đường dẫn từ điểm giao cắt với quốc lộ 21 đến cầu Tân Phong: quy hoạch và đầu tư xây dựng một số trung tâm thương mại, siêu thị, cửa hàng kinh doanh.</w:t>
      </w:r>
    </w:p>
    <w:p w14:paraId="519B342E" w14:textId="77777777" w:rsidR="00F53F66" w:rsidRPr="008E63BB" w:rsidRDefault="00F53F66" w:rsidP="00F53F66">
      <w:pPr>
        <w:ind w:firstLine="720"/>
        <w:rPr>
          <w:szCs w:val="28"/>
          <w:lang w:val="es-ES"/>
        </w:rPr>
      </w:pPr>
      <w:r w:rsidRPr="008E63BB">
        <w:rPr>
          <w:szCs w:val="28"/>
          <w:lang w:val="es-ES"/>
        </w:rPr>
        <w:lastRenderedPageBreak/>
        <w:t xml:space="preserve">Ngoài ra, tại các khu vực dự kiến phát triển trong tương lai dài hạn, trên các trục trung tâm dự kiến </w:t>
      </w:r>
      <w:r w:rsidRPr="008E63BB">
        <w:rPr>
          <w:szCs w:val="26"/>
          <w:lang w:val="es-ES"/>
        </w:rPr>
        <w:t>xây dựng mới hệ thống siệu thị và trung tâm thương mại, quy mô 1-1,5ha/siêu thị:</w:t>
      </w:r>
    </w:p>
    <w:p w14:paraId="519B342F" w14:textId="77777777" w:rsidR="00F53F66" w:rsidRPr="008E63BB" w:rsidRDefault="00F53F66" w:rsidP="00F53F66">
      <w:pPr>
        <w:ind w:firstLine="720"/>
        <w:rPr>
          <w:szCs w:val="26"/>
          <w:lang w:val="es-ES"/>
        </w:rPr>
      </w:pPr>
      <w:r w:rsidRPr="008E63BB">
        <w:rPr>
          <w:szCs w:val="26"/>
          <w:lang w:val="es-ES"/>
        </w:rPr>
        <w:t>- Khu đô thị phía Tây: tại vị trí cửa ngõ– khu vực giao giữa đường vành đai 2 và QL21, phát triển thương mại dịch vụ phục vụ gắn với khu vực cửa ngõ đô thị với các chức năng phát triển công nghiệp, dịch vụ, đô thị, logistic, đầu mối giao thông đường bộ, đường sắt như bến xe, nhà ga...</w:t>
      </w:r>
    </w:p>
    <w:p w14:paraId="519B3430" w14:textId="77777777" w:rsidR="00F53F66" w:rsidRPr="008E63BB" w:rsidRDefault="00F53F66" w:rsidP="00F53F66">
      <w:pPr>
        <w:ind w:firstLine="720"/>
        <w:rPr>
          <w:szCs w:val="26"/>
          <w:lang w:val="es-ES"/>
        </w:rPr>
      </w:pPr>
      <w:r w:rsidRPr="008E63BB">
        <w:rPr>
          <w:szCs w:val="26"/>
          <w:lang w:val="es-ES"/>
        </w:rPr>
        <w:t xml:space="preserve">- Khu đô thị mới Nam sông Đào: </w:t>
      </w:r>
      <w:r w:rsidRPr="008E63BB">
        <w:rPr>
          <w:rFonts w:eastAsia="Arial"/>
          <w:iCs/>
          <w:szCs w:val="26"/>
          <w:lang w:val="es-ES"/>
        </w:rPr>
        <w:t xml:space="preserve">vị trí cửa ngõ phía Đông thành phố - khu vực giao với đường Lê Đức Thọ. </w:t>
      </w:r>
      <w:r w:rsidRPr="008E63BB">
        <w:rPr>
          <w:szCs w:val="26"/>
          <w:lang w:val="es-ES"/>
        </w:rPr>
        <w:t xml:space="preserve">Xây dựng trung tâm hội chợ, triển lãm, quy mô khoảng 5 ha tại khu đô thị mới phía Nam, khu vực đường vành đai.. </w:t>
      </w:r>
    </w:p>
    <w:p w14:paraId="519B3431" w14:textId="77777777" w:rsidR="00AD06E1" w:rsidRPr="008E63BB" w:rsidRDefault="00F53F66" w:rsidP="00F53F66">
      <w:pPr>
        <w:ind w:firstLine="720"/>
        <w:rPr>
          <w:szCs w:val="28"/>
          <w:lang w:val="es-ES"/>
        </w:rPr>
      </w:pPr>
      <w:r w:rsidRPr="008E63BB">
        <w:rPr>
          <w:szCs w:val="28"/>
          <w:lang w:val="es-ES"/>
        </w:rPr>
        <w:t>Xây dựng mạng lưới chợ nội th</w:t>
      </w:r>
      <w:r w:rsidR="00C90BF8" w:rsidRPr="008E63BB">
        <w:rPr>
          <w:szCs w:val="28"/>
          <w:lang w:val="es-ES"/>
        </w:rPr>
        <w:t>ành</w:t>
      </w:r>
      <w:r w:rsidRPr="008E63BB">
        <w:rPr>
          <w:szCs w:val="28"/>
          <w:lang w:val="es-ES"/>
        </w:rPr>
        <w:t xml:space="preserve"> (trên cơ sở đầu tư nâng cấp các chợ hiện nay trong nội th</w:t>
      </w:r>
      <w:r w:rsidR="00C90BF8" w:rsidRPr="008E63BB">
        <w:rPr>
          <w:szCs w:val="28"/>
          <w:lang w:val="es-ES"/>
        </w:rPr>
        <w:t>ành</w:t>
      </w:r>
      <w:r w:rsidRPr="008E63BB">
        <w:rPr>
          <w:szCs w:val="28"/>
          <w:lang w:val="es-ES"/>
        </w:rPr>
        <w:t xml:space="preserve"> cũ, chợ xây mới trong các đô thị mới), quy mô: 0,5-1ha/1chợ. Ngoài chợ Rồng đang là chợ trung tâm của vùng, dự kiến xây dựng chợ đầu mối tại Mỹ Tân (Mỹ Lộc).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AD06E1" w:rsidRPr="008E63BB" w14:paraId="519B3433" w14:textId="77777777" w:rsidTr="005B7147">
        <w:tc>
          <w:tcPr>
            <w:tcW w:w="9498" w:type="dxa"/>
          </w:tcPr>
          <w:p w14:paraId="519B3432" w14:textId="77777777" w:rsidR="00AD06E1" w:rsidRPr="008E63BB" w:rsidRDefault="00AD06E1" w:rsidP="00AD06E1">
            <w:pPr>
              <w:jc w:val="center"/>
              <w:rPr>
                <w:szCs w:val="28"/>
                <w:lang w:val="es-ES"/>
              </w:rPr>
            </w:pPr>
            <w:r w:rsidRPr="008E63BB">
              <w:rPr>
                <w:noProof/>
                <w:szCs w:val="28"/>
                <w:lang w:eastAsia="zh-CN"/>
              </w:rPr>
              <w:drawing>
                <wp:inline distT="0" distB="0" distL="0" distR="0" wp14:anchorId="519B523F" wp14:editId="519B5240">
                  <wp:extent cx="4781550" cy="36385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 Sơ đồ trung  tâm.jpg"/>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4781550" cy="3638550"/>
                          </a:xfrm>
                          <a:prstGeom prst="rect">
                            <a:avLst/>
                          </a:prstGeom>
                          <a:ln>
                            <a:noFill/>
                          </a:ln>
                          <a:extLst>
                            <a:ext uri="{53640926-AAD7-44D8-BBD7-CCE9431645EC}">
                              <a14:shadowObscured xmlns:a14="http://schemas.microsoft.com/office/drawing/2010/main"/>
                            </a:ext>
                          </a:extLst>
                        </pic:spPr>
                      </pic:pic>
                    </a:graphicData>
                  </a:graphic>
                </wp:inline>
              </w:drawing>
            </w:r>
          </w:p>
        </w:tc>
      </w:tr>
      <w:tr w:rsidR="00AD06E1" w:rsidRPr="008E63BB" w14:paraId="519B3435" w14:textId="77777777" w:rsidTr="005B7147">
        <w:tc>
          <w:tcPr>
            <w:tcW w:w="9498" w:type="dxa"/>
          </w:tcPr>
          <w:p w14:paraId="519B3434" w14:textId="77777777" w:rsidR="00AD06E1" w:rsidRPr="008E63BB" w:rsidRDefault="00AD06E1" w:rsidP="005B7147">
            <w:pPr>
              <w:spacing w:after="120"/>
              <w:jc w:val="center"/>
              <w:rPr>
                <w:i/>
                <w:szCs w:val="28"/>
                <w:lang w:val="es-ES"/>
              </w:rPr>
            </w:pPr>
            <w:r w:rsidRPr="008E63BB">
              <w:rPr>
                <w:i/>
                <w:szCs w:val="28"/>
                <w:lang w:val="es-ES"/>
              </w:rPr>
              <w:t xml:space="preserve">Sơ đồ hệ thống trung tâm công cộng </w:t>
            </w:r>
          </w:p>
        </w:tc>
      </w:tr>
    </w:tbl>
    <w:p w14:paraId="519B3436" w14:textId="77777777" w:rsidR="00F53F66" w:rsidRPr="008E63BB" w:rsidRDefault="00F53F66" w:rsidP="00F53F66">
      <w:pPr>
        <w:pStyle w:val="Heading3"/>
      </w:pPr>
      <w:bookmarkStart w:id="381" w:name="_Toc21955370"/>
      <w:bookmarkStart w:id="382" w:name="_Toc47524701"/>
      <w:r w:rsidRPr="008E63BB">
        <w:t>5.</w:t>
      </w:r>
      <w:r w:rsidR="00F9056A" w:rsidRPr="008E63BB">
        <w:t>4</w:t>
      </w:r>
      <w:r w:rsidRPr="008E63BB">
        <w:t xml:space="preserve">.4. Quy hoạch hệ thống </w:t>
      </w:r>
      <w:r w:rsidR="005B7147" w:rsidRPr="008E63BB">
        <w:t xml:space="preserve">công viên </w:t>
      </w:r>
      <w:r w:rsidRPr="008E63BB">
        <w:t>cây xanh, thể dục thể thao, mặt nước</w:t>
      </w:r>
      <w:bookmarkEnd w:id="381"/>
      <w:bookmarkEnd w:id="382"/>
    </w:p>
    <w:p w14:paraId="519B3437" w14:textId="77777777" w:rsidR="009671CF" w:rsidRPr="008E63BB" w:rsidRDefault="009671CF" w:rsidP="00F8156E">
      <w:pPr>
        <w:spacing w:before="40"/>
        <w:rPr>
          <w:lang w:val="pt-BR"/>
        </w:rPr>
      </w:pPr>
      <w:r w:rsidRPr="008E63BB">
        <w:rPr>
          <w:lang w:val="pt-BR"/>
        </w:rPr>
        <w:t>* Công trình thể dục thể thao:</w:t>
      </w:r>
    </w:p>
    <w:p w14:paraId="519B3438" w14:textId="77777777" w:rsidR="009671CF" w:rsidRPr="008E63BB" w:rsidRDefault="009671CF" w:rsidP="00F8156E">
      <w:pPr>
        <w:spacing w:before="40"/>
        <w:rPr>
          <w:lang w:val="pt-BR"/>
        </w:rPr>
      </w:pPr>
      <w:r w:rsidRPr="008E63BB">
        <w:rPr>
          <w:lang w:val="pt-BR"/>
        </w:rPr>
        <w:tab/>
        <w:t xml:space="preserve">Tiếp tục cải tạo nâng cấp các công trình thể dục thể thao hiện có theo định hướng của QHC2011, giảm quy mô diện tích, chuyển </w:t>
      </w:r>
      <w:r w:rsidR="00266295" w:rsidRPr="008E63BB">
        <w:rPr>
          <w:lang w:val="pt-BR"/>
        </w:rPr>
        <w:t xml:space="preserve">một phần </w:t>
      </w:r>
      <w:r w:rsidRPr="008E63BB">
        <w:rPr>
          <w:lang w:val="pt-BR"/>
        </w:rPr>
        <w:t xml:space="preserve">sang đất giáo dục và hỗn hợp dịch vụ đô thị. Trong </w:t>
      </w:r>
      <w:r w:rsidR="00266295" w:rsidRPr="008E63BB">
        <w:rPr>
          <w:lang w:val="pt-BR"/>
        </w:rPr>
        <w:t>định hướng</w:t>
      </w:r>
      <w:r w:rsidRPr="008E63BB">
        <w:rPr>
          <w:lang w:val="pt-BR"/>
        </w:rPr>
        <w:t xml:space="preserve"> quy hoạch mới</w:t>
      </w:r>
      <w:r w:rsidR="00266295" w:rsidRPr="008E63BB">
        <w:rPr>
          <w:lang w:val="pt-BR"/>
        </w:rPr>
        <w:t xml:space="preserve"> sẽ bổ sung thêm</w:t>
      </w:r>
      <w:r w:rsidRPr="008E63BB">
        <w:rPr>
          <w:lang w:val="pt-BR"/>
        </w:rPr>
        <w:t xml:space="preserve"> khu trung tâm thể dục thể thao tại khu vực đô thị mớ</w:t>
      </w:r>
      <w:r w:rsidR="00E36B91" w:rsidRPr="008E63BB">
        <w:rPr>
          <w:lang w:val="pt-BR"/>
        </w:rPr>
        <w:t>i.</w:t>
      </w:r>
    </w:p>
    <w:p w14:paraId="519B3439" w14:textId="77777777" w:rsidR="00E36B91" w:rsidRPr="008E63BB" w:rsidRDefault="00E36B91" w:rsidP="00E36B91">
      <w:pPr>
        <w:pStyle w:val="BodyText"/>
        <w:spacing w:after="0"/>
        <w:ind w:firstLine="540"/>
        <w:rPr>
          <w:szCs w:val="26"/>
        </w:rPr>
      </w:pPr>
      <w:r w:rsidRPr="008E63BB">
        <w:rPr>
          <w:lang w:val="pt-BR"/>
        </w:rPr>
        <w:tab/>
      </w:r>
      <w:r w:rsidRPr="008E63BB">
        <w:rPr>
          <w:szCs w:val="26"/>
          <w:lang w:val="en-US"/>
        </w:rPr>
        <w:t>Các k</w:t>
      </w:r>
      <w:r w:rsidRPr="008E63BB">
        <w:rPr>
          <w:szCs w:val="26"/>
        </w:rPr>
        <w:t>hu thể dục thể thao đô thị:</w:t>
      </w:r>
    </w:p>
    <w:p w14:paraId="519B343A" w14:textId="77777777" w:rsidR="00E36B91" w:rsidRPr="008E63BB" w:rsidRDefault="00E36B91" w:rsidP="00E36B91">
      <w:pPr>
        <w:pStyle w:val="BodyText"/>
        <w:spacing w:after="0"/>
        <w:ind w:firstLine="540"/>
        <w:rPr>
          <w:szCs w:val="26"/>
          <w:lang w:val="en-US"/>
        </w:rPr>
      </w:pPr>
      <w:r w:rsidRPr="008E63BB">
        <w:rPr>
          <w:szCs w:val="26"/>
        </w:rPr>
        <w:t>+ Trung tâm thể dục thể thao tỉnh</w:t>
      </w:r>
      <w:r w:rsidRPr="008E63BB">
        <w:rPr>
          <w:szCs w:val="26"/>
          <w:lang w:val="en-US"/>
        </w:rPr>
        <w:t xml:space="preserve"> (phường Lộc Vượng): quy mô khoảng 6,7 ha,</w:t>
      </w:r>
      <w:r w:rsidRPr="008E63BB">
        <w:rPr>
          <w:szCs w:val="26"/>
        </w:rPr>
        <w:t xml:space="preserve"> gồm tổ hợp sân vận động, nhà thi đấu đa năng, sân thể thao.</w:t>
      </w:r>
    </w:p>
    <w:p w14:paraId="519B343B" w14:textId="77777777" w:rsidR="00E36B91" w:rsidRPr="008E63BB" w:rsidRDefault="00E36B91" w:rsidP="00E36B91">
      <w:pPr>
        <w:pStyle w:val="BodyText"/>
        <w:spacing w:after="0"/>
        <w:ind w:firstLine="540"/>
        <w:rPr>
          <w:szCs w:val="26"/>
        </w:rPr>
      </w:pPr>
      <w:r w:rsidRPr="008E63BB">
        <w:rPr>
          <w:szCs w:val="26"/>
        </w:rPr>
        <w:t>+ Trung tâm thể dục thể thao hiện hữu</w:t>
      </w:r>
      <w:r w:rsidRPr="008E63BB">
        <w:rPr>
          <w:szCs w:val="26"/>
          <w:lang w:val="en-US"/>
        </w:rPr>
        <w:t xml:space="preserve"> (phường Vị Hoàng)</w:t>
      </w:r>
      <w:r w:rsidRPr="008E63BB">
        <w:rPr>
          <w:szCs w:val="26"/>
        </w:rPr>
        <w:t>:</w:t>
      </w:r>
      <w:r w:rsidRPr="008E63BB">
        <w:rPr>
          <w:szCs w:val="26"/>
          <w:lang w:val="en-US"/>
        </w:rPr>
        <w:t xml:space="preserve"> quy mô khoảng 3,4 ha, </w:t>
      </w:r>
      <w:r w:rsidRPr="008E63BB">
        <w:rPr>
          <w:szCs w:val="26"/>
        </w:rPr>
        <w:t xml:space="preserve">phục vụ dân cư trong </w:t>
      </w:r>
      <w:r w:rsidRPr="008E63BB">
        <w:rPr>
          <w:szCs w:val="26"/>
          <w:lang w:val="en-US"/>
        </w:rPr>
        <w:t>khu vực lõi trung tâm và vùng phát triển phía Nam vành đai 1 (QL 10)</w:t>
      </w:r>
      <w:r w:rsidRPr="008E63BB">
        <w:rPr>
          <w:szCs w:val="26"/>
        </w:rPr>
        <w:t>.</w:t>
      </w:r>
    </w:p>
    <w:p w14:paraId="519B343C" w14:textId="5EF7ADCD" w:rsidR="00E36B91" w:rsidRPr="008E63BB" w:rsidRDefault="00E36B91" w:rsidP="00E36B91">
      <w:pPr>
        <w:pStyle w:val="BodyText"/>
        <w:spacing w:after="0"/>
        <w:ind w:firstLine="540"/>
        <w:rPr>
          <w:szCs w:val="26"/>
          <w:lang w:val="en-US"/>
        </w:rPr>
      </w:pPr>
      <w:r w:rsidRPr="008E63BB">
        <w:rPr>
          <w:szCs w:val="26"/>
        </w:rPr>
        <w:lastRenderedPageBreak/>
        <w:t>+</w:t>
      </w:r>
      <w:r w:rsidR="00CF6DD8" w:rsidRPr="008E63BB">
        <w:rPr>
          <w:szCs w:val="26"/>
          <w:lang w:val="en-US"/>
        </w:rPr>
        <w:t xml:space="preserve"> </w:t>
      </w:r>
      <w:r w:rsidRPr="008E63BB">
        <w:rPr>
          <w:szCs w:val="26"/>
        </w:rPr>
        <w:t>Trung tâm thể dục thể thao tại khu đô thị Tây Bắc</w:t>
      </w:r>
      <w:r w:rsidR="00CF6DD8" w:rsidRPr="008E63BB">
        <w:rPr>
          <w:szCs w:val="26"/>
          <w:lang w:val="en-US"/>
        </w:rPr>
        <w:t xml:space="preserve"> </w:t>
      </w:r>
      <w:r w:rsidRPr="008E63BB">
        <w:rPr>
          <w:szCs w:val="26"/>
          <w:lang w:val="en-US"/>
        </w:rPr>
        <w:t>quy hoạch mới quy mô khoảng 15 ha</w:t>
      </w:r>
      <w:r w:rsidRPr="008E63BB">
        <w:rPr>
          <w:szCs w:val="26"/>
        </w:rPr>
        <w:t>: phục vụ dân cư phía Đông và phía Tây Bắc thành phố</w:t>
      </w:r>
      <w:r w:rsidRPr="008E63BB">
        <w:rPr>
          <w:szCs w:val="26"/>
          <w:lang w:val="en-US"/>
        </w:rPr>
        <w:t>.</w:t>
      </w:r>
    </w:p>
    <w:p w14:paraId="519B343D" w14:textId="77777777" w:rsidR="00E36B91" w:rsidRPr="008E63BB" w:rsidRDefault="00E36B91" w:rsidP="00E36B91">
      <w:pPr>
        <w:pStyle w:val="BodyText"/>
        <w:spacing w:after="0"/>
        <w:ind w:firstLine="540"/>
        <w:rPr>
          <w:szCs w:val="26"/>
          <w:lang w:val="en-US"/>
        </w:rPr>
      </w:pPr>
      <w:r w:rsidRPr="008E63BB">
        <w:rPr>
          <w:szCs w:val="26"/>
          <w:lang w:val="en-US"/>
        </w:rPr>
        <w:t xml:space="preserve">+ Trung tâm thể dục thể thao khu vực Nam sông Đào quy hoạch mới: quy mô 16 ha, </w:t>
      </w:r>
      <w:r w:rsidRPr="008E63BB">
        <w:rPr>
          <w:szCs w:val="26"/>
        </w:rPr>
        <w:t xml:space="preserve">phục vụ dân cư phía </w:t>
      </w:r>
      <w:r w:rsidRPr="008E63BB">
        <w:rPr>
          <w:szCs w:val="26"/>
          <w:lang w:val="en-US"/>
        </w:rPr>
        <w:t>Nam</w:t>
      </w:r>
      <w:r w:rsidRPr="008E63BB">
        <w:rPr>
          <w:szCs w:val="26"/>
        </w:rPr>
        <w:t xml:space="preserve"> thành phố</w:t>
      </w:r>
      <w:r w:rsidRPr="008E63BB">
        <w:rPr>
          <w:szCs w:val="26"/>
          <w:lang w:val="en-US"/>
        </w:rPr>
        <w:t>.</w:t>
      </w:r>
    </w:p>
    <w:p w14:paraId="519B343E" w14:textId="77777777" w:rsidR="00E36B91" w:rsidRPr="008E63BB" w:rsidRDefault="00E36B91" w:rsidP="00E36B91">
      <w:pPr>
        <w:pStyle w:val="BodyText"/>
        <w:spacing w:after="0"/>
        <w:ind w:firstLine="540"/>
        <w:rPr>
          <w:szCs w:val="26"/>
        </w:rPr>
      </w:pPr>
      <w:r w:rsidRPr="008E63BB">
        <w:rPr>
          <w:szCs w:val="26"/>
        </w:rPr>
        <w:t>+ Trung tâm thể dục thể thao tại các khu đô thị: phục vụ dân cư các khu đô thị mới</w:t>
      </w:r>
    </w:p>
    <w:p w14:paraId="519B343F" w14:textId="77777777" w:rsidR="009671CF" w:rsidRPr="008E63BB" w:rsidRDefault="009671CF" w:rsidP="00F8156E">
      <w:pPr>
        <w:spacing w:before="40"/>
        <w:rPr>
          <w:lang w:val="pt-BR"/>
        </w:rPr>
      </w:pPr>
      <w:r w:rsidRPr="008E63BB">
        <w:rPr>
          <w:lang w:val="pt-BR"/>
        </w:rPr>
        <w:t>* Công viên cây xanh công cộng:</w:t>
      </w:r>
    </w:p>
    <w:p w14:paraId="519B3440" w14:textId="77777777" w:rsidR="009671CF" w:rsidRPr="008E63BB" w:rsidRDefault="009671CF" w:rsidP="00F8156E">
      <w:pPr>
        <w:spacing w:before="40"/>
        <w:rPr>
          <w:lang w:val="pt-BR"/>
        </w:rPr>
      </w:pPr>
      <w:r w:rsidRPr="008E63BB">
        <w:rPr>
          <w:lang w:val="pt-BR"/>
        </w:rPr>
        <w:tab/>
        <w:t>Tiếp tục thực hiện cải tạo chỉnh trang các khu công viên hiện có: Công viên hồ Vị Xuyên, công viên hồ Vị Hoàng, công viên Tức Mặc, công viên hồ truyền thống</w:t>
      </w:r>
      <w:r w:rsidR="00266295" w:rsidRPr="008E63BB">
        <w:rPr>
          <w:lang w:val="pt-BR"/>
        </w:rPr>
        <w:t>,</w:t>
      </w:r>
      <w:r w:rsidRPr="008E63BB">
        <w:rPr>
          <w:lang w:val="pt-BR"/>
        </w:rPr>
        <w:t>...</w:t>
      </w:r>
    </w:p>
    <w:p w14:paraId="519B3441" w14:textId="77777777" w:rsidR="009671CF" w:rsidRPr="008E63BB" w:rsidRDefault="009671CF" w:rsidP="00F8156E">
      <w:pPr>
        <w:spacing w:before="40"/>
        <w:ind w:firstLine="720"/>
        <w:rPr>
          <w:lang w:val="pt-BR"/>
        </w:rPr>
      </w:pPr>
      <w:r w:rsidRPr="008E63BB">
        <w:rPr>
          <w:lang w:val="pt-BR"/>
        </w:rPr>
        <w:t xml:space="preserve">Khai thác không gian ao hồ, kênh nước tại các khu vực trũng khu phía Tây và nam thành phố để xây dựng mới các khu công viên cây xanh mới: </w:t>
      </w:r>
    </w:p>
    <w:p w14:paraId="519B3442" w14:textId="77777777" w:rsidR="009671CF" w:rsidRPr="008E63BB" w:rsidRDefault="009671CF" w:rsidP="00F8156E">
      <w:pPr>
        <w:spacing w:before="40"/>
        <w:ind w:firstLine="720"/>
        <w:rPr>
          <w:lang w:val="pt-BR"/>
        </w:rPr>
      </w:pPr>
      <w:r w:rsidRPr="008E63BB">
        <w:rPr>
          <w:lang w:val="pt-BR"/>
        </w:rPr>
        <w:t xml:space="preserve">- Khu cây xanh thể dục thể thao vui chơi giải trí </w:t>
      </w:r>
      <w:r w:rsidR="00250F3B" w:rsidRPr="008E63BB">
        <w:rPr>
          <w:lang w:val="pt-BR"/>
        </w:rPr>
        <w:t xml:space="preserve">(cây xanh chuyên đề, golf) </w:t>
      </w:r>
      <w:r w:rsidRPr="008E63BB">
        <w:rPr>
          <w:lang w:val="pt-BR"/>
        </w:rPr>
        <w:t>tại khu vực phía Bắc đường v</w:t>
      </w:r>
      <w:r w:rsidR="00266295" w:rsidRPr="008E63BB">
        <w:rPr>
          <w:lang w:val="pt-BR"/>
        </w:rPr>
        <w:t>à</w:t>
      </w:r>
      <w:r w:rsidRPr="008E63BB">
        <w:rPr>
          <w:lang w:val="pt-BR"/>
        </w:rPr>
        <w:t xml:space="preserve">nh đai 2 dự kiến (xã Mỹ Hà, huyện Mỹ Lộc), quy mô khoảng </w:t>
      </w:r>
      <w:r w:rsidR="00250F3B" w:rsidRPr="008E63BB">
        <w:rPr>
          <w:lang w:val="pt-BR"/>
        </w:rPr>
        <w:t>1</w:t>
      </w:r>
      <w:r w:rsidRPr="008E63BB">
        <w:rPr>
          <w:lang w:val="pt-BR"/>
        </w:rPr>
        <w:t xml:space="preserve">70 ha; </w:t>
      </w:r>
    </w:p>
    <w:p w14:paraId="519B3443" w14:textId="5ED38097" w:rsidR="009671CF" w:rsidRPr="008E63BB" w:rsidRDefault="009671CF" w:rsidP="00F8156E">
      <w:pPr>
        <w:spacing w:before="40"/>
        <w:ind w:firstLine="720"/>
        <w:rPr>
          <w:lang w:val="pt-BR"/>
        </w:rPr>
      </w:pPr>
      <w:r w:rsidRPr="008E63BB">
        <w:rPr>
          <w:lang w:val="pt-BR"/>
        </w:rPr>
        <w:t>- Khu công viên tri thức tại Khu đô thị dịch vụ phía Tây Bắc (khu vực xã Mỹ Thắng, Mỹ Tiến huyện Mỹ Lộc), quy mô khoảng 30ha;</w:t>
      </w:r>
    </w:p>
    <w:p w14:paraId="519B3444" w14:textId="77777777" w:rsidR="009671CF" w:rsidRPr="008E63BB" w:rsidRDefault="009671CF" w:rsidP="00F8156E">
      <w:pPr>
        <w:spacing w:before="40"/>
        <w:ind w:firstLine="720"/>
        <w:rPr>
          <w:szCs w:val="26"/>
          <w:lang w:val="pt-BR"/>
        </w:rPr>
      </w:pPr>
      <w:r w:rsidRPr="008E63BB">
        <w:rPr>
          <w:szCs w:val="26"/>
          <w:lang w:val="pt-BR"/>
        </w:rPr>
        <w:t>- Tại vị trí cầu treo cũ nam sông Đào, đề xuất xây dựng 01 khu công viên vui chơi giải trí, quảng trường, vườn hoa và công trình biểu tượng có tầm nhìn khi đứng bên đô thị hiện hữu.</w:t>
      </w:r>
    </w:p>
    <w:p w14:paraId="519B3445" w14:textId="72F90901" w:rsidR="00F53F66" w:rsidRPr="008E63BB" w:rsidRDefault="009671CF" w:rsidP="00F8156E">
      <w:pPr>
        <w:spacing w:before="40"/>
        <w:ind w:firstLine="720"/>
        <w:rPr>
          <w:szCs w:val="26"/>
          <w:lang w:val="pt-BR"/>
        </w:rPr>
      </w:pPr>
      <w:r w:rsidRPr="008E63BB">
        <w:rPr>
          <w:szCs w:val="26"/>
          <w:lang w:val="pt-BR"/>
        </w:rPr>
        <w:t>- Khu công viên văn hóa thể thao Nam sông Đào tại khu vực xã Nam Vân, quy mô khoảng 30ha</w:t>
      </w:r>
      <w:r w:rsidR="00F53F66" w:rsidRPr="008E63BB">
        <w:rPr>
          <w:szCs w:val="26"/>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5B7147" w:rsidRPr="008E63BB" w14:paraId="519B3447" w14:textId="77777777" w:rsidTr="005B7147">
        <w:tc>
          <w:tcPr>
            <w:tcW w:w="9498" w:type="dxa"/>
          </w:tcPr>
          <w:p w14:paraId="519B3446" w14:textId="77777777" w:rsidR="005B7147" w:rsidRPr="008E63BB" w:rsidRDefault="005B7147" w:rsidP="005B7147">
            <w:pPr>
              <w:jc w:val="center"/>
              <w:rPr>
                <w:lang w:val="pt-BR"/>
              </w:rPr>
            </w:pPr>
            <w:r w:rsidRPr="008E63BB">
              <w:rPr>
                <w:noProof/>
                <w:lang w:eastAsia="zh-CN"/>
              </w:rPr>
              <w:drawing>
                <wp:inline distT="0" distB="0" distL="0" distR="0" wp14:anchorId="519B5241" wp14:editId="519B5242">
                  <wp:extent cx="4838700" cy="3609975"/>
                  <wp:effectExtent l="0" t="0" r="0" b="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3. Sơ đồ  định hướng cây xanh- mặt nước.jpg"/>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4838700" cy="3609975"/>
                          </a:xfrm>
                          <a:prstGeom prst="rect">
                            <a:avLst/>
                          </a:prstGeom>
                          <a:ln>
                            <a:noFill/>
                          </a:ln>
                          <a:extLst>
                            <a:ext uri="{53640926-AAD7-44D8-BBD7-CCE9431645EC}">
                              <a14:shadowObscured xmlns:a14="http://schemas.microsoft.com/office/drawing/2010/main"/>
                            </a:ext>
                          </a:extLst>
                        </pic:spPr>
                      </pic:pic>
                    </a:graphicData>
                  </a:graphic>
                </wp:inline>
              </w:drawing>
            </w:r>
          </w:p>
        </w:tc>
      </w:tr>
      <w:tr w:rsidR="005B7147" w:rsidRPr="008E63BB" w14:paraId="519B3449" w14:textId="77777777" w:rsidTr="005B7147">
        <w:tc>
          <w:tcPr>
            <w:tcW w:w="9498" w:type="dxa"/>
          </w:tcPr>
          <w:p w14:paraId="519B3448" w14:textId="77777777" w:rsidR="005B7147" w:rsidRPr="008E63BB" w:rsidRDefault="005B7147" w:rsidP="005B7147">
            <w:pPr>
              <w:jc w:val="center"/>
              <w:rPr>
                <w:i/>
                <w:lang w:val="pt-BR"/>
              </w:rPr>
            </w:pPr>
            <w:r w:rsidRPr="008E63BB">
              <w:rPr>
                <w:i/>
                <w:lang w:val="pt-BR"/>
              </w:rPr>
              <w:t>Sơ đồ hệ thống công viên cây xanh, TDTT, mặt nước</w:t>
            </w:r>
          </w:p>
        </w:tc>
      </w:tr>
    </w:tbl>
    <w:p w14:paraId="519B344A" w14:textId="77777777" w:rsidR="00F53F66" w:rsidRPr="008E63BB" w:rsidRDefault="00F53F66" w:rsidP="00F53F66">
      <w:pPr>
        <w:pStyle w:val="Heading3"/>
      </w:pPr>
      <w:bookmarkStart w:id="383" w:name="_Toc21955371"/>
      <w:bookmarkStart w:id="384" w:name="_Toc47524702"/>
      <w:r w:rsidRPr="008E63BB">
        <w:t>5.</w:t>
      </w:r>
      <w:r w:rsidR="00F9056A" w:rsidRPr="008E63BB">
        <w:t>4</w:t>
      </w:r>
      <w:r w:rsidRPr="008E63BB">
        <w:t>.5. Các khu vực di tích</w:t>
      </w:r>
      <w:bookmarkEnd w:id="383"/>
      <w:bookmarkEnd w:id="384"/>
    </w:p>
    <w:p w14:paraId="519B344B" w14:textId="77777777" w:rsidR="00F53F66" w:rsidRPr="008E63BB" w:rsidRDefault="00F53F66" w:rsidP="00F53F66">
      <w:pPr>
        <w:ind w:firstLine="720"/>
        <w:rPr>
          <w:lang w:val="pt-BR"/>
        </w:rPr>
      </w:pPr>
      <w:r w:rsidRPr="008E63BB">
        <w:rPr>
          <w:lang w:val="pt-BR"/>
        </w:rPr>
        <w:t xml:space="preserve">Bảo tồn các di tích lịch sử - văn hóa cũng như các khu vực có giá trị về kiến trúc cảnh quan, đặc biệt là các khu vực như: Khu di tích lịch sử Đền Trần – Chùa Tháp, khu vực cột cờ, khu vực nhà thờ lớn, nhà thờ Khoái Đồng. Giải pháp bảo tồn, tôn tạo và khai thác di sản cần được nghiên cứu và đề xuất phù hợp với từng công trình, khu vực cụ thể. Thiết lập các khu vực bảo vệ di tích trên nguyên tắc bảo tồn giá trị lịch sử, kiến trúc công trình, bảo tồn các yếu tố cảnh quan phong thủy, bảo vệ các di tích khỏi các tác </w:t>
      </w:r>
      <w:r w:rsidRPr="008E63BB">
        <w:rPr>
          <w:lang w:val="pt-BR"/>
        </w:rPr>
        <w:lastRenderedPageBreak/>
        <w:t>động của quá trình phát triển đô thị, Bảo tồn cảnh quan hài hòa với môi trường kiến trúc (các giá trị văn hóa, làng xã, ruộng đất) và môi trường tự nhiên.</w:t>
      </w:r>
    </w:p>
    <w:p w14:paraId="519B344C" w14:textId="078DE7AE" w:rsidR="00F53F66" w:rsidRPr="008E63BB" w:rsidRDefault="00F53F66" w:rsidP="00F53F66">
      <w:pPr>
        <w:ind w:firstLine="720"/>
        <w:rPr>
          <w:szCs w:val="26"/>
          <w:lang w:val="pt-BR"/>
        </w:rPr>
      </w:pPr>
      <w:r w:rsidRPr="008E63BB">
        <w:rPr>
          <w:i/>
          <w:szCs w:val="26"/>
          <w:lang w:val="pt-BR"/>
        </w:rPr>
        <w:t>Đối với Khu di tích văn hóa Trần:</w:t>
      </w:r>
      <w:r w:rsidRPr="008E63BB">
        <w:rPr>
          <w:szCs w:val="26"/>
          <w:lang w:val="pt-BR"/>
        </w:rPr>
        <w:t xml:space="preserve"> Thực hiện bảo tồn, tôn  tạo và phát huy giá trị khu di tích theo </w:t>
      </w:r>
      <w:r w:rsidRPr="008E63BB">
        <w:rPr>
          <w:spacing w:val="-10"/>
          <w:szCs w:val="26"/>
          <w:lang w:val="sv-SE"/>
        </w:rPr>
        <w:t>Quyết định số 252/2005/QĐ-TTg</w:t>
      </w:r>
      <w:r w:rsidRPr="008E63BB">
        <w:rPr>
          <w:spacing w:val="-10"/>
          <w:szCs w:val="26"/>
          <w:lang w:val="pt-BR"/>
        </w:rPr>
        <w:t xml:space="preserve"> ngày 12/10/2005 của Thủ tướng Chính phủ về việc phê duyệt quy hoạch </w:t>
      </w:r>
      <w:r w:rsidRPr="008E63BB">
        <w:rPr>
          <w:szCs w:val="26"/>
          <w:lang w:val="pt-BR"/>
        </w:rPr>
        <w:t>tổng thể bảo tồn tôn tạo và phát huy giá trị của khu di tích lịch sử văn hóa nhà Trần tại Nam Định. Tổng thể khu di tích gồm Vùng bảo tồn đặc biệt có diện tích 669ha và Vùng bảo tồn riêng biệt có diện tích 1.315ha.</w:t>
      </w:r>
      <w:r w:rsidR="00CF6DD8" w:rsidRPr="008E63BB">
        <w:rPr>
          <w:szCs w:val="26"/>
          <w:lang w:val="pt-BR"/>
        </w:rPr>
        <w:t xml:space="preserve"> </w:t>
      </w:r>
      <w:r w:rsidRPr="008E63BB">
        <w:rPr>
          <w:spacing w:val="-10"/>
          <w:szCs w:val="26"/>
          <w:lang w:val="pt-BR"/>
        </w:rPr>
        <w:t>Khu vực trung tâm của không gian bảo tồn và phát huy giá trị của khu di tích lịch sử văn hóa nhà Trần sẽ được xây dựng theo “Điều chỉnh quy hoạch chi tiết khu trung tâm lễ hội, thuộc khu di tích lịch sử văn hóa nhà Trần – Nam Định, tỷ lệ 1/500”. Đây là khu trung tâm phục vụ các hoạt động lễ hội, du lịch, dịch vụ, sinh hoạt văn hóa cộng đồng và là điểm nhấn về không gian kiến trúc cảnh quan của toàn khu di tích. Không gian kiến trúc cảnh quan của toàn khu vực được quy hoạch phối trí theo hệ văn hóa truyền thống với các công trình điểm nhấn gồm: Đền Trần, Chùa Tháp, Sân lễ và khu vực lối vào Khu di tích từ QL10. Hệ thống không gian mở được hình thành trong mối quan hệ hữu cơ của toàn bộ các hạng mục công trình tạo nên một khống gian kiến trúc cảnh quan có giá trị cao về văn hóa, lịch sử và sinh thái bền vững.</w:t>
      </w:r>
    </w:p>
    <w:p w14:paraId="519B344D" w14:textId="69FDB162" w:rsidR="00F53F66" w:rsidRPr="008E63BB" w:rsidRDefault="00F53F66" w:rsidP="00F53F66">
      <w:pPr>
        <w:ind w:firstLine="720"/>
        <w:rPr>
          <w:spacing w:val="-10"/>
          <w:szCs w:val="26"/>
          <w:lang w:val="pt-BR"/>
        </w:rPr>
      </w:pPr>
      <w:r w:rsidRPr="008E63BB">
        <w:rPr>
          <w:i/>
          <w:szCs w:val="26"/>
          <w:lang w:val="vi-VN"/>
        </w:rPr>
        <w:t>Đối với khu vực di tích Đền Bảo Lộc:</w:t>
      </w:r>
      <w:r w:rsidR="00CF6DD8" w:rsidRPr="008E63BB">
        <w:rPr>
          <w:i/>
          <w:szCs w:val="26"/>
        </w:rPr>
        <w:t xml:space="preserve"> </w:t>
      </w:r>
      <w:r w:rsidRPr="008E63BB">
        <w:rPr>
          <w:spacing w:val="-10"/>
          <w:szCs w:val="26"/>
          <w:lang w:val="pt-BR"/>
        </w:rPr>
        <w:t>Đây là di tích có lịch sử lâu đời, trên mảnh đất lịch sử, có nhiều gắn bó với gia đình và thuở thiếu thời của Trần Hưng Đạo. Công trình có giá trị đặc sắc về hình thái và cấu trúc quy hoạch, tổ chức không gian,  có một quy mô khá tốt, kích thước cao rộng. Toàn bộ khu di tích được thiết kế đăng đối, hài hòa, không gian thoáng đãng tạo cảm giác thanh thoát lòng người về lễ thánh. Đền Bảo Lộc cùng với đền Trần, chùa Tháp tạo thành một quần thể kiến trúc vừa có giá trị lịch sử cao, đồng thời lại là những điểm du lịch hấp dẫn, thu hút khách trong và ngoài nước. Đền Bảo Lộc cùng với Đền Lựu Phố là hai trong 3 di tích nằm trong Dự án đầu tư xây dựng “Khu trung tâm lễ hội thuộc Khu di tích lịch sử - văn hóa thời Trần tại Nam Định” năm 2019. Định hướng: khoanh vùng bảo vệ, cải tạo, nâng cấp hệ thống đường giao thông, cảnh quan môi trường, khuôn viên khu di tích thu hút khách du lịch.</w:t>
      </w:r>
    </w:p>
    <w:p w14:paraId="519B344E" w14:textId="77777777" w:rsidR="009671CF" w:rsidRPr="008E63BB" w:rsidRDefault="009671CF" w:rsidP="009671CF">
      <w:pPr>
        <w:ind w:firstLine="720"/>
        <w:rPr>
          <w:spacing w:val="-10"/>
          <w:szCs w:val="26"/>
          <w:lang w:val="pt-BR"/>
        </w:rPr>
      </w:pPr>
      <w:r w:rsidRPr="008E63BB">
        <w:rPr>
          <w:i/>
          <w:iCs/>
          <w:spacing w:val="-10"/>
          <w:szCs w:val="26"/>
          <w:lang w:val="pt-BR"/>
        </w:rPr>
        <w:t>Đối với di tích thành cổ Nam Định:</w:t>
      </w:r>
      <w:r w:rsidRPr="008E63BB">
        <w:rPr>
          <w:spacing w:val="-10"/>
          <w:szCs w:val="26"/>
          <w:lang w:val="pt-BR"/>
        </w:rPr>
        <w:t xml:space="preserve"> Thành cổ Nam Định đang đứng trước nguy cở trở thành “phế tích”, cần xây dựng kế hoạch nghiên cứu, khảo sát, nhằm đánh giá đúng thực trạng các di tích, trên cơ sở đó lập quy hoạch tổng thể bảo tồn và tôn tạo đối với di tích một cách khoa học. </w:t>
      </w:r>
    </w:p>
    <w:p w14:paraId="519B344F" w14:textId="77777777" w:rsidR="009671CF" w:rsidRPr="008E63BB" w:rsidRDefault="009671CF" w:rsidP="009671CF">
      <w:pPr>
        <w:ind w:firstLine="720"/>
        <w:rPr>
          <w:szCs w:val="26"/>
          <w:lang w:val="vi-VN"/>
        </w:rPr>
      </w:pPr>
      <w:r w:rsidRPr="008E63BB">
        <w:rPr>
          <w:i/>
          <w:iCs/>
          <w:szCs w:val="26"/>
          <w:lang w:val="pt-BR"/>
        </w:rPr>
        <w:t xml:space="preserve">Đối với khu phố cổ - phố Pháp – phố cũ: </w:t>
      </w:r>
      <w:r w:rsidRPr="008E63BB">
        <w:rPr>
          <w:szCs w:val="26"/>
          <w:lang w:val="pt-BR"/>
        </w:rPr>
        <w:t>R</w:t>
      </w:r>
      <w:r w:rsidRPr="008E63BB">
        <w:rPr>
          <w:szCs w:val="26"/>
          <w:lang w:val="vi-VN"/>
        </w:rPr>
        <w:t>à soát, đánh giá các công trình kiến trúc cổ và kiến trúc Pháp thuộc địa có giá trị còn lại. Nghiên cứu Dùng vốn ngân sách hoặc kêu gọi các nguồn tài trợ mua lại các công trình đó để bảo tồn và chuyển đổi thành công trình phúc lợi công cộng hoặc dịch vụ du lịch;  Kêu gọi, khuyến khích và có chính sách ưu đãi, hỗ trợ để chủ sử dụng bảo tồn, nâng cấp các công trình này, đảm bảo đạt được sự đồng thuận của chủ sử dụng và đồng thời vẫn sử dụng các công trình này cho các chức năng phù hợp, đảm bảo đời sống của chủ sử dụng, góp phần nâng cao giá trị di sản chung của toàn thành phố.</w:t>
      </w:r>
    </w:p>
    <w:p w14:paraId="519B3450" w14:textId="77777777" w:rsidR="00F53F66" w:rsidRPr="008E63BB" w:rsidRDefault="009671CF" w:rsidP="009671CF">
      <w:pPr>
        <w:ind w:firstLine="720"/>
        <w:rPr>
          <w:szCs w:val="26"/>
          <w:lang w:val="vi-VN"/>
        </w:rPr>
      </w:pPr>
      <w:r w:rsidRPr="008E63BB">
        <w:rPr>
          <w:i/>
          <w:iCs/>
          <w:szCs w:val="26"/>
          <w:lang w:val="vi-VN"/>
        </w:rPr>
        <w:t>Đối với khu nhà máy dệt:</w:t>
      </w:r>
      <w:r w:rsidRPr="008E63BB">
        <w:rPr>
          <w:szCs w:val="26"/>
          <w:lang w:val="vi-VN"/>
        </w:rPr>
        <w:t xml:space="preserve"> Giữ lại một số chi tiết mang dấu ấn lịch sử của khu vực trong thời kỳ là trung tâm công nghiệp dệt (Cây bàng lịch sử - nơi ghi dấu phong trào đấu tranh của công nhân nhà máy, bảo tàng dệt may nơi có khu nhà truyền thống mà Bác Hồ từng nghỉ ngơi khi ba lần về thăm…)</w:t>
      </w:r>
    </w:p>
    <w:p w14:paraId="519B3451" w14:textId="448AFF20" w:rsidR="005B7147" w:rsidRPr="008E63BB" w:rsidRDefault="009671CF" w:rsidP="009671CF">
      <w:pPr>
        <w:ind w:firstLine="720"/>
        <w:rPr>
          <w:szCs w:val="26"/>
          <w:lang w:val="vi-VN"/>
        </w:rPr>
      </w:pPr>
      <w:r w:rsidRPr="008E63BB">
        <w:rPr>
          <w:i/>
          <w:szCs w:val="26"/>
          <w:lang w:val="vi-VN"/>
        </w:rPr>
        <w:t>Đối với các điểm di tích lịch sử văn hoá khác</w:t>
      </w:r>
      <w:r w:rsidRPr="008E63BB">
        <w:rPr>
          <w:szCs w:val="26"/>
          <w:lang w:val="vi-VN"/>
        </w:rPr>
        <w:t>: Bảo tồn và hạn chế xây dựng trong khu vực như các di tích: Đền Cao Đài thờ Thượng tướng Thái sư Trần Quang Khải (Mỹ Thành, Mỹ Lộc), Đền Sùng Văn (Mỹ Thuận, Mỹ Lộc), Đền Cây Quế (Mỹ Tân, Mỹ Lộc), đình Hát (xã Hồng Quang, huyện Nam Trực)... Trên cơ sở hiện trạng các điểm di tích, các khu vực khảo cổ, các công trình này không được thay đổi vị trí cảnh quan, chỉ được nghiên cứu mở rộng quy mô nhỏ, nhằm từng bước cải tạo cảnh quan, môi trường và bảo vệ di tích.</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5B7147" w:rsidRPr="008E63BB" w14:paraId="519B3453" w14:textId="77777777" w:rsidTr="005B7147">
        <w:trPr>
          <w:jc w:val="center"/>
        </w:trPr>
        <w:tc>
          <w:tcPr>
            <w:tcW w:w="9498" w:type="dxa"/>
          </w:tcPr>
          <w:p w14:paraId="519B3452" w14:textId="77777777" w:rsidR="005B7147" w:rsidRPr="008E63BB" w:rsidRDefault="005B7147" w:rsidP="009671CF">
            <w:pPr>
              <w:rPr>
                <w:szCs w:val="26"/>
                <w:lang w:val="vi-VN"/>
              </w:rPr>
            </w:pPr>
            <w:r w:rsidRPr="008E63BB">
              <w:rPr>
                <w:noProof/>
                <w:szCs w:val="26"/>
                <w:lang w:eastAsia="zh-CN"/>
              </w:rPr>
              <w:lastRenderedPageBreak/>
              <w:drawing>
                <wp:inline distT="0" distB="0" distL="0" distR="0" wp14:anchorId="519B5243" wp14:editId="519B5244">
                  <wp:extent cx="5438775" cy="3551853"/>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Sơ đồ dtls.jpg"/>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5439937" cy="3552612"/>
                          </a:xfrm>
                          <a:prstGeom prst="rect">
                            <a:avLst/>
                          </a:prstGeom>
                          <a:ln>
                            <a:noFill/>
                          </a:ln>
                          <a:extLst>
                            <a:ext uri="{53640926-AAD7-44D8-BBD7-CCE9431645EC}">
                              <a14:shadowObscured xmlns:a14="http://schemas.microsoft.com/office/drawing/2010/main"/>
                            </a:ext>
                          </a:extLst>
                        </pic:spPr>
                      </pic:pic>
                    </a:graphicData>
                  </a:graphic>
                </wp:inline>
              </w:drawing>
            </w:r>
          </w:p>
        </w:tc>
      </w:tr>
      <w:tr w:rsidR="005B7147" w:rsidRPr="008E63BB" w14:paraId="519B3455" w14:textId="77777777" w:rsidTr="005B7147">
        <w:trPr>
          <w:jc w:val="center"/>
        </w:trPr>
        <w:tc>
          <w:tcPr>
            <w:tcW w:w="9498" w:type="dxa"/>
          </w:tcPr>
          <w:p w14:paraId="519B3454" w14:textId="77777777" w:rsidR="005B7147" w:rsidRPr="008E63BB" w:rsidRDefault="005B7147" w:rsidP="005B7147">
            <w:pPr>
              <w:jc w:val="center"/>
              <w:rPr>
                <w:i/>
                <w:szCs w:val="26"/>
              </w:rPr>
            </w:pPr>
            <w:r w:rsidRPr="008E63BB">
              <w:rPr>
                <w:i/>
                <w:szCs w:val="26"/>
              </w:rPr>
              <w:t>Sơ đồ hệ thống các công trình di tích</w:t>
            </w:r>
          </w:p>
        </w:tc>
      </w:tr>
    </w:tbl>
    <w:p w14:paraId="519B3456" w14:textId="77777777" w:rsidR="009671CF" w:rsidRPr="008E63BB" w:rsidRDefault="009671CF" w:rsidP="009671CF">
      <w:pPr>
        <w:ind w:firstLine="720"/>
        <w:rPr>
          <w:rFonts w:ascii="Verdana" w:hAnsi="Verdana"/>
          <w:sz w:val="22"/>
          <w:shd w:val="clear" w:color="auto" w:fill="FFFFFF"/>
        </w:rPr>
      </w:pPr>
      <w:r w:rsidRPr="008E63BB">
        <w:rPr>
          <w:szCs w:val="26"/>
          <w:lang w:val="vi-VN"/>
        </w:rPr>
        <w:t xml:space="preserve"> </w:t>
      </w:r>
      <w:r w:rsidRPr="008E63BB">
        <w:rPr>
          <w:rFonts w:ascii="Verdana" w:hAnsi="Verdana"/>
          <w:sz w:val="22"/>
          <w:shd w:val="clear" w:color="auto" w:fill="FFFFFF"/>
          <w:lang w:val="vi-VN"/>
        </w:rPr>
        <w:t> </w:t>
      </w:r>
    </w:p>
    <w:p w14:paraId="519B3457" w14:textId="77777777" w:rsidR="005A31EB" w:rsidRPr="008E63BB" w:rsidRDefault="005A31EB" w:rsidP="005A31EB">
      <w:pPr>
        <w:pStyle w:val="Heading3"/>
      </w:pPr>
      <w:bookmarkStart w:id="385" w:name="_Toc47524703"/>
      <w:r w:rsidRPr="008E63BB">
        <w:t>5.4.6. Khu vực ven sông:</w:t>
      </w:r>
      <w:bookmarkEnd w:id="385"/>
    </w:p>
    <w:p w14:paraId="519B3458" w14:textId="77777777" w:rsidR="005A31EB" w:rsidRPr="008E63BB" w:rsidRDefault="005A31EB" w:rsidP="005A31EB">
      <w:pPr>
        <w:spacing w:before="40"/>
        <w:ind w:firstLine="720"/>
        <w:rPr>
          <w:lang w:val="pt-BR"/>
        </w:rPr>
      </w:pPr>
      <w:r w:rsidRPr="008E63BB">
        <w:rPr>
          <w:lang w:val="pt-BR"/>
        </w:rPr>
        <w:t xml:space="preserve">Đối với khu vực ven sông Đào là không gian quan trọng của </w:t>
      </w:r>
      <w:r w:rsidR="00440153" w:rsidRPr="008E63BB">
        <w:rPr>
          <w:lang w:val="pt-BR"/>
        </w:rPr>
        <w:t xml:space="preserve">thành phố </w:t>
      </w:r>
      <w:r w:rsidR="00AA498D" w:rsidRPr="008E63BB">
        <w:rPr>
          <w:lang w:val="pt-BR"/>
        </w:rPr>
        <w:t>trong tương lai, định hướng tạo nên một nét đặc trưng cho đô thị hai bên sông được kết nối bởi không gian này, định hướng chủ đạo như sau:</w:t>
      </w:r>
    </w:p>
    <w:p w14:paraId="519B3459" w14:textId="77777777" w:rsidR="00AA498D" w:rsidRPr="008E63BB" w:rsidRDefault="00AA498D" w:rsidP="005A31EB">
      <w:pPr>
        <w:spacing w:before="40"/>
        <w:ind w:firstLine="720"/>
        <w:rPr>
          <w:lang w:val="pt-BR"/>
        </w:rPr>
      </w:pPr>
      <w:r w:rsidRPr="008E63BB">
        <w:rPr>
          <w:lang w:val="pt-BR"/>
        </w:rPr>
        <w:t>- Bảo vệ hành lang thoát lũ sông Đào và sông Hồng cùng hệ thống đề điều đã được định hướng theo quyết định số 257/QĐ-TTg ngày 18/2/2016 của Thủ tướng Chính phủ về phê duyệt Quy hoạch phòng chống lũ và quy hoạch đê điều hệ thống sông Hồng, sông Thái Bình.</w:t>
      </w:r>
    </w:p>
    <w:p w14:paraId="519B345A" w14:textId="77777777" w:rsidR="00AA498D" w:rsidRPr="008E63BB" w:rsidRDefault="00AA498D" w:rsidP="005A31EB">
      <w:pPr>
        <w:spacing w:before="40"/>
        <w:ind w:firstLine="720"/>
        <w:rPr>
          <w:lang w:val="pt-BR"/>
        </w:rPr>
      </w:pPr>
      <w:r w:rsidRPr="008E63BB">
        <w:rPr>
          <w:lang w:val="pt-BR"/>
        </w:rPr>
        <w:t>- Khuyến khích di rời các công trình hiện hữu để dành quỹ đất cho cây xanh cảnh quan và các công trình dịch vụ công cộng cho thành phố.</w:t>
      </w:r>
    </w:p>
    <w:p w14:paraId="519B345B" w14:textId="77777777" w:rsidR="00AA498D" w:rsidRPr="008E63BB" w:rsidRDefault="00AA498D" w:rsidP="005A31EB">
      <w:pPr>
        <w:spacing w:before="40"/>
        <w:ind w:firstLine="720"/>
        <w:rPr>
          <w:lang w:val="pt-BR"/>
        </w:rPr>
      </w:pPr>
      <w:r w:rsidRPr="008E63BB">
        <w:rPr>
          <w:lang w:val="pt-BR"/>
        </w:rPr>
        <w:t xml:space="preserve">- Các công trình hiện hữu mà không vi phạm các quy định của Quy hoạch phòng chống lũ và quy hoạch đê điều hệ thống sông Hồng, sông Thái Bình thì sẽ </w:t>
      </w:r>
      <w:r w:rsidR="00D01D36" w:rsidRPr="008E63BB">
        <w:rPr>
          <w:lang w:val="pt-BR"/>
        </w:rPr>
        <w:t>được cải tạo, xây dựng mới công trình, nhà ở theo quy hoạch xây dựng, quy hoạch sử dụng đất; được sử dụng thêm một phần bãi sông để bố trí mặt bằng tái định cư cho các hộ dân cư nằm rải rác gần khu vực, với diện tích không vượt quá 5% diện tích khu dân cư hiện có.</w:t>
      </w:r>
    </w:p>
    <w:p w14:paraId="519B345C" w14:textId="77777777" w:rsidR="00D01D36" w:rsidRPr="008E63BB" w:rsidRDefault="00D01D36" w:rsidP="005A31EB">
      <w:pPr>
        <w:spacing w:before="40"/>
        <w:ind w:firstLine="720"/>
        <w:rPr>
          <w:lang w:val="pt-BR"/>
        </w:rPr>
      </w:pPr>
      <w:r w:rsidRPr="008E63BB">
        <w:rPr>
          <w:lang w:val="pt-BR"/>
        </w:rPr>
        <w:t>- Dành tối đa các quỹ đất ven sông không nằm trong phạm vi bảo vệ đề điều và hành lang thoát lũ để tạo ra đô thị dịch vụ ven sông và điểm nhấn cho đô thị.</w:t>
      </w:r>
    </w:p>
    <w:p w14:paraId="519B345D" w14:textId="77777777" w:rsidR="00F53F66" w:rsidRPr="008E63BB" w:rsidRDefault="00F53F66" w:rsidP="00F53F66">
      <w:pPr>
        <w:pStyle w:val="Heading3"/>
      </w:pPr>
      <w:bookmarkStart w:id="386" w:name="_Toc21955372"/>
      <w:bookmarkStart w:id="387" w:name="_Toc47524704"/>
      <w:r w:rsidRPr="008E63BB">
        <w:t>5.</w:t>
      </w:r>
      <w:r w:rsidR="00F9056A" w:rsidRPr="008E63BB">
        <w:t>4</w:t>
      </w:r>
      <w:r w:rsidRPr="008E63BB">
        <w:t>.</w:t>
      </w:r>
      <w:r w:rsidR="005A31EB" w:rsidRPr="008E63BB">
        <w:t>7</w:t>
      </w:r>
      <w:r w:rsidRPr="008E63BB">
        <w:t>. Khu vực dân cư nông thôn và phát triển nông nghiệp</w:t>
      </w:r>
      <w:bookmarkEnd w:id="386"/>
      <w:bookmarkEnd w:id="387"/>
    </w:p>
    <w:p w14:paraId="519B345E" w14:textId="77777777" w:rsidR="00F53F66" w:rsidRPr="008E63BB" w:rsidRDefault="00F53F66" w:rsidP="00F53F66">
      <w:pPr>
        <w:ind w:firstLine="720"/>
        <w:rPr>
          <w:lang w:val="pt-BR"/>
        </w:rPr>
      </w:pPr>
      <w:r w:rsidRPr="008E63BB">
        <w:rPr>
          <w:lang w:val="pt-BR"/>
        </w:rPr>
        <w:t>Các khu vực dân cư làng xóm hiện hữu, cần tuân thủ các định hướng lớn của đô thị và triển khai theo quy hoạch nông thôn mới. Dựa vào điều kiện tự nhiên cần bảo tồn tôn tạo các cấu trúc làng xóm hiện hữu có giá trị, nâng cấp hệ thống hạ tầng kỹ thuật, đấu nối với hạ tầng khung của đô thị và khu vực. Phát huy hiệu quả các quỹ đất nông nghiệp.</w:t>
      </w:r>
    </w:p>
    <w:p w14:paraId="519B345F" w14:textId="77777777" w:rsidR="009671CF" w:rsidRPr="008E63BB" w:rsidRDefault="009671CF" w:rsidP="00F53F66">
      <w:pPr>
        <w:ind w:firstLine="720"/>
        <w:rPr>
          <w:lang w:val="vi-VN"/>
        </w:rPr>
      </w:pPr>
      <w:r w:rsidRPr="008E63BB">
        <w:rPr>
          <w:lang w:val="vi-VN"/>
        </w:rPr>
        <w:t xml:space="preserve">Cần đảm bảo duy trì các quỹ đất nông nghiệp đã được xác định giữ lại canh tác và đảm bảo thủy lợi, thoát nước, ổn định sản xuất trong quá trình đô thị hóa. Một số quỹ đất nông nghiệp đan xen giữa các cụm dân cư đã được quy hoạch có thể tiếp tục canh tác </w:t>
      </w:r>
      <w:r w:rsidRPr="008E63BB">
        <w:rPr>
          <w:lang w:val="vi-VN"/>
        </w:rPr>
        <w:lastRenderedPageBreak/>
        <w:t>hoặc chuyển đổi chức năng khi có nhu cầu, trong đó cần ưu tiên tổ chức đường giao thông kết hợp thoát nước, sân chơi công cộng.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8C4068" w:rsidRPr="008E63BB" w14:paraId="519B3461" w14:textId="77777777" w:rsidTr="008C4068">
        <w:tc>
          <w:tcPr>
            <w:tcW w:w="9498" w:type="dxa"/>
          </w:tcPr>
          <w:p w14:paraId="519B3460" w14:textId="77777777" w:rsidR="008C4068" w:rsidRPr="008E63BB" w:rsidRDefault="008C4068" w:rsidP="008C4068">
            <w:pPr>
              <w:jc w:val="center"/>
              <w:rPr>
                <w:lang w:val="vi-VN"/>
              </w:rPr>
            </w:pPr>
            <w:r w:rsidRPr="008E63BB">
              <w:rPr>
                <w:noProof/>
                <w:lang w:eastAsia="zh-CN"/>
              </w:rPr>
              <w:drawing>
                <wp:inline distT="0" distB="0" distL="0" distR="0" wp14:anchorId="519B5245" wp14:editId="519B5246">
                  <wp:extent cx="4772025" cy="3590925"/>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4.Sơ đồ  làng xóm và nông nghiệp.jpg"/>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4772025" cy="3590925"/>
                          </a:xfrm>
                          <a:prstGeom prst="rect">
                            <a:avLst/>
                          </a:prstGeom>
                          <a:ln>
                            <a:noFill/>
                          </a:ln>
                          <a:extLst>
                            <a:ext uri="{53640926-AAD7-44D8-BBD7-CCE9431645EC}">
                              <a14:shadowObscured xmlns:a14="http://schemas.microsoft.com/office/drawing/2010/main"/>
                            </a:ext>
                          </a:extLst>
                        </pic:spPr>
                      </pic:pic>
                    </a:graphicData>
                  </a:graphic>
                </wp:inline>
              </w:drawing>
            </w:r>
          </w:p>
        </w:tc>
      </w:tr>
      <w:tr w:rsidR="008C4068" w:rsidRPr="008E63BB" w14:paraId="519B3463" w14:textId="77777777" w:rsidTr="008C4068">
        <w:tc>
          <w:tcPr>
            <w:tcW w:w="9498" w:type="dxa"/>
          </w:tcPr>
          <w:p w14:paraId="519B3462" w14:textId="77777777" w:rsidR="008C4068" w:rsidRPr="008E63BB" w:rsidRDefault="008C4068" w:rsidP="008C4068">
            <w:pPr>
              <w:jc w:val="center"/>
              <w:rPr>
                <w:i/>
              </w:rPr>
            </w:pPr>
            <w:r w:rsidRPr="008E63BB">
              <w:rPr>
                <w:i/>
              </w:rPr>
              <w:t>Sơ đồ quy hoạch khu vực dân cư nông thôn và phát triển nông nghiệp</w:t>
            </w:r>
          </w:p>
        </w:tc>
      </w:tr>
    </w:tbl>
    <w:p w14:paraId="519B3464" w14:textId="77777777" w:rsidR="00CF0411" w:rsidRPr="008E63BB" w:rsidRDefault="00CF0411" w:rsidP="008C4068">
      <w:pPr>
        <w:pStyle w:val="Heading2"/>
        <w:spacing w:before="120" w:after="0"/>
        <w:rPr>
          <w:kern w:val="32"/>
          <w:lang w:val="vi-VN"/>
        </w:rPr>
      </w:pPr>
      <w:bookmarkStart w:id="388" w:name="_Toc47524705"/>
      <w:r w:rsidRPr="008E63BB">
        <w:rPr>
          <w:kern w:val="32"/>
          <w:lang w:val="vi-VN"/>
        </w:rPr>
        <w:t>5.</w:t>
      </w:r>
      <w:r w:rsidR="00F9056A" w:rsidRPr="008E63BB">
        <w:rPr>
          <w:kern w:val="32"/>
          <w:lang w:val="vi-VN"/>
        </w:rPr>
        <w:t>5</w:t>
      </w:r>
      <w:r w:rsidRPr="008E63BB">
        <w:rPr>
          <w:kern w:val="32"/>
          <w:lang w:val="vi-VN"/>
        </w:rPr>
        <w:t>. Định hướng quy hoạch các khu vực phát triển</w:t>
      </w:r>
      <w:bookmarkStart w:id="389" w:name="_Toc341519072"/>
      <w:bookmarkStart w:id="390" w:name="_Toc341519173"/>
      <w:bookmarkStart w:id="391" w:name="_Toc344928484"/>
      <w:bookmarkStart w:id="392" w:name="_Toc345538392"/>
      <w:bookmarkEnd w:id="388"/>
    </w:p>
    <w:p w14:paraId="519B3465" w14:textId="77777777" w:rsidR="00007712" w:rsidRPr="008E63BB" w:rsidRDefault="00007712" w:rsidP="0065184D">
      <w:pPr>
        <w:pStyle w:val="Heading3"/>
        <w:rPr>
          <w:lang w:val="vi-VN"/>
        </w:rPr>
      </w:pPr>
      <w:bookmarkStart w:id="393" w:name="_Toc21955364"/>
      <w:bookmarkStart w:id="394" w:name="_Toc47524706"/>
      <w:bookmarkEnd w:id="389"/>
      <w:bookmarkEnd w:id="390"/>
      <w:bookmarkEnd w:id="391"/>
      <w:bookmarkEnd w:id="392"/>
      <w:r w:rsidRPr="008E63BB">
        <w:rPr>
          <w:lang w:val="vi-VN"/>
        </w:rPr>
        <w:t>5</w:t>
      </w:r>
      <w:r w:rsidR="007D5896" w:rsidRPr="008E63BB">
        <w:rPr>
          <w:lang w:val="vi-VN"/>
        </w:rPr>
        <w:t>.</w:t>
      </w:r>
      <w:r w:rsidR="00F9056A" w:rsidRPr="008E63BB">
        <w:rPr>
          <w:lang w:val="en-US"/>
        </w:rPr>
        <w:t>5</w:t>
      </w:r>
      <w:r w:rsidR="007D5896" w:rsidRPr="008E63BB">
        <w:rPr>
          <w:lang w:val="vi-VN"/>
        </w:rPr>
        <w:t>.1. C</w:t>
      </w:r>
      <w:r w:rsidRPr="008E63BB">
        <w:rPr>
          <w:lang w:val="vi-VN"/>
        </w:rPr>
        <w:t xml:space="preserve">ác </w:t>
      </w:r>
      <w:r w:rsidR="00E86B36" w:rsidRPr="008E63BB">
        <w:rPr>
          <w:kern w:val="32"/>
          <w:lang w:val="vi-VN"/>
        </w:rPr>
        <w:t>khu vực phát triển</w:t>
      </w:r>
      <w:bookmarkEnd w:id="393"/>
      <w:bookmarkEnd w:id="394"/>
    </w:p>
    <w:p w14:paraId="519B3466" w14:textId="77777777" w:rsidR="007D5896" w:rsidRPr="008E63BB" w:rsidRDefault="007D5896" w:rsidP="0065184D">
      <w:pPr>
        <w:rPr>
          <w:szCs w:val="26"/>
          <w:lang w:val="pt-BR"/>
        </w:rPr>
      </w:pPr>
      <w:r w:rsidRPr="008E63BB">
        <w:rPr>
          <w:szCs w:val="26"/>
          <w:lang w:val="pt-BR"/>
        </w:rPr>
        <w:t>Trên cơ sở về địa hình, cảnh quan tự nhiên, hiện trạng phát triển kinh tế xã hội, giao thông và các dự án đã và đang hình thành, nghiên cứu đề xuất 8 khu vực phát triển chính cho thành phố Nam Định mở rộng như sau:</w:t>
      </w:r>
    </w:p>
    <w:p w14:paraId="519B3467" w14:textId="77777777" w:rsidR="007D5896" w:rsidRPr="008E63BB" w:rsidRDefault="007D5896" w:rsidP="0065184D">
      <w:pPr>
        <w:rPr>
          <w:szCs w:val="26"/>
          <w:lang w:val="pt-BR"/>
        </w:rPr>
      </w:pPr>
      <w:r w:rsidRPr="008E63BB">
        <w:rPr>
          <w:szCs w:val="26"/>
          <w:lang w:val="pt-BR"/>
        </w:rPr>
        <w:tab/>
        <w:t>- Khu số 1: Khu trung tâm đô thị hiện hữu.</w:t>
      </w:r>
    </w:p>
    <w:p w14:paraId="519B3468" w14:textId="77777777" w:rsidR="007D5896" w:rsidRPr="008E63BB" w:rsidRDefault="007D5896" w:rsidP="0065184D">
      <w:pPr>
        <w:rPr>
          <w:szCs w:val="26"/>
          <w:lang w:val="pt-BR"/>
        </w:rPr>
      </w:pPr>
      <w:r w:rsidRPr="008E63BB">
        <w:rPr>
          <w:szCs w:val="26"/>
          <w:lang w:val="pt-BR"/>
        </w:rPr>
        <w:tab/>
        <w:t>- Khu số 2: Khu vực phát triển đan xen phía Nam vành đai 1 (QL10)</w:t>
      </w:r>
    </w:p>
    <w:p w14:paraId="519B3469" w14:textId="77777777" w:rsidR="007D5896" w:rsidRPr="008E63BB" w:rsidRDefault="007D5896" w:rsidP="0065184D">
      <w:pPr>
        <w:rPr>
          <w:szCs w:val="26"/>
          <w:lang w:val="pt-BR"/>
        </w:rPr>
      </w:pPr>
      <w:r w:rsidRPr="008E63BB">
        <w:rPr>
          <w:szCs w:val="26"/>
          <w:lang w:val="pt-BR"/>
        </w:rPr>
        <w:tab/>
        <w:t xml:space="preserve">- Khu số 3: Khu đô thị </w:t>
      </w:r>
      <w:r w:rsidR="00404494" w:rsidRPr="008E63BB">
        <w:rPr>
          <w:szCs w:val="26"/>
          <w:lang w:val="pt-BR"/>
        </w:rPr>
        <w:t>dịch vụ, thương mại</w:t>
      </w:r>
      <w:r w:rsidRPr="008E63BB">
        <w:rPr>
          <w:szCs w:val="26"/>
          <w:lang w:val="pt-BR"/>
        </w:rPr>
        <w:t xml:space="preserve"> phía Tây Bắc thành phố</w:t>
      </w:r>
    </w:p>
    <w:p w14:paraId="519B346A" w14:textId="77777777" w:rsidR="007D5896" w:rsidRPr="008E63BB" w:rsidRDefault="007D5896" w:rsidP="0065184D">
      <w:pPr>
        <w:rPr>
          <w:szCs w:val="26"/>
          <w:lang w:val="pt-BR"/>
        </w:rPr>
      </w:pPr>
      <w:r w:rsidRPr="008E63BB">
        <w:rPr>
          <w:szCs w:val="26"/>
          <w:lang w:val="pt-BR"/>
        </w:rPr>
        <w:tab/>
        <w:t>- Khu số 4: Khu Trung tâm cửa ngõ phía Tây đườ</w:t>
      </w:r>
      <w:r w:rsidR="00404494" w:rsidRPr="008E63BB">
        <w:rPr>
          <w:szCs w:val="26"/>
          <w:lang w:val="pt-BR"/>
        </w:rPr>
        <w:t>ng vành đai 1</w:t>
      </w:r>
    </w:p>
    <w:p w14:paraId="519B346B" w14:textId="77777777" w:rsidR="007D5896" w:rsidRPr="008E63BB" w:rsidRDefault="007D5896" w:rsidP="0065184D">
      <w:pPr>
        <w:rPr>
          <w:szCs w:val="26"/>
          <w:lang w:val="pt-BR"/>
        </w:rPr>
      </w:pPr>
      <w:r w:rsidRPr="008E63BB">
        <w:rPr>
          <w:szCs w:val="26"/>
          <w:lang w:val="pt-BR"/>
        </w:rPr>
        <w:tab/>
        <w:t>- Khu số 5: Khu đô thị mới Nam Sông Đào.</w:t>
      </w:r>
    </w:p>
    <w:p w14:paraId="519B346C" w14:textId="77777777" w:rsidR="007D5896" w:rsidRPr="008E63BB" w:rsidRDefault="007D5896" w:rsidP="0065184D">
      <w:pPr>
        <w:rPr>
          <w:szCs w:val="26"/>
          <w:lang w:val="pt-BR"/>
        </w:rPr>
      </w:pPr>
      <w:r w:rsidRPr="008E63BB">
        <w:rPr>
          <w:szCs w:val="26"/>
          <w:lang w:val="pt-BR"/>
        </w:rPr>
        <w:tab/>
      </w:r>
      <w:r w:rsidR="00A2594B" w:rsidRPr="008E63BB">
        <w:rPr>
          <w:szCs w:val="26"/>
          <w:lang w:val="pt-BR"/>
        </w:rPr>
        <w:t>- Khu số 6: Khu Công nghiệp, dịch vụ, dân cư phía Tây thành phố.</w:t>
      </w:r>
    </w:p>
    <w:p w14:paraId="519B346D" w14:textId="77777777" w:rsidR="007D5896" w:rsidRPr="008E63BB" w:rsidRDefault="007D5896" w:rsidP="0065184D">
      <w:pPr>
        <w:rPr>
          <w:szCs w:val="26"/>
          <w:lang w:val="pt-BR"/>
        </w:rPr>
      </w:pPr>
      <w:r w:rsidRPr="008E63BB">
        <w:rPr>
          <w:szCs w:val="26"/>
          <w:lang w:val="pt-BR"/>
        </w:rPr>
        <w:tab/>
        <w:t>- Khu số 7: Khu làng xóm hiện hữu gắn với nông nghiệp sinh thái, thể dục thể thao phía Nam sông Vĩnh Giang.</w:t>
      </w:r>
    </w:p>
    <w:p w14:paraId="519B346E" w14:textId="77777777" w:rsidR="00007712" w:rsidRPr="008E63BB" w:rsidRDefault="007D5896" w:rsidP="0065184D">
      <w:pPr>
        <w:rPr>
          <w:szCs w:val="26"/>
          <w:lang w:val="pt-BR"/>
        </w:rPr>
      </w:pPr>
      <w:r w:rsidRPr="008E63BB">
        <w:rPr>
          <w:szCs w:val="26"/>
          <w:lang w:val="pt-BR"/>
        </w:rPr>
        <w:tab/>
        <w:t>- Khu số 8: Khu làng xóm hiện hữu gắn với nông nghiệp sinh thái phía Nam thành phố</w:t>
      </w:r>
    </w:p>
    <w:tbl>
      <w:tblPr>
        <w:tblW w:w="0" w:type="auto"/>
        <w:tblLook w:val="04A0" w:firstRow="1" w:lastRow="0" w:firstColumn="1" w:lastColumn="0" w:noHBand="0" w:noVBand="1"/>
      </w:tblPr>
      <w:tblGrid>
        <w:gridCol w:w="9498"/>
      </w:tblGrid>
      <w:tr w:rsidR="008D5BFE" w:rsidRPr="008E63BB" w14:paraId="519B3470" w14:textId="77777777" w:rsidTr="005A3242">
        <w:tc>
          <w:tcPr>
            <w:tcW w:w="9502" w:type="dxa"/>
          </w:tcPr>
          <w:p w14:paraId="519B346F" w14:textId="77777777" w:rsidR="005A3242" w:rsidRPr="008E63BB" w:rsidRDefault="003E3237" w:rsidP="0065184D">
            <w:pPr>
              <w:rPr>
                <w:szCs w:val="26"/>
                <w:lang w:val="pt-BR"/>
              </w:rPr>
            </w:pPr>
            <w:r w:rsidRPr="008E63BB">
              <w:rPr>
                <w:noProof/>
                <w:szCs w:val="26"/>
                <w:lang w:eastAsia="zh-CN"/>
              </w:rPr>
              <w:lastRenderedPageBreak/>
              <w:drawing>
                <wp:inline distT="0" distB="0" distL="0" distR="0" wp14:anchorId="519B5247" wp14:editId="21033111">
                  <wp:extent cx="5364956" cy="3794780"/>
                  <wp:effectExtent l="0" t="0" r="7620" b="0"/>
                  <wp:docPr id="7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364956" cy="3794780"/>
                          </a:xfrm>
                          <a:prstGeom prst="rect">
                            <a:avLst/>
                          </a:prstGeom>
                        </pic:spPr>
                      </pic:pic>
                    </a:graphicData>
                  </a:graphic>
                </wp:inline>
              </w:drawing>
            </w:r>
          </w:p>
        </w:tc>
      </w:tr>
    </w:tbl>
    <w:p w14:paraId="519B3471" w14:textId="77777777" w:rsidR="005A3242" w:rsidRPr="008E63BB" w:rsidRDefault="005A3242" w:rsidP="0065184D">
      <w:pPr>
        <w:jc w:val="center"/>
        <w:rPr>
          <w:i/>
          <w:szCs w:val="26"/>
          <w:lang w:val="pt-BR"/>
        </w:rPr>
      </w:pPr>
      <w:r w:rsidRPr="008E63BB">
        <w:rPr>
          <w:i/>
          <w:szCs w:val="26"/>
          <w:lang w:val="pt-BR"/>
        </w:rPr>
        <w:t>Sơ đồ phân vùng các khu vực phát triển</w:t>
      </w:r>
    </w:p>
    <w:p w14:paraId="519B3472" w14:textId="77777777" w:rsidR="00CD7C76" w:rsidRPr="008E63BB" w:rsidRDefault="00007712" w:rsidP="0065184D">
      <w:pPr>
        <w:pStyle w:val="Heading3"/>
        <w:rPr>
          <w:lang w:val="vi-VN"/>
        </w:rPr>
      </w:pPr>
      <w:bookmarkStart w:id="395" w:name="_Toc21955365"/>
      <w:bookmarkStart w:id="396" w:name="_Toc47524707"/>
      <w:r w:rsidRPr="008E63BB">
        <w:rPr>
          <w:lang w:val="vi-VN"/>
        </w:rPr>
        <w:t>5.</w:t>
      </w:r>
      <w:r w:rsidR="00F9056A" w:rsidRPr="008E63BB">
        <w:t>5</w:t>
      </w:r>
      <w:r w:rsidRPr="008E63BB">
        <w:rPr>
          <w:lang w:val="vi-VN"/>
        </w:rPr>
        <w:t>.2. Định hướng quy hoạch các khu vực phát triển đô thị:</w:t>
      </w:r>
      <w:bookmarkEnd w:id="395"/>
      <w:bookmarkEnd w:id="396"/>
    </w:p>
    <w:p w14:paraId="519B3473" w14:textId="77777777" w:rsidR="007D5896" w:rsidRPr="008E63BB" w:rsidRDefault="0016427A" w:rsidP="0065184D">
      <w:pPr>
        <w:rPr>
          <w:b/>
          <w:i/>
          <w:szCs w:val="26"/>
          <w:lang w:val="vi-VN"/>
        </w:rPr>
      </w:pPr>
      <w:r w:rsidRPr="008E63BB">
        <w:rPr>
          <w:b/>
          <w:i/>
          <w:szCs w:val="26"/>
          <w:lang w:val="vi-VN"/>
        </w:rPr>
        <w:t>Khu số 1:</w:t>
      </w:r>
      <w:r w:rsidR="007D5896" w:rsidRPr="008E63BB">
        <w:rPr>
          <w:b/>
          <w:i/>
          <w:szCs w:val="26"/>
          <w:lang w:val="vi-VN"/>
        </w:rPr>
        <w:t xml:space="preserve"> Khu trung tâm đô thị hiện hữu:</w:t>
      </w:r>
    </w:p>
    <w:p w14:paraId="519B3474" w14:textId="1A8D2546" w:rsidR="00CB4EAD" w:rsidRPr="008E63BB" w:rsidRDefault="00CB4EAD" w:rsidP="0065184D">
      <w:pPr>
        <w:rPr>
          <w:szCs w:val="26"/>
          <w:lang w:val="vi-VN"/>
        </w:rPr>
      </w:pPr>
      <w:r w:rsidRPr="008E63BB">
        <w:rPr>
          <w:szCs w:val="26"/>
          <w:lang w:val="vi-VN"/>
        </w:rPr>
        <w:t xml:space="preserve">* Quy mô: </w:t>
      </w:r>
      <w:r w:rsidR="006726E8" w:rsidRPr="008E63BB">
        <w:rPr>
          <w:szCs w:val="26"/>
        </w:rPr>
        <w:t>494</w:t>
      </w:r>
      <w:r w:rsidRPr="008E63BB">
        <w:rPr>
          <w:szCs w:val="26"/>
          <w:lang w:val="vi-VN"/>
        </w:rPr>
        <w:t>ha</w:t>
      </w:r>
      <w:r w:rsidR="000A7071" w:rsidRPr="008E63BB">
        <w:rPr>
          <w:szCs w:val="26"/>
          <w:lang w:val="vi-VN"/>
        </w:rPr>
        <w:t>, chiếm 2,</w:t>
      </w:r>
      <w:r w:rsidR="00747410" w:rsidRPr="008E63BB">
        <w:rPr>
          <w:szCs w:val="26"/>
          <w:lang w:val="vi-VN"/>
        </w:rPr>
        <w:t>6</w:t>
      </w:r>
      <w:r w:rsidR="000A7071" w:rsidRPr="008E63BB">
        <w:rPr>
          <w:szCs w:val="26"/>
          <w:lang w:val="vi-VN"/>
        </w:rPr>
        <w:t>%.</w:t>
      </w:r>
      <w:r w:rsidR="00CF6DD8" w:rsidRPr="008E63BB">
        <w:rPr>
          <w:szCs w:val="26"/>
        </w:rPr>
        <w:t xml:space="preserve"> </w:t>
      </w:r>
      <w:r w:rsidR="0064332C" w:rsidRPr="008E63BB">
        <w:rPr>
          <w:szCs w:val="26"/>
          <w:lang w:val="vi-VN"/>
        </w:rPr>
        <w:t xml:space="preserve">Dân số đến năm 2030 khoảng </w:t>
      </w:r>
      <w:r w:rsidR="002E3707" w:rsidRPr="008E63BB">
        <w:rPr>
          <w:szCs w:val="26"/>
          <w:lang w:val="vi-VN"/>
        </w:rPr>
        <w:t>85.750</w:t>
      </w:r>
      <w:r w:rsidR="0064332C" w:rsidRPr="008E63BB">
        <w:rPr>
          <w:szCs w:val="26"/>
          <w:lang w:val="vi-VN"/>
        </w:rPr>
        <w:t xml:space="preserve"> người, đến năm 2040 khoảng </w:t>
      </w:r>
      <w:r w:rsidR="002E3707" w:rsidRPr="008E63BB">
        <w:rPr>
          <w:szCs w:val="26"/>
          <w:lang w:val="vi-VN"/>
        </w:rPr>
        <w:t>92.630</w:t>
      </w:r>
      <w:r w:rsidR="0064332C" w:rsidRPr="008E63BB">
        <w:rPr>
          <w:szCs w:val="26"/>
          <w:lang w:val="vi-VN"/>
        </w:rPr>
        <w:t xml:space="preserve"> người</w:t>
      </w:r>
      <w:r w:rsidR="00834762" w:rsidRPr="008E63BB">
        <w:rPr>
          <w:szCs w:val="26"/>
          <w:lang w:val="vi-VN"/>
        </w:rPr>
        <w:t>.</w:t>
      </w:r>
    </w:p>
    <w:p w14:paraId="519B3475" w14:textId="33DBAC52" w:rsidR="007D5896" w:rsidRPr="008E63BB" w:rsidRDefault="007D5896" w:rsidP="0065184D">
      <w:pPr>
        <w:rPr>
          <w:szCs w:val="26"/>
          <w:lang w:val="pt-BR"/>
        </w:rPr>
      </w:pPr>
      <w:r w:rsidRPr="008E63BB">
        <w:rPr>
          <w:szCs w:val="26"/>
          <w:lang w:val="pt-BR"/>
        </w:rPr>
        <w:t>*</w:t>
      </w:r>
      <w:r w:rsidR="00534D34" w:rsidRPr="008E63BB">
        <w:rPr>
          <w:szCs w:val="26"/>
          <w:lang w:val="pt-BR"/>
        </w:rPr>
        <w:t xml:space="preserve"> </w:t>
      </w:r>
      <w:r w:rsidRPr="008E63BB">
        <w:rPr>
          <w:szCs w:val="26"/>
          <w:lang w:val="pt-BR"/>
        </w:rPr>
        <w:t xml:space="preserve">Chức năng: Là khu vực trung tâm đô thị hiện hữu, </w:t>
      </w:r>
      <w:r w:rsidR="0016427A" w:rsidRPr="008E63BB">
        <w:rPr>
          <w:szCs w:val="26"/>
          <w:lang w:val="pt-BR"/>
        </w:rPr>
        <w:t>trung tâm hành chính, kinh tế, văn hóa, giáo dục cấp tỉnh</w:t>
      </w:r>
      <w:r w:rsidRPr="008E63BB">
        <w:rPr>
          <w:szCs w:val="26"/>
          <w:lang w:val="pt-BR"/>
        </w:rPr>
        <w:t>, các không gian văn hóa tâm linh, đô thị lịch sử với các hoạt động thương mại dịch vụ truyền thống mật độ cao, có nét đặc trưng của đô thị pháp.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477" w14:textId="77777777" w:rsidTr="00DF211A">
        <w:tc>
          <w:tcPr>
            <w:tcW w:w="9276" w:type="dxa"/>
          </w:tcPr>
          <w:p w14:paraId="519B3476" w14:textId="77777777" w:rsidR="00DF211A" w:rsidRPr="008E63BB" w:rsidRDefault="00E805AE" w:rsidP="0065184D">
            <w:pPr>
              <w:jc w:val="center"/>
              <w:rPr>
                <w:szCs w:val="26"/>
                <w:lang w:val="pt-BR"/>
              </w:rPr>
            </w:pPr>
            <w:r w:rsidRPr="008E63BB">
              <w:rPr>
                <w:noProof/>
                <w:lang w:eastAsia="zh-CN"/>
              </w:rPr>
              <w:drawing>
                <wp:inline distT="0" distB="0" distL="0" distR="0" wp14:anchorId="519B5249" wp14:editId="67F90DAF">
                  <wp:extent cx="3362486" cy="3129182"/>
                  <wp:effectExtent l="0" t="0" r="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362486" cy="3129182"/>
                          </a:xfrm>
                          <a:prstGeom prst="rect">
                            <a:avLst/>
                          </a:prstGeom>
                        </pic:spPr>
                      </pic:pic>
                    </a:graphicData>
                  </a:graphic>
                </wp:inline>
              </w:drawing>
            </w:r>
          </w:p>
        </w:tc>
      </w:tr>
    </w:tbl>
    <w:p w14:paraId="682272D5" w14:textId="77777777" w:rsidR="00534D34" w:rsidRPr="008E63BB" w:rsidRDefault="00534D34" w:rsidP="0065184D">
      <w:pPr>
        <w:rPr>
          <w:b/>
          <w:i/>
          <w:szCs w:val="26"/>
          <w:lang w:val="pt-BR"/>
        </w:rPr>
      </w:pPr>
    </w:p>
    <w:p w14:paraId="5F1CC565" w14:textId="77777777" w:rsidR="00534D34" w:rsidRPr="008E63BB" w:rsidRDefault="00534D34">
      <w:pPr>
        <w:jc w:val="left"/>
        <w:rPr>
          <w:b/>
          <w:i/>
          <w:szCs w:val="26"/>
          <w:lang w:val="pt-BR"/>
        </w:rPr>
      </w:pPr>
      <w:r w:rsidRPr="008E63BB">
        <w:rPr>
          <w:b/>
          <w:i/>
          <w:szCs w:val="26"/>
          <w:lang w:val="pt-BR"/>
        </w:rPr>
        <w:br w:type="page"/>
      </w:r>
    </w:p>
    <w:p w14:paraId="519B3478" w14:textId="0C9C3152" w:rsidR="007D5896" w:rsidRPr="008E63BB" w:rsidRDefault="007D5896" w:rsidP="0065184D">
      <w:pPr>
        <w:rPr>
          <w:b/>
          <w:i/>
          <w:szCs w:val="26"/>
          <w:lang w:val="pt-BR"/>
        </w:rPr>
      </w:pPr>
      <w:r w:rsidRPr="008E63BB">
        <w:rPr>
          <w:b/>
          <w:i/>
          <w:szCs w:val="26"/>
          <w:lang w:val="pt-BR"/>
        </w:rPr>
        <w:lastRenderedPageBreak/>
        <w:t>Định hướng chính:</w:t>
      </w:r>
    </w:p>
    <w:p w14:paraId="519B3479" w14:textId="77777777" w:rsidR="007D5896" w:rsidRPr="008E63BB" w:rsidRDefault="007D5896" w:rsidP="0065184D">
      <w:pPr>
        <w:rPr>
          <w:szCs w:val="26"/>
          <w:lang w:val="pt-BR"/>
        </w:rPr>
      </w:pPr>
      <w:r w:rsidRPr="008E63BB">
        <w:rPr>
          <w:szCs w:val="26"/>
          <w:lang w:val="pt-BR"/>
        </w:rPr>
        <w:tab/>
        <w:t>Trong khu vực được phân định các khu chức năng tương đối rõ nét với các định hướng sau:</w:t>
      </w:r>
    </w:p>
    <w:p w14:paraId="519B347A" w14:textId="77777777" w:rsidR="007D5896" w:rsidRPr="008E63BB" w:rsidRDefault="007D5896" w:rsidP="0065184D">
      <w:pPr>
        <w:rPr>
          <w:i/>
          <w:szCs w:val="26"/>
          <w:lang w:val="pt-BR"/>
        </w:rPr>
      </w:pPr>
      <w:r w:rsidRPr="008E63BB">
        <w:rPr>
          <w:i/>
          <w:szCs w:val="26"/>
          <w:lang w:val="pt-BR"/>
        </w:rPr>
        <w:t>- Khu trung tâm đô thị mới tại khu vực nhà máy dệt, nhà máy dệt lụa cũ;</w:t>
      </w:r>
    </w:p>
    <w:p w14:paraId="519B347B" w14:textId="77777777" w:rsidR="007D5896" w:rsidRPr="008E63BB" w:rsidRDefault="007D5896" w:rsidP="0065184D">
      <w:pPr>
        <w:rPr>
          <w:szCs w:val="26"/>
          <w:lang w:val="pt-BR"/>
        </w:rPr>
      </w:pPr>
      <w:r w:rsidRPr="008E63BB">
        <w:rPr>
          <w:szCs w:val="26"/>
          <w:lang w:val="pt-BR"/>
        </w:rPr>
        <w:tab/>
        <w:t>Tổ chức tại đây một khu trung tâm mới ngay trong trung tâm đô thị, khai thác được giá trị rất lớn của quỹ đất này với dạng tổ hợp công trình nhà ở thương mại phố kết hợp không gian công cộng, công viên cả</w:t>
      </w:r>
      <w:r w:rsidR="00DB5160" w:rsidRPr="008E63BB">
        <w:rPr>
          <w:szCs w:val="26"/>
          <w:lang w:val="pt-BR"/>
        </w:rPr>
        <w:t>nh quan, là</w:t>
      </w:r>
      <w:r w:rsidRPr="008E63BB">
        <w:rPr>
          <w:szCs w:val="26"/>
          <w:lang w:val="pt-BR"/>
        </w:rPr>
        <w:t xml:space="preserve"> một trung tâm phát triển mới trong khu đô thị cũ; Giữ lại một số chi tiết mang dấu ấn lịch sử của khu vực trong thời kỳ là trung tâm công nghiệp dệt</w:t>
      </w:r>
      <w:r w:rsidR="00A2594B" w:rsidRPr="008E63BB">
        <w:rPr>
          <w:szCs w:val="26"/>
          <w:lang w:val="pt-BR"/>
        </w:rPr>
        <w:t xml:space="preserve"> bằng việc bố trí tổ chức không gian tái hiện hoạt động sản xuất ngành dệt trong khu vực quảng trường của khu đô thị, tại các không gian công viên cây xanh tạo các phù điêu mô tả các hoạt động của khu dệt may hiện hữu, thiết kế các tượng đài tại các góc phố, đảo giao thông có hình ảnh thể hiện gợi mở về ngành dệt truyền thống.</w:t>
      </w:r>
      <w:r w:rsidRPr="008E63BB">
        <w:rPr>
          <w:szCs w:val="26"/>
          <w:lang w:val="pt-BR"/>
        </w:rPr>
        <w:t xml:space="preserve"> Chức năng sử dụng đa dạng, ưu tiên cho hoạt động thương mại phố.</w:t>
      </w:r>
    </w:p>
    <w:p w14:paraId="519B347C" w14:textId="77777777" w:rsidR="007D5896" w:rsidRPr="008E63BB" w:rsidRDefault="007D5896" w:rsidP="0065184D">
      <w:pPr>
        <w:rPr>
          <w:i/>
          <w:szCs w:val="26"/>
          <w:lang w:val="pt-BR"/>
        </w:rPr>
      </w:pPr>
      <w:r w:rsidRPr="008E63BB">
        <w:rPr>
          <w:i/>
          <w:szCs w:val="26"/>
          <w:lang w:val="pt-BR"/>
        </w:rPr>
        <w:t xml:space="preserve">- Khu phố cổ - phố Pháp trong trung tâm: </w:t>
      </w:r>
    </w:p>
    <w:p w14:paraId="519B347D" w14:textId="77777777" w:rsidR="007D5896" w:rsidRPr="008E63BB" w:rsidRDefault="007D5896" w:rsidP="0065184D">
      <w:pPr>
        <w:rPr>
          <w:szCs w:val="26"/>
          <w:lang w:val="pt-BR"/>
        </w:rPr>
      </w:pPr>
      <w:r w:rsidRPr="008E63BB">
        <w:rPr>
          <w:szCs w:val="26"/>
          <w:lang w:val="pt-BR"/>
        </w:rPr>
        <w:tab/>
        <w:t>Có kế hoạch và đưa vào chương trình thực hiện việc đánh giá và bảo tồn tôn tạo các công trình kiến trúc cổ và kiến trúc Pháp thuộc địa có giá trị. Có thể nghiên cứu khảo cổ khu vực thành cổ Nam Định để có thể khôi phục và làm mới các không gian này để đưa vào trong chuỗi tham quan du lịch lịch sử phát triển củ</w:t>
      </w:r>
      <w:r w:rsidR="00DB5160" w:rsidRPr="008E63BB">
        <w:rPr>
          <w:szCs w:val="26"/>
          <w:lang w:val="pt-BR"/>
        </w:rPr>
        <w:t>a thành</w:t>
      </w:r>
      <w:r w:rsidRPr="008E63BB">
        <w:rPr>
          <w:szCs w:val="26"/>
          <w:lang w:val="pt-BR"/>
        </w:rPr>
        <w:t xml:space="preserve"> phố Nam Định.</w:t>
      </w:r>
    </w:p>
    <w:p w14:paraId="519B347E" w14:textId="77777777" w:rsidR="007D5896" w:rsidRPr="008E63BB" w:rsidRDefault="007D5896" w:rsidP="0065184D">
      <w:pPr>
        <w:rPr>
          <w:szCs w:val="26"/>
          <w:lang w:val="pt-BR"/>
        </w:rPr>
      </w:pPr>
      <w:r w:rsidRPr="008E63BB">
        <w:rPr>
          <w:szCs w:val="26"/>
          <w:lang w:val="pt-BR"/>
        </w:rPr>
        <w:tab/>
        <w:t>Trong Khu phố Cổ: tập trung việc cải tạo chỉnh trang không gian</w:t>
      </w:r>
      <w:r w:rsidR="00DB5160" w:rsidRPr="008E63BB">
        <w:rPr>
          <w:szCs w:val="26"/>
          <w:lang w:val="pt-BR"/>
        </w:rPr>
        <w:t xml:space="preserve"> và tiện ích</w:t>
      </w:r>
      <w:r w:rsidRPr="008E63BB">
        <w:rPr>
          <w:szCs w:val="26"/>
          <w:lang w:val="pt-BR"/>
        </w:rPr>
        <w:t xml:space="preserve"> đường phố</w:t>
      </w:r>
      <w:r w:rsidR="00DB5160" w:rsidRPr="008E63BB">
        <w:rPr>
          <w:szCs w:val="26"/>
          <w:lang w:val="pt-BR"/>
        </w:rPr>
        <w:t xml:space="preserve">. Khuyến khích hình thành các tuyến phố đi bộ hoặc không gian đi bộ </w:t>
      </w:r>
      <w:r w:rsidR="00DC48B6" w:rsidRPr="008E63BB">
        <w:rPr>
          <w:szCs w:val="26"/>
          <w:lang w:val="pt-BR"/>
        </w:rPr>
        <w:t xml:space="preserve">an toàn </w:t>
      </w:r>
      <w:r w:rsidR="00DB5160" w:rsidRPr="008E63BB">
        <w:rPr>
          <w:szCs w:val="26"/>
          <w:lang w:val="pt-BR"/>
        </w:rPr>
        <w:t>kết nối với không gian mở ven sông Đào và hệ thống không gian công cộng khác của đô thị. X</w:t>
      </w:r>
      <w:r w:rsidRPr="008E63BB">
        <w:rPr>
          <w:szCs w:val="26"/>
          <w:lang w:val="pt-BR"/>
        </w:rPr>
        <w:t>em xét tính khả thi mở rộng một số tuyến đường nhằm khuyến khích các không gian kinh doanh và đi bộ trên vỉa hè, tạo được không khí hoạt động thương mại ấm áp truyền thống, đảm bảo an toàn, hạn chế xe cơ giới hoạt động trong khu vực, tổ chức giao thông công cộng trong đô thị cũ với hình thức xe điện loại trung bình vừa giảm thiểu tác động đến không khi, môi trường vừa làm giảm áp lực giao thông và ùn tắc trong giờ cao điểm. Tổ chức thêm các bãi đỗ xe công cộng, bãi đỗ xe ngầm trong các công viên cây xanh, chú trọng giải pháp xây dựng bãi đỗ xe nhiều tầng.</w:t>
      </w:r>
    </w:p>
    <w:p w14:paraId="519B347F" w14:textId="77777777" w:rsidR="007D5896" w:rsidRPr="008E63BB" w:rsidRDefault="007D5896" w:rsidP="0065184D">
      <w:pPr>
        <w:rPr>
          <w:szCs w:val="26"/>
          <w:lang w:val="pt-BR"/>
        </w:rPr>
      </w:pPr>
      <w:r w:rsidRPr="008E63BB">
        <w:rPr>
          <w:szCs w:val="26"/>
          <w:lang w:val="pt-BR"/>
        </w:rPr>
        <w:tab/>
        <w:t>Đối với những khu đất chuyển đổi chức năng từ đất công cộng đô thị, cơ quan,... cần ưu tiên thực hiện các dự án hạ tầng đô thị, công trình dịch vụ công cộng, công viên cây xanh để tránh tác động lớn đến việc gây áp lực lớn đến giao thông đô thị. Cụ thể, đối với các khu vực không thiếu công trình công cộng, hoặc có thể bổ sung công trình công cộng trong bán kính phù hợp, thì có thể chuyển đổi sang các chức năng kinh doanh dịch vụ</w:t>
      </w:r>
      <w:r w:rsidR="00DB5160" w:rsidRPr="008E63BB">
        <w:rPr>
          <w:szCs w:val="26"/>
          <w:lang w:val="pt-BR"/>
        </w:rPr>
        <w:t>.</w:t>
      </w:r>
    </w:p>
    <w:p w14:paraId="519B3480" w14:textId="77777777" w:rsidR="007D5896" w:rsidRPr="008E63BB" w:rsidRDefault="007D5896" w:rsidP="0065184D">
      <w:pPr>
        <w:rPr>
          <w:szCs w:val="26"/>
          <w:lang w:val="pt-BR"/>
        </w:rPr>
      </w:pPr>
      <w:r w:rsidRPr="008E63BB">
        <w:rPr>
          <w:szCs w:val="26"/>
          <w:lang w:val="pt-BR"/>
        </w:rPr>
        <w:tab/>
        <w:t>Đối với các khu vực không có giá trị bảo tồn công trình kiến trúc, khống chế chiều cao xây dựng không quá 9 tầng đối với các tuyến đường chính và không quá 6 tầng đối với các tuyến đường còn lại, bảo vệ tỷ lệ và ấn tượng thân thiện của đô thị.</w:t>
      </w:r>
      <w:r w:rsidR="00DB5160" w:rsidRPr="008E63BB">
        <w:rPr>
          <w:szCs w:val="26"/>
          <w:lang w:val="pt-BR"/>
        </w:rPr>
        <w:t xml:space="preserve"> Trường hợp đặc biệt để tạo điểm nhấn và thu hút đầu tư có thể xem xét một số điểm </w:t>
      </w:r>
      <w:r w:rsidR="00537A9C" w:rsidRPr="008E63BB">
        <w:rPr>
          <w:szCs w:val="26"/>
          <w:lang w:val="pt-BR"/>
        </w:rPr>
        <w:t xml:space="preserve">có tầng cao hơn nhưng phải có luận cứ và tính toán khoa học về chức năng và khả năng chất tải lên hạ tầng đô thị để lựa chọn tầng cao và mật độ xây dựng phù hợp đảm bảo tiêu chuẩn, quy chuẩn hiện hành. </w:t>
      </w:r>
    </w:p>
    <w:p w14:paraId="519B3481" w14:textId="77777777" w:rsidR="007D5896" w:rsidRPr="008E63BB" w:rsidRDefault="007D5896" w:rsidP="0065184D">
      <w:pPr>
        <w:tabs>
          <w:tab w:val="num" w:pos="720"/>
        </w:tabs>
        <w:rPr>
          <w:szCs w:val="26"/>
          <w:lang w:val="pt-BR"/>
        </w:rPr>
      </w:pPr>
      <w:r w:rsidRPr="008E63BB">
        <w:rPr>
          <w:szCs w:val="26"/>
          <w:lang w:val="pt-BR"/>
        </w:rPr>
        <w:tab/>
        <w:t xml:space="preserve">Kết nối và cải tạo các điểm có nguy cơ ách tắc giao thông. Khu vực trung tâm (phố cổ, phố cũ) hiện có mật độ lớn, khó khăn trong việc giải tỏa mặt bằng, do đó cần tôn trọng hiện trạng, hạn chế mở mới, mở rộng đường như các tuyến: (1): Đường Phạm Ngũ Lão kéo dài, (2): Đường Trần Nhân Tông kéo dài, (3) Đường Lê Hồng Phong, (4) Đường Lương Thế Vinh, (5) Ngõ 418 Điện Biên, (6): Đường Trần Tế Xương kéo dài. Một số nút giao thông tiềm ẩn ùn tắc giao thông cần được điều chỉnh và có giải pháp cụ </w:t>
      </w:r>
      <w:r w:rsidRPr="008E63BB">
        <w:rPr>
          <w:szCs w:val="26"/>
          <w:lang w:val="pt-BR"/>
        </w:rPr>
        <w:lastRenderedPageBreak/>
        <w:t xml:space="preserve">thể: (1): nút Trần Hưng Đạo – Trường Chinh, (2): nút Lê Hồng Phong – Hoàng Văn Thụ, (3): nút Văn Cao - Giải Phóng, (4): nút Trần Huy Liệu - Giải Phóng. </w:t>
      </w:r>
    </w:p>
    <w:p w14:paraId="519B3482" w14:textId="77777777" w:rsidR="007D5896" w:rsidRPr="008E63BB" w:rsidRDefault="007D5896" w:rsidP="0065184D">
      <w:pPr>
        <w:tabs>
          <w:tab w:val="num" w:pos="720"/>
        </w:tabs>
        <w:rPr>
          <w:szCs w:val="26"/>
          <w:lang w:val="pt-BR"/>
        </w:rPr>
      </w:pPr>
      <w:r w:rsidRPr="008E63BB">
        <w:rPr>
          <w:szCs w:val="26"/>
          <w:lang w:val="pt-BR"/>
        </w:rPr>
        <w:tab/>
        <w:t>Cải tạo không gian các công viên cây xanh trong đô thị, khuyến khích trồng cây xanh mật độ cao, tạo các không gian hoạt động cộng đồng hấp dẫn, tạo các trục không gian mở hướng vào các công viên hồ nước, kiểm soát các hình thức công trình kiến trúc xung quanh công viên. Đối với công viên hồ Vị Xuyên: thực hiện sân lát bê tông đục lỗ kết hợp trồng cỏ, thuận lợi cho giao lưu công cộng, biến khu vực này thành hồ trung tâm của khu phố Pháp, kề cận phố</w:t>
      </w:r>
      <w:r w:rsidR="00A2594B" w:rsidRPr="008E63BB">
        <w:rPr>
          <w:szCs w:val="26"/>
          <w:lang w:val="pt-BR"/>
        </w:rPr>
        <w:t xml:space="preserve"> cũ</w:t>
      </w:r>
      <w:r w:rsidRPr="008E63BB">
        <w:rPr>
          <w:szCs w:val="26"/>
          <w:lang w:val="pt-BR"/>
        </w:rPr>
        <w:t xml:space="preserve">.  </w:t>
      </w:r>
    </w:p>
    <w:p w14:paraId="519B3483" w14:textId="77777777" w:rsidR="007D5896" w:rsidRPr="008E63BB" w:rsidRDefault="007D5896" w:rsidP="0065184D">
      <w:pPr>
        <w:rPr>
          <w:szCs w:val="26"/>
          <w:lang w:val="pt-BR"/>
        </w:rPr>
      </w:pPr>
      <w:r w:rsidRPr="008E63BB">
        <w:rPr>
          <w:szCs w:val="26"/>
          <w:lang w:val="pt-BR"/>
        </w:rPr>
        <w:tab/>
        <w:t>Đối với các khu dân cư cũ nằm trong khu trung tâm hiện hữu, chú trọng nâng cấp và bổ sung hạ tầng kỹ thuật cũng như hạ tầng xã hội, theo nguyên tắc tận dụng tối đa các điều kiện hiện trạng, hạn chế giải tỏa và di dời dân cư. Áp dụng phương pháp điều chỉnh đất đai giữa các hộ sử dụng trong 1 khu vực để đạt được giá trị tổng thể cao nhất; Kêu gọi nhà nước và nhân dân cùng tham gia nâng cấp điều kiện sống trong khu dân cư.</w:t>
      </w:r>
    </w:p>
    <w:p w14:paraId="519B3484" w14:textId="77777777" w:rsidR="00537A9C" w:rsidRPr="008E63BB" w:rsidRDefault="007D5896" w:rsidP="0065184D">
      <w:pPr>
        <w:rPr>
          <w:i/>
          <w:szCs w:val="26"/>
          <w:lang w:val="pt-BR"/>
        </w:rPr>
      </w:pPr>
      <w:r w:rsidRPr="008E63BB">
        <w:rPr>
          <w:i/>
          <w:szCs w:val="26"/>
          <w:lang w:val="pt-BR"/>
        </w:rPr>
        <w:t xml:space="preserve">+ Khu vực cảng sông hiện nay, khu </w:t>
      </w:r>
      <w:r w:rsidR="00DC48B6" w:rsidRPr="008E63BB">
        <w:rPr>
          <w:i/>
          <w:szCs w:val="26"/>
          <w:lang w:val="pt-BR"/>
        </w:rPr>
        <w:t>cảnh quan</w:t>
      </w:r>
      <w:r w:rsidR="00537A9C" w:rsidRPr="008E63BB">
        <w:rPr>
          <w:i/>
          <w:szCs w:val="26"/>
          <w:lang w:val="pt-BR"/>
        </w:rPr>
        <w:t xml:space="preserve"> ven sông: </w:t>
      </w:r>
    </w:p>
    <w:p w14:paraId="519B3485" w14:textId="77777777" w:rsidR="00537A9C" w:rsidRPr="008E63BB" w:rsidRDefault="00537A9C" w:rsidP="0065184D">
      <w:pPr>
        <w:rPr>
          <w:szCs w:val="26"/>
          <w:lang w:val="pt-BR"/>
        </w:rPr>
      </w:pPr>
      <w:r w:rsidRPr="008E63BB">
        <w:rPr>
          <w:szCs w:val="26"/>
          <w:lang w:val="pt-BR"/>
        </w:rPr>
        <w:tab/>
        <w:t xml:space="preserve">Các công trình hiện hữu đã tồn tại mà không ảnh hưởng đến việc thoát lũ và an toàn đê điều thì được phép </w:t>
      </w:r>
      <w:r w:rsidR="00DC48B6" w:rsidRPr="008E63BB">
        <w:rPr>
          <w:szCs w:val="26"/>
          <w:lang w:val="pt-BR"/>
        </w:rPr>
        <w:t>giữ lại, khi cần thiết triển khai chỉnh trang thì cần thực hiện tuân thủ theo dự án</w:t>
      </w:r>
      <w:r w:rsidRPr="008E63BB">
        <w:rPr>
          <w:szCs w:val="26"/>
          <w:lang w:val="pt-BR"/>
        </w:rPr>
        <w:t xml:space="preserve"> cải tạo chỉnh trang phù hợp về kiến trúc cảnh quan phù hợp chung khu vực góp phần nâng cao giá trị khai thác cảnh quan ven sông, kết nối với không gian cảnh quan mới.</w:t>
      </w:r>
    </w:p>
    <w:p w14:paraId="519B3486" w14:textId="77777777" w:rsidR="007D5896" w:rsidRPr="008E63BB" w:rsidRDefault="00537A9C" w:rsidP="00537A9C">
      <w:pPr>
        <w:ind w:firstLine="720"/>
        <w:rPr>
          <w:szCs w:val="26"/>
          <w:lang w:val="pt-BR"/>
        </w:rPr>
      </w:pPr>
      <w:r w:rsidRPr="008E63BB">
        <w:rPr>
          <w:szCs w:val="26"/>
          <w:lang w:val="pt-BR"/>
        </w:rPr>
        <w:t xml:space="preserve">Tổ chức khu vực cảng sông hiện nay thành khu quảng trường công cộng kết hợp dịch vụ nhỏ. Trong điều kiện Thành phố bị đê bao bọc, đây là khu vực thuận lợi để khai thác cảnh quan đô thị ven sông. Tuy nhiên, đây là quỹ đất khá mỏng, ngoài đê, nên lựa chọn cấu trúc mở, Xem xét xây dựng một vài công trình dịch vụ quy mô nhỏ đảm bảo cac chỉ tiêu và quy định của khu vực bảo vệ hành lang đê và thoát lũ để kết nối trực tiếp với tuyến đường ven sông, dành nhiều khoảng trống, tạo quảng trường liên tục sát mặt nước. </w:t>
      </w:r>
    </w:p>
    <w:p w14:paraId="519B3487" w14:textId="77777777" w:rsidR="007D5896" w:rsidRPr="008E63BB" w:rsidRDefault="007D5896" w:rsidP="0065184D">
      <w:pPr>
        <w:rPr>
          <w:szCs w:val="26"/>
          <w:lang w:val="pt-BR"/>
        </w:rPr>
      </w:pPr>
      <w:r w:rsidRPr="008E63BB">
        <w:rPr>
          <w:szCs w:val="26"/>
          <w:lang w:val="pt-BR"/>
        </w:rPr>
        <w:tab/>
        <w:t>Bên cạnh đó, cần xây dựng quảng trường sử dụng công cộng ở cốt tầng 2 kết nối các công trình dọc tuyến phố ven sông với mặt đê tả sông Đào. Theo Luật bảo vệ đê điều, được phép xây dựng công trình giao thông công cộng trong hành lang bảo vệ đê. Việc xây dựng quảng trường dạng đường vượt kết nối với mặt đê sẽ khiến cho việc sử dụng mặt đê làm quảng trường công cộng thuận lợi hơn, đồng thời kết nối được với các công trình dịch vụ phía trong, chứ không chỉ đơn thuần là một tuyến đường đi bộ trên đê khó tiếp cận như hiện nay. Nếu làm được như vậy, tuyến phố này mới thực sự khai thác được giá trị của tuyến phố ven sông, là một giá trị cảnh quan quan trọng chưa được khai thác của thành phố</w:t>
      </w:r>
      <w:r w:rsidR="00537A9C" w:rsidRPr="008E63BB">
        <w:rPr>
          <w:szCs w:val="26"/>
          <w:lang w:val="pt-BR"/>
        </w:rPr>
        <w:t xml:space="preserve">. Nghiên cứu giải pháp cải tạo chỉnh trang tuyến kè đường đê hiện trạng, hình thành một con đường với phù điêu nghệ thuật miêu tả lịch sử và các hình ảnh đặc trưng của thành phố. </w:t>
      </w:r>
    </w:p>
    <w:p w14:paraId="519B3488" w14:textId="77777777" w:rsidR="005A3242" w:rsidRPr="008E63BB" w:rsidRDefault="007D5896" w:rsidP="0065184D">
      <w:pPr>
        <w:rPr>
          <w:szCs w:val="26"/>
          <w:lang w:val="pt-BR"/>
        </w:rPr>
      </w:pPr>
      <w:r w:rsidRPr="008E63BB">
        <w:rPr>
          <w:szCs w:val="26"/>
          <w:lang w:val="pt-BR"/>
        </w:rPr>
        <w:tab/>
      </w:r>
      <w:r w:rsidR="006E6DF1" w:rsidRPr="008E63BB">
        <w:rPr>
          <w:szCs w:val="26"/>
          <w:lang w:val="pt-BR"/>
        </w:rPr>
        <w:t xml:space="preserve">Tại vị trí cầu treo cũ, đề xuất khôi phục xây dựng 01cầu nối sang bờ Đông sông Đào kết nối với vùng làng xóm hiện hữu và các không gian nông nghiệp sinh thái, tại vị trí xung quanh chân cầu bố trí quảng trường, công viên, công trình biểu tượng có tầm nhìn từ bên đô thị hiện hữu. Đây </w:t>
      </w:r>
      <w:r w:rsidRPr="008E63BB">
        <w:rPr>
          <w:szCs w:val="26"/>
          <w:lang w:val="pt-BR"/>
        </w:rPr>
        <w:t>là không gian giao lưu hấp dẫ</w:t>
      </w:r>
      <w:r w:rsidR="00F31792" w:rsidRPr="008E63BB">
        <w:rPr>
          <w:szCs w:val="26"/>
          <w:lang w:val="pt-BR"/>
        </w:rPr>
        <w:t>n với</w:t>
      </w:r>
      <w:r w:rsidRPr="008E63BB">
        <w:rPr>
          <w:szCs w:val="26"/>
          <w:lang w:val="pt-BR"/>
        </w:rPr>
        <w:t xml:space="preserve"> khu đô thị mới Nam sông Đào trong tương lai, điểm kết nối giữa quá khứ hiện tạ</w:t>
      </w:r>
      <w:r w:rsidR="00494CE4" w:rsidRPr="008E63BB">
        <w:rPr>
          <w:szCs w:val="26"/>
          <w:lang w:val="pt-BR"/>
        </w:rPr>
        <w:t>i và tương lai.</w:t>
      </w:r>
    </w:p>
    <w:p w14:paraId="519B3489" w14:textId="77777777" w:rsidR="007D5896" w:rsidRPr="008E63BB" w:rsidRDefault="0016427A" w:rsidP="0065184D">
      <w:pPr>
        <w:rPr>
          <w:b/>
          <w:i/>
          <w:szCs w:val="26"/>
          <w:lang w:val="pt-BR"/>
        </w:rPr>
      </w:pPr>
      <w:r w:rsidRPr="008E63BB">
        <w:rPr>
          <w:b/>
          <w:i/>
          <w:szCs w:val="26"/>
          <w:lang w:val="pt-BR"/>
        </w:rPr>
        <w:t xml:space="preserve">Khu số </w:t>
      </w:r>
      <w:r w:rsidR="007D5896" w:rsidRPr="008E63BB">
        <w:rPr>
          <w:b/>
          <w:i/>
          <w:szCs w:val="26"/>
          <w:lang w:val="pt-BR"/>
        </w:rPr>
        <w:t>2</w:t>
      </w:r>
      <w:r w:rsidRPr="008E63BB">
        <w:rPr>
          <w:b/>
          <w:i/>
          <w:szCs w:val="26"/>
          <w:lang w:val="pt-BR"/>
        </w:rPr>
        <w:t>:</w:t>
      </w:r>
      <w:r w:rsidR="007D5896" w:rsidRPr="008E63BB">
        <w:rPr>
          <w:b/>
          <w:i/>
          <w:szCs w:val="26"/>
          <w:lang w:val="pt-BR"/>
        </w:rPr>
        <w:t xml:space="preserve"> Khu vực phát triển đan xen phía Nam vành đai 1 (QL10):</w:t>
      </w:r>
    </w:p>
    <w:p w14:paraId="519B348A" w14:textId="77777777" w:rsidR="00CB4EAD" w:rsidRPr="008E63BB" w:rsidRDefault="00CB4EAD" w:rsidP="0065184D">
      <w:pPr>
        <w:rPr>
          <w:szCs w:val="26"/>
          <w:lang w:val="pt-BR"/>
        </w:rPr>
      </w:pPr>
      <w:r w:rsidRPr="008E63BB">
        <w:rPr>
          <w:szCs w:val="26"/>
          <w:lang w:val="pt-BR"/>
        </w:rPr>
        <w:t>* Quy mô: 1.</w:t>
      </w:r>
      <w:r w:rsidR="00747410" w:rsidRPr="008E63BB">
        <w:rPr>
          <w:szCs w:val="26"/>
          <w:lang w:val="pt-BR"/>
        </w:rPr>
        <w:t>710</w:t>
      </w:r>
      <w:r w:rsidRPr="008E63BB">
        <w:rPr>
          <w:szCs w:val="26"/>
          <w:lang w:val="pt-BR"/>
        </w:rPr>
        <w:t>ha</w:t>
      </w:r>
      <w:r w:rsidR="00834762" w:rsidRPr="008E63BB">
        <w:rPr>
          <w:szCs w:val="26"/>
          <w:lang w:val="pt-BR"/>
        </w:rPr>
        <w:t xml:space="preserve">, chiếm tỷ lệ </w:t>
      </w:r>
      <w:r w:rsidR="001A2616" w:rsidRPr="008E63BB">
        <w:rPr>
          <w:szCs w:val="26"/>
          <w:lang w:val="pt-BR"/>
        </w:rPr>
        <w:t>9,</w:t>
      </w:r>
      <w:r w:rsidR="00747410" w:rsidRPr="008E63BB">
        <w:rPr>
          <w:szCs w:val="26"/>
          <w:lang w:val="pt-BR"/>
        </w:rPr>
        <w:t>1</w:t>
      </w:r>
      <w:r w:rsidR="00834762" w:rsidRPr="008E63BB">
        <w:rPr>
          <w:szCs w:val="26"/>
          <w:lang w:val="pt-BR"/>
        </w:rPr>
        <w:t xml:space="preserve">%. </w:t>
      </w:r>
      <w:r w:rsidR="0064332C" w:rsidRPr="008E63BB">
        <w:rPr>
          <w:szCs w:val="26"/>
          <w:lang w:val="pt-BR"/>
        </w:rPr>
        <w:t xml:space="preserve">Dân số đến năm 2030 khoảng </w:t>
      </w:r>
      <w:r w:rsidR="00747410" w:rsidRPr="008E63BB">
        <w:rPr>
          <w:szCs w:val="26"/>
          <w:lang w:val="pt-BR"/>
        </w:rPr>
        <w:t>133.600</w:t>
      </w:r>
      <w:r w:rsidR="0064332C" w:rsidRPr="008E63BB">
        <w:rPr>
          <w:szCs w:val="26"/>
          <w:lang w:val="pt-BR"/>
        </w:rPr>
        <w:t xml:space="preserve"> người, đến năm 2040 khoảng </w:t>
      </w:r>
      <w:r w:rsidR="00747410" w:rsidRPr="008E63BB">
        <w:rPr>
          <w:szCs w:val="26"/>
          <w:lang w:val="pt-BR"/>
        </w:rPr>
        <w:t>141.700</w:t>
      </w:r>
      <w:r w:rsidR="0064332C" w:rsidRPr="008E63BB">
        <w:rPr>
          <w:szCs w:val="26"/>
          <w:lang w:val="pt-BR"/>
        </w:rPr>
        <w:t xml:space="preserve"> người</w:t>
      </w:r>
      <w:r w:rsidR="00834762" w:rsidRPr="008E63BB">
        <w:rPr>
          <w:szCs w:val="26"/>
          <w:lang w:val="pt-BR"/>
        </w:rPr>
        <w:t>.</w:t>
      </w:r>
    </w:p>
    <w:p w14:paraId="519B348B" w14:textId="6DCD8CC7" w:rsidR="007D5896" w:rsidRPr="008E63BB" w:rsidRDefault="007D5896" w:rsidP="0065184D">
      <w:pPr>
        <w:rPr>
          <w:szCs w:val="26"/>
          <w:lang w:val="pt-BR"/>
        </w:rPr>
      </w:pPr>
      <w:r w:rsidRPr="008E63BB">
        <w:rPr>
          <w:szCs w:val="26"/>
          <w:lang w:val="pt-BR"/>
        </w:rPr>
        <w:t>*</w:t>
      </w:r>
      <w:r w:rsidR="00534D34" w:rsidRPr="008E63BB">
        <w:rPr>
          <w:szCs w:val="26"/>
          <w:lang w:val="pt-BR"/>
        </w:rPr>
        <w:t xml:space="preserve"> </w:t>
      </w:r>
      <w:r w:rsidRPr="008E63BB">
        <w:rPr>
          <w:szCs w:val="26"/>
          <w:lang w:val="pt-BR"/>
        </w:rPr>
        <w:t>Chức năng: Là khu vực phát triển các khu đô thị mới đan xen với các khu dân cư hiện hữu mật độ thấp và chất lượng hạ tầng thấp. Khu vực tập trung Trung tâm hành chính</w:t>
      </w:r>
      <w:r w:rsidR="00537A9C" w:rsidRPr="008E63BB">
        <w:rPr>
          <w:szCs w:val="26"/>
          <w:lang w:val="pt-BR"/>
        </w:rPr>
        <w:t xml:space="preserve"> </w:t>
      </w:r>
      <w:r w:rsidR="00537A9C" w:rsidRPr="008E63BB">
        <w:rPr>
          <w:szCs w:val="26"/>
          <w:lang w:val="pt-BR"/>
        </w:rPr>
        <w:lastRenderedPageBreak/>
        <w:t>mới của</w:t>
      </w:r>
      <w:r w:rsidRPr="008E63BB">
        <w:rPr>
          <w:szCs w:val="26"/>
          <w:lang w:val="pt-BR"/>
        </w:rPr>
        <w:t xml:space="preserve"> thành phố, trung tâm y tế, thể dục thể thao, đào tạo, thương mại dịch vụ, là bộ mặt mới cho đô thị Nam Định.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48D" w14:textId="77777777" w:rsidTr="00DF211A">
        <w:tc>
          <w:tcPr>
            <w:tcW w:w="9276" w:type="dxa"/>
          </w:tcPr>
          <w:p w14:paraId="519B348C" w14:textId="77777777" w:rsidR="00DF211A" w:rsidRPr="008E63BB" w:rsidRDefault="008C4068" w:rsidP="0065184D">
            <w:pPr>
              <w:jc w:val="center"/>
              <w:rPr>
                <w:szCs w:val="26"/>
                <w:lang w:val="pt-BR"/>
              </w:rPr>
            </w:pPr>
            <w:r w:rsidRPr="008E63BB">
              <w:rPr>
                <w:noProof/>
                <w:szCs w:val="26"/>
                <w:lang w:eastAsia="zh-CN"/>
              </w:rPr>
              <w:drawing>
                <wp:inline distT="0" distB="0" distL="0" distR="0" wp14:anchorId="519B524B" wp14:editId="33FCA743">
                  <wp:extent cx="4076496" cy="3709226"/>
                  <wp:effectExtent l="0" t="0" r="635" b="5715"/>
                  <wp:docPr id="7200" name="Picture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 name="KHU 2.jpg"/>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4076496" cy="370922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48E" w14:textId="77777777" w:rsidR="007D5896" w:rsidRPr="008E63BB" w:rsidRDefault="007D5896" w:rsidP="0065184D">
      <w:pPr>
        <w:rPr>
          <w:b/>
          <w:i/>
          <w:szCs w:val="26"/>
          <w:lang w:val="pt-BR"/>
        </w:rPr>
      </w:pPr>
      <w:r w:rsidRPr="008E63BB">
        <w:rPr>
          <w:szCs w:val="26"/>
          <w:lang w:val="pt-BR"/>
        </w:rPr>
        <w:tab/>
      </w:r>
      <w:r w:rsidRPr="008E63BB">
        <w:rPr>
          <w:b/>
          <w:i/>
          <w:szCs w:val="26"/>
          <w:lang w:val="pt-BR"/>
        </w:rPr>
        <w:t>Định hướng chính:</w:t>
      </w:r>
    </w:p>
    <w:p w14:paraId="519B348F" w14:textId="77777777" w:rsidR="007D5896" w:rsidRPr="008E63BB" w:rsidRDefault="007D5896" w:rsidP="0065184D">
      <w:pPr>
        <w:rPr>
          <w:szCs w:val="26"/>
          <w:lang w:val="pt-BR"/>
        </w:rPr>
      </w:pPr>
      <w:r w:rsidRPr="008E63BB">
        <w:rPr>
          <w:szCs w:val="26"/>
          <w:lang w:val="pt-BR"/>
        </w:rPr>
        <w:tab/>
        <w:t>Các khu vực này hầu hết đã được quy hoạch chi tiết tỷ lệ 1/2.000 hoặc 1/500 và phần lớn đã được giao đất thực hiện dự án phát triển đô thị. Tuy nhiên, mức độ thực hiện còn chậm, tỷ lệ lấp đầy và đưa vào khai thác sử dụng thấp. Các nội dung quy hoạch của các khu vực này chưa tạo được những cấu trúc không gian thực sự gắn bó với đặc trưng của thành phố Nam Định, chưa tạo được những nét đặc trưng riêng, bố cục quy hoạch của mỗi khu vực chưa gắn kết với tổng thể chung. Đề xuất các định hướng phát triển như sau:</w:t>
      </w:r>
    </w:p>
    <w:p w14:paraId="519B3490" w14:textId="77777777" w:rsidR="00AF1C61" w:rsidRPr="008E63BB" w:rsidRDefault="007D5896" w:rsidP="0065184D">
      <w:pPr>
        <w:tabs>
          <w:tab w:val="num" w:pos="720"/>
        </w:tabs>
        <w:rPr>
          <w:szCs w:val="26"/>
          <w:lang w:val="pt-BR"/>
        </w:rPr>
      </w:pPr>
      <w:r w:rsidRPr="008E63BB">
        <w:rPr>
          <w:szCs w:val="26"/>
          <w:lang w:val="pt-BR"/>
        </w:rPr>
        <w:tab/>
        <w:t>Cải tạo các khu vực hiện hữu và tạo ra những không gian phục vụ chung cho cả khu cũ và khu mới. Tạo ra các không gian mở làm khoảng đệm giữa khu cũ và khu mới, cũng đồng thời giữ lại và làm rõ nét ranh giới của các khu làng xóm hiện hữu.</w:t>
      </w:r>
    </w:p>
    <w:p w14:paraId="519B3491" w14:textId="77777777" w:rsidR="007D5896" w:rsidRPr="008E63BB" w:rsidRDefault="007D5896" w:rsidP="0065184D">
      <w:pPr>
        <w:tabs>
          <w:tab w:val="num" w:pos="720"/>
        </w:tabs>
        <w:rPr>
          <w:szCs w:val="26"/>
          <w:lang w:val="pt-BR"/>
        </w:rPr>
      </w:pPr>
      <w:r w:rsidRPr="008E63BB">
        <w:rPr>
          <w:szCs w:val="26"/>
          <w:lang w:val="pt-BR"/>
        </w:rPr>
        <w:tab/>
      </w:r>
      <w:r w:rsidR="006E6DF1" w:rsidRPr="008E63BB">
        <w:rPr>
          <w:szCs w:val="26"/>
          <w:lang w:val="pt-BR"/>
        </w:rPr>
        <w:t>Xây dựng trung tâm hành chính mới của thành phố trên trục đường Võ Nguyên Giáp quy mô khoảng 1,1ha, bố trí quảng trường trước khu vực làm việc đảm bảo các yêu cầu về không gian và hạ tầng cơ sở</w:t>
      </w:r>
      <w:r w:rsidRPr="008E63BB">
        <w:rPr>
          <w:szCs w:val="26"/>
          <w:lang w:val="pt-BR"/>
        </w:rPr>
        <w:t>.</w:t>
      </w:r>
    </w:p>
    <w:p w14:paraId="519B3492" w14:textId="77777777" w:rsidR="007D5896" w:rsidRPr="008E63BB" w:rsidRDefault="007D5896" w:rsidP="0065184D">
      <w:pPr>
        <w:tabs>
          <w:tab w:val="num" w:pos="720"/>
        </w:tabs>
        <w:rPr>
          <w:szCs w:val="26"/>
          <w:lang w:val="pt-BR"/>
        </w:rPr>
      </w:pPr>
      <w:r w:rsidRPr="008E63BB">
        <w:rPr>
          <w:szCs w:val="26"/>
          <w:lang w:val="pt-BR"/>
        </w:rPr>
        <w:tab/>
        <w:t>Chuyển bệnh viện đa khoa tỉnh về khu vự</w:t>
      </w:r>
      <w:r w:rsidR="00170DC6" w:rsidRPr="008E63BB">
        <w:rPr>
          <w:szCs w:val="26"/>
          <w:lang w:val="pt-BR"/>
        </w:rPr>
        <w:t>c phía</w:t>
      </w:r>
      <w:r w:rsidR="00537A9C" w:rsidRPr="008E63BB">
        <w:rPr>
          <w:szCs w:val="26"/>
          <w:lang w:val="pt-BR"/>
        </w:rPr>
        <w:t xml:space="preserve"> Đông B</w:t>
      </w:r>
      <w:r w:rsidRPr="008E63BB">
        <w:rPr>
          <w:szCs w:val="26"/>
          <w:lang w:val="pt-BR"/>
        </w:rPr>
        <w:t>ắc trong khu đô thị mớ</w:t>
      </w:r>
      <w:r w:rsidR="00AF1C61" w:rsidRPr="008E63BB">
        <w:rPr>
          <w:szCs w:val="26"/>
          <w:lang w:val="pt-BR"/>
        </w:rPr>
        <w:t>i, cung cấp dịch vụ y tế chất lượng cao, tạo bộ mặt khang trang cho đô thị.</w:t>
      </w:r>
    </w:p>
    <w:p w14:paraId="519B3493" w14:textId="77777777" w:rsidR="007D5896" w:rsidRPr="008E63BB" w:rsidRDefault="007D5896" w:rsidP="0065184D">
      <w:pPr>
        <w:tabs>
          <w:tab w:val="num" w:pos="720"/>
        </w:tabs>
        <w:rPr>
          <w:szCs w:val="26"/>
          <w:lang w:val="pt-BR"/>
        </w:rPr>
      </w:pPr>
      <w:r w:rsidRPr="008E63BB">
        <w:rPr>
          <w:szCs w:val="26"/>
          <w:lang w:val="pt-BR"/>
        </w:rPr>
        <w:tab/>
        <w:t>Khu vực được quy hoạch trung tâm thể dục thể thao sẽ được điều chuyển 1 phần sang đất xây dựng trường họ</w:t>
      </w:r>
      <w:r w:rsidR="00AF1C61" w:rsidRPr="008E63BB">
        <w:rPr>
          <w:szCs w:val="26"/>
          <w:lang w:val="pt-BR"/>
        </w:rPr>
        <w:t xml:space="preserve">c, </w:t>
      </w:r>
      <w:r w:rsidRPr="008E63BB">
        <w:rPr>
          <w:szCs w:val="26"/>
          <w:lang w:val="pt-BR"/>
        </w:rPr>
        <w:t>công cộng dịch vụ đô thị</w:t>
      </w:r>
      <w:r w:rsidR="00AF1C61" w:rsidRPr="008E63BB">
        <w:rPr>
          <w:szCs w:val="26"/>
          <w:lang w:val="pt-BR"/>
        </w:rPr>
        <w:t xml:space="preserve"> và đơn vị ở</w:t>
      </w:r>
      <w:r w:rsidRPr="008E63BB">
        <w:rPr>
          <w:szCs w:val="26"/>
          <w:lang w:val="pt-BR"/>
        </w:rPr>
        <w:t>.</w:t>
      </w:r>
    </w:p>
    <w:p w14:paraId="519B3494" w14:textId="77777777" w:rsidR="007D5896" w:rsidRPr="008E63BB" w:rsidRDefault="007D5896" w:rsidP="0065184D">
      <w:pPr>
        <w:tabs>
          <w:tab w:val="num" w:pos="720"/>
        </w:tabs>
        <w:rPr>
          <w:szCs w:val="26"/>
          <w:lang w:val="pt-BR"/>
        </w:rPr>
      </w:pPr>
      <w:r w:rsidRPr="008E63BB">
        <w:rPr>
          <w:szCs w:val="26"/>
          <w:lang w:val="pt-BR"/>
        </w:rPr>
        <w:tab/>
        <w:t xml:space="preserve">Cải tạo nút giao đường Trần Hưng Đạo với đường trường Chinh bằng việc mở mới tuyến đường Trần Hưng Đạo từ nút khách sạn Nam Cường ra thẳng tuyến đường Trường Chinh </w:t>
      </w:r>
      <w:r w:rsidR="00AF1C61" w:rsidRPr="008E63BB">
        <w:rPr>
          <w:szCs w:val="26"/>
          <w:lang w:val="pt-BR"/>
        </w:rPr>
        <w:t xml:space="preserve">qua hồ Hàng Nan </w:t>
      </w:r>
      <w:r w:rsidRPr="008E63BB">
        <w:rPr>
          <w:szCs w:val="26"/>
          <w:lang w:val="pt-BR"/>
        </w:rPr>
        <w:t>với lộ giới 28m, bố trí đảo giao thông phân luồng đảm bảo an toàn và hiệu quả, tạo nên tuyến giao thông liền mạch, đoạn đường Trần Hưng Đạo cũ sẽ đượ</w:t>
      </w:r>
      <w:r w:rsidR="00AF1C61" w:rsidRPr="008E63BB">
        <w:rPr>
          <w:szCs w:val="26"/>
          <w:lang w:val="pt-BR"/>
        </w:rPr>
        <w:t>c</w:t>
      </w:r>
      <w:r w:rsidRPr="008E63BB">
        <w:rPr>
          <w:szCs w:val="26"/>
          <w:lang w:val="pt-BR"/>
        </w:rPr>
        <w:t xml:space="preserve"> chuyển thành đường 1 chiều để phân luồng giao thông giảm ùn tắc.</w:t>
      </w:r>
    </w:p>
    <w:p w14:paraId="519B3495" w14:textId="77777777" w:rsidR="00A2594B" w:rsidRPr="008E63BB" w:rsidRDefault="007D5896" w:rsidP="0065184D">
      <w:pPr>
        <w:tabs>
          <w:tab w:val="num" w:pos="720"/>
        </w:tabs>
        <w:rPr>
          <w:szCs w:val="26"/>
          <w:lang w:val="pt-BR"/>
        </w:rPr>
      </w:pPr>
      <w:r w:rsidRPr="008E63BB">
        <w:rPr>
          <w:szCs w:val="26"/>
          <w:lang w:val="pt-BR"/>
        </w:rPr>
        <w:tab/>
      </w:r>
      <w:r w:rsidR="00A2594B" w:rsidRPr="008E63BB">
        <w:rPr>
          <w:szCs w:val="26"/>
          <w:lang w:val="pt-BR"/>
        </w:rPr>
        <w:t>Khu vực hồ Truyền Thống:</w:t>
      </w:r>
      <w:r w:rsidR="00A2594B" w:rsidRPr="008E63BB">
        <w:rPr>
          <w:szCs w:val="26"/>
          <w:lang w:val="pt-BR"/>
        </w:rPr>
        <w:tab/>
        <w:t xml:space="preserve">Tăng cường kết nối giao thông theo hướng Đông – Tây qua khu vực đất bằng nằm giữa hai phần hồ chính. </w:t>
      </w:r>
    </w:p>
    <w:p w14:paraId="519B3496" w14:textId="77777777" w:rsidR="007D5896" w:rsidRPr="008E63BB" w:rsidRDefault="00A2594B" w:rsidP="0065184D">
      <w:pPr>
        <w:tabs>
          <w:tab w:val="num" w:pos="720"/>
        </w:tabs>
        <w:rPr>
          <w:szCs w:val="26"/>
          <w:lang w:val="pt-BR"/>
        </w:rPr>
      </w:pPr>
      <w:r w:rsidRPr="008E63BB">
        <w:rPr>
          <w:szCs w:val="26"/>
          <w:lang w:val="pt-BR"/>
        </w:rPr>
        <w:lastRenderedPageBreak/>
        <w:tab/>
        <w:t>Không gian mặt nước hồ Truyền Thống có ý nghĩa rất lớn trong tổng thể không gian toàn thành phố. Tuy nhiên, trong điều kiện hiện trạng các khu dân cư đã bám sát mặt nước hồ, không có điều kiện tổ chức các không gian công cộng quanh hồ để có thể tạo không gian giao lưu công cộng, khai thác đúng giá trị của hồ Truyền thống. Nạo vét hồ để tăng khả năng điều hòa nước mưa. Tăng cường tối đa các kết nối từ các khu vực lân cận và từ các tuyến đường chính ra hồ</w:t>
      </w:r>
      <w:r w:rsidR="007D5896" w:rsidRPr="008E63BB">
        <w:rPr>
          <w:szCs w:val="26"/>
          <w:lang w:val="pt-BR"/>
        </w:rPr>
        <w:t xml:space="preserve">. </w:t>
      </w:r>
    </w:p>
    <w:p w14:paraId="519B3497" w14:textId="77777777" w:rsidR="007D5896" w:rsidRPr="008E63BB" w:rsidRDefault="007D5896" w:rsidP="0065184D">
      <w:pPr>
        <w:tabs>
          <w:tab w:val="num" w:pos="720"/>
        </w:tabs>
        <w:rPr>
          <w:szCs w:val="26"/>
          <w:lang w:val="pt-BR"/>
        </w:rPr>
      </w:pPr>
      <w:r w:rsidRPr="008E63BB">
        <w:rPr>
          <w:szCs w:val="26"/>
          <w:lang w:val="pt-BR"/>
        </w:rPr>
        <w:tab/>
        <w:t>Đối với các khu đất dân cư lân cận, quy hoạch chi tiết để tạo điều kiện cải tạo nâng cấp môi trường sống. Khuyến khích hợp khối xây dựng công trình, theo nguyên tắc có sự đồng thuận giữa chủ đầu tư và các chủ sử dụng đất hiện hữu, bổ sung các công trình dịch vụ đô thị, dành ra các không gian trống công cộng. Trong các dự án cải tạo, chuyển đổi chức năng hoặc thay đổi hình thái kiến trúc các khu vực này, có diện tích đất từ 1.000 m2 trở lên, yêu cầu phải dành tối thiểu 10% diện tích đất cho vườn hoa – quảng trường công cộng.</w:t>
      </w:r>
    </w:p>
    <w:p w14:paraId="519B3498" w14:textId="77777777" w:rsidR="007D5896" w:rsidRPr="008E63BB" w:rsidRDefault="007D5896" w:rsidP="0065184D">
      <w:pPr>
        <w:tabs>
          <w:tab w:val="num" w:pos="720"/>
        </w:tabs>
        <w:rPr>
          <w:szCs w:val="26"/>
          <w:lang w:val="pt-BR"/>
        </w:rPr>
      </w:pPr>
      <w:r w:rsidRPr="008E63BB">
        <w:rPr>
          <w:szCs w:val="26"/>
          <w:lang w:val="pt-BR"/>
        </w:rPr>
        <w:tab/>
        <w:t>Các khu vực nhà máy hiện hữu sẽ được kiểm soát về cảnh quan và môi trường, tránh tối đa việc tác động của các hoạt động sản xuất tới môi trường sống trong đô thị.</w:t>
      </w:r>
      <w:r w:rsidR="005A57AB" w:rsidRPr="008E63BB">
        <w:rPr>
          <w:szCs w:val="26"/>
          <w:lang w:val="pt-BR"/>
        </w:rPr>
        <w:t xml:space="preserve"> Trong tương lai, các khu này sẽ được di dời, chuyển đổi đất phục vụ phát triển đô thị.</w:t>
      </w:r>
    </w:p>
    <w:p w14:paraId="519B3499" w14:textId="77777777" w:rsidR="007D5896" w:rsidRPr="008E63BB" w:rsidRDefault="0016427A" w:rsidP="0065184D">
      <w:pPr>
        <w:rPr>
          <w:b/>
          <w:i/>
          <w:szCs w:val="26"/>
          <w:lang w:val="pt-BR"/>
        </w:rPr>
      </w:pPr>
      <w:r w:rsidRPr="008E63BB">
        <w:rPr>
          <w:b/>
          <w:i/>
          <w:szCs w:val="26"/>
          <w:lang w:val="pt-BR"/>
        </w:rPr>
        <w:t xml:space="preserve">Khu số </w:t>
      </w:r>
      <w:r w:rsidR="007D5896" w:rsidRPr="008E63BB">
        <w:rPr>
          <w:b/>
          <w:i/>
          <w:szCs w:val="26"/>
          <w:lang w:val="pt-BR"/>
        </w:rPr>
        <w:t>3</w:t>
      </w:r>
      <w:r w:rsidRPr="008E63BB">
        <w:rPr>
          <w:b/>
          <w:i/>
          <w:szCs w:val="26"/>
          <w:lang w:val="pt-BR"/>
        </w:rPr>
        <w:t>:</w:t>
      </w:r>
      <w:r w:rsidR="007D5896" w:rsidRPr="008E63BB">
        <w:rPr>
          <w:b/>
          <w:i/>
          <w:szCs w:val="26"/>
          <w:lang w:val="pt-BR"/>
        </w:rPr>
        <w:t xml:space="preserve"> Khu đô thị</w:t>
      </w:r>
      <w:r w:rsidR="00E26408" w:rsidRPr="008E63BB">
        <w:rPr>
          <w:b/>
          <w:i/>
          <w:szCs w:val="26"/>
          <w:lang w:val="pt-BR"/>
        </w:rPr>
        <w:t xml:space="preserve"> dịch vụ, thương mại</w:t>
      </w:r>
      <w:r w:rsidR="007D5896" w:rsidRPr="008E63BB">
        <w:rPr>
          <w:b/>
          <w:i/>
          <w:szCs w:val="26"/>
          <w:lang w:val="pt-BR"/>
        </w:rPr>
        <w:t xml:space="preserve"> phía Tây Bắc thành phố:</w:t>
      </w:r>
    </w:p>
    <w:p w14:paraId="519B349A" w14:textId="019EAD60" w:rsidR="00CB4EAD" w:rsidRPr="008E63BB" w:rsidRDefault="00CB4EAD" w:rsidP="0065184D">
      <w:pPr>
        <w:rPr>
          <w:szCs w:val="26"/>
          <w:lang w:val="pt-BR"/>
        </w:rPr>
      </w:pPr>
      <w:r w:rsidRPr="008E63BB">
        <w:rPr>
          <w:szCs w:val="26"/>
          <w:lang w:val="pt-BR"/>
        </w:rPr>
        <w:t xml:space="preserve">* Quy mô: </w:t>
      </w:r>
      <w:r w:rsidR="006726E8" w:rsidRPr="008E63BB">
        <w:rPr>
          <w:szCs w:val="26"/>
          <w:lang w:val="pt-BR"/>
        </w:rPr>
        <w:t>3.066</w:t>
      </w:r>
      <w:r w:rsidRPr="008E63BB">
        <w:rPr>
          <w:szCs w:val="26"/>
          <w:lang w:val="pt-BR"/>
        </w:rPr>
        <w:t>ha</w:t>
      </w:r>
      <w:r w:rsidR="00834762" w:rsidRPr="008E63BB">
        <w:rPr>
          <w:szCs w:val="26"/>
          <w:lang w:val="pt-BR"/>
        </w:rPr>
        <w:t xml:space="preserve">, chiếm tỷ lệ </w:t>
      </w:r>
      <w:r w:rsidR="00747410" w:rsidRPr="008E63BB">
        <w:rPr>
          <w:szCs w:val="26"/>
          <w:lang w:val="pt-BR"/>
        </w:rPr>
        <w:t>16,3</w:t>
      </w:r>
      <w:r w:rsidR="00834762" w:rsidRPr="008E63BB">
        <w:rPr>
          <w:szCs w:val="26"/>
          <w:lang w:val="pt-BR"/>
        </w:rPr>
        <w:t xml:space="preserve">%. </w:t>
      </w:r>
      <w:r w:rsidR="0064332C" w:rsidRPr="008E63BB">
        <w:rPr>
          <w:szCs w:val="26"/>
          <w:lang w:val="pt-BR"/>
        </w:rPr>
        <w:t xml:space="preserve">Dân số đến năm 2030 khoảng </w:t>
      </w:r>
      <w:r w:rsidR="00D92AF1" w:rsidRPr="008E63BB">
        <w:rPr>
          <w:szCs w:val="26"/>
          <w:lang w:val="pt-BR"/>
        </w:rPr>
        <w:t>9</w:t>
      </w:r>
      <w:r w:rsidR="00747410" w:rsidRPr="008E63BB">
        <w:rPr>
          <w:szCs w:val="26"/>
          <w:lang w:val="pt-BR"/>
        </w:rPr>
        <w:t>3.920</w:t>
      </w:r>
      <w:r w:rsidR="0064332C" w:rsidRPr="008E63BB">
        <w:rPr>
          <w:szCs w:val="26"/>
          <w:lang w:val="pt-BR"/>
        </w:rPr>
        <w:t xml:space="preserve"> người, đến năm 2040 khoảng </w:t>
      </w:r>
      <w:r w:rsidR="00323ACF" w:rsidRPr="008E63BB">
        <w:rPr>
          <w:szCs w:val="26"/>
          <w:lang w:val="pt-BR"/>
        </w:rPr>
        <w:t xml:space="preserve">101.060 </w:t>
      </w:r>
      <w:r w:rsidR="0064332C" w:rsidRPr="008E63BB">
        <w:rPr>
          <w:szCs w:val="26"/>
          <w:lang w:val="pt-BR"/>
        </w:rPr>
        <w:t>người</w:t>
      </w:r>
      <w:r w:rsidR="00834762" w:rsidRPr="008E63BB">
        <w:rPr>
          <w:szCs w:val="26"/>
          <w:lang w:val="pt-BR"/>
        </w:rPr>
        <w:t>.</w:t>
      </w:r>
    </w:p>
    <w:p w14:paraId="519B349B" w14:textId="3F6DF1C0" w:rsidR="0027524C" w:rsidRPr="008E63BB" w:rsidRDefault="007D5896" w:rsidP="0065184D">
      <w:pPr>
        <w:rPr>
          <w:szCs w:val="26"/>
          <w:lang w:val="pt-BR"/>
        </w:rPr>
      </w:pPr>
      <w:r w:rsidRPr="008E63BB">
        <w:rPr>
          <w:szCs w:val="26"/>
          <w:lang w:val="pt-BR"/>
        </w:rPr>
        <w:t>*</w:t>
      </w:r>
      <w:r w:rsidR="00534D34" w:rsidRPr="008E63BB">
        <w:rPr>
          <w:szCs w:val="26"/>
          <w:lang w:val="pt-BR"/>
        </w:rPr>
        <w:t xml:space="preserve"> </w:t>
      </w:r>
      <w:r w:rsidRPr="008E63BB">
        <w:rPr>
          <w:szCs w:val="26"/>
          <w:lang w:val="pt-BR"/>
        </w:rPr>
        <w:t xml:space="preserve">Chức năng: </w:t>
      </w:r>
      <w:r w:rsidR="00E26408" w:rsidRPr="008E63BB">
        <w:rPr>
          <w:szCs w:val="26"/>
          <w:lang w:val="pt-BR"/>
        </w:rPr>
        <w:t>Là khu vực phát triển mới với mô hình hiện đại về dịch vụ, thương mại, đào tạ</w:t>
      </w:r>
      <w:r w:rsidR="005A57AB" w:rsidRPr="008E63BB">
        <w:rPr>
          <w:szCs w:val="26"/>
          <w:lang w:val="pt-BR"/>
        </w:rPr>
        <w:t xml:space="preserve">o và văn hóa lịch sử cấp Quốc gia. Đây sẽ là </w:t>
      </w:r>
      <w:r w:rsidR="00E26408" w:rsidRPr="008E63BB">
        <w:rPr>
          <w:szCs w:val="26"/>
          <w:lang w:val="pt-BR"/>
        </w:rPr>
        <w:t>một đô thị tri thức, đô thị</w:t>
      </w:r>
      <w:r w:rsidR="005A57AB" w:rsidRPr="008E63BB">
        <w:rPr>
          <w:szCs w:val="26"/>
          <w:lang w:val="pt-BR"/>
        </w:rPr>
        <w:t xml:space="preserve"> thông minh gắn với </w:t>
      </w:r>
      <w:r w:rsidR="00E26408" w:rsidRPr="008E63BB">
        <w:rPr>
          <w:szCs w:val="26"/>
          <w:lang w:val="pt-BR"/>
        </w:rPr>
        <w:t xml:space="preserve">công viên cảnh quan sinh thái đan xen với các khu dân cư hiện hữu mật độ thấp; khu vực </w:t>
      </w:r>
      <w:r w:rsidR="005A57AB" w:rsidRPr="008E63BB">
        <w:rPr>
          <w:szCs w:val="26"/>
          <w:lang w:val="pt-BR"/>
        </w:rPr>
        <w:t xml:space="preserve">có </w:t>
      </w:r>
      <w:r w:rsidR="00E26408" w:rsidRPr="008E63BB">
        <w:rPr>
          <w:szCs w:val="26"/>
          <w:lang w:val="pt-BR"/>
        </w:rPr>
        <w:t>giá trị cảnh quan đặc trưng gắn với phát triển du lịch văn hóa tâm linh.</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2"/>
      </w:tblGrid>
      <w:tr w:rsidR="008D5BFE" w:rsidRPr="008E63BB" w14:paraId="519B349D" w14:textId="77777777" w:rsidTr="00F8156E">
        <w:tc>
          <w:tcPr>
            <w:tcW w:w="9168" w:type="dxa"/>
          </w:tcPr>
          <w:p w14:paraId="519B349C" w14:textId="77777777" w:rsidR="00DF211A" w:rsidRPr="008E63BB" w:rsidRDefault="008C4068" w:rsidP="008C4068">
            <w:pPr>
              <w:jc w:val="left"/>
              <w:rPr>
                <w:b/>
                <w:i/>
                <w:szCs w:val="26"/>
                <w:lang w:val="pt-BR"/>
              </w:rPr>
            </w:pPr>
            <w:r w:rsidRPr="008E63BB">
              <w:rPr>
                <w:b/>
                <w:i/>
                <w:noProof/>
                <w:szCs w:val="26"/>
                <w:lang w:eastAsia="zh-CN"/>
              </w:rPr>
              <w:drawing>
                <wp:inline distT="0" distB="0" distL="0" distR="0" wp14:anchorId="519B524D" wp14:editId="47238932">
                  <wp:extent cx="5738238" cy="2347383"/>
                  <wp:effectExtent l="0" t="0" r="0" b="0"/>
                  <wp:docPr id="7201" name="Picture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 name="KHU 3.jpg"/>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5738238" cy="23473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49E" w14:textId="77777777" w:rsidR="007D5896" w:rsidRPr="008E63BB" w:rsidRDefault="0027524C" w:rsidP="0065184D">
      <w:pPr>
        <w:ind w:firstLine="720"/>
        <w:rPr>
          <w:szCs w:val="26"/>
          <w:lang w:val="pt-BR"/>
        </w:rPr>
      </w:pPr>
      <w:r w:rsidRPr="008E63BB">
        <w:rPr>
          <w:b/>
          <w:i/>
          <w:szCs w:val="26"/>
          <w:lang w:val="pt-BR"/>
        </w:rPr>
        <w:t>Định hướng chính:</w:t>
      </w:r>
    </w:p>
    <w:p w14:paraId="519B349F" w14:textId="77777777" w:rsidR="00E26408" w:rsidRPr="008E63BB" w:rsidRDefault="00E26408" w:rsidP="0065184D">
      <w:pPr>
        <w:rPr>
          <w:i/>
          <w:szCs w:val="26"/>
          <w:lang w:val="pt-BR"/>
        </w:rPr>
      </w:pPr>
      <w:r w:rsidRPr="008E63BB">
        <w:rPr>
          <w:szCs w:val="26"/>
          <w:lang w:val="pt-BR"/>
        </w:rPr>
        <w:t xml:space="preserve">- </w:t>
      </w:r>
      <w:r w:rsidRPr="008E63BB">
        <w:rPr>
          <w:i/>
          <w:szCs w:val="26"/>
          <w:lang w:val="pt-BR"/>
        </w:rPr>
        <w:t xml:space="preserve">Khu vực đô thị dịch vụ: </w:t>
      </w:r>
    </w:p>
    <w:p w14:paraId="519B34A0" w14:textId="77777777" w:rsidR="0092455C" w:rsidRPr="008E63BB" w:rsidRDefault="00E26408" w:rsidP="0065184D">
      <w:pPr>
        <w:rPr>
          <w:szCs w:val="26"/>
          <w:lang w:val="pt-BR"/>
        </w:rPr>
      </w:pPr>
      <w:r w:rsidRPr="008E63BB">
        <w:rPr>
          <w:szCs w:val="26"/>
          <w:lang w:val="pt-BR"/>
        </w:rPr>
        <w:tab/>
        <w:t>Phát triển dân cư đô thị mới gắn với các trung tâm dịch vụ thương mại, dịch vụ hỗn hợp. Phát triển khu vực đào tạo mới tại khu đầu mối giao thông của tuyến đường 21B với tuyến đườ</w:t>
      </w:r>
      <w:r w:rsidR="003D4ECD" w:rsidRPr="008E63BB">
        <w:rPr>
          <w:szCs w:val="26"/>
          <w:lang w:val="pt-BR"/>
        </w:rPr>
        <w:t>ng tránh thành phố</w:t>
      </w:r>
      <w:r w:rsidRPr="008E63BB">
        <w:rPr>
          <w:szCs w:val="26"/>
          <w:lang w:val="pt-BR"/>
        </w:rPr>
        <w:t xml:space="preserve"> (đường vành đai 2), tại đây bố trí các trường đại học cao đẳng cấp vùng phục vụ nhu cầu đào tạo cấp vùng Nam đồng bằng sông Hồng. Các trường bố trí đầy đủ cơ sở hạ tầng đào tạo hướng tới một không gian sáng tạo, áp dụng các tiêu chí một đô thị trí thứ</w:t>
      </w:r>
      <w:r w:rsidR="0092455C" w:rsidRPr="008E63BB">
        <w:rPr>
          <w:szCs w:val="26"/>
          <w:lang w:val="pt-BR"/>
        </w:rPr>
        <w:t>c</w:t>
      </w:r>
      <w:r w:rsidR="00152EA5" w:rsidRPr="008E63BB">
        <w:rPr>
          <w:szCs w:val="26"/>
          <w:lang w:val="pt-BR"/>
        </w:rPr>
        <w:t>, đô thị thông minh</w:t>
      </w:r>
      <w:r w:rsidRPr="008E63BB">
        <w:rPr>
          <w:szCs w:val="26"/>
          <w:lang w:val="pt-BR"/>
        </w:rPr>
        <w:t>và hòa nhập cùng xu hướng phát triển chung của khu vự</w:t>
      </w:r>
      <w:r w:rsidR="0092455C" w:rsidRPr="008E63BB">
        <w:rPr>
          <w:szCs w:val="26"/>
          <w:lang w:val="pt-BR"/>
        </w:rPr>
        <w:t>c.</w:t>
      </w:r>
    </w:p>
    <w:p w14:paraId="519B34A1" w14:textId="77777777" w:rsidR="00E26408" w:rsidRPr="008E63BB" w:rsidRDefault="0092455C" w:rsidP="0065184D">
      <w:pPr>
        <w:rPr>
          <w:szCs w:val="26"/>
          <w:lang w:val="pt-BR"/>
        </w:rPr>
      </w:pPr>
      <w:r w:rsidRPr="008E63BB">
        <w:rPr>
          <w:szCs w:val="26"/>
          <w:lang w:val="pt-BR"/>
        </w:rPr>
        <w:tab/>
        <w:t xml:space="preserve">Đây sẽ là khu vực đô thị mới được định hướng xây dựng áp dụng một số tiêu chí của đô thị thông minh: </w:t>
      </w:r>
      <w:r w:rsidR="0087514B" w:rsidRPr="008E63BB">
        <w:rPr>
          <w:szCs w:val="26"/>
          <w:lang w:val="pt-BR"/>
        </w:rPr>
        <w:t xml:space="preserve">hệ thống tiện ích công cộng thông minh, ứng dụng công nghệ hiện đại, tiên tiến (hệ thống quản lý vận hành thông minh, hệ thống an ninh thông minh, </w:t>
      </w:r>
      <w:r w:rsidR="0087514B" w:rsidRPr="008E63BB">
        <w:rPr>
          <w:szCs w:val="26"/>
          <w:lang w:val="pt-BR"/>
        </w:rPr>
        <w:lastRenderedPageBreak/>
        <w:t>hệ thống thông tin liên lạc thông minh...), các khu dân cư với nhà thông minh, căn hộ thông minh.</w:t>
      </w:r>
    </w:p>
    <w:p w14:paraId="519B34A2" w14:textId="77777777" w:rsidR="007D5896" w:rsidRPr="008E63BB" w:rsidRDefault="007D5896" w:rsidP="0065184D">
      <w:pPr>
        <w:rPr>
          <w:szCs w:val="26"/>
          <w:lang w:val="pt-BR"/>
        </w:rPr>
      </w:pPr>
      <w:r w:rsidRPr="008E63BB">
        <w:rPr>
          <w:szCs w:val="26"/>
          <w:lang w:val="pt-BR"/>
        </w:rPr>
        <w:tab/>
        <w:t>Bên canh đó tạo một trục không gian mới kết hợp cùng hành lang xanh (hệ thống cây xanh, mặt nước, làng xóm cảnh quan nông nghiệp hiện hữu) tạo nên một khu đô thị mới hiện đại gắn kết và liên thông với hệ thống trung tâm đào tạo, đây sẽ là một điểm kích thích phát triển đô thị mới về phía Tây thành phố, là hạt nhân kết nối lan tỏa phát triển, thu hút đầu tư mạnh mẽ, điểm đến mới cho tương lai của thành phố.</w:t>
      </w:r>
    </w:p>
    <w:p w14:paraId="519B34A3" w14:textId="77777777" w:rsidR="000C2745" w:rsidRPr="008E63BB" w:rsidRDefault="000C2745" w:rsidP="000C2745">
      <w:pPr>
        <w:ind w:firstLine="720"/>
        <w:rPr>
          <w:szCs w:val="26"/>
          <w:lang w:val="pt-BR"/>
        </w:rPr>
      </w:pPr>
      <w:r w:rsidRPr="008E63BB">
        <w:rPr>
          <w:szCs w:val="26"/>
          <w:lang w:val="pt-BR"/>
        </w:rPr>
        <w:t>Trục thương mại dịch vụ đô thị mới dọc đại lộ Thiên Trường: phát triển các công trình thương mại dịch vụ hỗn hợp tạo nên một không gian cửa ngõ phía Tây Bắc ấn tượng cùng công trình điểm nhấn cao tầng, quảng trường tri thức, công viên sáng tạo nghệ thuật và giáo dục, Trung tâm hội nghị quốc tế,...nơi đây sẽ thu hút các nhà đầu tư lớn với các dự án tầm cỡ thay đổi diện mạo của thành phố Nam Định trong tương lai.</w:t>
      </w:r>
    </w:p>
    <w:p w14:paraId="519B34A4" w14:textId="77777777" w:rsidR="007D5896" w:rsidRPr="008E63BB" w:rsidRDefault="00FF02F7" w:rsidP="0065184D">
      <w:pPr>
        <w:rPr>
          <w:i/>
          <w:szCs w:val="26"/>
          <w:lang w:val="pt-BR"/>
        </w:rPr>
      </w:pPr>
      <w:r w:rsidRPr="008E63BB">
        <w:rPr>
          <w:i/>
          <w:szCs w:val="26"/>
          <w:lang w:val="pt-BR"/>
        </w:rPr>
        <w:t>- Trung tâm văn hóa lịch sử cấp Vùng và quốc gia</w:t>
      </w:r>
      <w:r w:rsidR="007D5896" w:rsidRPr="008E63BB">
        <w:rPr>
          <w:i/>
          <w:szCs w:val="26"/>
          <w:lang w:val="pt-BR"/>
        </w:rPr>
        <w:t>:</w:t>
      </w:r>
    </w:p>
    <w:p w14:paraId="519B34A5" w14:textId="77777777" w:rsidR="00FF02F7" w:rsidRPr="008E63BB" w:rsidRDefault="00FF02F7" w:rsidP="0065184D">
      <w:pPr>
        <w:rPr>
          <w:szCs w:val="26"/>
          <w:lang w:val="pt-BR"/>
        </w:rPr>
      </w:pPr>
      <w:r w:rsidRPr="008E63BB">
        <w:rPr>
          <w:szCs w:val="26"/>
          <w:lang w:val="pt-BR"/>
        </w:rPr>
        <w:tab/>
        <w:t>Tiếp tục triển khai đầu tư cơ sở  hạ tầng Trung tâm văn hóa lịch sử đền Trần, xứng đáng là trung tâm văn hóa lịch sử lễ hội của Vùng Nam đồng bằng sông Hồng.</w:t>
      </w:r>
    </w:p>
    <w:p w14:paraId="519B34A6" w14:textId="77777777" w:rsidR="007D5896" w:rsidRPr="008E63BB" w:rsidRDefault="00FF02F7" w:rsidP="00FF02F7">
      <w:pPr>
        <w:ind w:firstLine="720"/>
        <w:rPr>
          <w:szCs w:val="26"/>
          <w:lang w:val="pt-BR"/>
        </w:rPr>
      </w:pPr>
      <w:r w:rsidRPr="008E63BB">
        <w:rPr>
          <w:szCs w:val="26"/>
          <w:lang w:val="pt-BR"/>
        </w:rPr>
        <w:t>Thực hiện</w:t>
      </w:r>
      <w:r w:rsidR="007D5896" w:rsidRPr="008E63BB">
        <w:rPr>
          <w:szCs w:val="26"/>
          <w:lang w:val="pt-BR"/>
        </w:rPr>
        <w:t xml:space="preserve"> nghiên cứu, đánh giá và lập chương trình bảo tồn các di tích lịch sử - văn hóa cũng như các khu vực có giá trị về kiến trúc cảnh quan, đặc biệt là các khu vực như: Khu di tích lịch sử Đền Trần – Chùa Tháp, khu vực cột cờ, khu vực nhà thờ lớn, nhà thờ Khoái Đồng. </w:t>
      </w:r>
    </w:p>
    <w:p w14:paraId="519B34A7" w14:textId="77777777" w:rsidR="007D5896" w:rsidRPr="008E63BB" w:rsidRDefault="007D5896" w:rsidP="0065184D">
      <w:pPr>
        <w:rPr>
          <w:szCs w:val="26"/>
          <w:lang w:val="pt-BR"/>
        </w:rPr>
      </w:pPr>
      <w:r w:rsidRPr="008E63BB">
        <w:rPr>
          <w:szCs w:val="26"/>
          <w:lang w:val="pt-BR"/>
        </w:rPr>
        <w:tab/>
        <w:t xml:space="preserve">Điều quan trọng ở đây là cách tôn tạo, khai thác, phát huy các giá trị văn hóa này để không làm lu mờ ý nghĩa và không làm suy giảm giá trị gốc của di tích và hoạt động văn hóa. Giải pháp bảo tồn, tôn tạo và khai thác di sản cần được nghiên cứu và đề xuất phù hợp với từng công trình, khu vực cụ thể. Đồng thời, cần có những đầu tư nghiên cứu để biến tòan bộ hệ thống di sản vật thể và phi vật thể thành một thương hiệu đồng nhất.  </w:t>
      </w:r>
    </w:p>
    <w:p w14:paraId="519B34A8" w14:textId="77777777" w:rsidR="00E26408" w:rsidRPr="008E63BB" w:rsidRDefault="00FF02F7" w:rsidP="0065184D">
      <w:pPr>
        <w:ind w:firstLine="720"/>
        <w:rPr>
          <w:szCs w:val="26"/>
          <w:lang w:val="pt-BR"/>
        </w:rPr>
      </w:pPr>
      <w:r w:rsidRPr="008E63BB">
        <w:rPr>
          <w:szCs w:val="26"/>
          <w:lang w:val="pt-BR"/>
        </w:rPr>
        <w:t>Xây dựng tour tuyến du lịch gắn kết Khu vực Trung tâm văn h</w:t>
      </w:r>
      <w:r w:rsidR="00152EA5" w:rsidRPr="008E63BB">
        <w:rPr>
          <w:szCs w:val="26"/>
          <w:lang w:val="pt-BR"/>
        </w:rPr>
        <w:t>óa</w:t>
      </w:r>
      <w:r w:rsidRPr="008E63BB">
        <w:rPr>
          <w:szCs w:val="26"/>
          <w:lang w:val="pt-BR"/>
        </w:rPr>
        <w:t xml:space="preserve"> lịch sử lễ h</w:t>
      </w:r>
      <w:r w:rsidR="00152EA5" w:rsidRPr="008E63BB">
        <w:rPr>
          <w:szCs w:val="26"/>
          <w:lang w:val="pt-BR"/>
        </w:rPr>
        <w:t>ộ</w:t>
      </w:r>
      <w:r w:rsidRPr="008E63BB">
        <w:rPr>
          <w:szCs w:val="26"/>
          <w:lang w:val="pt-BR"/>
        </w:rPr>
        <w:t>i đền Trần gắn với các không gian du lịch trong và ngoài tỉnh, phát huy các giá trị cảnh quan, tăng cường kết nối giao thông và các không gian mở cho khu vực.</w:t>
      </w:r>
    </w:p>
    <w:p w14:paraId="519B34A9" w14:textId="77777777" w:rsidR="000C2745" w:rsidRPr="008E63BB" w:rsidRDefault="000C2745" w:rsidP="000C2745">
      <w:pPr>
        <w:rPr>
          <w:szCs w:val="26"/>
          <w:lang w:val="pt-BR"/>
        </w:rPr>
      </w:pPr>
      <w:r w:rsidRPr="008E63BB">
        <w:rPr>
          <w:i/>
          <w:szCs w:val="26"/>
          <w:lang w:val="pt-BR"/>
        </w:rPr>
        <w:t>- Khu vực phía Đông:</w:t>
      </w:r>
    </w:p>
    <w:p w14:paraId="519B34AA" w14:textId="77777777" w:rsidR="003D4ECD" w:rsidRPr="008E63BB" w:rsidRDefault="003D4ECD" w:rsidP="003D4ECD">
      <w:pPr>
        <w:ind w:firstLine="720"/>
        <w:rPr>
          <w:szCs w:val="26"/>
          <w:lang w:val="pt-BR"/>
        </w:rPr>
      </w:pPr>
      <w:r w:rsidRPr="008E63BB">
        <w:rPr>
          <w:szCs w:val="26"/>
          <w:lang w:val="pt-BR"/>
        </w:rPr>
        <w:t>Tiếp tục phát triển hoàn thiện hạ tầng KCN Mỹ Trung và CCN Mỹ Tân, đảm bảo khoảng cách xây dựng nút giao thông kết nối tuyến cầu Tân phong với tuyến vành đai 2 mới tạo nên tuyến khép kín đi quanh thành phố.</w:t>
      </w:r>
    </w:p>
    <w:p w14:paraId="519B34AB" w14:textId="77777777" w:rsidR="001B75D1" w:rsidRPr="008E63BB" w:rsidRDefault="001B75D1" w:rsidP="003D4ECD">
      <w:pPr>
        <w:ind w:firstLine="720"/>
        <w:rPr>
          <w:szCs w:val="26"/>
          <w:lang w:val="pt-BR"/>
        </w:rPr>
      </w:pPr>
      <w:r w:rsidRPr="008E63BB">
        <w:rPr>
          <w:szCs w:val="26"/>
          <w:lang w:val="pt-BR"/>
        </w:rPr>
        <w:t>Xây dựng nút giao thông kết nối tuyến cầu Tân Phong với tuyến vành đai 2 mới tạo nên tuyến khép kín bao quanh thành phố giảm tải rất tốt cho tuyến đường QL10 và vành đai 1.</w:t>
      </w:r>
    </w:p>
    <w:p w14:paraId="519B34AC" w14:textId="77777777" w:rsidR="007D5896" w:rsidRPr="008E63BB" w:rsidRDefault="0016427A" w:rsidP="0065184D">
      <w:pPr>
        <w:rPr>
          <w:b/>
          <w:i/>
          <w:szCs w:val="26"/>
          <w:lang w:val="pt-BR"/>
        </w:rPr>
      </w:pPr>
      <w:r w:rsidRPr="008E63BB">
        <w:rPr>
          <w:b/>
          <w:i/>
          <w:szCs w:val="26"/>
          <w:lang w:val="pt-BR"/>
        </w:rPr>
        <w:t xml:space="preserve">Khu số </w:t>
      </w:r>
      <w:r w:rsidR="007D5896" w:rsidRPr="008E63BB">
        <w:rPr>
          <w:b/>
          <w:i/>
          <w:szCs w:val="26"/>
          <w:lang w:val="pt-BR"/>
        </w:rPr>
        <w:t>4</w:t>
      </w:r>
      <w:r w:rsidRPr="008E63BB">
        <w:rPr>
          <w:b/>
          <w:i/>
          <w:szCs w:val="26"/>
          <w:lang w:val="pt-BR"/>
        </w:rPr>
        <w:t>:</w:t>
      </w:r>
      <w:r w:rsidR="007D5896" w:rsidRPr="008E63BB">
        <w:rPr>
          <w:b/>
          <w:i/>
          <w:szCs w:val="26"/>
          <w:lang w:val="pt-BR"/>
        </w:rPr>
        <w:t xml:space="preserve"> Khu Trung tâm cửa ngõ phía Tây đường vành đai 1:</w:t>
      </w:r>
    </w:p>
    <w:p w14:paraId="519B34AD" w14:textId="49732EF4" w:rsidR="003E11C3" w:rsidRPr="008E63BB" w:rsidRDefault="003E11C3" w:rsidP="0065184D">
      <w:pPr>
        <w:rPr>
          <w:szCs w:val="26"/>
          <w:lang w:val="pt-BR"/>
        </w:rPr>
      </w:pPr>
      <w:r w:rsidRPr="008E63BB">
        <w:rPr>
          <w:szCs w:val="26"/>
          <w:lang w:val="pt-BR"/>
        </w:rPr>
        <w:t>* Quy mô: 2.</w:t>
      </w:r>
      <w:r w:rsidR="00747410" w:rsidRPr="008E63BB">
        <w:rPr>
          <w:szCs w:val="26"/>
          <w:lang w:val="pt-BR"/>
        </w:rPr>
        <w:t>3</w:t>
      </w:r>
      <w:r w:rsidR="006726E8" w:rsidRPr="008E63BB">
        <w:rPr>
          <w:szCs w:val="26"/>
          <w:lang w:val="pt-BR"/>
        </w:rPr>
        <w:t>40</w:t>
      </w:r>
      <w:r w:rsidRPr="008E63BB">
        <w:rPr>
          <w:szCs w:val="26"/>
          <w:lang w:val="pt-BR"/>
        </w:rPr>
        <w:t>ha</w:t>
      </w:r>
      <w:r w:rsidR="00603E76" w:rsidRPr="008E63BB">
        <w:rPr>
          <w:szCs w:val="26"/>
          <w:lang w:val="pt-BR"/>
        </w:rPr>
        <w:t xml:space="preserve">, chiếm tỷ lệ </w:t>
      </w:r>
      <w:r w:rsidR="00747410" w:rsidRPr="008E63BB">
        <w:rPr>
          <w:szCs w:val="26"/>
          <w:lang w:val="pt-BR"/>
        </w:rPr>
        <w:t>12,4</w:t>
      </w:r>
      <w:r w:rsidR="00603E76" w:rsidRPr="008E63BB">
        <w:rPr>
          <w:szCs w:val="26"/>
          <w:lang w:val="pt-BR"/>
        </w:rPr>
        <w:t xml:space="preserve">%. </w:t>
      </w:r>
      <w:r w:rsidR="0064332C" w:rsidRPr="008E63BB">
        <w:rPr>
          <w:szCs w:val="26"/>
          <w:lang w:val="pt-BR"/>
        </w:rPr>
        <w:t xml:space="preserve">Dân số đến năm 2030 khoảng </w:t>
      </w:r>
      <w:r w:rsidR="00747410" w:rsidRPr="008E63BB">
        <w:rPr>
          <w:szCs w:val="26"/>
          <w:lang w:val="pt-BR"/>
        </w:rPr>
        <w:t>39.030</w:t>
      </w:r>
      <w:r w:rsidR="0064332C" w:rsidRPr="008E63BB">
        <w:rPr>
          <w:szCs w:val="26"/>
          <w:lang w:val="pt-BR"/>
        </w:rPr>
        <w:t xml:space="preserve"> người, đến năm 2040 khoảng </w:t>
      </w:r>
      <w:r w:rsidR="00747410" w:rsidRPr="008E63BB">
        <w:rPr>
          <w:szCs w:val="26"/>
          <w:lang w:val="pt-BR"/>
        </w:rPr>
        <w:t>46.170</w:t>
      </w:r>
      <w:r w:rsidR="0064332C" w:rsidRPr="008E63BB">
        <w:rPr>
          <w:szCs w:val="26"/>
          <w:lang w:val="pt-BR"/>
        </w:rPr>
        <w:t xml:space="preserve"> người</w:t>
      </w:r>
      <w:r w:rsidR="00603E76" w:rsidRPr="008E63BB">
        <w:rPr>
          <w:szCs w:val="26"/>
          <w:lang w:val="pt-BR"/>
        </w:rPr>
        <w:t>.</w:t>
      </w:r>
    </w:p>
    <w:p w14:paraId="519B34AE" w14:textId="62DD2A5E" w:rsidR="00DF211A" w:rsidRPr="008E63BB" w:rsidRDefault="007D5896" w:rsidP="0065184D">
      <w:pPr>
        <w:rPr>
          <w:szCs w:val="26"/>
          <w:lang w:val="pt-BR"/>
        </w:rPr>
      </w:pPr>
      <w:r w:rsidRPr="008E63BB">
        <w:rPr>
          <w:szCs w:val="26"/>
          <w:lang w:val="pt-BR"/>
        </w:rPr>
        <w:t>*</w:t>
      </w:r>
      <w:r w:rsidR="00534D34" w:rsidRPr="008E63BB">
        <w:rPr>
          <w:szCs w:val="26"/>
          <w:lang w:val="pt-BR"/>
        </w:rPr>
        <w:t xml:space="preserve"> </w:t>
      </w:r>
      <w:r w:rsidRPr="008E63BB">
        <w:rPr>
          <w:szCs w:val="26"/>
          <w:lang w:val="pt-BR"/>
        </w:rPr>
        <w:t xml:space="preserve">Chức năng: Đây là khu vực cửa ngõ đô thị với các chức năng phát triển công nghiệp, dịch vụ, đô thị, logistic, đầu mối </w:t>
      </w:r>
      <w:r w:rsidR="001B75D1" w:rsidRPr="008E63BB">
        <w:rPr>
          <w:szCs w:val="26"/>
          <w:lang w:val="pt-BR"/>
        </w:rPr>
        <w:t xml:space="preserve">hạ tầng kỹ thuật, </w:t>
      </w:r>
      <w:r w:rsidRPr="008E63BB">
        <w:rPr>
          <w:szCs w:val="26"/>
          <w:lang w:val="pt-BR"/>
        </w:rPr>
        <w:t>giao thông đường bộ, đường sắt (Bến xe, nhà ga,..), đan xen với các khu dân cư hiện hữu.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4B0" w14:textId="77777777" w:rsidTr="00DF211A">
        <w:tc>
          <w:tcPr>
            <w:tcW w:w="9276" w:type="dxa"/>
          </w:tcPr>
          <w:p w14:paraId="519B34AF" w14:textId="77777777" w:rsidR="00DF211A" w:rsidRPr="008E63BB" w:rsidRDefault="008C4068" w:rsidP="0065184D">
            <w:pPr>
              <w:jc w:val="center"/>
              <w:rPr>
                <w:szCs w:val="26"/>
                <w:lang w:val="pt-BR"/>
              </w:rPr>
            </w:pPr>
            <w:r w:rsidRPr="008E63BB">
              <w:rPr>
                <w:noProof/>
                <w:szCs w:val="26"/>
                <w:lang w:eastAsia="zh-CN"/>
              </w:rPr>
              <w:lastRenderedPageBreak/>
              <w:drawing>
                <wp:inline distT="0" distB="0" distL="0" distR="0" wp14:anchorId="519B524F" wp14:editId="2F8EC07B">
                  <wp:extent cx="3090710" cy="3592470"/>
                  <wp:effectExtent l="0" t="0" r="0" b="8255"/>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 name="KHU 4.jpg"/>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3090710" cy="359247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4B1" w14:textId="77777777" w:rsidR="007D5896" w:rsidRPr="008E63BB" w:rsidRDefault="007D5896" w:rsidP="0065184D">
      <w:pPr>
        <w:rPr>
          <w:szCs w:val="26"/>
          <w:lang w:val="pt-BR"/>
        </w:rPr>
      </w:pPr>
      <w:r w:rsidRPr="008E63BB">
        <w:rPr>
          <w:szCs w:val="26"/>
          <w:lang w:val="pt-BR"/>
        </w:rPr>
        <w:tab/>
        <w:t xml:space="preserve">Xây dựng một trung tâm đầu mối tiếp vận về giao thông: ga đường sắt, đường sắt </w:t>
      </w:r>
      <w:r w:rsidR="0078266F" w:rsidRPr="008E63BB">
        <w:rPr>
          <w:szCs w:val="26"/>
          <w:lang w:val="pt-BR"/>
        </w:rPr>
        <w:t xml:space="preserve">tốc độ </w:t>
      </w:r>
      <w:r w:rsidRPr="008E63BB">
        <w:rPr>
          <w:szCs w:val="26"/>
          <w:lang w:val="pt-BR"/>
        </w:rPr>
        <w:t>cao, tuyến đườ</w:t>
      </w:r>
      <w:r w:rsidR="00BA71BE" w:rsidRPr="008E63BB">
        <w:rPr>
          <w:szCs w:val="26"/>
          <w:lang w:val="pt-BR"/>
        </w:rPr>
        <w:t>ng QL21</w:t>
      </w:r>
      <w:r w:rsidRPr="008E63BB">
        <w:rPr>
          <w:szCs w:val="26"/>
          <w:lang w:val="pt-BR"/>
        </w:rPr>
        <w:t>, tuyến đường vành đai ngoài TP tạo nên một không gian tập trung đầu mối hạ tầng trung chuyển vận tải đa phương thức, đầu tư xây dựng trung tâm thương mại trao đổi hàng hóa, logistic, kho bãi, là điểm nhấn phát triển kinh tế vận tải và thương mại cho khu vực.</w:t>
      </w:r>
    </w:p>
    <w:p w14:paraId="519B34B2" w14:textId="77777777" w:rsidR="007D5896" w:rsidRPr="008E63BB" w:rsidRDefault="007D5896" w:rsidP="0065184D">
      <w:pPr>
        <w:tabs>
          <w:tab w:val="num" w:pos="720"/>
        </w:tabs>
        <w:rPr>
          <w:szCs w:val="26"/>
          <w:lang w:val="pt-BR"/>
        </w:rPr>
      </w:pPr>
      <w:r w:rsidRPr="008E63BB">
        <w:rPr>
          <w:szCs w:val="26"/>
          <w:lang w:val="pt-BR"/>
        </w:rPr>
        <w:tab/>
        <w:t>Phát triển mở rộng diện tích khu cụm công nghiệp hiện hữu đảm bảo khai thác tối đa quỹ đất hiện có đến tiếp giáp với tuyến đường vành đai 2 của thành phố, chỉ phát triển các loại hình sản xuất công nghiệp công nghệ cao, thân thiện với môi trường, phục vụ trực tiếp cho các loại hình sản phẩm phục vụ đô thị thông minh và du lịch.</w:t>
      </w:r>
    </w:p>
    <w:p w14:paraId="519B34B3" w14:textId="77777777" w:rsidR="00500102" w:rsidRPr="008E63BB" w:rsidRDefault="00500102" w:rsidP="0065184D">
      <w:pPr>
        <w:tabs>
          <w:tab w:val="num" w:pos="720"/>
        </w:tabs>
        <w:rPr>
          <w:szCs w:val="26"/>
          <w:lang w:val="pt-BR"/>
        </w:rPr>
      </w:pPr>
      <w:r w:rsidRPr="008E63BB">
        <w:rPr>
          <w:szCs w:val="26"/>
          <w:lang w:val="pt-BR"/>
        </w:rPr>
        <w:tab/>
        <w:t>Dọc tuyến vành đai 2 tại các đầu mối giao thông hướng tâm quan trọng bố trí các công trình hỗn hợp dịch vụ phục vụ nhu cầu phát triển trong tương lai. Ngoài ra là các quỹ đất dự trữ phát triển cho các chức năng sau này khi lập quy hoạch phân khu.</w:t>
      </w:r>
    </w:p>
    <w:p w14:paraId="519B34B4" w14:textId="77777777" w:rsidR="007D5896" w:rsidRPr="008E63BB" w:rsidRDefault="0016427A" w:rsidP="0065184D">
      <w:pPr>
        <w:rPr>
          <w:b/>
          <w:i/>
          <w:szCs w:val="26"/>
          <w:lang w:val="pt-BR"/>
        </w:rPr>
      </w:pPr>
      <w:r w:rsidRPr="008E63BB">
        <w:rPr>
          <w:b/>
          <w:i/>
          <w:szCs w:val="26"/>
          <w:lang w:val="pt-BR"/>
        </w:rPr>
        <w:t xml:space="preserve">Khu số </w:t>
      </w:r>
      <w:r w:rsidR="007D5896" w:rsidRPr="008E63BB">
        <w:rPr>
          <w:b/>
          <w:i/>
          <w:szCs w:val="26"/>
          <w:lang w:val="pt-BR"/>
        </w:rPr>
        <w:t>5</w:t>
      </w:r>
      <w:r w:rsidRPr="008E63BB">
        <w:rPr>
          <w:b/>
          <w:i/>
          <w:szCs w:val="26"/>
          <w:lang w:val="pt-BR"/>
        </w:rPr>
        <w:t>:</w:t>
      </w:r>
      <w:r w:rsidR="007D5896" w:rsidRPr="008E63BB">
        <w:rPr>
          <w:b/>
          <w:i/>
          <w:szCs w:val="26"/>
          <w:lang w:val="pt-BR"/>
        </w:rPr>
        <w:t xml:space="preserve"> Khu</w:t>
      </w:r>
      <w:r w:rsidR="003C0271" w:rsidRPr="008E63BB">
        <w:rPr>
          <w:b/>
          <w:i/>
          <w:szCs w:val="26"/>
          <w:lang w:val="pt-BR"/>
        </w:rPr>
        <w:t xml:space="preserve"> vực phát triển</w:t>
      </w:r>
      <w:r w:rsidR="007D5896" w:rsidRPr="008E63BB">
        <w:rPr>
          <w:b/>
          <w:i/>
          <w:szCs w:val="26"/>
          <w:lang w:val="pt-BR"/>
        </w:rPr>
        <w:t xml:space="preserve"> đô thị mới Nam Sông Đào:</w:t>
      </w:r>
    </w:p>
    <w:p w14:paraId="519B34B5" w14:textId="429950C5" w:rsidR="003E11C3" w:rsidRPr="008E63BB" w:rsidRDefault="003E11C3" w:rsidP="0065184D">
      <w:pPr>
        <w:rPr>
          <w:szCs w:val="26"/>
          <w:lang w:val="pt-BR"/>
        </w:rPr>
      </w:pPr>
      <w:r w:rsidRPr="008E63BB">
        <w:rPr>
          <w:szCs w:val="26"/>
          <w:lang w:val="pt-BR"/>
        </w:rPr>
        <w:t xml:space="preserve">* Quy mô: </w:t>
      </w:r>
      <w:r w:rsidR="00747410" w:rsidRPr="008E63BB">
        <w:rPr>
          <w:szCs w:val="26"/>
          <w:lang w:val="pt-BR"/>
        </w:rPr>
        <w:t>2.46</w:t>
      </w:r>
      <w:r w:rsidR="006726E8" w:rsidRPr="008E63BB">
        <w:rPr>
          <w:szCs w:val="26"/>
          <w:lang w:val="pt-BR"/>
        </w:rPr>
        <w:t>3</w:t>
      </w:r>
      <w:r w:rsidRPr="008E63BB">
        <w:rPr>
          <w:szCs w:val="26"/>
          <w:lang w:val="pt-BR"/>
        </w:rPr>
        <w:t>ha</w:t>
      </w:r>
      <w:r w:rsidR="001A2616" w:rsidRPr="008E63BB">
        <w:rPr>
          <w:szCs w:val="26"/>
          <w:lang w:val="pt-BR"/>
        </w:rPr>
        <w:t xml:space="preserve">, chiểm tỷ lệ </w:t>
      </w:r>
      <w:r w:rsidR="00747410" w:rsidRPr="008E63BB">
        <w:rPr>
          <w:szCs w:val="26"/>
          <w:lang w:val="pt-BR"/>
        </w:rPr>
        <w:t>13,1</w:t>
      </w:r>
      <w:r w:rsidR="001A2616" w:rsidRPr="008E63BB">
        <w:rPr>
          <w:szCs w:val="26"/>
          <w:lang w:val="pt-BR"/>
        </w:rPr>
        <w:t xml:space="preserve">%. </w:t>
      </w:r>
      <w:r w:rsidR="0064332C" w:rsidRPr="008E63BB">
        <w:rPr>
          <w:szCs w:val="26"/>
          <w:lang w:val="pt-BR"/>
        </w:rPr>
        <w:t xml:space="preserve">Dân số đến năm 2030 khoảng </w:t>
      </w:r>
      <w:r w:rsidR="00D92AF1" w:rsidRPr="008E63BB">
        <w:rPr>
          <w:szCs w:val="26"/>
          <w:lang w:val="pt-BR"/>
        </w:rPr>
        <w:t>67.820</w:t>
      </w:r>
      <w:r w:rsidR="0064332C" w:rsidRPr="008E63BB">
        <w:rPr>
          <w:szCs w:val="26"/>
          <w:lang w:val="pt-BR"/>
        </w:rPr>
        <w:t xml:space="preserve"> người, đến năm 2040 khoảng </w:t>
      </w:r>
      <w:r w:rsidR="00372E53" w:rsidRPr="008E63BB">
        <w:rPr>
          <w:szCs w:val="26"/>
          <w:lang w:val="pt-BR"/>
        </w:rPr>
        <w:t>109.140</w:t>
      </w:r>
      <w:r w:rsidR="00534D34" w:rsidRPr="008E63BB">
        <w:rPr>
          <w:szCs w:val="26"/>
          <w:lang w:val="pt-BR"/>
        </w:rPr>
        <w:t xml:space="preserve"> </w:t>
      </w:r>
      <w:r w:rsidR="0064332C" w:rsidRPr="008E63BB">
        <w:rPr>
          <w:szCs w:val="26"/>
          <w:lang w:val="pt-BR"/>
        </w:rPr>
        <w:t>người.</w:t>
      </w:r>
    </w:p>
    <w:p w14:paraId="519B34B6" w14:textId="35817604" w:rsidR="008B7A2F" w:rsidRPr="008E63BB" w:rsidRDefault="007D5896" w:rsidP="0065184D">
      <w:pPr>
        <w:rPr>
          <w:szCs w:val="26"/>
          <w:lang w:val="pt-BR"/>
        </w:rPr>
      </w:pPr>
      <w:r w:rsidRPr="008E63BB">
        <w:rPr>
          <w:szCs w:val="26"/>
          <w:lang w:val="pt-BR"/>
        </w:rPr>
        <w:t>*</w:t>
      </w:r>
      <w:r w:rsidR="00534D34" w:rsidRPr="008E63BB">
        <w:rPr>
          <w:szCs w:val="26"/>
          <w:lang w:val="pt-BR"/>
        </w:rPr>
        <w:t xml:space="preserve"> </w:t>
      </w:r>
      <w:r w:rsidRPr="008E63BB">
        <w:rPr>
          <w:szCs w:val="26"/>
          <w:lang w:val="pt-BR"/>
        </w:rPr>
        <w:t xml:space="preserve">Chức năng: </w:t>
      </w:r>
      <w:r w:rsidR="00BA71BE" w:rsidRPr="008E63BB">
        <w:rPr>
          <w:szCs w:val="26"/>
          <w:lang w:val="pt-BR"/>
        </w:rPr>
        <w:t>Đây là khu vực phát triển đô thị mới phía Nam sầm uất tương xứng với đô thị hiện hữu gắn với cửa ngõ phía Đông nam thành phố và vùng sinh thái nông nghiệ</w:t>
      </w:r>
      <w:r w:rsidR="00500102" w:rsidRPr="008E63BB">
        <w:rPr>
          <w:szCs w:val="26"/>
          <w:lang w:val="pt-BR"/>
        </w:rPr>
        <w:t>p N</w:t>
      </w:r>
      <w:r w:rsidR="00BA71BE" w:rsidRPr="008E63BB">
        <w:rPr>
          <w:szCs w:val="26"/>
          <w:lang w:val="pt-BR"/>
        </w:rPr>
        <w:t>am sông Đào</w:t>
      </w:r>
      <w:r w:rsidR="008B7A2F" w:rsidRPr="008E63BB">
        <w:rPr>
          <w:szCs w:val="26"/>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4B8" w14:textId="77777777" w:rsidTr="00DF211A">
        <w:tc>
          <w:tcPr>
            <w:tcW w:w="9276" w:type="dxa"/>
          </w:tcPr>
          <w:p w14:paraId="519B34B7" w14:textId="77777777" w:rsidR="00DF211A" w:rsidRPr="008E63BB" w:rsidRDefault="00225222" w:rsidP="0065184D">
            <w:pPr>
              <w:jc w:val="center"/>
              <w:rPr>
                <w:szCs w:val="26"/>
                <w:lang w:val="pt-BR"/>
              </w:rPr>
            </w:pPr>
            <w:r w:rsidRPr="008E63BB">
              <w:rPr>
                <w:noProof/>
                <w:szCs w:val="26"/>
                <w:lang w:eastAsia="zh-CN"/>
              </w:rPr>
              <w:lastRenderedPageBreak/>
              <w:drawing>
                <wp:inline distT="0" distB="0" distL="0" distR="0" wp14:anchorId="519B5251" wp14:editId="13ACBDBF">
                  <wp:extent cx="3475903" cy="3889429"/>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khu 5.jpg"/>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3475903" cy="38894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4B9" w14:textId="77777777" w:rsidR="007D5896" w:rsidRPr="008E63BB" w:rsidRDefault="008B7A2F" w:rsidP="0065184D">
      <w:pPr>
        <w:ind w:firstLine="720"/>
        <w:rPr>
          <w:szCs w:val="26"/>
          <w:lang w:val="pt-BR"/>
        </w:rPr>
      </w:pPr>
      <w:r w:rsidRPr="008E63BB">
        <w:rPr>
          <w:b/>
          <w:i/>
          <w:szCs w:val="26"/>
          <w:lang w:val="pt-BR"/>
        </w:rPr>
        <w:t>Định hướng chính:</w:t>
      </w:r>
    </w:p>
    <w:p w14:paraId="519B34BA" w14:textId="77777777" w:rsidR="007D5896" w:rsidRPr="008E63BB" w:rsidRDefault="007D5896" w:rsidP="0065184D">
      <w:pPr>
        <w:rPr>
          <w:szCs w:val="26"/>
          <w:lang w:val="pt-BR"/>
        </w:rPr>
      </w:pPr>
      <w:r w:rsidRPr="008E63BB">
        <w:rPr>
          <w:szCs w:val="26"/>
          <w:lang w:val="pt-BR"/>
        </w:rPr>
        <w:tab/>
        <w:t>Bố trí thêm 02 cầu cơ giớ</w:t>
      </w:r>
      <w:r w:rsidR="00500102" w:rsidRPr="008E63BB">
        <w:rPr>
          <w:szCs w:val="26"/>
          <w:lang w:val="pt-BR"/>
        </w:rPr>
        <w:t>i để kết nối tốt hơn với khu vực đô thị</w:t>
      </w:r>
      <w:r w:rsidRPr="008E63BB">
        <w:rPr>
          <w:szCs w:val="26"/>
          <w:lang w:val="pt-BR"/>
        </w:rPr>
        <w:t xml:space="preserve"> Nam sông Đào, tại các đầu mối giao thông tổ chức các công trình điểm nhấn, thương mại dịch vụ</w:t>
      </w:r>
      <w:r w:rsidR="00500102" w:rsidRPr="008E63BB">
        <w:rPr>
          <w:szCs w:val="26"/>
          <w:lang w:val="pt-BR"/>
        </w:rPr>
        <w:t>, cây xanh, quảng trường</w:t>
      </w:r>
      <w:r w:rsidRPr="008E63BB">
        <w:rPr>
          <w:szCs w:val="26"/>
          <w:lang w:val="pt-BR"/>
        </w:rPr>
        <w:t xml:space="preserve"> đảm bảo cân bằng hài hòa không gian đô thị 2 bên sông, tạo các trục đô thị mới sầm uất tương xứng với đô thị trung tâm hiện hữu, ngoài ra các không gian mặt nước tự nhiên được gìn giữ, cải tạo mở rộng kết hợp tổ chức liên kết liên hoàn.</w:t>
      </w:r>
    </w:p>
    <w:p w14:paraId="519B34BB" w14:textId="24B0EA1D" w:rsidR="0027524C" w:rsidRPr="008E63BB" w:rsidRDefault="0027524C" w:rsidP="0065184D">
      <w:pPr>
        <w:ind w:firstLine="720"/>
        <w:rPr>
          <w:szCs w:val="26"/>
          <w:lang w:val="pt-BR"/>
        </w:rPr>
      </w:pPr>
      <w:r w:rsidRPr="008E63BB">
        <w:rPr>
          <w:szCs w:val="26"/>
          <w:lang w:val="pt-BR"/>
        </w:rPr>
        <w:t xml:space="preserve">Khuyến khích phát triển mô hình nhà cao tầng nhưng có diện tích chiếm đất thấp, mật độ thấp với nhiều không gian cây xanh, vườn đô thị. </w:t>
      </w:r>
      <w:r w:rsidR="003338DF" w:rsidRPr="008E63BB">
        <w:rPr>
          <w:szCs w:val="26"/>
          <w:lang w:val="pt-BR"/>
        </w:rPr>
        <w:t>Tiếp tục phát triển các khu có chức năng dịch vụ, thương mại, sản xuất dọc theo đường vành đai (hành lang “việc làm”)</w:t>
      </w:r>
      <w:r w:rsidR="0007790B">
        <w:rPr>
          <w:szCs w:val="26"/>
          <w:lang w:val="pt-BR"/>
        </w:rPr>
        <w:t xml:space="preserve"> </w:t>
      </w:r>
      <w:bookmarkStart w:id="397" w:name="_GoBack"/>
      <w:bookmarkEnd w:id="397"/>
      <w:r w:rsidR="003338DF" w:rsidRPr="008E63BB">
        <w:rPr>
          <w:szCs w:val="26"/>
          <w:lang w:val="pt-BR"/>
        </w:rPr>
        <w:t>với các khoảng đệm cần thiết</w:t>
      </w:r>
      <w:r w:rsidRPr="008E63BB">
        <w:rPr>
          <w:szCs w:val="26"/>
          <w:lang w:val="pt-BR"/>
        </w:rPr>
        <w:t>.</w:t>
      </w:r>
    </w:p>
    <w:p w14:paraId="519B34BC" w14:textId="77777777" w:rsidR="007D5896" w:rsidRPr="008E63BB" w:rsidRDefault="007D5896" w:rsidP="0065184D">
      <w:pPr>
        <w:rPr>
          <w:szCs w:val="26"/>
          <w:lang w:val="pt-BR"/>
        </w:rPr>
      </w:pPr>
      <w:r w:rsidRPr="008E63BB">
        <w:rPr>
          <w:szCs w:val="26"/>
          <w:lang w:val="pt-BR"/>
        </w:rPr>
        <w:tab/>
        <w:t xml:space="preserve"> Tại vị trí cầu treo lịch sử, </w:t>
      </w:r>
      <w:r w:rsidR="00BA71BE" w:rsidRPr="008E63BB">
        <w:rPr>
          <w:szCs w:val="26"/>
          <w:lang w:val="pt-BR"/>
        </w:rPr>
        <w:t xml:space="preserve">đề xuất khôi phục xây dựng 01 cầu </w:t>
      </w:r>
      <w:r w:rsidRPr="008E63BB">
        <w:rPr>
          <w:szCs w:val="26"/>
          <w:lang w:val="pt-BR"/>
        </w:rPr>
        <w:t>với hình thức kiến trúc đặc sắc (có thi tuyển phương án mang biểu tượng thành phố lịch sử Nam Định) để kết nối không gian lịch sử hiện hữu với không gian phát triển mới bên bờ nam Sông Đào, tổ chức quảng trường, cây xanh cảnh quan, công trình dịch vụ tạo nên một điểm đến hấp dẫn, điểm check in không thể thiếu trong hành trình tham quan và khám phá thành phố c</w:t>
      </w:r>
      <w:r w:rsidR="00A2594B" w:rsidRPr="008E63BB">
        <w:rPr>
          <w:szCs w:val="26"/>
          <w:lang w:val="pt-BR"/>
        </w:rPr>
        <w:t>ũ</w:t>
      </w:r>
      <w:r w:rsidRPr="008E63BB">
        <w:rPr>
          <w:szCs w:val="26"/>
          <w:lang w:val="pt-BR"/>
        </w:rPr>
        <w:t xml:space="preserve"> Nam Định. </w:t>
      </w:r>
    </w:p>
    <w:p w14:paraId="519B34BD" w14:textId="77777777" w:rsidR="00F0233F" w:rsidRPr="008E63BB" w:rsidRDefault="00BA71BE" w:rsidP="0065184D">
      <w:pPr>
        <w:ind w:firstLine="720"/>
        <w:rPr>
          <w:szCs w:val="26"/>
          <w:lang w:val="pt-BR"/>
        </w:rPr>
      </w:pPr>
      <w:r w:rsidRPr="008E63BB">
        <w:rPr>
          <w:szCs w:val="26"/>
          <w:lang w:val="pt-BR"/>
        </w:rPr>
        <w:t>Nghiên cứu xây dựng Cung văn hóa thành phố mới gắn với trung tâm TDTT mới để hút khách và phục vụ người dân cho khu vực phía Nam sông Đào. C</w:t>
      </w:r>
      <w:r w:rsidR="00F0233F" w:rsidRPr="008E63BB">
        <w:rPr>
          <w:szCs w:val="26"/>
          <w:lang w:val="pt-BR"/>
        </w:rPr>
        <w:t>ác không gian trong nhà và ngoài trời củ</w:t>
      </w:r>
      <w:r w:rsidRPr="008E63BB">
        <w:rPr>
          <w:szCs w:val="26"/>
          <w:lang w:val="pt-BR"/>
        </w:rPr>
        <w:t>a Cung văn hóa</w:t>
      </w:r>
      <w:r w:rsidR="00F0233F" w:rsidRPr="008E63BB">
        <w:rPr>
          <w:szCs w:val="26"/>
          <w:lang w:val="pt-BR"/>
        </w:rPr>
        <w:t xml:space="preserve"> được bố trí linh hoạt để tạo điều kiện cho các hoạt động công cộng khi cần thiết.</w:t>
      </w:r>
    </w:p>
    <w:p w14:paraId="519B34BE" w14:textId="77777777" w:rsidR="007D5896" w:rsidRPr="008E63BB" w:rsidRDefault="007D5896" w:rsidP="0065184D">
      <w:pPr>
        <w:rPr>
          <w:szCs w:val="26"/>
          <w:lang w:val="pt-BR"/>
        </w:rPr>
      </w:pPr>
      <w:r w:rsidRPr="008E63BB">
        <w:rPr>
          <w:szCs w:val="26"/>
          <w:lang w:val="pt-BR"/>
        </w:rPr>
        <w:tab/>
        <w:t>Các khu làng hiện đang có cảnh quan rất đẹp. Cầ</w:t>
      </w:r>
      <w:r w:rsidR="007A1D95" w:rsidRPr="008E63BB">
        <w:rPr>
          <w:szCs w:val="26"/>
          <w:lang w:val="pt-BR"/>
        </w:rPr>
        <w:t>n bảo tồn và phát huy</w:t>
      </w:r>
      <w:r w:rsidRPr="008E63BB">
        <w:rPr>
          <w:szCs w:val="26"/>
          <w:lang w:val="pt-BR"/>
        </w:rPr>
        <w:t xml:space="preserve"> không gian trồng hoa, cây cảnh, đồng thời, cải tạo, nâng cao chất lượng môi trường sống các khu dân cư hiện hữu theo hướng đô thị sinh thái. Tiếp tục phát huy và nâng cao giá trị cảnh quan của các khu vực này, đặc biệt là khu vực ven đê. Duy trì hoạt động sản xuất nông nghiệp phục vụ đô thị kết hợp với các hoạt động du lịch sinh thái.</w:t>
      </w:r>
    </w:p>
    <w:p w14:paraId="519B34BF" w14:textId="77777777" w:rsidR="007D5896" w:rsidRPr="008E63BB" w:rsidRDefault="00F0233F" w:rsidP="0065184D">
      <w:pPr>
        <w:rPr>
          <w:szCs w:val="26"/>
          <w:lang w:val="pt-BR"/>
        </w:rPr>
      </w:pPr>
      <w:r w:rsidRPr="008E63BB">
        <w:rPr>
          <w:szCs w:val="26"/>
          <w:lang w:val="pt-BR"/>
        </w:rPr>
        <w:lastRenderedPageBreak/>
        <w:tab/>
      </w:r>
      <w:r w:rsidR="007D5896" w:rsidRPr="008E63BB">
        <w:rPr>
          <w:szCs w:val="26"/>
          <w:lang w:val="pt-BR"/>
        </w:rPr>
        <w:t xml:space="preserve"> Tôn tạo cảnh quan dọc theo kênh mương để làm rõ nét hơn giá trị cảnh quan sinh thái của khu vực. Sử dụng trồng hoa kinh doanh hoặc hoa dại công cộng theo ngôn ngữ tự nhiên</w:t>
      </w:r>
    </w:p>
    <w:p w14:paraId="519B34C0" w14:textId="77777777" w:rsidR="007D5896" w:rsidRPr="008E63BB" w:rsidRDefault="007D5896" w:rsidP="0065184D">
      <w:pPr>
        <w:rPr>
          <w:szCs w:val="26"/>
          <w:lang w:val="pt-BR"/>
        </w:rPr>
      </w:pPr>
      <w:r w:rsidRPr="008E63BB">
        <w:rPr>
          <w:szCs w:val="26"/>
          <w:lang w:val="pt-BR"/>
        </w:rPr>
        <w:tab/>
        <w:t xml:space="preserve">Các khu làng hiện hữu lân cận khu trung tâm đô thị </w:t>
      </w:r>
      <w:r w:rsidR="00EC5383" w:rsidRPr="008E63BB">
        <w:rPr>
          <w:szCs w:val="26"/>
          <w:lang w:val="pt-BR"/>
        </w:rPr>
        <w:t xml:space="preserve">mới </w:t>
      </w:r>
      <w:r w:rsidRPr="008E63BB">
        <w:rPr>
          <w:szCs w:val="26"/>
          <w:lang w:val="pt-BR"/>
        </w:rPr>
        <w:t>phía Nam sông Đào sẽ có nhu cầu đô thị hóa cao và được khuyến khích cải tạo trên cơ sở cấu trúc đường giao thông hiện trạng, xen cấy một số chức năng đô thị mới và giữ lại các mặt nước chính trong mỗi khu vực. Yêu cầu quan trọng nhất đối với các khu vực này là không di dời giải tỏa ồ ạt, tạo điều kiện tối đa để nâng cấp hạ tầng kỹ thuật, bổ sung không gian cây xanh công cộng và công trình dịch vụ trong khu dân cư hiện hữu, giữ lại cấu trúc mặt nước làm trung tâm cho mỗi khu vực</w:t>
      </w:r>
      <w:r w:rsidR="00BA71BE" w:rsidRPr="008E63BB">
        <w:rPr>
          <w:szCs w:val="26"/>
          <w:lang w:val="pt-BR"/>
        </w:rPr>
        <w:t>.</w:t>
      </w:r>
    </w:p>
    <w:p w14:paraId="519B34C1" w14:textId="77777777" w:rsidR="00EC5383" w:rsidRPr="008E63BB" w:rsidRDefault="00A74678" w:rsidP="0065184D">
      <w:pPr>
        <w:rPr>
          <w:b/>
          <w:i/>
          <w:szCs w:val="26"/>
          <w:lang w:val="pt-BR"/>
        </w:rPr>
      </w:pPr>
      <w:r w:rsidRPr="008E63BB">
        <w:rPr>
          <w:b/>
          <w:i/>
          <w:szCs w:val="26"/>
          <w:lang w:val="pt-BR"/>
        </w:rPr>
        <w:t xml:space="preserve">Khu số </w:t>
      </w:r>
      <w:r w:rsidR="007D5896" w:rsidRPr="008E63BB">
        <w:rPr>
          <w:b/>
          <w:i/>
          <w:szCs w:val="26"/>
          <w:lang w:val="pt-BR"/>
        </w:rPr>
        <w:t>6</w:t>
      </w:r>
      <w:r w:rsidRPr="008E63BB">
        <w:rPr>
          <w:b/>
          <w:i/>
          <w:szCs w:val="26"/>
          <w:lang w:val="pt-BR"/>
        </w:rPr>
        <w:t>:</w:t>
      </w:r>
      <w:r w:rsidR="00F64C4A" w:rsidRPr="008E63BB">
        <w:rPr>
          <w:b/>
          <w:i/>
          <w:szCs w:val="26"/>
          <w:lang w:val="pt-BR"/>
        </w:rPr>
        <w:t xml:space="preserve"> </w:t>
      </w:r>
      <w:r w:rsidR="00EC5383" w:rsidRPr="008E63BB">
        <w:rPr>
          <w:b/>
          <w:i/>
          <w:szCs w:val="26"/>
          <w:lang w:val="pt-BR"/>
        </w:rPr>
        <w:t>Khu công nghiệp, dịch vụ</w:t>
      </w:r>
      <w:r w:rsidR="00B56068" w:rsidRPr="008E63BB">
        <w:rPr>
          <w:b/>
          <w:i/>
          <w:szCs w:val="26"/>
          <w:lang w:val="pt-BR"/>
        </w:rPr>
        <w:t xml:space="preserve">,dân cư </w:t>
      </w:r>
      <w:r w:rsidR="00EC5383" w:rsidRPr="008E63BB">
        <w:rPr>
          <w:b/>
          <w:i/>
          <w:szCs w:val="26"/>
          <w:lang w:val="pt-BR"/>
        </w:rPr>
        <w:t>phía Tây thành phố:</w:t>
      </w:r>
    </w:p>
    <w:p w14:paraId="519B34C2" w14:textId="77777777" w:rsidR="003E11C3" w:rsidRPr="008E63BB" w:rsidRDefault="003E11C3" w:rsidP="0065184D">
      <w:pPr>
        <w:rPr>
          <w:szCs w:val="26"/>
          <w:lang w:val="pt-BR"/>
        </w:rPr>
      </w:pPr>
      <w:r w:rsidRPr="008E63BB">
        <w:rPr>
          <w:szCs w:val="26"/>
          <w:lang w:val="pt-BR"/>
        </w:rPr>
        <w:t>* Quy mô: 2.</w:t>
      </w:r>
      <w:r w:rsidR="006B1F17" w:rsidRPr="008E63BB">
        <w:rPr>
          <w:szCs w:val="26"/>
          <w:lang w:val="pt-BR"/>
        </w:rPr>
        <w:t>356</w:t>
      </w:r>
      <w:r w:rsidRPr="008E63BB">
        <w:rPr>
          <w:szCs w:val="26"/>
          <w:lang w:val="pt-BR"/>
        </w:rPr>
        <w:t>ha</w:t>
      </w:r>
      <w:r w:rsidR="00603E76" w:rsidRPr="008E63BB">
        <w:rPr>
          <w:szCs w:val="26"/>
          <w:lang w:val="pt-BR"/>
        </w:rPr>
        <w:t xml:space="preserve">, chiếm tỷ lệ </w:t>
      </w:r>
      <w:r w:rsidR="006B1F17" w:rsidRPr="008E63BB">
        <w:rPr>
          <w:szCs w:val="26"/>
          <w:lang w:val="pt-BR"/>
        </w:rPr>
        <w:t>12,5</w:t>
      </w:r>
      <w:r w:rsidR="00603E76" w:rsidRPr="008E63BB">
        <w:rPr>
          <w:szCs w:val="26"/>
          <w:lang w:val="pt-BR"/>
        </w:rPr>
        <w:t xml:space="preserve">%. </w:t>
      </w:r>
      <w:r w:rsidR="0064332C" w:rsidRPr="008E63BB">
        <w:rPr>
          <w:szCs w:val="26"/>
          <w:lang w:val="pt-BR"/>
        </w:rPr>
        <w:t xml:space="preserve">Dân số đến năm 2030 khoảng </w:t>
      </w:r>
      <w:r w:rsidR="00D92AF1" w:rsidRPr="008E63BB">
        <w:rPr>
          <w:szCs w:val="26"/>
          <w:lang w:val="pt-BR"/>
        </w:rPr>
        <w:t>25</w:t>
      </w:r>
      <w:r w:rsidR="006B1F17" w:rsidRPr="008E63BB">
        <w:rPr>
          <w:szCs w:val="26"/>
          <w:lang w:val="pt-BR"/>
        </w:rPr>
        <w:t>.260</w:t>
      </w:r>
      <w:r w:rsidR="0064332C" w:rsidRPr="008E63BB">
        <w:rPr>
          <w:szCs w:val="26"/>
          <w:lang w:val="pt-BR"/>
        </w:rPr>
        <w:t xml:space="preserve"> người, đến năm 2040 khoảng </w:t>
      </w:r>
      <w:r w:rsidR="00323ACF" w:rsidRPr="008E63BB">
        <w:rPr>
          <w:szCs w:val="26"/>
          <w:lang w:val="pt-BR"/>
        </w:rPr>
        <w:t>30</w:t>
      </w:r>
      <w:r w:rsidR="006B1F17" w:rsidRPr="008E63BB">
        <w:rPr>
          <w:szCs w:val="26"/>
          <w:lang w:val="pt-BR"/>
        </w:rPr>
        <w:t>.2</w:t>
      </w:r>
      <w:r w:rsidR="0064332C" w:rsidRPr="008E63BB">
        <w:rPr>
          <w:szCs w:val="26"/>
          <w:lang w:val="pt-BR"/>
        </w:rPr>
        <w:t>00 người</w:t>
      </w:r>
      <w:r w:rsidR="00603E76" w:rsidRPr="008E63BB">
        <w:rPr>
          <w:szCs w:val="26"/>
          <w:lang w:val="pt-BR"/>
        </w:rPr>
        <w:t>.</w:t>
      </w:r>
    </w:p>
    <w:p w14:paraId="519B34C3" w14:textId="1832EC5F" w:rsidR="007D5896" w:rsidRPr="008E63BB" w:rsidRDefault="007D5896" w:rsidP="0065184D">
      <w:pPr>
        <w:rPr>
          <w:szCs w:val="26"/>
          <w:lang w:val="pt-BR"/>
        </w:rPr>
      </w:pPr>
      <w:r w:rsidRPr="008E63BB">
        <w:rPr>
          <w:szCs w:val="26"/>
          <w:lang w:val="pt-BR"/>
        </w:rPr>
        <w:t>*</w:t>
      </w:r>
      <w:r w:rsidR="004A552F" w:rsidRPr="008E63BB">
        <w:rPr>
          <w:szCs w:val="26"/>
          <w:lang w:val="pt-BR"/>
        </w:rPr>
        <w:t xml:space="preserve"> </w:t>
      </w:r>
      <w:r w:rsidRPr="008E63BB">
        <w:rPr>
          <w:szCs w:val="26"/>
          <w:lang w:val="pt-BR"/>
        </w:rPr>
        <w:t xml:space="preserve">Chức năng: Đây là khu vực phát triển công nghiệp dịch vụ gắn với dân cư hiện hữu, phát triển dịch vụ nhà ở và các tiện ích đô thị dọc trục </w:t>
      </w:r>
      <w:r w:rsidR="007A1D95" w:rsidRPr="008E63BB">
        <w:rPr>
          <w:szCs w:val="26"/>
          <w:lang w:val="pt-BR"/>
        </w:rPr>
        <w:t xml:space="preserve">QL21 và </w:t>
      </w:r>
      <w:r w:rsidRPr="008E63BB">
        <w:rPr>
          <w:szCs w:val="26"/>
          <w:lang w:val="pt-BR"/>
        </w:rPr>
        <w:t>QL21B.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4C5" w14:textId="77777777" w:rsidTr="00DF211A">
        <w:tc>
          <w:tcPr>
            <w:tcW w:w="9276" w:type="dxa"/>
          </w:tcPr>
          <w:p w14:paraId="519B34C4" w14:textId="77777777" w:rsidR="00DF211A" w:rsidRPr="008E63BB" w:rsidRDefault="008C4068" w:rsidP="0065184D">
            <w:pPr>
              <w:jc w:val="center"/>
              <w:rPr>
                <w:szCs w:val="26"/>
                <w:lang w:val="pt-BR"/>
              </w:rPr>
            </w:pPr>
            <w:r w:rsidRPr="008E63BB">
              <w:rPr>
                <w:noProof/>
                <w:szCs w:val="26"/>
                <w:lang w:eastAsia="zh-CN"/>
              </w:rPr>
              <w:drawing>
                <wp:inline distT="0" distB="0" distL="0" distR="0" wp14:anchorId="519B5253" wp14:editId="06301131">
                  <wp:extent cx="3367634" cy="3994267"/>
                  <wp:effectExtent l="0" t="0" r="4445" b="635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 name="KHU 6.jpg"/>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3367634" cy="39942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4C6" w14:textId="77777777" w:rsidR="008B7A2F" w:rsidRPr="008E63BB" w:rsidRDefault="008B7A2F" w:rsidP="0065184D">
      <w:pPr>
        <w:rPr>
          <w:szCs w:val="26"/>
          <w:lang w:val="pt-BR"/>
        </w:rPr>
      </w:pPr>
      <w:r w:rsidRPr="008E63BB">
        <w:rPr>
          <w:b/>
          <w:i/>
          <w:szCs w:val="26"/>
          <w:lang w:val="pt-BR"/>
        </w:rPr>
        <w:t>Định hướng chính:</w:t>
      </w:r>
    </w:p>
    <w:p w14:paraId="519B34C7" w14:textId="77777777" w:rsidR="007D5896" w:rsidRPr="008E63BB" w:rsidRDefault="007D5896" w:rsidP="0065184D">
      <w:pPr>
        <w:tabs>
          <w:tab w:val="num" w:pos="720"/>
        </w:tabs>
        <w:rPr>
          <w:szCs w:val="26"/>
          <w:lang w:val="pt-BR"/>
        </w:rPr>
      </w:pPr>
      <w:r w:rsidRPr="008E63BB">
        <w:rPr>
          <w:szCs w:val="26"/>
          <w:lang w:val="pt-BR"/>
        </w:rPr>
        <w:t>Với không gian cửa ngõ tiếp giáp với địa phận tỉnh Hà Nam, với điều kiện thuận lợi về giao thông, bố trí đầu mối phát triển công nghiệp cửa ngõ với các hoạt động dịch vụ và dân cư phục vụ công nghiệp đi kèm, có các không gian cây xanh vùng đệm cách ly đảm bảo an toàn vệ sinh môi trường với các khu dân cư và trung tâm đô thị lân cận</w:t>
      </w:r>
    </w:p>
    <w:p w14:paraId="519B34C8" w14:textId="77777777" w:rsidR="007D5896" w:rsidRPr="008E63BB" w:rsidRDefault="00A74678" w:rsidP="0065184D">
      <w:pPr>
        <w:rPr>
          <w:b/>
          <w:i/>
          <w:szCs w:val="26"/>
          <w:lang w:val="pt-BR"/>
        </w:rPr>
      </w:pPr>
      <w:r w:rsidRPr="008E63BB">
        <w:rPr>
          <w:b/>
          <w:i/>
          <w:szCs w:val="26"/>
          <w:lang w:val="pt-BR"/>
        </w:rPr>
        <w:t xml:space="preserve">Khu số </w:t>
      </w:r>
      <w:r w:rsidR="007D5896" w:rsidRPr="008E63BB">
        <w:rPr>
          <w:b/>
          <w:i/>
          <w:szCs w:val="26"/>
          <w:lang w:val="pt-BR"/>
        </w:rPr>
        <w:t>7</w:t>
      </w:r>
      <w:r w:rsidRPr="008E63BB">
        <w:rPr>
          <w:b/>
          <w:i/>
          <w:szCs w:val="26"/>
          <w:lang w:val="pt-BR"/>
        </w:rPr>
        <w:t>:</w:t>
      </w:r>
      <w:r w:rsidR="007D5896" w:rsidRPr="008E63BB">
        <w:rPr>
          <w:b/>
          <w:i/>
          <w:szCs w:val="26"/>
          <w:lang w:val="pt-BR"/>
        </w:rPr>
        <w:t xml:space="preserve"> Khu làng xóm hiện hữu gắn với nông nghiệp sinh thái, thể dục thể</w:t>
      </w:r>
      <w:r w:rsidR="003C0271" w:rsidRPr="008E63BB">
        <w:rPr>
          <w:b/>
          <w:i/>
          <w:szCs w:val="26"/>
          <w:lang w:val="pt-BR"/>
        </w:rPr>
        <w:t xml:space="preserve"> thao phía Nam sông Châu</w:t>
      </w:r>
      <w:r w:rsidR="007D5896" w:rsidRPr="008E63BB">
        <w:rPr>
          <w:b/>
          <w:i/>
          <w:szCs w:val="26"/>
          <w:lang w:val="pt-BR"/>
        </w:rPr>
        <w:t xml:space="preserve"> Giang:</w:t>
      </w:r>
    </w:p>
    <w:p w14:paraId="519B34C9" w14:textId="1F455F3D" w:rsidR="00145980" w:rsidRPr="008E63BB" w:rsidRDefault="00145980" w:rsidP="0065184D">
      <w:pPr>
        <w:rPr>
          <w:szCs w:val="26"/>
          <w:lang w:val="pt-BR"/>
        </w:rPr>
      </w:pPr>
      <w:r w:rsidRPr="008E63BB">
        <w:rPr>
          <w:szCs w:val="26"/>
          <w:lang w:val="pt-BR"/>
        </w:rPr>
        <w:t>* Quy mô: 2.</w:t>
      </w:r>
      <w:r w:rsidR="00457DBC" w:rsidRPr="008E63BB">
        <w:rPr>
          <w:szCs w:val="26"/>
          <w:lang w:val="pt-BR"/>
        </w:rPr>
        <w:t>336</w:t>
      </w:r>
      <w:r w:rsidRPr="008E63BB">
        <w:rPr>
          <w:szCs w:val="26"/>
          <w:lang w:val="pt-BR"/>
        </w:rPr>
        <w:t>ha</w:t>
      </w:r>
      <w:r w:rsidR="00603E76" w:rsidRPr="008E63BB">
        <w:rPr>
          <w:szCs w:val="26"/>
          <w:lang w:val="pt-BR"/>
        </w:rPr>
        <w:t xml:space="preserve">, chiếm tỷ lệ </w:t>
      </w:r>
      <w:r w:rsidR="006B1F17" w:rsidRPr="008E63BB">
        <w:rPr>
          <w:szCs w:val="26"/>
          <w:lang w:val="pt-BR"/>
        </w:rPr>
        <w:t>12,4</w:t>
      </w:r>
      <w:r w:rsidR="00603E76" w:rsidRPr="008E63BB">
        <w:rPr>
          <w:szCs w:val="26"/>
          <w:lang w:val="pt-BR"/>
        </w:rPr>
        <w:t xml:space="preserve">%. </w:t>
      </w:r>
      <w:r w:rsidR="0064332C" w:rsidRPr="008E63BB">
        <w:rPr>
          <w:szCs w:val="26"/>
          <w:lang w:val="pt-BR"/>
        </w:rPr>
        <w:t xml:space="preserve">Dân số đến năm 2030 khoảng </w:t>
      </w:r>
      <w:r w:rsidR="00D92AF1" w:rsidRPr="008E63BB">
        <w:rPr>
          <w:szCs w:val="26"/>
          <w:lang w:val="pt-BR"/>
        </w:rPr>
        <w:t>31.940</w:t>
      </w:r>
      <w:r w:rsidR="0064332C" w:rsidRPr="008E63BB">
        <w:rPr>
          <w:szCs w:val="26"/>
          <w:lang w:val="pt-BR"/>
        </w:rPr>
        <w:t xml:space="preserve"> người, đến năm 2040 khoảng </w:t>
      </w:r>
      <w:r w:rsidR="00323ACF" w:rsidRPr="008E63BB">
        <w:rPr>
          <w:szCs w:val="26"/>
          <w:lang w:val="pt-BR"/>
        </w:rPr>
        <w:t xml:space="preserve">33.500 </w:t>
      </w:r>
      <w:r w:rsidR="0064332C" w:rsidRPr="008E63BB">
        <w:rPr>
          <w:szCs w:val="26"/>
          <w:lang w:val="pt-BR"/>
        </w:rPr>
        <w:t>người</w:t>
      </w:r>
      <w:r w:rsidR="00603E76" w:rsidRPr="008E63BB">
        <w:rPr>
          <w:szCs w:val="26"/>
          <w:lang w:val="pt-BR"/>
        </w:rPr>
        <w:t>.</w:t>
      </w:r>
    </w:p>
    <w:p w14:paraId="519B34CA" w14:textId="74A2A94A" w:rsidR="00DF211A" w:rsidRPr="008E63BB" w:rsidRDefault="007D5896" w:rsidP="0065184D">
      <w:pPr>
        <w:rPr>
          <w:szCs w:val="26"/>
          <w:lang w:val="pt-BR"/>
        </w:rPr>
      </w:pPr>
      <w:r w:rsidRPr="008E63BB">
        <w:rPr>
          <w:szCs w:val="26"/>
          <w:lang w:val="pt-BR"/>
        </w:rPr>
        <w:t>*</w:t>
      </w:r>
      <w:r w:rsidR="004A552F" w:rsidRPr="008E63BB">
        <w:rPr>
          <w:szCs w:val="26"/>
          <w:lang w:val="pt-BR"/>
        </w:rPr>
        <w:t xml:space="preserve"> </w:t>
      </w:r>
      <w:r w:rsidRPr="008E63BB">
        <w:rPr>
          <w:szCs w:val="26"/>
          <w:lang w:val="pt-BR"/>
        </w:rPr>
        <w:t xml:space="preserve">Chức năng: Đây là khu vực bảo vệ cảnh quan làng xóm hiện hữu, những vùng canh tác nông nghiệp, </w:t>
      </w:r>
      <w:r w:rsidR="00DF14FB" w:rsidRPr="008E63BB">
        <w:rPr>
          <w:szCs w:val="26"/>
          <w:lang w:val="pt-BR"/>
        </w:rPr>
        <w:t xml:space="preserve">cụm công nghiệp, </w:t>
      </w:r>
      <w:r w:rsidRPr="008E63BB">
        <w:rPr>
          <w:szCs w:val="26"/>
          <w:lang w:val="pt-BR"/>
        </w:rPr>
        <w:t xml:space="preserve">xây dựng </w:t>
      </w:r>
      <w:r w:rsidR="009A5AF4" w:rsidRPr="008E63BB">
        <w:rPr>
          <w:szCs w:val="26"/>
          <w:lang w:val="pt-BR"/>
        </w:rPr>
        <w:t xml:space="preserve">các khucây xanh </w:t>
      </w:r>
      <w:r w:rsidRPr="008E63BB">
        <w:rPr>
          <w:szCs w:val="26"/>
          <w:lang w:val="pt-BR"/>
        </w:rPr>
        <w:t xml:space="preserve">thể dục thể thao vui chơi giải </w:t>
      </w:r>
      <w:r w:rsidRPr="008E63BB">
        <w:rPr>
          <w:szCs w:val="26"/>
          <w:lang w:val="pt-BR"/>
        </w:rPr>
        <w:lastRenderedPageBreak/>
        <w:t xml:space="preserve">trí </w:t>
      </w:r>
      <w:r w:rsidR="009A5AF4" w:rsidRPr="008E63BB">
        <w:rPr>
          <w:szCs w:val="26"/>
          <w:lang w:val="pt-BR"/>
        </w:rPr>
        <w:t xml:space="preserve">phục vụ </w:t>
      </w:r>
      <w:r w:rsidRPr="008E63BB">
        <w:rPr>
          <w:szCs w:val="26"/>
          <w:lang w:val="pt-BR"/>
        </w:rPr>
        <w:t xml:space="preserve">cho </w:t>
      </w:r>
      <w:r w:rsidR="009A5AF4" w:rsidRPr="008E63BB">
        <w:rPr>
          <w:szCs w:val="26"/>
          <w:lang w:val="pt-BR"/>
        </w:rPr>
        <w:t xml:space="preserve">người dân </w:t>
      </w:r>
      <w:r w:rsidRPr="008E63BB">
        <w:rPr>
          <w:szCs w:val="26"/>
          <w:lang w:val="pt-BR"/>
        </w:rPr>
        <w:t>đô thị</w:t>
      </w:r>
      <w:r w:rsidR="007A1D95" w:rsidRPr="008E63BB">
        <w:rPr>
          <w:szCs w:val="26"/>
          <w:lang w:val="pt-BR"/>
        </w:rPr>
        <w:t>, vùng sinh thái ven sông Hồng và sông Châu Giang, gắn với các điều kiện ứng phó biến đổi khí hậu.</w:t>
      </w:r>
    </w:p>
    <w:p w14:paraId="519B34CB" w14:textId="77777777" w:rsidR="007D5896" w:rsidRPr="008E63BB" w:rsidRDefault="008C4068" w:rsidP="0065184D">
      <w:pPr>
        <w:jc w:val="center"/>
        <w:rPr>
          <w:szCs w:val="26"/>
          <w:lang w:val="pt-BR"/>
        </w:rPr>
      </w:pPr>
      <w:r w:rsidRPr="008E63BB">
        <w:rPr>
          <w:noProof/>
          <w:szCs w:val="26"/>
          <w:lang w:eastAsia="zh-CN"/>
        </w:rPr>
        <w:drawing>
          <wp:inline distT="0" distB="0" distL="0" distR="0" wp14:anchorId="519B5255" wp14:editId="2A5FD88D">
            <wp:extent cx="4640103" cy="2576392"/>
            <wp:effectExtent l="0" t="0" r="8255" b="0"/>
            <wp:docPr id="7204" name="Picture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4" name="KHU 7.jpg"/>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4640103" cy="2576392"/>
                    </a:xfrm>
                    <a:prstGeom prst="rect">
                      <a:avLst/>
                    </a:prstGeom>
                    <a:ln>
                      <a:noFill/>
                    </a:ln>
                    <a:extLst>
                      <a:ext uri="{53640926-AAD7-44D8-BBD7-CCE9431645EC}">
                        <a14:shadowObscured xmlns:a14="http://schemas.microsoft.com/office/drawing/2010/main"/>
                      </a:ext>
                    </a:extLst>
                  </pic:spPr>
                </pic:pic>
              </a:graphicData>
            </a:graphic>
          </wp:inline>
        </w:drawing>
      </w:r>
    </w:p>
    <w:p w14:paraId="519B34CC" w14:textId="77777777" w:rsidR="008B7A2F" w:rsidRPr="008E63BB" w:rsidRDefault="008B7A2F" w:rsidP="0065184D">
      <w:pPr>
        <w:ind w:firstLine="720"/>
        <w:rPr>
          <w:szCs w:val="26"/>
          <w:lang w:val="pt-BR"/>
        </w:rPr>
      </w:pPr>
      <w:r w:rsidRPr="008E63BB">
        <w:rPr>
          <w:b/>
          <w:i/>
          <w:szCs w:val="26"/>
          <w:lang w:val="pt-BR"/>
        </w:rPr>
        <w:t>Định hướng chính:</w:t>
      </w:r>
    </w:p>
    <w:p w14:paraId="519B34CD" w14:textId="43637B9B" w:rsidR="007D5896" w:rsidRPr="008E63BB" w:rsidRDefault="007D5896" w:rsidP="0065184D">
      <w:pPr>
        <w:rPr>
          <w:szCs w:val="26"/>
          <w:lang w:val="pt-BR"/>
        </w:rPr>
      </w:pPr>
      <w:r w:rsidRPr="008E63BB">
        <w:rPr>
          <w:szCs w:val="26"/>
          <w:lang w:val="pt-BR"/>
        </w:rPr>
        <w:tab/>
        <w:t>Về phía Bắ</w:t>
      </w:r>
      <w:r w:rsidR="00DF14FB" w:rsidRPr="008E63BB">
        <w:rPr>
          <w:szCs w:val="26"/>
          <w:lang w:val="pt-BR"/>
        </w:rPr>
        <w:t>c sông Châu</w:t>
      </w:r>
      <w:r w:rsidRPr="008E63BB">
        <w:rPr>
          <w:szCs w:val="26"/>
          <w:lang w:val="pt-BR"/>
        </w:rPr>
        <w:t xml:space="preserve"> Giang, tại khu vực thuận lợi về giao thông, </w:t>
      </w:r>
      <w:r w:rsidR="007A1D95" w:rsidRPr="008E63BB">
        <w:rPr>
          <w:szCs w:val="26"/>
          <w:lang w:val="pt-BR"/>
        </w:rPr>
        <w:t xml:space="preserve">khu vực tiếp giáp tuyến vành đai 2 thành phố, </w:t>
      </w:r>
      <w:r w:rsidRPr="008E63BB">
        <w:rPr>
          <w:szCs w:val="26"/>
          <w:lang w:val="pt-BR"/>
        </w:rPr>
        <w:t xml:space="preserve">bố trí một số khu chức năng </w:t>
      </w:r>
      <w:r w:rsidR="007A1D95" w:rsidRPr="008E63BB">
        <w:rPr>
          <w:szCs w:val="26"/>
          <w:lang w:val="pt-BR"/>
        </w:rPr>
        <w:t xml:space="preserve">như </w:t>
      </w:r>
      <w:r w:rsidR="00DF14FB" w:rsidRPr="008E63BB">
        <w:rPr>
          <w:szCs w:val="26"/>
          <w:lang w:val="pt-BR"/>
        </w:rPr>
        <w:t>cụm Công nghiệp Mỹ Thắ</w:t>
      </w:r>
      <w:r w:rsidR="00081A92" w:rsidRPr="008E63BB">
        <w:rPr>
          <w:szCs w:val="26"/>
          <w:lang w:val="pt-BR"/>
        </w:rPr>
        <w:t>ng, khu thể dục thể thao vui chơi giải trí</w:t>
      </w:r>
      <w:r w:rsidR="007A1D95" w:rsidRPr="008E63BB">
        <w:rPr>
          <w:szCs w:val="26"/>
          <w:lang w:val="pt-BR"/>
        </w:rPr>
        <w:t>..</w:t>
      </w:r>
      <w:r w:rsidRPr="008E63BB">
        <w:rPr>
          <w:szCs w:val="26"/>
          <w:lang w:val="pt-BR"/>
        </w:rPr>
        <w:t>. Cần đảm bảo các dự án có quy mô không quá lớn, đảm bảo hài hòa với không gian sinh thái nông nghiệp.</w:t>
      </w:r>
    </w:p>
    <w:p w14:paraId="519B34CE" w14:textId="77777777" w:rsidR="007A1D95" w:rsidRPr="008E63BB" w:rsidRDefault="00A74678" w:rsidP="00A74678">
      <w:pPr>
        <w:ind w:firstLine="720"/>
        <w:rPr>
          <w:szCs w:val="26"/>
          <w:lang w:val="pt-BR"/>
        </w:rPr>
      </w:pPr>
      <w:r w:rsidRPr="008E63BB">
        <w:rPr>
          <w:szCs w:val="26"/>
          <w:lang w:val="pt-BR"/>
        </w:rPr>
        <w:t>Bảo vệ hệ thống đê điều, hành lang thoát lũ, các vùng cảnh quan ven sông, các không gian mặt nước để góp phần vào giải pháp thoát nước cho đô thị, ứng phó biến đổi khí hậu gắn với các khu dân cư hiện hữu, xây dựng cụm Công nghiệp Mỹ Thắng, khu thể dục thể thao vui chơi giải trí. Phát huy các khu vực phát triển nông nghiệp sinh thái, khu vực trồng hoa gắn với phát triển tham quan du lịch làng hoa ven sông</w:t>
      </w:r>
      <w:r w:rsidR="007A1D95" w:rsidRPr="008E63BB">
        <w:rPr>
          <w:szCs w:val="26"/>
          <w:lang w:val="pt-BR"/>
        </w:rPr>
        <w:t>.</w:t>
      </w:r>
    </w:p>
    <w:p w14:paraId="519B34CF" w14:textId="77777777" w:rsidR="007D5896" w:rsidRPr="008E63BB" w:rsidRDefault="00A74678" w:rsidP="0065184D">
      <w:pPr>
        <w:rPr>
          <w:b/>
          <w:i/>
          <w:szCs w:val="26"/>
          <w:lang w:val="pt-BR"/>
        </w:rPr>
      </w:pPr>
      <w:r w:rsidRPr="008E63BB">
        <w:rPr>
          <w:b/>
          <w:i/>
          <w:szCs w:val="26"/>
          <w:lang w:val="pt-BR"/>
        </w:rPr>
        <w:t xml:space="preserve">Khu số </w:t>
      </w:r>
      <w:r w:rsidR="007D5896" w:rsidRPr="008E63BB">
        <w:rPr>
          <w:b/>
          <w:i/>
          <w:szCs w:val="26"/>
          <w:lang w:val="pt-BR"/>
        </w:rPr>
        <w:t>8</w:t>
      </w:r>
      <w:r w:rsidRPr="008E63BB">
        <w:rPr>
          <w:b/>
          <w:i/>
          <w:szCs w:val="26"/>
          <w:lang w:val="pt-BR"/>
        </w:rPr>
        <w:t>:</w:t>
      </w:r>
      <w:r w:rsidR="007D5896" w:rsidRPr="008E63BB">
        <w:rPr>
          <w:b/>
          <w:i/>
          <w:szCs w:val="26"/>
          <w:lang w:val="pt-BR"/>
        </w:rPr>
        <w:t xml:space="preserve"> Khu làng xóm hiện hữu gắn với nông nghiệp sinh thái phía Nam thành phố:</w:t>
      </w:r>
    </w:p>
    <w:p w14:paraId="519B34D0" w14:textId="5A89B7FB" w:rsidR="00145980" w:rsidRPr="008E63BB" w:rsidRDefault="00145980" w:rsidP="0078266F">
      <w:pPr>
        <w:ind w:firstLine="720"/>
        <w:rPr>
          <w:szCs w:val="26"/>
          <w:lang w:val="pt-BR"/>
        </w:rPr>
      </w:pPr>
      <w:r w:rsidRPr="008E63BB">
        <w:rPr>
          <w:szCs w:val="26"/>
          <w:lang w:val="pt-BR"/>
        </w:rPr>
        <w:t>* Quy mô: 4.</w:t>
      </w:r>
      <w:r w:rsidR="00020A95" w:rsidRPr="008E63BB">
        <w:rPr>
          <w:szCs w:val="26"/>
          <w:lang w:val="pt-BR"/>
        </w:rPr>
        <w:t>034</w:t>
      </w:r>
      <w:r w:rsidRPr="008E63BB">
        <w:rPr>
          <w:szCs w:val="26"/>
          <w:lang w:val="pt-BR"/>
        </w:rPr>
        <w:t>ha</w:t>
      </w:r>
      <w:r w:rsidR="00603E76" w:rsidRPr="008E63BB">
        <w:rPr>
          <w:szCs w:val="26"/>
          <w:lang w:val="pt-BR"/>
        </w:rPr>
        <w:t xml:space="preserve">, chiếm tỷ lệ </w:t>
      </w:r>
      <w:r w:rsidR="00020A95" w:rsidRPr="008E63BB">
        <w:rPr>
          <w:szCs w:val="26"/>
          <w:lang w:val="pt-BR"/>
        </w:rPr>
        <w:t>21,5</w:t>
      </w:r>
      <w:r w:rsidR="00603E76" w:rsidRPr="008E63BB">
        <w:rPr>
          <w:szCs w:val="26"/>
          <w:lang w:val="pt-BR"/>
        </w:rPr>
        <w:t xml:space="preserve">%. </w:t>
      </w:r>
      <w:r w:rsidR="0064332C" w:rsidRPr="008E63BB">
        <w:rPr>
          <w:szCs w:val="26"/>
          <w:lang w:val="pt-BR"/>
        </w:rPr>
        <w:t xml:space="preserve">Dân số đến năm 2030 khoảng </w:t>
      </w:r>
      <w:r w:rsidR="00D92AF1" w:rsidRPr="008E63BB">
        <w:rPr>
          <w:szCs w:val="26"/>
          <w:lang w:val="pt-BR"/>
        </w:rPr>
        <w:t>42</w:t>
      </w:r>
      <w:r w:rsidR="00372E53" w:rsidRPr="008E63BB">
        <w:rPr>
          <w:szCs w:val="26"/>
          <w:lang w:val="pt-BR"/>
        </w:rPr>
        <w:t>.680</w:t>
      </w:r>
      <w:r w:rsidR="0064332C" w:rsidRPr="008E63BB">
        <w:rPr>
          <w:szCs w:val="26"/>
          <w:lang w:val="pt-BR"/>
        </w:rPr>
        <w:t xml:space="preserve"> người, đến năm 2040 khoảng </w:t>
      </w:r>
      <w:r w:rsidR="00323ACF" w:rsidRPr="008E63BB">
        <w:rPr>
          <w:szCs w:val="26"/>
          <w:lang w:val="pt-BR"/>
        </w:rPr>
        <w:t>45.600</w:t>
      </w:r>
      <w:r w:rsidR="0064332C" w:rsidRPr="008E63BB">
        <w:rPr>
          <w:szCs w:val="26"/>
          <w:lang w:val="pt-BR"/>
        </w:rPr>
        <w:t xml:space="preserve"> người</w:t>
      </w:r>
      <w:r w:rsidR="00603E76" w:rsidRPr="008E63BB">
        <w:rPr>
          <w:szCs w:val="26"/>
          <w:lang w:val="pt-BR"/>
        </w:rPr>
        <w:t>.</w:t>
      </w:r>
    </w:p>
    <w:p w14:paraId="519B34D1" w14:textId="70640DBE" w:rsidR="009943CC" w:rsidRPr="008E63BB" w:rsidRDefault="007D5896" w:rsidP="0078266F">
      <w:pPr>
        <w:ind w:firstLine="720"/>
        <w:rPr>
          <w:szCs w:val="26"/>
          <w:lang w:val="pt-BR"/>
        </w:rPr>
      </w:pPr>
      <w:r w:rsidRPr="008E63BB">
        <w:rPr>
          <w:szCs w:val="26"/>
          <w:lang w:val="pt-BR"/>
        </w:rPr>
        <w:t>*</w:t>
      </w:r>
      <w:r w:rsidR="004A552F" w:rsidRPr="008E63BB">
        <w:rPr>
          <w:szCs w:val="26"/>
          <w:lang w:val="pt-BR"/>
        </w:rPr>
        <w:t xml:space="preserve"> </w:t>
      </w:r>
      <w:r w:rsidRPr="008E63BB">
        <w:rPr>
          <w:szCs w:val="26"/>
          <w:lang w:val="pt-BR"/>
        </w:rPr>
        <w:t xml:space="preserve">Chức năng: </w:t>
      </w:r>
      <w:r w:rsidR="00A74678" w:rsidRPr="008E63BB">
        <w:rPr>
          <w:szCs w:val="26"/>
          <w:lang w:val="pt-BR"/>
        </w:rPr>
        <w:t>là</w:t>
      </w:r>
      <w:r w:rsidR="00DF14FB" w:rsidRPr="008E63BB">
        <w:rPr>
          <w:szCs w:val="26"/>
          <w:lang w:val="pt-BR"/>
        </w:rPr>
        <w:t xml:space="preserve"> các điểm dân cư tập trung và dịch vụ tại trung tâm </w:t>
      </w:r>
      <w:r w:rsidR="007A1D95" w:rsidRPr="008E63BB">
        <w:rPr>
          <w:szCs w:val="26"/>
          <w:lang w:val="pt-BR"/>
        </w:rPr>
        <w:t xml:space="preserve">đầu mối hạ tầng kỹ thuật vành đai 2, trung tâm </w:t>
      </w:r>
      <w:r w:rsidR="00DF14FB" w:rsidRPr="008E63BB">
        <w:rPr>
          <w:szCs w:val="26"/>
          <w:lang w:val="pt-BR"/>
        </w:rPr>
        <w:t>các xã thuộc huyện Nam Trực;</w:t>
      </w:r>
      <w:r w:rsidR="007A1D95" w:rsidRPr="008E63BB">
        <w:rPr>
          <w:szCs w:val="26"/>
          <w:lang w:val="pt-BR"/>
        </w:rPr>
        <w:t xml:space="preserve"> khu trung tâm đầu mối cửa ngõ phía Nam gắn với tuyến đường kết nối hướng biển;các khu vực dự trữ phát triển các khu chức năng khi thành phố có nhu cầu và sẽ được cụ thể hóa trong đồ án QHPK; </w:t>
      </w:r>
      <w:r w:rsidR="00DF14FB" w:rsidRPr="008E63BB">
        <w:rPr>
          <w:szCs w:val="26"/>
          <w:lang w:val="pt-BR"/>
        </w:rPr>
        <w:t>các vùng sản xuất nông nghiệp, vùng khai thác cảnh quan, các khu dân cư nông thôn hiện trạng, dân cư nông thôn phát triển mới, các vùng sản xuất nông nghiệp chất lượng cao và công trình đầu mối hạ tầng cấp đô thị.</w:t>
      </w:r>
    </w:p>
    <w:p w14:paraId="519B34D2" w14:textId="77777777" w:rsidR="007A1D95" w:rsidRPr="008E63BB" w:rsidRDefault="00A74678" w:rsidP="007A1D95">
      <w:pPr>
        <w:ind w:firstLine="720"/>
        <w:rPr>
          <w:szCs w:val="26"/>
          <w:lang w:val="pt-BR"/>
        </w:rPr>
      </w:pPr>
      <w:r w:rsidRPr="008E63BB">
        <w:rPr>
          <w:szCs w:val="26"/>
          <w:lang w:val="pt-BR"/>
        </w:rPr>
        <w:t>Cải tạo chỉnh trang các khu vực dân cư làng xóm hiện hữu, phát triển các công trình dịch vụ hỗn hợp tại các khu vực cửa ngõ đô thị tại các nút giao thông. Hình thành nông nghiệp sinh thái gắn với văn hóa làng nghề địa phương, xây dựng công trình đầu mối hạ tầng kỹ thuật phía Nam về nghĩa trang và bãi rác, là khu vực dự</w:t>
      </w:r>
      <w:r w:rsidR="002A5628" w:rsidRPr="008E63BB">
        <w:rPr>
          <w:szCs w:val="26"/>
          <w:lang w:val="pt-BR"/>
        </w:rPr>
        <w:t xml:space="preserve"> trũ</w:t>
      </w:r>
      <w:r w:rsidRPr="008E63BB">
        <w:rPr>
          <w:szCs w:val="26"/>
          <w:lang w:val="pt-BR"/>
        </w:rPr>
        <w:t xml:space="preserve"> phát triển chức năng đô thị trong tương lai.</w:t>
      </w:r>
    </w:p>
    <w:p w14:paraId="519B34D3" w14:textId="77777777" w:rsidR="007A1D95" w:rsidRPr="008E63BB" w:rsidRDefault="007A1D95" w:rsidP="0065184D">
      <w:pPr>
        <w:rPr>
          <w:szCs w:val="26"/>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4D5" w14:textId="77777777" w:rsidTr="00DF211A">
        <w:tc>
          <w:tcPr>
            <w:tcW w:w="9276" w:type="dxa"/>
          </w:tcPr>
          <w:p w14:paraId="519B34D4" w14:textId="77777777" w:rsidR="00DF211A" w:rsidRPr="008E63BB" w:rsidRDefault="008C4068" w:rsidP="0065184D">
            <w:pPr>
              <w:jc w:val="center"/>
              <w:rPr>
                <w:szCs w:val="26"/>
                <w:lang w:val="pt-BR"/>
              </w:rPr>
            </w:pPr>
            <w:r w:rsidRPr="008E63BB">
              <w:rPr>
                <w:noProof/>
                <w:szCs w:val="26"/>
                <w:lang w:eastAsia="zh-CN"/>
              </w:rPr>
              <w:lastRenderedPageBreak/>
              <w:drawing>
                <wp:inline distT="0" distB="0" distL="0" distR="0" wp14:anchorId="519B5257" wp14:editId="492905F5">
                  <wp:extent cx="4662456" cy="2765037"/>
                  <wp:effectExtent l="0" t="0" r="5080" b="0"/>
                  <wp:docPr id="7205" name="Picture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KHU 8.jpg"/>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4662456" cy="276503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9B34D6" w14:textId="77777777" w:rsidR="00F53F66" w:rsidRPr="008E63BB" w:rsidRDefault="00F53F66" w:rsidP="00F53F66">
      <w:pPr>
        <w:pStyle w:val="Heading2"/>
        <w:spacing w:before="0" w:after="0"/>
        <w:rPr>
          <w:kern w:val="32"/>
          <w:lang w:val="vi-VN"/>
        </w:rPr>
      </w:pPr>
      <w:bookmarkStart w:id="398" w:name="_Toc47524708"/>
      <w:bookmarkStart w:id="399" w:name="_Toc345538394"/>
      <w:bookmarkEnd w:id="368"/>
      <w:bookmarkEnd w:id="369"/>
      <w:bookmarkEnd w:id="370"/>
      <w:bookmarkEnd w:id="371"/>
      <w:r w:rsidRPr="008E63BB">
        <w:rPr>
          <w:kern w:val="32"/>
          <w:lang w:val="vi-VN"/>
        </w:rPr>
        <w:t>5.</w:t>
      </w:r>
      <w:r w:rsidR="00F9056A" w:rsidRPr="008E63BB">
        <w:rPr>
          <w:kern w:val="32"/>
        </w:rPr>
        <w:t>6</w:t>
      </w:r>
      <w:r w:rsidRPr="008E63BB">
        <w:rPr>
          <w:kern w:val="32"/>
          <w:lang w:val="vi-VN"/>
        </w:rPr>
        <w:t xml:space="preserve">. </w:t>
      </w:r>
      <w:r w:rsidRPr="008E63BB">
        <w:rPr>
          <w:kern w:val="32"/>
          <w:lang w:val="pt-BR"/>
        </w:rPr>
        <w:t>Những định hướng điều chỉnh so với QHC2011</w:t>
      </w:r>
      <w:r w:rsidRPr="008E63BB">
        <w:rPr>
          <w:kern w:val="32"/>
          <w:lang w:val="vi-VN"/>
        </w:rPr>
        <w:t>:</w:t>
      </w:r>
      <w:bookmarkEnd w:id="398"/>
    </w:p>
    <w:p w14:paraId="519B34D7" w14:textId="77777777" w:rsidR="009671CF" w:rsidRPr="008E63BB" w:rsidRDefault="009671CF" w:rsidP="009671CF">
      <w:pPr>
        <w:ind w:firstLine="720"/>
        <w:rPr>
          <w:b/>
          <w:bCs/>
          <w:i/>
        </w:rPr>
      </w:pPr>
      <w:r w:rsidRPr="008E63BB">
        <w:rPr>
          <w:lang w:val="vi-VN"/>
        </w:rPr>
        <w:t>QHC 2011 tập trung phát triển vào khu vực đô thị lõi bên trong đường vành đai</w:t>
      </w:r>
      <w:r w:rsidR="00A74678" w:rsidRPr="008E63BB">
        <w:rPr>
          <w:lang w:val="vi-VN"/>
        </w:rPr>
        <w:t xml:space="preserve"> 1 (QL10)</w:t>
      </w:r>
      <w:r w:rsidRPr="008E63BB">
        <w:rPr>
          <w:lang w:val="vi-VN"/>
        </w:rPr>
        <w:t xml:space="preserve"> Quy </w:t>
      </w:r>
      <w:r w:rsidRPr="008E63BB">
        <w:rPr>
          <w:rFonts w:eastAsia="Arial"/>
          <w:szCs w:val="26"/>
          <w:lang w:val="vi-VN"/>
        </w:rPr>
        <w:t xml:space="preserve">hoạch lần này đề xuất những điều chỉnh chính về cơ cấu, định hướng phát triển chung của đô thị; bổ sung tính chất, </w:t>
      </w:r>
      <w:r w:rsidR="0010510A" w:rsidRPr="008E63BB">
        <w:rPr>
          <w:rFonts w:eastAsia="Arial"/>
          <w:szCs w:val="26"/>
          <w:lang w:val="vi-VN"/>
        </w:rPr>
        <w:t xml:space="preserve">bổ sung </w:t>
      </w:r>
      <w:r w:rsidRPr="008E63BB">
        <w:rPr>
          <w:rFonts w:eastAsia="Arial"/>
          <w:szCs w:val="26"/>
          <w:lang w:val="vi-VN"/>
        </w:rPr>
        <w:t>chức năng, quy mô và các giải pháp quy hoạch chính của khu vực</w:t>
      </w:r>
      <w:r w:rsidR="00A74678" w:rsidRPr="008E63BB">
        <w:rPr>
          <w:rFonts w:eastAsia="Arial"/>
          <w:szCs w:val="26"/>
          <w:lang w:val="vi-VN"/>
        </w:rPr>
        <w:t>.</w:t>
      </w:r>
      <w:r w:rsidRPr="008E63BB">
        <w:rPr>
          <w:rFonts w:eastAsia="Arial"/>
          <w:szCs w:val="26"/>
          <w:lang w:val="vi-VN"/>
        </w:rPr>
        <w:t xml:space="preserve"> Cụ thể</w:t>
      </w:r>
      <w:r w:rsidR="00A74678" w:rsidRPr="008E63BB">
        <w:rPr>
          <w:rFonts w:eastAsia="Arial"/>
          <w:szCs w:val="26"/>
        </w:rPr>
        <w:t xml:space="preserve"> như sau</w:t>
      </w:r>
      <w:r w:rsidRPr="008E63BB">
        <w:rPr>
          <w:rFonts w:eastAsia="Arial"/>
          <w:szCs w:val="26"/>
          <w:lang w:val="vi-VN"/>
        </w:rPr>
        <w:t>:</w:t>
      </w:r>
    </w:p>
    <w:p w14:paraId="519B34D8" w14:textId="77777777" w:rsidR="009671CF" w:rsidRPr="008E63BB" w:rsidRDefault="009671CF" w:rsidP="009671CF">
      <w:pPr>
        <w:pStyle w:val="ListParagraph"/>
        <w:numPr>
          <w:ilvl w:val="0"/>
          <w:numId w:val="26"/>
        </w:numPr>
        <w:ind w:left="0" w:firstLine="360"/>
        <w:rPr>
          <w:b/>
          <w:bCs/>
          <w:i/>
          <w:sz w:val="26"/>
          <w:szCs w:val="26"/>
        </w:rPr>
      </w:pPr>
      <w:r w:rsidRPr="008E63BB">
        <w:rPr>
          <w:sz w:val="26"/>
          <w:szCs w:val="26"/>
        </w:rPr>
        <w:t xml:space="preserve">Phát triển thành phố </w:t>
      </w:r>
      <w:r w:rsidRPr="008E63BB">
        <w:rPr>
          <w:sz w:val="26"/>
          <w:szCs w:val="26"/>
          <w:lang w:val="en-US"/>
        </w:rPr>
        <w:t xml:space="preserve">mạnh mẽ </w:t>
      </w:r>
      <w:r w:rsidRPr="008E63BB">
        <w:rPr>
          <w:sz w:val="26"/>
          <w:szCs w:val="26"/>
        </w:rPr>
        <w:t xml:space="preserve">về phía </w:t>
      </w:r>
      <w:r w:rsidRPr="008E63BB">
        <w:rPr>
          <w:sz w:val="26"/>
          <w:szCs w:val="26"/>
          <w:lang w:val="en-US"/>
        </w:rPr>
        <w:t>T</w:t>
      </w:r>
      <w:r w:rsidRPr="008E63BB">
        <w:rPr>
          <w:sz w:val="26"/>
          <w:szCs w:val="26"/>
        </w:rPr>
        <w:t xml:space="preserve">ây </w:t>
      </w:r>
      <w:r w:rsidRPr="008E63BB">
        <w:rPr>
          <w:sz w:val="26"/>
          <w:szCs w:val="26"/>
          <w:lang w:val="en-US"/>
        </w:rPr>
        <w:t xml:space="preserve">Bắc </w:t>
      </w:r>
      <w:r w:rsidRPr="008E63BB">
        <w:rPr>
          <w:sz w:val="26"/>
          <w:szCs w:val="26"/>
        </w:rPr>
        <w:t>với một trung tâm đô thị mới. Hình thành 1 vành đai xanh ở khu vực phát triển mới phía Tây, tăng cường kết nối khu phía Tây với đường vành đai. Khai thác quỹ đất khu vực 2 bên tuyến đường cửa ngõ phía Tây (</w:t>
      </w:r>
      <w:r w:rsidRPr="008E63BB">
        <w:rPr>
          <w:rFonts w:ascii="Roboto" w:hAnsi="Roboto"/>
          <w:sz w:val="27"/>
          <w:szCs w:val="27"/>
          <w:shd w:val="clear" w:color="auto" w:fill="FFFFFF"/>
        </w:rPr>
        <w:t>Tuyến đường bộ mới Nam Định - Phủ Lý, Lê Đức Thọ) phát triển CN, đô thị và dịch vụ</w:t>
      </w:r>
      <w:r w:rsidRPr="008E63BB">
        <w:rPr>
          <w:sz w:val="26"/>
          <w:szCs w:val="26"/>
        </w:rPr>
        <w:t>. QHC 2011 chưa có định hướng phát triển cụ thể cho khu vực này.</w:t>
      </w:r>
    </w:p>
    <w:p w14:paraId="519B34D9" w14:textId="77777777" w:rsidR="009671CF" w:rsidRPr="008E63BB" w:rsidRDefault="009671CF" w:rsidP="009671CF">
      <w:pPr>
        <w:pStyle w:val="ListParagraph"/>
        <w:numPr>
          <w:ilvl w:val="0"/>
          <w:numId w:val="26"/>
        </w:numPr>
        <w:ind w:left="0" w:firstLine="360"/>
        <w:rPr>
          <w:b/>
          <w:bCs/>
          <w:i/>
          <w:sz w:val="26"/>
          <w:szCs w:val="26"/>
        </w:rPr>
      </w:pPr>
      <w:r w:rsidRPr="008E63BB">
        <w:rPr>
          <w:sz w:val="26"/>
          <w:szCs w:val="26"/>
        </w:rPr>
        <w:t>Bổ sung tuyến đường vành đai</w:t>
      </w:r>
      <w:r w:rsidR="0010510A" w:rsidRPr="008E63BB">
        <w:rPr>
          <w:sz w:val="26"/>
          <w:szCs w:val="26"/>
        </w:rPr>
        <w:t xml:space="preserve"> 2 (</w:t>
      </w:r>
      <w:r w:rsidRPr="008E63BB">
        <w:rPr>
          <w:sz w:val="26"/>
          <w:szCs w:val="26"/>
        </w:rPr>
        <w:t>mới</w:t>
      </w:r>
      <w:r w:rsidR="0010510A" w:rsidRPr="008E63BB">
        <w:rPr>
          <w:sz w:val="26"/>
          <w:szCs w:val="26"/>
        </w:rPr>
        <w:t>)</w:t>
      </w:r>
      <w:r w:rsidRPr="008E63BB">
        <w:rPr>
          <w:sz w:val="26"/>
          <w:szCs w:val="26"/>
        </w:rPr>
        <w:t xml:space="preserve"> của thành phố trên cơ sở thực tế đã được đầu tư xây dựng nhằm giảm tải cho giao thông hướng đi Thái Bình – Ninh Bình và về phía Nam qua trung tâm đô thị</w:t>
      </w:r>
    </w:p>
    <w:p w14:paraId="519B34DA" w14:textId="77777777" w:rsidR="009671CF" w:rsidRPr="008E63BB" w:rsidRDefault="009671CF" w:rsidP="009671CF">
      <w:pPr>
        <w:pStyle w:val="ListParagraph"/>
        <w:numPr>
          <w:ilvl w:val="0"/>
          <w:numId w:val="26"/>
        </w:numPr>
        <w:ind w:left="0" w:firstLine="360"/>
        <w:rPr>
          <w:b/>
          <w:bCs/>
          <w:i/>
          <w:sz w:val="26"/>
          <w:szCs w:val="26"/>
        </w:rPr>
      </w:pPr>
      <w:r w:rsidRPr="008E63BB">
        <w:rPr>
          <w:sz w:val="26"/>
          <w:szCs w:val="26"/>
        </w:rPr>
        <w:t>Tăng cường kết nối hướng biển với trung tâm</w:t>
      </w:r>
      <w:r w:rsidR="0010510A" w:rsidRPr="008E63BB">
        <w:rPr>
          <w:sz w:val="26"/>
          <w:szCs w:val="26"/>
        </w:rPr>
        <w:t xml:space="preserve"> thành phố bằng việc xây dựng tuyến đường song song với Q</w:t>
      </w:r>
      <w:r w:rsidR="00A74678" w:rsidRPr="008E63BB">
        <w:rPr>
          <w:sz w:val="26"/>
          <w:szCs w:val="26"/>
        </w:rPr>
        <w:t>L</w:t>
      </w:r>
      <w:r w:rsidR="0010510A" w:rsidRPr="008E63BB">
        <w:rPr>
          <w:sz w:val="26"/>
          <w:szCs w:val="26"/>
        </w:rPr>
        <w:t xml:space="preserve">21 về phía Nam, </w:t>
      </w:r>
      <w:r w:rsidRPr="008E63BB">
        <w:rPr>
          <w:sz w:val="26"/>
          <w:szCs w:val="26"/>
        </w:rPr>
        <w:t>hỗ trợ tuyến Quốc lộ 21 đã quá tải</w:t>
      </w:r>
      <w:r w:rsidR="0010510A" w:rsidRPr="008E63BB">
        <w:rPr>
          <w:sz w:val="26"/>
          <w:szCs w:val="26"/>
        </w:rPr>
        <w:t>.</w:t>
      </w:r>
    </w:p>
    <w:p w14:paraId="519B34DB" w14:textId="77777777" w:rsidR="009671CF" w:rsidRPr="008E63BB" w:rsidRDefault="009671CF" w:rsidP="009671CF">
      <w:pPr>
        <w:pStyle w:val="ListParagraph"/>
        <w:numPr>
          <w:ilvl w:val="0"/>
          <w:numId w:val="26"/>
        </w:numPr>
        <w:ind w:left="0" w:firstLine="360"/>
        <w:rPr>
          <w:b/>
          <w:bCs/>
          <w:i/>
          <w:sz w:val="26"/>
          <w:szCs w:val="26"/>
        </w:rPr>
      </w:pPr>
      <w:r w:rsidRPr="008E63BB">
        <w:rPr>
          <w:sz w:val="26"/>
          <w:szCs w:val="26"/>
        </w:rPr>
        <w:t xml:space="preserve">Kết nối mạnh mẽ hơn đến lõi trung tâm. Cải tạo, mở thêm nhiều hướng nhìn tới các hồ và công viên trọng điểm ở khu vực trung tâm. Di dời các khu sản xuất, kinh doanh ra phía </w:t>
      </w:r>
      <w:r w:rsidR="00A74678" w:rsidRPr="008E63BB">
        <w:rPr>
          <w:sz w:val="26"/>
          <w:szCs w:val="26"/>
        </w:rPr>
        <w:t>ngoài</w:t>
      </w:r>
      <w:r w:rsidRPr="008E63BB">
        <w:rPr>
          <w:sz w:val="26"/>
          <w:szCs w:val="26"/>
        </w:rPr>
        <w:t xml:space="preserve"> đường vành đai. </w:t>
      </w:r>
    </w:p>
    <w:p w14:paraId="519B34DC" w14:textId="77777777" w:rsidR="009671CF" w:rsidRPr="008E63BB" w:rsidRDefault="009671CF" w:rsidP="009671CF">
      <w:pPr>
        <w:pStyle w:val="ListParagraph"/>
        <w:numPr>
          <w:ilvl w:val="0"/>
          <w:numId w:val="26"/>
        </w:numPr>
        <w:ind w:left="0" w:firstLine="360"/>
        <w:rPr>
          <w:b/>
          <w:bCs/>
          <w:i/>
          <w:sz w:val="26"/>
          <w:szCs w:val="26"/>
        </w:rPr>
      </w:pPr>
      <w:r w:rsidRPr="008E63BB">
        <w:rPr>
          <w:sz w:val="26"/>
          <w:szCs w:val="26"/>
        </w:rPr>
        <w:t>Cải tạo khu vực bờ sông phía nam để quản lý lũ lụt. Phát triển đô thị mới ở phía Nam, hình thành khu vực trung tâm đô thị tại khu vực giao với đường vành đai (đường Lê Đức Thọ) và trục trung tâm của đô thị mới kết nối với đô thị hiện hữu. Hình thành một trung tâm mới cân bằng với đô thị cũ, tạo hình ảnh đô thị hai bên sông.</w:t>
      </w:r>
    </w:p>
    <w:p w14:paraId="519B34DD" w14:textId="77777777" w:rsidR="009671CF" w:rsidRPr="008E63BB" w:rsidRDefault="009671CF" w:rsidP="009671CF">
      <w:pPr>
        <w:pStyle w:val="ListParagraph"/>
        <w:numPr>
          <w:ilvl w:val="0"/>
          <w:numId w:val="26"/>
        </w:numPr>
        <w:ind w:left="0" w:firstLine="360"/>
        <w:rPr>
          <w:b/>
          <w:bCs/>
          <w:i/>
          <w:sz w:val="26"/>
          <w:szCs w:val="26"/>
        </w:rPr>
      </w:pPr>
      <w:r w:rsidRPr="008E63BB">
        <w:rPr>
          <w:sz w:val="26"/>
          <w:szCs w:val="26"/>
        </w:rPr>
        <w:t xml:space="preserve">Chuyển vị trí một số trung tâm chuyên ngành ra vị trí mới: trung tâm hành chính thành phố, bệnh viện đa khoa. </w:t>
      </w:r>
      <w:r w:rsidR="00A74678" w:rsidRPr="008E63BB">
        <w:rPr>
          <w:sz w:val="26"/>
          <w:szCs w:val="26"/>
        </w:rPr>
        <w:t xml:space="preserve">Chuyển </w:t>
      </w:r>
      <w:r w:rsidRPr="008E63BB">
        <w:rPr>
          <w:sz w:val="26"/>
          <w:szCs w:val="26"/>
        </w:rPr>
        <w:t xml:space="preserve">đất </w:t>
      </w:r>
      <w:r w:rsidR="00A74678" w:rsidRPr="008E63BB">
        <w:rPr>
          <w:sz w:val="26"/>
          <w:szCs w:val="26"/>
        </w:rPr>
        <w:t>trường THPT mới</w:t>
      </w:r>
      <w:r w:rsidRPr="008E63BB">
        <w:rPr>
          <w:sz w:val="26"/>
          <w:szCs w:val="26"/>
        </w:rPr>
        <w:t xml:space="preserve"> vào khu trung tâm thể dục thể thao</w:t>
      </w:r>
      <w:r w:rsidR="00A74678" w:rsidRPr="008E63BB">
        <w:rPr>
          <w:sz w:val="26"/>
          <w:szCs w:val="26"/>
        </w:rPr>
        <w:t>.</w:t>
      </w:r>
    </w:p>
    <w:p w14:paraId="519B34DE" w14:textId="77777777" w:rsidR="00F53F66" w:rsidRPr="008E63BB" w:rsidRDefault="009671CF" w:rsidP="009671CF">
      <w:pPr>
        <w:pStyle w:val="ListParagraph"/>
        <w:numPr>
          <w:ilvl w:val="0"/>
          <w:numId w:val="26"/>
        </w:numPr>
        <w:ind w:left="0" w:firstLine="360"/>
        <w:rPr>
          <w:b/>
          <w:bCs/>
          <w:i/>
          <w:sz w:val="26"/>
          <w:szCs w:val="26"/>
        </w:rPr>
      </w:pPr>
      <w:r w:rsidRPr="008E63BB">
        <w:rPr>
          <w:sz w:val="26"/>
          <w:szCs w:val="26"/>
        </w:rPr>
        <w:t>Cải tạo chỉnh trang giao thông khu vực nội đô</w:t>
      </w:r>
      <w:r w:rsidR="001C00D8" w:rsidRPr="008E63BB">
        <w:rPr>
          <w:sz w:val="26"/>
          <w:szCs w:val="26"/>
        </w:rPr>
        <w:t xml:space="preserve"> phù hợp với điều kiện thực tiễn</w:t>
      </w:r>
      <w:r w:rsidRPr="008E63BB">
        <w:rPr>
          <w:sz w:val="26"/>
          <w:szCs w:val="26"/>
        </w:rPr>
        <w:t xml:space="preserve">, </w:t>
      </w:r>
      <w:r w:rsidR="00A74678" w:rsidRPr="008E63BB">
        <w:rPr>
          <w:sz w:val="26"/>
          <w:szCs w:val="26"/>
        </w:rPr>
        <w:t xml:space="preserve">cải tạo các nút hiện hữu nội đô gây ùn tắc, hạn chế tối đa việc </w:t>
      </w:r>
      <w:r w:rsidRPr="008E63BB">
        <w:rPr>
          <w:sz w:val="26"/>
          <w:szCs w:val="26"/>
        </w:rPr>
        <w:t xml:space="preserve">mở rộng </w:t>
      </w:r>
      <w:r w:rsidR="00A74678" w:rsidRPr="008E63BB">
        <w:rPr>
          <w:sz w:val="26"/>
          <w:szCs w:val="26"/>
        </w:rPr>
        <w:t xml:space="preserve">các tuyến phố cũ để </w:t>
      </w:r>
      <w:r w:rsidRPr="008E63BB">
        <w:rPr>
          <w:sz w:val="26"/>
          <w:szCs w:val="26"/>
        </w:rPr>
        <w:t>tránh làm ảnh hưởng đến các khu dân cư hiện hữu</w:t>
      </w:r>
      <w:r w:rsidR="00F53F66" w:rsidRPr="008E63BB">
        <w:rPr>
          <w:sz w:val="26"/>
          <w:szCs w:val="26"/>
        </w:rPr>
        <w:t>.</w:t>
      </w:r>
    </w:p>
    <w:p w14:paraId="519B34DF" w14:textId="77777777" w:rsidR="001C00D8" w:rsidRPr="008E63BB" w:rsidRDefault="001C00D8" w:rsidP="009671CF">
      <w:pPr>
        <w:pStyle w:val="ListParagraph"/>
        <w:numPr>
          <w:ilvl w:val="0"/>
          <w:numId w:val="26"/>
        </w:numPr>
        <w:ind w:left="0" w:firstLine="360"/>
        <w:rPr>
          <w:sz w:val="26"/>
          <w:szCs w:val="26"/>
        </w:rPr>
      </w:pPr>
      <w:r w:rsidRPr="008E63BB">
        <w:rPr>
          <w:sz w:val="26"/>
          <w:szCs w:val="26"/>
        </w:rPr>
        <w:t>Xây dựng các Trung tâm văn hóa và đào tạo cấp vùng đảm bảo vai trò Trung tâm Nam Đồng Bằng sông Hồng</w:t>
      </w:r>
      <w:r w:rsidR="00A74678" w:rsidRPr="008E63BB">
        <w:rPr>
          <w:sz w:val="26"/>
          <w:szCs w:val="26"/>
        </w:rPr>
        <w:t xml:space="preserve"> tại khu vực Tây Bắc thành phố và phía Nam sông Đào</w:t>
      </w:r>
      <w:r w:rsidRPr="008E63BB">
        <w:rPr>
          <w:sz w:val="26"/>
          <w:szCs w:val="26"/>
        </w:rPr>
        <w:t>.</w:t>
      </w:r>
    </w:p>
    <w:p w14:paraId="519B34E0" w14:textId="77777777" w:rsidR="00A74678" w:rsidRPr="008E63BB" w:rsidRDefault="00A74678" w:rsidP="009671CF">
      <w:pPr>
        <w:pStyle w:val="ListParagraph"/>
        <w:numPr>
          <w:ilvl w:val="0"/>
          <w:numId w:val="26"/>
        </w:numPr>
        <w:ind w:left="0" w:firstLine="360"/>
        <w:rPr>
          <w:sz w:val="26"/>
          <w:szCs w:val="26"/>
        </w:rPr>
      </w:pPr>
      <w:r w:rsidRPr="008E63BB">
        <w:rPr>
          <w:sz w:val="26"/>
          <w:szCs w:val="26"/>
        </w:rPr>
        <w:t>Bổ sung các công trình công cộng và hạ tầng kỹ thuật đảm bảo đáp ứng chỉ tiêu đô thị loại 1.</w:t>
      </w:r>
    </w:p>
    <w:p w14:paraId="519B34E1" w14:textId="77777777" w:rsidR="00911FA0" w:rsidRPr="008E63BB" w:rsidRDefault="00420784" w:rsidP="0065184D">
      <w:pPr>
        <w:pStyle w:val="Heading2"/>
        <w:spacing w:before="0" w:after="0"/>
        <w:rPr>
          <w:b w:val="0"/>
          <w:bCs w:val="0"/>
          <w:iCs w:val="0"/>
          <w:kern w:val="32"/>
          <w:lang w:val="vi-VN"/>
        </w:rPr>
      </w:pPr>
      <w:bookmarkStart w:id="400" w:name="_Toc47524709"/>
      <w:r w:rsidRPr="008E63BB">
        <w:rPr>
          <w:kern w:val="32"/>
          <w:lang w:val="vi-VN"/>
        </w:rPr>
        <w:lastRenderedPageBreak/>
        <w:t>5.</w:t>
      </w:r>
      <w:r w:rsidR="00F9056A" w:rsidRPr="008E63BB">
        <w:rPr>
          <w:kern w:val="32"/>
          <w:lang w:val="vi-VN"/>
        </w:rPr>
        <w:t>7</w:t>
      </w:r>
      <w:r w:rsidRPr="008E63BB">
        <w:rPr>
          <w:kern w:val="32"/>
          <w:lang w:val="vi-VN"/>
        </w:rPr>
        <w:t xml:space="preserve">. </w:t>
      </w:r>
      <w:r w:rsidR="00F45C98" w:rsidRPr="008E63BB">
        <w:rPr>
          <w:kern w:val="32"/>
          <w:lang w:val="vi-VN"/>
        </w:rPr>
        <w:t>Q</w:t>
      </w:r>
      <w:r w:rsidRPr="008E63BB">
        <w:rPr>
          <w:kern w:val="32"/>
          <w:lang w:val="vi-VN"/>
        </w:rPr>
        <w:t>uy hoạch sử dụng đất</w:t>
      </w:r>
      <w:bookmarkStart w:id="401" w:name="_Toc341519075"/>
      <w:bookmarkStart w:id="402" w:name="_Toc341519176"/>
      <w:bookmarkStart w:id="403" w:name="_Toc344928486"/>
      <w:bookmarkStart w:id="404" w:name="_Toc345538395"/>
      <w:bookmarkEnd w:id="399"/>
      <w:bookmarkEnd w:id="400"/>
    </w:p>
    <w:p w14:paraId="519B34E2" w14:textId="77777777" w:rsidR="00BC3979" w:rsidRPr="008E63BB" w:rsidRDefault="00BC3979" w:rsidP="00BC3979">
      <w:pPr>
        <w:pStyle w:val="Heading3"/>
      </w:pPr>
      <w:bookmarkStart w:id="405" w:name="_Toc47524710"/>
      <w:bookmarkStart w:id="406" w:name="_Hlk24344182"/>
      <w:r w:rsidRPr="008E63BB">
        <w:t>5.</w:t>
      </w:r>
      <w:r w:rsidR="00F9056A" w:rsidRPr="008E63BB">
        <w:t>7</w:t>
      </w:r>
      <w:r w:rsidRPr="008E63BB">
        <w:t xml:space="preserve">.1. </w:t>
      </w:r>
      <w:r w:rsidR="004C024C" w:rsidRPr="008E63BB">
        <w:t>Nguyên tắc</w:t>
      </w:r>
      <w:bookmarkEnd w:id="405"/>
    </w:p>
    <w:p w14:paraId="519B34E3" w14:textId="77777777" w:rsidR="008C5246" w:rsidRPr="008E63BB" w:rsidRDefault="008C5246" w:rsidP="00F06125">
      <w:pPr>
        <w:pStyle w:val="ListParagraph"/>
        <w:numPr>
          <w:ilvl w:val="0"/>
          <w:numId w:val="26"/>
        </w:numPr>
        <w:ind w:left="0" w:firstLine="360"/>
        <w:rPr>
          <w:sz w:val="26"/>
          <w:szCs w:val="26"/>
          <w:lang w:val="pt-BR"/>
        </w:rPr>
      </w:pPr>
      <w:r w:rsidRPr="008E63BB">
        <w:rPr>
          <w:sz w:val="26"/>
          <w:szCs w:val="26"/>
          <w:lang w:val="pt-BR"/>
        </w:rPr>
        <w:t>Quy hoạch sử dụng đất đảm bảo phù hợp với phù hợp với điều chỉnh sử dụng đất đến năm 2020 và kế hoạch sử dụng đất kỳ cuối (2016-2020) tỉnh Nam Định đã được phê duyệt tại NQ 135/NQ-CP ngày 26/12/2017, đồng thời đáp ứng với định hướng phát triển dài hạn đến năm 2040.</w:t>
      </w:r>
    </w:p>
    <w:p w14:paraId="519B34E4" w14:textId="77777777" w:rsidR="004C024C" w:rsidRPr="008E63BB" w:rsidRDefault="00585801" w:rsidP="00F06125">
      <w:pPr>
        <w:pStyle w:val="ListParagraph"/>
        <w:numPr>
          <w:ilvl w:val="0"/>
          <w:numId w:val="26"/>
        </w:numPr>
        <w:ind w:left="0" w:firstLine="360"/>
        <w:rPr>
          <w:sz w:val="26"/>
          <w:szCs w:val="26"/>
          <w:lang w:val="pt-BR"/>
        </w:rPr>
      </w:pPr>
      <w:r w:rsidRPr="008E63BB">
        <w:rPr>
          <w:sz w:val="26"/>
          <w:szCs w:val="26"/>
          <w:lang w:val="pt-BR"/>
        </w:rPr>
        <w:t>Hạn chế tối đa việc chuyển đổi diện tích đất trồng trọt có hiệ</w:t>
      </w:r>
      <w:r w:rsidR="00A26ACD" w:rsidRPr="008E63BB">
        <w:rPr>
          <w:sz w:val="26"/>
          <w:szCs w:val="26"/>
          <w:lang w:val="pt-BR"/>
        </w:rPr>
        <w:t>u quả</w:t>
      </w:r>
      <w:r w:rsidRPr="008E63BB">
        <w:rPr>
          <w:sz w:val="26"/>
          <w:szCs w:val="26"/>
          <w:lang w:val="pt-BR"/>
        </w:rPr>
        <w:t xml:space="preserve"> sang mục đích phi NN. </w:t>
      </w:r>
      <w:r w:rsidR="004C024C" w:rsidRPr="008E63BB">
        <w:rPr>
          <w:sz w:val="26"/>
          <w:szCs w:val="26"/>
          <w:lang w:val="pt-BR"/>
        </w:rPr>
        <w:t>Việc lập quy hoạch sử dụng đất rất cần đảm bảo sự đa dạng, có khả năng thay đổi linh hoạt về chức năng, nhằm tạo sự phát triển hiệu quả, bền  vững  trong  từng giai đoạn, tránh gây lãng phí đất đai, đảm bảo quỹ đất sản xuất nông nghiệp vẫn hoạt động hiệu quả và đóng góp vào giá trị của nền kinh tế, trong quá trình chờ đô thị hóa.</w:t>
      </w:r>
      <w:r w:rsidR="008C5246" w:rsidRPr="008E63BB">
        <w:rPr>
          <w:szCs w:val="26"/>
        </w:rPr>
        <w:t>K</w:t>
      </w:r>
      <w:r w:rsidR="008C5246" w:rsidRPr="008E63BB">
        <w:rPr>
          <w:sz w:val="26"/>
          <w:szCs w:val="26"/>
          <w:lang w:val="pt-BR"/>
        </w:rPr>
        <w:t>ích thước lô đất xây dựng công trình cũng cần được quy hoạch đa dạng để dễ dàng đáp ứng các nhu cầu khác nhau trong xã hội. Các chức năng đô thị có thể bố trí trong mỗi khu dân dụng bao gồm: hành chính, thương mại, dịch vụ, du lịch, giáo dục chuyên nghiệp, nhà ở, cây xanh công cộng, sản xuất sạch quy mô vừa và nhỏ,...</w:t>
      </w:r>
    </w:p>
    <w:p w14:paraId="519B34E5" w14:textId="77777777" w:rsidR="004C024C" w:rsidRPr="008E63BB" w:rsidRDefault="004C024C" w:rsidP="004C024C">
      <w:pPr>
        <w:pStyle w:val="Heading3"/>
      </w:pPr>
      <w:bookmarkStart w:id="407" w:name="_Toc47524711"/>
      <w:r w:rsidRPr="008E63BB">
        <w:t>5.</w:t>
      </w:r>
      <w:r w:rsidR="00F9056A" w:rsidRPr="008E63BB">
        <w:t>7</w:t>
      </w:r>
      <w:r w:rsidRPr="008E63BB">
        <w:t>.2. Chỉ tiêu sử dụng đất và nhu cầu đất xây dựng đô thị</w:t>
      </w:r>
      <w:bookmarkEnd w:id="407"/>
    </w:p>
    <w:bookmarkEnd w:id="406"/>
    <w:p w14:paraId="519B34E6" w14:textId="77777777" w:rsidR="00F96939" w:rsidRPr="008E63BB" w:rsidRDefault="00FD27B2" w:rsidP="00512D95">
      <w:pPr>
        <w:ind w:firstLine="360"/>
        <w:rPr>
          <w:rFonts w:eastAsia="Arial"/>
          <w:szCs w:val="26"/>
          <w:lang w:val="pt-BR"/>
        </w:rPr>
      </w:pPr>
      <w:r w:rsidRPr="008E63BB">
        <w:rPr>
          <w:bCs/>
          <w:szCs w:val="26"/>
          <w:lang w:val="pt-BR"/>
        </w:rPr>
        <w:t>Trên</w:t>
      </w:r>
      <w:r w:rsidRPr="008E63BB">
        <w:rPr>
          <w:rFonts w:eastAsia="Arial"/>
          <w:szCs w:val="26"/>
          <w:lang w:val="pt-BR"/>
        </w:rPr>
        <w:t xml:space="preserve"> cơ sở </w:t>
      </w:r>
      <w:r w:rsidR="003F311F" w:rsidRPr="008E63BB">
        <w:rPr>
          <w:szCs w:val="26"/>
          <w:lang w:val="es-ES"/>
        </w:rPr>
        <w:t>tổ chức không gian đô thị, thực trạng về quản lý hành chính hiện hữu, phân chia thành phố thành 08 phân khu quy hoạch để kiểm soát phát triển.</w:t>
      </w:r>
    </w:p>
    <w:p w14:paraId="519B34E7" w14:textId="6F81F54E" w:rsidR="00F96939" w:rsidRPr="008E63BB" w:rsidRDefault="00F96939" w:rsidP="00F06125">
      <w:pPr>
        <w:pStyle w:val="ListParagraph"/>
        <w:numPr>
          <w:ilvl w:val="0"/>
          <w:numId w:val="26"/>
        </w:numPr>
        <w:rPr>
          <w:sz w:val="26"/>
          <w:szCs w:val="26"/>
          <w:lang w:val="pt-BR"/>
        </w:rPr>
      </w:pPr>
      <w:r w:rsidRPr="008E63BB">
        <w:rPr>
          <w:sz w:val="26"/>
          <w:szCs w:val="26"/>
          <w:lang w:val="pt-BR"/>
        </w:rPr>
        <w:t>Quy mô</w:t>
      </w:r>
      <w:r w:rsidR="003F311F" w:rsidRPr="008E63BB">
        <w:rPr>
          <w:sz w:val="26"/>
          <w:szCs w:val="26"/>
          <w:lang w:val="pt-BR"/>
        </w:rPr>
        <w:t xml:space="preserve"> ranh giới toàn đô thị</w:t>
      </w:r>
      <w:r w:rsidRPr="008E63BB">
        <w:rPr>
          <w:sz w:val="26"/>
          <w:szCs w:val="26"/>
          <w:lang w:val="pt-BR"/>
        </w:rPr>
        <w:t>:</w:t>
      </w:r>
      <w:r w:rsidR="000550AE" w:rsidRPr="008E63BB">
        <w:rPr>
          <w:sz w:val="26"/>
          <w:szCs w:val="26"/>
          <w:lang w:val="pt-BR"/>
        </w:rPr>
        <w:t xml:space="preserve"> Diện tích lập Quy hoạch chung thành phố Nam Định khoảng 18.79</w:t>
      </w:r>
      <w:r w:rsidR="004A552F" w:rsidRPr="008E63BB">
        <w:rPr>
          <w:sz w:val="26"/>
          <w:szCs w:val="26"/>
          <w:lang w:val="pt-BR"/>
        </w:rPr>
        <w:t>8,69</w:t>
      </w:r>
      <w:r w:rsidR="000550AE" w:rsidRPr="008E63BB">
        <w:rPr>
          <w:sz w:val="26"/>
          <w:szCs w:val="26"/>
          <w:lang w:val="pt-BR"/>
        </w:rPr>
        <w:t>ha:</w:t>
      </w:r>
    </w:p>
    <w:p w14:paraId="519B34E8" w14:textId="77777777" w:rsidR="00F96939" w:rsidRPr="008E63BB" w:rsidRDefault="00F96939" w:rsidP="00F96939">
      <w:pPr>
        <w:ind w:left="720"/>
        <w:rPr>
          <w:szCs w:val="26"/>
          <w:lang w:val="vi-VN"/>
        </w:rPr>
      </w:pPr>
      <w:r w:rsidRPr="008E63BB">
        <w:rPr>
          <w:szCs w:val="26"/>
          <w:lang w:val="pt-BR"/>
        </w:rPr>
        <w:t>+ Nội thị: 9.355,32ha</w:t>
      </w:r>
      <w:r w:rsidR="003F311F" w:rsidRPr="008E63BB">
        <w:rPr>
          <w:szCs w:val="26"/>
          <w:lang w:val="pt-BR"/>
        </w:rPr>
        <w:t>. Khu vực nội th</w:t>
      </w:r>
      <w:r w:rsidR="00C90BF8" w:rsidRPr="008E63BB">
        <w:rPr>
          <w:szCs w:val="26"/>
          <w:lang w:val="pt-BR"/>
        </w:rPr>
        <w:t>ành</w:t>
      </w:r>
      <w:r w:rsidR="003F311F" w:rsidRPr="008E63BB">
        <w:rPr>
          <w:szCs w:val="26"/>
          <w:lang w:val="pt-BR"/>
        </w:rPr>
        <w:t xml:space="preserve"> của Thành phố khi đó gồm: 33 phường và 11 xã).</w:t>
      </w:r>
    </w:p>
    <w:p w14:paraId="519B34E9" w14:textId="77777777" w:rsidR="00F96939" w:rsidRPr="008E63BB" w:rsidRDefault="00F96939" w:rsidP="003F311F">
      <w:pPr>
        <w:ind w:left="720"/>
        <w:rPr>
          <w:szCs w:val="26"/>
          <w:lang w:val="vi-VN"/>
        </w:rPr>
      </w:pPr>
      <w:r w:rsidRPr="008E63BB">
        <w:rPr>
          <w:szCs w:val="26"/>
          <w:lang w:val="pt-BR"/>
        </w:rPr>
        <w:t>+ Ngoại thị: 9.443,37ha</w:t>
      </w:r>
    </w:p>
    <w:p w14:paraId="519B34EA" w14:textId="7A98CB68" w:rsidR="00E63C68" w:rsidRPr="008E63BB" w:rsidRDefault="00E63C68" w:rsidP="00E63C68">
      <w:pPr>
        <w:ind w:firstLine="720"/>
        <w:rPr>
          <w:szCs w:val="26"/>
          <w:lang w:val="vi-VN"/>
        </w:rPr>
      </w:pPr>
      <w:r w:rsidRPr="008E63BB">
        <w:rPr>
          <w:szCs w:val="26"/>
          <w:lang w:val="vi-VN"/>
        </w:rPr>
        <w:t xml:space="preserve">Định hướng quy hoạch đối với Nam Định trong giai đoạn đến năm 2040 là đẩy mạnh quá trình nâng cấp các khu đô thị hiện hữu và hoàn thiện các dự án phát triển đô thị đang triển khai xây dựng, phát triển mới khoảng </w:t>
      </w:r>
      <w:r w:rsidRPr="0007790B">
        <w:rPr>
          <w:szCs w:val="26"/>
          <w:lang w:val="vi-VN"/>
        </w:rPr>
        <w:t>3.243,08</w:t>
      </w:r>
      <w:r w:rsidRPr="008E63BB">
        <w:rPr>
          <w:szCs w:val="26"/>
          <w:lang w:val="vi-VN"/>
        </w:rPr>
        <w:t>ha đất xây dựng đô thị các dự án mang tính chất tạo động lực phát triển đô thị, các dự án xây dựng nhà ở xã hội, nhà ở sinh viên, đất xây dựng thương mại dịch vụ, Trung tâm Logistics, khu, cụm công nghiệp... Như vậy, đến năm 2040, quy mô đất xây dựng đô thị khoảng 8.</w:t>
      </w:r>
      <w:r w:rsidR="008E63BB" w:rsidRPr="0007790B">
        <w:rPr>
          <w:szCs w:val="26"/>
          <w:lang w:val="vi-VN"/>
        </w:rPr>
        <w:t>32</w:t>
      </w:r>
      <w:r w:rsidRPr="0007790B">
        <w:rPr>
          <w:szCs w:val="26"/>
          <w:lang w:val="vi-VN"/>
        </w:rPr>
        <w:t>2,3</w:t>
      </w:r>
      <w:r w:rsidRPr="008E63BB">
        <w:rPr>
          <w:szCs w:val="26"/>
          <w:lang w:val="vi-VN"/>
        </w:rPr>
        <w:t>ha chiếm 45,</w:t>
      </w:r>
      <w:r w:rsidRPr="0007790B">
        <w:rPr>
          <w:szCs w:val="26"/>
          <w:lang w:val="vi-VN"/>
        </w:rPr>
        <w:t>32</w:t>
      </w:r>
      <w:r w:rsidRPr="008E63BB">
        <w:rPr>
          <w:szCs w:val="26"/>
          <w:lang w:val="vi-VN"/>
        </w:rPr>
        <w:t xml:space="preserve">% tổng diện tích đất tự nhiên ranh giới quy hoạch, </w:t>
      </w:r>
      <w:r w:rsidRPr="008E63BB">
        <w:rPr>
          <w:szCs w:val="26"/>
          <w:lang w:val="es-ES"/>
        </w:rPr>
        <w:t>bao gồm: đất dân dụng; đất ngoài phạm vi dân dụng</w:t>
      </w:r>
      <w:r w:rsidRPr="008E63BB">
        <w:rPr>
          <w:szCs w:val="26"/>
          <w:lang w:val="vi-VN"/>
        </w:rPr>
        <w:t>.</w:t>
      </w:r>
    </w:p>
    <w:p w14:paraId="519B34EB" w14:textId="247390BE" w:rsidR="00E63C68" w:rsidRPr="0007790B" w:rsidRDefault="00E63C68" w:rsidP="00E63C68">
      <w:pPr>
        <w:rPr>
          <w:szCs w:val="26"/>
          <w:lang w:val="es-ES"/>
        </w:rPr>
      </w:pPr>
      <w:r w:rsidRPr="008E63BB">
        <w:rPr>
          <w:b/>
          <w:i/>
          <w:szCs w:val="26"/>
          <w:lang w:val="vi-VN"/>
        </w:rPr>
        <w:t>a. Đất dân dụng:</w:t>
      </w:r>
      <w:r w:rsidRPr="008E63BB">
        <w:rPr>
          <w:szCs w:val="26"/>
          <w:lang w:val="vi-VN"/>
        </w:rPr>
        <w:t xml:space="preserve"> khoảng </w:t>
      </w:r>
      <w:r w:rsidRPr="0007790B">
        <w:rPr>
          <w:szCs w:val="26"/>
          <w:lang w:val="vi-VN"/>
        </w:rPr>
        <w:t>4.990,49</w:t>
      </w:r>
      <w:r w:rsidRPr="008E63BB">
        <w:rPr>
          <w:szCs w:val="26"/>
          <w:lang w:val="vi-VN"/>
        </w:rPr>
        <w:t xml:space="preserve">ha chiếm </w:t>
      </w:r>
      <w:r w:rsidRPr="0007790B">
        <w:rPr>
          <w:szCs w:val="26"/>
          <w:lang w:val="vi-VN"/>
        </w:rPr>
        <w:t>59,89</w:t>
      </w:r>
      <w:r w:rsidRPr="008E63BB">
        <w:rPr>
          <w:szCs w:val="26"/>
          <w:lang w:val="vi-VN"/>
        </w:rPr>
        <w:t xml:space="preserve">% </w:t>
      </w:r>
      <w:r w:rsidRPr="008E63BB">
        <w:rPr>
          <w:szCs w:val="26"/>
          <w:lang w:val="es-ES"/>
        </w:rPr>
        <w:t>tổng diện tích đất xây dựng đô thị, chỉ tiêu 83,17m</w:t>
      </w:r>
      <w:r w:rsidRPr="008E63BB">
        <w:rPr>
          <w:szCs w:val="26"/>
          <w:vertAlign w:val="superscript"/>
          <w:lang w:val="es-ES"/>
        </w:rPr>
        <w:t>2</w:t>
      </w:r>
      <w:r w:rsidRPr="008E63BB">
        <w:rPr>
          <w:szCs w:val="26"/>
          <w:lang w:val="es-ES"/>
        </w:rPr>
        <w:t>/người. Trong đó:</w:t>
      </w:r>
    </w:p>
    <w:p w14:paraId="519B34EC" w14:textId="02D09672" w:rsidR="00E63C68" w:rsidRPr="0007790B" w:rsidRDefault="00E63C68" w:rsidP="00E63C68">
      <w:pPr>
        <w:ind w:firstLine="709"/>
        <w:rPr>
          <w:rFonts w:eastAsia="Arial Unicode MS"/>
          <w:szCs w:val="26"/>
          <w:u w:color="000000"/>
          <w:lang w:val="es-ES"/>
        </w:rPr>
      </w:pPr>
      <w:r w:rsidRPr="0007790B">
        <w:rPr>
          <w:rFonts w:eastAsia="Arial Unicode MS"/>
          <w:szCs w:val="26"/>
          <w:u w:color="000000"/>
          <w:lang w:val="es-ES"/>
        </w:rPr>
        <w:t xml:space="preserve">- Đất đơn vị ở: Quy mô khoảng 2.705,14ha, chiếm 32,47% tích đất xây dựng đô thị </w:t>
      </w:r>
      <w:bookmarkStart w:id="408" w:name="_Hlk52195029"/>
      <w:r w:rsidRPr="0007790B">
        <w:rPr>
          <w:rFonts w:eastAsia="Arial Unicode MS"/>
          <w:szCs w:val="26"/>
          <w:u w:color="000000"/>
          <w:lang w:val="es-ES"/>
        </w:rPr>
        <w:t xml:space="preserve">(chỉ tiêu bình quân khoảng </w:t>
      </w:r>
      <w:r w:rsidR="00A9229F" w:rsidRPr="0007790B">
        <w:rPr>
          <w:rFonts w:eastAsia="Arial Unicode MS"/>
          <w:szCs w:val="26"/>
          <w:u w:color="000000"/>
          <w:lang w:val="es-ES"/>
        </w:rPr>
        <w:t>45,09</w:t>
      </w:r>
      <w:r w:rsidRPr="0007790B">
        <w:rPr>
          <w:rFonts w:eastAsia="Arial Unicode MS"/>
          <w:szCs w:val="26"/>
          <w:u w:color="000000"/>
          <w:lang w:val="es-ES"/>
        </w:rPr>
        <w:t>m</w:t>
      </w:r>
      <w:r w:rsidRPr="0007790B">
        <w:rPr>
          <w:rFonts w:eastAsia="Arial Unicode MS"/>
          <w:szCs w:val="26"/>
          <w:u w:color="000000"/>
          <w:vertAlign w:val="superscript"/>
          <w:lang w:val="es-ES"/>
        </w:rPr>
        <w:t>2</w:t>
      </w:r>
      <w:r w:rsidRPr="0007790B">
        <w:rPr>
          <w:rFonts w:eastAsia="Arial Unicode MS"/>
          <w:szCs w:val="26"/>
          <w:u w:color="000000"/>
          <w:lang w:val="es-ES"/>
        </w:rPr>
        <w:t xml:space="preserve">/người) – do đặc thù đất đơn vị ở hiện trạng khá lớn khoảng </w:t>
      </w:r>
      <w:r w:rsidR="00A9229F" w:rsidRPr="0007790B">
        <w:rPr>
          <w:rFonts w:eastAsia="Arial Unicode MS"/>
          <w:szCs w:val="26"/>
          <w:u w:color="000000"/>
          <w:lang w:val="es-ES"/>
        </w:rPr>
        <w:t>51,13</w:t>
      </w:r>
      <w:r w:rsidRPr="0007790B">
        <w:rPr>
          <w:rFonts w:eastAsia="Arial Unicode MS"/>
          <w:szCs w:val="26"/>
          <w:u w:color="000000"/>
          <w:lang w:val="es-ES"/>
        </w:rPr>
        <w:t>m</w:t>
      </w:r>
      <w:r w:rsidRPr="0007790B">
        <w:rPr>
          <w:rFonts w:eastAsia="Arial Unicode MS"/>
          <w:szCs w:val="26"/>
          <w:u w:color="000000"/>
          <w:vertAlign w:val="superscript"/>
          <w:lang w:val="es-ES"/>
        </w:rPr>
        <w:t>2</w:t>
      </w:r>
      <w:r w:rsidRPr="0007790B">
        <w:rPr>
          <w:rFonts w:eastAsia="Arial Unicode MS"/>
          <w:szCs w:val="26"/>
          <w:u w:color="000000"/>
          <w:lang w:val="es-ES"/>
        </w:rPr>
        <w:t>/ người</w:t>
      </w:r>
      <w:r w:rsidR="004A552F" w:rsidRPr="0007790B">
        <w:rPr>
          <w:rFonts w:eastAsia="Arial Unicode MS"/>
          <w:szCs w:val="26"/>
          <w:u w:color="000000"/>
          <w:lang w:val="es-ES"/>
        </w:rPr>
        <w:t xml:space="preserve"> </w:t>
      </w:r>
      <w:r w:rsidR="00A9229F" w:rsidRPr="0007790B">
        <w:rPr>
          <w:rFonts w:eastAsia="Arial Unicode MS"/>
          <w:szCs w:val="26"/>
          <w:u w:color="000000"/>
          <w:lang w:val="es-ES"/>
        </w:rPr>
        <w:t xml:space="preserve">(khoảng 2.035,85ha đất đơn  vị ở hiện trạng đô thị + làng xóm đô thị hoá); đất ở phát triển mới </w:t>
      </w:r>
      <w:r w:rsidR="00EC3775" w:rsidRPr="0007790B">
        <w:rPr>
          <w:rFonts w:eastAsia="Arial Unicode MS"/>
          <w:szCs w:val="26"/>
          <w:u w:color="000000"/>
          <w:lang w:val="es-ES"/>
        </w:rPr>
        <w:t xml:space="preserve">khoảng </w:t>
      </w:r>
      <w:r w:rsidR="00A9229F" w:rsidRPr="0007790B">
        <w:rPr>
          <w:rFonts w:eastAsia="Arial Unicode MS"/>
          <w:szCs w:val="26"/>
          <w:u w:color="000000"/>
          <w:lang w:val="es-ES"/>
        </w:rPr>
        <w:t>669,29ha</w:t>
      </w:r>
      <w:r w:rsidRPr="0007790B">
        <w:rPr>
          <w:rFonts w:eastAsia="Arial Unicode MS"/>
          <w:szCs w:val="26"/>
          <w:u w:color="000000"/>
          <w:lang w:val="es-ES"/>
        </w:rPr>
        <w:t xml:space="preserve">. </w:t>
      </w:r>
      <w:bookmarkEnd w:id="408"/>
      <w:r w:rsidRPr="0007790B">
        <w:rPr>
          <w:rFonts w:eastAsia="Arial Unicode MS"/>
          <w:szCs w:val="26"/>
          <w:u w:color="000000"/>
          <w:lang w:val="es-ES"/>
        </w:rPr>
        <w:t>Bao gồm: Đất công cộng đơn vị ở, đất cây xanh - TDTT đơn vị ở, đất trường học (trường tiểu học, trường THCS), đất giao thông đơn vị ở, đất xây dựng nhà ở (đất ở đô thị hiện trạng cải tạo và đất ở mới).</w:t>
      </w:r>
    </w:p>
    <w:p w14:paraId="519B34ED" w14:textId="77777777" w:rsidR="00E63C68" w:rsidRPr="0007790B" w:rsidRDefault="00E63C68" w:rsidP="00E63C68">
      <w:pPr>
        <w:ind w:firstLine="709"/>
        <w:rPr>
          <w:rFonts w:eastAsia="Arial Unicode MS"/>
          <w:szCs w:val="26"/>
          <w:u w:color="000000"/>
          <w:lang w:val="es-ES"/>
        </w:rPr>
      </w:pPr>
      <w:bookmarkStart w:id="409" w:name="_Hlk52195094"/>
      <w:r w:rsidRPr="0007790B">
        <w:rPr>
          <w:rFonts w:eastAsia="Arial Unicode MS"/>
          <w:szCs w:val="26"/>
          <w:u w:color="000000"/>
          <w:lang w:val="es-ES"/>
        </w:rPr>
        <w:t>- Đất công trình dịch vụ - công cộng đô thị: 216,7ha, (chiếm 2,6% đất xây dựng đô thị; chỉ tiêu 3,61m</w:t>
      </w:r>
      <w:r w:rsidRPr="0007790B">
        <w:rPr>
          <w:rFonts w:eastAsia="Arial Unicode MS"/>
          <w:szCs w:val="26"/>
          <w:u w:color="000000"/>
          <w:vertAlign w:val="superscript"/>
          <w:lang w:val="es-ES"/>
        </w:rPr>
        <w:t>2</w:t>
      </w:r>
      <w:r w:rsidRPr="0007790B">
        <w:rPr>
          <w:rFonts w:eastAsia="Arial Unicode MS"/>
          <w:szCs w:val="26"/>
          <w:u w:color="000000"/>
          <w:lang w:val="es-ES"/>
        </w:rPr>
        <w:t>/người). gồm: trường THPT, bệnh viện chuyên khoa, bệnh viện đa khoa, phòng khám đa khoa, nhà văn hóa, bảo tàng, triển lãm, nhà hát, rạp xiếc, cung thiếu nhi, trung tâm thương mại, chợ trung tâm đô thị.</w:t>
      </w:r>
    </w:p>
    <w:p w14:paraId="519B34EE" w14:textId="77777777" w:rsidR="00E63C68" w:rsidRPr="0007790B" w:rsidRDefault="00E63C68" w:rsidP="00E63C68">
      <w:pPr>
        <w:ind w:firstLine="709"/>
        <w:rPr>
          <w:rFonts w:eastAsia="Arial Unicode MS"/>
          <w:szCs w:val="26"/>
          <w:u w:color="000000"/>
          <w:lang w:val="es-ES"/>
        </w:rPr>
      </w:pPr>
      <w:r w:rsidRPr="0007790B">
        <w:rPr>
          <w:rFonts w:eastAsia="Arial Unicode MS"/>
          <w:szCs w:val="26"/>
          <w:u w:color="000000"/>
          <w:lang w:val="es-ES"/>
        </w:rPr>
        <w:t>- Đất cây xanh đô thị: 579,15ha, chiếm 6,95% đất xây dựng đô thị; chỉ tiêu 9,65m</w:t>
      </w:r>
      <w:r w:rsidRPr="0007790B">
        <w:rPr>
          <w:rFonts w:eastAsia="Arial Unicode MS"/>
          <w:szCs w:val="26"/>
          <w:u w:color="000000"/>
          <w:vertAlign w:val="superscript"/>
          <w:lang w:val="es-ES"/>
        </w:rPr>
        <w:t>2</w:t>
      </w:r>
      <w:r w:rsidRPr="0007790B">
        <w:rPr>
          <w:rFonts w:eastAsia="Arial Unicode MS"/>
          <w:szCs w:val="26"/>
          <w:u w:color="000000"/>
          <w:lang w:val="es-ES"/>
        </w:rPr>
        <w:t>/người, bao gồm: công viên vườn hoa, công viên chuyên đề.</w:t>
      </w:r>
    </w:p>
    <w:p w14:paraId="519B34EF" w14:textId="77777777" w:rsidR="00E63C68" w:rsidRPr="0007790B" w:rsidRDefault="00E63C68" w:rsidP="00E63C68">
      <w:pPr>
        <w:ind w:firstLine="709"/>
        <w:rPr>
          <w:rFonts w:eastAsia="Arial Unicode MS"/>
          <w:szCs w:val="26"/>
          <w:u w:color="000000"/>
          <w:lang w:val="es-ES"/>
        </w:rPr>
      </w:pPr>
      <w:r w:rsidRPr="0007790B">
        <w:rPr>
          <w:rFonts w:eastAsia="Arial Unicode MS"/>
          <w:szCs w:val="26"/>
          <w:u w:color="000000"/>
          <w:lang w:val="es-ES"/>
        </w:rPr>
        <w:t xml:space="preserve">- Đất hạ tầng kỹ thuật đô thị: 1.489,5ha, chiếm 17,88% đất xây dựng đô thị, gồm các đường trục chính đô thị, đường phân khu vực kết nối các đơn vị ở, đường liên khu </w:t>
      </w:r>
      <w:r w:rsidRPr="0007790B">
        <w:rPr>
          <w:rFonts w:eastAsia="Arial Unicode MS"/>
          <w:szCs w:val="26"/>
          <w:u w:color="000000"/>
          <w:lang w:val="es-ES"/>
        </w:rPr>
        <w:lastRenderedPageBreak/>
        <w:t xml:space="preserve">vực. Ngoài ra, bố trí các không gian mở là các quảng trường giao thông là nơi tập trung hệ thống cửa hàng mua sắm, dịch vụ nhà hàng – khách sạn,... </w:t>
      </w:r>
    </w:p>
    <w:bookmarkEnd w:id="409"/>
    <w:p w14:paraId="519B34F0" w14:textId="77777777" w:rsidR="00E63C68" w:rsidRPr="008E63BB" w:rsidRDefault="00E63C68" w:rsidP="00E63C68">
      <w:pPr>
        <w:tabs>
          <w:tab w:val="left" w:pos="900"/>
        </w:tabs>
        <w:rPr>
          <w:rFonts w:eastAsia="Arial Unicode MS"/>
          <w:szCs w:val="26"/>
          <w:u w:color="000000"/>
          <w:lang w:val="vi-VN"/>
        </w:rPr>
      </w:pPr>
      <w:r w:rsidRPr="008E63BB">
        <w:rPr>
          <w:rFonts w:eastAsia="Arial Unicode MS"/>
          <w:b/>
          <w:i/>
          <w:szCs w:val="26"/>
          <w:u w:color="000000"/>
          <w:lang w:val="vi-VN"/>
        </w:rPr>
        <w:t>b. Đất ngoài dân dụng:</w:t>
      </w:r>
      <w:r w:rsidRPr="008E63BB">
        <w:rPr>
          <w:rFonts w:eastAsia="Arial Unicode MS"/>
          <w:szCs w:val="26"/>
          <w:u w:color="000000"/>
          <w:lang w:val="vi-VN"/>
        </w:rPr>
        <w:t xml:space="preserve"> </w:t>
      </w:r>
      <w:bookmarkStart w:id="410" w:name="_Hlk52195169"/>
      <w:r w:rsidRPr="008E63BB">
        <w:rPr>
          <w:rFonts w:eastAsia="Arial Unicode MS"/>
          <w:szCs w:val="26"/>
          <w:u w:color="000000"/>
          <w:lang w:val="vi-VN"/>
        </w:rPr>
        <w:t xml:space="preserve">3.341,81ha </w:t>
      </w:r>
      <w:bookmarkEnd w:id="410"/>
      <w:r w:rsidRPr="008E63BB">
        <w:rPr>
          <w:rFonts w:eastAsia="Arial Unicode MS"/>
          <w:szCs w:val="26"/>
          <w:u w:color="000000"/>
          <w:lang w:val="vi-VN"/>
        </w:rPr>
        <w:t xml:space="preserve">(chiếm </w:t>
      </w:r>
      <w:r w:rsidRPr="0007790B">
        <w:rPr>
          <w:rFonts w:eastAsia="Arial Unicode MS"/>
          <w:szCs w:val="26"/>
          <w:u w:color="000000"/>
          <w:lang w:val="es-ES"/>
        </w:rPr>
        <w:t>40,11</w:t>
      </w:r>
      <w:r w:rsidRPr="008E63BB">
        <w:rPr>
          <w:rFonts w:eastAsia="Arial Unicode MS"/>
          <w:szCs w:val="26"/>
          <w:u w:color="000000"/>
          <w:lang w:val="vi-VN"/>
        </w:rPr>
        <w:t xml:space="preserve">% đất xây dựng đô thị). Bao gồm các công trình chức năng phục vụ đô thị và ngoài đô thị: Đất trụ sở cơ quan ngoài sự quản lý của đô thị </w:t>
      </w:r>
      <w:r w:rsidRPr="0007790B">
        <w:rPr>
          <w:rFonts w:eastAsia="Arial Unicode MS"/>
          <w:szCs w:val="26"/>
          <w:u w:color="000000"/>
          <w:lang w:val="vi-VN"/>
        </w:rPr>
        <w:t>103,89</w:t>
      </w:r>
      <w:r w:rsidRPr="008E63BB">
        <w:rPr>
          <w:rFonts w:eastAsia="Arial Unicode MS"/>
          <w:szCs w:val="26"/>
          <w:u w:color="000000"/>
          <w:lang w:val="vi-VN"/>
        </w:rPr>
        <w:t xml:space="preserve">ha; Đất công cộng ngoài sự quản lý của đô thị </w:t>
      </w:r>
      <w:r w:rsidRPr="0007790B">
        <w:rPr>
          <w:rFonts w:eastAsia="Arial Unicode MS"/>
          <w:szCs w:val="26"/>
          <w:u w:color="000000"/>
          <w:lang w:val="vi-VN"/>
        </w:rPr>
        <w:t>284,03</w:t>
      </w:r>
      <w:r w:rsidRPr="008E63BB">
        <w:rPr>
          <w:rFonts w:eastAsia="Arial Unicode MS"/>
          <w:szCs w:val="26"/>
          <w:u w:color="000000"/>
          <w:lang w:val="vi-VN"/>
        </w:rPr>
        <w:t xml:space="preserve">ha; Đất hỗn hợp-thương mại, dịch vụ </w:t>
      </w:r>
      <w:r w:rsidRPr="0007790B">
        <w:rPr>
          <w:rFonts w:eastAsia="Arial Unicode MS"/>
          <w:szCs w:val="26"/>
          <w:u w:color="000000"/>
          <w:lang w:val="vi-VN"/>
        </w:rPr>
        <w:t>974,97h</w:t>
      </w:r>
      <w:r w:rsidRPr="008E63BB">
        <w:rPr>
          <w:rFonts w:eastAsia="Arial Unicode MS"/>
          <w:szCs w:val="26"/>
          <w:u w:color="000000"/>
          <w:lang w:val="vi-VN"/>
        </w:rPr>
        <w:t xml:space="preserve">a; đất du lịch, dịch vụ </w:t>
      </w:r>
      <w:r w:rsidRPr="0007790B">
        <w:rPr>
          <w:rFonts w:eastAsia="Arial Unicode MS"/>
          <w:szCs w:val="26"/>
          <w:u w:color="000000"/>
          <w:lang w:val="vi-VN"/>
        </w:rPr>
        <w:t>343,37</w:t>
      </w:r>
      <w:r w:rsidRPr="008E63BB">
        <w:rPr>
          <w:rFonts w:eastAsia="Arial Unicode MS"/>
          <w:szCs w:val="26"/>
          <w:u w:color="000000"/>
          <w:lang w:val="vi-VN"/>
        </w:rPr>
        <w:t>ha; đất công nghiệp 1.001</w:t>
      </w:r>
      <w:r w:rsidRPr="0007790B">
        <w:rPr>
          <w:rFonts w:eastAsia="Arial Unicode MS"/>
          <w:szCs w:val="26"/>
          <w:u w:color="000000"/>
          <w:lang w:val="vi-VN"/>
        </w:rPr>
        <w:t>,25</w:t>
      </w:r>
      <w:r w:rsidRPr="008E63BB">
        <w:rPr>
          <w:rFonts w:eastAsia="Arial Unicode MS"/>
          <w:szCs w:val="26"/>
          <w:u w:color="000000"/>
          <w:lang w:val="vi-VN"/>
        </w:rPr>
        <w:t>ha; Đất kho tàng bến bãi – logistic 100ha, đất hạ tầng đầu mối (bãi thải, xử lý chất thải rắn) 104ha; đất giao thông đối ngoại 430ha.</w:t>
      </w:r>
    </w:p>
    <w:p w14:paraId="519B34F1" w14:textId="77777777" w:rsidR="00E63C68" w:rsidRPr="008E63BB" w:rsidRDefault="00E63C68" w:rsidP="00E63C68">
      <w:pPr>
        <w:rPr>
          <w:szCs w:val="26"/>
          <w:lang w:val="es-ES"/>
        </w:rPr>
      </w:pPr>
      <w:r w:rsidRPr="008E63BB">
        <w:rPr>
          <w:b/>
          <w:i/>
          <w:szCs w:val="26"/>
          <w:lang w:val="es-ES"/>
        </w:rPr>
        <w:t>c. Đất khác:</w:t>
      </w:r>
      <w:r w:rsidRPr="008E63BB">
        <w:rPr>
          <w:szCs w:val="26"/>
          <w:lang w:val="es-ES"/>
        </w:rPr>
        <w:t xml:space="preserve"> khoảng 10.466,39ha, chiếm 55,68% diện tích tự nhiên. Trong đó</w:t>
      </w:r>
    </w:p>
    <w:p w14:paraId="7D915F20" w14:textId="77777777" w:rsidR="00D873EE" w:rsidRPr="008E63BB" w:rsidRDefault="00D873EE" w:rsidP="00D873EE">
      <w:pPr>
        <w:pStyle w:val="ListParagraph"/>
        <w:numPr>
          <w:ilvl w:val="0"/>
          <w:numId w:val="38"/>
        </w:numPr>
        <w:tabs>
          <w:tab w:val="left" w:pos="900"/>
        </w:tabs>
        <w:spacing w:before="60" w:after="60"/>
        <w:rPr>
          <w:szCs w:val="26"/>
        </w:rPr>
      </w:pPr>
      <w:r w:rsidRPr="008E63BB">
        <w:rPr>
          <w:szCs w:val="26"/>
        </w:rPr>
        <w:t>Đất an ninh, quốc phòng: 53,05ha</w:t>
      </w:r>
    </w:p>
    <w:p w14:paraId="4CFB4D7A" w14:textId="77777777" w:rsidR="00D873EE" w:rsidRPr="008E63BB" w:rsidRDefault="00D873EE" w:rsidP="00D873EE">
      <w:pPr>
        <w:pStyle w:val="ListParagraph"/>
        <w:numPr>
          <w:ilvl w:val="0"/>
          <w:numId w:val="38"/>
        </w:numPr>
        <w:tabs>
          <w:tab w:val="left" w:pos="900"/>
        </w:tabs>
        <w:spacing w:before="60" w:after="60"/>
        <w:rPr>
          <w:szCs w:val="26"/>
        </w:rPr>
      </w:pPr>
      <w:r w:rsidRPr="008E63BB">
        <w:rPr>
          <w:szCs w:val="26"/>
        </w:rPr>
        <w:t>Đất di tích, tôn giáo 235,99ha.</w:t>
      </w:r>
    </w:p>
    <w:p w14:paraId="5FD82F17" w14:textId="77777777" w:rsidR="00D873EE" w:rsidRPr="008E63BB" w:rsidRDefault="00D873EE" w:rsidP="00D873EE">
      <w:pPr>
        <w:pStyle w:val="ListParagraph"/>
        <w:numPr>
          <w:ilvl w:val="0"/>
          <w:numId w:val="38"/>
        </w:numPr>
        <w:tabs>
          <w:tab w:val="left" w:pos="900"/>
        </w:tabs>
        <w:spacing w:before="60" w:after="60"/>
        <w:rPr>
          <w:szCs w:val="26"/>
        </w:rPr>
      </w:pPr>
      <w:r w:rsidRPr="008E63BB">
        <w:rPr>
          <w:szCs w:val="26"/>
        </w:rPr>
        <w:t xml:space="preserve">Đất xây xanh cách ly 302,23ha; </w:t>
      </w:r>
    </w:p>
    <w:p w14:paraId="0393632B" w14:textId="77777777" w:rsidR="00D873EE" w:rsidRPr="008E63BB" w:rsidRDefault="00D873EE" w:rsidP="00D873EE">
      <w:pPr>
        <w:pStyle w:val="ListParagraph"/>
        <w:numPr>
          <w:ilvl w:val="0"/>
          <w:numId w:val="38"/>
        </w:numPr>
        <w:tabs>
          <w:tab w:val="left" w:pos="900"/>
        </w:tabs>
        <w:spacing w:before="60" w:after="60"/>
        <w:rPr>
          <w:szCs w:val="26"/>
        </w:rPr>
      </w:pPr>
      <w:r w:rsidRPr="008E63BB">
        <w:rPr>
          <w:szCs w:val="26"/>
        </w:rPr>
        <w:t>Đất cây xanh ven sông 302,23ha;</w:t>
      </w:r>
    </w:p>
    <w:p w14:paraId="48502BFB" w14:textId="77777777" w:rsidR="00D873EE" w:rsidRPr="008E63BB" w:rsidRDefault="00D873EE" w:rsidP="00D873EE">
      <w:pPr>
        <w:pStyle w:val="ListParagraph"/>
        <w:numPr>
          <w:ilvl w:val="0"/>
          <w:numId w:val="38"/>
        </w:numPr>
        <w:tabs>
          <w:tab w:val="left" w:pos="900"/>
        </w:tabs>
        <w:spacing w:before="60" w:after="60"/>
        <w:rPr>
          <w:szCs w:val="26"/>
        </w:rPr>
      </w:pPr>
      <w:r w:rsidRPr="008E63BB">
        <w:rPr>
          <w:szCs w:val="26"/>
        </w:rPr>
        <w:t>Đất dự trữ phát triển: khoảng 1.083ha</w:t>
      </w:r>
    </w:p>
    <w:p w14:paraId="46B42156" w14:textId="77777777" w:rsidR="00D873EE" w:rsidRPr="008E63BB" w:rsidRDefault="00D873EE" w:rsidP="00D873EE">
      <w:pPr>
        <w:pStyle w:val="ListParagraph"/>
        <w:numPr>
          <w:ilvl w:val="0"/>
          <w:numId w:val="38"/>
        </w:numPr>
        <w:tabs>
          <w:tab w:val="left" w:pos="900"/>
        </w:tabs>
        <w:spacing w:before="60" w:after="60"/>
        <w:rPr>
          <w:szCs w:val="26"/>
        </w:rPr>
      </w:pPr>
      <w:r w:rsidRPr="008E63BB">
        <w:rPr>
          <w:szCs w:val="26"/>
        </w:rPr>
        <w:t xml:space="preserve">Đất nghĩa trang, nghĩa địa, nhà tang lễ, nhà hỏa táng: khoảng 297,54ha </w:t>
      </w:r>
    </w:p>
    <w:p w14:paraId="076FC254" w14:textId="77777777" w:rsidR="00D873EE" w:rsidRPr="0007790B" w:rsidRDefault="00D873EE" w:rsidP="00D873EE">
      <w:pPr>
        <w:spacing w:before="60" w:after="60"/>
        <w:ind w:firstLine="360"/>
        <w:rPr>
          <w:szCs w:val="26"/>
          <w:lang w:val="vi-VN"/>
        </w:rPr>
      </w:pPr>
      <w:r w:rsidRPr="0007790B">
        <w:rPr>
          <w:szCs w:val="26"/>
          <w:lang w:val="vi-VN"/>
        </w:rPr>
        <w:t xml:space="preserve">Ngoài ra là các loại đất sông suối mặt nước khoảng 810,95ha; nông nghiệp khoảng 7.186,45ha. </w:t>
      </w:r>
    </w:p>
    <w:p w14:paraId="519B34F9" w14:textId="77777777" w:rsidR="00E63C68" w:rsidRPr="0007790B" w:rsidRDefault="00E63C68" w:rsidP="00E63C68">
      <w:pPr>
        <w:ind w:firstLine="720"/>
        <w:rPr>
          <w:lang w:val="vi-VN"/>
        </w:rPr>
      </w:pPr>
      <w:r w:rsidRPr="008E63BB">
        <w:rPr>
          <w:lang w:val="vi-VN"/>
        </w:rPr>
        <w:t>Mật độ dân cư trung bình trên toàn đô thị đến năm 2040 là khoảng 3.192 người/km</w:t>
      </w:r>
      <w:r w:rsidRPr="008E63BB">
        <w:rPr>
          <w:vertAlign w:val="superscript"/>
          <w:lang w:val="vi-VN"/>
        </w:rPr>
        <w:t>2</w:t>
      </w:r>
      <w:r w:rsidRPr="008E63BB">
        <w:rPr>
          <w:lang w:val="vi-VN"/>
        </w:rPr>
        <w:t xml:space="preserve">, khu vực nội thành khoảng </w:t>
      </w:r>
      <w:r w:rsidRPr="0007790B">
        <w:rPr>
          <w:lang w:val="vi-VN"/>
        </w:rPr>
        <w:t>5</w:t>
      </w:r>
      <w:r w:rsidRPr="008E63BB">
        <w:rPr>
          <w:lang w:val="vi-VN"/>
        </w:rPr>
        <w:t>.</w:t>
      </w:r>
      <w:r w:rsidRPr="0007790B">
        <w:rPr>
          <w:lang w:val="vi-VN"/>
        </w:rPr>
        <w:t>1</w:t>
      </w:r>
      <w:r w:rsidRPr="008E63BB">
        <w:rPr>
          <w:lang w:val="vi-VN"/>
        </w:rPr>
        <w:t>90 người/km</w:t>
      </w:r>
      <w:r w:rsidRPr="008E63BB">
        <w:rPr>
          <w:vertAlign w:val="superscript"/>
          <w:lang w:val="vi-VN"/>
        </w:rPr>
        <w:t>2</w:t>
      </w:r>
      <w:r w:rsidRPr="008E63BB">
        <w:rPr>
          <w:lang w:val="vi-VN"/>
        </w:rPr>
        <w:t>.</w:t>
      </w:r>
    </w:p>
    <w:p w14:paraId="45D6642A" w14:textId="0412AA15" w:rsidR="007B2438" w:rsidRPr="007B2438" w:rsidRDefault="007B2438" w:rsidP="007B2438">
      <w:r>
        <w:rPr>
          <w:noProof/>
          <w:lang w:eastAsia="zh-CN"/>
        </w:rPr>
        <w:drawing>
          <wp:inline distT="0" distB="0" distL="0" distR="0" wp14:anchorId="5B139B1A" wp14:editId="18A75C19">
            <wp:extent cx="6121238" cy="4468483"/>
            <wp:effectExtent l="0" t="0" r="0"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_ĐHSDD Nam-Dinh_12.10.2020.jpg"/>
                    <pic:cNvPicPr/>
                  </pic:nvPicPr>
                  <pic:blipFill rotWithShape="1">
                    <a:blip r:embed="rId107" cstate="print">
                      <a:extLst>
                        <a:ext uri="{28A0092B-C50C-407E-A947-70E740481C1C}">
                          <a14:useLocalDpi xmlns:a14="http://schemas.microsoft.com/office/drawing/2010/main" val="0"/>
                        </a:ext>
                      </a:extLst>
                    </a:blip>
                    <a:srcRect l="2490" t="6623" r="12699" b="5870"/>
                    <a:stretch/>
                  </pic:blipFill>
                  <pic:spPr bwMode="auto">
                    <a:xfrm>
                      <a:off x="0" y="0"/>
                      <a:ext cx="6142630" cy="4484099"/>
                    </a:xfrm>
                    <a:prstGeom prst="rect">
                      <a:avLst/>
                    </a:prstGeom>
                    <a:ln>
                      <a:noFill/>
                    </a:ln>
                    <a:extLst>
                      <a:ext uri="{53640926-AAD7-44D8-BBD7-CCE9431645EC}">
                        <a14:shadowObscured xmlns:a14="http://schemas.microsoft.com/office/drawing/2010/main"/>
                      </a:ext>
                    </a:extLst>
                  </pic:spPr>
                </pic:pic>
              </a:graphicData>
            </a:graphic>
          </wp:inline>
        </w:drawing>
      </w:r>
    </w:p>
    <w:p w14:paraId="519B34FA" w14:textId="77777777" w:rsidR="003E624C" w:rsidRPr="008E63BB" w:rsidRDefault="00C83DC4" w:rsidP="00C83DC4">
      <w:pPr>
        <w:ind w:firstLine="720"/>
        <w:rPr>
          <w:spacing w:val="-4"/>
          <w:szCs w:val="26"/>
          <w:lang w:val="vi-VN"/>
        </w:rPr>
      </w:pPr>
      <w:r w:rsidRPr="008E63BB">
        <w:rPr>
          <w:spacing w:val="-4"/>
          <w:szCs w:val="26"/>
          <w:lang w:val="vi-VN"/>
        </w:rPr>
        <w:t>Nhu cầu đất xây dựng đô thị cụ thể theo các khu chức năng được dự báo như sau:</w:t>
      </w:r>
      <w:r w:rsidR="003E624C" w:rsidRPr="008E63BB">
        <w:rPr>
          <w:i/>
          <w:spacing w:val="-4"/>
          <w:szCs w:val="26"/>
          <w:lang w:val="vi-VN"/>
        </w:rPr>
        <w:br w:type="page"/>
      </w:r>
    </w:p>
    <w:p w14:paraId="519B34FB" w14:textId="77777777" w:rsidR="003E624C" w:rsidRPr="008E63BB" w:rsidRDefault="003E624C" w:rsidP="0065184D">
      <w:pPr>
        <w:spacing w:before="120" w:after="120" w:line="288" w:lineRule="auto"/>
        <w:rPr>
          <w:i/>
          <w:spacing w:val="-4"/>
          <w:szCs w:val="26"/>
          <w:lang w:val="vi-VN"/>
        </w:rPr>
        <w:sectPr w:rsidR="003E624C" w:rsidRPr="008E63BB" w:rsidSect="003D057A">
          <w:footerReference w:type="default" r:id="rId108"/>
          <w:pgSz w:w="11907" w:h="16840" w:code="9"/>
          <w:pgMar w:top="1134" w:right="924" w:bottom="1134" w:left="1701" w:header="720" w:footer="720" w:gutter="0"/>
          <w:cols w:space="720"/>
          <w:docGrid w:linePitch="360"/>
        </w:sectPr>
      </w:pPr>
    </w:p>
    <w:p w14:paraId="519B34FC" w14:textId="65411599" w:rsidR="005D07D0" w:rsidRPr="0007790B" w:rsidRDefault="00911FA0" w:rsidP="00A05C86">
      <w:pPr>
        <w:spacing w:before="120" w:after="120" w:line="288" w:lineRule="auto"/>
        <w:rPr>
          <w:i/>
          <w:spacing w:val="-4"/>
          <w:szCs w:val="26"/>
          <w:lang w:val="vi-VN"/>
        </w:rPr>
      </w:pPr>
      <w:r w:rsidRPr="008E63BB">
        <w:rPr>
          <w:i/>
          <w:spacing w:val="-4"/>
          <w:szCs w:val="26"/>
          <w:lang w:val="vi-VN"/>
        </w:rPr>
        <w:lastRenderedPageBreak/>
        <w:t>Bảng: Hiện trạng và dự báo nhu cầu đất xây dựng đô thị</w:t>
      </w:r>
      <w:bookmarkStart w:id="411" w:name="_Toc341519080"/>
      <w:bookmarkStart w:id="412" w:name="_Toc341519181"/>
      <w:bookmarkStart w:id="413" w:name="_Toc344928490"/>
      <w:bookmarkStart w:id="414" w:name="_Toc345538399"/>
      <w:bookmarkEnd w:id="401"/>
      <w:bookmarkEnd w:id="402"/>
      <w:bookmarkEnd w:id="403"/>
      <w:bookmarkEnd w:id="404"/>
      <w:r w:rsidR="00503BB2" w:rsidRPr="0007790B">
        <w:rPr>
          <w:i/>
          <w:spacing w:val="-4"/>
          <w:szCs w:val="26"/>
          <w:lang w:val="vi-VN"/>
        </w:rPr>
        <w:t xml:space="preserve"> đến năm 2040.</w:t>
      </w:r>
    </w:p>
    <w:tbl>
      <w:tblPr>
        <w:tblW w:w="16019" w:type="dxa"/>
        <w:tblInd w:w="-885" w:type="dxa"/>
        <w:tblLook w:val="04A0" w:firstRow="1" w:lastRow="0" w:firstColumn="1" w:lastColumn="0" w:noHBand="0" w:noVBand="1"/>
      </w:tblPr>
      <w:tblGrid>
        <w:gridCol w:w="572"/>
        <w:gridCol w:w="2831"/>
        <w:gridCol w:w="1016"/>
        <w:gridCol w:w="766"/>
        <w:gridCol w:w="766"/>
        <w:gridCol w:w="916"/>
        <w:gridCol w:w="766"/>
        <w:gridCol w:w="686"/>
        <w:gridCol w:w="1016"/>
        <w:gridCol w:w="766"/>
        <w:gridCol w:w="1016"/>
        <w:gridCol w:w="766"/>
        <w:gridCol w:w="766"/>
        <w:gridCol w:w="916"/>
        <w:gridCol w:w="766"/>
        <w:gridCol w:w="766"/>
        <w:gridCol w:w="6"/>
        <w:gridCol w:w="910"/>
        <w:gridCol w:w="6"/>
      </w:tblGrid>
      <w:tr w:rsidR="00E63C68" w:rsidRPr="008E63BB" w14:paraId="519B3501" w14:textId="77777777" w:rsidTr="00E63C68">
        <w:trPr>
          <w:cantSplit/>
          <w:trHeight w:val="303"/>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4FD" w14:textId="77777777" w:rsidR="00E63C68" w:rsidRPr="008E63BB" w:rsidRDefault="00E63C68" w:rsidP="00E63C68">
            <w:pPr>
              <w:jc w:val="center"/>
              <w:rPr>
                <w:rFonts w:eastAsia="Times New Roman"/>
                <w:sz w:val="20"/>
                <w:szCs w:val="20"/>
              </w:rPr>
            </w:pPr>
            <w:r w:rsidRPr="008E63BB">
              <w:rPr>
                <w:rFonts w:eastAsia="Times New Roman"/>
                <w:sz w:val="20"/>
                <w:szCs w:val="20"/>
              </w:rPr>
              <w:t>STT</w:t>
            </w:r>
          </w:p>
        </w:tc>
        <w:tc>
          <w:tcPr>
            <w:tcW w:w="283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4FE" w14:textId="77777777" w:rsidR="00E63C68" w:rsidRPr="008E63BB" w:rsidRDefault="00E63C68" w:rsidP="00E63C68">
            <w:pPr>
              <w:jc w:val="center"/>
              <w:rPr>
                <w:rFonts w:eastAsia="Times New Roman"/>
                <w:sz w:val="20"/>
                <w:szCs w:val="20"/>
              </w:rPr>
            </w:pPr>
            <w:r w:rsidRPr="008E63BB">
              <w:rPr>
                <w:rFonts w:eastAsia="Times New Roman"/>
                <w:sz w:val="20"/>
                <w:szCs w:val="20"/>
              </w:rPr>
              <w:t>LOẠI ĐẤT</w:t>
            </w:r>
          </w:p>
        </w:tc>
        <w:tc>
          <w:tcPr>
            <w:tcW w:w="6698" w:type="dxa"/>
            <w:gridSpan w:val="8"/>
            <w:tcBorders>
              <w:top w:val="single" w:sz="4" w:space="0" w:color="auto"/>
              <w:left w:val="nil"/>
              <w:bottom w:val="single" w:sz="4" w:space="0" w:color="auto"/>
              <w:right w:val="single" w:sz="4" w:space="0" w:color="auto"/>
            </w:tcBorders>
            <w:shd w:val="clear" w:color="auto" w:fill="auto"/>
            <w:vAlign w:val="center"/>
            <w:hideMark/>
          </w:tcPr>
          <w:p w14:paraId="519B34FF"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Hiện trạng 2018</w:t>
            </w:r>
          </w:p>
        </w:tc>
        <w:tc>
          <w:tcPr>
            <w:tcW w:w="5918" w:type="dxa"/>
            <w:gridSpan w:val="9"/>
            <w:tcBorders>
              <w:top w:val="single" w:sz="4" w:space="0" w:color="auto"/>
              <w:left w:val="nil"/>
              <w:bottom w:val="single" w:sz="4" w:space="0" w:color="auto"/>
              <w:right w:val="single" w:sz="4" w:space="0" w:color="auto"/>
            </w:tcBorders>
            <w:shd w:val="clear" w:color="auto" w:fill="auto"/>
            <w:vAlign w:val="center"/>
            <w:hideMark/>
          </w:tcPr>
          <w:p w14:paraId="519B3500"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Năm 2040</w:t>
            </w:r>
          </w:p>
        </w:tc>
      </w:tr>
      <w:tr w:rsidR="00E63C68" w:rsidRPr="008E63BB" w14:paraId="519B350A" w14:textId="77777777" w:rsidTr="00E63C68">
        <w:trPr>
          <w:cantSplit/>
          <w:trHeight w:val="353"/>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519B3502" w14:textId="77777777" w:rsidR="00E63C68" w:rsidRPr="008E63BB" w:rsidRDefault="00E63C68" w:rsidP="00E63C68">
            <w:pPr>
              <w:jc w:val="left"/>
              <w:rPr>
                <w:rFonts w:eastAsia="Times New Roman"/>
                <w:sz w:val="20"/>
                <w:szCs w:val="20"/>
              </w:rPr>
            </w:pPr>
          </w:p>
        </w:tc>
        <w:tc>
          <w:tcPr>
            <w:tcW w:w="2831" w:type="dxa"/>
            <w:vMerge/>
            <w:tcBorders>
              <w:top w:val="single" w:sz="4" w:space="0" w:color="auto"/>
              <w:left w:val="single" w:sz="4" w:space="0" w:color="auto"/>
              <w:bottom w:val="single" w:sz="4" w:space="0" w:color="auto"/>
              <w:right w:val="single" w:sz="4" w:space="0" w:color="auto"/>
            </w:tcBorders>
            <w:vAlign w:val="center"/>
            <w:hideMark/>
          </w:tcPr>
          <w:p w14:paraId="519B3503" w14:textId="77777777" w:rsidR="00E63C68" w:rsidRPr="008E63BB" w:rsidRDefault="00E63C68" w:rsidP="00E63C68">
            <w:pPr>
              <w:jc w:val="left"/>
              <w:rPr>
                <w:rFonts w:eastAsia="Times New Roman"/>
                <w:sz w:val="20"/>
                <w:szCs w:val="20"/>
              </w:rPr>
            </w:pPr>
          </w:p>
        </w:tc>
        <w:tc>
          <w:tcPr>
            <w:tcW w:w="254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504"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 Tổng RG QH</w:t>
            </w:r>
          </w:p>
        </w:tc>
        <w:tc>
          <w:tcPr>
            <w:tcW w:w="236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505"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Nội Thành</w:t>
            </w:r>
          </w:p>
        </w:tc>
        <w:tc>
          <w:tcPr>
            <w:tcW w:w="178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3506"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Ngoại Thị </w:t>
            </w:r>
          </w:p>
        </w:tc>
        <w:tc>
          <w:tcPr>
            <w:tcW w:w="254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507"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 xml:space="preserve"> Tổng RG QH</w:t>
            </w:r>
          </w:p>
        </w:tc>
        <w:tc>
          <w:tcPr>
            <w:tcW w:w="2454" w:type="dxa"/>
            <w:gridSpan w:val="4"/>
            <w:tcBorders>
              <w:top w:val="single" w:sz="4" w:space="0" w:color="auto"/>
              <w:left w:val="nil"/>
              <w:bottom w:val="single" w:sz="4" w:space="0" w:color="auto"/>
              <w:right w:val="single" w:sz="4" w:space="0" w:color="auto"/>
            </w:tcBorders>
            <w:shd w:val="clear" w:color="auto" w:fill="auto"/>
            <w:vAlign w:val="center"/>
            <w:hideMark/>
          </w:tcPr>
          <w:p w14:paraId="519B3508"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Nội Thành</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09"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Ngoại thị</w:t>
            </w:r>
          </w:p>
        </w:tc>
      </w:tr>
      <w:tr w:rsidR="00E63C68" w:rsidRPr="008E63BB" w14:paraId="519B351C" w14:textId="77777777" w:rsidTr="00E63C68">
        <w:trPr>
          <w:gridAfter w:val="1"/>
          <w:wAfter w:w="6" w:type="dxa"/>
          <w:cantSplit/>
          <w:trHeight w:val="618"/>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519B350B" w14:textId="77777777" w:rsidR="00E63C68" w:rsidRPr="008E63BB" w:rsidRDefault="00E63C68" w:rsidP="00E63C68">
            <w:pPr>
              <w:jc w:val="left"/>
              <w:rPr>
                <w:rFonts w:eastAsia="Times New Roman"/>
                <w:sz w:val="20"/>
                <w:szCs w:val="20"/>
              </w:rPr>
            </w:pPr>
          </w:p>
        </w:tc>
        <w:tc>
          <w:tcPr>
            <w:tcW w:w="2831" w:type="dxa"/>
            <w:vMerge/>
            <w:tcBorders>
              <w:top w:val="single" w:sz="4" w:space="0" w:color="auto"/>
              <w:left w:val="single" w:sz="4" w:space="0" w:color="auto"/>
              <w:bottom w:val="single" w:sz="4" w:space="0" w:color="auto"/>
              <w:right w:val="single" w:sz="4" w:space="0" w:color="auto"/>
            </w:tcBorders>
            <w:vAlign w:val="center"/>
            <w:hideMark/>
          </w:tcPr>
          <w:p w14:paraId="519B350C" w14:textId="77777777" w:rsidR="00E63C68" w:rsidRPr="008E63BB" w:rsidRDefault="00E63C68" w:rsidP="00E63C68">
            <w:pPr>
              <w:jc w:val="left"/>
              <w:rPr>
                <w:rFonts w:eastAsia="Times New Roman"/>
                <w:sz w:val="20"/>
                <w:szCs w:val="20"/>
              </w:rPr>
            </w:pPr>
          </w:p>
        </w:tc>
        <w:tc>
          <w:tcPr>
            <w:tcW w:w="1016" w:type="dxa"/>
            <w:tcBorders>
              <w:top w:val="nil"/>
              <w:left w:val="nil"/>
              <w:bottom w:val="single" w:sz="4" w:space="0" w:color="auto"/>
              <w:right w:val="single" w:sz="4" w:space="0" w:color="auto"/>
            </w:tcBorders>
            <w:shd w:val="clear" w:color="auto" w:fill="auto"/>
            <w:vAlign w:val="center"/>
            <w:hideMark/>
          </w:tcPr>
          <w:p w14:paraId="519B350D" w14:textId="77777777" w:rsidR="00E63C68" w:rsidRPr="008E63BB" w:rsidRDefault="00E63C68" w:rsidP="00E63C6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50E" w14:textId="77777777" w:rsidR="00E63C68" w:rsidRPr="008E63BB" w:rsidRDefault="00E63C68" w:rsidP="00E63C68">
            <w:pPr>
              <w:jc w:val="center"/>
              <w:rPr>
                <w:rFonts w:eastAsia="Times New Roman"/>
                <w:sz w:val="20"/>
                <w:szCs w:val="20"/>
              </w:rPr>
            </w:pPr>
            <w:r w:rsidRPr="008E63BB">
              <w:rPr>
                <w:rFonts w:eastAsia="Times New Roman"/>
                <w:sz w:val="20"/>
                <w:szCs w:val="20"/>
              </w:rPr>
              <w:t>Tỷ lệ (%)</w:t>
            </w:r>
          </w:p>
        </w:tc>
        <w:tc>
          <w:tcPr>
            <w:tcW w:w="766" w:type="dxa"/>
            <w:tcBorders>
              <w:top w:val="nil"/>
              <w:left w:val="nil"/>
              <w:bottom w:val="single" w:sz="4" w:space="0" w:color="auto"/>
              <w:right w:val="single" w:sz="4" w:space="0" w:color="auto"/>
            </w:tcBorders>
            <w:shd w:val="clear" w:color="auto" w:fill="auto"/>
            <w:vAlign w:val="center"/>
            <w:hideMark/>
          </w:tcPr>
          <w:p w14:paraId="519B350F" w14:textId="77777777" w:rsidR="00E63C68" w:rsidRPr="008E63BB" w:rsidRDefault="00E63C68" w:rsidP="00E63C68">
            <w:pPr>
              <w:jc w:val="center"/>
              <w:rPr>
                <w:rFonts w:eastAsia="Times New Roman"/>
                <w:sz w:val="20"/>
                <w:szCs w:val="20"/>
              </w:rPr>
            </w:pPr>
            <w:r w:rsidRPr="008E63BB">
              <w:rPr>
                <w:rFonts w:eastAsia="Times New Roman"/>
                <w:sz w:val="20"/>
                <w:szCs w:val="20"/>
              </w:rPr>
              <w:t>m2/ người</w:t>
            </w:r>
          </w:p>
        </w:tc>
        <w:tc>
          <w:tcPr>
            <w:tcW w:w="916" w:type="dxa"/>
            <w:tcBorders>
              <w:top w:val="nil"/>
              <w:left w:val="nil"/>
              <w:bottom w:val="single" w:sz="4" w:space="0" w:color="auto"/>
              <w:right w:val="single" w:sz="4" w:space="0" w:color="auto"/>
            </w:tcBorders>
            <w:shd w:val="clear" w:color="auto" w:fill="auto"/>
            <w:vAlign w:val="center"/>
            <w:hideMark/>
          </w:tcPr>
          <w:p w14:paraId="519B3510" w14:textId="77777777" w:rsidR="00E63C68" w:rsidRPr="008E63BB" w:rsidRDefault="00E63C68" w:rsidP="00E63C6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511" w14:textId="77777777" w:rsidR="00E63C68" w:rsidRPr="008E63BB" w:rsidRDefault="00E63C68" w:rsidP="00E63C68">
            <w:pPr>
              <w:jc w:val="center"/>
              <w:rPr>
                <w:rFonts w:eastAsia="Times New Roman"/>
                <w:sz w:val="20"/>
                <w:szCs w:val="20"/>
              </w:rPr>
            </w:pPr>
            <w:r w:rsidRPr="008E63BB">
              <w:rPr>
                <w:rFonts w:eastAsia="Times New Roman"/>
                <w:sz w:val="20"/>
                <w:szCs w:val="20"/>
              </w:rPr>
              <w:t>Tỷ lệ (%)</w:t>
            </w:r>
          </w:p>
        </w:tc>
        <w:tc>
          <w:tcPr>
            <w:tcW w:w="686" w:type="dxa"/>
            <w:tcBorders>
              <w:top w:val="nil"/>
              <w:left w:val="nil"/>
              <w:bottom w:val="single" w:sz="4" w:space="0" w:color="auto"/>
              <w:right w:val="single" w:sz="4" w:space="0" w:color="auto"/>
            </w:tcBorders>
            <w:shd w:val="clear" w:color="auto" w:fill="auto"/>
            <w:vAlign w:val="center"/>
            <w:hideMark/>
          </w:tcPr>
          <w:p w14:paraId="519B3512" w14:textId="77777777" w:rsidR="00E63C68" w:rsidRPr="008E63BB" w:rsidRDefault="00E63C68" w:rsidP="00E63C68">
            <w:pPr>
              <w:jc w:val="center"/>
              <w:rPr>
                <w:rFonts w:eastAsia="Times New Roman"/>
                <w:sz w:val="20"/>
                <w:szCs w:val="20"/>
              </w:rPr>
            </w:pPr>
            <w:r w:rsidRPr="008E63BB">
              <w:rPr>
                <w:rFonts w:eastAsia="Times New Roman"/>
                <w:sz w:val="20"/>
                <w:szCs w:val="20"/>
              </w:rPr>
              <w:t>m2/ người</w:t>
            </w:r>
          </w:p>
        </w:tc>
        <w:tc>
          <w:tcPr>
            <w:tcW w:w="1016" w:type="dxa"/>
            <w:tcBorders>
              <w:top w:val="nil"/>
              <w:left w:val="nil"/>
              <w:bottom w:val="single" w:sz="4" w:space="0" w:color="auto"/>
              <w:right w:val="single" w:sz="4" w:space="0" w:color="auto"/>
            </w:tcBorders>
            <w:shd w:val="clear" w:color="auto" w:fill="auto"/>
            <w:vAlign w:val="center"/>
            <w:hideMark/>
          </w:tcPr>
          <w:p w14:paraId="519B3513" w14:textId="77777777" w:rsidR="00E63C68" w:rsidRPr="008E63BB" w:rsidRDefault="00E63C68" w:rsidP="00E63C6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514" w14:textId="77777777" w:rsidR="00E63C68" w:rsidRPr="008E63BB" w:rsidRDefault="00E63C68" w:rsidP="00E63C68">
            <w:pPr>
              <w:jc w:val="center"/>
              <w:rPr>
                <w:rFonts w:eastAsia="Times New Roman"/>
                <w:sz w:val="20"/>
                <w:szCs w:val="20"/>
              </w:rPr>
            </w:pPr>
            <w:r w:rsidRPr="008E63BB">
              <w:rPr>
                <w:rFonts w:eastAsia="Times New Roman"/>
                <w:sz w:val="20"/>
                <w:szCs w:val="20"/>
              </w:rPr>
              <w:t>Tỷ lệ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15" w14:textId="77777777" w:rsidR="00E63C68" w:rsidRPr="008E63BB" w:rsidRDefault="00E63C68" w:rsidP="00E63C6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516" w14:textId="77777777" w:rsidR="00E63C68" w:rsidRPr="008E63BB" w:rsidRDefault="00E63C68" w:rsidP="00E63C68">
            <w:pPr>
              <w:jc w:val="center"/>
              <w:rPr>
                <w:rFonts w:eastAsia="Times New Roman"/>
                <w:sz w:val="20"/>
                <w:szCs w:val="20"/>
              </w:rPr>
            </w:pPr>
            <w:r w:rsidRPr="008E63BB">
              <w:rPr>
                <w:rFonts w:eastAsia="Times New Roman"/>
                <w:sz w:val="20"/>
                <w:szCs w:val="20"/>
              </w:rPr>
              <w:t>Tỷ lệ (%)</w:t>
            </w:r>
          </w:p>
        </w:tc>
        <w:tc>
          <w:tcPr>
            <w:tcW w:w="766" w:type="dxa"/>
            <w:tcBorders>
              <w:top w:val="nil"/>
              <w:left w:val="nil"/>
              <w:bottom w:val="single" w:sz="4" w:space="0" w:color="auto"/>
              <w:right w:val="single" w:sz="4" w:space="0" w:color="auto"/>
            </w:tcBorders>
            <w:shd w:val="clear" w:color="auto" w:fill="auto"/>
            <w:vAlign w:val="center"/>
            <w:hideMark/>
          </w:tcPr>
          <w:p w14:paraId="519B3517" w14:textId="77777777" w:rsidR="00E63C68" w:rsidRPr="008E63BB" w:rsidRDefault="00E63C68" w:rsidP="00E63C68">
            <w:pPr>
              <w:jc w:val="center"/>
              <w:rPr>
                <w:rFonts w:eastAsia="Times New Roman"/>
                <w:sz w:val="20"/>
                <w:szCs w:val="20"/>
              </w:rPr>
            </w:pPr>
            <w:r w:rsidRPr="008E63BB">
              <w:rPr>
                <w:rFonts w:eastAsia="Times New Roman"/>
                <w:sz w:val="20"/>
                <w:szCs w:val="20"/>
              </w:rPr>
              <w:t>m2/ người</w:t>
            </w:r>
          </w:p>
        </w:tc>
        <w:tc>
          <w:tcPr>
            <w:tcW w:w="916" w:type="dxa"/>
            <w:tcBorders>
              <w:top w:val="nil"/>
              <w:left w:val="nil"/>
              <w:bottom w:val="single" w:sz="4" w:space="0" w:color="auto"/>
              <w:right w:val="single" w:sz="4" w:space="0" w:color="auto"/>
            </w:tcBorders>
            <w:shd w:val="clear" w:color="auto" w:fill="auto"/>
            <w:vAlign w:val="center"/>
            <w:hideMark/>
          </w:tcPr>
          <w:p w14:paraId="519B3518" w14:textId="77777777" w:rsidR="00E63C68" w:rsidRPr="008E63BB" w:rsidRDefault="00E63C68" w:rsidP="00E63C6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519" w14:textId="77777777" w:rsidR="00E63C68" w:rsidRPr="008E63BB" w:rsidRDefault="00E63C68" w:rsidP="00E63C68">
            <w:pPr>
              <w:jc w:val="center"/>
              <w:rPr>
                <w:rFonts w:eastAsia="Times New Roman"/>
                <w:sz w:val="20"/>
                <w:szCs w:val="20"/>
              </w:rPr>
            </w:pPr>
            <w:r w:rsidRPr="008E63BB">
              <w:rPr>
                <w:rFonts w:eastAsia="Times New Roman"/>
                <w:sz w:val="20"/>
                <w:szCs w:val="20"/>
              </w:rPr>
              <w:t>Tỷ lệ (%)</w:t>
            </w:r>
          </w:p>
        </w:tc>
        <w:tc>
          <w:tcPr>
            <w:tcW w:w="766" w:type="dxa"/>
            <w:tcBorders>
              <w:top w:val="nil"/>
              <w:left w:val="nil"/>
              <w:bottom w:val="single" w:sz="4" w:space="0" w:color="auto"/>
              <w:right w:val="single" w:sz="4" w:space="0" w:color="auto"/>
            </w:tcBorders>
            <w:shd w:val="clear" w:color="auto" w:fill="auto"/>
            <w:vAlign w:val="center"/>
            <w:hideMark/>
          </w:tcPr>
          <w:p w14:paraId="519B351A" w14:textId="77777777" w:rsidR="00E63C68" w:rsidRPr="008E63BB" w:rsidRDefault="00E63C68" w:rsidP="00E63C68">
            <w:pPr>
              <w:jc w:val="center"/>
              <w:rPr>
                <w:rFonts w:eastAsia="Times New Roman"/>
                <w:sz w:val="20"/>
                <w:szCs w:val="20"/>
              </w:rPr>
            </w:pPr>
            <w:r w:rsidRPr="008E63BB">
              <w:rPr>
                <w:rFonts w:eastAsia="Times New Roman"/>
                <w:sz w:val="20"/>
                <w:szCs w:val="20"/>
              </w:rPr>
              <w:t>m2/ người</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1B" w14:textId="77777777" w:rsidR="00E63C68" w:rsidRPr="008E63BB" w:rsidRDefault="00E63C68" w:rsidP="00E63C68">
            <w:pPr>
              <w:jc w:val="center"/>
              <w:rPr>
                <w:rFonts w:eastAsia="Times New Roman"/>
                <w:sz w:val="20"/>
                <w:szCs w:val="20"/>
              </w:rPr>
            </w:pPr>
            <w:r w:rsidRPr="008E63BB">
              <w:rPr>
                <w:rFonts w:eastAsia="Times New Roman"/>
                <w:sz w:val="20"/>
                <w:szCs w:val="20"/>
              </w:rPr>
              <w:t>Diện tích đất (ha)</w:t>
            </w:r>
          </w:p>
        </w:tc>
      </w:tr>
      <w:tr w:rsidR="00E63C68" w:rsidRPr="008E63BB" w14:paraId="519B352E"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1D" w14:textId="77777777" w:rsidR="00E63C68" w:rsidRPr="008E63BB" w:rsidRDefault="00E63C68" w:rsidP="00E63C68">
            <w:pPr>
              <w:jc w:val="left"/>
              <w:rPr>
                <w:rFonts w:eastAsia="Times New Roman"/>
                <w:b/>
                <w:bCs/>
                <w:i/>
                <w:iCs/>
                <w:sz w:val="20"/>
                <w:szCs w:val="20"/>
              </w:rPr>
            </w:pPr>
            <w:r w:rsidRPr="008E63BB">
              <w:rPr>
                <w:rFonts w:eastAsia="Times New Roman"/>
                <w:b/>
                <w:bCs/>
                <w:i/>
                <w:iCs/>
                <w:sz w:val="20"/>
                <w:szCs w:val="20"/>
              </w:rPr>
              <w:t> </w:t>
            </w:r>
          </w:p>
        </w:tc>
        <w:tc>
          <w:tcPr>
            <w:tcW w:w="2831" w:type="dxa"/>
            <w:tcBorders>
              <w:top w:val="nil"/>
              <w:left w:val="nil"/>
              <w:bottom w:val="single" w:sz="4" w:space="0" w:color="auto"/>
              <w:right w:val="single" w:sz="4" w:space="0" w:color="auto"/>
            </w:tcBorders>
            <w:shd w:val="clear" w:color="auto" w:fill="auto"/>
            <w:vAlign w:val="center"/>
            <w:hideMark/>
          </w:tcPr>
          <w:p w14:paraId="519B351E" w14:textId="77777777" w:rsidR="00E63C68" w:rsidRPr="008E63BB" w:rsidRDefault="00E63C68" w:rsidP="00E63C68">
            <w:pPr>
              <w:jc w:val="left"/>
              <w:rPr>
                <w:rFonts w:eastAsia="Times New Roman"/>
                <w:b/>
                <w:bCs/>
                <w:i/>
                <w:iCs/>
                <w:sz w:val="20"/>
                <w:szCs w:val="20"/>
              </w:rPr>
            </w:pPr>
            <w:r w:rsidRPr="008E63BB">
              <w:rPr>
                <w:rFonts w:eastAsia="Times New Roman"/>
                <w:b/>
                <w:bCs/>
                <w:i/>
                <w:iCs/>
                <w:sz w:val="20"/>
                <w:szCs w:val="20"/>
              </w:rPr>
              <w:t>Tổng diện tích đất tự nhiên (A+B)</w:t>
            </w:r>
          </w:p>
        </w:tc>
        <w:tc>
          <w:tcPr>
            <w:tcW w:w="1016" w:type="dxa"/>
            <w:tcBorders>
              <w:top w:val="nil"/>
              <w:left w:val="nil"/>
              <w:bottom w:val="single" w:sz="4" w:space="0" w:color="auto"/>
              <w:right w:val="single" w:sz="4" w:space="0" w:color="auto"/>
            </w:tcBorders>
            <w:shd w:val="clear" w:color="auto" w:fill="auto"/>
            <w:vAlign w:val="center"/>
            <w:hideMark/>
          </w:tcPr>
          <w:p w14:paraId="519B351F"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18.798,69</w:t>
            </w:r>
          </w:p>
        </w:tc>
        <w:tc>
          <w:tcPr>
            <w:tcW w:w="766" w:type="dxa"/>
            <w:tcBorders>
              <w:top w:val="nil"/>
              <w:left w:val="nil"/>
              <w:bottom w:val="single" w:sz="4" w:space="0" w:color="auto"/>
              <w:right w:val="single" w:sz="4" w:space="0" w:color="auto"/>
            </w:tcBorders>
            <w:shd w:val="clear" w:color="auto" w:fill="auto"/>
            <w:vAlign w:val="center"/>
            <w:hideMark/>
          </w:tcPr>
          <w:p w14:paraId="519B3520"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521"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22"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3.559,75</w:t>
            </w:r>
          </w:p>
        </w:tc>
        <w:tc>
          <w:tcPr>
            <w:tcW w:w="766" w:type="dxa"/>
            <w:tcBorders>
              <w:top w:val="nil"/>
              <w:left w:val="nil"/>
              <w:bottom w:val="single" w:sz="4" w:space="0" w:color="auto"/>
              <w:right w:val="single" w:sz="4" w:space="0" w:color="auto"/>
            </w:tcBorders>
            <w:shd w:val="clear" w:color="auto" w:fill="auto"/>
            <w:vAlign w:val="center"/>
            <w:hideMark/>
          </w:tcPr>
          <w:p w14:paraId="519B3523"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100,00</w:t>
            </w:r>
          </w:p>
        </w:tc>
        <w:tc>
          <w:tcPr>
            <w:tcW w:w="686" w:type="dxa"/>
            <w:tcBorders>
              <w:top w:val="nil"/>
              <w:left w:val="nil"/>
              <w:bottom w:val="single" w:sz="4" w:space="0" w:color="auto"/>
              <w:right w:val="single" w:sz="4" w:space="0" w:color="auto"/>
            </w:tcBorders>
            <w:shd w:val="clear" w:color="auto" w:fill="auto"/>
            <w:vAlign w:val="center"/>
            <w:hideMark/>
          </w:tcPr>
          <w:p w14:paraId="519B3524"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525"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15.238,94</w:t>
            </w:r>
          </w:p>
        </w:tc>
        <w:tc>
          <w:tcPr>
            <w:tcW w:w="766" w:type="dxa"/>
            <w:tcBorders>
              <w:top w:val="nil"/>
              <w:left w:val="nil"/>
              <w:bottom w:val="single" w:sz="4" w:space="0" w:color="auto"/>
              <w:right w:val="single" w:sz="4" w:space="0" w:color="auto"/>
            </w:tcBorders>
            <w:shd w:val="clear" w:color="auto" w:fill="auto"/>
            <w:vAlign w:val="center"/>
            <w:hideMark/>
          </w:tcPr>
          <w:p w14:paraId="519B3526"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100,00</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27"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18.798,69</w:t>
            </w:r>
          </w:p>
        </w:tc>
        <w:tc>
          <w:tcPr>
            <w:tcW w:w="766" w:type="dxa"/>
            <w:tcBorders>
              <w:top w:val="nil"/>
              <w:left w:val="nil"/>
              <w:bottom w:val="single" w:sz="4" w:space="0" w:color="auto"/>
              <w:right w:val="single" w:sz="4" w:space="0" w:color="auto"/>
            </w:tcBorders>
            <w:shd w:val="clear" w:color="auto" w:fill="auto"/>
            <w:vAlign w:val="center"/>
            <w:hideMark/>
          </w:tcPr>
          <w:p w14:paraId="519B3528"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529"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2A"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9.355,32</w:t>
            </w:r>
          </w:p>
        </w:tc>
        <w:tc>
          <w:tcPr>
            <w:tcW w:w="766" w:type="dxa"/>
            <w:tcBorders>
              <w:top w:val="nil"/>
              <w:left w:val="nil"/>
              <w:bottom w:val="single" w:sz="4" w:space="0" w:color="auto"/>
              <w:right w:val="single" w:sz="4" w:space="0" w:color="auto"/>
            </w:tcBorders>
            <w:shd w:val="clear" w:color="auto" w:fill="auto"/>
            <w:vAlign w:val="center"/>
            <w:hideMark/>
          </w:tcPr>
          <w:p w14:paraId="519B352B"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2C"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2D"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9.443,37</w:t>
            </w:r>
          </w:p>
        </w:tc>
      </w:tr>
      <w:tr w:rsidR="00E63C68" w:rsidRPr="008E63BB" w14:paraId="519B3540"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2F"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 </w:t>
            </w:r>
          </w:p>
        </w:tc>
        <w:tc>
          <w:tcPr>
            <w:tcW w:w="2831" w:type="dxa"/>
            <w:tcBorders>
              <w:top w:val="nil"/>
              <w:left w:val="nil"/>
              <w:bottom w:val="single" w:sz="4" w:space="0" w:color="auto"/>
              <w:right w:val="single" w:sz="4" w:space="0" w:color="auto"/>
            </w:tcBorders>
            <w:shd w:val="clear" w:color="auto" w:fill="auto"/>
            <w:vAlign w:val="center"/>
            <w:hideMark/>
          </w:tcPr>
          <w:p w14:paraId="519B3530"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Đất xây dựng</w:t>
            </w:r>
          </w:p>
        </w:tc>
        <w:tc>
          <w:tcPr>
            <w:tcW w:w="1016" w:type="dxa"/>
            <w:tcBorders>
              <w:top w:val="nil"/>
              <w:left w:val="nil"/>
              <w:bottom w:val="single" w:sz="4" w:space="0" w:color="auto"/>
              <w:right w:val="single" w:sz="4" w:space="0" w:color="auto"/>
            </w:tcBorders>
            <w:shd w:val="clear" w:color="auto" w:fill="auto"/>
            <w:vAlign w:val="center"/>
            <w:hideMark/>
          </w:tcPr>
          <w:p w14:paraId="519B353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5.089,23</w:t>
            </w:r>
          </w:p>
        </w:tc>
        <w:tc>
          <w:tcPr>
            <w:tcW w:w="766" w:type="dxa"/>
            <w:tcBorders>
              <w:top w:val="nil"/>
              <w:left w:val="nil"/>
              <w:bottom w:val="single" w:sz="4" w:space="0" w:color="auto"/>
              <w:right w:val="single" w:sz="4" w:space="0" w:color="auto"/>
            </w:tcBorders>
            <w:shd w:val="clear" w:color="auto" w:fill="auto"/>
            <w:vAlign w:val="center"/>
            <w:hideMark/>
          </w:tcPr>
          <w:p w14:paraId="519B3532"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27,07</w:t>
            </w:r>
          </w:p>
        </w:tc>
        <w:tc>
          <w:tcPr>
            <w:tcW w:w="766" w:type="dxa"/>
            <w:tcBorders>
              <w:top w:val="nil"/>
              <w:left w:val="nil"/>
              <w:bottom w:val="single" w:sz="4" w:space="0" w:color="auto"/>
              <w:right w:val="single" w:sz="4" w:space="0" w:color="auto"/>
            </w:tcBorders>
            <w:shd w:val="clear" w:color="auto" w:fill="auto"/>
            <w:vAlign w:val="center"/>
            <w:hideMark/>
          </w:tcPr>
          <w:p w14:paraId="519B353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34"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2.262,30</w:t>
            </w:r>
          </w:p>
        </w:tc>
        <w:tc>
          <w:tcPr>
            <w:tcW w:w="766" w:type="dxa"/>
            <w:tcBorders>
              <w:top w:val="nil"/>
              <w:left w:val="nil"/>
              <w:bottom w:val="single" w:sz="4" w:space="0" w:color="auto"/>
              <w:right w:val="single" w:sz="4" w:space="0" w:color="auto"/>
            </w:tcBorders>
            <w:shd w:val="clear" w:color="auto" w:fill="auto"/>
            <w:vAlign w:val="center"/>
            <w:hideMark/>
          </w:tcPr>
          <w:p w14:paraId="519B3535"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64,85</w:t>
            </w:r>
          </w:p>
        </w:tc>
        <w:tc>
          <w:tcPr>
            <w:tcW w:w="686" w:type="dxa"/>
            <w:tcBorders>
              <w:top w:val="nil"/>
              <w:left w:val="nil"/>
              <w:bottom w:val="single" w:sz="4" w:space="0" w:color="auto"/>
              <w:right w:val="single" w:sz="4" w:space="0" w:color="auto"/>
            </w:tcBorders>
            <w:shd w:val="clear" w:color="auto" w:fill="auto"/>
            <w:vAlign w:val="center"/>
            <w:hideMark/>
          </w:tcPr>
          <w:p w14:paraId="519B3536"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53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2.826,93</w:t>
            </w:r>
          </w:p>
        </w:tc>
        <w:tc>
          <w:tcPr>
            <w:tcW w:w="766" w:type="dxa"/>
            <w:tcBorders>
              <w:top w:val="nil"/>
              <w:left w:val="nil"/>
              <w:bottom w:val="single" w:sz="4" w:space="0" w:color="auto"/>
              <w:right w:val="single" w:sz="4" w:space="0" w:color="auto"/>
            </w:tcBorders>
            <w:shd w:val="clear" w:color="auto" w:fill="auto"/>
            <w:vAlign w:val="center"/>
            <w:hideMark/>
          </w:tcPr>
          <w:p w14:paraId="519B353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19,09</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3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8.332,30</w:t>
            </w:r>
          </w:p>
        </w:tc>
        <w:tc>
          <w:tcPr>
            <w:tcW w:w="766" w:type="dxa"/>
            <w:tcBorders>
              <w:top w:val="nil"/>
              <w:left w:val="nil"/>
              <w:bottom w:val="single" w:sz="4" w:space="0" w:color="auto"/>
              <w:right w:val="single" w:sz="4" w:space="0" w:color="auto"/>
            </w:tcBorders>
            <w:shd w:val="clear" w:color="auto" w:fill="auto"/>
            <w:vAlign w:val="center"/>
            <w:hideMark/>
          </w:tcPr>
          <w:p w14:paraId="519B353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44,32</w:t>
            </w:r>
          </w:p>
        </w:tc>
        <w:tc>
          <w:tcPr>
            <w:tcW w:w="766" w:type="dxa"/>
            <w:tcBorders>
              <w:top w:val="nil"/>
              <w:left w:val="nil"/>
              <w:bottom w:val="single" w:sz="4" w:space="0" w:color="auto"/>
              <w:right w:val="single" w:sz="4" w:space="0" w:color="auto"/>
            </w:tcBorders>
            <w:shd w:val="clear" w:color="auto" w:fill="auto"/>
            <w:vAlign w:val="center"/>
            <w:hideMark/>
          </w:tcPr>
          <w:p w14:paraId="519B353B"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3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5.275,02</w:t>
            </w:r>
          </w:p>
        </w:tc>
        <w:tc>
          <w:tcPr>
            <w:tcW w:w="766" w:type="dxa"/>
            <w:tcBorders>
              <w:top w:val="nil"/>
              <w:left w:val="nil"/>
              <w:bottom w:val="single" w:sz="4" w:space="0" w:color="auto"/>
              <w:right w:val="single" w:sz="4" w:space="0" w:color="auto"/>
            </w:tcBorders>
            <w:shd w:val="clear" w:color="auto" w:fill="auto"/>
            <w:vAlign w:val="center"/>
            <w:hideMark/>
          </w:tcPr>
          <w:p w14:paraId="519B353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3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3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3.057,28</w:t>
            </w:r>
          </w:p>
        </w:tc>
      </w:tr>
      <w:tr w:rsidR="00E63C68" w:rsidRPr="008E63BB" w14:paraId="519B3552"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41"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 </w:t>
            </w:r>
          </w:p>
        </w:tc>
        <w:tc>
          <w:tcPr>
            <w:tcW w:w="2831" w:type="dxa"/>
            <w:tcBorders>
              <w:top w:val="nil"/>
              <w:left w:val="nil"/>
              <w:bottom w:val="single" w:sz="4" w:space="0" w:color="auto"/>
              <w:right w:val="single" w:sz="4" w:space="0" w:color="auto"/>
            </w:tcBorders>
            <w:shd w:val="clear" w:color="auto" w:fill="auto"/>
            <w:vAlign w:val="center"/>
            <w:hideMark/>
          </w:tcPr>
          <w:p w14:paraId="519B3542"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Đất khác</w:t>
            </w:r>
          </w:p>
        </w:tc>
        <w:tc>
          <w:tcPr>
            <w:tcW w:w="1016" w:type="dxa"/>
            <w:tcBorders>
              <w:top w:val="nil"/>
              <w:left w:val="nil"/>
              <w:bottom w:val="single" w:sz="4" w:space="0" w:color="auto"/>
              <w:right w:val="single" w:sz="4" w:space="0" w:color="auto"/>
            </w:tcBorders>
            <w:shd w:val="clear" w:color="auto" w:fill="auto"/>
            <w:vAlign w:val="center"/>
            <w:hideMark/>
          </w:tcPr>
          <w:p w14:paraId="519B354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13.709,47</w:t>
            </w:r>
          </w:p>
        </w:tc>
        <w:tc>
          <w:tcPr>
            <w:tcW w:w="766" w:type="dxa"/>
            <w:tcBorders>
              <w:top w:val="nil"/>
              <w:left w:val="nil"/>
              <w:bottom w:val="single" w:sz="4" w:space="0" w:color="auto"/>
              <w:right w:val="single" w:sz="4" w:space="0" w:color="auto"/>
            </w:tcBorders>
            <w:shd w:val="clear" w:color="auto" w:fill="auto"/>
            <w:vAlign w:val="center"/>
            <w:hideMark/>
          </w:tcPr>
          <w:p w14:paraId="519B3544"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72,93</w:t>
            </w:r>
          </w:p>
        </w:tc>
        <w:tc>
          <w:tcPr>
            <w:tcW w:w="766" w:type="dxa"/>
            <w:tcBorders>
              <w:top w:val="nil"/>
              <w:left w:val="nil"/>
              <w:bottom w:val="single" w:sz="4" w:space="0" w:color="auto"/>
              <w:right w:val="single" w:sz="4" w:space="0" w:color="auto"/>
            </w:tcBorders>
            <w:shd w:val="clear" w:color="auto" w:fill="auto"/>
            <w:vAlign w:val="center"/>
            <w:hideMark/>
          </w:tcPr>
          <w:p w14:paraId="519B3545"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46"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1.297,45</w:t>
            </w:r>
          </w:p>
        </w:tc>
        <w:tc>
          <w:tcPr>
            <w:tcW w:w="766" w:type="dxa"/>
            <w:tcBorders>
              <w:top w:val="nil"/>
              <w:left w:val="nil"/>
              <w:bottom w:val="single" w:sz="4" w:space="0" w:color="auto"/>
              <w:right w:val="single" w:sz="4" w:space="0" w:color="auto"/>
            </w:tcBorders>
            <w:shd w:val="clear" w:color="auto" w:fill="auto"/>
            <w:vAlign w:val="center"/>
            <w:hideMark/>
          </w:tcPr>
          <w:p w14:paraId="519B354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35,15</w:t>
            </w:r>
          </w:p>
        </w:tc>
        <w:tc>
          <w:tcPr>
            <w:tcW w:w="686" w:type="dxa"/>
            <w:tcBorders>
              <w:top w:val="nil"/>
              <w:left w:val="nil"/>
              <w:bottom w:val="single" w:sz="4" w:space="0" w:color="auto"/>
              <w:right w:val="single" w:sz="4" w:space="0" w:color="auto"/>
            </w:tcBorders>
            <w:shd w:val="clear" w:color="auto" w:fill="auto"/>
            <w:vAlign w:val="center"/>
            <w:hideMark/>
          </w:tcPr>
          <w:p w14:paraId="519B354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54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12.412,02</w:t>
            </w:r>
          </w:p>
        </w:tc>
        <w:tc>
          <w:tcPr>
            <w:tcW w:w="766" w:type="dxa"/>
            <w:tcBorders>
              <w:top w:val="nil"/>
              <w:left w:val="nil"/>
              <w:bottom w:val="single" w:sz="4" w:space="0" w:color="auto"/>
              <w:right w:val="single" w:sz="4" w:space="0" w:color="auto"/>
            </w:tcBorders>
            <w:shd w:val="clear" w:color="auto" w:fill="auto"/>
            <w:vAlign w:val="center"/>
            <w:hideMark/>
          </w:tcPr>
          <w:p w14:paraId="519B354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80,91</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4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10.466,39</w:t>
            </w:r>
          </w:p>
        </w:tc>
        <w:tc>
          <w:tcPr>
            <w:tcW w:w="766" w:type="dxa"/>
            <w:tcBorders>
              <w:top w:val="nil"/>
              <w:left w:val="nil"/>
              <w:bottom w:val="single" w:sz="4" w:space="0" w:color="auto"/>
              <w:right w:val="single" w:sz="4" w:space="0" w:color="auto"/>
            </w:tcBorders>
            <w:shd w:val="clear" w:color="auto" w:fill="auto"/>
            <w:vAlign w:val="center"/>
            <w:hideMark/>
          </w:tcPr>
          <w:p w14:paraId="519B354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55,68</w:t>
            </w:r>
          </w:p>
        </w:tc>
        <w:tc>
          <w:tcPr>
            <w:tcW w:w="766" w:type="dxa"/>
            <w:tcBorders>
              <w:top w:val="nil"/>
              <w:left w:val="nil"/>
              <w:bottom w:val="single" w:sz="4" w:space="0" w:color="auto"/>
              <w:right w:val="single" w:sz="4" w:space="0" w:color="auto"/>
            </w:tcBorders>
            <w:shd w:val="clear" w:color="auto" w:fill="auto"/>
            <w:vAlign w:val="center"/>
            <w:hideMark/>
          </w:tcPr>
          <w:p w14:paraId="519B354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4E"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4.080,30</w:t>
            </w:r>
          </w:p>
        </w:tc>
        <w:tc>
          <w:tcPr>
            <w:tcW w:w="766" w:type="dxa"/>
            <w:tcBorders>
              <w:top w:val="nil"/>
              <w:left w:val="nil"/>
              <w:bottom w:val="single" w:sz="4" w:space="0" w:color="auto"/>
              <w:right w:val="single" w:sz="4" w:space="0" w:color="auto"/>
            </w:tcBorders>
            <w:shd w:val="clear" w:color="auto" w:fill="auto"/>
            <w:vAlign w:val="center"/>
            <w:hideMark/>
          </w:tcPr>
          <w:p w14:paraId="519B354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5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5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6.386,09</w:t>
            </w:r>
          </w:p>
        </w:tc>
      </w:tr>
      <w:tr w:rsidR="00E63C68" w:rsidRPr="008E63BB" w14:paraId="519B3564"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53"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A</w:t>
            </w:r>
          </w:p>
        </w:tc>
        <w:tc>
          <w:tcPr>
            <w:tcW w:w="2831" w:type="dxa"/>
            <w:tcBorders>
              <w:top w:val="nil"/>
              <w:left w:val="nil"/>
              <w:bottom w:val="single" w:sz="4" w:space="0" w:color="auto"/>
              <w:right w:val="single" w:sz="4" w:space="0" w:color="auto"/>
            </w:tcBorders>
            <w:shd w:val="clear" w:color="auto" w:fill="auto"/>
            <w:vAlign w:val="center"/>
            <w:hideMark/>
          </w:tcPr>
          <w:p w14:paraId="519B3554"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Đất xây dựng (I+II)</w:t>
            </w:r>
          </w:p>
        </w:tc>
        <w:tc>
          <w:tcPr>
            <w:tcW w:w="1016" w:type="dxa"/>
            <w:tcBorders>
              <w:top w:val="nil"/>
              <w:left w:val="nil"/>
              <w:bottom w:val="single" w:sz="4" w:space="0" w:color="auto"/>
              <w:right w:val="single" w:sz="4" w:space="0" w:color="auto"/>
            </w:tcBorders>
            <w:shd w:val="clear" w:color="auto" w:fill="auto"/>
            <w:vAlign w:val="center"/>
            <w:hideMark/>
          </w:tcPr>
          <w:p w14:paraId="519B3555"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5.089,23</w:t>
            </w:r>
          </w:p>
        </w:tc>
        <w:tc>
          <w:tcPr>
            <w:tcW w:w="766" w:type="dxa"/>
            <w:tcBorders>
              <w:top w:val="nil"/>
              <w:left w:val="nil"/>
              <w:bottom w:val="single" w:sz="4" w:space="0" w:color="auto"/>
              <w:right w:val="single" w:sz="4" w:space="0" w:color="auto"/>
            </w:tcBorders>
            <w:shd w:val="clear" w:color="auto" w:fill="auto"/>
            <w:vAlign w:val="center"/>
            <w:hideMark/>
          </w:tcPr>
          <w:p w14:paraId="519B3556"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557"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131,40</w:t>
            </w:r>
          </w:p>
        </w:tc>
        <w:tc>
          <w:tcPr>
            <w:tcW w:w="916" w:type="dxa"/>
            <w:tcBorders>
              <w:top w:val="nil"/>
              <w:left w:val="nil"/>
              <w:bottom w:val="single" w:sz="4" w:space="0" w:color="auto"/>
              <w:right w:val="single" w:sz="4" w:space="0" w:color="auto"/>
            </w:tcBorders>
            <w:shd w:val="clear" w:color="auto" w:fill="auto"/>
            <w:vAlign w:val="center"/>
            <w:hideMark/>
          </w:tcPr>
          <w:p w14:paraId="519B3558"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2.262,30</w:t>
            </w:r>
          </w:p>
        </w:tc>
        <w:tc>
          <w:tcPr>
            <w:tcW w:w="766" w:type="dxa"/>
            <w:tcBorders>
              <w:top w:val="nil"/>
              <w:left w:val="nil"/>
              <w:bottom w:val="single" w:sz="4" w:space="0" w:color="auto"/>
              <w:right w:val="single" w:sz="4" w:space="0" w:color="auto"/>
            </w:tcBorders>
            <w:shd w:val="clear" w:color="auto" w:fill="auto"/>
            <w:vAlign w:val="center"/>
            <w:hideMark/>
          </w:tcPr>
          <w:p w14:paraId="519B355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c>
          <w:tcPr>
            <w:tcW w:w="686" w:type="dxa"/>
            <w:tcBorders>
              <w:top w:val="nil"/>
              <w:left w:val="nil"/>
              <w:bottom w:val="single" w:sz="4" w:space="0" w:color="auto"/>
              <w:right w:val="single" w:sz="4" w:space="0" w:color="auto"/>
            </w:tcBorders>
            <w:shd w:val="clear" w:color="auto" w:fill="auto"/>
            <w:vAlign w:val="center"/>
            <w:hideMark/>
          </w:tcPr>
          <w:p w14:paraId="519B355A"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95,91</w:t>
            </w:r>
          </w:p>
        </w:tc>
        <w:tc>
          <w:tcPr>
            <w:tcW w:w="1016" w:type="dxa"/>
            <w:tcBorders>
              <w:top w:val="nil"/>
              <w:left w:val="nil"/>
              <w:bottom w:val="single" w:sz="4" w:space="0" w:color="auto"/>
              <w:right w:val="single" w:sz="4" w:space="0" w:color="auto"/>
            </w:tcBorders>
            <w:shd w:val="clear" w:color="auto" w:fill="auto"/>
            <w:vAlign w:val="center"/>
            <w:hideMark/>
          </w:tcPr>
          <w:p w14:paraId="519B355B"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2.826,93</w:t>
            </w:r>
          </w:p>
        </w:tc>
        <w:tc>
          <w:tcPr>
            <w:tcW w:w="766" w:type="dxa"/>
            <w:tcBorders>
              <w:top w:val="nil"/>
              <w:left w:val="nil"/>
              <w:bottom w:val="single" w:sz="4" w:space="0" w:color="auto"/>
              <w:right w:val="single" w:sz="4" w:space="0" w:color="auto"/>
            </w:tcBorders>
            <w:shd w:val="clear" w:color="auto" w:fill="auto"/>
            <w:vAlign w:val="center"/>
            <w:hideMark/>
          </w:tcPr>
          <w:p w14:paraId="519B355C"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5D" w14:textId="1675DB15" w:rsidR="00E63C68" w:rsidRPr="008E63BB" w:rsidRDefault="008E63BB" w:rsidP="00E63C68">
            <w:pPr>
              <w:jc w:val="right"/>
              <w:rPr>
                <w:rFonts w:eastAsia="Times New Roman"/>
                <w:b/>
                <w:bCs/>
                <w:sz w:val="20"/>
                <w:szCs w:val="20"/>
              </w:rPr>
            </w:pPr>
            <w:r>
              <w:rPr>
                <w:rFonts w:eastAsia="Times New Roman"/>
                <w:b/>
                <w:bCs/>
                <w:sz w:val="20"/>
                <w:szCs w:val="20"/>
              </w:rPr>
              <w:t>8.32</w:t>
            </w:r>
            <w:r w:rsidR="00E63C68" w:rsidRPr="008E63BB">
              <w:rPr>
                <w:rFonts w:eastAsia="Times New Roman"/>
                <w:b/>
                <w:bCs/>
                <w:sz w:val="20"/>
                <w:szCs w:val="20"/>
              </w:rPr>
              <w:t>2,30</w:t>
            </w:r>
          </w:p>
        </w:tc>
        <w:tc>
          <w:tcPr>
            <w:tcW w:w="766" w:type="dxa"/>
            <w:tcBorders>
              <w:top w:val="nil"/>
              <w:left w:val="nil"/>
              <w:bottom w:val="single" w:sz="4" w:space="0" w:color="auto"/>
              <w:right w:val="single" w:sz="4" w:space="0" w:color="auto"/>
            </w:tcBorders>
            <w:shd w:val="clear" w:color="auto" w:fill="auto"/>
            <w:vAlign w:val="center"/>
            <w:hideMark/>
          </w:tcPr>
          <w:p w14:paraId="519B355E"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55F"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138,87</w:t>
            </w:r>
          </w:p>
        </w:tc>
        <w:tc>
          <w:tcPr>
            <w:tcW w:w="916" w:type="dxa"/>
            <w:tcBorders>
              <w:top w:val="nil"/>
              <w:left w:val="nil"/>
              <w:bottom w:val="single" w:sz="4" w:space="0" w:color="auto"/>
              <w:right w:val="single" w:sz="4" w:space="0" w:color="auto"/>
            </w:tcBorders>
            <w:shd w:val="clear" w:color="auto" w:fill="auto"/>
            <w:vAlign w:val="center"/>
            <w:hideMark/>
          </w:tcPr>
          <w:p w14:paraId="519B3560"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5.275,02</w:t>
            </w:r>
          </w:p>
        </w:tc>
        <w:tc>
          <w:tcPr>
            <w:tcW w:w="766" w:type="dxa"/>
            <w:tcBorders>
              <w:top w:val="nil"/>
              <w:left w:val="nil"/>
              <w:bottom w:val="single" w:sz="4" w:space="0" w:color="auto"/>
              <w:right w:val="single" w:sz="4" w:space="0" w:color="auto"/>
            </w:tcBorders>
            <w:shd w:val="clear" w:color="auto" w:fill="auto"/>
            <w:vAlign w:val="center"/>
            <w:hideMark/>
          </w:tcPr>
          <w:p w14:paraId="519B3561"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562"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108,64</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63"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3.057,28</w:t>
            </w:r>
          </w:p>
        </w:tc>
      </w:tr>
      <w:tr w:rsidR="00E63C68" w:rsidRPr="008E63BB" w14:paraId="519B3576"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65"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I</w:t>
            </w:r>
          </w:p>
        </w:tc>
        <w:tc>
          <w:tcPr>
            <w:tcW w:w="2831" w:type="dxa"/>
            <w:tcBorders>
              <w:top w:val="nil"/>
              <w:left w:val="nil"/>
              <w:bottom w:val="single" w:sz="4" w:space="0" w:color="auto"/>
              <w:right w:val="single" w:sz="4" w:space="0" w:color="auto"/>
            </w:tcBorders>
            <w:shd w:val="clear" w:color="auto" w:fill="auto"/>
            <w:vAlign w:val="center"/>
            <w:hideMark/>
          </w:tcPr>
          <w:p w14:paraId="519B3566"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Đất dân dụng</w:t>
            </w:r>
          </w:p>
        </w:tc>
        <w:tc>
          <w:tcPr>
            <w:tcW w:w="1016" w:type="dxa"/>
            <w:tcBorders>
              <w:top w:val="nil"/>
              <w:left w:val="nil"/>
              <w:bottom w:val="single" w:sz="4" w:space="0" w:color="auto"/>
              <w:right w:val="single" w:sz="4" w:space="0" w:color="auto"/>
            </w:tcBorders>
            <w:shd w:val="clear" w:color="auto" w:fill="auto"/>
            <w:vAlign w:val="center"/>
            <w:hideMark/>
          </w:tcPr>
          <w:p w14:paraId="519B3567"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3.630,07</w:t>
            </w:r>
          </w:p>
        </w:tc>
        <w:tc>
          <w:tcPr>
            <w:tcW w:w="766" w:type="dxa"/>
            <w:tcBorders>
              <w:top w:val="nil"/>
              <w:left w:val="nil"/>
              <w:bottom w:val="single" w:sz="4" w:space="0" w:color="auto"/>
              <w:right w:val="single" w:sz="4" w:space="0" w:color="auto"/>
            </w:tcBorders>
            <w:shd w:val="clear" w:color="auto" w:fill="auto"/>
            <w:vAlign w:val="center"/>
            <w:hideMark/>
          </w:tcPr>
          <w:p w14:paraId="519B3568"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71,33</w:t>
            </w:r>
          </w:p>
        </w:tc>
        <w:tc>
          <w:tcPr>
            <w:tcW w:w="766" w:type="dxa"/>
            <w:tcBorders>
              <w:top w:val="nil"/>
              <w:left w:val="nil"/>
              <w:bottom w:val="single" w:sz="4" w:space="0" w:color="auto"/>
              <w:right w:val="single" w:sz="4" w:space="0" w:color="auto"/>
            </w:tcBorders>
            <w:shd w:val="clear" w:color="auto" w:fill="auto"/>
            <w:vAlign w:val="center"/>
            <w:hideMark/>
          </w:tcPr>
          <w:p w14:paraId="519B356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93,73</w:t>
            </w:r>
          </w:p>
        </w:tc>
        <w:tc>
          <w:tcPr>
            <w:tcW w:w="916" w:type="dxa"/>
            <w:tcBorders>
              <w:top w:val="nil"/>
              <w:left w:val="nil"/>
              <w:bottom w:val="single" w:sz="4" w:space="0" w:color="auto"/>
              <w:right w:val="single" w:sz="4" w:space="0" w:color="auto"/>
            </w:tcBorders>
            <w:shd w:val="clear" w:color="auto" w:fill="auto"/>
            <w:vAlign w:val="center"/>
            <w:hideMark/>
          </w:tcPr>
          <w:p w14:paraId="519B356A"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1.385,63</w:t>
            </w:r>
          </w:p>
        </w:tc>
        <w:tc>
          <w:tcPr>
            <w:tcW w:w="766" w:type="dxa"/>
            <w:tcBorders>
              <w:top w:val="nil"/>
              <w:left w:val="nil"/>
              <w:bottom w:val="single" w:sz="4" w:space="0" w:color="auto"/>
              <w:right w:val="single" w:sz="4" w:space="0" w:color="auto"/>
            </w:tcBorders>
            <w:shd w:val="clear" w:color="auto" w:fill="auto"/>
            <w:vAlign w:val="center"/>
            <w:hideMark/>
          </w:tcPr>
          <w:p w14:paraId="519B356B"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63,61</w:t>
            </w:r>
          </w:p>
        </w:tc>
        <w:tc>
          <w:tcPr>
            <w:tcW w:w="686" w:type="dxa"/>
            <w:tcBorders>
              <w:top w:val="nil"/>
              <w:left w:val="nil"/>
              <w:bottom w:val="single" w:sz="4" w:space="0" w:color="auto"/>
              <w:right w:val="single" w:sz="4" w:space="0" w:color="auto"/>
            </w:tcBorders>
            <w:shd w:val="clear" w:color="auto" w:fill="auto"/>
            <w:vAlign w:val="center"/>
            <w:hideMark/>
          </w:tcPr>
          <w:p w14:paraId="519B356C"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58,74</w:t>
            </w:r>
          </w:p>
        </w:tc>
        <w:tc>
          <w:tcPr>
            <w:tcW w:w="1016" w:type="dxa"/>
            <w:tcBorders>
              <w:top w:val="nil"/>
              <w:left w:val="nil"/>
              <w:bottom w:val="single" w:sz="4" w:space="0" w:color="auto"/>
              <w:right w:val="single" w:sz="4" w:space="0" w:color="auto"/>
            </w:tcBorders>
            <w:shd w:val="clear" w:color="auto" w:fill="auto"/>
            <w:vAlign w:val="center"/>
            <w:hideMark/>
          </w:tcPr>
          <w:p w14:paraId="519B356D"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2.244,44</w:t>
            </w:r>
          </w:p>
        </w:tc>
        <w:tc>
          <w:tcPr>
            <w:tcW w:w="766" w:type="dxa"/>
            <w:tcBorders>
              <w:top w:val="nil"/>
              <w:left w:val="nil"/>
              <w:bottom w:val="single" w:sz="4" w:space="0" w:color="auto"/>
              <w:right w:val="single" w:sz="4" w:space="0" w:color="auto"/>
            </w:tcBorders>
            <w:shd w:val="clear" w:color="auto" w:fill="auto"/>
            <w:vAlign w:val="center"/>
            <w:hideMark/>
          </w:tcPr>
          <w:p w14:paraId="519B356E"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79,30</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6F"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4.990,49</w:t>
            </w:r>
          </w:p>
        </w:tc>
        <w:tc>
          <w:tcPr>
            <w:tcW w:w="766" w:type="dxa"/>
            <w:tcBorders>
              <w:top w:val="nil"/>
              <w:left w:val="nil"/>
              <w:bottom w:val="single" w:sz="4" w:space="0" w:color="auto"/>
              <w:right w:val="single" w:sz="4" w:space="0" w:color="auto"/>
            </w:tcBorders>
            <w:shd w:val="clear" w:color="auto" w:fill="auto"/>
            <w:vAlign w:val="center"/>
            <w:hideMark/>
          </w:tcPr>
          <w:p w14:paraId="519B3570"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59,89</w:t>
            </w:r>
          </w:p>
        </w:tc>
        <w:tc>
          <w:tcPr>
            <w:tcW w:w="766" w:type="dxa"/>
            <w:tcBorders>
              <w:top w:val="nil"/>
              <w:left w:val="nil"/>
              <w:bottom w:val="single" w:sz="4" w:space="0" w:color="auto"/>
              <w:right w:val="single" w:sz="4" w:space="0" w:color="auto"/>
            </w:tcBorders>
            <w:shd w:val="clear" w:color="auto" w:fill="auto"/>
            <w:vAlign w:val="center"/>
            <w:hideMark/>
          </w:tcPr>
          <w:p w14:paraId="519B3571"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83,17</w:t>
            </w:r>
          </w:p>
        </w:tc>
        <w:tc>
          <w:tcPr>
            <w:tcW w:w="916" w:type="dxa"/>
            <w:tcBorders>
              <w:top w:val="nil"/>
              <w:left w:val="nil"/>
              <w:bottom w:val="single" w:sz="4" w:space="0" w:color="auto"/>
              <w:right w:val="single" w:sz="4" w:space="0" w:color="auto"/>
            </w:tcBorders>
            <w:shd w:val="clear" w:color="auto" w:fill="auto"/>
            <w:vAlign w:val="center"/>
            <w:hideMark/>
          </w:tcPr>
          <w:p w14:paraId="519B3572"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3.135,79</w:t>
            </w:r>
          </w:p>
        </w:tc>
        <w:tc>
          <w:tcPr>
            <w:tcW w:w="766" w:type="dxa"/>
            <w:tcBorders>
              <w:top w:val="nil"/>
              <w:left w:val="nil"/>
              <w:bottom w:val="single" w:sz="4" w:space="0" w:color="auto"/>
              <w:right w:val="single" w:sz="4" w:space="0" w:color="auto"/>
            </w:tcBorders>
            <w:shd w:val="clear" w:color="auto" w:fill="auto"/>
            <w:vAlign w:val="center"/>
            <w:hideMark/>
          </w:tcPr>
          <w:p w14:paraId="519B3573"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59,45</w:t>
            </w:r>
          </w:p>
        </w:tc>
        <w:tc>
          <w:tcPr>
            <w:tcW w:w="766" w:type="dxa"/>
            <w:tcBorders>
              <w:top w:val="nil"/>
              <w:left w:val="nil"/>
              <w:bottom w:val="single" w:sz="4" w:space="0" w:color="auto"/>
              <w:right w:val="single" w:sz="4" w:space="0" w:color="auto"/>
            </w:tcBorders>
            <w:shd w:val="clear" w:color="auto" w:fill="auto"/>
            <w:vAlign w:val="center"/>
            <w:hideMark/>
          </w:tcPr>
          <w:p w14:paraId="519B3574"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64,58</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75"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1.854,70</w:t>
            </w:r>
          </w:p>
        </w:tc>
      </w:tr>
      <w:tr w:rsidR="00E63C68" w:rsidRPr="008E63BB" w14:paraId="519B3588"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77" w14:textId="77777777" w:rsidR="00E63C68" w:rsidRPr="008E63BB" w:rsidRDefault="00E63C68" w:rsidP="00E63C68">
            <w:pPr>
              <w:jc w:val="center"/>
              <w:rPr>
                <w:rFonts w:eastAsia="Times New Roman"/>
                <w:sz w:val="20"/>
                <w:szCs w:val="20"/>
              </w:rPr>
            </w:pPr>
            <w:r w:rsidRPr="008E63BB">
              <w:rPr>
                <w:rFonts w:eastAsia="Times New Roman"/>
                <w:sz w:val="20"/>
                <w:szCs w:val="20"/>
              </w:rPr>
              <w:t>1</w:t>
            </w:r>
          </w:p>
        </w:tc>
        <w:tc>
          <w:tcPr>
            <w:tcW w:w="2831" w:type="dxa"/>
            <w:tcBorders>
              <w:top w:val="nil"/>
              <w:left w:val="nil"/>
              <w:bottom w:val="single" w:sz="4" w:space="0" w:color="auto"/>
              <w:right w:val="single" w:sz="4" w:space="0" w:color="auto"/>
            </w:tcBorders>
            <w:shd w:val="clear" w:color="auto" w:fill="auto"/>
            <w:vAlign w:val="center"/>
            <w:hideMark/>
          </w:tcPr>
          <w:p w14:paraId="519B3578" w14:textId="77777777" w:rsidR="00E63C68" w:rsidRPr="008E63BB" w:rsidRDefault="00E63C68" w:rsidP="00E63C68">
            <w:pPr>
              <w:jc w:val="left"/>
              <w:rPr>
                <w:rFonts w:eastAsia="Times New Roman"/>
                <w:sz w:val="20"/>
                <w:szCs w:val="20"/>
              </w:rPr>
            </w:pPr>
            <w:r w:rsidRPr="008E63BB">
              <w:rPr>
                <w:rFonts w:eastAsia="Times New Roman"/>
                <w:sz w:val="20"/>
                <w:szCs w:val="20"/>
              </w:rPr>
              <w:t>Đất đơn vị ở</w:t>
            </w:r>
          </w:p>
        </w:tc>
        <w:tc>
          <w:tcPr>
            <w:tcW w:w="1016" w:type="dxa"/>
            <w:tcBorders>
              <w:top w:val="nil"/>
              <w:left w:val="nil"/>
              <w:bottom w:val="single" w:sz="4" w:space="0" w:color="auto"/>
              <w:right w:val="single" w:sz="4" w:space="0" w:color="auto"/>
            </w:tcBorders>
            <w:shd w:val="clear" w:color="auto" w:fill="auto"/>
            <w:vAlign w:val="center"/>
            <w:hideMark/>
          </w:tcPr>
          <w:p w14:paraId="519B3579" w14:textId="77777777" w:rsidR="00E63C68" w:rsidRPr="008E63BB" w:rsidRDefault="00E63C68" w:rsidP="00E63C68">
            <w:pPr>
              <w:jc w:val="right"/>
              <w:rPr>
                <w:rFonts w:eastAsia="Times New Roman"/>
                <w:sz w:val="20"/>
                <w:szCs w:val="20"/>
              </w:rPr>
            </w:pPr>
            <w:r w:rsidRPr="008E63BB">
              <w:rPr>
                <w:rFonts w:eastAsia="Times New Roman"/>
                <w:sz w:val="20"/>
                <w:szCs w:val="20"/>
              </w:rPr>
              <w:t>2.035,85</w:t>
            </w:r>
          </w:p>
        </w:tc>
        <w:tc>
          <w:tcPr>
            <w:tcW w:w="766" w:type="dxa"/>
            <w:tcBorders>
              <w:top w:val="nil"/>
              <w:left w:val="nil"/>
              <w:bottom w:val="single" w:sz="4" w:space="0" w:color="auto"/>
              <w:right w:val="single" w:sz="4" w:space="0" w:color="auto"/>
            </w:tcBorders>
            <w:shd w:val="clear" w:color="auto" w:fill="auto"/>
            <w:vAlign w:val="center"/>
            <w:hideMark/>
          </w:tcPr>
          <w:p w14:paraId="519B357A" w14:textId="77777777" w:rsidR="00E63C68" w:rsidRPr="008E63BB" w:rsidRDefault="00E63C68" w:rsidP="00E63C68">
            <w:pPr>
              <w:jc w:val="right"/>
              <w:rPr>
                <w:rFonts w:eastAsia="Times New Roman"/>
                <w:sz w:val="20"/>
                <w:szCs w:val="20"/>
              </w:rPr>
            </w:pPr>
            <w:r w:rsidRPr="008E63BB">
              <w:rPr>
                <w:rFonts w:eastAsia="Times New Roman"/>
                <w:sz w:val="20"/>
                <w:szCs w:val="20"/>
              </w:rPr>
              <w:t>40,00</w:t>
            </w:r>
          </w:p>
        </w:tc>
        <w:tc>
          <w:tcPr>
            <w:tcW w:w="766" w:type="dxa"/>
            <w:tcBorders>
              <w:top w:val="nil"/>
              <w:left w:val="nil"/>
              <w:bottom w:val="single" w:sz="4" w:space="0" w:color="auto"/>
              <w:right w:val="single" w:sz="4" w:space="0" w:color="auto"/>
            </w:tcBorders>
            <w:shd w:val="clear" w:color="auto" w:fill="auto"/>
            <w:vAlign w:val="center"/>
            <w:hideMark/>
          </w:tcPr>
          <w:p w14:paraId="519B357B" w14:textId="77777777" w:rsidR="00E63C68" w:rsidRPr="008E63BB" w:rsidRDefault="00E63C68" w:rsidP="00E63C68">
            <w:pPr>
              <w:jc w:val="right"/>
              <w:rPr>
                <w:rFonts w:eastAsia="Times New Roman"/>
                <w:sz w:val="20"/>
                <w:szCs w:val="20"/>
              </w:rPr>
            </w:pPr>
            <w:r w:rsidRPr="008E63BB">
              <w:rPr>
                <w:rFonts w:eastAsia="Times New Roman"/>
                <w:sz w:val="20"/>
                <w:szCs w:val="20"/>
              </w:rPr>
              <w:t>52,57</w:t>
            </w:r>
          </w:p>
        </w:tc>
        <w:tc>
          <w:tcPr>
            <w:tcW w:w="916" w:type="dxa"/>
            <w:tcBorders>
              <w:top w:val="nil"/>
              <w:left w:val="nil"/>
              <w:bottom w:val="single" w:sz="4" w:space="0" w:color="auto"/>
              <w:right w:val="single" w:sz="4" w:space="0" w:color="auto"/>
            </w:tcBorders>
            <w:shd w:val="clear" w:color="auto" w:fill="auto"/>
            <w:vAlign w:val="center"/>
            <w:hideMark/>
          </w:tcPr>
          <w:p w14:paraId="519B357C" w14:textId="77777777" w:rsidR="00E63C68" w:rsidRPr="008E63BB" w:rsidRDefault="00E63C68" w:rsidP="00E63C68">
            <w:pPr>
              <w:jc w:val="right"/>
              <w:rPr>
                <w:rFonts w:eastAsia="Times New Roman"/>
                <w:sz w:val="20"/>
                <w:szCs w:val="20"/>
              </w:rPr>
            </w:pPr>
            <w:r w:rsidRPr="008E63BB">
              <w:rPr>
                <w:rFonts w:eastAsia="Times New Roman"/>
                <w:sz w:val="20"/>
                <w:szCs w:val="20"/>
              </w:rPr>
              <w:t>871,45</w:t>
            </w:r>
          </w:p>
        </w:tc>
        <w:tc>
          <w:tcPr>
            <w:tcW w:w="766" w:type="dxa"/>
            <w:tcBorders>
              <w:top w:val="nil"/>
              <w:left w:val="nil"/>
              <w:bottom w:val="single" w:sz="4" w:space="0" w:color="auto"/>
              <w:right w:val="single" w:sz="4" w:space="0" w:color="auto"/>
            </w:tcBorders>
            <w:shd w:val="clear" w:color="auto" w:fill="auto"/>
            <w:vAlign w:val="center"/>
            <w:hideMark/>
          </w:tcPr>
          <w:p w14:paraId="519B357D" w14:textId="77777777" w:rsidR="00E63C68" w:rsidRPr="008E63BB" w:rsidRDefault="00E63C68" w:rsidP="00E63C68">
            <w:pPr>
              <w:jc w:val="right"/>
              <w:rPr>
                <w:rFonts w:eastAsia="Times New Roman"/>
                <w:sz w:val="20"/>
                <w:szCs w:val="20"/>
              </w:rPr>
            </w:pPr>
            <w:r w:rsidRPr="008E63BB">
              <w:rPr>
                <w:rFonts w:eastAsia="Times New Roman"/>
                <w:sz w:val="20"/>
                <w:szCs w:val="20"/>
              </w:rPr>
              <w:t>33,66</w:t>
            </w:r>
          </w:p>
        </w:tc>
        <w:tc>
          <w:tcPr>
            <w:tcW w:w="686" w:type="dxa"/>
            <w:tcBorders>
              <w:top w:val="nil"/>
              <w:left w:val="nil"/>
              <w:bottom w:val="single" w:sz="4" w:space="0" w:color="auto"/>
              <w:right w:val="single" w:sz="4" w:space="0" w:color="auto"/>
            </w:tcBorders>
            <w:shd w:val="clear" w:color="auto" w:fill="auto"/>
            <w:vAlign w:val="center"/>
            <w:hideMark/>
          </w:tcPr>
          <w:p w14:paraId="519B357E" w14:textId="77777777" w:rsidR="00E63C68" w:rsidRPr="008E63BB" w:rsidRDefault="00E63C68" w:rsidP="00E63C68">
            <w:pPr>
              <w:jc w:val="right"/>
              <w:rPr>
                <w:rFonts w:eastAsia="Times New Roman"/>
                <w:sz w:val="20"/>
                <w:szCs w:val="20"/>
              </w:rPr>
            </w:pPr>
            <w:r w:rsidRPr="008E63BB">
              <w:rPr>
                <w:rFonts w:eastAsia="Times New Roman"/>
                <w:sz w:val="20"/>
                <w:szCs w:val="20"/>
              </w:rPr>
              <w:t>36,94</w:t>
            </w:r>
          </w:p>
        </w:tc>
        <w:tc>
          <w:tcPr>
            <w:tcW w:w="1016" w:type="dxa"/>
            <w:tcBorders>
              <w:top w:val="nil"/>
              <w:left w:val="nil"/>
              <w:bottom w:val="single" w:sz="4" w:space="0" w:color="auto"/>
              <w:right w:val="single" w:sz="4" w:space="0" w:color="auto"/>
            </w:tcBorders>
            <w:shd w:val="clear" w:color="auto" w:fill="auto"/>
            <w:vAlign w:val="center"/>
            <w:hideMark/>
          </w:tcPr>
          <w:p w14:paraId="519B357F" w14:textId="77777777" w:rsidR="00E63C68" w:rsidRPr="008E63BB" w:rsidRDefault="00E63C68" w:rsidP="00E63C68">
            <w:pPr>
              <w:jc w:val="right"/>
              <w:rPr>
                <w:rFonts w:eastAsia="Times New Roman"/>
                <w:sz w:val="20"/>
                <w:szCs w:val="20"/>
              </w:rPr>
            </w:pPr>
            <w:r w:rsidRPr="008E63BB">
              <w:rPr>
                <w:rFonts w:eastAsia="Times New Roman"/>
                <w:sz w:val="20"/>
                <w:szCs w:val="20"/>
              </w:rPr>
              <w:t>1.164,40</w:t>
            </w:r>
          </w:p>
        </w:tc>
        <w:tc>
          <w:tcPr>
            <w:tcW w:w="766" w:type="dxa"/>
            <w:tcBorders>
              <w:top w:val="nil"/>
              <w:left w:val="nil"/>
              <w:bottom w:val="single" w:sz="4" w:space="0" w:color="auto"/>
              <w:right w:val="single" w:sz="4" w:space="0" w:color="auto"/>
            </w:tcBorders>
            <w:shd w:val="clear" w:color="auto" w:fill="auto"/>
            <w:vAlign w:val="center"/>
            <w:hideMark/>
          </w:tcPr>
          <w:p w14:paraId="519B3580" w14:textId="77777777" w:rsidR="00E63C68" w:rsidRPr="008E63BB" w:rsidRDefault="00E63C68" w:rsidP="00E63C68">
            <w:pPr>
              <w:jc w:val="right"/>
              <w:rPr>
                <w:rFonts w:eastAsia="Times New Roman"/>
                <w:sz w:val="20"/>
                <w:szCs w:val="20"/>
              </w:rPr>
            </w:pPr>
            <w:r w:rsidRPr="008E63BB">
              <w:rPr>
                <w:rFonts w:eastAsia="Times New Roman"/>
                <w:sz w:val="20"/>
                <w:szCs w:val="20"/>
              </w:rPr>
              <w:t>37,17</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81" w14:textId="77777777" w:rsidR="00E63C68" w:rsidRPr="008E63BB" w:rsidRDefault="00E63C68" w:rsidP="00E63C68">
            <w:pPr>
              <w:jc w:val="right"/>
              <w:rPr>
                <w:rFonts w:eastAsia="Times New Roman"/>
                <w:sz w:val="20"/>
                <w:szCs w:val="20"/>
              </w:rPr>
            </w:pPr>
            <w:r w:rsidRPr="008E63BB">
              <w:rPr>
                <w:rFonts w:eastAsia="Times New Roman"/>
                <w:sz w:val="20"/>
                <w:szCs w:val="20"/>
              </w:rPr>
              <w:t>2.705,14</w:t>
            </w:r>
          </w:p>
        </w:tc>
        <w:tc>
          <w:tcPr>
            <w:tcW w:w="766" w:type="dxa"/>
            <w:tcBorders>
              <w:top w:val="nil"/>
              <w:left w:val="nil"/>
              <w:bottom w:val="single" w:sz="4" w:space="0" w:color="auto"/>
              <w:right w:val="single" w:sz="4" w:space="0" w:color="auto"/>
            </w:tcBorders>
            <w:shd w:val="clear" w:color="auto" w:fill="auto"/>
            <w:vAlign w:val="center"/>
            <w:hideMark/>
          </w:tcPr>
          <w:p w14:paraId="519B3582" w14:textId="77777777" w:rsidR="00E63C68" w:rsidRPr="008E63BB" w:rsidRDefault="00E63C68" w:rsidP="00E63C68">
            <w:pPr>
              <w:jc w:val="right"/>
              <w:rPr>
                <w:rFonts w:eastAsia="Times New Roman"/>
                <w:sz w:val="20"/>
                <w:szCs w:val="20"/>
              </w:rPr>
            </w:pPr>
            <w:r w:rsidRPr="008E63BB">
              <w:rPr>
                <w:rFonts w:eastAsia="Times New Roman"/>
                <w:sz w:val="20"/>
                <w:szCs w:val="20"/>
              </w:rPr>
              <w:t>32,47</w:t>
            </w:r>
          </w:p>
        </w:tc>
        <w:tc>
          <w:tcPr>
            <w:tcW w:w="766" w:type="dxa"/>
            <w:tcBorders>
              <w:top w:val="nil"/>
              <w:left w:val="nil"/>
              <w:bottom w:val="single" w:sz="4" w:space="0" w:color="auto"/>
              <w:right w:val="single" w:sz="4" w:space="0" w:color="auto"/>
            </w:tcBorders>
            <w:shd w:val="clear" w:color="auto" w:fill="auto"/>
            <w:vAlign w:val="center"/>
            <w:hideMark/>
          </w:tcPr>
          <w:p w14:paraId="519B3583" w14:textId="77777777" w:rsidR="00E63C68" w:rsidRPr="008E63BB" w:rsidRDefault="00E63C68" w:rsidP="00E63C68">
            <w:pPr>
              <w:jc w:val="right"/>
              <w:rPr>
                <w:rFonts w:eastAsia="Times New Roman"/>
                <w:sz w:val="20"/>
                <w:szCs w:val="20"/>
              </w:rPr>
            </w:pPr>
            <w:r w:rsidRPr="008E63BB">
              <w:rPr>
                <w:rFonts w:eastAsia="Times New Roman"/>
                <w:sz w:val="20"/>
                <w:szCs w:val="20"/>
              </w:rPr>
              <w:t>45,09</w:t>
            </w:r>
          </w:p>
        </w:tc>
        <w:tc>
          <w:tcPr>
            <w:tcW w:w="916" w:type="dxa"/>
            <w:tcBorders>
              <w:top w:val="nil"/>
              <w:left w:val="nil"/>
              <w:bottom w:val="single" w:sz="4" w:space="0" w:color="auto"/>
              <w:right w:val="single" w:sz="4" w:space="0" w:color="auto"/>
            </w:tcBorders>
            <w:shd w:val="clear" w:color="auto" w:fill="auto"/>
            <w:noWrap/>
            <w:vAlign w:val="center"/>
            <w:hideMark/>
          </w:tcPr>
          <w:p w14:paraId="519B3584" w14:textId="77777777" w:rsidR="00E63C68" w:rsidRPr="008E63BB" w:rsidRDefault="00E63C68" w:rsidP="00E63C68">
            <w:pPr>
              <w:jc w:val="right"/>
              <w:rPr>
                <w:rFonts w:eastAsia="Times New Roman"/>
                <w:sz w:val="20"/>
                <w:szCs w:val="20"/>
              </w:rPr>
            </w:pPr>
            <w:r w:rsidRPr="008E63BB">
              <w:rPr>
                <w:rFonts w:eastAsia="Times New Roman"/>
                <w:sz w:val="20"/>
                <w:szCs w:val="20"/>
              </w:rPr>
              <w:t>1.958,73</w:t>
            </w:r>
          </w:p>
        </w:tc>
        <w:tc>
          <w:tcPr>
            <w:tcW w:w="766" w:type="dxa"/>
            <w:tcBorders>
              <w:top w:val="nil"/>
              <w:left w:val="nil"/>
              <w:bottom w:val="single" w:sz="4" w:space="0" w:color="auto"/>
              <w:right w:val="single" w:sz="4" w:space="0" w:color="auto"/>
            </w:tcBorders>
            <w:shd w:val="clear" w:color="auto" w:fill="auto"/>
            <w:vAlign w:val="center"/>
            <w:hideMark/>
          </w:tcPr>
          <w:p w14:paraId="519B3585" w14:textId="77777777" w:rsidR="00E63C68" w:rsidRPr="008E63BB" w:rsidRDefault="00E63C68" w:rsidP="00E63C68">
            <w:pPr>
              <w:jc w:val="right"/>
              <w:rPr>
                <w:rFonts w:eastAsia="Times New Roman"/>
                <w:sz w:val="20"/>
                <w:szCs w:val="20"/>
              </w:rPr>
            </w:pPr>
            <w:r w:rsidRPr="008E63BB">
              <w:rPr>
                <w:rFonts w:eastAsia="Times New Roman"/>
                <w:sz w:val="20"/>
                <w:szCs w:val="20"/>
              </w:rPr>
              <w:t>37,13</w:t>
            </w:r>
          </w:p>
        </w:tc>
        <w:tc>
          <w:tcPr>
            <w:tcW w:w="766" w:type="dxa"/>
            <w:tcBorders>
              <w:top w:val="nil"/>
              <w:left w:val="nil"/>
              <w:bottom w:val="single" w:sz="4" w:space="0" w:color="auto"/>
              <w:right w:val="single" w:sz="4" w:space="0" w:color="auto"/>
            </w:tcBorders>
            <w:shd w:val="clear" w:color="auto" w:fill="auto"/>
            <w:vAlign w:val="center"/>
            <w:hideMark/>
          </w:tcPr>
          <w:p w14:paraId="519B3586" w14:textId="77777777" w:rsidR="00E63C68" w:rsidRPr="008E63BB" w:rsidRDefault="00E63C68" w:rsidP="00E63C68">
            <w:pPr>
              <w:jc w:val="right"/>
              <w:rPr>
                <w:rFonts w:eastAsia="Times New Roman"/>
                <w:sz w:val="20"/>
                <w:szCs w:val="20"/>
              </w:rPr>
            </w:pPr>
            <w:r w:rsidRPr="008E63BB">
              <w:rPr>
                <w:rFonts w:eastAsia="Times New Roman"/>
                <w:sz w:val="20"/>
                <w:szCs w:val="20"/>
              </w:rPr>
              <w:t>40,34</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19B3587" w14:textId="77777777" w:rsidR="00E63C68" w:rsidRPr="008E63BB" w:rsidRDefault="00E63C68" w:rsidP="00E63C68">
            <w:pPr>
              <w:jc w:val="right"/>
              <w:rPr>
                <w:rFonts w:eastAsia="Times New Roman"/>
                <w:sz w:val="20"/>
                <w:szCs w:val="20"/>
              </w:rPr>
            </w:pPr>
            <w:r w:rsidRPr="008E63BB">
              <w:rPr>
                <w:rFonts w:eastAsia="Times New Roman"/>
                <w:sz w:val="20"/>
                <w:szCs w:val="20"/>
              </w:rPr>
              <w:t>746,41</w:t>
            </w:r>
          </w:p>
        </w:tc>
      </w:tr>
      <w:tr w:rsidR="00EC3775" w:rsidRPr="008E63BB" w14:paraId="2BFA2425"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tcPr>
          <w:p w14:paraId="71352538" w14:textId="589843E4" w:rsidR="00EC3775" w:rsidRPr="008E63BB" w:rsidRDefault="00EC3775" w:rsidP="00EC3775">
            <w:pPr>
              <w:jc w:val="right"/>
              <w:rPr>
                <w:rFonts w:eastAsia="Times New Roman"/>
                <w:i/>
                <w:iCs/>
                <w:sz w:val="20"/>
                <w:szCs w:val="20"/>
              </w:rPr>
            </w:pPr>
            <w:r w:rsidRPr="008E63BB">
              <w:rPr>
                <w:rFonts w:eastAsia="Times New Roman"/>
                <w:i/>
                <w:iCs/>
                <w:sz w:val="20"/>
                <w:szCs w:val="20"/>
              </w:rPr>
              <w:t>-</w:t>
            </w:r>
          </w:p>
        </w:tc>
        <w:tc>
          <w:tcPr>
            <w:tcW w:w="2831" w:type="dxa"/>
            <w:tcBorders>
              <w:top w:val="nil"/>
              <w:left w:val="nil"/>
              <w:bottom w:val="single" w:sz="4" w:space="0" w:color="auto"/>
              <w:right w:val="single" w:sz="4" w:space="0" w:color="auto"/>
            </w:tcBorders>
            <w:shd w:val="clear" w:color="auto" w:fill="auto"/>
            <w:vAlign w:val="center"/>
          </w:tcPr>
          <w:p w14:paraId="1EE1BC26" w14:textId="6E5EB334" w:rsidR="00EC3775" w:rsidRPr="008E63BB" w:rsidRDefault="00EC3775" w:rsidP="00EC3775">
            <w:pPr>
              <w:jc w:val="left"/>
              <w:rPr>
                <w:rFonts w:eastAsia="Times New Roman"/>
                <w:i/>
                <w:iCs/>
                <w:sz w:val="20"/>
                <w:szCs w:val="20"/>
              </w:rPr>
            </w:pPr>
            <w:r w:rsidRPr="008E63BB">
              <w:rPr>
                <w:rFonts w:eastAsia="Times New Roman"/>
                <w:i/>
                <w:iCs/>
                <w:sz w:val="20"/>
                <w:szCs w:val="20"/>
              </w:rPr>
              <w:t>Đất ở hiện trạng + Đất ở làng xóm - làng xóm đô thị hóa</w:t>
            </w:r>
          </w:p>
        </w:tc>
        <w:tc>
          <w:tcPr>
            <w:tcW w:w="1016" w:type="dxa"/>
            <w:tcBorders>
              <w:top w:val="nil"/>
              <w:left w:val="nil"/>
              <w:bottom w:val="single" w:sz="4" w:space="0" w:color="auto"/>
              <w:right w:val="single" w:sz="4" w:space="0" w:color="auto"/>
            </w:tcBorders>
            <w:shd w:val="clear" w:color="auto" w:fill="auto"/>
            <w:vAlign w:val="center"/>
          </w:tcPr>
          <w:p w14:paraId="54FBB95F" w14:textId="20271902" w:rsidR="00EC3775" w:rsidRPr="008E63BB" w:rsidRDefault="00EC3775" w:rsidP="00EC3775">
            <w:pPr>
              <w:jc w:val="right"/>
              <w:rPr>
                <w:rFonts w:eastAsia="Times New Roman"/>
                <w:i/>
                <w:iCs/>
                <w:sz w:val="20"/>
                <w:szCs w:val="20"/>
              </w:rPr>
            </w:pPr>
            <w:r w:rsidRPr="008E63BB">
              <w:rPr>
                <w:rFonts w:eastAsia="Times New Roman"/>
                <w:i/>
                <w:iCs/>
                <w:sz w:val="20"/>
                <w:szCs w:val="20"/>
              </w:rPr>
              <w:t>2.035,85</w:t>
            </w:r>
          </w:p>
        </w:tc>
        <w:tc>
          <w:tcPr>
            <w:tcW w:w="766" w:type="dxa"/>
            <w:tcBorders>
              <w:top w:val="nil"/>
              <w:left w:val="nil"/>
              <w:bottom w:val="single" w:sz="4" w:space="0" w:color="auto"/>
              <w:right w:val="single" w:sz="4" w:space="0" w:color="auto"/>
            </w:tcBorders>
            <w:shd w:val="clear" w:color="auto" w:fill="auto"/>
            <w:vAlign w:val="center"/>
          </w:tcPr>
          <w:p w14:paraId="58035ADC"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13C1929A" w14:textId="77777777" w:rsidR="00EC3775" w:rsidRPr="008E63BB" w:rsidRDefault="00EC3775" w:rsidP="00EC3775">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vAlign w:val="center"/>
          </w:tcPr>
          <w:p w14:paraId="651BD870" w14:textId="77777777" w:rsidR="00EC3775" w:rsidRPr="008E63BB" w:rsidRDefault="00EC3775" w:rsidP="00EC3775">
            <w:pPr>
              <w:jc w:val="right"/>
              <w:rPr>
                <w:rFonts w:eastAsia="Times New Roman"/>
                <w:i/>
                <w:iCs/>
                <w:sz w:val="20"/>
                <w:szCs w:val="20"/>
              </w:rPr>
            </w:pPr>
            <w:r w:rsidRPr="008E63BB">
              <w:rPr>
                <w:rFonts w:eastAsia="Times New Roman"/>
                <w:i/>
                <w:iCs/>
                <w:sz w:val="20"/>
                <w:szCs w:val="20"/>
              </w:rPr>
              <w:t>871,45</w:t>
            </w:r>
          </w:p>
          <w:p w14:paraId="0421C7E9"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1EFEDE55" w14:textId="77777777" w:rsidR="00EC3775" w:rsidRPr="008E63BB" w:rsidRDefault="00EC3775" w:rsidP="00EC3775">
            <w:pPr>
              <w:jc w:val="right"/>
              <w:rPr>
                <w:rFonts w:eastAsia="Times New Roman"/>
                <w:i/>
                <w:iCs/>
                <w:sz w:val="20"/>
                <w:szCs w:val="20"/>
              </w:rPr>
            </w:pPr>
          </w:p>
        </w:tc>
        <w:tc>
          <w:tcPr>
            <w:tcW w:w="686" w:type="dxa"/>
            <w:tcBorders>
              <w:top w:val="nil"/>
              <w:left w:val="nil"/>
              <w:bottom w:val="single" w:sz="4" w:space="0" w:color="auto"/>
              <w:right w:val="single" w:sz="4" w:space="0" w:color="auto"/>
            </w:tcBorders>
            <w:shd w:val="clear" w:color="auto" w:fill="auto"/>
            <w:vAlign w:val="center"/>
          </w:tcPr>
          <w:p w14:paraId="32A42E8F" w14:textId="77777777" w:rsidR="00EC3775" w:rsidRPr="008E63BB" w:rsidRDefault="00EC3775" w:rsidP="00EC3775">
            <w:pPr>
              <w:jc w:val="right"/>
              <w:rPr>
                <w:rFonts w:eastAsia="Times New Roman"/>
                <w:i/>
                <w:iCs/>
                <w:sz w:val="20"/>
                <w:szCs w:val="20"/>
              </w:rPr>
            </w:pPr>
          </w:p>
        </w:tc>
        <w:tc>
          <w:tcPr>
            <w:tcW w:w="1016" w:type="dxa"/>
            <w:tcBorders>
              <w:top w:val="nil"/>
              <w:left w:val="nil"/>
              <w:bottom w:val="single" w:sz="4" w:space="0" w:color="auto"/>
              <w:right w:val="single" w:sz="4" w:space="0" w:color="auto"/>
            </w:tcBorders>
            <w:shd w:val="clear" w:color="auto" w:fill="auto"/>
            <w:vAlign w:val="center"/>
          </w:tcPr>
          <w:p w14:paraId="2AB22EAB" w14:textId="77777777" w:rsidR="00EC3775" w:rsidRPr="008E63BB" w:rsidRDefault="00EC3775" w:rsidP="00EC3775">
            <w:pPr>
              <w:jc w:val="right"/>
              <w:rPr>
                <w:rFonts w:eastAsia="Times New Roman"/>
                <w:i/>
                <w:iCs/>
                <w:sz w:val="20"/>
                <w:szCs w:val="20"/>
              </w:rPr>
            </w:pPr>
            <w:r w:rsidRPr="008E63BB">
              <w:rPr>
                <w:rFonts w:eastAsia="Times New Roman"/>
                <w:i/>
                <w:iCs/>
                <w:sz w:val="20"/>
                <w:szCs w:val="20"/>
              </w:rPr>
              <w:t>1.164,40</w:t>
            </w:r>
          </w:p>
          <w:p w14:paraId="5F9AE8F5"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4E7E402" w14:textId="77777777" w:rsidR="00EC3775" w:rsidRPr="008E63BB" w:rsidRDefault="00EC3775" w:rsidP="00EC3775">
            <w:pPr>
              <w:jc w:val="right"/>
              <w:rPr>
                <w:rFonts w:eastAsia="Times New Roman"/>
                <w:i/>
                <w:iCs/>
                <w:sz w:val="20"/>
                <w:szCs w:val="20"/>
              </w:rPr>
            </w:pP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14:paraId="5F22F4DF" w14:textId="23FF0986" w:rsidR="00EC3775" w:rsidRPr="008E63BB" w:rsidRDefault="00EC3775" w:rsidP="00EC3775">
            <w:pPr>
              <w:jc w:val="right"/>
              <w:rPr>
                <w:rFonts w:eastAsia="Times New Roman"/>
                <w:i/>
                <w:iCs/>
                <w:sz w:val="20"/>
                <w:szCs w:val="20"/>
              </w:rPr>
            </w:pPr>
            <w:r w:rsidRPr="008E63BB">
              <w:rPr>
                <w:rFonts w:eastAsia="Times New Roman"/>
                <w:i/>
                <w:iCs/>
                <w:sz w:val="20"/>
                <w:szCs w:val="20"/>
              </w:rPr>
              <w:t>2.035,85</w:t>
            </w:r>
          </w:p>
        </w:tc>
        <w:tc>
          <w:tcPr>
            <w:tcW w:w="766" w:type="dxa"/>
            <w:tcBorders>
              <w:top w:val="nil"/>
              <w:left w:val="nil"/>
              <w:bottom w:val="single" w:sz="4" w:space="0" w:color="auto"/>
              <w:right w:val="single" w:sz="4" w:space="0" w:color="auto"/>
            </w:tcBorders>
            <w:shd w:val="clear" w:color="auto" w:fill="auto"/>
            <w:vAlign w:val="center"/>
          </w:tcPr>
          <w:p w14:paraId="5B18E82D"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658FE607" w14:textId="77777777" w:rsidR="00EC3775" w:rsidRPr="008E63BB" w:rsidRDefault="00EC3775" w:rsidP="00EC3775">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noWrap/>
            <w:vAlign w:val="center"/>
          </w:tcPr>
          <w:p w14:paraId="5C789905" w14:textId="3ECD3EA9" w:rsidR="00EC3775" w:rsidRPr="008E63BB" w:rsidRDefault="00EC3775" w:rsidP="00EC3775">
            <w:pPr>
              <w:jc w:val="right"/>
              <w:rPr>
                <w:rFonts w:eastAsia="Times New Roman"/>
                <w:i/>
                <w:iCs/>
                <w:sz w:val="20"/>
                <w:szCs w:val="20"/>
              </w:rPr>
            </w:pPr>
            <w:r w:rsidRPr="008E63BB">
              <w:rPr>
                <w:i/>
                <w:iCs/>
                <w:sz w:val="20"/>
                <w:szCs w:val="20"/>
              </w:rPr>
              <w:t>1.337,98</w:t>
            </w:r>
          </w:p>
        </w:tc>
        <w:tc>
          <w:tcPr>
            <w:tcW w:w="766" w:type="dxa"/>
            <w:tcBorders>
              <w:top w:val="nil"/>
              <w:left w:val="nil"/>
              <w:bottom w:val="single" w:sz="4" w:space="0" w:color="auto"/>
              <w:right w:val="single" w:sz="4" w:space="0" w:color="auto"/>
            </w:tcBorders>
            <w:shd w:val="clear" w:color="auto" w:fill="auto"/>
            <w:vAlign w:val="center"/>
          </w:tcPr>
          <w:p w14:paraId="19934609"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41F28C5B" w14:textId="77777777" w:rsidR="00EC3775" w:rsidRPr="008E63BB" w:rsidRDefault="00EC3775" w:rsidP="00EC3775">
            <w:pPr>
              <w:jc w:val="right"/>
              <w:rPr>
                <w:rFonts w:eastAsia="Times New Roman"/>
                <w:i/>
                <w:iCs/>
                <w:sz w:val="20"/>
                <w:szCs w:val="20"/>
              </w:rPr>
            </w:pPr>
          </w:p>
        </w:tc>
        <w:tc>
          <w:tcPr>
            <w:tcW w:w="916" w:type="dxa"/>
            <w:gridSpan w:val="2"/>
            <w:tcBorders>
              <w:top w:val="nil"/>
              <w:left w:val="nil"/>
              <w:bottom w:val="single" w:sz="4" w:space="0" w:color="auto"/>
              <w:right w:val="single" w:sz="4" w:space="0" w:color="auto"/>
            </w:tcBorders>
            <w:shd w:val="clear" w:color="auto" w:fill="auto"/>
            <w:noWrap/>
            <w:vAlign w:val="center"/>
          </w:tcPr>
          <w:p w14:paraId="10FF44AC" w14:textId="2328BEEF" w:rsidR="00EC3775" w:rsidRPr="008E63BB" w:rsidRDefault="00EC3775" w:rsidP="00EC3775">
            <w:pPr>
              <w:jc w:val="right"/>
              <w:rPr>
                <w:rFonts w:eastAsia="Times New Roman"/>
                <w:i/>
                <w:iCs/>
                <w:sz w:val="20"/>
                <w:szCs w:val="20"/>
              </w:rPr>
            </w:pPr>
            <w:r w:rsidRPr="008E63BB">
              <w:rPr>
                <w:i/>
                <w:iCs/>
                <w:sz w:val="20"/>
                <w:szCs w:val="20"/>
              </w:rPr>
              <w:t>697,87</w:t>
            </w:r>
          </w:p>
        </w:tc>
      </w:tr>
      <w:tr w:rsidR="00EC3775" w:rsidRPr="008E63BB" w14:paraId="612EC7C9"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tcPr>
          <w:p w14:paraId="4F4C606B" w14:textId="64716328" w:rsidR="00EC3775" w:rsidRPr="008E63BB" w:rsidRDefault="00EC3775" w:rsidP="00EC3775">
            <w:pPr>
              <w:jc w:val="right"/>
              <w:rPr>
                <w:rFonts w:eastAsia="Times New Roman"/>
                <w:i/>
                <w:iCs/>
                <w:sz w:val="20"/>
                <w:szCs w:val="20"/>
              </w:rPr>
            </w:pPr>
            <w:r w:rsidRPr="008E63BB">
              <w:rPr>
                <w:rFonts w:eastAsia="Times New Roman"/>
                <w:i/>
                <w:iCs/>
                <w:sz w:val="20"/>
                <w:szCs w:val="20"/>
              </w:rPr>
              <w:t>-</w:t>
            </w:r>
          </w:p>
        </w:tc>
        <w:tc>
          <w:tcPr>
            <w:tcW w:w="2831" w:type="dxa"/>
            <w:tcBorders>
              <w:top w:val="nil"/>
              <w:left w:val="nil"/>
              <w:bottom w:val="single" w:sz="4" w:space="0" w:color="auto"/>
              <w:right w:val="single" w:sz="4" w:space="0" w:color="auto"/>
            </w:tcBorders>
            <w:shd w:val="clear" w:color="auto" w:fill="auto"/>
            <w:vAlign w:val="center"/>
          </w:tcPr>
          <w:p w14:paraId="401BC003" w14:textId="4AF9A952" w:rsidR="00EC3775" w:rsidRPr="008E63BB" w:rsidRDefault="00EC3775" w:rsidP="00EC3775">
            <w:pPr>
              <w:jc w:val="left"/>
              <w:rPr>
                <w:rFonts w:eastAsia="Times New Roman"/>
                <w:i/>
                <w:iCs/>
                <w:sz w:val="20"/>
                <w:szCs w:val="20"/>
              </w:rPr>
            </w:pPr>
            <w:r w:rsidRPr="008E63BB">
              <w:rPr>
                <w:rFonts w:eastAsia="Times New Roman"/>
                <w:i/>
                <w:iCs/>
                <w:sz w:val="20"/>
                <w:szCs w:val="20"/>
              </w:rPr>
              <w:t>Đất ở phát triển mới</w:t>
            </w:r>
          </w:p>
        </w:tc>
        <w:tc>
          <w:tcPr>
            <w:tcW w:w="1016" w:type="dxa"/>
            <w:tcBorders>
              <w:top w:val="nil"/>
              <w:left w:val="nil"/>
              <w:bottom w:val="single" w:sz="4" w:space="0" w:color="auto"/>
              <w:right w:val="single" w:sz="4" w:space="0" w:color="auto"/>
            </w:tcBorders>
            <w:shd w:val="clear" w:color="auto" w:fill="auto"/>
            <w:vAlign w:val="center"/>
          </w:tcPr>
          <w:p w14:paraId="03A21673"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7C43E7B4"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41CF1DB" w14:textId="77777777" w:rsidR="00EC3775" w:rsidRPr="008E63BB" w:rsidRDefault="00EC3775" w:rsidP="00EC3775">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vAlign w:val="center"/>
          </w:tcPr>
          <w:p w14:paraId="757735FF"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795F76DD" w14:textId="77777777" w:rsidR="00EC3775" w:rsidRPr="008E63BB" w:rsidRDefault="00EC3775" w:rsidP="00EC3775">
            <w:pPr>
              <w:jc w:val="right"/>
              <w:rPr>
                <w:rFonts w:eastAsia="Times New Roman"/>
                <w:i/>
                <w:iCs/>
                <w:sz w:val="20"/>
                <w:szCs w:val="20"/>
              </w:rPr>
            </w:pPr>
          </w:p>
        </w:tc>
        <w:tc>
          <w:tcPr>
            <w:tcW w:w="686" w:type="dxa"/>
            <w:tcBorders>
              <w:top w:val="nil"/>
              <w:left w:val="nil"/>
              <w:bottom w:val="single" w:sz="4" w:space="0" w:color="auto"/>
              <w:right w:val="single" w:sz="4" w:space="0" w:color="auto"/>
            </w:tcBorders>
            <w:shd w:val="clear" w:color="auto" w:fill="auto"/>
            <w:vAlign w:val="center"/>
          </w:tcPr>
          <w:p w14:paraId="5E5FE69B" w14:textId="77777777" w:rsidR="00EC3775" w:rsidRPr="008E63BB" w:rsidRDefault="00EC3775" w:rsidP="00EC3775">
            <w:pPr>
              <w:jc w:val="right"/>
              <w:rPr>
                <w:rFonts w:eastAsia="Times New Roman"/>
                <w:i/>
                <w:iCs/>
                <w:sz w:val="20"/>
                <w:szCs w:val="20"/>
              </w:rPr>
            </w:pPr>
          </w:p>
        </w:tc>
        <w:tc>
          <w:tcPr>
            <w:tcW w:w="1016" w:type="dxa"/>
            <w:tcBorders>
              <w:top w:val="nil"/>
              <w:left w:val="nil"/>
              <w:bottom w:val="single" w:sz="4" w:space="0" w:color="auto"/>
              <w:right w:val="single" w:sz="4" w:space="0" w:color="auto"/>
            </w:tcBorders>
            <w:shd w:val="clear" w:color="auto" w:fill="auto"/>
            <w:vAlign w:val="center"/>
          </w:tcPr>
          <w:p w14:paraId="201EBEEC"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68F2BD0" w14:textId="77777777" w:rsidR="00EC3775" w:rsidRPr="008E63BB" w:rsidRDefault="00EC3775" w:rsidP="00EC3775">
            <w:pPr>
              <w:jc w:val="right"/>
              <w:rPr>
                <w:rFonts w:eastAsia="Times New Roman"/>
                <w:i/>
                <w:iCs/>
                <w:sz w:val="20"/>
                <w:szCs w:val="20"/>
              </w:rPr>
            </w:pP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14:paraId="4D90C0B9" w14:textId="5B53B689" w:rsidR="00EC3775" w:rsidRPr="008E63BB" w:rsidRDefault="00EC3775" w:rsidP="00EC3775">
            <w:pPr>
              <w:jc w:val="right"/>
              <w:rPr>
                <w:rFonts w:eastAsia="Times New Roman"/>
                <w:i/>
                <w:iCs/>
                <w:sz w:val="20"/>
                <w:szCs w:val="20"/>
              </w:rPr>
            </w:pPr>
            <w:r w:rsidRPr="008E63BB">
              <w:rPr>
                <w:rFonts w:eastAsia="Times New Roman"/>
                <w:i/>
                <w:iCs/>
                <w:sz w:val="20"/>
                <w:szCs w:val="20"/>
              </w:rPr>
              <w:t>669,29</w:t>
            </w:r>
          </w:p>
        </w:tc>
        <w:tc>
          <w:tcPr>
            <w:tcW w:w="766" w:type="dxa"/>
            <w:tcBorders>
              <w:top w:val="nil"/>
              <w:left w:val="nil"/>
              <w:bottom w:val="single" w:sz="4" w:space="0" w:color="auto"/>
              <w:right w:val="single" w:sz="4" w:space="0" w:color="auto"/>
            </w:tcBorders>
            <w:shd w:val="clear" w:color="auto" w:fill="auto"/>
            <w:vAlign w:val="center"/>
          </w:tcPr>
          <w:p w14:paraId="453E6434"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0597076B" w14:textId="77777777" w:rsidR="00EC3775" w:rsidRPr="008E63BB" w:rsidRDefault="00EC3775" w:rsidP="00EC3775">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noWrap/>
            <w:vAlign w:val="center"/>
          </w:tcPr>
          <w:p w14:paraId="0E045643" w14:textId="62E9B135" w:rsidR="00EC3775" w:rsidRPr="008E63BB" w:rsidRDefault="00EC3775" w:rsidP="00EC3775">
            <w:pPr>
              <w:jc w:val="right"/>
              <w:rPr>
                <w:rFonts w:eastAsia="Times New Roman"/>
                <w:i/>
                <w:iCs/>
                <w:sz w:val="20"/>
                <w:szCs w:val="20"/>
              </w:rPr>
            </w:pPr>
            <w:r w:rsidRPr="008E63BB">
              <w:rPr>
                <w:i/>
                <w:iCs/>
                <w:sz w:val="20"/>
                <w:szCs w:val="20"/>
              </w:rPr>
              <w:t>620,75</w:t>
            </w:r>
          </w:p>
        </w:tc>
        <w:tc>
          <w:tcPr>
            <w:tcW w:w="766" w:type="dxa"/>
            <w:tcBorders>
              <w:top w:val="nil"/>
              <w:left w:val="nil"/>
              <w:bottom w:val="single" w:sz="4" w:space="0" w:color="auto"/>
              <w:right w:val="single" w:sz="4" w:space="0" w:color="auto"/>
            </w:tcBorders>
            <w:shd w:val="clear" w:color="auto" w:fill="auto"/>
            <w:vAlign w:val="center"/>
          </w:tcPr>
          <w:p w14:paraId="576DF944" w14:textId="77777777" w:rsidR="00EC3775" w:rsidRPr="008E63BB" w:rsidRDefault="00EC3775" w:rsidP="00EC3775">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310096FF" w14:textId="77777777" w:rsidR="00EC3775" w:rsidRPr="008E63BB" w:rsidRDefault="00EC3775" w:rsidP="00EC3775">
            <w:pPr>
              <w:jc w:val="right"/>
              <w:rPr>
                <w:rFonts w:eastAsia="Times New Roman"/>
                <w:i/>
                <w:iCs/>
                <w:sz w:val="20"/>
                <w:szCs w:val="20"/>
              </w:rPr>
            </w:pPr>
          </w:p>
        </w:tc>
        <w:tc>
          <w:tcPr>
            <w:tcW w:w="916" w:type="dxa"/>
            <w:gridSpan w:val="2"/>
            <w:tcBorders>
              <w:top w:val="nil"/>
              <w:left w:val="nil"/>
              <w:bottom w:val="single" w:sz="4" w:space="0" w:color="auto"/>
              <w:right w:val="single" w:sz="4" w:space="0" w:color="auto"/>
            </w:tcBorders>
            <w:shd w:val="clear" w:color="auto" w:fill="auto"/>
            <w:noWrap/>
            <w:vAlign w:val="center"/>
          </w:tcPr>
          <w:p w14:paraId="7EAD80AF" w14:textId="6D31A6EC" w:rsidR="00EC3775" w:rsidRPr="008E63BB" w:rsidRDefault="00EC3775" w:rsidP="00EC3775">
            <w:pPr>
              <w:jc w:val="right"/>
              <w:rPr>
                <w:rFonts w:eastAsia="Times New Roman"/>
                <w:i/>
                <w:iCs/>
                <w:sz w:val="20"/>
                <w:szCs w:val="20"/>
              </w:rPr>
            </w:pPr>
            <w:r w:rsidRPr="008E63BB">
              <w:rPr>
                <w:i/>
                <w:iCs/>
                <w:sz w:val="20"/>
                <w:szCs w:val="20"/>
              </w:rPr>
              <w:t>48,55</w:t>
            </w:r>
          </w:p>
        </w:tc>
      </w:tr>
      <w:tr w:rsidR="00E63C68" w:rsidRPr="008E63BB" w14:paraId="519B359A"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89" w14:textId="77777777" w:rsidR="00E63C68" w:rsidRPr="008E63BB" w:rsidRDefault="00E63C68" w:rsidP="00E63C68">
            <w:pPr>
              <w:jc w:val="center"/>
              <w:rPr>
                <w:rFonts w:eastAsia="Times New Roman"/>
                <w:sz w:val="20"/>
                <w:szCs w:val="20"/>
              </w:rPr>
            </w:pPr>
            <w:r w:rsidRPr="008E63BB">
              <w:rPr>
                <w:rFonts w:eastAsia="Times New Roman"/>
                <w:sz w:val="20"/>
                <w:szCs w:val="20"/>
              </w:rPr>
              <w:t>2</w:t>
            </w:r>
          </w:p>
        </w:tc>
        <w:tc>
          <w:tcPr>
            <w:tcW w:w="2831" w:type="dxa"/>
            <w:tcBorders>
              <w:top w:val="nil"/>
              <w:left w:val="nil"/>
              <w:bottom w:val="single" w:sz="4" w:space="0" w:color="auto"/>
              <w:right w:val="single" w:sz="4" w:space="0" w:color="auto"/>
            </w:tcBorders>
            <w:shd w:val="clear" w:color="auto" w:fill="auto"/>
            <w:vAlign w:val="center"/>
            <w:hideMark/>
          </w:tcPr>
          <w:p w14:paraId="519B358A" w14:textId="77777777" w:rsidR="00E63C68" w:rsidRPr="008E63BB" w:rsidRDefault="00E63C68" w:rsidP="00E63C68">
            <w:pPr>
              <w:jc w:val="left"/>
              <w:rPr>
                <w:rFonts w:eastAsia="Times New Roman"/>
                <w:sz w:val="20"/>
                <w:szCs w:val="20"/>
              </w:rPr>
            </w:pPr>
            <w:r w:rsidRPr="008E63BB">
              <w:rPr>
                <w:rFonts w:eastAsia="Times New Roman"/>
                <w:sz w:val="20"/>
                <w:szCs w:val="20"/>
              </w:rPr>
              <w:t>Đất công trình dịch vụ - công cộng đô thị</w:t>
            </w:r>
          </w:p>
        </w:tc>
        <w:tc>
          <w:tcPr>
            <w:tcW w:w="1016" w:type="dxa"/>
            <w:tcBorders>
              <w:top w:val="nil"/>
              <w:left w:val="nil"/>
              <w:bottom w:val="single" w:sz="4" w:space="0" w:color="auto"/>
              <w:right w:val="single" w:sz="4" w:space="0" w:color="auto"/>
            </w:tcBorders>
            <w:shd w:val="clear" w:color="auto" w:fill="auto"/>
            <w:vAlign w:val="center"/>
            <w:hideMark/>
          </w:tcPr>
          <w:p w14:paraId="519B358B" w14:textId="77777777" w:rsidR="00E63C68" w:rsidRPr="008E63BB" w:rsidRDefault="00E63C68" w:rsidP="00E63C68">
            <w:pPr>
              <w:jc w:val="right"/>
              <w:rPr>
                <w:rFonts w:eastAsia="Times New Roman"/>
                <w:sz w:val="20"/>
                <w:szCs w:val="20"/>
              </w:rPr>
            </w:pPr>
            <w:r w:rsidRPr="008E63BB">
              <w:rPr>
                <w:rFonts w:eastAsia="Times New Roman"/>
                <w:sz w:val="20"/>
                <w:szCs w:val="20"/>
              </w:rPr>
              <w:t>158,45</w:t>
            </w:r>
          </w:p>
        </w:tc>
        <w:tc>
          <w:tcPr>
            <w:tcW w:w="766" w:type="dxa"/>
            <w:tcBorders>
              <w:top w:val="nil"/>
              <w:left w:val="nil"/>
              <w:bottom w:val="single" w:sz="4" w:space="0" w:color="auto"/>
              <w:right w:val="single" w:sz="4" w:space="0" w:color="auto"/>
            </w:tcBorders>
            <w:shd w:val="clear" w:color="auto" w:fill="auto"/>
            <w:vAlign w:val="center"/>
            <w:hideMark/>
          </w:tcPr>
          <w:p w14:paraId="519B358C" w14:textId="77777777" w:rsidR="00E63C68" w:rsidRPr="008E63BB" w:rsidRDefault="00E63C68" w:rsidP="00E63C68">
            <w:pPr>
              <w:jc w:val="right"/>
              <w:rPr>
                <w:rFonts w:eastAsia="Times New Roman"/>
                <w:sz w:val="20"/>
                <w:szCs w:val="20"/>
              </w:rPr>
            </w:pPr>
            <w:r w:rsidRPr="008E63BB">
              <w:rPr>
                <w:rFonts w:eastAsia="Times New Roman"/>
                <w:sz w:val="20"/>
                <w:szCs w:val="20"/>
              </w:rPr>
              <w:t>3,11</w:t>
            </w:r>
          </w:p>
        </w:tc>
        <w:tc>
          <w:tcPr>
            <w:tcW w:w="766" w:type="dxa"/>
            <w:tcBorders>
              <w:top w:val="nil"/>
              <w:left w:val="nil"/>
              <w:bottom w:val="single" w:sz="4" w:space="0" w:color="auto"/>
              <w:right w:val="single" w:sz="4" w:space="0" w:color="auto"/>
            </w:tcBorders>
            <w:shd w:val="clear" w:color="auto" w:fill="auto"/>
            <w:vAlign w:val="center"/>
            <w:hideMark/>
          </w:tcPr>
          <w:p w14:paraId="519B358D" w14:textId="77777777" w:rsidR="00E63C68" w:rsidRPr="008E63BB" w:rsidRDefault="00E63C68" w:rsidP="00E63C68">
            <w:pPr>
              <w:jc w:val="right"/>
              <w:rPr>
                <w:rFonts w:eastAsia="Times New Roman"/>
                <w:sz w:val="20"/>
                <w:szCs w:val="20"/>
              </w:rPr>
            </w:pPr>
            <w:r w:rsidRPr="008E63BB">
              <w:rPr>
                <w:rFonts w:eastAsia="Times New Roman"/>
                <w:sz w:val="20"/>
                <w:szCs w:val="20"/>
              </w:rPr>
              <w:t>4,09</w:t>
            </w:r>
          </w:p>
        </w:tc>
        <w:tc>
          <w:tcPr>
            <w:tcW w:w="916" w:type="dxa"/>
            <w:tcBorders>
              <w:top w:val="nil"/>
              <w:left w:val="nil"/>
              <w:bottom w:val="single" w:sz="4" w:space="0" w:color="auto"/>
              <w:right w:val="single" w:sz="4" w:space="0" w:color="auto"/>
            </w:tcBorders>
            <w:shd w:val="clear" w:color="auto" w:fill="auto"/>
            <w:vAlign w:val="center"/>
            <w:hideMark/>
          </w:tcPr>
          <w:p w14:paraId="519B358E" w14:textId="77777777" w:rsidR="00E63C68" w:rsidRPr="008E63BB" w:rsidRDefault="00E63C68" w:rsidP="00E63C68">
            <w:pPr>
              <w:jc w:val="right"/>
              <w:rPr>
                <w:rFonts w:eastAsia="Times New Roman"/>
                <w:sz w:val="20"/>
                <w:szCs w:val="20"/>
              </w:rPr>
            </w:pPr>
            <w:r w:rsidRPr="008E63BB">
              <w:rPr>
                <w:rFonts w:eastAsia="Times New Roman"/>
                <w:sz w:val="20"/>
                <w:szCs w:val="20"/>
              </w:rPr>
              <w:t>70,00</w:t>
            </w:r>
          </w:p>
        </w:tc>
        <w:tc>
          <w:tcPr>
            <w:tcW w:w="766" w:type="dxa"/>
            <w:tcBorders>
              <w:top w:val="nil"/>
              <w:left w:val="nil"/>
              <w:bottom w:val="single" w:sz="4" w:space="0" w:color="auto"/>
              <w:right w:val="single" w:sz="4" w:space="0" w:color="auto"/>
            </w:tcBorders>
            <w:shd w:val="clear" w:color="auto" w:fill="auto"/>
            <w:vAlign w:val="center"/>
            <w:hideMark/>
          </w:tcPr>
          <w:p w14:paraId="519B358F" w14:textId="77777777" w:rsidR="00E63C68" w:rsidRPr="008E63BB" w:rsidRDefault="00E63C68" w:rsidP="00E63C68">
            <w:pPr>
              <w:jc w:val="right"/>
              <w:rPr>
                <w:rFonts w:eastAsia="Times New Roman"/>
                <w:sz w:val="20"/>
                <w:szCs w:val="20"/>
              </w:rPr>
            </w:pPr>
            <w:r w:rsidRPr="008E63BB">
              <w:rPr>
                <w:rFonts w:eastAsia="Times New Roman"/>
                <w:sz w:val="20"/>
                <w:szCs w:val="20"/>
              </w:rPr>
              <w:t>6,37</w:t>
            </w:r>
          </w:p>
        </w:tc>
        <w:tc>
          <w:tcPr>
            <w:tcW w:w="686" w:type="dxa"/>
            <w:tcBorders>
              <w:top w:val="nil"/>
              <w:left w:val="nil"/>
              <w:bottom w:val="single" w:sz="4" w:space="0" w:color="auto"/>
              <w:right w:val="single" w:sz="4" w:space="0" w:color="auto"/>
            </w:tcBorders>
            <w:shd w:val="clear" w:color="auto" w:fill="auto"/>
            <w:vAlign w:val="center"/>
            <w:hideMark/>
          </w:tcPr>
          <w:p w14:paraId="519B3590" w14:textId="77777777" w:rsidR="00E63C68" w:rsidRPr="008E63BB" w:rsidRDefault="00E63C68" w:rsidP="00E63C68">
            <w:pPr>
              <w:jc w:val="right"/>
              <w:rPr>
                <w:rFonts w:eastAsia="Times New Roman"/>
                <w:sz w:val="20"/>
                <w:szCs w:val="20"/>
              </w:rPr>
            </w:pPr>
            <w:r w:rsidRPr="008E63BB">
              <w:rPr>
                <w:rFonts w:eastAsia="Times New Roman"/>
                <w:sz w:val="20"/>
                <w:szCs w:val="20"/>
              </w:rPr>
              <w:t>2,97</w:t>
            </w:r>
          </w:p>
        </w:tc>
        <w:tc>
          <w:tcPr>
            <w:tcW w:w="1016" w:type="dxa"/>
            <w:tcBorders>
              <w:top w:val="nil"/>
              <w:left w:val="nil"/>
              <w:bottom w:val="single" w:sz="4" w:space="0" w:color="auto"/>
              <w:right w:val="single" w:sz="4" w:space="0" w:color="auto"/>
            </w:tcBorders>
            <w:shd w:val="clear" w:color="auto" w:fill="auto"/>
            <w:vAlign w:val="center"/>
            <w:hideMark/>
          </w:tcPr>
          <w:p w14:paraId="519B3591" w14:textId="77777777" w:rsidR="00E63C68" w:rsidRPr="008E63BB" w:rsidRDefault="00E63C68" w:rsidP="00E63C68">
            <w:pPr>
              <w:jc w:val="right"/>
              <w:rPr>
                <w:rFonts w:eastAsia="Times New Roman"/>
                <w:sz w:val="20"/>
                <w:szCs w:val="20"/>
              </w:rPr>
            </w:pPr>
            <w:r w:rsidRPr="008E63BB">
              <w:rPr>
                <w:rFonts w:eastAsia="Times New Roman"/>
                <w:sz w:val="20"/>
                <w:szCs w:val="20"/>
              </w:rPr>
              <w:t>88,45</w:t>
            </w:r>
          </w:p>
        </w:tc>
        <w:tc>
          <w:tcPr>
            <w:tcW w:w="766" w:type="dxa"/>
            <w:tcBorders>
              <w:top w:val="nil"/>
              <w:left w:val="nil"/>
              <w:bottom w:val="single" w:sz="4" w:space="0" w:color="auto"/>
              <w:right w:val="single" w:sz="4" w:space="0" w:color="auto"/>
            </w:tcBorders>
            <w:shd w:val="clear" w:color="auto" w:fill="auto"/>
            <w:vAlign w:val="center"/>
            <w:hideMark/>
          </w:tcPr>
          <w:p w14:paraId="519B3592" w14:textId="77777777" w:rsidR="00E63C68" w:rsidRPr="008E63BB" w:rsidRDefault="00E63C68" w:rsidP="00E63C68">
            <w:pPr>
              <w:jc w:val="right"/>
              <w:rPr>
                <w:rFonts w:eastAsia="Times New Roman"/>
                <w:sz w:val="20"/>
                <w:szCs w:val="20"/>
              </w:rPr>
            </w:pPr>
            <w:r w:rsidRPr="008E63BB">
              <w:rPr>
                <w:rFonts w:eastAsia="Times New Roman"/>
                <w:sz w:val="20"/>
                <w:szCs w:val="20"/>
              </w:rPr>
              <w:t>3,52</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93" w14:textId="77777777" w:rsidR="00E63C68" w:rsidRPr="008E63BB" w:rsidRDefault="00E63C68" w:rsidP="00E63C68">
            <w:pPr>
              <w:jc w:val="right"/>
              <w:rPr>
                <w:rFonts w:eastAsia="Times New Roman"/>
                <w:sz w:val="20"/>
                <w:szCs w:val="20"/>
              </w:rPr>
            </w:pPr>
            <w:r w:rsidRPr="008E63BB">
              <w:rPr>
                <w:rFonts w:eastAsia="Times New Roman"/>
                <w:sz w:val="20"/>
                <w:szCs w:val="20"/>
              </w:rPr>
              <w:t>216,70</w:t>
            </w:r>
          </w:p>
        </w:tc>
        <w:tc>
          <w:tcPr>
            <w:tcW w:w="766" w:type="dxa"/>
            <w:tcBorders>
              <w:top w:val="nil"/>
              <w:left w:val="nil"/>
              <w:bottom w:val="single" w:sz="4" w:space="0" w:color="auto"/>
              <w:right w:val="single" w:sz="4" w:space="0" w:color="auto"/>
            </w:tcBorders>
            <w:shd w:val="clear" w:color="auto" w:fill="auto"/>
            <w:vAlign w:val="center"/>
            <w:hideMark/>
          </w:tcPr>
          <w:p w14:paraId="519B3594" w14:textId="77777777" w:rsidR="00E63C68" w:rsidRPr="008E63BB" w:rsidRDefault="00E63C68" w:rsidP="00E63C68">
            <w:pPr>
              <w:jc w:val="right"/>
              <w:rPr>
                <w:rFonts w:eastAsia="Times New Roman"/>
                <w:sz w:val="20"/>
                <w:szCs w:val="20"/>
              </w:rPr>
            </w:pPr>
            <w:r w:rsidRPr="008E63BB">
              <w:rPr>
                <w:rFonts w:eastAsia="Times New Roman"/>
                <w:sz w:val="20"/>
                <w:szCs w:val="20"/>
              </w:rPr>
              <w:t>2,60</w:t>
            </w:r>
          </w:p>
        </w:tc>
        <w:tc>
          <w:tcPr>
            <w:tcW w:w="766" w:type="dxa"/>
            <w:tcBorders>
              <w:top w:val="nil"/>
              <w:left w:val="nil"/>
              <w:bottom w:val="single" w:sz="4" w:space="0" w:color="auto"/>
              <w:right w:val="single" w:sz="4" w:space="0" w:color="auto"/>
            </w:tcBorders>
            <w:shd w:val="clear" w:color="auto" w:fill="auto"/>
            <w:vAlign w:val="center"/>
            <w:hideMark/>
          </w:tcPr>
          <w:p w14:paraId="519B3595" w14:textId="77777777" w:rsidR="00E63C68" w:rsidRPr="008E63BB" w:rsidRDefault="00E63C68" w:rsidP="00E63C68">
            <w:pPr>
              <w:jc w:val="right"/>
              <w:rPr>
                <w:rFonts w:eastAsia="Times New Roman"/>
                <w:sz w:val="20"/>
                <w:szCs w:val="20"/>
              </w:rPr>
            </w:pPr>
            <w:r w:rsidRPr="008E63BB">
              <w:rPr>
                <w:rFonts w:eastAsia="Times New Roman"/>
                <w:sz w:val="20"/>
                <w:szCs w:val="20"/>
              </w:rPr>
              <w:t>3,61</w:t>
            </w:r>
          </w:p>
        </w:tc>
        <w:tc>
          <w:tcPr>
            <w:tcW w:w="916" w:type="dxa"/>
            <w:tcBorders>
              <w:top w:val="nil"/>
              <w:left w:val="nil"/>
              <w:bottom w:val="single" w:sz="4" w:space="0" w:color="auto"/>
              <w:right w:val="single" w:sz="4" w:space="0" w:color="auto"/>
            </w:tcBorders>
            <w:shd w:val="clear" w:color="auto" w:fill="auto"/>
            <w:vAlign w:val="center"/>
            <w:hideMark/>
          </w:tcPr>
          <w:p w14:paraId="519B3596" w14:textId="77777777" w:rsidR="00E63C68" w:rsidRPr="008E63BB" w:rsidRDefault="00E63C68" w:rsidP="00E63C68">
            <w:pPr>
              <w:jc w:val="right"/>
              <w:rPr>
                <w:rFonts w:eastAsia="Times New Roman"/>
                <w:sz w:val="20"/>
                <w:szCs w:val="20"/>
              </w:rPr>
            </w:pPr>
            <w:r w:rsidRPr="008E63BB">
              <w:rPr>
                <w:rFonts w:eastAsia="Times New Roman"/>
                <w:sz w:val="20"/>
                <w:szCs w:val="20"/>
              </w:rPr>
              <w:t>124,01</w:t>
            </w:r>
          </w:p>
        </w:tc>
        <w:tc>
          <w:tcPr>
            <w:tcW w:w="766" w:type="dxa"/>
            <w:tcBorders>
              <w:top w:val="nil"/>
              <w:left w:val="nil"/>
              <w:bottom w:val="single" w:sz="4" w:space="0" w:color="auto"/>
              <w:right w:val="single" w:sz="4" w:space="0" w:color="auto"/>
            </w:tcBorders>
            <w:shd w:val="clear" w:color="auto" w:fill="auto"/>
            <w:vAlign w:val="center"/>
            <w:hideMark/>
          </w:tcPr>
          <w:p w14:paraId="519B3597" w14:textId="77777777" w:rsidR="00E63C68" w:rsidRPr="008E63BB" w:rsidRDefault="00E63C68" w:rsidP="00E63C68">
            <w:pPr>
              <w:jc w:val="right"/>
              <w:rPr>
                <w:rFonts w:eastAsia="Times New Roman"/>
                <w:sz w:val="20"/>
                <w:szCs w:val="20"/>
              </w:rPr>
            </w:pPr>
            <w:r w:rsidRPr="008E63BB">
              <w:rPr>
                <w:rFonts w:eastAsia="Times New Roman"/>
                <w:sz w:val="20"/>
                <w:szCs w:val="20"/>
              </w:rPr>
              <w:t>2,35</w:t>
            </w:r>
          </w:p>
        </w:tc>
        <w:tc>
          <w:tcPr>
            <w:tcW w:w="766" w:type="dxa"/>
            <w:tcBorders>
              <w:top w:val="nil"/>
              <w:left w:val="nil"/>
              <w:bottom w:val="single" w:sz="4" w:space="0" w:color="auto"/>
              <w:right w:val="single" w:sz="4" w:space="0" w:color="auto"/>
            </w:tcBorders>
            <w:shd w:val="clear" w:color="auto" w:fill="auto"/>
            <w:vAlign w:val="center"/>
            <w:hideMark/>
          </w:tcPr>
          <w:p w14:paraId="519B3598" w14:textId="77777777" w:rsidR="00E63C68" w:rsidRPr="008E63BB" w:rsidRDefault="00E63C68" w:rsidP="00E63C68">
            <w:pPr>
              <w:jc w:val="right"/>
              <w:rPr>
                <w:rFonts w:eastAsia="Times New Roman"/>
                <w:sz w:val="20"/>
                <w:szCs w:val="20"/>
              </w:rPr>
            </w:pPr>
            <w:r w:rsidRPr="008E63BB">
              <w:rPr>
                <w:rFonts w:eastAsia="Times New Roman"/>
                <w:sz w:val="20"/>
                <w:szCs w:val="20"/>
              </w:rPr>
              <w:t>2,55</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99" w14:textId="77777777" w:rsidR="00E63C68" w:rsidRPr="008E63BB" w:rsidRDefault="00E63C68" w:rsidP="00E63C68">
            <w:pPr>
              <w:jc w:val="right"/>
              <w:rPr>
                <w:rFonts w:eastAsia="Times New Roman"/>
                <w:sz w:val="20"/>
                <w:szCs w:val="20"/>
              </w:rPr>
            </w:pPr>
            <w:r w:rsidRPr="008E63BB">
              <w:rPr>
                <w:rFonts w:eastAsia="Times New Roman"/>
                <w:sz w:val="20"/>
                <w:szCs w:val="20"/>
              </w:rPr>
              <w:t>92,69</w:t>
            </w:r>
          </w:p>
        </w:tc>
      </w:tr>
      <w:tr w:rsidR="00E63C68" w:rsidRPr="008E63BB" w14:paraId="519B35AC"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9B" w14:textId="77777777" w:rsidR="00E63C68" w:rsidRPr="008E63BB" w:rsidRDefault="00E63C68" w:rsidP="00E63C68">
            <w:pPr>
              <w:jc w:val="center"/>
              <w:rPr>
                <w:rFonts w:eastAsia="Times New Roman"/>
                <w:sz w:val="20"/>
                <w:szCs w:val="20"/>
              </w:rPr>
            </w:pPr>
            <w:r w:rsidRPr="008E63BB">
              <w:rPr>
                <w:rFonts w:eastAsia="Times New Roman"/>
                <w:sz w:val="20"/>
                <w:szCs w:val="20"/>
              </w:rPr>
              <w:t>3</w:t>
            </w:r>
          </w:p>
        </w:tc>
        <w:tc>
          <w:tcPr>
            <w:tcW w:w="2831" w:type="dxa"/>
            <w:tcBorders>
              <w:top w:val="nil"/>
              <w:left w:val="nil"/>
              <w:bottom w:val="single" w:sz="4" w:space="0" w:color="auto"/>
              <w:right w:val="single" w:sz="4" w:space="0" w:color="auto"/>
            </w:tcBorders>
            <w:shd w:val="clear" w:color="auto" w:fill="auto"/>
            <w:vAlign w:val="center"/>
            <w:hideMark/>
          </w:tcPr>
          <w:p w14:paraId="519B359C" w14:textId="77777777" w:rsidR="00E63C68" w:rsidRPr="008E63BB" w:rsidRDefault="00E63C68" w:rsidP="00E63C68">
            <w:pPr>
              <w:jc w:val="left"/>
              <w:rPr>
                <w:rFonts w:eastAsia="Times New Roman"/>
                <w:sz w:val="20"/>
                <w:szCs w:val="20"/>
              </w:rPr>
            </w:pPr>
            <w:r w:rsidRPr="008E63BB">
              <w:rPr>
                <w:rFonts w:eastAsia="Times New Roman"/>
                <w:sz w:val="20"/>
                <w:szCs w:val="20"/>
              </w:rPr>
              <w:t>Đất cây xanh đô thị</w:t>
            </w:r>
          </w:p>
        </w:tc>
        <w:tc>
          <w:tcPr>
            <w:tcW w:w="1016" w:type="dxa"/>
            <w:tcBorders>
              <w:top w:val="nil"/>
              <w:left w:val="nil"/>
              <w:bottom w:val="single" w:sz="4" w:space="0" w:color="auto"/>
              <w:right w:val="single" w:sz="4" w:space="0" w:color="auto"/>
            </w:tcBorders>
            <w:shd w:val="clear" w:color="auto" w:fill="auto"/>
            <w:vAlign w:val="center"/>
            <w:hideMark/>
          </w:tcPr>
          <w:p w14:paraId="519B359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144,03</w:t>
            </w:r>
          </w:p>
        </w:tc>
        <w:tc>
          <w:tcPr>
            <w:tcW w:w="766" w:type="dxa"/>
            <w:tcBorders>
              <w:top w:val="nil"/>
              <w:left w:val="nil"/>
              <w:bottom w:val="single" w:sz="4" w:space="0" w:color="auto"/>
              <w:right w:val="single" w:sz="4" w:space="0" w:color="auto"/>
            </w:tcBorders>
            <w:shd w:val="clear" w:color="auto" w:fill="auto"/>
            <w:vAlign w:val="center"/>
            <w:hideMark/>
          </w:tcPr>
          <w:p w14:paraId="519B359E" w14:textId="77777777" w:rsidR="00E63C68" w:rsidRPr="008E63BB" w:rsidRDefault="00E63C68" w:rsidP="00E63C68">
            <w:pPr>
              <w:jc w:val="right"/>
              <w:rPr>
                <w:rFonts w:eastAsia="Times New Roman"/>
                <w:sz w:val="20"/>
                <w:szCs w:val="20"/>
              </w:rPr>
            </w:pPr>
            <w:r w:rsidRPr="008E63BB">
              <w:rPr>
                <w:rFonts w:eastAsia="Times New Roman"/>
                <w:sz w:val="20"/>
                <w:szCs w:val="20"/>
              </w:rPr>
              <w:t>2,83</w:t>
            </w:r>
          </w:p>
        </w:tc>
        <w:tc>
          <w:tcPr>
            <w:tcW w:w="766" w:type="dxa"/>
            <w:tcBorders>
              <w:top w:val="nil"/>
              <w:left w:val="nil"/>
              <w:bottom w:val="single" w:sz="4" w:space="0" w:color="auto"/>
              <w:right w:val="single" w:sz="4" w:space="0" w:color="auto"/>
            </w:tcBorders>
            <w:shd w:val="clear" w:color="auto" w:fill="auto"/>
            <w:vAlign w:val="center"/>
            <w:hideMark/>
          </w:tcPr>
          <w:p w14:paraId="519B359F" w14:textId="77777777" w:rsidR="00E63C68" w:rsidRPr="008E63BB" w:rsidRDefault="00E63C68" w:rsidP="00E63C68">
            <w:pPr>
              <w:jc w:val="right"/>
              <w:rPr>
                <w:rFonts w:eastAsia="Times New Roman"/>
                <w:sz w:val="20"/>
                <w:szCs w:val="20"/>
              </w:rPr>
            </w:pPr>
            <w:r w:rsidRPr="008E63BB">
              <w:rPr>
                <w:rFonts w:eastAsia="Times New Roman"/>
                <w:sz w:val="20"/>
                <w:szCs w:val="20"/>
              </w:rPr>
              <w:t>3,72</w:t>
            </w:r>
          </w:p>
        </w:tc>
        <w:tc>
          <w:tcPr>
            <w:tcW w:w="916" w:type="dxa"/>
            <w:tcBorders>
              <w:top w:val="nil"/>
              <w:left w:val="nil"/>
              <w:bottom w:val="single" w:sz="4" w:space="0" w:color="auto"/>
              <w:right w:val="single" w:sz="4" w:space="0" w:color="auto"/>
            </w:tcBorders>
            <w:shd w:val="clear" w:color="auto" w:fill="auto"/>
            <w:vAlign w:val="center"/>
            <w:hideMark/>
          </w:tcPr>
          <w:p w14:paraId="519B35A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125,34</w:t>
            </w:r>
          </w:p>
        </w:tc>
        <w:tc>
          <w:tcPr>
            <w:tcW w:w="766" w:type="dxa"/>
            <w:tcBorders>
              <w:top w:val="nil"/>
              <w:left w:val="nil"/>
              <w:bottom w:val="single" w:sz="4" w:space="0" w:color="auto"/>
              <w:right w:val="single" w:sz="4" w:space="0" w:color="auto"/>
            </w:tcBorders>
            <w:shd w:val="clear" w:color="auto" w:fill="auto"/>
            <w:vAlign w:val="center"/>
            <w:hideMark/>
          </w:tcPr>
          <w:p w14:paraId="519B35A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3,28</w:t>
            </w:r>
          </w:p>
        </w:tc>
        <w:tc>
          <w:tcPr>
            <w:tcW w:w="686" w:type="dxa"/>
            <w:tcBorders>
              <w:top w:val="nil"/>
              <w:left w:val="nil"/>
              <w:bottom w:val="single" w:sz="4" w:space="0" w:color="auto"/>
              <w:right w:val="single" w:sz="4" w:space="0" w:color="auto"/>
            </w:tcBorders>
            <w:shd w:val="clear" w:color="auto" w:fill="auto"/>
            <w:vAlign w:val="center"/>
            <w:hideMark/>
          </w:tcPr>
          <w:p w14:paraId="519B35A2" w14:textId="77777777" w:rsidR="00E63C68" w:rsidRPr="008E63BB" w:rsidRDefault="00E63C68" w:rsidP="00E63C68">
            <w:pPr>
              <w:jc w:val="right"/>
              <w:rPr>
                <w:rFonts w:eastAsia="Times New Roman"/>
                <w:sz w:val="20"/>
                <w:szCs w:val="20"/>
              </w:rPr>
            </w:pPr>
            <w:r w:rsidRPr="008E63BB">
              <w:rPr>
                <w:rFonts w:eastAsia="Times New Roman"/>
                <w:sz w:val="20"/>
                <w:szCs w:val="20"/>
              </w:rPr>
              <w:t>5,31</w:t>
            </w:r>
          </w:p>
        </w:tc>
        <w:tc>
          <w:tcPr>
            <w:tcW w:w="1016" w:type="dxa"/>
            <w:tcBorders>
              <w:top w:val="nil"/>
              <w:left w:val="nil"/>
              <w:bottom w:val="single" w:sz="4" w:space="0" w:color="auto"/>
              <w:right w:val="single" w:sz="4" w:space="0" w:color="auto"/>
            </w:tcBorders>
            <w:shd w:val="clear" w:color="auto" w:fill="auto"/>
            <w:vAlign w:val="center"/>
            <w:hideMark/>
          </w:tcPr>
          <w:p w14:paraId="519B35A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18,69</w:t>
            </w:r>
          </w:p>
        </w:tc>
        <w:tc>
          <w:tcPr>
            <w:tcW w:w="766" w:type="dxa"/>
            <w:tcBorders>
              <w:top w:val="nil"/>
              <w:left w:val="nil"/>
              <w:bottom w:val="single" w:sz="4" w:space="0" w:color="auto"/>
              <w:right w:val="single" w:sz="4" w:space="0" w:color="auto"/>
            </w:tcBorders>
            <w:shd w:val="clear" w:color="auto" w:fill="auto"/>
            <w:vAlign w:val="center"/>
            <w:hideMark/>
          </w:tcPr>
          <w:p w14:paraId="519B35A4"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0,64</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A5" w14:textId="77777777" w:rsidR="00E63C68" w:rsidRPr="008E63BB" w:rsidRDefault="00E63C68" w:rsidP="00E63C68">
            <w:pPr>
              <w:jc w:val="right"/>
              <w:rPr>
                <w:rFonts w:eastAsia="Times New Roman"/>
                <w:sz w:val="20"/>
                <w:szCs w:val="20"/>
              </w:rPr>
            </w:pPr>
            <w:r w:rsidRPr="008E63BB">
              <w:rPr>
                <w:rFonts w:eastAsia="Times New Roman"/>
                <w:sz w:val="20"/>
                <w:szCs w:val="20"/>
              </w:rPr>
              <w:t>579,15</w:t>
            </w:r>
          </w:p>
        </w:tc>
        <w:tc>
          <w:tcPr>
            <w:tcW w:w="766" w:type="dxa"/>
            <w:tcBorders>
              <w:top w:val="nil"/>
              <w:left w:val="nil"/>
              <w:bottom w:val="single" w:sz="4" w:space="0" w:color="auto"/>
              <w:right w:val="single" w:sz="4" w:space="0" w:color="auto"/>
            </w:tcBorders>
            <w:shd w:val="clear" w:color="auto" w:fill="auto"/>
            <w:vAlign w:val="center"/>
            <w:hideMark/>
          </w:tcPr>
          <w:p w14:paraId="519B35A6" w14:textId="77777777" w:rsidR="00E63C68" w:rsidRPr="008E63BB" w:rsidRDefault="00E63C68" w:rsidP="00E63C68">
            <w:pPr>
              <w:jc w:val="right"/>
              <w:rPr>
                <w:rFonts w:eastAsia="Times New Roman"/>
                <w:sz w:val="20"/>
                <w:szCs w:val="20"/>
              </w:rPr>
            </w:pPr>
            <w:r w:rsidRPr="008E63BB">
              <w:rPr>
                <w:rFonts w:eastAsia="Times New Roman"/>
                <w:sz w:val="20"/>
                <w:szCs w:val="20"/>
              </w:rPr>
              <w:t>6,95</w:t>
            </w:r>
          </w:p>
        </w:tc>
        <w:tc>
          <w:tcPr>
            <w:tcW w:w="766" w:type="dxa"/>
            <w:tcBorders>
              <w:top w:val="nil"/>
              <w:left w:val="nil"/>
              <w:bottom w:val="single" w:sz="4" w:space="0" w:color="auto"/>
              <w:right w:val="single" w:sz="4" w:space="0" w:color="auto"/>
            </w:tcBorders>
            <w:shd w:val="clear" w:color="auto" w:fill="auto"/>
            <w:vAlign w:val="center"/>
            <w:hideMark/>
          </w:tcPr>
          <w:p w14:paraId="519B35A7" w14:textId="77777777" w:rsidR="00E63C68" w:rsidRPr="008E63BB" w:rsidRDefault="00E63C68" w:rsidP="00E63C68">
            <w:pPr>
              <w:jc w:val="right"/>
              <w:rPr>
                <w:rFonts w:eastAsia="Times New Roman"/>
                <w:sz w:val="20"/>
                <w:szCs w:val="20"/>
              </w:rPr>
            </w:pPr>
            <w:r w:rsidRPr="008E63BB">
              <w:rPr>
                <w:rFonts w:eastAsia="Times New Roman"/>
                <w:sz w:val="20"/>
                <w:szCs w:val="20"/>
              </w:rPr>
              <w:t>9,65</w:t>
            </w:r>
          </w:p>
        </w:tc>
        <w:tc>
          <w:tcPr>
            <w:tcW w:w="916" w:type="dxa"/>
            <w:tcBorders>
              <w:top w:val="nil"/>
              <w:left w:val="nil"/>
              <w:bottom w:val="single" w:sz="4" w:space="0" w:color="auto"/>
              <w:right w:val="single" w:sz="4" w:space="0" w:color="auto"/>
            </w:tcBorders>
            <w:shd w:val="clear" w:color="auto" w:fill="auto"/>
            <w:noWrap/>
            <w:vAlign w:val="center"/>
            <w:hideMark/>
          </w:tcPr>
          <w:p w14:paraId="519B35A8" w14:textId="77777777" w:rsidR="00E63C68" w:rsidRPr="008E63BB" w:rsidRDefault="00E63C68" w:rsidP="00E63C68">
            <w:pPr>
              <w:jc w:val="right"/>
              <w:rPr>
                <w:rFonts w:eastAsia="Times New Roman"/>
                <w:sz w:val="20"/>
                <w:szCs w:val="20"/>
              </w:rPr>
            </w:pPr>
            <w:r w:rsidRPr="008E63BB">
              <w:rPr>
                <w:rFonts w:eastAsia="Times New Roman"/>
                <w:sz w:val="20"/>
                <w:szCs w:val="20"/>
              </w:rPr>
              <w:t>303,05</w:t>
            </w:r>
          </w:p>
        </w:tc>
        <w:tc>
          <w:tcPr>
            <w:tcW w:w="766" w:type="dxa"/>
            <w:tcBorders>
              <w:top w:val="nil"/>
              <w:left w:val="nil"/>
              <w:bottom w:val="single" w:sz="4" w:space="0" w:color="auto"/>
              <w:right w:val="single" w:sz="4" w:space="0" w:color="auto"/>
            </w:tcBorders>
            <w:shd w:val="clear" w:color="auto" w:fill="auto"/>
            <w:vAlign w:val="center"/>
            <w:hideMark/>
          </w:tcPr>
          <w:p w14:paraId="519B35A9" w14:textId="77777777" w:rsidR="00E63C68" w:rsidRPr="008E63BB" w:rsidRDefault="00E63C68" w:rsidP="00E63C68">
            <w:pPr>
              <w:jc w:val="right"/>
              <w:rPr>
                <w:rFonts w:eastAsia="Times New Roman"/>
                <w:sz w:val="20"/>
                <w:szCs w:val="20"/>
              </w:rPr>
            </w:pPr>
            <w:r w:rsidRPr="008E63BB">
              <w:rPr>
                <w:rFonts w:eastAsia="Times New Roman"/>
                <w:sz w:val="20"/>
                <w:szCs w:val="20"/>
              </w:rPr>
              <w:t>5,74</w:t>
            </w:r>
          </w:p>
        </w:tc>
        <w:tc>
          <w:tcPr>
            <w:tcW w:w="766" w:type="dxa"/>
            <w:tcBorders>
              <w:top w:val="nil"/>
              <w:left w:val="nil"/>
              <w:bottom w:val="single" w:sz="4" w:space="0" w:color="auto"/>
              <w:right w:val="single" w:sz="4" w:space="0" w:color="auto"/>
            </w:tcBorders>
            <w:shd w:val="clear" w:color="auto" w:fill="auto"/>
            <w:vAlign w:val="center"/>
            <w:hideMark/>
          </w:tcPr>
          <w:p w14:paraId="519B35AA" w14:textId="77777777" w:rsidR="00E63C68" w:rsidRPr="008E63BB" w:rsidRDefault="00E63C68" w:rsidP="00E63C68">
            <w:pPr>
              <w:jc w:val="right"/>
              <w:rPr>
                <w:rFonts w:eastAsia="Times New Roman"/>
                <w:sz w:val="20"/>
                <w:szCs w:val="20"/>
              </w:rPr>
            </w:pPr>
            <w:r w:rsidRPr="008E63BB">
              <w:rPr>
                <w:rFonts w:eastAsia="Times New Roman"/>
                <w:sz w:val="20"/>
                <w:szCs w:val="20"/>
              </w:rPr>
              <w:t>6,24</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19B35AB" w14:textId="77777777" w:rsidR="00E63C68" w:rsidRPr="008E63BB" w:rsidRDefault="00E63C68" w:rsidP="00E63C68">
            <w:pPr>
              <w:jc w:val="right"/>
              <w:rPr>
                <w:rFonts w:eastAsia="Times New Roman"/>
                <w:sz w:val="20"/>
                <w:szCs w:val="20"/>
              </w:rPr>
            </w:pPr>
            <w:r w:rsidRPr="008E63BB">
              <w:rPr>
                <w:rFonts w:eastAsia="Times New Roman"/>
                <w:sz w:val="20"/>
                <w:szCs w:val="20"/>
              </w:rPr>
              <w:t>276,10</w:t>
            </w:r>
          </w:p>
        </w:tc>
      </w:tr>
      <w:tr w:rsidR="00E63C68" w:rsidRPr="008E63BB" w14:paraId="519B35BE"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AD" w14:textId="77777777" w:rsidR="00E63C68" w:rsidRPr="008E63BB" w:rsidRDefault="00E63C68" w:rsidP="00E63C68">
            <w:pPr>
              <w:jc w:val="center"/>
              <w:rPr>
                <w:rFonts w:eastAsia="Times New Roman"/>
                <w:sz w:val="20"/>
                <w:szCs w:val="20"/>
              </w:rPr>
            </w:pPr>
            <w:r w:rsidRPr="008E63BB">
              <w:rPr>
                <w:rFonts w:eastAsia="Times New Roman"/>
                <w:sz w:val="20"/>
                <w:szCs w:val="20"/>
              </w:rPr>
              <w:t>4</w:t>
            </w:r>
          </w:p>
        </w:tc>
        <w:tc>
          <w:tcPr>
            <w:tcW w:w="2831" w:type="dxa"/>
            <w:tcBorders>
              <w:top w:val="nil"/>
              <w:left w:val="nil"/>
              <w:bottom w:val="single" w:sz="4" w:space="0" w:color="auto"/>
              <w:right w:val="single" w:sz="4" w:space="0" w:color="auto"/>
            </w:tcBorders>
            <w:shd w:val="clear" w:color="auto" w:fill="auto"/>
            <w:vAlign w:val="center"/>
            <w:hideMark/>
          </w:tcPr>
          <w:p w14:paraId="519B35AE" w14:textId="77777777" w:rsidR="00E63C68" w:rsidRPr="008E63BB" w:rsidRDefault="00E63C68" w:rsidP="00E63C68">
            <w:pPr>
              <w:jc w:val="left"/>
              <w:rPr>
                <w:rFonts w:eastAsia="Times New Roman"/>
                <w:sz w:val="20"/>
                <w:szCs w:val="20"/>
              </w:rPr>
            </w:pPr>
            <w:r w:rsidRPr="008E63BB">
              <w:rPr>
                <w:rFonts w:eastAsia="Times New Roman"/>
                <w:sz w:val="20"/>
                <w:szCs w:val="20"/>
              </w:rPr>
              <w:t>Đất hạ tầng kỹ thuật đô thị</w:t>
            </w:r>
          </w:p>
        </w:tc>
        <w:tc>
          <w:tcPr>
            <w:tcW w:w="1016" w:type="dxa"/>
            <w:tcBorders>
              <w:top w:val="nil"/>
              <w:left w:val="nil"/>
              <w:bottom w:val="single" w:sz="4" w:space="0" w:color="auto"/>
              <w:right w:val="single" w:sz="4" w:space="0" w:color="auto"/>
            </w:tcBorders>
            <w:shd w:val="clear" w:color="auto" w:fill="auto"/>
            <w:vAlign w:val="center"/>
            <w:hideMark/>
          </w:tcPr>
          <w:p w14:paraId="519B35AF" w14:textId="77777777" w:rsidR="00E63C68" w:rsidRPr="008E63BB" w:rsidRDefault="00E63C68" w:rsidP="00E63C68">
            <w:pPr>
              <w:jc w:val="right"/>
              <w:rPr>
                <w:rFonts w:eastAsia="Times New Roman"/>
                <w:sz w:val="20"/>
                <w:szCs w:val="20"/>
              </w:rPr>
            </w:pPr>
            <w:r w:rsidRPr="008E63BB">
              <w:rPr>
                <w:rFonts w:eastAsia="Times New Roman"/>
                <w:sz w:val="20"/>
                <w:szCs w:val="20"/>
              </w:rPr>
              <w:t>1.291,74</w:t>
            </w:r>
          </w:p>
        </w:tc>
        <w:tc>
          <w:tcPr>
            <w:tcW w:w="766" w:type="dxa"/>
            <w:tcBorders>
              <w:top w:val="nil"/>
              <w:left w:val="nil"/>
              <w:bottom w:val="single" w:sz="4" w:space="0" w:color="auto"/>
              <w:right w:val="single" w:sz="4" w:space="0" w:color="auto"/>
            </w:tcBorders>
            <w:shd w:val="clear" w:color="auto" w:fill="auto"/>
            <w:vAlign w:val="center"/>
            <w:hideMark/>
          </w:tcPr>
          <w:p w14:paraId="519B35B0" w14:textId="77777777" w:rsidR="00E63C68" w:rsidRPr="008E63BB" w:rsidRDefault="00E63C68" w:rsidP="00E63C68">
            <w:pPr>
              <w:jc w:val="right"/>
              <w:rPr>
                <w:rFonts w:eastAsia="Times New Roman"/>
                <w:sz w:val="20"/>
                <w:szCs w:val="20"/>
              </w:rPr>
            </w:pPr>
            <w:r w:rsidRPr="008E63BB">
              <w:rPr>
                <w:rFonts w:eastAsia="Times New Roman"/>
                <w:sz w:val="20"/>
                <w:szCs w:val="20"/>
              </w:rPr>
              <w:t>25,38</w:t>
            </w:r>
          </w:p>
        </w:tc>
        <w:tc>
          <w:tcPr>
            <w:tcW w:w="766" w:type="dxa"/>
            <w:tcBorders>
              <w:top w:val="nil"/>
              <w:left w:val="nil"/>
              <w:bottom w:val="single" w:sz="4" w:space="0" w:color="auto"/>
              <w:right w:val="single" w:sz="4" w:space="0" w:color="auto"/>
            </w:tcBorders>
            <w:shd w:val="clear" w:color="auto" w:fill="auto"/>
            <w:vAlign w:val="center"/>
            <w:hideMark/>
          </w:tcPr>
          <w:p w14:paraId="519B35B1" w14:textId="77777777" w:rsidR="00E63C68" w:rsidRPr="008E63BB" w:rsidRDefault="00E63C68" w:rsidP="00E63C68">
            <w:pPr>
              <w:jc w:val="right"/>
              <w:rPr>
                <w:rFonts w:eastAsia="Times New Roman"/>
                <w:sz w:val="20"/>
                <w:szCs w:val="20"/>
              </w:rPr>
            </w:pPr>
            <w:r w:rsidRPr="008E63BB">
              <w:rPr>
                <w:rFonts w:eastAsia="Times New Roman"/>
                <w:sz w:val="20"/>
                <w:szCs w:val="20"/>
              </w:rPr>
              <w:t>33,35</w:t>
            </w:r>
          </w:p>
        </w:tc>
        <w:tc>
          <w:tcPr>
            <w:tcW w:w="916" w:type="dxa"/>
            <w:tcBorders>
              <w:top w:val="nil"/>
              <w:left w:val="nil"/>
              <w:bottom w:val="single" w:sz="4" w:space="0" w:color="auto"/>
              <w:right w:val="single" w:sz="4" w:space="0" w:color="auto"/>
            </w:tcBorders>
            <w:shd w:val="clear" w:color="auto" w:fill="auto"/>
            <w:vAlign w:val="center"/>
            <w:hideMark/>
          </w:tcPr>
          <w:p w14:paraId="519B35B2" w14:textId="77777777" w:rsidR="00E63C68" w:rsidRPr="008E63BB" w:rsidRDefault="00E63C68" w:rsidP="00E63C68">
            <w:pPr>
              <w:jc w:val="right"/>
              <w:rPr>
                <w:rFonts w:eastAsia="Times New Roman"/>
                <w:sz w:val="20"/>
                <w:szCs w:val="20"/>
              </w:rPr>
            </w:pPr>
            <w:r w:rsidRPr="008E63BB">
              <w:rPr>
                <w:rFonts w:eastAsia="Times New Roman"/>
                <w:sz w:val="20"/>
                <w:szCs w:val="20"/>
              </w:rPr>
              <w:t>318,84</w:t>
            </w:r>
          </w:p>
        </w:tc>
        <w:tc>
          <w:tcPr>
            <w:tcW w:w="766" w:type="dxa"/>
            <w:tcBorders>
              <w:top w:val="nil"/>
              <w:left w:val="nil"/>
              <w:bottom w:val="single" w:sz="4" w:space="0" w:color="auto"/>
              <w:right w:val="single" w:sz="4" w:space="0" w:color="auto"/>
            </w:tcBorders>
            <w:shd w:val="clear" w:color="auto" w:fill="auto"/>
            <w:vAlign w:val="center"/>
            <w:hideMark/>
          </w:tcPr>
          <w:p w14:paraId="519B35B3" w14:textId="77777777" w:rsidR="00E63C68" w:rsidRPr="008E63BB" w:rsidRDefault="00E63C68" w:rsidP="00E63C68">
            <w:pPr>
              <w:jc w:val="right"/>
              <w:rPr>
                <w:rFonts w:eastAsia="Times New Roman"/>
                <w:sz w:val="20"/>
                <w:szCs w:val="20"/>
              </w:rPr>
            </w:pPr>
            <w:r w:rsidRPr="008E63BB">
              <w:rPr>
                <w:rFonts w:eastAsia="Times New Roman"/>
                <w:sz w:val="20"/>
                <w:szCs w:val="20"/>
              </w:rPr>
              <w:t>16,84</w:t>
            </w:r>
          </w:p>
        </w:tc>
        <w:tc>
          <w:tcPr>
            <w:tcW w:w="686" w:type="dxa"/>
            <w:tcBorders>
              <w:top w:val="nil"/>
              <w:left w:val="nil"/>
              <w:bottom w:val="single" w:sz="4" w:space="0" w:color="auto"/>
              <w:right w:val="single" w:sz="4" w:space="0" w:color="auto"/>
            </w:tcBorders>
            <w:shd w:val="clear" w:color="auto" w:fill="auto"/>
            <w:vAlign w:val="center"/>
            <w:hideMark/>
          </w:tcPr>
          <w:p w14:paraId="519B35B4" w14:textId="77777777" w:rsidR="00E63C68" w:rsidRPr="008E63BB" w:rsidRDefault="00E63C68" w:rsidP="00E63C68">
            <w:pPr>
              <w:jc w:val="right"/>
              <w:rPr>
                <w:rFonts w:eastAsia="Times New Roman"/>
                <w:sz w:val="20"/>
                <w:szCs w:val="20"/>
              </w:rPr>
            </w:pPr>
            <w:r w:rsidRPr="008E63BB">
              <w:rPr>
                <w:rFonts w:eastAsia="Times New Roman"/>
                <w:sz w:val="20"/>
                <w:szCs w:val="20"/>
              </w:rPr>
              <w:t>13,52</w:t>
            </w:r>
          </w:p>
        </w:tc>
        <w:tc>
          <w:tcPr>
            <w:tcW w:w="1016" w:type="dxa"/>
            <w:tcBorders>
              <w:top w:val="nil"/>
              <w:left w:val="nil"/>
              <w:bottom w:val="single" w:sz="4" w:space="0" w:color="auto"/>
              <w:right w:val="single" w:sz="4" w:space="0" w:color="auto"/>
            </w:tcBorders>
            <w:shd w:val="clear" w:color="auto" w:fill="auto"/>
            <w:vAlign w:val="center"/>
            <w:hideMark/>
          </w:tcPr>
          <w:p w14:paraId="519B35B5" w14:textId="77777777" w:rsidR="00E63C68" w:rsidRPr="008E63BB" w:rsidRDefault="00E63C68" w:rsidP="00E63C68">
            <w:pPr>
              <w:jc w:val="right"/>
              <w:rPr>
                <w:rFonts w:eastAsia="Times New Roman"/>
                <w:sz w:val="20"/>
                <w:szCs w:val="20"/>
              </w:rPr>
            </w:pPr>
            <w:r w:rsidRPr="008E63BB">
              <w:rPr>
                <w:rFonts w:eastAsia="Times New Roman"/>
                <w:sz w:val="20"/>
                <w:szCs w:val="20"/>
              </w:rPr>
              <w:t>972,90</w:t>
            </w:r>
          </w:p>
        </w:tc>
        <w:tc>
          <w:tcPr>
            <w:tcW w:w="766" w:type="dxa"/>
            <w:tcBorders>
              <w:top w:val="nil"/>
              <w:left w:val="nil"/>
              <w:bottom w:val="single" w:sz="4" w:space="0" w:color="auto"/>
              <w:right w:val="single" w:sz="4" w:space="0" w:color="auto"/>
            </w:tcBorders>
            <w:shd w:val="clear" w:color="auto" w:fill="auto"/>
            <w:vAlign w:val="center"/>
            <w:hideMark/>
          </w:tcPr>
          <w:p w14:paraId="519B35B6" w14:textId="77777777" w:rsidR="00E63C68" w:rsidRPr="008E63BB" w:rsidRDefault="00E63C68" w:rsidP="00E63C68">
            <w:pPr>
              <w:jc w:val="right"/>
              <w:rPr>
                <w:rFonts w:eastAsia="Times New Roman"/>
                <w:sz w:val="20"/>
                <w:szCs w:val="20"/>
              </w:rPr>
            </w:pPr>
            <w:r w:rsidRPr="008E63BB">
              <w:rPr>
                <w:rFonts w:eastAsia="Times New Roman"/>
                <w:sz w:val="20"/>
                <w:szCs w:val="20"/>
              </w:rPr>
              <w:t>36,88</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B7" w14:textId="77777777" w:rsidR="00E63C68" w:rsidRPr="008E63BB" w:rsidRDefault="00E63C68" w:rsidP="00E63C68">
            <w:pPr>
              <w:jc w:val="right"/>
              <w:rPr>
                <w:rFonts w:eastAsia="Times New Roman"/>
                <w:sz w:val="20"/>
                <w:szCs w:val="20"/>
              </w:rPr>
            </w:pPr>
            <w:r w:rsidRPr="008E63BB">
              <w:rPr>
                <w:rFonts w:eastAsia="Times New Roman"/>
                <w:sz w:val="20"/>
                <w:szCs w:val="20"/>
              </w:rPr>
              <w:t>1.489,50</w:t>
            </w:r>
          </w:p>
        </w:tc>
        <w:tc>
          <w:tcPr>
            <w:tcW w:w="766" w:type="dxa"/>
            <w:tcBorders>
              <w:top w:val="nil"/>
              <w:left w:val="nil"/>
              <w:bottom w:val="single" w:sz="4" w:space="0" w:color="auto"/>
              <w:right w:val="single" w:sz="4" w:space="0" w:color="auto"/>
            </w:tcBorders>
            <w:shd w:val="clear" w:color="auto" w:fill="auto"/>
            <w:vAlign w:val="center"/>
            <w:hideMark/>
          </w:tcPr>
          <w:p w14:paraId="519B35B8" w14:textId="77777777" w:rsidR="00E63C68" w:rsidRPr="008E63BB" w:rsidRDefault="00E63C68" w:rsidP="00E63C68">
            <w:pPr>
              <w:jc w:val="right"/>
              <w:rPr>
                <w:rFonts w:eastAsia="Times New Roman"/>
                <w:sz w:val="20"/>
                <w:szCs w:val="20"/>
              </w:rPr>
            </w:pPr>
            <w:r w:rsidRPr="008E63BB">
              <w:rPr>
                <w:rFonts w:eastAsia="Times New Roman"/>
                <w:sz w:val="20"/>
                <w:szCs w:val="20"/>
              </w:rPr>
              <w:t>17,88</w:t>
            </w:r>
          </w:p>
        </w:tc>
        <w:tc>
          <w:tcPr>
            <w:tcW w:w="766" w:type="dxa"/>
            <w:tcBorders>
              <w:top w:val="nil"/>
              <w:left w:val="nil"/>
              <w:bottom w:val="single" w:sz="4" w:space="0" w:color="auto"/>
              <w:right w:val="single" w:sz="4" w:space="0" w:color="auto"/>
            </w:tcBorders>
            <w:shd w:val="clear" w:color="auto" w:fill="auto"/>
            <w:vAlign w:val="center"/>
            <w:hideMark/>
          </w:tcPr>
          <w:p w14:paraId="519B35B9" w14:textId="77777777" w:rsidR="00E63C68" w:rsidRPr="008E63BB" w:rsidRDefault="00E63C68" w:rsidP="00E63C68">
            <w:pPr>
              <w:jc w:val="right"/>
              <w:rPr>
                <w:rFonts w:eastAsia="Times New Roman"/>
                <w:sz w:val="20"/>
                <w:szCs w:val="20"/>
              </w:rPr>
            </w:pPr>
            <w:r w:rsidRPr="008E63BB">
              <w:rPr>
                <w:rFonts w:eastAsia="Times New Roman"/>
                <w:sz w:val="20"/>
                <w:szCs w:val="20"/>
              </w:rPr>
              <w:t>24,82</w:t>
            </w:r>
          </w:p>
        </w:tc>
        <w:tc>
          <w:tcPr>
            <w:tcW w:w="916" w:type="dxa"/>
            <w:tcBorders>
              <w:top w:val="nil"/>
              <w:left w:val="nil"/>
              <w:bottom w:val="single" w:sz="4" w:space="0" w:color="auto"/>
              <w:right w:val="single" w:sz="4" w:space="0" w:color="auto"/>
            </w:tcBorders>
            <w:shd w:val="clear" w:color="auto" w:fill="auto"/>
            <w:noWrap/>
            <w:vAlign w:val="center"/>
            <w:hideMark/>
          </w:tcPr>
          <w:p w14:paraId="519B35BA" w14:textId="77777777" w:rsidR="00E63C68" w:rsidRPr="008E63BB" w:rsidRDefault="00E63C68" w:rsidP="00E63C68">
            <w:pPr>
              <w:jc w:val="right"/>
              <w:rPr>
                <w:rFonts w:eastAsia="Times New Roman"/>
                <w:sz w:val="20"/>
                <w:szCs w:val="20"/>
              </w:rPr>
            </w:pPr>
            <w:r w:rsidRPr="008E63BB">
              <w:rPr>
                <w:rFonts w:eastAsia="Times New Roman"/>
                <w:sz w:val="20"/>
                <w:szCs w:val="20"/>
              </w:rPr>
              <w:t>750,00</w:t>
            </w:r>
          </w:p>
        </w:tc>
        <w:tc>
          <w:tcPr>
            <w:tcW w:w="766" w:type="dxa"/>
            <w:tcBorders>
              <w:top w:val="nil"/>
              <w:left w:val="nil"/>
              <w:bottom w:val="single" w:sz="4" w:space="0" w:color="auto"/>
              <w:right w:val="single" w:sz="4" w:space="0" w:color="auto"/>
            </w:tcBorders>
            <w:shd w:val="clear" w:color="auto" w:fill="auto"/>
            <w:vAlign w:val="center"/>
            <w:hideMark/>
          </w:tcPr>
          <w:p w14:paraId="519B35BB" w14:textId="77777777" w:rsidR="00E63C68" w:rsidRPr="008E63BB" w:rsidRDefault="00E63C68" w:rsidP="00E63C68">
            <w:pPr>
              <w:jc w:val="right"/>
              <w:rPr>
                <w:rFonts w:eastAsia="Times New Roman"/>
                <w:sz w:val="20"/>
                <w:szCs w:val="20"/>
              </w:rPr>
            </w:pPr>
            <w:r w:rsidRPr="008E63BB">
              <w:rPr>
                <w:rFonts w:eastAsia="Times New Roman"/>
                <w:sz w:val="20"/>
                <w:szCs w:val="20"/>
              </w:rPr>
              <w:t>14,22</w:t>
            </w:r>
          </w:p>
        </w:tc>
        <w:tc>
          <w:tcPr>
            <w:tcW w:w="766" w:type="dxa"/>
            <w:tcBorders>
              <w:top w:val="nil"/>
              <w:left w:val="nil"/>
              <w:bottom w:val="single" w:sz="4" w:space="0" w:color="auto"/>
              <w:right w:val="single" w:sz="4" w:space="0" w:color="auto"/>
            </w:tcBorders>
            <w:shd w:val="clear" w:color="auto" w:fill="auto"/>
            <w:vAlign w:val="center"/>
            <w:hideMark/>
          </w:tcPr>
          <w:p w14:paraId="519B35BC" w14:textId="77777777" w:rsidR="00E63C68" w:rsidRPr="008E63BB" w:rsidRDefault="00E63C68" w:rsidP="00E63C68">
            <w:pPr>
              <w:jc w:val="right"/>
              <w:rPr>
                <w:rFonts w:eastAsia="Times New Roman"/>
                <w:sz w:val="20"/>
                <w:szCs w:val="20"/>
              </w:rPr>
            </w:pPr>
            <w:r w:rsidRPr="008E63BB">
              <w:rPr>
                <w:rFonts w:eastAsia="Times New Roman"/>
                <w:sz w:val="20"/>
                <w:szCs w:val="20"/>
              </w:rPr>
              <w:t>15,45</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BD" w14:textId="77777777" w:rsidR="00E63C68" w:rsidRPr="008E63BB" w:rsidRDefault="00E63C68" w:rsidP="00E63C68">
            <w:pPr>
              <w:jc w:val="right"/>
              <w:rPr>
                <w:rFonts w:eastAsia="Times New Roman"/>
                <w:sz w:val="20"/>
                <w:szCs w:val="20"/>
              </w:rPr>
            </w:pPr>
            <w:r w:rsidRPr="008E63BB">
              <w:rPr>
                <w:rFonts w:eastAsia="Times New Roman"/>
                <w:sz w:val="20"/>
                <w:szCs w:val="20"/>
              </w:rPr>
              <w:t>739,50</w:t>
            </w:r>
          </w:p>
        </w:tc>
      </w:tr>
      <w:tr w:rsidR="00E63C68" w:rsidRPr="008E63BB" w14:paraId="519B35D0"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BF"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II</w:t>
            </w:r>
          </w:p>
        </w:tc>
        <w:tc>
          <w:tcPr>
            <w:tcW w:w="2831" w:type="dxa"/>
            <w:tcBorders>
              <w:top w:val="nil"/>
              <w:left w:val="nil"/>
              <w:bottom w:val="single" w:sz="4" w:space="0" w:color="auto"/>
              <w:right w:val="single" w:sz="4" w:space="0" w:color="auto"/>
            </w:tcBorders>
            <w:shd w:val="clear" w:color="auto" w:fill="auto"/>
            <w:vAlign w:val="center"/>
            <w:hideMark/>
          </w:tcPr>
          <w:p w14:paraId="519B35C0"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Đất ngoài dân dụng</w:t>
            </w:r>
          </w:p>
        </w:tc>
        <w:tc>
          <w:tcPr>
            <w:tcW w:w="1016" w:type="dxa"/>
            <w:tcBorders>
              <w:top w:val="nil"/>
              <w:left w:val="nil"/>
              <w:bottom w:val="single" w:sz="4" w:space="0" w:color="auto"/>
              <w:right w:val="single" w:sz="4" w:space="0" w:color="auto"/>
            </w:tcBorders>
            <w:shd w:val="clear" w:color="auto" w:fill="auto"/>
            <w:vAlign w:val="center"/>
            <w:hideMark/>
          </w:tcPr>
          <w:p w14:paraId="519B35C1"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1.459,16</w:t>
            </w:r>
          </w:p>
        </w:tc>
        <w:tc>
          <w:tcPr>
            <w:tcW w:w="766" w:type="dxa"/>
            <w:tcBorders>
              <w:top w:val="nil"/>
              <w:left w:val="nil"/>
              <w:bottom w:val="single" w:sz="4" w:space="0" w:color="auto"/>
              <w:right w:val="single" w:sz="4" w:space="0" w:color="auto"/>
            </w:tcBorders>
            <w:shd w:val="clear" w:color="auto" w:fill="auto"/>
            <w:vAlign w:val="center"/>
            <w:hideMark/>
          </w:tcPr>
          <w:p w14:paraId="519B35C2"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28,67</w:t>
            </w:r>
          </w:p>
        </w:tc>
        <w:tc>
          <w:tcPr>
            <w:tcW w:w="766" w:type="dxa"/>
            <w:tcBorders>
              <w:top w:val="nil"/>
              <w:left w:val="nil"/>
              <w:bottom w:val="single" w:sz="4" w:space="0" w:color="auto"/>
              <w:right w:val="single" w:sz="4" w:space="0" w:color="auto"/>
            </w:tcBorders>
            <w:shd w:val="clear" w:color="auto" w:fill="auto"/>
            <w:vAlign w:val="center"/>
            <w:hideMark/>
          </w:tcPr>
          <w:p w14:paraId="519B35C3"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37,68</w:t>
            </w:r>
          </w:p>
        </w:tc>
        <w:tc>
          <w:tcPr>
            <w:tcW w:w="916" w:type="dxa"/>
            <w:tcBorders>
              <w:top w:val="nil"/>
              <w:left w:val="nil"/>
              <w:bottom w:val="single" w:sz="4" w:space="0" w:color="auto"/>
              <w:right w:val="single" w:sz="4" w:space="0" w:color="auto"/>
            </w:tcBorders>
            <w:shd w:val="clear" w:color="auto" w:fill="auto"/>
            <w:vAlign w:val="center"/>
            <w:hideMark/>
          </w:tcPr>
          <w:p w14:paraId="519B35C4"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876,67</w:t>
            </w:r>
          </w:p>
        </w:tc>
        <w:tc>
          <w:tcPr>
            <w:tcW w:w="766" w:type="dxa"/>
            <w:tcBorders>
              <w:top w:val="nil"/>
              <w:left w:val="nil"/>
              <w:bottom w:val="single" w:sz="4" w:space="0" w:color="auto"/>
              <w:right w:val="single" w:sz="4" w:space="0" w:color="auto"/>
            </w:tcBorders>
            <w:shd w:val="clear" w:color="auto" w:fill="auto"/>
            <w:vAlign w:val="center"/>
            <w:hideMark/>
          </w:tcPr>
          <w:p w14:paraId="519B35C5"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36,39</w:t>
            </w:r>
          </w:p>
        </w:tc>
        <w:tc>
          <w:tcPr>
            <w:tcW w:w="686" w:type="dxa"/>
            <w:tcBorders>
              <w:top w:val="nil"/>
              <w:left w:val="nil"/>
              <w:bottom w:val="single" w:sz="4" w:space="0" w:color="auto"/>
              <w:right w:val="single" w:sz="4" w:space="0" w:color="auto"/>
            </w:tcBorders>
            <w:shd w:val="clear" w:color="auto" w:fill="auto"/>
            <w:vAlign w:val="center"/>
            <w:hideMark/>
          </w:tcPr>
          <w:p w14:paraId="519B35C6"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37,16</w:t>
            </w:r>
          </w:p>
        </w:tc>
        <w:tc>
          <w:tcPr>
            <w:tcW w:w="1016" w:type="dxa"/>
            <w:tcBorders>
              <w:top w:val="nil"/>
              <w:left w:val="nil"/>
              <w:bottom w:val="single" w:sz="4" w:space="0" w:color="auto"/>
              <w:right w:val="single" w:sz="4" w:space="0" w:color="auto"/>
            </w:tcBorders>
            <w:shd w:val="clear" w:color="auto" w:fill="auto"/>
            <w:vAlign w:val="center"/>
            <w:hideMark/>
          </w:tcPr>
          <w:p w14:paraId="519B35C7"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582,49</w:t>
            </w:r>
          </w:p>
        </w:tc>
        <w:tc>
          <w:tcPr>
            <w:tcW w:w="766" w:type="dxa"/>
            <w:tcBorders>
              <w:top w:val="nil"/>
              <w:left w:val="nil"/>
              <w:bottom w:val="single" w:sz="4" w:space="0" w:color="auto"/>
              <w:right w:val="single" w:sz="4" w:space="0" w:color="auto"/>
            </w:tcBorders>
            <w:shd w:val="clear" w:color="auto" w:fill="auto"/>
            <w:vAlign w:val="center"/>
            <w:hideMark/>
          </w:tcPr>
          <w:p w14:paraId="519B35C8"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20,70</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C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3.341,81</w:t>
            </w:r>
          </w:p>
        </w:tc>
        <w:tc>
          <w:tcPr>
            <w:tcW w:w="766" w:type="dxa"/>
            <w:tcBorders>
              <w:top w:val="nil"/>
              <w:left w:val="nil"/>
              <w:bottom w:val="single" w:sz="4" w:space="0" w:color="auto"/>
              <w:right w:val="single" w:sz="4" w:space="0" w:color="auto"/>
            </w:tcBorders>
            <w:shd w:val="clear" w:color="auto" w:fill="auto"/>
            <w:vAlign w:val="center"/>
            <w:hideMark/>
          </w:tcPr>
          <w:p w14:paraId="519B35CA"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40,11</w:t>
            </w:r>
          </w:p>
        </w:tc>
        <w:tc>
          <w:tcPr>
            <w:tcW w:w="766" w:type="dxa"/>
            <w:tcBorders>
              <w:top w:val="nil"/>
              <w:left w:val="nil"/>
              <w:bottom w:val="single" w:sz="4" w:space="0" w:color="auto"/>
              <w:right w:val="single" w:sz="4" w:space="0" w:color="auto"/>
            </w:tcBorders>
            <w:shd w:val="clear" w:color="auto" w:fill="auto"/>
            <w:vAlign w:val="center"/>
            <w:hideMark/>
          </w:tcPr>
          <w:p w14:paraId="519B35CB"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55,70</w:t>
            </w:r>
          </w:p>
        </w:tc>
        <w:tc>
          <w:tcPr>
            <w:tcW w:w="916" w:type="dxa"/>
            <w:tcBorders>
              <w:top w:val="nil"/>
              <w:left w:val="nil"/>
              <w:bottom w:val="single" w:sz="4" w:space="0" w:color="auto"/>
              <w:right w:val="single" w:sz="4" w:space="0" w:color="auto"/>
            </w:tcBorders>
            <w:shd w:val="clear" w:color="auto" w:fill="auto"/>
            <w:vAlign w:val="center"/>
            <w:hideMark/>
          </w:tcPr>
          <w:p w14:paraId="519B35CC"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2.139,23</w:t>
            </w:r>
          </w:p>
        </w:tc>
        <w:tc>
          <w:tcPr>
            <w:tcW w:w="766" w:type="dxa"/>
            <w:tcBorders>
              <w:top w:val="nil"/>
              <w:left w:val="nil"/>
              <w:bottom w:val="single" w:sz="4" w:space="0" w:color="auto"/>
              <w:right w:val="single" w:sz="4" w:space="0" w:color="auto"/>
            </w:tcBorders>
            <w:shd w:val="clear" w:color="auto" w:fill="auto"/>
            <w:vAlign w:val="center"/>
            <w:hideMark/>
          </w:tcPr>
          <w:p w14:paraId="519B35CD"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40,55</w:t>
            </w:r>
          </w:p>
        </w:tc>
        <w:tc>
          <w:tcPr>
            <w:tcW w:w="766" w:type="dxa"/>
            <w:tcBorders>
              <w:top w:val="nil"/>
              <w:left w:val="nil"/>
              <w:bottom w:val="single" w:sz="4" w:space="0" w:color="auto"/>
              <w:right w:val="single" w:sz="4" w:space="0" w:color="auto"/>
            </w:tcBorders>
            <w:shd w:val="clear" w:color="auto" w:fill="auto"/>
            <w:vAlign w:val="center"/>
            <w:hideMark/>
          </w:tcPr>
          <w:p w14:paraId="519B35CE"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44,06</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CF"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1.202,58</w:t>
            </w:r>
          </w:p>
        </w:tc>
      </w:tr>
      <w:tr w:rsidR="00E63C68" w:rsidRPr="008E63BB" w14:paraId="519B35E2" w14:textId="77777777" w:rsidTr="00E63C68">
        <w:trPr>
          <w:gridAfter w:val="1"/>
          <w:wAfter w:w="6" w:type="dxa"/>
          <w:trHeight w:val="29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D1" w14:textId="77777777" w:rsidR="00E63C68" w:rsidRPr="008E63BB" w:rsidRDefault="00E63C68" w:rsidP="00E63C68">
            <w:pPr>
              <w:jc w:val="center"/>
              <w:rPr>
                <w:rFonts w:eastAsia="Times New Roman"/>
                <w:sz w:val="20"/>
                <w:szCs w:val="20"/>
              </w:rPr>
            </w:pPr>
            <w:r w:rsidRPr="008E63BB">
              <w:rPr>
                <w:rFonts w:eastAsia="Times New Roman"/>
                <w:sz w:val="20"/>
                <w:szCs w:val="20"/>
              </w:rPr>
              <w:t>1</w:t>
            </w:r>
          </w:p>
        </w:tc>
        <w:tc>
          <w:tcPr>
            <w:tcW w:w="2831" w:type="dxa"/>
            <w:tcBorders>
              <w:top w:val="nil"/>
              <w:left w:val="nil"/>
              <w:bottom w:val="single" w:sz="4" w:space="0" w:color="auto"/>
              <w:right w:val="single" w:sz="4" w:space="0" w:color="auto"/>
            </w:tcBorders>
            <w:shd w:val="clear" w:color="auto" w:fill="auto"/>
            <w:vAlign w:val="center"/>
            <w:hideMark/>
          </w:tcPr>
          <w:p w14:paraId="519B35D2" w14:textId="77777777" w:rsidR="00E63C68" w:rsidRPr="008E63BB" w:rsidRDefault="00E63C68" w:rsidP="00E63C68">
            <w:pPr>
              <w:jc w:val="left"/>
              <w:rPr>
                <w:rFonts w:eastAsia="Times New Roman"/>
                <w:sz w:val="20"/>
                <w:szCs w:val="20"/>
              </w:rPr>
            </w:pPr>
            <w:r w:rsidRPr="008E63BB">
              <w:rPr>
                <w:rFonts w:eastAsia="Times New Roman"/>
                <w:sz w:val="20"/>
                <w:szCs w:val="20"/>
              </w:rPr>
              <w:t>Đất trụ sở cơ quan ngoài sự quản lý của đô thị</w:t>
            </w:r>
          </w:p>
        </w:tc>
        <w:tc>
          <w:tcPr>
            <w:tcW w:w="1016" w:type="dxa"/>
            <w:tcBorders>
              <w:top w:val="nil"/>
              <w:left w:val="nil"/>
              <w:bottom w:val="single" w:sz="4" w:space="0" w:color="auto"/>
              <w:right w:val="single" w:sz="4" w:space="0" w:color="auto"/>
            </w:tcBorders>
            <w:shd w:val="clear" w:color="auto" w:fill="auto"/>
            <w:vAlign w:val="center"/>
            <w:hideMark/>
          </w:tcPr>
          <w:p w14:paraId="519B35D3" w14:textId="77777777" w:rsidR="00E63C68" w:rsidRPr="008E63BB" w:rsidRDefault="00E63C68" w:rsidP="00E63C68">
            <w:pPr>
              <w:jc w:val="right"/>
              <w:rPr>
                <w:rFonts w:eastAsia="Times New Roman"/>
                <w:sz w:val="20"/>
                <w:szCs w:val="20"/>
              </w:rPr>
            </w:pPr>
            <w:r w:rsidRPr="008E63BB">
              <w:rPr>
                <w:rFonts w:eastAsia="Times New Roman"/>
                <w:sz w:val="20"/>
                <w:szCs w:val="20"/>
              </w:rPr>
              <w:t>87,97</w:t>
            </w:r>
          </w:p>
        </w:tc>
        <w:tc>
          <w:tcPr>
            <w:tcW w:w="766" w:type="dxa"/>
            <w:tcBorders>
              <w:top w:val="nil"/>
              <w:left w:val="nil"/>
              <w:bottom w:val="single" w:sz="4" w:space="0" w:color="auto"/>
              <w:right w:val="single" w:sz="4" w:space="0" w:color="auto"/>
            </w:tcBorders>
            <w:shd w:val="clear" w:color="auto" w:fill="auto"/>
            <w:vAlign w:val="center"/>
            <w:hideMark/>
          </w:tcPr>
          <w:p w14:paraId="519B35D4"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D5"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D6"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39,35</w:t>
            </w:r>
          </w:p>
        </w:tc>
        <w:tc>
          <w:tcPr>
            <w:tcW w:w="766" w:type="dxa"/>
            <w:tcBorders>
              <w:top w:val="nil"/>
              <w:left w:val="nil"/>
              <w:bottom w:val="single" w:sz="4" w:space="0" w:color="auto"/>
              <w:right w:val="single" w:sz="4" w:space="0" w:color="auto"/>
            </w:tcBorders>
            <w:shd w:val="clear" w:color="auto" w:fill="auto"/>
            <w:vAlign w:val="center"/>
            <w:hideMark/>
          </w:tcPr>
          <w:p w14:paraId="519B35D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5D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5D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48,62</w:t>
            </w:r>
          </w:p>
        </w:tc>
        <w:tc>
          <w:tcPr>
            <w:tcW w:w="766" w:type="dxa"/>
            <w:tcBorders>
              <w:top w:val="nil"/>
              <w:left w:val="nil"/>
              <w:bottom w:val="single" w:sz="4" w:space="0" w:color="auto"/>
              <w:right w:val="single" w:sz="4" w:space="0" w:color="auto"/>
            </w:tcBorders>
            <w:shd w:val="clear" w:color="auto" w:fill="auto"/>
            <w:vAlign w:val="center"/>
            <w:hideMark/>
          </w:tcPr>
          <w:p w14:paraId="519B35D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DB" w14:textId="77777777" w:rsidR="00E63C68" w:rsidRPr="008E63BB" w:rsidRDefault="00E63C68" w:rsidP="00E63C68">
            <w:pPr>
              <w:jc w:val="right"/>
              <w:rPr>
                <w:rFonts w:eastAsia="Times New Roman"/>
                <w:sz w:val="20"/>
                <w:szCs w:val="20"/>
              </w:rPr>
            </w:pPr>
            <w:r w:rsidRPr="008E63BB">
              <w:rPr>
                <w:rFonts w:eastAsia="Times New Roman"/>
                <w:sz w:val="20"/>
                <w:szCs w:val="20"/>
              </w:rPr>
              <w:t>103,89</w:t>
            </w:r>
          </w:p>
        </w:tc>
        <w:tc>
          <w:tcPr>
            <w:tcW w:w="766" w:type="dxa"/>
            <w:tcBorders>
              <w:top w:val="nil"/>
              <w:left w:val="nil"/>
              <w:bottom w:val="single" w:sz="4" w:space="0" w:color="auto"/>
              <w:right w:val="single" w:sz="4" w:space="0" w:color="auto"/>
            </w:tcBorders>
            <w:shd w:val="clear" w:color="auto" w:fill="auto"/>
            <w:vAlign w:val="center"/>
            <w:hideMark/>
          </w:tcPr>
          <w:p w14:paraId="519B35D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D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5DE" w14:textId="77777777" w:rsidR="00E63C68" w:rsidRPr="008E63BB" w:rsidRDefault="00E63C68" w:rsidP="00E63C68">
            <w:pPr>
              <w:jc w:val="right"/>
              <w:rPr>
                <w:rFonts w:eastAsia="Times New Roman"/>
                <w:sz w:val="20"/>
                <w:szCs w:val="20"/>
              </w:rPr>
            </w:pPr>
            <w:r w:rsidRPr="008E63BB">
              <w:rPr>
                <w:rFonts w:eastAsia="Times New Roman"/>
                <w:sz w:val="20"/>
                <w:szCs w:val="20"/>
              </w:rPr>
              <w:t>81,34</w:t>
            </w:r>
          </w:p>
        </w:tc>
        <w:tc>
          <w:tcPr>
            <w:tcW w:w="766" w:type="dxa"/>
            <w:tcBorders>
              <w:top w:val="nil"/>
              <w:left w:val="nil"/>
              <w:bottom w:val="single" w:sz="4" w:space="0" w:color="auto"/>
              <w:right w:val="single" w:sz="4" w:space="0" w:color="auto"/>
            </w:tcBorders>
            <w:shd w:val="clear" w:color="auto" w:fill="auto"/>
            <w:noWrap/>
            <w:vAlign w:val="center"/>
            <w:hideMark/>
          </w:tcPr>
          <w:p w14:paraId="519B35DF"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5E0"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19B35E1" w14:textId="77777777" w:rsidR="00E63C68" w:rsidRPr="008E63BB" w:rsidRDefault="00E63C68" w:rsidP="00E63C68">
            <w:pPr>
              <w:jc w:val="right"/>
              <w:rPr>
                <w:rFonts w:eastAsia="Times New Roman"/>
                <w:sz w:val="20"/>
                <w:szCs w:val="20"/>
              </w:rPr>
            </w:pPr>
            <w:r w:rsidRPr="008E63BB">
              <w:rPr>
                <w:rFonts w:eastAsia="Times New Roman"/>
                <w:sz w:val="20"/>
                <w:szCs w:val="20"/>
              </w:rPr>
              <w:t>22,55</w:t>
            </w:r>
          </w:p>
        </w:tc>
      </w:tr>
      <w:tr w:rsidR="00E63C68" w:rsidRPr="008E63BB" w14:paraId="519B35F4" w14:textId="77777777" w:rsidTr="00E63C68">
        <w:trPr>
          <w:gridAfter w:val="1"/>
          <w:wAfter w:w="6" w:type="dxa"/>
          <w:trHeight w:val="29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E3" w14:textId="77777777" w:rsidR="00E63C68" w:rsidRPr="008E63BB" w:rsidRDefault="00E63C68" w:rsidP="00E63C68">
            <w:pPr>
              <w:jc w:val="center"/>
              <w:rPr>
                <w:rFonts w:eastAsia="Times New Roman"/>
                <w:sz w:val="20"/>
                <w:szCs w:val="20"/>
              </w:rPr>
            </w:pPr>
            <w:r w:rsidRPr="008E63BB">
              <w:rPr>
                <w:rFonts w:eastAsia="Times New Roman"/>
                <w:sz w:val="20"/>
                <w:szCs w:val="20"/>
              </w:rPr>
              <w:t>2</w:t>
            </w:r>
          </w:p>
        </w:tc>
        <w:tc>
          <w:tcPr>
            <w:tcW w:w="2831" w:type="dxa"/>
            <w:tcBorders>
              <w:top w:val="nil"/>
              <w:left w:val="nil"/>
              <w:bottom w:val="single" w:sz="4" w:space="0" w:color="auto"/>
              <w:right w:val="single" w:sz="4" w:space="0" w:color="auto"/>
            </w:tcBorders>
            <w:shd w:val="clear" w:color="auto" w:fill="auto"/>
            <w:vAlign w:val="center"/>
            <w:hideMark/>
          </w:tcPr>
          <w:p w14:paraId="519B35E4" w14:textId="77777777" w:rsidR="00E63C68" w:rsidRPr="008E63BB" w:rsidRDefault="00E63C68" w:rsidP="00E63C68">
            <w:pPr>
              <w:jc w:val="left"/>
              <w:rPr>
                <w:rFonts w:eastAsia="Times New Roman"/>
                <w:sz w:val="20"/>
                <w:szCs w:val="20"/>
              </w:rPr>
            </w:pPr>
            <w:r w:rsidRPr="008E63BB">
              <w:rPr>
                <w:rFonts w:eastAsia="Times New Roman"/>
                <w:sz w:val="20"/>
                <w:szCs w:val="20"/>
              </w:rPr>
              <w:t>Đất công cộng ngoài sự quản lý của đô thị</w:t>
            </w:r>
          </w:p>
        </w:tc>
        <w:tc>
          <w:tcPr>
            <w:tcW w:w="1016" w:type="dxa"/>
            <w:tcBorders>
              <w:top w:val="nil"/>
              <w:left w:val="nil"/>
              <w:bottom w:val="single" w:sz="4" w:space="0" w:color="auto"/>
              <w:right w:val="single" w:sz="4" w:space="0" w:color="auto"/>
            </w:tcBorders>
            <w:shd w:val="clear" w:color="auto" w:fill="auto"/>
            <w:vAlign w:val="center"/>
            <w:hideMark/>
          </w:tcPr>
          <w:p w14:paraId="519B35E5" w14:textId="77777777" w:rsidR="00E63C68" w:rsidRPr="008E63BB" w:rsidRDefault="00E63C68" w:rsidP="00E63C68">
            <w:pPr>
              <w:jc w:val="right"/>
              <w:rPr>
                <w:rFonts w:eastAsia="Times New Roman"/>
                <w:sz w:val="20"/>
                <w:szCs w:val="20"/>
              </w:rPr>
            </w:pPr>
            <w:r w:rsidRPr="008E63BB">
              <w:rPr>
                <w:rFonts w:eastAsia="Times New Roman"/>
                <w:sz w:val="20"/>
                <w:szCs w:val="20"/>
              </w:rPr>
              <w:t>125,04</w:t>
            </w:r>
          </w:p>
        </w:tc>
        <w:tc>
          <w:tcPr>
            <w:tcW w:w="766" w:type="dxa"/>
            <w:tcBorders>
              <w:top w:val="nil"/>
              <w:left w:val="nil"/>
              <w:bottom w:val="single" w:sz="4" w:space="0" w:color="auto"/>
              <w:right w:val="single" w:sz="4" w:space="0" w:color="auto"/>
            </w:tcBorders>
            <w:shd w:val="clear" w:color="auto" w:fill="auto"/>
            <w:vAlign w:val="center"/>
            <w:hideMark/>
          </w:tcPr>
          <w:p w14:paraId="519B35E6"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E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E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81,18</w:t>
            </w:r>
          </w:p>
        </w:tc>
        <w:tc>
          <w:tcPr>
            <w:tcW w:w="766" w:type="dxa"/>
            <w:tcBorders>
              <w:top w:val="nil"/>
              <w:left w:val="nil"/>
              <w:bottom w:val="single" w:sz="4" w:space="0" w:color="auto"/>
              <w:right w:val="single" w:sz="4" w:space="0" w:color="auto"/>
            </w:tcBorders>
            <w:shd w:val="clear" w:color="auto" w:fill="auto"/>
            <w:vAlign w:val="center"/>
            <w:hideMark/>
          </w:tcPr>
          <w:p w14:paraId="519B35E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5E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5E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43,86</w:t>
            </w:r>
          </w:p>
        </w:tc>
        <w:tc>
          <w:tcPr>
            <w:tcW w:w="766" w:type="dxa"/>
            <w:tcBorders>
              <w:top w:val="nil"/>
              <w:left w:val="nil"/>
              <w:bottom w:val="single" w:sz="4" w:space="0" w:color="auto"/>
              <w:right w:val="single" w:sz="4" w:space="0" w:color="auto"/>
            </w:tcBorders>
            <w:shd w:val="clear" w:color="auto" w:fill="auto"/>
            <w:vAlign w:val="center"/>
            <w:hideMark/>
          </w:tcPr>
          <w:p w14:paraId="519B35E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ED" w14:textId="77777777" w:rsidR="00E63C68" w:rsidRPr="008E63BB" w:rsidRDefault="00E63C68" w:rsidP="00E63C68">
            <w:pPr>
              <w:jc w:val="right"/>
              <w:rPr>
                <w:rFonts w:eastAsia="Times New Roman"/>
                <w:sz w:val="20"/>
                <w:szCs w:val="20"/>
              </w:rPr>
            </w:pPr>
            <w:r w:rsidRPr="008E63BB">
              <w:rPr>
                <w:rFonts w:eastAsia="Times New Roman"/>
                <w:sz w:val="20"/>
                <w:szCs w:val="20"/>
              </w:rPr>
              <w:t>284,03</w:t>
            </w:r>
          </w:p>
        </w:tc>
        <w:tc>
          <w:tcPr>
            <w:tcW w:w="766" w:type="dxa"/>
            <w:tcBorders>
              <w:top w:val="nil"/>
              <w:left w:val="nil"/>
              <w:bottom w:val="single" w:sz="4" w:space="0" w:color="auto"/>
              <w:right w:val="single" w:sz="4" w:space="0" w:color="auto"/>
            </w:tcBorders>
            <w:shd w:val="clear" w:color="auto" w:fill="auto"/>
            <w:vAlign w:val="center"/>
            <w:hideMark/>
          </w:tcPr>
          <w:p w14:paraId="519B35E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E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F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283,58</w:t>
            </w:r>
          </w:p>
        </w:tc>
        <w:tc>
          <w:tcPr>
            <w:tcW w:w="766" w:type="dxa"/>
            <w:tcBorders>
              <w:top w:val="nil"/>
              <w:left w:val="nil"/>
              <w:bottom w:val="single" w:sz="4" w:space="0" w:color="auto"/>
              <w:right w:val="single" w:sz="4" w:space="0" w:color="auto"/>
            </w:tcBorders>
            <w:shd w:val="clear" w:color="auto" w:fill="auto"/>
            <w:noWrap/>
            <w:vAlign w:val="center"/>
            <w:hideMark/>
          </w:tcPr>
          <w:p w14:paraId="519B35F1"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5F2"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5F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0,45</w:t>
            </w:r>
          </w:p>
        </w:tc>
      </w:tr>
      <w:tr w:rsidR="00E63C68" w:rsidRPr="008E63BB" w14:paraId="519B3606" w14:textId="77777777" w:rsidTr="00E63C68">
        <w:trPr>
          <w:gridAfter w:val="1"/>
          <w:wAfter w:w="6" w:type="dxa"/>
          <w:trHeight w:val="29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5F5"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w:t>
            </w:r>
          </w:p>
        </w:tc>
        <w:tc>
          <w:tcPr>
            <w:tcW w:w="2831" w:type="dxa"/>
            <w:tcBorders>
              <w:top w:val="nil"/>
              <w:left w:val="nil"/>
              <w:bottom w:val="single" w:sz="4" w:space="0" w:color="auto"/>
              <w:right w:val="single" w:sz="4" w:space="0" w:color="auto"/>
            </w:tcBorders>
            <w:shd w:val="clear" w:color="auto" w:fill="auto"/>
            <w:vAlign w:val="center"/>
            <w:hideMark/>
          </w:tcPr>
          <w:p w14:paraId="519B35F6"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Đất y tế</w:t>
            </w:r>
          </w:p>
        </w:tc>
        <w:tc>
          <w:tcPr>
            <w:tcW w:w="1016" w:type="dxa"/>
            <w:tcBorders>
              <w:top w:val="nil"/>
              <w:left w:val="nil"/>
              <w:bottom w:val="single" w:sz="4" w:space="0" w:color="auto"/>
              <w:right w:val="single" w:sz="4" w:space="0" w:color="auto"/>
            </w:tcBorders>
            <w:shd w:val="clear" w:color="auto" w:fill="auto"/>
            <w:vAlign w:val="center"/>
            <w:hideMark/>
          </w:tcPr>
          <w:p w14:paraId="519B35F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13,40</w:t>
            </w:r>
          </w:p>
        </w:tc>
        <w:tc>
          <w:tcPr>
            <w:tcW w:w="766" w:type="dxa"/>
            <w:tcBorders>
              <w:top w:val="nil"/>
              <w:left w:val="nil"/>
              <w:bottom w:val="single" w:sz="4" w:space="0" w:color="auto"/>
              <w:right w:val="single" w:sz="4" w:space="0" w:color="auto"/>
            </w:tcBorders>
            <w:shd w:val="clear" w:color="auto" w:fill="auto"/>
            <w:vAlign w:val="center"/>
            <w:hideMark/>
          </w:tcPr>
          <w:p w14:paraId="519B35F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5F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5F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12,95</w:t>
            </w:r>
          </w:p>
        </w:tc>
        <w:tc>
          <w:tcPr>
            <w:tcW w:w="766" w:type="dxa"/>
            <w:tcBorders>
              <w:top w:val="nil"/>
              <w:left w:val="nil"/>
              <w:bottom w:val="single" w:sz="4" w:space="0" w:color="auto"/>
              <w:right w:val="single" w:sz="4" w:space="0" w:color="auto"/>
            </w:tcBorders>
            <w:shd w:val="clear" w:color="auto" w:fill="auto"/>
            <w:vAlign w:val="center"/>
            <w:hideMark/>
          </w:tcPr>
          <w:p w14:paraId="519B35F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5F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5F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0,45</w:t>
            </w:r>
          </w:p>
        </w:tc>
        <w:tc>
          <w:tcPr>
            <w:tcW w:w="766" w:type="dxa"/>
            <w:tcBorders>
              <w:top w:val="nil"/>
              <w:left w:val="nil"/>
              <w:bottom w:val="single" w:sz="4" w:space="0" w:color="auto"/>
              <w:right w:val="single" w:sz="4" w:space="0" w:color="auto"/>
            </w:tcBorders>
            <w:shd w:val="clear" w:color="auto" w:fill="auto"/>
            <w:vAlign w:val="center"/>
            <w:hideMark/>
          </w:tcPr>
          <w:p w14:paraId="519B35FE"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5F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24,65</w:t>
            </w:r>
          </w:p>
        </w:tc>
        <w:tc>
          <w:tcPr>
            <w:tcW w:w="766" w:type="dxa"/>
            <w:tcBorders>
              <w:top w:val="nil"/>
              <w:left w:val="nil"/>
              <w:bottom w:val="single" w:sz="4" w:space="0" w:color="auto"/>
              <w:right w:val="single" w:sz="4" w:space="0" w:color="auto"/>
            </w:tcBorders>
            <w:shd w:val="clear" w:color="auto" w:fill="auto"/>
            <w:vAlign w:val="center"/>
            <w:hideMark/>
          </w:tcPr>
          <w:p w14:paraId="519B360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0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02"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24,20</w:t>
            </w:r>
          </w:p>
        </w:tc>
        <w:tc>
          <w:tcPr>
            <w:tcW w:w="766" w:type="dxa"/>
            <w:tcBorders>
              <w:top w:val="nil"/>
              <w:left w:val="nil"/>
              <w:bottom w:val="single" w:sz="4" w:space="0" w:color="auto"/>
              <w:right w:val="single" w:sz="4" w:space="0" w:color="auto"/>
            </w:tcBorders>
            <w:shd w:val="clear" w:color="auto" w:fill="auto"/>
            <w:noWrap/>
            <w:vAlign w:val="center"/>
            <w:hideMark/>
          </w:tcPr>
          <w:p w14:paraId="519B3603"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04"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05"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0,45</w:t>
            </w:r>
          </w:p>
        </w:tc>
      </w:tr>
      <w:tr w:rsidR="00E63C68" w:rsidRPr="008E63BB" w14:paraId="519B3618" w14:textId="77777777" w:rsidTr="00E63C68">
        <w:trPr>
          <w:gridAfter w:val="1"/>
          <w:wAfter w:w="6" w:type="dxa"/>
          <w:trHeight w:val="29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0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w:t>
            </w:r>
          </w:p>
        </w:tc>
        <w:tc>
          <w:tcPr>
            <w:tcW w:w="2831" w:type="dxa"/>
            <w:tcBorders>
              <w:top w:val="nil"/>
              <w:left w:val="nil"/>
              <w:bottom w:val="single" w:sz="4" w:space="0" w:color="auto"/>
              <w:right w:val="single" w:sz="4" w:space="0" w:color="auto"/>
            </w:tcBorders>
            <w:shd w:val="clear" w:color="auto" w:fill="auto"/>
            <w:vAlign w:val="center"/>
            <w:hideMark/>
          </w:tcPr>
          <w:p w14:paraId="519B3608"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Đất trường đào tạo, THCN, dạy nghề</w:t>
            </w:r>
          </w:p>
        </w:tc>
        <w:tc>
          <w:tcPr>
            <w:tcW w:w="1016" w:type="dxa"/>
            <w:tcBorders>
              <w:top w:val="nil"/>
              <w:left w:val="nil"/>
              <w:bottom w:val="single" w:sz="4" w:space="0" w:color="auto"/>
              <w:right w:val="single" w:sz="4" w:space="0" w:color="auto"/>
            </w:tcBorders>
            <w:shd w:val="clear" w:color="auto" w:fill="auto"/>
            <w:vAlign w:val="center"/>
            <w:hideMark/>
          </w:tcPr>
          <w:p w14:paraId="519B360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93,35</w:t>
            </w:r>
          </w:p>
        </w:tc>
        <w:tc>
          <w:tcPr>
            <w:tcW w:w="766" w:type="dxa"/>
            <w:tcBorders>
              <w:top w:val="nil"/>
              <w:left w:val="nil"/>
              <w:bottom w:val="single" w:sz="4" w:space="0" w:color="auto"/>
              <w:right w:val="single" w:sz="4" w:space="0" w:color="auto"/>
            </w:tcBorders>
            <w:shd w:val="clear" w:color="auto" w:fill="auto"/>
            <w:vAlign w:val="center"/>
            <w:hideMark/>
          </w:tcPr>
          <w:p w14:paraId="519B360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0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0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49,95</w:t>
            </w:r>
          </w:p>
        </w:tc>
        <w:tc>
          <w:tcPr>
            <w:tcW w:w="766" w:type="dxa"/>
            <w:tcBorders>
              <w:top w:val="nil"/>
              <w:left w:val="nil"/>
              <w:bottom w:val="single" w:sz="4" w:space="0" w:color="auto"/>
              <w:right w:val="single" w:sz="4" w:space="0" w:color="auto"/>
            </w:tcBorders>
            <w:shd w:val="clear" w:color="auto" w:fill="auto"/>
            <w:vAlign w:val="center"/>
            <w:hideMark/>
          </w:tcPr>
          <w:p w14:paraId="519B360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0E"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0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43,41</w:t>
            </w:r>
          </w:p>
        </w:tc>
        <w:tc>
          <w:tcPr>
            <w:tcW w:w="766" w:type="dxa"/>
            <w:tcBorders>
              <w:top w:val="nil"/>
              <w:left w:val="nil"/>
              <w:bottom w:val="single" w:sz="4" w:space="0" w:color="auto"/>
              <w:right w:val="single" w:sz="4" w:space="0" w:color="auto"/>
            </w:tcBorders>
            <w:shd w:val="clear" w:color="auto" w:fill="auto"/>
            <w:vAlign w:val="center"/>
            <w:hideMark/>
          </w:tcPr>
          <w:p w14:paraId="519B361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1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241,10</w:t>
            </w:r>
          </w:p>
        </w:tc>
        <w:tc>
          <w:tcPr>
            <w:tcW w:w="766" w:type="dxa"/>
            <w:tcBorders>
              <w:top w:val="nil"/>
              <w:left w:val="nil"/>
              <w:bottom w:val="single" w:sz="4" w:space="0" w:color="auto"/>
              <w:right w:val="single" w:sz="4" w:space="0" w:color="auto"/>
            </w:tcBorders>
            <w:shd w:val="clear" w:color="auto" w:fill="auto"/>
            <w:vAlign w:val="center"/>
            <w:hideMark/>
          </w:tcPr>
          <w:p w14:paraId="519B3612"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1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14" w14:textId="77777777" w:rsidR="00E63C68" w:rsidRPr="008E63BB" w:rsidRDefault="00E63C68" w:rsidP="00E63C68">
            <w:pPr>
              <w:jc w:val="center"/>
              <w:rPr>
                <w:rFonts w:eastAsia="Times New Roman"/>
                <w:i/>
                <w:iCs/>
                <w:sz w:val="20"/>
                <w:szCs w:val="20"/>
              </w:rPr>
            </w:pPr>
            <w:r w:rsidRPr="008E63BB">
              <w:rPr>
                <w:rFonts w:eastAsia="Times New Roman"/>
                <w:i/>
                <w:iCs/>
                <w:sz w:val="20"/>
                <w:szCs w:val="20"/>
              </w:rPr>
              <w:t>241,10</w:t>
            </w:r>
          </w:p>
        </w:tc>
        <w:tc>
          <w:tcPr>
            <w:tcW w:w="766" w:type="dxa"/>
            <w:tcBorders>
              <w:top w:val="nil"/>
              <w:left w:val="nil"/>
              <w:bottom w:val="single" w:sz="4" w:space="0" w:color="auto"/>
              <w:right w:val="single" w:sz="4" w:space="0" w:color="auto"/>
            </w:tcBorders>
            <w:shd w:val="clear" w:color="auto" w:fill="auto"/>
            <w:noWrap/>
            <w:vAlign w:val="center"/>
            <w:hideMark/>
          </w:tcPr>
          <w:p w14:paraId="519B3615"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16"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19B361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0,00</w:t>
            </w:r>
          </w:p>
        </w:tc>
      </w:tr>
      <w:tr w:rsidR="00E63C68" w:rsidRPr="008E63BB" w14:paraId="519B362A" w14:textId="77777777" w:rsidTr="00E63C68">
        <w:trPr>
          <w:gridAfter w:val="1"/>
          <w:wAfter w:w="6" w:type="dxa"/>
          <w:trHeight w:val="29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1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w:t>
            </w:r>
          </w:p>
        </w:tc>
        <w:tc>
          <w:tcPr>
            <w:tcW w:w="2831" w:type="dxa"/>
            <w:tcBorders>
              <w:top w:val="nil"/>
              <w:left w:val="nil"/>
              <w:bottom w:val="single" w:sz="4" w:space="0" w:color="auto"/>
              <w:right w:val="single" w:sz="4" w:space="0" w:color="auto"/>
            </w:tcBorders>
            <w:shd w:val="clear" w:color="auto" w:fill="auto"/>
            <w:vAlign w:val="center"/>
            <w:hideMark/>
          </w:tcPr>
          <w:p w14:paraId="519B361A"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xml:space="preserve">Đất xây dựng cơ sở khoa học và công nghệ </w:t>
            </w:r>
          </w:p>
        </w:tc>
        <w:tc>
          <w:tcPr>
            <w:tcW w:w="1016" w:type="dxa"/>
            <w:tcBorders>
              <w:top w:val="nil"/>
              <w:left w:val="nil"/>
              <w:bottom w:val="single" w:sz="4" w:space="0" w:color="auto"/>
              <w:right w:val="single" w:sz="4" w:space="0" w:color="auto"/>
            </w:tcBorders>
            <w:shd w:val="clear" w:color="auto" w:fill="auto"/>
            <w:vAlign w:val="center"/>
            <w:hideMark/>
          </w:tcPr>
          <w:p w14:paraId="519B361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61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1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1E"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61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2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2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22"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2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624"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25"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26"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noWrap/>
            <w:vAlign w:val="center"/>
            <w:hideMark/>
          </w:tcPr>
          <w:p w14:paraId="519B3627"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28"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c>
          <w:tcPr>
            <w:tcW w:w="916" w:type="dxa"/>
            <w:gridSpan w:val="2"/>
            <w:tcBorders>
              <w:top w:val="nil"/>
              <w:left w:val="nil"/>
              <w:bottom w:val="single" w:sz="4" w:space="0" w:color="auto"/>
              <w:right w:val="single" w:sz="4" w:space="0" w:color="auto"/>
            </w:tcBorders>
            <w:shd w:val="clear" w:color="auto" w:fill="auto"/>
            <w:noWrap/>
            <w:vAlign w:val="center"/>
            <w:hideMark/>
          </w:tcPr>
          <w:p w14:paraId="519B3629" w14:textId="77777777" w:rsidR="00E63C68" w:rsidRPr="008E63BB" w:rsidRDefault="00E63C68" w:rsidP="00E63C68">
            <w:pPr>
              <w:jc w:val="left"/>
              <w:rPr>
                <w:rFonts w:eastAsia="Times New Roman"/>
                <w:i/>
                <w:iCs/>
                <w:sz w:val="20"/>
                <w:szCs w:val="20"/>
              </w:rPr>
            </w:pPr>
            <w:r w:rsidRPr="008E63BB">
              <w:rPr>
                <w:rFonts w:eastAsia="Times New Roman"/>
                <w:i/>
                <w:iCs/>
                <w:sz w:val="20"/>
                <w:szCs w:val="20"/>
              </w:rPr>
              <w:t> </w:t>
            </w:r>
          </w:p>
        </w:tc>
      </w:tr>
      <w:tr w:rsidR="00E63C68" w:rsidRPr="008E63BB" w14:paraId="519B363C" w14:textId="77777777" w:rsidTr="00E63C68">
        <w:trPr>
          <w:gridAfter w:val="1"/>
          <w:wAfter w:w="6" w:type="dxa"/>
          <w:trHeight w:val="315"/>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2B" w14:textId="77777777" w:rsidR="00E63C68" w:rsidRPr="008E63BB" w:rsidRDefault="00E63C68" w:rsidP="00E63C68">
            <w:pPr>
              <w:jc w:val="center"/>
              <w:rPr>
                <w:rFonts w:eastAsia="Times New Roman"/>
                <w:sz w:val="20"/>
                <w:szCs w:val="20"/>
              </w:rPr>
            </w:pPr>
            <w:r w:rsidRPr="008E63BB">
              <w:rPr>
                <w:rFonts w:eastAsia="Times New Roman"/>
                <w:sz w:val="20"/>
                <w:szCs w:val="20"/>
              </w:rPr>
              <w:t>3</w:t>
            </w:r>
          </w:p>
        </w:tc>
        <w:tc>
          <w:tcPr>
            <w:tcW w:w="2831" w:type="dxa"/>
            <w:tcBorders>
              <w:top w:val="nil"/>
              <w:left w:val="nil"/>
              <w:bottom w:val="single" w:sz="4" w:space="0" w:color="auto"/>
              <w:right w:val="single" w:sz="4" w:space="0" w:color="auto"/>
            </w:tcBorders>
            <w:shd w:val="clear" w:color="auto" w:fill="auto"/>
            <w:vAlign w:val="center"/>
            <w:hideMark/>
          </w:tcPr>
          <w:p w14:paraId="519B362C" w14:textId="77777777" w:rsidR="00E63C68" w:rsidRPr="008E63BB" w:rsidRDefault="00E63C68" w:rsidP="00E63C68">
            <w:pPr>
              <w:jc w:val="left"/>
              <w:rPr>
                <w:rFonts w:eastAsia="Times New Roman"/>
                <w:sz w:val="20"/>
                <w:szCs w:val="20"/>
              </w:rPr>
            </w:pPr>
            <w:r w:rsidRPr="008E63BB">
              <w:rPr>
                <w:rFonts w:eastAsia="Times New Roman"/>
                <w:sz w:val="20"/>
                <w:szCs w:val="20"/>
              </w:rPr>
              <w:t xml:space="preserve">Đất hỗn hợp-thương mại, dịch vụ </w:t>
            </w:r>
          </w:p>
        </w:tc>
        <w:tc>
          <w:tcPr>
            <w:tcW w:w="1016" w:type="dxa"/>
            <w:tcBorders>
              <w:top w:val="nil"/>
              <w:left w:val="nil"/>
              <w:bottom w:val="single" w:sz="4" w:space="0" w:color="auto"/>
              <w:right w:val="single" w:sz="4" w:space="0" w:color="auto"/>
            </w:tcBorders>
            <w:shd w:val="clear" w:color="auto" w:fill="auto"/>
            <w:vAlign w:val="center"/>
            <w:hideMark/>
          </w:tcPr>
          <w:p w14:paraId="519B362D" w14:textId="77777777" w:rsidR="00E63C68" w:rsidRPr="008E63BB" w:rsidRDefault="00E63C68" w:rsidP="00E63C68">
            <w:pPr>
              <w:jc w:val="right"/>
              <w:rPr>
                <w:rFonts w:eastAsia="Times New Roman"/>
                <w:sz w:val="20"/>
                <w:szCs w:val="20"/>
              </w:rPr>
            </w:pPr>
            <w:r w:rsidRPr="008E63BB">
              <w:rPr>
                <w:rFonts w:eastAsia="Times New Roman"/>
                <w:sz w:val="20"/>
                <w:szCs w:val="20"/>
              </w:rPr>
              <w:t>172,81</w:t>
            </w:r>
          </w:p>
        </w:tc>
        <w:tc>
          <w:tcPr>
            <w:tcW w:w="766" w:type="dxa"/>
            <w:tcBorders>
              <w:top w:val="nil"/>
              <w:left w:val="nil"/>
              <w:bottom w:val="single" w:sz="4" w:space="0" w:color="auto"/>
              <w:right w:val="single" w:sz="4" w:space="0" w:color="auto"/>
            </w:tcBorders>
            <w:shd w:val="clear" w:color="auto" w:fill="auto"/>
            <w:vAlign w:val="center"/>
            <w:hideMark/>
          </w:tcPr>
          <w:p w14:paraId="519B362E"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2F"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30"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31"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32"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33"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172,81</w:t>
            </w:r>
          </w:p>
        </w:tc>
        <w:tc>
          <w:tcPr>
            <w:tcW w:w="766" w:type="dxa"/>
            <w:tcBorders>
              <w:top w:val="nil"/>
              <w:left w:val="nil"/>
              <w:bottom w:val="single" w:sz="4" w:space="0" w:color="auto"/>
              <w:right w:val="single" w:sz="4" w:space="0" w:color="auto"/>
            </w:tcBorders>
            <w:shd w:val="clear" w:color="auto" w:fill="auto"/>
            <w:vAlign w:val="center"/>
            <w:hideMark/>
          </w:tcPr>
          <w:p w14:paraId="519B3634"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35" w14:textId="77777777" w:rsidR="00E63C68" w:rsidRPr="008E63BB" w:rsidRDefault="00E63C68" w:rsidP="00E63C68">
            <w:pPr>
              <w:jc w:val="right"/>
              <w:rPr>
                <w:rFonts w:eastAsia="Times New Roman"/>
                <w:sz w:val="20"/>
                <w:szCs w:val="20"/>
              </w:rPr>
            </w:pPr>
            <w:r w:rsidRPr="008E63BB">
              <w:rPr>
                <w:rFonts w:eastAsia="Times New Roman"/>
                <w:sz w:val="20"/>
                <w:szCs w:val="20"/>
              </w:rPr>
              <w:t>974,97</w:t>
            </w:r>
          </w:p>
        </w:tc>
        <w:tc>
          <w:tcPr>
            <w:tcW w:w="766" w:type="dxa"/>
            <w:tcBorders>
              <w:top w:val="nil"/>
              <w:left w:val="nil"/>
              <w:bottom w:val="single" w:sz="4" w:space="0" w:color="auto"/>
              <w:right w:val="single" w:sz="4" w:space="0" w:color="auto"/>
            </w:tcBorders>
            <w:shd w:val="clear" w:color="auto" w:fill="auto"/>
            <w:vAlign w:val="center"/>
            <w:hideMark/>
          </w:tcPr>
          <w:p w14:paraId="519B3636"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37"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38" w14:textId="77777777" w:rsidR="00E63C68" w:rsidRPr="008E63BB" w:rsidRDefault="00E63C68" w:rsidP="00E63C68">
            <w:pPr>
              <w:jc w:val="right"/>
              <w:rPr>
                <w:rFonts w:eastAsia="Times New Roman"/>
                <w:sz w:val="20"/>
                <w:szCs w:val="20"/>
              </w:rPr>
            </w:pPr>
            <w:r w:rsidRPr="008E63BB">
              <w:rPr>
                <w:rFonts w:eastAsia="Times New Roman"/>
                <w:sz w:val="20"/>
                <w:szCs w:val="20"/>
              </w:rPr>
              <w:t>858,60</w:t>
            </w:r>
          </w:p>
        </w:tc>
        <w:tc>
          <w:tcPr>
            <w:tcW w:w="766" w:type="dxa"/>
            <w:tcBorders>
              <w:top w:val="nil"/>
              <w:left w:val="nil"/>
              <w:bottom w:val="single" w:sz="4" w:space="0" w:color="auto"/>
              <w:right w:val="single" w:sz="4" w:space="0" w:color="auto"/>
            </w:tcBorders>
            <w:shd w:val="clear" w:color="auto" w:fill="auto"/>
            <w:vAlign w:val="center"/>
            <w:hideMark/>
          </w:tcPr>
          <w:p w14:paraId="519B3639"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3A" w14:textId="77777777" w:rsidR="00E63C68" w:rsidRPr="008E63BB" w:rsidRDefault="00E63C68" w:rsidP="00E63C68">
            <w:pPr>
              <w:jc w:val="lef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3B" w14:textId="77777777" w:rsidR="00E63C68" w:rsidRPr="008E63BB" w:rsidRDefault="00E63C68" w:rsidP="00E63C68">
            <w:pPr>
              <w:jc w:val="right"/>
              <w:rPr>
                <w:rFonts w:eastAsia="Times New Roman"/>
                <w:sz w:val="20"/>
                <w:szCs w:val="20"/>
              </w:rPr>
            </w:pPr>
            <w:r w:rsidRPr="008E63BB">
              <w:rPr>
                <w:rFonts w:eastAsia="Times New Roman"/>
                <w:sz w:val="20"/>
                <w:szCs w:val="20"/>
              </w:rPr>
              <w:t>116,37</w:t>
            </w:r>
          </w:p>
        </w:tc>
      </w:tr>
      <w:tr w:rsidR="00E63C68" w:rsidRPr="008E63BB" w14:paraId="519B364E" w14:textId="77777777" w:rsidTr="00E63C68">
        <w:trPr>
          <w:gridAfter w:val="1"/>
          <w:wAfter w:w="6" w:type="dxa"/>
          <w:trHeight w:val="315"/>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3D" w14:textId="77777777" w:rsidR="00E63C68" w:rsidRPr="008E63BB" w:rsidRDefault="00E63C68" w:rsidP="00E63C68">
            <w:pPr>
              <w:jc w:val="center"/>
              <w:rPr>
                <w:rFonts w:eastAsia="Times New Roman"/>
                <w:sz w:val="20"/>
                <w:szCs w:val="20"/>
              </w:rPr>
            </w:pPr>
            <w:r w:rsidRPr="008E63BB">
              <w:rPr>
                <w:rFonts w:eastAsia="Times New Roman"/>
                <w:sz w:val="20"/>
                <w:szCs w:val="20"/>
              </w:rPr>
              <w:lastRenderedPageBreak/>
              <w:t>4</w:t>
            </w:r>
          </w:p>
        </w:tc>
        <w:tc>
          <w:tcPr>
            <w:tcW w:w="2831" w:type="dxa"/>
            <w:tcBorders>
              <w:top w:val="nil"/>
              <w:left w:val="nil"/>
              <w:bottom w:val="single" w:sz="4" w:space="0" w:color="auto"/>
              <w:right w:val="single" w:sz="4" w:space="0" w:color="auto"/>
            </w:tcBorders>
            <w:shd w:val="clear" w:color="auto" w:fill="auto"/>
            <w:vAlign w:val="center"/>
            <w:hideMark/>
          </w:tcPr>
          <w:p w14:paraId="519B363E" w14:textId="77777777" w:rsidR="00E63C68" w:rsidRPr="008E63BB" w:rsidRDefault="00E63C68" w:rsidP="00E63C68">
            <w:pPr>
              <w:jc w:val="left"/>
              <w:rPr>
                <w:rFonts w:eastAsia="Times New Roman"/>
                <w:sz w:val="20"/>
                <w:szCs w:val="20"/>
              </w:rPr>
            </w:pPr>
            <w:r w:rsidRPr="008E63BB">
              <w:rPr>
                <w:rFonts w:eastAsia="Times New Roman"/>
                <w:sz w:val="20"/>
                <w:szCs w:val="20"/>
              </w:rPr>
              <w:t>Đất du lịch, dịch vụ</w:t>
            </w:r>
          </w:p>
        </w:tc>
        <w:tc>
          <w:tcPr>
            <w:tcW w:w="1016" w:type="dxa"/>
            <w:tcBorders>
              <w:top w:val="nil"/>
              <w:left w:val="nil"/>
              <w:bottom w:val="single" w:sz="4" w:space="0" w:color="auto"/>
              <w:right w:val="single" w:sz="4" w:space="0" w:color="auto"/>
            </w:tcBorders>
            <w:shd w:val="clear" w:color="auto" w:fill="auto"/>
            <w:vAlign w:val="center"/>
            <w:hideMark/>
          </w:tcPr>
          <w:p w14:paraId="519B363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4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4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4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4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4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4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4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47" w14:textId="77777777" w:rsidR="00E63C68" w:rsidRPr="008E63BB" w:rsidRDefault="00E63C68" w:rsidP="00E63C68">
            <w:pPr>
              <w:jc w:val="right"/>
              <w:rPr>
                <w:rFonts w:eastAsia="Times New Roman"/>
                <w:sz w:val="20"/>
                <w:szCs w:val="20"/>
              </w:rPr>
            </w:pPr>
            <w:r w:rsidRPr="008E63BB">
              <w:rPr>
                <w:rFonts w:eastAsia="Times New Roman"/>
                <w:sz w:val="20"/>
                <w:szCs w:val="20"/>
              </w:rPr>
              <w:t>343,37</w:t>
            </w:r>
          </w:p>
        </w:tc>
        <w:tc>
          <w:tcPr>
            <w:tcW w:w="766" w:type="dxa"/>
            <w:tcBorders>
              <w:top w:val="nil"/>
              <w:left w:val="nil"/>
              <w:bottom w:val="single" w:sz="4" w:space="0" w:color="auto"/>
              <w:right w:val="single" w:sz="4" w:space="0" w:color="auto"/>
            </w:tcBorders>
            <w:shd w:val="clear" w:color="auto" w:fill="auto"/>
            <w:vAlign w:val="center"/>
            <w:hideMark/>
          </w:tcPr>
          <w:p w14:paraId="519B3648"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4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4A" w14:textId="77777777" w:rsidR="00E63C68" w:rsidRPr="008E63BB" w:rsidRDefault="00E63C68" w:rsidP="00E63C68">
            <w:pPr>
              <w:jc w:val="right"/>
              <w:rPr>
                <w:rFonts w:eastAsia="Times New Roman"/>
                <w:sz w:val="20"/>
                <w:szCs w:val="20"/>
              </w:rPr>
            </w:pPr>
            <w:r w:rsidRPr="008E63BB">
              <w:rPr>
                <w:rFonts w:eastAsia="Times New Roman"/>
                <w:sz w:val="20"/>
                <w:szCs w:val="20"/>
              </w:rPr>
              <w:t>75,12</w:t>
            </w:r>
          </w:p>
        </w:tc>
        <w:tc>
          <w:tcPr>
            <w:tcW w:w="766" w:type="dxa"/>
            <w:tcBorders>
              <w:top w:val="nil"/>
              <w:left w:val="nil"/>
              <w:bottom w:val="single" w:sz="4" w:space="0" w:color="auto"/>
              <w:right w:val="single" w:sz="4" w:space="0" w:color="auto"/>
            </w:tcBorders>
            <w:shd w:val="clear" w:color="auto" w:fill="auto"/>
            <w:noWrap/>
            <w:vAlign w:val="center"/>
            <w:hideMark/>
          </w:tcPr>
          <w:p w14:paraId="519B364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4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4D" w14:textId="77777777" w:rsidR="00E63C68" w:rsidRPr="008E63BB" w:rsidRDefault="00E63C68" w:rsidP="00E63C68">
            <w:pPr>
              <w:jc w:val="right"/>
              <w:rPr>
                <w:rFonts w:eastAsia="Times New Roman"/>
                <w:sz w:val="20"/>
                <w:szCs w:val="20"/>
              </w:rPr>
            </w:pPr>
            <w:r w:rsidRPr="008E63BB">
              <w:rPr>
                <w:rFonts w:eastAsia="Times New Roman"/>
                <w:sz w:val="20"/>
                <w:szCs w:val="20"/>
              </w:rPr>
              <w:t>268,25</w:t>
            </w:r>
          </w:p>
        </w:tc>
      </w:tr>
      <w:tr w:rsidR="00E63C68" w:rsidRPr="008E63BB" w14:paraId="519B3660" w14:textId="77777777" w:rsidTr="00EC3775">
        <w:trPr>
          <w:gridAfter w:val="1"/>
          <w:wAfter w:w="6" w:type="dxa"/>
          <w:trHeight w:val="265"/>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4F" w14:textId="77777777" w:rsidR="00E63C68" w:rsidRPr="008E63BB" w:rsidRDefault="00E63C68" w:rsidP="00E63C68">
            <w:pPr>
              <w:jc w:val="center"/>
              <w:rPr>
                <w:rFonts w:eastAsia="Times New Roman"/>
                <w:sz w:val="20"/>
                <w:szCs w:val="20"/>
              </w:rPr>
            </w:pPr>
            <w:r w:rsidRPr="008E63BB">
              <w:rPr>
                <w:rFonts w:eastAsia="Times New Roman"/>
                <w:sz w:val="20"/>
                <w:szCs w:val="20"/>
              </w:rPr>
              <w:t>5</w:t>
            </w:r>
          </w:p>
        </w:tc>
        <w:tc>
          <w:tcPr>
            <w:tcW w:w="2831" w:type="dxa"/>
            <w:tcBorders>
              <w:top w:val="nil"/>
              <w:left w:val="nil"/>
              <w:bottom w:val="single" w:sz="4" w:space="0" w:color="auto"/>
              <w:right w:val="single" w:sz="4" w:space="0" w:color="auto"/>
            </w:tcBorders>
            <w:shd w:val="clear" w:color="auto" w:fill="auto"/>
            <w:vAlign w:val="center"/>
            <w:hideMark/>
          </w:tcPr>
          <w:p w14:paraId="519B3650" w14:textId="77777777" w:rsidR="00E63C68" w:rsidRPr="008E63BB" w:rsidRDefault="00E63C68" w:rsidP="00E63C68">
            <w:pPr>
              <w:jc w:val="left"/>
              <w:rPr>
                <w:rFonts w:eastAsia="Times New Roman"/>
                <w:sz w:val="20"/>
                <w:szCs w:val="20"/>
              </w:rPr>
            </w:pPr>
            <w:r w:rsidRPr="008E63BB">
              <w:rPr>
                <w:rFonts w:eastAsia="Times New Roman"/>
                <w:sz w:val="20"/>
                <w:szCs w:val="20"/>
              </w:rPr>
              <w:t>Đất công nghiệp</w:t>
            </w:r>
          </w:p>
        </w:tc>
        <w:tc>
          <w:tcPr>
            <w:tcW w:w="1016" w:type="dxa"/>
            <w:tcBorders>
              <w:top w:val="nil"/>
              <w:left w:val="nil"/>
              <w:bottom w:val="single" w:sz="4" w:space="0" w:color="auto"/>
              <w:right w:val="single" w:sz="4" w:space="0" w:color="auto"/>
            </w:tcBorders>
            <w:shd w:val="clear" w:color="auto" w:fill="auto"/>
            <w:vAlign w:val="center"/>
            <w:hideMark/>
          </w:tcPr>
          <w:p w14:paraId="519B3651" w14:textId="77777777" w:rsidR="00E63C68" w:rsidRPr="008E63BB" w:rsidRDefault="00E63C68" w:rsidP="00E63C68">
            <w:pPr>
              <w:jc w:val="right"/>
              <w:rPr>
                <w:rFonts w:eastAsia="Times New Roman"/>
                <w:sz w:val="20"/>
                <w:szCs w:val="20"/>
              </w:rPr>
            </w:pPr>
            <w:r w:rsidRPr="008E63BB">
              <w:rPr>
                <w:rFonts w:eastAsia="Times New Roman"/>
                <w:sz w:val="20"/>
                <w:szCs w:val="20"/>
              </w:rPr>
              <w:t>733,15</w:t>
            </w:r>
          </w:p>
        </w:tc>
        <w:tc>
          <w:tcPr>
            <w:tcW w:w="766" w:type="dxa"/>
            <w:tcBorders>
              <w:top w:val="nil"/>
              <w:left w:val="nil"/>
              <w:bottom w:val="single" w:sz="4" w:space="0" w:color="auto"/>
              <w:right w:val="single" w:sz="4" w:space="0" w:color="auto"/>
            </w:tcBorders>
            <w:shd w:val="clear" w:color="auto" w:fill="auto"/>
            <w:vAlign w:val="center"/>
            <w:hideMark/>
          </w:tcPr>
          <w:p w14:paraId="519B365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5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54" w14:textId="77777777" w:rsidR="00E63C68" w:rsidRPr="008E63BB" w:rsidRDefault="00E63C68" w:rsidP="00E63C68">
            <w:pPr>
              <w:jc w:val="right"/>
              <w:rPr>
                <w:rFonts w:eastAsia="Times New Roman"/>
                <w:sz w:val="20"/>
                <w:szCs w:val="20"/>
              </w:rPr>
            </w:pPr>
            <w:r w:rsidRPr="008E63BB">
              <w:rPr>
                <w:rFonts w:eastAsia="Times New Roman"/>
                <w:sz w:val="20"/>
                <w:szCs w:val="20"/>
              </w:rPr>
              <w:t>574,68</w:t>
            </w:r>
          </w:p>
        </w:tc>
        <w:tc>
          <w:tcPr>
            <w:tcW w:w="766" w:type="dxa"/>
            <w:tcBorders>
              <w:top w:val="nil"/>
              <w:left w:val="nil"/>
              <w:bottom w:val="single" w:sz="4" w:space="0" w:color="auto"/>
              <w:right w:val="single" w:sz="4" w:space="0" w:color="auto"/>
            </w:tcBorders>
            <w:shd w:val="clear" w:color="auto" w:fill="auto"/>
            <w:vAlign w:val="center"/>
            <w:hideMark/>
          </w:tcPr>
          <w:p w14:paraId="519B365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5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57" w14:textId="77777777" w:rsidR="00E63C68" w:rsidRPr="008E63BB" w:rsidRDefault="00E63C68" w:rsidP="00E63C68">
            <w:pPr>
              <w:jc w:val="right"/>
              <w:rPr>
                <w:rFonts w:eastAsia="Times New Roman"/>
                <w:sz w:val="20"/>
                <w:szCs w:val="20"/>
              </w:rPr>
            </w:pPr>
            <w:r w:rsidRPr="008E63BB">
              <w:rPr>
                <w:rFonts w:eastAsia="Times New Roman"/>
                <w:sz w:val="20"/>
                <w:szCs w:val="20"/>
              </w:rPr>
              <w:t>158,47</w:t>
            </w:r>
          </w:p>
        </w:tc>
        <w:tc>
          <w:tcPr>
            <w:tcW w:w="766" w:type="dxa"/>
            <w:tcBorders>
              <w:top w:val="nil"/>
              <w:left w:val="nil"/>
              <w:bottom w:val="single" w:sz="4" w:space="0" w:color="auto"/>
              <w:right w:val="single" w:sz="4" w:space="0" w:color="auto"/>
            </w:tcBorders>
            <w:shd w:val="clear" w:color="auto" w:fill="auto"/>
            <w:vAlign w:val="center"/>
            <w:hideMark/>
          </w:tcPr>
          <w:p w14:paraId="519B365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59" w14:textId="77777777" w:rsidR="00E63C68" w:rsidRPr="008E63BB" w:rsidRDefault="00E63C68" w:rsidP="00E63C68">
            <w:pPr>
              <w:jc w:val="right"/>
              <w:rPr>
                <w:rFonts w:eastAsia="Times New Roman"/>
                <w:sz w:val="20"/>
                <w:szCs w:val="20"/>
              </w:rPr>
            </w:pPr>
            <w:r w:rsidRPr="008E63BB">
              <w:rPr>
                <w:rFonts w:eastAsia="Times New Roman"/>
                <w:sz w:val="20"/>
                <w:szCs w:val="20"/>
              </w:rPr>
              <w:t>1.001,25</w:t>
            </w:r>
          </w:p>
        </w:tc>
        <w:tc>
          <w:tcPr>
            <w:tcW w:w="766" w:type="dxa"/>
            <w:tcBorders>
              <w:top w:val="nil"/>
              <w:left w:val="nil"/>
              <w:bottom w:val="single" w:sz="4" w:space="0" w:color="auto"/>
              <w:right w:val="single" w:sz="4" w:space="0" w:color="auto"/>
            </w:tcBorders>
            <w:shd w:val="clear" w:color="auto" w:fill="auto"/>
            <w:vAlign w:val="center"/>
            <w:hideMark/>
          </w:tcPr>
          <w:p w14:paraId="519B365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5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5C" w14:textId="77777777" w:rsidR="00E63C68" w:rsidRPr="008E63BB" w:rsidRDefault="00E63C68" w:rsidP="00E63C68">
            <w:pPr>
              <w:jc w:val="right"/>
              <w:rPr>
                <w:rFonts w:eastAsia="Times New Roman"/>
                <w:sz w:val="20"/>
                <w:szCs w:val="20"/>
              </w:rPr>
            </w:pPr>
            <w:r w:rsidRPr="008E63BB">
              <w:rPr>
                <w:rFonts w:eastAsia="Times New Roman"/>
                <w:sz w:val="20"/>
                <w:szCs w:val="20"/>
              </w:rPr>
              <w:t>609,58</w:t>
            </w:r>
          </w:p>
        </w:tc>
        <w:tc>
          <w:tcPr>
            <w:tcW w:w="766" w:type="dxa"/>
            <w:tcBorders>
              <w:top w:val="nil"/>
              <w:left w:val="nil"/>
              <w:bottom w:val="single" w:sz="4" w:space="0" w:color="auto"/>
              <w:right w:val="single" w:sz="4" w:space="0" w:color="auto"/>
            </w:tcBorders>
            <w:shd w:val="clear" w:color="auto" w:fill="auto"/>
            <w:noWrap/>
            <w:vAlign w:val="center"/>
            <w:hideMark/>
          </w:tcPr>
          <w:p w14:paraId="519B365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5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5F" w14:textId="77777777" w:rsidR="00E63C68" w:rsidRPr="008E63BB" w:rsidRDefault="00E63C68" w:rsidP="00E63C68">
            <w:pPr>
              <w:jc w:val="right"/>
              <w:rPr>
                <w:rFonts w:eastAsia="Times New Roman"/>
                <w:sz w:val="20"/>
                <w:szCs w:val="20"/>
              </w:rPr>
            </w:pPr>
            <w:r w:rsidRPr="008E63BB">
              <w:rPr>
                <w:rFonts w:eastAsia="Times New Roman"/>
                <w:sz w:val="20"/>
                <w:szCs w:val="20"/>
              </w:rPr>
              <w:t>391,67</w:t>
            </w:r>
          </w:p>
        </w:tc>
      </w:tr>
      <w:tr w:rsidR="00E63C68" w:rsidRPr="008E63BB" w14:paraId="519B3672" w14:textId="77777777" w:rsidTr="00EC3775">
        <w:trPr>
          <w:gridAfter w:val="1"/>
          <w:wAfter w:w="6" w:type="dxa"/>
          <w:trHeight w:val="277"/>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61" w14:textId="77777777" w:rsidR="00E63C68" w:rsidRPr="008E63BB" w:rsidRDefault="00E63C68" w:rsidP="00E63C68">
            <w:pPr>
              <w:jc w:val="center"/>
              <w:rPr>
                <w:rFonts w:eastAsia="Times New Roman"/>
                <w:sz w:val="20"/>
                <w:szCs w:val="20"/>
              </w:rPr>
            </w:pPr>
            <w:r w:rsidRPr="008E63BB">
              <w:rPr>
                <w:rFonts w:eastAsia="Times New Roman"/>
                <w:sz w:val="20"/>
                <w:szCs w:val="20"/>
              </w:rPr>
              <w:t>6</w:t>
            </w:r>
          </w:p>
        </w:tc>
        <w:tc>
          <w:tcPr>
            <w:tcW w:w="2831" w:type="dxa"/>
            <w:tcBorders>
              <w:top w:val="nil"/>
              <w:left w:val="nil"/>
              <w:bottom w:val="single" w:sz="4" w:space="0" w:color="auto"/>
              <w:right w:val="single" w:sz="4" w:space="0" w:color="auto"/>
            </w:tcBorders>
            <w:shd w:val="clear" w:color="auto" w:fill="auto"/>
            <w:vAlign w:val="center"/>
            <w:hideMark/>
          </w:tcPr>
          <w:p w14:paraId="519B3662" w14:textId="77777777" w:rsidR="00E63C68" w:rsidRPr="008E63BB" w:rsidRDefault="00E63C68" w:rsidP="00E63C68">
            <w:pPr>
              <w:jc w:val="left"/>
              <w:rPr>
                <w:rFonts w:eastAsia="Times New Roman"/>
                <w:sz w:val="20"/>
                <w:szCs w:val="20"/>
              </w:rPr>
            </w:pPr>
            <w:r w:rsidRPr="008E63BB">
              <w:rPr>
                <w:rFonts w:eastAsia="Times New Roman"/>
                <w:sz w:val="20"/>
                <w:szCs w:val="20"/>
              </w:rPr>
              <w:t>Đất kho tàng bến bãi - logistic</w:t>
            </w:r>
          </w:p>
        </w:tc>
        <w:tc>
          <w:tcPr>
            <w:tcW w:w="1016" w:type="dxa"/>
            <w:tcBorders>
              <w:top w:val="nil"/>
              <w:left w:val="nil"/>
              <w:bottom w:val="single" w:sz="4" w:space="0" w:color="auto"/>
              <w:right w:val="single" w:sz="4" w:space="0" w:color="auto"/>
            </w:tcBorders>
            <w:shd w:val="clear" w:color="auto" w:fill="auto"/>
            <w:vAlign w:val="center"/>
            <w:hideMark/>
          </w:tcPr>
          <w:p w14:paraId="519B366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6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6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6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6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6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69"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6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6B" w14:textId="77777777" w:rsidR="00E63C68" w:rsidRPr="008E63BB" w:rsidRDefault="00E63C68" w:rsidP="00E63C68">
            <w:pPr>
              <w:jc w:val="right"/>
              <w:rPr>
                <w:rFonts w:eastAsia="Times New Roman"/>
                <w:sz w:val="20"/>
                <w:szCs w:val="20"/>
              </w:rPr>
            </w:pPr>
            <w:r w:rsidRPr="008E63BB">
              <w:rPr>
                <w:rFonts w:eastAsia="Times New Roman"/>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66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6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6E" w14:textId="77777777" w:rsidR="00E63C68" w:rsidRPr="008E63BB" w:rsidRDefault="00E63C68" w:rsidP="00E63C68">
            <w:pPr>
              <w:jc w:val="right"/>
              <w:rPr>
                <w:rFonts w:eastAsia="Times New Roman"/>
                <w:sz w:val="20"/>
                <w:szCs w:val="20"/>
              </w:rPr>
            </w:pPr>
            <w:r w:rsidRPr="008E63BB">
              <w:rPr>
                <w:rFonts w:eastAsia="Times New Roman"/>
                <w:sz w:val="20"/>
                <w:szCs w:val="20"/>
              </w:rPr>
              <w:t>0,00</w:t>
            </w:r>
          </w:p>
        </w:tc>
        <w:tc>
          <w:tcPr>
            <w:tcW w:w="766" w:type="dxa"/>
            <w:tcBorders>
              <w:top w:val="nil"/>
              <w:left w:val="nil"/>
              <w:bottom w:val="single" w:sz="4" w:space="0" w:color="auto"/>
              <w:right w:val="single" w:sz="4" w:space="0" w:color="auto"/>
            </w:tcBorders>
            <w:shd w:val="clear" w:color="auto" w:fill="auto"/>
            <w:noWrap/>
            <w:vAlign w:val="center"/>
            <w:hideMark/>
          </w:tcPr>
          <w:p w14:paraId="519B366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7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71" w14:textId="77777777" w:rsidR="00E63C68" w:rsidRPr="008E63BB" w:rsidRDefault="00E63C68" w:rsidP="00E63C68">
            <w:pPr>
              <w:jc w:val="right"/>
              <w:rPr>
                <w:rFonts w:eastAsia="Times New Roman"/>
                <w:sz w:val="20"/>
                <w:szCs w:val="20"/>
              </w:rPr>
            </w:pPr>
            <w:r w:rsidRPr="008E63BB">
              <w:rPr>
                <w:rFonts w:eastAsia="Times New Roman"/>
                <w:sz w:val="20"/>
                <w:szCs w:val="20"/>
              </w:rPr>
              <w:t>100,00</w:t>
            </w:r>
          </w:p>
        </w:tc>
      </w:tr>
      <w:tr w:rsidR="00E63C68" w:rsidRPr="008E63BB" w14:paraId="519B3684" w14:textId="77777777" w:rsidTr="00EC3775">
        <w:trPr>
          <w:gridAfter w:val="1"/>
          <w:wAfter w:w="6" w:type="dxa"/>
          <w:trHeight w:val="277"/>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73" w14:textId="77777777" w:rsidR="00E63C68" w:rsidRPr="008E63BB" w:rsidRDefault="00E63C68" w:rsidP="00E63C68">
            <w:pPr>
              <w:jc w:val="center"/>
              <w:rPr>
                <w:rFonts w:eastAsia="Times New Roman"/>
                <w:sz w:val="20"/>
                <w:szCs w:val="20"/>
              </w:rPr>
            </w:pPr>
            <w:r w:rsidRPr="008E63BB">
              <w:rPr>
                <w:rFonts w:eastAsia="Times New Roman"/>
                <w:sz w:val="20"/>
                <w:szCs w:val="20"/>
              </w:rPr>
              <w:t>7</w:t>
            </w:r>
          </w:p>
        </w:tc>
        <w:tc>
          <w:tcPr>
            <w:tcW w:w="2831" w:type="dxa"/>
            <w:tcBorders>
              <w:top w:val="nil"/>
              <w:left w:val="nil"/>
              <w:bottom w:val="single" w:sz="4" w:space="0" w:color="auto"/>
              <w:right w:val="single" w:sz="4" w:space="0" w:color="auto"/>
            </w:tcBorders>
            <w:shd w:val="clear" w:color="auto" w:fill="auto"/>
            <w:vAlign w:val="center"/>
            <w:hideMark/>
          </w:tcPr>
          <w:p w14:paraId="519B3674" w14:textId="77777777" w:rsidR="00E63C68" w:rsidRPr="008E63BB" w:rsidRDefault="00E63C68" w:rsidP="00E63C68">
            <w:pPr>
              <w:jc w:val="left"/>
              <w:rPr>
                <w:rFonts w:eastAsia="Times New Roman"/>
                <w:sz w:val="20"/>
                <w:szCs w:val="20"/>
              </w:rPr>
            </w:pPr>
            <w:r w:rsidRPr="008E63BB">
              <w:rPr>
                <w:rFonts w:eastAsia="Times New Roman"/>
                <w:sz w:val="20"/>
                <w:szCs w:val="20"/>
              </w:rPr>
              <w:t>Đất bãi thải, xử lý chất thải rắn</w:t>
            </w:r>
          </w:p>
        </w:tc>
        <w:tc>
          <w:tcPr>
            <w:tcW w:w="1016" w:type="dxa"/>
            <w:tcBorders>
              <w:top w:val="nil"/>
              <w:left w:val="nil"/>
              <w:bottom w:val="single" w:sz="4" w:space="0" w:color="auto"/>
              <w:right w:val="single" w:sz="4" w:space="0" w:color="auto"/>
            </w:tcBorders>
            <w:shd w:val="clear" w:color="auto" w:fill="auto"/>
            <w:vAlign w:val="center"/>
            <w:hideMark/>
          </w:tcPr>
          <w:p w14:paraId="519B3675" w14:textId="77777777" w:rsidR="00E63C68" w:rsidRPr="008E63BB" w:rsidRDefault="00E63C68" w:rsidP="00E63C68">
            <w:pPr>
              <w:jc w:val="right"/>
              <w:rPr>
                <w:rFonts w:eastAsia="Times New Roman"/>
                <w:sz w:val="20"/>
                <w:szCs w:val="20"/>
              </w:rPr>
            </w:pPr>
            <w:r w:rsidRPr="008E63BB">
              <w:rPr>
                <w:rFonts w:eastAsia="Times New Roman"/>
                <w:sz w:val="20"/>
                <w:szCs w:val="20"/>
              </w:rPr>
              <w:t>41,60</w:t>
            </w:r>
          </w:p>
        </w:tc>
        <w:tc>
          <w:tcPr>
            <w:tcW w:w="766" w:type="dxa"/>
            <w:tcBorders>
              <w:top w:val="nil"/>
              <w:left w:val="nil"/>
              <w:bottom w:val="single" w:sz="4" w:space="0" w:color="auto"/>
              <w:right w:val="single" w:sz="4" w:space="0" w:color="auto"/>
            </w:tcBorders>
            <w:shd w:val="clear" w:color="auto" w:fill="auto"/>
            <w:vAlign w:val="center"/>
            <w:hideMark/>
          </w:tcPr>
          <w:p w14:paraId="519B3676"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77"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7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23,46</w:t>
            </w:r>
          </w:p>
        </w:tc>
        <w:tc>
          <w:tcPr>
            <w:tcW w:w="766" w:type="dxa"/>
            <w:tcBorders>
              <w:top w:val="nil"/>
              <w:left w:val="nil"/>
              <w:bottom w:val="single" w:sz="4" w:space="0" w:color="auto"/>
              <w:right w:val="single" w:sz="4" w:space="0" w:color="auto"/>
            </w:tcBorders>
            <w:shd w:val="clear" w:color="auto" w:fill="auto"/>
            <w:vAlign w:val="center"/>
            <w:hideMark/>
          </w:tcPr>
          <w:p w14:paraId="519B367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7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7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18,14</w:t>
            </w:r>
          </w:p>
        </w:tc>
        <w:tc>
          <w:tcPr>
            <w:tcW w:w="766" w:type="dxa"/>
            <w:tcBorders>
              <w:top w:val="nil"/>
              <w:left w:val="nil"/>
              <w:bottom w:val="single" w:sz="4" w:space="0" w:color="auto"/>
              <w:right w:val="single" w:sz="4" w:space="0" w:color="auto"/>
            </w:tcBorders>
            <w:shd w:val="clear" w:color="auto" w:fill="auto"/>
            <w:vAlign w:val="center"/>
            <w:hideMark/>
          </w:tcPr>
          <w:p w14:paraId="519B367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7D" w14:textId="77777777" w:rsidR="00E63C68" w:rsidRPr="008E63BB" w:rsidRDefault="00E63C68" w:rsidP="00E63C68">
            <w:pPr>
              <w:jc w:val="right"/>
              <w:rPr>
                <w:rFonts w:eastAsia="Times New Roman"/>
                <w:sz w:val="20"/>
                <w:szCs w:val="20"/>
              </w:rPr>
            </w:pPr>
            <w:r w:rsidRPr="008E63BB">
              <w:rPr>
                <w:rFonts w:eastAsia="Times New Roman"/>
                <w:sz w:val="20"/>
                <w:szCs w:val="20"/>
              </w:rPr>
              <w:t>104,30</w:t>
            </w:r>
          </w:p>
        </w:tc>
        <w:tc>
          <w:tcPr>
            <w:tcW w:w="766" w:type="dxa"/>
            <w:tcBorders>
              <w:top w:val="nil"/>
              <w:left w:val="nil"/>
              <w:bottom w:val="single" w:sz="4" w:space="0" w:color="auto"/>
              <w:right w:val="single" w:sz="4" w:space="0" w:color="auto"/>
            </w:tcBorders>
            <w:shd w:val="clear" w:color="auto" w:fill="auto"/>
            <w:vAlign w:val="center"/>
            <w:hideMark/>
          </w:tcPr>
          <w:p w14:paraId="519B367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7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80" w14:textId="77777777" w:rsidR="00E63C68" w:rsidRPr="008E63BB" w:rsidRDefault="00E63C68" w:rsidP="00E63C68">
            <w:pPr>
              <w:jc w:val="right"/>
              <w:rPr>
                <w:rFonts w:eastAsia="Times New Roman"/>
                <w:sz w:val="20"/>
                <w:szCs w:val="20"/>
              </w:rPr>
            </w:pPr>
            <w:r w:rsidRPr="008E63BB">
              <w:rPr>
                <w:rFonts w:eastAsia="Times New Roman"/>
                <w:sz w:val="20"/>
                <w:szCs w:val="20"/>
              </w:rPr>
              <w:t>71,01</w:t>
            </w:r>
          </w:p>
        </w:tc>
        <w:tc>
          <w:tcPr>
            <w:tcW w:w="766" w:type="dxa"/>
            <w:tcBorders>
              <w:top w:val="nil"/>
              <w:left w:val="nil"/>
              <w:bottom w:val="single" w:sz="4" w:space="0" w:color="auto"/>
              <w:right w:val="single" w:sz="4" w:space="0" w:color="auto"/>
            </w:tcBorders>
            <w:shd w:val="clear" w:color="auto" w:fill="auto"/>
            <w:noWrap/>
            <w:vAlign w:val="center"/>
            <w:hideMark/>
          </w:tcPr>
          <w:p w14:paraId="519B368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8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83" w14:textId="77777777" w:rsidR="00E63C68" w:rsidRPr="008E63BB" w:rsidRDefault="00E63C68" w:rsidP="00E63C68">
            <w:pPr>
              <w:jc w:val="right"/>
              <w:rPr>
                <w:rFonts w:eastAsia="Times New Roman"/>
                <w:sz w:val="20"/>
                <w:szCs w:val="20"/>
              </w:rPr>
            </w:pPr>
            <w:r w:rsidRPr="008E63BB">
              <w:rPr>
                <w:rFonts w:eastAsia="Times New Roman"/>
                <w:sz w:val="20"/>
                <w:szCs w:val="20"/>
              </w:rPr>
              <w:t>33,29</w:t>
            </w:r>
          </w:p>
        </w:tc>
      </w:tr>
      <w:tr w:rsidR="00E63C68" w:rsidRPr="008E63BB" w14:paraId="519B3696"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85" w14:textId="77777777" w:rsidR="00E63C68" w:rsidRPr="008E63BB" w:rsidRDefault="00E63C68" w:rsidP="00E63C68">
            <w:pPr>
              <w:jc w:val="center"/>
              <w:rPr>
                <w:rFonts w:eastAsia="Times New Roman"/>
                <w:sz w:val="20"/>
                <w:szCs w:val="20"/>
              </w:rPr>
            </w:pPr>
            <w:r w:rsidRPr="008E63BB">
              <w:rPr>
                <w:rFonts w:eastAsia="Times New Roman"/>
                <w:sz w:val="20"/>
                <w:szCs w:val="20"/>
              </w:rPr>
              <w:t>8</w:t>
            </w:r>
          </w:p>
        </w:tc>
        <w:tc>
          <w:tcPr>
            <w:tcW w:w="2831" w:type="dxa"/>
            <w:tcBorders>
              <w:top w:val="nil"/>
              <w:left w:val="nil"/>
              <w:bottom w:val="single" w:sz="4" w:space="0" w:color="auto"/>
              <w:right w:val="single" w:sz="4" w:space="0" w:color="auto"/>
            </w:tcBorders>
            <w:shd w:val="clear" w:color="auto" w:fill="auto"/>
            <w:vAlign w:val="center"/>
            <w:hideMark/>
          </w:tcPr>
          <w:p w14:paraId="519B3686" w14:textId="77777777" w:rsidR="00E63C68" w:rsidRPr="008E63BB" w:rsidRDefault="00E63C68" w:rsidP="00E63C68">
            <w:pPr>
              <w:jc w:val="left"/>
              <w:rPr>
                <w:rFonts w:eastAsia="Times New Roman"/>
                <w:sz w:val="20"/>
                <w:szCs w:val="20"/>
              </w:rPr>
            </w:pPr>
            <w:r w:rsidRPr="008E63BB">
              <w:rPr>
                <w:rFonts w:eastAsia="Times New Roman"/>
                <w:sz w:val="20"/>
                <w:szCs w:val="20"/>
              </w:rPr>
              <w:t>Đất giao thông đối ngoại</w:t>
            </w:r>
          </w:p>
        </w:tc>
        <w:tc>
          <w:tcPr>
            <w:tcW w:w="1016" w:type="dxa"/>
            <w:tcBorders>
              <w:top w:val="nil"/>
              <w:left w:val="nil"/>
              <w:bottom w:val="single" w:sz="4" w:space="0" w:color="auto"/>
              <w:right w:val="single" w:sz="4" w:space="0" w:color="auto"/>
            </w:tcBorders>
            <w:shd w:val="clear" w:color="auto" w:fill="auto"/>
            <w:vAlign w:val="center"/>
            <w:hideMark/>
          </w:tcPr>
          <w:p w14:paraId="519B3687" w14:textId="77777777" w:rsidR="00E63C68" w:rsidRPr="008E63BB" w:rsidRDefault="00E63C68" w:rsidP="00E63C68">
            <w:pPr>
              <w:jc w:val="right"/>
              <w:rPr>
                <w:rFonts w:eastAsia="Times New Roman"/>
                <w:sz w:val="20"/>
                <w:szCs w:val="20"/>
              </w:rPr>
            </w:pPr>
            <w:r w:rsidRPr="008E63BB">
              <w:rPr>
                <w:rFonts w:eastAsia="Times New Roman"/>
                <w:sz w:val="20"/>
                <w:szCs w:val="20"/>
              </w:rPr>
              <w:t>298,59</w:t>
            </w:r>
          </w:p>
        </w:tc>
        <w:tc>
          <w:tcPr>
            <w:tcW w:w="766" w:type="dxa"/>
            <w:tcBorders>
              <w:top w:val="nil"/>
              <w:left w:val="nil"/>
              <w:bottom w:val="single" w:sz="4" w:space="0" w:color="auto"/>
              <w:right w:val="single" w:sz="4" w:space="0" w:color="auto"/>
            </w:tcBorders>
            <w:shd w:val="clear" w:color="auto" w:fill="auto"/>
            <w:vAlign w:val="center"/>
            <w:hideMark/>
          </w:tcPr>
          <w:p w14:paraId="519B3688"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89"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8A"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158,00</w:t>
            </w:r>
          </w:p>
        </w:tc>
        <w:tc>
          <w:tcPr>
            <w:tcW w:w="766" w:type="dxa"/>
            <w:tcBorders>
              <w:top w:val="nil"/>
              <w:left w:val="nil"/>
              <w:bottom w:val="single" w:sz="4" w:space="0" w:color="auto"/>
              <w:right w:val="single" w:sz="4" w:space="0" w:color="auto"/>
            </w:tcBorders>
            <w:shd w:val="clear" w:color="auto" w:fill="auto"/>
            <w:vAlign w:val="center"/>
            <w:hideMark/>
          </w:tcPr>
          <w:p w14:paraId="519B368B"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8C"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8D"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140,59</w:t>
            </w:r>
          </w:p>
        </w:tc>
        <w:tc>
          <w:tcPr>
            <w:tcW w:w="766" w:type="dxa"/>
            <w:tcBorders>
              <w:top w:val="nil"/>
              <w:left w:val="nil"/>
              <w:bottom w:val="single" w:sz="4" w:space="0" w:color="auto"/>
              <w:right w:val="single" w:sz="4" w:space="0" w:color="auto"/>
            </w:tcBorders>
            <w:shd w:val="clear" w:color="auto" w:fill="auto"/>
            <w:vAlign w:val="center"/>
            <w:hideMark/>
          </w:tcPr>
          <w:p w14:paraId="519B368E" w14:textId="77777777" w:rsidR="00E63C68" w:rsidRPr="008E63BB" w:rsidRDefault="00E63C68" w:rsidP="00E63C68">
            <w:pPr>
              <w:jc w:val="right"/>
              <w:rPr>
                <w:rFonts w:eastAsia="Times New Roman"/>
                <w:i/>
                <w:iCs/>
                <w:sz w:val="20"/>
                <w:szCs w:val="20"/>
              </w:rPr>
            </w:pPr>
            <w:r w:rsidRPr="008E63BB">
              <w:rPr>
                <w:rFonts w:eastAsia="Times New Roman"/>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8F" w14:textId="77777777" w:rsidR="00E63C68" w:rsidRPr="008E63BB" w:rsidRDefault="00E63C68" w:rsidP="00E63C68">
            <w:pPr>
              <w:jc w:val="right"/>
              <w:rPr>
                <w:rFonts w:eastAsia="Times New Roman"/>
                <w:sz w:val="20"/>
                <w:szCs w:val="20"/>
              </w:rPr>
            </w:pPr>
            <w:r w:rsidRPr="008E63BB">
              <w:rPr>
                <w:rFonts w:eastAsia="Times New Roman"/>
                <w:sz w:val="20"/>
                <w:szCs w:val="20"/>
              </w:rPr>
              <w:t>430,00</w:t>
            </w:r>
          </w:p>
        </w:tc>
        <w:tc>
          <w:tcPr>
            <w:tcW w:w="766" w:type="dxa"/>
            <w:tcBorders>
              <w:top w:val="nil"/>
              <w:left w:val="nil"/>
              <w:bottom w:val="single" w:sz="4" w:space="0" w:color="auto"/>
              <w:right w:val="single" w:sz="4" w:space="0" w:color="auto"/>
            </w:tcBorders>
            <w:shd w:val="clear" w:color="auto" w:fill="auto"/>
            <w:vAlign w:val="center"/>
            <w:hideMark/>
          </w:tcPr>
          <w:p w14:paraId="519B369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9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92" w14:textId="77777777" w:rsidR="00E63C68" w:rsidRPr="008E63BB" w:rsidRDefault="00E63C68" w:rsidP="00E63C68">
            <w:pPr>
              <w:jc w:val="right"/>
              <w:rPr>
                <w:rFonts w:eastAsia="Times New Roman"/>
                <w:sz w:val="20"/>
                <w:szCs w:val="20"/>
              </w:rPr>
            </w:pPr>
            <w:r w:rsidRPr="008E63BB">
              <w:rPr>
                <w:rFonts w:eastAsia="Times New Roman"/>
                <w:sz w:val="20"/>
                <w:szCs w:val="20"/>
              </w:rPr>
              <w:t>160,00</w:t>
            </w:r>
          </w:p>
        </w:tc>
        <w:tc>
          <w:tcPr>
            <w:tcW w:w="766" w:type="dxa"/>
            <w:tcBorders>
              <w:top w:val="nil"/>
              <w:left w:val="nil"/>
              <w:bottom w:val="single" w:sz="4" w:space="0" w:color="auto"/>
              <w:right w:val="single" w:sz="4" w:space="0" w:color="auto"/>
            </w:tcBorders>
            <w:shd w:val="clear" w:color="auto" w:fill="auto"/>
            <w:noWrap/>
            <w:vAlign w:val="center"/>
            <w:hideMark/>
          </w:tcPr>
          <w:p w14:paraId="519B369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9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95" w14:textId="77777777" w:rsidR="00E63C68" w:rsidRPr="008E63BB" w:rsidRDefault="00E63C68" w:rsidP="00E63C68">
            <w:pPr>
              <w:jc w:val="right"/>
              <w:rPr>
                <w:rFonts w:eastAsia="Times New Roman"/>
                <w:sz w:val="20"/>
                <w:szCs w:val="20"/>
              </w:rPr>
            </w:pPr>
            <w:r w:rsidRPr="008E63BB">
              <w:rPr>
                <w:rFonts w:eastAsia="Times New Roman"/>
                <w:sz w:val="20"/>
                <w:szCs w:val="20"/>
              </w:rPr>
              <w:t>270,00</w:t>
            </w:r>
          </w:p>
        </w:tc>
      </w:tr>
      <w:tr w:rsidR="00E63C68" w:rsidRPr="008E63BB" w14:paraId="519B36A8"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97" w14:textId="77777777" w:rsidR="00E63C68" w:rsidRPr="008E63BB" w:rsidRDefault="00E63C68" w:rsidP="00E63C68">
            <w:pPr>
              <w:jc w:val="center"/>
              <w:rPr>
                <w:rFonts w:eastAsia="Times New Roman"/>
                <w:b/>
                <w:bCs/>
                <w:sz w:val="20"/>
                <w:szCs w:val="20"/>
              </w:rPr>
            </w:pPr>
            <w:r w:rsidRPr="008E63BB">
              <w:rPr>
                <w:rFonts w:eastAsia="Times New Roman"/>
                <w:b/>
                <w:bCs/>
                <w:sz w:val="20"/>
                <w:szCs w:val="20"/>
              </w:rPr>
              <w:t>B</w:t>
            </w:r>
          </w:p>
        </w:tc>
        <w:tc>
          <w:tcPr>
            <w:tcW w:w="2831" w:type="dxa"/>
            <w:tcBorders>
              <w:top w:val="nil"/>
              <w:left w:val="nil"/>
              <w:bottom w:val="single" w:sz="4" w:space="0" w:color="auto"/>
              <w:right w:val="single" w:sz="4" w:space="0" w:color="auto"/>
            </w:tcBorders>
            <w:shd w:val="clear" w:color="auto" w:fill="auto"/>
            <w:vAlign w:val="center"/>
            <w:hideMark/>
          </w:tcPr>
          <w:p w14:paraId="519B3698" w14:textId="77777777" w:rsidR="00E63C68" w:rsidRPr="008E63BB" w:rsidRDefault="00E63C68" w:rsidP="00E63C68">
            <w:pPr>
              <w:jc w:val="left"/>
              <w:rPr>
                <w:rFonts w:eastAsia="Times New Roman"/>
                <w:b/>
                <w:bCs/>
                <w:sz w:val="20"/>
                <w:szCs w:val="20"/>
              </w:rPr>
            </w:pPr>
            <w:r w:rsidRPr="008E63BB">
              <w:rPr>
                <w:rFonts w:eastAsia="Times New Roman"/>
                <w:b/>
                <w:bCs/>
                <w:sz w:val="20"/>
                <w:szCs w:val="20"/>
              </w:rPr>
              <w:t>Đất khác</w:t>
            </w:r>
          </w:p>
        </w:tc>
        <w:tc>
          <w:tcPr>
            <w:tcW w:w="1016" w:type="dxa"/>
            <w:tcBorders>
              <w:top w:val="nil"/>
              <w:left w:val="nil"/>
              <w:bottom w:val="single" w:sz="4" w:space="0" w:color="auto"/>
              <w:right w:val="single" w:sz="4" w:space="0" w:color="auto"/>
            </w:tcBorders>
            <w:shd w:val="clear" w:color="auto" w:fill="auto"/>
            <w:vAlign w:val="center"/>
            <w:hideMark/>
          </w:tcPr>
          <w:p w14:paraId="519B3699"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13.709,47</w:t>
            </w:r>
          </w:p>
        </w:tc>
        <w:tc>
          <w:tcPr>
            <w:tcW w:w="766" w:type="dxa"/>
            <w:tcBorders>
              <w:top w:val="nil"/>
              <w:left w:val="nil"/>
              <w:bottom w:val="single" w:sz="4" w:space="0" w:color="auto"/>
              <w:right w:val="single" w:sz="4" w:space="0" w:color="auto"/>
            </w:tcBorders>
            <w:shd w:val="clear" w:color="auto" w:fill="auto"/>
            <w:vAlign w:val="center"/>
            <w:hideMark/>
          </w:tcPr>
          <w:p w14:paraId="519B369A"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9B"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9C"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1.297,45</w:t>
            </w:r>
          </w:p>
        </w:tc>
        <w:tc>
          <w:tcPr>
            <w:tcW w:w="766" w:type="dxa"/>
            <w:tcBorders>
              <w:top w:val="nil"/>
              <w:left w:val="nil"/>
              <w:bottom w:val="single" w:sz="4" w:space="0" w:color="auto"/>
              <w:right w:val="single" w:sz="4" w:space="0" w:color="auto"/>
            </w:tcBorders>
            <w:shd w:val="clear" w:color="auto" w:fill="auto"/>
            <w:vAlign w:val="center"/>
            <w:hideMark/>
          </w:tcPr>
          <w:p w14:paraId="519B369D"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9E"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9F"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12.412,02</w:t>
            </w:r>
          </w:p>
        </w:tc>
        <w:tc>
          <w:tcPr>
            <w:tcW w:w="766" w:type="dxa"/>
            <w:tcBorders>
              <w:top w:val="nil"/>
              <w:left w:val="nil"/>
              <w:bottom w:val="single" w:sz="4" w:space="0" w:color="auto"/>
              <w:right w:val="single" w:sz="4" w:space="0" w:color="auto"/>
            </w:tcBorders>
            <w:shd w:val="clear" w:color="auto" w:fill="auto"/>
            <w:vAlign w:val="center"/>
            <w:hideMark/>
          </w:tcPr>
          <w:p w14:paraId="519B36A0" w14:textId="77777777" w:rsidR="00E63C68" w:rsidRPr="008E63BB" w:rsidRDefault="00E63C68" w:rsidP="00E63C68">
            <w:pPr>
              <w:jc w:val="right"/>
              <w:rPr>
                <w:rFonts w:eastAsia="Times New Roman"/>
                <w:b/>
                <w:bCs/>
                <w:i/>
                <w:iCs/>
                <w:sz w:val="20"/>
                <w:szCs w:val="20"/>
              </w:rPr>
            </w:pPr>
            <w:r w:rsidRPr="008E63BB">
              <w:rPr>
                <w:rFonts w:eastAsia="Times New Roman"/>
                <w:b/>
                <w:bCs/>
                <w:i/>
                <w:iCs/>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A1"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10.466,39</w:t>
            </w:r>
          </w:p>
        </w:tc>
        <w:tc>
          <w:tcPr>
            <w:tcW w:w="766" w:type="dxa"/>
            <w:tcBorders>
              <w:top w:val="nil"/>
              <w:left w:val="nil"/>
              <w:bottom w:val="single" w:sz="4" w:space="0" w:color="auto"/>
              <w:right w:val="single" w:sz="4" w:space="0" w:color="auto"/>
            </w:tcBorders>
            <w:shd w:val="clear" w:color="auto" w:fill="auto"/>
            <w:vAlign w:val="center"/>
            <w:hideMark/>
          </w:tcPr>
          <w:p w14:paraId="519B36A2"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A3"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A4"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4.080,30</w:t>
            </w:r>
          </w:p>
        </w:tc>
        <w:tc>
          <w:tcPr>
            <w:tcW w:w="766" w:type="dxa"/>
            <w:tcBorders>
              <w:top w:val="nil"/>
              <w:left w:val="nil"/>
              <w:bottom w:val="single" w:sz="4" w:space="0" w:color="auto"/>
              <w:right w:val="single" w:sz="4" w:space="0" w:color="auto"/>
            </w:tcBorders>
            <w:shd w:val="clear" w:color="auto" w:fill="auto"/>
            <w:vAlign w:val="center"/>
            <w:hideMark/>
          </w:tcPr>
          <w:p w14:paraId="519B36A5"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A6"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A7"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6.386,09</w:t>
            </w:r>
          </w:p>
        </w:tc>
      </w:tr>
      <w:tr w:rsidR="00E63C68" w:rsidRPr="008E63BB" w14:paraId="519B36BA" w14:textId="77777777" w:rsidTr="00E63C68">
        <w:trPr>
          <w:gridAfter w:val="1"/>
          <w:wAfter w:w="6" w:type="dxa"/>
          <w:trHeight w:val="239"/>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A9" w14:textId="77777777" w:rsidR="00E63C68" w:rsidRPr="008E63BB" w:rsidRDefault="00E63C68" w:rsidP="00E63C68">
            <w:pPr>
              <w:jc w:val="center"/>
              <w:rPr>
                <w:rFonts w:eastAsia="Times New Roman"/>
                <w:sz w:val="20"/>
                <w:szCs w:val="20"/>
              </w:rPr>
            </w:pPr>
            <w:r w:rsidRPr="008E63BB">
              <w:rPr>
                <w:rFonts w:eastAsia="Times New Roman"/>
                <w:sz w:val="20"/>
                <w:szCs w:val="20"/>
              </w:rPr>
              <w:t>1</w:t>
            </w:r>
          </w:p>
        </w:tc>
        <w:tc>
          <w:tcPr>
            <w:tcW w:w="2831" w:type="dxa"/>
            <w:tcBorders>
              <w:top w:val="nil"/>
              <w:left w:val="nil"/>
              <w:bottom w:val="single" w:sz="4" w:space="0" w:color="auto"/>
              <w:right w:val="single" w:sz="4" w:space="0" w:color="auto"/>
            </w:tcBorders>
            <w:shd w:val="clear" w:color="auto" w:fill="auto"/>
            <w:vAlign w:val="center"/>
            <w:hideMark/>
          </w:tcPr>
          <w:p w14:paraId="519B36AA" w14:textId="77777777" w:rsidR="00E63C68" w:rsidRPr="008E63BB" w:rsidRDefault="00E63C68" w:rsidP="00E63C68">
            <w:pPr>
              <w:jc w:val="left"/>
              <w:rPr>
                <w:rFonts w:eastAsia="Times New Roman"/>
                <w:sz w:val="20"/>
                <w:szCs w:val="20"/>
              </w:rPr>
            </w:pPr>
            <w:r w:rsidRPr="008E63BB">
              <w:rPr>
                <w:rFonts w:eastAsia="Times New Roman"/>
                <w:sz w:val="20"/>
                <w:szCs w:val="20"/>
              </w:rPr>
              <w:t>Đất an ninh, quốc phòng</w:t>
            </w:r>
          </w:p>
        </w:tc>
        <w:tc>
          <w:tcPr>
            <w:tcW w:w="1016" w:type="dxa"/>
            <w:tcBorders>
              <w:top w:val="nil"/>
              <w:left w:val="nil"/>
              <w:bottom w:val="single" w:sz="4" w:space="0" w:color="auto"/>
              <w:right w:val="single" w:sz="4" w:space="0" w:color="auto"/>
            </w:tcBorders>
            <w:shd w:val="clear" w:color="auto" w:fill="auto"/>
            <w:vAlign w:val="center"/>
            <w:hideMark/>
          </w:tcPr>
          <w:p w14:paraId="519B36AB" w14:textId="77777777" w:rsidR="00E63C68" w:rsidRPr="008E63BB" w:rsidRDefault="00E63C68" w:rsidP="00E63C68">
            <w:pPr>
              <w:jc w:val="right"/>
              <w:rPr>
                <w:rFonts w:eastAsia="Times New Roman"/>
                <w:sz w:val="20"/>
                <w:szCs w:val="20"/>
              </w:rPr>
            </w:pPr>
            <w:r w:rsidRPr="008E63BB">
              <w:rPr>
                <w:rFonts w:eastAsia="Times New Roman"/>
                <w:sz w:val="20"/>
                <w:szCs w:val="20"/>
              </w:rPr>
              <w:t>53,05</w:t>
            </w:r>
          </w:p>
        </w:tc>
        <w:tc>
          <w:tcPr>
            <w:tcW w:w="766" w:type="dxa"/>
            <w:tcBorders>
              <w:top w:val="nil"/>
              <w:left w:val="nil"/>
              <w:bottom w:val="single" w:sz="4" w:space="0" w:color="auto"/>
              <w:right w:val="single" w:sz="4" w:space="0" w:color="auto"/>
            </w:tcBorders>
            <w:shd w:val="clear" w:color="auto" w:fill="auto"/>
            <w:vAlign w:val="center"/>
            <w:hideMark/>
          </w:tcPr>
          <w:p w14:paraId="519B36A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A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AE" w14:textId="77777777" w:rsidR="00E63C68" w:rsidRPr="008E63BB" w:rsidRDefault="00E63C68" w:rsidP="00E63C68">
            <w:pPr>
              <w:jc w:val="right"/>
              <w:rPr>
                <w:rFonts w:eastAsia="Times New Roman"/>
                <w:sz w:val="20"/>
                <w:szCs w:val="20"/>
              </w:rPr>
            </w:pPr>
            <w:r w:rsidRPr="008E63BB">
              <w:rPr>
                <w:rFonts w:eastAsia="Times New Roman"/>
                <w:sz w:val="20"/>
                <w:szCs w:val="20"/>
              </w:rPr>
              <w:t>30,67</w:t>
            </w:r>
          </w:p>
        </w:tc>
        <w:tc>
          <w:tcPr>
            <w:tcW w:w="766" w:type="dxa"/>
            <w:tcBorders>
              <w:top w:val="nil"/>
              <w:left w:val="nil"/>
              <w:bottom w:val="single" w:sz="4" w:space="0" w:color="auto"/>
              <w:right w:val="single" w:sz="4" w:space="0" w:color="auto"/>
            </w:tcBorders>
            <w:shd w:val="clear" w:color="auto" w:fill="auto"/>
            <w:vAlign w:val="center"/>
            <w:hideMark/>
          </w:tcPr>
          <w:p w14:paraId="519B36A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B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B1" w14:textId="77777777" w:rsidR="00E63C68" w:rsidRPr="008E63BB" w:rsidRDefault="00E63C68" w:rsidP="00E63C68">
            <w:pPr>
              <w:jc w:val="right"/>
              <w:rPr>
                <w:rFonts w:eastAsia="Times New Roman"/>
                <w:sz w:val="20"/>
                <w:szCs w:val="20"/>
              </w:rPr>
            </w:pPr>
            <w:r w:rsidRPr="008E63BB">
              <w:rPr>
                <w:rFonts w:eastAsia="Times New Roman"/>
                <w:sz w:val="20"/>
                <w:szCs w:val="20"/>
              </w:rPr>
              <w:t>22,38</w:t>
            </w:r>
          </w:p>
        </w:tc>
        <w:tc>
          <w:tcPr>
            <w:tcW w:w="766" w:type="dxa"/>
            <w:tcBorders>
              <w:top w:val="nil"/>
              <w:left w:val="nil"/>
              <w:bottom w:val="single" w:sz="4" w:space="0" w:color="auto"/>
              <w:right w:val="single" w:sz="4" w:space="0" w:color="auto"/>
            </w:tcBorders>
            <w:shd w:val="clear" w:color="auto" w:fill="auto"/>
            <w:vAlign w:val="center"/>
            <w:hideMark/>
          </w:tcPr>
          <w:p w14:paraId="519B36B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B3" w14:textId="77777777" w:rsidR="00E63C68" w:rsidRPr="008E63BB" w:rsidRDefault="00E63C68" w:rsidP="00E63C68">
            <w:pPr>
              <w:jc w:val="right"/>
              <w:rPr>
                <w:rFonts w:eastAsia="Times New Roman"/>
                <w:sz w:val="20"/>
                <w:szCs w:val="20"/>
              </w:rPr>
            </w:pPr>
            <w:r w:rsidRPr="008E63BB">
              <w:rPr>
                <w:rFonts w:eastAsia="Times New Roman"/>
                <w:sz w:val="20"/>
                <w:szCs w:val="20"/>
              </w:rPr>
              <w:t>53,05</w:t>
            </w:r>
          </w:p>
        </w:tc>
        <w:tc>
          <w:tcPr>
            <w:tcW w:w="766" w:type="dxa"/>
            <w:tcBorders>
              <w:top w:val="nil"/>
              <w:left w:val="nil"/>
              <w:bottom w:val="single" w:sz="4" w:space="0" w:color="auto"/>
              <w:right w:val="single" w:sz="4" w:space="0" w:color="auto"/>
            </w:tcBorders>
            <w:shd w:val="clear" w:color="auto" w:fill="auto"/>
            <w:vAlign w:val="center"/>
            <w:hideMark/>
          </w:tcPr>
          <w:p w14:paraId="519B36B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B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B6" w14:textId="77777777" w:rsidR="00E63C68" w:rsidRPr="008E63BB" w:rsidRDefault="00E63C68" w:rsidP="00E63C68">
            <w:pPr>
              <w:jc w:val="right"/>
              <w:rPr>
                <w:rFonts w:eastAsia="Times New Roman"/>
                <w:sz w:val="20"/>
                <w:szCs w:val="20"/>
              </w:rPr>
            </w:pPr>
            <w:r w:rsidRPr="008E63BB">
              <w:rPr>
                <w:rFonts w:eastAsia="Times New Roman"/>
                <w:sz w:val="20"/>
                <w:szCs w:val="20"/>
              </w:rPr>
              <w:t>44,18</w:t>
            </w:r>
          </w:p>
        </w:tc>
        <w:tc>
          <w:tcPr>
            <w:tcW w:w="766" w:type="dxa"/>
            <w:tcBorders>
              <w:top w:val="nil"/>
              <w:left w:val="nil"/>
              <w:bottom w:val="single" w:sz="4" w:space="0" w:color="auto"/>
              <w:right w:val="single" w:sz="4" w:space="0" w:color="auto"/>
            </w:tcBorders>
            <w:shd w:val="clear" w:color="auto" w:fill="auto"/>
            <w:vAlign w:val="center"/>
            <w:hideMark/>
          </w:tcPr>
          <w:p w14:paraId="519B36B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B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B9" w14:textId="77777777" w:rsidR="00E63C68" w:rsidRPr="008E63BB" w:rsidRDefault="00E63C68" w:rsidP="00E63C68">
            <w:pPr>
              <w:jc w:val="right"/>
              <w:rPr>
                <w:rFonts w:eastAsia="Times New Roman"/>
                <w:sz w:val="20"/>
                <w:szCs w:val="20"/>
              </w:rPr>
            </w:pPr>
            <w:r w:rsidRPr="008E63BB">
              <w:rPr>
                <w:rFonts w:eastAsia="Times New Roman"/>
                <w:sz w:val="20"/>
                <w:szCs w:val="20"/>
              </w:rPr>
              <w:t>8,87</w:t>
            </w:r>
          </w:p>
        </w:tc>
      </w:tr>
      <w:tr w:rsidR="00E63C68" w:rsidRPr="008E63BB" w14:paraId="519B36CC"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BB" w14:textId="77777777" w:rsidR="00E63C68" w:rsidRPr="008E63BB" w:rsidRDefault="00E63C68" w:rsidP="00E63C68">
            <w:pPr>
              <w:jc w:val="center"/>
              <w:rPr>
                <w:rFonts w:eastAsia="Times New Roman"/>
                <w:sz w:val="20"/>
                <w:szCs w:val="20"/>
              </w:rPr>
            </w:pPr>
            <w:r w:rsidRPr="008E63BB">
              <w:rPr>
                <w:rFonts w:eastAsia="Times New Roman"/>
                <w:sz w:val="20"/>
                <w:szCs w:val="20"/>
              </w:rPr>
              <w:t>2</w:t>
            </w:r>
          </w:p>
        </w:tc>
        <w:tc>
          <w:tcPr>
            <w:tcW w:w="2831" w:type="dxa"/>
            <w:tcBorders>
              <w:top w:val="nil"/>
              <w:left w:val="nil"/>
              <w:bottom w:val="single" w:sz="4" w:space="0" w:color="auto"/>
              <w:right w:val="single" w:sz="4" w:space="0" w:color="auto"/>
            </w:tcBorders>
            <w:shd w:val="clear" w:color="auto" w:fill="auto"/>
            <w:vAlign w:val="center"/>
            <w:hideMark/>
          </w:tcPr>
          <w:p w14:paraId="519B36BC" w14:textId="77777777" w:rsidR="00E63C68" w:rsidRPr="008E63BB" w:rsidRDefault="00E63C68" w:rsidP="00E63C68">
            <w:pPr>
              <w:jc w:val="left"/>
              <w:rPr>
                <w:rFonts w:eastAsia="Times New Roman"/>
                <w:sz w:val="20"/>
                <w:szCs w:val="20"/>
              </w:rPr>
            </w:pPr>
            <w:r w:rsidRPr="008E63BB">
              <w:rPr>
                <w:rFonts w:eastAsia="Times New Roman"/>
                <w:sz w:val="20"/>
                <w:szCs w:val="20"/>
              </w:rPr>
              <w:t>Đất di tích, tôn giáo</w:t>
            </w:r>
          </w:p>
        </w:tc>
        <w:tc>
          <w:tcPr>
            <w:tcW w:w="1016" w:type="dxa"/>
            <w:tcBorders>
              <w:top w:val="nil"/>
              <w:left w:val="nil"/>
              <w:bottom w:val="single" w:sz="4" w:space="0" w:color="auto"/>
              <w:right w:val="single" w:sz="4" w:space="0" w:color="auto"/>
            </w:tcBorders>
            <w:shd w:val="clear" w:color="auto" w:fill="auto"/>
            <w:vAlign w:val="center"/>
            <w:hideMark/>
          </w:tcPr>
          <w:p w14:paraId="519B36BD" w14:textId="77777777" w:rsidR="00E63C68" w:rsidRPr="008E63BB" w:rsidRDefault="00E63C68" w:rsidP="00E63C68">
            <w:pPr>
              <w:jc w:val="right"/>
              <w:rPr>
                <w:rFonts w:eastAsia="Times New Roman"/>
                <w:sz w:val="20"/>
                <w:szCs w:val="20"/>
              </w:rPr>
            </w:pPr>
            <w:r w:rsidRPr="008E63BB">
              <w:rPr>
                <w:rFonts w:eastAsia="Times New Roman"/>
                <w:sz w:val="20"/>
                <w:szCs w:val="20"/>
              </w:rPr>
              <w:t>165,99</w:t>
            </w:r>
          </w:p>
        </w:tc>
        <w:tc>
          <w:tcPr>
            <w:tcW w:w="766" w:type="dxa"/>
            <w:tcBorders>
              <w:top w:val="nil"/>
              <w:left w:val="nil"/>
              <w:bottom w:val="single" w:sz="4" w:space="0" w:color="auto"/>
              <w:right w:val="single" w:sz="4" w:space="0" w:color="auto"/>
            </w:tcBorders>
            <w:shd w:val="clear" w:color="auto" w:fill="auto"/>
            <w:vAlign w:val="center"/>
            <w:hideMark/>
          </w:tcPr>
          <w:p w14:paraId="519B36B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B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C0" w14:textId="77777777" w:rsidR="00E63C68" w:rsidRPr="008E63BB" w:rsidRDefault="00E63C68" w:rsidP="00E63C68">
            <w:pPr>
              <w:jc w:val="right"/>
              <w:rPr>
                <w:rFonts w:eastAsia="Times New Roman"/>
                <w:sz w:val="20"/>
                <w:szCs w:val="20"/>
              </w:rPr>
            </w:pPr>
            <w:r w:rsidRPr="008E63BB">
              <w:rPr>
                <w:rFonts w:eastAsia="Times New Roman"/>
                <w:sz w:val="20"/>
                <w:szCs w:val="20"/>
              </w:rPr>
              <w:t>83,55</w:t>
            </w:r>
          </w:p>
        </w:tc>
        <w:tc>
          <w:tcPr>
            <w:tcW w:w="766" w:type="dxa"/>
            <w:tcBorders>
              <w:top w:val="nil"/>
              <w:left w:val="nil"/>
              <w:bottom w:val="single" w:sz="4" w:space="0" w:color="auto"/>
              <w:right w:val="single" w:sz="4" w:space="0" w:color="auto"/>
            </w:tcBorders>
            <w:shd w:val="clear" w:color="auto" w:fill="auto"/>
            <w:vAlign w:val="center"/>
            <w:hideMark/>
          </w:tcPr>
          <w:p w14:paraId="519B36C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C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C3" w14:textId="77777777" w:rsidR="00E63C68" w:rsidRPr="008E63BB" w:rsidRDefault="00E63C68" w:rsidP="00E63C68">
            <w:pPr>
              <w:jc w:val="right"/>
              <w:rPr>
                <w:rFonts w:eastAsia="Times New Roman"/>
                <w:sz w:val="20"/>
                <w:szCs w:val="20"/>
              </w:rPr>
            </w:pPr>
            <w:r w:rsidRPr="008E63BB">
              <w:rPr>
                <w:rFonts w:eastAsia="Times New Roman"/>
                <w:sz w:val="20"/>
                <w:szCs w:val="20"/>
              </w:rPr>
              <w:t>82,44</w:t>
            </w:r>
          </w:p>
        </w:tc>
        <w:tc>
          <w:tcPr>
            <w:tcW w:w="766" w:type="dxa"/>
            <w:tcBorders>
              <w:top w:val="nil"/>
              <w:left w:val="nil"/>
              <w:bottom w:val="single" w:sz="4" w:space="0" w:color="auto"/>
              <w:right w:val="single" w:sz="4" w:space="0" w:color="auto"/>
            </w:tcBorders>
            <w:shd w:val="clear" w:color="auto" w:fill="auto"/>
            <w:vAlign w:val="center"/>
            <w:hideMark/>
          </w:tcPr>
          <w:p w14:paraId="519B36C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C5" w14:textId="77777777" w:rsidR="00E63C68" w:rsidRPr="008E63BB" w:rsidRDefault="00E63C68" w:rsidP="00E63C68">
            <w:pPr>
              <w:jc w:val="right"/>
              <w:rPr>
                <w:rFonts w:eastAsia="Times New Roman"/>
                <w:sz w:val="20"/>
                <w:szCs w:val="20"/>
              </w:rPr>
            </w:pPr>
            <w:r w:rsidRPr="008E63BB">
              <w:rPr>
                <w:rFonts w:eastAsia="Times New Roman"/>
                <w:sz w:val="20"/>
                <w:szCs w:val="20"/>
              </w:rPr>
              <w:t>238,60</w:t>
            </w:r>
          </w:p>
        </w:tc>
        <w:tc>
          <w:tcPr>
            <w:tcW w:w="766" w:type="dxa"/>
            <w:tcBorders>
              <w:top w:val="nil"/>
              <w:left w:val="nil"/>
              <w:bottom w:val="single" w:sz="4" w:space="0" w:color="auto"/>
              <w:right w:val="single" w:sz="4" w:space="0" w:color="auto"/>
            </w:tcBorders>
            <w:shd w:val="clear" w:color="auto" w:fill="auto"/>
            <w:vAlign w:val="center"/>
            <w:hideMark/>
          </w:tcPr>
          <w:p w14:paraId="519B36C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C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C8" w14:textId="77777777" w:rsidR="00E63C68" w:rsidRPr="008E63BB" w:rsidRDefault="00E63C68" w:rsidP="00E63C68">
            <w:pPr>
              <w:jc w:val="right"/>
              <w:rPr>
                <w:rFonts w:eastAsia="Times New Roman"/>
                <w:sz w:val="20"/>
                <w:szCs w:val="20"/>
              </w:rPr>
            </w:pPr>
            <w:r w:rsidRPr="008E63BB">
              <w:rPr>
                <w:rFonts w:eastAsia="Times New Roman"/>
                <w:sz w:val="20"/>
                <w:szCs w:val="20"/>
              </w:rPr>
              <w:t>156,16</w:t>
            </w:r>
          </w:p>
        </w:tc>
        <w:tc>
          <w:tcPr>
            <w:tcW w:w="766" w:type="dxa"/>
            <w:tcBorders>
              <w:top w:val="nil"/>
              <w:left w:val="nil"/>
              <w:bottom w:val="single" w:sz="4" w:space="0" w:color="auto"/>
              <w:right w:val="single" w:sz="4" w:space="0" w:color="auto"/>
            </w:tcBorders>
            <w:shd w:val="clear" w:color="auto" w:fill="auto"/>
            <w:noWrap/>
            <w:vAlign w:val="center"/>
            <w:hideMark/>
          </w:tcPr>
          <w:p w14:paraId="519B36C9"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C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CB" w14:textId="77777777" w:rsidR="00E63C68" w:rsidRPr="008E63BB" w:rsidRDefault="00E63C68" w:rsidP="00E63C68">
            <w:pPr>
              <w:jc w:val="right"/>
              <w:rPr>
                <w:rFonts w:eastAsia="Times New Roman"/>
                <w:sz w:val="20"/>
                <w:szCs w:val="20"/>
              </w:rPr>
            </w:pPr>
            <w:r w:rsidRPr="008E63BB">
              <w:rPr>
                <w:rFonts w:eastAsia="Times New Roman"/>
                <w:sz w:val="20"/>
                <w:szCs w:val="20"/>
              </w:rPr>
              <w:t>82,44</w:t>
            </w:r>
          </w:p>
        </w:tc>
      </w:tr>
      <w:tr w:rsidR="00E63C68" w:rsidRPr="008E63BB" w14:paraId="519B36DE" w14:textId="77777777" w:rsidTr="00E63C68">
        <w:trPr>
          <w:gridAfter w:val="1"/>
          <w:wAfter w:w="6" w:type="dxa"/>
          <w:trHeight w:val="303"/>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CD" w14:textId="77777777" w:rsidR="00E63C68" w:rsidRPr="008E63BB" w:rsidRDefault="00E63C68" w:rsidP="00E63C68">
            <w:pPr>
              <w:jc w:val="center"/>
              <w:rPr>
                <w:rFonts w:eastAsia="Times New Roman"/>
                <w:sz w:val="20"/>
                <w:szCs w:val="20"/>
              </w:rPr>
            </w:pPr>
            <w:r w:rsidRPr="008E63BB">
              <w:rPr>
                <w:rFonts w:eastAsia="Times New Roman"/>
                <w:sz w:val="20"/>
                <w:szCs w:val="20"/>
              </w:rPr>
              <w:t>3</w:t>
            </w:r>
          </w:p>
        </w:tc>
        <w:tc>
          <w:tcPr>
            <w:tcW w:w="2831" w:type="dxa"/>
            <w:tcBorders>
              <w:top w:val="nil"/>
              <w:left w:val="nil"/>
              <w:bottom w:val="single" w:sz="4" w:space="0" w:color="auto"/>
              <w:right w:val="single" w:sz="4" w:space="0" w:color="auto"/>
            </w:tcBorders>
            <w:shd w:val="clear" w:color="auto" w:fill="auto"/>
            <w:vAlign w:val="center"/>
            <w:hideMark/>
          </w:tcPr>
          <w:p w14:paraId="519B36CE" w14:textId="77777777" w:rsidR="00E63C68" w:rsidRPr="008E63BB" w:rsidRDefault="00E63C68" w:rsidP="00E63C68">
            <w:pPr>
              <w:jc w:val="left"/>
              <w:rPr>
                <w:rFonts w:eastAsia="Times New Roman"/>
                <w:sz w:val="20"/>
                <w:szCs w:val="20"/>
              </w:rPr>
            </w:pPr>
            <w:r w:rsidRPr="008E63BB">
              <w:rPr>
                <w:rFonts w:eastAsia="Times New Roman"/>
                <w:sz w:val="20"/>
                <w:szCs w:val="20"/>
              </w:rPr>
              <w:t>Đất nghĩa trang, nghĩa địa, nhà tang lễ, nhà hỏa táng</w:t>
            </w:r>
          </w:p>
        </w:tc>
        <w:tc>
          <w:tcPr>
            <w:tcW w:w="1016" w:type="dxa"/>
            <w:tcBorders>
              <w:top w:val="nil"/>
              <w:left w:val="nil"/>
              <w:bottom w:val="single" w:sz="4" w:space="0" w:color="auto"/>
              <w:right w:val="single" w:sz="4" w:space="0" w:color="auto"/>
            </w:tcBorders>
            <w:shd w:val="clear" w:color="auto" w:fill="auto"/>
            <w:vAlign w:val="center"/>
            <w:hideMark/>
          </w:tcPr>
          <w:p w14:paraId="519B36CF" w14:textId="77777777" w:rsidR="00E63C68" w:rsidRPr="008E63BB" w:rsidRDefault="00E63C68" w:rsidP="00E63C68">
            <w:pPr>
              <w:jc w:val="right"/>
              <w:rPr>
                <w:rFonts w:eastAsia="Times New Roman"/>
                <w:sz w:val="20"/>
                <w:szCs w:val="20"/>
              </w:rPr>
            </w:pPr>
            <w:r w:rsidRPr="008E63BB">
              <w:rPr>
                <w:rFonts w:eastAsia="Times New Roman"/>
                <w:sz w:val="20"/>
                <w:szCs w:val="20"/>
              </w:rPr>
              <w:t>243,54</w:t>
            </w:r>
          </w:p>
        </w:tc>
        <w:tc>
          <w:tcPr>
            <w:tcW w:w="766" w:type="dxa"/>
            <w:tcBorders>
              <w:top w:val="nil"/>
              <w:left w:val="nil"/>
              <w:bottom w:val="single" w:sz="4" w:space="0" w:color="auto"/>
              <w:right w:val="single" w:sz="4" w:space="0" w:color="auto"/>
            </w:tcBorders>
            <w:shd w:val="clear" w:color="auto" w:fill="auto"/>
            <w:vAlign w:val="center"/>
            <w:hideMark/>
          </w:tcPr>
          <w:p w14:paraId="519B36D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D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D2" w14:textId="77777777" w:rsidR="00E63C68" w:rsidRPr="008E63BB" w:rsidRDefault="00E63C68" w:rsidP="00E63C68">
            <w:pPr>
              <w:jc w:val="right"/>
              <w:rPr>
                <w:rFonts w:eastAsia="Times New Roman"/>
                <w:sz w:val="20"/>
                <w:szCs w:val="20"/>
              </w:rPr>
            </w:pPr>
            <w:r w:rsidRPr="008E63BB">
              <w:rPr>
                <w:rFonts w:eastAsia="Times New Roman"/>
                <w:sz w:val="20"/>
                <w:szCs w:val="20"/>
              </w:rPr>
              <w:t>40,37</w:t>
            </w:r>
          </w:p>
        </w:tc>
        <w:tc>
          <w:tcPr>
            <w:tcW w:w="766" w:type="dxa"/>
            <w:tcBorders>
              <w:top w:val="nil"/>
              <w:left w:val="nil"/>
              <w:bottom w:val="single" w:sz="4" w:space="0" w:color="auto"/>
              <w:right w:val="single" w:sz="4" w:space="0" w:color="auto"/>
            </w:tcBorders>
            <w:shd w:val="clear" w:color="auto" w:fill="auto"/>
            <w:vAlign w:val="center"/>
            <w:hideMark/>
          </w:tcPr>
          <w:p w14:paraId="519B36D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D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D5" w14:textId="77777777" w:rsidR="00E63C68" w:rsidRPr="008E63BB" w:rsidRDefault="00E63C68" w:rsidP="00E63C68">
            <w:pPr>
              <w:jc w:val="right"/>
              <w:rPr>
                <w:rFonts w:eastAsia="Times New Roman"/>
                <w:sz w:val="20"/>
                <w:szCs w:val="20"/>
              </w:rPr>
            </w:pPr>
            <w:r w:rsidRPr="008E63BB">
              <w:rPr>
                <w:rFonts w:eastAsia="Times New Roman"/>
                <w:sz w:val="20"/>
                <w:szCs w:val="20"/>
              </w:rPr>
              <w:t>203,17</w:t>
            </w:r>
          </w:p>
        </w:tc>
        <w:tc>
          <w:tcPr>
            <w:tcW w:w="766" w:type="dxa"/>
            <w:tcBorders>
              <w:top w:val="nil"/>
              <w:left w:val="nil"/>
              <w:bottom w:val="single" w:sz="4" w:space="0" w:color="auto"/>
              <w:right w:val="single" w:sz="4" w:space="0" w:color="auto"/>
            </w:tcBorders>
            <w:shd w:val="clear" w:color="auto" w:fill="auto"/>
            <w:vAlign w:val="center"/>
            <w:hideMark/>
          </w:tcPr>
          <w:p w14:paraId="519B36D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D7" w14:textId="77777777" w:rsidR="00E63C68" w:rsidRPr="008E63BB" w:rsidRDefault="00E63C68" w:rsidP="00E63C68">
            <w:pPr>
              <w:jc w:val="right"/>
              <w:rPr>
                <w:rFonts w:eastAsia="Times New Roman"/>
                <w:sz w:val="20"/>
                <w:szCs w:val="20"/>
              </w:rPr>
            </w:pPr>
            <w:r w:rsidRPr="008E63BB">
              <w:rPr>
                <w:rFonts w:eastAsia="Times New Roman"/>
                <w:sz w:val="20"/>
                <w:szCs w:val="20"/>
              </w:rPr>
              <w:t>297,54</w:t>
            </w:r>
          </w:p>
        </w:tc>
        <w:tc>
          <w:tcPr>
            <w:tcW w:w="766" w:type="dxa"/>
            <w:tcBorders>
              <w:top w:val="nil"/>
              <w:left w:val="nil"/>
              <w:bottom w:val="single" w:sz="4" w:space="0" w:color="auto"/>
              <w:right w:val="single" w:sz="4" w:space="0" w:color="auto"/>
            </w:tcBorders>
            <w:shd w:val="clear" w:color="auto" w:fill="auto"/>
            <w:vAlign w:val="center"/>
            <w:hideMark/>
          </w:tcPr>
          <w:p w14:paraId="519B36D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D9"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6DA" w14:textId="77777777" w:rsidR="00E63C68" w:rsidRPr="008E63BB" w:rsidRDefault="00E63C68" w:rsidP="00E63C68">
            <w:pPr>
              <w:jc w:val="right"/>
              <w:rPr>
                <w:rFonts w:eastAsia="Times New Roman"/>
                <w:sz w:val="20"/>
                <w:szCs w:val="20"/>
              </w:rPr>
            </w:pPr>
            <w:r w:rsidRPr="008E63BB">
              <w:rPr>
                <w:rFonts w:eastAsia="Times New Roman"/>
                <w:sz w:val="20"/>
                <w:szCs w:val="20"/>
              </w:rPr>
              <w:t>82,37</w:t>
            </w:r>
          </w:p>
        </w:tc>
        <w:tc>
          <w:tcPr>
            <w:tcW w:w="766" w:type="dxa"/>
            <w:tcBorders>
              <w:top w:val="nil"/>
              <w:left w:val="nil"/>
              <w:bottom w:val="single" w:sz="4" w:space="0" w:color="auto"/>
              <w:right w:val="single" w:sz="4" w:space="0" w:color="auto"/>
            </w:tcBorders>
            <w:shd w:val="clear" w:color="auto" w:fill="auto"/>
            <w:noWrap/>
            <w:vAlign w:val="center"/>
            <w:hideMark/>
          </w:tcPr>
          <w:p w14:paraId="519B36D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D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DD" w14:textId="77777777" w:rsidR="00E63C68" w:rsidRPr="008E63BB" w:rsidRDefault="00E63C68" w:rsidP="00E63C68">
            <w:pPr>
              <w:jc w:val="right"/>
              <w:rPr>
                <w:rFonts w:eastAsia="Times New Roman"/>
                <w:sz w:val="20"/>
                <w:szCs w:val="20"/>
              </w:rPr>
            </w:pPr>
            <w:r w:rsidRPr="008E63BB">
              <w:rPr>
                <w:rFonts w:eastAsia="Times New Roman"/>
                <w:sz w:val="20"/>
                <w:szCs w:val="20"/>
              </w:rPr>
              <w:t>215,17</w:t>
            </w:r>
          </w:p>
        </w:tc>
      </w:tr>
      <w:tr w:rsidR="00E63C68" w:rsidRPr="008E63BB" w14:paraId="519B36F0"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DF" w14:textId="77777777" w:rsidR="00E63C68" w:rsidRPr="008E63BB" w:rsidRDefault="00E63C68" w:rsidP="00E63C68">
            <w:pPr>
              <w:jc w:val="center"/>
              <w:rPr>
                <w:rFonts w:eastAsia="Times New Roman"/>
                <w:sz w:val="20"/>
                <w:szCs w:val="20"/>
              </w:rPr>
            </w:pPr>
            <w:r w:rsidRPr="008E63BB">
              <w:rPr>
                <w:rFonts w:eastAsia="Times New Roman"/>
                <w:sz w:val="20"/>
                <w:szCs w:val="20"/>
              </w:rPr>
              <w:t>4</w:t>
            </w:r>
          </w:p>
        </w:tc>
        <w:tc>
          <w:tcPr>
            <w:tcW w:w="2831" w:type="dxa"/>
            <w:tcBorders>
              <w:top w:val="nil"/>
              <w:left w:val="nil"/>
              <w:bottom w:val="single" w:sz="4" w:space="0" w:color="auto"/>
              <w:right w:val="single" w:sz="4" w:space="0" w:color="auto"/>
            </w:tcBorders>
            <w:shd w:val="clear" w:color="auto" w:fill="auto"/>
            <w:vAlign w:val="center"/>
            <w:hideMark/>
          </w:tcPr>
          <w:p w14:paraId="519B36E0" w14:textId="77777777" w:rsidR="00E63C68" w:rsidRPr="008E63BB" w:rsidRDefault="00E63C68" w:rsidP="00E63C68">
            <w:pPr>
              <w:jc w:val="left"/>
              <w:rPr>
                <w:rFonts w:eastAsia="Times New Roman"/>
                <w:sz w:val="20"/>
                <w:szCs w:val="20"/>
              </w:rPr>
            </w:pPr>
            <w:r w:rsidRPr="008E63BB">
              <w:rPr>
                <w:rFonts w:eastAsia="Times New Roman"/>
                <w:sz w:val="20"/>
                <w:szCs w:val="20"/>
              </w:rPr>
              <w:t>Đất dự trữ phát triển</w:t>
            </w:r>
          </w:p>
        </w:tc>
        <w:tc>
          <w:tcPr>
            <w:tcW w:w="1016" w:type="dxa"/>
            <w:tcBorders>
              <w:top w:val="nil"/>
              <w:left w:val="nil"/>
              <w:bottom w:val="single" w:sz="4" w:space="0" w:color="auto"/>
              <w:right w:val="single" w:sz="4" w:space="0" w:color="auto"/>
            </w:tcBorders>
            <w:shd w:val="clear" w:color="auto" w:fill="auto"/>
            <w:vAlign w:val="center"/>
            <w:hideMark/>
          </w:tcPr>
          <w:p w14:paraId="519B36E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E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E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E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E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E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E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E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E9" w14:textId="77777777" w:rsidR="00E63C68" w:rsidRPr="008E63BB" w:rsidRDefault="00E63C68" w:rsidP="00E63C68">
            <w:pPr>
              <w:jc w:val="right"/>
              <w:rPr>
                <w:rFonts w:eastAsia="Times New Roman"/>
                <w:sz w:val="20"/>
                <w:szCs w:val="20"/>
              </w:rPr>
            </w:pPr>
            <w:r w:rsidRPr="008E63BB">
              <w:rPr>
                <w:rFonts w:eastAsia="Times New Roman"/>
                <w:sz w:val="20"/>
                <w:szCs w:val="20"/>
              </w:rPr>
              <w:t>1.083,00</w:t>
            </w:r>
          </w:p>
        </w:tc>
        <w:tc>
          <w:tcPr>
            <w:tcW w:w="766" w:type="dxa"/>
            <w:tcBorders>
              <w:top w:val="nil"/>
              <w:left w:val="nil"/>
              <w:bottom w:val="single" w:sz="4" w:space="0" w:color="auto"/>
              <w:right w:val="single" w:sz="4" w:space="0" w:color="auto"/>
            </w:tcBorders>
            <w:shd w:val="clear" w:color="auto" w:fill="auto"/>
            <w:vAlign w:val="center"/>
            <w:hideMark/>
          </w:tcPr>
          <w:p w14:paraId="519B36E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E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EC" w14:textId="77777777" w:rsidR="00E63C68" w:rsidRPr="008E63BB" w:rsidRDefault="00E63C68" w:rsidP="00E63C68">
            <w:pPr>
              <w:jc w:val="right"/>
              <w:rPr>
                <w:rFonts w:eastAsia="Times New Roman"/>
                <w:sz w:val="20"/>
                <w:szCs w:val="20"/>
              </w:rPr>
            </w:pPr>
            <w:r w:rsidRPr="008E63BB">
              <w:rPr>
                <w:rFonts w:eastAsia="Times New Roman"/>
                <w:sz w:val="20"/>
                <w:szCs w:val="20"/>
              </w:rPr>
              <w:t>678,00</w:t>
            </w:r>
          </w:p>
        </w:tc>
        <w:tc>
          <w:tcPr>
            <w:tcW w:w="766" w:type="dxa"/>
            <w:tcBorders>
              <w:top w:val="nil"/>
              <w:left w:val="nil"/>
              <w:bottom w:val="single" w:sz="4" w:space="0" w:color="auto"/>
              <w:right w:val="single" w:sz="4" w:space="0" w:color="auto"/>
            </w:tcBorders>
            <w:shd w:val="clear" w:color="auto" w:fill="auto"/>
            <w:noWrap/>
            <w:vAlign w:val="center"/>
            <w:hideMark/>
          </w:tcPr>
          <w:p w14:paraId="519B36E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6E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6EF" w14:textId="77777777" w:rsidR="00E63C68" w:rsidRPr="008E63BB" w:rsidRDefault="00E63C68" w:rsidP="00E63C68">
            <w:pPr>
              <w:jc w:val="right"/>
              <w:rPr>
                <w:rFonts w:eastAsia="Times New Roman"/>
                <w:sz w:val="20"/>
                <w:szCs w:val="20"/>
              </w:rPr>
            </w:pPr>
            <w:r w:rsidRPr="008E63BB">
              <w:rPr>
                <w:rFonts w:eastAsia="Times New Roman"/>
                <w:sz w:val="20"/>
                <w:szCs w:val="20"/>
              </w:rPr>
              <w:t>405,00</w:t>
            </w:r>
          </w:p>
        </w:tc>
      </w:tr>
      <w:tr w:rsidR="00E63C68" w:rsidRPr="008E63BB" w14:paraId="519B3702"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6F1" w14:textId="77777777" w:rsidR="00E63C68" w:rsidRPr="008E63BB" w:rsidRDefault="00E63C68" w:rsidP="00E63C68">
            <w:pPr>
              <w:jc w:val="center"/>
              <w:rPr>
                <w:rFonts w:eastAsia="Times New Roman"/>
                <w:sz w:val="20"/>
                <w:szCs w:val="20"/>
              </w:rPr>
            </w:pPr>
            <w:r w:rsidRPr="008E63BB">
              <w:rPr>
                <w:rFonts w:eastAsia="Times New Roman"/>
                <w:sz w:val="20"/>
                <w:szCs w:val="20"/>
              </w:rPr>
              <w:t>5</w:t>
            </w:r>
          </w:p>
        </w:tc>
        <w:tc>
          <w:tcPr>
            <w:tcW w:w="2831" w:type="dxa"/>
            <w:tcBorders>
              <w:top w:val="nil"/>
              <w:left w:val="nil"/>
              <w:bottom w:val="single" w:sz="4" w:space="0" w:color="auto"/>
              <w:right w:val="single" w:sz="4" w:space="0" w:color="auto"/>
            </w:tcBorders>
            <w:shd w:val="clear" w:color="auto" w:fill="auto"/>
            <w:vAlign w:val="center"/>
            <w:hideMark/>
          </w:tcPr>
          <w:p w14:paraId="519B36F2" w14:textId="77777777" w:rsidR="00E63C68" w:rsidRPr="008E63BB" w:rsidRDefault="00E63C68" w:rsidP="00E63C68">
            <w:pPr>
              <w:jc w:val="left"/>
              <w:rPr>
                <w:rFonts w:eastAsia="Times New Roman"/>
                <w:sz w:val="20"/>
                <w:szCs w:val="20"/>
              </w:rPr>
            </w:pPr>
            <w:r w:rsidRPr="008E63BB">
              <w:rPr>
                <w:rFonts w:eastAsia="Times New Roman"/>
                <w:sz w:val="20"/>
                <w:szCs w:val="20"/>
              </w:rPr>
              <w:t>Đất cây xanh ven sông</w:t>
            </w:r>
          </w:p>
        </w:tc>
        <w:tc>
          <w:tcPr>
            <w:tcW w:w="1016" w:type="dxa"/>
            <w:tcBorders>
              <w:top w:val="nil"/>
              <w:left w:val="nil"/>
              <w:bottom w:val="single" w:sz="4" w:space="0" w:color="auto"/>
              <w:right w:val="single" w:sz="4" w:space="0" w:color="auto"/>
            </w:tcBorders>
            <w:shd w:val="clear" w:color="auto" w:fill="auto"/>
            <w:vAlign w:val="center"/>
            <w:hideMark/>
          </w:tcPr>
          <w:p w14:paraId="519B36F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F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F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6F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F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6F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6F9"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F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6FB" w14:textId="77777777" w:rsidR="00E63C68" w:rsidRPr="008E63BB" w:rsidRDefault="00E63C68" w:rsidP="00E63C68">
            <w:pPr>
              <w:jc w:val="right"/>
              <w:rPr>
                <w:rFonts w:eastAsia="Times New Roman"/>
                <w:sz w:val="20"/>
                <w:szCs w:val="20"/>
              </w:rPr>
            </w:pPr>
            <w:r w:rsidRPr="008E63BB">
              <w:rPr>
                <w:rFonts w:eastAsia="Times New Roman"/>
                <w:sz w:val="20"/>
                <w:szCs w:val="20"/>
              </w:rPr>
              <w:t>494,57</w:t>
            </w:r>
          </w:p>
        </w:tc>
        <w:tc>
          <w:tcPr>
            <w:tcW w:w="766" w:type="dxa"/>
            <w:tcBorders>
              <w:top w:val="nil"/>
              <w:left w:val="nil"/>
              <w:bottom w:val="single" w:sz="4" w:space="0" w:color="auto"/>
              <w:right w:val="single" w:sz="4" w:space="0" w:color="auto"/>
            </w:tcBorders>
            <w:shd w:val="clear" w:color="auto" w:fill="auto"/>
            <w:vAlign w:val="center"/>
            <w:hideMark/>
          </w:tcPr>
          <w:p w14:paraId="519B36F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6F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nil"/>
              <w:right w:val="nil"/>
            </w:tcBorders>
            <w:shd w:val="clear" w:color="auto" w:fill="auto"/>
            <w:vAlign w:val="center"/>
            <w:hideMark/>
          </w:tcPr>
          <w:p w14:paraId="519B36FE" w14:textId="77777777" w:rsidR="00E63C68" w:rsidRPr="008E63BB" w:rsidRDefault="00E63C68" w:rsidP="00E63C68">
            <w:pPr>
              <w:jc w:val="right"/>
              <w:rPr>
                <w:rFonts w:eastAsia="Times New Roman"/>
                <w:sz w:val="20"/>
                <w:szCs w:val="20"/>
              </w:rPr>
            </w:pPr>
            <w:r w:rsidRPr="008E63BB">
              <w:rPr>
                <w:rFonts w:eastAsia="Times New Roman"/>
                <w:sz w:val="20"/>
                <w:szCs w:val="20"/>
              </w:rPr>
              <w:t>312,15</w:t>
            </w:r>
          </w:p>
        </w:tc>
        <w:tc>
          <w:tcPr>
            <w:tcW w:w="766" w:type="dxa"/>
            <w:tcBorders>
              <w:top w:val="nil"/>
              <w:left w:val="nil"/>
              <w:bottom w:val="single" w:sz="4" w:space="0" w:color="auto"/>
              <w:right w:val="single" w:sz="4" w:space="0" w:color="auto"/>
            </w:tcBorders>
            <w:shd w:val="clear" w:color="auto" w:fill="auto"/>
            <w:noWrap/>
            <w:vAlign w:val="center"/>
            <w:hideMark/>
          </w:tcPr>
          <w:p w14:paraId="519B36F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70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701" w14:textId="77777777" w:rsidR="00E63C68" w:rsidRPr="008E63BB" w:rsidRDefault="00E63C68" w:rsidP="00E63C68">
            <w:pPr>
              <w:jc w:val="right"/>
              <w:rPr>
                <w:rFonts w:eastAsia="Times New Roman"/>
                <w:sz w:val="20"/>
                <w:szCs w:val="20"/>
              </w:rPr>
            </w:pPr>
            <w:r w:rsidRPr="008E63BB">
              <w:rPr>
                <w:rFonts w:eastAsia="Times New Roman"/>
                <w:sz w:val="20"/>
                <w:szCs w:val="20"/>
              </w:rPr>
              <w:t>182,42</w:t>
            </w:r>
          </w:p>
        </w:tc>
      </w:tr>
      <w:tr w:rsidR="00E63C68" w:rsidRPr="008E63BB" w14:paraId="519B3714"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703" w14:textId="77777777" w:rsidR="00E63C68" w:rsidRPr="008E63BB" w:rsidRDefault="00E63C68" w:rsidP="00E63C68">
            <w:pPr>
              <w:jc w:val="center"/>
              <w:rPr>
                <w:rFonts w:eastAsia="Times New Roman"/>
                <w:sz w:val="20"/>
                <w:szCs w:val="20"/>
              </w:rPr>
            </w:pPr>
            <w:r w:rsidRPr="008E63BB">
              <w:rPr>
                <w:rFonts w:eastAsia="Times New Roman"/>
                <w:sz w:val="20"/>
                <w:szCs w:val="20"/>
              </w:rPr>
              <w:t>6</w:t>
            </w:r>
          </w:p>
        </w:tc>
        <w:tc>
          <w:tcPr>
            <w:tcW w:w="2831" w:type="dxa"/>
            <w:tcBorders>
              <w:top w:val="nil"/>
              <w:left w:val="nil"/>
              <w:bottom w:val="single" w:sz="4" w:space="0" w:color="auto"/>
              <w:right w:val="single" w:sz="4" w:space="0" w:color="auto"/>
            </w:tcBorders>
            <w:shd w:val="clear" w:color="auto" w:fill="auto"/>
            <w:vAlign w:val="center"/>
            <w:hideMark/>
          </w:tcPr>
          <w:p w14:paraId="519B3704" w14:textId="77777777" w:rsidR="00E63C68" w:rsidRPr="008E63BB" w:rsidRDefault="00E63C68" w:rsidP="00E63C68">
            <w:pPr>
              <w:jc w:val="left"/>
              <w:rPr>
                <w:rFonts w:eastAsia="Times New Roman"/>
                <w:sz w:val="20"/>
                <w:szCs w:val="20"/>
              </w:rPr>
            </w:pPr>
            <w:r w:rsidRPr="008E63BB">
              <w:rPr>
                <w:rFonts w:eastAsia="Times New Roman"/>
                <w:sz w:val="20"/>
                <w:szCs w:val="20"/>
              </w:rPr>
              <w:t>Đất cây xanh cách ly</w:t>
            </w:r>
          </w:p>
        </w:tc>
        <w:tc>
          <w:tcPr>
            <w:tcW w:w="1016" w:type="dxa"/>
            <w:tcBorders>
              <w:top w:val="nil"/>
              <w:left w:val="nil"/>
              <w:bottom w:val="single" w:sz="4" w:space="0" w:color="auto"/>
              <w:right w:val="single" w:sz="4" w:space="0" w:color="auto"/>
            </w:tcBorders>
            <w:shd w:val="clear" w:color="auto" w:fill="auto"/>
            <w:vAlign w:val="center"/>
            <w:hideMark/>
          </w:tcPr>
          <w:p w14:paraId="519B370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0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0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70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09"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70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70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0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70D" w14:textId="77777777" w:rsidR="00E63C68" w:rsidRPr="008E63BB" w:rsidRDefault="00E63C68" w:rsidP="00E63C68">
            <w:pPr>
              <w:jc w:val="right"/>
              <w:rPr>
                <w:rFonts w:eastAsia="Times New Roman"/>
                <w:sz w:val="20"/>
                <w:szCs w:val="20"/>
              </w:rPr>
            </w:pPr>
            <w:r w:rsidRPr="008E63BB">
              <w:rPr>
                <w:rFonts w:eastAsia="Times New Roman"/>
                <w:sz w:val="20"/>
                <w:szCs w:val="20"/>
              </w:rPr>
              <w:t>302,23</w:t>
            </w:r>
          </w:p>
        </w:tc>
        <w:tc>
          <w:tcPr>
            <w:tcW w:w="766" w:type="dxa"/>
            <w:tcBorders>
              <w:top w:val="nil"/>
              <w:left w:val="nil"/>
              <w:bottom w:val="single" w:sz="4" w:space="0" w:color="auto"/>
              <w:right w:val="single" w:sz="4" w:space="0" w:color="auto"/>
            </w:tcBorders>
            <w:shd w:val="clear" w:color="auto" w:fill="auto"/>
            <w:vAlign w:val="center"/>
            <w:hideMark/>
          </w:tcPr>
          <w:p w14:paraId="519B370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0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single" w:sz="4" w:space="0" w:color="auto"/>
              <w:left w:val="nil"/>
              <w:bottom w:val="single" w:sz="4" w:space="0" w:color="auto"/>
              <w:right w:val="single" w:sz="4" w:space="0" w:color="auto"/>
            </w:tcBorders>
            <w:shd w:val="clear" w:color="auto" w:fill="auto"/>
            <w:vAlign w:val="center"/>
            <w:hideMark/>
          </w:tcPr>
          <w:p w14:paraId="519B3710" w14:textId="77777777" w:rsidR="00E63C68" w:rsidRPr="008E63BB" w:rsidRDefault="00E63C68" w:rsidP="00E63C68">
            <w:pPr>
              <w:jc w:val="right"/>
              <w:rPr>
                <w:rFonts w:eastAsia="Times New Roman"/>
                <w:sz w:val="20"/>
                <w:szCs w:val="20"/>
              </w:rPr>
            </w:pPr>
            <w:r w:rsidRPr="008E63BB">
              <w:rPr>
                <w:rFonts w:eastAsia="Times New Roman"/>
                <w:sz w:val="20"/>
                <w:szCs w:val="20"/>
              </w:rPr>
              <w:t>215,24</w:t>
            </w:r>
          </w:p>
        </w:tc>
        <w:tc>
          <w:tcPr>
            <w:tcW w:w="766" w:type="dxa"/>
            <w:tcBorders>
              <w:top w:val="nil"/>
              <w:left w:val="nil"/>
              <w:bottom w:val="single" w:sz="4" w:space="0" w:color="auto"/>
              <w:right w:val="single" w:sz="4" w:space="0" w:color="auto"/>
            </w:tcBorders>
            <w:shd w:val="clear" w:color="auto" w:fill="auto"/>
            <w:noWrap/>
            <w:vAlign w:val="center"/>
            <w:hideMark/>
          </w:tcPr>
          <w:p w14:paraId="519B371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71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713" w14:textId="77777777" w:rsidR="00E63C68" w:rsidRPr="008E63BB" w:rsidRDefault="00E63C68" w:rsidP="00E63C68">
            <w:pPr>
              <w:jc w:val="right"/>
              <w:rPr>
                <w:rFonts w:eastAsia="Times New Roman"/>
                <w:sz w:val="20"/>
                <w:szCs w:val="20"/>
              </w:rPr>
            </w:pPr>
            <w:r w:rsidRPr="008E63BB">
              <w:rPr>
                <w:rFonts w:eastAsia="Times New Roman"/>
                <w:sz w:val="20"/>
                <w:szCs w:val="20"/>
              </w:rPr>
              <w:t>86,99</w:t>
            </w:r>
          </w:p>
        </w:tc>
      </w:tr>
      <w:tr w:rsidR="00E63C68" w:rsidRPr="008E63BB" w14:paraId="519B3726" w14:textId="77777777" w:rsidTr="00E63C68">
        <w:trPr>
          <w:gridAfter w:val="1"/>
          <w:wAfter w:w="6" w:type="dxa"/>
          <w:trHeight w:val="265"/>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715" w14:textId="77777777" w:rsidR="00E63C68" w:rsidRPr="008E63BB" w:rsidRDefault="00E63C68" w:rsidP="00E63C68">
            <w:pPr>
              <w:jc w:val="center"/>
              <w:rPr>
                <w:rFonts w:eastAsia="Times New Roman"/>
                <w:sz w:val="20"/>
                <w:szCs w:val="20"/>
              </w:rPr>
            </w:pPr>
            <w:r w:rsidRPr="008E63BB">
              <w:rPr>
                <w:rFonts w:eastAsia="Times New Roman"/>
                <w:sz w:val="20"/>
                <w:szCs w:val="20"/>
              </w:rPr>
              <w:t>7</w:t>
            </w:r>
          </w:p>
        </w:tc>
        <w:tc>
          <w:tcPr>
            <w:tcW w:w="2831" w:type="dxa"/>
            <w:tcBorders>
              <w:top w:val="nil"/>
              <w:left w:val="nil"/>
              <w:bottom w:val="single" w:sz="4" w:space="0" w:color="auto"/>
              <w:right w:val="single" w:sz="4" w:space="0" w:color="auto"/>
            </w:tcBorders>
            <w:shd w:val="clear" w:color="auto" w:fill="auto"/>
            <w:vAlign w:val="center"/>
            <w:hideMark/>
          </w:tcPr>
          <w:p w14:paraId="519B3716" w14:textId="77777777" w:rsidR="00E63C68" w:rsidRPr="008E63BB" w:rsidRDefault="00E63C68" w:rsidP="00E63C68">
            <w:pPr>
              <w:jc w:val="left"/>
              <w:rPr>
                <w:rFonts w:eastAsia="Times New Roman"/>
                <w:sz w:val="20"/>
                <w:szCs w:val="20"/>
              </w:rPr>
            </w:pPr>
            <w:r w:rsidRPr="008E63BB">
              <w:rPr>
                <w:rFonts w:eastAsia="Times New Roman"/>
                <w:sz w:val="20"/>
                <w:szCs w:val="20"/>
              </w:rPr>
              <w:t>Đất nông nghiệp</w:t>
            </w:r>
          </w:p>
        </w:tc>
        <w:tc>
          <w:tcPr>
            <w:tcW w:w="1016" w:type="dxa"/>
            <w:tcBorders>
              <w:top w:val="nil"/>
              <w:left w:val="nil"/>
              <w:bottom w:val="single" w:sz="4" w:space="0" w:color="auto"/>
              <w:right w:val="single" w:sz="4" w:space="0" w:color="auto"/>
            </w:tcBorders>
            <w:shd w:val="clear" w:color="auto" w:fill="auto"/>
            <w:vAlign w:val="center"/>
            <w:hideMark/>
          </w:tcPr>
          <w:p w14:paraId="519B3717" w14:textId="77777777" w:rsidR="00E63C68" w:rsidRPr="008E63BB" w:rsidRDefault="00E63C68" w:rsidP="00E63C68">
            <w:pPr>
              <w:jc w:val="right"/>
              <w:rPr>
                <w:rFonts w:eastAsia="Times New Roman"/>
                <w:sz w:val="20"/>
                <w:szCs w:val="20"/>
              </w:rPr>
            </w:pPr>
            <w:r w:rsidRPr="008E63BB">
              <w:rPr>
                <w:rFonts w:eastAsia="Times New Roman"/>
                <w:sz w:val="20"/>
                <w:szCs w:val="20"/>
              </w:rPr>
              <w:t>12.182,75</w:t>
            </w:r>
          </w:p>
        </w:tc>
        <w:tc>
          <w:tcPr>
            <w:tcW w:w="766" w:type="dxa"/>
            <w:tcBorders>
              <w:top w:val="nil"/>
              <w:left w:val="nil"/>
              <w:bottom w:val="single" w:sz="4" w:space="0" w:color="auto"/>
              <w:right w:val="single" w:sz="4" w:space="0" w:color="auto"/>
            </w:tcBorders>
            <w:shd w:val="clear" w:color="auto" w:fill="auto"/>
            <w:vAlign w:val="center"/>
            <w:hideMark/>
          </w:tcPr>
          <w:p w14:paraId="519B371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19"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71A" w14:textId="77777777" w:rsidR="00E63C68" w:rsidRPr="008E63BB" w:rsidRDefault="00E63C68" w:rsidP="00E63C68">
            <w:pPr>
              <w:jc w:val="right"/>
              <w:rPr>
                <w:rFonts w:eastAsia="Times New Roman"/>
                <w:sz w:val="20"/>
                <w:szCs w:val="20"/>
              </w:rPr>
            </w:pPr>
            <w:r w:rsidRPr="008E63BB">
              <w:rPr>
                <w:rFonts w:eastAsia="Times New Roman"/>
                <w:sz w:val="20"/>
                <w:szCs w:val="20"/>
              </w:rPr>
              <w:t>1.032,23</w:t>
            </w:r>
          </w:p>
        </w:tc>
        <w:tc>
          <w:tcPr>
            <w:tcW w:w="766" w:type="dxa"/>
            <w:tcBorders>
              <w:top w:val="nil"/>
              <w:left w:val="nil"/>
              <w:bottom w:val="single" w:sz="4" w:space="0" w:color="auto"/>
              <w:right w:val="single" w:sz="4" w:space="0" w:color="auto"/>
            </w:tcBorders>
            <w:shd w:val="clear" w:color="auto" w:fill="auto"/>
            <w:vAlign w:val="center"/>
            <w:hideMark/>
          </w:tcPr>
          <w:p w14:paraId="519B371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71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71D" w14:textId="77777777" w:rsidR="00E63C68" w:rsidRPr="008E63BB" w:rsidRDefault="00E63C68" w:rsidP="00E63C68">
            <w:pPr>
              <w:jc w:val="right"/>
              <w:rPr>
                <w:rFonts w:eastAsia="Times New Roman"/>
                <w:sz w:val="20"/>
                <w:szCs w:val="20"/>
              </w:rPr>
            </w:pPr>
            <w:r w:rsidRPr="008E63BB">
              <w:rPr>
                <w:rFonts w:eastAsia="Times New Roman"/>
                <w:sz w:val="20"/>
                <w:szCs w:val="20"/>
              </w:rPr>
              <w:t>11.150,52</w:t>
            </w:r>
          </w:p>
        </w:tc>
        <w:tc>
          <w:tcPr>
            <w:tcW w:w="766" w:type="dxa"/>
            <w:tcBorders>
              <w:top w:val="nil"/>
              <w:left w:val="nil"/>
              <w:bottom w:val="single" w:sz="4" w:space="0" w:color="auto"/>
              <w:right w:val="single" w:sz="4" w:space="0" w:color="auto"/>
            </w:tcBorders>
            <w:shd w:val="clear" w:color="auto" w:fill="auto"/>
            <w:vAlign w:val="center"/>
            <w:hideMark/>
          </w:tcPr>
          <w:p w14:paraId="519B371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71F" w14:textId="77777777" w:rsidR="00E63C68" w:rsidRPr="008E63BB" w:rsidRDefault="00E63C68" w:rsidP="00E63C68">
            <w:pPr>
              <w:jc w:val="right"/>
              <w:rPr>
                <w:rFonts w:eastAsia="Times New Roman"/>
                <w:sz w:val="20"/>
                <w:szCs w:val="20"/>
              </w:rPr>
            </w:pPr>
            <w:r w:rsidRPr="008E63BB">
              <w:rPr>
                <w:rFonts w:eastAsia="Times New Roman"/>
                <w:sz w:val="20"/>
                <w:szCs w:val="20"/>
              </w:rPr>
              <w:t>7.186,45</w:t>
            </w:r>
          </w:p>
        </w:tc>
        <w:tc>
          <w:tcPr>
            <w:tcW w:w="766" w:type="dxa"/>
            <w:tcBorders>
              <w:top w:val="nil"/>
              <w:left w:val="nil"/>
              <w:bottom w:val="single" w:sz="4" w:space="0" w:color="auto"/>
              <w:right w:val="single" w:sz="4" w:space="0" w:color="auto"/>
            </w:tcBorders>
            <w:shd w:val="clear" w:color="auto" w:fill="auto"/>
            <w:vAlign w:val="center"/>
            <w:hideMark/>
          </w:tcPr>
          <w:p w14:paraId="519B3720"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21" w14:textId="77777777" w:rsidR="00E63C68" w:rsidRPr="008E63BB" w:rsidRDefault="00E63C68" w:rsidP="00E63C68">
            <w:pPr>
              <w:jc w:val="right"/>
              <w:rPr>
                <w:rFonts w:eastAsia="Times New Roman"/>
                <w:b/>
                <w:bCs/>
                <w:sz w:val="20"/>
                <w:szCs w:val="20"/>
              </w:rPr>
            </w:pPr>
            <w:r w:rsidRPr="008E63BB">
              <w:rPr>
                <w:rFonts w:eastAsia="Times New Roman"/>
                <w:b/>
                <w:bCs/>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722" w14:textId="77777777" w:rsidR="00E63C68" w:rsidRPr="008E63BB" w:rsidRDefault="00E63C68" w:rsidP="00E63C68">
            <w:pPr>
              <w:jc w:val="right"/>
              <w:rPr>
                <w:rFonts w:eastAsia="Times New Roman"/>
                <w:sz w:val="20"/>
                <w:szCs w:val="20"/>
              </w:rPr>
            </w:pPr>
            <w:r w:rsidRPr="008E63BB">
              <w:rPr>
                <w:rFonts w:eastAsia="Times New Roman"/>
                <w:sz w:val="20"/>
                <w:szCs w:val="20"/>
              </w:rPr>
              <w:t>2.497,00</w:t>
            </w:r>
          </w:p>
        </w:tc>
        <w:tc>
          <w:tcPr>
            <w:tcW w:w="766" w:type="dxa"/>
            <w:tcBorders>
              <w:top w:val="nil"/>
              <w:left w:val="nil"/>
              <w:bottom w:val="single" w:sz="4" w:space="0" w:color="auto"/>
              <w:right w:val="single" w:sz="4" w:space="0" w:color="auto"/>
            </w:tcBorders>
            <w:shd w:val="clear" w:color="auto" w:fill="auto"/>
            <w:noWrap/>
            <w:vAlign w:val="center"/>
            <w:hideMark/>
          </w:tcPr>
          <w:p w14:paraId="519B372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72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725" w14:textId="77777777" w:rsidR="00E63C68" w:rsidRPr="008E63BB" w:rsidRDefault="00E63C68" w:rsidP="00E63C68">
            <w:pPr>
              <w:jc w:val="right"/>
              <w:rPr>
                <w:rFonts w:eastAsia="Times New Roman"/>
                <w:sz w:val="20"/>
                <w:szCs w:val="20"/>
              </w:rPr>
            </w:pPr>
            <w:r w:rsidRPr="008E63BB">
              <w:rPr>
                <w:rFonts w:eastAsia="Times New Roman"/>
                <w:sz w:val="20"/>
                <w:szCs w:val="20"/>
              </w:rPr>
              <w:t>4.689,45</w:t>
            </w:r>
          </w:p>
        </w:tc>
      </w:tr>
      <w:tr w:rsidR="00E63C68" w:rsidRPr="008E63BB" w14:paraId="519B3738" w14:textId="77777777" w:rsidTr="00E63C68">
        <w:trPr>
          <w:gridAfter w:val="1"/>
          <w:wAfter w:w="6" w:type="dxa"/>
          <w:trHeight w:val="22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727" w14:textId="77777777" w:rsidR="00E63C68" w:rsidRPr="008E63BB" w:rsidRDefault="00E63C68" w:rsidP="00E63C68">
            <w:pPr>
              <w:jc w:val="center"/>
              <w:rPr>
                <w:rFonts w:eastAsia="Times New Roman"/>
                <w:sz w:val="20"/>
                <w:szCs w:val="20"/>
              </w:rPr>
            </w:pPr>
            <w:r w:rsidRPr="008E63BB">
              <w:rPr>
                <w:rFonts w:eastAsia="Times New Roman"/>
                <w:sz w:val="20"/>
                <w:szCs w:val="20"/>
              </w:rPr>
              <w:t>8</w:t>
            </w:r>
          </w:p>
        </w:tc>
        <w:tc>
          <w:tcPr>
            <w:tcW w:w="2831" w:type="dxa"/>
            <w:tcBorders>
              <w:top w:val="nil"/>
              <w:left w:val="nil"/>
              <w:bottom w:val="single" w:sz="4" w:space="0" w:color="auto"/>
              <w:right w:val="single" w:sz="4" w:space="0" w:color="auto"/>
            </w:tcBorders>
            <w:shd w:val="clear" w:color="auto" w:fill="auto"/>
            <w:vAlign w:val="center"/>
            <w:hideMark/>
          </w:tcPr>
          <w:p w14:paraId="519B3728" w14:textId="77777777" w:rsidR="00E63C68" w:rsidRPr="008E63BB" w:rsidRDefault="00E63C68" w:rsidP="00E63C68">
            <w:pPr>
              <w:jc w:val="left"/>
              <w:rPr>
                <w:rFonts w:eastAsia="Times New Roman"/>
                <w:sz w:val="20"/>
                <w:szCs w:val="20"/>
              </w:rPr>
            </w:pPr>
            <w:r w:rsidRPr="008E63BB">
              <w:rPr>
                <w:rFonts w:eastAsia="Times New Roman"/>
                <w:sz w:val="20"/>
                <w:szCs w:val="20"/>
              </w:rPr>
              <w:t>Đất khác</w:t>
            </w:r>
          </w:p>
        </w:tc>
        <w:tc>
          <w:tcPr>
            <w:tcW w:w="1016" w:type="dxa"/>
            <w:tcBorders>
              <w:top w:val="nil"/>
              <w:left w:val="nil"/>
              <w:bottom w:val="single" w:sz="4" w:space="0" w:color="auto"/>
              <w:right w:val="single" w:sz="4" w:space="0" w:color="auto"/>
            </w:tcBorders>
            <w:shd w:val="clear" w:color="auto" w:fill="auto"/>
            <w:vAlign w:val="center"/>
            <w:hideMark/>
          </w:tcPr>
          <w:p w14:paraId="519B3729" w14:textId="77777777" w:rsidR="00E63C68" w:rsidRPr="008E63BB" w:rsidRDefault="00E63C68" w:rsidP="00E63C68">
            <w:pPr>
              <w:jc w:val="right"/>
              <w:rPr>
                <w:rFonts w:eastAsia="Times New Roman"/>
                <w:sz w:val="20"/>
                <w:szCs w:val="20"/>
              </w:rPr>
            </w:pPr>
            <w:r w:rsidRPr="008E63BB">
              <w:rPr>
                <w:rFonts w:eastAsia="Times New Roman"/>
                <w:sz w:val="20"/>
                <w:szCs w:val="20"/>
              </w:rPr>
              <w:t>85,45</w:t>
            </w:r>
          </w:p>
        </w:tc>
        <w:tc>
          <w:tcPr>
            <w:tcW w:w="766" w:type="dxa"/>
            <w:tcBorders>
              <w:top w:val="nil"/>
              <w:left w:val="nil"/>
              <w:bottom w:val="single" w:sz="4" w:space="0" w:color="auto"/>
              <w:right w:val="single" w:sz="4" w:space="0" w:color="auto"/>
            </w:tcBorders>
            <w:shd w:val="clear" w:color="auto" w:fill="auto"/>
            <w:vAlign w:val="center"/>
            <w:hideMark/>
          </w:tcPr>
          <w:p w14:paraId="519B372A"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2B"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72C" w14:textId="77777777" w:rsidR="00E63C68" w:rsidRPr="008E63BB" w:rsidRDefault="00E63C68" w:rsidP="00E63C68">
            <w:pPr>
              <w:jc w:val="right"/>
              <w:rPr>
                <w:rFonts w:eastAsia="Times New Roman"/>
                <w:sz w:val="20"/>
                <w:szCs w:val="20"/>
              </w:rPr>
            </w:pPr>
            <w:r w:rsidRPr="008E63BB">
              <w:rPr>
                <w:rFonts w:eastAsia="Times New Roman"/>
                <w:sz w:val="20"/>
                <w:szCs w:val="20"/>
              </w:rPr>
              <w:t>7,61</w:t>
            </w:r>
          </w:p>
        </w:tc>
        <w:tc>
          <w:tcPr>
            <w:tcW w:w="766" w:type="dxa"/>
            <w:tcBorders>
              <w:top w:val="nil"/>
              <w:left w:val="nil"/>
              <w:bottom w:val="single" w:sz="4" w:space="0" w:color="auto"/>
              <w:right w:val="single" w:sz="4" w:space="0" w:color="auto"/>
            </w:tcBorders>
            <w:shd w:val="clear" w:color="auto" w:fill="auto"/>
            <w:vAlign w:val="center"/>
            <w:hideMark/>
          </w:tcPr>
          <w:p w14:paraId="519B372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72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72F" w14:textId="77777777" w:rsidR="00E63C68" w:rsidRPr="008E63BB" w:rsidRDefault="00E63C68" w:rsidP="00E63C68">
            <w:pPr>
              <w:jc w:val="right"/>
              <w:rPr>
                <w:rFonts w:eastAsia="Times New Roman"/>
                <w:sz w:val="20"/>
                <w:szCs w:val="20"/>
              </w:rPr>
            </w:pPr>
            <w:r w:rsidRPr="008E63BB">
              <w:rPr>
                <w:rFonts w:eastAsia="Times New Roman"/>
                <w:sz w:val="20"/>
                <w:szCs w:val="20"/>
              </w:rPr>
              <w:t>77,84</w:t>
            </w:r>
          </w:p>
        </w:tc>
        <w:tc>
          <w:tcPr>
            <w:tcW w:w="766" w:type="dxa"/>
            <w:tcBorders>
              <w:top w:val="nil"/>
              <w:left w:val="nil"/>
              <w:bottom w:val="single" w:sz="4" w:space="0" w:color="auto"/>
              <w:right w:val="single" w:sz="4" w:space="0" w:color="auto"/>
            </w:tcBorders>
            <w:shd w:val="clear" w:color="auto" w:fill="auto"/>
            <w:vAlign w:val="center"/>
            <w:hideMark/>
          </w:tcPr>
          <w:p w14:paraId="519B373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73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3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33"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73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73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736"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73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r>
      <w:tr w:rsidR="00E63C68" w:rsidRPr="008E63BB" w14:paraId="519B374A" w14:textId="77777777" w:rsidTr="00E63C68">
        <w:trPr>
          <w:gridAfter w:val="1"/>
          <w:wAfter w:w="6" w:type="dxa"/>
          <w:trHeight w:val="27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739" w14:textId="77777777" w:rsidR="00E63C68" w:rsidRPr="008E63BB" w:rsidRDefault="00E63C68" w:rsidP="00E63C68">
            <w:pPr>
              <w:jc w:val="center"/>
              <w:rPr>
                <w:rFonts w:eastAsia="Times New Roman"/>
                <w:sz w:val="20"/>
                <w:szCs w:val="20"/>
              </w:rPr>
            </w:pPr>
            <w:r w:rsidRPr="008E63BB">
              <w:rPr>
                <w:rFonts w:eastAsia="Times New Roman"/>
                <w:sz w:val="20"/>
                <w:szCs w:val="20"/>
              </w:rPr>
              <w:t>9</w:t>
            </w:r>
          </w:p>
        </w:tc>
        <w:tc>
          <w:tcPr>
            <w:tcW w:w="2831" w:type="dxa"/>
            <w:tcBorders>
              <w:top w:val="nil"/>
              <w:left w:val="nil"/>
              <w:bottom w:val="single" w:sz="4" w:space="0" w:color="auto"/>
              <w:right w:val="single" w:sz="4" w:space="0" w:color="auto"/>
            </w:tcBorders>
            <w:shd w:val="clear" w:color="auto" w:fill="auto"/>
            <w:vAlign w:val="center"/>
            <w:hideMark/>
          </w:tcPr>
          <w:p w14:paraId="519B373A" w14:textId="77777777" w:rsidR="00E63C68" w:rsidRPr="008E63BB" w:rsidRDefault="00E63C68" w:rsidP="00E63C68">
            <w:pPr>
              <w:jc w:val="left"/>
              <w:rPr>
                <w:rFonts w:eastAsia="Times New Roman"/>
                <w:sz w:val="20"/>
                <w:szCs w:val="20"/>
              </w:rPr>
            </w:pPr>
            <w:r w:rsidRPr="008E63BB">
              <w:rPr>
                <w:rFonts w:eastAsia="Times New Roman"/>
                <w:sz w:val="20"/>
                <w:szCs w:val="20"/>
              </w:rPr>
              <w:t>Đất sông suối, mặt nước chuyên dùng</w:t>
            </w:r>
          </w:p>
        </w:tc>
        <w:tc>
          <w:tcPr>
            <w:tcW w:w="1016" w:type="dxa"/>
            <w:tcBorders>
              <w:top w:val="nil"/>
              <w:left w:val="nil"/>
              <w:bottom w:val="single" w:sz="4" w:space="0" w:color="auto"/>
              <w:right w:val="single" w:sz="4" w:space="0" w:color="auto"/>
            </w:tcBorders>
            <w:shd w:val="clear" w:color="auto" w:fill="auto"/>
            <w:vAlign w:val="center"/>
            <w:hideMark/>
          </w:tcPr>
          <w:p w14:paraId="519B373B" w14:textId="77777777" w:rsidR="00E63C68" w:rsidRPr="008E63BB" w:rsidRDefault="00E63C68" w:rsidP="00E63C68">
            <w:pPr>
              <w:jc w:val="right"/>
              <w:rPr>
                <w:rFonts w:eastAsia="Times New Roman"/>
                <w:sz w:val="20"/>
                <w:szCs w:val="20"/>
              </w:rPr>
            </w:pPr>
            <w:r w:rsidRPr="008E63BB">
              <w:rPr>
                <w:rFonts w:eastAsia="Times New Roman"/>
                <w:sz w:val="20"/>
                <w:szCs w:val="20"/>
              </w:rPr>
              <w:t>939,36</w:t>
            </w:r>
          </w:p>
        </w:tc>
        <w:tc>
          <w:tcPr>
            <w:tcW w:w="766" w:type="dxa"/>
            <w:tcBorders>
              <w:top w:val="nil"/>
              <w:left w:val="nil"/>
              <w:bottom w:val="single" w:sz="4" w:space="0" w:color="auto"/>
              <w:right w:val="single" w:sz="4" w:space="0" w:color="auto"/>
            </w:tcBorders>
            <w:shd w:val="clear" w:color="auto" w:fill="auto"/>
            <w:vAlign w:val="center"/>
            <w:hideMark/>
          </w:tcPr>
          <w:p w14:paraId="519B373C"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3D"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73E" w14:textId="77777777" w:rsidR="00E63C68" w:rsidRPr="008E63BB" w:rsidRDefault="00E63C68" w:rsidP="00E63C68">
            <w:pPr>
              <w:jc w:val="right"/>
              <w:rPr>
                <w:rFonts w:eastAsia="Times New Roman"/>
                <w:sz w:val="20"/>
                <w:szCs w:val="20"/>
              </w:rPr>
            </w:pPr>
            <w:r w:rsidRPr="008E63BB">
              <w:rPr>
                <w:rFonts w:eastAsia="Times New Roman"/>
                <w:sz w:val="20"/>
                <w:szCs w:val="20"/>
              </w:rPr>
              <w:t>97,18</w:t>
            </w:r>
          </w:p>
        </w:tc>
        <w:tc>
          <w:tcPr>
            <w:tcW w:w="766" w:type="dxa"/>
            <w:tcBorders>
              <w:top w:val="nil"/>
              <w:left w:val="nil"/>
              <w:bottom w:val="single" w:sz="4" w:space="0" w:color="auto"/>
              <w:right w:val="single" w:sz="4" w:space="0" w:color="auto"/>
            </w:tcBorders>
            <w:shd w:val="clear" w:color="auto" w:fill="auto"/>
            <w:vAlign w:val="center"/>
            <w:hideMark/>
          </w:tcPr>
          <w:p w14:paraId="519B373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740"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741" w14:textId="77777777" w:rsidR="00E63C68" w:rsidRPr="008E63BB" w:rsidRDefault="00E63C68" w:rsidP="00E63C68">
            <w:pPr>
              <w:jc w:val="right"/>
              <w:rPr>
                <w:rFonts w:eastAsia="Times New Roman"/>
                <w:sz w:val="20"/>
                <w:szCs w:val="20"/>
              </w:rPr>
            </w:pPr>
            <w:r w:rsidRPr="008E63BB">
              <w:rPr>
                <w:rFonts w:eastAsia="Times New Roman"/>
                <w:sz w:val="20"/>
                <w:szCs w:val="20"/>
              </w:rPr>
              <w:t>842,18</w:t>
            </w:r>
          </w:p>
        </w:tc>
        <w:tc>
          <w:tcPr>
            <w:tcW w:w="766" w:type="dxa"/>
            <w:tcBorders>
              <w:top w:val="nil"/>
              <w:left w:val="nil"/>
              <w:bottom w:val="single" w:sz="4" w:space="0" w:color="auto"/>
              <w:right w:val="single" w:sz="4" w:space="0" w:color="auto"/>
            </w:tcBorders>
            <w:shd w:val="clear" w:color="auto" w:fill="auto"/>
            <w:vAlign w:val="center"/>
            <w:hideMark/>
          </w:tcPr>
          <w:p w14:paraId="519B374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743" w14:textId="77777777" w:rsidR="00E63C68" w:rsidRPr="008E63BB" w:rsidRDefault="00E63C68" w:rsidP="00E63C68">
            <w:pPr>
              <w:jc w:val="right"/>
              <w:rPr>
                <w:rFonts w:eastAsia="Times New Roman"/>
                <w:sz w:val="20"/>
                <w:szCs w:val="20"/>
              </w:rPr>
            </w:pPr>
            <w:r w:rsidRPr="008E63BB">
              <w:rPr>
                <w:rFonts w:eastAsia="Times New Roman"/>
                <w:sz w:val="20"/>
                <w:szCs w:val="20"/>
              </w:rPr>
              <w:t>810,95</w:t>
            </w:r>
          </w:p>
        </w:tc>
        <w:tc>
          <w:tcPr>
            <w:tcW w:w="766" w:type="dxa"/>
            <w:tcBorders>
              <w:top w:val="nil"/>
              <w:left w:val="nil"/>
              <w:bottom w:val="single" w:sz="4" w:space="0" w:color="auto"/>
              <w:right w:val="single" w:sz="4" w:space="0" w:color="auto"/>
            </w:tcBorders>
            <w:shd w:val="clear" w:color="auto" w:fill="auto"/>
            <w:vAlign w:val="center"/>
            <w:hideMark/>
          </w:tcPr>
          <w:p w14:paraId="519B374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45"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746" w14:textId="77777777" w:rsidR="00E63C68" w:rsidRPr="008E63BB" w:rsidRDefault="00E63C68" w:rsidP="00E63C68">
            <w:pPr>
              <w:jc w:val="right"/>
              <w:rPr>
                <w:rFonts w:eastAsia="Times New Roman"/>
                <w:sz w:val="20"/>
                <w:szCs w:val="20"/>
              </w:rPr>
            </w:pPr>
            <w:r w:rsidRPr="008E63BB">
              <w:rPr>
                <w:rFonts w:eastAsia="Times New Roman"/>
                <w:sz w:val="20"/>
                <w:szCs w:val="20"/>
              </w:rPr>
              <w:t>95,20</w:t>
            </w:r>
          </w:p>
        </w:tc>
        <w:tc>
          <w:tcPr>
            <w:tcW w:w="766" w:type="dxa"/>
            <w:tcBorders>
              <w:top w:val="nil"/>
              <w:left w:val="nil"/>
              <w:bottom w:val="single" w:sz="4" w:space="0" w:color="auto"/>
              <w:right w:val="single" w:sz="4" w:space="0" w:color="auto"/>
            </w:tcBorders>
            <w:shd w:val="clear" w:color="auto" w:fill="auto"/>
            <w:noWrap/>
            <w:vAlign w:val="center"/>
            <w:hideMark/>
          </w:tcPr>
          <w:p w14:paraId="519B3747"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noWrap/>
            <w:vAlign w:val="center"/>
            <w:hideMark/>
          </w:tcPr>
          <w:p w14:paraId="519B3748"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gridSpan w:val="2"/>
            <w:tcBorders>
              <w:top w:val="nil"/>
              <w:left w:val="nil"/>
              <w:bottom w:val="single" w:sz="4" w:space="0" w:color="auto"/>
              <w:right w:val="single" w:sz="4" w:space="0" w:color="auto"/>
            </w:tcBorders>
            <w:shd w:val="clear" w:color="auto" w:fill="auto"/>
            <w:vAlign w:val="center"/>
            <w:hideMark/>
          </w:tcPr>
          <w:p w14:paraId="519B3749" w14:textId="77777777" w:rsidR="00E63C68" w:rsidRPr="008E63BB" w:rsidRDefault="00E63C68" w:rsidP="00E63C68">
            <w:pPr>
              <w:jc w:val="right"/>
              <w:rPr>
                <w:rFonts w:eastAsia="Times New Roman"/>
                <w:sz w:val="20"/>
                <w:szCs w:val="20"/>
              </w:rPr>
            </w:pPr>
            <w:r w:rsidRPr="008E63BB">
              <w:rPr>
                <w:rFonts w:eastAsia="Times New Roman"/>
                <w:sz w:val="20"/>
                <w:szCs w:val="20"/>
              </w:rPr>
              <w:t>715,75</w:t>
            </w:r>
          </w:p>
        </w:tc>
      </w:tr>
      <w:tr w:rsidR="00E63C68" w:rsidRPr="008E63BB" w14:paraId="519B375C" w14:textId="77777777" w:rsidTr="00E63C68">
        <w:trPr>
          <w:gridAfter w:val="1"/>
          <w:wAfter w:w="6" w:type="dxa"/>
          <w:trHeight w:val="22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74B" w14:textId="77777777" w:rsidR="00E63C68" w:rsidRPr="008E63BB" w:rsidRDefault="00E63C68" w:rsidP="00E63C68">
            <w:pPr>
              <w:jc w:val="center"/>
              <w:rPr>
                <w:rFonts w:eastAsia="Times New Roman"/>
                <w:sz w:val="20"/>
                <w:szCs w:val="20"/>
              </w:rPr>
            </w:pPr>
            <w:r w:rsidRPr="008E63BB">
              <w:rPr>
                <w:rFonts w:eastAsia="Times New Roman"/>
                <w:sz w:val="20"/>
                <w:szCs w:val="20"/>
              </w:rPr>
              <w:t>10</w:t>
            </w:r>
          </w:p>
        </w:tc>
        <w:tc>
          <w:tcPr>
            <w:tcW w:w="2831" w:type="dxa"/>
            <w:tcBorders>
              <w:top w:val="nil"/>
              <w:left w:val="nil"/>
              <w:bottom w:val="single" w:sz="4" w:space="0" w:color="auto"/>
              <w:right w:val="single" w:sz="4" w:space="0" w:color="auto"/>
            </w:tcBorders>
            <w:shd w:val="clear" w:color="auto" w:fill="auto"/>
            <w:vAlign w:val="center"/>
            <w:hideMark/>
          </w:tcPr>
          <w:p w14:paraId="6E75430B" w14:textId="77777777" w:rsidR="00EC3775" w:rsidRPr="008E63BB" w:rsidRDefault="00E63C68" w:rsidP="00E63C68">
            <w:pPr>
              <w:jc w:val="left"/>
              <w:rPr>
                <w:rFonts w:eastAsia="Times New Roman"/>
                <w:sz w:val="20"/>
                <w:szCs w:val="20"/>
              </w:rPr>
            </w:pPr>
            <w:r w:rsidRPr="008E63BB">
              <w:rPr>
                <w:rFonts w:eastAsia="Times New Roman"/>
                <w:sz w:val="20"/>
                <w:szCs w:val="20"/>
              </w:rPr>
              <w:t xml:space="preserve">Đất chưa sử dụng </w:t>
            </w:r>
          </w:p>
          <w:p w14:paraId="519B374C" w14:textId="49878139" w:rsidR="00E63C68" w:rsidRPr="008E63BB" w:rsidRDefault="00E63C68" w:rsidP="00E63C68">
            <w:pPr>
              <w:jc w:val="left"/>
              <w:rPr>
                <w:rFonts w:eastAsia="Times New Roman"/>
                <w:sz w:val="20"/>
                <w:szCs w:val="20"/>
              </w:rPr>
            </w:pPr>
            <w:r w:rsidRPr="008E63BB">
              <w:rPr>
                <w:rFonts w:eastAsia="Times New Roman"/>
                <w:sz w:val="20"/>
                <w:szCs w:val="20"/>
              </w:rPr>
              <w:t>(Đất bằng chưa sử dụng)</w:t>
            </w:r>
          </w:p>
        </w:tc>
        <w:tc>
          <w:tcPr>
            <w:tcW w:w="1016" w:type="dxa"/>
            <w:tcBorders>
              <w:top w:val="nil"/>
              <w:left w:val="nil"/>
              <w:bottom w:val="single" w:sz="4" w:space="0" w:color="auto"/>
              <w:right w:val="single" w:sz="4" w:space="0" w:color="auto"/>
            </w:tcBorders>
            <w:shd w:val="clear" w:color="auto" w:fill="auto"/>
            <w:vAlign w:val="center"/>
            <w:hideMark/>
          </w:tcPr>
          <w:p w14:paraId="519B374D" w14:textId="77777777" w:rsidR="00E63C68" w:rsidRPr="008E63BB" w:rsidRDefault="00E63C68" w:rsidP="00E63C68">
            <w:pPr>
              <w:jc w:val="right"/>
              <w:rPr>
                <w:rFonts w:eastAsia="Times New Roman"/>
                <w:sz w:val="20"/>
                <w:szCs w:val="20"/>
              </w:rPr>
            </w:pPr>
            <w:r w:rsidRPr="008E63BB">
              <w:rPr>
                <w:rFonts w:eastAsia="Times New Roman"/>
                <w:sz w:val="20"/>
                <w:szCs w:val="20"/>
              </w:rPr>
              <w:t>39,33</w:t>
            </w:r>
          </w:p>
        </w:tc>
        <w:tc>
          <w:tcPr>
            <w:tcW w:w="766" w:type="dxa"/>
            <w:tcBorders>
              <w:top w:val="nil"/>
              <w:left w:val="nil"/>
              <w:bottom w:val="single" w:sz="4" w:space="0" w:color="auto"/>
              <w:right w:val="single" w:sz="4" w:space="0" w:color="auto"/>
            </w:tcBorders>
            <w:shd w:val="clear" w:color="auto" w:fill="auto"/>
            <w:vAlign w:val="center"/>
            <w:hideMark/>
          </w:tcPr>
          <w:p w14:paraId="519B374E"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74F"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750" w14:textId="77777777" w:rsidR="00E63C68" w:rsidRPr="008E63BB" w:rsidRDefault="00E63C68" w:rsidP="00E63C68">
            <w:pPr>
              <w:jc w:val="right"/>
              <w:rPr>
                <w:rFonts w:eastAsia="Times New Roman"/>
                <w:sz w:val="20"/>
                <w:szCs w:val="20"/>
              </w:rPr>
            </w:pPr>
            <w:r w:rsidRPr="008E63BB">
              <w:rPr>
                <w:rFonts w:eastAsia="Times New Roman"/>
                <w:sz w:val="20"/>
                <w:szCs w:val="20"/>
              </w:rPr>
              <w:t>5,84</w:t>
            </w:r>
          </w:p>
        </w:tc>
        <w:tc>
          <w:tcPr>
            <w:tcW w:w="766" w:type="dxa"/>
            <w:tcBorders>
              <w:top w:val="nil"/>
              <w:left w:val="nil"/>
              <w:bottom w:val="single" w:sz="4" w:space="0" w:color="auto"/>
              <w:right w:val="single" w:sz="4" w:space="0" w:color="auto"/>
            </w:tcBorders>
            <w:shd w:val="clear" w:color="auto" w:fill="auto"/>
            <w:vAlign w:val="center"/>
            <w:hideMark/>
          </w:tcPr>
          <w:p w14:paraId="519B3751"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752"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753" w14:textId="77777777" w:rsidR="00E63C68" w:rsidRPr="008E63BB" w:rsidRDefault="00E63C68" w:rsidP="00E63C68">
            <w:pPr>
              <w:jc w:val="right"/>
              <w:rPr>
                <w:rFonts w:eastAsia="Times New Roman"/>
                <w:sz w:val="20"/>
                <w:szCs w:val="20"/>
              </w:rPr>
            </w:pPr>
            <w:r w:rsidRPr="008E63BB">
              <w:rPr>
                <w:rFonts w:eastAsia="Times New Roman"/>
                <w:sz w:val="20"/>
                <w:szCs w:val="20"/>
              </w:rPr>
              <w:t>33,49</w:t>
            </w:r>
          </w:p>
        </w:tc>
        <w:tc>
          <w:tcPr>
            <w:tcW w:w="766" w:type="dxa"/>
            <w:tcBorders>
              <w:top w:val="nil"/>
              <w:left w:val="nil"/>
              <w:bottom w:val="single" w:sz="4" w:space="0" w:color="auto"/>
              <w:right w:val="single" w:sz="4" w:space="0" w:color="auto"/>
            </w:tcBorders>
            <w:shd w:val="clear" w:color="auto" w:fill="auto"/>
            <w:vAlign w:val="center"/>
            <w:hideMark/>
          </w:tcPr>
          <w:p w14:paraId="519B3754" w14:textId="77777777" w:rsidR="00E63C68" w:rsidRPr="008E63BB" w:rsidRDefault="00E63C68" w:rsidP="00E63C68">
            <w:pPr>
              <w:jc w:val="right"/>
              <w:rPr>
                <w:rFonts w:eastAsia="Times New Roman"/>
                <w:sz w:val="20"/>
                <w:szCs w:val="20"/>
              </w:rPr>
            </w:pPr>
            <w:r w:rsidRPr="008E63BB">
              <w:rPr>
                <w:rFonts w:eastAsia="Times New Roman"/>
                <w:sz w:val="20"/>
                <w:szCs w:val="20"/>
              </w:rPr>
              <w:t> </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14:paraId="519B3755" w14:textId="77777777" w:rsidR="00E63C68" w:rsidRPr="008E63BB" w:rsidRDefault="00E63C68" w:rsidP="00E63C68">
            <w:pPr>
              <w:jc w:val="right"/>
              <w:rPr>
                <w:rFonts w:eastAsia="Times New Roman"/>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19B3756" w14:textId="77777777" w:rsidR="00E63C68" w:rsidRPr="008E63BB" w:rsidRDefault="00E63C68" w:rsidP="00E63C68">
            <w:pPr>
              <w:jc w:val="right"/>
              <w:rPr>
                <w:rFonts w:eastAsia="Times New Roman"/>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19B3757" w14:textId="77777777" w:rsidR="00E63C68" w:rsidRPr="008E63BB" w:rsidRDefault="00E63C68" w:rsidP="00E63C68">
            <w:pPr>
              <w:jc w:val="right"/>
              <w:rPr>
                <w:rFonts w:eastAsia="Times New Roman"/>
                <w:sz w:val="20"/>
                <w:szCs w:val="20"/>
              </w:rPr>
            </w:pPr>
          </w:p>
        </w:tc>
        <w:tc>
          <w:tcPr>
            <w:tcW w:w="916" w:type="dxa"/>
            <w:tcBorders>
              <w:top w:val="nil"/>
              <w:left w:val="nil"/>
              <w:bottom w:val="single" w:sz="4" w:space="0" w:color="auto"/>
              <w:right w:val="single" w:sz="4" w:space="0" w:color="auto"/>
            </w:tcBorders>
            <w:shd w:val="clear" w:color="auto" w:fill="auto"/>
            <w:noWrap/>
            <w:vAlign w:val="center"/>
          </w:tcPr>
          <w:p w14:paraId="519B3758" w14:textId="77777777" w:rsidR="00E63C68" w:rsidRPr="008E63BB" w:rsidRDefault="00E63C68" w:rsidP="00E63C68">
            <w:pPr>
              <w:jc w:val="right"/>
              <w:rPr>
                <w:rFonts w:eastAsia="Times New Roman"/>
                <w:sz w:val="20"/>
                <w:szCs w:val="20"/>
              </w:rPr>
            </w:pPr>
          </w:p>
        </w:tc>
        <w:tc>
          <w:tcPr>
            <w:tcW w:w="766" w:type="dxa"/>
            <w:tcBorders>
              <w:top w:val="nil"/>
              <w:left w:val="nil"/>
              <w:bottom w:val="single" w:sz="4" w:space="0" w:color="auto"/>
              <w:right w:val="single" w:sz="4" w:space="0" w:color="auto"/>
            </w:tcBorders>
            <w:shd w:val="clear" w:color="auto" w:fill="auto"/>
            <w:noWrap/>
            <w:vAlign w:val="center"/>
          </w:tcPr>
          <w:p w14:paraId="519B3759" w14:textId="77777777" w:rsidR="00E63C68" w:rsidRPr="008E63BB" w:rsidRDefault="00E63C68" w:rsidP="00E63C68">
            <w:pPr>
              <w:jc w:val="right"/>
              <w:rPr>
                <w:rFonts w:eastAsia="Times New Roman"/>
                <w:sz w:val="20"/>
                <w:szCs w:val="20"/>
              </w:rPr>
            </w:pPr>
          </w:p>
        </w:tc>
        <w:tc>
          <w:tcPr>
            <w:tcW w:w="766" w:type="dxa"/>
            <w:tcBorders>
              <w:top w:val="nil"/>
              <w:left w:val="nil"/>
              <w:bottom w:val="single" w:sz="4" w:space="0" w:color="auto"/>
              <w:right w:val="single" w:sz="4" w:space="0" w:color="auto"/>
            </w:tcBorders>
            <w:shd w:val="clear" w:color="auto" w:fill="auto"/>
            <w:noWrap/>
            <w:vAlign w:val="center"/>
          </w:tcPr>
          <w:p w14:paraId="519B375A" w14:textId="77777777" w:rsidR="00E63C68" w:rsidRPr="008E63BB" w:rsidRDefault="00E63C68" w:rsidP="00E63C68">
            <w:pPr>
              <w:jc w:val="right"/>
              <w:rPr>
                <w:rFonts w:eastAsia="Times New Roman"/>
                <w:sz w:val="20"/>
                <w:szCs w:val="20"/>
              </w:rPr>
            </w:pPr>
          </w:p>
        </w:tc>
        <w:tc>
          <w:tcPr>
            <w:tcW w:w="916" w:type="dxa"/>
            <w:gridSpan w:val="2"/>
            <w:tcBorders>
              <w:top w:val="nil"/>
              <w:left w:val="nil"/>
              <w:bottom w:val="single" w:sz="4" w:space="0" w:color="auto"/>
              <w:right w:val="single" w:sz="4" w:space="0" w:color="auto"/>
            </w:tcBorders>
            <w:shd w:val="clear" w:color="auto" w:fill="auto"/>
            <w:vAlign w:val="center"/>
          </w:tcPr>
          <w:p w14:paraId="519B375B" w14:textId="77777777" w:rsidR="00E63C68" w:rsidRPr="008E63BB" w:rsidRDefault="00E63C68" w:rsidP="00E63C68">
            <w:pPr>
              <w:jc w:val="right"/>
              <w:rPr>
                <w:rFonts w:eastAsia="Times New Roman"/>
                <w:sz w:val="20"/>
                <w:szCs w:val="20"/>
              </w:rPr>
            </w:pPr>
          </w:p>
        </w:tc>
      </w:tr>
    </w:tbl>
    <w:p w14:paraId="519B375D" w14:textId="77777777" w:rsidR="003E624C" w:rsidRPr="008E63BB" w:rsidRDefault="003E624C" w:rsidP="0065184D">
      <w:pPr>
        <w:jc w:val="left"/>
        <w:rPr>
          <w:rFonts w:eastAsia="Times New Roman"/>
          <w:b/>
          <w:bCs/>
          <w:kern w:val="32"/>
          <w:szCs w:val="26"/>
          <w:lang w:val="vi-VN"/>
        </w:rPr>
      </w:pPr>
    </w:p>
    <w:p w14:paraId="519B375E" w14:textId="77777777" w:rsidR="003E624C" w:rsidRPr="008E63BB" w:rsidRDefault="003E624C" w:rsidP="0065184D">
      <w:pPr>
        <w:jc w:val="left"/>
        <w:rPr>
          <w:rFonts w:eastAsia="Times New Roman"/>
          <w:b/>
          <w:bCs/>
          <w:iCs/>
          <w:kern w:val="32"/>
          <w:szCs w:val="26"/>
          <w:lang w:val="vi-VN"/>
        </w:rPr>
        <w:sectPr w:rsidR="003E624C" w:rsidRPr="008E63BB" w:rsidSect="003E624C">
          <w:pgSz w:w="16840" w:h="11907" w:orient="landscape" w:code="9"/>
          <w:pgMar w:top="1699" w:right="1440" w:bottom="922" w:left="1440" w:header="720" w:footer="720" w:gutter="0"/>
          <w:cols w:space="720"/>
          <w:docGrid w:linePitch="360"/>
        </w:sectPr>
      </w:pPr>
    </w:p>
    <w:p w14:paraId="519B375F" w14:textId="77777777" w:rsidR="0073131E" w:rsidRPr="008E63BB" w:rsidRDefault="0073131E" w:rsidP="0073131E">
      <w:pPr>
        <w:pStyle w:val="Heading3"/>
      </w:pPr>
      <w:bookmarkStart w:id="415" w:name="_Toc47524712"/>
      <w:r w:rsidRPr="008E63BB">
        <w:lastRenderedPageBreak/>
        <w:t>5.</w:t>
      </w:r>
      <w:r w:rsidR="00F9056A" w:rsidRPr="008E63BB">
        <w:t>7</w:t>
      </w:r>
      <w:r w:rsidRPr="008E63BB">
        <w:t>.3. Chỉ tiêu chiều cao và mật độ xây dựng</w:t>
      </w:r>
      <w:bookmarkEnd w:id="415"/>
    </w:p>
    <w:p w14:paraId="519B3760" w14:textId="77777777" w:rsidR="0073131E" w:rsidRPr="008E63BB" w:rsidRDefault="0073131E" w:rsidP="00AC5BAD">
      <w:pPr>
        <w:ind w:firstLine="720"/>
        <w:rPr>
          <w:u w:color="000000"/>
          <w:lang w:val="vi-VN"/>
        </w:rPr>
      </w:pPr>
      <w:r w:rsidRPr="008E63BB">
        <w:rPr>
          <w:u w:color="000000"/>
          <w:lang w:val="vi-VN"/>
        </w:rPr>
        <w:t>Không gian chiều cao được quy định phù hợp với các chiến lược phát triển đô thị, phù hợp với yêu cầu tạo nên các diện đặc trưng trong đô thị.</w:t>
      </w:r>
    </w:p>
    <w:p w14:paraId="519B3761" w14:textId="77777777" w:rsidR="0073131E" w:rsidRPr="008E63BB" w:rsidRDefault="0073131E" w:rsidP="00AC5BAD">
      <w:pPr>
        <w:ind w:firstLine="720"/>
        <w:rPr>
          <w:u w:color="000000"/>
          <w:lang w:val="vi-VN"/>
        </w:rPr>
      </w:pPr>
      <w:r w:rsidRPr="008E63BB">
        <w:rPr>
          <w:u w:color="000000"/>
          <w:lang w:val="vi-VN"/>
        </w:rPr>
        <w:t>Cụ thể quy định như sau:</w:t>
      </w:r>
    </w:p>
    <w:p w14:paraId="519B3762" w14:textId="77777777" w:rsidR="0073131E" w:rsidRPr="008E63BB" w:rsidRDefault="00AC5BAD" w:rsidP="00AC5BAD">
      <w:pPr>
        <w:ind w:firstLine="720"/>
        <w:rPr>
          <w:u w:color="000000"/>
          <w:lang w:val="vi-VN"/>
        </w:rPr>
      </w:pPr>
      <w:r w:rsidRPr="008E63BB">
        <w:rPr>
          <w:u w:color="000000"/>
          <w:lang w:val="vi-VN"/>
        </w:rPr>
        <w:t xml:space="preserve">- </w:t>
      </w:r>
      <w:r w:rsidR="0073131E" w:rsidRPr="008E63BB">
        <w:rPr>
          <w:u w:color="000000"/>
          <w:lang w:val="vi-VN"/>
        </w:rPr>
        <w:t>Đối với khu vực nội thành: Khuyến khích giới hạn ở mức 9 tầng có tính đến các công trình điểm nhấn điển hình, không gian kết nối giao thông thuận tiện có thể trên 9 tầng nhưng cần nghiên cứu, tính toán khoa học đảm bảo tiêu chuẩn.</w:t>
      </w:r>
    </w:p>
    <w:p w14:paraId="519B3763" w14:textId="77777777" w:rsidR="0073131E" w:rsidRPr="008E63BB" w:rsidRDefault="00AC5BAD" w:rsidP="00AC5BAD">
      <w:pPr>
        <w:ind w:firstLine="720"/>
        <w:rPr>
          <w:u w:color="000000"/>
          <w:lang w:val="vi-VN"/>
        </w:rPr>
      </w:pPr>
      <w:r w:rsidRPr="008E63BB">
        <w:rPr>
          <w:u w:color="000000"/>
          <w:lang w:val="vi-VN"/>
        </w:rPr>
        <w:t xml:space="preserve">- </w:t>
      </w:r>
      <w:r w:rsidR="0073131E" w:rsidRPr="008E63BB">
        <w:rPr>
          <w:u w:color="000000"/>
          <w:lang w:val="vi-VN"/>
        </w:rPr>
        <w:t>Đối với khu vực phát triển mới không khống chế tầng cao nhưng hệ số sử dụng đất không vượt quá 12 lần.</w:t>
      </w:r>
    </w:p>
    <w:p w14:paraId="519B3764" w14:textId="77777777" w:rsidR="0073131E" w:rsidRPr="008E63BB" w:rsidRDefault="00AC5BAD" w:rsidP="00AC5BAD">
      <w:pPr>
        <w:ind w:firstLine="720"/>
        <w:rPr>
          <w:u w:color="000000"/>
          <w:lang w:val="vi-VN"/>
        </w:rPr>
      </w:pPr>
      <w:r w:rsidRPr="008E63BB">
        <w:rPr>
          <w:u w:color="000000"/>
          <w:lang w:val="vi-VN"/>
        </w:rPr>
        <w:t xml:space="preserve">- </w:t>
      </w:r>
      <w:r w:rsidR="0073131E" w:rsidRPr="008E63BB">
        <w:rPr>
          <w:u w:color="000000"/>
          <w:lang w:val="vi-VN"/>
        </w:rPr>
        <w:t>Đối với khu vự</w:t>
      </w:r>
      <w:r w:rsidR="00A740F8" w:rsidRPr="008E63BB">
        <w:rPr>
          <w:u w:color="000000"/>
          <w:lang w:val="vi-VN"/>
        </w:rPr>
        <w:t xml:space="preserve">c </w:t>
      </w:r>
      <w:r w:rsidR="00A740F8" w:rsidRPr="0007790B">
        <w:rPr>
          <w:u w:color="000000"/>
          <w:lang w:val="vi-VN"/>
        </w:rPr>
        <w:t xml:space="preserve">Nam </w:t>
      </w:r>
      <w:r w:rsidR="00A740F8" w:rsidRPr="008E63BB">
        <w:rPr>
          <w:u w:color="000000"/>
          <w:lang w:val="vi-VN"/>
        </w:rPr>
        <w:t xml:space="preserve">sông </w:t>
      </w:r>
      <w:r w:rsidR="0073131E" w:rsidRPr="008E63BB">
        <w:rPr>
          <w:u w:color="000000"/>
          <w:lang w:val="vi-VN"/>
        </w:rPr>
        <w:t>Đào tầng cao tối đa không quá 30 tầng</w:t>
      </w:r>
    </w:p>
    <w:p w14:paraId="519B3765" w14:textId="77777777" w:rsidR="0073131E" w:rsidRPr="008E63BB" w:rsidRDefault="00AC5BAD" w:rsidP="00AC5BAD">
      <w:pPr>
        <w:ind w:firstLine="720"/>
        <w:rPr>
          <w:u w:color="000000"/>
          <w:lang w:val="vi-VN"/>
        </w:rPr>
      </w:pPr>
      <w:r w:rsidRPr="008E63BB">
        <w:rPr>
          <w:u w:color="000000"/>
          <w:lang w:val="vi-VN"/>
        </w:rPr>
        <w:t xml:space="preserve">- </w:t>
      </w:r>
      <w:r w:rsidR="0073131E" w:rsidRPr="008E63BB">
        <w:rPr>
          <w:u w:color="000000"/>
          <w:lang w:val="vi-VN"/>
        </w:rPr>
        <w:t>Đối với khu vực làng xóm đô thị hóa không quá 9 tầng trừ những dự án có chức năng đặc biệt hỗ trợ trung tâm sẽ được đề xuất tính toán cụ thể cho từng vị trí cụ thể trong các quy hoạch phân khu, quy hoạch chi tiết.</w:t>
      </w:r>
    </w:p>
    <w:p w14:paraId="519B3766" w14:textId="77777777" w:rsidR="0073131E" w:rsidRPr="008E63BB" w:rsidRDefault="0073131E" w:rsidP="00AC5BAD">
      <w:pPr>
        <w:ind w:firstLine="720"/>
        <w:rPr>
          <w:b/>
          <w:bCs/>
          <w:iCs/>
          <w:u w:color="000000"/>
          <w:lang w:val="vi-VN"/>
        </w:rPr>
      </w:pPr>
      <w:r w:rsidRPr="008E63BB">
        <w:rPr>
          <w:u w:color="000000"/>
          <w:lang w:val="vi-VN"/>
        </w:rPr>
        <w:t>Mật độ xây dự</w:t>
      </w:r>
      <w:r w:rsidR="00A740F8" w:rsidRPr="008E63BB">
        <w:rPr>
          <w:u w:color="000000"/>
          <w:lang w:val="vi-VN"/>
        </w:rPr>
        <w:t xml:space="preserve">ng: </w:t>
      </w:r>
      <w:r w:rsidRPr="008E63BB">
        <w:rPr>
          <w:u w:color="000000"/>
          <w:lang w:val="vi-VN"/>
        </w:rPr>
        <w:t>Ngoại trừ các khu vực sinh thái nông nghiệp, trong các khu vực còn lại khuyến khích xây dựng mật độ cao để tăng hiệu quả sử dụng đất đô thị nhưng phải đảm bảo quy định về mật độ xây dựng tối đa cho phép tương ứng với chiều cao xây dựng quy định trong Quy chuẩn xây dựng Việt nam về Quy hoạch xây dựng</w:t>
      </w:r>
      <w:r w:rsidR="00AC5BAD" w:rsidRPr="008E63BB">
        <w:rPr>
          <w:u w:color="000000"/>
          <w:lang w:val="vi-VN"/>
        </w:rPr>
        <w:t>.</w:t>
      </w:r>
    </w:p>
    <w:p w14:paraId="519B3767" w14:textId="77777777" w:rsidR="00EC01EE" w:rsidRPr="008E63BB" w:rsidRDefault="00EC01EE" w:rsidP="0065184D">
      <w:pPr>
        <w:pStyle w:val="Heading2"/>
        <w:spacing w:before="0" w:after="0"/>
        <w:rPr>
          <w:b w:val="0"/>
          <w:bCs w:val="0"/>
          <w:iCs w:val="0"/>
          <w:kern w:val="32"/>
          <w:lang w:val="vi-VN"/>
        </w:rPr>
      </w:pPr>
      <w:bookmarkStart w:id="416" w:name="_Toc47524713"/>
      <w:r w:rsidRPr="008E63BB">
        <w:rPr>
          <w:kern w:val="32"/>
          <w:lang w:val="vi-VN"/>
        </w:rPr>
        <w:t>5.</w:t>
      </w:r>
      <w:r w:rsidR="00F9056A" w:rsidRPr="008E63BB">
        <w:rPr>
          <w:kern w:val="32"/>
          <w:lang w:val="vi-VN"/>
        </w:rPr>
        <w:t>8</w:t>
      </w:r>
      <w:r w:rsidRPr="008E63BB">
        <w:rPr>
          <w:kern w:val="32"/>
          <w:lang w:val="vi-VN"/>
        </w:rPr>
        <w:t xml:space="preserve">. </w:t>
      </w:r>
      <w:r w:rsidR="00A2594B" w:rsidRPr="008E63BB">
        <w:rPr>
          <w:kern w:val="32"/>
          <w:lang w:val="vi-VN"/>
        </w:rPr>
        <w:t>Tổ chức không gian và thiết kế đô thị</w:t>
      </w:r>
      <w:bookmarkEnd w:id="416"/>
    </w:p>
    <w:p w14:paraId="519B3768" w14:textId="77777777" w:rsidR="00EC01EE" w:rsidRPr="008E63BB" w:rsidRDefault="00A2594B" w:rsidP="0065184D">
      <w:pPr>
        <w:pStyle w:val="Heading3"/>
      </w:pPr>
      <w:bookmarkStart w:id="417" w:name="_Toc341519078"/>
      <w:bookmarkStart w:id="418" w:name="_Toc341519179"/>
      <w:bookmarkStart w:id="419" w:name="_Toc344928488"/>
      <w:bookmarkStart w:id="420" w:name="_Toc345538397"/>
      <w:bookmarkStart w:id="421" w:name="_Toc350703972"/>
      <w:bookmarkStart w:id="422" w:name="_Toc493424487"/>
      <w:bookmarkStart w:id="423" w:name="_Toc495870905"/>
      <w:bookmarkStart w:id="424" w:name="_Toc21955374"/>
      <w:bookmarkStart w:id="425" w:name="_Toc23568232"/>
      <w:bookmarkStart w:id="426" w:name="_Toc47524714"/>
      <w:r w:rsidRPr="008E63BB">
        <w:t>5.</w:t>
      </w:r>
      <w:r w:rsidR="00F9056A" w:rsidRPr="008E63BB">
        <w:t>8</w:t>
      </w:r>
      <w:r w:rsidR="00EC01EE" w:rsidRPr="008E63BB">
        <w:t>.1. Quan điểm</w:t>
      </w:r>
      <w:bookmarkEnd w:id="417"/>
      <w:bookmarkEnd w:id="418"/>
      <w:bookmarkEnd w:id="419"/>
      <w:bookmarkEnd w:id="420"/>
      <w:bookmarkEnd w:id="421"/>
      <w:bookmarkEnd w:id="422"/>
      <w:bookmarkEnd w:id="423"/>
      <w:bookmarkEnd w:id="424"/>
      <w:bookmarkEnd w:id="425"/>
      <w:bookmarkEnd w:id="426"/>
    </w:p>
    <w:p w14:paraId="519B3769" w14:textId="77777777" w:rsidR="00EC01EE" w:rsidRPr="008E63BB" w:rsidRDefault="00EC01EE" w:rsidP="00F8156E">
      <w:pPr>
        <w:ind w:firstLine="709"/>
        <w:rPr>
          <w:szCs w:val="26"/>
          <w:lang w:val="pt-BR"/>
        </w:rPr>
      </w:pPr>
      <w:r w:rsidRPr="008E63BB">
        <w:rPr>
          <w:lang w:val="pt-BR"/>
        </w:rPr>
        <w:t>- Tôn trọng địa hình cảnh quan của từng khu vực. Thành phố</w:t>
      </w:r>
      <w:r w:rsidR="00074E8E" w:rsidRPr="008E63BB">
        <w:rPr>
          <w:lang w:val="pt-BR"/>
        </w:rPr>
        <w:t xml:space="preserve"> Nam Định</w:t>
      </w:r>
      <w:r w:rsidRPr="008E63BB">
        <w:rPr>
          <w:lang w:val="pt-BR"/>
        </w:rPr>
        <w:t xml:space="preserve"> có địa hình bằng phẳ</w:t>
      </w:r>
      <w:r w:rsidR="00074E8E" w:rsidRPr="008E63BB">
        <w:rPr>
          <w:lang w:val="pt-BR"/>
        </w:rPr>
        <w:t xml:space="preserve">ng, </w:t>
      </w:r>
      <w:r w:rsidRPr="008E63BB">
        <w:rPr>
          <w:lang w:val="pt-BR"/>
        </w:rPr>
        <w:t>cảnh quan tự nhiên khá đa dạng với những vùng mặt nướ</w:t>
      </w:r>
      <w:r w:rsidR="00074E8E" w:rsidRPr="008E63BB">
        <w:rPr>
          <w:lang w:val="pt-BR"/>
        </w:rPr>
        <w:t>c và</w:t>
      </w:r>
      <w:r w:rsidRPr="008E63BB">
        <w:rPr>
          <w:lang w:val="pt-BR"/>
        </w:rPr>
        <w:t xml:space="preserve"> vùng cảnh quan nông nghiệp lớn ở ngoại thị. Đây là những giá trị cần được lưu giữ, kết hợp hài hòa trong </w:t>
      </w:r>
      <w:r w:rsidRPr="008E63BB">
        <w:rPr>
          <w:szCs w:val="26"/>
          <w:lang w:val="pt-BR"/>
        </w:rPr>
        <w:t>khung phát triển đô thị.</w:t>
      </w:r>
    </w:p>
    <w:p w14:paraId="519B376A" w14:textId="77777777" w:rsidR="00EC01EE" w:rsidRPr="008E63BB" w:rsidRDefault="00EC01EE" w:rsidP="00F8156E">
      <w:pPr>
        <w:ind w:firstLine="709"/>
        <w:rPr>
          <w:lang w:val="pt-BR"/>
        </w:rPr>
      </w:pPr>
      <w:r w:rsidRPr="008E63BB">
        <w:rPr>
          <w:lang w:val="pt-BR"/>
        </w:rPr>
        <w:t>- Giữ gìn và tôn tạo không gian văn hoá truyền thống như: hệ thống các di tích, cấu trúc không gian  làng xóm cũ, khu phố cũ.</w:t>
      </w:r>
    </w:p>
    <w:p w14:paraId="519B376B" w14:textId="77777777" w:rsidR="00EC01EE" w:rsidRPr="008E63BB" w:rsidRDefault="00EC01EE" w:rsidP="00F8156E">
      <w:pPr>
        <w:ind w:firstLine="709"/>
        <w:rPr>
          <w:lang w:val="pt-BR"/>
        </w:rPr>
      </w:pPr>
      <w:r w:rsidRPr="008E63BB">
        <w:rPr>
          <w:lang w:val="pt-BR"/>
        </w:rPr>
        <w:t>- Xây dựng môi trường đô thị hiện đại với các hình thái không gian phong phú tại các khu vực xây dụng mới.</w:t>
      </w:r>
    </w:p>
    <w:p w14:paraId="519B376C" w14:textId="77777777" w:rsidR="00EC01EE" w:rsidRPr="008E63BB" w:rsidRDefault="00EC01EE" w:rsidP="00F8156E">
      <w:pPr>
        <w:ind w:firstLine="709"/>
        <w:rPr>
          <w:lang w:val="pt-BR"/>
        </w:rPr>
      </w:pPr>
      <w:r w:rsidRPr="008E63BB">
        <w:rPr>
          <w:lang w:val="pt-BR"/>
        </w:rPr>
        <w:t>- Bảo vệ, duy trì các không gian hồ nước tại khu vực hiện hữu, tổ chức mở rộng hồ nước trong khu vực đô thị mới để tạo cảnh quan kết hợp hồ điều hoà, giảm thiểu ngập lụt trong đô thị.</w:t>
      </w:r>
    </w:p>
    <w:p w14:paraId="519B376D" w14:textId="77777777" w:rsidR="00EC01EE" w:rsidRPr="008E63BB" w:rsidRDefault="00EC01EE" w:rsidP="00F8156E">
      <w:pPr>
        <w:ind w:firstLine="709"/>
        <w:rPr>
          <w:lang w:val="pt-BR"/>
        </w:rPr>
      </w:pPr>
      <w:r w:rsidRPr="008E63BB">
        <w:rPr>
          <w:lang w:val="pt-BR"/>
        </w:rPr>
        <w:t>- Khai thác các giá trị cảnh quan tự</w:t>
      </w:r>
      <w:r w:rsidR="00074E8E" w:rsidRPr="008E63BB">
        <w:rPr>
          <w:lang w:val="pt-BR"/>
        </w:rPr>
        <w:t xml:space="preserve"> nhiên (sông Đào, sông Hồng</w:t>
      </w:r>
      <w:r w:rsidRPr="008E63BB">
        <w:rPr>
          <w:lang w:val="pt-BR"/>
        </w:rPr>
        <w:t>, vùng cảnh quan nông nghiệp) kết hợp với các yếu tố hạ tầng khung hiện có (QL</w:t>
      </w:r>
      <w:r w:rsidR="00074E8E" w:rsidRPr="008E63BB">
        <w:rPr>
          <w:lang w:val="pt-BR"/>
        </w:rPr>
        <w:t>2</w:t>
      </w:r>
      <w:r w:rsidR="0093592B" w:rsidRPr="008E63BB">
        <w:rPr>
          <w:lang w:val="pt-BR"/>
        </w:rPr>
        <w:t>1</w:t>
      </w:r>
      <w:r w:rsidR="00074E8E" w:rsidRPr="008E63BB">
        <w:rPr>
          <w:lang w:val="pt-BR"/>
        </w:rPr>
        <w:t>, QL10</w:t>
      </w:r>
      <w:r w:rsidRPr="008E63BB">
        <w:rPr>
          <w:lang w:val="pt-BR"/>
        </w:rPr>
        <w:t>) và hệ thống cây xanh, mặt nước nhân tạo để tạo nên một khung liên kết giữa các khu chức năng trong thành phố. Các không gian xanh đan xen giữa các khu chức năng không chỉ là giới hạn phát triển đô thị mà còn mang ý nghĩa trải nghiệm đô thị, tạo ra các hướng nhìn khai thác tối đa giá trị cảnh quan của hệ thống không gian mở.</w:t>
      </w:r>
    </w:p>
    <w:p w14:paraId="519B376E" w14:textId="77777777" w:rsidR="00EC01EE" w:rsidRPr="008E63BB" w:rsidRDefault="00EC01EE" w:rsidP="00F8156E">
      <w:pPr>
        <w:ind w:firstLine="709"/>
        <w:rPr>
          <w:rFonts w:eastAsia="Arial"/>
          <w:b/>
          <w:bCs/>
          <w:iCs/>
          <w:lang w:val="pt-BR"/>
        </w:rPr>
      </w:pPr>
      <w:bookmarkStart w:id="427" w:name="_Toc21955375"/>
      <w:r w:rsidRPr="008E63BB">
        <w:rPr>
          <w:rFonts w:eastAsia="Arial"/>
          <w:bCs/>
          <w:iCs/>
          <w:lang w:val="pt-BR"/>
        </w:rPr>
        <w:t>- Các khu chức năng chính trong thành phố được quy hoạch với hình thái đô thị hiện đại, tối ưu hóa công năng sử dụng, tiết kiệm đất đai và năng lượng, tạo dựng không gian trung tâm đặc trưng, kết nối hợp lý với hệ thống không gian mở chính, tạo dựng không gian đô thị liên hoàn, phong phú</w:t>
      </w:r>
      <w:r w:rsidR="00074E8E" w:rsidRPr="008E63BB">
        <w:rPr>
          <w:rFonts w:eastAsia="Arial"/>
          <w:b/>
          <w:bCs/>
          <w:iCs/>
          <w:lang w:val="pt-BR"/>
        </w:rPr>
        <w:t>.</w:t>
      </w:r>
      <w:bookmarkEnd w:id="427"/>
    </w:p>
    <w:p w14:paraId="519B376F" w14:textId="77777777" w:rsidR="00C8097F" w:rsidRPr="0007790B" w:rsidRDefault="00E5077C" w:rsidP="00C8097F">
      <w:pPr>
        <w:pStyle w:val="Heading3"/>
      </w:pPr>
      <w:bookmarkStart w:id="428" w:name="_Toc47524715"/>
      <w:r w:rsidRPr="008E63BB">
        <w:rPr>
          <w:lang w:val="vi-VN"/>
        </w:rPr>
        <w:t>5.</w:t>
      </w:r>
      <w:r w:rsidRPr="0007790B">
        <w:t>8</w:t>
      </w:r>
      <w:r w:rsidRPr="008E63BB">
        <w:rPr>
          <w:lang w:val="vi-VN"/>
        </w:rPr>
        <w:t>.</w:t>
      </w:r>
      <w:r w:rsidR="00E36B91" w:rsidRPr="0007790B">
        <w:t>2</w:t>
      </w:r>
      <w:r w:rsidRPr="008E63BB">
        <w:rPr>
          <w:lang w:val="vi-VN"/>
        </w:rPr>
        <w:t xml:space="preserve">. </w:t>
      </w:r>
      <w:r w:rsidR="00294FA8" w:rsidRPr="0007790B">
        <w:t>Khung thiết kế đô thị tổng thể</w:t>
      </w:r>
      <w:bookmarkEnd w:id="428"/>
    </w:p>
    <w:p w14:paraId="519B3770" w14:textId="77777777" w:rsidR="00294FA8" w:rsidRPr="0007790B" w:rsidRDefault="00294FA8" w:rsidP="00294FA8">
      <w:pPr>
        <w:rPr>
          <w:rFonts w:eastAsia="Arial Unicode MS"/>
          <w:i/>
          <w:szCs w:val="26"/>
          <w:u w:color="000000"/>
          <w:lang w:val="pt-BR"/>
        </w:rPr>
      </w:pPr>
      <w:bookmarkStart w:id="429" w:name="_Hlk27972503"/>
      <w:r w:rsidRPr="0007790B">
        <w:rPr>
          <w:rFonts w:eastAsia="Arial Unicode MS"/>
          <w:i/>
          <w:szCs w:val="26"/>
          <w:u w:color="000000"/>
          <w:lang w:val="pt-BR"/>
        </w:rPr>
        <w:t>a. Các khu vực cửa ngõ:</w:t>
      </w:r>
    </w:p>
    <w:p w14:paraId="519B3771" w14:textId="77777777" w:rsidR="00781883" w:rsidRPr="008E63BB" w:rsidRDefault="00225222" w:rsidP="00781883">
      <w:pPr>
        <w:ind w:firstLine="720"/>
        <w:rPr>
          <w:i/>
          <w:lang w:val="pt-BR"/>
        </w:rPr>
      </w:pPr>
      <w:r w:rsidRPr="008E63BB">
        <w:rPr>
          <w:rFonts w:eastAsia="Arial Unicode MS"/>
          <w:szCs w:val="26"/>
          <w:u w:color="000000"/>
          <w:lang w:val="vi-VN"/>
        </w:rPr>
        <w:t xml:space="preserve">Hình thành </w:t>
      </w:r>
      <w:r w:rsidR="00742BEC" w:rsidRPr="0007790B">
        <w:rPr>
          <w:rFonts w:eastAsia="Arial Unicode MS"/>
          <w:szCs w:val="26"/>
          <w:u w:color="000000"/>
          <w:lang w:val="pt-BR"/>
        </w:rPr>
        <w:t>4</w:t>
      </w:r>
      <w:r w:rsidR="00781883" w:rsidRPr="008E63BB">
        <w:rPr>
          <w:rFonts w:eastAsia="Arial Unicode MS"/>
          <w:szCs w:val="26"/>
          <w:u w:color="000000"/>
          <w:lang w:val="vi-VN"/>
        </w:rPr>
        <w:t xml:space="preserve"> c</w:t>
      </w:r>
      <w:r w:rsidR="00742BEC" w:rsidRPr="008E63BB">
        <w:rPr>
          <w:rFonts w:eastAsia="Arial Unicode MS"/>
          <w:szCs w:val="26"/>
          <w:u w:color="000000"/>
          <w:lang w:val="vi-VN"/>
        </w:rPr>
        <w:t>ửa</w:t>
      </w:r>
      <w:r w:rsidR="00781883" w:rsidRPr="008E63BB">
        <w:rPr>
          <w:rFonts w:eastAsia="Arial Unicode MS"/>
          <w:szCs w:val="26"/>
          <w:u w:color="000000"/>
          <w:lang w:val="vi-VN"/>
        </w:rPr>
        <w:t xml:space="preserve"> ngõ </w:t>
      </w:r>
      <w:r w:rsidRPr="0007790B">
        <w:rPr>
          <w:rFonts w:eastAsia="Arial Unicode MS"/>
          <w:szCs w:val="26"/>
          <w:u w:color="000000"/>
          <w:lang w:val="pt-BR"/>
        </w:rPr>
        <w:t xml:space="preserve">chính của </w:t>
      </w:r>
      <w:r w:rsidR="00781883" w:rsidRPr="008E63BB">
        <w:rPr>
          <w:rFonts w:eastAsia="Arial Unicode MS"/>
          <w:szCs w:val="26"/>
          <w:u w:color="000000"/>
          <w:lang w:val="vi-VN"/>
        </w:rPr>
        <w:t xml:space="preserve">đô </w:t>
      </w:r>
      <w:r w:rsidR="00781883" w:rsidRPr="0007790B">
        <w:rPr>
          <w:rFonts w:eastAsia="Arial Unicode MS"/>
          <w:szCs w:val="26"/>
          <w:u w:color="000000"/>
          <w:lang w:val="pt-BR"/>
        </w:rPr>
        <w:t xml:space="preserve">thị </w:t>
      </w:r>
      <w:r w:rsidR="00781883" w:rsidRPr="008E63BB">
        <w:rPr>
          <w:rFonts w:eastAsia="Arial Unicode MS"/>
          <w:szCs w:val="26"/>
          <w:u w:color="000000"/>
          <w:lang w:val="vi-VN"/>
        </w:rPr>
        <w:t>phù hợp với các tuyến giao thông đối ngoại quan trọng của thành phố, tạo dựng hình ảnh ấn tượng, hấ</w:t>
      </w:r>
      <w:r w:rsidR="00742BEC" w:rsidRPr="008E63BB">
        <w:rPr>
          <w:rFonts w:eastAsia="Arial Unicode MS"/>
          <w:szCs w:val="26"/>
          <w:u w:color="000000"/>
          <w:lang w:val="vi-VN"/>
        </w:rPr>
        <w:t>p d</w:t>
      </w:r>
      <w:r w:rsidR="00781883" w:rsidRPr="008E63BB">
        <w:rPr>
          <w:rFonts w:eastAsia="Arial Unicode MS"/>
          <w:szCs w:val="26"/>
          <w:u w:color="000000"/>
          <w:lang w:val="vi-VN"/>
        </w:rPr>
        <w:t xml:space="preserve">ẫn cho các khu vực này, tổ chức thiết kế đô thị riêng cho các của ngõ đô thị nhằm tạo được ấn tượng – hình ảnh đô thị </w:t>
      </w:r>
      <w:r w:rsidR="00781883" w:rsidRPr="0007790B">
        <w:rPr>
          <w:rFonts w:eastAsia="Arial Unicode MS"/>
          <w:szCs w:val="26"/>
          <w:u w:color="000000"/>
          <w:lang w:val="pt-BR"/>
        </w:rPr>
        <w:t>Nam Định</w:t>
      </w:r>
      <w:r w:rsidR="00742BEC" w:rsidRPr="0007790B">
        <w:rPr>
          <w:rFonts w:eastAsia="Arial Unicode MS"/>
          <w:szCs w:val="26"/>
          <w:u w:color="000000"/>
          <w:lang w:val="pt-BR"/>
        </w:rPr>
        <w:t>.</w:t>
      </w:r>
      <w:r w:rsidR="00265842" w:rsidRPr="008E63BB">
        <w:rPr>
          <w:i/>
          <w:lang w:val="pt-BR"/>
        </w:rPr>
        <w:tab/>
      </w:r>
    </w:p>
    <w:p w14:paraId="519B3772" w14:textId="77777777" w:rsidR="00265842" w:rsidRPr="008E63BB" w:rsidRDefault="00781883" w:rsidP="00781883">
      <w:pPr>
        <w:ind w:firstLine="547"/>
        <w:rPr>
          <w:lang w:val="pt-BR"/>
        </w:rPr>
      </w:pPr>
      <w:r w:rsidRPr="008E63BB">
        <w:rPr>
          <w:rFonts w:eastAsia="Arial Unicode MS"/>
          <w:szCs w:val="26"/>
          <w:u w:color="000000"/>
          <w:lang w:val="vi-VN"/>
        </w:rPr>
        <w:lastRenderedPageBreak/>
        <w:t>Các cửa ngõ</w:t>
      </w:r>
      <w:r w:rsidR="00742BEC" w:rsidRPr="0007790B">
        <w:rPr>
          <w:rFonts w:eastAsia="Arial Unicode MS"/>
          <w:szCs w:val="26"/>
          <w:u w:color="000000"/>
          <w:lang w:val="pt-BR"/>
        </w:rPr>
        <w:t xml:space="preserve"> chính</w:t>
      </w:r>
      <w:r w:rsidRPr="008E63BB">
        <w:rPr>
          <w:rFonts w:eastAsia="Arial Unicode MS"/>
          <w:szCs w:val="26"/>
          <w:u w:color="000000"/>
          <w:lang w:val="vi-VN"/>
        </w:rPr>
        <w:t xml:space="preserve"> này tại các vị trí như sau</w:t>
      </w:r>
      <w:r w:rsidR="00265842" w:rsidRPr="008E63BB">
        <w:rPr>
          <w:lang w:val="pt-BR"/>
        </w:rPr>
        <w:t>:</w:t>
      </w:r>
    </w:p>
    <w:p w14:paraId="519B3773" w14:textId="77777777" w:rsidR="00E5077C" w:rsidRPr="0007790B" w:rsidRDefault="00265842" w:rsidP="00265842">
      <w:pPr>
        <w:ind w:firstLine="547"/>
        <w:rPr>
          <w:lang w:val="pt-BR"/>
        </w:rPr>
      </w:pPr>
      <w:r w:rsidRPr="008E63BB">
        <w:rPr>
          <w:lang w:val="pt-BR"/>
        </w:rPr>
        <w:t xml:space="preserve">- </w:t>
      </w:r>
      <w:r w:rsidR="00E5077C" w:rsidRPr="008E63BB">
        <w:rPr>
          <w:lang w:val="pt-BR"/>
        </w:rPr>
        <w:t>Khu cửa ngõ phía Tây:</w:t>
      </w:r>
      <w:bookmarkEnd w:id="429"/>
      <w:r w:rsidRPr="008E63BB">
        <w:rPr>
          <w:lang w:val="pt-BR"/>
        </w:rPr>
        <w:t xml:space="preserve"> </w:t>
      </w:r>
      <w:r w:rsidRPr="0007790B">
        <w:rPr>
          <w:lang w:val="pt-BR"/>
        </w:rPr>
        <w:t>Tại khu vực nút giao QL21B với vành đai 2</w:t>
      </w:r>
    </w:p>
    <w:p w14:paraId="519B3774" w14:textId="77777777" w:rsidR="00265842" w:rsidRPr="0007790B" w:rsidRDefault="00265842" w:rsidP="00265842">
      <w:pPr>
        <w:ind w:firstLine="547"/>
        <w:rPr>
          <w:lang w:val="pt-BR"/>
        </w:rPr>
      </w:pPr>
      <w:r w:rsidRPr="008E63BB">
        <w:rPr>
          <w:lang w:val="pt-BR"/>
        </w:rPr>
        <w:t xml:space="preserve">- Khu cửa ngõ phía Đông Nam: </w:t>
      </w:r>
      <w:r w:rsidR="00294FA8" w:rsidRPr="0007790B">
        <w:rPr>
          <w:lang w:val="pt-BR"/>
        </w:rPr>
        <w:t>khu vực nút giao QL21với vành đai 2</w:t>
      </w:r>
    </w:p>
    <w:p w14:paraId="519B3775" w14:textId="77777777" w:rsidR="00E5077C" w:rsidRPr="0007790B" w:rsidRDefault="00294FA8" w:rsidP="00294FA8">
      <w:pPr>
        <w:ind w:firstLine="547"/>
        <w:rPr>
          <w:lang w:val="pt-BR"/>
        </w:rPr>
      </w:pPr>
      <w:r w:rsidRPr="008E63BB">
        <w:rPr>
          <w:lang w:val="pt-BR"/>
        </w:rPr>
        <w:t>- Khu cửa ngõ phía Đông Bắc: khu vực nút giao đường dẫn cầu Tân Phong</w:t>
      </w:r>
      <w:r w:rsidRPr="0007790B">
        <w:rPr>
          <w:lang w:val="pt-BR"/>
        </w:rPr>
        <w:t xml:space="preserve"> nối quốc lộ 21 và quốc lộ</w:t>
      </w:r>
      <w:bookmarkStart w:id="430" w:name="_Hlk27972521"/>
      <w:r w:rsidR="00742BEC" w:rsidRPr="0007790B">
        <w:rPr>
          <w:lang w:val="pt-BR"/>
        </w:rPr>
        <w:t xml:space="preserve"> 10, hướng từ TP Thái Bình sang</w:t>
      </w:r>
    </w:p>
    <w:p w14:paraId="519B3776" w14:textId="77777777" w:rsidR="00742BEC" w:rsidRPr="008E63BB" w:rsidRDefault="00742BEC" w:rsidP="00294FA8">
      <w:pPr>
        <w:ind w:firstLine="547"/>
        <w:rPr>
          <w:lang w:val="pt-BR"/>
        </w:rPr>
      </w:pPr>
      <w:r w:rsidRPr="0007790B">
        <w:rPr>
          <w:lang w:val="pt-BR"/>
        </w:rPr>
        <w:t>- Khu cửa ngõ phía Tây Nam: khu vực nút giao đường vành đai 2 và quốc lộ 10, hướng từ Ninh Bình tới.</w:t>
      </w:r>
    </w:p>
    <w:bookmarkEnd w:id="430"/>
    <w:p w14:paraId="519B3777" w14:textId="77777777" w:rsidR="00E36B91" w:rsidRPr="008E63BB" w:rsidRDefault="00294FA8" w:rsidP="00294FA8">
      <w:pPr>
        <w:rPr>
          <w:rFonts w:eastAsia="Arial Unicode MS"/>
          <w:i/>
          <w:szCs w:val="26"/>
          <w:u w:color="000000"/>
        </w:rPr>
      </w:pPr>
      <w:r w:rsidRPr="008E63BB">
        <w:rPr>
          <w:rFonts w:eastAsia="Arial Unicode MS"/>
          <w:i/>
          <w:szCs w:val="26"/>
          <w:u w:color="000000"/>
        </w:rPr>
        <w:t>b</w:t>
      </w:r>
      <w:r w:rsidR="00E36B91" w:rsidRPr="008E63BB">
        <w:rPr>
          <w:rFonts w:eastAsia="Arial Unicode MS"/>
          <w:i/>
          <w:szCs w:val="26"/>
          <w:u w:color="000000"/>
        </w:rPr>
        <w:t>. Các trục không gian, cảnh quan chính:</w:t>
      </w:r>
    </w:p>
    <w:p w14:paraId="519B3778" w14:textId="77777777" w:rsidR="00C8097F" w:rsidRPr="008E63BB" w:rsidRDefault="00331E13" w:rsidP="00C8097F">
      <w:pPr>
        <w:ind w:firstLine="547"/>
        <w:rPr>
          <w:lang w:val="pt-BR"/>
        </w:rPr>
      </w:pPr>
      <w:r w:rsidRPr="008E63BB">
        <w:rPr>
          <w:iCs/>
        </w:rPr>
        <w:tab/>
      </w:r>
      <w:r w:rsidRPr="008E63BB">
        <w:rPr>
          <w:lang w:val="pt-BR"/>
        </w:rPr>
        <w:t xml:space="preserve">Các trục, tuyến không gian chính cần có thiết kế đô thị riêng để </w:t>
      </w:r>
      <w:r w:rsidR="00C8097F" w:rsidRPr="008E63BB">
        <w:rPr>
          <w:lang w:val="pt-BR"/>
        </w:rPr>
        <w:t xml:space="preserve">tạo cảnh quan hấp dẫn, với các tiện ích công cộng thông minh, hiện đại, sinh thái, dễ tiếp cận, có hình ảnh đặc trưng riêng theo từng đoạn tuyến. Hạn chế mở rộng, phát triển với quy mô lớn để bảo vệ cảnh quan tự nhiên và các giá trị văn hóa lịch sử của đô thị. </w:t>
      </w:r>
    </w:p>
    <w:p w14:paraId="519B3779" w14:textId="77777777" w:rsidR="00C8097F" w:rsidRPr="008E63BB" w:rsidRDefault="00C8097F" w:rsidP="00C8097F">
      <w:pPr>
        <w:ind w:firstLine="547"/>
        <w:rPr>
          <w:lang w:val="pt-BR"/>
        </w:rPr>
      </w:pPr>
      <w:r w:rsidRPr="008E63BB">
        <w:rPr>
          <w:lang w:val="pt-BR"/>
        </w:rPr>
        <w:t>Các trục không gian, cảnh quan chính của khu vực quy hoạch b</w:t>
      </w:r>
      <w:r w:rsidR="00331E13" w:rsidRPr="008E63BB">
        <w:rPr>
          <w:lang w:val="pt-BR"/>
        </w:rPr>
        <w:t xml:space="preserve">ao gồm: </w:t>
      </w:r>
    </w:p>
    <w:p w14:paraId="519B377A" w14:textId="77777777" w:rsidR="00E36B91" w:rsidRPr="008E63BB" w:rsidRDefault="00C8097F" w:rsidP="00C8097F">
      <w:pPr>
        <w:ind w:firstLine="547"/>
        <w:rPr>
          <w:lang w:val="pt-BR"/>
        </w:rPr>
      </w:pPr>
      <w:r w:rsidRPr="008E63BB">
        <w:rPr>
          <w:lang w:val="pt-BR"/>
        </w:rPr>
        <w:t xml:space="preserve">- </w:t>
      </w:r>
      <w:r w:rsidR="00331E13" w:rsidRPr="008E63BB">
        <w:rPr>
          <w:lang w:val="pt-BR"/>
        </w:rPr>
        <w:t>Các tuyến giao thông chính: Các tuyến đường đối ngoại Quốc lộ 21B, QL10; Các trụ</w:t>
      </w:r>
      <w:r w:rsidRPr="008E63BB">
        <w:rPr>
          <w:lang w:val="pt-BR"/>
        </w:rPr>
        <w:t>c đ</w:t>
      </w:r>
      <w:r w:rsidR="00331E13" w:rsidRPr="008E63BB">
        <w:rPr>
          <w:lang w:val="pt-BR"/>
        </w:rPr>
        <w:t>ường chính kết nối khu vực trung tâm hiện hữu với các khu đô thị, khu chức</w:t>
      </w:r>
      <w:r w:rsidR="00331E13" w:rsidRPr="008E63BB">
        <w:rPr>
          <w:bCs/>
          <w:szCs w:val="26"/>
          <w:lang w:val="de-DE"/>
        </w:rPr>
        <w:t xml:space="preserve"> năng mới của thành phố</w:t>
      </w:r>
    </w:p>
    <w:p w14:paraId="519B377B" w14:textId="77777777" w:rsidR="00331E13" w:rsidRPr="008E63BB" w:rsidRDefault="00331E13" w:rsidP="00331E13">
      <w:pPr>
        <w:ind w:firstLine="547"/>
        <w:rPr>
          <w:bCs/>
          <w:szCs w:val="26"/>
          <w:lang w:val="de-DE"/>
        </w:rPr>
      </w:pPr>
      <w:r w:rsidRPr="008E63BB">
        <w:rPr>
          <w:bCs/>
          <w:szCs w:val="26"/>
          <w:lang w:val="de-DE"/>
        </w:rPr>
        <w:t>- Trục cảnh quan hai bên sông Đào</w:t>
      </w:r>
    </w:p>
    <w:p w14:paraId="519B377C" w14:textId="77777777" w:rsidR="00331E13" w:rsidRPr="008E63BB" w:rsidRDefault="00331E13" w:rsidP="00331E13">
      <w:pPr>
        <w:ind w:firstLine="547"/>
        <w:rPr>
          <w:lang w:val="pt-BR"/>
        </w:rPr>
      </w:pPr>
      <w:r w:rsidRPr="008E63BB">
        <w:rPr>
          <w:bCs/>
          <w:szCs w:val="26"/>
          <w:lang w:val="de-DE"/>
        </w:rPr>
        <w:t xml:space="preserve">- </w:t>
      </w:r>
      <w:r w:rsidR="00C8097F" w:rsidRPr="008E63BB">
        <w:rPr>
          <w:bCs/>
          <w:szCs w:val="26"/>
          <w:lang w:val="de-DE"/>
        </w:rPr>
        <w:t>Tuyến phố đi bộ</w:t>
      </w:r>
      <w:r w:rsidR="00C8097F" w:rsidRPr="008E63BB">
        <w:rPr>
          <w:lang w:val="pt-BR"/>
        </w:rPr>
        <w:t>: Các con phố kết nối các khu công viên đô thị hiện hữu.</w:t>
      </w:r>
    </w:p>
    <w:p w14:paraId="519B377D" w14:textId="77777777" w:rsidR="00A2594B" w:rsidRPr="008E63BB" w:rsidRDefault="00742BEC" w:rsidP="00742BEC">
      <w:pPr>
        <w:rPr>
          <w:rFonts w:eastAsia="Arial Unicode MS"/>
          <w:i/>
          <w:szCs w:val="26"/>
          <w:u w:color="000000"/>
        </w:rPr>
      </w:pPr>
      <w:r w:rsidRPr="008E63BB">
        <w:rPr>
          <w:rFonts w:eastAsia="Arial Unicode MS"/>
          <w:i/>
          <w:szCs w:val="26"/>
          <w:u w:color="000000"/>
        </w:rPr>
        <w:t>c</w:t>
      </w:r>
      <w:r w:rsidR="00A2594B" w:rsidRPr="008E63BB">
        <w:rPr>
          <w:rFonts w:eastAsia="Arial Unicode MS"/>
          <w:i/>
          <w:szCs w:val="26"/>
          <w:u w:color="000000"/>
        </w:rPr>
        <w:t xml:space="preserve">. Hệ </w:t>
      </w:r>
      <w:r w:rsidR="00E36B91" w:rsidRPr="008E63BB">
        <w:rPr>
          <w:rFonts w:eastAsia="Arial Unicode MS"/>
          <w:i/>
          <w:szCs w:val="26"/>
          <w:u w:color="000000"/>
        </w:rPr>
        <w:t>thống không gian mở</w:t>
      </w:r>
    </w:p>
    <w:p w14:paraId="519B377E" w14:textId="77777777" w:rsidR="00265842" w:rsidRPr="008E63BB" w:rsidRDefault="00742BEC" w:rsidP="00265842">
      <w:pPr>
        <w:rPr>
          <w:szCs w:val="26"/>
          <w:lang w:val="pt-BR"/>
        </w:rPr>
      </w:pPr>
      <w:r w:rsidRPr="008E63BB">
        <w:rPr>
          <w:szCs w:val="26"/>
          <w:lang w:val="pt-BR"/>
        </w:rPr>
        <w:t xml:space="preserve">* </w:t>
      </w:r>
      <w:r w:rsidR="00265842" w:rsidRPr="008E63BB">
        <w:rPr>
          <w:szCs w:val="26"/>
          <w:lang w:val="pt-BR"/>
        </w:rPr>
        <w:t>Quảng trường:</w:t>
      </w:r>
    </w:p>
    <w:p w14:paraId="519B377F" w14:textId="77777777" w:rsidR="00265842" w:rsidRPr="008E63BB" w:rsidRDefault="00265842" w:rsidP="00265842">
      <w:pPr>
        <w:ind w:firstLine="709"/>
        <w:rPr>
          <w:szCs w:val="26"/>
          <w:lang w:val="pt-BR"/>
        </w:rPr>
      </w:pPr>
      <w:r w:rsidRPr="008E63BB">
        <w:rPr>
          <w:szCs w:val="26"/>
          <w:lang w:val="pt-BR"/>
        </w:rPr>
        <w:t>Các quảng trường đô thị được bố trí như sau:</w:t>
      </w:r>
    </w:p>
    <w:p w14:paraId="519B3780" w14:textId="77777777" w:rsidR="00265842" w:rsidRPr="008E63BB" w:rsidRDefault="00265842" w:rsidP="00265842">
      <w:pPr>
        <w:ind w:firstLine="709"/>
        <w:rPr>
          <w:szCs w:val="26"/>
          <w:lang w:val="pt-BR"/>
        </w:rPr>
      </w:pPr>
      <w:r w:rsidRPr="008E63BB">
        <w:rPr>
          <w:szCs w:val="26"/>
          <w:lang w:val="pt-BR"/>
        </w:rPr>
        <w:t>- Quảng trường Hòa Bình: Vị trí: Trung tâm đô thị hiện hữu (phường Trần Hưng Đạo); Tính chất: Quảng trường Văn hóa lễ hội;</w:t>
      </w:r>
    </w:p>
    <w:p w14:paraId="519B3781" w14:textId="77777777" w:rsidR="00265842" w:rsidRPr="008E63BB" w:rsidRDefault="00265842" w:rsidP="00265842">
      <w:pPr>
        <w:ind w:firstLine="709"/>
        <w:rPr>
          <w:szCs w:val="26"/>
          <w:lang w:val="pt-BR"/>
        </w:rPr>
      </w:pPr>
      <w:r w:rsidRPr="008E63BB">
        <w:rPr>
          <w:szCs w:val="26"/>
          <w:lang w:val="pt-BR"/>
        </w:rPr>
        <w:t xml:space="preserve">- Quảng trường 3 tháng 2: Vị trí: </w:t>
      </w:r>
      <w:r w:rsidRPr="008E63BB">
        <w:rPr>
          <w:lang w:val="pt-BR"/>
        </w:rPr>
        <w:t>phố Nguyễn Du</w:t>
      </w:r>
      <w:r w:rsidRPr="008E63BB">
        <w:rPr>
          <w:szCs w:val="26"/>
          <w:lang w:val="pt-BR"/>
        </w:rPr>
        <w:t xml:space="preserve"> (phường Vị Hoàng); Tính chất: Quảng trường Văn hóa;</w:t>
      </w:r>
    </w:p>
    <w:p w14:paraId="519B3782" w14:textId="77777777" w:rsidR="00265842" w:rsidRPr="008E63BB" w:rsidRDefault="00265842" w:rsidP="00265842">
      <w:pPr>
        <w:ind w:firstLine="709"/>
        <w:rPr>
          <w:szCs w:val="26"/>
          <w:lang w:val="pt-BR"/>
        </w:rPr>
      </w:pPr>
      <w:r w:rsidRPr="008E63BB">
        <w:rPr>
          <w:szCs w:val="26"/>
          <w:lang w:val="pt-BR"/>
        </w:rPr>
        <w:t>- Quảng trường tri thức thời đại: Vị trí: tại khu đô thị thông minh tại khu số 3 phía Tây Bắc thành phố; Quy mô: Khoảng 1 ha; Tính chất: Quảng trường giao lưu văn hóa, giáo dục đô thị;</w:t>
      </w:r>
    </w:p>
    <w:p w14:paraId="519B3783" w14:textId="77777777" w:rsidR="00265842" w:rsidRPr="008E63BB" w:rsidRDefault="00265842" w:rsidP="00265842">
      <w:pPr>
        <w:ind w:firstLine="709"/>
        <w:rPr>
          <w:szCs w:val="26"/>
          <w:lang w:val="pt-BR"/>
        </w:rPr>
      </w:pPr>
      <w:r w:rsidRPr="008E63BB">
        <w:rPr>
          <w:szCs w:val="26"/>
          <w:lang w:val="pt-BR"/>
        </w:rPr>
        <w:t>- Quảng trường thể thao: Vị trí: Cung văn hóa thành phố mới gắn với trung tâm TDTT; Quy mô: 1-2 ha: Tính chất: quảng trường văn hóa -thể dục thể thao;</w:t>
      </w:r>
    </w:p>
    <w:p w14:paraId="519B3784" w14:textId="77777777" w:rsidR="00265842" w:rsidRPr="008E63BB" w:rsidRDefault="00265842" w:rsidP="00265842">
      <w:pPr>
        <w:ind w:firstLine="709"/>
        <w:rPr>
          <w:szCs w:val="26"/>
          <w:lang w:val="pt-BR"/>
        </w:rPr>
      </w:pPr>
      <w:r w:rsidRPr="008E63BB">
        <w:rPr>
          <w:szCs w:val="26"/>
          <w:lang w:val="pt-BR"/>
        </w:rPr>
        <w:t>Khuyến khích các dự án, khu đô thị hình thành các quảng trường nhỏ, quảng trường đô thị tạo không gian mở cho hoạt động cộng đồng. Mỗi quảng trường được thiết kế theo các chủ đề khác nhau để tạo sự đa dạng, hấp dẫn và được hỗ trợ bởi các công trình, dịch vụ công cộng lân cận.</w:t>
      </w:r>
    </w:p>
    <w:p w14:paraId="519B3785" w14:textId="77777777" w:rsidR="00265842" w:rsidRPr="008E63BB" w:rsidRDefault="00742BEC" w:rsidP="00265842">
      <w:pPr>
        <w:rPr>
          <w:szCs w:val="26"/>
          <w:lang w:val="pt-BR"/>
        </w:rPr>
      </w:pPr>
      <w:r w:rsidRPr="008E63BB">
        <w:rPr>
          <w:szCs w:val="26"/>
          <w:lang w:val="pt-BR"/>
        </w:rPr>
        <w:t xml:space="preserve">* </w:t>
      </w:r>
      <w:r w:rsidR="00265842" w:rsidRPr="008E63BB">
        <w:rPr>
          <w:szCs w:val="26"/>
          <w:lang w:val="pt-BR"/>
        </w:rPr>
        <w:t>Công viên:</w:t>
      </w:r>
    </w:p>
    <w:p w14:paraId="519B3786" w14:textId="77777777" w:rsidR="009671CF" w:rsidRPr="008E63BB" w:rsidRDefault="009671CF" w:rsidP="00265842">
      <w:pPr>
        <w:pStyle w:val="BodyText"/>
        <w:spacing w:after="0"/>
        <w:ind w:firstLine="709"/>
        <w:rPr>
          <w:szCs w:val="26"/>
          <w:lang w:val="pt-BR"/>
        </w:rPr>
      </w:pPr>
      <w:r w:rsidRPr="008E63BB">
        <w:rPr>
          <w:szCs w:val="26"/>
          <w:lang w:val="pt-BR"/>
        </w:rPr>
        <w:t xml:space="preserve">Hình thành các hành lang xanh gắn kết cảnh quan tự nhiên với các công viên lớn, các vườn hoa trong đô thị . Đây sẽ là khu vực tạo không gian mở, cải thiện vi khí hậu và sinh hoạt cộng đồng của dân cư thành phố Nam Định. </w:t>
      </w:r>
    </w:p>
    <w:p w14:paraId="519B3787" w14:textId="77777777" w:rsidR="009671CF" w:rsidRPr="008E63BB" w:rsidRDefault="009671CF" w:rsidP="00265842">
      <w:pPr>
        <w:pStyle w:val="BodyText"/>
        <w:spacing w:after="0"/>
        <w:ind w:firstLine="709"/>
        <w:rPr>
          <w:szCs w:val="26"/>
          <w:lang w:val="pt-BR"/>
        </w:rPr>
      </w:pPr>
      <w:r w:rsidRPr="008E63BB">
        <w:rPr>
          <w:szCs w:val="26"/>
          <w:lang w:val="pt-BR"/>
        </w:rPr>
        <w:t>- Các khu công viên chính bao gồm:</w:t>
      </w:r>
    </w:p>
    <w:p w14:paraId="519B3788" w14:textId="77777777" w:rsidR="009671CF" w:rsidRPr="008E63BB" w:rsidRDefault="009671CF" w:rsidP="00265842">
      <w:pPr>
        <w:ind w:firstLine="709"/>
        <w:rPr>
          <w:szCs w:val="26"/>
          <w:lang w:val="pt-BR"/>
        </w:rPr>
      </w:pPr>
      <w:r w:rsidRPr="008E63BB">
        <w:rPr>
          <w:bCs/>
          <w:szCs w:val="26"/>
          <w:lang w:val="pt-BR"/>
        </w:rPr>
        <w:t>Công viên hồ Vị Hoàng</w:t>
      </w:r>
      <w:r w:rsidR="00265842" w:rsidRPr="008E63BB">
        <w:rPr>
          <w:szCs w:val="26"/>
          <w:lang w:val="pt-BR"/>
        </w:rPr>
        <w:t>:</w:t>
      </w:r>
      <w:r w:rsidRPr="008E63BB">
        <w:rPr>
          <w:szCs w:val="26"/>
          <w:lang w:val="pt-BR"/>
        </w:rPr>
        <w:t xml:space="preserve"> </w:t>
      </w:r>
      <w:r w:rsidRPr="008E63BB">
        <w:rPr>
          <w:szCs w:val="26"/>
          <w:lang w:val="vi-VN"/>
        </w:rPr>
        <w:t>Công viên này sẽ được sử dụng cho các hoạt động lễ tân liên quan đến đặc trưng hành chính của thành phố.</w:t>
      </w:r>
    </w:p>
    <w:p w14:paraId="519B3789" w14:textId="77777777" w:rsidR="009671CF" w:rsidRPr="008E63BB" w:rsidRDefault="009671CF" w:rsidP="00265842">
      <w:pPr>
        <w:ind w:firstLine="709"/>
        <w:rPr>
          <w:szCs w:val="26"/>
          <w:lang w:val="pt-BR"/>
        </w:rPr>
      </w:pPr>
      <w:r w:rsidRPr="008E63BB">
        <w:rPr>
          <w:bCs/>
          <w:szCs w:val="26"/>
          <w:lang w:val="pt-BR"/>
        </w:rPr>
        <w:t>Công viên hồ Vị Xuyên</w:t>
      </w:r>
      <w:r w:rsidRPr="008E63BB">
        <w:rPr>
          <w:szCs w:val="26"/>
          <w:lang w:val="vi-VN"/>
        </w:rPr>
        <w:t>:</w:t>
      </w:r>
      <w:r w:rsidRPr="008E63BB">
        <w:rPr>
          <w:szCs w:val="26"/>
          <w:lang w:val="pt-BR"/>
        </w:rPr>
        <w:t xml:space="preserve"> là công viên gắn với trung tâm hành chính tỉnh và khu trung tâm thể dục thể thao hiện hữu</w:t>
      </w:r>
    </w:p>
    <w:p w14:paraId="519B378A" w14:textId="77777777" w:rsidR="009671CF" w:rsidRPr="008E63BB" w:rsidRDefault="009671CF" w:rsidP="00265842">
      <w:pPr>
        <w:ind w:firstLine="709"/>
        <w:rPr>
          <w:bCs/>
          <w:szCs w:val="26"/>
          <w:lang w:val="pt-BR"/>
        </w:rPr>
      </w:pPr>
      <w:r w:rsidRPr="008E63BB">
        <w:rPr>
          <w:bCs/>
          <w:szCs w:val="26"/>
          <w:lang w:val="pt-BR"/>
        </w:rPr>
        <w:t>Công viên hồ Truyền Thống: được cải tạo chỉnh trang tạo thêm các không gian xanh mặt nước và các dịch vụ tiện ích cho đô thị.</w:t>
      </w:r>
    </w:p>
    <w:p w14:paraId="519B378B" w14:textId="77777777" w:rsidR="009671CF" w:rsidRPr="008E63BB" w:rsidRDefault="009671CF" w:rsidP="00265842">
      <w:pPr>
        <w:ind w:firstLine="709"/>
        <w:rPr>
          <w:szCs w:val="26"/>
          <w:lang w:val="vi-VN"/>
        </w:rPr>
      </w:pPr>
      <w:r w:rsidRPr="008E63BB">
        <w:rPr>
          <w:bCs/>
          <w:szCs w:val="26"/>
          <w:lang w:val="vi-VN"/>
        </w:rPr>
        <w:lastRenderedPageBreak/>
        <w:t xml:space="preserve">Công viên </w:t>
      </w:r>
      <w:r w:rsidRPr="008E63BB">
        <w:rPr>
          <w:bCs/>
          <w:szCs w:val="26"/>
          <w:lang w:val="pt-BR"/>
        </w:rPr>
        <w:t>phía Tây</w:t>
      </w:r>
      <w:r w:rsidRPr="008E63BB">
        <w:rPr>
          <w:szCs w:val="26"/>
          <w:lang w:val="vi-VN"/>
        </w:rPr>
        <w:t xml:space="preserve">: </w:t>
      </w:r>
      <w:r w:rsidRPr="008E63BB">
        <w:rPr>
          <w:szCs w:val="26"/>
          <w:lang w:val="pt-BR"/>
        </w:rPr>
        <w:t>trong trục mới của đô thị dịch vụ mới phía Tây sẽ là một công viên lớn gắn với cây xanh mặt nước và các công trình dịch vụ vui chơi giải trí mới hiện đại đảm bảo nhu cầu nghỉ nghơi thư giãn cho người dân đô thị</w:t>
      </w:r>
      <w:r w:rsidRPr="008E63BB">
        <w:rPr>
          <w:szCs w:val="26"/>
          <w:lang w:val="vi-VN"/>
        </w:rPr>
        <w:t xml:space="preserve">. </w:t>
      </w:r>
    </w:p>
    <w:p w14:paraId="519B378C" w14:textId="77777777" w:rsidR="009671CF" w:rsidRPr="008E63BB" w:rsidRDefault="009671CF" w:rsidP="00265842">
      <w:pPr>
        <w:ind w:firstLine="709"/>
        <w:rPr>
          <w:szCs w:val="26"/>
          <w:lang w:val="vi-VN"/>
        </w:rPr>
      </w:pPr>
      <w:r w:rsidRPr="008E63BB">
        <w:rPr>
          <w:bCs/>
          <w:szCs w:val="26"/>
          <w:lang w:val="vi-VN"/>
        </w:rPr>
        <w:t>Công viên phía Nam:</w:t>
      </w:r>
      <w:r w:rsidRPr="008E63BB">
        <w:rPr>
          <w:szCs w:val="26"/>
          <w:lang w:val="vi-VN"/>
        </w:rPr>
        <w:t xml:space="preserve"> nằm trong khu vực phía Nam của thành phố, là công viên lịch văn hóa, nông nghiệp và các thế mạnh của thành phố, và sẽ bao gồm các khu trưng bày và là cơ hội cho việc tổ chức các hội chợ thương mại trong công viên.</w:t>
      </w:r>
    </w:p>
    <w:p w14:paraId="519B378D" w14:textId="77777777" w:rsidR="009671CF" w:rsidRPr="008E63BB" w:rsidRDefault="009671CF" w:rsidP="00265842">
      <w:pPr>
        <w:ind w:firstLine="709"/>
        <w:rPr>
          <w:szCs w:val="26"/>
          <w:lang w:val="vi-VN"/>
        </w:rPr>
      </w:pPr>
      <w:r w:rsidRPr="008E63BB">
        <w:rPr>
          <w:szCs w:val="26"/>
          <w:lang w:val="vi-VN"/>
        </w:rPr>
        <w:t>Công viên vui chơi giải trí, thể dục thể thao cao cấp: Nằm trong khu cây xanh nhà ở sinh thái là công viên cây xanh cảnh quan kết hợp mặt nước và hoạt động thể thao, golf,..</w:t>
      </w:r>
    </w:p>
    <w:p w14:paraId="519B378E" w14:textId="77777777" w:rsidR="009671CF" w:rsidRPr="008E63BB" w:rsidRDefault="009671CF" w:rsidP="00265842">
      <w:pPr>
        <w:ind w:firstLine="709"/>
        <w:rPr>
          <w:szCs w:val="26"/>
          <w:lang w:val="vi-VN"/>
        </w:rPr>
      </w:pPr>
      <w:r w:rsidRPr="008E63BB">
        <w:rPr>
          <w:szCs w:val="26"/>
          <w:lang w:val="vi-VN"/>
        </w:rPr>
        <w:t>Công viên triển lãm Nam Vân: Nằm tại xã Nam Vân gắn với mặt nước cảnh quan tự nhiên kết hợp thoát nước cho thành phố. Với các hoạt động văn hóa, trung tâm triển lãm hội chợ thương mại.</w:t>
      </w:r>
    </w:p>
    <w:p w14:paraId="519B378F" w14:textId="77777777" w:rsidR="0093592B" w:rsidRPr="008E63BB" w:rsidRDefault="0093592B" w:rsidP="00265842">
      <w:pPr>
        <w:ind w:firstLine="709"/>
        <w:rPr>
          <w:szCs w:val="26"/>
          <w:lang w:val="vi-VN"/>
        </w:rPr>
      </w:pPr>
      <w:r w:rsidRPr="008E63BB">
        <w:rPr>
          <w:szCs w:val="26"/>
          <w:lang w:val="vi-VN"/>
        </w:rPr>
        <w:t>Các khu công viên nhỏ gắn với các hồ hiện hữu đóng góp vai trò cây xanh điều hòa vi khí hậu và thoát nước cho thành phố được cải tạo chỉnh trang, trồng cây xanh và bổ sung các tiện ích đô thị.</w:t>
      </w:r>
    </w:p>
    <w:p w14:paraId="519B3790" w14:textId="77777777" w:rsidR="00265842" w:rsidRPr="008E63BB" w:rsidRDefault="00742BEC" w:rsidP="00265842">
      <w:pPr>
        <w:rPr>
          <w:szCs w:val="26"/>
          <w:lang w:val="pt-BR"/>
        </w:rPr>
      </w:pPr>
      <w:r w:rsidRPr="008E63BB">
        <w:rPr>
          <w:szCs w:val="26"/>
          <w:lang w:val="pt-BR"/>
        </w:rPr>
        <w:t xml:space="preserve">* </w:t>
      </w:r>
      <w:r w:rsidR="00265842" w:rsidRPr="008E63BB">
        <w:rPr>
          <w:szCs w:val="26"/>
          <w:lang w:val="pt-BR"/>
        </w:rPr>
        <w:t>Cây xanh, vườn hoa:</w:t>
      </w:r>
    </w:p>
    <w:p w14:paraId="519B3791" w14:textId="77777777" w:rsidR="009671CF" w:rsidRPr="008E63BB" w:rsidRDefault="009671CF" w:rsidP="00265842">
      <w:pPr>
        <w:pStyle w:val="BodyText"/>
        <w:spacing w:after="0"/>
        <w:ind w:firstLine="709"/>
        <w:rPr>
          <w:szCs w:val="26"/>
        </w:rPr>
      </w:pPr>
      <w:r w:rsidRPr="008E63BB">
        <w:rPr>
          <w:szCs w:val="26"/>
        </w:rPr>
        <w:t>- Cây xanh cảnh quan hồ điề</w:t>
      </w:r>
      <w:r w:rsidR="00265842" w:rsidRPr="008E63BB">
        <w:rPr>
          <w:szCs w:val="26"/>
        </w:rPr>
        <w:t>u hòa:</w:t>
      </w:r>
      <w:r w:rsidR="00265842" w:rsidRPr="008E63BB">
        <w:rPr>
          <w:szCs w:val="26"/>
          <w:lang w:val="en-US"/>
        </w:rPr>
        <w:t xml:space="preserve"> </w:t>
      </w:r>
      <w:r w:rsidRPr="008E63BB">
        <w:rPr>
          <w:szCs w:val="26"/>
        </w:rPr>
        <w:t>Là những khu vực có cảnh quan đẹp, thích hợp cho các loại hình vui chơi giải trí, ngắm cảnh, thể dục thể thao...</w:t>
      </w:r>
    </w:p>
    <w:p w14:paraId="519B3792" w14:textId="77777777" w:rsidR="009671CF" w:rsidRPr="008E63BB" w:rsidRDefault="009671CF" w:rsidP="00265842">
      <w:pPr>
        <w:pStyle w:val="BodyText"/>
        <w:spacing w:after="0"/>
        <w:ind w:firstLine="709"/>
        <w:rPr>
          <w:szCs w:val="26"/>
        </w:rPr>
      </w:pPr>
      <w:r w:rsidRPr="008E63BB">
        <w:rPr>
          <w:szCs w:val="26"/>
        </w:rPr>
        <w:t>- Cây xanh cách ly: Tổ chức thành các dải xanh, lựa chọn các loại cây trồng phù hợp, không ảnh hưởng đến các tuyến đường kỹ thuật.</w:t>
      </w:r>
    </w:p>
    <w:p w14:paraId="519B3793" w14:textId="77777777" w:rsidR="009671CF" w:rsidRPr="008E63BB" w:rsidRDefault="009671CF" w:rsidP="00265842">
      <w:pPr>
        <w:pStyle w:val="BodyText"/>
        <w:spacing w:after="0"/>
        <w:ind w:firstLine="709"/>
        <w:rPr>
          <w:szCs w:val="26"/>
        </w:rPr>
      </w:pPr>
      <w:r w:rsidRPr="008E63BB">
        <w:rPr>
          <w:szCs w:val="26"/>
        </w:rPr>
        <w:t>- Cây xanh vui chơi giải trí: Tổ chức thành các công viên kết hợp xây dựng các khu du lịch, sân golf, du lịch văn hóa.</w:t>
      </w:r>
    </w:p>
    <w:p w14:paraId="519B3794" w14:textId="77777777" w:rsidR="00A2594B" w:rsidRPr="008E63BB" w:rsidRDefault="009671CF" w:rsidP="00265842">
      <w:pPr>
        <w:pStyle w:val="BodyText"/>
        <w:spacing w:after="0"/>
        <w:ind w:firstLine="709"/>
        <w:rPr>
          <w:szCs w:val="26"/>
        </w:rPr>
      </w:pPr>
      <w:r w:rsidRPr="008E63BB">
        <w:rPr>
          <w:szCs w:val="26"/>
        </w:rPr>
        <w:t>- Cây xanh sinh thái dọc sông: Trên tuyến sông bên trong đô thị, tổ chức các tuyến đường dạo, vườn hoa, các điểm dừng chân ngắm cảnh ven sông, các điểm vui chơi giải trí gắn với cảnh quan mặt nước. Trên các tuyến sông bên ngoài đô thị, giữ lại nét cảnh quan tự nhiên.</w:t>
      </w:r>
      <w:r w:rsidR="00A2594B" w:rsidRPr="008E63BB">
        <w:rPr>
          <w:szCs w:val="26"/>
        </w:rPr>
        <w:t>..</w:t>
      </w:r>
    </w:p>
    <w:p w14:paraId="519B3795" w14:textId="77777777" w:rsidR="008C1574" w:rsidRPr="008E63BB" w:rsidRDefault="008C1574" w:rsidP="008C1574">
      <w:pPr>
        <w:pStyle w:val="Heading3"/>
        <w:rPr>
          <w:lang w:val="vi-VN"/>
        </w:rPr>
      </w:pPr>
      <w:bookmarkStart w:id="431" w:name="_Toc47524716"/>
      <w:r w:rsidRPr="008E63BB">
        <w:t>5.8.</w:t>
      </w:r>
      <w:r w:rsidR="003E2CD9" w:rsidRPr="008E63BB">
        <w:t>3</w:t>
      </w:r>
      <w:r w:rsidRPr="008E63BB">
        <w:t xml:space="preserve">. </w:t>
      </w:r>
      <w:r w:rsidRPr="008E63BB">
        <w:rPr>
          <w:lang w:val="vi-VN"/>
        </w:rPr>
        <w:t>Mật độ xây dựng:</w:t>
      </w:r>
      <w:bookmarkEnd w:id="431"/>
    </w:p>
    <w:p w14:paraId="519B3796" w14:textId="77777777" w:rsidR="008C1574" w:rsidRPr="008E63BB" w:rsidRDefault="008C1574" w:rsidP="008C1574">
      <w:pPr>
        <w:rPr>
          <w:spacing w:val="-4"/>
          <w:szCs w:val="26"/>
          <w:lang w:val="pt-BR"/>
        </w:rPr>
      </w:pPr>
      <w:r w:rsidRPr="008E63BB">
        <w:rPr>
          <w:spacing w:val="-4"/>
          <w:szCs w:val="26"/>
          <w:lang w:val="pt-BR"/>
        </w:rPr>
        <w:tab/>
        <w:t xml:space="preserve">Xây dựng công trình phải đảm bảo giữ gìn và tôn tạo các cảnh quan tự nhiên, các di tích lịch sử văn hoá. Tạo dựng hệ thống cây xanh kết hợp mặt nước hoà nhập hài hoà với các khu chức năng trong đô thị để tạo cảnh quan và cải thiện môi trường sinh thái đô thị. Gắn kết hợp lý các loại đất cây xanh: Công viên đô thị, các vườn hoa trong lõi các nhóm nhà ở, cây xanh đường phố, các khu vực cây xanh cách ly, vùng sinh thái nông nghiệp,v.v... </w:t>
      </w:r>
    </w:p>
    <w:p w14:paraId="519B3797" w14:textId="77777777" w:rsidR="008C1574" w:rsidRPr="008E63BB" w:rsidRDefault="008C1574" w:rsidP="008C1574">
      <w:pPr>
        <w:rPr>
          <w:szCs w:val="26"/>
          <w:lang w:val="pt-BR"/>
        </w:rPr>
      </w:pPr>
      <w:r w:rsidRPr="008E63BB">
        <w:rPr>
          <w:szCs w:val="26"/>
          <w:lang w:val="pt-BR"/>
        </w:rPr>
        <w:tab/>
        <w:t>Đặc thù của thành phố Nam Định có nhiều mặt nước, và diện tích sinh thái nông nghiệp quanh thành phố lớn (vùng mở rộng), lấy tiêu chuẩn đất cây xanh công viên 6-9m2/người.</w:t>
      </w:r>
    </w:p>
    <w:p w14:paraId="519B3798" w14:textId="77777777" w:rsidR="008C1574" w:rsidRPr="008E63BB" w:rsidRDefault="008C1574" w:rsidP="008C1574">
      <w:pPr>
        <w:rPr>
          <w:szCs w:val="26"/>
          <w:lang w:val="pt-BR"/>
        </w:rPr>
      </w:pPr>
      <w:r w:rsidRPr="008E63BB">
        <w:rPr>
          <w:szCs w:val="26"/>
          <w:lang w:val="pt-BR"/>
        </w:rPr>
        <w:tab/>
        <w:t>Mật độ xây dựng trong thành phố Nam Định được nghiên cứu trên 2 vùng chính:</w:t>
      </w:r>
    </w:p>
    <w:p w14:paraId="519B3799" w14:textId="77777777" w:rsidR="008C1574" w:rsidRPr="008E63BB" w:rsidRDefault="008C1574" w:rsidP="008C1574">
      <w:pPr>
        <w:rPr>
          <w:i/>
          <w:szCs w:val="26"/>
          <w:lang w:val="pt-BR"/>
        </w:rPr>
      </w:pPr>
      <w:bookmarkStart w:id="432" w:name="_Hlk27972145"/>
      <w:r w:rsidRPr="008E63BB">
        <w:rPr>
          <w:i/>
          <w:szCs w:val="26"/>
          <w:lang w:val="pt-BR"/>
        </w:rPr>
        <w:t xml:space="preserve">- Vùng phát triển đô thị: </w:t>
      </w:r>
    </w:p>
    <w:p w14:paraId="519B379A" w14:textId="77777777" w:rsidR="008C1574" w:rsidRPr="008E63BB" w:rsidRDefault="008C1574" w:rsidP="008C1574">
      <w:pPr>
        <w:rPr>
          <w:szCs w:val="26"/>
          <w:lang w:val="pt-BR"/>
        </w:rPr>
      </w:pPr>
      <w:r w:rsidRPr="008E63BB">
        <w:rPr>
          <w:szCs w:val="26"/>
          <w:lang w:val="pt-BR"/>
        </w:rPr>
        <w:tab/>
        <w:t xml:space="preserve">+ Khu vực xây dựng mật độ  cao (45-65%): Tập trung tại khu vực các phường trung tâm nội thị cũ. </w:t>
      </w:r>
      <w:r w:rsidRPr="008E63BB">
        <w:rPr>
          <w:rFonts w:eastAsia="Times New Roman"/>
          <w:szCs w:val="26"/>
          <w:lang w:val="pt-BR"/>
        </w:rPr>
        <w:t>Các khu trung tâm khu đô thị tại các trục không gian chính trên tuyến đường liên khu vực. Tại khu vực đô thị gắn với trung tâm trung phố cũ, phố pháp.</w:t>
      </w:r>
    </w:p>
    <w:p w14:paraId="519B379B" w14:textId="77777777" w:rsidR="008C1574" w:rsidRPr="008E63BB" w:rsidRDefault="008C1574" w:rsidP="008C1574">
      <w:pPr>
        <w:rPr>
          <w:szCs w:val="26"/>
          <w:lang w:val="pt-BR"/>
        </w:rPr>
      </w:pPr>
      <w:r w:rsidRPr="008E63BB">
        <w:rPr>
          <w:szCs w:val="26"/>
          <w:lang w:val="pt-BR"/>
        </w:rPr>
        <w:tab/>
        <w:t>+ Khu vực xây dựng mật độ trung bình (30-45%): Tập trung tại các phường mới nằm phía trong QL 10. Tại các khu đô thị mới phía Bắc, phía Tây và Tây Namkhu trung tâm hiện hữu.</w:t>
      </w:r>
    </w:p>
    <w:p w14:paraId="519B379C" w14:textId="77777777" w:rsidR="008C1574" w:rsidRPr="008E63BB" w:rsidRDefault="008C1574" w:rsidP="008C1574">
      <w:pPr>
        <w:rPr>
          <w:szCs w:val="26"/>
          <w:lang w:val="pt-BR"/>
        </w:rPr>
      </w:pPr>
      <w:r w:rsidRPr="008E63BB">
        <w:rPr>
          <w:szCs w:val="26"/>
          <w:lang w:val="pt-BR"/>
        </w:rPr>
        <w:tab/>
        <w:t xml:space="preserve">+ Khu vực xây dựng mật độ thấp (25%-35%): Tập trung tại khu đô thị sinh thái phía Nam (xã Hồng Quang và Nam Toàn). Các khu trường đào tạo, trung tâm y tế mới.       </w:t>
      </w:r>
    </w:p>
    <w:p w14:paraId="519B379D" w14:textId="77777777" w:rsidR="008C1574" w:rsidRPr="008E63BB" w:rsidRDefault="008C1574" w:rsidP="008C1574">
      <w:pPr>
        <w:rPr>
          <w:spacing w:val="-6"/>
          <w:szCs w:val="26"/>
          <w:lang w:val="pt-BR"/>
        </w:rPr>
      </w:pPr>
      <w:r w:rsidRPr="008E63BB">
        <w:rPr>
          <w:spacing w:val="-6"/>
          <w:szCs w:val="26"/>
          <w:lang w:val="pt-BR"/>
        </w:rPr>
        <w:tab/>
        <w:t>+ Khu vực xây dựng mật độ rất thấp (3%-5%): Khu công viên, cây xanh, vườn hoa</w:t>
      </w:r>
    </w:p>
    <w:p w14:paraId="519B379E" w14:textId="77777777" w:rsidR="008C1574" w:rsidRPr="008E63BB" w:rsidRDefault="008C1574" w:rsidP="008C1574">
      <w:pPr>
        <w:rPr>
          <w:i/>
          <w:szCs w:val="26"/>
          <w:lang w:val="pt-BR"/>
        </w:rPr>
      </w:pPr>
      <w:r w:rsidRPr="008E63BB">
        <w:rPr>
          <w:i/>
          <w:szCs w:val="26"/>
          <w:lang w:val="pt-BR"/>
        </w:rPr>
        <w:lastRenderedPageBreak/>
        <w:t xml:space="preserve">- Vùng phát triển đặc thù: </w:t>
      </w:r>
    </w:p>
    <w:p w14:paraId="519B379F" w14:textId="77777777" w:rsidR="008C1574" w:rsidRPr="008E63BB" w:rsidRDefault="008C1574" w:rsidP="008C1574">
      <w:pPr>
        <w:rPr>
          <w:szCs w:val="26"/>
          <w:lang w:val="pt-BR"/>
        </w:rPr>
      </w:pPr>
      <w:r w:rsidRPr="008E63BB">
        <w:rPr>
          <w:szCs w:val="26"/>
          <w:lang w:val="pt-BR"/>
        </w:rPr>
        <w:tab/>
        <w:t>+ Khu công nghiệp, trung chuyển hàng hóa: mật độ xây dựng được nghiên cứu cho từng loại hình công nghiệp và dịch vụ trung chuyển sẽ đầu tư, mật độ tối đa là 60%</w:t>
      </w:r>
    </w:p>
    <w:p w14:paraId="519B37A0" w14:textId="77777777" w:rsidR="008C1574" w:rsidRPr="008E63BB" w:rsidRDefault="008C1574" w:rsidP="008C1574">
      <w:pPr>
        <w:rPr>
          <w:szCs w:val="26"/>
          <w:lang w:val="pt-BR"/>
        </w:rPr>
      </w:pPr>
      <w:r w:rsidRPr="008E63BB">
        <w:rPr>
          <w:szCs w:val="26"/>
          <w:lang w:val="pt-BR"/>
        </w:rPr>
        <w:tab/>
        <w:t>+ Khu vực bảo vệ di tích: để bảo vệ di tích cần hạn chế xây dựng mới và có xem xét với từng công trình cụ thể.</w:t>
      </w:r>
    </w:p>
    <w:p w14:paraId="519B37A1" w14:textId="77777777" w:rsidR="008C1574" w:rsidRPr="008E63BB" w:rsidRDefault="008C1574" w:rsidP="008C1574">
      <w:pPr>
        <w:rPr>
          <w:szCs w:val="26"/>
          <w:lang w:val="pt-BR"/>
        </w:rPr>
      </w:pPr>
      <w:r w:rsidRPr="008E63BB">
        <w:rPr>
          <w:szCs w:val="26"/>
          <w:lang w:val="pt-BR"/>
        </w:rPr>
        <w:tab/>
        <w:t>+ Khu vực nông nghiệp: không xây dựng các công trình đô thị, công trình dân dụng, cho phép xây dựng các công trình kỹ thuật phục vụ sản xuất.</w:t>
      </w:r>
    </w:p>
    <w:p w14:paraId="519B37A2" w14:textId="77777777" w:rsidR="008C1574" w:rsidRPr="008E63BB" w:rsidRDefault="008C1574" w:rsidP="008C1574">
      <w:pPr>
        <w:rPr>
          <w:szCs w:val="26"/>
          <w:lang w:val="pt-BR"/>
        </w:rPr>
      </w:pPr>
      <w:r w:rsidRPr="008E63BB">
        <w:rPr>
          <w:szCs w:val="26"/>
          <w:lang w:val="pt-BR"/>
        </w:rPr>
        <w:tab/>
        <w:t>+ Khu vực ngoài đê sông Đào đoạn qua khu trung tâm thành phố: Khi đảm bảo các yêu cầu về hành lang thoát lũ và bảo vệ đê điều, cho phép mật độ xây dựng tối đa đạt 3% đối với các công trình xây dựng song chỉ được phép xây dựng các công trình mang tính chất phục vụ công cộng, không xây dựng công trình kiên cố, sử dụng kết cấu lắp ghép, chống cột để khai thác theo mùa và không ảnh hưởng đến dòng chảy mùa mưa lũ.</w:t>
      </w:r>
    </w:p>
    <w:p w14:paraId="519B37A3" w14:textId="77777777" w:rsidR="008C1574" w:rsidRPr="008E63BB" w:rsidRDefault="008C1574" w:rsidP="008C1574">
      <w:pPr>
        <w:rPr>
          <w:szCs w:val="26"/>
          <w:lang w:val="pt-BR"/>
        </w:rPr>
      </w:pPr>
      <w:r w:rsidRPr="008E63BB">
        <w:rPr>
          <w:szCs w:val="26"/>
          <w:lang w:val="pt-BR"/>
        </w:rPr>
        <w:tab/>
        <w:t xml:space="preserve">+ Khu vực công viên nông nghiệp trong khu vực đô thị cho phép mật độ xây dựng &lt;3% với các công trình hỗ trợ dịch vụ du lịch như điểm dừng chân, điểm dịch vụ và bán sản phẩm nông nghiệp cho khách tham quan. </w:t>
      </w:r>
    </w:p>
    <w:p w14:paraId="519B37A4" w14:textId="77777777" w:rsidR="008C1574" w:rsidRPr="008E63BB" w:rsidRDefault="008C1574" w:rsidP="008C1574">
      <w:pPr>
        <w:rPr>
          <w:spacing w:val="-6"/>
          <w:szCs w:val="26"/>
          <w:lang w:val="pt-BR"/>
        </w:rPr>
      </w:pPr>
      <w:r w:rsidRPr="008E63BB">
        <w:rPr>
          <w:spacing w:val="-6"/>
          <w:szCs w:val="26"/>
          <w:lang w:val="pt-BR"/>
        </w:rPr>
        <w:tab/>
        <w:t>+ Khu vực không xây dựng: là hành lang cách ly các tuyến đường điện, hành lang thoát lũ của sông Đào và sông Hồng, các khu vực hành lang xanh bảo vệ kênh tiêu thoát nước trong đô thị, các hành lang xanh dọc quốc lộ 10 và đường vành đai 2 mới của thành phố</w:t>
      </w:r>
      <w:bookmarkEnd w:id="432"/>
      <w:r w:rsidRPr="008E63BB">
        <w:rPr>
          <w:spacing w:val="-6"/>
          <w:szCs w:val="26"/>
          <w:lang w:val="pt-BR"/>
        </w:rPr>
        <w:t>.</w:t>
      </w:r>
    </w:p>
    <w:p w14:paraId="519B37A5" w14:textId="77777777" w:rsidR="008C1574" w:rsidRPr="008E63BB" w:rsidRDefault="008C1574" w:rsidP="008C1574">
      <w:pPr>
        <w:pStyle w:val="Heading3"/>
        <w:rPr>
          <w:lang w:val="vi-VN"/>
        </w:rPr>
      </w:pPr>
      <w:bookmarkStart w:id="433" w:name="_Toc47524717"/>
      <w:r w:rsidRPr="008E63BB">
        <w:t>5.</w:t>
      </w:r>
      <w:r w:rsidR="003E2CD9" w:rsidRPr="008E63BB">
        <w:t>8.4</w:t>
      </w:r>
      <w:r w:rsidRPr="008E63BB">
        <w:t>.</w:t>
      </w:r>
      <w:r w:rsidRPr="008E63BB">
        <w:rPr>
          <w:lang w:val="vi-VN"/>
        </w:rPr>
        <w:t xml:space="preserve"> Tầng cao xây dựng</w:t>
      </w:r>
      <w:bookmarkEnd w:id="433"/>
    </w:p>
    <w:p w14:paraId="519B37A6" w14:textId="77777777" w:rsidR="008C1574" w:rsidRPr="008E63BB" w:rsidRDefault="008C1574" w:rsidP="008C1574">
      <w:pPr>
        <w:ind w:firstLine="720"/>
        <w:rPr>
          <w:rFonts w:eastAsia="Times New Roman"/>
          <w:spacing w:val="-2"/>
          <w:szCs w:val="26"/>
          <w:lang w:val="pt-BR"/>
        </w:rPr>
      </w:pPr>
      <w:bookmarkStart w:id="434" w:name="_Hlk27972402"/>
      <w:r w:rsidRPr="008E63BB">
        <w:rPr>
          <w:rFonts w:eastAsia="Times New Roman"/>
          <w:spacing w:val="-2"/>
          <w:szCs w:val="26"/>
          <w:lang w:val="pt-BR"/>
        </w:rPr>
        <w:t xml:space="preserve">Thành phố Nam Định có địa hình khá bằng phẳng. Đồ án </w:t>
      </w:r>
      <w:bookmarkStart w:id="435" w:name="_Hlk27972263"/>
      <w:r w:rsidRPr="008E63BB">
        <w:rPr>
          <w:rFonts w:eastAsia="Times New Roman"/>
          <w:spacing w:val="-2"/>
          <w:szCs w:val="26"/>
          <w:lang w:val="pt-BR"/>
        </w:rPr>
        <w:t xml:space="preserve">đề xuất một số điểm và khu vực có chiều cao, tầm nhìn nổi bật </w:t>
      </w:r>
      <w:bookmarkEnd w:id="435"/>
      <w:r w:rsidRPr="008E63BB">
        <w:rPr>
          <w:rFonts w:eastAsia="Times New Roman"/>
          <w:spacing w:val="-2"/>
          <w:szCs w:val="26"/>
          <w:lang w:val="pt-BR"/>
        </w:rPr>
        <w:t xml:space="preserve">nhằm hình thành một đường chân trời của đô thị, kết hợp với các điểm cao độ tự nhiên tạo nên một dáng dấp đô thị hiện đại, có những đặc trưng nổi bật: Cụ thể là </w:t>
      </w:r>
      <w:bookmarkStart w:id="436" w:name="_Hlk27972287"/>
      <w:r w:rsidRPr="008E63BB">
        <w:rPr>
          <w:rFonts w:eastAsia="Times New Roman"/>
          <w:spacing w:val="-2"/>
          <w:szCs w:val="26"/>
          <w:lang w:val="pt-BR"/>
        </w:rPr>
        <w:t xml:space="preserve">tại khu vực đô thị dịch vụ mới phía Tây Bắc (khu đô thị trí thức gắn với mô hình đô thị thông minh) tạo tổ hợp công trình điểm nhấn cao tầng biểu tượng mới của thành phố gắn với quảng trường tri thức thời đại mới cùng với trục cây xanh cảnh quan của đô thị, sẽ là điểm tham quan hấp dẫn khi đến thành phố Nam Định. Phía Nam sông Đào bố trí 01 công trình văn hóa mới là điểm nhấn về kiến trúc tại khu vực </w:t>
      </w:r>
      <w:bookmarkEnd w:id="436"/>
      <w:r w:rsidRPr="008E63BB">
        <w:rPr>
          <w:rFonts w:eastAsia="Times New Roman"/>
          <w:spacing w:val="-2"/>
          <w:szCs w:val="26"/>
          <w:lang w:val="pt-BR"/>
        </w:rPr>
        <w:t>cạnh trung tâm công viên thể thao giải trí Nam sông Đào kết nối với trục hướng biển mới.</w:t>
      </w:r>
    </w:p>
    <w:p w14:paraId="519B37A7" w14:textId="77777777" w:rsidR="008C1574" w:rsidRPr="008E63BB" w:rsidRDefault="008C1574" w:rsidP="008C1574">
      <w:pPr>
        <w:ind w:firstLine="720"/>
        <w:rPr>
          <w:rFonts w:eastAsia="Times New Roman"/>
          <w:szCs w:val="26"/>
          <w:lang w:val="pt-BR"/>
        </w:rPr>
      </w:pPr>
      <w:r w:rsidRPr="008E63BB">
        <w:rPr>
          <w:rFonts w:eastAsia="Times New Roman"/>
          <w:szCs w:val="26"/>
          <w:lang w:val="pt-BR"/>
        </w:rPr>
        <w:t xml:space="preserve">Thành phố Nam Định là đô thị cải tạo, </w:t>
      </w:r>
      <w:bookmarkStart w:id="437" w:name="_Hlk27972376"/>
      <w:r w:rsidRPr="008E63BB">
        <w:rPr>
          <w:rFonts w:eastAsia="Times New Roman"/>
          <w:szCs w:val="26"/>
          <w:lang w:val="pt-BR"/>
        </w:rPr>
        <w:t xml:space="preserve">các khu đô thị mới và cũ nằm đan xen nên chiều cao các công trình xây mới được quy định không quá cao so với khu vực cũ </w:t>
      </w:r>
      <w:bookmarkEnd w:id="437"/>
      <w:r w:rsidRPr="008E63BB">
        <w:rPr>
          <w:rFonts w:eastAsia="Times New Roman"/>
          <w:szCs w:val="26"/>
          <w:lang w:val="pt-BR"/>
        </w:rPr>
        <w:t>(lấy chiều cao công trình tại các phường trung tâm hiện nay để xác định cao độ xây dựng hiện trạng chung toàn thành phố):</w:t>
      </w:r>
    </w:p>
    <w:p w14:paraId="519B37A8" w14:textId="77777777" w:rsidR="008C1574" w:rsidRPr="008E63BB" w:rsidRDefault="008C1574" w:rsidP="008C1574">
      <w:pPr>
        <w:ind w:firstLine="720"/>
        <w:rPr>
          <w:rFonts w:eastAsia="Times New Roman"/>
          <w:szCs w:val="26"/>
          <w:lang w:val="pt-BR"/>
        </w:rPr>
      </w:pPr>
      <w:r w:rsidRPr="008E63BB">
        <w:rPr>
          <w:rFonts w:eastAsia="Times New Roman"/>
          <w:szCs w:val="26"/>
          <w:lang w:val="pt-BR"/>
        </w:rPr>
        <w:t>- Dọc trên các tuyến đường chính đô thị khuyến khích xây dựng đối với công trình công cộng tối thiểu 5 tầng, đối với nhà ở nhà ở tối thiểu 3 tầng, một số khu vực trên 5 tầng.</w:t>
      </w:r>
    </w:p>
    <w:p w14:paraId="519B37A9" w14:textId="77777777" w:rsidR="008C1574" w:rsidRPr="008E63BB" w:rsidRDefault="008C1574" w:rsidP="008C1574">
      <w:pPr>
        <w:ind w:firstLine="720"/>
        <w:rPr>
          <w:rFonts w:eastAsia="Times New Roman"/>
          <w:szCs w:val="26"/>
          <w:lang w:val="pt-BR"/>
        </w:rPr>
      </w:pPr>
      <w:r w:rsidRPr="008E63BB">
        <w:rPr>
          <w:rFonts w:eastAsia="Times New Roman"/>
          <w:szCs w:val="26"/>
          <w:lang w:val="pt-BR"/>
        </w:rPr>
        <w:t>- Tại giao cắt các tuyến đường chính khu vực khuyến khích xây dựng 10-25 tầng. Một số khu vực là điểm nhấn (landmark) cho thành phố cao trên 25 tầng, tầng cao tối đa cần xem xét cụ thể trong từng điều kiện khảo sát địa chất công trình và tương quan với khu vực xung quanh.</w:t>
      </w:r>
    </w:p>
    <w:p w14:paraId="519B37AA" w14:textId="77777777" w:rsidR="008C1574" w:rsidRPr="008E63BB" w:rsidRDefault="008C1574" w:rsidP="008C1574">
      <w:pPr>
        <w:ind w:firstLine="720"/>
        <w:rPr>
          <w:rFonts w:eastAsia="Times New Roman"/>
          <w:szCs w:val="26"/>
          <w:lang w:val="pt-BR"/>
        </w:rPr>
      </w:pPr>
      <w:r w:rsidRPr="008E63BB">
        <w:rPr>
          <w:rFonts w:eastAsia="Times New Roman"/>
          <w:szCs w:val="26"/>
          <w:lang w:val="pt-BR"/>
        </w:rPr>
        <w:t>- Các khu dân cư hiện có giữ nguyên tầng cao như hiện nay, hạn chế tối đa xây dựng nhà cao ở bên trong các làng xóm hiện có (khuyến khích phát triển loại hình nhà vườn, nhà truyến thống). Các khu vực có di tích lịch sử có giá trị cần giữ lại, các công trình xung quanh xây dựng tối đa không quá 5 tầng.</w:t>
      </w:r>
    </w:p>
    <w:p w14:paraId="519B37AB" w14:textId="77777777" w:rsidR="008C1574" w:rsidRPr="008E63BB" w:rsidRDefault="008C1574" w:rsidP="008C1574">
      <w:pPr>
        <w:ind w:firstLine="720"/>
        <w:rPr>
          <w:rFonts w:eastAsia="Times New Roman"/>
          <w:szCs w:val="26"/>
          <w:lang w:val="pt-BR"/>
        </w:rPr>
      </w:pPr>
      <w:r w:rsidRPr="008E63BB">
        <w:rPr>
          <w:rFonts w:eastAsia="Times New Roman"/>
          <w:szCs w:val="26"/>
          <w:lang w:val="pt-BR"/>
        </w:rPr>
        <w:t>- Các khu cây xanh công viên, nên xây dựng công trình thấp tầng hài hoà với không gian xanh và mặt nước, không xây dựng công trình cao tầng</w:t>
      </w:r>
      <w:bookmarkEnd w:id="434"/>
      <w:r w:rsidRPr="008E63BB">
        <w:rPr>
          <w:rFonts w:eastAsia="Times New Roman"/>
          <w:szCs w:val="26"/>
          <w:lang w:val="pt-BR"/>
        </w:rPr>
        <w:t>.</w:t>
      </w:r>
    </w:p>
    <w:p w14:paraId="519B37AC" w14:textId="77777777" w:rsidR="007857A4" w:rsidRPr="008E63BB" w:rsidRDefault="007857A4" w:rsidP="008C1574">
      <w:pPr>
        <w:pStyle w:val="Heading3"/>
        <w:spacing w:before="120"/>
        <w:rPr>
          <w:lang w:val="vi-VN"/>
        </w:rPr>
      </w:pPr>
      <w:bookmarkStart w:id="438" w:name="_Toc341519079"/>
      <w:bookmarkStart w:id="439" w:name="_Toc341519180"/>
      <w:bookmarkStart w:id="440" w:name="_Toc344928489"/>
      <w:bookmarkStart w:id="441" w:name="_Toc345538398"/>
      <w:bookmarkStart w:id="442" w:name="_Toc350703973"/>
      <w:bookmarkStart w:id="443" w:name="_Toc493424488"/>
      <w:bookmarkStart w:id="444" w:name="_Toc495870906"/>
      <w:bookmarkStart w:id="445" w:name="_Toc21955376"/>
      <w:bookmarkStart w:id="446" w:name="_Toc23568233"/>
      <w:bookmarkStart w:id="447" w:name="_Toc47524718"/>
      <w:r w:rsidRPr="008E63BB">
        <w:rPr>
          <w:lang w:val="vi-VN"/>
        </w:rPr>
        <w:lastRenderedPageBreak/>
        <w:t>5.</w:t>
      </w:r>
      <w:r w:rsidR="00F9056A" w:rsidRPr="008E63BB">
        <w:rPr>
          <w:lang w:val="en-US"/>
        </w:rPr>
        <w:t>8</w:t>
      </w:r>
      <w:r w:rsidRPr="008E63BB">
        <w:rPr>
          <w:lang w:val="vi-VN"/>
        </w:rPr>
        <w:t>.</w:t>
      </w:r>
      <w:r w:rsidR="003E2CD9" w:rsidRPr="008E63BB">
        <w:rPr>
          <w:lang w:val="en-US"/>
        </w:rPr>
        <w:t>5</w:t>
      </w:r>
      <w:r w:rsidR="008C1574" w:rsidRPr="008E63BB">
        <w:rPr>
          <w:lang w:val="vi-VN"/>
        </w:rPr>
        <w:t xml:space="preserve">. </w:t>
      </w:r>
      <w:r w:rsidR="008C1574" w:rsidRPr="008E63BB">
        <w:rPr>
          <w:lang w:val="en-US"/>
        </w:rPr>
        <w:t>Hướng dẫn thiết kế đô thị</w:t>
      </w:r>
      <w:r w:rsidRPr="008E63BB">
        <w:rPr>
          <w:lang w:val="vi-VN"/>
        </w:rPr>
        <w:t xml:space="preserve"> </w:t>
      </w:r>
      <w:bookmarkEnd w:id="438"/>
      <w:bookmarkEnd w:id="439"/>
      <w:bookmarkEnd w:id="440"/>
      <w:bookmarkEnd w:id="441"/>
      <w:bookmarkEnd w:id="442"/>
      <w:bookmarkEnd w:id="443"/>
      <w:bookmarkEnd w:id="444"/>
      <w:r w:rsidR="007F2A3B" w:rsidRPr="008E63BB">
        <w:rPr>
          <w:lang w:val="vi-VN"/>
        </w:rPr>
        <w:t>các khu vực trọng tâm</w:t>
      </w:r>
      <w:bookmarkEnd w:id="445"/>
      <w:bookmarkEnd w:id="446"/>
      <w:bookmarkEnd w:id="447"/>
    </w:p>
    <w:p w14:paraId="519B37AD" w14:textId="77777777" w:rsidR="007857A4" w:rsidRPr="008E63BB" w:rsidRDefault="007857A4" w:rsidP="0065184D">
      <w:pPr>
        <w:rPr>
          <w:i/>
          <w:lang w:val="pt-BR"/>
        </w:rPr>
      </w:pPr>
      <w:r w:rsidRPr="008E63BB">
        <w:rPr>
          <w:i/>
          <w:lang w:val="pt-BR"/>
        </w:rPr>
        <w:t>* Khu lõi trung tâm – Đô thị tái thiết:</w:t>
      </w:r>
    </w:p>
    <w:p w14:paraId="519B37AE" w14:textId="77777777" w:rsidR="005760F7" w:rsidRPr="008E63BB" w:rsidRDefault="007857A4" w:rsidP="00F06125">
      <w:pPr>
        <w:numPr>
          <w:ilvl w:val="0"/>
          <w:numId w:val="31"/>
        </w:numPr>
        <w:tabs>
          <w:tab w:val="clear" w:pos="720"/>
          <w:tab w:val="num" w:pos="540"/>
        </w:tabs>
        <w:ind w:left="0" w:firstLine="540"/>
        <w:rPr>
          <w:rFonts w:eastAsia="Arial"/>
          <w:lang w:val="pt-BR"/>
        </w:rPr>
      </w:pPr>
      <w:r w:rsidRPr="008E63BB">
        <w:rPr>
          <w:rFonts w:eastAsia="Arial"/>
          <w:lang w:val="pt-BR"/>
        </w:rPr>
        <w:t xml:space="preserve">Tạo một hành lang xanh giữa khu trung tâm và khu vực phát triển. </w:t>
      </w:r>
      <w:r w:rsidR="003338DF" w:rsidRPr="008E63BB">
        <w:rPr>
          <w:rFonts w:eastAsia="Arial"/>
          <w:lang w:val="pt-BR"/>
        </w:rPr>
        <w:t>Hình thành một trục tiếp cận mới phía Tây với hướng nhìn mở ra hồ trung tâm thành phố</w:t>
      </w:r>
      <w:r w:rsidRPr="008E63BB">
        <w:rPr>
          <w:rFonts w:eastAsia="Arial"/>
          <w:lang w:val="pt-BR"/>
        </w:rPr>
        <w:t>. Điều chỉnh quy hoạch sắp xếp lại phố Trần Hưng Đạo để mở thêm các hướng nhìn và tiếp cận với hồ nước kế bên</w:t>
      </w:r>
      <w:r w:rsidR="00FA1890" w:rsidRPr="008E63BB">
        <w:rPr>
          <w:rFonts w:eastAsia="Arial"/>
          <w:lang w:val="pt-BR"/>
        </w:rPr>
        <w:t>.</w:t>
      </w:r>
    </w:p>
    <w:p w14:paraId="519B37AF" w14:textId="77777777" w:rsidR="007857A4"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 xml:space="preserve">Hình thành phố đi bộ dọc theo </w:t>
      </w:r>
      <w:r w:rsidR="00FA1890" w:rsidRPr="008E63BB">
        <w:rPr>
          <w:rFonts w:eastAsia="Arial"/>
          <w:lang w:val="pt-BR"/>
        </w:rPr>
        <w:t xml:space="preserve">các </w:t>
      </w:r>
      <w:r w:rsidRPr="008E63BB">
        <w:rPr>
          <w:rFonts w:eastAsia="Arial"/>
          <w:lang w:val="pt-BR"/>
        </w:rPr>
        <w:t>con phố kết nối các khu công viên đô thị hiện hữu</w:t>
      </w:r>
      <w:r w:rsidR="007857A4" w:rsidRPr="008E63BB">
        <w:rPr>
          <w:rFonts w:eastAsia="Arial"/>
          <w:lang w:val="pt-BR"/>
        </w:rPr>
        <w:t>.</w:t>
      </w:r>
      <w:r w:rsidRPr="008E63BB">
        <w:rPr>
          <w:rFonts w:eastAsia="Arial"/>
          <w:lang w:val="pt-BR"/>
        </w:rPr>
        <w:t>Cải tạo khu vực dọc bờ sông Đào dành cho không gian công cộng xanh, sạch</w:t>
      </w:r>
      <w:r w:rsidR="00FA1890" w:rsidRPr="008E63BB">
        <w:rPr>
          <w:rFonts w:eastAsia="Arial"/>
          <w:lang w:val="pt-BR"/>
        </w:rPr>
        <w:t>.</w:t>
      </w:r>
    </w:p>
    <w:p w14:paraId="519B37B0" w14:textId="77777777" w:rsidR="005760F7"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Khuyến khích các công trình có tầng cao trung bình để định hình các trục đại lộ chính và các không gian mở.</w:t>
      </w:r>
    </w:p>
    <w:p w14:paraId="519B37B1" w14:textId="77777777" w:rsidR="005760F7"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Các công trình thương mại dịch vụ cần được thiết kế liên kết với không gian đường phố ở tầng trệt</w:t>
      </w:r>
    </w:p>
    <w:p w14:paraId="519B37B2" w14:textId="77777777" w:rsidR="005760F7"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Khuyến khích trồng cây xanh ở cả khu công cộng và công trình sở hữu tư nhân để giảm hiệu ứng đảo nhiệt đô thị</w:t>
      </w:r>
    </w:p>
    <w:p w14:paraId="519B37B3" w14:textId="77777777" w:rsidR="005760F7"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Khu vực phía sau các trục chính xương sống sẽ là thấp tầng hoặc tầng cao trung bình</w:t>
      </w:r>
    </w:p>
    <w:p w14:paraId="519B37B4" w14:textId="77777777" w:rsidR="005760F7"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Các bãi đỗ xe và dịch vụ hỗ trợ cần được bố trí vào phía trong, xa mặt phố</w:t>
      </w:r>
    </w:p>
    <w:p w14:paraId="519B37B5" w14:textId="77777777" w:rsidR="005760F7" w:rsidRPr="008E63BB" w:rsidRDefault="003338DF" w:rsidP="00F06125">
      <w:pPr>
        <w:numPr>
          <w:ilvl w:val="0"/>
          <w:numId w:val="31"/>
        </w:numPr>
        <w:tabs>
          <w:tab w:val="clear" w:pos="720"/>
          <w:tab w:val="num" w:pos="540"/>
        </w:tabs>
        <w:ind w:left="0" w:firstLine="540"/>
        <w:rPr>
          <w:rFonts w:eastAsia="Arial"/>
          <w:lang w:val="pt-BR"/>
        </w:rPr>
      </w:pPr>
      <w:r w:rsidRPr="008E63BB">
        <w:rPr>
          <w:rFonts w:eastAsia="Arial"/>
          <w:lang w:val="pt-BR"/>
        </w:rPr>
        <w:t xml:space="preserve">Khuyến khích xây dựng công trình sử dụng công nghệ mới để giảm thiếu tiêu thụ năng lượng.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8"/>
        <w:gridCol w:w="1556"/>
        <w:gridCol w:w="3100"/>
      </w:tblGrid>
      <w:tr w:rsidR="008D5BFE" w:rsidRPr="008E63BB" w14:paraId="519B37B7" w14:textId="77777777" w:rsidTr="008C1574">
        <w:tc>
          <w:tcPr>
            <w:tcW w:w="9394" w:type="dxa"/>
            <w:gridSpan w:val="3"/>
          </w:tcPr>
          <w:p w14:paraId="519B37B6" w14:textId="77777777" w:rsidR="003E3237" w:rsidRPr="008E63BB" w:rsidRDefault="003E3237" w:rsidP="0065184D">
            <w:pPr>
              <w:rPr>
                <w:rFonts w:eastAsia="Arial"/>
                <w:lang w:val="pt-BR"/>
              </w:rPr>
            </w:pPr>
            <w:r w:rsidRPr="008E63BB">
              <w:rPr>
                <w:rFonts w:eastAsia="Arial"/>
                <w:noProof/>
                <w:lang w:eastAsia="zh-CN"/>
              </w:rPr>
              <w:drawing>
                <wp:inline distT="0" distB="0" distL="0" distR="0" wp14:anchorId="519B5259" wp14:editId="519B525A">
                  <wp:extent cx="5896610" cy="1969770"/>
                  <wp:effectExtent l="0" t="0" r="8890" b="0"/>
                  <wp:docPr id="76" name="Picture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976E836-4EE2-4451-8F72-02473497CB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976E836-4EE2-4451-8F72-02473497CB46}"/>
                              </a:ext>
                            </a:extLst>
                          </pic:cNvPr>
                          <pic:cNvPicPr>
                            <a:picLocks noChangeAspect="1"/>
                          </pic:cNvPicPr>
                        </pic:nvPicPr>
                        <pic:blipFill rotWithShape="1">
                          <a:blip r:embed="rId109" cstate="screen">
                            <a:extLst>
                              <a:ext uri="{28A0092B-C50C-407E-A947-70E740481C1C}">
                                <a14:useLocalDpi xmlns:a14="http://schemas.microsoft.com/office/drawing/2010/main"/>
                              </a:ext>
                            </a:extLst>
                          </a:blip>
                          <a:srcRect/>
                          <a:stretch/>
                        </pic:blipFill>
                        <pic:spPr>
                          <a:xfrm>
                            <a:off x="0" y="0"/>
                            <a:ext cx="5896610" cy="1969770"/>
                          </a:xfrm>
                          <a:prstGeom prst="rect">
                            <a:avLst/>
                          </a:prstGeom>
                        </pic:spPr>
                      </pic:pic>
                    </a:graphicData>
                  </a:graphic>
                </wp:inline>
              </w:drawing>
            </w:r>
          </w:p>
        </w:tc>
      </w:tr>
      <w:tr w:rsidR="008D5BFE" w:rsidRPr="008E63BB" w14:paraId="519B37BA" w14:textId="77777777" w:rsidTr="008C1574">
        <w:tc>
          <w:tcPr>
            <w:tcW w:w="6535" w:type="dxa"/>
            <w:gridSpan w:val="2"/>
          </w:tcPr>
          <w:p w14:paraId="519B37B8" w14:textId="77777777" w:rsidR="003E3237" w:rsidRPr="008E63BB" w:rsidRDefault="003E3237" w:rsidP="0065184D">
            <w:pPr>
              <w:jc w:val="right"/>
              <w:rPr>
                <w:rFonts w:eastAsia="Arial"/>
                <w:lang w:val="pt-BR"/>
              </w:rPr>
            </w:pPr>
            <w:r w:rsidRPr="008E63BB">
              <w:rPr>
                <w:rFonts w:eastAsia="Arial"/>
                <w:noProof/>
                <w:lang w:eastAsia="zh-CN"/>
              </w:rPr>
              <w:drawing>
                <wp:inline distT="0" distB="0" distL="0" distR="0" wp14:anchorId="519B525B" wp14:editId="519B525C">
                  <wp:extent cx="3912782" cy="1756665"/>
                  <wp:effectExtent l="0" t="0" r="0" b="0"/>
                  <wp:docPr id="82" name="Picture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976E836-4EE2-4451-8F72-02473497CB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2976E836-4EE2-4451-8F72-02473497CB46}"/>
                              </a:ext>
                            </a:extLst>
                          </pic:cNvPr>
                          <pic:cNvPicPr>
                            <a:picLocks noChangeAspect="1"/>
                          </pic:cNvPicPr>
                        </pic:nvPicPr>
                        <pic:blipFill rotWithShape="1">
                          <a:blip r:embed="rId110" cstate="screen">
                            <a:extLst>
                              <a:ext uri="{28A0092B-C50C-407E-A947-70E740481C1C}">
                                <a14:useLocalDpi xmlns:a14="http://schemas.microsoft.com/office/drawing/2010/main"/>
                              </a:ext>
                            </a:extLst>
                          </a:blip>
                          <a:srcRect/>
                          <a:stretch/>
                        </pic:blipFill>
                        <pic:spPr>
                          <a:xfrm>
                            <a:off x="0" y="0"/>
                            <a:ext cx="3930470" cy="1764606"/>
                          </a:xfrm>
                          <a:prstGeom prst="rect">
                            <a:avLst/>
                          </a:prstGeom>
                        </pic:spPr>
                      </pic:pic>
                    </a:graphicData>
                  </a:graphic>
                </wp:inline>
              </w:drawing>
            </w:r>
          </w:p>
        </w:tc>
        <w:tc>
          <w:tcPr>
            <w:tcW w:w="2859" w:type="dxa"/>
          </w:tcPr>
          <w:p w14:paraId="519B37B9" w14:textId="77777777" w:rsidR="003E3237" w:rsidRPr="008E63BB" w:rsidRDefault="003E3237" w:rsidP="0065184D">
            <w:pPr>
              <w:rPr>
                <w:rFonts w:eastAsia="Arial"/>
                <w:lang w:val="pt-BR"/>
              </w:rPr>
            </w:pPr>
            <w:r w:rsidRPr="008E63BB">
              <w:rPr>
                <w:rFonts w:eastAsia="Arial"/>
                <w:noProof/>
                <w:lang w:eastAsia="zh-CN"/>
              </w:rPr>
              <w:drawing>
                <wp:inline distT="0" distB="0" distL="0" distR="0" wp14:anchorId="519B525D" wp14:editId="519B525E">
                  <wp:extent cx="1236511" cy="1756410"/>
                  <wp:effectExtent l="0" t="0" r="1905" b="0"/>
                  <wp:docPr id="102" name="Picture 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5D06DEE-FBE9-450D-A21D-2E69B99AE0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5D06DEE-FBE9-450D-A21D-2E69B99AE0C7}"/>
                              </a:ext>
                            </a:extLst>
                          </pic:cNvPr>
                          <pic:cNvPicPr>
                            <a:picLocks noChangeAspect="1"/>
                          </pic:cNvPicPr>
                        </pic:nvPicPr>
                        <pic:blipFill rotWithShape="1">
                          <a:blip r:embed="rId111" cstate="screen">
                            <a:extLst>
                              <a:ext uri="{28A0092B-C50C-407E-A947-70E740481C1C}">
                                <a14:useLocalDpi xmlns:a14="http://schemas.microsoft.com/office/drawing/2010/main"/>
                              </a:ext>
                            </a:extLst>
                          </a:blip>
                          <a:srcRect/>
                          <a:stretch/>
                        </pic:blipFill>
                        <pic:spPr>
                          <a:xfrm>
                            <a:off x="0" y="0"/>
                            <a:ext cx="1247442" cy="1771938"/>
                          </a:xfrm>
                          <a:prstGeom prst="rect">
                            <a:avLst/>
                          </a:prstGeom>
                        </pic:spPr>
                      </pic:pic>
                    </a:graphicData>
                  </a:graphic>
                </wp:inline>
              </w:drawing>
            </w:r>
          </w:p>
        </w:tc>
      </w:tr>
      <w:tr w:rsidR="008D5BFE" w:rsidRPr="008E63BB" w14:paraId="519B37BD" w14:textId="77777777" w:rsidTr="008C1574">
        <w:tc>
          <w:tcPr>
            <w:tcW w:w="4670" w:type="dxa"/>
          </w:tcPr>
          <w:p w14:paraId="519B37BB" w14:textId="77777777" w:rsidR="003E3237" w:rsidRPr="008E63BB" w:rsidRDefault="003E3237" w:rsidP="0065184D">
            <w:pPr>
              <w:rPr>
                <w:rFonts w:eastAsia="Arial"/>
              </w:rPr>
            </w:pPr>
            <w:r w:rsidRPr="008E63BB">
              <w:rPr>
                <w:rFonts w:eastAsia="Arial"/>
                <w:noProof/>
                <w:lang w:eastAsia="zh-CN"/>
              </w:rPr>
              <w:lastRenderedPageBreak/>
              <w:drawing>
                <wp:inline distT="0" distB="0" distL="0" distR="0" wp14:anchorId="519B525F" wp14:editId="519B5260">
                  <wp:extent cx="2668772" cy="2001579"/>
                  <wp:effectExtent l="0" t="0" r="0" b="0"/>
                  <wp:docPr id="79" name="Picture 6" descr="Related image">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E2E14A5-A5DA-43BA-8C8B-267A6775B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descr="Related image">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E2E14A5-A5DA-43BA-8C8B-267A6775B03E}"/>
                              </a:ext>
                            </a:extLst>
                          </pic:cNvPr>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686995" cy="2015247"/>
                          </a:xfrm>
                          <a:prstGeom prst="rect">
                            <a:avLst/>
                          </a:prstGeom>
                          <a:noFill/>
                        </pic:spPr>
                      </pic:pic>
                    </a:graphicData>
                  </a:graphic>
                </wp:inline>
              </w:drawing>
            </w:r>
          </w:p>
        </w:tc>
        <w:tc>
          <w:tcPr>
            <w:tcW w:w="4724" w:type="dxa"/>
            <w:gridSpan w:val="2"/>
          </w:tcPr>
          <w:p w14:paraId="519B37BC" w14:textId="77777777" w:rsidR="003E3237" w:rsidRPr="008E63BB" w:rsidRDefault="003E3237" w:rsidP="0065184D">
            <w:pPr>
              <w:rPr>
                <w:rFonts w:eastAsia="Arial"/>
              </w:rPr>
            </w:pPr>
            <w:r w:rsidRPr="008E63BB">
              <w:rPr>
                <w:rFonts w:eastAsia="Arial"/>
                <w:noProof/>
                <w:lang w:eastAsia="zh-CN"/>
              </w:rPr>
              <w:drawing>
                <wp:inline distT="0" distB="0" distL="0" distR="0" wp14:anchorId="519B5261" wp14:editId="519B5262">
                  <wp:extent cx="3218289" cy="1945758"/>
                  <wp:effectExtent l="0" t="0" r="1270" b="0"/>
                  <wp:docPr id="1026" name="Picture 2" descr="http://www.landezine.com/wp-content/uploads/2019/07/Rasau-Walk_2-c_Ramboll-Studio-Dreiseitl-Singapore-1.jpg">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14BF4B0-5ED6-49CB-88B0-50592C8CD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www.landezine.com/wp-content/uploads/2019/07/Rasau-Walk_2-c_Ramboll-Studio-Dreiseitl-Singapore-1.jpg">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14BF4B0-5ED6-49CB-88B0-50592C8CDADF}"/>
                              </a:ext>
                            </a:extLst>
                          </pic:cNvPr>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r="-1"/>
                          <a:stretch/>
                        </pic:blipFill>
                        <pic:spPr bwMode="auto">
                          <a:xfrm>
                            <a:off x="0" y="0"/>
                            <a:ext cx="3241231" cy="1959629"/>
                          </a:xfrm>
                          <a:prstGeom prst="rect">
                            <a:avLst/>
                          </a:prstGeom>
                          <a:noFill/>
                        </pic:spPr>
                      </pic:pic>
                    </a:graphicData>
                  </a:graphic>
                </wp:inline>
              </w:drawing>
            </w:r>
          </w:p>
        </w:tc>
      </w:tr>
    </w:tbl>
    <w:p w14:paraId="519B37BE" w14:textId="77777777" w:rsidR="008C1574" w:rsidRPr="008E63BB" w:rsidRDefault="008C1574" w:rsidP="00F852CE">
      <w:pPr>
        <w:spacing w:before="120"/>
        <w:rPr>
          <w:i/>
          <w:lang w:val="pt-BR"/>
        </w:rPr>
      </w:pPr>
      <w:r w:rsidRPr="008E63BB">
        <w:rPr>
          <w:i/>
          <w:lang w:val="pt-BR"/>
        </w:rPr>
        <w:t>* Khu đô thị phía Tây:</w:t>
      </w:r>
    </w:p>
    <w:p w14:paraId="519B37BF" w14:textId="77777777" w:rsidR="008C1574" w:rsidRPr="008E63BB" w:rsidRDefault="008C1574" w:rsidP="008C1574">
      <w:pPr>
        <w:numPr>
          <w:ilvl w:val="0"/>
          <w:numId w:val="32"/>
        </w:numPr>
        <w:tabs>
          <w:tab w:val="clear" w:pos="720"/>
          <w:tab w:val="num" w:pos="540"/>
        </w:tabs>
        <w:ind w:left="0" w:firstLine="540"/>
        <w:rPr>
          <w:lang w:val="pt-BR"/>
        </w:rPr>
      </w:pPr>
      <w:r w:rsidRPr="008E63BB">
        <w:rPr>
          <w:lang w:val="vi-VN"/>
        </w:rPr>
        <w:t xml:space="preserve">Tạo một đại lộ ‘xanh </w:t>
      </w:r>
      <w:r w:rsidRPr="008E63BB">
        <w:rPr>
          <w:lang w:val="pt-BR"/>
        </w:rPr>
        <w:t xml:space="preserve">gắn với </w:t>
      </w:r>
      <w:r w:rsidRPr="008E63BB">
        <w:rPr>
          <w:lang w:val="vi-VN"/>
        </w:rPr>
        <w:t xml:space="preserve">phố thương mại chính cho Trung tâm </w:t>
      </w:r>
      <w:r w:rsidRPr="008E63BB">
        <w:rPr>
          <w:lang w:val="pt-BR"/>
        </w:rPr>
        <w:t>phía Tây</w:t>
      </w:r>
      <w:r w:rsidRPr="008E63BB">
        <w:rPr>
          <w:lang w:val="vi-VN"/>
        </w:rPr>
        <w:t xml:space="preserve">. </w:t>
      </w:r>
    </w:p>
    <w:p w14:paraId="519B37C0" w14:textId="77777777" w:rsidR="008C1574" w:rsidRPr="008E63BB" w:rsidRDefault="008C1574" w:rsidP="008C1574">
      <w:pPr>
        <w:numPr>
          <w:ilvl w:val="0"/>
          <w:numId w:val="32"/>
        </w:numPr>
        <w:tabs>
          <w:tab w:val="clear" w:pos="720"/>
          <w:tab w:val="num" w:pos="540"/>
        </w:tabs>
        <w:ind w:left="0" w:firstLine="540"/>
        <w:rPr>
          <w:lang w:val="pt-BR"/>
        </w:rPr>
      </w:pPr>
      <w:r w:rsidRPr="008E63BB">
        <w:rPr>
          <w:lang w:val="vi-VN"/>
        </w:rPr>
        <w:t>Phát triển thương mại</w:t>
      </w:r>
      <w:r w:rsidRPr="008E63BB">
        <w:t xml:space="preserve"> dịch vụ</w:t>
      </w:r>
      <w:r w:rsidRPr="008E63BB">
        <w:rPr>
          <w:lang w:val="vi-VN"/>
        </w:rPr>
        <w:t xml:space="preserve"> và dân cư với mật độ cao</w:t>
      </w:r>
      <w:r w:rsidR="00F852CE" w:rsidRPr="008E63BB">
        <w:t xml:space="preserve"> và trung bình</w:t>
      </w:r>
      <w:r w:rsidRPr="008E63BB">
        <w:rPr>
          <w:lang w:val="vi-VN"/>
        </w:rPr>
        <w:t xml:space="preserve">, đảm bảo khoảng lùi </w:t>
      </w:r>
      <w:r w:rsidRPr="008E63BB">
        <w:t xml:space="preserve">đối với các tuyến </w:t>
      </w:r>
      <w:r w:rsidRPr="008E63BB">
        <w:rPr>
          <w:lang w:val="vi-VN"/>
        </w:rPr>
        <w:t>phố, hình thành các trục thương mại sầm uất.</w:t>
      </w:r>
      <w:r w:rsidRPr="008E63BB">
        <w:rPr>
          <w:lang w:val="pt-BR"/>
        </w:rPr>
        <w:t xml:space="preserve"> </w:t>
      </w:r>
      <w:r w:rsidRPr="008E63BB">
        <w:t>P</w:t>
      </w:r>
      <w:r w:rsidRPr="008E63BB">
        <w:rPr>
          <w:lang w:val="vi-VN"/>
        </w:rPr>
        <w:t xml:space="preserve">hía sau </w:t>
      </w:r>
      <w:r w:rsidRPr="008E63BB">
        <w:t xml:space="preserve">các </w:t>
      </w:r>
      <w:r w:rsidRPr="008E63BB">
        <w:rPr>
          <w:lang w:val="pt-BR"/>
        </w:rPr>
        <w:t xml:space="preserve">trục </w:t>
      </w:r>
      <w:r w:rsidRPr="008E63BB">
        <w:rPr>
          <w:lang w:val="vi-VN"/>
        </w:rPr>
        <w:t>thương mại</w:t>
      </w:r>
      <w:r w:rsidRPr="008E63BB">
        <w:t xml:space="preserve"> có thể phát triển với mật độ thấp hơn</w:t>
      </w:r>
      <w:r w:rsidRPr="008E63BB">
        <w:rPr>
          <w:lang w:val="vi-VN"/>
        </w:rPr>
        <w:t xml:space="preserve">. </w:t>
      </w:r>
    </w:p>
    <w:p w14:paraId="519B37C1" w14:textId="77777777" w:rsidR="008C1574" w:rsidRPr="008E63BB" w:rsidRDefault="008C1574" w:rsidP="008C1574">
      <w:pPr>
        <w:numPr>
          <w:ilvl w:val="0"/>
          <w:numId w:val="32"/>
        </w:numPr>
        <w:tabs>
          <w:tab w:val="clear" w:pos="720"/>
          <w:tab w:val="num" w:pos="540"/>
        </w:tabs>
        <w:ind w:left="0" w:firstLine="540"/>
        <w:rPr>
          <w:lang w:val="vi-VN"/>
        </w:rPr>
      </w:pPr>
      <w:r w:rsidRPr="008E63BB">
        <w:rPr>
          <w:lang w:val="vi-VN"/>
        </w:rPr>
        <w:t>Khuyến khích tạo ra những hồ chứa nước và những khu vườn mưa trong bố trí cảnh quan để giữ nước và giảm rủi ro lũ lụt.</w:t>
      </w:r>
      <w:r w:rsidRPr="008E63BB">
        <w:t xml:space="preserve"> T</w:t>
      </w:r>
      <w:r w:rsidRPr="008E63BB">
        <w:rPr>
          <w:lang w:val="vi-VN"/>
        </w:rPr>
        <w:t>rồng cây để giảm thiểu hiệu ứng đảo nhiệt đô thị.</w:t>
      </w:r>
    </w:p>
    <w:p w14:paraId="519B37C2" w14:textId="77777777" w:rsidR="008C1574" w:rsidRPr="008E63BB" w:rsidRDefault="008C1574" w:rsidP="008C1574">
      <w:pPr>
        <w:numPr>
          <w:ilvl w:val="0"/>
          <w:numId w:val="32"/>
        </w:numPr>
        <w:tabs>
          <w:tab w:val="clear" w:pos="720"/>
          <w:tab w:val="num" w:pos="540"/>
        </w:tabs>
        <w:ind w:left="0" w:firstLine="540"/>
        <w:rPr>
          <w:lang w:val="vi-VN"/>
        </w:rPr>
      </w:pPr>
      <w:r w:rsidRPr="008E63BB">
        <w:t xml:space="preserve">Khuyến khích Thiết kế công trình </w:t>
      </w:r>
      <w:r w:rsidRPr="008E63BB">
        <w:rPr>
          <w:lang w:val="vi-VN"/>
        </w:rPr>
        <w:t xml:space="preserve">đảm bảo các hoạt động </w:t>
      </w:r>
      <w:r w:rsidRPr="008E63BB">
        <w:t xml:space="preserve">của </w:t>
      </w:r>
      <w:r w:rsidRPr="008E63BB">
        <w:rPr>
          <w:lang w:val="vi-VN"/>
        </w:rPr>
        <w:t xml:space="preserve">shopshouse và thương mại </w:t>
      </w:r>
      <w:r w:rsidRPr="008E63BB">
        <w:t xml:space="preserve">dịch vụ </w:t>
      </w:r>
      <w:r w:rsidRPr="008E63BB">
        <w:rPr>
          <w:lang w:val="vi-VN"/>
        </w:rPr>
        <w:t xml:space="preserve">được liên kết với </w:t>
      </w:r>
      <w:r w:rsidRPr="008E63BB">
        <w:t xml:space="preserve">không gian </w:t>
      </w:r>
      <w:r w:rsidRPr="008E63BB">
        <w:rPr>
          <w:lang w:val="vi-VN"/>
        </w:rPr>
        <w:t>đường phố ở tầng trệt.</w:t>
      </w:r>
      <w:r w:rsidRPr="008E63BB">
        <w:t xml:space="preserve"> </w:t>
      </w:r>
      <w:r w:rsidRPr="008E63BB">
        <w:rPr>
          <w:lang w:val="vi-VN"/>
        </w:rPr>
        <w:t xml:space="preserve">Xây dựng các công trình lùi về phía sau mặt phố để dành cho các không gian cảnh quan và vùng đệm. </w:t>
      </w:r>
    </w:p>
    <w:p w14:paraId="519B37C3" w14:textId="77777777" w:rsidR="008C1574" w:rsidRPr="008E63BB" w:rsidRDefault="008C1574" w:rsidP="008C1574">
      <w:pPr>
        <w:numPr>
          <w:ilvl w:val="0"/>
          <w:numId w:val="32"/>
        </w:numPr>
        <w:tabs>
          <w:tab w:val="clear" w:pos="720"/>
          <w:tab w:val="num" w:pos="540"/>
        </w:tabs>
        <w:spacing w:after="120"/>
        <w:ind w:left="0" w:firstLine="547"/>
        <w:rPr>
          <w:lang w:val="vi-VN"/>
        </w:rPr>
      </w:pPr>
      <w:r w:rsidRPr="008E63BB">
        <w:rPr>
          <w:lang w:val="vi-VN"/>
        </w:rPr>
        <w:t xml:space="preserve">Khuyến khích các kỹ thuật phát triển bền vững để giảm thiểu tiêu thụ năng lượng.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3"/>
        <w:gridCol w:w="4279"/>
      </w:tblGrid>
      <w:tr w:rsidR="008C1574" w:rsidRPr="008E63BB" w14:paraId="519B37C5" w14:textId="77777777" w:rsidTr="00225222">
        <w:tc>
          <w:tcPr>
            <w:tcW w:w="9502" w:type="dxa"/>
            <w:gridSpan w:val="2"/>
          </w:tcPr>
          <w:p w14:paraId="519B37C4" w14:textId="77777777" w:rsidR="008C1574" w:rsidRPr="008E63BB" w:rsidRDefault="008C1574" w:rsidP="008C1574">
            <w:pPr>
              <w:jc w:val="center"/>
              <w:rPr>
                <w:lang w:val="pt-BR"/>
              </w:rPr>
            </w:pPr>
            <w:r w:rsidRPr="008E63BB">
              <w:rPr>
                <w:noProof/>
                <w:lang w:eastAsia="zh-CN"/>
              </w:rPr>
              <w:drawing>
                <wp:inline distT="0" distB="0" distL="0" distR="0" wp14:anchorId="519B5263" wp14:editId="519B5264">
                  <wp:extent cx="5076825" cy="2177580"/>
                  <wp:effectExtent l="0" t="0" r="0" b="0"/>
                  <wp:docPr id="65" name="Picture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7D306CD-4663-4612-AE96-4ACFF3DDE5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7D306CD-4663-4612-AE96-4ACFF3DDE5A2}"/>
                              </a:ext>
                            </a:extLst>
                          </pic:cNvPr>
                          <pic:cNvPicPr>
                            <a:picLocks noChangeAspect="1"/>
                          </pic:cNvPicPr>
                        </pic:nvPicPr>
                        <pic:blipFill rotWithShape="1">
                          <a:blip r:embed="rId114" cstate="screen">
                            <a:extLst>
                              <a:ext uri="{28A0092B-C50C-407E-A947-70E740481C1C}">
                                <a14:useLocalDpi xmlns:a14="http://schemas.microsoft.com/office/drawing/2010/main"/>
                              </a:ext>
                            </a:extLst>
                          </a:blip>
                          <a:srcRect/>
                          <a:stretch/>
                        </pic:blipFill>
                        <pic:spPr>
                          <a:xfrm>
                            <a:off x="0" y="0"/>
                            <a:ext cx="5101864" cy="2188320"/>
                          </a:xfrm>
                          <a:prstGeom prst="rect">
                            <a:avLst/>
                          </a:prstGeom>
                        </pic:spPr>
                      </pic:pic>
                    </a:graphicData>
                  </a:graphic>
                </wp:inline>
              </w:drawing>
            </w:r>
          </w:p>
        </w:tc>
      </w:tr>
      <w:tr w:rsidR="008C1574" w:rsidRPr="008E63BB" w14:paraId="519B37C8" w14:textId="77777777" w:rsidTr="00225222">
        <w:tc>
          <w:tcPr>
            <w:tcW w:w="5223" w:type="dxa"/>
          </w:tcPr>
          <w:p w14:paraId="519B37C6" w14:textId="77777777" w:rsidR="008C1574" w:rsidRPr="008E63BB" w:rsidRDefault="008C1574" w:rsidP="00225222">
            <w:r w:rsidRPr="008E63BB">
              <w:rPr>
                <w:noProof/>
                <w:lang w:eastAsia="zh-CN"/>
              </w:rPr>
              <w:drawing>
                <wp:inline distT="0" distB="0" distL="0" distR="0" wp14:anchorId="519B5265" wp14:editId="519B5266">
                  <wp:extent cx="3451733" cy="2070735"/>
                  <wp:effectExtent l="0" t="0" r="0" b="5715"/>
                  <wp:docPr id="7175" name="Picture 4" descr="Related image">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48D1F60-8C85-4CD8-8483-9661F37AB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Related image">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648D1F60-8C85-4CD8-8483-9661F37AB10F}"/>
                              </a:ext>
                            </a:extLst>
                          </pic:cNvPr>
                          <pic:cNvPicPr>
                            <a:picLocks noChangeAspect="1" noChangeArrowheads="1"/>
                          </pic:cNvPicPr>
                        </pic:nvPicPr>
                        <pic:blipFill rotWithShape="1">
                          <a:blip r:embed="rId115" cstate="print">
                            <a:extLst>
                              <a:ext uri="{28A0092B-C50C-407E-A947-70E740481C1C}">
                                <a14:useLocalDpi xmlns:a14="http://schemas.microsoft.com/office/drawing/2010/main"/>
                              </a:ext>
                            </a:extLst>
                          </a:blip>
                          <a:srcRect l="-169"/>
                          <a:stretch/>
                        </pic:blipFill>
                        <pic:spPr bwMode="auto">
                          <a:xfrm>
                            <a:off x="0" y="0"/>
                            <a:ext cx="3479487" cy="2087385"/>
                          </a:xfrm>
                          <a:prstGeom prst="rect">
                            <a:avLst/>
                          </a:prstGeom>
                          <a:noFill/>
                        </pic:spPr>
                      </pic:pic>
                    </a:graphicData>
                  </a:graphic>
                </wp:inline>
              </w:drawing>
            </w:r>
          </w:p>
        </w:tc>
        <w:tc>
          <w:tcPr>
            <w:tcW w:w="4279" w:type="dxa"/>
          </w:tcPr>
          <w:p w14:paraId="519B37C7" w14:textId="77777777" w:rsidR="008C1574" w:rsidRPr="008E63BB" w:rsidRDefault="008C1574" w:rsidP="00225222">
            <w:r w:rsidRPr="008E63BB">
              <w:rPr>
                <w:noProof/>
                <w:lang w:eastAsia="zh-CN"/>
              </w:rPr>
              <w:drawing>
                <wp:inline distT="0" distB="0" distL="0" distR="0" wp14:anchorId="519B5267" wp14:editId="519B5268">
                  <wp:extent cx="2796363" cy="2070776"/>
                  <wp:effectExtent l="0" t="0" r="4445" b="5715"/>
                  <wp:docPr id="7183" name="Picture 6" descr="Image result for bugis">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E8B2739-93D2-441B-B17A-D6B7FB271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Image result for bugis">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0E8B2739-93D2-441B-B17A-D6B7FB271D0A}"/>
                              </a:ext>
                            </a:extLst>
                          </pic:cNvPr>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a:stretch/>
                        </pic:blipFill>
                        <pic:spPr bwMode="auto">
                          <a:xfrm>
                            <a:off x="0" y="0"/>
                            <a:ext cx="2808143" cy="2079499"/>
                          </a:xfrm>
                          <a:prstGeom prst="rect">
                            <a:avLst/>
                          </a:prstGeom>
                          <a:noFill/>
                        </pic:spPr>
                      </pic:pic>
                    </a:graphicData>
                  </a:graphic>
                </wp:inline>
              </w:drawing>
            </w:r>
          </w:p>
        </w:tc>
      </w:tr>
      <w:tr w:rsidR="008C1574" w:rsidRPr="008E63BB" w14:paraId="519B37CA" w14:textId="77777777" w:rsidTr="00225222">
        <w:tc>
          <w:tcPr>
            <w:tcW w:w="9502" w:type="dxa"/>
            <w:gridSpan w:val="2"/>
          </w:tcPr>
          <w:p w14:paraId="519B37C9" w14:textId="77777777" w:rsidR="008C1574" w:rsidRPr="008E63BB" w:rsidRDefault="008C1574" w:rsidP="008C1574">
            <w:pPr>
              <w:jc w:val="center"/>
            </w:pPr>
            <w:r w:rsidRPr="008E63BB">
              <w:rPr>
                <w:noProof/>
                <w:lang w:eastAsia="zh-CN"/>
              </w:rPr>
              <w:lastRenderedPageBreak/>
              <w:drawing>
                <wp:inline distT="0" distB="0" distL="0" distR="0" wp14:anchorId="519B5269" wp14:editId="519B526A">
                  <wp:extent cx="5562600" cy="2231989"/>
                  <wp:effectExtent l="0" t="0" r="0" b="0"/>
                  <wp:docPr id="75" name="Picture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7D306CD-4663-4612-AE96-4ACFF3DDE5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77D306CD-4663-4612-AE96-4ACFF3DDE5A2}"/>
                              </a:ext>
                            </a:extLst>
                          </pic:cNvPr>
                          <pic:cNvPicPr>
                            <a:picLocks noChangeAspect="1"/>
                          </pic:cNvPicPr>
                        </pic:nvPicPr>
                        <pic:blipFill rotWithShape="1">
                          <a:blip r:embed="rId117" cstate="screen">
                            <a:extLst>
                              <a:ext uri="{28A0092B-C50C-407E-A947-70E740481C1C}">
                                <a14:useLocalDpi xmlns:a14="http://schemas.microsoft.com/office/drawing/2010/main"/>
                              </a:ext>
                            </a:extLst>
                          </a:blip>
                          <a:srcRect/>
                          <a:stretch/>
                        </pic:blipFill>
                        <pic:spPr>
                          <a:xfrm>
                            <a:off x="0" y="0"/>
                            <a:ext cx="5568503" cy="2234358"/>
                          </a:xfrm>
                          <a:prstGeom prst="rect">
                            <a:avLst/>
                          </a:prstGeom>
                        </pic:spPr>
                      </pic:pic>
                    </a:graphicData>
                  </a:graphic>
                </wp:inline>
              </w:drawing>
            </w:r>
          </w:p>
        </w:tc>
      </w:tr>
      <w:tr w:rsidR="008C1574" w:rsidRPr="008E63BB" w14:paraId="519B37CD" w14:textId="77777777" w:rsidTr="00225222">
        <w:tc>
          <w:tcPr>
            <w:tcW w:w="5223" w:type="dxa"/>
          </w:tcPr>
          <w:p w14:paraId="519B37CB" w14:textId="77777777" w:rsidR="008C1574" w:rsidRPr="008E63BB" w:rsidRDefault="008C1574" w:rsidP="00225222">
            <w:r w:rsidRPr="008E63BB">
              <w:rPr>
                <w:noProof/>
                <w:lang w:eastAsia="zh-CN"/>
              </w:rPr>
              <w:drawing>
                <wp:inline distT="0" distB="0" distL="0" distR="0" wp14:anchorId="519B526B" wp14:editId="519B526C">
                  <wp:extent cx="3168503" cy="1852735"/>
                  <wp:effectExtent l="0" t="0" r="0" b="0"/>
                  <wp:docPr id="7188" name="Picture 8" descr="Image result for parkville precinct">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D09361A-14DF-4594-8E59-417E76AACC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8" descr="Image result for parkville precinct">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CD09361A-14DF-4594-8E59-417E76AACC8E}"/>
                              </a:ext>
                            </a:extLst>
                          </pic:cNvPr>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b="-2"/>
                          <a:stretch/>
                        </pic:blipFill>
                        <pic:spPr bwMode="auto">
                          <a:xfrm>
                            <a:off x="0" y="0"/>
                            <a:ext cx="3197254" cy="1869547"/>
                          </a:xfrm>
                          <a:prstGeom prst="rect">
                            <a:avLst/>
                          </a:prstGeom>
                          <a:noFill/>
                        </pic:spPr>
                      </pic:pic>
                    </a:graphicData>
                  </a:graphic>
                </wp:inline>
              </w:drawing>
            </w:r>
          </w:p>
        </w:tc>
        <w:tc>
          <w:tcPr>
            <w:tcW w:w="4279" w:type="dxa"/>
          </w:tcPr>
          <w:p w14:paraId="519B37CC" w14:textId="77777777" w:rsidR="008C1574" w:rsidRPr="008E63BB" w:rsidRDefault="008C1574" w:rsidP="00225222">
            <w:r w:rsidRPr="008E63BB">
              <w:rPr>
                <w:noProof/>
                <w:lang w:eastAsia="zh-CN"/>
              </w:rPr>
              <w:drawing>
                <wp:inline distT="0" distB="0" distL="0" distR="0" wp14:anchorId="519B526D" wp14:editId="519B526E">
                  <wp:extent cx="2636225" cy="1792791"/>
                  <wp:effectExtent l="0" t="0" r="0" b="0"/>
                  <wp:docPr id="7191" name="Picture 8" descr="Related image">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172B27A-B7EA-4A63-B4A6-D1936F1AD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Related image">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1172B27A-B7EA-4A63-B4A6-D1936F1ADE86}"/>
                              </a:ext>
                            </a:extLst>
                          </pic:cNvPr>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a:stretch/>
                        </pic:blipFill>
                        <pic:spPr bwMode="auto">
                          <a:xfrm>
                            <a:off x="0" y="0"/>
                            <a:ext cx="2651582" cy="1803235"/>
                          </a:xfrm>
                          <a:prstGeom prst="rect">
                            <a:avLst/>
                          </a:prstGeom>
                          <a:noFill/>
                        </pic:spPr>
                      </pic:pic>
                    </a:graphicData>
                  </a:graphic>
                </wp:inline>
              </w:drawing>
            </w:r>
          </w:p>
        </w:tc>
      </w:tr>
    </w:tbl>
    <w:p w14:paraId="519B37CE" w14:textId="77777777" w:rsidR="008C1574" w:rsidRPr="008E63BB" w:rsidRDefault="008C1574" w:rsidP="008C1574">
      <w:pPr>
        <w:rPr>
          <w:i/>
          <w:lang w:val="pt-BR"/>
        </w:rPr>
      </w:pPr>
      <w:r w:rsidRPr="008E63BB">
        <w:rPr>
          <w:i/>
          <w:lang w:val="pt-BR"/>
        </w:rPr>
        <w:t xml:space="preserve">* Khu </w:t>
      </w:r>
      <w:r w:rsidR="003E2CD9" w:rsidRPr="008E63BB">
        <w:rPr>
          <w:i/>
          <w:lang w:val="pt-BR"/>
        </w:rPr>
        <w:t xml:space="preserve">vực </w:t>
      </w:r>
      <w:r w:rsidRPr="008E63BB">
        <w:rPr>
          <w:i/>
          <w:lang w:val="pt-BR"/>
        </w:rPr>
        <w:t>đô thị mới</w:t>
      </w:r>
      <w:r w:rsidR="003E2CD9" w:rsidRPr="008E63BB">
        <w:rPr>
          <w:i/>
          <w:lang w:val="pt-BR"/>
        </w:rPr>
        <w:t xml:space="preserve"> phía</w:t>
      </w:r>
      <w:r w:rsidRPr="008E63BB">
        <w:rPr>
          <w:i/>
          <w:lang w:val="pt-BR"/>
        </w:rPr>
        <w:t xml:space="preserve"> Nam:</w:t>
      </w:r>
    </w:p>
    <w:p w14:paraId="519B37CF" w14:textId="77777777" w:rsidR="008C1574" w:rsidRPr="008E63BB" w:rsidRDefault="008C1574" w:rsidP="008C1574">
      <w:pPr>
        <w:numPr>
          <w:ilvl w:val="0"/>
          <w:numId w:val="33"/>
        </w:numPr>
        <w:tabs>
          <w:tab w:val="clear" w:pos="720"/>
          <w:tab w:val="num" w:pos="360"/>
        </w:tabs>
        <w:ind w:left="0" w:firstLine="540"/>
        <w:rPr>
          <w:lang w:val="pt-BR"/>
        </w:rPr>
      </w:pPr>
      <w:r w:rsidRPr="008E63BB">
        <w:rPr>
          <w:iCs/>
          <w:lang w:val="pt-BR"/>
        </w:rPr>
        <w:t>Hình thành các trục đại lộ xanh – tuyến phố thương mại chính tại khu vực trung tâm đô thị</w:t>
      </w:r>
    </w:p>
    <w:p w14:paraId="519B37D0" w14:textId="77777777" w:rsidR="008C1574" w:rsidRPr="008E63BB" w:rsidRDefault="008C1574" w:rsidP="008C1574">
      <w:pPr>
        <w:numPr>
          <w:ilvl w:val="0"/>
          <w:numId w:val="33"/>
        </w:numPr>
        <w:tabs>
          <w:tab w:val="clear" w:pos="720"/>
          <w:tab w:val="num" w:pos="360"/>
        </w:tabs>
        <w:ind w:left="0" w:firstLine="540"/>
        <w:rPr>
          <w:lang w:val="pt-BR"/>
        </w:rPr>
      </w:pPr>
      <w:r w:rsidRPr="008E63BB">
        <w:rPr>
          <w:iCs/>
          <w:lang w:val="pt-BR"/>
        </w:rPr>
        <w:t>Phía sau các trục chính trung tâm thương mại: phát triển thấp tầng và tầng cao trung bình</w:t>
      </w:r>
    </w:p>
    <w:p w14:paraId="519B37D1" w14:textId="77777777" w:rsidR="008C1574" w:rsidRPr="008E63BB" w:rsidRDefault="008C1574" w:rsidP="008C1574">
      <w:pPr>
        <w:numPr>
          <w:ilvl w:val="0"/>
          <w:numId w:val="33"/>
        </w:numPr>
        <w:tabs>
          <w:tab w:val="clear" w:pos="720"/>
          <w:tab w:val="num" w:pos="360"/>
        </w:tabs>
        <w:ind w:left="0" w:firstLine="540"/>
        <w:rPr>
          <w:lang w:val="pt-BR"/>
        </w:rPr>
      </w:pPr>
      <w:r w:rsidRPr="008E63BB">
        <w:rPr>
          <w:iCs/>
          <w:lang w:val="pt-BR"/>
        </w:rPr>
        <w:t>Công trình dịch vụ thương mạ</w:t>
      </w:r>
      <w:r w:rsidR="003E2CD9" w:rsidRPr="008E63BB">
        <w:rPr>
          <w:iCs/>
          <w:lang w:val="pt-BR"/>
        </w:rPr>
        <w:t>i dịch vụ</w:t>
      </w:r>
      <w:r w:rsidRPr="008E63BB">
        <w:rPr>
          <w:iCs/>
          <w:lang w:val="pt-BR"/>
        </w:rPr>
        <w:t xml:space="preserve"> cần có thiết kế hướng ra mặt phố, liên kết với không gian phố ở tầng trệt </w:t>
      </w:r>
    </w:p>
    <w:p w14:paraId="519B37D2" w14:textId="77777777" w:rsidR="008C1574" w:rsidRPr="008E63BB" w:rsidRDefault="008C1574" w:rsidP="008C1574">
      <w:pPr>
        <w:numPr>
          <w:ilvl w:val="0"/>
          <w:numId w:val="33"/>
        </w:numPr>
        <w:tabs>
          <w:tab w:val="clear" w:pos="720"/>
          <w:tab w:val="num" w:pos="360"/>
        </w:tabs>
        <w:ind w:left="0" w:firstLine="540"/>
        <w:rPr>
          <w:lang w:val="pt-BR"/>
        </w:rPr>
      </w:pPr>
      <w:r w:rsidRPr="008E63BB">
        <w:rPr>
          <w:iCs/>
          <w:lang w:val="pt-BR"/>
        </w:rPr>
        <w:t>Cảnh quan tự nhiên, hệ thống kênh mương dẫn nước và các không gian mở sẽ là đặc điểm chính của khu vực này.</w:t>
      </w:r>
    </w:p>
    <w:p w14:paraId="519B37D3" w14:textId="77777777" w:rsidR="008C1574" w:rsidRPr="008E63BB" w:rsidRDefault="008C1574" w:rsidP="008C1574">
      <w:pPr>
        <w:numPr>
          <w:ilvl w:val="0"/>
          <w:numId w:val="33"/>
        </w:numPr>
        <w:tabs>
          <w:tab w:val="clear" w:pos="720"/>
          <w:tab w:val="num" w:pos="360"/>
        </w:tabs>
        <w:ind w:left="0" w:firstLine="540"/>
        <w:rPr>
          <w:iCs/>
          <w:lang w:val="pt-BR"/>
        </w:rPr>
      </w:pPr>
      <w:r w:rsidRPr="008E63BB">
        <w:rPr>
          <w:iCs/>
          <w:lang w:val="pt-BR"/>
        </w:rPr>
        <w:t>Khuyến khích trồng cây xanh để giảm hiệu ứng đảo nhiệt đô thị.</w:t>
      </w:r>
    </w:p>
    <w:p w14:paraId="519B37D4" w14:textId="77777777" w:rsidR="008C1574" w:rsidRPr="008E63BB" w:rsidRDefault="008C1574" w:rsidP="008C1574">
      <w:pPr>
        <w:numPr>
          <w:ilvl w:val="0"/>
          <w:numId w:val="33"/>
        </w:numPr>
        <w:tabs>
          <w:tab w:val="clear" w:pos="720"/>
          <w:tab w:val="num" w:pos="360"/>
        </w:tabs>
        <w:ind w:left="0" w:firstLine="540"/>
        <w:rPr>
          <w:iCs/>
          <w:lang w:val="pt-BR"/>
        </w:rPr>
      </w:pPr>
      <w:r w:rsidRPr="008E63BB">
        <w:rPr>
          <w:iCs/>
          <w:lang w:val="pt-BR"/>
        </w:rPr>
        <w:t>Khuyến khích xây dựng công trình sử dụng công nghệ mới để giảm tiểu thụ năng lượng</w:t>
      </w:r>
    </w:p>
    <w:p w14:paraId="519B37D5" w14:textId="77777777" w:rsidR="008C1574" w:rsidRPr="008E63BB" w:rsidRDefault="008C1574" w:rsidP="008C1574">
      <w:pPr>
        <w:numPr>
          <w:ilvl w:val="0"/>
          <w:numId w:val="33"/>
        </w:numPr>
        <w:tabs>
          <w:tab w:val="clear" w:pos="720"/>
          <w:tab w:val="num" w:pos="360"/>
        </w:tabs>
        <w:ind w:left="0" w:firstLine="540"/>
        <w:rPr>
          <w:iCs/>
          <w:lang w:val="pt-BR"/>
        </w:rPr>
      </w:pPr>
      <w:r w:rsidRPr="008E63BB">
        <w:rPr>
          <w:iCs/>
          <w:lang w:val="pt-BR"/>
        </w:rPr>
        <w:t>Khu vực ven sông, ven kênh mương dẫn nước và các khu không gian mở: phát triển tầng cao trung bình</w:t>
      </w:r>
    </w:p>
    <w:p w14:paraId="519B37D6" w14:textId="77777777" w:rsidR="008C1574" w:rsidRPr="008E63BB" w:rsidRDefault="008C1574" w:rsidP="008C1574">
      <w:pPr>
        <w:numPr>
          <w:ilvl w:val="0"/>
          <w:numId w:val="33"/>
        </w:numPr>
        <w:tabs>
          <w:tab w:val="clear" w:pos="720"/>
          <w:tab w:val="num" w:pos="360"/>
        </w:tabs>
        <w:spacing w:after="120"/>
        <w:ind w:left="0" w:firstLine="547"/>
        <w:rPr>
          <w:iCs/>
          <w:lang w:val="pt-BR"/>
        </w:rPr>
      </w:pPr>
      <w:r w:rsidRPr="008E63BB">
        <w:rPr>
          <w:iCs/>
          <w:lang w:val="pt-BR"/>
        </w:rPr>
        <w:t>Khuyến khích hình thành các hồ chứa nước, giữ lại các vùng đất ngập nước tại các khu không gian mở để đảm bảo vấn đề thoát nước.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7"/>
        <w:gridCol w:w="4755"/>
      </w:tblGrid>
      <w:tr w:rsidR="008C1574" w:rsidRPr="008E63BB" w14:paraId="519B37D8" w14:textId="77777777" w:rsidTr="00225222">
        <w:tc>
          <w:tcPr>
            <w:tcW w:w="9502" w:type="dxa"/>
            <w:gridSpan w:val="2"/>
          </w:tcPr>
          <w:p w14:paraId="519B37D7" w14:textId="77777777" w:rsidR="008C1574" w:rsidRPr="008E63BB" w:rsidRDefault="008C1574" w:rsidP="00225222">
            <w:pPr>
              <w:jc w:val="center"/>
            </w:pPr>
            <w:r w:rsidRPr="008E63BB">
              <w:rPr>
                <w:noProof/>
                <w:lang w:eastAsia="zh-CN"/>
              </w:rPr>
              <w:lastRenderedPageBreak/>
              <w:drawing>
                <wp:inline distT="0" distB="0" distL="0" distR="0" wp14:anchorId="519B526F" wp14:editId="519B5270">
                  <wp:extent cx="4424555" cy="2009775"/>
                  <wp:effectExtent l="0" t="0" r="0" b="0"/>
                  <wp:docPr id="104" name="Picture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51E9070-69A1-4663-A956-4D1F94046B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51E9070-69A1-4663-A956-4D1F94046B9C}"/>
                              </a:ext>
                            </a:extLst>
                          </pic:cNvPr>
                          <pic:cNvPicPr>
                            <a:picLocks noChangeAspect="1"/>
                          </pic:cNvPicPr>
                        </pic:nvPicPr>
                        <pic:blipFill rotWithShape="1">
                          <a:blip r:embed="rId120" cstate="screen">
                            <a:extLst>
                              <a:ext uri="{28A0092B-C50C-407E-A947-70E740481C1C}">
                                <a14:useLocalDpi xmlns:a14="http://schemas.microsoft.com/office/drawing/2010/main"/>
                              </a:ext>
                            </a:extLst>
                          </a:blip>
                          <a:srcRect/>
                          <a:stretch/>
                        </pic:blipFill>
                        <pic:spPr>
                          <a:xfrm>
                            <a:off x="0" y="0"/>
                            <a:ext cx="4450555" cy="2021585"/>
                          </a:xfrm>
                          <a:prstGeom prst="rect">
                            <a:avLst/>
                          </a:prstGeom>
                        </pic:spPr>
                      </pic:pic>
                    </a:graphicData>
                  </a:graphic>
                </wp:inline>
              </w:drawing>
            </w:r>
          </w:p>
        </w:tc>
      </w:tr>
      <w:tr w:rsidR="008C1574" w:rsidRPr="008E63BB" w14:paraId="519B37DA" w14:textId="77777777" w:rsidTr="00225222">
        <w:tc>
          <w:tcPr>
            <w:tcW w:w="9502" w:type="dxa"/>
            <w:gridSpan w:val="2"/>
          </w:tcPr>
          <w:p w14:paraId="519B37D9" w14:textId="77777777" w:rsidR="008C1574" w:rsidRPr="008E63BB" w:rsidRDefault="008C1574" w:rsidP="00225222">
            <w:r w:rsidRPr="008E63BB">
              <w:rPr>
                <w:noProof/>
                <w:lang w:eastAsia="zh-CN"/>
              </w:rPr>
              <w:drawing>
                <wp:inline distT="0" distB="0" distL="0" distR="0" wp14:anchorId="519B5271" wp14:editId="519B5272">
                  <wp:extent cx="5896610" cy="1781175"/>
                  <wp:effectExtent l="0" t="0" r="8890" b="9525"/>
                  <wp:docPr id="107" name="Picture 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51E9070-69A1-4663-A956-4D1F94046B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B51E9070-69A1-4663-A956-4D1F94046B9C}"/>
                              </a:ext>
                            </a:extLst>
                          </pic:cNvPr>
                          <pic:cNvPicPr>
                            <a:picLocks noChangeAspect="1"/>
                          </pic:cNvPicPr>
                        </pic:nvPicPr>
                        <pic:blipFill rotWithShape="1">
                          <a:blip r:embed="rId121" cstate="screen">
                            <a:extLst>
                              <a:ext uri="{28A0092B-C50C-407E-A947-70E740481C1C}">
                                <a14:useLocalDpi xmlns:a14="http://schemas.microsoft.com/office/drawing/2010/main"/>
                              </a:ext>
                            </a:extLst>
                          </a:blip>
                          <a:srcRect/>
                          <a:stretch/>
                        </pic:blipFill>
                        <pic:spPr>
                          <a:xfrm>
                            <a:off x="0" y="0"/>
                            <a:ext cx="5896610" cy="1781175"/>
                          </a:xfrm>
                          <a:prstGeom prst="rect">
                            <a:avLst/>
                          </a:prstGeom>
                        </pic:spPr>
                      </pic:pic>
                    </a:graphicData>
                  </a:graphic>
                </wp:inline>
              </w:drawing>
            </w:r>
          </w:p>
        </w:tc>
      </w:tr>
      <w:tr w:rsidR="008C1574" w:rsidRPr="008E63BB" w14:paraId="519B37DD" w14:textId="77777777" w:rsidTr="00225222">
        <w:tc>
          <w:tcPr>
            <w:tcW w:w="4747" w:type="dxa"/>
          </w:tcPr>
          <w:p w14:paraId="519B37DB" w14:textId="77777777" w:rsidR="008C1574" w:rsidRPr="008E63BB" w:rsidRDefault="008C1574" w:rsidP="00225222">
            <w:r w:rsidRPr="008E63BB">
              <w:rPr>
                <w:noProof/>
                <w:lang w:eastAsia="zh-CN"/>
              </w:rPr>
              <w:drawing>
                <wp:inline distT="0" distB="0" distL="0" distR="0" wp14:anchorId="519B5273" wp14:editId="519B5274">
                  <wp:extent cx="3258212" cy="1482090"/>
                  <wp:effectExtent l="0" t="0" r="0" b="3810"/>
                  <wp:docPr id="7192" name="Picture 1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74049B9-E326-4C13-9C68-BF774624D4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F74049B9-E326-4C13-9C68-BF774624D41E}"/>
                              </a:ext>
                            </a:extLst>
                          </pic:cNvPr>
                          <pic:cNvPicPr>
                            <a:picLocks noChangeAspect="1"/>
                          </pic:cNvPicPr>
                        </pic:nvPicPr>
                        <pic:blipFill rotWithShape="1">
                          <a:blip r:embed="rId122" cstate="screen">
                            <a:extLst>
                              <a:ext uri="{28A0092B-C50C-407E-A947-70E740481C1C}">
                                <a14:useLocalDpi xmlns:a14="http://schemas.microsoft.com/office/drawing/2010/main"/>
                              </a:ext>
                            </a:extLst>
                          </a:blip>
                          <a:srcRect/>
                          <a:stretch/>
                        </pic:blipFill>
                        <pic:spPr>
                          <a:xfrm>
                            <a:off x="0" y="0"/>
                            <a:ext cx="3285767" cy="1494624"/>
                          </a:xfrm>
                          <a:prstGeom prst="rect">
                            <a:avLst/>
                          </a:prstGeom>
                        </pic:spPr>
                      </pic:pic>
                    </a:graphicData>
                  </a:graphic>
                </wp:inline>
              </w:drawing>
            </w:r>
          </w:p>
        </w:tc>
        <w:tc>
          <w:tcPr>
            <w:tcW w:w="4755" w:type="dxa"/>
          </w:tcPr>
          <w:p w14:paraId="519B37DC" w14:textId="77777777" w:rsidR="008C1574" w:rsidRPr="008E63BB" w:rsidRDefault="008C1574" w:rsidP="00225222">
            <w:r w:rsidRPr="008E63BB">
              <w:rPr>
                <w:noProof/>
                <w:lang w:eastAsia="zh-CN"/>
              </w:rPr>
              <w:drawing>
                <wp:inline distT="0" distB="0" distL="0" distR="0" wp14:anchorId="519B5275" wp14:editId="519B5276">
                  <wp:extent cx="3264196" cy="1482351"/>
                  <wp:effectExtent l="0" t="0" r="0" b="3810"/>
                  <wp:docPr id="7194" name="Picture 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ED6F8C2-55D1-47D5-AD1D-B135B7C336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5ED6F8C2-55D1-47D5-AD1D-B135B7C336DA}"/>
                              </a:ext>
                            </a:extLst>
                          </pic:cNvPr>
                          <pic:cNvPicPr>
                            <a:picLocks noChangeAspect="1"/>
                          </pic:cNvPicPr>
                        </pic:nvPicPr>
                        <pic:blipFill rotWithShape="1">
                          <a:blip r:embed="rId123" cstate="screen">
                            <a:extLst>
                              <a:ext uri="{28A0092B-C50C-407E-A947-70E740481C1C}">
                                <a14:useLocalDpi xmlns:a14="http://schemas.microsoft.com/office/drawing/2010/main"/>
                              </a:ext>
                            </a:extLst>
                          </a:blip>
                          <a:srcRect/>
                          <a:stretch/>
                        </pic:blipFill>
                        <pic:spPr>
                          <a:xfrm>
                            <a:off x="0" y="0"/>
                            <a:ext cx="3297202" cy="1497340"/>
                          </a:xfrm>
                          <a:prstGeom prst="rect">
                            <a:avLst/>
                          </a:prstGeom>
                        </pic:spPr>
                      </pic:pic>
                    </a:graphicData>
                  </a:graphic>
                </wp:inline>
              </w:drawing>
            </w:r>
          </w:p>
        </w:tc>
      </w:tr>
    </w:tbl>
    <w:p w14:paraId="519B37DE" w14:textId="77777777" w:rsidR="00A2594B" w:rsidRPr="008E63BB" w:rsidRDefault="00A2594B" w:rsidP="00E5077C">
      <w:pPr>
        <w:spacing w:before="120"/>
        <w:rPr>
          <w:i/>
          <w:lang w:val="pt-BR"/>
        </w:rPr>
      </w:pPr>
      <w:r w:rsidRPr="008E63BB">
        <w:rPr>
          <w:i/>
          <w:lang w:val="pt-BR"/>
        </w:rPr>
        <w:t xml:space="preserve">* Khu trung tâm hành chính: </w:t>
      </w:r>
    </w:p>
    <w:p w14:paraId="519B37DF" w14:textId="77777777" w:rsidR="00A2594B" w:rsidRPr="008E63BB" w:rsidRDefault="00A2594B" w:rsidP="00E5077C">
      <w:pPr>
        <w:numPr>
          <w:ilvl w:val="0"/>
          <w:numId w:val="31"/>
        </w:numPr>
        <w:tabs>
          <w:tab w:val="clear" w:pos="720"/>
          <w:tab w:val="num" w:pos="540"/>
        </w:tabs>
        <w:ind w:left="0" w:firstLine="547"/>
        <w:rPr>
          <w:rFonts w:eastAsia="Arial"/>
          <w:lang w:val="pt-BR"/>
        </w:rPr>
      </w:pPr>
      <w:r w:rsidRPr="008E63BB">
        <w:rPr>
          <w:rFonts w:eastAsia="Arial"/>
          <w:lang w:val="pt-BR"/>
        </w:rPr>
        <w:t>Hình thành không gian trang trọng, nghiêm túc, yên tĩnh và quảng trường có thể hội tụ đông người tại khu trung tâm hành chính thành phố tại vị trí mơí tại khu đô thị Thống Nhất, quy mô khoảng 1,1ha trên trục đương Võ Nguyên Giáp. Tạo đặc trưng nổi bật về không gian kiến trúc gắn kết tầm nhìn giữa khu trung tâm với các khu chức năng liền kề khác trong đô thị tạo nên trục không gian liên hoàn cho khu vực trung tâm mới thành phố.</w:t>
      </w:r>
    </w:p>
    <w:p w14:paraId="519B37E0" w14:textId="77777777" w:rsidR="00A2594B" w:rsidRPr="008E63BB" w:rsidRDefault="00A2594B" w:rsidP="00E5077C">
      <w:pPr>
        <w:numPr>
          <w:ilvl w:val="0"/>
          <w:numId w:val="31"/>
        </w:numPr>
        <w:tabs>
          <w:tab w:val="clear" w:pos="720"/>
          <w:tab w:val="num" w:pos="540"/>
        </w:tabs>
        <w:ind w:left="0" w:firstLine="547"/>
        <w:rPr>
          <w:rFonts w:eastAsia="Arial"/>
          <w:lang w:val="pt-BR"/>
        </w:rPr>
      </w:pPr>
      <w:r w:rsidRPr="008E63BB">
        <w:rPr>
          <w:rFonts w:eastAsia="Arial"/>
          <w:lang w:val="pt-BR"/>
        </w:rPr>
        <w:t>Khuyến khích hợp khối liên cơ quan để có được những công trình lớn tương xứng với bộ mặt đô thị. Hạn chế không xây dựng các công trình thấp tầng từ 1-2 tầng, xây dựng manh mún không hợp khối kiến trúc.</w:t>
      </w:r>
    </w:p>
    <w:p w14:paraId="519B37E1" w14:textId="77777777" w:rsidR="00A2594B" w:rsidRPr="008E63BB" w:rsidRDefault="00A2594B" w:rsidP="00E5077C">
      <w:pPr>
        <w:numPr>
          <w:ilvl w:val="0"/>
          <w:numId w:val="31"/>
        </w:numPr>
        <w:tabs>
          <w:tab w:val="clear" w:pos="720"/>
          <w:tab w:val="num" w:pos="540"/>
        </w:tabs>
        <w:ind w:left="0" w:firstLine="547"/>
        <w:rPr>
          <w:rFonts w:eastAsia="Arial"/>
          <w:lang w:val="pt-BR"/>
        </w:rPr>
      </w:pPr>
      <w:r w:rsidRPr="008E63BB">
        <w:rPr>
          <w:rFonts w:eastAsia="Arial"/>
          <w:lang w:val="pt-BR"/>
        </w:rPr>
        <w:t xml:space="preserve">Tạo không gian rỗng thoáng bên trong các tòa nhà công cộng. </w:t>
      </w:r>
    </w:p>
    <w:p w14:paraId="519B37E2" w14:textId="77777777" w:rsidR="00A2594B" w:rsidRPr="008E63BB" w:rsidRDefault="00A2594B" w:rsidP="00E5077C">
      <w:pPr>
        <w:numPr>
          <w:ilvl w:val="0"/>
          <w:numId w:val="31"/>
        </w:numPr>
        <w:tabs>
          <w:tab w:val="clear" w:pos="720"/>
          <w:tab w:val="num" w:pos="540"/>
        </w:tabs>
        <w:ind w:left="0" w:firstLine="547"/>
        <w:rPr>
          <w:rFonts w:eastAsia="Arial"/>
          <w:lang w:val="pt-BR"/>
        </w:rPr>
      </w:pPr>
      <w:r w:rsidRPr="008E63BB">
        <w:rPr>
          <w:rFonts w:eastAsia="Arial"/>
          <w:lang w:val="pt-BR"/>
        </w:rPr>
        <w:t>Khuyến khích xây dựng các biểu tượng tại vườn hoa đô thị.</w:t>
      </w:r>
    </w:p>
    <w:p w14:paraId="519B37E3" w14:textId="77777777" w:rsidR="00A2594B" w:rsidRPr="008E63BB" w:rsidRDefault="00A2594B" w:rsidP="00E5077C">
      <w:pPr>
        <w:numPr>
          <w:ilvl w:val="0"/>
          <w:numId w:val="31"/>
        </w:numPr>
        <w:tabs>
          <w:tab w:val="clear" w:pos="720"/>
          <w:tab w:val="num" w:pos="540"/>
        </w:tabs>
        <w:ind w:left="0" w:firstLine="547"/>
        <w:rPr>
          <w:rFonts w:eastAsia="Arial"/>
          <w:lang w:val="pt-BR"/>
        </w:rPr>
      </w:pPr>
      <w:r w:rsidRPr="008E63BB">
        <w:rPr>
          <w:rFonts w:eastAsia="Arial"/>
          <w:lang w:val="pt-BR"/>
        </w:rPr>
        <w:t>Khuyến khích các công trình xây dựng trong khu trung tâm hành chính có xu hướng kiến trúc mới, sử dụng các gam màu sáng (vàng nhạt, trắng), sử dụng vật liệu xây dựng địa phương,phù hợp với đặc trưng khí hậu và môi trường.</w:t>
      </w:r>
    </w:p>
    <w:p w14:paraId="519B37E4" w14:textId="77777777" w:rsidR="00A2594B" w:rsidRPr="008E63BB" w:rsidRDefault="00A2594B" w:rsidP="00E5077C">
      <w:pPr>
        <w:numPr>
          <w:ilvl w:val="0"/>
          <w:numId w:val="31"/>
        </w:numPr>
        <w:tabs>
          <w:tab w:val="clear" w:pos="720"/>
          <w:tab w:val="num" w:pos="540"/>
        </w:tabs>
        <w:ind w:left="0" w:firstLine="547"/>
        <w:rPr>
          <w:rFonts w:eastAsia="Arial"/>
          <w:lang w:val="pt-BR"/>
        </w:rPr>
      </w:pPr>
      <w:r w:rsidRPr="008E63BB">
        <w:rPr>
          <w:rFonts w:eastAsia="Arial"/>
          <w:lang w:val="pt-BR"/>
        </w:rPr>
        <w:t xml:space="preserve">Trên các tuyến phố tại trung tâm hành chính được trồng cây theo chủ đề trên từng đoạn phố, thống nhất, hài hòa về chủng loại, mầu sắc tạo nét trang nghiêm, đặc biệt dọc theo đường trục chính đô thị cần chú trọng trồng cây cảnh quan và tạo hình khối trang </w:t>
      </w:r>
      <w:r w:rsidRPr="008E63BB">
        <w:rPr>
          <w:rFonts w:eastAsia="Arial"/>
          <w:lang w:val="pt-BR"/>
        </w:rPr>
        <w:lastRenderedPageBreak/>
        <w:t>trí. Xử lý không gian vỉa hè và khoảng lùi tạo không gian rộng ngoài trời cho khách bộ hành.</w:t>
      </w:r>
    </w:p>
    <w:tbl>
      <w:tblPr>
        <w:tblW w:w="0" w:type="auto"/>
        <w:tblLook w:val="01E0" w:firstRow="1" w:lastRow="1" w:firstColumn="1" w:lastColumn="1" w:noHBand="0" w:noVBand="0"/>
      </w:tblPr>
      <w:tblGrid>
        <w:gridCol w:w="4723"/>
        <w:gridCol w:w="4779"/>
      </w:tblGrid>
      <w:tr w:rsidR="008D5BFE" w:rsidRPr="008E63BB" w14:paraId="519B37E7" w14:textId="77777777" w:rsidTr="00C32228">
        <w:tc>
          <w:tcPr>
            <w:tcW w:w="4701" w:type="dxa"/>
          </w:tcPr>
          <w:p w14:paraId="519B37E5" w14:textId="77777777" w:rsidR="00A2594B" w:rsidRPr="008E63BB" w:rsidRDefault="00A2594B" w:rsidP="0065184D">
            <w:pPr>
              <w:ind w:left="540"/>
              <w:rPr>
                <w:rFonts w:eastAsia="Arial"/>
                <w:lang w:val="pt-BR"/>
              </w:rPr>
            </w:pPr>
            <w:r w:rsidRPr="008E63BB">
              <w:rPr>
                <w:rFonts w:eastAsia="Arial"/>
                <w:noProof/>
                <w:lang w:eastAsia="zh-CN"/>
              </w:rPr>
              <w:drawing>
                <wp:inline distT="0" distB="0" distL="0" distR="0" wp14:anchorId="519B5277" wp14:editId="519B5278">
                  <wp:extent cx="2743200" cy="2066290"/>
                  <wp:effectExtent l="19050" t="0" r="0" b="0"/>
                  <wp:docPr id="7224" name="Picture 265" descr="DSC06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SC06346"/>
                          <pic:cNvPicPr>
                            <a:picLocks noChangeAspect="1" noChangeArrowheads="1"/>
                          </pic:cNvPicPr>
                        </pic:nvPicPr>
                        <pic:blipFill>
                          <a:blip r:embed="rId124" cstate="email"/>
                          <a:srcRect/>
                          <a:stretch>
                            <a:fillRect/>
                          </a:stretch>
                        </pic:blipFill>
                        <pic:spPr bwMode="auto">
                          <a:xfrm>
                            <a:off x="0" y="0"/>
                            <a:ext cx="2743200" cy="2066290"/>
                          </a:xfrm>
                          <a:prstGeom prst="rect">
                            <a:avLst/>
                          </a:prstGeom>
                          <a:noFill/>
                          <a:ln w="9525">
                            <a:noFill/>
                            <a:miter lim="800000"/>
                            <a:headEnd/>
                            <a:tailEnd/>
                          </a:ln>
                        </pic:spPr>
                      </pic:pic>
                    </a:graphicData>
                  </a:graphic>
                </wp:inline>
              </w:drawing>
            </w:r>
          </w:p>
        </w:tc>
        <w:tc>
          <w:tcPr>
            <w:tcW w:w="4702" w:type="dxa"/>
          </w:tcPr>
          <w:p w14:paraId="519B37E6" w14:textId="77777777" w:rsidR="00A2594B" w:rsidRPr="008E63BB" w:rsidRDefault="00A2594B" w:rsidP="0065184D">
            <w:pPr>
              <w:ind w:left="540"/>
              <w:rPr>
                <w:rFonts w:eastAsia="Arial"/>
                <w:lang w:val="pt-BR"/>
              </w:rPr>
            </w:pPr>
            <w:r w:rsidRPr="008E63BB">
              <w:rPr>
                <w:rFonts w:eastAsia="Arial"/>
                <w:noProof/>
                <w:lang w:eastAsia="zh-CN"/>
              </w:rPr>
              <w:drawing>
                <wp:inline distT="0" distB="0" distL="0" distR="0" wp14:anchorId="519B5279" wp14:editId="519B527A">
                  <wp:extent cx="2778760" cy="2089785"/>
                  <wp:effectExtent l="19050" t="0" r="2540" b="0"/>
                  <wp:docPr id="60" name="Picture 266" descr="DSC0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SC06345"/>
                          <pic:cNvPicPr>
                            <a:picLocks noChangeAspect="1" noChangeArrowheads="1"/>
                          </pic:cNvPicPr>
                        </pic:nvPicPr>
                        <pic:blipFill>
                          <a:blip r:embed="rId125" cstate="email"/>
                          <a:srcRect/>
                          <a:stretch>
                            <a:fillRect/>
                          </a:stretch>
                        </pic:blipFill>
                        <pic:spPr bwMode="auto">
                          <a:xfrm>
                            <a:off x="0" y="0"/>
                            <a:ext cx="2778760" cy="2089785"/>
                          </a:xfrm>
                          <a:prstGeom prst="rect">
                            <a:avLst/>
                          </a:prstGeom>
                          <a:noFill/>
                          <a:ln w="9525">
                            <a:noFill/>
                            <a:miter lim="800000"/>
                            <a:headEnd/>
                            <a:tailEnd/>
                          </a:ln>
                        </pic:spPr>
                      </pic:pic>
                    </a:graphicData>
                  </a:graphic>
                </wp:inline>
              </w:drawing>
            </w:r>
          </w:p>
        </w:tc>
      </w:tr>
    </w:tbl>
    <w:p w14:paraId="519B37E8" w14:textId="77777777" w:rsidR="00A2594B" w:rsidRPr="008E63BB" w:rsidRDefault="00A2594B" w:rsidP="00E5077C">
      <w:pPr>
        <w:ind w:left="540"/>
        <w:jc w:val="center"/>
        <w:rPr>
          <w:rFonts w:eastAsia="Arial"/>
          <w:i/>
          <w:lang w:val="pt-BR"/>
        </w:rPr>
      </w:pPr>
      <w:r w:rsidRPr="008E63BB">
        <w:rPr>
          <w:rFonts w:eastAsia="Arial"/>
          <w:i/>
          <w:lang w:val="pt-BR"/>
        </w:rPr>
        <w:t>Các hình ảnh minh hoạ về tổ chức không gian bên ngoài trụ sở cơ quan.</w:t>
      </w:r>
    </w:p>
    <w:p w14:paraId="519B37E9" w14:textId="77777777" w:rsidR="00A2594B" w:rsidRPr="008E63BB" w:rsidRDefault="00A2594B" w:rsidP="0080092F">
      <w:pPr>
        <w:rPr>
          <w:i/>
          <w:lang w:val="pt-BR"/>
        </w:rPr>
      </w:pPr>
      <w:r w:rsidRPr="008E63BB">
        <w:rPr>
          <w:i/>
          <w:lang w:val="pt-BR"/>
        </w:rPr>
        <w:t xml:space="preserve">* Đối với khu trung tâm thương mại: </w:t>
      </w:r>
    </w:p>
    <w:p w14:paraId="519B37EA" w14:textId="77777777" w:rsidR="00A2594B" w:rsidRPr="008E63BB" w:rsidRDefault="00A2594B" w:rsidP="0080092F">
      <w:pPr>
        <w:numPr>
          <w:ilvl w:val="0"/>
          <w:numId w:val="31"/>
        </w:numPr>
        <w:tabs>
          <w:tab w:val="clear" w:pos="720"/>
          <w:tab w:val="num" w:pos="540"/>
        </w:tabs>
        <w:ind w:left="0" w:firstLine="540"/>
        <w:rPr>
          <w:rFonts w:eastAsia="Arial"/>
          <w:lang w:val="pt-BR"/>
        </w:rPr>
      </w:pPr>
      <w:r w:rsidRPr="008E63BB">
        <w:rPr>
          <w:rFonts w:eastAsia="Arial"/>
          <w:lang w:val="pt-BR"/>
        </w:rPr>
        <w:t>Tạo không gian thương mại  nổi bật và đặc trưng nhất về tầng cao và khối tích công trình tại khu trung tâm thương mại của các khu đô thị. Gắn kết hợp lý giữa giao thông công cộng với các hoạt động thương mại đầu mối đồng thời tạo không gian linh hoạt rộng cho những sự kiện đa năng suốt ngày đêm.</w:t>
      </w:r>
    </w:p>
    <w:p w14:paraId="519B37EB" w14:textId="77777777" w:rsidR="00A2594B" w:rsidRPr="008E63BB" w:rsidRDefault="00A2594B" w:rsidP="0080092F">
      <w:pPr>
        <w:numPr>
          <w:ilvl w:val="0"/>
          <w:numId w:val="31"/>
        </w:numPr>
        <w:tabs>
          <w:tab w:val="clear" w:pos="720"/>
          <w:tab w:val="num" w:pos="540"/>
        </w:tabs>
        <w:ind w:left="0" w:firstLine="540"/>
        <w:rPr>
          <w:rFonts w:eastAsia="Arial"/>
          <w:lang w:val="pt-BR"/>
        </w:rPr>
      </w:pPr>
      <w:r w:rsidRPr="008E63BB">
        <w:rPr>
          <w:rFonts w:eastAsia="Arial"/>
          <w:lang w:val="pt-BR"/>
        </w:rPr>
        <w:t xml:space="preserve">Các công trình xây dựng hiện đại, cao tầng được hợp khối thống nhất. </w:t>
      </w:r>
    </w:p>
    <w:p w14:paraId="519B37EC" w14:textId="77777777" w:rsidR="00A2594B" w:rsidRPr="008E63BB" w:rsidRDefault="00A2594B" w:rsidP="0080092F">
      <w:pPr>
        <w:numPr>
          <w:ilvl w:val="0"/>
          <w:numId w:val="31"/>
        </w:numPr>
        <w:tabs>
          <w:tab w:val="clear" w:pos="720"/>
          <w:tab w:val="num" w:pos="540"/>
        </w:tabs>
        <w:ind w:left="0" w:firstLine="540"/>
        <w:rPr>
          <w:rFonts w:eastAsia="Arial"/>
          <w:lang w:val="pt-BR"/>
        </w:rPr>
      </w:pPr>
      <w:r w:rsidRPr="008E63BB">
        <w:rPr>
          <w:rFonts w:eastAsia="Arial"/>
          <w:lang w:val="pt-BR"/>
        </w:rPr>
        <w:t>Thiết kế kiến trúc và cảnh quan xung quanh phản ánh những đặc tính nổi bật, độc đáo tạo ra đặc trưng mang tính biểu tượng và gây ấn tượng trước công chúng.</w:t>
      </w:r>
    </w:p>
    <w:p w14:paraId="519B37ED" w14:textId="77777777" w:rsidR="00A2594B" w:rsidRPr="008E63BB" w:rsidRDefault="00A2594B" w:rsidP="0080092F">
      <w:pPr>
        <w:numPr>
          <w:ilvl w:val="0"/>
          <w:numId w:val="31"/>
        </w:numPr>
        <w:tabs>
          <w:tab w:val="clear" w:pos="720"/>
          <w:tab w:val="num" w:pos="540"/>
        </w:tabs>
        <w:ind w:left="0" w:firstLine="547"/>
        <w:rPr>
          <w:rFonts w:eastAsia="Arial"/>
          <w:lang w:val="pt-BR"/>
        </w:rPr>
      </w:pPr>
      <w:r w:rsidRPr="008E63BB">
        <w:rPr>
          <w:rFonts w:eastAsia="Arial"/>
          <w:lang w:val="pt-BR"/>
        </w:rPr>
        <w:t>Không được phép xây dựng manh mún, không tạo thành tổ hợp kiến trúc đồng nhất. Tạo không gian quảng trường rộng trước các tòa nhà.</w:t>
      </w:r>
    </w:p>
    <w:tbl>
      <w:tblPr>
        <w:tblW w:w="9606" w:type="dxa"/>
        <w:jc w:val="center"/>
        <w:tblLook w:val="01E0" w:firstRow="1" w:lastRow="1" w:firstColumn="1" w:lastColumn="1" w:noHBand="0" w:noVBand="0"/>
      </w:tblPr>
      <w:tblGrid>
        <w:gridCol w:w="5016"/>
        <w:gridCol w:w="4590"/>
      </w:tblGrid>
      <w:tr w:rsidR="008D5BFE" w:rsidRPr="008E63BB" w14:paraId="519B37F0" w14:textId="77777777" w:rsidTr="00E5077C">
        <w:trPr>
          <w:trHeight w:val="2752"/>
          <w:jc w:val="center"/>
        </w:trPr>
        <w:tc>
          <w:tcPr>
            <w:tcW w:w="5016" w:type="dxa"/>
          </w:tcPr>
          <w:p w14:paraId="519B37EE" w14:textId="00511D87" w:rsidR="00A2594B" w:rsidRPr="008E63BB" w:rsidRDefault="00E44DA3" w:rsidP="0080092F">
            <w:pPr>
              <w:ind w:left="426"/>
              <w:rPr>
                <w:rFonts w:eastAsia="Arial"/>
                <w:lang w:val="pt-BR"/>
              </w:rPr>
            </w:pPr>
            <w:r w:rsidRPr="008E63BB">
              <w:rPr>
                <w:rFonts w:eastAsia="Arial"/>
                <w:noProof/>
                <w:lang w:eastAsia="zh-CN"/>
              </w:rPr>
              <mc:AlternateContent>
                <mc:Choice Requires="wpc">
                  <w:drawing>
                    <wp:inline distT="0" distB="0" distL="0" distR="0" wp14:anchorId="519B527C" wp14:editId="6DDE32D6">
                      <wp:extent cx="2743200" cy="1821815"/>
                      <wp:effectExtent l="1905" t="0" r="0" b="1905"/>
                      <wp:docPr id="7209" name="Canvas 722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7208" name="Picture 4"/>
                                <pic:cNvPicPr>
                                  <a:picLocks noChangeAspect="1" noChangeArrowheads="1"/>
                                </pic:cNvPicPr>
                              </pic:nvPicPr>
                              <pic:blipFill>
                                <a:blip r:embed="rId126">
                                  <a:lum bright="6000" contrast="12000"/>
                                  <a:extLst>
                                    <a:ext uri="{28A0092B-C50C-407E-A947-70E740481C1C}">
                                      <a14:useLocalDpi xmlns:a14="http://schemas.microsoft.com/office/drawing/2010/main" val="0"/>
                                    </a:ext>
                                  </a:extLst>
                                </a:blip>
                                <a:srcRect/>
                                <a:stretch>
                                  <a:fillRect/>
                                </a:stretch>
                              </pic:blipFill>
                              <pic:spPr bwMode="auto">
                                <a:xfrm>
                                  <a:off x="0" y="3700"/>
                                  <a:ext cx="2743200" cy="1727214"/>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http://schemas.microsoft.com/office/drawing/2014/chartex">
                  <w:pict>
                    <v:group w14:anchorId="7187DD86" id="Canvas 7229" o:spid="_x0000_s1026" editas="canvas" style="width:3in;height:143.45pt;mso-position-horizontal-relative:char;mso-position-vertical-relative:line" coordsize="27432,18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7432;height:18218;visibility:visible;mso-wrap-style:square">
                        <v:fill o:detectmouseclick="t"/>
                        <v:path o:connecttype="none"/>
                      </v:shape>
                      <v:shape id="Picture 4" o:spid="_x0000_s1028" type="#_x0000_t75" style="position:absolute;top:37;width:27432;height:17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">
                        <v:imagedata r:id="rId127" o:title="" gain="74473f" blacklevel="1966f"/>
                      </v:shape>
                      <w10:anchorlock/>
                    </v:group>
                  </w:pict>
                </mc:Fallback>
              </mc:AlternateContent>
            </w:r>
          </w:p>
        </w:tc>
        <w:tc>
          <w:tcPr>
            <w:tcW w:w="4590" w:type="dxa"/>
          </w:tcPr>
          <w:p w14:paraId="519B37EF" w14:textId="77777777" w:rsidR="00A2594B" w:rsidRPr="008E63BB" w:rsidRDefault="00A2594B" w:rsidP="0080092F">
            <w:pPr>
              <w:numPr>
                <w:ilvl w:val="0"/>
                <w:numId w:val="31"/>
              </w:numPr>
              <w:tabs>
                <w:tab w:val="clear" w:pos="720"/>
                <w:tab w:val="num" w:pos="540"/>
              </w:tabs>
              <w:ind w:left="0" w:firstLine="540"/>
              <w:rPr>
                <w:rFonts w:eastAsia="Arial"/>
                <w:lang w:val="pt-BR"/>
              </w:rPr>
            </w:pPr>
            <w:r w:rsidRPr="008E63BB">
              <w:rPr>
                <w:rFonts w:eastAsia="Arial"/>
                <w:noProof/>
                <w:lang w:eastAsia="zh-CN"/>
              </w:rPr>
              <w:drawing>
                <wp:anchor distT="0" distB="0" distL="114300" distR="114300" simplePos="0" relativeHeight="251650048" behindDoc="0" locked="0" layoutInCell="1" allowOverlap="1" wp14:anchorId="519B527D" wp14:editId="519B527E">
                  <wp:simplePos x="0" y="0"/>
                  <wp:positionH relativeFrom="column">
                    <wp:posOffset>-40685</wp:posOffset>
                  </wp:positionH>
                  <wp:positionV relativeFrom="paragraph">
                    <wp:posOffset>7901</wp:posOffset>
                  </wp:positionV>
                  <wp:extent cx="2862374" cy="1775637"/>
                  <wp:effectExtent l="19050" t="0" r="0" b="0"/>
                  <wp:wrapNone/>
                  <wp:docPr id="722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8" cstate="email">
                            <a:lum bright="6000" contrast="24000"/>
                          </a:blip>
                          <a:srcRect/>
                          <a:stretch>
                            <a:fillRect/>
                          </a:stretch>
                        </pic:blipFill>
                        <pic:spPr bwMode="auto">
                          <a:xfrm>
                            <a:off x="0" y="0"/>
                            <a:ext cx="2862374" cy="1775637"/>
                          </a:xfrm>
                          <a:prstGeom prst="rect">
                            <a:avLst/>
                          </a:prstGeom>
                          <a:noFill/>
                        </pic:spPr>
                      </pic:pic>
                    </a:graphicData>
                  </a:graphic>
                </wp:anchor>
              </w:drawing>
            </w:r>
          </w:p>
        </w:tc>
      </w:tr>
    </w:tbl>
    <w:p w14:paraId="519B37F1" w14:textId="77777777" w:rsidR="00A2594B" w:rsidRPr="008E63BB" w:rsidRDefault="00A2594B" w:rsidP="0080092F">
      <w:pPr>
        <w:ind w:left="547"/>
        <w:jc w:val="center"/>
        <w:rPr>
          <w:rFonts w:eastAsia="Arial"/>
          <w:i/>
          <w:lang w:val="pt-BR"/>
        </w:rPr>
      </w:pPr>
      <w:r w:rsidRPr="008E63BB">
        <w:rPr>
          <w:rFonts w:eastAsia="Arial"/>
          <w:i/>
          <w:lang w:val="pt-BR"/>
        </w:rPr>
        <w:t>Các hình ảnh minh hoạ về tổ chức không gian công trình thương mại dich vụ</w:t>
      </w:r>
    </w:p>
    <w:p w14:paraId="519B37F2" w14:textId="77777777" w:rsidR="00A2594B" w:rsidRPr="008E63BB" w:rsidRDefault="00A2594B" w:rsidP="0080092F">
      <w:pPr>
        <w:rPr>
          <w:i/>
          <w:lang w:val="pt-BR"/>
        </w:rPr>
      </w:pPr>
      <w:r w:rsidRPr="008E63BB">
        <w:rPr>
          <w:i/>
          <w:lang w:val="pt-BR"/>
        </w:rPr>
        <w:t>* Đối với trung tâm vui chơi giải trí và dịch vụ du lị</w:t>
      </w:r>
      <w:r w:rsidR="00E5077C" w:rsidRPr="008E63BB">
        <w:rPr>
          <w:i/>
          <w:lang w:val="pt-BR"/>
        </w:rPr>
        <w:t>ch:</w:t>
      </w:r>
      <w:r w:rsidRPr="008E63BB">
        <w:rPr>
          <w:i/>
          <w:lang w:val="pt-BR"/>
        </w:rPr>
        <w:t xml:space="preserve"> </w:t>
      </w:r>
    </w:p>
    <w:p w14:paraId="519B37F3" w14:textId="77777777" w:rsidR="00A2594B" w:rsidRPr="008E63BB" w:rsidRDefault="00A2594B" w:rsidP="0080092F">
      <w:pPr>
        <w:numPr>
          <w:ilvl w:val="0"/>
          <w:numId w:val="31"/>
        </w:numPr>
        <w:tabs>
          <w:tab w:val="clear" w:pos="720"/>
          <w:tab w:val="num" w:pos="540"/>
        </w:tabs>
        <w:ind w:left="0" w:firstLine="547"/>
        <w:rPr>
          <w:rFonts w:eastAsia="Arial"/>
          <w:lang w:val="pt-BR"/>
        </w:rPr>
      </w:pPr>
      <w:r w:rsidRPr="008E63BB">
        <w:rPr>
          <w:rFonts w:eastAsia="Arial"/>
          <w:lang w:val="pt-BR"/>
        </w:rPr>
        <w:t>Hình thành không gian dịch vụ du lịch tiện nghi đáp ứng và nâng cao chất lượng cuộc sống, kết nối cây xanh sinh thái dọc tuyến sông với hệ thống cây xanh cảnh quan trong đô thị.</w:t>
      </w:r>
    </w:p>
    <w:p w14:paraId="519B37F4" w14:textId="77777777" w:rsidR="00A2594B" w:rsidRPr="008E63BB" w:rsidRDefault="00A2594B" w:rsidP="0080092F">
      <w:pPr>
        <w:numPr>
          <w:ilvl w:val="0"/>
          <w:numId w:val="31"/>
        </w:numPr>
        <w:tabs>
          <w:tab w:val="clear" w:pos="720"/>
          <w:tab w:val="num" w:pos="540"/>
        </w:tabs>
        <w:ind w:left="0" w:firstLine="547"/>
        <w:rPr>
          <w:rFonts w:eastAsia="Arial"/>
          <w:lang w:val="pt-BR"/>
        </w:rPr>
      </w:pPr>
      <w:r w:rsidRPr="008E63BB">
        <w:rPr>
          <w:rFonts w:eastAsia="Arial"/>
          <w:lang w:val="pt-BR"/>
        </w:rPr>
        <w:t>Trong các công viên cây xanh và vui chơi giải trí cho phép tạo không gian cây xanh cảnh quan kết hợp mặt nước, đường dạo, các công trình nghệ thuật, các công trình vui chơi giải trí và các kiến trúc đặc trưng để hấp dẫn người dân.</w:t>
      </w:r>
    </w:p>
    <w:p w14:paraId="519B37F5" w14:textId="77777777" w:rsidR="00A2594B" w:rsidRPr="008E63BB" w:rsidRDefault="00A2594B" w:rsidP="0080092F">
      <w:pPr>
        <w:numPr>
          <w:ilvl w:val="0"/>
          <w:numId w:val="31"/>
        </w:numPr>
        <w:tabs>
          <w:tab w:val="clear" w:pos="720"/>
          <w:tab w:val="num" w:pos="540"/>
        </w:tabs>
        <w:ind w:left="0" w:firstLine="547"/>
        <w:rPr>
          <w:rFonts w:eastAsia="Arial"/>
          <w:lang w:val="pt-BR"/>
        </w:rPr>
      </w:pPr>
      <w:r w:rsidRPr="008E63BB">
        <w:rPr>
          <w:rFonts w:eastAsia="Arial"/>
          <w:lang w:val="pt-BR"/>
        </w:rPr>
        <w:t>Trong đô thị cho phép xây dựng một số công trình khách sạn cao tầng dạng nhà tháp tạo điểm nhấn kiến trúc.</w:t>
      </w:r>
    </w:p>
    <w:p w14:paraId="519B37F6" w14:textId="77777777" w:rsidR="00A2594B" w:rsidRPr="008E63BB" w:rsidRDefault="00A2594B" w:rsidP="0080092F">
      <w:pPr>
        <w:numPr>
          <w:ilvl w:val="0"/>
          <w:numId w:val="31"/>
        </w:numPr>
        <w:tabs>
          <w:tab w:val="clear" w:pos="720"/>
          <w:tab w:val="num" w:pos="540"/>
        </w:tabs>
        <w:ind w:left="0" w:firstLine="547"/>
        <w:rPr>
          <w:rFonts w:eastAsia="Arial"/>
          <w:lang w:val="pt-BR"/>
        </w:rPr>
      </w:pPr>
      <w:r w:rsidRPr="008E63BB">
        <w:rPr>
          <w:rFonts w:eastAsia="Arial"/>
          <w:lang w:val="pt-BR"/>
        </w:rPr>
        <w:t>Khu du lịch dịch vụ ven sông Đào và sông Hồng xây dựng công trình thấp tầng mang tính chất điểm xuyết, hài hoà với cảnh quan tự nhiên</w:t>
      </w:r>
    </w:p>
    <w:tbl>
      <w:tblPr>
        <w:tblW w:w="0" w:type="auto"/>
        <w:tblLook w:val="01E0" w:firstRow="1" w:lastRow="1" w:firstColumn="1" w:lastColumn="1" w:noHBand="0" w:noVBand="0"/>
      </w:tblPr>
      <w:tblGrid>
        <w:gridCol w:w="4751"/>
        <w:gridCol w:w="4751"/>
      </w:tblGrid>
      <w:tr w:rsidR="008D5BFE" w:rsidRPr="008E63BB" w14:paraId="519B37F9" w14:textId="77777777" w:rsidTr="00C32228">
        <w:tc>
          <w:tcPr>
            <w:tcW w:w="4701" w:type="dxa"/>
          </w:tcPr>
          <w:p w14:paraId="519B37F7" w14:textId="77777777" w:rsidR="00A2594B" w:rsidRPr="008E63BB" w:rsidRDefault="00A2594B" w:rsidP="0080092F">
            <w:pPr>
              <w:ind w:left="540"/>
              <w:rPr>
                <w:rFonts w:eastAsia="Arial"/>
                <w:lang w:val="pt-BR"/>
              </w:rPr>
            </w:pPr>
            <w:r w:rsidRPr="008E63BB">
              <w:rPr>
                <w:rFonts w:eastAsia="Arial"/>
                <w:noProof/>
                <w:lang w:eastAsia="zh-CN"/>
              </w:rPr>
              <w:lastRenderedPageBreak/>
              <w:drawing>
                <wp:inline distT="0" distB="0" distL="0" distR="0" wp14:anchorId="519B527F" wp14:editId="519B5280">
                  <wp:extent cx="2766695" cy="2078355"/>
                  <wp:effectExtent l="19050" t="0" r="0" b="0"/>
                  <wp:docPr id="722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29" cstate="email"/>
                          <a:srcRect/>
                          <a:stretch>
                            <a:fillRect/>
                          </a:stretch>
                        </pic:blipFill>
                        <pic:spPr bwMode="auto">
                          <a:xfrm>
                            <a:off x="0" y="0"/>
                            <a:ext cx="2766695" cy="2078355"/>
                          </a:xfrm>
                          <a:prstGeom prst="rect">
                            <a:avLst/>
                          </a:prstGeom>
                          <a:noFill/>
                          <a:ln w="9525">
                            <a:noFill/>
                            <a:miter lim="800000"/>
                            <a:headEnd/>
                            <a:tailEnd/>
                          </a:ln>
                        </pic:spPr>
                      </pic:pic>
                    </a:graphicData>
                  </a:graphic>
                </wp:inline>
              </w:drawing>
            </w:r>
          </w:p>
        </w:tc>
        <w:tc>
          <w:tcPr>
            <w:tcW w:w="4702" w:type="dxa"/>
          </w:tcPr>
          <w:p w14:paraId="519B37F8" w14:textId="77777777" w:rsidR="00A2594B" w:rsidRPr="008E63BB" w:rsidRDefault="00A2594B" w:rsidP="0080092F">
            <w:pPr>
              <w:ind w:left="540"/>
              <w:rPr>
                <w:rFonts w:eastAsia="Arial"/>
                <w:lang w:val="pt-BR"/>
              </w:rPr>
            </w:pPr>
            <w:r w:rsidRPr="008E63BB">
              <w:rPr>
                <w:rFonts w:eastAsia="Arial"/>
                <w:noProof/>
                <w:lang w:eastAsia="zh-CN"/>
              </w:rPr>
              <w:drawing>
                <wp:inline distT="0" distB="0" distL="0" distR="0" wp14:anchorId="519B5281" wp14:editId="519B5282">
                  <wp:extent cx="2766695" cy="2078355"/>
                  <wp:effectExtent l="19050" t="0" r="0" b="0"/>
                  <wp:docPr id="7227"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30" cstate="email"/>
                          <a:srcRect/>
                          <a:stretch>
                            <a:fillRect/>
                          </a:stretch>
                        </pic:blipFill>
                        <pic:spPr bwMode="auto">
                          <a:xfrm>
                            <a:off x="0" y="0"/>
                            <a:ext cx="2766695" cy="2078355"/>
                          </a:xfrm>
                          <a:prstGeom prst="rect">
                            <a:avLst/>
                          </a:prstGeom>
                          <a:noFill/>
                          <a:ln w="9525">
                            <a:noFill/>
                            <a:miter lim="800000"/>
                            <a:headEnd/>
                            <a:tailEnd/>
                          </a:ln>
                        </pic:spPr>
                      </pic:pic>
                    </a:graphicData>
                  </a:graphic>
                </wp:inline>
              </w:drawing>
            </w:r>
          </w:p>
        </w:tc>
      </w:tr>
    </w:tbl>
    <w:p w14:paraId="519B37FA" w14:textId="77777777" w:rsidR="00A2594B" w:rsidRPr="008E63BB" w:rsidRDefault="00A2594B" w:rsidP="0080092F">
      <w:pPr>
        <w:ind w:left="540"/>
        <w:jc w:val="center"/>
        <w:rPr>
          <w:rFonts w:eastAsia="Arial"/>
          <w:i/>
          <w:lang w:val="pt-BR"/>
        </w:rPr>
      </w:pPr>
      <w:r w:rsidRPr="008E63BB">
        <w:rPr>
          <w:rFonts w:eastAsia="Arial"/>
          <w:i/>
          <w:lang w:val="pt-BR"/>
        </w:rPr>
        <w:t>Các hình ảnh minh hoạ về tổ chức không gian bên ngoài công trình công cộ</w:t>
      </w:r>
      <w:r w:rsidR="00E5077C" w:rsidRPr="008E63BB">
        <w:rPr>
          <w:rFonts w:eastAsia="Arial"/>
          <w:i/>
          <w:lang w:val="pt-BR"/>
        </w:rPr>
        <w:t>ng</w:t>
      </w:r>
    </w:p>
    <w:p w14:paraId="519B37FB" w14:textId="77777777" w:rsidR="00A2594B" w:rsidRPr="008E63BB" w:rsidRDefault="00A2594B" w:rsidP="0080092F">
      <w:pPr>
        <w:rPr>
          <w:i/>
          <w:lang w:val="pt-BR"/>
        </w:rPr>
      </w:pPr>
      <w:r w:rsidRPr="008E63BB">
        <w:rPr>
          <w:i/>
          <w:lang w:val="pt-BR"/>
        </w:rPr>
        <w:t>* Các khu đô thị mới:</w:t>
      </w:r>
    </w:p>
    <w:p w14:paraId="519B37FC" w14:textId="77777777" w:rsidR="00A2594B" w:rsidRPr="008E63BB" w:rsidRDefault="00A2594B" w:rsidP="0080092F">
      <w:pPr>
        <w:rPr>
          <w:rFonts w:eastAsia="Times New Roman"/>
          <w:szCs w:val="26"/>
          <w:lang w:val="pt-BR"/>
        </w:rPr>
      </w:pPr>
      <w:r w:rsidRPr="008E63BB">
        <w:rPr>
          <w:rFonts w:eastAsia="Times New Roman"/>
          <w:noProof/>
          <w:szCs w:val="26"/>
          <w:lang w:eastAsia="zh-CN"/>
        </w:rPr>
        <w:drawing>
          <wp:anchor distT="0" distB="0" distL="114300" distR="114300" simplePos="0" relativeHeight="251652096" behindDoc="0" locked="0" layoutInCell="1" allowOverlap="1" wp14:anchorId="519B5283" wp14:editId="519B5284">
            <wp:simplePos x="0" y="0"/>
            <wp:positionH relativeFrom="column">
              <wp:posOffset>4181475</wp:posOffset>
            </wp:positionH>
            <wp:positionV relativeFrom="paragraph">
              <wp:posOffset>104140</wp:posOffset>
            </wp:positionV>
            <wp:extent cx="1751330" cy="1308735"/>
            <wp:effectExtent l="19050" t="0" r="1270" b="0"/>
            <wp:wrapSquare wrapText="bothSides"/>
            <wp:docPr id="7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cstate="email"/>
                    <a:srcRect/>
                    <a:stretch>
                      <a:fillRect/>
                    </a:stretch>
                  </pic:blipFill>
                  <pic:spPr bwMode="auto">
                    <a:xfrm>
                      <a:off x="0" y="0"/>
                      <a:ext cx="1751330" cy="1308735"/>
                    </a:xfrm>
                    <a:prstGeom prst="rect">
                      <a:avLst/>
                    </a:prstGeom>
                    <a:noFill/>
                    <a:ln w="9525">
                      <a:noFill/>
                      <a:miter lim="800000"/>
                      <a:headEnd/>
                      <a:tailEnd/>
                    </a:ln>
                  </pic:spPr>
                </pic:pic>
              </a:graphicData>
            </a:graphic>
          </wp:anchor>
        </w:drawing>
      </w:r>
      <w:r w:rsidRPr="008E63BB">
        <w:rPr>
          <w:rFonts w:eastAsia="Times New Roman"/>
          <w:szCs w:val="26"/>
          <w:lang w:val="pt-BR"/>
        </w:rPr>
        <w:tab/>
        <w:t xml:space="preserve">Các không gian công cộng khu đô thị gắn với trục giao thông liên khu ở hoặc đường chính khu ở, nằm ở vị trí cửa ngõ các đơn vị ở. Trục đường chính dẫn đến các trung tâm khu ở cần có thiết kế </w:t>
      </w:r>
      <w:r w:rsidRPr="008E63BB">
        <w:rPr>
          <w:rFonts w:eastAsia="Times New Roman" w:cs="Arial"/>
          <w:szCs w:val="26"/>
          <w:lang w:val="pt-BR"/>
        </w:rPr>
        <w:t>đ</w:t>
      </w:r>
      <w:r w:rsidRPr="008E63BB">
        <w:rPr>
          <w:rFonts w:eastAsia="Times New Roman"/>
          <w:szCs w:val="26"/>
          <w:lang w:val="pt-BR"/>
        </w:rPr>
        <w:t>ặc biệt, như lưu ý về chủng loại cây trồng, vật liệu lát vỉa hè, đèn chiếu sáng và các trang thiết bị đô thị khác.</w:t>
      </w:r>
    </w:p>
    <w:p w14:paraId="519B37FD" w14:textId="77777777" w:rsidR="00A2594B" w:rsidRPr="008E63BB" w:rsidRDefault="00A2594B" w:rsidP="0080092F">
      <w:pPr>
        <w:rPr>
          <w:rFonts w:eastAsia="Times New Roman"/>
          <w:szCs w:val="26"/>
          <w:lang w:val="pt-BR"/>
        </w:rPr>
      </w:pPr>
      <w:r w:rsidRPr="008E63BB">
        <w:rPr>
          <w:rFonts w:eastAsia="Times New Roman"/>
          <w:szCs w:val="26"/>
          <w:lang w:val="pt-BR"/>
        </w:rPr>
        <w:tab/>
        <w:t>Các không gian mở là những không gian xanh, mặt nước cần bố trí liên hệ trực tiếp với các nhóm nhà ở, các công trình phúc lợi công cộng như: trường học, sân chơi, sân tập thể dục thể thao, hội quán, câu lạc bộ hàng ngày của người dân trong đơn vị ở.... cố gắng tạo ra những cảm giác yên tĩnh, môi trường trong sạch.</w:t>
      </w:r>
    </w:p>
    <w:p w14:paraId="519B37FE" w14:textId="77777777" w:rsidR="00A2594B" w:rsidRPr="008E63BB" w:rsidRDefault="00A2594B" w:rsidP="0080092F">
      <w:pPr>
        <w:ind w:firstLine="720"/>
        <w:rPr>
          <w:rFonts w:eastAsia="Times New Roman"/>
          <w:szCs w:val="26"/>
          <w:lang w:val="pt-BR"/>
        </w:rPr>
      </w:pPr>
      <w:r w:rsidRPr="008E63BB">
        <w:rPr>
          <w:rFonts w:eastAsia="Times New Roman"/>
          <w:szCs w:val="26"/>
          <w:lang w:val="pt-BR"/>
        </w:rPr>
        <w:t xml:space="preserve">Trong các khu ở mới cần tạo lập không gian đồng bộ về hạ tầng kỹ thuật và hạ tầng xã hội cho các khu đô thị mới.  </w:t>
      </w:r>
    </w:p>
    <w:p w14:paraId="519B37FF" w14:textId="77777777" w:rsidR="00A2594B" w:rsidRPr="008E63BB" w:rsidRDefault="00A2594B" w:rsidP="0080092F">
      <w:pPr>
        <w:ind w:firstLine="720"/>
        <w:rPr>
          <w:rFonts w:eastAsia="Times New Roman"/>
          <w:szCs w:val="26"/>
          <w:lang w:val="pt-BR"/>
        </w:rPr>
      </w:pPr>
      <w:r w:rsidRPr="008E63BB">
        <w:rPr>
          <w:rFonts w:eastAsia="Times New Roman"/>
          <w:noProof/>
          <w:szCs w:val="26"/>
          <w:lang w:eastAsia="zh-CN"/>
        </w:rPr>
        <w:drawing>
          <wp:anchor distT="0" distB="0" distL="114300" distR="114300" simplePos="0" relativeHeight="251654144" behindDoc="0" locked="0" layoutInCell="1" allowOverlap="1" wp14:anchorId="519B5285" wp14:editId="519B5286">
            <wp:simplePos x="0" y="0"/>
            <wp:positionH relativeFrom="column">
              <wp:posOffset>4177030</wp:posOffset>
            </wp:positionH>
            <wp:positionV relativeFrom="paragraph">
              <wp:posOffset>70485</wp:posOffset>
            </wp:positionV>
            <wp:extent cx="1764665" cy="1322705"/>
            <wp:effectExtent l="19050" t="0" r="6985" b="0"/>
            <wp:wrapSquare wrapText="bothSides"/>
            <wp:docPr id="10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2" cstate="email"/>
                    <a:srcRect/>
                    <a:stretch>
                      <a:fillRect/>
                    </a:stretch>
                  </pic:blipFill>
                  <pic:spPr bwMode="auto">
                    <a:xfrm>
                      <a:off x="0" y="0"/>
                      <a:ext cx="1764665" cy="1322705"/>
                    </a:xfrm>
                    <a:prstGeom prst="rect">
                      <a:avLst/>
                    </a:prstGeom>
                    <a:noFill/>
                    <a:ln w="9525">
                      <a:noFill/>
                      <a:miter lim="800000"/>
                      <a:headEnd/>
                      <a:tailEnd/>
                    </a:ln>
                  </pic:spPr>
                </pic:pic>
              </a:graphicData>
            </a:graphic>
          </wp:anchor>
        </w:drawing>
      </w:r>
      <w:r w:rsidRPr="008E63BB">
        <w:rPr>
          <w:rFonts w:eastAsia="Times New Roman"/>
          <w:szCs w:val="26"/>
          <w:lang w:val="pt-BR"/>
        </w:rPr>
        <w:t xml:space="preserve">Ưu tiên xây dựng các công trình nhà ở cao tầng phục vụ cho người thu nhập thấp đặc biệt là cho công nhân làm việc tại các khu công nghiệp. Hình thành trong lõi các khu đô thị mới các không gian mở với những kích thước đa dạng và các tuyến đi bộ tới khu trung tâm công cộng. </w:t>
      </w:r>
    </w:p>
    <w:p w14:paraId="519B3800" w14:textId="77777777" w:rsidR="00A2594B" w:rsidRPr="008E63BB" w:rsidRDefault="00A2594B" w:rsidP="0080092F">
      <w:pPr>
        <w:ind w:firstLine="720"/>
        <w:rPr>
          <w:rFonts w:eastAsia="Times New Roman"/>
          <w:szCs w:val="26"/>
          <w:lang w:val="pt-BR"/>
        </w:rPr>
      </w:pPr>
      <w:r w:rsidRPr="008E63BB">
        <w:rPr>
          <w:rFonts w:eastAsia="Times New Roman"/>
          <w:szCs w:val="26"/>
          <w:lang w:val="pt-BR"/>
        </w:rPr>
        <w:t xml:space="preserve">Hình thành tuyến điểm công trình cao tầng tạo điểm nhấn cho khu vực. Dọc trên các tuyến đường chính xây dựng các công trình có chức năng sử dụng hỗn hợp (nhà ở kết hợp với công cộng). Khoảng cách giữa các công trình cao tầng được thiết kế đảm bảo thông thoáng, đảm bảo diện đổ bóng nhiều nhất tạo không gian mát cho mùa hè. Tạo tính dẫn hướng đến các không gian mở hoặc không gian trung tâm công cộng. </w:t>
      </w:r>
    </w:p>
    <w:p w14:paraId="519B3801" w14:textId="77777777" w:rsidR="00A2594B" w:rsidRPr="008E63BB" w:rsidRDefault="00A2594B" w:rsidP="0080092F">
      <w:pPr>
        <w:ind w:firstLine="720"/>
        <w:rPr>
          <w:rFonts w:eastAsia="Times New Roman"/>
          <w:szCs w:val="26"/>
          <w:lang w:val="pt-BR"/>
        </w:rPr>
      </w:pPr>
      <w:r w:rsidRPr="008E63BB">
        <w:rPr>
          <w:rFonts w:eastAsia="Times New Roman"/>
          <w:szCs w:val="26"/>
          <w:lang w:val="pt-BR"/>
        </w:rPr>
        <w:t>Trên các tuyến giao thông, tạo không gian mở và khoảng lùi công cộng phù hợp để giảm thiểu ô nhiễm về giao thông và hạ tầng kỹ thuật khác đến các lô đất ở.</w:t>
      </w:r>
    </w:p>
    <w:p w14:paraId="519B3802" w14:textId="77777777" w:rsidR="00A2594B" w:rsidRPr="008E63BB" w:rsidRDefault="00A2594B" w:rsidP="0080092F">
      <w:pPr>
        <w:ind w:firstLine="720"/>
        <w:rPr>
          <w:rFonts w:eastAsia="Times New Roman"/>
          <w:szCs w:val="26"/>
          <w:lang w:val="pt-BR"/>
        </w:rPr>
      </w:pPr>
      <w:r w:rsidRPr="008E63BB">
        <w:rPr>
          <w:rFonts w:eastAsia="Times New Roman"/>
          <w:szCs w:val="26"/>
          <w:lang w:val="pt-BR"/>
        </w:rPr>
        <w:t>Xây dựng cổng vào các khu đô thị mới tạo dấu ấn đặc trưng.</w:t>
      </w:r>
    </w:p>
    <w:p w14:paraId="519B3803" w14:textId="77777777" w:rsidR="00A2594B" w:rsidRPr="008E63BB" w:rsidRDefault="00A2594B" w:rsidP="0080092F">
      <w:pPr>
        <w:ind w:firstLine="720"/>
        <w:rPr>
          <w:rFonts w:eastAsia="Times New Roman"/>
          <w:szCs w:val="26"/>
          <w:lang w:val="pt-BR"/>
        </w:rPr>
      </w:pPr>
      <w:r w:rsidRPr="008E63BB">
        <w:rPr>
          <w:rFonts w:eastAsia="Times New Roman"/>
          <w:szCs w:val="26"/>
          <w:lang w:val="pt-BR"/>
        </w:rPr>
        <w:t>Xây dựng các khu vui chơi giải trí trong lõi các đơn vị ở, không bị tác động từ các ảnh hưởng của tuyến giao thông chính.</w:t>
      </w:r>
    </w:p>
    <w:p w14:paraId="519B3804" w14:textId="77777777" w:rsidR="00A2594B" w:rsidRPr="008E63BB" w:rsidRDefault="00A2594B" w:rsidP="0080092F">
      <w:pPr>
        <w:ind w:firstLine="709"/>
        <w:rPr>
          <w:szCs w:val="26"/>
          <w:lang w:val="pt-BR"/>
        </w:rPr>
      </w:pPr>
      <w:r w:rsidRPr="008E63BB">
        <w:rPr>
          <w:szCs w:val="26"/>
          <w:lang w:val="pt-BR"/>
        </w:rPr>
        <w:t xml:space="preserve">Các công trình phục vụ công cộng đơn vị ở bố trí trong lõi khu đô thị mới, đảm bảo bán kính phục vụ theo tiêu chuẩn quy phạm. </w:t>
      </w:r>
    </w:p>
    <w:p w14:paraId="519B3805" w14:textId="77777777" w:rsidR="00A2594B" w:rsidRPr="008E63BB" w:rsidRDefault="00A2594B" w:rsidP="0080092F">
      <w:pPr>
        <w:ind w:firstLine="709"/>
        <w:rPr>
          <w:szCs w:val="26"/>
          <w:lang w:val="pt-BR"/>
        </w:rPr>
      </w:pPr>
      <w:r w:rsidRPr="008E63BB">
        <w:rPr>
          <w:szCs w:val="26"/>
          <w:lang w:val="pt-BR"/>
        </w:rPr>
        <w:t>Các khu thấp tầng được xây dựng đồng bộ và thống nhất về ngoại thất kiến trúc.</w:t>
      </w:r>
    </w:p>
    <w:p w14:paraId="519B3807" w14:textId="77777777" w:rsidR="00F852CE" w:rsidRPr="008E63BB" w:rsidRDefault="00F852CE">
      <w:pPr>
        <w:jc w:val="left"/>
        <w:rPr>
          <w:rFonts w:eastAsia="Times New Roman"/>
          <w:b/>
          <w:bCs/>
          <w:kern w:val="32"/>
          <w:sz w:val="24"/>
          <w:szCs w:val="24"/>
          <w:lang w:val="vi-VN"/>
        </w:rPr>
      </w:pPr>
      <w:r w:rsidRPr="008E63BB">
        <w:rPr>
          <w:lang w:val="vi-VN"/>
        </w:rPr>
        <w:br w:type="page"/>
      </w:r>
    </w:p>
    <w:p w14:paraId="519B3808" w14:textId="77777777" w:rsidR="00DE21CF" w:rsidRPr="008E63BB" w:rsidRDefault="00DE21CF" w:rsidP="0065184D">
      <w:pPr>
        <w:pStyle w:val="Heading1"/>
        <w:rPr>
          <w:lang w:val="vi-VN"/>
        </w:rPr>
      </w:pPr>
      <w:bookmarkStart w:id="448" w:name="_Toc47524719"/>
      <w:r w:rsidRPr="008E63BB">
        <w:rPr>
          <w:lang w:val="vi-VN"/>
        </w:rPr>
        <w:lastRenderedPageBreak/>
        <w:t>V</w:t>
      </w:r>
      <w:r w:rsidR="005F427D" w:rsidRPr="008E63BB">
        <w:rPr>
          <w:lang w:val="vi-VN"/>
        </w:rPr>
        <w:t>I</w:t>
      </w:r>
      <w:r w:rsidRPr="008E63BB">
        <w:rPr>
          <w:lang w:val="vi-VN"/>
        </w:rPr>
        <w:t xml:space="preserve">. PHẦN </w:t>
      </w:r>
      <w:r w:rsidR="005F427D" w:rsidRPr="008E63BB">
        <w:rPr>
          <w:lang w:val="vi-VN"/>
        </w:rPr>
        <w:t>6</w:t>
      </w:r>
      <w:r w:rsidRPr="008E63BB">
        <w:rPr>
          <w:lang w:val="vi-VN"/>
        </w:rPr>
        <w:t xml:space="preserve">: ĐỊNH HƯỚNG </w:t>
      </w:r>
      <w:r w:rsidR="00DF5534" w:rsidRPr="008E63BB">
        <w:rPr>
          <w:lang w:val="vi-VN"/>
        </w:rPr>
        <w:t xml:space="preserve">QUY HOẠCH </w:t>
      </w:r>
      <w:r w:rsidRPr="008E63BB">
        <w:rPr>
          <w:lang w:val="vi-VN"/>
        </w:rPr>
        <w:t>HỆ THỐNG HẠ TẦNG KỸ THUẬT THÀNH PHỐ NAM ĐỊNH ĐẾN NĂM 2040</w:t>
      </w:r>
      <w:bookmarkEnd w:id="448"/>
    </w:p>
    <w:p w14:paraId="519B3809" w14:textId="77777777" w:rsidR="00871A76" w:rsidRPr="008E63BB" w:rsidRDefault="00DE21CF" w:rsidP="0065184D">
      <w:pPr>
        <w:pStyle w:val="Heading2"/>
        <w:spacing w:before="0" w:after="0"/>
        <w:rPr>
          <w:kern w:val="32"/>
          <w:lang w:val="vi-VN"/>
        </w:rPr>
      </w:pPr>
      <w:bookmarkStart w:id="449" w:name="_Toc47524720"/>
      <w:r w:rsidRPr="008E63BB">
        <w:rPr>
          <w:kern w:val="32"/>
          <w:lang w:val="vi-VN"/>
        </w:rPr>
        <w:t>6</w:t>
      </w:r>
      <w:r w:rsidR="000F5DF4" w:rsidRPr="008E63BB">
        <w:rPr>
          <w:kern w:val="32"/>
          <w:lang w:val="vi-VN"/>
        </w:rPr>
        <w:t>.</w:t>
      </w:r>
      <w:r w:rsidRPr="008E63BB">
        <w:rPr>
          <w:kern w:val="32"/>
          <w:lang w:val="vi-VN"/>
        </w:rPr>
        <w:t>1</w:t>
      </w:r>
      <w:r w:rsidR="000F5DF4" w:rsidRPr="008E63BB">
        <w:rPr>
          <w:kern w:val="32"/>
          <w:lang w:val="vi-VN"/>
        </w:rPr>
        <w:t xml:space="preserve">. Định hướng </w:t>
      </w:r>
      <w:bookmarkEnd w:id="411"/>
      <w:bookmarkEnd w:id="412"/>
      <w:bookmarkEnd w:id="413"/>
      <w:bookmarkEnd w:id="414"/>
      <w:r w:rsidRPr="008E63BB">
        <w:rPr>
          <w:kern w:val="32"/>
          <w:lang w:val="vi-VN"/>
        </w:rPr>
        <w:t>quy hoạch giao thông</w:t>
      </w:r>
      <w:bookmarkEnd w:id="449"/>
    </w:p>
    <w:p w14:paraId="519B380A" w14:textId="77777777" w:rsidR="00244409" w:rsidRPr="008E63BB" w:rsidRDefault="00244409" w:rsidP="0065184D">
      <w:pPr>
        <w:rPr>
          <w:bCs/>
          <w:szCs w:val="26"/>
          <w:lang w:val="de-DE"/>
        </w:rPr>
      </w:pPr>
      <w:r w:rsidRPr="008E63BB">
        <w:rPr>
          <w:bCs/>
          <w:szCs w:val="26"/>
          <w:lang w:val="de-DE"/>
        </w:rPr>
        <w:t>a. Giao thông đối ngoại</w:t>
      </w:r>
    </w:p>
    <w:p w14:paraId="519B380B" w14:textId="77777777" w:rsidR="00907C94" w:rsidRPr="008E63BB" w:rsidRDefault="00907C94" w:rsidP="0065184D">
      <w:pPr>
        <w:rPr>
          <w:bCs/>
          <w:szCs w:val="26"/>
          <w:lang w:val="de-DE"/>
        </w:rPr>
      </w:pPr>
      <w:r w:rsidRPr="008E63BB">
        <w:rPr>
          <w:bCs/>
          <w:szCs w:val="26"/>
          <w:lang w:val="de-DE"/>
        </w:rPr>
        <w:t>* Kết nối vùng</w:t>
      </w:r>
    </w:p>
    <w:p w14:paraId="519B380C" w14:textId="77777777" w:rsidR="00907C94" w:rsidRPr="008E63BB" w:rsidRDefault="00907C94" w:rsidP="0065184D">
      <w:pPr>
        <w:rPr>
          <w:bCs/>
          <w:szCs w:val="26"/>
          <w:lang w:val="de-DE"/>
        </w:rPr>
      </w:pPr>
      <w:r w:rsidRPr="008E63BB">
        <w:rPr>
          <w:bCs/>
          <w:noProof/>
          <w:szCs w:val="26"/>
          <w:lang w:eastAsia="zh-CN"/>
        </w:rPr>
        <w:drawing>
          <wp:inline distT="0" distB="0" distL="0" distR="0" wp14:anchorId="519B5287" wp14:editId="519B5288">
            <wp:extent cx="5877192" cy="415700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5877192" cy="4157009"/>
                    </a:xfrm>
                    <a:prstGeom prst="rect">
                      <a:avLst/>
                    </a:prstGeom>
                    <a:noFill/>
                  </pic:spPr>
                </pic:pic>
              </a:graphicData>
            </a:graphic>
          </wp:inline>
        </w:drawing>
      </w:r>
    </w:p>
    <w:p w14:paraId="519B380D" w14:textId="77777777" w:rsidR="00907C94" w:rsidRPr="008E63BB" w:rsidRDefault="00907C94" w:rsidP="0065184D">
      <w:pPr>
        <w:rPr>
          <w:bCs/>
          <w:szCs w:val="26"/>
          <w:lang w:val="de-DE"/>
        </w:rPr>
      </w:pPr>
    </w:p>
    <w:p w14:paraId="519B380E" w14:textId="77777777" w:rsidR="00907C94" w:rsidRPr="008E63BB" w:rsidRDefault="00907C94" w:rsidP="0065184D">
      <w:pPr>
        <w:rPr>
          <w:bCs/>
          <w:szCs w:val="26"/>
          <w:lang w:val="de-DE"/>
        </w:rPr>
      </w:pPr>
      <w:r w:rsidRPr="008E63BB">
        <w:rPr>
          <w:bCs/>
          <w:szCs w:val="26"/>
          <w:lang w:val="de-DE"/>
        </w:rPr>
        <w:t>Kết nối đồng bộ với mạng lưới đường bộ quốc gia, cấp vùng theo các hướng:</w:t>
      </w:r>
    </w:p>
    <w:p w14:paraId="519B380F" w14:textId="77777777" w:rsidR="00907C94" w:rsidRPr="008E63BB" w:rsidRDefault="00907C94" w:rsidP="0065184D">
      <w:pPr>
        <w:rPr>
          <w:bCs/>
          <w:szCs w:val="26"/>
          <w:lang w:val="de-DE"/>
        </w:rPr>
      </w:pPr>
      <w:r w:rsidRPr="008E63BB">
        <w:rPr>
          <w:bCs/>
          <w:szCs w:val="26"/>
          <w:lang w:val="de-DE"/>
        </w:rPr>
        <w:t>- Kết nối TP. Hà Nội và các tỉnh/thành phố phía Bắc: Quốc lộ 21, 21B, 38B</w:t>
      </w:r>
    </w:p>
    <w:p w14:paraId="519B3810" w14:textId="77777777" w:rsidR="00907C94" w:rsidRPr="008E63BB" w:rsidRDefault="00907C94" w:rsidP="0065184D">
      <w:pPr>
        <w:rPr>
          <w:bCs/>
          <w:szCs w:val="26"/>
          <w:lang w:val="de-DE"/>
        </w:rPr>
      </w:pPr>
      <w:r w:rsidRPr="008E63BB">
        <w:rPr>
          <w:bCs/>
          <w:szCs w:val="26"/>
          <w:lang w:val="de-DE"/>
        </w:rPr>
        <w:t>- Kết nối các tỉnh/thảnh phố phía Nam: Quốc lộ 10, 38B</w:t>
      </w:r>
    </w:p>
    <w:p w14:paraId="519B3811" w14:textId="77777777" w:rsidR="00907C94" w:rsidRPr="008E63BB" w:rsidRDefault="00907C94" w:rsidP="0065184D">
      <w:pPr>
        <w:rPr>
          <w:bCs/>
          <w:szCs w:val="26"/>
          <w:lang w:val="de-DE"/>
        </w:rPr>
      </w:pPr>
      <w:r w:rsidRPr="008E63BB">
        <w:rPr>
          <w:bCs/>
          <w:szCs w:val="26"/>
          <w:lang w:val="de-DE"/>
        </w:rPr>
        <w:t>- Kết nối các tỉnh/thành phố ven biển: Quốc lộ 10</w:t>
      </w:r>
    </w:p>
    <w:p w14:paraId="519B3812" w14:textId="77777777" w:rsidR="00907C94" w:rsidRPr="008E63BB" w:rsidRDefault="00907C94" w:rsidP="0065184D">
      <w:pPr>
        <w:rPr>
          <w:bCs/>
          <w:szCs w:val="26"/>
          <w:lang w:val="de-DE"/>
        </w:rPr>
      </w:pPr>
      <w:r w:rsidRPr="008E63BB">
        <w:rPr>
          <w:bCs/>
          <w:szCs w:val="26"/>
          <w:lang w:val="de-DE"/>
        </w:rPr>
        <w:t>- Kết nối khu vực Khu kinh tế Ninh Cơ, cảng Hải Thịnh: Quốc lộ 21, 21B, đường trục mới hỗ trợ QL 21.</w:t>
      </w:r>
    </w:p>
    <w:p w14:paraId="519B3813" w14:textId="77777777" w:rsidR="00244409" w:rsidRPr="008E63BB" w:rsidRDefault="00244409" w:rsidP="0065184D">
      <w:pPr>
        <w:rPr>
          <w:bCs/>
          <w:szCs w:val="26"/>
          <w:lang w:val="de-DE"/>
        </w:rPr>
      </w:pPr>
      <w:r w:rsidRPr="008E63BB">
        <w:rPr>
          <w:bCs/>
          <w:szCs w:val="26"/>
          <w:lang w:val="de-DE"/>
        </w:rPr>
        <w:t>* Đường bộ</w:t>
      </w:r>
    </w:p>
    <w:p w14:paraId="519B3814" w14:textId="77777777" w:rsidR="00244409" w:rsidRPr="008E63BB" w:rsidRDefault="00244409" w:rsidP="0065184D">
      <w:pPr>
        <w:rPr>
          <w:bCs/>
          <w:szCs w:val="26"/>
          <w:lang w:val="de-DE"/>
        </w:rPr>
      </w:pPr>
      <w:r w:rsidRPr="008E63BB">
        <w:rPr>
          <w:bCs/>
          <w:szCs w:val="26"/>
          <w:lang w:val="de-DE"/>
        </w:rPr>
        <w:t>Nâng cấp, cải tạo kết hợp xây dựng mới các tuyến giao thông hướng tâm, vành đai tạo thành mạng giao thông hoàn chỉnh, kết nối hợp lý với mạng lưới giao thông quốc gia, các tỉnh/thành phố trong khu vực. Cụ thể:</w:t>
      </w:r>
    </w:p>
    <w:p w14:paraId="519B3815" w14:textId="77777777" w:rsidR="00244409" w:rsidRPr="008E63BB" w:rsidRDefault="00244409" w:rsidP="0065184D">
      <w:pPr>
        <w:rPr>
          <w:bCs/>
          <w:szCs w:val="26"/>
          <w:lang w:val="de-DE"/>
        </w:rPr>
      </w:pPr>
      <w:r w:rsidRPr="008E63BB">
        <w:rPr>
          <w:bCs/>
          <w:szCs w:val="26"/>
          <w:lang w:val="de-DE"/>
        </w:rPr>
        <w:t xml:space="preserve">- Đường hướng tâm: </w:t>
      </w:r>
    </w:p>
    <w:p w14:paraId="519B3816" w14:textId="77777777" w:rsidR="00244409" w:rsidRPr="008E63BB" w:rsidRDefault="00244409" w:rsidP="0065184D">
      <w:pPr>
        <w:rPr>
          <w:bCs/>
          <w:szCs w:val="26"/>
          <w:lang w:val="de-DE"/>
        </w:rPr>
      </w:pPr>
      <w:r w:rsidRPr="008E63BB">
        <w:rPr>
          <w:bCs/>
          <w:szCs w:val="26"/>
          <w:lang w:val="de-DE"/>
        </w:rPr>
        <w:t xml:space="preserve">+ Tiếp tục nâng cấp, hoàn thiện hệ thống đường hướng tâm bao gồm: QL 10, QL 38B, QL 21, QL 21B, ĐT. 490C. </w:t>
      </w:r>
    </w:p>
    <w:p w14:paraId="519B3817" w14:textId="77777777" w:rsidR="00182243" w:rsidRPr="008E63BB" w:rsidRDefault="00182243" w:rsidP="0065184D">
      <w:pPr>
        <w:rPr>
          <w:bCs/>
          <w:szCs w:val="26"/>
          <w:lang w:val="de-DE"/>
        </w:rPr>
      </w:pPr>
      <w:r w:rsidRPr="008E63BB">
        <w:rPr>
          <w:bCs/>
          <w:szCs w:val="26"/>
          <w:lang w:val="de-DE"/>
        </w:rPr>
        <w:t>+ Nghiên cứu xây dựng tuyế</w:t>
      </w:r>
      <w:r w:rsidR="00C32228" w:rsidRPr="008E63BB">
        <w:rPr>
          <w:bCs/>
          <w:szCs w:val="26"/>
          <w:lang w:val="de-DE"/>
        </w:rPr>
        <w:t>n tránh QL</w:t>
      </w:r>
      <w:r w:rsidRPr="008E63BB">
        <w:rPr>
          <w:bCs/>
          <w:szCs w:val="26"/>
          <w:lang w:val="de-DE"/>
        </w:rPr>
        <w:t>38B: Nắn chỉnh tuyến tránh đền Trần đoạn theo hướng từ xã Hòa Hậu, Lý Nhân (Hà Nam) đến QL21B (TP Nam Định).</w:t>
      </w:r>
    </w:p>
    <w:p w14:paraId="519B3818" w14:textId="77777777" w:rsidR="00244409" w:rsidRPr="008E63BB" w:rsidRDefault="00182243" w:rsidP="0065184D">
      <w:pPr>
        <w:rPr>
          <w:bCs/>
          <w:szCs w:val="26"/>
          <w:lang w:val="de-DE"/>
        </w:rPr>
      </w:pPr>
      <w:r w:rsidRPr="008E63BB">
        <w:rPr>
          <w:bCs/>
          <w:szCs w:val="26"/>
          <w:lang w:val="de-DE"/>
        </w:rPr>
        <w:t>+ Nghiên cứu xây dựng trục đường mới hỗ trợ QL 21 kết nối với các huyện ven biển phía Nam, hướng tuyến cơ bản chạy song song với QL 21 hiện có. Điểm đầu tại khu vực phát triển mới phía Nam (giao đường Lê Đức Thọ), quy mô đường cấp I đồng bằng.</w:t>
      </w:r>
    </w:p>
    <w:p w14:paraId="519B3819" w14:textId="77777777" w:rsidR="00244409" w:rsidRPr="008E63BB" w:rsidRDefault="00244409" w:rsidP="0065184D">
      <w:pPr>
        <w:rPr>
          <w:bCs/>
          <w:szCs w:val="26"/>
          <w:lang w:val="de-DE"/>
        </w:rPr>
      </w:pPr>
      <w:r w:rsidRPr="008E63BB">
        <w:rPr>
          <w:bCs/>
          <w:szCs w:val="26"/>
          <w:lang w:val="de-DE"/>
        </w:rPr>
        <w:lastRenderedPageBreak/>
        <w:t>- Đường vành đai</w:t>
      </w:r>
    </w:p>
    <w:p w14:paraId="519B381B" w14:textId="0E8A770A" w:rsidR="00182243" w:rsidRPr="008E63BB" w:rsidRDefault="00182243" w:rsidP="0065184D">
      <w:pPr>
        <w:rPr>
          <w:bCs/>
          <w:szCs w:val="26"/>
          <w:lang w:val="de-DE"/>
        </w:rPr>
      </w:pPr>
      <w:r w:rsidRPr="008E63BB">
        <w:rPr>
          <w:bCs/>
          <w:szCs w:val="26"/>
          <w:lang w:val="de-DE"/>
        </w:rPr>
        <w:t>+ Hiện nay việc phát triển các khu công nghiệp và đô thị đã bám sát hai bên QL 10 hiện hữu, mặc dù một số đoạn đã có đường gom nhưng vẫn xuất hiện nhiều giao cắt cùng mức, ảnh hưởng đến an toàn giao thông. Nghiên cứu xây dựng đường vành đai 2 với khoảng cách trung bình so với đường vành đai 1 từ 1,5-2km, mặt cắt ngang đường rộng 38m với 6 làn xe cơ giới. Khi tuyến đường vành đai 2 hình thành, đường vành đai 1 hiện có trở thành đường nội đô.</w:t>
      </w:r>
      <w:r w:rsidR="008A4326">
        <w:rPr>
          <w:bCs/>
          <w:szCs w:val="26"/>
          <w:lang w:val="de-DE"/>
        </w:rPr>
        <w:t xml:space="preserve"> </w:t>
      </w:r>
      <w:r w:rsidRPr="008E63BB">
        <w:rPr>
          <w:bCs/>
          <w:szCs w:val="26"/>
          <w:lang w:val="de-DE"/>
        </w:rPr>
        <w:t>(Theo Điều chỉnh Quy hoạch phát triển giao thông vận tải tỉnh Nam Định đến năm 2020, định hướng đến năm 2030 đề xuất đường vành đai 2 trên cơ sở ĐT 485B, đường vành đai 3 trên cơ sở QL 37B tuy nhiên đối với Thành phố Nam Định, đề xuất đường vành đai 2 Thành phố theo hướng gần với đường vành đai 1 hơn, trong đó 1 phần đi trùng ĐT 485B, các đọan mở mới phía Bắc và phía Đông Nam như hình dưới).</w:t>
      </w:r>
      <w:r w:rsidR="008A4326" w:rsidRPr="008A4326">
        <w:rPr>
          <w:bCs/>
          <w:szCs w:val="26"/>
          <w:lang w:val="de-DE"/>
        </w:rPr>
        <w:t xml:space="preserve"> </w:t>
      </w:r>
      <w:r w:rsidR="008A4326">
        <w:rPr>
          <w:bCs/>
          <w:szCs w:val="26"/>
          <w:lang w:val="de-DE"/>
        </w:rPr>
        <w:t xml:space="preserve">Việc xác định hướng tuyến đường giao thông trục chính cũng như vành đai sẽ được </w:t>
      </w:r>
      <w:r w:rsidR="004557C4">
        <w:rPr>
          <w:bCs/>
          <w:szCs w:val="26"/>
          <w:lang w:val="de-DE"/>
        </w:rPr>
        <w:t>nghiên cứu cụ thể</w:t>
      </w:r>
      <w:r w:rsidR="008A4326">
        <w:rPr>
          <w:bCs/>
          <w:szCs w:val="26"/>
          <w:lang w:val="de-DE"/>
        </w:rPr>
        <w:t xml:space="preserve"> </w:t>
      </w:r>
      <w:r w:rsidR="00351ED2">
        <w:rPr>
          <w:bCs/>
          <w:szCs w:val="26"/>
          <w:lang w:val="de-DE"/>
        </w:rPr>
        <w:t xml:space="preserve">chính xác hóa </w:t>
      </w:r>
      <w:r w:rsidR="008A4326">
        <w:rPr>
          <w:bCs/>
          <w:szCs w:val="26"/>
          <w:lang w:val="de-DE"/>
        </w:rPr>
        <w:t>trong quá trình triển khai dự án đầu tư cũng như lập QHPK và QHCT.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81D" w14:textId="77777777" w:rsidTr="00182243">
        <w:tc>
          <w:tcPr>
            <w:tcW w:w="9276" w:type="dxa"/>
          </w:tcPr>
          <w:p w14:paraId="519B381C" w14:textId="77777777" w:rsidR="00182243" w:rsidRPr="008E63BB" w:rsidRDefault="00182243" w:rsidP="0065184D">
            <w:pPr>
              <w:jc w:val="center"/>
              <w:rPr>
                <w:bCs/>
                <w:szCs w:val="26"/>
                <w:lang w:val="de-DE"/>
              </w:rPr>
            </w:pPr>
            <w:r w:rsidRPr="008E63BB">
              <w:rPr>
                <w:bCs/>
                <w:noProof/>
                <w:szCs w:val="26"/>
                <w:lang w:eastAsia="zh-CN"/>
              </w:rPr>
              <w:drawing>
                <wp:inline distT="0" distB="0" distL="0" distR="0" wp14:anchorId="519B5289" wp14:editId="519B528A">
                  <wp:extent cx="4779316" cy="3298512"/>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screen">
                            <a:extLst>
                              <a:ext uri="{28A0092B-C50C-407E-A947-70E740481C1C}">
                                <a14:useLocalDpi xmlns:a14="http://schemas.microsoft.com/office/drawing/2010/main"/>
                              </a:ext>
                            </a:extLst>
                          </a:blip>
                          <a:stretch>
                            <a:fillRect/>
                          </a:stretch>
                        </pic:blipFill>
                        <pic:spPr bwMode="auto">
                          <a:xfrm>
                            <a:off x="0" y="0"/>
                            <a:ext cx="4779316" cy="3298512"/>
                          </a:xfrm>
                          <a:prstGeom prst="rect">
                            <a:avLst/>
                          </a:prstGeom>
                          <a:noFill/>
                          <a:ln>
                            <a:noFill/>
                          </a:ln>
                        </pic:spPr>
                      </pic:pic>
                    </a:graphicData>
                  </a:graphic>
                </wp:inline>
              </w:drawing>
            </w:r>
          </w:p>
        </w:tc>
      </w:tr>
    </w:tbl>
    <w:p w14:paraId="519B381E" w14:textId="77777777" w:rsidR="00244409" w:rsidRPr="008E63BB" w:rsidRDefault="00244409" w:rsidP="00F43C84">
      <w:pPr>
        <w:spacing w:before="120"/>
        <w:rPr>
          <w:bCs/>
          <w:szCs w:val="26"/>
          <w:lang w:val="de-DE"/>
        </w:rPr>
      </w:pPr>
      <w:r w:rsidRPr="008E63BB">
        <w:rPr>
          <w:bCs/>
          <w:szCs w:val="26"/>
          <w:lang w:val="de-DE"/>
        </w:rPr>
        <w:t>* Đường sắt</w:t>
      </w:r>
    </w:p>
    <w:p w14:paraId="519B381F" w14:textId="77777777" w:rsidR="00182243" w:rsidRPr="008E63BB" w:rsidRDefault="00182243" w:rsidP="00F43C84">
      <w:pPr>
        <w:spacing w:before="120"/>
        <w:ind w:firstLine="709"/>
        <w:rPr>
          <w:bCs/>
          <w:szCs w:val="26"/>
          <w:lang w:val="de-DE"/>
        </w:rPr>
      </w:pPr>
      <w:r w:rsidRPr="008E63BB">
        <w:rPr>
          <w:bCs/>
          <w:szCs w:val="26"/>
          <w:lang w:val="de-DE"/>
        </w:rPr>
        <w:t>- Nâng cấp, hiện đại hóa tuyến đường sắt Bắc Nam đoạn qua khu vực nghiên cứu, từng bước xóa bỏ các đường ngang dân sinh, xây dựng hệ thống đường ngang có phòng vệ, đường gom, rào cách ly, rào bảo vệ hành lang an toàn.</w:t>
      </w:r>
    </w:p>
    <w:p w14:paraId="519B3820" w14:textId="77777777" w:rsidR="00244409" w:rsidRPr="008E63BB" w:rsidRDefault="00182243" w:rsidP="00F43C84">
      <w:pPr>
        <w:spacing w:before="120"/>
        <w:ind w:firstLine="709"/>
        <w:rPr>
          <w:bCs/>
          <w:szCs w:val="26"/>
          <w:lang w:val="de-DE"/>
        </w:rPr>
      </w:pPr>
      <w:r w:rsidRPr="008E63BB">
        <w:rPr>
          <w:bCs/>
          <w:szCs w:val="26"/>
          <w:lang w:val="de-DE"/>
        </w:rPr>
        <w:t>- Nghiên cứu dành quỹ đất xây dựng tuyến đường sắt tốc độ cao đoạn qua khu vực thành phố (đường đôi khổ 1.435mm đi trên cao)</w:t>
      </w:r>
      <w:r w:rsidR="00244409" w:rsidRPr="008E63BB">
        <w:rPr>
          <w:bCs/>
          <w:szCs w:val="26"/>
          <w:lang w:val="de-DE"/>
        </w:rPr>
        <w:t>.</w:t>
      </w:r>
    </w:p>
    <w:p w14:paraId="519B3821" w14:textId="77777777" w:rsidR="00244409" w:rsidRPr="008E63BB" w:rsidRDefault="00244409" w:rsidP="00F43C84">
      <w:pPr>
        <w:spacing w:before="120"/>
        <w:ind w:firstLine="709"/>
        <w:rPr>
          <w:bCs/>
          <w:szCs w:val="26"/>
          <w:lang w:val="de-DE"/>
        </w:rPr>
      </w:pPr>
      <w:r w:rsidRPr="008E63BB">
        <w:rPr>
          <w:bCs/>
          <w:szCs w:val="26"/>
          <w:lang w:val="de-DE"/>
        </w:rPr>
        <w:t>- Nghiên cứu dành quỹ đất xây dựng tuyến đường sắt tốc độ cao đoạn qua khu vực thành phố (đường đôi khổ 1.435mm)</w:t>
      </w:r>
    </w:p>
    <w:p w14:paraId="519B3822" w14:textId="77777777" w:rsidR="00244409" w:rsidRPr="008E63BB" w:rsidRDefault="00244409" w:rsidP="00F43C84">
      <w:pPr>
        <w:spacing w:before="120"/>
        <w:ind w:firstLine="709"/>
        <w:rPr>
          <w:bCs/>
          <w:szCs w:val="26"/>
          <w:lang w:val="de-DE"/>
        </w:rPr>
      </w:pPr>
      <w:r w:rsidRPr="008E63BB">
        <w:rPr>
          <w:bCs/>
          <w:szCs w:val="26"/>
          <w:lang w:val="de-DE"/>
        </w:rPr>
        <w:t>- Nghiên cứu xây dựng tuyến đường sắt Nam Định - Thái Bình - Hải Phòng - Quảng Ninh chạy phía Nam khu vực thành phố.</w:t>
      </w:r>
    </w:p>
    <w:p w14:paraId="519B3823" w14:textId="77777777" w:rsidR="00244409" w:rsidRPr="008E63BB" w:rsidRDefault="00244409" w:rsidP="00F43C84">
      <w:pPr>
        <w:spacing w:before="120"/>
        <w:ind w:firstLine="709"/>
        <w:rPr>
          <w:bCs/>
          <w:szCs w:val="26"/>
          <w:lang w:val="de-DE"/>
        </w:rPr>
      </w:pPr>
      <w:r w:rsidRPr="008E63BB">
        <w:rPr>
          <w:bCs/>
          <w:szCs w:val="26"/>
          <w:lang w:val="de-DE"/>
        </w:rPr>
        <w:lastRenderedPageBreak/>
        <w:t xml:space="preserve">- Nghiên cứu tuyến đường sắt nối khu vực thành phố với Khu kinh tế Ninh Cơ kết nối đồng bộ đường sắt quốc gia với hệ thống với cảng biển, khu kinh tế, khu công nghiệp.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6"/>
      </w:tblGrid>
      <w:tr w:rsidR="008D5BFE" w:rsidRPr="008E63BB" w14:paraId="519B3825" w14:textId="77777777" w:rsidTr="00182243">
        <w:tc>
          <w:tcPr>
            <w:tcW w:w="9276" w:type="dxa"/>
          </w:tcPr>
          <w:p w14:paraId="519B3824" w14:textId="77777777" w:rsidR="00182243" w:rsidRPr="008E63BB" w:rsidRDefault="00182243" w:rsidP="0065184D">
            <w:pPr>
              <w:jc w:val="center"/>
              <w:rPr>
                <w:bCs/>
                <w:szCs w:val="26"/>
                <w:lang w:val="de-DE"/>
              </w:rPr>
            </w:pPr>
            <w:r w:rsidRPr="008E63BB">
              <w:rPr>
                <w:bCs/>
                <w:noProof/>
                <w:szCs w:val="26"/>
                <w:lang w:eastAsia="zh-CN"/>
              </w:rPr>
              <w:drawing>
                <wp:inline distT="0" distB="0" distL="0" distR="0" wp14:anchorId="519B528B" wp14:editId="519B528C">
                  <wp:extent cx="4378830" cy="2998433"/>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screen">
                            <a:extLst>
                              <a:ext uri="{28A0092B-C50C-407E-A947-70E740481C1C}">
                                <a14:useLocalDpi xmlns:a14="http://schemas.microsoft.com/office/drawing/2010/main"/>
                              </a:ext>
                            </a:extLst>
                          </a:blip>
                          <a:stretch>
                            <a:fillRect/>
                          </a:stretch>
                        </pic:blipFill>
                        <pic:spPr bwMode="auto">
                          <a:xfrm>
                            <a:off x="0" y="0"/>
                            <a:ext cx="4378830" cy="2998433"/>
                          </a:xfrm>
                          <a:prstGeom prst="rect">
                            <a:avLst/>
                          </a:prstGeom>
                          <a:noFill/>
                          <a:ln>
                            <a:noFill/>
                          </a:ln>
                        </pic:spPr>
                      </pic:pic>
                    </a:graphicData>
                  </a:graphic>
                </wp:inline>
              </w:drawing>
            </w:r>
          </w:p>
        </w:tc>
      </w:tr>
    </w:tbl>
    <w:p w14:paraId="519B3826" w14:textId="77777777" w:rsidR="00244409" w:rsidRPr="008E63BB" w:rsidRDefault="00244409" w:rsidP="0065184D">
      <w:pPr>
        <w:rPr>
          <w:bCs/>
          <w:szCs w:val="26"/>
          <w:lang w:val="de-DE"/>
        </w:rPr>
      </w:pPr>
      <w:r w:rsidRPr="008E63BB">
        <w:rPr>
          <w:bCs/>
          <w:szCs w:val="26"/>
          <w:lang w:val="de-DE"/>
        </w:rPr>
        <w:t>* Đường thủy</w:t>
      </w:r>
    </w:p>
    <w:p w14:paraId="519B3827" w14:textId="77777777" w:rsidR="00244409" w:rsidRPr="008E63BB" w:rsidRDefault="00244409" w:rsidP="0065184D">
      <w:pPr>
        <w:rPr>
          <w:bCs/>
          <w:szCs w:val="26"/>
          <w:lang w:val="de-DE"/>
        </w:rPr>
      </w:pPr>
      <w:r w:rsidRPr="008E63BB">
        <w:rPr>
          <w:bCs/>
          <w:szCs w:val="26"/>
          <w:lang w:val="de-DE"/>
        </w:rPr>
        <w:t>- Nâng cấp, cải tạo luồng lạch sông Đào đạt cấp II</w:t>
      </w:r>
    </w:p>
    <w:p w14:paraId="519B3828" w14:textId="77777777" w:rsidR="00244409" w:rsidRPr="008E63BB" w:rsidRDefault="00244409" w:rsidP="00F43C84">
      <w:pPr>
        <w:ind w:firstLine="709"/>
        <w:rPr>
          <w:bCs/>
          <w:szCs w:val="26"/>
          <w:lang w:val="de-DE"/>
        </w:rPr>
      </w:pPr>
      <w:r w:rsidRPr="008E63BB">
        <w:rPr>
          <w:bCs/>
          <w:szCs w:val="26"/>
          <w:lang w:val="de-DE"/>
        </w:rPr>
        <w:t>- Xây dựng cảng sông Nam Định mới trên sông Hồng (xã Điền Xá, Nam Trực) với chức năng cảng tổng hợp. Hàng hóa thông qua cảng phục vụ chủ yếu cho các khu công nghiệp.</w:t>
      </w:r>
    </w:p>
    <w:p w14:paraId="519B3829" w14:textId="77777777" w:rsidR="00244409" w:rsidRPr="008E63BB" w:rsidRDefault="00244409" w:rsidP="00F43C84">
      <w:pPr>
        <w:ind w:firstLine="709"/>
        <w:rPr>
          <w:bCs/>
          <w:szCs w:val="26"/>
          <w:lang w:val="de-DE"/>
        </w:rPr>
      </w:pPr>
      <w:r w:rsidRPr="008E63BB">
        <w:rPr>
          <w:bCs/>
          <w:szCs w:val="26"/>
          <w:lang w:val="de-DE"/>
        </w:rPr>
        <w:t>- Nâng cấp, cải tạo cảng Nam Định cũ trên sông Đào phục vụ vận tải hành khách, du lịch.</w:t>
      </w:r>
    </w:p>
    <w:p w14:paraId="519B382A" w14:textId="77777777" w:rsidR="00244409" w:rsidRPr="008E63BB" w:rsidRDefault="00244409" w:rsidP="0065184D">
      <w:pPr>
        <w:rPr>
          <w:bCs/>
          <w:szCs w:val="26"/>
          <w:lang w:val="de-DE"/>
        </w:rPr>
      </w:pPr>
      <w:r w:rsidRPr="008E63BB">
        <w:rPr>
          <w:bCs/>
          <w:szCs w:val="26"/>
          <w:lang w:val="de-DE"/>
        </w:rPr>
        <w:t>b. Giao thông đô thị</w:t>
      </w:r>
    </w:p>
    <w:p w14:paraId="519B382B" w14:textId="77777777" w:rsidR="005A60DF" w:rsidRPr="008E63BB" w:rsidRDefault="005A60DF" w:rsidP="00F43C84">
      <w:pPr>
        <w:ind w:firstLine="709"/>
        <w:rPr>
          <w:bCs/>
          <w:szCs w:val="26"/>
          <w:lang w:val="de-DE"/>
        </w:rPr>
      </w:pPr>
      <w:r w:rsidRPr="008E63BB">
        <w:rPr>
          <w:bCs/>
          <w:szCs w:val="26"/>
          <w:lang w:val="de-DE"/>
        </w:rPr>
        <w:t>- Khu vực trung tâm thành phố hiện hữu (phố cổ, phố cũ): Đây là khu vực hiện có mật độ lớn, khó khăn trong việc giải tỏa mặt bằng, do đó cần tôn trọng hiện trạng, hạn chế mở mới, mở rộng đường. Mặt cắt ngang đường từ 13-30m</w:t>
      </w:r>
    </w:p>
    <w:p w14:paraId="519B382C" w14:textId="77777777" w:rsidR="005A60DF" w:rsidRPr="008E63BB" w:rsidRDefault="005A60DF" w:rsidP="0065184D">
      <w:pPr>
        <w:rPr>
          <w:bCs/>
          <w:szCs w:val="26"/>
          <w:lang w:val="de-DE"/>
        </w:rPr>
      </w:pPr>
      <w:r w:rsidRPr="008E63BB">
        <w:rPr>
          <w:bCs/>
          <w:noProof/>
          <w:szCs w:val="26"/>
          <w:lang w:eastAsia="zh-CN"/>
        </w:rPr>
        <w:drawing>
          <wp:inline distT="0" distB="0" distL="0" distR="0" wp14:anchorId="519B528D" wp14:editId="519B528E">
            <wp:extent cx="5869172" cy="29191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5881091" cy="2925040"/>
                    </a:xfrm>
                    <a:prstGeom prst="rect">
                      <a:avLst/>
                    </a:prstGeom>
                    <a:noFill/>
                    <a:ln>
                      <a:noFill/>
                    </a:ln>
                  </pic:spPr>
                </pic:pic>
              </a:graphicData>
            </a:graphic>
          </wp:inline>
        </w:drawing>
      </w:r>
    </w:p>
    <w:p w14:paraId="519B382D" w14:textId="77777777" w:rsidR="005A60DF" w:rsidRPr="008E63BB" w:rsidRDefault="005A60DF" w:rsidP="0065184D">
      <w:pPr>
        <w:jc w:val="center"/>
        <w:rPr>
          <w:bCs/>
          <w:szCs w:val="26"/>
          <w:lang w:val="de-DE"/>
        </w:rPr>
      </w:pPr>
    </w:p>
    <w:p w14:paraId="519B382E" w14:textId="1D452F81" w:rsidR="005A60DF" w:rsidRPr="008E63BB" w:rsidRDefault="005A60DF" w:rsidP="0065184D">
      <w:pPr>
        <w:rPr>
          <w:bCs/>
          <w:szCs w:val="26"/>
          <w:lang w:val="de-DE"/>
        </w:rPr>
      </w:pPr>
      <w:r w:rsidRPr="008E63BB">
        <w:rPr>
          <w:bCs/>
          <w:szCs w:val="26"/>
          <w:lang w:val="de-DE"/>
        </w:rPr>
        <w:lastRenderedPageBreak/>
        <w:t xml:space="preserve">- Xây dựng các trục </w:t>
      </w:r>
      <w:r w:rsidR="008A4326">
        <w:rPr>
          <w:bCs/>
          <w:szCs w:val="26"/>
          <w:lang w:val="de-DE"/>
        </w:rPr>
        <w:t>đ</w:t>
      </w:r>
      <w:r w:rsidRPr="008E63BB">
        <w:rPr>
          <w:bCs/>
          <w:szCs w:val="26"/>
          <w:lang w:val="de-DE"/>
        </w:rPr>
        <w:t>ường chính kết nối khu vực trung tâm hiện hữu với các khu đô thị, khu chức năng mới của thành phố, mặt cắt ngang đường từ 24-52m</w:t>
      </w:r>
    </w:p>
    <w:p w14:paraId="519B382F" w14:textId="77777777" w:rsidR="005A60DF" w:rsidRPr="008E63BB" w:rsidRDefault="005A60DF" w:rsidP="0065184D">
      <w:pPr>
        <w:rPr>
          <w:bCs/>
          <w:szCs w:val="26"/>
          <w:lang w:val="de-DE"/>
        </w:rPr>
      </w:pPr>
      <w:r w:rsidRPr="008E63BB">
        <w:rPr>
          <w:bCs/>
          <w:szCs w:val="26"/>
          <w:lang w:val="de-DE"/>
        </w:rPr>
        <w:t>- Nghiên cứu đấu nối đường Trần Hưng Đạo đi thẳng ra khu vực đường Trường Chinh.</w:t>
      </w:r>
    </w:p>
    <w:p w14:paraId="519B3830" w14:textId="77777777" w:rsidR="005A60DF" w:rsidRPr="008E63BB" w:rsidRDefault="005A60DF" w:rsidP="0065184D">
      <w:pPr>
        <w:rPr>
          <w:bCs/>
          <w:szCs w:val="26"/>
          <w:lang w:val="de-DE"/>
        </w:rPr>
      </w:pPr>
    </w:p>
    <w:p w14:paraId="519B3831" w14:textId="77777777" w:rsidR="005A60DF" w:rsidRPr="008E63BB" w:rsidRDefault="005A60DF" w:rsidP="0065184D">
      <w:pPr>
        <w:jc w:val="center"/>
        <w:rPr>
          <w:bCs/>
          <w:szCs w:val="26"/>
          <w:lang w:val="de-DE"/>
        </w:rPr>
      </w:pPr>
      <w:r w:rsidRPr="008E63BB">
        <w:rPr>
          <w:bCs/>
          <w:noProof/>
          <w:szCs w:val="26"/>
          <w:lang w:eastAsia="zh-CN"/>
        </w:rPr>
        <w:drawing>
          <wp:inline distT="0" distB="0" distL="0" distR="0" wp14:anchorId="519B528F" wp14:editId="519B5290">
            <wp:extent cx="4241800" cy="2838893"/>
            <wp:effectExtent l="0" t="0" r="635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4250569" cy="2844762"/>
                    </a:xfrm>
                    <a:prstGeom prst="rect">
                      <a:avLst/>
                    </a:prstGeom>
                    <a:noFill/>
                    <a:ln>
                      <a:noFill/>
                    </a:ln>
                    <a:extLst>
                      <a:ext uri="{53640926-AAD7-44D8-BBD7-CCE9431645EC}">
                        <a14:shadowObscured xmlns:a14="http://schemas.microsoft.com/office/drawing/2010/main"/>
                      </a:ext>
                    </a:extLst>
                  </pic:spPr>
                </pic:pic>
              </a:graphicData>
            </a:graphic>
          </wp:inline>
        </w:drawing>
      </w:r>
    </w:p>
    <w:p w14:paraId="519B3832" w14:textId="77777777" w:rsidR="005A60DF" w:rsidRPr="008E63BB" w:rsidRDefault="005A60DF" w:rsidP="0065184D">
      <w:pPr>
        <w:jc w:val="center"/>
        <w:rPr>
          <w:bCs/>
          <w:szCs w:val="26"/>
          <w:lang w:val="de-DE"/>
        </w:rPr>
      </w:pPr>
      <w:r w:rsidRPr="008E63BB">
        <w:rPr>
          <w:bCs/>
          <w:szCs w:val="26"/>
          <w:lang w:val="de-DE"/>
        </w:rPr>
        <w:t>Hình. Phương án đấu nối đường Trần Hưng Đạo – đường Trường Chinh</w:t>
      </w:r>
    </w:p>
    <w:p w14:paraId="519B3833" w14:textId="77777777" w:rsidR="00244409" w:rsidRPr="008E63BB" w:rsidRDefault="005A60DF" w:rsidP="00F43C84">
      <w:pPr>
        <w:ind w:firstLine="709"/>
        <w:rPr>
          <w:bCs/>
          <w:szCs w:val="26"/>
          <w:lang w:val="de-DE"/>
        </w:rPr>
      </w:pPr>
      <w:r w:rsidRPr="008E63BB">
        <w:rPr>
          <w:bCs/>
          <w:szCs w:val="26"/>
          <w:lang w:val="de-DE"/>
        </w:rPr>
        <w:t>- Khu vực ngoại thành: Xây dựng giao thông nông thôn đáp ứng theo tiêu chí về theo chương trình xây dựng nông thôn mới. Nâng cấp hệ thống đường huyện, đường xã theo cấp kỹ thuật phù hợp, quy mô mặt cắt ngang đường đạt cấp V-III đồng bằng.</w:t>
      </w:r>
    </w:p>
    <w:p w14:paraId="519B3834" w14:textId="77777777" w:rsidR="005952EF" w:rsidRPr="008E63BB" w:rsidRDefault="005952EF" w:rsidP="005952EF">
      <w:pPr>
        <w:rPr>
          <w:bCs/>
          <w:szCs w:val="26"/>
          <w:lang w:val="de-DE"/>
        </w:rPr>
      </w:pPr>
      <w:r w:rsidRPr="008E63BB">
        <w:rPr>
          <w:bCs/>
          <w:szCs w:val="26"/>
          <w:lang w:val="de-DE"/>
        </w:rPr>
        <w:t>* Dự báo nhu cầu vận tải hàng hóa và hành khách</w:t>
      </w:r>
    </w:p>
    <w:p w14:paraId="519B3835" w14:textId="77777777" w:rsidR="005952EF" w:rsidRPr="008E63BB" w:rsidRDefault="005952EF" w:rsidP="00F43C84">
      <w:pPr>
        <w:ind w:firstLine="709"/>
        <w:rPr>
          <w:bCs/>
          <w:szCs w:val="26"/>
          <w:lang w:val="de-DE"/>
        </w:rPr>
      </w:pPr>
      <w:r w:rsidRPr="008E63BB">
        <w:rPr>
          <w:bCs/>
          <w:szCs w:val="26"/>
          <w:lang w:val="de-DE"/>
        </w:rPr>
        <w:t>- Hiện nay có nhiều phương pháp dự báo nhu cầu vận tải; mỗi phương án có ưu nhược điểm và phạm vi áp dụng nhất định, tùy theo từng điều kiện cụ thể của từng loại quy hoạch mà áp dụng hoặc kết hợp các phương pháp dự báo khác nhau.</w:t>
      </w:r>
    </w:p>
    <w:p w14:paraId="519B3836" w14:textId="77777777" w:rsidR="005952EF" w:rsidRPr="008E63BB" w:rsidRDefault="005952EF" w:rsidP="00F43C84">
      <w:pPr>
        <w:ind w:firstLine="709"/>
        <w:rPr>
          <w:bCs/>
          <w:szCs w:val="26"/>
          <w:lang w:val="de-DE"/>
        </w:rPr>
      </w:pPr>
      <w:r w:rsidRPr="008E63BB">
        <w:rPr>
          <w:bCs/>
          <w:szCs w:val="26"/>
          <w:lang w:val="de-DE"/>
        </w:rPr>
        <w:t>- Trong dự báo về nhu cầu vận tải hàng hóa, hành khách đối với khu vực thành phố Nam Định, phương pháp ngoại suy được sử dụng trong đó phương pháp này chủ yếu dựa trên số liệu thống kê trong quá khứ và dự báo cho tương lai bằng mô hình hàm tuyến tính.</w:t>
      </w:r>
    </w:p>
    <w:p w14:paraId="519B3837" w14:textId="77777777" w:rsidR="005952EF" w:rsidRPr="008E63BB" w:rsidRDefault="005952EF" w:rsidP="00F43C84">
      <w:pPr>
        <w:ind w:firstLine="709"/>
        <w:rPr>
          <w:bCs/>
          <w:szCs w:val="26"/>
          <w:lang w:val="de-DE"/>
        </w:rPr>
      </w:pPr>
      <w:r w:rsidRPr="008E63BB">
        <w:rPr>
          <w:bCs/>
          <w:szCs w:val="26"/>
          <w:lang w:val="de-DE"/>
        </w:rPr>
        <w:t>- Khối lượng vận tải được dự báo theo tốc độ tăng trưởng kinh tế giai đoạn 2011-2020 là 7,0%. Nhu cầu vận tải tăng bình quân về hàng hóa là 8,07% về tấn; về hành khách là 5,42% về khách. Giai đoạn 2021-2030 và 2030-2040: dự báo nhu cầu vận tải hàng hoá và hành khách giữ mức tăng trưởng ổn định, lần lượt đạt 8,41% - 8,56% về hàng hóa; và 5,81% – 6,12% về hành khách. Dự báo nhu cầu vận tải chung được thống kê theo Bảng dưới đây.</w:t>
      </w:r>
    </w:p>
    <w:tbl>
      <w:tblPr>
        <w:tblStyle w:val="TableGrid"/>
        <w:tblW w:w="0" w:type="auto"/>
        <w:jc w:val="center"/>
        <w:tblLook w:val="04A0" w:firstRow="1" w:lastRow="0" w:firstColumn="1" w:lastColumn="0" w:noHBand="0" w:noVBand="1"/>
      </w:tblPr>
      <w:tblGrid>
        <w:gridCol w:w="1855"/>
        <w:gridCol w:w="1855"/>
        <w:gridCol w:w="1855"/>
      </w:tblGrid>
      <w:tr w:rsidR="005952EF" w:rsidRPr="008E63BB" w14:paraId="519B383B" w14:textId="77777777" w:rsidTr="00F00E16">
        <w:trPr>
          <w:jc w:val="center"/>
        </w:trPr>
        <w:tc>
          <w:tcPr>
            <w:tcW w:w="1855" w:type="dxa"/>
            <w:vAlign w:val="center"/>
          </w:tcPr>
          <w:p w14:paraId="519B3838" w14:textId="77777777" w:rsidR="005952EF" w:rsidRPr="008E63BB" w:rsidRDefault="005952EF" w:rsidP="00F00E16">
            <w:pPr>
              <w:jc w:val="center"/>
              <w:rPr>
                <w:b/>
                <w:sz w:val="24"/>
                <w:szCs w:val="24"/>
                <w:lang w:val="de-DE"/>
              </w:rPr>
            </w:pPr>
            <w:r w:rsidRPr="008E63BB">
              <w:rPr>
                <w:b/>
                <w:sz w:val="24"/>
                <w:szCs w:val="24"/>
                <w:lang w:val="de-DE"/>
              </w:rPr>
              <w:t>Năm</w:t>
            </w:r>
          </w:p>
        </w:tc>
        <w:tc>
          <w:tcPr>
            <w:tcW w:w="1855" w:type="dxa"/>
            <w:vAlign w:val="center"/>
          </w:tcPr>
          <w:p w14:paraId="519B3839" w14:textId="77777777" w:rsidR="005952EF" w:rsidRPr="008E63BB" w:rsidRDefault="005952EF" w:rsidP="00F00E16">
            <w:pPr>
              <w:jc w:val="center"/>
              <w:rPr>
                <w:b/>
                <w:sz w:val="24"/>
                <w:szCs w:val="24"/>
                <w:lang w:val="de-DE"/>
              </w:rPr>
            </w:pPr>
            <w:r w:rsidRPr="008E63BB">
              <w:rPr>
                <w:b/>
                <w:sz w:val="24"/>
                <w:szCs w:val="24"/>
                <w:lang w:val="de-DE"/>
              </w:rPr>
              <w:t>Hàng hóa (nghìn tấn)</w:t>
            </w:r>
          </w:p>
        </w:tc>
        <w:tc>
          <w:tcPr>
            <w:tcW w:w="1855" w:type="dxa"/>
            <w:vAlign w:val="center"/>
          </w:tcPr>
          <w:p w14:paraId="519B383A" w14:textId="77777777" w:rsidR="005952EF" w:rsidRPr="008E63BB" w:rsidRDefault="005952EF" w:rsidP="00F00E16">
            <w:pPr>
              <w:jc w:val="center"/>
              <w:rPr>
                <w:b/>
                <w:sz w:val="24"/>
                <w:szCs w:val="24"/>
                <w:lang w:val="de-DE"/>
              </w:rPr>
            </w:pPr>
            <w:r w:rsidRPr="008E63BB">
              <w:rPr>
                <w:b/>
                <w:sz w:val="24"/>
                <w:szCs w:val="24"/>
                <w:lang w:val="de-DE"/>
              </w:rPr>
              <w:t>Hành khách (nghìn người)</w:t>
            </w:r>
          </w:p>
        </w:tc>
      </w:tr>
      <w:tr w:rsidR="005952EF" w:rsidRPr="008E63BB" w14:paraId="519B383F" w14:textId="77777777" w:rsidTr="00F00E16">
        <w:trPr>
          <w:jc w:val="center"/>
        </w:trPr>
        <w:tc>
          <w:tcPr>
            <w:tcW w:w="1855" w:type="dxa"/>
          </w:tcPr>
          <w:p w14:paraId="519B383C" w14:textId="77777777" w:rsidR="005952EF" w:rsidRPr="008E63BB" w:rsidRDefault="005952EF" w:rsidP="00F00E16">
            <w:pPr>
              <w:jc w:val="center"/>
              <w:rPr>
                <w:bCs/>
                <w:szCs w:val="26"/>
                <w:lang w:val="de-DE"/>
              </w:rPr>
            </w:pPr>
            <w:r w:rsidRPr="008E63BB">
              <w:rPr>
                <w:bCs/>
                <w:szCs w:val="26"/>
                <w:lang w:val="de-DE"/>
              </w:rPr>
              <w:t>2011</w:t>
            </w:r>
          </w:p>
        </w:tc>
        <w:tc>
          <w:tcPr>
            <w:tcW w:w="1855" w:type="dxa"/>
          </w:tcPr>
          <w:p w14:paraId="519B383D" w14:textId="77777777" w:rsidR="005952EF" w:rsidRPr="008E63BB" w:rsidRDefault="005952EF" w:rsidP="00F00E16">
            <w:pPr>
              <w:jc w:val="center"/>
              <w:rPr>
                <w:bCs/>
                <w:szCs w:val="26"/>
                <w:lang w:val="de-DE"/>
              </w:rPr>
            </w:pPr>
            <w:r w:rsidRPr="008E63BB">
              <w:rPr>
                <w:bCs/>
                <w:szCs w:val="26"/>
                <w:lang w:val="de-DE"/>
              </w:rPr>
              <w:t>3.328,3</w:t>
            </w:r>
          </w:p>
        </w:tc>
        <w:tc>
          <w:tcPr>
            <w:tcW w:w="1855" w:type="dxa"/>
          </w:tcPr>
          <w:p w14:paraId="519B383E" w14:textId="77777777" w:rsidR="005952EF" w:rsidRPr="008E63BB" w:rsidRDefault="005952EF" w:rsidP="00F00E16">
            <w:pPr>
              <w:jc w:val="center"/>
              <w:rPr>
                <w:bCs/>
                <w:szCs w:val="26"/>
                <w:lang w:val="de-DE"/>
              </w:rPr>
            </w:pPr>
            <w:r w:rsidRPr="008E63BB">
              <w:rPr>
                <w:bCs/>
                <w:szCs w:val="26"/>
                <w:lang w:val="de-DE"/>
              </w:rPr>
              <w:t>2.005</w:t>
            </w:r>
          </w:p>
        </w:tc>
      </w:tr>
      <w:tr w:rsidR="005952EF" w:rsidRPr="008E63BB" w14:paraId="519B3843" w14:textId="77777777" w:rsidTr="00F00E16">
        <w:trPr>
          <w:jc w:val="center"/>
        </w:trPr>
        <w:tc>
          <w:tcPr>
            <w:tcW w:w="1855" w:type="dxa"/>
          </w:tcPr>
          <w:p w14:paraId="519B3840" w14:textId="77777777" w:rsidR="005952EF" w:rsidRPr="008E63BB" w:rsidRDefault="005952EF" w:rsidP="00F00E16">
            <w:pPr>
              <w:jc w:val="center"/>
              <w:rPr>
                <w:bCs/>
                <w:szCs w:val="26"/>
                <w:lang w:val="de-DE"/>
              </w:rPr>
            </w:pPr>
            <w:r w:rsidRPr="008E63BB">
              <w:rPr>
                <w:bCs/>
                <w:szCs w:val="26"/>
                <w:lang w:val="de-DE"/>
              </w:rPr>
              <w:t>2015</w:t>
            </w:r>
          </w:p>
        </w:tc>
        <w:tc>
          <w:tcPr>
            <w:tcW w:w="1855" w:type="dxa"/>
          </w:tcPr>
          <w:p w14:paraId="519B3841" w14:textId="77777777" w:rsidR="005952EF" w:rsidRPr="008E63BB" w:rsidRDefault="005952EF" w:rsidP="00F00E16">
            <w:pPr>
              <w:jc w:val="center"/>
              <w:rPr>
                <w:bCs/>
                <w:szCs w:val="26"/>
                <w:lang w:val="de-DE"/>
              </w:rPr>
            </w:pPr>
            <w:r w:rsidRPr="008E63BB">
              <w:rPr>
                <w:bCs/>
                <w:szCs w:val="26"/>
                <w:lang w:val="de-DE"/>
              </w:rPr>
              <w:t>4.540,3</w:t>
            </w:r>
          </w:p>
        </w:tc>
        <w:tc>
          <w:tcPr>
            <w:tcW w:w="1855" w:type="dxa"/>
          </w:tcPr>
          <w:p w14:paraId="519B3842" w14:textId="77777777" w:rsidR="005952EF" w:rsidRPr="008E63BB" w:rsidRDefault="005952EF" w:rsidP="00F00E16">
            <w:pPr>
              <w:jc w:val="center"/>
              <w:rPr>
                <w:bCs/>
                <w:szCs w:val="26"/>
                <w:lang w:val="de-DE"/>
              </w:rPr>
            </w:pPr>
            <w:r w:rsidRPr="008E63BB">
              <w:rPr>
                <w:bCs/>
                <w:szCs w:val="26"/>
                <w:lang w:val="de-DE"/>
              </w:rPr>
              <w:t>2.349</w:t>
            </w:r>
          </w:p>
        </w:tc>
      </w:tr>
      <w:tr w:rsidR="005952EF" w:rsidRPr="008E63BB" w14:paraId="519B3847" w14:textId="77777777" w:rsidTr="00F00E16">
        <w:trPr>
          <w:jc w:val="center"/>
        </w:trPr>
        <w:tc>
          <w:tcPr>
            <w:tcW w:w="1855" w:type="dxa"/>
          </w:tcPr>
          <w:p w14:paraId="519B3844" w14:textId="77777777" w:rsidR="005952EF" w:rsidRPr="008E63BB" w:rsidRDefault="005952EF" w:rsidP="00F00E16">
            <w:pPr>
              <w:jc w:val="center"/>
              <w:rPr>
                <w:bCs/>
                <w:szCs w:val="26"/>
                <w:lang w:val="de-DE"/>
              </w:rPr>
            </w:pPr>
            <w:r w:rsidRPr="008E63BB">
              <w:rPr>
                <w:bCs/>
                <w:szCs w:val="26"/>
                <w:lang w:val="de-DE"/>
              </w:rPr>
              <w:t>2020</w:t>
            </w:r>
          </w:p>
        </w:tc>
        <w:tc>
          <w:tcPr>
            <w:tcW w:w="1855" w:type="dxa"/>
          </w:tcPr>
          <w:p w14:paraId="519B3845" w14:textId="77777777" w:rsidR="005952EF" w:rsidRPr="008E63BB" w:rsidRDefault="005952EF" w:rsidP="00F00E16">
            <w:pPr>
              <w:jc w:val="center"/>
              <w:rPr>
                <w:bCs/>
                <w:szCs w:val="26"/>
                <w:lang w:val="de-DE"/>
              </w:rPr>
            </w:pPr>
            <w:r w:rsidRPr="008E63BB">
              <w:rPr>
                <w:bCs/>
                <w:szCs w:val="26"/>
                <w:lang w:val="de-DE"/>
              </w:rPr>
              <w:t>6.692,8</w:t>
            </w:r>
          </w:p>
        </w:tc>
        <w:tc>
          <w:tcPr>
            <w:tcW w:w="1855" w:type="dxa"/>
          </w:tcPr>
          <w:p w14:paraId="519B3846" w14:textId="77777777" w:rsidR="005952EF" w:rsidRPr="008E63BB" w:rsidRDefault="005952EF" w:rsidP="00F00E16">
            <w:pPr>
              <w:jc w:val="center"/>
              <w:rPr>
                <w:bCs/>
                <w:szCs w:val="26"/>
                <w:lang w:val="de-DE"/>
              </w:rPr>
            </w:pPr>
            <w:r w:rsidRPr="008E63BB">
              <w:rPr>
                <w:bCs/>
                <w:szCs w:val="26"/>
                <w:lang w:val="de-DE"/>
              </w:rPr>
              <w:t>3.224,2</w:t>
            </w:r>
          </w:p>
        </w:tc>
      </w:tr>
      <w:tr w:rsidR="005952EF" w:rsidRPr="008E63BB" w14:paraId="519B384B" w14:textId="77777777" w:rsidTr="00F00E16">
        <w:trPr>
          <w:jc w:val="center"/>
        </w:trPr>
        <w:tc>
          <w:tcPr>
            <w:tcW w:w="1855" w:type="dxa"/>
          </w:tcPr>
          <w:p w14:paraId="519B3848" w14:textId="77777777" w:rsidR="005952EF" w:rsidRPr="008E63BB" w:rsidRDefault="005952EF" w:rsidP="00F00E16">
            <w:pPr>
              <w:jc w:val="center"/>
              <w:rPr>
                <w:bCs/>
                <w:szCs w:val="26"/>
                <w:lang w:val="de-DE"/>
              </w:rPr>
            </w:pPr>
            <w:r w:rsidRPr="008E63BB">
              <w:rPr>
                <w:bCs/>
                <w:szCs w:val="26"/>
                <w:lang w:val="de-DE"/>
              </w:rPr>
              <w:t>2030</w:t>
            </w:r>
          </w:p>
        </w:tc>
        <w:tc>
          <w:tcPr>
            <w:tcW w:w="1855" w:type="dxa"/>
          </w:tcPr>
          <w:p w14:paraId="519B3849" w14:textId="77777777" w:rsidR="005952EF" w:rsidRPr="008E63BB" w:rsidRDefault="005952EF" w:rsidP="00F00E16">
            <w:pPr>
              <w:jc w:val="center"/>
              <w:rPr>
                <w:bCs/>
                <w:szCs w:val="26"/>
                <w:lang w:val="de-DE"/>
              </w:rPr>
            </w:pPr>
            <w:r w:rsidRPr="008E63BB">
              <w:rPr>
                <w:bCs/>
                <w:szCs w:val="26"/>
                <w:lang w:val="de-DE"/>
              </w:rPr>
              <w:t>14.543,2</w:t>
            </w:r>
          </w:p>
        </w:tc>
        <w:tc>
          <w:tcPr>
            <w:tcW w:w="1855" w:type="dxa"/>
          </w:tcPr>
          <w:p w14:paraId="519B384A" w14:textId="77777777" w:rsidR="005952EF" w:rsidRPr="008E63BB" w:rsidRDefault="005952EF" w:rsidP="00F00E16">
            <w:pPr>
              <w:jc w:val="center"/>
              <w:rPr>
                <w:bCs/>
                <w:szCs w:val="26"/>
                <w:lang w:val="de-DE"/>
              </w:rPr>
            </w:pPr>
            <w:r w:rsidRPr="008E63BB">
              <w:rPr>
                <w:bCs/>
                <w:szCs w:val="26"/>
                <w:lang w:val="de-DE"/>
              </w:rPr>
              <w:t>5.465,8</w:t>
            </w:r>
          </w:p>
        </w:tc>
      </w:tr>
      <w:tr w:rsidR="005952EF" w:rsidRPr="008E63BB" w14:paraId="519B384F" w14:textId="77777777" w:rsidTr="00F00E16">
        <w:trPr>
          <w:jc w:val="center"/>
        </w:trPr>
        <w:tc>
          <w:tcPr>
            <w:tcW w:w="1855" w:type="dxa"/>
          </w:tcPr>
          <w:p w14:paraId="519B384C" w14:textId="77777777" w:rsidR="005952EF" w:rsidRPr="008E63BB" w:rsidRDefault="005952EF" w:rsidP="00F00E16">
            <w:pPr>
              <w:jc w:val="center"/>
              <w:rPr>
                <w:bCs/>
                <w:szCs w:val="26"/>
                <w:lang w:val="de-DE"/>
              </w:rPr>
            </w:pPr>
            <w:r w:rsidRPr="008E63BB">
              <w:rPr>
                <w:bCs/>
                <w:szCs w:val="26"/>
                <w:lang w:val="de-DE"/>
              </w:rPr>
              <w:t>2040</w:t>
            </w:r>
          </w:p>
        </w:tc>
        <w:tc>
          <w:tcPr>
            <w:tcW w:w="1855" w:type="dxa"/>
          </w:tcPr>
          <w:p w14:paraId="519B384D" w14:textId="77777777" w:rsidR="005952EF" w:rsidRPr="008E63BB" w:rsidRDefault="005952EF" w:rsidP="00F00E16">
            <w:pPr>
              <w:jc w:val="center"/>
              <w:rPr>
                <w:bCs/>
                <w:szCs w:val="26"/>
                <w:lang w:val="de-DE"/>
              </w:rPr>
            </w:pPr>
            <w:r w:rsidRPr="008E63BB">
              <w:rPr>
                <w:bCs/>
                <w:szCs w:val="26"/>
                <w:lang w:val="de-DE"/>
              </w:rPr>
              <w:t>31.601,7</w:t>
            </w:r>
          </w:p>
        </w:tc>
        <w:tc>
          <w:tcPr>
            <w:tcW w:w="1855" w:type="dxa"/>
          </w:tcPr>
          <w:p w14:paraId="519B384E" w14:textId="77777777" w:rsidR="005952EF" w:rsidRPr="008E63BB" w:rsidRDefault="005952EF" w:rsidP="00F00E16">
            <w:pPr>
              <w:jc w:val="center"/>
              <w:rPr>
                <w:bCs/>
                <w:szCs w:val="26"/>
                <w:lang w:val="de-DE"/>
              </w:rPr>
            </w:pPr>
            <w:r w:rsidRPr="008E63BB">
              <w:rPr>
                <w:bCs/>
                <w:szCs w:val="26"/>
                <w:lang w:val="de-DE"/>
              </w:rPr>
              <w:t>9.265,8</w:t>
            </w:r>
          </w:p>
        </w:tc>
      </w:tr>
    </w:tbl>
    <w:p w14:paraId="519B3850" w14:textId="77777777" w:rsidR="005952EF" w:rsidRPr="008E63BB" w:rsidRDefault="005952EF" w:rsidP="005952EF">
      <w:pPr>
        <w:rPr>
          <w:bCs/>
          <w:szCs w:val="26"/>
          <w:lang w:val="de-DE"/>
        </w:rPr>
      </w:pPr>
      <w:r w:rsidRPr="008E63BB">
        <w:rPr>
          <w:bCs/>
          <w:szCs w:val="26"/>
          <w:lang w:val="de-DE"/>
        </w:rPr>
        <w:t>- Dự báo nhu cầu đi lại của người dân</w:t>
      </w:r>
    </w:p>
    <w:p w14:paraId="519B3851" w14:textId="77777777" w:rsidR="005952EF" w:rsidRPr="008E63BB" w:rsidRDefault="005952EF" w:rsidP="005952EF">
      <w:pPr>
        <w:rPr>
          <w:bCs/>
          <w:spacing w:val="-2"/>
          <w:szCs w:val="26"/>
          <w:lang w:val="de-DE"/>
        </w:rPr>
      </w:pPr>
      <w:r w:rsidRPr="008E63BB">
        <w:rPr>
          <w:bCs/>
          <w:spacing w:val="-2"/>
          <w:szCs w:val="26"/>
          <w:lang w:val="de-DE"/>
        </w:rPr>
        <w:lastRenderedPageBreak/>
        <w:t xml:space="preserve">Trên cơ sở đánh giá tỷ lệ chuyến đi của một số thành phố tại Việt Nam, lựa chọn tỷ lệ này cho các năm 2030 và 2040 lần lượt là 2,5 chuyến/người/ngày và 3 chuyến/người/ngày. Nhu cầu đi lại và tỷ trọng phân bổ giữa các loại hình giao thông được tổng hợp theo </w:t>
      </w:r>
      <w:r w:rsidR="00F43C84" w:rsidRPr="008E63BB">
        <w:rPr>
          <w:bCs/>
          <w:spacing w:val="-2"/>
          <w:szCs w:val="26"/>
          <w:lang w:val="de-DE"/>
        </w:rPr>
        <w:t>b</w:t>
      </w:r>
      <w:r w:rsidRPr="008E63BB">
        <w:rPr>
          <w:bCs/>
          <w:spacing w:val="-2"/>
          <w:szCs w:val="26"/>
          <w:lang w:val="de-DE"/>
        </w:rPr>
        <w:t>ảng dưới đây</w:t>
      </w:r>
      <w:r w:rsidR="00F43C84" w:rsidRPr="008E63BB">
        <w:rPr>
          <w:bCs/>
          <w:spacing w:val="-2"/>
          <w:szCs w:val="26"/>
          <w:lang w:val="de-DE"/>
        </w:rPr>
        <w:t>:</w:t>
      </w:r>
    </w:p>
    <w:tbl>
      <w:tblPr>
        <w:tblStyle w:val="TableGrid"/>
        <w:tblW w:w="0" w:type="auto"/>
        <w:jc w:val="center"/>
        <w:tblLook w:val="04A0" w:firstRow="1" w:lastRow="0" w:firstColumn="1" w:lastColumn="0" w:noHBand="0" w:noVBand="1"/>
      </w:tblPr>
      <w:tblGrid>
        <w:gridCol w:w="563"/>
        <w:gridCol w:w="3141"/>
        <w:gridCol w:w="1256"/>
        <w:gridCol w:w="1256"/>
      </w:tblGrid>
      <w:tr w:rsidR="005952EF" w:rsidRPr="008E63BB" w14:paraId="519B3856" w14:textId="77777777" w:rsidTr="00F00E16">
        <w:trPr>
          <w:jc w:val="center"/>
        </w:trPr>
        <w:tc>
          <w:tcPr>
            <w:tcW w:w="0" w:type="auto"/>
          </w:tcPr>
          <w:p w14:paraId="519B3852" w14:textId="77777777" w:rsidR="005952EF" w:rsidRPr="008E63BB" w:rsidRDefault="00F43C84" w:rsidP="00F43C84">
            <w:pPr>
              <w:jc w:val="center"/>
              <w:rPr>
                <w:b/>
                <w:bCs/>
                <w:szCs w:val="26"/>
                <w:lang w:val="de-DE"/>
              </w:rPr>
            </w:pPr>
            <w:r w:rsidRPr="008E63BB">
              <w:rPr>
                <w:b/>
                <w:bCs/>
                <w:szCs w:val="26"/>
                <w:lang w:val="de-DE"/>
              </w:rPr>
              <w:t>TT</w:t>
            </w:r>
          </w:p>
        </w:tc>
        <w:tc>
          <w:tcPr>
            <w:tcW w:w="0" w:type="auto"/>
          </w:tcPr>
          <w:p w14:paraId="519B3853" w14:textId="77777777" w:rsidR="005952EF" w:rsidRPr="008E63BB" w:rsidRDefault="00F43C84" w:rsidP="00F43C84">
            <w:pPr>
              <w:jc w:val="center"/>
              <w:rPr>
                <w:b/>
                <w:bCs/>
                <w:szCs w:val="26"/>
                <w:lang w:val="de-DE"/>
              </w:rPr>
            </w:pPr>
            <w:r w:rsidRPr="008E63BB">
              <w:rPr>
                <w:b/>
                <w:bCs/>
                <w:szCs w:val="26"/>
                <w:lang w:val="de-DE"/>
              </w:rPr>
              <w:t>Hạng mục</w:t>
            </w:r>
          </w:p>
        </w:tc>
        <w:tc>
          <w:tcPr>
            <w:tcW w:w="0" w:type="auto"/>
          </w:tcPr>
          <w:p w14:paraId="519B3854" w14:textId="77777777" w:rsidR="005952EF" w:rsidRPr="008E63BB" w:rsidRDefault="005952EF" w:rsidP="00F43C84">
            <w:pPr>
              <w:jc w:val="center"/>
              <w:rPr>
                <w:b/>
                <w:sz w:val="24"/>
                <w:szCs w:val="24"/>
                <w:lang w:val="de-DE"/>
              </w:rPr>
            </w:pPr>
            <w:r w:rsidRPr="008E63BB">
              <w:rPr>
                <w:b/>
                <w:sz w:val="24"/>
                <w:szCs w:val="24"/>
                <w:lang w:val="de-DE"/>
              </w:rPr>
              <w:t>2030</w:t>
            </w:r>
          </w:p>
        </w:tc>
        <w:tc>
          <w:tcPr>
            <w:tcW w:w="0" w:type="auto"/>
          </w:tcPr>
          <w:p w14:paraId="519B3855" w14:textId="77777777" w:rsidR="005952EF" w:rsidRPr="008E63BB" w:rsidRDefault="005952EF" w:rsidP="00F43C84">
            <w:pPr>
              <w:jc w:val="center"/>
              <w:rPr>
                <w:b/>
                <w:sz w:val="24"/>
                <w:szCs w:val="24"/>
                <w:lang w:val="de-DE"/>
              </w:rPr>
            </w:pPr>
            <w:r w:rsidRPr="008E63BB">
              <w:rPr>
                <w:b/>
                <w:sz w:val="24"/>
                <w:szCs w:val="24"/>
                <w:lang w:val="de-DE"/>
              </w:rPr>
              <w:t>2040</w:t>
            </w:r>
          </w:p>
        </w:tc>
      </w:tr>
      <w:tr w:rsidR="005952EF" w:rsidRPr="008E63BB" w14:paraId="519B385B" w14:textId="77777777" w:rsidTr="00F00E16">
        <w:trPr>
          <w:jc w:val="center"/>
        </w:trPr>
        <w:tc>
          <w:tcPr>
            <w:tcW w:w="445" w:type="dxa"/>
          </w:tcPr>
          <w:p w14:paraId="519B3857" w14:textId="77777777" w:rsidR="005952EF" w:rsidRPr="008E63BB" w:rsidRDefault="005952EF" w:rsidP="00F43C84">
            <w:pPr>
              <w:jc w:val="center"/>
              <w:rPr>
                <w:bCs/>
                <w:szCs w:val="26"/>
                <w:lang w:val="de-DE"/>
              </w:rPr>
            </w:pPr>
            <w:r w:rsidRPr="008E63BB">
              <w:rPr>
                <w:bCs/>
                <w:szCs w:val="26"/>
                <w:lang w:val="de-DE"/>
              </w:rPr>
              <w:t>1</w:t>
            </w:r>
          </w:p>
        </w:tc>
        <w:tc>
          <w:tcPr>
            <w:tcW w:w="3042" w:type="dxa"/>
          </w:tcPr>
          <w:p w14:paraId="519B3858" w14:textId="77777777" w:rsidR="005952EF" w:rsidRPr="008E63BB" w:rsidRDefault="005952EF" w:rsidP="00F00E16">
            <w:pPr>
              <w:rPr>
                <w:bCs/>
                <w:szCs w:val="26"/>
                <w:lang w:val="de-DE"/>
              </w:rPr>
            </w:pPr>
            <w:r w:rsidRPr="008E63BB">
              <w:rPr>
                <w:bCs/>
                <w:szCs w:val="26"/>
                <w:lang w:val="de-DE"/>
              </w:rPr>
              <w:t>Dân số</w:t>
            </w:r>
          </w:p>
        </w:tc>
        <w:tc>
          <w:tcPr>
            <w:tcW w:w="0" w:type="auto"/>
          </w:tcPr>
          <w:p w14:paraId="519B3859" w14:textId="77777777" w:rsidR="005952EF" w:rsidRPr="008E63BB" w:rsidRDefault="005952EF" w:rsidP="00F00E16">
            <w:pPr>
              <w:jc w:val="center"/>
              <w:rPr>
                <w:bCs/>
                <w:szCs w:val="26"/>
                <w:lang w:val="de-DE"/>
              </w:rPr>
            </w:pPr>
            <w:r w:rsidRPr="008E63BB">
              <w:rPr>
                <w:bCs/>
                <w:szCs w:val="26"/>
                <w:lang w:val="de-DE"/>
              </w:rPr>
              <w:t>520.000</w:t>
            </w:r>
          </w:p>
        </w:tc>
        <w:tc>
          <w:tcPr>
            <w:tcW w:w="0" w:type="auto"/>
          </w:tcPr>
          <w:p w14:paraId="519B385A" w14:textId="77777777" w:rsidR="005952EF" w:rsidRPr="008E63BB" w:rsidRDefault="005952EF" w:rsidP="00F00E16">
            <w:pPr>
              <w:jc w:val="center"/>
              <w:rPr>
                <w:bCs/>
                <w:szCs w:val="26"/>
                <w:lang w:val="de-DE"/>
              </w:rPr>
            </w:pPr>
            <w:r w:rsidRPr="008E63BB">
              <w:rPr>
                <w:bCs/>
                <w:szCs w:val="26"/>
                <w:lang w:val="de-DE"/>
              </w:rPr>
              <w:t>600.000</w:t>
            </w:r>
          </w:p>
        </w:tc>
      </w:tr>
      <w:tr w:rsidR="005952EF" w:rsidRPr="008E63BB" w14:paraId="519B3860" w14:textId="77777777" w:rsidTr="00F00E16">
        <w:trPr>
          <w:jc w:val="center"/>
        </w:trPr>
        <w:tc>
          <w:tcPr>
            <w:tcW w:w="0" w:type="auto"/>
          </w:tcPr>
          <w:p w14:paraId="519B385C" w14:textId="77777777" w:rsidR="005952EF" w:rsidRPr="008E63BB" w:rsidRDefault="005952EF" w:rsidP="00F43C84">
            <w:pPr>
              <w:jc w:val="center"/>
              <w:rPr>
                <w:bCs/>
                <w:szCs w:val="26"/>
                <w:lang w:val="de-DE"/>
              </w:rPr>
            </w:pPr>
            <w:r w:rsidRPr="008E63BB">
              <w:rPr>
                <w:bCs/>
                <w:szCs w:val="26"/>
                <w:lang w:val="de-DE"/>
              </w:rPr>
              <w:t>2</w:t>
            </w:r>
          </w:p>
        </w:tc>
        <w:tc>
          <w:tcPr>
            <w:tcW w:w="0" w:type="auto"/>
          </w:tcPr>
          <w:p w14:paraId="519B385D" w14:textId="77777777" w:rsidR="005952EF" w:rsidRPr="008E63BB" w:rsidRDefault="005952EF" w:rsidP="00F00E16">
            <w:pPr>
              <w:rPr>
                <w:bCs/>
                <w:szCs w:val="26"/>
                <w:lang w:val="de-DE"/>
              </w:rPr>
            </w:pPr>
            <w:r w:rsidRPr="008E63BB">
              <w:rPr>
                <w:bCs/>
                <w:szCs w:val="26"/>
                <w:lang w:val="de-DE"/>
              </w:rPr>
              <w:t>Tỷ lệ chuyến đi</w:t>
            </w:r>
          </w:p>
        </w:tc>
        <w:tc>
          <w:tcPr>
            <w:tcW w:w="0" w:type="auto"/>
          </w:tcPr>
          <w:p w14:paraId="519B385E" w14:textId="77777777" w:rsidR="005952EF" w:rsidRPr="008E63BB" w:rsidRDefault="005952EF" w:rsidP="00F00E16">
            <w:pPr>
              <w:jc w:val="center"/>
              <w:rPr>
                <w:bCs/>
                <w:szCs w:val="26"/>
                <w:lang w:val="de-DE"/>
              </w:rPr>
            </w:pPr>
            <w:r w:rsidRPr="008E63BB">
              <w:rPr>
                <w:bCs/>
                <w:szCs w:val="26"/>
                <w:lang w:val="de-DE"/>
              </w:rPr>
              <w:t>2,5</w:t>
            </w:r>
          </w:p>
        </w:tc>
        <w:tc>
          <w:tcPr>
            <w:tcW w:w="0" w:type="auto"/>
          </w:tcPr>
          <w:p w14:paraId="519B385F" w14:textId="77777777" w:rsidR="005952EF" w:rsidRPr="008E63BB" w:rsidRDefault="005952EF" w:rsidP="00F00E16">
            <w:pPr>
              <w:jc w:val="center"/>
              <w:rPr>
                <w:bCs/>
                <w:szCs w:val="26"/>
                <w:lang w:val="de-DE"/>
              </w:rPr>
            </w:pPr>
            <w:r w:rsidRPr="008E63BB">
              <w:rPr>
                <w:bCs/>
                <w:szCs w:val="26"/>
                <w:lang w:val="de-DE"/>
              </w:rPr>
              <w:t>3</w:t>
            </w:r>
          </w:p>
        </w:tc>
      </w:tr>
      <w:tr w:rsidR="005952EF" w:rsidRPr="008E63BB" w14:paraId="519B3865" w14:textId="77777777" w:rsidTr="00F00E16">
        <w:trPr>
          <w:jc w:val="center"/>
        </w:trPr>
        <w:tc>
          <w:tcPr>
            <w:tcW w:w="0" w:type="auto"/>
          </w:tcPr>
          <w:p w14:paraId="519B3861" w14:textId="77777777" w:rsidR="005952EF" w:rsidRPr="008E63BB" w:rsidRDefault="005952EF" w:rsidP="00F43C84">
            <w:pPr>
              <w:jc w:val="center"/>
              <w:rPr>
                <w:bCs/>
                <w:szCs w:val="26"/>
                <w:lang w:val="de-DE"/>
              </w:rPr>
            </w:pPr>
            <w:r w:rsidRPr="008E63BB">
              <w:rPr>
                <w:bCs/>
                <w:szCs w:val="26"/>
                <w:lang w:val="de-DE"/>
              </w:rPr>
              <w:t>3</w:t>
            </w:r>
          </w:p>
        </w:tc>
        <w:tc>
          <w:tcPr>
            <w:tcW w:w="0" w:type="auto"/>
          </w:tcPr>
          <w:p w14:paraId="519B3862" w14:textId="77777777" w:rsidR="005952EF" w:rsidRPr="008E63BB" w:rsidRDefault="005952EF" w:rsidP="00F00E16">
            <w:pPr>
              <w:rPr>
                <w:bCs/>
                <w:szCs w:val="26"/>
                <w:lang w:val="de-DE"/>
              </w:rPr>
            </w:pPr>
            <w:r w:rsidRPr="008E63BB">
              <w:rPr>
                <w:bCs/>
                <w:szCs w:val="26"/>
                <w:lang w:val="de-DE"/>
              </w:rPr>
              <w:t>Số chuyến di (chuyến/ngày)</w:t>
            </w:r>
          </w:p>
        </w:tc>
        <w:tc>
          <w:tcPr>
            <w:tcW w:w="0" w:type="auto"/>
          </w:tcPr>
          <w:p w14:paraId="519B3863" w14:textId="77777777" w:rsidR="005952EF" w:rsidRPr="008E63BB" w:rsidRDefault="005952EF" w:rsidP="00F00E16">
            <w:pPr>
              <w:jc w:val="center"/>
              <w:rPr>
                <w:bCs/>
                <w:szCs w:val="26"/>
                <w:lang w:val="de-DE"/>
              </w:rPr>
            </w:pPr>
            <w:r w:rsidRPr="008E63BB">
              <w:rPr>
                <w:bCs/>
                <w:szCs w:val="26"/>
                <w:lang w:val="de-DE"/>
              </w:rPr>
              <w:t>1.300.000</w:t>
            </w:r>
          </w:p>
        </w:tc>
        <w:tc>
          <w:tcPr>
            <w:tcW w:w="0" w:type="auto"/>
          </w:tcPr>
          <w:p w14:paraId="519B3864" w14:textId="77777777" w:rsidR="005952EF" w:rsidRPr="008E63BB" w:rsidRDefault="005952EF" w:rsidP="00F00E16">
            <w:pPr>
              <w:jc w:val="center"/>
              <w:rPr>
                <w:bCs/>
                <w:szCs w:val="26"/>
                <w:lang w:val="de-DE"/>
              </w:rPr>
            </w:pPr>
            <w:r w:rsidRPr="008E63BB">
              <w:rPr>
                <w:bCs/>
                <w:szCs w:val="26"/>
                <w:lang w:val="de-DE"/>
              </w:rPr>
              <w:t>1.800.000</w:t>
            </w:r>
          </w:p>
        </w:tc>
      </w:tr>
      <w:tr w:rsidR="005952EF" w:rsidRPr="008E63BB" w14:paraId="519B386A" w14:textId="77777777" w:rsidTr="00F00E16">
        <w:trPr>
          <w:jc w:val="center"/>
        </w:trPr>
        <w:tc>
          <w:tcPr>
            <w:tcW w:w="0" w:type="auto"/>
          </w:tcPr>
          <w:p w14:paraId="519B3866" w14:textId="77777777" w:rsidR="005952EF" w:rsidRPr="008E63BB" w:rsidRDefault="005952EF" w:rsidP="00F43C84">
            <w:pPr>
              <w:jc w:val="center"/>
              <w:rPr>
                <w:bCs/>
                <w:szCs w:val="26"/>
                <w:lang w:val="de-DE"/>
              </w:rPr>
            </w:pPr>
            <w:r w:rsidRPr="008E63BB">
              <w:rPr>
                <w:bCs/>
                <w:szCs w:val="26"/>
                <w:lang w:val="de-DE"/>
              </w:rPr>
              <w:t>a</w:t>
            </w:r>
          </w:p>
        </w:tc>
        <w:tc>
          <w:tcPr>
            <w:tcW w:w="0" w:type="auto"/>
          </w:tcPr>
          <w:p w14:paraId="519B3867" w14:textId="77777777" w:rsidR="005952EF" w:rsidRPr="008E63BB" w:rsidRDefault="005952EF" w:rsidP="00F00E16">
            <w:pPr>
              <w:rPr>
                <w:bCs/>
                <w:szCs w:val="26"/>
                <w:lang w:val="de-DE"/>
              </w:rPr>
            </w:pPr>
            <w:r w:rsidRPr="008E63BB">
              <w:rPr>
                <w:bCs/>
                <w:szCs w:val="26"/>
                <w:lang w:val="de-DE"/>
              </w:rPr>
              <w:t>Giao thông công cộng (%)</w:t>
            </w:r>
          </w:p>
        </w:tc>
        <w:tc>
          <w:tcPr>
            <w:tcW w:w="0" w:type="auto"/>
          </w:tcPr>
          <w:p w14:paraId="519B3868" w14:textId="77777777" w:rsidR="005952EF" w:rsidRPr="008E63BB" w:rsidRDefault="005952EF" w:rsidP="00F00E16">
            <w:pPr>
              <w:jc w:val="center"/>
              <w:rPr>
                <w:bCs/>
                <w:szCs w:val="26"/>
                <w:lang w:val="de-DE"/>
              </w:rPr>
            </w:pPr>
            <w:r w:rsidRPr="008E63BB">
              <w:rPr>
                <w:bCs/>
                <w:szCs w:val="26"/>
                <w:lang w:val="de-DE"/>
              </w:rPr>
              <w:t>20</w:t>
            </w:r>
          </w:p>
        </w:tc>
        <w:tc>
          <w:tcPr>
            <w:tcW w:w="0" w:type="auto"/>
          </w:tcPr>
          <w:p w14:paraId="519B3869" w14:textId="77777777" w:rsidR="005952EF" w:rsidRPr="008E63BB" w:rsidRDefault="005952EF" w:rsidP="00F00E16">
            <w:pPr>
              <w:jc w:val="center"/>
              <w:rPr>
                <w:bCs/>
                <w:szCs w:val="26"/>
                <w:lang w:val="de-DE"/>
              </w:rPr>
            </w:pPr>
            <w:r w:rsidRPr="008E63BB">
              <w:rPr>
                <w:bCs/>
                <w:szCs w:val="26"/>
                <w:lang w:val="de-DE"/>
              </w:rPr>
              <w:t>25</w:t>
            </w:r>
          </w:p>
        </w:tc>
      </w:tr>
      <w:tr w:rsidR="005952EF" w:rsidRPr="008E63BB" w14:paraId="519B386F" w14:textId="77777777" w:rsidTr="00F00E16">
        <w:trPr>
          <w:jc w:val="center"/>
        </w:trPr>
        <w:tc>
          <w:tcPr>
            <w:tcW w:w="0" w:type="auto"/>
          </w:tcPr>
          <w:p w14:paraId="519B386B" w14:textId="77777777" w:rsidR="005952EF" w:rsidRPr="008E63BB" w:rsidRDefault="005952EF" w:rsidP="00F43C84">
            <w:pPr>
              <w:jc w:val="center"/>
              <w:rPr>
                <w:bCs/>
                <w:szCs w:val="26"/>
                <w:lang w:val="de-DE"/>
              </w:rPr>
            </w:pPr>
            <w:r w:rsidRPr="008E63BB">
              <w:rPr>
                <w:bCs/>
                <w:szCs w:val="26"/>
                <w:lang w:val="de-DE"/>
              </w:rPr>
              <w:t>b</w:t>
            </w:r>
          </w:p>
        </w:tc>
        <w:tc>
          <w:tcPr>
            <w:tcW w:w="0" w:type="auto"/>
          </w:tcPr>
          <w:p w14:paraId="519B386C" w14:textId="77777777" w:rsidR="005952EF" w:rsidRPr="008E63BB" w:rsidRDefault="005952EF" w:rsidP="00F00E16">
            <w:pPr>
              <w:rPr>
                <w:bCs/>
                <w:szCs w:val="26"/>
                <w:lang w:val="de-DE"/>
              </w:rPr>
            </w:pPr>
            <w:r w:rsidRPr="008E63BB">
              <w:rPr>
                <w:bCs/>
                <w:szCs w:val="26"/>
                <w:lang w:val="de-DE"/>
              </w:rPr>
              <w:t>Ô tô con, xe máy (%)</w:t>
            </w:r>
          </w:p>
        </w:tc>
        <w:tc>
          <w:tcPr>
            <w:tcW w:w="0" w:type="auto"/>
          </w:tcPr>
          <w:p w14:paraId="519B386D" w14:textId="77777777" w:rsidR="005952EF" w:rsidRPr="008E63BB" w:rsidRDefault="005952EF" w:rsidP="00F00E16">
            <w:pPr>
              <w:jc w:val="center"/>
              <w:rPr>
                <w:bCs/>
                <w:szCs w:val="26"/>
                <w:lang w:val="de-DE"/>
              </w:rPr>
            </w:pPr>
            <w:r w:rsidRPr="008E63BB">
              <w:rPr>
                <w:bCs/>
                <w:szCs w:val="26"/>
                <w:lang w:val="de-DE"/>
              </w:rPr>
              <w:t>70</w:t>
            </w:r>
          </w:p>
        </w:tc>
        <w:tc>
          <w:tcPr>
            <w:tcW w:w="0" w:type="auto"/>
          </w:tcPr>
          <w:p w14:paraId="519B386E" w14:textId="77777777" w:rsidR="005952EF" w:rsidRPr="008E63BB" w:rsidRDefault="005952EF" w:rsidP="00F00E16">
            <w:pPr>
              <w:jc w:val="center"/>
              <w:rPr>
                <w:bCs/>
                <w:szCs w:val="26"/>
                <w:lang w:val="de-DE"/>
              </w:rPr>
            </w:pPr>
            <w:r w:rsidRPr="008E63BB">
              <w:rPr>
                <w:bCs/>
                <w:szCs w:val="26"/>
                <w:lang w:val="de-DE"/>
              </w:rPr>
              <w:t>55</w:t>
            </w:r>
          </w:p>
        </w:tc>
      </w:tr>
      <w:tr w:rsidR="005952EF" w:rsidRPr="008E63BB" w14:paraId="519B3874" w14:textId="77777777" w:rsidTr="00F00E16">
        <w:trPr>
          <w:jc w:val="center"/>
        </w:trPr>
        <w:tc>
          <w:tcPr>
            <w:tcW w:w="0" w:type="auto"/>
          </w:tcPr>
          <w:p w14:paraId="519B3870" w14:textId="77777777" w:rsidR="005952EF" w:rsidRPr="008E63BB" w:rsidRDefault="005952EF" w:rsidP="00F43C84">
            <w:pPr>
              <w:jc w:val="center"/>
              <w:rPr>
                <w:bCs/>
                <w:szCs w:val="26"/>
                <w:lang w:val="de-DE"/>
              </w:rPr>
            </w:pPr>
            <w:r w:rsidRPr="008E63BB">
              <w:rPr>
                <w:bCs/>
                <w:szCs w:val="26"/>
                <w:lang w:val="de-DE"/>
              </w:rPr>
              <w:t>c</w:t>
            </w:r>
          </w:p>
        </w:tc>
        <w:tc>
          <w:tcPr>
            <w:tcW w:w="0" w:type="auto"/>
          </w:tcPr>
          <w:p w14:paraId="519B3871" w14:textId="77777777" w:rsidR="005952EF" w:rsidRPr="008E63BB" w:rsidRDefault="005952EF" w:rsidP="00F00E16">
            <w:pPr>
              <w:rPr>
                <w:bCs/>
                <w:szCs w:val="26"/>
                <w:lang w:val="de-DE"/>
              </w:rPr>
            </w:pPr>
            <w:r w:rsidRPr="008E63BB">
              <w:rPr>
                <w:bCs/>
                <w:szCs w:val="26"/>
                <w:lang w:val="de-DE"/>
              </w:rPr>
              <w:t>Giao thông phi cơ giới (%)</w:t>
            </w:r>
          </w:p>
        </w:tc>
        <w:tc>
          <w:tcPr>
            <w:tcW w:w="0" w:type="auto"/>
          </w:tcPr>
          <w:p w14:paraId="519B3872" w14:textId="77777777" w:rsidR="005952EF" w:rsidRPr="008E63BB" w:rsidRDefault="005952EF" w:rsidP="00F00E16">
            <w:pPr>
              <w:jc w:val="center"/>
              <w:rPr>
                <w:bCs/>
                <w:szCs w:val="26"/>
                <w:lang w:val="de-DE"/>
              </w:rPr>
            </w:pPr>
            <w:r w:rsidRPr="008E63BB">
              <w:rPr>
                <w:bCs/>
                <w:szCs w:val="26"/>
                <w:lang w:val="de-DE"/>
              </w:rPr>
              <w:t>8</w:t>
            </w:r>
          </w:p>
        </w:tc>
        <w:tc>
          <w:tcPr>
            <w:tcW w:w="0" w:type="auto"/>
          </w:tcPr>
          <w:p w14:paraId="519B3873" w14:textId="77777777" w:rsidR="005952EF" w:rsidRPr="008E63BB" w:rsidRDefault="005952EF" w:rsidP="00F00E16">
            <w:pPr>
              <w:jc w:val="center"/>
              <w:rPr>
                <w:bCs/>
                <w:szCs w:val="26"/>
                <w:lang w:val="de-DE"/>
              </w:rPr>
            </w:pPr>
            <w:r w:rsidRPr="008E63BB">
              <w:rPr>
                <w:bCs/>
                <w:szCs w:val="26"/>
                <w:lang w:val="de-DE"/>
              </w:rPr>
              <w:t>16</w:t>
            </w:r>
          </w:p>
        </w:tc>
      </w:tr>
      <w:tr w:rsidR="005952EF" w:rsidRPr="008E63BB" w14:paraId="519B3879" w14:textId="77777777" w:rsidTr="00F00E16">
        <w:trPr>
          <w:jc w:val="center"/>
        </w:trPr>
        <w:tc>
          <w:tcPr>
            <w:tcW w:w="0" w:type="auto"/>
          </w:tcPr>
          <w:p w14:paraId="519B3875" w14:textId="77777777" w:rsidR="005952EF" w:rsidRPr="008E63BB" w:rsidRDefault="005952EF" w:rsidP="00F43C84">
            <w:pPr>
              <w:jc w:val="center"/>
              <w:rPr>
                <w:bCs/>
                <w:szCs w:val="26"/>
                <w:lang w:val="de-DE"/>
              </w:rPr>
            </w:pPr>
            <w:r w:rsidRPr="008E63BB">
              <w:rPr>
                <w:bCs/>
                <w:szCs w:val="26"/>
                <w:lang w:val="de-DE"/>
              </w:rPr>
              <w:t>d</w:t>
            </w:r>
          </w:p>
        </w:tc>
        <w:tc>
          <w:tcPr>
            <w:tcW w:w="0" w:type="auto"/>
          </w:tcPr>
          <w:p w14:paraId="519B3876" w14:textId="77777777" w:rsidR="005952EF" w:rsidRPr="008E63BB" w:rsidRDefault="005952EF" w:rsidP="00F00E16">
            <w:pPr>
              <w:rPr>
                <w:bCs/>
                <w:szCs w:val="26"/>
                <w:lang w:val="de-DE"/>
              </w:rPr>
            </w:pPr>
            <w:r w:rsidRPr="008E63BB">
              <w:rPr>
                <w:bCs/>
                <w:szCs w:val="26"/>
                <w:lang w:val="de-DE"/>
              </w:rPr>
              <w:t>Khác</w:t>
            </w:r>
          </w:p>
        </w:tc>
        <w:tc>
          <w:tcPr>
            <w:tcW w:w="0" w:type="auto"/>
          </w:tcPr>
          <w:p w14:paraId="519B3877" w14:textId="77777777" w:rsidR="005952EF" w:rsidRPr="008E63BB" w:rsidRDefault="005952EF" w:rsidP="00F00E16">
            <w:pPr>
              <w:jc w:val="center"/>
              <w:rPr>
                <w:bCs/>
                <w:szCs w:val="26"/>
                <w:lang w:val="de-DE"/>
              </w:rPr>
            </w:pPr>
            <w:r w:rsidRPr="008E63BB">
              <w:rPr>
                <w:bCs/>
                <w:szCs w:val="26"/>
                <w:lang w:val="de-DE"/>
              </w:rPr>
              <w:t>2</w:t>
            </w:r>
          </w:p>
        </w:tc>
        <w:tc>
          <w:tcPr>
            <w:tcW w:w="0" w:type="auto"/>
          </w:tcPr>
          <w:p w14:paraId="519B3878" w14:textId="77777777" w:rsidR="005952EF" w:rsidRPr="008E63BB" w:rsidRDefault="005952EF" w:rsidP="00F00E16">
            <w:pPr>
              <w:jc w:val="center"/>
              <w:rPr>
                <w:bCs/>
                <w:szCs w:val="26"/>
                <w:lang w:val="de-DE"/>
              </w:rPr>
            </w:pPr>
            <w:r w:rsidRPr="008E63BB">
              <w:rPr>
                <w:bCs/>
                <w:szCs w:val="26"/>
                <w:lang w:val="de-DE"/>
              </w:rPr>
              <w:t>4</w:t>
            </w:r>
          </w:p>
        </w:tc>
      </w:tr>
    </w:tbl>
    <w:p w14:paraId="519B387A" w14:textId="77777777" w:rsidR="005952EF" w:rsidRPr="008E63BB" w:rsidRDefault="005952EF" w:rsidP="005952EF">
      <w:pPr>
        <w:rPr>
          <w:bCs/>
          <w:szCs w:val="26"/>
          <w:lang w:val="de-DE"/>
        </w:rPr>
      </w:pPr>
    </w:p>
    <w:p w14:paraId="519B387B" w14:textId="77777777" w:rsidR="00244409" w:rsidRPr="008E63BB" w:rsidRDefault="00244409" w:rsidP="0065184D">
      <w:pPr>
        <w:rPr>
          <w:bCs/>
          <w:szCs w:val="26"/>
          <w:lang w:val="de-DE"/>
        </w:rPr>
      </w:pPr>
      <w:r w:rsidRPr="008E63BB">
        <w:rPr>
          <w:bCs/>
          <w:szCs w:val="26"/>
          <w:lang w:val="de-DE"/>
        </w:rPr>
        <w:t>c. Công trình giao thông</w:t>
      </w:r>
    </w:p>
    <w:p w14:paraId="519B387C" w14:textId="77777777" w:rsidR="00244409" w:rsidRPr="008E63BB" w:rsidRDefault="00244409" w:rsidP="0065184D">
      <w:pPr>
        <w:rPr>
          <w:bCs/>
          <w:szCs w:val="26"/>
          <w:lang w:val="de-DE"/>
        </w:rPr>
      </w:pPr>
      <w:r w:rsidRPr="008E63BB">
        <w:rPr>
          <w:bCs/>
          <w:szCs w:val="26"/>
          <w:lang w:val="de-DE"/>
        </w:rPr>
        <w:t>* Bến xe</w:t>
      </w:r>
    </w:p>
    <w:p w14:paraId="519B387D" w14:textId="77777777" w:rsidR="00244409" w:rsidRPr="008E63BB" w:rsidRDefault="00244409" w:rsidP="0065184D">
      <w:pPr>
        <w:rPr>
          <w:bCs/>
          <w:szCs w:val="26"/>
          <w:lang w:val="de-DE"/>
        </w:rPr>
      </w:pPr>
      <w:r w:rsidRPr="008E63BB">
        <w:rPr>
          <w:bCs/>
          <w:szCs w:val="26"/>
          <w:lang w:val="de-DE"/>
        </w:rPr>
        <w:t>- Nâng cấp, cải tạo bến xe phía Nam (khu vực đường Lê Đức Thọ)</w:t>
      </w:r>
    </w:p>
    <w:p w14:paraId="519B387E" w14:textId="77777777" w:rsidR="00244409" w:rsidRPr="008E63BB" w:rsidRDefault="00244409" w:rsidP="0065184D">
      <w:pPr>
        <w:rPr>
          <w:bCs/>
          <w:szCs w:val="26"/>
          <w:lang w:val="de-DE"/>
        </w:rPr>
      </w:pPr>
      <w:r w:rsidRPr="008E63BB">
        <w:rPr>
          <w:bCs/>
          <w:szCs w:val="26"/>
          <w:lang w:val="de-DE"/>
        </w:rPr>
        <w:t>- Từng bước chuyển đổi bến xe phía Bắc thành điểm trung chuyển giao thông công cộng kết hợp bãi đỗ xe.</w:t>
      </w:r>
    </w:p>
    <w:p w14:paraId="519B387F" w14:textId="77777777" w:rsidR="00244409" w:rsidRPr="008E63BB" w:rsidRDefault="00244409" w:rsidP="0065184D">
      <w:pPr>
        <w:rPr>
          <w:bCs/>
          <w:szCs w:val="26"/>
          <w:lang w:val="de-DE"/>
        </w:rPr>
      </w:pPr>
      <w:r w:rsidRPr="008E63BB">
        <w:rPr>
          <w:bCs/>
          <w:szCs w:val="26"/>
          <w:lang w:val="de-DE"/>
        </w:rPr>
        <w:t>- Xây dựng mới bến xe phía Bắc (khu vực QL 21B, huyện Mỹ Lộc)</w:t>
      </w:r>
    </w:p>
    <w:p w14:paraId="519B3880" w14:textId="77777777" w:rsidR="00244409" w:rsidRPr="008E63BB" w:rsidRDefault="00244409" w:rsidP="0065184D">
      <w:pPr>
        <w:rPr>
          <w:bCs/>
          <w:szCs w:val="26"/>
          <w:lang w:val="de-DE"/>
        </w:rPr>
      </w:pPr>
      <w:r w:rsidRPr="008E63BB">
        <w:rPr>
          <w:bCs/>
          <w:szCs w:val="26"/>
          <w:lang w:val="de-DE"/>
        </w:rPr>
        <w:t>* Bãi đỗ xe</w:t>
      </w:r>
    </w:p>
    <w:p w14:paraId="519B3881" w14:textId="77777777" w:rsidR="00244409" w:rsidRPr="008E63BB" w:rsidRDefault="00244409" w:rsidP="0065184D">
      <w:pPr>
        <w:rPr>
          <w:bCs/>
          <w:szCs w:val="26"/>
          <w:lang w:val="de-DE"/>
        </w:rPr>
      </w:pPr>
      <w:r w:rsidRPr="008E63BB">
        <w:rPr>
          <w:bCs/>
          <w:szCs w:val="26"/>
          <w:lang w:val="de-DE"/>
        </w:rPr>
        <w:t>Xác định nhu cầu đất dành cho bãi đỗ xe cần áp dụng tính toán cụ thể cho từng khu vực. Đối với TP. Nam Định, dự kiến phân làm 3 khu vực:</w:t>
      </w:r>
    </w:p>
    <w:p w14:paraId="519B3882" w14:textId="77777777" w:rsidR="00244409" w:rsidRPr="008E63BB" w:rsidRDefault="00244409" w:rsidP="0065184D">
      <w:pPr>
        <w:rPr>
          <w:bCs/>
          <w:szCs w:val="26"/>
          <w:lang w:val="de-DE"/>
        </w:rPr>
      </w:pPr>
      <w:r w:rsidRPr="008E63BB">
        <w:rPr>
          <w:bCs/>
          <w:szCs w:val="26"/>
          <w:lang w:val="de-DE"/>
        </w:rPr>
        <w:t xml:space="preserve">- Khu vực hạn chế phát triển (khu vực trung tâm đô thị hiện hữu): </w:t>
      </w:r>
    </w:p>
    <w:p w14:paraId="519B3883" w14:textId="77777777" w:rsidR="00244409" w:rsidRPr="008E63BB" w:rsidRDefault="00244409" w:rsidP="0065184D">
      <w:pPr>
        <w:rPr>
          <w:bCs/>
          <w:szCs w:val="26"/>
          <w:lang w:val="de-DE"/>
        </w:rPr>
      </w:pPr>
      <w:r w:rsidRPr="008E63BB">
        <w:rPr>
          <w:bCs/>
          <w:szCs w:val="26"/>
          <w:lang w:val="de-DE"/>
        </w:rPr>
        <w:t>+ Đây là khu vực có nhu cầu đỗ xe rất cao do lưu lượng giao thông đặc biệt lớn, nhưng quỹ đất khu vực này vô cùng hạn hẹp dẫn đến khả năng cung cấp hệ thống bãi đỗ xe mới gần như không thể hoặc có nhưng rất ít. Giải pháp đưa ra đối với khu vực này là nghiên cứu bố trí chung với bãi đỗ xe của các khu vực lân cận. Đối với phương tiện vào các khu thương mại, dịch vụ, giải trí, mua sắm… cho phép sử dụng lòng đường trên một số tuyến đường có đủ bề rộng làm bãi đỗ.</w:t>
      </w:r>
    </w:p>
    <w:p w14:paraId="519B3884" w14:textId="77777777" w:rsidR="00244409" w:rsidRPr="008E63BB" w:rsidRDefault="00244409" w:rsidP="0065184D">
      <w:pPr>
        <w:rPr>
          <w:bCs/>
          <w:szCs w:val="26"/>
          <w:lang w:val="de-DE"/>
        </w:rPr>
      </w:pPr>
      <w:r w:rsidRPr="008E63BB">
        <w:rPr>
          <w:bCs/>
          <w:szCs w:val="26"/>
          <w:lang w:val="de-DE"/>
        </w:rPr>
        <w:t>+ Nghiên cứu thiết kế các bãi đỗ xe ngầm trong tương lai xa đối với các khu vực trung tâm có mật độ giao thông lớn, có thể bố trí dưới các khu cây xanh, khu quảng trường…</w:t>
      </w:r>
    </w:p>
    <w:p w14:paraId="519B3885" w14:textId="77777777" w:rsidR="00244409" w:rsidRPr="008E63BB" w:rsidRDefault="00244409" w:rsidP="0065184D">
      <w:pPr>
        <w:rPr>
          <w:bCs/>
          <w:szCs w:val="26"/>
          <w:lang w:val="de-DE"/>
        </w:rPr>
      </w:pPr>
      <w:r w:rsidRPr="008E63BB">
        <w:rPr>
          <w:bCs/>
          <w:szCs w:val="26"/>
          <w:lang w:val="de-DE"/>
        </w:rPr>
        <w:t>+ Đề xuất tỷ lệ diện tích bãi đỗ xe công cộng đối với khu vực hạn chế phát triển là 3,5% diện tích xây dựng.</w:t>
      </w:r>
    </w:p>
    <w:p w14:paraId="519B3886" w14:textId="77777777" w:rsidR="00244409" w:rsidRPr="008E63BB" w:rsidRDefault="00244409" w:rsidP="0065184D">
      <w:pPr>
        <w:rPr>
          <w:bCs/>
          <w:szCs w:val="26"/>
          <w:lang w:val="de-DE"/>
        </w:rPr>
      </w:pPr>
      <w:r w:rsidRPr="008E63BB">
        <w:rPr>
          <w:bCs/>
          <w:szCs w:val="26"/>
          <w:lang w:val="de-DE"/>
        </w:rPr>
        <w:t>- Khu vực xây dựng mới, phát triển mở rộng:</w:t>
      </w:r>
    </w:p>
    <w:p w14:paraId="519B3887" w14:textId="77777777" w:rsidR="00244409" w:rsidRPr="008E63BB" w:rsidRDefault="00244409" w:rsidP="0065184D">
      <w:pPr>
        <w:rPr>
          <w:bCs/>
          <w:szCs w:val="26"/>
          <w:lang w:val="de-DE"/>
        </w:rPr>
      </w:pPr>
      <w:r w:rsidRPr="008E63BB">
        <w:rPr>
          <w:bCs/>
          <w:szCs w:val="26"/>
          <w:lang w:val="de-DE"/>
        </w:rPr>
        <w:t>+ Khu vực này thường có quỹ đất để bố trí bãi đỗ xe, vì thế có thể tính toán để thiết kế các bãi đỗ xe cho phép cả lượng xe quá cảnh qua khu vực này lưu đỗ, đồng thời ghép diện tích bãi đỗ xe các khu vực lân cận. Đối với khu vực này, hạn chế việc đỗ xe dưới lòng đường.</w:t>
      </w:r>
    </w:p>
    <w:p w14:paraId="519B3888" w14:textId="77777777" w:rsidR="00244409" w:rsidRPr="008E63BB" w:rsidRDefault="00244409" w:rsidP="0065184D">
      <w:pPr>
        <w:rPr>
          <w:bCs/>
          <w:szCs w:val="26"/>
          <w:lang w:val="de-DE"/>
        </w:rPr>
      </w:pPr>
      <w:r w:rsidRPr="008E63BB">
        <w:rPr>
          <w:bCs/>
          <w:szCs w:val="26"/>
          <w:lang w:val="de-DE"/>
        </w:rPr>
        <w:t>+ Các công trình xây mới trên khu vực này phải thiết kế bãi đỗ xe phục vụ đủ nhu cầu của bản thân công trình</w:t>
      </w:r>
    </w:p>
    <w:p w14:paraId="519B3889" w14:textId="77777777" w:rsidR="00244409" w:rsidRPr="008E63BB" w:rsidRDefault="00244409" w:rsidP="0065184D">
      <w:pPr>
        <w:rPr>
          <w:bCs/>
          <w:szCs w:val="26"/>
          <w:lang w:val="de-DE"/>
        </w:rPr>
      </w:pPr>
      <w:r w:rsidRPr="008E63BB">
        <w:rPr>
          <w:bCs/>
          <w:szCs w:val="26"/>
          <w:lang w:val="de-DE"/>
        </w:rPr>
        <w:t>+ Đề xuất tỷ lệ diện tích bãi đỗ xe công cộng đối với khu vực hạn chế phát triển là 6% diện tích xây dựng</w:t>
      </w:r>
    </w:p>
    <w:p w14:paraId="519B388A" w14:textId="77777777" w:rsidR="00244409" w:rsidRPr="008E63BB" w:rsidRDefault="00244409" w:rsidP="0065184D">
      <w:pPr>
        <w:rPr>
          <w:bCs/>
          <w:szCs w:val="26"/>
          <w:lang w:val="de-DE"/>
        </w:rPr>
      </w:pPr>
      <w:r w:rsidRPr="008E63BB">
        <w:rPr>
          <w:bCs/>
          <w:szCs w:val="26"/>
          <w:lang w:val="de-DE"/>
        </w:rPr>
        <w:t>- Khu vực ngoại thành</w:t>
      </w:r>
    </w:p>
    <w:p w14:paraId="519B388B" w14:textId="77777777" w:rsidR="00244409" w:rsidRPr="008E63BB" w:rsidRDefault="00244409" w:rsidP="0065184D">
      <w:pPr>
        <w:rPr>
          <w:bCs/>
          <w:szCs w:val="26"/>
          <w:lang w:val="de-DE"/>
        </w:rPr>
      </w:pPr>
      <w:r w:rsidRPr="008E63BB">
        <w:rPr>
          <w:bCs/>
          <w:szCs w:val="26"/>
          <w:lang w:val="de-DE"/>
        </w:rPr>
        <w:t>+ Chỉ bố trí quy hoạch bãi đỗ, điểm đỗ xe cho các khu vực dân cư tập trung, các công trình công cộng đã xây dựng trước đây không có đủ bãi đỗ.</w:t>
      </w:r>
    </w:p>
    <w:p w14:paraId="519B388C" w14:textId="77777777" w:rsidR="00244409" w:rsidRPr="008E63BB" w:rsidRDefault="00244409" w:rsidP="0065184D">
      <w:pPr>
        <w:rPr>
          <w:bCs/>
          <w:szCs w:val="26"/>
          <w:lang w:val="de-DE"/>
        </w:rPr>
      </w:pPr>
      <w:r w:rsidRPr="008E63BB">
        <w:rPr>
          <w:bCs/>
          <w:szCs w:val="26"/>
          <w:lang w:val="de-DE"/>
        </w:rPr>
        <w:lastRenderedPageBreak/>
        <w:t>+ Đối với các khu vực công trình công cộng xây dựng mới (như bệnh viện, trường học, trung tâm thương mại, khu hành chính, dân cư cao tầng, ...), phải tuân thủ Quy chuẩn kỹ thuật quốc gia về xây dựng (các công trình phải tự bố trí bãi đỗ đáp ứng đủ nhu cầu của chính công trình) và xem xét có quỹ đất dự phòng đáp ứng một phần nhu cầu đỗ xe khu vực xung quanh.</w:t>
      </w:r>
    </w:p>
    <w:p w14:paraId="519B388D" w14:textId="77777777" w:rsidR="00244409" w:rsidRPr="008E63BB" w:rsidRDefault="00244409" w:rsidP="0065184D">
      <w:pPr>
        <w:rPr>
          <w:bCs/>
          <w:szCs w:val="26"/>
          <w:lang w:val="de-DE"/>
        </w:rPr>
      </w:pPr>
      <w:r w:rsidRPr="008E63BB">
        <w:rPr>
          <w:bCs/>
          <w:szCs w:val="26"/>
          <w:lang w:val="de-DE"/>
        </w:rPr>
        <w:t>* Cầu:</w:t>
      </w:r>
    </w:p>
    <w:p w14:paraId="519B388E" w14:textId="77777777" w:rsidR="005A60DF" w:rsidRPr="008E63BB" w:rsidRDefault="005A60DF" w:rsidP="0065184D">
      <w:pPr>
        <w:rPr>
          <w:bCs/>
          <w:szCs w:val="26"/>
          <w:lang w:val="de-DE"/>
        </w:rPr>
      </w:pPr>
      <w:r w:rsidRPr="008E63BB">
        <w:rPr>
          <w:bCs/>
          <w:szCs w:val="26"/>
          <w:lang w:val="de-DE"/>
        </w:rPr>
        <w:t>- Xây dựng 03 cầu mới nối khu vực trung tâm hiện hữu với khu vực phía Nam (Cầu trên tuyến đường Song Hào kéo dài sang xã Nam Vân; Cầu trên đường Trần Nhật Duật kéo dài sang xã Nam Phong; Cầu tại vị trí cầu treo cũ)</w:t>
      </w:r>
    </w:p>
    <w:p w14:paraId="519B388F" w14:textId="77777777" w:rsidR="005A60DF" w:rsidRPr="008E63BB" w:rsidRDefault="005A60DF" w:rsidP="0065184D">
      <w:pPr>
        <w:rPr>
          <w:bCs/>
          <w:szCs w:val="26"/>
          <w:lang w:val="de-DE"/>
        </w:rPr>
      </w:pPr>
      <w:r w:rsidRPr="008E63BB">
        <w:rPr>
          <w:bCs/>
          <w:szCs w:val="26"/>
          <w:lang w:val="de-DE"/>
        </w:rPr>
        <w:t>- Xây dựng cầu qua sông Đào tại vị trí đường vành đai 2, cầu đường sắt Nam Định – Thái Bình – Hải Phòng.</w:t>
      </w:r>
    </w:p>
    <w:p w14:paraId="519B3890" w14:textId="77777777" w:rsidR="005A60DF" w:rsidRPr="008E63BB" w:rsidRDefault="005A60DF" w:rsidP="0065184D">
      <w:pPr>
        <w:rPr>
          <w:bCs/>
          <w:szCs w:val="26"/>
          <w:lang w:val="de-DE"/>
        </w:rPr>
      </w:pPr>
      <w:r w:rsidRPr="008E63BB">
        <w:rPr>
          <w:bCs/>
          <w:szCs w:val="26"/>
          <w:lang w:val="de-DE"/>
        </w:rPr>
        <w:t>- Ngoài ra, xây dựng hệ thống cầu cứng trên các trục giao thông qua sông Vĩnh Giang, hệ thống kênh rạch...</w:t>
      </w:r>
    </w:p>
    <w:p w14:paraId="519B3891" w14:textId="77777777" w:rsidR="005A60DF" w:rsidRPr="008E63BB" w:rsidRDefault="005A60DF" w:rsidP="0065184D">
      <w:pPr>
        <w:rPr>
          <w:bCs/>
          <w:szCs w:val="26"/>
          <w:lang w:val="de-DE"/>
        </w:rPr>
      </w:pPr>
      <w:r w:rsidRPr="008E63BB">
        <w:rPr>
          <w:bCs/>
          <w:szCs w:val="26"/>
          <w:lang w:val="de-DE"/>
        </w:rPr>
        <w:t>* Nút giao thông</w:t>
      </w:r>
    </w:p>
    <w:p w14:paraId="519B3892" w14:textId="77777777" w:rsidR="005A60DF" w:rsidRPr="008E63BB" w:rsidRDefault="005A60DF" w:rsidP="0065184D">
      <w:pPr>
        <w:rPr>
          <w:bCs/>
          <w:szCs w:val="26"/>
          <w:lang w:val="de-DE"/>
        </w:rPr>
      </w:pPr>
      <w:r w:rsidRPr="008E63BB">
        <w:rPr>
          <w:bCs/>
          <w:szCs w:val="26"/>
          <w:lang w:val="de-DE"/>
        </w:rPr>
        <w:t>- Xây dựng nút giao thông khác mức tại các điểm giao cắt giữa các trục đường hướng tâm và đường vành đai 2, đặc biệt quan tâm xây dựng nút giao thông khác mức  tại điểm giao cắt QL10 giao cầu Tân Phong nối lên tuyến vành đai 2 mới (Trong giai đoạn đầu, khi chưa có điều kiện xây dựng phải bố trí đủ đất dự phòng).</w:t>
      </w:r>
    </w:p>
    <w:p w14:paraId="519B3893" w14:textId="77777777" w:rsidR="005A60DF" w:rsidRPr="008E63BB" w:rsidRDefault="005A60DF" w:rsidP="0065184D">
      <w:pPr>
        <w:rPr>
          <w:bCs/>
          <w:szCs w:val="26"/>
          <w:lang w:val="de-DE"/>
        </w:rPr>
      </w:pPr>
      <w:r w:rsidRPr="008E63BB">
        <w:rPr>
          <w:bCs/>
          <w:szCs w:val="26"/>
          <w:lang w:val="de-DE"/>
        </w:rPr>
        <w:t>- Xây dựng các nút giao trực thông giữa các tuyến đường đối ngoại với hệ thống đường sắt, đảm bảo tĩnh không an toàn đường sắt.</w:t>
      </w:r>
    </w:p>
    <w:p w14:paraId="519B3894" w14:textId="77777777" w:rsidR="005A60DF" w:rsidRPr="008E63BB" w:rsidRDefault="005A60DF" w:rsidP="0065184D">
      <w:pPr>
        <w:rPr>
          <w:bCs/>
          <w:szCs w:val="26"/>
          <w:lang w:val="de-DE"/>
        </w:rPr>
      </w:pPr>
      <w:r w:rsidRPr="008E63BB">
        <w:rPr>
          <w:bCs/>
          <w:szCs w:val="26"/>
          <w:lang w:val="de-DE"/>
        </w:rPr>
        <w:t>- Nghiên cứu cải tạo một số nút giao thông tiềm ẩn nguy cơ ùn tắc giao thông (Trần Hưng Đạo – Trường Chinh; Giải Phóng – Điện Biên; Trần Huy Liệu - Giải Phóng).</w:t>
      </w:r>
    </w:p>
    <w:p w14:paraId="519B3895" w14:textId="77777777" w:rsidR="005A60DF" w:rsidRPr="008E63BB" w:rsidRDefault="005A60DF" w:rsidP="0065184D">
      <w:pPr>
        <w:jc w:val="center"/>
        <w:rPr>
          <w:bCs/>
          <w:szCs w:val="26"/>
          <w:lang w:val="de-DE"/>
        </w:rPr>
      </w:pPr>
      <w:r w:rsidRPr="008E63BB">
        <w:rPr>
          <w:bCs/>
          <w:noProof/>
          <w:szCs w:val="26"/>
          <w:lang w:eastAsia="zh-CN"/>
        </w:rPr>
        <w:drawing>
          <wp:inline distT="0" distB="0" distL="0" distR="0" wp14:anchorId="519B5291" wp14:editId="519B5292">
            <wp:extent cx="5440668" cy="378142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screen">
                      <a:extLst>
                        <a:ext uri="{28A0092B-C50C-407E-A947-70E740481C1C}">
                          <a14:useLocalDpi xmlns:a14="http://schemas.microsoft.com/office/drawing/2010/main"/>
                        </a:ext>
                      </a:extLst>
                    </a:blip>
                    <a:stretch>
                      <a:fillRect/>
                    </a:stretch>
                  </pic:blipFill>
                  <pic:spPr bwMode="auto">
                    <a:xfrm>
                      <a:off x="0" y="0"/>
                      <a:ext cx="5440668" cy="3781425"/>
                    </a:xfrm>
                    <a:prstGeom prst="rect">
                      <a:avLst/>
                    </a:prstGeom>
                    <a:noFill/>
                    <a:ln>
                      <a:noFill/>
                    </a:ln>
                  </pic:spPr>
                </pic:pic>
              </a:graphicData>
            </a:graphic>
          </wp:inline>
        </w:drawing>
      </w:r>
    </w:p>
    <w:p w14:paraId="519B3896" w14:textId="77777777" w:rsidR="00907C94" w:rsidRPr="008E63BB" w:rsidRDefault="00907C94" w:rsidP="00F43C84">
      <w:pPr>
        <w:spacing w:before="120"/>
        <w:rPr>
          <w:bCs/>
          <w:szCs w:val="26"/>
          <w:lang w:val="de-DE"/>
        </w:rPr>
      </w:pPr>
      <w:r w:rsidRPr="008E63BB">
        <w:rPr>
          <w:bCs/>
          <w:szCs w:val="26"/>
          <w:lang w:val="de-DE"/>
        </w:rPr>
        <w:t xml:space="preserve">* Quản lý, bảo vệ kết cấu hạ tầng giao thông đường bộ: </w:t>
      </w:r>
    </w:p>
    <w:p w14:paraId="519B3897" w14:textId="77777777" w:rsidR="00907C94" w:rsidRPr="008E63BB" w:rsidRDefault="00907C94" w:rsidP="00F43C84">
      <w:pPr>
        <w:spacing w:before="120"/>
        <w:ind w:firstLine="709"/>
        <w:rPr>
          <w:bCs/>
          <w:szCs w:val="26"/>
          <w:lang w:val="de-DE"/>
        </w:rPr>
      </w:pPr>
      <w:r w:rsidRPr="008E63BB">
        <w:rPr>
          <w:bCs/>
          <w:szCs w:val="26"/>
          <w:lang w:val="de-DE"/>
        </w:rPr>
        <w:lastRenderedPageBreak/>
        <w:t>- Đối với đường ngoài đô thị, căn cứ cấp kỹ thuật của đường theo quy hoạch, tuân thủ hành lang an toàn, đất bảo vệ, bảo trì đường bộ theo quy định (Nghị định 100/2013/NĐ-CP, Nghị định 11/2010/NĐ-CP)</w:t>
      </w:r>
    </w:p>
    <w:p w14:paraId="519B3898" w14:textId="77777777" w:rsidR="00907C94" w:rsidRPr="008E63BB" w:rsidRDefault="00907C94" w:rsidP="00F43C84">
      <w:pPr>
        <w:spacing w:before="120"/>
        <w:ind w:firstLine="709"/>
        <w:rPr>
          <w:bCs/>
          <w:szCs w:val="26"/>
          <w:lang w:val="de-DE"/>
        </w:rPr>
      </w:pPr>
      <w:r w:rsidRPr="008E63BB">
        <w:rPr>
          <w:bCs/>
          <w:szCs w:val="26"/>
          <w:lang w:val="de-DE"/>
        </w:rPr>
        <w:t>- Đấu nối vào quốc lộ: Vị trí các điểm đấu nối đảm bảo thống nhất, tuân thủ Nghị định của Chính phủ, các quy định của Bộ GTVT.</w:t>
      </w:r>
    </w:p>
    <w:p w14:paraId="519B3899" w14:textId="77777777" w:rsidR="00244409" w:rsidRPr="008E63BB" w:rsidRDefault="00244409" w:rsidP="00F43C84">
      <w:pPr>
        <w:spacing w:before="120"/>
        <w:rPr>
          <w:bCs/>
          <w:szCs w:val="26"/>
          <w:lang w:val="de-DE"/>
        </w:rPr>
      </w:pPr>
      <w:r w:rsidRPr="008E63BB">
        <w:rPr>
          <w:bCs/>
          <w:szCs w:val="26"/>
          <w:lang w:val="de-DE"/>
        </w:rPr>
        <w:t>d. Giao thông công cộng</w:t>
      </w:r>
    </w:p>
    <w:p w14:paraId="519B389A" w14:textId="77777777" w:rsidR="00244409" w:rsidRPr="008E63BB" w:rsidRDefault="00244409" w:rsidP="0065184D">
      <w:pPr>
        <w:ind w:firstLine="720"/>
        <w:rPr>
          <w:bCs/>
          <w:szCs w:val="26"/>
          <w:lang w:val="de-DE"/>
        </w:rPr>
      </w:pPr>
      <w:r w:rsidRPr="008E63BB">
        <w:rPr>
          <w:bCs/>
          <w:szCs w:val="26"/>
          <w:lang w:val="de-DE"/>
        </w:rPr>
        <w:t>Với kinh nghiệm từ các nước phát triển và đang phát triển, với quy mô dân số &lt; 1 triệu người, mô hình giao thông công cộng phù hợp cho thành phố là sử dụng xe buýt trong đó gồm 2 phương thức:</w:t>
      </w:r>
    </w:p>
    <w:p w14:paraId="519B389B" w14:textId="77777777" w:rsidR="00244409" w:rsidRPr="008E63BB" w:rsidRDefault="00244409" w:rsidP="00F43C84">
      <w:pPr>
        <w:ind w:firstLine="709"/>
        <w:rPr>
          <w:bCs/>
          <w:szCs w:val="26"/>
          <w:lang w:val="de-DE"/>
        </w:rPr>
      </w:pPr>
      <w:r w:rsidRPr="008E63BB">
        <w:rPr>
          <w:bCs/>
          <w:szCs w:val="26"/>
          <w:lang w:val="de-DE"/>
        </w:rPr>
        <w:t>- Xe buýt vận chuyển khối lượng lớn (Xe buýt nhanh, BRT): Sử dụng trên các hành lang giao thông chính có lưu lượng vận chuyển hành khách lớn, yêu cầu mặt cắt đường đủ rộng để bố trí làn xe buýt riêng biệt</w:t>
      </w:r>
    </w:p>
    <w:p w14:paraId="519B389C" w14:textId="77777777" w:rsidR="00244409" w:rsidRPr="008E63BB" w:rsidRDefault="00244409" w:rsidP="00F43C84">
      <w:pPr>
        <w:ind w:firstLine="709"/>
        <w:rPr>
          <w:bCs/>
          <w:szCs w:val="26"/>
          <w:lang w:val="de-DE"/>
        </w:rPr>
      </w:pPr>
      <w:r w:rsidRPr="008E63BB">
        <w:rPr>
          <w:bCs/>
          <w:szCs w:val="26"/>
          <w:lang w:val="de-DE"/>
        </w:rPr>
        <w:t>- Xe buýt thường: Phục vụ trên các tuyến kết nối với trung tâm các huyện hoặc sử dụng xe buýt nhỏ với chức năng gom hành khách tại các điểm trung chuyển với loại hình xe buýt nhanh.</w:t>
      </w:r>
    </w:p>
    <w:p w14:paraId="519B389D" w14:textId="77777777" w:rsidR="00244409" w:rsidRPr="008E63BB" w:rsidRDefault="00244409" w:rsidP="0065184D">
      <w:pPr>
        <w:rPr>
          <w:bCs/>
          <w:szCs w:val="26"/>
          <w:lang w:val="de-DE"/>
        </w:rPr>
      </w:pPr>
      <w:r w:rsidRPr="008E63BB">
        <w:rPr>
          <w:bCs/>
          <w:szCs w:val="26"/>
          <w:lang w:val="de-DE"/>
        </w:rPr>
        <w:tab/>
        <w:t xml:space="preserve">Đối với thành phố Nam Định, nghiên cứu xây dựng 02 tuyến buýt nhanh </w:t>
      </w:r>
    </w:p>
    <w:p w14:paraId="519B389E" w14:textId="77777777" w:rsidR="00244409" w:rsidRPr="008E63BB" w:rsidRDefault="00244409" w:rsidP="00F43C84">
      <w:pPr>
        <w:ind w:firstLine="709"/>
        <w:rPr>
          <w:bCs/>
          <w:szCs w:val="26"/>
          <w:lang w:val="de-DE"/>
        </w:rPr>
      </w:pPr>
      <w:r w:rsidRPr="008E63BB">
        <w:rPr>
          <w:bCs/>
          <w:szCs w:val="26"/>
          <w:lang w:val="de-DE"/>
        </w:rPr>
        <w:t xml:space="preserve">- Tuyến BRT 01: Chạy theo vành đai 1, đây là 1 trong tuyến quan trọng, có hình vòng cung và kết nối nhiều khu đô thị, khu công nghiệp. Các tuyến xe buýt thường chạy theo các tuyến đường hướng tâm gắn kết khu vực thành phố với các huyện, thị trấn. </w:t>
      </w:r>
    </w:p>
    <w:p w14:paraId="519B389F" w14:textId="77777777" w:rsidR="00244409" w:rsidRPr="008E63BB" w:rsidRDefault="00244409" w:rsidP="00F43C84">
      <w:pPr>
        <w:ind w:firstLine="709"/>
        <w:rPr>
          <w:bCs/>
          <w:szCs w:val="26"/>
          <w:lang w:val="de-DE"/>
        </w:rPr>
      </w:pPr>
      <w:r w:rsidRPr="008E63BB">
        <w:rPr>
          <w:bCs/>
          <w:szCs w:val="26"/>
          <w:lang w:val="de-DE"/>
        </w:rPr>
        <w:t>- Tuyến BRT 02: Kết nối khu vực cửa ngõ mới phía Tây đi khu vực trung tâm thành phố.</w:t>
      </w:r>
    </w:p>
    <w:p w14:paraId="519B38A0" w14:textId="77777777" w:rsidR="00244409" w:rsidRPr="008E63BB" w:rsidRDefault="00244409" w:rsidP="00F43C84">
      <w:pPr>
        <w:ind w:firstLine="709"/>
        <w:rPr>
          <w:bCs/>
          <w:szCs w:val="26"/>
          <w:lang w:val="de-DE"/>
        </w:rPr>
      </w:pPr>
      <w:r w:rsidRPr="008E63BB">
        <w:rPr>
          <w:bCs/>
          <w:szCs w:val="26"/>
          <w:lang w:val="de-DE"/>
        </w:rPr>
        <w:t>Trong tương lai, nghiên cứu sử dụng phương tiện xe buýt sạch (xe điện hoặc CNG) thân thiện với môi trường.</w:t>
      </w:r>
    </w:p>
    <w:p w14:paraId="519B38A1" w14:textId="77777777" w:rsidR="00244409" w:rsidRPr="008E63BB" w:rsidRDefault="005A60DF" w:rsidP="0065184D">
      <w:pPr>
        <w:jc w:val="center"/>
        <w:rPr>
          <w:bCs/>
          <w:szCs w:val="26"/>
          <w:lang w:val="de-DE"/>
        </w:rPr>
      </w:pPr>
      <w:r w:rsidRPr="008E63BB">
        <w:rPr>
          <w:bCs/>
          <w:noProof/>
          <w:szCs w:val="26"/>
          <w:lang w:eastAsia="zh-CN"/>
        </w:rPr>
        <w:drawing>
          <wp:inline distT="0" distB="0" distL="0" distR="0" wp14:anchorId="519B5293" wp14:editId="519B5294">
            <wp:extent cx="5752335" cy="3955312"/>
            <wp:effectExtent l="0" t="0" r="1270"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 cstate="screen">
                      <a:extLst>
                        <a:ext uri="{28A0092B-C50C-407E-A947-70E740481C1C}">
                          <a14:useLocalDpi xmlns:a14="http://schemas.microsoft.com/office/drawing/2010/main"/>
                        </a:ext>
                      </a:extLst>
                    </a:blip>
                    <a:stretch>
                      <a:fillRect/>
                    </a:stretch>
                  </pic:blipFill>
                  <pic:spPr bwMode="auto">
                    <a:xfrm>
                      <a:off x="0" y="0"/>
                      <a:ext cx="5763664" cy="3963102"/>
                    </a:xfrm>
                    <a:prstGeom prst="rect">
                      <a:avLst/>
                    </a:prstGeom>
                    <a:noFill/>
                    <a:ln>
                      <a:noFill/>
                    </a:ln>
                  </pic:spPr>
                </pic:pic>
              </a:graphicData>
            </a:graphic>
          </wp:inline>
        </w:drawing>
      </w:r>
    </w:p>
    <w:p w14:paraId="519B38A2" w14:textId="77777777" w:rsidR="00065ECA" w:rsidRPr="008E63BB" w:rsidRDefault="00244409" w:rsidP="0065184D">
      <w:pPr>
        <w:ind w:left="360"/>
        <w:jc w:val="center"/>
        <w:rPr>
          <w:szCs w:val="26"/>
          <w:lang w:val="nb-NO"/>
        </w:rPr>
      </w:pPr>
      <w:r w:rsidRPr="008E63BB">
        <w:rPr>
          <w:bCs/>
          <w:szCs w:val="26"/>
          <w:lang w:val="de-DE"/>
        </w:rPr>
        <w:t>Hình. Sơ đồ định hướng phát triển giao thông</w:t>
      </w:r>
    </w:p>
    <w:p w14:paraId="519B38A3" w14:textId="77777777" w:rsidR="0035043E" w:rsidRPr="008E63BB" w:rsidRDefault="00DE21CF" w:rsidP="0065184D">
      <w:pPr>
        <w:pStyle w:val="Heading2"/>
        <w:spacing w:before="0" w:after="0"/>
        <w:rPr>
          <w:kern w:val="32"/>
          <w:lang w:val="vi-VN"/>
        </w:rPr>
      </w:pPr>
      <w:bookmarkStart w:id="450" w:name="_Toc47524721"/>
      <w:r w:rsidRPr="008E63BB">
        <w:rPr>
          <w:kern w:val="32"/>
          <w:lang w:val="nb-NO"/>
        </w:rPr>
        <w:lastRenderedPageBreak/>
        <w:t>6</w:t>
      </w:r>
      <w:r w:rsidR="0035043E" w:rsidRPr="008E63BB">
        <w:rPr>
          <w:kern w:val="32"/>
          <w:lang w:val="vi-VN"/>
        </w:rPr>
        <w:t xml:space="preserve">.2. Định hướng </w:t>
      </w:r>
      <w:r w:rsidR="007335C8" w:rsidRPr="008E63BB">
        <w:rPr>
          <w:kern w:val="32"/>
          <w:lang w:val="vi-VN"/>
        </w:rPr>
        <w:t>cao độ nền, thoát nước mưa</w:t>
      </w:r>
      <w:bookmarkEnd w:id="450"/>
    </w:p>
    <w:p w14:paraId="519B38A4" w14:textId="77777777" w:rsidR="007335C8" w:rsidRPr="008E63BB" w:rsidRDefault="00DE21CF" w:rsidP="0065184D">
      <w:pPr>
        <w:rPr>
          <w:i/>
          <w:lang w:val="vi-VN"/>
        </w:rPr>
      </w:pPr>
      <w:r w:rsidRPr="008E63BB">
        <w:rPr>
          <w:i/>
          <w:lang w:val="vi-VN"/>
        </w:rPr>
        <w:t>6.</w:t>
      </w:r>
      <w:r w:rsidR="007335C8" w:rsidRPr="008E63BB">
        <w:rPr>
          <w:i/>
          <w:lang w:val="vi-VN"/>
        </w:rPr>
        <w:t>2.1 Cơ sở lập quy hoạch</w:t>
      </w:r>
    </w:p>
    <w:p w14:paraId="519B38A5" w14:textId="77777777" w:rsidR="007335C8" w:rsidRPr="008E63BB" w:rsidRDefault="007335C8" w:rsidP="0065184D">
      <w:pPr>
        <w:ind w:firstLine="720"/>
        <w:rPr>
          <w:lang w:val="pt-BR" w:eastAsia="ja-JP"/>
        </w:rPr>
      </w:pPr>
      <w:r w:rsidRPr="008E63BB">
        <w:rPr>
          <w:lang w:val="pt-BR" w:eastAsia="ja-JP"/>
        </w:rPr>
        <w:t>- Đồ án Quy hoạch xây dựng vùng tỉnh Nam Định (đã được phê duyệt năm 2014).</w:t>
      </w:r>
    </w:p>
    <w:p w14:paraId="519B38A6" w14:textId="77777777" w:rsidR="007335C8" w:rsidRPr="008E63BB" w:rsidRDefault="007335C8" w:rsidP="0065184D">
      <w:pPr>
        <w:ind w:firstLine="720"/>
        <w:rPr>
          <w:lang w:val="vi-VN"/>
        </w:rPr>
      </w:pPr>
      <w:r w:rsidRPr="008E63BB">
        <w:rPr>
          <w:lang w:val="vi-VN"/>
        </w:rPr>
        <w:t xml:space="preserve">- Bản đồ nền </w:t>
      </w:r>
      <w:r w:rsidRPr="008E63BB">
        <w:rPr>
          <w:lang w:val="pt-BR"/>
        </w:rPr>
        <w:t>địa hình thành phố Nam Định tỷ lệ 1/10.000 do chủ đầu tư cung cấp năm 2019</w:t>
      </w:r>
      <w:r w:rsidRPr="008E63BB">
        <w:rPr>
          <w:lang w:val="vi-VN"/>
        </w:rPr>
        <w:t>.</w:t>
      </w:r>
    </w:p>
    <w:p w14:paraId="519B38A7" w14:textId="77777777" w:rsidR="007335C8" w:rsidRPr="008E63BB" w:rsidRDefault="007335C8" w:rsidP="0065184D">
      <w:pPr>
        <w:ind w:firstLine="720"/>
        <w:rPr>
          <w:lang w:val="vi-VN"/>
        </w:rPr>
      </w:pPr>
      <w:r w:rsidRPr="008E63BB">
        <w:rPr>
          <w:lang w:val="vi-VN"/>
        </w:rPr>
        <w:t>- Các đồ án quy hoạch xây dựng, các dự án đầu tư xây dựng đã được phê duyệt và đang triển khai trên địa bàn thành phố Nam Định.</w:t>
      </w:r>
    </w:p>
    <w:p w14:paraId="519B38A8" w14:textId="77777777" w:rsidR="00627481" w:rsidRPr="008E63BB" w:rsidRDefault="00627481" w:rsidP="0065184D">
      <w:pPr>
        <w:tabs>
          <w:tab w:val="left" w:pos="851"/>
          <w:tab w:val="left" w:pos="993"/>
        </w:tabs>
        <w:ind w:firstLine="720"/>
        <w:rPr>
          <w:lang w:val="pt-BR" w:eastAsia="ja-JP"/>
        </w:rPr>
      </w:pPr>
      <w:r w:rsidRPr="008E63BB">
        <w:rPr>
          <w:lang w:val="vi-VN"/>
        </w:rPr>
        <w:t xml:space="preserve">- Quy hoạch phòng chống lũ và quy hoạch đê điều hệ thống sông Hồng, sông Thái Bình </w:t>
      </w:r>
      <w:r w:rsidRPr="008E63BB">
        <w:rPr>
          <w:lang w:val="pt-BR" w:eastAsia="ja-JP"/>
        </w:rPr>
        <w:t>(đã được phê duyệt năm 2016).</w:t>
      </w:r>
    </w:p>
    <w:p w14:paraId="519B38A9" w14:textId="77777777" w:rsidR="00627481" w:rsidRPr="008E63BB" w:rsidRDefault="00627481" w:rsidP="0065184D">
      <w:pPr>
        <w:numPr>
          <w:ilvl w:val="0"/>
          <w:numId w:val="9"/>
        </w:numPr>
        <w:tabs>
          <w:tab w:val="left" w:pos="851"/>
        </w:tabs>
        <w:ind w:left="0" w:firstLine="567"/>
        <w:rPr>
          <w:szCs w:val="28"/>
          <w:lang w:val="pt-BR"/>
        </w:rPr>
      </w:pPr>
      <w:r w:rsidRPr="008E63BB">
        <w:rPr>
          <w:szCs w:val="28"/>
          <w:lang w:val="pt-BR"/>
        </w:rPr>
        <w:t xml:space="preserve">Dự án Nâng cấp hệ thống công trình phòng chống lụt bão đê hữu sông Hồng và tả sông Đào thành phố Nam Định, tỉnh Nam Định; </w:t>
      </w:r>
    </w:p>
    <w:p w14:paraId="519B38AA" w14:textId="77777777" w:rsidR="007335C8" w:rsidRPr="008E63BB" w:rsidRDefault="007335C8" w:rsidP="0065184D">
      <w:pPr>
        <w:ind w:firstLine="720"/>
        <w:rPr>
          <w:lang w:val="pt-BR"/>
        </w:rPr>
      </w:pPr>
      <w:r w:rsidRPr="008E63BB">
        <w:rPr>
          <w:lang w:val="vi-VN"/>
        </w:rPr>
        <w:t xml:space="preserve">- Đồ án </w:t>
      </w:r>
      <w:r w:rsidRPr="008E63BB">
        <w:rPr>
          <w:lang w:val="pt-BR"/>
        </w:rPr>
        <w:t>Q</w:t>
      </w:r>
      <w:r w:rsidRPr="008E63BB">
        <w:rPr>
          <w:lang w:val="vi-VN"/>
        </w:rPr>
        <w:t xml:space="preserve">uy hoạch </w:t>
      </w:r>
      <w:r w:rsidRPr="008E63BB">
        <w:rPr>
          <w:lang w:val="pt-BR"/>
        </w:rPr>
        <w:t>t</w:t>
      </w:r>
      <w:r w:rsidRPr="008E63BB">
        <w:rPr>
          <w:lang w:val="vi-VN"/>
        </w:rPr>
        <w:t xml:space="preserve">huỷ lợi </w:t>
      </w:r>
      <w:r w:rsidRPr="008E63BB">
        <w:rPr>
          <w:lang w:val="pt-BR"/>
        </w:rPr>
        <w:t xml:space="preserve">hệ thống Nam Ninh, Hải Hậu, Nghĩa Hưng, Xuân Thủy, Bắc Nam Hà thuộc địa phận </w:t>
      </w:r>
      <w:r w:rsidRPr="008E63BB">
        <w:rPr>
          <w:lang w:val="vi-VN"/>
        </w:rPr>
        <w:t xml:space="preserve">tỉnh </w:t>
      </w:r>
      <w:r w:rsidRPr="008E63BB">
        <w:rPr>
          <w:lang w:val="pt-BR"/>
        </w:rPr>
        <w:t>Nam Định</w:t>
      </w:r>
      <w:r w:rsidRPr="008E63BB">
        <w:rPr>
          <w:lang w:val="vi-VN"/>
        </w:rPr>
        <w:t xml:space="preserve"> (đã được phê duyệt năm 201</w:t>
      </w:r>
      <w:r w:rsidRPr="008E63BB">
        <w:rPr>
          <w:lang w:val="pt-BR"/>
        </w:rPr>
        <w:t>3)</w:t>
      </w:r>
      <w:r w:rsidRPr="008E63BB">
        <w:rPr>
          <w:lang w:val="vi-VN"/>
        </w:rPr>
        <w:t>.</w:t>
      </w:r>
    </w:p>
    <w:p w14:paraId="519B38AB" w14:textId="77777777" w:rsidR="007335C8" w:rsidRPr="008E63BB" w:rsidRDefault="007335C8" w:rsidP="0065184D">
      <w:pPr>
        <w:ind w:firstLine="720"/>
        <w:rPr>
          <w:lang w:val="pt-BR"/>
        </w:rPr>
      </w:pPr>
      <w:r w:rsidRPr="008E63BB">
        <w:rPr>
          <w:lang w:val="vi-VN"/>
        </w:rPr>
        <w:t xml:space="preserve">- Đồ án </w:t>
      </w:r>
      <w:r w:rsidRPr="008E63BB">
        <w:rPr>
          <w:lang w:val="pt-BR"/>
        </w:rPr>
        <w:t>Quy hoạch phòng, chống lũ chi tiết cho các tuyến sông có đê trên địa bàn</w:t>
      </w:r>
      <w:r w:rsidRPr="008E63BB">
        <w:rPr>
          <w:lang w:val="vi-VN"/>
        </w:rPr>
        <w:t xml:space="preserve"> tỉnh </w:t>
      </w:r>
      <w:r w:rsidRPr="008E63BB">
        <w:rPr>
          <w:lang w:val="pt-BR"/>
        </w:rPr>
        <w:t>Nam Định</w:t>
      </w:r>
      <w:r w:rsidRPr="008E63BB">
        <w:rPr>
          <w:lang w:val="vi-VN"/>
        </w:rPr>
        <w:t xml:space="preserve"> đến 2020, định hướng đến năm 2030 (đã được phê duyệt năm 201</w:t>
      </w:r>
      <w:r w:rsidRPr="008E63BB">
        <w:rPr>
          <w:lang w:val="pt-BR"/>
        </w:rPr>
        <w:t>2)</w:t>
      </w:r>
      <w:r w:rsidRPr="008E63BB">
        <w:rPr>
          <w:lang w:val="vi-VN"/>
        </w:rPr>
        <w:t>.</w:t>
      </w:r>
    </w:p>
    <w:p w14:paraId="519B38AC" w14:textId="77777777" w:rsidR="007335C8" w:rsidRPr="008E63BB" w:rsidRDefault="007335C8" w:rsidP="0065184D">
      <w:pPr>
        <w:ind w:firstLine="720"/>
        <w:rPr>
          <w:lang w:val="pt-BR"/>
        </w:rPr>
      </w:pPr>
      <w:r w:rsidRPr="008E63BB">
        <w:rPr>
          <w:lang w:val="pt-BR"/>
        </w:rPr>
        <w:t>-  QCXDVN 01: 2008   Quy chuẩn xây dựng Việt Nam – Quy hoạch xây dựng.</w:t>
      </w:r>
    </w:p>
    <w:p w14:paraId="519B38AD" w14:textId="77777777" w:rsidR="007335C8" w:rsidRPr="008E63BB" w:rsidRDefault="007335C8" w:rsidP="00F43C84">
      <w:pPr>
        <w:ind w:firstLine="720"/>
        <w:rPr>
          <w:lang w:val="pt-BR"/>
        </w:rPr>
      </w:pPr>
      <w:r w:rsidRPr="008E63BB">
        <w:rPr>
          <w:lang w:val="pt-BR"/>
        </w:rPr>
        <w:t>- QCXD 07: 2016/BXD   Quy chuẩn kỹ thuật quốc gia các công trình hạ tầng kỹ thuật đô thị.</w:t>
      </w:r>
    </w:p>
    <w:p w14:paraId="519B38AE" w14:textId="77777777" w:rsidR="00E4678E" w:rsidRPr="008E63BB" w:rsidRDefault="007335C8" w:rsidP="00F43C84">
      <w:pPr>
        <w:tabs>
          <w:tab w:val="left" w:pos="0"/>
          <w:tab w:val="left" w:pos="851"/>
        </w:tabs>
        <w:ind w:firstLine="709"/>
        <w:rPr>
          <w:rFonts w:eastAsia="Times New Roman"/>
          <w:szCs w:val="26"/>
          <w:lang w:val="vi-VN"/>
        </w:rPr>
      </w:pPr>
      <w:r w:rsidRPr="008E63BB">
        <w:rPr>
          <w:lang w:val="pt-BR"/>
        </w:rPr>
        <w:t>- TCVN 7957-2008 Thoát nước – Mạng lưới công trình bên ngoài và công trình – Tiêu chuẩn thiết kế</w:t>
      </w:r>
    </w:p>
    <w:p w14:paraId="519B38AF" w14:textId="77777777" w:rsidR="007335C8" w:rsidRPr="008E63BB" w:rsidRDefault="00DE21CF" w:rsidP="00F43C84">
      <w:pPr>
        <w:rPr>
          <w:i/>
          <w:lang w:val="vi-VN"/>
        </w:rPr>
      </w:pPr>
      <w:r w:rsidRPr="008E63BB">
        <w:rPr>
          <w:i/>
          <w:lang w:val="vi-VN"/>
        </w:rPr>
        <w:t>6</w:t>
      </w:r>
      <w:r w:rsidR="007335C8" w:rsidRPr="008E63BB">
        <w:rPr>
          <w:i/>
          <w:lang w:val="vi-VN"/>
        </w:rPr>
        <w:t>.2.2. Định hướng công trình thủy lợi và công trình phòng chống thiên tai</w:t>
      </w:r>
    </w:p>
    <w:p w14:paraId="519B38B0" w14:textId="77777777" w:rsidR="007335C8" w:rsidRPr="008E63BB" w:rsidRDefault="007335C8" w:rsidP="00F43C84">
      <w:pPr>
        <w:tabs>
          <w:tab w:val="left" w:pos="360"/>
        </w:tabs>
        <w:ind w:firstLine="709"/>
        <w:rPr>
          <w:szCs w:val="26"/>
          <w:lang w:val="vi-VN"/>
        </w:rPr>
      </w:pPr>
      <w:r w:rsidRPr="008E63BB">
        <w:rPr>
          <w:szCs w:val="26"/>
          <w:lang w:val="vi-VN"/>
        </w:rPr>
        <w:tab/>
        <w:t xml:space="preserve">- Hoàn thiện và duy tu các tuyến đê sông Hồng, sông Đào; </w:t>
      </w:r>
      <w:r w:rsidR="00FA3C93" w:rsidRPr="008E63BB">
        <w:rPr>
          <w:szCs w:val="26"/>
          <w:lang w:val="vi-VN"/>
        </w:rPr>
        <w:t xml:space="preserve">các tuyến đê bối Hồng Hà, Hồng Long; </w:t>
      </w:r>
      <w:r w:rsidRPr="008E63BB">
        <w:rPr>
          <w:szCs w:val="26"/>
          <w:lang w:val="vi-VN"/>
        </w:rPr>
        <w:t>các cống tiêu dưới đê đảm bảo tiêu chuẩn chống lũ.</w:t>
      </w:r>
    </w:p>
    <w:p w14:paraId="519B38B1" w14:textId="77777777" w:rsidR="00FA3C93" w:rsidRPr="008E63BB" w:rsidRDefault="00FA3C93" w:rsidP="00F43C84">
      <w:pPr>
        <w:tabs>
          <w:tab w:val="left" w:pos="360"/>
        </w:tabs>
        <w:ind w:firstLine="709"/>
        <w:rPr>
          <w:szCs w:val="26"/>
          <w:lang w:val="vi-VN"/>
        </w:rPr>
      </w:pPr>
      <w:r w:rsidRPr="008E63BB">
        <w:rPr>
          <w:szCs w:val="26"/>
          <w:lang w:val="vi-VN"/>
        </w:rPr>
        <w:t>- Chỉnh trang và nâng cấp hệ thống đê Hữu Hồng, đê Tả Đào, đê Hữu Đào theo hướng bảo vệ ngăn lũ sông Hồng, sông Đào, giao thông, cảnh quan vùng ven sông.</w:t>
      </w:r>
    </w:p>
    <w:p w14:paraId="519B38B2" w14:textId="77777777" w:rsidR="007335C8" w:rsidRPr="008E63BB" w:rsidRDefault="007335C8" w:rsidP="00F43C84">
      <w:pPr>
        <w:tabs>
          <w:tab w:val="left" w:pos="360"/>
        </w:tabs>
        <w:rPr>
          <w:szCs w:val="26"/>
          <w:lang w:val="vi-VN"/>
        </w:rPr>
      </w:pPr>
      <w:r w:rsidRPr="008E63BB">
        <w:rPr>
          <w:szCs w:val="26"/>
          <w:lang w:val="vi-VN"/>
        </w:rPr>
        <w:tab/>
      </w:r>
      <w:r w:rsidRPr="008E63BB">
        <w:rPr>
          <w:szCs w:val="26"/>
          <w:lang w:val="vi-VN"/>
        </w:rPr>
        <w:tab/>
        <w:t xml:space="preserve">- Cải tạo, mở rộng, xây mới, kiên cố hóa các hệ thống kênh tiêu nhằm giảm tải công suất cho các trạm bơm tiêu. </w:t>
      </w:r>
    </w:p>
    <w:p w14:paraId="519B38B3" w14:textId="77777777" w:rsidR="007335C8" w:rsidRPr="008E63BB" w:rsidRDefault="007335C8" w:rsidP="00F43C84">
      <w:pPr>
        <w:tabs>
          <w:tab w:val="left" w:pos="360"/>
        </w:tabs>
        <w:rPr>
          <w:szCs w:val="26"/>
          <w:lang w:val="vi-VN"/>
        </w:rPr>
      </w:pPr>
      <w:r w:rsidRPr="008E63BB">
        <w:rPr>
          <w:szCs w:val="26"/>
          <w:lang w:val="vi-VN"/>
        </w:rPr>
        <w:tab/>
      </w:r>
      <w:r w:rsidRPr="008E63BB">
        <w:rPr>
          <w:szCs w:val="26"/>
          <w:lang w:val="vi-VN"/>
        </w:rPr>
        <w:tab/>
        <w:t>- Xây dựng mới hệ thống kênh tiêu mới có bề rộng B=20÷50(m). Thiết lập hành lang bảo vệ kênh. Kè gia cố kênh.</w:t>
      </w:r>
    </w:p>
    <w:p w14:paraId="519B38B4" w14:textId="77777777" w:rsidR="007335C8" w:rsidRPr="008E63BB" w:rsidRDefault="007335C8" w:rsidP="00F43C84">
      <w:pPr>
        <w:tabs>
          <w:tab w:val="left" w:pos="360"/>
        </w:tabs>
        <w:rPr>
          <w:szCs w:val="26"/>
          <w:lang w:val="vi-VN"/>
        </w:rPr>
      </w:pPr>
      <w:r w:rsidRPr="008E63BB">
        <w:rPr>
          <w:szCs w:val="26"/>
          <w:lang w:val="vi-VN"/>
        </w:rPr>
        <w:tab/>
      </w:r>
      <w:r w:rsidRPr="008E63BB">
        <w:rPr>
          <w:szCs w:val="26"/>
          <w:lang w:val="vi-VN"/>
        </w:rPr>
        <w:tab/>
        <w:t xml:space="preserve">- Tăng cường công tác </w:t>
      </w:r>
      <w:r w:rsidR="003C017D" w:rsidRPr="008E63BB">
        <w:rPr>
          <w:szCs w:val="26"/>
        </w:rPr>
        <w:t>quy hoạch và</w:t>
      </w:r>
      <w:r w:rsidRPr="008E63BB">
        <w:rPr>
          <w:szCs w:val="26"/>
          <w:lang w:val="vi-VN"/>
        </w:rPr>
        <w:t xml:space="preserve"> quản lý hành lang bảo vệ đê </w:t>
      </w:r>
      <w:r w:rsidR="003C017D" w:rsidRPr="008E63BB">
        <w:rPr>
          <w:szCs w:val="26"/>
        </w:rPr>
        <w:t>sông Hồng và sông Đào</w:t>
      </w:r>
      <w:r w:rsidRPr="008E63BB">
        <w:rPr>
          <w:szCs w:val="26"/>
          <w:lang w:val="vi-VN"/>
        </w:rPr>
        <w:t>, tình trạng khai thác vật liệu xây dựng trong lòng sông, bãi sông, làm ảnh hưởng dòng chảy thoát lũ và môi trường nước sông Hồng, sông Đào.</w:t>
      </w:r>
    </w:p>
    <w:p w14:paraId="519B38B5" w14:textId="77777777" w:rsidR="00115079" w:rsidRPr="008E63BB" w:rsidRDefault="00115079" w:rsidP="00F43C84">
      <w:pPr>
        <w:tabs>
          <w:tab w:val="left" w:pos="360"/>
        </w:tabs>
        <w:rPr>
          <w:szCs w:val="26"/>
          <w:lang w:val="vi-VN"/>
        </w:rPr>
      </w:pPr>
      <w:r w:rsidRPr="008E63BB">
        <w:rPr>
          <w:szCs w:val="26"/>
          <w:lang w:val="vi-VN"/>
        </w:rPr>
        <w:tab/>
      </w:r>
      <w:r w:rsidRPr="008E63BB">
        <w:rPr>
          <w:szCs w:val="26"/>
          <w:lang w:val="vi-VN"/>
        </w:rPr>
        <w:tab/>
        <w:t>- Xác định và tuân thủ hành lang thoát lũ của các sông.</w:t>
      </w:r>
    </w:p>
    <w:p w14:paraId="519B38B6" w14:textId="77777777" w:rsidR="007335C8" w:rsidRPr="008E63BB" w:rsidRDefault="007335C8" w:rsidP="00F43C84">
      <w:pPr>
        <w:pStyle w:val="BodyTextIndent"/>
        <w:spacing w:before="0" w:after="0"/>
        <w:rPr>
          <w:color w:val="auto"/>
          <w:sz w:val="26"/>
          <w:szCs w:val="26"/>
          <w:lang w:val="pt-BR"/>
        </w:rPr>
      </w:pPr>
      <w:r w:rsidRPr="008E63BB">
        <w:rPr>
          <w:color w:val="auto"/>
          <w:sz w:val="26"/>
          <w:szCs w:val="26"/>
          <w:lang w:val="pt-BR"/>
        </w:rPr>
        <w:t>- Cải tạo, nâng cấp, xây mới các trạm bơm tiêu đảm bảo nâng cao hiệu quả tiêu thoát nước mặt. Rà soát nâng cấp các tổ máy đã hư hỏng, xuống cấp để đảm bảo nhiệm vụ tiêu thoát nước vào mùa mưa bão.</w:t>
      </w:r>
    </w:p>
    <w:p w14:paraId="519B38B7" w14:textId="77777777" w:rsidR="007335C8" w:rsidRPr="008E63BB" w:rsidRDefault="007335C8" w:rsidP="00F43C84">
      <w:pPr>
        <w:pStyle w:val="BodyTextIndent"/>
        <w:spacing w:before="0" w:after="0"/>
        <w:rPr>
          <w:color w:val="auto"/>
          <w:sz w:val="26"/>
          <w:szCs w:val="26"/>
          <w:lang w:val="pt-BR"/>
        </w:rPr>
      </w:pPr>
      <w:r w:rsidRPr="008E63BB">
        <w:rPr>
          <w:color w:val="auto"/>
          <w:sz w:val="26"/>
          <w:szCs w:val="26"/>
          <w:lang w:val="pt-BR"/>
        </w:rPr>
        <w:t>- Bố trí hồ điều hòa trước trạm bơm Kênh Gia để trạm bơm hoạt động hiệu quả.</w:t>
      </w:r>
    </w:p>
    <w:p w14:paraId="519B38B8" w14:textId="77777777" w:rsidR="007335C8" w:rsidRPr="008E63BB" w:rsidRDefault="007335C8" w:rsidP="00F43C84">
      <w:pPr>
        <w:pStyle w:val="BodyText"/>
        <w:widowControl w:val="0"/>
        <w:tabs>
          <w:tab w:val="left" w:pos="900"/>
        </w:tabs>
        <w:spacing w:after="0"/>
        <w:rPr>
          <w:bCs/>
          <w:i/>
          <w:iCs/>
          <w:szCs w:val="26"/>
          <w:lang w:val="pt-BR"/>
        </w:rPr>
      </w:pPr>
      <w:r w:rsidRPr="008E63BB">
        <w:rPr>
          <w:i/>
          <w:szCs w:val="26"/>
          <w:lang w:val="it-IT"/>
        </w:rPr>
        <w:tab/>
        <w:t xml:space="preserve">* </w:t>
      </w:r>
      <w:r w:rsidRPr="008E63BB">
        <w:rPr>
          <w:bCs/>
          <w:i/>
          <w:iCs/>
          <w:szCs w:val="26"/>
          <w:lang w:val="pt-BR"/>
        </w:rPr>
        <w:t>Tính toán điều chỉnh quy mô công suất các trạm bơm tiêu:</w:t>
      </w:r>
    </w:p>
    <w:p w14:paraId="519B38B9" w14:textId="77777777" w:rsidR="007335C8" w:rsidRPr="008E63BB" w:rsidRDefault="007335C8" w:rsidP="00F43C84">
      <w:pPr>
        <w:pStyle w:val="BodyText"/>
        <w:widowControl w:val="0"/>
        <w:tabs>
          <w:tab w:val="left" w:pos="709"/>
        </w:tabs>
        <w:spacing w:after="0"/>
        <w:rPr>
          <w:bCs/>
          <w:iCs/>
          <w:szCs w:val="26"/>
          <w:lang w:val="pt-BR"/>
        </w:rPr>
      </w:pPr>
      <w:r w:rsidRPr="008E63BB">
        <w:rPr>
          <w:bCs/>
          <w:i/>
          <w:iCs/>
          <w:szCs w:val="26"/>
          <w:lang w:val="pt-BR"/>
        </w:rPr>
        <w:tab/>
      </w:r>
      <w:r w:rsidRPr="008E63BB">
        <w:rPr>
          <w:bCs/>
          <w:iCs/>
          <w:szCs w:val="26"/>
          <w:lang w:val="pt-BR"/>
        </w:rPr>
        <w:t xml:space="preserve">- Hệ số tiêu tính toán: </w:t>
      </w:r>
      <w:r w:rsidRPr="008E63BB">
        <w:rPr>
          <w:rFonts w:eastAsia="Times New Roman"/>
          <w:bCs/>
          <w:szCs w:val="26"/>
        </w:rPr>
        <w:t>q=(10</w:t>
      </w:r>
      <w:r w:rsidRPr="008E63BB">
        <w:rPr>
          <w:rFonts w:eastAsia="Times New Roman"/>
          <w:bCs/>
          <w:szCs w:val="26"/>
        </w:rPr>
        <w:sym w:font="Symbol" w:char="00B8"/>
      </w:r>
      <w:r w:rsidRPr="008E63BB">
        <w:rPr>
          <w:rFonts w:eastAsia="Times New Roman"/>
          <w:bCs/>
          <w:szCs w:val="26"/>
        </w:rPr>
        <w:t>15) l/s/ha</w:t>
      </w:r>
      <w:r w:rsidRPr="008E63BB">
        <w:rPr>
          <w:rFonts w:eastAsia="Times New Roman"/>
          <w:szCs w:val="26"/>
        </w:rPr>
        <w:t>.</w:t>
      </w:r>
    </w:p>
    <w:p w14:paraId="519B38BA" w14:textId="77777777" w:rsidR="007335C8" w:rsidRPr="008E63BB" w:rsidRDefault="007335C8" w:rsidP="00F43C84">
      <w:pPr>
        <w:pStyle w:val="BodyTextIndent"/>
        <w:spacing w:before="0" w:after="0"/>
        <w:rPr>
          <w:bCs/>
          <w:iCs/>
          <w:color w:val="auto"/>
          <w:sz w:val="26"/>
          <w:szCs w:val="26"/>
          <w:lang w:val="nb-NO"/>
        </w:rPr>
      </w:pPr>
      <w:r w:rsidRPr="008E63BB">
        <w:rPr>
          <w:bCs/>
          <w:iCs/>
          <w:color w:val="auto"/>
          <w:sz w:val="26"/>
          <w:szCs w:val="26"/>
          <w:lang w:val="nb-NO"/>
        </w:rPr>
        <w:t>- Tần suất tính toán cho công trình thủy lợi P=10%.</w:t>
      </w:r>
    </w:p>
    <w:p w14:paraId="519B38BB" w14:textId="77777777" w:rsidR="007335C8" w:rsidRPr="008E63BB" w:rsidRDefault="007335C8" w:rsidP="0065184D">
      <w:pPr>
        <w:pStyle w:val="ListParagraph"/>
        <w:tabs>
          <w:tab w:val="left" w:pos="284"/>
        </w:tabs>
        <w:spacing w:after="0"/>
        <w:ind w:left="0"/>
        <w:rPr>
          <w:bCs/>
          <w:iCs/>
          <w:sz w:val="26"/>
          <w:szCs w:val="26"/>
          <w:lang w:val="nb-NO"/>
        </w:rPr>
      </w:pPr>
      <w:r w:rsidRPr="008E63BB">
        <w:rPr>
          <w:bCs/>
          <w:iCs/>
          <w:sz w:val="26"/>
          <w:szCs w:val="26"/>
          <w:lang w:val="nb-NO"/>
        </w:rPr>
        <w:t>Bảng tính toán công suất các trạm bơm tiêu:</w:t>
      </w:r>
    </w:p>
    <w:tbl>
      <w:tblPr>
        <w:tblW w:w="9634" w:type="dxa"/>
        <w:tblInd w:w="113" w:type="dxa"/>
        <w:tblLook w:val="04A0" w:firstRow="1" w:lastRow="0" w:firstColumn="1" w:lastColumn="0" w:noHBand="0" w:noVBand="1"/>
      </w:tblPr>
      <w:tblGrid>
        <w:gridCol w:w="846"/>
        <w:gridCol w:w="1701"/>
        <w:gridCol w:w="1984"/>
        <w:gridCol w:w="1376"/>
        <w:gridCol w:w="1601"/>
        <w:gridCol w:w="2126"/>
      </w:tblGrid>
      <w:tr w:rsidR="008D5BFE" w:rsidRPr="008E63BB" w14:paraId="519B38C4" w14:textId="77777777" w:rsidTr="00F43C84">
        <w:trPr>
          <w:trHeight w:val="20"/>
          <w:tblHead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8BC" w14:textId="77777777" w:rsidR="007335C8" w:rsidRPr="008E63BB" w:rsidRDefault="007335C8" w:rsidP="00F43C84">
            <w:pPr>
              <w:jc w:val="center"/>
              <w:rPr>
                <w:rFonts w:eastAsia="Times New Roman"/>
                <w:b/>
                <w:szCs w:val="26"/>
              </w:rPr>
            </w:pPr>
            <w:r w:rsidRPr="008E63BB">
              <w:rPr>
                <w:rFonts w:eastAsia="Times New Roman"/>
                <w:b/>
                <w:szCs w:val="26"/>
              </w:rPr>
              <w:t>STT</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519B38BD" w14:textId="77777777" w:rsidR="007335C8" w:rsidRPr="008E63BB" w:rsidRDefault="007335C8" w:rsidP="00F43C84">
            <w:pPr>
              <w:jc w:val="center"/>
              <w:rPr>
                <w:rFonts w:eastAsia="Times New Roman"/>
                <w:b/>
                <w:szCs w:val="26"/>
              </w:rPr>
            </w:pPr>
            <w:r w:rsidRPr="008E63BB">
              <w:rPr>
                <w:rFonts w:eastAsia="Times New Roman"/>
                <w:b/>
                <w:szCs w:val="26"/>
              </w:rPr>
              <w:t>Tên trạm bơm</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19B38BE" w14:textId="77777777" w:rsidR="007335C8" w:rsidRPr="008E63BB" w:rsidRDefault="007335C8" w:rsidP="00F43C84">
            <w:pPr>
              <w:jc w:val="center"/>
              <w:rPr>
                <w:rFonts w:eastAsia="Times New Roman"/>
                <w:b/>
                <w:szCs w:val="26"/>
              </w:rPr>
            </w:pPr>
            <w:r w:rsidRPr="008E63BB">
              <w:rPr>
                <w:rFonts w:eastAsia="Times New Roman"/>
                <w:b/>
                <w:szCs w:val="26"/>
              </w:rPr>
              <w:t>Diện tích tiêu  của trạm bơm trong ranh giới nghiên cứu(ha)</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14:paraId="519B38BF" w14:textId="77777777" w:rsidR="007335C8" w:rsidRPr="008E63BB" w:rsidRDefault="007335C8" w:rsidP="00F43C84">
            <w:pPr>
              <w:jc w:val="center"/>
              <w:rPr>
                <w:rFonts w:eastAsia="Times New Roman"/>
                <w:b/>
                <w:szCs w:val="26"/>
              </w:rPr>
            </w:pPr>
            <w:r w:rsidRPr="008E63BB">
              <w:rPr>
                <w:rFonts w:eastAsia="Times New Roman"/>
                <w:b/>
                <w:szCs w:val="26"/>
              </w:rPr>
              <w:t>Công suất hiện có (m3/h)</w:t>
            </w:r>
          </w:p>
        </w:tc>
        <w:tc>
          <w:tcPr>
            <w:tcW w:w="1601" w:type="dxa"/>
            <w:tcBorders>
              <w:top w:val="single" w:sz="4" w:space="0" w:color="auto"/>
              <w:left w:val="nil"/>
              <w:bottom w:val="single" w:sz="4" w:space="0" w:color="auto"/>
              <w:right w:val="single" w:sz="4" w:space="0" w:color="auto"/>
            </w:tcBorders>
            <w:shd w:val="clear" w:color="auto" w:fill="auto"/>
            <w:vAlign w:val="center"/>
            <w:hideMark/>
          </w:tcPr>
          <w:p w14:paraId="519B38C0" w14:textId="77777777" w:rsidR="007335C8" w:rsidRPr="008E63BB" w:rsidRDefault="007335C8" w:rsidP="00F43C84">
            <w:pPr>
              <w:jc w:val="center"/>
              <w:rPr>
                <w:rFonts w:eastAsia="Times New Roman"/>
                <w:b/>
                <w:szCs w:val="26"/>
              </w:rPr>
            </w:pPr>
            <w:r w:rsidRPr="008E63BB">
              <w:rPr>
                <w:rFonts w:eastAsia="Times New Roman"/>
                <w:b/>
                <w:szCs w:val="26"/>
              </w:rPr>
              <w:t>Công suất</w:t>
            </w:r>
          </w:p>
          <w:p w14:paraId="519B38C1" w14:textId="77777777" w:rsidR="007335C8" w:rsidRPr="008E63BB" w:rsidRDefault="007335C8" w:rsidP="00F43C84">
            <w:pPr>
              <w:jc w:val="center"/>
              <w:rPr>
                <w:rFonts w:eastAsia="Times New Roman"/>
                <w:b/>
                <w:szCs w:val="26"/>
              </w:rPr>
            </w:pPr>
            <w:r w:rsidRPr="008E63BB">
              <w:rPr>
                <w:rFonts w:eastAsia="Times New Roman"/>
                <w:b/>
                <w:szCs w:val="26"/>
              </w:rPr>
              <w:t>Quy hoạch</w:t>
            </w:r>
          </w:p>
          <w:p w14:paraId="519B38C2" w14:textId="77777777" w:rsidR="007335C8" w:rsidRPr="008E63BB" w:rsidRDefault="007335C8" w:rsidP="00F43C84">
            <w:pPr>
              <w:jc w:val="center"/>
              <w:rPr>
                <w:rFonts w:eastAsia="Times New Roman"/>
                <w:b/>
                <w:szCs w:val="26"/>
              </w:rPr>
            </w:pPr>
            <w:r w:rsidRPr="008E63BB">
              <w:rPr>
                <w:rFonts w:eastAsia="Times New Roman"/>
                <w:b/>
                <w:szCs w:val="26"/>
              </w:rPr>
              <w:t>(m3/h)</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519B38C3" w14:textId="77777777" w:rsidR="007335C8" w:rsidRPr="008E63BB" w:rsidRDefault="007335C8" w:rsidP="00F43C84">
            <w:pPr>
              <w:jc w:val="center"/>
              <w:rPr>
                <w:rFonts w:eastAsia="Times New Roman"/>
                <w:b/>
                <w:szCs w:val="26"/>
              </w:rPr>
            </w:pPr>
            <w:r w:rsidRPr="008E63BB">
              <w:rPr>
                <w:rFonts w:eastAsia="Times New Roman"/>
                <w:b/>
                <w:szCs w:val="26"/>
              </w:rPr>
              <w:t>Ghi chú</w:t>
            </w:r>
          </w:p>
        </w:tc>
      </w:tr>
      <w:tr w:rsidR="008D5BFE" w:rsidRPr="008E63BB" w14:paraId="519B38CB" w14:textId="77777777" w:rsidTr="00F43C84">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9B38C5" w14:textId="77777777" w:rsidR="007335C8" w:rsidRPr="008E63BB" w:rsidRDefault="007335C8" w:rsidP="00F43C84">
            <w:pPr>
              <w:jc w:val="center"/>
              <w:rPr>
                <w:rFonts w:eastAsia="Times New Roman"/>
                <w:szCs w:val="26"/>
              </w:rPr>
            </w:pPr>
            <w:r w:rsidRPr="008E63BB">
              <w:rPr>
                <w:rFonts w:eastAsia="Times New Roman"/>
                <w:szCs w:val="26"/>
              </w:rPr>
              <w:t>1</w:t>
            </w:r>
          </w:p>
        </w:tc>
        <w:tc>
          <w:tcPr>
            <w:tcW w:w="1701" w:type="dxa"/>
            <w:tcBorders>
              <w:top w:val="nil"/>
              <w:left w:val="nil"/>
              <w:bottom w:val="single" w:sz="4" w:space="0" w:color="auto"/>
              <w:right w:val="single" w:sz="4" w:space="0" w:color="auto"/>
            </w:tcBorders>
            <w:shd w:val="clear" w:color="auto" w:fill="auto"/>
            <w:noWrap/>
            <w:vAlign w:val="center"/>
            <w:hideMark/>
          </w:tcPr>
          <w:p w14:paraId="519B38C6" w14:textId="77777777" w:rsidR="007335C8" w:rsidRPr="008E63BB" w:rsidRDefault="007335C8" w:rsidP="0065184D">
            <w:pPr>
              <w:rPr>
                <w:rFonts w:eastAsia="Times New Roman"/>
                <w:szCs w:val="26"/>
              </w:rPr>
            </w:pPr>
            <w:r w:rsidRPr="008E63BB">
              <w:rPr>
                <w:rFonts w:eastAsia="Times New Roman"/>
                <w:szCs w:val="26"/>
              </w:rPr>
              <w:t>Quán Chuột</w:t>
            </w:r>
          </w:p>
        </w:tc>
        <w:tc>
          <w:tcPr>
            <w:tcW w:w="1984" w:type="dxa"/>
            <w:tcBorders>
              <w:top w:val="nil"/>
              <w:left w:val="nil"/>
              <w:bottom w:val="single" w:sz="4" w:space="0" w:color="auto"/>
              <w:right w:val="single" w:sz="4" w:space="0" w:color="auto"/>
            </w:tcBorders>
            <w:shd w:val="clear" w:color="auto" w:fill="auto"/>
            <w:noWrap/>
            <w:vAlign w:val="center"/>
            <w:hideMark/>
          </w:tcPr>
          <w:p w14:paraId="519B38C7" w14:textId="77777777" w:rsidR="007335C8" w:rsidRPr="008E63BB" w:rsidRDefault="007335C8" w:rsidP="005F4632">
            <w:pPr>
              <w:jc w:val="center"/>
              <w:rPr>
                <w:rFonts w:eastAsia="Times New Roman"/>
                <w:szCs w:val="26"/>
              </w:rPr>
            </w:pPr>
            <w:r w:rsidRPr="008E63BB">
              <w:rPr>
                <w:rFonts w:eastAsia="Times New Roman"/>
                <w:szCs w:val="26"/>
              </w:rPr>
              <w:t>1</w:t>
            </w:r>
            <w:r w:rsidR="005F4632" w:rsidRPr="008E63BB">
              <w:rPr>
                <w:rFonts w:eastAsia="Times New Roman"/>
                <w:szCs w:val="26"/>
              </w:rPr>
              <w:t>.</w:t>
            </w:r>
            <w:r w:rsidRPr="008E63BB">
              <w:rPr>
                <w:rFonts w:eastAsia="Times New Roman"/>
                <w:szCs w:val="26"/>
              </w:rPr>
              <w:t>300</w:t>
            </w:r>
          </w:p>
        </w:tc>
        <w:tc>
          <w:tcPr>
            <w:tcW w:w="1376" w:type="dxa"/>
            <w:tcBorders>
              <w:top w:val="nil"/>
              <w:left w:val="nil"/>
              <w:bottom w:val="single" w:sz="4" w:space="0" w:color="auto"/>
              <w:right w:val="single" w:sz="4" w:space="0" w:color="auto"/>
            </w:tcBorders>
            <w:shd w:val="clear" w:color="auto" w:fill="auto"/>
            <w:noWrap/>
            <w:vAlign w:val="center"/>
            <w:hideMark/>
          </w:tcPr>
          <w:p w14:paraId="519B38C8" w14:textId="77777777" w:rsidR="007335C8" w:rsidRPr="008E63BB" w:rsidRDefault="007335C8" w:rsidP="005F4632">
            <w:pPr>
              <w:jc w:val="right"/>
              <w:rPr>
                <w:rFonts w:eastAsia="Times New Roman"/>
                <w:szCs w:val="26"/>
              </w:rPr>
            </w:pPr>
            <w:r w:rsidRPr="008E63BB">
              <w:rPr>
                <w:rFonts w:eastAsia="Times New Roman"/>
                <w:szCs w:val="26"/>
              </w:rPr>
              <w:t>59</w:t>
            </w:r>
            <w:r w:rsidR="005F4632" w:rsidRPr="008E63BB">
              <w:rPr>
                <w:rFonts w:eastAsia="Times New Roman"/>
                <w:szCs w:val="26"/>
              </w:rPr>
              <w:t>.</w:t>
            </w:r>
            <w:r w:rsidRPr="008E63BB">
              <w:rPr>
                <w:rFonts w:eastAsia="Times New Roman"/>
                <w:szCs w:val="26"/>
              </w:rPr>
              <w:t>000</w:t>
            </w:r>
          </w:p>
        </w:tc>
        <w:tc>
          <w:tcPr>
            <w:tcW w:w="1601" w:type="dxa"/>
            <w:tcBorders>
              <w:top w:val="nil"/>
              <w:left w:val="nil"/>
              <w:bottom w:val="single" w:sz="4" w:space="0" w:color="auto"/>
              <w:right w:val="single" w:sz="4" w:space="0" w:color="auto"/>
            </w:tcBorders>
            <w:shd w:val="clear" w:color="auto" w:fill="auto"/>
            <w:noWrap/>
            <w:vAlign w:val="center"/>
            <w:hideMark/>
          </w:tcPr>
          <w:p w14:paraId="519B38C9" w14:textId="77777777" w:rsidR="007335C8" w:rsidRPr="008E63BB" w:rsidRDefault="007335C8" w:rsidP="005F4632">
            <w:pPr>
              <w:jc w:val="right"/>
              <w:rPr>
                <w:rFonts w:eastAsia="Times New Roman"/>
                <w:szCs w:val="26"/>
              </w:rPr>
            </w:pPr>
            <w:r w:rsidRPr="008E63BB">
              <w:rPr>
                <w:rFonts w:eastAsia="Times New Roman"/>
                <w:szCs w:val="26"/>
              </w:rPr>
              <w:t>59</w:t>
            </w:r>
            <w:r w:rsidR="005F4632" w:rsidRPr="008E63BB">
              <w:rPr>
                <w:rFonts w:eastAsia="Times New Roman"/>
                <w:szCs w:val="26"/>
              </w:rPr>
              <w:t>.</w:t>
            </w:r>
            <w:r w:rsidRPr="008E63BB">
              <w:rPr>
                <w:rFonts w:eastAsia="Times New Roman"/>
                <w:szCs w:val="26"/>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519B38CA" w14:textId="77777777" w:rsidR="007335C8" w:rsidRPr="008E63BB" w:rsidRDefault="007335C8" w:rsidP="0065184D">
            <w:pPr>
              <w:rPr>
                <w:rFonts w:eastAsia="Times New Roman"/>
                <w:szCs w:val="26"/>
              </w:rPr>
            </w:pPr>
            <w:r w:rsidRPr="008E63BB">
              <w:rPr>
                <w:rFonts w:eastAsia="Times New Roman"/>
                <w:szCs w:val="26"/>
              </w:rPr>
              <w:t xml:space="preserve">Giữ nguyên, nâng </w:t>
            </w:r>
            <w:r w:rsidRPr="008E63BB">
              <w:rPr>
                <w:rFonts w:eastAsia="Times New Roman"/>
                <w:szCs w:val="26"/>
              </w:rPr>
              <w:lastRenderedPageBreak/>
              <w:t>cấp tổ máy</w:t>
            </w:r>
          </w:p>
        </w:tc>
      </w:tr>
      <w:tr w:rsidR="008D5BFE" w:rsidRPr="008E63BB" w14:paraId="519B38D2" w14:textId="77777777" w:rsidTr="00F43C84">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9B38CC" w14:textId="77777777" w:rsidR="007335C8" w:rsidRPr="008E63BB" w:rsidRDefault="007335C8" w:rsidP="00F43C84">
            <w:pPr>
              <w:jc w:val="center"/>
              <w:rPr>
                <w:rFonts w:eastAsia="Times New Roman"/>
                <w:szCs w:val="26"/>
              </w:rPr>
            </w:pPr>
            <w:r w:rsidRPr="008E63BB">
              <w:rPr>
                <w:rFonts w:eastAsia="Times New Roman"/>
                <w:szCs w:val="26"/>
              </w:rPr>
              <w:lastRenderedPageBreak/>
              <w:t>2</w:t>
            </w:r>
          </w:p>
        </w:tc>
        <w:tc>
          <w:tcPr>
            <w:tcW w:w="1701" w:type="dxa"/>
            <w:tcBorders>
              <w:top w:val="nil"/>
              <w:left w:val="nil"/>
              <w:bottom w:val="single" w:sz="4" w:space="0" w:color="auto"/>
              <w:right w:val="single" w:sz="4" w:space="0" w:color="auto"/>
            </w:tcBorders>
            <w:shd w:val="clear" w:color="auto" w:fill="auto"/>
            <w:noWrap/>
            <w:vAlign w:val="center"/>
            <w:hideMark/>
          </w:tcPr>
          <w:p w14:paraId="519B38CD" w14:textId="77777777" w:rsidR="007335C8" w:rsidRPr="008E63BB" w:rsidRDefault="007335C8" w:rsidP="0065184D">
            <w:pPr>
              <w:rPr>
                <w:rFonts w:eastAsia="Times New Roman"/>
                <w:szCs w:val="26"/>
              </w:rPr>
            </w:pPr>
            <w:r w:rsidRPr="008E63BB">
              <w:rPr>
                <w:rFonts w:eastAsia="Times New Roman"/>
                <w:szCs w:val="26"/>
              </w:rPr>
              <w:t>Kênh Gia</w:t>
            </w:r>
          </w:p>
        </w:tc>
        <w:tc>
          <w:tcPr>
            <w:tcW w:w="1984" w:type="dxa"/>
            <w:tcBorders>
              <w:top w:val="nil"/>
              <w:left w:val="nil"/>
              <w:bottom w:val="single" w:sz="4" w:space="0" w:color="auto"/>
              <w:right w:val="single" w:sz="4" w:space="0" w:color="auto"/>
            </w:tcBorders>
            <w:shd w:val="clear" w:color="auto" w:fill="auto"/>
            <w:noWrap/>
            <w:vAlign w:val="center"/>
            <w:hideMark/>
          </w:tcPr>
          <w:p w14:paraId="519B38CE" w14:textId="77777777" w:rsidR="007335C8" w:rsidRPr="008E63BB" w:rsidRDefault="007335C8" w:rsidP="005F4632">
            <w:pPr>
              <w:jc w:val="center"/>
              <w:rPr>
                <w:rFonts w:eastAsia="Times New Roman"/>
                <w:szCs w:val="26"/>
              </w:rPr>
            </w:pPr>
            <w:r w:rsidRPr="008E63BB">
              <w:rPr>
                <w:rFonts w:eastAsia="Times New Roman"/>
                <w:szCs w:val="26"/>
              </w:rPr>
              <w:t>822</w:t>
            </w:r>
          </w:p>
        </w:tc>
        <w:tc>
          <w:tcPr>
            <w:tcW w:w="1376" w:type="dxa"/>
            <w:tcBorders>
              <w:top w:val="nil"/>
              <w:left w:val="nil"/>
              <w:bottom w:val="single" w:sz="4" w:space="0" w:color="auto"/>
              <w:right w:val="single" w:sz="4" w:space="0" w:color="auto"/>
            </w:tcBorders>
            <w:shd w:val="clear" w:color="auto" w:fill="auto"/>
            <w:noWrap/>
            <w:vAlign w:val="center"/>
            <w:hideMark/>
          </w:tcPr>
          <w:p w14:paraId="519B38CF" w14:textId="77777777" w:rsidR="007335C8" w:rsidRPr="008E63BB" w:rsidRDefault="007335C8" w:rsidP="005F4632">
            <w:pPr>
              <w:jc w:val="right"/>
              <w:rPr>
                <w:rFonts w:eastAsia="Times New Roman"/>
                <w:szCs w:val="26"/>
              </w:rPr>
            </w:pPr>
            <w:r w:rsidRPr="008E63BB">
              <w:rPr>
                <w:rFonts w:eastAsia="Times New Roman"/>
                <w:szCs w:val="26"/>
              </w:rPr>
              <w:t>43</w:t>
            </w:r>
            <w:r w:rsidR="005F4632" w:rsidRPr="008E63BB">
              <w:rPr>
                <w:rFonts w:eastAsia="Times New Roman"/>
                <w:szCs w:val="26"/>
              </w:rPr>
              <w:t>.</w:t>
            </w:r>
            <w:r w:rsidRPr="008E63BB">
              <w:rPr>
                <w:rFonts w:eastAsia="Times New Roman"/>
                <w:szCs w:val="26"/>
              </w:rPr>
              <w:t>000</w:t>
            </w:r>
          </w:p>
        </w:tc>
        <w:tc>
          <w:tcPr>
            <w:tcW w:w="1601" w:type="dxa"/>
            <w:tcBorders>
              <w:top w:val="nil"/>
              <w:left w:val="nil"/>
              <w:bottom w:val="single" w:sz="4" w:space="0" w:color="auto"/>
              <w:right w:val="single" w:sz="4" w:space="0" w:color="auto"/>
            </w:tcBorders>
            <w:shd w:val="clear" w:color="auto" w:fill="auto"/>
            <w:noWrap/>
            <w:vAlign w:val="center"/>
            <w:hideMark/>
          </w:tcPr>
          <w:p w14:paraId="519B38D0" w14:textId="77777777" w:rsidR="007335C8" w:rsidRPr="008E63BB" w:rsidRDefault="007335C8" w:rsidP="005F4632">
            <w:pPr>
              <w:jc w:val="right"/>
              <w:rPr>
                <w:rFonts w:eastAsia="Times New Roman"/>
                <w:szCs w:val="26"/>
              </w:rPr>
            </w:pPr>
            <w:r w:rsidRPr="008E63BB">
              <w:rPr>
                <w:rFonts w:eastAsia="Times New Roman"/>
                <w:szCs w:val="26"/>
              </w:rPr>
              <w:t>43</w:t>
            </w:r>
            <w:r w:rsidR="005F4632" w:rsidRPr="008E63BB">
              <w:rPr>
                <w:rFonts w:eastAsia="Times New Roman"/>
                <w:szCs w:val="26"/>
              </w:rPr>
              <w:t>.</w:t>
            </w:r>
            <w:r w:rsidRPr="008E63BB">
              <w:rPr>
                <w:rFonts w:eastAsia="Times New Roman"/>
                <w:szCs w:val="26"/>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519B38D1" w14:textId="77777777" w:rsidR="007335C8" w:rsidRPr="008E63BB" w:rsidRDefault="007335C8" w:rsidP="0065184D">
            <w:pPr>
              <w:rPr>
                <w:rFonts w:eastAsia="Times New Roman"/>
                <w:szCs w:val="26"/>
              </w:rPr>
            </w:pPr>
            <w:r w:rsidRPr="008E63BB">
              <w:rPr>
                <w:rFonts w:eastAsia="Times New Roman"/>
                <w:szCs w:val="26"/>
              </w:rPr>
              <w:t>Giữ nguyên, nâng cấp tổ máy</w:t>
            </w:r>
          </w:p>
        </w:tc>
      </w:tr>
      <w:tr w:rsidR="008D5BFE" w:rsidRPr="008E63BB" w14:paraId="519B38D9" w14:textId="77777777" w:rsidTr="00F43C84">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9B38D3" w14:textId="77777777" w:rsidR="007335C8" w:rsidRPr="008E63BB" w:rsidRDefault="007335C8" w:rsidP="00F43C84">
            <w:pPr>
              <w:jc w:val="center"/>
              <w:rPr>
                <w:rFonts w:eastAsia="Times New Roman"/>
                <w:szCs w:val="26"/>
              </w:rPr>
            </w:pPr>
            <w:r w:rsidRPr="008E63BB">
              <w:rPr>
                <w:rFonts w:eastAsia="Times New Roman"/>
                <w:szCs w:val="26"/>
              </w:rPr>
              <w:t>3</w:t>
            </w:r>
          </w:p>
        </w:tc>
        <w:tc>
          <w:tcPr>
            <w:tcW w:w="1701" w:type="dxa"/>
            <w:tcBorders>
              <w:top w:val="nil"/>
              <w:left w:val="nil"/>
              <w:bottom w:val="single" w:sz="4" w:space="0" w:color="auto"/>
              <w:right w:val="single" w:sz="4" w:space="0" w:color="auto"/>
            </w:tcBorders>
            <w:shd w:val="clear" w:color="auto" w:fill="auto"/>
            <w:noWrap/>
            <w:vAlign w:val="center"/>
            <w:hideMark/>
          </w:tcPr>
          <w:p w14:paraId="519B38D4" w14:textId="77777777" w:rsidR="007335C8" w:rsidRPr="008E63BB" w:rsidRDefault="007335C8" w:rsidP="0065184D">
            <w:pPr>
              <w:rPr>
                <w:rFonts w:eastAsia="Times New Roman"/>
                <w:szCs w:val="26"/>
              </w:rPr>
            </w:pPr>
            <w:r w:rsidRPr="008E63BB">
              <w:rPr>
                <w:rFonts w:eastAsia="Times New Roman"/>
                <w:szCs w:val="26"/>
              </w:rPr>
              <w:t>Cốc Thành</w:t>
            </w:r>
          </w:p>
        </w:tc>
        <w:tc>
          <w:tcPr>
            <w:tcW w:w="1984" w:type="dxa"/>
            <w:tcBorders>
              <w:top w:val="nil"/>
              <w:left w:val="nil"/>
              <w:bottom w:val="single" w:sz="4" w:space="0" w:color="auto"/>
              <w:right w:val="single" w:sz="4" w:space="0" w:color="auto"/>
            </w:tcBorders>
            <w:shd w:val="clear" w:color="auto" w:fill="auto"/>
            <w:noWrap/>
            <w:vAlign w:val="center"/>
            <w:hideMark/>
          </w:tcPr>
          <w:p w14:paraId="519B38D5" w14:textId="77777777" w:rsidR="007335C8" w:rsidRPr="008E63BB" w:rsidRDefault="007335C8" w:rsidP="005F4632">
            <w:pPr>
              <w:jc w:val="center"/>
              <w:rPr>
                <w:rFonts w:eastAsia="Times New Roman"/>
                <w:szCs w:val="26"/>
              </w:rPr>
            </w:pPr>
            <w:r w:rsidRPr="008E63BB">
              <w:rPr>
                <w:rFonts w:eastAsia="Times New Roman"/>
                <w:szCs w:val="26"/>
              </w:rPr>
              <w:t>9</w:t>
            </w:r>
            <w:r w:rsidR="005F4632" w:rsidRPr="008E63BB">
              <w:rPr>
                <w:rFonts w:eastAsia="Times New Roman"/>
                <w:szCs w:val="26"/>
              </w:rPr>
              <w:t>.</w:t>
            </w:r>
            <w:r w:rsidRPr="008E63BB">
              <w:rPr>
                <w:rFonts w:eastAsia="Times New Roman"/>
                <w:szCs w:val="26"/>
              </w:rPr>
              <w:t>410</w:t>
            </w:r>
          </w:p>
        </w:tc>
        <w:tc>
          <w:tcPr>
            <w:tcW w:w="1376" w:type="dxa"/>
            <w:tcBorders>
              <w:top w:val="nil"/>
              <w:left w:val="nil"/>
              <w:bottom w:val="single" w:sz="4" w:space="0" w:color="auto"/>
              <w:right w:val="single" w:sz="4" w:space="0" w:color="auto"/>
            </w:tcBorders>
            <w:shd w:val="clear" w:color="auto" w:fill="auto"/>
            <w:noWrap/>
            <w:vAlign w:val="center"/>
            <w:hideMark/>
          </w:tcPr>
          <w:p w14:paraId="519B38D6" w14:textId="77777777" w:rsidR="007335C8" w:rsidRPr="008E63BB" w:rsidRDefault="007335C8" w:rsidP="005F4632">
            <w:pPr>
              <w:jc w:val="right"/>
              <w:rPr>
                <w:rFonts w:eastAsia="Times New Roman"/>
                <w:szCs w:val="26"/>
              </w:rPr>
            </w:pPr>
            <w:r w:rsidRPr="008E63BB">
              <w:rPr>
                <w:rFonts w:eastAsia="Times New Roman"/>
                <w:szCs w:val="26"/>
              </w:rPr>
              <w:t>224</w:t>
            </w:r>
            <w:r w:rsidR="005F4632" w:rsidRPr="008E63BB">
              <w:rPr>
                <w:rFonts w:eastAsia="Times New Roman"/>
                <w:szCs w:val="26"/>
              </w:rPr>
              <w:t>.</w:t>
            </w:r>
            <w:r w:rsidRPr="008E63BB">
              <w:rPr>
                <w:rFonts w:eastAsia="Times New Roman"/>
                <w:szCs w:val="26"/>
              </w:rPr>
              <w:t>000</w:t>
            </w:r>
          </w:p>
        </w:tc>
        <w:tc>
          <w:tcPr>
            <w:tcW w:w="1601" w:type="dxa"/>
            <w:tcBorders>
              <w:top w:val="nil"/>
              <w:left w:val="nil"/>
              <w:bottom w:val="single" w:sz="4" w:space="0" w:color="auto"/>
              <w:right w:val="single" w:sz="4" w:space="0" w:color="auto"/>
            </w:tcBorders>
            <w:shd w:val="clear" w:color="auto" w:fill="auto"/>
            <w:noWrap/>
            <w:vAlign w:val="center"/>
            <w:hideMark/>
          </w:tcPr>
          <w:p w14:paraId="519B38D7" w14:textId="77777777" w:rsidR="007335C8" w:rsidRPr="008E63BB" w:rsidRDefault="007335C8" w:rsidP="005F4632">
            <w:pPr>
              <w:jc w:val="right"/>
              <w:rPr>
                <w:rFonts w:eastAsia="Times New Roman"/>
                <w:szCs w:val="26"/>
              </w:rPr>
            </w:pPr>
            <w:r w:rsidRPr="008E63BB">
              <w:rPr>
                <w:rFonts w:eastAsia="Times New Roman"/>
                <w:szCs w:val="26"/>
              </w:rPr>
              <w:t>224</w:t>
            </w:r>
            <w:r w:rsidR="005F4632" w:rsidRPr="008E63BB">
              <w:rPr>
                <w:rFonts w:eastAsia="Times New Roman"/>
                <w:szCs w:val="26"/>
              </w:rPr>
              <w:t>.</w:t>
            </w:r>
            <w:r w:rsidRPr="008E63BB">
              <w:rPr>
                <w:rFonts w:eastAsia="Times New Roman"/>
                <w:szCs w:val="26"/>
              </w:rPr>
              <w:t>000</w:t>
            </w:r>
          </w:p>
        </w:tc>
        <w:tc>
          <w:tcPr>
            <w:tcW w:w="2126" w:type="dxa"/>
            <w:tcBorders>
              <w:top w:val="nil"/>
              <w:left w:val="nil"/>
              <w:bottom w:val="single" w:sz="4" w:space="0" w:color="auto"/>
              <w:right w:val="single" w:sz="4" w:space="0" w:color="auto"/>
            </w:tcBorders>
            <w:shd w:val="clear" w:color="auto" w:fill="auto"/>
            <w:noWrap/>
            <w:hideMark/>
          </w:tcPr>
          <w:p w14:paraId="519B38D8" w14:textId="77777777" w:rsidR="007335C8" w:rsidRPr="008E63BB" w:rsidRDefault="007335C8" w:rsidP="0065184D">
            <w:r w:rsidRPr="008E63BB">
              <w:rPr>
                <w:rFonts w:eastAsia="Times New Roman"/>
                <w:szCs w:val="26"/>
              </w:rPr>
              <w:t>Giữ nguyên, nâng cấp tổ máy</w:t>
            </w:r>
          </w:p>
        </w:tc>
      </w:tr>
      <w:tr w:rsidR="008D5BFE" w:rsidRPr="008E63BB" w14:paraId="519B38E0" w14:textId="77777777" w:rsidTr="00F43C84">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9B38DA" w14:textId="77777777" w:rsidR="007335C8" w:rsidRPr="008E63BB" w:rsidRDefault="007335C8" w:rsidP="00F43C84">
            <w:pPr>
              <w:jc w:val="center"/>
              <w:rPr>
                <w:rFonts w:eastAsia="Times New Roman"/>
                <w:szCs w:val="26"/>
              </w:rPr>
            </w:pPr>
            <w:r w:rsidRPr="008E63BB">
              <w:rPr>
                <w:rFonts w:eastAsia="Times New Roman"/>
                <w:szCs w:val="26"/>
              </w:rPr>
              <w:t>4</w:t>
            </w:r>
          </w:p>
        </w:tc>
        <w:tc>
          <w:tcPr>
            <w:tcW w:w="1701" w:type="dxa"/>
            <w:tcBorders>
              <w:top w:val="nil"/>
              <w:left w:val="nil"/>
              <w:bottom w:val="single" w:sz="4" w:space="0" w:color="auto"/>
              <w:right w:val="single" w:sz="4" w:space="0" w:color="auto"/>
            </w:tcBorders>
            <w:shd w:val="clear" w:color="auto" w:fill="auto"/>
            <w:noWrap/>
            <w:vAlign w:val="center"/>
            <w:hideMark/>
          </w:tcPr>
          <w:p w14:paraId="519B38DB" w14:textId="77777777" w:rsidR="007335C8" w:rsidRPr="008E63BB" w:rsidRDefault="007335C8" w:rsidP="0065184D">
            <w:pPr>
              <w:rPr>
                <w:rFonts w:eastAsia="Times New Roman"/>
                <w:szCs w:val="26"/>
              </w:rPr>
            </w:pPr>
            <w:r w:rsidRPr="008E63BB">
              <w:rPr>
                <w:rFonts w:eastAsia="Times New Roman"/>
                <w:szCs w:val="26"/>
              </w:rPr>
              <w:t>An Lá</w:t>
            </w:r>
          </w:p>
        </w:tc>
        <w:tc>
          <w:tcPr>
            <w:tcW w:w="1984" w:type="dxa"/>
            <w:tcBorders>
              <w:top w:val="nil"/>
              <w:left w:val="nil"/>
              <w:bottom w:val="single" w:sz="4" w:space="0" w:color="auto"/>
              <w:right w:val="single" w:sz="4" w:space="0" w:color="auto"/>
            </w:tcBorders>
            <w:shd w:val="clear" w:color="auto" w:fill="auto"/>
            <w:noWrap/>
            <w:vAlign w:val="center"/>
            <w:hideMark/>
          </w:tcPr>
          <w:p w14:paraId="519B38DC" w14:textId="77777777" w:rsidR="007335C8" w:rsidRPr="008E63BB" w:rsidRDefault="007335C8" w:rsidP="005F4632">
            <w:pPr>
              <w:jc w:val="center"/>
              <w:rPr>
                <w:rFonts w:eastAsia="Times New Roman"/>
                <w:szCs w:val="26"/>
              </w:rPr>
            </w:pPr>
            <w:r w:rsidRPr="008E63BB">
              <w:rPr>
                <w:rFonts w:eastAsia="Times New Roman"/>
                <w:szCs w:val="26"/>
              </w:rPr>
              <w:t>2815</w:t>
            </w:r>
          </w:p>
        </w:tc>
        <w:tc>
          <w:tcPr>
            <w:tcW w:w="1376" w:type="dxa"/>
            <w:tcBorders>
              <w:top w:val="nil"/>
              <w:left w:val="nil"/>
              <w:bottom w:val="single" w:sz="4" w:space="0" w:color="auto"/>
              <w:right w:val="single" w:sz="4" w:space="0" w:color="auto"/>
            </w:tcBorders>
            <w:shd w:val="clear" w:color="auto" w:fill="auto"/>
            <w:noWrap/>
            <w:vAlign w:val="center"/>
            <w:hideMark/>
          </w:tcPr>
          <w:p w14:paraId="519B38DD" w14:textId="77777777" w:rsidR="007335C8" w:rsidRPr="008E63BB" w:rsidRDefault="007335C8" w:rsidP="005F4632">
            <w:pPr>
              <w:jc w:val="right"/>
              <w:rPr>
                <w:rFonts w:eastAsia="Times New Roman"/>
                <w:szCs w:val="26"/>
              </w:rPr>
            </w:pPr>
            <w:r w:rsidRPr="008E63BB">
              <w:rPr>
                <w:rFonts w:eastAsia="Times New Roman"/>
                <w:szCs w:val="26"/>
              </w:rPr>
              <w:t>20</w:t>
            </w:r>
            <w:r w:rsidR="005F4632" w:rsidRPr="008E63BB">
              <w:rPr>
                <w:rFonts w:eastAsia="Times New Roman"/>
                <w:szCs w:val="26"/>
              </w:rPr>
              <w:t>.</w:t>
            </w:r>
            <w:r w:rsidRPr="008E63BB">
              <w:rPr>
                <w:rFonts w:eastAsia="Times New Roman"/>
                <w:szCs w:val="26"/>
              </w:rPr>
              <w:t>000</w:t>
            </w:r>
          </w:p>
        </w:tc>
        <w:tc>
          <w:tcPr>
            <w:tcW w:w="1601" w:type="dxa"/>
            <w:tcBorders>
              <w:top w:val="nil"/>
              <w:left w:val="nil"/>
              <w:bottom w:val="single" w:sz="4" w:space="0" w:color="auto"/>
              <w:right w:val="single" w:sz="4" w:space="0" w:color="auto"/>
            </w:tcBorders>
            <w:shd w:val="clear" w:color="auto" w:fill="auto"/>
            <w:noWrap/>
            <w:vAlign w:val="center"/>
            <w:hideMark/>
          </w:tcPr>
          <w:p w14:paraId="519B38DE" w14:textId="77777777" w:rsidR="007335C8" w:rsidRPr="008E63BB" w:rsidRDefault="007335C8" w:rsidP="005F4632">
            <w:pPr>
              <w:jc w:val="right"/>
              <w:rPr>
                <w:rFonts w:eastAsia="Times New Roman"/>
                <w:szCs w:val="26"/>
              </w:rPr>
            </w:pPr>
            <w:r w:rsidRPr="008E63BB">
              <w:rPr>
                <w:rFonts w:eastAsia="Times New Roman"/>
                <w:szCs w:val="26"/>
              </w:rPr>
              <w:t>20</w:t>
            </w:r>
            <w:r w:rsidR="005F4632" w:rsidRPr="008E63BB">
              <w:rPr>
                <w:rFonts w:eastAsia="Times New Roman"/>
                <w:szCs w:val="26"/>
              </w:rPr>
              <w:t>.</w:t>
            </w:r>
            <w:r w:rsidRPr="008E63BB">
              <w:rPr>
                <w:rFonts w:eastAsia="Times New Roman"/>
                <w:szCs w:val="26"/>
              </w:rPr>
              <w:t>000</w:t>
            </w:r>
          </w:p>
        </w:tc>
        <w:tc>
          <w:tcPr>
            <w:tcW w:w="2126" w:type="dxa"/>
            <w:tcBorders>
              <w:top w:val="nil"/>
              <w:left w:val="nil"/>
              <w:bottom w:val="single" w:sz="4" w:space="0" w:color="auto"/>
              <w:right w:val="single" w:sz="4" w:space="0" w:color="auto"/>
            </w:tcBorders>
            <w:shd w:val="clear" w:color="auto" w:fill="auto"/>
            <w:noWrap/>
            <w:hideMark/>
          </w:tcPr>
          <w:p w14:paraId="519B38DF" w14:textId="77777777" w:rsidR="007335C8" w:rsidRPr="008E63BB" w:rsidRDefault="007335C8" w:rsidP="0065184D">
            <w:r w:rsidRPr="008E63BB">
              <w:rPr>
                <w:rFonts w:eastAsia="Times New Roman"/>
                <w:szCs w:val="26"/>
              </w:rPr>
              <w:t>Nâng cấp</w:t>
            </w:r>
          </w:p>
        </w:tc>
      </w:tr>
      <w:tr w:rsidR="008D5BFE" w:rsidRPr="008E63BB" w14:paraId="519B38E7" w14:textId="77777777" w:rsidTr="00F43C84">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19B38E1" w14:textId="77777777" w:rsidR="007335C8" w:rsidRPr="008E63BB" w:rsidRDefault="007335C8" w:rsidP="00F43C84">
            <w:pPr>
              <w:jc w:val="center"/>
              <w:rPr>
                <w:rFonts w:eastAsia="Times New Roman"/>
                <w:szCs w:val="26"/>
              </w:rPr>
            </w:pPr>
            <w:r w:rsidRPr="008E63BB">
              <w:rPr>
                <w:rFonts w:eastAsia="Times New Roman"/>
                <w:szCs w:val="26"/>
              </w:rPr>
              <w:t>5</w:t>
            </w:r>
          </w:p>
        </w:tc>
        <w:tc>
          <w:tcPr>
            <w:tcW w:w="1701" w:type="dxa"/>
            <w:tcBorders>
              <w:top w:val="nil"/>
              <w:left w:val="nil"/>
              <w:bottom w:val="single" w:sz="4" w:space="0" w:color="auto"/>
              <w:right w:val="single" w:sz="4" w:space="0" w:color="auto"/>
            </w:tcBorders>
            <w:shd w:val="clear" w:color="auto" w:fill="auto"/>
            <w:noWrap/>
            <w:vAlign w:val="center"/>
            <w:hideMark/>
          </w:tcPr>
          <w:p w14:paraId="519B38E2" w14:textId="77777777" w:rsidR="007335C8" w:rsidRPr="008E63BB" w:rsidRDefault="007335C8" w:rsidP="0065184D">
            <w:pPr>
              <w:rPr>
                <w:rFonts w:eastAsia="Times New Roman"/>
                <w:szCs w:val="26"/>
              </w:rPr>
            </w:pPr>
            <w:r w:rsidRPr="008E63BB">
              <w:rPr>
                <w:rFonts w:eastAsia="Times New Roman"/>
                <w:szCs w:val="26"/>
              </w:rPr>
              <w:t>Cống Mý</w:t>
            </w:r>
          </w:p>
        </w:tc>
        <w:tc>
          <w:tcPr>
            <w:tcW w:w="1984" w:type="dxa"/>
            <w:tcBorders>
              <w:top w:val="nil"/>
              <w:left w:val="nil"/>
              <w:bottom w:val="single" w:sz="4" w:space="0" w:color="auto"/>
              <w:right w:val="single" w:sz="4" w:space="0" w:color="auto"/>
            </w:tcBorders>
            <w:shd w:val="clear" w:color="auto" w:fill="auto"/>
            <w:noWrap/>
            <w:vAlign w:val="center"/>
            <w:hideMark/>
          </w:tcPr>
          <w:p w14:paraId="519B38E3" w14:textId="77777777" w:rsidR="007335C8" w:rsidRPr="008E63BB" w:rsidRDefault="007335C8" w:rsidP="005F4632">
            <w:pPr>
              <w:jc w:val="center"/>
              <w:rPr>
                <w:rFonts w:eastAsia="Times New Roman"/>
                <w:szCs w:val="26"/>
              </w:rPr>
            </w:pPr>
            <w:r w:rsidRPr="008E63BB">
              <w:rPr>
                <w:rFonts w:eastAsia="Times New Roman"/>
                <w:szCs w:val="26"/>
              </w:rPr>
              <w:t>700</w:t>
            </w:r>
          </w:p>
        </w:tc>
        <w:tc>
          <w:tcPr>
            <w:tcW w:w="1376" w:type="dxa"/>
            <w:tcBorders>
              <w:top w:val="nil"/>
              <w:left w:val="nil"/>
              <w:bottom w:val="single" w:sz="4" w:space="0" w:color="auto"/>
              <w:right w:val="single" w:sz="4" w:space="0" w:color="auto"/>
            </w:tcBorders>
            <w:shd w:val="clear" w:color="auto" w:fill="auto"/>
            <w:noWrap/>
            <w:vAlign w:val="center"/>
            <w:hideMark/>
          </w:tcPr>
          <w:p w14:paraId="519B38E4" w14:textId="77777777" w:rsidR="007335C8" w:rsidRPr="008E63BB" w:rsidRDefault="007335C8" w:rsidP="005F4632">
            <w:pPr>
              <w:jc w:val="center"/>
              <w:rPr>
                <w:rFonts w:eastAsia="Times New Roman"/>
                <w:szCs w:val="26"/>
              </w:rPr>
            </w:pPr>
          </w:p>
        </w:tc>
        <w:tc>
          <w:tcPr>
            <w:tcW w:w="1601" w:type="dxa"/>
            <w:tcBorders>
              <w:top w:val="nil"/>
              <w:left w:val="nil"/>
              <w:bottom w:val="single" w:sz="4" w:space="0" w:color="auto"/>
              <w:right w:val="single" w:sz="4" w:space="0" w:color="auto"/>
            </w:tcBorders>
            <w:shd w:val="clear" w:color="auto" w:fill="auto"/>
            <w:noWrap/>
            <w:vAlign w:val="center"/>
            <w:hideMark/>
          </w:tcPr>
          <w:p w14:paraId="519B38E5" w14:textId="77777777" w:rsidR="007335C8" w:rsidRPr="008E63BB" w:rsidRDefault="007335C8" w:rsidP="005F4632">
            <w:pPr>
              <w:jc w:val="right"/>
              <w:rPr>
                <w:rFonts w:eastAsia="Times New Roman"/>
                <w:szCs w:val="26"/>
              </w:rPr>
            </w:pPr>
            <w:r w:rsidRPr="008E63BB">
              <w:rPr>
                <w:rFonts w:eastAsia="Times New Roman"/>
                <w:szCs w:val="26"/>
              </w:rPr>
              <w:t>128</w:t>
            </w:r>
            <w:r w:rsidR="005F4632" w:rsidRPr="008E63BB">
              <w:rPr>
                <w:rFonts w:eastAsia="Times New Roman"/>
                <w:szCs w:val="26"/>
              </w:rPr>
              <w:t>.</w:t>
            </w:r>
            <w:r w:rsidRPr="008E63BB">
              <w:rPr>
                <w:rFonts w:eastAsia="Times New Roman"/>
                <w:szCs w:val="26"/>
              </w:rPr>
              <w:t>000</w:t>
            </w:r>
          </w:p>
        </w:tc>
        <w:tc>
          <w:tcPr>
            <w:tcW w:w="2126" w:type="dxa"/>
            <w:tcBorders>
              <w:top w:val="nil"/>
              <w:left w:val="nil"/>
              <w:bottom w:val="single" w:sz="4" w:space="0" w:color="auto"/>
              <w:right w:val="single" w:sz="4" w:space="0" w:color="auto"/>
            </w:tcBorders>
            <w:shd w:val="clear" w:color="auto" w:fill="auto"/>
            <w:noWrap/>
            <w:vAlign w:val="center"/>
            <w:hideMark/>
          </w:tcPr>
          <w:p w14:paraId="519B38E6" w14:textId="77777777" w:rsidR="007335C8" w:rsidRPr="008E63BB" w:rsidRDefault="007335C8" w:rsidP="0065184D">
            <w:pPr>
              <w:rPr>
                <w:rFonts w:eastAsia="Times New Roman"/>
                <w:szCs w:val="26"/>
              </w:rPr>
            </w:pPr>
            <w:r w:rsidRPr="008E63BB">
              <w:rPr>
                <w:rFonts w:eastAsia="Times New Roman"/>
                <w:szCs w:val="26"/>
              </w:rPr>
              <w:t>Xây mới</w:t>
            </w:r>
          </w:p>
        </w:tc>
      </w:tr>
    </w:tbl>
    <w:p w14:paraId="519B38E8" w14:textId="77777777" w:rsidR="00627481" w:rsidRPr="008E63BB" w:rsidRDefault="00627481" w:rsidP="0065184D">
      <w:pPr>
        <w:pStyle w:val="ListParagraph"/>
        <w:numPr>
          <w:ilvl w:val="0"/>
          <w:numId w:val="9"/>
        </w:numPr>
        <w:tabs>
          <w:tab w:val="left" w:pos="284"/>
          <w:tab w:val="left" w:pos="851"/>
        </w:tabs>
        <w:spacing w:after="0"/>
        <w:ind w:left="0" w:firstLine="709"/>
        <w:rPr>
          <w:bCs/>
          <w:iCs/>
          <w:sz w:val="26"/>
          <w:szCs w:val="26"/>
          <w:lang w:val="nb-NO"/>
        </w:rPr>
      </w:pPr>
      <w:r w:rsidRPr="008E63BB">
        <w:rPr>
          <w:bCs/>
          <w:iCs/>
          <w:sz w:val="26"/>
          <w:szCs w:val="26"/>
          <w:lang w:val="nb-NO"/>
        </w:rPr>
        <w:t>Giữ nguyên công suất các trạm bơm: Quán Chuột, Kênh Gia, Cốc Thành, An Lá. Nâng cấp; thay thế các tổ máy hư hỏng, xuống cấp.</w:t>
      </w:r>
    </w:p>
    <w:p w14:paraId="519B38E9" w14:textId="77777777" w:rsidR="00627481" w:rsidRPr="008E63BB" w:rsidRDefault="00627481" w:rsidP="0065184D">
      <w:pPr>
        <w:pStyle w:val="ListParagraph"/>
        <w:numPr>
          <w:ilvl w:val="0"/>
          <w:numId w:val="9"/>
        </w:numPr>
        <w:tabs>
          <w:tab w:val="left" w:pos="284"/>
          <w:tab w:val="left" w:pos="851"/>
        </w:tabs>
        <w:spacing w:after="0"/>
        <w:ind w:left="0" w:firstLine="709"/>
        <w:rPr>
          <w:bCs/>
          <w:iCs/>
          <w:sz w:val="26"/>
          <w:szCs w:val="26"/>
          <w:lang w:val="nb-NO"/>
        </w:rPr>
      </w:pPr>
      <w:r w:rsidRPr="008E63BB">
        <w:rPr>
          <w:bCs/>
          <w:iCs/>
          <w:sz w:val="26"/>
          <w:szCs w:val="26"/>
          <w:lang w:val="nb-NO"/>
        </w:rPr>
        <w:t>Xây mới trạm bơm Cống Mý ( xã Mỹ Trung) công suất 128000 m3/h.</w:t>
      </w:r>
    </w:p>
    <w:p w14:paraId="519B38EA" w14:textId="77777777" w:rsidR="00627481" w:rsidRPr="008E63BB" w:rsidRDefault="00627481" w:rsidP="0065184D">
      <w:pPr>
        <w:pStyle w:val="ListParagraph"/>
        <w:tabs>
          <w:tab w:val="left" w:pos="284"/>
          <w:tab w:val="left" w:pos="851"/>
        </w:tabs>
        <w:spacing w:after="0"/>
        <w:ind w:left="709"/>
        <w:rPr>
          <w:bCs/>
          <w:iCs/>
          <w:sz w:val="26"/>
          <w:szCs w:val="26"/>
          <w:lang w:val="nb-NO"/>
        </w:rPr>
      </w:pPr>
      <w:r w:rsidRPr="008E63BB">
        <w:rPr>
          <w:bCs/>
          <w:iCs/>
          <w:sz w:val="26"/>
          <w:szCs w:val="26"/>
          <w:lang w:val="nb-NO"/>
        </w:rPr>
        <w:t>- Bố trí hồ điều hòa trước trạm bơm Kênh Gia để trạm bơm hoạt động hiệu quả.</w:t>
      </w:r>
    </w:p>
    <w:p w14:paraId="519B38EB" w14:textId="77777777" w:rsidR="007335C8" w:rsidRPr="008E63BB" w:rsidRDefault="000F1A0A" w:rsidP="0065184D">
      <w:pPr>
        <w:pStyle w:val="BodyTextIndent"/>
        <w:spacing w:after="0"/>
        <w:ind w:firstLine="0"/>
        <w:jc w:val="center"/>
        <w:rPr>
          <w:color w:val="auto"/>
          <w:lang w:val="pt-BR"/>
        </w:rPr>
      </w:pPr>
      <w:r w:rsidRPr="008E63BB">
        <w:rPr>
          <w:noProof/>
          <w:color w:val="auto"/>
          <w:lang w:eastAsia="zh-CN"/>
        </w:rPr>
        <w:drawing>
          <wp:inline distT="0" distB="0" distL="0" distR="0" wp14:anchorId="519B5295" wp14:editId="519B5296">
            <wp:extent cx="5011387" cy="3667605"/>
            <wp:effectExtent l="0" t="0" r="0" b="9525"/>
            <wp:docPr id="7176" name="Picture 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1.jpg"/>
                    <pic:cNvPicPr>
                      <a:picLocks noChangeAspect="1"/>
                    </pic:cNvPicPr>
                  </pic:nvPicPr>
                  <pic:blipFill>
                    <a:blip r:embed="rId140" cstate="screen">
                      <a:extLst>
                        <a:ext uri="{28A0092B-C50C-407E-A947-70E740481C1C}">
                          <a14:useLocalDpi xmlns:a14="http://schemas.microsoft.com/office/drawing/2010/main"/>
                        </a:ext>
                      </a:extLst>
                    </a:blip>
                    <a:srcRect/>
                    <a:stretch>
                      <a:fillRect/>
                    </a:stretch>
                  </pic:blipFill>
                  <pic:spPr>
                    <a:xfrm>
                      <a:off x="0" y="0"/>
                      <a:ext cx="5019909" cy="3673842"/>
                    </a:xfrm>
                    <a:prstGeom prst="rect">
                      <a:avLst/>
                    </a:prstGeom>
                  </pic:spPr>
                </pic:pic>
              </a:graphicData>
            </a:graphic>
          </wp:inline>
        </w:drawing>
      </w:r>
    </w:p>
    <w:p w14:paraId="519B38EC" w14:textId="77777777" w:rsidR="007335C8" w:rsidRPr="008E63BB" w:rsidRDefault="007335C8" w:rsidP="0065184D">
      <w:pPr>
        <w:jc w:val="center"/>
        <w:rPr>
          <w:i/>
          <w:lang w:val="pt-BR"/>
        </w:rPr>
      </w:pPr>
      <w:r w:rsidRPr="008E63BB">
        <w:rPr>
          <w:i/>
          <w:lang w:val="pt-BR"/>
        </w:rPr>
        <w:t>Sơ đồ định hướng công trình thủy lợi</w:t>
      </w:r>
    </w:p>
    <w:p w14:paraId="519B38ED" w14:textId="77777777" w:rsidR="007335C8" w:rsidRPr="008E63BB" w:rsidRDefault="00DE21CF" w:rsidP="005F4632">
      <w:pPr>
        <w:spacing w:before="120"/>
        <w:rPr>
          <w:i/>
          <w:lang w:val="pt-BR"/>
        </w:rPr>
      </w:pPr>
      <w:r w:rsidRPr="008E63BB">
        <w:rPr>
          <w:i/>
          <w:lang w:val="pt-BR"/>
        </w:rPr>
        <w:t>6</w:t>
      </w:r>
      <w:r w:rsidR="007335C8" w:rsidRPr="008E63BB">
        <w:rPr>
          <w:i/>
          <w:lang w:val="pt-BR"/>
        </w:rPr>
        <w:t>.2.3. Định hướng cao độ nền</w:t>
      </w:r>
    </w:p>
    <w:p w14:paraId="519B38EE" w14:textId="77777777" w:rsidR="007335C8" w:rsidRPr="008E63BB" w:rsidRDefault="007335C8" w:rsidP="005F4632">
      <w:pPr>
        <w:tabs>
          <w:tab w:val="left" w:pos="360"/>
        </w:tabs>
        <w:spacing w:before="120"/>
        <w:rPr>
          <w:i/>
          <w:szCs w:val="26"/>
          <w:lang w:val="pt-BR"/>
        </w:rPr>
      </w:pPr>
      <w:r w:rsidRPr="008E63BB">
        <w:rPr>
          <w:i/>
          <w:szCs w:val="26"/>
          <w:lang w:val="pt-BR"/>
        </w:rPr>
        <w:t>a. Nguyên tắc thiết kế</w:t>
      </w:r>
    </w:p>
    <w:p w14:paraId="519B38EF" w14:textId="77777777" w:rsidR="007335C8" w:rsidRPr="008E63BB" w:rsidRDefault="00B31737" w:rsidP="005F4632">
      <w:pPr>
        <w:spacing w:before="120"/>
        <w:rPr>
          <w:lang w:val="pt-BR"/>
        </w:rPr>
      </w:pPr>
      <w:r w:rsidRPr="008E63BB">
        <w:rPr>
          <w:lang w:val="pt-BR"/>
        </w:rPr>
        <w:tab/>
      </w:r>
      <w:r w:rsidR="007335C8" w:rsidRPr="008E63BB">
        <w:rPr>
          <w:lang w:val="pt-BR"/>
        </w:rPr>
        <w:t>Tuân thủ cao độ khống chế nền xây dựng đã được xác định trong các đồ án quy hoạch chung thị trấn, quy hoạch nông thôn mới, quy hoạch các khu-cụm công nghiệp và các dự án đã và đang triển khai trên địa bàn huyện.</w:t>
      </w:r>
    </w:p>
    <w:p w14:paraId="519B38F0" w14:textId="77777777" w:rsidR="007335C8" w:rsidRPr="008E63BB" w:rsidRDefault="007335C8" w:rsidP="005F4632">
      <w:pPr>
        <w:spacing w:before="120"/>
        <w:ind w:firstLine="720"/>
        <w:rPr>
          <w:bCs/>
          <w:iCs/>
          <w:lang w:val="pt-BR"/>
        </w:rPr>
      </w:pPr>
      <w:r w:rsidRPr="008E63BB">
        <w:rPr>
          <w:bCs/>
          <w:iCs/>
          <w:lang w:val="pt-BR"/>
        </w:rPr>
        <w:t>Tận dụng tối đa địa hinh tự nhiên, giảm thiểu khối lượng đào đắp, đảm bảo các yếu tố: kỹ thuật, kinh tế , thẩm mỹ</w:t>
      </w:r>
      <w:r w:rsidR="00B31737" w:rsidRPr="008E63BB">
        <w:rPr>
          <w:bCs/>
          <w:iCs/>
          <w:lang w:val="pt-BR"/>
        </w:rPr>
        <w:t xml:space="preserve">.  </w:t>
      </w:r>
      <w:r w:rsidRPr="008E63BB">
        <w:rPr>
          <w:bCs/>
          <w:iCs/>
          <w:lang w:val="pt-BR"/>
        </w:rPr>
        <w:t>Kết hợp hài hòa giữa khu vực xây mới và khu vực hiện trạng.</w:t>
      </w:r>
    </w:p>
    <w:p w14:paraId="519B38F1" w14:textId="77777777" w:rsidR="007335C8" w:rsidRPr="008E63BB" w:rsidRDefault="007335C8" w:rsidP="005F4632">
      <w:pPr>
        <w:spacing w:before="120"/>
        <w:ind w:firstLine="720"/>
        <w:rPr>
          <w:lang w:val="it-IT"/>
        </w:rPr>
      </w:pPr>
      <w:r w:rsidRPr="008E63BB">
        <w:rPr>
          <w:bCs/>
          <w:iCs/>
          <w:lang w:val="pt-BR"/>
        </w:rPr>
        <w:lastRenderedPageBreak/>
        <w:t>Đảm bảo khu vực không bị ngập úng, sạt lở, thoát nước mặt thuận lợi, không gây sói mòn, rửa trôi đấ</w:t>
      </w:r>
      <w:r w:rsidR="00B31737" w:rsidRPr="008E63BB">
        <w:rPr>
          <w:bCs/>
          <w:iCs/>
          <w:lang w:val="pt-BR"/>
        </w:rPr>
        <w:t xml:space="preserve">t. </w:t>
      </w:r>
      <w:r w:rsidRPr="008E63BB">
        <w:rPr>
          <w:bCs/>
          <w:iCs/>
          <w:lang w:val="pt-BR"/>
        </w:rPr>
        <w:t>Tạo mặt bằng thuận lợi cho đầu tư xây dựng các công trình xây dự</w:t>
      </w:r>
      <w:r w:rsidR="00B31737" w:rsidRPr="008E63BB">
        <w:rPr>
          <w:bCs/>
          <w:iCs/>
          <w:lang w:val="pt-BR"/>
        </w:rPr>
        <w:t xml:space="preserve">ng. </w:t>
      </w:r>
      <w:r w:rsidRPr="008E63BB">
        <w:rPr>
          <w:lang w:val="pt-BR"/>
        </w:rPr>
        <w:t>Phải bảo đảm an toàn cho các đô thị và các điểm dân cư, tần suất chống lũ phù hợp với cấp đô thị, tính chất khu vực xây dựng</w:t>
      </w:r>
      <w:r w:rsidRPr="008E63BB">
        <w:rPr>
          <w:lang w:val="it-IT"/>
        </w:rPr>
        <w:t xml:space="preserve"> (tuân thủ</w:t>
      </w:r>
      <w:r w:rsidR="00102B98" w:rsidRPr="008E63BB">
        <w:rPr>
          <w:lang w:val="it-IT"/>
        </w:rPr>
        <w:t xml:space="preserve"> QCXDVN 01:2019</w:t>
      </w:r>
      <w:r w:rsidRPr="008E63BB">
        <w:rPr>
          <w:lang w:val="it-IT"/>
        </w:rPr>
        <w:t>).</w:t>
      </w:r>
    </w:p>
    <w:p w14:paraId="519B38F2" w14:textId="77777777" w:rsidR="00102B98" w:rsidRPr="008E63BB" w:rsidRDefault="00102B98" w:rsidP="005F4632">
      <w:pPr>
        <w:tabs>
          <w:tab w:val="left" w:pos="360"/>
        </w:tabs>
        <w:spacing w:before="120"/>
        <w:rPr>
          <w:i/>
          <w:szCs w:val="26"/>
          <w:lang w:val="it-IT"/>
        </w:rPr>
      </w:pPr>
      <w:r w:rsidRPr="008E63BB">
        <w:rPr>
          <w:i/>
          <w:szCs w:val="26"/>
          <w:lang w:val="it-IT"/>
        </w:rPr>
        <w:t>b. Cơ sở lựa chọn cao độ nền xây dựng:</w:t>
      </w:r>
    </w:p>
    <w:p w14:paraId="519B38F3" w14:textId="77777777" w:rsidR="00102B98" w:rsidRPr="008E63BB" w:rsidRDefault="00102B98" w:rsidP="005F4632">
      <w:pPr>
        <w:spacing w:before="120"/>
        <w:ind w:firstLine="720"/>
        <w:rPr>
          <w:lang w:val="it-IT"/>
        </w:rPr>
      </w:pPr>
      <w:r w:rsidRPr="008E63BB">
        <w:rPr>
          <w:lang w:val="it-IT"/>
        </w:rPr>
        <w:t xml:space="preserve">- Căn cứ vào cao độ nền hiện trạng các khu vực trong ranh giới nghiên cứu: </w:t>
      </w:r>
    </w:p>
    <w:p w14:paraId="519B38F4" w14:textId="77777777" w:rsidR="00102B98" w:rsidRPr="008E63BB" w:rsidRDefault="00102B98" w:rsidP="005F4632">
      <w:pPr>
        <w:tabs>
          <w:tab w:val="left" w:pos="851"/>
        </w:tabs>
        <w:spacing w:before="120"/>
        <w:rPr>
          <w:bCs/>
          <w:szCs w:val="26"/>
          <w:lang w:val="it-IT"/>
        </w:rPr>
      </w:pPr>
      <w:r w:rsidRPr="008E63BB">
        <w:rPr>
          <w:bCs/>
          <w:szCs w:val="26"/>
          <w:lang w:val="it-IT"/>
        </w:rPr>
        <w:t>+ Khu vực trung tâm thành phố Nam Định, cao độ nền xây dựng từ +2,0 ÷ +4,8m.</w:t>
      </w:r>
    </w:p>
    <w:p w14:paraId="519B38F5" w14:textId="77777777" w:rsidR="00102B98" w:rsidRPr="008E63BB" w:rsidRDefault="00102B98" w:rsidP="005F4632">
      <w:pPr>
        <w:tabs>
          <w:tab w:val="left" w:pos="720"/>
        </w:tabs>
        <w:spacing w:before="120"/>
        <w:rPr>
          <w:bCs/>
          <w:szCs w:val="26"/>
          <w:lang w:val="it-IT"/>
        </w:rPr>
      </w:pPr>
      <w:r w:rsidRPr="008E63BB">
        <w:rPr>
          <w:bCs/>
          <w:szCs w:val="26"/>
          <w:lang w:val="it-IT"/>
        </w:rPr>
        <w:tab/>
        <w:t>+ Khu vực trung tâm thị trấn Mỹ Lộc, cao độ nền xây dựng từ +2,0÷ +3,0m.</w:t>
      </w:r>
    </w:p>
    <w:p w14:paraId="519B38F6" w14:textId="77777777" w:rsidR="00102B98" w:rsidRPr="008E63BB" w:rsidRDefault="00102B98" w:rsidP="005F4632">
      <w:pPr>
        <w:spacing w:before="120"/>
        <w:ind w:firstLine="720"/>
        <w:rPr>
          <w:bCs/>
          <w:szCs w:val="26"/>
          <w:lang w:val="it-IT"/>
        </w:rPr>
      </w:pPr>
      <w:r w:rsidRPr="008E63BB">
        <w:rPr>
          <w:bCs/>
          <w:szCs w:val="26"/>
          <w:lang w:val="it-IT"/>
        </w:rPr>
        <w:t>+ Khu vực làng xóm có cao độ nền xây dựng từ +2,0 ÷ +2,9m.</w:t>
      </w:r>
    </w:p>
    <w:p w14:paraId="519B38F7" w14:textId="77777777" w:rsidR="00102B98" w:rsidRPr="008E63BB" w:rsidRDefault="00102B98" w:rsidP="005F4632">
      <w:pPr>
        <w:spacing w:before="120"/>
        <w:ind w:firstLine="720"/>
        <w:rPr>
          <w:bCs/>
          <w:szCs w:val="26"/>
          <w:lang w:val="it-IT"/>
        </w:rPr>
      </w:pPr>
      <w:r w:rsidRPr="008E63BB">
        <w:rPr>
          <w:bCs/>
          <w:szCs w:val="26"/>
          <w:lang w:val="it-IT"/>
        </w:rPr>
        <w:t>+ Cao trình đê sông Đào khoảng: +5,5m.</w:t>
      </w:r>
    </w:p>
    <w:p w14:paraId="519B38F8" w14:textId="77777777" w:rsidR="00102B98" w:rsidRPr="008E63BB" w:rsidRDefault="00102B98" w:rsidP="005F4632">
      <w:pPr>
        <w:spacing w:before="120"/>
        <w:ind w:firstLine="720"/>
        <w:rPr>
          <w:bCs/>
          <w:szCs w:val="26"/>
          <w:lang w:val="it-IT"/>
        </w:rPr>
      </w:pPr>
      <w:r w:rsidRPr="008E63BB">
        <w:rPr>
          <w:bCs/>
          <w:szCs w:val="26"/>
          <w:lang w:val="it-IT"/>
        </w:rPr>
        <w:t>+ Cao trình đê sông Hồng khoảng: +6,5m.</w:t>
      </w:r>
    </w:p>
    <w:p w14:paraId="519B38F9" w14:textId="77777777" w:rsidR="00102B98" w:rsidRPr="008E63BB" w:rsidRDefault="00102B98" w:rsidP="005F4632">
      <w:pPr>
        <w:spacing w:before="120"/>
        <w:ind w:firstLine="720"/>
        <w:rPr>
          <w:bCs/>
          <w:szCs w:val="26"/>
          <w:lang w:val="it-IT"/>
        </w:rPr>
      </w:pPr>
      <w:r w:rsidRPr="008E63BB">
        <w:rPr>
          <w:bCs/>
          <w:szCs w:val="26"/>
          <w:lang w:val="it-IT"/>
        </w:rPr>
        <w:t>Các khu vực hiện trạng dân cư, hiện trạng đã xây dựng công trình có cao độ nền lớn hơn +2,00m.</w:t>
      </w:r>
    </w:p>
    <w:p w14:paraId="519B38FA" w14:textId="77777777" w:rsidR="00102B98" w:rsidRPr="008E63BB" w:rsidRDefault="00102B98" w:rsidP="005F4632">
      <w:pPr>
        <w:spacing w:before="120"/>
        <w:ind w:firstLine="720"/>
        <w:rPr>
          <w:bCs/>
          <w:szCs w:val="26"/>
          <w:lang w:val="it-IT"/>
        </w:rPr>
      </w:pPr>
      <w:r w:rsidRPr="008E63BB">
        <w:rPr>
          <w:bCs/>
          <w:szCs w:val="26"/>
          <w:lang w:val="it-IT"/>
        </w:rPr>
        <w:t xml:space="preserve">- Căn cứ vào tình hình ngập úng, ngập lụt trong ranh giới nghiên cứu: </w:t>
      </w:r>
    </w:p>
    <w:p w14:paraId="519B38FB" w14:textId="77777777" w:rsidR="00102B98" w:rsidRPr="008E63BB" w:rsidRDefault="00102B98" w:rsidP="005F4632">
      <w:pPr>
        <w:spacing w:before="120"/>
        <w:ind w:firstLine="720"/>
        <w:rPr>
          <w:bCs/>
          <w:szCs w:val="26"/>
          <w:lang w:val="it-IT"/>
        </w:rPr>
      </w:pPr>
      <w:r w:rsidRPr="008E63BB">
        <w:rPr>
          <w:bCs/>
          <w:szCs w:val="26"/>
          <w:lang w:val="it-IT"/>
        </w:rPr>
        <w:t xml:space="preserve">Khu vực nghiên cứu có đê hữu sông Hồng, đê tả sông Đào, đê hữu sông Đào, đê hữu sông Châu Giang bảo vệ, khu vực không bị ảnh hưởng của lũ sông Hồng, sông Đào. Vào mùa mưa lũ các khu vực ruộng trũng có cao độ nền dưới +2,00m bị ngập úng, các khu vực dân cư ở trung tâm thành phố Nam Định chỉ bị ngập úng cục bộ do thiếu hệ thống thoát nước hoặc do hệ thống thoát nước bị ứ đọng nhiều bùn rác chưa khơi thông dòng chảy. </w:t>
      </w:r>
    </w:p>
    <w:p w14:paraId="519B38FC" w14:textId="77777777" w:rsidR="00102B98" w:rsidRPr="008E63BB" w:rsidRDefault="00102B98" w:rsidP="005F4632">
      <w:pPr>
        <w:spacing w:before="120"/>
        <w:ind w:firstLine="709"/>
        <w:rPr>
          <w:bCs/>
          <w:szCs w:val="26"/>
          <w:lang w:val="it-IT"/>
        </w:rPr>
      </w:pPr>
      <w:r w:rsidRPr="008E63BB">
        <w:rPr>
          <w:bCs/>
          <w:szCs w:val="26"/>
          <w:lang w:val="it-IT"/>
        </w:rPr>
        <w:t xml:space="preserve">- Căn cứ vào các đồ án quy hoạch phân khu, các đồ án quy hoạch chi tiết đã và đang triển khai trong khu vực nghiên cứu: Sau khi đồ án Điều chỉnh quy hoạch chung xây dựng thành phố Nam Định đến năm 2025 được phê duyệt theo quyết định 2084/QĐ-TTg ngày 22/11/2011 các đồ án quy hoạch phân khu, chi tiết khi triển khai đều tuân thủ cao độ nền xây dựng tối thiểu đã được phê duyệt:  </w:t>
      </w:r>
    </w:p>
    <w:p w14:paraId="519B38FD" w14:textId="77777777" w:rsidR="00102B98" w:rsidRPr="008E63BB" w:rsidRDefault="00102B98" w:rsidP="005F4632">
      <w:pPr>
        <w:spacing w:before="120"/>
        <w:ind w:firstLine="709"/>
        <w:rPr>
          <w:bCs/>
          <w:szCs w:val="26"/>
          <w:lang w:val="pt-BR"/>
        </w:rPr>
      </w:pPr>
      <w:r w:rsidRPr="008E63BB">
        <w:rPr>
          <w:bCs/>
          <w:szCs w:val="26"/>
          <w:lang w:val="pt-BR"/>
        </w:rPr>
        <w:t>+ Bờ Tả sông Đào H ≥ +2,5m.</w:t>
      </w:r>
    </w:p>
    <w:p w14:paraId="519B38FE" w14:textId="77777777" w:rsidR="00102B98" w:rsidRPr="008E63BB" w:rsidRDefault="00102B98" w:rsidP="005F4632">
      <w:pPr>
        <w:spacing w:before="120"/>
        <w:ind w:firstLine="709"/>
        <w:rPr>
          <w:bCs/>
          <w:szCs w:val="26"/>
          <w:lang w:val="pt-BR"/>
        </w:rPr>
      </w:pPr>
      <w:r w:rsidRPr="008E63BB">
        <w:rPr>
          <w:bCs/>
          <w:szCs w:val="26"/>
          <w:lang w:val="pt-BR"/>
        </w:rPr>
        <w:t>+ Bờ Hữu sông Đào H ≥ +2,8m.</w:t>
      </w:r>
    </w:p>
    <w:p w14:paraId="519B38FF" w14:textId="77777777" w:rsidR="00102B98" w:rsidRPr="008E63BB" w:rsidRDefault="00102B98" w:rsidP="005F4632">
      <w:pPr>
        <w:spacing w:before="120"/>
        <w:ind w:firstLine="720"/>
        <w:rPr>
          <w:bCs/>
          <w:szCs w:val="26"/>
          <w:lang w:val="pt-BR"/>
        </w:rPr>
      </w:pPr>
      <w:r w:rsidRPr="008E63BB">
        <w:rPr>
          <w:bCs/>
          <w:szCs w:val="26"/>
          <w:lang w:val="pt-BR"/>
        </w:rPr>
        <w:t>Kết hợp với các giải pháp xây dựng mới 11 hồ điều hòa với diện tích khoảng 95ha trên các lưu vực, xây dựng mới các kênh tiêu, đấu nối liên thông hệ thống kênh tiêu, hồ điều hòa, trạm bơm, xây dựng mới các tuyến cống thoát nước mưa trên từng lưu vực… Trong đồ án điều chỉnh 2020 kiến nghị vẫn giữ nguyên cao độ nền xây dựng tối thiểu theo quyết 2084:  Bờ Tả sông Đào H ≥ +2,5m, Bờ Hữu sông Đào H ≥ +2,8m.</w:t>
      </w:r>
    </w:p>
    <w:p w14:paraId="519B3900" w14:textId="77777777" w:rsidR="007335C8" w:rsidRPr="008E63BB" w:rsidRDefault="00102B98" w:rsidP="005F4632">
      <w:pPr>
        <w:tabs>
          <w:tab w:val="left" w:pos="360"/>
        </w:tabs>
        <w:spacing w:before="120"/>
        <w:rPr>
          <w:i/>
          <w:szCs w:val="26"/>
          <w:lang w:val="pt-BR"/>
        </w:rPr>
      </w:pPr>
      <w:r w:rsidRPr="008E63BB">
        <w:rPr>
          <w:i/>
          <w:szCs w:val="26"/>
          <w:lang w:val="pt-BR"/>
        </w:rPr>
        <w:t>c. Giải pháp thiết kế</w:t>
      </w:r>
      <w:r w:rsidR="007335C8" w:rsidRPr="008E63BB">
        <w:rPr>
          <w:i/>
          <w:szCs w:val="26"/>
          <w:lang w:val="pt-BR"/>
        </w:rPr>
        <w:t>:</w:t>
      </w:r>
    </w:p>
    <w:p w14:paraId="519B3901" w14:textId="77777777" w:rsidR="007335C8" w:rsidRPr="008E63BB" w:rsidRDefault="007335C8" w:rsidP="005F4632">
      <w:pPr>
        <w:spacing w:before="120"/>
        <w:ind w:firstLine="709"/>
        <w:rPr>
          <w:szCs w:val="26"/>
          <w:lang w:val="pt-BR"/>
        </w:rPr>
      </w:pPr>
      <w:r w:rsidRPr="008E63BB">
        <w:rPr>
          <w:szCs w:val="26"/>
          <w:lang w:val="pt-BR"/>
        </w:rPr>
        <w:t>* Khu vực hiện trạng đã xây dựng mật độ cao:</w:t>
      </w:r>
    </w:p>
    <w:p w14:paraId="519B3902" w14:textId="77777777" w:rsidR="007335C8" w:rsidRPr="008E63BB" w:rsidRDefault="007335C8" w:rsidP="005F4632">
      <w:pPr>
        <w:pStyle w:val="BodyText"/>
        <w:tabs>
          <w:tab w:val="left" w:pos="7920"/>
        </w:tabs>
        <w:spacing w:before="120" w:after="0"/>
        <w:ind w:firstLine="709"/>
        <w:rPr>
          <w:szCs w:val="26"/>
          <w:lang w:val="pt-BR"/>
        </w:rPr>
      </w:pPr>
      <w:r w:rsidRPr="008E63BB">
        <w:rPr>
          <w:szCs w:val="26"/>
          <w:lang w:val="pt-BR"/>
        </w:rPr>
        <w:t>- Khu vực thành phố Nam Định, Thị trấn Mỹ Lộc, các khu vực dân cư nông thôn tập trung, dọc các trục đường QL10, QL21, QL21</w:t>
      </w:r>
      <w:r w:rsidR="005A60DF" w:rsidRPr="008E63BB">
        <w:rPr>
          <w:szCs w:val="26"/>
          <w:lang w:val="pt-BR"/>
        </w:rPr>
        <w:t>B</w:t>
      </w:r>
      <w:r w:rsidRPr="008E63BB">
        <w:rPr>
          <w:szCs w:val="26"/>
          <w:lang w:val="pt-BR"/>
        </w:rPr>
        <w:t>, QL38, QL38B, ĐT 490C, ĐT 486B, đường huyện hiện có giữ nguyên cao độ nền đường và cao độ nền xây dựng của các công trình.</w:t>
      </w:r>
    </w:p>
    <w:p w14:paraId="519B3903" w14:textId="77777777" w:rsidR="007335C8" w:rsidRPr="008E63BB" w:rsidRDefault="007335C8" w:rsidP="005F4632">
      <w:pPr>
        <w:pStyle w:val="BodyText"/>
        <w:spacing w:before="120" w:after="0"/>
        <w:ind w:firstLine="709"/>
        <w:rPr>
          <w:szCs w:val="26"/>
          <w:lang w:val="pt-BR"/>
        </w:rPr>
      </w:pPr>
      <w:r w:rsidRPr="008E63BB">
        <w:rPr>
          <w:i/>
          <w:iCs/>
          <w:szCs w:val="26"/>
          <w:lang w:val="pt-BR"/>
        </w:rPr>
        <w:lastRenderedPageBreak/>
        <w:t xml:space="preserve">- </w:t>
      </w:r>
      <w:r w:rsidRPr="008E63BB">
        <w:rPr>
          <w:szCs w:val="26"/>
          <w:lang w:val="pt-BR"/>
        </w:rPr>
        <w:t>Khu vực xây dựng xen cấy: Các khu vực trũng tôn nền để tránh ngập úng và kết nối hài hòa với khu vực đã xây dựng. Chiều cao đắp nền trung bình: 0,5</w:t>
      </w:r>
      <w:r w:rsidRPr="008E63BB">
        <w:rPr>
          <w:szCs w:val="26"/>
          <w:lang w:val="pt-BR"/>
        </w:rPr>
        <w:sym w:font="Symbol" w:char="F0B8"/>
      </w:r>
      <w:r w:rsidRPr="008E63BB">
        <w:rPr>
          <w:szCs w:val="26"/>
          <w:lang w:val="pt-BR"/>
        </w:rPr>
        <w:t>1,0m.</w:t>
      </w:r>
    </w:p>
    <w:p w14:paraId="519B3904" w14:textId="77777777" w:rsidR="007335C8" w:rsidRPr="008E63BB" w:rsidRDefault="007335C8" w:rsidP="005F4632">
      <w:pPr>
        <w:spacing w:before="120"/>
        <w:ind w:firstLine="709"/>
        <w:rPr>
          <w:szCs w:val="26"/>
          <w:lang w:val="pt-BR"/>
        </w:rPr>
      </w:pPr>
      <w:r w:rsidRPr="008E63BB">
        <w:rPr>
          <w:szCs w:val="26"/>
          <w:lang w:val="pt-BR"/>
        </w:rPr>
        <w:t>* Khu vực phát triển xây dựng mới:</w:t>
      </w:r>
    </w:p>
    <w:p w14:paraId="519B3905" w14:textId="77777777" w:rsidR="007335C8" w:rsidRPr="008E63BB" w:rsidRDefault="007335C8" w:rsidP="005F4632">
      <w:pPr>
        <w:pStyle w:val="BodyText"/>
        <w:spacing w:before="120" w:after="0"/>
        <w:ind w:firstLine="709"/>
        <w:rPr>
          <w:lang w:val="pt-BR"/>
        </w:rPr>
      </w:pPr>
      <w:r w:rsidRPr="008E63BB">
        <w:rPr>
          <w:lang w:val="pt-BR"/>
        </w:rPr>
        <w:t>Quỹ đất xây dựng được tôn nền trên khu vực ao, ruộng canh tác, khi thi công xây dựng phải khảo sát kỹ địa chất để có giải pháp nền móng công trình. Khi phát triển xây dựng trên vùng này cần tôn nền hài hòa với khu vực xây dựng hiện có. Cao độ xây dựng khống chế cho từng khu vực như sau (tuân thủ đồ án điều chỉnh Quy hoạch chung thành phố Nam Định đã phê duyệt 2011):</w:t>
      </w:r>
    </w:p>
    <w:p w14:paraId="519B3906" w14:textId="77777777" w:rsidR="007335C8" w:rsidRPr="008E63BB" w:rsidRDefault="007335C8" w:rsidP="005F4632">
      <w:pPr>
        <w:spacing w:before="120"/>
        <w:ind w:firstLine="709"/>
        <w:rPr>
          <w:bCs/>
          <w:szCs w:val="26"/>
          <w:lang w:val="pt-BR"/>
        </w:rPr>
      </w:pPr>
      <w:r w:rsidRPr="008E63BB">
        <w:rPr>
          <w:bCs/>
          <w:szCs w:val="26"/>
          <w:lang w:val="pt-BR"/>
        </w:rPr>
        <w:t>+ Bờ Tả sông Đào H ≥ +2,5m.</w:t>
      </w:r>
    </w:p>
    <w:p w14:paraId="519B3907" w14:textId="77777777" w:rsidR="007335C8" w:rsidRPr="008E63BB" w:rsidRDefault="007335C8" w:rsidP="005F4632">
      <w:pPr>
        <w:spacing w:before="120"/>
        <w:ind w:firstLine="709"/>
        <w:rPr>
          <w:bCs/>
          <w:szCs w:val="26"/>
          <w:lang w:val="pt-BR"/>
        </w:rPr>
      </w:pPr>
      <w:r w:rsidRPr="008E63BB">
        <w:rPr>
          <w:bCs/>
          <w:szCs w:val="26"/>
          <w:lang w:val="pt-BR"/>
        </w:rPr>
        <w:t>+ Bờ Hữu sông Đào H ≥ +2,8m.</w:t>
      </w:r>
    </w:p>
    <w:p w14:paraId="519B3908" w14:textId="77777777" w:rsidR="007335C8" w:rsidRPr="008E63BB" w:rsidRDefault="009A0D90" w:rsidP="0065184D">
      <w:pPr>
        <w:jc w:val="center"/>
        <w:rPr>
          <w:rFonts w:eastAsia="Times New Roman"/>
          <w:szCs w:val="26"/>
        </w:rPr>
      </w:pPr>
      <w:r w:rsidRPr="008E63BB">
        <w:rPr>
          <w:rFonts w:eastAsia="Times New Roman"/>
          <w:noProof/>
          <w:szCs w:val="26"/>
          <w:lang w:eastAsia="zh-CN"/>
        </w:rPr>
        <w:drawing>
          <wp:inline distT="0" distB="0" distL="0" distR="0" wp14:anchorId="519B5297" wp14:editId="519B5298">
            <wp:extent cx="5254013" cy="4156363"/>
            <wp:effectExtent l="0" t="0" r="3810" b="0"/>
            <wp:docPr id="7177" name="Picture 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2.jpg"/>
                    <pic:cNvPicPr>
                      <a:picLocks noChangeAspect="1"/>
                    </pic:cNvPicPr>
                  </pic:nvPicPr>
                  <pic:blipFill>
                    <a:blip r:embed="rId141" cstate="screen">
                      <a:extLst>
                        <a:ext uri="{28A0092B-C50C-407E-A947-70E740481C1C}">
                          <a14:useLocalDpi xmlns:a14="http://schemas.microsoft.com/office/drawing/2010/main"/>
                        </a:ext>
                      </a:extLst>
                    </a:blip>
                    <a:srcRect/>
                    <a:stretch>
                      <a:fillRect/>
                    </a:stretch>
                  </pic:blipFill>
                  <pic:spPr>
                    <a:xfrm>
                      <a:off x="0" y="0"/>
                      <a:ext cx="5264182" cy="4164408"/>
                    </a:xfrm>
                    <a:prstGeom prst="rect">
                      <a:avLst/>
                    </a:prstGeom>
                  </pic:spPr>
                </pic:pic>
              </a:graphicData>
            </a:graphic>
          </wp:inline>
        </w:drawing>
      </w:r>
    </w:p>
    <w:p w14:paraId="519B3909" w14:textId="77777777" w:rsidR="007335C8" w:rsidRPr="008E63BB" w:rsidRDefault="007335C8" w:rsidP="0065184D">
      <w:pPr>
        <w:jc w:val="center"/>
        <w:rPr>
          <w:i/>
          <w:lang w:val="pt-BR"/>
        </w:rPr>
      </w:pPr>
      <w:r w:rsidRPr="008E63BB">
        <w:rPr>
          <w:i/>
          <w:lang w:val="pt-BR"/>
        </w:rPr>
        <w:t>Sơ đồ định hướng cao độ nền</w:t>
      </w:r>
    </w:p>
    <w:p w14:paraId="519B390A" w14:textId="77777777" w:rsidR="007335C8" w:rsidRPr="008E63BB" w:rsidRDefault="00DE21CF" w:rsidP="0065184D">
      <w:pPr>
        <w:rPr>
          <w:i/>
          <w:lang w:val="pt-BR"/>
        </w:rPr>
      </w:pPr>
      <w:r w:rsidRPr="008E63BB">
        <w:rPr>
          <w:i/>
          <w:lang w:val="pt-BR"/>
        </w:rPr>
        <w:t>6</w:t>
      </w:r>
      <w:r w:rsidR="007335C8" w:rsidRPr="008E63BB">
        <w:rPr>
          <w:i/>
          <w:lang w:val="pt-BR"/>
        </w:rPr>
        <w:t>.2.4. Định hướng thoát nước mưa</w:t>
      </w:r>
    </w:p>
    <w:p w14:paraId="519B390B" w14:textId="77777777" w:rsidR="007335C8" w:rsidRPr="008E63BB" w:rsidRDefault="007335C8" w:rsidP="0065184D">
      <w:pPr>
        <w:tabs>
          <w:tab w:val="left" w:pos="360"/>
        </w:tabs>
        <w:rPr>
          <w:i/>
          <w:szCs w:val="26"/>
          <w:lang w:val="pt-BR"/>
        </w:rPr>
      </w:pPr>
      <w:r w:rsidRPr="008E63BB">
        <w:rPr>
          <w:i/>
          <w:szCs w:val="26"/>
          <w:lang w:val="pt-BR"/>
        </w:rPr>
        <w:t>a. Nguyên tắc thiết kế</w:t>
      </w:r>
    </w:p>
    <w:p w14:paraId="519B390C" w14:textId="77777777" w:rsidR="007335C8" w:rsidRPr="008E63BB" w:rsidRDefault="007335C8" w:rsidP="00F06125">
      <w:pPr>
        <w:pStyle w:val="BodyText"/>
        <w:widowControl w:val="0"/>
        <w:numPr>
          <w:ilvl w:val="0"/>
          <w:numId w:val="16"/>
        </w:numPr>
        <w:tabs>
          <w:tab w:val="left" w:pos="900"/>
        </w:tabs>
        <w:spacing w:after="0"/>
        <w:ind w:left="0" w:firstLine="709"/>
        <w:rPr>
          <w:bCs/>
          <w:iCs/>
        </w:rPr>
      </w:pPr>
      <w:r w:rsidRPr="008E63BB">
        <w:rPr>
          <w:bCs/>
          <w:iCs/>
        </w:rPr>
        <w:t>Tận dụng địa hình tự nhiên trong quá trình vạch mạng lưới thoát nước mưa, đảm bảo thoát nước mưa một cách triệt để trên nguyên tắc tự chảy.</w:t>
      </w:r>
    </w:p>
    <w:p w14:paraId="519B390D" w14:textId="77777777" w:rsidR="007335C8" w:rsidRPr="008E63BB" w:rsidRDefault="007335C8" w:rsidP="00F06125">
      <w:pPr>
        <w:pStyle w:val="BodyText"/>
        <w:widowControl w:val="0"/>
        <w:numPr>
          <w:ilvl w:val="0"/>
          <w:numId w:val="16"/>
        </w:numPr>
        <w:tabs>
          <w:tab w:val="left" w:pos="900"/>
        </w:tabs>
        <w:spacing w:after="0"/>
        <w:ind w:left="0" w:firstLine="709"/>
        <w:rPr>
          <w:bCs/>
          <w:iCs/>
        </w:rPr>
      </w:pPr>
      <w:r w:rsidRPr="008E63BB">
        <w:rPr>
          <w:bCs/>
          <w:iCs/>
        </w:rPr>
        <w:t>Mạng lưới thoát nước mưa phải phù hợp với hướng dốc san nền quy hoạch, phù hợp với tình hình hiện trạng và các đồ án quy hoạch, dự án đầu tư xung quanh.</w:t>
      </w:r>
    </w:p>
    <w:p w14:paraId="519B390E" w14:textId="77777777" w:rsidR="007335C8" w:rsidRPr="008E63BB" w:rsidRDefault="007335C8" w:rsidP="0065184D">
      <w:pPr>
        <w:pStyle w:val="BodyText"/>
        <w:widowControl w:val="0"/>
        <w:tabs>
          <w:tab w:val="left" w:pos="900"/>
        </w:tabs>
        <w:spacing w:after="0"/>
        <w:ind w:firstLine="709"/>
        <w:rPr>
          <w:bCs/>
          <w:iCs/>
        </w:rPr>
      </w:pPr>
      <w:r w:rsidRPr="008E63BB">
        <w:rPr>
          <w:bCs/>
          <w:iCs/>
        </w:rPr>
        <w:t>- Tận dụng khai thác tối đa các trục tiêu thoát nước tự nhiên như: sông, suối, kênh mương tiêu thủy lợi.</w:t>
      </w:r>
    </w:p>
    <w:p w14:paraId="519B390F" w14:textId="77777777" w:rsidR="007335C8" w:rsidRPr="008E63BB" w:rsidRDefault="007335C8" w:rsidP="0065184D">
      <w:pPr>
        <w:pStyle w:val="BodyText"/>
        <w:widowControl w:val="0"/>
        <w:tabs>
          <w:tab w:val="left" w:pos="900"/>
        </w:tabs>
        <w:spacing w:after="0"/>
        <w:ind w:firstLine="709"/>
        <w:rPr>
          <w:bCs/>
          <w:iCs/>
        </w:rPr>
      </w:pPr>
      <w:r w:rsidRPr="008E63BB">
        <w:rPr>
          <w:bCs/>
          <w:iCs/>
        </w:rPr>
        <w:t xml:space="preserve">- Xây dựng hệ thống thoát nước mưa tại các đô thị chưa có hệ thống thoát nước, tiếp tục xây dựng hoàn thiện hệ thống thoát nước tại các đô thị có hệ thống thoát nước mưa chưa hoàn chỉnh. </w:t>
      </w:r>
    </w:p>
    <w:p w14:paraId="519B3910" w14:textId="77777777" w:rsidR="007335C8" w:rsidRPr="008E63BB" w:rsidRDefault="007335C8" w:rsidP="0065184D">
      <w:pPr>
        <w:pStyle w:val="BodyText"/>
        <w:widowControl w:val="0"/>
        <w:tabs>
          <w:tab w:val="left" w:pos="900"/>
        </w:tabs>
        <w:spacing w:after="0"/>
        <w:ind w:firstLine="709"/>
        <w:rPr>
          <w:bCs/>
          <w:iCs/>
        </w:rPr>
      </w:pPr>
      <w:r w:rsidRPr="008E63BB">
        <w:rPr>
          <w:bCs/>
          <w:iCs/>
        </w:rPr>
        <w:t xml:space="preserve">- Đối với các khu đô thị mới, các khu công nghiệp tập trung sẽ xây hệ thống thoát </w:t>
      </w:r>
      <w:r w:rsidRPr="008E63BB">
        <w:rPr>
          <w:bCs/>
          <w:iCs/>
        </w:rPr>
        <w:lastRenderedPageBreak/>
        <w:t>nước riêng.</w:t>
      </w:r>
    </w:p>
    <w:p w14:paraId="519B3911" w14:textId="77777777" w:rsidR="007335C8" w:rsidRPr="008E63BB" w:rsidRDefault="007335C8" w:rsidP="0065184D">
      <w:pPr>
        <w:pStyle w:val="BodyText"/>
        <w:widowControl w:val="0"/>
        <w:tabs>
          <w:tab w:val="left" w:pos="900"/>
        </w:tabs>
        <w:spacing w:after="0"/>
        <w:ind w:firstLine="709"/>
        <w:rPr>
          <w:bCs/>
          <w:iCs/>
        </w:rPr>
      </w:pPr>
      <w:r w:rsidRPr="008E63BB">
        <w:rPr>
          <w:bCs/>
          <w:iCs/>
        </w:rPr>
        <w:t>- Các đô thị hiện hữu đang có hệ thống thoát chung, trong tương lai cần đầu tư xây dựng thành hệ thống nửa riêng. Nước thải sẽ đưa về khu xử lý trước khi xả ra môi trường bằng cách xây dựng hệ thống cống bao.</w:t>
      </w:r>
    </w:p>
    <w:p w14:paraId="519B3912" w14:textId="77777777" w:rsidR="007335C8" w:rsidRPr="008E63BB" w:rsidRDefault="007335C8" w:rsidP="0065184D">
      <w:pPr>
        <w:tabs>
          <w:tab w:val="left" w:pos="360"/>
        </w:tabs>
        <w:rPr>
          <w:i/>
          <w:szCs w:val="26"/>
          <w:lang w:val="vi-VN"/>
        </w:rPr>
      </w:pPr>
      <w:r w:rsidRPr="008E63BB">
        <w:rPr>
          <w:i/>
          <w:szCs w:val="26"/>
          <w:lang w:val="vi-VN"/>
        </w:rPr>
        <w:t>b. Giải pháp thiết kế</w:t>
      </w:r>
    </w:p>
    <w:p w14:paraId="519B3913" w14:textId="77777777" w:rsidR="007335C8" w:rsidRPr="008E63BB" w:rsidRDefault="007335C8" w:rsidP="0065184D">
      <w:pPr>
        <w:rPr>
          <w:i/>
          <w:szCs w:val="26"/>
          <w:lang w:val="it-IT"/>
        </w:rPr>
      </w:pPr>
      <w:r w:rsidRPr="008E63BB">
        <w:rPr>
          <w:i/>
          <w:szCs w:val="26"/>
          <w:lang w:val="it-IT"/>
        </w:rPr>
        <w:t>* Chỉ tiêu về hệ thống thoát nước:</w:t>
      </w:r>
    </w:p>
    <w:p w14:paraId="519B3914" w14:textId="77777777" w:rsidR="007335C8" w:rsidRPr="008E63BB" w:rsidRDefault="007335C8" w:rsidP="0065184D">
      <w:pPr>
        <w:ind w:firstLine="720"/>
        <w:rPr>
          <w:szCs w:val="26"/>
          <w:lang w:val="it-IT"/>
        </w:rPr>
      </w:pPr>
      <w:r w:rsidRPr="008E63BB">
        <w:rPr>
          <w:szCs w:val="26"/>
          <w:lang w:val="it-IT"/>
        </w:rPr>
        <w:t xml:space="preserve">- </w:t>
      </w:r>
      <w:r w:rsidRPr="008E63BB">
        <w:rPr>
          <w:szCs w:val="26"/>
          <w:lang w:val="vi-VN"/>
        </w:rPr>
        <w:t xml:space="preserve">Mật độ đường cống thoát nước chính khu vực nội thị </w:t>
      </w:r>
      <w:r w:rsidRPr="008E63BB">
        <w:rPr>
          <w:szCs w:val="26"/>
          <w:lang w:val="it-IT"/>
        </w:rPr>
        <w:t xml:space="preserve">≥4 </w:t>
      </w:r>
      <w:r w:rsidRPr="008E63BB">
        <w:rPr>
          <w:szCs w:val="26"/>
          <w:lang w:val="vi-VN"/>
        </w:rPr>
        <w:t>km/km</w:t>
      </w:r>
      <w:r w:rsidRPr="008E63BB">
        <w:rPr>
          <w:szCs w:val="26"/>
          <w:vertAlign w:val="superscript"/>
          <w:lang w:val="vi-VN"/>
        </w:rPr>
        <w:t>2</w:t>
      </w:r>
      <w:r w:rsidRPr="008E63BB">
        <w:rPr>
          <w:szCs w:val="26"/>
          <w:lang w:val="it-IT"/>
        </w:rPr>
        <w:t>.</w:t>
      </w:r>
    </w:p>
    <w:p w14:paraId="519B3915" w14:textId="77777777" w:rsidR="007335C8" w:rsidRPr="008E63BB" w:rsidRDefault="007335C8" w:rsidP="0065184D">
      <w:pPr>
        <w:rPr>
          <w:i/>
          <w:szCs w:val="26"/>
          <w:lang w:val="it-IT"/>
        </w:rPr>
      </w:pPr>
      <w:r w:rsidRPr="008E63BB">
        <w:rPr>
          <w:i/>
          <w:szCs w:val="26"/>
          <w:lang w:val="it-IT"/>
        </w:rPr>
        <w:t>* Quy định về thu gom nước mưa:</w:t>
      </w:r>
    </w:p>
    <w:p w14:paraId="519B3916" w14:textId="77777777" w:rsidR="007335C8" w:rsidRPr="008E63BB" w:rsidRDefault="007335C8" w:rsidP="0065184D">
      <w:pPr>
        <w:pStyle w:val="BodyText"/>
        <w:widowControl w:val="0"/>
        <w:tabs>
          <w:tab w:val="left" w:pos="900"/>
        </w:tabs>
        <w:spacing w:after="0"/>
        <w:ind w:firstLine="709"/>
      </w:pPr>
      <w:r w:rsidRPr="008E63BB">
        <w:t>- 100% đường giao thông nội thị có cống thoát nước mưa</w:t>
      </w:r>
      <w:r w:rsidRPr="008E63BB">
        <w:rPr>
          <w:lang w:val="it-IT"/>
        </w:rPr>
        <w:t>,tối thiểu60</w:t>
      </w:r>
      <w:r w:rsidRPr="008E63BB">
        <w:t>% đường</w:t>
      </w:r>
      <w:r w:rsidRPr="008E63BB">
        <w:rPr>
          <w:lang w:val="it-IT"/>
        </w:rPr>
        <w:t xml:space="preserve"> ngoại thị</w:t>
      </w:r>
      <w:r w:rsidRPr="008E63BB">
        <w:t xml:space="preserve"> có hệ thống thoát nước mưa.</w:t>
      </w:r>
    </w:p>
    <w:p w14:paraId="519B3917" w14:textId="77777777" w:rsidR="007335C8" w:rsidRPr="008E63BB" w:rsidRDefault="007335C8" w:rsidP="0065184D">
      <w:pPr>
        <w:rPr>
          <w:i/>
          <w:szCs w:val="26"/>
          <w:lang w:val="it-IT"/>
        </w:rPr>
      </w:pPr>
      <w:r w:rsidRPr="008E63BB">
        <w:rPr>
          <w:i/>
          <w:szCs w:val="26"/>
          <w:lang w:val="it-IT"/>
        </w:rPr>
        <w:t>c.  Lưu vực thoát nước mưa:</w:t>
      </w:r>
    </w:p>
    <w:p w14:paraId="519B3918" w14:textId="77777777" w:rsidR="00115079" w:rsidRPr="008E63BB" w:rsidRDefault="007335C8" w:rsidP="00115079">
      <w:pPr>
        <w:rPr>
          <w:szCs w:val="26"/>
          <w:lang w:val="it-IT" w:eastAsia="ja-JP"/>
        </w:rPr>
      </w:pPr>
      <w:r w:rsidRPr="008E63BB">
        <w:rPr>
          <w:szCs w:val="26"/>
          <w:lang w:val="it-IT" w:eastAsia="ja-JP"/>
        </w:rPr>
        <w:tab/>
      </w:r>
      <w:r w:rsidR="00115079" w:rsidRPr="008E63BB">
        <w:rPr>
          <w:szCs w:val="26"/>
          <w:lang w:val="it-IT" w:eastAsia="ja-JP"/>
        </w:rPr>
        <w:t xml:space="preserve">Toàn bộ ranh giới nghiên cứu bao gôm thành phố Nam Định, huyện Mỹ Lộc, 3 xã huyện Vụ Bản và 5 xã huyện Nam Trực được phân chia 8 lưu vực tiêu thoát nước mưa chính: </w:t>
      </w:r>
    </w:p>
    <w:p w14:paraId="519B3919"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 xml:space="preserve">Lưu vực 1: Thoát về trạm bơm Cống Mý rồi thoát ra sông Hồng. Tiêu nước cho 1 phần xã Mỹ Trung vã xã Mỹ Tân (huyện Mỹ Lộc). Diện tích lưu vực: 700ha. </w:t>
      </w:r>
    </w:p>
    <w:p w14:paraId="519B391A"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 xml:space="preserve">Lưu vực 2: Thoát về trạm bơm Quán Chuột rồi thoát ra sông Hồng. Tiêu nước cho các phường: Cửa Bắc, Bà Triệu, Phan Đình Phùng, Vị Hoàng, vị Xuyên, Trần Tế Xương, </w:t>
      </w:r>
      <w:r w:rsidR="00450752" w:rsidRPr="008E63BB">
        <w:rPr>
          <w:szCs w:val="26"/>
          <w:lang w:val="it-IT" w:eastAsia="ja-JP"/>
        </w:rPr>
        <w:t>Nam Định</w:t>
      </w:r>
      <w:r w:rsidRPr="008E63BB">
        <w:rPr>
          <w:szCs w:val="26"/>
          <w:lang w:val="it-IT" w:eastAsia="ja-JP"/>
        </w:rPr>
        <w:t>, Thống Nhất, Lộc Vượng và 1 phần xã Mỹ Tân (huyện Mỹ Lộc). Diện tích lưu vực: 1300ha.</w:t>
      </w:r>
    </w:p>
    <w:p w14:paraId="519B391B"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Lưu vực 3: Thoát về trạm bơm Kênh Gia rồi thoát ra Sông Đào. Tiêu nước cho các phường: Năng Tĩnh, văn Miếu, Trường Thi, Trần Đăng Ninh, Ngô Quyền, Trần Hưng Đạo và 1 phần xã Lộc An (huyện Vụ Bản). Diện tích lưu vực: 822ha.</w:t>
      </w:r>
    </w:p>
    <w:p w14:paraId="519B391C"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Lưu vực 4: Thoát về trạm bơm Cốc Thành rồi thoát ra sông Đào. Tiêu nước cho các khu vực còn các khu vực còn lại của huyện Mỹ Lộc và 3 xã Đại An, Tân Thành, Thành Lợi ( huyện Vụ Bản). Diện tích lưu vực: 9410ha.</w:t>
      </w:r>
    </w:p>
    <w:p w14:paraId="519B391D"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Lưu vực 5: Thoát về trạm bơm An Lá rồi thoát ra sông Đào. Tiêu nước cho các xã Nghĩa An, Nam Vân, phường Cửa Nam, xã Nam Phong. Diện tích lưu vực: 2815ha.</w:t>
      </w:r>
    </w:p>
    <w:p w14:paraId="519B391E"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Lưu vực 6: Thoát về 2 cống tiêu dưới đê Ngô Xá, Vị Khê rồi thoát ra sông Hồng. Tiêu nước cho các xã Hồng Quang, 1 phần xã Nam Mỹ, 1 phần xã Điền Xá. Diện tích lưu vực: 1481ha.</w:t>
      </w:r>
    </w:p>
    <w:p w14:paraId="519B391F"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Lưu vực 7: Thoát về trạm bơm Nam Hà rồi thoát ra sông Hồng. Tiêu nước cho 1 phần xã Điền Xá. Diện tích lưu vực: 490ha.</w:t>
      </w:r>
    </w:p>
    <w:p w14:paraId="519B3920" w14:textId="77777777" w:rsidR="00115079" w:rsidRPr="008E63BB" w:rsidRDefault="00115079" w:rsidP="00115079">
      <w:pPr>
        <w:numPr>
          <w:ilvl w:val="0"/>
          <w:numId w:val="27"/>
        </w:numPr>
        <w:tabs>
          <w:tab w:val="left" w:pos="851"/>
        </w:tabs>
        <w:ind w:left="0" w:firstLine="709"/>
        <w:rPr>
          <w:szCs w:val="26"/>
          <w:lang w:val="it-IT" w:eastAsia="ja-JP"/>
        </w:rPr>
      </w:pPr>
      <w:r w:rsidRPr="008E63BB">
        <w:rPr>
          <w:szCs w:val="26"/>
          <w:lang w:val="it-IT" w:eastAsia="ja-JP"/>
        </w:rPr>
        <w:t>Lưu vực 8: bao gồm các khu vực bãi bồi, bối ngoài đê các sông Châu Giang, sông Hồng, sông Đào thoát tự chảy  ra sông.</w:t>
      </w:r>
    </w:p>
    <w:p w14:paraId="519B3921" w14:textId="77777777" w:rsidR="007335C8" w:rsidRPr="008E63BB" w:rsidRDefault="009A0D90" w:rsidP="00115079">
      <w:pPr>
        <w:rPr>
          <w:szCs w:val="26"/>
          <w:lang w:val="it-IT" w:eastAsia="ja-JP"/>
        </w:rPr>
      </w:pPr>
      <w:r w:rsidRPr="008E63BB">
        <w:rPr>
          <w:noProof/>
          <w:szCs w:val="26"/>
          <w:lang w:eastAsia="zh-CN"/>
        </w:rPr>
        <w:lastRenderedPageBreak/>
        <w:drawing>
          <wp:inline distT="0" distB="0" distL="0" distR="0" wp14:anchorId="519B5299" wp14:editId="519B529A">
            <wp:extent cx="4916384" cy="3613432"/>
            <wp:effectExtent l="0" t="0" r="0" b="6350"/>
            <wp:docPr id="7178" name="Picture 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3.jpg"/>
                    <pic:cNvPicPr>
                      <a:picLocks noChangeAspect="1"/>
                    </pic:cNvPicPr>
                  </pic:nvPicPr>
                  <pic:blipFill>
                    <a:blip r:embed="rId142" cstate="screen">
                      <a:extLst>
                        <a:ext uri="{28A0092B-C50C-407E-A947-70E740481C1C}">
                          <a14:useLocalDpi xmlns:a14="http://schemas.microsoft.com/office/drawing/2010/main"/>
                        </a:ext>
                      </a:extLst>
                    </a:blip>
                    <a:srcRect/>
                    <a:stretch>
                      <a:fillRect/>
                    </a:stretch>
                  </pic:blipFill>
                  <pic:spPr>
                    <a:xfrm>
                      <a:off x="0" y="0"/>
                      <a:ext cx="4924136" cy="3619129"/>
                    </a:xfrm>
                    <a:prstGeom prst="rect">
                      <a:avLst/>
                    </a:prstGeom>
                  </pic:spPr>
                </pic:pic>
              </a:graphicData>
            </a:graphic>
          </wp:inline>
        </w:drawing>
      </w:r>
    </w:p>
    <w:p w14:paraId="519B3922" w14:textId="77777777" w:rsidR="007335C8" w:rsidRPr="008E63BB" w:rsidRDefault="007335C8" w:rsidP="0065184D">
      <w:pPr>
        <w:jc w:val="center"/>
        <w:rPr>
          <w:i/>
          <w:lang w:val="pt-BR"/>
        </w:rPr>
      </w:pPr>
      <w:r w:rsidRPr="008E63BB">
        <w:rPr>
          <w:i/>
          <w:lang w:val="pt-BR"/>
        </w:rPr>
        <w:t>Sơ đồ định hướng lưu vực thoát nước mưa</w:t>
      </w:r>
    </w:p>
    <w:p w14:paraId="519B3923" w14:textId="77777777" w:rsidR="007335C8" w:rsidRPr="008E63BB" w:rsidRDefault="007335C8" w:rsidP="005F4632">
      <w:pPr>
        <w:spacing w:before="240"/>
        <w:rPr>
          <w:i/>
          <w:szCs w:val="26"/>
          <w:lang w:val="it-IT"/>
        </w:rPr>
      </w:pPr>
      <w:r w:rsidRPr="008E63BB">
        <w:rPr>
          <w:i/>
          <w:szCs w:val="26"/>
          <w:lang w:val="it-IT"/>
        </w:rPr>
        <w:t>d. Hệ thống thoát nước mưa:</w:t>
      </w:r>
    </w:p>
    <w:p w14:paraId="519B3924" w14:textId="77777777" w:rsidR="007335C8" w:rsidRPr="008E63BB" w:rsidRDefault="007335C8" w:rsidP="0065184D">
      <w:pPr>
        <w:tabs>
          <w:tab w:val="left" w:pos="360"/>
          <w:tab w:val="left" w:pos="709"/>
        </w:tabs>
        <w:ind w:firstLine="709"/>
        <w:rPr>
          <w:szCs w:val="26"/>
          <w:lang w:val="vi-VN"/>
        </w:rPr>
      </w:pPr>
      <w:r w:rsidRPr="008E63BB">
        <w:rPr>
          <w:szCs w:val="26"/>
          <w:lang w:val="it-IT"/>
        </w:rPr>
        <w:t xml:space="preserve">- Khu vực hiện trạng đã xây dựng mật độ cao:sử dụng hệ thống thoát nước </w:t>
      </w:r>
      <w:r w:rsidRPr="008E63BB">
        <w:rPr>
          <w:szCs w:val="26"/>
          <w:lang w:val="vi-VN"/>
        </w:rPr>
        <w:t xml:space="preserve">nửa riêng. Tại các cửa xả ra sông, hồ có hệ thống cống bao dẫn nước bẩn về trạm xử lý tập trung. </w:t>
      </w:r>
      <w:r w:rsidR="00627481" w:rsidRPr="008E63BB">
        <w:rPr>
          <w:szCs w:val="26"/>
          <w:lang w:val="vi-VN"/>
        </w:rPr>
        <w:t>Các khu vực ngập úng hiện tại: nạo vét hố ga, thay cống tiết diện lớn, vuốt nối độ dốc dọc đường…</w:t>
      </w:r>
    </w:p>
    <w:p w14:paraId="519B3925" w14:textId="77777777" w:rsidR="007335C8" w:rsidRPr="008E63BB" w:rsidRDefault="007335C8" w:rsidP="0065184D">
      <w:pPr>
        <w:tabs>
          <w:tab w:val="left" w:pos="360"/>
          <w:tab w:val="left" w:pos="709"/>
        </w:tabs>
        <w:ind w:firstLine="709"/>
        <w:rPr>
          <w:szCs w:val="26"/>
          <w:lang w:val="vi-VN"/>
        </w:rPr>
      </w:pPr>
      <w:r w:rsidRPr="008E63BB">
        <w:rPr>
          <w:szCs w:val="26"/>
          <w:lang w:val="vi-VN"/>
        </w:rPr>
        <w:t>- Khu vực xây mới: Sử dụng hệ thống thoát nước riêng hoàn toàn. Chế độ hoạt động tự chảy kết hợp bơm động lực.</w:t>
      </w:r>
    </w:p>
    <w:p w14:paraId="519B3926" w14:textId="77777777" w:rsidR="003C017D" w:rsidRPr="008E63BB" w:rsidRDefault="007335C8" w:rsidP="003C017D">
      <w:pPr>
        <w:pStyle w:val="BodyText"/>
        <w:widowControl w:val="0"/>
        <w:tabs>
          <w:tab w:val="left" w:pos="900"/>
        </w:tabs>
        <w:spacing w:after="0"/>
        <w:ind w:firstLine="709"/>
        <w:rPr>
          <w:bCs/>
          <w:iCs/>
          <w:lang w:val="en-US"/>
        </w:rPr>
      </w:pPr>
      <w:r w:rsidRPr="008E63BB">
        <w:rPr>
          <w:bCs/>
          <w:iCs/>
        </w:rPr>
        <w:t xml:space="preserve">- Kết cấu hệ thống là cống BTCT, mương xây nắp đan, mương xây hở tuỳ theo đặc điểm của từng  khu vực. </w:t>
      </w:r>
      <w:r w:rsidR="003C017D" w:rsidRPr="008E63BB">
        <w:rPr>
          <w:bCs/>
          <w:iCs/>
          <w:lang w:val="en-US"/>
        </w:rPr>
        <w:t>Kích thước hệ thống cống tròn BTCT D600÷D2500, cống hộp BTCT, mương nắp đan: BxH=0.6x0.6÷3.0x2.0.</w:t>
      </w:r>
    </w:p>
    <w:p w14:paraId="519B3927" w14:textId="77777777" w:rsidR="00115079" w:rsidRPr="008E63BB" w:rsidRDefault="00115079" w:rsidP="00115079">
      <w:pPr>
        <w:pStyle w:val="BodyText"/>
        <w:widowControl w:val="0"/>
        <w:tabs>
          <w:tab w:val="left" w:pos="900"/>
        </w:tabs>
        <w:spacing w:after="0"/>
        <w:ind w:firstLine="709"/>
        <w:rPr>
          <w:bCs/>
          <w:iCs/>
          <w:spacing w:val="-4"/>
        </w:rPr>
      </w:pPr>
      <w:r w:rsidRPr="008E63BB">
        <w:rPr>
          <w:bCs/>
          <w:iCs/>
          <w:spacing w:val="-4"/>
        </w:rPr>
        <w:t>- Trong hàng lang cây xanh cách ly các khu, cụm công nghiệp bố trí mương hở thoát nước mưa cho khu, cụm công nghiệp, đấu nối liên thông với kênh tiêu nước mưa hiện có.</w:t>
      </w:r>
    </w:p>
    <w:p w14:paraId="519B3928" w14:textId="77777777" w:rsidR="00115079" w:rsidRPr="008E63BB" w:rsidRDefault="00115079" w:rsidP="00115079">
      <w:pPr>
        <w:pStyle w:val="BodyText"/>
        <w:widowControl w:val="0"/>
        <w:tabs>
          <w:tab w:val="left" w:pos="900"/>
        </w:tabs>
        <w:spacing w:after="0"/>
        <w:ind w:firstLine="709"/>
        <w:rPr>
          <w:bCs/>
          <w:iCs/>
        </w:rPr>
      </w:pPr>
      <w:r w:rsidRPr="008E63BB">
        <w:rPr>
          <w:bCs/>
          <w:iCs/>
        </w:rPr>
        <w:t xml:space="preserve">- Khi phát triển xây dựng phải hoàn trả các tuyến kênh tiêu tránh làm tắc nghẽn dòng chảy. </w:t>
      </w:r>
    </w:p>
    <w:p w14:paraId="519B3929" w14:textId="77777777" w:rsidR="007335C8" w:rsidRPr="008E63BB" w:rsidRDefault="007335C8" w:rsidP="0065184D">
      <w:pPr>
        <w:ind w:firstLine="720"/>
        <w:rPr>
          <w:szCs w:val="26"/>
          <w:lang w:val="pt-BR"/>
        </w:rPr>
      </w:pPr>
      <w:r w:rsidRPr="008E63BB">
        <w:rPr>
          <w:szCs w:val="26"/>
          <w:lang w:val="pt-BR"/>
        </w:rPr>
        <w:t>- Chỉ tiêu bố trí giếng kiểm tra:</w:t>
      </w:r>
    </w:p>
    <w:p w14:paraId="519B392A" w14:textId="77777777" w:rsidR="007335C8" w:rsidRPr="008E63BB" w:rsidRDefault="007335C8" w:rsidP="0065184D">
      <w:pPr>
        <w:ind w:firstLine="720"/>
        <w:rPr>
          <w:szCs w:val="26"/>
          <w:lang w:val="pt-BR"/>
        </w:rPr>
      </w:pPr>
      <w:r w:rsidRPr="008E63BB">
        <w:rPr>
          <w:szCs w:val="26"/>
          <w:lang w:val="pt-BR"/>
        </w:rPr>
        <w:t>+ Giếng kiểm tra được bố trí tại những  vị trí  đấu nối các tuyến cống.</w:t>
      </w:r>
    </w:p>
    <w:p w14:paraId="519B392B" w14:textId="77777777" w:rsidR="007335C8" w:rsidRPr="008E63BB" w:rsidRDefault="007335C8" w:rsidP="0065184D">
      <w:pPr>
        <w:ind w:firstLine="720"/>
        <w:rPr>
          <w:szCs w:val="26"/>
          <w:lang w:val="pt-BR"/>
        </w:rPr>
      </w:pPr>
      <w:r w:rsidRPr="008E63BB">
        <w:rPr>
          <w:szCs w:val="26"/>
          <w:lang w:val="pt-BR"/>
        </w:rPr>
        <w:t>+ Những vị trí chỗ thay đổi hình thức kết cấu cống và vị trí thay đổi kích thước đường kính cống.</w:t>
      </w:r>
    </w:p>
    <w:p w14:paraId="519B392C" w14:textId="77777777" w:rsidR="007335C8" w:rsidRPr="008E63BB" w:rsidRDefault="007335C8" w:rsidP="0065184D">
      <w:pPr>
        <w:ind w:firstLine="720"/>
        <w:rPr>
          <w:szCs w:val="26"/>
          <w:lang w:val="pt-BR"/>
        </w:rPr>
      </w:pPr>
      <w:r w:rsidRPr="008E63BB">
        <w:rPr>
          <w:szCs w:val="26"/>
          <w:lang w:val="pt-BR"/>
        </w:rPr>
        <w:t>+ Những vị trí đổi chiều dòng chảy.</w:t>
      </w:r>
    </w:p>
    <w:p w14:paraId="519B392D" w14:textId="77777777" w:rsidR="007335C8" w:rsidRPr="008E63BB" w:rsidRDefault="007335C8" w:rsidP="0065184D">
      <w:pPr>
        <w:ind w:firstLine="720"/>
        <w:rPr>
          <w:szCs w:val="26"/>
          <w:lang w:val="pt-BR"/>
        </w:rPr>
      </w:pPr>
      <w:r w:rsidRPr="008E63BB">
        <w:rPr>
          <w:szCs w:val="26"/>
          <w:lang w:val="pt-BR"/>
        </w:rPr>
        <w:t>+ Khoảng cách trung bình của các giếng kỹ thuật từ 40÷60m.</w:t>
      </w:r>
    </w:p>
    <w:p w14:paraId="519B392E" w14:textId="77777777" w:rsidR="007335C8" w:rsidRPr="008E63BB" w:rsidRDefault="007335C8" w:rsidP="0065184D">
      <w:pPr>
        <w:ind w:firstLine="720"/>
        <w:rPr>
          <w:szCs w:val="26"/>
          <w:lang w:val="pt-BR"/>
        </w:rPr>
      </w:pPr>
      <w:r w:rsidRPr="008E63BB">
        <w:rPr>
          <w:szCs w:val="26"/>
          <w:lang w:val="pt-BR"/>
        </w:rPr>
        <w:t>-  Độ sâu chôn cống được khống chế :</w:t>
      </w:r>
    </w:p>
    <w:p w14:paraId="519B392F" w14:textId="77777777" w:rsidR="007335C8" w:rsidRPr="008E63BB" w:rsidRDefault="007335C8" w:rsidP="0065184D">
      <w:pPr>
        <w:ind w:firstLine="720"/>
        <w:rPr>
          <w:szCs w:val="26"/>
          <w:lang w:val="pt-BR"/>
        </w:rPr>
      </w:pPr>
      <w:r w:rsidRPr="008E63BB">
        <w:rPr>
          <w:szCs w:val="26"/>
          <w:lang w:val="pt-BR"/>
        </w:rPr>
        <w:t xml:space="preserve">+  Cống đi dưới lòng đường : 0,7m. </w:t>
      </w:r>
    </w:p>
    <w:p w14:paraId="519B3930" w14:textId="77777777" w:rsidR="007335C8" w:rsidRPr="008E63BB" w:rsidRDefault="007335C8" w:rsidP="0065184D">
      <w:pPr>
        <w:ind w:firstLine="720"/>
        <w:rPr>
          <w:szCs w:val="26"/>
          <w:lang w:val="pt-BR"/>
        </w:rPr>
      </w:pPr>
      <w:r w:rsidRPr="008E63BB">
        <w:rPr>
          <w:szCs w:val="26"/>
          <w:lang w:val="pt-BR"/>
        </w:rPr>
        <w:t>+  Cống đi trên vỉa hè và khu cây xanh : 0,5m.</w:t>
      </w:r>
    </w:p>
    <w:p w14:paraId="519B3931" w14:textId="77777777" w:rsidR="007335C8" w:rsidRPr="008E63BB" w:rsidRDefault="007335C8" w:rsidP="0065184D">
      <w:pPr>
        <w:ind w:firstLine="720"/>
        <w:rPr>
          <w:szCs w:val="26"/>
          <w:lang w:val="pt-BR"/>
        </w:rPr>
      </w:pPr>
      <w:r w:rsidRPr="008E63BB">
        <w:rPr>
          <w:szCs w:val="26"/>
          <w:lang w:val="pt-BR"/>
        </w:rPr>
        <w:t xml:space="preserve">- Độ dốc thuỷ lực khống chế tối thiểu: </w:t>
      </w:r>
    </w:p>
    <w:p w14:paraId="519B3932" w14:textId="77777777" w:rsidR="007335C8" w:rsidRPr="008E63BB" w:rsidRDefault="007335C8" w:rsidP="0065184D">
      <w:pPr>
        <w:ind w:firstLine="720"/>
        <w:rPr>
          <w:szCs w:val="26"/>
          <w:lang w:val="pt-BR"/>
        </w:rPr>
      </w:pPr>
      <w:r w:rsidRPr="008E63BB">
        <w:rPr>
          <w:szCs w:val="26"/>
          <w:lang w:val="pt-BR"/>
        </w:rPr>
        <w:t xml:space="preserve">+ I </w:t>
      </w:r>
      <w:r w:rsidRPr="008E63BB">
        <w:rPr>
          <w:szCs w:val="26"/>
          <w:vertAlign w:val="subscript"/>
          <w:lang w:val="pt-BR"/>
        </w:rPr>
        <w:t>thủy lực min</w:t>
      </w:r>
      <w:r w:rsidRPr="008E63BB">
        <w:rPr>
          <w:szCs w:val="26"/>
          <w:lang w:val="pt-BR"/>
        </w:rPr>
        <w:sym w:font="Symbol" w:char="00B3"/>
      </w:r>
      <w:r w:rsidRPr="008E63BB">
        <w:rPr>
          <w:szCs w:val="26"/>
          <w:lang w:val="pt-BR"/>
        </w:rPr>
        <w:t xml:space="preserve"> 1/D (D: đường kính cống).</w:t>
      </w:r>
    </w:p>
    <w:p w14:paraId="519B3933" w14:textId="77777777" w:rsidR="007335C8" w:rsidRPr="008E63BB" w:rsidRDefault="009A0D90" w:rsidP="0065184D">
      <w:pPr>
        <w:jc w:val="center"/>
        <w:rPr>
          <w:rFonts w:eastAsia="Times New Roman"/>
          <w:szCs w:val="26"/>
        </w:rPr>
      </w:pPr>
      <w:r w:rsidRPr="008E63BB">
        <w:rPr>
          <w:rFonts w:eastAsia="Times New Roman"/>
          <w:noProof/>
          <w:szCs w:val="26"/>
          <w:lang w:eastAsia="zh-CN"/>
        </w:rPr>
        <w:lastRenderedPageBreak/>
        <w:drawing>
          <wp:inline distT="0" distB="0" distL="0" distR="0" wp14:anchorId="519B529B" wp14:editId="519B529C">
            <wp:extent cx="5548508" cy="4119854"/>
            <wp:effectExtent l="19050" t="0" r="0" b="0"/>
            <wp:docPr id="7179" name="Picture 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111.jpg"/>
                    <pic:cNvPicPr>
                      <a:picLocks noChangeAspect="1"/>
                    </pic:cNvPicPr>
                  </pic:nvPicPr>
                  <pic:blipFill>
                    <a:blip r:embed="rId143" cstate="screen">
                      <a:extLst>
                        <a:ext uri="{28A0092B-C50C-407E-A947-70E740481C1C}">
                          <a14:useLocalDpi xmlns:a14="http://schemas.microsoft.com/office/drawing/2010/main"/>
                        </a:ext>
                      </a:extLst>
                    </a:blip>
                    <a:srcRect/>
                    <a:stretch>
                      <a:fillRect/>
                    </a:stretch>
                  </pic:blipFill>
                  <pic:spPr>
                    <a:xfrm>
                      <a:off x="0" y="0"/>
                      <a:ext cx="5552680" cy="4122951"/>
                    </a:xfrm>
                    <a:prstGeom prst="rect">
                      <a:avLst/>
                    </a:prstGeom>
                  </pic:spPr>
                </pic:pic>
              </a:graphicData>
            </a:graphic>
          </wp:inline>
        </w:drawing>
      </w:r>
    </w:p>
    <w:p w14:paraId="519B3934" w14:textId="77777777" w:rsidR="007335C8" w:rsidRPr="008E63BB" w:rsidRDefault="007335C8" w:rsidP="0065184D">
      <w:pPr>
        <w:jc w:val="center"/>
        <w:rPr>
          <w:i/>
          <w:lang w:val="pt-BR"/>
        </w:rPr>
      </w:pPr>
      <w:r w:rsidRPr="008E63BB">
        <w:rPr>
          <w:i/>
          <w:lang w:val="pt-BR"/>
        </w:rPr>
        <w:t>Sơ đồ định hướng hệ thống thoát nước mưa</w:t>
      </w:r>
    </w:p>
    <w:p w14:paraId="519B3935" w14:textId="77777777" w:rsidR="007335C8" w:rsidRPr="008E63BB" w:rsidRDefault="007335C8" w:rsidP="0065184D">
      <w:pPr>
        <w:rPr>
          <w:i/>
          <w:szCs w:val="26"/>
          <w:lang w:val="it-IT"/>
        </w:rPr>
      </w:pPr>
      <w:r w:rsidRPr="008E63BB">
        <w:rPr>
          <w:i/>
          <w:szCs w:val="26"/>
          <w:lang w:val="it-IT"/>
        </w:rPr>
        <w:t>e. Hệ thống hồ điều tiết nước mưa:</w:t>
      </w:r>
    </w:p>
    <w:p w14:paraId="519B3936" w14:textId="77777777" w:rsidR="00102B98" w:rsidRPr="008E63BB" w:rsidRDefault="00102B98" w:rsidP="00102B98">
      <w:pPr>
        <w:ind w:firstLine="720"/>
        <w:rPr>
          <w:szCs w:val="26"/>
          <w:lang w:val="it-IT"/>
        </w:rPr>
      </w:pPr>
      <w:r w:rsidRPr="008E63BB">
        <w:rPr>
          <w:szCs w:val="26"/>
          <w:lang w:val="vi-VN"/>
        </w:rPr>
        <w:t>- Tận dụng hệ thống hồ, kênh mương trong các đô thị để điều hòa nước mưa và giảm chiều sâu chôn cống trước khi thoát ra các sông thoát nước chính cho đô thị.</w:t>
      </w:r>
      <w:r w:rsidRPr="008E63BB">
        <w:rPr>
          <w:szCs w:val="26"/>
          <w:lang w:val="it-IT"/>
        </w:rPr>
        <w:t xml:space="preserve"> Đồng thời các hồ điều hòa tạo cảnh quan cho đô thị, cải thiện vi khí hậu.</w:t>
      </w:r>
    </w:p>
    <w:p w14:paraId="519B3937" w14:textId="77777777" w:rsidR="00102B98" w:rsidRPr="008E63BB" w:rsidRDefault="00102B98" w:rsidP="00102B98">
      <w:pPr>
        <w:ind w:firstLine="720"/>
        <w:rPr>
          <w:szCs w:val="26"/>
          <w:lang w:val="it-IT"/>
        </w:rPr>
      </w:pPr>
      <w:r w:rsidRPr="008E63BB">
        <w:rPr>
          <w:szCs w:val="26"/>
          <w:lang w:val="it-IT"/>
        </w:rPr>
        <w:t xml:space="preserve"> - Đấu nối liên thông hồ điều hòa, tuyến cống, kênh tiêu, trạm bơm tiêu.</w:t>
      </w:r>
    </w:p>
    <w:p w14:paraId="519B3938" w14:textId="77777777" w:rsidR="00102B98" w:rsidRPr="008E63BB" w:rsidRDefault="00102B98" w:rsidP="00102B98">
      <w:pPr>
        <w:ind w:firstLine="720"/>
        <w:rPr>
          <w:szCs w:val="26"/>
          <w:lang w:val="it-IT"/>
        </w:rPr>
      </w:pPr>
      <w:r w:rsidRPr="008E63BB">
        <w:rPr>
          <w:szCs w:val="26"/>
          <w:lang w:val="it-IT"/>
        </w:rPr>
        <w:t xml:space="preserve"> - Nạo vét ao hồ hiện có, kè gia cố bờ.</w:t>
      </w:r>
    </w:p>
    <w:p w14:paraId="519B3939" w14:textId="77777777" w:rsidR="00102B98" w:rsidRPr="008E63BB" w:rsidRDefault="00102B98" w:rsidP="00102B98">
      <w:pPr>
        <w:ind w:firstLine="720"/>
        <w:rPr>
          <w:szCs w:val="26"/>
          <w:lang w:val="it-IT"/>
        </w:rPr>
      </w:pPr>
      <w:r w:rsidRPr="008E63BB">
        <w:rPr>
          <w:szCs w:val="26"/>
          <w:lang w:val="it-IT"/>
        </w:rPr>
        <w:t>- Xây dựng mới 11 hồ điều tiết với diện tích khoảng 95ha tại vị trí thấp trũng. H</w:t>
      </w:r>
      <w:r w:rsidRPr="008E63BB">
        <w:rPr>
          <w:szCs w:val="26"/>
          <w:vertAlign w:val="subscript"/>
          <w:lang w:val="it-IT"/>
        </w:rPr>
        <w:t xml:space="preserve">điều tiết </w:t>
      </w:r>
      <w:r w:rsidRPr="008E63BB">
        <w:rPr>
          <w:szCs w:val="26"/>
          <w:lang w:val="it-IT"/>
        </w:rPr>
        <w:t>=1.5÷2m.</w:t>
      </w:r>
    </w:p>
    <w:p w14:paraId="519B393A" w14:textId="77777777" w:rsidR="00102B98" w:rsidRPr="008E63BB" w:rsidRDefault="00102B98" w:rsidP="00102B98">
      <w:pPr>
        <w:ind w:firstLine="720"/>
        <w:rPr>
          <w:szCs w:val="26"/>
          <w:lang w:val="it-IT"/>
        </w:rPr>
      </w:pPr>
      <w:r w:rsidRPr="008E63BB">
        <w:rPr>
          <w:szCs w:val="26"/>
          <w:lang w:val="it-IT"/>
        </w:rPr>
        <w:t>- Lưu vực trạm bơm Kênh Gia xây mới hồ điều hòa khoảng 1ha trước trạm bơm Kênh Gia.</w:t>
      </w:r>
    </w:p>
    <w:p w14:paraId="519B393B" w14:textId="77777777" w:rsidR="00102B98" w:rsidRPr="008E63BB" w:rsidRDefault="00102B98" w:rsidP="00102B98">
      <w:pPr>
        <w:ind w:firstLine="720"/>
        <w:rPr>
          <w:szCs w:val="26"/>
          <w:lang w:val="it-IT"/>
        </w:rPr>
      </w:pPr>
      <w:r w:rsidRPr="008E63BB">
        <w:rPr>
          <w:szCs w:val="26"/>
          <w:lang w:val="it-IT"/>
        </w:rPr>
        <w:t>- Lưu vực trạm bơm Cốc Thành xây mới 6 hồ điều hòa diện tích khoảng 55ha.</w:t>
      </w:r>
    </w:p>
    <w:p w14:paraId="519B393C" w14:textId="77777777" w:rsidR="00627481" w:rsidRPr="008E63BB" w:rsidRDefault="00102B98" w:rsidP="00102B98">
      <w:pPr>
        <w:ind w:firstLine="720"/>
        <w:rPr>
          <w:szCs w:val="26"/>
          <w:lang w:val="it-IT"/>
        </w:rPr>
      </w:pPr>
      <w:r w:rsidRPr="008E63BB">
        <w:rPr>
          <w:szCs w:val="26"/>
          <w:lang w:val="it-IT"/>
        </w:rPr>
        <w:t>- Lưu vực trạm bơm An Lá xây mới 4 hồ điều hòa diện tích khoảng 31ha</w:t>
      </w:r>
      <w:r w:rsidR="00627481" w:rsidRPr="008E63BB">
        <w:rPr>
          <w:szCs w:val="26"/>
          <w:lang w:val="it-IT"/>
        </w:rPr>
        <w:t>.</w:t>
      </w:r>
    </w:p>
    <w:p w14:paraId="519B393D" w14:textId="77777777" w:rsidR="007335C8" w:rsidRPr="008E63BB" w:rsidRDefault="007335C8" w:rsidP="00F06125">
      <w:pPr>
        <w:numPr>
          <w:ilvl w:val="0"/>
          <w:numId w:val="28"/>
        </w:numPr>
        <w:tabs>
          <w:tab w:val="left" w:pos="142"/>
        </w:tabs>
        <w:ind w:left="0" w:firstLine="0"/>
        <w:rPr>
          <w:i/>
          <w:szCs w:val="26"/>
          <w:lang w:val="pt-BR"/>
        </w:rPr>
      </w:pPr>
      <w:r w:rsidRPr="008E63BB">
        <w:rPr>
          <w:i/>
          <w:szCs w:val="26"/>
          <w:lang w:val="pt-BR"/>
        </w:rPr>
        <w:t>Tính toán thuỷ lực hệ thống thoát nước mưa:</w:t>
      </w:r>
    </w:p>
    <w:p w14:paraId="519B393E" w14:textId="77777777" w:rsidR="007335C8" w:rsidRPr="008E63BB" w:rsidRDefault="007335C8" w:rsidP="0065184D">
      <w:pPr>
        <w:ind w:firstLine="720"/>
        <w:rPr>
          <w:szCs w:val="26"/>
          <w:lang w:val="pt-BR"/>
        </w:rPr>
      </w:pPr>
      <w:r w:rsidRPr="008E63BB">
        <w:rPr>
          <w:szCs w:val="26"/>
          <w:lang w:val="pt-BR"/>
        </w:rPr>
        <w:t>Tính toán thủy lực hệ thống thoát nước theo quy phạm được thực hiện theo phương pháp cường độ mưa giới hạn (TCVN 7957: 2008)</w:t>
      </w:r>
    </w:p>
    <w:p w14:paraId="519B393F" w14:textId="77777777" w:rsidR="007335C8" w:rsidRPr="008E63BB" w:rsidRDefault="007335C8" w:rsidP="00F06125">
      <w:pPr>
        <w:numPr>
          <w:ilvl w:val="0"/>
          <w:numId w:val="29"/>
        </w:numPr>
        <w:tabs>
          <w:tab w:val="num" w:pos="0"/>
          <w:tab w:val="num" w:pos="284"/>
        </w:tabs>
        <w:rPr>
          <w:bCs/>
          <w:iCs/>
          <w:szCs w:val="26"/>
          <w:lang w:val="pt-BR"/>
        </w:rPr>
      </w:pPr>
      <w:r w:rsidRPr="008E63BB">
        <w:rPr>
          <w:bCs/>
          <w:iCs/>
          <w:szCs w:val="26"/>
          <w:lang w:val="pt-BR"/>
        </w:rPr>
        <w:t>Lưu lượng tính toán thoát nước mưa của tuyến cống (l/s) được xác định theo công thức sau:</w:t>
      </w:r>
    </w:p>
    <w:p w14:paraId="519B3940" w14:textId="77777777" w:rsidR="007335C8" w:rsidRPr="008E63BB" w:rsidRDefault="007335C8" w:rsidP="0065184D">
      <w:pPr>
        <w:pStyle w:val="BodyText"/>
        <w:spacing w:after="0"/>
        <w:ind w:firstLine="720"/>
        <w:jc w:val="center"/>
        <w:rPr>
          <w:bCs/>
          <w:iCs/>
          <w:szCs w:val="26"/>
        </w:rPr>
      </w:pPr>
      <w:r w:rsidRPr="008E63BB">
        <w:rPr>
          <w:bCs/>
          <w:iCs/>
          <w:szCs w:val="26"/>
        </w:rPr>
        <w:t>Q=  q.C.F    (l/s)</w:t>
      </w:r>
    </w:p>
    <w:p w14:paraId="519B3941" w14:textId="77777777" w:rsidR="007335C8" w:rsidRPr="008E63BB" w:rsidRDefault="007335C8" w:rsidP="0065184D">
      <w:pPr>
        <w:tabs>
          <w:tab w:val="num" w:pos="284"/>
        </w:tabs>
        <w:ind w:left="720"/>
        <w:rPr>
          <w:bCs/>
          <w:iCs/>
          <w:szCs w:val="26"/>
        </w:rPr>
      </w:pPr>
      <w:r w:rsidRPr="008E63BB">
        <w:rPr>
          <w:bCs/>
          <w:iCs/>
          <w:szCs w:val="26"/>
        </w:rPr>
        <w:tab/>
        <w:t xml:space="preserve">Trong đó: </w:t>
      </w:r>
    </w:p>
    <w:p w14:paraId="519B3942" w14:textId="77777777" w:rsidR="007335C8" w:rsidRPr="008E63BB" w:rsidRDefault="007335C8" w:rsidP="00F06125">
      <w:pPr>
        <w:numPr>
          <w:ilvl w:val="0"/>
          <w:numId w:val="30"/>
        </w:numPr>
        <w:tabs>
          <w:tab w:val="num" w:pos="0"/>
        </w:tabs>
        <w:ind w:hanging="357"/>
        <w:rPr>
          <w:szCs w:val="26"/>
        </w:rPr>
      </w:pPr>
      <w:r w:rsidRPr="008E63BB">
        <w:rPr>
          <w:szCs w:val="26"/>
        </w:rPr>
        <w:t>F: Diện tích lưu vực tính toán (ha);</w:t>
      </w:r>
    </w:p>
    <w:p w14:paraId="519B3943" w14:textId="77777777" w:rsidR="007335C8" w:rsidRPr="008E63BB" w:rsidRDefault="007335C8" w:rsidP="00F06125">
      <w:pPr>
        <w:numPr>
          <w:ilvl w:val="0"/>
          <w:numId w:val="30"/>
        </w:numPr>
        <w:tabs>
          <w:tab w:val="num" w:pos="0"/>
        </w:tabs>
        <w:ind w:hanging="357"/>
        <w:rPr>
          <w:szCs w:val="26"/>
        </w:rPr>
      </w:pPr>
      <w:r w:rsidRPr="008E63BB">
        <w:rPr>
          <w:szCs w:val="26"/>
        </w:rPr>
        <w:t xml:space="preserve">q:  Cường độ mưa tính toán (l/s.ha) </w:t>
      </w:r>
    </w:p>
    <w:p w14:paraId="519B3944" w14:textId="77777777" w:rsidR="007335C8" w:rsidRPr="008E63BB" w:rsidRDefault="007335C8" w:rsidP="00F06125">
      <w:pPr>
        <w:numPr>
          <w:ilvl w:val="0"/>
          <w:numId w:val="30"/>
        </w:numPr>
        <w:tabs>
          <w:tab w:val="num" w:pos="0"/>
        </w:tabs>
        <w:ind w:hanging="357"/>
        <w:rPr>
          <w:szCs w:val="26"/>
        </w:rPr>
      </w:pPr>
      <w:r w:rsidRPr="008E63BB">
        <w:rPr>
          <w:szCs w:val="26"/>
        </w:rPr>
        <w:t>C: Hệ số dòng chảy _ phụ thuộc vào loại mặt phủ và chu kỳ lặp lại trận mưa tính toán P</w:t>
      </w:r>
    </w:p>
    <w:p w14:paraId="519B3945" w14:textId="77777777" w:rsidR="007335C8" w:rsidRPr="008E63BB" w:rsidRDefault="007335C8" w:rsidP="00F06125">
      <w:pPr>
        <w:numPr>
          <w:ilvl w:val="0"/>
          <w:numId w:val="29"/>
        </w:numPr>
        <w:tabs>
          <w:tab w:val="num" w:pos="0"/>
          <w:tab w:val="num" w:pos="284"/>
        </w:tabs>
        <w:rPr>
          <w:bCs/>
          <w:iCs/>
          <w:szCs w:val="26"/>
        </w:rPr>
      </w:pPr>
      <w:r w:rsidRPr="008E63BB">
        <w:rPr>
          <w:bCs/>
          <w:iCs/>
          <w:szCs w:val="26"/>
        </w:rPr>
        <w:lastRenderedPageBreak/>
        <w:t xml:space="preserve">Cường độ mưa tính toán được xác định theo công thức: </w:t>
      </w:r>
    </w:p>
    <w:p w14:paraId="519B3946" w14:textId="77777777" w:rsidR="009A0D90" w:rsidRPr="008E63BB" w:rsidRDefault="009A0D90" w:rsidP="0065184D">
      <w:pPr>
        <w:ind w:left="360"/>
        <w:jc w:val="center"/>
        <w:rPr>
          <w:bCs/>
          <w:iCs/>
          <w:szCs w:val="26"/>
        </w:rPr>
      </w:pPr>
      <w:r w:rsidRPr="008E63BB">
        <w:rPr>
          <w:noProof/>
          <w:position w:val="-28"/>
          <w:szCs w:val="26"/>
          <w:lang w:eastAsia="zh-CN"/>
        </w:rPr>
        <w:drawing>
          <wp:inline distT="0" distB="0" distL="0" distR="0" wp14:anchorId="519B529D" wp14:editId="519B529E">
            <wp:extent cx="1200150" cy="485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1200150" cy="485775"/>
                    </a:xfrm>
                    <a:prstGeom prst="rect">
                      <a:avLst/>
                    </a:prstGeom>
                    <a:noFill/>
                    <a:ln>
                      <a:noFill/>
                    </a:ln>
                  </pic:spPr>
                </pic:pic>
              </a:graphicData>
            </a:graphic>
          </wp:inline>
        </w:drawing>
      </w:r>
    </w:p>
    <w:p w14:paraId="519B3947" w14:textId="77777777" w:rsidR="007335C8" w:rsidRPr="008E63BB" w:rsidRDefault="007335C8" w:rsidP="0065184D">
      <w:pPr>
        <w:tabs>
          <w:tab w:val="left" w:pos="426"/>
          <w:tab w:val="left" w:pos="680"/>
          <w:tab w:val="left" w:pos="993"/>
        </w:tabs>
        <w:ind w:firstLine="709"/>
        <w:rPr>
          <w:szCs w:val="26"/>
        </w:rPr>
      </w:pPr>
      <w:r w:rsidRPr="008E63BB">
        <w:rPr>
          <w:noProof/>
          <w:position w:val="-28"/>
          <w:szCs w:val="26"/>
        </w:rPr>
        <w:tab/>
      </w:r>
    </w:p>
    <w:p w14:paraId="519B3948" w14:textId="77777777" w:rsidR="007335C8" w:rsidRPr="008E63BB" w:rsidRDefault="007335C8" w:rsidP="0065184D">
      <w:pPr>
        <w:tabs>
          <w:tab w:val="num" w:pos="284"/>
        </w:tabs>
        <w:ind w:left="720"/>
        <w:rPr>
          <w:bCs/>
          <w:iCs/>
          <w:szCs w:val="26"/>
          <w:lang w:val="pt-BR"/>
        </w:rPr>
      </w:pPr>
      <w:r w:rsidRPr="008E63BB">
        <w:rPr>
          <w:bCs/>
          <w:iCs/>
          <w:szCs w:val="26"/>
          <w:lang w:val="pt-BR"/>
        </w:rPr>
        <w:t xml:space="preserve">Trong đó : </w:t>
      </w:r>
    </w:p>
    <w:p w14:paraId="519B3949"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A, C, b, n: Tham số xác định theo điều kiện mưa của địa phương. Đối với tỉnh Nam Định, các hệ số được xác định là: A = 4320, C = 0,55, b = 19, n = 0,79.</w:t>
      </w:r>
    </w:p>
    <w:p w14:paraId="519B394A"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t: thời gian tập trung dòng chảy (phút)</w:t>
      </w:r>
    </w:p>
    <w:p w14:paraId="519B394B"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P: Chu kỳ lặp lại trận mưa tính toán (năm).</w:t>
      </w:r>
    </w:p>
    <w:p w14:paraId="519B394C" w14:textId="77777777" w:rsidR="007335C8" w:rsidRPr="008E63BB" w:rsidRDefault="007335C8" w:rsidP="00F06125">
      <w:pPr>
        <w:numPr>
          <w:ilvl w:val="0"/>
          <w:numId w:val="29"/>
        </w:numPr>
        <w:tabs>
          <w:tab w:val="num" w:pos="0"/>
          <w:tab w:val="num" w:pos="284"/>
        </w:tabs>
        <w:rPr>
          <w:bCs/>
          <w:iCs/>
          <w:szCs w:val="26"/>
          <w:lang w:val="pt-BR"/>
        </w:rPr>
      </w:pPr>
      <w:r w:rsidRPr="008E63BB">
        <w:rPr>
          <w:bCs/>
          <w:iCs/>
          <w:szCs w:val="26"/>
          <w:lang w:val="pt-BR"/>
        </w:rPr>
        <w:t xml:space="preserve">Tính toán thuỷ lực mạng lưới thoát nước mưa: </w:t>
      </w:r>
    </w:p>
    <w:p w14:paraId="519B394D" w14:textId="77777777" w:rsidR="007335C8" w:rsidRPr="008E63BB" w:rsidRDefault="007335C8" w:rsidP="00F06125">
      <w:pPr>
        <w:numPr>
          <w:ilvl w:val="0"/>
          <w:numId w:val="29"/>
        </w:numPr>
        <w:tabs>
          <w:tab w:val="num" w:pos="0"/>
          <w:tab w:val="num" w:pos="284"/>
        </w:tabs>
        <w:rPr>
          <w:bCs/>
          <w:iCs/>
          <w:szCs w:val="26"/>
          <w:lang w:val="pt-BR"/>
        </w:rPr>
      </w:pPr>
      <w:r w:rsidRPr="008E63BB">
        <w:rPr>
          <w:bCs/>
          <w:iCs/>
          <w:szCs w:val="26"/>
          <w:lang w:val="pt-BR"/>
        </w:rPr>
        <w:t>Dựa vào lưu lượng thiết kế đã xác định được, tính toán thuỷ lực nhằm mục đích xác định khẩu độ của từng đoạn ống và các thông số khác như: tốc độ dòng chảy, chiều cao nước chảy trong cống, độ sâu chôn cống, …</w:t>
      </w:r>
    </w:p>
    <w:p w14:paraId="519B394E" w14:textId="77777777" w:rsidR="007335C8" w:rsidRPr="008E63BB" w:rsidRDefault="007335C8" w:rsidP="00F06125">
      <w:pPr>
        <w:numPr>
          <w:ilvl w:val="0"/>
          <w:numId w:val="29"/>
        </w:numPr>
        <w:tabs>
          <w:tab w:val="num" w:pos="0"/>
          <w:tab w:val="num" w:pos="284"/>
        </w:tabs>
        <w:rPr>
          <w:bCs/>
          <w:iCs/>
          <w:szCs w:val="26"/>
          <w:lang w:val="pt-BR"/>
        </w:rPr>
      </w:pPr>
      <w:r w:rsidRPr="008E63BB">
        <w:rPr>
          <w:bCs/>
          <w:iCs/>
          <w:szCs w:val="26"/>
          <w:lang w:val="pt-BR"/>
        </w:rPr>
        <w:t>Sử dụng công thức Manning để tính toán thuỷ lực:</w:t>
      </w:r>
    </w:p>
    <w:p w14:paraId="519B394F" w14:textId="77777777" w:rsidR="007335C8" w:rsidRPr="008E63BB" w:rsidRDefault="007335C8" w:rsidP="0065184D">
      <w:pPr>
        <w:tabs>
          <w:tab w:val="left" w:pos="426"/>
          <w:tab w:val="left" w:pos="680"/>
          <w:tab w:val="left" w:pos="993"/>
        </w:tabs>
        <w:ind w:firstLine="709"/>
        <w:jc w:val="center"/>
        <w:rPr>
          <w:szCs w:val="26"/>
          <w:lang w:val="pt-BR"/>
        </w:rPr>
      </w:pPr>
      <w:r w:rsidRPr="008E63BB">
        <w:rPr>
          <w:szCs w:val="26"/>
          <w:lang w:val="pt-BR"/>
        </w:rPr>
        <w:t>Q = 1/n x A x R</w:t>
      </w:r>
      <w:r w:rsidRPr="008E63BB">
        <w:rPr>
          <w:szCs w:val="26"/>
          <w:vertAlign w:val="superscript"/>
          <w:lang w:val="pt-BR"/>
        </w:rPr>
        <w:t xml:space="preserve">2/3 </w:t>
      </w:r>
      <w:r w:rsidRPr="008E63BB">
        <w:rPr>
          <w:szCs w:val="26"/>
          <w:lang w:val="pt-BR"/>
        </w:rPr>
        <w:t>x I</w:t>
      </w:r>
      <w:r w:rsidRPr="008E63BB">
        <w:rPr>
          <w:szCs w:val="26"/>
          <w:vertAlign w:val="superscript"/>
          <w:lang w:val="pt-BR"/>
        </w:rPr>
        <w:t>1/2</w:t>
      </w:r>
    </w:p>
    <w:p w14:paraId="519B3950" w14:textId="77777777" w:rsidR="007335C8" w:rsidRPr="008E63BB" w:rsidRDefault="007335C8" w:rsidP="0065184D">
      <w:pPr>
        <w:tabs>
          <w:tab w:val="num" w:pos="284"/>
        </w:tabs>
        <w:ind w:left="720"/>
        <w:rPr>
          <w:bCs/>
          <w:iCs/>
          <w:szCs w:val="26"/>
          <w:lang w:val="pt-BR"/>
        </w:rPr>
      </w:pPr>
      <w:r w:rsidRPr="008E63BB">
        <w:rPr>
          <w:bCs/>
          <w:iCs/>
          <w:szCs w:val="26"/>
          <w:lang w:val="pt-BR"/>
        </w:rPr>
        <w:t>Trong đó:</w:t>
      </w:r>
    </w:p>
    <w:p w14:paraId="519B3951"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Q: Lưu lượng tính toán (m3/s);</w:t>
      </w:r>
    </w:p>
    <w:p w14:paraId="519B3952"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I: Độ dốc thuỷ lực;</w:t>
      </w:r>
    </w:p>
    <w:p w14:paraId="519B3953"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R: Bán kính thủy lực;</w:t>
      </w:r>
    </w:p>
    <w:p w14:paraId="519B3954"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A: Tiết diện cống (m2);</w:t>
      </w:r>
    </w:p>
    <w:p w14:paraId="519B3955" w14:textId="77777777" w:rsidR="007335C8" w:rsidRPr="008E63BB" w:rsidRDefault="007335C8" w:rsidP="00F06125">
      <w:pPr>
        <w:numPr>
          <w:ilvl w:val="0"/>
          <w:numId w:val="30"/>
        </w:numPr>
        <w:tabs>
          <w:tab w:val="num" w:pos="0"/>
        </w:tabs>
        <w:ind w:hanging="357"/>
        <w:rPr>
          <w:szCs w:val="26"/>
          <w:lang w:val="pt-BR"/>
        </w:rPr>
      </w:pPr>
      <w:r w:rsidRPr="008E63BB">
        <w:rPr>
          <w:szCs w:val="26"/>
          <w:lang w:val="pt-BR"/>
        </w:rPr>
        <w:t>N: Hệ số nhám Manning; Đối với cống  BTCT n= 0,013.</w:t>
      </w:r>
    </w:p>
    <w:p w14:paraId="519B3956" w14:textId="77777777" w:rsidR="007335C8" w:rsidRPr="008E63BB" w:rsidRDefault="007335C8" w:rsidP="00F06125">
      <w:pPr>
        <w:numPr>
          <w:ilvl w:val="0"/>
          <w:numId w:val="29"/>
        </w:numPr>
        <w:tabs>
          <w:tab w:val="num" w:pos="0"/>
          <w:tab w:val="num" w:pos="284"/>
        </w:tabs>
        <w:rPr>
          <w:bCs/>
          <w:iCs/>
          <w:szCs w:val="26"/>
          <w:lang w:val="pt-BR"/>
        </w:rPr>
      </w:pPr>
      <w:r w:rsidRPr="008E63BB">
        <w:rPr>
          <w:bCs/>
          <w:iCs/>
          <w:szCs w:val="26"/>
          <w:lang w:val="pt-BR"/>
        </w:rPr>
        <w:t>Chu kỳ lặp lại trận mưa tính toán tuân thủ TCVN 7957-2008: P= 0.5÷0,33 đối với cống nhánh, P=1 đối với cống chính.</w:t>
      </w:r>
    </w:p>
    <w:p w14:paraId="519B3957" w14:textId="77777777" w:rsidR="00E4678E" w:rsidRPr="008E63BB" w:rsidRDefault="007335C8" w:rsidP="0065184D">
      <w:pPr>
        <w:widowControl w:val="0"/>
        <w:ind w:firstLine="709"/>
        <w:rPr>
          <w:bCs/>
          <w:iCs/>
          <w:szCs w:val="26"/>
          <w:lang w:val="pt-BR" w:eastAsia="ja-JP"/>
        </w:rPr>
      </w:pPr>
      <w:r w:rsidRPr="008E63BB">
        <w:rPr>
          <w:bCs/>
          <w:iCs/>
          <w:szCs w:val="26"/>
          <w:lang w:val="pt-BR"/>
        </w:rPr>
        <w:t>Khi xây dựng hệ thống thoát nước nên xây dựng theo từng lưu vực để tránh ngập úng cục bộ</w:t>
      </w:r>
    </w:p>
    <w:p w14:paraId="519B3958" w14:textId="77777777" w:rsidR="00A356C0" w:rsidRPr="008E63BB" w:rsidRDefault="00DE21CF" w:rsidP="0065184D">
      <w:pPr>
        <w:pStyle w:val="Heading2"/>
        <w:spacing w:before="0" w:after="0"/>
        <w:rPr>
          <w:kern w:val="32"/>
          <w:lang w:val="vi-VN"/>
        </w:rPr>
      </w:pPr>
      <w:bookmarkStart w:id="451" w:name="_Toc341519083"/>
      <w:bookmarkStart w:id="452" w:name="_Toc341519184"/>
      <w:bookmarkStart w:id="453" w:name="_Toc344928494"/>
      <w:bookmarkStart w:id="454" w:name="_Toc345538404"/>
      <w:bookmarkStart w:id="455" w:name="_Toc47524722"/>
      <w:r w:rsidRPr="008E63BB">
        <w:rPr>
          <w:kern w:val="32"/>
          <w:lang w:val="pt-BR"/>
        </w:rPr>
        <w:t>6</w:t>
      </w:r>
      <w:r w:rsidR="00A356C0" w:rsidRPr="008E63BB">
        <w:rPr>
          <w:kern w:val="32"/>
          <w:lang w:val="vi-VN"/>
        </w:rPr>
        <w:t>.3. Định hướng cấp nước</w:t>
      </w:r>
      <w:bookmarkEnd w:id="451"/>
      <w:bookmarkEnd w:id="452"/>
      <w:bookmarkEnd w:id="453"/>
      <w:bookmarkEnd w:id="454"/>
      <w:bookmarkEnd w:id="455"/>
    </w:p>
    <w:p w14:paraId="519B3959" w14:textId="77777777" w:rsidR="00244409" w:rsidRPr="008E63BB" w:rsidRDefault="00244409" w:rsidP="0065184D">
      <w:pPr>
        <w:rPr>
          <w:b/>
          <w:bCs/>
          <w:i/>
          <w:iCs/>
          <w:szCs w:val="26"/>
          <w:lang w:val="vi-VN"/>
        </w:rPr>
      </w:pPr>
      <w:bookmarkStart w:id="456" w:name="_Toc126877759"/>
      <w:bookmarkStart w:id="457" w:name="_Toc126877943"/>
      <w:bookmarkStart w:id="458" w:name="_Toc534507678"/>
      <w:bookmarkStart w:id="459" w:name="_Toc167611412"/>
      <w:bookmarkStart w:id="460" w:name="_Toc535007769"/>
      <w:r w:rsidRPr="008E63BB">
        <w:rPr>
          <w:b/>
          <w:bCs/>
          <w:i/>
          <w:iCs/>
          <w:szCs w:val="26"/>
          <w:lang w:val="vi-VN"/>
        </w:rPr>
        <w:t>a. Cơ sở thiết kế:</w:t>
      </w:r>
    </w:p>
    <w:p w14:paraId="519B395A" w14:textId="77777777" w:rsidR="00244409" w:rsidRPr="008E63BB" w:rsidRDefault="00244409" w:rsidP="0065184D">
      <w:pPr>
        <w:ind w:firstLine="720"/>
        <w:rPr>
          <w:szCs w:val="26"/>
          <w:lang w:val="pt-BR"/>
        </w:rPr>
      </w:pPr>
      <w:r w:rsidRPr="008E63BB">
        <w:rPr>
          <w:szCs w:val="26"/>
          <w:lang w:val="pt-BR"/>
        </w:rPr>
        <w:t>- Quy chuẩn xây dựng Việt Nam QCXDVN 01: 2008/BXD “Quy chuẩn kỹ thuật Quốc gia về Quy hoạch Xây dựng”.</w:t>
      </w:r>
    </w:p>
    <w:p w14:paraId="519B395B" w14:textId="77777777" w:rsidR="00244409" w:rsidRPr="008E63BB" w:rsidRDefault="00244409" w:rsidP="0065184D">
      <w:pPr>
        <w:ind w:firstLine="720"/>
        <w:rPr>
          <w:szCs w:val="26"/>
          <w:lang w:val="pt-BR"/>
        </w:rPr>
      </w:pPr>
      <w:r w:rsidRPr="008E63BB">
        <w:rPr>
          <w:szCs w:val="26"/>
          <w:lang w:val="pt-BR"/>
        </w:rPr>
        <w:t>- Quy chuẩn kỹ thuật Quốc gia về chất lượng nước sinh hoạt: QCVN02: 2009/BYT của Bộ Y tế ban hành theo Thông tư số: 05/2009/TT-BYT ngày 17/6/2009.</w:t>
      </w:r>
    </w:p>
    <w:p w14:paraId="519B395C" w14:textId="77777777" w:rsidR="00244409" w:rsidRPr="008E63BB" w:rsidRDefault="00244409" w:rsidP="0065184D">
      <w:pPr>
        <w:ind w:firstLine="720"/>
        <w:rPr>
          <w:szCs w:val="26"/>
          <w:lang w:val="pt-BR"/>
        </w:rPr>
      </w:pPr>
      <w:r w:rsidRPr="008E63BB">
        <w:rPr>
          <w:szCs w:val="26"/>
          <w:lang w:val="pt-BR"/>
        </w:rPr>
        <w:t>- Tiêu chuẩn xây dựng Việt Nam TCXDVN 33:2006 “Cấp nước- Mạng lưới đường ống và công trình tiêu chuẩn thiết kế”</w:t>
      </w:r>
      <w:r w:rsidR="0064784B" w:rsidRPr="008E63BB">
        <w:rPr>
          <w:szCs w:val="26"/>
          <w:lang w:val="pt-BR"/>
        </w:rPr>
        <w:t>;</w:t>
      </w:r>
    </w:p>
    <w:p w14:paraId="519B395D" w14:textId="77777777" w:rsidR="0064784B" w:rsidRPr="008E63BB" w:rsidRDefault="0064784B" w:rsidP="0064784B">
      <w:pPr>
        <w:ind w:firstLine="720"/>
        <w:rPr>
          <w:szCs w:val="26"/>
          <w:lang w:val="pt-BR"/>
        </w:rPr>
      </w:pPr>
      <w:r w:rsidRPr="008E63BB">
        <w:rPr>
          <w:szCs w:val="26"/>
          <w:lang w:val="pt-BR"/>
        </w:rPr>
        <w:t>- Tuân thủ luật tài nguyên nước số 22/VBHN-VPQH, ngày 10/12/2018;</w:t>
      </w:r>
    </w:p>
    <w:p w14:paraId="519B395E" w14:textId="77777777" w:rsidR="0064784B" w:rsidRPr="008E63BB" w:rsidRDefault="0064784B" w:rsidP="0064784B">
      <w:pPr>
        <w:ind w:firstLine="720"/>
        <w:rPr>
          <w:szCs w:val="26"/>
          <w:lang w:val="pt-BR"/>
        </w:rPr>
      </w:pPr>
      <w:r w:rsidRPr="008E63BB">
        <w:rPr>
          <w:szCs w:val="26"/>
          <w:lang w:val="pt-BR"/>
        </w:rPr>
        <w:t>- Luật sửa đổi bổ sung một số điều của 37 Luật liên quan đến quy hoạch số 35/2018/QH14.</w:t>
      </w:r>
    </w:p>
    <w:p w14:paraId="519B395F" w14:textId="77777777" w:rsidR="00244409" w:rsidRPr="008E63BB" w:rsidRDefault="00244409" w:rsidP="0065184D">
      <w:pPr>
        <w:ind w:firstLine="720"/>
        <w:rPr>
          <w:szCs w:val="26"/>
          <w:lang w:val="pt-BR"/>
        </w:rPr>
      </w:pPr>
      <w:r w:rsidRPr="008E63BB">
        <w:rPr>
          <w:szCs w:val="26"/>
          <w:lang w:val="pt-BR"/>
        </w:rPr>
        <w:t>- Thông tư số 04/2009/TTLT-BXD-BCA ngày 10/4/2010 giữa Bộ Xây dựng và Bộ Công an về hướng dẫn thực hiện cấp nước phòng cháy, chữa cháy tại đô thị và khu công nghiệp.</w:t>
      </w:r>
    </w:p>
    <w:p w14:paraId="519B3960" w14:textId="77777777" w:rsidR="00244409" w:rsidRPr="008E63BB" w:rsidRDefault="00244409" w:rsidP="0065184D">
      <w:pPr>
        <w:rPr>
          <w:bCs/>
          <w:iCs/>
          <w:szCs w:val="26"/>
          <w:lang w:val="pt-BR"/>
        </w:rPr>
      </w:pPr>
      <w:r w:rsidRPr="008E63BB">
        <w:rPr>
          <w:bCs/>
          <w:iCs/>
          <w:szCs w:val="26"/>
          <w:lang w:val="pt-BR"/>
        </w:rPr>
        <w:tab/>
        <w:t>- Quyết định số 605/QĐ-UBND, ngày 29/03/2017 của Ủy ban nhân dân tỉnh Nam Định phê duyệt “Quy hoạch cấp nước thành phố Nam Định đến năm 2020, định hướng đến năm 2025”</w:t>
      </w:r>
    </w:p>
    <w:p w14:paraId="519B3961" w14:textId="77777777" w:rsidR="00244409" w:rsidRPr="008E63BB" w:rsidRDefault="00244409" w:rsidP="0065184D">
      <w:pPr>
        <w:rPr>
          <w:bCs/>
          <w:iCs/>
          <w:szCs w:val="26"/>
          <w:lang w:val="pt-BR"/>
        </w:rPr>
      </w:pPr>
      <w:r w:rsidRPr="008E63BB">
        <w:rPr>
          <w:bCs/>
          <w:iCs/>
          <w:szCs w:val="26"/>
          <w:lang w:val="pt-BR"/>
        </w:rPr>
        <w:tab/>
        <w:t>- Quyết định số 402/QĐ-UBND, ngày 03/03/2016 của Ủy ban nhân dân tỉnh Nam Định phê duyệt “Điều chỉnh quy hoạch cấp nước sạch nông thôn tỉnh Nam Định đến năm 2020, định hướng đến năm 2030 trong điều kiện biến đổi khí hậu”</w:t>
      </w:r>
    </w:p>
    <w:p w14:paraId="519B3962" w14:textId="77777777" w:rsidR="00244409" w:rsidRPr="008E63BB" w:rsidRDefault="00244409" w:rsidP="0065184D">
      <w:pPr>
        <w:ind w:firstLine="720"/>
        <w:rPr>
          <w:bCs/>
          <w:iCs/>
          <w:szCs w:val="26"/>
          <w:lang w:val="pt-BR"/>
        </w:rPr>
      </w:pPr>
      <w:r w:rsidRPr="008E63BB">
        <w:rPr>
          <w:bCs/>
          <w:iCs/>
          <w:szCs w:val="26"/>
          <w:lang w:val="pt-BR"/>
        </w:rPr>
        <w:lastRenderedPageBreak/>
        <w:t xml:space="preserve">- Quy hoạch xây dựng nông thôn mới các xã. </w:t>
      </w:r>
    </w:p>
    <w:p w14:paraId="519B3963" w14:textId="77777777" w:rsidR="00244409" w:rsidRPr="008E63BB" w:rsidRDefault="00244409" w:rsidP="0065184D">
      <w:pPr>
        <w:rPr>
          <w:bCs/>
          <w:iCs/>
          <w:szCs w:val="26"/>
          <w:lang w:val="pt-BR"/>
        </w:rPr>
      </w:pPr>
      <w:r w:rsidRPr="008E63BB">
        <w:rPr>
          <w:bCs/>
          <w:iCs/>
          <w:szCs w:val="26"/>
          <w:lang w:val="pt-BR"/>
        </w:rPr>
        <w:tab/>
        <w:t>- Các tiêu chuẩn ngành liên quan.</w:t>
      </w:r>
    </w:p>
    <w:p w14:paraId="519B3964" w14:textId="77777777" w:rsidR="00244409" w:rsidRPr="008E63BB" w:rsidRDefault="00244409" w:rsidP="0065184D">
      <w:pPr>
        <w:rPr>
          <w:b/>
          <w:bCs/>
          <w:i/>
          <w:iCs/>
          <w:szCs w:val="26"/>
          <w:lang w:val="pt-BR"/>
        </w:rPr>
      </w:pPr>
      <w:r w:rsidRPr="008E63BB">
        <w:rPr>
          <w:b/>
          <w:bCs/>
          <w:i/>
          <w:iCs/>
          <w:szCs w:val="26"/>
          <w:lang w:val="pt-BR"/>
        </w:rPr>
        <w:t>b. Tiêu chuẩn cấp nướ</w:t>
      </w:r>
      <w:bookmarkEnd w:id="456"/>
      <w:bookmarkEnd w:id="457"/>
      <w:bookmarkEnd w:id="458"/>
      <w:bookmarkEnd w:id="459"/>
      <w:bookmarkEnd w:id="460"/>
      <w:r w:rsidRPr="008E63BB">
        <w:rPr>
          <w:b/>
          <w:bCs/>
          <w:i/>
          <w:iCs/>
          <w:szCs w:val="26"/>
          <w:lang w:val="pt-BR"/>
        </w:rPr>
        <w:t>c:</w:t>
      </w:r>
    </w:p>
    <w:p w14:paraId="519B3965" w14:textId="77777777" w:rsidR="00244409" w:rsidRPr="008E63BB" w:rsidRDefault="00244409" w:rsidP="00F06125">
      <w:pPr>
        <w:numPr>
          <w:ilvl w:val="0"/>
          <w:numId w:val="18"/>
        </w:numPr>
        <w:tabs>
          <w:tab w:val="left" w:pos="993"/>
        </w:tabs>
        <w:ind w:left="0" w:firstLine="698"/>
        <w:rPr>
          <w:szCs w:val="26"/>
          <w:lang w:val="pt-BR"/>
        </w:rPr>
      </w:pPr>
      <w:bookmarkStart w:id="461" w:name="_Toc126877760"/>
      <w:bookmarkStart w:id="462" w:name="_Toc126877944"/>
      <w:bookmarkStart w:id="463" w:name="_Toc534507679"/>
      <w:bookmarkStart w:id="464" w:name="_Toc167611413"/>
      <w:bookmarkStart w:id="465" w:name="_Toc535007770"/>
      <w:r w:rsidRPr="008E63BB">
        <w:rPr>
          <w:szCs w:val="26"/>
          <w:lang w:val="pt-BR"/>
        </w:rPr>
        <w:t>Trong đồ án Điều chỉnh Quy hoạch chung thành phố Nam Định đến năm 2040, tiêu chuẩn cấp nước được lấy phù hợp cho đô thị loại 1 theo QCXDVN 01: 2008/BXD.</w:t>
      </w:r>
    </w:p>
    <w:p w14:paraId="519B3966" w14:textId="77777777" w:rsidR="00244409" w:rsidRPr="008E63BB" w:rsidRDefault="00244409" w:rsidP="0065184D">
      <w:pPr>
        <w:ind w:firstLine="709"/>
        <w:rPr>
          <w:szCs w:val="26"/>
          <w:lang w:val="pt-BR"/>
        </w:rPr>
      </w:pPr>
      <w:r w:rsidRPr="008E63BB">
        <w:rPr>
          <w:szCs w:val="26"/>
          <w:lang w:val="pt-BR"/>
        </w:rPr>
        <w:t>- Nước sinh hoạt nội thị:</w:t>
      </w:r>
    </w:p>
    <w:p w14:paraId="519B3967" w14:textId="77777777" w:rsidR="00244409" w:rsidRPr="008E63BB" w:rsidRDefault="00244409" w:rsidP="0065184D">
      <w:pPr>
        <w:ind w:firstLine="1418"/>
        <w:rPr>
          <w:szCs w:val="26"/>
          <w:lang w:val="pt-BR"/>
        </w:rPr>
      </w:pPr>
      <w:r w:rsidRPr="008E63BB">
        <w:rPr>
          <w:szCs w:val="26"/>
          <w:lang w:val="pt-BR"/>
        </w:rPr>
        <w:t xml:space="preserve">Giai đoạn </w:t>
      </w:r>
      <w:r w:rsidR="00C56669" w:rsidRPr="008E63BB">
        <w:rPr>
          <w:szCs w:val="26"/>
          <w:lang w:val="pt-BR"/>
        </w:rPr>
        <w:t>2020-2030</w:t>
      </w:r>
      <w:r w:rsidRPr="008E63BB">
        <w:rPr>
          <w:szCs w:val="26"/>
          <w:lang w:val="pt-BR"/>
        </w:rPr>
        <w:t>: 150 l/ng.ngđ cấp cho 100% dân</w:t>
      </w:r>
    </w:p>
    <w:p w14:paraId="519B3968" w14:textId="77777777" w:rsidR="00244409" w:rsidRPr="008E63BB" w:rsidRDefault="00244409" w:rsidP="0065184D">
      <w:pPr>
        <w:ind w:left="698" w:firstLine="720"/>
        <w:rPr>
          <w:szCs w:val="26"/>
          <w:lang w:val="pt-BR"/>
        </w:rPr>
      </w:pPr>
      <w:r w:rsidRPr="008E63BB">
        <w:rPr>
          <w:szCs w:val="26"/>
          <w:lang w:val="pt-BR"/>
        </w:rPr>
        <w:t>Giai đoạn 2031-2040: 180 l/ng.ngđ cấp cho 100% dân</w:t>
      </w:r>
    </w:p>
    <w:p w14:paraId="519B3969" w14:textId="77777777" w:rsidR="00244409" w:rsidRPr="008E63BB" w:rsidRDefault="00244409" w:rsidP="0065184D">
      <w:pPr>
        <w:ind w:firstLine="709"/>
        <w:rPr>
          <w:szCs w:val="26"/>
          <w:lang w:val="pt-BR"/>
        </w:rPr>
      </w:pPr>
      <w:r w:rsidRPr="008E63BB">
        <w:rPr>
          <w:szCs w:val="26"/>
          <w:lang w:val="pt-BR"/>
        </w:rPr>
        <w:t>- Nước sinh hoạt ngoại thị:</w:t>
      </w:r>
    </w:p>
    <w:p w14:paraId="519B396A" w14:textId="77777777" w:rsidR="00244409" w:rsidRPr="008E63BB" w:rsidRDefault="00244409" w:rsidP="0065184D">
      <w:pPr>
        <w:ind w:firstLine="1418"/>
        <w:rPr>
          <w:szCs w:val="26"/>
          <w:lang w:val="pt-BR"/>
        </w:rPr>
      </w:pPr>
      <w:r w:rsidRPr="008E63BB">
        <w:rPr>
          <w:szCs w:val="26"/>
          <w:lang w:val="pt-BR"/>
        </w:rPr>
        <w:t xml:space="preserve">Giai đoạn </w:t>
      </w:r>
      <w:r w:rsidR="00C56669" w:rsidRPr="008E63BB">
        <w:rPr>
          <w:szCs w:val="26"/>
          <w:lang w:val="pt-BR"/>
        </w:rPr>
        <w:t>2020-2030</w:t>
      </w:r>
      <w:r w:rsidRPr="008E63BB">
        <w:rPr>
          <w:szCs w:val="26"/>
          <w:lang w:val="pt-BR"/>
        </w:rPr>
        <w:t>: 100 l/ng.ngđ cấp cho 90% dân</w:t>
      </w:r>
    </w:p>
    <w:p w14:paraId="519B396B" w14:textId="77777777" w:rsidR="00244409" w:rsidRPr="008E63BB" w:rsidRDefault="00244409" w:rsidP="0065184D">
      <w:pPr>
        <w:ind w:left="698" w:firstLine="720"/>
        <w:rPr>
          <w:szCs w:val="26"/>
          <w:lang w:val="pt-BR"/>
        </w:rPr>
      </w:pPr>
      <w:r w:rsidRPr="008E63BB">
        <w:rPr>
          <w:szCs w:val="26"/>
          <w:lang w:val="pt-BR"/>
        </w:rPr>
        <w:t>Giai đoạn 2031-2040: 120 l/ng.ngđ cấ</w:t>
      </w:r>
      <w:r w:rsidR="0064332C" w:rsidRPr="008E63BB">
        <w:rPr>
          <w:szCs w:val="26"/>
          <w:lang w:val="pt-BR"/>
        </w:rPr>
        <w:t>p cho 95</w:t>
      </w:r>
      <w:r w:rsidRPr="008E63BB">
        <w:rPr>
          <w:szCs w:val="26"/>
          <w:lang w:val="pt-BR"/>
        </w:rPr>
        <w:t>% dân</w:t>
      </w:r>
    </w:p>
    <w:p w14:paraId="519B396C" w14:textId="77777777" w:rsidR="00244409" w:rsidRPr="008E63BB" w:rsidRDefault="00244409" w:rsidP="0065184D">
      <w:pPr>
        <w:ind w:firstLine="709"/>
        <w:rPr>
          <w:szCs w:val="26"/>
          <w:lang w:val="pt-BR"/>
        </w:rPr>
      </w:pPr>
      <w:r w:rsidRPr="008E63BB">
        <w:rPr>
          <w:szCs w:val="26"/>
          <w:lang w:val="pt-BR"/>
        </w:rPr>
        <w:t>- Nước công cộng: 15%Q</w:t>
      </w:r>
      <w:r w:rsidRPr="008E63BB">
        <w:rPr>
          <w:szCs w:val="26"/>
          <w:vertAlign w:val="subscript"/>
          <w:lang w:val="pt-BR"/>
        </w:rPr>
        <w:t>sh</w:t>
      </w:r>
    </w:p>
    <w:p w14:paraId="519B396D" w14:textId="77777777" w:rsidR="00244409" w:rsidRPr="008E63BB" w:rsidRDefault="00244409" w:rsidP="0065184D">
      <w:pPr>
        <w:ind w:firstLine="709"/>
        <w:rPr>
          <w:szCs w:val="26"/>
          <w:lang w:val="pt-BR"/>
        </w:rPr>
      </w:pPr>
      <w:r w:rsidRPr="008E63BB">
        <w:rPr>
          <w:szCs w:val="26"/>
          <w:lang w:val="pt-BR"/>
        </w:rPr>
        <w:t>- Nước công nghiệp: 22</w:t>
      </w:r>
      <w:r w:rsidRPr="008E63BB">
        <w:rPr>
          <w:szCs w:val="26"/>
          <w:lang w:val="pt-BR"/>
        </w:rPr>
        <w:sym w:font="Symbol" w:char="F0B8"/>
      </w:r>
      <w:r w:rsidRPr="008E63BB">
        <w:rPr>
          <w:szCs w:val="26"/>
          <w:lang w:val="pt-BR"/>
        </w:rPr>
        <w:t>45m</w:t>
      </w:r>
      <w:r w:rsidRPr="008E63BB">
        <w:rPr>
          <w:szCs w:val="26"/>
          <w:vertAlign w:val="superscript"/>
          <w:lang w:val="pt-BR"/>
        </w:rPr>
        <w:t>3</w:t>
      </w:r>
      <w:r w:rsidRPr="008E63BB">
        <w:rPr>
          <w:szCs w:val="26"/>
          <w:lang w:val="pt-BR"/>
        </w:rPr>
        <w:t>/ha.ngđ (tính với 70% diện tích)</w:t>
      </w:r>
    </w:p>
    <w:p w14:paraId="519B396E" w14:textId="77777777" w:rsidR="00244409" w:rsidRPr="008E63BB" w:rsidRDefault="00244409" w:rsidP="0065184D">
      <w:pPr>
        <w:ind w:firstLine="709"/>
        <w:rPr>
          <w:szCs w:val="26"/>
          <w:lang w:val="pt-BR"/>
        </w:rPr>
      </w:pPr>
      <w:r w:rsidRPr="008E63BB">
        <w:rPr>
          <w:szCs w:val="26"/>
          <w:lang w:val="pt-BR"/>
        </w:rPr>
        <w:t>- Nước tưới cây, rửa đường: 10%Q</w:t>
      </w:r>
      <w:r w:rsidRPr="008E63BB">
        <w:rPr>
          <w:szCs w:val="26"/>
          <w:vertAlign w:val="subscript"/>
          <w:lang w:val="pt-BR"/>
        </w:rPr>
        <w:t>sh</w:t>
      </w:r>
    </w:p>
    <w:p w14:paraId="519B396F" w14:textId="77777777" w:rsidR="00244409" w:rsidRPr="008E63BB" w:rsidRDefault="00244409" w:rsidP="0065184D">
      <w:pPr>
        <w:ind w:firstLine="709"/>
        <w:rPr>
          <w:szCs w:val="26"/>
          <w:lang w:val="pt-BR"/>
        </w:rPr>
      </w:pPr>
      <w:r w:rsidRPr="008E63BB">
        <w:rPr>
          <w:szCs w:val="26"/>
          <w:lang w:val="pt-BR"/>
        </w:rPr>
        <w:t xml:space="preserve">- Nước dự phòng rò rỉ: </w:t>
      </w:r>
      <w:r w:rsidR="00A17062" w:rsidRPr="008E63BB">
        <w:rPr>
          <w:szCs w:val="26"/>
          <w:lang w:val="pt-BR"/>
        </w:rPr>
        <w:t>15</w:t>
      </w:r>
      <w:r w:rsidRPr="008E63BB">
        <w:rPr>
          <w:szCs w:val="26"/>
          <w:lang w:val="pt-BR"/>
        </w:rPr>
        <w:t>%.</w:t>
      </w:r>
    </w:p>
    <w:p w14:paraId="519B3970" w14:textId="77777777" w:rsidR="00244409" w:rsidRPr="008E63BB" w:rsidRDefault="00244409" w:rsidP="0065184D">
      <w:pPr>
        <w:ind w:firstLine="709"/>
        <w:rPr>
          <w:szCs w:val="26"/>
          <w:lang w:val="pt-BR"/>
        </w:rPr>
      </w:pPr>
      <w:r w:rsidRPr="008E63BB">
        <w:rPr>
          <w:szCs w:val="26"/>
          <w:lang w:val="pt-BR"/>
        </w:rPr>
        <w:t>- Nước bản thân nhà máy: 5%.</w:t>
      </w:r>
    </w:p>
    <w:p w14:paraId="519B3971" w14:textId="77777777" w:rsidR="00244409" w:rsidRPr="008E63BB" w:rsidRDefault="00244409" w:rsidP="0065184D">
      <w:pPr>
        <w:rPr>
          <w:b/>
          <w:bCs/>
          <w:i/>
          <w:iCs/>
          <w:szCs w:val="26"/>
          <w:lang w:val="pt-BR"/>
        </w:rPr>
      </w:pPr>
      <w:r w:rsidRPr="008E63BB">
        <w:rPr>
          <w:b/>
          <w:bCs/>
          <w:i/>
          <w:iCs/>
          <w:szCs w:val="26"/>
          <w:lang w:val="pt-BR"/>
        </w:rPr>
        <w:t>c. Nhu cầu dùng nước</w:t>
      </w:r>
      <w:bookmarkEnd w:id="461"/>
      <w:bookmarkEnd w:id="462"/>
      <w:bookmarkEnd w:id="463"/>
      <w:bookmarkEnd w:id="464"/>
      <w:bookmarkEnd w:id="465"/>
    </w:p>
    <w:p w14:paraId="519B3972" w14:textId="77777777" w:rsidR="0064332C" w:rsidRPr="008E63BB" w:rsidRDefault="00BE389B" w:rsidP="0065184D">
      <w:pPr>
        <w:jc w:val="center"/>
        <w:rPr>
          <w:b/>
          <w:bCs/>
          <w:szCs w:val="26"/>
          <w:lang w:val="pt-BR"/>
        </w:rPr>
      </w:pPr>
      <w:bookmarkStart w:id="466" w:name="_Toc126877761"/>
      <w:bookmarkStart w:id="467" w:name="_Toc126877945"/>
      <w:bookmarkStart w:id="468" w:name="_Toc534507680"/>
      <w:bookmarkStart w:id="469" w:name="_Toc167611414"/>
      <w:bookmarkStart w:id="470" w:name="_Toc535007771"/>
      <w:r w:rsidRPr="008E63BB">
        <w:rPr>
          <w:b/>
          <w:bCs/>
          <w:szCs w:val="26"/>
          <w:lang w:val="pt-BR"/>
        </w:rPr>
        <w:t>Bảng tính toán nhu cầu dùng nước sinh hoạt</w:t>
      </w:r>
    </w:p>
    <w:tbl>
      <w:tblPr>
        <w:tblW w:w="9789" w:type="dxa"/>
        <w:tblInd w:w="93" w:type="dxa"/>
        <w:tblLayout w:type="fixed"/>
        <w:tblLook w:val="04A0" w:firstRow="1" w:lastRow="0" w:firstColumn="1" w:lastColumn="0" w:noHBand="0" w:noVBand="1"/>
      </w:tblPr>
      <w:tblGrid>
        <w:gridCol w:w="590"/>
        <w:gridCol w:w="1977"/>
        <w:gridCol w:w="1142"/>
        <w:gridCol w:w="850"/>
        <w:gridCol w:w="843"/>
        <w:gridCol w:w="1126"/>
        <w:gridCol w:w="1126"/>
        <w:gridCol w:w="1061"/>
        <w:gridCol w:w="1074"/>
      </w:tblGrid>
      <w:tr w:rsidR="00A17062" w:rsidRPr="008E63BB" w14:paraId="519B3979" w14:textId="77777777" w:rsidTr="00FD0E46">
        <w:trPr>
          <w:trHeight w:val="20"/>
        </w:trPr>
        <w:tc>
          <w:tcPr>
            <w:tcW w:w="59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3973" w14:textId="77777777" w:rsidR="00A17062" w:rsidRPr="008E63BB" w:rsidRDefault="00A17062" w:rsidP="00FD0E46">
            <w:pPr>
              <w:jc w:val="center"/>
              <w:rPr>
                <w:rFonts w:eastAsia="Times New Roman"/>
                <w:b/>
                <w:bCs/>
                <w:szCs w:val="26"/>
              </w:rPr>
            </w:pPr>
            <w:r w:rsidRPr="008E63BB">
              <w:rPr>
                <w:rFonts w:eastAsia="Times New Roman"/>
                <w:b/>
                <w:bCs/>
                <w:szCs w:val="26"/>
              </w:rPr>
              <w:t>TT</w:t>
            </w:r>
          </w:p>
        </w:tc>
        <w:tc>
          <w:tcPr>
            <w:tcW w:w="19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3974" w14:textId="77777777" w:rsidR="00A17062" w:rsidRPr="008E63BB" w:rsidRDefault="00A17062" w:rsidP="00FD0E46">
            <w:pPr>
              <w:jc w:val="center"/>
              <w:rPr>
                <w:rFonts w:eastAsia="Times New Roman"/>
                <w:b/>
                <w:bCs/>
                <w:szCs w:val="26"/>
              </w:rPr>
            </w:pPr>
            <w:r w:rsidRPr="008E63BB">
              <w:rPr>
                <w:rFonts w:eastAsia="Times New Roman"/>
                <w:b/>
                <w:bCs/>
                <w:szCs w:val="26"/>
              </w:rPr>
              <w:t>Thành phần</w:t>
            </w:r>
          </w:p>
        </w:tc>
        <w:tc>
          <w:tcPr>
            <w:tcW w:w="114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3975" w14:textId="77777777" w:rsidR="00A17062" w:rsidRPr="008E63BB" w:rsidRDefault="00A17062" w:rsidP="00FD0E46">
            <w:pPr>
              <w:jc w:val="center"/>
              <w:rPr>
                <w:rFonts w:eastAsia="Times New Roman"/>
                <w:b/>
                <w:bCs/>
                <w:szCs w:val="26"/>
              </w:rPr>
            </w:pPr>
            <w:r w:rsidRPr="008E63BB">
              <w:rPr>
                <w:rFonts w:eastAsia="Times New Roman"/>
                <w:b/>
                <w:bCs/>
                <w:szCs w:val="26"/>
              </w:rPr>
              <w:t>Đơn vị tính</w:t>
            </w:r>
          </w:p>
        </w:tc>
        <w:tc>
          <w:tcPr>
            <w:tcW w:w="1693" w:type="dxa"/>
            <w:gridSpan w:val="2"/>
            <w:tcBorders>
              <w:top w:val="single" w:sz="4" w:space="0" w:color="auto"/>
              <w:left w:val="nil"/>
              <w:bottom w:val="single" w:sz="4" w:space="0" w:color="auto"/>
              <w:right w:val="single" w:sz="4" w:space="0" w:color="000000"/>
            </w:tcBorders>
            <w:shd w:val="clear" w:color="auto" w:fill="auto"/>
            <w:hideMark/>
          </w:tcPr>
          <w:p w14:paraId="519B3976" w14:textId="77777777" w:rsidR="00A17062" w:rsidRPr="008E63BB" w:rsidRDefault="00A17062" w:rsidP="00FD0E46">
            <w:pPr>
              <w:jc w:val="center"/>
              <w:rPr>
                <w:rFonts w:eastAsia="Times New Roman"/>
                <w:b/>
                <w:bCs/>
                <w:szCs w:val="26"/>
              </w:rPr>
            </w:pPr>
            <w:r w:rsidRPr="008E63BB">
              <w:rPr>
                <w:rFonts w:eastAsia="Times New Roman"/>
                <w:b/>
                <w:bCs/>
                <w:szCs w:val="26"/>
              </w:rPr>
              <w:t>Tiêu chuẩn</w:t>
            </w:r>
          </w:p>
        </w:tc>
        <w:tc>
          <w:tcPr>
            <w:tcW w:w="2252" w:type="dxa"/>
            <w:gridSpan w:val="2"/>
            <w:tcBorders>
              <w:top w:val="single" w:sz="4" w:space="0" w:color="auto"/>
              <w:left w:val="nil"/>
              <w:bottom w:val="single" w:sz="4" w:space="0" w:color="auto"/>
              <w:right w:val="single" w:sz="4" w:space="0" w:color="000000"/>
            </w:tcBorders>
            <w:shd w:val="clear" w:color="auto" w:fill="auto"/>
            <w:hideMark/>
          </w:tcPr>
          <w:p w14:paraId="519B3977" w14:textId="77777777" w:rsidR="00A17062" w:rsidRPr="008E63BB" w:rsidRDefault="00A17062" w:rsidP="00FD0E46">
            <w:pPr>
              <w:jc w:val="center"/>
              <w:rPr>
                <w:rFonts w:eastAsia="Times New Roman"/>
                <w:b/>
                <w:bCs/>
                <w:szCs w:val="26"/>
              </w:rPr>
            </w:pPr>
            <w:r w:rsidRPr="008E63BB">
              <w:rPr>
                <w:rFonts w:eastAsia="Times New Roman"/>
                <w:b/>
                <w:bCs/>
                <w:szCs w:val="26"/>
              </w:rPr>
              <w:t>Quy mô</w:t>
            </w:r>
          </w:p>
        </w:tc>
        <w:tc>
          <w:tcPr>
            <w:tcW w:w="2135" w:type="dxa"/>
            <w:gridSpan w:val="2"/>
            <w:tcBorders>
              <w:top w:val="single" w:sz="4" w:space="0" w:color="auto"/>
              <w:left w:val="nil"/>
              <w:bottom w:val="single" w:sz="4" w:space="0" w:color="auto"/>
              <w:right w:val="single" w:sz="4" w:space="0" w:color="000000"/>
            </w:tcBorders>
            <w:shd w:val="clear" w:color="auto" w:fill="auto"/>
            <w:hideMark/>
          </w:tcPr>
          <w:p w14:paraId="519B3978" w14:textId="77777777" w:rsidR="00A17062" w:rsidRPr="008E63BB" w:rsidRDefault="00A17062" w:rsidP="00FD0E46">
            <w:pPr>
              <w:jc w:val="center"/>
              <w:rPr>
                <w:rFonts w:eastAsia="Times New Roman"/>
                <w:b/>
                <w:bCs/>
                <w:szCs w:val="26"/>
              </w:rPr>
            </w:pPr>
            <w:r w:rsidRPr="008E63BB">
              <w:rPr>
                <w:rFonts w:eastAsia="Times New Roman"/>
                <w:b/>
                <w:bCs/>
                <w:szCs w:val="26"/>
              </w:rPr>
              <w:t>Nhu cầu (m3/ngđ)</w:t>
            </w:r>
          </w:p>
        </w:tc>
      </w:tr>
      <w:tr w:rsidR="00A17062" w:rsidRPr="008E63BB" w14:paraId="519B3983" w14:textId="77777777" w:rsidTr="00FD0E46">
        <w:trPr>
          <w:trHeight w:val="20"/>
        </w:trPr>
        <w:tc>
          <w:tcPr>
            <w:tcW w:w="590" w:type="dxa"/>
            <w:vMerge/>
            <w:tcBorders>
              <w:top w:val="single" w:sz="4" w:space="0" w:color="auto"/>
              <w:left w:val="single" w:sz="4" w:space="0" w:color="auto"/>
              <w:bottom w:val="single" w:sz="4" w:space="0" w:color="000000"/>
              <w:right w:val="single" w:sz="4" w:space="0" w:color="auto"/>
            </w:tcBorders>
            <w:vAlign w:val="center"/>
            <w:hideMark/>
          </w:tcPr>
          <w:p w14:paraId="519B397A" w14:textId="77777777" w:rsidR="00A17062" w:rsidRPr="008E63BB" w:rsidRDefault="00A17062" w:rsidP="00FD0E46">
            <w:pPr>
              <w:rPr>
                <w:rFonts w:eastAsia="Times New Roman"/>
                <w:b/>
                <w:bCs/>
                <w:szCs w:val="26"/>
              </w:rPr>
            </w:pPr>
          </w:p>
        </w:tc>
        <w:tc>
          <w:tcPr>
            <w:tcW w:w="1977" w:type="dxa"/>
            <w:vMerge/>
            <w:tcBorders>
              <w:top w:val="single" w:sz="4" w:space="0" w:color="auto"/>
              <w:left w:val="single" w:sz="4" w:space="0" w:color="auto"/>
              <w:bottom w:val="single" w:sz="4" w:space="0" w:color="000000"/>
              <w:right w:val="single" w:sz="4" w:space="0" w:color="auto"/>
            </w:tcBorders>
            <w:vAlign w:val="center"/>
            <w:hideMark/>
          </w:tcPr>
          <w:p w14:paraId="519B397B" w14:textId="77777777" w:rsidR="00A17062" w:rsidRPr="008E63BB" w:rsidRDefault="00A17062" w:rsidP="00FD0E46">
            <w:pPr>
              <w:rPr>
                <w:rFonts w:eastAsia="Times New Roman"/>
                <w:b/>
                <w:bCs/>
                <w:szCs w:val="26"/>
              </w:rPr>
            </w:pPr>
          </w:p>
        </w:tc>
        <w:tc>
          <w:tcPr>
            <w:tcW w:w="1142" w:type="dxa"/>
            <w:vMerge/>
            <w:tcBorders>
              <w:top w:val="single" w:sz="4" w:space="0" w:color="auto"/>
              <w:left w:val="single" w:sz="4" w:space="0" w:color="auto"/>
              <w:bottom w:val="single" w:sz="4" w:space="0" w:color="000000"/>
              <w:right w:val="single" w:sz="4" w:space="0" w:color="auto"/>
            </w:tcBorders>
            <w:vAlign w:val="center"/>
            <w:hideMark/>
          </w:tcPr>
          <w:p w14:paraId="519B397C" w14:textId="77777777" w:rsidR="00A17062" w:rsidRPr="008E63BB" w:rsidRDefault="00A17062" w:rsidP="00FD0E46">
            <w:pPr>
              <w:rPr>
                <w:rFonts w:eastAsia="Times New Roman"/>
                <w:b/>
                <w:bCs/>
                <w:szCs w:val="26"/>
              </w:rPr>
            </w:pPr>
          </w:p>
        </w:tc>
        <w:tc>
          <w:tcPr>
            <w:tcW w:w="850" w:type="dxa"/>
            <w:tcBorders>
              <w:top w:val="nil"/>
              <w:left w:val="nil"/>
              <w:bottom w:val="single" w:sz="4" w:space="0" w:color="auto"/>
              <w:right w:val="single" w:sz="4" w:space="0" w:color="auto"/>
            </w:tcBorders>
            <w:shd w:val="clear" w:color="auto" w:fill="auto"/>
            <w:hideMark/>
          </w:tcPr>
          <w:p w14:paraId="519B397D" w14:textId="77777777" w:rsidR="00A17062" w:rsidRPr="008E63BB" w:rsidRDefault="00A17062" w:rsidP="00FD0E46">
            <w:pPr>
              <w:jc w:val="center"/>
              <w:rPr>
                <w:rFonts w:eastAsia="Times New Roman"/>
                <w:b/>
                <w:bCs/>
                <w:szCs w:val="26"/>
              </w:rPr>
            </w:pPr>
            <w:r w:rsidRPr="008E63BB">
              <w:rPr>
                <w:rFonts w:eastAsia="Times New Roman"/>
                <w:b/>
                <w:bCs/>
                <w:szCs w:val="26"/>
              </w:rPr>
              <w:t>2030</w:t>
            </w:r>
          </w:p>
        </w:tc>
        <w:tc>
          <w:tcPr>
            <w:tcW w:w="843" w:type="dxa"/>
            <w:tcBorders>
              <w:top w:val="nil"/>
              <w:left w:val="nil"/>
              <w:bottom w:val="single" w:sz="4" w:space="0" w:color="auto"/>
              <w:right w:val="single" w:sz="4" w:space="0" w:color="auto"/>
            </w:tcBorders>
            <w:shd w:val="clear" w:color="auto" w:fill="auto"/>
            <w:hideMark/>
          </w:tcPr>
          <w:p w14:paraId="519B397E" w14:textId="77777777" w:rsidR="00A17062" w:rsidRPr="008E63BB" w:rsidRDefault="00A17062" w:rsidP="00FD0E46">
            <w:pPr>
              <w:jc w:val="center"/>
              <w:rPr>
                <w:rFonts w:eastAsia="Times New Roman"/>
                <w:b/>
                <w:bCs/>
                <w:szCs w:val="26"/>
              </w:rPr>
            </w:pPr>
            <w:r w:rsidRPr="008E63BB">
              <w:rPr>
                <w:rFonts w:eastAsia="Times New Roman"/>
                <w:b/>
                <w:bCs/>
                <w:szCs w:val="26"/>
              </w:rPr>
              <w:t>2040</w:t>
            </w:r>
          </w:p>
        </w:tc>
        <w:tc>
          <w:tcPr>
            <w:tcW w:w="1126" w:type="dxa"/>
            <w:tcBorders>
              <w:top w:val="nil"/>
              <w:left w:val="nil"/>
              <w:bottom w:val="single" w:sz="4" w:space="0" w:color="auto"/>
              <w:right w:val="single" w:sz="4" w:space="0" w:color="auto"/>
            </w:tcBorders>
            <w:shd w:val="clear" w:color="auto" w:fill="auto"/>
            <w:hideMark/>
          </w:tcPr>
          <w:p w14:paraId="519B397F" w14:textId="77777777" w:rsidR="00A17062" w:rsidRPr="008E63BB" w:rsidRDefault="00A17062" w:rsidP="00FD0E46">
            <w:pPr>
              <w:jc w:val="center"/>
              <w:rPr>
                <w:rFonts w:eastAsia="Times New Roman"/>
                <w:b/>
                <w:bCs/>
                <w:szCs w:val="26"/>
              </w:rPr>
            </w:pPr>
            <w:r w:rsidRPr="008E63BB">
              <w:rPr>
                <w:rFonts w:eastAsia="Times New Roman"/>
                <w:b/>
                <w:bCs/>
                <w:szCs w:val="26"/>
              </w:rPr>
              <w:t>2030</w:t>
            </w:r>
          </w:p>
        </w:tc>
        <w:tc>
          <w:tcPr>
            <w:tcW w:w="1126" w:type="dxa"/>
            <w:tcBorders>
              <w:top w:val="nil"/>
              <w:left w:val="nil"/>
              <w:bottom w:val="single" w:sz="4" w:space="0" w:color="auto"/>
              <w:right w:val="single" w:sz="4" w:space="0" w:color="auto"/>
            </w:tcBorders>
            <w:shd w:val="clear" w:color="auto" w:fill="auto"/>
            <w:hideMark/>
          </w:tcPr>
          <w:p w14:paraId="519B3980" w14:textId="77777777" w:rsidR="00A17062" w:rsidRPr="008E63BB" w:rsidRDefault="00A17062" w:rsidP="00FD0E46">
            <w:pPr>
              <w:jc w:val="center"/>
              <w:rPr>
                <w:rFonts w:eastAsia="Times New Roman"/>
                <w:b/>
                <w:bCs/>
                <w:szCs w:val="26"/>
              </w:rPr>
            </w:pPr>
            <w:r w:rsidRPr="008E63BB">
              <w:rPr>
                <w:rFonts w:eastAsia="Times New Roman"/>
                <w:b/>
                <w:bCs/>
                <w:szCs w:val="26"/>
              </w:rPr>
              <w:t>2040</w:t>
            </w:r>
          </w:p>
        </w:tc>
        <w:tc>
          <w:tcPr>
            <w:tcW w:w="1061" w:type="dxa"/>
            <w:tcBorders>
              <w:top w:val="nil"/>
              <w:left w:val="nil"/>
              <w:bottom w:val="single" w:sz="4" w:space="0" w:color="auto"/>
              <w:right w:val="single" w:sz="4" w:space="0" w:color="auto"/>
            </w:tcBorders>
            <w:shd w:val="clear" w:color="auto" w:fill="auto"/>
            <w:hideMark/>
          </w:tcPr>
          <w:p w14:paraId="519B3981" w14:textId="77777777" w:rsidR="00A17062" w:rsidRPr="008E63BB" w:rsidRDefault="00A17062" w:rsidP="00FD0E46">
            <w:pPr>
              <w:jc w:val="center"/>
              <w:rPr>
                <w:rFonts w:eastAsia="Times New Roman"/>
                <w:b/>
                <w:bCs/>
                <w:szCs w:val="26"/>
              </w:rPr>
            </w:pPr>
            <w:r w:rsidRPr="008E63BB">
              <w:rPr>
                <w:rFonts w:eastAsia="Times New Roman"/>
                <w:b/>
                <w:bCs/>
                <w:szCs w:val="26"/>
              </w:rPr>
              <w:t>2030</w:t>
            </w:r>
          </w:p>
        </w:tc>
        <w:tc>
          <w:tcPr>
            <w:tcW w:w="1074" w:type="dxa"/>
            <w:tcBorders>
              <w:top w:val="nil"/>
              <w:left w:val="nil"/>
              <w:bottom w:val="single" w:sz="4" w:space="0" w:color="auto"/>
              <w:right w:val="single" w:sz="4" w:space="0" w:color="auto"/>
            </w:tcBorders>
            <w:shd w:val="clear" w:color="auto" w:fill="auto"/>
            <w:hideMark/>
          </w:tcPr>
          <w:p w14:paraId="519B3982" w14:textId="77777777" w:rsidR="00A17062" w:rsidRPr="008E63BB" w:rsidRDefault="00A17062" w:rsidP="00FD0E46">
            <w:pPr>
              <w:jc w:val="center"/>
              <w:rPr>
                <w:rFonts w:eastAsia="Times New Roman"/>
                <w:b/>
                <w:bCs/>
                <w:szCs w:val="26"/>
              </w:rPr>
            </w:pPr>
            <w:r w:rsidRPr="008E63BB">
              <w:rPr>
                <w:rFonts w:eastAsia="Times New Roman"/>
                <w:b/>
                <w:bCs/>
                <w:szCs w:val="26"/>
              </w:rPr>
              <w:t>2040</w:t>
            </w:r>
          </w:p>
        </w:tc>
      </w:tr>
      <w:tr w:rsidR="00A17062" w:rsidRPr="008E63BB" w14:paraId="519B398D"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84" w14:textId="77777777" w:rsidR="00A17062" w:rsidRPr="008E63BB" w:rsidRDefault="00A17062" w:rsidP="00FD0E46">
            <w:pPr>
              <w:jc w:val="center"/>
              <w:rPr>
                <w:rFonts w:eastAsia="Times New Roman"/>
                <w:szCs w:val="26"/>
              </w:rPr>
            </w:pPr>
            <w:r w:rsidRPr="008E63BB">
              <w:rPr>
                <w:rFonts w:eastAsia="Times New Roman"/>
                <w:szCs w:val="26"/>
              </w:rPr>
              <w:t>1</w:t>
            </w:r>
          </w:p>
        </w:tc>
        <w:tc>
          <w:tcPr>
            <w:tcW w:w="1977" w:type="dxa"/>
            <w:tcBorders>
              <w:top w:val="nil"/>
              <w:left w:val="nil"/>
              <w:bottom w:val="single" w:sz="4" w:space="0" w:color="auto"/>
              <w:right w:val="single" w:sz="4" w:space="0" w:color="auto"/>
            </w:tcBorders>
            <w:shd w:val="clear" w:color="auto" w:fill="auto"/>
            <w:noWrap/>
            <w:vAlign w:val="bottom"/>
            <w:hideMark/>
          </w:tcPr>
          <w:p w14:paraId="519B3985" w14:textId="77777777" w:rsidR="00A17062" w:rsidRPr="008E63BB" w:rsidRDefault="00A17062" w:rsidP="00FD0E46">
            <w:pPr>
              <w:rPr>
                <w:rFonts w:eastAsia="Times New Roman"/>
                <w:szCs w:val="26"/>
              </w:rPr>
            </w:pPr>
            <w:r w:rsidRPr="008E63BB">
              <w:rPr>
                <w:rFonts w:eastAsia="Times New Roman"/>
                <w:szCs w:val="26"/>
              </w:rPr>
              <w:t>Nước sinh hoạt</w:t>
            </w:r>
          </w:p>
        </w:tc>
        <w:tc>
          <w:tcPr>
            <w:tcW w:w="1142" w:type="dxa"/>
            <w:tcBorders>
              <w:top w:val="nil"/>
              <w:left w:val="nil"/>
              <w:bottom w:val="single" w:sz="4" w:space="0" w:color="auto"/>
              <w:right w:val="single" w:sz="4" w:space="0" w:color="auto"/>
            </w:tcBorders>
            <w:shd w:val="clear" w:color="auto" w:fill="auto"/>
            <w:noWrap/>
            <w:vAlign w:val="bottom"/>
            <w:hideMark/>
          </w:tcPr>
          <w:p w14:paraId="519B3986" w14:textId="77777777" w:rsidR="00A17062" w:rsidRPr="008E63BB" w:rsidRDefault="00A17062" w:rsidP="00FD0E46">
            <w:pPr>
              <w:rPr>
                <w:rFonts w:eastAsia="Times New Roman"/>
                <w:szCs w:val="26"/>
              </w:rPr>
            </w:pPr>
            <w:r w:rsidRPr="008E63BB">
              <w:rPr>
                <w:rFonts w:eastAsia="Times New Roman"/>
                <w:szCs w:val="26"/>
              </w:rPr>
              <w:t> </w:t>
            </w:r>
          </w:p>
        </w:tc>
        <w:tc>
          <w:tcPr>
            <w:tcW w:w="850" w:type="dxa"/>
            <w:tcBorders>
              <w:top w:val="nil"/>
              <w:left w:val="nil"/>
              <w:bottom w:val="single" w:sz="4" w:space="0" w:color="auto"/>
              <w:right w:val="single" w:sz="4" w:space="0" w:color="auto"/>
            </w:tcBorders>
            <w:shd w:val="clear" w:color="auto" w:fill="auto"/>
            <w:hideMark/>
          </w:tcPr>
          <w:p w14:paraId="519B3987" w14:textId="77777777" w:rsidR="00A17062" w:rsidRPr="008E63BB" w:rsidRDefault="00A17062" w:rsidP="00FD0E46">
            <w:pPr>
              <w:jc w:val="center"/>
              <w:rPr>
                <w:rFonts w:eastAsia="Times New Roman"/>
                <w:szCs w:val="26"/>
              </w:rPr>
            </w:pPr>
            <w:r w:rsidRPr="008E63BB">
              <w:rPr>
                <w:rFonts w:eastAsia="Times New Roman"/>
                <w:szCs w:val="26"/>
              </w:rPr>
              <w:t> </w:t>
            </w:r>
          </w:p>
        </w:tc>
        <w:tc>
          <w:tcPr>
            <w:tcW w:w="843" w:type="dxa"/>
            <w:tcBorders>
              <w:top w:val="nil"/>
              <w:left w:val="nil"/>
              <w:bottom w:val="single" w:sz="4" w:space="0" w:color="auto"/>
              <w:right w:val="single" w:sz="4" w:space="0" w:color="auto"/>
            </w:tcBorders>
            <w:shd w:val="clear" w:color="auto" w:fill="auto"/>
            <w:noWrap/>
            <w:vAlign w:val="bottom"/>
            <w:hideMark/>
          </w:tcPr>
          <w:p w14:paraId="519B3988"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89" w14:textId="77777777" w:rsidR="00A17062" w:rsidRPr="008E63BB" w:rsidRDefault="00A17062" w:rsidP="00FD0E46">
            <w:pPr>
              <w:jc w:val="center"/>
              <w:rPr>
                <w:rFonts w:eastAsia="Times New Roman"/>
                <w:szCs w:val="26"/>
              </w:rPr>
            </w:pPr>
            <w:r w:rsidRPr="008E63BB">
              <w:rPr>
                <w:rFonts w:eastAsia="Times New Roman"/>
                <w:szCs w:val="26"/>
              </w:rPr>
              <w:t>520.000</w:t>
            </w:r>
          </w:p>
        </w:tc>
        <w:tc>
          <w:tcPr>
            <w:tcW w:w="1126" w:type="dxa"/>
            <w:tcBorders>
              <w:top w:val="nil"/>
              <w:left w:val="nil"/>
              <w:bottom w:val="single" w:sz="4" w:space="0" w:color="auto"/>
              <w:right w:val="single" w:sz="4" w:space="0" w:color="auto"/>
            </w:tcBorders>
            <w:shd w:val="clear" w:color="auto" w:fill="auto"/>
            <w:noWrap/>
            <w:vAlign w:val="bottom"/>
            <w:hideMark/>
          </w:tcPr>
          <w:p w14:paraId="519B398A" w14:textId="77777777" w:rsidR="00A17062" w:rsidRPr="008E63BB" w:rsidRDefault="00A17062" w:rsidP="00FD0E46">
            <w:pPr>
              <w:jc w:val="center"/>
              <w:rPr>
                <w:rFonts w:eastAsia="Times New Roman"/>
                <w:szCs w:val="26"/>
              </w:rPr>
            </w:pPr>
            <w:r w:rsidRPr="008E63BB">
              <w:rPr>
                <w:rFonts w:eastAsia="Times New Roman"/>
                <w:szCs w:val="26"/>
              </w:rPr>
              <w:t>600.000</w:t>
            </w:r>
          </w:p>
        </w:tc>
        <w:tc>
          <w:tcPr>
            <w:tcW w:w="1061" w:type="dxa"/>
            <w:tcBorders>
              <w:top w:val="nil"/>
              <w:left w:val="nil"/>
              <w:bottom w:val="single" w:sz="4" w:space="0" w:color="auto"/>
              <w:right w:val="single" w:sz="4" w:space="0" w:color="auto"/>
            </w:tcBorders>
            <w:shd w:val="clear" w:color="auto" w:fill="auto"/>
            <w:noWrap/>
            <w:vAlign w:val="bottom"/>
            <w:hideMark/>
          </w:tcPr>
          <w:p w14:paraId="519B398B" w14:textId="77777777" w:rsidR="00A17062" w:rsidRPr="008E63BB" w:rsidRDefault="00A17062" w:rsidP="00FD0E46">
            <w:pPr>
              <w:jc w:val="right"/>
              <w:rPr>
                <w:rFonts w:eastAsia="Times New Roman"/>
                <w:szCs w:val="26"/>
              </w:rPr>
            </w:pPr>
            <w:r w:rsidRPr="008E63BB">
              <w:rPr>
                <w:rFonts w:eastAsia="Times New Roman"/>
                <w:szCs w:val="26"/>
              </w:rPr>
              <w:t>64.800</w:t>
            </w:r>
          </w:p>
        </w:tc>
        <w:tc>
          <w:tcPr>
            <w:tcW w:w="1074" w:type="dxa"/>
            <w:tcBorders>
              <w:top w:val="nil"/>
              <w:left w:val="nil"/>
              <w:bottom w:val="single" w:sz="4" w:space="0" w:color="auto"/>
              <w:right w:val="single" w:sz="4" w:space="0" w:color="auto"/>
            </w:tcBorders>
            <w:shd w:val="clear" w:color="auto" w:fill="auto"/>
            <w:noWrap/>
            <w:vAlign w:val="bottom"/>
            <w:hideMark/>
          </w:tcPr>
          <w:p w14:paraId="519B398C" w14:textId="77777777" w:rsidR="00A17062" w:rsidRPr="008E63BB" w:rsidRDefault="00A17062" w:rsidP="00FD0E46">
            <w:pPr>
              <w:jc w:val="right"/>
              <w:rPr>
                <w:rFonts w:eastAsia="Times New Roman"/>
                <w:szCs w:val="26"/>
              </w:rPr>
            </w:pPr>
            <w:r w:rsidRPr="008E63BB">
              <w:rPr>
                <w:rFonts w:eastAsia="Times New Roman"/>
                <w:szCs w:val="26"/>
              </w:rPr>
              <w:t>92.490</w:t>
            </w:r>
          </w:p>
        </w:tc>
      </w:tr>
      <w:tr w:rsidR="00A17062" w:rsidRPr="008E63BB" w14:paraId="519B3997"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8E" w14:textId="77777777" w:rsidR="00A17062" w:rsidRPr="008E63BB" w:rsidRDefault="00A17062" w:rsidP="00FD0E46">
            <w:pPr>
              <w:jc w:val="center"/>
              <w:rPr>
                <w:rFonts w:eastAsia="Times New Roman"/>
                <w:szCs w:val="26"/>
              </w:rPr>
            </w:pPr>
            <w:r w:rsidRPr="008E63BB">
              <w:rPr>
                <w:rFonts w:eastAsia="Times New Roman"/>
                <w:szCs w:val="26"/>
              </w:rPr>
              <w:t>-</w:t>
            </w:r>
          </w:p>
        </w:tc>
        <w:tc>
          <w:tcPr>
            <w:tcW w:w="1977" w:type="dxa"/>
            <w:tcBorders>
              <w:top w:val="nil"/>
              <w:left w:val="nil"/>
              <w:bottom w:val="single" w:sz="4" w:space="0" w:color="auto"/>
              <w:right w:val="single" w:sz="4" w:space="0" w:color="auto"/>
            </w:tcBorders>
            <w:shd w:val="clear" w:color="auto" w:fill="auto"/>
            <w:noWrap/>
            <w:vAlign w:val="bottom"/>
            <w:hideMark/>
          </w:tcPr>
          <w:p w14:paraId="519B398F" w14:textId="77777777" w:rsidR="00A17062" w:rsidRPr="008E63BB" w:rsidRDefault="00A17062" w:rsidP="00FD0E46">
            <w:pPr>
              <w:rPr>
                <w:rFonts w:eastAsia="Times New Roman"/>
                <w:szCs w:val="26"/>
              </w:rPr>
            </w:pPr>
            <w:r w:rsidRPr="008E63BB">
              <w:rPr>
                <w:rFonts w:eastAsia="Times New Roman"/>
                <w:szCs w:val="26"/>
              </w:rPr>
              <w:t>Nội thị</w:t>
            </w:r>
          </w:p>
        </w:tc>
        <w:tc>
          <w:tcPr>
            <w:tcW w:w="1142" w:type="dxa"/>
            <w:tcBorders>
              <w:top w:val="nil"/>
              <w:left w:val="nil"/>
              <w:bottom w:val="single" w:sz="4" w:space="0" w:color="auto"/>
              <w:right w:val="single" w:sz="4" w:space="0" w:color="auto"/>
            </w:tcBorders>
            <w:shd w:val="clear" w:color="auto" w:fill="auto"/>
            <w:hideMark/>
          </w:tcPr>
          <w:p w14:paraId="519B3990" w14:textId="77777777" w:rsidR="00A17062" w:rsidRPr="008E63BB" w:rsidRDefault="00A17062" w:rsidP="00FD0E46">
            <w:pPr>
              <w:jc w:val="center"/>
              <w:rPr>
                <w:rFonts w:eastAsia="Times New Roman"/>
                <w:szCs w:val="26"/>
              </w:rPr>
            </w:pPr>
            <w:r w:rsidRPr="008E63BB">
              <w:rPr>
                <w:rFonts w:eastAsia="Times New Roman"/>
                <w:szCs w:val="26"/>
              </w:rPr>
              <w:t>l/ng.ngđ</w:t>
            </w:r>
          </w:p>
        </w:tc>
        <w:tc>
          <w:tcPr>
            <w:tcW w:w="850" w:type="dxa"/>
            <w:tcBorders>
              <w:top w:val="nil"/>
              <w:left w:val="nil"/>
              <w:bottom w:val="single" w:sz="4" w:space="0" w:color="auto"/>
              <w:right w:val="single" w:sz="4" w:space="0" w:color="auto"/>
            </w:tcBorders>
            <w:shd w:val="clear" w:color="auto" w:fill="auto"/>
            <w:noWrap/>
            <w:vAlign w:val="bottom"/>
            <w:hideMark/>
          </w:tcPr>
          <w:p w14:paraId="519B3991" w14:textId="77777777" w:rsidR="00A17062" w:rsidRPr="008E63BB" w:rsidRDefault="00A17062" w:rsidP="00FD0E46">
            <w:pPr>
              <w:jc w:val="center"/>
              <w:rPr>
                <w:rFonts w:eastAsia="Times New Roman"/>
                <w:szCs w:val="26"/>
              </w:rPr>
            </w:pPr>
            <w:r w:rsidRPr="008E63BB">
              <w:rPr>
                <w:rFonts w:eastAsia="Times New Roman"/>
                <w:szCs w:val="26"/>
              </w:rPr>
              <w:t>150</w:t>
            </w:r>
          </w:p>
        </w:tc>
        <w:tc>
          <w:tcPr>
            <w:tcW w:w="843" w:type="dxa"/>
            <w:tcBorders>
              <w:top w:val="nil"/>
              <w:left w:val="nil"/>
              <w:bottom w:val="single" w:sz="4" w:space="0" w:color="auto"/>
              <w:right w:val="single" w:sz="4" w:space="0" w:color="auto"/>
            </w:tcBorders>
            <w:shd w:val="clear" w:color="auto" w:fill="auto"/>
            <w:noWrap/>
            <w:vAlign w:val="bottom"/>
            <w:hideMark/>
          </w:tcPr>
          <w:p w14:paraId="519B3992" w14:textId="77777777" w:rsidR="00A17062" w:rsidRPr="008E63BB" w:rsidRDefault="00A17062" w:rsidP="00FD0E46">
            <w:pPr>
              <w:jc w:val="center"/>
              <w:rPr>
                <w:rFonts w:eastAsia="Times New Roman"/>
                <w:szCs w:val="26"/>
              </w:rPr>
            </w:pPr>
            <w:r w:rsidRPr="008E63BB">
              <w:rPr>
                <w:rFonts w:eastAsia="Times New Roman"/>
                <w:szCs w:val="26"/>
              </w:rPr>
              <w:t>180</w:t>
            </w:r>
          </w:p>
        </w:tc>
        <w:tc>
          <w:tcPr>
            <w:tcW w:w="1126" w:type="dxa"/>
            <w:tcBorders>
              <w:top w:val="nil"/>
              <w:left w:val="nil"/>
              <w:bottom w:val="single" w:sz="4" w:space="0" w:color="auto"/>
              <w:right w:val="single" w:sz="4" w:space="0" w:color="auto"/>
            </w:tcBorders>
            <w:shd w:val="clear" w:color="auto" w:fill="auto"/>
            <w:hideMark/>
          </w:tcPr>
          <w:p w14:paraId="519B3993" w14:textId="77777777" w:rsidR="00A17062" w:rsidRPr="008E63BB" w:rsidRDefault="00A17062" w:rsidP="00FD0E46">
            <w:pPr>
              <w:jc w:val="center"/>
              <w:rPr>
                <w:rFonts w:eastAsia="Times New Roman"/>
                <w:szCs w:val="26"/>
              </w:rPr>
            </w:pPr>
            <w:r w:rsidRPr="008E63BB">
              <w:rPr>
                <w:rFonts w:eastAsia="Times New Roman"/>
                <w:szCs w:val="26"/>
              </w:rPr>
              <w:t>300.000</w:t>
            </w:r>
          </w:p>
        </w:tc>
        <w:tc>
          <w:tcPr>
            <w:tcW w:w="1126" w:type="dxa"/>
            <w:tcBorders>
              <w:top w:val="nil"/>
              <w:left w:val="nil"/>
              <w:bottom w:val="single" w:sz="4" w:space="0" w:color="auto"/>
              <w:right w:val="single" w:sz="4" w:space="0" w:color="auto"/>
            </w:tcBorders>
            <w:shd w:val="clear" w:color="auto" w:fill="auto"/>
            <w:hideMark/>
          </w:tcPr>
          <w:p w14:paraId="519B3994" w14:textId="77777777" w:rsidR="00A17062" w:rsidRPr="008E63BB" w:rsidRDefault="00A17062" w:rsidP="00FD0E46">
            <w:pPr>
              <w:jc w:val="right"/>
              <w:rPr>
                <w:rFonts w:eastAsia="Times New Roman"/>
                <w:szCs w:val="26"/>
              </w:rPr>
            </w:pPr>
            <w:r w:rsidRPr="008E63BB">
              <w:rPr>
                <w:rFonts w:eastAsia="Times New Roman"/>
                <w:szCs w:val="26"/>
              </w:rPr>
              <w:t>365.000</w:t>
            </w:r>
          </w:p>
        </w:tc>
        <w:tc>
          <w:tcPr>
            <w:tcW w:w="1061" w:type="dxa"/>
            <w:tcBorders>
              <w:top w:val="nil"/>
              <w:left w:val="nil"/>
              <w:bottom w:val="single" w:sz="4" w:space="0" w:color="auto"/>
              <w:right w:val="single" w:sz="4" w:space="0" w:color="auto"/>
            </w:tcBorders>
            <w:shd w:val="clear" w:color="auto" w:fill="auto"/>
            <w:hideMark/>
          </w:tcPr>
          <w:p w14:paraId="519B3995" w14:textId="77777777" w:rsidR="00A17062" w:rsidRPr="008E63BB" w:rsidRDefault="00A17062" w:rsidP="00FD0E46">
            <w:pPr>
              <w:jc w:val="right"/>
              <w:rPr>
                <w:rFonts w:eastAsia="Times New Roman"/>
                <w:szCs w:val="26"/>
              </w:rPr>
            </w:pPr>
            <w:r w:rsidRPr="008E63BB">
              <w:rPr>
                <w:rFonts w:eastAsia="Times New Roman"/>
                <w:szCs w:val="26"/>
              </w:rPr>
              <w:t>45.000</w:t>
            </w:r>
          </w:p>
        </w:tc>
        <w:tc>
          <w:tcPr>
            <w:tcW w:w="1074" w:type="dxa"/>
            <w:tcBorders>
              <w:top w:val="nil"/>
              <w:left w:val="nil"/>
              <w:bottom w:val="single" w:sz="4" w:space="0" w:color="auto"/>
              <w:right w:val="single" w:sz="4" w:space="0" w:color="auto"/>
            </w:tcBorders>
            <w:shd w:val="clear" w:color="auto" w:fill="auto"/>
            <w:hideMark/>
          </w:tcPr>
          <w:p w14:paraId="519B3996" w14:textId="77777777" w:rsidR="00A17062" w:rsidRPr="008E63BB" w:rsidRDefault="00A17062" w:rsidP="00FD0E46">
            <w:pPr>
              <w:jc w:val="right"/>
              <w:rPr>
                <w:rFonts w:eastAsia="Times New Roman"/>
                <w:szCs w:val="26"/>
              </w:rPr>
            </w:pPr>
            <w:r w:rsidRPr="008E63BB">
              <w:rPr>
                <w:rFonts w:eastAsia="Times New Roman"/>
                <w:szCs w:val="26"/>
              </w:rPr>
              <w:t>65.700</w:t>
            </w:r>
          </w:p>
        </w:tc>
      </w:tr>
      <w:tr w:rsidR="00A17062" w:rsidRPr="008E63BB" w14:paraId="519B39A1"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98" w14:textId="77777777" w:rsidR="00A17062" w:rsidRPr="008E63BB" w:rsidRDefault="00A17062" w:rsidP="00FD0E46">
            <w:pPr>
              <w:jc w:val="center"/>
              <w:rPr>
                <w:rFonts w:eastAsia="Times New Roman"/>
                <w:szCs w:val="26"/>
              </w:rPr>
            </w:pPr>
            <w:r w:rsidRPr="008E63BB">
              <w:rPr>
                <w:rFonts w:eastAsia="Times New Roman"/>
                <w:szCs w:val="26"/>
              </w:rPr>
              <w:t>-</w:t>
            </w:r>
          </w:p>
        </w:tc>
        <w:tc>
          <w:tcPr>
            <w:tcW w:w="1977" w:type="dxa"/>
            <w:tcBorders>
              <w:top w:val="nil"/>
              <w:left w:val="nil"/>
              <w:bottom w:val="single" w:sz="4" w:space="0" w:color="auto"/>
              <w:right w:val="single" w:sz="4" w:space="0" w:color="auto"/>
            </w:tcBorders>
            <w:shd w:val="clear" w:color="auto" w:fill="auto"/>
            <w:noWrap/>
            <w:vAlign w:val="bottom"/>
            <w:hideMark/>
          </w:tcPr>
          <w:p w14:paraId="519B3999" w14:textId="77777777" w:rsidR="00A17062" w:rsidRPr="008E63BB" w:rsidRDefault="00A17062" w:rsidP="00FD0E46">
            <w:pPr>
              <w:rPr>
                <w:rFonts w:eastAsia="Times New Roman"/>
                <w:szCs w:val="26"/>
              </w:rPr>
            </w:pPr>
            <w:r w:rsidRPr="008E63BB">
              <w:rPr>
                <w:rFonts w:eastAsia="Times New Roman"/>
                <w:szCs w:val="26"/>
              </w:rPr>
              <w:t>Ngoại thị</w:t>
            </w:r>
          </w:p>
        </w:tc>
        <w:tc>
          <w:tcPr>
            <w:tcW w:w="1142" w:type="dxa"/>
            <w:tcBorders>
              <w:top w:val="nil"/>
              <w:left w:val="nil"/>
              <w:bottom w:val="single" w:sz="4" w:space="0" w:color="auto"/>
              <w:right w:val="single" w:sz="4" w:space="0" w:color="auto"/>
            </w:tcBorders>
            <w:shd w:val="clear" w:color="auto" w:fill="auto"/>
            <w:hideMark/>
          </w:tcPr>
          <w:p w14:paraId="519B399A" w14:textId="77777777" w:rsidR="00A17062" w:rsidRPr="008E63BB" w:rsidRDefault="00A17062" w:rsidP="00FD0E46">
            <w:pPr>
              <w:jc w:val="center"/>
              <w:rPr>
                <w:rFonts w:eastAsia="Times New Roman"/>
                <w:szCs w:val="26"/>
              </w:rPr>
            </w:pPr>
            <w:r w:rsidRPr="008E63BB">
              <w:rPr>
                <w:rFonts w:eastAsia="Times New Roman"/>
                <w:szCs w:val="26"/>
              </w:rPr>
              <w:t>l/ng.ngđ</w:t>
            </w:r>
          </w:p>
        </w:tc>
        <w:tc>
          <w:tcPr>
            <w:tcW w:w="850" w:type="dxa"/>
            <w:tcBorders>
              <w:top w:val="nil"/>
              <w:left w:val="nil"/>
              <w:bottom w:val="single" w:sz="4" w:space="0" w:color="auto"/>
              <w:right w:val="single" w:sz="4" w:space="0" w:color="auto"/>
            </w:tcBorders>
            <w:shd w:val="clear" w:color="auto" w:fill="auto"/>
            <w:noWrap/>
            <w:vAlign w:val="bottom"/>
            <w:hideMark/>
          </w:tcPr>
          <w:p w14:paraId="519B399B" w14:textId="77777777" w:rsidR="00A17062" w:rsidRPr="008E63BB" w:rsidRDefault="00A17062" w:rsidP="00FD0E46">
            <w:pPr>
              <w:jc w:val="center"/>
              <w:rPr>
                <w:rFonts w:eastAsia="Times New Roman"/>
                <w:szCs w:val="26"/>
              </w:rPr>
            </w:pPr>
            <w:r w:rsidRPr="008E63BB">
              <w:rPr>
                <w:rFonts w:eastAsia="Times New Roman"/>
                <w:szCs w:val="26"/>
              </w:rPr>
              <w:t>100</w:t>
            </w:r>
          </w:p>
        </w:tc>
        <w:tc>
          <w:tcPr>
            <w:tcW w:w="843" w:type="dxa"/>
            <w:tcBorders>
              <w:top w:val="nil"/>
              <w:left w:val="nil"/>
              <w:bottom w:val="single" w:sz="4" w:space="0" w:color="auto"/>
              <w:right w:val="single" w:sz="4" w:space="0" w:color="auto"/>
            </w:tcBorders>
            <w:shd w:val="clear" w:color="auto" w:fill="auto"/>
            <w:noWrap/>
            <w:vAlign w:val="bottom"/>
            <w:hideMark/>
          </w:tcPr>
          <w:p w14:paraId="519B399C" w14:textId="77777777" w:rsidR="00A17062" w:rsidRPr="008E63BB" w:rsidRDefault="00A17062" w:rsidP="00FD0E46">
            <w:pPr>
              <w:jc w:val="center"/>
              <w:rPr>
                <w:rFonts w:eastAsia="Times New Roman"/>
                <w:szCs w:val="26"/>
              </w:rPr>
            </w:pPr>
            <w:r w:rsidRPr="008E63BB">
              <w:rPr>
                <w:rFonts w:eastAsia="Times New Roman"/>
                <w:szCs w:val="26"/>
              </w:rPr>
              <w:t>120</w:t>
            </w:r>
          </w:p>
        </w:tc>
        <w:tc>
          <w:tcPr>
            <w:tcW w:w="1126" w:type="dxa"/>
            <w:tcBorders>
              <w:top w:val="nil"/>
              <w:left w:val="nil"/>
              <w:bottom w:val="single" w:sz="4" w:space="0" w:color="auto"/>
              <w:right w:val="single" w:sz="4" w:space="0" w:color="auto"/>
            </w:tcBorders>
            <w:shd w:val="clear" w:color="auto" w:fill="auto"/>
            <w:noWrap/>
            <w:vAlign w:val="bottom"/>
            <w:hideMark/>
          </w:tcPr>
          <w:p w14:paraId="519B399D" w14:textId="77777777" w:rsidR="00A17062" w:rsidRPr="008E63BB" w:rsidRDefault="00A17062" w:rsidP="00FD0E46">
            <w:pPr>
              <w:jc w:val="center"/>
              <w:rPr>
                <w:rFonts w:eastAsia="Times New Roman"/>
                <w:szCs w:val="26"/>
              </w:rPr>
            </w:pPr>
            <w:r w:rsidRPr="008E63BB">
              <w:rPr>
                <w:rFonts w:eastAsia="Times New Roman"/>
                <w:szCs w:val="26"/>
              </w:rPr>
              <w:t>220.000</w:t>
            </w:r>
          </w:p>
        </w:tc>
        <w:tc>
          <w:tcPr>
            <w:tcW w:w="1126" w:type="dxa"/>
            <w:tcBorders>
              <w:top w:val="nil"/>
              <w:left w:val="nil"/>
              <w:bottom w:val="single" w:sz="4" w:space="0" w:color="auto"/>
              <w:right w:val="single" w:sz="4" w:space="0" w:color="auto"/>
            </w:tcBorders>
            <w:shd w:val="clear" w:color="auto" w:fill="auto"/>
            <w:hideMark/>
          </w:tcPr>
          <w:p w14:paraId="519B399E" w14:textId="77777777" w:rsidR="00A17062" w:rsidRPr="008E63BB" w:rsidRDefault="00A17062" w:rsidP="00FD0E46">
            <w:pPr>
              <w:jc w:val="right"/>
              <w:rPr>
                <w:rFonts w:eastAsia="Times New Roman"/>
                <w:szCs w:val="26"/>
              </w:rPr>
            </w:pPr>
            <w:r w:rsidRPr="008E63BB">
              <w:rPr>
                <w:rFonts w:eastAsia="Times New Roman"/>
                <w:szCs w:val="26"/>
              </w:rPr>
              <w:t>235.000</w:t>
            </w:r>
          </w:p>
        </w:tc>
        <w:tc>
          <w:tcPr>
            <w:tcW w:w="1061" w:type="dxa"/>
            <w:tcBorders>
              <w:top w:val="nil"/>
              <w:left w:val="nil"/>
              <w:bottom w:val="single" w:sz="4" w:space="0" w:color="auto"/>
              <w:right w:val="single" w:sz="4" w:space="0" w:color="auto"/>
            </w:tcBorders>
            <w:shd w:val="clear" w:color="auto" w:fill="auto"/>
            <w:hideMark/>
          </w:tcPr>
          <w:p w14:paraId="519B399F" w14:textId="77777777" w:rsidR="00A17062" w:rsidRPr="008E63BB" w:rsidRDefault="00A17062" w:rsidP="00FD0E46">
            <w:pPr>
              <w:jc w:val="right"/>
              <w:rPr>
                <w:rFonts w:eastAsia="Times New Roman"/>
                <w:szCs w:val="26"/>
              </w:rPr>
            </w:pPr>
            <w:r w:rsidRPr="008E63BB">
              <w:rPr>
                <w:rFonts w:eastAsia="Times New Roman"/>
                <w:szCs w:val="26"/>
              </w:rPr>
              <w:t>19.800</w:t>
            </w:r>
          </w:p>
        </w:tc>
        <w:tc>
          <w:tcPr>
            <w:tcW w:w="1074" w:type="dxa"/>
            <w:tcBorders>
              <w:top w:val="nil"/>
              <w:left w:val="nil"/>
              <w:bottom w:val="single" w:sz="4" w:space="0" w:color="auto"/>
              <w:right w:val="single" w:sz="4" w:space="0" w:color="auto"/>
            </w:tcBorders>
            <w:shd w:val="clear" w:color="auto" w:fill="auto"/>
            <w:hideMark/>
          </w:tcPr>
          <w:p w14:paraId="519B39A0" w14:textId="77777777" w:rsidR="00A17062" w:rsidRPr="008E63BB" w:rsidRDefault="00A17062" w:rsidP="00FD0E46">
            <w:pPr>
              <w:jc w:val="right"/>
              <w:rPr>
                <w:rFonts w:eastAsia="Times New Roman"/>
                <w:szCs w:val="26"/>
              </w:rPr>
            </w:pPr>
            <w:r w:rsidRPr="008E63BB">
              <w:rPr>
                <w:rFonts w:eastAsia="Times New Roman"/>
                <w:szCs w:val="26"/>
              </w:rPr>
              <w:t>26.790</w:t>
            </w:r>
          </w:p>
        </w:tc>
      </w:tr>
      <w:tr w:rsidR="00A17062" w:rsidRPr="008E63BB" w14:paraId="519B39AB"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A2" w14:textId="77777777" w:rsidR="00A17062" w:rsidRPr="008E63BB" w:rsidRDefault="00A17062" w:rsidP="00FD0E46">
            <w:pPr>
              <w:jc w:val="center"/>
              <w:rPr>
                <w:rFonts w:eastAsia="Times New Roman"/>
                <w:szCs w:val="26"/>
              </w:rPr>
            </w:pPr>
            <w:r w:rsidRPr="008E63BB">
              <w:rPr>
                <w:rFonts w:eastAsia="Times New Roman"/>
                <w:szCs w:val="26"/>
              </w:rPr>
              <w:t>2</w:t>
            </w:r>
          </w:p>
        </w:tc>
        <w:tc>
          <w:tcPr>
            <w:tcW w:w="1977" w:type="dxa"/>
            <w:tcBorders>
              <w:top w:val="nil"/>
              <w:left w:val="nil"/>
              <w:bottom w:val="single" w:sz="4" w:space="0" w:color="auto"/>
              <w:right w:val="single" w:sz="4" w:space="0" w:color="auto"/>
            </w:tcBorders>
            <w:shd w:val="clear" w:color="auto" w:fill="auto"/>
            <w:noWrap/>
            <w:vAlign w:val="bottom"/>
            <w:hideMark/>
          </w:tcPr>
          <w:p w14:paraId="519B39A3" w14:textId="77777777" w:rsidR="00A17062" w:rsidRPr="008E63BB" w:rsidRDefault="00A17062" w:rsidP="00FD0E46">
            <w:pPr>
              <w:rPr>
                <w:rFonts w:eastAsia="Times New Roman"/>
                <w:szCs w:val="26"/>
              </w:rPr>
            </w:pPr>
            <w:r w:rsidRPr="008E63BB">
              <w:rPr>
                <w:rFonts w:eastAsia="Times New Roman"/>
                <w:szCs w:val="26"/>
              </w:rPr>
              <w:t>Nước công cộng</w:t>
            </w:r>
          </w:p>
        </w:tc>
        <w:tc>
          <w:tcPr>
            <w:tcW w:w="1142" w:type="dxa"/>
            <w:tcBorders>
              <w:top w:val="nil"/>
              <w:left w:val="nil"/>
              <w:bottom w:val="single" w:sz="4" w:space="0" w:color="auto"/>
              <w:right w:val="single" w:sz="4" w:space="0" w:color="auto"/>
            </w:tcBorders>
            <w:shd w:val="clear" w:color="auto" w:fill="auto"/>
            <w:vAlign w:val="bottom"/>
            <w:hideMark/>
          </w:tcPr>
          <w:p w14:paraId="519B39A4" w14:textId="77777777" w:rsidR="00A17062" w:rsidRPr="008E63BB" w:rsidRDefault="00A17062" w:rsidP="00FD0E46">
            <w:pPr>
              <w:jc w:val="center"/>
              <w:rPr>
                <w:rFonts w:eastAsia="Times New Roman"/>
                <w:szCs w:val="26"/>
              </w:rPr>
            </w:pPr>
            <w:r w:rsidRPr="008E63BB">
              <w:rPr>
                <w:rFonts w:eastAsia="Times New Roman"/>
                <w:szCs w:val="26"/>
              </w:rPr>
              <w:t>Q</w:t>
            </w:r>
            <w:r w:rsidRPr="008E63BB">
              <w:rPr>
                <w:rFonts w:eastAsia="Times New Roman"/>
                <w:szCs w:val="26"/>
                <w:vertAlign w:val="subscript"/>
              </w:rPr>
              <w:t>sh</w:t>
            </w:r>
          </w:p>
        </w:tc>
        <w:tc>
          <w:tcPr>
            <w:tcW w:w="850" w:type="dxa"/>
            <w:tcBorders>
              <w:top w:val="nil"/>
              <w:left w:val="nil"/>
              <w:bottom w:val="single" w:sz="4" w:space="0" w:color="auto"/>
              <w:right w:val="single" w:sz="4" w:space="0" w:color="auto"/>
            </w:tcBorders>
            <w:shd w:val="clear" w:color="auto" w:fill="auto"/>
            <w:noWrap/>
            <w:vAlign w:val="bottom"/>
            <w:hideMark/>
          </w:tcPr>
          <w:p w14:paraId="519B39A5" w14:textId="77777777" w:rsidR="00A17062" w:rsidRPr="008E63BB" w:rsidRDefault="00A17062" w:rsidP="00FD0E46">
            <w:pPr>
              <w:jc w:val="center"/>
              <w:rPr>
                <w:rFonts w:eastAsia="Times New Roman"/>
                <w:szCs w:val="26"/>
              </w:rPr>
            </w:pPr>
            <w:r w:rsidRPr="008E63BB">
              <w:rPr>
                <w:rFonts w:eastAsia="Times New Roman"/>
                <w:szCs w:val="26"/>
              </w:rPr>
              <w:t>15%</w:t>
            </w:r>
          </w:p>
        </w:tc>
        <w:tc>
          <w:tcPr>
            <w:tcW w:w="843" w:type="dxa"/>
            <w:tcBorders>
              <w:top w:val="nil"/>
              <w:left w:val="nil"/>
              <w:bottom w:val="single" w:sz="4" w:space="0" w:color="auto"/>
              <w:right w:val="single" w:sz="4" w:space="0" w:color="auto"/>
            </w:tcBorders>
            <w:shd w:val="clear" w:color="auto" w:fill="auto"/>
            <w:noWrap/>
            <w:vAlign w:val="bottom"/>
            <w:hideMark/>
          </w:tcPr>
          <w:p w14:paraId="519B39A6" w14:textId="77777777" w:rsidR="00A17062" w:rsidRPr="008E63BB" w:rsidRDefault="00A17062" w:rsidP="00FD0E46">
            <w:pPr>
              <w:jc w:val="center"/>
              <w:rPr>
                <w:rFonts w:eastAsia="Times New Roman"/>
                <w:szCs w:val="26"/>
              </w:rPr>
            </w:pPr>
            <w:r w:rsidRPr="008E63BB">
              <w:rPr>
                <w:rFonts w:eastAsia="Times New Roman"/>
                <w:szCs w:val="26"/>
              </w:rPr>
              <w:t>15%</w:t>
            </w:r>
          </w:p>
        </w:tc>
        <w:tc>
          <w:tcPr>
            <w:tcW w:w="1126" w:type="dxa"/>
            <w:tcBorders>
              <w:top w:val="nil"/>
              <w:left w:val="nil"/>
              <w:bottom w:val="single" w:sz="4" w:space="0" w:color="auto"/>
              <w:right w:val="single" w:sz="4" w:space="0" w:color="auto"/>
            </w:tcBorders>
            <w:shd w:val="clear" w:color="auto" w:fill="auto"/>
            <w:hideMark/>
          </w:tcPr>
          <w:p w14:paraId="519B39A7"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A8" w14:textId="77777777" w:rsidR="00A17062" w:rsidRPr="008E63BB" w:rsidRDefault="00A17062" w:rsidP="00FD0E46">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hideMark/>
          </w:tcPr>
          <w:p w14:paraId="519B39A9" w14:textId="77777777" w:rsidR="00A17062" w:rsidRPr="008E63BB" w:rsidRDefault="00A17062" w:rsidP="00FD0E46">
            <w:pPr>
              <w:jc w:val="right"/>
              <w:rPr>
                <w:rFonts w:eastAsia="Times New Roman"/>
                <w:szCs w:val="26"/>
              </w:rPr>
            </w:pPr>
            <w:r w:rsidRPr="008E63BB">
              <w:rPr>
                <w:rFonts w:eastAsia="Times New Roman"/>
                <w:szCs w:val="26"/>
              </w:rPr>
              <w:t>9.720</w:t>
            </w:r>
          </w:p>
        </w:tc>
        <w:tc>
          <w:tcPr>
            <w:tcW w:w="1074" w:type="dxa"/>
            <w:tcBorders>
              <w:top w:val="nil"/>
              <w:left w:val="nil"/>
              <w:bottom w:val="single" w:sz="4" w:space="0" w:color="auto"/>
              <w:right w:val="single" w:sz="4" w:space="0" w:color="auto"/>
            </w:tcBorders>
            <w:shd w:val="clear" w:color="auto" w:fill="auto"/>
            <w:hideMark/>
          </w:tcPr>
          <w:p w14:paraId="519B39AA" w14:textId="77777777" w:rsidR="00A17062" w:rsidRPr="008E63BB" w:rsidRDefault="00A17062" w:rsidP="00FD0E46">
            <w:pPr>
              <w:jc w:val="right"/>
              <w:rPr>
                <w:rFonts w:eastAsia="Times New Roman"/>
                <w:szCs w:val="26"/>
              </w:rPr>
            </w:pPr>
            <w:r w:rsidRPr="008E63BB">
              <w:rPr>
                <w:rFonts w:eastAsia="Times New Roman"/>
                <w:szCs w:val="26"/>
              </w:rPr>
              <w:t>13.874</w:t>
            </w:r>
          </w:p>
        </w:tc>
      </w:tr>
      <w:tr w:rsidR="00A17062" w:rsidRPr="008E63BB" w14:paraId="519B39B5"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AC" w14:textId="77777777" w:rsidR="00A17062" w:rsidRPr="008E63BB" w:rsidRDefault="00A17062" w:rsidP="00FD0E46">
            <w:pPr>
              <w:jc w:val="center"/>
              <w:rPr>
                <w:rFonts w:eastAsia="Times New Roman"/>
                <w:szCs w:val="26"/>
              </w:rPr>
            </w:pPr>
            <w:r w:rsidRPr="008E63BB">
              <w:rPr>
                <w:rFonts w:eastAsia="Times New Roman"/>
                <w:szCs w:val="26"/>
              </w:rPr>
              <w:t>3</w:t>
            </w:r>
          </w:p>
        </w:tc>
        <w:tc>
          <w:tcPr>
            <w:tcW w:w="1977" w:type="dxa"/>
            <w:tcBorders>
              <w:top w:val="nil"/>
              <w:left w:val="nil"/>
              <w:bottom w:val="single" w:sz="4" w:space="0" w:color="auto"/>
              <w:right w:val="single" w:sz="4" w:space="0" w:color="auto"/>
            </w:tcBorders>
            <w:shd w:val="clear" w:color="auto" w:fill="auto"/>
            <w:noWrap/>
            <w:vAlign w:val="bottom"/>
            <w:hideMark/>
          </w:tcPr>
          <w:p w14:paraId="519B39AD" w14:textId="77777777" w:rsidR="00A17062" w:rsidRPr="008E63BB" w:rsidRDefault="00A17062" w:rsidP="00FD0E46">
            <w:pPr>
              <w:rPr>
                <w:rFonts w:eastAsia="Times New Roman"/>
                <w:szCs w:val="26"/>
              </w:rPr>
            </w:pPr>
            <w:r w:rsidRPr="008E63BB">
              <w:rPr>
                <w:rFonts w:eastAsia="Times New Roman"/>
                <w:szCs w:val="26"/>
              </w:rPr>
              <w:t>Nước công nghiệp</w:t>
            </w:r>
          </w:p>
        </w:tc>
        <w:tc>
          <w:tcPr>
            <w:tcW w:w="1142" w:type="dxa"/>
            <w:tcBorders>
              <w:top w:val="nil"/>
              <w:left w:val="nil"/>
              <w:bottom w:val="single" w:sz="4" w:space="0" w:color="auto"/>
              <w:right w:val="single" w:sz="4" w:space="0" w:color="auto"/>
            </w:tcBorders>
            <w:shd w:val="clear" w:color="auto" w:fill="auto"/>
            <w:vAlign w:val="bottom"/>
            <w:hideMark/>
          </w:tcPr>
          <w:p w14:paraId="519B39AE" w14:textId="77777777" w:rsidR="00A17062" w:rsidRPr="008E63BB" w:rsidRDefault="00A17062" w:rsidP="00FD0E46">
            <w:pPr>
              <w:jc w:val="center"/>
              <w:rPr>
                <w:rFonts w:eastAsia="Times New Roman"/>
                <w:szCs w:val="26"/>
              </w:rPr>
            </w:pPr>
            <w:r w:rsidRPr="008E63BB">
              <w:rPr>
                <w:rFonts w:eastAsia="Times New Roman"/>
                <w:szCs w:val="26"/>
              </w:rPr>
              <w:t> </w:t>
            </w:r>
          </w:p>
        </w:tc>
        <w:tc>
          <w:tcPr>
            <w:tcW w:w="850" w:type="dxa"/>
            <w:tcBorders>
              <w:top w:val="nil"/>
              <w:left w:val="nil"/>
              <w:bottom w:val="single" w:sz="4" w:space="0" w:color="auto"/>
              <w:right w:val="single" w:sz="4" w:space="0" w:color="auto"/>
            </w:tcBorders>
            <w:shd w:val="clear" w:color="auto" w:fill="auto"/>
            <w:noWrap/>
            <w:vAlign w:val="bottom"/>
            <w:hideMark/>
          </w:tcPr>
          <w:p w14:paraId="519B39AF" w14:textId="77777777" w:rsidR="00A17062" w:rsidRPr="008E63BB" w:rsidRDefault="00A17062" w:rsidP="00FD0E46">
            <w:pPr>
              <w:jc w:val="center"/>
              <w:rPr>
                <w:rFonts w:eastAsia="Times New Roman"/>
                <w:szCs w:val="26"/>
              </w:rPr>
            </w:pPr>
            <w:r w:rsidRPr="008E63BB">
              <w:rPr>
                <w:rFonts w:eastAsia="Times New Roman"/>
                <w:szCs w:val="26"/>
              </w:rPr>
              <w:t> </w:t>
            </w:r>
          </w:p>
        </w:tc>
        <w:tc>
          <w:tcPr>
            <w:tcW w:w="843" w:type="dxa"/>
            <w:tcBorders>
              <w:top w:val="nil"/>
              <w:left w:val="nil"/>
              <w:bottom w:val="single" w:sz="4" w:space="0" w:color="auto"/>
              <w:right w:val="single" w:sz="4" w:space="0" w:color="auto"/>
            </w:tcBorders>
            <w:shd w:val="clear" w:color="auto" w:fill="auto"/>
            <w:noWrap/>
            <w:vAlign w:val="bottom"/>
            <w:hideMark/>
          </w:tcPr>
          <w:p w14:paraId="519B39B0"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hideMark/>
          </w:tcPr>
          <w:p w14:paraId="519B39B1"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B2" w14:textId="77777777" w:rsidR="00A17062" w:rsidRPr="008E63BB" w:rsidRDefault="00A17062" w:rsidP="00FD0E46">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hideMark/>
          </w:tcPr>
          <w:p w14:paraId="519B39B3" w14:textId="77777777" w:rsidR="00A17062" w:rsidRPr="008E63BB" w:rsidRDefault="00A17062" w:rsidP="00FD0E46">
            <w:pPr>
              <w:jc w:val="right"/>
              <w:rPr>
                <w:rFonts w:eastAsia="Times New Roman"/>
                <w:szCs w:val="26"/>
              </w:rPr>
            </w:pPr>
            <w:r w:rsidRPr="008E63BB">
              <w:rPr>
                <w:rFonts w:eastAsia="Times New Roman"/>
                <w:szCs w:val="26"/>
              </w:rPr>
              <w:t>21.570</w:t>
            </w:r>
          </w:p>
        </w:tc>
        <w:tc>
          <w:tcPr>
            <w:tcW w:w="1074" w:type="dxa"/>
            <w:tcBorders>
              <w:top w:val="nil"/>
              <w:left w:val="nil"/>
              <w:bottom w:val="single" w:sz="4" w:space="0" w:color="auto"/>
              <w:right w:val="single" w:sz="4" w:space="0" w:color="auto"/>
            </w:tcBorders>
            <w:shd w:val="clear" w:color="auto" w:fill="auto"/>
            <w:hideMark/>
          </w:tcPr>
          <w:p w14:paraId="519B39B4" w14:textId="77777777" w:rsidR="00A17062" w:rsidRPr="008E63BB" w:rsidRDefault="00A17062" w:rsidP="00FD0E46">
            <w:pPr>
              <w:jc w:val="right"/>
              <w:rPr>
                <w:rFonts w:eastAsia="Times New Roman"/>
                <w:szCs w:val="26"/>
              </w:rPr>
            </w:pPr>
            <w:r w:rsidRPr="008E63BB">
              <w:rPr>
                <w:rFonts w:eastAsia="Times New Roman"/>
                <w:szCs w:val="26"/>
              </w:rPr>
              <w:t>25.882</w:t>
            </w:r>
          </w:p>
        </w:tc>
      </w:tr>
      <w:tr w:rsidR="00A17062" w:rsidRPr="008E63BB" w14:paraId="519B39BF"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B6" w14:textId="77777777" w:rsidR="00A17062" w:rsidRPr="008E63BB" w:rsidRDefault="00A17062" w:rsidP="00FD0E46">
            <w:pPr>
              <w:jc w:val="center"/>
              <w:rPr>
                <w:rFonts w:eastAsia="Times New Roman"/>
                <w:szCs w:val="26"/>
              </w:rPr>
            </w:pPr>
            <w:r w:rsidRPr="008E63BB">
              <w:rPr>
                <w:rFonts w:eastAsia="Times New Roman"/>
                <w:szCs w:val="26"/>
              </w:rPr>
              <w:t>-</w:t>
            </w:r>
          </w:p>
        </w:tc>
        <w:tc>
          <w:tcPr>
            <w:tcW w:w="1977" w:type="dxa"/>
            <w:tcBorders>
              <w:top w:val="nil"/>
              <w:left w:val="nil"/>
              <w:bottom w:val="single" w:sz="4" w:space="0" w:color="auto"/>
              <w:right w:val="single" w:sz="4" w:space="0" w:color="auto"/>
            </w:tcBorders>
            <w:shd w:val="clear" w:color="auto" w:fill="auto"/>
            <w:noWrap/>
            <w:vAlign w:val="bottom"/>
            <w:hideMark/>
          </w:tcPr>
          <w:p w14:paraId="519B39B7" w14:textId="77777777" w:rsidR="00A17062" w:rsidRPr="008E63BB" w:rsidRDefault="00A17062" w:rsidP="00FD0E46">
            <w:pPr>
              <w:rPr>
                <w:rFonts w:eastAsia="Times New Roman"/>
                <w:szCs w:val="26"/>
              </w:rPr>
            </w:pPr>
            <w:r w:rsidRPr="008E63BB">
              <w:rPr>
                <w:rFonts w:eastAsia="Times New Roman"/>
                <w:szCs w:val="26"/>
              </w:rPr>
              <w:t>Nội thị</w:t>
            </w:r>
          </w:p>
        </w:tc>
        <w:tc>
          <w:tcPr>
            <w:tcW w:w="1142" w:type="dxa"/>
            <w:tcBorders>
              <w:top w:val="nil"/>
              <w:left w:val="nil"/>
              <w:bottom w:val="single" w:sz="4" w:space="0" w:color="auto"/>
              <w:right w:val="single" w:sz="4" w:space="0" w:color="auto"/>
            </w:tcBorders>
            <w:shd w:val="clear" w:color="auto" w:fill="auto"/>
            <w:vAlign w:val="bottom"/>
            <w:hideMark/>
          </w:tcPr>
          <w:p w14:paraId="519B39B8" w14:textId="77777777" w:rsidR="00A17062" w:rsidRPr="008E63BB" w:rsidRDefault="00A17062" w:rsidP="00FD0E46">
            <w:pPr>
              <w:jc w:val="center"/>
              <w:rPr>
                <w:rFonts w:eastAsia="Times New Roman"/>
                <w:szCs w:val="26"/>
              </w:rPr>
            </w:pPr>
            <w:r w:rsidRPr="008E63BB">
              <w:rPr>
                <w:rFonts w:eastAsia="Times New Roman"/>
                <w:szCs w:val="26"/>
              </w:rPr>
              <w:t>m3/ha</w:t>
            </w:r>
          </w:p>
        </w:tc>
        <w:tc>
          <w:tcPr>
            <w:tcW w:w="850" w:type="dxa"/>
            <w:tcBorders>
              <w:top w:val="nil"/>
              <w:left w:val="nil"/>
              <w:bottom w:val="single" w:sz="4" w:space="0" w:color="auto"/>
              <w:right w:val="single" w:sz="4" w:space="0" w:color="auto"/>
            </w:tcBorders>
            <w:shd w:val="clear" w:color="auto" w:fill="auto"/>
            <w:noWrap/>
            <w:vAlign w:val="bottom"/>
            <w:hideMark/>
          </w:tcPr>
          <w:p w14:paraId="519B39B9" w14:textId="77777777" w:rsidR="00A17062" w:rsidRPr="008E63BB" w:rsidRDefault="00A17062" w:rsidP="00FD0E46">
            <w:pPr>
              <w:jc w:val="center"/>
              <w:rPr>
                <w:rFonts w:eastAsia="Times New Roman"/>
                <w:szCs w:val="26"/>
              </w:rPr>
            </w:pPr>
            <w:r w:rsidRPr="008E63BB">
              <w:rPr>
                <w:rFonts w:eastAsia="Times New Roman"/>
                <w:szCs w:val="26"/>
              </w:rPr>
              <w:t>45</w:t>
            </w:r>
          </w:p>
        </w:tc>
        <w:tc>
          <w:tcPr>
            <w:tcW w:w="843" w:type="dxa"/>
            <w:tcBorders>
              <w:top w:val="nil"/>
              <w:left w:val="nil"/>
              <w:bottom w:val="single" w:sz="4" w:space="0" w:color="auto"/>
              <w:right w:val="single" w:sz="4" w:space="0" w:color="auto"/>
            </w:tcBorders>
            <w:shd w:val="clear" w:color="auto" w:fill="auto"/>
            <w:noWrap/>
            <w:vAlign w:val="bottom"/>
            <w:hideMark/>
          </w:tcPr>
          <w:p w14:paraId="519B39BA" w14:textId="77777777" w:rsidR="00A17062" w:rsidRPr="008E63BB" w:rsidRDefault="00A17062" w:rsidP="00FD0E46">
            <w:pPr>
              <w:jc w:val="center"/>
              <w:rPr>
                <w:rFonts w:eastAsia="Times New Roman"/>
                <w:szCs w:val="26"/>
              </w:rPr>
            </w:pPr>
            <w:r w:rsidRPr="008E63BB">
              <w:rPr>
                <w:rFonts w:eastAsia="Times New Roman"/>
                <w:szCs w:val="26"/>
              </w:rPr>
              <w:t>45</w:t>
            </w:r>
          </w:p>
        </w:tc>
        <w:tc>
          <w:tcPr>
            <w:tcW w:w="1126" w:type="dxa"/>
            <w:tcBorders>
              <w:top w:val="nil"/>
              <w:left w:val="nil"/>
              <w:bottom w:val="single" w:sz="4" w:space="0" w:color="auto"/>
              <w:right w:val="single" w:sz="4" w:space="0" w:color="auto"/>
            </w:tcBorders>
            <w:shd w:val="clear" w:color="auto" w:fill="auto"/>
            <w:hideMark/>
          </w:tcPr>
          <w:p w14:paraId="519B39BB" w14:textId="77777777" w:rsidR="00A17062" w:rsidRPr="008E63BB" w:rsidRDefault="00A17062" w:rsidP="00FD0E46">
            <w:pPr>
              <w:jc w:val="center"/>
              <w:rPr>
                <w:rFonts w:eastAsia="Times New Roman"/>
                <w:szCs w:val="26"/>
              </w:rPr>
            </w:pPr>
            <w:r w:rsidRPr="008E63BB">
              <w:rPr>
                <w:rFonts w:eastAsia="Times New Roman"/>
                <w:szCs w:val="26"/>
              </w:rPr>
              <w:t>477,68</w:t>
            </w:r>
          </w:p>
        </w:tc>
        <w:tc>
          <w:tcPr>
            <w:tcW w:w="1126" w:type="dxa"/>
            <w:tcBorders>
              <w:top w:val="nil"/>
              <w:left w:val="nil"/>
              <w:bottom w:val="single" w:sz="4" w:space="0" w:color="auto"/>
              <w:right w:val="single" w:sz="4" w:space="0" w:color="auto"/>
            </w:tcBorders>
            <w:shd w:val="clear" w:color="auto" w:fill="auto"/>
            <w:hideMark/>
          </w:tcPr>
          <w:p w14:paraId="519B39BC" w14:textId="77777777" w:rsidR="00A17062" w:rsidRPr="008E63BB" w:rsidRDefault="00A17062" w:rsidP="00FD0E46">
            <w:pPr>
              <w:jc w:val="center"/>
              <w:rPr>
                <w:rFonts w:eastAsia="Times New Roman"/>
                <w:szCs w:val="26"/>
              </w:rPr>
            </w:pPr>
            <w:r w:rsidRPr="008E63BB">
              <w:rPr>
                <w:rFonts w:eastAsia="Times New Roman"/>
                <w:szCs w:val="26"/>
              </w:rPr>
              <w:t>477,68</w:t>
            </w:r>
          </w:p>
        </w:tc>
        <w:tc>
          <w:tcPr>
            <w:tcW w:w="1061" w:type="dxa"/>
            <w:tcBorders>
              <w:top w:val="nil"/>
              <w:left w:val="nil"/>
              <w:bottom w:val="single" w:sz="4" w:space="0" w:color="auto"/>
              <w:right w:val="single" w:sz="4" w:space="0" w:color="auto"/>
            </w:tcBorders>
            <w:shd w:val="clear" w:color="auto" w:fill="auto"/>
            <w:hideMark/>
          </w:tcPr>
          <w:p w14:paraId="519B39BD" w14:textId="77777777" w:rsidR="00A17062" w:rsidRPr="008E63BB" w:rsidRDefault="00A17062" w:rsidP="00FD0E46">
            <w:pPr>
              <w:jc w:val="right"/>
              <w:rPr>
                <w:rFonts w:eastAsia="Times New Roman"/>
                <w:szCs w:val="26"/>
              </w:rPr>
            </w:pPr>
            <w:r w:rsidRPr="008E63BB">
              <w:rPr>
                <w:rFonts w:eastAsia="Times New Roman"/>
                <w:szCs w:val="26"/>
              </w:rPr>
              <w:t>15.047</w:t>
            </w:r>
          </w:p>
        </w:tc>
        <w:tc>
          <w:tcPr>
            <w:tcW w:w="1074" w:type="dxa"/>
            <w:tcBorders>
              <w:top w:val="nil"/>
              <w:left w:val="nil"/>
              <w:bottom w:val="single" w:sz="4" w:space="0" w:color="auto"/>
              <w:right w:val="single" w:sz="4" w:space="0" w:color="auto"/>
            </w:tcBorders>
            <w:shd w:val="clear" w:color="auto" w:fill="auto"/>
            <w:hideMark/>
          </w:tcPr>
          <w:p w14:paraId="519B39BE" w14:textId="77777777" w:rsidR="00A17062" w:rsidRPr="008E63BB" w:rsidRDefault="00A17062" w:rsidP="00FD0E46">
            <w:pPr>
              <w:jc w:val="right"/>
              <w:rPr>
                <w:rFonts w:eastAsia="Times New Roman"/>
                <w:szCs w:val="26"/>
              </w:rPr>
            </w:pPr>
            <w:r w:rsidRPr="008E63BB">
              <w:rPr>
                <w:rFonts w:eastAsia="Times New Roman"/>
                <w:szCs w:val="26"/>
              </w:rPr>
              <w:t>15.047</w:t>
            </w:r>
          </w:p>
        </w:tc>
      </w:tr>
      <w:tr w:rsidR="00A17062" w:rsidRPr="008E63BB" w14:paraId="519B39C9"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C0" w14:textId="77777777" w:rsidR="00A17062" w:rsidRPr="008E63BB" w:rsidRDefault="00A17062" w:rsidP="00FD0E46">
            <w:pPr>
              <w:jc w:val="center"/>
              <w:rPr>
                <w:rFonts w:eastAsia="Times New Roman"/>
                <w:szCs w:val="26"/>
              </w:rPr>
            </w:pPr>
            <w:r w:rsidRPr="008E63BB">
              <w:rPr>
                <w:rFonts w:eastAsia="Times New Roman"/>
                <w:szCs w:val="26"/>
              </w:rPr>
              <w:t>-</w:t>
            </w:r>
          </w:p>
        </w:tc>
        <w:tc>
          <w:tcPr>
            <w:tcW w:w="1977" w:type="dxa"/>
            <w:tcBorders>
              <w:top w:val="nil"/>
              <w:left w:val="nil"/>
              <w:bottom w:val="single" w:sz="4" w:space="0" w:color="auto"/>
              <w:right w:val="single" w:sz="4" w:space="0" w:color="auto"/>
            </w:tcBorders>
            <w:shd w:val="clear" w:color="auto" w:fill="auto"/>
            <w:noWrap/>
            <w:vAlign w:val="bottom"/>
            <w:hideMark/>
          </w:tcPr>
          <w:p w14:paraId="519B39C1" w14:textId="77777777" w:rsidR="00A17062" w:rsidRPr="008E63BB" w:rsidRDefault="00A17062" w:rsidP="00FD0E46">
            <w:pPr>
              <w:rPr>
                <w:rFonts w:eastAsia="Times New Roman"/>
                <w:szCs w:val="26"/>
              </w:rPr>
            </w:pPr>
            <w:r w:rsidRPr="008E63BB">
              <w:rPr>
                <w:rFonts w:eastAsia="Times New Roman"/>
                <w:szCs w:val="26"/>
              </w:rPr>
              <w:t>Ngoại thị</w:t>
            </w:r>
          </w:p>
        </w:tc>
        <w:tc>
          <w:tcPr>
            <w:tcW w:w="1142" w:type="dxa"/>
            <w:tcBorders>
              <w:top w:val="nil"/>
              <w:left w:val="nil"/>
              <w:bottom w:val="single" w:sz="4" w:space="0" w:color="auto"/>
              <w:right w:val="single" w:sz="4" w:space="0" w:color="auto"/>
            </w:tcBorders>
            <w:shd w:val="clear" w:color="auto" w:fill="auto"/>
            <w:vAlign w:val="bottom"/>
            <w:hideMark/>
          </w:tcPr>
          <w:p w14:paraId="519B39C2" w14:textId="77777777" w:rsidR="00A17062" w:rsidRPr="008E63BB" w:rsidRDefault="00A17062" w:rsidP="00FD0E46">
            <w:pPr>
              <w:jc w:val="center"/>
              <w:rPr>
                <w:rFonts w:eastAsia="Times New Roman"/>
                <w:szCs w:val="26"/>
              </w:rPr>
            </w:pPr>
            <w:r w:rsidRPr="008E63BB">
              <w:rPr>
                <w:rFonts w:eastAsia="Times New Roman"/>
                <w:szCs w:val="26"/>
              </w:rPr>
              <w:t> m3/ha</w:t>
            </w:r>
          </w:p>
        </w:tc>
        <w:tc>
          <w:tcPr>
            <w:tcW w:w="850" w:type="dxa"/>
            <w:tcBorders>
              <w:top w:val="nil"/>
              <w:left w:val="nil"/>
              <w:bottom w:val="single" w:sz="4" w:space="0" w:color="auto"/>
              <w:right w:val="single" w:sz="4" w:space="0" w:color="auto"/>
            </w:tcBorders>
            <w:shd w:val="clear" w:color="auto" w:fill="auto"/>
            <w:noWrap/>
            <w:vAlign w:val="bottom"/>
            <w:hideMark/>
          </w:tcPr>
          <w:p w14:paraId="519B39C3" w14:textId="77777777" w:rsidR="00A17062" w:rsidRPr="008E63BB" w:rsidRDefault="00A17062" w:rsidP="00FD0E46">
            <w:pPr>
              <w:jc w:val="center"/>
              <w:rPr>
                <w:rFonts w:eastAsia="Times New Roman"/>
                <w:szCs w:val="26"/>
              </w:rPr>
            </w:pPr>
            <w:r w:rsidRPr="008E63BB">
              <w:rPr>
                <w:rFonts w:eastAsia="Times New Roman"/>
                <w:szCs w:val="26"/>
              </w:rPr>
              <w:t>22</w:t>
            </w:r>
          </w:p>
        </w:tc>
        <w:tc>
          <w:tcPr>
            <w:tcW w:w="843" w:type="dxa"/>
            <w:tcBorders>
              <w:top w:val="nil"/>
              <w:left w:val="nil"/>
              <w:bottom w:val="single" w:sz="4" w:space="0" w:color="auto"/>
              <w:right w:val="single" w:sz="4" w:space="0" w:color="auto"/>
            </w:tcBorders>
            <w:shd w:val="clear" w:color="auto" w:fill="auto"/>
            <w:noWrap/>
            <w:vAlign w:val="bottom"/>
            <w:hideMark/>
          </w:tcPr>
          <w:p w14:paraId="519B39C4" w14:textId="77777777" w:rsidR="00A17062" w:rsidRPr="008E63BB" w:rsidRDefault="00A17062" w:rsidP="00FD0E46">
            <w:pPr>
              <w:jc w:val="center"/>
              <w:rPr>
                <w:rFonts w:eastAsia="Times New Roman"/>
                <w:szCs w:val="26"/>
              </w:rPr>
            </w:pPr>
            <w:r w:rsidRPr="008E63BB">
              <w:rPr>
                <w:rFonts w:eastAsia="Times New Roman"/>
                <w:szCs w:val="26"/>
              </w:rPr>
              <w:t>22</w:t>
            </w:r>
          </w:p>
        </w:tc>
        <w:tc>
          <w:tcPr>
            <w:tcW w:w="1126" w:type="dxa"/>
            <w:tcBorders>
              <w:top w:val="nil"/>
              <w:left w:val="nil"/>
              <w:bottom w:val="single" w:sz="4" w:space="0" w:color="auto"/>
              <w:right w:val="single" w:sz="4" w:space="0" w:color="auto"/>
            </w:tcBorders>
            <w:shd w:val="clear" w:color="auto" w:fill="auto"/>
            <w:hideMark/>
          </w:tcPr>
          <w:p w14:paraId="519B39C5" w14:textId="77777777" w:rsidR="00A17062" w:rsidRPr="008E63BB" w:rsidRDefault="00A17062" w:rsidP="00FD0E46">
            <w:pPr>
              <w:jc w:val="center"/>
              <w:rPr>
                <w:rFonts w:eastAsia="Times New Roman"/>
                <w:szCs w:val="26"/>
              </w:rPr>
            </w:pPr>
            <w:r w:rsidRPr="008E63BB">
              <w:rPr>
                <w:rFonts w:eastAsia="Times New Roman"/>
                <w:szCs w:val="26"/>
              </w:rPr>
              <w:t>423,57</w:t>
            </w:r>
          </w:p>
        </w:tc>
        <w:tc>
          <w:tcPr>
            <w:tcW w:w="1126" w:type="dxa"/>
            <w:tcBorders>
              <w:top w:val="nil"/>
              <w:left w:val="nil"/>
              <w:bottom w:val="single" w:sz="4" w:space="0" w:color="auto"/>
              <w:right w:val="single" w:sz="4" w:space="0" w:color="auto"/>
            </w:tcBorders>
            <w:shd w:val="clear" w:color="auto" w:fill="auto"/>
            <w:hideMark/>
          </w:tcPr>
          <w:p w14:paraId="519B39C6" w14:textId="77777777" w:rsidR="00A17062" w:rsidRPr="008E63BB" w:rsidRDefault="00A17062" w:rsidP="00FD0E46">
            <w:pPr>
              <w:jc w:val="center"/>
              <w:rPr>
                <w:rFonts w:eastAsia="Times New Roman"/>
                <w:szCs w:val="26"/>
              </w:rPr>
            </w:pPr>
            <w:r w:rsidRPr="008E63BB">
              <w:rPr>
                <w:rFonts w:eastAsia="Times New Roman"/>
                <w:szCs w:val="26"/>
              </w:rPr>
              <w:t>703,57</w:t>
            </w:r>
          </w:p>
        </w:tc>
        <w:tc>
          <w:tcPr>
            <w:tcW w:w="1061" w:type="dxa"/>
            <w:tcBorders>
              <w:top w:val="nil"/>
              <w:left w:val="nil"/>
              <w:bottom w:val="single" w:sz="4" w:space="0" w:color="auto"/>
              <w:right w:val="single" w:sz="4" w:space="0" w:color="auto"/>
            </w:tcBorders>
            <w:shd w:val="clear" w:color="auto" w:fill="auto"/>
            <w:hideMark/>
          </w:tcPr>
          <w:p w14:paraId="519B39C7" w14:textId="77777777" w:rsidR="00A17062" w:rsidRPr="008E63BB" w:rsidRDefault="00A17062" w:rsidP="00FD0E46">
            <w:pPr>
              <w:jc w:val="right"/>
              <w:rPr>
                <w:rFonts w:eastAsia="Times New Roman"/>
                <w:szCs w:val="26"/>
              </w:rPr>
            </w:pPr>
            <w:r w:rsidRPr="008E63BB">
              <w:rPr>
                <w:rFonts w:eastAsia="Times New Roman"/>
                <w:szCs w:val="26"/>
              </w:rPr>
              <w:t>6.523</w:t>
            </w:r>
          </w:p>
        </w:tc>
        <w:tc>
          <w:tcPr>
            <w:tcW w:w="1074" w:type="dxa"/>
            <w:tcBorders>
              <w:top w:val="nil"/>
              <w:left w:val="nil"/>
              <w:bottom w:val="single" w:sz="4" w:space="0" w:color="auto"/>
              <w:right w:val="single" w:sz="4" w:space="0" w:color="auto"/>
            </w:tcBorders>
            <w:shd w:val="clear" w:color="auto" w:fill="auto"/>
            <w:hideMark/>
          </w:tcPr>
          <w:p w14:paraId="519B39C8" w14:textId="77777777" w:rsidR="00A17062" w:rsidRPr="008E63BB" w:rsidRDefault="00A17062" w:rsidP="00FD0E46">
            <w:pPr>
              <w:jc w:val="right"/>
              <w:rPr>
                <w:rFonts w:eastAsia="Times New Roman"/>
                <w:szCs w:val="26"/>
              </w:rPr>
            </w:pPr>
            <w:r w:rsidRPr="008E63BB">
              <w:rPr>
                <w:rFonts w:eastAsia="Times New Roman"/>
                <w:szCs w:val="26"/>
              </w:rPr>
              <w:t>10.835</w:t>
            </w:r>
          </w:p>
        </w:tc>
      </w:tr>
      <w:tr w:rsidR="00A17062" w:rsidRPr="008E63BB" w14:paraId="519B39D3"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CA" w14:textId="77777777" w:rsidR="00A17062" w:rsidRPr="008E63BB" w:rsidRDefault="00A17062" w:rsidP="00FD0E46">
            <w:pPr>
              <w:jc w:val="center"/>
              <w:rPr>
                <w:rFonts w:eastAsia="Times New Roman"/>
                <w:szCs w:val="26"/>
              </w:rPr>
            </w:pPr>
            <w:r w:rsidRPr="008E63BB">
              <w:rPr>
                <w:rFonts w:eastAsia="Times New Roman"/>
                <w:szCs w:val="26"/>
              </w:rPr>
              <w:t>4</w:t>
            </w:r>
          </w:p>
        </w:tc>
        <w:tc>
          <w:tcPr>
            <w:tcW w:w="1977" w:type="dxa"/>
            <w:tcBorders>
              <w:top w:val="nil"/>
              <w:left w:val="nil"/>
              <w:bottom w:val="single" w:sz="4" w:space="0" w:color="auto"/>
              <w:right w:val="single" w:sz="4" w:space="0" w:color="auto"/>
            </w:tcBorders>
            <w:shd w:val="clear" w:color="auto" w:fill="auto"/>
            <w:noWrap/>
            <w:vAlign w:val="bottom"/>
            <w:hideMark/>
          </w:tcPr>
          <w:p w14:paraId="519B39CB" w14:textId="77777777" w:rsidR="00A17062" w:rsidRPr="008E63BB" w:rsidRDefault="00A17062" w:rsidP="00FD0E46">
            <w:pPr>
              <w:rPr>
                <w:rFonts w:eastAsia="Times New Roman"/>
                <w:szCs w:val="26"/>
              </w:rPr>
            </w:pPr>
            <w:r w:rsidRPr="008E63BB">
              <w:rPr>
                <w:rFonts w:eastAsia="Times New Roman"/>
                <w:szCs w:val="26"/>
              </w:rPr>
              <w:t>Nước tưới cây, rửa đường</w:t>
            </w:r>
          </w:p>
        </w:tc>
        <w:tc>
          <w:tcPr>
            <w:tcW w:w="1142" w:type="dxa"/>
            <w:tcBorders>
              <w:top w:val="nil"/>
              <w:left w:val="nil"/>
              <w:bottom w:val="single" w:sz="4" w:space="0" w:color="auto"/>
              <w:right w:val="single" w:sz="4" w:space="0" w:color="auto"/>
            </w:tcBorders>
            <w:shd w:val="clear" w:color="auto" w:fill="auto"/>
            <w:vAlign w:val="bottom"/>
            <w:hideMark/>
          </w:tcPr>
          <w:p w14:paraId="519B39CC" w14:textId="77777777" w:rsidR="00A17062" w:rsidRPr="008E63BB" w:rsidRDefault="00A17062" w:rsidP="00FD0E46">
            <w:pPr>
              <w:jc w:val="center"/>
              <w:rPr>
                <w:rFonts w:eastAsia="Times New Roman"/>
                <w:szCs w:val="26"/>
              </w:rPr>
            </w:pPr>
            <w:r w:rsidRPr="008E63BB">
              <w:rPr>
                <w:rFonts w:eastAsia="Times New Roman"/>
                <w:szCs w:val="26"/>
              </w:rPr>
              <w:t>Q</w:t>
            </w:r>
            <w:r w:rsidRPr="008E63BB">
              <w:rPr>
                <w:rFonts w:eastAsia="Times New Roman"/>
                <w:szCs w:val="26"/>
                <w:vertAlign w:val="subscript"/>
              </w:rPr>
              <w:t>sh</w:t>
            </w:r>
          </w:p>
        </w:tc>
        <w:tc>
          <w:tcPr>
            <w:tcW w:w="850" w:type="dxa"/>
            <w:tcBorders>
              <w:top w:val="nil"/>
              <w:left w:val="nil"/>
              <w:bottom w:val="single" w:sz="4" w:space="0" w:color="auto"/>
              <w:right w:val="single" w:sz="4" w:space="0" w:color="auto"/>
            </w:tcBorders>
            <w:shd w:val="clear" w:color="auto" w:fill="auto"/>
            <w:noWrap/>
            <w:vAlign w:val="bottom"/>
            <w:hideMark/>
          </w:tcPr>
          <w:p w14:paraId="519B39CD" w14:textId="77777777" w:rsidR="00A17062" w:rsidRPr="008E63BB" w:rsidRDefault="00A17062" w:rsidP="00FD0E46">
            <w:pPr>
              <w:jc w:val="center"/>
              <w:rPr>
                <w:rFonts w:eastAsia="Times New Roman"/>
                <w:szCs w:val="26"/>
              </w:rPr>
            </w:pPr>
            <w:r w:rsidRPr="008E63BB">
              <w:rPr>
                <w:rFonts w:eastAsia="Times New Roman"/>
                <w:szCs w:val="26"/>
              </w:rPr>
              <w:t>10%</w:t>
            </w:r>
          </w:p>
        </w:tc>
        <w:tc>
          <w:tcPr>
            <w:tcW w:w="843" w:type="dxa"/>
            <w:tcBorders>
              <w:top w:val="nil"/>
              <w:left w:val="nil"/>
              <w:bottom w:val="single" w:sz="4" w:space="0" w:color="auto"/>
              <w:right w:val="single" w:sz="4" w:space="0" w:color="auto"/>
            </w:tcBorders>
            <w:shd w:val="clear" w:color="auto" w:fill="auto"/>
            <w:noWrap/>
            <w:vAlign w:val="bottom"/>
            <w:hideMark/>
          </w:tcPr>
          <w:p w14:paraId="519B39CE" w14:textId="77777777" w:rsidR="00A17062" w:rsidRPr="008E63BB" w:rsidRDefault="00A17062" w:rsidP="00FD0E46">
            <w:pPr>
              <w:jc w:val="center"/>
              <w:rPr>
                <w:rFonts w:eastAsia="Times New Roman"/>
                <w:szCs w:val="26"/>
              </w:rPr>
            </w:pPr>
            <w:r w:rsidRPr="008E63BB">
              <w:rPr>
                <w:rFonts w:eastAsia="Times New Roman"/>
                <w:szCs w:val="26"/>
              </w:rPr>
              <w:t>10%</w:t>
            </w:r>
          </w:p>
        </w:tc>
        <w:tc>
          <w:tcPr>
            <w:tcW w:w="1126" w:type="dxa"/>
            <w:tcBorders>
              <w:top w:val="nil"/>
              <w:left w:val="nil"/>
              <w:bottom w:val="single" w:sz="4" w:space="0" w:color="auto"/>
              <w:right w:val="single" w:sz="4" w:space="0" w:color="auto"/>
            </w:tcBorders>
            <w:shd w:val="clear" w:color="auto" w:fill="auto"/>
            <w:hideMark/>
          </w:tcPr>
          <w:p w14:paraId="519B39CF"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D0" w14:textId="77777777" w:rsidR="00A17062" w:rsidRPr="008E63BB" w:rsidRDefault="00A17062" w:rsidP="00FD0E46">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hideMark/>
          </w:tcPr>
          <w:p w14:paraId="519B39D1" w14:textId="77777777" w:rsidR="00A17062" w:rsidRPr="008E63BB" w:rsidRDefault="00A17062" w:rsidP="00FD0E46">
            <w:pPr>
              <w:jc w:val="right"/>
              <w:rPr>
                <w:rFonts w:eastAsia="Times New Roman"/>
                <w:szCs w:val="26"/>
              </w:rPr>
            </w:pPr>
            <w:r w:rsidRPr="008E63BB">
              <w:rPr>
                <w:rFonts w:eastAsia="Times New Roman"/>
                <w:szCs w:val="26"/>
              </w:rPr>
              <w:t>6.480</w:t>
            </w:r>
          </w:p>
        </w:tc>
        <w:tc>
          <w:tcPr>
            <w:tcW w:w="1074" w:type="dxa"/>
            <w:tcBorders>
              <w:top w:val="nil"/>
              <w:left w:val="nil"/>
              <w:bottom w:val="single" w:sz="4" w:space="0" w:color="auto"/>
              <w:right w:val="single" w:sz="4" w:space="0" w:color="auto"/>
            </w:tcBorders>
            <w:shd w:val="clear" w:color="auto" w:fill="auto"/>
            <w:hideMark/>
          </w:tcPr>
          <w:p w14:paraId="519B39D2" w14:textId="77777777" w:rsidR="00A17062" w:rsidRPr="008E63BB" w:rsidRDefault="00A17062" w:rsidP="00FD0E46">
            <w:pPr>
              <w:jc w:val="right"/>
              <w:rPr>
                <w:rFonts w:eastAsia="Times New Roman"/>
                <w:szCs w:val="26"/>
              </w:rPr>
            </w:pPr>
            <w:r w:rsidRPr="008E63BB">
              <w:rPr>
                <w:rFonts w:eastAsia="Times New Roman"/>
                <w:szCs w:val="26"/>
              </w:rPr>
              <w:t>9.249</w:t>
            </w:r>
          </w:p>
        </w:tc>
      </w:tr>
      <w:tr w:rsidR="00A17062" w:rsidRPr="008E63BB" w14:paraId="519B39DD"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D4" w14:textId="77777777" w:rsidR="00A17062" w:rsidRPr="008E63BB" w:rsidRDefault="00A17062" w:rsidP="00FD0E46">
            <w:pPr>
              <w:jc w:val="center"/>
              <w:rPr>
                <w:rFonts w:eastAsia="Times New Roman"/>
                <w:szCs w:val="26"/>
              </w:rPr>
            </w:pPr>
            <w:r w:rsidRPr="008E63BB">
              <w:rPr>
                <w:rFonts w:eastAsia="Times New Roman"/>
                <w:szCs w:val="26"/>
              </w:rPr>
              <w:t>5</w:t>
            </w:r>
          </w:p>
        </w:tc>
        <w:tc>
          <w:tcPr>
            <w:tcW w:w="1977" w:type="dxa"/>
            <w:tcBorders>
              <w:top w:val="nil"/>
              <w:left w:val="nil"/>
              <w:bottom w:val="single" w:sz="4" w:space="0" w:color="auto"/>
              <w:right w:val="single" w:sz="4" w:space="0" w:color="auto"/>
            </w:tcBorders>
            <w:shd w:val="clear" w:color="auto" w:fill="auto"/>
            <w:noWrap/>
            <w:vAlign w:val="bottom"/>
            <w:hideMark/>
          </w:tcPr>
          <w:p w14:paraId="519B39D5" w14:textId="77777777" w:rsidR="00A17062" w:rsidRPr="008E63BB" w:rsidRDefault="00A17062" w:rsidP="00FD0E46">
            <w:pPr>
              <w:rPr>
                <w:rFonts w:eastAsia="Times New Roman"/>
                <w:szCs w:val="26"/>
              </w:rPr>
            </w:pPr>
            <w:r w:rsidRPr="008E63BB">
              <w:rPr>
                <w:rFonts w:eastAsia="Times New Roman"/>
                <w:szCs w:val="26"/>
              </w:rPr>
              <w:t>Dự phòng, rò rỉ</w:t>
            </w:r>
          </w:p>
        </w:tc>
        <w:tc>
          <w:tcPr>
            <w:tcW w:w="1142" w:type="dxa"/>
            <w:tcBorders>
              <w:top w:val="nil"/>
              <w:left w:val="nil"/>
              <w:bottom w:val="single" w:sz="4" w:space="0" w:color="auto"/>
              <w:right w:val="single" w:sz="4" w:space="0" w:color="auto"/>
            </w:tcBorders>
            <w:shd w:val="clear" w:color="auto" w:fill="auto"/>
            <w:vAlign w:val="bottom"/>
            <w:hideMark/>
          </w:tcPr>
          <w:p w14:paraId="519B39D6" w14:textId="77777777" w:rsidR="00A17062" w:rsidRPr="008E63BB" w:rsidRDefault="00A17062" w:rsidP="00FD0E46">
            <w:pPr>
              <w:jc w:val="center"/>
              <w:rPr>
                <w:rFonts w:eastAsia="Times New Roman"/>
                <w:szCs w:val="26"/>
              </w:rPr>
            </w:pPr>
            <w:r w:rsidRPr="008E63BB">
              <w:rPr>
                <w:rFonts w:eastAsia="Times New Roman"/>
                <w:szCs w:val="26"/>
              </w:rPr>
              <w:t>Q</w:t>
            </w:r>
            <w:r w:rsidRPr="008E63BB">
              <w:rPr>
                <w:rFonts w:eastAsia="Times New Roman"/>
                <w:szCs w:val="26"/>
                <w:vertAlign w:val="subscript"/>
              </w:rPr>
              <w:t>1-4</w:t>
            </w:r>
          </w:p>
        </w:tc>
        <w:tc>
          <w:tcPr>
            <w:tcW w:w="850" w:type="dxa"/>
            <w:tcBorders>
              <w:top w:val="nil"/>
              <w:left w:val="nil"/>
              <w:bottom w:val="single" w:sz="4" w:space="0" w:color="auto"/>
              <w:right w:val="single" w:sz="4" w:space="0" w:color="auto"/>
            </w:tcBorders>
            <w:shd w:val="clear" w:color="auto" w:fill="auto"/>
            <w:noWrap/>
            <w:vAlign w:val="bottom"/>
            <w:hideMark/>
          </w:tcPr>
          <w:p w14:paraId="519B39D7" w14:textId="77777777" w:rsidR="00A17062" w:rsidRPr="008E63BB" w:rsidRDefault="00A17062" w:rsidP="00FD0E46">
            <w:pPr>
              <w:jc w:val="center"/>
              <w:rPr>
                <w:rFonts w:eastAsia="Times New Roman"/>
                <w:szCs w:val="26"/>
              </w:rPr>
            </w:pPr>
            <w:r w:rsidRPr="008E63BB">
              <w:rPr>
                <w:rFonts w:eastAsia="Times New Roman"/>
                <w:szCs w:val="26"/>
              </w:rPr>
              <w:t>15%</w:t>
            </w:r>
          </w:p>
        </w:tc>
        <w:tc>
          <w:tcPr>
            <w:tcW w:w="843" w:type="dxa"/>
            <w:tcBorders>
              <w:top w:val="nil"/>
              <w:left w:val="nil"/>
              <w:bottom w:val="single" w:sz="4" w:space="0" w:color="auto"/>
              <w:right w:val="single" w:sz="4" w:space="0" w:color="auto"/>
            </w:tcBorders>
            <w:shd w:val="clear" w:color="auto" w:fill="auto"/>
            <w:noWrap/>
            <w:vAlign w:val="bottom"/>
            <w:hideMark/>
          </w:tcPr>
          <w:p w14:paraId="519B39D8" w14:textId="77777777" w:rsidR="00A17062" w:rsidRPr="008E63BB" w:rsidRDefault="00A17062" w:rsidP="00FD0E46">
            <w:pPr>
              <w:jc w:val="center"/>
              <w:rPr>
                <w:rFonts w:eastAsia="Times New Roman"/>
                <w:szCs w:val="26"/>
              </w:rPr>
            </w:pPr>
            <w:r w:rsidRPr="008E63BB">
              <w:rPr>
                <w:rFonts w:eastAsia="Times New Roman"/>
                <w:szCs w:val="26"/>
              </w:rPr>
              <w:t>15%</w:t>
            </w:r>
          </w:p>
        </w:tc>
        <w:tc>
          <w:tcPr>
            <w:tcW w:w="1126" w:type="dxa"/>
            <w:tcBorders>
              <w:top w:val="nil"/>
              <w:left w:val="nil"/>
              <w:bottom w:val="single" w:sz="4" w:space="0" w:color="auto"/>
              <w:right w:val="single" w:sz="4" w:space="0" w:color="auto"/>
            </w:tcBorders>
            <w:shd w:val="clear" w:color="auto" w:fill="auto"/>
            <w:hideMark/>
          </w:tcPr>
          <w:p w14:paraId="519B39D9"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DA" w14:textId="77777777" w:rsidR="00A17062" w:rsidRPr="008E63BB" w:rsidRDefault="00A17062" w:rsidP="00FD0E46">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hideMark/>
          </w:tcPr>
          <w:p w14:paraId="519B39DB" w14:textId="77777777" w:rsidR="00A17062" w:rsidRPr="008E63BB" w:rsidRDefault="00A17062" w:rsidP="00FD0E46">
            <w:pPr>
              <w:jc w:val="right"/>
              <w:rPr>
                <w:rFonts w:eastAsia="Times New Roman"/>
                <w:szCs w:val="26"/>
              </w:rPr>
            </w:pPr>
            <w:r w:rsidRPr="008E63BB">
              <w:rPr>
                <w:rFonts w:eastAsia="Times New Roman"/>
                <w:szCs w:val="26"/>
              </w:rPr>
              <w:t>15.385</w:t>
            </w:r>
          </w:p>
        </w:tc>
        <w:tc>
          <w:tcPr>
            <w:tcW w:w="1074" w:type="dxa"/>
            <w:tcBorders>
              <w:top w:val="nil"/>
              <w:left w:val="nil"/>
              <w:bottom w:val="single" w:sz="4" w:space="0" w:color="auto"/>
              <w:right w:val="single" w:sz="4" w:space="0" w:color="auto"/>
            </w:tcBorders>
            <w:shd w:val="clear" w:color="auto" w:fill="auto"/>
            <w:hideMark/>
          </w:tcPr>
          <w:p w14:paraId="519B39DC" w14:textId="77777777" w:rsidR="00A17062" w:rsidRPr="008E63BB" w:rsidRDefault="00A17062" w:rsidP="00FD0E46">
            <w:pPr>
              <w:jc w:val="right"/>
              <w:rPr>
                <w:rFonts w:eastAsia="Times New Roman"/>
                <w:szCs w:val="26"/>
              </w:rPr>
            </w:pPr>
            <w:r w:rsidRPr="008E63BB">
              <w:rPr>
                <w:rFonts w:eastAsia="Times New Roman"/>
                <w:szCs w:val="26"/>
              </w:rPr>
              <w:t>21.224</w:t>
            </w:r>
          </w:p>
        </w:tc>
      </w:tr>
      <w:tr w:rsidR="00A17062" w:rsidRPr="008E63BB" w14:paraId="519B39E7"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DE" w14:textId="77777777" w:rsidR="00A17062" w:rsidRPr="008E63BB" w:rsidRDefault="00A17062" w:rsidP="00FD0E46">
            <w:pPr>
              <w:jc w:val="center"/>
              <w:rPr>
                <w:rFonts w:eastAsia="Times New Roman"/>
                <w:szCs w:val="26"/>
              </w:rPr>
            </w:pPr>
            <w:r w:rsidRPr="008E63BB">
              <w:rPr>
                <w:rFonts w:eastAsia="Times New Roman"/>
                <w:szCs w:val="26"/>
              </w:rPr>
              <w:t>6</w:t>
            </w:r>
          </w:p>
        </w:tc>
        <w:tc>
          <w:tcPr>
            <w:tcW w:w="1977" w:type="dxa"/>
            <w:tcBorders>
              <w:top w:val="nil"/>
              <w:left w:val="nil"/>
              <w:bottom w:val="single" w:sz="4" w:space="0" w:color="auto"/>
              <w:right w:val="single" w:sz="4" w:space="0" w:color="auto"/>
            </w:tcBorders>
            <w:shd w:val="clear" w:color="auto" w:fill="auto"/>
            <w:noWrap/>
            <w:vAlign w:val="bottom"/>
            <w:hideMark/>
          </w:tcPr>
          <w:p w14:paraId="519B39DF" w14:textId="77777777" w:rsidR="00A17062" w:rsidRPr="008E63BB" w:rsidRDefault="00A17062" w:rsidP="00FD0E46">
            <w:pPr>
              <w:rPr>
                <w:rFonts w:eastAsia="Times New Roman"/>
                <w:szCs w:val="26"/>
              </w:rPr>
            </w:pPr>
            <w:r w:rsidRPr="008E63BB">
              <w:rPr>
                <w:rFonts w:eastAsia="Times New Roman"/>
                <w:szCs w:val="26"/>
              </w:rPr>
              <w:t>Nước bản thân nhà máy</w:t>
            </w:r>
          </w:p>
        </w:tc>
        <w:tc>
          <w:tcPr>
            <w:tcW w:w="1142" w:type="dxa"/>
            <w:tcBorders>
              <w:top w:val="nil"/>
              <w:left w:val="nil"/>
              <w:bottom w:val="single" w:sz="4" w:space="0" w:color="auto"/>
              <w:right w:val="single" w:sz="4" w:space="0" w:color="auto"/>
            </w:tcBorders>
            <w:shd w:val="clear" w:color="auto" w:fill="auto"/>
            <w:vAlign w:val="bottom"/>
            <w:hideMark/>
          </w:tcPr>
          <w:p w14:paraId="519B39E0" w14:textId="77777777" w:rsidR="00A17062" w:rsidRPr="008E63BB" w:rsidRDefault="00A17062" w:rsidP="00FD0E46">
            <w:pPr>
              <w:jc w:val="center"/>
              <w:rPr>
                <w:rFonts w:eastAsia="Times New Roman"/>
                <w:szCs w:val="26"/>
              </w:rPr>
            </w:pPr>
            <w:r w:rsidRPr="008E63BB">
              <w:rPr>
                <w:rFonts w:eastAsia="Times New Roman"/>
                <w:szCs w:val="26"/>
              </w:rPr>
              <w:t>Q</w:t>
            </w:r>
            <w:r w:rsidRPr="008E63BB">
              <w:rPr>
                <w:rFonts w:eastAsia="Times New Roman"/>
                <w:szCs w:val="26"/>
                <w:vertAlign w:val="subscript"/>
              </w:rPr>
              <w:t>1-5</w:t>
            </w:r>
          </w:p>
        </w:tc>
        <w:tc>
          <w:tcPr>
            <w:tcW w:w="850" w:type="dxa"/>
            <w:tcBorders>
              <w:top w:val="nil"/>
              <w:left w:val="nil"/>
              <w:bottom w:val="single" w:sz="4" w:space="0" w:color="auto"/>
              <w:right w:val="single" w:sz="4" w:space="0" w:color="auto"/>
            </w:tcBorders>
            <w:shd w:val="clear" w:color="auto" w:fill="auto"/>
            <w:noWrap/>
            <w:vAlign w:val="bottom"/>
            <w:hideMark/>
          </w:tcPr>
          <w:p w14:paraId="519B39E1" w14:textId="77777777" w:rsidR="00A17062" w:rsidRPr="008E63BB" w:rsidRDefault="00A17062" w:rsidP="00FD0E46">
            <w:pPr>
              <w:jc w:val="center"/>
              <w:rPr>
                <w:rFonts w:eastAsia="Times New Roman"/>
                <w:szCs w:val="26"/>
              </w:rPr>
            </w:pPr>
            <w:r w:rsidRPr="008E63BB">
              <w:rPr>
                <w:rFonts w:eastAsia="Times New Roman"/>
                <w:szCs w:val="26"/>
              </w:rPr>
              <w:t>5%</w:t>
            </w:r>
          </w:p>
        </w:tc>
        <w:tc>
          <w:tcPr>
            <w:tcW w:w="843" w:type="dxa"/>
            <w:tcBorders>
              <w:top w:val="nil"/>
              <w:left w:val="nil"/>
              <w:bottom w:val="single" w:sz="4" w:space="0" w:color="auto"/>
              <w:right w:val="single" w:sz="4" w:space="0" w:color="auto"/>
            </w:tcBorders>
            <w:shd w:val="clear" w:color="auto" w:fill="auto"/>
            <w:noWrap/>
            <w:vAlign w:val="bottom"/>
            <w:hideMark/>
          </w:tcPr>
          <w:p w14:paraId="519B39E2" w14:textId="77777777" w:rsidR="00A17062" w:rsidRPr="008E63BB" w:rsidRDefault="00A17062" w:rsidP="00FD0E46">
            <w:pPr>
              <w:jc w:val="center"/>
              <w:rPr>
                <w:rFonts w:eastAsia="Times New Roman"/>
                <w:szCs w:val="26"/>
              </w:rPr>
            </w:pPr>
            <w:r w:rsidRPr="008E63BB">
              <w:rPr>
                <w:rFonts w:eastAsia="Times New Roman"/>
                <w:szCs w:val="26"/>
              </w:rPr>
              <w:t>5%</w:t>
            </w:r>
          </w:p>
        </w:tc>
        <w:tc>
          <w:tcPr>
            <w:tcW w:w="1126" w:type="dxa"/>
            <w:tcBorders>
              <w:top w:val="nil"/>
              <w:left w:val="nil"/>
              <w:bottom w:val="single" w:sz="4" w:space="0" w:color="auto"/>
              <w:right w:val="single" w:sz="4" w:space="0" w:color="auto"/>
            </w:tcBorders>
            <w:shd w:val="clear" w:color="auto" w:fill="auto"/>
            <w:hideMark/>
          </w:tcPr>
          <w:p w14:paraId="519B39E3" w14:textId="77777777" w:rsidR="00A17062" w:rsidRPr="008E63BB" w:rsidRDefault="00A17062" w:rsidP="00FD0E46">
            <w:pPr>
              <w:jc w:val="center"/>
              <w:rPr>
                <w:rFonts w:eastAsia="Times New Roman"/>
                <w:szCs w:val="26"/>
              </w:rPr>
            </w:pPr>
            <w:r w:rsidRPr="008E63BB">
              <w:rPr>
                <w:rFonts w:eastAsia="Times New Roman"/>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E4" w14:textId="77777777" w:rsidR="00A17062" w:rsidRPr="008E63BB" w:rsidRDefault="00A17062" w:rsidP="00FD0E46">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hideMark/>
          </w:tcPr>
          <w:p w14:paraId="519B39E5" w14:textId="77777777" w:rsidR="00A17062" w:rsidRPr="008E63BB" w:rsidRDefault="00A17062" w:rsidP="00FD0E46">
            <w:pPr>
              <w:jc w:val="right"/>
              <w:rPr>
                <w:rFonts w:eastAsia="Times New Roman"/>
                <w:szCs w:val="26"/>
              </w:rPr>
            </w:pPr>
            <w:r w:rsidRPr="008E63BB">
              <w:rPr>
                <w:rFonts w:eastAsia="Times New Roman"/>
                <w:szCs w:val="26"/>
              </w:rPr>
              <w:t>5.898</w:t>
            </w:r>
          </w:p>
        </w:tc>
        <w:tc>
          <w:tcPr>
            <w:tcW w:w="1074" w:type="dxa"/>
            <w:tcBorders>
              <w:top w:val="nil"/>
              <w:left w:val="nil"/>
              <w:bottom w:val="single" w:sz="4" w:space="0" w:color="auto"/>
              <w:right w:val="single" w:sz="4" w:space="0" w:color="auto"/>
            </w:tcBorders>
            <w:shd w:val="clear" w:color="auto" w:fill="auto"/>
            <w:hideMark/>
          </w:tcPr>
          <w:p w14:paraId="519B39E6" w14:textId="77777777" w:rsidR="00A17062" w:rsidRPr="008E63BB" w:rsidRDefault="00A17062" w:rsidP="00FD0E46">
            <w:pPr>
              <w:jc w:val="right"/>
              <w:rPr>
                <w:rFonts w:eastAsia="Times New Roman"/>
                <w:szCs w:val="26"/>
              </w:rPr>
            </w:pPr>
            <w:r w:rsidRPr="008E63BB">
              <w:rPr>
                <w:rFonts w:eastAsia="Times New Roman"/>
                <w:szCs w:val="26"/>
              </w:rPr>
              <w:t>8.136</w:t>
            </w:r>
          </w:p>
        </w:tc>
      </w:tr>
      <w:tr w:rsidR="00A17062" w:rsidRPr="008E63BB" w14:paraId="519B39F1" w14:textId="77777777" w:rsidTr="00FD0E46">
        <w:trPr>
          <w:trHeight w:val="20"/>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14:paraId="519B39E8" w14:textId="77777777" w:rsidR="00A17062" w:rsidRPr="008E63BB" w:rsidRDefault="00A17062" w:rsidP="00FD0E46">
            <w:pPr>
              <w:jc w:val="center"/>
              <w:rPr>
                <w:rFonts w:eastAsia="Times New Roman"/>
                <w:b/>
                <w:bCs/>
                <w:szCs w:val="26"/>
              </w:rPr>
            </w:pPr>
            <w:r w:rsidRPr="008E63BB">
              <w:rPr>
                <w:rFonts w:eastAsia="Times New Roman"/>
                <w:b/>
                <w:bCs/>
                <w:szCs w:val="26"/>
              </w:rPr>
              <w:t> </w:t>
            </w:r>
          </w:p>
        </w:tc>
        <w:tc>
          <w:tcPr>
            <w:tcW w:w="1977" w:type="dxa"/>
            <w:tcBorders>
              <w:top w:val="nil"/>
              <w:left w:val="nil"/>
              <w:bottom w:val="single" w:sz="4" w:space="0" w:color="auto"/>
              <w:right w:val="single" w:sz="4" w:space="0" w:color="auto"/>
            </w:tcBorders>
            <w:shd w:val="clear" w:color="auto" w:fill="auto"/>
            <w:noWrap/>
            <w:vAlign w:val="bottom"/>
            <w:hideMark/>
          </w:tcPr>
          <w:p w14:paraId="519B39E9" w14:textId="77777777" w:rsidR="00A17062" w:rsidRPr="008E63BB" w:rsidRDefault="00A17062" w:rsidP="00FD0E46">
            <w:pPr>
              <w:rPr>
                <w:rFonts w:eastAsia="Times New Roman"/>
                <w:b/>
                <w:bCs/>
                <w:szCs w:val="26"/>
              </w:rPr>
            </w:pPr>
            <w:r w:rsidRPr="008E63BB">
              <w:rPr>
                <w:rFonts w:eastAsia="Times New Roman"/>
                <w:b/>
                <w:bCs/>
                <w:szCs w:val="26"/>
              </w:rPr>
              <w:t xml:space="preserve">Tổng cộng </w:t>
            </w:r>
          </w:p>
        </w:tc>
        <w:tc>
          <w:tcPr>
            <w:tcW w:w="1142" w:type="dxa"/>
            <w:tcBorders>
              <w:top w:val="nil"/>
              <w:left w:val="nil"/>
              <w:bottom w:val="single" w:sz="4" w:space="0" w:color="auto"/>
              <w:right w:val="single" w:sz="4" w:space="0" w:color="auto"/>
            </w:tcBorders>
            <w:shd w:val="clear" w:color="auto" w:fill="auto"/>
            <w:noWrap/>
            <w:vAlign w:val="bottom"/>
            <w:hideMark/>
          </w:tcPr>
          <w:p w14:paraId="519B39EA" w14:textId="77777777" w:rsidR="00A17062" w:rsidRPr="008E63BB" w:rsidRDefault="00A17062" w:rsidP="00FD0E46">
            <w:pPr>
              <w:rPr>
                <w:rFonts w:eastAsia="Times New Roman"/>
                <w:b/>
                <w:bCs/>
                <w:szCs w:val="26"/>
              </w:rPr>
            </w:pPr>
            <w:r w:rsidRPr="008E63BB">
              <w:rPr>
                <w:rFonts w:eastAsia="Times New Roman"/>
                <w:b/>
                <w:bCs/>
                <w:szCs w:val="26"/>
              </w:rPr>
              <w:t> </w:t>
            </w:r>
          </w:p>
        </w:tc>
        <w:tc>
          <w:tcPr>
            <w:tcW w:w="850" w:type="dxa"/>
            <w:tcBorders>
              <w:top w:val="nil"/>
              <w:left w:val="nil"/>
              <w:bottom w:val="single" w:sz="4" w:space="0" w:color="auto"/>
              <w:right w:val="single" w:sz="4" w:space="0" w:color="auto"/>
            </w:tcBorders>
            <w:shd w:val="clear" w:color="auto" w:fill="auto"/>
            <w:hideMark/>
          </w:tcPr>
          <w:p w14:paraId="519B39EB" w14:textId="77777777" w:rsidR="00A17062" w:rsidRPr="008E63BB" w:rsidRDefault="00A17062" w:rsidP="00FD0E46">
            <w:pPr>
              <w:jc w:val="center"/>
              <w:rPr>
                <w:rFonts w:eastAsia="Times New Roman"/>
                <w:b/>
                <w:bCs/>
                <w:szCs w:val="26"/>
              </w:rPr>
            </w:pPr>
            <w:r w:rsidRPr="008E63BB">
              <w:rPr>
                <w:rFonts w:eastAsia="Times New Roman"/>
                <w:b/>
                <w:bCs/>
                <w:szCs w:val="26"/>
              </w:rPr>
              <w:t> </w:t>
            </w:r>
          </w:p>
        </w:tc>
        <w:tc>
          <w:tcPr>
            <w:tcW w:w="843" w:type="dxa"/>
            <w:tcBorders>
              <w:top w:val="nil"/>
              <w:left w:val="nil"/>
              <w:bottom w:val="single" w:sz="4" w:space="0" w:color="auto"/>
              <w:right w:val="single" w:sz="4" w:space="0" w:color="auto"/>
            </w:tcBorders>
            <w:shd w:val="clear" w:color="auto" w:fill="auto"/>
            <w:noWrap/>
            <w:vAlign w:val="bottom"/>
            <w:hideMark/>
          </w:tcPr>
          <w:p w14:paraId="519B39EC" w14:textId="77777777" w:rsidR="00A17062" w:rsidRPr="008E63BB" w:rsidRDefault="00A17062" w:rsidP="00FD0E46">
            <w:pPr>
              <w:jc w:val="center"/>
              <w:rPr>
                <w:rFonts w:eastAsia="Times New Roman"/>
                <w:b/>
                <w:bCs/>
                <w:szCs w:val="26"/>
              </w:rPr>
            </w:pPr>
            <w:r w:rsidRPr="008E63BB">
              <w:rPr>
                <w:rFonts w:eastAsia="Times New Roman"/>
                <w:b/>
                <w:bCs/>
                <w:szCs w:val="26"/>
              </w:rPr>
              <w:t> </w:t>
            </w:r>
          </w:p>
        </w:tc>
        <w:tc>
          <w:tcPr>
            <w:tcW w:w="1126" w:type="dxa"/>
            <w:tcBorders>
              <w:top w:val="nil"/>
              <w:left w:val="nil"/>
              <w:bottom w:val="single" w:sz="4" w:space="0" w:color="auto"/>
              <w:right w:val="single" w:sz="4" w:space="0" w:color="auto"/>
            </w:tcBorders>
            <w:shd w:val="clear" w:color="auto" w:fill="auto"/>
            <w:hideMark/>
          </w:tcPr>
          <w:p w14:paraId="519B39ED" w14:textId="77777777" w:rsidR="00A17062" w:rsidRPr="008E63BB" w:rsidRDefault="00A17062" w:rsidP="00FD0E46">
            <w:pPr>
              <w:jc w:val="center"/>
              <w:rPr>
                <w:rFonts w:eastAsia="Times New Roman"/>
                <w:b/>
                <w:bCs/>
                <w:szCs w:val="26"/>
              </w:rPr>
            </w:pPr>
            <w:r w:rsidRPr="008E63BB">
              <w:rPr>
                <w:rFonts w:eastAsia="Times New Roman"/>
                <w:b/>
                <w:bCs/>
                <w:szCs w:val="26"/>
              </w:rPr>
              <w:t> </w:t>
            </w:r>
          </w:p>
        </w:tc>
        <w:tc>
          <w:tcPr>
            <w:tcW w:w="1126" w:type="dxa"/>
            <w:tcBorders>
              <w:top w:val="nil"/>
              <w:left w:val="nil"/>
              <w:bottom w:val="single" w:sz="4" w:space="0" w:color="auto"/>
              <w:right w:val="single" w:sz="4" w:space="0" w:color="auto"/>
            </w:tcBorders>
            <w:shd w:val="clear" w:color="auto" w:fill="auto"/>
            <w:noWrap/>
            <w:vAlign w:val="bottom"/>
            <w:hideMark/>
          </w:tcPr>
          <w:p w14:paraId="519B39EE" w14:textId="77777777" w:rsidR="00A17062" w:rsidRPr="008E63BB" w:rsidRDefault="00A17062" w:rsidP="00FD0E46">
            <w:pPr>
              <w:jc w:val="center"/>
              <w:rPr>
                <w:rFonts w:eastAsia="Times New Roman"/>
                <w:b/>
                <w:bCs/>
                <w:szCs w:val="26"/>
              </w:rPr>
            </w:pPr>
            <w:r w:rsidRPr="008E63BB">
              <w:rPr>
                <w:rFonts w:eastAsia="Times New Roman"/>
                <w:b/>
                <w:bCs/>
                <w:szCs w:val="26"/>
              </w:rPr>
              <w:t> </w:t>
            </w:r>
          </w:p>
        </w:tc>
        <w:tc>
          <w:tcPr>
            <w:tcW w:w="1061" w:type="dxa"/>
            <w:tcBorders>
              <w:top w:val="nil"/>
              <w:left w:val="nil"/>
              <w:bottom w:val="single" w:sz="4" w:space="0" w:color="auto"/>
              <w:right w:val="single" w:sz="4" w:space="0" w:color="auto"/>
            </w:tcBorders>
            <w:shd w:val="clear" w:color="auto" w:fill="auto"/>
            <w:hideMark/>
          </w:tcPr>
          <w:p w14:paraId="519B39EF" w14:textId="77777777" w:rsidR="00A17062" w:rsidRPr="008E63BB" w:rsidRDefault="00A17062" w:rsidP="00FD0E46">
            <w:pPr>
              <w:jc w:val="right"/>
              <w:rPr>
                <w:rFonts w:eastAsia="Times New Roman"/>
                <w:b/>
                <w:bCs/>
                <w:szCs w:val="26"/>
              </w:rPr>
            </w:pPr>
            <w:r w:rsidRPr="008E63BB">
              <w:rPr>
                <w:rFonts w:eastAsia="Times New Roman"/>
                <w:b/>
                <w:bCs/>
                <w:szCs w:val="26"/>
              </w:rPr>
              <w:t>145.423</w:t>
            </w:r>
          </w:p>
        </w:tc>
        <w:tc>
          <w:tcPr>
            <w:tcW w:w="1074" w:type="dxa"/>
            <w:tcBorders>
              <w:top w:val="nil"/>
              <w:left w:val="nil"/>
              <w:bottom w:val="single" w:sz="4" w:space="0" w:color="auto"/>
              <w:right w:val="single" w:sz="4" w:space="0" w:color="auto"/>
            </w:tcBorders>
            <w:shd w:val="clear" w:color="auto" w:fill="auto"/>
            <w:hideMark/>
          </w:tcPr>
          <w:p w14:paraId="519B39F0" w14:textId="77777777" w:rsidR="00A17062" w:rsidRPr="008E63BB" w:rsidRDefault="00A17062" w:rsidP="00FD0E46">
            <w:pPr>
              <w:jc w:val="right"/>
              <w:rPr>
                <w:rFonts w:eastAsia="Times New Roman"/>
                <w:b/>
                <w:bCs/>
                <w:szCs w:val="26"/>
              </w:rPr>
            </w:pPr>
            <w:r w:rsidRPr="008E63BB">
              <w:rPr>
                <w:rFonts w:eastAsia="Times New Roman"/>
                <w:b/>
                <w:bCs/>
                <w:szCs w:val="26"/>
              </w:rPr>
              <w:t>196.736</w:t>
            </w:r>
          </w:p>
        </w:tc>
      </w:tr>
    </w:tbl>
    <w:p w14:paraId="519B39F2" w14:textId="77777777" w:rsidR="00BE389B" w:rsidRPr="008E63BB" w:rsidRDefault="00BE389B" w:rsidP="00D37901">
      <w:pPr>
        <w:spacing w:before="120"/>
        <w:ind w:firstLine="709"/>
        <w:rPr>
          <w:b/>
          <w:bCs/>
          <w:i/>
          <w:szCs w:val="26"/>
        </w:rPr>
      </w:pPr>
      <w:r w:rsidRPr="008E63BB">
        <w:rPr>
          <w:i/>
          <w:szCs w:val="26"/>
        </w:rPr>
        <w:tab/>
      </w:r>
      <w:r w:rsidRPr="008E63BB">
        <w:rPr>
          <w:b/>
          <w:bCs/>
          <w:i/>
          <w:szCs w:val="26"/>
        </w:rPr>
        <w:t>Tổng nhu cầu dùng nước sinh hoạt:</w:t>
      </w:r>
    </w:p>
    <w:p w14:paraId="519B39F3" w14:textId="77777777" w:rsidR="00A17062" w:rsidRPr="008E63BB" w:rsidRDefault="00A17062" w:rsidP="00A17062">
      <w:pPr>
        <w:ind w:left="720"/>
        <w:rPr>
          <w:bCs/>
          <w:szCs w:val="26"/>
        </w:rPr>
      </w:pPr>
      <w:r w:rsidRPr="008E63BB">
        <w:rPr>
          <w:bCs/>
          <w:szCs w:val="26"/>
        </w:rPr>
        <w:t>Q(2030)</w:t>
      </w:r>
      <w:r w:rsidRPr="008E63BB">
        <w:rPr>
          <w:bCs/>
          <w:szCs w:val="26"/>
          <w:vertAlign w:val="subscript"/>
        </w:rPr>
        <w:t>ngày max</w:t>
      </w:r>
      <w:r w:rsidRPr="008E63BB">
        <w:rPr>
          <w:bCs/>
          <w:szCs w:val="26"/>
        </w:rPr>
        <w:t>= Q(2030)</w:t>
      </w:r>
      <w:r w:rsidRPr="008E63BB">
        <w:rPr>
          <w:bCs/>
          <w:szCs w:val="26"/>
          <w:vertAlign w:val="subscript"/>
        </w:rPr>
        <w:t>TB</w:t>
      </w:r>
      <w:r w:rsidRPr="008E63BB">
        <w:rPr>
          <w:bCs/>
          <w:szCs w:val="26"/>
        </w:rPr>
        <w:t xml:space="preserve">×1,2 =145.423×1,2 = 174.508 </w:t>
      </w:r>
      <w:r w:rsidRPr="008E63BB">
        <w:rPr>
          <w:bCs/>
          <w:szCs w:val="26"/>
        </w:rPr>
        <w:sym w:font="Symbol" w:char="F0BB"/>
      </w:r>
      <w:r w:rsidRPr="008E63BB">
        <w:rPr>
          <w:bCs/>
          <w:szCs w:val="26"/>
        </w:rPr>
        <w:t xml:space="preserve"> 175.000 m3/ngđ</w:t>
      </w:r>
    </w:p>
    <w:p w14:paraId="519B39F4" w14:textId="77777777" w:rsidR="00A17062" w:rsidRPr="008E63BB" w:rsidRDefault="00A17062" w:rsidP="00A17062">
      <w:pPr>
        <w:ind w:left="720"/>
        <w:rPr>
          <w:bCs/>
          <w:szCs w:val="26"/>
        </w:rPr>
      </w:pPr>
      <w:r w:rsidRPr="008E63BB">
        <w:rPr>
          <w:bCs/>
          <w:szCs w:val="26"/>
        </w:rPr>
        <w:t>Q(2040)</w:t>
      </w:r>
      <w:r w:rsidRPr="008E63BB">
        <w:rPr>
          <w:bCs/>
          <w:szCs w:val="26"/>
          <w:vertAlign w:val="subscript"/>
        </w:rPr>
        <w:t>ngày max</w:t>
      </w:r>
      <w:r w:rsidRPr="008E63BB">
        <w:rPr>
          <w:bCs/>
          <w:szCs w:val="26"/>
        </w:rPr>
        <w:t>= Q(2040)</w:t>
      </w:r>
      <w:r w:rsidRPr="008E63BB">
        <w:rPr>
          <w:bCs/>
          <w:szCs w:val="26"/>
          <w:vertAlign w:val="subscript"/>
        </w:rPr>
        <w:t>TB</w:t>
      </w:r>
      <w:r w:rsidRPr="008E63BB">
        <w:rPr>
          <w:bCs/>
          <w:szCs w:val="26"/>
        </w:rPr>
        <w:t xml:space="preserve">×1,2 =196.736×1,2 = 236.084 </w:t>
      </w:r>
      <w:r w:rsidRPr="008E63BB">
        <w:rPr>
          <w:bCs/>
          <w:szCs w:val="26"/>
        </w:rPr>
        <w:sym w:font="Symbol" w:char="F0BB"/>
      </w:r>
      <w:r w:rsidRPr="008E63BB">
        <w:rPr>
          <w:bCs/>
          <w:szCs w:val="26"/>
        </w:rPr>
        <w:t xml:space="preserve"> 240.000 m3/ngđ</w:t>
      </w:r>
    </w:p>
    <w:p w14:paraId="519B39F5" w14:textId="77777777" w:rsidR="00BE389B" w:rsidRPr="008E63BB" w:rsidRDefault="00BE389B" w:rsidP="0065184D">
      <w:pPr>
        <w:rPr>
          <w:bCs/>
          <w:szCs w:val="26"/>
          <w:lang w:val="vi-VN"/>
        </w:rPr>
      </w:pPr>
      <w:r w:rsidRPr="008E63BB">
        <w:rPr>
          <w:bCs/>
          <w:szCs w:val="26"/>
          <w:lang w:val="vi-VN"/>
        </w:rPr>
        <w:tab/>
        <w:t>Hệ số dùng nước lớn nhất: K</w:t>
      </w:r>
      <w:r w:rsidRPr="008E63BB">
        <w:rPr>
          <w:bCs/>
          <w:szCs w:val="26"/>
          <w:vertAlign w:val="subscript"/>
          <w:lang w:val="vi-VN"/>
        </w:rPr>
        <w:t>ngày max</w:t>
      </w:r>
      <w:r w:rsidRPr="008E63BB">
        <w:rPr>
          <w:bCs/>
          <w:szCs w:val="26"/>
          <w:lang w:val="vi-VN"/>
        </w:rPr>
        <w:t>= 1,2</w:t>
      </w:r>
    </w:p>
    <w:p w14:paraId="519B39F6" w14:textId="77777777" w:rsidR="00244409" w:rsidRPr="008E63BB" w:rsidRDefault="00244409" w:rsidP="0065184D">
      <w:pPr>
        <w:rPr>
          <w:b/>
          <w:bCs/>
          <w:i/>
          <w:iCs/>
          <w:szCs w:val="26"/>
          <w:lang w:val="vi-VN"/>
        </w:rPr>
      </w:pPr>
      <w:r w:rsidRPr="008E63BB">
        <w:rPr>
          <w:b/>
          <w:bCs/>
          <w:i/>
          <w:iCs/>
          <w:szCs w:val="26"/>
          <w:lang w:val="vi-VN"/>
        </w:rPr>
        <w:t xml:space="preserve">d. </w:t>
      </w:r>
      <w:bookmarkEnd w:id="466"/>
      <w:bookmarkEnd w:id="467"/>
      <w:bookmarkEnd w:id="468"/>
      <w:bookmarkEnd w:id="469"/>
      <w:bookmarkEnd w:id="470"/>
      <w:r w:rsidRPr="008E63BB">
        <w:rPr>
          <w:b/>
          <w:bCs/>
          <w:i/>
          <w:iCs/>
          <w:szCs w:val="26"/>
          <w:lang w:val="vi-VN"/>
        </w:rPr>
        <w:t>Nguồn nước:</w:t>
      </w:r>
    </w:p>
    <w:p w14:paraId="519B39F7" w14:textId="77777777" w:rsidR="0064784B" w:rsidRPr="008E63BB" w:rsidRDefault="0064784B" w:rsidP="0064784B">
      <w:pPr>
        <w:ind w:firstLine="720"/>
        <w:rPr>
          <w:b/>
          <w:bCs/>
          <w:i/>
          <w:iCs/>
          <w:szCs w:val="26"/>
          <w:lang w:val="vi-VN"/>
        </w:rPr>
      </w:pPr>
      <w:r w:rsidRPr="008E63BB">
        <w:rPr>
          <w:w w:val="105"/>
          <w:lang w:val="vi-VN"/>
        </w:rPr>
        <w:t>Tuân thủ quy định về phòng chống ô nhiễm suy thoái, cạn kiệt nguồn nước; về xả thải vào nguồn nước, khai thác sử dụng tài nguyên nước.</w:t>
      </w:r>
    </w:p>
    <w:p w14:paraId="519B39F8" w14:textId="77777777" w:rsidR="00BE389B" w:rsidRPr="008E63BB" w:rsidRDefault="00BE389B" w:rsidP="0065184D">
      <w:pPr>
        <w:ind w:right="135"/>
        <w:rPr>
          <w:rFonts w:eastAsia="Times New Roman"/>
          <w:b/>
          <w:i/>
          <w:w w:val="105"/>
          <w:szCs w:val="26"/>
          <w:lang w:val="vi-VN"/>
        </w:rPr>
      </w:pPr>
      <w:bookmarkStart w:id="471" w:name="_Toc126877765"/>
      <w:bookmarkStart w:id="472" w:name="_Toc126877949"/>
      <w:bookmarkStart w:id="473" w:name="_Toc534507684"/>
      <w:bookmarkStart w:id="474" w:name="_Toc167611418"/>
      <w:bookmarkStart w:id="475" w:name="_Toc535007775"/>
      <w:r w:rsidRPr="008E63BB">
        <w:rPr>
          <w:rFonts w:eastAsia="Times New Roman"/>
          <w:b/>
          <w:i/>
          <w:w w:val="105"/>
          <w:szCs w:val="26"/>
          <w:lang w:val="vi-VN"/>
        </w:rPr>
        <w:t>d.1. Nguồn nước mặt:</w:t>
      </w:r>
    </w:p>
    <w:p w14:paraId="519B39F9" w14:textId="77777777" w:rsidR="009A0D90" w:rsidRPr="008E63BB" w:rsidRDefault="009A0D90" w:rsidP="0065184D">
      <w:pPr>
        <w:ind w:firstLine="720"/>
        <w:rPr>
          <w:lang w:val="vi-VN"/>
        </w:rPr>
      </w:pPr>
      <w:r w:rsidRPr="008E63BB">
        <w:rPr>
          <w:w w:val="105"/>
          <w:lang w:val="vi-VN"/>
        </w:rPr>
        <w:lastRenderedPageBreak/>
        <w:t>Khu vực nghiên cứu có nguồn nước mặt phong phú với 2 con sông lớn có khả năng cung cấp nước cho mục đích sinh hoạt là sông Đào và sông Hồng, các thông số kỹ thuật cụ thể như sau:</w:t>
      </w:r>
    </w:p>
    <w:p w14:paraId="519B39FA" w14:textId="77777777" w:rsidR="009A0D90" w:rsidRPr="008E63BB" w:rsidRDefault="009A0D90" w:rsidP="0065184D">
      <w:pPr>
        <w:ind w:firstLine="567"/>
        <w:rPr>
          <w:spacing w:val="-4"/>
          <w:w w:val="105"/>
          <w:lang w:val="vi-VN"/>
        </w:rPr>
      </w:pPr>
      <w:r w:rsidRPr="008E63BB">
        <w:rPr>
          <w:spacing w:val="-4"/>
          <w:w w:val="105"/>
          <w:lang w:val="vi-VN"/>
        </w:rPr>
        <w:t>+ Sông Hồng: Bắt nguồn từ Vân Nam, Trung Quốc, chảy theo hướngTây-Tây Nam ra hướng Đông Nam, gặp sông Lô và sông Đà tại Việt Trì, rồi chảy xuôi về đồngbằng Bắc Bộ, chiều rộng lòng sông từ 1000m – 3000m.Sông Hồng là hợp lưu của 3 con sông lớn:sông Thao,sông Đà,sông Lô.Lưu lượng dòng chảy trung bình ước tính khoảng 4.100m</w:t>
      </w:r>
      <w:r w:rsidRPr="008E63BB">
        <w:rPr>
          <w:spacing w:val="-4"/>
          <w:w w:val="105"/>
          <w:position w:val="9"/>
          <w:lang w:val="vi-VN"/>
        </w:rPr>
        <w:t>3</w:t>
      </w:r>
      <w:r w:rsidRPr="008E63BB">
        <w:rPr>
          <w:spacing w:val="-4"/>
          <w:w w:val="105"/>
          <w:lang w:val="vi-VN"/>
        </w:rPr>
        <w:t>/giây. Lưu lượng tối thiểu được báo cáo vào ngày16/3/1995 là 385m</w:t>
      </w:r>
      <w:r w:rsidRPr="008E63BB">
        <w:rPr>
          <w:spacing w:val="-4"/>
          <w:w w:val="105"/>
          <w:position w:val="8"/>
          <w:lang w:val="vi-VN"/>
        </w:rPr>
        <w:t>3</w:t>
      </w:r>
      <w:r w:rsidRPr="008E63BB">
        <w:rPr>
          <w:spacing w:val="-4"/>
          <w:w w:val="105"/>
          <w:lang w:val="vi-VN"/>
        </w:rPr>
        <w:t>/giây. Các kết quả đo tại trạm Nam Định từ năm 1990 đến năm 2001 cho thấy mực nước lớn nhất là 10,63m(1990),trung bình là 5,09m, thấp nhất là 2,78m.</w:t>
      </w:r>
    </w:p>
    <w:p w14:paraId="519B39FB" w14:textId="77777777" w:rsidR="00BE389B" w:rsidRPr="008E63BB" w:rsidRDefault="00BE389B" w:rsidP="0065184D">
      <w:pPr>
        <w:tabs>
          <w:tab w:val="left" w:pos="0"/>
        </w:tabs>
        <w:ind w:firstLine="567"/>
        <w:rPr>
          <w:rFonts w:eastAsia="Times New Roman"/>
          <w:szCs w:val="26"/>
          <w:lang w:val="vi-VN"/>
        </w:rPr>
      </w:pPr>
      <w:r w:rsidRPr="008E63BB">
        <w:rPr>
          <w:rFonts w:eastAsia="Times New Roman"/>
          <w:szCs w:val="26"/>
          <w:lang w:val="vi-VN"/>
        </w:rPr>
        <w:t>Trong 5 tháng mùa cạn (tháng XII-IV) sông Hồng là 9,8 tỷ m</w:t>
      </w:r>
      <w:r w:rsidRPr="008E63BB">
        <w:rPr>
          <w:rFonts w:eastAsia="Times New Roman"/>
          <w:szCs w:val="26"/>
          <w:vertAlign w:val="superscript"/>
          <w:lang w:val="vi-VN"/>
        </w:rPr>
        <w:t>3</w:t>
      </w:r>
      <w:r w:rsidRPr="008E63BB">
        <w:rPr>
          <w:rFonts w:eastAsia="Times New Roman"/>
          <w:szCs w:val="26"/>
          <w:lang w:val="vi-VN"/>
        </w:rPr>
        <w:t>. Vào tháng cạn nhất (tháng II) tổng lượng dòng chảy cấp từ các sông rất thấp, đến địa phận Nam Định sông Hồng là 1,4 tỷ m</w:t>
      </w:r>
      <w:r w:rsidRPr="008E63BB">
        <w:rPr>
          <w:rFonts w:eastAsia="Times New Roman"/>
          <w:szCs w:val="26"/>
          <w:vertAlign w:val="superscript"/>
          <w:lang w:val="vi-VN"/>
        </w:rPr>
        <w:t>3</w:t>
      </w:r>
      <w:r w:rsidRPr="008E63BB">
        <w:rPr>
          <w:rFonts w:eastAsia="Times New Roman"/>
          <w:szCs w:val="26"/>
          <w:lang w:val="vi-VN"/>
        </w:rPr>
        <w:t>. Thay vào đó lượng nước từ sông Hồng chuyển qua sông Đào Nam Định rất cao, bình quân nhiều năm khoảng 23,28 tỷ m</w:t>
      </w:r>
      <w:r w:rsidRPr="008E63BB">
        <w:rPr>
          <w:rFonts w:eastAsia="Times New Roman"/>
          <w:szCs w:val="26"/>
          <w:vertAlign w:val="superscript"/>
          <w:lang w:val="vi-VN"/>
        </w:rPr>
        <w:t>3</w:t>
      </w:r>
      <w:r w:rsidRPr="008E63BB">
        <w:rPr>
          <w:rFonts w:eastAsia="Times New Roman"/>
          <w:szCs w:val="26"/>
          <w:lang w:val="vi-VN"/>
        </w:rPr>
        <w:t>, 5 tháng mùa mưa là 4,127 tỷ m</w:t>
      </w:r>
      <w:r w:rsidRPr="008E63BB">
        <w:rPr>
          <w:rFonts w:eastAsia="Times New Roman"/>
          <w:szCs w:val="26"/>
          <w:vertAlign w:val="superscript"/>
          <w:lang w:val="vi-VN"/>
        </w:rPr>
        <w:t>3</w:t>
      </w:r>
      <w:r w:rsidRPr="008E63BB">
        <w:rPr>
          <w:rFonts w:eastAsia="Times New Roman"/>
          <w:szCs w:val="26"/>
          <w:lang w:val="vi-VN"/>
        </w:rPr>
        <w:t>, 3 tháng mùa cạn là 2,349 tỷ m</w:t>
      </w:r>
      <w:r w:rsidRPr="008E63BB">
        <w:rPr>
          <w:rFonts w:eastAsia="Times New Roman"/>
          <w:szCs w:val="26"/>
          <w:vertAlign w:val="superscript"/>
          <w:lang w:val="vi-VN"/>
        </w:rPr>
        <w:t>3</w:t>
      </w:r>
      <w:r w:rsidRPr="008E63BB">
        <w:rPr>
          <w:rFonts w:eastAsia="Times New Roman"/>
          <w:szCs w:val="26"/>
          <w:lang w:val="vi-VN"/>
        </w:rPr>
        <w:t>, tháng cạn nhất là 0,720 tỷ m</w:t>
      </w:r>
      <w:r w:rsidRPr="008E63BB">
        <w:rPr>
          <w:rFonts w:eastAsia="Times New Roman"/>
          <w:szCs w:val="26"/>
          <w:vertAlign w:val="superscript"/>
          <w:lang w:val="vi-VN"/>
        </w:rPr>
        <w:t>3</w:t>
      </w:r>
      <w:r w:rsidRPr="008E63BB">
        <w:rPr>
          <w:rFonts w:eastAsia="Times New Roman"/>
          <w:szCs w:val="26"/>
          <w:lang w:val="vi-VN"/>
        </w:rPr>
        <w:t xml:space="preserve"> (chiếm trên 40% lượng nước từ sông Hồng).</w:t>
      </w:r>
    </w:p>
    <w:p w14:paraId="519B39FC" w14:textId="77777777" w:rsidR="00BE389B" w:rsidRPr="008E63BB" w:rsidRDefault="00BE389B" w:rsidP="0065184D">
      <w:pPr>
        <w:ind w:right="137" w:firstLine="567"/>
        <w:rPr>
          <w:rFonts w:eastAsia="Times New Roman"/>
          <w:w w:val="105"/>
          <w:szCs w:val="26"/>
        </w:rPr>
      </w:pPr>
      <w:r w:rsidRPr="008E63BB">
        <w:rPr>
          <w:rFonts w:eastAsia="Times New Roman"/>
          <w:w w:val="105"/>
          <w:szCs w:val="26"/>
          <w:lang w:val="vi-VN"/>
        </w:rPr>
        <w:t xml:space="preserve">+ Sông Đào: Là con sông lớn cấp nước sinh hoạt cho thành phố Nam Định bắt nguồn từ sông Hồng ở phía Nam cầu Tân Đệ chảy qua thành phố Nam Định gặp sông Đáy ở xã Hoàng Nam huyện Nghĩa Hưng có chiều dài khoảng 34 km, chiều rộng trung bình từ 500 </w:t>
      </w:r>
      <w:r w:rsidRPr="008E63BB">
        <w:rPr>
          <w:rFonts w:eastAsia="Times New Roman"/>
          <w:w w:val="105"/>
          <w:szCs w:val="26"/>
        </w:rPr>
        <w:sym w:font="Symbol" w:char="F0B8"/>
      </w:r>
      <w:r w:rsidRPr="008E63BB">
        <w:rPr>
          <w:rFonts w:eastAsia="Times New Roman"/>
          <w:w w:val="105"/>
          <w:szCs w:val="26"/>
          <w:lang w:val="vi-VN"/>
        </w:rPr>
        <w:t xml:space="preserve"> 600m. </w:t>
      </w:r>
      <w:r w:rsidRPr="008E63BB">
        <w:rPr>
          <w:rFonts w:eastAsia="Times New Roman"/>
          <w:w w:val="105"/>
          <w:szCs w:val="26"/>
        </w:rPr>
        <w:t>Qmax: 6.500 m3/s, Qmin: 129 m3/s, Qtb: 896 m3/s</w:t>
      </w:r>
    </w:p>
    <w:p w14:paraId="519B39FD" w14:textId="77777777" w:rsidR="00BE389B" w:rsidRPr="008E63BB" w:rsidRDefault="00BE389B" w:rsidP="0065184D">
      <w:pPr>
        <w:keepNext/>
        <w:ind w:firstLine="567"/>
        <w:outlineLvl w:val="3"/>
        <w:rPr>
          <w:rFonts w:eastAsia="Times New Roman"/>
          <w:b/>
          <w:bCs/>
          <w:i/>
          <w:szCs w:val="26"/>
          <w:lang w:val="pt-BR"/>
        </w:rPr>
      </w:pPr>
      <w:r w:rsidRPr="008E63BB">
        <w:rPr>
          <w:rFonts w:eastAsia="Times New Roman"/>
          <w:b/>
          <w:bCs/>
          <w:i/>
          <w:szCs w:val="26"/>
          <w:lang w:val="pt-BR"/>
        </w:rPr>
        <w:t>* Chất lượng nguồn nước mặt</w:t>
      </w:r>
    </w:p>
    <w:p w14:paraId="519B39FE" w14:textId="77777777" w:rsidR="00BE389B" w:rsidRPr="008E63BB" w:rsidRDefault="00BE389B" w:rsidP="0065184D">
      <w:pPr>
        <w:tabs>
          <w:tab w:val="left" w:pos="0"/>
        </w:tabs>
        <w:ind w:firstLine="567"/>
        <w:rPr>
          <w:rFonts w:eastAsia="Times New Roman"/>
          <w:szCs w:val="26"/>
          <w:lang w:val="pt-BR"/>
        </w:rPr>
      </w:pPr>
      <w:r w:rsidRPr="008E63BB">
        <w:rPr>
          <w:rFonts w:eastAsia="Times New Roman"/>
          <w:szCs w:val="26"/>
          <w:lang w:val="pt-BR"/>
        </w:rPr>
        <w:t>Qua kết quả quan trắc môi trường nước mặt định kỳ hàng năm của Sở Tài nguyên và Môi trường tỉnh Nam Định cho thấy chất lượng nước trên các sông lớn biến động nhẹ theo thời gian. So sánh với QCVN 08:2008 cột A2 hầu hết các điểm quan trắc trên sông đã có dấu hiệu ô nhiễm bởi các thông số như COD, BOD</w:t>
      </w:r>
      <w:r w:rsidRPr="008E63BB">
        <w:rPr>
          <w:rFonts w:eastAsia="Times New Roman"/>
          <w:szCs w:val="26"/>
          <w:vertAlign w:val="subscript"/>
          <w:lang w:val="pt-BR"/>
        </w:rPr>
        <w:t>5</w:t>
      </w:r>
      <w:r w:rsidRPr="008E63BB">
        <w:rPr>
          <w:rFonts w:eastAsia="Times New Roman"/>
          <w:szCs w:val="26"/>
          <w:lang w:val="pt-BR"/>
        </w:rPr>
        <w:t>, SS, tuy nhiên ô nhiễm chỉ mang tính cục bộ.</w:t>
      </w:r>
    </w:p>
    <w:p w14:paraId="519B39FF" w14:textId="77777777" w:rsidR="00BE389B" w:rsidRPr="008E63BB" w:rsidRDefault="00BE389B" w:rsidP="0065184D">
      <w:pPr>
        <w:ind w:firstLine="720"/>
        <w:outlineLvl w:val="6"/>
        <w:rPr>
          <w:rFonts w:eastAsia="Times New Roman"/>
          <w:szCs w:val="26"/>
          <w:lang w:val="pt-BR"/>
        </w:rPr>
      </w:pPr>
      <w:r w:rsidRPr="008E63BB">
        <w:rPr>
          <w:rFonts w:eastAsia="Times New Roman"/>
          <w:szCs w:val="26"/>
          <w:lang w:val="pt-BR"/>
        </w:rPr>
        <w:t>* Tại vị trí nước sông chảy qua khu vực đông dân cư và có nhiều hoạt động sản xuất công nghiệp:</w:t>
      </w:r>
    </w:p>
    <w:p w14:paraId="519B3A00" w14:textId="77777777" w:rsidR="00BE389B" w:rsidRPr="008E63BB" w:rsidRDefault="00BE389B" w:rsidP="0065184D">
      <w:pPr>
        <w:ind w:firstLine="709"/>
        <w:rPr>
          <w:szCs w:val="26"/>
          <w:lang w:val="pt-BR"/>
        </w:rPr>
      </w:pPr>
      <w:r w:rsidRPr="008E63BB">
        <w:rPr>
          <w:szCs w:val="26"/>
          <w:lang w:val="pt-BR"/>
        </w:rPr>
        <w:t>+ Sông Hồng: Tại vị trí cách điểm tiếp nhận nước thải từ trạm bơm Quán Chuột khoảng 300m về phía hạ lưu thuộc xã Mỹ Tân - huyện Mỹ Lộc. Do thời điểm lấy mẫu là thời điểm trạm bơm hoạt động nên hầu hết các thông số quan trắc đều có nồng độ cao hơn các vị trí khác, điển hình là thông số COD, BOD</w:t>
      </w:r>
      <w:r w:rsidRPr="008E63BB">
        <w:rPr>
          <w:szCs w:val="26"/>
          <w:vertAlign w:val="subscript"/>
          <w:lang w:val="pt-BR"/>
        </w:rPr>
        <w:t>5</w:t>
      </w:r>
      <w:r w:rsidRPr="008E63BB">
        <w:rPr>
          <w:szCs w:val="26"/>
          <w:lang w:val="pt-BR"/>
        </w:rPr>
        <w:t>, dầu mỡ, phenol.</w:t>
      </w:r>
    </w:p>
    <w:p w14:paraId="519B3A01" w14:textId="77777777" w:rsidR="00BE389B" w:rsidRPr="008E63BB" w:rsidRDefault="00BE389B" w:rsidP="0065184D">
      <w:pPr>
        <w:ind w:firstLine="709"/>
        <w:rPr>
          <w:szCs w:val="26"/>
          <w:lang w:val="pt-BR"/>
        </w:rPr>
      </w:pPr>
      <w:r w:rsidRPr="008E63BB">
        <w:rPr>
          <w:szCs w:val="26"/>
          <w:lang w:val="pt-BR"/>
        </w:rPr>
        <w:t>+ Sông Đào: tại vị trí cách điểm tiếp nhận nước thải từ Kênh Gia khoảng 700m về phía hạ lưu có dấu hiệu ô nhiễm cục bộ bởi các thông số COD, BOD</w:t>
      </w:r>
      <w:r w:rsidRPr="008E63BB">
        <w:rPr>
          <w:szCs w:val="26"/>
          <w:vertAlign w:val="subscript"/>
          <w:lang w:val="pt-BR"/>
        </w:rPr>
        <w:t>5</w:t>
      </w:r>
      <w:r w:rsidRPr="008E63BB">
        <w:rPr>
          <w:szCs w:val="26"/>
          <w:lang w:val="pt-BR"/>
        </w:rPr>
        <w:t>, dầu mỡ, phenol. Kênh Gia là mương tiêu thoát nước thải của dân cư khu vực thành phố Nam Định, các cơ sở sản xuất trong thành phố. Hầu hết nước thải chưa được xử lý đạt quy chuẩn cho phép trước khi thải ra môi trường nên chất lượng nước sông Đào khu vực này bị ảnh hưởng bởi lượng nước thải này.</w:t>
      </w:r>
    </w:p>
    <w:p w14:paraId="519B3A02" w14:textId="77777777" w:rsidR="00BE389B" w:rsidRPr="008E63BB" w:rsidRDefault="00BE389B" w:rsidP="0065184D">
      <w:pPr>
        <w:rPr>
          <w:b/>
          <w:i/>
          <w:szCs w:val="26"/>
          <w:lang w:val="pt-BR"/>
        </w:rPr>
      </w:pPr>
      <w:r w:rsidRPr="008E63BB">
        <w:rPr>
          <w:b/>
          <w:i/>
          <w:szCs w:val="26"/>
          <w:lang w:val="pt-BR"/>
        </w:rPr>
        <w:t>d.2. Nước ngầm:</w:t>
      </w:r>
    </w:p>
    <w:p w14:paraId="519B3A03" w14:textId="77777777" w:rsidR="00BE389B" w:rsidRPr="008E63BB" w:rsidRDefault="00C40B71" w:rsidP="00C40B71">
      <w:pPr>
        <w:ind w:firstLine="567"/>
        <w:rPr>
          <w:rFonts w:eastAsia="Times New Roman"/>
          <w:w w:val="105"/>
          <w:szCs w:val="26"/>
          <w:lang w:val="pt-BR"/>
        </w:rPr>
      </w:pPr>
      <w:bookmarkStart w:id="476" w:name="_Toc126877766"/>
      <w:bookmarkStart w:id="477" w:name="_Toc126877950"/>
      <w:bookmarkStart w:id="478" w:name="_Toc534507685"/>
      <w:bookmarkStart w:id="479" w:name="_Toc167611419"/>
      <w:bookmarkStart w:id="480" w:name="_Toc535007776"/>
      <w:bookmarkEnd w:id="471"/>
      <w:bookmarkEnd w:id="472"/>
      <w:bookmarkEnd w:id="473"/>
      <w:bookmarkEnd w:id="474"/>
      <w:bookmarkEnd w:id="475"/>
      <w:r w:rsidRPr="008E63BB">
        <w:rPr>
          <w:rFonts w:eastAsia="Times New Roman"/>
          <w:w w:val="105"/>
          <w:szCs w:val="26"/>
        </w:rPr>
        <w:t xml:space="preserve">Cho tới nay chưa có tài liệu đánh giá về trữ lượng cũng như khả năng khaithácnước ngầm ở khu vực Nam Định và vùng phụ cận. Về lưu lượng, số liệu thực đo từ các giếng hiện có cho thấy công suất có thể khai thác ổn định từ </w:t>
      </w:r>
      <w:r w:rsidRPr="008E63BB">
        <w:rPr>
          <w:rFonts w:eastAsia="Times New Roman"/>
          <w:spacing w:val="11"/>
          <w:w w:val="105"/>
          <w:szCs w:val="26"/>
        </w:rPr>
        <w:t>0</w:t>
      </w:r>
      <w:r w:rsidRPr="008E63BB">
        <w:rPr>
          <w:rFonts w:eastAsia="Times New Roman"/>
          <w:w w:val="105"/>
          <w:szCs w:val="26"/>
        </w:rPr>
        <w:t xml:space="preserve">1giếng điển hình chỉ ở mứcQ=10-30m3/h (giếng có chiều sâu 80-100m và đường kính270-375mm).Về chất lượng, kết quả phân tích mẫu nước tại các giếng khoan hiện có cho thấy nước bị nhiễm mặn, hàm lượng clorua vượt xa so với chỉ tiêu cho phép, độ </w:t>
      </w:r>
      <w:r w:rsidRPr="008E63BB">
        <w:rPr>
          <w:rFonts w:eastAsia="Times New Roman"/>
          <w:w w:val="105"/>
          <w:szCs w:val="26"/>
        </w:rPr>
        <w:lastRenderedPageBreak/>
        <w:t>kiềm thấp và hàm lượng sắt cao, có những mẫu hàm lượng sắt gấp tới 300 lần so với khuyến cáo của WHO</w:t>
      </w:r>
      <w:r w:rsidR="00BE389B" w:rsidRPr="008E63BB">
        <w:rPr>
          <w:rFonts w:eastAsia="Times New Roman"/>
          <w:w w:val="105"/>
          <w:szCs w:val="26"/>
          <w:lang w:val="pt-BR"/>
        </w:rPr>
        <w:t>.</w:t>
      </w:r>
    </w:p>
    <w:p w14:paraId="519B3A04" w14:textId="77777777" w:rsidR="00BE389B" w:rsidRPr="008E63BB" w:rsidRDefault="00BE389B" w:rsidP="0065184D">
      <w:pPr>
        <w:rPr>
          <w:b/>
          <w:i/>
          <w:szCs w:val="26"/>
          <w:lang w:val="pt-BR"/>
        </w:rPr>
      </w:pPr>
      <w:r w:rsidRPr="008E63BB">
        <w:rPr>
          <w:b/>
          <w:i/>
          <w:szCs w:val="26"/>
          <w:lang w:val="pt-BR"/>
        </w:rPr>
        <w:t>d.3. Lựa chọn nguồn nước</w:t>
      </w:r>
      <w:bookmarkEnd w:id="476"/>
      <w:bookmarkEnd w:id="477"/>
      <w:bookmarkEnd w:id="478"/>
      <w:bookmarkEnd w:id="479"/>
      <w:bookmarkEnd w:id="480"/>
      <w:r w:rsidRPr="008E63BB">
        <w:rPr>
          <w:b/>
          <w:i/>
          <w:szCs w:val="26"/>
          <w:lang w:val="pt-BR"/>
        </w:rPr>
        <w:t>:</w:t>
      </w:r>
    </w:p>
    <w:p w14:paraId="519B3A05" w14:textId="77777777" w:rsidR="00BE389B" w:rsidRPr="008E63BB" w:rsidRDefault="00BE389B" w:rsidP="0065184D">
      <w:pPr>
        <w:ind w:firstLine="720"/>
        <w:rPr>
          <w:rFonts w:eastAsia="Times New Roman"/>
          <w:szCs w:val="26"/>
          <w:lang w:val="pt-BR"/>
        </w:rPr>
      </w:pPr>
      <w:r w:rsidRPr="008E63BB">
        <w:rPr>
          <w:rFonts w:eastAsia="Times New Roman"/>
          <w:szCs w:val="26"/>
          <w:lang w:val="pt-BR"/>
        </w:rPr>
        <w:t xml:space="preserve">Căn cứ vào quyết định số </w:t>
      </w:r>
      <w:r w:rsidRPr="008E63BB">
        <w:rPr>
          <w:bCs/>
          <w:iCs/>
          <w:szCs w:val="26"/>
          <w:lang w:val="pt-BR"/>
        </w:rPr>
        <w:t>số 605/QĐ-UBND, ngày 29/03/2017 phê duyệt “</w:t>
      </w:r>
      <w:r w:rsidRPr="008E63BB">
        <w:rPr>
          <w:bCs/>
          <w:i/>
          <w:iCs/>
          <w:szCs w:val="26"/>
          <w:lang w:val="pt-BR"/>
        </w:rPr>
        <w:t>Quy hoạch cấp nước thành phố Nam Định đến năm 2020, định hướng đến năm 2025</w:t>
      </w:r>
      <w:r w:rsidRPr="008E63BB">
        <w:rPr>
          <w:bCs/>
          <w:iCs/>
          <w:szCs w:val="26"/>
          <w:lang w:val="pt-BR"/>
        </w:rPr>
        <w:t xml:space="preserve">”: </w:t>
      </w:r>
      <w:r w:rsidRPr="008E63BB">
        <w:rPr>
          <w:rFonts w:eastAsia="Times New Roman"/>
          <w:szCs w:val="26"/>
          <w:lang w:val="pt-BR"/>
        </w:rPr>
        <w:t>Chọn nguồn nước sông Hồng và sông Đào là nguồn cấp nước sinh hoạt và sản xuất cho toàn thành phố Nam Định hiện nay và tương lai.</w:t>
      </w:r>
    </w:p>
    <w:p w14:paraId="519B3A06" w14:textId="77777777" w:rsidR="00244409" w:rsidRPr="008E63BB" w:rsidRDefault="00244409" w:rsidP="0065184D">
      <w:pPr>
        <w:rPr>
          <w:b/>
          <w:bCs/>
          <w:i/>
          <w:iCs/>
          <w:szCs w:val="26"/>
          <w:lang w:val="pt-BR"/>
        </w:rPr>
      </w:pPr>
      <w:r w:rsidRPr="008E63BB">
        <w:rPr>
          <w:b/>
          <w:bCs/>
          <w:i/>
          <w:iCs/>
          <w:szCs w:val="26"/>
          <w:lang w:val="pt-BR"/>
        </w:rPr>
        <w:t>e. Giải pháp cấp nước:</w:t>
      </w:r>
      <w:bookmarkStart w:id="481" w:name="_Toc126877767"/>
      <w:bookmarkStart w:id="482" w:name="_Toc126877951"/>
      <w:bookmarkStart w:id="483" w:name="_Toc167611420"/>
      <w:bookmarkStart w:id="484" w:name="_Toc535007777"/>
      <w:bookmarkStart w:id="485" w:name="_Toc126877769"/>
      <w:bookmarkStart w:id="486" w:name="_Toc126877953"/>
    </w:p>
    <w:bookmarkEnd w:id="481"/>
    <w:bookmarkEnd w:id="482"/>
    <w:bookmarkEnd w:id="483"/>
    <w:bookmarkEnd w:id="484"/>
    <w:p w14:paraId="519B3A07" w14:textId="77777777" w:rsidR="00244409" w:rsidRPr="008E63BB" w:rsidRDefault="00244409" w:rsidP="0065184D">
      <w:pPr>
        <w:rPr>
          <w:i/>
          <w:szCs w:val="26"/>
          <w:lang w:val="pt-BR"/>
        </w:rPr>
      </w:pPr>
      <w:r w:rsidRPr="008E63BB">
        <w:rPr>
          <w:i/>
          <w:szCs w:val="26"/>
          <w:lang w:val="pt-BR"/>
        </w:rPr>
        <w:t xml:space="preserve">e.1. Nguồn nước: </w:t>
      </w:r>
      <w:r w:rsidRPr="008E63BB">
        <w:rPr>
          <w:szCs w:val="26"/>
          <w:lang w:val="pt-BR"/>
        </w:rPr>
        <w:t>Khai thác nguồn nước sông Đào và Sông Hồng để cấp nước sinh hoạt và sản xuất cho khu vực nghiên cứu.</w:t>
      </w:r>
    </w:p>
    <w:p w14:paraId="519B3A08" w14:textId="77777777" w:rsidR="00A17062" w:rsidRPr="008E63BB" w:rsidRDefault="00A17062" w:rsidP="00A17062">
      <w:pPr>
        <w:rPr>
          <w:i/>
          <w:szCs w:val="26"/>
          <w:lang w:val="pt-BR"/>
        </w:rPr>
      </w:pPr>
      <w:r w:rsidRPr="008E63BB">
        <w:rPr>
          <w:i/>
          <w:szCs w:val="26"/>
          <w:lang w:val="pt-BR"/>
        </w:rPr>
        <w:t>e.2. Phân vùng cấp nước:</w:t>
      </w:r>
    </w:p>
    <w:p w14:paraId="519B3A09" w14:textId="77777777" w:rsidR="003C2BDD" w:rsidRPr="008E63BB" w:rsidRDefault="00A17062" w:rsidP="003C2BDD">
      <w:pPr>
        <w:rPr>
          <w:szCs w:val="26"/>
          <w:lang w:val="pt-BR"/>
        </w:rPr>
      </w:pPr>
      <w:r w:rsidRPr="008E63BB">
        <w:rPr>
          <w:szCs w:val="26"/>
          <w:lang w:val="pt-BR"/>
        </w:rPr>
        <w:tab/>
      </w:r>
      <w:r w:rsidR="003C2BDD" w:rsidRPr="008E63BB">
        <w:rPr>
          <w:szCs w:val="26"/>
          <w:lang w:val="pt-BR"/>
        </w:rPr>
        <w:t>- Vùng 1: được cấp nước sạch từ nhà máy nước thành phố Nam Định và dự kiến bổ sung thêm nguồn nước sạch từ nhà máy nước Tân Đệ. Vùng này chia làm 4 tiểu vùng:</w:t>
      </w:r>
    </w:p>
    <w:p w14:paraId="519B3A0A" w14:textId="77777777" w:rsidR="003C2BDD" w:rsidRPr="008E63BB" w:rsidRDefault="003C2BDD" w:rsidP="003C2BDD">
      <w:pPr>
        <w:ind w:firstLine="720"/>
        <w:rPr>
          <w:szCs w:val="26"/>
          <w:lang w:val="pt-BR"/>
        </w:rPr>
      </w:pPr>
      <w:r w:rsidRPr="008E63BB">
        <w:rPr>
          <w:szCs w:val="26"/>
          <w:lang w:val="pt-BR"/>
        </w:rPr>
        <w:t>+ Tiểu vùng 1.1: Khu trung tâm thành phố và xã Mỹ Thành</w:t>
      </w:r>
    </w:p>
    <w:p w14:paraId="519B3A0B" w14:textId="77777777" w:rsidR="003C2BDD" w:rsidRPr="008E63BB" w:rsidRDefault="003C2BDD" w:rsidP="003C2BDD">
      <w:pPr>
        <w:ind w:firstLine="720"/>
        <w:rPr>
          <w:szCs w:val="26"/>
          <w:lang w:val="pt-BR"/>
        </w:rPr>
      </w:pPr>
      <w:r w:rsidRPr="008E63BB">
        <w:rPr>
          <w:szCs w:val="26"/>
          <w:lang w:val="pt-BR"/>
        </w:rPr>
        <w:t xml:space="preserve">+ Tiểu vùng 1.2: thuộc xã Nam Vân được cấp nước sạch từ trạm bơm tăng áp Nam Vân </w:t>
      </w:r>
    </w:p>
    <w:p w14:paraId="519B3A0C" w14:textId="77777777" w:rsidR="003C2BDD" w:rsidRPr="008E63BB" w:rsidRDefault="003C2BDD" w:rsidP="003C2BDD">
      <w:pPr>
        <w:ind w:firstLine="720"/>
        <w:rPr>
          <w:szCs w:val="26"/>
          <w:lang w:val="pt-BR"/>
        </w:rPr>
      </w:pPr>
      <w:r w:rsidRPr="008E63BB">
        <w:rPr>
          <w:szCs w:val="26"/>
          <w:lang w:val="pt-BR"/>
        </w:rPr>
        <w:t xml:space="preserve">+ Tiểu vùng 1.3: thuộc xã Nam Phong được cấp nước sạch từ trạm bơm tăng áp Nam Phong </w:t>
      </w:r>
    </w:p>
    <w:p w14:paraId="519B3A0D" w14:textId="77777777" w:rsidR="003C2BDD" w:rsidRPr="008E63BB" w:rsidRDefault="003C2BDD" w:rsidP="003C2BDD">
      <w:pPr>
        <w:ind w:firstLine="720"/>
        <w:rPr>
          <w:szCs w:val="26"/>
          <w:lang w:val="pt-BR"/>
        </w:rPr>
      </w:pPr>
      <w:r w:rsidRPr="008E63BB">
        <w:rPr>
          <w:szCs w:val="26"/>
          <w:lang w:val="pt-BR"/>
        </w:rPr>
        <w:t xml:space="preserve">+ Tiểu vùng 1.4: thuộc xã Mỹ Tân, Mỹ Trung, Mỹ Phúc </w:t>
      </w:r>
    </w:p>
    <w:p w14:paraId="519B3A0E" w14:textId="77777777" w:rsidR="003C2BDD" w:rsidRPr="008E63BB" w:rsidRDefault="003C2BDD" w:rsidP="003C2BDD">
      <w:pPr>
        <w:ind w:firstLine="720"/>
        <w:rPr>
          <w:szCs w:val="26"/>
          <w:lang w:val="pt-BR"/>
        </w:rPr>
      </w:pPr>
      <w:r w:rsidRPr="008E63BB">
        <w:rPr>
          <w:szCs w:val="26"/>
          <w:lang w:val="pt-BR"/>
        </w:rPr>
        <w:t>- Vùng 2: được cấp nước sạch từ nhà máy nước Mỹ Lộc và bổ sung thêm nguồn nước sạch từ nhà máy nước Tân Đệ về, gồm có: thị trấn Mỹ Lộc và các xã Mỹ Hà, Mỹ Thắng, Mỹ Tiến, Mỹ Thịnh, Mỹ Thuận và các xã lân cận như: Mỹ Hưng, Phú Phúc, Hiển Khánh;</w:t>
      </w:r>
    </w:p>
    <w:p w14:paraId="519B3A0F" w14:textId="77777777" w:rsidR="003C2BDD" w:rsidRPr="008E63BB" w:rsidRDefault="003C2BDD" w:rsidP="003C2BDD">
      <w:pPr>
        <w:ind w:firstLine="720"/>
        <w:rPr>
          <w:szCs w:val="26"/>
          <w:lang w:val="pt-BR"/>
        </w:rPr>
      </w:pPr>
      <w:r w:rsidRPr="008E63BB">
        <w:rPr>
          <w:szCs w:val="26"/>
          <w:lang w:val="pt-BR"/>
        </w:rPr>
        <w:t>- Vùng 3: được cấp nước từ nhà máy nước Nghĩa An gồm có các xã:Nghĩa An, Hồng Quang, Nam Toàn, Nam Mỹ và cấp cho các xã lân cận như Nam Cường, Nam Hùng;</w:t>
      </w:r>
    </w:p>
    <w:p w14:paraId="519B3A10" w14:textId="77777777" w:rsidR="003C2BDD" w:rsidRPr="008E63BB" w:rsidRDefault="003C2BDD" w:rsidP="003C2BDD">
      <w:pPr>
        <w:ind w:firstLine="720"/>
        <w:rPr>
          <w:szCs w:val="26"/>
          <w:lang w:val="pt-BR"/>
        </w:rPr>
      </w:pPr>
      <w:r w:rsidRPr="008E63BB">
        <w:rPr>
          <w:szCs w:val="26"/>
          <w:lang w:val="pt-BR"/>
        </w:rPr>
        <w:t>- Vùng 4: được cấp nước từ nhà máy nước Điền Xá cấp trực tiếp cho xã Điền Xá huyện Nam Trực</w:t>
      </w:r>
    </w:p>
    <w:p w14:paraId="519B3A11" w14:textId="77777777" w:rsidR="003C2BDD" w:rsidRPr="008E63BB" w:rsidRDefault="003C2BDD" w:rsidP="003C2BDD">
      <w:pPr>
        <w:ind w:firstLine="720"/>
        <w:rPr>
          <w:szCs w:val="26"/>
          <w:lang w:val="pt-BR"/>
        </w:rPr>
      </w:pPr>
      <w:r w:rsidRPr="008E63BB">
        <w:rPr>
          <w:szCs w:val="26"/>
          <w:lang w:val="pt-BR"/>
        </w:rPr>
        <w:t>- Vùng 5: được cấp nước từ trạm bơm tăng áp Cốc Thành lấy nước sạch từ nhà máy nước Tân Đệ về cấp cho xã Thành Lợi huyện Vụ Bản.</w:t>
      </w:r>
    </w:p>
    <w:p w14:paraId="519B3A12" w14:textId="77777777" w:rsidR="003C2BDD" w:rsidRPr="008E63BB" w:rsidRDefault="003C2BDD" w:rsidP="00EE602B">
      <w:pPr>
        <w:ind w:firstLine="720"/>
        <w:jc w:val="left"/>
        <w:rPr>
          <w:lang w:val="pt-BR"/>
        </w:rPr>
      </w:pPr>
      <w:r w:rsidRPr="008E63BB">
        <w:rPr>
          <w:lang w:val="pt-BR"/>
        </w:rPr>
        <w:lastRenderedPageBreak/>
        <w:t>- Vùng 6: là vùng được cấp nước từ nhà máy nước Liên Bảo cấp cho xã Đại An và các xã lân cận như Liên Bảo, Hợp Hưng huyện Vụ Bản</w:t>
      </w:r>
      <w:r w:rsidR="00547442" w:rsidRPr="008E63BB">
        <w:rPr>
          <w:lang w:val="pt-BR"/>
        </w:rPr>
        <w:t>.</w:t>
      </w:r>
      <w:r w:rsidRPr="008E63BB">
        <w:rPr>
          <w:noProof/>
        </w:rPr>
        <w:t xml:space="preserve"> </w:t>
      </w:r>
      <w:r w:rsidRPr="008E63BB">
        <w:rPr>
          <w:noProof/>
          <w:lang w:eastAsia="zh-CN"/>
        </w:rPr>
        <w:drawing>
          <wp:inline distT="0" distB="0" distL="0" distR="0" wp14:anchorId="519B529F" wp14:editId="519B52A0">
            <wp:extent cx="5060532" cy="3947618"/>
            <wp:effectExtent l="19050" t="0" r="6768" b="0"/>
            <wp:docPr id="227" name="Picture 0" descr="sodo-PVCN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o-PVCN copy.jpg"/>
                    <pic:cNvPicPr/>
                  </pic:nvPicPr>
                  <pic:blipFill>
                    <a:blip r:embed="rId145" cstate="print"/>
                    <a:stretch>
                      <a:fillRect/>
                    </a:stretch>
                  </pic:blipFill>
                  <pic:spPr>
                    <a:xfrm>
                      <a:off x="0" y="0"/>
                      <a:ext cx="5057484" cy="3945240"/>
                    </a:xfrm>
                    <a:prstGeom prst="rect">
                      <a:avLst/>
                    </a:prstGeom>
                  </pic:spPr>
                </pic:pic>
              </a:graphicData>
            </a:graphic>
          </wp:inline>
        </w:drawing>
      </w:r>
    </w:p>
    <w:p w14:paraId="519B3A13" w14:textId="77777777" w:rsidR="003C2BDD" w:rsidRPr="008E63BB" w:rsidRDefault="003C2BDD" w:rsidP="003C2BDD">
      <w:pPr>
        <w:jc w:val="center"/>
        <w:rPr>
          <w:i/>
          <w:iCs/>
          <w:szCs w:val="26"/>
          <w:lang w:val="pt-BR"/>
        </w:rPr>
      </w:pPr>
      <w:r w:rsidRPr="008E63BB">
        <w:rPr>
          <w:i/>
          <w:iCs/>
          <w:szCs w:val="26"/>
          <w:lang w:val="pt-BR"/>
        </w:rPr>
        <w:t>Sơ đồ phân vùng cấp nước</w:t>
      </w:r>
    </w:p>
    <w:p w14:paraId="519B3A14" w14:textId="77777777" w:rsidR="00A17062" w:rsidRPr="008E63BB" w:rsidRDefault="00A17062" w:rsidP="00A17062">
      <w:pPr>
        <w:rPr>
          <w:i/>
          <w:iCs/>
          <w:szCs w:val="26"/>
          <w:lang w:val="pt-BR"/>
        </w:rPr>
      </w:pPr>
      <w:r w:rsidRPr="008E63BB">
        <w:rPr>
          <w:i/>
          <w:iCs/>
          <w:szCs w:val="26"/>
          <w:lang w:val="pt-BR"/>
        </w:rPr>
        <w:t>e.3. Các công trình đầu mối:</w:t>
      </w:r>
    </w:p>
    <w:p w14:paraId="519B3A15" w14:textId="77777777" w:rsidR="0083341C" w:rsidRPr="008E63BB" w:rsidRDefault="0083341C" w:rsidP="0065184D">
      <w:pPr>
        <w:rPr>
          <w:i/>
          <w:iCs/>
          <w:szCs w:val="26"/>
          <w:lang w:val="pt-BR"/>
        </w:rPr>
      </w:pPr>
      <w:r w:rsidRPr="008E63BB">
        <w:rPr>
          <w:i/>
          <w:iCs/>
          <w:szCs w:val="26"/>
          <w:lang w:val="pt-BR"/>
        </w:rPr>
        <w:t xml:space="preserve">* Giai đoạn </w:t>
      </w:r>
      <w:r w:rsidR="00C56669" w:rsidRPr="008E63BB">
        <w:rPr>
          <w:i/>
          <w:iCs/>
          <w:szCs w:val="26"/>
          <w:lang w:val="pt-BR"/>
        </w:rPr>
        <w:t>2020-2030</w:t>
      </w:r>
      <w:r w:rsidRPr="008E63BB">
        <w:rPr>
          <w:i/>
          <w:iCs/>
          <w:szCs w:val="26"/>
          <w:lang w:val="pt-BR"/>
        </w:rPr>
        <w:t xml:space="preserve">: </w:t>
      </w:r>
    </w:p>
    <w:p w14:paraId="519B3A16" w14:textId="77777777" w:rsidR="00EE602B" w:rsidRPr="008E63BB" w:rsidRDefault="00EE602B" w:rsidP="00EE602B">
      <w:pPr>
        <w:ind w:firstLine="720"/>
        <w:rPr>
          <w:iCs/>
          <w:szCs w:val="26"/>
          <w:lang w:val="pt-BR"/>
        </w:rPr>
      </w:pPr>
      <w:r w:rsidRPr="008E63BB">
        <w:rPr>
          <w:iCs/>
          <w:szCs w:val="26"/>
          <w:lang w:val="pt-BR"/>
        </w:rPr>
        <w:t xml:space="preserve">- Giữ nguyên công suất hiện có nhà máy nước Nam Vân: 1.000 m3/ngđ, nhà máy nước Nam Phong: 1.500 m3/ngđ, </w:t>
      </w:r>
      <w:r w:rsidRPr="008E63BB">
        <w:rPr>
          <w:iCs/>
          <w:spacing w:val="-4"/>
          <w:szCs w:val="26"/>
          <w:lang w:val="pt-BR"/>
        </w:rPr>
        <w:t>NMN Cốc Thành: 750 m3/ngđ, NMN Lê Lợi: 1.200 m3/ngđ, NMN Mỹ Trung: 500 m3/ngđ,</w:t>
      </w:r>
      <w:r w:rsidRPr="008E63BB">
        <w:rPr>
          <w:iCs/>
          <w:szCs w:val="26"/>
          <w:lang w:val="pt-BR"/>
        </w:rPr>
        <w:t xml:space="preserve">  đến năm 2025 chuyển đổi nhà máy nước Nam Vân thành trạm bơm tăng áp Nam Vân nâng công suất: 2.500 m3/ngđ, nhà máy nước Nam Phong thành trạm bơm tăng áp Nam Phong nâng công suất: 3.000 m3/ngđ và </w:t>
      </w:r>
      <w:r w:rsidRPr="008E63BB">
        <w:rPr>
          <w:iCs/>
          <w:spacing w:val="-4"/>
          <w:szCs w:val="26"/>
          <w:lang w:val="pt-BR"/>
        </w:rPr>
        <w:t>03 nhà máy nước (Cốc Thành, Lê Lợi, Mỹ Trung ) thành trạm bơm tăng áp Cốc Thành nâng công suất: 3.000 m3/ngđ</w:t>
      </w:r>
      <w:r w:rsidRPr="008E63BB">
        <w:rPr>
          <w:iCs/>
          <w:szCs w:val="26"/>
          <w:lang w:val="pt-BR"/>
        </w:rPr>
        <w:t>, nguồn nước sạch lấy từ nhà máy nước Tân Đệ về.</w:t>
      </w:r>
    </w:p>
    <w:p w14:paraId="519B3A17" w14:textId="77777777" w:rsidR="00EE602B" w:rsidRPr="008E63BB" w:rsidRDefault="00EE602B" w:rsidP="00EE602B">
      <w:pPr>
        <w:rPr>
          <w:iCs/>
          <w:spacing w:val="-4"/>
          <w:szCs w:val="26"/>
          <w:lang w:val="pt-BR"/>
        </w:rPr>
      </w:pPr>
      <w:r w:rsidRPr="008E63BB">
        <w:rPr>
          <w:iCs/>
          <w:spacing w:val="-4"/>
          <w:szCs w:val="26"/>
          <w:lang w:val="pt-BR"/>
        </w:rPr>
        <w:tab/>
        <w:t xml:space="preserve">- Giữ nguyên công suất </w:t>
      </w:r>
      <w:r w:rsidRPr="008E63BB">
        <w:rPr>
          <w:iCs/>
          <w:szCs w:val="26"/>
          <w:lang w:val="pt-BR"/>
        </w:rPr>
        <w:t>nhà máy nước Liên Bảo: 5.000 m3/ngđ, nguồn nước sông Đào;</w:t>
      </w:r>
    </w:p>
    <w:p w14:paraId="519B3A18" w14:textId="77777777" w:rsidR="00EE602B" w:rsidRPr="008E63BB" w:rsidRDefault="00EE602B" w:rsidP="00EE602B">
      <w:pPr>
        <w:ind w:firstLine="720"/>
        <w:rPr>
          <w:iCs/>
          <w:szCs w:val="26"/>
          <w:lang w:val="pt-BR"/>
        </w:rPr>
      </w:pPr>
      <w:r w:rsidRPr="008E63BB">
        <w:rPr>
          <w:iCs/>
          <w:szCs w:val="26"/>
          <w:lang w:val="pt-BR"/>
        </w:rPr>
        <w:t>- Cải tạo, nâng công suất nhà máy nước thành phố Nam Định lên 105.000 m3/ngđ, nhà máy nước Mỹ Lộc lên 25.000 m3/ngđ, nhà máy nước Điền Xá lên 3.000 m3/ngđ và nhà máy nước Nghĩa An lên 10.000 m3/ngđ;</w:t>
      </w:r>
    </w:p>
    <w:p w14:paraId="519B3A19" w14:textId="77777777" w:rsidR="00A17062" w:rsidRPr="008E63BB" w:rsidRDefault="00EE602B" w:rsidP="00EE602B">
      <w:pPr>
        <w:rPr>
          <w:iCs/>
          <w:spacing w:val="-4"/>
          <w:szCs w:val="26"/>
          <w:lang w:val="pt-BR"/>
        </w:rPr>
      </w:pPr>
      <w:r w:rsidRPr="008E63BB">
        <w:rPr>
          <w:iCs/>
          <w:spacing w:val="-4"/>
          <w:szCs w:val="26"/>
          <w:lang w:val="pt-BR"/>
        </w:rPr>
        <w:tab/>
        <w:t>+ Xây mới nhà máy nước Tân Đệ công suất dự án: 26.000 m3/ngđ (theo quyết định số: 605/QĐ-UBND, ngày 29/03/2017), công suất tính toán: 37.000 m3/ngđ, nguồn nước mặt sông Hồng cấp bổ sung cho khu nội thị và các xã ngoại thị của 03 huyện Mỹ Lộc, Vụ Bản và Nam Trực</w:t>
      </w:r>
      <w:r w:rsidR="00A17062" w:rsidRPr="008E63BB">
        <w:rPr>
          <w:iCs/>
          <w:spacing w:val="-4"/>
          <w:szCs w:val="26"/>
          <w:lang w:val="pt-BR"/>
        </w:rPr>
        <w:t>;</w:t>
      </w:r>
    </w:p>
    <w:p w14:paraId="519B3A1A" w14:textId="77777777" w:rsidR="00A17062" w:rsidRPr="008E63BB" w:rsidRDefault="00A17062" w:rsidP="00A17062">
      <w:pPr>
        <w:rPr>
          <w:i/>
          <w:iCs/>
          <w:szCs w:val="26"/>
          <w:lang w:val="pt-BR"/>
        </w:rPr>
      </w:pPr>
      <w:r w:rsidRPr="008E63BB">
        <w:rPr>
          <w:i/>
          <w:iCs/>
          <w:szCs w:val="26"/>
          <w:lang w:val="pt-BR"/>
        </w:rPr>
        <w:t xml:space="preserve">* Giai đoạn 2031-2040: </w:t>
      </w:r>
    </w:p>
    <w:p w14:paraId="519B3A1B" w14:textId="77777777" w:rsidR="00A17062" w:rsidRPr="008E63BB" w:rsidRDefault="00A17062" w:rsidP="00A17062">
      <w:pPr>
        <w:ind w:firstLine="720"/>
        <w:rPr>
          <w:iCs/>
          <w:szCs w:val="26"/>
          <w:lang w:val="pt-BR"/>
        </w:rPr>
      </w:pPr>
      <w:r w:rsidRPr="008E63BB">
        <w:rPr>
          <w:iCs/>
          <w:szCs w:val="26"/>
          <w:lang w:val="pt-BR"/>
        </w:rPr>
        <w:t>- Giữ nguyên công suất nhà máy nước thành phố Nam Định: 105.000 m3/ngđ, nhà máy nước Liên Bảo: 5.000 m3/ngđ.</w:t>
      </w:r>
    </w:p>
    <w:p w14:paraId="519B3A1C" w14:textId="77777777" w:rsidR="00EE602B" w:rsidRPr="008E63BB" w:rsidRDefault="00EE602B" w:rsidP="00EE602B">
      <w:pPr>
        <w:ind w:firstLine="720"/>
        <w:rPr>
          <w:iCs/>
          <w:szCs w:val="26"/>
          <w:lang w:val="pt-BR"/>
        </w:rPr>
      </w:pPr>
      <w:r w:rsidRPr="008E63BB">
        <w:rPr>
          <w:iCs/>
          <w:szCs w:val="26"/>
          <w:lang w:val="pt-BR"/>
        </w:rPr>
        <w:lastRenderedPageBreak/>
        <w:t>- Cải tạo, nâng công suất trạm bơm tăng áp Nam Vân lên 3.500 m3/ngđ, Nam Phong lên 4.000 m3/ngđ; Cốc Thành lên 4.000 m3/ngđ;</w:t>
      </w:r>
    </w:p>
    <w:p w14:paraId="519B3A1D" w14:textId="77777777" w:rsidR="0083341C" w:rsidRPr="008E63BB" w:rsidRDefault="00EE602B" w:rsidP="00EE602B">
      <w:pPr>
        <w:ind w:firstLine="720"/>
        <w:rPr>
          <w:iCs/>
          <w:szCs w:val="26"/>
          <w:lang w:val="pt-BR"/>
        </w:rPr>
      </w:pPr>
      <w:r w:rsidRPr="008E63BB">
        <w:rPr>
          <w:iCs/>
          <w:szCs w:val="26"/>
          <w:lang w:val="pt-BR"/>
        </w:rPr>
        <w:t xml:space="preserve"> - Cải tạo, nâng công suất nhà máy nước Tân Đệ lên 86.000 m3/ngđ, nhà máy nước Mỹ Lộc lên 35.000 m3/ngđ, nhà máy nước Điền Xá lên 4.000 m3/ngđ và nhà máy nước Nghĩa An lên 15.000 m3/ngđ</w:t>
      </w:r>
      <w:r w:rsidR="000C0C33" w:rsidRPr="008E63BB">
        <w:rPr>
          <w:iCs/>
          <w:szCs w:val="26"/>
          <w:lang w:val="pt-BR"/>
        </w:rPr>
        <w:t>.</w:t>
      </w:r>
    </w:p>
    <w:p w14:paraId="519B3A1E" w14:textId="77777777" w:rsidR="00244409" w:rsidRPr="008E63BB" w:rsidRDefault="00244409" w:rsidP="0065184D">
      <w:pPr>
        <w:keepNext/>
        <w:numPr>
          <w:ilvl w:val="4"/>
          <w:numId w:val="0"/>
        </w:numPr>
        <w:tabs>
          <w:tab w:val="num" w:pos="741"/>
        </w:tabs>
        <w:outlineLvl w:val="4"/>
        <w:rPr>
          <w:bCs/>
          <w:i/>
          <w:szCs w:val="26"/>
          <w:lang w:val="vi-VN"/>
        </w:rPr>
      </w:pPr>
      <w:r w:rsidRPr="008E63BB">
        <w:rPr>
          <w:bCs/>
          <w:i/>
          <w:szCs w:val="26"/>
          <w:lang w:val="pt-BR"/>
        </w:rPr>
        <w:t>e.3.</w:t>
      </w:r>
      <w:r w:rsidRPr="008E63BB">
        <w:rPr>
          <w:bCs/>
          <w:i/>
          <w:szCs w:val="26"/>
          <w:lang w:val="vi-VN"/>
        </w:rPr>
        <w:t xml:space="preserve"> Mạng lưới cấp nước:</w:t>
      </w:r>
    </w:p>
    <w:p w14:paraId="519B3A1F" w14:textId="77777777" w:rsidR="00244409" w:rsidRPr="008E63BB" w:rsidRDefault="00244409" w:rsidP="0065184D">
      <w:pPr>
        <w:ind w:firstLine="709"/>
        <w:rPr>
          <w:szCs w:val="26"/>
          <w:lang w:val="vi-VN"/>
        </w:rPr>
      </w:pPr>
      <w:r w:rsidRPr="008E63BB">
        <w:rPr>
          <w:szCs w:val="26"/>
          <w:lang w:val="vi-VN"/>
        </w:rPr>
        <w:t xml:space="preserve">- Căn cứ vào mạng lưới cấp nước hiện có, thiết kế thêm các tuyến ống mới đảm bảo cấp nước tới các hộ tiêu thụ. Mạng lưới cấp nước được thiết kế mạng vòng có đường kính </w:t>
      </w:r>
      <w:r w:rsidRPr="008E63BB">
        <w:rPr>
          <w:szCs w:val="26"/>
          <w:lang w:val="vi-VN"/>
        </w:rPr>
        <w:sym w:font="Symbol" w:char="F0C6"/>
      </w:r>
      <w:r w:rsidRPr="008E63BB">
        <w:rPr>
          <w:szCs w:val="26"/>
          <w:lang w:val="vi-VN"/>
        </w:rPr>
        <w:t>100mm</w:t>
      </w:r>
      <w:r w:rsidRPr="008E63BB">
        <w:rPr>
          <w:szCs w:val="26"/>
          <w:lang w:val="da-DK"/>
        </w:rPr>
        <w:sym w:font="Symbol" w:char="F0B8"/>
      </w:r>
      <w:r w:rsidRPr="008E63BB">
        <w:rPr>
          <w:szCs w:val="26"/>
          <w:lang w:val="vi-VN"/>
        </w:rPr>
        <w:sym w:font="Symbol" w:char="F0C6"/>
      </w:r>
      <w:r w:rsidRPr="008E63BB">
        <w:rPr>
          <w:szCs w:val="26"/>
          <w:lang w:val="vi-VN"/>
        </w:rPr>
        <w:t xml:space="preserve">300mm, vật liệu ống cấp nước chủ yếu chọn ống gang dẻo, ngoài ra còn có ống HDPE và ống PVC. </w:t>
      </w:r>
    </w:p>
    <w:p w14:paraId="519B3A20" w14:textId="77777777" w:rsidR="004C3AAC" w:rsidRPr="008E63BB" w:rsidRDefault="00244409" w:rsidP="0065184D">
      <w:pPr>
        <w:ind w:firstLine="709"/>
        <w:rPr>
          <w:szCs w:val="26"/>
          <w:lang w:val="vi-VN"/>
        </w:rPr>
      </w:pPr>
      <w:r w:rsidRPr="008E63BB">
        <w:rPr>
          <w:szCs w:val="26"/>
          <w:lang w:val="vi-VN"/>
        </w:rPr>
        <w:t xml:space="preserve">- Xây mới đường ống cấp nước </w:t>
      </w:r>
      <w:r w:rsidRPr="008E63BB">
        <w:rPr>
          <w:szCs w:val="26"/>
          <w:lang w:val="vi-VN"/>
        </w:rPr>
        <w:sym w:font="Symbol" w:char="F0C6"/>
      </w:r>
      <w:r w:rsidRPr="008E63BB">
        <w:rPr>
          <w:szCs w:val="26"/>
          <w:lang w:val="vi-VN"/>
        </w:rPr>
        <w:t xml:space="preserve">800mm, </w:t>
      </w:r>
      <w:r w:rsidRPr="008E63BB">
        <w:rPr>
          <w:szCs w:val="26"/>
          <w:lang w:val="vi-VN"/>
        </w:rPr>
        <w:sym w:font="Symbol" w:char="F0C6"/>
      </w:r>
      <w:r w:rsidRPr="008E63BB">
        <w:rPr>
          <w:szCs w:val="26"/>
          <w:lang w:val="vi-VN"/>
        </w:rPr>
        <w:t xml:space="preserve">600mm, </w:t>
      </w:r>
      <w:r w:rsidRPr="008E63BB">
        <w:rPr>
          <w:szCs w:val="26"/>
          <w:lang w:val="vi-VN"/>
        </w:rPr>
        <w:sym w:font="Symbol" w:char="F0C6"/>
      </w:r>
      <w:r w:rsidRPr="008E63BB">
        <w:rPr>
          <w:szCs w:val="26"/>
          <w:lang w:val="vi-VN"/>
        </w:rPr>
        <w:t xml:space="preserve">400mm, </w:t>
      </w:r>
      <w:r w:rsidRPr="008E63BB">
        <w:rPr>
          <w:szCs w:val="26"/>
          <w:lang w:val="vi-VN"/>
        </w:rPr>
        <w:sym w:font="Symbol" w:char="F0C6"/>
      </w:r>
      <w:r w:rsidRPr="008E63BB">
        <w:rPr>
          <w:szCs w:val="26"/>
          <w:lang w:val="vi-VN"/>
        </w:rPr>
        <w:t xml:space="preserve">300mm, </w:t>
      </w:r>
      <w:r w:rsidRPr="008E63BB">
        <w:rPr>
          <w:szCs w:val="26"/>
          <w:lang w:val="vi-VN"/>
        </w:rPr>
        <w:sym w:font="Symbol" w:char="F0C6"/>
      </w:r>
      <w:r w:rsidRPr="008E63BB">
        <w:rPr>
          <w:szCs w:val="26"/>
          <w:lang w:val="vi-VN"/>
        </w:rPr>
        <w:t>250mm</w:t>
      </w:r>
      <w:r w:rsidRPr="008E63BB">
        <w:rPr>
          <w:szCs w:val="26"/>
          <w:lang w:val="da-DK"/>
        </w:rPr>
        <w:t xml:space="preserve">, </w:t>
      </w:r>
      <w:r w:rsidRPr="008E63BB">
        <w:rPr>
          <w:szCs w:val="26"/>
          <w:lang w:val="vi-VN"/>
        </w:rPr>
        <w:sym w:font="Symbol" w:char="F0C6"/>
      </w:r>
      <w:r w:rsidRPr="008E63BB">
        <w:rPr>
          <w:szCs w:val="26"/>
          <w:lang w:val="vi-VN"/>
        </w:rPr>
        <w:t>200mmlấy nước từ nhà máy nước Tân Đệ về cấp bổ sung nguồn nước sạch cho thành phố và các huyện Mỹ Lộc, Vụ Bản và Nam Trực;</w:t>
      </w:r>
    </w:p>
    <w:p w14:paraId="519B3A21" w14:textId="77777777" w:rsidR="004C3AAC" w:rsidRPr="008E63BB" w:rsidRDefault="004C3AAC" w:rsidP="004C3AAC">
      <w:pPr>
        <w:spacing w:before="120"/>
        <w:jc w:val="center"/>
        <w:rPr>
          <w:b/>
          <w:szCs w:val="26"/>
          <w:lang w:val="vi-VN"/>
        </w:rPr>
      </w:pPr>
      <w:r w:rsidRPr="008E63BB">
        <w:rPr>
          <w:b/>
          <w:szCs w:val="26"/>
          <w:lang w:val="vi-VN"/>
        </w:rPr>
        <w:t>Bảng thống kê mạng lưới cấp nước</w:t>
      </w:r>
    </w:p>
    <w:tbl>
      <w:tblPr>
        <w:tblW w:w="6936" w:type="dxa"/>
        <w:tblInd w:w="1384" w:type="dxa"/>
        <w:tblLook w:val="04A0" w:firstRow="1" w:lastRow="0" w:firstColumn="1" w:lastColumn="0" w:noHBand="0" w:noVBand="1"/>
      </w:tblPr>
      <w:tblGrid>
        <w:gridCol w:w="717"/>
        <w:gridCol w:w="2990"/>
        <w:gridCol w:w="1668"/>
        <w:gridCol w:w="1561"/>
      </w:tblGrid>
      <w:tr w:rsidR="00EE602B" w:rsidRPr="008E63BB" w14:paraId="519B3A26" w14:textId="77777777" w:rsidTr="00EE602B">
        <w:trPr>
          <w:trHeight w:val="20"/>
          <w:tblHeader/>
        </w:trPr>
        <w:tc>
          <w:tcPr>
            <w:tcW w:w="7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A22" w14:textId="77777777" w:rsidR="00EE602B" w:rsidRPr="008E63BB" w:rsidRDefault="00EE602B" w:rsidP="00EE602B">
            <w:pPr>
              <w:jc w:val="center"/>
              <w:rPr>
                <w:rFonts w:eastAsia="Times New Roman"/>
                <w:b/>
                <w:bCs/>
                <w:szCs w:val="26"/>
              </w:rPr>
            </w:pPr>
            <w:r w:rsidRPr="008E63BB">
              <w:rPr>
                <w:rFonts w:eastAsia="Times New Roman"/>
                <w:b/>
                <w:bCs/>
                <w:szCs w:val="26"/>
              </w:rPr>
              <w:t>TT</w:t>
            </w:r>
          </w:p>
        </w:tc>
        <w:tc>
          <w:tcPr>
            <w:tcW w:w="2990" w:type="dxa"/>
            <w:tcBorders>
              <w:top w:val="single" w:sz="4" w:space="0" w:color="auto"/>
              <w:left w:val="nil"/>
              <w:bottom w:val="single" w:sz="4" w:space="0" w:color="auto"/>
              <w:right w:val="single" w:sz="4" w:space="0" w:color="auto"/>
            </w:tcBorders>
            <w:shd w:val="clear" w:color="auto" w:fill="auto"/>
            <w:noWrap/>
            <w:vAlign w:val="center"/>
            <w:hideMark/>
          </w:tcPr>
          <w:p w14:paraId="519B3A23" w14:textId="77777777" w:rsidR="00EE602B" w:rsidRPr="008E63BB" w:rsidRDefault="00EE602B" w:rsidP="00EE602B">
            <w:pPr>
              <w:jc w:val="center"/>
              <w:rPr>
                <w:rFonts w:eastAsia="Times New Roman"/>
                <w:b/>
                <w:bCs/>
                <w:szCs w:val="26"/>
              </w:rPr>
            </w:pPr>
            <w:r w:rsidRPr="008E63BB">
              <w:rPr>
                <w:rFonts w:eastAsia="Times New Roman"/>
                <w:b/>
                <w:bCs/>
                <w:szCs w:val="26"/>
              </w:rPr>
              <w:t>Hạng mục</w:t>
            </w:r>
          </w:p>
        </w:tc>
        <w:tc>
          <w:tcPr>
            <w:tcW w:w="1668" w:type="dxa"/>
            <w:tcBorders>
              <w:top w:val="single" w:sz="4" w:space="0" w:color="auto"/>
              <w:left w:val="nil"/>
              <w:bottom w:val="single" w:sz="4" w:space="0" w:color="auto"/>
              <w:right w:val="single" w:sz="4" w:space="0" w:color="auto"/>
            </w:tcBorders>
            <w:shd w:val="clear" w:color="auto" w:fill="auto"/>
            <w:noWrap/>
            <w:vAlign w:val="center"/>
            <w:hideMark/>
          </w:tcPr>
          <w:p w14:paraId="519B3A24" w14:textId="77777777" w:rsidR="00EE602B" w:rsidRPr="008E63BB" w:rsidRDefault="00EE602B" w:rsidP="00EE602B">
            <w:pPr>
              <w:jc w:val="center"/>
              <w:rPr>
                <w:rFonts w:eastAsia="Times New Roman"/>
                <w:b/>
                <w:bCs/>
                <w:szCs w:val="26"/>
              </w:rPr>
            </w:pPr>
            <w:r w:rsidRPr="008E63BB">
              <w:rPr>
                <w:rFonts w:eastAsia="Times New Roman"/>
                <w:b/>
                <w:bCs/>
                <w:szCs w:val="26"/>
              </w:rPr>
              <w:t>Đơn vị tính</w:t>
            </w:r>
          </w:p>
        </w:tc>
        <w:tc>
          <w:tcPr>
            <w:tcW w:w="1561" w:type="dxa"/>
            <w:tcBorders>
              <w:top w:val="single" w:sz="4" w:space="0" w:color="auto"/>
              <w:left w:val="nil"/>
              <w:bottom w:val="single" w:sz="4" w:space="0" w:color="auto"/>
              <w:right w:val="single" w:sz="4" w:space="0" w:color="auto"/>
            </w:tcBorders>
            <w:shd w:val="clear" w:color="auto" w:fill="auto"/>
            <w:noWrap/>
            <w:vAlign w:val="center"/>
            <w:hideMark/>
          </w:tcPr>
          <w:p w14:paraId="519B3A25" w14:textId="77777777" w:rsidR="00EE602B" w:rsidRPr="008E63BB" w:rsidRDefault="00EE602B" w:rsidP="00EE602B">
            <w:pPr>
              <w:jc w:val="center"/>
              <w:rPr>
                <w:rFonts w:eastAsia="Times New Roman"/>
                <w:b/>
                <w:bCs/>
                <w:szCs w:val="26"/>
              </w:rPr>
            </w:pPr>
            <w:r w:rsidRPr="008E63BB">
              <w:rPr>
                <w:rFonts w:eastAsia="Times New Roman"/>
                <w:b/>
                <w:bCs/>
                <w:szCs w:val="26"/>
              </w:rPr>
              <w:t>Khối lượng</w:t>
            </w:r>
          </w:p>
        </w:tc>
      </w:tr>
      <w:tr w:rsidR="00EE602B" w:rsidRPr="008E63BB" w14:paraId="519B3A2B"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27" w14:textId="77777777" w:rsidR="00EE602B" w:rsidRPr="008E63BB" w:rsidRDefault="00EE602B" w:rsidP="00EE602B">
            <w:pPr>
              <w:jc w:val="center"/>
              <w:rPr>
                <w:rFonts w:eastAsia="Times New Roman"/>
                <w:szCs w:val="26"/>
              </w:rPr>
            </w:pPr>
          </w:p>
        </w:tc>
        <w:tc>
          <w:tcPr>
            <w:tcW w:w="2990" w:type="dxa"/>
            <w:tcBorders>
              <w:top w:val="nil"/>
              <w:left w:val="nil"/>
              <w:bottom w:val="single" w:sz="4" w:space="0" w:color="auto"/>
              <w:right w:val="single" w:sz="4" w:space="0" w:color="auto"/>
            </w:tcBorders>
            <w:shd w:val="clear" w:color="auto" w:fill="auto"/>
            <w:noWrap/>
            <w:vAlign w:val="center"/>
            <w:hideMark/>
          </w:tcPr>
          <w:p w14:paraId="519B3A28" w14:textId="77777777" w:rsidR="00EE602B" w:rsidRPr="008E63BB" w:rsidRDefault="00EE602B" w:rsidP="00EE602B">
            <w:pPr>
              <w:rPr>
                <w:rFonts w:eastAsia="Times New Roman"/>
                <w:szCs w:val="26"/>
              </w:rPr>
            </w:pPr>
            <w:r w:rsidRPr="008E63BB">
              <w:rPr>
                <w:rFonts w:eastAsia="Times New Roman"/>
                <w:szCs w:val="26"/>
              </w:rPr>
              <w:t xml:space="preserve">Mạng lưới cấp nước </w:t>
            </w:r>
          </w:p>
        </w:tc>
        <w:tc>
          <w:tcPr>
            <w:tcW w:w="1668" w:type="dxa"/>
            <w:tcBorders>
              <w:top w:val="nil"/>
              <w:left w:val="nil"/>
              <w:bottom w:val="single" w:sz="4" w:space="0" w:color="auto"/>
              <w:right w:val="single" w:sz="4" w:space="0" w:color="auto"/>
            </w:tcBorders>
            <w:shd w:val="clear" w:color="auto" w:fill="auto"/>
            <w:noWrap/>
            <w:vAlign w:val="center"/>
            <w:hideMark/>
          </w:tcPr>
          <w:p w14:paraId="519B3A29" w14:textId="77777777" w:rsidR="00EE602B" w:rsidRPr="008E63BB" w:rsidRDefault="00EE602B" w:rsidP="00EE602B">
            <w:pPr>
              <w:rPr>
                <w:rFonts w:eastAsia="Times New Roman"/>
                <w:szCs w:val="26"/>
              </w:rPr>
            </w:pPr>
            <w:r w:rsidRPr="008E63BB">
              <w:rPr>
                <w:rFonts w:eastAsia="Times New Roman"/>
                <w:szCs w:val="26"/>
              </w:rPr>
              <w:t> </w:t>
            </w:r>
          </w:p>
        </w:tc>
        <w:tc>
          <w:tcPr>
            <w:tcW w:w="1561" w:type="dxa"/>
            <w:tcBorders>
              <w:top w:val="nil"/>
              <w:left w:val="nil"/>
              <w:bottom w:val="single" w:sz="4" w:space="0" w:color="auto"/>
              <w:right w:val="single" w:sz="4" w:space="0" w:color="auto"/>
            </w:tcBorders>
            <w:shd w:val="clear" w:color="auto" w:fill="auto"/>
            <w:noWrap/>
            <w:vAlign w:val="center"/>
            <w:hideMark/>
          </w:tcPr>
          <w:p w14:paraId="519B3A2A" w14:textId="77777777" w:rsidR="00EE602B" w:rsidRPr="008E63BB" w:rsidRDefault="00EE602B" w:rsidP="00EE602B">
            <w:pPr>
              <w:jc w:val="right"/>
              <w:rPr>
                <w:rFonts w:eastAsia="Times New Roman"/>
                <w:szCs w:val="26"/>
              </w:rPr>
            </w:pPr>
            <w:r w:rsidRPr="008E63BB">
              <w:rPr>
                <w:rFonts w:eastAsia="Times New Roman"/>
                <w:szCs w:val="26"/>
              </w:rPr>
              <w:t> 166.920</w:t>
            </w:r>
          </w:p>
        </w:tc>
      </w:tr>
      <w:tr w:rsidR="00EE602B" w:rsidRPr="008E63BB" w14:paraId="519B3A30"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2C" w14:textId="77777777" w:rsidR="00EE602B" w:rsidRPr="008E63BB" w:rsidRDefault="00EE602B" w:rsidP="00EE602B">
            <w:pPr>
              <w:jc w:val="center"/>
              <w:rPr>
                <w:rFonts w:eastAsia="Times New Roman"/>
                <w:szCs w:val="26"/>
              </w:rPr>
            </w:pPr>
            <w:r w:rsidRPr="008E63BB">
              <w:rPr>
                <w:rFonts w:eastAsia="Times New Roman"/>
                <w:szCs w:val="26"/>
              </w:rPr>
              <w:t>1</w:t>
            </w:r>
          </w:p>
        </w:tc>
        <w:tc>
          <w:tcPr>
            <w:tcW w:w="2990" w:type="dxa"/>
            <w:tcBorders>
              <w:top w:val="nil"/>
              <w:left w:val="nil"/>
              <w:bottom w:val="single" w:sz="4" w:space="0" w:color="auto"/>
              <w:right w:val="single" w:sz="4" w:space="0" w:color="auto"/>
            </w:tcBorders>
            <w:shd w:val="clear" w:color="auto" w:fill="auto"/>
            <w:noWrap/>
            <w:vAlign w:val="center"/>
            <w:hideMark/>
          </w:tcPr>
          <w:p w14:paraId="519B3A2D" w14:textId="77777777" w:rsidR="00EE602B" w:rsidRPr="008E63BB" w:rsidRDefault="00EE602B" w:rsidP="00EE602B">
            <w:pPr>
              <w:rPr>
                <w:rFonts w:eastAsia="Times New Roman"/>
                <w:szCs w:val="26"/>
              </w:rPr>
            </w:pPr>
            <w:r w:rsidRPr="008E63BB">
              <w:rPr>
                <w:rFonts w:eastAsia="Times New Roman"/>
                <w:szCs w:val="26"/>
              </w:rPr>
              <w:t>Ống dự án</w:t>
            </w:r>
          </w:p>
        </w:tc>
        <w:tc>
          <w:tcPr>
            <w:tcW w:w="1668" w:type="dxa"/>
            <w:tcBorders>
              <w:top w:val="nil"/>
              <w:left w:val="nil"/>
              <w:bottom w:val="single" w:sz="4" w:space="0" w:color="auto"/>
              <w:right w:val="single" w:sz="4" w:space="0" w:color="auto"/>
            </w:tcBorders>
            <w:shd w:val="clear" w:color="auto" w:fill="auto"/>
            <w:noWrap/>
            <w:vAlign w:val="center"/>
            <w:hideMark/>
          </w:tcPr>
          <w:p w14:paraId="519B3A2E" w14:textId="77777777" w:rsidR="00EE602B" w:rsidRPr="008E63BB" w:rsidRDefault="00EE602B" w:rsidP="00EE602B">
            <w:pPr>
              <w:rPr>
                <w:rFonts w:eastAsia="Times New Roman"/>
                <w:szCs w:val="26"/>
              </w:rPr>
            </w:pPr>
            <w:r w:rsidRPr="008E63BB">
              <w:rPr>
                <w:rFonts w:eastAsia="Times New Roman"/>
                <w:szCs w:val="26"/>
              </w:rPr>
              <w:t> </w:t>
            </w:r>
          </w:p>
        </w:tc>
        <w:tc>
          <w:tcPr>
            <w:tcW w:w="1561" w:type="dxa"/>
            <w:tcBorders>
              <w:top w:val="nil"/>
              <w:left w:val="nil"/>
              <w:bottom w:val="single" w:sz="4" w:space="0" w:color="auto"/>
              <w:right w:val="single" w:sz="4" w:space="0" w:color="auto"/>
            </w:tcBorders>
            <w:shd w:val="clear" w:color="auto" w:fill="auto"/>
            <w:noWrap/>
            <w:vAlign w:val="center"/>
            <w:hideMark/>
          </w:tcPr>
          <w:p w14:paraId="519B3A2F" w14:textId="77777777" w:rsidR="00EE602B" w:rsidRPr="008E63BB" w:rsidRDefault="00EE602B" w:rsidP="00EE602B">
            <w:pPr>
              <w:jc w:val="right"/>
              <w:rPr>
                <w:rFonts w:eastAsia="Times New Roman"/>
                <w:szCs w:val="26"/>
              </w:rPr>
            </w:pPr>
            <w:r w:rsidRPr="008E63BB">
              <w:rPr>
                <w:rFonts w:eastAsia="Times New Roman"/>
                <w:szCs w:val="26"/>
              </w:rPr>
              <w:t>50.810</w:t>
            </w:r>
          </w:p>
        </w:tc>
      </w:tr>
      <w:tr w:rsidR="00EE602B" w:rsidRPr="008E63BB" w14:paraId="519B3A35"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31"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32"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200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33"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34" w14:textId="77777777" w:rsidR="00EE602B" w:rsidRPr="008E63BB" w:rsidRDefault="00EE602B" w:rsidP="00EE602B">
            <w:pPr>
              <w:jc w:val="right"/>
              <w:rPr>
                <w:rFonts w:eastAsia="Times New Roman"/>
                <w:szCs w:val="26"/>
              </w:rPr>
            </w:pPr>
            <w:r w:rsidRPr="008E63BB">
              <w:rPr>
                <w:rFonts w:eastAsia="Times New Roman"/>
                <w:szCs w:val="26"/>
              </w:rPr>
              <w:t>6.520</w:t>
            </w:r>
          </w:p>
        </w:tc>
      </w:tr>
      <w:tr w:rsidR="00EE602B" w:rsidRPr="008E63BB" w14:paraId="519B3A3A"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36"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37"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250 mm</w:t>
            </w:r>
          </w:p>
        </w:tc>
        <w:tc>
          <w:tcPr>
            <w:tcW w:w="1668" w:type="dxa"/>
            <w:tcBorders>
              <w:top w:val="nil"/>
              <w:left w:val="nil"/>
              <w:bottom w:val="single" w:sz="4" w:space="0" w:color="auto"/>
              <w:right w:val="single" w:sz="4" w:space="0" w:color="auto"/>
            </w:tcBorders>
            <w:shd w:val="clear" w:color="auto" w:fill="auto"/>
            <w:noWrap/>
            <w:vAlign w:val="center"/>
            <w:hideMark/>
          </w:tcPr>
          <w:p w14:paraId="519B3A38"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39" w14:textId="77777777" w:rsidR="00EE602B" w:rsidRPr="008E63BB" w:rsidRDefault="00EE602B" w:rsidP="00EE602B">
            <w:pPr>
              <w:jc w:val="right"/>
              <w:rPr>
                <w:rFonts w:eastAsia="Times New Roman"/>
                <w:szCs w:val="26"/>
              </w:rPr>
            </w:pPr>
            <w:r w:rsidRPr="008E63BB">
              <w:rPr>
                <w:rFonts w:eastAsia="Times New Roman"/>
                <w:szCs w:val="26"/>
              </w:rPr>
              <w:t>5.845</w:t>
            </w:r>
          </w:p>
        </w:tc>
      </w:tr>
      <w:tr w:rsidR="00EE602B" w:rsidRPr="008E63BB" w14:paraId="519B3A3F"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3B"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3C"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300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3D"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3E" w14:textId="77777777" w:rsidR="00EE602B" w:rsidRPr="008E63BB" w:rsidRDefault="00EE602B" w:rsidP="00EE602B">
            <w:pPr>
              <w:jc w:val="right"/>
              <w:rPr>
                <w:rFonts w:eastAsia="Times New Roman"/>
                <w:szCs w:val="26"/>
              </w:rPr>
            </w:pPr>
            <w:r w:rsidRPr="008E63BB">
              <w:rPr>
                <w:rFonts w:eastAsia="Times New Roman"/>
                <w:szCs w:val="26"/>
              </w:rPr>
              <w:t>12.835</w:t>
            </w:r>
          </w:p>
        </w:tc>
      </w:tr>
      <w:tr w:rsidR="00EE602B" w:rsidRPr="008E63BB" w14:paraId="519B3A44"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40"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41"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400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42"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43" w14:textId="77777777" w:rsidR="00EE602B" w:rsidRPr="008E63BB" w:rsidRDefault="00EE602B" w:rsidP="00EE602B">
            <w:pPr>
              <w:jc w:val="right"/>
              <w:rPr>
                <w:rFonts w:eastAsia="Times New Roman"/>
                <w:szCs w:val="26"/>
              </w:rPr>
            </w:pPr>
            <w:r w:rsidRPr="008E63BB">
              <w:rPr>
                <w:rFonts w:eastAsia="Times New Roman"/>
                <w:szCs w:val="26"/>
              </w:rPr>
              <w:t>6.830</w:t>
            </w:r>
          </w:p>
        </w:tc>
      </w:tr>
      <w:tr w:rsidR="00EE602B" w:rsidRPr="008E63BB" w14:paraId="519B3A49"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45"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46"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600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47"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48" w14:textId="77777777" w:rsidR="00EE602B" w:rsidRPr="008E63BB" w:rsidRDefault="00EE602B" w:rsidP="00EE602B">
            <w:pPr>
              <w:jc w:val="right"/>
              <w:rPr>
                <w:rFonts w:eastAsia="Times New Roman"/>
                <w:szCs w:val="26"/>
              </w:rPr>
            </w:pPr>
            <w:r w:rsidRPr="008E63BB">
              <w:rPr>
                <w:rFonts w:eastAsia="Times New Roman"/>
                <w:szCs w:val="26"/>
              </w:rPr>
              <w:t>6.395</w:t>
            </w:r>
          </w:p>
        </w:tc>
      </w:tr>
      <w:tr w:rsidR="00EE602B" w:rsidRPr="008E63BB" w14:paraId="519B3A4E"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4A"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4B"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800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4C"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4D" w14:textId="77777777" w:rsidR="00EE602B" w:rsidRPr="008E63BB" w:rsidRDefault="00EE602B" w:rsidP="00EE602B">
            <w:pPr>
              <w:jc w:val="right"/>
              <w:rPr>
                <w:rFonts w:eastAsia="Times New Roman"/>
                <w:szCs w:val="26"/>
              </w:rPr>
            </w:pPr>
            <w:r w:rsidRPr="008E63BB">
              <w:rPr>
                <w:rFonts w:eastAsia="Times New Roman"/>
                <w:szCs w:val="26"/>
              </w:rPr>
              <w:t>12.385</w:t>
            </w:r>
          </w:p>
        </w:tc>
      </w:tr>
      <w:tr w:rsidR="00EE602B" w:rsidRPr="008E63BB" w14:paraId="519B3A53"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4F" w14:textId="77777777" w:rsidR="00EE602B" w:rsidRPr="008E63BB" w:rsidRDefault="00EE602B" w:rsidP="00EE602B">
            <w:pPr>
              <w:jc w:val="center"/>
              <w:rPr>
                <w:rFonts w:eastAsia="Times New Roman"/>
                <w:szCs w:val="26"/>
              </w:rPr>
            </w:pPr>
            <w:r w:rsidRPr="008E63BB">
              <w:rPr>
                <w:rFonts w:eastAsia="Times New Roman"/>
                <w:szCs w:val="26"/>
              </w:rPr>
              <w:t>2</w:t>
            </w:r>
          </w:p>
        </w:tc>
        <w:tc>
          <w:tcPr>
            <w:tcW w:w="2990" w:type="dxa"/>
            <w:tcBorders>
              <w:top w:val="nil"/>
              <w:left w:val="nil"/>
              <w:bottom w:val="single" w:sz="4" w:space="0" w:color="auto"/>
              <w:right w:val="single" w:sz="4" w:space="0" w:color="auto"/>
            </w:tcBorders>
            <w:shd w:val="clear" w:color="auto" w:fill="auto"/>
            <w:noWrap/>
            <w:vAlign w:val="center"/>
            <w:hideMark/>
          </w:tcPr>
          <w:p w14:paraId="519B3A50" w14:textId="77777777" w:rsidR="00EE602B" w:rsidRPr="008E63BB" w:rsidRDefault="00EE602B" w:rsidP="00EE602B">
            <w:pPr>
              <w:rPr>
                <w:rFonts w:eastAsia="Times New Roman"/>
                <w:szCs w:val="26"/>
              </w:rPr>
            </w:pPr>
            <w:r w:rsidRPr="008E63BB">
              <w:rPr>
                <w:rFonts w:eastAsia="Times New Roman"/>
                <w:szCs w:val="26"/>
              </w:rPr>
              <w:t>Ống dự kiến</w:t>
            </w:r>
          </w:p>
        </w:tc>
        <w:tc>
          <w:tcPr>
            <w:tcW w:w="1668" w:type="dxa"/>
            <w:tcBorders>
              <w:top w:val="nil"/>
              <w:left w:val="nil"/>
              <w:bottom w:val="single" w:sz="4" w:space="0" w:color="auto"/>
              <w:right w:val="single" w:sz="4" w:space="0" w:color="auto"/>
            </w:tcBorders>
            <w:shd w:val="clear" w:color="auto" w:fill="auto"/>
            <w:noWrap/>
            <w:vAlign w:val="center"/>
            <w:hideMark/>
          </w:tcPr>
          <w:p w14:paraId="519B3A51" w14:textId="77777777" w:rsidR="00EE602B" w:rsidRPr="008E63BB" w:rsidRDefault="00EE602B" w:rsidP="00EE602B">
            <w:pPr>
              <w:jc w:val="center"/>
              <w:rPr>
                <w:rFonts w:eastAsia="Times New Roman"/>
                <w:szCs w:val="26"/>
              </w:rPr>
            </w:pPr>
            <w:r w:rsidRPr="008E63BB">
              <w:rPr>
                <w:rFonts w:eastAsia="Times New Roman"/>
                <w:szCs w:val="26"/>
              </w:rPr>
              <w:t> </w:t>
            </w:r>
          </w:p>
        </w:tc>
        <w:tc>
          <w:tcPr>
            <w:tcW w:w="1561" w:type="dxa"/>
            <w:tcBorders>
              <w:top w:val="nil"/>
              <w:left w:val="nil"/>
              <w:bottom w:val="single" w:sz="4" w:space="0" w:color="auto"/>
              <w:right w:val="single" w:sz="4" w:space="0" w:color="auto"/>
            </w:tcBorders>
            <w:shd w:val="clear" w:color="auto" w:fill="auto"/>
            <w:noWrap/>
            <w:vAlign w:val="center"/>
            <w:hideMark/>
          </w:tcPr>
          <w:p w14:paraId="519B3A52" w14:textId="77777777" w:rsidR="00EE602B" w:rsidRPr="008E63BB" w:rsidRDefault="00EE602B" w:rsidP="00EE602B">
            <w:pPr>
              <w:jc w:val="right"/>
              <w:rPr>
                <w:rFonts w:eastAsia="Times New Roman"/>
                <w:szCs w:val="26"/>
              </w:rPr>
            </w:pPr>
            <w:r w:rsidRPr="008E63BB">
              <w:rPr>
                <w:rFonts w:eastAsia="Times New Roman"/>
                <w:szCs w:val="26"/>
              </w:rPr>
              <w:t>116.110</w:t>
            </w:r>
          </w:p>
        </w:tc>
      </w:tr>
      <w:tr w:rsidR="00EE602B" w:rsidRPr="008E63BB" w14:paraId="519B3A58"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54"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55"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110 mm</w:t>
            </w:r>
          </w:p>
        </w:tc>
        <w:tc>
          <w:tcPr>
            <w:tcW w:w="1668" w:type="dxa"/>
            <w:tcBorders>
              <w:top w:val="nil"/>
              <w:left w:val="nil"/>
              <w:bottom w:val="single" w:sz="4" w:space="0" w:color="auto"/>
              <w:right w:val="single" w:sz="4" w:space="0" w:color="auto"/>
            </w:tcBorders>
            <w:shd w:val="clear" w:color="auto" w:fill="auto"/>
            <w:noWrap/>
            <w:vAlign w:val="center"/>
            <w:hideMark/>
          </w:tcPr>
          <w:p w14:paraId="519B3A56"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57" w14:textId="77777777" w:rsidR="00EE602B" w:rsidRPr="008E63BB" w:rsidRDefault="00EE602B" w:rsidP="00EE602B">
            <w:pPr>
              <w:jc w:val="right"/>
              <w:rPr>
                <w:rFonts w:eastAsia="Times New Roman"/>
                <w:szCs w:val="26"/>
              </w:rPr>
            </w:pPr>
            <w:r w:rsidRPr="008E63BB">
              <w:rPr>
                <w:rFonts w:eastAsia="Times New Roman"/>
                <w:szCs w:val="26"/>
              </w:rPr>
              <w:t>40.095</w:t>
            </w:r>
          </w:p>
        </w:tc>
      </w:tr>
      <w:tr w:rsidR="00EE602B" w:rsidRPr="008E63BB" w14:paraId="519B3A5D"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59"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5A"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140 mm</w:t>
            </w:r>
          </w:p>
        </w:tc>
        <w:tc>
          <w:tcPr>
            <w:tcW w:w="1668" w:type="dxa"/>
            <w:tcBorders>
              <w:top w:val="nil"/>
              <w:left w:val="nil"/>
              <w:bottom w:val="single" w:sz="4" w:space="0" w:color="auto"/>
              <w:right w:val="single" w:sz="4" w:space="0" w:color="auto"/>
            </w:tcBorders>
            <w:shd w:val="clear" w:color="auto" w:fill="auto"/>
            <w:noWrap/>
            <w:vAlign w:val="center"/>
            <w:hideMark/>
          </w:tcPr>
          <w:p w14:paraId="519B3A5B"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5C" w14:textId="77777777" w:rsidR="00EE602B" w:rsidRPr="008E63BB" w:rsidRDefault="00EE602B" w:rsidP="00EE602B">
            <w:pPr>
              <w:jc w:val="right"/>
              <w:rPr>
                <w:rFonts w:eastAsia="Times New Roman"/>
                <w:szCs w:val="26"/>
              </w:rPr>
            </w:pPr>
            <w:r w:rsidRPr="008E63BB">
              <w:rPr>
                <w:rFonts w:eastAsia="Times New Roman"/>
                <w:szCs w:val="26"/>
              </w:rPr>
              <w:t>3.460</w:t>
            </w:r>
          </w:p>
        </w:tc>
      </w:tr>
      <w:tr w:rsidR="00EE602B" w:rsidRPr="008E63BB" w14:paraId="519B3A62"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5E"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5F"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160 mm</w:t>
            </w:r>
          </w:p>
        </w:tc>
        <w:tc>
          <w:tcPr>
            <w:tcW w:w="1668" w:type="dxa"/>
            <w:tcBorders>
              <w:top w:val="nil"/>
              <w:left w:val="nil"/>
              <w:bottom w:val="single" w:sz="4" w:space="0" w:color="auto"/>
              <w:right w:val="single" w:sz="4" w:space="0" w:color="auto"/>
            </w:tcBorders>
            <w:shd w:val="clear" w:color="auto" w:fill="auto"/>
            <w:noWrap/>
            <w:vAlign w:val="center"/>
            <w:hideMark/>
          </w:tcPr>
          <w:p w14:paraId="519B3A60"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61" w14:textId="77777777" w:rsidR="00EE602B" w:rsidRPr="008E63BB" w:rsidRDefault="00EE602B" w:rsidP="00EE602B">
            <w:pPr>
              <w:jc w:val="right"/>
              <w:rPr>
                <w:rFonts w:eastAsia="Times New Roman"/>
                <w:szCs w:val="26"/>
              </w:rPr>
            </w:pPr>
            <w:r w:rsidRPr="008E63BB">
              <w:rPr>
                <w:rFonts w:eastAsia="Times New Roman"/>
                <w:szCs w:val="26"/>
              </w:rPr>
              <w:t>34.517</w:t>
            </w:r>
          </w:p>
        </w:tc>
      </w:tr>
      <w:tr w:rsidR="00EE602B" w:rsidRPr="008E63BB" w14:paraId="519B3A67"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63"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64"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200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65"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66" w14:textId="77777777" w:rsidR="00EE602B" w:rsidRPr="008E63BB" w:rsidRDefault="00EE602B" w:rsidP="00EE602B">
            <w:pPr>
              <w:jc w:val="right"/>
              <w:rPr>
                <w:rFonts w:eastAsia="Times New Roman"/>
                <w:szCs w:val="26"/>
              </w:rPr>
            </w:pPr>
            <w:r w:rsidRPr="008E63BB">
              <w:rPr>
                <w:rFonts w:eastAsia="Times New Roman"/>
                <w:szCs w:val="26"/>
              </w:rPr>
              <w:t>32.919</w:t>
            </w:r>
          </w:p>
        </w:tc>
      </w:tr>
      <w:tr w:rsidR="00EE602B" w:rsidRPr="008E63BB" w14:paraId="519B3A6C"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68"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69"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225 mm</w:t>
            </w:r>
          </w:p>
        </w:tc>
        <w:tc>
          <w:tcPr>
            <w:tcW w:w="1668" w:type="dxa"/>
            <w:tcBorders>
              <w:top w:val="nil"/>
              <w:left w:val="nil"/>
              <w:bottom w:val="single" w:sz="4" w:space="0" w:color="auto"/>
              <w:right w:val="single" w:sz="4" w:space="0" w:color="auto"/>
            </w:tcBorders>
            <w:shd w:val="clear" w:color="auto" w:fill="auto"/>
            <w:noWrap/>
            <w:vAlign w:val="center"/>
            <w:hideMark/>
          </w:tcPr>
          <w:p w14:paraId="519B3A6A"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6B" w14:textId="77777777" w:rsidR="00EE602B" w:rsidRPr="008E63BB" w:rsidRDefault="00EE602B" w:rsidP="00EE602B">
            <w:pPr>
              <w:jc w:val="right"/>
              <w:rPr>
                <w:rFonts w:eastAsia="Times New Roman"/>
                <w:szCs w:val="26"/>
              </w:rPr>
            </w:pPr>
            <w:r w:rsidRPr="008E63BB">
              <w:rPr>
                <w:rFonts w:eastAsia="Times New Roman"/>
                <w:szCs w:val="26"/>
              </w:rPr>
              <w:t>1.890</w:t>
            </w:r>
          </w:p>
        </w:tc>
      </w:tr>
      <w:tr w:rsidR="00EE602B" w:rsidRPr="008E63BB" w14:paraId="519B3A71"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6D"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6E"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250 mm</w:t>
            </w:r>
          </w:p>
        </w:tc>
        <w:tc>
          <w:tcPr>
            <w:tcW w:w="1668" w:type="dxa"/>
            <w:tcBorders>
              <w:top w:val="nil"/>
              <w:left w:val="nil"/>
              <w:bottom w:val="single" w:sz="4" w:space="0" w:color="auto"/>
              <w:right w:val="single" w:sz="4" w:space="0" w:color="auto"/>
            </w:tcBorders>
            <w:shd w:val="clear" w:color="auto" w:fill="auto"/>
            <w:noWrap/>
            <w:vAlign w:val="center"/>
            <w:hideMark/>
          </w:tcPr>
          <w:p w14:paraId="519B3A6F"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70" w14:textId="77777777" w:rsidR="00EE602B" w:rsidRPr="008E63BB" w:rsidRDefault="00EE602B" w:rsidP="00EE602B">
            <w:pPr>
              <w:jc w:val="right"/>
              <w:rPr>
                <w:rFonts w:eastAsia="Times New Roman"/>
                <w:szCs w:val="26"/>
              </w:rPr>
            </w:pPr>
            <w:r w:rsidRPr="008E63BB">
              <w:rPr>
                <w:rFonts w:eastAsia="Times New Roman"/>
                <w:szCs w:val="26"/>
              </w:rPr>
              <w:t>2.665</w:t>
            </w:r>
          </w:p>
        </w:tc>
      </w:tr>
      <w:tr w:rsidR="00EE602B" w:rsidRPr="008E63BB" w14:paraId="519B3A76"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72"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73"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300 mm</w:t>
            </w:r>
          </w:p>
        </w:tc>
        <w:tc>
          <w:tcPr>
            <w:tcW w:w="1668" w:type="dxa"/>
            <w:tcBorders>
              <w:top w:val="nil"/>
              <w:left w:val="nil"/>
              <w:bottom w:val="single" w:sz="4" w:space="0" w:color="auto"/>
              <w:right w:val="single" w:sz="4" w:space="0" w:color="auto"/>
            </w:tcBorders>
            <w:shd w:val="clear" w:color="auto" w:fill="auto"/>
            <w:noWrap/>
            <w:vAlign w:val="center"/>
            <w:hideMark/>
          </w:tcPr>
          <w:p w14:paraId="519B3A74"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75" w14:textId="77777777" w:rsidR="00EE602B" w:rsidRPr="008E63BB" w:rsidRDefault="00EE602B" w:rsidP="00EE602B">
            <w:pPr>
              <w:jc w:val="right"/>
              <w:rPr>
                <w:rFonts w:eastAsia="Times New Roman"/>
                <w:szCs w:val="26"/>
              </w:rPr>
            </w:pPr>
            <w:r w:rsidRPr="008E63BB">
              <w:rPr>
                <w:rFonts w:eastAsia="Times New Roman"/>
                <w:szCs w:val="26"/>
              </w:rPr>
              <w:t>334</w:t>
            </w:r>
          </w:p>
        </w:tc>
      </w:tr>
      <w:tr w:rsidR="00EE602B" w:rsidRPr="008E63BB" w14:paraId="519B3A7B" w14:textId="77777777" w:rsidTr="00EE602B">
        <w:trPr>
          <w:trHeight w:val="20"/>
        </w:trPr>
        <w:tc>
          <w:tcPr>
            <w:tcW w:w="717" w:type="dxa"/>
            <w:tcBorders>
              <w:top w:val="nil"/>
              <w:left w:val="single" w:sz="4" w:space="0" w:color="auto"/>
              <w:bottom w:val="single" w:sz="4" w:space="0" w:color="auto"/>
              <w:right w:val="single" w:sz="4" w:space="0" w:color="auto"/>
            </w:tcBorders>
            <w:shd w:val="clear" w:color="auto" w:fill="auto"/>
            <w:vAlign w:val="center"/>
            <w:hideMark/>
          </w:tcPr>
          <w:p w14:paraId="519B3A77" w14:textId="77777777" w:rsidR="00EE602B" w:rsidRPr="008E63BB" w:rsidRDefault="00EE602B" w:rsidP="00EE602B">
            <w:pPr>
              <w:jc w:val="center"/>
              <w:rPr>
                <w:rFonts w:eastAsia="Times New Roman"/>
                <w:szCs w:val="26"/>
              </w:rPr>
            </w:pPr>
            <w:r w:rsidRPr="008E63BB">
              <w:rPr>
                <w:rFonts w:eastAsia="Times New Roman"/>
                <w:szCs w:val="26"/>
              </w:rPr>
              <w:t>-</w:t>
            </w:r>
          </w:p>
        </w:tc>
        <w:tc>
          <w:tcPr>
            <w:tcW w:w="2990" w:type="dxa"/>
            <w:tcBorders>
              <w:top w:val="nil"/>
              <w:left w:val="nil"/>
              <w:bottom w:val="single" w:sz="4" w:space="0" w:color="auto"/>
              <w:right w:val="single" w:sz="4" w:space="0" w:color="auto"/>
            </w:tcBorders>
            <w:shd w:val="clear" w:color="auto" w:fill="auto"/>
            <w:noWrap/>
            <w:vAlign w:val="center"/>
            <w:hideMark/>
          </w:tcPr>
          <w:p w14:paraId="519B3A78"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315 mm</w:t>
            </w:r>
          </w:p>
        </w:tc>
        <w:tc>
          <w:tcPr>
            <w:tcW w:w="1668" w:type="dxa"/>
            <w:tcBorders>
              <w:top w:val="nil"/>
              <w:left w:val="nil"/>
              <w:bottom w:val="single" w:sz="4" w:space="0" w:color="auto"/>
              <w:right w:val="single" w:sz="4" w:space="0" w:color="auto"/>
            </w:tcBorders>
            <w:shd w:val="clear" w:color="auto" w:fill="auto"/>
            <w:noWrap/>
            <w:vAlign w:val="center"/>
            <w:hideMark/>
          </w:tcPr>
          <w:p w14:paraId="519B3A79" w14:textId="77777777" w:rsidR="00EE602B" w:rsidRPr="008E63BB" w:rsidRDefault="00EE602B" w:rsidP="00EE602B">
            <w:pPr>
              <w:jc w:val="center"/>
              <w:rPr>
                <w:rFonts w:eastAsia="Times New Roman"/>
                <w:szCs w:val="26"/>
              </w:rPr>
            </w:pPr>
            <w:r w:rsidRPr="008E63BB">
              <w:rPr>
                <w:rFonts w:eastAsia="Times New Roman"/>
                <w:szCs w:val="26"/>
              </w:rPr>
              <w:t>m</w:t>
            </w:r>
          </w:p>
        </w:tc>
        <w:tc>
          <w:tcPr>
            <w:tcW w:w="1561" w:type="dxa"/>
            <w:tcBorders>
              <w:top w:val="nil"/>
              <w:left w:val="nil"/>
              <w:bottom w:val="single" w:sz="4" w:space="0" w:color="auto"/>
              <w:right w:val="single" w:sz="4" w:space="0" w:color="auto"/>
            </w:tcBorders>
            <w:shd w:val="clear" w:color="auto" w:fill="auto"/>
            <w:noWrap/>
            <w:vAlign w:val="center"/>
            <w:hideMark/>
          </w:tcPr>
          <w:p w14:paraId="519B3A7A" w14:textId="77777777" w:rsidR="00EE602B" w:rsidRPr="008E63BB" w:rsidRDefault="00EE602B" w:rsidP="00EE602B">
            <w:pPr>
              <w:jc w:val="right"/>
              <w:rPr>
                <w:rFonts w:eastAsia="Times New Roman"/>
                <w:szCs w:val="26"/>
              </w:rPr>
            </w:pPr>
            <w:r w:rsidRPr="008E63BB">
              <w:rPr>
                <w:rFonts w:eastAsia="Times New Roman"/>
                <w:szCs w:val="26"/>
              </w:rPr>
              <w:t>230</w:t>
            </w:r>
          </w:p>
        </w:tc>
      </w:tr>
    </w:tbl>
    <w:p w14:paraId="519B3A7C" w14:textId="77777777" w:rsidR="00244409" w:rsidRPr="008E63BB" w:rsidRDefault="00244409" w:rsidP="0065184D">
      <w:pPr>
        <w:keepNext/>
        <w:numPr>
          <w:ilvl w:val="4"/>
          <w:numId w:val="0"/>
        </w:numPr>
        <w:tabs>
          <w:tab w:val="num" w:pos="741"/>
        </w:tabs>
        <w:outlineLvl w:val="4"/>
        <w:rPr>
          <w:bCs/>
          <w:i/>
          <w:szCs w:val="26"/>
          <w:lang w:val="vi-VN"/>
        </w:rPr>
      </w:pPr>
      <w:r w:rsidRPr="008E63BB">
        <w:rPr>
          <w:bCs/>
          <w:i/>
          <w:szCs w:val="26"/>
        </w:rPr>
        <w:t>e.4.</w:t>
      </w:r>
      <w:r w:rsidRPr="008E63BB">
        <w:rPr>
          <w:bCs/>
          <w:i/>
          <w:szCs w:val="26"/>
          <w:lang w:val="vi-VN"/>
        </w:rPr>
        <w:t xml:space="preserve"> Áp lực nước:</w:t>
      </w:r>
    </w:p>
    <w:p w14:paraId="519B3A7D" w14:textId="77777777" w:rsidR="00244409" w:rsidRPr="008E63BB" w:rsidRDefault="00244409" w:rsidP="0065184D">
      <w:pPr>
        <w:ind w:firstLine="709"/>
        <w:rPr>
          <w:szCs w:val="26"/>
          <w:lang w:val="vi-VN"/>
        </w:rPr>
      </w:pPr>
      <w:r w:rsidRPr="008E63BB">
        <w:rPr>
          <w:bCs/>
          <w:szCs w:val="26"/>
          <w:lang w:val="vi-VN"/>
        </w:rPr>
        <w:t xml:space="preserve">- </w:t>
      </w:r>
      <w:r w:rsidRPr="008E63BB">
        <w:rPr>
          <w:szCs w:val="26"/>
          <w:lang w:val="vi-VN"/>
        </w:rPr>
        <w:t>Mạng lưới cấp nước được tính toán với áp lực tự do 12m, các khu vực cao tầng hơn đặt trạm bơm tăng áp cục bộ.</w:t>
      </w:r>
    </w:p>
    <w:p w14:paraId="519B3A7E" w14:textId="77777777" w:rsidR="00244409" w:rsidRPr="008E63BB" w:rsidRDefault="00244409" w:rsidP="0065184D">
      <w:pPr>
        <w:keepNext/>
        <w:numPr>
          <w:ilvl w:val="4"/>
          <w:numId w:val="0"/>
        </w:numPr>
        <w:tabs>
          <w:tab w:val="num" w:pos="741"/>
        </w:tabs>
        <w:outlineLvl w:val="4"/>
        <w:rPr>
          <w:bCs/>
          <w:i/>
          <w:szCs w:val="26"/>
          <w:lang w:val="vi-VN"/>
        </w:rPr>
      </w:pPr>
      <w:r w:rsidRPr="008E63BB">
        <w:rPr>
          <w:bCs/>
          <w:i/>
          <w:szCs w:val="26"/>
          <w:lang w:val="vi-VN"/>
        </w:rPr>
        <w:t>e.5. Chữa cháy</w:t>
      </w:r>
    </w:p>
    <w:p w14:paraId="519B3A7F" w14:textId="77777777" w:rsidR="00244409" w:rsidRPr="008E63BB" w:rsidRDefault="00244409" w:rsidP="0065184D">
      <w:pPr>
        <w:ind w:firstLine="709"/>
        <w:rPr>
          <w:szCs w:val="26"/>
          <w:lang w:val="vi-VN"/>
        </w:rPr>
      </w:pPr>
      <w:bookmarkStart w:id="487" w:name="_Toc167611422"/>
      <w:bookmarkStart w:id="488" w:name="_Toc535007779"/>
      <w:r w:rsidRPr="008E63BB">
        <w:rPr>
          <w:szCs w:val="26"/>
          <w:lang w:val="vi-VN"/>
        </w:rPr>
        <w:t>Sử dụng mạng lưới chữa cháy kết hợp chung với cấp nước sinh hoạt và công nghiệp.</w:t>
      </w:r>
    </w:p>
    <w:p w14:paraId="519B3A80" w14:textId="77777777" w:rsidR="00244409" w:rsidRPr="008E63BB" w:rsidRDefault="00244409" w:rsidP="0065184D">
      <w:pPr>
        <w:ind w:firstLine="709"/>
        <w:rPr>
          <w:szCs w:val="26"/>
          <w:lang w:val="vi-VN"/>
        </w:rPr>
      </w:pPr>
      <w:r w:rsidRPr="008E63BB">
        <w:rPr>
          <w:szCs w:val="26"/>
          <w:lang w:val="vi-VN"/>
        </w:rPr>
        <w:t>Mạng lưới cấp nước chữa cháy sử dụng áp lực thấp. Chọn số đám cháy xảy ra cùng một lúc là 3 đám, với lưu lượng mỗi đám cháy cháy là 30l/s, thời gian dập tắt các đám cháy là 3 giờ.</w:t>
      </w:r>
    </w:p>
    <w:p w14:paraId="519B3A81" w14:textId="77777777" w:rsidR="00244409" w:rsidRPr="008E63BB" w:rsidRDefault="00244409" w:rsidP="0065184D">
      <w:pPr>
        <w:rPr>
          <w:b/>
          <w:bCs/>
          <w:i/>
          <w:iCs/>
          <w:szCs w:val="26"/>
          <w:lang w:val="vi-VN"/>
        </w:rPr>
      </w:pPr>
      <w:r w:rsidRPr="008E63BB">
        <w:rPr>
          <w:b/>
          <w:bCs/>
          <w:i/>
          <w:iCs/>
          <w:szCs w:val="26"/>
          <w:lang w:val="vi-VN"/>
        </w:rPr>
        <w:t>f. Bảo vệ nguồn nước</w:t>
      </w:r>
      <w:bookmarkEnd w:id="485"/>
      <w:bookmarkEnd w:id="486"/>
      <w:bookmarkEnd w:id="487"/>
      <w:bookmarkEnd w:id="488"/>
      <w:r w:rsidRPr="008E63BB">
        <w:rPr>
          <w:b/>
          <w:bCs/>
          <w:i/>
          <w:iCs/>
          <w:szCs w:val="26"/>
          <w:lang w:val="vi-VN"/>
        </w:rPr>
        <w:t>:</w:t>
      </w:r>
    </w:p>
    <w:p w14:paraId="519B3A82" w14:textId="77777777" w:rsidR="0064784B" w:rsidRPr="008E63BB" w:rsidRDefault="0064784B" w:rsidP="0064784B">
      <w:pPr>
        <w:ind w:firstLine="720"/>
        <w:rPr>
          <w:w w:val="105"/>
          <w:lang w:val="vi-VN"/>
        </w:rPr>
      </w:pPr>
      <w:r w:rsidRPr="008E63BB">
        <w:rPr>
          <w:w w:val="105"/>
          <w:lang w:val="vi-VN"/>
        </w:rPr>
        <w:t>Đảm bảo không ảnh hưởng tới hành lang bảo vệ nguồn nước theo quy định tại NĐ 43/2015/NĐ-CP ngày 06/05/2015</w:t>
      </w:r>
      <w:r w:rsidR="00244409" w:rsidRPr="008E63BB">
        <w:rPr>
          <w:bCs/>
          <w:i/>
          <w:szCs w:val="26"/>
          <w:lang w:val="vi-VN"/>
        </w:rPr>
        <w:tab/>
      </w:r>
    </w:p>
    <w:p w14:paraId="519B3A83" w14:textId="77777777" w:rsidR="00244409" w:rsidRPr="008E63BB" w:rsidRDefault="0064784B" w:rsidP="0065184D">
      <w:pPr>
        <w:keepNext/>
        <w:numPr>
          <w:ilvl w:val="4"/>
          <w:numId w:val="0"/>
        </w:numPr>
        <w:tabs>
          <w:tab w:val="num" w:pos="741"/>
        </w:tabs>
        <w:outlineLvl w:val="4"/>
        <w:rPr>
          <w:bCs/>
          <w:i/>
          <w:szCs w:val="26"/>
          <w:lang w:val="vi-VN"/>
        </w:rPr>
      </w:pPr>
      <w:r w:rsidRPr="008E63BB">
        <w:rPr>
          <w:bCs/>
          <w:i/>
          <w:szCs w:val="26"/>
          <w:lang w:val="vi-VN"/>
        </w:rPr>
        <w:lastRenderedPageBreak/>
        <w:tab/>
      </w:r>
      <w:r w:rsidR="00244409" w:rsidRPr="008E63BB">
        <w:rPr>
          <w:bCs/>
          <w:i/>
          <w:szCs w:val="26"/>
          <w:lang w:val="vi-VN"/>
        </w:rPr>
        <w:t>* Đối với nguồn nước mặt</w:t>
      </w:r>
    </w:p>
    <w:p w14:paraId="519B3A84" w14:textId="77777777" w:rsidR="00244409" w:rsidRPr="008E63BB" w:rsidRDefault="00244409" w:rsidP="0065184D">
      <w:pPr>
        <w:ind w:firstLine="709"/>
        <w:rPr>
          <w:szCs w:val="26"/>
          <w:lang w:val="vi-VN"/>
        </w:rPr>
      </w:pPr>
      <w:r w:rsidRPr="008E63BB">
        <w:rPr>
          <w:szCs w:val="26"/>
          <w:lang w:val="vi-VN"/>
        </w:rPr>
        <w:t>- Nước sông Hồng và sông Đào: tính từ điểm lấy nước lên thượng nguồn phạm vị bảo vệ là 500 m, xuôi hạ nguồn: 300m, cấm xây dựng, xả nước thải, nước kênh tưới, chăn nuôi, tắm giặt.</w:t>
      </w:r>
    </w:p>
    <w:p w14:paraId="519B3A85" w14:textId="77777777" w:rsidR="00244409" w:rsidRPr="008E63BB" w:rsidRDefault="00244409" w:rsidP="0065184D">
      <w:pPr>
        <w:keepNext/>
        <w:numPr>
          <w:ilvl w:val="4"/>
          <w:numId w:val="0"/>
        </w:numPr>
        <w:tabs>
          <w:tab w:val="num" w:pos="741"/>
        </w:tabs>
        <w:outlineLvl w:val="4"/>
        <w:rPr>
          <w:bCs/>
          <w:i/>
          <w:szCs w:val="26"/>
          <w:lang w:val="vi-VN"/>
        </w:rPr>
      </w:pPr>
      <w:r w:rsidRPr="008E63BB">
        <w:rPr>
          <w:bCs/>
          <w:i/>
          <w:szCs w:val="26"/>
          <w:lang w:val="vi-VN"/>
        </w:rPr>
        <w:tab/>
        <w:t>* Khu vực bảo vệ nhà máy nước</w:t>
      </w:r>
    </w:p>
    <w:p w14:paraId="519B3A86" w14:textId="77777777" w:rsidR="00244409" w:rsidRPr="008E63BB" w:rsidRDefault="00244409" w:rsidP="0065184D">
      <w:pPr>
        <w:ind w:firstLine="709"/>
        <w:rPr>
          <w:szCs w:val="26"/>
          <w:lang w:val="vi-VN"/>
        </w:rPr>
      </w:pPr>
      <w:r w:rsidRPr="008E63BB">
        <w:rPr>
          <w:szCs w:val="26"/>
          <w:lang w:val="vi-VN"/>
        </w:rPr>
        <w:t>+ Trong phạm vi 30m kể từ chân tường các công trình xử lý phải xây tường rào bảo vệ bao quanh khu vực xử lý nước.</w:t>
      </w:r>
    </w:p>
    <w:p w14:paraId="519B3A87" w14:textId="77777777" w:rsidR="00244409" w:rsidRPr="008E63BB" w:rsidRDefault="00244409" w:rsidP="0065184D">
      <w:pPr>
        <w:ind w:firstLine="709"/>
        <w:rPr>
          <w:szCs w:val="26"/>
          <w:lang w:val="vi-VN"/>
        </w:rPr>
      </w:pPr>
      <w:r w:rsidRPr="008E63BB">
        <w:rPr>
          <w:szCs w:val="26"/>
          <w:lang w:val="vi-VN"/>
        </w:rPr>
        <w:t>+ Bên trong tường rào này không được xây dựng nhà ở, công trình vui chơi, sinh hoạt, vệ sinh, không được bón phân cho cây trồng và không được chăn nuôi súc vật.</w:t>
      </w:r>
    </w:p>
    <w:p w14:paraId="519B3A88" w14:textId="77777777" w:rsidR="00244409" w:rsidRPr="008E63BB" w:rsidRDefault="00244409" w:rsidP="0065184D">
      <w:pPr>
        <w:ind w:firstLine="709"/>
        <w:rPr>
          <w:szCs w:val="26"/>
          <w:lang w:val="vi-VN"/>
        </w:rPr>
      </w:pPr>
      <w:r w:rsidRPr="008E63BB">
        <w:rPr>
          <w:szCs w:val="26"/>
          <w:lang w:val="vi-VN"/>
        </w:rPr>
        <w:t>* Khu vực bảo vệ đường ống nước thô dẫn từ sông Hồng và sông Đào về các nhà máy nước là 0,5m.</w:t>
      </w:r>
    </w:p>
    <w:p w14:paraId="519B3A89" w14:textId="77777777" w:rsidR="00244409" w:rsidRPr="008E63BB" w:rsidRDefault="00244409" w:rsidP="0065184D">
      <w:pPr>
        <w:rPr>
          <w:b/>
          <w:bCs/>
          <w:i/>
          <w:iCs/>
          <w:szCs w:val="26"/>
          <w:lang w:val="vi-VN"/>
        </w:rPr>
      </w:pPr>
      <w:r w:rsidRPr="008E63BB">
        <w:rPr>
          <w:b/>
          <w:bCs/>
          <w:i/>
          <w:iCs/>
          <w:szCs w:val="26"/>
          <w:lang w:val="vi-VN"/>
        </w:rPr>
        <w:t>g. Tồn tại và kiến nghị:</w:t>
      </w:r>
    </w:p>
    <w:p w14:paraId="519B3A8A" w14:textId="77777777" w:rsidR="00244409" w:rsidRPr="008E63BB" w:rsidRDefault="00244409" w:rsidP="0065184D">
      <w:pPr>
        <w:ind w:right="-19" w:firstLine="567"/>
        <w:rPr>
          <w:rFonts w:eastAsia="Times New Roman"/>
          <w:w w:val="105"/>
          <w:szCs w:val="26"/>
          <w:lang w:val="vi-VN"/>
        </w:rPr>
      </w:pPr>
      <w:r w:rsidRPr="008E63BB">
        <w:rPr>
          <w:rFonts w:eastAsia="Times New Roman"/>
          <w:w w:val="105"/>
          <w:szCs w:val="26"/>
          <w:lang w:val="vi-VN"/>
        </w:rPr>
        <w:t>Hai con sông Đào và sông Hồng có nguy cơ ô nhiễm lớn từ trạm bơm nước thải Quán Chuột và trạm bơm nước thải Kênh Gia của thành phố vì nước thải đều chưa được xử lý trước khi bơm ra sông. Cần có giải pháp bảo vệ nguồn nước Sông Đào tránh bị ô nhiễm từ các nguồn xả thải.</w:t>
      </w:r>
    </w:p>
    <w:p w14:paraId="519B3A8B" w14:textId="77777777" w:rsidR="0058259F" w:rsidRPr="008E63BB" w:rsidRDefault="00DE21CF" w:rsidP="0065184D">
      <w:pPr>
        <w:pStyle w:val="Heading2"/>
        <w:spacing w:before="0" w:after="0"/>
        <w:rPr>
          <w:kern w:val="32"/>
          <w:lang w:val="vi-VN"/>
        </w:rPr>
      </w:pPr>
      <w:bookmarkStart w:id="489" w:name="_Toc341519084"/>
      <w:bookmarkStart w:id="490" w:name="_Toc341519185"/>
      <w:bookmarkStart w:id="491" w:name="_Toc344928495"/>
      <w:bookmarkStart w:id="492" w:name="_Toc345538405"/>
      <w:bookmarkStart w:id="493" w:name="_Toc47524723"/>
      <w:r w:rsidRPr="008E63BB">
        <w:rPr>
          <w:kern w:val="32"/>
          <w:lang w:val="vi-VN"/>
        </w:rPr>
        <w:t>6</w:t>
      </w:r>
      <w:r w:rsidR="0058259F" w:rsidRPr="008E63BB">
        <w:rPr>
          <w:kern w:val="32"/>
          <w:lang w:val="vi-VN"/>
        </w:rPr>
        <w:t>.4. Định hướng cấp điện</w:t>
      </w:r>
      <w:bookmarkEnd w:id="489"/>
      <w:bookmarkEnd w:id="490"/>
      <w:bookmarkEnd w:id="491"/>
      <w:bookmarkEnd w:id="492"/>
      <w:bookmarkEnd w:id="493"/>
    </w:p>
    <w:p w14:paraId="519B3A8C" w14:textId="77777777" w:rsidR="00207BFF" w:rsidRPr="008E63BB" w:rsidRDefault="00207BFF" w:rsidP="0065184D">
      <w:pPr>
        <w:rPr>
          <w:lang w:val="vi-VN"/>
        </w:rPr>
      </w:pPr>
      <w:bookmarkStart w:id="494" w:name="_Toc355767861"/>
      <w:bookmarkStart w:id="495" w:name="_Toc330799189"/>
      <w:bookmarkStart w:id="496" w:name="_Toc341519085"/>
      <w:bookmarkStart w:id="497" w:name="_Toc341519186"/>
      <w:bookmarkStart w:id="498" w:name="_Toc344928496"/>
      <w:bookmarkStart w:id="499" w:name="_Toc345538406"/>
      <w:r w:rsidRPr="008E63BB">
        <w:rPr>
          <w:i/>
          <w:szCs w:val="26"/>
          <w:lang w:val="vi-VN"/>
        </w:rPr>
        <w:t>a.  Dự báo phụ tải.</w:t>
      </w:r>
    </w:p>
    <w:p w14:paraId="519B3A8D" w14:textId="77777777" w:rsidR="00B3376C" w:rsidRPr="008E63BB" w:rsidRDefault="00B3376C" w:rsidP="00B3376C">
      <w:pPr>
        <w:pStyle w:val="Footer"/>
        <w:tabs>
          <w:tab w:val="left" w:pos="720"/>
        </w:tabs>
        <w:ind w:hanging="180"/>
        <w:contextualSpacing/>
        <w:jc w:val="center"/>
        <w:rPr>
          <w:b/>
          <w:bCs/>
          <w:szCs w:val="26"/>
          <w:lang w:val="en-US"/>
        </w:rPr>
      </w:pPr>
      <w:r w:rsidRPr="008E63BB">
        <w:rPr>
          <w:b/>
          <w:bCs/>
          <w:szCs w:val="26"/>
        </w:rPr>
        <w:t>Bảng tổng hợp phụ tải điện</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560"/>
        <w:gridCol w:w="3827"/>
        <w:gridCol w:w="3260"/>
      </w:tblGrid>
      <w:tr w:rsidR="007843F3" w:rsidRPr="008E63BB" w14:paraId="519B3A92" w14:textId="77777777" w:rsidTr="00FA1890">
        <w:tc>
          <w:tcPr>
            <w:tcW w:w="675" w:type="dxa"/>
            <w:vMerge w:val="restart"/>
            <w:tcBorders>
              <w:top w:val="single" w:sz="4" w:space="0" w:color="auto"/>
              <w:left w:val="single" w:sz="4" w:space="0" w:color="auto"/>
              <w:bottom w:val="single" w:sz="4" w:space="0" w:color="auto"/>
              <w:right w:val="single" w:sz="4" w:space="0" w:color="auto"/>
            </w:tcBorders>
            <w:vAlign w:val="center"/>
          </w:tcPr>
          <w:p w14:paraId="519B3A8E" w14:textId="77777777" w:rsidR="007843F3" w:rsidRPr="008E63BB" w:rsidRDefault="007843F3" w:rsidP="00FA1890">
            <w:pPr>
              <w:pStyle w:val="msofootercxspmiddle"/>
              <w:tabs>
                <w:tab w:val="left" w:pos="720"/>
              </w:tabs>
              <w:spacing w:before="120" w:beforeAutospacing="0" w:after="0" w:afterAutospacing="0"/>
              <w:ind w:left="181" w:hanging="181"/>
              <w:contextualSpacing/>
              <w:jc w:val="center"/>
              <w:rPr>
                <w:rFonts w:eastAsia="Times New Roman"/>
                <w:b/>
                <w:bCs/>
              </w:rPr>
            </w:pPr>
            <w:r w:rsidRPr="008E63BB">
              <w:rPr>
                <w:rFonts w:eastAsia="Times New Roman"/>
                <w:b/>
                <w:bCs/>
              </w:rPr>
              <w:t>STT</w:t>
            </w:r>
          </w:p>
        </w:tc>
        <w:tc>
          <w:tcPr>
            <w:tcW w:w="1560" w:type="dxa"/>
            <w:vMerge w:val="restart"/>
            <w:tcBorders>
              <w:top w:val="single" w:sz="4" w:space="0" w:color="auto"/>
              <w:left w:val="single" w:sz="4" w:space="0" w:color="auto"/>
              <w:bottom w:val="single" w:sz="4" w:space="0" w:color="auto"/>
              <w:right w:val="single" w:sz="4" w:space="0" w:color="auto"/>
            </w:tcBorders>
            <w:vAlign w:val="center"/>
          </w:tcPr>
          <w:p w14:paraId="519B3A8F" w14:textId="77777777" w:rsidR="007843F3" w:rsidRPr="008E63BB" w:rsidRDefault="007843F3" w:rsidP="00FA1890">
            <w:pPr>
              <w:pStyle w:val="msofootercxspmiddle"/>
              <w:tabs>
                <w:tab w:val="left" w:pos="720"/>
              </w:tabs>
              <w:spacing w:before="120" w:beforeAutospacing="0" w:after="0" w:afterAutospacing="0"/>
              <w:ind w:left="181" w:hanging="181"/>
              <w:contextualSpacing/>
              <w:jc w:val="center"/>
              <w:rPr>
                <w:rFonts w:eastAsia="Times New Roman"/>
                <w:b/>
                <w:bCs/>
                <w:lang w:val="vi-VN"/>
              </w:rPr>
            </w:pPr>
            <w:r w:rsidRPr="008E63BB">
              <w:rPr>
                <w:rFonts w:eastAsia="Times New Roman"/>
                <w:b/>
                <w:bCs/>
                <w:lang w:val="pt-BR"/>
              </w:rPr>
              <w:t>Tên phụ tải</w:t>
            </w:r>
          </w:p>
        </w:tc>
        <w:tc>
          <w:tcPr>
            <w:tcW w:w="3827" w:type="dxa"/>
            <w:tcBorders>
              <w:top w:val="single" w:sz="4" w:space="0" w:color="auto"/>
              <w:left w:val="single" w:sz="4" w:space="0" w:color="auto"/>
              <w:bottom w:val="single" w:sz="4" w:space="0" w:color="auto"/>
              <w:right w:val="single" w:sz="4" w:space="0" w:color="auto"/>
            </w:tcBorders>
            <w:vAlign w:val="center"/>
          </w:tcPr>
          <w:p w14:paraId="519B3A90"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b/>
                <w:bCs/>
                <w:lang w:val="pt-BR"/>
              </w:rPr>
            </w:pPr>
            <w:r w:rsidRPr="008E63BB">
              <w:rPr>
                <w:rFonts w:eastAsia="Times New Roman"/>
                <w:b/>
                <w:bCs/>
                <w:lang w:val="pt-BR"/>
              </w:rPr>
              <w:t>Giai Đoạn 2030</w:t>
            </w:r>
          </w:p>
        </w:tc>
        <w:tc>
          <w:tcPr>
            <w:tcW w:w="3260" w:type="dxa"/>
            <w:tcBorders>
              <w:top w:val="single" w:sz="4" w:space="0" w:color="auto"/>
              <w:left w:val="single" w:sz="4" w:space="0" w:color="auto"/>
              <w:bottom w:val="single" w:sz="4" w:space="0" w:color="auto"/>
              <w:right w:val="single" w:sz="4" w:space="0" w:color="auto"/>
            </w:tcBorders>
            <w:vAlign w:val="center"/>
          </w:tcPr>
          <w:p w14:paraId="519B3A91" w14:textId="77777777" w:rsidR="007843F3" w:rsidRPr="008E63BB" w:rsidRDefault="007843F3" w:rsidP="00FA1890">
            <w:pPr>
              <w:pStyle w:val="msofootercxsplast"/>
              <w:tabs>
                <w:tab w:val="left" w:pos="720"/>
              </w:tabs>
              <w:spacing w:before="120" w:beforeAutospacing="0" w:after="0" w:afterAutospacing="0"/>
              <w:ind w:hanging="180"/>
              <w:jc w:val="center"/>
              <w:rPr>
                <w:rFonts w:eastAsia="Times New Roman"/>
                <w:b/>
                <w:bCs/>
                <w:lang w:val="pt-BR"/>
              </w:rPr>
            </w:pPr>
            <w:r w:rsidRPr="008E63BB">
              <w:rPr>
                <w:rFonts w:eastAsia="Times New Roman"/>
                <w:b/>
                <w:bCs/>
                <w:lang w:val="pt-BR"/>
              </w:rPr>
              <w:t>Giai Đoạn 2040</w:t>
            </w:r>
          </w:p>
        </w:tc>
      </w:tr>
      <w:tr w:rsidR="007843F3" w:rsidRPr="008E63BB" w14:paraId="519B3A97" w14:textId="77777777" w:rsidTr="00FA1890">
        <w:tc>
          <w:tcPr>
            <w:tcW w:w="675" w:type="dxa"/>
            <w:vMerge/>
            <w:tcBorders>
              <w:top w:val="single" w:sz="4" w:space="0" w:color="auto"/>
              <w:left w:val="single" w:sz="4" w:space="0" w:color="auto"/>
              <w:bottom w:val="single" w:sz="4" w:space="0" w:color="auto"/>
              <w:right w:val="single" w:sz="4" w:space="0" w:color="auto"/>
            </w:tcBorders>
            <w:vAlign w:val="center"/>
          </w:tcPr>
          <w:p w14:paraId="519B3A93" w14:textId="77777777" w:rsidR="007843F3" w:rsidRPr="008E63BB" w:rsidRDefault="007843F3" w:rsidP="00FA1890">
            <w:pPr>
              <w:rPr>
                <w:b/>
                <w:bCs/>
                <w:sz w:val="24"/>
                <w:lang w:eastAsia="ja-JP"/>
              </w:rPr>
            </w:pPr>
          </w:p>
        </w:tc>
        <w:tc>
          <w:tcPr>
            <w:tcW w:w="1560" w:type="dxa"/>
            <w:vMerge/>
            <w:tcBorders>
              <w:top w:val="single" w:sz="4" w:space="0" w:color="auto"/>
              <w:left w:val="single" w:sz="4" w:space="0" w:color="auto"/>
              <w:bottom w:val="single" w:sz="4" w:space="0" w:color="auto"/>
              <w:right w:val="single" w:sz="4" w:space="0" w:color="auto"/>
            </w:tcBorders>
            <w:vAlign w:val="center"/>
          </w:tcPr>
          <w:p w14:paraId="519B3A94" w14:textId="77777777" w:rsidR="007843F3" w:rsidRPr="008E63BB" w:rsidRDefault="007843F3" w:rsidP="00FA1890">
            <w:pPr>
              <w:rPr>
                <w:b/>
                <w:bCs/>
                <w:sz w:val="24"/>
                <w:lang w:val="vi-VN" w:eastAsia="ja-JP"/>
              </w:rPr>
            </w:pPr>
          </w:p>
        </w:tc>
        <w:tc>
          <w:tcPr>
            <w:tcW w:w="3827" w:type="dxa"/>
            <w:tcBorders>
              <w:top w:val="single" w:sz="4" w:space="0" w:color="auto"/>
              <w:left w:val="single" w:sz="4" w:space="0" w:color="auto"/>
              <w:bottom w:val="single" w:sz="4" w:space="0" w:color="auto"/>
              <w:right w:val="single" w:sz="4" w:space="0" w:color="auto"/>
            </w:tcBorders>
            <w:vAlign w:val="center"/>
          </w:tcPr>
          <w:p w14:paraId="519B3A95"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b/>
                <w:bCs/>
                <w:lang w:val="pt-BR"/>
              </w:rPr>
            </w:pPr>
            <w:r w:rsidRPr="008E63BB">
              <w:rPr>
                <w:rFonts w:eastAsia="Times New Roman"/>
                <w:b/>
                <w:bCs/>
                <w:lang w:val="pt-BR"/>
              </w:rPr>
              <w:t>Công suất (kW)</w:t>
            </w:r>
          </w:p>
        </w:tc>
        <w:tc>
          <w:tcPr>
            <w:tcW w:w="3260" w:type="dxa"/>
            <w:tcBorders>
              <w:top w:val="single" w:sz="4" w:space="0" w:color="auto"/>
              <w:left w:val="single" w:sz="4" w:space="0" w:color="auto"/>
              <w:bottom w:val="single" w:sz="4" w:space="0" w:color="auto"/>
              <w:right w:val="single" w:sz="4" w:space="0" w:color="auto"/>
            </w:tcBorders>
            <w:vAlign w:val="center"/>
          </w:tcPr>
          <w:p w14:paraId="519B3A96" w14:textId="77777777" w:rsidR="007843F3" w:rsidRPr="008E63BB" w:rsidRDefault="007843F3" w:rsidP="00FA1890">
            <w:pPr>
              <w:pStyle w:val="msofootercxsplast"/>
              <w:tabs>
                <w:tab w:val="left" w:pos="720"/>
              </w:tabs>
              <w:spacing w:before="120" w:beforeAutospacing="0" w:after="0" w:afterAutospacing="0"/>
              <w:ind w:hanging="180"/>
              <w:jc w:val="center"/>
              <w:rPr>
                <w:rFonts w:eastAsia="Times New Roman"/>
                <w:b/>
                <w:bCs/>
                <w:lang w:val="pt-BR"/>
              </w:rPr>
            </w:pPr>
            <w:r w:rsidRPr="008E63BB">
              <w:rPr>
                <w:rFonts w:eastAsia="Times New Roman"/>
                <w:b/>
                <w:bCs/>
                <w:lang w:val="pt-BR"/>
              </w:rPr>
              <w:t>Công suất (kW)</w:t>
            </w:r>
          </w:p>
        </w:tc>
      </w:tr>
      <w:tr w:rsidR="007843F3" w:rsidRPr="008E63BB" w14:paraId="519B3A9E" w14:textId="77777777" w:rsidTr="00FA1890">
        <w:trPr>
          <w:trHeight w:val="300"/>
        </w:trPr>
        <w:tc>
          <w:tcPr>
            <w:tcW w:w="675" w:type="dxa"/>
            <w:tcBorders>
              <w:top w:val="single" w:sz="4" w:space="0" w:color="auto"/>
              <w:left w:val="single" w:sz="4" w:space="0" w:color="auto"/>
              <w:bottom w:val="single" w:sz="4" w:space="0" w:color="auto"/>
              <w:right w:val="single" w:sz="4" w:space="0" w:color="auto"/>
            </w:tcBorders>
            <w:vAlign w:val="center"/>
          </w:tcPr>
          <w:p w14:paraId="519B3A98" w14:textId="77777777" w:rsidR="007843F3" w:rsidRPr="008E63BB" w:rsidRDefault="007843F3" w:rsidP="00FA1890">
            <w:pPr>
              <w:pStyle w:val="Footer"/>
              <w:tabs>
                <w:tab w:val="left" w:pos="720"/>
              </w:tabs>
              <w:ind w:left="181" w:hanging="181"/>
              <w:contextualSpacing/>
              <w:jc w:val="center"/>
              <w:rPr>
                <w:lang w:val="pt-BR"/>
              </w:rPr>
            </w:pPr>
            <w:r w:rsidRPr="008E63BB">
              <w:rPr>
                <w:lang w:val="pt-BR"/>
              </w:rPr>
              <w:t>1</w:t>
            </w:r>
          </w:p>
        </w:tc>
        <w:tc>
          <w:tcPr>
            <w:tcW w:w="1560" w:type="dxa"/>
            <w:tcBorders>
              <w:top w:val="single" w:sz="4" w:space="0" w:color="auto"/>
              <w:left w:val="single" w:sz="4" w:space="0" w:color="auto"/>
              <w:bottom w:val="single" w:sz="4" w:space="0" w:color="auto"/>
              <w:right w:val="single" w:sz="4" w:space="0" w:color="auto"/>
            </w:tcBorders>
            <w:vAlign w:val="center"/>
          </w:tcPr>
          <w:p w14:paraId="519B3A99" w14:textId="77777777" w:rsidR="007843F3" w:rsidRPr="008E63BB" w:rsidRDefault="007843F3" w:rsidP="00FA1890">
            <w:pPr>
              <w:pStyle w:val="msofootercxspmiddle"/>
              <w:tabs>
                <w:tab w:val="left" w:pos="720"/>
              </w:tabs>
              <w:spacing w:before="120" w:beforeAutospacing="0" w:after="0" w:afterAutospacing="0"/>
              <w:ind w:left="181" w:hanging="181"/>
              <w:contextualSpacing/>
              <w:rPr>
                <w:rFonts w:eastAsia="Times New Roman"/>
                <w:lang w:val="pt-BR"/>
              </w:rPr>
            </w:pPr>
            <w:r w:rsidRPr="008E63BB">
              <w:rPr>
                <w:rFonts w:eastAsia="Times New Roman"/>
                <w:lang w:val="pt-BR"/>
              </w:rPr>
              <w:t xml:space="preserve">Dân dụng </w:t>
            </w:r>
          </w:p>
        </w:tc>
        <w:tc>
          <w:tcPr>
            <w:tcW w:w="3827" w:type="dxa"/>
            <w:tcBorders>
              <w:top w:val="single" w:sz="4" w:space="0" w:color="auto"/>
              <w:left w:val="single" w:sz="4" w:space="0" w:color="auto"/>
              <w:bottom w:val="single" w:sz="4" w:space="0" w:color="auto"/>
              <w:right w:val="single" w:sz="4" w:space="0" w:color="auto"/>
            </w:tcBorders>
            <w:vAlign w:val="bottom"/>
          </w:tcPr>
          <w:p w14:paraId="519B3A9A"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260000 (520000người x 500W/người)</w:t>
            </w:r>
          </w:p>
          <w:p w14:paraId="519B3A9B"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 xml:space="preserve"> x Kđt=0.7</w:t>
            </w:r>
          </w:p>
        </w:tc>
        <w:tc>
          <w:tcPr>
            <w:tcW w:w="3260" w:type="dxa"/>
            <w:tcBorders>
              <w:top w:val="single" w:sz="4" w:space="0" w:color="auto"/>
              <w:left w:val="single" w:sz="4" w:space="0" w:color="auto"/>
              <w:bottom w:val="single" w:sz="4" w:space="0" w:color="auto"/>
              <w:right w:val="single" w:sz="4" w:space="0" w:color="auto"/>
            </w:tcBorders>
            <w:vAlign w:val="bottom"/>
          </w:tcPr>
          <w:p w14:paraId="519B3A9C" w14:textId="77777777" w:rsidR="007843F3" w:rsidRPr="008E63BB" w:rsidRDefault="007843F3" w:rsidP="00FA1890">
            <w:pPr>
              <w:pStyle w:val="msofootercxsplast"/>
              <w:tabs>
                <w:tab w:val="left" w:pos="720"/>
              </w:tabs>
              <w:spacing w:before="120" w:beforeAutospacing="0" w:after="0" w:afterAutospacing="0"/>
              <w:ind w:left="181" w:hanging="181"/>
              <w:jc w:val="center"/>
              <w:rPr>
                <w:rFonts w:eastAsia="Times New Roman"/>
                <w:sz w:val="22"/>
                <w:szCs w:val="22"/>
                <w:lang w:val="pt-BR"/>
              </w:rPr>
            </w:pPr>
            <w:r w:rsidRPr="008E63BB">
              <w:rPr>
                <w:rFonts w:eastAsia="Times New Roman"/>
                <w:sz w:val="22"/>
                <w:szCs w:val="22"/>
                <w:lang w:val="pt-BR"/>
              </w:rPr>
              <w:t>450000(600000người x 750W/người)</w:t>
            </w:r>
          </w:p>
          <w:p w14:paraId="519B3A9D" w14:textId="77777777" w:rsidR="007843F3" w:rsidRPr="008E63BB" w:rsidRDefault="007843F3" w:rsidP="00FA1890">
            <w:pPr>
              <w:pStyle w:val="msofootercxsplast"/>
              <w:tabs>
                <w:tab w:val="left" w:pos="720"/>
              </w:tabs>
              <w:spacing w:before="120" w:beforeAutospacing="0" w:after="0" w:afterAutospacing="0"/>
              <w:ind w:left="181" w:hanging="181"/>
              <w:jc w:val="center"/>
              <w:rPr>
                <w:rFonts w:eastAsia="Times New Roman"/>
                <w:b/>
                <w:sz w:val="22"/>
                <w:szCs w:val="22"/>
                <w:lang w:val="pt-BR"/>
              </w:rPr>
            </w:pPr>
            <w:r w:rsidRPr="008E63BB">
              <w:rPr>
                <w:rFonts w:eastAsia="Times New Roman"/>
                <w:sz w:val="22"/>
                <w:szCs w:val="22"/>
                <w:lang w:val="pt-BR"/>
              </w:rPr>
              <w:t>x Kđt=0.7</w:t>
            </w:r>
          </w:p>
        </w:tc>
      </w:tr>
      <w:tr w:rsidR="007843F3" w:rsidRPr="008E63BB" w14:paraId="519B3AA5" w14:textId="77777777" w:rsidTr="00FA1890">
        <w:trPr>
          <w:trHeight w:val="372"/>
        </w:trPr>
        <w:tc>
          <w:tcPr>
            <w:tcW w:w="675" w:type="dxa"/>
            <w:tcBorders>
              <w:top w:val="single" w:sz="4" w:space="0" w:color="auto"/>
              <w:left w:val="single" w:sz="4" w:space="0" w:color="auto"/>
              <w:bottom w:val="single" w:sz="4" w:space="0" w:color="auto"/>
              <w:right w:val="single" w:sz="4" w:space="0" w:color="auto"/>
            </w:tcBorders>
            <w:vAlign w:val="center"/>
          </w:tcPr>
          <w:p w14:paraId="519B3A9F" w14:textId="77777777" w:rsidR="007843F3" w:rsidRPr="008E63BB" w:rsidRDefault="007843F3" w:rsidP="00FA1890">
            <w:pPr>
              <w:pStyle w:val="Footer"/>
              <w:tabs>
                <w:tab w:val="left" w:pos="720"/>
              </w:tabs>
              <w:ind w:left="181" w:hanging="181"/>
              <w:contextualSpacing/>
              <w:jc w:val="center"/>
              <w:rPr>
                <w:lang w:val="pt-BR"/>
              </w:rPr>
            </w:pPr>
            <w:r w:rsidRPr="008E63BB">
              <w:rPr>
                <w:lang w:val="pt-BR"/>
              </w:rPr>
              <w:t>2</w:t>
            </w:r>
          </w:p>
        </w:tc>
        <w:tc>
          <w:tcPr>
            <w:tcW w:w="1560" w:type="dxa"/>
            <w:tcBorders>
              <w:top w:val="single" w:sz="4" w:space="0" w:color="auto"/>
              <w:left w:val="single" w:sz="4" w:space="0" w:color="auto"/>
              <w:bottom w:val="single" w:sz="4" w:space="0" w:color="auto"/>
              <w:right w:val="single" w:sz="4" w:space="0" w:color="auto"/>
            </w:tcBorders>
            <w:vAlign w:val="center"/>
          </w:tcPr>
          <w:p w14:paraId="519B3AA0" w14:textId="77777777" w:rsidR="007843F3" w:rsidRPr="008E63BB" w:rsidRDefault="007843F3" w:rsidP="00FA1890">
            <w:pPr>
              <w:pStyle w:val="msofootercxspmiddle"/>
              <w:tabs>
                <w:tab w:val="left" w:pos="720"/>
              </w:tabs>
              <w:spacing w:before="120" w:beforeAutospacing="0" w:after="0" w:afterAutospacing="0"/>
              <w:ind w:left="181" w:hanging="181"/>
              <w:contextualSpacing/>
              <w:rPr>
                <w:rFonts w:eastAsia="Times New Roman"/>
                <w:lang w:val="pt-BR"/>
              </w:rPr>
            </w:pPr>
            <w:r w:rsidRPr="008E63BB">
              <w:rPr>
                <w:rFonts w:eastAsia="Times New Roman"/>
                <w:lang w:val="pt-BR"/>
              </w:rPr>
              <w:t>Công cộng</w:t>
            </w:r>
          </w:p>
        </w:tc>
        <w:tc>
          <w:tcPr>
            <w:tcW w:w="3827" w:type="dxa"/>
            <w:tcBorders>
              <w:top w:val="single" w:sz="4" w:space="0" w:color="auto"/>
              <w:left w:val="single" w:sz="4" w:space="0" w:color="auto"/>
              <w:bottom w:val="single" w:sz="4" w:space="0" w:color="auto"/>
              <w:right w:val="single" w:sz="4" w:space="0" w:color="auto"/>
            </w:tcBorders>
            <w:vAlign w:val="bottom"/>
          </w:tcPr>
          <w:p w14:paraId="519B3AA1"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104000 (=40% phụ tải dân dụng)</w:t>
            </w:r>
          </w:p>
          <w:p w14:paraId="519B3AA2"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x Kđt=0.8</w:t>
            </w:r>
          </w:p>
        </w:tc>
        <w:tc>
          <w:tcPr>
            <w:tcW w:w="3260" w:type="dxa"/>
            <w:tcBorders>
              <w:top w:val="single" w:sz="4" w:space="0" w:color="auto"/>
              <w:left w:val="single" w:sz="4" w:space="0" w:color="auto"/>
              <w:bottom w:val="single" w:sz="4" w:space="0" w:color="auto"/>
              <w:right w:val="single" w:sz="4" w:space="0" w:color="auto"/>
            </w:tcBorders>
            <w:vAlign w:val="bottom"/>
          </w:tcPr>
          <w:p w14:paraId="519B3AA3" w14:textId="77777777" w:rsidR="007843F3" w:rsidRPr="008E63BB" w:rsidRDefault="007843F3" w:rsidP="00FA1890">
            <w:pPr>
              <w:pStyle w:val="msofootercxsplast"/>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180000 (=40% phụ tải dân dụng)</w:t>
            </w:r>
          </w:p>
          <w:p w14:paraId="519B3AA4" w14:textId="77777777" w:rsidR="007843F3" w:rsidRPr="008E63BB" w:rsidRDefault="007843F3" w:rsidP="00FA1890">
            <w:pPr>
              <w:pStyle w:val="msofootercxsplast"/>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x Kđt=0.8</w:t>
            </w:r>
          </w:p>
        </w:tc>
      </w:tr>
      <w:tr w:rsidR="007843F3" w:rsidRPr="008E63BB" w14:paraId="519B3AAC" w14:textId="77777777" w:rsidTr="00FA1890">
        <w:tc>
          <w:tcPr>
            <w:tcW w:w="675" w:type="dxa"/>
            <w:tcBorders>
              <w:top w:val="single" w:sz="4" w:space="0" w:color="auto"/>
              <w:left w:val="single" w:sz="4" w:space="0" w:color="auto"/>
              <w:bottom w:val="single" w:sz="4" w:space="0" w:color="auto"/>
              <w:right w:val="single" w:sz="4" w:space="0" w:color="auto"/>
            </w:tcBorders>
            <w:vAlign w:val="center"/>
          </w:tcPr>
          <w:p w14:paraId="519B3AA6" w14:textId="77777777" w:rsidR="007843F3" w:rsidRPr="008E63BB" w:rsidRDefault="007843F3" w:rsidP="00FA1890">
            <w:pPr>
              <w:pStyle w:val="Footer"/>
              <w:tabs>
                <w:tab w:val="left" w:pos="720"/>
              </w:tabs>
              <w:ind w:left="181" w:hanging="181"/>
              <w:contextualSpacing/>
              <w:jc w:val="center"/>
              <w:rPr>
                <w:lang w:val="pt-BR"/>
              </w:rPr>
            </w:pPr>
            <w:r w:rsidRPr="008E63BB">
              <w:rPr>
                <w:lang w:val="pt-BR"/>
              </w:rPr>
              <w:t>3</w:t>
            </w:r>
          </w:p>
        </w:tc>
        <w:tc>
          <w:tcPr>
            <w:tcW w:w="1560" w:type="dxa"/>
            <w:tcBorders>
              <w:top w:val="single" w:sz="4" w:space="0" w:color="auto"/>
              <w:left w:val="single" w:sz="4" w:space="0" w:color="auto"/>
              <w:bottom w:val="single" w:sz="4" w:space="0" w:color="auto"/>
              <w:right w:val="single" w:sz="4" w:space="0" w:color="auto"/>
            </w:tcBorders>
            <w:vAlign w:val="center"/>
          </w:tcPr>
          <w:p w14:paraId="519B3AA7" w14:textId="77777777" w:rsidR="007843F3" w:rsidRPr="008E63BB" w:rsidRDefault="007843F3" w:rsidP="00FA1890">
            <w:pPr>
              <w:pStyle w:val="msofootercxspmiddle"/>
              <w:tabs>
                <w:tab w:val="left" w:pos="720"/>
              </w:tabs>
              <w:spacing w:before="120" w:beforeAutospacing="0" w:after="0" w:afterAutospacing="0"/>
              <w:ind w:left="181" w:hanging="181"/>
              <w:contextualSpacing/>
              <w:rPr>
                <w:rFonts w:eastAsia="Times New Roman"/>
                <w:lang w:val="pt-BR"/>
              </w:rPr>
            </w:pPr>
            <w:r w:rsidRPr="008E63BB">
              <w:rPr>
                <w:rFonts w:eastAsia="Times New Roman"/>
                <w:lang w:val="pt-BR"/>
              </w:rPr>
              <w:t>Công nghiệp</w:t>
            </w:r>
          </w:p>
        </w:tc>
        <w:tc>
          <w:tcPr>
            <w:tcW w:w="3827" w:type="dxa"/>
            <w:tcBorders>
              <w:top w:val="single" w:sz="4" w:space="0" w:color="auto"/>
              <w:left w:val="single" w:sz="4" w:space="0" w:color="auto"/>
              <w:bottom w:val="single" w:sz="4" w:space="0" w:color="auto"/>
              <w:right w:val="single" w:sz="4" w:space="0" w:color="auto"/>
            </w:tcBorders>
            <w:vAlign w:val="bottom"/>
          </w:tcPr>
          <w:p w14:paraId="519B3AA8"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309300 (1031ha x 300kW/ha)</w:t>
            </w:r>
          </w:p>
          <w:p w14:paraId="519B3AA9" w14:textId="77777777" w:rsidR="007843F3" w:rsidRPr="008E63BB" w:rsidRDefault="007843F3" w:rsidP="00FA1890">
            <w:pPr>
              <w:pStyle w:val="msofootercxspmiddle"/>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x Kđt=0.8</w:t>
            </w:r>
          </w:p>
        </w:tc>
        <w:tc>
          <w:tcPr>
            <w:tcW w:w="3260" w:type="dxa"/>
            <w:tcBorders>
              <w:top w:val="single" w:sz="4" w:space="0" w:color="auto"/>
              <w:left w:val="single" w:sz="4" w:space="0" w:color="auto"/>
              <w:bottom w:val="single" w:sz="4" w:space="0" w:color="auto"/>
              <w:right w:val="single" w:sz="4" w:space="0" w:color="auto"/>
            </w:tcBorders>
            <w:vAlign w:val="bottom"/>
          </w:tcPr>
          <w:p w14:paraId="519B3AAA" w14:textId="77777777" w:rsidR="007843F3" w:rsidRPr="008E63BB" w:rsidRDefault="007843F3" w:rsidP="00FA1890">
            <w:pPr>
              <w:pStyle w:val="msofootercxsplast"/>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330300 (1101ha x 300kW/ha)</w:t>
            </w:r>
          </w:p>
          <w:p w14:paraId="519B3AAB" w14:textId="77777777" w:rsidR="007843F3" w:rsidRPr="008E63BB" w:rsidRDefault="007843F3" w:rsidP="00FA1890">
            <w:pPr>
              <w:pStyle w:val="msofootercxsplast"/>
              <w:tabs>
                <w:tab w:val="left" w:pos="720"/>
              </w:tabs>
              <w:spacing w:before="120" w:beforeAutospacing="0" w:after="0" w:afterAutospacing="0"/>
              <w:ind w:hanging="180"/>
              <w:jc w:val="center"/>
              <w:rPr>
                <w:rFonts w:eastAsia="Times New Roman"/>
                <w:sz w:val="22"/>
                <w:szCs w:val="22"/>
                <w:lang w:val="pt-BR"/>
              </w:rPr>
            </w:pPr>
            <w:r w:rsidRPr="008E63BB">
              <w:rPr>
                <w:rFonts w:eastAsia="Times New Roman"/>
                <w:sz w:val="22"/>
                <w:szCs w:val="22"/>
                <w:lang w:val="pt-BR"/>
              </w:rPr>
              <w:t>x Kđt=0.8</w:t>
            </w:r>
          </w:p>
        </w:tc>
      </w:tr>
      <w:tr w:rsidR="007843F3" w:rsidRPr="008E63BB" w14:paraId="519B3AB0" w14:textId="77777777" w:rsidTr="00FA1890">
        <w:tc>
          <w:tcPr>
            <w:tcW w:w="2235" w:type="dxa"/>
            <w:gridSpan w:val="2"/>
            <w:tcBorders>
              <w:top w:val="single" w:sz="4" w:space="0" w:color="auto"/>
              <w:left w:val="single" w:sz="4" w:space="0" w:color="auto"/>
              <w:bottom w:val="single" w:sz="4" w:space="0" w:color="auto"/>
              <w:right w:val="single" w:sz="4" w:space="0" w:color="auto"/>
            </w:tcBorders>
            <w:vAlign w:val="center"/>
          </w:tcPr>
          <w:p w14:paraId="519B3AAD" w14:textId="77777777" w:rsidR="007843F3" w:rsidRPr="008E63BB" w:rsidRDefault="007843F3" w:rsidP="00FA1890">
            <w:pPr>
              <w:pStyle w:val="msofootercxspmiddle"/>
              <w:tabs>
                <w:tab w:val="left" w:pos="720"/>
              </w:tabs>
              <w:spacing w:before="120" w:beforeAutospacing="0" w:after="0" w:afterAutospacing="0"/>
              <w:ind w:left="181" w:hanging="181"/>
              <w:contextualSpacing/>
              <w:rPr>
                <w:rFonts w:eastAsia="Times New Roman"/>
                <w:b/>
                <w:bCs/>
                <w:lang w:val="pt-BR"/>
              </w:rPr>
            </w:pPr>
            <w:r w:rsidRPr="008E63BB">
              <w:rPr>
                <w:rFonts w:eastAsia="Times New Roman"/>
                <w:b/>
                <w:bCs/>
                <w:lang w:val="pt-BR"/>
              </w:rPr>
              <w:t>Tổng</w:t>
            </w:r>
          </w:p>
        </w:tc>
        <w:tc>
          <w:tcPr>
            <w:tcW w:w="3827" w:type="dxa"/>
            <w:tcBorders>
              <w:top w:val="single" w:sz="4" w:space="0" w:color="auto"/>
              <w:left w:val="single" w:sz="4" w:space="0" w:color="auto"/>
              <w:bottom w:val="single" w:sz="4" w:space="0" w:color="auto"/>
              <w:right w:val="single" w:sz="4" w:space="0" w:color="auto"/>
            </w:tcBorders>
            <w:vAlign w:val="center"/>
          </w:tcPr>
          <w:p w14:paraId="519B3AAE" w14:textId="77777777" w:rsidR="007843F3" w:rsidRPr="008E63BB" w:rsidRDefault="007843F3" w:rsidP="00FA1890">
            <w:pPr>
              <w:jc w:val="center"/>
              <w:rPr>
                <w:sz w:val="24"/>
                <w:szCs w:val="24"/>
              </w:rPr>
            </w:pPr>
            <w:r w:rsidRPr="008E63BB">
              <w:t>512640</w:t>
            </w:r>
          </w:p>
        </w:tc>
        <w:tc>
          <w:tcPr>
            <w:tcW w:w="3260" w:type="dxa"/>
            <w:tcBorders>
              <w:top w:val="single" w:sz="4" w:space="0" w:color="auto"/>
              <w:left w:val="single" w:sz="4" w:space="0" w:color="auto"/>
              <w:bottom w:val="single" w:sz="4" w:space="0" w:color="auto"/>
              <w:right w:val="single" w:sz="4" w:space="0" w:color="auto"/>
            </w:tcBorders>
            <w:vAlign w:val="center"/>
          </w:tcPr>
          <w:p w14:paraId="519B3AAF" w14:textId="77777777" w:rsidR="007843F3" w:rsidRPr="008E63BB" w:rsidRDefault="007843F3" w:rsidP="00FA1890">
            <w:pPr>
              <w:jc w:val="center"/>
              <w:rPr>
                <w:sz w:val="24"/>
                <w:szCs w:val="24"/>
              </w:rPr>
            </w:pPr>
            <w:r w:rsidRPr="008E63BB">
              <w:t>723240</w:t>
            </w:r>
          </w:p>
        </w:tc>
      </w:tr>
      <w:tr w:rsidR="007843F3" w:rsidRPr="008E63BB" w14:paraId="519B3AB4" w14:textId="77777777" w:rsidTr="00FA1890">
        <w:tc>
          <w:tcPr>
            <w:tcW w:w="2235" w:type="dxa"/>
            <w:gridSpan w:val="2"/>
            <w:tcBorders>
              <w:top w:val="single" w:sz="4" w:space="0" w:color="auto"/>
              <w:left w:val="single" w:sz="4" w:space="0" w:color="auto"/>
              <w:bottom w:val="single" w:sz="4" w:space="0" w:color="auto"/>
              <w:right w:val="single" w:sz="4" w:space="0" w:color="auto"/>
            </w:tcBorders>
            <w:vAlign w:val="center"/>
          </w:tcPr>
          <w:p w14:paraId="519B3AB1" w14:textId="77777777" w:rsidR="007843F3" w:rsidRPr="008E63BB" w:rsidRDefault="007843F3" w:rsidP="00FA1890">
            <w:pPr>
              <w:pStyle w:val="msofootercxspmiddle"/>
              <w:tabs>
                <w:tab w:val="left" w:pos="720"/>
              </w:tabs>
              <w:spacing w:before="120" w:beforeAutospacing="0" w:after="0" w:afterAutospacing="0"/>
              <w:ind w:left="181" w:hanging="181"/>
              <w:contextualSpacing/>
              <w:rPr>
                <w:rFonts w:eastAsia="Times New Roman"/>
                <w:b/>
                <w:bCs/>
                <w:lang w:val="pt-BR"/>
              </w:rPr>
            </w:pPr>
            <w:r w:rsidRPr="008E63BB">
              <w:rPr>
                <w:rFonts w:eastAsia="Times New Roman"/>
                <w:b/>
                <w:bCs/>
                <w:lang w:val="pt-BR"/>
              </w:rPr>
              <w:t>Tổng công suất yêu cầu trên thanh cái 110kV ( hệ số đồng thời = 0.8)</w:t>
            </w:r>
          </w:p>
        </w:tc>
        <w:tc>
          <w:tcPr>
            <w:tcW w:w="3827" w:type="dxa"/>
            <w:tcBorders>
              <w:top w:val="single" w:sz="4" w:space="0" w:color="auto"/>
              <w:left w:val="single" w:sz="4" w:space="0" w:color="auto"/>
              <w:bottom w:val="single" w:sz="4" w:space="0" w:color="auto"/>
              <w:right w:val="single" w:sz="4" w:space="0" w:color="auto"/>
            </w:tcBorders>
            <w:vAlign w:val="center"/>
          </w:tcPr>
          <w:p w14:paraId="519B3AB2" w14:textId="77777777" w:rsidR="007843F3" w:rsidRPr="008E63BB" w:rsidRDefault="007843F3" w:rsidP="00FA1890">
            <w:pPr>
              <w:jc w:val="center"/>
              <w:rPr>
                <w:b/>
                <w:bCs/>
                <w:sz w:val="24"/>
                <w:szCs w:val="24"/>
              </w:rPr>
            </w:pPr>
            <w:r w:rsidRPr="008E63BB">
              <w:rPr>
                <w:b/>
                <w:bCs/>
              </w:rPr>
              <w:t>410112</w:t>
            </w:r>
          </w:p>
        </w:tc>
        <w:tc>
          <w:tcPr>
            <w:tcW w:w="3260" w:type="dxa"/>
            <w:tcBorders>
              <w:top w:val="single" w:sz="4" w:space="0" w:color="auto"/>
              <w:left w:val="single" w:sz="4" w:space="0" w:color="auto"/>
              <w:bottom w:val="single" w:sz="4" w:space="0" w:color="auto"/>
              <w:right w:val="single" w:sz="4" w:space="0" w:color="auto"/>
            </w:tcBorders>
            <w:vAlign w:val="center"/>
          </w:tcPr>
          <w:p w14:paraId="519B3AB3" w14:textId="77777777" w:rsidR="007843F3" w:rsidRPr="008E63BB" w:rsidRDefault="007843F3" w:rsidP="00FA1890">
            <w:pPr>
              <w:jc w:val="center"/>
              <w:rPr>
                <w:b/>
                <w:bCs/>
                <w:sz w:val="24"/>
                <w:szCs w:val="24"/>
              </w:rPr>
            </w:pPr>
            <w:r w:rsidRPr="008E63BB">
              <w:rPr>
                <w:b/>
                <w:bCs/>
              </w:rPr>
              <w:t>578592</w:t>
            </w:r>
          </w:p>
        </w:tc>
      </w:tr>
    </w:tbl>
    <w:p w14:paraId="519B3AB5" w14:textId="77777777" w:rsidR="007843F3" w:rsidRPr="008E63BB" w:rsidRDefault="007843F3" w:rsidP="007843F3">
      <w:pPr>
        <w:ind w:firstLine="720"/>
        <w:rPr>
          <w:szCs w:val="26"/>
          <w:lang w:val="vi-VN"/>
        </w:rPr>
      </w:pPr>
      <w:r w:rsidRPr="008E63BB">
        <w:rPr>
          <w:szCs w:val="26"/>
          <w:lang w:val="vi-VN"/>
        </w:rPr>
        <w:t>Tổng nhu cầu dùng điện của khu vực nghiên cứu đến năm 20</w:t>
      </w:r>
      <w:r w:rsidRPr="008E63BB">
        <w:rPr>
          <w:szCs w:val="26"/>
        </w:rPr>
        <w:t>40</w:t>
      </w:r>
      <w:r w:rsidRPr="008E63BB">
        <w:rPr>
          <w:szCs w:val="26"/>
          <w:lang w:val="vi-VN"/>
        </w:rPr>
        <w:t xml:space="preserve"> là </w:t>
      </w:r>
      <w:r w:rsidRPr="008E63BB">
        <w:rPr>
          <w:szCs w:val="26"/>
          <w:lang w:val="pt-BR"/>
        </w:rPr>
        <w:t>578.6M</w:t>
      </w:r>
      <w:r w:rsidRPr="008E63BB">
        <w:rPr>
          <w:szCs w:val="26"/>
          <w:lang w:val="vi-VN"/>
        </w:rPr>
        <w:t xml:space="preserve">W, tương đương </w:t>
      </w:r>
      <w:r w:rsidRPr="008E63BB">
        <w:rPr>
          <w:szCs w:val="26"/>
          <w:lang w:val="pt-BR"/>
        </w:rPr>
        <w:t>642.9M</w:t>
      </w:r>
      <w:r w:rsidRPr="008E63BB">
        <w:rPr>
          <w:szCs w:val="26"/>
          <w:lang w:val="vi-VN"/>
        </w:rPr>
        <w:t>VA công suất biểu kiến(lấy hệ số Cos</w:t>
      </w:r>
      <w:r w:rsidRPr="008E63BB">
        <w:rPr>
          <w:szCs w:val="26"/>
          <w:lang w:val="vi-VN"/>
        </w:rPr>
        <w:sym w:font="Symbol" w:char="006A"/>
      </w:r>
      <w:r w:rsidRPr="008E63BB">
        <w:rPr>
          <w:szCs w:val="26"/>
          <w:lang w:val="vi-VN"/>
        </w:rPr>
        <w:t xml:space="preserve"> = 0,9).</w:t>
      </w:r>
    </w:p>
    <w:p w14:paraId="519B3AB6" w14:textId="77777777" w:rsidR="00207BFF" w:rsidRPr="008E63BB" w:rsidRDefault="00207BFF" w:rsidP="0065184D">
      <w:pPr>
        <w:rPr>
          <w:rFonts w:eastAsia="Times New Roman"/>
          <w:i/>
          <w:szCs w:val="26"/>
          <w:lang w:val="vi-VN"/>
        </w:rPr>
      </w:pPr>
      <w:r w:rsidRPr="008E63BB">
        <w:rPr>
          <w:rFonts w:eastAsia="Times New Roman"/>
          <w:i/>
          <w:szCs w:val="26"/>
          <w:lang w:val="vi-VN"/>
        </w:rPr>
        <w:t>b)  Phương án cấp điện.</w:t>
      </w:r>
    </w:p>
    <w:p w14:paraId="519B3AB7" w14:textId="77777777" w:rsidR="00207BFF" w:rsidRPr="008E63BB" w:rsidRDefault="00207BFF" w:rsidP="0065184D">
      <w:pPr>
        <w:rPr>
          <w:rFonts w:eastAsia="Times New Roman"/>
          <w:szCs w:val="26"/>
          <w:lang w:val="vi-VN"/>
        </w:rPr>
      </w:pPr>
      <w:r w:rsidRPr="008E63BB">
        <w:rPr>
          <w:rFonts w:eastAsia="Times New Roman"/>
          <w:szCs w:val="26"/>
          <w:lang w:val="vi-VN"/>
        </w:rPr>
        <w:t>b.1 Nguồn điện.</w:t>
      </w:r>
    </w:p>
    <w:p w14:paraId="519B3AB8" w14:textId="77777777" w:rsidR="00207BFF" w:rsidRPr="008E63BB" w:rsidRDefault="00207BFF" w:rsidP="0065184D">
      <w:pPr>
        <w:ind w:firstLine="720"/>
        <w:rPr>
          <w:rFonts w:eastAsia="Times New Roman"/>
          <w:szCs w:val="26"/>
          <w:lang w:val="vi-VN"/>
        </w:rPr>
      </w:pPr>
      <w:r w:rsidRPr="008E63BB">
        <w:rPr>
          <w:rFonts w:eastAsia="Times New Roman"/>
          <w:szCs w:val="26"/>
          <w:lang w:val="vi-VN"/>
        </w:rPr>
        <w:t xml:space="preserve">- Theo Quy hoạch phát triển điện lực tỉnh Nam Định giai đoạn 2016-2025đã được phê duyệt, sẽ xây dựng mới 2 trạm 110kV mới (phù hợp với quy hoạch) : </w:t>
      </w:r>
    </w:p>
    <w:p w14:paraId="519B3AB9" w14:textId="77777777" w:rsidR="007E65C8" w:rsidRPr="008E63BB" w:rsidRDefault="007E65C8" w:rsidP="007E65C8">
      <w:pPr>
        <w:ind w:firstLine="720"/>
        <w:rPr>
          <w:rFonts w:eastAsia="Times New Roman"/>
          <w:szCs w:val="26"/>
        </w:rPr>
      </w:pPr>
      <w:r w:rsidRPr="008E63BB">
        <w:rPr>
          <w:rFonts w:eastAsia="Times New Roman"/>
          <w:szCs w:val="26"/>
          <w:lang w:val="vi-VN"/>
        </w:rPr>
        <w:t xml:space="preserve">+ Trạm 110kV </w:t>
      </w:r>
      <w:r w:rsidRPr="008E63BB">
        <w:rPr>
          <w:rFonts w:eastAsia="Times New Roman"/>
          <w:szCs w:val="26"/>
        </w:rPr>
        <w:t>Nam Điền</w:t>
      </w:r>
      <w:r w:rsidRPr="008E63BB">
        <w:rPr>
          <w:rFonts w:eastAsia="Times New Roman"/>
          <w:szCs w:val="26"/>
          <w:lang w:val="vi-VN"/>
        </w:rPr>
        <w:t xml:space="preserve"> công suất </w:t>
      </w:r>
      <w:r w:rsidRPr="008E63BB">
        <w:rPr>
          <w:rFonts w:eastAsia="Times New Roman"/>
          <w:szCs w:val="26"/>
        </w:rPr>
        <w:t>40+63</w:t>
      </w:r>
      <w:r w:rsidRPr="008E63BB">
        <w:rPr>
          <w:rFonts w:eastAsia="Times New Roman"/>
          <w:szCs w:val="26"/>
          <w:lang w:val="vi-VN"/>
        </w:rPr>
        <w:t xml:space="preserve">MVA, cấp điện áp 110/35/22kV đặt tại </w:t>
      </w:r>
      <w:r w:rsidRPr="008E63BB">
        <w:rPr>
          <w:rFonts w:eastAsia="Times New Roman"/>
          <w:szCs w:val="26"/>
        </w:rPr>
        <w:t xml:space="preserve">xã Nam Toàn </w:t>
      </w:r>
      <w:r w:rsidRPr="008E63BB">
        <w:rPr>
          <w:rFonts w:eastAsia="Times New Roman"/>
          <w:szCs w:val="26"/>
          <w:lang w:val="vi-VN"/>
        </w:rPr>
        <w:t>.</w:t>
      </w:r>
      <w:r w:rsidRPr="008E63BB">
        <w:rPr>
          <w:rFonts w:eastAsia="Times New Roman"/>
          <w:szCs w:val="26"/>
        </w:rPr>
        <w:t xml:space="preserve"> Diện tích dự kiến 1ha.</w:t>
      </w:r>
    </w:p>
    <w:p w14:paraId="519B3ABA" w14:textId="77777777" w:rsidR="007E65C8" w:rsidRPr="008E63BB" w:rsidRDefault="007E65C8" w:rsidP="007E65C8">
      <w:pPr>
        <w:ind w:firstLine="720"/>
        <w:rPr>
          <w:rFonts w:eastAsia="Times New Roman"/>
          <w:szCs w:val="26"/>
        </w:rPr>
      </w:pPr>
      <w:r w:rsidRPr="008E63BB">
        <w:rPr>
          <w:rFonts w:eastAsia="Times New Roman"/>
          <w:szCs w:val="26"/>
          <w:lang w:val="vi-VN"/>
        </w:rPr>
        <w:t xml:space="preserve">+ Trạm 110kV </w:t>
      </w:r>
      <w:r w:rsidRPr="008E63BB">
        <w:rPr>
          <w:rFonts w:eastAsia="Times New Roman"/>
          <w:szCs w:val="26"/>
        </w:rPr>
        <w:t>Mỹ Trung</w:t>
      </w:r>
      <w:r w:rsidRPr="008E63BB">
        <w:rPr>
          <w:rFonts w:eastAsia="Times New Roman"/>
          <w:szCs w:val="26"/>
          <w:lang w:val="vi-VN"/>
        </w:rPr>
        <w:t xml:space="preserve"> công suất 2x63MVA, điện áp 110/35/22kV dự kiến vị trí đặt trạm </w:t>
      </w:r>
      <w:r w:rsidRPr="008E63BB">
        <w:rPr>
          <w:rFonts w:eastAsia="Times New Roman"/>
          <w:szCs w:val="26"/>
        </w:rPr>
        <w:t>tại KCN Mỹ Trung</w:t>
      </w:r>
      <w:r w:rsidRPr="008E63BB">
        <w:rPr>
          <w:rFonts w:eastAsia="Times New Roman"/>
          <w:i/>
          <w:szCs w:val="26"/>
          <w:lang w:val="vi-VN"/>
        </w:rPr>
        <w:t>(chi tiết xem bản vẽ cấp điện).</w:t>
      </w:r>
      <w:r w:rsidRPr="008E63BB">
        <w:rPr>
          <w:rFonts w:eastAsia="Times New Roman"/>
          <w:szCs w:val="26"/>
        </w:rPr>
        <w:t xml:space="preserve"> Diện tích dự kiến 1ha.</w:t>
      </w:r>
    </w:p>
    <w:p w14:paraId="519B3ABB" w14:textId="77777777" w:rsidR="007E65C8" w:rsidRPr="008E63BB" w:rsidRDefault="007E65C8" w:rsidP="007E65C8">
      <w:pPr>
        <w:ind w:firstLine="720"/>
        <w:rPr>
          <w:rFonts w:eastAsia="Times New Roman"/>
          <w:szCs w:val="26"/>
        </w:rPr>
      </w:pPr>
      <w:r w:rsidRPr="008E63BB">
        <w:rPr>
          <w:rFonts w:eastAsia="Times New Roman"/>
          <w:szCs w:val="26"/>
        </w:rPr>
        <w:lastRenderedPageBreak/>
        <w:t>+ Trạm 110kV Hiển Khánh công suất 2x40MVA cấp điện cho các khu, cụm công nghiệp và dân dụng phía Tây Bắc Thành Phố.</w:t>
      </w:r>
    </w:p>
    <w:p w14:paraId="519B3ABC" w14:textId="77777777" w:rsidR="007E65C8" w:rsidRPr="008E63BB" w:rsidRDefault="007E65C8" w:rsidP="007E65C8">
      <w:pPr>
        <w:ind w:firstLine="720"/>
        <w:rPr>
          <w:rFonts w:eastAsia="Times New Roman"/>
          <w:szCs w:val="26"/>
        </w:rPr>
      </w:pPr>
      <w:r w:rsidRPr="008E63BB">
        <w:rPr>
          <w:rFonts w:eastAsia="Times New Roman"/>
          <w:szCs w:val="26"/>
        </w:rPr>
        <w:t>+ Trạm 110kV Nam Vân công suất 2x63MVA  cấp điện cho các khu đô thị, chức năng phía Đông Thành Phố.</w:t>
      </w:r>
    </w:p>
    <w:p w14:paraId="519B3ABD" w14:textId="77777777" w:rsidR="007843F3" w:rsidRPr="008E63BB" w:rsidRDefault="007E65C8" w:rsidP="007E65C8">
      <w:pPr>
        <w:ind w:firstLine="720"/>
        <w:rPr>
          <w:rFonts w:eastAsia="Times New Roman"/>
          <w:szCs w:val="26"/>
        </w:rPr>
      </w:pPr>
      <w:r w:rsidRPr="008E63BB">
        <w:rPr>
          <w:rFonts w:eastAsia="Times New Roman"/>
          <w:szCs w:val="26"/>
        </w:rPr>
        <w:t xml:space="preserve">- Ngoài ra </w:t>
      </w:r>
      <w:r w:rsidRPr="008E63BB">
        <w:rPr>
          <w:sz w:val="28"/>
          <w:szCs w:val="28"/>
        </w:rPr>
        <w:t>thay máy nâng công suất 4 trạm 110kV hiện có, lộ trình tuân thủ Quy hoạch phát triển điện lực tỉnh Nam Định giai đoạn 2016-2025 đã được phê duyệt.</w:t>
      </w:r>
      <w:r w:rsidR="007843F3" w:rsidRPr="008E63BB">
        <w:rPr>
          <w:i/>
          <w:sz w:val="28"/>
          <w:szCs w:val="28"/>
        </w:rPr>
        <w:t>(cụ thể dưới bảng 4)</w:t>
      </w:r>
    </w:p>
    <w:p w14:paraId="519B3ABE" w14:textId="77777777" w:rsidR="007843F3" w:rsidRPr="008E63BB" w:rsidRDefault="007843F3" w:rsidP="007843F3">
      <w:pPr>
        <w:spacing w:before="60" w:line="24" w:lineRule="atLeast"/>
        <w:ind w:firstLine="720"/>
        <w:rPr>
          <w:rFonts w:eastAsia="Times New Roman"/>
          <w:i/>
          <w:szCs w:val="26"/>
          <w:lang w:val="vi-VN"/>
        </w:rPr>
      </w:pPr>
      <w:r w:rsidRPr="008E63BB">
        <w:rPr>
          <w:rFonts w:eastAsia="Times New Roman"/>
          <w:i/>
          <w:szCs w:val="26"/>
          <w:lang w:val="vi-VN"/>
        </w:rPr>
        <w:t xml:space="preserve">Bảng 4: Thống kê trạm giảm áp chính </w:t>
      </w:r>
      <w:r w:rsidRPr="008E63BB">
        <w:rPr>
          <w:rFonts w:eastAsia="Times New Roman"/>
          <w:i/>
          <w:szCs w:val="26"/>
          <w:lang w:val="pl-PL"/>
        </w:rPr>
        <w:sym w:font="Symbol" w:char="F026"/>
      </w:r>
      <w:r w:rsidRPr="008E63BB">
        <w:rPr>
          <w:rFonts w:eastAsia="Times New Roman"/>
          <w:i/>
          <w:szCs w:val="26"/>
          <w:lang w:val="vi-VN"/>
        </w:rPr>
        <w:t xml:space="preserve"> cân bằng công suất.</w:t>
      </w:r>
    </w:p>
    <w:tbl>
      <w:tblPr>
        <w:tblW w:w="9090" w:type="dxa"/>
        <w:tblInd w:w="108" w:type="dxa"/>
        <w:tblLayout w:type="fixed"/>
        <w:tblLook w:val="0000" w:firstRow="0" w:lastRow="0" w:firstColumn="0" w:lastColumn="0" w:noHBand="0" w:noVBand="0"/>
      </w:tblPr>
      <w:tblGrid>
        <w:gridCol w:w="540"/>
        <w:gridCol w:w="3330"/>
        <w:gridCol w:w="1710"/>
        <w:gridCol w:w="1800"/>
        <w:gridCol w:w="1710"/>
      </w:tblGrid>
      <w:tr w:rsidR="007843F3" w:rsidRPr="008E63BB" w14:paraId="519B3AC3" w14:textId="77777777" w:rsidTr="00FA1890">
        <w:trPr>
          <w:trHeight w:val="296"/>
        </w:trPr>
        <w:tc>
          <w:tcPr>
            <w:tcW w:w="540" w:type="dxa"/>
            <w:vMerge w:val="restart"/>
            <w:tcBorders>
              <w:top w:val="single" w:sz="6" w:space="0" w:color="auto"/>
              <w:left w:val="single" w:sz="6" w:space="0" w:color="auto"/>
              <w:right w:val="single" w:sz="6" w:space="0" w:color="auto"/>
            </w:tcBorders>
            <w:vAlign w:val="center"/>
          </w:tcPr>
          <w:p w14:paraId="519B3ABF"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TT</w:t>
            </w:r>
          </w:p>
        </w:tc>
        <w:tc>
          <w:tcPr>
            <w:tcW w:w="3330" w:type="dxa"/>
            <w:vMerge w:val="restart"/>
            <w:tcBorders>
              <w:top w:val="single" w:sz="6" w:space="0" w:color="auto"/>
              <w:left w:val="single" w:sz="6" w:space="0" w:color="auto"/>
              <w:right w:val="single" w:sz="6" w:space="0" w:color="auto"/>
            </w:tcBorders>
            <w:vAlign w:val="center"/>
          </w:tcPr>
          <w:p w14:paraId="519B3AC0" w14:textId="77777777" w:rsidR="007843F3" w:rsidRPr="008E63BB" w:rsidRDefault="007843F3" w:rsidP="00FA1890">
            <w:pPr>
              <w:autoSpaceDE w:val="0"/>
              <w:autoSpaceDN w:val="0"/>
              <w:adjustRightInd w:val="0"/>
              <w:spacing w:before="60" w:line="24" w:lineRule="atLeast"/>
              <w:rPr>
                <w:szCs w:val="26"/>
              </w:rPr>
            </w:pPr>
            <w:r w:rsidRPr="008E63BB">
              <w:rPr>
                <w:szCs w:val="26"/>
              </w:rPr>
              <w:t xml:space="preserve">Tên trạm </w:t>
            </w:r>
          </w:p>
        </w:tc>
        <w:tc>
          <w:tcPr>
            <w:tcW w:w="3510" w:type="dxa"/>
            <w:gridSpan w:val="2"/>
            <w:tcBorders>
              <w:top w:val="single" w:sz="6" w:space="0" w:color="auto"/>
              <w:left w:val="single" w:sz="6" w:space="0" w:color="auto"/>
              <w:bottom w:val="single" w:sz="6" w:space="0" w:color="auto"/>
              <w:right w:val="single" w:sz="6" w:space="0" w:color="auto"/>
            </w:tcBorders>
            <w:vAlign w:val="center"/>
          </w:tcPr>
          <w:p w14:paraId="519B3AC1"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Công suất MBA chính (MVA)</w:t>
            </w:r>
          </w:p>
        </w:tc>
        <w:tc>
          <w:tcPr>
            <w:tcW w:w="1710" w:type="dxa"/>
            <w:tcBorders>
              <w:top w:val="single" w:sz="6" w:space="0" w:color="auto"/>
              <w:left w:val="single" w:sz="6" w:space="0" w:color="auto"/>
              <w:right w:val="single" w:sz="6" w:space="0" w:color="auto"/>
            </w:tcBorders>
            <w:vAlign w:val="center"/>
          </w:tcPr>
          <w:p w14:paraId="519B3AC2"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Ghi chú</w:t>
            </w:r>
          </w:p>
        </w:tc>
      </w:tr>
      <w:tr w:rsidR="007843F3" w:rsidRPr="008E63BB" w14:paraId="519B3AC9" w14:textId="77777777" w:rsidTr="00FA1890">
        <w:trPr>
          <w:trHeight w:val="296"/>
        </w:trPr>
        <w:tc>
          <w:tcPr>
            <w:tcW w:w="540" w:type="dxa"/>
            <w:vMerge/>
            <w:tcBorders>
              <w:left w:val="single" w:sz="6" w:space="0" w:color="auto"/>
              <w:bottom w:val="single" w:sz="6" w:space="0" w:color="auto"/>
              <w:right w:val="single" w:sz="6" w:space="0" w:color="auto"/>
            </w:tcBorders>
            <w:vAlign w:val="center"/>
          </w:tcPr>
          <w:p w14:paraId="519B3AC4" w14:textId="77777777" w:rsidR="007843F3" w:rsidRPr="008E63BB" w:rsidRDefault="007843F3" w:rsidP="00FA1890">
            <w:pPr>
              <w:autoSpaceDE w:val="0"/>
              <w:autoSpaceDN w:val="0"/>
              <w:adjustRightInd w:val="0"/>
              <w:spacing w:before="60" w:line="24" w:lineRule="atLeast"/>
              <w:jc w:val="center"/>
              <w:rPr>
                <w:szCs w:val="26"/>
              </w:rPr>
            </w:pPr>
          </w:p>
        </w:tc>
        <w:tc>
          <w:tcPr>
            <w:tcW w:w="3330" w:type="dxa"/>
            <w:vMerge/>
            <w:tcBorders>
              <w:left w:val="single" w:sz="6" w:space="0" w:color="auto"/>
              <w:bottom w:val="single" w:sz="6" w:space="0" w:color="auto"/>
              <w:right w:val="single" w:sz="6" w:space="0" w:color="auto"/>
            </w:tcBorders>
            <w:vAlign w:val="center"/>
          </w:tcPr>
          <w:p w14:paraId="519B3AC5" w14:textId="77777777" w:rsidR="007843F3" w:rsidRPr="008E63BB" w:rsidRDefault="007843F3" w:rsidP="00FA1890">
            <w:pPr>
              <w:autoSpaceDE w:val="0"/>
              <w:autoSpaceDN w:val="0"/>
              <w:adjustRightInd w:val="0"/>
              <w:spacing w:before="60" w:line="24" w:lineRule="atLeast"/>
              <w:rPr>
                <w:szCs w:val="26"/>
              </w:rPr>
            </w:pPr>
          </w:p>
        </w:tc>
        <w:tc>
          <w:tcPr>
            <w:tcW w:w="1710" w:type="dxa"/>
            <w:tcBorders>
              <w:top w:val="single" w:sz="6" w:space="0" w:color="auto"/>
              <w:left w:val="single" w:sz="6" w:space="0" w:color="auto"/>
              <w:bottom w:val="single" w:sz="6" w:space="0" w:color="auto"/>
              <w:right w:val="single" w:sz="6" w:space="0" w:color="auto"/>
            </w:tcBorders>
            <w:vAlign w:val="center"/>
          </w:tcPr>
          <w:p w14:paraId="519B3AC6" w14:textId="77777777" w:rsidR="007843F3" w:rsidRPr="008E63BB" w:rsidRDefault="007843F3" w:rsidP="00FA1890">
            <w:pPr>
              <w:autoSpaceDE w:val="0"/>
              <w:autoSpaceDN w:val="0"/>
              <w:adjustRightInd w:val="0"/>
              <w:spacing w:before="60" w:line="24" w:lineRule="atLeast"/>
              <w:rPr>
                <w:szCs w:val="26"/>
              </w:rPr>
            </w:pPr>
            <w:r w:rsidRPr="008E63BB">
              <w:rPr>
                <w:szCs w:val="26"/>
              </w:rPr>
              <w:t>Hiện trạng</w:t>
            </w:r>
          </w:p>
        </w:tc>
        <w:tc>
          <w:tcPr>
            <w:tcW w:w="1800" w:type="dxa"/>
            <w:tcBorders>
              <w:top w:val="single" w:sz="6" w:space="0" w:color="auto"/>
              <w:left w:val="single" w:sz="6" w:space="0" w:color="auto"/>
              <w:bottom w:val="single" w:sz="6" w:space="0" w:color="auto"/>
              <w:right w:val="single" w:sz="6" w:space="0" w:color="auto"/>
            </w:tcBorders>
            <w:vAlign w:val="center"/>
          </w:tcPr>
          <w:p w14:paraId="519B3AC7"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2040</w:t>
            </w:r>
          </w:p>
        </w:tc>
        <w:tc>
          <w:tcPr>
            <w:tcW w:w="1710" w:type="dxa"/>
            <w:tcBorders>
              <w:left w:val="single" w:sz="6" w:space="0" w:color="auto"/>
              <w:bottom w:val="single" w:sz="6" w:space="0" w:color="auto"/>
              <w:right w:val="single" w:sz="6" w:space="0" w:color="auto"/>
            </w:tcBorders>
            <w:vAlign w:val="center"/>
          </w:tcPr>
          <w:p w14:paraId="519B3AC8" w14:textId="77777777" w:rsidR="007843F3" w:rsidRPr="008E63BB" w:rsidRDefault="007843F3" w:rsidP="00FA1890">
            <w:pPr>
              <w:autoSpaceDE w:val="0"/>
              <w:autoSpaceDN w:val="0"/>
              <w:adjustRightInd w:val="0"/>
              <w:spacing w:before="60" w:line="24" w:lineRule="atLeast"/>
              <w:jc w:val="center"/>
              <w:rPr>
                <w:szCs w:val="26"/>
              </w:rPr>
            </w:pPr>
          </w:p>
        </w:tc>
      </w:tr>
      <w:tr w:rsidR="007843F3" w:rsidRPr="008E63BB" w14:paraId="519B3ACF" w14:textId="77777777" w:rsidTr="00FA1890">
        <w:trPr>
          <w:trHeight w:val="296"/>
        </w:trPr>
        <w:tc>
          <w:tcPr>
            <w:tcW w:w="540" w:type="dxa"/>
            <w:tcBorders>
              <w:top w:val="single" w:sz="6" w:space="0" w:color="auto"/>
              <w:left w:val="single" w:sz="6" w:space="0" w:color="auto"/>
              <w:bottom w:val="single" w:sz="6" w:space="0" w:color="auto"/>
              <w:right w:val="single" w:sz="6" w:space="0" w:color="auto"/>
            </w:tcBorders>
            <w:vAlign w:val="center"/>
          </w:tcPr>
          <w:p w14:paraId="519B3ACA" w14:textId="77777777" w:rsidR="007843F3" w:rsidRPr="008E63BB" w:rsidRDefault="007843F3" w:rsidP="00FA1890">
            <w:pPr>
              <w:autoSpaceDE w:val="0"/>
              <w:autoSpaceDN w:val="0"/>
              <w:adjustRightInd w:val="0"/>
              <w:spacing w:before="60" w:line="24" w:lineRule="atLeast"/>
              <w:jc w:val="center"/>
              <w:rPr>
                <w:b/>
                <w:szCs w:val="26"/>
              </w:rPr>
            </w:pPr>
            <w:r w:rsidRPr="008E63BB">
              <w:rPr>
                <w:b/>
                <w:szCs w:val="26"/>
              </w:rPr>
              <w:t>I</w:t>
            </w:r>
          </w:p>
        </w:tc>
        <w:tc>
          <w:tcPr>
            <w:tcW w:w="3330" w:type="dxa"/>
            <w:tcBorders>
              <w:top w:val="single" w:sz="6" w:space="0" w:color="auto"/>
              <w:left w:val="single" w:sz="6" w:space="0" w:color="auto"/>
              <w:bottom w:val="single" w:sz="6" w:space="0" w:color="auto"/>
              <w:right w:val="single" w:sz="6" w:space="0" w:color="auto"/>
            </w:tcBorders>
            <w:vAlign w:val="center"/>
          </w:tcPr>
          <w:p w14:paraId="519B3ACB" w14:textId="77777777" w:rsidR="007843F3" w:rsidRPr="008E63BB" w:rsidRDefault="007843F3" w:rsidP="00FA1890">
            <w:pPr>
              <w:autoSpaceDE w:val="0"/>
              <w:autoSpaceDN w:val="0"/>
              <w:adjustRightInd w:val="0"/>
              <w:spacing w:before="60" w:line="24" w:lineRule="atLeast"/>
              <w:rPr>
                <w:b/>
                <w:szCs w:val="26"/>
                <w:lang w:val="sv-SE"/>
              </w:rPr>
            </w:pPr>
            <w:r w:rsidRPr="008E63BB">
              <w:rPr>
                <w:b/>
                <w:szCs w:val="26"/>
                <w:lang w:val="sv-SE"/>
              </w:rPr>
              <w:t>Trạm 220kV Nam Định</w:t>
            </w:r>
          </w:p>
        </w:tc>
        <w:tc>
          <w:tcPr>
            <w:tcW w:w="1710" w:type="dxa"/>
            <w:tcBorders>
              <w:top w:val="single" w:sz="6" w:space="0" w:color="auto"/>
              <w:left w:val="single" w:sz="6" w:space="0" w:color="auto"/>
              <w:bottom w:val="single" w:sz="6" w:space="0" w:color="auto"/>
              <w:right w:val="single" w:sz="6" w:space="0" w:color="auto"/>
            </w:tcBorders>
            <w:vAlign w:val="center"/>
          </w:tcPr>
          <w:p w14:paraId="519B3ACC" w14:textId="77777777" w:rsidR="007843F3" w:rsidRPr="008E63BB" w:rsidRDefault="007843F3" w:rsidP="00FA1890">
            <w:pPr>
              <w:spacing w:before="60" w:line="24" w:lineRule="atLeast"/>
              <w:jc w:val="center"/>
              <w:rPr>
                <w:b/>
                <w:szCs w:val="26"/>
              </w:rPr>
            </w:pPr>
            <w:r w:rsidRPr="008E63BB">
              <w:rPr>
                <w:b/>
                <w:szCs w:val="26"/>
              </w:rPr>
              <w:t>2x250</w:t>
            </w:r>
          </w:p>
        </w:tc>
        <w:tc>
          <w:tcPr>
            <w:tcW w:w="1800" w:type="dxa"/>
            <w:tcBorders>
              <w:top w:val="single" w:sz="6" w:space="0" w:color="auto"/>
              <w:left w:val="single" w:sz="6" w:space="0" w:color="auto"/>
              <w:bottom w:val="single" w:sz="6" w:space="0" w:color="auto"/>
              <w:right w:val="single" w:sz="6" w:space="0" w:color="auto"/>
            </w:tcBorders>
            <w:vAlign w:val="center"/>
          </w:tcPr>
          <w:p w14:paraId="519B3ACD" w14:textId="77777777" w:rsidR="007843F3" w:rsidRPr="008E63BB" w:rsidRDefault="007843F3" w:rsidP="00FA1890">
            <w:pPr>
              <w:spacing w:before="60" w:line="24" w:lineRule="atLeast"/>
              <w:jc w:val="center"/>
              <w:rPr>
                <w:b/>
                <w:szCs w:val="26"/>
              </w:rPr>
            </w:pPr>
            <w:r w:rsidRPr="008E63BB">
              <w:rPr>
                <w:b/>
                <w:szCs w:val="26"/>
              </w:rPr>
              <w:t>2x250</w:t>
            </w:r>
          </w:p>
        </w:tc>
        <w:tc>
          <w:tcPr>
            <w:tcW w:w="1710" w:type="dxa"/>
            <w:tcBorders>
              <w:top w:val="single" w:sz="6" w:space="0" w:color="auto"/>
              <w:left w:val="single" w:sz="6" w:space="0" w:color="auto"/>
              <w:bottom w:val="single" w:sz="6" w:space="0" w:color="auto"/>
              <w:right w:val="single" w:sz="6" w:space="0" w:color="auto"/>
            </w:tcBorders>
            <w:vAlign w:val="center"/>
          </w:tcPr>
          <w:p w14:paraId="519B3ACE" w14:textId="77777777" w:rsidR="007843F3" w:rsidRPr="008E63BB" w:rsidRDefault="007843F3" w:rsidP="00FA1890">
            <w:pPr>
              <w:spacing w:before="60" w:line="24" w:lineRule="atLeast"/>
              <w:jc w:val="center"/>
              <w:rPr>
                <w:szCs w:val="26"/>
              </w:rPr>
            </w:pPr>
            <w:r w:rsidRPr="008E63BB">
              <w:rPr>
                <w:szCs w:val="26"/>
              </w:rPr>
              <w:t>Hiện trạng</w:t>
            </w:r>
          </w:p>
        </w:tc>
      </w:tr>
      <w:tr w:rsidR="007843F3" w:rsidRPr="008E63BB" w14:paraId="519B3AD5" w14:textId="77777777" w:rsidTr="00FA1890">
        <w:trPr>
          <w:trHeight w:val="296"/>
        </w:trPr>
        <w:tc>
          <w:tcPr>
            <w:tcW w:w="540" w:type="dxa"/>
            <w:tcBorders>
              <w:top w:val="single" w:sz="6" w:space="0" w:color="auto"/>
              <w:left w:val="single" w:sz="6" w:space="0" w:color="auto"/>
              <w:bottom w:val="dotted" w:sz="4" w:space="0" w:color="auto"/>
              <w:right w:val="single" w:sz="6" w:space="0" w:color="auto"/>
            </w:tcBorders>
            <w:vAlign w:val="center"/>
          </w:tcPr>
          <w:p w14:paraId="519B3AD0" w14:textId="77777777" w:rsidR="007843F3" w:rsidRPr="008E63BB" w:rsidRDefault="007843F3" w:rsidP="00FA1890">
            <w:pPr>
              <w:autoSpaceDE w:val="0"/>
              <w:autoSpaceDN w:val="0"/>
              <w:adjustRightInd w:val="0"/>
              <w:spacing w:before="60" w:line="24" w:lineRule="atLeast"/>
              <w:jc w:val="center"/>
              <w:rPr>
                <w:b/>
                <w:szCs w:val="26"/>
              </w:rPr>
            </w:pPr>
            <w:r w:rsidRPr="008E63BB">
              <w:rPr>
                <w:b/>
                <w:szCs w:val="26"/>
              </w:rPr>
              <w:t>II</w:t>
            </w:r>
          </w:p>
        </w:tc>
        <w:tc>
          <w:tcPr>
            <w:tcW w:w="3330" w:type="dxa"/>
            <w:tcBorders>
              <w:top w:val="single" w:sz="6" w:space="0" w:color="auto"/>
              <w:left w:val="single" w:sz="6" w:space="0" w:color="auto"/>
              <w:bottom w:val="dotted" w:sz="4" w:space="0" w:color="auto"/>
              <w:right w:val="single" w:sz="6" w:space="0" w:color="auto"/>
            </w:tcBorders>
            <w:vAlign w:val="center"/>
          </w:tcPr>
          <w:p w14:paraId="519B3AD1" w14:textId="77777777" w:rsidR="007843F3" w:rsidRPr="008E63BB" w:rsidRDefault="007843F3" w:rsidP="00FA1890">
            <w:pPr>
              <w:autoSpaceDE w:val="0"/>
              <w:autoSpaceDN w:val="0"/>
              <w:adjustRightInd w:val="0"/>
              <w:spacing w:before="60" w:line="24" w:lineRule="atLeast"/>
              <w:rPr>
                <w:b/>
                <w:szCs w:val="26"/>
                <w:lang w:val="sv-SE"/>
              </w:rPr>
            </w:pPr>
            <w:r w:rsidRPr="008E63BB">
              <w:rPr>
                <w:b/>
                <w:szCs w:val="26"/>
                <w:lang w:val="sv-SE"/>
              </w:rPr>
              <w:t>Trạm 110kV</w:t>
            </w:r>
          </w:p>
        </w:tc>
        <w:tc>
          <w:tcPr>
            <w:tcW w:w="1710" w:type="dxa"/>
            <w:tcBorders>
              <w:top w:val="single" w:sz="6" w:space="0" w:color="auto"/>
              <w:left w:val="single" w:sz="6" w:space="0" w:color="auto"/>
              <w:bottom w:val="dotted" w:sz="4" w:space="0" w:color="auto"/>
              <w:right w:val="single" w:sz="6" w:space="0" w:color="auto"/>
            </w:tcBorders>
            <w:vAlign w:val="center"/>
          </w:tcPr>
          <w:p w14:paraId="519B3AD2" w14:textId="77777777" w:rsidR="007843F3" w:rsidRPr="008E63BB" w:rsidRDefault="007843F3" w:rsidP="00FA1890">
            <w:pPr>
              <w:spacing w:before="60" w:line="24" w:lineRule="atLeast"/>
              <w:jc w:val="center"/>
              <w:rPr>
                <w:b/>
                <w:szCs w:val="26"/>
              </w:rPr>
            </w:pPr>
          </w:p>
        </w:tc>
        <w:tc>
          <w:tcPr>
            <w:tcW w:w="1800" w:type="dxa"/>
            <w:tcBorders>
              <w:top w:val="single" w:sz="6" w:space="0" w:color="auto"/>
              <w:left w:val="single" w:sz="6" w:space="0" w:color="auto"/>
              <w:bottom w:val="dotted" w:sz="4" w:space="0" w:color="auto"/>
              <w:right w:val="single" w:sz="6" w:space="0" w:color="auto"/>
            </w:tcBorders>
            <w:vAlign w:val="center"/>
          </w:tcPr>
          <w:p w14:paraId="519B3AD3" w14:textId="77777777" w:rsidR="007843F3" w:rsidRPr="008E63BB" w:rsidRDefault="007843F3" w:rsidP="00FA1890">
            <w:pPr>
              <w:spacing w:before="60" w:line="24" w:lineRule="atLeast"/>
              <w:jc w:val="center"/>
              <w:rPr>
                <w:b/>
                <w:szCs w:val="26"/>
              </w:rPr>
            </w:pPr>
          </w:p>
        </w:tc>
        <w:tc>
          <w:tcPr>
            <w:tcW w:w="1710" w:type="dxa"/>
            <w:tcBorders>
              <w:top w:val="single" w:sz="6" w:space="0" w:color="auto"/>
              <w:left w:val="single" w:sz="6" w:space="0" w:color="auto"/>
              <w:bottom w:val="dotted" w:sz="4" w:space="0" w:color="auto"/>
              <w:right w:val="single" w:sz="6" w:space="0" w:color="auto"/>
            </w:tcBorders>
            <w:vAlign w:val="center"/>
          </w:tcPr>
          <w:p w14:paraId="519B3AD4" w14:textId="77777777" w:rsidR="007843F3" w:rsidRPr="008E63BB" w:rsidRDefault="007843F3" w:rsidP="00FA1890">
            <w:pPr>
              <w:spacing w:before="60" w:line="24" w:lineRule="atLeast"/>
              <w:jc w:val="center"/>
              <w:rPr>
                <w:b/>
                <w:szCs w:val="26"/>
              </w:rPr>
            </w:pPr>
          </w:p>
        </w:tc>
      </w:tr>
      <w:tr w:rsidR="007843F3" w:rsidRPr="008E63BB" w14:paraId="519B3ADB" w14:textId="77777777" w:rsidTr="00FA1890">
        <w:trPr>
          <w:trHeight w:val="296"/>
        </w:trPr>
        <w:tc>
          <w:tcPr>
            <w:tcW w:w="540" w:type="dxa"/>
            <w:tcBorders>
              <w:top w:val="dotted" w:sz="4" w:space="0" w:color="auto"/>
              <w:left w:val="single" w:sz="6" w:space="0" w:color="auto"/>
              <w:bottom w:val="dotted" w:sz="4" w:space="0" w:color="auto"/>
              <w:right w:val="single" w:sz="6" w:space="0" w:color="auto"/>
            </w:tcBorders>
            <w:vAlign w:val="center"/>
          </w:tcPr>
          <w:p w14:paraId="519B3AD6"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1</w:t>
            </w:r>
          </w:p>
        </w:tc>
        <w:tc>
          <w:tcPr>
            <w:tcW w:w="3330" w:type="dxa"/>
            <w:tcBorders>
              <w:top w:val="dotted" w:sz="4" w:space="0" w:color="auto"/>
              <w:left w:val="single" w:sz="6" w:space="0" w:color="auto"/>
              <w:bottom w:val="dotted" w:sz="4" w:space="0" w:color="auto"/>
              <w:right w:val="single" w:sz="6" w:space="0" w:color="auto"/>
            </w:tcBorders>
            <w:vAlign w:val="center"/>
          </w:tcPr>
          <w:p w14:paraId="519B3AD7" w14:textId="77777777" w:rsidR="007843F3" w:rsidRPr="008E63BB" w:rsidRDefault="007843F3" w:rsidP="00FA1890">
            <w:pPr>
              <w:autoSpaceDE w:val="0"/>
              <w:autoSpaceDN w:val="0"/>
              <w:adjustRightInd w:val="0"/>
              <w:spacing w:before="60" w:line="24" w:lineRule="atLeast"/>
              <w:rPr>
                <w:szCs w:val="26"/>
                <w:lang w:val="sv-SE"/>
              </w:rPr>
            </w:pPr>
            <w:r w:rsidRPr="008E63BB">
              <w:rPr>
                <w:szCs w:val="26"/>
                <w:lang w:val="sv-SE"/>
              </w:rPr>
              <w:t>Trạm 110kV nối cấp trong trạm 220kV Nam Định</w:t>
            </w:r>
          </w:p>
        </w:tc>
        <w:tc>
          <w:tcPr>
            <w:tcW w:w="1710" w:type="dxa"/>
            <w:tcBorders>
              <w:top w:val="dotted" w:sz="4" w:space="0" w:color="auto"/>
              <w:left w:val="single" w:sz="6" w:space="0" w:color="auto"/>
              <w:bottom w:val="dotted" w:sz="4" w:space="0" w:color="auto"/>
              <w:right w:val="single" w:sz="6" w:space="0" w:color="auto"/>
            </w:tcBorders>
            <w:vAlign w:val="center"/>
          </w:tcPr>
          <w:p w14:paraId="519B3AD8" w14:textId="77777777" w:rsidR="007843F3" w:rsidRPr="008E63BB" w:rsidRDefault="007843F3" w:rsidP="00FA1890">
            <w:pPr>
              <w:spacing w:before="60" w:line="24" w:lineRule="atLeast"/>
              <w:jc w:val="center"/>
              <w:rPr>
                <w:szCs w:val="26"/>
              </w:rPr>
            </w:pPr>
            <w:r w:rsidRPr="008E63BB">
              <w:rPr>
                <w:szCs w:val="26"/>
              </w:rPr>
              <w:t>1x25</w:t>
            </w:r>
          </w:p>
        </w:tc>
        <w:tc>
          <w:tcPr>
            <w:tcW w:w="1800" w:type="dxa"/>
            <w:tcBorders>
              <w:top w:val="dotted" w:sz="4" w:space="0" w:color="auto"/>
              <w:left w:val="single" w:sz="6" w:space="0" w:color="auto"/>
              <w:bottom w:val="dotted" w:sz="4" w:space="0" w:color="auto"/>
              <w:right w:val="single" w:sz="6" w:space="0" w:color="auto"/>
            </w:tcBorders>
            <w:vAlign w:val="center"/>
          </w:tcPr>
          <w:p w14:paraId="519B3AD9" w14:textId="77777777" w:rsidR="007843F3" w:rsidRPr="008E63BB" w:rsidRDefault="007843F3" w:rsidP="00FA1890">
            <w:pPr>
              <w:spacing w:before="60" w:line="24" w:lineRule="atLeast"/>
              <w:jc w:val="center"/>
              <w:rPr>
                <w:szCs w:val="26"/>
              </w:rPr>
            </w:pPr>
            <w:r w:rsidRPr="008E63BB">
              <w:rPr>
                <w:szCs w:val="26"/>
              </w:rPr>
              <w:t>1x25</w:t>
            </w:r>
          </w:p>
        </w:tc>
        <w:tc>
          <w:tcPr>
            <w:tcW w:w="1710" w:type="dxa"/>
            <w:tcBorders>
              <w:top w:val="dotted" w:sz="4" w:space="0" w:color="auto"/>
              <w:left w:val="single" w:sz="6" w:space="0" w:color="auto"/>
              <w:bottom w:val="dotted" w:sz="4" w:space="0" w:color="auto"/>
              <w:right w:val="single" w:sz="6" w:space="0" w:color="auto"/>
            </w:tcBorders>
            <w:vAlign w:val="center"/>
          </w:tcPr>
          <w:p w14:paraId="519B3ADA" w14:textId="77777777" w:rsidR="007843F3" w:rsidRPr="008E63BB" w:rsidRDefault="007843F3" w:rsidP="00FA1890">
            <w:pPr>
              <w:spacing w:before="60" w:line="24" w:lineRule="atLeast"/>
              <w:jc w:val="center"/>
              <w:rPr>
                <w:szCs w:val="26"/>
              </w:rPr>
            </w:pPr>
            <w:r w:rsidRPr="008E63BB">
              <w:rPr>
                <w:szCs w:val="26"/>
              </w:rPr>
              <w:t>Hiện trạng</w:t>
            </w:r>
          </w:p>
        </w:tc>
      </w:tr>
      <w:tr w:rsidR="007843F3" w:rsidRPr="008E63BB" w14:paraId="519B3AE1" w14:textId="77777777" w:rsidTr="00FA1890">
        <w:trPr>
          <w:trHeight w:val="296"/>
        </w:trPr>
        <w:tc>
          <w:tcPr>
            <w:tcW w:w="540" w:type="dxa"/>
            <w:tcBorders>
              <w:top w:val="dotted" w:sz="4" w:space="0" w:color="auto"/>
              <w:left w:val="single" w:sz="6" w:space="0" w:color="auto"/>
              <w:bottom w:val="dotted" w:sz="4" w:space="0" w:color="auto"/>
              <w:right w:val="single" w:sz="6" w:space="0" w:color="auto"/>
            </w:tcBorders>
            <w:vAlign w:val="center"/>
          </w:tcPr>
          <w:p w14:paraId="519B3ADC"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2</w:t>
            </w:r>
          </w:p>
        </w:tc>
        <w:tc>
          <w:tcPr>
            <w:tcW w:w="3330" w:type="dxa"/>
            <w:tcBorders>
              <w:top w:val="dotted" w:sz="4" w:space="0" w:color="auto"/>
              <w:left w:val="single" w:sz="6" w:space="0" w:color="auto"/>
              <w:bottom w:val="dotted" w:sz="4" w:space="0" w:color="auto"/>
              <w:right w:val="single" w:sz="6" w:space="0" w:color="auto"/>
            </w:tcBorders>
            <w:vAlign w:val="center"/>
          </w:tcPr>
          <w:p w14:paraId="519B3ADD" w14:textId="77777777" w:rsidR="007843F3" w:rsidRPr="008E63BB" w:rsidRDefault="007843F3" w:rsidP="00FA1890">
            <w:pPr>
              <w:autoSpaceDE w:val="0"/>
              <w:autoSpaceDN w:val="0"/>
              <w:adjustRightInd w:val="0"/>
              <w:spacing w:before="60" w:line="24" w:lineRule="atLeast"/>
              <w:rPr>
                <w:szCs w:val="26"/>
                <w:lang w:val="sv-SE"/>
              </w:rPr>
            </w:pPr>
            <w:r w:rsidRPr="008E63BB">
              <w:rPr>
                <w:szCs w:val="26"/>
                <w:lang w:val="sv-SE"/>
              </w:rPr>
              <w:t>Trạm 110kV Phi Trường</w:t>
            </w:r>
          </w:p>
        </w:tc>
        <w:tc>
          <w:tcPr>
            <w:tcW w:w="1710" w:type="dxa"/>
            <w:tcBorders>
              <w:top w:val="dotted" w:sz="4" w:space="0" w:color="auto"/>
              <w:left w:val="single" w:sz="6" w:space="0" w:color="auto"/>
              <w:bottom w:val="dotted" w:sz="4" w:space="0" w:color="auto"/>
              <w:right w:val="single" w:sz="6" w:space="0" w:color="auto"/>
            </w:tcBorders>
            <w:vAlign w:val="center"/>
          </w:tcPr>
          <w:p w14:paraId="519B3ADE" w14:textId="77777777" w:rsidR="007843F3" w:rsidRPr="008E63BB" w:rsidRDefault="007843F3" w:rsidP="00FA1890">
            <w:pPr>
              <w:spacing w:before="60" w:line="24" w:lineRule="atLeast"/>
              <w:jc w:val="center"/>
              <w:rPr>
                <w:szCs w:val="26"/>
              </w:rPr>
            </w:pPr>
            <w:r w:rsidRPr="008E63BB">
              <w:rPr>
                <w:szCs w:val="26"/>
              </w:rPr>
              <w:t>2x25</w:t>
            </w:r>
          </w:p>
        </w:tc>
        <w:tc>
          <w:tcPr>
            <w:tcW w:w="1800" w:type="dxa"/>
            <w:tcBorders>
              <w:top w:val="dotted" w:sz="4" w:space="0" w:color="auto"/>
              <w:left w:val="single" w:sz="6" w:space="0" w:color="auto"/>
              <w:bottom w:val="dotted" w:sz="4" w:space="0" w:color="auto"/>
              <w:right w:val="single" w:sz="6" w:space="0" w:color="auto"/>
            </w:tcBorders>
            <w:vAlign w:val="center"/>
          </w:tcPr>
          <w:p w14:paraId="519B3ADF" w14:textId="77777777" w:rsidR="007843F3" w:rsidRPr="008E63BB" w:rsidRDefault="007843F3" w:rsidP="00FA1890">
            <w:pPr>
              <w:spacing w:before="60" w:line="24" w:lineRule="atLeast"/>
              <w:jc w:val="center"/>
              <w:rPr>
                <w:szCs w:val="26"/>
              </w:rPr>
            </w:pPr>
            <w:r w:rsidRPr="008E63BB">
              <w:rPr>
                <w:szCs w:val="26"/>
              </w:rPr>
              <w:t>2x25</w:t>
            </w:r>
          </w:p>
        </w:tc>
        <w:tc>
          <w:tcPr>
            <w:tcW w:w="1710" w:type="dxa"/>
            <w:tcBorders>
              <w:top w:val="dotted" w:sz="4" w:space="0" w:color="auto"/>
              <w:left w:val="single" w:sz="6" w:space="0" w:color="auto"/>
              <w:bottom w:val="dotted" w:sz="4" w:space="0" w:color="auto"/>
              <w:right w:val="single" w:sz="6" w:space="0" w:color="auto"/>
            </w:tcBorders>
            <w:vAlign w:val="center"/>
          </w:tcPr>
          <w:p w14:paraId="519B3AE0" w14:textId="77777777" w:rsidR="007843F3" w:rsidRPr="008E63BB" w:rsidRDefault="007843F3" w:rsidP="00FA1890">
            <w:pPr>
              <w:spacing w:before="60" w:line="24" w:lineRule="atLeast"/>
              <w:jc w:val="center"/>
              <w:rPr>
                <w:szCs w:val="26"/>
              </w:rPr>
            </w:pPr>
            <w:r w:rsidRPr="008E63BB">
              <w:rPr>
                <w:szCs w:val="26"/>
              </w:rPr>
              <w:t>Hiện trạng</w:t>
            </w:r>
          </w:p>
        </w:tc>
      </w:tr>
      <w:tr w:rsidR="007843F3" w:rsidRPr="008E63BB" w14:paraId="519B3AE7" w14:textId="77777777" w:rsidTr="00FA1890">
        <w:trPr>
          <w:trHeight w:val="296"/>
        </w:trPr>
        <w:tc>
          <w:tcPr>
            <w:tcW w:w="540" w:type="dxa"/>
            <w:tcBorders>
              <w:top w:val="dotted" w:sz="4" w:space="0" w:color="auto"/>
              <w:left w:val="single" w:sz="6" w:space="0" w:color="auto"/>
              <w:bottom w:val="dotted" w:sz="4" w:space="0" w:color="auto"/>
              <w:right w:val="single" w:sz="6" w:space="0" w:color="auto"/>
            </w:tcBorders>
            <w:vAlign w:val="center"/>
          </w:tcPr>
          <w:p w14:paraId="519B3AE2"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3</w:t>
            </w:r>
          </w:p>
        </w:tc>
        <w:tc>
          <w:tcPr>
            <w:tcW w:w="3330" w:type="dxa"/>
            <w:tcBorders>
              <w:top w:val="dotted" w:sz="4" w:space="0" w:color="auto"/>
              <w:left w:val="single" w:sz="6" w:space="0" w:color="auto"/>
              <w:bottom w:val="dotted" w:sz="4" w:space="0" w:color="auto"/>
              <w:right w:val="single" w:sz="6" w:space="0" w:color="auto"/>
            </w:tcBorders>
            <w:vAlign w:val="center"/>
          </w:tcPr>
          <w:p w14:paraId="519B3AE3" w14:textId="77777777" w:rsidR="007843F3" w:rsidRPr="008E63BB" w:rsidRDefault="007843F3" w:rsidP="00FA1890">
            <w:pPr>
              <w:autoSpaceDE w:val="0"/>
              <w:autoSpaceDN w:val="0"/>
              <w:adjustRightInd w:val="0"/>
              <w:spacing w:before="60" w:line="24" w:lineRule="atLeast"/>
              <w:rPr>
                <w:szCs w:val="26"/>
              </w:rPr>
            </w:pPr>
            <w:r w:rsidRPr="008E63BB">
              <w:rPr>
                <w:szCs w:val="26"/>
              </w:rPr>
              <w:t>Trạm 110kV Mỹ Lộc</w:t>
            </w:r>
          </w:p>
        </w:tc>
        <w:tc>
          <w:tcPr>
            <w:tcW w:w="1710" w:type="dxa"/>
            <w:tcBorders>
              <w:top w:val="dotted" w:sz="4" w:space="0" w:color="auto"/>
              <w:left w:val="single" w:sz="6" w:space="0" w:color="auto"/>
              <w:bottom w:val="dotted" w:sz="4" w:space="0" w:color="auto"/>
              <w:right w:val="single" w:sz="6" w:space="0" w:color="auto"/>
            </w:tcBorders>
            <w:vAlign w:val="center"/>
          </w:tcPr>
          <w:p w14:paraId="519B3AE4" w14:textId="77777777" w:rsidR="007843F3" w:rsidRPr="008E63BB" w:rsidRDefault="007843F3" w:rsidP="00FA1890">
            <w:pPr>
              <w:spacing w:before="60" w:line="24" w:lineRule="atLeast"/>
              <w:jc w:val="center"/>
              <w:rPr>
                <w:szCs w:val="26"/>
              </w:rPr>
            </w:pPr>
            <w:r w:rsidRPr="008E63BB">
              <w:rPr>
                <w:szCs w:val="26"/>
              </w:rPr>
              <w:t>25+40</w:t>
            </w:r>
          </w:p>
        </w:tc>
        <w:tc>
          <w:tcPr>
            <w:tcW w:w="1800" w:type="dxa"/>
            <w:tcBorders>
              <w:top w:val="dotted" w:sz="4" w:space="0" w:color="auto"/>
              <w:left w:val="single" w:sz="6" w:space="0" w:color="auto"/>
              <w:bottom w:val="dotted" w:sz="4" w:space="0" w:color="auto"/>
              <w:right w:val="single" w:sz="6" w:space="0" w:color="auto"/>
            </w:tcBorders>
            <w:vAlign w:val="center"/>
          </w:tcPr>
          <w:p w14:paraId="519B3AE5" w14:textId="77777777" w:rsidR="007843F3" w:rsidRPr="008E63BB" w:rsidRDefault="007843F3" w:rsidP="00FA1890">
            <w:pPr>
              <w:spacing w:before="60" w:line="24" w:lineRule="atLeast"/>
              <w:jc w:val="center"/>
              <w:rPr>
                <w:szCs w:val="26"/>
              </w:rPr>
            </w:pPr>
            <w:r w:rsidRPr="008E63BB">
              <w:rPr>
                <w:szCs w:val="26"/>
              </w:rPr>
              <w:t>2x25</w:t>
            </w:r>
          </w:p>
        </w:tc>
        <w:tc>
          <w:tcPr>
            <w:tcW w:w="1710" w:type="dxa"/>
            <w:tcBorders>
              <w:top w:val="dotted" w:sz="4" w:space="0" w:color="auto"/>
              <w:left w:val="single" w:sz="6" w:space="0" w:color="auto"/>
              <w:bottom w:val="dotted" w:sz="4" w:space="0" w:color="auto"/>
              <w:right w:val="single" w:sz="6" w:space="0" w:color="auto"/>
            </w:tcBorders>
            <w:vAlign w:val="center"/>
          </w:tcPr>
          <w:p w14:paraId="519B3AE6" w14:textId="77777777" w:rsidR="007843F3" w:rsidRPr="008E63BB" w:rsidRDefault="007843F3" w:rsidP="00FA1890">
            <w:pPr>
              <w:spacing w:before="60" w:line="24" w:lineRule="atLeast"/>
              <w:jc w:val="center"/>
              <w:rPr>
                <w:szCs w:val="26"/>
              </w:rPr>
            </w:pPr>
            <w:r w:rsidRPr="008E63BB">
              <w:rPr>
                <w:szCs w:val="26"/>
              </w:rPr>
              <w:t>Hiện trạng</w:t>
            </w:r>
          </w:p>
        </w:tc>
      </w:tr>
      <w:tr w:rsidR="007843F3" w:rsidRPr="008E63BB" w14:paraId="519B3AED" w14:textId="77777777" w:rsidTr="00FA1890">
        <w:trPr>
          <w:trHeight w:val="664"/>
        </w:trPr>
        <w:tc>
          <w:tcPr>
            <w:tcW w:w="540" w:type="dxa"/>
            <w:tcBorders>
              <w:top w:val="dotted" w:sz="4" w:space="0" w:color="auto"/>
              <w:left w:val="single" w:sz="6" w:space="0" w:color="auto"/>
              <w:bottom w:val="dotted" w:sz="4" w:space="0" w:color="auto"/>
              <w:right w:val="single" w:sz="6" w:space="0" w:color="auto"/>
            </w:tcBorders>
            <w:vAlign w:val="center"/>
          </w:tcPr>
          <w:p w14:paraId="519B3AE8"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4</w:t>
            </w:r>
          </w:p>
        </w:tc>
        <w:tc>
          <w:tcPr>
            <w:tcW w:w="3330" w:type="dxa"/>
            <w:tcBorders>
              <w:top w:val="dotted" w:sz="4" w:space="0" w:color="auto"/>
              <w:left w:val="single" w:sz="6" w:space="0" w:color="auto"/>
              <w:bottom w:val="dotted" w:sz="4" w:space="0" w:color="auto"/>
              <w:right w:val="single" w:sz="6" w:space="0" w:color="auto"/>
            </w:tcBorders>
            <w:vAlign w:val="center"/>
          </w:tcPr>
          <w:p w14:paraId="519B3AE9" w14:textId="77777777" w:rsidR="007843F3" w:rsidRPr="008E63BB" w:rsidRDefault="007843F3" w:rsidP="00FA1890">
            <w:pPr>
              <w:autoSpaceDE w:val="0"/>
              <w:autoSpaceDN w:val="0"/>
              <w:adjustRightInd w:val="0"/>
              <w:spacing w:before="60" w:line="24" w:lineRule="atLeast"/>
              <w:rPr>
                <w:szCs w:val="26"/>
              </w:rPr>
            </w:pPr>
            <w:r w:rsidRPr="008E63BB">
              <w:rPr>
                <w:szCs w:val="26"/>
              </w:rPr>
              <w:t>Trạm 110kV Mỹ Xá</w:t>
            </w:r>
          </w:p>
        </w:tc>
        <w:tc>
          <w:tcPr>
            <w:tcW w:w="1710" w:type="dxa"/>
            <w:tcBorders>
              <w:top w:val="dotted" w:sz="4" w:space="0" w:color="auto"/>
              <w:left w:val="single" w:sz="6" w:space="0" w:color="auto"/>
              <w:bottom w:val="dotted" w:sz="4" w:space="0" w:color="auto"/>
              <w:right w:val="single" w:sz="6" w:space="0" w:color="auto"/>
            </w:tcBorders>
            <w:vAlign w:val="center"/>
          </w:tcPr>
          <w:p w14:paraId="519B3AEA" w14:textId="77777777" w:rsidR="007843F3" w:rsidRPr="008E63BB" w:rsidRDefault="007843F3" w:rsidP="00FA1890">
            <w:pPr>
              <w:spacing w:before="60" w:line="24" w:lineRule="atLeast"/>
              <w:jc w:val="center"/>
              <w:rPr>
                <w:szCs w:val="26"/>
              </w:rPr>
            </w:pPr>
            <w:r w:rsidRPr="008E63BB">
              <w:rPr>
                <w:szCs w:val="26"/>
              </w:rPr>
              <w:t>2x40</w:t>
            </w:r>
          </w:p>
        </w:tc>
        <w:tc>
          <w:tcPr>
            <w:tcW w:w="1800" w:type="dxa"/>
            <w:tcBorders>
              <w:top w:val="dotted" w:sz="4" w:space="0" w:color="auto"/>
              <w:left w:val="single" w:sz="6" w:space="0" w:color="auto"/>
              <w:bottom w:val="dotted" w:sz="4" w:space="0" w:color="auto"/>
              <w:right w:val="single" w:sz="6" w:space="0" w:color="auto"/>
            </w:tcBorders>
            <w:vAlign w:val="center"/>
          </w:tcPr>
          <w:p w14:paraId="519B3AEB" w14:textId="77777777" w:rsidR="007843F3" w:rsidRPr="008E63BB" w:rsidRDefault="007843F3" w:rsidP="00FA1890">
            <w:pPr>
              <w:spacing w:before="60" w:line="24" w:lineRule="atLeast"/>
              <w:jc w:val="center"/>
              <w:rPr>
                <w:szCs w:val="26"/>
              </w:rPr>
            </w:pPr>
            <w:r w:rsidRPr="008E63BB">
              <w:rPr>
                <w:szCs w:val="26"/>
              </w:rPr>
              <w:t>2x63</w:t>
            </w:r>
          </w:p>
        </w:tc>
        <w:tc>
          <w:tcPr>
            <w:tcW w:w="1710" w:type="dxa"/>
            <w:tcBorders>
              <w:top w:val="dotted" w:sz="4" w:space="0" w:color="auto"/>
              <w:left w:val="single" w:sz="6" w:space="0" w:color="auto"/>
              <w:bottom w:val="dotted" w:sz="4" w:space="0" w:color="auto"/>
              <w:right w:val="single" w:sz="6" w:space="0" w:color="auto"/>
            </w:tcBorders>
            <w:vAlign w:val="center"/>
          </w:tcPr>
          <w:p w14:paraId="519B3AEC" w14:textId="77777777" w:rsidR="007843F3" w:rsidRPr="008E63BB" w:rsidRDefault="007843F3" w:rsidP="00FA1890">
            <w:pPr>
              <w:spacing w:before="60" w:line="24" w:lineRule="atLeast"/>
              <w:jc w:val="center"/>
              <w:rPr>
                <w:szCs w:val="26"/>
              </w:rPr>
            </w:pPr>
            <w:r w:rsidRPr="008E63BB">
              <w:rPr>
                <w:szCs w:val="26"/>
              </w:rPr>
              <w:t>Hiện trạng</w:t>
            </w:r>
          </w:p>
        </w:tc>
      </w:tr>
      <w:tr w:rsidR="007843F3" w:rsidRPr="008E63BB" w14:paraId="519B3AF3" w14:textId="77777777" w:rsidTr="00FA1890">
        <w:trPr>
          <w:trHeight w:val="457"/>
        </w:trPr>
        <w:tc>
          <w:tcPr>
            <w:tcW w:w="540" w:type="dxa"/>
            <w:tcBorders>
              <w:top w:val="dotted" w:sz="4" w:space="0" w:color="auto"/>
              <w:left w:val="single" w:sz="6" w:space="0" w:color="auto"/>
              <w:bottom w:val="dotted" w:sz="4" w:space="0" w:color="auto"/>
              <w:right w:val="single" w:sz="6" w:space="0" w:color="auto"/>
            </w:tcBorders>
            <w:vAlign w:val="center"/>
          </w:tcPr>
          <w:p w14:paraId="519B3AEE"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5</w:t>
            </w:r>
          </w:p>
        </w:tc>
        <w:tc>
          <w:tcPr>
            <w:tcW w:w="3330" w:type="dxa"/>
            <w:tcBorders>
              <w:top w:val="dotted" w:sz="4" w:space="0" w:color="auto"/>
              <w:left w:val="single" w:sz="6" w:space="0" w:color="auto"/>
              <w:bottom w:val="dotted" w:sz="4" w:space="0" w:color="auto"/>
              <w:right w:val="single" w:sz="6" w:space="0" w:color="auto"/>
            </w:tcBorders>
            <w:vAlign w:val="center"/>
          </w:tcPr>
          <w:p w14:paraId="519B3AEF" w14:textId="77777777" w:rsidR="007843F3" w:rsidRPr="008E63BB" w:rsidRDefault="007843F3" w:rsidP="00FA1890">
            <w:pPr>
              <w:autoSpaceDE w:val="0"/>
              <w:autoSpaceDN w:val="0"/>
              <w:adjustRightInd w:val="0"/>
              <w:spacing w:before="60" w:line="24" w:lineRule="atLeast"/>
              <w:rPr>
                <w:szCs w:val="26"/>
              </w:rPr>
            </w:pPr>
            <w:r w:rsidRPr="008E63BB">
              <w:rPr>
                <w:szCs w:val="26"/>
              </w:rPr>
              <w:t>Trạm 110kV Nam Điền</w:t>
            </w:r>
          </w:p>
        </w:tc>
        <w:tc>
          <w:tcPr>
            <w:tcW w:w="1710" w:type="dxa"/>
            <w:tcBorders>
              <w:top w:val="dotted" w:sz="4" w:space="0" w:color="auto"/>
              <w:left w:val="single" w:sz="6" w:space="0" w:color="auto"/>
              <w:bottom w:val="dotted" w:sz="4" w:space="0" w:color="auto"/>
              <w:right w:val="single" w:sz="6" w:space="0" w:color="auto"/>
            </w:tcBorders>
            <w:vAlign w:val="center"/>
          </w:tcPr>
          <w:p w14:paraId="519B3AF0" w14:textId="77777777" w:rsidR="007843F3" w:rsidRPr="008E63BB" w:rsidRDefault="007843F3" w:rsidP="00FA1890">
            <w:pPr>
              <w:spacing w:before="60" w:line="24" w:lineRule="atLeast"/>
              <w:jc w:val="center"/>
              <w:rPr>
                <w:bCs/>
                <w:szCs w:val="26"/>
              </w:rPr>
            </w:pPr>
            <w:r w:rsidRPr="008E63BB">
              <w:rPr>
                <w:bCs/>
                <w:szCs w:val="26"/>
              </w:rPr>
              <w:t>-</w:t>
            </w:r>
          </w:p>
        </w:tc>
        <w:tc>
          <w:tcPr>
            <w:tcW w:w="1800" w:type="dxa"/>
            <w:tcBorders>
              <w:top w:val="dotted" w:sz="4" w:space="0" w:color="auto"/>
              <w:left w:val="single" w:sz="6" w:space="0" w:color="auto"/>
              <w:bottom w:val="dotted" w:sz="4" w:space="0" w:color="auto"/>
              <w:right w:val="single" w:sz="6" w:space="0" w:color="auto"/>
            </w:tcBorders>
            <w:vAlign w:val="center"/>
          </w:tcPr>
          <w:p w14:paraId="519B3AF1" w14:textId="77777777" w:rsidR="007843F3" w:rsidRPr="008E63BB" w:rsidRDefault="007843F3" w:rsidP="00FA1890">
            <w:pPr>
              <w:spacing w:before="60" w:line="24" w:lineRule="atLeast"/>
              <w:jc w:val="center"/>
              <w:rPr>
                <w:bCs/>
                <w:szCs w:val="26"/>
              </w:rPr>
            </w:pPr>
            <w:r w:rsidRPr="008E63BB">
              <w:rPr>
                <w:bCs/>
                <w:szCs w:val="26"/>
              </w:rPr>
              <w:t>40+63</w:t>
            </w:r>
          </w:p>
        </w:tc>
        <w:tc>
          <w:tcPr>
            <w:tcW w:w="1710" w:type="dxa"/>
            <w:tcBorders>
              <w:top w:val="dotted" w:sz="4" w:space="0" w:color="auto"/>
              <w:left w:val="single" w:sz="6" w:space="0" w:color="auto"/>
              <w:bottom w:val="dotted" w:sz="4" w:space="0" w:color="auto"/>
              <w:right w:val="single" w:sz="6" w:space="0" w:color="auto"/>
            </w:tcBorders>
            <w:vAlign w:val="center"/>
          </w:tcPr>
          <w:p w14:paraId="519B3AF2" w14:textId="77777777" w:rsidR="007843F3" w:rsidRPr="008E63BB" w:rsidRDefault="007843F3" w:rsidP="00FA1890">
            <w:pPr>
              <w:spacing w:before="60" w:line="24" w:lineRule="atLeast"/>
              <w:jc w:val="center"/>
              <w:rPr>
                <w:szCs w:val="26"/>
              </w:rPr>
            </w:pPr>
            <w:r w:rsidRPr="008E63BB">
              <w:rPr>
                <w:szCs w:val="26"/>
              </w:rPr>
              <w:t>Chuẩn bị đầu tư</w:t>
            </w:r>
          </w:p>
        </w:tc>
      </w:tr>
      <w:tr w:rsidR="007843F3" w:rsidRPr="008E63BB" w14:paraId="519B3AF9" w14:textId="77777777" w:rsidTr="00FA1890">
        <w:trPr>
          <w:trHeight w:val="457"/>
        </w:trPr>
        <w:tc>
          <w:tcPr>
            <w:tcW w:w="540" w:type="dxa"/>
            <w:tcBorders>
              <w:top w:val="dotted" w:sz="4" w:space="0" w:color="auto"/>
              <w:left w:val="single" w:sz="6" w:space="0" w:color="auto"/>
              <w:bottom w:val="dotted" w:sz="4" w:space="0" w:color="auto"/>
              <w:right w:val="single" w:sz="6" w:space="0" w:color="auto"/>
            </w:tcBorders>
            <w:vAlign w:val="center"/>
          </w:tcPr>
          <w:p w14:paraId="519B3AF4"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6</w:t>
            </w:r>
          </w:p>
        </w:tc>
        <w:tc>
          <w:tcPr>
            <w:tcW w:w="3330" w:type="dxa"/>
            <w:tcBorders>
              <w:top w:val="dotted" w:sz="4" w:space="0" w:color="auto"/>
              <w:left w:val="single" w:sz="6" w:space="0" w:color="auto"/>
              <w:bottom w:val="dotted" w:sz="4" w:space="0" w:color="auto"/>
              <w:right w:val="single" w:sz="6" w:space="0" w:color="auto"/>
            </w:tcBorders>
            <w:vAlign w:val="center"/>
          </w:tcPr>
          <w:p w14:paraId="519B3AF5" w14:textId="77777777" w:rsidR="007843F3" w:rsidRPr="008E63BB" w:rsidRDefault="007843F3" w:rsidP="00FA1890">
            <w:pPr>
              <w:autoSpaceDE w:val="0"/>
              <w:autoSpaceDN w:val="0"/>
              <w:adjustRightInd w:val="0"/>
              <w:spacing w:before="60" w:line="24" w:lineRule="atLeast"/>
              <w:rPr>
                <w:szCs w:val="26"/>
              </w:rPr>
            </w:pPr>
            <w:r w:rsidRPr="008E63BB">
              <w:rPr>
                <w:szCs w:val="26"/>
              </w:rPr>
              <w:t>Trạm 110kV Mỹ Trung</w:t>
            </w:r>
          </w:p>
        </w:tc>
        <w:tc>
          <w:tcPr>
            <w:tcW w:w="1710" w:type="dxa"/>
            <w:tcBorders>
              <w:top w:val="dotted" w:sz="4" w:space="0" w:color="auto"/>
              <w:left w:val="single" w:sz="6" w:space="0" w:color="auto"/>
              <w:bottom w:val="dotted" w:sz="4" w:space="0" w:color="auto"/>
              <w:right w:val="single" w:sz="6" w:space="0" w:color="auto"/>
            </w:tcBorders>
            <w:vAlign w:val="center"/>
          </w:tcPr>
          <w:p w14:paraId="519B3AF6" w14:textId="77777777" w:rsidR="007843F3" w:rsidRPr="008E63BB" w:rsidRDefault="007843F3" w:rsidP="00FA1890">
            <w:pPr>
              <w:spacing w:before="60" w:line="24" w:lineRule="atLeast"/>
              <w:jc w:val="center"/>
              <w:rPr>
                <w:bCs/>
                <w:szCs w:val="26"/>
              </w:rPr>
            </w:pPr>
            <w:r w:rsidRPr="008E63BB">
              <w:rPr>
                <w:bCs/>
                <w:szCs w:val="26"/>
              </w:rPr>
              <w:t>-</w:t>
            </w:r>
          </w:p>
        </w:tc>
        <w:tc>
          <w:tcPr>
            <w:tcW w:w="1800" w:type="dxa"/>
            <w:tcBorders>
              <w:top w:val="dotted" w:sz="4" w:space="0" w:color="auto"/>
              <w:left w:val="single" w:sz="6" w:space="0" w:color="auto"/>
              <w:bottom w:val="dotted" w:sz="4" w:space="0" w:color="auto"/>
              <w:right w:val="single" w:sz="6" w:space="0" w:color="auto"/>
            </w:tcBorders>
            <w:vAlign w:val="center"/>
          </w:tcPr>
          <w:p w14:paraId="519B3AF7" w14:textId="77777777" w:rsidR="007843F3" w:rsidRPr="008E63BB" w:rsidRDefault="007843F3" w:rsidP="00FA1890">
            <w:pPr>
              <w:spacing w:before="60" w:line="24" w:lineRule="atLeast"/>
              <w:jc w:val="center"/>
              <w:rPr>
                <w:bCs/>
                <w:szCs w:val="26"/>
              </w:rPr>
            </w:pPr>
            <w:r w:rsidRPr="008E63BB">
              <w:rPr>
                <w:bCs/>
                <w:szCs w:val="26"/>
              </w:rPr>
              <w:t>2x63</w:t>
            </w:r>
          </w:p>
        </w:tc>
        <w:tc>
          <w:tcPr>
            <w:tcW w:w="1710" w:type="dxa"/>
            <w:tcBorders>
              <w:top w:val="dotted" w:sz="4" w:space="0" w:color="auto"/>
              <w:left w:val="single" w:sz="6" w:space="0" w:color="auto"/>
              <w:bottom w:val="dotted" w:sz="4" w:space="0" w:color="auto"/>
              <w:right w:val="single" w:sz="6" w:space="0" w:color="auto"/>
            </w:tcBorders>
            <w:vAlign w:val="center"/>
          </w:tcPr>
          <w:p w14:paraId="519B3AF8" w14:textId="77777777" w:rsidR="007843F3" w:rsidRPr="008E63BB" w:rsidRDefault="007843F3" w:rsidP="00FA1890">
            <w:pPr>
              <w:spacing w:before="60" w:line="24" w:lineRule="atLeast"/>
              <w:jc w:val="center"/>
              <w:rPr>
                <w:szCs w:val="26"/>
              </w:rPr>
            </w:pPr>
            <w:r w:rsidRPr="008E63BB">
              <w:rPr>
                <w:szCs w:val="26"/>
              </w:rPr>
              <w:t>Chuẩn bị đầu tư</w:t>
            </w:r>
          </w:p>
        </w:tc>
      </w:tr>
      <w:tr w:rsidR="007843F3" w:rsidRPr="008E63BB" w14:paraId="519B3AFF" w14:textId="77777777" w:rsidTr="00FA1890">
        <w:trPr>
          <w:trHeight w:val="457"/>
        </w:trPr>
        <w:tc>
          <w:tcPr>
            <w:tcW w:w="540" w:type="dxa"/>
            <w:tcBorders>
              <w:top w:val="dotted" w:sz="4" w:space="0" w:color="auto"/>
              <w:left w:val="single" w:sz="6" w:space="0" w:color="auto"/>
              <w:bottom w:val="dotted" w:sz="4" w:space="0" w:color="auto"/>
              <w:right w:val="single" w:sz="6" w:space="0" w:color="auto"/>
            </w:tcBorders>
            <w:vAlign w:val="center"/>
          </w:tcPr>
          <w:p w14:paraId="519B3AFA"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7</w:t>
            </w:r>
          </w:p>
        </w:tc>
        <w:tc>
          <w:tcPr>
            <w:tcW w:w="3330" w:type="dxa"/>
            <w:tcBorders>
              <w:top w:val="dotted" w:sz="4" w:space="0" w:color="auto"/>
              <w:left w:val="single" w:sz="6" w:space="0" w:color="auto"/>
              <w:bottom w:val="dotted" w:sz="4" w:space="0" w:color="auto"/>
              <w:right w:val="single" w:sz="6" w:space="0" w:color="auto"/>
            </w:tcBorders>
            <w:vAlign w:val="center"/>
          </w:tcPr>
          <w:p w14:paraId="519B3AFB" w14:textId="77777777" w:rsidR="007843F3" w:rsidRPr="008E63BB" w:rsidRDefault="007843F3" w:rsidP="00FA1890">
            <w:pPr>
              <w:autoSpaceDE w:val="0"/>
              <w:autoSpaceDN w:val="0"/>
              <w:adjustRightInd w:val="0"/>
              <w:spacing w:before="60" w:line="24" w:lineRule="atLeast"/>
              <w:rPr>
                <w:szCs w:val="26"/>
              </w:rPr>
            </w:pPr>
            <w:r w:rsidRPr="008E63BB">
              <w:rPr>
                <w:szCs w:val="26"/>
              </w:rPr>
              <w:t>Trạm 110kV Hiển Khánh</w:t>
            </w:r>
          </w:p>
        </w:tc>
        <w:tc>
          <w:tcPr>
            <w:tcW w:w="1710" w:type="dxa"/>
            <w:tcBorders>
              <w:top w:val="dotted" w:sz="4" w:space="0" w:color="auto"/>
              <w:left w:val="single" w:sz="6" w:space="0" w:color="auto"/>
              <w:bottom w:val="dotted" w:sz="4" w:space="0" w:color="auto"/>
              <w:right w:val="single" w:sz="6" w:space="0" w:color="auto"/>
            </w:tcBorders>
            <w:vAlign w:val="center"/>
          </w:tcPr>
          <w:p w14:paraId="519B3AFC" w14:textId="77777777" w:rsidR="007843F3" w:rsidRPr="008E63BB" w:rsidRDefault="007843F3" w:rsidP="00FA1890">
            <w:pPr>
              <w:spacing w:before="60" w:line="24" w:lineRule="atLeast"/>
              <w:jc w:val="center"/>
              <w:rPr>
                <w:bCs/>
                <w:szCs w:val="26"/>
              </w:rPr>
            </w:pPr>
            <w:r w:rsidRPr="008E63BB">
              <w:rPr>
                <w:bCs/>
                <w:szCs w:val="26"/>
              </w:rPr>
              <w:t>-</w:t>
            </w:r>
          </w:p>
        </w:tc>
        <w:tc>
          <w:tcPr>
            <w:tcW w:w="1800" w:type="dxa"/>
            <w:tcBorders>
              <w:top w:val="dotted" w:sz="4" w:space="0" w:color="auto"/>
              <w:left w:val="single" w:sz="6" w:space="0" w:color="auto"/>
              <w:bottom w:val="dotted" w:sz="4" w:space="0" w:color="auto"/>
              <w:right w:val="single" w:sz="6" w:space="0" w:color="auto"/>
            </w:tcBorders>
            <w:vAlign w:val="center"/>
          </w:tcPr>
          <w:p w14:paraId="519B3AFD" w14:textId="77777777" w:rsidR="007843F3" w:rsidRPr="008E63BB" w:rsidRDefault="007843F3" w:rsidP="00FA1890">
            <w:pPr>
              <w:spacing w:before="60" w:line="24" w:lineRule="atLeast"/>
              <w:jc w:val="center"/>
              <w:rPr>
                <w:bCs/>
                <w:szCs w:val="26"/>
              </w:rPr>
            </w:pPr>
            <w:r w:rsidRPr="008E63BB">
              <w:rPr>
                <w:bCs/>
                <w:szCs w:val="26"/>
              </w:rPr>
              <w:t>2x40</w:t>
            </w:r>
          </w:p>
        </w:tc>
        <w:tc>
          <w:tcPr>
            <w:tcW w:w="1710" w:type="dxa"/>
            <w:tcBorders>
              <w:top w:val="dotted" w:sz="4" w:space="0" w:color="auto"/>
              <w:left w:val="single" w:sz="6" w:space="0" w:color="auto"/>
              <w:bottom w:val="dotted" w:sz="4" w:space="0" w:color="auto"/>
              <w:right w:val="single" w:sz="6" w:space="0" w:color="auto"/>
            </w:tcBorders>
            <w:vAlign w:val="center"/>
          </w:tcPr>
          <w:p w14:paraId="519B3AFE" w14:textId="77777777" w:rsidR="007843F3" w:rsidRPr="008E63BB" w:rsidRDefault="007843F3" w:rsidP="00FA1890">
            <w:pPr>
              <w:spacing w:before="60" w:line="24" w:lineRule="atLeast"/>
              <w:jc w:val="center"/>
              <w:rPr>
                <w:szCs w:val="26"/>
              </w:rPr>
            </w:pPr>
            <w:r w:rsidRPr="008E63BB">
              <w:rPr>
                <w:szCs w:val="26"/>
              </w:rPr>
              <w:t>Quy hoạch</w:t>
            </w:r>
          </w:p>
        </w:tc>
      </w:tr>
      <w:tr w:rsidR="007843F3" w:rsidRPr="008E63BB" w14:paraId="519B3B05" w14:textId="77777777" w:rsidTr="00FA1890">
        <w:trPr>
          <w:trHeight w:val="457"/>
        </w:trPr>
        <w:tc>
          <w:tcPr>
            <w:tcW w:w="540" w:type="dxa"/>
            <w:tcBorders>
              <w:top w:val="dotted" w:sz="4" w:space="0" w:color="auto"/>
              <w:left w:val="single" w:sz="6" w:space="0" w:color="auto"/>
              <w:bottom w:val="dotted" w:sz="4" w:space="0" w:color="auto"/>
              <w:right w:val="single" w:sz="6" w:space="0" w:color="auto"/>
            </w:tcBorders>
            <w:vAlign w:val="center"/>
          </w:tcPr>
          <w:p w14:paraId="519B3B00" w14:textId="77777777" w:rsidR="007843F3" w:rsidRPr="008E63BB" w:rsidRDefault="007843F3" w:rsidP="00FA1890">
            <w:pPr>
              <w:autoSpaceDE w:val="0"/>
              <w:autoSpaceDN w:val="0"/>
              <w:adjustRightInd w:val="0"/>
              <w:spacing w:before="60" w:line="24" w:lineRule="atLeast"/>
              <w:jc w:val="center"/>
              <w:rPr>
                <w:szCs w:val="26"/>
              </w:rPr>
            </w:pPr>
            <w:r w:rsidRPr="008E63BB">
              <w:rPr>
                <w:szCs w:val="26"/>
              </w:rPr>
              <w:t>8</w:t>
            </w:r>
          </w:p>
        </w:tc>
        <w:tc>
          <w:tcPr>
            <w:tcW w:w="3330" w:type="dxa"/>
            <w:tcBorders>
              <w:top w:val="dotted" w:sz="4" w:space="0" w:color="auto"/>
              <w:left w:val="single" w:sz="6" w:space="0" w:color="auto"/>
              <w:bottom w:val="dotted" w:sz="4" w:space="0" w:color="auto"/>
              <w:right w:val="single" w:sz="6" w:space="0" w:color="auto"/>
            </w:tcBorders>
            <w:vAlign w:val="center"/>
          </w:tcPr>
          <w:p w14:paraId="519B3B01" w14:textId="77777777" w:rsidR="007843F3" w:rsidRPr="008E63BB" w:rsidRDefault="007843F3" w:rsidP="00FA1890">
            <w:pPr>
              <w:autoSpaceDE w:val="0"/>
              <w:autoSpaceDN w:val="0"/>
              <w:adjustRightInd w:val="0"/>
              <w:spacing w:before="60" w:line="24" w:lineRule="atLeast"/>
              <w:rPr>
                <w:szCs w:val="26"/>
              </w:rPr>
            </w:pPr>
            <w:r w:rsidRPr="008E63BB">
              <w:rPr>
                <w:szCs w:val="26"/>
              </w:rPr>
              <w:t>Trạm 110kV Nam Vân</w:t>
            </w:r>
          </w:p>
        </w:tc>
        <w:tc>
          <w:tcPr>
            <w:tcW w:w="1710" w:type="dxa"/>
            <w:tcBorders>
              <w:top w:val="dotted" w:sz="4" w:space="0" w:color="auto"/>
              <w:left w:val="single" w:sz="6" w:space="0" w:color="auto"/>
              <w:bottom w:val="dotted" w:sz="4" w:space="0" w:color="auto"/>
              <w:right w:val="single" w:sz="6" w:space="0" w:color="auto"/>
            </w:tcBorders>
            <w:vAlign w:val="center"/>
          </w:tcPr>
          <w:p w14:paraId="519B3B02" w14:textId="77777777" w:rsidR="007843F3" w:rsidRPr="008E63BB" w:rsidRDefault="007843F3" w:rsidP="00FA1890">
            <w:pPr>
              <w:spacing w:before="60" w:line="24" w:lineRule="atLeast"/>
              <w:jc w:val="center"/>
              <w:rPr>
                <w:bCs/>
                <w:szCs w:val="26"/>
              </w:rPr>
            </w:pPr>
            <w:r w:rsidRPr="008E63BB">
              <w:rPr>
                <w:bCs/>
                <w:szCs w:val="26"/>
              </w:rPr>
              <w:t>-</w:t>
            </w:r>
          </w:p>
        </w:tc>
        <w:tc>
          <w:tcPr>
            <w:tcW w:w="1800" w:type="dxa"/>
            <w:tcBorders>
              <w:top w:val="dotted" w:sz="4" w:space="0" w:color="auto"/>
              <w:left w:val="single" w:sz="6" w:space="0" w:color="auto"/>
              <w:bottom w:val="dotted" w:sz="4" w:space="0" w:color="auto"/>
              <w:right w:val="single" w:sz="6" w:space="0" w:color="auto"/>
            </w:tcBorders>
            <w:vAlign w:val="center"/>
          </w:tcPr>
          <w:p w14:paraId="519B3B03" w14:textId="77777777" w:rsidR="007843F3" w:rsidRPr="008E63BB" w:rsidRDefault="007843F3" w:rsidP="00FA1890">
            <w:pPr>
              <w:spacing w:before="60" w:line="24" w:lineRule="atLeast"/>
              <w:jc w:val="center"/>
              <w:rPr>
                <w:bCs/>
                <w:szCs w:val="26"/>
              </w:rPr>
            </w:pPr>
            <w:r w:rsidRPr="008E63BB">
              <w:rPr>
                <w:bCs/>
                <w:szCs w:val="26"/>
              </w:rPr>
              <w:t>2x63</w:t>
            </w:r>
          </w:p>
        </w:tc>
        <w:tc>
          <w:tcPr>
            <w:tcW w:w="1710" w:type="dxa"/>
            <w:tcBorders>
              <w:top w:val="dotted" w:sz="4" w:space="0" w:color="auto"/>
              <w:left w:val="single" w:sz="6" w:space="0" w:color="auto"/>
              <w:bottom w:val="dotted" w:sz="4" w:space="0" w:color="auto"/>
              <w:right w:val="single" w:sz="6" w:space="0" w:color="auto"/>
            </w:tcBorders>
            <w:vAlign w:val="center"/>
          </w:tcPr>
          <w:p w14:paraId="519B3B04" w14:textId="77777777" w:rsidR="007843F3" w:rsidRPr="008E63BB" w:rsidRDefault="007843F3" w:rsidP="00FA1890">
            <w:pPr>
              <w:spacing w:before="60" w:line="24" w:lineRule="atLeast"/>
              <w:jc w:val="center"/>
              <w:rPr>
                <w:szCs w:val="26"/>
              </w:rPr>
            </w:pPr>
            <w:r w:rsidRPr="008E63BB">
              <w:rPr>
                <w:szCs w:val="26"/>
              </w:rPr>
              <w:t>Quy hoạch</w:t>
            </w:r>
          </w:p>
        </w:tc>
      </w:tr>
      <w:tr w:rsidR="007843F3" w:rsidRPr="008E63BB" w14:paraId="519B3B0B" w14:textId="77777777" w:rsidTr="00FA1890">
        <w:trPr>
          <w:trHeight w:val="457"/>
        </w:trPr>
        <w:tc>
          <w:tcPr>
            <w:tcW w:w="540" w:type="dxa"/>
            <w:tcBorders>
              <w:top w:val="dotted" w:sz="4" w:space="0" w:color="auto"/>
              <w:left w:val="single" w:sz="6" w:space="0" w:color="auto"/>
              <w:bottom w:val="dotted" w:sz="4" w:space="0" w:color="auto"/>
              <w:right w:val="single" w:sz="6" w:space="0" w:color="auto"/>
            </w:tcBorders>
            <w:vAlign w:val="center"/>
          </w:tcPr>
          <w:p w14:paraId="519B3B06" w14:textId="77777777" w:rsidR="007843F3" w:rsidRPr="008E63BB" w:rsidRDefault="007843F3" w:rsidP="00FA1890">
            <w:pPr>
              <w:autoSpaceDE w:val="0"/>
              <w:autoSpaceDN w:val="0"/>
              <w:adjustRightInd w:val="0"/>
              <w:spacing w:before="60" w:line="24" w:lineRule="atLeast"/>
              <w:jc w:val="center"/>
              <w:rPr>
                <w:b/>
                <w:bCs/>
                <w:szCs w:val="26"/>
              </w:rPr>
            </w:pPr>
          </w:p>
        </w:tc>
        <w:tc>
          <w:tcPr>
            <w:tcW w:w="3330" w:type="dxa"/>
            <w:tcBorders>
              <w:top w:val="dotted" w:sz="4" w:space="0" w:color="auto"/>
              <w:left w:val="single" w:sz="6" w:space="0" w:color="auto"/>
              <w:bottom w:val="dotted" w:sz="4" w:space="0" w:color="auto"/>
              <w:right w:val="single" w:sz="6" w:space="0" w:color="auto"/>
            </w:tcBorders>
            <w:vAlign w:val="center"/>
          </w:tcPr>
          <w:p w14:paraId="519B3B07" w14:textId="77777777" w:rsidR="007843F3" w:rsidRPr="008E63BB" w:rsidRDefault="007843F3" w:rsidP="00FA1890">
            <w:pPr>
              <w:autoSpaceDE w:val="0"/>
              <w:autoSpaceDN w:val="0"/>
              <w:adjustRightInd w:val="0"/>
              <w:spacing w:before="60" w:line="24" w:lineRule="atLeast"/>
              <w:rPr>
                <w:b/>
                <w:bCs/>
                <w:szCs w:val="26"/>
              </w:rPr>
            </w:pPr>
            <w:r w:rsidRPr="008E63BB">
              <w:rPr>
                <w:b/>
                <w:bCs/>
                <w:szCs w:val="26"/>
              </w:rPr>
              <w:t>Tổng (II)</w:t>
            </w:r>
          </w:p>
        </w:tc>
        <w:tc>
          <w:tcPr>
            <w:tcW w:w="1710" w:type="dxa"/>
            <w:tcBorders>
              <w:top w:val="dotted" w:sz="4" w:space="0" w:color="auto"/>
              <w:left w:val="single" w:sz="6" w:space="0" w:color="auto"/>
              <w:bottom w:val="dotted" w:sz="4" w:space="0" w:color="auto"/>
              <w:right w:val="single" w:sz="6" w:space="0" w:color="auto"/>
            </w:tcBorders>
            <w:vAlign w:val="center"/>
          </w:tcPr>
          <w:p w14:paraId="519B3B08" w14:textId="77777777" w:rsidR="007843F3" w:rsidRPr="008E63BB" w:rsidRDefault="007843F3" w:rsidP="00FA1890">
            <w:pPr>
              <w:spacing w:before="60" w:line="24" w:lineRule="atLeast"/>
              <w:jc w:val="center"/>
              <w:rPr>
                <w:b/>
                <w:bCs/>
                <w:szCs w:val="26"/>
              </w:rPr>
            </w:pPr>
            <w:r w:rsidRPr="008E63BB">
              <w:rPr>
                <w:b/>
                <w:bCs/>
                <w:szCs w:val="26"/>
              </w:rPr>
              <w:t>205</w:t>
            </w:r>
          </w:p>
        </w:tc>
        <w:tc>
          <w:tcPr>
            <w:tcW w:w="1800" w:type="dxa"/>
            <w:tcBorders>
              <w:top w:val="dotted" w:sz="4" w:space="0" w:color="auto"/>
              <w:left w:val="single" w:sz="6" w:space="0" w:color="auto"/>
              <w:bottom w:val="dotted" w:sz="4" w:space="0" w:color="auto"/>
              <w:right w:val="single" w:sz="6" w:space="0" w:color="auto"/>
            </w:tcBorders>
            <w:vAlign w:val="center"/>
          </w:tcPr>
          <w:p w14:paraId="519B3B09" w14:textId="77777777" w:rsidR="007843F3" w:rsidRPr="008E63BB" w:rsidRDefault="007843F3" w:rsidP="00FA1890">
            <w:pPr>
              <w:spacing w:before="60" w:line="24" w:lineRule="atLeast"/>
              <w:jc w:val="center"/>
              <w:rPr>
                <w:b/>
                <w:bCs/>
                <w:szCs w:val="26"/>
              </w:rPr>
            </w:pPr>
            <w:r w:rsidRPr="008E63BB">
              <w:rPr>
                <w:b/>
                <w:bCs/>
                <w:szCs w:val="26"/>
              </w:rPr>
              <w:t>838</w:t>
            </w:r>
          </w:p>
        </w:tc>
        <w:tc>
          <w:tcPr>
            <w:tcW w:w="1710" w:type="dxa"/>
            <w:tcBorders>
              <w:top w:val="dotted" w:sz="4" w:space="0" w:color="auto"/>
              <w:left w:val="single" w:sz="6" w:space="0" w:color="auto"/>
              <w:bottom w:val="dotted" w:sz="4" w:space="0" w:color="auto"/>
              <w:right w:val="single" w:sz="6" w:space="0" w:color="auto"/>
            </w:tcBorders>
            <w:vAlign w:val="center"/>
          </w:tcPr>
          <w:p w14:paraId="519B3B0A" w14:textId="77777777" w:rsidR="007843F3" w:rsidRPr="008E63BB" w:rsidRDefault="007843F3" w:rsidP="00FA1890">
            <w:pPr>
              <w:spacing w:before="60" w:line="24" w:lineRule="atLeast"/>
              <w:jc w:val="center"/>
              <w:rPr>
                <w:szCs w:val="26"/>
              </w:rPr>
            </w:pPr>
          </w:p>
        </w:tc>
      </w:tr>
      <w:tr w:rsidR="007843F3" w:rsidRPr="008E63BB" w14:paraId="519B3B11" w14:textId="77777777" w:rsidTr="00FA1890">
        <w:trPr>
          <w:trHeight w:val="457"/>
        </w:trPr>
        <w:tc>
          <w:tcPr>
            <w:tcW w:w="540" w:type="dxa"/>
            <w:tcBorders>
              <w:top w:val="dotted" w:sz="4" w:space="0" w:color="auto"/>
              <w:left w:val="single" w:sz="6" w:space="0" w:color="auto"/>
              <w:bottom w:val="dotted" w:sz="4" w:space="0" w:color="auto"/>
              <w:right w:val="single" w:sz="6" w:space="0" w:color="auto"/>
            </w:tcBorders>
            <w:vAlign w:val="center"/>
          </w:tcPr>
          <w:p w14:paraId="519B3B0C" w14:textId="77777777" w:rsidR="007843F3" w:rsidRPr="008E63BB" w:rsidRDefault="007843F3" w:rsidP="00FA1890">
            <w:pPr>
              <w:autoSpaceDE w:val="0"/>
              <w:autoSpaceDN w:val="0"/>
              <w:adjustRightInd w:val="0"/>
              <w:spacing w:before="60" w:line="24" w:lineRule="atLeast"/>
              <w:jc w:val="center"/>
              <w:rPr>
                <w:b/>
                <w:bCs/>
                <w:szCs w:val="26"/>
              </w:rPr>
            </w:pPr>
          </w:p>
        </w:tc>
        <w:tc>
          <w:tcPr>
            <w:tcW w:w="3330" w:type="dxa"/>
            <w:tcBorders>
              <w:top w:val="dotted" w:sz="4" w:space="0" w:color="auto"/>
              <w:left w:val="single" w:sz="6" w:space="0" w:color="auto"/>
              <w:bottom w:val="dotted" w:sz="4" w:space="0" w:color="auto"/>
              <w:right w:val="single" w:sz="6" w:space="0" w:color="auto"/>
            </w:tcBorders>
            <w:vAlign w:val="center"/>
          </w:tcPr>
          <w:p w14:paraId="519B3B0D" w14:textId="77777777" w:rsidR="007843F3" w:rsidRPr="008E63BB" w:rsidRDefault="007843F3" w:rsidP="00FA1890">
            <w:pPr>
              <w:autoSpaceDE w:val="0"/>
              <w:autoSpaceDN w:val="0"/>
              <w:adjustRightInd w:val="0"/>
              <w:spacing w:before="60" w:line="24" w:lineRule="atLeast"/>
              <w:rPr>
                <w:b/>
                <w:bCs/>
                <w:szCs w:val="26"/>
              </w:rPr>
            </w:pPr>
            <w:r w:rsidRPr="008E63BB">
              <w:rPr>
                <w:b/>
                <w:bCs/>
                <w:szCs w:val="26"/>
              </w:rPr>
              <w:t>Nhu cầu phụ tải</w:t>
            </w:r>
          </w:p>
        </w:tc>
        <w:tc>
          <w:tcPr>
            <w:tcW w:w="1710" w:type="dxa"/>
            <w:tcBorders>
              <w:top w:val="dotted" w:sz="4" w:space="0" w:color="auto"/>
              <w:left w:val="single" w:sz="6" w:space="0" w:color="auto"/>
              <w:bottom w:val="dotted" w:sz="4" w:space="0" w:color="auto"/>
              <w:right w:val="single" w:sz="6" w:space="0" w:color="auto"/>
            </w:tcBorders>
            <w:vAlign w:val="center"/>
          </w:tcPr>
          <w:p w14:paraId="519B3B0E" w14:textId="77777777" w:rsidR="007843F3" w:rsidRPr="008E63BB" w:rsidRDefault="007843F3" w:rsidP="00FA1890">
            <w:pPr>
              <w:spacing w:before="60" w:line="24" w:lineRule="atLeast"/>
              <w:jc w:val="center"/>
              <w:rPr>
                <w:b/>
                <w:bCs/>
                <w:szCs w:val="26"/>
              </w:rPr>
            </w:pPr>
            <w:r w:rsidRPr="008E63BB">
              <w:rPr>
                <w:b/>
                <w:bCs/>
                <w:szCs w:val="26"/>
              </w:rPr>
              <w:t>-</w:t>
            </w:r>
          </w:p>
        </w:tc>
        <w:tc>
          <w:tcPr>
            <w:tcW w:w="1800" w:type="dxa"/>
            <w:tcBorders>
              <w:top w:val="dotted" w:sz="4" w:space="0" w:color="auto"/>
              <w:left w:val="single" w:sz="6" w:space="0" w:color="auto"/>
              <w:bottom w:val="dotted" w:sz="4" w:space="0" w:color="auto"/>
              <w:right w:val="single" w:sz="6" w:space="0" w:color="auto"/>
            </w:tcBorders>
            <w:vAlign w:val="center"/>
          </w:tcPr>
          <w:p w14:paraId="519B3B0F" w14:textId="77777777" w:rsidR="007843F3" w:rsidRPr="008E63BB" w:rsidRDefault="007843F3" w:rsidP="00FA1890">
            <w:pPr>
              <w:spacing w:before="60" w:line="24" w:lineRule="atLeast"/>
              <w:jc w:val="center"/>
              <w:rPr>
                <w:b/>
                <w:bCs/>
                <w:szCs w:val="26"/>
              </w:rPr>
            </w:pPr>
            <w:r w:rsidRPr="008E63BB">
              <w:rPr>
                <w:b/>
                <w:bCs/>
                <w:szCs w:val="26"/>
              </w:rPr>
              <w:t>642.9</w:t>
            </w:r>
          </w:p>
        </w:tc>
        <w:tc>
          <w:tcPr>
            <w:tcW w:w="1710" w:type="dxa"/>
            <w:tcBorders>
              <w:top w:val="dotted" w:sz="4" w:space="0" w:color="auto"/>
              <w:left w:val="single" w:sz="6" w:space="0" w:color="auto"/>
              <w:bottom w:val="dotted" w:sz="4" w:space="0" w:color="auto"/>
              <w:right w:val="single" w:sz="6" w:space="0" w:color="auto"/>
            </w:tcBorders>
            <w:vAlign w:val="center"/>
          </w:tcPr>
          <w:p w14:paraId="519B3B10" w14:textId="77777777" w:rsidR="007843F3" w:rsidRPr="008E63BB" w:rsidRDefault="007843F3" w:rsidP="00FA1890">
            <w:pPr>
              <w:spacing w:before="60" w:line="24" w:lineRule="atLeast"/>
              <w:jc w:val="center"/>
              <w:rPr>
                <w:szCs w:val="26"/>
              </w:rPr>
            </w:pPr>
          </w:p>
        </w:tc>
      </w:tr>
      <w:tr w:rsidR="007843F3" w:rsidRPr="008E63BB" w14:paraId="519B3B17" w14:textId="77777777" w:rsidTr="00FA1890">
        <w:trPr>
          <w:trHeight w:val="457"/>
        </w:trPr>
        <w:tc>
          <w:tcPr>
            <w:tcW w:w="540" w:type="dxa"/>
            <w:tcBorders>
              <w:top w:val="dotted" w:sz="4" w:space="0" w:color="auto"/>
              <w:left w:val="single" w:sz="6" w:space="0" w:color="auto"/>
              <w:bottom w:val="single" w:sz="6" w:space="0" w:color="auto"/>
              <w:right w:val="single" w:sz="6" w:space="0" w:color="auto"/>
            </w:tcBorders>
            <w:vAlign w:val="center"/>
          </w:tcPr>
          <w:p w14:paraId="519B3B12" w14:textId="77777777" w:rsidR="007843F3" w:rsidRPr="008E63BB" w:rsidRDefault="007843F3" w:rsidP="00FA1890">
            <w:pPr>
              <w:autoSpaceDE w:val="0"/>
              <w:autoSpaceDN w:val="0"/>
              <w:adjustRightInd w:val="0"/>
              <w:spacing w:before="60" w:line="24" w:lineRule="atLeast"/>
              <w:jc w:val="center"/>
              <w:rPr>
                <w:b/>
                <w:bCs/>
                <w:szCs w:val="26"/>
              </w:rPr>
            </w:pPr>
          </w:p>
        </w:tc>
        <w:tc>
          <w:tcPr>
            <w:tcW w:w="3330" w:type="dxa"/>
            <w:tcBorders>
              <w:top w:val="dotted" w:sz="4" w:space="0" w:color="auto"/>
              <w:left w:val="single" w:sz="6" w:space="0" w:color="auto"/>
              <w:bottom w:val="single" w:sz="6" w:space="0" w:color="auto"/>
              <w:right w:val="single" w:sz="6" w:space="0" w:color="auto"/>
            </w:tcBorders>
            <w:vAlign w:val="center"/>
          </w:tcPr>
          <w:p w14:paraId="519B3B13" w14:textId="77777777" w:rsidR="007843F3" w:rsidRPr="008E63BB" w:rsidRDefault="007843F3" w:rsidP="00FA1890">
            <w:pPr>
              <w:autoSpaceDE w:val="0"/>
              <w:autoSpaceDN w:val="0"/>
              <w:adjustRightInd w:val="0"/>
              <w:spacing w:before="60" w:line="24" w:lineRule="atLeast"/>
              <w:rPr>
                <w:b/>
                <w:bCs/>
                <w:szCs w:val="26"/>
              </w:rPr>
            </w:pPr>
            <w:r w:rsidRPr="008E63BB">
              <w:rPr>
                <w:b/>
                <w:bCs/>
                <w:szCs w:val="26"/>
              </w:rPr>
              <w:t>Cân đối</w:t>
            </w:r>
          </w:p>
        </w:tc>
        <w:tc>
          <w:tcPr>
            <w:tcW w:w="1710" w:type="dxa"/>
            <w:tcBorders>
              <w:top w:val="dotted" w:sz="4" w:space="0" w:color="auto"/>
              <w:left w:val="single" w:sz="6" w:space="0" w:color="auto"/>
              <w:bottom w:val="single" w:sz="6" w:space="0" w:color="auto"/>
              <w:right w:val="single" w:sz="6" w:space="0" w:color="auto"/>
            </w:tcBorders>
            <w:vAlign w:val="center"/>
          </w:tcPr>
          <w:p w14:paraId="519B3B14" w14:textId="77777777" w:rsidR="007843F3" w:rsidRPr="008E63BB" w:rsidRDefault="007843F3" w:rsidP="00FA1890">
            <w:pPr>
              <w:spacing w:before="60" w:line="24" w:lineRule="atLeast"/>
              <w:jc w:val="center"/>
              <w:rPr>
                <w:b/>
                <w:bCs/>
                <w:szCs w:val="26"/>
              </w:rPr>
            </w:pPr>
            <w:r w:rsidRPr="008E63BB">
              <w:rPr>
                <w:b/>
                <w:bCs/>
                <w:szCs w:val="26"/>
              </w:rPr>
              <w:t>-</w:t>
            </w:r>
          </w:p>
        </w:tc>
        <w:tc>
          <w:tcPr>
            <w:tcW w:w="1800" w:type="dxa"/>
            <w:tcBorders>
              <w:top w:val="dotted" w:sz="4" w:space="0" w:color="auto"/>
              <w:left w:val="single" w:sz="6" w:space="0" w:color="auto"/>
              <w:bottom w:val="single" w:sz="6" w:space="0" w:color="auto"/>
              <w:right w:val="single" w:sz="6" w:space="0" w:color="auto"/>
            </w:tcBorders>
            <w:vAlign w:val="center"/>
          </w:tcPr>
          <w:p w14:paraId="519B3B15" w14:textId="77777777" w:rsidR="007843F3" w:rsidRPr="008E63BB" w:rsidRDefault="007843F3" w:rsidP="00FA1890">
            <w:pPr>
              <w:spacing w:before="60" w:line="24" w:lineRule="atLeast"/>
              <w:jc w:val="center"/>
              <w:rPr>
                <w:b/>
                <w:bCs/>
                <w:szCs w:val="26"/>
              </w:rPr>
            </w:pPr>
            <w:r w:rsidRPr="008E63BB">
              <w:rPr>
                <w:b/>
                <w:bCs/>
                <w:szCs w:val="26"/>
              </w:rPr>
              <w:t>+ 195.1</w:t>
            </w:r>
          </w:p>
        </w:tc>
        <w:tc>
          <w:tcPr>
            <w:tcW w:w="1710" w:type="dxa"/>
            <w:tcBorders>
              <w:top w:val="dotted" w:sz="4" w:space="0" w:color="auto"/>
              <w:left w:val="single" w:sz="6" w:space="0" w:color="auto"/>
              <w:bottom w:val="single" w:sz="6" w:space="0" w:color="auto"/>
              <w:right w:val="single" w:sz="6" w:space="0" w:color="auto"/>
            </w:tcBorders>
            <w:vAlign w:val="center"/>
          </w:tcPr>
          <w:p w14:paraId="519B3B16" w14:textId="77777777" w:rsidR="007843F3" w:rsidRPr="008E63BB" w:rsidRDefault="007843F3" w:rsidP="00FA1890">
            <w:pPr>
              <w:spacing w:before="60" w:line="24" w:lineRule="atLeast"/>
              <w:jc w:val="center"/>
              <w:rPr>
                <w:b/>
                <w:bCs/>
                <w:szCs w:val="26"/>
              </w:rPr>
            </w:pPr>
            <w:r w:rsidRPr="008E63BB">
              <w:rPr>
                <w:b/>
                <w:bCs/>
                <w:szCs w:val="26"/>
              </w:rPr>
              <w:t>Đã đủ(77%)</w:t>
            </w:r>
          </w:p>
        </w:tc>
      </w:tr>
    </w:tbl>
    <w:p w14:paraId="519B3B18" w14:textId="77777777" w:rsidR="00207BFF" w:rsidRPr="008E63BB" w:rsidRDefault="00207BFF" w:rsidP="0065184D">
      <w:pPr>
        <w:ind w:firstLine="720"/>
        <w:rPr>
          <w:rFonts w:eastAsia="Times New Roman"/>
          <w:szCs w:val="26"/>
        </w:rPr>
      </w:pPr>
      <w:r w:rsidRPr="008E63BB">
        <w:rPr>
          <w:rFonts w:eastAsia="Times New Roman"/>
          <w:szCs w:val="26"/>
        </w:rPr>
        <w:t>b.2 Lưới điện.</w:t>
      </w:r>
    </w:p>
    <w:p w14:paraId="519B3B19" w14:textId="77777777" w:rsidR="00207BFF" w:rsidRPr="008E63BB" w:rsidRDefault="00207BFF" w:rsidP="0065184D">
      <w:pPr>
        <w:ind w:firstLine="720"/>
        <w:rPr>
          <w:rFonts w:eastAsia="Times New Roman"/>
          <w:szCs w:val="26"/>
        </w:rPr>
      </w:pPr>
      <w:r w:rsidRPr="008E63BB">
        <w:rPr>
          <w:rFonts w:eastAsia="Times New Roman"/>
          <w:szCs w:val="26"/>
        </w:rPr>
        <w:t>- Tuyến 220kV có ý nghĩa đặc biệt quan trọng với phát triển kinh tế xã hội của tỉnh Nam Định và các tỉnh lân cận, do vậy trong phạm vi đồ án này không xét đến khả năng di dời tuyến điện này.</w:t>
      </w:r>
    </w:p>
    <w:p w14:paraId="519B3B1A" w14:textId="77777777" w:rsidR="00207BFF" w:rsidRPr="008E63BB" w:rsidRDefault="00207BFF" w:rsidP="0065184D">
      <w:pPr>
        <w:ind w:firstLine="720"/>
        <w:rPr>
          <w:rFonts w:eastAsia="Times New Roman"/>
          <w:szCs w:val="26"/>
        </w:rPr>
      </w:pPr>
      <w:r w:rsidRPr="008E63BB">
        <w:rPr>
          <w:rFonts w:eastAsia="Times New Roman"/>
          <w:szCs w:val="26"/>
        </w:rPr>
        <w:t>- Tuy nhiên mạng lưới 110kV cần quyết tâm cải tạo và di dời theo các tuyến giao thông đảm bảo mỹ quan đô thị và an toàn vận hành lưới điện. Thiết kế lưới điện 110kV sẽ đảm bảo tiêu chí N-1, mỗi trạm 110kV được cấp điện từ 2 đường dây 110kV trở lên.(Chi tiết mạng lưới 110kV xem bản vẽ cấp điện).</w:t>
      </w:r>
    </w:p>
    <w:p w14:paraId="519B3B1B" w14:textId="77777777" w:rsidR="00207BFF" w:rsidRPr="008E63BB" w:rsidRDefault="00207BFF" w:rsidP="0065184D">
      <w:pPr>
        <w:ind w:firstLine="720"/>
        <w:rPr>
          <w:rFonts w:eastAsia="Times New Roman"/>
          <w:szCs w:val="26"/>
        </w:rPr>
      </w:pPr>
      <w:r w:rsidRPr="008E63BB">
        <w:rPr>
          <w:rFonts w:eastAsia="Times New Roman"/>
          <w:szCs w:val="26"/>
        </w:rPr>
        <w:t xml:space="preserve">- Lưới trung áp sẽ từng bước cải tạo về cấp điện áp 22kV phù hợp với mật độ phụ tải và đảm bảo tiêu chuẩn của nghành điện. </w:t>
      </w:r>
    </w:p>
    <w:p w14:paraId="519B3B1C" w14:textId="77777777" w:rsidR="00207BFF" w:rsidRPr="008E63BB" w:rsidRDefault="00207BFF" w:rsidP="0065184D">
      <w:pPr>
        <w:ind w:firstLine="720"/>
        <w:rPr>
          <w:rFonts w:eastAsia="Times New Roman"/>
          <w:szCs w:val="26"/>
        </w:rPr>
      </w:pPr>
      <w:r w:rsidRPr="008E63BB">
        <w:rPr>
          <w:rFonts w:eastAsia="Times New Roman"/>
          <w:szCs w:val="26"/>
        </w:rPr>
        <w:t xml:space="preserve">+ Kết cấu lưới trung áp trong từng khu phải tuân thủ nguyên tắc xây dựng dạng mạch vòng kín vận hành hở (hoặc liên kết lưới trung áp giữa các trạm 110kV). Trong chế độ làm việc bình thường, khả năng tải không vượt quá 70% công suất để đảm bảo độ </w:t>
      </w:r>
      <w:r w:rsidRPr="008E63BB">
        <w:rPr>
          <w:rFonts w:eastAsia="Times New Roman"/>
          <w:szCs w:val="26"/>
        </w:rPr>
        <w:lastRenderedPageBreak/>
        <w:t>dự phòng vận hành. Phía ngoại thị liên quan đến các công trình đầu mối khu vực có thể thiết kế dạng hình tia cùng các máy cắt phân đoạn và recloser đóng lặp lại.</w:t>
      </w:r>
    </w:p>
    <w:p w14:paraId="519B3B1D" w14:textId="77777777" w:rsidR="00207BFF" w:rsidRPr="008E63BB" w:rsidRDefault="00207BFF" w:rsidP="0065184D">
      <w:pPr>
        <w:ind w:firstLine="720"/>
        <w:rPr>
          <w:szCs w:val="26"/>
        </w:rPr>
      </w:pPr>
      <w:r w:rsidRPr="008E63BB">
        <w:rPr>
          <w:szCs w:val="26"/>
        </w:rPr>
        <w:t>+Các khu đô thị đã ổn định, về Quy hoạch lưới điện phải được ngầm hóa để đảm bảo cảnh quan đô thị, tránh đầu tư nhiều lần. Để thuận tiện trong vận hành, lắp đặt, sửa chữa đường cáp ngầm nên bố trí trong hào cáp kỹ thuật chung. Tiết diện các tuyến trục sử dụng cáp bọc XLPE - 185 cho đường dây nổi trong các khu công nghiệp và vùng ngoại thị, cáp ngầm chống thấm dọc XLPE -240 cho các khu nội thị.</w:t>
      </w:r>
    </w:p>
    <w:p w14:paraId="519B3B1E" w14:textId="77777777" w:rsidR="00207BFF" w:rsidRPr="008E63BB" w:rsidRDefault="00207BFF" w:rsidP="0065184D">
      <w:pPr>
        <w:ind w:right="-1"/>
        <w:rPr>
          <w:szCs w:val="26"/>
        </w:rPr>
      </w:pPr>
      <w:r w:rsidRPr="008E63BB">
        <w:rPr>
          <w:szCs w:val="26"/>
        </w:rPr>
        <w:t xml:space="preserve">b.3 Trạm biến áp lưới 22/0,4kV. </w:t>
      </w:r>
    </w:p>
    <w:p w14:paraId="519B3B1F" w14:textId="77777777" w:rsidR="00207BFF" w:rsidRPr="008E63BB" w:rsidRDefault="00207BFF" w:rsidP="0065184D">
      <w:pPr>
        <w:ind w:right="-1" w:firstLine="720"/>
        <w:rPr>
          <w:szCs w:val="26"/>
        </w:rPr>
      </w:pPr>
      <w:r w:rsidRPr="008E63BB">
        <w:rPr>
          <w:szCs w:val="26"/>
        </w:rPr>
        <w:t xml:space="preserve">- Trạm hạ thế trong các khu công nghiệp tuân thủ theo thiết kế về quy mô và vị trí theo từng nhà máy cụ thể. Trong khu công nghiệp không yêu cầu về hình thức mỹ quan của nhà trạm trừ các vị trí tiếp giáp với trục giao thông lớn, công trình hành chính. </w:t>
      </w:r>
    </w:p>
    <w:p w14:paraId="519B3B20" w14:textId="77777777" w:rsidR="00207BFF" w:rsidRPr="008E63BB" w:rsidRDefault="00207BFF" w:rsidP="0065184D">
      <w:pPr>
        <w:ind w:right="-1" w:firstLine="720"/>
        <w:rPr>
          <w:szCs w:val="26"/>
        </w:rPr>
      </w:pPr>
      <w:r w:rsidRPr="008E63BB">
        <w:rPr>
          <w:szCs w:val="26"/>
        </w:rPr>
        <w:t xml:space="preserve">- Trong các khu dân cư, đô thị xây mới nên sử dụng trạm kín kiểu xây hoặc hợp bộ để đảm bảo mỹ quan đô thị. Quy mô chiếm đất các trạm trong khỏang 20-40m2, đặt tại các vị trí cây xanh và trong các công trình có phụ tải lớn. </w:t>
      </w:r>
    </w:p>
    <w:p w14:paraId="519B3B21" w14:textId="77777777" w:rsidR="00207BFF" w:rsidRPr="008E63BB" w:rsidRDefault="00207BFF" w:rsidP="0065184D">
      <w:pPr>
        <w:ind w:right="-1" w:firstLine="720"/>
        <w:rPr>
          <w:szCs w:val="26"/>
        </w:rPr>
      </w:pPr>
      <w:r w:rsidRPr="008E63BB">
        <w:rPr>
          <w:szCs w:val="26"/>
        </w:rPr>
        <w:t>- Hệ thống điện hạ thế thống nhất sử dụng cấp điện áp 380/220V trung tính nối đất trực tiếp. Với khu đô thị mới đầu tư đồng bộ, lưới điện hạ thế phải đi ngầm. Vùng ngoại thị hoặc khu chưa ổn định về quy hoạch có thể đi nổi bằng cáp vặn xoắn.</w:t>
      </w:r>
    </w:p>
    <w:p w14:paraId="519B3B22" w14:textId="77777777" w:rsidR="00207BFF" w:rsidRPr="008E63BB" w:rsidRDefault="00207BFF" w:rsidP="0065184D">
      <w:pPr>
        <w:ind w:right="-1" w:firstLine="720"/>
        <w:rPr>
          <w:szCs w:val="26"/>
        </w:rPr>
      </w:pPr>
      <w:r w:rsidRPr="008E63BB">
        <w:rPr>
          <w:szCs w:val="26"/>
        </w:rPr>
        <w:t xml:space="preserve">- Lưới điện hạ thế có bán kính cấp điện không quá 300m trong đô thị, không quá 500m phạm vi ngoài đô thị nhằm tránh độ sụt áp cuối đường dây quá định mức cho phép. </w:t>
      </w:r>
    </w:p>
    <w:p w14:paraId="519B3B23" w14:textId="77777777" w:rsidR="00207BFF" w:rsidRPr="008E63BB" w:rsidRDefault="00207BFF" w:rsidP="0065184D">
      <w:pPr>
        <w:ind w:right="-1" w:firstLine="720"/>
        <w:rPr>
          <w:szCs w:val="26"/>
        </w:rPr>
      </w:pPr>
      <w:r w:rsidRPr="008E63BB">
        <w:rPr>
          <w:szCs w:val="26"/>
        </w:rPr>
        <w:t xml:space="preserve">- Lưới chiếu sáng: </w:t>
      </w:r>
    </w:p>
    <w:p w14:paraId="519B3B24" w14:textId="77777777" w:rsidR="00207BFF" w:rsidRPr="008E63BB" w:rsidRDefault="00207BFF" w:rsidP="0065184D">
      <w:pPr>
        <w:ind w:right="-1" w:firstLine="720"/>
        <w:rPr>
          <w:szCs w:val="26"/>
        </w:rPr>
      </w:pPr>
      <w:r w:rsidRPr="008E63BB">
        <w:rPr>
          <w:szCs w:val="26"/>
        </w:rPr>
        <w:t xml:space="preserve">Xây dựng hoàn chỉnh toàn bộ mạng lưới chiếu sáng đèn đường, chiếu sáng cảnh quan </w:t>
      </w:r>
      <w:r w:rsidR="00D37901" w:rsidRPr="008E63BB">
        <w:rPr>
          <w:szCs w:val="26"/>
        </w:rPr>
        <w:t>-</w:t>
      </w:r>
      <w:r w:rsidRPr="008E63BB">
        <w:rPr>
          <w:szCs w:val="26"/>
        </w:rPr>
        <w:t xml:space="preserve"> lễ hội cho khu vực nghiên cứu. Bổ sung các tuyến chiếu sáng cho các trục đường và các khu dân cư. </w:t>
      </w:r>
    </w:p>
    <w:p w14:paraId="519B3B25" w14:textId="77777777" w:rsidR="00207BFF" w:rsidRPr="008E63BB" w:rsidRDefault="00207BFF" w:rsidP="0065184D">
      <w:pPr>
        <w:ind w:right="-1" w:firstLine="720"/>
        <w:rPr>
          <w:szCs w:val="26"/>
        </w:rPr>
      </w:pPr>
      <w:r w:rsidRPr="008E63BB">
        <w:rPr>
          <w:szCs w:val="26"/>
        </w:rPr>
        <w:t>Các tuyến chiếu sáng trục chính nên sử dụng kiểu chiếu sáng độc lập bằng hệ thống cột thép mạ kẽm nhúng nóng. Trong khu dân cư, lưới chiếu sáng có thể đi chung cột với tuyến điện 0,4kV cấp cho sinh hoạt.</w:t>
      </w:r>
    </w:p>
    <w:p w14:paraId="519B3B26" w14:textId="77777777" w:rsidR="000A2F16" w:rsidRPr="008E63BB" w:rsidRDefault="00207BFF" w:rsidP="0065184D">
      <w:pPr>
        <w:ind w:right="-1" w:firstLine="720"/>
        <w:rPr>
          <w:szCs w:val="26"/>
        </w:rPr>
      </w:pPr>
      <w:r w:rsidRPr="008E63BB">
        <w:rPr>
          <w:szCs w:val="26"/>
        </w:rPr>
        <w:t xml:space="preserve">Các tuyến đường có mặt cắt ≥ 10,5m sẽ được bố trí chiếu sáng 2 bên đường, </w:t>
      </w:r>
      <w:r w:rsidRPr="008E63BB">
        <w:rPr>
          <w:szCs w:val="26"/>
        </w:rPr>
        <w:sym w:font="Symbol" w:char="F0A3"/>
      </w:r>
      <w:r w:rsidRPr="008E63BB">
        <w:rPr>
          <w:szCs w:val="26"/>
        </w:rPr>
        <w:t xml:space="preserve"> 10,5m chiếu sáng một bên đường. Đèn sử dụng các loại có hiệu suất quang cao như đèn Sodium, đèn LED, công suất từ 220V-150W đến 220V-400W. Các đường trục chính trong đô thị tuyến chiếu sáng bố trí đi ngầm dùng cáp đồng, tiết diện không nhỏ hơn XLPE-3x16+1x10mm2</w:t>
      </w:r>
      <w:bookmarkEnd w:id="494"/>
      <w:r w:rsidR="00937461" w:rsidRPr="008E63BB">
        <w:rPr>
          <w:szCs w:val="26"/>
        </w:rPr>
        <w:t>.</w:t>
      </w:r>
    </w:p>
    <w:p w14:paraId="519B3B27" w14:textId="77777777" w:rsidR="0058259F" w:rsidRPr="008E63BB" w:rsidRDefault="00DE21CF" w:rsidP="0065184D">
      <w:pPr>
        <w:pStyle w:val="Heading2"/>
        <w:spacing w:before="0" w:after="0"/>
        <w:rPr>
          <w:kern w:val="32"/>
          <w:lang w:val="vi-VN"/>
        </w:rPr>
      </w:pPr>
      <w:bookmarkStart w:id="500" w:name="_Toc47524724"/>
      <w:r w:rsidRPr="008E63BB">
        <w:rPr>
          <w:kern w:val="32"/>
        </w:rPr>
        <w:t>6</w:t>
      </w:r>
      <w:r w:rsidR="0058259F" w:rsidRPr="008E63BB">
        <w:rPr>
          <w:kern w:val="32"/>
          <w:lang w:val="vi-VN"/>
        </w:rPr>
        <w:t>.5. Định hướngthoát nước thải, quản lý chất thải rắn và nghĩa trang</w:t>
      </w:r>
      <w:bookmarkEnd w:id="495"/>
      <w:bookmarkEnd w:id="496"/>
      <w:bookmarkEnd w:id="497"/>
      <w:bookmarkEnd w:id="498"/>
      <w:bookmarkEnd w:id="499"/>
      <w:bookmarkEnd w:id="500"/>
    </w:p>
    <w:p w14:paraId="519B3B28" w14:textId="77777777" w:rsidR="00244409" w:rsidRPr="008E63BB" w:rsidRDefault="00244409" w:rsidP="0065184D">
      <w:pPr>
        <w:keepNext/>
        <w:outlineLvl w:val="3"/>
        <w:rPr>
          <w:i/>
          <w:szCs w:val="26"/>
          <w:lang w:val="vi-VN"/>
        </w:rPr>
      </w:pPr>
      <w:r w:rsidRPr="008E63BB">
        <w:rPr>
          <w:i/>
          <w:szCs w:val="26"/>
          <w:lang w:val="vi-VN"/>
        </w:rPr>
        <w:t>a.  Khối lượng tính toán:</w:t>
      </w:r>
    </w:p>
    <w:p w14:paraId="519B3B29" w14:textId="77777777" w:rsidR="00244409" w:rsidRPr="008E63BB" w:rsidRDefault="00244409" w:rsidP="0065184D">
      <w:pPr>
        <w:pStyle w:val="Heading6"/>
        <w:tabs>
          <w:tab w:val="num" w:pos="2508"/>
        </w:tabs>
        <w:spacing w:before="0" w:after="0"/>
        <w:rPr>
          <w:b w:val="0"/>
          <w:lang w:val="vi-VN"/>
        </w:rPr>
      </w:pPr>
      <w:r w:rsidRPr="008E63BB">
        <w:rPr>
          <w:lang w:val="vi-VN"/>
        </w:rPr>
        <w:t xml:space="preserve">Bảng: </w:t>
      </w:r>
      <w:r w:rsidRPr="008E63BB">
        <w:rPr>
          <w:b w:val="0"/>
          <w:lang w:val="vi-VN"/>
        </w:rPr>
        <w:t>Tính toán khối lượng chất thải và nhu cầu đất nghĩa trang của thành phố đến năm  2040.</w:t>
      </w:r>
    </w:p>
    <w:tbl>
      <w:tblPr>
        <w:tblW w:w="9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1"/>
        <w:gridCol w:w="2899"/>
        <w:gridCol w:w="1887"/>
        <w:gridCol w:w="1885"/>
        <w:gridCol w:w="1886"/>
      </w:tblGrid>
      <w:tr w:rsidR="00167229" w:rsidRPr="008E63BB" w14:paraId="519B3B2D" w14:textId="77777777" w:rsidTr="00EE602B">
        <w:trPr>
          <w:trHeight w:val="13"/>
          <w:tblHeader/>
        </w:trPr>
        <w:tc>
          <w:tcPr>
            <w:tcW w:w="691" w:type="dxa"/>
            <w:vMerge w:val="restart"/>
            <w:vAlign w:val="center"/>
            <w:hideMark/>
          </w:tcPr>
          <w:p w14:paraId="519B3B2A" w14:textId="77777777" w:rsidR="00167229" w:rsidRPr="008E63BB" w:rsidRDefault="00167229" w:rsidP="00EE602B">
            <w:pPr>
              <w:ind w:firstLine="720"/>
              <w:jc w:val="center"/>
              <w:rPr>
                <w:rFonts w:eastAsia="Times New Roman"/>
                <w:b/>
                <w:bCs/>
                <w:sz w:val="24"/>
                <w:szCs w:val="24"/>
                <w:lang w:eastAsia="zh-TW"/>
              </w:rPr>
            </w:pPr>
            <w:r w:rsidRPr="008E63BB">
              <w:rPr>
                <w:rFonts w:eastAsia="Times New Roman"/>
                <w:b/>
                <w:bCs/>
                <w:sz w:val="24"/>
                <w:szCs w:val="24"/>
                <w:lang w:eastAsia="zh-TW"/>
              </w:rPr>
              <w:t>TTT</w:t>
            </w:r>
          </w:p>
        </w:tc>
        <w:tc>
          <w:tcPr>
            <w:tcW w:w="2899" w:type="dxa"/>
            <w:vMerge w:val="restart"/>
            <w:vAlign w:val="center"/>
            <w:hideMark/>
          </w:tcPr>
          <w:p w14:paraId="519B3B2B"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Hạng mục</w:t>
            </w:r>
          </w:p>
        </w:tc>
        <w:tc>
          <w:tcPr>
            <w:tcW w:w="5658" w:type="dxa"/>
            <w:gridSpan w:val="3"/>
            <w:vAlign w:val="center"/>
            <w:hideMark/>
          </w:tcPr>
          <w:p w14:paraId="519B3B2C"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Dài hạn (đến năm 2040)</w:t>
            </w:r>
          </w:p>
        </w:tc>
      </w:tr>
      <w:tr w:rsidR="00167229" w:rsidRPr="008E63BB" w14:paraId="519B3B33" w14:textId="77777777" w:rsidTr="00EE602B">
        <w:trPr>
          <w:trHeight w:val="13"/>
          <w:tblHeader/>
        </w:trPr>
        <w:tc>
          <w:tcPr>
            <w:tcW w:w="691" w:type="dxa"/>
            <w:vMerge/>
            <w:vAlign w:val="center"/>
            <w:hideMark/>
          </w:tcPr>
          <w:p w14:paraId="519B3B2E" w14:textId="77777777" w:rsidR="00167229" w:rsidRPr="008E63BB" w:rsidRDefault="00167229" w:rsidP="00EE602B">
            <w:pPr>
              <w:rPr>
                <w:rFonts w:eastAsia="Times New Roman"/>
                <w:b/>
                <w:bCs/>
                <w:sz w:val="24"/>
                <w:szCs w:val="24"/>
                <w:lang w:eastAsia="zh-TW"/>
              </w:rPr>
            </w:pPr>
          </w:p>
        </w:tc>
        <w:tc>
          <w:tcPr>
            <w:tcW w:w="2899" w:type="dxa"/>
            <w:vMerge/>
            <w:vAlign w:val="center"/>
            <w:hideMark/>
          </w:tcPr>
          <w:p w14:paraId="519B3B2F" w14:textId="77777777" w:rsidR="00167229" w:rsidRPr="008E63BB" w:rsidRDefault="00167229" w:rsidP="00EE602B">
            <w:pPr>
              <w:rPr>
                <w:rFonts w:eastAsia="Times New Roman"/>
                <w:b/>
                <w:bCs/>
                <w:sz w:val="24"/>
                <w:szCs w:val="24"/>
                <w:lang w:eastAsia="zh-TW"/>
              </w:rPr>
            </w:pPr>
          </w:p>
        </w:tc>
        <w:tc>
          <w:tcPr>
            <w:tcW w:w="1887" w:type="dxa"/>
            <w:vAlign w:val="center"/>
            <w:hideMark/>
          </w:tcPr>
          <w:p w14:paraId="519B3B30"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Tiêu chuẩn</w:t>
            </w:r>
          </w:p>
        </w:tc>
        <w:tc>
          <w:tcPr>
            <w:tcW w:w="1885" w:type="dxa"/>
            <w:vAlign w:val="center"/>
            <w:hideMark/>
          </w:tcPr>
          <w:p w14:paraId="519B3B31"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Quy mô</w:t>
            </w:r>
          </w:p>
        </w:tc>
        <w:tc>
          <w:tcPr>
            <w:tcW w:w="1886" w:type="dxa"/>
            <w:vAlign w:val="center"/>
            <w:hideMark/>
          </w:tcPr>
          <w:p w14:paraId="519B3B32"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Khối lượng</w:t>
            </w:r>
          </w:p>
        </w:tc>
      </w:tr>
      <w:tr w:rsidR="00167229" w:rsidRPr="008E63BB" w14:paraId="519B3B39" w14:textId="77777777" w:rsidTr="00EE602B">
        <w:trPr>
          <w:trHeight w:val="368"/>
        </w:trPr>
        <w:tc>
          <w:tcPr>
            <w:tcW w:w="691" w:type="dxa"/>
            <w:vAlign w:val="center"/>
            <w:hideMark/>
          </w:tcPr>
          <w:p w14:paraId="519B3B34" w14:textId="77777777" w:rsidR="00167229" w:rsidRPr="008E63BB" w:rsidRDefault="00167229" w:rsidP="00EE602B">
            <w:pPr>
              <w:ind w:right="-108" w:firstLine="720"/>
              <w:jc w:val="center"/>
              <w:rPr>
                <w:rFonts w:eastAsia="Times New Roman"/>
                <w:b/>
                <w:bCs/>
                <w:sz w:val="24"/>
                <w:szCs w:val="24"/>
                <w:lang w:eastAsia="zh-TW"/>
              </w:rPr>
            </w:pPr>
            <w:r w:rsidRPr="008E63BB">
              <w:rPr>
                <w:rFonts w:eastAsia="Times New Roman"/>
                <w:b/>
                <w:bCs/>
                <w:sz w:val="24"/>
                <w:szCs w:val="24"/>
                <w:lang w:eastAsia="zh-TW"/>
              </w:rPr>
              <w:t>I</w:t>
            </w:r>
          </w:p>
        </w:tc>
        <w:tc>
          <w:tcPr>
            <w:tcW w:w="2899" w:type="dxa"/>
            <w:vAlign w:val="center"/>
            <w:hideMark/>
          </w:tcPr>
          <w:p w14:paraId="519B3B35" w14:textId="77777777" w:rsidR="00167229" w:rsidRPr="008E63BB" w:rsidRDefault="00167229" w:rsidP="00EE602B">
            <w:pPr>
              <w:rPr>
                <w:rFonts w:eastAsia="Times New Roman"/>
                <w:b/>
                <w:bCs/>
                <w:sz w:val="24"/>
                <w:szCs w:val="24"/>
                <w:lang w:eastAsia="zh-TW"/>
              </w:rPr>
            </w:pPr>
            <w:r w:rsidRPr="008E63BB">
              <w:rPr>
                <w:rFonts w:eastAsia="Times New Roman"/>
                <w:b/>
                <w:bCs/>
                <w:sz w:val="24"/>
                <w:szCs w:val="24"/>
                <w:lang w:eastAsia="zh-TW"/>
              </w:rPr>
              <w:t>I. Nước thải</w:t>
            </w:r>
          </w:p>
        </w:tc>
        <w:tc>
          <w:tcPr>
            <w:tcW w:w="1887" w:type="dxa"/>
            <w:vAlign w:val="center"/>
            <w:hideMark/>
          </w:tcPr>
          <w:p w14:paraId="519B3B36"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 </w:t>
            </w:r>
          </w:p>
        </w:tc>
        <w:tc>
          <w:tcPr>
            <w:tcW w:w="1885" w:type="dxa"/>
            <w:vAlign w:val="center"/>
            <w:hideMark/>
          </w:tcPr>
          <w:p w14:paraId="519B3B37" w14:textId="77777777" w:rsidR="00167229" w:rsidRPr="008E63BB" w:rsidRDefault="00167229" w:rsidP="00EE602B">
            <w:pPr>
              <w:jc w:val="center"/>
              <w:rPr>
                <w:rFonts w:eastAsia="Times New Roman"/>
                <w:b/>
                <w:bCs/>
                <w:sz w:val="24"/>
                <w:szCs w:val="24"/>
                <w:lang w:eastAsia="zh-TW"/>
              </w:rPr>
            </w:pPr>
          </w:p>
        </w:tc>
        <w:tc>
          <w:tcPr>
            <w:tcW w:w="1886" w:type="dxa"/>
            <w:vAlign w:val="center"/>
            <w:hideMark/>
          </w:tcPr>
          <w:p w14:paraId="519B3B38"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 xml:space="preserve">111.732 </w:t>
            </w:r>
            <w:r w:rsidRPr="008E63BB">
              <w:rPr>
                <w:rFonts w:eastAsia="Times New Roman"/>
                <w:b/>
                <w:sz w:val="24"/>
                <w:szCs w:val="24"/>
                <w:lang w:eastAsia="zh-TW"/>
              </w:rPr>
              <w:t>m</w:t>
            </w:r>
            <w:r w:rsidRPr="008E63BB">
              <w:rPr>
                <w:rFonts w:eastAsia="Times New Roman"/>
                <w:b/>
                <w:sz w:val="24"/>
                <w:szCs w:val="24"/>
                <w:vertAlign w:val="superscript"/>
                <w:lang w:eastAsia="zh-TW"/>
              </w:rPr>
              <w:t>3</w:t>
            </w:r>
            <w:r w:rsidRPr="008E63BB">
              <w:rPr>
                <w:rFonts w:eastAsia="Times New Roman"/>
                <w:b/>
                <w:sz w:val="24"/>
                <w:szCs w:val="24"/>
                <w:lang w:eastAsia="zh-TW"/>
              </w:rPr>
              <w:t>/ngđ</w:t>
            </w:r>
          </w:p>
        </w:tc>
      </w:tr>
      <w:tr w:rsidR="00167229" w:rsidRPr="008E63BB" w14:paraId="519B3B3F" w14:textId="77777777" w:rsidTr="00EE602B">
        <w:trPr>
          <w:trHeight w:val="368"/>
        </w:trPr>
        <w:tc>
          <w:tcPr>
            <w:tcW w:w="691" w:type="dxa"/>
            <w:vAlign w:val="center"/>
            <w:hideMark/>
          </w:tcPr>
          <w:p w14:paraId="519B3B3A" w14:textId="77777777" w:rsidR="00167229" w:rsidRPr="008E63BB" w:rsidRDefault="00167229" w:rsidP="00EE602B">
            <w:pPr>
              <w:ind w:firstLine="720"/>
              <w:jc w:val="center"/>
              <w:rPr>
                <w:rFonts w:eastAsia="Times New Roman"/>
                <w:sz w:val="24"/>
                <w:szCs w:val="24"/>
                <w:lang w:eastAsia="zh-TW"/>
              </w:rPr>
            </w:pPr>
            <w:r w:rsidRPr="008E63BB">
              <w:rPr>
                <w:rFonts w:eastAsia="Times New Roman"/>
                <w:sz w:val="24"/>
                <w:szCs w:val="24"/>
                <w:lang w:eastAsia="zh-TW"/>
              </w:rPr>
              <w:t>1</w:t>
            </w:r>
          </w:p>
        </w:tc>
        <w:tc>
          <w:tcPr>
            <w:tcW w:w="2899" w:type="dxa"/>
            <w:vAlign w:val="center"/>
            <w:hideMark/>
          </w:tcPr>
          <w:p w14:paraId="519B3B3B"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Dân cư nội thị</w:t>
            </w:r>
          </w:p>
        </w:tc>
        <w:tc>
          <w:tcPr>
            <w:tcW w:w="1887" w:type="dxa"/>
            <w:vAlign w:val="center"/>
            <w:hideMark/>
          </w:tcPr>
          <w:p w14:paraId="519B3B3C"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150 l/ng.ngđ</w:t>
            </w:r>
          </w:p>
        </w:tc>
        <w:tc>
          <w:tcPr>
            <w:tcW w:w="1885" w:type="dxa"/>
            <w:vAlign w:val="center"/>
            <w:hideMark/>
          </w:tcPr>
          <w:p w14:paraId="519B3B3D"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485.500 người</w:t>
            </w:r>
          </w:p>
        </w:tc>
        <w:tc>
          <w:tcPr>
            <w:tcW w:w="1886" w:type="dxa"/>
            <w:vAlign w:val="center"/>
            <w:hideMark/>
          </w:tcPr>
          <w:p w14:paraId="519B3B3E"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72825 m</w:t>
            </w:r>
            <w:r w:rsidRPr="008E63BB">
              <w:rPr>
                <w:rFonts w:eastAsia="Times New Roman"/>
                <w:sz w:val="24"/>
                <w:szCs w:val="24"/>
                <w:vertAlign w:val="superscript"/>
                <w:lang w:eastAsia="zh-TW"/>
              </w:rPr>
              <w:t>3</w:t>
            </w:r>
            <w:r w:rsidRPr="008E63BB">
              <w:rPr>
                <w:rFonts w:eastAsia="Times New Roman"/>
                <w:sz w:val="24"/>
                <w:szCs w:val="24"/>
                <w:lang w:eastAsia="zh-TW"/>
              </w:rPr>
              <w:t>/ngđ</w:t>
            </w:r>
          </w:p>
        </w:tc>
      </w:tr>
      <w:tr w:rsidR="00167229" w:rsidRPr="008E63BB" w14:paraId="519B3B45" w14:textId="77777777" w:rsidTr="00EE602B">
        <w:trPr>
          <w:trHeight w:val="368"/>
        </w:trPr>
        <w:tc>
          <w:tcPr>
            <w:tcW w:w="691" w:type="dxa"/>
            <w:vAlign w:val="center"/>
            <w:hideMark/>
          </w:tcPr>
          <w:p w14:paraId="519B3B40" w14:textId="77777777" w:rsidR="00167229" w:rsidRPr="008E63BB" w:rsidRDefault="00167229" w:rsidP="00EE602B">
            <w:pPr>
              <w:ind w:firstLine="720"/>
              <w:jc w:val="center"/>
              <w:rPr>
                <w:rFonts w:eastAsia="Times New Roman"/>
                <w:sz w:val="24"/>
                <w:szCs w:val="24"/>
                <w:lang w:eastAsia="zh-TW"/>
              </w:rPr>
            </w:pPr>
            <w:r w:rsidRPr="008E63BB">
              <w:rPr>
                <w:rFonts w:eastAsia="Times New Roman"/>
                <w:sz w:val="24"/>
                <w:szCs w:val="24"/>
                <w:lang w:eastAsia="zh-TW"/>
              </w:rPr>
              <w:t>2</w:t>
            </w:r>
          </w:p>
        </w:tc>
        <w:tc>
          <w:tcPr>
            <w:tcW w:w="2899" w:type="dxa"/>
            <w:vAlign w:val="center"/>
            <w:hideMark/>
          </w:tcPr>
          <w:p w14:paraId="519B3B41"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Dân cư ngoại thị</w:t>
            </w:r>
          </w:p>
        </w:tc>
        <w:tc>
          <w:tcPr>
            <w:tcW w:w="1887" w:type="dxa"/>
            <w:vAlign w:val="center"/>
            <w:hideMark/>
          </w:tcPr>
          <w:p w14:paraId="519B3B42"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100 l/ng.ngđ</w:t>
            </w:r>
          </w:p>
        </w:tc>
        <w:tc>
          <w:tcPr>
            <w:tcW w:w="1885" w:type="dxa"/>
            <w:vAlign w:val="center"/>
            <w:hideMark/>
          </w:tcPr>
          <w:p w14:paraId="519B3B43"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114.500 người</w:t>
            </w:r>
          </w:p>
        </w:tc>
        <w:tc>
          <w:tcPr>
            <w:tcW w:w="1886" w:type="dxa"/>
            <w:vAlign w:val="center"/>
            <w:hideMark/>
          </w:tcPr>
          <w:p w14:paraId="519B3B44"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11450 m</w:t>
            </w:r>
            <w:r w:rsidRPr="008E63BB">
              <w:rPr>
                <w:rFonts w:eastAsia="Times New Roman"/>
                <w:sz w:val="24"/>
                <w:szCs w:val="24"/>
                <w:vertAlign w:val="superscript"/>
                <w:lang w:eastAsia="zh-TW"/>
              </w:rPr>
              <w:t>3</w:t>
            </w:r>
            <w:r w:rsidRPr="008E63BB">
              <w:rPr>
                <w:rFonts w:eastAsia="Times New Roman"/>
                <w:sz w:val="24"/>
                <w:szCs w:val="24"/>
                <w:lang w:eastAsia="zh-TW"/>
              </w:rPr>
              <w:t>/ngđ</w:t>
            </w:r>
          </w:p>
        </w:tc>
      </w:tr>
      <w:tr w:rsidR="00167229" w:rsidRPr="008E63BB" w14:paraId="519B3B4B" w14:textId="77777777" w:rsidTr="00EE602B">
        <w:trPr>
          <w:trHeight w:val="368"/>
        </w:trPr>
        <w:tc>
          <w:tcPr>
            <w:tcW w:w="691" w:type="dxa"/>
            <w:vAlign w:val="center"/>
            <w:hideMark/>
          </w:tcPr>
          <w:p w14:paraId="519B3B46" w14:textId="77777777" w:rsidR="00167229" w:rsidRPr="008E63BB" w:rsidRDefault="00167229" w:rsidP="00EE602B">
            <w:pPr>
              <w:ind w:firstLine="720"/>
              <w:jc w:val="center"/>
              <w:rPr>
                <w:rFonts w:eastAsia="Times New Roman"/>
                <w:sz w:val="24"/>
                <w:szCs w:val="24"/>
                <w:lang w:eastAsia="zh-TW"/>
              </w:rPr>
            </w:pPr>
            <w:r w:rsidRPr="008E63BB">
              <w:rPr>
                <w:rFonts w:eastAsia="Times New Roman"/>
                <w:sz w:val="24"/>
                <w:szCs w:val="24"/>
                <w:lang w:eastAsia="zh-TW"/>
              </w:rPr>
              <w:t>3</w:t>
            </w:r>
          </w:p>
        </w:tc>
        <w:tc>
          <w:tcPr>
            <w:tcW w:w="2899" w:type="dxa"/>
            <w:vAlign w:val="center"/>
            <w:hideMark/>
          </w:tcPr>
          <w:p w14:paraId="519B3B47"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Công trình công cộng</w:t>
            </w:r>
          </w:p>
        </w:tc>
        <w:tc>
          <w:tcPr>
            <w:tcW w:w="1887" w:type="dxa"/>
            <w:vAlign w:val="center"/>
            <w:hideMark/>
          </w:tcPr>
          <w:p w14:paraId="519B3B48"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15% sinh hoạt</w:t>
            </w:r>
          </w:p>
        </w:tc>
        <w:tc>
          <w:tcPr>
            <w:tcW w:w="1885" w:type="dxa"/>
            <w:vAlign w:val="center"/>
            <w:hideMark/>
          </w:tcPr>
          <w:p w14:paraId="519B3B49" w14:textId="77777777" w:rsidR="00167229" w:rsidRPr="008E63BB" w:rsidRDefault="00167229" w:rsidP="00EE602B">
            <w:pPr>
              <w:jc w:val="center"/>
              <w:rPr>
                <w:rFonts w:eastAsia="Times New Roman"/>
                <w:sz w:val="24"/>
                <w:szCs w:val="24"/>
                <w:lang w:eastAsia="zh-TW"/>
              </w:rPr>
            </w:pPr>
          </w:p>
        </w:tc>
        <w:tc>
          <w:tcPr>
            <w:tcW w:w="1886" w:type="dxa"/>
            <w:vAlign w:val="center"/>
            <w:hideMark/>
          </w:tcPr>
          <w:p w14:paraId="519B3B4A"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10923 m</w:t>
            </w:r>
            <w:r w:rsidRPr="008E63BB">
              <w:rPr>
                <w:rFonts w:eastAsia="Times New Roman"/>
                <w:sz w:val="24"/>
                <w:szCs w:val="24"/>
                <w:vertAlign w:val="superscript"/>
                <w:lang w:eastAsia="zh-TW"/>
              </w:rPr>
              <w:t>3</w:t>
            </w:r>
            <w:r w:rsidRPr="008E63BB">
              <w:rPr>
                <w:rFonts w:eastAsia="Times New Roman"/>
                <w:sz w:val="24"/>
                <w:szCs w:val="24"/>
                <w:lang w:eastAsia="zh-TW"/>
              </w:rPr>
              <w:t>/ngđ</w:t>
            </w:r>
          </w:p>
        </w:tc>
      </w:tr>
      <w:tr w:rsidR="00167229" w:rsidRPr="008E63BB" w14:paraId="519B3B51" w14:textId="77777777" w:rsidTr="00EE602B">
        <w:trPr>
          <w:trHeight w:val="368"/>
        </w:trPr>
        <w:tc>
          <w:tcPr>
            <w:tcW w:w="691" w:type="dxa"/>
            <w:vAlign w:val="center"/>
            <w:hideMark/>
          </w:tcPr>
          <w:p w14:paraId="519B3B4C" w14:textId="77777777" w:rsidR="00167229" w:rsidRPr="008E63BB" w:rsidRDefault="00167229" w:rsidP="00EE602B">
            <w:pPr>
              <w:ind w:firstLine="720"/>
              <w:jc w:val="center"/>
              <w:rPr>
                <w:rFonts w:eastAsia="Times New Roman"/>
                <w:sz w:val="24"/>
                <w:szCs w:val="24"/>
                <w:lang w:eastAsia="zh-TW"/>
              </w:rPr>
            </w:pPr>
            <w:r w:rsidRPr="008E63BB">
              <w:rPr>
                <w:rFonts w:eastAsia="Times New Roman"/>
                <w:sz w:val="24"/>
                <w:szCs w:val="24"/>
                <w:lang w:eastAsia="zh-TW"/>
              </w:rPr>
              <w:t>4</w:t>
            </w:r>
          </w:p>
        </w:tc>
        <w:tc>
          <w:tcPr>
            <w:tcW w:w="2899" w:type="dxa"/>
            <w:vAlign w:val="center"/>
            <w:hideMark/>
          </w:tcPr>
          <w:p w14:paraId="519B3B4D"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Khu/ cụm công nghiệp</w:t>
            </w:r>
          </w:p>
        </w:tc>
        <w:tc>
          <w:tcPr>
            <w:tcW w:w="1887" w:type="dxa"/>
            <w:vAlign w:val="center"/>
            <w:hideMark/>
          </w:tcPr>
          <w:p w14:paraId="519B3B4E"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20 m</w:t>
            </w:r>
            <w:r w:rsidRPr="008E63BB">
              <w:rPr>
                <w:rFonts w:eastAsia="Times New Roman"/>
                <w:sz w:val="24"/>
                <w:szCs w:val="24"/>
                <w:vertAlign w:val="superscript"/>
                <w:lang w:eastAsia="zh-TW"/>
              </w:rPr>
              <w:t>3</w:t>
            </w:r>
            <w:r w:rsidRPr="008E63BB">
              <w:rPr>
                <w:rFonts w:eastAsia="Times New Roman"/>
                <w:sz w:val="24"/>
                <w:szCs w:val="24"/>
                <w:lang w:eastAsia="zh-TW"/>
              </w:rPr>
              <w:t>/ha.ngđ</w:t>
            </w:r>
          </w:p>
        </w:tc>
        <w:tc>
          <w:tcPr>
            <w:tcW w:w="1885" w:type="dxa"/>
            <w:vAlign w:val="center"/>
            <w:hideMark/>
          </w:tcPr>
          <w:p w14:paraId="519B3B4F"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1181 ha</w:t>
            </w:r>
          </w:p>
        </w:tc>
        <w:tc>
          <w:tcPr>
            <w:tcW w:w="1886" w:type="dxa"/>
            <w:vAlign w:val="center"/>
            <w:hideMark/>
          </w:tcPr>
          <w:p w14:paraId="519B3B50"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16534 m</w:t>
            </w:r>
            <w:r w:rsidRPr="008E63BB">
              <w:rPr>
                <w:rFonts w:eastAsia="Times New Roman"/>
                <w:sz w:val="24"/>
                <w:szCs w:val="24"/>
                <w:vertAlign w:val="superscript"/>
                <w:lang w:eastAsia="zh-TW"/>
              </w:rPr>
              <w:t>3</w:t>
            </w:r>
            <w:r w:rsidRPr="008E63BB">
              <w:rPr>
                <w:rFonts w:eastAsia="Times New Roman"/>
                <w:sz w:val="24"/>
                <w:szCs w:val="24"/>
                <w:lang w:eastAsia="zh-TW"/>
              </w:rPr>
              <w:t>/ngđ</w:t>
            </w:r>
          </w:p>
        </w:tc>
      </w:tr>
      <w:tr w:rsidR="00167229" w:rsidRPr="008E63BB" w14:paraId="519B3B57" w14:textId="77777777" w:rsidTr="00EE602B">
        <w:trPr>
          <w:trHeight w:val="233"/>
        </w:trPr>
        <w:tc>
          <w:tcPr>
            <w:tcW w:w="691" w:type="dxa"/>
            <w:vAlign w:val="center"/>
            <w:hideMark/>
          </w:tcPr>
          <w:p w14:paraId="519B3B52" w14:textId="77777777" w:rsidR="00167229" w:rsidRPr="008E63BB" w:rsidRDefault="00167229" w:rsidP="00EE602B">
            <w:pPr>
              <w:ind w:firstLine="720"/>
              <w:rPr>
                <w:rFonts w:eastAsia="Times New Roman"/>
                <w:b/>
                <w:bCs/>
                <w:sz w:val="24"/>
                <w:szCs w:val="24"/>
                <w:lang w:eastAsia="zh-TW"/>
              </w:rPr>
            </w:pPr>
            <w:r w:rsidRPr="008E63BB">
              <w:rPr>
                <w:rFonts w:eastAsia="Times New Roman"/>
                <w:b/>
                <w:bCs/>
                <w:sz w:val="24"/>
                <w:szCs w:val="24"/>
                <w:lang w:eastAsia="zh-TW"/>
              </w:rPr>
              <w:t>I</w:t>
            </w:r>
          </w:p>
        </w:tc>
        <w:tc>
          <w:tcPr>
            <w:tcW w:w="2899" w:type="dxa"/>
            <w:vAlign w:val="center"/>
            <w:hideMark/>
          </w:tcPr>
          <w:p w14:paraId="519B3B53" w14:textId="77777777" w:rsidR="00167229" w:rsidRPr="008E63BB" w:rsidRDefault="00167229" w:rsidP="00EE602B">
            <w:pPr>
              <w:rPr>
                <w:rFonts w:eastAsia="Times New Roman"/>
                <w:b/>
                <w:bCs/>
                <w:sz w:val="24"/>
                <w:szCs w:val="24"/>
                <w:lang w:eastAsia="zh-TW"/>
              </w:rPr>
            </w:pPr>
            <w:r w:rsidRPr="008E63BB">
              <w:rPr>
                <w:rFonts w:eastAsia="Times New Roman"/>
                <w:b/>
                <w:bCs/>
                <w:sz w:val="24"/>
                <w:szCs w:val="24"/>
                <w:lang w:eastAsia="zh-TW"/>
              </w:rPr>
              <w:t>II. Chất thải rắn</w:t>
            </w:r>
          </w:p>
        </w:tc>
        <w:tc>
          <w:tcPr>
            <w:tcW w:w="1887" w:type="dxa"/>
            <w:vAlign w:val="center"/>
            <w:hideMark/>
          </w:tcPr>
          <w:p w14:paraId="519B3B54"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 </w:t>
            </w:r>
          </w:p>
        </w:tc>
        <w:tc>
          <w:tcPr>
            <w:tcW w:w="1885" w:type="dxa"/>
            <w:vAlign w:val="center"/>
            <w:hideMark/>
          </w:tcPr>
          <w:p w14:paraId="519B3B55" w14:textId="77777777" w:rsidR="00167229" w:rsidRPr="008E63BB" w:rsidRDefault="00167229" w:rsidP="00EE602B">
            <w:pPr>
              <w:jc w:val="center"/>
              <w:rPr>
                <w:rFonts w:eastAsia="Times New Roman"/>
                <w:b/>
                <w:bCs/>
                <w:sz w:val="24"/>
                <w:szCs w:val="24"/>
                <w:lang w:eastAsia="zh-TW"/>
              </w:rPr>
            </w:pPr>
          </w:p>
        </w:tc>
        <w:tc>
          <w:tcPr>
            <w:tcW w:w="1886" w:type="dxa"/>
            <w:vAlign w:val="center"/>
            <w:hideMark/>
          </w:tcPr>
          <w:p w14:paraId="519B3B56"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1028 tấn/ ngày</w:t>
            </w:r>
          </w:p>
        </w:tc>
      </w:tr>
      <w:tr w:rsidR="00167229" w:rsidRPr="008E63BB" w14:paraId="519B3B5E" w14:textId="77777777" w:rsidTr="00EE602B">
        <w:trPr>
          <w:trHeight w:val="368"/>
        </w:trPr>
        <w:tc>
          <w:tcPr>
            <w:tcW w:w="691" w:type="dxa"/>
            <w:vAlign w:val="center"/>
            <w:hideMark/>
          </w:tcPr>
          <w:p w14:paraId="519B3B58" w14:textId="77777777" w:rsidR="00167229" w:rsidRPr="008E63BB" w:rsidRDefault="00167229" w:rsidP="00EE602B">
            <w:pPr>
              <w:ind w:firstLine="720"/>
              <w:jc w:val="center"/>
              <w:rPr>
                <w:rFonts w:eastAsia="Times New Roman"/>
                <w:sz w:val="24"/>
                <w:szCs w:val="24"/>
                <w:lang w:eastAsia="zh-TW"/>
              </w:rPr>
            </w:pPr>
            <w:r w:rsidRPr="008E63BB">
              <w:rPr>
                <w:rFonts w:eastAsia="Times New Roman"/>
                <w:sz w:val="24"/>
                <w:szCs w:val="24"/>
                <w:lang w:eastAsia="zh-TW"/>
              </w:rPr>
              <w:t>1</w:t>
            </w:r>
          </w:p>
        </w:tc>
        <w:tc>
          <w:tcPr>
            <w:tcW w:w="2899" w:type="dxa"/>
            <w:vAlign w:val="center"/>
            <w:hideMark/>
          </w:tcPr>
          <w:p w14:paraId="519B3B59"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Sinh hoạt</w:t>
            </w:r>
          </w:p>
        </w:tc>
        <w:tc>
          <w:tcPr>
            <w:tcW w:w="1887" w:type="dxa"/>
            <w:vAlign w:val="center"/>
            <w:hideMark/>
          </w:tcPr>
          <w:p w14:paraId="519B3B5A"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1,3</w:t>
            </w:r>
          </w:p>
          <w:p w14:paraId="519B3B5B"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lastRenderedPageBreak/>
              <w:t>kg/người.ngđ</w:t>
            </w:r>
          </w:p>
        </w:tc>
        <w:tc>
          <w:tcPr>
            <w:tcW w:w="1885" w:type="dxa"/>
            <w:vAlign w:val="center"/>
            <w:hideMark/>
          </w:tcPr>
          <w:p w14:paraId="519B3B5C"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lastRenderedPageBreak/>
              <w:t>600.000 người</w:t>
            </w:r>
          </w:p>
        </w:tc>
        <w:tc>
          <w:tcPr>
            <w:tcW w:w="1886" w:type="dxa"/>
            <w:vAlign w:val="center"/>
            <w:hideMark/>
          </w:tcPr>
          <w:p w14:paraId="519B3B5D"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780 tấn/ ngày</w:t>
            </w:r>
          </w:p>
        </w:tc>
      </w:tr>
      <w:tr w:rsidR="00167229" w:rsidRPr="008E63BB" w14:paraId="519B3B64" w14:textId="77777777" w:rsidTr="00EE602B">
        <w:trPr>
          <w:trHeight w:val="368"/>
        </w:trPr>
        <w:tc>
          <w:tcPr>
            <w:tcW w:w="691" w:type="dxa"/>
            <w:vAlign w:val="center"/>
            <w:hideMark/>
          </w:tcPr>
          <w:p w14:paraId="519B3B5F" w14:textId="77777777" w:rsidR="00167229" w:rsidRPr="008E63BB" w:rsidRDefault="00167229" w:rsidP="00EE602B">
            <w:pPr>
              <w:ind w:firstLine="720"/>
              <w:jc w:val="center"/>
              <w:rPr>
                <w:rFonts w:eastAsia="Times New Roman"/>
                <w:sz w:val="24"/>
                <w:szCs w:val="24"/>
                <w:lang w:eastAsia="zh-TW"/>
              </w:rPr>
            </w:pPr>
            <w:r w:rsidRPr="008E63BB">
              <w:rPr>
                <w:rFonts w:eastAsia="Times New Roman"/>
                <w:sz w:val="24"/>
                <w:szCs w:val="24"/>
                <w:lang w:eastAsia="zh-TW"/>
              </w:rPr>
              <w:lastRenderedPageBreak/>
              <w:t>2</w:t>
            </w:r>
          </w:p>
        </w:tc>
        <w:tc>
          <w:tcPr>
            <w:tcW w:w="2899" w:type="dxa"/>
            <w:vAlign w:val="center"/>
            <w:hideMark/>
          </w:tcPr>
          <w:p w14:paraId="519B3B60"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Công nghiệp</w:t>
            </w:r>
          </w:p>
        </w:tc>
        <w:tc>
          <w:tcPr>
            <w:tcW w:w="1887" w:type="dxa"/>
            <w:vAlign w:val="center"/>
            <w:hideMark/>
          </w:tcPr>
          <w:p w14:paraId="519B3B61"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0,3 tấn/ha.ngđ</w:t>
            </w:r>
          </w:p>
        </w:tc>
        <w:tc>
          <w:tcPr>
            <w:tcW w:w="1885" w:type="dxa"/>
            <w:vAlign w:val="center"/>
            <w:hideMark/>
          </w:tcPr>
          <w:p w14:paraId="519B3B62"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1181 ha</w:t>
            </w:r>
          </w:p>
        </w:tc>
        <w:tc>
          <w:tcPr>
            <w:tcW w:w="1886" w:type="dxa"/>
            <w:vAlign w:val="center"/>
            <w:hideMark/>
          </w:tcPr>
          <w:p w14:paraId="519B3B63"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248 tấn/ ngày</w:t>
            </w:r>
          </w:p>
        </w:tc>
      </w:tr>
      <w:tr w:rsidR="00167229" w:rsidRPr="008E63BB" w14:paraId="519B3B6A" w14:textId="77777777" w:rsidTr="00EE602B">
        <w:trPr>
          <w:trHeight w:val="13"/>
        </w:trPr>
        <w:tc>
          <w:tcPr>
            <w:tcW w:w="691" w:type="dxa"/>
            <w:vAlign w:val="center"/>
            <w:hideMark/>
          </w:tcPr>
          <w:p w14:paraId="519B3B65" w14:textId="77777777" w:rsidR="00167229" w:rsidRPr="008E63BB" w:rsidRDefault="00167229" w:rsidP="00EE602B">
            <w:pPr>
              <w:rPr>
                <w:rFonts w:eastAsia="Times New Roman"/>
                <w:b/>
                <w:bCs/>
                <w:sz w:val="24"/>
                <w:szCs w:val="24"/>
                <w:lang w:eastAsia="zh-TW"/>
              </w:rPr>
            </w:pPr>
          </w:p>
        </w:tc>
        <w:tc>
          <w:tcPr>
            <w:tcW w:w="2899" w:type="dxa"/>
            <w:vAlign w:val="center"/>
            <w:hideMark/>
          </w:tcPr>
          <w:p w14:paraId="519B3B66" w14:textId="77777777" w:rsidR="00167229" w:rsidRPr="008E63BB" w:rsidRDefault="00167229" w:rsidP="00EE602B">
            <w:pPr>
              <w:rPr>
                <w:rFonts w:eastAsia="Times New Roman"/>
                <w:b/>
                <w:bCs/>
                <w:sz w:val="24"/>
                <w:szCs w:val="24"/>
                <w:lang w:eastAsia="zh-TW"/>
              </w:rPr>
            </w:pPr>
            <w:r w:rsidRPr="008E63BB">
              <w:rPr>
                <w:rFonts w:eastAsia="Times New Roman"/>
                <w:b/>
                <w:bCs/>
                <w:sz w:val="24"/>
                <w:szCs w:val="24"/>
                <w:lang w:eastAsia="zh-TW"/>
              </w:rPr>
              <w:t>III. Nghĩa trang tập trung</w:t>
            </w:r>
          </w:p>
        </w:tc>
        <w:tc>
          <w:tcPr>
            <w:tcW w:w="1887" w:type="dxa"/>
            <w:vAlign w:val="center"/>
            <w:hideMark/>
          </w:tcPr>
          <w:p w14:paraId="519B3B67"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 </w:t>
            </w:r>
          </w:p>
        </w:tc>
        <w:tc>
          <w:tcPr>
            <w:tcW w:w="1885" w:type="dxa"/>
            <w:vAlign w:val="center"/>
            <w:hideMark/>
          </w:tcPr>
          <w:p w14:paraId="519B3B68" w14:textId="77777777" w:rsidR="00167229" w:rsidRPr="008E63BB" w:rsidRDefault="00167229" w:rsidP="00EE602B">
            <w:pPr>
              <w:jc w:val="center"/>
              <w:rPr>
                <w:rFonts w:eastAsia="Times New Roman"/>
                <w:sz w:val="24"/>
                <w:szCs w:val="24"/>
                <w:lang w:eastAsia="zh-TW"/>
              </w:rPr>
            </w:pPr>
          </w:p>
        </w:tc>
        <w:tc>
          <w:tcPr>
            <w:tcW w:w="1886" w:type="dxa"/>
            <w:vAlign w:val="center"/>
            <w:hideMark/>
          </w:tcPr>
          <w:p w14:paraId="519B3B69" w14:textId="77777777" w:rsidR="00167229" w:rsidRPr="008E63BB" w:rsidRDefault="00167229" w:rsidP="00EE602B">
            <w:pPr>
              <w:jc w:val="center"/>
              <w:rPr>
                <w:rFonts w:eastAsia="Times New Roman"/>
                <w:b/>
                <w:bCs/>
                <w:sz w:val="24"/>
                <w:szCs w:val="24"/>
                <w:lang w:eastAsia="zh-TW"/>
              </w:rPr>
            </w:pPr>
            <w:r w:rsidRPr="008E63BB">
              <w:rPr>
                <w:rFonts w:eastAsia="Times New Roman"/>
                <w:b/>
                <w:bCs/>
                <w:sz w:val="24"/>
                <w:szCs w:val="24"/>
                <w:lang w:eastAsia="zh-TW"/>
              </w:rPr>
              <w:t>54 ha</w:t>
            </w:r>
          </w:p>
        </w:tc>
      </w:tr>
      <w:tr w:rsidR="00167229" w:rsidRPr="008E63BB" w14:paraId="519B3B70" w14:textId="77777777" w:rsidTr="00EE602B">
        <w:trPr>
          <w:trHeight w:val="368"/>
        </w:trPr>
        <w:tc>
          <w:tcPr>
            <w:tcW w:w="691" w:type="dxa"/>
            <w:vAlign w:val="center"/>
            <w:hideMark/>
          </w:tcPr>
          <w:p w14:paraId="519B3B6B" w14:textId="77777777" w:rsidR="00167229" w:rsidRPr="008E63BB" w:rsidRDefault="00167229" w:rsidP="00EE602B">
            <w:pPr>
              <w:ind w:firstLine="720"/>
              <w:rPr>
                <w:rFonts w:eastAsia="Times New Roman"/>
                <w:sz w:val="24"/>
                <w:szCs w:val="24"/>
                <w:lang w:eastAsia="zh-TW"/>
              </w:rPr>
            </w:pPr>
            <w:r w:rsidRPr="008E63BB">
              <w:rPr>
                <w:rFonts w:eastAsia="Times New Roman"/>
                <w:sz w:val="24"/>
                <w:szCs w:val="24"/>
                <w:lang w:eastAsia="zh-TW"/>
              </w:rPr>
              <w:t>1</w:t>
            </w:r>
          </w:p>
        </w:tc>
        <w:tc>
          <w:tcPr>
            <w:tcW w:w="2899" w:type="dxa"/>
            <w:vAlign w:val="center"/>
            <w:hideMark/>
          </w:tcPr>
          <w:p w14:paraId="519B3B6C"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Nghĩa trang tập trung mới</w:t>
            </w:r>
          </w:p>
        </w:tc>
        <w:tc>
          <w:tcPr>
            <w:tcW w:w="1887" w:type="dxa"/>
            <w:vAlign w:val="center"/>
            <w:hideMark/>
          </w:tcPr>
          <w:p w14:paraId="519B3B6D"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0,06ha/1000 người</w:t>
            </w:r>
          </w:p>
        </w:tc>
        <w:tc>
          <w:tcPr>
            <w:tcW w:w="1885" w:type="dxa"/>
            <w:vAlign w:val="center"/>
            <w:hideMark/>
          </w:tcPr>
          <w:p w14:paraId="519B3B6E"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600.000 người</w:t>
            </w:r>
          </w:p>
        </w:tc>
        <w:tc>
          <w:tcPr>
            <w:tcW w:w="1886" w:type="dxa"/>
            <w:vAlign w:val="center"/>
            <w:hideMark/>
          </w:tcPr>
          <w:p w14:paraId="519B3B6F"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36 ha</w:t>
            </w:r>
          </w:p>
        </w:tc>
      </w:tr>
      <w:tr w:rsidR="00167229" w:rsidRPr="008E63BB" w14:paraId="519B3B76" w14:textId="77777777" w:rsidTr="00EE602B">
        <w:trPr>
          <w:trHeight w:val="317"/>
        </w:trPr>
        <w:tc>
          <w:tcPr>
            <w:tcW w:w="691" w:type="dxa"/>
            <w:vMerge w:val="restart"/>
            <w:vAlign w:val="center"/>
            <w:hideMark/>
          </w:tcPr>
          <w:p w14:paraId="519B3B71" w14:textId="77777777" w:rsidR="00167229" w:rsidRPr="008E63BB" w:rsidRDefault="00167229" w:rsidP="00EE602B">
            <w:pPr>
              <w:ind w:firstLine="720"/>
              <w:rPr>
                <w:rFonts w:eastAsia="Times New Roman"/>
                <w:sz w:val="24"/>
                <w:szCs w:val="24"/>
                <w:lang w:eastAsia="zh-TW"/>
              </w:rPr>
            </w:pPr>
            <w:r w:rsidRPr="008E63BB">
              <w:rPr>
                <w:rFonts w:eastAsia="Times New Roman"/>
                <w:sz w:val="24"/>
                <w:szCs w:val="24"/>
                <w:lang w:eastAsia="zh-TW"/>
              </w:rPr>
              <w:t>2</w:t>
            </w:r>
          </w:p>
        </w:tc>
        <w:tc>
          <w:tcPr>
            <w:tcW w:w="2899" w:type="dxa"/>
            <w:vMerge w:val="restart"/>
            <w:vAlign w:val="center"/>
            <w:hideMark/>
          </w:tcPr>
          <w:p w14:paraId="519B3B72" w14:textId="77777777" w:rsidR="00167229" w:rsidRPr="008E63BB" w:rsidRDefault="00167229" w:rsidP="00EE602B">
            <w:pPr>
              <w:rPr>
                <w:rFonts w:eastAsia="Times New Roman"/>
                <w:sz w:val="24"/>
                <w:szCs w:val="24"/>
                <w:lang w:eastAsia="zh-TW"/>
              </w:rPr>
            </w:pPr>
            <w:r w:rsidRPr="008E63BB">
              <w:rPr>
                <w:rFonts w:eastAsia="Times New Roman"/>
                <w:sz w:val="24"/>
                <w:szCs w:val="24"/>
                <w:lang w:eastAsia="zh-TW"/>
              </w:rPr>
              <w:t>Nghĩa trang cho mục đích giải phóng mặt bằng lấy đất xây dựng.</w:t>
            </w:r>
          </w:p>
        </w:tc>
        <w:tc>
          <w:tcPr>
            <w:tcW w:w="1887" w:type="dxa"/>
            <w:vMerge w:val="restart"/>
            <w:vAlign w:val="center"/>
            <w:hideMark/>
          </w:tcPr>
          <w:p w14:paraId="519B3B73" w14:textId="77777777" w:rsidR="00167229" w:rsidRPr="008E63BB" w:rsidRDefault="00167229" w:rsidP="00EE602B">
            <w:pPr>
              <w:jc w:val="center"/>
              <w:rPr>
                <w:sz w:val="24"/>
                <w:szCs w:val="24"/>
              </w:rPr>
            </w:pPr>
            <w:r w:rsidRPr="008E63BB">
              <w:rPr>
                <w:sz w:val="24"/>
                <w:szCs w:val="24"/>
              </w:rPr>
              <w:t>Tạm tính</w:t>
            </w:r>
          </w:p>
        </w:tc>
        <w:tc>
          <w:tcPr>
            <w:tcW w:w="1885" w:type="dxa"/>
            <w:vMerge w:val="restart"/>
            <w:vAlign w:val="center"/>
            <w:hideMark/>
          </w:tcPr>
          <w:p w14:paraId="519B3B74" w14:textId="77777777" w:rsidR="00167229" w:rsidRPr="008E63BB" w:rsidRDefault="00167229" w:rsidP="00EE602B">
            <w:pPr>
              <w:rPr>
                <w:sz w:val="24"/>
                <w:szCs w:val="24"/>
              </w:rPr>
            </w:pPr>
          </w:p>
        </w:tc>
        <w:tc>
          <w:tcPr>
            <w:tcW w:w="1886" w:type="dxa"/>
            <w:vMerge w:val="restart"/>
            <w:vAlign w:val="center"/>
            <w:hideMark/>
          </w:tcPr>
          <w:p w14:paraId="519B3B75" w14:textId="77777777" w:rsidR="00167229" w:rsidRPr="008E63BB" w:rsidRDefault="00167229" w:rsidP="00EE602B">
            <w:pPr>
              <w:jc w:val="center"/>
              <w:rPr>
                <w:rFonts w:eastAsia="Times New Roman"/>
                <w:sz w:val="24"/>
                <w:szCs w:val="24"/>
                <w:lang w:eastAsia="zh-TW"/>
              </w:rPr>
            </w:pPr>
            <w:r w:rsidRPr="008E63BB">
              <w:rPr>
                <w:rFonts w:eastAsia="Times New Roman"/>
                <w:sz w:val="24"/>
                <w:szCs w:val="24"/>
                <w:lang w:eastAsia="zh-TW"/>
              </w:rPr>
              <w:t>18 ha</w:t>
            </w:r>
          </w:p>
        </w:tc>
      </w:tr>
      <w:tr w:rsidR="00167229" w:rsidRPr="008E63BB" w14:paraId="519B3B7C" w14:textId="77777777" w:rsidTr="00EE602B">
        <w:trPr>
          <w:trHeight w:val="317"/>
        </w:trPr>
        <w:tc>
          <w:tcPr>
            <w:tcW w:w="691" w:type="dxa"/>
            <w:vMerge/>
            <w:vAlign w:val="center"/>
            <w:hideMark/>
          </w:tcPr>
          <w:p w14:paraId="519B3B77" w14:textId="77777777" w:rsidR="00167229" w:rsidRPr="008E63BB" w:rsidRDefault="00167229" w:rsidP="00EE602B">
            <w:pPr>
              <w:rPr>
                <w:rFonts w:eastAsia="Times New Roman"/>
                <w:sz w:val="24"/>
                <w:szCs w:val="24"/>
                <w:lang w:eastAsia="zh-TW"/>
              </w:rPr>
            </w:pPr>
          </w:p>
        </w:tc>
        <w:tc>
          <w:tcPr>
            <w:tcW w:w="2899" w:type="dxa"/>
            <w:vMerge/>
            <w:vAlign w:val="center"/>
            <w:hideMark/>
          </w:tcPr>
          <w:p w14:paraId="519B3B78" w14:textId="77777777" w:rsidR="00167229" w:rsidRPr="008E63BB" w:rsidRDefault="00167229" w:rsidP="00EE602B">
            <w:pPr>
              <w:rPr>
                <w:rFonts w:eastAsia="Times New Roman"/>
                <w:sz w:val="24"/>
                <w:szCs w:val="24"/>
                <w:lang w:eastAsia="zh-TW"/>
              </w:rPr>
            </w:pPr>
          </w:p>
        </w:tc>
        <w:tc>
          <w:tcPr>
            <w:tcW w:w="1887" w:type="dxa"/>
            <w:vMerge/>
            <w:vAlign w:val="center"/>
            <w:hideMark/>
          </w:tcPr>
          <w:p w14:paraId="519B3B79" w14:textId="77777777" w:rsidR="00167229" w:rsidRPr="008E63BB" w:rsidRDefault="00167229" w:rsidP="00EE602B">
            <w:pPr>
              <w:rPr>
                <w:sz w:val="24"/>
                <w:szCs w:val="24"/>
              </w:rPr>
            </w:pPr>
          </w:p>
        </w:tc>
        <w:tc>
          <w:tcPr>
            <w:tcW w:w="1885" w:type="dxa"/>
            <w:vMerge/>
            <w:vAlign w:val="center"/>
            <w:hideMark/>
          </w:tcPr>
          <w:p w14:paraId="519B3B7A" w14:textId="77777777" w:rsidR="00167229" w:rsidRPr="008E63BB" w:rsidRDefault="00167229" w:rsidP="00EE602B">
            <w:pPr>
              <w:rPr>
                <w:sz w:val="24"/>
                <w:szCs w:val="24"/>
              </w:rPr>
            </w:pPr>
          </w:p>
        </w:tc>
        <w:tc>
          <w:tcPr>
            <w:tcW w:w="1886" w:type="dxa"/>
            <w:vMerge/>
            <w:vAlign w:val="center"/>
            <w:hideMark/>
          </w:tcPr>
          <w:p w14:paraId="519B3B7B" w14:textId="77777777" w:rsidR="00167229" w:rsidRPr="008E63BB" w:rsidRDefault="00167229" w:rsidP="00EE602B">
            <w:pPr>
              <w:rPr>
                <w:rFonts w:eastAsia="Times New Roman"/>
                <w:sz w:val="24"/>
                <w:szCs w:val="24"/>
                <w:lang w:eastAsia="zh-TW"/>
              </w:rPr>
            </w:pPr>
          </w:p>
        </w:tc>
      </w:tr>
    </w:tbl>
    <w:p w14:paraId="519B3B7D" w14:textId="77777777" w:rsidR="00167229" w:rsidRPr="008E63BB" w:rsidRDefault="00167229" w:rsidP="00167229">
      <w:pPr>
        <w:outlineLvl w:val="4"/>
        <w:rPr>
          <w:bCs/>
          <w:i/>
          <w:iCs/>
          <w:szCs w:val="26"/>
        </w:rPr>
      </w:pPr>
    </w:p>
    <w:p w14:paraId="519B3B7E" w14:textId="77777777" w:rsidR="00244409" w:rsidRPr="008E63BB" w:rsidRDefault="00244409" w:rsidP="0065184D">
      <w:pPr>
        <w:outlineLvl w:val="4"/>
        <w:rPr>
          <w:bCs/>
          <w:i/>
          <w:iCs/>
          <w:szCs w:val="26"/>
        </w:rPr>
      </w:pPr>
      <w:r w:rsidRPr="008E63BB">
        <w:rPr>
          <w:bCs/>
          <w:i/>
          <w:iCs/>
          <w:szCs w:val="26"/>
        </w:rPr>
        <w:t>b.  Quy hoạch thoát nước thải</w:t>
      </w:r>
    </w:p>
    <w:p w14:paraId="519B3B7F" w14:textId="77777777" w:rsidR="00244409" w:rsidRPr="008E63BB" w:rsidRDefault="00244409" w:rsidP="0065184D">
      <w:pPr>
        <w:rPr>
          <w:i/>
          <w:iCs/>
          <w:szCs w:val="26"/>
        </w:rPr>
      </w:pPr>
      <w:r w:rsidRPr="008E63BB">
        <w:rPr>
          <w:i/>
          <w:iCs/>
          <w:szCs w:val="26"/>
        </w:rPr>
        <w:t>- Nguyên tắc thiết kế:</w:t>
      </w:r>
    </w:p>
    <w:p w14:paraId="519B3B80" w14:textId="77777777" w:rsidR="00244409" w:rsidRPr="008E63BB" w:rsidRDefault="00244409" w:rsidP="0065184D">
      <w:pPr>
        <w:ind w:firstLine="709"/>
        <w:rPr>
          <w:szCs w:val="26"/>
        </w:rPr>
      </w:pPr>
      <w:r w:rsidRPr="008E63BB">
        <w:rPr>
          <w:szCs w:val="26"/>
        </w:rPr>
        <w:t xml:space="preserve">Kế thừa các nghiên cứu thoát nước trước đây của thành phố, nhưng phải đảm bảo phù hợp mục tiêu quy hoạch không gian, sử dụng đất thành phố đến năm 2040, với tiêu chí đạt đô thị loại I. </w:t>
      </w:r>
      <w:r w:rsidRPr="008E63BB">
        <w:rPr>
          <w:szCs w:val="26"/>
        </w:rPr>
        <w:tab/>
        <w:t>Các đồ án nghiên cứu thoát nước và xử lý nước thải thành phố đã được phê duyệt bao gồm:</w:t>
      </w:r>
    </w:p>
    <w:p w14:paraId="519B3B81" w14:textId="77777777" w:rsidR="00244409" w:rsidRPr="008E63BB" w:rsidRDefault="00244409" w:rsidP="0065184D">
      <w:pPr>
        <w:ind w:firstLine="709"/>
        <w:rPr>
          <w:szCs w:val="26"/>
        </w:rPr>
      </w:pPr>
      <w:r w:rsidRPr="008E63BB">
        <w:rPr>
          <w:szCs w:val="26"/>
        </w:rPr>
        <w:t>+ Đồ án "Điều chỉnh Quy hoạch chung xây dựng thành phố Nam Định đến năm 2025" đã được Thủ tướng Chính phủ phê duyệt tại quyết định số 2084/QĐ-TTg ngày 22/11/2011 (</w:t>
      </w:r>
      <w:r w:rsidRPr="008E63BB">
        <w:rPr>
          <w:i/>
          <w:szCs w:val="26"/>
        </w:rPr>
        <w:t>từ đây gọi tắt là QHC2011</w:t>
      </w:r>
      <w:r w:rsidRPr="008E63BB">
        <w:rPr>
          <w:szCs w:val="26"/>
        </w:rPr>
        <w:t>).</w:t>
      </w:r>
    </w:p>
    <w:p w14:paraId="519B3B82" w14:textId="77777777" w:rsidR="00244409" w:rsidRPr="008E63BB" w:rsidRDefault="00244409" w:rsidP="0065184D">
      <w:pPr>
        <w:ind w:firstLine="709"/>
        <w:rPr>
          <w:szCs w:val="26"/>
        </w:rPr>
      </w:pPr>
      <w:r w:rsidRPr="008E63BB">
        <w:rPr>
          <w:szCs w:val="26"/>
        </w:rPr>
        <w:t>+ Đồ án "Quy hoạch hệ thống thoát nước và xử lý nước thải khu vực dân cư, khu công nghiệp thuộc lưu vực sông Nhuệ - sông Đáy đến năm 2030" đã được Thủ tướng Chính phủ phê duyệt tại quyết định số 681/QĐ-TTg ngày 3/5/2013 (</w:t>
      </w:r>
      <w:r w:rsidRPr="008E63BB">
        <w:rPr>
          <w:i/>
          <w:szCs w:val="26"/>
        </w:rPr>
        <w:t>từ đây gọi tắt là QHV2013</w:t>
      </w:r>
      <w:r w:rsidRPr="008E63BB">
        <w:rPr>
          <w:szCs w:val="26"/>
        </w:rPr>
        <w:t>).</w:t>
      </w:r>
    </w:p>
    <w:p w14:paraId="519B3B83" w14:textId="77777777" w:rsidR="00244409" w:rsidRPr="008E63BB" w:rsidRDefault="00244409" w:rsidP="0065184D">
      <w:pPr>
        <w:ind w:firstLine="709"/>
        <w:rPr>
          <w:szCs w:val="26"/>
        </w:rPr>
      </w:pPr>
      <w:r w:rsidRPr="008E63BB">
        <w:rPr>
          <w:szCs w:val="26"/>
        </w:rPr>
        <w:t>+ Đồ án "Quy hoạch thoát nước mưa và nước thải thành phố Nam Định đến năm 2030, tầm nhìn đến năm 2050" đã được UBND tỉnh phê duyệt tại quyết định số 2796/QĐ-UBND ngày 10/12/2018 (</w:t>
      </w:r>
      <w:r w:rsidRPr="008E63BB">
        <w:rPr>
          <w:i/>
          <w:szCs w:val="26"/>
        </w:rPr>
        <w:t>từ đây gọi tắt là QHTN2018</w:t>
      </w:r>
      <w:r w:rsidRPr="008E63BB">
        <w:rPr>
          <w:szCs w:val="26"/>
        </w:rPr>
        <w:t>).</w:t>
      </w:r>
    </w:p>
    <w:p w14:paraId="519B3B84" w14:textId="77777777" w:rsidR="00244409" w:rsidRPr="008E63BB" w:rsidRDefault="00244409" w:rsidP="0065184D">
      <w:pPr>
        <w:ind w:firstLine="709"/>
        <w:rPr>
          <w:szCs w:val="26"/>
        </w:rPr>
      </w:pPr>
      <w:r w:rsidRPr="008E63BB">
        <w:rPr>
          <w:szCs w:val="26"/>
        </w:rPr>
        <w:t>Hệ thống thoát nước thải dự kiến là hệ thống thoát nước hỗn hợp bao gồm: hệ thống thoát nước nửa riêng và hệ thống thoát nước riêng.</w:t>
      </w:r>
    </w:p>
    <w:p w14:paraId="519B3B85" w14:textId="77777777" w:rsidR="00244409" w:rsidRPr="008E63BB" w:rsidRDefault="00244409" w:rsidP="0065184D">
      <w:pPr>
        <w:ind w:firstLine="709"/>
        <w:rPr>
          <w:szCs w:val="26"/>
        </w:rPr>
      </w:pPr>
      <w:r w:rsidRPr="008E63BB">
        <w:rPr>
          <w:szCs w:val="26"/>
        </w:rPr>
        <w:t>Hệ thống thoát nước thải dự kiến  theo sơ đồ như sau:</w:t>
      </w:r>
    </w:p>
    <w:p w14:paraId="519B3B86" w14:textId="77777777" w:rsidR="00244409" w:rsidRPr="008E63BB" w:rsidRDefault="00244409" w:rsidP="0065184D">
      <w:pPr>
        <w:ind w:firstLine="709"/>
        <w:rPr>
          <w:szCs w:val="26"/>
        </w:rPr>
      </w:pPr>
      <w:r w:rsidRPr="008E63BB">
        <w:rPr>
          <w:szCs w:val="26"/>
        </w:rPr>
        <w:tab/>
        <w:t xml:space="preserve">Bể tự hoại </w:t>
      </w:r>
      <w:r w:rsidRPr="008E63BB">
        <w:rPr>
          <w:szCs w:val="26"/>
          <w:lang w:val="da-DK"/>
        </w:rPr>
        <w:sym w:font="Symbol" w:char="00AE"/>
      </w:r>
      <w:r w:rsidRPr="008E63BB">
        <w:rPr>
          <w:szCs w:val="26"/>
        </w:rPr>
        <w:t xml:space="preserve"> cống thu nước thải </w:t>
      </w:r>
      <w:r w:rsidRPr="008E63BB">
        <w:rPr>
          <w:szCs w:val="26"/>
          <w:lang w:val="da-DK"/>
        </w:rPr>
        <w:sym w:font="Symbol" w:char="00AE"/>
      </w:r>
      <w:r w:rsidRPr="008E63BB">
        <w:rPr>
          <w:szCs w:val="26"/>
        </w:rPr>
        <w:t xml:space="preserve"> trạm bơm nước thải </w:t>
      </w:r>
      <w:r w:rsidRPr="008E63BB">
        <w:rPr>
          <w:szCs w:val="26"/>
          <w:lang w:val="da-DK"/>
        </w:rPr>
        <w:sym w:font="Symbol" w:char="00AE"/>
      </w:r>
      <w:r w:rsidRPr="008E63BB">
        <w:rPr>
          <w:szCs w:val="26"/>
        </w:rPr>
        <w:t xml:space="preserve"> trạm làm sạch nước thải </w:t>
      </w:r>
      <w:r w:rsidRPr="008E63BB">
        <w:rPr>
          <w:szCs w:val="26"/>
          <w:lang w:val="da-DK"/>
        </w:rPr>
        <w:sym w:font="Symbol" w:char="00AE"/>
      </w:r>
      <w:r w:rsidRPr="008E63BB">
        <w:rPr>
          <w:szCs w:val="26"/>
        </w:rPr>
        <w:t xml:space="preserve"> nguồn nước (hoặc tái sử dụng nước thải sau khi đã xử  lý nhưng có kiểm soát).</w:t>
      </w:r>
    </w:p>
    <w:p w14:paraId="519B3B87" w14:textId="77777777" w:rsidR="00244409" w:rsidRPr="008E63BB" w:rsidRDefault="00244409" w:rsidP="0065184D">
      <w:pPr>
        <w:rPr>
          <w:i/>
          <w:iCs/>
          <w:szCs w:val="26"/>
        </w:rPr>
      </w:pPr>
      <w:r w:rsidRPr="008E63BB">
        <w:rPr>
          <w:i/>
          <w:iCs/>
          <w:szCs w:val="26"/>
        </w:rPr>
        <w:t>- Hệ thống thoát nước thải  bao gồm:</w:t>
      </w:r>
    </w:p>
    <w:p w14:paraId="519B3B88" w14:textId="77777777" w:rsidR="00244409" w:rsidRPr="008E63BB" w:rsidRDefault="00244409" w:rsidP="0065184D">
      <w:pPr>
        <w:ind w:firstLine="709"/>
        <w:rPr>
          <w:szCs w:val="26"/>
        </w:rPr>
      </w:pPr>
      <w:r w:rsidRPr="008E63BB">
        <w:rPr>
          <w:szCs w:val="26"/>
        </w:rPr>
        <w:tab/>
        <w:t>- Các tuyến cống tròn thoát nước thải bằng BTCT.</w:t>
      </w:r>
    </w:p>
    <w:p w14:paraId="519B3B89" w14:textId="77777777" w:rsidR="00244409" w:rsidRPr="008E63BB" w:rsidRDefault="00244409" w:rsidP="0065184D">
      <w:pPr>
        <w:ind w:firstLine="709"/>
        <w:rPr>
          <w:szCs w:val="26"/>
        </w:rPr>
      </w:pPr>
      <w:r w:rsidRPr="008E63BB">
        <w:rPr>
          <w:szCs w:val="26"/>
        </w:rPr>
        <w:tab/>
        <w:t>- Trạm bơm nước thải xây chìm bằng BTCT.</w:t>
      </w:r>
    </w:p>
    <w:p w14:paraId="519B3B8A" w14:textId="77777777" w:rsidR="00244409" w:rsidRPr="008E63BB" w:rsidRDefault="00244409" w:rsidP="0065184D">
      <w:pPr>
        <w:ind w:firstLine="709"/>
        <w:rPr>
          <w:szCs w:val="26"/>
        </w:rPr>
      </w:pPr>
      <w:r w:rsidRPr="008E63BB">
        <w:rPr>
          <w:szCs w:val="26"/>
        </w:rPr>
        <w:tab/>
        <w:t>- Trạm làm sạch nước thải:</w:t>
      </w:r>
    </w:p>
    <w:p w14:paraId="519B3B8B" w14:textId="77777777" w:rsidR="00244409" w:rsidRPr="008E63BB" w:rsidRDefault="00244409" w:rsidP="0065184D">
      <w:pPr>
        <w:ind w:firstLine="709"/>
        <w:rPr>
          <w:szCs w:val="26"/>
        </w:rPr>
      </w:pPr>
      <w:r w:rsidRPr="008E63BB">
        <w:rPr>
          <w:szCs w:val="26"/>
        </w:rPr>
        <w:tab/>
        <w:t>Công nghệ xử lý nước thải sẽ được quyết định trong giai đoạn lập dự án đầu tư xây dựng nhưng nên chú ý chọn lựa công nghệ hiện đại, chiếm ít diện tích đất.</w:t>
      </w:r>
    </w:p>
    <w:p w14:paraId="519B3B8C" w14:textId="77777777" w:rsidR="00244409" w:rsidRPr="008E63BB" w:rsidRDefault="00244409" w:rsidP="0065184D">
      <w:pPr>
        <w:ind w:firstLine="709"/>
        <w:rPr>
          <w:szCs w:val="26"/>
        </w:rPr>
      </w:pPr>
      <w:r w:rsidRPr="008E63BB">
        <w:rPr>
          <w:szCs w:val="26"/>
        </w:rPr>
        <w:tab/>
        <w:t>Nước thải sinh hoạt  phải được thu gom, xử lý tại các trạm xử lý nước thải tập trung đạt giới hạn A của tiêu chuẩn Việt Nam TCVN 7222-2002  “</w:t>
      </w:r>
      <w:r w:rsidRPr="008E63BB">
        <w:rPr>
          <w:i/>
          <w:szCs w:val="26"/>
        </w:rPr>
        <w:t>Yêu cầu chung về môi trường đối với các trạm xử lý nước thải sinh hoạt tập trung</w:t>
      </w:r>
      <w:r w:rsidRPr="008E63BB">
        <w:rPr>
          <w:szCs w:val="26"/>
        </w:rPr>
        <w:t>” trước khi xả ra nguồn tiếp nhận.</w:t>
      </w:r>
    </w:p>
    <w:p w14:paraId="519B3B8D" w14:textId="77777777" w:rsidR="00244409" w:rsidRPr="008E63BB" w:rsidRDefault="00244409" w:rsidP="0065184D">
      <w:pPr>
        <w:ind w:firstLine="709"/>
        <w:rPr>
          <w:szCs w:val="26"/>
        </w:rPr>
      </w:pPr>
      <w:r w:rsidRPr="008E63BB">
        <w:rPr>
          <w:szCs w:val="26"/>
        </w:rPr>
        <w:t>Tại các khu vực chưa có hệ thống thoát nước và xử lý thải tập trung, nước thải sinh hoạt phải được xử lý đạt giới hạn A theo QCVN 14/2008/BTNMT “</w:t>
      </w:r>
      <w:r w:rsidRPr="008E63BB">
        <w:rPr>
          <w:i/>
          <w:szCs w:val="26"/>
        </w:rPr>
        <w:t>Quy chuẩn kỹ thuật Quốc gia về nước thải sinh hoạt</w:t>
      </w:r>
      <w:r w:rsidRPr="008E63BB">
        <w:rPr>
          <w:szCs w:val="26"/>
        </w:rPr>
        <w:t>” trước khi xả vào hệ thống thoát nước chung.</w:t>
      </w:r>
    </w:p>
    <w:p w14:paraId="519B3B8E" w14:textId="77777777" w:rsidR="00244409" w:rsidRPr="008E63BB" w:rsidRDefault="00244409" w:rsidP="0065184D">
      <w:pPr>
        <w:ind w:firstLine="709"/>
        <w:rPr>
          <w:szCs w:val="26"/>
        </w:rPr>
      </w:pPr>
      <w:r w:rsidRPr="008E63BB">
        <w:rPr>
          <w:szCs w:val="26"/>
        </w:rPr>
        <w:lastRenderedPageBreak/>
        <w:t>Nước thải công nghiệp phải được thu gom và xử lý riêng đạt QCVN 40:2011/BTNMT trước khi xả ra nguồn tiếp nhận.</w:t>
      </w:r>
    </w:p>
    <w:p w14:paraId="519B3B8F" w14:textId="77777777" w:rsidR="005952EF" w:rsidRPr="008E63BB" w:rsidRDefault="005952EF" w:rsidP="005952EF">
      <w:pPr>
        <w:ind w:firstLine="709"/>
        <w:rPr>
          <w:szCs w:val="26"/>
        </w:rPr>
      </w:pPr>
      <w:r w:rsidRPr="008E63BB">
        <w:rPr>
          <w:szCs w:val="26"/>
        </w:rPr>
        <w:t>Nước thải y tế từ các bệnh viện, cơ sở y tế phải được xử lý đạt quy chuẩn môi trường trước khi xả ra mạng lưới thoát nước (công suất trạm XLNT y tế được xác định theo các dự án đầu tư xây dựng).</w:t>
      </w:r>
    </w:p>
    <w:p w14:paraId="519B3B90" w14:textId="77777777" w:rsidR="00244409" w:rsidRPr="008E63BB" w:rsidRDefault="00244409" w:rsidP="0065184D">
      <w:pPr>
        <w:ind w:firstLine="709"/>
        <w:rPr>
          <w:szCs w:val="26"/>
        </w:rPr>
      </w:pPr>
      <w:r w:rsidRPr="008E63BB">
        <w:rPr>
          <w:szCs w:val="26"/>
        </w:rPr>
        <w:tab/>
        <w:t>Đối với khu nội thị cũ của thành phố, các tuyến phố đã ổn định về chỉ giới, hệ thống thoát nước dự kiến là hệ thống thoát nước nửa riêng. Tại phía trước các điểm xả, xây dựng các giếng tràn tách nước thải và các tuyến cống bao dẫn nước thải về trạm xử lý nước thải tập trung.</w:t>
      </w:r>
    </w:p>
    <w:p w14:paraId="519B3B91" w14:textId="77777777" w:rsidR="00244409" w:rsidRPr="008E63BB" w:rsidRDefault="00244409" w:rsidP="0065184D">
      <w:pPr>
        <w:ind w:firstLine="709"/>
        <w:rPr>
          <w:szCs w:val="26"/>
        </w:rPr>
      </w:pPr>
      <w:r w:rsidRPr="008E63BB">
        <w:rPr>
          <w:szCs w:val="26"/>
        </w:rPr>
        <w:tab/>
        <w:t>Đối với các khu đô thị quy hoạch mới, hệ thống thoát nước dự kiến là hệ thống thoát nước riêng hoàn toàn. Nước thải được thu gom bằng mạng lưới cống thoát nước thải, có đường kính D300</w:t>
      </w:r>
      <w:r w:rsidRPr="008E63BB">
        <w:rPr>
          <w:szCs w:val="26"/>
          <w:lang w:val="da-DK"/>
        </w:rPr>
        <w:sym w:font="Symbol" w:char="00B8"/>
      </w:r>
      <w:r w:rsidRPr="008E63BB">
        <w:rPr>
          <w:szCs w:val="26"/>
        </w:rPr>
        <w:t>D1000mm, qua các trạm bơm nước thải và dẫn về trạm xử lý nước thải tập trung.</w:t>
      </w:r>
    </w:p>
    <w:p w14:paraId="519B3B92" w14:textId="77777777" w:rsidR="00244409" w:rsidRPr="008E63BB" w:rsidRDefault="00244409" w:rsidP="0065184D">
      <w:pPr>
        <w:ind w:firstLine="709"/>
        <w:rPr>
          <w:szCs w:val="26"/>
        </w:rPr>
      </w:pPr>
      <w:r w:rsidRPr="008E63BB">
        <w:rPr>
          <w:szCs w:val="26"/>
        </w:rPr>
        <w:t>Đối với các khu du lịch, khu ở sinh thái có mật độ thấp, nước thải sẽ được xử lý cục bộ đạt tiêu chuẩn môi trường theo từng công trình hoặc nhóm công trình trước khi xả ra nguồn tiếp nhận.</w:t>
      </w:r>
    </w:p>
    <w:p w14:paraId="519B3B93" w14:textId="77777777" w:rsidR="00244409" w:rsidRPr="008E63BB" w:rsidRDefault="00244409" w:rsidP="00F06125">
      <w:pPr>
        <w:numPr>
          <w:ilvl w:val="0"/>
          <w:numId w:val="19"/>
        </w:numPr>
        <w:rPr>
          <w:i/>
          <w:szCs w:val="26"/>
        </w:rPr>
      </w:pPr>
      <w:r w:rsidRPr="008E63BB">
        <w:rPr>
          <w:i/>
          <w:szCs w:val="26"/>
        </w:rPr>
        <w:t>Giải pháp quy hoạch thoát nước thải</w:t>
      </w:r>
    </w:p>
    <w:p w14:paraId="519B3B94" w14:textId="77777777" w:rsidR="00244409" w:rsidRPr="008E63BB" w:rsidRDefault="00244409" w:rsidP="0065184D">
      <w:pPr>
        <w:ind w:firstLine="720"/>
        <w:rPr>
          <w:spacing w:val="-2"/>
          <w:szCs w:val="26"/>
        </w:rPr>
      </w:pPr>
      <w:r w:rsidRPr="008E63BB">
        <w:rPr>
          <w:spacing w:val="-2"/>
          <w:szCs w:val="26"/>
        </w:rPr>
        <w:t xml:space="preserve">Do bị chia cắt bởi hệ thống sông ngòi, địa hình tự nhiên và hệ thống giao thông đường bộ, đường sắt, nếu quy hoạch hệ thống thoát nước thải tập trung sẽ phải sử dụng rất nhiều các trạm bơm nước thải chuyển tiếp, không khả thi. Do vậy, phương án quy hoạch hệ thống thoát nước và xử lý nước thải phân tán theo các lưu vực lớn sẽ được chọn. </w:t>
      </w:r>
    </w:p>
    <w:p w14:paraId="519B3B95" w14:textId="77777777" w:rsidR="00244409" w:rsidRPr="008E63BB" w:rsidRDefault="00244409" w:rsidP="0065184D">
      <w:pPr>
        <w:ind w:firstLine="720"/>
        <w:rPr>
          <w:szCs w:val="26"/>
        </w:rPr>
      </w:pPr>
      <w:r w:rsidRPr="008E63BB">
        <w:rPr>
          <w:szCs w:val="26"/>
        </w:rPr>
        <w:t>Toàn bộ phạm vi nghiên cứu quy hoạch được chia thành hai lưu vực lớn là lưu vực Bắc sông Đào và lưu vực Nam sông Đào, trong đó:</w:t>
      </w:r>
    </w:p>
    <w:p w14:paraId="519B3B96" w14:textId="77777777" w:rsidR="00244409" w:rsidRPr="008E63BB" w:rsidRDefault="00244409" w:rsidP="0065184D">
      <w:pPr>
        <w:rPr>
          <w:szCs w:val="26"/>
        </w:rPr>
      </w:pPr>
      <w:r w:rsidRPr="008E63BB">
        <w:rPr>
          <w:szCs w:val="26"/>
        </w:rPr>
        <w:t>*</w:t>
      </w:r>
      <w:r w:rsidRPr="008E63BB">
        <w:rPr>
          <w:i/>
          <w:szCs w:val="26"/>
        </w:rPr>
        <w:t>Lưu vực Bắc sông Đào được chia thành 02  lưu vực nhỏ là N1 và N2:</w:t>
      </w:r>
    </w:p>
    <w:p w14:paraId="519B3B97" w14:textId="77777777" w:rsidR="00244409" w:rsidRPr="008E63BB" w:rsidRDefault="00244409" w:rsidP="0065184D">
      <w:pPr>
        <w:rPr>
          <w:szCs w:val="26"/>
        </w:rPr>
      </w:pPr>
      <w:r w:rsidRPr="008E63BB">
        <w:rPr>
          <w:i/>
          <w:szCs w:val="26"/>
        </w:rPr>
        <w:tab/>
        <w:t>+Lưu vực N1</w:t>
      </w:r>
      <w:r w:rsidRPr="008E63BB">
        <w:rPr>
          <w:szCs w:val="26"/>
        </w:rPr>
        <w:t xml:space="preserve">: </w:t>
      </w:r>
    </w:p>
    <w:p w14:paraId="519B3B98" w14:textId="77777777" w:rsidR="00244409" w:rsidRPr="008E63BB" w:rsidRDefault="00244409" w:rsidP="0065184D">
      <w:pPr>
        <w:rPr>
          <w:szCs w:val="26"/>
        </w:rPr>
      </w:pPr>
      <w:r w:rsidRPr="008E63BB">
        <w:rPr>
          <w:szCs w:val="26"/>
        </w:rPr>
        <w:tab/>
        <w:t>Phạm vi: Phía Bắc sông Đào và phía Đông tuyến đường sắt (bao gồm cả khu vực nội thành cũ).</w:t>
      </w:r>
    </w:p>
    <w:p w14:paraId="519B3B99" w14:textId="77777777" w:rsidR="00244409" w:rsidRPr="008E63BB" w:rsidRDefault="00244409" w:rsidP="0065184D">
      <w:pPr>
        <w:rPr>
          <w:szCs w:val="26"/>
        </w:rPr>
      </w:pPr>
      <w:r w:rsidRPr="008E63BB">
        <w:rPr>
          <w:szCs w:val="26"/>
        </w:rPr>
        <w:tab/>
        <w:t>Hệ thống thoát nước thải dự kiến là hệ thống riêng (với khu xây dựng mới) và nửa riêng (với khu vực đã xây dựng ổn định).</w:t>
      </w:r>
    </w:p>
    <w:p w14:paraId="519B3B9A" w14:textId="77777777" w:rsidR="005952EF" w:rsidRPr="008E63BB" w:rsidRDefault="00244409" w:rsidP="005952EF">
      <w:pPr>
        <w:rPr>
          <w:szCs w:val="26"/>
        </w:rPr>
      </w:pPr>
      <w:r w:rsidRPr="008E63BB">
        <w:rPr>
          <w:szCs w:val="26"/>
        </w:rPr>
        <w:tab/>
      </w:r>
      <w:r w:rsidR="005952EF" w:rsidRPr="008E63BB">
        <w:rPr>
          <w:szCs w:val="26"/>
        </w:rPr>
        <w:t>Toàn bộ nước thải sinh hoạt của lưu vực này được thu gom về các trạm bơm trung chuyển, cuối cùng dẫn về nhà máy xử lý nước thải đô thị SH1 với công suất đạt 50.000 m</w:t>
      </w:r>
      <w:r w:rsidR="005952EF" w:rsidRPr="008E63BB">
        <w:rPr>
          <w:szCs w:val="26"/>
          <w:vertAlign w:val="superscript"/>
        </w:rPr>
        <w:t>3</w:t>
      </w:r>
      <w:r w:rsidR="005952EF" w:rsidRPr="008E63BB">
        <w:rPr>
          <w:szCs w:val="26"/>
        </w:rPr>
        <w:t>/ngđ; nhà máy xử lý nước thải ML1- công suất 7200 m</w:t>
      </w:r>
      <w:r w:rsidR="005952EF" w:rsidRPr="008E63BB">
        <w:rPr>
          <w:szCs w:val="26"/>
          <w:vertAlign w:val="superscript"/>
        </w:rPr>
        <w:t>3</w:t>
      </w:r>
      <w:r w:rsidR="005952EF" w:rsidRPr="008E63BB">
        <w:rPr>
          <w:szCs w:val="26"/>
        </w:rPr>
        <w:t>/ngđ; nhà máy xử lý nước thải ML2- công suất 1200 m</w:t>
      </w:r>
      <w:r w:rsidR="005952EF" w:rsidRPr="008E63BB">
        <w:rPr>
          <w:szCs w:val="26"/>
          <w:vertAlign w:val="superscript"/>
        </w:rPr>
        <w:t>3</w:t>
      </w:r>
      <w:r w:rsidR="005952EF" w:rsidRPr="008E63BB">
        <w:rPr>
          <w:szCs w:val="26"/>
        </w:rPr>
        <w:t>/ngđ (đến năm 2040).</w:t>
      </w:r>
    </w:p>
    <w:p w14:paraId="519B3B9B" w14:textId="77777777" w:rsidR="00244409" w:rsidRPr="008E63BB" w:rsidRDefault="005952EF" w:rsidP="005952EF">
      <w:pPr>
        <w:rPr>
          <w:szCs w:val="26"/>
        </w:rPr>
      </w:pPr>
      <w:r w:rsidRPr="008E63BB">
        <w:rPr>
          <w:szCs w:val="26"/>
        </w:rPr>
        <w:t>Các trạm XLNT công nghiệp tập trung có công suất như sau: TXL CN2-12876 m</w:t>
      </w:r>
      <w:r w:rsidRPr="008E63BB">
        <w:rPr>
          <w:szCs w:val="26"/>
          <w:vertAlign w:val="superscript"/>
        </w:rPr>
        <w:t>3</w:t>
      </w:r>
      <w:r w:rsidRPr="008E63BB">
        <w:rPr>
          <w:szCs w:val="26"/>
        </w:rPr>
        <w:t>/ngđ; TXL CN3- 1700 m</w:t>
      </w:r>
      <w:r w:rsidRPr="008E63BB">
        <w:rPr>
          <w:szCs w:val="26"/>
          <w:vertAlign w:val="superscript"/>
        </w:rPr>
        <w:t>3</w:t>
      </w:r>
      <w:r w:rsidRPr="008E63BB">
        <w:rPr>
          <w:szCs w:val="26"/>
        </w:rPr>
        <w:t>/ngđ; TXL CN4- 300 m</w:t>
      </w:r>
      <w:r w:rsidRPr="008E63BB">
        <w:rPr>
          <w:szCs w:val="26"/>
          <w:vertAlign w:val="superscript"/>
        </w:rPr>
        <w:t>3</w:t>
      </w:r>
      <w:r w:rsidRPr="008E63BB">
        <w:rPr>
          <w:szCs w:val="26"/>
        </w:rPr>
        <w:t>/ngđ;TXL CN5- 7000 m</w:t>
      </w:r>
      <w:r w:rsidRPr="008E63BB">
        <w:rPr>
          <w:szCs w:val="26"/>
          <w:vertAlign w:val="superscript"/>
        </w:rPr>
        <w:t>3</w:t>
      </w:r>
      <w:r w:rsidRPr="008E63BB">
        <w:rPr>
          <w:szCs w:val="26"/>
        </w:rPr>
        <w:t>/ngđ</w:t>
      </w:r>
      <w:r w:rsidR="00350680" w:rsidRPr="008E63BB">
        <w:rPr>
          <w:szCs w:val="26"/>
        </w:rPr>
        <w:t>.</w:t>
      </w:r>
    </w:p>
    <w:p w14:paraId="519B3B9C" w14:textId="77777777" w:rsidR="00244409" w:rsidRPr="008E63BB" w:rsidRDefault="00244409" w:rsidP="0065184D">
      <w:pPr>
        <w:rPr>
          <w:szCs w:val="26"/>
        </w:rPr>
      </w:pPr>
      <w:r w:rsidRPr="008E63BB">
        <w:rPr>
          <w:i/>
          <w:szCs w:val="26"/>
        </w:rPr>
        <w:tab/>
        <w:t>+ Lưu vực N2</w:t>
      </w:r>
      <w:r w:rsidRPr="008E63BB">
        <w:rPr>
          <w:szCs w:val="26"/>
        </w:rPr>
        <w:t>:</w:t>
      </w:r>
    </w:p>
    <w:p w14:paraId="519B3B9D" w14:textId="77777777" w:rsidR="00244409" w:rsidRPr="008E63BB" w:rsidRDefault="00244409" w:rsidP="0065184D">
      <w:pPr>
        <w:rPr>
          <w:szCs w:val="26"/>
        </w:rPr>
      </w:pPr>
      <w:r w:rsidRPr="008E63BB">
        <w:rPr>
          <w:szCs w:val="26"/>
        </w:rPr>
        <w:tab/>
        <w:t>Phạm vi: Phía Bắc sông Đào và phía Tây tuyến đường sắt .</w:t>
      </w:r>
    </w:p>
    <w:p w14:paraId="519B3B9E" w14:textId="77777777" w:rsidR="00244409" w:rsidRPr="008E63BB" w:rsidRDefault="00244409" w:rsidP="0065184D">
      <w:pPr>
        <w:rPr>
          <w:szCs w:val="26"/>
        </w:rPr>
      </w:pPr>
      <w:r w:rsidRPr="008E63BB">
        <w:rPr>
          <w:szCs w:val="26"/>
        </w:rPr>
        <w:tab/>
        <w:t>Hệ thống thoát nước thải dự kiến là hệ thống riêng.</w:t>
      </w:r>
    </w:p>
    <w:p w14:paraId="519B3B9F" w14:textId="77777777" w:rsidR="00244409" w:rsidRPr="008E63BB" w:rsidRDefault="00244409" w:rsidP="0065184D">
      <w:pPr>
        <w:rPr>
          <w:szCs w:val="26"/>
        </w:rPr>
      </w:pPr>
      <w:r w:rsidRPr="008E63BB">
        <w:rPr>
          <w:szCs w:val="26"/>
        </w:rPr>
        <w:tab/>
        <w:t>Toàn bộ nước thải của lưu vực này được thu gom về các trạm bơm nước thải trung chuyển và dẫn về nhà máy xử lý nước thải SH2 có công suấ</w:t>
      </w:r>
      <w:r w:rsidR="00991216" w:rsidRPr="008E63BB">
        <w:rPr>
          <w:szCs w:val="26"/>
        </w:rPr>
        <w:t>t 2</w:t>
      </w:r>
      <w:r w:rsidRPr="008E63BB">
        <w:rPr>
          <w:szCs w:val="26"/>
        </w:rPr>
        <w:t>0.000 m</w:t>
      </w:r>
      <w:r w:rsidRPr="008E63BB">
        <w:rPr>
          <w:szCs w:val="26"/>
          <w:vertAlign w:val="superscript"/>
        </w:rPr>
        <w:t>3</w:t>
      </w:r>
      <w:r w:rsidRPr="008E63BB">
        <w:rPr>
          <w:szCs w:val="26"/>
        </w:rPr>
        <w:t>/ngđ (đến năm 2040).</w:t>
      </w:r>
    </w:p>
    <w:p w14:paraId="519B3BA0" w14:textId="77777777" w:rsidR="00350680" w:rsidRPr="008E63BB" w:rsidRDefault="005952EF" w:rsidP="00350680">
      <w:pPr>
        <w:ind w:firstLine="720"/>
        <w:rPr>
          <w:szCs w:val="26"/>
        </w:rPr>
      </w:pPr>
      <w:r w:rsidRPr="008E63BB">
        <w:rPr>
          <w:szCs w:val="26"/>
        </w:rPr>
        <w:t>Các trạm XLNT công nghiệp có công suất như sau: TXL CN1- 3800 m</w:t>
      </w:r>
      <w:r w:rsidRPr="008E63BB">
        <w:rPr>
          <w:szCs w:val="26"/>
          <w:vertAlign w:val="superscript"/>
        </w:rPr>
        <w:t>3</w:t>
      </w:r>
      <w:r w:rsidRPr="008E63BB">
        <w:rPr>
          <w:szCs w:val="26"/>
        </w:rPr>
        <w:t>/ngđ; TXL CN6- 1500 m</w:t>
      </w:r>
      <w:r w:rsidRPr="008E63BB">
        <w:rPr>
          <w:szCs w:val="26"/>
          <w:vertAlign w:val="superscript"/>
        </w:rPr>
        <w:t>3</w:t>
      </w:r>
      <w:r w:rsidRPr="008E63BB">
        <w:rPr>
          <w:szCs w:val="26"/>
        </w:rPr>
        <w:t>/ngđ; TXL CN7- 1900 m</w:t>
      </w:r>
      <w:r w:rsidRPr="008E63BB">
        <w:rPr>
          <w:szCs w:val="26"/>
          <w:vertAlign w:val="superscript"/>
        </w:rPr>
        <w:t>3</w:t>
      </w:r>
      <w:r w:rsidRPr="008E63BB">
        <w:rPr>
          <w:szCs w:val="26"/>
        </w:rPr>
        <w:t>/ngđ.</w:t>
      </w:r>
    </w:p>
    <w:p w14:paraId="519B3BA1" w14:textId="77777777" w:rsidR="00244409" w:rsidRPr="008E63BB" w:rsidRDefault="00244409" w:rsidP="0065184D">
      <w:pPr>
        <w:rPr>
          <w:szCs w:val="26"/>
        </w:rPr>
      </w:pPr>
      <w:r w:rsidRPr="008E63BB">
        <w:rPr>
          <w:szCs w:val="26"/>
        </w:rPr>
        <w:t>*</w:t>
      </w:r>
      <w:r w:rsidRPr="008E63BB">
        <w:rPr>
          <w:i/>
          <w:szCs w:val="26"/>
        </w:rPr>
        <w:t>Lưu vực Nam sông Đào:</w:t>
      </w:r>
    </w:p>
    <w:p w14:paraId="519B3BA2" w14:textId="77777777" w:rsidR="00244409" w:rsidRPr="008E63BB" w:rsidRDefault="00244409" w:rsidP="0065184D">
      <w:pPr>
        <w:rPr>
          <w:szCs w:val="26"/>
        </w:rPr>
      </w:pPr>
      <w:r w:rsidRPr="008E63BB">
        <w:rPr>
          <w:szCs w:val="26"/>
        </w:rPr>
        <w:tab/>
        <w:t>Hệ thống thoát nước thải dự kiến là hệ thống riêng.</w:t>
      </w:r>
    </w:p>
    <w:p w14:paraId="519B3BA3" w14:textId="77777777" w:rsidR="00244409" w:rsidRPr="008E63BB" w:rsidRDefault="00244409" w:rsidP="0065184D">
      <w:pPr>
        <w:rPr>
          <w:szCs w:val="26"/>
        </w:rPr>
      </w:pPr>
      <w:r w:rsidRPr="008E63BB">
        <w:rPr>
          <w:szCs w:val="26"/>
        </w:rPr>
        <w:lastRenderedPageBreak/>
        <w:tab/>
        <w:t>Toàn bộ nước thải sinh hoạt của lưu vực này được thu gom về các trạm bơm trung chuyển, cuối cùng dẫn về nhà máy xử lý nước thải đô thị SH3 với công suất đạt 12.000 m</w:t>
      </w:r>
      <w:r w:rsidRPr="008E63BB">
        <w:rPr>
          <w:szCs w:val="26"/>
          <w:vertAlign w:val="superscript"/>
        </w:rPr>
        <w:t>3</w:t>
      </w:r>
      <w:r w:rsidRPr="008E63BB">
        <w:rPr>
          <w:szCs w:val="26"/>
        </w:rPr>
        <w:t>/ngđ (đến năm 2040), diện tích khoảng 1,2 ha.</w:t>
      </w:r>
    </w:p>
    <w:p w14:paraId="519B3BA4" w14:textId="77777777" w:rsidR="00244409" w:rsidRPr="008E63BB" w:rsidRDefault="00244409" w:rsidP="0065184D">
      <w:pPr>
        <w:rPr>
          <w:szCs w:val="26"/>
        </w:rPr>
      </w:pPr>
      <w:r w:rsidRPr="008E63BB">
        <w:rPr>
          <w:szCs w:val="26"/>
        </w:rPr>
        <w:t>* Các khu vực nông thôn và khu vực dân cư phân tán, nước thải được xử lý cục bộ đạt tiêu chuẩn môi trường trước khi xả ra hệ thống chung (các khu vực này tuân thủ theo QHTN2018).</w:t>
      </w:r>
    </w:p>
    <w:p w14:paraId="519B3BA5" w14:textId="77777777" w:rsidR="00244409" w:rsidRPr="008E63BB" w:rsidRDefault="00244409" w:rsidP="0065184D">
      <w:pPr>
        <w:rPr>
          <w:i/>
          <w:szCs w:val="26"/>
        </w:rPr>
      </w:pPr>
      <w:r w:rsidRPr="008E63BB">
        <w:rPr>
          <w:i/>
          <w:szCs w:val="26"/>
        </w:rPr>
        <w:t>c. Quy hoạch thu gom và xử lý chất thải rắn (CTR).</w:t>
      </w:r>
    </w:p>
    <w:p w14:paraId="519B3BA6" w14:textId="77777777" w:rsidR="00244409" w:rsidRPr="008E63BB" w:rsidRDefault="00244409" w:rsidP="0065184D">
      <w:pPr>
        <w:ind w:firstLine="720"/>
        <w:rPr>
          <w:szCs w:val="26"/>
        </w:rPr>
      </w:pPr>
      <w:r w:rsidRPr="008E63BB">
        <w:rPr>
          <w:szCs w:val="26"/>
        </w:rPr>
        <w:t xml:space="preserve">CTR đô thị phải được phân loại tại nguồn thải thành các chất hữu cơ và vô cơ trước khi thu gom, vận chuyển đến khu xử lý CTR của thành phố.  </w:t>
      </w:r>
    </w:p>
    <w:p w14:paraId="519B3BA7" w14:textId="77777777" w:rsidR="00244409" w:rsidRPr="008E63BB" w:rsidRDefault="00244409" w:rsidP="0065184D">
      <w:pPr>
        <w:ind w:firstLine="720"/>
        <w:rPr>
          <w:szCs w:val="26"/>
        </w:rPr>
      </w:pPr>
      <w:r w:rsidRPr="008E63BB">
        <w:rPr>
          <w:szCs w:val="26"/>
        </w:rPr>
        <w:t>Nội dung quy hoạch chất thải rắn thành phố sẽ tuân thủ theo đúng quyết định số 3053/QĐ-UBND ngày 23/12/2016 của UBND tỉnh phê duyệt đồ án "Quy hoạch quản lý chất thải rắn vùng tỉnh Nam Định đến năm 2030".</w:t>
      </w:r>
    </w:p>
    <w:p w14:paraId="519B3BA8" w14:textId="77777777" w:rsidR="00A31DCD" w:rsidRPr="008E63BB" w:rsidRDefault="00244409" w:rsidP="0065184D">
      <w:pPr>
        <w:rPr>
          <w:szCs w:val="26"/>
        </w:rPr>
      </w:pPr>
      <w:r w:rsidRPr="008E63BB">
        <w:rPr>
          <w:szCs w:val="26"/>
        </w:rPr>
        <w:tab/>
      </w:r>
      <w:r w:rsidR="00A31DCD" w:rsidRPr="008E63BB">
        <w:rPr>
          <w:szCs w:val="26"/>
        </w:rPr>
        <w:t xml:space="preserve">Nâng cấp, mở rộng khu xử lý chất thải rắn Lộc Hòa </w:t>
      </w:r>
      <w:r w:rsidR="00EA4FA3" w:rsidRPr="008E63BB">
        <w:rPr>
          <w:szCs w:val="26"/>
        </w:rPr>
        <w:t>-</w:t>
      </w:r>
      <w:r w:rsidR="00A31DCD" w:rsidRPr="008E63BB">
        <w:rPr>
          <w:szCs w:val="26"/>
        </w:rPr>
        <w:t xml:space="preserve"> Mỹ Thành, tổng công suất 800 tấn/ngày, quy mô diện tích sau khi mở rộng đạt 35,5ha với công nghệ xử lý hiện đại</w:t>
      </w:r>
      <w:r w:rsidR="00EA4FA3" w:rsidRPr="008E63BB">
        <w:rPr>
          <w:szCs w:val="26"/>
        </w:rPr>
        <w:t xml:space="preserve"> đảm bảo tiêu chuẩn môi trường</w:t>
      </w:r>
      <w:r w:rsidR="00A31DCD" w:rsidRPr="008E63BB">
        <w:rPr>
          <w:szCs w:val="26"/>
        </w:rPr>
        <w:t>.</w:t>
      </w:r>
    </w:p>
    <w:p w14:paraId="519B3BA9" w14:textId="77777777" w:rsidR="00A31DCD" w:rsidRPr="008E63BB" w:rsidRDefault="00A31DCD" w:rsidP="0065184D">
      <w:pPr>
        <w:rPr>
          <w:szCs w:val="26"/>
        </w:rPr>
      </w:pPr>
      <w:r w:rsidRPr="008E63BB">
        <w:rPr>
          <w:szCs w:val="26"/>
        </w:rPr>
        <w:tab/>
        <w:t xml:space="preserve">Khu vực phía Nam sông Đào, dự kiến lượng CTR phát sinh sẽ đưa về khu xử lý CTR Nam Dương (huyện Nam Trực) đã xác định trong đồ án Quy hoạch quản lý CTR vùng tỉnh Nam Định đến năm 2030, </w:t>
      </w:r>
      <w:r w:rsidRPr="008E63BB">
        <w:rPr>
          <w:szCs w:val="28"/>
        </w:rPr>
        <w:t>công suất khoảng 200 tấn/ngày</w:t>
      </w:r>
      <w:r w:rsidRPr="008E63BB">
        <w:rPr>
          <w:szCs w:val="26"/>
        </w:rPr>
        <w:t xml:space="preserve"> (vị trí nằm ngoài phạm vi nghiên cứu quy hoạch chung)</w:t>
      </w:r>
      <w:r w:rsidR="00EA4FA3" w:rsidRPr="008E63BB">
        <w:rPr>
          <w:szCs w:val="26"/>
        </w:rPr>
        <w:t>.</w:t>
      </w:r>
    </w:p>
    <w:p w14:paraId="519B3BAA" w14:textId="77777777" w:rsidR="00244409" w:rsidRPr="008E63BB" w:rsidRDefault="00244409" w:rsidP="0065184D">
      <w:pPr>
        <w:rPr>
          <w:i/>
          <w:szCs w:val="26"/>
        </w:rPr>
      </w:pPr>
      <w:r w:rsidRPr="008E63BB">
        <w:rPr>
          <w:i/>
          <w:szCs w:val="26"/>
        </w:rPr>
        <w:t>d. Quy hoạch nhà tang lễ và nghĩa trang</w:t>
      </w:r>
    </w:p>
    <w:p w14:paraId="519B3BAB" w14:textId="77777777" w:rsidR="00244409" w:rsidRPr="008E63BB" w:rsidRDefault="00244409" w:rsidP="0065184D">
      <w:pPr>
        <w:ind w:firstLine="720"/>
        <w:rPr>
          <w:szCs w:val="26"/>
        </w:rPr>
      </w:pPr>
      <w:r w:rsidRPr="008E63BB">
        <w:rPr>
          <w:szCs w:val="26"/>
        </w:rPr>
        <w:t>Dự kiến xây dựng mới 02 nhà tang lễ cho thành phố (một ở phía Bắc và một  phía Nam sông Đào), có diện tích khoảng 10.000m</w:t>
      </w:r>
      <w:r w:rsidRPr="008E63BB">
        <w:rPr>
          <w:szCs w:val="26"/>
          <w:vertAlign w:val="superscript"/>
        </w:rPr>
        <w:t>2</w:t>
      </w:r>
      <w:r w:rsidRPr="008E63BB">
        <w:rPr>
          <w:szCs w:val="26"/>
        </w:rPr>
        <w:t>, cách khu vực dân cư 100m (vị trí các nhà tang lễ xem trên bản đồ quy hoạch thoát nước thải, quản lý CTR, nghĩa trang- KTh11).</w:t>
      </w:r>
    </w:p>
    <w:p w14:paraId="519B3BAC" w14:textId="77777777" w:rsidR="005952EF" w:rsidRPr="008E63BB" w:rsidRDefault="00244409" w:rsidP="005952EF">
      <w:pPr>
        <w:rPr>
          <w:szCs w:val="26"/>
        </w:rPr>
      </w:pPr>
      <w:r w:rsidRPr="008E63BB">
        <w:rPr>
          <w:szCs w:val="26"/>
        </w:rPr>
        <w:tab/>
      </w:r>
      <w:r w:rsidR="005952EF" w:rsidRPr="008E63BB">
        <w:rPr>
          <w:szCs w:val="26"/>
        </w:rPr>
        <w:t>Đối với các nghĩa trang hiện có trong phạm vi nội thành: Từng bước, có lộ trình dừng chôn cất mới (hung táng) tại các nghĩa trang hiện có, chỉ tiếp nhận mộ cát táng, hỏa táng và tiến tới đóng cửa hoàn toàn các nghĩa trang trong nội thành. Tại các nghĩa trang này sẽ cải tạo, trồng thêm cây xanh. Thành phố sẽ tiếp tục sử dụng nghĩa trang Thanh Bình.</w:t>
      </w:r>
    </w:p>
    <w:p w14:paraId="519B3BAD" w14:textId="77777777" w:rsidR="00244409" w:rsidRPr="008E63BB" w:rsidRDefault="005952EF" w:rsidP="005952EF">
      <w:pPr>
        <w:rPr>
          <w:szCs w:val="26"/>
        </w:rPr>
      </w:pPr>
      <w:r w:rsidRPr="008E63BB">
        <w:rPr>
          <w:szCs w:val="26"/>
        </w:rPr>
        <w:tab/>
      </w:r>
    </w:p>
    <w:p w14:paraId="519B3BAE" w14:textId="77777777" w:rsidR="00244409" w:rsidRPr="008E63BB" w:rsidRDefault="00244409" w:rsidP="0065184D">
      <w:pPr>
        <w:rPr>
          <w:szCs w:val="26"/>
        </w:rPr>
      </w:pPr>
      <w:r w:rsidRPr="008E63BB">
        <w:rPr>
          <w:szCs w:val="26"/>
        </w:rPr>
        <w:tab/>
      </w:r>
      <w:r w:rsidR="00271F6F" w:rsidRPr="008E63BB">
        <w:rPr>
          <w:szCs w:val="26"/>
        </w:rPr>
        <w:t>Tại khu vực phía Nam sông Đào, dự kiến quy hoạch 01 nghĩa trang tập trung mớ</w:t>
      </w:r>
      <w:r w:rsidR="00E81229" w:rsidRPr="008E63BB">
        <w:rPr>
          <w:szCs w:val="26"/>
        </w:rPr>
        <w:t xml:space="preserve">i </w:t>
      </w:r>
      <w:r w:rsidR="00271F6F" w:rsidRPr="008E63BB">
        <w:rPr>
          <w:szCs w:val="26"/>
        </w:rPr>
        <w:t>với quy mô 10-15ha</w:t>
      </w:r>
      <w:r w:rsidR="00E81229" w:rsidRPr="008E63BB">
        <w:rPr>
          <w:szCs w:val="26"/>
        </w:rPr>
        <w:t>.Khuyến khích mô hình công viên nghĩa trang và người dân sử dụng hình thức hỏa táng (theo quyết định số 2282/QĐ-TTg ngày 26/11/2013 của Thủ tướng Chính phủ phê duyệt đề án khuyến khích sử dụng hình thức hỏa táng).</w:t>
      </w:r>
    </w:p>
    <w:p w14:paraId="519B3BAF" w14:textId="77777777" w:rsidR="00122FE9" w:rsidRPr="008E63BB" w:rsidRDefault="00244409" w:rsidP="0065184D">
      <w:pPr>
        <w:ind w:firstLine="720"/>
        <w:rPr>
          <w:szCs w:val="26"/>
          <w:lang w:val="pt-BR"/>
        </w:rPr>
      </w:pPr>
      <w:r w:rsidRPr="008E63BB">
        <w:rPr>
          <w:szCs w:val="26"/>
        </w:rPr>
        <w:t>Tại khu vực nông thôn, tuân thủ quy hoạch nghĩa trang theo đồ án quy hoạch nông thôn mới đã được phê duyệt</w:t>
      </w:r>
    </w:p>
    <w:p w14:paraId="519B3BB0" w14:textId="77777777" w:rsidR="004929D3" w:rsidRPr="008E63BB" w:rsidRDefault="00DE21CF" w:rsidP="0065184D">
      <w:pPr>
        <w:pStyle w:val="Heading2"/>
        <w:spacing w:before="0" w:after="0"/>
        <w:rPr>
          <w:kern w:val="32"/>
          <w:lang w:val="vi-VN"/>
        </w:rPr>
      </w:pPr>
      <w:bookmarkStart w:id="501" w:name="_Toc47524725"/>
      <w:r w:rsidRPr="008E63BB">
        <w:rPr>
          <w:kern w:val="32"/>
          <w:lang w:val="pt-BR"/>
        </w:rPr>
        <w:t>6</w:t>
      </w:r>
      <w:r w:rsidR="004929D3" w:rsidRPr="008E63BB">
        <w:rPr>
          <w:kern w:val="32"/>
          <w:lang w:val="vi-VN"/>
        </w:rPr>
        <w:t>.6. Định hướng phát triển hệ thống thông t</w:t>
      </w:r>
      <w:r w:rsidR="002E2356" w:rsidRPr="008E63BB">
        <w:rPr>
          <w:kern w:val="32"/>
          <w:lang w:val="vi-VN"/>
        </w:rPr>
        <w:t>i</w:t>
      </w:r>
      <w:r w:rsidR="004929D3" w:rsidRPr="008E63BB">
        <w:rPr>
          <w:kern w:val="32"/>
          <w:lang w:val="vi-VN"/>
        </w:rPr>
        <w:t>n liên lạc</w:t>
      </w:r>
      <w:bookmarkEnd w:id="501"/>
    </w:p>
    <w:p w14:paraId="519B3BB1" w14:textId="77777777" w:rsidR="00207BFF" w:rsidRPr="008E63BB" w:rsidRDefault="0030385C" w:rsidP="0065184D">
      <w:pPr>
        <w:tabs>
          <w:tab w:val="left" w:pos="180"/>
          <w:tab w:val="left" w:pos="900"/>
        </w:tabs>
        <w:ind w:right="-86"/>
        <w:mirrorIndents/>
        <w:rPr>
          <w:i/>
          <w:szCs w:val="26"/>
          <w:lang w:val="vi-VN"/>
        </w:rPr>
      </w:pPr>
      <w:bookmarkStart w:id="502" w:name="_Toc341519087"/>
      <w:bookmarkStart w:id="503" w:name="_Toc341519188"/>
      <w:bookmarkStart w:id="504" w:name="_Toc344928497"/>
      <w:r w:rsidRPr="008E63BB">
        <w:rPr>
          <w:i/>
          <w:szCs w:val="26"/>
          <w:lang w:val="vi-VN"/>
        </w:rPr>
        <w:t xml:space="preserve">a. </w:t>
      </w:r>
      <w:r w:rsidR="00207BFF" w:rsidRPr="008E63BB">
        <w:rPr>
          <w:i/>
          <w:szCs w:val="26"/>
          <w:lang w:val="vi-VN"/>
        </w:rPr>
        <w:t>Dự báo nhu cầu mạng:</w:t>
      </w:r>
    </w:p>
    <w:p w14:paraId="519B3BB2" w14:textId="77777777" w:rsidR="00746DDC" w:rsidRPr="008E63BB" w:rsidRDefault="00746DDC" w:rsidP="003C017D">
      <w:pPr>
        <w:ind w:firstLine="630"/>
        <w:rPr>
          <w:szCs w:val="26"/>
          <w:lang w:val="pt-BR"/>
        </w:rPr>
      </w:pPr>
      <w:r w:rsidRPr="008E63BB">
        <w:rPr>
          <w:szCs w:val="26"/>
          <w:lang w:val="pt-BR"/>
        </w:rPr>
        <w:t xml:space="preserve">Ngày 13/2/2020 trung tâm điều hành đô thị thông minh đã được UBND tỉnh khai trương vận hành thí điểm , nằm trong tổng thể  Đề án mô hình đô thị thông minh tỉnh Nam Định. Trong phần dự báo tính toán của đồ án này đã dự phòng nhu cầu về phát triển đô thị thông minh giúp  quản lý, điều hành hiệu quả, mang lại lợi ích cho người dân và doanh nghiệp.     </w:t>
      </w:r>
    </w:p>
    <w:p w14:paraId="519B3BB3" w14:textId="77777777" w:rsidR="00207BFF" w:rsidRPr="008E63BB" w:rsidRDefault="00207BFF" w:rsidP="0065184D">
      <w:pPr>
        <w:ind w:firstLine="630"/>
        <w:rPr>
          <w:szCs w:val="26"/>
          <w:lang w:val="pt-BR"/>
        </w:rPr>
      </w:pPr>
      <w:r w:rsidRPr="008E63BB">
        <w:rPr>
          <w:szCs w:val="26"/>
          <w:lang w:val="pt-BR"/>
        </w:rPr>
        <w:t>Như đã đánh giá hiện trạng ở trên, khu vực thiết kế hiện nay nằm trong hệ thống BC-VT củ</w:t>
      </w:r>
      <w:r w:rsidR="00273CEA" w:rsidRPr="008E63BB">
        <w:rPr>
          <w:szCs w:val="26"/>
          <w:lang w:val="pt-BR"/>
        </w:rPr>
        <w:t>a tỉnh</w:t>
      </w:r>
      <w:r w:rsidRPr="008E63BB">
        <w:rPr>
          <w:szCs w:val="26"/>
          <w:lang w:val="pt-BR"/>
        </w:rPr>
        <w:t xml:space="preserve"> Nam Định. Chính vì vậy khu vực thiết kế luôn được đảm bảo về dung lượng cũng như lưu lượng thuê bao khi có nhu cầu.  </w:t>
      </w:r>
    </w:p>
    <w:p w14:paraId="519B3BB4" w14:textId="77777777" w:rsidR="00207BFF" w:rsidRPr="008E63BB" w:rsidRDefault="00207BFF" w:rsidP="0065184D">
      <w:pPr>
        <w:ind w:firstLine="630"/>
        <w:rPr>
          <w:szCs w:val="26"/>
          <w:lang w:val="pt-BR"/>
        </w:rPr>
      </w:pPr>
      <w:r w:rsidRPr="008E63BB">
        <w:rPr>
          <w:szCs w:val="26"/>
          <w:lang w:val="pt-BR"/>
        </w:rPr>
        <w:lastRenderedPageBreak/>
        <w:t xml:space="preserve">Nhu cầu toàn khu vực khoảng </w:t>
      </w:r>
      <w:r w:rsidR="00232473" w:rsidRPr="008E63BB">
        <w:rPr>
          <w:szCs w:val="26"/>
          <w:lang w:val="pt-BR"/>
        </w:rPr>
        <w:t>206.</w:t>
      </w:r>
      <w:r w:rsidRPr="008E63BB">
        <w:rPr>
          <w:szCs w:val="26"/>
          <w:lang w:val="pt-BR"/>
        </w:rPr>
        <w:t>000 thuê bao.</w:t>
      </w:r>
    </w:p>
    <w:p w14:paraId="519B3BB5" w14:textId="77777777" w:rsidR="00207BFF" w:rsidRPr="008E63BB" w:rsidRDefault="0030385C" w:rsidP="0065184D">
      <w:pPr>
        <w:tabs>
          <w:tab w:val="left" w:pos="900"/>
          <w:tab w:val="left" w:pos="1260"/>
        </w:tabs>
        <w:rPr>
          <w:i/>
          <w:szCs w:val="26"/>
          <w:lang w:val="pt-BR"/>
        </w:rPr>
      </w:pPr>
      <w:r w:rsidRPr="008E63BB">
        <w:rPr>
          <w:i/>
          <w:szCs w:val="26"/>
          <w:lang w:val="pt-BR"/>
        </w:rPr>
        <w:t xml:space="preserve">b. </w:t>
      </w:r>
      <w:r w:rsidR="00207BFF" w:rsidRPr="008E63BB">
        <w:rPr>
          <w:i/>
          <w:szCs w:val="26"/>
          <w:lang w:val="pt-BR"/>
        </w:rPr>
        <w:t>Chuyển mạch</w:t>
      </w:r>
    </w:p>
    <w:p w14:paraId="519B3BB6" w14:textId="77777777" w:rsidR="00207BFF" w:rsidRPr="008E63BB" w:rsidRDefault="00207BFF" w:rsidP="0065184D">
      <w:pPr>
        <w:ind w:firstLine="630"/>
        <w:rPr>
          <w:szCs w:val="26"/>
          <w:lang w:val="pt-BR"/>
        </w:rPr>
      </w:pPr>
      <w:r w:rsidRPr="008E63BB">
        <w:rPr>
          <w:szCs w:val="26"/>
          <w:lang w:val="pt-BR"/>
        </w:rPr>
        <w:t>- Nâng cấp trạm host mới cho toàn khu vực với dung lượng 2</w:t>
      </w:r>
      <w:r w:rsidR="00232473" w:rsidRPr="008E63BB">
        <w:rPr>
          <w:szCs w:val="26"/>
          <w:lang w:val="pt-BR"/>
        </w:rPr>
        <w:t>2</w:t>
      </w:r>
      <w:r w:rsidRPr="008E63BB">
        <w:rPr>
          <w:szCs w:val="26"/>
          <w:lang w:val="pt-BR"/>
        </w:rPr>
        <w:t xml:space="preserve">0.000lines.  </w:t>
      </w:r>
    </w:p>
    <w:p w14:paraId="519B3BB7" w14:textId="77777777" w:rsidR="00207BFF" w:rsidRPr="008E63BB" w:rsidRDefault="0030385C" w:rsidP="0065184D">
      <w:pPr>
        <w:tabs>
          <w:tab w:val="left" w:pos="180"/>
          <w:tab w:val="left" w:pos="900"/>
        </w:tabs>
        <w:ind w:right="-86"/>
        <w:mirrorIndents/>
        <w:rPr>
          <w:i/>
          <w:szCs w:val="26"/>
          <w:lang w:val="pt-BR"/>
        </w:rPr>
      </w:pPr>
      <w:r w:rsidRPr="008E63BB">
        <w:rPr>
          <w:i/>
          <w:szCs w:val="26"/>
          <w:lang w:val="pt-BR"/>
        </w:rPr>
        <w:t xml:space="preserve">c. </w:t>
      </w:r>
      <w:r w:rsidR="00207BFF" w:rsidRPr="008E63BB">
        <w:rPr>
          <w:i/>
          <w:szCs w:val="26"/>
          <w:lang w:val="pt-BR"/>
        </w:rPr>
        <w:t>Truyền dẫn</w:t>
      </w:r>
    </w:p>
    <w:p w14:paraId="519B3BB8" w14:textId="77777777" w:rsidR="00207BFF" w:rsidRPr="008E63BB" w:rsidRDefault="00207BFF" w:rsidP="0065184D">
      <w:pPr>
        <w:ind w:firstLine="630"/>
        <w:rPr>
          <w:szCs w:val="26"/>
          <w:lang w:val="pt-BR"/>
        </w:rPr>
      </w:pPr>
      <w:r w:rsidRPr="008E63BB">
        <w:rPr>
          <w:szCs w:val="26"/>
          <w:lang w:val="pt-BR"/>
        </w:rPr>
        <w:t>-  Sử dụng các tuyến cáp quang từ trạm chuyển mạch mới.Tuyến cáp quang này sử dụng loại FLX-600A (Quang), hạ ngầm trên vỉa hè, độ sâu trong hào cáp, khoảng cách đến chân các công trình phải đảm bảo tiêu chuẩn kỹ thuật của nghành TC30-05-2002.</w:t>
      </w:r>
    </w:p>
    <w:p w14:paraId="519B3BB9" w14:textId="77777777" w:rsidR="00207BFF" w:rsidRPr="008E63BB" w:rsidRDefault="0030385C" w:rsidP="0065184D">
      <w:pPr>
        <w:tabs>
          <w:tab w:val="left" w:pos="180"/>
          <w:tab w:val="left" w:pos="900"/>
        </w:tabs>
        <w:ind w:right="-86"/>
        <w:mirrorIndents/>
        <w:rPr>
          <w:i/>
          <w:szCs w:val="26"/>
          <w:lang w:val="pt-BR"/>
        </w:rPr>
      </w:pPr>
      <w:r w:rsidRPr="008E63BB">
        <w:rPr>
          <w:i/>
          <w:szCs w:val="26"/>
          <w:lang w:val="pt-BR"/>
        </w:rPr>
        <w:t xml:space="preserve">d. </w:t>
      </w:r>
      <w:r w:rsidR="00207BFF" w:rsidRPr="008E63BB">
        <w:rPr>
          <w:i/>
          <w:szCs w:val="26"/>
          <w:lang w:val="pt-BR"/>
        </w:rPr>
        <w:t>Mạng ngoại vi :</w:t>
      </w:r>
    </w:p>
    <w:p w14:paraId="519B3BBA" w14:textId="77777777" w:rsidR="00207BFF" w:rsidRPr="008E63BB" w:rsidRDefault="00207BFF" w:rsidP="0065184D">
      <w:pPr>
        <w:ind w:firstLine="630"/>
        <w:rPr>
          <w:szCs w:val="26"/>
          <w:lang w:val="pt-BR"/>
        </w:rPr>
      </w:pPr>
      <w:r w:rsidRPr="008E63BB">
        <w:rPr>
          <w:szCs w:val="26"/>
          <w:lang w:val="pt-BR"/>
        </w:rPr>
        <w:t>- Xây dựng hệ thống cống bể theo nguyên tắc tổ chức mạng ngoại vi và có khả năng cho các nhà cung cấp dịch vụ viễn thông khác sử dụng cống bể để phát triển dịch vụ.</w:t>
      </w:r>
    </w:p>
    <w:p w14:paraId="519B3BBB" w14:textId="77777777" w:rsidR="00207BFF" w:rsidRPr="008E63BB" w:rsidRDefault="00207BFF" w:rsidP="0065184D">
      <w:pPr>
        <w:ind w:firstLine="630"/>
        <w:rPr>
          <w:szCs w:val="26"/>
          <w:lang w:val="pt-BR"/>
        </w:rPr>
      </w:pPr>
      <w:r w:rsidRPr="008E63BB">
        <w:rPr>
          <w:szCs w:val="26"/>
          <w:lang w:val="pt-BR"/>
        </w:rPr>
        <w:t>-  Hạ ngầm tất cả các loại cáp xuống vỉa hè, trên đường nội bộ có mặt cắt nhỏ, có thể trôn trực tiếp ống nhựa xuống mặt đường, để đảm bảo chất lượng thông tin và mỹ quan đô thị. Và đồng bộ với các cơ sở hạ tầng khác nhằm tiết kiệm chi phí khi thi công.</w:t>
      </w:r>
    </w:p>
    <w:p w14:paraId="519B3BBC" w14:textId="77777777" w:rsidR="00207BFF" w:rsidRPr="008E63BB" w:rsidRDefault="00207BFF" w:rsidP="0065184D">
      <w:pPr>
        <w:ind w:firstLine="630"/>
        <w:rPr>
          <w:rFonts w:eastAsia="Times New Roman"/>
          <w:szCs w:val="26"/>
          <w:lang w:val="pt-BR"/>
        </w:rPr>
      </w:pPr>
      <w:r w:rsidRPr="008E63BB">
        <w:rPr>
          <w:rFonts w:eastAsia="Times New Roman"/>
          <w:szCs w:val="26"/>
          <w:lang w:val="pt-BR"/>
        </w:rPr>
        <w:t xml:space="preserve">- Các cống bể cáp và nắp bể đã được chuẩn hoá về kích thước cũng như kiểu dáng, theo quy chuẩn của nghành. </w:t>
      </w:r>
    </w:p>
    <w:p w14:paraId="519B3BBD" w14:textId="77777777" w:rsidR="00207BFF" w:rsidRPr="008E63BB" w:rsidRDefault="00207BFF" w:rsidP="0065184D">
      <w:pPr>
        <w:ind w:firstLine="630"/>
        <w:rPr>
          <w:rFonts w:eastAsia="Times New Roman"/>
          <w:szCs w:val="26"/>
          <w:lang w:val="pt-BR"/>
        </w:rPr>
      </w:pPr>
      <w:r w:rsidRPr="008E63BB">
        <w:rPr>
          <w:rFonts w:eastAsia="Times New Roman"/>
          <w:szCs w:val="26"/>
          <w:lang w:val="pt-BR"/>
        </w:rPr>
        <w:t>- Cáp trong mạng nội bộ của khu vực thiết kế chủ yếu sử dụng loại cáp cống có dầu chống ẩm đi trong ống bể PVC (ngầm) có tiết điện lõi dây 0,5mm.</w:t>
      </w:r>
    </w:p>
    <w:p w14:paraId="519B3BBE" w14:textId="77777777" w:rsidR="00207BFF" w:rsidRPr="008E63BB" w:rsidRDefault="00207BFF" w:rsidP="0065184D">
      <w:pPr>
        <w:ind w:firstLine="630"/>
        <w:rPr>
          <w:rFonts w:eastAsia="Times New Roman"/>
          <w:szCs w:val="26"/>
          <w:lang w:val="pt-BR"/>
        </w:rPr>
      </w:pPr>
      <w:r w:rsidRPr="008E63BB">
        <w:rPr>
          <w:rFonts w:eastAsia="Times New Roman"/>
          <w:szCs w:val="26"/>
          <w:lang w:val="pt-BR"/>
        </w:rPr>
        <w:t>- Các tủ, hộp cáp dùng loại vỏ nội phiến ngoại, bố trí tại các ngã ba, ngã tư nhằm thuận lợi cho việc lắp đặt và quản lý sau này.</w:t>
      </w:r>
    </w:p>
    <w:p w14:paraId="519B3BBF" w14:textId="77777777" w:rsidR="00207BFF" w:rsidRPr="008E63BB" w:rsidRDefault="0030385C" w:rsidP="0065184D">
      <w:pPr>
        <w:tabs>
          <w:tab w:val="left" w:pos="180"/>
          <w:tab w:val="left" w:pos="900"/>
        </w:tabs>
        <w:ind w:right="-86"/>
        <w:mirrorIndents/>
        <w:rPr>
          <w:i/>
          <w:szCs w:val="26"/>
          <w:lang w:val="pt-BR"/>
        </w:rPr>
      </w:pPr>
      <w:r w:rsidRPr="008E63BB">
        <w:rPr>
          <w:i/>
          <w:szCs w:val="26"/>
          <w:lang w:val="pt-BR"/>
        </w:rPr>
        <w:t xml:space="preserve">e. </w:t>
      </w:r>
      <w:r w:rsidR="00207BFF" w:rsidRPr="008E63BB">
        <w:rPr>
          <w:i/>
          <w:szCs w:val="26"/>
          <w:lang w:val="pt-BR"/>
        </w:rPr>
        <w:t>Mạng di động:</w:t>
      </w:r>
    </w:p>
    <w:p w14:paraId="519B3BC0" w14:textId="77777777" w:rsidR="00207BFF" w:rsidRPr="008E63BB" w:rsidRDefault="00207BFF" w:rsidP="0065184D">
      <w:pPr>
        <w:ind w:firstLine="630"/>
        <w:rPr>
          <w:rFonts w:eastAsia="Times New Roman"/>
          <w:szCs w:val="26"/>
          <w:lang w:val="pt-BR"/>
        </w:rPr>
      </w:pPr>
      <w:r w:rsidRPr="008E63BB">
        <w:rPr>
          <w:rFonts w:eastAsia="Times New Roman"/>
          <w:szCs w:val="26"/>
          <w:lang w:val="pt-BR"/>
        </w:rPr>
        <w:t>- Xây dựng mới trạm thu phát sóng của nhà cung cấp dịch vụ chính, phát triển trạm BTS theo công nghệ đa tần giúp các doanh nghiệp có thể sử dụng chung khai thác trên các băng tần khác nhau.</w:t>
      </w:r>
    </w:p>
    <w:p w14:paraId="519B3BC1" w14:textId="77777777" w:rsidR="00207BFF" w:rsidRPr="008E63BB" w:rsidRDefault="00207BFF" w:rsidP="0065184D">
      <w:pPr>
        <w:ind w:firstLine="630"/>
        <w:rPr>
          <w:rFonts w:eastAsia="Times New Roman"/>
          <w:szCs w:val="26"/>
          <w:lang w:val="pt-BR"/>
        </w:rPr>
      </w:pPr>
      <w:r w:rsidRPr="008E63BB">
        <w:rPr>
          <w:rFonts w:eastAsia="Times New Roman"/>
          <w:szCs w:val="26"/>
          <w:lang w:val="pt-BR"/>
        </w:rPr>
        <w:t>- Cải tạo hoặc di dời các trạm BTS không đảm bảo về an toàn, vị trí ảnh hưởng đến mỹ quan đô thị. Ứng dụng các mô hình trạm thu phát nhỏ gọn có thể ngụy trang vào công trình cảnh quan đảm bảo mỹ quan đô thị.</w:t>
      </w:r>
    </w:p>
    <w:p w14:paraId="519B3BC2" w14:textId="77777777" w:rsidR="00207BFF" w:rsidRPr="008E63BB" w:rsidRDefault="0030385C" w:rsidP="0065184D">
      <w:pPr>
        <w:tabs>
          <w:tab w:val="left" w:pos="180"/>
          <w:tab w:val="left" w:pos="900"/>
        </w:tabs>
        <w:ind w:right="-86"/>
        <w:mirrorIndents/>
        <w:rPr>
          <w:i/>
          <w:szCs w:val="26"/>
          <w:lang w:val="pt-BR"/>
        </w:rPr>
      </w:pPr>
      <w:r w:rsidRPr="008E63BB">
        <w:rPr>
          <w:i/>
          <w:szCs w:val="26"/>
          <w:lang w:val="pt-BR"/>
        </w:rPr>
        <w:t xml:space="preserve">g. </w:t>
      </w:r>
      <w:r w:rsidR="00207BFF" w:rsidRPr="008E63BB">
        <w:rPr>
          <w:i/>
          <w:szCs w:val="26"/>
          <w:lang w:val="pt-BR"/>
        </w:rPr>
        <w:t>Mạng Internet</w:t>
      </w:r>
    </w:p>
    <w:p w14:paraId="519B3BC3" w14:textId="77777777" w:rsidR="00207BFF" w:rsidRPr="008E63BB" w:rsidRDefault="00207BFF" w:rsidP="0065184D">
      <w:pPr>
        <w:ind w:firstLine="720"/>
        <w:rPr>
          <w:rFonts w:eastAsia="Times New Roman"/>
          <w:szCs w:val="26"/>
          <w:lang w:val="pt-BR"/>
        </w:rPr>
      </w:pPr>
      <w:r w:rsidRPr="008E63BB">
        <w:rPr>
          <w:rFonts w:eastAsia="Times New Roman"/>
          <w:szCs w:val="26"/>
          <w:lang w:val="pt-BR"/>
        </w:rPr>
        <w:t xml:space="preserve">- Mạng Internet khu vực này sử dụng băng thông rộng, sẽ được phát triển theo phương thức qua mạng nội hạt . Đặc biệt toàn bộ Thành Phố cần khai thác các điểm truy cập internet công cộng, với mỗi khu dịch vụ có một điểm truy cập. </w:t>
      </w:r>
    </w:p>
    <w:p w14:paraId="519B3BC4" w14:textId="77777777" w:rsidR="00F309A9" w:rsidRPr="008E63BB" w:rsidRDefault="00207BFF" w:rsidP="0030385C">
      <w:pPr>
        <w:ind w:firstLine="720"/>
        <w:rPr>
          <w:rFonts w:eastAsia="Times New Roman"/>
          <w:szCs w:val="26"/>
          <w:lang w:val="pt-BR"/>
        </w:rPr>
      </w:pPr>
      <w:r w:rsidRPr="008E63BB">
        <w:rPr>
          <w:rFonts w:eastAsia="Times New Roman"/>
          <w:szCs w:val="26"/>
          <w:lang w:val="pt-BR"/>
        </w:rPr>
        <w:t>- Lắp đặt các điểm phát sóng wifi công cộng tại các khu vực trung tâm hành chính và các phường nội thị</w:t>
      </w:r>
    </w:p>
    <w:p w14:paraId="519B3BC5" w14:textId="77777777" w:rsidR="00D40C66" w:rsidRPr="008E63BB" w:rsidRDefault="00D40C66" w:rsidP="0030385C">
      <w:pPr>
        <w:ind w:firstLine="720"/>
        <w:rPr>
          <w:rFonts w:eastAsia="Times New Roman"/>
          <w:szCs w:val="26"/>
          <w:lang w:val="pt-BR"/>
        </w:rPr>
      </w:pPr>
      <w:r w:rsidRPr="008E63BB">
        <w:rPr>
          <w:rFonts w:eastAsia="Times New Roman"/>
          <w:szCs w:val="26"/>
          <w:lang w:val="pt-BR"/>
        </w:rPr>
        <w:t>- Xây dựng các tuyến cáp từ Host Nam Định đến các khu vực, đảm  bảo cho khoảng 70.000 thuê bao được kết nối Internet băng thông rộng. Tạo nền tảng về hạ tầng truyền dẫn số liệu cho việc triển khai đô thị thông minh tại thành phố Nam Định.</w:t>
      </w:r>
    </w:p>
    <w:p w14:paraId="519B3BC6" w14:textId="77777777" w:rsidR="0030385C" w:rsidRPr="008E63BB" w:rsidRDefault="0030385C" w:rsidP="0030385C">
      <w:pPr>
        <w:pStyle w:val="Heading2"/>
        <w:spacing w:before="0" w:after="0"/>
        <w:rPr>
          <w:kern w:val="32"/>
          <w:lang w:val="pt-BR"/>
        </w:rPr>
      </w:pPr>
      <w:bookmarkStart w:id="505" w:name="_Toc47524726"/>
      <w:r w:rsidRPr="008E63BB">
        <w:rPr>
          <w:kern w:val="32"/>
          <w:lang w:val="pt-BR"/>
        </w:rPr>
        <w:t>6</w:t>
      </w:r>
      <w:r w:rsidRPr="008E63BB">
        <w:rPr>
          <w:kern w:val="32"/>
          <w:lang w:val="vi-VN"/>
        </w:rPr>
        <w:t>.</w:t>
      </w:r>
      <w:r w:rsidRPr="008E63BB">
        <w:rPr>
          <w:kern w:val="32"/>
          <w:lang w:val="pt-BR"/>
        </w:rPr>
        <w:t>7</w:t>
      </w:r>
      <w:r w:rsidRPr="008E63BB">
        <w:rPr>
          <w:kern w:val="32"/>
          <w:lang w:val="vi-VN"/>
        </w:rPr>
        <w:t xml:space="preserve">. Định hướng </w:t>
      </w:r>
      <w:r w:rsidRPr="008E63BB">
        <w:rPr>
          <w:kern w:val="32"/>
          <w:lang w:val="pt-BR"/>
        </w:rPr>
        <w:t>quy hoạch không gian, hạ tầng kỹ thuật ngầm</w:t>
      </w:r>
      <w:bookmarkEnd w:id="505"/>
    </w:p>
    <w:p w14:paraId="519B3BC7"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a. Sử dụng không gian ngầm trong đô thị</w:t>
      </w:r>
    </w:p>
    <w:p w14:paraId="519B3BC8"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Phân loại công trình ngầm theo mục đích sử dụng:</w:t>
      </w:r>
    </w:p>
    <w:p w14:paraId="519B3BC9"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-Công trình ngầm giao thông vận tải (hầm đường sắt, hầm đường ô tô, hầm cho người đi bộ, bãi đỗ xe ngầm…).</w:t>
      </w:r>
    </w:p>
    <w:p w14:paraId="519B3BCA" w14:textId="77777777" w:rsidR="001B6560" w:rsidRPr="008E63BB" w:rsidRDefault="001B6560" w:rsidP="001B6560">
      <w:pPr>
        <w:pStyle w:val="bac-bullet03"/>
        <w:numPr>
          <w:ilvl w:val="0"/>
          <w:numId w:val="0"/>
        </w:numPr>
        <w:tabs>
          <w:tab w:val="clear" w:pos="1120"/>
        </w:tabs>
        <w:spacing w:before="80" w:after="80"/>
        <w:ind w:firstLine="720"/>
        <w:jc w:val="both"/>
        <w:rPr>
          <w:szCs w:val="26"/>
          <w:lang w:val="en-US"/>
        </w:rPr>
      </w:pPr>
      <w:r w:rsidRPr="008E63BB">
        <w:rPr>
          <w:szCs w:val="26"/>
        </w:rPr>
        <w:t>-Công trình ngầm dân dụng (các công trình công cộng: nhà văn hóa, thương mại, dịch vụ ngầm…)</w:t>
      </w:r>
      <w:r w:rsidRPr="008E63BB">
        <w:rPr>
          <w:szCs w:val="26"/>
          <w:lang w:val="en-US"/>
        </w:rPr>
        <w:t>.</w:t>
      </w:r>
    </w:p>
    <w:p w14:paraId="519B3BCB"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-Công trình đầu mối hạ tầng kỹ thuật ngầm (trạm xử lý nước thải, trạm cấp nước ngầm, trạm biến áp ngầm…).</w:t>
      </w:r>
    </w:p>
    <w:p w14:paraId="519B3BCC"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lastRenderedPageBreak/>
        <w:t>-Các công trình đường dây, đường ống ngầm (đường ống cấp nước, thoát nước, cáp điện, cáp quang, thông tin…) hào , tuynel ngầm.</w:t>
      </w:r>
    </w:p>
    <w:p w14:paraId="519B3BCD"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-Các công trình ngầm công nghiệp (kho bể chứa ngầm, nhà máy ngầm).</w:t>
      </w:r>
    </w:p>
    <w:p w14:paraId="519B3BCE"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-Phần ngầm của các công trình trên mặt đất.</w:t>
      </w:r>
    </w:p>
    <w:p w14:paraId="519B3BCF"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-Các công trình ngầm khác...</w:t>
      </w:r>
    </w:p>
    <w:p w14:paraId="519B3BD0"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Những thách thức trong việc sử dụng không gian ngầm</w:t>
      </w:r>
    </w:p>
    <w:p w14:paraId="519B3BD1"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Việc sử dụng không gian ngầm để xây dựng các công trình ngầm có nhiều lợi thế nhưng cũng không ít thách thức cần phải được cân nhắc khi quyết định lựa chọn là:</w:t>
      </w:r>
    </w:p>
    <w:p w14:paraId="519B3BD2"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-Đầu tư ban đầu lớn, khả năng thu hồi vốn lâu dài, độ rủi ro cao trong quá trình xây dựng, thường bị chậm tiến độ, phần lớn tăng chi phí đầu tư so với dự kiến ban đầu.</w:t>
      </w:r>
    </w:p>
    <w:p w14:paraId="519B3BD3"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-Việc dỡ bỏ các công trình ngầm không dễ dàng như đối với các công trình trên mặt đất.</w:t>
      </w:r>
    </w:p>
    <w:p w14:paraId="519B3BD4"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-Các vấn đề an toàn sinh mạng cho con người như thông hơi, chiếu sáng, chống ngập, thoát nước, cấp nước, phòng chống cháy nổ, khí độc</w:t>
      </w:r>
      <w:r w:rsidRPr="008E63BB">
        <w:rPr>
          <w:szCs w:val="26"/>
          <w:lang w:val="en-US"/>
        </w:rPr>
        <w:t>,</w:t>
      </w:r>
      <w:r w:rsidRPr="008E63BB">
        <w:rPr>
          <w:szCs w:val="26"/>
        </w:rPr>
        <w:t>...</w:t>
      </w:r>
    </w:p>
    <w:p w14:paraId="519B3BD5"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-Các tác động tới môi trường trong quá trình xây dựng, khai thác, vận hành và những sự cố công trình hay sự cố môi trường có thể xảy ra là những thách thức không nhỏ.</w:t>
      </w:r>
    </w:p>
    <w:p w14:paraId="519B3BD6"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-Đòi hỏi tính kỹ thuật, công nghệ, trình độ và năng lực chuyên nghiệp cao.</w:t>
      </w:r>
    </w:p>
    <w:p w14:paraId="519B3BD7"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-Đòi hỏi một hệ thống đồng bộ bao gồm: các quy chuẩn, tiêu chuẩn có liên quan đến quy hoạch, quản lý xây dựng, thi công xây dựng, nghiệm thu và bảo trì công trình ngầm trong đô thị và các quy định cụ thể về quản lý, vận hành, khai thác và sử dụng công trình ngầm.</w:t>
      </w:r>
    </w:p>
    <w:p w14:paraId="519B3BD8"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Sử dụng không gian ngầm theo độ sâu trong đô thị</w:t>
      </w:r>
    </w:p>
    <w:p w14:paraId="519B3BD9"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-Tùy theo điều kiện địa chất công trình, địa chất thủy văn, điều kiện hiện trạng xây dựng của mỗi đô thị và ý đồ tổ chức không gian trên mặt đất và không gian ngầm, việc sử dụng không gian ngầm theo độ sâu có thể chia ra các tầng khác nhau như sau:</w:t>
      </w:r>
    </w:p>
    <w:p w14:paraId="519B3BDA"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xml:space="preserve">-Tầng thứ nhất (từ mặt đất xuống độ sâu 3 – 5m): bố trí các công trình đường dây, đường ống kỹ thuật ngầm, hào, cống bể cáp, hầm dành cho người đi bộ, bãi đỗ </w:t>
      </w:r>
      <w:r w:rsidRPr="008E63BB">
        <w:rPr>
          <w:szCs w:val="26"/>
          <w:lang w:val="en-US"/>
        </w:rPr>
        <w:t xml:space="preserve">ô </w:t>
      </w:r>
      <w:r w:rsidRPr="008E63BB">
        <w:rPr>
          <w:szCs w:val="26"/>
        </w:rPr>
        <w:t>tô ngầm.</w:t>
      </w:r>
    </w:p>
    <w:p w14:paraId="519B3BDB"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-Tầng thứ hai (từ độ sâu 5 – 15m): bố trí bãi đỗ xe ngầm sâu, tuynel kỹ thuật, đường tàu điện ngầm nông, hầm đường ô tô đặt sâu, một số bể chứa ngầm.</w:t>
      </w:r>
    </w:p>
    <w:p w14:paraId="519B3BDC"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-Tầng thứ ba (từ độ sâu &gt; 20m): chủ yếu bố trí đường tàu điện ngầm đặt sâu, hầm đường ô tô đặt sâu.</w:t>
      </w:r>
    </w:p>
    <w:p w14:paraId="519B3BDD"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b. Định hướng quy hoạch không gian, hạ tầng kỹ thuật ngầm</w:t>
      </w:r>
    </w:p>
    <w:p w14:paraId="519B3BDE"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Công trình công cộng, dịch vụ ngầm</w:t>
      </w:r>
    </w:p>
    <w:p w14:paraId="519B3BDF"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xml:space="preserve">-Về cơ bản, các khu vực chức năng của thành phố </w:t>
      </w:r>
      <w:r w:rsidRPr="008E63BB">
        <w:rPr>
          <w:szCs w:val="26"/>
          <w:lang w:val="en-US"/>
        </w:rPr>
        <w:t>Nam Định</w:t>
      </w:r>
      <w:r w:rsidRPr="008E63BB">
        <w:rPr>
          <w:szCs w:val="26"/>
        </w:rPr>
        <w:t xml:space="preserve"> đã cơ bản hình thành, có một số công trình có bố trí tầng hầm để phục vụ nhu cầu để xe ngầm, thiết bị hạ tầng kỹ thuật. Không có điều kiện xây dựng các khu lớn để bố trí hệ thống hạ tầng ngầm liên thông để phục vụ chung cho nhu cầu đô thị.</w:t>
      </w:r>
    </w:p>
    <w:p w14:paraId="519B3BE0"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xml:space="preserve">-Đối với các khu vực đô thị tập trung tại </w:t>
      </w:r>
      <w:r w:rsidRPr="008E63BB">
        <w:rPr>
          <w:szCs w:val="26"/>
          <w:lang w:val="en-US"/>
        </w:rPr>
        <w:t>các phường nội thị hiện hữu của thành phố Nam Định và khu vực phát triển mới tại Mỹ Lộc</w:t>
      </w:r>
      <w:r w:rsidRPr="008E63BB">
        <w:rPr>
          <w:szCs w:val="26"/>
        </w:rPr>
        <w:t xml:space="preserve"> cần quy định bố trí không gian </w:t>
      </w:r>
      <w:r w:rsidRPr="008E63BB">
        <w:rPr>
          <w:szCs w:val="26"/>
        </w:rPr>
        <w:lastRenderedPageBreak/>
        <w:t>ngầm để sử dụng cho các hoạt động dịch vụ, đỗ xe ngầm và bố trí các trang thiết bị hạ tầng kỹ thuật.</w:t>
      </w:r>
    </w:p>
    <w:p w14:paraId="519B3BE1"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xml:space="preserve">-Các công trình công cộng, dịch vụ ngầm có khả năng triển khai tại </w:t>
      </w:r>
      <w:r w:rsidR="0000649D" w:rsidRPr="008E63BB">
        <w:rPr>
          <w:szCs w:val="26"/>
          <w:lang w:val="en-US"/>
        </w:rPr>
        <w:t>TP Nam Định</w:t>
      </w:r>
      <w:r w:rsidRPr="008E63BB">
        <w:rPr>
          <w:szCs w:val="26"/>
        </w:rPr>
        <w:t xml:space="preserve"> bao gồm: Khu dịch vụ thương mại (mua sắm,..); nhà hàng, khu vui chơi, giải trí...; Các công trình công cộng, dịch vụ ngầm được xây dựng sẽ tập trung ở khu vực trung tâm đô thị, nơi có mật độ xây dựng cao, lượng dân cư lớn; công trình giao thông ngầm.</w:t>
      </w:r>
    </w:p>
    <w:p w14:paraId="519B3BE2"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xml:space="preserve">-Các tổ hợp công trình dịch vụ xây dựng mới tại </w:t>
      </w:r>
      <w:r w:rsidR="0000649D" w:rsidRPr="008E63BB">
        <w:rPr>
          <w:szCs w:val="26"/>
          <w:lang w:val="en-US"/>
        </w:rPr>
        <w:t>Khu Tây Bắc thành phố, khu Nam Sông Đào</w:t>
      </w:r>
      <w:r w:rsidRPr="008E63BB">
        <w:rPr>
          <w:szCs w:val="26"/>
        </w:rPr>
        <w:t xml:space="preserve"> bố trí không gian ngầm kết nối các công trình riêng lẻ để tăng cao diện tích khai thác sử dụng và bổ sung diện tích đậu xe.</w:t>
      </w:r>
    </w:p>
    <w:p w14:paraId="519B3BE3"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-Đối với các công trình công cộng, dịch vụ tại các khu vực trung tâm được yêu cầu bố trí 1-3 tầng hầm, tùy theo chiều cao công trình để bố trí công trình dịch vụ và chỗ đậu xe cho công trình và khu vực lân cận.</w:t>
      </w:r>
    </w:p>
    <w:p w14:paraId="519B3BE4"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-Việc xây dựng các khu công cộng ngầm có thể kết nối với các bãi đỗ xe ngầm, các lối đi bộ ngầm để tạo thành một không gian ngầm hoàn chỉnh, phục vụ nhu cầu của người dân đô thị.</w:t>
      </w:r>
    </w:p>
    <w:p w14:paraId="519B3BE5"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Công trình giao thông ngầm</w:t>
      </w:r>
    </w:p>
    <w:p w14:paraId="519B3BE6" w14:textId="77777777" w:rsidR="00364121" w:rsidRPr="008E63BB" w:rsidRDefault="00364121" w:rsidP="00364121">
      <w:pPr>
        <w:spacing w:before="120" w:after="120"/>
        <w:ind w:firstLine="720"/>
        <w:rPr>
          <w:rFonts w:eastAsia="Times New Roman"/>
          <w:szCs w:val="26"/>
          <w:lang w:val="vi-VN"/>
        </w:rPr>
      </w:pPr>
      <w:r w:rsidRPr="008E63BB">
        <w:rPr>
          <w:rFonts w:eastAsia="Times New Roman"/>
          <w:szCs w:val="26"/>
          <w:lang w:val="vi-VN"/>
        </w:rPr>
        <w:t>Các loại hình giao thông ngầm dự kiến bao gồm: Hầm đi bộ và bãi đỗ xe ngầm. Cụ thể:</w:t>
      </w:r>
    </w:p>
    <w:p w14:paraId="519B3BE7" w14:textId="77777777" w:rsidR="00364121" w:rsidRPr="008E63BB" w:rsidRDefault="00364121" w:rsidP="00364121">
      <w:pPr>
        <w:spacing w:before="120" w:after="120"/>
        <w:ind w:firstLine="720"/>
        <w:rPr>
          <w:rFonts w:eastAsia="Times New Roman"/>
          <w:szCs w:val="26"/>
          <w:lang w:val="vi-VN"/>
        </w:rPr>
      </w:pPr>
      <w:r w:rsidRPr="008E63BB">
        <w:rPr>
          <w:rFonts w:eastAsia="Times New Roman"/>
          <w:szCs w:val="26"/>
          <w:lang w:val="vi-VN"/>
        </w:rPr>
        <w:t>- Hầm dành cho người đi bộ: Nghiên cứu xây dựng lối đi bộ ngầm tại các nút giao thông có quy mô lớn, tại các điểm có nhu cầu kết nối hai bên trục đường giao thông chính (Đại lộ Thiên Trường, đường vành đai 1, vành đai 2…), đảm bảo cảnh quan thông thoáng cho không gian bên trên, đồng thời xem xét khả năng kết nối với các không gian xây dựng ngầm đã có hoặc dự kiến trong tương lai (ví dụ: tầng ngầm các khu thương mại, dịch vụ, bãi đỗ xe ngầm…)</w:t>
      </w:r>
    </w:p>
    <w:p w14:paraId="519B3BE8" w14:textId="77777777" w:rsidR="001B6560" w:rsidRPr="008E63BB" w:rsidRDefault="00364121" w:rsidP="00364121">
      <w:pPr>
        <w:spacing w:before="120" w:after="120"/>
        <w:ind w:firstLine="720"/>
        <w:rPr>
          <w:rFonts w:eastAsia="Times New Roman"/>
          <w:szCs w:val="26"/>
          <w:lang w:val="vi-VN"/>
        </w:rPr>
      </w:pPr>
      <w:r w:rsidRPr="008E63BB">
        <w:rPr>
          <w:rFonts w:eastAsia="Times New Roman"/>
          <w:szCs w:val="26"/>
          <w:lang w:val="vi-VN"/>
        </w:rPr>
        <w:t>- Bãi đỗ xe ngầm: Nghiên cứu xây dựng bãi đỗ xe ngầm thông minh tại các khu vực phường trung tâm (quỹ đất hạn hẹp) gắn với các công trình công cộng (cơ quan, sân vận động, cung văn hóa…) đồng thời đảm bảo chỉ tiêu chỗ đỗ xe (tầng hầm) cho bản thân các công trình nhà cao tầng trong khu vực nội đô</w:t>
      </w:r>
      <w:r w:rsidR="001B6560" w:rsidRPr="008E63BB">
        <w:rPr>
          <w:szCs w:val="26"/>
        </w:rPr>
        <w:t>.</w:t>
      </w:r>
    </w:p>
    <w:p w14:paraId="519B3BE9"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 Công trình hạ tầng kỹ thuật ngầm</w:t>
      </w:r>
    </w:p>
    <w:p w14:paraId="519B3BEA"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-Ngoài hệ thống công trình hạ tầng kỹ thuật đã được ngầm hóa theo mạng lưới riêng, chạy dọc các tuyến giao thông. Bố trí các tuyến tuynen ngầm tại một số trục chính có lộ giới lớn để đi chung cơ sở hạ tầng đô thị.</w:t>
      </w:r>
    </w:p>
    <w:p w14:paraId="519B3BEB"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-Việc quy hoạch, thiết kế hợp lý hệ thống hạ tầng kỹ thuật vào các tuynel, hào kỹ thuật ngầm.. sẽ đảm bảo cho việc vận hành, duy tu và kiểm soát mở rộng, phát triển trong tương lai.</w:t>
      </w:r>
    </w:p>
    <w:p w14:paraId="519B3BEC" w14:textId="77777777" w:rsidR="001B6560" w:rsidRPr="008E63BB" w:rsidRDefault="001B6560" w:rsidP="001B6560">
      <w:pPr>
        <w:pStyle w:val="bac-bullet03"/>
        <w:numPr>
          <w:ilvl w:val="0"/>
          <w:numId w:val="0"/>
        </w:numPr>
        <w:tabs>
          <w:tab w:val="clear" w:pos="1120"/>
        </w:tabs>
        <w:spacing w:before="80" w:after="80"/>
        <w:ind w:firstLine="720"/>
        <w:jc w:val="both"/>
        <w:rPr>
          <w:szCs w:val="26"/>
        </w:rPr>
      </w:pPr>
      <w:r w:rsidRPr="008E63BB">
        <w:rPr>
          <w:szCs w:val="26"/>
        </w:rPr>
        <w:t>-Trong quá trình quy hoạch hệ thống hạ tầng kỹ thuật ngầm cần có nghiên cứu tổng thể, khớp nối hợp lý giữa các khu vực đã và đang xây dựng, phân kỳ đầu tư để đảm bảo tính khả thi và hạn chế ảnh hưởng đến hoạt động của các khu vực hiện hữu.</w:t>
      </w:r>
    </w:p>
    <w:bookmarkEnd w:id="502"/>
    <w:bookmarkEnd w:id="503"/>
    <w:bookmarkEnd w:id="504"/>
    <w:p w14:paraId="519B3BED" w14:textId="77777777" w:rsidR="0000649D" w:rsidRPr="008E63BB" w:rsidRDefault="0000649D">
      <w:pPr>
        <w:jc w:val="left"/>
        <w:rPr>
          <w:rFonts w:eastAsia="Times New Roman"/>
          <w:b/>
          <w:bCs/>
          <w:kern w:val="32"/>
          <w:szCs w:val="26"/>
          <w:lang w:val="vi-VN"/>
        </w:rPr>
      </w:pPr>
      <w:r w:rsidRPr="008E63BB">
        <w:rPr>
          <w:szCs w:val="26"/>
          <w:lang w:val="vi-VN"/>
        </w:rPr>
        <w:br w:type="page"/>
      </w:r>
    </w:p>
    <w:p w14:paraId="519B3BEE" w14:textId="77777777" w:rsidR="001C7C9C" w:rsidRPr="008E63BB" w:rsidRDefault="001C7C9C" w:rsidP="0065184D">
      <w:pPr>
        <w:pStyle w:val="Heading1"/>
        <w:rPr>
          <w:sz w:val="26"/>
          <w:szCs w:val="26"/>
          <w:lang w:val="pt-BR"/>
        </w:rPr>
      </w:pPr>
      <w:bookmarkStart w:id="506" w:name="_Toc47524727"/>
      <w:r w:rsidRPr="008E63BB">
        <w:rPr>
          <w:sz w:val="26"/>
          <w:szCs w:val="26"/>
          <w:lang w:val="vi-VN"/>
        </w:rPr>
        <w:lastRenderedPageBreak/>
        <w:t>V</w:t>
      </w:r>
      <w:r w:rsidRPr="008E63BB">
        <w:rPr>
          <w:sz w:val="26"/>
          <w:szCs w:val="26"/>
          <w:lang w:val="pt-BR"/>
        </w:rPr>
        <w:t>II</w:t>
      </w:r>
      <w:r w:rsidRPr="008E63BB">
        <w:rPr>
          <w:sz w:val="26"/>
          <w:szCs w:val="26"/>
          <w:lang w:val="vi-VN"/>
        </w:rPr>
        <w:t xml:space="preserve">. PHẦN </w:t>
      </w:r>
      <w:r w:rsidRPr="008E63BB">
        <w:rPr>
          <w:sz w:val="26"/>
          <w:szCs w:val="26"/>
          <w:lang w:val="pt-BR"/>
        </w:rPr>
        <w:t>7</w:t>
      </w:r>
      <w:r w:rsidRPr="008E63BB">
        <w:rPr>
          <w:sz w:val="26"/>
          <w:szCs w:val="26"/>
          <w:lang w:val="vi-VN"/>
        </w:rPr>
        <w:t xml:space="preserve">: </w:t>
      </w:r>
      <w:r w:rsidRPr="008E63BB">
        <w:rPr>
          <w:sz w:val="26"/>
          <w:szCs w:val="26"/>
          <w:lang w:val="pt-BR"/>
        </w:rPr>
        <w:t>QUY HOẠCH XÂY DỰNG ĐỢT ĐẦU (ĐẾN NĂM 2030)</w:t>
      </w:r>
      <w:bookmarkEnd w:id="506"/>
    </w:p>
    <w:p w14:paraId="519B3BEF" w14:textId="77777777" w:rsidR="001C7C9C" w:rsidRPr="008E63BB" w:rsidRDefault="001C7C9C" w:rsidP="0065184D">
      <w:pPr>
        <w:pStyle w:val="Heading2"/>
        <w:spacing w:before="0" w:after="0"/>
        <w:rPr>
          <w:kern w:val="32"/>
          <w:lang w:val="pt-BR"/>
        </w:rPr>
      </w:pPr>
      <w:bookmarkStart w:id="507" w:name="_Toc47524728"/>
      <w:r w:rsidRPr="008E63BB">
        <w:rPr>
          <w:kern w:val="32"/>
          <w:lang w:val="pt-BR"/>
        </w:rPr>
        <w:t>7</w:t>
      </w:r>
      <w:r w:rsidRPr="008E63BB">
        <w:rPr>
          <w:kern w:val="32"/>
          <w:lang w:val="vi-VN"/>
        </w:rPr>
        <w:t xml:space="preserve">.1. </w:t>
      </w:r>
      <w:r w:rsidR="00A62A29" w:rsidRPr="008E63BB">
        <w:rPr>
          <w:kern w:val="32"/>
          <w:lang w:val="pt-BR"/>
        </w:rPr>
        <w:t>Dự kiến đ</w:t>
      </w:r>
      <w:r w:rsidRPr="008E63BB">
        <w:rPr>
          <w:kern w:val="32"/>
          <w:lang w:val="vi-VN"/>
        </w:rPr>
        <w:t>iều chỉnh ranh giới nội ngoại th</w:t>
      </w:r>
      <w:r w:rsidR="006844D3" w:rsidRPr="008E63BB">
        <w:rPr>
          <w:kern w:val="32"/>
          <w:lang w:val="vi-VN"/>
        </w:rPr>
        <w:t>ành</w:t>
      </w:r>
      <w:r w:rsidR="006844D3" w:rsidRPr="008E63BB">
        <w:rPr>
          <w:kern w:val="32"/>
          <w:lang w:val="pt-BR"/>
        </w:rPr>
        <w:t xml:space="preserve"> và Quy hoạch sử dụng đất đợt đầu</w:t>
      </w:r>
      <w:bookmarkEnd w:id="507"/>
    </w:p>
    <w:p w14:paraId="519B3BF0" w14:textId="77777777" w:rsidR="006844D3" w:rsidRPr="008E63BB" w:rsidRDefault="006844D3" w:rsidP="006844D3">
      <w:pPr>
        <w:pStyle w:val="Heading3"/>
      </w:pPr>
      <w:bookmarkStart w:id="508" w:name="_Toc47524729"/>
      <w:r w:rsidRPr="008E63BB">
        <w:t>7</w:t>
      </w:r>
      <w:r w:rsidRPr="008E63BB">
        <w:rPr>
          <w:lang w:val="vi-VN"/>
        </w:rPr>
        <w:t>.</w:t>
      </w:r>
      <w:r w:rsidRPr="008E63BB">
        <w:t>1</w:t>
      </w:r>
      <w:r w:rsidRPr="008E63BB">
        <w:rPr>
          <w:lang w:val="vi-VN"/>
        </w:rPr>
        <w:t xml:space="preserve">.2. </w:t>
      </w:r>
      <w:r w:rsidRPr="008E63BB">
        <w:t>Dự kiến điều chỉnh ranh giới nội ngoại thành</w:t>
      </w:r>
      <w:bookmarkEnd w:id="508"/>
    </w:p>
    <w:p w14:paraId="519B3BF1" w14:textId="77777777" w:rsidR="006844D3" w:rsidRPr="008E63BB" w:rsidRDefault="006844D3" w:rsidP="006844D3">
      <w:pPr>
        <w:rPr>
          <w:i/>
          <w:lang w:val="vi-VN"/>
        </w:rPr>
      </w:pPr>
      <w:r w:rsidRPr="008E63BB">
        <w:rPr>
          <w:bCs/>
          <w:i/>
          <w:lang w:val="pt-BR"/>
        </w:rPr>
        <w:t>* Khu vực nội thành đến năm 2030:</w:t>
      </w:r>
    </w:p>
    <w:p w14:paraId="519B3BF2" w14:textId="77777777" w:rsidR="006844D3" w:rsidRPr="008E63BB" w:rsidRDefault="006844D3" w:rsidP="006844D3">
      <w:pPr>
        <w:rPr>
          <w:lang w:val="vi-VN"/>
        </w:rPr>
      </w:pPr>
      <w:r w:rsidRPr="008E63BB">
        <w:rPr>
          <w:lang w:val="pt-BR"/>
        </w:rPr>
        <w:t>Quy mô:</w:t>
      </w:r>
    </w:p>
    <w:p w14:paraId="519B3BF3" w14:textId="17284671" w:rsidR="006844D3" w:rsidRPr="008E63BB" w:rsidRDefault="006844D3" w:rsidP="006844D3">
      <w:pPr>
        <w:rPr>
          <w:lang w:val="vi-VN"/>
        </w:rPr>
      </w:pPr>
      <w:r w:rsidRPr="008E63BB">
        <w:rPr>
          <w:lang w:val="pt-BR"/>
        </w:rPr>
        <w:t xml:space="preserve">+ Nội thành: 6967,75ha </w:t>
      </w:r>
    </w:p>
    <w:p w14:paraId="519B3BF4" w14:textId="77777777" w:rsidR="006844D3" w:rsidRPr="008E63BB" w:rsidRDefault="006844D3" w:rsidP="006844D3">
      <w:pPr>
        <w:rPr>
          <w:lang w:val="vi-VN"/>
        </w:rPr>
      </w:pPr>
      <w:r w:rsidRPr="008E63BB">
        <w:rPr>
          <w:lang w:val="pt-BR"/>
        </w:rPr>
        <w:t>+ Ngoại Thành: 11.830,94ha</w:t>
      </w:r>
    </w:p>
    <w:p w14:paraId="519B3BF5" w14:textId="77777777" w:rsidR="006844D3" w:rsidRPr="008E63BB" w:rsidRDefault="006844D3" w:rsidP="006844D3">
      <w:pPr>
        <w:ind w:firstLine="720"/>
        <w:rPr>
          <w:lang w:val="pt-BR"/>
        </w:rPr>
      </w:pPr>
      <w:r w:rsidRPr="008E63BB">
        <w:rPr>
          <w:lang w:val="pt-BR"/>
        </w:rPr>
        <w:t>Khu vực nội thành gồm toàn bộ các phường của thành phố Nam Định hiện nay và thị trấn Mỹ Lộc; Nâng cấp 03 xã của Thành phố và 3 xã (</w:t>
      </w:r>
      <w:r w:rsidR="00CA0231" w:rsidRPr="008E63BB">
        <w:rPr>
          <w:lang w:val="pt-BR"/>
        </w:rPr>
        <w:t>x</w:t>
      </w:r>
      <w:r w:rsidRPr="008E63BB">
        <w:rPr>
          <w:lang w:val="pt-BR"/>
        </w:rPr>
        <w:t xml:space="preserve">ã Mỹ tiến, </w:t>
      </w:r>
      <w:r w:rsidR="00CA0231" w:rsidRPr="008E63BB">
        <w:rPr>
          <w:lang w:val="pt-BR"/>
        </w:rPr>
        <w:t>x</w:t>
      </w:r>
      <w:r w:rsidRPr="008E63BB">
        <w:rPr>
          <w:lang w:val="pt-BR"/>
        </w:rPr>
        <w:t>ã Mỹ Thắng, xã Mỹ Hưng) của huyện Mỹ Lộc lên phường. Thành phố khi đó gồm 29 phường và 15 xã.</w:t>
      </w:r>
    </w:p>
    <w:p w14:paraId="519B3BF6" w14:textId="77777777" w:rsidR="00B36C28" w:rsidRPr="008E63BB" w:rsidRDefault="00B36C28" w:rsidP="00B36C28">
      <w:pPr>
        <w:ind w:firstLine="720"/>
        <w:rPr>
          <w:lang w:val="pt-BR"/>
        </w:rPr>
      </w:pPr>
      <w:r w:rsidRPr="008E63BB">
        <w:rPr>
          <w:lang w:val="pt-BR"/>
        </w:rPr>
        <w:t>Theo Nghị quyết 1210, 1211/2016/UBTVQH13 ngày 25/5/2016 của Ủy ban thường vụ Quốc hội; Đánh giá các tiêu chí lên phường của các xã dự kiến cơ bản như sau:</w:t>
      </w:r>
    </w:p>
    <w:p w14:paraId="519B3BF7" w14:textId="77777777" w:rsidR="00B36C28" w:rsidRPr="008E63BB" w:rsidRDefault="00B36C28" w:rsidP="00B36C28">
      <w:pPr>
        <w:rPr>
          <w:lang w:val="pt-BR"/>
        </w:rPr>
      </w:pPr>
      <w:r w:rsidRPr="008E63BB">
        <w:rPr>
          <w:lang w:val="pt-BR"/>
        </w:rPr>
        <w:t>- Dân số theo tiêu chuẩn phường (qui mô dân số &gt; 7.000 người), trừ xã Nam Vân – thành phố (6.845 người); xã Mỹ Tiến (5.085 người); xã Mỹ Hưng (6.314 người) chưa đạt nhưng trong thời gian tới xã Mỹ Tiến, Mỹ Hưng là trung tâm đô thị Đại học là động lực phát triển.</w:t>
      </w:r>
    </w:p>
    <w:p w14:paraId="519B3BF8" w14:textId="77777777" w:rsidR="00B36C28" w:rsidRPr="008E63BB" w:rsidRDefault="00B36C28" w:rsidP="00B36C28">
      <w:pPr>
        <w:rPr>
          <w:lang w:val="pt-BR"/>
        </w:rPr>
      </w:pPr>
      <w:r w:rsidRPr="008E63BB">
        <w:rPr>
          <w:lang w:val="pt-BR"/>
        </w:rPr>
        <w:t>- Diện tích tự nhiên (&gt; 5,5km</w:t>
      </w:r>
      <w:r w:rsidRPr="008E63BB">
        <w:rPr>
          <w:vertAlign w:val="superscript"/>
          <w:lang w:val="pt-BR"/>
        </w:rPr>
        <w:t>2</w:t>
      </w:r>
      <w:r w:rsidRPr="008E63BB">
        <w:rPr>
          <w:lang w:val="pt-BR"/>
        </w:rPr>
        <w:t>) trừ xã Lộc An có diện tích là 3,33km</w:t>
      </w:r>
      <w:r w:rsidRPr="008E63BB">
        <w:rPr>
          <w:vertAlign w:val="superscript"/>
          <w:lang w:val="pt-BR"/>
        </w:rPr>
        <w:t>2</w:t>
      </w:r>
      <w:r w:rsidRPr="008E63BB">
        <w:rPr>
          <w:lang w:val="pt-BR"/>
        </w:rPr>
        <w:t>.</w:t>
      </w:r>
    </w:p>
    <w:p w14:paraId="519B3BF9" w14:textId="3DED90A1" w:rsidR="00B36C28" w:rsidRPr="008E63BB" w:rsidRDefault="00B36C28" w:rsidP="00B36C28">
      <w:pPr>
        <w:rPr>
          <w:lang w:val="pt-BR"/>
        </w:rPr>
      </w:pPr>
      <w:r w:rsidRPr="008E63BB">
        <w:rPr>
          <w:lang w:val="pt-BR"/>
        </w:rPr>
        <w:t>- Cơ cấu và trình độ phát triển kinh tế - xã hội: về tiêu chí cân đối ngân sách các xã đều có cân đối dư; Tỷ lệ hộ nghèo (đạt bình quân của thành phố 1,43%) các xã đang không đạt tiêu chí này ngoại trừ xã Mỹ Thắng đạt 1,24%; Tỷ lệ lao động phi nông nghiệp nội thành, nội thị, thị trấn, quận và phường (80%) tiêu chí về lao động phi nông nghiệp các xã đều đạt thấp từ</w:t>
      </w:r>
      <w:r w:rsidR="00360DF9" w:rsidRPr="008E63BB">
        <w:rPr>
          <w:lang w:val="pt-BR"/>
        </w:rPr>
        <w:t xml:space="preserve"> </w:t>
      </w:r>
      <w:r w:rsidR="00CA0231" w:rsidRPr="008E63BB">
        <w:rPr>
          <w:lang w:val="pt-BR"/>
        </w:rPr>
        <w:t>35-45</w:t>
      </w:r>
      <w:r w:rsidRPr="008E63BB">
        <w:rPr>
          <w:lang w:val="pt-BR"/>
        </w:rPr>
        <w:t xml:space="preserve">% và chỉ là lao động thời vụ, không qua đào tạo nghề hoặc học nghề ngắn hạn. Nhìn chung 3 xã còn lại của thành phố cũng như 3 xã của huyện Mỹ Lộc đều không đạt tiêu chí này. Do đặc thù như huyện Mỹ Lộc những người dân sinh từ tháng 8/1995 đến nay không được bố trí ruộng buộc họ đi làm </w:t>
      </w:r>
      <w:r w:rsidR="00CA0231" w:rsidRPr="008E63BB">
        <w:rPr>
          <w:lang w:val="pt-BR"/>
        </w:rPr>
        <w:t>tại các tỉnh lân cận</w:t>
      </w:r>
      <w:r w:rsidRPr="008E63BB">
        <w:rPr>
          <w:lang w:val="pt-BR"/>
        </w:rPr>
        <w:t>.</w:t>
      </w:r>
    </w:p>
    <w:p w14:paraId="519B3BFA" w14:textId="77777777" w:rsidR="00644FC7" w:rsidRPr="008E63BB" w:rsidRDefault="00644FC7" w:rsidP="006844D3">
      <w:pPr>
        <w:ind w:firstLine="720"/>
        <w:rPr>
          <w:lang w:val="pt-BR"/>
        </w:rPr>
      </w:pPr>
      <w:r w:rsidRPr="008E63BB">
        <w:rPr>
          <w:lang w:val="pt-BR"/>
        </w:rPr>
        <w:t>Các tiêu chí lên phường của các xã dự kiến cơ bản đã đáp ứng, trong giai đoạn trước mắt sẽ đầu tư xây dựng thêm các cơ sở vật chất hạ tầng kỹ thuật và hạ tầng xã hội nhằm đảm bảo tốt hơn các tiêu chí lên phường tại thời điểm nâng loại.</w:t>
      </w:r>
    </w:p>
    <w:p w14:paraId="519B3BFB" w14:textId="77777777" w:rsidR="006844D3" w:rsidRPr="008E63BB" w:rsidRDefault="006844D3" w:rsidP="006844D3">
      <w:pPr>
        <w:rPr>
          <w:bCs/>
          <w:i/>
          <w:lang w:val="pt-BR"/>
        </w:rPr>
      </w:pPr>
      <w:r w:rsidRPr="008E63BB">
        <w:rPr>
          <w:bCs/>
          <w:i/>
          <w:lang w:val="pt-BR"/>
        </w:rPr>
        <w:t>* Khu vực nội thành đến năm 2040:</w:t>
      </w:r>
    </w:p>
    <w:p w14:paraId="519B3BFC" w14:textId="77777777" w:rsidR="006844D3" w:rsidRPr="008E63BB" w:rsidRDefault="006844D3" w:rsidP="006844D3">
      <w:pPr>
        <w:rPr>
          <w:lang w:val="pt-BR"/>
        </w:rPr>
      </w:pPr>
      <w:r w:rsidRPr="008E63BB">
        <w:rPr>
          <w:lang w:val="pt-BR"/>
        </w:rPr>
        <w:t>Quy mô:</w:t>
      </w:r>
    </w:p>
    <w:p w14:paraId="519B3BFD" w14:textId="77777777" w:rsidR="006844D3" w:rsidRPr="008E63BB" w:rsidRDefault="006844D3" w:rsidP="006844D3">
      <w:pPr>
        <w:rPr>
          <w:lang w:val="pt-BR"/>
        </w:rPr>
      </w:pPr>
      <w:r w:rsidRPr="008E63BB">
        <w:rPr>
          <w:lang w:val="pt-BR"/>
        </w:rPr>
        <w:t>+ Nội thị: 9.355,32ha</w:t>
      </w:r>
    </w:p>
    <w:p w14:paraId="519B3BFE" w14:textId="77777777" w:rsidR="006844D3" w:rsidRPr="008E63BB" w:rsidRDefault="006844D3" w:rsidP="006844D3">
      <w:pPr>
        <w:rPr>
          <w:lang w:val="pt-BR"/>
        </w:rPr>
      </w:pPr>
      <w:r w:rsidRPr="008E63BB">
        <w:rPr>
          <w:lang w:val="pt-BR"/>
        </w:rPr>
        <w:t>+ Ngoại Thành: 9.443,37ha</w:t>
      </w:r>
    </w:p>
    <w:p w14:paraId="519B3BFF" w14:textId="77777777" w:rsidR="006844D3" w:rsidRPr="008E63BB" w:rsidRDefault="006844D3" w:rsidP="006844D3">
      <w:pPr>
        <w:rPr>
          <w:lang w:val="pt-BR"/>
        </w:rPr>
      </w:pPr>
      <w:r w:rsidRPr="008E63BB">
        <w:rPr>
          <w:lang w:val="pt-BR"/>
        </w:rPr>
        <w:t>Với các phường được xác định trong giai đoạn đến năm 2030, thêm 4 phường mới từ xã Tân Thành (huyện Vụ Bản), xã Nghĩa An, xã Nam Mỹ, Xã Nam Toàn (huyện Nam Trực). Thành phố khi đó gồm: 33 phường và 11 xã.</w:t>
      </w:r>
    </w:p>
    <w:p w14:paraId="519B3C00" w14:textId="77777777" w:rsidR="006844D3" w:rsidRPr="008E63BB" w:rsidRDefault="006844D3" w:rsidP="006844D3">
      <w:pPr>
        <w:pStyle w:val="Heading3"/>
        <w:rPr>
          <w:lang w:val="en-US"/>
        </w:rPr>
      </w:pPr>
      <w:bookmarkStart w:id="509" w:name="_Toc47524730"/>
      <w:r w:rsidRPr="008E63BB">
        <w:rPr>
          <w:lang w:val="en-US"/>
        </w:rPr>
        <w:t>7</w:t>
      </w:r>
      <w:r w:rsidRPr="008E63BB">
        <w:rPr>
          <w:lang w:val="vi-VN"/>
        </w:rPr>
        <w:t>.</w:t>
      </w:r>
      <w:r w:rsidRPr="008E63BB">
        <w:rPr>
          <w:lang w:val="en-US"/>
        </w:rPr>
        <w:t>1</w:t>
      </w:r>
      <w:r w:rsidRPr="008E63BB">
        <w:rPr>
          <w:lang w:val="vi-VN"/>
        </w:rPr>
        <w:t xml:space="preserve">.2. </w:t>
      </w:r>
      <w:r w:rsidRPr="008E63BB">
        <w:rPr>
          <w:lang w:val="en-US"/>
        </w:rPr>
        <w:t>Quy hoạch sử dụng đất đợt đầu đến năm 2030</w:t>
      </w:r>
      <w:bookmarkEnd w:id="509"/>
    </w:p>
    <w:p w14:paraId="519B3C01" w14:textId="77777777" w:rsidR="00B36C28" w:rsidRPr="008E63BB" w:rsidRDefault="00B36C28" w:rsidP="00B36C28">
      <w:pPr>
        <w:spacing w:before="120" w:line="288" w:lineRule="auto"/>
        <w:ind w:firstLine="720"/>
        <w:rPr>
          <w:rFonts w:eastAsia="Times New Roman"/>
          <w:szCs w:val="26"/>
        </w:rPr>
      </w:pPr>
      <w:r w:rsidRPr="008E63BB">
        <w:rPr>
          <w:rFonts w:eastAsia="Times New Roman"/>
          <w:szCs w:val="26"/>
        </w:rPr>
        <w:t>Dự báo đối với Nam Định trong giai đoạn đến năm 2030 đất xây dựng đô thị khu vực nội thành tăng thêm 1.710,91ha (= 3.973,21ha) - chỉ tiêu đất xây dựng đô thị khoảng 103,3m</w:t>
      </w:r>
      <w:r w:rsidRPr="008E63BB">
        <w:rPr>
          <w:rFonts w:eastAsia="Times New Roman"/>
          <w:szCs w:val="26"/>
          <w:vertAlign w:val="superscript"/>
        </w:rPr>
        <w:t>2</w:t>
      </w:r>
      <w:r w:rsidRPr="008E63BB">
        <w:rPr>
          <w:rFonts w:eastAsia="Times New Roman"/>
          <w:szCs w:val="26"/>
        </w:rPr>
        <w:t>/người, nhằm mang tính chất tạo động lực phát triển đô thị.</w:t>
      </w:r>
    </w:p>
    <w:p w14:paraId="519B3C02" w14:textId="77777777" w:rsidR="003E624C" w:rsidRPr="008E63BB" w:rsidRDefault="00B36C28" w:rsidP="00B36C28">
      <w:pPr>
        <w:ind w:firstLine="720"/>
        <w:rPr>
          <w:i/>
          <w:lang w:val="pt-BR"/>
        </w:rPr>
      </w:pPr>
      <w:r w:rsidRPr="008E63BB">
        <w:t>Mật độ dân cư trung bình trên toàn đô thị đến năm 2030 là khoảng 2.766 người/km</w:t>
      </w:r>
      <w:r w:rsidRPr="008E63BB">
        <w:rPr>
          <w:vertAlign w:val="superscript"/>
        </w:rPr>
        <w:t>2</w:t>
      </w:r>
      <w:r w:rsidRPr="008E63BB">
        <w:t>, khu vực nội thành khoảng 5.520 người/km</w:t>
      </w:r>
      <w:r w:rsidRPr="008E63BB">
        <w:rPr>
          <w:vertAlign w:val="superscript"/>
        </w:rPr>
        <w:t>2</w:t>
      </w:r>
      <w:r w:rsidR="00C83DC4" w:rsidRPr="008E63BB">
        <w:t>.</w:t>
      </w:r>
    </w:p>
    <w:p w14:paraId="519B3C03" w14:textId="77777777" w:rsidR="003E624C" w:rsidRPr="008E63BB" w:rsidRDefault="003E624C" w:rsidP="0065184D">
      <w:pPr>
        <w:rPr>
          <w:i/>
          <w:lang w:val="pt-BR"/>
        </w:rPr>
        <w:sectPr w:rsidR="003E624C" w:rsidRPr="008E63BB" w:rsidSect="003E624C">
          <w:pgSz w:w="11907" w:h="16840" w:code="9"/>
          <w:pgMar w:top="1440" w:right="922" w:bottom="1440" w:left="1699" w:header="720" w:footer="720" w:gutter="0"/>
          <w:cols w:space="720"/>
          <w:docGrid w:linePitch="360"/>
        </w:sectPr>
      </w:pPr>
    </w:p>
    <w:p w14:paraId="519B3C04" w14:textId="77777777" w:rsidR="001C7C9C" w:rsidRPr="008E63BB" w:rsidRDefault="001C7C9C" w:rsidP="00D37901">
      <w:pPr>
        <w:jc w:val="center"/>
        <w:rPr>
          <w:i/>
          <w:lang w:val="pt-BR"/>
        </w:rPr>
      </w:pPr>
      <w:r w:rsidRPr="008E63BB">
        <w:rPr>
          <w:i/>
          <w:lang w:val="pt-BR"/>
        </w:rPr>
        <w:lastRenderedPageBreak/>
        <w:t>Bảng dự báo nhu cầu đất xây dựng đô thị:</w:t>
      </w:r>
    </w:p>
    <w:tbl>
      <w:tblPr>
        <w:tblW w:w="16259" w:type="dxa"/>
        <w:tblInd w:w="-1026" w:type="dxa"/>
        <w:tblLook w:val="04A0" w:firstRow="1" w:lastRow="0" w:firstColumn="1" w:lastColumn="0" w:noHBand="0" w:noVBand="1"/>
      </w:tblPr>
      <w:tblGrid>
        <w:gridCol w:w="572"/>
        <w:gridCol w:w="2972"/>
        <w:gridCol w:w="1016"/>
        <w:gridCol w:w="766"/>
        <w:gridCol w:w="766"/>
        <w:gridCol w:w="916"/>
        <w:gridCol w:w="766"/>
        <w:gridCol w:w="686"/>
        <w:gridCol w:w="1016"/>
        <w:gridCol w:w="766"/>
        <w:gridCol w:w="1016"/>
        <w:gridCol w:w="766"/>
        <w:gridCol w:w="766"/>
        <w:gridCol w:w="916"/>
        <w:gridCol w:w="766"/>
        <w:gridCol w:w="766"/>
        <w:gridCol w:w="1021"/>
      </w:tblGrid>
      <w:tr w:rsidR="00B36C28" w:rsidRPr="008E63BB" w14:paraId="519B3C09" w14:textId="77777777" w:rsidTr="00B36C28">
        <w:trPr>
          <w:cantSplit/>
          <w:trHeight w:val="317"/>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C05" w14:textId="77777777" w:rsidR="00B36C28" w:rsidRPr="008E63BB" w:rsidRDefault="00B36C28" w:rsidP="00B36C28">
            <w:pPr>
              <w:jc w:val="center"/>
              <w:rPr>
                <w:rFonts w:eastAsia="Times New Roman"/>
                <w:sz w:val="20"/>
                <w:szCs w:val="20"/>
              </w:rPr>
            </w:pPr>
            <w:r w:rsidRPr="008E63BB">
              <w:rPr>
                <w:rFonts w:eastAsia="Times New Roman"/>
                <w:sz w:val="20"/>
                <w:szCs w:val="20"/>
              </w:rPr>
              <w:t>STT</w:t>
            </w:r>
          </w:p>
        </w:tc>
        <w:tc>
          <w:tcPr>
            <w:tcW w:w="29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C06" w14:textId="77777777" w:rsidR="00B36C28" w:rsidRPr="008E63BB" w:rsidRDefault="00B36C28" w:rsidP="00B36C28">
            <w:pPr>
              <w:jc w:val="center"/>
              <w:rPr>
                <w:rFonts w:eastAsia="Times New Roman"/>
                <w:sz w:val="20"/>
                <w:szCs w:val="20"/>
              </w:rPr>
            </w:pPr>
            <w:r w:rsidRPr="008E63BB">
              <w:rPr>
                <w:rFonts w:eastAsia="Times New Roman"/>
                <w:sz w:val="20"/>
                <w:szCs w:val="20"/>
              </w:rPr>
              <w:t>LOẠI ĐẤT</w:t>
            </w:r>
          </w:p>
        </w:tc>
        <w:tc>
          <w:tcPr>
            <w:tcW w:w="6698" w:type="dxa"/>
            <w:gridSpan w:val="8"/>
            <w:tcBorders>
              <w:top w:val="single" w:sz="4" w:space="0" w:color="auto"/>
              <w:left w:val="nil"/>
              <w:bottom w:val="single" w:sz="4" w:space="0" w:color="auto"/>
              <w:right w:val="single" w:sz="4" w:space="0" w:color="auto"/>
            </w:tcBorders>
            <w:shd w:val="clear" w:color="auto" w:fill="auto"/>
            <w:vAlign w:val="center"/>
            <w:hideMark/>
          </w:tcPr>
          <w:p w14:paraId="519B3C07"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Hiện trạng 2018</w:t>
            </w:r>
          </w:p>
        </w:tc>
        <w:tc>
          <w:tcPr>
            <w:tcW w:w="6017" w:type="dxa"/>
            <w:gridSpan w:val="7"/>
            <w:tcBorders>
              <w:top w:val="single" w:sz="4" w:space="0" w:color="auto"/>
              <w:left w:val="nil"/>
              <w:bottom w:val="single" w:sz="4" w:space="0" w:color="auto"/>
              <w:right w:val="single" w:sz="4" w:space="0" w:color="auto"/>
            </w:tcBorders>
            <w:shd w:val="clear" w:color="auto" w:fill="auto"/>
            <w:vAlign w:val="center"/>
            <w:hideMark/>
          </w:tcPr>
          <w:p w14:paraId="519B3C08"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Năm 2030</w:t>
            </w:r>
          </w:p>
        </w:tc>
      </w:tr>
      <w:tr w:rsidR="00B36C28" w:rsidRPr="008E63BB" w14:paraId="519B3C12" w14:textId="77777777" w:rsidTr="00B36C28">
        <w:trPr>
          <w:cantSplit/>
          <w:trHeight w:val="370"/>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519B3C0A" w14:textId="77777777" w:rsidR="00B36C28" w:rsidRPr="008E63BB" w:rsidRDefault="00B36C28" w:rsidP="00B36C28">
            <w:pPr>
              <w:jc w:val="left"/>
              <w:rPr>
                <w:rFonts w:eastAsia="Times New Roman"/>
                <w:sz w:val="20"/>
                <w:szCs w:val="20"/>
              </w:rPr>
            </w:pPr>
          </w:p>
        </w:tc>
        <w:tc>
          <w:tcPr>
            <w:tcW w:w="2972" w:type="dxa"/>
            <w:vMerge/>
            <w:tcBorders>
              <w:top w:val="single" w:sz="4" w:space="0" w:color="auto"/>
              <w:left w:val="single" w:sz="4" w:space="0" w:color="auto"/>
              <w:bottom w:val="single" w:sz="4" w:space="0" w:color="auto"/>
              <w:right w:val="single" w:sz="4" w:space="0" w:color="auto"/>
            </w:tcBorders>
            <w:vAlign w:val="center"/>
            <w:hideMark/>
          </w:tcPr>
          <w:p w14:paraId="519B3C0B" w14:textId="77777777" w:rsidR="00B36C28" w:rsidRPr="008E63BB" w:rsidRDefault="00B36C28" w:rsidP="00B36C28">
            <w:pPr>
              <w:jc w:val="left"/>
              <w:rPr>
                <w:rFonts w:eastAsia="Times New Roman"/>
                <w:sz w:val="20"/>
                <w:szCs w:val="20"/>
              </w:rPr>
            </w:pPr>
          </w:p>
        </w:tc>
        <w:tc>
          <w:tcPr>
            <w:tcW w:w="254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C0C"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 xml:space="preserve"> Tổng RG QH</w:t>
            </w:r>
          </w:p>
        </w:tc>
        <w:tc>
          <w:tcPr>
            <w:tcW w:w="236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C0D"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Nội Thành</w:t>
            </w:r>
          </w:p>
        </w:tc>
        <w:tc>
          <w:tcPr>
            <w:tcW w:w="1782"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3C0E"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 xml:space="preserve">Ngoại Thị </w:t>
            </w:r>
          </w:p>
        </w:tc>
        <w:tc>
          <w:tcPr>
            <w:tcW w:w="254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C0F"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 xml:space="preserve"> Tổng RG QH</w:t>
            </w:r>
          </w:p>
        </w:tc>
        <w:tc>
          <w:tcPr>
            <w:tcW w:w="2448" w:type="dxa"/>
            <w:gridSpan w:val="3"/>
            <w:tcBorders>
              <w:top w:val="single" w:sz="4" w:space="0" w:color="auto"/>
              <w:left w:val="nil"/>
              <w:bottom w:val="single" w:sz="4" w:space="0" w:color="auto"/>
              <w:right w:val="single" w:sz="4" w:space="0" w:color="000000"/>
            </w:tcBorders>
            <w:shd w:val="clear" w:color="auto" w:fill="auto"/>
            <w:vAlign w:val="center"/>
            <w:hideMark/>
          </w:tcPr>
          <w:p w14:paraId="519B3C10"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Nội Thành</w:t>
            </w:r>
          </w:p>
        </w:tc>
        <w:tc>
          <w:tcPr>
            <w:tcW w:w="1021" w:type="dxa"/>
            <w:tcBorders>
              <w:top w:val="nil"/>
              <w:left w:val="nil"/>
              <w:bottom w:val="single" w:sz="4" w:space="0" w:color="auto"/>
              <w:right w:val="single" w:sz="4" w:space="0" w:color="auto"/>
            </w:tcBorders>
            <w:shd w:val="clear" w:color="auto" w:fill="auto"/>
            <w:vAlign w:val="center"/>
            <w:hideMark/>
          </w:tcPr>
          <w:p w14:paraId="519B3C11"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Ngoại thị</w:t>
            </w:r>
          </w:p>
        </w:tc>
      </w:tr>
      <w:tr w:rsidR="00B36C28" w:rsidRPr="008E63BB" w14:paraId="519B3C24" w14:textId="77777777" w:rsidTr="004B2B2D">
        <w:trPr>
          <w:cantSplit/>
          <w:trHeight w:val="648"/>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14:paraId="519B3C13" w14:textId="77777777" w:rsidR="00B36C28" w:rsidRPr="008E63BB" w:rsidRDefault="00B36C28" w:rsidP="00B36C28">
            <w:pPr>
              <w:jc w:val="left"/>
              <w:rPr>
                <w:rFonts w:eastAsia="Times New Roman"/>
                <w:sz w:val="20"/>
                <w:szCs w:val="20"/>
              </w:rPr>
            </w:pPr>
          </w:p>
        </w:tc>
        <w:tc>
          <w:tcPr>
            <w:tcW w:w="2972" w:type="dxa"/>
            <w:vMerge/>
            <w:tcBorders>
              <w:top w:val="single" w:sz="4" w:space="0" w:color="auto"/>
              <w:left w:val="single" w:sz="4" w:space="0" w:color="auto"/>
              <w:bottom w:val="single" w:sz="4" w:space="0" w:color="auto"/>
              <w:right w:val="single" w:sz="4" w:space="0" w:color="auto"/>
            </w:tcBorders>
            <w:vAlign w:val="center"/>
            <w:hideMark/>
          </w:tcPr>
          <w:p w14:paraId="519B3C14" w14:textId="77777777" w:rsidR="00B36C28" w:rsidRPr="008E63BB" w:rsidRDefault="00B36C28" w:rsidP="00B36C28">
            <w:pPr>
              <w:jc w:val="left"/>
              <w:rPr>
                <w:rFonts w:eastAsia="Times New Roman"/>
                <w:sz w:val="20"/>
                <w:szCs w:val="20"/>
              </w:rPr>
            </w:pPr>
          </w:p>
        </w:tc>
        <w:tc>
          <w:tcPr>
            <w:tcW w:w="1016" w:type="dxa"/>
            <w:tcBorders>
              <w:top w:val="nil"/>
              <w:left w:val="nil"/>
              <w:bottom w:val="single" w:sz="4" w:space="0" w:color="auto"/>
              <w:right w:val="single" w:sz="4" w:space="0" w:color="auto"/>
            </w:tcBorders>
            <w:shd w:val="clear" w:color="auto" w:fill="auto"/>
            <w:vAlign w:val="center"/>
            <w:hideMark/>
          </w:tcPr>
          <w:p w14:paraId="519B3C15" w14:textId="77777777" w:rsidR="00B36C28" w:rsidRPr="008E63BB" w:rsidRDefault="00B36C28" w:rsidP="00B36C2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C16" w14:textId="77777777" w:rsidR="00B36C28" w:rsidRPr="008E63BB" w:rsidRDefault="00B36C28" w:rsidP="00B36C28">
            <w:pPr>
              <w:jc w:val="center"/>
              <w:rPr>
                <w:rFonts w:eastAsia="Times New Roman"/>
                <w:sz w:val="20"/>
                <w:szCs w:val="20"/>
              </w:rPr>
            </w:pPr>
            <w:r w:rsidRPr="008E63BB">
              <w:rPr>
                <w:rFonts w:eastAsia="Times New Roman"/>
                <w:sz w:val="20"/>
                <w:szCs w:val="20"/>
              </w:rPr>
              <w:t>Tỷ lệ (%)</w:t>
            </w:r>
          </w:p>
        </w:tc>
        <w:tc>
          <w:tcPr>
            <w:tcW w:w="766" w:type="dxa"/>
            <w:tcBorders>
              <w:top w:val="nil"/>
              <w:left w:val="nil"/>
              <w:bottom w:val="single" w:sz="4" w:space="0" w:color="auto"/>
              <w:right w:val="single" w:sz="4" w:space="0" w:color="auto"/>
            </w:tcBorders>
            <w:shd w:val="clear" w:color="auto" w:fill="auto"/>
            <w:vAlign w:val="center"/>
            <w:hideMark/>
          </w:tcPr>
          <w:p w14:paraId="519B3C17" w14:textId="77777777" w:rsidR="00B36C28" w:rsidRPr="008E63BB" w:rsidRDefault="00B36C28" w:rsidP="00B36C28">
            <w:pPr>
              <w:jc w:val="center"/>
              <w:rPr>
                <w:rFonts w:eastAsia="Times New Roman"/>
                <w:sz w:val="20"/>
                <w:szCs w:val="20"/>
              </w:rPr>
            </w:pPr>
            <w:r w:rsidRPr="008E63BB">
              <w:rPr>
                <w:rFonts w:eastAsia="Times New Roman"/>
                <w:sz w:val="20"/>
                <w:szCs w:val="20"/>
              </w:rPr>
              <w:t>m2/ người</w:t>
            </w:r>
          </w:p>
        </w:tc>
        <w:tc>
          <w:tcPr>
            <w:tcW w:w="916" w:type="dxa"/>
            <w:tcBorders>
              <w:top w:val="nil"/>
              <w:left w:val="nil"/>
              <w:bottom w:val="single" w:sz="4" w:space="0" w:color="auto"/>
              <w:right w:val="single" w:sz="4" w:space="0" w:color="auto"/>
            </w:tcBorders>
            <w:shd w:val="clear" w:color="auto" w:fill="auto"/>
            <w:vAlign w:val="center"/>
            <w:hideMark/>
          </w:tcPr>
          <w:p w14:paraId="519B3C18" w14:textId="77777777" w:rsidR="00B36C28" w:rsidRPr="008E63BB" w:rsidRDefault="00B36C28" w:rsidP="00B36C2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C19" w14:textId="77777777" w:rsidR="00B36C28" w:rsidRPr="008E63BB" w:rsidRDefault="00B36C28" w:rsidP="00B36C28">
            <w:pPr>
              <w:jc w:val="center"/>
              <w:rPr>
                <w:rFonts w:eastAsia="Times New Roman"/>
                <w:sz w:val="20"/>
                <w:szCs w:val="20"/>
              </w:rPr>
            </w:pPr>
            <w:r w:rsidRPr="008E63BB">
              <w:rPr>
                <w:rFonts w:eastAsia="Times New Roman"/>
                <w:sz w:val="20"/>
                <w:szCs w:val="20"/>
              </w:rPr>
              <w:t>Tỷ lệ (%)</w:t>
            </w:r>
          </w:p>
        </w:tc>
        <w:tc>
          <w:tcPr>
            <w:tcW w:w="686" w:type="dxa"/>
            <w:tcBorders>
              <w:top w:val="nil"/>
              <w:left w:val="nil"/>
              <w:bottom w:val="single" w:sz="4" w:space="0" w:color="auto"/>
              <w:right w:val="single" w:sz="4" w:space="0" w:color="auto"/>
            </w:tcBorders>
            <w:shd w:val="clear" w:color="auto" w:fill="auto"/>
            <w:vAlign w:val="center"/>
            <w:hideMark/>
          </w:tcPr>
          <w:p w14:paraId="519B3C1A" w14:textId="77777777" w:rsidR="00B36C28" w:rsidRPr="008E63BB" w:rsidRDefault="00B36C28" w:rsidP="00B36C28">
            <w:pPr>
              <w:jc w:val="center"/>
              <w:rPr>
                <w:rFonts w:eastAsia="Times New Roman"/>
                <w:sz w:val="20"/>
                <w:szCs w:val="20"/>
              </w:rPr>
            </w:pPr>
            <w:r w:rsidRPr="008E63BB">
              <w:rPr>
                <w:rFonts w:eastAsia="Times New Roman"/>
                <w:sz w:val="20"/>
                <w:szCs w:val="20"/>
              </w:rPr>
              <w:t>m2/ người</w:t>
            </w:r>
          </w:p>
        </w:tc>
        <w:tc>
          <w:tcPr>
            <w:tcW w:w="1016" w:type="dxa"/>
            <w:tcBorders>
              <w:top w:val="nil"/>
              <w:left w:val="nil"/>
              <w:bottom w:val="single" w:sz="4" w:space="0" w:color="auto"/>
              <w:right w:val="single" w:sz="4" w:space="0" w:color="auto"/>
            </w:tcBorders>
            <w:shd w:val="clear" w:color="auto" w:fill="auto"/>
            <w:vAlign w:val="center"/>
            <w:hideMark/>
          </w:tcPr>
          <w:p w14:paraId="519B3C1B" w14:textId="77777777" w:rsidR="00B36C28" w:rsidRPr="008E63BB" w:rsidRDefault="00B36C28" w:rsidP="00B36C2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nil"/>
            </w:tcBorders>
            <w:shd w:val="clear" w:color="auto" w:fill="auto"/>
            <w:vAlign w:val="center"/>
            <w:hideMark/>
          </w:tcPr>
          <w:p w14:paraId="519B3C1C" w14:textId="77777777" w:rsidR="00B36C28" w:rsidRPr="008E63BB" w:rsidRDefault="00B36C28" w:rsidP="00B36C28">
            <w:pPr>
              <w:jc w:val="center"/>
              <w:rPr>
                <w:rFonts w:eastAsia="Times New Roman"/>
                <w:sz w:val="20"/>
                <w:szCs w:val="20"/>
              </w:rPr>
            </w:pPr>
            <w:r w:rsidRPr="008E63BB">
              <w:rPr>
                <w:rFonts w:eastAsia="Times New Roman"/>
                <w:sz w:val="20"/>
                <w:szCs w:val="20"/>
              </w:rPr>
              <w:t>Tỷ lệ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1D" w14:textId="77777777" w:rsidR="00B36C28" w:rsidRPr="008E63BB" w:rsidRDefault="00B36C28" w:rsidP="00B36C2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C1E" w14:textId="77777777" w:rsidR="00B36C28" w:rsidRPr="008E63BB" w:rsidRDefault="00B36C28" w:rsidP="00B36C28">
            <w:pPr>
              <w:jc w:val="center"/>
              <w:rPr>
                <w:rFonts w:eastAsia="Times New Roman"/>
                <w:sz w:val="20"/>
                <w:szCs w:val="20"/>
              </w:rPr>
            </w:pPr>
            <w:r w:rsidRPr="008E63BB">
              <w:rPr>
                <w:rFonts w:eastAsia="Times New Roman"/>
                <w:sz w:val="20"/>
                <w:szCs w:val="20"/>
              </w:rPr>
              <w:t>Tỷ lệ (%)</w:t>
            </w:r>
          </w:p>
        </w:tc>
        <w:tc>
          <w:tcPr>
            <w:tcW w:w="766" w:type="dxa"/>
            <w:tcBorders>
              <w:top w:val="nil"/>
              <w:left w:val="nil"/>
              <w:bottom w:val="single" w:sz="4" w:space="0" w:color="auto"/>
              <w:right w:val="single" w:sz="4" w:space="0" w:color="auto"/>
            </w:tcBorders>
            <w:shd w:val="clear" w:color="auto" w:fill="auto"/>
            <w:vAlign w:val="center"/>
            <w:hideMark/>
          </w:tcPr>
          <w:p w14:paraId="519B3C1F" w14:textId="77777777" w:rsidR="00B36C28" w:rsidRPr="008E63BB" w:rsidRDefault="00B36C28" w:rsidP="00B36C28">
            <w:pPr>
              <w:jc w:val="center"/>
              <w:rPr>
                <w:rFonts w:eastAsia="Times New Roman"/>
                <w:sz w:val="20"/>
                <w:szCs w:val="20"/>
              </w:rPr>
            </w:pPr>
            <w:r w:rsidRPr="008E63BB">
              <w:rPr>
                <w:rFonts w:eastAsia="Times New Roman"/>
                <w:sz w:val="20"/>
                <w:szCs w:val="20"/>
              </w:rPr>
              <w:t>m2/ người</w:t>
            </w:r>
          </w:p>
        </w:tc>
        <w:tc>
          <w:tcPr>
            <w:tcW w:w="916" w:type="dxa"/>
            <w:tcBorders>
              <w:top w:val="nil"/>
              <w:left w:val="nil"/>
              <w:bottom w:val="single" w:sz="4" w:space="0" w:color="auto"/>
              <w:right w:val="single" w:sz="4" w:space="0" w:color="auto"/>
            </w:tcBorders>
            <w:shd w:val="clear" w:color="auto" w:fill="auto"/>
            <w:vAlign w:val="center"/>
            <w:hideMark/>
          </w:tcPr>
          <w:p w14:paraId="519B3C20" w14:textId="77777777" w:rsidR="00B36C28" w:rsidRPr="008E63BB" w:rsidRDefault="00B36C28" w:rsidP="00B36C28">
            <w:pPr>
              <w:jc w:val="center"/>
              <w:rPr>
                <w:rFonts w:eastAsia="Times New Roman"/>
                <w:sz w:val="20"/>
                <w:szCs w:val="20"/>
              </w:rPr>
            </w:pPr>
            <w:r w:rsidRPr="008E63BB">
              <w:rPr>
                <w:rFonts w:eastAsia="Times New Roman"/>
                <w:sz w:val="20"/>
                <w:szCs w:val="20"/>
              </w:rPr>
              <w:t>Diện tích đất (ha)</w:t>
            </w:r>
          </w:p>
        </w:tc>
        <w:tc>
          <w:tcPr>
            <w:tcW w:w="766" w:type="dxa"/>
            <w:tcBorders>
              <w:top w:val="nil"/>
              <w:left w:val="nil"/>
              <w:bottom w:val="single" w:sz="4" w:space="0" w:color="auto"/>
              <w:right w:val="single" w:sz="4" w:space="0" w:color="auto"/>
            </w:tcBorders>
            <w:shd w:val="clear" w:color="auto" w:fill="auto"/>
            <w:vAlign w:val="center"/>
            <w:hideMark/>
          </w:tcPr>
          <w:p w14:paraId="519B3C21" w14:textId="77777777" w:rsidR="00B36C28" w:rsidRPr="008E63BB" w:rsidRDefault="00B36C28" w:rsidP="00B36C28">
            <w:pPr>
              <w:jc w:val="center"/>
              <w:rPr>
                <w:rFonts w:eastAsia="Times New Roman"/>
                <w:sz w:val="20"/>
                <w:szCs w:val="20"/>
              </w:rPr>
            </w:pPr>
            <w:r w:rsidRPr="008E63BB">
              <w:rPr>
                <w:rFonts w:eastAsia="Times New Roman"/>
                <w:sz w:val="20"/>
                <w:szCs w:val="20"/>
              </w:rPr>
              <w:t>Tỷ lệ (%)</w:t>
            </w:r>
          </w:p>
        </w:tc>
        <w:tc>
          <w:tcPr>
            <w:tcW w:w="766" w:type="dxa"/>
            <w:tcBorders>
              <w:top w:val="nil"/>
              <w:left w:val="nil"/>
              <w:bottom w:val="single" w:sz="4" w:space="0" w:color="auto"/>
              <w:right w:val="single" w:sz="4" w:space="0" w:color="auto"/>
            </w:tcBorders>
            <w:shd w:val="clear" w:color="auto" w:fill="auto"/>
            <w:vAlign w:val="center"/>
            <w:hideMark/>
          </w:tcPr>
          <w:p w14:paraId="519B3C22" w14:textId="77777777" w:rsidR="00B36C28" w:rsidRPr="008E63BB" w:rsidRDefault="00B36C28" w:rsidP="00B36C28">
            <w:pPr>
              <w:jc w:val="center"/>
              <w:rPr>
                <w:rFonts w:eastAsia="Times New Roman"/>
                <w:sz w:val="20"/>
                <w:szCs w:val="20"/>
              </w:rPr>
            </w:pPr>
            <w:r w:rsidRPr="008E63BB">
              <w:rPr>
                <w:rFonts w:eastAsia="Times New Roman"/>
                <w:sz w:val="20"/>
                <w:szCs w:val="20"/>
              </w:rPr>
              <w:t>m2/ người</w:t>
            </w:r>
          </w:p>
        </w:tc>
        <w:tc>
          <w:tcPr>
            <w:tcW w:w="1021" w:type="dxa"/>
            <w:tcBorders>
              <w:top w:val="nil"/>
              <w:left w:val="nil"/>
              <w:bottom w:val="single" w:sz="4" w:space="0" w:color="auto"/>
              <w:right w:val="single" w:sz="4" w:space="0" w:color="auto"/>
            </w:tcBorders>
            <w:shd w:val="clear" w:color="auto" w:fill="auto"/>
            <w:vAlign w:val="center"/>
            <w:hideMark/>
          </w:tcPr>
          <w:p w14:paraId="519B3C23" w14:textId="77777777" w:rsidR="00B36C28" w:rsidRPr="008E63BB" w:rsidRDefault="00B36C28" w:rsidP="00B36C28">
            <w:pPr>
              <w:jc w:val="center"/>
              <w:rPr>
                <w:rFonts w:eastAsia="Times New Roman"/>
                <w:sz w:val="20"/>
                <w:szCs w:val="20"/>
              </w:rPr>
            </w:pPr>
            <w:r w:rsidRPr="008E63BB">
              <w:rPr>
                <w:rFonts w:eastAsia="Times New Roman"/>
                <w:sz w:val="20"/>
                <w:szCs w:val="20"/>
              </w:rPr>
              <w:t>Diện tích đất (ha)</w:t>
            </w:r>
          </w:p>
        </w:tc>
      </w:tr>
      <w:tr w:rsidR="00B36C28" w:rsidRPr="008E63BB" w14:paraId="519B3C36"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25" w14:textId="77777777" w:rsidR="00B36C28" w:rsidRPr="008E63BB" w:rsidRDefault="00B36C28" w:rsidP="00B36C28">
            <w:pPr>
              <w:jc w:val="left"/>
              <w:rPr>
                <w:rFonts w:eastAsia="Times New Roman"/>
                <w:b/>
                <w:bCs/>
                <w:i/>
                <w:iCs/>
                <w:sz w:val="20"/>
                <w:szCs w:val="20"/>
              </w:rPr>
            </w:pPr>
            <w:r w:rsidRPr="008E63BB">
              <w:rPr>
                <w:rFonts w:eastAsia="Times New Roman"/>
                <w:b/>
                <w:bCs/>
                <w:i/>
                <w:iCs/>
                <w:sz w:val="20"/>
                <w:szCs w:val="20"/>
              </w:rPr>
              <w:t> </w:t>
            </w:r>
          </w:p>
        </w:tc>
        <w:tc>
          <w:tcPr>
            <w:tcW w:w="2972" w:type="dxa"/>
            <w:tcBorders>
              <w:top w:val="nil"/>
              <w:left w:val="nil"/>
              <w:bottom w:val="single" w:sz="4" w:space="0" w:color="auto"/>
              <w:right w:val="single" w:sz="4" w:space="0" w:color="auto"/>
            </w:tcBorders>
            <w:shd w:val="clear" w:color="auto" w:fill="auto"/>
            <w:vAlign w:val="center"/>
            <w:hideMark/>
          </w:tcPr>
          <w:p w14:paraId="519B3C26" w14:textId="77777777" w:rsidR="00B36C28" w:rsidRPr="008E63BB" w:rsidRDefault="00B36C28" w:rsidP="00B36C28">
            <w:pPr>
              <w:jc w:val="left"/>
              <w:rPr>
                <w:rFonts w:eastAsia="Times New Roman"/>
                <w:b/>
                <w:bCs/>
                <w:i/>
                <w:iCs/>
                <w:sz w:val="20"/>
                <w:szCs w:val="20"/>
              </w:rPr>
            </w:pPr>
            <w:r w:rsidRPr="008E63BB">
              <w:rPr>
                <w:rFonts w:eastAsia="Times New Roman"/>
                <w:b/>
                <w:bCs/>
                <w:i/>
                <w:iCs/>
                <w:sz w:val="20"/>
                <w:szCs w:val="20"/>
              </w:rPr>
              <w:t>Tổng diện tích đất tự nhiên (A+B)</w:t>
            </w:r>
          </w:p>
        </w:tc>
        <w:tc>
          <w:tcPr>
            <w:tcW w:w="1016" w:type="dxa"/>
            <w:tcBorders>
              <w:top w:val="nil"/>
              <w:left w:val="nil"/>
              <w:bottom w:val="single" w:sz="4" w:space="0" w:color="auto"/>
              <w:right w:val="single" w:sz="4" w:space="0" w:color="auto"/>
            </w:tcBorders>
            <w:shd w:val="clear" w:color="auto" w:fill="auto"/>
            <w:vAlign w:val="center"/>
            <w:hideMark/>
          </w:tcPr>
          <w:p w14:paraId="519B3C27"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18.798,69</w:t>
            </w:r>
          </w:p>
        </w:tc>
        <w:tc>
          <w:tcPr>
            <w:tcW w:w="766" w:type="dxa"/>
            <w:tcBorders>
              <w:top w:val="nil"/>
              <w:left w:val="nil"/>
              <w:bottom w:val="single" w:sz="4" w:space="0" w:color="auto"/>
              <w:right w:val="single" w:sz="4" w:space="0" w:color="auto"/>
            </w:tcBorders>
            <w:shd w:val="clear" w:color="auto" w:fill="auto"/>
            <w:vAlign w:val="center"/>
            <w:hideMark/>
          </w:tcPr>
          <w:p w14:paraId="519B3C28"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C29"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2A"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3.559,75</w:t>
            </w:r>
          </w:p>
        </w:tc>
        <w:tc>
          <w:tcPr>
            <w:tcW w:w="766" w:type="dxa"/>
            <w:tcBorders>
              <w:top w:val="nil"/>
              <w:left w:val="nil"/>
              <w:bottom w:val="single" w:sz="4" w:space="0" w:color="auto"/>
              <w:right w:val="single" w:sz="4" w:space="0" w:color="auto"/>
            </w:tcBorders>
            <w:shd w:val="clear" w:color="auto" w:fill="auto"/>
            <w:vAlign w:val="center"/>
            <w:hideMark/>
          </w:tcPr>
          <w:p w14:paraId="519B3C2B"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100,00</w:t>
            </w:r>
          </w:p>
        </w:tc>
        <w:tc>
          <w:tcPr>
            <w:tcW w:w="686" w:type="dxa"/>
            <w:tcBorders>
              <w:top w:val="nil"/>
              <w:left w:val="nil"/>
              <w:bottom w:val="single" w:sz="4" w:space="0" w:color="auto"/>
              <w:right w:val="single" w:sz="4" w:space="0" w:color="auto"/>
            </w:tcBorders>
            <w:shd w:val="clear" w:color="auto" w:fill="auto"/>
            <w:vAlign w:val="center"/>
            <w:hideMark/>
          </w:tcPr>
          <w:p w14:paraId="519B3C2C"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C2D"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15.238,94</w:t>
            </w:r>
          </w:p>
        </w:tc>
        <w:tc>
          <w:tcPr>
            <w:tcW w:w="766" w:type="dxa"/>
            <w:tcBorders>
              <w:top w:val="nil"/>
              <w:left w:val="nil"/>
              <w:bottom w:val="single" w:sz="4" w:space="0" w:color="auto"/>
              <w:right w:val="nil"/>
            </w:tcBorders>
            <w:shd w:val="clear" w:color="auto" w:fill="auto"/>
            <w:vAlign w:val="center"/>
            <w:hideMark/>
          </w:tcPr>
          <w:p w14:paraId="519B3C2E"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100,00</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2F"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18.798,69</w:t>
            </w:r>
          </w:p>
        </w:tc>
        <w:tc>
          <w:tcPr>
            <w:tcW w:w="766" w:type="dxa"/>
            <w:tcBorders>
              <w:top w:val="nil"/>
              <w:left w:val="nil"/>
              <w:bottom w:val="single" w:sz="4" w:space="0" w:color="auto"/>
              <w:right w:val="single" w:sz="4" w:space="0" w:color="auto"/>
            </w:tcBorders>
            <w:shd w:val="clear" w:color="auto" w:fill="auto"/>
            <w:vAlign w:val="center"/>
            <w:hideMark/>
          </w:tcPr>
          <w:p w14:paraId="519B3C30"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C31" w14:textId="77777777" w:rsidR="00B36C28" w:rsidRPr="008E63BB" w:rsidRDefault="00B36C28" w:rsidP="00B36C28">
            <w:pPr>
              <w:jc w:val="left"/>
              <w:rPr>
                <w:rFonts w:eastAsia="Times New Roman"/>
                <w:b/>
                <w:bCs/>
                <w:i/>
                <w:iCs/>
                <w:sz w:val="20"/>
                <w:szCs w:val="20"/>
              </w:rPr>
            </w:pPr>
            <w:r w:rsidRPr="008E63BB">
              <w:rPr>
                <w:rFonts w:eastAsia="Times New Roman"/>
                <w:b/>
                <w:bCs/>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32"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6.967,75</w:t>
            </w:r>
          </w:p>
        </w:tc>
        <w:tc>
          <w:tcPr>
            <w:tcW w:w="766" w:type="dxa"/>
            <w:tcBorders>
              <w:top w:val="nil"/>
              <w:left w:val="nil"/>
              <w:bottom w:val="single" w:sz="4" w:space="0" w:color="auto"/>
              <w:right w:val="single" w:sz="4" w:space="0" w:color="auto"/>
            </w:tcBorders>
            <w:shd w:val="clear" w:color="auto" w:fill="auto"/>
            <w:vAlign w:val="center"/>
            <w:hideMark/>
          </w:tcPr>
          <w:p w14:paraId="519B3C33" w14:textId="77777777" w:rsidR="00B36C28" w:rsidRPr="008E63BB" w:rsidRDefault="00B36C28" w:rsidP="00B36C28">
            <w:pPr>
              <w:jc w:val="left"/>
              <w:rPr>
                <w:rFonts w:eastAsia="Times New Roman"/>
                <w:b/>
                <w:bCs/>
                <w:i/>
                <w:iCs/>
                <w:sz w:val="20"/>
                <w:szCs w:val="20"/>
              </w:rPr>
            </w:pPr>
            <w:r w:rsidRPr="008E63BB">
              <w:rPr>
                <w:rFonts w:eastAsia="Times New Roman"/>
                <w:b/>
                <w:bCs/>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34" w14:textId="77777777" w:rsidR="00B36C28" w:rsidRPr="008E63BB" w:rsidRDefault="00B36C28" w:rsidP="00B36C28">
            <w:pPr>
              <w:jc w:val="left"/>
              <w:rPr>
                <w:rFonts w:eastAsia="Times New Roman"/>
                <w:b/>
                <w:bCs/>
                <w:i/>
                <w:iCs/>
                <w:sz w:val="20"/>
                <w:szCs w:val="20"/>
              </w:rPr>
            </w:pPr>
            <w:r w:rsidRPr="008E63BB">
              <w:rPr>
                <w:rFonts w:eastAsia="Times New Roman"/>
                <w:b/>
                <w:bCs/>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C35"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11.830,94</w:t>
            </w:r>
          </w:p>
        </w:tc>
      </w:tr>
      <w:tr w:rsidR="00B36C28" w:rsidRPr="008E63BB" w14:paraId="519B3C48"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37"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2972" w:type="dxa"/>
            <w:tcBorders>
              <w:top w:val="nil"/>
              <w:left w:val="nil"/>
              <w:bottom w:val="single" w:sz="4" w:space="0" w:color="auto"/>
              <w:right w:val="single" w:sz="4" w:space="0" w:color="auto"/>
            </w:tcBorders>
            <w:shd w:val="clear" w:color="auto" w:fill="auto"/>
            <w:vAlign w:val="center"/>
            <w:hideMark/>
          </w:tcPr>
          <w:p w14:paraId="519B3C38"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Đất xây dựng</w:t>
            </w:r>
          </w:p>
        </w:tc>
        <w:tc>
          <w:tcPr>
            <w:tcW w:w="1016" w:type="dxa"/>
            <w:tcBorders>
              <w:top w:val="nil"/>
              <w:left w:val="nil"/>
              <w:bottom w:val="single" w:sz="4" w:space="0" w:color="auto"/>
              <w:right w:val="single" w:sz="4" w:space="0" w:color="auto"/>
            </w:tcBorders>
            <w:shd w:val="clear" w:color="auto" w:fill="auto"/>
            <w:vAlign w:val="center"/>
            <w:hideMark/>
          </w:tcPr>
          <w:p w14:paraId="519B3C3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5.089,23</w:t>
            </w:r>
          </w:p>
        </w:tc>
        <w:tc>
          <w:tcPr>
            <w:tcW w:w="766" w:type="dxa"/>
            <w:tcBorders>
              <w:top w:val="nil"/>
              <w:left w:val="nil"/>
              <w:bottom w:val="single" w:sz="4" w:space="0" w:color="auto"/>
              <w:right w:val="single" w:sz="4" w:space="0" w:color="auto"/>
            </w:tcBorders>
            <w:shd w:val="clear" w:color="auto" w:fill="auto"/>
            <w:vAlign w:val="center"/>
            <w:hideMark/>
          </w:tcPr>
          <w:p w14:paraId="519B3C3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27,07</w:t>
            </w:r>
          </w:p>
        </w:tc>
        <w:tc>
          <w:tcPr>
            <w:tcW w:w="766" w:type="dxa"/>
            <w:tcBorders>
              <w:top w:val="nil"/>
              <w:left w:val="nil"/>
              <w:bottom w:val="single" w:sz="4" w:space="0" w:color="auto"/>
              <w:right w:val="single" w:sz="4" w:space="0" w:color="auto"/>
            </w:tcBorders>
            <w:shd w:val="clear" w:color="auto" w:fill="auto"/>
            <w:vAlign w:val="center"/>
            <w:hideMark/>
          </w:tcPr>
          <w:p w14:paraId="519B3C3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3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2.262,30</w:t>
            </w:r>
          </w:p>
        </w:tc>
        <w:tc>
          <w:tcPr>
            <w:tcW w:w="766" w:type="dxa"/>
            <w:tcBorders>
              <w:top w:val="nil"/>
              <w:left w:val="nil"/>
              <w:bottom w:val="single" w:sz="4" w:space="0" w:color="auto"/>
              <w:right w:val="single" w:sz="4" w:space="0" w:color="auto"/>
            </w:tcBorders>
            <w:shd w:val="clear" w:color="auto" w:fill="auto"/>
            <w:vAlign w:val="center"/>
            <w:hideMark/>
          </w:tcPr>
          <w:p w14:paraId="519B3C3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64,85</w:t>
            </w:r>
          </w:p>
        </w:tc>
        <w:tc>
          <w:tcPr>
            <w:tcW w:w="686" w:type="dxa"/>
            <w:tcBorders>
              <w:top w:val="nil"/>
              <w:left w:val="nil"/>
              <w:bottom w:val="single" w:sz="4" w:space="0" w:color="auto"/>
              <w:right w:val="single" w:sz="4" w:space="0" w:color="auto"/>
            </w:tcBorders>
            <w:shd w:val="clear" w:color="auto" w:fill="auto"/>
            <w:vAlign w:val="center"/>
            <w:hideMark/>
          </w:tcPr>
          <w:p w14:paraId="519B3C3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C3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2.826,93</w:t>
            </w:r>
          </w:p>
        </w:tc>
        <w:tc>
          <w:tcPr>
            <w:tcW w:w="766" w:type="dxa"/>
            <w:tcBorders>
              <w:top w:val="nil"/>
              <w:left w:val="nil"/>
              <w:bottom w:val="single" w:sz="4" w:space="0" w:color="auto"/>
              <w:right w:val="nil"/>
            </w:tcBorders>
            <w:shd w:val="clear" w:color="auto" w:fill="auto"/>
            <w:vAlign w:val="center"/>
            <w:hideMark/>
          </w:tcPr>
          <w:p w14:paraId="519B3C4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19,09</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4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6.689,79</w:t>
            </w:r>
          </w:p>
        </w:tc>
        <w:tc>
          <w:tcPr>
            <w:tcW w:w="766" w:type="dxa"/>
            <w:tcBorders>
              <w:top w:val="nil"/>
              <w:left w:val="nil"/>
              <w:bottom w:val="single" w:sz="4" w:space="0" w:color="auto"/>
              <w:right w:val="single" w:sz="4" w:space="0" w:color="auto"/>
            </w:tcBorders>
            <w:shd w:val="clear" w:color="auto" w:fill="auto"/>
            <w:vAlign w:val="center"/>
            <w:hideMark/>
          </w:tcPr>
          <w:p w14:paraId="519B3C4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35,59</w:t>
            </w:r>
          </w:p>
        </w:tc>
        <w:tc>
          <w:tcPr>
            <w:tcW w:w="766" w:type="dxa"/>
            <w:tcBorders>
              <w:top w:val="nil"/>
              <w:left w:val="nil"/>
              <w:bottom w:val="nil"/>
              <w:right w:val="nil"/>
            </w:tcBorders>
            <w:shd w:val="clear" w:color="auto" w:fill="auto"/>
            <w:vAlign w:val="center"/>
            <w:hideMark/>
          </w:tcPr>
          <w:p w14:paraId="519B3C43" w14:textId="77777777" w:rsidR="00B36C28" w:rsidRPr="008E63BB" w:rsidRDefault="00B36C28" w:rsidP="00B36C28">
            <w:pPr>
              <w:jc w:val="right"/>
              <w:rPr>
                <w:rFonts w:eastAsia="Times New Roman"/>
                <w:i/>
                <w:iCs/>
                <w:sz w:val="20"/>
                <w:szCs w:val="20"/>
              </w:rPr>
            </w:pPr>
          </w:p>
        </w:tc>
        <w:tc>
          <w:tcPr>
            <w:tcW w:w="916" w:type="dxa"/>
            <w:tcBorders>
              <w:top w:val="nil"/>
              <w:left w:val="single" w:sz="4" w:space="0" w:color="auto"/>
              <w:bottom w:val="single" w:sz="4" w:space="0" w:color="auto"/>
              <w:right w:val="single" w:sz="4" w:space="0" w:color="auto"/>
            </w:tcBorders>
            <w:shd w:val="clear" w:color="auto" w:fill="auto"/>
            <w:vAlign w:val="center"/>
            <w:hideMark/>
          </w:tcPr>
          <w:p w14:paraId="519B3C4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3.973,21</w:t>
            </w:r>
          </w:p>
        </w:tc>
        <w:tc>
          <w:tcPr>
            <w:tcW w:w="766" w:type="dxa"/>
            <w:tcBorders>
              <w:top w:val="nil"/>
              <w:left w:val="nil"/>
              <w:bottom w:val="single" w:sz="4" w:space="0" w:color="auto"/>
              <w:right w:val="single" w:sz="4" w:space="0" w:color="auto"/>
            </w:tcBorders>
            <w:shd w:val="clear" w:color="auto" w:fill="auto"/>
            <w:vAlign w:val="center"/>
            <w:hideMark/>
          </w:tcPr>
          <w:p w14:paraId="519B3C45"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46"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C4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2.716,58</w:t>
            </w:r>
          </w:p>
        </w:tc>
      </w:tr>
      <w:tr w:rsidR="00B36C28" w:rsidRPr="008E63BB" w14:paraId="519B3C5A"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49"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2972" w:type="dxa"/>
            <w:tcBorders>
              <w:top w:val="nil"/>
              <w:left w:val="nil"/>
              <w:bottom w:val="single" w:sz="4" w:space="0" w:color="auto"/>
              <w:right w:val="single" w:sz="4" w:space="0" w:color="auto"/>
            </w:tcBorders>
            <w:shd w:val="clear" w:color="auto" w:fill="auto"/>
            <w:vAlign w:val="center"/>
            <w:hideMark/>
          </w:tcPr>
          <w:p w14:paraId="519B3C4A"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Đất khác</w:t>
            </w:r>
          </w:p>
        </w:tc>
        <w:tc>
          <w:tcPr>
            <w:tcW w:w="1016" w:type="dxa"/>
            <w:tcBorders>
              <w:top w:val="nil"/>
              <w:left w:val="nil"/>
              <w:bottom w:val="single" w:sz="4" w:space="0" w:color="auto"/>
              <w:right w:val="single" w:sz="4" w:space="0" w:color="auto"/>
            </w:tcBorders>
            <w:shd w:val="clear" w:color="auto" w:fill="auto"/>
            <w:vAlign w:val="center"/>
            <w:hideMark/>
          </w:tcPr>
          <w:p w14:paraId="519B3C4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13.709,47</w:t>
            </w:r>
          </w:p>
        </w:tc>
        <w:tc>
          <w:tcPr>
            <w:tcW w:w="766" w:type="dxa"/>
            <w:tcBorders>
              <w:top w:val="nil"/>
              <w:left w:val="nil"/>
              <w:bottom w:val="single" w:sz="4" w:space="0" w:color="auto"/>
              <w:right w:val="single" w:sz="4" w:space="0" w:color="auto"/>
            </w:tcBorders>
            <w:shd w:val="clear" w:color="auto" w:fill="auto"/>
            <w:vAlign w:val="center"/>
            <w:hideMark/>
          </w:tcPr>
          <w:p w14:paraId="519B3C4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72,93</w:t>
            </w:r>
          </w:p>
        </w:tc>
        <w:tc>
          <w:tcPr>
            <w:tcW w:w="766" w:type="dxa"/>
            <w:tcBorders>
              <w:top w:val="nil"/>
              <w:left w:val="nil"/>
              <w:bottom w:val="single" w:sz="4" w:space="0" w:color="auto"/>
              <w:right w:val="single" w:sz="4" w:space="0" w:color="auto"/>
            </w:tcBorders>
            <w:shd w:val="clear" w:color="auto" w:fill="auto"/>
            <w:vAlign w:val="center"/>
            <w:hideMark/>
          </w:tcPr>
          <w:p w14:paraId="519B3C4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4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1.297,45</w:t>
            </w:r>
          </w:p>
        </w:tc>
        <w:tc>
          <w:tcPr>
            <w:tcW w:w="766" w:type="dxa"/>
            <w:tcBorders>
              <w:top w:val="nil"/>
              <w:left w:val="nil"/>
              <w:bottom w:val="single" w:sz="4" w:space="0" w:color="auto"/>
              <w:right w:val="single" w:sz="4" w:space="0" w:color="auto"/>
            </w:tcBorders>
            <w:shd w:val="clear" w:color="auto" w:fill="auto"/>
            <w:vAlign w:val="center"/>
            <w:hideMark/>
          </w:tcPr>
          <w:p w14:paraId="519B3C4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35,15</w:t>
            </w:r>
          </w:p>
        </w:tc>
        <w:tc>
          <w:tcPr>
            <w:tcW w:w="686" w:type="dxa"/>
            <w:tcBorders>
              <w:top w:val="nil"/>
              <w:left w:val="nil"/>
              <w:bottom w:val="single" w:sz="4" w:space="0" w:color="auto"/>
              <w:right w:val="single" w:sz="4" w:space="0" w:color="auto"/>
            </w:tcBorders>
            <w:shd w:val="clear" w:color="auto" w:fill="auto"/>
            <w:vAlign w:val="center"/>
            <w:hideMark/>
          </w:tcPr>
          <w:p w14:paraId="519B3C5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C5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12.412,02</w:t>
            </w:r>
          </w:p>
        </w:tc>
        <w:tc>
          <w:tcPr>
            <w:tcW w:w="766" w:type="dxa"/>
            <w:tcBorders>
              <w:top w:val="nil"/>
              <w:left w:val="nil"/>
              <w:bottom w:val="single" w:sz="4" w:space="0" w:color="auto"/>
              <w:right w:val="nil"/>
            </w:tcBorders>
            <w:shd w:val="clear" w:color="auto" w:fill="auto"/>
            <w:vAlign w:val="center"/>
            <w:hideMark/>
          </w:tcPr>
          <w:p w14:paraId="519B3C5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80,91</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5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12.108,90</w:t>
            </w:r>
          </w:p>
        </w:tc>
        <w:tc>
          <w:tcPr>
            <w:tcW w:w="766" w:type="dxa"/>
            <w:tcBorders>
              <w:top w:val="nil"/>
              <w:left w:val="nil"/>
              <w:bottom w:val="single" w:sz="4" w:space="0" w:color="auto"/>
              <w:right w:val="single" w:sz="4" w:space="0" w:color="auto"/>
            </w:tcBorders>
            <w:shd w:val="clear" w:color="auto" w:fill="auto"/>
            <w:vAlign w:val="center"/>
            <w:hideMark/>
          </w:tcPr>
          <w:p w14:paraId="519B3C5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64,41</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519B3C55"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5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2.994,54</w:t>
            </w:r>
          </w:p>
        </w:tc>
        <w:tc>
          <w:tcPr>
            <w:tcW w:w="766" w:type="dxa"/>
            <w:tcBorders>
              <w:top w:val="nil"/>
              <w:left w:val="nil"/>
              <w:bottom w:val="single" w:sz="4" w:space="0" w:color="auto"/>
              <w:right w:val="single" w:sz="4" w:space="0" w:color="auto"/>
            </w:tcBorders>
            <w:shd w:val="clear" w:color="auto" w:fill="auto"/>
            <w:vAlign w:val="center"/>
            <w:hideMark/>
          </w:tcPr>
          <w:p w14:paraId="519B3C57"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58"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C5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9.114,36</w:t>
            </w:r>
          </w:p>
        </w:tc>
      </w:tr>
      <w:tr w:rsidR="00B36C28" w:rsidRPr="008E63BB" w14:paraId="519B3C6C"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5B"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A</w:t>
            </w:r>
          </w:p>
        </w:tc>
        <w:tc>
          <w:tcPr>
            <w:tcW w:w="2972" w:type="dxa"/>
            <w:tcBorders>
              <w:top w:val="nil"/>
              <w:left w:val="nil"/>
              <w:bottom w:val="single" w:sz="4" w:space="0" w:color="auto"/>
              <w:right w:val="single" w:sz="4" w:space="0" w:color="auto"/>
            </w:tcBorders>
            <w:shd w:val="clear" w:color="auto" w:fill="auto"/>
            <w:vAlign w:val="center"/>
            <w:hideMark/>
          </w:tcPr>
          <w:p w14:paraId="519B3C5C"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Đất xây dựng (I+II)</w:t>
            </w:r>
          </w:p>
        </w:tc>
        <w:tc>
          <w:tcPr>
            <w:tcW w:w="1016" w:type="dxa"/>
            <w:tcBorders>
              <w:top w:val="nil"/>
              <w:left w:val="nil"/>
              <w:bottom w:val="single" w:sz="4" w:space="0" w:color="auto"/>
              <w:right w:val="single" w:sz="4" w:space="0" w:color="auto"/>
            </w:tcBorders>
            <w:shd w:val="clear" w:color="auto" w:fill="auto"/>
            <w:vAlign w:val="center"/>
            <w:hideMark/>
          </w:tcPr>
          <w:p w14:paraId="519B3C5D"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5.089,23</w:t>
            </w:r>
          </w:p>
        </w:tc>
        <w:tc>
          <w:tcPr>
            <w:tcW w:w="766" w:type="dxa"/>
            <w:tcBorders>
              <w:top w:val="nil"/>
              <w:left w:val="nil"/>
              <w:bottom w:val="single" w:sz="4" w:space="0" w:color="auto"/>
              <w:right w:val="single" w:sz="4" w:space="0" w:color="auto"/>
            </w:tcBorders>
            <w:shd w:val="clear" w:color="auto" w:fill="auto"/>
            <w:vAlign w:val="center"/>
            <w:hideMark/>
          </w:tcPr>
          <w:p w14:paraId="519B3C5E"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C5F"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131,40</w:t>
            </w:r>
          </w:p>
        </w:tc>
        <w:tc>
          <w:tcPr>
            <w:tcW w:w="916" w:type="dxa"/>
            <w:tcBorders>
              <w:top w:val="nil"/>
              <w:left w:val="nil"/>
              <w:bottom w:val="single" w:sz="4" w:space="0" w:color="auto"/>
              <w:right w:val="single" w:sz="4" w:space="0" w:color="auto"/>
            </w:tcBorders>
            <w:shd w:val="clear" w:color="auto" w:fill="auto"/>
            <w:vAlign w:val="center"/>
            <w:hideMark/>
          </w:tcPr>
          <w:p w14:paraId="519B3C60"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2.262,30</w:t>
            </w:r>
          </w:p>
        </w:tc>
        <w:tc>
          <w:tcPr>
            <w:tcW w:w="766" w:type="dxa"/>
            <w:tcBorders>
              <w:top w:val="nil"/>
              <w:left w:val="nil"/>
              <w:bottom w:val="single" w:sz="4" w:space="0" w:color="auto"/>
              <w:right w:val="single" w:sz="4" w:space="0" w:color="auto"/>
            </w:tcBorders>
            <w:shd w:val="clear" w:color="auto" w:fill="auto"/>
            <w:vAlign w:val="center"/>
            <w:hideMark/>
          </w:tcPr>
          <w:p w14:paraId="519B3C61"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100,00</w:t>
            </w:r>
          </w:p>
        </w:tc>
        <w:tc>
          <w:tcPr>
            <w:tcW w:w="686" w:type="dxa"/>
            <w:tcBorders>
              <w:top w:val="nil"/>
              <w:left w:val="nil"/>
              <w:bottom w:val="single" w:sz="4" w:space="0" w:color="auto"/>
              <w:right w:val="single" w:sz="4" w:space="0" w:color="auto"/>
            </w:tcBorders>
            <w:shd w:val="clear" w:color="auto" w:fill="auto"/>
            <w:vAlign w:val="center"/>
            <w:hideMark/>
          </w:tcPr>
          <w:p w14:paraId="519B3C62"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95,91</w:t>
            </w:r>
          </w:p>
        </w:tc>
        <w:tc>
          <w:tcPr>
            <w:tcW w:w="1016" w:type="dxa"/>
            <w:tcBorders>
              <w:top w:val="nil"/>
              <w:left w:val="nil"/>
              <w:bottom w:val="single" w:sz="4" w:space="0" w:color="auto"/>
              <w:right w:val="single" w:sz="4" w:space="0" w:color="auto"/>
            </w:tcBorders>
            <w:shd w:val="clear" w:color="auto" w:fill="auto"/>
            <w:vAlign w:val="center"/>
            <w:hideMark/>
          </w:tcPr>
          <w:p w14:paraId="519B3C63"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2.826,93</w:t>
            </w:r>
          </w:p>
        </w:tc>
        <w:tc>
          <w:tcPr>
            <w:tcW w:w="766" w:type="dxa"/>
            <w:tcBorders>
              <w:top w:val="nil"/>
              <w:left w:val="nil"/>
              <w:bottom w:val="single" w:sz="4" w:space="0" w:color="auto"/>
              <w:right w:val="nil"/>
            </w:tcBorders>
            <w:shd w:val="clear" w:color="auto" w:fill="auto"/>
            <w:vAlign w:val="center"/>
            <w:hideMark/>
          </w:tcPr>
          <w:p w14:paraId="519B3C64"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100,00</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65"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6.689,79</w:t>
            </w:r>
          </w:p>
        </w:tc>
        <w:tc>
          <w:tcPr>
            <w:tcW w:w="766" w:type="dxa"/>
            <w:tcBorders>
              <w:top w:val="nil"/>
              <w:left w:val="nil"/>
              <w:bottom w:val="single" w:sz="4" w:space="0" w:color="auto"/>
              <w:right w:val="single" w:sz="4" w:space="0" w:color="auto"/>
            </w:tcBorders>
            <w:shd w:val="clear" w:color="auto" w:fill="auto"/>
            <w:vAlign w:val="center"/>
            <w:hideMark/>
          </w:tcPr>
          <w:p w14:paraId="519B3C66"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C67"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128,65</w:t>
            </w:r>
          </w:p>
        </w:tc>
        <w:tc>
          <w:tcPr>
            <w:tcW w:w="916" w:type="dxa"/>
            <w:tcBorders>
              <w:top w:val="nil"/>
              <w:left w:val="nil"/>
              <w:bottom w:val="single" w:sz="4" w:space="0" w:color="auto"/>
              <w:right w:val="single" w:sz="4" w:space="0" w:color="auto"/>
            </w:tcBorders>
            <w:shd w:val="clear" w:color="auto" w:fill="auto"/>
            <w:vAlign w:val="center"/>
            <w:hideMark/>
          </w:tcPr>
          <w:p w14:paraId="519B3C68"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3.973,21</w:t>
            </w:r>
          </w:p>
        </w:tc>
        <w:tc>
          <w:tcPr>
            <w:tcW w:w="766" w:type="dxa"/>
            <w:tcBorders>
              <w:top w:val="nil"/>
              <w:left w:val="nil"/>
              <w:bottom w:val="single" w:sz="4" w:space="0" w:color="auto"/>
              <w:right w:val="single" w:sz="4" w:space="0" w:color="auto"/>
            </w:tcBorders>
            <w:shd w:val="clear" w:color="auto" w:fill="auto"/>
            <w:vAlign w:val="center"/>
            <w:hideMark/>
          </w:tcPr>
          <w:p w14:paraId="519B3C69"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100,00</w:t>
            </w:r>
          </w:p>
        </w:tc>
        <w:tc>
          <w:tcPr>
            <w:tcW w:w="766" w:type="dxa"/>
            <w:tcBorders>
              <w:top w:val="nil"/>
              <w:left w:val="nil"/>
              <w:bottom w:val="single" w:sz="4" w:space="0" w:color="auto"/>
              <w:right w:val="single" w:sz="4" w:space="0" w:color="auto"/>
            </w:tcBorders>
            <w:shd w:val="clear" w:color="auto" w:fill="auto"/>
            <w:vAlign w:val="center"/>
            <w:hideMark/>
          </w:tcPr>
          <w:p w14:paraId="519B3C6A"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103,30</w:t>
            </w:r>
          </w:p>
        </w:tc>
        <w:tc>
          <w:tcPr>
            <w:tcW w:w="1021" w:type="dxa"/>
            <w:tcBorders>
              <w:top w:val="nil"/>
              <w:left w:val="nil"/>
              <w:bottom w:val="single" w:sz="4" w:space="0" w:color="auto"/>
              <w:right w:val="single" w:sz="4" w:space="0" w:color="auto"/>
            </w:tcBorders>
            <w:shd w:val="clear" w:color="auto" w:fill="auto"/>
            <w:vAlign w:val="center"/>
            <w:hideMark/>
          </w:tcPr>
          <w:p w14:paraId="519B3C6B"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2.716,58</w:t>
            </w:r>
          </w:p>
        </w:tc>
      </w:tr>
      <w:tr w:rsidR="00B36C28" w:rsidRPr="008E63BB" w14:paraId="519B3C7E"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6D"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I</w:t>
            </w:r>
          </w:p>
        </w:tc>
        <w:tc>
          <w:tcPr>
            <w:tcW w:w="2972" w:type="dxa"/>
            <w:tcBorders>
              <w:top w:val="nil"/>
              <w:left w:val="nil"/>
              <w:bottom w:val="single" w:sz="4" w:space="0" w:color="auto"/>
              <w:right w:val="single" w:sz="4" w:space="0" w:color="auto"/>
            </w:tcBorders>
            <w:shd w:val="clear" w:color="auto" w:fill="auto"/>
            <w:vAlign w:val="center"/>
            <w:hideMark/>
          </w:tcPr>
          <w:p w14:paraId="519B3C6E"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Đất dân dụng</w:t>
            </w:r>
          </w:p>
        </w:tc>
        <w:tc>
          <w:tcPr>
            <w:tcW w:w="1016" w:type="dxa"/>
            <w:tcBorders>
              <w:top w:val="nil"/>
              <w:left w:val="nil"/>
              <w:bottom w:val="single" w:sz="4" w:space="0" w:color="auto"/>
              <w:right w:val="single" w:sz="4" w:space="0" w:color="auto"/>
            </w:tcBorders>
            <w:shd w:val="clear" w:color="auto" w:fill="auto"/>
            <w:vAlign w:val="center"/>
            <w:hideMark/>
          </w:tcPr>
          <w:p w14:paraId="519B3C6F"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3.630,07</w:t>
            </w:r>
          </w:p>
        </w:tc>
        <w:tc>
          <w:tcPr>
            <w:tcW w:w="766" w:type="dxa"/>
            <w:tcBorders>
              <w:top w:val="nil"/>
              <w:left w:val="nil"/>
              <w:bottom w:val="single" w:sz="4" w:space="0" w:color="auto"/>
              <w:right w:val="single" w:sz="4" w:space="0" w:color="auto"/>
            </w:tcBorders>
            <w:shd w:val="clear" w:color="auto" w:fill="auto"/>
            <w:vAlign w:val="center"/>
            <w:hideMark/>
          </w:tcPr>
          <w:p w14:paraId="519B3C70"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71,33</w:t>
            </w:r>
          </w:p>
        </w:tc>
        <w:tc>
          <w:tcPr>
            <w:tcW w:w="766" w:type="dxa"/>
            <w:tcBorders>
              <w:top w:val="nil"/>
              <w:left w:val="nil"/>
              <w:bottom w:val="single" w:sz="4" w:space="0" w:color="auto"/>
              <w:right w:val="single" w:sz="4" w:space="0" w:color="auto"/>
            </w:tcBorders>
            <w:shd w:val="clear" w:color="auto" w:fill="auto"/>
            <w:vAlign w:val="center"/>
            <w:hideMark/>
          </w:tcPr>
          <w:p w14:paraId="519B3C71"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93,73</w:t>
            </w:r>
          </w:p>
        </w:tc>
        <w:tc>
          <w:tcPr>
            <w:tcW w:w="916" w:type="dxa"/>
            <w:tcBorders>
              <w:top w:val="nil"/>
              <w:left w:val="nil"/>
              <w:bottom w:val="single" w:sz="4" w:space="0" w:color="auto"/>
              <w:right w:val="single" w:sz="4" w:space="0" w:color="auto"/>
            </w:tcBorders>
            <w:shd w:val="clear" w:color="auto" w:fill="auto"/>
            <w:vAlign w:val="center"/>
            <w:hideMark/>
          </w:tcPr>
          <w:p w14:paraId="519B3C72"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1.385,63</w:t>
            </w:r>
          </w:p>
        </w:tc>
        <w:tc>
          <w:tcPr>
            <w:tcW w:w="766" w:type="dxa"/>
            <w:tcBorders>
              <w:top w:val="nil"/>
              <w:left w:val="nil"/>
              <w:bottom w:val="single" w:sz="4" w:space="0" w:color="auto"/>
              <w:right w:val="single" w:sz="4" w:space="0" w:color="auto"/>
            </w:tcBorders>
            <w:shd w:val="clear" w:color="auto" w:fill="auto"/>
            <w:vAlign w:val="center"/>
            <w:hideMark/>
          </w:tcPr>
          <w:p w14:paraId="519B3C73"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63,61</w:t>
            </w:r>
          </w:p>
        </w:tc>
        <w:tc>
          <w:tcPr>
            <w:tcW w:w="686" w:type="dxa"/>
            <w:tcBorders>
              <w:top w:val="nil"/>
              <w:left w:val="nil"/>
              <w:bottom w:val="single" w:sz="4" w:space="0" w:color="auto"/>
              <w:right w:val="single" w:sz="4" w:space="0" w:color="auto"/>
            </w:tcBorders>
            <w:shd w:val="clear" w:color="auto" w:fill="auto"/>
            <w:vAlign w:val="center"/>
            <w:hideMark/>
          </w:tcPr>
          <w:p w14:paraId="519B3C74"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58,74</w:t>
            </w:r>
          </w:p>
        </w:tc>
        <w:tc>
          <w:tcPr>
            <w:tcW w:w="1016" w:type="dxa"/>
            <w:tcBorders>
              <w:top w:val="nil"/>
              <w:left w:val="nil"/>
              <w:bottom w:val="single" w:sz="4" w:space="0" w:color="auto"/>
              <w:right w:val="single" w:sz="4" w:space="0" w:color="auto"/>
            </w:tcBorders>
            <w:shd w:val="clear" w:color="auto" w:fill="auto"/>
            <w:vAlign w:val="center"/>
            <w:hideMark/>
          </w:tcPr>
          <w:p w14:paraId="519B3C75"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2.244,44</w:t>
            </w:r>
          </w:p>
        </w:tc>
        <w:tc>
          <w:tcPr>
            <w:tcW w:w="766" w:type="dxa"/>
            <w:tcBorders>
              <w:top w:val="nil"/>
              <w:left w:val="nil"/>
              <w:bottom w:val="single" w:sz="4" w:space="0" w:color="auto"/>
              <w:right w:val="nil"/>
            </w:tcBorders>
            <w:shd w:val="clear" w:color="auto" w:fill="auto"/>
            <w:vAlign w:val="center"/>
            <w:hideMark/>
          </w:tcPr>
          <w:p w14:paraId="519B3C76"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79,30</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77"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4.345,03</w:t>
            </w:r>
          </w:p>
        </w:tc>
        <w:tc>
          <w:tcPr>
            <w:tcW w:w="766" w:type="dxa"/>
            <w:tcBorders>
              <w:top w:val="nil"/>
              <w:left w:val="nil"/>
              <w:bottom w:val="single" w:sz="4" w:space="0" w:color="auto"/>
              <w:right w:val="single" w:sz="4" w:space="0" w:color="auto"/>
            </w:tcBorders>
            <w:shd w:val="clear" w:color="auto" w:fill="auto"/>
            <w:vAlign w:val="center"/>
            <w:hideMark/>
          </w:tcPr>
          <w:p w14:paraId="519B3C78"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64,95</w:t>
            </w:r>
          </w:p>
        </w:tc>
        <w:tc>
          <w:tcPr>
            <w:tcW w:w="766" w:type="dxa"/>
            <w:tcBorders>
              <w:top w:val="nil"/>
              <w:left w:val="nil"/>
              <w:bottom w:val="single" w:sz="4" w:space="0" w:color="auto"/>
              <w:right w:val="single" w:sz="4" w:space="0" w:color="auto"/>
            </w:tcBorders>
            <w:shd w:val="clear" w:color="auto" w:fill="auto"/>
            <w:vAlign w:val="center"/>
            <w:hideMark/>
          </w:tcPr>
          <w:p w14:paraId="519B3C79"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83,56</w:t>
            </w:r>
          </w:p>
        </w:tc>
        <w:tc>
          <w:tcPr>
            <w:tcW w:w="916" w:type="dxa"/>
            <w:tcBorders>
              <w:top w:val="nil"/>
              <w:left w:val="nil"/>
              <w:bottom w:val="single" w:sz="4" w:space="0" w:color="auto"/>
              <w:right w:val="single" w:sz="4" w:space="0" w:color="auto"/>
            </w:tcBorders>
            <w:shd w:val="clear" w:color="auto" w:fill="auto"/>
            <w:vAlign w:val="center"/>
            <w:hideMark/>
          </w:tcPr>
          <w:p w14:paraId="519B3C7A"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2.378,62</w:t>
            </w:r>
          </w:p>
        </w:tc>
        <w:tc>
          <w:tcPr>
            <w:tcW w:w="766" w:type="dxa"/>
            <w:tcBorders>
              <w:top w:val="nil"/>
              <w:left w:val="nil"/>
              <w:bottom w:val="single" w:sz="4" w:space="0" w:color="auto"/>
              <w:right w:val="single" w:sz="4" w:space="0" w:color="auto"/>
            </w:tcBorders>
            <w:shd w:val="clear" w:color="auto" w:fill="auto"/>
            <w:vAlign w:val="center"/>
            <w:hideMark/>
          </w:tcPr>
          <w:p w14:paraId="519B3C7B"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59,87</w:t>
            </w:r>
          </w:p>
        </w:tc>
        <w:tc>
          <w:tcPr>
            <w:tcW w:w="766" w:type="dxa"/>
            <w:tcBorders>
              <w:top w:val="nil"/>
              <w:left w:val="nil"/>
              <w:bottom w:val="single" w:sz="4" w:space="0" w:color="auto"/>
              <w:right w:val="single" w:sz="4" w:space="0" w:color="auto"/>
            </w:tcBorders>
            <w:shd w:val="clear" w:color="auto" w:fill="auto"/>
            <w:vAlign w:val="center"/>
            <w:hideMark/>
          </w:tcPr>
          <w:p w14:paraId="519B3C7C"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61,84</w:t>
            </w:r>
          </w:p>
        </w:tc>
        <w:tc>
          <w:tcPr>
            <w:tcW w:w="1021" w:type="dxa"/>
            <w:tcBorders>
              <w:top w:val="nil"/>
              <w:left w:val="nil"/>
              <w:bottom w:val="single" w:sz="4" w:space="0" w:color="auto"/>
              <w:right w:val="single" w:sz="4" w:space="0" w:color="auto"/>
            </w:tcBorders>
            <w:shd w:val="clear" w:color="auto" w:fill="auto"/>
            <w:vAlign w:val="center"/>
            <w:hideMark/>
          </w:tcPr>
          <w:p w14:paraId="519B3C7D"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1.966,41</w:t>
            </w:r>
          </w:p>
        </w:tc>
      </w:tr>
      <w:tr w:rsidR="00B36C28" w:rsidRPr="008E63BB" w14:paraId="519B3C90"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7F" w14:textId="77777777" w:rsidR="00B36C28" w:rsidRPr="008E63BB" w:rsidRDefault="00B36C28" w:rsidP="00B36C28">
            <w:pPr>
              <w:jc w:val="center"/>
              <w:rPr>
                <w:rFonts w:eastAsia="Times New Roman"/>
                <w:sz w:val="20"/>
                <w:szCs w:val="20"/>
              </w:rPr>
            </w:pPr>
            <w:r w:rsidRPr="008E63BB">
              <w:rPr>
                <w:rFonts w:eastAsia="Times New Roman"/>
                <w:sz w:val="20"/>
                <w:szCs w:val="20"/>
              </w:rPr>
              <w:t>1</w:t>
            </w:r>
          </w:p>
        </w:tc>
        <w:tc>
          <w:tcPr>
            <w:tcW w:w="2972" w:type="dxa"/>
            <w:tcBorders>
              <w:top w:val="nil"/>
              <w:left w:val="nil"/>
              <w:bottom w:val="single" w:sz="4" w:space="0" w:color="auto"/>
              <w:right w:val="single" w:sz="4" w:space="0" w:color="auto"/>
            </w:tcBorders>
            <w:shd w:val="clear" w:color="auto" w:fill="auto"/>
            <w:vAlign w:val="center"/>
            <w:hideMark/>
          </w:tcPr>
          <w:p w14:paraId="519B3C80" w14:textId="77777777" w:rsidR="00B36C28" w:rsidRPr="008E63BB" w:rsidRDefault="00B36C28" w:rsidP="00B36C28">
            <w:pPr>
              <w:jc w:val="left"/>
              <w:rPr>
                <w:rFonts w:eastAsia="Times New Roman"/>
                <w:sz w:val="20"/>
                <w:szCs w:val="20"/>
              </w:rPr>
            </w:pPr>
            <w:r w:rsidRPr="008E63BB">
              <w:rPr>
                <w:rFonts w:eastAsia="Times New Roman"/>
                <w:sz w:val="20"/>
                <w:szCs w:val="20"/>
              </w:rPr>
              <w:t>Đất đơn vị ở</w:t>
            </w:r>
          </w:p>
        </w:tc>
        <w:tc>
          <w:tcPr>
            <w:tcW w:w="1016" w:type="dxa"/>
            <w:tcBorders>
              <w:top w:val="nil"/>
              <w:left w:val="nil"/>
              <w:bottom w:val="single" w:sz="4" w:space="0" w:color="auto"/>
              <w:right w:val="single" w:sz="4" w:space="0" w:color="auto"/>
            </w:tcBorders>
            <w:shd w:val="clear" w:color="auto" w:fill="auto"/>
            <w:vAlign w:val="center"/>
            <w:hideMark/>
          </w:tcPr>
          <w:p w14:paraId="519B3C81" w14:textId="77777777" w:rsidR="00B36C28" w:rsidRPr="008E63BB" w:rsidRDefault="00B36C28" w:rsidP="00B36C28">
            <w:pPr>
              <w:jc w:val="right"/>
              <w:rPr>
                <w:rFonts w:eastAsia="Times New Roman"/>
                <w:sz w:val="20"/>
                <w:szCs w:val="20"/>
              </w:rPr>
            </w:pPr>
            <w:r w:rsidRPr="008E63BB">
              <w:rPr>
                <w:rFonts w:eastAsia="Times New Roman"/>
                <w:sz w:val="20"/>
                <w:szCs w:val="20"/>
              </w:rPr>
              <w:t>2.035,85</w:t>
            </w:r>
          </w:p>
        </w:tc>
        <w:tc>
          <w:tcPr>
            <w:tcW w:w="766" w:type="dxa"/>
            <w:tcBorders>
              <w:top w:val="nil"/>
              <w:left w:val="nil"/>
              <w:bottom w:val="single" w:sz="4" w:space="0" w:color="auto"/>
              <w:right w:val="single" w:sz="4" w:space="0" w:color="auto"/>
            </w:tcBorders>
            <w:shd w:val="clear" w:color="auto" w:fill="auto"/>
            <w:vAlign w:val="center"/>
            <w:hideMark/>
          </w:tcPr>
          <w:p w14:paraId="519B3C82" w14:textId="77777777" w:rsidR="00B36C28" w:rsidRPr="008E63BB" w:rsidRDefault="00B36C28" w:rsidP="00B36C28">
            <w:pPr>
              <w:jc w:val="right"/>
              <w:rPr>
                <w:rFonts w:eastAsia="Times New Roman"/>
                <w:sz w:val="20"/>
                <w:szCs w:val="20"/>
              </w:rPr>
            </w:pPr>
            <w:r w:rsidRPr="008E63BB">
              <w:rPr>
                <w:rFonts w:eastAsia="Times New Roman"/>
                <w:sz w:val="20"/>
                <w:szCs w:val="20"/>
              </w:rPr>
              <w:t>40,00</w:t>
            </w:r>
          </w:p>
        </w:tc>
        <w:tc>
          <w:tcPr>
            <w:tcW w:w="766" w:type="dxa"/>
            <w:tcBorders>
              <w:top w:val="nil"/>
              <w:left w:val="nil"/>
              <w:bottom w:val="single" w:sz="4" w:space="0" w:color="auto"/>
              <w:right w:val="single" w:sz="4" w:space="0" w:color="auto"/>
            </w:tcBorders>
            <w:shd w:val="clear" w:color="auto" w:fill="auto"/>
            <w:vAlign w:val="center"/>
            <w:hideMark/>
          </w:tcPr>
          <w:p w14:paraId="519B3C83" w14:textId="77777777" w:rsidR="00B36C28" w:rsidRPr="008E63BB" w:rsidRDefault="00B36C28" w:rsidP="00B36C28">
            <w:pPr>
              <w:jc w:val="right"/>
              <w:rPr>
                <w:rFonts w:eastAsia="Times New Roman"/>
                <w:sz w:val="20"/>
                <w:szCs w:val="20"/>
              </w:rPr>
            </w:pPr>
            <w:r w:rsidRPr="008E63BB">
              <w:rPr>
                <w:rFonts w:eastAsia="Times New Roman"/>
                <w:sz w:val="20"/>
                <w:szCs w:val="20"/>
              </w:rPr>
              <w:t>52,57</w:t>
            </w:r>
          </w:p>
        </w:tc>
        <w:tc>
          <w:tcPr>
            <w:tcW w:w="916" w:type="dxa"/>
            <w:tcBorders>
              <w:top w:val="nil"/>
              <w:left w:val="nil"/>
              <w:bottom w:val="single" w:sz="4" w:space="0" w:color="auto"/>
              <w:right w:val="single" w:sz="4" w:space="0" w:color="auto"/>
            </w:tcBorders>
            <w:shd w:val="clear" w:color="auto" w:fill="auto"/>
            <w:vAlign w:val="center"/>
            <w:hideMark/>
          </w:tcPr>
          <w:p w14:paraId="519B3C84" w14:textId="77777777" w:rsidR="00B36C28" w:rsidRPr="008E63BB" w:rsidRDefault="00B36C28" w:rsidP="00B36C28">
            <w:pPr>
              <w:jc w:val="right"/>
              <w:rPr>
                <w:rFonts w:eastAsia="Times New Roman"/>
                <w:sz w:val="20"/>
                <w:szCs w:val="20"/>
              </w:rPr>
            </w:pPr>
            <w:r w:rsidRPr="008E63BB">
              <w:rPr>
                <w:rFonts w:eastAsia="Times New Roman"/>
                <w:sz w:val="20"/>
                <w:szCs w:val="20"/>
              </w:rPr>
              <w:t>871,45</w:t>
            </w:r>
          </w:p>
        </w:tc>
        <w:tc>
          <w:tcPr>
            <w:tcW w:w="766" w:type="dxa"/>
            <w:tcBorders>
              <w:top w:val="nil"/>
              <w:left w:val="nil"/>
              <w:bottom w:val="single" w:sz="4" w:space="0" w:color="auto"/>
              <w:right w:val="single" w:sz="4" w:space="0" w:color="auto"/>
            </w:tcBorders>
            <w:shd w:val="clear" w:color="auto" w:fill="auto"/>
            <w:vAlign w:val="center"/>
            <w:hideMark/>
          </w:tcPr>
          <w:p w14:paraId="519B3C85" w14:textId="77777777" w:rsidR="00B36C28" w:rsidRPr="008E63BB" w:rsidRDefault="00B36C28" w:rsidP="00B36C28">
            <w:pPr>
              <w:jc w:val="right"/>
              <w:rPr>
                <w:rFonts w:eastAsia="Times New Roman"/>
                <w:sz w:val="20"/>
                <w:szCs w:val="20"/>
              </w:rPr>
            </w:pPr>
            <w:r w:rsidRPr="008E63BB">
              <w:rPr>
                <w:rFonts w:eastAsia="Times New Roman"/>
                <w:sz w:val="20"/>
                <w:szCs w:val="20"/>
              </w:rPr>
              <w:t>33,66</w:t>
            </w:r>
          </w:p>
        </w:tc>
        <w:tc>
          <w:tcPr>
            <w:tcW w:w="686" w:type="dxa"/>
            <w:tcBorders>
              <w:top w:val="nil"/>
              <w:left w:val="nil"/>
              <w:bottom w:val="single" w:sz="4" w:space="0" w:color="auto"/>
              <w:right w:val="single" w:sz="4" w:space="0" w:color="auto"/>
            </w:tcBorders>
            <w:shd w:val="clear" w:color="auto" w:fill="auto"/>
            <w:vAlign w:val="center"/>
            <w:hideMark/>
          </w:tcPr>
          <w:p w14:paraId="519B3C86" w14:textId="77777777" w:rsidR="00B36C28" w:rsidRPr="008E63BB" w:rsidRDefault="00B36C28" w:rsidP="00B36C28">
            <w:pPr>
              <w:jc w:val="right"/>
              <w:rPr>
                <w:rFonts w:eastAsia="Times New Roman"/>
                <w:sz w:val="20"/>
                <w:szCs w:val="20"/>
              </w:rPr>
            </w:pPr>
            <w:r w:rsidRPr="008E63BB">
              <w:rPr>
                <w:rFonts w:eastAsia="Times New Roman"/>
                <w:sz w:val="20"/>
                <w:szCs w:val="20"/>
              </w:rPr>
              <w:t>36,94</w:t>
            </w:r>
          </w:p>
        </w:tc>
        <w:tc>
          <w:tcPr>
            <w:tcW w:w="1016" w:type="dxa"/>
            <w:tcBorders>
              <w:top w:val="nil"/>
              <w:left w:val="nil"/>
              <w:bottom w:val="single" w:sz="4" w:space="0" w:color="auto"/>
              <w:right w:val="single" w:sz="4" w:space="0" w:color="auto"/>
            </w:tcBorders>
            <w:shd w:val="clear" w:color="auto" w:fill="auto"/>
            <w:vAlign w:val="center"/>
            <w:hideMark/>
          </w:tcPr>
          <w:p w14:paraId="519B3C87" w14:textId="77777777" w:rsidR="00B36C28" w:rsidRPr="008E63BB" w:rsidRDefault="00B36C28" w:rsidP="00B36C28">
            <w:pPr>
              <w:jc w:val="right"/>
              <w:rPr>
                <w:rFonts w:eastAsia="Times New Roman"/>
                <w:sz w:val="20"/>
                <w:szCs w:val="20"/>
              </w:rPr>
            </w:pPr>
            <w:r w:rsidRPr="008E63BB">
              <w:rPr>
                <w:rFonts w:eastAsia="Times New Roman"/>
                <w:sz w:val="20"/>
                <w:szCs w:val="20"/>
              </w:rPr>
              <w:t>1.164,40</w:t>
            </w:r>
          </w:p>
        </w:tc>
        <w:tc>
          <w:tcPr>
            <w:tcW w:w="766" w:type="dxa"/>
            <w:tcBorders>
              <w:top w:val="nil"/>
              <w:left w:val="nil"/>
              <w:bottom w:val="single" w:sz="4" w:space="0" w:color="auto"/>
              <w:right w:val="nil"/>
            </w:tcBorders>
            <w:shd w:val="clear" w:color="auto" w:fill="auto"/>
            <w:vAlign w:val="center"/>
            <w:hideMark/>
          </w:tcPr>
          <w:p w14:paraId="519B3C88" w14:textId="77777777" w:rsidR="00B36C28" w:rsidRPr="008E63BB" w:rsidRDefault="00B36C28" w:rsidP="00B36C28">
            <w:pPr>
              <w:jc w:val="right"/>
              <w:rPr>
                <w:rFonts w:eastAsia="Times New Roman"/>
                <w:sz w:val="20"/>
                <w:szCs w:val="20"/>
              </w:rPr>
            </w:pPr>
            <w:r w:rsidRPr="008E63BB">
              <w:rPr>
                <w:rFonts w:eastAsia="Times New Roman"/>
                <w:sz w:val="20"/>
                <w:szCs w:val="20"/>
              </w:rPr>
              <w:t>37,17</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89" w14:textId="77777777" w:rsidR="00B36C28" w:rsidRPr="008E63BB" w:rsidRDefault="00B36C28" w:rsidP="00B36C28">
            <w:pPr>
              <w:jc w:val="right"/>
              <w:rPr>
                <w:rFonts w:eastAsia="Times New Roman"/>
                <w:sz w:val="20"/>
                <w:szCs w:val="20"/>
              </w:rPr>
            </w:pPr>
            <w:r w:rsidRPr="008E63BB">
              <w:rPr>
                <w:rFonts w:eastAsia="Times New Roman"/>
                <w:sz w:val="20"/>
                <w:szCs w:val="20"/>
              </w:rPr>
              <w:t>2.338,03</w:t>
            </w:r>
          </w:p>
        </w:tc>
        <w:tc>
          <w:tcPr>
            <w:tcW w:w="766" w:type="dxa"/>
            <w:tcBorders>
              <w:top w:val="nil"/>
              <w:left w:val="nil"/>
              <w:bottom w:val="single" w:sz="4" w:space="0" w:color="auto"/>
              <w:right w:val="single" w:sz="4" w:space="0" w:color="auto"/>
            </w:tcBorders>
            <w:shd w:val="clear" w:color="auto" w:fill="auto"/>
            <w:vAlign w:val="center"/>
            <w:hideMark/>
          </w:tcPr>
          <w:p w14:paraId="519B3C8A" w14:textId="77777777" w:rsidR="00B36C28" w:rsidRPr="008E63BB" w:rsidRDefault="00B36C28" w:rsidP="00B36C28">
            <w:pPr>
              <w:jc w:val="right"/>
              <w:rPr>
                <w:rFonts w:eastAsia="Times New Roman"/>
                <w:sz w:val="20"/>
                <w:szCs w:val="20"/>
              </w:rPr>
            </w:pPr>
            <w:r w:rsidRPr="008E63BB">
              <w:rPr>
                <w:rFonts w:eastAsia="Times New Roman"/>
                <w:sz w:val="20"/>
                <w:szCs w:val="20"/>
              </w:rPr>
              <w:t>34,95</w:t>
            </w:r>
          </w:p>
        </w:tc>
        <w:tc>
          <w:tcPr>
            <w:tcW w:w="766" w:type="dxa"/>
            <w:tcBorders>
              <w:top w:val="nil"/>
              <w:left w:val="nil"/>
              <w:bottom w:val="single" w:sz="4" w:space="0" w:color="auto"/>
              <w:right w:val="single" w:sz="4" w:space="0" w:color="auto"/>
            </w:tcBorders>
            <w:shd w:val="clear" w:color="auto" w:fill="auto"/>
            <w:vAlign w:val="center"/>
            <w:hideMark/>
          </w:tcPr>
          <w:p w14:paraId="519B3C8B" w14:textId="77777777" w:rsidR="00B36C28" w:rsidRPr="008E63BB" w:rsidRDefault="00B36C28" w:rsidP="00B36C28">
            <w:pPr>
              <w:jc w:val="right"/>
              <w:rPr>
                <w:rFonts w:eastAsia="Times New Roman"/>
                <w:sz w:val="20"/>
                <w:szCs w:val="20"/>
              </w:rPr>
            </w:pPr>
            <w:r w:rsidRPr="008E63BB">
              <w:rPr>
                <w:rFonts w:eastAsia="Times New Roman"/>
                <w:sz w:val="20"/>
                <w:szCs w:val="20"/>
              </w:rPr>
              <w:t>44,96</w:t>
            </w:r>
          </w:p>
        </w:tc>
        <w:tc>
          <w:tcPr>
            <w:tcW w:w="916" w:type="dxa"/>
            <w:tcBorders>
              <w:top w:val="nil"/>
              <w:left w:val="nil"/>
              <w:bottom w:val="single" w:sz="4" w:space="0" w:color="auto"/>
              <w:right w:val="single" w:sz="4" w:space="0" w:color="auto"/>
            </w:tcBorders>
            <w:shd w:val="clear" w:color="auto" w:fill="auto"/>
            <w:noWrap/>
            <w:vAlign w:val="center"/>
            <w:hideMark/>
          </w:tcPr>
          <w:p w14:paraId="519B3C8C" w14:textId="77777777" w:rsidR="00B36C28" w:rsidRPr="008E63BB" w:rsidRDefault="00B36C28" w:rsidP="00B36C28">
            <w:pPr>
              <w:jc w:val="right"/>
              <w:rPr>
                <w:rFonts w:eastAsia="Times New Roman"/>
                <w:sz w:val="20"/>
                <w:szCs w:val="20"/>
              </w:rPr>
            </w:pPr>
            <w:r w:rsidRPr="008E63BB">
              <w:rPr>
                <w:rFonts w:eastAsia="Times New Roman"/>
                <w:sz w:val="20"/>
                <w:szCs w:val="20"/>
              </w:rPr>
              <w:t>1.452,61</w:t>
            </w:r>
          </w:p>
        </w:tc>
        <w:tc>
          <w:tcPr>
            <w:tcW w:w="766" w:type="dxa"/>
            <w:tcBorders>
              <w:top w:val="nil"/>
              <w:left w:val="nil"/>
              <w:bottom w:val="single" w:sz="4" w:space="0" w:color="auto"/>
              <w:right w:val="single" w:sz="4" w:space="0" w:color="auto"/>
            </w:tcBorders>
            <w:shd w:val="clear" w:color="auto" w:fill="auto"/>
            <w:vAlign w:val="center"/>
            <w:hideMark/>
          </w:tcPr>
          <w:p w14:paraId="519B3C8D" w14:textId="77777777" w:rsidR="00B36C28" w:rsidRPr="008E63BB" w:rsidRDefault="00B36C28" w:rsidP="00B36C28">
            <w:pPr>
              <w:jc w:val="right"/>
              <w:rPr>
                <w:rFonts w:eastAsia="Times New Roman"/>
                <w:sz w:val="20"/>
                <w:szCs w:val="20"/>
              </w:rPr>
            </w:pPr>
            <w:r w:rsidRPr="008E63BB">
              <w:rPr>
                <w:rFonts w:eastAsia="Times New Roman"/>
                <w:sz w:val="20"/>
                <w:szCs w:val="20"/>
              </w:rPr>
              <w:t>36,56</w:t>
            </w:r>
          </w:p>
        </w:tc>
        <w:tc>
          <w:tcPr>
            <w:tcW w:w="766" w:type="dxa"/>
            <w:tcBorders>
              <w:top w:val="nil"/>
              <w:left w:val="nil"/>
              <w:bottom w:val="single" w:sz="4" w:space="0" w:color="auto"/>
              <w:right w:val="single" w:sz="4" w:space="0" w:color="auto"/>
            </w:tcBorders>
            <w:shd w:val="clear" w:color="auto" w:fill="auto"/>
            <w:vAlign w:val="center"/>
            <w:hideMark/>
          </w:tcPr>
          <w:p w14:paraId="519B3C8E" w14:textId="77777777" w:rsidR="00B36C28" w:rsidRPr="008E63BB" w:rsidRDefault="00B36C28" w:rsidP="00B36C28">
            <w:pPr>
              <w:jc w:val="right"/>
              <w:rPr>
                <w:rFonts w:eastAsia="Times New Roman"/>
                <w:sz w:val="20"/>
                <w:szCs w:val="20"/>
              </w:rPr>
            </w:pPr>
            <w:r w:rsidRPr="008E63BB">
              <w:rPr>
                <w:rFonts w:eastAsia="Times New Roman"/>
                <w:sz w:val="20"/>
                <w:szCs w:val="20"/>
              </w:rPr>
              <w:t>37,77</w:t>
            </w:r>
          </w:p>
        </w:tc>
        <w:tc>
          <w:tcPr>
            <w:tcW w:w="1021" w:type="dxa"/>
            <w:tcBorders>
              <w:top w:val="nil"/>
              <w:left w:val="nil"/>
              <w:bottom w:val="single" w:sz="4" w:space="0" w:color="auto"/>
              <w:right w:val="single" w:sz="4" w:space="0" w:color="auto"/>
            </w:tcBorders>
            <w:shd w:val="clear" w:color="auto" w:fill="auto"/>
            <w:noWrap/>
            <w:vAlign w:val="center"/>
            <w:hideMark/>
          </w:tcPr>
          <w:p w14:paraId="519B3C8F" w14:textId="77777777" w:rsidR="00B36C28" w:rsidRPr="008E63BB" w:rsidRDefault="00B36C28" w:rsidP="00B36C28">
            <w:pPr>
              <w:jc w:val="right"/>
              <w:rPr>
                <w:rFonts w:eastAsia="Times New Roman"/>
                <w:sz w:val="20"/>
                <w:szCs w:val="20"/>
              </w:rPr>
            </w:pPr>
            <w:r w:rsidRPr="008E63BB">
              <w:rPr>
                <w:rFonts w:eastAsia="Times New Roman"/>
                <w:sz w:val="20"/>
                <w:szCs w:val="20"/>
              </w:rPr>
              <w:t>885,42</w:t>
            </w:r>
          </w:p>
        </w:tc>
      </w:tr>
      <w:tr w:rsidR="004B2B2D" w:rsidRPr="008E63BB" w14:paraId="62CD1DB3"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tcPr>
          <w:p w14:paraId="4EF1312F" w14:textId="5DB17B01" w:rsidR="004B2B2D" w:rsidRPr="008E63BB" w:rsidRDefault="004B2B2D" w:rsidP="004B2B2D">
            <w:pPr>
              <w:jc w:val="center"/>
              <w:rPr>
                <w:rFonts w:eastAsia="Times New Roman"/>
                <w:i/>
                <w:iCs/>
                <w:sz w:val="20"/>
                <w:szCs w:val="20"/>
              </w:rPr>
            </w:pPr>
            <w:r w:rsidRPr="008E63BB">
              <w:rPr>
                <w:rFonts w:eastAsia="Times New Roman"/>
                <w:i/>
                <w:iCs/>
                <w:sz w:val="20"/>
                <w:szCs w:val="20"/>
              </w:rPr>
              <w:t>-</w:t>
            </w:r>
          </w:p>
        </w:tc>
        <w:tc>
          <w:tcPr>
            <w:tcW w:w="2972" w:type="dxa"/>
            <w:tcBorders>
              <w:top w:val="nil"/>
              <w:left w:val="nil"/>
              <w:bottom w:val="single" w:sz="4" w:space="0" w:color="auto"/>
              <w:right w:val="single" w:sz="4" w:space="0" w:color="auto"/>
            </w:tcBorders>
            <w:shd w:val="clear" w:color="auto" w:fill="auto"/>
            <w:vAlign w:val="center"/>
          </w:tcPr>
          <w:p w14:paraId="15F8B2E4" w14:textId="25740132" w:rsidR="004B2B2D" w:rsidRPr="008E63BB" w:rsidRDefault="004B2B2D" w:rsidP="004B2B2D">
            <w:pPr>
              <w:jc w:val="left"/>
              <w:rPr>
                <w:rFonts w:eastAsia="Times New Roman"/>
                <w:i/>
                <w:iCs/>
                <w:sz w:val="20"/>
                <w:szCs w:val="20"/>
              </w:rPr>
            </w:pPr>
            <w:r w:rsidRPr="008E63BB">
              <w:rPr>
                <w:rFonts w:eastAsia="Times New Roman"/>
                <w:i/>
                <w:iCs/>
                <w:sz w:val="20"/>
                <w:szCs w:val="20"/>
              </w:rPr>
              <w:t>Đất ở hiện trạng + Đất ở làng xóm - làng xóm đô thị hóa</w:t>
            </w:r>
          </w:p>
        </w:tc>
        <w:tc>
          <w:tcPr>
            <w:tcW w:w="1016" w:type="dxa"/>
            <w:tcBorders>
              <w:top w:val="nil"/>
              <w:left w:val="nil"/>
              <w:bottom w:val="single" w:sz="4" w:space="0" w:color="auto"/>
              <w:right w:val="single" w:sz="4" w:space="0" w:color="auto"/>
            </w:tcBorders>
            <w:shd w:val="clear" w:color="auto" w:fill="auto"/>
            <w:vAlign w:val="center"/>
          </w:tcPr>
          <w:p w14:paraId="00F38E01" w14:textId="3E48DDC6" w:rsidR="004B2B2D" w:rsidRPr="008E63BB" w:rsidRDefault="004B2B2D" w:rsidP="004B2B2D">
            <w:pPr>
              <w:jc w:val="right"/>
              <w:rPr>
                <w:rFonts w:eastAsia="Times New Roman"/>
                <w:i/>
                <w:iCs/>
                <w:sz w:val="20"/>
                <w:szCs w:val="20"/>
              </w:rPr>
            </w:pPr>
            <w:r w:rsidRPr="008E63BB">
              <w:rPr>
                <w:rFonts w:eastAsia="Times New Roman"/>
                <w:i/>
                <w:iCs/>
                <w:sz w:val="20"/>
                <w:szCs w:val="20"/>
              </w:rPr>
              <w:t>2.035,85</w:t>
            </w:r>
          </w:p>
        </w:tc>
        <w:tc>
          <w:tcPr>
            <w:tcW w:w="766" w:type="dxa"/>
            <w:tcBorders>
              <w:top w:val="nil"/>
              <w:left w:val="nil"/>
              <w:bottom w:val="single" w:sz="4" w:space="0" w:color="auto"/>
              <w:right w:val="single" w:sz="4" w:space="0" w:color="auto"/>
            </w:tcBorders>
            <w:shd w:val="clear" w:color="auto" w:fill="auto"/>
            <w:vAlign w:val="center"/>
          </w:tcPr>
          <w:p w14:paraId="1A9B602E"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5C597CE" w14:textId="77777777" w:rsidR="004B2B2D" w:rsidRPr="008E63BB" w:rsidRDefault="004B2B2D" w:rsidP="004B2B2D">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vAlign w:val="center"/>
          </w:tcPr>
          <w:p w14:paraId="0C70C0B0" w14:textId="77777777" w:rsidR="004B2B2D" w:rsidRPr="008E63BB" w:rsidRDefault="004B2B2D" w:rsidP="004B2B2D">
            <w:pPr>
              <w:jc w:val="right"/>
              <w:rPr>
                <w:rFonts w:eastAsia="Times New Roman"/>
                <w:i/>
                <w:iCs/>
                <w:sz w:val="20"/>
                <w:szCs w:val="20"/>
              </w:rPr>
            </w:pPr>
            <w:r w:rsidRPr="008E63BB">
              <w:rPr>
                <w:rFonts w:eastAsia="Times New Roman"/>
                <w:i/>
                <w:iCs/>
                <w:sz w:val="20"/>
                <w:szCs w:val="20"/>
              </w:rPr>
              <w:t>871,45</w:t>
            </w:r>
          </w:p>
          <w:p w14:paraId="185DB00A"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D372488" w14:textId="77777777" w:rsidR="004B2B2D" w:rsidRPr="008E63BB" w:rsidRDefault="004B2B2D" w:rsidP="004B2B2D">
            <w:pPr>
              <w:jc w:val="right"/>
              <w:rPr>
                <w:rFonts w:eastAsia="Times New Roman"/>
                <w:i/>
                <w:iCs/>
                <w:sz w:val="20"/>
                <w:szCs w:val="20"/>
              </w:rPr>
            </w:pPr>
          </w:p>
        </w:tc>
        <w:tc>
          <w:tcPr>
            <w:tcW w:w="686" w:type="dxa"/>
            <w:tcBorders>
              <w:top w:val="nil"/>
              <w:left w:val="nil"/>
              <w:bottom w:val="single" w:sz="4" w:space="0" w:color="auto"/>
              <w:right w:val="single" w:sz="4" w:space="0" w:color="auto"/>
            </w:tcBorders>
            <w:shd w:val="clear" w:color="auto" w:fill="auto"/>
            <w:vAlign w:val="center"/>
          </w:tcPr>
          <w:p w14:paraId="27815863" w14:textId="77777777" w:rsidR="004B2B2D" w:rsidRPr="008E63BB" w:rsidRDefault="004B2B2D" w:rsidP="004B2B2D">
            <w:pPr>
              <w:jc w:val="right"/>
              <w:rPr>
                <w:rFonts w:eastAsia="Times New Roman"/>
                <w:i/>
                <w:iCs/>
                <w:sz w:val="20"/>
                <w:szCs w:val="20"/>
              </w:rPr>
            </w:pPr>
          </w:p>
        </w:tc>
        <w:tc>
          <w:tcPr>
            <w:tcW w:w="1016" w:type="dxa"/>
            <w:tcBorders>
              <w:top w:val="nil"/>
              <w:left w:val="nil"/>
              <w:bottom w:val="single" w:sz="4" w:space="0" w:color="auto"/>
              <w:right w:val="single" w:sz="4" w:space="0" w:color="auto"/>
            </w:tcBorders>
            <w:shd w:val="clear" w:color="auto" w:fill="auto"/>
            <w:vAlign w:val="center"/>
          </w:tcPr>
          <w:p w14:paraId="5C9CC58D" w14:textId="77777777" w:rsidR="004B2B2D" w:rsidRPr="008E63BB" w:rsidRDefault="004B2B2D" w:rsidP="004B2B2D">
            <w:pPr>
              <w:jc w:val="right"/>
              <w:rPr>
                <w:rFonts w:eastAsia="Times New Roman"/>
                <w:i/>
                <w:iCs/>
                <w:sz w:val="20"/>
                <w:szCs w:val="20"/>
              </w:rPr>
            </w:pPr>
            <w:r w:rsidRPr="008E63BB">
              <w:rPr>
                <w:rFonts w:eastAsia="Times New Roman"/>
                <w:i/>
                <w:iCs/>
                <w:sz w:val="20"/>
                <w:szCs w:val="20"/>
              </w:rPr>
              <w:t>1.164,40</w:t>
            </w:r>
          </w:p>
          <w:p w14:paraId="2828A5C8"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nil"/>
            </w:tcBorders>
            <w:shd w:val="clear" w:color="auto" w:fill="auto"/>
            <w:vAlign w:val="center"/>
          </w:tcPr>
          <w:p w14:paraId="3A6CBF00" w14:textId="2ADEF643" w:rsidR="004B2B2D" w:rsidRPr="008E63BB" w:rsidRDefault="004B2B2D" w:rsidP="004B2B2D">
            <w:pPr>
              <w:jc w:val="right"/>
              <w:rPr>
                <w:rFonts w:eastAsia="Times New Roman"/>
                <w:i/>
                <w:iCs/>
                <w:sz w:val="20"/>
                <w:szCs w:val="20"/>
              </w:rPr>
            </w:pPr>
          </w:p>
        </w:tc>
        <w:tc>
          <w:tcPr>
            <w:tcW w:w="1016" w:type="dxa"/>
            <w:tcBorders>
              <w:top w:val="nil"/>
              <w:left w:val="single" w:sz="4" w:space="0" w:color="auto"/>
              <w:bottom w:val="single" w:sz="4" w:space="0" w:color="auto"/>
              <w:right w:val="single" w:sz="4" w:space="0" w:color="auto"/>
            </w:tcBorders>
            <w:shd w:val="clear" w:color="auto" w:fill="auto"/>
            <w:vAlign w:val="center"/>
          </w:tcPr>
          <w:p w14:paraId="78E83891" w14:textId="7A206736" w:rsidR="004B2B2D" w:rsidRPr="008E63BB" w:rsidRDefault="004B2B2D" w:rsidP="004B2B2D">
            <w:pPr>
              <w:jc w:val="right"/>
              <w:rPr>
                <w:rFonts w:eastAsia="Times New Roman"/>
                <w:i/>
                <w:iCs/>
                <w:sz w:val="20"/>
                <w:szCs w:val="20"/>
              </w:rPr>
            </w:pPr>
            <w:r w:rsidRPr="008E63BB">
              <w:rPr>
                <w:rFonts w:eastAsia="Times New Roman"/>
                <w:i/>
                <w:iCs/>
                <w:sz w:val="20"/>
                <w:szCs w:val="20"/>
              </w:rPr>
              <w:t>2.035,85</w:t>
            </w:r>
          </w:p>
        </w:tc>
        <w:tc>
          <w:tcPr>
            <w:tcW w:w="766" w:type="dxa"/>
            <w:tcBorders>
              <w:top w:val="nil"/>
              <w:left w:val="nil"/>
              <w:bottom w:val="single" w:sz="4" w:space="0" w:color="auto"/>
              <w:right w:val="single" w:sz="4" w:space="0" w:color="auto"/>
            </w:tcBorders>
            <w:shd w:val="clear" w:color="auto" w:fill="auto"/>
            <w:vAlign w:val="center"/>
          </w:tcPr>
          <w:p w14:paraId="7FCEFD25"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42D278FD" w14:textId="77777777" w:rsidR="004B2B2D" w:rsidRPr="008E63BB" w:rsidRDefault="004B2B2D" w:rsidP="004B2B2D">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noWrap/>
            <w:vAlign w:val="center"/>
          </w:tcPr>
          <w:p w14:paraId="1F786831" w14:textId="3E38A604" w:rsidR="004B2B2D" w:rsidRPr="008E63BB" w:rsidRDefault="004B2B2D" w:rsidP="004B2B2D">
            <w:pPr>
              <w:jc w:val="right"/>
              <w:rPr>
                <w:rFonts w:eastAsia="Times New Roman"/>
                <w:i/>
                <w:iCs/>
                <w:sz w:val="20"/>
                <w:szCs w:val="20"/>
              </w:rPr>
            </w:pPr>
            <w:r w:rsidRPr="008E63BB">
              <w:rPr>
                <w:rFonts w:eastAsia="Times New Roman"/>
                <w:i/>
                <w:iCs/>
                <w:sz w:val="20"/>
                <w:szCs w:val="20"/>
              </w:rPr>
              <w:t>1.170,52</w:t>
            </w:r>
          </w:p>
        </w:tc>
        <w:tc>
          <w:tcPr>
            <w:tcW w:w="766" w:type="dxa"/>
            <w:tcBorders>
              <w:top w:val="nil"/>
              <w:left w:val="nil"/>
              <w:bottom w:val="single" w:sz="4" w:space="0" w:color="auto"/>
              <w:right w:val="single" w:sz="4" w:space="0" w:color="auto"/>
            </w:tcBorders>
            <w:shd w:val="clear" w:color="auto" w:fill="auto"/>
            <w:vAlign w:val="center"/>
          </w:tcPr>
          <w:p w14:paraId="6941D0F4"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1CFA007A" w14:textId="77777777" w:rsidR="004B2B2D" w:rsidRPr="008E63BB" w:rsidRDefault="004B2B2D" w:rsidP="004B2B2D">
            <w:pPr>
              <w:jc w:val="right"/>
              <w:rPr>
                <w:rFonts w:eastAsia="Times New Roman"/>
                <w:i/>
                <w:iCs/>
                <w:sz w:val="20"/>
                <w:szCs w:val="20"/>
              </w:rPr>
            </w:pPr>
          </w:p>
        </w:tc>
        <w:tc>
          <w:tcPr>
            <w:tcW w:w="1021" w:type="dxa"/>
            <w:tcBorders>
              <w:top w:val="nil"/>
              <w:left w:val="nil"/>
              <w:bottom w:val="single" w:sz="4" w:space="0" w:color="auto"/>
              <w:right w:val="single" w:sz="4" w:space="0" w:color="auto"/>
            </w:tcBorders>
            <w:shd w:val="clear" w:color="auto" w:fill="auto"/>
            <w:noWrap/>
            <w:vAlign w:val="center"/>
          </w:tcPr>
          <w:p w14:paraId="3DF10803" w14:textId="67AA6C8B" w:rsidR="004B2B2D" w:rsidRPr="008E63BB" w:rsidRDefault="004B2B2D" w:rsidP="004B2B2D">
            <w:pPr>
              <w:jc w:val="right"/>
              <w:rPr>
                <w:rFonts w:eastAsia="Times New Roman"/>
                <w:i/>
                <w:iCs/>
                <w:sz w:val="20"/>
                <w:szCs w:val="20"/>
              </w:rPr>
            </w:pPr>
            <w:r w:rsidRPr="008E63BB">
              <w:rPr>
                <w:i/>
                <w:iCs/>
                <w:sz w:val="20"/>
                <w:szCs w:val="20"/>
              </w:rPr>
              <w:t>865,33</w:t>
            </w:r>
          </w:p>
        </w:tc>
      </w:tr>
      <w:tr w:rsidR="004B2B2D" w:rsidRPr="008E63BB" w14:paraId="7E2583B2"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tcPr>
          <w:p w14:paraId="22FC19D1" w14:textId="0553931C" w:rsidR="004B2B2D" w:rsidRPr="008E63BB" w:rsidRDefault="004B2B2D" w:rsidP="004B2B2D">
            <w:pPr>
              <w:jc w:val="center"/>
              <w:rPr>
                <w:rFonts w:eastAsia="Times New Roman"/>
                <w:i/>
                <w:iCs/>
                <w:sz w:val="20"/>
                <w:szCs w:val="20"/>
              </w:rPr>
            </w:pPr>
            <w:r w:rsidRPr="008E63BB">
              <w:rPr>
                <w:rFonts w:eastAsia="Times New Roman"/>
                <w:i/>
                <w:iCs/>
                <w:sz w:val="20"/>
                <w:szCs w:val="20"/>
              </w:rPr>
              <w:t>-</w:t>
            </w:r>
          </w:p>
        </w:tc>
        <w:tc>
          <w:tcPr>
            <w:tcW w:w="2972" w:type="dxa"/>
            <w:tcBorders>
              <w:top w:val="nil"/>
              <w:left w:val="nil"/>
              <w:bottom w:val="single" w:sz="4" w:space="0" w:color="auto"/>
              <w:right w:val="single" w:sz="4" w:space="0" w:color="auto"/>
            </w:tcBorders>
            <w:shd w:val="clear" w:color="auto" w:fill="auto"/>
            <w:vAlign w:val="center"/>
          </w:tcPr>
          <w:p w14:paraId="3C77233E" w14:textId="723F4753" w:rsidR="004B2B2D" w:rsidRPr="008E63BB" w:rsidRDefault="004B2B2D" w:rsidP="004B2B2D">
            <w:pPr>
              <w:jc w:val="left"/>
              <w:rPr>
                <w:rFonts w:eastAsia="Times New Roman"/>
                <w:i/>
                <w:iCs/>
                <w:sz w:val="20"/>
                <w:szCs w:val="20"/>
              </w:rPr>
            </w:pPr>
            <w:r w:rsidRPr="008E63BB">
              <w:rPr>
                <w:rFonts w:eastAsia="Times New Roman"/>
                <w:i/>
                <w:iCs/>
                <w:sz w:val="20"/>
                <w:szCs w:val="20"/>
              </w:rPr>
              <w:t>Đất ở phát triển mới</w:t>
            </w:r>
          </w:p>
        </w:tc>
        <w:tc>
          <w:tcPr>
            <w:tcW w:w="1016" w:type="dxa"/>
            <w:tcBorders>
              <w:top w:val="nil"/>
              <w:left w:val="nil"/>
              <w:bottom w:val="single" w:sz="4" w:space="0" w:color="auto"/>
              <w:right w:val="single" w:sz="4" w:space="0" w:color="auto"/>
            </w:tcBorders>
            <w:shd w:val="clear" w:color="auto" w:fill="auto"/>
            <w:vAlign w:val="center"/>
          </w:tcPr>
          <w:p w14:paraId="418FE3D4"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482421D8"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2D332F8A" w14:textId="77777777" w:rsidR="004B2B2D" w:rsidRPr="008E63BB" w:rsidRDefault="004B2B2D" w:rsidP="004B2B2D">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vAlign w:val="center"/>
          </w:tcPr>
          <w:p w14:paraId="1FB39355"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4727E152" w14:textId="77777777" w:rsidR="004B2B2D" w:rsidRPr="008E63BB" w:rsidRDefault="004B2B2D" w:rsidP="004B2B2D">
            <w:pPr>
              <w:jc w:val="right"/>
              <w:rPr>
                <w:rFonts w:eastAsia="Times New Roman"/>
                <w:i/>
                <w:iCs/>
                <w:sz w:val="20"/>
                <w:szCs w:val="20"/>
              </w:rPr>
            </w:pPr>
          </w:p>
        </w:tc>
        <w:tc>
          <w:tcPr>
            <w:tcW w:w="686" w:type="dxa"/>
            <w:tcBorders>
              <w:top w:val="nil"/>
              <w:left w:val="nil"/>
              <w:bottom w:val="single" w:sz="4" w:space="0" w:color="auto"/>
              <w:right w:val="single" w:sz="4" w:space="0" w:color="auto"/>
            </w:tcBorders>
            <w:shd w:val="clear" w:color="auto" w:fill="auto"/>
            <w:vAlign w:val="center"/>
          </w:tcPr>
          <w:p w14:paraId="5FFBDE87" w14:textId="77777777" w:rsidR="004B2B2D" w:rsidRPr="008E63BB" w:rsidRDefault="004B2B2D" w:rsidP="004B2B2D">
            <w:pPr>
              <w:jc w:val="right"/>
              <w:rPr>
                <w:rFonts w:eastAsia="Times New Roman"/>
                <w:i/>
                <w:iCs/>
                <w:sz w:val="20"/>
                <w:szCs w:val="20"/>
              </w:rPr>
            </w:pPr>
          </w:p>
        </w:tc>
        <w:tc>
          <w:tcPr>
            <w:tcW w:w="1016" w:type="dxa"/>
            <w:tcBorders>
              <w:top w:val="nil"/>
              <w:left w:val="nil"/>
              <w:bottom w:val="single" w:sz="4" w:space="0" w:color="auto"/>
              <w:right w:val="single" w:sz="4" w:space="0" w:color="auto"/>
            </w:tcBorders>
            <w:shd w:val="clear" w:color="auto" w:fill="auto"/>
            <w:vAlign w:val="center"/>
          </w:tcPr>
          <w:p w14:paraId="5C94D5C8"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nil"/>
            </w:tcBorders>
            <w:shd w:val="clear" w:color="auto" w:fill="auto"/>
            <w:vAlign w:val="center"/>
          </w:tcPr>
          <w:p w14:paraId="54DA3358" w14:textId="469A3870" w:rsidR="004B2B2D" w:rsidRPr="008E63BB" w:rsidRDefault="004B2B2D" w:rsidP="004B2B2D">
            <w:pPr>
              <w:jc w:val="right"/>
              <w:rPr>
                <w:rFonts w:eastAsia="Times New Roman"/>
                <w:i/>
                <w:iCs/>
                <w:sz w:val="20"/>
                <w:szCs w:val="20"/>
              </w:rPr>
            </w:pPr>
          </w:p>
        </w:tc>
        <w:tc>
          <w:tcPr>
            <w:tcW w:w="1016" w:type="dxa"/>
            <w:tcBorders>
              <w:top w:val="nil"/>
              <w:left w:val="single" w:sz="4" w:space="0" w:color="auto"/>
              <w:bottom w:val="single" w:sz="4" w:space="0" w:color="auto"/>
              <w:right w:val="single" w:sz="4" w:space="0" w:color="auto"/>
            </w:tcBorders>
            <w:shd w:val="clear" w:color="auto" w:fill="auto"/>
            <w:vAlign w:val="center"/>
          </w:tcPr>
          <w:p w14:paraId="51F0A111" w14:textId="601140B4" w:rsidR="004B2B2D" w:rsidRPr="008E63BB" w:rsidRDefault="004B2B2D" w:rsidP="004B2B2D">
            <w:pPr>
              <w:jc w:val="right"/>
              <w:rPr>
                <w:rFonts w:eastAsia="Times New Roman"/>
                <w:i/>
                <w:iCs/>
                <w:sz w:val="20"/>
                <w:szCs w:val="20"/>
              </w:rPr>
            </w:pPr>
            <w:r w:rsidRPr="008E63BB">
              <w:rPr>
                <w:rFonts w:eastAsia="Times New Roman"/>
                <w:i/>
                <w:iCs/>
                <w:sz w:val="20"/>
                <w:szCs w:val="20"/>
              </w:rPr>
              <w:t>302,18</w:t>
            </w:r>
          </w:p>
        </w:tc>
        <w:tc>
          <w:tcPr>
            <w:tcW w:w="766" w:type="dxa"/>
            <w:tcBorders>
              <w:top w:val="nil"/>
              <w:left w:val="nil"/>
              <w:bottom w:val="single" w:sz="4" w:space="0" w:color="auto"/>
              <w:right w:val="single" w:sz="4" w:space="0" w:color="auto"/>
            </w:tcBorders>
            <w:shd w:val="clear" w:color="auto" w:fill="auto"/>
            <w:vAlign w:val="center"/>
          </w:tcPr>
          <w:p w14:paraId="175FEACF"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55BFD4AD" w14:textId="77777777" w:rsidR="004B2B2D" w:rsidRPr="008E63BB" w:rsidRDefault="004B2B2D" w:rsidP="004B2B2D">
            <w:pPr>
              <w:jc w:val="right"/>
              <w:rPr>
                <w:rFonts w:eastAsia="Times New Roman"/>
                <w:i/>
                <w:iCs/>
                <w:sz w:val="20"/>
                <w:szCs w:val="20"/>
              </w:rPr>
            </w:pPr>
          </w:p>
        </w:tc>
        <w:tc>
          <w:tcPr>
            <w:tcW w:w="916" w:type="dxa"/>
            <w:tcBorders>
              <w:top w:val="nil"/>
              <w:left w:val="nil"/>
              <w:bottom w:val="single" w:sz="4" w:space="0" w:color="auto"/>
              <w:right w:val="single" w:sz="4" w:space="0" w:color="auto"/>
            </w:tcBorders>
            <w:shd w:val="clear" w:color="auto" w:fill="auto"/>
            <w:noWrap/>
            <w:vAlign w:val="center"/>
          </w:tcPr>
          <w:p w14:paraId="3B4EC3A5" w14:textId="570297F0" w:rsidR="004B2B2D" w:rsidRPr="008E63BB" w:rsidRDefault="004B2B2D" w:rsidP="004B2B2D">
            <w:pPr>
              <w:jc w:val="right"/>
              <w:rPr>
                <w:rFonts w:eastAsia="Times New Roman"/>
                <w:i/>
                <w:iCs/>
                <w:sz w:val="20"/>
                <w:szCs w:val="20"/>
              </w:rPr>
            </w:pPr>
            <w:r w:rsidRPr="008E63BB">
              <w:rPr>
                <w:rFonts w:eastAsia="Times New Roman"/>
                <w:i/>
                <w:iCs/>
                <w:sz w:val="20"/>
                <w:szCs w:val="20"/>
              </w:rPr>
              <w:t>282,09</w:t>
            </w:r>
          </w:p>
        </w:tc>
        <w:tc>
          <w:tcPr>
            <w:tcW w:w="766" w:type="dxa"/>
            <w:tcBorders>
              <w:top w:val="nil"/>
              <w:left w:val="nil"/>
              <w:bottom w:val="single" w:sz="4" w:space="0" w:color="auto"/>
              <w:right w:val="single" w:sz="4" w:space="0" w:color="auto"/>
            </w:tcBorders>
            <w:shd w:val="clear" w:color="auto" w:fill="auto"/>
            <w:vAlign w:val="center"/>
          </w:tcPr>
          <w:p w14:paraId="57B45FC4" w14:textId="77777777" w:rsidR="004B2B2D" w:rsidRPr="008E63BB" w:rsidRDefault="004B2B2D" w:rsidP="004B2B2D">
            <w:pPr>
              <w:jc w:val="right"/>
              <w:rPr>
                <w:rFonts w:eastAsia="Times New Roman"/>
                <w:i/>
                <w:iCs/>
                <w:sz w:val="20"/>
                <w:szCs w:val="20"/>
              </w:rPr>
            </w:pPr>
          </w:p>
        </w:tc>
        <w:tc>
          <w:tcPr>
            <w:tcW w:w="766" w:type="dxa"/>
            <w:tcBorders>
              <w:top w:val="nil"/>
              <w:left w:val="nil"/>
              <w:bottom w:val="single" w:sz="4" w:space="0" w:color="auto"/>
              <w:right w:val="single" w:sz="4" w:space="0" w:color="auto"/>
            </w:tcBorders>
            <w:shd w:val="clear" w:color="auto" w:fill="auto"/>
            <w:vAlign w:val="center"/>
          </w:tcPr>
          <w:p w14:paraId="3DCABF57" w14:textId="77777777" w:rsidR="004B2B2D" w:rsidRPr="008E63BB" w:rsidRDefault="004B2B2D" w:rsidP="004B2B2D">
            <w:pPr>
              <w:jc w:val="right"/>
              <w:rPr>
                <w:rFonts w:eastAsia="Times New Roman"/>
                <w:i/>
                <w:iCs/>
                <w:sz w:val="20"/>
                <w:szCs w:val="20"/>
              </w:rPr>
            </w:pPr>
          </w:p>
        </w:tc>
        <w:tc>
          <w:tcPr>
            <w:tcW w:w="1021" w:type="dxa"/>
            <w:tcBorders>
              <w:top w:val="nil"/>
              <w:left w:val="nil"/>
              <w:bottom w:val="single" w:sz="4" w:space="0" w:color="auto"/>
              <w:right w:val="single" w:sz="4" w:space="0" w:color="auto"/>
            </w:tcBorders>
            <w:shd w:val="clear" w:color="auto" w:fill="auto"/>
            <w:noWrap/>
            <w:vAlign w:val="center"/>
          </w:tcPr>
          <w:p w14:paraId="261B3DFB" w14:textId="10131127" w:rsidR="004B2B2D" w:rsidRPr="008E63BB" w:rsidRDefault="004B2B2D" w:rsidP="004B2B2D">
            <w:pPr>
              <w:jc w:val="right"/>
              <w:rPr>
                <w:rFonts w:eastAsia="Times New Roman"/>
                <w:i/>
                <w:iCs/>
                <w:sz w:val="20"/>
                <w:szCs w:val="20"/>
              </w:rPr>
            </w:pPr>
            <w:r w:rsidRPr="008E63BB">
              <w:rPr>
                <w:i/>
                <w:iCs/>
                <w:sz w:val="20"/>
                <w:szCs w:val="20"/>
              </w:rPr>
              <w:t>20,10</w:t>
            </w:r>
          </w:p>
        </w:tc>
      </w:tr>
      <w:tr w:rsidR="00B36C28" w:rsidRPr="008E63BB" w14:paraId="519B3CA2"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91" w14:textId="77777777" w:rsidR="00B36C28" w:rsidRPr="008E63BB" w:rsidRDefault="00B36C28" w:rsidP="00B36C28">
            <w:pPr>
              <w:jc w:val="center"/>
              <w:rPr>
                <w:rFonts w:eastAsia="Times New Roman"/>
                <w:sz w:val="20"/>
                <w:szCs w:val="20"/>
              </w:rPr>
            </w:pPr>
            <w:r w:rsidRPr="008E63BB">
              <w:rPr>
                <w:rFonts w:eastAsia="Times New Roman"/>
                <w:sz w:val="20"/>
                <w:szCs w:val="20"/>
              </w:rPr>
              <w:t>2</w:t>
            </w:r>
          </w:p>
        </w:tc>
        <w:tc>
          <w:tcPr>
            <w:tcW w:w="2972" w:type="dxa"/>
            <w:tcBorders>
              <w:top w:val="nil"/>
              <w:left w:val="nil"/>
              <w:bottom w:val="single" w:sz="4" w:space="0" w:color="auto"/>
              <w:right w:val="single" w:sz="4" w:space="0" w:color="auto"/>
            </w:tcBorders>
            <w:shd w:val="clear" w:color="auto" w:fill="auto"/>
            <w:vAlign w:val="center"/>
            <w:hideMark/>
          </w:tcPr>
          <w:p w14:paraId="519B3C92" w14:textId="77777777" w:rsidR="00B36C28" w:rsidRPr="008E63BB" w:rsidRDefault="00B36C28" w:rsidP="00B36C28">
            <w:pPr>
              <w:jc w:val="left"/>
              <w:rPr>
                <w:rFonts w:eastAsia="Times New Roman"/>
                <w:sz w:val="20"/>
                <w:szCs w:val="20"/>
              </w:rPr>
            </w:pPr>
            <w:r w:rsidRPr="008E63BB">
              <w:rPr>
                <w:rFonts w:eastAsia="Times New Roman"/>
                <w:sz w:val="20"/>
                <w:szCs w:val="20"/>
              </w:rPr>
              <w:t>Đất công trình dịch vụ - công cộng đô thị</w:t>
            </w:r>
          </w:p>
        </w:tc>
        <w:tc>
          <w:tcPr>
            <w:tcW w:w="1016" w:type="dxa"/>
            <w:tcBorders>
              <w:top w:val="nil"/>
              <w:left w:val="nil"/>
              <w:bottom w:val="single" w:sz="4" w:space="0" w:color="auto"/>
              <w:right w:val="single" w:sz="4" w:space="0" w:color="auto"/>
            </w:tcBorders>
            <w:shd w:val="clear" w:color="auto" w:fill="auto"/>
            <w:vAlign w:val="center"/>
            <w:hideMark/>
          </w:tcPr>
          <w:p w14:paraId="519B3C93" w14:textId="77777777" w:rsidR="00B36C28" w:rsidRPr="008E63BB" w:rsidRDefault="00B36C28" w:rsidP="00B36C28">
            <w:pPr>
              <w:jc w:val="right"/>
              <w:rPr>
                <w:rFonts w:eastAsia="Times New Roman"/>
                <w:sz w:val="20"/>
                <w:szCs w:val="20"/>
              </w:rPr>
            </w:pPr>
            <w:r w:rsidRPr="008E63BB">
              <w:rPr>
                <w:rFonts w:eastAsia="Times New Roman"/>
                <w:sz w:val="20"/>
                <w:szCs w:val="20"/>
              </w:rPr>
              <w:t>158,45</w:t>
            </w:r>
          </w:p>
        </w:tc>
        <w:tc>
          <w:tcPr>
            <w:tcW w:w="766" w:type="dxa"/>
            <w:tcBorders>
              <w:top w:val="nil"/>
              <w:left w:val="nil"/>
              <w:bottom w:val="single" w:sz="4" w:space="0" w:color="auto"/>
              <w:right w:val="single" w:sz="4" w:space="0" w:color="auto"/>
            </w:tcBorders>
            <w:shd w:val="clear" w:color="auto" w:fill="auto"/>
            <w:vAlign w:val="center"/>
            <w:hideMark/>
          </w:tcPr>
          <w:p w14:paraId="519B3C94" w14:textId="77777777" w:rsidR="00B36C28" w:rsidRPr="008E63BB" w:rsidRDefault="00B36C28" w:rsidP="00B36C28">
            <w:pPr>
              <w:jc w:val="right"/>
              <w:rPr>
                <w:rFonts w:eastAsia="Times New Roman"/>
                <w:sz w:val="20"/>
                <w:szCs w:val="20"/>
              </w:rPr>
            </w:pPr>
            <w:r w:rsidRPr="008E63BB">
              <w:rPr>
                <w:rFonts w:eastAsia="Times New Roman"/>
                <w:sz w:val="20"/>
                <w:szCs w:val="20"/>
              </w:rPr>
              <w:t>3,11</w:t>
            </w:r>
          </w:p>
        </w:tc>
        <w:tc>
          <w:tcPr>
            <w:tcW w:w="766" w:type="dxa"/>
            <w:tcBorders>
              <w:top w:val="nil"/>
              <w:left w:val="nil"/>
              <w:bottom w:val="single" w:sz="4" w:space="0" w:color="auto"/>
              <w:right w:val="single" w:sz="4" w:space="0" w:color="auto"/>
            </w:tcBorders>
            <w:shd w:val="clear" w:color="auto" w:fill="auto"/>
            <w:vAlign w:val="center"/>
            <w:hideMark/>
          </w:tcPr>
          <w:p w14:paraId="519B3C95" w14:textId="77777777" w:rsidR="00B36C28" w:rsidRPr="008E63BB" w:rsidRDefault="00B36C28" w:rsidP="00B36C28">
            <w:pPr>
              <w:jc w:val="right"/>
              <w:rPr>
                <w:rFonts w:eastAsia="Times New Roman"/>
                <w:sz w:val="20"/>
                <w:szCs w:val="20"/>
              </w:rPr>
            </w:pPr>
            <w:r w:rsidRPr="008E63BB">
              <w:rPr>
                <w:rFonts w:eastAsia="Times New Roman"/>
                <w:sz w:val="20"/>
                <w:szCs w:val="20"/>
              </w:rPr>
              <w:t>4,09</w:t>
            </w:r>
          </w:p>
        </w:tc>
        <w:tc>
          <w:tcPr>
            <w:tcW w:w="916" w:type="dxa"/>
            <w:tcBorders>
              <w:top w:val="nil"/>
              <w:left w:val="nil"/>
              <w:bottom w:val="single" w:sz="4" w:space="0" w:color="auto"/>
              <w:right w:val="single" w:sz="4" w:space="0" w:color="auto"/>
            </w:tcBorders>
            <w:shd w:val="clear" w:color="auto" w:fill="auto"/>
            <w:vAlign w:val="center"/>
            <w:hideMark/>
          </w:tcPr>
          <w:p w14:paraId="519B3C96" w14:textId="77777777" w:rsidR="00B36C28" w:rsidRPr="008E63BB" w:rsidRDefault="00B36C28" w:rsidP="00B36C28">
            <w:pPr>
              <w:jc w:val="right"/>
              <w:rPr>
                <w:rFonts w:eastAsia="Times New Roman"/>
                <w:sz w:val="20"/>
                <w:szCs w:val="20"/>
              </w:rPr>
            </w:pPr>
            <w:r w:rsidRPr="008E63BB">
              <w:rPr>
                <w:rFonts w:eastAsia="Times New Roman"/>
                <w:sz w:val="20"/>
                <w:szCs w:val="20"/>
              </w:rPr>
              <w:t>70,00</w:t>
            </w:r>
          </w:p>
        </w:tc>
        <w:tc>
          <w:tcPr>
            <w:tcW w:w="766" w:type="dxa"/>
            <w:tcBorders>
              <w:top w:val="nil"/>
              <w:left w:val="nil"/>
              <w:bottom w:val="single" w:sz="4" w:space="0" w:color="auto"/>
              <w:right w:val="single" w:sz="4" w:space="0" w:color="auto"/>
            </w:tcBorders>
            <w:shd w:val="clear" w:color="auto" w:fill="auto"/>
            <w:vAlign w:val="center"/>
            <w:hideMark/>
          </w:tcPr>
          <w:p w14:paraId="519B3C97" w14:textId="77777777" w:rsidR="00B36C28" w:rsidRPr="008E63BB" w:rsidRDefault="00B36C28" w:rsidP="00B36C28">
            <w:pPr>
              <w:jc w:val="right"/>
              <w:rPr>
                <w:rFonts w:eastAsia="Times New Roman"/>
                <w:sz w:val="20"/>
                <w:szCs w:val="20"/>
              </w:rPr>
            </w:pPr>
            <w:r w:rsidRPr="008E63BB">
              <w:rPr>
                <w:rFonts w:eastAsia="Times New Roman"/>
                <w:sz w:val="20"/>
                <w:szCs w:val="20"/>
              </w:rPr>
              <w:t>6,37</w:t>
            </w:r>
          </w:p>
        </w:tc>
        <w:tc>
          <w:tcPr>
            <w:tcW w:w="686" w:type="dxa"/>
            <w:tcBorders>
              <w:top w:val="nil"/>
              <w:left w:val="nil"/>
              <w:bottom w:val="single" w:sz="4" w:space="0" w:color="auto"/>
              <w:right w:val="single" w:sz="4" w:space="0" w:color="auto"/>
            </w:tcBorders>
            <w:shd w:val="clear" w:color="auto" w:fill="auto"/>
            <w:vAlign w:val="center"/>
            <w:hideMark/>
          </w:tcPr>
          <w:p w14:paraId="519B3C98" w14:textId="77777777" w:rsidR="00B36C28" w:rsidRPr="008E63BB" w:rsidRDefault="00B36C28" w:rsidP="00B36C28">
            <w:pPr>
              <w:jc w:val="right"/>
              <w:rPr>
                <w:rFonts w:eastAsia="Times New Roman"/>
                <w:sz w:val="20"/>
                <w:szCs w:val="20"/>
              </w:rPr>
            </w:pPr>
            <w:r w:rsidRPr="008E63BB">
              <w:rPr>
                <w:rFonts w:eastAsia="Times New Roman"/>
                <w:sz w:val="20"/>
                <w:szCs w:val="20"/>
              </w:rPr>
              <w:t>2,97</w:t>
            </w:r>
          </w:p>
        </w:tc>
        <w:tc>
          <w:tcPr>
            <w:tcW w:w="1016" w:type="dxa"/>
            <w:tcBorders>
              <w:top w:val="nil"/>
              <w:left w:val="nil"/>
              <w:bottom w:val="single" w:sz="4" w:space="0" w:color="auto"/>
              <w:right w:val="single" w:sz="4" w:space="0" w:color="auto"/>
            </w:tcBorders>
            <w:shd w:val="clear" w:color="auto" w:fill="auto"/>
            <w:vAlign w:val="center"/>
            <w:hideMark/>
          </w:tcPr>
          <w:p w14:paraId="519B3C99" w14:textId="77777777" w:rsidR="00B36C28" w:rsidRPr="008E63BB" w:rsidRDefault="00B36C28" w:rsidP="00B36C28">
            <w:pPr>
              <w:jc w:val="right"/>
              <w:rPr>
                <w:rFonts w:eastAsia="Times New Roman"/>
                <w:sz w:val="20"/>
                <w:szCs w:val="20"/>
              </w:rPr>
            </w:pPr>
            <w:r w:rsidRPr="008E63BB">
              <w:rPr>
                <w:rFonts w:eastAsia="Times New Roman"/>
                <w:sz w:val="20"/>
                <w:szCs w:val="20"/>
              </w:rPr>
              <w:t>88,45</w:t>
            </w:r>
          </w:p>
        </w:tc>
        <w:tc>
          <w:tcPr>
            <w:tcW w:w="766" w:type="dxa"/>
            <w:tcBorders>
              <w:top w:val="nil"/>
              <w:left w:val="nil"/>
              <w:bottom w:val="single" w:sz="4" w:space="0" w:color="auto"/>
              <w:right w:val="nil"/>
            </w:tcBorders>
            <w:shd w:val="clear" w:color="auto" w:fill="auto"/>
            <w:vAlign w:val="center"/>
            <w:hideMark/>
          </w:tcPr>
          <w:p w14:paraId="519B3C9A" w14:textId="77777777" w:rsidR="00B36C28" w:rsidRPr="008E63BB" w:rsidRDefault="00B36C28" w:rsidP="00B36C28">
            <w:pPr>
              <w:jc w:val="right"/>
              <w:rPr>
                <w:rFonts w:eastAsia="Times New Roman"/>
                <w:sz w:val="20"/>
                <w:szCs w:val="20"/>
              </w:rPr>
            </w:pPr>
            <w:r w:rsidRPr="008E63BB">
              <w:rPr>
                <w:rFonts w:eastAsia="Times New Roman"/>
                <w:sz w:val="20"/>
                <w:szCs w:val="20"/>
              </w:rPr>
              <w:t>3,52</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9B" w14:textId="77777777" w:rsidR="00B36C28" w:rsidRPr="008E63BB" w:rsidRDefault="00B36C28" w:rsidP="00B36C28">
            <w:pPr>
              <w:jc w:val="right"/>
              <w:rPr>
                <w:rFonts w:eastAsia="Times New Roman"/>
                <w:sz w:val="20"/>
                <w:szCs w:val="20"/>
              </w:rPr>
            </w:pPr>
            <w:r w:rsidRPr="008E63BB">
              <w:rPr>
                <w:rFonts w:eastAsia="Times New Roman"/>
                <w:sz w:val="20"/>
                <w:szCs w:val="20"/>
              </w:rPr>
              <w:t>169,90</w:t>
            </w:r>
          </w:p>
        </w:tc>
        <w:tc>
          <w:tcPr>
            <w:tcW w:w="766" w:type="dxa"/>
            <w:tcBorders>
              <w:top w:val="nil"/>
              <w:left w:val="nil"/>
              <w:bottom w:val="single" w:sz="4" w:space="0" w:color="auto"/>
              <w:right w:val="single" w:sz="4" w:space="0" w:color="auto"/>
            </w:tcBorders>
            <w:shd w:val="clear" w:color="auto" w:fill="auto"/>
            <w:vAlign w:val="center"/>
            <w:hideMark/>
          </w:tcPr>
          <w:p w14:paraId="519B3C9C" w14:textId="77777777" w:rsidR="00B36C28" w:rsidRPr="008E63BB" w:rsidRDefault="00B36C28" w:rsidP="00B36C28">
            <w:pPr>
              <w:jc w:val="right"/>
              <w:rPr>
                <w:rFonts w:eastAsia="Times New Roman"/>
                <w:sz w:val="20"/>
                <w:szCs w:val="20"/>
              </w:rPr>
            </w:pPr>
            <w:r w:rsidRPr="008E63BB">
              <w:rPr>
                <w:rFonts w:eastAsia="Times New Roman"/>
                <w:sz w:val="20"/>
                <w:szCs w:val="20"/>
              </w:rPr>
              <w:t>2,54</w:t>
            </w:r>
          </w:p>
        </w:tc>
        <w:tc>
          <w:tcPr>
            <w:tcW w:w="766" w:type="dxa"/>
            <w:tcBorders>
              <w:top w:val="nil"/>
              <w:left w:val="nil"/>
              <w:bottom w:val="single" w:sz="4" w:space="0" w:color="auto"/>
              <w:right w:val="single" w:sz="4" w:space="0" w:color="auto"/>
            </w:tcBorders>
            <w:shd w:val="clear" w:color="auto" w:fill="auto"/>
            <w:vAlign w:val="center"/>
            <w:hideMark/>
          </w:tcPr>
          <w:p w14:paraId="519B3C9D" w14:textId="77777777" w:rsidR="00B36C28" w:rsidRPr="008E63BB" w:rsidRDefault="00B36C28" w:rsidP="00B36C28">
            <w:pPr>
              <w:jc w:val="right"/>
              <w:rPr>
                <w:rFonts w:eastAsia="Times New Roman"/>
                <w:sz w:val="20"/>
                <w:szCs w:val="20"/>
              </w:rPr>
            </w:pPr>
            <w:r w:rsidRPr="008E63BB">
              <w:rPr>
                <w:rFonts w:eastAsia="Times New Roman"/>
                <w:sz w:val="20"/>
                <w:szCs w:val="20"/>
              </w:rPr>
              <w:t>3,27</w:t>
            </w:r>
          </w:p>
        </w:tc>
        <w:tc>
          <w:tcPr>
            <w:tcW w:w="916" w:type="dxa"/>
            <w:tcBorders>
              <w:top w:val="nil"/>
              <w:left w:val="nil"/>
              <w:bottom w:val="single" w:sz="4" w:space="0" w:color="auto"/>
              <w:right w:val="single" w:sz="4" w:space="0" w:color="auto"/>
            </w:tcBorders>
            <w:shd w:val="clear" w:color="auto" w:fill="auto"/>
            <w:vAlign w:val="center"/>
            <w:hideMark/>
          </w:tcPr>
          <w:p w14:paraId="519B3C9E" w14:textId="77777777" w:rsidR="00B36C28" w:rsidRPr="008E63BB" w:rsidRDefault="00B36C28" w:rsidP="00B36C28">
            <w:pPr>
              <w:jc w:val="right"/>
              <w:rPr>
                <w:rFonts w:eastAsia="Times New Roman"/>
                <w:sz w:val="20"/>
                <w:szCs w:val="20"/>
              </w:rPr>
            </w:pPr>
            <w:r w:rsidRPr="008E63BB">
              <w:rPr>
                <w:rFonts w:eastAsia="Times New Roman"/>
                <w:sz w:val="20"/>
                <w:szCs w:val="20"/>
              </w:rPr>
              <w:t>91,46</w:t>
            </w:r>
          </w:p>
        </w:tc>
        <w:tc>
          <w:tcPr>
            <w:tcW w:w="766" w:type="dxa"/>
            <w:tcBorders>
              <w:top w:val="nil"/>
              <w:left w:val="nil"/>
              <w:bottom w:val="single" w:sz="4" w:space="0" w:color="auto"/>
              <w:right w:val="single" w:sz="4" w:space="0" w:color="auto"/>
            </w:tcBorders>
            <w:shd w:val="clear" w:color="auto" w:fill="auto"/>
            <w:vAlign w:val="center"/>
            <w:hideMark/>
          </w:tcPr>
          <w:p w14:paraId="519B3C9F" w14:textId="77777777" w:rsidR="00B36C28" w:rsidRPr="008E63BB" w:rsidRDefault="00B36C28" w:rsidP="00B36C28">
            <w:pPr>
              <w:jc w:val="right"/>
              <w:rPr>
                <w:rFonts w:eastAsia="Times New Roman"/>
                <w:sz w:val="20"/>
                <w:szCs w:val="20"/>
              </w:rPr>
            </w:pPr>
            <w:r w:rsidRPr="008E63BB">
              <w:rPr>
                <w:rFonts w:eastAsia="Times New Roman"/>
                <w:sz w:val="20"/>
                <w:szCs w:val="20"/>
              </w:rPr>
              <w:t>2,30</w:t>
            </w:r>
          </w:p>
        </w:tc>
        <w:tc>
          <w:tcPr>
            <w:tcW w:w="766" w:type="dxa"/>
            <w:tcBorders>
              <w:top w:val="nil"/>
              <w:left w:val="nil"/>
              <w:bottom w:val="single" w:sz="4" w:space="0" w:color="auto"/>
              <w:right w:val="single" w:sz="4" w:space="0" w:color="auto"/>
            </w:tcBorders>
            <w:shd w:val="clear" w:color="auto" w:fill="auto"/>
            <w:vAlign w:val="center"/>
            <w:hideMark/>
          </w:tcPr>
          <w:p w14:paraId="519B3CA0" w14:textId="77777777" w:rsidR="00B36C28" w:rsidRPr="008E63BB" w:rsidRDefault="00B36C28" w:rsidP="00B36C28">
            <w:pPr>
              <w:jc w:val="right"/>
              <w:rPr>
                <w:rFonts w:eastAsia="Times New Roman"/>
                <w:sz w:val="20"/>
                <w:szCs w:val="20"/>
              </w:rPr>
            </w:pPr>
            <w:r w:rsidRPr="008E63BB">
              <w:rPr>
                <w:rFonts w:eastAsia="Times New Roman"/>
                <w:sz w:val="20"/>
                <w:szCs w:val="20"/>
              </w:rPr>
              <w:t>2,38</w:t>
            </w:r>
          </w:p>
        </w:tc>
        <w:tc>
          <w:tcPr>
            <w:tcW w:w="1021" w:type="dxa"/>
            <w:tcBorders>
              <w:top w:val="nil"/>
              <w:left w:val="nil"/>
              <w:bottom w:val="single" w:sz="4" w:space="0" w:color="auto"/>
              <w:right w:val="single" w:sz="4" w:space="0" w:color="auto"/>
            </w:tcBorders>
            <w:shd w:val="clear" w:color="auto" w:fill="auto"/>
            <w:vAlign w:val="center"/>
            <w:hideMark/>
          </w:tcPr>
          <w:p w14:paraId="519B3CA1" w14:textId="77777777" w:rsidR="00B36C28" w:rsidRPr="008E63BB" w:rsidRDefault="00B36C28" w:rsidP="00B36C28">
            <w:pPr>
              <w:jc w:val="right"/>
              <w:rPr>
                <w:rFonts w:eastAsia="Times New Roman"/>
                <w:sz w:val="20"/>
                <w:szCs w:val="20"/>
              </w:rPr>
            </w:pPr>
            <w:r w:rsidRPr="008E63BB">
              <w:rPr>
                <w:rFonts w:eastAsia="Times New Roman"/>
                <w:sz w:val="20"/>
                <w:szCs w:val="20"/>
              </w:rPr>
              <w:t>78,44</w:t>
            </w:r>
          </w:p>
        </w:tc>
      </w:tr>
      <w:tr w:rsidR="00B36C28" w:rsidRPr="008E63BB" w14:paraId="519B3CB4"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A3" w14:textId="77777777" w:rsidR="00B36C28" w:rsidRPr="008E63BB" w:rsidRDefault="00B36C28" w:rsidP="00B36C28">
            <w:pPr>
              <w:jc w:val="center"/>
              <w:rPr>
                <w:rFonts w:eastAsia="Times New Roman"/>
                <w:sz w:val="20"/>
                <w:szCs w:val="20"/>
              </w:rPr>
            </w:pPr>
            <w:r w:rsidRPr="008E63BB">
              <w:rPr>
                <w:rFonts w:eastAsia="Times New Roman"/>
                <w:sz w:val="20"/>
                <w:szCs w:val="20"/>
              </w:rPr>
              <w:t>3</w:t>
            </w:r>
          </w:p>
        </w:tc>
        <w:tc>
          <w:tcPr>
            <w:tcW w:w="2972" w:type="dxa"/>
            <w:tcBorders>
              <w:top w:val="nil"/>
              <w:left w:val="nil"/>
              <w:bottom w:val="single" w:sz="4" w:space="0" w:color="auto"/>
              <w:right w:val="single" w:sz="4" w:space="0" w:color="auto"/>
            </w:tcBorders>
            <w:shd w:val="clear" w:color="auto" w:fill="auto"/>
            <w:vAlign w:val="center"/>
            <w:hideMark/>
          </w:tcPr>
          <w:p w14:paraId="519B3CA4" w14:textId="77777777" w:rsidR="00B36C28" w:rsidRPr="008E63BB" w:rsidRDefault="00B36C28" w:rsidP="00B36C28">
            <w:pPr>
              <w:jc w:val="left"/>
              <w:rPr>
                <w:rFonts w:eastAsia="Times New Roman"/>
                <w:sz w:val="20"/>
                <w:szCs w:val="20"/>
              </w:rPr>
            </w:pPr>
            <w:r w:rsidRPr="008E63BB">
              <w:rPr>
                <w:rFonts w:eastAsia="Times New Roman"/>
                <w:sz w:val="20"/>
                <w:szCs w:val="20"/>
              </w:rPr>
              <w:t>Đất cây xanh đô thị</w:t>
            </w:r>
          </w:p>
        </w:tc>
        <w:tc>
          <w:tcPr>
            <w:tcW w:w="1016" w:type="dxa"/>
            <w:tcBorders>
              <w:top w:val="nil"/>
              <w:left w:val="nil"/>
              <w:bottom w:val="single" w:sz="4" w:space="0" w:color="auto"/>
              <w:right w:val="single" w:sz="4" w:space="0" w:color="auto"/>
            </w:tcBorders>
            <w:shd w:val="clear" w:color="auto" w:fill="auto"/>
            <w:vAlign w:val="center"/>
            <w:hideMark/>
          </w:tcPr>
          <w:p w14:paraId="519B3CA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144,03</w:t>
            </w:r>
          </w:p>
        </w:tc>
        <w:tc>
          <w:tcPr>
            <w:tcW w:w="766" w:type="dxa"/>
            <w:tcBorders>
              <w:top w:val="nil"/>
              <w:left w:val="nil"/>
              <w:bottom w:val="single" w:sz="4" w:space="0" w:color="auto"/>
              <w:right w:val="single" w:sz="4" w:space="0" w:color="auto"/>
            </w:tcBorders>
            <w:shd w:val="clear" w:color="auto" w:fill="auto"/>
            <w:vAlign w:val="center"/>
            <w:hideMark/>
          </w:tcPr>
          <w:p w14:paraId="519B3CA6" w14:textId="77777777" w:rsidR="00B36C28" w:rsidRPr="008E63BB" w:rsidRDefault="00B36C28" w:rsidP="00B36C28">
            <w:pPr>
              <w:jc w:val="right"/>
              <w:rPr>
                <w:rFonts w:eastAsia="Times New Roman"/>
                <w:sz w:val="20"/>
                <w:szCs w:val="20"/>
              </w:rPr>
            </w:pPr>
            <w:r w:rsidRPr="008E63BB">
              <w:rPr>
                <w:rFonts w:eastAsia="Times New Roman"/>
                <w:sz w:val="20"/>
                <w:szCs w:val="20"/>
              </w:rPr>
              <w:t>2,83</w:t>
            </w:r>
          </w:p>
        </w:tc>
        <w:tc>
          <w:tcPr>
            <w:tcW w:w="766" w:type="dxa"/>
            <w:tcBorders>
              <w:top w:val="nil"/>
              <w:left w:val="nil"/>
              <w:bottom w:val="single" w:sz="4" w:space="0" w:color="auto"/>
              <w:right w:val="single" w:sz="4" w:space="0" w:color="auto"/>
            </w:tcBorders>
            <w:shd w:val="clear" w:color="auto" w:fill="auto"/>
            <w:vAlign w:val="center"/>
            <w:hideMark/>
          </w:tcPr>
          <w:p w14:paraId="519B3CA7" w14:textId="77777777" w:rsidR="00B36C28" w:rsidRPr="008E63BB" w:rsidRDefault="00B36C28" w:rsidP="00B36C28">
            <w:pPr>
              <w:jc w:val="right"/>
              <w:rPr>
                <w:rFonts w:eastAsia="Times New Roman"/>
                <w:sz w:val="20"/>
                <w:szCs w:val="20"/>
              </w:rPr>
            </w:pPr>
            <w:r w:rsidRPr="008E63BB">
              <w:rPr>
                <w:rFonts w:eastAsia="Times New Roman"/>
                <w:sz w:val="20"/>
                <w:szCs w:val="20"/>
              </w:rPr>
              <w:t>3,72</w:t>
            </w:r>
          </w:p>
        </w:tc>
        <w:tc>
          <w:tcPr>
            <w:tcW w:w="916" w:type="dxa"/>
            <w:tcBorders>
              <w:top w:val="nil"/>
              <w:left w:val="nil"/>
              <w:bottom w:val="single" w:sz="4" w:space="0" w:color="auto"/>
              <w:right w:val="single" w:sz="4" w:space="0" w:color="auto"/>
            </w:tcBorders>
            <w:shd w:val="clear" w:color="auto" w:fill="auto"/>
            <w:vAlign w:val="center"/>
            <w:hideMark/>
          </w:tcPr>
          <w:p w14:paraId="519B3CA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125,34</w:t>
            </w:r>
          </w:p>
        </w:tc>
        <w:tc>
          <w:tcPr>
            <w:tcW w:w="766" w:type="dxa"/>
            <w:tcBorders>
              <w:top w:val="nil"/>
              <w:left w:val="nil"/>
              <w:bottom w:val="single" w:sz="4" w:space="0" w:color="auto"/>
              <w:right w:val="single" w:sz="4" w:space="0" w:color="auto"/>
            </w:tcBorders>
            <w:shd w:val="clear" w:color="auto" w:fill="auto"/>
            <w:vAlign w:val="center"/>
            <w:hideMark/>
          </w:tcPr>
          <w:p w14:paraId="519B3CA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3,28</w:t>
            </w:r>
          </w:p>
        </w:tc>
        <w:tc>
          <w:tcPr>
            <w:tcW w:w="686" w:type="dxa"/>
            <w:tcBorders>
              <w:top w:val="nil"/>
              <w:left w:val="nil"/>
              <w:bottom w:val="single" w:sz="4" w:space="0" w:color="auto"/>
              <w:right w:val="single" w:sz="4" w:space="0" w:color="auto"/>
            </w:tcBorders>
            <w:shd w:val="clear" w:color="auto" w:fill="auto"/>
            <w:vAlign w:val="center"/>
            <w:hideMark/>
          </w:tcPr>
          <w:p w14:paraId="519B3CAA" w14:textId="77777777" w:rsidR="00B36C28" w:rsidRPr="008E63BB" w:rsidRDefault="00B36C28" w:rsidP="00B36C28">
            <w:pPr>
              <w:jc w:val="right"/>
              <w:rPr>
                <w:rFonts w:eastAsia="Times New Roman"/>
                <w:sz w:val="20"/>
                <w:szCs w:val="20"/>
              </w:rPr>
            </w:pPr>
            <w:r w:rsidRPr="008E63BB">
              <w:rPr>
                <w:rFonts w:eastAsia="Times New Roman"/>
                <w:sz w:val="20"/>
                <w:szCs w:val="20"/>
              </w:rPr>
              <w:t>5,31</w:t>
            </w:r>
          </w:p>
        </w:tc>
        <w:tc>
          <w:tcPr>
            <w:tcW w:w="1016" w:type="dxa"/>
            <w:tcBorders>
              <w:top w:val="nil"/>
              <w:left w:val="nil"/>
              <w:bottom w:val="single" w:sz="4" w:space="0" w:color="auto"/>
              <w:right w:val="single" w:sz="4" w:space="0" w:color="auto"/>
            </w:tcBorders>
            <w:shd w:val="clear" w:color="auto" w:fill="auto"/>
            <w:vAlign w:val="center"/>
            <w:hideMark/>
          </w:tcPr>
          <w:p w14:paraId="519B3CA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18,69</w:t>
            </w:r>
          </w:p>
        </w:tc>
        <w:tc>
          <w:tcPr>
            <w:tcW w:w="766" w:type="dxa"/>
            <w:tcBorders>
              <w:top w:val="nil"/>
              <w:left w:val="nil"/>
              <w:bottom w:val="single" w:sz="4" w:space="0" w:color="auto"/>
              <w:right w:val="nil"/>
            </w:tcBorders>
            <w:shd w:val="clear" w:color="auto" w:fill="auto"/>
            <w:vAlign w:val="center"/>
            <w:hideMark/>
          </w:tcPr>
          <w:p w14:paraId="519B3CA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0,64</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AD" w14:textId="77777777" w:rsidR="00B36C28" w:rsidRPr="008E63BB" w:rsidRDefault="00B36C28" w:rsidP="00B36C28">
            <w:pPr>
              <w:jc w:val="right"/>
              <w:rPr>
                <w:rFonts w:eastAsia="Times New Roman"/>
                <w:sz w:val="20"/>
                <w:szCs w:val="20"/>
              </w:rPr>
            </w:pPr>
            <w:r w:rsidRPr="008E63BB">
              <w:rPr>
                <w:rFonts w:eastAsia="Times New Roman"/>
                <w:sz w:val="20"/>
                <w:szCs w:val="20"/>
              </w:rPr>
              <w:t>465,10</w:t>
            </w:r>
          </w:p>
        </w:tc>
        <w:tc>
          <w:tcPr>
            <w:tcW w:w="766" w:type="dxa"/>
            <w:tcBorders>
              <w:top w:val="nil"/>
              <w:left w:val="nil"/>
              <w:bottom w:val="single" w:sz="4" w:space="0" w:color="auto"/>
              <w:right w:val="single" w:sz="4" w:space="0" w:color="auto"/>
            </w:tcBorders>
            <w:shd w:val="clear" w:color="auto" w:fill="auto"/>
            <w:vAlign w:val="center"/>
            <w:hideMark/>
          </w:tcPr>
          <w:p w14:paraId="519B3CAE" w14:textId="77777777" w:rsidR="00B36C28" w:rsidRPr="008E63BB" w:rsidRDefault="00B36C28" w:rsidP="00B36C28">
            <w:pPr>
              <w:jc w:val="right"/>
              <w:rPr>
                <w:rFonts w:eastAsia="Times New Roman"/>
                <w:sz w:val="20"/>
                <w:szCs w:val="20"/>
              </w:rPr>
            </w:pPr>
            <w:r w:rsidRPr="008E63BB">
              <w:rPr>
                <w:rFonts w:eastAsia="Times New Roman"/>
                <w:sz w:val="20"/>
                <w:szCs w:val="20"/>
              </w:rPr>
              <w:t>6,95</w:t>
            </w:r>
          </w:p>
        </w:tc>
        <w:tc>
          <w:tcPr>
            <w:tcW w:w="766" w:type="dxa"/>
            <w:tcBorders>
              <w:top w:val="nil"/>
              <w:left w:val="nil"/>
              <w:bottom w:val="single" w:sz="4" w:space="0" w:color="auto"/>
              <w:right w:val="single" w:sz="4" w:space="0" w:color="auto"/>
            </w:tcBorders>
            <w:shd w:val="clear" w:color="auto" w:fill="auto"/>
            <w:vAlign w:val="center"/>
            <w:hideMark/>
          </w:tcPr>
          <w:p w14:paraId="519B3CAF" w14:textId="77777777" w:rsidR="00B36C28" w:rsidRPr="008E63BB" w:rsidRDefault="00B36C28" w:rsidP="00B36C28">
            <w:pPr>
              <w:jc w:val="right"/>
              <w:rPr>
                <w:rFonts w:eastAsia="Times New Roman"/>
                <w:sz w:val="20"/>
                <w:szCs w:val="20"/>
              </w:rPr>
            </w:pPr>
            <w:r w:rsidRPr="008E63BB">
              <w:rPr>
                <w:rFonts w:eastAsia="Times New Roman"/>
                <w:sz w:val="20"/>
                <w:szCs w:val="20"/>
              </w:rPr>
              <w:t>8,94</w:t>
            </w:r>
          </w:p>
        </w:tc>
        <w:tc>
          <w:tcPr>
            <w:tcW w:w="916" w:type="dxa"/>
            <w:tcBorders>
              <w:top w:val="nil"/>
              <w:left w:val="nil"/>
              <w:bottom w:val="single" w:sz="4" w:space="0" w:color="auto"/>
              <w:right w:val="single" w:sz="4" w:space="0" w:color="auto"/>
            </w:tcBorders>
            <w:shd w:val="clear" w:color="auto" w:fill="auto"/>
            <w:noWrap/>
            <w:vAlign w:val="center"/>
            <w:hideMark/>
          </w:tcPr>
          <w:p w14:paraId="519B3CB0" w14:textId="77777777" w:rsidR="00B36C28" w:rsidRPr="008E63BB" w:rsidRDefault="00B36C28" w:rsidP="00B36C28">
            <w:pPr>
              <w:jc w:val="right"/>
              <w:rPr>
                <w:rFonts w:eastAsia="Times New Roman"/>
                <w:sz w:val="20"/>
                <w:szCs w:val="20"/>
              </w:rPr>
            </w:pPr>
            <w:r w:rsidRPr="008E63BB">
              <w:rPr>
                <w:rFonts w:eastAsia="Times New Roman"/>
                <w:sz w:val="20"/>
                <w:szCs w:val="20"/>
              </w:rPr>
              <w:t>197,05</w:t>
            </w:r>
          </w:p>
        </w:tc>
        <w:tc>
          <w:tcPr>
            <w:tcW w:w="766" w:type="dxa"/>
            <w:tcBorders>
              <w:top w:val="nil"/>
              <w:left w:val="nil"/>
              <w:bottom w:val="single" w:sz="4" w:space="0" w:color="auto"/>
              <w:right w:val="single" w:sz="4" w:space="0" w:color="auto"/>
            </w:tcBorders>
            <w:shd w:val="clear" w:color="auto" w:fill="auto"/>
            <w:vAlign w:val="center"/>
            <w:hideMark/>
          </w:tcPr>
          <w:p w14:paraId="519B3CB1" w14:textId="77777777" w:rsidR="00B36C28" w:rsidRPr="008E63BB" w:rsidRDefault="00B36C28" w:rsidP="00B36C28">
            <w:pPr>
              <w:jc w:val="right"/>
              <w:rPr>
                <w:rFonts w:eastAsia="Times New Roman"/>
                <w:sz w:val="20"/>
                <w:szCs w:val="20"/>
              </w:rPr>
            </w:pPr>
            <w:r w:rsidRPr="008E63BB">
              <w:rPr>
                <w:rFonts w:eastAsia="Times New Roman"/>
                <w:sz w:val="20"/>
                <w:szCs w:val="20"/>
              </w:rPr>
              <w:t>4,96</w:t>
            </w:r>
          </w:p>
        </w:tc>
        <w:tc>
          <w:tcPr>
            <w:tcW w:w="766" w:type="dxa"/>
            <w:tcBorders>
              <w:top w:val="nil"/>
              <w:left w:val="nil"/>
              <w:bottom w:val="single" w:sz="4" w:space="0" w:color="auto"/>
              <w:right w:val="single" w:sz="4" w:space="0" w:color="auto"/>
            </w:tcBorders>
            <w:shd w:val="clear" w:color="auto" w:fill="auto"/>
            <w:vAlign w:val="center"/>
            <w:hideMark/>
          </w:tcPr>
          <w:p w14:paraId="519B3CB2" w14:textId="77777777" w:rsidR="00B36C28" w:rsidRPr="008E63BB" w:rsidRDefault="00B36C28" w:rsidP="00B36C28">
            <w:pPr>
              <w:jc w:val="right"/>
              <w:rPr>
                <w:rFonts w:eastAsia="Times New Roman"/>
                <w:sz w:val="20"/>
                <w:szCs w:val="20"/>
              </w:rPr>
            </w:pPr>
            <w:r w:rsidRPr="008E63BB">
              <w:rPr>
                <w:rFonts w:eastAsia="Times New Roman"/>
                <w:sz w:val="20"/>
                <w:szCs w:val="20"/>
              </w:rPr>
              <w:t>5,12</w:t>
            </w:r>
          </w:p>
        </w:tc>
        <w:tc>
          <w:tcPr>
            <w:tcW w:w="1021" w:type="dxa"/>
            <w:tcBorders>
              <w:top w:val="nil"/>
              <w:left w:val="nil"/>
              <w:bottom w:val="single" w:sz="4" w:space="0" w:color="auto"/>
              <w:right w:val="single" w:sz="4" w:space="0" w:color="auto"/>
            </w:tcBorders>
            <w:shd w:val="clear" w:color="auto" w:fill="auto"/>
            <w:vAlign w:val="center"/>
            <w:hideMark/>
          </w:tcPr>
          <w:p w14:paraId="519B3CB3" w14:textId="77777777" w:rsidR="00B36C28" w:rsidRPr="008E63BB" w:rsidRDefault="00B36C28" w:rsidP="00B36C28">
            <w:pPr>
              <w:jc w:val="right"/>
              <w:rPr>
                <w:rFonts w:eastAsia="Times New Roman"/>
                <w:sz w:val="20"/>
                <w:szCs w:val="20"/>
              </w:rPr>
            </w:pPr>
            <w:r w:rsidRPr="008E63BB">
              <w:rPr>
                <w:rFonts w:eastAsia="Times New Roman"/>
                <w:sz w:val="20"/>
                <w:szCs w:val="20"/>
              </w:rPr>
              <w:t>268,05</w:t>
            </w:r>
          </w:p>
        </w:tc>
      </w:tr>
      <w:tr w:rsidR="00B36C28" w:rsidRPr="008E63BB" w14:paraId="519B3CC6"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B5" w14:textId="77777777" w:rsidR="00B36C28" w:rsidRPr="008E63BB" w:rsidRDefault="00B36C28" w:rsidP="00B36C28">
            <w:pPr>
              <w:jc w:val="center"/>
              <w:rPr>
                <w:rFonts w:eastAsia="Times New Roman"/>
                <w:sz w:val="20"/>
                <w:szCs w:val="20"/>
              </w:rPr>
            </w:pPr>
            <w:r w:rsidRPr="008E63BB">
              <w:rPr>
                <w:rFonts w:eastAsia="Times New Roman"/>
                <w:sz w:val="20"/>
                <w:szCs w:val="20"/>
              </w:rPr>
              <w:t>4</w:t>
            </w:r>
          </w:p>
        </w:tc>
        <w:tc>
          <w:tcPr>
            <w:tcW w:w="2972" w:type="dxa"/>
            <w:tcBorders>
              <w:top w:val="nil"/>
              <w:left w:val="nil"/>
              <w:bottom w:val="single" w:sz="4" w:space="0" w:color="auto"/>
              <w:right w:val="single" w:sz="4" w:space="0" w:color="auto"/>
            </w:tcBorders>
            <w:shd w:val="clear" w:color="auto" w:fill="auto"/>
            <w:vAlign w:val="center"/>
            <w:hideMark/>
          </w:tcPr>
          <w:p w14:paraId="519B3CB6" w14:textId="77777777" w:rsidR="00B36C28" w:rsidRPr="008E63BB" w:rsidRDefault="00B36C28" w:rsidP="00B36C28">
            <w:pPr>
              <w:jc w:val="left"/>
              <w:rPr>
                <w:rFonts w:eastAsia="Times New Roman"/>
                <w:sz w:val="20"/>
                <w:szCs w:val="20"/>
              </w:rPr>
            </w:pPr>
            <w:r w:rsidRPr="008E63BB">
              <w:rPr>
                <w:rFonts w:eastAsia="Times New Roman"/>
                <w:sz w:val="20"/>
                <w:szCs w:val="20"/>
              </w:rPr>
              <w:t>Đất hạ tầng kỹ thuật đô thị</w:t>
            </w:r>
          </w:p>
        </w:tc>
        <w:tc>
          <w:tcPr>
            <w:tcW w:w="1016" w:type="dxa"/>
            <w:tcBorders>
              <w:top w:val="nil"/>
              <w:left w:val="nil"/>
              <w:bottom w:val="single" w:sz="4" w:space="0" w:color="auto"/>
              <w:right w:val="single" w:sz="4" w:space="0" w:color="auto"/>
            </w:tcBorders>
            <w:shd w:val="clear" w:color="auto" w:fill="auto"/>
            <w:vAlign w:val="center"/>
            <w:hideMark/>
          </w:tcPr>
          <w:p w14:paraId="519B3CB7" w14:textId="77777777" w:rsidR="00B36C28" w:rsidRPr="008E63BB" w:rsidRDefault="00B36C28" w:rsidP="00B36C28">
            <w:pPr>
              <w:jc w:val="right"/>
              <w:rPr>
                <w:rFonts w:eastAsia="Times New Roman"/>
                <w:sz w:val="20"/>
                <w:szCs w:val="20"/>
              </w:rPr>
            </w:pPr>
            <w:r w:rsidRPr="008E63BB">
              <w:rPr>
                <w:rFonts w:eastAsia="Times New Roman"/>
                <w:sz w:val="20"/>
                <w:szCs w:val="20"/>
              </w:rPr>
              <w:t>1.291,74</w:t>
            </w:r>
          </w:p>
        </w:tc>
        <w:tc>
          <w:tcPr>
            <w:tcW w:w="766" w:type="dxa"/>
            <w:tcBorders>
              <w:top w:val="nil"/>
              <w:left w:val="nil"/>
              <w:bottom w:val="single" w:sz="4" w:space="0" w:color="auto"/>
              <w:right w:val="single" w:sz="4" w:space="0" w:color="auto"/>
            </w:tcBorders>
            <w:shd w:val="clear" w:color="auto" w:fill="auto"/>
            <w:vAlign w:val="center"/>
            <w:hideMark/>
          </w:tcPr>
          <w:p w14:paraId="519B3CB8" w14:textId="77777777" w:rsidR="00B36C28" w:rsidRPr="008E63BB" w:rsidRDefault="00B36C28" w:rsidP="00B36C28">
            <w:pPr>
              <w:jc w:val="right"/>
              <w:rPr>
                <w:rFonts w:eastAsia="Times New Roman"/>
                <w:sz w:val="20"/>
                <w:szCs w:val="20"/>
              </w:rPr>
            </w:pPr>
            <w:r w:rsidRPr="008E63BB">
              <w:rPr>
                <w:rFonts w:eastAsia="Times New Roman"/>
                <w:sz w:val="20"/>
                <w:szCs w:val="20"/>
              </w:rPr>
              <w:t>25,38</w:t>
            </w:r>
          </w:p>
        </w:tc>
        <w:tc>
          <w:tcPr>
            <w:tcW w:w="766" w:type="dxa"/>
            <w:tcBorders>
              <w:top w:val="nil"/>
              <w:left w:val="nil"/>
              <w:bottom w:val="single" w:sz="4" w:space="0" w:color="auto"/>
              <w:right w:val="single" w:sz="4" w:space="0" w:color="auto"/>
            </w:tcBorders>
            <w:shd w:val="clear" w:color="auto" w:fill="auto"/>
            <w:vAlign w:val="center"/>
            <w:hideMark/>
          </w:tcPr>
          <w:p w14:paraId="519B3CB9" w14:textId="77777777" w:rsidR="00B36C28" w:rsidRPr="008E63BB" w:rsidRDefault="00B36C28" w:rsidP="00B36C28">
            <w:pPr>
              <w:jc w:val="right"/>
              <w:rPr>
                <w:rFonts w:eastAsia="Times New Roman"/>
                <w:sz w:val="20"/>
                <w:szCs w:val="20"/>
              </w:rPr>
            </w:pPr>
            <w:r w:rsidRPr="008E63BB">
              <w:rPr>
                <w:rFonts w:eastAsia="Times New Roman"/>
                <w:sz w:val="20"/>
                <w:szCs w:val="20"/>
              </w:rPr>
              <w:t>33,35</w:t>
            </w:r>
          </w:p>
        </w:tc>
        <w:tc>
          <w:tcPr>
            <w:tcW w:w="916" w:type="dxa"/>
            <w:tcBorders>
              <w:top w:val="nil"/>
              <w:left w:val="nil"/>
              <w:bottom w:val="single" w:sz="4" w:space="0" w:color="auto"/>
              <w:right w:val="single" w:sz="4" w:space="0" w:color="auto"/>
            </w:tcBorders>
            <w:shd w:val="clear" w:color="auto" w:fill="auto"/>
            <w:vAlign w:val="center"/>
            <w:hideMark/>
          </w:tcPr>
          <w:p w14:paraId="519B3CBA" w14:textId="77777777" w:rsidR="00B36C28" w:rsidRPr="008E63BB" w:rsidRDefault="00B36C28" w:rsidP="00B36C28">
            <w:pPr>
              <w:jc w:val="right"/>
              <w:rPr>
                <w:rFonts w:eastAsia="Times New Roman"/>
                <w:sz w:val="20"/>
                <w:szCs w:val="20"/>
              </w:rPr>
            </w:pPr>
            <w:r w:rsidRPr="008E63BB">
              <w:rPr>
                <w:rFonts w:eastAsia="Times New Roman"/>
                <w:sz w:val="20"/>
                <w:szCs w:val="20"/>
              </w:rPr>
              <w:t>318,84</w:t>
            </w:r>
          </w:p>
        </w:tc>
        <w:tc>
          <w:tcPr>
            <w:tcW w:w="766" w:type="dxa"/>
            <w:tcBorders>
              <w:top w:val="nil"/>
              <w:left w:val="nil"/>
              <w:bottom w:val="single" w:sz="4" w:space="0" w:color="auto"/>
              <w:right w:val="single" w:sz="4" w:space="0" w:color="auto"/>
            </w:tcBorders>
            <w:shd w:val="clear" w:color="auto" w:fill="auto"/>
            <w:vAlign w:val="center"/>
            <w:hideMark/>
          </w:tcPr>
          <w:p w14:paraId="519B3CBB" w14:textId="77777777" w:rsidR="00B36C28" w:rsidRPr="008E63BB" w:rsidRDefault="00B36C28" w:rsidP="00B36C28">
            <w:pPr>
              <w:jc w:val="right"/>
              <w:rPr>
                <w:rFonts w:eastAsia="Times New Roman"/>
                <w:sz w:val="20"/>
                <w:szCs w:val="20"/>
              </w:rPr>
            </w:pPr>
            <w:r w:rsidRPr="008E63BB">
              <w:rPr>
                <w:rFonts w:eastAsia="Times New Roman"/>
                <w:sz w:val="20"/>
                <w:szCs w:val="20"/>
              </w:rPr>
              <w:t>16,84</w:t>
            </w:r>
          </w:p>
        </w:tc>
        <w:tc>
          <w:tcPr>
            <w:tcW w:w="686" w:type="dxa"/>
            <w:tcBorders>
              <w:top w:val="nil"/>
              <w:left w:val="nil"/>
              <w:bottom w:val="single" w:sz="4" w:space="0" w:color="auto"/>
              <w:right w:val="single" w:sz="4" w:space="0" w:color="auto"/>
            </w:tcBorders>
            <w:shd w:val="clear" w:color="auto" w:fill="auto"/>
            <w:vAlign w:val="center"/>
            <w:hideMark/>
          </w:tcPr>
          <w:p w14:paraId="519B3CBC" w14:textId="77777777" w:rsidR="00B36C28" w:rsidRPr="008E63BB" w:rsidRDefault="00B36C28" w:rsidP="00B36C28">
            <w:pPr>
              <w:jc w:val="right"/>
              <w:rPr>
                <w:rFonts w:eastAsia="Times New Roman"/>
                <w:sz w:val="20"/>
                <w:szCs w:val="20"/>
              </w:rPr>
            </w:pPr>
            <w:r w:rsidRPr="008E63BB">
              <w:rPr>
                <w:rFonts w:eastAsia="Times New Roman"/>
                <w:sz w:val="20"/>
                <w:szCs w:val="20"/>
              </w:rPr>
              <w:t>13,52</w:t>
            </w:r>
          </w:p>
        </w:tc>
        <w:tc>
          <w:tcPr>
            <w:tcW w:w="1016" w:type="dxa"/>
            <w:tcBorders>
              <w:top w:val="nil"/>
              <w:left w:val="nil"/>
              <w:bottom w:val="single" w:sz="4" w:space="0" w:color="auto"/>
              <w:right w:val="single" w:sz="4" w:space="0" w:color="auto"/>
            </w:tcBorders>
            <w:shd w:val="clear" w:color="auto" w:fill="auto"/>
            <w:vAlign w:val="center"/>
            <w:hideMark/>
          </w:tcPr>
          <w:p w14:paraId="519B3CBD" w14:textId="77777777" w:rsidR="00B36C28" w:rsidRPr="008E63BB" w:rsidRDefault="00B36C28" w:rsidP="00B36C28">
            <w:pPr>
              <w:jc w:val="right"/>
              <w:rPr>
                <w:rFonts w:eastAsia="Times New Roman"/>
                <w:sz w:val="20"/>
                <w:szCs w:val="20"/>
              </w:rPr>
            </w:pPr>
            <w:r w:rsidRPr="008E63BB">
              <w:rPr>
                <w:rFonts w:eastAsia="Times New Roman"/>
                <w:sz w:val="20"/>
                <w:szCs w:val="20"/>
              </w:rPr>
              <w:t>972,90</w:t>
            </w:r>
          </w:p>
        </w:tc>
        <w:tc>
          <w:tcPr>
            <w:tcW w:w="766" w:type="dxa"/>
            <w:tcBorders>
              <w:top w:val="nil"/>
              <w:left w:val="nil"/>
              <w:bottom w:val="single" w:sz="4" w:space="0" w:color="auto"/>
              <w:right w:val="nil"/>
            </w:tcBorders>
            <w:shd w:val="clear" w:color="auto" w:fill="auto"/>
            <w:vAlign w:val="center"/>
            <w:hideMark/>
          </w:tcPr>
          <w:p w14:paraId="519B3CBE" w14:textId="77777777" w:rsidR="00B36C28" w:rsidRPr="008E63BB" w:rsidRDefault="00B36C28" w:rsidP="00B36C28">
            <w:pPr>
              <w:jc w:val="right"/>
              <w:rPr>
                <w:rFonts w:eastAsia="Times New Roman"/>
                <w:sz w:val="20"/>
                <w:szCs w:val="20"/>
              </w:rPr>
            </w:pPr>
            <w:r w:rsidRPr="008E63BB">
              <w:rPr>
                <w:rFonts w:eastAsia="Times New Roman"/>
                <w:sz w:val="20"/>
                <w:szCs w:val="20"/>
              </w:rPr>
              <w:t>36,88</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BF" w14:textId="77777777" w:rsidR="00B36C28" w:rsidRPr="008E63BB" w:rsidRDefault="00B36C28" w:rsidP="00B36C28">
            <w:pPr>
              <w:jc w:val="right"/>
              <w:rPr>
                <w:rFonts w:eastAsia="Times New Roman"/>
                <w:sz w:val="20"/>
                <w:szCs w:val="20"/>
              </w:rPr>
            </w:pPr>
            <w:r w:rsidRPr="008E63BB">
              <w:rPr>
                <w:rFonts w:eastAsia="Times New Roman"/>
                <w:sz w:val="20"/>
                <w:szCs w:val="20"/>
              </w:rPr>
              <w:t>1.372,00</w:t>
            </w:r>
          </w:p>
        </w:tc>
        <w:tc>
          <w:tcPr>
            <w:tcW w:w="766" w:type="dxa"/>
            <w:tcBorders>
              <w:top w:val="nil"/>
              <w:left w:val="nil"/>
              <w:bottom w:val="single" w:sz="4" w:space="0" w:color="auto"/>
              <w:right w:val="single" w:sz="4" w:space="0" w:color="auto"/>
            </w:tcBorders>
            <w:shd w:val="clear" w:color="auto" w:fill="auto"/>
            <w:vAlign w:val="center"/>
            <w:hideMark/>
          </w:tcPr>
          <w:p w14:paraId="519B3CC0" w14:textId="77777777" w:rsidR="00B36C28" w:rsidRPr="008E63BB" w:rsidRDefault="00B36C28" w:rsidP="00B36C28">
            <w:pPr>
              <w:jc w:val="right"/>
              <w:rPr>
                <w:rFonts w:eastAsia="Times New Roman"/>
                <w:sz w:val="20"/>
                <w:szCs w:val="20"/>
              </w:rPr>
            </w:pPr>
            <w:r w:rsidRPr="008E63BB">
              <w:rPr>
                <w:rFonts w:eastAsia="Times New Roman"/>
                <w:sz w:val="20"/>
                <w:szCs w:val="20"/>
              </w:rPr>
              <w:t>20,51</w:t>
            </w:r>
          </w:p>
        </w:tc>
        <w:tc>
          <w:tcPr>
            <w:tcW w:w="766" w:type="dxa"/>
            <w:tcBorders>
              <w:top w:val="nil"/>
              <w:left w:val="nil"/>
              <w:bottom w:val="single" w:sz="4" w:space="0" w:color="auto"/>
              <w:right w:val="single" w:sz="4" w:space="0" w:color="auto"/>
            </w:tcBorders>
            <w:shd w:val="clear" w:color="auto" w:fill="auto"/>
            <w:vAlign w:val="center"/>
            <w:hideMark/>
          </w:tcPr>
          <w:p w14:paraId="519B3CC1" w14:textId="77777777" w:rsidR="00B36C28" w:rsidRPr="008E63BB" w:rsidRDefault="00B36C28" w:rsidP="00B36C28">
            <w:pPr>
              <w:jc w:val="right"/>
              <w:rPr>
                <w:rFonts w:eastAsia="Times New Roman"/>
                <w:sz w:val="20"/>
                <w:szCs w:val="20"/>
              </w:rPr>
            </w:pPr>
            <w:r w:rsidRPr="008E63BB">
              <w:rPr>
                <w:rFonts w:eastAsia="Times New Roman"/>
                <w:sz w:val="20"/>
                <w:szCs w:val="20"/>
              </w:rPr>
              <w:t>26,38</w:t>
            </w:r>
          </w:p>
        </w:tc>
        <w:tc>
          <w:tcPr>
            <w:tcW w:w="916" w:type="dxa"/>
            <w:tcBorders>
              <w:top w:val="nil"/>
              <w:left w:val="nil"/>
              <w:bottom w:val="single" w:sz="4" w:space="0" w:color="auto"/>
              <w:right w:val="single" w:sz="4" w:space="0" w:color="auto"/>
            </w:tcBorders>
            <w:shd w:val="clear" w:color="auto" w:fill="auto"/>
            <w:vAlign w:val="center"/>
            <w:hideMark/>
          </w:tcPr>
          <w:p w14:paraId="519B3CC2" w14:textId="77777777" w:rsidR="00B36C28" w:rsidRPr="008E63BB" w:rsidRDefault="00B36C28" w:rsidP="00B36C28">
            <w:pPr>
              <w:jc w:val="right"/>
              <w:rPr>
                <w:rFonts w:eastAsia="Times New Roman"/>
                <w:sz w:val="20"/>
                <w:szCs w:val="20"/>
              </w:rPr>
            </w:pPr>
            <w:r w:rsidRPr="008E63BB">
              <w:rPr>
                <w:rFonts w:eastAsia="Times New Roman"/>
                <w:sz w:val="20"/>
                <w:szCs w:val="20"/>
              </w:rPr>
              <w:t>637,50</w:t>
            </w:r>
          </w:p>
        </w:tc>
        <w:tc>
          <w:tcPr>
            <w:tcW w:w="766" w:type="dxa"/>
            <w:tcBorders>
              <w:top w:val="nil"/>
              <w:left w:val="nil"/>
              <w:bottom w:val="single" w:sz="4" w:space="0" w:color="auto"/>
              <w:right w:val="single" w:sz="4" w:space="0" w:color="auto"/>
            </w:tcBorders>
            <w:shd w:val="clear" w:color="auto" w:fill="auto"/>
            <w:vAlign w:val="center"/>
            <w:hideMark/>
          </w:tcPr>
          <w:p w14:paraId="519B3CC3" w14:textId="77777777" w:rsidR="00B36C28" w:rsidRPr="008E63BB" w:rsidRDefault="00B36C28" w:rsidP="00B36C28">
            <w:pPr>
              <w:jc w:val="right"/>
              <w:rPr>
                <w:rFonts w:eastAsia="Times New Roman"/>
                <w:sz w:val="20"/>
                <w:szCs w:val="20"/>
              </w:rPr>
            </w:pPr>
            <w:r w:rsidRPr="008E63BB">
              <w:rPr>
                <w:rFonts w:eastAsia="Times New Roman"/>
                <w:sz w:val="20"/>
                <w:szCs w:val="20"/>
              </w:rPr>
              <w:t>16,04</w:t>
            </w:r>
          </w:p>
        </w:tc>
        <w:tc>
          <w:tcPr>
            <w:tcW w:w="766" w:type="dxa"/>
            <w:tcBorders>
              <w:top w:val="nil"/>
              <w:left w:val="nil"/>
              <w:bottom w:val="single" w:sz="4" w:space="0" w:color="auto"/>
              <w:right w:val="single" w:sz="4" w:space="0" w:color="auto"/>
            </w:tcBorders>
            <w:shd w:val="clear" w:color="auto" w:fill="auto"/>
            <w:vAlign w:val="center"/>
            <w:hideMark/>
          </w:tcPr>
          <w:p w14:paraId="519B3CC4" w14:textId="77777777" w:rsidR="00B36C28" w:rsidRPr="008E63BB" w:rsidRDefault="00B36C28" w:rsidP="00B36C28">
            <w:pPr>
              <w:jc w:val="right"/>
              <w:rPr>
                <w:rFonts w:eastAsia="Times New Roman"/>
                <w:sz w:val="20"/>
                <w:szCs w:val="20"/>
              </w:rPr>
            </w:pPr>
            <w:r w:rsidRPr="008E63BB">
              <w:rPr>
                <w:rFonts w:eastAsia="Times New Roman"/>
                <w:sz w:val="20"/>
                <w:szCs w:val="20"/>
              </w:rPr>
              <w:t>16,57</w:t>
            </w:r>
          </w:p>
        </w:tc>
        <w:tc>
          <w:tcPr>
            <w:tcW w:w="1021" w:type="dxa"/>
            <w:tcBorders>
              <w:top w:val="nil"/>
              <w:left w:val="nil"/>
              <w:bottom w:val="single" w:sz="4" w:space="0" w:color="auto"/>
              <w:right w:val="single" w:sz="4" w:space="0" w:color="auto"/>
            </w:tcBorders>
            <w:shd w:val="clear" w:color="auto" w:fill="auto"/>
            <w:vAlign w:val="center"/>
            <w:hideMark/>
          </w:tcPr>
          <w:p w14:paraId="519B3CC5" w14:textId="77777777" w:rsidR="00B36C28" w:rsidRPr="008E63BB" w:rsidRDefault="00B36C28" w:rsidP="00B36C28">
            <w:pPr>
              <w:jc w:val="right"/>
              <w:rPr>
                <w:rFonts w:eastAsia="Times New Roman"/>
                <w:sz w:val="20"/>
                <w:szCs w:val="20"/>
              </w:rPr>
            </w:pPr>
            <w:r w:rsidRPr="008E63BB">
              <w:rPr>
                <w:rFonts w:eastAsia="Times New Roman"/>
                <w:sz w:val="20"/>
                <w:szCs w:val="20"/>
              </w:rPr>
              <w:t>734,50</w:t>
            </w:r>
          </w:p>
        </w:tc>
      </w:tr>
      <w:tr w:rsidR="00B36C28" w:rsidRPr="008E63BB" w14:paraId="519B3CD8"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C7"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II</w:t>
            </w:r>
          </w:p>
        </w:tc>
        <w:tc>
          <w:tcPr>
            <w:tcW w:w="2972" w:type="dxa"/>
            <w:tcBorders>
              <w:top w:val="nil"/>
              <w:left w:val="nil"/>
              <w:bottom w:val="single" w:sz="4" w:space="0" w:color="auto"/>
              <w:right w:val="single" w:sz="4" w:space="0" w:color="auto"/>
            </w:tcBorders>
            <w:shd w:val="clear" w:color="auto" w:fill="auto"/>
            <w:vAlign w:val="center"/>
            <w:hideMark/>
          </w:tcPr>
          <w:p w14:paraId="519B3CC8"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Đất ngoài dân dụng</w:t>
            </w:r>
          </w:p>
        </w:tc>
        <w:tc>
          <w:tcPr>
            <w:tcW w:w="1016" w:type="dxa"/>
            <w:tcBorders>
              <w:top w:val="nil"/>
              <w:left w:val="nil"/>
              <w:bottom w:val="single" w:sz="4" w:space="0" w:color="auto"/>
              <w:right w:val="single" w:sz="4" w:space="0" w:color="auto"/>
            </w:tcBorders>
            <w:shd w:val="clear" w:color="auto" w:fill="auto"/>
            <w:vAlign w:val="center"/>
            <w:hideMark/>
          </w:tcPr>
          <w:p w14:paraId="519B3CC9"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1.459,16</w:t>
            </w:r>
          </w:p>
        </w:tc>
        <w:tc>
          <w:tcPr>
            <w:tcW w:w="766" w:type="dxa"/>
            <w:tcBorders>
              <w:top w:val="nil"/>
              <w:left w:val="nil"/>
              <w:bottom w:val="single" w:sz="4" w:space="0" w:color="auto"/>
              <w:right w:val="single" w:sz="4" w:space="0" w:color="auto"/>
            </w:tcBorders>
            <w:shd w:val="clear" w:color="auto" w:fill="auto"/>
            <w:vAlign w:val="center"/>
            <w:hideMark/>
          </w:tcPr>
          <w:p w14:paraId="519B3CCA"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28,67</w:t>
            </w:r>
          </w:p>
        </w:tc>
        <w:tc>
          <w:tcPr>
            <w:tcW w:w="766" w:type="dxa"/>
            <w:tcBorders>
              <w:top w:val="nil"/>
              <w:left w:val="nil"/>
              <w:bottom w:val="single" w:sz="4" w:space="0" w:color="auto"/>
              <w:right w:val="single" w:sz="4" w:space="0" w:color="auto"/>
            </w:tcBorders>
            <w:shd w:val="clear" w:color="auto" w:fill="auto"/>
            <w:vAlign w:val="center"/>
            <w:hideMark/>
          </w:tcPr>
          <w:p w14:paraId="519B3CCB"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37,68</w:t>
            </w:r>
          </w:p>
        </w:tc>
        <w:tc>
          <w:tcPr>
            <w:tcW w:w="916" w:type="dxa"/>
            <w:tcBorders>
              <w:top w:val="nil"/>
              <w:left w:val="nil"/>
              <w:bottom w:val="single" w:sz="4" w:space="0" w:color="auto"/>
              <w:right w:val="single" w:sz="4" w:space="0" w:color="auto"/>
            </w:tcBorders>
            <w:shd w:val="clear" w:color="auto" w:fill="auto"/>
            <w:vAlign w:val="center"/>
            <w:hideMark/>
          </w:tcPr>
          <w:p w14:paraId="519B3CCC"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876,67</w:t>
            </w:r>
          </w:p>
        </w:tc>
        <w:tc>
          <w:tcPr>
            <w:tcW w:w="766" w:type="dxa"/>
            <w:tcBorders>
              <w:top w:val="nil"/>
              <w:left w:val="nil"/>
              <w:bottom w:val="single" w:sz="4" w:space="0" w:color="auto"/>
              <w:right w:val="single" w:sz="4" w:space="0" w:color="auto"/>
            </w:tcBorders>
            <w:shd w:val="clear" w:color="auto" w:fill="auto"/>
            <w:vAlign w:val="center"/>
            <w:hideMark/>
          </w:tcPr>
          <w:p w14:paraId="519B3CCD"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36,39</w:t>
            </w:r>
          </w:p>
        </w:tc>
        <w:tc>
          <w:tcPr>
            <w:tcW w:w="686" w:type="dxa"/>
            <w:tcBorders>
              <w:top w:val="nil"/>
              <w:left w:val="nil"/>
              <w:bottom w:val="single" w:sz="4" w:space="0" w:color="auto"/>
              <w:right w:val="single" w:sz="4" w:space="0" w:color="auto"/>
            </w:tcBorders>
            <w:shd w:val="clear" w:color="auto" w:fill="auto"/>
            <w:vAlign w:val="center"/>
            <w:hideMark/>
          </w:tcPr>
          <w:p w14:paraId="519B3CCE"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37,16</w:t>
            </w:r>
          </w:p>
        </w:tc>
        <w:tc>
          <w:tcPr>
            <w:tcW w:w="1016" w:type="dxa"/>
            <w:tcBorders>
              <w:top w:val="nil"/>
              <w:left w:val="nil"/>
              <w:bottom w:val="single" w:sz="4" w:space="0" w:color="auto"/>
              <w:right w:val="single" w:sz="4" w:space="0" w:color="auto"/>
            </w:tcBorders>
            <w:shd w:val="clear" w:color="auto" w:fill="auto"/>
            <w:vAlign w:val="center"/>
            <w:hideMark/>
          </w:tcPr>
          <w:p w14:paraId="519B3CCF"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582,49</w:t>
            </w:r>
          </w:p>
        </w:tc>
        <w:tc>
          <w:tcPr>
            <w:tcW w:w="766" w:type="dxa"/>
            <w:tcBorders>
              <w:top w:val="nil"/>
              <w:left w:val="nil"/>
              <w:bottom w:val="single" w:sz="4" w:space="0" w:color="auto"/>
              <w:right w:val="nil"/>
            </w:tcBorders>
            <w:shd w:val="clear" w:color="auto" w:fill="auto"/>
            <w:vAlign w:val="center"/>
            <w:hideMark/>
          </w:tcPr>
          <w:p w14:paraId="519B3CD0"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20,70</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D1"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2.344,76</w:t>
            </w:r>
          </w:p>
        </w:tc>
        <w:tc>
          <w:tcPr>
            <w:tcW w:w="766" w:type="dxa"/>
            <w:tcBorders>
              <w:top w:val="nil"/>
              <w:left w:val="nil"/>
              <w:bottom w:val="single" w:sz="4" w:space="0" w:color="auto"/>
              <w:right w:val="single" w:sz="4" w:space="0" w:color="auto"/>
            </w:tcBorders>
            <w:shd w:val="clear" w:color="auto" w:fill="auto"/>
            <w:vAlign w:val="center"/>
            <w:hideMark/>
          </w:tcPr>
          <w:p w14:paraId="519B3CD2"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35,05</w:t>
            </w:r>
          </w:p>
        </w:tc>
        <w:tc>
          <w:tcPr>
            <w:tcW w:w="766" w:type="dxa"/>
            <w:tcBorders>
              <w:top w:val="nil"/>
              <w:left w:val="nil"/>
              <w:bottom w:val="single" w:sz="4" w:space="0" w:color="auto"/>
              <w:right w:val="single" w:sz="4" w:space="0" w:color="auto"/>
            </w:tcBorders>
            <w:shd w:val="clear" w:color="auto" w:fill="auto"/>
            <w:vAlign w:val="center"/>
            <w:hideMark/>
          </w:tcPr>
          <w:p w14:paraId="519B3CD3"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45,09</w:t>
            </w:r>
          </w:p>
        </w:tc>
        <w:tc>
          <w:tcPr>
            <w:tcW w:w="916" w:type="dxa"/>
            <w:tcBorders>
              <w:top w:val="nil"/>
              <w:left w:val="nil"/>
              <w:bottom w:val="single" w:sz="4" w:space="0" w:color="auto"/>
              <w:right w:val="single" w:sz="4" w:space="0" w:color="auto"/>
            </w:tcBorders>
            <w:shd w:val="clear" w:color="auto" w:fill="auto"/>
            <w:vAlign w:val="center"/>
            <w:hideMark/>
          </w:tcPr>
          <w:p w14:paraId="519B3CD4"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1.594,60</w:t>
            </w:r>
          </w:p>
        </w:tc>
        <w:tc>
          <w:tcPr>
            <w:tcW w:w="766" w:type="dxa"/>
            <w:tcBorders>
              <w:top w:val="nil"/>
              <w:left w:val="nil"/>
              <w:bottom w:val="single" w:sz="4" w:space="0" w:color="auto"/>
              <w:right w:val="single" w:sz="4" w:space="0" w:color="auto"/>
            </w:tcBorders>
            <w:shd w:val="clear" w:color="auto" w:fill="auto"/>
            <w:vAlign w:val="center"/>
            <w:hideMark/>
          </w:tcPr>
          <w:p w14:paraId="519B3CD5"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40,13</w:t>
            </w:r>
          </w:p>
        </w:tc>
        <w:tc>
          <w:tcPr>
            <w:tcW w:w="766" w:type="dxa"/>
            <w:tcBorders>
              <w:top w:val="nil"/>
              <w:left w:val="nil"/>
              <w:bottom w:val="single" w:sz="4" w:space="0" w:color="auto"/>
              <w:right w:val="single" w:sz="4" w:space="0" w:color="auto"/>
            </w:tcBorders>
            <w:shd w:val="clear" w:color="auto" w:fill="auto"/>
            <w:vAlign w:val="center"/>
            <w:hideMark/>
          </w:tcPr>
          <w:p w14:paraId="519B3CD6"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41,46</w:t>
            </w:r>
          </w:p>
        </w:tc>
        <w:tc>
          <w:tcPr>
            <w:tcW w:w="1021" w:type="dxa"/>
            <w:tcBorders>
              <w:top w:val="nil"/>
              <w:left w:val="nil"/>
              <w:bottom w:val="single" w:sz="4" w:space="0" w:color="auto"/>
              <w:right w:val="single" w:sz="4" w:space="0" w:color="auto"/>
            </w:tcBorders>
            <w:shd w:val="clear" w:color="auto" w:fill="auto"/>
            <w:vAlign w:val="center"/>
            <w:hideMark/>
          </w:tcPr>
          <w:p w14:paraId="519B3CD7"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750,16</w:t>
            </w:r>
          </w:p>
        </w:tc>
      </w:tr>
      <w:tr w:rsidR="00B36C28" w:rsidRPr="008E63BB" w14:paraId="519B3CEA" w14:textId="77777777" w:rsidTr="004B2B2D">
        <w:trPr>
          <w:trHeight w:val="304"/>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D9" w14:textId="77777777" w:rsidR="00B36C28" w:rsidRPr="008E63BB" w:rsidRDefault="00B36C28" w:rsidP="00B36C28">
            <w:pPr>
              <w:jc w:val="center"/>
              <w:rPr>
                <w:rFonts w:eastAsia="Times New Roman"/>
                <w:sz w:val="20"/>
                <w:szCs w:val="20"/>
              </w:rPr>
            </w:pPr>
            <w:r w:rsidRPr="008E63BB">
              <w:rPr>
                <w:rFonts w:eastAsia="Times New Roman"/>
                <w:sz w:val="20"/>
                <w:szCs w:val="20"/>
              </w:rPr>
              <w:t>1</w:t>
            </w:r>
          </w:p>
        </w:tc>
        <w:tc>
          <w:tcPr>
            <w:tcW w:w="2972" w:type="dxa"/>
            <w:tcBorders>
              <w:top w:val="nil"/>
              <w:left w:val="nil"/>
              <w:bottom w:val="single" w:sz="4" w:space="0" w:color="auto"/>
              <w:right w:val="single" w:sz="4" w:space="0" w:color="auto"/>
            </w:tcBorders>
            <w:shd w:val="clear" w:color="auto" w:fill="auto"/>
            <w:vAlign w:val="center"/>
            <w:hideMark/>
          </w:tcPr>
          <w:p w14:paraId="519B3CDA" w14:textId="77777777" w:rsidR="00B36C28" w:rsidRPr="008E63BB" w:rsidRDefault="00B36C28" w:rsidP="00B36C28">
            <w:pPr>
              <w:jc w:val="left"/>
              <w:rPr>
                <w:rFonts w:eastAsia="Times New Roman"/>
                <w:sz w:val="20"/>
                <w:szCs w:val="20"/>
              </w:rPr>
            </w:pPr>
            <w:r w:rsidRPr="008E63BB">
              <w:rPr>
                <w:rFonts w:eastAsia="Times New Roman"/>
                <w:sz w:val="20"/>
                <w:szCs w:val="20"/>
              </w:rPr>
              <w:t>Đất trụ sở cơ quan ngoài sự quản lý của đô thị</w:t>
            </w:r>
          </w:p>
        </w:tc>
        <w:tc>
          <w:tcPr>
            <w:tcW w:w="1016" w:type="dxa"/>
            <w:tcBorders>
              <w:top w:val="nil"/>
              <w:left w:val="nil"/>
              <w:bottom w:val="single" w:sz="4" w:space="0" w:color="auto"/>
              <w:right w:val="single" w:sz="4" w:space="0" w:color="auto"/>
            </w:tcBorders>
            <w:shd w:val="clear" w:color="auto" w:fill="auto"/>
            <w:vAlign w:val="center"/>
            <w:hideMark/>
          </w:tcPr>
          <w:p w14:paraId="519B3CDB" w14:textId="77777777" w:rsidR="00B36C28" w:rsidRPr="008E63BB" w:rsidRDefault="00B36C28" w:rsidP="00B36C28">
            <w:pPr>
              <w:jc w:val="right"/>
              <w:rPr>
                <w:rFonts w:eastAsia="Times New Roman"/>
                <w:sz w:val="20"/>
                <w:szCs w:val="20"/>
              </w:rPr>
            </w:pPr>
            <w:r w:rsidRPr="008E63BB">
              <w:rPr>
                <w:rFonts w:eastAsia="Times New Roman"/>
                <w:sz w:val="20"/>
                <w:szCs w:val="20"/>
              </w:rPr>
              <w:t>87,97</w:t>
            </w:r>
          </w:p>
        </w:tc>
        <w:tc>
          <w:tcPr>
            <w:tcW w:w="766" w:type="dxa"/>
            <w:tcBorders>
              <w:top w:val="nil"/>
              <w:left w:val="nil"/>
              <w:bottom w:val="single" w:sz="4" w:space="0" w:color="auto"/>
              <w:right w:val="single" w:sz="4" w:space="0" w:color="auto"/>
            </w:tcBorders>
            <w:shd w:val="clear" w:color="auto" w:fill="auto"/>
            <w:vAlign w:val="center"/>
            <w:hideMark/>
          </w:tcPr>
          <w:p w14:paraId="519B3CD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D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D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39,35</w:t>
            </w:r>
          </w:p>
        </w:tc>
        <w:tc>
          <w:tcPr>
            <w:tcW w:w="766" w:type="dxa"/>
            <w:tcBorders>
              <w:top w:val="nil"/>
              <w:left w:val="nil"/>
              <w:bottom w:val="single" w:sz="4" w:space="0" w:color="auto"/>
              <w:right w:val="single" w:sz="4" w:space="0" w:color="auto"/>
            </w:tcBorders>
            <w:shd w:val="clear" w:color="auto" w:fill="auto"/>
            <w:vAlign w:val="center"/>
            <w:hideMark/>
          </w:tcPr>
          <w:p w14:paraId="519B3CD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CE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CE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48,62</w:t>
            </w:r>
          </w:p>
        </w:tc>
        <w:tc>
          <w:tcPr>
            <w:tcW w:w="766" w:type="dxa"/>
            <w:tcBorders>
              <w:top w:val="nil"/>
              <w:left w:val="nil"/>
              <w:bottom w:val="single" w:sz="4" w:space="0" w:color="auto"/>
              <w:right w:val="nil"/>
            </w:tcBorders>
            <w:shd w:val="clear" w:color="auto" w:fill="auto"/>
            <w:vAlign w:val="center"/>
            <w:hideMark/>
          </w:tcPr>
          <w:p w14:paraId="519B3CE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E3" w14:textId="77777777" w:rsidR="00B36C28" w:rsidRPr="008E63BB" w:rsidRDefault="00B36C28" w:rsidP="00B36C28">
            <w:pPr>
              <w:jc w:val="right"/>
              <w:rPr>
                <w:rFonts w:eastAsia="Times New Roman"/>
                <w:sz w:val="20"/>
                <w:szCs w:val="20"/>
              </w:rPr>
            </w:pPr>
            <w:r w:rsidRPr="008E63BB">
              <w:rPr>
                <w:rFonts w:eastAsia="Times New Roman"/>
                <w:sz w:val="20"/>
                <w:szCs w:val="20"/>
              </w:rPr>
              <w:t>103,89</w:t>
            </w:r>
          </w:p>
        </w:tc>
        <w:tc>
          <w:tcPr>
            <w:tcW w:w="766" w:type="dxa"/>
            <w:tcBorders>
              <w:top w:val="nil"/>
              <w:left w:val="nil"/>
              <w:bottom w:val="single" w:sz="4" w:space="0" w:color="auto"/>
              <w:right w:val="single" w:sz="4" w:space="0" w:color="auto"/>
            </w:tcBorders>
            <w:shd w:val="clear" w:color="auto" w:fill="auto"/>
            <w:vAlign w:val="center"/>
            <w:hideMark/>
          </w:tcPr>
          <w:p w14:paraId="519B3CE4"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E5"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CE6" w14:textId="77777777" w:rsidR="00B36C28" w:rsidRPr="008E63BB" w:rsidRDefault="00B36C28" w:rsidP="00B36C28">
            <w:pPr>
              <w:jc w:val="right"/>
              <w:rPr>
                <w:rFonts w:eastAsia="Times New Roman"/>
                <w:sz w:val="20"/>
                <w:szCs w:val="20"/>
              </w:rPr>
            </w:pPr>
            <w:r w:rsidRPr="008E63BB">
              <w:rPr>
                <w:rFonts w:eastAsia="Times New Roman"/>
                <w:sz w:val="20"/>
                <w:szCs w:val="20"/>
              </w:rPr>
              <w:t>55,98</w:t>
            </w:r>
          </w:p>
        </w:tc>
        <w:tc>
          <w:tcPr>
            <w:tcW w:w="766" w:type="dxa"/>
            <w:tcBorders>
              <w:top w:val="nil"/>
              <w:left w:val="nil"/>
              <w:bottom w:val="single" w:sz="4" w:space="0" w:color="auto"/>
              <w:right w:val="single" w:sz="4" w:space="0" w:color="auto"/>
            </w:tcBorders>
            <w:shd w:val="clear" w:color="auto" w:fill="auto"/>
            <w:vAlign w:val="center"/>
            <w:hideMark/>
          </w:tcPr>
          <w:p w14:paraId="519B3CE7"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E8"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CE9" w14:textId="77777777" w:rsidR="00B36C28" w:rsidRPr="008E63BB" w:rsidRDefault="00B36C28" w:rsidP="00B36C28">
            <w:pPr>
              <w:jc w:val="right"/>
              <w:rPr>
                <w:rFonts w:eastAsia="Times New Roman"/>
                <w:sz w:val="20"/>
                <w:szCs w:val="20"/>
              </w:rPr>
            </w:pPr>
            <w:r w:rsidRPr="008E63BB">
              <w:rPr>
                <w:rFonts w:eastAsia="Times New Roman"/>
                <w:sz w:val="20"/>
                <w:szCs w:val="20"/>
              </w:rPr>
              <w:t>47,91</w:t>
            </w:r>
          </w:p>
        </w:tc>
      </w:tr>
      <w:tr w:rsidR="00B36C28" w:rsidRPr="008E63BB" w14:paraId="519B3CFC" w14:textId="77777777" w:rsidTr="004B2B2D">
        <w:trPr>
          <w:trHeight w:val="304"/>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EB" w14:textId="77777777" w:rsidR="00B36C28" w:rsidRPr="008E63BB" w:rsidRDefault="00B36C28" w:rsidP="00B36C28">
            <w:pPr>
              <w:jc w:val="center"/>
              <w:rPr>
                <w:rFonts w:eastAsia="Times New Roman"/>
                <w:sz w:val="20"/>
                <w:szCs w:val="20"/>
              </w:rPr>
            </w:pPr>
            <w:r w:rsidRPr="008E63BB">
              <w:rPr>
                <w:rFonts w:eastAsia="Times New Roman"/>
                <w:sz w:val="20"/>
                <w:szCs w:val="20"/>
              </w:rPr>
              <w:t>2</w:t>
            </w:r>
          </w:p>
        </w:tc>
        <w:tc>
          <w:tcPr>
            <w:tcW w:w="2972" w:type="dxa"/>
            <w:tcBorders>
              <w:top w:val="nil"/>
              <w:left w:val="nil"/>
              <w:bottom w:val="single" w:sz="4" w:space="0" w:color="auto"/>
              <w:right w:val="single" w:sz="4" w:space="0" w:color="auto"/>
            </w:tcBorders>
            <w:shd w:val="clear" w:color="auto" w:fill="auto"/>
            <w:vAlign w:val="center"/>
            <w:hideMark/>
          </w:tcPr>
          <w:p w14:paraId="519B3CEC" w14:textId="77777777" w:rsidR="00B36C28" w:rsidRPr="008E63BB" w:rsidRDefault="00B36C28" w:rsidP="00B36C28">
            <w:pPr>
              <w:jc w:val="left"/>
              <w:rPr>
                <w:rFonts w:eastAsia="Times New Roman"/>
                <w:sz w:val="20"/>
                <w:szCs w:val="20"/>
              </w:rPr>
            </w:pPr>
            <w:r w:rsidRPr="008E63BB">
              <w:rPr>
                <w:rFonts w:eastAsia="Times New Roman"/>
                <w:sz w:val="20"/>
                <w:szCs w:val="20"/>
              </w:rPr>
              <w:t>Đất công cộng ngoài sự quản lý của đô thị</w:t>
            </w:r>
          </w:p>
        </w:tc>
        <w:tc>
          <w:tcPr>
            <w:tcW w:w="1016" w:type="dxa"/>
            <w:tcBorders>
              <w:top w:val="nil"/>
              <w:left w:val="nil"/>
              <w:bottom w:val="single" w:sz="4" w:space="0" w:color="auto"/>
              <w:right w:val="single" w:sz="4" w:space="0" w:color="auto"/>
            </w:tcBorders>
            <w:shd w:val="clear" w:color="auto" w:fill="auto"/>
            <w:vAlign w:val="center"/>
            <w:hideMark/>
          </w:tcPr>
          <w:p w14:paraId="519B3CED" w14:textId="77777777" w:rsidR="00B36C28" w:rsidRPr="008E63BB" w:rsidRDefault="00B36C28" w:rsidP="00B36C28">
            <w:pPr>
              <w:jc w:val="right"/>
              <w:rPr>
                <w:rFonts w:eastAsia="Times New Roman"/>
                <w:sz w:val="20"/>
                <w:szCs w:val="20"/>
              </w:rPr>
            </w:pPr>
            <w:r w:rsidRPr="008E63BB">
              <w:rPr>
                <w:rFonts w:eastAsia="Times New Roman"/>
                <w:sz w:val="20"/>
                <w:szCs w:val="20"/>
              </w:rPr>
              <w:t>125,04</w:t>
            </w:r>
          </w:p>
        </w:tc>
        <w:tc>
          <w:tcPr>
            <w:tcW w:w="766" w:type="dxa"/>
            <w:tcBorders>
              <w:top w:val="nil"/>
              <w:left w:val="nil"/>
              <w:bottom w:val="single" w:sz="4" w:space="0" w:color="auto"/>
              <w:right w:val="single" w:sz="4" w:space="0" w:color="auto"/>
            </w:tcBorders>
            <w:shd w:val="clear" w:color="auto" w:fill="auto"/>
            <w:vAlign w:val="center"/>
            <w:hideMark/>
          </w:tcPr>
          <w:p w14:paraId="519B3CE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E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F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81,18</w:t>
            </w:r>
          </w:p>
        </w:tc>
        <w:tc>
          <w:tcPr>
            <w:tcW w:w="766" w:type="dxa"/>
            <w:tcBorders>
              <w:top w:val="nil"/>
              <w:left w:val="nil"/>
              <w:bottom w:val="single" w:sz="4" w:space="0" w:color="auto"/>
              <w:right w:val="single" w:sz="4" w:space="0" w:color="auto"/>
            </w:tcBorders>
            <w:shd w:val="clear" w:color="auto" w:fill="auto"/>
            <w:vAlign w:val="center"/>
            <w:hideMark/>
          </w:tcPr>
          <w:p w14:paraId="519B3CF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CF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CF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43,86</w:t>
            </w:r>
          </w:p>
        </w:tc>
        <w:tc>
          <w:tcPr>
            <w:tcW w:w="766" w:type="dxa"/>
            <w:tcBorders>
              <w:top w:val="nil"/>
              <w:left w:val="nil"/>
              <w:bottom w:val="single" w:sz="4" w:space="0" w:color="auto"/>
              <w:right w:val="nil"/>
            </w:tcBorders>
            <w:shd w:val="clear" w:color="auto" w:fill="auto"/>
            <w:vAlign w:val="center"/>
            <w:hideMark/>
          </w:tcPr>
          <w:p w14:paraId="519B3CF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CF5" w14:textId="77777777" w:rsidR="00B36C28" w:rsidRPr="008E63BB" w:rsidRDefault="00B36C28" w:rsidP="00B36C28">
            <w:pPr>
              <w:jc w:val="right"/>
              <w:rPr>
                <w:rFonts w:eastAsia="Times New Roman"/>
                <w:sz w:val="20"/>
                <w:szCs w:val="20"/>
              </w:rPr>
            </w:pPr>
            <w:r w:rsidRPr="008E63BB">
              <w:rPr>
                <w:rFonts w:eastAsia="Times New Roman"/>
                <w:sz w:val="20"/>
                <w:szCs w:val="20"/>
              </w:rPr>
              <w:t>200,56</w:t>
            </w:r>
          </w:p>
        </w:tc>
        <w:tc>
          <w:tcPr>
            <w:tcW w:w="766" w:type="dxa"/>
            <w:tcBorders>
              <w:top w:val="nil"/>
              <w:left w:val="nil"/>
              <w:bottom w:val="single" w:sz="4" w:space="0" w:color="auto"/>
              <w:right w:val="single" w:sz="4" w:space="0" w:color="auto"/>
            </w:tcBorders>
            <w:shd w:val="clear" w:color="auto" w:fill="auto"/>
            <w:vAlign w:val="center"/>
            <w:hideMark/>
          </w:tcPr>
          <w:p w14:paraId="519B3CF6"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F7"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CF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200,11</w:t>
            </w:r>
          </w:p>
        </w:tc>
        <w:tc>
          <w:tcPr>
            <w:tcW w:w="766" w:type="dxa"/>
            <w:tcBorders>
              <w:top w:val="nil"/>
              <w:left w:val="nil"/>
              <w:bottom w:val="single" w:sz="4" w:space="0" w:color="auto"/>
              <w:right w:val="single" w:sz="4" w:space="0" w:color="auto"/>
            </w:tcBorders>
            <w:shd w:val="clear" w:color="auto" w:fill="auto"/>
            <w:vAlign w:val="center"/>
            <w:hideMark/>
          </w:tcPr>
          <w:p w14:paraId="519B3CF9"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CFA"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CF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0,45</w:t>
            </w:r>
          </w:p>
        </w:tc>
      </w:tr>
      <w:tr w:rsidR="00B36C28" w:rsidRPr="008E63BB" w14:paraId="519B3D0E" w14:textId="77777777" w:rsidTr="004B2B2D">
        <w:trPr>
          <w:trHeight w:val="304"/>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CF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w:t>
            </w:r>
          </w:p>
        </w:tc>
        <w:tc>
          <w:tcPr>
            <w:tcW w:w="2972" w:type="dxa"/>
            <w:tcBorders>
              <w:top w:val="nil"/>
              <w:left w:val="nil"/>
              <w:bottom w:val="single" w:sz="4" w:space="0" w:color="auto"/>
              <w:right w:val="single" w:sz="4" w:space="0" w:color="auto"/>
            </w:tcBorders>
            <w:shd w:val="clear" w:color="auto" w:fill="auto"/>
            <w:vAlign w:val="center"/>
            <w:hideMark/>
          </w:tcPr>
          <w:p w14:paraId="519B3CFE"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Đất y tế</w:t>
            </w:r>
          </w:p>
        </w:tc>
        <w:tc>
          <w:tcPr>
            <w:tcW w:w="1016" w:type="dxa"/>
            <w:tcBorders>
              <w:top w:val="nil"/>
              <w:left w:val="nil"/>
              <w:bottom w:val="single" w:sz="4" w:space="0" w:color="auto"/>
              <w:right w:val="single" w:sz="4" w:space="0" w:color="auto"/>
            </w:tcBorders>
            <w:shd w:val="clear" w:color="auto" w:fill="auto"/>
            <w:vAlign w:val="center"/>
            <w:hideMark/>
          </w:tcPr>
          <w:p w14:paraId="519B3CF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13,40</w:t>
            </w:r>
          </w:p>
        </w:tc>
        <w:tc>
          <w:tcPr>
            <w:tcW w:w="766" w:type="dxa"/>
            <w:tcBorders>
              <w:top w:val="nil"/>
              <w:left w:val="nil"/>
              <w:bottom w:val="single" w:sz="4" w:space="0" w:color="auto"/>
              <w:right w:val="single" w:sz="4" w:space="0" w:color="auto"/>
            </w:tcBorders>
            <w:shd w:val="clear" w:color="auto" w:fill="auto"/>
            <w:vAlign w:val="center"/>
            <w:hideMark/>
          </w:tcPr>
          <w:p w14:paraId="519B3D0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0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0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12,95</w:t>
            </w:r>
          </w:p>
        </w:tc>
        <w:tc>
          <w:tcPr>
            <w:tcW w:w="766" w:type="dxa"/>
            <w:tcBorders>
              <w:top w:val="nil"/>
              <w:left w:val="nil"/>
              <w:bottom w:val="single" w:sz="4" w:space="0" w:color="auto"/>
              <w:right w:val="single" w:sz="4" w:space="0" w:color="auto"/>
            </w:tcBorders>
            <w:shd w:val="clear" w:color="auto" w:fill="auto"/>
            <w:vAlign w:val="center"/>
            <w:hideMark/>
          </w:tcPr>
          <w:p w14:paraId="519B3D0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0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0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0,45</w:t>
            </w:r>
          </w:p>
        </w:tc>
        <w:tc>
          <w:tcPr>
            <w:tcW w:w="766" w:type="dxa"/>
            <w:tcBorders>
              <w:top w:val="nil"/>
              <w:left w:val="nil"/>
              <w:bottom w:val="single" w:sz="4" w:space="0" w:color="auto"/>
              <w:right w:val="nil"/>
            </w:tcBorders>
            <w:shd w:val="clear" w:color="auto" w:fill="auto"/>
            <w:vAlign w:val="center"/>
            <w:hideMark/>
          </w:tcPr>
          <w:p w14:paraId="519B3D0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0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20,97</w:t>
            </w:r>
          </w:p>
        </w:tc>
        <w:tc>
          <w:tcPr>
            <w:tcW w:w="766" w:type="dxa"/>
            <w:tcBorders>
              <w:top w:val="nil"/>
              <w:left w:val="nil"/>
              <w:bottom w:val="single" w:sz="4" w:space="0" w:color="auto"/>
              <w:right w:val="single" w:sz="4" w:space="0" w:color="auto"/>
            </w:tcBorders>
            <w:shd w:val="clear" w:color="auto" w:fill="auto"/>
            <w:vAlign w:val="center"/>
            <w:hideMark/>
          </w:tcPr>
          <w:p w14:paraId="519B3D08"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09"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0A"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20,52</w:t>
            </w:r>
          </w:p>
        </w:tc>
        <w:tc>
          <w:tcPr>
            <w:tcW w:w="766" w:type="dxa"/>
            <w:tcBorders>
              <w:top w:val="nil"/>
              <w:left w:val="nil"/>
              <w:bottom w:val="single" w:sz="4" w:space="0" w:color="auto"/>
              <w:right w:val="single" w:sz="4" w:space="0" w:color="auto"/>
            </w:tcBorders>
            <w:shd w:val="clear" w:color="auto" w:fill="auto"/>
            <w:vAlign w:val="center"/>
            <w:hideMark/>
          </w:tcPr>
          <w:p w14:paraId="519B3D0B"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0C"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0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0,45</w:t>
            </w:r>
          </w:p>
        </w:tc>
      </w:tr>
      <w:tr w:rsidR="00B36C28" w:rsidRPr="008E63BB" w14:paraId="519B3D20" w14:textId="77777777" w:rsidTr="004B2B2D">
        <w:trPr>
          <w:trHeight w:val="304"/>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0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w:t>
            </w:r>
          </w:p>
        </w:tc>
        <w:tc>
          <w:tcPr>
            <w:tcW w:w="2972" w:type="dxa"/>
            <w:tcBorders>
              <w:top w:val="nil"/>
              <w:left w:val="nil"/>
              <w:bottom w:val="single" w:sz="4" w:space="0" w:color="auto"/>
              <w:right w:val="single" w:sz="4" w:space="0" w:color="auto"/>
            </w:tcBorders>
            <w:shd w:val="clear" w:color="auto" w:fill="auto"/>
            <w:vAlign w:val="center"/>
            <w:hideMark/>
          </w:tcPr>
          <w:p w14:paraId="519B3D10"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Đất trường đào tạo, THCN, dạy nghề</w:t>
            </w:r>
          </w:p>
        </w:tc>
        <w:tc>
          <w:tcPr>
            <w:tcW w:w="1016" w:type="dxa"/>
            <w:tcBorders>
              <w:top w:val="nil"/>
              <w:left w:val="nil"/>
              <w:bottom w:val="single" w:sz="4" w:space="0" w:color="auto"/>
              <w:right w:val="single" w:sz="4" w:space="0" w:color="auto"/>
            </w:tcBorders>
            <w:shd w:val="clear" w:color="auto" w:fill="auto"/>
            <w:vAlign w:val="center"/>
            <w:hideMark/>
          </w:tcPr>
          <w:p w14:paraId="519B3D1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93,35</w:t>
            </w:r>
          </w:p>
        </w:tc>
        <w:tc>
          <w:tcPr>
            <w:tcW w:w="766" w:type="dxa"/>
            <w:tcBorders>
              <w:top w:val="nil"/>
              <w:left w:val="nil"/>
              <w:bottom w:val="single" w:sz="4" w:space="0" w:color="auto"/>
              <w:right w:val="single" w:sz="4" w:space="0" w:color="auto"/>
            </w:tcBorders>
            <w:shd w:val="clear" w:color="auto" w:fill="auto"/>
            <w:vAlign w:val="center"/>
            <w:hideMark/>
          </w:tcPr>
          <w:p w14:paraId="519B3D1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1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1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49,95</w:t>
            </w:r>
          </w:p>
        </w:tc>
        <w:tc>
          <w:tcPr>
            <w:tcW w:w="766" w:type="dxa"/>
            <w:tcBorders>
              <w:top w:val="nil"/>
              <w:left w:val="nil"/>
              <w:bottom w:val="single" w:sz="4" w:space="0" w:color="auto"/>
              <w:right w:val="single" w:sz="4" w:space="0" w:color="auto"/>
            </w:tcBorders>
            <w:shd w:val="clear" w:color="auto" w:fill="auto"/>
            <w:vAlign w:val="center"/>
            <w:hideMark/>
          </w:tcPr>
          <w:p w14:paraId="519B3D1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1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1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43,41</w:t>
            </w:r>
          </w:p>
        </w:tc>
        <w:tc>
          <w:tcPr>
            <w:tcW w:w="766" w:type="dxa"/>
            <w:tcBorders>
              <w:top w:val="nil"/>
              <w:left w:val="nil"/>
              <w:bottom w:val="single" w:sz="4" w:space="0" w:color="auto"/>
              <w:right w:val="nil"/>
            </w:tcBorders>
            <w:shd w:val="clear" w:color="auto" w:fill="auto"/>
            <w:vAlign w:val="center"/>
            <w:hideMark/>
          </w:tcPr>
          <w:p w14:paraId="519B3D1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1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161,30</w:t>
            </w:r>
          </w:p>
        </w:tc>
        <w:tc>
          <w:tcPr>
            <w:tcW w:w="766" w:type="dxa"/>
            <w:tcBorders>
              <w:top w:val="nil"/>
              <w:left w:val="nil"/>
              <w:bottom w:val="single" w:sz="4" w:space="0" w:color="auto"/>
              <w:right w:val="single" w:sz="4" w:space="0" w:color="auto"/>
            </w:tcBorders>
            <w:shd w:val="clear" w:color="auto" w:fill="auto"/>
            <w:vAlign w:val="center"/>
            <w:hideMark/>
          </w:tcPr>
          <w:p w14:paraId="519B3D1A"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1B"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1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161,30</w:t>
            </w:r>
          </w:p>
        </w:tc>
        <w:tc>
          <w:tcPr>
            <w:tcW w:w="766" w:type="dxa"/>
            <w:tcBorders>
              <w:top w:val="nil"/>
              <w:left w:val="nil"/>
              <w:bottom w:val="single" w:sz="4" w:space="0" w:color="auto"/>
              <w:right w:val="single" w:sz="4" w:space="0" w:color="auto"/>
            </w:tcBorders>
            <w:shd w:val="clear" w:color="auto" w:fill="auto"/>
            <w:vAlign w:val="center"/>
            <w:hideMark/>
          </w:tcPr>
          <w:p w14:paraId="519B3D1D"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1E"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1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0,00</w:t>
            </w:r>
          </w:p>
        </w:tc>
      </w:tr>
      <w:tr w:rsidR="00B36C28" w:rsidRPr="008E63BB" w14:paraId="519B3D32" w14:textId="77777777" w:rsidTr="004B2B2D">
        <w:trPr>
          <w:trHeight w:val="304"/>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2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w:t>
            </w:r>
          </w:p>
        </w:tc>
        <w:tc>
          <w:tcPr>
            <w:tcW w:w="2972" w:type="dxa"/>
            <w:tcBorders>
              <w:top w:val="nil"/>
              <w:left w:val="nil"/>
              <w:bottom w:val="single" w:sz="4" w:space="0" w:color="auto"/>
              <w:right w:val="single" w:sz="4" w:space="0" w:color="auto"/>
            </w:tcBorders>
            <w:shd w:val="clear" w:color="auto" w:fill="auto"/>
            <w:vAlign w:val="center"/>
            <w:hideMark/>
          </w:tcPr>
          <w:p w14:paraId="519B3D22" w14:textId="77777777" w:rsidR="00B36C28" w:rsidRPr="008E63BB" w:rsidRDefault="00B36C28" w:rsidP="00B36C28">
            <w:pPr>
              <w:jc w:val="left"/>
              <w:rPr>
                <w:rFonts w:eastAsia="Times New Roman"/>
                <w:i/>
                <w:iCs/>
                <w:sz w:val="20"/>
                <w:szCs w:val="20"/>
              </w:rPr>
            </w:pPr>
            <w:r w:rsidRPr="008E63BB">
              <w:rPr>
                <w:rFonts w:eastAsia="Times New Roman"/>
                <w:i/>
                <w:iCs/>
                <w:sz w:val="20"/>
                <w:szCs w:val="20"/>
              </w:rPr>
              <w:t xml:space="preserve">Đất xây dựng cơ sở khoa học và công nghệ </w:t>
            </w:r>
          </w:p>
        </w:tc>
        <w:tc>
          <w:tcPr>
            <w:tcW w:w="1016" w:type="dxa"/>
            <w:tcBorders>
              <w:top w:val="nil"/>
              <w:left w:val="nil"/>
              <w:bottom w:val="single" w:sz="4" w:space="0" w:color="auto"/>
              <w:right w:val="single" w:sz="4" w:space="0" w:color="auto"/>
            </w:tcBorders>
            <w:shd w:val="clear" w:color="auto" w:fill="auto"/>
            <w:vAlign w:val="center"/>
            <w:hideMark/>
          </w:tcPr>
          <w:p w14:paraId="519B3D2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D2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2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2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D2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2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2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nil"/>
            </w:tcBorders>
            <w:shd w:val="clear" w:color="auto" w:fill="auto"/>
            <w:vAlign w:val="center"/>
            <w:hideMark/>
          </w:tcPr>
          <w:p w14:paraId="519B3D2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2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D2C"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2D"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2E"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18,28</w:t>
            </w:r>
          </w:p>
        </w:tc>
        <w:tc>
          <w:tcPr>
            <w:tcW w:w="766" w:type="dxa"/>
            <w:tcBorders>
              <w:top w:val="nil"/>
              <w:left w:val="nil"/>
              <w:bottom w:val="single" w:sz="4" w:space="0" w:color="auto"/>
              <w:right w:val="single" w:sz="4" w:space="0" w:color="auto"/>
            </w:tcBorders>
            <w:shd w:val="clear" w:color="auto" w:fill="auto"/>
            <w:vAlign w:val="center"/>
            <w:hideMark/>
          </w:tcPr>
          <w:p w14:paraId="519B3D2F"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30" w14:textId="77777777" w:rsidR="00B36C28" w:rsidRPr="008E63BB" w:rsidRDefault="00B36C28" w:rsidP="00B36C28">
            <w:pPr>
              <w:jc w:val="center"/>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3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r>
      <w:tr w:rsidR="00B36C28" w:rsidRPr="008E63BB" w14:paraId="519B3D44" w14:textId="77777777" w:rsidTr="004B2B2D">
        <w:trPr>
          <w:trHeight w:val="33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33" w14:textId="77777777" w:rsidR="00B36C28" w:rsidRPr="008E63BB" w:rsidRDefault="00B36C28" w:rsidP="00B36C28">
            <w:pPr>
              <w:jc w:val="center"/>
              <w:rPr>
                <w:rFonts w:eastAsia="Times New Roman"/>
                <w:sz w:val="20"/>
                <w:szCs w:val="20"/>
              </w:rPr>
            </w:pPr>
            <w:r w:rsidRPr="008E63BB">
              <w:rPr>
                <w:rFonts w:eastAsia="Times New Roman"/>
                <w:sz w:val="20"/>
                <w:szCs w:val="20"/>
              </w:rPr>
              <w:t>3</w:t>
            </w:r>
          </w:p>
        </w:tc>
        <w:tc>
          <w:tcPr>
            <w:tcW w:w="2972" w:type="dxa"/>
            <w:tcBorders>
              <w:top w:val="nil"/>
              <w:left w:val="nil"/>
              <w:bottom w:val="single" w:sz="4" w:space="0" w:color="auto"/>
              <w:right w:val="single" w:sz="4" w:space="0" w:color="auto"/>
            </w:tcBorders>
            <w:shd w:val="clear" w:color="auto" w:fill="auto"/>
            <w:vAlign w:val="center"/>
            <w:hideMark/>
          </w:tcPr>
          <w:p w14:paraId="519B3D34" w14:textId="77777777" w:rsidR="00B36C28" w:rsidRPr="008E63BB" w:rsidRDefault="00B36C28" w:rsidP="00B36C28">
            <w:pPr>
              <w:jc w:val="left"/>
              <w:rPr>
                <w:rFonts w:eastAsia="Times New Roman"/>
                <w:sz w:val="20"/>
                <w:szCs w:val="20"/>
              </w:rPr>
            </w:pPr>
            <w:r w:rsidRPr="008E63BB">
              <w:rPr>
                <w:rFonts w:eastAsia="Times New Roman"/>
                <w:sz w:val="20"/>
                <w:szCs w:val="20"/>
              </w:rPr>
              <w:t xml:space="preserve">Đất hỗn hợp-thương mại, dịch vụ </w:t>
            </w:r>
          </w:p>
        </w:tc>
        <w:tc>
          <w:tcPr>
            <w:tcW w:w="1016" w:type="dxa"/>
            <w:tcBorders>
              <w:top w:val="nil"/>
              <w:left w:val="nil"/>
              <w:bottom w:val="single" w:sz="4" w:space="0" w:color="auto"/>
              <w:right w:val="single" w:sz="4" w:space="0" w:color="auto"/>
            </w:tcBorders>
            <w:shd w:val="clear" w:color="auto" w:fill="auto"/>
            <w:vAlign w:val="center"/>
            <w:hideMark/>
          </w:tcPr>
          <w:p w14:paraId="519B3D35" w14:textId="77777777" w:rsidR="00B36C28" w:rsidRPr="008E63BB" w:rsidRDefault="00B36C28" w:rsidP="00B36C28">
            <w:pPr>
              <w:jc w:val="right"/>
              <w:rPr>
                <w:rFonts w:eastAsia="Times New Roman"/>
                <w:sz w:val="20"/>
                <w:szCs w:val="20"/>
              </w:rPr>
            </w:pPr>
            <w:r w:rsidRPr="008E63BB">
              <w:rPr>
                <w:rFonts w:eastAsia="Times New Roman"/>
                <w:sz w:val="20"/>
                <w:szCs w:val="20"/>
              </w:rPr>
              <w:t>172,81</w:t>
            </w:r>
          </w:p>
        </w:tc>
        <w:tc>
          <w:tcPr>
            <w:tcW w:w="766" w:type="dxa"/>
            <w:tcBorders>
              <w:top w:val="nil"/>
              <w:left w:val="nil"/>
              <w:bottom w:val="single" w:sz="4" w:space="0" w:color="auto"/>
              <w:right w:val="single" w:sz="4" w:space="0" w:color="auto"/>
            </w:tcBorders>
            <w:shd w:val="clear" w:color="auto" w:fill="auto"/>
            <w:vAlign w:val="center"/>
            <w:hideMark/>
          </w:tcPr>
          <w:p w14:paraId="519B3D3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3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3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3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3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3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172,81</w:t>
            </w:r>
          </w:p>
        </w:tc>
        <w:tc>
          <w:tcPr>
            <w:tcW w:w="766" w:type="dxa"/>
            <w:tcBorders>
              <w:top w:val="nil"/>
              <w:left w:val="nil"/>
              <w:bottom w:val="single" w:sz="4" w:space="0" w:color="auto"/>
              <w:right w:val="nil"/>
            </w:tcBorders>
            <w:shd w:val="clear" w:color="auto" w:fill="auto"/>
            <w:vAlign w:val="center"/>
            <w:hideMark/>
          </w:tcPr>
          <w:p w14:paraId="519B3D3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3D" w14:textId="77777777" w:rsidR="00B36C28" w:rsidRPr="008E63BB" w:rsidRDefault="00B36C28" w:rsidP="00B36C28">
            <w:pPr>
              <w:jc w:val="right"/>
              <w:rPr>
                <w:rFonts w:eastAsia="Times New Roman"/>
                <w:sz w:val="20"/>
                <w:szCs w:val="20"/>
              </w:rPr>
            </w:pPr>
            <w:r w:rsidRPr="008E63BB">
              <w:rPr>
                <w:rFonts w:eastAsia="Times New Roman"/>
                <w:sz w:val="20"/>
                <w:szCs w:val="20"/>
              </w:rPr>
              <w:t>470,45</w:t>
            </w:r>
          </w:p>
        </w:tc>
        <w:tc>
          <w:tcPr>
            <w:tcW w:w="766" w:type="dxa"/>
            <w:tcBorders>
              <w:top w:val="nil"/>
              <w:left w:val="nil"/>
              <w:bottom w:val="single" w:sz="4" w:space="0" w:color="auto"/>
              <w:right w:val="single" w:sz="4" w:space="0" w:color="auto"/>
            </w:tcBorders>
            <w:shd w:val="clear" w:color="auto" w:fill="auto"/>
            <w:vAlign w:val="center"/>
            <w:hideMark/>
          </w:tcPr>
          <w:p w14:paraId="519B3D3E"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3F"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40" w14:textId="77777777" w:rsidR="00B36C28" w:rsidRPr="008E63BB" w:rsidRDefault="00B36C28" w:rsidP="00B36C28">
            <w:pPr>
              <w:jc w:val="right"/>
              <w:rPr>
                <w:rFonts w:eastAsia="Times New Roman"/>
                <w:sz w:val="20"/>
                <w:szCs w:val="20"/>
              </w:rPr>
            </w:pPr>
            <w:r w:rsidRPr="008E63BB">
              <w:rPr>
                <w:rFonts w:eastAsia="Times New Roman"/>
                <w:sz w:val="20"/>
                <w:szCs w:val="20"/>
              </w:rPr>
              <w:t>460,25</w:t>
            </w:r>
          </w:p>
        </w:tc>
        <w:tc>
          <w:tcPr>
            <w:tcW w:w="766" w:type="dxa"/>
            <w:tcBorders>
              <w:top w:val="nil"/>
              <w:left w:val="nil"/>
              <w:bottom w:val="single" w:sz="4" w:space="0" w:color="auto"/>
              <w:right w:val="single" w:sz="4" w:space="0" w:color="auto"/>
            </w:tcBorders>
            <w:shd w:val="clear" w:color="auto" w:fill="auto"/>
            <w:vAlign w:val="center"/>
            <w:hideMark/>
          </w:tcPr>
          <w:p w14:paraId="519B3D41"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42"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43" w14:textId="77777777" w:rsidR="00B36C28" w:rsidRPr="008E63BB" w:rsidRDefault="00B36C28" w:rsidP="00B36C28">
            <w:pPr>
              <w:jc w:val="right"/>
              <w:rPr>
                <w:rFonts w:eastAsia="Times New Roman"/>
                <w:sz w:val="20"/>
                <w:szCs w:val="20"/>
              </w:rPr>
            </w:pPr>
            <w:r w:rsidRPr="008E63BB">
              <w:rPr>
                <w:rFonts w:eastAsia="Times New Roman"/>
                <w:sz w:val="20"/>
                <w:szCs w:val="20"/>
              </w:rPr>
              <w:t>10,20</w:t>
            </w:r>
          </w:p>
        </w:tc>
      </w:tr>
      <w:tr w:rsidR="00B36C28" w:rsidRPr="008E63BB" w14:paraId="519B3D56" w14:textId="77777777" w:rsidTr="004B2B2D">
        <w:trPr>
          <w:trHeight w:val="330"/>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45" w14:textId="77777777" w:rsidR="00B36C28" w:rsidRPr="008E63BB" w:rsidRDefault="00B36C28" w:rsidP="00B36C28">
            <w:pPr>
              <w:jc w:val="center"/>
              <w:rPr>
                <w:rFonts w:eastAsia="Times New Roman"/>
                <w:sz w:val="20"/>
                <w:szCs w:val="20"/>
              </w:rPr>
            </w:pPr>
            <w:r w:rsidRPr="008E63BB">
              <w:rPr>
                <w:rFonts w:eastAsia="Times New Roman"/>
                <w:sz w:val="20"/>
                <w:szCs w:val="20"/>
              </w:rPr>
              <w:t>4</w:t>
            </w:r>
          </w:p>
        </w:tc>
        <w:tc>
          <w:tcPr>
            <w:tcW w:w="2972" w:type="dxa"/>
            <w:tcBorders>
              <w:top w:val="nil"/>
              <w:left w:val="nil"/>
              <w:bottom w:val="single" w:sz="4" w:space="0" w:color="auto"/>
              <w:right w:val="single" w:sz="4" w:space="0" w:color="auto"/>
            </w:tcBorders>
            <w:shd w:val="clear" w:color="auto" w:fill="auto"/>
            <w:vAlign w:val="center"/>
            <w:hideMark/>
          </w:tcPr>
          <w:p w14:paraId="519B3D46" w14:textId="77777777" w:rsidR="00B36C28" w:rsidRPr="008E63BB" w:rsidRDefault="00B36C28" w:rsidP="00B36C28">
            <w:pPr>
              <w:jc w:val="left"/>
              <w:rPr>
                <w:rFonts w:eastAsia="Times New Roman"/>
                <w:sz w:val="20"/>
                <w:szCs w:val="20"/>
              </w:rPr>
            </w:pPr>
            <w:r w:rsidRPr="008E63BB">
              <w:rPr>
                <w:rFonts w:eastAsia="Times New Roman"/>
                <w:sz w:val="20"/>
                <w:szCs w:val="20"/>
              </w:rPr>
              <w:t>Đất du lịch, dịch vụ</w:t>
            </w:r>
          </w:p>
        </w:tc>
        <w:tc>
          <w:tcPr>
            <w:tcW w:w="1016" w:type="dxa"/>
            <w:tcBorders>
              <w:top w:val="nil"/>
              <w:left w:val="nil"/>
              <w:bottom w:val="single" w:sz="4" w:space="0" w:color="auto"/>
              <w:right w:val="single" w:sz="4" w:space="0" w:color="auto"/>
            </w:tcBorders>
            <w:shd w:val="clear" w:color="auto" w:fill="auto"/>
            <w:vAlign w:val="center"/>
            <w:hideMark/>
          </w:tcPr>
          <w:p w14:paraId="519B3D47"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48"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49"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4A"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4B"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4C"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4D"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nil"/>
            </w:tcBorders>
            <w:shd w:val="clear" w:color="auto" w:fill="auto"/>
            <w:vAlign w:val="center"/>
            <w:hideMark/>
          </w:tcPr>
          <w:p w14:paraId="519B3D4E"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4F" w14:textId="77777777" w:rsidR="00B36C28" w:rsidRPr="008E63BB" w:rsidRDefault="00B36C28" w:rsidP="00B36C28">
            <w:pPr>
              <w:jc w:val="right"/>
              <w:rPr>
                <w:rFonts w:eastAsia="Times New Roman"/>
                <w:sz w:val="20"/>
                <w:szCs w:val="20"/>
              </w:rPr>
            </w:pPr>
            <w:r w:rsidRPr="008E63BB">
              <w:rPr>
                <w:rFonts w:eastAsia="Times New Roman"/>
                <w:sz w:val="20"/>
                <w:szCs w:val="20"/>
              </w:rPr>
              <w:t>72,92</w:t>
            </w:r>
          </w:p>
        </w:tc>
        <w:tc>
          <w:tcPr>
            <w:tcW w:w="766" w:type="dxa"/>
            <w:tcBorders>
              <w:top w:val="nil"/>
              <w:left w:val="nil"/>
              <w:bottom w:val="single" w:sz="4" w:space="0" w:color="auto"/>
              <w:right w:val="single" w:sz="4" w:space="0" w:color="auto"/>
            </w:tcBorders>
            <w:shd w:val="clear" w:color="auto" w:fill="auto"/>
            <w:vAlign w:val="center"/>
            <w:hideMark/>
          </w:tcPr>
          <w:p w14:paraId="519B3D50"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51"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52" w14:textId="77777777" w:rsidR="00B36C28" w:rsidRPr="008E63BB" w:rsidRDefault="00B36C28" w:rsidP="00B36C28">
            <w:pPr>
              <w:jc w:val="right"/>
              <w:rPr>
                <w:rFonts w:eastAsia="Times New Roman"/>
                <w:sz w:val="20"/>
                <w:szCs w:val="20"/>
              </w:rPr>
            </w:pPr>
            <w:r w:rsidRPr="008E63BB">
              <w:rPr>
                <w:rFonts w:eastAsia="Times New Roman"/>
                <w:sz w:val="20"/>
                <w:szCs w:val="20"/>
              </w:rPr>
              <w:t>47,37</w:t>
            </w:r>
          </w:p>
        </w:tc>
        <w:tc>
          <w:tcPr>
            <w:tcW w:w="766" w:type="dxa"/>
            <w:tcBorders>
              <w:top w:val="nil"/>
              <w:left w:val="nil"/>
              <w:bottom w:val="single" w:sz="4" w:space="0" w:color="auto"/>
              <w:right w:val="single" w:sz="4" w:space="0" w:color="auto"/>
            </w:tcBorders>
            <w:shd w:val="clear" w:color="auto" w:fill="auto"/>
            <w:vAlign w:val="center"/>
            <w:hideMark/>
          </w:tcPr>
          <w:p w14:paraId="519B3D53"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54"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55" w14:textId="77777777" w:rsidR="00B36C28" w:rsidRPr="008E63BB" w:rsidRDefault="00B36C28" w:rsidP="00B36C28">
            <w:pPr>
              <w:jc w:val="right"/>
              <w:rPr>
                <w:rFonts w:eastAsia="Times New Roman"/>
                <w:sz w:val="20"/>
                <w:szCs w:val="20"/>
              </w:rPr>
            </w:pPr>
            <w:r w:rsidRPr="008E63BB">
              <w:rPr>
                <w:rFonts w:eastAsia="Times New Roman"/>
                <w:sz w:val="20"/>
                <w:szCs w:val="20"/>
              </w:rPr>
              <w:t>25,55</w:t>
            </w:r>
          </w:p>
        </w:tc>
      </w:tr>
      <w:tr w:rsidR="00B36C28" w:rsidRPr="008E63BB" w14:paraId="519B3D68" w14:textId="77777777" w:rsidTr="00C44021">
        <w:trPr>
          <w:trHeight w:val="278"/>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57" w14:textId="77777777" w:rsidR="00B36C28" w:rsidRPr="008E63BB" w:rsidRDefault="00B36C28" w:rsidP="00B36C28">
            <w:pPr>
              <w:jc w:val="center"/>
              <w:rPr>
                <w:rFonts w:eastAsia="Times New Roman"/>
                <w:sz w:val="20"/>
                <w:szCs w:val="20"/>
              </w:rPr>
            </w:pPr>
            <w:r w:rsidRPr="008E63BB">
              <w:rPr>
                <w:rFonts w:eastAsia="Times New Roman"/>
                <w:sz w:val="20"/>
                <w:szCs w:val="20"/>
              </w:rPr>
              <w:lastRenderedPageBreak/>
              <w:t>5</w:t>
            </w:r>
          </w:p>
        </w:tc>
        <w:tc>
          <w:tcPr>
            <w:tcW w:w="2972" w:type="dxa"/>
            <w:tcBorders>
              <w:top w:val="nil"/>
              <w:left w:val="nil"/>
              <w:bottom w:val="single" w:sz="4" w:space="0" w:color="auto"/>
              <w:right w:val="single" w:sz="4" w:space="0" w:color="auto"/>
            </w:tcBorders>
            <w:shd w:val="clear" w:color="auto" w:fill="auto"/>
            <w:vAlign w:val="center"/>
            <w:hideMark/>
          </w:tcPr>
          <w:p w14:paraId="519B3D58" w14:textId="77777777" w:rsidR="00B36C28" w:rsidRPr="008E63BB" w:rsidRDefault="00B36C28" w:rsidP="00B36C28">
            <w:pPr>
              <w:jc w:val="left"/>
              <w:rPr>
                <w:rFonts w:eastAsia="Times New Roman"/>
                <w:sz w:val="20"/>
                <w:szCs w:val="20"/>
              </w:rPr>
            </w:pPr>
            <w:r w:rsidRPr="008E63BB">
              <w:rPr>
                <w:rFonts w:eastAsia="Times New Roman"/>
                <w:sz w:val="20"/>
                <w:szCs w:val="20"/>
              </w:rPr>
              <w:t>Đất công nghiệp</w:t>
            </w:r>
          </w:p>
        </w:tc>
        <w:tc>
          <w:tcPr>
            <w:tcW w:w="1016" w:type="dxa"/>
            <w:tcBorders>
              <w:top w:val="nil"/>
              <w:left w:val="nil"/>
              <w:bottom w:val="single" w:sz="4" w:space="0" w:color="auto"/>
              <w:right w:val="single" w:sz="4" w:space="0" w:color="auto"/>
            </w:tcBorders>
            <w:shd w:val="clear" w:color="auto" w:fill="auto"/>
            <w:vAlign w:val="center"/>
            <w:hideMark/>
          </w:tcPr>
          <w:p w14:paraId="519B3D59" w14:textId="77777777" w:rsidR="00B36C28" w:rsidRPr="008E63BB" w:rsidRDefault="00B36C28" w:rsidP="00B36C28">
            <w:pPr>
              <w:jc w:val="right"/>
              <w:rPr>
                <w:rFonts w:eastAsia="Times New Roman"/>
                <w:sz w:val="20"/>
                <w:szCs w:val="20"/>
              </w:rPr>
            </w:pPr>
            <w:r w:rsidRPr="008E63BB">
              <w:rPr>
                <w:rFonts w:eastAsia="Times New Roman"/>
                <w:sz w:val="20"/>
                <w:szCs w:val="20"/>
              </w:rPr>
              <w:t>733,15</w:t>
            </w:r>
          </w:p>
        </w:tc>
        <w:tc>
          <w:tcPr>
            <w:tcW w:w="766" w:type="dxa"/>
            <w:tcBorders>
              <w:top w:val="nil"/>
              <w:left w:val="nil"/>
              <w:bottom w:val="single" w:sz="4" w:space="0" w:color="auto"/>
              <w:right w:val="single" w:sz="4" w:space="0" w:color="auto"/>
            </w:tcBorders>
            <w:shd w:val="clear" w:color="auto" w:fill="auto"/>
            <w:vAlign w:val="center"/>
            <w:hideMark/>
          </w:tcPr>
          <w:p w14:paraId="519B3D5A"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5B"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5C" w14:textId="77777777" w:rsidR="00B36C28" w:rsidRPr="008E63BB" w:rsidRDefault="00B36C28" w:rsidP="00B36C28">
            <w:pPr>
              <w:jc w:val="right"/>
              <w:rPr>
                <w:rFonts w:eastAsia="Times New Roman"/>
                <w:sz w:val="20"/>
                <w:szCs w:val="20"/>
              </w:rPr>
            </w:pPr>
            <w:r w:rsidRPr="008E63BB">
              <w:rPr>
                <w:rFonts w:eastAsia="Times New Roman"/>
                <w:sz w:val="20"/>
                <w:szCs w:val="20"/>
              </w:rPr>
              <w:t>574,68</w:t>
            </w:r>
          </w:p>
        </w:tc>
        <w:tc>
          <w:tcPr>
            <w:tcW w:w="766" w:type="dxa"/>
            <w:tcBorders>
              <w:top w:val="nil"/>
              <w:left w:val="nil"/>
              <w:bottom w:val="single" w:sz="4" w:space="0" w:color="auto"/>
              <w:right w:val="single" w:sz="4" w:space="0" w:color="auto"/>
            </w:tcBorders>
            <w:shd w:val="clear" w:color="auto" w:fill="auto"/>
            <w:vAlign w:val="center"/>
            <w:hideMark/>
          </w:tcPr>
          <w:p w14:paraId="519B3D5D"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5E"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5F" w14:textId="77777777" w:rsidR="00B36C28" w:rsidRPr="008E63BB" w:rsidRDefault="00B36C28" w:rsidP="00B36C28">
            <w:pPr>
              <w:jc w:val="right"/>
              <w:rPr>
                <w:rFonts w:eastAsia="Times New Roman"/>
                <w:sz w:val="20"/>
                <w:szCs w:val="20"/>
              </w:rPr>
            </w:pPr>
            <w:r w:rsidRPr="008E63BB">
              <w:rPr>
                <w:rFonts w:eastAsia="Times New Roman"/>
                <w:sz w:val="20"/>
                <w:szCs w:val="20"/>
              </w:rPr>
              <w:t>158,47</w:t>
            </w:r>
          </w:p>
        </w:tc>
        <w:tc>
          <w:tcPr>
            <w:tcW w:w="766" w:type="dxa"/>
            <w:tcBorders>
              <w:top w:val="nil"/>
              <w:left w:val="nil"/>
              <w:bottom w:val="single" w:sz="4" w:space="0" w:color="auto"/>
              <w:right w:val="nil"/>
            </w:tcBorders>
            <w:shd w:val="clear" w:color="auto" w:fill="auto"/>
            <w:vAlign w:val="center"/>
            <w:hideMark/>
          </w:tcPr>
          <w:p w14:paraId="519B3D60"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61" w14:textId="77777777" w:rsidR="00B36C28" w:rsidRPr="008E63BB" w:rsidRDefault="00B36C28" w:rsidP="00B36C28">
            <w:pPr>
              <w:jc w:val="right"/>
              <w:rPr>
                <w:rFonts w:eastAsia="Times New Roman"/>
                <w:sz w:val="20"/>
                <w:szCs w:val="20"/>
              </w:rPr>
            </w:pPr>
            <w:r w:rsidRPr="008E63BB">
              <w:rPr>
                <w:rFonts w:eastAsia="Times New Roman"/>
                <w:sz w:val="20"/>
                <w:szCs w:val="20"/>
              </w:rPr>
              <w:t>981,25</w:t>
            </w:r>
          </w:p>
        </w:tc>
        <w:tc>
          <w:tcPr>
            <w:tcW w:w="766" w:type="dxa"/>
            <w:tcBorders>
              <w:top w:val="nil"/>
              <w:left w:val="nil"/>
              <w:bottom w:val="single" w:sz="4" w:space="0" w:color="auto"/>
              <w:right w:val="single" w:sz="4" w:space="0" w:color="auto"/>
            </w:tcBorders>
            <w:shd w:val="clear" w:color="auto" w:fill="auto"/>
            <w:vAlign w:val="center"/>
            <w:hideMark/>
          </w:tcPr>
          <w:p w14:paraId="519B3D62"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63"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noWrap/>
            <w:vAlign w:val="center"/>
            <w:hideMark/>
          </w:tcPr>
          <w:p w14:paraId="519B3D64" w14:textId="77777777" w:rsidR="00B36C28" w:rsidRPr="008E63BB" w:rsidRDefault="00B36C28" w:rsidP="00B36C28">
            <w:pPr>
              <w:jc w:val="right"/>
              <w:rPr>
                <w:rFonts w:eastAsia="Times New Roman"/>
                <w:sz w:val="20"/>
                <w:szCs w:val="20"/>
              </w:rPr>
            </w:pPr>
            <w:r w:rsidRPr="008E63BB">
              <w:rPr>
                <w:rFonts w:eastAsia="Times New Roman"/>
                <w:sz w:val="20"/>
                <w:szCs w:val="20"/>
              </w:rPr>
              <w:t>609,58</w:t>
            </w:r>
          </w:p>
        </w:tc>
        <w:tc>
          <w:tcPr>
            <w:tcW w:w="766" w:type="dxa"/>
            <w:tcBorders>
              <w:top w:val="nil"/>
              <w:left w:val="nil"/>
              <w:bottom w:val="single" w:sz="4" w:space="0" w:color="auto"/>
              <w:right w:val="single" w:sz="4" w:space="0" w:color="auto"/>
            </w:tcBorders>
            <w:shd w:val="clear" w:color="auto" w:fill="auto"/>
            <w:vAlign w:val="center"/>
            <w:hideMark/>
          </w:tcPr>
          <w:p w14:paraId="519B3D65"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66"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67" w14:textId="77777777" w:rsidR="00B36C28" w:rsidRPr="008E63BB" w:rsidRDefault="00B36C28" w:rsidP="00B36C28">
            <w:pPr>
              <w:jc w:val="right"/>
              <w:rPr>
                <w:rFonts w:eastAsia="Times New Roman"/>
                <w:sz w:val="20"/>
                <w:szCs w:val="20"/>
              </w:rPr>
            </w:pPr>
            <w:r w:rsidRPr="008E63BB">
              <w:rPr>
                <w:rFonts w:eastAsia="Times New Roman"/>
                <w:sz w:val="20"/>
                <w:szCs w:val="20"/>
              </w:rPr>
              <w:t>371,67</w:t>
            </w:r>
          </w:p>
        </w:tc>
      </w:tr>
      <w:tr w:rsidR="00B36C28" w:rsidRPr="008E63BB" w14:paraId="519B3D7A" w14:textId="77777777" w:rsidTr="00C44021">
        <w:trPr>
          <w:trHeight w:val="291"/>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D69" w14:textId="77777777" w:rsidR="00B36C28" w:rsidRPr="008E63BB" w:rsidRDefault="00B36C28" w:rsidP="00B36C28">
            <w:pPr>
              <w:jc w:val="center"/>
              <w:rPr>
                <w:rFonts w:eastAsia="Times New Roman"/>
                <w:sz w:val="20"/>
                <w:szCs w:val="20"/>
              </w:rPr>
            </w:pPr>
            <w:r w:rsidRPr="008E63BB">
              <w:rPr>
                <w:rFonts w:eastAsia="Times New Roman"/>
                <w:sz w:val="20"/>
                <w:szCs w:val="20"/>
              </w:rPr>
              <w:t>6</w:t>
            </w:r>
          </w:p>
        </w:tc>
        <w:tc>
          <w:tcPr>
            <w:tcW w:w="2972" w:type="dxa"/>
            <w:tcBorders>
              <w:top w:val="nil"/>
              <w:left w:val="nil"/>
              <w:bottom w:val="single" w:sz="4" w:space="0" w:color="auto"/>
              <w:right w:val="single" w:sz="4" w:space="0" w:color="auto"/>
            </w:tcBorders>
            <w:shd w:val="clear" w:color="auto" w:fill="auto"/>
            <w:vAlign w:val="center"/>
            <w:hideMark/>
          </w:tcPr>
          <w:p w14:paraId="519B3D6A" w14:textId="77777777" w:rsidR="00B36C28" w:rsidRPr="008E63BB" w:rsidRDefault="00B36C28" w:rsidP="00B36C28">
            <w:pPr>
              <w:jc w:val="left"/>
              <w:rPr>
                <w:rFonts w:eastAsia="Times New Roman"/>
                <w:sz w:val="20"/>
                <w:szCs w:val="20"/>
              </w:rPr>
            </w:pPr>
            <w:r w:rsidRPr="008E63BB">
              <w:rPr>
                <w:rFonts w:eastAsia="Times New Roman"/>
                <w:sz w:val="20"/>
                <w:szCs w:val="20"/>
              </w:rPr>
              <w:t>Đất kho tàng bến bãi - logistic</w:t>
            </w:r>
          </w:p>
        </w:tc>
        <w:tc>
          <w:tcPr>
            <w:tcW w:w="1016" w:type="dxa"/>
            <w:tcBorders>
              <w:top w:val="nil"/>
              <w:left w:val="nil"/>
              <w:bottom w:val="single" w:sz="4" w:space="0" w:color="auto"/>
              <w:right w:val="single" w:sz="4" w:space="0" w:color="auto"/>
            </w:tcBorders>
            <w:shd w:val="clear" w:color="auto" w:fill="auto"/>
            <w:vAlign w:val="center"/>
            <w:hideMark/>
          </w:tcPr>
          <w:p w14:paraId="519B3D6B"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6C"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6D"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6E"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6F"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70"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71"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nil"/>
            </w:tcBorders>
            <w:shd w:val="clear" w:color="auto" w:fill="auto"/>
            <w:vAlign w:val="center"/>
            <w:hideMark/>
          </w:tcPr>
          <w:p w14:paraId="519B3D72"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73" w14:textId="77777777" w:rsidR="00B36C28" w:rsidRPr="008E63BB" w:rsidRDefault="00B36C28" w:rsidP="00B36C28">
            <w:pPr>
              <w:jc w:val="right"/>
              <w:rPr>
                <w:rFonts w:eastAsia="Times New Roman"/>
                <w:sz w:val="20"/>
                <w:szCs w:val="20"/>
              </w:rPr>
            </w:pPr>
            <w:r w:rsidRPr="008E63BB">
              <w:rPr>
                <w:rFonts w:eastAsia="Times New Roman"/>
                <w:sz w:val="20"/>
                <w:szCs w:val="20"/>
              </w:rPr>
              <w:t>50,00</w:t>
            </w:r>
          </w:p>
        </w:tc>
        <w:tc>
          <w:tcPr>
            <w:tcW w:w="766" w:type="dxa"/>
            <w:tcBorders>
              <w:top w:val="nil"/>
              <w:left w:val="nil"/>
              <w:bottom w:val="single" w:sz="4" w:space="0" w:color="auto"/>
              <w:right w:val="single" w:sz="4" w:space="0" w:color="auto"/>
            </w:tcBorders>
            <w:shd w:val="clear" w:color="auto" w:fill="auto"/>
            <w:vAlign w:val="center"/>
            <w:hideMark/>
          </w:tcPr>
          <w:p w14:paraId="519B3D74"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75"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nil"/>
              <w:right w:val="nil"/>
            </w:tcBorders>
            <w:shd w:val="clear" w:color="auto" w:fill="auto"/>
            <w:vAlign w:val="center"/>
            <w:hideMark/>
          </w:tcPr>
          <w:p w14:paraId="519B3D76" w14:textId="77777777" w:rsidR="00B36C28" w:rsidRPr="008E63BB" w:rsidRDefault="00B36C28" w:rsidP="00B36C28">
            <w:pPr>
              <w:jc w:val="right"/>
              <w:rPr>
                <w:rFonts w:eastAsia="Times New Roman"/>
                <w:sz w:val="20"/>
                <w:szCs w:val="20"/>
              </w:rPr>
            </w:pPr>
            <w:r w:rsidRPr="008E63BB">
              <w:rPr>
                <w:rFonts w:eastAsia="Times New Roman"/>
                <w:sz w:val="20"/>
                <w:szCs w:val="20"/>
              </w:rPr>
              <w:t>0,00</w:t>
            </w:r>
          </w:p>
        </w:tc>
        <w:tc>
          <w:tcPr>
            <w:tcW w:w="766" w:type="dxa"/>
            <w:tcBorders>
              <w:top w:val="nil"/>
              <w:left w:val="single" w:sz="4" w:space="0" w:color="auto"/>
              <w:bottom w:val="single" w:sz="4" w:space="0" w:color="auto"/>
              <w:right w:val="single" w:sz="4" w:space="0" w:color="auto"/>
            </w:tcBorders>
            <w:shd w:val="clear" w:color="auto" w:fill="auto"/>
            <w:vAlign w:val="center"/>
            <w:hideMark/>
          </w:tcPr>
          <w:p w14:paraId="519B3D77"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78"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79" w14:textId="77777777" w:rsidR="00B36C28" w:rsidRPr="008E63BB" w:rsidRDefault="00B36C28" w:rsidP="00B36C28">
            <w:pPr>
              <w:jc w:val="right"/>
              <w:rPr>
                <w:rFonts w:eastAsia="Times New Roman"/>
                <w:sz w:val="20"/>
                <w:szCs w:val="20"/>
              </w:rPr>
            </w:pPr>
            <w:r w:rsidRPr="008E63BB">
              <w:rPr>
                <w:rFonts w:eastAsia="Times New Roman"/>
                <w:sz w:val="20"/>
                <w:szCs w:val="20"/>
              </w:rPr>
              <w:t>50,00</w:t>
            </w:r>
          </w:p>
        </w:tc>
      </w:tr>
      <w:tr w:rsidR="00B36C28" w:rsidRPr="008E63BB" w14:paraId="519B3D8C"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7B" w14:textId="77777777" w:rsidR="00B36C28" w:rsidRPr="008E63BB" w:rsidRDefault="00B36C28" w:rsidP="00B36C28">
            <w:pPr>
              <w:jc w:val="center"/>
              <w:rPr>
                <w:rFonts w:eastAsia="Times New Roman"/>
                <w:sz w:val="20"/>
                <w:szCs w:val="20"/>
              </w:rPr>
            </w:pPr>
            <w:r w:rsidRPr="008E63BB">
              <w:rPr>
                <w:rFonts w:eastAsia="Times New Roman"/>
                <w:sz w:val="20"/>
                <w:szCs w:val="20"/>
              </w:rPr>
              <w:t>7</w:t>
            </w:r>
          </w:p>
        </w:tc>
        <w:tc>
          <w:tcPr>
            <w:tcW w:w="2972" w:type="dxa"/>
            <w:tcBorders>
              <w:top w:val="nil"/>
              <w:left w:val="nil"/>
              <w:bottom w:val="single" w:sz="4" w:space="0" w:color="auto"/>
              <w:right w:val="single" w:sz="4" w:space="0" w:color="auto"/>
            </w:tcBorders>
            <w:shd w:val="clear" w:color="auto" w:fill="auto"/>
            <w:vAlign w:val="center"/>
            <w:hideMark/>
          </w:tcPr>
          <w:p w14:paraId="519B3D7C" w14:textId="77777777" w:rsidR="00B36C28" w:rsidRPr="008E63BB" w:rsidRDefault="00B36C28" w:rsidP="00B36C28">
            <w:pPr>
              <w:jc w:val="left"/>
              <w:rPr>
                <w:rFonts w:eastAsia="Times New Roman"/>
                <w:sz w:val="20"/>
                <w:szCs w:val="20"/>
              </w:rPr>
            </w:pPr>
            <w:r w:rsidRPr="008E63BB">
              <w:rPr>
                <w:rFonts w:eastAsia="Times New Roman"/>
                <w:sz w:val="20"/>
                <w:szCs w:val="20"/>
              </w:rPr>
              <w:t>Đất bãi thải, xử lý chất thải rắn</w:t>
            </w:r>
          </w:p>
        </w:tc>
        <w:tc>
          <w:tcPr>
            <w:tcW w:w="1016" w:type="dxa"/>
            <w:tcBorders>
              <w:top w:val="nil"/>
              <w:left w:val="nil"/>
              <w:bottom w:val="single" w:sz="4" w:space="0" w:color="auto"/>
              <w:right w:val="single" w:sz="4" w:space="0" w:color="auto"/>
            </w:tcBorders>
            <w:shd w:val="clear" w:color="auto" w:fill="auto"/>
            <w:vAlign w:val="center"/>
            <w:hideMark/>
          </w:tcPr>
          <w:p w14:paraId="519B3D7D" w14:textId="77777777" w:rsidR="00B36C28" w:rsidRPr="008E63BB" w:rsidRDefault="00B36C28" w:rsidP="00B36C28">
            <w:pPr>
              <w:jc w:val="right"/>
              <w:rPr>
                <w:rFonts w:eastAsia="Times New Roman"/>
                <w:sz w:val="20"/>
                <w:szCs w:val="20"/>
              </w:rPr>
            </w:pPr>
            <w:r w:rsidRPr="008E63BB">
              <w:rPr>
                <w:rFonts w:eastAsia="Times New Roman"/>
                <w:sz w:val="20"/>
                <w:szCs w:val="20"/>
              </w:rPr>
              <w:t>41,60</w:t>
            </w:r>
          </w:p>
        </w:tc>
        <w:tc>
          <w:tcPr>
            <w:tcW w:w="766" w:type="dxa"/>
            <w:tcBorders>
              <w:top w:val="nil"/>
              <w:left w:val="nil"/>
              <w:bottom w:val="single" w:sz="4" w:space="0" w:color="auto"/>
              <w:right w:val="single" w:sz="4" w:space="0" w:color="auto"/>
            </w:tcBorders>
            <w:shd w:val="clear" w:color="auto" w:fill="auto"/>
            <w:vAlign w:val="center"/>
            <w:hideMark/>
          </w:tcPr>
          <w:p w14:paraId="519B3D7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7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8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23,46</w:t>
            </w:r>
          </w:p>
        </w:tc>
        <w:tc>
          <w:tcPr>
            <w:tcW w:w="766" w:type="dxa"/>
            <w:tcBorders>
              <w:top w:val="nil"/>
              <w:left w:val="nil"/>
              <w:bottom w:val="single" w:sz="4" w:space="0" w:color="auto"/>
              <w:right w:val="single" w:sz="4" w:space="0" w:color="auto"/>
            </w:tcBorders>
            <w:shd w:val="clear" w:color="auto" w:fill="auto"/>
            <w:vAlign w:val="center"/>
            <w:hideMark/>
          </w:tcPr>
          <w:p w14:paraId="519B3D8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8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8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18,14</w:t>
            </w:r>
          </w:p>
        </w:tc>
        <w:tc>
          <w:tcPr>
            <w:tcW w:w="766" w:type="dxa"/>
            <w:tcBorders>
              <w:top w:val="nil"/>
              <w:left w:val="nil"/>
              <w:bottom w:val="single" w:sz="4" w:space="0" w:color="auto"/>
              <w:right w:val="nil"/>
            </w:tcBorders>
            <w:shd w:val="clear" w:color="auto" w:fill="auto"/>
            <w:vAlign w:val="center"/>
            <w:hideMark/>
          </w:tcPr>
          <w:p w14:paraId="519B3D8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85" w14:textId="77777777" w:rsidR="00B36C28" w:rsidRPr="008E63BB" w:rsidRDefault="00B36C28" w:rsidP="00B36C28">
            <w:pPr>
              <w:jc w:val="right"/>
              <w:rPr>
                <w:rFonts w:eastAsia="Times New Roman"/>
                <w:sz w:val="20"/>
                <w:szCs w:val="20"/>
              </w:rPr>
            </w:pPr>
            <w:r w:rsidRPr="008E63BB">
              <w:rPr>
                <w:rFonts w:eastAsia="Times New Roman"/>
                <w:sz w:val="20"/>
                <w:szCs w:val="20"/>
              </w:rPr>
              <w:t>77,10</w:t>
            </w:r>
          </w:p>
        </w:tc>
        <w:tc>
          <w:tcPr>
            <w:tcW w:w="766" w:type="dxa"/>
            <w:tcBorders>
              <w:top w:val="nil"/>
              <w:left w:val="nil"/>
              <w:bottom w:val="single" w:sz="4" w:space="0" w:color="auto"/>
              <w:right w:val="single" w:sz="4" w:space="0" w:color="auto"/>
            </w:tcBorders>
            <w:shd w:val="clear" w:color="auto" w:fill="auto"/>
            <w:vAlign w:val="center"/>
            <w:hideMark/>
          </w:tcPr>
          <w:p w14:paraId="519B3D86"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87"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single" w:sz="4" w:space="0" w:color="auto"/>
              <w:left w:val="nil"/>
              <w:bottom w:val="single" w:sz="4" w:space="0" w:color="auto"/>
              <w:right w:val="single" w:sz="4" w:space="0" w:color="auto"/>
            </w:tcBorders>
            <w:shd w:val="clear" w:color="auto" w:fill="auto"/>
            <w:vAlign w:val="center"/>
            <w:hideMark/>
          </w:tcPr>
          <w:p w14:paraId="519B3D88" w14:textId="77777777" w:rsidR="00B36C28" w:rsidRPr="008E63BB" w:rsidRDefault="00B36C28" w:rsidP="00B36C28">
            <w:pPr>
              <w:jc w:val="right"/>
              <w:rPr>
                <w:rFonts w:eastAsia="Times New Roman"/>
                <w:sz w:val="20"/>
                <w:szCs w:val="20"/>
              </w:rPr>
            </w:pPr>
            <w:r w:rsidRPr="008E63BB">
              <w:rPr>
                <w:rFonts w:eastAsia="Times New Roman"/>
                <w:sz w:val="20"/>
                <w:szCs w:val="20"/>
              </w:rPr>
              <w:t>48,31</w:t>
            </w:r>
          </w:p>
        </w:tc>
        <w:tc>
          <w:tcPr>
            <w:tcW w:w="766" w:type="dxa"/>
            <w:tcBorders>
              <w:top w:val="nil"/>
              <w:left w:val="nil"/>
              <w:bottom w:val="single" w:sz="4" w:space="0" w:color="auto"/>
              <w:right w:val="single" w:sz="4" w:space="0" w:color="auto"/>
            </w:tcBorders>
            <w:shd w:val="clear" w:color="auto" w:fill="auto"/>
            <w:vAlign w:val="center"/>
            <w:hideMark/>
          </w:tcPr>
          <w:p w14:paraId="519B3D89"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8A"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8B" w14:textId="77777777" w:rsidR="00B36C28" w:rsidRPr="008E63BB" w:rsidRDefault="00B36C28" w:rsidP="00B36C28">
            <w:pPr>
              <w:jc w:val="right"/>
              <w:rPr>
                <w:rFonts w:eastAsia="Times New Roman"/>
                <w:sz w:val="20"/>
                <w:szCs w:val="20"/>
              </w:rPr>
            </w:pPr>
            <w:r w:rsidRPr="008E63BB">
              <w:rPr>
                <w:rFonts w:eastAsia="Times New Roman"/>
                <w:sz w:val="20"/>
                <w:szCs w:val="20"/>
              </w:rPr>
              <w:t>28,79</w:t>
            </w:r>
          </w:p>
        </w:tc>
      </w:tr>
      <w:tr w:rsidR="00B36C28" w:rsidRPr="008E63BB" w14:paraId="519B3D9E"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8D" w14:textId="77777777" w:rsidR="00B36C28" w:rsidRPr="008E63BB" w:rsidRDefault="00B36C28" w:rsidP="00B36C28">
            <w:pPr>
              <w:jc w:val="center"/>
              <w:rPr>
                <w:rFonts w:eastAsia="Times New Roman"/>
                <w:sz w:val="20"/>
                <w:szCs w:val="20"/>
              </w:rPr>
            </w:pPr>
            <w:r w:rsidRPr="008E63BB">
              <w:rPr>
                <w:rFonts w:eastAsia="Times New Roman"/>
                <w:sz w:val="20"/>
                <w:szCs w:val="20"/>
              </w:rPr>
              <w:t>8</w:t>
            </w:r>
          </w:p>
        </w:tc>
        <w:tc>
          <w:tcPr>
            <w:tcW w:w="2972" w:type="dxa"/>
            <w:tcBorders>
              <w:top w:val="nil"/>
              <w:left w:val="nil"/>
              <w:bottom w:val="single" w:sz="4" w:space="0" w:color="auto"/>
              <w:right w:val="single" w:sz="4" w:space="0" w:color="auto"/>
            </w:tcBorders>
            <w:shd w:val="clear" w:color="auto" w:fill="auto"/>
            <w:vAlign w:val="center"/>
            <w:hideMark/>
          </w:tcPr>
          <w:p w14:paraId="519B3D8E" w14:textId="77777777" w:rsidR="00B36C28" w:rsidRPr="008E63BB" w:rsidRDefault="00B36C28" w:rsidP="00B36C28">
            <w:pPr>
              <w:jc w:val="left"/>
              <w:rPr>
                <w:rFonts w:eastAsia="Times New Roman"/>
                <w:sz w:val="20"/>
                <w:szCs w:val="20"/>
              </w:rPr>
            </w:pPr>
            <w:r w:rsidRPr="008E63BB">
              <w:rPr>
                <w:rFonts w:eastAsia="Times New Roman"/>
                <w:sz w:val="20"/>
                <w:szCs w:val="20"/>
              </w:rPr>
              <w:t>Đất giao thông đối ngoại</w:t>
            </w:r>
          </w:p>
        </w:tc>
        <w:tc>
          <w:tcPr>
            <w:tcW w:w="1016" w:type="dxa"/>
            <w:tcBorders>
              <w:top w:val="nil"/>
              <w:left w:val="nil"/>
              <w:bottom w:val="single" w:sz="4" w:space="0" w:color="auto"/>
              <w:right w:val="single" w:sz="4" w:space="0" w:color="auto"/>
            </w:tcBorders>
            <w:shd w:val="clear" w:color="auto" w:fill="auto"/>
            <w:vAlign w:val="center"/>
            <w:hideMark/>
          </w:tcPr>
          <w:p w14:paraId="519B3D8F" w14:textId="77777777" w:rsidR="00B36C28" w:rsidRPr="008E63BB" w:rsidRDefault="00B36C28" w:rsidP="00B36C28">
            <w:pPr>
              <w:jc w:val="right"/>
              <w:rPr>
                <w:rFonts w:eastAsia="Times New Roman"/>
                <w:sz w:val="20"/>
                <w:szCs w:val="20"/>
              </w:rPr>
            </w:pPr>
            <w:r w:rsidRPr="008E63BB">
              <w:rPr>
                <w:rFonts w:eastAsia="Times New Roman"/>
                <w:sz w:val="20"/>
                <w:szCs w:val="20"/>
              </w:rPr>
              <w:t>298,59</w:t>
            </w:r>
          </w:p>
        </w:tc>
        <w:tc>
          <w:tcPr>
            <w:tcW w:w="766" w:type="dxa"/>
            <w:tcBorders>
              <w:top w:val="nil"/>
              <w:left w:val="nil"/>
              <w:bottom w:val="single" w:sz="4" w:space="0" w:color="auto"/>
              <w:right w:val="single" w:sz="4" w:space="0" w:color="auto"/>
            </w:tcBorders>
            <w:shd w:val="clear" w:color="auto" w:fill="auto"/>
            <w:vAlign w:val="center"/>
            <w:hideMark/>
          </w:tcPr>
          <w:p w14:paraId="519B3D9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9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9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158,00</w:t>
            </w:r>
          </w:p>
        </w:tc>
        <w:tc>
          <w:tcPr>
            <w:tcW w:w="766" w:type="dxa"/>
            <w:tcBorders>
              <w:top w:val="nil"/>
              <w:left w:val="nil"/>
              <w:bottom w:val="single" w:sz="4" w:space="0" w:color="auto"/>
              <w:right w:val="single" w:sz="4" w:space="0" w:color="auto"/>
            </w:tcBorders>
            <w:shd w:val="clear" w:color="auto" w:fill="auto"/>
            <w:vAlign w:val="center"/>
            <w:hideMark/>
          </w:tcPr>
          <w:p w14:paraId="519B3D9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9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9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140,59</w:t>
            </w:r>
          </w:p>
        </w:tc>
        <w:tc>
          <w:tcPr>
            <w:tcW w:w="766" w:type="dxa"/>
            <w:tcBorders>
              <w:top w:val="nil"/>
              <w:left w:val="nil"/>
              <w:bottom w:val="single" w:sz="4" w:space="0" w:color="auto"/>
              <w:right w:val="nil"/>
            </w:tcBorders>
            <w:shd w:val="clear" w:color="auto" w:fill="auto"/>
            <w:vAlign w:val="center"/>
            <w:hideMark/>
          </w:tcPr>
          <w:p w14:paraId="519B3D9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97" w14:textId="77777777" w:rsidR="00B36C28" w:rsidRPr="008E63BB" w:rsidRDefault="00B36C28" w:rsidP="00B36C28">
            <w:pPr>
              <w:jc w:val="right"/>
              <w:rPr>
                <w:rFonts w:eastAsia="Times New Roman"/>
                <w:sz w:val="20"/>
                <w:szCs w:val="20"/>
              </w:rPr>
            </w:pPr>
            <w:r w:rsidRPr="008E63BB">
              <w:rPr>
                <w:rFonts w:eastAsia="Times New Roman"/>
                <w:sz w:val="20"/>
                <w:szCs w:val="20"/>
              </w:rPr>
              <w:t>388,59</w:t>
            </w:r>
          </w:p>
        </w:tc>
        <w:tc>
          <w:tcPr>
            <w:tcW w:w="766" w:type="dxa"/>
            <w:tcBorders>
              <w:top w:val="nil"/>
              <w:left w:val="nil"/>
              <w:bottom w:val="single" w:sz="4" w:space="0" w:color="auto"/>
              <w:right w:val="single" w:sz="4" w:space="0" w:color="auto"/>
            </w:tcBorders>
            <w:shd w:val="clear" w:color="auto" w:fill="auto"/>
            <w:vAlign w:val="center"/>
            <w:hideMark/>
          </w:tcPr>
          <w:p w14:paraId="519B3D98"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99"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9A" w14:textId="77777777" w:rsidR="00B36C28" w:rsidRPr="008E63BB" w:rsidRDefault="00B36C28" w:rsidP="00B36C28">
            <w:pPr>
              <w:jc w:val="right"/>
              <w:rPr>
                <w:rFonts w:eastAsia="Times New Roman"/>
                <w:sz w:val="20"/>
                <w:szCs w:val="20"/>
              </w:rPr>
            </w:pPr>
            <w:r w:rsidRPr="008E63BB">
              <w:rPr>
                <w:rFonts w:eastAsia="Times New Roman"/>
                <w:sz w:val="20"/>
                <w:szCs w:val="20"/>
              </w:rPr>
              <w:t>173,00</w:t>
            </w:r>
          </w:p>
        </w:tc>
        <w:tc>
          <w:tcPr>
            <w:tcW w:w="766" w:type="dxa"/>
            <w:tcBorders>
              <w:top w:val="nil"/>
              <w:left w:val="nil"/>
              <w:bottom w:val="single" w:sz="4" w:space="0" w:color="auto"/>
              <w:right w:val="single" w:sz="4" w:space="0" w:color="auto"/>
            </w:tcBorders>
            <w:shd w:val="clear" w:color="auto" w:fill="auto"/>
            <w:vAlign w:val="center"/>
            <w:hideMark/>
          </w:tcPr>
          <w:p w14:paraId="519B3D9B"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9C"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9D" w14:textId="77777777" w:rsidR="00B36C28" w:rsidRPr="008E63BB" w:rsidRDefault="00B36C28" w:rsidP="00B36C28">
            <w:pPr>
              <w:jc w:val="right"/>
              <w:rPr>
                <w:rFonts w:eastAsia="Times New Roman"/>
                <w:sz w:val="20"/>
                <w:szCs w:val="20"/>
              </w:rPr>
            </w:pPr>
            <w:r w:rsidRPr="008E63BB">
              <w:rPr>
                <w:rFonts w:eastAsia="Times New Roman"/>
                <w:sz w:val="20"/>
                <w:szCs w:val="20"/>
              </w:rPr>
              <w:t>215,59</w:t>
            </w:r>
          </w:p>
        </w:tc>
      </w:tr>
      <w:tr w:rsidR="00B36C28" w:rsidRPr="008E63BB" w14:paraId="519B3DB0"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9F" w14:textId="77777777" w:rsidR="00B36C28" w:rsidRPr="008E63BB" w:rsidRDefault="00B36C28" w:rsidP="00B36C28">
            <w:pPr>
              <w:jc w:val="center"/>
              <w:rPr>
                <w:rFonts w:eastAsia="Times New Roman"/>
                <w:b/>
                <w:bCs/>
                <w:sz w:val="20"/>
                <w:szCs w:val="20"/>
              </w:rPr>
            </w:pPr>
            <w:r w:rsidRPr="008E63BB">
              <w:rPr>
                <w:rFonts w:eastAsia="Times New Roman"/>
                <w:b/>
                <w:bCs/>
                <w:sz w:val="20"/>
                <w:szCs w:val="20"/>
              </w:rPr>
              <w:t>B</w:t>
            </w:r>
          </w:p>
        </w:tc>
        <w:tc>
          <w:tcPr>
            <w:tcW w:w="2972" w:type="dxa"/>
            <w:tcBorders>
              <w:top w:val="nil"/>
              <w:left w:val="nil"/>
              <w:bottom w:val="single" w:sz="4" w:space="0" w:color="auto"/>
              <w:right w:val="single" w:sz="4" w:space="0" w:color="auto"/>
            </w:tcBorders>
            <w:shd w:val="clear" w:color="auto" w:fill="auto"/>
            <w:vAlign w:val="center"/>
            <w:hideMark/>
          </w:tcPr>
          <w:p w14:paraId="519B3DA0"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Đất khác</w:t>
            </w:r>
          </w:p>
        </w:tc>
        <w:tc>
          <w:tcPr>
            <w:tcW w:w="1016" w:type="dxa"/>
            <w:tcBorders>
              <w:top w:val="nil"/>
              <w:left w:val="nil"/>
              <w:bottom w:val="single" w:sz="4" w:space="0" w:color="auto"/>
              <w:right w:val="single" w:sz="4" w:space="0" w:color="auto"/>
            </w:tcBorders>
            <w:shd w:val="clear" w:color="auto" w:fill="auto"/>
            <w:vAlign w:val="center"/>
            <w:hideMark/>
          </w:tcPr>
          <w:p w14:paraId="519B3DA1"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13.709,47</w:t>
            </w:r>
          </w:p>
        </w:tc>
        <w:tc>
          <w:tcPr>
            <w:tcW w:w="766" w:type="dxa"/>
            <w:tcBorders>
              <w:top w:val="nil"/>
              <w:left w:val="nil"/>
              <w:bottom w:val="single" w:sz="4" w:space="0" w:color="auto"/>
              <w:right w:val="single" w:sz="4" w:space="0" w:color="auto"/>
            </w:tcBorders>
            <w:shd w:val="clear" w:color="auto" w:fill="auto"/>
            <w:vAlign w:val="center"/>
            <w:hideMark/>
          </w:tcPr>
          <w:p w14:paraId="519B3DA2"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A3"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A4"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1.297,45</w:t>
            </w:r>
          </w:p>
        </w:tc>
        <w:tc>
          <w:tcPr>
            <w:tcW w:w="766" w:type="dxa"/>
            <w:tcBorders>
              <w:top w:val="nil"/>
              <w:left w:val="nil"/>
              <w:bottom w:val="single" w:sz="4" w:space="0" w:color="auto"/>
              <w:right w:val="single" w:sz="4" w:space="0" w:color="auto"/>
            </w:tcBorders>
            <w:shd w:val="clear" w:color="auto" w:fill="auto"/>
            <w:vAlign w:val="center"/>
            <w:hideMark/>
          </w:tcPr>
          <w:p w14:paraId="519B3DA5"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A6"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A7"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12.412,02</w:t>
            </w:r>
          </w:p>
        </w:tc>
        <w:tc>
          <w:tcPr>
            <w:tcW w:w="766" w:type="dxa"/>
            <w:tcBorders>
              <w:top w:val="nil"/>
              <w:left w:val="nil"/>
              <w:bottom w:val="single" w:sz="4" w:space="0" w:color="auto"/>
              <w:right w:val="nil"/>
            </w:tcBorders>
            <w:shd w:val="clear" w:color="auto" w:fill="auto"/>
            <w:vAlign w:val="center"/>
            <w:hideMark/>
          </w:tcPr>
          <w:p w14:paraId="519B3DA8" w14:textId="77777777" w:rsidR="00B36C28" w:rsidRPr="008E63BB" w:rsidRDefault="00B36C28" w:rsidP="00B36C28">
            <w:pPr>
              <w:jc w:val="right"/>
              <w:rPr>
                <w:rFonts w:eastAsia="Times New Roman"/>
                <w:b/>
                <w:bCs/>
                <w:i/>
                <w:iCs/>
                <w:sz w:val="20"/>
                <w:szCs w:val="20"/>
              </w:rPr>
            </w:pPr>
            <w:r w:rsidRPr="008E63BB">
              <w:rPr>
                <w:rFonts w:eastAsia="Times New Roman"/>
                <w:b/>
                <w:bCs/>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A9"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12.108,90</w:t>
            </w:r>
          </w:p>
        </w:tc>
        <w:tc>
          <w:tcPr>
            <w:tcW w:w="766" w:type="dxa"/>
            <w:tcBorders>
              <w:top w:val="nil"/>
              <w:left w:val="nil"/>
              <w:bottom w:val="single" w:sz="4" w:space="0" w:color="auto"/>
              <w:right w:val="single" w:sz="4" w:space="0" w:color="auto"/>
            </w:tcBorders>
            <w:shd w:val="clear" w:color="auto" w:fill="auto"/>
            <w:vAlign w:val="center"/>
            <w:hideMark/>
          </w:tcPr>
          <w:p w14:paraId="519B3DAA"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AB"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AC"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2.994,54</w:t>
            </w:r>
          </w:p>
        </w:tc>
        <w:tc>
          <w:tcPr>
            <w:tcW w:w="766" w:type="dxa"/>
            <w:tcBorders>
              <w:top w:val="nil"/>
              <w:left w:val="nil"/>
              <w:bottom w:val="single" w:sz="4" w:space="0" w:color="auto"/>
              <w:right w:val="single" w:sz="4" w:space="0" w:color="auto"/>
            </w:tcBorders>
            <w:shd w:val="clear" w:color="auto" w:fill="auto"/>
            <w:vAlign w:val="center"/>
            <w:hideMark/>
          </w:tcPr>
          <w:p w14:paraId="519B3DAD"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AE" w14:textId="77777777" w:rsidR="00B36C28" w:rsidRPr="008E63BB" w:rsidRDefault="00B36C28" w:rsidP="00B36C28">
            <w:pPr>
              <w:jc w:val="left"/>
              <w:rPr>
                <w:rFonts w:eastAsia="Times New Roman"/>
                <w:b/>
                <w:bCs/>
                <w:sz w:val="20"/>
                <w:szCs w:val="20"/>
              </w:rPr>
            </w:pPr>
            <w:r w:rsidRPr="008E63BB">
              <w:rPr>
                <w:rFonts w:eastAsia="Times New Roman"/>
                <w:b/>
                <w:b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AF" w14:textId="77777777" w:rsidR="00B36C28" w:rsidRPr="008E63BB" w:rsidRDefault="00B36C28" w:rsidP="00B36C28">
            <w:pPr>
              <w:jc w:val="right"/>
              <w:rPr>
                <w:rFonts w:eastAsia="Times New Roman"/>
                <w:b/>
                <w:bCs/>
                <w:sz w:val="20"/>
                <w:szCs w:val="20"/>
              </w:rPr>
            </w:pPr>
            <w:r w:rsidRPr="008E63BB">
              <w:rPr>
                <w:rFonts w:eastAsia="Times New Roman"/>
                <w:b/>
                <w:bCs/>
                <w:sz w:val="20"/>
                <w:szCs w:val="20"/>
              </w:rPr>
              <w:t>9.114,36</w:t>
            </w:r>
          </w:p>
        </w:tc>
      </w:tr>
      <w:tr w:rsidR="00B36C28" w:rsidRPr="008E63BB" w14:paraId="519B3DC2" w14:textId="77777777" w:rsidTr="004B2B2D">
        <w:trPr>
          <w:trHeight w:val="25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B1" w14:textId="77777777" w:rsidR="00B36C28" w:rsidRPr="008E63BB" w:rsidRDefault="00B36C28" w:rsidP="00B36C28">
            <w:pPr>
              <w:jc w:val="center"/>
              <w:rPr>
                <w:rFonts w:eastAsia="Times New Roman"/>
                <w:sz w:val="20"/>
                <w:szCs w:val="20"/>
              </w:rPr>
            </w:pPr>
            <w:r w:rsidRPr="008E63BB">
              <w:rPr>
                <w:rFonts w:eastAsia="Times New Roman"/>
                <w:sz w:val="20"/>
                <w:szCs w:val="20"/>
              </w:rPr>
              <w:t>1</w:t>
            </w:r>
          </w:p>
        </w:tc>
        <w:tc>
          <w:tcPr>
            <w:tcW w:w="2972" w:type="dxa"/>
            <w:tcBorders>
              <w:top w:val="nil"/>
              <w:left w:val="nil"/>
              <w:bottom w:val="single" w:sz="4" w:space="0" w:color="auto"/>
              <w:right w:val="single" w:sz="4" w:space="0" w:color="auto"/>
            </w:tcBorders>
            <w:shd w:val="clear" w:color="auto" w:fill="auto"/>
            <w:vAlign w:val="center"/>
            <w:hideMark/>
          </w:tcPr>
          <w:p w14:paraId="519B3DB2" w14:textId="77777777" w:rsidR="00B36C28" w:rsidRPr="008E63BB" w:rsidRDefault="00B36C28" w:rsidP="00B36C28">
            <w:pPr>
              <w:jc w:val="left"/>
              <w:rPr>
                <w:rFonts w:eastAsia="Times New Roman"/>
                <w:sz w:val="20"/>
                <w:szCs w:val="20"/>
              </w:rPr>
            </w:pPr>
            <w:r w:rsidRPr="008E63BB">
              <w:rPr>
                <w:rFonts w:eastAsia="Times New Roman"/>
                <w:sz w:val="20"/>
                <w:szCs w:val="20"/>
              </w:rPr>
              <w:t>Đất an ninh, quốc phòng</w:t>
            </w:r>
          </w:p>
        </w:tc>
        <w:tc>
          <w:tcPr>
            <w:tcW w:w="1016" w:type="dxa"/>
            <w:tcBorders>
              <w:top w:val="nil"/>
              <w:left w:val="nil"/>
              <w:bottom w:val="single" w:sz="4" w:space="0" w:color="auto"/>
              <w:right w:val="single" w:sz="4" w:space="0" w:color="auto"/>
            </w:tcBorders>
            <w:shd w:val="clear" w:color="auto" w:fill="auto"/>
            <w:vAlign w:val="center"/>
            <w:hideMark/>
          </w:tcPr>
          <w:p w14:paraId="519B3DB3" w14:textId="77777777" w:rsidR="00B36C28" w:rsidRPr="008E63BB" w:rsidRDefault="00B36C28" w:rsidP="00B36C28">
            <w:pPr>
              <w:jc w:val="right"/>
              <w:rPr>
                <w:rFonts w:eastAsia="Times New Roman"/>
                <w:sz w:val="20"/>
                <w:szCs w:val="20"/>
              </w:rPr>
            </w:pPr>
            <w:r w:rsidRPr="008E63BB">
              <w:rPr>
                <w:rFonts w:eastAsia="Times New Roman"/>
                <w:sz w:val="20"/>
                <w:szCs w:val="20"/>
              </w:rPr>
              <w:t>53,05</w:t>
            </w:r>
          </w:p>
        </w:tc>
        <w:tc>
          <w:tcPr>
            <w:tcW w:w="766" w:type="dxa"/>
            <w:tcBorders>
              <w:top w:val="nil"/>
              <w:left w:val="nil"/>
              <w:bottom w:val="single" w:sz="4" w:space="0" w:color="auto"/>
              <w:right w:val="single" w:sz="4" w:space="0" w:color="auto"/>
            </w:tcBorders>
            <w:shd w:val="clear" w:color="auto" w:fill="auto"/>
            <w:vAlign w:val="center"/>
            <w:hideMark/>
          </w:tcPr>
          <w:p w14:paraId="519B3DB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B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B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30,67</w:t>
            </w:r>
          </w:p>
        </w:tc>
        <w:tc>
          <w:tcPr>
            <w:tcW w:w="766" w:type="dxa"/>
            <w:tcBorders>
              <w:top w:val="nil"/>
              <w:left w:val="nil"/>
              <w:bottom w:val="single" w:sz="4" w:space="0" w:color="auto"/>
              <w:right w:val="single" w:sz="4" w:space="0" w:color="auto"/>
            </w:tcBorders>
            <w:shd w:val="clear" w:color="auto" w:fill="auto"/>
            <w:vAlign w:val="center"/>
            <w:hideMark/>
          </w:tcPr>
          <w:p w14:paraId="519B3DB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B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B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22,38</w:t>
            </w:r>
          </w:p>
        </w:tc>
        <w:tc>
          <w:tcPr>
            <w:tcW w:w="766" w:type="dxa"/>
            <w:tcBorders>
              <w:top w:val="nil"/>
              <w:left w:val="nil"/>
              <w:bottom w:val="single" w:sz="4" w:space="0" w:color="auto"/>
              <w:right w:val="nil"/>
            </w:tcBorders>
            <w:shd w:val="clear" w:color="auto" w:fill="auto"/>
            <w:vAlign w:val="center"/>
            <w:hideMark/>
          </w:tcPr>
          <w:p w14:paraId="519B3DB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BB" w14:textId="77777777" w:rsidR="00B36C28" w:rsidRPr="008E63BB" w:rsidRDefault="00B36C28" w:rsidP="00B36C28">
            <w:pPr>
              <w:jc w:val="right"/>
              <w:rPr>
                <w:rFonts w:eastAsia="Times New Roman"/>
                <w:sz w:val="20"/>
                <w:szCs w:val="20"/>
              </w:rPr>
            </w:pPr>
            <w:r w:rsidRPr="008E63BB">
              <w:rPr>
                <w:rFonts w:eastAsia="Times New Roman"/>
                <w:sz w:val="20"/>
                <w:szCs w:val="20"/>
              </w:rPr>
              <w:t>53,05</w:t>
            </w:r>
          </w:p>
        </w:tc>
        <w:tc>
          <w:tcPr>
            <w:tcW w:w="766" w:type="dxa"/>
            <w:tcBorders>
              <w:top w:val="nil"/>
              <w:left w:val="nil"/>
              <w:bottom w:val="single" w:sz="4" w:space="0" w:color="auto"/>
              <w:right w:val="single" w:sz="4" w:space="0" w:color="auto"/>
            </w:tcBorders>
            <w:shd w:val="clear" w:color="auto" w:fill="auto"/>
            <w:vAlign w:val="center"/>
            <w:hideMark/>
          </w:tcPr>
          <w:p w14:paraId="519B3DBC"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BD"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BE" w14:textId="77777777" w:rsidR="00B36C28" w:rsidRPr="008E63BB" w:rsidRDefault="00B36C28" w:rsidP="00B36C28">
            <w:pPr>
              <w:jc w:val="right"/>
              <w:rPr>
                <w:rFonts w:eastAsia="Times New Roman"/>
                <w:sz w:val="20"/>
                <w:szCs w:val="20"/>
              </w:rPr>
            </w:pPr>
            <w:r w:rsidRPr="008E63BB">
              <w:rPr>
                <w:rFonts w:eastAsia="Times New Roman"/>
                <w:sz w:val="20"/>
                <w:szCs w:val="20"/>
              </w:rPr>
              <w:t>42,73</w:t>
            </w:r>
          </w:p>
        </w:tc>
        <w:tc>
          <w:tcPr>
            <w:tcW w:w="766" w:type="dxa"/>
            <w:tcBorders>
              <w:top w:val="nil"/>
              <w:left w:val="nil"/>
              <w:bottom w:val="single" w:sz="4" w:space="0" w:color="auto"/>
              <w:right w:val="single" w:sz="4" w:space="0" w:color="auto"/>
            </w:tcBorders>
            <w:shd w:val="clear" w:color="auto" w:fill="auto"/>
            <w:vAlign w:val="center"/>
            <w:hideMark/>
          </w:tcPr>
          <w:p w14:paraId="519B3DBF"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C0"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C1" w14:textId="77777777" w:rsidR="00B36C28" w:rsidRPr="008E63BB" w:rsidRDefault="00B36C28" w:rsidP="00B36C28">
            <w:pPr>
              <w:jc w:val="right"/>
              <w:rPr>
                <w:rFonts w:eastAsia="Times New Roman"/>
                <w:sz w:val="20"/>
                <w:szCs w:val="20"/>
              </w:rPr>
            </w:pPr>
            <w:r w:rsidRPr="008E63BB">
              <w:rPr>
                <w:rFonts w:eastAsia="Times New Roman"/>
                <w:sz w:val="20"/>
                <w:szCs w:val="20"/>
              </w:rPr>
              <w:t>10,32</w:t>
            </w:r>
          </w:p>
        </w:tc>
      </w:tr>
      <w:tr w:rsidR="00B36C28" w:rsidRPr="008E63BB" w14:paraId="519B3DD4"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C3" w14:textId="77777777" w:rsidR="00B36C28" w:rsidRPr="008E63BB" w:rsidRDefault="00B36C28" w:rsidP="00B36C28">
            <w:pPr>
              <w:jc w:val="center"/>
              <w:rPr>
                <w:rFonts w:eastAsia="Times New Roman"/>
                <w:sz w:val="20"/>
                <w:szCs w:val="20"/>
              </w:rPr>
            </w:pPr>
            <w:r w:rsidRPr="008E63BB">
              <w:rPr>
                <w:rFonts w:eastAsia="Times New Roman"/>
                <w:sz w:val="20"/>
                <w:szCs w:val="20"/>
              </w:rPr>
              <w:t>2</w:t>
            </w:r>
          </w:p>
        </w:tc>
        <w:tc>
          <w:tcPr>
            <w:tcW w:w="2972" w:type="dxa"/>
            <w:tcBorders>
              <w:top w:val="nil"/>
              <w:left w:val="nil"/>
              <w:bottom w:val="single" w:sz="4" w:space="0" w:color="auto"/>
              <w:right w:val="single" w:sz="4" w:space="0" w:color="auto"/>
            </w:tcBorders>
            <w:shd w:val="clear" w:color="auto" w:fill="auto"/>
            <w:vAlign w:val="center"/>
            <w:hideMark/>
          </w:tcPr>
          <w:p w14:paraId="519B3DC4" w14:textId="77777777" w:rsidR="00B36C28" w:rsidRPr="008E63BB" w:rsidRDefault="00B36C28" w:rsidP="00B36C28">
            <w:pPr>
              <w:jc w:val="left"/>
              <w:rPr>
                <w:rFonts w:eastAsia="Times New Roman"/>
                <w:sz w:val="20"/>
                <w:szCs w:val="20"/>
              </w:rPr>
            </w:pPr>
            <w:r w:rsidRPr="008E63BB">
              <w:rPr>
                <w:rFonts w:eastAsia="Times New Roman"/>
                <w:sz w:val="20"/>
                <w:szCs w:val="20"/>
              </w:rPr>
              <w:t>Đất di tích, tôn giáo</w:t>
            </w:r>
          </w:p>
        </w:tc>
        <w:tc>
          <w:tcPr>
            <w:tcW w:w="1016" w:type="dxa"/>
            <w:tcBorders>
              <w:top w:val="nil"/>
              <w:left w:val="nil"/>
              <w:bottom w:val="single" w:sz="4" w:space="0" w:color="auto"/>
              <w:right w:val="single" w:sz="4" w:space="0" w:color="auto"/>
            </w:tcBorders>
            <w:shd w:val="clear" w:color="auto" w:fill="auto"/>
            <w:vAlign w:val="center"/>
            <w:hideMark/>
          </w:tcPr>
          <w:p w14:paraId="519B3DC5" w14:textId="77777777" w:rsidR="00B36C28" w:rsidRPr="008E63BB" w:rsidRDefault="00B36C28" w:rsidP="00B36C28">
            <w:pPr>
              <w:jc w:val="right"/>
              <w:rPr>
                <w:rFonts w:eastAsia="Times New Roman"/>
                <w:sz w:val="20"/>
                <w:szCs w:val="20"/>
              </w:rPr>
            </w:pPr>
            <w:r w:rsidRPr="008E63BB">
              <w:rPr>
                <w:rFonts w:eastAsia="Times New Roman"/>
                <w:sz w:val="20"/>
                <w:szCs w:val="20"/>
              </w:rPr>
              <w:t>165,99</w:t>
            </w:r>
          </w:p>
        </w:tc>
        <w:tc>
          <w:tcPr>
            <w:tcW w:w="766" w:type="dxa"/>
            <w:tcBorders>
              <w:top w:val="nil"/>
              <w:left w:val="nil"/>
              <w:bottom w:val="single" w:sz="4" w:space="0" w:color="auto"/>
              <w:right w:val="single" w:sz="4" w:space="0" w:color="auto"/>
            </w:tcBorders>
            <w:shd w:val="clear" w:color="auto" w:fill="auto"/>
            <w:vAlign w:val="center"/>
            <w:hideMark/>
          </w:tcPr>
          <w:p w14:paraId="519B3DC6"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C7"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C8" w14:textId="77777777" w:rsidR="00B36C28" w:rsidRPr="008E63BB" w:rsidRDefault="00B36C28" w:rsidP="00B36C28">
            <w:pPr>
              <w:jc w:val="right"/>
              <w:rPr>
                <w:rFonts w:eastAsia="Times New Roman"/>
                <w:sz w:val="20"/>
                <w:szCs w:val="20"/>
              </w:rPr>
            </w:pPr>
            <w:r w:rsidRPr="008E63BB">
              <w:rPr>
                <w:rFonts w:eastAsia="Times New Roman"/>
                <w:sz w:val="20"/>
                <w:szCs w:val="20"/>
              </w:rPr>
              <w:t>83,55</w:t>
            </w:r>
          </w:p>
        </w:tc>
        <w:tc>
          <w:tcPr>
            <w:tcW w:w="766" w:type="dxa"/>
            <w:tcBorders>
              <w:top w:val="nil"/>
              <w:left w:val="nil"/>
              <w:bottom w:val="single" w:sz="4" w:space="0" w:color="auto"/>
              <w:right w:val="single" w:sz="4" w:space="0" w:color="auto"/>
            </w:tcBorders>
            <w:shd w:val="clear" w:color="auto" w:fill="auto"/>
            <w:vAlign w:val="center"/>
            <w:hideMark/>
          </w:tcPr>
          <w:p w14:paraId="519B3DC9"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CA"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CB" w14:textId="77777777" w:rsidR="00B36C28" w:rsidRPr="008E63BB" w:rsidRDefault="00B36C28" w:rsidP="00B36C28">
            <w:pPr>
              <w:jc w:val="right"/>
              <w:rPr>
                <w:rFonts w:eastAsia="Times New Roman"/>
                <w:sz w:val="20"/>
                <w:szCs w:val="20"/>
              </w:rPr>
            </w:pPr>
            <w:r w:rsidRPr="008E63BB">
              <w:rPr>
                <w:rFonts w:eastAsia="Times New Roman"/>
                <w:sz w:val="20"/>
                <w:szCs w:val="20"/>
              </w:rPr>
              <w:t>82,44</w:t>
            </w:r>
          </w:p>
        </w:tc>
        <w:tc>
          <w:tcPr>
            <w:tcW w:w="766" w:type="dxa"/>
            <w:tcBorders>
              <w:top w:val="nil"/>
              <w:left w:val="nil"/>
              <w:bottom w:val="single" w:sz="4" w:space="0" w:color="auto"/>
              <w:right w:val="nil"/>
            </w:tcBorders>
            <w:shd w:val="clear" w:color="auto" w:fill="auto"/>
            <w:vAlign w:val="center"/>
            <w:hideMark/>
          </w:tcPr>
          <w:p w14:paraId="519B3DCC"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CD" w14:textId="77777777" w:rsidR="00B36C28" w:rsidRPr="008E63BB" w:rsidRDefault="00B36C28" w:rsidP="00B36C28">
            <w:pPr>
              <w:jc w:val="right"/>
              <w:rPr>
                <w:rFonts w:eastAsia="Times New Roman"/>
                <w:sz w:val="20"/>
                <w:szCs w:val="20"/>
              </w:rPr>
            </w:pPr>
            <w:r w:rsidRPr="008E63BB">
              <w:rPr>
                <w:rFonts w:eastAsia="Times New Roman"/>
                <w:sz w:val="20"/>
                <w:szCs w:val="20"/>
              </w:rPr>
              <w:t>232,93</w:t>
            </w:r>
          </w:p>
        </w:tc>
        <w:tc>
          <w:tcPr>
            <w:tcW w:w="766" w:type="dxa"/>
            <w:tcBorders>
              <w:top w:val="nil"/>
              <w:left w:val="nil"/>
              <w:bottom w:val="single" w:sz="4" w:space="0" w:color="auto"/>
              <w:right w:val="single" w:sz="4" w:space="0" w:color="auto"/>
            </w:tcBorders>
            <w:shd w:val="clear" w:color="auto" w:fill="auto"/>
            <w:vAlign w:val="center"/>
            <w:hideMark/>
          </w:tcPr>
          <w:p w14:paraId="519B3DCE"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CF"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D0" w14:textId="77777777" w:rsidR="00B36C28" w:rsidRPr="008E63BB" w:rsidRDefault="00B36C28" w:rsidP="00B36C28">
            <w:pPr>
              <w:jc w:val="right"/>
              <w:rPr>
                <w:rFonts w:eastAsia="Times New Roman"/>
                <w:sz w:val="20"/>
                <w:szCs w:val="20"/>
              </w:rPr>
            </w:pPr>
            <w:r w:rsidRPr="008E63BB">
              <w:rPr>
                <w:rFonts w:eastAsia="Times New Roman"/>
                <w:sz w:val="20"/>
                <w:szCs w:val="20"/>
              </w:rPr>
              <w:t>150,49</w:t>
            </w:r>
          </w:p>
        </w:tc>
        <w:tc>
          <w:tcPr>
            <w:tcW w:w="766" w:type="dxa"/>
            <w:tcBorders>
              <w:top w:val="nil"/>
              <w:left w:val="nil"/>
              <w:bottom w:val="single" w:sz="4" w:space="0" w:color="auto"/>
              <w:right w:val="single" w:sz="4" w:space="0" w:color="auto"/>
            </w:tcBorders>
            <w:shd w:val="clear" w:color="auto" w:fill="auto"/>
            <w:vAlign w:val="center"/>
            <w:hideMark/>
          </w:tcPr>
          <w:p w14:paraId="519B3DD1"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D2"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D3" w14:textId="77777777" w:rsidR="00B36C28" w:rsidRPr="008E63BB" w:rsidRDefault="00B36C28" w:rsidP="00B36C28">
            <w:pPr>
              <w:jc w:val="right"/>
              <w:rPr>
                <w:rFonts w:eastAsia="Times New Roman"/>
                <w:sz w:val="20"/>
                <w:szCs w:val="20"/>
              </w:rPr>
            </w:pPr>
            <w:r w:rsidRPr="008E63BB">
              <w:rPr>
                <w:rFonts w:eastAsia="Times New Roman"/>
                <w:sz w:val="20"/>
                <w:szCs w:val="20"/>
              </w:rPr>
              <w:t>82,44</w:t>
            </w:r>
          </w:p>
        </w:tc>
      </w:tr>
      <w:tr w:rsidR="00B36C28" w:rsidRPr="008E63BB" w14:paraId="519B3DE6" w14:textId="77777777" w:rsidTr="004B2B2D">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D5" w14:textId="77777777" w:rsidR="00B36C28" w:rsidRPr="008E63BB" w:rsidRDefault="00B36C28" w:rsidP="00B36C28">
            <w:pPr>
              <w:jc w:val="center"/>
              <w:rPr>
                <w:rFonts w:eastAsia="Times New Roman"/>
                <w:sz w:val="20"/>
                <w:szCs w:val="20"/>
              </w:rPr>
            </w:pPr>
            <w:r w:rsidRPr="008E63BB">
              <w:rPr>
                <w:rFonts w:eastAsia="Times New Roman"/>
                <w:sz w:val="20"/>
                <w:szCs w:val="20"/>
              </w:rPr>
              <w:t>3</w:t>
            </w:r>
          </w:p>
        </w:tc>
        <w:tc>
          <w:tcPr>
            <w:tcW w:w="2972" w:type="dxa"/>
            <w:tcBorders>
              <w:top w:val="nil"/>
              <w:left w:val="nil"/>
              <w:bottom w:val="single" w:sz="4" w:space="0" w:color="auto"/>
              <w:right w:val="single" w:sz="4" w:space="0" w:color="auto"/>
            </w:tcBorders>
            <w:shd w:val="clear" w:color="auto" w:fill="auto"/>
            <w:vAlign w:val="center"/>
            <w:hideMark/>
          </w:tcPr>
          <w:p w14:paraId="519B3DD6" w14:textId="77777777" w:rsidR="00B36C28" w:rsidRPr="008E63BB" w:rsidRDefault="00B36C28" w:rsidP="00B36C28">
            <w:pPr>
              <w:jc w:val="left"/>
              <w:rPr>
                <w:rFonts w:eastAsia="Times New Roman"/>
                <w:sz w:val="20"/>
                <w:szCs w:val="20"/>
              </w:rPr>
            </w:pPr>
            <w:r w:rsidRPr="008E63BB">
              <w:rPr>
                <w:rFonts w:eastAsia="Times New Roman"/>
                <w:sz w:val="20"/>
                <w:szCs w:val="20"/>
              </w:rPr>
              <w:t>Đất nghĩa trang, nghĩa địa, nhà tang lễ, nhà hỏa táng</w:t>
            </w:r>
          </w:p>
        </w:tc>
        <w:tc>
          <w:tcPr>
            <w:tcW w:w="1016" w:type="dxa"/>
            <w:tcBorders>
              <w:top w:val="nil"/>
              <w:left w:val="nil"/>
              <w:bottom w:val="single" w:sz="4" w:space="0" w:color="auto"/>
              <w:right w:val="single" w:sz="4" w:space="0" w:color="auto"/>
            </w:tcBorders>
            <w:shd w:val="clear" w:color="auto" w:fill="auto"/>
            <w:vAlign w:val="center"/>
            <w:hideMark/>
          </w:tcPr>
          <w:p w14:paraId="519B3DD7" w14:textId="77777777" w:rsidR="00B36C28" w:rsidRPr="008E63BB" w:rsidRDefault="00B36C28" w:rsidP="00B36C28">
            <w:pPr>
              <w:jc w:val="right"/>
              <w:rPr>
                <w:rFonts w:eastAsia="Times New Roman"/>
                <w:sz w:val="20"/>
                <w:szCs w:val="20"/>
              </w:rPr>
            </w:pPr>
            <w:r w:rsidRPr="008E63BB">
              <w:rPr>
                <w:rFonts w:eastAsia="Times New Roman"/>
                <w:sz w:val="20"/>
                <w:szCs w:val="20"/>
              </w:rPr>
              <w:t>243,54</w:t>
            </w:r>
          </w:p>
        </w:tc>
        <w:tc>
          <w:tcPr>
            <w:tcW w:w="766" w:type="dxa"/>
            <w:tcBorders>
              <w:top w:val="nil"/>
              <w:left w:val="nil"/>
              <w:bottom w:val="single" w:sz="4" w:space="0" w:color="auto"/>
              <w:right w:val="single" w:sz="4" w:space="0" w:color="auto"/>
            </w:tcBorders>
            <w:shd w:val="clear" w:color="auto" w:fill="auto"/>
            <w:vAlign w:val="center"/>
            <w:hideMark/>
          </w:tcPr>
          <w:p w14:paraId="519B3DD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D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D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40,37</w:t>
            </w:r>
          </w:p>
        </w:tc>
        <w:tc>
          <w:tcPr>
            <w:tcW w:w="766" w:type="dxa"/>
            <w:tcBorders>
              <w:top w:val="nil"/>
              <w:left w:val="nil"/>
              <w:bottom w:val="single" w:sz="4" w:space="0" w:color="auto"/>
              <w:right w:val="single" w:sz="4" w:space="0" w:color="auto"/>
            </w:tcBorders>
            <w:shd w:val="clear" w:color="auto" w:fill="auto"/>
            <w:vAlign w:val="center"/>
            <w:hideMark/>
          </w:tcPr>
          <w:p w14:paraId="519B3DD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D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D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203,17</w:t>
            </w:r>
          </w:p>
        </w:tc>
        <w:tc>
          <w:tcPr>
            <w:tcW w:w="766" w:type="dxa"/>
            <w:tcBorders>
              <w:top w:val="nil"/>
              <w:left w:val="nil"/>
              <w:bottom w:val="single" w:sz="4" w:space="0" w:color="auto"/>
              <w:right w:val="nil"/>
            </w:tcBorders>
            <w:shd w:val="clear" w:color="auto" w:fill="auto"/>
            <w:vAlign w:val="center"/>
            <w:hideMark/>
          </w:tcPr>
          <w:p w14:paraId="519B3DD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DF" w14:textId="77777777" w:rsidR="00B36C28" w:rsidRPr="008E63BB" w:rsidRDefault="00B36C28" w:rsidP="00B36C28">
            <w:pPr>
              <w:jc w:val="right"/>
              <w:rPr>
                <w:rFonts w:eastAsia="Times New Roman"/>
                <w:sz w:val="20"/>
                <w:szCs w:val="20"/>
              </w:rPr>
            </w:pPr>
            <w:r w:rsidRPr="008E63BB">
              <w:rPr>
                <w:rFonts w:eastAsia="Times New Roman"/>
                <w:sz w:val="20"/>
                <w:szCs w:val="20"/>
              </w:rPr>
              <w:t>258,54</w:t>
            </w:r>
          </w:p>
        </w:tc>
        <w:tc>
          <w:tcPr>
            <w:tcW w:w="766" w:type="dxa"/>
            <w:tcBorders>
              <w:top w:val="nil"/>
              <w:left w:val="nil"/>
              <w:bottom w:val="single" w:sz="4" w:space="0" w:color="auto"/>
              <w:right w:val="single" w:sz="4" w:space="0" w:color="auto"/>
            </w:tcBorders>
            <w:shd w:val="clear" w:color="auto" w:fill="auto"/>
            <w:vAlign w:val="center"/>
            <w:hideMark/>
          </w:tcPr>
          <w:p w14:paraId="519B3DE0"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E1"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E2" w14:textId="77777777" w:rsidR="00B36C28" w:rsidRPr="008E63BB" w:rsidRDefault="00B36C28" w:rsidP="00B36C28">
            <w:pPr>
              <w:jc w:val="right"/>
              <w:rPr>
                <w:rFonts w:eastAsia="Times New Roman"/>
                <w:sz w:val="20"/>
                <w:szCs w:val="20"/>
              </w:rPr>
            </w:pPr>
            <w:r w:rsidRPr="008E63BB">
              <w:rPr>
                <w:rFonts w:eastAsia="Times New Roman"/>
                <w:sz w:val="20"/>
                <w:szCs w:val="20"/>
              </w:rPr>
              <w:t>43,37</w:t>
            </w:r>
          </w:p>
        </w:tc>
        <w:tc>
          <w:tcPr>
            <w:tcW w:w="766" w:type="dxa"/>
            <w:tcBorders>
              <w:top w:val="nil"/>
              <w:left w:val="nil"/>
              <w:bottom w:val="single" w:sz="4" w:space="0" w:color="auto"/>
              <w:right w:val="single" w:sz="4" w:space="0" w:color="auto"/>
            </w:tcBorders>
            <w:shd w:val="clear" w:color="auto" w:fill="auto"/>
            <w:vAlign w:val="center"/>
            <w:hideMark/>
          </w:tcPr>
          <w:p w14:paraId="519B3DE3"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E4"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E5" w14:textId="77777777" w:rsidR="00B36C28" w:rsidRPr="008E63BB" w:rsidRDefault="00B36C28" w:rsidP="00B36C28">
            <w:pPr>
              <w:jc w:val="right"/>
              <w:rPr>
                <w:rFonts w:eastAsia="Times New Roman"/>
                <w:sz w:val="20"/>
                <w:szCs w:val="20"/>
              </w:rPr>
            </w:pPr>
            <w:r w:rsidRPr="008E63BB">
              <w:rPr>
                <w:rFonts w:eastAsia="Times New Roman"/>
                <w:sz w:val="20"/>
                <w:szCs w:val="20"/>
              </w:rPr>
              <w:t>215,17</w:t>
            </w:r>
          </w:p>
        </w:tc>
      </w:tr>
      <w:tr w:rsidR="00B36C28" w:rsidRPr="008E63BB" w14:paraId="519B3DF8"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E7" w14:textId="77777777" w:rsidR="00B36C28" w:rsidRPr="008E63BB" w:rsidRDefault="00B36C28" w:rsidP="00B36C28">
            <w:pPr>
              <w:jc w:val="center"/>
              <w:rPr>
                <w:rFonts w:eastAsia="Times New Roman"/>
                <w:sz w:val="20"/>
                <w:szCs w:val="20"/>
              </w:rPr>
            </w:pPr>
            <w:r w:rsidRPr="008E63BB">
              <w:rPr>
                <w:rFonts w:eastAsia="Times New Roman"/>
                <w:sz w:val="20"/>
                <w:szCs w:val="20"/>
              </w:rPr>
              <w:t>4</w:t>
            </w:r>
          </w:p>
        </w:tc>
        <w:tc>
          <w:tcPr>
            <w:tcW w:w="2972" w:type="dxa"/>
            <w:tcBorders>
              <w:top w:val="nil"/>
              <w:left w:val="nil"/>
              <w:bottom w:val="single" w:sz="4" w:space="0" w:color="auto"/>
              <w:right w:val="single" w:sz="4" w:space="0" w:color="auto"/>
            </w:tcBorders>
            <w:shd w:val="clear" w:color="auto" w:fill="auto"/>
            <w:vAlign w:val="center"/>
            <w:hideMark/>
          </w:tcPr>
          <w:p w14:paraId="519B3DE8" w14:textId="77777777" w:rsidR="00B36C28" w:rsidRPr="008E63BB" w:rsidRDefault="00B36C28" w:rsidP="00B36C28">
            <w:pPr>
              <w:jc w:val="left"/>
              <w:rPr>
                <w:rFonts w:eastAsia="Times New Roman"/>
                <w:sz w:val="20"/>
                <w:szCs w:val="20"/>
              </w:rPr>
            </w:pPr>
            <w:r w:rsidRPr="008E63BB">
              <w:rPr>
                <w:rFonts w:eastAsia="Times New Roman"/>
                <w:sz w:val="20"/>
                <w:szCs w:val="20"/>
              </w:rPr>
              <w:t>Đất dự trữ phát triển</w:t>
            </w:r>
          </w:p>
        </w:tc>
        <w:tc>
          <w:tcPr>
            <w:tcW w:w="1016" w:type="dxa"/>
            <w:tcBorders>
              <w:top w:val="nil"/>
              <w:left w:val="nil"/>
              <w:bottom w:val="single" w:sz="4" w:space="0" w:color="auto"/>
              <w:right w:val="single" w:sz="4" w:space="0" w:color="auto"/>
            </w:tcBorders>
            <w:shd w:val="clear" w:color="auto" w:fill="auto"/>
            <w:vAlign w:val="center"/>
            <w:hideMark/>
          </w:tcPr>
          <w:p w14:paraId="519B3DE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E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E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E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E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DE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DE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nil"/>
            </w:tcBorders>
            <w:shd w:val="clear" w:color="auto" w:fill="auto"/>
            <w:vAlign w:val="center"/>
            <w:hideMark/>
          </w:tcPr>
          <w:p w14:paraId="519B3DF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DF1" w14:textId="77777777" w:rsidR="00B36C28" w:rsidRPr="008E63BB" w:rsidRDefault="00B36C28" w:rsidP="00B36C28">
            <w:pPr>
              <w:jc w:val="right"/>
              <w:rPr>
                <w:rFonts w:eastAsia="Times New Roman"/>
                <w:sz w:val="20"/>
                <w:szCs w:val="20"/>
              </w:rPr>
            </w:pPr>
            <w:r w:rsidRPr="008E63BB">
              <w:rPr>
                <w:rFonts w:eastAsia="Times New Roman"/>
                <w:sz w:val="20"/>
                <w:szCs w:val="20"/>
              </w:rPr>
              <w:t>678,00</w:t>
            </w:r>
          </w:p>
        </w:tc>
        <w:tc>
          <w:tcPr>
            <w:tcW w:w="766" w:type="dxa"/>
            <w:tcBorders>
              <w:top w:val="nil"/>
              <w:left w:val="nil"/>
              <w:bottom w:val="single" w:sz="4" w:space="0" w:color="auto"/>
              <w:right w:val="single" w:sz="4" w:space="0" w:color="auto"/>
            </w:tcBorders>
            <w:shd w:val="clear" w:color="auto" w:fill="auto"/>
            <w:vAlign w:val="center"/>
            <w:hideMark/>
          </w:tcPr>
          <w:p w14:paraId="519B3DF2"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F3"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F4" w14:textId="77777777" w:rsidR="00B36C28" w:rsidRPr="008E63BB" w:rsidRDefault="00B36C28" w:rsidP="00B36C28">
            <w:pPr>
              <w:jc w:val="right"/>
              <w:rPr>
                <w:rFonts w:eastAsia="Times New Roman"/>
                <w:sz w:val="20"/>
                <w:szCs w:val="20"/>
              </w:rPr>
            </w:pPr>
            <w:r w:rsidRPr="008E63BB">
              <w:rPr>
                <w:rFonts w:eastAsia="Times New Roman"/>
                <w:sz w:val="20"/>
                <w:szCs w:val="20"/>
              </w:rPr>
              <w:t>403,00</w:t>
            </w:r>
          </w:p>
        </w:tc>
        <w:tc>
          <w:tcPr>
            <w:tcW w:w="766" w:type="dxa"/>
            <w:tcBorders>
              <w:top w:val="nil"/>
              <w:left w:val="nil"/>
              <w:bottom w:val="single" w:sz="4" w:space="0" w:color="auto"/>
              <w:right w:val="single" w:sz="4" w:space="0" w:color="auto"/>
            </w:tcBorders>
            <w:shd w:val="clear" w:color="auto" w:fill="auto"/>
            <w:vAlign w:val="center"/>
            <w:hideMark/>
          </w:tcPr>
          <w:p w14:paraId="519B3DF5"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F6"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DF7" w14:textId="77777777" w:rsidR="00B36C28" w:rsidRPr="008E63BB" w:rsidRDefault="00B36C28" w:rsidP="00B36C28">
            <w:pPr>
              <w:jc w:val="right"/>
              <w:rPr>
                <w:rFonts w:eastAsia="Times New Roman"/>
                <w:sz w:val="20"/>
                <w:szCs w:val="20"/>
              </w:rPr>
            </w:pPr>
            <w:r w:rsidRPr="008E63BB">
              <w:rPr>
                <w:rFonts w:eastAsia="Times New Roman"/>
                <w:sz w:val="20"/>
                <w:szCs w:val="20"/>
              </w:rPr>
              <w:t>275,00</w:t>
            </w:r>
          </w:p>
        </w:tc>
      </w:tr>
      <w:tr w:rsidR="00B36C28" w:rsidRPr="008E63BB" w14:paraId="519B3E0A"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DF9" w14:textId="77777777" w:rsidR="00B36C28" w:rsidRPr="008E63BB" w:rsidRDefault="00B36C28" w:rsidP="00B36C28">
            <w:pPr>
              <w:jc w:val="center"/>
              <w:rPr>
                <w:rFonts w:eastAsia="Times New Roman"/>
                <w:sz w:val="20"/>
                <w:szCs w:val="20"/>
              </w:rPr>
            </w:pPr>
            <w:r w:rsidRPr="008E63BB">
              <w:rPr>
                <w:rFonts w:eastAsia="Times New Roman"/>
                <w:sz w:val="20"/>
                <w:szCs w:val="20"/>
              </w:rPr>
              <w:t>5</w:t>
            </w:r>
          </w:p>
        </w:tc>
        <w:tc>
          <w:tcPr>
            <w:tcW w:w="2972" w:type="dxa"/>
            <w:tcBorders>
              <w:top w:val="nil"/>
              <w:left w:val="nil"/>
              <w:bottom w:val="single" w:sz="4" w:space="0" w:color="auto"/>
              <w:right w:val="single" w:sz="4" w:space="0" w:color="auto"/>
            </w:tcBorders>
            <w:shd w:val="clear" w:color="auto" w:fill="auto"/>
            <w:vAlign w:val="center"/>
            <w:hideMark/>
          </w:tcPr>
          <w:p w14:paraId="519B3DFA" w14:textId="77777777" w:rsidR="00B36C28" w:rsidRPr="008E63BB" w:rsidRDefault="00B36C28" w:rsidP="00B36C28">
            <w:pPr>
              <w:jc w:val="left"/>
              <w:rPr>
                <w:rFonts w:eastAsia="Times New Roman"/>
                <w:sz w:val="20"/>
                <w:szCs w:val="20"/>
              </w:rPr>
            </w:pPr>
            <w:r w:rsidRPr="008E63BB">
              <w:rPr>
                <w:rFonts w:eastAsia="Times New Roman"/>
                <w:sz w:val="20"/>
                <w:szCs w:val="20"/>
              </w:rPr>
              <w:t>Đất cây xanh ven sông</w:t>
            </w:r>
          </w:p>
        </w:tc>
        <w:tc>
          <w:tcPr>
            <w:tcW w:w="1016" w:type="dxa"/>
            <w:tcBorders>
              <w:top w:val="nil"/>
              <w:left w:val="nil"/>
              <w:bottom w:val="single" w:sz="4" w:space="0" w:color="auto"/>
              <w:right w:val="single" w:sz="4" w:space="0" w:color="auto"/>
            </w:tcBorders>
            <w:shd w:val="clear" w:color="auto" w:fill="auto"/>
            <w:vAlign w:val="center"/>
            <w:hideMark/>
          </w:tcPr>
          <w:p w14:paraId="519B3DF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F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F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DF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DF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E0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E0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nil"/>
            </w:tcBorders>
            <w:shd w:val="clear" w:color="auto" w:fill="auto"/>
            <w:vAlign w:val="center"/>
            <w:hideMark/>
          </w:tcPr>
          <w:p w14:paraId="519B3E0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E03" w14:textId="77777777" w:rsidR="00B36C28" w:rsidRPr="008E63BB" w:rsidRDefault="00B36C28" w:rsidP="00B36C28">
            <w:pPr>
              <w:jc w:val="right"/>
              <w:rPr>
                <w:rFonts w:eastAsia="Times New Roman"/>
                <w:sz w:val="20"/>
                <w:szCs w:val="20"/>
              </w:rPr>
            </w:pPr>
            <w:r w:rsidRPr="008E63BB">
              <w:rPr>
                <w:rFonts w:eastAsia="Times New Roman"/>
                <w:sz w:val="20"/>
                <w:szCs w:val="20"/>
              </w:rPr>
              <w:t>333,60</w:t>
            </w:r>
          </w:p>
        </w:tc>
        <w:tc>
          <w:tcPr>
            <w:tcW w:w="766" w:type="dxa"/>
            <w:tcBorders>
              <w:top w:val="nil"/>
              <w:left w:val="nil"/>
              <w:bottom w:val="single" w:sz="4" w:space="0" w:color="auto"/>
              <w:right w:val="single" w:sz="4" w:space="0" w:color="auto"/>
            </w:tcBorders>
            <w:shd w:val="clear" w:color="auto" w:fill="auto"/>
            <w:vAlign w:val="center"/>
            <w:hideMark/>
          </w:tcPr>
          <w:p w14:paraId="519B3E04"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05"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06" w14:textId="77777777" w:rsidR="00B36C28" w:rsidRPr="008E63BB" w:rsidRDefault="00B36C28" w:rsidP="00B36C28">
            <w:pPr>
              <w:jc w:val="right"/>
              <w:rPr>
                <w:rFonts w:eastAsia="Times New Roman"/>
                <w:sz w:val="20"/>
                <w:szCs w:val="20"/>
              </w:rPr>
            </w:pPr>
            <w:r w:rsidRPr="008E63BB">
              <w:rPr>
                <w:rFonts w:eastAsia="Times New Roman"/>
                <w:sz w:val="20"/>
                <w:szCs w:val="20"/>
              </w:rPr>
              <w:t>187,90</w:t>
            </w:r>
          </w:p>
        </w:tc>
        <w:tc>
          <w:tcPr>
            <w:tcW w:w="766" w:type="dxa"/>
            <w:tcBorders>
              <w:top w:val="nil"/>
              <w:left w:val="nil"/>
              <w:bottom w:val="single" w:sz="4" w:space="0" w:color="auto"/>
              <w:right w:val="single" w:sz="4" w:space="0" w:color="auto"/>
            </w:tcBorders>
            <w:shd w:val="clear" w:color="auto" w:fill="auto"/>
            <w:vAlign w:val="center"/>
            <w:hideMark/>
          </w:tcPr>
          <w:p w14:paraId="519B3E07"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08"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E09" w14:textId="77777777" w:rsidR="00B36C28" w:rsidRPr="008E63BB" w:rsidRDefault="00B36C28" w:rsidP="00B36C28">
            <w:pPr>
              <w:jc w:val="right"/>
              <w:rPr>
                <w:rFonts w:eastAsia="Times New Roman"/>
                <w:sz w:val="20"/>
                <w:szCs w:val="20"/>
              </w:rPr>
            </w:pPr>
            <w:r w:rsidRPr="008E63BB">
              <w:rPr>
                <w:rFonts w:eastAsia="Times New Roman"/>
                <w:sz w:val="20"/>
                <w:szCs w:val="20"/>
              </w:rPr>
              <w:t>145,70</w:t>
            </w:r>
          </w:p>
        </w:tc>
      </w:tr>
      <w:tr w:rsidR="00B36C28" w:rsidRPr="008E63BB" w14:paraId="519B3E1C"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E0B" w14:textId="77777777" w:rsidR="00B36C28" w:rsidRPr="008E63BB" w:rsidRDefault="00B36C28" w:rsidP="00B36C28">
            <w:pPr>
              <w:jc w:val="center"/>
              <w:rPr>
                <w:rFonts w:eastAsia="Times New Roman"/>
                <w:sz w:val="20"/>
                <w:szCs w:val="20"/>
              </w:rPr>
            </w:pPr>
            <w:r w:rsidRPr="008E63BB">
              <w:rPr>
                <w:rFonts w:eastAsia="Times New Roman"/>
                <w:sz w:val="20"/>
                <w:szCs w:val="20"/>
              </w:rPr>
              <w:t>6</w:t>
            </w:r>
          </w:p>
        </w:tc>
        <w:tc>
          <w:tcPr>
            <w:tcW w:w="2972" w:type="dxa"/>
            <w:tcBorders>
              <w:top w:val="nil"/>
              <w:left w:val="nil"/>
              <w:bottom w:val="single" w:sz="4" w:space="0" w:color="auto"/>
              <w:right w:val="single" w:sz="4" w:space="0" w:color="auto"/>
            </w:tcBorders>
            <w:shd w:val="clear" w:color="auto" w:fill="auto"/>
            <w:vAlign w:val="center"/>
            <w:hideMark/>
          </w:tcPr>
          <w:p w14:paraId="519B3E0C" w14:textId="77777777" w:rsidR="00B36C28" w:rsidRPr="008E63BB" w:rsidRDefault="00B36C28" w:rsidP="00B36C28">
            <w:pPr>
              <w:jc w:val="left"/>
              <w:rPr>
                <w:rFonts w:eastAsia="Times New Roman"/>
                <w:sz w:val="20"/>
                <w:szCs w:val="20"/>
              </w:rPr>
            </w:pPr>
            <w:r w:rsidRPr="008E63BB">
              <w:rPr>
                <w:rFonts w:eastAsia="Times New Roman"/>
                <w:sz w:val="20"/>
                <w:szCs w:val="20"/>
              </w:rPr>
              <w:t>Đất cây xanh cách ly</w:t>
            </w:r>
          </w:p>
        </w:tc>
        <w:tc>
          <w:tcPr>
            <w:tcW w:w="1016" w:type="dxa"/>
            <w:tcBorders>
              <w:top w:val="nil"/>
              <w:left w:val="nil"/>
              <w:bottom w:val="single" w:sz="4" w:space="0" w:color="auto"/>
              <w:right w:val="single" w:sz="4" w:space="0" w:color="auto"/>
            </w:tcBorders>
            <w:shd w:val="clear" w:color="auto" w:fill="auto"/>
            <w:vAlign w:val="center"/>
            <w:hideMark/>
          </w:tcPr>
          <w:p w14:paraId="519B3E0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0E"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0F"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10"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11"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E12"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E13"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nil"/>
            </w:tcBorders>
            <w:shd w:val="clear" w:color="auto" w:fill="auto"/>
            <w:vAlign w:val="center"/>
            <w:hideMark/>
          </w:tcPr>
          <w:p w14:paraId="519B3E14"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E15" w14:textId="77777777" w:rsidR="00B36C28" w:rsidRPr="008E63BB" w:rsidRDefault="00B36C28" w:rsidP="00B36C28">
            <w:pPr>
              <w:jc w:val="right"/>
              <w:rPr>
                <w:rFonts w:eastAsia="Times New Roman"/>
                <w:sz w:val="20"/>
                <w:szCs w:val="20"/>
              </w:rPr>
            </w:pPr>
            <w:r w:rsidRPr="008E63BB">
              <w:rPr>
                <w:rFonts w:eastAsia="Times New Roman"/>
                <w:sz w:val="20"/>
                <w:szCs w:val="20"/>
              </w:rPr>
              <w:t>302,23</w:t>
            </w:r>
          </w:p>
        </w:tc>
        <w:tc>
          <w:tcPr>
            <w:tcW w:w="766" w:type="dxa"/>
            <w:tcBorders>
              <w:top w:val="nil"/>
              <w:left w:val="nil"/>
              <w:bottom w:val="single" w:sz="4" w:space="0" w:color="auto"/>
              <w:right w:val="single" w:sz="4" w:space="0" w:color="auto"/>
            </w:tcBorders>
            <w:shd w:val="clear" w:color="auto" w:fill="auto"/>
            <w:vAlign w:val="center"/>
            <w:hideMark/>
          </w:tcPr>
          <w:p w14:paraId="519B3E16" w14:textId="77777777" w:rsidR="00B36C28" w:rsidRPr="008E63BB" w:rsidRDefault="00B36C28" w:rsidP="00B36C28">
            <w:pPr>
              <w:jc w:val="center"/>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17" w14:textId="77777777" w:rsidR="00B36C28" w:rsidRPr="008E63BB" w:rsidRDefault="00B36C28" w:rsidP="00B36C28">
            <w:pPr>
              <w:jc w:val="center"/>
              <w:rPr>
                <w:rFonts w:eastAsia="Times New Roman"/>
                <w:sz w:val="20"/>
                <w:szCs w:val="20"/>
              </w:rPr>
            </w:pPr>
            <w:r w:rsidRPr="008E63BB">
              <w:rPr>
                <w:rFonts w:eastAsia="Times New Roman"/>
                <w:sz w:val="20"/>
                <w:szCs w:val="20"/>
              </w:rPr>
              <w:t> </w:t>
            </w:r>
          </w:p>
        </w:tc>
        <w:tc>
          <w:tcPr>
            <w:tcW w:w="916" w:type="dxa"/>
            <w:tcBorders>
              <w:top w:val="nil"/>
              <w:left w:val="nil"/>
              <w:bottom w:val="nil"/>
              <w:right w:val="nil"/>
            </w:tcBorders>
            <w:shd w:val="clear" w:color="auto" w:fill="auto"/>
            <w:vAlign w:val="center"/>
            <w:hideMark/>
          </w:tcPr>
          <w:p w14:paraId="519B3E18" w14:textId="77777777" w:rsidR="00B36C28" w:rsidRPr="008E63BB" w:rsidRDefault="00B36C28" w:rsidP="00B36C28">
            <w:pPr>
              <w:jc w:val="right"/>
              <w:rPr>
                <w:rFonts w:eastAsia="Times New Roman"/>
                <w:sz w:val="20"/>
                <w:szCs w:val="20"/>
              </w:rPr>
            </w:pPr>
            <w:r w:rsidRPr="008E63BB">
              <w:rPr>
                <w:rFonts w:eastAsia="Times New Roman"/>
                <w:sz w:val="20"/>
                <w:szCs w:val="20"/>
              </w:rPr>
              <w:t>187,30</w:t>
            </w:r>
          </w:p>
        </w:tc>
        <w:tc>
          <w:tcPr>
            <w:tcW w:w="766" w:type="dxa"/>
            <w:tcBorders>
              <w:top w:val="nil"/>
              <w:left w:val="single" w:sz="4" w:space="0" w:color="auto"/>
              <w:bottom w:val="single" w:sz="4" w:space="0" w:color="auto"/>
              <w:right w:val="single" w:sz="4" w:space="0" w:color="auto"/>
            </w:tcBorders>
            <w:shd w:val="clear" w:color="auto" w:fill="auto"/>
            <w:vAlign w:val="center"/>
            <w:hideMark/>
          </w:tcPr>
          <w:p w14:paraId="519B3E19" w14:textId="77777777" w:rsidR="00B36C28" w:rsidRPr="008E63BB" w:rsidRDefault="00B36C28" w:rsidP="00B36C28">
            <w:pPr>
              <w:jc w:val="center"/>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1A" w14:textId="77777777" w:rsidR="00B36C28" w:rsidRPr="008E63BB" w:rsidRDefault="00B36C28" w:rsidP="00B36C28">
            <w:pPr>
              <w:jc w:val="center"/>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E1B" w14:textId="77777777" w:rsidR="00B36C28" w:rsidRPr="008E63BB" w:rsidRDefault="00B36C28" w:rsidP="00B36C28">
            <w:pPr>
              <w:jc w:val="right"/>
              <w:rPr>
                <w:rFonts w:eastAsia="Times New Roman"/>
                <w:sz w:val="20"/>
                <w:szCs w:val="20"/>
              </w:rPr>
            </w:pPr>
            <w:r w:rsidRPr="008E63BB">
              <w:rPr>
                <w:rFonts w:eastAsia="Times New Roman"/>
                <w:sz w:val="20"/>
                <w:szCs w:val="20"/>
              </w:rPr>
              <w:t>114,93</w:t>
            </w:r>
          </w:p>
        </w:tc>
      </w:tr>
      <w:tr w:rsidR="00B36C28" w:rsidRPr="008E63BB" w14:paraId="519B3E2E" w14:textId="77777777" w:rsidTr="004B2B2D">
        <w:trPr>
          <w:trHeight w:val="278"/>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E1D" w14:textId="77777777" w:rsidR="00B36C28" w:rsidRPr="008E63BB" w:rsidRDefault="00B36C28" w:rsidP="00B36C28">
            <w:pPr>
              <w:jc w:val="center"/>
              <w:rPr>
                <w:rFonts w:eastAsia="Times New Roman"/>
                <w:sz w:val="20"/>
                <w:szCs w:val="20"/>
              </w:rPr>
            </w:pPr>
            <w:r w:rsidRPr="008E63BB">
              <w:rPr>
                <w:rFonts w:eastAsia="Times New Roman"/>
                <w:sz w:val="20"/>
                <w:szCs w:val="20"/>
              </w:rPr>
              <w:t>7</w:t>
            </w:r>
          </w:p>
        </w:tc>
        <w:tc>
          <w:tcPr>
            <w:tcW w:w="2972" w:type="dxa"/>
            <w:tcBorders>
              <w:top w:val="nil"/>
              <w:left w:val="nil"/>
              <w:bottom w:val="single" w:sz="4" w:space="0" w:color="auto"/>
              <w:right w:val="single" w:sz="4" w:space="0" w:color="auto"/>
            </w:tcBorders>
            <w:shd w:val="clear" w:color="auto" w:fill="auto"/>
            <w:vAlign w:val="center"/>
            <w:hideMark/>
          </w:tcPr>
          <w:p w14:paraId="519B3E1E" w14:textId="77777777" w:rsidR="00B36C28" w:rsidRPr="008E63BB" w:rsidRDefault="00B36C28" w:rsidP="00B36C28">
            <w:pPr>
              <w:jc w:val="left"/>
              <w:rPr>
                <w:rFonts w:eastAsia="Times New Roman"/>
                <w:sz w:val="20"/>
                <w:szCs w:val="20"/>
              </w:rPr>
            </w:pPr>
            <w:r w:rsidRPr="008E63BB">
              <w:rPr>
                <w:rFonts w:eastAsia="Times New Roman"/>
                <w:sz w:val="20"/>
                <w:szCs w:val="20"/>
              </w:rPr>
              <w:t>Đất nông nghiệp</w:t>
            </w:r>
          </w:p>
        </w:tc>
        <w:tc>
          <w:tcPr>
            <w:tcW w:w="1016" w:type="dxa"/>
            <w:tcBorders>
              <w:top w:val="nil"/>
              <w:left w:val="nil"/>
              <w:bottom w:val="single" w:sz="4" w:space="0" w:color="auto"/>
              <w:right w:val="single" w:sz="4" w:space="0" w:color="auto"/>
            </w:tcBorders>
            <w:shd w:val="clear" w:color="auto" w:fill="auto"/>
            <w:vAlign w:val="center"/>
            <w:hideMark/>
          </w:tcPr>
          <w:p w14:paraId="519B3E1F" w14:textId="77777777" w:rsidR="00B36C28" w:rsidRPr="008E63BB" w:rsidRDefault="00B36C28" w:rsidP="00B36C28">
            <w:pPr>
              <w:jc w:val="right"/>
              <w:rPr>
                <w:rFonts w:eastAsia="Times New Roman"/>
                <w:sz w:val="20"/>
                <w:szCs w:val="20"/>
              </w:rPr>
            </w:pPr>
            <w:r w:rsidRPr="008E63BB">
              <w:rPr>
                <w:rFonts w:eastAsia="Times New Roman"/>
                <w:sz w:val="20"/>
                <w:szCs w:val="20"/>
              </w:rPr>
              <w:t>12.182,75</w:t>
            </w:r>
          </w:p>
        </w:tc>
        <w:tc>
          <w:tcPr>
            <w:tcW w:w="766" w:type="dxa"/>
            <w:tcBorders>
              <w:top w:val="nil"/>
              <w:left w:val="nil"/>
              <w:bottom w:val="single" w:sz="4" w:space="0" w:color="auto"/>
              <w:right w:val="single" w:sz="4" w:space="0" w:color="auto"/>
            </w:tcBorders>
            <w:shd w:val="clear" w:color="auto" w:fill="auto"/>
            <w:vAlign w:val="center"/>
            <w:hideMark/>
          </w:tcPr>
          <w:p w14:paraId="519B3E2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2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2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1.032,23</w:t>
            </w:r>
          </w:p>
        </w:tc>
        <w:tc>
          <w:tcPr>
            <w:tcW w:w="766" w:type="dxa"/>
            <w:tcBorders>
              <w:top w:val="nil"/>
              <w:left w:val="nil"/>
              <w:bottom w:val="single" w:sz="4" w:space="0" w:color="auto"/>
              <w:right w:val="single" w:sz="4" w:space="0" w:color="auto"/>
            </w:tcBorders>
            <w:shd w:val="clear" w:color="auto" w:fill="auto"/>
            <w:vAlign w:val="center"/>
            <w:hideMark/>
          </w:tcPr>
          <w:p w14:paraId="519B3E2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E2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E2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11.150,52</w:t>
            </w:r>
          </w:p>
        </w:tc>
        <w:tc>
          <w:tcPr>
            <w:tcW w:w="766" w:type="dxa"/>
            <w:tcBorders>
              <w:top w:val="nil"/>
              <w:left w:val="nil"/>
              <w:bottom w:val="single" w:sz="4" w:space="0" w:color="auto"/>
              <w:right w:val="nil"/>
            </w:tcBorders>
            <w:shd w:val="clear" w:color="auto" w:fill="auto"/>
            <w:vAlign w:val="center"/>
            <w:hideMark/>
          </w:tcPr>
          <w:p w14:paraId="519B3E2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E27" w14:textId="77777777" w:rsidR="00B36C28" w:rsidRPr="008E63BB" w:rsidRDefault="00B36C28" w:rsidP="00B36C28">
            <w:pPr>
              <w:jc w:val="right"/>
              <w:rPr>
                <w:rFonts w:eastAsia="Times New Roman"/>
                <w:sz w:val="20"/>
                <w:szCs w:val="20"/>
              </w:rPr>
            </w:pPr>
            <w:r w:rsidRPr="008E63BB">
              <w:rPr>
                <w:rFonts w:eastAsia="Times New Roman"/>
                <w:sz w:val="20"/>
                <w:szCs w:val="20"/>
              </w:rPr>
              <w:t>9.321,49</w:t>
            </w:r>
          </w:p>
        </w:tc>
        <w:tc>
          <w:tcPr>
            <w:tcW w:w="766" w:type="dxa"/>
            <w:tcBorders>
              <w:top w:val="nil"/>
              <w:left w:val="nil"/>
              <w:bottom w:val="single" w:sz="4" w:space="0" w:color="auto"/>
              <w:right w:val="single" w:sz="4" w:space="0" w:color="auto"/>
            </w:tcBorders>
            <w:shd w:val="clear" w:color="auto" w:fill="auto"/>
            <w:vAlign w:val="center"/>
            <w:hideMark/>
          </w:tcPr>
          <w:p w14:paraId="519B3E28"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29"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single" w:sz="4" w:space="0" w:color="auto"/>
              <w:left w:val="nil"/>
              <w:bottom w:val="single" w:sz="4" w:space="0" w:color="auto"/>
              <w:right w:val="single" w:sz="4" w:space="0" w:color="auto"/>
            </w:tcBorders>
            <w:shd w:val="clear" w:color="auto" w:fill="auto"/>
            <w:vAlign w:val="center"/>
            <w:hideMark/>
          </w:tcPr>
          <w:p w14:paraId="519B3E2A" w14:textId="77777777" w:rsidR="00B36C28" w:rsidRPr="008E63BB" w:rsidRDefault="00B36C28" w:rsidP="00B36C28">
            <w:pPr>
              <w:jc w:val="right"/>
              <w:rPr>
                <w:rFonts w:eastAsia="Times New Roman"/>
                <w:sz w:val="20"/>
                <w:szCs w:val="20"/>
              </w:rPr>
            </w:pPr>
            <w:r w:rsidRPr="008E63BB">
              <w:rPr>
                <w:rFonts w:eastAsia="Times New Roman"/>
                <w:sz w:val="20"/>
                <w:szCs w:val="20"/>
              </w:rPr>
              <w:t>1.754,88</w:t>
            </w:r>
          </w:p>
        </w:tc>
        <w:tc>
          <w:tcPr>
            <w:tcW w:w="766" w:type="dxa"/>
            <w:tcBorders>
              <w:top w:val="nil"/>
              <w:left w:val="nil"/>
              <w:bottom w:val="single" w:sz="4" w:space="0" w:color="auto"/>
              <w:right w:val="single" w:sz="4" w:space="0" w:color="auto"/>
            </w:tcBorders>
            <w:shd w:val="clear" w:color="auto" w:fill="auto"/>
            <w:vAlign w:val="center"/>
            <w:hideMark/>
          </w:tcPr>
          <w:p w14:paraId="519B3E2B"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2C"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E2D" w14:textId="77777777" w:rsidR="00B36C28" w:rsidRPr="008E63BB" w:rsidRDefault="00B36C28" w:rsidP="00B36C28">
            <w:pPr>
              <w:jc w:val="right"/>
              <w:rPr>
                <w:rFonts w:eastAsia="Times New Roman"/>
                <w:sz w:val="20"/>
                <w:szCs w:val="20"/>
              </w:rPr>
            </w:pPr>
            <w:r w:rsidRPr="008E63BB">
              <w:rPr>
                <w:rFonts w:eastAsia="Times New Roman"/>
                <w:sz w:val="20"/>
                <w:szCs w:val="20"/>
              </w:rPr>
              <w:t>7.566,61</w:t>
            </w:r>
          </w:p>
        </w:tc>
      </w:tr>
      <w:tr w:rsidR="00B36C28" w:rsidRPr="008E63BB" w14:paraId="519B3E40" w14:textId="77777777" w:rsidTr="004B2B2D">
        <w:trPr>
          <w:trHeight w:val="225"/>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E2F" w14:textId="77777777" w:rsidR="00B36C28" w:rsidRPr="008E63BB" w:rsidRDefault="00B36C28" w:rsidP="00B36C28">
            <w:pPr>
              <w:jc w:val="center"/>
              <w:rPr>
                <w:rFonts w:eastAsia="Times New Roman"/>
                <w:sz w:val="20"/>
                <w:szCs w:val="20"/>
              </w:rPr>
            </w:pPr>
            <w:r w:rsidRPr="008E63BB">
              <w:rPr>
                <w:rFonts w:eastAsia="Times New Roman"/>
                <w:sz w:val="20"/>
                <w:szCs w:val="20"/>
              </w:rPr>
              <w:t>8</w:t>
            </w:r>
          </w:p>
        </w:tc>
        <w:tc>
          <w:tcPr>
            <w:tcW w:w="2972" w:type="dxa"/>
            <w:tcBorders>
              <w:top w:val="nil"/>
              <w:left w:val="nil"/>
              <w:bottom w:val="single" w:sz="4" w:space="0" w:color="auto"/>
              <w:right w:val="single" w:sz="4" w:space="0" w:color="auto"/>
            </w:tcBorders>
            <w:shd w:val="clear" w:color="auto" w:fill="auto"/>
            <w:vAlign w:val="center"/>
            <w:hideMark/>
          </w:tcPr>
          <w:p w14:paraId="519B3E30" w14:textId="77777777" w:rsidR="00B36C28" w:rsidRPr="008E63BB" w:rsidRDefault="00B36C28" w:rsidP="00B36C28">
            <w:pPr>
              <w:jc w:val="left"/>
              <w:rPr>
                <w:rFonts w:eastAsia="Times New Roman"/>
                <w:sz w:val="20"/>
                <w:szCs w:val="20"/>
              </w:rPr>
            </w:pPr>
            <w:r w:rsidRPr="008E63BB">
              <w:rPr>
                <w:rFonts w:eastAsia="Times New Roman"/>
                <w:sz w:val="20"/>
                <w:szCs w:val="20"/>
              </w:rPr>
              <w:t>Đất khác</w:t>
            </w:r>
          </w:p>
        </w:tc>
        <w:tc>
          <w:tcPr>
            <w:tcW w:w="1016" w:type="dxa"/>
            <w:tcBorders>
              <w:top w:val="nil"/>
              <w:left w:val="nil"/>
              <w:bottom w:val="single" w:sz="4" w:space="0" w:color="auto"/>
              <w:right w:val="single" w:sz="4" w:space="0" w:color="auto"/>
            </w:tcBorders>
            <w:shd w:val="clear" w:color="auto" w:fill="auto"/>
            <w:vAlign w:val="center"/>
            <w:hideMark/>
          </w:tcPr>
          <w:p w14:paraId="519B3E31" w14:textId="77777777" w:rsidR="00B36C28" w:rsidRPr="008E63BB" w:rsidRDefault="00B36C28" w:rsidP="00B36C28">
            <w:pPr>
              <w:jc w:val="right"/>
              <w:rPr>
                <w:rFonts w:eastAsia="Times New Roman"/>
                <w:sz w:val="20"/>
                <w:szCs w:val="20"/>
              </w:rPr>
            </w:pPr>
            <w:r w:rsidRPr="008E63BB">
              <w:rPr>
                <w:rFonts w:eastAsia="Times New Roman"/>
                <w:sz w:val="20"/>
                <w:szCs w:val="20"/>
              </w:rPr>
              <w:t>85,45</w:t>
            </w:r>
          </w:p>
        </w:tc>
        <w:tc>
          <w:tcPr>
            <w:tcW w:w="766" w:type="dxa"/>
            <w:tcBorders>
              <w:top w:val="nil"/>
              <w:left w:val="nil"/>
              <w:bottom w:val="single" w:sz="4" w:space="0" w:color="auto"/>
              <w:right w:val="single" w:sz="4" w:space="0" w:color="auto"/>
            </w:tcBorders>
            <w:shd w:val="clear" w:color="auto" w:fill="auto"/>
            <w:vAlign w:val="center"/>
            <w:hideMark/>
          </w:tcPr>
          <w:p w14:paraId="519B3E3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3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3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7,61</w:t>
            </w:r>
          </w:p>
        </w:tc>
        <w:tc>
          <w:tcPr>
            <w:tcW w:w="766" w:type="dxa"/>
            <w:tcBorders>
              <w:top w:val="nil"/>
              <w:left w:val="nil"/>
              <w:bottom w:val="single" w:sz="4" w:space="0" w:color="auto"/>
              <w:right w:val="single" w:sz="4" w:space="0" w:color="auto"/>
            </w:tcBorders>
            <w:shd w:val="clear" w:color="auto" w:fill="auto"/>
            <w:vAlign w:val="center"/>
            <w:hideMark/>
          </w:tcPr>
          <w:p w14:paraId="519B3E3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E3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E3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77,84</w:t>
            </w:r>
          </w:p>
        </w:tc>
        <w:tc>
          <w:tcPr>
            <w:tcW w:w="766" w:type="dxa"/>
            <w:tcBorders>
              <w:top w:val="nil"/>
              <w:left w:val="nil"/>
              <w:bottom w:val="single" w:sz="4" w:space="0" w:color="auto"/>
              <w:right w:val="nil"/>
            </w:tcBorders>
            <w:shd w:val="clear" w:color="auto" w:fill="auto"/>
            <w:vAlign w:val="center"/>
            <w:hideMark/>
          </w:tcPr>
          <w:p w14:paraId="519B3E3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E39" w14:textId="77777777" w:rsidR="00B36C28" w:rsidRPr="008E63BB" w:rsidRDefault="00B36C28" w:rsidP="00B36C28">
            <w:pPr>
              <w:jc w:val="right"/>
              <w:rPr>
                <w:rFonts w:eastAsia="Times New Roman"/>
                <w:sz w:val="20"/>
                <w:szCs w:val="20"/>
              </w:rPr>
            </w:pPr>
            <w:r w:rsidRPr="008E63BB">
              <w:rPr>
                <w:rFonts w:eastAsia="Times New Roman"/>
                <w:sz w:val="20"/>
                <w:szCs w:val="20"/>
              </w:rPr>
              <w:t>0,00</w:t>
            </w:r>
          </w:p>
        </w:tc>
        <w:tc>
          <w:tcPr>
            <w:tcW w:w="766" w:type="dxa"/>
            <w:tcBorders>
              <w:top w:val="nil"/>
              <w:left w:val="nil"/>
              <w:bottom w:val="single" w:sz="4" w:space="0" w:color="auto"/>
              <w:right w:val="single" w:sz="4" w:space="0" w:color="auto"/>
            </w:tcBorders>
            <w:shd w:val="clear" w:color="auto" w:fill="auto"/>
            <w:vAlign w:val="center"/>
            <w:hideMark/>
          </w:tcPr>
          <w:p w14:paraId="519B3E3A"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3B"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3C"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3D"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3E"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E3F" w14:textId="77777777" w:rsidR="00B36C28" w:rsidRPr="008E63BB" w:rsidRDefault="00B36C28" w:rsidP="00B36C28">
            <w:pPr>
              <w:jc w:val="right"/>
              <w:rPr>
                <w:rFonts w:eastAsia="Times New Roman"/>
                <w:sz w:val="20"/>
                <w:szCs w:val="20"/>
              </w:rPr>
            </w:pPr>
            <w:r w:rsidRPr="008E63BB">
              <w:rPr>
                <w:rFonts w:eastAsia="Times New Roman"/>
                <w:sz w:val="20"/>
                <w:szCs w:val="20"/>
              </w:rPr>
              <w:t> </w:t>
            </w:r>
          </w:p>
        </w:tc>
      </w:tr>
      <w:tr w:rsidR="00B36C28" w:rsidRPr="008E63BB" w14:paraId="519B3E52" w14:textId="77777777" w:rsidTr="004B2B2D">
        <w:trPr>
          <w:trHeight w:val="291"/>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E41" w14:textId="77777777" w:rsidR="00B36C28" w:rsidRPr="008E63BB" w:rsidRDefault="00B36C28" w:rsidP="00B36C28">
            <w:pPr>
              <w:jc w:val="center"/>
              <w:rPr>
                <w:rFonts w:eastAsia="Times New Roman"/>
                <w:sz w:val="20"/>
                <w:szCs w:val="20"/>
              </w:rPr>
            </w:pPr>
            <w:r w:rsidRPr="008E63BB">
              <w:rPr>
                <w:rFonts w:eastAsia="Times New Roman"/>
                <w:sz w:val="20"/>
                <w:szCs w:val="20"/>
              </w:rPr>
              <w:t>9</w:t>
            </w:r>
          </w:p>
        </w:tc>
        <w:tc>
          <w:tcPr>
            <w:tcW w:w="2972" w:type="dxa"/>
            <w:tcBorders>
              <w:top w:val="nil"/>
              <w:left w:val="nil"/>
              <w:bottom w:val="single" w:sz="4" w:space="0" w:color="auto"/>
              <w:right w:val="single" w:sz="4" w:space="0" w:color="auto"/>
            </w:tcBorders>
            <w:shd w:val="clear" w:color="auto" w:fill="auto"/>
            <w:vAlign w:val="center"/>
            <w:hideMark/>
          </w:tcPr>
          <w:p w14:paraId="519B3E42" w14:textId="77777777" w:rsidR="00B36C28" w:rsidRPr="008E63BB" w:rsidRDefault="00B36C28" w:rsidP="00B36C28">
            <w:pPr>
              <w:jc w:val="left"/>
              <w:rPr>
                <w:rFonts w:eastAsia="Times New Roman"/>
                <w:sz w:val="20"/>
                <w:szCs w:val="20"/>
              </w:rPr>
            </w:pPr>
            <w:r w:rsidRPr="008E63BB">
              <w:rPr>
                <w:rFonts w:eastAsia="Times New Roman"/>
                <w:sz w:val="20"/>
                <w:szCs w:val="20"/>
              </w:rPr>
              <w:t>Đất sông suối, mặt nước chuyên dùng</w:t>
            </w:r>
          </w:p>
        </w:tc>
        <w:tc>
          <w:tcPr>
            <w:tcW w:w="1016" w:type="dxa"/>
            <w:tcBorders>
              <w:top w:val="nil"/>
              <w:left w:val="nil"/>
              <w:bottom w:val="single" w:sz="4" w:space="0" w:color="auto"/>
              <w:right w:val="single" w:sz="4" w:space="0" w:color="auto"/>
            </w:tcBorders>
            <w:shd w:val="clear" w:color="auto" w:fill="auto"/>
            <w:vAlign w:val="center"/>
            <w:hideMark/>
          </w:tcPr>
          <w:p w14:paraId="519B3E43" w14:textId="77777777" w:rsidR="00B36C28" w:rsidRPr="008E63BB" w:rsidRDefault="00B36C28" w:rsidP="00B36C28">
            <w:pPr>
              <w:jc w:val="right"/>
              <w:rPr>
                <w:rFonts w:eastAsia="Times New Roman"/>
                <w:sz w:val="20"/>
                <w:szCs w:val="20"/>
              </w:rPr>
            </w:pPr>
            <w:r w:rsidRPr="008E63BB">
              <w:rPr>
                <w:rFonts w:eastAsia="Times New Roman"/>
                <w:sz w:val="20"/>
                <w:szCs w:val="20"/>
              </w:rPr>
              <w:t>939,36</w:t>
            </w:r>
          </w:p>
        </w:tc>
        <w:tc>
          <w:tcPr>
            <w:tcW w:w="766" w:type="dxa"/>
            <w:tcBorders>
              <w:top w:val="nil"/>
              <w:left w:val="nil"/>
              <w:bottom w:val="single" w:sz="4" w:space="0" w:color="auto"/>
              <w:right w:val="single" w:sz="4" w:space="0" w:color="auto"/>
            </w:tcBorders>
            <w:shd w:val="clear" w:color="auto" w:fill="auto"/>
            <w:vAlign w:val="center"/>
            <w:hideMark/>
          </w:tcPr>
          <w:p w14:paraId="519B3E44"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45"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4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97,18</w:t>
            </w:r>
          </w:p>
        </w:tc>
        <w:tc>
          <w:tcPr>
            <w:tcW w:w="766" w:type="dxa"/>
            <w:tcBorders>
              <w:top w:val="nil"/>
              <w:left w:val="nil"/>
              <w:bottom w:val="single" w:sz="4" w:space="0" w:color="auto"/>
              <w:right w:val="single" w:sz="4" w:space="0" w:color="auto"/>
            </w:tcBorders>
            <w:shd w:val="clear" w:color="auto" w:fill="auto"/>
            <w:vAlign w:val="center"/>
            <w:hideMark/>
          </w:tcPr>
          <w:p w14:paraId="519B3E4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E4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E4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842,18</w:t>
            </w:r>
          </w:p>
        </w:tc>
        <w:tc>
          <w:tcPr>
            <w:tcW w:w="766" w:type="dxa"/>
            <w:tcBorders>
              <w:top w:val="nil"/>
              <w:left w:val="nil"/>
              <w:bottom w:val="single" w:sz="4" w:space="0" w:color="auto"/>
              <w:right w:val="nil"/>
            </w:tcBorders>
            <w:shd w:val="clear" w:color="auto" w:fill="auto"/>
            <w:vAlign w:val="center"/>
            <w:hideMark/>
          </w:tcPr>
          <w:p w14:paraId="519B3E4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E4B" w14:textId="77777777" w:rsidR="00B36C28" w:rsidRPr="008E63BB" w:rsidRDefault="00B36C28" w:rsidP="00B36C28">
            <w:pPr>
              <w:jc w:val="right"/>
              <w:rPr>
                <w:rFonts w:eastAsia="Times New Roman"/>
                <w:sz w:val="20"/>
                <w:szCs w:val="20"/>
              </w:rPr>
            </w:pPr>
            <w:r w:rsidRPr="008E63BB">
              <w:rPr>
                <w:rFonts w:eastAsia="Times New Roman"/>
                <w:sz w:val="20"/>
                <w:szCs w:val="20"/>
              </w:rPr>
              <w:t>929,06</w:t>
            </w:r>
          </w:p>
        </w:tc>
        <w:tc>
          <w:tcPr>
            <w:tcW w:w="766" w:type="dxa"/>
            <w:tcBorders>
              <w:top w:val="nil"/>
              <w:left w:val="nil"/>
              <w:bottom w:val="single" w:sz="4" w:space="0" w:color="auto"/>
              <w:right w:val="single" w:sz="4" w:space="0" w:color="auto"/>
            </w:tcBorders>
            <w:shd w:val="clear" w:color="auto" w:fill="auto"/>
            <w:vAlign w:val="center"/>
            <w:hideMark/>
          </w:tcPr>
          <w:p w14:paraId="519B3E4C"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4D"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4E" w14:textId="77777777" w:rsidR="00B36C28" w:rsidRPr="008E63BB" w:rsidRDefault="00B36C28" w:rsidP="00B36C28">
            <w:pPr>
              <w:jc w:val="right"/>
              <w:rPr>
                <w:rFonts w:eastAsia="Times New Roman"/>
                <w:sz w:val="20"/>
                <w:szCs w:val="20"/>
              </w:rPr>
            </w:pPr>
            <w:r w:rsidRPr="008E63BB">
              <w:rPr>
                <w:rFonts w:eastAsia="Times New Roman"/>
                <w:sz w:val="20"/>
                <w:szCs w:val="20"/>
              </w:rPr>
              <w:t>224,87</w:t>
            </w:r>
          </w:p>
        </w:tc>
        <w:tc>
          <w:tcPr>
            <w:tcW w:w="766" w:type="dxa"/>
            <w:tcBorders>
              <w:top w:val="nil"/>
              <w:left w:val="nil"/>
              <w:bottom w:val="single" w:sz="4" w:space="0" w:color="auto"/>
              <w:right w:val="single" w:sz="4" w:space="0" w:color="auto"/>
            </w:tcBorders>
            <w:shd w:val="clear" w:color="auto" w:fill="auto"/>
            <w:vAlign w:val="center"/>
            <w:hideMark/>
          </w:tcPr>
          <w:p w14:paraId="519B3E4F"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50" w14:textId="77777777" w:rsidR="00B36C28" w:rsidRPr="008E63BB" w:rsidRDefault="00B36C28" w:rsidP="00B36C28">
            <w:pPr>
              <w:jc w:val="left"/>
              <w:rPr>
                <w:rFonts w:eastAsia="Times New Roman"/>
                <w:sz w:val="20"/>
                <w:szCs w:val="20"/>
              </w:rPr>
            </w:pPr>
            <w:r w:rsidRPr="008E63BB">
              <w:rPr>
                <w:rFonts w:eastAsia="Times New Roman"/>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E51" w14:textId="77777777" w:rsidR="00B36C28" w:rsidRPr="008E63BB" w:rsidRDefault="00B36C28" w:rsidP="00B36C28">
            <w:pPr>
              <w:jc w:val="right"/>
              <w:rPr>
                <w:rFonts w:eastAsia="Times New Roman"/>
                <w:sz w:val="20"/>
                <w:szCs w:val="20"/>
              </w:rPr>
            </w:pPr>
            <w:r w:rsidRPr="008E63BB">
              <w:rPr>
                <w:rFonts w:eastAsia="Times New Roman"/>
                <w:sz w:val="20"/>
                <w:szCs w:val="20"/>
              </w:rPr>
              <w:t>704,19</w:t>
            </w:r>
          </w:p>
        </w:tc>
      </w:tr>
      <w:tr w:rsidR="00B36C28" w:rsidRPr="008E63BB" w14:paraId="519B3E64" w14:textId="77777777" w:rsidTr="004B2B2D">
        <w:trPr>
          <w:trHeight w:val="264"/>
        </w:trPr>
        <w:tc>
          <w:tcPr>
            <w:tcW w:w="572" w:type="dxa"/>
            <w:tcBorders>
              <w:top w:val="nil"/>
              <w:left w:val="single" w:sz="4" w:space="0" w:color="auto"/>
              <w:bottom w:val="single" w:sz="4" w:space="0" w:color="auto"/>
              <w:right w:val="single" w:sz="4" w:space="0" w:color="auto"/>
            </w:tcBorders>
            <w:shd w:val="clear" w:color="auto" w:fill="auto"/>
            <w:vAlign w:val="center"/>
            <w:hideMark/>
          </w:tcPr>
          <w:p w14:paraId="519B3E53" w14:textId="77777777" w:rsidR="00B36C28" w:rsidRPr="008E63BB" w:rsidRDefault="00B36C28" w:rsidP="00B36C28">
            <w:pPr>
              <w:jc w:val="center"/>
              <w:rPr>
                <w:rFonts w:eastAsia="Times New Roman"/>
                <w:sz w:val="20"/>
                <w:szCs w:val="20"/>
              </w:rPr>
            </w:pPr>
            <w:r w:rsidRPr="008E63BB">
              <w:rPr>
                <w:rFonts w:eastAsia="Times New Roman"/>
                <w:sz w:val="20"/>
                <w:szCs w:val="20"/>
              </w:rPr>
              <w:t>10</w:t>
            </w:r>
          </w:p>
        </w:tc>
        <w:tc>
          <w:tcPr>
            <w:tcW w:w="2972" w:type="dxa"/>
            <w:tcBorders>
              <w:top w:val="nil"/>
              <w:left w:val="nil"/>
              <w:bottom w:val="single" w:sz="4" w:space="0" w:color="auto"/>
              <w:right w:val="single" w:sz="4" w:space="0" w:color="auto"/>
            </w:tcBorders>
            <w:shd w:val="clear" w:color="auto" w:fill="auto"/>
            <w:vAlign w:val="center"/>
            <w:hideMark/>
          </w:tcPr>
          <w:p w14:paraId="519B3E54" w14:textId="77777777" w:rsidR="00B36C28" w:rsidRPr="008E63BB" w:rsidRDefault="00B36C28" w:rsidP="00B36C28">
            <w:pPr>
              <w:jc w:val="left"/>
              <w:rPr>
                <w:rFonts w:eastAsia="Times New Roman"/>
                <w:sz w:val="20"/>
                <w:szCs w:val="20"/>
              </w:rPr>
            </w:pPr>
            <w:r w:rsidRPr="008E63BB">
              <w:rPr>
                <w:rFonts w:eastAsia="Times New Roman"/>
                <w:sz w:val="20"/>
                <w:szCs w:val="20"/>
              </w:rPr>
              <w:t>Đất chưa sử dụng (Đất bằng chưa sử dụng)</w:t>
            </w:r>
          </w:p>
        </w:tc>
        <w:tc>
          <w:tcPr>
            <w:tcW w:w="1016" w:type="dxa"/>
            <w:tcBorders>
              <w:top w:val="nil"/>
              <w:left w:val="nil"/>
              <w:bottom w:val="single" w:sz="4" w:space="0" w:color="auto"/>
              <w:right w:val="single" w:sz="4" w:space="0" w:color="auto"/>
            </w:tcBorders>
            <w:shd w:val="clear" w:color="auto" w:fill="auto"/>
            <w:vAlign w:val="center"/>
            <w:hideMark/>
          </w:tcPr>
          <w:p w14:paraId="519B3E55" w14:textId="77777777" w:rsidR="00B36C28" w:rsidRPr="008E63BB" w:rsidRDefault="00B36C28" w:rsidP="00B36C28">
            <w:pPr>
              <w:jc w:val="right"/>
              <w:rPr>
                <w:rFonts w:eastAsia="Times New Roman"/>
                <w:sz w:val="20"/>
                <w:szCs w:val="20"/>
              </w:rPr>
            </w:pPr>
            <w:r w:rsidRPr="008E63BB">
              <w:rPr>
                <w:rFonts w:eastAsia="Times New Roman"/>
                <w:sz w:val="20"/>
                <w:szCs w:val="20"/>
              </w:rPr>
              <w:t>39,33</w:t>
            </w:r>
          </w:p>
        </w:tc>
        <w:tc>
          <w:tcPr>
            <w:tcW w:w="766" w:type="dxa"/>
            <w:tcBorders>
              <w:top w:val="nil"/>
              <w:left w:val="nil"/>
              <w:bottom w:val="single" w:sz="4" w:space="0" w:color="auto"/>
              <w:right w:val="single" w:sz="4" w:space="0" w:color="auto"/>
            </w:tcBorders>
            <w:shd w:val="clear" w:color="auto" w:fill="auto"/>
            <w:vAlign w:val="center"/>
            <w:hideMark/>
          </w:tcPr>
          <w:p w14:paraId="519B3E56"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57"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58"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5,84</w:t>
            </w:r>
          </w:p>
        </w:tc>
        <w:tc>
          <w:tcPr>
            <w:tcW w:w="766" w:type="dxa"/>
            <w:tcBorders>
              <w:top w:val="nil"/>
              <w:left w:val="nil"/>
              <w:bottom w:val="single" w:sz="4" w:space="0" w:color="auto"/>
              <w:right w:val="single" w:sz="4" w:space="0" w:color="auto"/>
            </w:tcBorders>
            <w:shd w:val="clear" w:color="auto" w:fill="auto"/>
            <w:vAlign w:val="center"/>
            <w:hideMark/>
          </w:tcPr>
          <w:p w14:paraId="519B3E59"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686" w:type="dxa"/>
            <w:tcBorders>
              <w:top w:val="nil"/>
              <w:left w:val="nil"/>
              <w:bottom w:val="single" w:sz="4" w:space="0" w:color="auto"/>
              <w:right w:val="single" w:sz="4" w:space="0" w:color="auto"/>
            </w:tcBorders>
            <w:shd w:val="clear" w:color="auto" w:fill="auto"/>
            <w:vAlign w:val="center"/>
            <w:hideMark/>
          </w:tcPr>
          <w:p w14:paraId="519B3E5A"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nil"/>
              <w:bottom w:val="single" w:sz="4" w:space="0" w:color="auto"/>
              <w:right w:val="single" w:sz="4" w:space="0" w:color="auto"/>
            </w:tcBorders>
            <w:shd w:val="clear" w:color="auto" w:fill="auto"/>
            <w:vAlign w:val="center"/>
            <w:hideMark/>
          </w:tcPr>
          <w:p w14:paraId="519B3E5B"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33,49</w:t>
            </w:r>
          </w:p>
        </w:tc>
        <w:tc>
          <w:tcPr>
            <w:tcW w:w="766" w:type="dxa"/>
            <w:tcBorders>
              <w:top w:val="nil"/>
              <w:left w:val="nil"/>
              <w:bottom w:val="single" w:sz="4" w:space="0" w:color="auto"/>
              <w:right w:val="nil"/>
            </w:tcBorders>
            <w:shd w:val="clear" w:color="auto" w:fill="auto"/>
            <w:vAlign w:val="center"/>
            <w:hideMark/>
          </w:tcPr>
          <w:p w14:paraId="519B3E5C"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16" w:type="dxa"/>
            <w:tcBorders>
              <w:top w:val="nil"/>
              <w:left w:val="single" w:sz="4" w:space="0" w:color="auto"/>
              <w:bottom w:val="single" w:sz="4" w:space="0" w:color="auto"/>
              <w:right w:val="single" w:sz="4" w:space="0" w:color="auto"/>
            </w:tcBorders>
            <w:shd w:val="clear" w:color="auto" w:fill="auto"/>
            <w:vAlign w:val="center"/>
            <w:hideMark/>
          </w:tcPr>
          <w:p w14:paraId="519B3E5D"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5E"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5F"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916" w:type="dxa"/>
            <w:tcBorders>
              <w:top w:val="nil"/>
              <w:left w:val="nil"/>
              <w:bottom w:val="single" w:sz="4" w:space="0" w:color="auto"/>
              <w:right w:val="single" w:sz="4" w:space="0" w:color="auto"/>
            </w:tcBorders>
            <w:shd w:val="clear" w:color="auto" w:fill="auto"/>
            <w:vAlign w:val="center"/>
            <w:hideMark/>
          </w:tcPr>
          <w:p w14:paraId="519B3E60"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61"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766" w:type="dxa"/>
            <w:tcBorders>
              <w:top w:val="nil"/>
              <w:left w:val="nil"/>
              <w:bottom w:val="single" w:sz="4" w:space="0" w:color="auto"/>
              <w:right w:val="single" w:sz="4" w:space="0" w:color="auto"/>
            </w:tcBorders>
            <w:shd w:val="clear" w:color="auto" w:fill="auto"/>
            <w:vAlign w:val="center"/>
            <w:hideMark/>
          </w:tcPr>
          <w:p w14:paraId="519B3E62"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c>
          <w:tcPr>
            <w:tcW w:w="1021" w:type="dxa"/>
            <w:tcBorders>
              <w:top w:val="nil"/>
              <w:left w:val="nil"/>
              <w:bottom w:val="single" w:sz="4" w:space="0" w:color="auto"/>
              <w:right w:val="single" w:sz="4" w:space="0" w:color="auto"/>
            </w:tcBorders>
            <w:shd w:val="clear" w:color="auto" w:fill="auto"/>
            <w:vAlign w:val="center"/>
            <w:hideMark/>
          </w:tcPr>
          <w:p w14:paraId="519B3E63" w14:textId="77777777" w:rsidR="00B36C28" w:rsidRPr="008E63BB" w:rsidRDefault="00B36C28" w:rsidP="00B36C28">
            <w:pPr>
              <w:jc w:val="right"/>
              <w:rPr>
                <w:rFonts w:eastAsia="Times New Roman"/>
                <w:i/>
                <w:iCs/>
                <w:sz w:val="20"/>
                <w:szCs w:val="20"/>
              </w:rPr>
            </w:pPr>
            <w:r w:rsidRPr="008E63BB">
              <w:rPr>
                <w:rFonts w:eastAsia="Times New Roman"/>
                <w:i/>
                <w:iCs/>
                <w:sz w:val="20"/>
                <w:szCs w:val="20"/>
              </w:rPr>
              <w:t> </w:t>
            </w:r>
          </w:p>
        </w:tc>
      </w:tr>
    </w:tbl>
    <w:p w14:paraId="519B3E65" w14:textId="77777777" w:rsidR="00C83DC4" w:rsidRPr="008E63BB" w:rsidRDefault="00C83DC4" w:rsidP="0065184D">
      <w:pPr>
        <w:rPr>
          <w:i/>
          <w:lang w:val="pt-BR"/>
        </w:rPr>
      </w:pPr>
    </w:p>
    <w:p w14:paraId="519B3E66" w14:textId="77777777" w:rsidR="00C83DC4" w:rsidRPr="008E63BB" w:rsidRDefault="00C83DC4" w:rsidP="0065184D">
      <w:pPr>
        <w:rPr>
          <w:i/>
          <w:lang w:val="pt-BR"/>
        </w:rPr>
      </w:pPr>
    </w:p>
    <w:p w14:paraId="519B3E67" w14:textId="77777777" w:rsidR="00FB5B6C" w:rsidRPr="008E63BB" w:rsidRDefault="00FB5B6C" w:rsidP="0065184D">
      <w:pPr>
        <w:jc w:val="left"/>
        <w:rPr>
          <w:lang w:val="pt-BR"/>
        </w:rPr>
      </w:pPr>
    </w:p>
    <w:p w14:paraId="519B3E68" w14:textId="77777777" w:rsidR="003E624C" w:rsidRPr="008E63BB" w:rsidRDefault="003E624C" w:rsidP="0065184D">
      <w:pPr>
        <w:jc w:val="left"/>
        <w:rPr>
          <w:lang w:val="pt-BR"/>
        </w:rPr>
      </w:pPr>
      <w:r w:rsidRPr="008E63BB">
        <w:rPr>
          <w:lang w:val="pt-BR"/>
        </w:rPr>
        <w:br w:type="page"/>
      </w:r>
    </w:p>
    <w:p w14:paraId="519B3E69" w14:textId="77777777" w:rsidR="003E624C" w:rsidRPr="008E63BB" w:rsidRDefault="003E624C" w:rsidP="0065184D">
      <w:pPr>
        <w:pStyle w:val="Heading2"/>
        <w:spacing w:before="0" w:after="0"/>
        <w:rPr>
          <w:kern w:val="32"/>
        </w:rPr>
        <w:sectPr w:rsidR="003E624C" w:rsidRPr="008E63BB" w:rsidSect="003E624C">
          <w:pgSz w:w="16840" w:h="11907" w:orient="landscape" w:code="9"/>
          <w:pgMar w:top="1699" w:right="1440" w:bottom="922" w:left="1440" w:header="720" w:footer="720" w:gutter="0"/>
          <w:cols w:space="720"/>
          <w:docGrid w:linePitch="360"/>
        </w:sectPr>
      </w:pPr>
    </w:p>
    <w:p w14:paraId="519B3E6A" w14:textId="77777777" w:rsidR="006844D3" w:rsidRPr="008E63BB" w:rsidRDefault="006844D3" w:rsidP="006844D3">
      <w:pPr>
        <w:pStyle w:val="Heading2"/>
        <w:spacing w:before="0" w:after="0"/>
        <w:rPr>
          <w:kern w:val="32"/>
        </w:rPr>
      </w:pPr>
      <w:bookmarkStart w:id="510" w:name="_Toc47524731"/>
      <w:r w:rsidRPr="008E63BB">
        <w:rPr>
          <w:kern w:val="32"/>
        </w:rPr>
        <w:lastRenderedPageBreak/>
        <w:t>7</w:t>
      </w:r>
      <w:r w:rsidRPr="008E63BB">
        <w:rPr>
          <w:kern w:val="32"/>
          <w:lang w:val="vi-VN"/>
        </w:rPr>
        <w:t xml:space="preserve">.2. </w:t>
      </w:r>
      <w:r w:rsidRPr="008E63BB">
        <w:rPr>
          <w:kern w:val="32"/>
        </w:rPr>
        <w:t>So sánh với QHC 2011</w:t>
      </w:r>
      <w:bookmarkEnd w:id="510"/>
    </w:p>
    <w:tbl>
      <w:tblPr>
        <w:tblW w:w="9389" w:type="dxa"/>
        <w:tblInd w:w="113" w:type="dxa"/>
        <w:tblLook w:val="04A0" w:firstRow="1" w:lastRow="0" w:firstColumn="1" w:lastColumn="0" w:noHBand="0" w:noVBand="1"/>
      </w:tblPr>
      <w:tblGrid>
        <w:gridCol w:w="509"/>
        <w:gridCol w:w="3213"/>
        <w:gridCol w:w="1269"/>
        <w:gridCol w:w="1176"/>
        <w:gridCol w:w="1176"/>
        <w:gridCol w:w="1056"/>
        <w:gridCol w:w="990"/>
      </w:tblGrid>
      <w:tr w:rsidR="00B36C28" w:rsidRPr="008E63BB" w14:paraId="519B3E72" w14:textId="77777777" w:rsidTr="00B36C28">
        <w:trPr>
          <w:trHeight w:val="1258"/>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3E6B" w14:textId="77777777" w:rsidR="00B36C28" w:rsidRPr="008E63BB" w:rsidRDefault="00B36C28" w:rsidP="00B36C28">
            <w:pPr>
              <w:jc w:val="left"/>
              <w:rPr>
                <w:rFonts w:eastAsia="Times New Roman"/>
                <w:sz w:val="24"/>
                <w:szCs w:val="24"/>
              </w:rPr>
            </w:pPr>
            <w:r w:rsidRPr="008E63BB">
              <w:rPr>
                <w:rFonts w:eastAsia="Times New Roman"/>
                <w:sz w:val="24"/>
                <w:szCs w:val="24"/>
              </w:rPr>
              <w:t>TT</w:t>
            </w:r>
          </w:p>
        </w:tc>
        <w:tc>
          <w:tcPr>
            <w:tcW w:w="3215" w:type="dxa"/>
            <w:tcBorders>
              <w:top w:val="single" w:sz="4" w:space="0" w:color="auto"/>
              <w:left w:val="nil"/>
              <w:bottom w:val="single" w:sz="4" w:space="0" w:color="auto"/>
              <w:right w:val="single" w:sz="4" w:space="0" w:color="auto"/>
            </w:tcBorders>
            <w:shd w:val="clear" w:color="auto" w:fill="auto"/>
            <w:vAlign w:val="center"/>
            <w:hideMark/>
          </w:tcPr>
          <w:p w14:paraId="519B3E6C" w14:textId="77777777" w:rsidR="00B36C28" w:rsidRPr="008E63BB" w:rsidRDefault="00B36C28" w:rsidP="00B36C28">
            <w:pPr>
              <w:jc w:val="left"/>
              <w:rPr>
                <w:rFonts w:eastAsia="Times New Roman"/>
                <w:sz w:val="24"/>
                <w:szCs w:val="24"/>
              </w:rPr>
            </w:pPr>
            <w:r w:rsidRPr="008E63BB">
              <w:rPr>
                <w:rFonts w:eastAsia="Times New Roman"/>
                <w:sz w:val="24"/>
                <w:szCs w:val="24"/>
              </w:rPr>
              <w:t>Danh mục</w:t>
            </w:r>
          </w:p>
        </w:tc>
        <w:tc>
          <w:tcPr>
            <w:tcW w:w="1269" w:type="dxa"/>
            <w:tcBorders>
              <w:top w:val="single" w:sz="4" w:space="0" w:color="auto"/>
              <w:left w:val="nil"/>
              <w:bottom w:val="single" w:sz="4" w:space="0" w:color="auto"/>
              <w:right w:val="single" w:sz="4" w:space="0" w:color="auto"/>
            </w:tcBorders>
            <w:shd w:val="clear" w:color="auto" w:fill="auto"/>
            <w:vAlign w:val="center"/>
            <w:hideMark/>
          </w:tcPr>
          <w:p w14:paraId="519B3E6D" w14:textId="77777777" w:rsidR="00B36C28" w:rsidRPr="008E63BB" w:rsidRDefault="00B36C28" w:rsidP="00B36C28">
            <w:pPr>
              <w:jc w:val="center"/>
              <w:rPr>
                <w:rFonts w:eastAsia="Times New Roman"/>
                <w:sz w:val="24"/>
                <w:szCs w:val="24"/>
              </w:rPr>
            </w:pPr>
            <w:r w:rsidRPr="008E63BB">
              <w:rPr>
                <w:rFonts w:eastAsia="Times New Roman"/>
                <w:sz w:val="24"/>
                <w:szCs w:val="24"/>
              </w:rPr>
              <w:t>QĐ được phê duyệt 2011 Đến năm 2025</w:t>
            </w:r>
          </w:p>
        </w:tc>
        <w:tc>
          <w:tcPr>
            <w:tcW w:w="1175" w:type="dxa"/>
            <w:tcBorders>
              <w:top w:val="single" w:sz="4" w:space="0" w:color="auto"/>
              <w:left w:val="nil"/>
              <w:bottom w:val="single" w:sz="4" w:space="0" w:color="auto"/>
              <w:right w:val="single" w:sz="4" w:space="0" w:color="auto"/>
            </w:tcBorders>
            <w:shd w:val="clear" w:color="auto" w:fill="auto"/>
            <w:vAlign w:val="center"/>
            <w:hideMark/>
          </w:tcPr>
          <w:p w14:paraId="519B3E6E" w14:textId="77777777" w:rsidR="00B36C28" w:rsidRPr="008E63BB" w:rsidRDefault="00B36C28" w:rsidP="00B36C28">
            <w:pPr>
              <w:jc w:val="center"/>
              <w:rPr>
                <w:rFonts w:eastAsia="Times New Roman"/>
                <w:sz w:val="24"/>
                <w:szCs w:val="24"/>
              </w:rPr>
            </w:pPr>
            <w:r w:rsidRPr="008E63BB">
              <w:rPr>
                <w:rFonts w:eastAsia="Times New Roman"/>
                <w:sz w:val="24"/>
                <w:szCs w:val="24"/>
              </w:rPr>
              <w:t>Hiên trạng 2019</w:t>
            </w:r>
          </w:p>
        </w:tc>
        <w:tc>
          <w:tcPr>
            <w:tcW w:w="1175" w:type="dxa"/>
            <w:tcBorders>
              <w:top w:val="single" w:sz="4" w:space="0" w:color="auto"/>
              <w:left w:val="nil"/>
              <w:bottom w:val="single" w:sz="4" w:space="0" w:color="auto"/>
              <w:right w:val="single" w:sz="4" w:space="0" w:color="auto"/>
            </w:tcBorders>
            <w:shd w:val="clear" w:color="auto" w:fill="auto"/>
            <w:vAlign w:val="center"/>
            <w:hideMark/>
          </w:tcPr>
          <w:p w14:paraId="519B3E6F" w14:textId="77777777" w:rsidR="00B36C28" w:rsidRPr="008E63BB" w:rsidRDefault="00B36C28" w:rsidP="00B36C28">
            <w:pPr>
              <w:jc w:val="center"/>
              <w:rPr>
                <w:rFonts w:eastAsia="Times New Roman"/>
                <w:sz w:val="24"/>
                <w:szCs w:val="24"/>
              </w:rPr>
            </w:pPr>
            <w:r w:rsidRPr="008E63BB">
              <w:rPr>
                <w:rFonts w:eastAsia="Times New Roman"/>
                <w:sz w:val="24"/>
                <w:szCs w:val="24"/>
              </w:rPr>
              <w:t>Đến năm 2030</w:t>
            </w:r>
          </w:p>
        </w:tc>
        <w:tc>
          <w:tcPr>
            <w:tcW w:w="1055" w:type="dxa"/>
            <w:tcBorders>
              <w:top w:val="single" w:sz="4" w:space="0" w:color="auto"/>
              <w:left w:val="nil"/>
              <w:bottom w:val="single" w:sz="4" w:space="0" w:color="auto"/>
              <w:right w:val="single" w:sz="4" w:space="0" w:color="auto"/>
            </w:tcBorders>
            <w:shd w:val="clear" w:color="auto" w:fill="auto"/>
            <w:vAlign w:val="center"/>
            <w:hideMark/>
          </w:tcPr>
          <w:p w14:paraId="519B3E70" w14:textId="77777777" w:rsidR="00B36C28" w:rsidRPr="008E63BB" w:rsidRDefault="00B36C28" w:rsidP="00B36C28">
            <w:pPr>
              <w:jc w:val="center"/>
              <w:rPr>
                <w:rFonts w:eastAsia="Times New Roman"/>
                <w:sz w:val="24"/>
                <w:szCs w:val="24"/>
              </w:rPr>
            </w:pPr>
            <w:r w:rsidRPr="008E63BB">
              <w:rPr>
                <w:rFonts w:eastAsia="Times New Roman"/>
                <w:sz w:val="24"/>
                <w:szCs w:val="24"/>
              </w:rPr>
              <w:t>Hiên trạng 2019</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519B3E71" w14:textId="77777777" w:rsidR="00B36C28" w:rsidRPr="008E63BB" w:rsidRDefault="00B36C28" w:rsidP="00B36C28">
            <w:pPr>
              <w:jc w:val="center"/>
              <w:rPr>
                <w:rFonts w:eastAsia="Times New Roman"/>
                <w:sz w:val="24"/>
                <w:szCs w:val="24"/>
              </w:rPr>
            </w:pPr>
            <w:r w:rsidRPr="008E63BB">
              <w:rPr>
                <w:rFonts w:eastAsia="Times New Roman"/>
                <w:sz w:val="24"/>
                <w:szCs w:val="24"/>
              </w:rPr>
              <w:t>QH lập 2019 (đến năm 2030)</w:t>
            </w:r>
          </w:p>
        </w:tc>
      </w:tr>
      <w:tr w:rsidR="00B36C28" w:rsidRPr="008E63BB" w14:paraId="519B3E7A"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3E73" w14:textId="77777777" w:rsidR="00B36C28" w:rsidRPr="008E63BB" w:rsidRDefault="00B36C28" w:rsidP="00B36C28">
            <w:pPr>
              <w:jc w:val="center"/>
              <w:rPr>
                <w:rFonts w:eastAsia="Times New Roman"/>
                <w:b/>
                <w:bCs/>
                <w:sz w:val="24"/>
                <w:szCs w:val="24"/>
              </w:rPr>
            </w:pPr>
            <w:r w:rsidRPr="008E63BB">
              <w:rPr>
                <w:rFonts w:eastAsia="Times New Roman"/>
                <w:b/>
                <w:bCs/>
                <w:sz w:val="24"/>
                <w:szCs w:val="24"/>
              </w:rPr>
              <w:t>1</w:t>
            </w:r>
          </w:p>
        </w:tc>
        <w:tc>
          <w:tcPr>
            <w:tcW w:w="3215" w:type="dxa"/>
            <w:tcBorders>
              <w:top w:val="nil"/>
              <w:left w:val="nil"/>
              <w:bottom w:val="single" w:sz="4" w:space="0" w:color="auto"/>
              <w:right w:val="single" w:sz="4" w:space="0" w:color="auto"/>
            </w:tcBorders>
            <w:shd w:val="clear" w:color="auto" w:fill="auto"/>
            <w:vAlign w:val="center"/>
            <w:hideMark/>
          </w:tcPr>
          <w:p w14:paraId="519B3E74" w14:textId="77777777" w:rsidR="00B36C28" w:rsidRPr="008E63BB" w:rsidRDefault="00B36C28" w:rsidP="00B36C28">
            <w:pPr>
              <w:jc w:val="left"/>
              <w:rPr>
                <w:rFonts w:eastAsia="Times New Roman"/>
                <w:b/>
                <w:bCs/>
                <w:sz w:val="24"/>
                <w:szCs w:val="24"/>
              </w:rPr>
            </w:pPr>
            <w:r w:rsidRPr="008E63BB">
              <w:rPr>
                <w:rFonts w:eastAsia="Times New Roman"/>
                <w:b/>
                <w:bCs/>
                <w:sz w:val="24"/>
                <w:szCs w:val="24"/>
              </w:rPr>
              <w:t>Tổng diện tích tòan thành phố</w:t>
            </w:r>
          </w:p>
        </w:tc>
        <w:tc>
          <w:tcPr>
            <w:tcW w:w="1269" w:type="dxa"/>
            <w:tcBorders>
              <w:top w:val="nil"/>
              <w:left w:val="nil"/>
              <w:bottom w:val="single" w:sz="4" w:space="0" w:color="auto"/>
              <w:right w:val="single" w:sz="4" w:space="0" w:color="auto"/>
            </w:tcBorders>
            <w:shd w:val="clear" w:color="auto" w:fill="auto"/>
            <w:vAlign w:val="center"/>
            <w:hideMark/>
          </w:tcPr>
          <w:p w14:paraId="519B3E75"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18.445</w:t>
            </w:r>
          </w:p>
        </w:tc>
        <w:tc>
          <w:tcPr>
            <w:tcW w:w="1175" w:type="dxa"/>
            <w:tcBorders>
              <w:top w:val="nil"/>
              <w:left w:val="nil"/>
              <w:bottom w:val="single" w:sz="4" w:space="0" w:color="auto"/>
              <w:right w:val="single" w:sz="4" w:space="0" w:color="auto"/>
            </w:tcBorders>
            <w:shd w:val="clear" w:color="auto" w:fill="auto"/>
            <w:vAlign w:val="center"/>
            <w:hideMark/>
          </w:tcPr>
          <w:p w14:paraId="519B3E76"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18.798,69</w:t>
            </w:r>
          </w:p>
        </w:tc>
        <w:tc>
          <w:tcPr>
            <w:tcW w:w="1175" w:type="dxa"/>
            <w:tcBorders>
              <w:top w:val="nil"/>
              <w:left w:val="nil"/>
              <w:bottom w:val="single" w:sz="4" w:space="0" w:color="auto"/>
              <w:right w:val="single" w:sz="4" w:space="0" w:color="auto"/>
            </w:tcBorders>
            <w:shd w:val="clear" w:color="auto" w:fill="auto"/>
            <w:vAlign w:val="center"/>
            <w:hideMark/>
          </w:tcPr>
          <w:p w14:paraId="519B3E77"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18.798,69</w:t>
            </w:r>
          </w:p>
        </w:tc>
        <w:tc>
          <w:tcPr>
            <w:tcW w:w="1055" w:type="dxa"/>
            <w:tcBorders>
              <w:top w:val="nil"/>
              <w:left w:val="nil"/>
              <w:bottom w:val="single" w:sz="4" w:space="0" w:color="auto"/>
              <w:right w:val="single" w:sz="4" w:space="0" w:color="auto"/>
            </w:tcBorders>
            <w:shd w:val="clear" w:color="auto" w:fill="auto"/>
            <w:vAlign w:val="center"/>
            <w:hideMark/>
          </w:tcPr>
          <w:p w14:paraId="519B3E78"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-353,69</w:t>
            </w:r>
          </w:p>
        </w:tc>
        <w:tc>
          <w:tcPr>
            <w:tcW w:w="990" w:type="dxa"/>
            <w:tcBorders>
              <w:top w:val="nil"/>
              <w:left w:val="nil"/>
              <w:bottom w:val="single" w:sz="4" w:space="0" w:color="auto"/>
              <w:right w:val="single" w:sz="4" w:space="0" w:color="auto"/>
            </w:tcBorders>
            <w:shd w:val="clear" w:color="auto" w:fill="auto"/>
            <w:vAlign w:val="center"/>
            <w:hideMark/>
          </w:tcPr>
          <w:p w14:paraId="519B3E79"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-353,69</w:t>
            </w:r>
          </w:p>
        </w:tc>
      </w:tr>
      <w:tr w:rsidR="00B36C28" w:rsidRPr="008E63BB" w14:paraId="519B3E82"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3E7B" w14:textId="77777777" w:rsidR="00B36C28" w:rsidRPr="008E63BB" w:rsidRDefault="00B36C28" w:rsidP="00B36C28">
            <w:pPr>
              <w:jc w:val="center"/>
              <w:rPr>
                <w:rFonts w:eastAsia="Times New Roman"/>
                <w:b/>
                <w:bCs/>
                <w:sz w:val="24"/>
                <w:szCs w:val="24"/>
              </w:rPr>
            </w:pPr>
            <w:r w:rsidRPr="008E63BB">
              <w:rPr>
                <w:rFonts w:eastAsia="Times New Roman"/>
                <w:b/>
                <w:bCs/>
                <w:sz w:val="24"/>
                <w:szCs w:val="24"/>
              </w:rPr>
              <w:t>2</w:t>
            </w:r>
          </w:p>
        </w:tc>
        <w:tc>
          <w:tcPr>
            <w:tcW w:w="3215" w:type="dxa"/>
            <w:tcBorders>
              <w:top w:val="nil"/>
              <w:left w:val="nil"/>
              <w:bottom w:val="single" w:sz="4" w:space="0" w:color="auto"/>
              <w:right w:val="single" w:sz="4" w:space="0" w:color="auto"/>
            </w:tcBorders>
            <w:shd w:val="clear" w:color="auto" w:fill="auto"/>
            <w:vAlign w:val="center"/>
            <w:hideMark/>
          </w:tcPr>
          <w:p w14:paraId="519B3E7C" w14:textId="77777777" w:rsidR="00B36C28" w:rsidRPr="008E63BB" w:rsidRDefault="00B36C28" w:rsidP="00B36C28">
            <w:pPr>
              <w:jc w:val="left"/>
              <w:rPr>
                <w:rFonts w:eastAsia="Times New Roman"/>
                <w:b/>
                <w:bCs/>
                <w:sz w:val="24"/>
                <w:szCs w:val="24"/>
              </w:rPr>
            </w:pPr>
            <w:r w:rsidRPr="008E63BB">
              <w:rPr>
                <w:rFonts w:eastAsia="Times New Roman"/>
                <w:b/>
                <w:bCs/>
                <w:sz w:val="24"/>
                <w:szCs w:val="24"/>
              </w:rPr>
              <w:t>Khu vực nội thành</w:t>
            </w:r>
          </w:p>
        </w:tc>
        <w:tc>
          <w:tcPr>
            <w:tcW w:w="1269" w:type="dxa"/>
            <w:tcBorders>
              <w:top w:val="nil"/>
              <w:left w:val="nil"/>
              <w:bottom w:val="single" w:sz="4" w:space="0" w:color="auto"/>
              <w:right w:val="single" w:sz="4" w:space="0" w:color="auto"/>
            </w:tcBorders>
            <w:shd w:val="clear" w:color="auto" w:fill="auto"/>
            <w:vAlign w:val="center"/>
            <w:hideMark/>
          </w:tcPr>
          <w:p w14:paraId="519B3E7D"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7.000</w:t>
            </w:r>
          </w:p>
        </w:tc>
        <w:tc>
          <w:tcPr>
            <w:tcW w:w="1175" w:type="dxa"/>
            <w:tcBorders>
              <w:top w:val="nil"/>
              <w:left w:val="nil"/>
              <w:bottom w:val="single" w:sz="4" w:space="0" w:color="auto"/>
              <w:right w:val="single" w:sz="4" w:space="0" w:color="auto"/>
            </w:tcBorders>
            <w:shd w:val="clear" w:color="auto" w:fill="auto"/>
            <w:vAlign w:val="center"/>
            <w:hideMark/>
          </w:tcPr>
          <w:p w14:paraId="519B3E7E"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3.559,75</w:t>
            </w:r>
          </w:p>
        </w:tc>
        <w:tc>
          <w:tcPr>
            <w:tcW w:w="1175" w:type="dxa"/>
            <w:tcBorders>
              <w:top w:val="nil"/>
              <w:left w:val="nil"/>
              <w:bottom w:val="single" w:sz="4" w:space="0" w:color="auto"/>
              <w:right w:val="single" w:sz="4" w:space="0" w:color="auto"/>
            </w:tcBorders>
            <w:shd w:val="clear" w:color="auto" w:fill="auto"/>
            <w:vAlign w:val="center"/>
            <w:hideMark/>
          </w:tcPr>
          <w:p w14:paraId="519B3E7F"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6.967,75</w:t>
            </w:r>
          </w:p>
        </w:tc>
        <w:tc>
          <w:tcPr>
            <w:tcW w:w="1055" w:type="dxa"/>
            <w:tcBorders>
              <w:top w:val="nil"/>
              <w:left w:val="nil"/>
              <w:bottom w:val="single" w:sz="4" w:space="0" w:color="auto"/>
              <w:right w:val="single" w:sz="4" w:space="0" w:color="auto"/>
            </w:tcBorders>
            <w:shd w:val="clear" w:color="auto" w:fill="auto"/>
            <w:vAlign w:val="center"/>
            <w:hideMark/>
          </w:tcPr>
          <w:p w14:paraId="519B3E80"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3.440,25</w:t>
            </w:r>
          </w:p>
        </w:tc>
        <w:tc>
          <w:tcPr>
            <w:tcW w:w="990" w:type="dxa"/>
            <w:tcBorders>
              <w:top w:val="nil"/>
              <w:left w:val="nil"/>
              <w:bottom w:val="single" w:sz="4" w:space="0" w:color="auto"/>
              <w:right w:val="single" w:sz="4" w:space="0" w:color="auto"/>
            </w:tcBorders>
            <w:shd w:val="clear" w:color="auto" w:fill="auto"/>
            <w:vAlign w:val="center"/>
            <w:hideMark/>
          </w:tcPr>
          <w:p w14:paraId="519B3E81"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32,25</w:t>
            </w:r>
          </w:p>
        </w:tc>
      </w:tr>
      <w:tr w:rsidR="00B36C28" w:rsidRPr="008E63BB" w14:paraId="519B3E8A"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3E83" w14:textId="77777777" w:rsidR="00B36C28" w:rsidRPr="008E63BB" w:rsidRDefault="00B36C28" w:rsidP="00B36C28">
            <w:pPr>
              <w:jc w:val="right"/>
              <w:rPr>
                <w:rFonts w:eastAsia="Times New Roman"/>
                <w:sz w:val="24"/>
                <w:szCs w:val="24"/>
              </w:rPr>
            </w:pPr>
            <w:r w:rsidRPr="008E63BB">
              <w:rPr>
                <w:rFonts w:eastAsia="Times New Roman"/>
                <w:sz w:val="24"/>
                <w:szCs w:val="24"/>
              </w:rPr>
              <w:t> </w:t>
            </w:r>
          </w:p>
        </w:tc>
        <w:tc>
          <w:tcPr>
            <w:tcW w:w="3215" w:type="dxa"/>
            <w:tcBorders>
              <w:top w:val="nil"/>
              <w:left w:val="nil"/>
              <w:bottom w:val="single" w:sz="4" w:space="0" w:color="auto"/>
              <w:right w:val="single" w:sz="4" w:space="0" w:color="auto"/>
            </w:tcBorders>
            <w:shd w:val="clear" w:color="auto" w:fill="auto"/>
            <w:vAlign w:val="center"/>
            <w:hideMark/>
          </w:tcPr>
          <w:p w14:paraId="519B3E84" w14:textId="77777777" w:rsidR="00B36C28" w:rsidRPr="008E63BB" w:rsidRDefault="00B36C28" w:rsidP="00B36C28">
            <w:pPr>
              <w:jc w:val="left"/>
              <w:rPr>
                <w:rFonts w:eastAsia="Times New Roman"/>
                <w:sz w:val="24"/>
                <w:szCs w:val="24"/>
              </w:rPr>
            </w:pPr>
            <w:r w:rsidRPr="008E63BB">
              <w:rPr>
                <w:rFonts w:eastAsia="Times New Roman"/>
                <w:sz w:val="24"/>
                <w:szCs w:val="24"/>
              </w:rPr>
              <w:t>Đất xây dựng đô thị khu vực nội thành</w:t>
            </w:r>
          </w:p>
        </w:tc>
        <w:tc>
          <w:tcPr>
            <w:tcW w:w="1269" w:type="dxa"/>
            <w:tcBorders>
              <w:top w:val="nil"/>
              <w:left w:val="nil"/>
              <w:bottom w:val="single" w:sz="4" w:space="0" w:color="auto"/>
              <w:right w:val="single" w:sz="4" w:space="0" w:color="auto"/>
            </w:tcBorders>
            <w:shd w:val="clear" w:color="auto" w:fill="auto"/>
            <w:vAlign w:val="center"/>
            <w:hideMark/>
          </w:tcPr>
          <w:p w14:paraId="519B3E85" w14:textId="77777777" w:rsidR="00B36C28" w:rsidRPr="008E63BB" w:rsidRDefault="00B36C28" w:rsidP="00B36C28">
            <w:pPr>
              <w:jc w:val="right"/>
              <w:rPr>
                <w:rFonts w:eastAsia="Times New Roman"/>
                <w:sz w:val="24"/>
                <w:szCs w:val="24"/>
              </w:rPr>
            </w:pPr>
            <w:r w:rsidRPr="008E63BB">
              <w:rPr>
                <w:rFonts w:eastAsia="Times New Roman"/>
                <w:sz w:val="24"/>
                <w:szCs w:val="24"/>
              </w:rPr>
              <w:t>4.100</w:t>
            </w:r>
          </w:p>
        </w:tc>
        <w:tc>
          <w:tcPr>
            <w:tcW w:w="1175" w:type="dxa"/>
            <w:tcBorders>
              <w:top w:val="nil"/>
              <w:left w:val="nil"/>
              <w:bottom w:val="single" w:sz="4" w:space="0" w:color="auto"/>
              <w:right w:val="single" w:sz="4" w:space="0" w:color="auto"/>
            </w:tcBorders>
            <w:shd w:val="clear" w:color="auto" w:fill="auto"/>
            <w:vAlign w:val="center"/>
            <w:hideMark/>
          </w:tcPr>
          <w:p w14:paraId="519B3E86" w14:textId="77777777" w:rsidR="00B36C28" w:rsidRPr="008E63BB" w:rsidRDefault="00B36C28" w:rsidP="00B36C28">
            <w:pPr>
              <w:jc w:val="right"/>
              <w:rPr>
                <w:rFonts w:eastAsia="Times New Roman"/>
                <w:sz w:val="24"/>
                <w:szCs w:val="24"/>
              </w:rPr>
            </w:pPr>
            <w:r w:rsidRPr="008E63BB">
              <w:rPr>
                <w:rFonts w:eastAsia="Times New Roman"/>
                <w:sz w:val="24"/>
                <w:szCs w:val="24"/>
              </w:rPr>
              <w:t>2.262,30</w:t>
            </w:r>
          </w:p>
        </w:tc>
        <w:tc>
          <w:tcPr>
            <w:tcW w:w="1175" w:type="dxa"/>
            <w:tcBorders>
              <w:top w:val="nil"/>
              <w:left w:val="nil"/>
              <w:bottom w:val="single" w:sz="4" w:space="0" w:color="auto"/>
              <w:right w:val="single" w:sz="4" w:space="0" w:color="auto"/>
            </w:tcBorders>
            <w:shd w:val="clear" w:color="auto" w:fill="auto"/>
            <w:vAlign w:val="center"/>
            <w:hideMark/>
          </w:tcPr>
          <w:p w14:paraId="519B3E87" w14:textId="77777777" w:rsidR="00B36C28" w:rsidRPr="008E63BB" w:rsidRDefault="00B36C28" w:rsidP="00B36C28">
            <w:pPr>
              <w:jc w:val="right"/>
              <w:rPr>
                <w:rFonts w:eastAsia="Times New Roman"/>
                <w:sz w:val="24"/>
                <w:szCs w:val="24"/>
              </w:rPr>
            </w:pPr>
            <w:r w:rsidRPr="008E63BB">
              <w:rPr>
                <w:rFonts w:eastAsia="Times New Roman"/>
                <w:sz w:val="24"/>
                <w:szCs w:val="24"/>
              </w:rPr>
              <w:t>3.973,21</w:t>
            </w:r>
          </w:p>
        </w:tc>
        <w:tc>
          <w:tcPr>
            <w:tcW w:w="1055" w:type="dxa"/>
            <w:tcBorders>
              <w:top w:val="nil"/>
              <w:left w:val="nil"/>
              <w:bottom w:val="single" w:sz="4" w:space="0" w:color="auto"/>
              <w:right w:val="single" w:sz="4" w:space="0" w:color="auto"/>
            </w:tcBorders>
            <w:shd w:val="clear" w:color="auto" w:fill="auto"/>
            <w:vAlign w:val="center"/>
            <w:hideMark/>
          </w:tcPr>
          <w:p w14:paraId="519B3E88" w14:textId="77777777" w:rsidR="00B36C28" w:rsidRPr="008E63BB" w:rsidRDefault="00B36C28" w:rsidP="00B36C28">
            <w:pPr>
              <w:jc w:val="right"/>
              <w:rPr>
                <w:rFonts w:eastAsia="Times New Roman"/>
                <w:sz w:val="24"/>
                <w:szCs w:val="24"/>
              </w:rPr>
            </w:pPr>
            <w:r w:rsidRPr="008E63BB">
              <w:rPr>
                <w:rFonts w:eastAsia="Times New Roman"/>
                <w:sz w:val="24"/>
                <w:szCs w:val="24"/>
              </w:rPr>
              <w:t>1.837,70</w:t>
            </w:r>
          </w:p>
        </w:tc>
        <w:tc>
          <w:tcPr>
            <w:tcW w:w="990" w:type="dxa"/>
            <w:tcBorders>
              <w:top w:val="nil"/>
              <w:left w:val="nil"/>
              <w:bottom w:val="single" w:sz="4" w:space="0" w:color="auto"/>
              <w:right w:val="single" w:sz="4" w:space="0" w:color="auto"/>
            </w:tcBorders>
            <w:shd w:val="clear" w:color="auto" w:fill="auto"/>
            <w:vAlign w:val="center"/>
            <w:hideMark/>
          </w:tcPr>
          <w:p w14:paraId="519B3E89" w14:textId="77777777" w:rsidR="00B36C28" w:rsidRPr="008E63BB" w:rsidRDefault="00B36C28" w:rsidP="00B36C28">
            <w:pPr>
              <w:jc w:val="right"/>
              <w:rPr>
                <w:rFonts w:eastAsia="Times New Roman"/>
                <w:sz w:val="24"/>
                <w:szCs w:val="24"/>
              </w:rPr>
            </w:pPr>
            <w:r w:rsidRPr="008E63BB">
              <w:rPr>
                <w:rFonts w:eastAsia="Times New Roman"/>
                <w:sz w:val="24"/>
                <w:szCs w:val="24"/>
              </w:rPr>
              <w:t>126,79</w:t>
            </w:r>
          </w:p>
        </w:tc>
      </w:tr>
      <w:tr w:rsidR="00B36C28" w:rsidRPr="008E63BB" w14:paraId="519B3E92" w14:textId="77777777" w:rsidTr="00B36C28">
        <w:trPr>
          <w:trHeight w:val="587"/>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3E8B" w14:textId="77777777" w:rsidR="00B36C28" w:rsidRPr="008E63BB" w:rsidRDefault="00B36C28" w:rsidP="00B36C28">
            <w:pPr>
              <w:jc w:val="right"/>
              <w:rPr>
                <w:rFonts w:eastAsia="Times New Roman"/>
                <w:sz w:val="24"/>
                <w:szCs w:val="24"/>
              </w:rPr>
            </w:pPr>
            <w:r w:rsidRPr="008E63BB">
              <w:rPr>
                <w:rFonts w:eastAsia="Times New Roman"/>
                <w:sz w:val="24"/>
                <w:szCs w:val="24"/>
              </w:rPr>
              <w:t> </w:t>
            </w:r>
          </w:p>
        </w:tc>
        <w:tc>
          <w:tcPr>
            <w:tcW w:w="3215" w:type="dxa"/>
            <w:tcBorders>
              <w:top w:val="nil"/>
              <w:left w:val="nil"/>
              <w:bottom w:val="single" w:sz="4" w:space="0" w:color="auto"/>
              <w:right w:val="single" w:sz="4" w:space="0" w:color="auto"/>
            </w:tcBorders>
            <w:shd w:val="clear" w:color="auto" w:fill="auto"/>
            <w:vAlign w:val="center"/>
            <w:hideMark/>
          </w:tcPr>
          <w:p w14:paraId="519B3E8C" w14:textId="77777777" w:rsidR="00B36C28" w:rsidRPr="008E63BB" w:rsidRDefault="00B36C28" w:rsidP="00B36C28">
            <w:pPr>
              <w:jc w:val="left"/>
              <w:rPr>
                <w:rFonts w:eastAsia="Times New Roman"/>
                <w:sz w:val="24"/>
                <w:szCs w:val="24"/>
              </w:rPr>
            </w:pPr>
            <w:r w:rsidRPr="008E63BB">
              <w:rPr>
                <w:rFonts w:eastAsia="Times New Roman"/>
                <w:sz w:val="24"/>
                <w:szCs w:val="24"/>
              </w:rPr>
              <w:t>Trong đó: Chỉ tiêu đất xây dựng đô thị  (m2/ người)</w:t>
            </w:r>
          </w:p>
        </w:tc>
        <w:tc>
          <w:tcPr>
            <w:tcW w:w="1269" w:type="dxa"/>
            <w:tcBorders>
              <w:top w:val="nil"/>
              <w:left w:val="nil"/>
              <w:bottom w:val="single" w:sz="4" w:space="0" w:color="auto"/>
              <w:right w:val="single" w:sz="4" w:space="0" w:color="auto"/>
            </w:tcBorders>
            <w:shd w:val="clear" w:color="auto" w:fill="auto"/>
            <w:vAlign w:val="center"/>
            <w:hideMark/>
          </w:tcPr>
          <w:p w14:paraId="519B3E8D" w14:textId="77777777" w:rsidR="00B36C28" w:rsidRPr="008E63BB" w:rsidRDefault="00B36C28" w:rsidP="00B36C28">
            <w:pPr>
              <w:jc w:val="right"/>
              <w:rPr>
                <w:rFonts w:eastAsia="Times New Roman"/>
                <w:sz w:val="24"/>
                <w:szCs w:val="24"/>
              </w:rPr>
            </w:pPr>
            <w:r w:rsidRPr="008E63BB">
              <w:rPr>
                <w:rFonts w:eastAsia="Times New Roman"/>
                <w:sz w:val="24"/>
                <w:szCs w:val="24"/>
              </w:rPr>
              <w:t>120</w:t>
            </w:r>
          </w:p>
        </w:tc>
        <w:tc>
          <w:tcPr>
            <w:tcW w:w="1175" w:type="dxa"/>
            <w:tcBorders>
              <w:top w:val="nil"/>
              <w:left w:val="nil"/>
              <w:bottom w:val="single" w:sz="4" w:space="0" w:color="auto"/>
              <w:right w:val="single" w:sz="4" w:space="0" w:color="auto"/>
            </w:tcBorders>
            <w:shd w:val="clear" w:color="auto" w:fill="auto"/>
            <w:vAlign w:val="center"/>
            <w:hideMark/>
          </w:tcPr>
          <w:p w14:paraId="519B3E8E" w14:textId="77777777" w:rsidR="00B36C28" w:rsidRPr="008E63BB" w:rsidRDefault="00B36C28" w:rsidP="00B36C28">
            <w:pPr>
              <w:jc w:val="right"/>
              <w:rPr>
                <w:rFonts w:eastAsia="Times New Roman"/>
                <w:sz w:val="24"/>
                <w:szCs w:val="24"/>
              </w:rPr>
            </w:pPr>
            <w:r w:rsidRPr="008E63BB">
              <w:rPr>
                <w:rFonts w:eastAsia="Times New Roman"/>
                <w:sz w:val="24"/>
                <w:szCs w:val="24"/>
              </w:rPr>
              <w:t>95,91</w:t>
            </w:r>
          </w:p>
        </w:tc>
        <w:tc>
          <w:tcPr>
            <w:tcW w:w="1175" w:type="dxa"/>
            <w:tcBorders>
              <w:top w:val="nil"/>
              <w:left w:val="nil"/>
              <w:bottom w:val="single" w:sz="4" w:space="0" w:color="auto"/>
              <w:right w:val="single" w:sz="4" w:space="0" w:color="auto"/>
            </w:tcBorders>
            <w:shd w:val="clear" w:color="auto" w:fill="auto"/>
            <w:vAlign w:val="center"/>
            <w:hideMark/>
          </w:tcPr>
          <w:p w14:paraId="519B3E8F" w14:textId="77777777" w:rsidR="00B36C28" w:rsidRPr="008E63BB" w:rsidRDefault="00B36C28" w:rsidP="00B36C28">
            <w:pPr>
              <w:jc w:val="right"/>
              <w:rPr>
                <w:rFonts w:eastAsia="Times New Roman"/>
                <w:sz w:val="24"/>
                <w:szCs w:val="24"/>
              </w:rPr>
            </w:pPr>
            <w:r w:rsidRPr="008E63BB">
              <w:rPr>
                <w:rFonts w:eastAsia="Times New Roman"/>
                <w:sz w:val="24"/>
                <w:szCs w:val="24"/>
              </w:rPr>
              <w:t>103,30</w:t>
            </w:r>
          </w:p>
        </w:tc>
        <w:tc>
          <w:tcPr>
            <w:tcW w:w="1055" w:type="dxa"/>
            <w:tcBorders>
              <w:top w:val="nil"/>
              <w:left w:val="nil"/>
              <w:bottom w:val="single" w:sz="4" w:space="0" w:color="auto"/>
              <w:right w:val="single" w:sz="4" w:space="0" w:color="auto"/>
            </w:tcBorders>
            <w:shd w:val="clear" w:color="auto" w:fill="auto"/>
            <w:vAlign w:val="center"/>
            <w:hideMark/>
          </w:tcPr>
          <w:p w14:paraId="519B3E90" w14:textId="77777777" w:rsidR="00B36C28" w:rsidRPr="008E63BB" w:rsidRDefault="00B36C28" w:rsidP="00B36C28">
            <w:pPr>
              <w:jc w:val="right"/>
              <w:rPr>
                <w:rFonts w:eastAsia="Times New Roman"/>
                <w:sz w:val="24"/>
                <w:szCs w:val="24"/>
              </w:rPr>
            </w:pPr>
            <w:r w:rsidRPr="008E63BB">
              <w:rPr>
                <w:rFonts w:eastAsia="Times New Roman"/>
                <w:sz w:val="24"/>
                <w:szCs w:val="24"/>
              </w:rPr>
              <w:t>24,09</w:t>
            </w:r>
          </w:p>
        </w:tc>
        <w:tc>
          <w:tcPr>
            <w:tcW w:w="990" w:type="dxa"/>
            <w:tcBorders>
              <w:top w:val="nil"/>
              <w:left w:val="nil"/>
              <w:bottom w:val="single" w:sz="4" w:space="0" w:color="auto"/>
              <w:right w:val="single" w:sz="4" w:space="0" w:color="auto"/>
            </w:tcBorders>
            <w:shd w:val="clear" w:color="auto" w:fill="auto"/>
            <w:vAlign w:val="center"/>
            <w:hideMark/>
          </w:tcPr>
          <w:p w14:paraId="519B3E91" w14:textId="77777777" w:rsidR="00B36C28" w:rsidRPr="008E63BB" w:rsidRDefault="00B36C28" w:rsidP="00B36C28">
            <w:pPr>
              <w:jc w:val="right"/>
              <w:rPr>
                <w:rFonts w:eastAsia="Times New Roman"/>
                <w:sz w:val="24"/>
                <w:szCs w:val="24"/>
              </w:rPr>
            </w:pPr>
            <w:r w:rsidRPr="008E63BB">
              <w:rPr>
                <w:rFonts w:eastAsia="Times New Roman"/>
                <w:sz w:val="24"/>
                <w:szCs w:val="24"/>
              </w:rPr>
              <w:t>16,70</w:t>
            </w:r>
          </w:p>
        </w:tc>
      </w:tr>
      <w:tr w:rsidR="00B36C28" w:rsidRPr="008E63BB" w14:paraId="519B3E9A"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3E93"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w:t>
            </w:r>
          </w:p>
        </w:tc>
        <w:tc>
          <w:tcPr>
            <w:tcW w:w="3215" w:type="dxa"/>
            <w:tcBorders>
              <w:top w:val="nil"/>
              <w:left w:val="nil"/>
              <w:bottom w:val="single" w:sz="4" w:space="0" w:color="auto"/>
              <w:right w:val="single" w:sz="4" w:space="0" w:color="auto"/>
            </w:tcBorders>
            <w:shd w:val="clear" w:color="auto" w:fill="auto"/>
            <w:vAlign w:val="center"/>
            <w:hideMark/>
          </w:tcPr>
          <w:p w14:paraId="519B3E94" w14:textId="77777777" w:rsidR="00B36C28" w:rsidRPr="008E63BB" w:rsidRDefault="00B36C28" w:rsidP="00B36C28">
            <w:pPr>
              <w:jc w:val="left"/>
              <w:rPr>
                <w:rFonts w:eastAsia="Times New Roman"/>
                <w:i/>
                <w:iCs/>
                <w:sz w:val="24"/>
                <w:szCs w:val="24"/>
              </w:rPr>
            </w:pPr>
            <w:r w:rsidRPr="008E63BB">
              <w:rPr>
                <w:rFonts w:eastAsia="Times New Roman"/>
                <w:i/>
                <w:iCs/>
                <w:sz w:val="24"/>
                <w:szCs w:val="24"/>
              </w:rPr>
              <w:t>Đất dân dụng</w:t>
            </w:r>
          </w:p>
        </w:tc>
        <w:tc>
          <w:tcPr>
            <w:tcW w:w="1269" w:type="dxa"/>
            <w:tcBorders>
              <w:top w:val="nil"/>
              <w:left w:val="nil"/>
              <w:bottom w:val="single" w:sz="4" w:space="0" w:color="auto"/>
              <w:right w:val="single" w:sz="4" w:space="0" w:color="auto"/>
            </w:tcBorders>
            <w:shd w:val="clear" w:color="auto" w:fill="auto"/>
            <w:vAlign w:val="center"/>
            <w:hideMark/>
          </w:tcPr>
          <w:p w14:paraId="519B3E95"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3.135</w:t>
            </w:r>
          </w:p>
        </w:tc>
        <w:tc>
          <w:tcPr>
            <w:tcW w:w="1175" w:type="dxa"/>
            <w:tcBorders>
              <w:top w:val="nil"/>
              <w:left w:val="nil"/>
              <w:bottom w:val="single" w:sz="4" w:space="0" w:color="auto"/>
              <w:right w:val="single" w:sz="4" w:space="0" w:color="auto"/>
            </w:tcBorders>
            <w:shd w:val="clear" w:color="auto" w:fill="auto"/>
            <w:vAlign w:val="center"/>
            <w:hideMark/>
          </w:tcPr>
          <w:p w14:paraId="519B3E96"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1.385,63</w:t>
            </w:r>
          </w:p>
        </w:tc>
        <w:tc>
          <w:tcPr>
            <w:tcW w:w="1175" w:type="dxa"/>
            <w:tcBorders>
              <w:top w:val="nil"/>
              <w:left w:val="nil"/>
              <w:bottom w:val="single" w:sz="4" w:space="0" w:color="auto"/>
              <w:right w:val="single" w:sz="4" w:space="0" w:color="auto"/>
            </w:tcBorders>
            <w:shd w:val="clear" w:color="auto" w:fill="auto"/>
            <w:vAlign w:val="center"/>
            <w:hideMark/>
          </w:tcPr>
          <w:p w14:paraId="519B3E97"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2.378,62</w:t>
            </w:r>
          </w:p>
        </w:tc>
        <w:tc>
          <w:tcPr>
            <w:tcW w:w="1055" w:type="dxa"/>
            <w:tcBorders>
              <w:top w:val="nil"/>
              <w:left w:val="nil"/>
              <w:bottom w:val="single" w:sz="4" w:space="0" w:color="auto"/>
              <w:right w:val="single" w:sz="4" w:space="0" w:color="auto"/>
            </w:tcBorders>
            <w:shd w:val="clear" w:color="auto" w:fill="auto"/>
            <w:vAlign w:val="center"/>
            <w:hideMark/>
          </w:tcPr>
          <w:p w14:paraId="519B3E98"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1.749,37</w:t>
            </w:r>
          </w:p>
        </w:tc>
        <w:tc>
          <w:tcPr>
            <w:tcW w:w="990" w:type="dxa"/>
            <w:tcBorders>
              <w:top w:val="nil"/>
              <w:left w:val="nil"/>
              <w:bottom w:val="single" w:sz="4" w:space="0" w:color="auto"/>
              <w:right w:val="single" w:sz="4" w:space="0" w:color="auto"/>
            </w:tcBorders>
            <w:shd w:val="clear" w:color="auto" w:fill="auto"/>
            <w:vAlign w:val="center"/>
            <w:hideMark/>
          </w:tcPr>
          <w:p w14:paraId="519B3E99"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756,38</w:t>
            </w:r>
          </w:p>
        </w:tc>
      </w:tr>
      <w:tr w:rsidR="00B36C28" w:rsidRPr="008E63BB" w14:paraId="519B3EA2"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3E9B"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w:t>
            </w:r>
          </w:p>
        </w:tc>
        <w:tc>
          <w:tcPr>
            <w:tcW w:w="3215" w:type="dxa"/>
            <w:tcBorders>
              <w:top w:val="nil"/>
              <w:left w:val="nil"/>
              <w:bottom w:val="single" w:sz="4" w:space="0" w:color="auto"/>
              <w:right w:val="single" w:sz="4" w:space="0" w:color="auto"/>
            </w:tcBorders>
            <w:shd w:val="clear" w:color="auto" w:fill="auto"/>
            <w:vAlign w:val="center"/>
            <w:hideMark/>
          </w:tcPr>
          <w:p w14:paraId="519B3E9C" w14:textId="77777777" w:rsidR="00B36C28" w:rsidRPr="008E63BB" w:rsidRDefault="00B36C28" w:rsidP="00B36C28">
            <w:pPr>
              <w:jc w:val="left"/>
              <w:rPr>
                <w:rFonts w:eastAsia="Times New Roman"/>
                <w:i/>
                <w:iCs/>
                <w:sz w:val="24"/>
                <w:szCs w:val="24"/>
              </w:rPr>
            </w:pPr>
            <w:r w:rsidRPr="008E63BB">
              <w:rPr>
                <w:rFonts w:eastAsia="Times New Roman"/>
                <w:i/>
                <w:iCs/>
                <w:sz w:val="24"/>
                <w:szCs w:val="24"/>
              </w:rPr>
              <w:t>Đất ngoài dân dụng</w:t>
            </w:r>
          </w:p>
        </w:tc>
        <w:tc>
          <w:tcPr>
            <w:tcW w:w="1269" w:type="dxa"/>
            <w:tcBorders>
              <w:top w:val="nil"/>
              <w:left w:val="nil"/>
              <w:bottom w:val="single" w:sz="4" w:space="0" w:color="auto"/>
              <w:right w:val="single" w:sz="4" w:space="0" w:color="auto"/>
            </w:tcBorders>
            <w:shd w:val="clear" w:color="auto" w:fill="auto"/>
            <w:vAlign w:val="center"/>
            <w:hideMark/>
          </w:tcPr>
          <w:p w14:paraId="519B3E9D"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965</w:t>
            </w:r>
          </w:p>
        </w:tc>
        <w:tc>
          <w:tcPr>
            <w:tcW w:w="1175" w:type="dxa"/>
            <w:tcBorders>
              <w:top w:val="nil"/>
              <w:left w:val="nil"/>
              <w:bottom w:val="single" w:sz="4" w:space="0" w:color="auto"/>
              <w:right w:val="single" w:sz="4" w:space="0" w:color="auto"/>
            </w:tcBorders>
            <w:shd w:val="clear" w:color="auto" w:fill="auto"/>
            <w:vAlign w:val="center"/>
            <w:hideMark/>
          </w:tcPr>
          <w:p w14:paraId="519B3E9E"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876,67</w:t>
            </w:r>
          </w:p>
        </w:tc>
        <w:tc>
          <w:tcPr>
            <w:tcW w:w="1175" w:type="dxa"/>
            <w:tcBorders>
              <w:top w:val="nil"/>
              <w:left w:val="nil"/>
              <w:bottom w:val="single" w:sz="4" w:space="0" w:color="auto"/>
              <w:right w:val="single" w:sz="4" w:space="0" w:color="auto"/>
            </w:tcBorders>
            <w:shd w:val="clear" w:color="auto" w:fill="auto"/>
            <w:vAlign w:val="center"/>
            <w:hideMark/>
          </w:tcPr>
          <w:p w14:paraId="519B3E9F"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1.594,60</w:t>
            </w:r>
          </w:p>
        </w:tc>
        <w:tc>
          <w:tcPr>
            <w:tcW w:w="1055" w:type="dxa"/>
            <w:tcBorders>
              <w:top w:val="nil"/>
              <w:left w:val="nil"/>
              <w:bottom w:val="single" w:sz="4" w:space="0" w:color="auto"/>
              <w:right w:val="single" w:sz="4" w:space="0" w:color="auto"/>
            </w:tcBorders>
            <w:shd w:val="clear" w:color="auto" w:fill="auto"/>
            <w:vAlign w:val="center"/>
            <w:hideMark/>
          </w:tcPr>
          <w:p w14:paraId="519B3EA0"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88,33</w:t>
            </w:r>
          </w:p>
        </w:tc>
        <w:tc>
          <w:tcPr>
            <w:tcW w:w="990" w:type="dxa"/>
            <w:tcBorders>
              <w:top w:val="nil"/>
              <w:left w:val="nil"/>
              <w:bottom w:val="single" w:sz="4" w:space="0" w:color="auto"/>
              <w:right w:val="single" w:sz="4" w:space="0" w:color="auto"/>
            </w:tcBorders>
            <w:shd w:val="clear" w:color="auto" w:fill="auto"/>
            <w:vAlign w:val="center"/>
            <w:hideMark/>
          </w:tcPr>
          <w:p w14:paraId="519B3EA1" w14:textId="77777777" w:rsidR="00B36C28" w:rsidRPr="008E63BB" w:rsidRDefault="00B36C28" w:rsidP="00B36C28">
            <w:pPr>
              <w:jc w:val="right"/>
              <w:rPr>
                <w:rFonts w:eastAsia="Times New Roman"/>
                <w:i/>
                <w:iCs/>
                <w:sz w:val="24"/>
                <w:szCs w:val="24"/>
              </w:rPr>
            </w:pPr>
            <w:r w:rsidRPr="008E63BB">
              <w:rPr>
                <w:rFonts w:eastAsia="Times New Roman"/>
                <w:i/>
                <w:iCs/>
                <w:sz w:val="24"/>
                <w:szCs w:val="24"/>
              </w:rPr>
              <w:t>-629,60</w:t>
            </w:r>
          </w:p>
        </w:tc>
      </w:tr>
      <w:tr w:rsidR="00B36C28" w:rsidRPr="008E63BB" w14:paraId="519B3EAA"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19B3EA3" w14:textId="77777777" w:rsidR="00B36C28" w:rsidRPr="008E63BB" w:rsidRDefault="00B36C28" w:rsidP="00B36C28">
            <w:pPr>
              <w:jc w:val="center"/>
              <w:rPr>
                <w:rFonts w:eastAsia="Times New Roman"/>
                <w:b/>
                <w:bCs/>
                <w:sz w:val="24"/>
                <w:szCs w:val="24"/>
              </w:rPr>
            </w:pPr>
            <w:r w:rsidRPr="008E63BB">
              <w:rPr>
                <w:rFonts w:eastAsia="Times New Roman"/>
                <w:b/>
                <w:bCs/>
                <w:sz w:val="24"/>
                <w:szCs w:val="24"/>
              </w:rPr>
              <w:t>3</w:t>
            </w:r>
          </w:p>
        </w:tc>
        <w:tc>
          <w:tcPr>
            <w:tcW w:w="3215" w:type="dxa"/>
            <w:tcBorders>
              <w:top w:val="nil"/>
              <w:left w:val="nil"/>
              <w:bottom w:val="single" w:sz="4" w:space="0" w:color="auto"/>
              <w:right w:val="single" w:sz="4" w:space="0" w:color="auto"/>
            </w:tcBorders>
            <w:shd w:val="clear" w:color="auto" w:fill="auto"/>
            <w:noWrap/>
            <w:vAlign w:val="center"/>
            <w:hideMark/>
          </w:tcPr>
          <w:p w14:paraId="519B3EA4" w14:textId="77777777" w:rsidR="00B36C28" w:rsidRPr="008E63BB" w:rsidRDefault="00B36C28" w:rsidP="00B36C28">
            <w:pPr>
              <w:jc w:val="left"/>
              <w:rPr>
                <w:rFonts w:eastAsia="Times New Roman"/>
                <w:b/>
                <w:bCs/>
                <w:sz w:val="24"/>
                <w:szCs w:val="24"/>
              </w:rPr>
            </w:pPr>
            <w:r w:rsidRPr="008E63BB">
              <w:rPr>
                <w:rFonts w:eastAsia="Times New Roman"/>
                <w:b/>
                <w:bCs/>
                <w:sz w:val="24"/>
                <w:szCs w:val="24"/>
              </w:rPr>
              <w:t>Dân số (người)</w:t>
            </w:r>
          </w:p>
        </w:tc>
        <w:tc>
          <w:tcPr>
            <w:tcW w:w="1269" w:type="dxa"/>
            <w:tcBorders>
              <w:top w:val="nil"/>
              <w:left w:val="nil"/>
              <w:bottom w:val="single" w:sz="4" w:space="0" w:color="auto"/>
              <w:right w:val="single" w:sz="4" w:space="0" w:color="auto"/>
            </w:tcBorders>
            <w:shd w:val="clear" w:color="auto" w:fill="auto"/>
            <w:noWrap/>
            <w:vAlign w:val="center"/>
            <w:hideMark/>
          </w:tcPr>
          <w:p w14:paraId="519B3EA5"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480.000</w:t>
            </w:r>
          </w:p>
        </w:tc>
        <w:tc>
          <w:tcPr>
            <w:tcW w:w="1175" w:type="dxa"/>
            <w:tcBorders>
              <w:top w:val="nil"/>
              <w:left w:val="nil"/>
              <w:bottom w:val="single" w:sz="4" w:space="0" w:color="auto"/>
              <w:right w:val="single" w:sz="4" w:space="0" w:color="auto"/>
            </w:tcBorders>
            <w:shd w:val="clear" w:color="auto" w:fill="auto"/>
            <w:noWrap/>
            <w:vAlign w:val="center"/>
            <w:hideMark/>
          </w:tcPr>
          <w:p w14:paraId="519B3EA6"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258.552</w:t>
            </w:r>
          </w:p>
        </w:tc>
        <w:tc>
          <w:tcPr>
            <w:tcW w:w="1175" w:type="dxa"/>
            <w:tcBorders>
              <w:top w:val="nil"/>
              <w:left w:val="nil"/>
              <w:bottom w:val="single" w:sz="4" w:space="0" w:color="auto"/>
              <w:right w:val="single" w:sz="4" w:space="0" w:color="auto"/>
            </w:tcBorders>
            <w:shd w:val="clear" w:color="auto" w:fill="auto"/>
            <w:noWrap/>
            <w:vAlign w:val="center"/>
            <w:hideMark/>
          </w:tcPr>
          <w:p w14:paraId="519B3EA7"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520.000</w:t>
            </w:r>
          </w:p>
        </w:tc>
        <w:tc>
          <w:tcPr>
            <w:tcW w:w="1055" w:type="dxa"/>
            <w:tcBorders>
              <w:top w:val="nil"/>
              <w:left w:val="nil"/>
              <w:bottom w:val="single" w:sz="4" w:space="0" w:color="auto"/>
              <w:right w:val="single" w:sz="4" w:space="0" w:color="auto"/>
            </w:tcBorders>
            <w:shd w:val="clear" w:color="auto" w:fill="auto"/>
            <w:noWrap/>
            <w:vAlign w:val="center"/>
            <w:hideMark/>
          </w:tcPr>
          <w:p w14:paraId="519B3EA8"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221.448</w:t>
            </w:r>
          </w:p>
        </w:tc>
        <w:tc>
          <w:tcPr>
            <w:tcW w:w="990" w:type="dxa"/>
            <w:tcBorders>
              <w:top w:val="nil"/>
              <w:left w:val="nil"/>
              <w:bottom w:val="single" w:sz="4" w:space="0" w:color="auto"/>
              <w:right w:val="single" w:sz="4" w:space="0" w:color="auto"/>
            </w:tcBorders>
            <w:shd w:val="clear" w:color="auto" w:fill="auto"/>
            <w:noWrap/>
            <w:vAlign w:val="center"/>
            <w:hideMark/>
          </w:tcPr>
          <w:p w14:paraId="519B3EA9" w14:textId="77777777" w:rsidR="00B36C28" w:rsidRPr="008E63BB" w:rsidRDefault="00B36C28" w:rsidP="00B36C28">
            <w:pPr>
              <w:jc w:val="right"/>
              <w:rPr>
                <w:rFonts w:eastAsia="Times New Roman"/>
                <w:b/>
                <w:bCs/>
                <w:sz w:val="24"/>
                <w:szCs w:val="24"/>
              </w:rPr>
            </w:pPr>
            <w:r w:rsidRPr="008E63BB">
              <w:rPr>
                <w:rFonts w:eastAsia="Times New Roman"/>
                <w:b/>
                <w:bCs/>
                <w:sz w:val="24"/>
                <w:szCs w:val="24"/>
              </w:rPr>
              <w:t>-40.000</w:t>
            </w:r>
          </w:p>
        </w:tc>
      </w:tr>
      <w:tr w:rsidR="00B36C28" w:rsidRPr="008E63BB" w14:paraId="519B3EB2" w14:textId="77777777" w:rsidTr="00B36C28">
        <w:trPr>
          <w:trHeight w:val="293"/>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19B3EAB" w14:textId="77777777" w:rsidR="00B36C28" w:rsidRPr="008E63BB" w:rsidRDefault="00B36C28" w:rsidP="00B36C28">
            <w:pPr>
              <w:jc w:val="center"/>
              <w:rPr>
                <w:rFonts w:eastAsia="Times New Roman"/>
                <w:sz w:val="24"/>
                <w:szCs w:val="24"/>
              </w:rPr>
            </w:pPr>
            <w:r w:rsidRPr="008E63BB">
              <w:rPr>
                <w:rFonts w:eastAsia="Times New Roman"/>
                <w:sz w:val="24"/>
                <w:szCs w:val="24"/>
              </w:rPr>
              <w:t> </w:t>
            </w:r>
          </w:p>
        </w:tc>
        <w:tc>
          <w:tcPr>
            <w:tcW w:w="3215" w:type="dxa"/>
            <w:tcBorders>
              <w:top w:val="nil"/>
              <w:left w:val="nil"/>
              <w:bottom w:val="single" w:sz="4" w:space="0" w:color="auto"/>
              <w:right w:val="single" w:sz="4" w:space="0" w:color="auto"/>
            </w:tcBorders>
            <w:shd w:val="clear" w:color="auto" w:fill="auto"/>
            <w:noWrap/>
            <w:vAlign w:val="center"/>
            <w:hideMark/>
          </w:tcPr>
          <w:p w14:paraId="519B3EAC" w14:textId="77777777" w:rsidR="00B36C28" w:rsidRPr="008E63BB" w:rsidRDefault="00B36C28" w:rsidP="00B36C28">
            <w:pPr>
              <w:jc w:val="left"/>
              <w:rPr>
                <w:rFonts w:eastAsia="Times New Roman"/>
                <w:sz w:val="24"/>
                <w:szCs w:val="24"/>
              </w:rPr>
            </w:pPr>
            <w:r w:rsidRPr="008E63BB">
              <w:rPr>
                <w:rFonts w:eastAsia="Times New Roman"/>
                <w:sz w:val="24"/>
                <w:szCs w:val="24"/>
              </w:rPr>
              <w:t>Trong đó: Dân số nội thành (người)</w:t>
            </w:r>
          </w:p>
        </w:tc>
        <w:tc>
          <w:tcPr>
            <w:tcW w:w="1269" w:type="dxa"/>
            <w:tcBorders>
              <w:top w:val="nil"/>
              <w:left w:val="nil"/>
              <w:bottom w:val="single" w:sz="4" w:space="0" w:color="auto"/>
              <w:right w:val="single" w:sz="4" w:space="0" w:color="auto"/>
            </w:tcBorders>
            <w:shd w:val="clear" w:color="auto" w:fill="auto"/>
            <w:noWrap/>
            <w:vAlign w:val="center"/>
            <w:hideMark/>
          </w:tcPr>
          <w:p w14:paraId="519B3EAD" w14:textId="77777777" w:rsidR="00B36C28" w:rsidRPr="008E63BB" w:rsidRDefault="00B36C28" w:rsidP="00B36C28">
            <w:pPr>
              <w:jc w:val="right"/>
              <w:rPr>
                <w:rFonts w:eastAsia="Times New Roman"/>
                <w:sz w:val="24"/>
                <w:szCs w:val="24"/>
              </w:rPr>
            </w:pPr>
            <w:r w:rsidRPr="008E63BB">
              <w:rPr>
                <w:rFonts w:eastAsia="Times New Roman"/>
                <w:sz w:val="24"/>
                <w:szCs w:val="24"/>
              </w:rPr>
              <w:t>340.000</w:t>
            </w:r>
          </w:p>
        </w:tc>
        <w:tc>
          <w:tcPr>
            <w:tcW w:w="1175" w:type="dxa"/>
            <w:tcBorders>
              <w:top w:val="nil"/>
              <w:left w:val="nil"/>
              <w:bottom w:val="single" w:sz="4" w:space="0" w:color="auto"/>
              <w:right w:val="single" w:sz="4" w:space="0" w:color="auto"/>
            </w:tcBorders>
            <w:shd w:val="clear" w:color="auto" w:fill="auto"/>
            <w:noWrap/>
            <w:vAlign w:val="center"/>
            <w:hideMark/>
          </w:tcPr>
          <w:p w14:paraId="519B3EAE" w14:textId="77777777" w:rsidR="00B36C28" w:rsidRPr="008E63BB" w:rsidRDefault="00B36C28" w:rsidP="00B36C28">
            <w:pPr>
              <w:jc w:val="right"/>
              <w:rPr>
                <w:rFonts w:eastAsia="Times New Roman"/>
                <w:sz w:val="24"/>
                <w:szCs w:val="24"/>
              </w:rPr>
            </w:pPr>
            <w:r w:rsidRPr="008E63BB">
              <w:rPr>
                <w:rFonts w:eastAsia="Times New Roman"/>
                <w:sz w:val="24"/>
                <w:szCs w:val="24"/>
              </w:rPr>
              <w:t>235.889</w:t>
            </w:r>
          </w:p>
        </w:tc>
        <w:tc>
          <w:tcPr>
            <w:tcW w:w="1175" w:type="dxa"/>
            <w:tcBorders>
              <w:top w:val="nil"/>
              <w:left w:val="nil"/>
              <w:bottom w:val="single" w:sz="4" w:space="0" w:color="auto"/>
              <w:right w:val="single" w:sz="4" w:space="0" w:color="auto"/>
            </w:tcBorders>
            <w:shd w:val="clear" w:color="auto" w:fill="auto"/>
            <w:noWrap/>
            <w:vAlign w:val="center"/>
            <w:hideMark/>
          </w:tcPr>
          <w:p w14:paraId="519B3EAF" w14:textId="77777777" w:rsidR="00B36C28" w:rsidRPr="008E63BB" w:rsidRDefault="00B36C28" w:rsidP="00B36C28">
            <w:pPr>
              <w:jc w:val="right"/>
              <w:rPr>
                <w:rFonts w:eastAsia="Times New Roman"/>
                <w:sz w:val="24"/>
                <w:szCs w:val="24"/>
              </w:rPr>
            </w:pPr>
            <w:r w:rsidRPr="008E63BB">
              <w:rPr>
                <w:rFonts w:eastAsia="Times New Roman"/>
                <w:sz w:val="24"/>
                <w:szCs w:val="24"/>
              </w:rPr>
              <w:t>384.570</w:t>
            </w:r>
          </w:p>
        </w:tc>
        <w:tc>
          <w:tcPr>
            <w:tcW w:w="1055" w:type="dxa"/>
            <w:tcBorders>
              <w:top w:val="nil"/>
              <w:left w:val="nil"/>
              <w:bottom w:val="single" w:sz="4" w:space="0" w:color="auto"/>
              <w:right w:val="single" w:sz="4" w:space="0" w:color="auto"/>
            </w:tcBorders>
            <w:shd w:val="clear" w:color="auto" w:fill="auto"/>
            <w:noWrap/>
            <w:vAlign w:val="center"/>
            <w:hideMark/>
          </w:tcPr>
          <w:p w14:paraId="519B3EB0" w14:textId="77777777" w:rsidR="00B36C28" w:rsidRPr="008E63BB" w:rsidRDefault="00B36C28" w:rsidP="00B36C28">
            <w:pPr>
              <w:jc w:val="right"/>
              <w:rPr>
                <w:rFonts w:eastAsia="Times New Roman"/>
                <w:sz w:val="24"/>
                <w:szCs w:val="24"/>
              </w:rPr>
            </w:pPr>
            <w:r w:rsidRPr="008E63BB">
              <w:rPr>
                <w:rFonts w:eastAsia="Times New Roman"/>
                <w:sz w:val="24"/>
                <w:szCs w:val="24"/>
              </w:rPr>
              <w:t>104.111</w:t>
            </w:r>
          </w:p>
        </w:tc>
        <w:tc>
          <w:tcPr>
            <w:tcW w:w="990" w:type="dxa"/>
            <w:tcBorders>
              <w:top w:val="nil"/>
              <w:left w:val="nil"/>
              <w:bottom w:val="single" w:sz="4" w:space="0" w:color="auto"/>
              <w:right w:val="single" w:sz="4" w:space="0" w:color="auto"/>
            </w:tcBorders>
            <w:shd w:val="clear" w:color="auto" w:fill="auto"/>
            <w:noWrap/>
            <w:vAlign w:val="center"/>
            <w:hideMark/>
          </w:tcPr>
          <w:p w14:paraId="519B3EB1" w14:textId="77777777" w:rsidR="00B36C28" w:rsidRPr="008E63BB" w:rsidRDefault="00B36C28" w:rsidP="00B36C28">
            <w:pPr>
              <w:jc w:val="right"/>
              <w:rPr>
                <w:rFonts w:eastAsia="Times New Roman"/>
                <w:sz w:val="24"/>
                <w:szCs w:val="24"/>
              </w:rPr>
            </w:pPr>
            <w:r w:rsidRPr="008E63BB">
              <w:rPr>
                <w:rFonts w:eastAsia="Times New Roman"/>
                <w:sz w:val="24"/>
                <w:szCs w:val="24"/>
              </w:rPr>
              <w:t>-44.570</w:t>
            </w:r>
          </w:p>
        </w:tc>
      </w:tr>
    </w:tbl>
    <w:p w14:paraId="519B3EB3" w14:textId="77777777" w:rsidR="00B36C28" w:rsidRPr="008E63BB" w:rsidRDefault="00B36C28" w:rsidP="006844D3">
      <w:pPr>
        <w:ind w:firstLine="720"/>
        <w:rPr>
          <w:szCs w:val="26"/>
        </w:rPr>
      </w:pPr>
    </w:p>
    <w:p w14:paraId="519B3EB4" w14:textId="77777777" w:rsidR="006844D3" w:rsidRPr="008E63BB" w:rsidRDefault="006844D3" w:rsidP="006844D3">
      <w:pPr>
        <w:ind w:firstLine="720"/>
        <w:rPr>
          <w:szCs w:val="26"/>
        </w:rPr>
      </w:pPr>
      <w:r w:rsidRPr="008E63BB">
        <w:rPr>
          <w:szCs w:val="26"/>
        </w:rPr>
        <w:t xml:space="preserve">Qua so sánh đất xây dựng đô thị theo QH </w:t>
      </w:r>
      <w:r w:rsidRPr="008E63BB">
        <w:rPr>
          <w:rFonts w:eastAsia="Times New Roman"/>
          <w:szCs w:val="26"/>
        </w:rPr>
        <w:t>được phê duyệt 2011 là 4.100ha thực tế theo thống kê kiểm kê đất đến 31/12/2019 là 2.262ha và dự báo theo QH lập năm 2019 là 3.</w:t>
      </w:r>
      <w:r w:rsidR="00CA0231" w:rsidRPr="008E63BB">
        <w:rPr>
          <w:rFonts w:eastAsia="Times New Roman"/>
          <w:szCs w:val="26"/>
        </w:rPr>
        <w:t>973</w:t>
      </w:r>
      <w:r w:rsidRPr="008E63BB">
        <w:rPr>
          <w:rFonts w:eastAsia="Times New Roman"/>
          <w:szCs w:val="26"/>
        </w:rPr>
        <w:t>ha; cho thấy theo QH được phê duyệt 2011 đưa ra con số quá cao không khai thác được triệt để quỹ đất xây dựng đô thị dẫn đến đô thị kém tính hấp dẫn, không thúc đấy được nền kinh tế địa phương.</w:t>
      </w:r>
    </w:p>
    <w:p w14:paraId="519B3EB5" w14:textId="77777777" w:rsidR="001C7C9C" w:rsidRPr="008E63BB" w:rsidRDefault="001C7C9C" w:rsidP="0065184D">
      <w:pPr>
        <w:pStyle w:val="Heading2"/>
        <w:spacing w:before="0" w:after="0"/>
        <w:rPr>
          <w:kern w:val="32"/>
          <w:lang w:val="vi-VN"/>
        </w:rPr>
      </w:pPr>
      <w:bookmarkStart w:id="511" w:name="_Toc47524732"/>
      <w:r w:rsidRPr="008E63BB">
        <w:rPr>
          <w:kern w:val="32"/>
        </w:rPr>
        <w:t>7</w:t>
      </w:r>
      <w:r w:rsidRPr="008E63BB">
        <w:rPr>
          <w:kern w:val="32"/>
          <w:lang w:val="vi-VN"/>
        </w:rPr>
        <w:t>.</w:t>
      </w:r>
      <w:r w:rsidRPr="008E63BB">
        <w:rPr>
          <w:kern w:val="32"/>
        </w:rPr>
        <w:t>3</w:t>
      </w:r>
      <w:r w:rsidRPr="008E63BB">
        <w:rPr>
          <w:kern w:val="32"/>
          <w:lang w:val="vi-VN"/>
        </w:rPr>
        <w:t>. Quy hoạch hạ tầng kỹ thuật</w:t>
      </w:r>
      <w:bookmarkEnd w:id="511"/>
    </w:p>
    <w:p w14:paraId="519B3EB6" w14:textId="77777777" w:rsidR="00861A49" w:rsidRPr="008E63BB" w:rsidRDefault="00861A49" w:rsidP="0065184D">
      <w:pPr>
        <w:pStyle w:val="Heading3"/>
        <w:rPr>
          <w:lang w:val="vi-VN"/>
        </w:rPr>
      </w:pPr>
      <w:bookmarkStart w:id="512" w:name="_Toc345538413"/>
      <w:bookmarkStart w:id="513" w:name="_Toc14778302"/>
      <w:bookmarkStart w:id="514" w:name="_Toc47524733"/>
      <w:r w:rsidRPr="008E63BB">
        <w:rPr>
          <w:lang w:val="vi-VN"/>
        </w:rPr>
        <w:t>7.3.1. Giao thông</w:t>
      </w:r>
      <w:bookmarkEnd w:id="512"/>
      <w:bookmarkEnd w:id="513"/>
      <w:bookmarkEnd w:id="514"/>
    </w:p>
    <w:p w14:paraId="519B3EB7" w14:textId="77777777" w:rsidR="005A60DF" w:rsidRPr="008E63BB" w:rsidRDefault="005A60DF" w:rsidP="0065184D">
      <w:pPr>
        <w:ind w:firstLine="720"/>
        <w:rPr>
          <w:bCs/>
          <w:szCs w:val="26"/>
          <w:lang w:val="de-DE"/>
        </w:rPr>
      </w:pPr>
      <w:bookmarkStart w:id="515" w:name="_Toc345538414"/>
      <w:bookmarkStart w:id="516" w:name="_Toc14778303"/>
      <w:r w:rsidRPr="008E63BB">
        <w:rPr>
          <w:bCs/>
          <w:szCs w:val="26"/>
          <w:lang w:val="de-DE"/>
        </w:rPr>
        <w:t xml:space="preserve">- Tiếp tục nâng cấp, cải tạo các tuyến đường đối ngoại hướng tâm (QL 10, QL21, QL 38B) </w:t>
      </w:r>
    </w:p>
    <w:p w14:paraId="519B3EB8" w14:textId="77777777" w:rsidR="005A60DF" w:rsidRPr="008E63BB" w:rsidRDefault="005A60DF" w:rsidP="0065184D">
      <w:pPr>
        <w:ind w:firstLine="720"/>
        <w:rPr>
          <w:bCs/>
          <w:szCs w:val="26"/>
          <w:lang w:val="de-DE"/>
        </w:rPr>
      </w:pPr>
      <w:r w:rsidRPr="008E63BB">
        <w:rPr>
          <w:bCs/>
          <w:szCs w:val="26"/>
          <w:lang w:val="de-DE"/>
        </w:rPr>
        <w:t>- Nghiên cứu xây dựng đường vành đai 2 đoạn từ nút giao cầu Tân Phong – Quốc lộ 10 đến nút giao QL 21, tiêu chuẩn đường cấp III đồng bằng, đảm bảo hành lang dự trữ để nâng cấp, mở rộng trong tương lai; nghiên cứu xây dựng nút giao thông khác mức  tại điểm giao cắt QL10 giao cầu Tân Phong nối lên tuyến vành đai 2 mới</w:t>
      </w:r>
    </w:p>
    <w:p w14:paraId="519B3EB9" w14:textId="77777777" w:rsidR="005A60DF" w:rsidRPr="008E63BB" w:rsidRDefault="005A60DF" w:rsidP="0065184D">
      <w:pPr>
        <w:ind w:firstLine="720"/>
        <w:rPr>
          <w:bCs/>
          <w:szCs w:val="26"/>
          <w:lang w:val="de-DE"/>
        </w:rPr>
      </w:pPr>
      <w:r w:rsidRPr="008E63BB">
        <w:rPr>
          <w:bCs/>
          <w:szCs w:val="26"/>
          <w:lang w:val="de-DE"/>
        </w:rPr>
        <w:t>- Xây dựng trục đường chính khu vực phía Tây, nối khu vực cửa ngõ (giao cắt đường vành đai 2) với khu vực trung tâm thành phố (Phường Lộc Vượng)</w:t>
      </w:r>
    </w:p>
    <w:p w14:paraId="519B3EBA" w14:textId="77777777" w:rsidR="005A60DF" w:rsidRPr="008E63BB" w:rsidRDefault="005A60DF" w:rsidP="0065184D">
      <w:pPr>
        <w:ind w:firstLine="720"/>
        <w:rPr>
          <w:bCs/>
          <w:szCs w:val="26"/>
          <w:lang w:val="de-DE"/>
        </w:rPr>
      </w:pPr>
      <w:r w:rsidRPr="008E63BB">
        <w:rPr>
          <w:bCs/>
          <w:szCs w:val="26"/>
          <w:lang w:val="de-DE"/>
        </w:rPr>
        <w:t xml:space="preserve">- Xây dựng các trục đường chính khu vực phát triển mới phía Tây theo hướng song song và vương góc với Đại lộ Thiên Trường và QL 21 </w:t>
      </w:r>
    </w:p>
    <w:p w14:paraId="519B3EBB" w14:textId="77777777" w:rsidR="005A60DF" w:rsidRPr="008E63BB" w:rsidRDefault="005A60DF" w:rsidP="0065184D">
      <w:pPr>
        <w:ind w:firstLine="720"/>
        <w:rPr>
          <w:bCs/>
          <w:szCs w:val="26"/>
          <w:lang w:val="de-DE"/>
        </w:rPr>
      </w:pPr>
      <w:r w:rsidRPr="008E63BB">
        <w:rPr>
          <w:bCs/>
          <w:szCs w:val="26"/>
          <w:lang w:val="de-DE"/>
        </w:rPr>
        <w:t>- Tiếp tục xây dựng hệ thống đường trục chính khu vực Mỹ Trung, Lộc Hạ, Lộc Vượng, Lộc Hòa; khu vực phía Nam sông Đào (Phường Cửa Nam, xã Nam Phong)</w:t>
      </w:r>
    </w:p>
    <w:p w14:paraId="519B3EBC" w14:textId="77777777" w:rsidR="005A60DF" w:rsidRPr="008E63BB" w:rsidRDefault="005A60DF" w:rsidP="0065184D">
      <w:pPr>
        <w:ind w:firstLine="720"/>
        <w:rPr>
          <w:bCs/>
          <w:szCs w:val="26"/>
          <w:lang w:val="de-DE"/>
        </w:rPr>
      </w:pPr>
      <w:r w:rsidRPr="008E63BB">
        <w:rPr>
          <w:bCs/>
          <w:szCs w:val="26"/>
          <w:lang w:val="de-DE"/>
        </w:rPr>
        <w:t>- Cải tạo một số nút giao thông quan trọng đảm bảo khả năng lưu thông (Trần Hưng Đạo – Trường Chinh; Giải Phóng – Điện Biên; Trần Huy Liệu - Giải Phóng).</w:t>
      </w:r>
    </w:p>
    <w:p w14:paraId="519B3EBD" w14:textId="77777777" w:rsidR="005A60DF" w:rsidRPr="008E63BB" w:rsidRDefault="005A60DF" w:rsidP="0065184D">
      <w:pPr>
        <w:ind w:firstLine="720"/>
        <w:rPr>
          <w:bCs/>
          <w:szCs w:val="26"/>
          <w:lang w:val="de-DE"/>
        </w:rPr>
      </w:pPr>
      <w:r w:rsidRPr="008E63BB">
        <w:rPr>
          <w:bCs/>
          <w:szCs w:val="26"/>
          <w:lang w:val="de-DE"/>
        </w:rPr>
        <w:t>- Nghiên cứu từng bước di dời bến xe phía Bắc ra khu vực cửa ngõ phía Tây (nút giao đường vành đai 2 &amp; QL 21B)</w:t>
      </w:r>
    </w:p>
    <w:p w14:paraId="519B3EBE" w14:textId="77777777" w:rsidR="005A60DF" w:rsidRPr="008E63BB" w:rsidRDefault="005A60DF" w:rsidP="0065184D">
      <w:pPr>
        <w:ind w:firstLine="720"/>
        <w:rPr>
          <w:bCs/>
          <w:szCs w:val="26"/>
          <w:lang w:val="de-DE"/>
        </w:rPr>
      </w:pPr>
      <w:r w:rsidRPr="008E63BB">
        <w:rPr>
          <w:bCs/>
          <w:szCs w:val="26"/>
          <w:lang w:val="de-DE"/>
        </w:rPr>
        <w:t>- Nghiên cứu xây dựng cầu đường bộ nối đường Trần Nhật Duật với khu vực phát triển mới phía Nam; khôi phục cầu đường bộ tại vị trí cầu treo cũ.</w:t>
      </w:r>
    </w:p>
    <w:p w14:paraId="519B3EBF" w14:textId="77777777" w:rsidR="00110330" w:rsidRPr="008E63BB" w:rsidRDefault="00110330" w:rsidP="00110330">
      <w:pPr>
        <w:ind w:firstLine="720"/>
        <w:rPr>
          <w:bCs/>
          <w:szCs w:val="26"/>
          <w:lang w:val="de-DE"/>
        </w:rPr>
      </w:pPr>
      <w:r w:rsidRPr="008E63BB">
        <w:rPr>
          <w:bCs/>
          <w:szCs w:val="26"/>
          <w:lang w:val="de-DE"/>
        </w:rPr>
        <w:t xml:space="preserve">- Xây dựng bãi đỗ xe tại một số khu vực phát triển tập trung mới (công trình công cộng, thương mại, dịch vụ; ga đường sắt; chợ đầu mối...) </w:t>
      </w:r>
    </w:p>
    <w:p w14:paraId="519B3EC0" w14:textId="77777777" w:rsidR="005A60DF" w:rsidRPr="008E63BB" w:rsidRDefault="00110330" w:rsidP="00110330">
      <w:pPr>
        <w:ind w:firstLine="720"/>
        <w:rPr>
          <w:bCs/>
          <w:szCs w:val="26"/>
          <w:lang w:val="de-DE"/>
        </w:rPr>
      </w:pPr>
      <w:r w:rsidRPr="008E63BB">
        <w:rPr>
          <w:bCs/>
          <w:szCs w:val="26"/>
          <w:lang w:val="de-DE"/>
        </w:rPr>
        <w:lastRenderedPageBreak/>
        <w:t>- Nghiên cứu thí điểm tuyến BRT kết nối khu vực cửa ngõ mới phía Tây đi khu vực trung tâm thành phố. Ngoài ra, nghiên cứu sử dụng phương tiện xe buýt sạch (xe điện hoặc CNG) trên một số tuyến trong khu vực nội đô.</w:t>
      </w:r>
    </w:p>
    <w:p w14:paraId="519B3EC1" w14:textId="77777777" w:rsidR="00861A49" w:rsidRPr="008E63BB" w:rsidRDefault="00861A49" w:rsidP="0065184D">
      <w:pPr>
        <w:pStyle w:val="Heading3"/>
        <w:rPr>
          <w:lang w:val="en-US"/>
        </w:rPr>
      </w:pPr>
      <w:bookmarkStart w:id="517" w:name="_Toc47524734"/>
      <w:r w:rsidRPr="008E63BB">
        <w:rPr>
          <w:lang w:val="en-US"/>
        </w:rPr>
        <w:t>7.3.2. Chuẩn bị kỹ thuật:</w:t>
      </w:r>
      <w:bookmarkEnd w:id="515"/>
      <w:bookmarkEnd w:id="516"/>
      <w:bookmarkEnd w:id="517"/>
    </w:p>
    <w:p w14:paraId="519B3EC2" w14:textId="77777777" w:rsidR="005D5FE4" w:rsidRPr="008E63BB" w:rsidRDefault="005D5FE4" w:rsidP="00F06125">
      <w:pPr>
        <w:pStyle w:val="ListParagraph"/>
        <w:numPr>
          <w:ilvl w:val="0"/>
          <w:numId w:val="34"/>
        </w:numPr>
        <w:tabs>
          <w:tab w:val="clear" w:pos="720"/>
          <w:tab w:val="num" w:pos="0"/>
          <w:tab w:val="left" w:pos="851"/>
        </w:tabs>
        <w:spacing w:after="0"/>
        <w:ind w:left="0" w:firstLine="709"/>
        <w:rPr>
          <w:sz w:val="26"/>
          <w:szCs w:val="26"/>
        </w:rPr>
      </w:pPr>
      <w:bookmarkStart w:id="518" w:name="_Toc345504132"/>
      <w:r w:rsidRPr="008E63BB">
        <w:rPr>
          <w:sz w:val="26"/>
          <w:szCs w:val="26"/>
          <w:lang w:val="en-US"/>
        </w:rPr>
        <w:t>Quy hoạch xây dựng đợt đầu</w:t>
      </w:r>
      <w:r w:rsidRPr="008E63BB">
        <w:rPr>
          <w:sz w:val="26"/>
          <w:szCs w:val="26"/>
        </w:rPr>
        <w:t xml:space="preserve">,công tác chuẩn bị kỹ thuật tập trung chủ yếu cho việc chuẩn bị mặt bằng xây dựng và hệ thống thoát nước mưa </w:t>
      </w:r>
      <w:r w:rsidRPr="008E63BB">
        <w:rPr>
          <w:sz w:val="26"/>
          <w:szCs w:val="26"/>
          <w:lang w:val="en-US"/>
        </w:rPr>
        <w:t>trong ranh giới quy hoạch xây dựng đợt đầu đã được xác định: khu trung tâm đô thị hiện hữu, khu phát triển đan xen phía nam quốc lộ 10, khu phát triển đô thị đại học phía Tây Bắc quốc lộ 10, Khu trung tâm cửa ngõ phía Tây đường vành đai 1, khu phát triển đô thị mới Nam sông Đào.</w:t>
      </w:r>
    </w:p>
    <w:p w14:paraId="519B3EC3" w14:textId="77777777" w:rsidR="005D5FE4" w:rsidRPr="008E63BB" w:rsidRDefault="005D5FE4" w:rsidP="00F06125">
      <w:pPr>
        <w:pStyle w:val="ListParagraph"/>
        <w:numPr>
          <w:ilvl w:val="0"/>
          <w:numId w:val="34"/>
        </w:numPr>
        <w:tabs>
          <w:tab w:val="clear" w:pos="720"/>
          <w:tab w:val="num" w:pos="0"/>
          <w:tab w:val="left" w:pos="851"/>
        </w:tabs>
        <w:spacing w:after="0"/>
        <w:ind w:left="0" w:firstLine="709"/>
        <w:rPr>
          <w:sz w:val="26"/>
          <w:szCs w:val="26"/>
        </w:rPr>
      </w:pPr>
      <w:r w:rsidRPr="008E63BB">
        <w:rPr>
          <w:sz w:val="26"/>
          <w:szCs w:val="26"/>
        </w:rPr>
        <w:t>Các dự án ưu tiên đầu tư:</w:t>
      </w:r>
    </w:p>
    <w:p w14:paraId="519B3EC4" w14:textId="77777777" w:rsidR="005D5FE4" w:rsidRPr="008E63BB" w:rsidRDefault="005D5FE4" w:rsidP="0065184D">
      <w:pPr>
        <w:pStyle w:val="ListParagraph"/>
        <w:tabs>
          <w:tab w:val="left" w:pos="851"/>
        </w:tabs>
        <w:spacing w:after="0"/>
        <w:ind w:left="709"/>
        <w:rPr>
          <w:sz w:val="26"/>
          <w:szCs w:val="26"/>
        </w:rPr>
      </w:pPr>
      <w:r w:rsidRPr="008E63BB">
        <w:rPr>
          <w:sz w:val="26"/>
          <w:szCs w:val="26"/>
        </w:rPr>
        <w:t>+ Xây dựng hồ điều hòa trước trạm bơm Kênh Gia đảm bảo khai thác hiệu quả công suất trạm bơm.</w:t>
      </w:r>
    </w:p>
    <w:p w14:paraId="519B3EC5" w14:textId="77777777" w:rsidR="005D5FE4" w:rsidRPr="008E63BB" w:rsidRDefault="005D5FE4" w:rsidP="0065184D">
      <w:pPr>
        <w:pStyle w:val="ListParagraph"/>
        <w:tabs>
          <w:tab w:val="left" w:pos="851"/>
        </w:tabs>
        <w:spacing w:after="0"/>
        <w:ind w:left="709"/>
        <w:rPr>
          <w:sz w:val="26"/>
          <w:szCs w:val="26"/>
        </w:rPr>
      </w:pPr>
      <w:r w:rsidRPr="008E63BB">
        <w:rPr>
          <w:sz w:val="26"/>
          <w:szCs w:val="26"/>
        </w:rPr>
        <w:t>+ Xây mới trạm bơm Cống Mý (xã Mỹ Trung).</w:t>
      </w:r>
    </w:p>
    <w:p w14:paraId="519B3EC6" w14:textId="77777777" w:rsidR="005D5FE4" w:rsidRPr="008E63BB" w:rsidRDefault="005D5FE4" w:rsidP="0065184D">
      <w:pPr>
        <w:pStyle w:val="ListParagraph"/>
        <w:tabs>
          <w:tab w:val="left" w:pos="851"/>
        </w:tabs>
        <w:spacing w:after="0"/>
        <w:ind w:left="0" w:firstLine="709"/>
        <w:rPr>
          <w:sz w:val="26"/>
          <w:szCs w:val="26"/>
        </w:rPr>
      </w:pPr>
      <w:r w:rsidRPr="008E63BB">
        <w:rPr>
          <w:sz w:val="26"/>
          <w:szCs w:val="26"/>
        </w:rPr>
        <w:t>+ Cải tạo, nạo vét, tăng cường hố ga, thay thế hệ thống cống đã xuống cấp, tiết diện bé không đáp ứng đủ lưu lượng thoát nước tại khu vực trung tâm đô thị hiện hữu. Đặc biệt là hệ thống thoát nước trên các tuyến phố Máy Tơ, Phan Đình Phùng, Điện Biên, Hàn Thuyên.</w:t>
      </w:r>
    </w:p>
    <w:p w14:paraId="519B3EC7" w14:textId="77777777" w:rsidR="005D5FE4" w:rsidRPr="008E63BB" w:rsidRDefault="005D5FE4" w:rsidP="0065184D">
      <w:pPr>
        <w:pStyle w:val="ListParagraph"/>
        <w:tabs>
          <w:tab w:val="left" w:pos="851"/>
        </w:tabs>
        <w:spacing w:after="0"/>
        <w:ind w:left="0" w:firstLine="709"/>
        <w:rPr>
          <w:sz w:val="26"/>
          <w:szCs w:val="26"/>
        </w:rPr>
      </w:pPr>
      <w:r w:rsidRPr="008E63BB">
        <w:rPr>
          <w:sz w:val="26"/>
          <w:szCs w:val="26"/>
        </w:rPr>
        <w:t>+ Xử lý ngập úng tại các khu vực: Trần Đăng Ninh ( khu chợ 5 tầng), Hàn Thuyên ( ngã tư giao Hùng Vương), Hàng Thao, Máy Tơ, Tô Hiệu, chợ Cửa Trường, Văn Cao, Hai Bà Trưng – Hàng Cau – Phan Đình Phùng, Hàng Cấp, Nguyễn Du, Quang Trung, Trần Hưng Đạo, khu đô thị Hòa Vượng…</w:t>
      </w:r>
    </w:p>
    <w:p w14:paraId="519B3EC8" w14:textId="77777777" w:rsidR="005D5FE4" w:rsidRPr="008E63BB" w:rsidRDefault="005D5FE4" w:rsidP="0065184D">
      <w:pPr>
        <w:pStyle w:val="ListParagraph"/>
        <w:tabs>
          <w:tab w:val="left" w:pos="851"/>
        </w:tabs>
        <w:spacing w:after="0"/>
        <w:ind w:left="709"/>
        <w:rPr>
          <w:sz w:val="26"/>
          <w:szCs w:val="26"/>
        </w:rPr>
      </w:pPr>
      <w:r w:rsidRPr="008E63BB">
        <w:rPr>
          <w:sz w:val="26"/>
          <w:szCs w:val="26"/>
        </w:rPr>
        <w:t>+ Kè gia cố mái kênh tiêu: T5, T3, T3-11, T3-19.</w:t>
      </w:r>
    </w:p>
    <w:p w14:paraId="519B3EC9" w14:textId="77777777" w:rsidR="00861A49" w:rsidRPr="008E63BB" w:rsidRDefault="005D5FE4" w:rsidP="0065184D">
      <w:pPr>
        <w:pStyle w:val="ListParagraph"/>
        <w:tabs>
          <w:tab w:val="left" w:pos="851"/>
        </w:tabs>
        <w:spacing w:after="0"/>
        <w:ind w:left="709"/>
        <w:rPr>
          <w:sz w:val="26"/>
          <w:szCs w:val="26"/>
        </w:rPr>
      </w:pPr>
      <w:r w:rsidRPr="008E63BB">
        <w:rPr>
          <w:sz w:val="26"/>
          <w:szCs w:val="26"/>
        </w:rPr>
        <w:t>+ Xây mới hệ thống kênh tiêu, hồ điều hòa.</w:t>
      </w:r>
    </w:p>
    <w:p w14:paraId="519B3ECA" w14:textId="77777777" w:rsidR="00155773" w:rsidRPr="008E63BB" w:rsidRDefault="00155773" w:rsidP="0065184D">
      <w:pPr>
        <w:pStyle w:val="ListParagraph"/>
        <w:tabs>
          <w:tab w:val="left" w:pos="851"/>
        </w:tabs>
        <w:spacing w:after="0"/>
        <w:ind w:left="709"/>
        <w:rPr>
          <w:sz w:val="26"/>
          <w:szCs w:val="26"/>
        </w:rPr>
      </w:pPr>
    </w:p>
    <w:tbl>
      <w:tblPr>
        <w:tblW w:w="9829" w:type="dxa"/>
        <w:jc w:val="center"/>
        <w:tblLook w:val="04A0" w:firstRow="1" w:lastRow="0" w:firstColumn="1" w:lastColumn="0" w:noHBand="0" w:noVBand="1"/>
      </w:tblPr>
      <w:tblGrid>
        <w:gridCol w:w="748"/>
        <w:gridCol w:w="3948"/>
        <w:gridCol w:w="818"/>
        <w:gridCol w:w="1336"/>
        <w:gridCol w:w="1208"/>
        <w:gridCol w:w="1771"/>
      </w:tblGrid>
      <w:tr w:rsidR="008D5BFE" w:rsidRPr="008E63BB" w14:paraId="519B3ED1" w14:textId="77777777" w:rsidTr="00D37901">
        <w:trPr>
          <w:trHeight w:val="299"/>
          <w:tblHeader/>
          <w:jc w:val="center"/>
        </w:trPr>
        <w:tc>
          <w:tcPr>
            <w:tcW w:w="7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ECB" w14:textId="77777777" w:rsidR="00155773" w:rsidRPr="008E63BB" w:rsidRDefault="00155773" w:rsidP="005C5BF9">
            <w:pPr>
              <w:jc w:val="center"/>
              <w:rPr>
                <w:rFonts w:eastAsia="Times New Roman"/>
                <w:b/>
                <w:bCs/>
                <w:szCs w:val="26"/>
              </w:rPr>
            </w:pPr>
            <w:r w:rsidRPr="008E63BB">
              <w:rPr>
                <w:rFonts w:eastAsia="Times New Roman"/>
                <w:b/>
                <w:bCs/>
                <w:szCs w:val="26"/>
              </w:rPr>
              <w:t>TT</w:t>
            </w:r>
          </w:p>
        </w:tc>
        <w:tc>
          <w:tcPr>
            <w:tcW w:w="39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ECC" w14:textId="77777777" w:rsidR="00155773" w:rsidRPr="008E63BB" w:rsidRDefault="00155773" w:rsidP="005C5BF9">
            <w:pPr>
              <w:jc w:val="center"/>
              <w:rPr>
                <w:rFonts w:eastAsia="Times New Roman"/>
                <w:b/>
                <w:bCs/>
                <w:szCs w:val="26"/>
              </w:rPr>
            </w:pPr>
            <w:r w:rsidRPr="008E63BB">
              <w:rPr>
                <w:rFonts w:eastAsia="Times New Roman"/>
                <w:b/>
                <w:bCs/>
                <w:szCs w:val="26"/>
              </w:rPr>
              <w:t>Hạng Mục</w:t>
            </w:r>
          </w:p>
        </w:tc>
        <w:tc>
          <w:tcPr>
            <w:tcW w:w="8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ECD" w14:textId="77777777" w:rsidR="00155773" w:rsidRPr="008E63BB" w:rsidRDefault="00155773" w:rsidP="005C5BF9">
            <w:pPr>
              <w:jc w:val="center"/>
              <w:rPr>
                <w:rFonts w:eastAsia="Times New Roman"/>
                <w:b/>
                <w:bCs/>
                <w:szCs w:val="26"/>
              </w:rPr>
            </w:pPr>
            <w:r w:rsidRPr="008E63BB">
              <w:rPr>
                <w:rFonts w:eastAsia="Times New Roman"/>
                <w:b/>
                <w:bCs/>
                <w:szCs w:val="26"/>
              </w:rPr>
              <w:t>Đơn vị</w:t>
            </w:r>
          </w:p>
        </w:tc>
        <w:tc>
          <w:tcPr>
            <w:tcW w:w="1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ECE" w14:textId="77777777" w:rsidR="00155773" w:rsidRPr="008E63BB" w:rsidRDefault="00155773" w:rsidP="005C5BF9">
            <w:pPr>
              <w:jc w:val="center"/>
              <w:rPr>
                <w:rFonts w:eastAsia="Times New Roman"/>
                <w:b/>
                <w:bCs/>
                <w:szCs w:val="26"/>
              </w:rPr>
            </w:pPr>
            <w:r w:rsidRPr="008E63BB">
              <w:rPr>
                <w:rFonts w:eastAsia="Times New Roman"/>
                <w:b/>
                <w:bCs/>
                <w:szCs w:val="26"/>
              </w:rPr>
              <w:t>Khối lượng</w:t>
            </w:r>
          </w:p>
        </w:tc>
        <w:tc>
          <w:tcPr>
            <w:tcW w:w="12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ECF" w14:textId="77777777" w:rsidR="00155773" w:rsidRPr="008E63BB" w:rsidRDefault="00155773" w:rsidP="005C5BF9">
            <w:pPr>
              <w:jc w:val="center"/>
              <w:rPr>
                <w:rFonts w:eastAsia="Times New Roman"/>
                <w:b/>
                <w:bCs/>
                <w:szCs w:val="26"/>
              </w:rPr>
            </w:pPr>
            <w:r w:rsidRPr="008E63BB">
              <w:rPr>
                <w:rFonts w:eastAsia="Times New Roman"/>
                <w:b/>
                <w:bCs/>
                <w:szCs w:val="26"/>
              </w:rPr>
              <w:t>Đơn giá</w:t>
            </w:r>
            <w:r w:rsidRPr="008E63BB">
              <w:rPr>
                <w:rFonts w:eastAsia="Times New Roman"/>
                <w:b/>
                <w:bCs/>
                <w:szCs w:val="26"/>
              </w:rPr>
              <w:br/>
              <w:t xml:space="preserve"> (tr. đ)</w:t>
            </w:r>
          </w:p>
        </w:tc>
        <w:tc>
          <w:tcPr>
            <w:tcW w:w="17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3ED0" w14:textId="77777777" w:rsidR="00155773" w:rsidRPr="008E63BB" w:rsidRDefault="00155773" w:rsidP="005C5BF9">
            <w:pPr>
              <w:jc w:val="center"/>
              <w:rPr>
                <w:rFonts w:eastAsia="Times New Roman"/>
                <w:b/>
                <w:bCs/>
                <w:szCs w:val="26"/>
              </w:rPr>
            </w:pPr>
            <w:r w:rsidRPr="008E63BB">
              <w:rPr>
                <w:rFonts w:eastAsia="Times New Roman"/>
                <w:b/>
                <w:bCs/>
                <w:szCs w:val="26"/>
              </w:rPr>
              <w:t xml:space="preserve">Thành tiền </w:t>
            </w:r>
            <w:r w:rsidRPr="008E63BB">
              <w:rPr>
                <w:rFonts w:eastAsia="Times New Roman"/>
                <w:b/>
                <w:bCs/>
                <w:szCs w:val="26"/>
              </w:rPr>
              <w:br/>
              <w:t xml:space="preserve"> (tr. đ)</w:t>
            </w:r>
          </w:p>
        </w:tc>
      </w:tr>
      <w:tr w:rsidR="008D5BFE" w:rsidRPr="008E63BB" w14:paraId="519B3ED8" w14:textId="77777777" w:rsidTr="00D37901">
        <w:trPr>
          <w:trHeight w:val="299"/>
          <w:tblHeader/>
          <w:jc w:val="center"/>
        </w:trPr>
        <w:tc>
          <w:tcPr>
            <w:tcW w:w="748" w:type="dxa"/>
            <w:vMerge/>
            <w:tcBorders>
              <w:top w:val="single" w:sz="4" w:space="0" w:color="auto"/>
              <w:left w:val="single" w:sz="4" w:space="0" w:color="auto"/>
              <w:bottom w:val="single" w:sz="4" w:space="0" w:color="auto"/>
              <w:right w:val="single" w:sz="4" w:space="0" w:color="auto"/>
            </w:tcBorders>
            <w:vAlign w:val="center"/>
            <w:hideMark/>
          </w:tcPr>
          <w:p w14:paraId="519B3ED2" w14:textId="77777777" w:rsidR="00155773" w:rsidRPr="008E63BB" w:rsidRDefault="00155773" w:rsidP="005C5BF9">
            <w:pPr>
              <w:rPr>
                <w:rFonts w:eastAsia="Times New Roman"/>
                <w:b/>
                <w:bCs/>
                <w:szCs w:val="26"/>
              </w:rPr>
            </w:pPr>
          </w:p>
        </w:tc>
        <w:tc>
          <w:tcPr>
            <w:tcW w:w="3948" w:type="dxa"/>
            <w:vMerge/>
            <w:tcBorders>
              <w:top w:val="single" w:sz="4" w:space="0" w:color="auto"/>
              <w:left w:val="single" w:sz="4" w:space="0" w:color="auto"/>
              <w:bottom w:val="single" w:sz="4" w:space="0" w:color="auto"/>
              <w:right w:val="single" w:sz="4" w:space="0" w:color="auto"/>
            </w:tcBorders>
            <w:vAlign w:val="center"/>
            <w:hideMark/>
          </w:tcPr>
          <w:p w14:paraId="519B3ED3" w14:textId="77777777" w:rsidR="00155773" w:rsidRPr="008E63BB" w:rsidRDefault="00155773" w:rsidP="005C5BF9">
            <w:pPr>
              <w:rPr>
                <w:rFonts w:eastAsia="Times New Roman"/>
                <w:b/>
                <w:bCs/>
                <w:szCs w:val="26"/>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519B3ED4" w14:textId="77777777" w:rsidR="00155773" w:rsidRPr="008E63BB" w:rsidRDefault="00155773" w:rsidP="005C5BF9">
            <w:pPr>
              <w:rPr>
                <w:rFonts w:eastAsia="Times New Roman"/>
                <w:b/>
                <w:bCs/>
                <w:szCs w:val="26"/>
              </w:rPr>
            </w:pPr>
          </w:p>
        </w:tc>
        <w:tc>
          <w:tcPr>
            <w:tcW w:w="1336" w:type="dxa"/>
            <w:vMerge/>
            <w:tcBorders>
              <w:top w:val="single" w:sz="4" w:space="0" w:color="auto"/>
              <w:left w:val="single" w:sz="4" w:space="0" w:color="auto"/>
              <w:bottom w:val="single" w:sz="4" w:space="0" w:color="auto"/>
              <w:right w:val="single" w:sz="4" w:space="0" w:color="auto"/>
            </w:tcBorders>
            <w:vAlign w:val="center"/>
            <w:hideMark/>
          </w:tcPr>
          <w:p w14:paraId="519B3ED5" w14:textId="77777777" w:rsidR="00155773" w:rsidRPr="008E63BB" w:rsidRDefault="00155773" w:rsidP="005C5BF9">
            <w:pPr>
              <w:rPr>
                <w:rFonts w:eastAsia="Times New Roman"/>
                <w:b/>
                <w:bCs/>
                <w:szCs w:val="26"/>
              </w:rPr>
            </w:pPr>
          </w:p>
        </w:tc>
        <w:tc>
          <w:tcPr>
            <w:tcW w:w="1208" w:type="dxa"/>
            <w:vMerge/>
            <w:tcBorders>
              <w:top w:val="single" w:sz="4" w:space="0" w:color="auto"/>
              <w:left w:val="single" w:sz="4" w:space="0" w:color="auto"/>
              <w:bottom w:val="single" w:sz="4" w:space="0" w:color="auto"/>
              <w:right w:val="single" w:sz="4" w:space="0" w:color="auto"/>
            </w:tcBorders>
            <w:vAlign w:val="center"/>
            <w:hideMark/>
          </w:tcPr>
          <w:p w14:paraId="519B3ED6" w14:textId="77777777" w:rsidR="00155773" w:rsidRPr="008E63BB" w:rsidRDefault="00155773" w:rsidP="005C5BF9">
            <w:pPr>
              <w:rPr>
                <w:rFonts w:eastAsia="Times New Roman"/>
                <w:b/>
                <w:bCs/>
                <w:szCs w:val="26"/>
              </w:rPr>
            </w:pPr>
          </w:p>
        </w:tc>
        <w:tc>
          <w:tcPr>
            <w:tcW w:w="1771" w:type="dxa"/>
            <w:vMerge/>
            <w:tcBorders>
              <w:top w:val="single" w:sz="4" w:space="0" w:color="auto"/>
              <w:left w:val="single" w:sz="4" w:space="0" w:color="auto"/>
              <w:bottom w:val="single" w:sz="4" w:space="0" w:color="auto"/>
              <w:right w:val="single" w:sz="4" w:space="0" w:color="auto"/>
            </w:tcBorders>
            <w:vAlign w:val="center"/>
            <w:hideMark/>
          </w:tcPr>
          <w:p w14:paraId="519B3ED7" w14:textId="77777777" w:rsidR="00155773" w:rsidRPr="008E63BB" w:rsidRDefault="00155773" w:rsidP="005C5BF9">
            <w:pPr>
              <w:rPr>
                <w:rFonts w:eastAsia="Times New Roman"/>
                <w:b/>
                <w:bCs/>
                <w:szCs w:val="26"/>
              </w:rPr>
            </w:pPr>
          </w:p>
        </w:tc>
      </w:tr>
      <w:tr w:rsidR="008D5BFE" w:rsidRPr="008E63BB" w14:paraId="519B3EDF"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ED9" w14:textId="77777777" w:rsidR="00155773" w:rsidRPr="008E63BB" w:rsidRDefault="00155773" w:rsidP="005C5BF9">
            <w:pPr>
              <w:jc w:val="center"/>
              <w:rPr>
                <w:rFonts w:eastAsia="Times New Roman"/>
                <w:b/>
                <w:bCs/>
                <w:szCs w:val="26"/>
              </w:rPr>
            </w:pPr>
            <w:r w:rsidRPr="008E63BB">
              <w:rPr>
                <w:rFonts w:eastAsia="Times New Roman"/>
                <w:b/>
                <w:bCs/>
                <w:szCs w:val="26"/>
              </w:rPr>
              <w:t>A</w:t>
            </w:r>
          </w:p>
        </w:tc>
        <w:tc>
          <w:tcPr>
            <w:tcW w:w="3948" w:type="dxa"/>
            <w:tcBorders>
              <w:top w:val="nil"/>
              <w:left w:val="nil"/>
              <w:bottom w:val="single" w:sz="4" w:space="0" w:color="auto"/>
              <w:right w:val="single" w:sz="4" w:space="0" w:color="auto"/>
            </w:tcBorders>
            <w:shd w:val="clear" w:color="auto" w:fill="auto"/>
            <w:noWrap/>
            <w:vAlign w:val="center"/>
            <w:hideMark/>
          </w:tcPr>
          <w:p w14:paraId="519B3EDA" w14:textId="77777777" w:rsidR="00155773" w:rsidRPr="008E63BB" w:rsidRDefault="00155773" w:rsidP="005C5BF9">
            <w:pPr>
              <w:jc w:val="center"/>
              <w:rPr>
                <w:rFonts w:eastAsia="Times New Roman"/>
                <w:b/>
                <w:bCs/>
                <w:szCs w:val="26"/>
              </w:rPr>
            </w:pPr>
            <w:r w:rsidRPr="008E63BB">
              <w:rPr>
                <w:rFonts w:eastAsia="Times New Roman"/>
                <w:b/>
                <w:bCs/>
                <w:szCs w:val="26"/>
              </w:rPr>
              <w:t>San Nền</w:t>
            </w:r>
          </w:p>
        </w:tc>
        <w:tc>
          <w:tcPr>
            <w:tcW w:w="818" w:type="dxa"/>
            <w:tcBorders>
              <w:top w:val="nil"/>
              <w:left w:val="nil"/>
              <w:bottom w:val="single" w:sz="4" w:space="0" w:color="auto"/>
              <w:right w:val="single" w:sz="4" w:space="0" w:color="auto"/>
            </w:tcBorders>
            <w:shd w:val="clear" w:color="auto" w:fill="auto"/>
            <w:vAlign w:val="center"/>
            <w:hideMark/>
          </w:tcPr>
          <w:p w14:paraId="519B3EDB" w14:textId="77777777" w:rsidR="00155773" w:rsidRPr="008E63BB" w:rsidRDefault="00155773" w:rsidP="005C5BF9">
            <w:pPr>
              <w:jc w:val="center"/>
              <w:rPr>
                <w:rFonts w:eastAsia="Times New Roman"/>
                <w:szCs w:val="26"/>
              </w:rPr>
            </w:pPr>
            <w:r w:rsidRPr="008E63BB">
              <w:rPr>
                <w:rFonts w:eastAsia="Times New Roman"/>
                <w:szCs w:val="26"/>
              </w:rPr>
              <w:t> </w:t>
            </w:r>
          </w:p>
        </w:tc>
        <w:tc>
          <w:tcPr>
            <w:tcW w:w="1336" w:type="dxa"/>
            <w:tcBorders>
              <w:top w:val="nil"/>
              <w:left w:val="nil"/>
              <w:bottom w:val="single" w:sz="4" w:space="0" w:color="auto"/>
              <w:right w:val="single" w:sz="4" w:space="0" w:color="auto"/>
            </w:tcBorders>
            <w:shd w:val="clear" w:color="auto" w:fill="auto"/>
            <w:noWrap/>
            <w:vAlign w:val="center"/>
            <w:hideMark/>
          </w:tcPr>
          <w:p w14:paraId="519B3EDC" w14:textId="77777777" w:rsidR="00155773" w:rsidRPr="008E63BB" w:rsidRDefault="00155773" w:rsidP="005C5BF9">
            <w:pPr>
              <w:jc w:val="center"/>
              <w:rPr>
                <w:rFonts w:eastAsia="Times New Roman"/>
                <w:szCs w:val="26"/>
              </w:rPr>
            </w:pPr>
            <w:r w:rsidRPr="008E63BB">
              <w:rPr>
                <w:rFonts w:eastAsia="Times New Roman"/>
                <w:szCs w:val="26"/>
              </w:rPr>
              <w:t> </w:t>
            </w:r>
          </w:p>
        </w:tc>
        <w:tc>
          <w:tcPr>
            <w:tcW w:w="1208" w:type="dxa"/>
            <w:tcBorders>
              <w:top w:val="nil"/>
              <w:left w:val="nil"/>
              <w:bottom w:val="single" w:sz="4" w:space="0" w:color="auto"/>
              <w:right w:val="single" w:sz="4" w:space="0" w:color="auto"/>
            </w:tcBorders>
            <w:shd w:val="clear" w:color="auto" w:fill="auto"/>
            <w:noWrap/>
            <w:vAlign w:val="center"/>
            <w:hideMark/>
          </w:tcPr>
          <w:p w14:paraId="519B3EDD"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EDE" w14:textId="77777777" w:rsidR="00155773" w:rsidRPr="008E63BB" w:rsidRDefault="00155773" w:rsidP="005C5BF9">
            <w:pPr>
              <w:jc w:val="center"/>
              <w:rPr>
                <w:rFonts w:eastAsia="Times New Roman"/>
                <w:b/>
                <w:bCs/>
                <w:szCs w:val="26"/>
              </w:rPr>
            </w:pPr>
            <w:r w:rsidRPr="008E63BB">
              <w:rPr>
                <w:rFonts w:eastAsia="Times New Roman"/>
                <w:b/>
                <w:bCs/>
                <w:szCs w:val="26"/>
              </w:rPr>
              <w:t>1,447,600.00</w:t>
            </w:r>
          </w:p>
        </w:tc>
      </w:tr>
      <w:tr w:rsidR="008D5BFE" w:rsidRPr="008E63BB" w14:paraId="519B3EE6" w14:textId="77777777" w:rsidTr="00D37901">
        <w:trPr>
          <w:trHeight w:val="20"/>
          <w:jc w:val="center"/>
        </w:trPr>
        <w:tc>
          <w:tcPr>
            <w:tcW w:w="748" w:type="dxa"/>
            <w:tcBorders>
              <w:top w:val="nil"/>
              <w:left w:val="single" w:sz="4" w:space="0" w:color="auto"/>
              <w:bottom w:val="nil"/>
              <w:right w:val="single" w:sz="4" w:space="0" w:color="auto"/>
            </w:tcBorders>
            <w:shd w:val="clear" w:color="auto" w:fill="auto"/>
            <w:noWrap/>
            <w:vAlign w:val="center"/>
            <w:hideMark/>
          </w:tcPr>
          <w:p w14:paraId="519B3EE0" w14:textId="77777777" w:rsidR="00155773" w:rsidRPr="008E63BB" w:rsidRDefault="00155773" w:rsidP="005C5BF9">
            <w:pPr>
              <w:jc w:val="center"/>
              <w:rPr>
                <w:rFonts w:eastAsia="Times New Roman"/>
                <w:szCs w:val="26"/>
              </w:rPr>
            </w:pPr>
            <w:r w:rsidRPr="008E63BB">
              <w:rPr>
                <w:rFonts w:eastAsia="Times New Roman"/>
                <w:szCs w:val="26"/>
              </w:rPr>
              <w:t>1</w:t>
            </w:r>
          </w:p>
        </w:tc>
        <w:tc>
          <w:tcPr>
            <w:tcW w:w="3948" w:type="dxa"/>
            <w:tcBorders>
              <w:top w:val="nil"/>
              <w:left w:val="nil"/>
              <w:bottom w:val="single" w:sz="4" w:space="0" w:color="auto"/>
              <w:right w:val="single" w:sz="4" w:space="0" w:color="auto"/>
            </w:tcBorders>
            <w:shd w:val="clear" w:color="auto" w:fill="auto"/>
            <w:noWrap/>
            <w:vAlign w:val="center"/>
            <w:hideMark/>
          </w:tcPr>
          <w:p w14:paraId="519B3EE1" w14:textId="77777777" w:rsidR="00155773" w:rsidRPr="008E63BB" w:rsidRDefault="00155773" w:rsidP="005C5BF9">
            <w:pPr>
              <w:rPr>
                <w:rFonts w:eastAsia="Times New Roman"/>
                <w:szCs w:val="26"/>
              </w:rPr>
            </w:pPr>
            <w:r w:rsidRPr="008E63BB">
              <w:rPr>
                <w:rFonts w:eastAsia="Times New Roman"/>
                <w:szCs w:val="26"/>
              </w:rPr>
              <w:t xml:space="preserve">Đắp nền  </w:t>
            </w:r>
          </w:p>
        </w:tc>
        <w:tc>
          <w:tcPr>
            <w:tcW w:w="818" w:type="dxa"/>
            <w:tcBorders>
              <w:top w:val="nil"/>
              <w:left w:val="nil"/>
              <w:bottom w:val="single" w:sz="4" w:space="0" w:color="auto"/>
              <w:right w:val="single" w:sz="4" w:space="0" w:color="auto"/>
            </w:tcBorders>
            <w:shd w:val="clear" w:color="auto" w:fill="auto"/>
            <w:noWrap/>
            <w:vAlign w:val="center"/>
            <w:hideMark/>
          </w:tcPr>
          <w:p w14:paraId="519B3EE2" w14:textId="77777777" w:rsidR="00155773" w:rsidRPr="008E63BB" w:rsidRDefault="00155773" w:rsidP="005C5BF9">
            <w:pPr>
              <w:jc w:val="center"/>
              <w:rPr>
                <w:rFonts w:eastAsia="Times New Roman"/>
                <w:szCs w:val="26"/>
              </w:rPr>
            </w:pPr>
            <w:r w:rsidRPr="008E63BB">
              <w:rPr>
                <w:rFonts w:eastAsia="Times New Roman"/>
                <w:szCs w:val="26"/>
              </w:rPr>
              <w:t>m3</w:t>
            </w:r>
          </w:p>
        </w:tc>
        <w:tc>
          <w:tcPr>
            <w:tcW w:w="1336" w:type="dxa"/>
            <w:tcBorders>
              <w:top w:val="nil"/>
              <w:left w:val="nil"/>
              <w:bottom w:val="nil"/>
              <w:right w:val="nil"/>
            </w:tcBorders>
            <w:shd w:val="clear" w:color="auto" w:fill="auto"/>
            <w:noWrap/>
            <w:vAlign w:val="bottom"/>
            <w:hideMark/>
          </w:tcPr>
          <w:p w14:paraId="519B3EE3" w14:textId="77777777" w:rsidR="00155773" w:rsidRPr="008E63BB" w:rsidRDefault="00155773" w:rsidP="005C5BF9">
            <w:pPr>
              <w:jc w:val="right"/>
              <w:rPr>
                <w:rFonts w:eastAsia="Times New Roman"/>
                <w:sz w:val="28"/>
                <w:szCs w:val="28"/>
              </w:rPr>
            </w:pPr>
            <w:r w:rsidRPr="008E63BB">
              <w:rPr>
                <w:rFonts w:eastAsia="Times New Roman"/>
                <w:sz w:val="28"/>
                <w:szCs w:val="28"/>
              </w:rPr>
              <w:t>20680000</w:t>
            </w:r>
          </w:p>
        </w:tc>
        <w:tc>
          <w:tcPr>
            <w:tcW w:w="1208" w:type="dxa"/>
            <w:tcBorders>
              <w:top w:val="nil"/>
              <w:left w:val="single" w:sz="4" w:space="0" w:color="auto"/>
              <w:bottom w:val="single" w:sz="4" w:space="0" w:color="auto"/>
              <w:right w:val="single" w:sz="4" w:space="0" w:color="auto"/>
            </w:tcBorders>
            <w:shd w:val="clear" w:color="auto" w:fill="auto"/>
            <w:noWrap/>
            <w:vAlign w:val="center"/>
            <w:hideMark/>
          </w:tcPr>
          <w:p w14:paraId="519B3EE4" w14:textId="77777777" w:rsidR="00155773" w:rsidRPr="008E63BB" w:rsidRDefault="00155773" w:rsidP="005C5BF9">
            <w:pPr>
              <w:jc w:val="center"/>
              <w:rPr>
                <w:rFonts w:eastAsia="Times New Roman"/>
                <w:szCs w:val="26"/>
              </w:rPr>
            </w:pPr>
            <w:r w:rsidRPr="008E63BB">
              <w:rPr>
                <w:rFonts w:eastAsia="Times New Roman"/>
                <w:szCs w:val="26"/>
              </w:rPr>
              <w:t>0.07</w:t>
            </w:r>
          </w:p>
        </w:tc>
        <w:tc>
          <w:tcPr>
            <w:tcW w:w="1771" w:type="dxa"/>
            <w:tcBorders>
              <w:top w:val="nil"/>
              <w:left w:val="nil"/>
              <w:bottom w:val="single" w:sz="4" w:space="0" w:color="auto"/>
              <w:right w:val="single" w:sz="4" w:space="0" w:color="auto"/>
            </w:tcBorders>
            <w:shd w:val="clear" w:color="auto" w:fill="auto"/>
            <w:noWrap/>
            <w:vAlign w:val="center"/>
            <w:hideMark/>
          </w:tcPr>
          <w:p w14:paraId="519B3EE5" w14:textId="77777777" w:rsidR="00155773" w:rsidRPr="008E63BB" w:rsidRDefault="00155773" w:rsidP="005C5BF9">
            <w:pPr>
              <w:jc w:val="center"/>
              <w:rPr>
                <w:rFonts w:eastAsia="Times New Roman"/>
                <w:szCs w:val="26"/>
              </w:rPr>
            </w:pPr>
            <w:r w:rsidRPr="008E63BB">
              <w:rPr>
                <w:rFonts w:eastAsia="Times New Roman"/>
                <w:szCs w:val="26"/>
              </w:rPr>
              <w:t>1,447,600.00</w:t>
            </w:r>
          </w:p>
        </w:tc>
      </w:tr>
      <w:tr w:rsidR="008D5BFE" w:rsidRPr="008E63BB" w14:paraId="519B3EED" w14:textId="77777777" w:rsidTr="00D37901">
        <w:trPr>
          <w:trHeight w:val="20"/>
          <w:jc w:val="center"/>
        </w:trPr>
        <w:tc>
          <w:tcPr>
            <w:tcW w:w="7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EE7" w14:textId="77777777" w:rsidR="00155773" w:rsidRPr="008E63BB" w:rsidRDefault="00155773" w:rsidP="005C5BF9">
            <w:pPr>
              <w:jc w:val="center"/>
              <w:rPr>
                <w:rFonts w:eastAsia="Times New Roman"/>
                <w:b/>
                <w:bCs/>
                <w:szCs w:val="26"/>
              </w:rPr>
            </w:pPr>
            <w:r w:rsidRPr="008E63BB">
              <w:rPr>
                <w:rFonts w:eastAsia="Times New Roman"/>
                <w:b/>
                <w:bCs/>
                <w:szCs w:val="26"/>
              </w:rPr>
              <w:t>B</w:t>
            </w:r>
          </w:p>
        </w:tc>
        <w:tc>
          <w:tcPr>
            <w:tcW w:w="3948" w:type="dxa"/>
            <w:tcBorders>
              <w:top w:val="nil"/>
              <w:left w:val="nil"/>
              <w:bottom w:val="single" w:sz="4" w:space="0" w:color="auto"/>
              <w:right w:val="single" w:sz="4" w:space="0" w:color="auto"/>
            </w:tcBorders>
            <w:shd w:val="clear" w:color="auto" w:fill="auto"/>
            <w:noWrap/>
            <w:vAlign w:val="center"/>
            <w:hideMark/>
          </w:tcPr>
          <w:p w14:paraId="519B3EE8" w14:textId="77777777" w:rsidR="00155773" w:rsidRPr="008E63BB" w:rsidRDefault="00155773" w:rsidP="005C5BF9">
            <w:pPr>
              <w:jc w:val="center"/>
              <w:rPr>
                <w:rFonts w:eastAsia="Times New Roman"/>
                <w:b/>
                <w:bCs/>
                <w:szCs w:val="26"/>
              </w:rPr>
            </w:pPr>
            <w:r w:rsidRPr="008E63BB">
              <w:rPr>
                <w:rFonts w:eastAsia="Times New Roman"/>
                <w:b/>
                <w:bCs/>
                <w:szCs w:val="26"/>
              </w:rPr>
              <w:t>Thoát Nước Mưa</w:t>
            </w:r>
          </w:p>
        </w:tc>
        <w:tc>
          <w:tcPr>
            <w:tcW w:w="818" w:type="dxa"/>
            <w:tcBorders>
              <w:top w:val="nil"/>
              <w:left w:val="nil"/>
              <w:bottom w:val="single" w:sz="4" w:space="0" w:color="auto"/>
              <w:right w:val="single" w:sz="4" w:space="0" w:color="auto"/>
            </w:tcBorders>
            <w:shd w:val="clear" w:color="auto" w:fill="auto"/>
            <w:noWrap/>
            <w:vAlign w:val="center"/>
            <w:hideMark/>
          </w:tcPr>
          <w:p w14:paraId="519B3EE9" w14:textId="77777777" w:rsidR="00155773" w:rsidRPr="008E63BB" w:rsidRDefault="00155773" w:rsidP="005C5BF9">
            <w:pPr>
              <w:jc w:val="center"/>
              <w:rPr>
                <w:rFonts w:eastAsia="Times New Roman"/>
                <w:szCs w:val="26"/>
              </w:rPr>
            </w:pPr>
            <w:r w:rsidRPr="008E63BB">
              <w:rPr>
                <w:rFonts w:eastAsia="Times New Roman"/>
                <w:szCs w:val="26"/>
              </w:rPr>
              <w:t> </w:t>
            </w:r>
          </w:p>
        </w:tc>
        <w:tc>
          <w:tcPr>
            <w:tcW w:w="1336" w:type="dxa"/>
            <w:tcBorders>
              <w:top w:val="single" w:sz="4" w:space="0" w:color="auto"/>
              <w:left w:val="nil"/>
              <w:bottom w:val="single" w:sz="4" w:space="0" w:color="auto"/>
              <w:right w:val="single" w:sz="4" w:space="0" w:color="auto"/>
            </w:tcBorders>
            <w:shd w:val="clear" w:color="auto" w:fill="auto"/>
            <w:noWrap/>
            <w:vAlign w:val="center"/>
            <w:hideMark/>
          </w:tcPr>
          <w:p w14:paraId="519B3EEA" w14:textId="77777777" w:rsidR="00155773" w:rsidRPr="008E63BB" w:rsidRDefault="00155773" w:rsidP="005C5BF9">
            <w:pPr>
              <w:jc w:val="center"/>
              <w:rPr>
                <w:rFonts w:eastAsia="Times New Roman"/>
                <w:szCs w:val="26"/>
              </w:rPr>
            </w:pPr>
            <w:r w:rsidRPr="008E63BB">
              <w:rPr>
                <w:rFonts w:eastAsia="Times New Roman"/>
                <w:szCs w:val="26"/>
              </w:rPr>
              <w:t> </w:t>
            </w:r>
          </w:p>
        </w:tc>
        <w:tc>
          <w:tcPr>
            <w:tcW w:w="1208" w:type="dxa"/>
            <w:tcBorders>
              <w:top w:val="nil"/>
              <w:left w:val="nil"/>
              <w:bottom w:val="single" w:sz="4" w:space="0" w:color="auto"/>
              <w:right w:val="single" w:sz="4" w:space="0" w:color="auto"/>
            </w:tcBorders>
            <w:shd w:val="clear" w:color="auto" w:fill="auto"/>
            <w:noWrap/>
            <w:vAlign w:val="center"/>
            <w:hideMark/>
          </w:tcPr>
          <w:p w14:paraId="519B3EEB"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EEC" w14:textId="77777777" w:rsidR="00155773" w:rsidRPr="008E63BB" w:rsidRDefault="00155773" w:rsidP="005C5BF9">
            <w:pPr>
              <w:jc w:val="center"/>
              <w:rPr>
                <w:rFonts w:eastAsia="Times New Roman"/>
                <w:b/>
                <w:bCs/>
                <w:szCs w:val="26"/>
              </w:rPr>
            </w:pPr>
            <w:r w:rsidRPr="008E63BB">
              <w:rPr>
                <w:rFonts w:eastAsia="Times New Roman"/>
                <w:b/>
                <w:bCs/>
                <w:szCs w:val="26"/>
              </w:rPr>
              <w:t>234,182.40</w:t>
            </w:r>
          </w:p>
        </w:tc>
      </w:tr>
      <w:tr w:rsidR="008D5BFE" w:rsidRPr="008E63BB" w14:paraId="519B3EF4"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EEE" w14:textId="77777777" w:rsidR="00155773" w:rsidRPr="008E63BB" w:rsidRDefault="00155773" w:rsidP="005C5BF9">
            <w:pPr>
              <w:jc w:val="center"/>
              <w:rPr>
                <w:rFonts w:eastAsia="Times New Roman"/>
                <w:szCs w:val="26"/>
              </w:rPr>
            </w:pPr>
            <w:r w:rsidRPr="008E63BB">
              <w:rPr>
                <w:rFonts w:eastAsia="Times New Roman"/>
                <w:szCs w:val="26"/>
              </w:rPr>
              <w:t>3</w:t>
            </w:r>
          </w:p>
        </w:tc>
        <w:tc>
          <w:tcPr>
            <w:tcW w:w="3948" w:type="dxa"/>
            <w:tcBorders>
              <w:top w:val="nil"/>
              <w:left w:val="nil"/>
              <w:bottom w:val="single" w:sz="4" w:space="0" w:color="auto"/>
              <w:right w:val="single" w:sz="4" w:space="0" w:color="auto"/>
            </w:tcBorders>
            <w:shd w:val="clear" w:color="auto" w:fill="auto"/>
            <w:noWrap/>
            <w:vAlign w:val="center"/>
            <w:hideMark/>
          </w:tcPr>
          <w:p w14:paraId="519B3EEF" w14:textId="77777777" w:rsidR="00155773" w:rsidRPr="008E63BB" w:rsidRDefault="00155773" w:rsidP="005C5BF9">
            <w:pPr>
              <w:rPr>
                <w:rFonts w:eastAsia="Times New Roman"/>
                <w:szCs w:val="26"/>
              </w:rPr>
            </w:pPr>
            <w:r w:rsidRPr="008E63BB">
              <w:rPr>
                <w:rFonts w:eastAsia="Times New Roman"/>
                <w:szCs w:val="26"/>
              </w:rPr>
              <w:t>Cống tròn BTCT D1000</w:t>
            </w:r>
          </w:p>
        </w:tc>
        <w:tc>
          <w:tcPr>
            <w:tcW w:w="818" w:type="dxa"/>
            <w:tcBorders>
              <w:top w:val="nil"/>
              <w:left w:val="nil"/>
              <w:bottom w:val="single" w:sz="4" w:space="0" w:color="auto"/>
              <w:right w:val="single" w:sz="4" w:space="0" w:color="auto"/>
            </w:tcBorders>
            <w:shd w:val="clear" w:color="auto" w:fill="auto"/>
            <w:noWrap/>
            <w:vAlign w:val="center"/>
            <w:hideMark/>
          </w:tcPr>
          <w:p w14:paraId="519B3EF0" w14:textId="77777777" w:rsidR="00155773" w:rsidRPr="008E63BB" w:rsidRDefault="00155773" w:rsidP="005C5BF9">
            <w:pPr>
              <w:jc w:val="center"/>
              <w:rPr>
                <w:rFonts w:eastAsia="Times New Roman"/>
                <w:szCs w:val="26"/>
              </w:rPr>
            </w:pPr>
            <w:r w:rsidRPr="008E63BB">
              <w:rPr>
                <w:rFonts w:eastAsia="Times New Roman"/>
                <w:szCs w:val="26"/>
              </w:rPr>
              <w:t>m</w:t>
            </w:r>
          </w:p>
        </w:tc>
        <w:tc>
          <w:tcPr>
            <w:tcW w:w="1336" w:type="dxa"/>
            <w:tcBorders>
              <w:top w:val="nil"/>
              <w:left w:val="nil"/>
              <w:bottom w:val="single" w:sz="4" w:space="0" w:color="auto"/>
              <w:right w:val="single" w:sz="4" w:space="0" w:color="auto"/>
            </w:tcBorders>
            <w:shd w:val="clear" w:color="auto" w:fill="auto"/>
            <w:noWrap/>
            <w:vAlign w:val="center"/>
            <w:hideMark/>
          </w:tcPr>
          <w:p w14:paraId="519B3EF1" w14:textId="77777777" w:rsidR="00155773" w:rsidRPr="008E63BB" w:rsidRDefault="00155773" w:rsidP="005C5BF9">
            <w:pPr>
              <w:jc w:val="center"/>
              <w:rPr>
                <w:rFonts w:eastAsia="Times New Roman"/>
                <w:szCs w:val="26"/>
              </w:rPr>
            </w:pPr>
            <w:r w:rsidRPr="008E63BB">
              <w:rPr>
                <w:rFonts w:eastAsia="Times New Roman"/>
                <w:szCs w:val="26"/>
              </w:rPr>
              <w:t>12190</w:t>
            </w:r>
          </w:p>
        </w:tc>
        <w:tc>
          <w:tcPr>
            <w:tcW w:w="1208" w:type="dxa"/>
            <w:tcBorders>
              <w:top w:val="nil"/>
              <w:left w:val="nil"/>
              <w:bottom w:val="single" w:sz="4" w:space="0" w:color="auto"/>
              <w:right w:val="single" w:sz="4" w:space="0" w:color="auto"/>
            </w:tcBorders>
            <w:shd w:val="clear" w:color="auto" w:fill="auto"/>
            <w:noWrap/>
            <w:vAlign w:val="center"/>
            <w:hideMark/>
          </w:tcPr>
          <w:p w14:paraId="519B3EF2" w14:textId="77777777" w:rsidR="00155773" w:rsidRPr="008E63BB" w:rsidRDefault="00155773" w:rsidP="005C5BF9">
            <w:pPr>
              <w:jc w:val="center"/>
              <w:rPr>
                <w:rFonts w:eastAsia="Times New Roman"/>
                <w:szCs w:val="26"/>
              </w:rPr>
            </w:pPr>
            <w:r w:rsidRPr="008E63BB">
              <w:rPr>
                <w:rFonts w:eastAsia="Times New Roman"/>
                <w:szCs w:val="26"/>
              </w:rPr>
              <w:t>1.6</w:t>
            </w:r>
          </w:p>
        </w:tc>
        <w:tc>
          <w:tcPr>
            <w:tcW w:w="1771" w:type="dxa"/>
            <w:tcBorders>
              <w:top w:val="nil"/>
              <w:left w:val="nil"/>
              <w:bottom w:val="single" w:sz="4" w:space="0" w:color="auto"/>
              <w:right w:val="single" w:sz="4" w:space="0" w:color="auto"/>
            </w:tcBorders>
            <w:shd w:val="clear" w:color="auto" w:fill="auto"/>
            <w:noWrap/>
            <w:vAlign w:val="center"/>
            <w:hideMark/>
          </w:tcPr>
          <w:p w14:paraId="519B3EF3" w14:textId="77777777" w:rsidR="00155773" w:rsidRPr="008E63BB" w:rsidRDefault="00155773" w:rsidP="005C5BF9">
            <w:pPr>
              <w:jc w:val="center"/>
              <w:rPr>
                <w:rFonts w:eastAsia="Times New Roman"/>
                <w:szCs w:val="26"/>
              </w:rPr>
            </w:pPr>
            <w:r w:rsidRPr="008E63BB">
              <w:rPr>
                <w:rFonts w:eastAsia="Times New Roman"/>
                <w:szCs w:val="26"/>
              </w:rPr>
              <w:t>19,504.00</w:t>
            </w:r>
          </w:p>
        </w:tc>
      </w:tr>
      <w:tr w:rsidR="008D5BFE" w:rsidRPr="008E63BB" w14:paraId="519B3EFB"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EF5" w14:textId="77777777" w:rsidR="00155773" w:rsidRPr="008E63BB" w:rsidRDefault="00155773" w:rsidP="005C5BF9">
            <w:pPr>
              <w:jc w:val="center"/>
              <w:rPr>
                <w:rFonts w:eastAsia="Times New Roman"/>
                <w:szCs w:val="26"/>
              </w:rPr>
            </w:pPr>
            <w:r w:rsidRPr="008E63BB">
              <w:rPr>
                <w:rFonts w:eastAsia="Times New Roman"/>
                <w:szCs w:val="26"/>
              </w:rPr>
              <w:t>4</w:t>
            </w:r>
          </w:p>
        </w:tc>
        <w:tc>
          <w:tcPr>
            <w:tcW w:w="3948" w:type="dxa"/>
            <w:tcBorders>
              <w:top w:val="nil"/>
              <w:left w:val="nil"/>
              <w:bottom w:val="single" w:sz="4" w:space="0" w:color="auto"/>
              <w:right w:val="single" w:sz="4" w:space="0" w:color="auto"/>
            </w:tcBorders>
            <w:shd w:val="clear" w:color="auto" w:fill="auto"/>
            <w:noWrap/>
            <w:vAlign w:val="center"/>
            <w:hideMark/>
          </w:tcPr>
          <w:p w14:paraId="519B3EF6" w14:textId="77777777" w:rsidR="00155773" w:rsidRPr="008E63BB" w:rsidRDefault="00155773" w:rsidP="005C5BF9">
            <w:pPr>
              <w:rPr>
                <w:rFonts w:eastAsia="Times New Roman"/>
                <w:szCs w:val="26"/>
              </w:rPr>
            </w:pPr>
            <w:r w:rsidRPr="008E63BB">
              <w:rPr>
                <w:rFonts w:eastAsia="Times New Roman"/>
                <w:szCs w:val="26"/>
              </w:rPr>
              <w:t>Cống tròn BTCT D1200</w:t>
            </w:r>
          </w:p>
        </w:tc>
        <w:tc>
          <w:tcPr>
            <w:tcW w:w="818" w:type="dxa"/>
            <w:tcBorders>
              <w:top w:val="nil"/>
              <w:left w:val="nil"/>
              <w:bottom w:val="single" w:sz="4" w:space="0" w:color="auto"/>
              <w:right w:val="single" w:sz="4" w:space="0" w:color="auto"/>
            </w:tcBorders>
            <w:shd w:val="clear" w:color="auto" w:fill="auto"/>
            <w:noWrap/>
            <w:vAlign w:val="center"/>
            <w:hideMark/>
          </w:tcPr>
          <w:p w14:paraId="519B3EF7" w14:textId="77777777" w:rsidR="00155773" w:rsidRPr="008E63BB" w:rsidRDefault="00155773" w:rsidP="005C5BF9">
            <w:pPr>
              <w:jc w:val="center"/>
              <w:rPr>
                <w:rFonts w:eastAsia="Times New Roman"/>
                <w:szCs w:val="26"/>
              </w:rPr>
            </w:pPr>
            <w:r w:rsidRPr="008E63BB">
              <w:rPr>
                <w:rFonts w:eastAsia="Times New Roman"/>
                <w:szCs w:val="26"/>
              </w:rPr>
              <w:t>m</w:t>
            </w:r>
          </w:p>
        </w:tc>
        <w:tc>
          <w:tcPr>
            <w:tcW w:w="1336" w:type="dxa"/>
            <w:tcBorders>
              <w:top w:val="nil"/>
              <w:left w:val="nil"/>
              <w:bottom w:val="single" w:sz="4" w:space="0" w:color="auto"/>
              <w:right w:val="single" w:sz="4" w:space="0" w:color="auto"/>
            </w:tcBorders>
            <w:shd w:val="clear" w:color="auto" w:fill="auto"/>
            <w:noWrap/>
            <w:vAlign w:val="center"/>
            <w:hideMark/>
          </w:tcPr>
          <w:p w14:paraId="519B3EF8" w14:textId="77777777" w:rsidR="00155773" w:rsidRPr="008E63BB" w:rsidRDefault="00155773" w:rsidP="005C5BF9">
            <w:pPr>
              <w:jc w:val="center"/>
              <w:rPr>
                <w:rFonts w:eastAsia="Times New Roman"/>
                <w:szCs w:val="26"/>
              </w:rPr>
            </w:pPr>
            <w:r w:rsidRPr="008E63BB">
              <w:rPr>
                <w:rFonts w:eastAsia="Times New Roman"/>
                <w:szCs w:val="26"/>
              </w:rPr>
              <w:t>7750</w:t>
            </w:r>
          </w:p>
        </w:tc>
        <w:tc>
          <w:tcPr>
            <w:tcW w:w="1208" w:type="dxa"/>
            <w:tcBorders>
              <w:top w:val="nil"/>
              <w:left w:val="nil"/>
              <w:bottom w:val="single" w:sz="4" w:space="0" w:color="auto"/>
              <w:right w:val="single" w:sz="4" w:space="0" w:color="auto"/>
            </w:tcBorders>
            <w:shd w:val="clear" w:color="auto" w:fill="auto"/>
            <w:noWrap/>
            <w:vAlign w:val="center"/>
            <w:hideMark/>
          </w:tcPr>
          <w:p w14:paraId="519B3EF9" w14:textId="77777777" w:rsidR="00155773" w:rsidRPr="008E63BB" w:rsidRDefault="00155773" w:rsidP="005C5BF9">
            <w:pPr>
              <w:jc w:val="center"/>
              <w:rPr>
                <w:rFonts w:eastAsia="Times New Roman"/>
                <w:szCs w:val="26"/>
              </w:rPr>
            </w:pPr>
            <w:r w:rsidRPr="008E63BB">
              <w:rPr>
                <w:rFonts w:eastAsia="Times New Roman"/>
                <w:szCs w:val="26"/>
              </w:rPr>
              <w:t>2.2</w:t>
            </w:r>
          </w:p>
        </w:tc>
        <w:tc>
          <w:tcPr>
            <w:tcW w:w="1771" w:type="dxa"/>
            <w:tcBorders>
              <w:top w:val="nil"/>
              <w:left w:val="nil"/>
              <w:bottom w:val="single" w:sz="4" w:space="0" w:color="auto"/>
              <w:right w:val="single" w:sz="4" w:space="0" w:color="auto"/>
            </w:tcBorders>
            <w:shd w:val="clear" w:color="auto" w:fill="auto"/>
            <w:noWrap/>
            <w:vAlign w:val="center"/>
            <w:hideMark/>
          </w:tcPr>
          <w:p w14:paraId="519B3EFA" w14:textId="77777777" w:rsidR="00155773" w:rsidRPr="008E63BB" w:rsidRDefault="00155773" w:rsidP="005C5BF9">
            <w:pPr>
              <w:jc w:val="center"/>
              <w:rPr>
                <w:rFonts w:eastAsia="Times New Roman"/>
                <w:szCs w:val="26"/>
              </w:rPr>
            </w:pPr>
            <w:r w:rsidRPr="008E63BB">
              <w:rPr>
                <w:rFonts w:eastAsia="Times New Roman"/>
                <w:szCs w:val="26"/>
              </w:rPr>
              <w:t>17,050.00</w:t>
            </w:r>
          </w:p>
        </w:tc>
      </w:tr>
      <w:tr w:rsidR="008D5BFE" w:rsidRPr="008E63BB" w14:paraId="519B3F02"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EFC" w14:textId="77777777" w:rsidR="00155773" w:rsidRPr="008E63BB" w:rsidRDefault="00155773" w:rsidP="005C5BF9">
            <w:pPr>
              <w:jc w:val="center"/>
              <w:rPr>
                <w:rFonts w:eastAsia="Times New Roman"/>
                <w:szCs w:val="26"/>
              </w:rPr>
            </w:pPr>
            <w:r w:rsidRPr="008E63BB">
              <w:rPr>
                <w:rFonts w:eastAsia="Times New Roman"/>
                <w:szCs w:val="26"/>
              </w:rPr>
              <w:t>5</w:t>
            </w:r>
          </w:p>
        </w:tc>
        <w:tc>
          <w:tcPr>
            <w:tcW w:w="3948" w:type="dxa"/>
            <w:tcBorders>
              <w:top w:val="nil"/>
              <w:left w:val="nil"/>
              <w:bottom w:val="single" w:sz="4" w:space="0" w:color="auto"/>
              <w:right w:val="single" w:sz="4" w:space="0" w:color="auto"/>
            </w:tcBorders>
            <w:shd w:val="clear" w:color="auto" w:fill="auto"/>
            <w:noWrap/>
            <w:vAlign w:val="center"/>
            <w:hideMark/>
          </w:tcPr>
          <w:p w14:paraId="519B3EFD" w14:textId="77777777" w:rsidR="00155773" w:rsidRPr="008E63BB" w:rsidRDefault="00155773" w:rsidP="005C5BF9">
            <w:pPr>
              <w:rPr>
                <w:rFonts w:eastAsia="Times New Roman"/>
                <w:szCs w:val="26"/>
              </w:rPr>
            </w:pPr>
            <w:r w:rsidRPr="008E63BB">
              <w:rPr>
                <w:rFonts w:eastAsia="Times New Roman"/>
                <w:szCs w:val="26"/>
              </w:rPr>
              <w:t>Cống tròn BTCT D1500</w:t>
            </w:r>
          </w:p>
        </w:tc>
        <w:tc>
          <w:tcPr>
            <w:tcW w:w="818" w:type="dxa"/>
            <w:tcBorders>
              <w:top w:val="nil"/>
              <w:left w:val="nil"/>
              <w:bottom w:val="single" w:sz="4" w:space="0" w:color="auto"/>
              <w:right w:val="single" w:sz="4" w:space="0" w:color="auto"/>
            </w:tcBorders>
            <w:shd w:val="clear" w:color="auto" w:fill="auto"/>
            <w:noWrap/>
            <w:vAlign w:val="center"/>
            <w:hideMark/>
          </w:tcPr>
          <w:p w14:paraId="519B3EFE" w14:textId="77777777" w:rsidR="00155773" w:rsidRPr="008E63BB" w:rsidRDefault="00155773" w:rsidP="005C5BF9">
            <w:pPr>
              <w:jc w:val="center"/>
              <w:rPr>
                <w:rFonts w:eastAsia="Times New Roman"/>
                <w:szCs w:val="26"/>
              </w:rPr>
            </w:pPr>
            <w:r w:rsidRPr="008E63BB">
              <w:rPr>
                <w:rFonts w:eastAsia="Times New Roman"/>
                <w:szCs w:val="26"/>
              </w:rPr>
              <w:t>m</w:t>
            </w:r>
          </w:p>
        </w:tc>
        <w:tc>
          <w:tcPr>
            <w:tcW w:w="1336" w:type="dxa"/>
            <w:tcBorders>
              <w:top w:val="nil"/>
              <w:left w:val="nil"/>
              <w:bottom w:val="single" w:sz="4" w:space="0" w:color="auto"/>
              <w:right w:val="single" w:sz="4" w:space="0" w:color="auto"/>
            </w:tcBorders>
            <w:shd w:val="clear" w:color="auto" w:fill="auto"/>
            <w:noWrap/>
            <w:vAlign w:val="center"/>
            <w:hideMark/>
          </w:tcPr>
          <w:p w14:paraId="519B3EFF" w14:textId="77777777" w:rsidR="00155773" w:rsidRPr="008E63BB" w:rsidRDefault="00155773" w:rsidP="005C5BF9">
            <w:pPr>
              <w:jc w:val="center"/>
              <w:rPr>
                <w:rFonts w:eastAsia="Times New Roman"/>
                <w:szCs w:val="26"/>
              </w:rPr>
            </w:pPr>
            <w:r w:rsidRPr="008E63BB">
              <w:rPr>
                <w:rFonts w:eastAsia="Times New Roman"/>
                <w:szCs w:val="26"/>
              </w:rPr>
              <w:t>8830</w:t>
            </w:r>
          </w:p>
        </w:tc>
        <w:tc>
          <w:tcPr>
            <w:tcW w:w="1208" w:type="dxa"/>
            <w:tcBorders>
              <w:top w:val="nil"/>
              <w:left w:val="nil"/>
              <w:bottom w:val="single" w:sz="4" w:space="0" w:color="auto"/>
              <w:right w:val="single" w:sz="4" w:space="0" w:color="auto"/>
            </w:tcBorders>
            <w:shd w:val="clear" w:color="auto" w:fill="auto"/>
            <w:noWrap/>
            <w:vAlign w:val="center"/>
            <w:hideMark/>
          </w:tcPr>
          <w:p w14:paraId="519B3F00" w14:textId="77777777" w:rsidR="00155773" w:rsidRPr="008E63BB" w:rsidRDefault="00155773" w:rsidP="005C5BF9">
            <w:pPr>
              <w:jc w:val="center"/>
              <w:rPr>
                <w:rFonts w:eastAsia="Times New Roman"/>
                <w:szCs w:val="26"/>
              </w:rPr>
            </w:pPr>
            <w:r w:rsidRPr="008E63BB">
              <w:rPr>
                <w:rFonts w:eastAsia="Times New Roman"/>
                <w:szCs w:val="26"/>
              </w:rPr>
              <w:t>3.6</w:t>
            </w:r>
          </w:p>
        </w:tc>
        <w:tc>
          <w:tcPr>
            <w:tcW w:w="1771" w:type="dxa"/>
            <w:tcBorders>
              <w:top w:val="nil"/>
              <w:left w:val="nil"/>
              <w:bottom w:val="single" w:sz="4" w:space="0" w:color="auto"/>
              <w:right w:val="single" w:sz="4" w:space="0" w:color="auto"/>
            </w:tcBorders>
            <w:shd w:val="clear" w:color="auto" w:fill="auto"/>
            <w:noWrap/>
            <w:vAlign w:val="center"/>
            <w:hideMark/>
          </w:tcPr>
          <w:p w14:paraId="519B3F01" w14:textId="77777777" w:rsidR="00155773" w:rsidRPr="008E63BB" w:rsidRDefault="00155773" w:rsidP="005C5BF9">
            <w:pPr>
              <w:jc w:val="center"/>
              <w:rPr>
                <w:rFonts w:eastAsia="Times New Roman"/>
                <w:szCs w:val="26"/>
              </w:rPr>
            </w:pPr>
            <w:r w:rsidRPr="008E63BB">
              <w:rPr>
                <w:rFonts w:eastAsia="Times New Roman"/>
                <w:szCs w:val="26"/>
              </w:rPr>
              <w:t>31,788.00</w:t>
            </w:r>
          </w:p>
        </w:tc>
      </w:tr>
      <w:tr w:rsidR="008D5BFE" w:rsidRPr="008E63BB" w14:paraId="519B3F09"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03" w14:textId="77777777" w:rsidR="00155773" w:rsidRPr="008E63BB" w:rsidRDefault="00155773" w:rsidP="005C5BF9">
            <w:pPr>
              <w:jc w:val="center"/>
              <w:rPr>
                <w:rFonts w:eastAsia="Times New Roman"/>
                <w:szCs w:val="26"/>
              </w:rPr>
            </w:pPr>
            <w:r w:rsidRPr="008E63BB">
              <w:rPr>
                <w:rFonts w:eastAsia="Times New Roman"/>
                <w:szCs w:val="26"/>
              </w:rPr>
              <w:t>6</w:t>
            </w:r>
          </w:p>
        </w:tc>
        <w:tc>
          <w:tcPr>
            <w:tcW w:w="3948" w:type="dxa"/>
            <w:tcBorders>
              <w:top w:val="nil"/>
              <w:left w:val="nil"/>
              <w:bottom w:val="single" w:sz="4" w:space="0" w:color="auto"/>
              <w:right w:val="single" w:sz="4" w:space="0" w:color="auto"/>
            </w:tcBorders>
            <w:shd w:val="clear" w:color="auto" w:fill="auto"/>
            <w:noWrap/>
            <w:vAlign w:val="center"/>
            <w:hideMark/>
          </w:tcPr>
          <w:p w14:paraId="519B3F04" w14:textId="77777777" w:rsidR="00155773" w:rsidRPr="008E63BB" w:rsidRDefault="00155773" w:rsidP="005C5BF9">
            <w:pPr>
              <w:rPr>
                <w:rFonts w:eastAsia="Times New Roman"/>
                <w:szCs w:val="26"/>
              </w:rPr>
            </w:pPr>
            <w:r w:rsidRPr="008E63BB">
              <w:rPr>
                <w:rFonts w:eastAsia="Times New Roman"/>
                <w:szCs w:val="26"/>
              </w:rPr>
              <w:t>Cống tròn BTCT D2000</w:t>
            </w:r>
          </w:p>
        </w:tc>
        <w:tc>
          <w:tcPr>
            <w:tcW w:w="818" w:type="dxa"/>
            <w:tcBorders>
              <w:top w:val="nil"/>
              <w:left w:val="nil"/>
              <w:bottom w:val="single" w:sz="4" w:space="0" w:color="auto"/>
              <w:right w:val="single" w:sz="4" w:space="0" w:color="auto"/>
            </w:tcBorders>
            <w:shd w:val="clear" w:color="auto" w:fill="auto"/>
            <w:noWrap/>
            <w:vAlign w:val="center"/>
            <w:hideMark/>
          </w:tcPr>
          <w:p w14:paraId="519B3F05" w14:textId="77777777" w:rsidR="00155773" w:rsidRPr="008E63BB" w:rsidRDefault="00155773" w:rsidP="005C5BF9">
            <w:pPr>
              <w:jc w:val="center"/>
              <w:rPr>
                <w:rFonts w:eastAsia="Times New Roman"/>
                <w:szCs w:val="26"/>
              </w:rPr>
            </w:pPr>
            <w:r w:rsidRPr="008E63BB">
              <w:rPr>
                <w:rFonts w:eastAsia="Times New Roman"/>
                <w:szCs w:val="26"/>
              </w:rPr>
              <w:t>m</w:t>
            </w:r>
          </w:p>
        </w:tc>
        <w:tc>
          <w:tcPr>
            <w:tcW w:w="1336" w:type="dxa"/>
            <w:tcBorders>
              <w:top w:val="nil"/>
              <w:left w:val="nil"/>
              <w:bottom w:val="single" w:sz="4" w:space="0" w:color="auto"/>
              <w:right w:val="single" w:sz="4" w:space="0" w:color="auto"/>
            </w:tcBorders>
            <w:shd w:val="clear" w:color="auto" w:fill="auto"/>
            <w:noWrap/>
            <w:vAlign w:val="center"/>
            <w:hideMark/>
          </w:tcPr>
          <w:p w14:paraId="519B3F06" w14:textId="77777777" w:rsidR="00155773" w:rsidRPr="008E63BB" w:rsidRDefault="00155773" w:rsidP="005C5BF9">
            <w:pPr>
              <w:jc w:val="center"/>
              <w:rPr>
                <w:rFonts w:eastAsia="Times New Roman"/>
                <w:szCs w:val="26"/>
              </w:rPr>
            </w:pPr>
            <w:r w:rsidRPr="008E63BB">
              <w:rPr>
                <w:rFonts w:eastAsia="Times New Roman"/>
                <w:szCs w:val="26"/>
              </w:rPr>
              <w:t>17980</w:t>
            </w:r>
          </w:p>
        </w:tc>
        <w:tc>
          <w:tcPr>
            <w:tcW w:w="1208" w:type="dxa"/>
            <w:tcBorders>
              <w:top w:val="nil"/>
              <w:left w:val="nil"/>
              <w:bottom w:val="single" w:sz="4" w:space="0" w:color="auto"/>
              <w:right w:val="single" w:sz="4" w:space="0" w:color="auto"/>
            </w:tcBorders>
            <w:shd w:val="clear" w:color="auto" w:fill="auto"/>
            <w:noWrap/>
            <w:vAlign w:val="center"/>
            <w:hideMark/>
          </w:tcPr>
          <w:p w14:paraId="519B3F07" w14:textId="77777777" w:rsidR="00155773" w:rsidRPr="008E63BB" w:rsidRDefault="00155773" w:rsidP="005C5BF9">
            <w:pPr>
              <w:jc w:val="center"/>
              <w:rPr>
                <w:rFonts w:eastAsia="Times New Roman"/>
                <w:szCs w:val="26"/>
              </w:rPr>
            </w:pPr>
            <w:r w:rsidRPr="008E63BB">
              <w:rPr>
                <w:rFonts w:eastAsia="Times New Roman"/>
                <w:szCs w:val="26"/>
              </w:rPr>
              <w:t>4.5</w:t>
            </w:r>
          </w:p>
        </w:tc>
        <w:tc>
          <w:tcPr>
            <w:tcW w:w="1771" w:type="dxa"/>
            <w:tcBorders>
              <w:top w:val="nil"/>
              <w:left w:val="nil"/>
              <w:bottom w:val="single" w:sz="4" w:space="0" w:color="auto"/>
              <w:right w:val="single" w:sz="4" w:space="0" w:color="auto"/>
            </w:tcBorders>
            <w:shd w:val="clear" w:color="auto" w:fill="auto"/>
            <w:noWrap/>
            <w:vAlign w:val="center"/>
            <w:hideMark/>
          </w:tcPr>
          <w:p w14:paraId="519B3F08" w14:textId="77777777" w:rsidR="00155773" w:rsidRPr="008E63BB" w:rsidRDefault="00155773" w:rsidP="005C5BF9">
            <w:pPr>
              <w:jc w:val="center"/>
              <w:rPr>
                <w:rFonts w:eastAsia="Times New Roman"/>
                <w:szCs w:val="26"/>
              </w:rPr>
            </w:pPr>
            <w:r w:rsidRPr="008E63BB">
              <w:rPr>
                <w:rFonts w:eastAsia="Times New Roman"/>
                <w:szCs w:val="26"/>
              </w:rPr>
              <w:t>80,910.00</w:t>
            </w:r>
          </w:p>
        </w:tc>
      </w:tr>
      <w:tr w:rsidR="008D5BFE" w:rsidRPr="008E63BB" w14:paraId="519B3F10"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0A" w14:textId="77777777" w:rsidR="00155773" w:rsidRPr="008E63BB" w:rsidRDefault="00155773" w:rsidP="005C5BF9">
            <w:pPr>
              <w:jc w:val="center"/>
              <w:rPr>
                <w:rFonts w:eastAsia="Times New Roman"/>
                <w:szCs w:val="26"/>
              </w:rPr>
            </w:pPr>
            <w:r w:rsidRPr="008E63BB">
              <w:rPr>
                <w:rFonts w:eastAsia="Times New Roman"/>
                <w:szCs w:val="26"/>
              </w:rPr>
              <w:t>7</w:t>
            </w:r>
          </w:p>
        </w:tc>
        <w:tc>
          <w:tcPr>
            <w:tcW w:w="3948" w:type="dxa"/>
            <w:tcBorders>
              <w:top w:val="nil"/>
              <w:left w:val="nil"/>
              <w:bottom w:val="single" w:sz="4" w:space="0" w:color="auto"/>
              <w:right w:val="single" w:sz="4" w:space="0" w:color="auto"/>
            </w:tcBorders>
            <w:shd w:val="clear" w:color="auto" w:fill="auto"/>
            <w:noWrap/>
            <w:vAlign w:val="center"/>
            <w:hideMark/>
          </w:tcPr>
          <w:p w14:paraId="519B3F0B" w14:textId="77777777" w:rsidR="00155773" w:rsidRPr="008E63BB" w:rsidRDefault="00155773" w:rsidP="005C5BF9">
            <w:pPr>
              <w:rPr>
                <w:rFonts w:eastAsia="Times New Roman"/>
                <w:szCs w:val="26"/>
              </w:rPr>
            </w:pPr>
            <w:r w:rsidRPr="008E63BB">
              <w:rPr>
                <w:rFonts w:eastAsia="Times New Roman"/>
                <w:szCs w:val="26"/>
              </w:rPr>
              <w:t>Cống tròn BTCT D2500</w:t>
            </w:r>
          </w:p>
        </w:tc>
        <w:tc>
          <w:tcPr>
            <w:tcW w:w="818" w:type="dxa"/>
            <w:tcBorders>
              <w:top w:val="nil"/>
              <w:left w:val="nil"/>
              <w:bottom w:val="single" w:sz="4" w:space="0" w:color="auto"/>
              <w:right w:val="single" w:sz="4" w:space="0" w:color="auto"/>
            </w:tcBorders>
            <w:shd w:val="clear" w:color="auto" w:fill="auto"/>
            <w:noWrap/>
            <w:vAlign w:val="center"/>
            <w:hideMark/>
          </w:tcPr>
          <w:p w14:paraId="519B3F0C" w14:textId="77777777" w:rsidR="00155773" w:rsidRPr="008E63BB" w:rsidRDefault="00155773" w:rsidP="005C5BF9">
            <w:pPr>
              <w:jc w:val="center"/>
              <w:rPr>
                <w:rFonts w:eastAsia="Times New Roman"/>
                <w:szCs w:val="26"/>
              </w:rPr>
            </w:pPr>
            <w:r w:rsidRPr="008E63BB">
              <w:rPr>
                <w:rFonts w:eastAsia="Times New Roman"/>
                <w:szCs w:val="26"/>
              </w:rPr>
              <w:t>m</w:t>
            </w:r>
          </w:p>
        </w:tc>
        <w:tc>
          <w:tcPr>
            <w:tcW w:w="1336" w:type="dxa"/>
            <w:tcBorders>
              <w:top w:val="nil"/>
              <w:left w:val="nil"/>
              <w:bottom w:val="single" w:sz="4" w:space="0" w:color="auto"/>
              <w:right w:val="single" w:sz="4" w:space="0" w:color="auto"/>
            </w:tcBorders>
            <w:shd w:val="clear" w:color="auto" w:fill="auto"/>
            <w:noWrap/>
            <w:vAlign w:val="center"/>
            <w:hideMark/>
          </w:tcPr>
          <w:p w14:paraId="519B3F0D" w14:textId="77777777" w:rsidR="00155773" w:rsidRPr="008E63BB" w:rsidRDefault="00155773" w:rsidP="005C5BF9">
            <w:pPr>
              <w:jc w:val="center"/>
              <w:rPr>
                <w:rFonts w:eastAsia="Times New Roman"/>
                <w:szCs w:val="26"/>
              </w:rPr>
            </w:pPr>
            <w:r w:rsidRPr="008E63BB">
              <w:rPr>
                <w:rFonts w:eastAsia="Times New Roman"/>
                <w:szCs w:val="26"/>
              </w:rPr>
              <w:t>7650</w:t>
            </w:r>
          </w:p>
        </w:tc>
        <w:tc>
          <w:tcPr>
            <w:tcW w:w="1208" w:type="dxa"/>
            <w:tcBorders>
              <w:top w:val="nil"/>
              <w:left w:val="nil"/>
              <w:bottom w:val="single" w:sz="4" w:space="0" w:color="auto"/>
              <w:right w:val="single" w:sz="4" w:space="0" w:color="auto"/>
            </w:tcBorders>
            <w:shd w:val="clear" w:color="auto" w:fill="auto"/>
            <w:noWrap/>
            <w:vAlign w:val="center"/>
            <w:hideMark/>
          </w:tcPr>
          <w:p w14:paraId="519B3F0E" w14:textId="77777777" w:rsidR="00155773" w:rsidRPr="008E63BB" w:rsidRDefault="00155773" w:rsidP="005C5BF9">
            <w:pPr>
              <w:jc w:val="center"/>
              <w:rPr>
                <w:rFonts w:eastAsia="Times New Roman"/>
                <w:szCs w:val="26"/>
              </w:rPr>
            </w:pPr>
            <w:r w:rsidRPr="008E63BB">
              <w:rPr>
                <w:rFonts w:eastAsia="Times New Roman"/>
                <w:szCs w:val="26"/>
              </w:rPr>
              <w:t>6</w:t>
            </w:r>
          </w:p>
        </w:tc>
        <w:tc>
          <w:tcPr>
            <w:tcW w:w="1771" w:type="dxa"/>
            <w:tcBorders>
              <w:top w:val="nil"/>
              <w:left w:val="nil"/>
              <w:bottom w:val="single" w:sz="4" w:space="0" w:color="auto"/>
              <w:right w:val="single" w:sz="4" w:space="0" w:color="auto"/>
            </w:tcBorders>
            <w:shd w:val="clear" w:color="auto" w:fill="auto"/>
            <w:noWrap/>
            <w:vAlign w:val="center"/>
            <w:hideMark/>
          </w:tcPr>
          <w:p w14:paraId="519B3F0F" w14:textId="77777777" w:rsidR="00155773" w:rsidRPr="008E63BB" w:rsidRDefault="00155773" w:rsidP="005C5BF9">
            <w:pPr>
              <w:jc w:val="center"/>
              <w:rPr>
                <w:rFonts w:eastAsia="Times New Roman"/>
                <w:szCs w:val="26"/>
              </w:rPr>
            </w:pPr>
            <w:r w:rsidRPr="008E63BB">
              <w:rPr>
                <w:rFonts w:eastAsia="Times New Roman"/>
                <w:szCs w:val="26"/>
              </w:rPr>
              <w:t>45,900.00</w:t>
            </w:r>
          </w:p>
        </w:tc>
      </w:tr>
      <w:tr w:rsidR="008D5BFE" w:rsidRPr="008E63BB" w14:paraId="519B3F15"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11" w14:textId="77777777" w:rsidR="00155773" w:rsidRPr="008E63BB" w:rsidRDefault="00155773" w:rsidP="005C5BF9">
            <w:pPr>
              <w:jc w:val="center"/>
              <w:rPr>
                <w:rFonts w:eastAsia="Times New Roman"/>
                <w:szCs w:val="26"/>
              </w:rPr>
            </w:pPr>
            <w:r w:rsidRPr="008E63BB">
              <w:rPr>
                <w:rFonts w:eastAsia="Times New Roman"/>
                <w:szCs w:val="26"/>
              </w:rPr>
              <w:t>8</w:t>
            </w:r>
          </w:p>
        </w:tc>
        <w:tc>
          <w:tcPr>
            <w:tcW w:w="3948" w:type="dxa"/>
            <w:tcBorders>
              <w:top w:val="nil"/>
              <w:left w:val="nil"/>
              <w:bottom w:val="single" w:sz="4" w:space="0" w:color="auto"/>
              <w:right w:val="single" w:sz="4" w:space="0" w:color="auto"/>
            </w:tcBorders>
            <w:shd w:val="clear" w:color="auto" w:fill="auto"/>
            <w:vAlign w:val="center"/>
            <w:hideMark/>
          </w:tcPr>
          <w:p w14:paraId="519B3F12" w14:textId="77777777" w:rsidR="00155773" w:rsidRPr="008E63BB" w:rsidRDefault="00155773" w:rsidP="005C5BF9">
            <w:pPr>
              <w:rPr>
                <w:rFonts w:eastAsia="Times New Roman"/>
                <w:szCs w:val="26"/>
              </w:rPr>
            </w:pPr>
            <w:r w:rsidRPr="008E63BB">
              <w:rPr>
                <w:rFonts w:eastAsia="Times New Roman"/>
                <w:szCs w:val="26"/>
              </w:rPr>
              <w:t>Ga thăm, ga thu, cửa xả, gối cống, cống qua đường tạm tính 20% kinh phí mạng lưới thoát nước</w:t>
            </w:r>
          </w:p>
        </w:tc>
        <w:tc>
          <w:tcPr>
            <w:tcW w:w="336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F13"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14" w14:textId="77777777" w:rsidR="00155773" w:rsidRPr="008E63BB" w:rsidRDefault="00155773" w:rsidP="005C5BF9">
            <w:pPr>
              <w:jc w:val="center"/>
              <w:rPr>
                <w:rFonts w:eastAsia="Times New Roman"/>
                <w:szCs w:val="26"/>
              </w:rPr>
            </w:pPr>
            <w:r w:rsidRPr="008E63BB">
              <w:rPr>
                <w:rFonts w:eastAsia="Times New Roman"/>
                <w:szCs w:val="26"/>
              </w:rPr>
              <w:t>39,030.40</w:t>
            </w:r>
          </w:p>
        </w:tc>
      </w:tr>
      <w:tr w:rsidR="008D5BFE" w:rsidRPr="008E63BB" w14:paraId="519B3F1C"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16" w14:textId="77777777" w:rsidR="00155773" w:rsidRPr="008E63BB" w:rsidRDefault="00155773" w:rsidP="005C5BF9">
            <w:pPr>
              <w:jc w:val="center"/>
              <w:rPr>
                <w:rFonts w:eastAsia="Times New Roman"/>
                <w:b/>
                <w:bCs/>
                <w:szCs w:val="26"/>
              </w:rPr>
            </w:pPr>
            <w:r w:rsidRPr="008E63BB">
              <w:rPr>
                <w:rFonts w:eastAsia="Times New Roman"/>
                <w:b/>
                <w:bCs/>
                <w:szCs w:val="26"/>
              </w:rPr>
              <w:t>C</w:t>
            </w:r>
          </w:p>
        </w:tc>
        <w:tc>
          <w:tcPr>
            <w:tcW w:w="3948" w:type="dxa"/>
            <w:tcBorders>
              <w:top w:val="nil"/>
              <w:left w:val="nil"/>
              <w:bottom w:val="single" w:sz="4" w:space="0" w:color="auto"/>
              <w:right w:val="single" w:sz="4" w:space="0" w:color="auto"/>
            </w:tcBorders>
            <w:shd w:val="clear" w:color="auto" w:fill="auto"/>
            <w:vAlign w:val="center"/>
            <w:hideMark/>
          </w:tcPr>
          <w:p w14:paraId="519B3F17" w14:textId="77777777" w:rsidR="00155773" w:rsidRPr="008E63BB" w:rsidRDefault="00155773" w:rsidP="005C5BF9">
            <w:pPr>
              <w:rPr>
                <w:rFonts w:eastAsia="Times New Roman"/>
                <w:szCs w:val="26"/>
              </w:rPr>
            </w:pPr>
            <w:r w:rsidRPr="008E63BB">
              <w:rPr>
                <w:rFonts w:eastAsia="Times New Roman"/>
                <w:szCs w:val="26"/>
              </w:rPr>
              <w:t>Công trình thủy lợi</w:t>
            </w:r>
          </w:p>
        </w:tc>
        <w:tc>
          <w:tcPr>
            <w:tcW w:w="818" w:type="dxa"/>
            <w:tcBorders>
              <w:top w:val="nil"/>
              <w:left w:val="nil"/>
              <w:bottom w:val="single" w:sz="4" w:space="0" w:color="auto"/>
              <w:right w:val="single" w:sz="4" w:space="0" w:color="auto"/>
            </w:tcBorders>
            <w:shd w:val="clear" w:color="auto" w:fill="auto"/>
            <w:noWrap/>
            <w:vAlign w:val="center"/>
            <w:hideMark/>
          </w:tcPr>
          <w:p w14:paraId="519B3F18" w14:textId="77777777" w:rsidR="00155773" w:rsidRPr="008E63BB" w:rsidRDefault="00155773" w:rsidP="005C5BF9">
            <w:pPr>
              <w:jc w:val="center"/>
              <w:rPr>
                <w:rFonts w:eastAsia="Times New Roman"/>
                <w:szCs w:val="26"/>
              </w:rPr>
            </w:pPr>
            <w:r w:rsidRPr="008E63BB">
              <w:rPr>
                <w:rFonts w:eastAsia="Times New Roman"/>
                <w:szCs w:val="26"/>
              </w:rPr>
              <w:t> </w:t>
            </w:r>
          </w:p>
        </w:tc>
        <w:tc>
          <w:tcPr>
            <w:tcW w:w="1336" w:type="dxa"/>
            <w:tcBorders>
              <w:top w:val="nil"/>
              <w:left w:val="nil"/>
              <w:bottom w:val="single" w:sz="4" w:space="0" w:color="auto"/>
              <w:right w:val="single" w:sz="4" w:space="0" w:color="auto"/>
            </w:tcBorders>
            <w:shd w:val="clear" w:color="auto" w:fill="auto"/>
            <w:noWrap/>
            <w:vAlign w:val="center"/>
            <w:hideMark/>
          </w:tcPr>
          <w:p w14:paraId="519B3F19" w14:textId="77777777" w:rsidR="00155773" w:rsidRPr="008E63BB" w:rsidRDefault="00155773" w:rsidP="005C5BF9">
            <w:pPr>
              <w:jc w:val="center"/>
              <w:rPr>
                <w:rFonts w:eastAsia="Times New Roman"/>
                <w:szCs w:val="26"/>
              </w:rPr>
            </w:pPr>
            <w:r w:rsidRPr="008E63BB">
              <w:rPr>
                <w:rFonts w:eastAsia="Times New Roman"/>
                <w:szCs w:val="26"/>
              </w:rPr>
              <w:t> </w:t>
            </w:r>
          </w:p>
        </w:tc>
        <w:tc>
          <w:tcPr>
            <w:tcW w:w="1208" w:type="dxa"/>
            <w:tcBorders>
              <w:top w:val="nil"/>
              <w:left w:val="nil"/>
              <w:bottom w:val="single" w:sz="4" w:space="0" w:color="auto"/>
              <w:right w:val="single" w:sz="4" w:space="0" w:color="auto"/>
            </w:tcBorders>
            <w:shd w:val="clear" w:color="auto" w:fill="auto"/>
            <w:noWrap/>
            <w:vAlign w:val="center"/>
            <w:hideMark/>
          </w:tcPr>
          <w:p w14:paraId="519B3F1A"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1B" w14:textId="77777777" w:rsidR="00155773" w:rsidRPr="008E63BB" w:rsidRDefault="00155773" w:rsidP="005C5BF9">
            <w:pPr>
              <w:jc w:val="center"/>
              <w:rPr>
                <w:rFonts w:eastAsia="Times New Roman"/>
                <w:b/>
                <w:bCs/>
                <w:szCs w:val="26"/>
              </w:rPr>
            </w:pPr>
            <w:r w:rsidRPr="008E63BB">
              <w:rPr>
                <w:rFonts w:eastAsia="Times New Roman"/>
                <w:b/>
                <w:bCs/>
                <w:szCs w:val="26"/>
              </w:rPr>
              <w:t>450,000.00</w:t>
            </w:r>
          </w:p>
        </w:tc>
      </w:tr>
      <w:tr w:rsidR="008D5BFE" w:rsidRPr="008E63BB" w14:paraId="519B3F21"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1D" w14:textId="77777777" w:rsidR="00155773" w:rsidRPr="008E63BB" w:rsidRDefault="00155773" w:rsidP="005C5BF9">
            <w:pPr>
              <w:jc w:val="center"/>
              <w:rPr>
                <w:rFonts w:eastAsia="Times New Roman"/>
                <w:szCs w:val="26"/>
              </w:rPr>
            </w:pPr>
            <w:r w:rsidRPr="008E63BB">
              <w:rPr>
                <w:rFonts w:eastAsia="Times New Roman"/>
                <w:szCs w:val="26"/>
              </w:rPr>
              <w:t>1</w:t>
            </w:r>
          </w:p>
        </w:tc>
        <w:tc>
          <w:tcPr>
            <w:tcW w:w="3948" w:type="dxa"/>
            <w:tcBorders>
              <w:top w:val="nil"/>
              <w:left w:val="nil"/>
              <w:bottom w:val="single" w:sz="4" w:space="0" w:color="auto"/>
              <w:right w:val="single" w:sz="4" w:space="0" w:color="auto"/>
            </w:tcBorders>
            <w:shd w:val="clear" w:color="auto" w:fill="auto"/>
            <w:vAlign w:val="center"/>
            <w:hideMark/>
          </w:tcPr>
          <w:p w14:paraId="519B3F1E" w14:textId="77777777" w:rsidR="00155773" w:rsidRPr="008E63BB" w:rsidRDefault="00155773" w:rsidP="005C5BF9">
            <w:pPr>
              <w:rPr>
                <w:rFonts w:eastAsia="Times New Roman"/>
                <w:szCs w:val="26"/>
              </w:rPr>
            </w:pPr>
            <w:r w:rsidRPr="008E63BB">
              <w:rPr>
                <w:rFonts w:eastAsia="Times New Roman"/>
                <w:szCs w:val="26"/>
              </w:rPr>
              <w:t xml:space="preserve">Xây mới trạm bơm </w:t>
            </w:r>
            <w:r w:rsidRPr="008E63BB">
              <w:rPr>
                <w:rFonts w:eastAsia="Times New Roman"/>
                <w:szCs w:val="26"/>
              </w:rPr>
              <w:br/>
              <w:t>Cống Mý 128.000 m3/h</w:t>
            </w:r>
          </w:p>
        </w:tc>
        <w:tc>
          <w:tcPr>
            <w:tcW w:w="336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F1F"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20" w14:textId="77777777" w:rsidR="00155773" w:rsidRPr="008E63BB" w:rsidRDefault="00155773" w:rsidP="005C5BF9">
            <w:pPr>
              <w:jc w:val="center"/>
              <w:rPr>
                <w:rFonts w:eastAsia="Times New Roman"/>
                <w:szCs w:val="26"/>
              </w:rPr>
            </w:pPr>
            <w:r w:rsidRPr="008E63BB">
              <w:rPr>
                <w:rFonts w:eastAsia="Times New Roman"/>
                <w:szCs w:val="26"/>
              </w:rPr>
              <w:t>100,000.00</w:t>
            </w:r>
          </w:p>
        </w:tc>
      </w:tr>
      <w:tr w:rsidR="008D5BFE" w:rsidRPr="008E63BB" w14:paraId="519B3F28"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22" w14:textId="77777777" w:rsidR="00155773" w:rsidRPr="008E63BB" w:rsidRDefault="00155773" w:rsidP="005C5BF9">
            <w:pPr>
              <w:jc w:val="center"/>
              <w:rPr>
                <w:rFonts w:eastAsia="Times New Roman"/>
                <w:szCs w:val="26"/>
              </w:rPr>
            </w:pPr>
            <w:r w:rsidRPr="008E63BB">
              <w:rPr>
                <w:rFonts w:eastAsia="Times New Roman"/>
                <w:szCs w:val="26"/>
              </w:rPr>
              <w:t>2</w:t>
            </w:r>
          </w:p>
        </w:tc>
        <w:tc>
          <w:tcPr>
            <w:tcW w:w="3948" w:type="dxa"/>
            <w:tcBorders>
              <w:top w:val="nil"/>
              <w:left w:val="nil"/>
              <w:bottom w:val="single" w:sz="4" w:space="0" w:color="auto"/>
              <w:right w:val="single" w:sz="4" w:space="0" w:color="auto"/>
            </w:tcBorders>
            <w:shd w:val="clear" w:color="auto" w:fill="auto"/>
            <w:vAlign w:val="center"/>
            <w:hideMark/>
          </w:tcPr>
          <w:p w14:paraId="519B3F23" w14:textId="77777777" w:rsidR="00155773" w:rsidRPr="008E63BB" w:rsidRDefault="00155773" w:rsidP="005C5BF9">
            <w:pPr>
              <w:rPr>
                <w:rFonts w:eastAsia="Times New Roman"/>
                <w:szCs w:val="26"/>
              </w:rPr>
            </w:pPr>
            <w:r w:rsidRPr="008E63BB">
              <w:rPr>
                <w:rFonts w:eastAsia="Times New Roman"/>
                <w:szCs w:val="26"/>
              </w:rPr>
              <w:t>Hồ điều hòa trạm bơm Kênh Gia</w:t>
            </w:r>
          </w:p>
        </w:tc>
        <w:tc>
          <w:tcPr>
            <w:tcW w:w="818" w:type="dxa"/>
            <w:tcBorders>
              <w:top w:val="nil"/>
              <w:left w:val="nil"/>
              <w:bottom w:val="single" w:sz="4" w:space="0" w:color="auto"/>
              <w:right w:val="single" w:sz="4" w:space="0" w:color="auto"/>
            </w:tcBorders>
            <w:shd w:val="clear" w:color="auto" w:fill="auto"/>
            <w:noWrap/>
            <w:vAlign w:val="center"/>
            <w:hideMark/>
          </w:tcPr>
          <w:p w14:paraId="519B3F24" w14:textId="77777777" w:rsidR="00155773" w:rsidRPr="008E63BB" w:rsidRDefault="00155773" w:rsidP="005C5BF9">
            <w:pPr>
              <w:jc w:val="center"/>
              <w:rPr>
                <w:rFonts w:eastAsia="Times New Roman"/>
                <w:szCs w:val="26"/>
              </w:rPr>
            </w:pPr>
            <w:r w:rsidRPr="008E63BB">
              <w:rPr>
                <w:rFonts w:eastAsia="Times New Roman"/>
                <w:szCs w:val="26"/>
              </w:rPr>
              <w:t> </w:t>
            </w:r>
          </w:p>
        </w:tc>
        <w:tc>
          <w:tcPr>
            <w:tcW w:w="1336" w:type="dxa"/>
            <w:tcBorders>
              <w:top w:val="nil"/>
              <w:left w:val="nil"/>
              <w:bottom w:val="single" w:sz="4" w:space="0" w:color="auto"/>
              <w:right w:val="single" w:sz="4" w:space="0" w:color="auto"/>
            </w:tcBorders>
            <w:shd w:val="clear" w:color="auto" w:fill="auto"/>
            <w:noWrap/>
            <w:vAlign w:val="center"/>
            <w:hideMark/>
          </w:tcPr>
          <w:p w14:paraId="519B3F25" w14:textId="77777777" w:rsidR="00155773" w:rsidRPr="008E63BB" w:rsidRDefault="00155773" w:rsidP="005C5BF9">
            <w:pPr>
              <w:jc w:val="center"/>
              <w:rPr>
                <w:rFonts w:eastAsia="Times New Roman"/>
                <w:szCs w:val="26"/>
              </w:rPr>
            </w:pPr>
            <w:r w:rsidRPr="008E63BB">
              <w:rPr>
                <w:rFonts w:eastAsia="Times New Roman"/>
                <w:szCs w:val="26"/>
              </w:rPr>
              <w:t> </w:t>
            </w:r>
          </w:p>
        </w:tc>
        <w:tc>
          <w:tcPr>
            <w:tcW w:w="1208" w:type="dxa"/>
            <w:tcBorders>
              <w:top w:val="nil"/>
              <w:left w:val="nil"/>
              <w:bottom w:val="single" w:sz="4" w:space="0" w:color="auto"/>
              <w:right w:val="single" w:sz="4" w:space="0" w:color="auto"/>
            </w:tcBorders>
            <w:shd w:val="clear" w:color="auto" w:fill="auto"/>
            <w:noWrap/>
            <w:vAlign w:val="center"/>
            <w:hideMark/>
          </w:tcPr>
          <w:p w14:paraId="519B3F26"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27" w14:textId="77777777" w:rsidR="00155773" w:rsidRPr="008E63BB" w:rsidRDefault="00155773" w:rsidP="005C5BF9">
            <w:pPr>
              <w:jc w:val="center"/>
              <w:rPr>
                <w:rFonts w:eastAsia="Times New Roman"/>
                <w:szCs w:val="26"/>
              </w:rPr>
            </w:pPr>
            <w:r w:rsidRPr="008E63BB">
              <w:rPr>
                <w:rFonts w:eastAsia="Times New Roman"/>
                <w:szCs w:val="26"/>
              </w:rPr>
              <w:t>10,000.00</w:t>
            </w:r>
          </w:p>
        </w:tc>
      </w:tr>
      <w:tr w:rsidR="008D5BFE" w:rsidRPr="008E63BB" w14:paraId="519B3F2F"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29" w14:textId="77777777" w:rsidR="00155773" w:rsidRPr="008E63BB" w:rsidRDefault="00155773" w:rsidP="005C5BF9">
            <w:pPr>
              <w:jc w:val="center"/>
              <w:rPr>
                <w:rFonts w:eastAsia="Times New Roman"/>
                <w:szCs w:val="26"/>
              </w:rPr>
            </w:pPr>
            <w:r w:rsidRPr="008E63BB">
              <w:rPr>
                <w:rFonts w:eastAsia="Times New Roman"/>
                <w:szCs w:val="26"/>
              </w:rPr>
              <w:t>3</w:t>
            </w:r>
          </w:p>
        </w:tc>
        <w:tc>
          <w:tcPr>
            <w:tcW w:w="3948" w:type="dxa"/>
            <w:tcBorders>
              <w:top w:val="nil"/>
              <w:left w:val="nil"/>
              <w:bottom w:val="single" w:sz="4" w:space="0" w:color="auto"/>
              <w:right w:val="single" w:sz="4" w:space="0" w:color="auto"/>
            </w:tcBorders>
            <w:shd w:val="clear" w:color="auto" w:fill="auto"/>
            <w:vAlign w:val="center"/>
            <w:hideMark/>
          </w:tcPr>
          <w:p w14:paraId="519B3F2A" w14:textId="77777777" w:rsidR="00155773" w:rsidRPr="008E63BB" w:rsidRDefault="00155773" w:rsidP="005C5BF9">
            <w:pPr>
              <w:rPr>
                <w:rFonts w:eastAsia="Times New Roman"/>
                <w:szCs w:val="26"/>
              </w:rPr>
            </w:pPr>
            <w:r w:rsidRPr="008E63BB">
              <w:rPr>
                <w:rFonts w:eastAsia="Times New Roman"/>
                <w:szCs w:val="26"/>
              </w:rPr>
              <w:t>Kè gia cố kênh tiêu</w:t>
            </w:r>
          </w:p>
        </w:tc>
        <w:tc>
          <w:tcPr>
            <w:tcW w:w="818" w:type="dxa"/>
            <w:tcBorders>
              <w:top w:val="nil"/>
              <w:left w:val="nil"/>
              <w:bottom w:val="single" w:sz="4" w:space="0" w:color="auto"/>
              <w:right w:val="single" w:sz="4" w:space="0" w:color="auto"/>
            </w:tcBorders>
            <w:shd w:val="clear" w:color="auto" w:fill="auto"/>
            <w:noWrap/>
            <w:vAlign w:val="center"/>
            <w:hideMark/>
          </w:tcPr>
          <w:p w14:paraId="519B3F2B" w14:textId="77777777" w:rsidR="00155773" w:rsidRPr="008E63BB" w:rsidRDefault="00155773" w:rsidP="005C5BF9">
            <w:pPr>
              <w:jc w:val="center"/>
              <w:rPr>
                <w:rFonts w:eastAsia="Times New Roman"/>
                <w:szCs w:val="26"/>
              </w:rPr>
            </w:pPr>
            <w:r w:rsidRPr="008E63BB">
              <w:rPr>
                <w:rFonts w:eastAsia="Times New Roman"/>
                <w:szCs w:val="26"/>
              </w:rPr>
              <w:t>m</w:t>
            </w:r>
          </w:p>
        </w:tc>
        <w:tc>
          <w:tcPr>
            <w:tcW w:w="1336" w:type="dxa"/>
            <w:tcBorders>
              <w:top w:val="nil"/>
              <w:left w:val="nil"/>
              <w:bottom w:val="single" w:sz="4" w:space="0" w:color="auto"/>
              <w:right w:val="single" w:sz="4" w:space="0" w:color="auto"/>
            </w:tcBorders>
            <w:shd w:val="clear" w:color="auto" w:fill="auto"/>
            <w:noWrap/>
            <w:vAlign w:val="center"/>
            <w:hideMark/>
          </w:tcPr>
          <w:p w14:paraId="519B3F2C" w14:textId="77777777" w:rsidR="00155773" w:rsidRPr="008E63BB" w:rsidRDefault="00155773" w:rsidP="005C5BF9">
            <w:pPr>
              <w:jc w:val="center"/>
              <w:rPr>
                <w:rFonts w:eastAsia="Times New Roman"/>
                <w:szCs w:val="26"/>
              </w:rPr>
            </w:pPr>
            <w:r w:rsidRPr="008E63BB">
              <w:rPr>
                <w:rFonts w:eastAsia="Times New Roman"/>
                <w:szCs w:val="26"/>
              </w:rPr>
              <w:t>52000</w:t>
            </w:r>
          </w:p>
        </w:tc>
        <w:tc>
          <w:tcPr>
            <w:tcW w:w="1208" w:type="dxa"/>
            <w:tcBorders>
              <w:top w:val="nil"/>
              <w:left w:val="nil"/>
              <w:bottom w:val="single" w:sz="4" w:space="0" w:color="auto"/>
              <w:right w:val="single" w:sz="4" w:space="0" w:color="auto"/>
            </w:tcBorders>
            <w:shd w:val="clear" w:color="auto" w:fill="auto"/>
            <w:noWrap/>
            <w:vAlign w:val="center"/>
            <w:hideMark/>
          </w:tcPr>
          <w:p w14:paraId="519B3F2D" w14:textId="77777777" w:rsidR="00155773" w:rsidRPr="008E63BB" w:rsidRDefault="00155773" w:rsidP="005C5BF9">
            <w:pPr>
              <w:jc w:val="center"/>
              <w:rPr>
                <w:rFonts w:eastAsia="Times New Roman"/>
                <w:szCs w:val="26"/>
              </w:rPr>
            </w:pPr>
            <w:r w:rsidRPr="008E63BB">
              <w:rPr>
                <w:rFonts w:eastAsia="Times New Roman"/>
                <w:szCs w:val="26"/>
              </w:rPr>
              <w:t>5</w:t>
            </w:r>
          </w:p>
        </w:tc>
        <w:tc>
          <w:tcPr>
            <w:tcW w:w="1771" w:type="dxa"/>
            <w:tcBorders>
              <w:top w:val="nil"/>
              <w:left w:val="nil"/>
              <w:bottom w:val="single" w:sz="4" w:space="0" w:color="auto"/>
              <w:right w:val="single" w:sz="4" w:space="0" w:color="auto"/>
            </w:tcBorders>
            <w:shd w:val="clear" w:color="auto" w:fill="auto"/>
            <w:noWrap/>
            <w:vAlign w:val="center"/>
            <w:hideMark/>
          </w:tcPr>
          <w:p w14:paraId="519B3F2E" w14:textId="77777777" w:rsidR="00155773" w:rsidRPr="008E63BB" w:rsidRDefault="00155773" w:rsidP="005C5BF9">
            <w:pPr>
              <w:jc w:val="center"/>
              <w:rPr>
                <w:rFonts w:eastAsia="Times New Roman"/>
                <w:szCs w:val="26"/>
              </w:rPr>
            </w:pPr>
            <w:r w:rsidRPr="008E63BB">
              <w:rPr>
                <w:rFonts w:eastAsia="Times New Roman"/>
                <w:szCs w:val="26"/>
              </w:rPr>
              <w:t>260,000.00</w:t>
            </w:r>
          </w:p>
        </w:tc>
      </w:tr>
      <w:tr w:rsidR="008D5BFE" w:rsidRPr="008E63BB" w14:paraId="519B3F36"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30" w14:textId="77777777" w:rsidR="00155773" w:rsidRPr="008E63BB" w:rsidRDefault="00155773" w:rsidP="005C5BF9">
            <w:pPr>
              <w:jc w:val="center"/>
              <w:rPr>
                <w:rFonts w:eastAsia="Times New Roman"/>
                <w:szCs w:val="26"/>
              </w:rPr>
            </w:pPr>
            <w:r w:rsidRPr="008E63BB">
              <w:rPr>
                <w:rFonts w:eastAsia="Times New Roman"/>
                <w:szCs w:val="26"/>
              </w:rPr>
              <w:t>4</w:t>
            </w:r>
          </w:p>
        </w:tc>
        <w:tc>
          <w:tcPr>
            <w:tcW w:w="3948" w:type="dxa"/>
            <w:tcBorders>
              <w:top w:val="nil"/>
              <w:left w:val="nil"/>
              <w:bottom w:val="single" w:sz="4" w:space="0" w:color="auto"/>
              <w:right w:val="single" w:sz="4" w:space="0" w:color="auto"/>
            </w:tcBorders>
            <w:shd w:val="clear" w:color="auto" w:fill="auto"/>
            <w:vAlign w:val="center"/>
            <w:hideMark/>
          </w:tcPr>
          <w:p w14:paraId="519B3F31" w14:textId="77777777" w:rsidR="00155773" w:rsidRPr="008E63BB" w:rsidRDefault="00155773" w:rsidP="005C5BF9">
            <w:pPr>
              <w:rPr>
                <w:rFonts w:eastAsia="Times New Roman"/>
                <w:szCs w:val="26"/>
              </w:rPr>
            </w:pPr>
            <w:r w:rsidRPr="008E63BB">
              <w:rPr>
                <w:rFonts w:eastAsia="Times New Roman"/>
                <w:szCs w:val="26"/>
              </w:rPr>
              <w:t>Xây mới kênh tiêu, hồ điều hòa</w:t>
            </w:r>
          </w:p>
        </w:tc>
        <w:tc>
          <w:tcPr>
            <w:tcW w:w="818" w:type="dxa"/>
            <w:tcBorders>
              <w:top w:val="nil"/>
              <w:left w:val="nil"/>
              <w:bottom w:val="single" w:sz="4" w:space="0" w:color="auto"/>
              <w:right w:val="single" w:sz="4" w:space="0" w:color="auto"/>
            </w:tcBorders>
            <w:shd w:val="clear" w:color="auto" w:fill="auto"/>
            <w:noWrap/>
            <w:vAlign w:val="center"/>
            <w:hideMark/>
          </w:tcPr>
          <w:p w14:paraId="519B3F32" w14:textId="77777777" w:rsidR="00155773" w:rsidRPr="008E63BB" w:rsidRDefault="00155773" w:rsidP="005C5BF9">
            <w:pPr>
              <w:jc w:val="center"/>
              <w:rPr>
                <w:rFonts w:eastAsia="Times New Roman"/>
                <w:szCs w:val="26"/>
              </w:rPr>
            </w:pPr>
            <w:r w:rsidRPr="008E63BB">
              <w:rPr>
                <w:rFonts w:eastAsia="Times New Roman"/>
                <w:szCs w:val="26"/>
              </w:rPr>
              <w:t> </w:t>
            </w:r>
          </w:p>
        </w:tc>
        <w:tc>
          <w:tcPr>
            <w:tcW w:w="1336" w:type="dxa"/>
            <w:tcBorders>
              <w:top w:val="nil"/>
              <w:left w:val="nil"/>
              <w:bottom w:val="single" w:sz="4" w:space="0" w:color="auto"/>
              <w:right w:val="single" w:sz="4" w:space="0" w:color="auto"/>
            </w:tcBorders>
            <w:shd w:val="clear" w:color="auto" w:fill="auto"/>
            <w:noWrap/>
            <w:vAlign w:val="center"/>
            <w:hideMark/>
          </w:tcPr>
          <w:p w14:paraId="519B3F33" w14:textId="77777777" w:rsidR="00155773" w:rsidRPr="008E63BB" w:rsidRDefault="00155773" w:rsidP="005C5BF9">
            <w:pPr>
              <w:jc w:val="center"/>
              <w:rPr>
                <w:rFonts w:eastAsia="Times New Roman"/>
                <w:szCs w:val="26"/>
              </w:rPr>
            </w:pPr>
            <w:r w:rsidRPr="008E63BB">
              <w:rPr>
                <w:rFonts w:eastAsia="Times New Roman"/>
                <w:szCs w:val="26"/>
              </w:rPr>
              <w:t> </w:t>
            </w:r>
          </w:p>
        </w:tc>
        <w:tc>
          <w:tcPr>
            <w:tcW w:w="1208" w:type="dxa"/>
            <w:tcBorders>
              <w:top w:val="nil"/>
              <w:left w:val="nil"/>
              <w:bottom w:val="single" w:sz="4" w:space="0" w:color="auto"/>
              <w:right w:val="single" w:sz="4" w:space="0" w:color="auto"/>
            </w:tcBorders>
            <w:shd w:val="clear" w:color="auto" w:fill="auto"/>
            <w:noWrap/>
            <w:vAlign w:val="center"/>
            <w:hideMark/>
          </w:tcPr>
          <w:p w14:paraId="519B3F34"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35" w14:textId="77777777" w:rsidR="00155773" w:rsidRPr="008E63BB" w:rsidRDefault="00155773" w:rsidP="005C5BF9">
            <w:pPr>
              <w:jc w:val="center"/>
              <w:rPr>
                <w:rFonts w:eastAsia="Times New Roman"/>
                <w:szCs w:val="26"/>
              </w:rPr>
            </w:pPr>
            <w:r w:rsidRPr="008E63BB">
              <w:rPr>
                <w:rFonts w:eastAsia="Times New Roman"/>
                <w:szCs w:val="26"/>
              </w:rPr>
              <w:t>80,000.00</w:t>
            </w:r>
          </w:p>
        </w:tc>
      </w:tr>
      <w:tr w:rsidR="008D5BFE" w:rsidRPr="008E63BB" w14:paraId="519B3F3B"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37" w14:textId="77777777" w:rsidR="00155773" w:rsidRPr="008E63BB" w:rsidRDefault="00155773" w:rsidP="005C5BF9">
            <w:pPr>
              <w:jc w:val="center"/>
              <w:rPr>
                <w:rFonts w:eastAsia="Times New Roman"/>
                <w:b/>
                <w:bCs/>
                <w:szCs w:val="26"/>
              </w:rPr>
            </w:pPr>
            <w:r w:rsidRPr="008E63BB">
              <w:rPr>
                <w:rFonts w:eastAsia="Times New Roman"/>
                <w:b/>
                <w:bCs/>
                <w:szCs w:val="26"/>
              </w:rPr>
              <w:t>D</w:t>
            </w:r>
          </w:p>
        </w:tc>
        <w:tc>
          <w:tcPr>
            <w:tcW w:w="3948" w:type="dxa"/>
            <w:tcBorders>
              <w:top w:val="nil"/>
              <w:left w:val="nil"/>
              <w:bottom w:val="single" w:sz="4" w:space="0" w:color="auto"/>
              <w:right w:val="single" w:sz="4" w:space="0" w:color="auto"/>
            </w:tcBorders>
            <w:shd w:val="clear" w:color="auto" w:fill="auto"/>
            <w:noWrap/>
            <w:vAlign w:val="center"/>
            <w:hideMark/>
          </w:tcPr>
          <w:p w14:paraId="519B3F38" w14:textId="77777777" w:rsidR="00155773" w:rsidRPr="008E63BB" w:rsidRDefault="00155773" w:rsidP="005C5BF9">
            <w:pPr>
              <w:rPr>
                <w:rFonts w:eastAsia="Times New Roman"/>
                <w:szCs w:val="26"/>
              </w:rPr>
            </w:pPr>
            <w:r w:rsidRPr="008E63BB">
              <w:rPr>
                <w:rFonts w:eastAsia="Times New Roman"/>
                <w:szCs w:val="26"/>
              </w:rPr>
              <w:t xml:space="preserve">Tổng </w:t>
            </w:r>
            <w:r w:rsidRPr="008E63BB">
              <w:rPr>
                <w:rFonts w:eastAsia="Times New Roman"/>
                <w:b/>
                <w:bCs/>
                <w:szCs w:val="26"/>
              </w:rPr>
              <w:t>A+B+C</w:t>
            </w:r>
          </w:p>
        </w:tc>
        <w:tc>
          <w:tcPr>
            <w:tcW w:w="336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F39"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3A" w14:textId="77777777" w:rsidR="00155773" w:rsidRPr="008E63BB" w:rsidRDefault="00155773" w:rsidP="005C5BF9">
            <w:pPr>
              <w:jc w:val="center"/>
              <w:rPr>
                <w:rFonts w:eastAsia="Times New Roman"/>
                <w:szCs w:val="26"/>
              </w:rPr>
            </w:pPr>
            <w:r w:rsidRPr="008E63BB">
              <w:rPr>
                <w:rFonts w:eastAsia="Times New Roman"/>
                <w:szCs w:val="26"/>
              </w:rPr>
              <w:t>2,131,782.40</w:t>
            </w:r>
          </w:p>
        </w:tc>
      </w:tr>
      <w:tr w:rsidR="008D5BFE" w:rsidRPr="008E63BB" w14:paraId="519B3F40"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3C" w14:textId="77777777" w:rsidR="00155773" w:rsidRPr="008E63BB" w:rsidRDefault="00155773" w:rsidP="005C5BF9">
            <w:pPr>
              <w:jc w:val="center"/>
              <w:rPr>
                <w:rFonts w:eastAsia="Times New Roman"/>
                <w:b/>
                <w:bCs/>
                <w:szCs w:val="26"/>
              </w:rPr>
            </w:pPr>
            <w:r w:rsidRPr="008E63BB">
              <w:rPr>
                <w:rFonts w:eastAsia="Times New Roman"/>
                <w:b/>
                <w:bCs/>
                <w:szCs w:val="26"/>
              </w:rPr>
              <w:t>E</w:t>
            </w:r>
          </w:p>
        </w:tc>
        <w:tc>
          <w:tcPr>
            <w:tcW w:w="3948" w:type="dxa"/>
            <w:tcBorders>
              <w:top w:val="nil"/>
              <w:left w:val="nil"/>
              <w:bottom w:val="single" w:sz="4" w:space="0" w:color="auto"/>
              <w:right w:val="single" w:sz="4" w:space="0" w:color="auto"/>
            </w:tcBorders>
            <w:shd w:val="clear" w:color="auto" w:fill="auto"/>
            <w:noWrap/>
            <w:vAlign w:val="center"/>
            <w:hideMark/>
          </w:tcPr>
          <w:p w14:paraId="519B3F3D" w14:textId="77777777" w:rsidR="00155773" w:rsidRPr="008E63BB" w:rsidRDefault="00155773" w:rsidP="005C5BF9">
            <w:pPr>
              <w:rPr>
                <w:rFonts w:eastAsia="Times New Roman"/>
                <w:szCs w:val="26"/>
              </w:rPr>
            </w:pPr>
            <w:r w:rsidRPr="008E63BB">
              <w:rPr>
                <w:rFonts w:eastAsia="Times New Roman"/>
                <w:szCs w:val="26"/>
              </w:rPr>
              <w:t>10% dự phòng</w:t>
            </w:r>
          </w:p>
        </w:tc>
        <w:tc>
          <w:tcPr>
            <w:tcW w:w="336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F3E"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3F" w14:textId="77777777" w:rsidR="00155773" w:rsidRPr="008E63BB" w:rsidRDefault="00155773" w:rsidP="005C5BF9">
            <w:pPr>
              <w:jc w:val="center"/>
              <w:rPr>
                <w:rFonts w:eastAsia="Times New Roman"/>
                <w:szCs w:val="26"/>
              </w:rPr>
            </w:pPr>
            <w:r w:rsidRPr="008E63BB">
              <w:rPr>
                <w:rFonts w:eastAsia="Times New Roman"/>
                <w:szCs w:val="26"/>
              </w:rPr>
              <w:t>213,178.24</w:t>
            </w:r>
          </w:p>
        </w:tc>
      </w:tr>
      <w:tr w:rsidR="008D5BFE" w:rsidRPr="008E63BB" w14:paraId="519B3F45" w14:textId="77777777" w:rsidTr="00D37901">
        <w:trPr>
          <w:trHeight w:val="20"/>
          <w:jc w:val="center"/>
        </w:trPr>
        <w:tc>
          <w:tcPr>
            <w:tcW w:w="748" w:type="dxa"/>
            <w:tcBorders>
              <w:top w:val="nil"/>
              <w:left w:val="single" w:sz="4" w:space="0" w:color="auto"/>
              <w:bottom w:val="single" w:sz="4" w:space="0" w:color="auto"/>
              <w:right w:val="single" w:sz="4" w:space="0" w:color="auto"/>
            </w:tcBorders>
            <w:shd w:val="clear" w:color="auto" w:fill="auto"/>
            <w:noWrap/>
            <w:vAlign w:val="center"/>
            <w:hideMark/>
          </w:tcPr>
          <w:p w14:paraId="519B3F41" w14:textId="77777777" w:rsidR="00155773" w:rsidRPr="008E63BB" w:rsidRDefault="00155773" w:rsidP="005C5BF9">
            <w:pPr>
              <w:jc w:val="center"/>
              <w:rPr>
                <w:rFonts w:eastAsia="Times New Roman"/>
                <w:b/>
                <w:bCs/>
                <w:szCs w:val="26"/>
              </w:rPr>
            </w:pPr>
            <w:r w:rsidRPr="008E63BB">
              <w:rPr>
                <w:rFonts w:eastAsia="Times New Roman"/>
                <w:b/>
                <w:bCs/>
                <w:szCs w:val="26"/>
              </w:rPr>
              <w:lastRenderedPageBreak/>
              <w:t>F</w:t>
            </w:r>
          </w:p>
        </w:tc>
        <w:tc>
          <w:tcPr>
            <w:tcW w:w="3948" w:type="dxa"/>
            <w:tcBorders>
              <w:top w:val="nil"/>
              <w:left w:val="nil"/>
              <w:bottom w:val="single" w:sz="4" w:space="0" w:color="auto"/>
              <w:right w:val="single" w:sz="4" w:space="0" w:color="auto"/>
            </w:tcBorders>
            <w:shd w:val="clear" w:color="auto" w:fill="auto"/>
            <w:noWrap/>
            <w:vAlign w:val="center"/>
            <w:hideMark/>
          </w:tcPr>
          <w:p w14:paraId="519B3F42" w14:textId="77777777" w:rsidR="00155773" w:rsidRPr="008E63BB" w:rsidRDefault="00155773" w:rsidP="005C5BF9">
            <w:pPr>
              <w:jc w:val="center"/>
              <w:rPr>
                <w:rFonts w:eastAsia="Times New Roman"/>
                <w:b/>
                <w:bCs/>
                <w:szCs w:val="26"/>
              </w:rPr>
            </w:pPr>
            <w:r w:rsidRPr="008E63BB">
              <w:rPr>
                <w:rFonts w:eastAsia="Times New Roman"/>
                <w:b/>
                <w:bCs/>
                <w:szCs w:val="26"/>
              </w:rPr>
              <w:t>Tổng cộng: C+D</w:t>
            </w:r>
          </w:p>
        </w:tc>
        <w:tc>
          <w:tcPr>
            <w:tcW w:w="3362"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9B3F43" w14:textId="77777777" w:rsidR="00155773" w:rsidRPr="008E63BB" w:rsidRDefault="00155773" w:rsidP="005C5BF9">
            <w:pPr>
              <w:jc w:val="center"/>
              <w:rPr>
                <w:rFonts w:eastAsia="Times New Roman"/>
                <w:szCs w:val="26"/>
              </w:rPr>
            </w:pPr>
            <w:r w:rsidRPr="008E63BB">
              <w:rPr>
                <w:rFonts w:eastAsia="Times New Roman"/>
                <w:szCs w:val="26"/>
              </w:rPr>
              <w:t> </w:t>
            </w:r>
          </w:p>
        </w:tc>
        <w:tc>
          <w:tcPr>
            <w:tcW w:w="1771" w:type="dxa"/>
            <w:tcBorders>
              <w:top w:val="nil"/>
              <w:left w:val="nil"/>
              <w:bottom w:val="single" w:sz="4" w:space="0" w:color="auto"/>
              <w:right w:val="single" w:sz="4" w:space="0" w:color="auto"/>
            </w:tcBorders>
            <w:shd w:val="clear" w:color="auto" w:fill="auto"/>
            <w:noWrap/>
            <w:vAlign w:val="center"/>
            <w:hideMark/>
          </w:tcPr>
          <w:p w14:paraId="519B3F44" w14:textId="77777777" w:rsidR="00155773" w:rsidRPr="008E63BB" w:rsidRDefault="00155773" w:rsidP="005C5BF9">
            <w:pPr>
              <w:jc w:val="center"/>
              <w:rPr>
                <w:rFonts w:eastAsia="Times New Roman"/>
                <w:b/>
                <w:bCs/>
                <w:szCs w:val="26"/>
              </w:rPr>
            </w:pPr>
            <w:r w:rsidRPr="008E63BB">
              <w:rPr>
                <w:rFonts w:eastAsia="Times New Roman"/>
                <w:b/>
                <w:bCs/>
                <w:szCs w:val="26"/>
              </w:rPr>
              <w:t>2,344,960.64</w:t>
            </w:r>
          </w:p>
        </w:tc>
      </w:tr>
    </w:tbl>
    <w:p w14:paraId="519B3F46" w14:textId="77777777" w:rsidR="00155773" w:rsidRPr="008E63BB" w:rsidRDefault="00155773" w:rsidP="00155773">
      <w:pPr>
        <w:jc w:val="center"/>
        <w:rPr>
          <w:szCs w:val="26"/>
        </w:rPr>
      </w:pPr>
      <w:r w:rsidRPr="008E63BB">
        <w:rPr>
          <w:szCs w:val="26"/>
        </w:rPr>
        <w:t>Khoái toán kinh phí đợt đầu Cao độ nền, thoát nước mưa làm tròn 2.345 tỷ đồng</w:t>
      </w:r>
    </w:p>
    <w:p w14:paraId="519B3F47" w14:textId="77777777" w:rsidR="00861A49" w:rsidRPr="008E63BB" w:rsidRDefault="00861A49" w:rsidP="003D057A">
      <w:pPr>
        <w:pStyle w:val="Heading3"/>
        <w:rPr>
          <w:lang w:val="vi-VN"/>
        </w:rPr>
      </w:pPr>
      <w:bookmarkStart w:id="519" w:name="_Toc14778304"/>
      <w:bookmarkStart w:id="520" w:name="_Toc47524735"/>
      <w:bookmarkEnd w:id="518"/>
      <w:r w:rsidRPr="008E63BB">
        <w:rPr>
          <w:lang w:val="vi-VN"/>
        </w:rPr>
        <w:t>7.3.3. Cấp nước</w:t>
      </w:r>
      <w:bookmarkEnd w:id="519"/>
      <w:bookmarkEnd w:id="520"/>
    </w:p>
    <w:p w14:paraId="519B3F48" w14:textId="77777777" w:rsidR="00EE602B" w:rsidRPr="008E63BB" w:rsidRDefault="00EE602B" w:rsidP="00EE602B">
      <w:pPr>
        <w:rPr>
          <w:i/>
          <w:szCs w:val="26"/>
          <w:lang w:val="vi-VN"/>
        </w:rPr>
      </w:pPr>
      <w:bookmarkStart w:id="521" w:name="_Toc345538416"/>
      <w:bookmarkStart w:id="522" w:name="_Toc14778305"/>
      <w:r w:rsidRPr="008E63BB">
        <w:rPr>
          <w:i/>
          <w:szCs w:val="26"/>
          <w:lang w:val="vi-VN"/>
        </w:rPr>
        <w:t>a/ Tiêu chuẩn và nhu cầu dùng nước:</w:t>
      </w:r>
    </w:p>
    <w:p w14:paraId="519B3F49" w14:textId="77777777" w:rsidR="00EE602B" w:rsidRPr="008E63BB" w:rsidRDefault="00EE602B" w:rsidP="00EE602B">
      <w:pPr>
        <w:rPr>
          <w:szCs w:val="26"/>
          <w:lang w:val="vi-VN"/>
        </w:rPr>
      </w:pPr>
      <w:r w:rsidRPr="008E63BB">
        <w:rPr>
          <w:szCs w:val="26"/>
          <w:lang w:val="vi-VN"/>
        </w:rPr>
        <w:t>- Tiêu chuẩn:</w:t>
      </w:r>
    </w:p>
    <w:p w14:paraId="519B3F4A" w14:textId="77777777" w:rsidR="00EE602B" w:rsidRPr="008E63BB" w:rsidRDefault="00EE602B" w:rsidP="00EE602B">
      <w:pPr>
        <w:ind w:firstLine="709"/>
        <w:rPr>
          <w:szCs w:val="26"/>
          <w:lang w:val="vi-VN"/>
        </w:rPr>
      </w:pPr>
      <w:r w:rsidRPr="008E63BB">
        <w:rPr>
          <w:szCs w:val="26"/>
          <w:lang w:val="vi-VN"/>
        </w:rPr>
        <w:t>+ Nước sinh hoạt nội thị: 150 l/ng.ngđ cấp cho 100% dân</w:t>
      </w:r>
    </w:p>
    <w:p w14:paraId="519B3F4B" w14:textId="77777777" w:rsidR="00EE602B" w:rsidRPr="008E63BB" w:rsidRDefault="00EE602B" w:rsidP="00EE602B">
      <w:pPr>
        <w:ind w:firstLine="709"/>
        <w:rPr>
          <w:szCs w:val="26"/>
          <w:lang w:val="vi-VN"/>
        </w:rPr>
      </w:pPr>
      <w:r w:rsidRPr="008E63BB">
        <w:rPr>
          <w:szCs w:val="26"/>
          <w:lang w:val="vi-VN"/>
        </w:rPr>
        <w:t>+ Nước sinh hoạt ngoại thị: 100 l/ng.ngđ cấp cho 90% dân</w:t>
      </w:r>
    </w:p>
    <w:p w14:paraId="519B3F4C" w14:textId="77777777" w:rsidR="00EE602B" w:rsidRPr="008E63BB" w:rsidRDefault="00EE602B" w:rsidP="00EE602B">
      <w:pPr>
        <w:rPr>
          <w:i/>
          <w:szCs w:val="26"/>
          <w:lang w:val="pt-BR"/>
        </w:rPr>
      </w:pPr>
      <w:r w:rsidRPr="008E63BB">
        <w:rPr>
          <w:i/>
          <w:szCs w:val="26"/>
          <w:lang w:val="pt-BR"/>
        </w:rPr>
        <w:t>- Nhu cầu: Tổng nhu cầu dùng nước: 185.000 m3/ngđ</w:t>
      </w:r>
    </w:p>
    <w:p w14:paraId="519B3F4D" w14:textId="77777777" w:rsidR="00EE602B" w:rsidRPr="008E63BB" w:rsidRDefault="00EE602B" w:rsidP="00EE602B">
      <w:pPr>
        <w:rPr>
          <w:i/>
          <w:szCs w:val="26"/>
          <w:lang w:val="pt-BR"/>
        </w:rPr>
      </w:pPr>
      <w:r w:rsidRPr="008E63BB">
        <w:rPr>
          <w:i/>
          <w:szCs w:val="26"/>
          <w:lang w:val="pt-BR"/>
        </w:rPr>
        <w:t>b/ Giải pháp cấp nước</w:t>
      </w:r>
    </w:p>
    <w:p w14:paraId="519B3F4E" w14:textId="77777777" w:rsidR="00EE602B" w:rsidRPr="008E63BB" w:rsidRDefault="00EE602B" w:rsidP="00EE602B">
      <w:pPr>
        <w:rPr>
          <w:i/>
          <w:szCs w:val="26"/>
          <w:lang w:val="pt-BR"/>
        </w:rPr>
      </w:pPr>
      <w:r w:rsidRPr="008E63BB">
        <w:rPr>
          <w:i/>
          <w:szCs w:val="26"/>
          <w:lang w:val="pt-BR"/>
        </w:rPr>
        <w:t xml:space="preserve">* Nguồn nước: </w:t>
      </w:r>
      <w:r w:rsidRPr="008E63BB">
        <w:rPr>
          <w:szCs w:val="26"/>
          <w:lang w:val="pt-BR"/>
        </w:rPr>
        <w:t>Khai thác nguồn nước sông Đào và Sông Hồng để cấp nước sinh hoạt và sản xuất cho khu vực nghiên cứu.</w:t>
      </w:r>
    </w:p>
    <w:p w14:paraId="519B3F4F" w14:textId="77777777" w:rsidR="00EE602B" w:rsidRPr="008E63BB" w:rsidRDefault="00EE602B" w:rsidP="00EE602B">
      <w:pPr>
        <w:rPr>
          <w:i/>
          <w:iCs/>
          <w:szCs w:val="26"/>
          <w:lang w:val="pt-BR"/>
        </w:rPr>
      </w:pPr>
      <w:r w:rsidRPr="008E63BB">
        <w:rPr>
          <w:i/>
          <w:iCs/>
          <w:szCs w:val="26"/>
          <w:lang w:val="pt-BR"/>
        </w:rPr>
        <w:t>* Các công trình đầu mối:</w:t>
      </w:r>
    </w:p>
    <w:p w14:paraId="519B3F50" w14:textId="77777777" w:rsidR="00EE602B" w:rsidRPr="008E63BB" w:rsidRDefault="00EE602B" w:rsidP="00EE602B">
      <w:pPr>
        <w:ind w:firstLine="720"/>
        <w:rPr>
          <w:iCs/>
          <w:szCs w:val="26"/>
          <w:lang w:val="pt-BR"/>
        </w:rPr>
      </w:pPr>
      <w:r w:rsidRPr="008E63BB">
        <w:rPr>
          <w:iCs/>
          <w:szCs w:val="26"/>
          <w:lang w:val="pt-BR"/>
        </w:rPr>
        <w:t xml:space="preserve">- Giữ nguyên công suất hiện có nhà máy nước Nam Vân: 1.000 m3/ngđ, nhà máy nước Nam Phong: 1.500 m3/ngđ, </w:t>
      </w:r>
      <w:r w:rsidRPr="008E63BB">
        <w:rPr>
          <w:iCs/>
          <w:spacing w:val="-4"/>
          <w:szCs w:val="26"/>
          <w:lang w:val="pt-BR"/>
        </w:rPr>
        <w:t>NMN Cốc Thành: 750 m3/ngđ, NMN Lê Lợi: 1.200 m3/ngđ, NMN Mỹ Trung: 500 m3/ngđ,</w:t>
      </w:r>
      <w:r w:rsidRPr="008E63BB">
        <w:rPr>
          <w:iCs/>
          <w:szCs w:val="26"/>
          <w:lang w:val="pt-BR"/>
        </w:rPr>
        <w:t xml:space="preserve">  đến năm 2025 chuyển đổi nhà máy nước Nam Vân thành trạm bơm tăng áp Nam Vân nâng công suất: 2.500 m3/ngđ, nhà máy nước Nam Phong thành trạm bơm tăng áp Nam Phong nâng công suất: 3.000 m3/ngđ và </w:t>
      </w:r>
      <w:r w:rsidRPr="008E63BB">
        <w:rPr>
          <w:iCs/>
          <w:spacing w:val="-4"/>
          <w:szCs w:val="26"/>
          <w:lang w:val="pt-BR"/>
        </w:rPr>
        <w:t>03 nhà máy nước (Cốc Thành, Lê Lợi, Mỹ Trung ) thành trạm bơm tăng áp Cốc Thành nâng công suất: 3.000 m3/ngđ</w:t>
      </w:r>
      <w:r w:rsidRPr="008E63BB">
        <w:rPr>
          <w:iCs/>
          <w:szCs w:val="26"/>
          <w:lang w:val="pt-BR"/>
        </w:rPr>
        <w:t>, nguồn nước sạch lấy từ nhà máy nước Tân Đệ về.</w:t>
      </w:r>
    </w:p>
    <w:p w14:paraId="519B3F51" w14:textId="77777777" w:rsidR="00EE602B" w:rsidRPr="008E63BB" w:rsidRDefault="00EE602B" w:rsidP="00EE602B">
      <w:pPr>
        <w:rPr>
          <w:iCs/>
          <w:spacing w:val="-4"/>
          <w:szCs w:val="26"/>
          <w:lang w:val="pt-BR"/>
        </w:rPr>
      </w:pPr>
      <w:r w:rsidRPr="008E63BB">
        <w:rPr>
          <w:iCs/>
          <w:spacing w:val="-4"/>
          <w:szCs w:val="26"/>
          <w:lang w:val="pt-BR"/>
        </w:rPr>
        <w:tab/>
        <w:t xml:space="preserve">- Giữ nguyên công suất </w:t>
      </w:r>
      <w:r w:rsidRPr="008E63BB">
        <w:rPr>
          <w:iCs/>
          <w:szCs w:val="26"/>
          <w:lang w:val="pt-BR"/>
        </w:rPr>
        <w:t>nhà máy nước Liên Bảo: 5.000 m3/ngđ, nguồn nước sông Đào;</w:t>
      </w:r>
    </w:p>
    <w:p w14:paraId="519B3F52" w14:textId="77777777" w:rsidR="00EE602B" w:rsidRPr="008E63BB" w:rsidRDefault="00EE602B" w:rsidP="00EE602B">
      <w:pPr>
        <w:ind w:firstLine="720"/>
        <w:rPr>
          <w:iCs/>
          <w:szCs w:val="26"/>
          <w:lang w:val="pt-BR"/>
        </w:rPr>
      </w:pPr>
      <w:r w:rsidRPr="008E63BB">
        <w:rPr>
          <w:iCs/>
          <w:szCs w:val="26"/>
          <w:lang w:val="pt-BR"/>
        </w:rPr>
        <w:t>- Cải tạo, nâng công suất nhà máy nước thành phố Nam Định lên 105.000 m3/ngđ, nhà máy nước Mỹ Lộc lên 25.000 m3/ngđ, nhà máy nước Điền Xá lên 3.000 m3/ngđ và nhà máy nước Nghĩa An lên 10.000 m3/ngđ;</w:t>
      </w:r>
    </w:p>
    <w:p w14:paraId="519B3F53" w14:textId="77777777" w:rsidR="00EE602B" w:rsidRPr="008E63BB" w:rsidRDefault="00EE602B" w:rsidP="00EE602B">
      <w:pPr>
        <w:rPr>
          <w:iCs/>
          <w:spacing w:val="-4"/>
          <w:szCs w:val="26"/>
          <w:lang w:val="pt-BR"/>
        </w:rPr>
      </w:pPr>
      <w:r w:rsidRPr="008E63BB">
        <w:rPr>
          <w:iCs/>
          <w:spacing w:val="-4"/>
          <w:szCs w:val="26"/>
          <w:lang w:val="pt-BR"/>
        </w:rPr>
        <w:tab/>
        <w:t>+ Xây mới nhà máy nước Tân Đệ công suất dự án: 26.000 m3/ngđ (theo quyết định số: 605/QĐ-UBND, ngày 29/03/2017), công suất tính toán: 37.000 m3/ngđ, nguồn nước mặt sông Hồng cấp bổ sung cho khu nội thị và các xã ngoại thị của 03 huyện Mỹ Lộc, Vụ Bản và Nam Trực;</w:t>
      </w:r>
    </w:p>
    <w:p w14:paraId="519B3F54" w14:textId="77777777" w:rsidR="00EE602B" w:rsidRPr="008E63BB" w:rsidRDefault="00EE602B" w:rsidP="00EE602B">
      <w:pPr>
        <w:rPr>
          <w:i/>
          <w:iCs/>
          <w:szCs w:val="26"/>
          <w:lang w:val="pt-BR"/>
        </w:rPr>
      </w:pPr>
      <w:r w:rsidRPr="008E63BB">
        <w:rPr>
          <w:i/>
          <w:iCs/>
          <w:szCs w:val="26"/>
          <w:lang w:val="pt-BR"/>
        </w:rPr>
        <w:t>c/ Khái toán kinh phí cấp nước đợt đầu</w:t>
      </w:r>
    </w:p>
    <w:tbl>
      <w:tblPr>
        <w:tblW w:w="9080" w:type="dxa"/>
        <w:tblInd w:w="100" w:type="dxa"/>
        <w:tblLook w:val="04A0" w:firstRow="1" w:lastRow="0" w:firstColumn="1" w:lastColumn="0" w:noHBand="0" w:noVBand="1"/>
      </w:tblPr>
      <w:tblGrid>
        <w:gridCol w:w="575"/>
        <w:gridCol w:w="3402"/>
        <w:gridCol w:w="1134"/>
        <w:gridCol w:w="1061"/>
        <w:gridCol w:w="1256"/>
        <w:gridCol w:w="1652"/>
      </w:tblGrid>
      <w:tr w:rsidR="00EE602B" w:rsidRPr="008E63BB" w14:paraId="519B3F5B" w14:textId="77777777" w:rsidTr="00EE602B">
        <w:trPr>
          <w:trHeight w:val="20"/>
          <w:tblHeader/>
        </w:trPr>
        <w:tc>
          <w:tcPr>
            <w:tcW w:w="5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3F55" w14:textId="77777777" w:rsidR="00EE602B" w:rsidRPr="008E63BB" w:rsidRDefault="00EE602B" w:rsidP="00EE602B">
            <w:pPr>
              <w:jc w:val="center"/>
              <w:rPr>
                <w:rFonts w:eastAsia="Times New Roman"/>
                <w:b/>
                <w:bCs/>
                <w:szCs w:val="26"/>
              </w:rPr>
            </w:pPr>
            <w:r w:rsidRPr="008E63BB">
              <w:rPr>
                <w:rFonts w:eastAsia="Times New Roman"/>
                <w:b/>
                <w:bCs/>
                <w:szCs w:val="26"/>
              </w:rPr>
              <w:t>TT</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14:paraId="519B3F56" w14:textId="77777777" w:rsidR="00EE602B" w:rsidRPr="008E63BB" w:rsidRDefault="00EE602B" w:rsidP="00EE602B">
            <w:pPr>
              <w:jc w:val="center"/>
              <w:rPr>
                <w:rFonts w:eastAsia="Times New Roman"/>
                <w:b/>
                <w:bCs/>
                <w:szCs w:val="26"/>
              </w:rPr>
            </w:pPr>
            <w:r w:rsidRPr="008E63BB">
              <w:rPr>
                <w:rFonts w:eastAsia="Times New Roman"/>
                <w:b/>
                <w:bCs/>
                <w:szCs w:val="26"/>
              </w:rPr>
              <w:t>Hạng mục</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19B3F57" w14:textId="77777777" w:rsidR="00EE602B" w:rsidRPr="008E63BB" w:rsidRDefault="00EE602B" w:rsidP="00EE602B">
            <w:pPr>
              <w:jc w:val="center"/>
              <w:rPr>
                <w:rFonts w:eastAsia="Times New Roman"/>
                <w:b/>
                <w:bCs/>
                <w:szCs w:val="26"/>
              </w:rPr>
            </w:pPr>
            <w:r w:rsidRPr="008E63BB">
              <w:rPr>
                <w:rFonts w:eastAsia="Times New Roman"/>
                <w:b/>
                <w:bCs/>
                <w:szCs w:val="26"/>
              </w:rPr>
              <w:t>Đơn vị tính</w:t>
            </w:r>
          </w:p>
        </w:tc>
        <w:tc>
          <w:tcPr>
            <w:tcW w:w="1061" w:type="dxa"/>
            <w:tcBorders>
              <w:top w:val="single" w:sz="4" w:space="0" w:color="auto"/>
              <w:left w:val="nil"/>
              <w:bottom w:val="single" w:sz="4" w:space="0" w:color="auto"/>
              <w:right w:val="single" w:sz="4" w:space="0" w:color="auto"/>
            </w:tcBorders>
            <w:shd w:val="clear" w:color="auto" w:fill="auto"/>
            <w:noWrap/>
            <w:vAlign w:val="center"/>
            <w:hideMark/>
          </w:tcPr>
          <w:p w14:paraId="519B3F58" w14:textId="77777777" w:rsidR="00EE602B" w:rsidRPr="008E63BB" w:rsidRDefault="00EE602B" w:rsidP="00EE602B">
            <w:pPr>
              <w:jc w:val="center"/>
              <w:rPr>
                <w:rFonts w:eastAsia="Times New Roman"/>
                <w:b/>
                <w:bCs/>
                <w:szCs w:val="26"/>
              </w:rPr>
            </w:pPr>
            <w:r w:rsidRPr="008E63BB">
              <w:rPr>
                <w:rFonts w:eastAsia="Times New Roman"/>
                <w:b/>
                <w:bCs/>
                <w:szCs w:val="26"/>
              </w:rPr>
              <w:t>Khối lượng</w:t>
            </w:r>
          </w:p>
        </w:tc>
        <w:tc>
          <w:tcPr>
            <w:tcW w:w="1256" w:type="dxa"/>
            <w:tcBorders>
              <w:top w:val="single" w:sz="4" w:space="0" w:color="auto"/>
              <w:left w:val="nil"/>
              <w:bottom w:val="single" w:sz="4" w:space="0" w:color="auto"/>
              <w:right w:val="single" w:sz="4" w:space="0" w:color="auto"/>
            </w:tcBorders>
            <w:shd w:val="clear" w:color="auto" w:fill="auto"/>
            <w:noWrap/>
            <w:vAlign w:val="center"/>
            <w:hideMark/>
          </w:tcPr>
          <w:p w14:paraId="519B3F59" w14:textId="77777777" w:rsidR="00EE602B" w:rsidRPr="008E63BB" w:rsidRDefault="00EE602B" w:rsidP="00EE602B">
            <w:pPr>
              <w:jc w:val="center"/>
              <w:rPr>
                <w:rFonts w:eastAsia="Times New Roman"/>
                <w:b/>
                <w:bCs/>
                <w:szCs w:val="26"/>
              </w:rPr>
            </w:pPr>
            <w:r w:rsidRPr="008E63BB">
              <w:rPr>
                <w:rFonts w:eastAsia="Times New Roman"/>
                <w:b/>
                <w:bCs/>
                <w:szCs w:val="26"/>
              </w:rPr>
              <w:t>Đơn giá (10</w:t>
            </w:r>
            <w:r w:rsidRPr="008E63BB">
              <w:rPr>
                <w:rFonts w:eastAsia="Times New Roman"/>
                <w:b/>
                <w:bCs/>
                <w:szCs w:val="26"/>
                <w:vertAlign w:val="superscript"/>
              </w:rPr>
              <w:t>3</w:t>
            </w:r>
            <w:r w:rsidRPr="008E63BB">
              <w:rPr>
                <w:rFonts w:eastAsia="Times New Roman"/>
                <w:b/>
                <w:bCs/>
                <w:szCs w:val="26"/>
              </w:rPr>
              <w:t xml:space="preserve"> đ)</w:t>
            </w:r>
          </w:p>
        </w:tc>
        <w:tc>
          <w:tcPr>
            <w:tcW w:w="1652" w:type="dxa"/>
            <w:tcBorders>
              <w:top w:val="single" w:sz="4" w:space="0" w:color="auto"/>
              <w:left w:val="nil"/>
              <w:bottom w:val="single" w:sz="4" w:space="0" w:color="auto"/>
              <w:right w:val="single" w:sz="4" w:space="0" w:color="auto"/>
            </w:tcBorders>
            <w:shd w:val="clear" w:color="auto" w:fill="auto"/>
            <w:noWrap/>
            <w:vAlign w:val="center"/>
            <w:hideMark/>
          </w:tcPr>
          <w:p w14:paraId="519B3F5A" w14:textId="77777777" w:rsidR="00EE602B" w:rsidRPr="008E63BB" w:rsidRDefault="00EE602B" w:rsidP="00EE602B">
            <w:pPr>
              <w:jc w:val="center"/>
              <w:rPr>
                <w:rFonts w:eastAsia="Times New Roman"/>
                <w:b/>
                <w:bCs/>
                <w:szCs w:val="26"/>
              </w:rPr>
            </w:pPr>
            <w:r w:rsidRPr="008E63BB">
              <w:rPr>
                <w:rFonts w:eastAsia="Times New Roman"/>
                <w:b/>
                <w:bCs/>
                <w:szCs w:val="26"/>
              </w:rPr>
              <w:t>Thành tiền (10</w:t>
            </w:r>
            <w:r w:rsidRPr="008E63BB">
              <w:rPr>
                <w:rFonts w:eastAsia="Times New Roman"/>
                <w:b/>
                <w:bCs/>
                <w:szCs w:val="26"/>
                <w:vertAlign w:val="superscript"/>
              </w:rPr>
              <w:t>6</w:t>
            </w:r>
            <w:r w:rsidRPr="008E63BB">
              <w:rPr>
                <w:rFonts w:eastAsia="Times New Roman"/>
                <w:b/>
                <w:bCs/>
                <w:szCs w:val="26"/>
              </w:rPr>
              <w:t xml:space="preserve"> đồng)</w:t>
            </w:r>
          </w:p>
        </w:tc>
      </w:tr>
      <w:tr w:rsidR="00EE602B" w:rsidRPr="008E63BB" w14:paraId="519B3F62"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5C" w14:textId="77777777" w:rsidR="00EE602B" w:rsidRPr="008E63BB" w:rsidRDefault="00EE602B" w:rsidP="00EE602B">
            <w:pPr>
              <w:jc w:val="center"/>
              <w:rPr>
                <w:rFonts w:eastAsia="Times New Roman"/>
                <w:szCs w:val="26"/>
              </w:rPr>
            </w:pPr>
            <w:r w:rsidRPr="008E63BB">
              <w:rPr>
                <w:rFonts w:eastAsia="Times New Roman"/>
                <w:szCs w:val="26"/>
              </w:rPr>
              <w:t>1</w:t>
            </w:r>
          </w:p>
        </w:tc>
        <w:tc>
          <w:tcPr>
            <w:tcW w:w="3402" w:type="dxa"/>
            <w:tcBorders>
              <w:top w:val="nil"/>
              <w:left w:val="nil"/>
              <w:bottom w:val="single" w:sz="4" w:space="0" w:color="auto"/>
              <w:right w:val="single" w:sz="4" w:space="0" w:color="auto"/>
            </w:tcBorders>
            <w:shd w:val="clear" w:color="auto" w:fill="auto"/>
            <w:vAlign w:val="center"/>
            <w:hideMark/>
          </w:tcPr>
          <w:p w14:paraId="519B3F5D" w14:textId="77777777" w:rsidR="00EE602B" w:rsidRPr="008E63BB" w:rsidRDefault="00EE602B" w:rsidP="00EE602B">
            <w:pPr>
              <w:rPr>
                <w:rFonts w:eastAsia="Times New Roman"/>
                <w:szCs w:val="26"/>
              </w:rPr>
            </w:pPr>
            <w:r w:rsidRPr="008E63BB">
              <w:rPr>
                <w:rFonts w:eastAsia="Times New Roman"/>
                <w:szCs w:val="26"/>
              </w:rPr>
              <w:t>Nâng công suất:</w:t>
            </w:r>
          </w:p>
        </w:tc>
        <w:tc>
          <w:tcPr>
            <w:tcW w:w="1134" w:type="dxa"/>
            <w:tcBorders>
              <w:top w:val="nil"/>
              <w:left w:val="nil"/>
              <w:bottom w:val="single" w:sz="4" w:space="0" w:color="auto"/>
              <w:right w:val="single" w:sz="4" w:space="0" w:color="auto"/>
            </w:tcBorders>
            <w:shd w:val="clear" w:color="auto" w:fill="auto"/>
            <w:noWrap/>
            <w:vAlign w:val="center"/>
            <w:hideMark/>
          </w:tcPr>
          <w:p w14:paraId="519B3F5E" w14:textId="77777777" w:rsidR="00EE602B" w:rsidRPr="008E63BB" w:rsidRDefault="00EE602B" w:rsidP="00EE602B">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3F5F" w14:textId="77777777" w:rsidR="00EE602B" w:rsidRPr="008E63BB" w:rsidRDefault="00EE602B" w:rsidP="00EE602B">
            <w:pPr>
              <w:rPr>
                <w:rFonts w:eastAsia="Times New Roman"/>
                <w:szCs w:val="26"/>
              </w:rPr>
            </w:pPr>
            <w:r w:rsidRPr="008E63BB">
              <w:rPr>
                <w:rFonts w:eastAsia="Times New Roman"/>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3F60"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3F61" w14:textId="77777777" w:rsidR="00EE602B" w:rsidRPr="008E63BB" w:rsidRDefault="00EE602B" w:rsidP="00EE602B">
            <w:pPr>
              <w:jc w:val="right"/>
              <w:rPr>
                <w:rFonts w:eastAsia="Times New Roman"/>
                <w:szCs w:val="26"/>
              </w:rPr>
            </w:pPr>
            <w:r w:rsidRPr="008E63BB">
              <w:rPr>
                <w:rFonts w:eastAsia="Times New Roman"/>
                <w:szCs w:val="26"/>
              </w:rPr>
              <w:t>280.870</w:t>
            </w:r>
          </w:p>
        </w:tc>
      </w:tr>
      <w:tr w:rsidR="00EE602B" w:rsidRPr="008E63BB" w14:paraId="519B3F69"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63" w14:textId="77777777" w:rsidR="00EE602B" w:rsidRPr="008E63BB" w:rsidRDefault="00EE602B" w:rsidP="00EE602B">
            <w:pPr>
              <w:jc w:val="center"/>
              <w:rPr>
                <w:rFonts w:eastAsia="Times New Roman"/>
                <w:szCs w:val="26"/>
              </w:rPr>
            </w:pPr>
            <w:r w:rsidRPr="008E63BB">
              <w:rPr>
                <w:rFonts w:eastAsia="Times New Roman"/>
                <w:szCs w:val="26"/>
              </w:rPr>
              <w:t>- </w:t>
            </w:r>
          </w:p>
        </w:tc>
        <w:tc>
          <w:tcPr>
            <w:tcW w:w="3402" w:type="dxa"/>
            <w:tcBorders>
              <w:top w:val="nil"/>
              <w:left w:val="nil"/>
              <w:bottom w:val="single" w:sz="4" w:space="0" w:color="auto"/>
              <w:right w:val="single" w:sz="4" w:space="0" w:color="auto"/>
            </w:tcBorders>
            <w:shd w:val="clear" w:color="auto" w:fill="auto"/>
            <w:vAlign w:val="center"/>
            <w:hideMark/>
          </w:tcPr>
          <w:p w14:paraId="519B3F64" w14:textId="77777777" w:rsidR="00EE602B" w:rsidRPr="008E63BB" w:rsidRDefault="00EE602B" w:rsidP="00EE602B">
            <w:pPr>
              <w:rPr>
                <w:rFonts w:eastAsia="Times New Roman"/>
                <w:szCs w:val="26"/>
              </w:rPr>
            </w:pPr>
            <w:r w:rsidRPr="008E63BB">
              <w:rPr>
                <w:rFonts w:eastAsia="Times New Roman"/>
                <w:szCs w:val="26"/>
              </w:rPr>
              <w:t>NMN Tp Nam Định</w:t>
            </w:r>
          </w:p>
        </w:tc>
        <w:tc>
          <w:tcPr>
            <w:tcW w:w="1134" w:type="dxa"/>
            <w:tcBorders>
              <w:top w:val="nil"/>
              <w:left w:val="nil"/>
              <w:bottom w:val="single" w:sz="4" w:space="0" w:color="auto"/>
              <w:right w:val="single" w:sz="4" w:space="0" w:color="auto"/>
            </w:tcBorders>
            <w:shd w:val="clear" w:color="auto" w:fill="auto"/>
            <w:noWrap/>
            <w:vAlign w:val="center"/>
            <w:hideMark/>
          </w:tcPr>
          <w:p w14:paraId="519B3F65" w14:textId="77777777" w:rsidR="00EE602B" w:rsidRPr="008E63BB" w:rsidRDefault="00EE602B" w:rsidP="00EE602B">
            <w:pPr>
              <w:jc w:val="right"/>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66" w14:textId="77777777" w:rsidR="00EE602B" w:rsidRPr="008E63BB" w:rsidRDefault="00EE602B" w:rsidP="00EE602B">
            <w:pPr>
              <w:jc w:val="right"/>
              <w:rPr>
                <w:rFonts w:eastAsia="Times New Roman"/>
                <w:szCs w:val="26"/>
              </w:rPr>
            </w:pPr>
            <w:r w:rsidRPr="008E63BB">
              <w:rPr>
                <w:rFonts w:eastAsia="Times New Roman"/>
                <w:szCs w:val="26"/>
              </w:rPr>
              <w:t>30.000</w:t>
            </w:r>
          </w:p>
        </w:tc>
        <w:tc>
          <w:tcPr>
            <w:tcW w:w="1256" w:type="dxa"/>
            <w:tcBorders>
              <w:top w:val="nil"/>
              <w:left w:val="nil"/>
              <w:bottom w:val="single" w:sz="4" w:space="0" w:color="auto"/>
              <w:right w:val="single" w:sz="4" w:space="0" w:color="auto"/>
            </w:tcBorders>
            <w:shd w:val="clear" w:color="auto" w:fill="auto"/>
            <w:noWrap/>
            <w:vAlign w:val="center"/>
            <w:hideMark/>
          </w:tcPr>
          <w:p w14:paraId="519B3F67" w14:textId="77777777" w:rsidR="00EE602B" w:rsidRPr="008E63BB" w:rsidRDefault="00EE602B" w:rsidP="00EE602B">
            <w:pPr>
              <w:jc w:val="right"/>
              <w:rPr>
                <w:rFonts w:eastAsia="Times New Roman"/>
                <w:szCs w:val="26"/>
              </w:rPr>
            </w:pPr>
            <w:r w:rsidRPr="008E63BB">
              <w:rPr>
                <w:rFonts w:eastAsia="Times New Roman"/>
                <w:szCs w:val="26"/>
              </w:rPr>
              <w:t>4.210</w:t>
            </w:r>
          </w:p>
        </w:tc>
        <w:tc>
          <w:tcPr>
            <w:tcW w:w="1652" w:type="dxa"/>
            <w:tcBorders>
              <w:top w:val="nil"/>
              <w:left w:val="nil"/>
              <w:bottom w:val="single" w:sz="4" w:space="0" w:color="auto"/>
              <w:right w:val="single" w:sz="4" w:space="0" w:color="auto"/>
            </w:tcBorders>
            <w:shd w:val="clear" w:color="auto" w:fill="auto"/>
            <w:noWrap/>
            <w:vAlign w:val="center"/>
            <w:hideMark/>
          </w:tcPr>
          <w:p w14:paraId="519B3F68" w14:textId="77777777" w:rsidR="00EE602B" w:rsidRPr="008E63BB" w:rsidRDefault="00EE602B" w:rsidP="00EE602B">
            <w:pPr>
              <w:jc w:val="right"/>
              <w:rPr>
                <w:rFonts w:eastAsia="Times New Roman"/>
                <w:szCs w:val="26"/>
              </w:rPr>
            </w:pPr>
            <w:r w:rsidRPr="008E63BB">
              <w:rPr>
                <w:rFonts w:eastAsia="Times New Roman"/>
                <w:szCs w:val="26"/>
              </w:rPr>
              <w:t>126.300</w:t>
            </w:r>
          </w:p>
        </w:tc>
      </w:tr>
      <w:tr w:rsidR="00EE602B" w:rsidRPr="008E63BB" w14:paraId="519B3F70"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6A"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vAlign w:val="center"/>
            <w:hideMark/>
          </w:tcPr>
          <w:p w14:paraId="519B3F6B" w14:textId="77777777" w:rsidR="00EE602B" w:rsidRPr="008E63BB" w:rsidRDefault="00EE602B" w:rsidP="00EE602B">
            <w:pPr>
              <w:rPr>
                <w:rFonts w:eastAsia="Times New Roman"/>
                <w:szCs w:val="26"/>
              </w:rPr>
            </w:pPr>
            <w:r w:rsidRPr="008E63BB">
              <w:rPr>
                <w:rFonts w:eastAsia="Times New Roman"/>
                <w:szCs w:val="26"/>
              </w:rPr>
              <w:t>NMN Mỹ Lộc</w:t>
            </w:r>
          </w:p>
        </w:tc>
        <w:tc>
          <w:tcPr>
            <w:tcW w:w="1134" w:type="dxa"/>
            <w:tcBorders>
              <w:top w:val="nil"/>
              <w:left w:val="nil"/>
              <w:bottom w:val="single" w:sz="4" w:space="0" w:color="auto"/>
              <w:right w:val="single" w:sz="4" w:space="0" w:color="auto"/>
            </w:tcBorders>
            <w:shd w:val="clear" w:color="auto" w:fill="auto"/>
            <w:noWrap/>
            <w:vAlign w:val="center"/>
            <w:hideMark/>
          </w:tcPr>
          <w:p w14:paraId="519B3F6C" w14:textId="77777777" w:rsidR="00EE602B" w:rsidRPr="008E63BB" w:rsidRDefault="00EE602B" w:rsidP="00EE602B">
            <w:pPr>
              <w:jc w:val="right"/>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6D" w14:textId="77777777" w:rsidR="00EE602B" w:rsidRPr="008E63BB" w:rsidRDefault="00EE602B" w:rsidP="00EE602B">
            <w:pPr>
              <w:jc w:val="right"/>
              <w:rPr>
                <w:rFonts w:eastAsia="Times New Roman"/>
                <w:szCs w:val="26"/>
              </w:rPr>
            </w:pPr>
            <w:r w:rsidRPr="008E63BB">
              <w:rPr>
                <w:rFonts w:eastAsia="Times New Roman"/>
                <w:szCs w:val="26"/>
              </w:rPr>
              <w:t>17.000</w:t>
            </w:r>
          </w:p>
        </w:tc>
        <w:tc>
          <w:tcPr>
            <w:tcW w:w="1256" w:type="dxa"/>
            <w:tcBorders>
              <w:top w:val="nil"/>
              <w:left w:val="nil"/>
              <w:bottom w:val="single" w:sz="4" w:space="0" w:color="auto"/>
              <w:right w:val="single" w:sz="4" w:space="0" w:color="auto"/>
            </w:tcBorders>
            <w:shd w:val="clear" w:color="auto" w:fill="auto"/>
            <w:noWrap/>
            <w:vAlign w:val="center"/>
            <w:hideMark/>
          </w:tcPr>
          <w:p w14:paraId="519B3F6E" w14:textId="77777777" w:rsidR="00EE602B" w:rsidRPr="008E63BB" w:rsidRDefault="00EE602B" w:rsidP="00EE602B">
            <w:pPr>
              <w:jc w:val="right"/>
              <w:rPr>
                <w:rFonts w:eastAsia="Times New Roman"/>
                <w:szCs w:val="26"/>
              </w:rPr>
            </w:pPr>
            <w:r w:rsidRPr="008E63BB">
              <w:rPr>
                <w:rFonts w:eastAsia="Times New Roman"/>
                <w:szCs w:val="26"/>
              </w:rPr>
              <w:t>5.210</w:t>
            </w:r>
          </w:p>
        </w:tc>
        <w:tc>
          <w:tcPr>
            <w:tcW w:w="1652" w:type="dxa"/>
            <w:tcBorders>
              <w:top w:val="nil"/>
              <w:left w:val="nil"/>
              <w:bottom w:val="single" w:sz="4" w:space="0" w:color="auto"/>
              <w:right w:val="single" w:sz="4" w:space="0" w:color="auto"/>
            </w:tcBorders>
            <w:shd w:val="clear" w:color="auto" w:fill="auto"/>
            <w:noWrap/>
            <w:vAlign w:val="center"/>
            <w:hideMark/>
          </w:tcPr>
          <w:p w14:paraId="519B3F6F" w14:textId="77777777" w:rsidR="00EE602B" w:rsidRPr="008E63BB" w:rsidRDefault="00EE602B" w:rsidP="00EE602B">
            <w:pPr>
              <w:jc w:val="right"/>
              <w:rPr>
                <w:rFonts w:eastAsia="Times New Roman"/>
                <w:szCs w:val="26"/>
              </w:rPr>
            </w:pPr>
            <w:r w:rsidRPr="008E63BB">
              <w:rPr>
                <w:rFonts w:eastAsia="Times New Roman"/>
                <w:szCs w:val="26"/>
              </w:rPr>
              <w:t>88.570</w:t>
            </w:r>
          </w:p>
        </w:tc>
      </w:tr>
      <w:tr w:rsidR="00EE602B" w:rsidRPr="008E63BB" w14:paraId="519B3F77"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71"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vAlign w:val="center"/>
            <w:hideMark/>
          </w:tcPr>
          <w:p w14:paraId="519B3F72" w14:textId="77777777" w:rsidR="00EE602B" w:rsidRPr="008E63BB" w:rsidRDefault="00EE602B" w:rsidP="00EE602B">
            <w:pPr>
              <w:rPr>
                <w:rFonts w:eastAsia="Times New Roman"/>
                <w:szCs w:val="26"/>
              </w:rPr>
            </w:pPr>
            <w:r w:rsidRPr="008E63BB">
              <w:rPr>
                <w:rFonts w:eastAsia="Times New Roman"/>
                <w:szCs w:val="26"/>
              </w:rPr>
              <w:t>NMN Điền Xá</w:t>
            </w:r>
          </w:p>
        </w:tc>
        <w:tc>
          <w:tcPr>
            <w:tcW w:w="1134" w:type="dxa"/>
            <w:tcBorders>
              <w:top w:val="nil"/>
              <w:left w:val="nil"/>
              <w:bottom w:val="single" w:sz="4" w:space="0" w:color="auto"/>
              <w:right w:val="single" w:sz="4" w:space="0" w:color="auto"/>
            </w:tcBorders>
            <w:shd w:val="clear" w:color="auto" w:fill="auto"/>
            <w:noWrap/>
            <w:vAlign w:val="center"/>
            <w:hideMark/>
          </w:tcPr>
          <w:p w14:paraId="519B3F73" w14:textId="77777777" w:rsidR="00EE602B" w:rsidRPr="008E63BB" w:rsidRDefault="00EE602B" w:rsidP="00EE602B">
            <w:pPr>
              <w:jc w:val="right"/>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74" w14:textId="77777777" w:rsidR="00EE602B" w:rsidRPr="008E63BB" w:rsidRDefault="00EE602B" w:rsidP="00EE602B">
            <w:pPr>
              <w:jc w:val="right"/>
              <w:rPr>
                <w:rFonts w:eastAsia="Times New Roman"/>
                <w:szCs w:val="26"/>
              </w:rPr>
            </w:pPr>
            <w:r w:rsidRPr="008E63BB">
              <w:rPr>
                <w:rFonts w:eastAsia="Times New Roman"/>
                <w:szCs w:val="26"/>
              </w:rPr>
              <w:t>1.000</w:t>
            </w:r>
          </w:p>
        </w:tc>
        <w:tc>
          <w:tcPr>
            <w:tcW w:w="1256" w:type="dxa"/>
            <w:tcBorders>
              <w:top w:val="nil"/>
              <w:left w:val="nil"/>
              <w:bottom w:val="single" w:sz="4" w:space="0" w:color="auto"/>
              <w:right w:val="single" w:sz="4" w:space="0" w:color="auto"/>
            </w:tcBorders>
            <w:shd w:val="clear" w:color="auto" w:fill="auto"/>
            <w:noWrap/>
            <w:vAlign w:val="center"/>
            <w:hideMark/>
          </w:tcPr>
          <w:p w14:paraId="519B3F75" w14:textId="77777777" w:rsidR="00EE602B" w:rsidRPr="008E63BB" w:rsidRDefault="00EE602B" w:rsidP="00EE602B">
            <w:pPr>
              <w:jc w:val="right"/>
              <w:rPr>
                <w:rFonts w:eastAsia="Times New Roman"/>
                <w:szCs w:val="26"/>
              </w:rPr>
            </w:pPr>
            <w:r w:rsidRPr="008E63BB">
              <w:rPr>
                <w:rFonts w:eastAsia="Times New Roman"/>
                <w:szCs w:val="26"/>
              </w:rPr>
              <w:t>6.000</w:t>
            </w:r>
          </w:p>
        </w:tc>
        <w:tc>
          <w:tcPr>
            <w:tcW w:w="1652" w:type="dxa"/>
            <w:tcBorders>
              <w:top w:val="nil"/>
              <w:left w:val="nil"/>
              <w:bottom w:val="single" w:sz="4" w:space="0" w:color="auto"/>
              <w:right w:val="single" w:sz="4" w:space="0" w:color="auto"/>
            </w:tcBorders>
            <w:shd w:val="clear" w:color="auto" w:fill="auto"/>
            <w:noWrap/>
            <w:vAlign w:val="center"/>
            <w:hideMark/>
          </w:tcPr>
          <w:p w14:paraId="519B3F76" w14:textId="77777777" w:rsidR="00EE602B" w:rsidRPr="008E63BB" w:rsidRDefault="00EE602B" w:rsidP="00EE602B">
            <w:pPr>
              <w:jc w:val="right"/>
              <w:rPr>
                <w:rFonts w:eastAsia="Times New Roman"/>
                <w:szCs w:val="26"/>
              </w:rPr>
            </w:pPr>
            <w:r w:rsidRPr="008E63BB">
              <w:rPr>
                <w:rFonts w:eastAsia="Times New Roman"/>
                <w:szCs w:val="26"/>
              </w:rPr>
              <w:t>6.000</w:t>
            </w:r>
          </w:p>
        </w:tc>
      </w:tr>
      <w:tr w:rsidR="00EE602B" w:rsidRPr="008E63BB" w14:paraId="519B3F7E"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78"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vAlign w:val="center"/>
            <w:hideMark/>
          </w:tcPr>
          <w:p w14:paraId="519B3F79" w14:textId="77777777" w:rsidR="00EE602B" w:rsidRPr="008E63BB" w:rsidRDefault="00EE602B" w:rsidP="00EE602B">
            <w:pPr>
              <w:rPr>
                <w:rFonts w:eastAsia="Times New Roman"/>
                <w:szCs w:val="26"/>
              </w:rPr>
            </w:pPr>
            <w:r w:rsidRPr="008E63BB">
              <w:rPr>
                <w:rFonts w:eastAsia="Times New Roman"/>
                <w:szCs w:val="26"/>
              </w:rPr>
              <w:t>NMN Nghĩa An</w:t>
            </w:r>
          </w:p>
        </w:tc>
        <w:tc>
          <w:tcPr>
            <w:tcW w:w="1134" w:type="dxa"/>
            <w:tcBorders>
              <w:top w:val="nil"/>
              <w:left w:val="nil"/>
              <w:bottom w:val="single" w:sz="4" w:space="0" w:color="auto"/>
              <w:right w:val="single" w:sz="4" w:space="0" w:color="auto"/>
            </w:tcBorders>
            <w:shd w:val="clear" w:color="auto" w:fill="auto"/>
            <w:noWrap/>
            <w:vAlign w:val="center"/>
            <w:hideMark/>
          </w:tcPr>
          <w:p w14:paraId="519B3F7A" w14:textId="77777777" w:rsidR="00EE602B" w:rsidRPr="008E63BB" w:rsidRDefault="00EE602B" w:rsidP="00EE602B">
            <w:pPr>
              <w:jc w:val="right"/>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7B" w14:textId="77777777" w:rsidR="00EE602B" w:rsidRPr="008E63BB" w:rsidRDefault="00EE602B" w:rsidP="00EE602B">
            <w:pPr>
              <w:jc w:val="right"/>
              <w:rPr>
                <w:rFonts w:eastAsia="Times New Roman"/>
                <w:szCs w:val="26"/>
              </w:rPr>
            </w:pPr>
            <w:r w:rsidRPr="008E63BB">
              <w:rPr>
                <w:rFonts w:eastAsia="Times New Roman"/>
                <w:szCs w:val="26"/>
              </w:rPr>
              <w:t>3.000</w:t>
            </w:r>
          </w:p>
        </w:tc>
        <w:tc>
          <w:tcPr>
            <w:tcW w:w="1256" w:type="dxa"/>
            <w:tcBorders>
              <w:top w:val="nil"/>
              <w:left w:val="nil"/>
              <w:bottom w:val="single" w:sz="4" w:space="0" w:color="auto"/>
              <w:right w:val="single" w:sz="4" w:space="0" w:color="auto"/>
            </w:tcBorders>
            <w:shd w:val="clear" w:color="auto" w:fill="auto"/>
            <w:noWrap/>
            <w:vAlign w:val="center"/>
            <w:hideMark/>
          </w:tcPr>
          <w:p w14:paraId="519B3F7C" w14:textId="77777777" w:rsidR="00EE602B" w:rsidRPr="008E63BB" w:rsidRDefault="00EE602B" w:rsidP="00EE602B">
            <w:pPr>
              <w:jc w:val="right"/>
              <w:rPr>
                <w:rFonts w:eastAsia="Times New Roman"/>
                <w:szCs w:val="26"/>
              </w:rPr>
            </w:pPr>
            <w:r w:rsidRPr="008E63BB">
              <w:rPr>
                <w:rFonts w:eastAsia="Times New Roman"/>
                <w:szCs w:val="26"/>
              </w:rPr>
              <w:t>6.000</w:t>
            </w:r>
          </w:p>
        </w:tc>
        <w:tc>
          <w:tcPr>
            <w:tcW w:w="1652" w:type="dxa"/>
            <w:tcBorders>
              <w:top w:val="nil"/>
              <w:left w:val="nil"/>
              <w:bottom w:val="single" w:sz="4" w:space="0" w:color="auto"/>
              <w:right w:val="single" w:sz="4" w:space="0" w:color="auto"/>
            </w:tcBorders>
            <w:shd w:val="clear" w:color="auto" w:fill="auto"/>
            <w:noWrap/>
            <w:vAlign w:val="center"/>
            <w:hideMark/>
          </w:tcPr>
          <w:p w14:paraId="519B3F7D" w14:textId="77777777" w:rsidR="00EE602B" w:rsidRPr="008E63BB" w:rsidRDefault="00EE602B" w:rsidP="00EE602B">
            <w:pPr>
              <w:jc w:val="right"/>
              <w:rPr>
                <w:rFonts w:eastAsia="Times New Roman"/>
                <w:szCs w:val="26"/>
              </w:rPr>
            </w:pPr>
            <w:r w:rsidRPr="008E63BB">
              <w:rPr>
                <w:rFonts w:eastAsia="Times New Roman"/>
                <w:szCs w:val="26"/>
              </w:rPr>
              <w:t>18.000</w:t>
            </w:r>
          </w:p>
        </w:tc>
      </w:tr>
      <w:tr w:rsidR="00EE602B" w:rsidRPr="008E63BB" w14:paraId="519B3F85"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7F"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80" w14:textId="77777777" w:rsidR="00EE602B" w:rsidRPr="008E63BB" w:rsidRDefault="00EE602B" w:rsidP="00EE602B">
            <w:pPr>
              <w:rPr>
                <w:rFonts w:eastAsia="Times New Roman"/>
                <w:szCs w:val="26"/>
              </w:rPr>
            </w:pPr>
            <w:r w:rsidRPr="008E63BB">
              <w:rPr>
                <w:rFonts w:eastAsia="Times New Roman"/>
                <w:szCs w:val="26"/>
              </w:rPr>
              <w:t xml:space="preserve">Các trạm bơm cấp 1 </w:t>
            </w:r>
          </w:p>
        </w:tc>
        <w:tc>
          <w:tcPr>
            <w:tcW w:w="1134" w:type="dxa"/>
            <w:tcBorders>
              <w:top w:val="nil"/>
              <w:left w:val="nil"/>
              <w:bottom w:val="single" w:sz="4" w:space="0" w:color="auto"/>
              <w:right w:val="single" w:sz="4" w:space="0" w:color="auto"/>
            </w:tcBorders>
            <w:shd w:val="clear" w:color="auto" w:fill="auto"/>
            <w:noWrap/>
            <w:vAlign w:val="center"/>
            <w:hideMark/>
          </w:tcPr>
          <w:p w14:paraId="519B3F81" w14:textId="77777777" w:rsidR="00EE602B" w:rsidRPr="008E63BB" w:rsidRDefault="00EE602B" w:rsidP="00EE602B">
            <w:pPr>
              <w:jc w:val="center"/>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82" w14:textId="77777777" w:rsidR="00EE602B" w:rsidRPr="008E63BB" w:rsidRDefault="00EE602B" w:rsidP="00EE602B">
            <w:pPr>
              <w:jc w:val="right"/>
              <w:rPr>
                <w:rFonts w:eastAsia="Times New Roman"/>
                <w:szCs w:val="26"/>
              </w:rPr>
            </w:pPr>
            <w:r w:rsidRPr="008E63BB">
              <w:rPr>
                <w:rFonts w:eastAsia="Times New Roman"/>
                <w:szCs w:val="26"/>
              </w:rPr>
              <w:t>21.000</w:t>
            </w:r>
          </w:p>
        </w:tc>
        <w:tc>
          <w:tcPr>
            <w:tcW w:w="1256" w:type="dxa"/>
            <w:tcBorders>
              <w:top w:val="nil"/>
              <w:left w:val="nil"/>
              <w:bottom w:val="single" w:sz="4" w:space="0" w:color="auto"/>
              <w:right w:val="single" w:sz="4" w:space="0" w:color="auto"/>
            </w:tcBorders>
            <w:shd w:val="clear" w:color="auto" w:fill="auto"/>
            <w:noWrap/>
            <w:vAlign w:val="center"/>
            <w:hideMark/>
          </w:tcPr>
          <w:p w14:paraId="519B3F83" w14:textId="77777777" w:rsidR="00EE602B" w:rsidRPr="008E63BB" w:rsidRDefault="00EE602B" w:rsidP="00EE602B">
            <w:pPr>
              <w:jc w:val="right"/>
              <w:rPr>
                <w:rFonts w:eastAsia="Times New Roman"/>
                <w:szCs w:val="26"/>
              </w:rPr>
            </w:pPr>
            <w:r w:rsidRPr="008E63BB">
              <w:rPr>
                <w:rFonts w:eastAsia="Times New Roman"/>
                <w:szCs w:val="26"/>
              </w:rPr>
              <w:t>2.000</w:t>
            </w:r>
          </w:p>
        </w:tc>
        <w:tc>
          <w:tcPr>
            <w:tcW w:w="1652" w:type="dxa"/>
            <w:tcBorders>
              <w:top w:val="nil"/>
              <w:left w:val="nil"/>
              <w:bottom w:val="single" w:sz="4" w:space="0" w:color="auto"/>
              <w:right w:val="single" w:sz="4" w:space="0" w:color="auto"/>
            </w:tcBorders>
            <w:shd w:val="clear" w:color="auto" w:fill="auto"/>
            <w:noWrap/>
            <w:vAlign w:val="center"/>
            <w:hideMark/>
          </w:tcPr>
          <w:p w14:paraId="519B3F84" w14:textId="77777777" w:rsidR="00EE602B" w:rsidRPr="008E63BB" w:rsidRDefault="00EE602B" w:rsidP="00EE602B">
            <w:pPr>
              <w:jc w:val="right"/>
              <w:rPr>
                <w:rFonts w:eastAsia="Times New Roman"/>
                <w:szCs w:val="26"/>
              </w:rPr>
            </w:pPr>
            <w:r w:rsidRPr="008E63BB">
              <w:rPr>
                <w:rFonts w:eastAsia="Times New Roman"/>
                <w:szCs w:val="26"/>
              </w:rPr>
              <w:t>42.000</w:t>
            </w:r>
          </w:p>
        </w:tc>
      </w:tr>
      <w:tr w:rsidR="00EE602B" w:rsidRPr="008E63BB" w14:paraId="519B3F8C"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19B3F86" w14:textId="77777777" w:rsidR="00EE602B" w:rsidRPr="008E63BB" w:rsidRDefault="00EE602B" w:rsidP="00EE602B">
            <w:pPr>
              <w:jc w:val="center"/>
              <w:rPr>
                <w:rFonts w:eastAsia="Times New Roman"/>
                <w:szCs w:val="26"/>
              </w:rPr>
            </w:pPr>
            <w:r w:rsidRPr="008E63BB">
              <w:rPr>
                <w:rFonts w:eastAsia="Times New Roman"/>
                <w:szCs w:val="26"/>
              </w:rPr>
              <w:t>2</w:t>
            </w:r>
          </w:p>
        </w:tc>
        <w:tc>
          <w:tcPr>
            <w:tcW w:w="3402" w:type="dxa"/>
            <w:tcBorders>
              <w:top w:val="nil"/>
              <w:left w:val="nil"/>
              <w:bottom w:val="single" w:sz="4" w:space="0" w:color="auto"/>
              <w:right w:val="single" w:sz="4" w:space="0" w:color="auto"/>
            </w:tcBorders>
            <w:shd w:val="clear" w:color="auto" w:fill="auto"/>
            <w:noWrap/>
            <w:vAlign w:val="center"/>
            <w:hideMark/>
          </w:tcPr>
          <w:p w14:paraId="519B3F87" w14:textId="77777777" w:rsidR="00EE602B" w:rsidRPr="008E63BB" w:rsidRDefault="00EE602B" w:rsidP="00EE602B">
            <w:pPr>
              <w:rPr>
                <w:rFonts w:eastAsia="Times New Roman"/>
                <w:szCs w:val="26"/>
              </w:rPr>
            </w:pPr>
            <w:r w:rsidRPr="008E63BB">
              <w:rPr>
                <w:rFonts w:eastAsia="Times New Roman"/>
                <w:szCs w:val="26"/>
              </w:rPr>
              <w:t>Xây mới:</w:t>
            </w:r>
          </w:p>
        </w:tc>
        <w:tc>
          <w:tcPr>
            <w:tcW w:w="1134" w:type="dxa"/>
            <w:tcBorders>
              <w:top w:val="nil"/>
              <w:left w:val="nil"/>
              <w:bottom w:val="single" w:sz="4" w:space="0" w:color="auto"/>
              <w:right w:val="single" w:sz="4" w:space="0" w:color="auto"/>
            </w:tcBorders>
            <w:shd w:val="clear" w:color="auto" w:fill="auto"/>
            <w:noWrap/>
            <w:vAlign w:val="center"/>
            <w:hideMark/>
          </w:tcPr>
          <w:p w14:paraId="519B3F88" w14:textId="77777777" w:rsidR="00EE602B" w:rsidRPr="008E63BB" w:rsidRDefault="00EE602B" w:rsidP="00EE602B">
            <w:pP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3F89" w14:textId="77777777" w:rsidR="00EE602B" w:rsidRPr="008E63BB" w:rsidRDefault="00EE602B" w:rsidP="00EE602B">
            <w:pPr>
              <w:rPr>
                <w:rFonts w:eastAsia="Times New Roman"/>
                <w:szCs w:val="26"/>
              </w:rPr>
            </w:pPr>
            <w:r w:rsidRPr="008E63BB">
              <w:rPr>
                <w:rFonts w:eastAsia="Times New Roman"/>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3F8A"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3F8B" w14:textId="77777777" w:rsidR="00EE602B" w:rsidRPr="008E63BB" w:rsidRDefault="00EE602B" w:rsidP="00EE602B">
            <w:pPr>
              <w:jc w:val="right"/>
              <w:rPr>
                <w:rFonts w:eastAsia="Times New Roman"/>
                <w:szCs w:val="26"/>
              </w:rPr>
            </w:pPr>
            <w:r w:rsidRPr="008E63BB">
              <w:rPr>
                <w:rFonts w:eastAsia="Times New Roman"/>
                <w:szCs w:val="26"/>
              </w:rPr>
              <w:t>266.770</w:t>
            </w:r>
          </w:p>
        </w:tc>
      </w:tr>
      <w:tr w:rsidR="00EE602B" w:rsidRPr="008E63BB" w14:paraId="519B3F93"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8D"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vAlign w:val="center"/>
            <w:hideMark/>
          </w:tcPr>
          <w:p w14:paraId="519B3F8E" w14:textId="77777777" w:rsidR="00EE602B" w:rsidRPr="008E63BB" w:rsidRDefault="00EE602B" w:rsidP="00EE602B">
            <w:pPr>
              <w:rPr>
                <w:rFonts w:eastAsia="Times New Roman"/>
                <w:szCs w:val="26"/>
              </w:rPr>
            </w:pPr>
            <w:r w:rsidRPr="008E63BB">
              <w:rPr>
                <w:rFonts w:eastAsia="Times New Roman"/>
                <w:szCs w:val="26"/>
              </w:rPr>
              <w:t>Nhà máy nước Tân Đệ</w:t>
            </w:r>
          </w:p>
        </w:tc>
        <w:tc>
          <w:tcPr>
            <w:tcW w:w="1134" w:type="dxa"/>
            <w:tcBorders>
              <w:top w:val="nil"/>
              <w:left w:val="nil"/>
              <w:bottom w:val="single" w:sz="4" w:space="0" w:color="auto"/>
              <w:right w:val="single" w:sz="4" w:space="0" w:color="auto"/>
            </w:tcBorders>
            <w:shd w:val="clear" w:color="auto" w:fill="auto"/>
            <w:noWrap/>
            <w:vAlign w:val="center"/>
            <w:hideMark/>
          </w:tcPr>
          <w:p w14:paraId="519B3F8F" w14:textId="77777777" w:rsidR="00EE602B" w:rsidRPr="008E63BB" w:rsidRDefault="00EE602B" w:rsidP="00EE602B">
            <w:pPr>
              <w:jc w:val="center"/>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90" w14:textId="77777777" w:rsidR="00EE602B" w:rsidRPr="008E63BB" w:rsidRDefault="00EE602B" w:rsidP="00EE602B">
            <w:pPr>
              <w:jc w:val="right"/>
              <w:rPr>
                <w:rFonts w:eastAsia="Times New Roman"/>
                <w:szCs w:val="26"/>
              </w:rPr>
            </w:pPr>
            <w:r w:rsidRPr="008E63BB">
              <w:rPr>
                <w:rFonts w:eastAsia="Times New Roman"/>
                <w:szCs w:val="26"/>
              </w:rPr>
              <w:t>37.000</w:t>
            </w:r>
          </w:p>
        </w:tc>
        <w:tc>
          <w:tcPr>
            <w:tcW w:w="1256" w:type="dxa"/>
            <w:tcBorders>
              <w:top w:val="nil"/>
              <w:left w:val="nil"/>
              <w:bottom w:val="single" w:sz="4" w:space="0" w:color="auto"/>
              <w:right w:val="single" w:sz="4" w:space="0" w:color="auto"/>
            </w:tcBorders>
            <w:shd w:val="clear" w:color="auto" w:fill="auto"/>
            <w:noWrap/>
            <w:vAlign w:val="center"/>
            <w:hideMark/>
          </w:tcPr>
          <w:p w14:paraId="519B3F91" w14:textId="77777777" w:rsidR="00EE602B" w:rsidRPr="008E63BB" w:rsidRDefault="00EE602B" w:rsidP="00EE602B">
            <w:pPr>
              <w:jc w:val="right"/>
              <w:rPr>
                <w:rFonts w:eastAsia="Times New Roman"/>
                <w:szCs w:val="26"/>
              </w:rPr>
            </w:pPr>
            <w:r w:rsidRPr="008E63BB">
              <w:rPr>
                <w:rFonts w:eastAsia="Times New Roman"/>
                <w:szCs w:val="26"/>
              </w:rPr>
              <w:t>5.210</w:t>
            </w:r>
          </w:p>
        </w:tc>
        <w:tc>
          <w:tcPr>
            <w:tcW w:w="1652" w:type="dxa"/>
            <w:tcBorders>
              <w:top w:val="nil"/>
              <w:left w:val="nil"/>
              <w:bottom w:val="single" w:sz="4" w:space="0" w:color="auto"/>
              <w:right w:val="single" w:sz="4" w:space="0" w:color="auto"/>
            </w:tcBorders>
            <w:shd w:val="clear" w:color="auto" w:fill="auto"/>
            <w:noWrap/>
            <w:vAlign w:val="center"/>
            <w:hideMark/>
          </w:tcPr>
          <w:p w14:paraId="519B3F92" w14:textId="77777777" w:rsidR="00EE602B" w:rsidRPr="008E63BB" w:rsidRDefault="00EE602B" w:rsidP="00EE602B">
            <w:pPr>
              <w:jc w:val="right"/>
              <w:rPr>
                <w:rFonts w:eastAsia="Times New Roman"/>
                <w:szCs w:val="26"/>
              </w:rPr>
            </w:pPr>
            <w:r w:rsidRPr="008E63BB">
              <w:rPr>
                <w:rFonts w:eastAsia="Times New Roman"/>
                <w:szCs w:val="26"/>
              </w:rPr>
              <w:t>192.770</w:t>
            </w:r>
          </w:p>
        </w:tc>
      </w:tr>
      <w:tr w:rsidR="00EE602B" w:rsidRPr="008E63BB" w14:paraId="519B3F9A"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94"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vAlign w:val="center"/>
            <w:hideMark/>
          </w:tcPr>
          <w:p w14:paraId="519B3F95" w14:textId="77777777" w:rsidR="00EE602B" w:rsidRPr="008E63BB" w:rsidRDefault="00EE602B" w:rsidP="00EE602B">
            <w:pPr>
              <w:rPr>
                <w:rFonts w:eastAsia="Times New Roman"/>
                <w:szCs w:val="26"/>
              </w:rPr>
            </w:pPr>
            <w:r w:rsidRPr="008E63BB">
              <w:rPr>
                <w:rFonts w:eastAsia="Times New Roman"/>
                <w:szCs w:val="26"/>
              </w:rPr>
              <w:t>Trạm bơm cấp 1</w:t>
            </w:r>
          </w:p>
        </w:tc>
        <w:tc>
          <w:tcPr>
            <w:tcW w:w="1134" w:type="dxa"/>
            <w:tcBorders>
              <w:top w:val="nil"/>
              <w:left w:val="nil"/>
              <w:bottom w:val="single" w:sz="4" w:space="0" w:color="auto"/>
              <w:right w:val="single" w:sz="4" w:space="0" w:color="auto"/>
            </w:tcBorders>
            <w:shd w:val="clear" w:color="auto" w:fill="auto"/>
            <w:noWrap/>
            <w:vAlign w:val="center"/>
            <w:hideMark/>
          </w:tcPr>
          <w:p w14:paraId="519B3F96" w14:textId="77777777" w:rsidR="00EE602B" w:rsidRPr="008E63BB" w:rsidRDefault="00EE602B" w:rsidP="00EE602B">
            <w:pPr>
              <w:jc w:val="center"/>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97" w14:textId="77777777" w:rsidR="00EE602B" w:rsidRPr="008E63BB" w:rsidRDefault="00EE602B" w:rsidP="00EE602B">
            <w:pPr>
              <w:jc w:val="right"/>
              <w:rPr>
                <w:rFonts w:eastAsia="Times New Roman"/>
                <w:szCs w:val="26"/>
              </w:rPr>
            </w:pPr>
            <w:r w:rsidRPr="008E63BB">
              <w:rPr>
                <w:rFonts w:eastAsia="Times New Roman"/>
                <w:szCs w:val="26"/>
              </w:rPr>
              <w:t>37.000</w:t>
            </w:r>
          </w:p>
        </w:tc>
        <w:tc>
          <w:tcPr>
            <w:tcW w:w="1256" w:type="dxa"/>
            <w:tcBorders>
              <w:top w:val="nil"/>
              <w:left w:val="nil"/>
              <w:bottom w:val="single" w:sz="4" w:space="0" w:color="auto"/>
              <w:right w:val="single" w:sz="4" w:space="0" w:color="auto"/>
            </w:tcBorders>
            <w:shd w:val="clear" w:color="auto" w:fill="auto"/>
            <w:noWrap/>
            <w:vAlign w:val="center"/>
            <w:hideMark/>
          </w:tcPr>
          <w:p w14:paraId="519B3F98" w14:textId="77777777" w:rsidR="00EE602B" w:rsidRPr="008E63BB" w:rsidRDefault="00EE602B" w:rsidP="00EE602B">
            <w:pPr>
              <w:jc w:val="right"/>
              <w:rPr>
                <w:rFonts w:eastAsia="Times New Roman"/>
                <w:szCs w:val="26"/>
              </w:rPr>
            </w:pPr>
            <w:r w:rsidRPr="008E63BB">
              <w:rPr>
                <w:rFonts w:eastAsia="Times New Roman"/>
                <w:szCs w:val="26"/>
              </w:rPr>
              <w:t>2.000</w:t>
            </w:r>
          </w:p>
        </w:tc>
        <w:tc>
          <w:tcPr>
            <w:tcW w:w="1652" w:type="dxa"/>
            <w:tcBorders>
              <w:top w:val="nil"/>
              <w:left w:val="nil"/>
              <w:bottom w:val="single" w:sz="4" w:space="0" w:color="auto"/>
              <w:right w:val="single" w:sz="4" w:space="0" w:color="auto"/>
            </w:tcBorders>
            <w:shd w:val="clear" w:color="auto" w:fill="auto"/>
            <w:noWrap/>
            <w:vAlign w:val="center"/>
            <w:hideMark/>
          </w:tcPr>
          <w:p w14:paraId="519B3F99" w14:textId="77777777" w:rsidR="00EE602B" w:rsidRPr="008E63BB" w:rsidRDefault="00EE602B" w:rsidP="00EE602B">
            <w:pPr>
              <w:jc w:val="right"/>
              <w:rPr>
                <w:rFonts w:eastAsia="Times New Roman"/>
                <w:szCs w:val="26"/>
              </w:rPr>
            </w:pPr>
            <w:r w:rsidRPr="008E63BB">
              <w:rPr>
                <w:rFonts w:eastAsia="Times New Roman"/>
                <w:szCs w:val="26"/>
              </w:rPr>
              <w:t>74.000</w:t>
            </w:r>
          </w:p>
        </w:tc>
      </w:tr>
      <w:tr w:rsidR="00EE602B" w:rsidRPr="008E63BB" w14:paraId="519B3FA1"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9B" w14:textId="77777777" w:rsidR="00EE602B" w:rsidRPr="008E63BB" w:rsidRDefault="00EE602B" w:rsidP="00EE602B">
            <w:pPr>
              <w:jc w:val="center"/>
              <w:rPr>
                <w:rFonts w:eastAsia="Times New Roman"/>
                <w:szCs w:val="26"/>
              </w:rPr>
            </w:pPr>
            <w:r w:rsidRPr="008E63BB">
              <w:rPr>
                <w:rFonts w:eastAsia="Times New Roman"/>
                <w:szCs w:val="26"/>
              </w:rPr>
              <w:t>3</w:t>
            </w:r>
          </w:p>
        </w:tc>
        <w:tc>
          <w:tcPr>
            <w:tcW w:w="3402" w:type="dxa"/>
            <w:tcBorders>
              <w:top w:val="nil"/>
              <w:left w:val="nil"/>
              <w:bottom w:val="single" w:sz="4" w:space="0" w:color="auto"/>
              <w:right w:val="single" w:sz="4" w:space="0" w:color="auto"/>
            </w:tcBorders>
            <w:shd w:val="clear" w:color="auto" w:fill="auto"/>
            <w:vAlign w:val="center"/>
            <w:hideMark/>
          </w:tcPr>
          <w:p w14:paraId="519B3F9C" w14:textId="77777777" w:rsidR="00EE602B" w:rsidRPr="008E63BB" w:rsidRDefault="00EE602B" w:rsidP="00EE602B">
            <w:pPr>
              <w:rPr>
                <w:rFonts w:eastAsia="Times New Roman"/>
                <w:szCs w:val="26"/>
              </w:rPr>
            </w:pPr>
            <w:r w:rsidRPr="008E63BB">
              <w:rPr>
                <w:rFonts w:eastAsia="Times New Roman"/>
                <w:szCs w:val="26"/>
              </w:rPr>
              <w:t>Chuyển đổi NMN thành trạm bơm tăng áp Cốc Thành</w:t>
            </w:r>
          </w:p>
        </w:tc>
        <w:tc>
          <w:tcPr>
            <w:tcW w:w="1134" w:type="dxa"/>
            <w:tcBorders>
              <w:top w:val="nil"/>
              <w:left w:val="nil"/>
              <w:bottom w:val="single" w:sz="4" w:space="0" w:color="auto"/>
              <w:right w:val="single" w:sz="4" w:space="0" w:color="auto"/>
            </w:tcBorders>
            <w:shd w:val="clear" w:color="auto" w:fill="auto"/>
            <w:noWrap/>
            <w:vAlign w:val="center"/>
            <w:hideMark/>
          </w:tcPr>
          <w:p w14:paraId="519B3F9D" w14:textId="77777777" w:rsidR="00EE602B" w:rsidRPr="008E63BB" w:rsidRDefault="00EE602B" w:rsidP="00EE602B">
            <w:pPr>
              <w:jc w:val="right"/>
              <w:rPr>
                <w:rFonts w:eastAsia="Times New Roman"/>
                <w:szCs w:val="26"/>
              </w:rPr>
            </w:pPr>
            <w:r w:rsidRPr="008E63BB">
              <w:rPr>
                <w:rFonts w:eastAsia="Times New Roman"/>
                <w:szCs w:val="26"/>
              </w:rPr>
              <w:t>m3/ngđ</w:t>
            </w:r>
          </w:p>
        </w:tc>
        <w:tc>
          <w:tcPr>
            <w:tcW w:w="1061" w:type="dxa"/>
            <w:tcBorders>
              <w:top w:val="nil"/>
              <w:left w:val="nil"/>
              <w:bottom w:val="single" w:sz="4" w:space="0" w:color="auto"/>
              <w:right w:val="single" w:sz="4" w:space="0" w:color="auto"/>
            </w:tcBorders>
            <w:shd w:val="clear" w:color="auto" w:fill="auto"/>
            <w:noWrap/>
            <w:vAlign w:val="center"/>
            <w:hideMark/>
          </w:tcPr>
          <w:p w14:paraId="519B3F9E" w14:textId="77777777" w:rsidR="00EE602B" w:rsidRPr="008E63BB" w:rsidRDefault="00EE602B" w:rsidP="00EE602B">
            <w:pPr>
              <w:jc w:val="right"/>
              <w:rPr>
                <w:rFonts w:eastAsia="Times New Roman"/>
                <w:szCs w:val="26"/>
              </w:rPr>
            </w:pPr>
            <w:r w:rsidRPr="008E63BB">
              <w:rPr>
                <w:rFonts w:eastAsia="Times New Roman"/>
                <w:szCs w:val="26"/>
              </w:rPr>
              <w:t>2.250</w:t>
            </w:r>
          </w:p>
        </w:tc>
        <w:tc>
          <w:tcPr>
            <w:tcW w:w="1256" w:type="dxa"/>
            <w:tcBorders>
              <w:top w:val="nil"/>
              <w:left w:val="nil"/>
              <w:bottom w:val="single" w:sz="4" w:space="0" w:color="auto"/>
              <w:right w:val="single" w:sz="4" w:space="0" w:color="auto"/>
            </w:tcBorders>
            <w:shd w:val="clear" w:color="auto" w:fill="auto"/>
            <w:noWrap/>
            <w:vAlign w:val="center"/>
            <w:hideMark/>
          </w:tcPr>
          <w:p w14:paraId="519B3F9F" w14:textId="77777777" w:rsidR="00EE602B" w:rsidRPr="008E63BB" w:rsidRDefault="00EE602B" w:rsidP="00EE602B">
            <w:pPr>
              <w:jc w:val="right"/>
              <w:rPr>
                <w:rFonts w:eastAsia="Times New Roman"/>
                <w:szCs w:val="26"/>
              </w:rPr>
            </w:pPr>
            <w:r w:rsidRPr="008E63BB">
              <w:rPr>
                <w:rFonts w:eastAsia="Times New Roman"/>
                <w:szCs w:val="26"/>
              </w:rPr>
              <w:t>2.000</w:t>
            </w:r>
          </w:p>
        </w:tc>
        <w:tc>
          <w:tcPr>
            <w:tcW w:w="1652" w:type="dxa"/>
            <w:tcBorders>
              <w:top w:val="nil"/>
              <w:left w:val="nil"/>
              <w:bottom w:val="single" w:sz="4" w:space="0" w:color="auto"/>
              <w:right w:val="single" w:sz="4" w:space="0" w:color="auto"/>
            </w:tcBorders>
            <w:shd w:val="clear" w:color="auto" w:fill="auto"/>
            <w:noWrap/>
            <w:vAlign w:val="center"/>
            <w:hideMark/>
          </w:tcPr>
          <w:p w14:paraId="519B3FA0" w14:textId="77777777" w:rsidR="00EE602B" w:rsidRPr="008E63BB" w:rsidRDefault="00EE602B" w:rsidP="00EE602B">
            <w:pPr>
              <w:jc w:val="right"/>
              <w:rPr>
                <w:rFonts w:eastAsia="Times New Roman"/>
                <w:szCs w:val="26"/>
              </w:rPr>
            </w:pPr>
            <w:r w:rsidRPr="008E63BB">
              <w:rPr>
                <w:rFonts w:eastAsia="Times New Roman"/>
                <w:szCs w:val="26"/>
              </w:rPr>
              <w:t>4.500</w:t>
            </w:r>
          </w:p>
        </w:tc>
      </w:tr>
      <w:tr w:rsidR="00EE602B" w:rsidRPr="008E63BB" w14:paraId="519B3FA8"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A2" w14:textId="77777777" w:rsidR="00EE602B" w:rsidRPr="008E63BB" w:rsidRDefault="00EE602B" w:rsidP="00EE602B">
            <w:pPr>
              <w:jc w:val="center"/>
              <w:rPr>
                <w:rFonts w:eastAsia="Times New Roman"/>
                <w:szCs w:val="26"/>
              </w:rPr>
            </w:pPr>
            <w:r w:rsidRPr="008E63BB">
              <w:rPr>
                <w:rFonts w:eastAsia="Times New Roman"/>
                <w:szCs w:val="26"/>
              </w:rPr>
              <w:t>4</w:t>
            </w:r>
          </w:p>
        </w:tc>
        <w:tc>
          <w:tcPr>
            <w:tcW w:w="3402" w:type="dxa"/>
            <w:tcBorders>
              <w:top w:val="nil"/>
              <w:left w:val="nil"/>
              <w:bottom w:val="single" w:sz="4" w:space="0" w:color="auto"/>
              <w:right w:val="single" w:sz="4" w:space="0" w:color="auto"/>
            </w:tcBorders>
            <w:shd w:val="clear" w:color="auto" w:fill="auto"/>
            <w:noWrap/>
            <w:vAlign w:val="center"/>
            <w:hideMark/>
          </w:tcPr>
          <w:p w14:paraId="519B3FA3" w14:textId="77777777" w:rsidR="00EE602B" w:rsidRPr="008E63BB" w:rsidRDefault="00EE602B" w:rsidP="00EE602B">
            <w:pPr>
              <w:rPr>
                <w:rFonts w:eastAsia="Times New Roman"/>
                <w:szCs w:val="26"/>
              </w:rPr>
            </w:pPr>
            <w:r w:rsidRPr="008E63BB">
              <w:rPr>
                <w:rFonts w:eastAsia="Times New Roman"/>
                <w:szCs w:val="26"/>
              </w:rPr>
              <w:t xml:space="preserve">Mạng lưới cấp nước </w:t>
            </w:r>
          </w:p>
        </w:tc>
        <w:tc>
          <w:tcPr>
            <w:tcW w:w="1134" w:type="dxa"/>
            <w:tcBorders>
              <w:top w:val="nil"/>
              <w:left w:val="nil"/>
              <w:bottom w:val="single" w:sz="4" w:space="0" w:color="auto"/>
              <w:right w:val="single" w:sz="4" w:space="0" w:color="auto"/>
            </w:tcBorders>
            <w:shd w:val="clear" w:color="auto" w:fill="auto"/>
            <w:noWrap/>
            <w:vAlign w:val="center"/>
            <w:hideMark/>
          </w:tcPr>
          <w:p w14:paraId="519B3FA4" w14:textId="77777777" w:rsidR="00EE602B" w:rsidRPr="008E63BB" w:rsidRDefault="00EE602B" w:rsidP="00EE602B">
            <w:pP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3FA5" w14:textId="77777777" w:rsidR="00EE602B" w:rsidRPr="008E63BB" w:rsidRDefault="00EE602B" w:rsidP="00EE602B">
            <w:pPr>
              <w:rPr>
                <w:rFonts w:eastAsia="Times New Roman"/>
                <w:szCs w:val="26"/>
              </w:rPr>
            </w:pPr>
            <w:r w:rsidRPr="008E63BB">
              <w:rPr>
                <w:rFonts w:eastAsia="Times New Roman"/>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3FA6"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3FA7" w14:textId="77777777" w:rsidR="00EE602B" w:rsidRPr="008E63BB" w:rsidRDefault="00EE602B" w:rsidP="00EE602B">
            <w:pPr>
              <w:jc w:val="right"/>
              <w:rPr>
                <w:rFonts w:eastAsia="Times New Roman"/>
                <w:szCs w:val="26"/>
              </w:rPr>
            </w:pPr>
            <w:r w:rsidRPr="008E63BB">
              <w:rPr>
                <w:rFonts w:eastAsia="Times New Roman"/>
                <w:szCs w:val="26"/>
              </w:rPr>
              <w:t>426.936</w:t>
            </w:r>
          </w:p>
        </w:tc>
      </w:tr>
      <w:tr w:rsidR="00EE602B" w:rsidRPr="008E63BB" w14:paraId="519B3FAF"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A9"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AA" w14:textId="77777777" w:rsidR="00EE602B" w:rsidRPr="008E63BB" w:rsidRDefault="00EE602B" w:rsidP="00EE602B">
            <w:pPr>
              <w:rPr>
                <w:rFonts w:eastAsia="Times New Roman"/>
                <w:szCs w:val="26"/>
              </w:rPr>
            </w:pPr>
            <w:r w:rsidRPr="008E63BB">
              <w:rPr>
                <w:rFonts w:eastAsia="Times New Roman"/>
                <w:szCs w:val="26"/>
              </w:rPr>
              <w:t>Ống dự án</w:t>
            </w:r>
          </w:p>
        </w:tc>
        <w:tc>
          <w:tcPr>
            <w:tcW w:w="1134" w:type="dxa"/>
            <w:tcBorders>
              <w:top w:val="nil"/>
              <w:left w:val="nil"/>
              <w:bottom w:val="single" w:sz="4" w:space="0" w:color="auto"/>
              <w:right w:val="single" w:sz="4" w:space="0" w:color="auto"/>
            </w:tcBorders>
            <w:shd w:val="clear" w:color="auto" w:fill="auto"/>
            <w:noWrap/>
            <w:vAlign w:val="center"/>
            <w:hideMark/>
          </w:tcPr>
          <w:p w14:paraId="519B3FAB" w14:textId="77777777" w:rsidR="00EE602B" w:rsidRPr="008E63BB" w:rsidRDefault="00EE602B" w:rsidP="00EE602B">
            <w:pP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3FAC" w14:textId="77777777" w:rsidR="00EE602B" w:rsidRPr="008E63BB" w:rsidRDefault="00EE602B" w:rsidP="00EE602B">
            <w:pPr>
              <w:jc w:val="right"/>
              <w:rPr>
                <w:rFonts w:eastAsia="Times New Roman"/>
                <w:szCs w:val="26"/>
              </w:rPr>
            </w:pPr>
            <w:r w:rsidRPr="008E63BB">
              <w:rPr>
                <w:rFonts w:eastAsia="Times New Roman"/>
                <w:szCs w:val="26"/>
              </w:rPr>
              <w:t>50.810</w:t>
            </w:r>
          </w:p>
        </w:tc>
        <w:tc>
          <w:tcPr>
            <w:tcW w:w="1256" w:type="dxa"/>
            <w:tcBorders>
              <w:top w:val="nil"/>
              <w:left w:val="nil"/>
              <w:bottom w:val="single" w:sz="4" w:space="0" w:color="auto"/>
              <w:right w:val="single" w:sz="4" w:space="0" w:color="auto"/>
            </w:tcBorders>
            <w:shd w:val="clear" w:color="auto" w:fill="auto"/>
            <w:noWrap/>
            <w:vAlign w:val="center"/>
            <w:hideMark/>
          </w:tcPr>
          <w:p w14:paraId="519B3FAD"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3FAE" w14:textId="77777777" w:rsidR="00EE602B" w:rsidRPr="008E63BB" w:rsidRDefault="00EE602B" w:rsidP="00EE602B">
            <w:pPr>
              <w:jc w:val="right"/>
              <w:rPr>
                <w:rFonts w:eastAsia="Times New Roman"/>
                <w:szCs w:val="26"/>
              </w:rPr>
            </w:pPr>
            <w:r w:rsidRPr="008E63BB">
              <w:rPr>
                <w:rFonts w:eastAsia="Times New Roman"/>
                <w:szCs w:val="26"/>
              </w:rPr>
              <w:t>326.616</w:t>
            </w:r>
          </w:p>
        </w:tc>
      </w:tr>
      <w:tr w:rsidR="00EE602B" w:rsidRPr="008E63BB" w14:paraId="519B3FB6"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B0" w14:textId="77777777" w:rsidR="00EE602B" w:rsidRPr="008E63BB" w:rsidRDefault="00EE602B" w:rsidP="00EE602B">
            <w:pPr>
              <w:jc w:val="center"/>
              <w:rPr>
                <w:rFonts w:eastAsia="Times New Roman"/>
                <w:szCs w:val="26"/>
              </w:rPr>
            </w:pPr>
            <w:r w:rsidRPr="008E63BB">
              <w:rPr>
                <w:rFonts w:eastAsia="Times New Roman"/>
                <w:szCs w:val="26"/>
              </w:rPr>
              <w:lastRenderedPageBreak/>
              <w:t>-</w:t>
            </w:r>
          </w:p>
        </w:tc>
        <w:tc>
          <w:tcPr>
            <w:tcW w:w="3402" w:type="dxa"/>
            <w:tcBorders>
              <w:top w:val="nil"/>
              <w:left w:val="nil"/>
              <w:bottom w:val="single" w:sz="4" w:space="0" w:color="auto"/>
              <w:right w:val="single" w:sz="4" w:space="0" w:color="auto"/>
            </w:tcBorders>
            <w:shd w:val="clear" w:color="auto" w:fill="auto"/>
            <w:noWrap/>
            <w:vAlign w:val="center"/>
            <w:hideMark/>
          </w:tcPr>
          <w:p w14:paraId="519B3FB1"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200 mm</w:t>
            </w:r>
          </w:p>
        </w:tc>
        <w:tc>
          <w:tcPr>
            <w:tcW w:w="1134" w:type="dxa"/>
            <w:tcBorders>
              <w:top w:val="nil"/>
              <w:left w:val="nil"/>
              <w:bottom w:val="single" w:sz="4" w:space="0" w:color="auto"/>
              <w:right w:val="single" w:sz="4" w:space="0" w:color="auto"/>
            </w:tcBorders>
            <w:shd w:val="clear" w:color="auto" w:fill="auto"/>
            <w:noWrap/>
            <w:vAlign w:val="center"/>
            <w:hideMark/>
          </w:tcPr>
          <w:p w14:paraId="519B3FB2"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B3" w14:textId="77777777" w:rsidR="00EE602B" w:rsidRPr="008E63BB" w:rsidRDefault="00EE602B" w:rsidP="00EE602B">
            <w:pPr>
              <w:jc w:val="right"/>
              <w:rPr>
                <w:rFonts w:eastAsia="Times New Roman"/>
                <w:szCs w:val="26"/>
              </w:rPr>
            </w:pPr>
            <w:r w:rsidRPr="008E63BB">
              <w:rPr>
                <w:rFonts w:eastAsia="Times New Roman"/>
                <w:szCs w:val="26"/>
              </w:rPr>
              <w:t>6.520</w:t>
            </w:r>
          </w:p>
        </w:tc>
        <w:tc>
          <w:tcPr>
            <w:tcW w:w="1256" w:type="dxa"/>
            <w:tcBorders>
              <w:top w:val="nil"/>
              <w:left w:val="nil"/>
              <w:bottom w:val="single" w:sz="4" w:space="0" w:color="auto"/>
              <w:right w:val="single" w:sz="4" w:space="0" w:color="auto"/>
            </w:tcBorders>
            <w:shd w:val="clear" w:color="auto" w:fill="auto"/>
            <w:noWrap/>
            <w:vAlign w:val="center"/>
            <w:hideMark/>
          </w:tcPr>
          <w:p w14:paraId="519B3FB4" w14:textId="77777777" w:rsidR="00EE602B" w:rsidRPr="008E63BB" w:rsidRDefault="00EE602B" w:rsidP="00EE602B">
            <w:pPr>
              <w:jc w:val="right"/>
              <w:rPr>
                <w:rFonts w:eastAsia="Times New Roman"/>
                <w:szCs w:val="26"/>
              </w:rPr>
            </w:pPr>
            <w:r w:rsidRPr="008E63BB">
              <w:rPr>
                <w:rFonts w:eastAsia="Times New Roman"/>
                <w:szCs w:val="26"/>
              </w:rPr>
              <w:t>1.510,74</w:t>
            </w:r>
          </w:p>
        </w:tc>
        <w:tc>
          <w:tcPr>
            <w:tcW w:w="1652" w:type="dxa"/>
            <w:tcBorders>
              <w:top w:val="nil"/>
              <w:left w:val="nil"/>
              <w:bottom w:val="single" w:sz="4" w:space="0" w:color="auto"/>
              <w:right w:val="single" w:sz="4" w:space="0" w:color="auto"/>
            </w:tcBorders>
            <w:shd w:val="clear" w:color="auto" w:fill="auto"/>
            <w:noWrap/>
            <w:vAlign w:val="center"/>
            <w:hideMark/>
          </w:tcPr>
          <w:p w14:paraId="519B3FB5" w14:textId="77777777" w:rsidR="00EE602B" w:rsidRPr="008E63BB" w:rsidRDefault="00EE602B" w:rsidP="00EE602B">
            <w:pPr>
              <w:jc w:val="right"/>
              <w:rPr>
                <w:rFonts w:eastAsia="Times New Roman"/>
                <w:szCs w:val="26"/>
              </w:rPr>
            </w:pPr>
            <w:r w:rsidRPr="008E63BB">
              <w:rPr>
                <w:rFonts w:eastAsia="Times New Roman"/>
                <w:szCs w:val="26"/>
              </w:rPr>
              <w:t>9.850</w:t>
            </w:r>
          </w:p>
        </w:tc>
      </w:tr>
      <w:tr w:rsidR="00EE602B" w:rsidRPr="008E63BB" w14:paraId="519B3FBD"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B7"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B8"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250 mm</w:t>
            </w:r>
          </w:p>
        </w:tc>
        <w:tc>
          <w:tcPr>
            <w:tcW w:w="1134" w:type="dxa"/>
            <w:tcBorders>
              <w:top w:val="nil"/>
              <w:left w:val="nil"/>
              <w:bottom w:val="single" w:sz="4" w:space="0" w:color="auto"/>
              <w:right w:val="single" w:sz="4" w:space="0" w:color="auto"/>
            </w:tcBorders>
            <w:shd w:val="clear" w:color="auto" w:fill="auto"/>
            <w:noWrap/>
            <w:vAlign w:val="center"/>
            <w:hideMark/>
          </w:tcPr>
          <w:p w14:paraId="519B3FB9"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BA" w14:textId="77777777" w:rsidR="00EE602B" w:rsidRPr="008E63BB" w:rsidRDefault="00EE602B" w:rsidP="00EE602B">
            <w:pPr>
              <w:jc w:val="right"/>
              <w:rPr>
                <w:rFonts w:eastAsia="Times New Roman"/>
                <w:szCs w:val="26"/>
              </w:rPr>
            </w:pPr>
            <w:r w:rsidRPr="008E63BB">
              <w:rPr>
                <w:rFonts w:eastAsia="Times New Roman"/>
                <w:szCs w:val="26"/>
              </w:rPr>
              <w:t>5.845</w:t>
            </w:r>
          </w:p>
        </w:tc>
        <w:tc>
          <w:tcPr>
            <w:tcW w:w="1256" w:type="dxa"/>
            <w:tcBorders>
              <w:top w:val="nil"/>
              <w:left w:val="nil"/>
              <w:bottom w:val="single" w:sz="4" w:space="0" w:color="auto"/>
              <w:right w:val="single" w:sz="4" w:space="0" w:color="auto"/>
            </w:tcBorders>
            <w:shd w:val="clear" w:color="auto" w:fill="auto"/>
            <w:noWrap/>
            <w:vAlign w:val="center"/>
            <w:hideMark/>
          </w:tcPr>
          <w:p w14:paraId="519B3FBB" w14:textId="77777777" w:rsidR="00EE602B" w:rsidRPr="008E63BB" w:rsidRDefault="00EE602B" w:rsidP="00EE602B">
            <w:pPr>
              <w:jc w:val="right"/>
              <w:rPr>
                <w:rFonts w:eastAsia="Times New Roman"/>
                <w:szCs w:val="26"/>
              </w:rPr>
            </w:pPr>
            <w:r w:rsidRPr="008E63BB">
              <w:rPr>
                <w:rFonts w:eastAsia="Times New Roman"/>
                <w:szCs w:val="26"/>
              </w:rPr>
              <w:t>2.310,00</w:t>
            </w:r>
          </w:p>
        </w:tc>
        <w:tc>
          <w:tcPr>
            <w:tcW w:w="1652" w:type="dxa"/>
            <w:tcBorders>
              <w:top w:val="nil"/>
              <w:left w:val="nil"/>
              <w:bottom w:val="single" w:sz="4" w:space="0" w:color="auto"/>
              <w:right w:val="single" w:sz="4" w:space="0" w:color="auto"/>
            </w:tcBorders>
            <w:shd w:val="clear" w:color="auto" w:fill="auto"/>
            <w:noWrap/>
            <w:vAlign w:val="center"/>
            <w:hideMark/>
          </w:tcPr>
          <w:p w14:paraId="519B3FBC" w14:textId="77777777" w:rsidR="00EE602B" w:rsidRPr="008E63BB" w:rsidRDefault="00EE602B" w:rsidP="00EE602B">
            <w:pPr>
              <w:jc w:val="right"/>
              <w:rPr>
                <w:rFonts w:eastAsia="Times New Roman"/>
                <w:szCs w:val="26"/>
              </w:rPr>
            </w:pPr>
            <w:r w:rsidRPr="008E63BB">
              <w:rPr>
                <w:rFonts w:eastAsia="Times New Roman"/>
                <w:szCs w:val="26"/>
              </w:rPr>
              <w:t>13.502</w:t>
            </w:r>
          </w:p>
        </w:tc>
      </w:tr>
      <w:tr w:rsidR="00EE602B" w:rsidRPr="008E63BB" w14:paraId="519B3FC4"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BE"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BF"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300 mm</w:t>
            </w:r>
          </w:p>
        </w:tc>
        <w:tc>
          <w:tcPr>
            <w:tcW w:w="1134" w:type="dxa"/>
            <w:tcBorders>
              <w:top w:val="nil"/>
              <w:left w:val="nil"/>
              <w:bottom w:val="single" w:sz="4" w:space="0" w:color="auto"/>
              <w:right w:val="single" w:sz="4" w:space="0" w:color="auto"/>
            </w:tcBorders>
            <w:shd w:val="clear" w:color="auto" w:fill="auto"/>
            <w:noWrap/>
            <w:vAlign w:val="center"/>
            <w:hideMark/>
          </w:tcPr>
          <w:p w14:paraId="519B3FC0"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C1" w14:textId="77777777" w:rsidR="00EE602B" w:rsidRPr="008E63BB" w:rsidRDefault="00EE602B" w:rsidP="00EE602B">
            <w:pPr>
              <w:jc w:val="right"/>
              <w:rPr>
                <w:rFonts w:eastAsia="Times New Roman"/>
                <w:szCs w:val="26"/>
              </w:rPr>
            </w:pPr>
            <w:r w:rsidRPr="008E63BB">
              <w:rPr>
                <w:rFonts w:eastAsia="Times New Roman"/>
                <w:szCs w:val="26"/>
              </w:rPr>
              <w:t>12.835</w:t>
            </w:r>
          </w:p>
        </w:tc>
        <w:tc>
          <w:tcPr>
            <w:tcW w:w="1256" w:type="dxa"/>
            <w:tcBorders>
              <w:top w:val="nil"/>
              <w:left w:val="nil"/>
              <w:bottom w:val="single" w:sz="4" w:space="0" w:color="auto"/>
              <w:right w:val="single" w:sz="4" w:space="0" w:color="auto"/>
            </w:tcBorders>
            <w:shd w:val="clear" w:color="auto" w:fill="auto"/>
            <w:noWrap/>
            <w:vAlign w:val="center"/>
            <w:hideMark/>
          </w:tcPr>
          <w:p w14:paraId="519B3FC2" w14:textId="77777777" w:rsidR="00EE602B" w:rsidRPr="008E63BB" w:rsidRDefault="00EE602B" w:rsidP="00EE602B">
            <w:pPr>
              <w:jc w:val="right"/>
              <w:rPr>
                <w:rFonts w:eastAsia="Times New Roman"/>
                <w:szCs w:val="26"/>
              </w:rPr>
            </w:pPr>
            <w:r w:rsidRPr="008E63BB">
              <w:rPr>
                <w:rFonts w:eastAsia="Times New Roman"/>
                <w:szCs w:val="26"/>
              </w:rPr>
              <w:t>2.949,10</w:t>
            </w:r>
          </w:p>
        </w:tc>
        <w:tc>
          <w:tcPr>
            <w:tcW w:w="1652" w:type="dxa"/>
            <w:tcBorders>
              <w:top w:val="nil"/>
              <w:left w:val="nil"/>
              <w:bottom w:val="single" w:sz="4" w:space="0" w:color="auto"/>
              <w:right w:val="single" w:sz="4" w:space="0" w:color="auto"/>
            </w:tcBorders>
            <w:shd w:val="clear" w:color="auto" w:fill="auto"/>
            <w:noWrap/>
            <w:vAlign w:val="center"/>
            <w:hideMark/>
          </w:tcPr>
          <w:p w14:paraId="519B3FC3" w14:textId="77777777" w:rsidR="00EE602B" w:rsidRPr="008E63BB" w:rsidRDefault="00EE602B" w:rsidP="00EE602B">
            <w:pPr>
              <w:jc w:val="right"/>
              <w:rPr>
                <w:rFonts w:eastAsia="Times New Roman"/>
                <w:szCs w:val="26"/>
              </w:rPr>
            </w:pPr>
            <w:r w:rsidRPr="008E63BB">
              <w:rPr>
                <w:rFonts w:eastAsia="Times New Roman"/>
                <w:szCs w:val="26"/>
              </w:rPr>
              <w:t>37.852</w:t>
            </w:r>
          </w:p>
        </w:tc>
      </w:tr>
      <w:tr w:rsidR="00EE602B" w:rsidRPr="008E63BB" w14:paraId="519B3FCB"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C5"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C6"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400 mm</w:t>
            </w:r>
          </w:p>
        </w:tc>
        <w:tc>
          <w:tcPr>
            <w:tcW w:w="1134" w:type="dxa"/>
            <w:tcBorders>
              <w:top w:val="nil"/>
              <w:left w:val="nil"/>
              <w:bottom w:val="single" w:sz="4" w:space="0" w:color="auto"/>
              <w:right w:val="single" w:sz="4" w:space="0" w:color="auto"/>
            </w:tcBorders>
            <w:shd w:val="clear" w:color="auto" w:fill="auto"/>
            <w:noWrap/>
            <w:vAlign w:val="center"/>
            <w:hideMark/>
          </w:tcPr>
          <w:p w14:paraId="519B3FC7"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C8" w14:textId="77777777" w:rsidR="00EE602B" w:rsidRPr="008E63BB" w:rsidRDefault="00EE602B" w:rsidP="00EE602B">
            <w:pPr>
              <w:jc w:val="right"/>
              <w:rPr>
                <w:rFonts w:eastAsia="Times New Roman"/>
                <w:szCs w:val="26"/>
              </w:rPr>
            </w:pPr>
            <w:r w:rsidRPr="008E63BB">
              <w:rPr>
                <w:rFonts w:eastAsia="Times New Roman"/>
                <w:szCs w:val="26"/>
              </w:rPr>
              <w:t>6.830</w:t>
            </w:r>
          </w:p>
        </w:tc>
        <w:tc>
          <w:tcPr>
            <w:tcW w:w="1256" w:type="dxa"/>
            <w:tcBorders>
              <w:top w:val="nil"/>
              <w:left w:val="nil"/>
              <w:bottom w:val="single" w:sz="4" w:space="0" w:color="auto"/>
              <w:right w:val="single" w:sz="4" w:space="0" w:color="auto"/>
            </w:tcBorders>
            <w:shd w:val="clear" w:color="auto" w:fill="auto"/>
            <w:noWrap/>
            <w:vAlign w:val="center"/>
            <w:hideMark/>
          </w:tcPr>
          <w:p w14:paraId="519B3FC9" w14:textId="77777777" w:rsidR="00EE602B" w:rsidRPr="008E63BB" w:rsidRDefault="00EE602B" w:rsidP="00EE602B">
            <w:pPr>
              <w:jc w:val="right"/>
              <w:rPr>
                <w:rFonts w:eastAsia="Times New Roman"/>
                <w:szCs w:val="26"/>
              </w:rPr>
            </w:pPr>
            <w:r w:rsidRPr="008E63BB">
              <w:rPr>
                <w:rFonts w:eastAsia="Times New Roman"/>
                <w:szCs w:val="26"/>
              </w:rPr>
              <w:t>4.721,64</w:t>
            </w:r>
          </w:p>
        </w:tc>
        <w:tc>
          <w:tcPr>
            <w:tcW w:w="1652" w:type="dxa"/>
            <w:tcBorders>
              <w:top w:val="nil"/>
              <w:left w:val="nil"/>
              <w:bottom w:val="single" w:sz="4" w:space="0" w:color="auto"/>
              <w:right w:val="single" w:sz="4" w:space="0" w:color="auto"/>
            </w:tcBorders>
            <w:shd w:val="clear" w:color="auto" w:fill="auto"/>
            <w:noWrap/>
            <w:vAlign w:val="center"/>
            <w:hideMark/>
          </w:tcPr>
          <w:p w14:paraId="519B3FCA" w14:textId="77777777" w:rsidR="00EE602B" w:rsidRPr="008E63BB" w:rsidRDefault="00EE602B" w:rsidP="00EE602B">
            <w:pPr>
              <w:jc w:val="right"/>
              <w:rPr>
                <w:rFonts w:eastAsia="Times New Roman"/>
                <w:szCs w:val="26"/>
              </w:rPr>
            </w:pPr>
            <w:r w:rsidRPr="008E63BB">
              <w:rPr>
                <w:rFonts w:eastAsia="Times New Roman"/>
                <w:szCs w:val="26"/>
              </w:rPr>
              <w:t>32.249</w:t>
            </w:r>
          </w:p>
        </w:tc>
      </w:tr>
      <w:tr w:rsidR="00EE602B" w:rsidRPr="008E63BB" w14:paraId="519B3FD2"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CC"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CD"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600 mm</w:t>
            </w:r>
          </w:p>
        </w:tc>
        <w:tc>
          <w:tcPr>
            <w:tcW w:w="1134" w:type="dxa"/>
            <w:tcBorders>
              <w:top w:val="nil"/>
              <w:left w:val="nil"/>
              <w:bottom w:val="single" w:sz="4" w:space="0" w:color="auto"/>
              <w:right w:val="single" w:sz="4" w:space="0" w:color="auto"/>
            </w:tcBorders>
            <w:shd w:val="clear" w:color="auto" w:fill="auto"/>
            <w:noWrap/>
            <w:vAlign w:val="center"/>
            <w:hideMark/>
          </w:tcPr>
          <w:p w14:paraId="519B3FCE"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CF" w14:textId="77777777" w:rsidR="00EE602B" w:rsidRPr="008E63BB" w:rsidRDefault="00EE602B" w:rsidP="00EE602B">
            <w:pPr>
              <w:jc w:val="right"/>
              <w:rPr>
                <w:rFonts w:eastAsia="Times New Roman"/>
                <w:szCs w:val="26"/>
              </w:rPr>
            </w:pPr>
            <w:r w:rsidRPr="008E63BB">
              <w:rPr>
                <w:rFonts w:eastAsia="Times New Roman"/>
                <w:szCs w:val="26"/>
              </w:rPr>
              <w:t>6.395</w:t>
            </w:r>
          </w:p>
        </w:tc>
        <w:tc>
          <w:tcPr>
            <w:tcW w:w="1256" w:type="dxa"/>
            <w:tcBorders>
              <w:top w:val="nil"/>
              <w:left w:val="nil"/>
              <w:bottom w:val="single" w:sz="4" w:space="0" w:color="auto"/>
              <w:right w:val="single" w:sz="4" w:space="0" w:color="auto"/>
            </w:tcBorders>
            <w:shd w:val="clear" w:color="auto" w:fill="auto"/>
            <w:noWrap/>
            <w:vAlign w:val="center"/>
            <w:hideMark/>
          </w:tcPr>
          <w:p w14:paraId="519B3FD0" w14:textId="77777777" w:rsidR="00EE602B" w:rsidRPr="008E63BB" w:rsidRDefault="00EE602B" w:rsidP="00EE602B">
            <w:pPr>
              <w:jc w:val="right"/>
              <w:rPr>
                <w:rFonts w:eastAsia="Times New Roman"/>
                <w:szCs w:val="26"/>
              </w:rPr>
            </w:pPr>
            <w:r w:rsidRPr="008E63BB">
              <w:rPr>
                <w:rFonts w:eastAsia="Times New Roman"/>
                <w:szCs w:val="26"/>
              </w:rPr>
              <w:t>9.501,80</w:t>
            </w:r>
          </w:p>
        </w:tc>
        <w:tc>
          <w:tcPr>
            <w:tcW w:w="1652" w:type="dxa"/>
            <w:tcBorders>
              <w:top w:val="nil"/>
              <w:left w:val="nil"/>
              <w:bottom w:val="single" w:sz="4" w:space="0" w:color="auto"/>
              <w:right w:val="single" w:sz="4" w:space="0" w:color="auto"/>
            </w:tcBorders>
            <w:shd w:val="clear" w:color="auto" w:fill="auto"/>
            <w:noWrap/>
            <w:vAlign w:val="center"/>
            <w:hideMark/>
          </w:tcPr>
          <w:p w14:paraId="519B3FD1" w14:textId="77777777" w:rsidR="00EE602B" w:rsidRPr="008E63BB" w:rsidRDefault="00EE602B" w:rsidP="00EE602B">
            <w:pPr>
              <w:jc w:val="right"/>
              <w:rPr>
                <w:rFonts w:eastAsia="Times New Roman"/>
                <w:szCs w:val="26"/>
              </w:rPr>
            </w:pPr>
            <w:r w:rsidRPr="008E63BB">
              <w:rPr>
                <w:rFonts w:eastAsia="Times New Roman"/>
                <w:szCs w:val="26"/>
              </w:rPr>
              <w:t>60.764</w:t>
            </w:r>
          </w:p>
        </w:tc>
      </w:tr>
      <w:tr w:rsidR="00EE602B" w:rsidRPr="008E63BB" w14:paraId="519B3FD9"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D3"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D4" w14:textId="77777777" w:rsidR="00EE602B" w:rsidRPr="008E63BB" w:rsidRDefault="00EE602B" w:rsidP="00EE602B">
            <w:pPr>
              <w:rPr>
                <w:rFonts w:eastAsia="Times New Roman"/>
                <w:szCs w:val="26"/>
              </w:rPr>
            </w:pPr>
            <w:r w:rsidRPr="008E63BB">
              <w:rPr>
                <w:rFonts w:eastAsia="Times New Roman"/>
                <w:szCs w:val="26"/>
              </w:rPr>
              <w:t xml:space="preserve">Ống gang dẻo </w:t>
            </w:r>
            <w:r w:rsidRPr="008E63BB">
              <w:rPr>
                <w:rFonts w:ascii="Symbol" w:eastAsia="Times New Roman" w:hAnsi="Symbol"/>
                <w:szCs w:val="26"/>
              </w:rPr>
              <w:t></w:t>
            </w:r>
            <w:r w:rsidRPr="008E63BB">
              <w:rPr>
                <w:rFonts w:eastAsia="Times New Roman"/>
                <w:szCs w:val="26"/>
              </w:rPr>
              <w:t>800 mm</w:t>
            </w:r>
          </w:p>
        </w:tc>
        <w:tc>
          <w:tcPr>
            <w:tcW w:w="1134" w:type="dxa"/>
            <w:tcBorders>
              <w:top w:val="nil"/>
              <w:left w:val="nil"/>
              <w:bottom w:val="single" w:sz="4" w:space="0" w:color="auto"/>
              <w:right w:val="single" w:sz="4" w:space="0" w:color="auto"/>
            </w:tcBorders>
            <w:shd w:val="clear" w:color="auto" w:fill="auto"/>
            <w:noWrap/>
            <w:vAlign w:val="center"/>
            <w:hideMark/>
          </w:tcPr>
          <w:p w14:paraId="519B3FD5"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D6" w14:textId="77777777" w:rsidR="00EE602B" w:rsidRPr="008E63BB" w:rsidRDefault="00EE602B" w:rsidP="00EE602B">
            <w:pPr>
              <w:jc w:val="right"/>
              <w:rPr>
                <w:rFonts w:eastAsia="Times New Roman"/>
                <w:szCs w:val="26"/>
              </w:rPr>
            </w:pPr>
            <w:r w:rsidRPr="008E63BB">
              <w:rPr>
                <w:rFonts w:eastAsia="Times New Roman"/>
                <w:szCs w:val="26"/>
              </w:rPr>
              <w:t>12.385</w:t>
            </w:r>
          </w:p>
        </w:tc>
        <w:tc>
          <w:tcPr>
            <w:tcW w:w="1256" w:type="dxa"/>
            <w:tcBorders>
              <w:top w:val="nil"/>
              <w:left w:val="nil"/>
              <w:bottom w:val="single" w:sz="4" w:space="0" w:color="auto"/>
              <w:right w:val="single" w:sz="4" w:space="0" w:color="auto"/>
            </w:tcBorders>
            <w:shd w:val="clear" w:color="auto" w:fill="auto"/>
            <w:noWrap/>
            <w:vAlign w:val="center"/>
            <w:hideMark/>
          </w:tcPr>
          <w:p w14:paraId="519B3FD7" w14:textId="77777777" w:rsidR="00EE602B" w:rsidRPr="008E63BB" w:rsidRDefault="00EE602B" w:rsidP="00EE602B">
            <w:pPr>
              <w:jc w:val="right"/>
              <w:rPr>
                <w:rFonts w:eastAsia="Times New Roman"/>
                <w:szCs w:val="26"/>
              </w:rPr>
            </w:pPr>
            <w:r w:rsidRPr="008E63BB">
              <w:rPr>
                <w:rFonts w:eastAsia="Times New Roman"/>
                <w:szCs w:val="26"/>
              </w:rPr>
              <w:t>13.920,06</w:t>
            </w:r>
          </w:p>
        </w:tc>
        <w:tc>
          <w:tcPr>
            <w:tcW w:w="1652" w:type="dxa"/>
            <w:tcBorders>
              <w:top w:val="nil"/>
              <w:left w:val="nil"/>
              <w:bottom w:val="single" w:sz="4" w:space="0" w:color="auto"/>
              <w:right w:val="single" w:sz="4" w:space="0" w:color="auto"/>
            </w:tcBorders>
            <w:shd w:val="clear" w:color="auto" w:fill="auto"/>
            <w:noWrap/>
            <w:vAlign w:val="center"/>
            <w:hideMark/>
          </w:tcPr>
          <w:p w14:paraId="519B3FD8" w14:textId="77777777" w:rsidR="00EE602B" w:rsidRPr="008E63BB" w:rsidRDefault="00EE602B" w:rsidP="00EE602B">
            <w:pPr>
              <w:jc w:val="right"/>
              <w:rPr>
                <w:rFonts w:eastAsia="Times New Roman"/>
                <w:szCs w:val="26"/>
              </w:rPr>
            </w:pPr>
            <w:r w:rsidRPr="008E63BB">
              <w:rPr>
                <w:rFonts w:eastAsia="Times New Roman"/>
                <w:szCs w:val="26"/>
              </w:rPr>
              <w:t>172.400</w:t>
            </w:r>
          </w:p>
        </w:tc>
      </w:tr>
      <w:tr w:rsidR="00EE602B" w:rsidRPr="008E63BB" w14:paraId="519B3FE0"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DA"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DB" w14:textId="77777777" w:rsidR="00EE602B" w:rsidRPr="008E63BB" w:rsidRDefault="00EE602B" w:rsidP="00EE602B">
            <w:pPr>
              <w:rPr>
                <w:rFonts w:eastAsia="Times New Roman"/>
                <w:szCs w:val="26"/>
              </w:rPr>
            </w:pPr>
            <w:r w:rsidRPr="008E63BB">
              <w:rPr>
                <w:rFonts w:eastAsia="Times New Roman"/>
                <w:szCs w:val="26"/>
              </w:rPr>
              <w:t>Ống dự kiến</w:t>
            </w:r>
          </w:p>
        </w:tc>
        <w:tc>
          <w:tcPr>
            <w:tcW w:w="1134" w:type="dxa"/>
            <w:tcBorders>
              <w:top w:val="nil"/>
              <w:left w:val="nil"/>
              <w:bottom w:val="single" w:sz="4" w:space="0" w:color="auto"/>
              <w:right w:val="single" w:sz="4" w:space="0" w:color="auto"/>
            </w:tcBorders>
            <w:shd w:val="clear" w:color="auto" w:fill="auto"/>
            <w:noWrap/>
            <w:vAlign w:val="center"/>
            <w:hideMark/>
          </w:tcPr>
          <w:p w14:paraId="519B3FDC" w14:textId="77777777" w:rsidR="00EE602B" w:rsidRPr="008E63BB" w:rsidRDefault="00EE602B" w:rsidP="00EE602B">
            <w:pPr>
              <w:jc w:val="cente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3FDD" w14:textId="77777777" w:rsidR="00EE602B" w:rsidRPr="008E63BB" w:rsidRDefault="00EE602B" w:rsidP="00EE602B">
            <w:pPr>
              <w:jc w:val="right"/>
              <w:rPr>
                <w:rFonts w:eastAsia="Times New Roman"/>
                <w:szCs w:val="26"/>
              </w:rPr>
            </w:pPr>
            <w:r w:rsidRPr="008E63BB">
              <w:rPr>
                <w:rFonts w:eastAsia="Times New Roman"/>
                <w:szCs w:val="26"/>
              </w:rPr>
              <w:t>116.110</w:t>
            </w:r>
          </w:p>
        </w:tc>
        <w:tc>
          <w:tcPr>
            <w:tcW w:w="1256" w:type="dxa"/>
            <w:tcBorders>
              <w:top w:val="nil"/>
              <w:left w:val="nil"/>
              <w:bottom w:val="single" w:sz="4" w:space="0" w:color="auto"/>
              <w:right w:val="single" w:sz="4" w:space="0" w:color="auto"/>
            </w:tcBorders>
            <w:shd w:val="clear" w:color="auto" w:fill="auto"/>
            <w:noWrap/>
            <w:vAlign w:val="center"/>
            <w:hideMark/>
          </w:tcPr>
          <w:p w14:paraId="519B3FDE"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3FDF" w14:textId="77777777" w:rsidR="00EE602B" w:rsidRPr="008E63BB" w:rsidRDefault="00EE602B" w:rsidP="00EE602B">
            <w:pPr>
              <w:jc w:val="right"/>
              <w:rPr>
                <w:rFonts w:eastAsia="Times New Roman"/>
                <w:szCs w:val="26"/>
              </w:rPr>
            </w:pPr>
            <w:r w:rsidRPr="008E63BB">
              <w:rPr>
                <w:rFonts w:eastAsia="Times New Roman"/>
                <w:szCs w:val="26"/>
              </w:rPr>
              <w:t>100.320</w:t>
            </w:r>
          </w:p>
        </w:tc>
      </w:tr>
      <w:tr w:rsidR="00EE602B" w:rsidRPr="008E63BB" w14:paraId="519B3FE7"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E1"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E2"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110 mm</w:t>
            </w:r>
          </w:p>
        </w:tc>
        <w:tc>
          <w:tcPr>
            <w:tcW w:w="1134" w:type="dxa"/>
            <w:tcBorders>
              <w:top w:val="nil"/>
              <w:left w:val="nil"/>
              <w:bottom w:val="single" w:sz="4" w:space="0" w:color="auto"/>
              <w:right w:val="single" w:sz="4" w:space="0" w:color="auto"/>
            </w:tcBorders>
            <w:shd w:val="clear" w:color="auto" w:fill="auto"/>
            <w:noWrap/>
            <w:vAlign w:val="center"/>
            <w:hideMark/>
          </w:tcPr>
          <w:p w14:paraId="519B3FE3"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E4" w14:textId="77777777" w:rsidR="00EE602B" w:rsidRPr="008E63BB" w:rsidRDefault="00EE602B" w:rsidP="00EE602B">
            <w:pPr>
              <w:jc w:val="right"/>
              <w:rPr>
                <w:rFonts w:eastAsia="Times New Roman"/>
                <w:szCs w:val="26"/>
              </w:rPr>
            </w:pPr>
            <w:r w:rsidRPr="008E63BB">
              <w:rPr>
                <w:rFonts w:eastAsia="Times New Roman"/>
                <w:szCs w:val="26"/>
              </w:rPr>
              <w:t>40.095</w:t>
            </w:r>
          </w:p>
        </w:tc>
        <w:tc>
          <w:tcPr>
            <w:tcW w:w="1256" w:type="dxa"/>
            <w:tcBorders>
              <w:top w:val="nil"/>
              <w:left w:val="nil"/>
              <w:bottom w:val="single" w:sz="4" w:space="0" w:color="auto"/>
              <w:right w:val="single" w:sz="4" w:space="0" w:color="auto"/>
            </w:tcBorders>
            <w:shd w:val="clear" w:color="auto" w:fill="auto"/>
            <w:noWrap/>
            <w:vAlign w:val="center"/>
            <w:hideMark/>
          </w:tcPr>
          <w:p w14:paraId="519B3FE5" w14:textId="77777777" w:rsidR="00EE602B" w:rsidRPr="008E63BB" w:rsidRDefault="00EE602B" w:rsidP="00EE602B">
            <w:pPr>
              <w:jc w:val="right"/>
              <w:rPr>
                <w:rFonts w:eastAsia="Times New Roman"/>
                <w:szCs w:val="26"/>
              </w:rPr>
            </w:pPr>
            <w:r w:rsidRPr="008E63BB">
              <w:rPr>
                <w:rFonts w:eastAsia="Times New Roman"/>
                <w:szCs w:val="26"/>
              </w:rPr>
              <w:t>404,04</w:t>
            </w:r>
          </w:p>
        </w:tc>
        <w:tc>
          <w:tcPr>
            <w:tcW w:w="1652" w:type="dxa"/>
            <w:tcBorders>
              <w:top w:val="nil"/>
              <w:left w:val="nil"/>
              <w:bottom w:val="single" w:sz="4" w:space="0" w:color="auto"/>
              <w:right w:val="single" w:sz="4" w:space="0" w:color="auto"/>
            </w:tcBorders>
            <w:shd w:val="clear" w:color="auto" w:fill="auto"/>
            <w:noWrap/>
            <w:vAlign w:val="center"/>
            <w:hideMark/>
          </w:tcPr>
          <w:p w14:paraId="519B3FE6" w14:textId="77777777" w:rsidR="00EE602B" w:rsidRPr="008E63BB" w:rsidRDefault="00EE602B" w:rsidP="00EE602B">
            <w:pPr>
              <w:jc w:val="right"/>
              <w:rPr>
                <w:rFonts w:eastAsia="Times New Roman"/>
                <w:szCs w:val="26"/>
              </w:rPr>
            </w:pPr>
            <w:r w:rsidRPr="008E63BB">
              <w:rPr>
                <w:rFonts w:eastAsia="Times New Roman"/>
                <w:szCs w:val="26"/>
              </w:rPr>
              <w:t>16.200</w:t>
            </w:r>
          </w:p>
        </w:tc>
      </w:tr>
      <w:tr w:rsidR="00EE602B" w:rsidRPr="008E63BB" w14:paraId="519B3FEE"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E8"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E9"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140 mm</w:t>
            </w:r>
          </w:p>
        </w:tc>
        <w:tc>
          <w:tcPr>
            <w:tcW w:w="1134" w:type="dxa"/>
            <w:tcBorders>
              <w:top w:val="nil"/>
              <w:left w:val="nil"/>
              <w:bottom w:val="single" w:sz="4" w:space="0" w:color="auto"/>
              <w:right w:val="single" w:sz="4" w:space="0" w:color="auto"/>
            </w:tcBorders>
            <w:shd w:val="clear" w:color="auto" w:fill="auto"/>
            <w:noWrap/>
            <w:vAlign w:val="center"/>
            <w:hideMark/>
          </w:tcPr>
          <w:p w14:paraId="519B3FEA"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EB" w14:textId="77777777" w:rsidR="00EE602B" w:rsidRPr="008E63BB" w:rsidRDefault="00EE602B" w:rsidP="00EE602B">
            <w:pPr>
              <w:jc w:val="right"/>
              <w:rPr>
                <w:rFonts w:eastAsia="Times New Roman"/>
                <w:szCs w:val="26"/>
              </w:rPr>
            </w:pPr>
            <w:r w:rsidRPr="008E63BB">
              <w:rPr>
                <w:rFonts w:eastAsia="Times New Roman"/>
                <w:szCs w:val="26"/>
              </w:rPr>
              <w:t>3.460</w:t>
            </w:r>
          </w:p>
        </w:tc>
        <w:tc>
          <w:tcPr>
            <w:tcW w:w="1256" w:type="dxa"/>
            <w:tcBorders>
              <w:top w:val="nil"/>
              <w:left w:val="nil"/>
              <w:bottom w:val="single" w:sz="4" w:space="0" w:color="auto"/>
              <w:right w:val="single" w:sz="4" w:space="0" w:color="auto"/>
            </w:tcBorders>
            <w:shd w:val="clear" w:color="auto" w:fill="auto"/>
            <w:noWrap/>
            <w:vAlign w:val="center"/>
            <w:hideMark/>
          </w:tcPr>
          <w:p w14:paraId="519B3FEC" w14:textId="77777777" w:rsidR="00EE602B" w:rsidRPr="008E63BB" w:rsidRDefault="00EE602B" w:rsidP="00EE602B">
            <w:pPr>
              <w:jc w:val="right"/>
              <w:rPr>
                <w:rFonts w:eastAsia="Times New Roman"/>
                <w:szCs w:val="26"/>
              </w:rPr>
            </w:pPr>
            <w:r w:rsidRPr="008E63BB">
              <w:rPr>
                <w:rFonts w:eastAsia="Times New Roman"/>
                <w:szCs w:val="26"/>
              </w:rPr>
              <w:t>647,64</w:t>
            </w:r>
          </w:p>
        </w:tc>
        <w:tc>
          <w:tcPr>
            <w:tcW w:w="1652" w:type="dxa"/>
            <w:tcBorders>
              <w:top w:val="nil"/>
              <w:left w:val="nil"/>
              <w:bottom w:val="single" w:sz="4" w:space="0" w:color="auto"/>
              <w:right w:val="single" w:sz="4" w:space="0" w:color="auto"/>
            </w:tcBorders>
            <w:shd w:val="clear" w:color="auto" w:fill="auto"/>
            <w:noWrap/>
            <w:vAlign w:val="center"/>
            <w:hideMark/>
          </w:tcPr>
          <w:p w14:paraId="519B3FED" w14:textId="77777777" w:rsidR="00EE602B" w:rsidRPr="008E63BB" w:rsidRDefault="00EE602B" w:rsidP="00EE602B">
            <w:pPr>
              <w:jc w:val="right"/>
              <w:rPr>
                <w:rFonts w:eastAsia="Times New Roman"/>
                <w:szCs w:val="26"/>
              </w:rPr>
            </w:pPr>
            <w:r w:rsidRPr="008E63BB">
              <w:rPr>
                <w:rFonts w:eastAsia="Times New Roman"/>
                <w:szCs w:val="26"/>
              </w:rPr>
              <w:t>2.241</w:t>
            </w:r>
          </w:p>
        </w:tc>
      </w:tr>
      <w:tr w:rsidR="00EE602B" w:rsidRPr="008E63BB" w14:paraId="519B3FF5"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EF"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F0"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160 mm</w:t>
            </w:r>
          </w:p>
        </w:tc>
        <w:tc>
          <w:tcPr>
            <w:tcW w:w="1134" w:type="dxa"/>
            <w:tcBorders>
              <w:top w:val="nil"/>
              <w:left w:val="nil"/>
              <w:bottom w:val="single" w:sz="4" w:space="0" w:color="auto"/>
              <w:right w:val="single" w:sz="4" w:space="0" w:color="auto"/>
            </w:tcBorders>
            <w:shd w:val="clear" w:color="auto" w:fill="auto"/>
            <w:noWrap/>
            <w:vAlign w:val="center"/>
            <w:hideMark/>
          </w:tcPr>
          <w:p w14:paraId="519B3FF1"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F2" w14:textId="77777777" w:rsidR="00EE602B" w:rsidRPr="008E63BB" w:rsidRDefault="00EE602B" w:rsidP="00EE602B">
            <w:pPr>
              <w:jc w:val="right"/>
              <w:rPr>
                <w:rFonts w:eastAsia="Times New Roman"/>
                <w:szCs w:val="26"/>
              </w:rPr>
            </w:pPr>
            <w:r w:rsidRPr="008E63BB">
              <w:rPr>
                <w:rFonts w:eastAsia="Times New Roman"/>
                <w:szCs w:val="26"/>
              </w:rPr>
              <w:t>34.517</w:t>
            </w:r>
          </w:p>
        </w:tc>
        <w:tc>
          <w:tcPr>
            <w:tcW w:w="1256" w:type="dxa"/>
            <w:tcBorders>
              <w:top w:val="nil"/>
              <w:left w:val="nil"/>
              <w:bottom w:val="single" w:sz="4" w:space="0" w:color="auto"/>
              <w:right w:val="single" w:sz="4" w:space="0" w:color="auto"/>
            </w:tcBorders>
            <w:shd w:val="clear" w:color="auto" w:fill="auto"/>
            <w:noWrap/>
            <w:vAlign w:val="center"/>
            <w:hideMark/>
          </w:tcPr>
          <w:p w14:paraId="519B3FF3" w14:textId="77777777" w:rsidR="00EE602B" w:rsidRPr="008E63BB" w:rsidRDefault="00EE602B" w:rsidP="00EE602B">
            <w:pPr>
              <w:jc w:val="right"/>
              <w:rPr>
                <w:rFonts w:eastAsia="Times New Roman"/>
                <w:szCs w:val="26"/>
              </w:rPr>
            </w:pPr>
            <w:r w:rsidRPr="008E63BB">
              <w:rPr>
                <w:rFonts w:eastAsia="Times New Roman"/>
                <w:szCs w:val="26"/>
              </w:rPr>
              <w:t>849,52</w:t>
            </w:r>
          </w:p>
        </w:tc>
        <w:tc>
          <w:tcPr>
            <w:tcW w:w="1652" w:type="dxa"/>
            <w:tcBorders>
              <w:top w:val="nil"/>
              <w:left w:val="nil"/>
              <w:bottom w:val="single" w:sz="4" w:space="0" w:color="auto"/>
              <w:right w:val="single" w:sz="4" w:space="0" w:color="auto"/>
            </w:tcBorders>
            <w:shd w:val="clear" w:color="auto" w:fill="auto"/>
            <w:noWrap/>
            <w:vAlign w:val="center"/>
            <w:hideMark/>
          </w:tcPr>
          <w:p w14:paraId="519B3FF4" w14:textId="77777777" w:rsidR="00EE602B" w:rsidRPr="008E63BB" w:rsidRDefault="00EE602B" w:rsidP="00EE602B">
            <w:pPr>
              <w:jc w:val="right"/>
              <w:rPr>
                <w:rFonts w:eastAsia="Times New Roman"/>
                <w:szCs w:val="26"/>
              </w:rPr>
            </w:pPr>
            <w:r w:rsidRPr="008E63BB">
              <w:rPr>
                <w:rFonts w:eastAsia="Times New Roman"/>
                <w:szCs w:val="26"/>
              </w:rPr>
              <w:t>29.323</w:t>
            </w:r>
          </w:p>
        </w:tc>
      </w:tr>
      <w:tr w:rsidR="00EE602B" w:rsidRPr="008E63BB" w14:paraId="519B3FFC"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F6"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F7"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200 mm</w:t>
            </w:r>
          </w:p>
        </w:tc>
        <w:tc>
          <w:tcPr>
            <w:tcW w:w="1134" w:type="dxa"/>
            <w:tcBorders>
              <w:top w:val="nil"/>
              <w:left w:val="nil"/>
              <w:bottom w:val="single" w:sz="4" w:space="0" w:color="auto"/>
              <w:right w:val="single" w:sz="4" w:space="0" w:color="auto"/>
            </w:tcBorders>
            <w:shd w:val="clear" w:color="auto" w:fill="auto"/>
            <w:noWrap/>
            <w:vAlign w:val="center"/>
            <w:hideMark/>
          </w:tcPr>
          <w:p w14:paraId="519B3FF8"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3FF9" w14:textId="77777777" w:rsidR="00EE602B" w:rsidRPr="008E63BB" w:rsidRDefault="00EE602B" w:rsidP="00EE602B">
            <w:pPr>
              <w:jc w:val="right"/>
              <w:rPr>
                <w:rFonts w:eastAsia="Times New Roman"/>
                <w:szCs w:val="26"/>
              </w:rPr>
            </w:pPr>
            <w:r w:rsidRPr="008E63BB">
              <w:rPr>
                <w:rFonts w:eastAsia="Times New Roman"/>
                <w:szCs w:val="26"/>
              </w:rPr>
              <w:t>32.919</w:t>
            </w:r>
          </w:p>
        </w:tc>
        <w:tc>
          <w:tcPr>
            <w:tcW w:w="1256" w:type="dxa"/>
            <w:tcBorders>
              <w:top w:val="nil"/>
              <w:left w:val="nil"/>
              <w:bottom w:val="single" w:sz="4" w:space="0" w:color="auto"/>
              <w:right w:val="single" w:sz="4" w:space="0" w:color="auto"/>
            </w:tcBorders>
            <w:shd w:val="clear" w:color="auto" w:fill="auto"/>
            <w:noWrap/>
            <w:vAlign w:val="center"/>
            <w:hideMark/>
          </w:tcPr>
          <w:p w14:paraId="519B3FFA" w14:textId="77777777" w:rsidR="00EE602B" w:rsidRPr="008E63BB" w:rsidRDefault="00EE602B" w:rsidP="00EE602B">
            <w:pPr>
              <w:jc w:val="right"/>
              <w:rPr>
                <w:rFonts w:eastAsia="Times New Roman"/>
                <w:szCs w:val="26"/>
              </w:rPr>
            </w:pPr>
            <w:r w:rsidRPr="008E63BB">
              <w:rPr>
                <w:rFonts w:eastAsia="Times New Roman"/>
                <w:szCs w:val="26"/>
              </w:rPr>
              <w:t>1.336,30</w:t>
            </w:r>
          </w:p>
        </w:tc>
        <w:tc>
          <w:tcPr>
            <w:tcW w:w="1652" w:type="dxa"/>
            <w:tcBorders>
              <w:top w:val="nil"/>
              <w:left w:val="nil"/>
              <w:bottom w:val="single" w:sz="4" w:space="0" w:color="auto"/>
              <w:right w:val="single" w:sz="4" w:space="0" w:color="auto"/>
            </w:tcBorders>
            <w:shd w:val="clear" w:color="auto" w:fill="auto"/>
            <w:noWrap/>
            <w:vAlign w:val="center"/>
            <w:hideMark/>
          </w:tcPr>
          <w:p w14:paraId="519B3FFB" w14:textId="77777777" w:rsidR="00EE602B" w:rsidRPr="008E63BB" w:rsidRDefault="00EE602B" w:rsidP="00EE602B">
            <w:pPr>
              <w:jc w:val="right"/>
              <w:rPr>
                <w:rFonts w:eastAsia="Times New Roman"/>
                <w:szCs w:val="26"/>
              </w:rPr>
            </w:pPr>
            <w:r w:rsidRPr="008E63BB">
              <w:rPr>
                <w:rFonts w:eastAsia="Times New Roman"/>
                <w:szCs w:val="26"/>
              </w:rPr>
              <w:t>43.990</w:t>
            </w:r>
          </w:p>
        </w:tc>
      </w:tr>
      <w:tr w:rsidR="00EE602B" w:rsidRPr="008E63BB" w14:paraId="519B4003"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3FFD"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3FFE"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225 mm</w:t>
            </w:r>
          </w:p>
        </w:tc>
        <w:tc>
          <w:tcPr>
            <w:tcW w:w="1134" w:type="dxa"/>
            <w:tcBorders>
              <w:top w:val="nil"/>
              <w:left w:val="nil"/>
              <w:bottom w:val="single" w:sz="4" w:space="0" w:color="auto"/>
              <w:right w:val="single" w:sz="4" w:space="0" w:color="auto"/>
            </w:tcBorders>
            <w:shd w:val="clear" w:color="auto" w:fill="auto"/>
            <w:noWrap/>
            <w:vAlign w:val="center"/>
            <w:hideMark/>
          </w:tcPr>
          <w:p w14:paraId="519B3FFF"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4000" w14:textId="77777777" w:rsidR="00EE602B" w:rsidRPr="008E63BB" w:rsidRDefault="00EE602B" w:rsidP="00EE602B">
            <w:pPr>
              <w:jc w:val="right"/>
              <w:rPr>
                <w:rFonts w:eastAsia="Times New Roman"/>
                <w:szCs w:val="26"/>
              </w:rPr>
            </w:pPr>
            <w:r w:rsidRPr="008E63BB">
              <w:rPr>
                <w:rFonts w:eastAsia="Times New Roman"/>
                <w:szCs w:val="26"/>
              </w:rPr>
              <w:t>1.890</w:t>
            </w:r>
          </w:p>
        </w:tc>
        <w:tc>
          <w:tcPr>
            <w:tcW w:w="1256" w:type="dxa"/>
            <w:tcBorders>
              <w:top w:val="nil"/>
              <w:left w:val="nil"/>
              <w:bottom w:val="single" w:sz="4" w:space="0" w:color="auto"/>
              <w:right w:val="single" w:sz="4" w:space="0" w:color="auto"/>
            </w:tcBorders>
            <w:shd w:val="clear" w:color="auto" w:fill="auto"/>
            <w:noWrap/>
            <w:vAlign w:val="center"/>
            <w:hideMark/>
          </w:tcPr>
          <w:p w14:paraId="519B4001" w14:textId="77777777" w:rsidR="00EE602B" w:rsidRPr="008E63BB" w:rsidRDefault="00EE602B" w:rsidP="00EE602B">
            <w:pPr>
              <w:jc w:val="right"/>
              <w:rPr>
                <w:rFonts w:eastAsia="Times New Roman"/>
                <w:szCs w:val="26"/>
              </w:rPr>
            </w:pPr>
            <w:r w:rsidRPr="008E63BB">
              <w:rPr>
                <w:rFonts w:eastAsia="Times New Roman"/>
                <w:szCs w:val="26"/>
              </w:rPr>
              <w:t>1.652,70</w:t>
            </w:r>
          </w:p>
        </w:tc>
        <w:tc>
          <w:tcPr>
            <w:tcW w:w="1652" w:type="dxa"/>
            <w:tcBorders>
              <w:top w:val="nil"/>
              <w:left w:val="nil"/>
              <w:bottom w:val="single" w:sz="4" w:space="0" w:color="auto"/>
              <w:right w:val="single" w:sz="4" w:space="0" w:color="auto"/>
            </w:tcBorders>
            <w:shd w:val="clear" w:color="auto" w:fill="auto"/>
            <w:noWrap/>
            <w:vAlign w:val="center"/>
            <w:hideMark/>
          </w:tcPr>
          <w:p w14:paraId="519B4002" w14:textId="77777777" w:rsidR="00EE602B" w:rsidRPr="008E63BB" w:rsidRDefault="00EE602B" w:rsidP="00EE602B">
            <w:pPr>
              <w:jc w:val="right"/>
              <w:rPr>
                <w:rFonts w:eastAsia="Times New Roman"/>
                <w:szCs w:val="26"/>
              </w:rPr>
            </w:pPr>
            <w:r w:rsidRPr="008E63BB">
              <w:rPr>
                <w:rFonts w:eastAsia="Times New Roman"/>
                <w:szCs w:val="26"/>
              </w:rPr>
              <w:t>3.124</w:t>
            </w:r>
          </w:p>
        </w:tc>
      </w:tr>
      <w:tr w:rsidR="00EE602B" w:rsidRPr="008E63BB" w14:paraId="519B400A"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4004"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4005"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250 mm</w:t>
            </w:r>
          </w:p>
        </w:tc>
        <w:tc>
          <w:tcPr>
            <w:tcW w:w="1134" w:type="dxa"/>
            <w:tcBorders>
              <w:top w:val="nil"/>
              <w:left w:val="nil"/>
              <w:bottom w:val="single" w:sz="4" w:space="0" w:color="auto"/>
              <w:right w:val="single" w:sz="4" w:space="0" w:color="auto"/>
            </w:tcBorders>
            <w:shd w:val="clear" w:color="auto" w:fill="auto"/>
            <w:noWrap/>
            <w:vAlign w:val="center"/>
            <w:hideMark/>
          </w:tcPr>
          <w:p w14:paraId="519B4006"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4007" w14:textId="77777777" w:rsidR="00EE602B" w:rsidRPr="008E63BB" w:rsidRDefault="00EE602B" w:rsidP="00EE602B">
            <w:pPr>
              <w:jc w:val="right"/>
              <w:rPr>
                <w:rFonts w:eastAsia="Times New Roman"/>
                <w:szCs w:val="26"/>
              </w:rPr>
            </w:pPr>
            <w:r w:rsidRPr="008E63BB">
              <w:rPr>
                <w:rFonts w:eastAsia="Times New Roman"/>
                <w:szCs w:val="26"/>
              </w:rPr>
              <w:t>2.665</w:t>
            </w:r>
          </w:p>
        </w:tc>
        <w:tc>
          <w:tcPr>
            <w:tcW w:w="1256" w:type="dxa"/>
            <w:tcBorders>
              <w:top w:val="nil"/>
              <w:left w:val="nil"/>
              <w:bottom w:val="single" w:sz="4" w:space="0" w:color="auto"/>
              <w:right w:val="single" w:sz="4" w:space="0" w:color="auto"/>
            </w:tcBorders>
            <w:shd w:val="clear" w:color="auto" w:fill="auto"/>
            <w:noWrap/>
            <w:vAlign w:val="center"/>
            <w:hideMark/>
          </w:tcPr>
          <w:p w14:paraId="519B4008" w14:textId="77777777" w:rsidR="00EE602B" w:rsidRPr="008E63BB" w:rsidRDefault="00EE602B" w:rsidP="00EE602B">
            <w:pPr>
              <w:jc w:val="right"/>
              <w:rPr>
                <w:rFonts w:eastAsia="Times New Roman"/>
                <w:szCs w:val="26"/>
              </w:rPr>
            </w:pPr>
            <w:r w:rsidRPr="008E63BB">
              <w:rPr>
                <w:rFonts w:eastAsia="Times New Roman"/>
                <w:szCs w:val="26"/>
              </w:rPr>
              <w:t>2.042,32</w:t>
            </w:r>
          </w:p>
        </w:tc>
        <w:tc>
          <w:tcPr>
            <w:tcW w:w="1652" w:type="dxa"/>
            <w:tcBorders>
              <w:top w:val="nil"/>
              <w:left w:val="nil"/>
              <w:bottom w:val="single" w:sz="4" w:space="0" w:color="auto"/>
              <w:right w:val="single" w:sz="4" w:space="0" w:color="auto"/>
            </w:tcBorders>
            <w:shd w:val="clear" w:color="auto" w:fill="auto"/>
            <w:noWrap/>
            <w:vAlign w:val="center"/>
            <w:hideMark/>
          </w:tcPr>
          <w:p w14:paraId="519B4009" w14:textId="77777777" w:rsidR="00EE602B" w:rsidRPr="008E63BB" w:rsidRDefault="00EE602B" w:rsidP="00EE602B">
            <w:pPr>
              <w:jc w:val="right"/>
              <w:rPr>
                <w:rFonts w:eastAsia="Times New Roman"/>
                <w:szCs w:val="26"/>
              </w:rPr>
            </w:pPr>
            <w:r w:rsidRPr="008E63BB">
              <w:rPr>
                <w:rFonts w:eastAsia="Times New Roman"/>
                <w:szCs w:val="26"/>
              </w:rPr>
              <w:t>5.443</w:t>
            </w:r>
          </w:p>
        </w:tc>
      </w:tr>
      <w:tr w:rsidR="00EE602B" w:rsidRPr="008E63BB" w14:paraId="519B4011"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400B"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400C"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300 mm</w:t>
            </w:r>
          </w:p>
        </w:tc>
        <w:tc>
          <w:tcPr>
            <w:tcW w:w="1134" w:type="dxa"/>
            <w:tcBorders>
              <w:top w:val="nil"/>
              <w:left w:val="nil"/>
              <w:bottom w:val="single" w:sz="4" w:space="0" w:color="auto"/>
              <w:right w:val="single" w:sz="4" w:space="0" w:color="auto"/>
            </w:tcBorders>
            <w:shd w:val="clear" w:color="auto" w:fill="auto"/>
            <w:noWrap/>
            <w:vAlign w:val="center"/>
            <w:hideMark/>
          </w:tcPr>
          <w:p w14:paraId="519B400D"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400E" w14:textId="77777777" w:rsidR="00EE602B" w:rsidRPr="008E63BB" w:rsidRDefault="00EE602B" w:rsidP="00EE602B">
            <w:pPr>
              <w:jc w:val="right"/>
              <w:rPr>
                <w:rFonts w:eastAsia="Times New Roman"/>
                <w:szCs w:val="26"/>
              </w:rPr>
            </w:pPr>
            <w:r w:rsidRPr="008E63BB">
              <w:rPr>
                <w:rFonts w:eastAsia="Times New Roman"/>
                <w:szCs w:val="26"/>
              </w:rPr>
              <w:t>334</w:t>
            </w:r>
          </w:p>
        </w:tc>
        <w:tc>
          <w:tcPr>
            <w:tcW w:w="1256" w:type="dxa"/>
            <w:tcBorders>
              <w:top w:val="nil"/>
              <w:left w:val="nil"/>
              <w:bottom w:val="single" w:sz="4" w:space="0" w:color="auto"/>
              <w:right w:val="single" w:sz="4" w:space="0" w:color="auto"/>
            </w:tcBorders>
            <w:shd w:val="clear" w:color="auto" w:fill="auto"/>
            <w:noWrap/>
            <w:vAlign w:val="center"/>
            <w:hideMark/>
          </w:tcPr>
          <w:p w14:paraId="519B400F" w14:textId="77777777" w:rsidR="00EE602B" w:rsidRPr="008E63BB" w:rsidRDefault="00EE602B" w:rsidP="00EE602B">
            <w:pPr>
              <w:jc w:val="right"/>
              <w:rPr>
                <w:rFonts w:eastAsia="Times New Roman"/>
                <w:szCs w:val="26"/>
              </w:rPr>
            </w:pPr>
            <w:r w:rsidRPr="008E63BB">
              <w:rPr>
                <w:rFonts w:eastAsia="Times New Roman"/>
                <w:szCs w:val="26"/>
              </w:rPr>
              <w:t>3.254,30</w:t>
            </w:r>
          </w:p>
        </w:tc>
        <w:tc>
          <w:tcPr>
            <w:tcW w:w="1652" w:type="dxa"/>
            <w:tcBorders>
              <w:top w:val="nil"/>
              <w:left w:val="nil"/>
              <w:bottom w:val="single" w:sz="4" w:space="0" w:color="auto"/>
              <w:right w:val="single" w:sz="4" w:space="0" w:color="auto"/>
            </w:tcBorders>
            <w:shd w:val="clear" w:color="auto" w:fill="auto"/>
            <w:noWrap/>
            <w:vAlign w:val="center"/>
            <w:hideMark/>
          </w:tcPr>
          <w:p w14:paraId="519B4010" w14:textId="77777777" w:rsidR="00EE602B" w:rsidRPr="008E63BB" w:rsidRDefault="00EE602B" w:rsidP="00EE602B">
            <w:pPr>
              <w:jc w:val="right"/>
              <w:rPr>
                <w:rFonts w:eastAsia="Times New Roman"/>
                <w:szCs w:val="26"/>
              </w:rPr>
            </w:pPr>
            <w:r w:rsidRPr="008E63BB">
              <w:rPr>
                <w:rFonts w:eastAsia="Times New Roman"/>
                <w:szCs w:val="26"/>
              </w:rPr>
              <w:t>1.087</w:t>
            </w:r>
          </w:p>
        </w:tc>
      </w:tr>
      <w:tr w:rsidR="00EE602B" w:rsidRPr="008E63BB" w14:paraId="519B4018"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vAlign w:val="center"/>
            <w:hideMark/>
          </w:tcPr>
          <w:p w14:paraId="519B4012" w14:textId="77777777" w:rsidR="00EE602B" w:rsidRPr="008E63BB" w:rsidRDefault="00EE602B" w:rsidP="00EE602B">
            <w:pPr>
              <w:jc w:val="center"/>
              <w:rPr>
                <w:rFonts w:eastAsia="Times New Roman"/>
                <w:szCs w:val="26"/>
              </w:rPr>
            </w:pPr>
            <w:r w:rsidRPr="008E63BB">
              <w:rPr>
                <w:rFonts w:eastAsia="Times New Roman"/>
                <w:szCs w:val="26"/>
              </w:rPr>
              <w:t>-</w:t>
            </w:r>
          </w:p>
        </w:tc>
        <w:tc>
          <w:tcPr>
            <w:tcW w:w="3402" w:type="dxa"/>
            <w:tcBorders>
              <w:top w:val="nil"/>
              <w:left w:val="nil"/>
              <w:bottom w:val="single" w:sz="4" w:space="0" w:color="auto"/>
              <w:right w:val="single" w:sz="4" w:space="0" w:color="auto"/>
            </w:tcBorders>
            <w:shd w:val="clear" w:color="auto" w:fill="auto"/>
            <w:noWrap/>
            <w:vAlign w:val="center"/>
            <w:hideMark/>
          </w:tcPr>
          <w:p w14:paraId="519B4013" w14:textId="77777777" w:rsidR="00EE602B" w:rsidRPr="008E63BB" w:rsidRDefault="00EE602B" w:rsidP="00EE602B">
            <w:pPr>
              <w:rPr>
                <w:rFonts w:eastAsia="Times New Roman"/>
                <w:szCs w:val="26"/>
              </w:rPr>
            </w:pPr>
            <w:r w:rsidRPr="008E63BB">
              <w:rPr>
                <w:rFonts w:eastAsia="Times New Roman"/>
                <w:szCs w:val="26"/>
              </w:rPr>
              <w:t xml:space="preserve">Ống HDPE </w:t>
            </w:r>
            <w:r w:rsidRPr="008E63BB">
              <w:rPr>
                <w:rFonts w:ascii="Symbol" w:eastAsia="Times New Roman" w:hAnsi="Symbol"/>
                <w:szCs w:val="26"/>
              </w:rPr>
              <w:t></w:t>
            </w:r>
            <w:r w:rsidRPr="008E63BB">
              <w:rPr>
                <w:rFonts w:eastAsia="Times New Roman"/>
                <w:szCs w:val="26"/>
              </w:rPr>
              <w:t>315 mm</w:t>
            </w:r>
          </w:p>
        </w:tc>
        <w:tc>
          <w:tcPr>
            <w:tcW w:w="1134" w:type="dxa"/>
            <w:tcBorders>
              <w:top w:val="nil"/>
              <w:left w:val="nil"/>
              <w:bottom w:val="single" w:sz="4" w:space="0" w:color="auto"/>
              <w:right w:val="single" w:sz="4" w:space="0" w:color="auto"/>
            </w:tcBorders>
            <w:shd w:val="clear" w:color="auto" w:fill="auto"/>
            <w:noWrap/>
            <w:vAlign w:val="center"/>
            <w:hideMark/>
          </w:tcPr>
          <w:p w14:paraId="519B4014" w14:textId="77777777" w:rsidR="00EE602B" w:rsidRPr="008E63BB" w:rsidRDefault="00EE602B" w:rsidP="00EE602B">
            <w:pPr>
              <w:jc w:val="center"/>
              <w:rPr>
                <w:rFonts w:eastAsia="Times New Roman"/>
                <w:szCs w:val="26"/>
              </w:rPr>
            </w:pPr>
            <w:r w:rsidRPr="008E63BB">
              <w:rPr>
                <w:rFonts w:eastAsia="Times New Roman"/>
                <w:szCs w:val="26"/>
              </w:rPr>
              <w:t>m</w:t>
            </w:r>
          </w:p>
        </w:tc>
        <w:tc>
          <w:tcPr>
            <w:tcW w:w="1061" w:type="dxa"/>
            <w:tcBorders>
              <w:top w:val="nil"/>
              <w:left w:val="nil"/>
              <w:bottom w:val="single" w:sz="4" w:space="0" w:color="auto"/>
              <w:right w:val="single" w:sz="4" w:space="0" w:color="auto"/>
            </w:tcBorders>
            <w:shd w:val="clear" w:color="auto" w:fill="auto"/>
            <w:noWrap/>
            <w:vAlign w:val="center"/>
            <w:hideMark/>
          </w:tcPr>
          <w:p w14:paraId="519B4015" w14:textId="77777777" w:rsidR="00EE602B" w:rsidRPr="008E63BB" w:rsidRDefault="00EE602B" w:rsidP="00EE602B">
            <w:pPr>
              <w:jc w:val="right"/>
              <w:rPr>
                <w:rFonts w:eastAsia="Times New Roman"/>
                <w:szCs w:val="26"/>
              </w:rPr>
            </w:pPr>
            <w:r w:rsidRPr="008E63BB">
              <w:rPr>
                <w:rFonts w:eastAsia="Times New Roman"/>
                <w:szCs w:val="26"/>
              </w:rPr>
              <w:t>230</w:t>
            </w:r>
          </w:p>
        </w:tc>
        <w:tc>
          <w:tcPr>
            <w:tcW w:w="1256" w:type="dxa"/>
            <w:tcBorders>
              <w:top w:val="nil"/>
              <w:left w:val="nil"/>
              <w:bottom w:val="single" w:sz="4" w:space="0" w:color="auto"/>
              <w:right w:val="single" w:sz="4" w:space="0" w:color="auto"/>
            </w:tcBorders>
            <w:shd w:val="clear" w:color="auto" w:fill="auto"/>
            <w:noWrap/>
            <w:vAlign w:val="center"/>
            <w:hideMark/>
          </w:tcPr>
          <w:p w14:paraId="519B4016" w14:textId="77777777" w:rsidR="00EE602B" w:rsidRPr="008E63BB" w:rsidRDefault="00EE602B" w:rsidP="00EE602B">
            <w:pPr>
              <w:jc w:val="right"/>
              <w:rPr>
                <w:rFonts w:eastAsia="Times New Roman"/>
                <w:szCs w:val="26"/>
              </w:rPr>
            </w:pPr>
            <w:r w:rsidRPr="008E63BB">
              <w:rPr>
                <w:rFonts w:eastAsia="Times New Roman"/>
                <w:szCs w:val="26"/>
              </w:rPr>
              <w:t>3.254,30</w:t>
            </w:r>
          </w:p>
        </w:tc>
        <w:tc>
          <w:tcPr>
            <w:tcW w:w="1652" w:type="dxa"/>
            <w:tcBorders>
              <w:top w:val="nil"/>
              <w:left w:val="nil"/>
              <w:bottom w:val="single" w:sz="4" w:space="0" w:color="auto"/>
              <w:right w:val="single" w:sz="4" w:space="0" w:color="auto"/>
            </w:tcBorders>
            <w:shd w:val="clear" w:color="auto" w:fill="auto"/>
            <w:noWrap/>
            <w:vAlign w:val="center"/>
            <w:hideMark/>
          </w:tcPr>
          <w:p w14:paraId="519B4017" w14:textId="77777777" w:rsidR="00EE602B" w:rsidRPr="008E63BB" w:rsidRDefault="00EE602B" w:rsidP="00EE602B">
            <w:pPr>
              <w:jc w:val="right"/>
              <w:rPr>
                <w:rFonts w:eastAsia="Times New Roman"/>
                <w:szCs w:val="26"/>
              </w:rPr>
            </w:pPr>
            <w:r w:rsidRPr="008E63BB">
              <w:rPr>
                <w:rFonts w:eastAsia="Times New Roman"/>
                <w:szCs w:val="26"/>
              </w:rPr>
              <w:t>748</w:t>
            </w:r>
          </w:p>
        </w:tc>
      </w:tr>
      <w:tr w:rsidR="00EE602B" w:rsidRPr="008E63BB" w14:paraId="519B401F"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19B4019" w14:textId="77777777" w:rsidR="00EE602B" w:rsidRPr="008E63BB" w:rsidRDefault="00EE602B" w:rsidP="00EE602B">
            <w:pPr>
              <w:jc w:val="center"/>
              <w:rPr>
                <w:rFonts w:eastAsia="Times New Roman"/>
                <w:szCs w:val="26"/>
              </w:rPr>
            </w:pPr>
            <w:r w:rsidRPr="008E63BB">
              <w:rPr>
                <w:rFonts w:eastAsia="Times New Roman"/>
                <w:szCs w:val="26"/>
              </w:rPr>
              <w:t>5</w:t>
            </w:r>
          </w:p>
        </w:tc>
        <w:tc>
          <w:tcPr>
            <w:tcW w:w="3402" w:type="dxa"/>
            <w:tcBorders>
              <w:top w:val="nil"/>
              <w:left w:val="nil"/>
              <w:bottom w:val="single" w:sz="4" w:space="0" w:color="auto"/>
              <w:right w:val="single" w:sz="4" w:space="0" w:color="auto"/>
            </w:tcBorders>
            <w:shd w:val="clear" w:color="auto" w:fill="auto"/>
            <w:noWrap/>
            <w:vAlign w:val="center"/>
            <w:hideMark/>
          </w:tcPr>
          <w:p w14:paraId="519B401A" w14:textId="77777777" w:rsidR="00EE602B" w:rsidRPr="008E63BB" w:rsidRDefault="00EE602B" w:rsidP="00EE602B">
            <w:pPr>
              <w:rPr>
                <w:rFonts w:eastAsia="Times New Roman"/>
                <w:szCs w:val="26"/>
              </w:rPr>
            </w:pPr>
            <w:r w:rsidRPr="008E63BB">
              <w:rPr>
                <w:rFonts w:eastAsia="Times New Roman"/>
                <w:szCs w:val="26"/>
              </w:rPr>
              <w:t>Phụ kiện ống 20%</w:t>
            </w:r>
          </w:p>
        </w:tc>
        <w:tc>
          <w:tcPr>
            <w:tcW w:w="1134" w:type="dxa"/>
            <w:tcBorders>
              <w:top w:val="nil"/>
              <w:left w:val="nil"/>
              <w:bottom w:val="single" w:sz="4" w:space="0" w:color="auto"/>
              <w:right w:val="single" w:sz="4" w:space="0" w:color="auto"/>
            </w:tcBorders>
            <w:shd w:val="clear" w:color="auto" w:fill="auto"/>
            <w:noWrap/>
            <w:vAlign w:val="center"/>
            <w:hideMark/>
          </w:tcPr>
          <w:p w14:paraId="519B401B" w14:textId="77777777" w:rsidR="00EE602B" w:rsidRPr="008E63BB" w:rsidRDefault="00EE602B" w:rsidP="00EE602B">
            <w:pP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401C" w14:textId="77777777" w:rsidR="00EE602B" w:rsidRPr="008E63BB" w:rsidRDefault="00EE602B" w:rsidP="00EE602B">
            <w:pPr>
              <w:rPr>
                <w:rFonts w:eastAsia="Times New Roman"/>
                <w:szCs w:val="26"/>
              </w:rPr>
            </w:pPr>
            <w:r w:rsidRPr="008E63BB">
              <w:rPr>
                <w:rFonts w:eastAsia="Times New Roman"/>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401D"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401E" w14:textId="77777777" w:rsidR="00EE602B" w:rsidRPr="008E63BB" w:rsidRDefault="00EE602B" w:rsidP="00EE602B">
            <w:pPr>
              <w:jc w:val="right"/>
              <w:rPr>
                <w:rFonts w:eastAsia="Times New Roman"/>
                <w:szCs w:val="26"/>
              </w:rPr>
            </w:pPr>
            <w:r w:rsidRPr="008E63BB">
              <w:rPr>
                <w:rFonts w:eastAsia="Times New Roman"/>
                <w:szCs w:val="26"/>
              </w:rPr>
              <w:t>194.915</w:t>
            </w:r>
          </w:p>
        </w:tc>
      </w:tr>
      <w:tr w:rsidR="00EE602B" w:rsidRPr="008E63BB" w14:paraId="519B4026"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19B4020" w14:textId="77777777" w:rsidR="00EE602B" w:rsidRPr="008E63BB" w:rsidRDefault="00EE602B" w:rsidP="00EE602B">
            <w:pPr>
              <w:jc w:val="center"/>
              <w:rPr>
                <w:rFonts w:eastAsia="Times New Roman"/>
                <w:b/>
                <w:bCs/>
                <w:szCs w:val="26"/>
              </w:rPr>
            </w:pPr>
            <w:r w:rsidRPr="008E63BB">
              <w:rPr>
                <w:rFonts w:eastAsia="Times New Roman"/>
                <w:b/>
                <w:bCs/>
                <w:szCs w:val="26"/>
              </w:rPr>
              <w:t> </w:t>
            </w:r>
          </w:p>
        </w:tc>
        <w:tc>
          <w:tcPr>
            <w:tcW w:w="3402" w:type="dxa"/>
            <w:tcBorders>
              <w:top w:val="nil"/>
              <w:left w:val="nil"/>
              <w:bottom w:val="single" w:sz="4" w:space="0" w:color="auto"/>
              <w:right w:val="single" w:sz="4" w:space="0" w:color="auto"/>
            </w:tcBorders>
            <w:shd w:val="clear" w:color="auto" w:fill="auto"/>
            <w:noWrap/>
            <w:vAlign w:val="center"/>
            <w:hideMark/>
          </w:tcPr>
          <w:p w14:paraId="519B4021" w14:textId="77777777" w:rsidR="00EE602B" w:rsidRPr="008E63BB" w:rsidRDefault="00EE602B" w:rsidP="00EE602B">
            <w:pPr>
              <w:rPr>
                <w:rFonts w:eastAsia="Times New Roman"/>
                <w:b/>
                <w:bCs/>
                <w:szCs w:val="26"/>
              </w:rPr>
            </w:pPr>
            <w:r w:rsidRPr="008E63BB">
              <w:rPr>
                <w:rFonts w:eastAsia="Times New Roman"/>
                <w:b/>
                <w:bCs/>
                <w:szCs w:val="26"/>
              </w:rPr>
              <w:t>Cộng</w:t>
            </w:r>
          </w:p>
        </w:tc>
        <w:tc>
          <w:tcPr>
            <w:tcW w:w="1134" w:type="dxa"/>
            <w:tcBorders>
              <w:top w:val="nil"/>
              <w:left w:val="nil"/>
              <w:bottom w:val="single" w:sz="4" w:space="0" w:color="auto"/>
              <w:right w:val="single" w:sz="4" w:space="0" w:color="auto"/>
            </w:tcBorders>
            <w:shd w:val="clear" w:color="auto" w:fill="auto"/>
            <w:noWrap/>
            <w:vAlign w:val="center"/>
            <w:hideMark/>
          </w:tcPr>
          <w:p w14:paraId="519B4022" w14:textId="77777777" w:rsidR="00EE602B" w:rsidRPr="008E63BB" w:rsidRDefault="00EE602B" w:rsidP="00EE602B">
            <w:pPr>
              <w:rPr>
                <w:rFonts w:eastAsia="Times New Roman"/>
                <w:b/>
                <w:bCs/>
                <w:szCs w:val="26"/>
              </w:rPr>
            </w:pPr>
            <w:r w:rsidRPr="008E63BB">
              <w:rPr>
                <w:rFonts w:eastAsia="Times New Roman"/>
                <w:b/>
                <w:bCs/>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4023" w14:textId="77777777" w:rsidR="00EE602B" w:rsidRPr="008E63BB" w:rsidRDefault="00EE602B" w:rsidP="00EE602B">
            <w:pPr>
              <w:rPr>
                <w:rFonts w:eastAsia="Times New Roman"/>
                <w:b/>
                <w:bCs/>
                <w:szCs w:val="26"/>
              </w:rPr>
            </w:pPr>
            <w:r w:rsidRPr="008E63BB">
              <w:rPr>
                <w:rFonts w:eastAsia="Times New Roman"/>
                <w:b/>
                <w:bCs/>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4024" w14:textId="77777777" w:rsidR="00EE602B" w:rsidRPr="008E63BB" w:rsidRDefault="00EE602B" w:rsidP="00EE602B">
            <w:pPr>
              <w:rPr>
                <w:rFonts w:eastAsia="Times New Roman"/>
                <w:b/>
                <w:bCs/>
                <w:szCs w:val="26"/>
              </w:rPr>
            </w:pPr>
            <w:r w:rsidRPr="008E63BB">
              <w:rPr>
                <w:rFonts w:eastAsia="Times New Roman"/>
                <w:b/>
                <w:bCs/>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4025" w14:textId="77777777" w:rsidR="00EE602B" w:rsidRPr="008E63BB" w:rsidRDefault="00EE602B" w:rsidP="00EE602B">
            <w:pPr>
              <w:jc w:val="right"/>
              <w:rPr>
                <w:rFonts w:eastAsia="Times New Roman"/>
                <w:b/>
                <w:bCs/>
                <w:szCs w:val="26"/>
              </w:rPr>
            </w:pPr>
            <w:r w:rsidRPr="008E63BB">
              <w:rPr>
                <w:rFonts w:eastAsia="Times New Roman"/>
                <w:b/>
                <w:bCs/>
                <w:szCs w:val="26"/>
              </w:rPr>
              <w:t>1.173.991</w:t>
            </w:r>
          </w:p>
        </w:tc>
      </w:tr>
      <w:tr w:rsidR="00EE602B" w:rsidRPr="008E63BB" w14:paraId="519B402D"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19B4027" w14:textId="77777777" w:rsidR="00EE602B" w:rsidRPr="008E63BB" w:rsidRDefault="00EE602B" w:rsidP="00EE602B">
            <w:pPr>
              <w:jc w:val="center"/>
              <w:rPr>
                <w:rFonts w:eastAsia="Times New Roman"/>
                <w:szCs w:val="26"/>
              </w:rPr>
            </w:pPr>
            <w:r w:rsidRPr="008E63BB">
              <w:rPr>
                <w:rFonts w:eastAsia="Times New Roman"/>
                <w:szCs w:val="26"/>
              </w:rPr>
              <w:t>6</w:t>
            </w:r>
          </w:p>
        </w:tc>
        <w:tc>
          <w:tcPr>
            <w:tcW w:w="3402" w:type="dxa"/>
            <w:tcBorders>
              <w:top w:val="nil"/>
              <w:left w:val="nil"/>
              <w:bottom w:val="single" w:sz="4" w:space="0" w:color="auto"/>
              <w:right w:val="single" w:sz="4" w:space="0" w:color="auto"/>
            </w:tcBorders>
            <w:shd w:val="clear" w:color="auto" w:fill="auto"/>
            <w:noWrap/>
            <w:vAlign w:val="center"/>
            <w:hideMark/>
          </w:tcPr>
          <w:p w14:paraId="519B4028" w14:textId="77777777" w:rsidR="00EE602B" w:rsidRPr="008E63BB" w:rsidRDefault="00EE602B" w:rsidP="00EE602B">
            <w:pPr>
              <w:rPr>
                <w:rFonts w:eastAsia="Times New Roman"/>
                <w:szCs w:val="26"/>
              </w:rPr>
            </w:pPr>
            <w:r w:rsidRPr="008E63BB">
              <w:rPr>
                <w:rFonts w:eastAsia="Times New Roman"/>
                <w:szCs w:val="26"/>
              </w:rPr>
              <w:t>Dự phòng 10%</w:t>
            </w:r>
          </w:p>
        </w:tc>
        <w:tc>
          <w:tcPr>
            <w:tcW w:w="1134" w:type="dxa"/>
            <w:tcBorders>
              <w:top w:val="nil"/>
              <w:left w:val="nil"/>
              <w:bottom w:val="single" w:sz="4" w:space="0" w:color="auto"/>
              <w:right w:val="single" w:sz="4" w:space="0" w:color="auto"/>
            </w:tcBorders>
            <w:shd w:val="clear" w:color="auto" w:fill="auto"/>
            <w:noWrap/>
            <w:vAlign w:val="center"/>
            <w:hideMark/>
          </w:tcPr>
          <w:p w14:paraId="519B4029" w14:textId="77777777" w:rsidR="00EE602B" w:rsidRPr="008E63BB" w:rsidRDefault="00EE602B" w:rsidP="00EE602B">
            <w:pPr>
              <w:rPr>
                <w:rFonts w:eastAsia="Times New Roman"/>
                <w:szCs w:val="26"/>
              </w:rPr>
            </w:pPr>
            <w:r w:rsidRPr="008E63BB">
              <w:rPr>
                <w:rFonts w:eastAsia="Times New Roman"/>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402A" w14:textId="77777777" w:rsidR="00EE602B" w:rsidRPr="008E63BB" w:rsidRDefault="00EE602B" w:rsidP="00EE602B">
            <w:pPr>
              <w:rPr>
                <w:rFonts w:eastAsia="Times New Roman"/>
                <w:szCs w:val="26"/>
              </w:rPr>
            </w:pPr>
            <w:r w:rsidRPr="008E63BB">
              <w:rPr>
                <w:rFonts w:eastAsia="Times New Roman"/>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402B" w14:textId="77777777" w:rsidR="00EE602B" w:rsidRPr="008E63BB" w:rsidRDefault="00EE602B" w:rsidP="00EE602B">
            <w:pPr>
              <w:rPr>
                <w:rFonts w:eastAsia="Times New Roman"/>
                <w:szCs w:val="26"/>
              </w:rPr>
            </w:pPr>
            <w:r w:rsidRPr="008E63BB">
              <w:rPr>
                <w:rFonts w:eastAsia="Times New Roman"/>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402C" w14:textId="77777777" w:rsidR="00EE602B" w:rsidRPr="008E63BB" w:rsidRDefault="00EE602B" w:rsidP="00EE602B">
            <w:pPr>
              <w:jc w:val="right"/>
              <w:rPr>
                <w:rFonts w:eastAsia="Times New Roman"/>
                <w:szCs w:val="26"/>
              </w:rPr>
            </w:pPr>
            <w:r w:rsidRPr="008E63BB">
              <w:rPr>
                <w:rFonts w:eastAsia="Times New Roman"/>
                <w:szCs w:val="26"/>
              </w:rPr>
              <w:t>117.399</w:t>
            </w:r>
          </w:p>
        </w:tc>
      </w:tr>
      <w:tr w:rsidR="00EE602B" w:rsidRPr="008E63BB" w14:paraId="519B4034" w14:textId="77777777" w:rsidTr="00EE602B">
        <w:trPr>
          <w:trHeight w:val="20"/>
        </w:trPr>
        <w:tc>
          <w:tcPr>
            <w:tcW w:w="575" w:type="dxa"/>
            <w:tcBorders>
              <w:top w:val="nil"/>
              <w:left w:val="single" w:sz="4" w:space="0" w:color="auto"/>
              <w:bottom w:val="single" w:sz="4" w:space="0" w:color="auto"/>
              <w:right w:val="single" w:sz="4" w:space="0" w:color="auto"/>
            </w:tcBorders>
            <w:shd w:val="clear" w:color="auto" w:fill="auto"/>
            <w:noWrap/>
            <w:vAlign w:val="center"/>
            <w:hideMark/>
          </w:tcPr>
          <w:p w14:paraId="519B402E" w14:textId="77777777" w:rsidR="00EE602B" w:rsidRPr="008E63BB" w:rsidRDefault="00EE602B" w:rsidP="00EE602B">
            <w:pPr>
              <w:jc w:val="center"/>
              <w:rPr>
                <w:rFonts w:eastAsia="Times New Roman"/>
                <w:b/>
                <w:bCs/>
                <w:szCs w:val="26"/>
              </w:rPr>
            </w:pPr>
            <w:r w:rsidRPr="008E63BB">
              <w:rPr>
                <w:rFonts w:eastAsia="Times New Roman"/>
                <w:b/>
                <w:bCs/>
                <w:szCs w:val="26"/>
              </w:rPr>
              <w:t> </w:t>
            </w:r>
          </w:p>
        </w:tc>
        <w:tc>
          <w:tcPr>
            <w:tcW w:w="3402" w:type="dxa"/>
            <w:tcBorders>
              <w:top w:val="nil"/>
              <w:left w:val="nil"/>
              <w:bottom w:val="single" w:sz="4" w:space="0" w:color="auto"/>
              <w:right w:val="single" w:sz="4" w:space="0" w:color="auto"/>
            </w:tcBorders>
            <w:shd w:val="clear" w:color="auto" w:fill="auto"/>
            <w:noWrap/>
            <w:vAlign w:val="center"/>
            <w:hideMark/>
          </w:tcPr>
          <w:p w14:paraId="519B402F" w14:textId="77777777" w:rsidR="00EE602B" w:rsidRPr="008E63BB" w:rsidRDefault="00EE602B" w:rsidP="00EE602B">
            <w:pPr>
              <w:rPr>
                <w:rFonts w:eastAsia="Times New Roman"/>
                <w:b/>
                <w:bCs/>
                <w:szCs w:val="26"/>
              </w:rPr>
            </w:pPr>
            <w:r w:rsidRPr="008E63BB">
              <w:rPr>
                <w:rFonts w:eastAsia="Times New Roman"/>
                <w:b/>
                <w:bCs/>
                <w:szCs w:val="26"/>
              </w:rPr>
              <w:t>Tổng cộng</w:t>
            </w:r>
          </w:p>
        </w:tc>
        <w:tc>
          <w:tcPr>
            <w:tcW w:w="1134" w:type="dxa"/>
            <w:tcBorders>
              <w:top w:val="nil"/>
              <w:left w:val="nil"/>
              <w:bottom w:val="single" w:sz="4" w:space="0" w:color="auto"/>
              <w:right w:val="single" w:sz="4" w:space="0" w:color="auto"/>
            </w:tcBorders>
            <w:shd w:val="clear" w:color="auto" w:fill="auto"/>
            <w:noWrap/>
            <w:vAlign w:val="center"/>
            <w:hideMark/>
          </w:tcPr>
          <w:p w14:paraId="519B4030" w14:textId="77777777" w:rsidR="00EE602B" w:rsidRPr="008E63BB" w:rsidRDefault="00EE602B" w:rsidP="00EE602B">
            <w:pPr>
              <w:rPr>
                <w:rFonts w:eastAsia="Times New Roman"/>
                <w:b/>
                <w:bCs/>
                <w:szCs w:val="26"/>
              </w:rPr>
            </w:pPr>
            <w:r w:rsidRPr="008E63BB">
              <w:rPr>
                <w:rFonts w:eastAsia="Times New Roman"/>
                <w:b/>
                <w:bCs/>
                <w:szCs w:val="26"/>
              </w:rPr>
              <w:t> </w:t>
            </w:r>
          </w:p>
        </w:tc>
        <w:tc>
          <w:tcPr>
            <w:tcW w:w="1061" w:type="dxa"/>
            <w:tcBorders>
              <w:top w:val="nil"/>
              <w:left w:val="nil"/>
              <w:bottom w:val="single" w:sz="4" w:space="0" w:color="auto"/>
              <w:right w:val="single" w:sz="4" w:space="0" w:color="auto"/>
            </w:tcBorders>
            <w:shd w:val="clear" w:color="auto" w:fill="auto"/>
            <w:noWrap/>
            <w:vAlign w:val="center"/>
            <w:hideMark/>
          </w:tcPr>
          <w:p w14:paraId="519B4031" w14:textId="77777777" w:rsidR="00EE602B" w:rsidRPr="008E63BB" w:rsidRDefault="00EE602B" w:rsidP="00EE602B">
            <w:pPr>
              <w:rPr>
                <w:rFonts w:eastAsia="Times New Roman"/>
                <w:b/>
                <w:bCs/>
                <w:szCs w:val="26"/>
              </w:rPr>
            </w:pPr>
            <w:r w:rsidRPr="008E63BB">
              <w:rPr>
                <w:rFonts w:eastAsia="Times New Roman"/>
                <w:b/>
                <w:bCs/>
                <w:szCs w:val="26"/>
              </w:rPr>
              <w:t> </w:t>
            </w:r>
          </w:p>
        </w:tc>
        <w:tc>
          <w:tcPr>
            <w:tcW w:w="1256" w:type="dxa"/>
            <w:tcBorders>
              <w:top w:val="nil"/>
              <w:left w:val="nil"/>
              <w:bottom w:val="single" w:sz="4" w:space="0" w:color="auto"/>
              <w:right w:val="single" w:sz="4" w:space="0" w:color="auto"/>
            </w:tcBorders>
            <w:shd w:val="clear" w:color="auto" w:fill="auto"/>
            <w:noWrap/>
            <w:vAlign w:val="center"/>
            <w:hideMark/>
          </w:tcPr>
          <w:p w14:paraId="519B4032" w14:textId="77777777" w:rsidR="00EE602B" w:rsidRPr="008E63BB" w:rsidRDefault="00EE602B" w:rsidP="00EE602B">
            <w:pPr>
              <w:rPr>
                <w:rFonts w:eastAsia="Times New Roman"/>
                <w:b/>
                <w:bCs/>
                <w:szCs w:val="26"/>
              </w:rPr>
            </w:pPr>
            <w:r w:rsidRPr="008E63BB">
              <w:rPr>
                <w:rFonts w:eastAsia="Times New Roman"/>
                <w:b/>
                <w:bCs/>
                <w:szCs w:val="26"/>
              </w:rPr>
              <w:t> </w:t>
            </w:r>
          </w:p>
        </w:tc>
        <w:tc>
          <w:tcPr>
            <w:tcW w:w="1652" w:type="dxa"/>
            <w:tcBorders>
              <w:top w:val="nil"/>
              <w:left w:val="nil"/>
              <w:bottom w:val="single" w:sz="4" w:space="0" w:color="auto"/>
              <w:right w:val="single" w:sz="4" w:space="0" w:color="auto"/>
            </w:tcBorders>
            <w:shd w:val="clear" w:color="auto" w:fill="auto"/>
            <w:noWrap/>
            <w:vAlign w:val="center"/>
            <w:hideMark/>
          </w:tcPr>
          <w:p w14:paraId="519B4033" w14:textId="77777777" w:rsidR="00EE602B" w:rsidRPr="008E63BB" w:rsidRDefault="00EE602B" w:rsidP="00EE602B">
            <w:pPr>
              <w:jc w:val="right"/>
              <w:rPr>
                <w:rFonts w:eastAsia="Times New Roman"/>
                <w:b/>
                <w:bCs/>
                <w:szCs w:val="26"/>
              </w:rPr>
            </w:pPr>
            <w:r w:rsidRPr="008E63BB">
              <w:rPr>
                <w:rFonts w:eastAsia="Times New Roman"/>
                <w:b/>
                <w:bCs/>
                <w:szCs w:val="26"/>
              </w:rPr>
              <w:t>1.291.391</w:t>
            </w:r>
          </w:p>
        </w:tc>
      </w:tr>
    </w:tbl>
    <w:p w14:paraId="519B4035" w14:textId="77777777" w:rsidR="00250ACB" w:rsidRPr="008E63BB" w:rsidRDefault="00EE602B" w:rsidP="004C3AAC">
      <w:pPr>
        <w:spacing w:before="120" w:after="200"/>
        <w:ind w:firstLine="720"/>
        <w:rPr>
          <w:rFonts w:eastAsia="Times New Roman"/>
          <w:w w:val="105"/>
          <w:szCs w:val="26"/>
        </w:rPr>
      </w:pPr>
      <w:r w:rsidRPr="008E63BB">
        <w:rPr>
          <w:i/>
        </w:rPr>
        <w:t>Tổng kinh phí cấp nước (lấy tròn): 13 tỷ đồng (Nguồn vốn do công ty cổ phần cấp nước thành phố Nam Định và Công ty cổ phần nước sạch và vệ sinh môi trường nông thôn đầu tư)</w:t>
      </w:r>
    </w:p>
    <w:p w14:paraId="519B4036" w14:textId="77777777" w:rsidR="00861A49" w:rsidRPr="008E63BB" w:rsidRDefault="00861A49" w:rsidP="005F4632">
      <w:pPr>
        <w:pStyle w:val="Heading3"/>
        <w:spacing w:before="40"/>
        <w:rPr>
          <w:lang w:val="vi-VN"/>
        </w:rPr>
      </w:pPr>
      <w:bookmarkStart w:id="523" w:name="_Toc47524736"/>
      <w:r w:rsidRPr="008E63BB">
        <w:rPr>
          <w:lang w:val="vi-VN"/>
        </w:rPr>
        <w:t>7.3.4. Cấp điện</w:t>
      </w:r>
      <w:bookmarkEnd w:id="521"/>
      <w:bookmarkEnd w:id="522"/>
      <w:bookmarkEnd w:id="523"/>
    </w:p>
    <w:p w14:paraId="519B4037" w14:textId="77777777" w:rsidR="007E65C8" w:rsidRPr="008E63BB" w:rsidRDefault="007E65C8" w:rsidP="007E65C8">
      <w:pPr>
        <w:rPr>
          <w:lang w:val="vi-VN"/>
        </w:rPr>
      </w:pPr>
      <w:r w:rsidRPr="008E63BB">
        <w:rPr>
          <w:lang w:val="vi-VN"/>
        </w:rPr>
        <w:t>Công suất yêu cầu trên đến năm 20</w:t>
      </w:r>
      <w:r w:rsidRPr="008E63BB">
        <w:rPr>
          <w:lang w:val="pt-BR"/>
        </w:rPr>
        <w:t xml:space="preserve">30 </w:t>
      </w:r>
      <w:r w:rsidRPr="008E63BB">
        <w:rPr>
          <w:i/>
          <w:lang w:val="vi-VN"/>
        </w:rPr>
        <w:t>(với hệ số lấp đầy các dự án là 1)</w:t>
      </w:r>
      <w:r w:rsidRPr="008E63BB">
        <w:rPr>
          <w:lang w:val="vi-VN"/>
        </w:rPr>
        <w:t xml:space="preserve">: </w:t>
      </w:r>
      <w:r w:rsidRPr="008E63BB">
        <w:rPr>
          <w:lang w:val="pt-BR"/>
        </w:rPr>
        <w:t>410.11</w:t>
      </w:r>
      <w:r w:rsidRPr="008E63BB">
        <w:rPr>
          <w:lang w:val="vi-VN"/>
        </w:rPr>
        <w:t>MW</w:t>
      </w:r>
    </w:p>
    <w:p w14:paraId="519B4038" w14:textId="77777777" w:rsidR="007E65C8" w:rsidRPr="008E63BB" w:rsidRDefault="007E65C8" w:rsidP="007E65C8">
      <w:pPr>
        <w:rPr>
          <w:lang w:val="vi-VN"/>
        </w:rPr>
      </w:pPr>
      <w:r w:rsidRPr="008E63BB">
        <w:rPr>
          <w:lang w:val="vi-VN"/>
        </w:rPr>
        <w:t xml:space="preserve">Nguồn : </w:t>
      </w:r>
    </w:p>
    <w:p w14:paraId="519B4039" w14:textId="77777777" w:rsidR="007E65C8" w:rsidRPr="008E63BB" w:rsidRDefault="007E65C8" w:rsidP="007E65C8">
      <w:pPr>
        <w:rPr>
          <w:rFonts w:eastAsia="Times New Roman"/>
          <w:lang w:val="vi-VN"/>
        </w:rPr>
      </w:pPr>
      <w:r w:rsidRPr="008E63BB">
        <w:rPr>
          <w:rFonts w:eastAsia="Times New Roman"/>
          <w:lang w:val="vi-VN"/>
        </w:rPr>
        <w:t>+ Trạm 110kV Nam Điền giai đoạn này lắp 2 máy 2x40MVA, cấp điện áp 110/35/22kV đặt tại xã Nam Toàn . Diện tích dự kiến 1ha.</w:t>
      </w:r>
    </w:p>
    <w:p w14:paraId="519B403A" w14:textId="77777777" w:rsidR="007E65C8" w:rsidRPr="008E63BB" w:rsidRDefault="007E65C8" w:rsidP="007E65C8">
      <w:pPr>
        <w:rPr>
          <w:rFonts w:eastAsia="Times New Roman"/>
        </w:rPr>
      </w:pPr>
      <w:r w:rsidRPr="008E63BB">
        <w:rPr>
          <w:rFonts w:eastAsia="Times New Roman"/>
        </w:rPr>
        <w:t>+ Nâng công suất trạm 110kV Mỹ Xá lên 40+63MVA vào năm 2021, cụ thể : thay máy T1 63MVA vào năm 2020, thay máy T2 63MVA vào năm 2021.</w:t>
      </w:r>
    </w:p>
    <w:p w14:paraId="519B403B" w14:textId="77777777" w:rsidR="007E65C8" w:rsidRPr="008E63BB" w:rsidRDefault="007E65C8" w:rsidP="007E65C8">
      <w:pPr>
        <w:rPr>
          <w:rFonts w:eastAsia="Times New Roman"/>
        </w:rPr>
      </w:pPr>
      <w:r w:rsidRPr="008E63BB">
        <w:rPr>
          <w:rFonts w:eastAsia="Times New Roman"/>
          <w:lang w:val="vi-VN"/>
        </w:rPr>
        <w:t xml:space="preserve">+ Trạm 110kV </w:t>
      </w:r>
      <w:r w:rsidRPr="008E63BB">
        <w:rPr>
          <w:rFonts w:eastAsia="Times New Roman"/>
        </w:rPr>
        <w:t>Mý Trung</w:t>
      </w:r>
      <w:r w:rsidRPr="008E63BB">
        <w:rPr>
          <w:rFonts w:eastAsia="Times New Roman"/>
          <w:lang w:val="vi-VN"/>
        </w:rPr>
        <w:t xml:space="preserve"> giai đoạn này lắp 2 máy 2x40MVA, cấp điện áp 110/35/22kV đặt tại </w:t>
      </w:r>
      <w:r w:rsidRPr="008E63BB">
        <w:rPr>
          <w:rFonts w:eastAsia="Times New Roman"/>
        </w:rPr>
        <w:t>KCN Mỹ Trung</w:t>
      </w:r>
      <w:r w:rsidRPr="008E63BB">
        <w:rPr>
          <w:rFonts w:eastAsia="Times New Roman"/>
          <w:lang w:val="vi-VN"/>
        </w:rPr>
        <w:t xml:space="preserve"> . Diện tích dự kiến 1ha</w:t>
      </w:r>
      <w:r w:rsidRPr="008E63BB">
        <w:rPr>
          <w:rFonts w:eastAsia="Times New Roman"/>
        </w:rPr>
        <w:t>.</w:t>
      </w:r>
    </w:p>
    <w:p w14:paraId="519B403C" w14:textId="77777777" w:rsidR="007E65C8" w:rsidRPr="008E63BB" w:rsidRDefault="007E65C8" w:rsidP="007E65C8">
      <w:pPr>
        <w:rPr>
          <w:rFonts w:eastAsia="Times New Roman"/>
        </w:rPr>
      </w:pPr>
      <w:r w:rsidRPr="008E63BB">
        <w:rPr>
          <w:rFonts w:eastAsia="Times New Roman"/>
          <w:lang w:val="vi-VN"/>
        </w:rPr>
        <w:t xml:space="preserve">+ Trạm 110kV Nam </w:t>
      </w:r>
      <w:r w:rsidRPr="008E63BB">
        <w:rPr>
          <w:rFonts w:eastAsia="Times New Roman"/>
        </w:rPr>
        <w:t>Vân</w:t>
      </w:r>
      <w:r w:rsidRPr="008E63BB">
        <w:rPr>
          <w:rFonts w:eastAsia="Times New Roman"/>
          <w:lang w:val="vi-VN"/>
        </w:rPr>
        <w:t xml:space="preserve"> giai đoạn này lắp </w:t>
      </w:r>
      <w:r w:rsidRPr="008E63BB">
        <w:rPr>
          <w:rFonts w:eastAsia="Times New Roman"/>
        </w:rPr>
        <w:t>1</w:t>
      </w:r>
      <w:r w:rsidRPr="008E63BB">
        <w:rPr>
          <w:rFonts w:eastAsia="Times New Roman"/>
          <w:lang w:val="vi-VN"/>
        </w:rPr>
        <w:t xml:space="preserve"> máy </w:t>
      </w:r>
      <w:r w:rsidRPr="008E63BB">
        <w:rPr>
          <w:rFonts w:eastAsia="Times New Roman"/>
        </w:rPr>
        <w:t>1</w:t>
      </w:r>
      <w:r w:rsidRPr="008E63BB">
        <w:rPr>
          <w:rFonts w:eastAsia="Times New Roman"/>
          <w:lang w:val="vi-VN"/>
        </w:rPr>
        <w:t>x</w:t>
      </w:r>
      <w:r w:rsidRPr="008E63BB">
        <w:rPr>
          <w:rFonts w:eastAsia="Times New Roman"/>
        </w:rPr>
        <w:t>63</w:t>
      </w:r>
      <w:r w:rsidRPr="008E63BB">
        <w:rPr>
          <w:rFonts w:eastAsia="Times New Roman"/>
          <w:lang w:val="vi-VN"/>
        </w:rPr>
        <w:t xml:space="preserve">MVA, cấp điện áp 110/35/22kV đặt tại xã Nam </w:t>
      </w:r>
      <w:r w:rsidRPr="008E63BB">
        <w:rPr>
          <w:rFonts w:eastAsia="Times New Roman"/>
        </w:rPr>
        <w:t>Vân</w:t>
      </w:r>
      <w:r w:rsidRPr="008E63BB">
        <w:rPr>
          <w:rFonts w:eastAsia="Times New Roman"/>
          <w:lang w:val="vi-VN"/>
        </w:rPr>
        <w:t>. Diện tích dự kiến 1ha.</w:t>
      </w:r>
    </w:p>
    <w:p w14:paraId="519B403D" w14:textId="77777777" w:rsidR="007843F3" w:rsidRPr="008E63BB" w:rsidRDefault="007E65C8" w:rsidP="007E65C8">
      <w:pPr>
        <w:rPr>
          <w:rFonts w:eastAsia="Times New Roman"/>
          <w:lang w:val="vi-VN"/>
        </w:rPr>
      </w:pPr>
      <w:r w:rsidRPr="008E63BB">
        <w:rPr>
          <w:rFonts w:eastAsia="Times New Roman"/>
          <w:lang w:val="vi-VN"/>
        </w:rPr>
        <w:t xml:space="preserve">- Ngoài ra kiến nghị xây dựng trạm 110kV </w:t>
      </w:r>
      <w:r w:rsidRPr="008E63BB">
        <w:rPr>
          <w:rFonts w:eastAsia="Times New Roman"/>
        </w:rPr>
        <w:t>Hiển Khánh</w:t>
      </w:r>
      <w:r w:rsidRPr="008E63BB">
        <w:rPr>
          <w:rFonts w:eastAsia="Times New Roman"/>
          <w:lang w:val="vi-VN"/>
        </w:rPr>
        <w:t xml:space="preserve"> nằm tại phía Tây Bắc lắp 1 máy 1x</w:t>
      </w:r>
      <w:r w:rsidRPr="008E63BB">
        <w:rPr>
          <w:rFonts w:eastAsia="Times New Roman"/>
        </w:rPr>
        <w:t>40</w:t>
      </w:r>
      <w:r w:rsidRPr="008E63BB">
        <w:rPr>
          <w:rFonts w:eastAsia="Times New Roman"/>
          <w:lang w:val="vi-VN"/>
        </w:rPr>
        <w:t>MVA</w:t>
      </w:r>
      <w:r w:rsidR="007843F3" w:rsidRPr="008E63BB">
        <w:rPr>
          <w:rFonts w:eastAsia="Times New Roman"/>
          <w:lang w:val="vi-VN"/>
        </w:rPr>
        <w:t>.</w:t>
      </w:r>
    </w:p>
    <w:p w14:paraId="519B403E" w14:textId="77777777" w:rsidR="003B5245" w:rsidRPr="008E63BB" w:rsidRDefault="003B5245" w:rsidP="005F4632">
      <w:pPr>
        <w:spacing w:before="40"/>
        <w:rPr>
          <w:lang w:val="vi-VN"/>
        </w:rPr>
      </w:pPr>
      <w:r w:rsidRPr="008E63BB">
        <w:rPr>
          <w:lang w:val="vi-VN"/>
        </w:rPr>
        <w:t xml:space="preserve">Lưới : </w:t>
      </w:r>
    </w:p>
    <w:p w14:paraId="519B403F" w14:textId="77777777" w:rsidR="003B5245" w:rsidRPr="008E63BB" w:rsidRDefault="003B5245" w:rsidP="005F4632">
      <w:pPr>
        <w:spacing w:before="40"/>
        <w:rPr>
          <w:lang w:val="vi-VN"/>
        </w:rPr>
      </w:pPr>
      <w:r w:rsidRPr="008E63BB">
        <w:rPr>
          <w:lang w:val="vi-VN"/>
        </w:rPr>
        <w:t xml:space="preserve">       + Nhánh rẽ trạm 110kV Mỹ Trung mạch kép dài 0,5km dây dẫn AC-240.</w:t>
      </w:r>
    </w:p>
    <w:p w14:paraId="519B4040" w14:textId="77777777" w:rsidR="003B5245" w:rsidRPr="008E63BB" w:rsidRDefault="003B5245" w:rsidP="005F4632">
      <w:pPr>
        <w:spacing w:before="40"/>
        <w:rPr>
          <w:lang w:val="vi-VN"/>
        </w:rPr>
      </w:pPr>
      <w:r w:rsidRPr="008E63BB">
        <w:rPr>
          <w:lang w:val="vi-VN"/>
        </w:rPr>
        <w:t xml:space="preserve">       + Nhánh rẽ trạm 110kV Nam Điền mạch kép dài 1.5km dây dẫn AC-300.</w:t>
      </w:r>
    </w:p>
    <w:p w14:paraId="519B4041" w14:textId="77777777" w:rsidR="003B5245" w:rsidRPr="008E63BB" w:rsidRDefault="003B5245" w:rsidP="005F4632">
      <w:pPr>
        <w:spacing w:before="40"/>
        <w:rPr>
          <w:lang w:val="vi-VN"/>
        </w:rPr>
      </w:pPr>
      <w:r w:rsidRPr="008E63BB">
        <w:rPr>
          <w:lang w:val="vi-VN"/>
        </w:rPr>
        <w:t xml:space="preserve">       + Nhánh rẽ trạm 110kV Quy hoạch mới mạch kép dài 1.5km dây dẫn AC-300.</w:t>
      </w:r>
    </w:p>
    <w:p w14:paraId="519B4042" w14:textId="77777777" w:rsidR="003B5245" w:rsidRPr="008E63BB" w:rsidRDefault="003B5245" w:rsidP="005F4632">
      <w:pPr>
        <w:spacing w:before="40"/>
        <w:rPr>
          <w:lang w:val="vi-VN"/>
        </w:rPr>
      </w:pPr>
      <w:r w:rsidRPr="008E63BB">
        <w:rPr>
          <w:lang w:val="vi-VN"/>
        </w:rPr>
        <w:t xml:space="preserve">        + Di dời những tuyến 35,22kV hiện trạng đi qua khu dân cư theo dọc vỉa hè đường giao thông.</w:t>
      </w:r>
    </w:p>
    <w:p w14:paraId="519B4043" w14:textId="77777777" w:rsidR="003B5245" w:rsidRPr="008E63BB" w:rsidRDefault="003B5245" w:rsidP="005F4632">
      <w:pPr>
        <w:spacing w:before="40"/>
        <w:rPr>
          <w:lang w:val="vi-VN"/>
        </w:rPr>
      </w:pPr>
      <w:r w:rsidRPr="008E63BB">
        <w:rPr>
          <w:lang w:val="vi-VN"/>
        </w:rPr>
        <w:lastRenderedPageBreak/>
        <w:t xml:space="preserve">        + Lắp đặt các trạm biến áp lưới mới kiểu trạm xây hoặc kios hợp bộ gam máy 400KVA</w:t>
      </w:r>
      <w:r w:rsidRPr="008E63BB">
        <w:rPr>
          <w:lang w:val="vi-VN"/>
        </w:rPr>
        <w:sym w:font="Symbol" w:char="F0B8"/>
      </w:r>
      <w:r w:rsidRPr="008E63BB">
        <w:rPr>
          <w:lang w:val="vi-VN"/>
        </w:rPr>
        <w:t>1500KVA</w:t>
      </w:r>
    </w:p>
    <w:p w14:paraId="519B4044" w14:textId="77777777" w:rsidR="003B5245" w:rsidRPr="008E63BB" w:rsidRDefault="003B5245" w:rsidP="005F4632">
      <w:pPr>
        <w:spacing w:before="40"/>
        <w:rPr>
          <w:lang w:val="vi-VN"/>
        </w:rPr>
      </w:pPr>
      <w:r w:rsidRPr="008E63BB">
        <w:rPr>
          <w:lang w:val="vi-VN"/>
        </w:rPr>
        <w:t>Hạ áp và chiếu sáng:</w:t>
      </w:r>
    </w:p>
    <w:p w14:paraId="519B4045" w14:textId="77777777" w:rsidR="00C40B71" w:rsidRPr="008E63BB" w:rsidRDefault="003B5245" w:rsidP="00C40B71">
      <w:pPr>
        <w:spacing w:before="40"/>
        <w:rPr>
          <w:lang w:val="vi-VN"/>
        </w:rPr>
      </w:pPr>
      <w:r w:rsidRPr="008E63BB">
        <w:rPr>
          <w:lang w:val="vi-VN"/>
        </w:rPr>
        <w:t xml:space="preserve">        + Hoàn chỉnh toàn bộ mạng lưới hạ áp  và chiếu sáng đạt tiêu chuẩn</w:t>
      </w:r>
      <w:bookmarkStart w:id="524" w:name="_Toc345538417"/>
      <w:bookmarkStart w:id="525" w:name="_Toc14778306"/>
    </w:p>
    <w:p w14:paraId="519B4046" w14:textId="77777777" w:rsidR="00861A49" w:rsidRPr="008E63BB" w:rsidRDefault="00861A49" w:rsidP="00C40B71">
      <w:pPr>
        <w:pStyle w:val="Heading3"/>
        <w:spacing w:before="40"/>
        <w:rPr>
          <w:lang w:val="vi-VN"/>
        </w:rPr>
      </w:pPr>
      <w:bookmarkStart w:id="526" w:name="_Toc47524737"/>
      <w:r w:rsidRPr="008E63BB">
        <w:rPr>
          <w:lang w:val="vi-VN"/>
        </w:rPr>
        <w:t>7.3.5. Thoát nước thải, quản lý chất thải rắn, nghĩa trang</w:t>
      </w:r>
      <w:bookmarkEnd w:id="524"/>
      <w:bookmarkEnd w:id="525"/>
      <w:bookmarkEnd w:id="526"/>
    </w:p>
    <w:p w14:paraId="519B4047" w14:textId="77777777" w:rsidR="00A31DCD" w:rsidRPr="008E63BB" w:rsidRDefault="00A31DCD" w:rsidP="0065184D">
      <w:pPr>
        <w:rPr>
          <w:i/>
          <w:szCs w:val="26"/>
        </w:rPr>
      </w:pPr>
      <w:bookmarkStart w:id="527" w:name="_Toc14778307"/>
      <w:r w:rsidRPr="008E63BB">
        <w:rPr>
          <w:i/>
          <w:szCs w:val="26"/>
        </w:rPr>
        <w:t>a/ Quy hoạch thoát nước thải</w:t>
      </w:r>
    </w:p>
    <w:p w14:paraId="519B4048" w14:textId="77777777" w:rsidR="00A31DCD" w:rsidRPr="008E63BB" w:rsidRDefault="00A31DCD" w:rsidP="0065184D">
      <w:pPr>
        <w:rPr>
          <w:szCs w:val="26"/>
        </w:rPr>
      </w:pPr>
      <w:r w:rsidRPr="008E63BB">
        <w:rPr>
          <w:szCs w:val="26"/>
        </w:rPr>
        <w:tab/>
        <w:t>+ Chỉ tiêu tính toán:</w:t>
      </w:r>
    </w:p>
    <w:p w14:paraId="519B4049" w14:textId="77777777" w:rsidR="00A31DCD" w:rsidRPr="008E63BB" w:rsidRDefault="00A31DCD" w:rsidP="0065184D">
      <w:pPr>
        <w:rPr>
          <w:szCs w:val="26"/>
        </w:rPr>
      </w:pPr>
      <w:r w:rsidRPr="008E63BB">
        <w:rPr>
          <w:szCs w:val="26"/>
        </w:rPr>
        <w:tab/>
        <w:t>- Tiêu chuẩn thoát nước sinh hoạt: 120l/người.ngđ.</w:t>
      </w:r>
    </w:p>
    <w:p w14:paraId="519B404A" w14:textId="77777777" w:rsidR="00A31DCD" w:rsidRPr="008E63BB" w:rsidRDefault="00A31DCD" w:rsidP="0065184D">
      <w:pPr>
        <w:rPr>
          <w:szCs w:val="26"/>
        </w:rPr>
      </w:pPr>
      <w:r w:rsidRPr="008E63BB">
        <w:rPr>
          <w:szCs w:val="26"/>
        </w:rPr>
        <w:tab/>
        <w:t>- Tiêu chuẩn thoát nước công nghiệp (lấy bằng 90% tiêu chuẩn cấp nước): 36m</w:t>
      </w:r>
      <w:r w:rsidRPr="008E63BB">
        <w:rPr>
          <w:szCs w:val="26"/>
          <w:vertAlign w:val="superscript"/>
        </w:rPr>
        <w:t>3</w:t>
      </w:r>
      <w:r w:rsidRPr="008E63BB">
        <w:rPr>
          <w:szCs w:val="26"/>
        </w:rPr>
        <w:t>/ha.ngđ.</w:t>
      </w:r>
    </w:p>
    <w:p w14:paraId="519B404B" w14:textId="77777777" w:rsidR="00A31DCD" w:rsidRPr="008E63BB" w:rsidRDefault="00A31DCD" w:rsidP="0065184D">
      <w:pPr>
        <w:rPr>
          <w:szCs w:val="26"/>
        </w:rPr>
      </w:pPr>
      <w:r w:rsidRPr="008E63BB">
        <w:rPr>
          <w:szCs w:val="26"/>
        </w:rPr>
        <w:tab/>
        <w:t>- Tiêu chuẩn chất thải rắn sinh hoạt: 1kg/người.ngđ.</w:t>
      </w:r>
    </w:p>
    <w:p w14:paraId="519B404C" w14:textId="77777777" w:rsidR="00A31DCD" w:rsidRPr="008E63BB" w:rsidRDefault="00A31DCD" w:rsidP="0065184D">
      <w:pPr>
        <w:rPr>
          <w:szCs w:val="26"/>
        </w:rPr>
      </w:pPr>
      <w:r w:rsidRPr="008E63BB">
        <w:rPr>
          <w:szCs w:val="26"/>
        </w:rPr>
        <w:tab/>
        <w:t>- Tiêu chuẩn chất thải rắn công nghiệp: 0,3 tấn/ha.ngđ.</w:t>
      </w:r>
    </w:p>
    <w:p w14:paraId="519B404D" w14:textId="77777777" w:rsidR="00A31DCD" w:rsidRPr="008E63BB" w:rsidRDefault="00A31DCD" w:rsidP="0065184D">
      <w:pPr>
        <w:rPr>
          <w:szCs w:val="26"/>
        </w:rPr>
      </w:pPr>
      <w:r w:rsidRPr="008E63BB">
        <w:rPr>
          <w:szCs w:val="26"/>
        </w:rPr>
        <w:tab/>
        <w:t>- Tiêu chuẩn đất nghĩa trang: 0,06ha/1000 dân.</w:t>
      </w:r>
    </w:p>
    <w:p w14:paraId="519B404E" w14:textId="77777777" w:rsidR="00A31DCD" w:rsidRPr="008E63BB" w:rsidRDefault="00A31DCD" w:rsidP="0065184D">
      <w:pPr>
        <w:rPr>
          <w:i/>
          <w:szCs w:val="26"/>
        </w:rPr>
      </w:pPr>
      <w:r w:rsidRPr="008E63BB">
        <w:rPr>
          <w:i/>
          <w:szCs w:val="26"/>
        </w:rPr>
        <w:t>b/ Khối lượng tính toán đợt đầu</w:t>
      </w:r>
    </w:p>
    <w:tbl>
      <w:tblPr>
        <w:tblW w:w="9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2928"/>
        <w:gridCol w:w="1906"/>
        <w:gridCol w:w="1904"/>
        <w:gridCol w:w="1905"/>
      </w:tblGrid>
      <w:tr w:rsidR="00167229" w:rsidRPr="008E63BB" w14:paraId="519B4052" w14:textId="77777777" w:rsidTr="00EE602B">
        <w:trPr>
          <w:trHeight w:val="13"/>
        </w:trPr>
        <w:tc>
          <w:tcPr>
            <w:tcW w:w="698" w:type="dxa"/>
            <w:vMerge w:val="restart"/>
            <w:vAlign w:val="center"/>
            <w:hideMark/>
          </w:tcPr>
          <w:p w14:paraId="519B404F" w14:textId="77777777" w:rsidR="00167229" w:rsidRPr="008E63BB" w:rsidRDefault="00167229" w:rsidP="00EE602B">
            <w:pPr>
              <w:ind w:firstLine="720"/>
              <w:jc w:val="center"/>
              <w:rPr>
                <w:rFonts w:eastAsia="Times New Roman"/>
                <w:b/>
                <w:bCs/>
                <w:szCs w:val="24"/>
                <w:lang w:eastAsia="zh-TW"/>
              </w:rPr>
            </w:pPr>
            <w:r w:rsidRPr="008E63BB">
              <w:rPr>
                <w:rFonts w:eastAsia="Times New Roman"/>
                <w:b/>
                <w:bCs/>
                <w:szCs w:val="24"/>
                <w:lang w:eastAsia="zh-TW"/>
              </w:rPr>
              <w:t>TTT</w:t>
            </w:r>
          </w:p>
        </w:tc>
        <w:tc>
          <w:tcPr>
            <w:tcW w:w="2928" w:type="dxa"/>
            <w:vMerge w:val="restart"/>
            <w:vAlign w:val="center"/>
            <w:hideMark/>
          </w:tcPr>
          <w:p w14:paraId="519B4050"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Hạng mục</w:t>
            </w:r>
          </w:p>
        </w:tc>
        <w:tc>
          <w:tcPr>
            <w:tcW w:w="5715" w:type="dxa"/>
            <w:gridSpan w:val="3"/>
            <w:vAlign w:val="center"/>
            <w:hideMark/>
          </w:tcPr>
          <w:p w14:paraId="519B4051"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Đợt đầu đến năm 2030</w:t>
            </w:r>
          </w:p>
        </w:tc>
      </w:tr>
      <w:tr w:rsidR="00167229" w:rsidRPr="008E63BB" w14:paraId="519B4058" w14:textId="77777777" w:rsidTr="00EE602B">
        <w:trPr>
          <w:trHeight w:val="13"/>
        </w:trPr>
        <w:tc>
          <w:tcPr>
            <w:tcW w:w="698" w:type="dxa"/>
            <w:vMerge/>
            <w:vAlign w:val="center"/>
            <w:hideMark/>
          </w:tcPr>
          <w:p w14:paraId="519B4053" w14:textId="77777777" w:rsidR="00167229" w:rsidRPr="008E63BB" w:rsidRDefault="00167229" w:rsidP="00EE602B">
            <w:pPr>
              <w:rPr>
                <w:rFonts w:eastAsia="Times New Roman"/>
                <w:b/>
                <w:bCs/>
                <w:szCs w:val="24"/>
                <w:lang w:eastAsia="zh-TW"/>
              </w:rPr>
            </w:pPr>
          </w:p>
        </w:tc>
        <w:tc>
          <w:tcPr>
            <w:tcW w:w="2928" w:type="dxa"/>
            <w:vMerge/>
            <w:vAlign w:val="center"/>
            <w:hideMark/>
          </w:tcPr>
          <w:p w14:paraId="519B4054" w14:textId="77777777" w:rsidR="00167229" w:rsidRPr="008E63BB" w:rsidRDefault="00167229" w:rsidP="00EE602B">
            <w:pPr>
              <w:rPr>
                <w:rFonts w:eastAsia="Times New Roman"/>
                <w:b/>
                <w:bCs/>
                <w:szCs w:val="24"/>
                <w:lang w:eastAsia="zh-TW"/>
              </w:rPr>
            </w:pPr>
          </w:p>
        </w:tc>
        <w:tc>
          <w:tcPr>
            <w:tcW w:w="1906" w:type="dxa"/>
            <w:vAlign w:val="center"/>
            <w:hideMark/>
          </w:tcPr>
          <w:p w14:paraId="519B4055"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Tiêu chuẩn</w:t>
            </w:r>
          </w:p>
        </w:tc>
        <w:tc>
          <w:tcPr>
            <w:tcW w:w="1904" w:type="dxa"/>
            <w:vAlign w:val="center"/>
            <w:hideMark/>
          </w:tcPr>
          <w:p w14:paraId="519B4056"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Quy mô</w:t>
            </w:r>
          </w:p>
        </w:tc>
        <w:tc>
          <w:tcPr>
            <w:tcW w:w="1905" w:type="dxa"/>
            <w:vAlign w:val="center"/>
            <w:hideMark/>
          </w:tcPr>
          <w:p w14:paraId="519B4057"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Khối lượng</w:t>
            </w:r>
          </w:p>
        </w:tc>
      </w:tr>
      <w:tr w:rsidR="00167229" w:rsidRPr="008E63BB" w14:paraId="519B405E" w14:textId="77777777" w:rsidTr="00EE602B">
        <w:trPr>
          <w:trHeight w:val="386"/>
        </w:trPr>
        <w:tc>
          <w:tcPr>
            <w:tcW w:w="698" w:type="dxa"/>
            <w:vAlign w:val="center"/>
            <w:hideMark/>
          </w:tcPr>
          <w:p w14:paraId="519B4059" w14:textId="77777777" w:rsidR="00167229" w:rsidRPr="008E63BB" w:rsidRDefault="00167229" w:rsidP="00EE602B">
            <w:pPr>
              <w:ind w:right="-108" w:firstLine="720"/>
              <w:jc w:val="center"/>
              <w:rPr>
                <w:rFonts w:eastAsia="Times New Roman"/>
                <w:b/>
                <w:bCs/>
                <w:szCs w:val="24"/>
                <w:lang w:eastAsia="zh-TW"/>
              </w:rPr>
            </w:pPr>
            <w:r w:rsidRPr="008E63BB">
              <w:rPr>
                <w:rFonts w:eastAsia="Times New Roman"/>
                <w:b/>
                <w:bCs/>
                <w:szCs w:val="24"/>
                <w:lang w:eastAsia="zh-TW"/>
              </w:rPr>
              <w:t>I</w:t>
            </w:r>
          </w:p>
        </w:tc>
        <w:tc>
          <w:tcPr>
            <w:tcW w:w="2928" w:type="dxa"/>
            <w:vAlign w:val="center"/>
            <w:hideMark/>
          </w:tcPr>
          <w:p w14:paraId="519B405A" w14:textId="77777777" w:rsidR="00167229" w:rsidRPr="008E63BB" w:rsidRDefault="00167229" w:rsidP="00EE602B">
            <w:pPr>
              <w:rPr>
                <w:rFonts w:eastAsia="Times New Roman"/>
                <w:b/>
                <w:bCs/>
                <w:szCs w:val="24"/>
                <w:lang w:eastAsia="zh-TW"/>
              </w:rPr>
            </w:pPr>
            <w:r w:rsidRPr="008E63BB">
              <w:rPr>
                <w:rFonts w:eastAsia="Times New Roman"/>
                <w:b/>
                <w:bCs/>
                <w:szCs w:val="24"/>
                <w:lang w:eastAsia="zh-TW"/>
              </w:rPr>
              <w:t>I. Nước thải</w:t>
            </w:r>
          </w:p>
        </w:tc>
        <w:tc>
          <w:tcPr>
            <w:tcW w:w="1906" w:type="dxa"/>
            <w:vAlign w:val="center"/>
            <w:hideMark/>
          </w:tcPr>
          <w:p w14:paraId="519B405B"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 </w:t>
            </w:r>
          </w:p>
        </w:tc>
        <w:tc>
          <w:tcPr>
            <w:tcW w:w="1904" w:type="dxa"/>
            <w:vAlign w:val="center"/>
            <w:hideMark/>
          </w:tcPr>
          <w:p w14:paraId="519B405C" w14:textId="77777777" w:rsidR="00167229" w:rsidRPr="008E63BB" w:rsidRDefault="00167229" w:rsidP="00EE602B">
            <w:pPr>
              <w:jc w:val="center"/>
              <w:rPr>
                <w:rFonts w:eastAsia="Times New Roman"/>
                <w:b/>
                <w:bCs/>
                <w:szCs w:val="24"/>
                <w:lang w:eastAsia="zh-TW"/>
              </w:rPr>
            </w:pPr>
          </w:p>
        </w:tc>
        <w:tc>
          <w:tcPr>
            <w:tcW w:w="1905" w:type="dxa"/>
            <w:vAlign w:val="center"/>
            <w:hideMark/>
          </w:tcPr>
          <w:p w14:paraId="519B405D"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 xml:space="preserve">79.244 </w:t>
            </w:r>
            <w:r w:rsidRPr="008E63BB">
              <w:rPr>
                <w:rFonts w:eastAsia="Times New Roman"/>
                <w:b/>
                <w:szCs w:val="24"/>
                <w:lang w:eastAsia="zh-TW"/>
              </w:rPr>
              <w:t>m</w:t>
            </w:r>
            <w:r w:rsidRPr="008E63BB">
              <w:rPr>
                <w:rFonts w:eastAsia="Times New Roman"/>
                <w:b/>
                <w:szCs w:val="24"/>
                <w:vertAlign w:val="superscript"/>
                <w:lang w:eastAsia="zh-TW"/>
              </w:rPr>
              <w:t>3</w:t>
            </w:r>
            <w:r w:rsidRPr="008E63BB">
              <w:rPr>
                <w:rFonts w:eastAsia="Times New Roman"/>
                <w:b/>
                <w:szCs w:val="24"/>
                <w:lang w:eastAsia="zh-TW"/>
              </w:rPr>
              <w:t>/ngđ</w:t>
            </w:r>
          </w:p>
        </w:tc>
      </w:tr>
      <w:tr w:rsidR="00167229" w:rsidRPr="008E63BB" w14:paraId="519B4064" w14:textId="77777777" w:rsidTr="00EE602B">
        <w:trPr>
          <w:trHeight w:val="386"/>
        </w:trPr>
        <w:tc>
          <w:tcPr>
            <w:tcW w:w="698" w:type="dxa"/>
            <w:vAlign w:val="center"/>
            <w:hideMark/>
          </w:tcPr>
          <w:p w14:paraId="519B405F" w14:textId="77777777" w:rsidR="00167229" w:rsidRPr="008E63BB" w:rsidRDefault="00167229" w:rsidP="00EE602B">
            <w:pPr>
              <w:ind w:firstLine="720"/>
              <w:jc w:val="center"/>
              <w:rPr>
                <w:rFonts w:eastAsia="Times New Roman"/>
                <w:szCs w:val="24"/>
                <w:lang w:eastAsia="zh-TW"/>
              </w:rPr>
            </w:pPr>
            <w:r w:rsidRPr="008E63BB">
              <w:rPr>
                <w:rFonts w:eastAsia="Times New Roman"/>
                <w:szCs w:val="24"/>
                <w:lang w:eastAsia="zh-TW"/>
              </w:rPr>
              <w:t>1</w:t>
            </w:r>
          </w:p>
        </w:tc>
        <w:tc>
          <w:tcPr>
            <w:tcW w:w="2928" w:type="dxa"/>
            <w:vAlign w:val="center"/>
            <w:hideMark/>
          </w:tcPr>
          <w:p w14:paraId="519B4060" w14:textId="77777777" w:rsidR="00167229" w:rsidRPr="008E63BB" w:rsidRDefault="00167229" w:rsidP="00EE602B">
            <w:pPr>
              <w:rPr>
                <w:rFonts w:eastAsia="Times New Roman"/>
                <w:szCs w:val="24"/>
                <w:lang w:eastAsia="zh-TW"/>
              </w:rPr>
            </w:pPr>
            <w:r w:rsidRPr="008E63BB">
              <w:rPr>
                <w:rFonts w:eastAsia="Times New Roman"/>
                <w:szCs w:val="24"/>
                <w:lang w:eastAsia="zh-TW"/>
              </w:rPr>
              <w:t>Dân cư nội thị</w:t>
            </w:r>
          </w:p>
        </w:tc>
        <w:tc>
          <w:tcPr>
            <w:tcW w:w="1906" w:type="dxa"/>
            <w:vAlign w:val="center"/>
            <w:hideMark/>
          </w:tcPr>
          <w:p w14:paraId="519B4061"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120 l/ng.ngđ</w:t>
            </w:r>
          </w:p>
        </w:tc>
        <w:tc>
          <w:tcPr>
            <w:tcW w:w="1904" w:type="dxa"/>
            <w:vAlign w:val="center"/>
            <w:hideMark/>
          </w:tcPr>
          <w:p w14:paraId="519B4062"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385.000 người</w:t>
            </w:r>
          </w:p>
        </w:tc>
        <w:tc>
          <w:tcPr>
            <w:tcW w:w="1905" w:type="dxa"/>
            <w:vAlign w:val="center"/>
            <w:hideMark/>
          </w:tcPr>
          <w:p w14:paraId="519B4063"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46200 m</w:t>
            </w:r>
            <w:r w:rsidRPr="008E63BB">
              <w:rPr>
                <w:rFonts w:eastAsia="Times New Roman"/>
                <w:szCs w:val="24"/>
                <w:vertAlign w:val="superscript"/>
                <w:lang w:eastAsia="zh-TW"/>
              </w:rPr>
              <w:t>3</w:t>
            </w:r>
            <w:r w:rsidRPr="008E63BB">
              <w:rPr>
                <w:rFonts w:eastAsia="Times New Roman"/>
                <w:szCs w:val="24"/>
                <w:lang w:eastAsia="zh-TW"/>
              </w:rPr>
              <w:t>/ngđ</w:t>
            </w:r>
          </w:p>
        </w:tc>
      </w:tr>
      <w:tr w:rsidR="00167229" w:rsidRPr="008E63BB" w14:paraId="519B406A" w14:textId="77777777" w:rsidTr="00EE602B">
        <w:trPr>
          <w:trHeight w:val="386"/>
        </w:trPr>
        <w:tc>
          <w:tcPr>
            <w:tcW w:w="698" w:type="dxa"/>
            <w:vAlign w:val="center"/>
            <w:hideMark/>
          </w:tcPr>
          <w:p w14:paraId="519B4065" w14:textId="77777777" w:rsidR="00167229" w:rsidRPr="008E63BB" w:rsidRDefault="00167229" w:rsidP="00EE602B">
            <w:pPr>
              <w:ind w:firstLine="720"/>
              <w:jc w:val="center"/>
              <w:rPr>
                <w:rFonts w:eastAsia="Times New Roman"/>
                <w:szCs w:val="24"/>
                <w:lang w:eastAsia="zh-TW"/>
              </w:rPr>
            </w:pPr>
            <w:r w:rsidRPr="008E63BB">
              <w:rPr>
                <w:rFonts w:eastAsia="Times New Roman"/>
                <w:szCs w:val="24"/>
                <w:lang w:eastAsia="zh-TW"/>
              </w:rPr>
              <w:t>2</w:t>
            </w:r>
          </w:p>
        </w:tc>
        <w:tc>
          <w:tcPr>
            <w:tcW w:w="2928" w:type="dxa"/>
            <w:vAlign w:val="center"/>
            <w:hideMark/>
          </w:tcPr>
          <w:p w14:paraId="519B4066" w14:textId="77777777" w:rsidR="00167229" w:rsidRPr="008E63BB" w:rsidRDefault="00167229" w:rsidP="00EE602B">
            <w:pPr>
              <w:rPr>
                <w:rFonts w:eastAsia="Times New Roman"/>
                <w:szCs w:val="24"/>
                <w:lang w:eastAsia="zh-TW"/>
              </w:rPr>
            </w:pPr>
            <w:r w:rsidRPr="008E63BB">
              <w:rPr>
                <w:rFonts w:eastAsia="Times New Roman"/>
                <w:szCs w:val="24"/>
                <w:lang w:eastAsia="zh-TW"/>
              </w:rPr>
              <w:t>Dân cư ngoại thị</w:t>
            </w:r>
          </w:p>
        </w:tc>
        <w:tc>
          <w:tcPr>
            <w:tcW w:w="1906" w:type="dxa"/>
            <w:vAlign w:val="center"/>
            <w:hideMark/>
          </w:tcPr>
          <w:p w14:paraId="519B4067"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100 l/ng.ngđ</w:t>
            </w:r>
          </w:p>
        </w:tc>
        <w:tc>
          <w:tcPr>
            <w:tcW w:w="1904" w:type="dxa"/>
            <w:vAlign w:val="center"/>
            <w:hideMark/>
          </w:tcPr>
          <w:p w14:paraId="519B4068"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135.000 người</w:t>
            </w:r>
          </w:p>
        </w:tc>
        <w:tc>
          <w:tcPr>
            <w:tcW w:w="1905" w:type="dxa"/>
            <w:vAlign w:val="center"/>
            <w:hideMark/>
          </w:tcPr>
          <w:p w14:paraId="519B4069"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13500 m</w:t>
            </w:r>
            <w:r w:rsidRPr="008E63BB">
              <w:rPr>
                <w:rFonts w:eastAsia="Times New Roman"/>
                <w:szCs w:val="24"/>
                <w:vertAlign w:val="superscript"/>
                <w:lang w:eastAsia="zh-TW"/>
              </w:rPr>
              <w:t>3</w:t>
            </w:r>
            <w:r w:rsidRPr="008E63BB">
              <w:rPr>
                <w:rFonts w:eastAsia="Times New Roman"/>
                <w:szCs w:val="24"/>
                <w:lang w:eastAsia="zh-TW"/>
              </w:rPr>
              <w:t>/ngđ</w:t>
            </w:r>
          </w:p>
        </w:tc>
      </w:tr>
      <w:tr w:rsidR="00167229" w:rsidRPr="008E63BB" w14:paraId="519B4070" w14:textId="77777777" w:rsidTr="00EE602B">
        <w:trPr>
          <w:trHeight w:val="386"/>
        </w:trPr>
        <w:tc>
          <w:tcPr>
            <w:tcW w:w="698" w:type="dxa"/>
            <w:vAlign w:val="center"/>
            <w:hideMark/>
          </w:tcPr>
          <w:p w14:paraId="519B406B" w14:textId="77777777" w:rsidR="00167229" w:rsidRPr="008E63BB" w:rsidRDefault="00167229" w:rsidP="00EE602B">
            <w:pPr>
              <w:ind w:firstLine="720"/>
              <w:jc w:val="center"/>
              <w:rPr>
                <w:rFonts w:eastAsia="Times New Roman"/>
                <w:szCs w:val="24"/>
                <w:lang w:eastAsia="zh-TW"/>
              </w:rPr>
            </w:pPr>
            <w:r w:rsidRPr="008E63BB">
              <w:rPr>
                <w:rFonts w:eastAsia="Times New Roman"/>
                <w:szCs w:val="24"/>
                <w:lang w:eastAsia="zh-TW"/>
              </w:rPr>
              <w:t>3</w:t>
            </w:r>
          </w:p>
        </w:tc>
        <w:tc>
          <w:tcPr>
            <w:tcW w:w="2928" w:type="dxa"/>
            <w:vAlign w:val="center"/>
            <w:hideMark/>
          </w:tcPr>
          <w:p w14:paraId="519B406C" w14:textId="77777777" w:rsidR="00167229" w:rsidRPr="008E63BB" w:rsidRDefault="00167229" w:rsidP="00EE602B">
            <w:pPr>
              <w:rPr>
                <w:rFonts w:eastAsia="Times New Roman"/>
                <w:szCs w:val="24"/>
                <w:lang w:eastAsia="zh-TW"/>
              </w:rPr>
            </w:pPr>
            <w:r w:rsidRPr="008E63BB">
              <w:rPr>
                <w:rFonts w:eastAsia="Times New Roman"/>
                <w:szCs w:val="24"/>
                <w:lang w:eastAsia="zh-TW"/>
              </w:rPr>
              <w:t>Công trình công cộng</w:t>
            </w:r>
          </w:p>
        </w:tc>
        <w:tc>
          <w:tcPr>
            <w:tcW w:w="1906" w:type="dxa"/>
            <w:vAlign w:val="center"/>
            <w:hideMark/>
          </w:tcPr>
          <w:p w14:paraId="519B406D"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15% sinh hoạt</w:t>
            </w:r>
          </w:p>
        </w:tc>
        <w:tc>
          <w:tcPr>
            <w:tcW w:w="1904" w:type="dxa"/>
            <w:vAlign w:val="center"/>
            <w:hideMark/>
          </w:tcPr>
          <w:p w14:paraId="519B406E" w14:textId="77777777" w:rsidR="00167229" w:rsidRPr="008E63BB" w:rsidRDefault="00167229" w:rsidP="00EE602B">
            <w:pPr>
              <w:jc w:val="center"/>
              <w:rPr>
                <w:rFonts w:eastAsia="Times New Roman"/>
                <w:szCs w:val="24"/>
                <w:lang w:eastAsia="zh-TW"/>
              </w:rPr>
            </w:pPr>
          </w:p>
        </w:tc>
        <w:tc>
          <w:tcPr>
            <w:tcW w:w="1905" w:type="dxa"/>
            <w:vAlign w:val="center"/>
            <w:hideMark/>
          </w:tcPr>
          <w:p w14:paraId="519B406F"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6930 m</w:t>
            </w:r>
            <w:r w:rsidRPr="008E63BB">
              <w:rPr>
                <w:rFonts w:eastAsia="Times New Roman"/>
                <w:szCs w:val="24"/>
                <w:vertAlign w:val="superscript"/>
                <w:lang w:eastAsia="zh-TW"/>
              </w:rPr>
              <w:t>3</w:t>
            </w:r>
            <w:r w:rsidRPr="008E63BB">
              <w:rPr>
                <w:rFonts w:eastAsia="Times New Roman"/>
                <w:szCs w:val="24"/>
                <w:lang w:eastAsia="zh-TW"/>
              </w:rPr>
              <w:t>/ngđ</w:t>
            </w:r>
          </w:p>
        </w:tc>
      </w:tr>
      <w:tr w:rsidR="00167229" w:rsidRPr="008E63BB" w14:paraId="519B4076" w14:textId="77777777" w:rsidTr="00EE602B">
        <w:trPr>
          <w:trHeight w:val="386"/>
        </w:trPr>
        <w:tc>
          <w:tcPr>
            <w:tcW w:w="698" w:type="dxa"/>
            <w:vAlign w:val="center"/>
            <w:hideMark/>
          </w:tcPr>
          <w:p w14:paraId="519B4071" w14:textId="77777777" w:rsidR="00167229" w:rsidRPr="008E63BB" w:rsidRDefault="00167229" w:rsidP="00EE602B">
            <w:pPr>
              <w:ind w:firstLine="720"/>
              <w:jc w:val="center"/>
              <w:rPr>
                <w:rFonts w:eastAsia="Times New Roman"/>
                <w:szCs w:val="24"/>
                <w:lang w:eastAsia="zh-TW"/>
              </w:rPr>
            </w:pPr>
            <w:r w:rsidRPr="008E63BB">
              <w:rPr>
                <w:rFonts w:eastAsia="Times New Roman"/>
                <w:szCs w:val="24"/>
                <w:lang w:eastAsia="zh-TW"/>
              </w:rPr>
              <w:t>4</w:t>
            </w:r>
          </w:p>
        </w:tc>
        <w:tc>
          <w:tcPr>
            <w:tcW w:w="2928" w:type="dxa"/>
            <w:vAlign w:val="center"/>
            <w:hideMark/>
          </w:tcPr>
          <w:p w14:paraId="519B4072" w14:textId="77777777" w:rsidR="00167229" w:rsidRPr="008E63BB" w:rsidRDefault="00167229" w:rsidP="00EE602B">
            <w:pPr>
              <w:rPr>
                <w:rFonts w:eastAsia="Times New Roman"/>
                <w:szCs w:val="24"/>
                <w:lang w:eastAsia="zh-TW"/>
              </w:rPr>
            </w:pPr>
            <w:r w:rsidRPr="008E63BB">
              <w:rPr>
                <w:rFonts w:eastAsia="Times New Roman"/>
                <w:szCs w:val="24"/>
                <w:lang w:eastAsia="zh-TW"/>
              </w:rPr>
              <w:t>Khu/ cụm công nghiệp</w:t>
            </w:r>
          </w:p>
        </w:tc>
        <w:tc>
          <w:tcPr>
            <w:tcW w:w="1906" w:type="dxa"/>
            <w:vAlign w:val="center"/>
            <w:hideMark/>
          </w:tcPr>
          <w:p w14:paraId="519B4073"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20 m</w:t>
            </w:r>
            <w:r w:rsidRPr="008E63BB">
              <w:rPr>
                <w:rFonts w:eastAsia="Times New Roman"/>
                <w:szCs w:val="24"/>
                <w:vertAlign w:val="superscript"/>
                <w:lang w:eastAsia="zh-TW"/>
              </w:rPr>
              <w:t>3</w:t>
            </w:r>
            <w:r w:rsidRPr="008E63BB">
              <w:rPr>
                <w:rFonts w:eastAsia="Times New Roman"/>
                <w:szCs w:val="24"/>
                <w:lang w:eastAsia="zh-TW"/>
              </w:rPr>
              <w:t>/ha.ngđ</w:t>
            </w:r>
          </w:p>
        </w:tc>
        <w:tc>
          <w:tcPr>
            <w:tcW w:w="1904" w:type="dxa"/>
            <w:vAlign w:val="center"/>
            <w:hideMark/>
          </w:tcPr>
          <w:p w14:paraId="519B4074"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901 ha</w:t>
            </w:r>
          </w:p>
        </w:tc>
        <w:tc>
          <w:tcPr>
            <w:tcW w:w="1905" w:type="dxa"/>
            <w:vAlign w:val="center"/>
            <w:hideMark/>
          </w:tcPr>
          <w:p w14:paraId="519B4075"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12614m</w:t>
            </w:r>
            <w:r w:rsidRPr="008E63BB">
              <w:rPr>
                <w:rFonts w:eastAsia="Times New Roman"/>
                <w:szCs w:val="24"/>
                <w:vertAlign w:val="superscript"/>
                <w:lang w:eastAsia="zh-TW"/>
              </w:rPr>
              <w:t>3</w:t>
            </w:r>
            <w:r w:rsidRPr="008E63BB">
              <w:rPr>
                <w:rFonts w:eastAsia="Times New Roman"/>
                <w:szCs w:val="24"/>
                <w:lang w:eastAsia="zh-TW"/>
              </w:rPr>
              <w:t>/ngđ</w:t>
            </w:r>
          </w:p>
        </w:tc>
      </w:tr>
      <w:tr w:rsidR="00167229" w:rsidRPr="008E63BB" w14:paraId="519B407C" w14:textId="77777777" w:rsidTr="00EE602B">
        <w:trPr>
          <w:trHeight w:val="244"/>
        </w:trPr>
        <w:tc>
          <w:tcPr>
            <w:tcW w:w="698" w:type="dxa"/>
            <w:vAlign w:val="center"/>
            <w:hideMark/>
          </w:tcPr>
          <w:p w14:paraId="519B4077" w14:textId="77777777" w:rsidR="00167229" w:rsidRPr="008E63BB" w:rsidRDefault="00167229" w:rsidP="00EE602B">
            <w:pPr>
              <w:ind w:firstLine="720"/>
              <w:rPr>
                <w:rFonts w:eastAsia="Times New Roman"/>
                <w:b/>
                <w:bCs/>
                <w:szCs w:val="24"/>
                <w:lang w:eastAsia="zh-TW"/>
              </w:rPr>
            </w:pPr>
            <w:r w:rsidRPr="008E63BB">
              <w:rPr>
                <w:rFonts w:eastAsia="Times New Roman"/>
                <w:b/>
                <w:bCs/>
                <w:szCs w:val="24"/>
                <w:lang w:eastAsia="zh-TW"/>
              </w:rPr>
              <w:t>I</w:t>
            </w:r>
          </w:p>
        </w:tc>
        <w:tc>
          <w:tcPr>
            <w:tcW w:w="2928" w:type="dxa"/>
            <w:vAlign w:val="center"/>
            <w:hideMark/>
          </w:tcPr>
          <w:p w14:paraId="519B4078" w14:textId="77777777" w:rsidR="00167229" w:rsidRPr="008E63BB" w:rsidRDefault="00167229" w:rsidP="00EE602B">
            <w:pPr>
              <w:rPr>
                <w:rFonts w:eastAsia="Times New Roman"/>
                <w:b/>
                <w:bCs/>
                <w:szCs w:val="24"/>
                <w:lang w:eastAsia="zh-TW"/>
              </w:rPr>
            </w:pPr>
            <w:r w:rsidRPr="008E63BB">
              <w:rPr>
                <w:rFonts w:eastAsia="Times New Roman"/>
                <w:b/>
                <w:bCs/>
                <w:szCs w:val="24"/>
                <w:lang w:eastAsia="zh-TW"/>
              </w:rPr>
              <w:t>II. Chất thải rắn</w:t>
            </w:r>
          </w:p>
        </w:tc>
        <w:tc>
          <w:tcPr>
            <w:tcW w:w="1906" w:type="dxa"/>
            <w:vAlign w:val="center"/>
            <w:hideMark/>
          </w:tcPr>
          <w:p w14:paraId="519B4079"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 </w:t>
            </w:r>
          </w:p>
        </w:tc>
        <w:tc>
          <w:tcPr>
            <w:tcW w:w="1904" w:type="dxa"/>
            <w:vAlign w:val="center"/>
            <w:hideMark/>
          </w:tcPr>
          <w:p w14:paraId="519B407A" w14:textId="77777777" w:rsidR="00167229" w:rsidRPr="008E63BB" w:rsidRDefault="00167229" w:rsidP="00EE602B">
            <w:pPr>
              <w:jc w:val="center"/>
              <w:rPr>
                <w:rFonts w:eastAsia="Times New Roman"/>
                <w:b/>
                <w:bCs/>
                <w:szCs w:val="24"/>
                <w:lang w:eastAsia="zh-TW"/>
              </w:rPr>
            </w:pPr>
          </w:p>
        </w:tc>
        <w:tc>
          <w:tcPr>
            <w:tcW w:w="1905" w:type="dxa"/>
            <w:vAlign w:val="center"/>
            <w:hideMark/>
          </w:tcPr>
          <w:p w14:paraId="519B407B"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865 tấn/ ngày</w:t>
            </w:r>
          </w:p>
        </w:tc>
      </w:tr>
      <w:tr w:rsidR="00167229" w:rsidRPr="008E63BB" w14:paraId="519B4083" w14:textId="77777777" w:rsidTr="00EE602B">
        <w:trPr>
          <w:trHeight w:val="386"/>
        </w:trPr>
        <w:tc>
          <w:tcPr>
            <w:tcW w:w="698" w:type="dxa"/>
            <w:vAlign w:val="center"/>
            <w:hideMark/>
          </w:tcPr>
          <w:p w14:paraId="519B407D" w14:textId="77777777" w:rsidR="00167229" w:rsidRPr="008E63BB" w:rsidRDefault="00167229" w:rsidP="00EE602B">
            <w:pPr>
              <w:ind w:firstLine="720"/>
              <w:jc w:val="center"/>
              <w:rPr>
                <w:rFonts w:eastAsia="Times New Roman"/>
                <w:szCs w:val="24"/>
                <w:lang w:eastAsia="zh-TW"/>
              </w:rPr>
            </w:pPr>
            <w:r w:rsidRPr="008E63BB">
              <w:rPr>
                <w:rFonts w:eastAsia="Times New Roman"/>
                <w:szCs w:val="24"/>
                <w:lang w:eastAsia="zh-TW"/>
              </w:rPr>
              <w:t>1</w:t>
            </w:r>
          </w:p>
        </w:tc>
        <w:tc>
          <w:tcPr>
            <w:tcW w:w="2928" w:type="dxa"/>
            <w:vAlign w:val="center"/>
            <w:hideMark/>
          </w:tcPr>
          <w:p w14:paraId="519B407E" w14:textId="77777777" w:rsidR="00167229" w:rsidRPr="008E63BB" w:rsidRDefault="00167229" w:rsidP="00EE602B">
            <w:pPr>
              <w:rPr>
                <w:rFonts w:eastAsia="Times New Roman"/>
                <w:szCs w:val="24"/>
                <w:lang w:eastAsia="zh-TW"/>
              </w:rPr>
            </w:pPr>
            <w:r w:rsidRPr="008E63BB">
              <w:rPr>
                <w:rFonts w:eastAsia="Times New Roman"/>
                <w:szCs w:val="24"/>
                <w:lang w:eastAsia="zh-TW"/>
              </w:rPr>
              <w:t>Sinh hoạt</w:t>
            </w:r>
          </w:p>
        </w:tc>
        <w:tc>
          <w:tcPr>
            <w:tcW w:w="1906" w:type="dxa"/>
            <w:vAlign w:val="center"/>
            <w:hideMark/>
          </w:tcPr>
          <w:p w14:paraId="519B407F"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1,3</w:t>
            </w:r>
          </w:p>
          <w:p w14:paraId="519B4080"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kg/người.ngđ</w:t>
            </w:r>
          </w:p>
        </w:tc>
        <w:tc>
          <w:tcPr>
            <w:tcW w:w="1904" w:type="dxa"/>
            <w:vAlign w:val="center"/>
            <w:hideMark/>
          </w:tcPr>
          <w:p w14:paraId="519B4081"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520.000 người</w:t>
            </w:r>
          </w:p>
        </w:tc>
        <w:tc>
          <w:tcPr>
            <w:tcW w:w="1905" w:type="dxa"/>
            <w:vAlign w:val="center"/>
            <w:hideMark/>
          </w:tcPr>
          <w:p w14:paraId="519B4082"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676 tấn/ ngày</w:t>
            </w:r>
          </w:p>
        </w:tc>
      </w:tr>
      <w:tr w:rsidR="00167229" w:rsidRPr="008E63BB" w14:paraId="519B4089" w14:textId="77777777" w:rsidTr="00EE602B">
        <w:trPr>
          <w:trHeight w:val="386"/>
        </w:trPr>
        <w:tc>
          <w:tcPr>
            <w:tcW w:w="698" w:type="dxa"/>
            <w:vAlign w:val="center"/>
            <w:hideMark/>
          </w:tcPr>
          <w:p w14:paraId="519B4084" w14:textId="77777777" w:rsidR="00167229" w:rsidRPr="008E63BB" w:rsidRDefault="00167229" w:rsidP="00EE602B">
            <w:pPr>
              <w:ind w:firstLine="720"/>
              <w:jc w:val="center"/>
              <w:rPr>
                <w:rFonts w:eastAsia="Times New Roman"/>
                <w:szCs w:val="24"/>
                <w:lang w:eastAsia="zh-TW"/>
              </w:rPr>
            </w:pPr>
            <w:r w:rsidRPr="008E63BB">
              <w:rPr>
                <w:rFonts w:eastAsia="Times New Roman"/>
                <w:szCs w:val="24"/>
                <w:lang w:eastAsia="zh-TW"/>
              </w:rPr>
              <w:t>2</w:t>
            </w:r>
          </w:p>
        </w:tc>
        <w:tc>
          <w:tcPr>
            <w:tcW w:w="2928" w:type="dxa"/>
            <w:vAlign w:val="center"/>
            <w:hideMark/>
          </w:tcPr>
          <w:p w14:paraId="519B4085" w14:textId="77777777" w:rsidR="00167229" w:rsidRPr="008E63BB" w:rsidRDefault="00167229" w:rsidP="00EE602B">
            <w:pPr>
              <w:rPr>
                <w:rFonts w:eastAsia="Times New Roman"/>
                <w:szCs w:val="24"/>
                <w:lang w:eastAsia="zh-TW"/>
              </w:rPr>
            </w:pPr>
            <w:r w:rsidRPr="008E63BB">
              <w:rPr>
                <w:rFonts w:eastAsia="Times New Roman"/>
                <w:szCs w:val="24"/>
                <w:lang w:eastAsia="zh-TW"/>
              </w:rPr>
              <w:t>Công nghiệp</w:t>
            </w:r>
          </w:p>
        </w:tc>
        <w:tc>
          <w:tcPr>
            <w:tcW w:w="1906" w:type="dxa"/>
            <w:vAlign w:val="center"/>
            <w:hideMark/>
          </w:tcPr>
          <w:p w14:paraId="519B4086"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0,3 tấn/ha.ngđ</w:t>
            </w:r>
          </w:p>
        </w:tc>
        <w:tc>
          <w:tcPr>
            <w:tcW w:w="1904" w:type="dxa"/>
            <w:vAlign w:val="center"/>
            <w:hideMark/>
          </w:tcPr>
          <w:p w14:paraId="519B4087"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901 ha</w:t>
            </w:r>
          </w:p>
        </w:tc>
        <w:tc>
          <w:tcPr>
            <w:tcW w:w="1905" w:type="dxa"/>
            <w:vAlign w:val="center"/>
            <w:hideMark/>
          </w:tcPr>
          <w:p w14:paraId="519B4088"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189 tấn/ ngày</w:t>
            </w:r>
          </w:p>
        </w:tc>
      </w:tr>
      <w:tr w:rsidR="00167229" w:rsidRPr="008E63BB" w14:paraId="519B408F" w14:textId="77777777" w:rsidTr="00EE602B">
        <w:trPr>
          <w:trHeight w:val="13"/>
        </w:trPr>
        <w:tc>
          <w:tcPr>
            <w:tcW w:w="698" w:type="dxa"/>
            <w:vAlign w:val="center"/>
            <w:hideMark/>
          </w:tcPr>
          <w:p w14:paraId="519B408A" w14:textId="77777777" w:rsidR="00167229" w:rsidRPr="008E63BB" w:rsidRDefault="00167229" w:rsidP="00EE602B">
            <w:pPr>
              <w:rPr>
                <w:rFonts w:eastAsia="Times New Roman"/>
                <w:b/>
                <w:bCs/>
                <w:szCs w:val="24"/>
                <w:lang w:eastAsia="zh-TW"/>
              </w:rPr>
            </w:pPr>
          </w:p>
        </w:tc>
        <w:tc>
          <w:tcPr>
            <w:tcW w:w="2928" w:type="dxa"/>
            <w:vAlign w:val="center"/>
            <w:hideMark/>
          </w:tcPr>
          <w:p w14:paraId="519B408B" w14:textId="77777777" w:rsidR="00167229" w:rsidRPr="008E63BB" w:rsidRDefault="00167229" w:rsidP="00EE602B">
            <w:pPr>
              <w:rPr>
                <w:rFonts w:eastAsia="Times New Roman"/>
                <w:b/>
                <w:bCs/>
                <w:szCs w:val="24"/>
                <w:lang w:eastAsia="zh-TW"/>
              </w:rPr>
            </w:pPr>
            <w:r w:rsidRPr="008E63BB">
              <w:rPr>
                <w:rFonts w:eastAsia="Times New Roman"/>
                <w:b/>
                <w:bCs/>
                <w:szCs w:val="24"/>
                <w:lang w:eastAsia="zh-TW"/>
              </w:rPr>
              <w:t>III. Nghĩa trang tập trung</w:t>
            </w:r>
          </w:p>
        </w:tc>
        <w:tc>
          <w:tcPr>
            <w:tcW w:w="1906" w:type="dxa"/>
            <w:vAlign w:val="center"/>
            <w:hideMark/>
          </w:tcPr>
          <w:p w14:paraId="519B408C"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 </w:t>
            </w:r>
          </w:p>
        </w:tc>
        <w:tc>
          <w:tcPr>
            <w:tcW w:w="1904" w:type="dxa"/>
            <w:vAlign w:val="center"/>
            <w:hideMark/>
          </w:tcPr>
          <w:p w14:paraId="519B408D" w14:textId="77777777" w:rsidR="00167229" w:rsidRPr="008E63BB" w:rsidRDefault="00167229" w:rsidP="00EE602B">
            <w:pPr>
              <w:jc w:val="center"/>
              <w:rPr>
                <w:rFonts w:eastAsia="Times New Roman"/>
                <w:szCs w:val="24"/>
                <w:lang w:eastAsia="zh-TW"/>
              </w:rPr>
            </w:pPr>
          </w:p>
        </w:tc>
        <w:tc>
          <w:tcPr>
            <w:tcW w:w="1905" w:type="dxa"/>
            <w:vAlign w:val="center"/>
            <w:hideMark/>
          </w:tcPr>
          <w:p w14:paraId="519B408E" w14:textId="77777777" w:rsidR="00167229" w:rsidRPr="008E63BB" w:rsidRDefault="00167229" w:rsidP="00EE602B">
            <w:pPr>
              <w:jc w:val="center"/>
              <w:rPr>
                <w:rFonts w:eastAsia="Times New Roman"/>
                <w:b/>
                <w:bCs/>
                <w:szCs w:val="24"/>
                <w:lang w:eastAsia="zh-TW"/>
              </w:rPr>
            </w:pPr>
            <w:r w:rsidRPr="008E63BB">
              <w:rPr>
                <w:rFonts w:eastAsia="Times New Roman"/>
                <w:b/>
                <w:bCs/>
                <w:szCs w:val="24"/>
                <w:lang w:eastAsia="zh-TW"/>
              </w:rPr>
              <w:t>46 ha</w:t>
            </w:r>
          </w:p>
        </w:tc>
      </w:tr>
      <w:tr w:rsidR="00167229" w:rsidRPr="008E63BB" w14:paraId="519B4095" w14:textId="77777777" w:rsidTr="00EE602B">
        <w:trPr>
          <w:trHeight w:val="386"/>
        </w:trPr>
        <w:tc>
          <w:tcPr>
            <w:tcW w:w="698" w:type="dxa"/>
            <w:vAlign w:val="center"/>
            <w:hideMark/>
          </w:tcPr>
          <w:p w14:paraId="519B4090" w14:textId="77777777" w:rsidR="00167229" w:rsidRPr="008E63BB" w:rsidRDefault="00167229" w:rsidP="00EE602B">
            <w:pPr>
              <w:ind w:firstLine="720"/>
              <w:rPr>
                <w:rFonts w:eastAsia="Times New Roman"/>
                <w:szCs w:val="24"/>
                <w:lang w:eastAsia="zh-TW"/>
              </w:rPr>
            </w:pPr>
            <w:r w:rsidRPr="008E63BB">
              <w:rPr>
                <w:rFonts w:eastAsia="Times New Roman"/>
                <w:szCs w:val="24"/>
                <w:lang w:eastAsia="zh-TW"/>
              </w:rPr>
              <w:t>1</w:t>
            </w:r>
          </w:p>
        </w:tc>
        <w:tc>
          <w:tcPr>
            <w:tcW w:w="2928" w:type="dxa"/>
            <w:vAlign w:val="center"/>
            <w:hideMark/>
          </w:tcPr>
          <w:p w14:paraId="519B4091" w14:textId="77777777" w:rsidR="00167229" w:rsidRPr="008E63BB" w:rsidRDefault="00167229" w:rsidP="00EE602B">
            <w:pPr>
              <w:rPr>
                <w:rFonts w:eastAsia="Times New Roman"/>
                <w:szCs w:val="24"/>
                <w:lang w:eastAsia="zh-TW"/>
              </w:rPr>
            </w:pPr>
            <w:r w:rsidRPr="008E63BB">
              <w:rPr>
                <w:rFonts w:eastAsia="Times New Roman"/>
                <w:szCs w:val="24"/>
                <w:lang w:eastAsia="zh-TW"/>
              </w:rPr>
              <w:t>Nghĩa trang tập trung mới</w:t>
            </w:r>
          </w:p>
        </w:tc>
        <w:tc>
          <w:tcPr>
            <w:tcW w:w="1906" w:type="dxa"/>
            <w:vAlign w:val="center"/>
            <w:hideMark/>
          </w:tcPr>
          <w:p w14:paraId="519B4092"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0,06ha/1000 người</w:t>
            </w:r>
          </w:p>
        </w:tc>
        <w:tc>
          <w:tcPr>
            <w:tcW w:w="1904" w:type="dxa"/>
            <w:vAlign w:val="center"/>
            <w:hideMark/>
          </w:tcPr>
          <w:p w14:paraId="519B4093"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520.000 người</w:t>
            </w:r>
          </w:p>
        </w:tc>
        <w:tc>
          <w:tcPr>
            <w:tcW w:w="1905" w:type="dxa"/>
            <w:vAlign w:val="center"/>
            <w:hideMark/>
          </w:tcPr>
          <w:p w14:paraId="519B4094"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31 ha</w:t>
            </w:r>
          </w:p>
        </w:tc>
      </w:tr>
      <w:tr w:rsidR="00167229" w:rsidRPr="008E63BB" w14:paraId="519B409B" w14:textId="77777777" w:rsidTr="00EE602B">
        <w:trPr>
          <w:trHeight w:val="333"/>
        </w:trPr>
        <w:tc>
          <w:tcPr>
            <w:tcW w:w="698" w:type="dxa"/>
            <w:vMerge w:val="restart"/>
            <w:vAlign w:val="center"/>
            <w:hideMark/>
          </w:tcPr>
          <w:p w14:paraId="519B4096" w14:textId="77777777" w:rsidR="00167229" w:rsidRPr="008E63BB" w:rsidRDefault="00167229" w:rsidP="00EE602B">
            <w:pPr>
              <w:ind w:firstLine="720"/>
              <w:rPr>
                <w:rFonts w:eastAsia="Times New Roman"/>
                <w:szCs w:val="24"/>
                <w:lang w:eastAsia="zh-TW"/>
              </w:rPr>
            </w:pPr>
            <w:r w:rsidRPr="008E63BB">
              <w:rPr>
                <w:rFonts w:eastAsia="Times New Roman"/>
                <w:szCs w:val="24"/>
                <w:lang w:eastAsia="zh-TW"/>
              </w:rPr>
              <w:t>2</w:t>
            </w:r>
          </w:p>
        </w:tc>
        <w:tc>
          <w:tcPr>
            <w:tcW w:w="2928" w:type="dxa"/>
            <w:vMerge w:val="restart"/>
            <w:vAlign w:val="center"/>
            <w:hideMark/>
          </w:tcPr>
          <w:p w14:paraId="519B4097" w14:textId="77777777" w:rsidR="00167229" w:rsidRPr="008E63BB" w:rsidRDefault="00167229" w:rsidP="00EE602B">
            <w:pPr>
              <w:rPr>
                <w:rFonts w:eastAsia="Times New Roman"/>
                <w:szCs w:val="24"/>
                <w:lang w:eastAsia="zh-TW"/>
              </w:rPr>
            </w:pPr>
            <w:r w:rsidRPr="008E63BB">
              <w:rPr>
                <w:rFonts w:eastAsia="Times New Roman"/>
                <w:sz w:val="24"/>
                <w:szCs w:val="24"/>
                <w:lang w:eastAsia="zh-TW"/>
              </w:rPr>
              <w:t>Nghĩa trang cho mục đích giải phóng mặt bằng lấy đất xây dựng.</w:t>
            </w:r>
          </w:p>
        </w:tc>
        <w:tc>
          <w:tcPr>
            <w:tcW w:w="1906" w:type="dxa"/>
            <w:vMerge w:val="restart"/>
            <w:vAlign w:val="center"/>
            <w:hideMark/>
          </w:tcPr>
          <w:p w14:paraId="519B4098" w14:textId="77777777" w:rsidR="00167229" w:rsidRPr="008E63BB" w:rsidRDefault="00167229" w:rsidP="00EE602B">
            <w:pPr>
              <w:jc w:val="center"/>
              <w:rPr>
                <w:szCs w:val="24"/>
              </w:rPr>
            </w:pPr>
            <w:r w:rsidRPr="008E63BB">
              <w:rPr>
                <w:szCs w:val="24"/>
              </w:rPr>
              <w:t>Tạm tính</w:t>
            </w:r>
          </w:p>
        </w:tc>
        <w:tc>
          <w:tcPr>
            <w:tcW w:w="1904" w:type="dxa"/>
            <w:vMerge w:val="restart"/>
            <w:vAlign w:val="center"/>
            <w:hideMark/>
          </w:tcPr>
          <w:p w14:paraId="519B4099" w14:textId="77777777" w:rsidR="00167229" w:rsidRPr="008E63BB" w:rsidRDefault="00167229" w:rsidP="00EE602B">
            <w:pPr>
              <w:rPr>
                <w:szCs w:val="24"/>
              </w:rPr>
            </w:pPr>
          </w:p>
        </w:tc>
        <w:tc>
          <w:tcPr>
            <w:tcW w:w="1905" w:type="dxa"/>
            <w:vMerge w:val="restart"/>
            <w:vAlign w:val="center"/>
            <w:hideMark/>
          </w:tcPr>
          <w:p w14:paraId="519B409A" w14:textId="77777777" w:rsidR="00167229" w:rsidRPr="008E63BB" w:rsidRDefault="00167229" w:rsidP="00EE602B">
            <w:pPr>
              <w:jc w:val="center"/>
              <w:rPr>
                <w:rFonts w:eastAsia="Times New Roman"/>
                <w:szCs w:val="24"/>
                <w:lang w:eastAsia="zh-TW"/>
              </w:rPr>
            </w:pPr>
            <w:r w:rsidRPr="008E63BB">
              <w:rPr>
                <w:rFonts w:eastAsia="Times New Roman"/>
                <w:szCs w:val="24"/>
                <w:lang w:eastAsia="zh-TW"/>
              </w:rPr>
              <w:t>15 ha</w:t>
            </w:r>
          </w:p>
        </w:tc>
      </w:tr>
      <w:tr w:rsidR="00167229" w:rsidRPr="008E63BB" w14:paraId="519B40A1" w14:textId="77777777" w:rsidTr="00EE602B">
        <w:trPr>
          <w:trHeight w:val="333"/>
        </w:trPr>
        <w:tc>
          <w:tcPr>
            <w:tcW w:w="698" w:type="dxa"/>
            <w:vMerge/>
            <w:vAlign w:val="center"/>
            <w:hideMark/>
          </w:tcPr>
          <w:p w14:paraId="519B409C" w14:textId="77777777" w:rsidR="00167229" w:rsidRPr="008E63BB" w:rsidRDefault="00167229" w:rsidP="00EE602B">
            <w:pPr>
              <w:rPr>
                <w:rFonts w:eastAsia="Times New Roman"/>
                <w:szCs w:val="24"/>
                <w:lang w:eastAsia="zh-TW"/>
              </w:rPr>
            </w:pPr>
          </w:p>
        </w:tc>
        <w:tc>
          <w:tcPr>
            <w:tcW w:w="2928" w:type="dxa"/>
            <w:vMerge/>
            <w:vAlign w:val="center"/>
            <w:hideMark/>
          </w:tcPr>
          <w:p w14:paraId="519B409D" w14:textId="77777777" w:rsidR="00167229" w:rsidRPr="008E63BB" w:rsidRDefault="00167229" w:rsidP="00EE602B">
            <w:pPr>
              <w:rPr>
                <w:rFonts w:eastAsia="Times New Roman"/>
                <w:szCs w:val="24"/>
                <w:lang w:eastAsia="zh-TW"/>
              </w:rPr>
            </w:pPr>
          </w:p>
        </w:tc>
        <w:tc>
          <w:tcPr>
            <w:tcW w:w="1906" w:type="dxa"/>
            <w:vMerge/>
            <w:vAlign w:val="center"/>
            <w:hideMark/>
          </w:tcPr>
          <w:p w14:paraId="519B409E" w14:textId="77777777" w:rsidR="00167229" w:rsidRPr="008E63BB" w:rsidRDefault="00167229" w:rsidP="00EE602B">
            <w:pPr>
              <w:rPr>
                <w:szCs w:val="24"/>
              </w:rPr>
            </w:pPr>
          </w:p>
        </w:tc>
        <w:tc>
          <w:tcPr>
            <w:tcW w:w="1904" w:type="dxa"/>
            <w:vMerge/>
            <w:vAlign w:val="center"/>
            <w:hideMark/>
          </w:tcPr>
          <w:p w14:paraId="519B409F" w14:textId="77777777" w:rsidR="00167229" w:rsidRPr="008E63BB" w:rsidRDefault="00167229" w:rsidP="00EE602B">
            <w:pPr>
              <w:rPr>
                <w:szCs w:val="24"/>
              </w:rPr>
            </w:pPr>
          </w:p>
        </w:tc>
        <w:tc>
          <w:tcPr>
            <w:tcW w:w="1905" w:type="dxa"/>
            <w:vMerge/>
            <w:vAlign w:val="center"/>
            <w:hideMark/>
          </w:tcPr>
          <w:p w14:paraId="519B40A0" w14:textId="77777777" w:rsidR="00167229" w:rsidRPr="008E63BB" w:rsidRDefault="00167229" w:rsidP="00EE602B">
            <w:pPr>
              <w:rPr>
                <w:rFonts w:eastAsia="Times New Roman"/>
                <w:szCs w:val="24"/>
                <w:lang w:eastAsia="zh-TW"/>
              </w:rPr>
            </w:pPr>
          </w:p>
        </w:tc>
      </w:tr>
    </w:tbl>
    <w:p w14:paraId="519B40A2" w14:textId="77777777" w:rsidR="00167229" w:rsidRPr="008E63BB" w:rsidRDefault="00167229" w:rsidP="00167229">
      <w:pPr>
        <w:rPr>
          <w:i/>
          <w:szCs w:val="26"/>
        </w:rPr>
      </w:pPr>
    </w:p>
    <w:p w14:paraId="519B40A3" w14:textId="77777777" w:rsidR="00A31DCD" w:rsidRPr="008E63BB" w:rsidRDefault="00A31DCD" w:rsidP="0065184D">
      <w:pPr>
        <w:rPr>
          <w:szCs w:val="26"/>
        </w:rPr>
      </w:pPr>
      <w:r w:rsidRPr="008E63BB">
        <w:rPr>
          <w:i/>
          <w:szCs w:val="26"/>
        </w:rPr>
        <w:t>c/ Quy hoạch mạng lưới thoát nước thải</w:t>
      </w:r>
    </w:p>
    <w:p w14:paraId="519B40A4" w14:textId="77777777" w:rsidR="00A31DCD" w:rsidRPr="008E63BB" w:rsidRDefault="00A31DCD" w:rsidP="0065184D">
      <w:pPr>
        <w:rPr>
          <w:szCs w:val="26"/>
        </w:rPr>
      </w:pPr>
      <w:r w:rsidRPr="008E63BB">
        <w:rPr>
          <w:szCs w:val="26"/>
        </w:rPr>
        <w:tab/>
        <w:t>Xây dựng hệ thống thoát nước thải tại các khu vực đô thị, dân cư hiện có vàthuộc phạm vi quy hoạch đợt đầu.</w:t>
      </w:r>
    </w:p>
    <w:p w14:paraId="519B40A5" w14:textId="77777777" w:rsidR="00A31DCD" w:rsidRPr="008E63BB" w:rsidRDefault="00A31DCD" w:rsidP="0065184D">
      <w:pPr>
        <w:rPr>
          <w:szCs w:val="26"/>
        </w:rPr>
      </w:pPr>
      <w:r w:rsidRPr="008E63BB">
        <w:rPr>
          <w:szCs w:val="26"/>
        </w:rPr>
        <w:tab/>
        <w:t>Xây dựng trạm xử lý nước thải số 1: công suất 30.000 m</w:t>
      </w:r>
      <w:r w:rsidRPr="008E63BB">
        <w:rPr>
          <w:szCs w:val="26"/>
          <w:vertAlign w:val="superscript"/>
        </w:rPr>
        <w:t>3</w:t>
      </w:r>
      <w:r w:rsidRPr="008E63BB">
        <w:rPr>
          <w:szCs w:val="26"/>
        </w:rPr>
        <w:t>/ngày.</w:t>
      </w:r>
    </w:p>
    <w:p w14:paraId="519B40A6" w14:textId="77777777" w:rsidR="00A31DCD" w:rsidRPr="008E63BB" w:rsidRDefault="00A31DCD" w:rsidP="0065184D">
      <w:pPr>
        <w:rPr>
          <w:szCs w:val="26"/>
        </w:rPr>
      </w:pPr>
      <w:r w:rsidRPr="008E63BB">
        <w:rPr>
          <w:szCs w:val="26"/>
        </w:rPr>
        <w:tab/>
        <w:t>Xây dựng trạm xử lý nước thải số 2: công suấ</w:t>
      </w:r>
      <w:r w:rsidR="00613AA0" w:rsidRPr="008E63BB">
        <w:rPr>
          <w:szCs w:val="26"/>
        </w:rPr>
        <w:t>t 11</w:t>
      </w:r>
      <w:r w:rsidRPr="008E63BB">
        <w:rPr>
          <w:szCs w:val="26"/>
        </w:rPr>
        <w:t>.000 m</w:t>
      </w:r>
      <w:r w:rsidRPr="008E63BB">
        <w:rPr>
          <w:szCs w:val="26"/>
          <w:vertAlign w:val="superscript"/>
        </w:rPr>
        <w:t>3</w:t>
      </w:r>
      <w:r w:rsidRPr="008E63BB">
        <w:rPr>
          <w:szCs w:val="26"/>
        </w:rPr>
        <w:t>/ngày.</w:t>
      </w:r>
    </w:p>
    <w:p w14:paraId="519B40A7" w14:textId="77777777" w:rsidR="00A31DCD" w:rsidRPr="008E63BB" w:rsidRDefault="00A31DCD" w:rsidP="0065184D">
      <w:pPr>
        <w:rPr>
          <w:szCs w:val="26"/>
        </w:rPr>
      </w:pPr>
      <w:r w:rsidRPr="008E63BB">
        <w:rPr>
          <w:szCs w:val="26"/>
        </w:rPr>
        <w:tab/>
        <w:t>Xây dựng trạm xử lý nước thải số 3: công suất 5.000 m</w:t>
      </w:r>
      <w:r w:rsidRPr="008E63BB">
        <w:rPr>
          <w:szCs w:val="26"/>
          <w:vertAlign w:val="superscript"/>
        </w:rPr>
        <w:t>3</w:t>
      </w:r>
      <w:r w:rsidRPr="008E63BB">
        <w:rPr>
          <w:szCs w:val="26"/>
        </w:rPr>
        <w:t>/ngày.</w:t>
      </w:r>
    </w:p>
    <w:p w14:paraId="519B40A8" w14:textId="77777777" w:rsidR="00A31DCD" w:rsidRPr="008E63BB" w:rsidRDefault="00A31DCD" w:rsidP="0065184D">
      <w:pPr>
        <w:rPr>
          <w:i/>
          <w:szCs w:val="26"/>
        </w:rPr>
      </w:pPr>
      <w:r w:rsidRPr="008E63BB">
        <w:rPr>
          <w:i/>
          <w:szCs w:val="26"/>
        </w:rPr>
        <w:t xml:space="preserve">d/ Quy hoạch thu gom xử lý chất thải rắn </w:t>
      </w:r>
    </w:p>
    <w:p w14:paraId="519B40A9" w14:textId="77777777" w:rsidR="00A31DCD" w:rsidRPr="008E63BB" w:rsidRDefault="00A31DCD" w:rsidP="0065184D">
      <w:pPr>
        <w:rPr>
          <w:szCs w:val="26"/>
        </w:rPr>
      </w:pPr>
      <w:r w:rsidRPr="008E63BB">
        <w:rPr>
          <w:szCs w:val="26"/>
        </w:rPr>
        <w:tab/>
        <w:t xml:space="preserve">CTR đô thị phải được phân loại tại nguồn thải thành các chất hữu cơ và vô cơ trước khi thu gom, vận chuyển đến khu xử lý CTR của thành phố.  </w:t>
      </w:r>
    </w:p>
    <w:p w14:paraId="519B40AA" w14:textId="77777777" w:rsidR="00A31DCD" w:rsidRPr="008E63BB" w:rsidRDefault="00A31DCD" w:rsidP="0065184D">
      <w:pPr>
        <w:rPr>
          <w:szCs w:val="26"/>
        </w:rPr>
      </w:pPr>
      <w:r w:rsidRPr="008E63BB">
        <w:rPr>
          <w:szCs w:val="26"/>
        </w:rPr>
        <w:tab/>
        <w:t xml:space="preserve">Nâng cấp, mở rộng khu xử lý chất thải rắn Lộc Hòa (đã bao gồm phần diện tích khu Mỹ Thành), tổng công suất 800 tấn/ngày, quy mô diện tích sau khi mở rộng đạt </w:t>
      </w:r>
      <w:r w:rsidRPr="008E63BB">
        <w:rPr>
          <w:szCs w:val="26"/>
        </w:rPr>
        <w:lastRenderedPageBreak/>
        <w:t>35,5ha với công nghệ xử lý hiện đại như chế biến phân compost (đã có), đốt có thu hồi năng lượng (tỷ lệ CTR chôn lấp hợp vệ sinh sau xử lý đạt thấp hơn 15% khối lượng thu gom).</w:t>
      </w:r>
    </w:p>
    <w:p w14:paraId="519B40AB" w14:textId="77777777" w:rsidR="00A31DCD" w:rsidRPr="008E63BB" w:rsidRDefault="00A31DCD" w:rsidP="0065184D">
      <w:pPr>
        <w:rPr>
          <w:i/>
          <w:szCs w:val="26"/>
        </w:rPr>
      </w:pPr>
      <w:r w:rsidRPr="008E63BB">
        <w:rPr>
          <w:i/>
          <w:szCs w:val="26"/>
        </w:rPr>
        <w:t xml:space="preserve">e/ Quy hoạch nghĩa trang tập trung </w:t>
      </w:r>
      <w:r w:rsidR="00C62F03" w:rsidRPr="008E63BB">
        <w:rPr>
          <w:i/>
          <w:szCs w:val="26"/>
        </w:rPr>
        <w:t>và nhà tang lễ</w:t>
      </w:r>
    </w:p>
    <w:p w14:paraId="519B40AC" w14:textId="77777777" w:rsidR="00A31DCD" w:rsidRPr="008E63BB" w:rsidRDefault="00A31DCD" w:rsidP="0065184D">
      <w:pPr>
        <w:rPr>
          <w:spacing w:val="-6"/>
          <w:szCs w:val="26"/>
        </w:rPr>
      </w:pPr>
      <w:r w:rsidRPr="008E63BB">
        <w:rPr>
          <w:spacing w:val="-6"/>
          <w:szCs w:val="26"/>
        </w:rPr>
        <w:tab/>
        <w:t xml:space="preserve">Dự kiến xây dựng mới 2 nhà tang lễ cho thành phố (một ở phía Bắc và một  phía Nam sông Đào), có diện tích khoảng 10.000m2, </w:t>
      </w:r>
      <w:r w:rsidR="00C62F03" w:rsidRPr="008E63BB">
        <w:rPr>
          <w:spacing w:val="-6"/>
          <w:szCs w:val="26"/>
        </w:rPr>
        <w:t>đảm bảo tiêu chuẩn theo quy định hiện hành</w:t>
      </w:r>
      <w:r w:rsidRPr="008E63BB">
        <w:rPr>
          <w:spacing w:val="-6"/>
          <w:szCs w:val="26"/>
        </w:rPr>
        <w:t>.</w:t>
      </w:r>
    </w:p>
    <w:p w14:paraId="519B40AD" w14:textId="77777777" w:rsidR="00746DDC" w:rsidRPr="008E63BB" w:rsidRDefault="00A31DCD" w:rsidP="00746DDC">
      <w:pPr>
        <w:rPr>
          <w:szCs w:val="26"/>
        </w:rPr>
      </w:pPr>
      <w:r w:rsidRPr="008E63BB">
        <w:rPr>
          <w:szCs w:val="26"/>
        </w:rPr>
        <w:tab/>
      </w:r>
      <w:r w:rsidR="00746DDC" w:rsidRPr="008E63BB">
        <w:rPr>
          <w:szCs w:val="26"/>
        </w:rPr>
        <w:t xml:space="preserve">Đối với các nghĩa trang hiện có trong phạm vi nội thành: Từng bước, có lộ trình dừng chôn cất mới (hung táng) tại các nghĩa trang hiện có, chỉ tiếp nhận mộ cát táng, hỏa táng và tiến tới đóng cửa hoàn toàn các nghĩa trang trong nội thành. Tại các nghĩa trang này sẽ cải tạo, trồng thêm cây xanh. </w:t>
      </w:r>
    </w:p>
    <w:p w14:paraId="519B40AE" w14:textId="77777777" w:rsidR="00746DDC" w:rsidRPr="008E63BB" w:rsidRDefault="00746DDC" w:rsidP="00746DDC">
      <w:pPr>
        <w:rPr>
          <w:szCs w:val="26"/>
        </w:rPr>
      </w:pPr>
      <w:r w:rsidRPr="008E63BB">
        <w:rPr>
          <w:szCs w:val="26"/>
        </w:rPr>
        <w:tab/>
        <w:t>Thành phố sẽ tiếp tục sử dụng nghĩa trang Thanh Bình.</w:t>
      </w:r>
    </w:p>
    <w:p w14:paraId="519B40AF" w14:textId="77777777" w:rsidR="00A31DCD" w:rsidRPr="008E63BB" w:rsidRDefault="00746DDC" w:rsidP="00746DDC">
      <w:pPr>
        <w:rPr>
          <w:szCs w:val="26"/>
        </w:rPr>
      </w:pPr>
      <w:r w:rsidRPr="008E63BB">
        <w:rPr>
          <w:szCs w:val="26"/>
        </w:rPr>
        <w:tab/>
        <w:t>Khuyến khích người dân sử dụng hình thức hỏa táng (theo quyết định số 2282/QĐ-TTg ngày 26/11/2013 của Thủ tướng Chính phủ phê duyệt đề án khuyến khích sử dụng hình thức hỏa táng)</w:t>
      </w:r>
      <w:r w:rsidR="00A31DCD" w:rsidRPr="008E63BB">
        <w:rPr>
          <w:szCs w:val="26"/>
        </w:rPr>
        <w:t>.</w:t>
      </w:r>
    </w:p>
    <w:p w14:paraId="519B40B0" w14:textId="77777777" w:rsidR="00A31DCD" w:rsidRPr="008E63BB" w:rsidRDefault="00A31DCD" w:rsidP="000C5873">
      <w:r w:rsidRPr="008E63BB">
        <w:tab/>
      </w:r>
      <w:bookmarkStart w:id="528" w:name="_Toc38984287"/>
      <w:r w:rsidRPr="008E63BB">
        <w:t>Tại khu vực nông thôn, tuân thủ quy hoạch nghĩa trang theo đồ án quy hoạch nông thôn mới đã được phê duyệt</w:t>
      </w:r>
      <w:bookmarkEnd w:id="528"/>
      <w:r w:rsidR="000C5873" w:rsidRPr="008E63BB">
        <w:t>.</w:t>
      </w:r>
    </w:p>
    <w:p w14:paraId="519B40B1" w14:textId="77777777" w:rsidR="00861A49" w:rsidRPr="008E63BB" w:rsidRDefault="00861A49" w:rsidP="0065184D">
      <w:pPr>
        <w:pStyle w:val="Heading3"/>
        <w:rPr>
          <w:lang w:val="vi-VN"/>
        </w:rPr>
      </w:pPr>
      <w:bookmarkStart w:id="529" w:name="_Toc47524738"/>
      <w:r w:rsidRPr="008E63BB">
        <w:rPr>
          <w:lang w:val="vi-VN"/>
        </w:rPr>
        <w:t>7.3.6. Thông tin liên lạc</w:t>
      </w:r>
      <w:bookmarkEnd w:id="527"/>
      <w:bookmarkEnd w:id="529"/>
    </w:p>
    <w:p w14:paraId="519B40B2" w14:textId="77777777" w:rsidR="003B5245" w:rsidRPr="008E63BB" w:rsidRDefault="003B5245" w:rsidP="0065184D">
      <w:r w:rsidRPr="008E63BB">
        <w:t>a. Dự báo nhu cầu mạng:</w:t>
      </w:r>
    </w:p>
    <w:p w14:paraId="519B40B3" w14:textId="77777777" w:rsidR="003B5245" w:rsidRPr="008E63BB" w:rsidRDefault="003B5245" w:rsidP="003D057A">
      <w:pPr>
        <w:ind w:firstLine="720"/>
        <w:rPr>
          <w:szCs w:val="26"/>
          <w:lang w:val="pt-BR"/>
        </w:rPr>
      </w:pPr>
      <w:r w:rsidRPr="008E63BB">
        <w:rPr>
          <w:szCs w:val="26"/>
          <w:lang w:val="pt-BR"/>
        </w:rPr>
        <w:t xml:space="preserve">- Như đã đánh giá hiện trạng ở trên, khu vực nghiên cứu quy hoạch hiện nay nằm trong hệ thống BC-VT của Thành phố Nam Định. Chính vì vậy khu vực thiết kế luôn được đảm bảo về dung lượng cũng như lưu lượng thuê bao khi có nhu cầu.  </w:t>
      </w:r>
    </w:p>
    <w:p w14:paraId="519B40B4" w14:textId="77777777" w:rsidR="003B5245" w:rsidRPr="008E63BB" w:rsidRDefault="003B5245" w:rsidP="0065184D">
      <w:pPr>
        <w:rPr>
          <w:szCs w:val="26"/>
          <w:lang w:val="pt-BR"/>
        </w:rPr>
      </w:pPr>
      <w:r w:rsidRPr="008E63BB">
        <w:rPr>
          <w:szCs w:val="26"/>
          <w:lang w:val="pt-BR"/>
        </w:rPr>
        <w:t>Nhu cầu toàn khu vực khoảng 1</w:t>
      </w:r>
      <w:r w:rsidR="00232473" w:rsidRPr="008E63BB">
        <w:rPr>
          <w:szCs w:val="26"/>
          <w:lang w:val="pt-BR"/>
        </w:rPr>
        <w:t>8</w:t>
      </w:r>
      <w:r w:rsidRPr="008E63BB">
        <w:rPr>
          <w:szCs w:val="26"/>
          <w:lang w:val="pt-BR"/>
        </w:rPr>
        <w:t>0</w:t>
      </w:r>
      <w:r w:rsidR="00232473" w:rsidRPr="008E63BB">
        <w:rPr>
          <w:szCs w:val="26"/>
          <w:lang w:val="pt-BR"/>
        </w:rPr>
        <w:t>.</w:t>
      </w:r>
      <w:r w:rsidRPr="008E63BB">
        <w:rPr>
          <w:szCs w:val="26"/>
          <w:lang w:val="pt-BR"/>
        </w:rPr>
        <w:t>000 thuê bao.</w:t>
      </w:r>
    </w:p>
    <w:p w14:paraId="519B40B5" w14:textId="77777777" w:rsidR="003B5245" w:rsidRPr="008E63BB" w:rsidRDefault="003B5245" w:rsidP="003D057A">
      <w:pPr>
        <w:rPr>
          <w:szCs w:val="26"/>
          <w:lang w:val="pt-BR"/>
        </w:rPr>
      </w:pPr>
      <w:r w:rsidRPr="008E63BB">
        <w:rPr>
          <w:szCs w:val="26"/>
          <w:lang w:val="pt-BR"/>
        </w:rPr>
        <w:t>b. Chuyển mạch</w:t>
      </w:r>
    </w:p>
    <w:p w14:paraId="519B40B6" w14:textId="77777777" w:rsidR="003B5245" w:rsidRPr="008E63BB" w:rsidRDefault="003B5245" w:rsidP="003D057A">
      <w:pPr>
        <w:ind w:firstLine="567"/>
        <w:rPr>
          <w:szCs w:val="26"/>
          <w:lang w:val="pt-BR"/>
        </w:rPr>
      </w:pPr>
      <w:r w:rsidRPr="008E63BB">
        <w:rPr>
          <w:szCs w:val="26"/>
          <w:lang w:val="pt-BR"/>
        </w:rPr>
        <w:t xml:space="preserve">- Nâng cấp trạm host mới cho toàn khu vực với dung lượng </w:t>
      </w:r>
      <w:r w:rsidR="00232473" w:rsidRPr="008E63BB">
        <w:rPr>
          <w:szCs w:val="26"/>
          <w:lang w:val="pt-BR"/>
        </w:rPr>
        <w:t>20</w:t>
      </w:r>
      <w:r w:rsidRPr="008E63BB">
        <w:rPr>
          <w:szCs w:val="26"/>
          <w:lang w:val="pt-BR"/>
        </w:rPr>
        <w:t xml:space="preserve">0.000lines.  </w:t>
      </w:r>
    </w:p>
    <w:p w14:paraId="519B40B7" w14:textId="77777777" w:rsidR="003B5245" w:rsidRPr="008E63BB" w:rsidRDefault="003B5245" w:rsidP="003D057A">
      <w:pPr>
        <w:ind w:firstLine="567"/>
        <w:rPr>
          <w:lang w:val="pt-BR"/>
        </w:rPr>
      </w:pPr>
      <w:r w:rsidRPr="008E63BB">
        <w:rPr>
          <w:lang w:val="pt-BR"/>
        </w:rPr>
        <w:t>Truyền dẫn</w:t>
      </w:r>
    </w:p>
    <w:p w14:paraId="519B40B8" w14:textId="77777777" w:rsidR="003B5245" w:rsidRPr="008E63BB" w:rsidRDefault="003B5245" w:rsidP="003D057A">
      <w:pPr>
        <w:ind w:firstLine="567"/>
        <w:rPr>
          <w:szCs w:val="26"/>
          <w:lang w:val="pt-BR"/>
        </w:rPr>
      </w:pPr>
      <w:r w:rsidRPr="008E63BB">
        <w:rPr>
          <w:szCs w:val="26"/>
          <w:lang w:val="pt-BR"/>
        </w:rPr>
        <w:t>-  Sử dụng các tuyến cáp quang từ trạm chuyển mạch mới.Tuyến cáp quang này sử dụng loại FLX-600A (Quang), hạ ngầm trên vỉa hè, độ sâu trong hào cáp, khoảng cách đến chân các công trình phải đảm bảo tiêu chuẩn kỹ thuật của nghành TC30-05-2002.</w:t>
      </w:r>
    </w:p>
    <w:p w14:paraId="519B40B9" w14:textId="77777777" w:rsidR="003B5245" w:rsidRPr="008E63BB" w:rsidRDefault="003B5245" w:rsidP="003D057A">
      <w:pPr>
        <w:ind w:firstLine="567"/>
        <w:rPr>
          <w:lang w:val="pt-BR"/>
        </w:rPr>
      </w:pPr>
      <w:r w:rsidRPr="008E63BB">
        <w:rPr>
          <w:lang w:val="pt-BR"/>
        </w:rPr>
        <w:t>c. Mạng ngoại vi :</w:t>
      </w:r>
    </w:p>
    <w:p w14:paraId="519B40BA" w14:textId="77777777" w:rsidR="003B5245" w:rsidRPr="008E63BB" w:rsidRDefault="003B5245" w:rsidP="003D057A">
      <w:pPr>
        <w:ind w:firstLine="567"/>
        <w:rPr>
          <w:spacing w:val="-2"/>
          <w:szCs w:val="26"/>
          <w:lang w:val="pt-BR"/>
        </w:rPr>
      </w:pPr>
      <w:r w:rsidRPr="008E63BB">
        <w:rPr>
          <w:spacing w:val="-2"/>
          <w:szCs w:val="26"/>
          <w:lang w:val="pt-BR"/>
        </w:rPr>
        <w:t>- Xây dựng hệ thống cống bể theo nguyên tắc tổ chức mạng ngoại vi và có khả năng cho các nhà cung cấp dịch vụ viễn thông khác sử dụng cống bể để phát triển dịch vụ.</w:t>
      </w:r>
    </w:p>
    <w:p w14:paraId="519B40BB" w14:textId="77777777" w:rsidR="003B5245" w:rsidRPr="008E63BB" w:rsidRDefault="003B5245" w:rsidP="003D057A">
      <w:pPr>
        <w:ind w:firstLine="567"/>
        <w:rPr>
          <w:szCs w:val="26"/>
          <w:lang w:val="pt-BR"/>
        </w:rPr>
      </w:pPr>
      <w:r w:rsidRPr="008E63BB">
        <w:rPr>
          <w:szCs w:val="26"/>
          <w:lang w:val="pt-BR"/>
        </w:rPr>
        <w:t>-  Hạ ngầm tất cả các loại cáp xuống vỉa hè, trên đường nội bộ có mặt cắt nhỏ, có thể trôn trực tiếp ống nhựa xuống mặt đường, để đảm bảo chất lượng thông tin và mỹ quan đô thị. Và đồng bộ với các cơ sở hạ tầng khác nhằm tiết kiệm  chi phí khi thi công.</w:t>
      </w:r>
    </w:p>
    <w:p w14:paraId="519B40BC" w14:textId="77777777" w:rsidR="003B5245" w:rsidRPr="008E63BB" w:rsidRDefault="003B5245" w:rsidP="003D057A">
      <w:pPr>
        <w:ind w:firstLine="567"/>
        <w:rPr>
          <w:szCs w:val="26"/>
          <w:lang w:val="pt-BR"/>
        </w:rPr>
      </w:pPr>
      <w:r w:rsidRPr="008E63BB">
        <w:rPr>
          <w:szCs w:val="26"/>
          <w:lang w:val="pt-BR"/>
        </w:rPr>
        <w:t xml:space="preserve">- Các cống bể cáp và nắp bể  đã được chuẩn hoá về kích thước cũng như kiểu dáng, theo quy chuẩn của nghành. </w:t>
      </w:r>
    </w:p>
    <w:p w14:paraId="519B40BD" w14:textId="77777777" w:rsidR="003B5245" w:rsidRPr="008E63BB" w:rsidRDefault="003B5245" w:rsidP="003D057A">
      <w:pPr>
        <w:ind w:firstLine="567"/>
        <w:rPr>
          <w:lang w:val="pt-BR"/>
        </w:rPr>
      </w:pPr>
      <w:r w:rsidRPr="008E63BB">
        <w:rPr>
          <w:lang w:val="pt-BR"/>
        </w:rPr>
        <w:t>d. Mạng di động:</w:t>
      </w:r>
    </w:p>
    <w:p w14:paraId="519B40BE" w14:textId="77777777" w:rsidR="003B5245" w:rsidRPr="008E63BB" w:rsidRDefault="003B5245" w:rsidP="003D057A">
      <w:pPr>
        <w:ind w:firstLine="567"/>
        <w:rPr>
          <w:szCs w:val="26"/>
          <w:lang w:val="pt-BR"/>
        </w:rPr>
      </w:pPr>
      <w:r w:rsidRPr="008E63BB">
        <w:rPr>
          <w:szCs w:val="26"/>
          <w:lang w:val="pt-BR"/>
        </w:rPr>
        <w:t>- Xây dựng mới trạm thu phát sóng của nhà cung cấp dịch vụ chính, phát triển trạm BTS theo công nghệ đa tần giúp các doanh nghiệp có thể sử dụng chung khai thác trên các băng tần khác nhau.</w:t>
      </w:r>
    </w:p>
    <w:p w14:paraId="519B40BF" w14:textId="77777777" w:rsidR="003B5245" w:rsidRPr="008E63BB" w:rsidRDefault="003B5245" w:rsidP="003D057A">
      <w:pPr>
        <w:ind w:firstLine="567"/>
        <w:rPr>
          <w:szCs w:val="26"/>
          <w:lang w:val="pt-BR"/>
        </w:rPr>
      </w:pPr>
      <w:r w:rsidRPr="008E63BB">
        <w:rPr>
          <w:szCs w:val="26"/>
          <w:lang w:val="pt-BR"/>
        </w:rPr>
        <w:t>- Cải tạo hoặc di dời các trạm BTS không đảm bảo về an toàn, vị trí ảnh hưởng đến mỹ quan đô thị. Ứng dụng các mô hình trạm thu phát nhỏ gọn có thể ngụy trang vào công trình cảnh quan đảm bảo mỹ quan đô thị.</w:t>
      </w:r>
    </w:p>
    <w:p w14:paraId="519B40C0" w14:textId="77777777" w:rsidR="003B5245" w:rsidRPr="008E63BB" w:rsidRDefault="003B5245" w:rsidP="003D057A">
      <w:pPr>
        <w:ind w:firstLine="567"/>
        <w:rPr>
          <w:lang w:val="pt-BR"/>
        </w:rPr>
      </w:pPr>
      <w:r w:rsidRPr="008E63BB">
        <w:rPr>
          <w:lang w:val="pt-BR"/>
        </w:rPr>
        <w:t>Mạng Internet</w:t>
      </w:r>
    </w:p>
    <w:p w14:paraId="519B40C1" w14:textId="77777777" w:rsidR="003B5245" w:rsidRPr="008E63BB" w:rsidRDefault="003B5245" w:rsidP="003D057A">
      <w:pPr>
        <w:ind w:firstLine="567"/>
        <w:rPr>
          <w:szCs w:val="26"/>
          <w:lang w:val="pt-BR"/>
        </w:rPr>
      </w:pPr>
      <w:r w:rsidRPr="008E63BB">
        <w:rPr>
          <w:szCs w:val="26"/>
          <w:lang w:val="pt-BR"/>
        </w:rPr>
        <w:t xml:space="preserve">- Mạng Internet khu vực này sử dụng băng thông rộng, sẽ được phát triển theo phương thức qua mạng nội hạt. Cụ thể là xây dựng các đường DSLAM từ Host Nam </w:t>
      </w:r>
      <w:r w:rsidRPr="008E63BB">
        <w:rPr>
          <w:szCs w:val="26"/>
          <w:lang w:val="pt-BR"/>
        </w:rPr>
        <w:lastRenderedPageBreak/>
        <w:t xml:space="preserve">Định đến các khu vực mới, đảm  bảo cho khoảng </w:t>
      </w:r>
      <w:r w:rsidR="00232473" w:rsidRPr="008E63BB">
        <w:rPr>
          <w:szCs w:val="26"/>
          <w:lang w:val="pt-BR"/>
        </w:rPr>
        <w:t>6</w:t>
      </w:r>
      <w:r w:rsidRPr="008E63BB">
        <w:rPr>
          <w:szCs w:val="26"/>
          <w:lang w:val="pt-BR"/>
        </w:rPr>
        <w:t xml:space="preserve">0.000 thuê bao được kết nối Internet băng thông rộng . Đặc biệt khu vực dịch vụ này cần khai thác các điểm truy cập internet công cộng, với mỗi khu dịch vụ có một điểm truy cập. </w:t>
      </w:r>
    </w:p>
    <w:p w14:paraId="519B40C2" w14:textId="77777777" w:rsidR="00C32228" w:rsidRPr="008E63BB" w:rsidRDefault="003B5245" w:rsidP="003D057A">
      <w:pPr>
        <w:ind w:firstLine="567"/>
        <w:rPr>
          <w:lang w:val="vi-VN"/>
        </w:rPr>
      </w:pPr>
      <w:r w:rsidRPr="008E63BB">
        <w:rPr>
          <w:szCs w:val="26"/>
          <w:lang w:val="pt-BR"/>
        </w:rPr>
        <w:t>- Lắp đặt các điểm phát sóng wifi công cộng tại các khu vực trung tâm hành chính và các phường nội thị</w:t>
      </w:r>
    </w:p>
    <w:p w14:paraId="519B40C3" w14:textId="77777777" w:rsidR="00C32228" w:rsidRPr="008E63BB" w:rsidRDefault="00C32228" w:rsidP="0065184D">
      <w:pPr>
        <w:pStyle w:val="Heading1"/>
        <w:rPr>
          <w:lang w:val="vi-VN"/>
        </w:rPr>
      </w:pPr>
      <w:bookmarkStart w:id="530" w:name="_Toc47524739"/>
      <w:r w:rsidRPr="008E63BB">
        <w:rPr>
          <w:lang w:val="vi-VN"/>
        </w:rPr>
        <w:t>VIII. PHẦN 8: KINH TẾ ĐÔ THỊ</w:t>
      </w:r>
      <w:bookmarkEnd w:id="530"/>
    </w:p>
    <w:p w14:paraId="519B40C4" w14:textId="77777777" w:rsidR="00C32228" w:rsidRPr="008E63BB" w:rsidRDefault="00C32228" w:rsidP="0065184D">
      <w:pPr>
        <w:pStyle w:val="Heading2"/>
        <w:spacing w:before="0" w:after="0"/>
        <w:rPr>
          <w:kern w:val="32"/>
          <w:lang w:val="vi-VN"/>
        </w:rPr>
      </w:pPr>
      <w:bookmarkStart w:id="531" w:name="_Toc47524740"/>
      <w:r w:rsidRPr="008E63BB">
        <w:rPr>
          <w:kern w:val="32"/>
          <w:lang w:val="vi-VN"/>
        </w:rPr>
        <w:t>8.1. Kiến nghị các dự án ưu tiên đầu tư</w:t>
      </w:r>
      <w:bookmarkEnd w:id="531"/>
    </w:p>
    <w:p w14:paraId="519B40C5" w14:textId="77777777" w:rsidR="00C32228" w:rsidRPr="008E63BB" w:rsidRDefault="000E42F0" w:rsidP="0000220F">
      <w:pPr>
        <w:pStyle w:val="Heading3"/>
        <w:rPr>
          <w:lang w:val="vi-VN"/>
        </w:rPr>
      </w:pPr>
      <w:bookmarkStart w:id="532" w:name="_Toc47524741"/>
      <w:r w:rsidRPr="008E63BB">
        <w:rPr>
          <w:lang w:val="vi-VN"/>
        </w:rPr>
        <w:t>8.1.1. Nguyê</w:t>
      </w:r>
      <w:r w:rsidR="0000220F" w:rsidRPr="008E63BB">
        <w:rPr>
          <w:lang w:val="vi-VN"/>
        </w:rPr>
        <w:t>n tắc xác định dự án ưu tiên đầu tư</w:t>
      </w:r>
      <w:bookmarkEnd w:id="532"/>
    </w:p>
    <w:p w14:paraId="519B40C6" w14:textId="77777777" w:rsidR="006F7E64" w:rsidRPr="008E63BB" w:rsidRDefault="006F7E64" w:rsidP="006F7E64">
      <w:pPr>
        <w:ind w:firstLine="567"/>
        <w:rPr>
          <w:lang w:val="sv-SE"/>
        </w:rPr>
      </w:pPr>
      <w:r w:rsidRPr="008E63BB">
        <w:rPr>
          <w:lang w:val="sv-SE"/>
        </w:rPr>
        <w:t>+ Các dự án phát triển hạ tầng kỹ thuật, nhất là các công trình hạ tầng kỹ thuật khung và công trình đầu mối của đô thị, các công trình đóng vai trò là động lực phát triển kinh tế xã hội của toàn đô thị, hoặc là động lực phát triển kinh tế xã hội.</w:t>
      </w:r>
    </w:p>
    <w:p w14:paraId="519B40C7" w14:textId="77777777" w:rsidR="006F7E64" w:rsidRPr="008E63BB" w:rsidRDefault="006F7E64" w:rsidP="006F7E64">
      <w:pPr>
        <w:ind w:firstLine="567"/>
        <w:rPr>
          <w:lang w:val="sv-SE"/>
        </w:rPr>
      </w:pPr>
      <w:r w:rsidRPr="008E63BB">
        <w:rPr>
          <w:lang w:val="sv-SE"/>
        </w:rPr>
        <w:t>+ Các dự án phục vụ hoàn thiện các tiêu chí đô thị loại I đô thị</w:t>
      </w:r>
      <w:r w:rsidR="00294106" w:rsidRPr="008E63BB">
        <w:rPr>
          <w:lang w:val="sv-SE"/>
        </w:rPr>
        <w:t xml:space="preserve">: </w:t>
      </w:r>
      <w:r w:rsidRPr="008E63BB">
        <w:rPr>
          <w:lang w:val="sv-SE"/>
        </w:rPr>
        <w:t>các dự án khắc phục các tiêu chí chưa đạt điểm và các tiêu chí chưa đạt điểm tối đa nhưng có khả thi đạt tối đa trong giai đoạn gần</w:t>
      </w:r>
    </w:p>
    <w:p w14:paraId="519B40C8" w14:textId="77777777" w:rsidR="0000220F" w:rsidRPr="008E63BB" w:rsidRDefault="006F7E64" w:rsidP="000E42F0">
      <w:pPr>
        <w:ind w:firstLine="567"/>
        <w:rPr>
          <w:lang w:val="sv-SE"/>
        </w:rPr>
      </w:pPr>
      <w:r w:rsidRPr="008E63BB">
        <w:rPr>
          <w:lang w:val="sv-SE"/>
        </w:rPr>
        <w:t>+ Các dự án chỉnh trang, nâng cấp công trình hạ tầng xã hội</w:t>
      </w:r>
      <w:r w:rsidR="00294106" w:rsidRPr="008E63BB">
        <w:rPr>
          <w:lang w:val="sv-SE"/>
        </w:rPr>
        <w:t>, đời sống dân sinh</w:t>
      </w:r>
      <w:r w:rsidRPr="008E63BB">
        <w:rPr>
          <w:lang w:val="sv-SE"/>
        </w:rPr>
        <w:t xml:space="preserve"> (công trình công cộng, công viên, cây xanh...) nhằm xây dựng kết cấu hạ tầng văn hóa, thể thao, y tế, giáo dục và đào tạ</w:t>
      </w:r>
      <w:r w:rsidR="000E42F0" w:rsidRPr="008E63BB">
        <w:rPr>
          <w:lang w:val="sv-SE"/>
        </w:rPr>
        <w:t>o, chỉnh trang kiến trúc cảnh quan đô thị, phát triển hạ tầng cơ sở, tạo điểm nhấn riêng cho thành phố.</w:t>
      </w:r>
    </w:p>
    <w:p w14:paraId="519B40C9" w14:textId="77777777" w:rsidR="0000220F" w:rsidRPr="008E63BB" w:rsidRDefault="0000220F" w:rsidP="0000220F">
      <w:pPr>
        <w:pStyle w:val="Heading3"/>
        <w:rPr>
          <w:lang w:val="vi-VN"/>
        </w:rPr>
      </w:pPr>
      <w:bookmarkStart w:id="533" w:name="_Toc47524742"/>
      <w:r w:rsidRPr="008E63BB">
        <w:rPr>
          <w:lang w:val="vi-VN"/>
        </w:rPr>
        <w:t>8.1.2. Danh mục dự án ưu tiên đầu tư</w:t>
      </w:r>
      <w:bookmarkEnd w:id="533"/>
    </w:p>
    <w:tbl>
      <w:tblPr>
        <w:tblStyle w:val="TableGrid"/>
        <w:tblW w:w="9606" w:type="dxa"/>
        <w:tblLook w:val="04A0" w:firstRow="1" w:lastRow="0" w:firstColumn="1" w:lastColumn="0" w:noHBand="0" w:noVBand="1"/>
      </w:tblPr>
      <w:tblGrid>
        <w:gridCol w:w="708"/>
        <w:gridCol w:w="3817"/>
        <w:gridCol w:w="1433"/>
        <w:gridCol w:w="1266"/>
        <w:gridCol w:w="2382"/>
      </w:tblGrid>
      <w:tr w:rsidR="008D5BFE" w:rsidRPr="008E63BB" w14:paraId="519B40D0" w14:textId="77777777" w:rsidTr="00742B97">
        <w:trPr>
          <w:trHeight w:val="899"/>
          <w:tblHeader/>
        </w:trPr>
        <w:tc>
          <w:tcPr>
            <w:tcW w:w="708" w:type="dxa"/>
            <w:vAlign w:val="center"/>
          </w:tcPr>
          <w:p w14:paraId="519B40CA" w14:textId="77777777" w:rsidR="00A02FF4" w:rsidRPr="008E63BB" w:rsidRDefault="00A02FF4" w:rsidP="003D057A">
            <w:pPr>
              <w:jc w:val="center"/>
              <w:rPr>
                <w:b/>
              </w:rPr>
            </w:pPr>
            <w:r w:rsidRPr="008E63BB">
              <w:rPr>
                <w:b/>
              </w:rPr>
              <w:t>STT</w:t>
            </w:r>
          </w:p>
        </w:tc>
        <w:tc>
          <w:tcPr>
            <w:tcW w:w="3817" w:type="dxa"/>
            <w:vAlign w:val="center"/>
          </w:tcPr>
          <w:p w14:paraId="519B40CB" w14:textId="77777777" w:rsidR="00A02FF4" w:rsidRPr="008E63BB" w:rsidRDefault="00A02FF4" w:rsidP="003D057A">
            <w:pPr>
              <w:jc w:val="center"/>
              <w:rPr>
                <w:b/>
              </w:rPr>
            </w:pPr>
            <w:r w:rsidRPr="008E63BB">
              <w:rPr>
                <w:b/>
              </w:rPr>
              <w:t>Hạng mục</w:t>
            </w:r>
          </w:p>
        </w:tc>
        <w:tc>
          <w:tcPr>
            <w:tcW w:w="1433" w:type="dxa"/>
            <w:vAlign w:val="center"/>
          </w:tcPr>
          <w:p w14:paraId="519B40CC" w14:textId="77777777" w:rsidR="00A02FF4" w:rsidRPr="008E63BB" w:rsidRDefault="00A02FF4" w:rsidP="003D057A">
            <w:pPr>
              <w:jc w:val="center"/>
              <w:rPr>
                <w:b/>
              </w:rPr>
            </w:pPr>
            <w:r w:rsidRPr="008E63BB">
              <w:rPr>
                <w:b/>
              </w:rPr>
              <w:t>Giai đoạn xây dựng</w:t>
            </w:r>
          </w:p>
        </w:tc>
        <w:tc>
          <w:tcPr>
            <w:tcW w:w="1266" w:type="dxa"/>
            <w:vAlign w:val="center"/>
          </w:tcPr>
          <w:p w14:paraId="519B40CD" w14:textId="77777777" w:rsidR="00A02FF4" w:rsidRPr="008E63BB" w:rsidRDefault="00A02FF4" w:rsidP="003D057A">
            <w:pPr>
              <w:jc w:val="center"/>
              <w:rPr>
                <w:b/>
              </w:rPr>
            </w:pPr>
            <w:r w:rsidRPr="008E63BB">
              <w:rPr>
                <w:b/>
              </w:rPr>
              <w:t>Tổng mức đầu tư</w:t>
            </w:r>
          </w:p>
          <w:p w14:paraId="519B40CE" w14:textId="77777777" w:rsidR="00A02FF4" w:rsidRPr="008E63BB" w:rsidRDefault="00A02FF4" w:rsidP="003D057A">
            <w:pPr>
              <w:jc w:val="center"/>
              <w:rPr>
                <w:b/>
              </w:rPr>
            </w:pPr>
            <w:r w:rsidRPr="008E63BB">
              <w:rPr>
                <w:b/>
              </w:rPr>
              <w:t>(tỷ đồng)</w:t>
            </w:r>
          </w:p>
        </w:tc>
        <w:tc>
          <w:tcPr>
            <w:tcW w:w="2382" w:type="dxa"/>
            <w:vAlign w:val="center"/>
          </w:tcPr>
          <w:p w14:paraId="519B40CF" w14:textId="77777777" w:rsidR="00A02FF4" w:rsidRPr="008E63BB" w:rsidRDefault="00A02FF4" w:rsidP="003D057A">
            <w:pPr>
              <w:jc w:val="center"/>
              <w:rPr>
                <w:b/>
              </w:rPr>
            </w:pPr>
            <w:r w:rsidRPr="008E63BB">
              <w:rPr>
                <w:b/>
              </w:rPr>
              <w:t>Nguốn vốn</w:t>
            </w:r>
          </w:p>
        </w:tc>
      </w:tr>
      <w:tr w:rsidR="008D5BFE" w:rsidRPr="008E63BB" w14:paraId="519B40D6" w14:textId="77777777" w:rsidTr="00742B97">
        <w:trPr>
          <w:trHeight w:val="305"/>
        </w:trPr>
        <w:tc>
          <w:tcPr>
            <w:tcW w:w="708" w:type="dxa"/>
          </w:tcPr>
          <w:p w14:paraId="519B40D1" w14:textId="77777777" w:rsidR="00A02FF4" w:rsidRPr="008E63BB" w:rsidRDefault="00A02FF4" w:rsidP="00F5692E">
            <w:pPr>
              <w:jc w:val="center"/>
              <w:rPr>
                <w:b/>
                <w:i/>
              </w:rPr>
            </w:pPr>
            <w:r w:rsidRPr="008E63BB">
              <w:rPr>
                <w:b/>
                <w:i/>
              </w:rPr>
              <w:t>1</w:t>
            </w:r>
          </w:p>
        </w:tc>
        <w:tc>
          <w:tcPr>
            <w:tcW w:w="3817" w:type="dxa"/>
          </w:tcPr>
          <w:p w14:paraId="519B40D2" w14:textId="77777777" w:rsidR="00A02FF4" w:rsidRPr="008E63BB" w:rsidRDefault="00A02FF4" w:rsidP="00F5692E">
            <w:pPr>
              <w:rPr>
                <w:b/>
                <w:i/>
              </w:rPr>
            </w:pPr>
            <w:r w:rsidRPr="008E63BB">
              <w:rPr>
                <w:rFonts w:eastAsia="Times New Roman"/>
                <w:b/>
                <w:bCs/>
                <w:i/>
                <w:iCs/>
              </w:rPr>
              <w:t>Chương trình, kế hoạch</w:t>
            </w:r>
          </w:p>
        </w:tc>
        <w:tc>
          <w:tcPr>
            <w:tcW w:w="1433" w:type="dxa"/>
          </w:tcPr>
          <w:p w14:paraId="519B40D3" w14:textId="77777777" w:rsidR="00A02FF4" w:rsidRPr="008E63BB" w:rsidRDefault="00A02FF4" w:rsidP="00F5692E">
            <w:pPr>
              <w:jc w:val="center"/>
            </w:pPr>
          </w:p>
        </w:tc>
        <w:tc>
          <w:tcPr>
            <w:tcW w:w="1266" w:type="dxa"/>
          </w:tcPr>
          <w:p w14:paraId="519B40D4" w14:textId="77777777" w:rsidR="00A02FF4" w:rsidRPr="008E63BB" w:rsidRDefault="00A02FF4" w:rsidP="00F5692E"/>
        </w:tc>
        <w:tc>
          <w:tcPr>
            <w:tcW w:w="2382" w:type="dxa"/>
          </w:tcPr>
          <w:p w14:paraId="519B40D5" w14:textId="77777777" w:rsidR="00A02FF4" w:rsidRPr="008E63BB" w:rsidRDefault="00A02FF4" w:rsidP="00F5692E"/>
        </w:tc>
      </w:tr>
      <w:tr w:rsidR="008D5BFE" w:rsidRPr="008E63BB" w14:paraId="519B40DC" w14:textId="77777777" w:rsidTr="00742B97">
        <w:trPr>
          <w:trHeight w:val="305"/>
        </w:trPr>
        <w:tc>
          <w:tcPr>
            <w:tcW w:w="708" w:type="dxa"/>
            <w:vAlign w:val="center"/>
          </w:tcPr>
          <w:p w14:paraId="519B40D7" w14:textId="77777777" w:rsidR="00A02FF4" w:rsidRPr="008E63BB" w:rsidRDefault="00A02FF4" w:rsidP="00F5692E">
            <w:pPr>
              <w:jc w:val="center"/>
              <w:rPr>
                <w:b/>
                <w:i/>
              </w:rPr>
            </w:pPr>
            <w:r w:rsidRPr="008E63BB">
              <w:rPr>
                <w:rFonts w:eastAsia="Times New Roman"/>
                <w:szCs w:val="26"/>
              </w:rPr>
              <w:t>1.</w:t>
            </w:r>
          </w:p>
        </w:tc>
        <w:tc>
          <w:tcPr>
            <w:tcW w:w="3817" w:type="dxa"/>
            <w:vAlign w:val="center"/>
          </w:tcPr>
          <w:p w14:paraId="519B40D8" w14:textId="77777777" w:rsidR="00A02FF4" w:rsidRPr="008E63BB" w:rsidRDefault="00A02FF4" w:rsidP="00F5692E">
            <w:pPr>
              <w:rPr>
                <w:b/>
                <w:i/>
              </w:rPr>
            </w:pPr>
            <w:r w:rsidRPr="008E63BB">
              <w:rPr>
                <w:rFonts w:eastAsia="Times New Roman"/>
              </w:rPr>
              <w:t>Lập Quy chế quản lý quy hoạch kiến trúc đô thị và hệ thống các quy định quản lý phát triển đô thị</w:t>
            </w:r>
          </w:p>
        </w:tc>
        <w:tc>
          <w:tcPr>
            <w:tcW w:w="1433" w:type="dxa"/>
          </w:tcPr>
          <w:p w14:paraId="519B40D9" w14:textId="77777777" w:rsidR="00A02FF4" w:rsidRPr="008E63BB" w:rsidRDefault="00A02FF4" w:rsidP="00F5692E">
            <w:pPr>
              <w:jc w:val="center"/>
            </w:pPr>
            <w:r w:rsidRPr="008E63BB">
              <w:t>2020-2025</w:t>
            </w:r>
          </w:p>
        </w:tc>
        <w:tc>
          <w:tcPr>
            <w:tcW w:w="1266" w:type="dxa"/>
          </w:tcPr>
          <w:p w14:paraId="519B40DA" w14:textId="77777777" w:rsidR="00A02FF4" w:rsidRPr="008E63BB" w:rsidRDefault="00A02FF4" w:rsidP="00F5692E"/>
        </w:tc>
        <w:tc>
          <w:tcPr>
            <w:tcW w:w="2382" w:type="dxa"/>
            <w:vAlign w:val="center"/>
          </w:tcPr>
          <w:p w14:paraId="519B40DB" w14:textId="77777777" w:rsidR="00A02FF4" w:rsidRPr="008E63BB" w:rsidRDefault="00A02FF4" w:rsidP="00F5692E">
            <w:r w:rsidRPr="008E63BB">
              <w:rPr>
                <w:rFonts w:eastAsia="Times New Roman"/>
              </w:rPr>
              <w:t>Nguồn vốn NSNN thực hiện theo từng dự án</w:t>
            </w:r>
          </w:p>
        </w:tc>
      </w:tr>
      <w:tr w:rsidR="008D5BFE" w:rsidRPr="008E63BB" w14:paraId="519B40E2" w14:textId="77777777" w:rsidTr="00742B97">
        <w:trPr>
          <w:trHeight w:val="305"/>
        </w:trPr>
        <w:tc>
          <w:tcPr>
            <w:tcW w:w="708" w:type="dxa"/>
            <w:vAlign w:val="center"/>
          </w:tcPr>
          <w:p w14:paraId="519B40DD" w14:textId="77777777" w:rsidR="00A02FF4" w:rsidRPr="008E63BB" w:rsidRDefault="00A02FF4" w:rsidP="00F5692E">
            <w:pPr>
              <w:jc w:val="center"/>
              <w:rPr>
                <w:b/>
                <w:i/>
              </w:rPr>
            </w:pPr>
            <w:r w:rsidRPr="008E63BB">
              <w:rPr>
                <w:rFonts w:eastAsia="Times New Roman"/>
                <w:szCs w:val="26"/>
              </w:rPr>
              <w:t>1.2</w:t>
            </w:r>
          </w:p>
        </w:tc>
        <w:tc>
          <w:tcPr>
            <w:tcW w:w="3817" w:type="dxa"/>
            <w:vAlign w:val="center"/>
          </w:tcPr>
          <w:p w14:paraId="519B40DE" w14:textId="77777777" w:rsidR="00A02FF4" w:rsidRPr="008E63BB" w:rsidRDefault="00A02FF4" w:rsidP="00F5692E">
            <w:pPr>
              <w:rPr>
                <w:b/>
                <w:i/>
              </w:rPr>
            </w:pPr>
            <w:r w:rsidRPr="008E63BB">
              <w:rPr>
                <w:rFonts w:eastAsia="Times New Roman"/>
              </w:rPr>
              <w:t>Điều chỉnh hệ thống các đồ án quy hoạch phân khu, quy hoạch chi tiết, các khu vực phát triển đô thị mới, các khu cụm công nghiệp, khu du lịch, khu thương mại....</w:t>
            </w:r>
          </w:p>
        </w:tc>
        <w:tc>
          <w:tcPr>
            <w:tcW w:w="1433" w:type="dxa"/>
          </w:tcPr>
          <w:p w14:paraId="519B40DF" w14:textId="77777777" w:rsidR="00A02FF4" w:rsidRPr="008E63BB" w:rsidRDefault="00A02FF4" w:rsidP="00F5692E">
            <w:pPr>
              <w:jc w:val="center"/>
            </w:pPr>
            <w:r w:rsidRPr="008E63BB">
              <w:t>2020-2025</w:t>
            </w:r>
          </w:p>
        </w:tc>
        <w:tc>
          <w:tcPr>
            <w:tcW w:w="1266" w:type="dxa"/>
          </w:tcPr>
          <w:p w14:paraId="519B40E0" w14:textId="77777777" w:rsidR="00A02FF4" w:rsidRPr="008E63BB" w:rsidRDefault="00A02FF4" w:rsidP="00F5692E"/>
        </w:tc>
        <w:tc>
          <w:tcPr>
            <w:tcW w:w="2382" w:type="dxa"/>
            <w:vAlign w:val="center"/>
          </w:tcPr>
          <w:p w14:paraId="519B40E1" w14:textId="77777777" w:rsidR="00A02FF4" w:rsidRPr="008E63BB" w:rsidRDefault="00A02FF4" w:rsidP="00F5692E">
            <w:r w:rsidRPr="008E63BB">
              <w:rPr>
                <w:rFonts w:eastAsia="Times New Roman"/>
              </w:rPr>
              <w:t>Nguồn vốn NSNN thực hiện theo từng dự án</w:t>
            </w:r>
          </w:p>
        </w:tc>
      </w:tr>
      <w:tr w:rsidR="008D5BFE" w:rsidRPr="008E63BB" w14:paraId="519B40E8" w14:textId="77777777" w:rsidTr="00742B97">
        <w:trPr>
          <w:trHeight w:val="305"/>
        </w:trPr>
        <w:tc>
          <w:tcPr>
            <w:tcW w:w="708" w:type="dxa"/>
            <w:vAlign w:val="center"/>
          </w:tcPr>
          <w:p w14:paraId="519B40E3" w14:textId="77777777" w:rsidR="00A02FF4" w:rsidRPr="008E63BB" w:rsidRDefault="00A02FF4" w:rsidP="00F5692E">
            <w:pPr>
              <w:jc w:val="center"/>
              <w:rPr>
                <w:rFonts w:eastAsia="Times New Roman"/>
                <w:szCs w:val="26"/>
              </w:rPr>
            </w:pPr>
            <w:r w:rsidRPr="008E63BB">
              <w:rPr>
                <w:rFonts w:eastAsia="Times New Roman"/>
                <w:szCs w:val="26"/>
              </w:rPr>
              <w:t>1.3</w:t>
            </w:r>
          </w:p>
        </w:tc>
        <w:tc>
          <w:tcPr>
            <w:tcW w:w="3817" w:type="dxa"/>
            <w:vAlign w:val="center"/>
          </w:tcPr>
          <w:p w14:paraId="519B40E4" w14:textId="77777777" w:rsidR="00A02FF4" w:rsidRPr="008E63BB" w:rsidRDefault="00A02FF4" w:rsidP="00F5692E">
            <w:pPr>
              <w:rPr>
                <w:rFonts w:eastAsia="Times New Roman"/>
              </w:rPr>
            </w:pPr>
            <w:r w:rsidRPr="008E63BB">
              <w:rPr>
                <w:rFonts w:eastAsia="Times New Roman"/>
              </w:rPr>
              <w:t>Lập đề án mở rộng địa giới hành chính thành phố</w:t>
            </w:r>
          </w:p>
        </w:tc>
        <w:tc>
          <w:tcPr>
            <w:tcW w:w="1433" w:type="dxa"/>
          </w:tcPr>
          <w:p w14:paraId="519B40E5" w14:textId="77777777" w:rsidR="00A02FF4" w:rsidRPr="008E63BB" w:rsidRDefault="00A02FF4" w:rsidP="00F5692E">
            <w:pPr>
              <w:jc w:val="center"/>
            </w:pPr>
            <w:r w:rsidRPr="008E63BB">
              <w:t>2020-2025</w:t>
            </w:r>
          </w:p>
        </w:tc>
        <w:tc>
          <w:tcPr>
            <w:tcW w:w="1266" w:type="dxa"/>
          </w:tcPr>
          <w:p w14:paraId="519B40E6" w14:textId="77777777" w:rsidR="00A02FF4" w:rsidRPr="008E63BB" w:rsidRDefault="00A02FF4" w:rsidP="00F5692E"/>
        </w:tc>
        <w:tc>
          <w:tcPr>
            <w:tcW w:w="2382" w:type="dxa"/>
            <w:vAlign w:val="center"/>
          </w:tcPr>
          <w:p w14:paraId="519B40E7" w14:textId="77777777" w:rsidR="00A02FF4" w:rsidRPr="008E63BB" w:rsidRDefault="00A02FF4" w:rsidP="00F5692E">
            <w:pPr>
              <w:jc w:val="center"/>
              <w:rPr>
                <w:rFonts w:eastAsia="Times New Roman"/>
              </w:rPr>
            </w:pPr>
            <w:r w:rsidRPr="008E63BB">
              <w:rPr>
                <w:rFonts w:eastAsia="Times New Roman"/>
              </w:rPr>
              <w:t>NSTP</w:t>
            </w:r>
          </w:p>
        </w:tc>
      </w:tr>
      <w:tr w:rsidR="008D5BFE" w:rsidRPr="008E63BB" w14:paraId="519B40EE" w14:textId="77777777" w:rsidTr="00742B97">
        <w:trPr>
          <w:trHeight w:val="305"/>
        </w:trPr>
        <w:tc>
          <w:tcPr>
            <w:tcW w:w="708" w:type="dxa"/>
          </w:tcPr>
          <w:p w14:paraId="519B40E9" w14:textId="77777777" w:rsidR="00A02FF4" w:rsidRPr="008E63BB" w:rsidRDefault="00A02FF4" w:rsidP="00F5692E">
            <w:pPr>
              <w:jc w:val="center"/>
              <w:rPr>
                <w:b/>
                <w:i/>
              </w:rPr>
            </w:pPr>
            <w:r w:rsidRPr="008E63BB">
              <w:rPr>
                <w:b/>
                <w:i/>
              </w:rPr>
              <w:t>2</w:t>
            </w:r>
          </w:p>
        </w:tc>
        <w:tc>
          <w:tcPr>
            <w:tcW w:w="3817" w:type="dxa"/>
          </w:tcPr>
          <w:p w14:paraId="519B40EA" w14:textId="77777777" w:rsidR="00A02FF4" w:rsidRPr="008E63BB" w:rsidRDefault="00A02FF4" w:rsidP="00F5692E">
            <w:pPr>
              <w:rPr>
                <w:b/>
                <w:i/>
              </w:rPr>
            </w:pPr>
            <w:r w:rsidRPr="008E63BB">
              <w:rPr>
                <w:b/>
                <w:i/>
              </w:rPr>
              <w:t xml:space="preserve">Công trình hạ tầng xã hội </w:t>
            </w:r>
          </w:p>
        </w:tc>
        <w:tc>
          <w:tcPr>
            <w:tcW w:w="1433" w:type="dxa"/>
          </w:tcPr>
          <w:p w14:paraId="519B40EB" w14:textId="77777777" w:rsidR="00A02FF4" w:rsidRPr="008E63BB" w:rsidRDefault="00A02FF4" w:rsidP="00F5692E">
            <w:pPr>
              <w:jc w:val="center"/>
            </w:pPr>
          </w:p>
        </w:tc>
        <w:tc>
          <w:tcPr>
            <w:tcW w:w="1266" w:type="dxa"/>
          </w:tcPr>
          <w:p w14:paraId="519B40EC" w14:textId="77777777" w:rsidR="00A02FF4" w:rsidRPr="008E63BB" w:rsidRDefault="00A02FF4" w:rsidP="00F5692E"/>
        </w:tc>
        <w:tc>
          <w:tcPr>
            <w:tcW w:w="2382" w:type="dxa"/>
          </w:tcPr>
          <w:p w14:paraId="519B40ED" w14:textId="77777777" w:rsidR="00A02FF4" w:rsidRPr="008E63BB" w:rsidRDefault="00A02FF4" w:rsidP="00F5692E"/>
        </w:tc>
      </w:tr>
      <w:tr w:rsidR="008D5BFE" w:rsidRPr="008E63BB" w14:paraId="519B40F4" w14:textId="77777777" w:rsidTr="00742B97">
        <w:trPr>
          <w:trHeight w:val="1205"/>
        </w:trPr>
        <w:tc>
          <w:tcPr>
            <w:tcW w:w="708" w:type="dxa"/>
            <w:vAlign w:val="center"/>
          </w:tcPr>
          <w:p w14:paraId="519B40EF" w14:textId="77777777" w:rsidR="00A02FF4" w:rsidRPr="008E63BB" w:rsidRDefault="00A02FF4" w:rsidP="00F5692E">
            <w:pPr>
              <w:jc w:val="right"/>
              <w:rPr>
                <w:rFonts w:eastAsia="Times New Roman"/>
                <w:szCs w:val="26"/>
              </w:rPr>
            </w:pPr>
            <w:r w:rsidRPr="008E63BB">
              <w:rPr>
                <w:rFonts w:eastAsia="Times New Roman"/>
                <w:szCs w:val="26"/>
              </w:rPr>
              <w:t>2.1</w:t>
            </w:r>
          </w:p>
        </w:tc>
        <w:tc>
          <w:tcPr>
            <w:tcW w:w="3817" w:type="dxa"/>
            <w:vAlign w:val="center"/>
          </w:tcPr>
          <w:p w14:paraId="519B40F0" w14:textId="77777777" w:rsidR="00A02FF4" w:rsidRPr="008E63BB" w:rsidRDefault="00A02FF4" w:rsidP="00F5692E">
            <w:pPr>
              <w:rPr>
                <w:rFonts w:eastAsia="Times New Roman"/>
                <w:szCs w:val="26"/>
              </w:rPr>
            </w:pPr>
            <w:r w:rsidRPr="008E63BB">
              <w:rPr>
                <w:rFonts w:eastAsia="Times New Roman"/>
                <w:szCs w:val="26"/>
              </w:rPr>
              <w:t>Nâng cấp cải tạo trụ sở làm việc các cơ quan, xây dựng trung tâm hành chính thành phố mới tại vị trí khu đô thị Thống Nhất</w:t>
            </w:r>
          </w:p>
        </w:tc>
        <w:tc>
          <w:tcPr>
            <w:tcW w:w="1433" w:type="dxa"/>
            <w:vAlign w:val="center"/>
          </w:tcPr>
          <w:p w14:paraId="519B40F1" w14:textId="77777777" w:rsidR="00A02FF4" w:rsidRPr="008E63BB" w:rsidRDefault="00A02FF4" w:rsidP="00F5692E">
            <w:pPr>
              <w:jc w:val="center"/>
              <w:rPr>
                <w:szCs w:val="26"/>
              </w:rPr>
            </w:pPr>
            <w:r w:rsidRPr="008E63BB">
              <w:rPr>
                <w:szCs w:val="26"/>
              </w:rPr>
              <w:t>2020-2030</w:t>
            </w:r>
          </w:p>
        </w:tc>
        <w:tc>
          <w:tcPr>
            <w:tcW w:w="1266" w:type="dxa"/>
            <w:vAlign w:val="center"/>
          </w:tcPr>
          <w:p w14:paraId="519B40F2" w14:textId="77777777" w:rsidR="00A02FF4" w:rsidRPr="008E63BB" w:rsidRDefault="00A02FF4" w:rsidP="00742B97">
            <w:pPr>
              <w:jc w:val="center"/>
              <w:rPr>
                <w:szCs w:val="26"/>
              </w:rPr>
            </w:pPr>
            <w:r w:rsidRPr="008E63BB">
              <w:rPr>
                <w:szCs w:val="26"/>
              </w:rPr>
              <w:t>32,7</w:t>
            </w:r>
          </w:p>
        </w:tc>
        <w:tc>
          <w:tcPr>
            <w:tcW w:w="2382" w:type="dxa"/>
            <w:vAlign w:val="center"/>
          </w:tcPr>
          <w:p w14:paraId="519B40F3" w14:textId="77777777" w:rsidR="00A02FF4" w:rsidRPr="008E63BB" w:rsidRDefault="00A02FF4" w:rsidP="00F5692E">
            <w:pPr>
              <w:jc w:val="left"/>
              <w:rPr>
                <w:rFonts w:eastAsia="Times New Roman"/>
                <w:szCs w:val="26"/>
              </w:rPr>
            </w:pPr>
            <w:r w:rsidRPr="008E63BB">
              <w:rPr>
                <w:rFonts w:eastAsia="Times New Roman"/>
                <w:szCs w:val="26"/>
              </w:rPr>
              <w:t>NS thành phố</w:t>
            </w:r>
          </w:p>
        </w:tc>
      </w:tr>
      <w:tr w:rsidR="008D5BFE" w:rsidRPr="008E63BB" w14:paraId="519B40FA" w14:textId="77777777" w:rsidTr="00742B97">
        <w:trPr>
          <w:trHeight w:val="593"/>
        </w:trPr>
        <w:tc>
          <w:tcPr>
            <w:tcW w:w="708" w:type="dxa"/>
            <w:vAlign w:val="center"/>
          </w:tcPr>
          <w:p w14:paraId="519B40F5" w14:textId="77777777" w:rsidR="00A02FF4" w:rsidRPr="008E63BB" w:rsidRDefault="00A02FF4" w:rsidP="00F5692E">
            <w:pPr>
              <w:jc w:val="right"/>
              <w:rPr>
                <w:rFonts w:eastAsia="Times New Roman"/>
                <w:szCs w:val="26"/>
              </w:rPr>
            </w:pPr>
            <w:r w:rsidRPr="008E63BB">
              <w:rPr>
                <w:rFonts w:eastAsia="Times New Roman"/>
                <w:szCs w:val="26"/>
              </w:rPr>
              <w:t>2.2</w:t>
            </w:r>
          </w:p>
        </w:tc>
        <w:tc>
          <w:tcPr>
            <w:tcW w:w="3817" w:type="dxa"/>
            <w:vAlign w:val="center"/>
          </w:tcPr>
          <w:p w14:paraId="519B40F6" w14:textId="77777777" w:rsidR="00A02FF4" w:rsidRPr="008E63BB" w:rsidRDefault="00A02FF4" w:rsidP="00F5692E">
            <w:pPr>
              <w:rPr>
                <w:rFonts w:eastAsia="Times New Roman"/>
                <w:szCs w:val="26"/>
              </w:rPr>
            </w:pPr>
            <w:r w:rsidRPr="008E63BB">
              <w:rPr>
                <w:rFonts w:eastAsia="Times New Roman"/>
                <w:szCs w:val="26"/>
              </w:rPr>
              <w:t>Xây dựng trường THPT chuyên Lê Hồng Phong tại vị trí quy hoạch mới</w:t>
            </w:r>
          </w:p>
        </w:tc>
        <w:tc>
          <w:tcPr>
            <w:tcW w:w="1433" w:type="dxa"/>
            <w:vAlign w:val="center"/>
          </w:tcPr>
          <w:p w14:paraId="519B40F7" w14:textId="77777777" w:rsidR="00A02FF4" w:rsidRPr="008E63BB" w:rsidRDefault="00A02FF4" w:rsidP="00F5692E">
            <w:pPr>
              <w:jc w:val="center"/>
              <w:rPr>
                <w:szCs w:val="26"/>
              </w:rPr>
            </w:pPr>
            <w:r w:rsidRPr="008E63BB">
              <w:rPr>
                <w:szCs w:val="26"/>
              </w:rPr>
              <w:t>2020-2030</w:t>
            </w:r>
          </w:p>
        </w:tc>
        <w:tc>
          <w:tcPr>
            <w:tcW w:w="1266" w:type="dxa"/>
            <w:vAlign w:val="center"/>
          </w:tcPr>
          <w:p w14:paraId="519B40F8" w14:textId="77777777" w:rsidR="00A02FF4" w:rsidRPr="008E63BB" w:rsidRDefault="00A02FF4" w:rsidP="00742B97">
            <w:pPr>
              <w:jc w:val="center"/>
              <w:rPr>
                <w:szCs w:val="26"/>
              </w:rPr>
            </w:pPr>
            <w:r w:rsidRPr="008E63BB">
              <w:rPr>
                <w:szCs w:val="26"/>
              </w:rPr>
              <w:t>27,31</w:t>
            </w:r>
          </w:p>
        </w:tc>
        <w:tc>
          <w:tcPr>
            <w:tcW w:w="2382" w:type="dxa"/>
            <w:vAlign w:val="center"/>
          </w:tcPr>
          <w:p w14:paraId="519B40F9" w14:textId="77777777" w:rsidR="00A02FF4" w:rsidRPr="008E63BB" w:rsidRDefault="00A02FF4" w:rsidP="00F5692E">
            <w:pPr>
              <w:jc w:val="left"/>
              <w:rPr>
                <w:rFonts w:eastAsia="Times New Roman"/>
                <w:szCs w:val="26"/>
              </w:rPr>
            </w:pPr>
            <w:r w:rsidRPr="008E63BB">
              <w:rPr>
                <w:rFonts w:eastAsia="Times New Roman"/>
                <w:szCs w:val="26"/>
              </w:rPr>
              <w:t>NS thành phố</w:t>
            </w:r>
          </w:p>
        </w:tc>
      </w:tr>
      <w:tr w:rsidR="008D5BFE" w:rsidRPr="008E63BB" w14:paraId="519B4100" w14:textId="77777777" w:rsidTr="00742B97">
        <w:trPr>
          <w:trHeight w:val="593"/>
        </w:trPr>
        <w:tc>
          <w:tcPr>
            <w:tcW w:w="708" w:type="dxa"/>
            <w:vAlign w:val="center"/>
          </w:tcPr>
          <w:p w14:paraId="519B40FB" w14:textId="77777777" w:rsidR="00A02FF4" w:rsidRPr="008E63BB" w:rsidRDefault="00A02FF4" w:rsidP="00F5692E">
            <w:pPr>
              <w:jc w:val="right"/>
              <w:rPr>
                <w:rFonts w:eastAsia="Times New Roman"/>
                <w:szCs w:val="26"/>
              </w:rPr>
            </w:pPr>
            <w:r w:rsidRPr="008E63BB">
              <w:rPr>
                <w:rFonts w:eastAsia="Times New Roman"/>
                <w:szCs w:val="26"/>
              </w:rPr>
              <w:t>2.3</w:t>
            </w:r>
          </w:p>
        </w:tc>
        <w:tc>
          <w:tcPr>
            <w:tcW w:w="3817" w:type="dxa"/>
            <w:vAlign w:val="center"/>
          </w:tcPr>
          <w:p w14:paraId="519B40FC" w14:textId="77777777" w:rsidR="00A02FF4" w:rsidRPr="008E63BB" w:rsidRDefault="00A02FF4" w:rsidP="00F5692E">
            <w:pPr>
              <w:rPr>
                <w:rFonts w:eastAsia="Times New Roman"/>
                <w:szCs w:val="26"/>
              </w:rPr>
            </w:pPr>
            <w:r w:rsidRPr="008E63BB">
              <w:rPr>
                <w:rFonts w:eastAsia="Times New Roman"/>
                <w:szCs w:val="26"/>
              </w:rPr>
              <w:t>Hoàn thiện dự án Bệnh viện đa khoa quy mô 700 giường</w:t>
            </w:r>
          </w:p>
        </w:tc>
        <w:tc>
          <w:tcPr>
            <w:tcW w:w="1433" w:type="dxa"/>
            <w:vAlign w:val="center"/>
          </w:tcPr>
          <w:p w14:paraId="519B40FD" w14:textId="77777777" w:rsidR="00A02FF4" w:rsidRPr="008E63BB" w:rsidRDefault="00A02FF4" w:rsidP="00F5692E">
            <w:pPr>
              <w:jc w:val="center"/>
              <w:rPr>
                <w:szCs w:val="26"/>
              </w:rPr>
            </w:pPr>
            <w:r w:rsidRPr="008E63BB">
              <w:rPr>
                <w:szCs w:val="26"/>
              </w:rPr>
              <w:t>2020-2025</w:t>
            </w:r>
          </w:p>
        </w:tc>
        <w:tc>
          <w:tcPr>
            <w:tcW w:w="1266" w:type="dxa"/>
            <w:vAlign w:val="center"/>
          </w:tcPr>
          <w:p w14:paraId="519B40FE" w14:textId="77777777" w:rsidR="00A02FF4" w:rsidRPr="008E63BB" w:rsidRDefault="00A02FF4" w:rsidP="00742B97">
            <w:pPr>
              <w:jc w:val="center"/>
              <w:rPr>
                <w:szCs w:val="26"/>
              </w:rPr>
            </w:pPr>
          </w:p>
        </w:tc>
        <w:tc>
          <w:tcPr>
            <w:tcW w:w="2382" w:type="dxa"/>
            <w:vAlign w:val="center"/>
          </w:tcPr>
          <w:p w14:paraId="519B40FF" w14:textId="77777777" w:rsidR="00A02FF4" w:rsidRPr="008E63BB" w:rsidRDefault="00A02FF4" w:rsidP="00F5692E">
            <w:pPr>
              <w:jc w:val="left"/>
              <w:rPr>
                <w:rFonts w:eastAsia="Times New Roman"/>
                <w:szCs w:val="26"/>
              </w:rPr>
            </w:pPr>
            <w:r w:rsidRPr="008E63BB">
              <w:rPr>
                <w:rFonts w:eastAsia="Times New Roman"/>
                <w:szCs w:val="26"/>
              </w:rPr>
              <w:t>Ngân sách tỉnh</w:t>
            </w:r>
          </w:p>
        </w:tc>
      </w:tr>
      <w:tr w:rsidR="008D5BFE" w:rsidRPr="008E63BB" w14:paraId="519B4106" w14:textId="77777777" w:rsidTr="00742B97">
        <w:trPr>
          <w:trHeight w:val="593"/>
        </w:trPr>
        <w:tc>
          <w:tcPr>
            <w:tcW w:w="708" w:type="dxa"/>
            <w:vAlign w:val="center"/>
          </w:tcPr>
          <w:p w14:paraId="519B4101" w14:textId="77777777" w:rsidR="00A02FF4" w:rsidRPr="008E63BB" w:rsidRDefault="00A02FF4" w:rsidP="00F5692E">
            <w:pPr>
              <w:jc w:val="right"/>
              <w:rPr>
                <w:rFonts w:eastAsia="Times New Roman"/>
                <w:szCs w:val="26"/>
              </w:rPr>
            </w:pPr>
            <w:r w:rsidRPr="008E63BB">
              <w:rPr>
                <w:rFonts w:eastAsia="Times New Roman"/>
                <w:szCs w:val="26"/>
              </w:rPr>
              <w:lastRenderedPageBreak/>
              <w:t>2.4</w:t>
            </w:r>
          </w:p>
        </w:tc>
        <w:tc>
          <w:tcPr>
            <w:tcW w:w="3817" w:type="dxa"/>
            <w:vAlign w:val="center"/>
          </w:tcPr>
          <w:p w14:paraId="519B4102" w14:textId="77777777" w:rsidR="00A02FF4" w:rsidRPr="008E63BB" w:rsidRDefault="00A02FF4" w:rsidP="00F5692E">
            <w:pPr>
              <w:rPr>
                <w:rFonts w:eastAsia="Times New Roman"/>
                <w:szCs w:val="26"/>
              </w:rPr>
            </w:pPr>
            <w:r w:rsidRPr="008E63BB">
              <w:rPr>
                <w:rFonts w:eastAsia="Times New Roman"/>
                <w:szCs w:val="26"/>
              </w:rPr>
              <w:t>Nâng cấp bệnh viện phụ sản mang tính chất vùng</w:t>
            </w:r>
          </w:p>
        </w:tc>
        <w:tc>
          <w:tcPr>
            <w:tcW w:w="1433" w:type="dxa"/>
            <w:vAlign w:val="center"/>
          </w:tcPr>
          <w:p w14:paraId="519B4103" w14:textId="77777777" w:rsidR="00A02FF4" w:rsidRPr="008E63BB" w:rsidRDefault="00A02FF4" w:rsidP="00F5692E">
            <w:pPr>
              <w:jc w:val="center"/>
              <w:rPr>
                <w:szCs w:val="26"/>
              </w:rPr>
            </w:pPr>
            <w:r w:rsidRPr="008E63BB">
              <w:rPr>
                <w:szCs w:val="26"/>
              </w:rPr>
              <w:t>2020-2030</w:t>
            </w:r>
          </w:p>
        </w:tc>
        <w:tc>
          <w:tcPr>
            <w:tcW w:w="1266" w:type="dxa"/>
            <w:vAlign w:val="center"/>
          </w:tcPr>
          <w:p w14:paraId="519B4104" w14:textId="77777777" w:rsidR="00A02FF4" w:rsidRPr="008E63BB" w:rsidRDefault="00A02FF4" w:rsidP="00742B97">
            <w:pPr>
              <w:jc w:val="center"/>
              <w:rPr>
                <w:szCs w:val="26"/>
              </w:rPr>
            </w:pPr>
            <w:r w:rsidRPr="008E63BB">
              <w:rPr>
                <w:szCs w:val="26"/>
              </w:rPr>
              <w:t>460,50</w:t>
            </w:r>
          </w:p>
        </w:tc>
        <w:tc>
          <w:tcPr>
            <w:tcW w:w="2382" w:type="dxa"/>
            <w:vAlign w:val="center"/>
          </w:tcPr>
          <w:p w14:paraId="519B4105" w14:textId="77777777" w:rsidR="00A02FF4" w:rsidRPr="008E63BB" w:rsidRDefault="00A02FF4" w:rsidP="00F5692E">
            <w:pPr>
              <w:jc w:val="left"/>
              <w:rPr>
                <w:rFonts w:eastAsia="Times New Roman"/>
                <w:szCs w:val="26"/>
              </w:rPr>
            </w:pPr>
            <w:r w:rsidRPr="008E63BB">
              <w:rPr>
                <w:rFonts w:eastAsia="Times New Roman"/>
                <w:szCs w:val="26"/>
              </w:rPr>
              <w:t>Ngân sách tỉnh</w:t>
            </w:r>
          </w:p>
        </w:tc>
      </w:tr>
      <w:tr w:rsidR="008D5BFE" w:rsidRPr="008E63BB" w14:paraId="519B410C" w14:textId="77777777" w:rsidTr="00742B97">
        <w:trPr>
          <w:trHeight w:val="611"/>
        </w:trPr>
        <w:tc>
          <w:tcPr>
            <w:tcW w:w="708" w:type="dxa"/>
            <w:vAlign w:val="center"/>
          </w:tcPr>
          <w:p w14:paraId="519B4107" w14:textId="77777777" w:rsidR="00A02FF4" w:rsidRPr="008E63BB" w:rsidRDefault="00A02FF4" w:rsidP="00F5692E">
            <w:pPr>
              <w:jc w:val="right"/>
              <w:rPr>
                <w:rFonts w:eastAsia="Times New Roman"/>
                <w:szCs w:val="26"/>
              </w:rPr>
            </w:pPr>
            <w:r w:rsidRPr="008E63BB">
              <w:rPr>
                <w:rFonts w:eastAsia="Times New Roman"/>
                <w:szCs w:val="26"/>
              </w:rPr>
              <w:t>2.5</w:t>
            </w:r>
          </w:p>
        </w:tc>
        <w:tc>
          <w:tcPr>
            <w:tcW w:w="3817" w:type="dxa"/>
            <w:vAlign w:val="center"/>
          </w:tcPr>
          <w:p w14:paraId="519B4108" w14:textId="77777777" w:rsidR="00A02FF4" w:rsidRPr="008E63BB" w:rsidRDefault="00A02FF4" w:rsidP="00F5692E">
            <w:pPr>
              <w:rPr>
                <w:rFonts w:eastAsia="Times New Roman"/>
                <w:szCs w:val="26"/>
              </w:rPr>
            </w:pPr>
            <w:r w:rsidRPr="008E63BB">
              <w:rPr>
                <w:rFonts w:eastAsia="Times New Roman"/>
                <w:szCs w:val="26"/>
              </w:rPr>
              <w:t>Dự án cải tạo chung cư cũ</w:t>
            </w:r>
          </w:p>
        </w:tc>
        <w:tc>
          <w:tcPr>
            <w:tcW w:w="1433" w:type="dxa"/>
            <w:vAlign w:val="center"/>
          </w:tcPr>
          <w:p w14:paraId="519B4109" w14:textId="77777777" w:rsidR="00A02FF4" w:rsidRPr="008E63BB" w:rsidRDefault="00A02FF4" w:rsidP="00F5692E">
            <w:pPr>
              <w:jc w:val="center"/>
              <w:rPr>
                <w:szCs w:val="26"/>
              </w:rPr>
            </w:pPr>
            <w:r w:rsidRPr="008E63BB">
              <w:rPr>
                <w:szCs w:val="26"/>
              </w:rPr>
              <w:t>2020-2030</w:t>
            </w:r>
          </w:p>
        </w:tc>
        <w:tc>
          <w:tcPr>
            <w:tcW w:w="1266" w:type="dxa"/>
            <w:vAlign w:val="center"/>
          </w:tcPr>
          <w:p w14:paraId="519B410A" w14:textId="77777777" w:rsidR="00A02FF4" w:rsidRPr="008E63BB" w:rsidRDefault="00A02FF4" w:rsidP="00742B97">
            <w:pPr>
              <w:jc w:val="center"/>
              <w:rPr>
                <w:szCs w:val="26"/>
              </w:rPr>
            </w:pPr>
            <w:r w:rsidRPr="008E63BB">
              <w:rPr>
                <w:szCs w:val="26"/>
              </w:rPr>
              <w:t>13,4</w:t>
            </w:r>
          </w:p>
        </w:tc>
        <w:tc>
          <w:tcPr>
            <w:tcW w:w="2382" w:type="dxa"/>
            <w:vAlign w:val="center"/>
          </w:tcPr>
          <w:p w14:paraId="519B410B" w14:textId="77777777" w:rsidR="00A02FF4" w:rsidRPr="008E63BB" w:rsidRDefault="00A02FF4" w:rsidP="00F5692E">
            <w:pPr>
              <w:jc w:val="left"/>
              <w:rPr>
                <w:rFonts w:eastAsia="Times New Roman"/>
                <w:szCs w:val="26"/>
              </w:rPr>
            </w:pPr>
            <w:r w:rsidRPr="008E63BB">
              <w:rPr>
                <w:rFonts w:eastAsia="Times New Roman"/>
                <w:szCs w:val="26"/>
              </w:rPr>
              <w:t xml:space="preserve">Vốn DN </w:t>
            </w:r>
            <w:r w:rsidRPr="008E63BB">
              <w:rPr>
                <w:rFonts w:eastAsia="Times New Roman"/>
              </w:rPr>
              <w:t>thực hiện theo từng dự án</w:t>
            </w:r>
          </w:p>
        </w:tc>
      </w:tr>
      <w:tr w:rsidR="008D5BFE" w:rsidRPr="008E63BB" w14:paraId="519B4112" w14:textId="77777777" w:rsidTr="00742B97">
        <w:trPr>
          <w:trHeight w:val="593"/>
        </w:trPr>
        <w:tc>
          <w:tcPr>
            <w:tcW w:w="708" w:type="dxa"/>
            <w:vAlign w:val="center"/>
          </w:tcPr>
          <w:p w14:paraId="519B410D" w14:textId="77777777" w:rsidR="00A02FF4" w:rsidRPr="008E63BB" w:rsidRDefault="00A02FF4" w:rsidP="00F5692E">
            <w:pPr>
              <w:jc w:val="right"/>
              <w:rPr>
                <w:rFonts w:eastAsia="Times New Roman"/>
                <w:szCs w:val="26"/>
              </w:rPr>
            </w:pPr>
            <w:r w:rsidRPr="008E63BB">
              <w:rPr>
                <w:rFonts w:eastAsia="Times New Roman"/>
                <w:szCs w:val="26"/>
              </w:rPr>
              <w:t>2.6</w:t>
            </w:r>
          </w:p>
        </w:tc>
        <w:tc>
          <w:tcPr>
            <w:tcW w:w="3817" w:type="dxa"/>
            <w:vAlign w:val="center"/>
          </w:tcPr>
          <w:p w14:paraId="519B410E" w14:textId="77777777" w:rsidR="00A02FF4" w:rsidRPr="008E63BB" w:rsidRDefault="00A02FF4" w:rsidP="00F5692E">
            <w:pPr>
              <w:rPr>
                <w:rFonts w:eastAsia="Times New Roman"/>
                <w:szCs w:val="26"/>
              </w:rPr>
            </w:pPr>
            <w:r w:rsidRPr="008E63BB">
              <w:rPr>
                <w:rFonts w:eastAsia="Times New Roman"/>
                <w:szCs w:val="26"/>
              </w:rPr>
              <w:t>Các dự án dịch vụ thương mại, khu vui chơi giải trí quy mô cấp vùng</w:t>
            </w:r>
          </w:p>
        </w:tc>
        <w:tc>
          <w:tcPr>
            <w:tcW w:w="1433" w:type="dxa"/>
            <w:vAlign w:val="center"/>
          </w:tcPr>
          <w:p w14:paraId="519B410F" w14:textId="77777777" w:rsidR="00A02FF4" w:rsidRPr="008E63BB" w:rsidRDefault="00A02FF4" w:rsidP="00F5692E">
            <w:pPr>
              <w:jc w:val="center"/>
              <w:rPr>
                <w:szCs w:val="26"/>
              </w:rPr>
            </w:pPr>
            <w:r w:rsidRPr="008E63BB">
              <w:rPr>
                <w:rFonts w:eastAsia="Times New Roman"/>
                <w:szCs w:val="26"/>
              </w:rPr>
              <w:t>2020-2030</w:t>
            </w:r>
          </w:p>
        </w:tc>
        <w:tc>
          <w:tcPr>
            <w:tcW w:w="1266" w:type="dxa"/>
            <w:vAlign w:val="center"/>
          </w:tcPr>
          <w:p w14:paraId="519B4110" w14:textId="77777777" w:rsidR="00A02FF4" w:rsidRPr="008E63BB" w:rsidRDefault="00A02FF4" w:rsidP="00742B97">
            <w:pPr>
              <w:jc w:val="center"/>
              <w:rPr>
                <w:szCs w:val="26"/>
              </w:rPr>
            </w:pPr>
            <w:r w:rsidRPr="008E63BB">
              <w:rPr>
                <w:szCs w:val="26"/>
              </w:rPr>
              <w:t>148,6</w:t>
            </w:r>
          </w:p>
        </w:tc>
        <w:tc>
          <w:tcPr>
            <w:tcW w:w="2382" w:type="dxa"/>
            <w:vAlign w:val="center"/>
          </w:tcPr>
          <w:p w14:paraId="519B4111" w14:textId="77777777" w:rsidR="00A02FF4" w:rsidRPr="008E63BB" w:rsidRDefault="00A02FF4" w:rsidP="00F5692E">
            <w:pPr>
              <w:jc w:val="left"/>
              <w:rPr>
                <w:rFonts w:eastAsia="Times New Roman"/>
                <w:szCs w:val="26"/>
              </w:rPr>
            </w:pPr>
            <w:r w:rsidRPr="008E63BB">
              <w:rPr>
                <w:rFonts w:eastAsia="Times New Roman"/>
                <w:szCs w:val="26"/>
              </w:rPr>
              <w:t xml:space="preserve">Vốn DN </w:t>
            </w:r>
            <w:r w:rsidRPr="008E63BB">
              <w:rPr>
                <w:rFonts w:eastAsia="Times New Roman"/>
              </w:rPr>
              <w:t>thực hiện theo từng dự án</w:t>
            </w:r>
          </w:p>
        </w:tc>
      </w:tr>
      <w:tr w:rsidR="008D5BFE" w:rsidRPr="008E63BB" w14:paraId="519B4118" w14:textId="77777777" w:rsidTr="00742B97">
        <w:trPr>
          <w:trHeight w:val="593"/>
        </w:trPr>
        <w:tc>
          <w:tcPr>
            <w:tcW w:w="708" w:type="dxa"/>
            <w:vAlign w:val="center"/>
          </w:tcPr>
          <w:p w14:paraId="519B4113" w14:textId="77777777" w:rsidR="00A02FF4" w:rsidRPr="008E63BB" w:rsidRDefault="00A02FF4" w:rsidP="00F5692E">
            <w:pPr>
              <w:jc w:val="right"/>
              <w:rPr>
                <w:rFonts w:eastAsia="Times New Roman"/>
                <w:szCs w:val="26"/>
              </w:rPr>
            </w:pPr>
            <w:r w:rsidRPr="008E63BB">
              <w:rPr>
                <w:rFonts w:eastAsia="Times New Roman"/>
                <w:szCs w:val="26"/>
              </w:rPr>
              <w:t>2.7</w:t>
            </w:r>
          </w:p>
        </w:tc>
        <w:tc>
          <w:tcPr>
            <w:tcW w:w="3817" w:type="dxa"/>
            <w:vAlign w:val="center"/>
          </w:tcPr>
          <w:p w14:paraId="519B4114" w14:textId="77777777" w:rsidR="00A02FF4" w:rsidRPr="008E63BB" w:rsidRDefault="00A02FF4" w:rsidP="00F5692E">
            <w:pPr>
              <w:rPr>
                <w:rFonts w:eastAsia="Times New Roman"/>
                <w:szCs w:val="26"/>
              </w:rPr>
            </w:pPr>
            <w:r w:rsidRPr="008E63BB">
              <w:rPr>
                <w:rFonts w:eastAsia="Times New Roman"/>
                <w:szCs w:val="26"/>
              </w:rPr>
              <w:t>Khu Trung tâm lễ hội thuộc khu di tích lịch sử - văn hóa thời Trần</w:t>
            </w:r>
          </w:p>
        </w:tc>
        <w:tc>
          <w:tcPr>
            <w:tcW w:w="1433" w:type="dxa"/>
            <w:vAlign w:val="center"/>
          </w:tcPr>
          <w:p w14:paraId="519B4115" w14:textId="77777777" w:rsidR="00A02FF4" w:rsidRPr="008E63BB" w:rsidRDefault="00A02FF4" w:rsidP="00F5692E">
            <w:pPr>
              <w:jc w:val="center"/>
              <w:rPr>
                <w:rFonts w:eastAsia="Times New Roman"/>
                <w:szCs w:val="26"/>
              </w:rPr>
            </w:pPr>
            <w:r w:rsidRPr="008E63BB">
              <w:rPr>
                <w:rFonts w:eastAsia="Times New Roman"/>
                <w:szCs w:val="26"/>
              </w:rPr>
              <w:t>2020-2030</w:t>
            </w:r>
          </w:p>
        </w:tc>
        <w:tc>
          <w:tcPr>
            <w:tcW w:w="1266" w:type="dxa"/>
            <w:vAlign w:val="center"/>
          </w:tcPr>
          <w:p w14:paraId="519B4116" w14:textId="77777777" w:rsidR="00A02FF4" w:rsidRPr="008E63BB" w:rsidRDefault="00A02FF4" w:rsidP="00F5692E">
            <w:pPr>
              <w:rPr>
                <w:rFonts w:eastAsia="Times New Roman"/>
                <w:szCs w:val="26"/>
              </w:rPr>
            </w:pPr>
            <w:r w:rsidRPr="008E63BB">
              <w:rPr>
                <w:rFonts w:eastAsia="Times New Roman"/>
                <w:szCs w:val="26"/>
              </w:rPr>
              <w:t> </w:t>
            </w:r>
          </w:p>
        </w:tc>
        <w:tc>
          <w:tcPr>
            <w:tcW w:w="2382" w:type="dxa"/>
            <w:vAlign w:val="center"/>
          </w:tcPr>
          <w:p w14:paraId="519B4117" w14:textId="77777777" w:rsidR="00A02FF4" w:rsidRPr="008E63BB" w:rsidRDefault="00A02FF4" w:rsidP="00F5692E">
            <w:pPr>
              <w:jc w:val="left"/>
              <w:rPr>
                <w:rFonts w:eastAsia="Times New Roman"/>
                <w:szCs w:val="26"/>
              </w:rPr>
            </w:pPr>
            <w:r w:rsidRPr="008E63BB">
              <w:rPr>
                <w:rFonts w:eastAsia="Times New Roman"/>
                <w:szCs w:val="26"/>
              </w:rPr>
              <w:t xml:space="preserve">Ngân sách tỉnh </w:t>
            </w:r>
            <w:r w:rsidRPr="008E63BB">
              <w:rPr>
                <w:rFonts w:eastAsia="Times New Roman"/>
              </w:rPr>
              <w:t>thực hiện theo từng dự án</w:t>
            </w:r>
          </w:p>
        </w:tc>
      </w:tr>
      <w:tr w:rsidR="008D5BFE" w:rsidRPr="008E63BB" w14:paraId="519B411E" w14:textId="77777777" w:rsidTr="00742B97">
        <w:trPr>
          <w:trHeight w:val="593"/>
        </w:trPr>
        <w:tc>
          <w:tcPr>
            <w:tcW w:w="708" w:type="dxa"/>
            <w:vAlign w:val="center"/>
          </w:tcPr>
          <w:p w14:paraId="519B4119" w14:textId="77777777" w:rsidR="00A02FF4" w:rsidRPr="008E63BB" w:rsidRDefault="00A02FF4" w:rsidP="00F5692E">
            <w:pPr>
              <w:jc w:val="right"/>
              <w:rPr>
                <w:rFonts w:eastAsia="Times New Roman"/>
                <w:szCs w:val="26"/>
              </w:rPr>
            </w:pPr>
            <w:r w:rsidRPr="008E63BB">
              <w:rPr>
                <w:rFonts w:eastAsia="Times New Roman"/>
                <w:szCs w:val="26"/>
              </w:rPr>
              <w:t>2.8</w:t>
            </w:r>
          </w:p>
        </w:tc>
        <w:tc>
          <w:tcPr>
            <w:tcW w:w="3817" w:type="dxa"/>
            <w:vAlign w:val="center"/>
          </w:tcPr>
          <w:p w14:paraId="519B411A" w14:textId="77777777" w:rsidR="00A02FF4" w:rsidRPr="008E63BB" w:rsidRDefault="00A02FF4" w:rsidP="00FD0E46">
            <w:pPr>
              <w:rPr>
                <w:rFonts w:eastAsia="Times New Roman"/>
                <w:szCs w:val="26"/>
              </w:rPr>
            </w:pPr>
            <w:r w:rsidRPr="008E63BB">
              <w:rPr>
                <w:rFonts w:eastAsia="Times New Roman"/>
                <w:szCs w:val="26"/>
              </w:rPr>
              <w:t xml:space="preserve">Xây dựng hạ tầng Khu đô thị mới </w:t>
            </w:r>
            <w:r w:rsidR="00FD0E46" w:rsidRPr="008E63BB">
              <w:rPr>
                <w:rFonts w:eastAsia="Times New Roman"/>
                <w:szCs w:val="26"/>
              </w:rPr>
              <w:t>Phú Ốc, khuc vực</w:t>
            </w:r>
            <w:r w:rsidRPr="008E63BB">
              <w:rPr>
                <w:rFonts w:eastAsia="Times New Roman"/>
                <w:szCs w:val="26"/>
              </w:rPr>
              <w:t xml:space="preserve"> Nam sông Đào</w:t>
            </w:r>
          </w:p>
        </w:tc>
        <w:tc>
          <w:tcPr>
            <w:tcW w:w="1433" w:type="dxa"/>
            <w:vAlign w:val="center"/>
          </w:tcPr>
          <w:p w14:paraId="519B411B" w14:textId="77777777" w:rsidR="00A02FF4" w:rsidRPr="008E63BB" w:rsidRDefault="00A02FF4" w:rsidP="00F5692E">
            <w:pPr>
              <w:jc w:val="center"/>
              <w:rPr>
                <w:rFonts w:eastAsia="Times New Roman"/>
                <w:szCs w:val="26"/>
              </w:rPr>
            </w:pPr>
            <w:r w:rsidRPr="008E63BB">
              <w:rPr>
                <w:rFonts w:eastAsia="Times New Roman"/>
                <w:szCs w:val="26"/>
              </w:rPr>
              <w:t>2020-2030</w:t>
            </w:r>
          </w:p>
        </w:tc>
        <w:tc>
          <w:tcPr>
            <w:tcW w:w="1266" w:type="dxa"/>
            <w:vAlign w:val="center"/>
          </w:tcPr>
          <w:p w14:paraId="519B411C" w14:textId="77777777" w:rsidR="00A02FF4" w:rsidRPr="008E63BB" w:rsidRDefault="00A02FF4" w:rsidP="00F5692E">
            <w:pPr>
              <w:rPr>
                <w:rFonts w:eastAsia="Times New Roman"/>
                <w:szCs w:val="26"/>
              </w:rPr>
            </w:pPr>
          </w:p>
        </w:tc>
        <w:tc>
          <w:tcPr>
            <w:tcW w:w="2382" w:type="dxa"/>
            <w:vAlign w:val="center"/>
          </w:tcPr>
          <w:p w14:paraId="519B411D" w14:textId="77777777" w:rsidR="00A02FF4" w:rsidRPr="008E63BB" w:rsidRDefault="00FD0E46" w:rsidP="00F5692E">
            <w:pPr>
              <w:jc w:val="left"/>
              <w:rPr>
                <w:rFonts w:eastAsia="Times New Roman"/>
                <w:szCs w:val="26"/>
              </w:rPr>
            </w:pPr>
            <w:r w:rsidRPr="008E63BB">
              <w:rPr>
                <w:rFonts w:eastAsia="Times New Roman"/>
                <w:szCs w:val="26"/>
              </w:rPr>
              <w:t>Xã hội hóa</w:t>
            </w:r>
          </w:p>
        </w:tc>
      </w:tr>
      <w:tr w:rsidR="008D5BFE" w:rsidRPr="008E63BB" w14:paraId="519B4124" w14:textId="77777777" w:rsidTr="00742B97">
        <w:trPr>
          <w:trHeight w:val="305"/>
        </w:trPr>
        <w:tc>
          <w:tcPr>
            <w:tcW w:w="708" w:type="dxa"/>
          </w:tcPr>
          <w:p w14:paraId="519B411F" w14:textId="77777777" w:rsidR="00A02FF4" w:rsidRPr="008E63BB" w:rsidRDefault="00A02FF4" w:rsidP="00F5692E">
            <w:pPr>
              <w:jc w:val="center"/>
              <w:rPr>
                <w:b/>
                <w:i/>
              </w:rPr>
            </w:pPr>
            <w:r w:rsidRPr="008E63BB">
              <w:rPr>
                <w:b/>
                <w:i/>
              </w:rPr>
              <w:t>3</w:t>
            </w:r>
          </w:p>
        </w:tc>
        <w:tc>
          <w:tcPr>
            <w:tcW w:w="3817" w:type="dxa"/>
          </w:tcPr>
          <w:p w14:paraId="519B4120" w14:textId="77777777" w:rsidR="00A02FF4" w:rsidRPr="008E63BB" w:rsidRDefault="00A02FF4" w:rsidP="00F5692E">
            <w:pPr>
              <w:rPr>
                <w:b/>
                <w:i/>
              </w:rPr>
            </w:pPr>
            <w:r w:rsidRPr="008E63BB">
              <w:rPr>
                <w:b/>
                <w:i/>
              </w:rPr>
              <w:t>Giao thông</w:t>
            </w:r>
          </w:p>
        </w:tc>
        <w:tc>
          <w:tcPr>
            <w:tcW w:w="1433" w:type="dxa"/>
          </w:tcPr>
          <w:p w14:paraId="519B4121" w14:textId="77777777" w:rsidR="00A02FF4" w:rsidRPr="008E63BB" w:rsidRDefault="00A02FF4" w:rsidP="00F5692E">
            <w:pPr>
              <w:rPr>
                <w:b/>
                <w:i/>
              </w:rPr>
            </w:pPr>
          </w:p>
        </w:tc>
        <w:tc>
          <w:tcPr>
            <w:tcW w:w="1266" w:type="dxa"/>
          </w:tcPr>
          <w:p w14:paraId="519B4122" w14:textId="77777777" w:rsidR="00A02FF4" w:rsidRPr="008E63BB" w:rsidRDefault="00A02FF4" w:rsidP="00F5692E">
            <w:pPr>
              <w:rPr>
                <w:b/>
                <w:i/>
              </w:rPr>
            </w:pPr>
          </w:p>
        </w:tc>
        <w:tc>
          <w:tcPr>
            <w:tcW w:w="2382" w:type="dxa"/>
          </w:tcPr>
          <w:p w14:paraId="519B4123" w14:textId="77777777" w:rsidR="00A02FF4" w:rsidRPr="008E63BB" w:rsidRDefault="00A02FF4" w:rsidP="00F5692E">
            <w:pPr>
              <w:rPr>
                <w:b/>
                <w:i/>
              </w:rPr>
            </w:pPr>
          </w:p>
        </w:tc>
      </w:tr>
      <w:tr w:rsidR="003C017D" w:rsidRPr="008E63BB" w14:paraId="519B412A" w14:textId="77777777" w:rsidTr="00742B97">
        <w:trPr>
          <w:trHeight w:val="593"/>
        </w:trPr>
        <w:tc>
          <w:tcPr>
            <w:tcW w:w="708" w:type="dxa"/>
          </w:tcPr>
          <w:p w14:paraId="519B4125" w14:textId="77777777" w:rsidR="003C017D" w:rsidRPr="008E63BB" w:rsidRDefault="003C017D" w:rsidP="00F5692E">
            <w:r w:rsidRPr="008E63BB">
              <w:t>3.1</w:t>
            </w:r>
          </w:p>
        </w:tc>
        <w:tc>
          <w:tcPr>
            <w:tcW w:w="3817" w:type="dxa"/>
            <w:vAlign w:val="bottom"/>
          </w:tcPr>
          <w:p w14:paraId="519B4126" w14:textId="77777777" w:rsidR="003C017D" w:rsidRPr="008E63BB" w:rsidRDefault="003C017D" w:rsidP="00F5692E">
            <w:pPr>
              <w:rPr>
                <w:rFonts w:eastAsia="Times New Roman"/>
                <w:szCs w:val="24"/>
              </w:rPr>
            </w:pPr>
            <w:r w:rsidRPr="008E63BB">
              <w:rPr>
                <w:rFonts w:eastAsia="Times New Roman"/>
                <w:szCs w:val="24"/>
              </w:rPr>
              <w:t>Nâng cấp, cải tạo QL10, QL 38B, QL21, QL 21B (30,4 km)</w:t>
            </w:r>
          </w:p>
        </w:tc>
        <w:tc>
          <w:tcPr>
            <w:tcW w:w="1433" w:type="dxa"/>
          </w:tcPr>
          <w:p w14:paraId="519B4127"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28" w14:textId="77777777" w:rsidR="003C017D" w:rsidRPr="008E63BB" w:rsidRDefault="003C017D" w:rsidP="00F5692E">
            <w:pPr>
              <w:jc w:val="center"/>
              <w:rPr>
                <w:rFonts w:eastAsia="Times New Roman"/>
                <w:szCs w:val="24"/>
              </w:rPr>
            </w:pPr>
            <w:r w:rsidRPr="008E63BB">
              <w:rPr>
                <w:rFonts w:eastAsia="Times New Roman"/>
                <w:szCs w:val="24"/>
              </w:rPr>
              <w:t>152</w:t>
            </w:r>
          </w:p>
        </w:tc>
        <w:tc>
          <w:tcPr>
            <w:tcW w:w="2382" w:type="dxa"/>
          </w:tcPr>
          <w:p w14:paraId="519B4129" w14:textId="77777777" w:rsidR="003C017D" w:rsidRPr="008E63BB" w:rsidRDefault="003C017D">
            <w:r w:rsidRPr="008E63BB">
              <w:rPr>
                <w:sz w:val="28"/>
                <w:szCs w:val="28"/>
              </w:rPr>
              <w:t>Ngân sách + XHH</w:t>
            </w:r>
          </w:p>
        </w:tc>
      </w:tr>
      <w:tr w:rsidR="003C017D" w:rsidRPr="008E63BB" w14:paraId="519B4130" w14:textId="77777777" w:rsidTr="00742B97">
        <w:trPr>
          <w:trHeight w:val="593"/>
        </w:trPr>
        <w:tc>
          <w:tcPr>
            <w:tcW w:w="708" w:type="dxa"/>
          </w:tcPr>
          <w:p w14:paraId="519B412B" w14:textId="77777777" w:rsidR="003C017D" w:rsidRPr="008E63BB" w:rsidRDefault="003C017D" w:rsidP="00F5692E">
            <w:r w:rsidRPr="008E63BB">
              <w:t>3.2</w:t>
            </w:r>
          </w:p>
        </w:tc>
        <w:tc>
          <w:tcPr>
            <w:tcW w:w="3817" w:type="dxa"/>
            <w:vAlign w:val="bottom"/>
          </w:tcPr>
          <w:p w14:paraId="519B412C" w14:textId="77777777" w:rsidR="003C017D" w:rsidRPr="008E63BB" w:rsidRDefault="003C017D" w:rsidP="00F5692E">
            <w:pPr>
              <w:rPr>
                <w:rFonts w:eastAsia="Times New Roman"/>
                <w:szCs w:val="24"/>
              </w:rPr>
            </w:pPr>
            <w:r w:rsidRPr="008E63BB">
              <w:rPr>
                <w:rFonts w:eastAsia="Times New Roman"/>
                <w:szCs w:val="24"/>
              </w:rPr>
              <w:t>Xây dựng vành đai II (Cầu Tân Phong - QL 21B) (13,5km)</w:t>
            </w:r>
          </w:p>
        </w:tc>
        <w:tc>
          <w:tcPr>
            <w:tcW w:w="1433" w:type="dxa"/>
          </w:tcPr>
          <w:p w14:paraId="519B412D"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2E" w14:textId="77777777" w:rsidR="003C017D" w:rsidRPr="008E63BB" w:rsidRDefault="003C017D" w:rsidP="00F5692E">
            <w:pPr>
              <w:jc w:val="center"/>
              <w:rPr>
                <w:rFonts w:eastAsia="Times New Roman"/>
                <w:szCs w:val="24"/>
              </w:rPr>
            </w:pPr>
            <w:r w:rsidRPr="008E63BB">
              <w:rPr>
                <w:rFonts w:eastAsia="Times New Roman"/>
                <w:szCs w:val="24"/>
              </w:rPr>
              <w:t>278.78</w:t>
            </w:r>
          </w:p>
        </w:tc>
        <w:tc>
          <w:tcPr>
            <w:tcW w:w="2382" w:type="dxa"/>
          </w:tcPr>
          <w:p w14:paraId="519B412F" w14:textId="77777777" w:rsidR="003C017D" w:rsidRPr="008E63BB" w:rsidRDefault="003C017D">
            <w:r w:rsidRPr="008E63BB">
              <w:rPr>
                <w:sz w:val="28"/>
                <w:szCs w:val="28"/>
              </w:rPr>
              <w:t>Ngân sách + XHH</w:t>
            </w:r>
          </w:p>
        </w:tc>
      </w:tr>
      <w:tr w:rsidR="003C017D" w:rsidRPr="008E63BB" w14:paraId="519B4136" w14:textId="77777777" w:rsidTr="00742B97">
        <w:trPr>
          <w:trHeight w:val="611"/>
        </w:trPr>
        <w:tc>
          <w:tcPr>
            <w:tcW w:w="708" w:type="dxa"/>
          </w:tcPr>
          <w:p w14:paraId="519B4131" w14:textId="77777777" w:rsidR="003C017D" w:rsidRPr="008E63BB" w:rsidRDefault="003C017D" w:rsidP="00F5692E">
            <w:r w:rsidRPr="008E63BB">
              <w:t>3.3</w:t>
            </w:r>
          </w:p>
        </w:tc>
        <w:tc>
          <w:tcPr>
            <w:tcW w:w="3817" w:type="dxa"/>
            <w:vAlign w:val="bottom"/>
          </w:tcPr>
          <w:p w14:paraId="519B4132" w14:textId="77777777" w:rsidR="003C017D" w:rsidRPr="008E63BB" w:rsidRDefault="003C017D" w:rsidP="00F5692E">
            <w:pPr>
              <w:rPr>
                <w:rFonts w:eastAsia="Times New Roman"/>
                <w:szCs w:val="24"/>
              </w:rPr>
            </w:pPr>
            <w:r w:rsidRPr="008E63BB">
              <w:rPr>
                <w:rFonts w:eastAsia="Times New Roman"/>
                <w:szCs w:val="24"/>
              </w:rPr>
              <w:t>Xây dựng mới bến xe khu vực cửa ngõ phía Tây (4ha)</w:t>
            </w:r>
          </w:p>
        </w:tc>
        <w:tc>
          <w:tcPr>
            <w:tcW w:w="1433" w:type="dxa"/>
          </w:tcPr>
          <w:p w14:paraId="519B4133"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34" w14:textId="77777777" w:rsidR="003C017D" w:rsidRPr="008E63BB" w:rsidRDefault="003C017D" w:rsidP="00F5692E">
            <w:pPr>
              <w:jc w:val="center"/>
              <w:rPr>
                <w:rFonts w:eastAsia="Times New Roman"/>
                <w:szCs w:val="24"/>
              </w:rPr>
            </w:pPr>
            <w:r w:rsidRPr="008E63BB">
              <w:rPr>
                <w:rFonts w:eastAsia="Times New Roman"/>
                <w:szCs w:val="24"/>
              </w:rPr>
              <w:t>100</w:t>
            </w:r>
          </w:p>
        </w:tc>
        <w:tc>
          <w:tcPr>
            <w:tcW w:w="2382" w:type="dxa"/>
          </w:tcPr>
          <w:p w14:paraId="519B4135" w14:textId="77777777" w:rsidR="003C017D" w:rsidRPr="008E63BB" w:rsidRDefault="003C017D">
            <w:r w:rsidRPr="008E63BB">
              <w:rPr>
                <w:sz w:val="28"/>
                <w:szCs w:val="28"/>
              </w:rPr>
              <w:t>Ngân sách + XHH</w:t>
            </w:r>
          </w:p>
        </w:tc>
      </w:tr>
      <w:tr w:rsidR="003C017D" w:rsidRPr="008E63BB" w14:paraId="519B413C" w14:textId="77777777" w:rsidTr="00742B97">
        <w:trPr>
          <w:trHeight w:val="593"/>
        </w:trPr>
        <w:tc>
          <w:tcPr>
            <w:tcW w:w="708" w:type="dxa"/>
          </w:tcPr>
          <w:p w14:paraId="519B4137" w14:textId="77777777" w:rsidR="003C017D" w:rsidRPr="008E63BB" w:rsidRDefault="003C017D" w:rsidP="00F5692E">
            <w:r w:rsidRPr="008E63BB">
              <w:t>3.4</w:t>
            </w:r>
          </w:p>
        </w:tc>
        <w:tc>
          <w:tcPr>
            <w:tcW w:w="3817" w:type="dxa"/>
            <w:vAlign w:val="bottom"/>
          </w:tcPr>
          <w:p w14:paraId="519B4138" w14:textId="77777777" w:rsidR="003C017D" w:rsidRPr="008E63BB" w:rsidRDefault="003C017D" w:rsidP="00F5692E">
            <w:pPr>
              <w:rPr>
                <w:rFonts w:eastAsia="Times New Roman"/>
                <w:szCs w:val="24"/>
              </w:rPr>
            </w:pPr>
            <w:r w:rsidRPr="008E63BB">
              <w:rPr>
                <w:rFonts w:eastAsia="Times New Roman"/>
                <w:szCs w:val="24"/>
              </w:rPr>
              <w:t>Xây dựng trục đường chính gắn kết cửa ngõ phía Tây</w:t>
            </w:r>
          </w:p>
        </w:tc>
        <w:tc>
          <w:tcPr>
            <w:tcW w:w="1433" w:type="dxa"/>
          </w:tcPr>
          <w:p w14:paraId="519B4139"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3A" w14:textId="77777777" w:rsidR="003C017D" w:rsidRPr="008E63BB" w:rsidRDefault="003C017D" w:rsidP="00F5692E">
            <w:pPr>
              <w:jc w:val="center"/>
              <w:rPr>
                <w:rFonts w:eastAsia="Times New Roman"/>
                <w:szCs w:val="24"/>
              </w:rPr>
            </w:pPr>
            <w:r w:rsidRPr="008E63BB">
              <w:rPr>
                <w:rFonts w:eastAsia="Times New Roman"/>
                <w:szCs w:val="24"/>
              </w:rPr>
              <w:t>156.00</w:t>
            </w:r>
          </w:p>
        </w:tc>
        <w:tc>
          <w:tcPr>
            <w:tcW w:w="2382" w:type="dxa"/>
          </w:tcPr>
          <w:p w14:paraId="519B413B" w14:textId="77777777" w:rsidR="003C017D" w:rsidRPr="008E63BB" w:rsidRDefault="003C017D">
            <w:r w:rsidRPr="008E63BB">
              <w:rPr>
                <w:sz w:val="28"/>
                <w:szCs w:val="28"/>
              </w:rPr>
              <w:t>Ngân sách + XHH</w:t>
            </w:r>
          </w:p>
        </w:tc>
      </w:tr>
      <w:tr w:rsidR="003C017D" w:rsidRPr="008E63BB" w14:paraId="519B4142" w14:textId="77777777" w:rsidTr="00742B97">
        <w:trPr>
          <w:trHeight w:val="593"/>
        </w:trPr>
        <w:tc>
          <w:tcPr>
            <w:tcW w:w="708" w:type="dxa"/>
          </w:tcPr>
          <w:p w14:paraId="519B413D" w14:textId="77777777" w:rsidR="003C017D" w:rsidRPr="008E63BB" w:rsidRDefault="003C017D" w:rsidP="00F5692E">
            <w:r w:rsidRPr="008E63BB">
              <w:t>3.5</w:t>
            </w:r>
          </w:p>
        </w:tc>
        <w:tc>
          <w:tcPr>
            <w:tcW w:w="3817" w:type="dxa"/>
            <w:vAlign w:val="bottom"/>
          </w:tcPr>
          <w:p w14:paraId="519B413E" w14:textId="77777777" w:rsidR="003C017D" w:rsidRPr="008E63BB" w:rsidRDefault="003C017D" w:rsidP="00F5692E">
            <w:pPr>
              <w:rPr>
                <w:rFonts w:eastAsia="Times New Roman"/>
                <w:szCs w:val="24"/>
              </w:rPr>
            </w:pPr>
            <w:r w:rsidRPr="008E63BB">
              <w:rPr>
                <w:rFonts w:eastAsia="Times New Roman"/>
                <w:szCs w:val="24"/>
              </w:rPr>
              <w:t>Xây dựng các trục đường chính (khu phía Tây) (</w:t>
            </w:r>
            <w:r w:rsidRPr="008E63BB">
              <w:t>5 km)</w:t>
            </w:r>
          </w:p>
        </w:tc>
        <w:tc>
          <w:tcPr>
            <w:tcW w:w="1433" w:type="dxa"/>
          </w:tcPr>
          <w:p w14:paraId="519B413F"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40" w14:textId="77777777" w:rsidR="003C017D" w:rsidRPr="008E63BB" w:rsidRDefault="003C017D" w:rsidP="00F5692E">
            <w:pPr>
              <w:jc w:val="center"/>
              <w:rPr>
                <w:rFonts w:eastAsia="Times New Roman"/>
                <w:szCs w:val="24"/>
              </w:rPr>
            </w:pPr>
            <w:r w:rsidRPr="008E63BB">
              <w:rPr>
                <w:rFonts w:eastAsia="Times New Roman"/>
                <w:szCs w:val="24"/>
              </w:rPr>
              <w:t>165.82</w:t>
            </w:r>
          </w:p>
        </w:tc>
        <w:tc>
          <w:tcPr>
            <w:tcW w:w="2382" w:type="dxa"/>
          </w:tcPr>
          <w:p w14:paraId="519B4141" w14:textId="77777777" w:rsidR="003C017D" w:rsidRPr="008E63BB" w:rsidRDefault="003C017D">
            <w:r w:rsidRPr="008E63BB">
              <w:rPr>
                <w:sz w:val="28"/>
                <w:szCs w:val="28"/>
              </w:rPr>
              <w:t>Ngân sách + XHH</w:t>
            </w:r>
          </w:p>
        </w:tc>
      </w:tr>
      <w:tr w:rsidR="003C017D" w:rsidRPr="008E63BB" w14:paraId="519B4148" w14:textId="77777777" w:rsidTr="00742B97">
        <w:trPr>
          <w:trHeight w:val="318"/>
        </w:trPr>
        <w:tc>
          <w:tcPr>
            <w:tcW w:w="708" w:type="dxa"/>
          </w:tcPr>
          <w:p w14:paraId="519B4143" w14:textId="77777777" w:rsidR="003C017D" w:rsidRPr="008E63BB" w:rsidRDefault="003C017D" w:rsidP="00F5692E">
            <w:r w:rsidRPr="008E63BB">
              <w:t>3.6</w:t>
            </w:r>
          </w:p>
        </w:tc>
        <w:tc>
          <w:tcPr>
            <w:tcW w:w="3817" w:type="dxa"/>
            <w:vAlign w:val="bottom"/>
          </w:tcPr>
          <w:p w14:paraId="519B4144" w14:textId="77777777" w:rsidR="003C017D" w:rsidRPr="008E63BB" w:rsidRDefault="003C017D" w:rsidP="00F5692E">
            <w:pPr>
              <w:rPr>
                <w:rFonts w:eastAsia="Times New Roman"/>
                <w:szCs w:val="24"/>
              </w:rPr>
            </w:pPr>
            <w:r w:rsidRPr="008E63BB">
              <w:rPr>
                <w:rFonts w:eastAsia="Times New Roman"/>
                <w:szCs w:val="24"/>
              </w:rPr>
              <w:t>Xây dựng trục đường chính khác</w:t>
            </w:r>
          </w:p>
        </w:tc>
        <w:tc>
          <w:tcPr>
            <w:tcW w:w="1433" w:type="dxa"/>
          </w:tcPr>
          <w:p w14:paraId="519B4145"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46" w14:textId="77777777" w:rsidR="003C017D" w:rsidRPr="008E63BB" w:rsidRDefault="003C017D" w:rsidP="00F5692E">
            <w:pPr>
              <w:jc w:val="center"/>
              <w:rPr>
                <w:rFonts w:eastAsia="Times New Roman"/>
                <w:szCs w:val="24"/>
              </w:rPr>
            </w:pPr>
            <w:r w:rsidRPr="008E63BB">
              <w:rPr>
                <w:rFonts w:eastAsia="Times New Roman"/>
                <w:szCs w:val="24"/>
              </w:rPr>
              <w:t>124.35</w:t>
            </w:r>
          </w:p>
        </w:tc>
        <w:tc>
          <w:tcPr>
            <w:tcW w:w="2382" w:type="dxa"/>
          </w:tcPr>
          <w:p w14:paraId="519B4147" w14:textId="77777777" w:rsidR="003C017D" w:rsidRPr="008E63BB" w:rsidRDefault="003C017D">
            <w:r w:rsidRPr="008E63BB">
              <w:rPr>
                <w:sz w:val="28"/>
                <w:szCs w:val="28"/>
              </w:rPr>
              <w:t>Ngân sách + XHH</w:t>
            </w:r>
          </w:p>
        </w:tc>
      </w:tr>
      <w:tr w:rsidR="003C017D" w:rsidRPr="008E63BB" w14:paraId="519B414E" w14:textId="77777777" w:rsidTr="00742B97">
        <w:trPr>
          <w:trHeight w:val="1510"/>
        </w:trPr>
        <w:tc>
          <w:tcPr>
            <w:tcW w:w="708" w:type="dxa"/>
          </w:tcPr>
          <w:p w14:paraId="519B4149" w14:textId="77777777" w:rsidR="003C017D" w:rsidRPr="008E63BB" w:rsidRDefault="003C017D" w:rsidP="00F5692E">
            <w:r w:rsidRPr="008E63BB">
              <w:t>3.7</w:t>
            </w:r>
          </w:p>
        </w:tc>
        <w:tc>
          <w:tcPr>
            <w:tcW w:w="3817" w:type="dxa"/>
          </w:tcPr>
          <w:p w14:paraId="519B414A" w14:textId="77777777" w:rsidR="003C017D" w:rsidRPr="008E63BB" w:rsidRDefault="003C017D" w:rsidP="00F5692E">
            <w:pPr>
              <w:tabs>
                <w:tab w:val="left" w:pos="1141"/>
              </w:tabs>
              <w:jc w:val="left"/>
            </w:pPr>
            <w:r w:rsidRPr="008E63BB">
              <w:rPr>
                <w:rFonts w:eastAsia="Times New Roman"/>
                <w:szCs w:val="24"/>
              </w:rPr>
              <w:t xml:space="preserve">Cải tạo nút giao thông (04 nút: </w:t>
            </w:r>
            <w:r w:rsidRPr="008E63BB">
              <w:rPr>
                <w:bCs/>
                <w:szCs w:val="26"/>
                <w:lang w:val="de-DE"/>
              </w:rPr>
              <w:t>Trần Hưng Đạo – Trường Chinh; Lê Hồng Phong – Hoàng Văn Thụ; Văn Cao - Giải Phóng; Trần Huy Liệu - Giải Phóng</w:t>
            </w:r>
            <w:r w:rsidRPr="008E63BB">
              <w:rPr>
                <w:rFonts w:eastAsia="Times New Roman"/>
                <w:szCs w:val="24"/>
              </w:rPr>
              <w:t>)</w:t>
            </w:r>
          </w:p>
        </w:tc>
        <w:tc>
          <w:tcPr>
            <w:tcW w:w="1433" w:type="dxa"/>
          </w:tcPr>
          <w:p w14:paraId="519B414B"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4C" w14:textId="77777777" w:rsidR="003C017D" w:rsidRPr="008E63BB" w:rsidRDefault="003C017D" w:rsidP="00F5692E">
            <w:pPr>
              <w:jc w:val="center"/>
              <w:rPr>
                <w:rFonts w:eastAsia="Times New Roman"/>
                <w:szCs w:val="24"/>
              </w:rPr>
            </w:pPr>
            <w:r w:rsidRPr="008E63BB">
              <w:rPr>
                <w:rFonts w:eastAsia="Times New Roman"/>
                <w:szCs w:val="24"/>
              </w:rPr>
              <w:t>32</w:t>
            </w:r>
          </w:p>
        </w:tc>
        <w:tc>
          <w:tcPr>
            <w:tcW w:w="2382" w:type="dxa"/>
          </w:tcPr>
          <w:p w14:paraId="519B414D" w14:textId="77777777" w:rsidR="003C017D" w:rsidRPr="008E63BB" w:rsidRDefault="003C017D">
            <w:r w:rsidRPr="008E63BB">
              <w:rPr>
                <w:sz w:val="28"/>
                <w:szCs w:val="28"/>
              </w:rPr>
              <w:t>Ngân sách + XHH</w:t>
            </w:r>
          </w:p>
        </w:tc>
      </w:tr>
      <w:tr w:rsidR="003C017D" w:rsidRPr="008E63BB" w14:paraId="519B4154" w14:textId="77777777" w:rsidTr="00742B97">
        <w:trPr>
          <w:trHeight w:val="899"/>
        </w:trPr>
        <w:tc>
          <w:tcPr>
            <w:tcW w:w="708" w:type="dxa"/>
          </w:tcPr>
          <w:p w14:paraId="519B414F" w14:textId="77777777" w:rsidR="003C017D" w:rsidRPr="008E63BB" w:rsidRDefault="003C017D" w:rsidP="00F5692E">
            <w:r w:rsidRPr="008E63BB">
              <w:t>3.8</w:t>
            </w:r>
          </w:p>
        </w:tc>
        <w:tc>
          <w:tcPr>
            <w:tcW w:w="3817" w:type="dxa"/>
          </w:tcPr>
          <w:p w14:paraId="519B4150" w14:textId="77777777" w:rsidR="003C017D" w:rsidRPr="008E63BB" w:rsidRDefault="003C017D" w:rsidP="00F5692E">
            <w:pPr>
              <w:jc w:val="left"/>
            </w:pPr>
            <w:r w:rsidRPr="008E63BB">
              <w:rPr>
                <w:rFonts w:eastAsia="Times New Roman"/>
                <w:szCs w:val="24"/>
              </w:rPr>
              <w:t>Khôi phục cầu tại vị trí cầu treo, xây dựng cầu mới nối đường Trần Nhật Duật</w:t>
            </w:r>
          </w:p>
        </w:tc>
        <w:tc>
          <w:tcPr>
            <w:tcW w:w="1433" w:type="dxa"/>
          </w:tcPr>
          <w:p w14:paraId="519B4151"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52" w14:textId="77777777" w:rsidR="003C017D" w:rsidRPr="008E63BB" w:rsidRDefault="003C017D" w:rsidP="00F5692E">
            <w:pPr>
              <w:jc w:val="center"/>
              <w:rPr>
                <w:rFonts w:eastAsia="Times New Roman"/>
                <w:szCs w:val="24"/>
              </w:rPr>
            </w:pPr>
            <w:r w:rsidRPr="008E63BB">
              <w:rPr>
                <w:rFonts w:eastAsia="Times New Roman"/>
                <w:szCs w:val="24"/>
              </w:rPr>
              <w:t>800</w:t>
            </w:r>
          </w:p>
        </w:tc>
        <w:tc>
          <w:tcPr>
            <w:tcW w:w="2382" w:type="dxa"/>
          </w:tcPr>
          <w:p w14:paraId="519B4153" w14:textId="77777777" w:rsidR="003C017D" w:rsidRPr="008E63BB" w:rsidRDefault="003C017D">
            <w:r w:rsidRPr="008E63BB">
              <w:rPr>
                <w:sz w:val="28"/>
                <w:szCs w:val="28"/>
              </w:rPr>
              <w:t>Ngân sách + XHH</w:t>
            </w:r>
          </w:p>
        </w:tc>
      </w:tr>
      <w:tr w:rsidR="003C017D" w:rsidRPr="008E63BB" w14:paraId="519B415A" w14:textId="77777777" w:rsidTr="00742B97">
        <w:trPr>
          <w:trHeight w:val="593"/>
        </w:trPr>
        <w:tc>
          <w:tcPr>
            <w:tcW w:w="708" w:type="dxa"/>
          </w:tcPr>
          <w:p w14:paraId="519B4155" w14:textId="77777777" w:rsidR="003C017D" w:rsidRPr="008E63BB" w:rsidRDefault="003C017D" w:rsidP="00F5692E">
            <w:r w:rsidRPr="008E63BB">
              <w:t>3.9</w:t>
            </w:r>
          </w:p>
        </w:tc>
        <w:tc>
          <w:tcPr>
            <w:tcW w:w="3817" w:type="dxa"/>
          </w:tcPr>
          <w:p w14:paraId="519B4156" w14:textId="77777777" w:rsidR="003C017D" w:rsidRPr="008E63BB" w:rsidRDefault="003C017D" w:rsidP="00F5692E">
            <w:pPr>
              <w:jc w:val="left"/>
            </w:pPr>
            <w:r w:rsidRPr="008E63BB">
              <w:rPr>
                <w:bCs/>
                <w:szCs w:val="26"/>
                <w:lang w:val="de-DE"/>
              </w:rPr>
              <w:t>XD cầu qua sông Đào tại vị trí đường Song Hào</w:t>
            </w:r>
          </w:p>
        </w:tc>
        <w:tc>
          <w:tcPr>
            <w:tcW w:w="1433" w:type="dxa"/>
          </w:tcPr>
          <w:p w14:paraId="519B4157"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58" w14:textId="77777777" w:rsidR="003C017D" w:rsidRPr="008E63BB" w:rsidRDefault="003C017D" w:rsidP="00F5692E">
            <w:pPr>
              <w:jc w:val="center"/>
              <w:rPr>
                <w:rFonts w:eastAsia="Times New Roman"/>
                <w:szCs w:val="24"/>
              </w:rPr>
            </w:pPr>
            <w:r w:rsidRPr="008E63BB">
              <w:rPr>
                <w:rFonts w:eastAsia="Times New Roman"/>
                <w:szCs w:val="24"/>
              </w:rPr>
              <w:t>800</w:t>
            </w:r>
          </w:p>
        </w:tc>
        <w:tc>
          <w:tcPr>
            <w:tcW w:w="2382" w:type="dxa"/>
          </w:tcPr>
          <w:p w14:paraId="519B4159" w14:textId="77777777" w:rsidR="003C017D" w:rsidRPr="008E63BB" w:rsidRDefault="003C017D">
            <w:r w:rsidRPr="008E63BB">
              <w:rPr>
                <w:sz w:val="28"/>
                <w:szCs w:val="28"/>
              </w:rPr>
              <w:t>Ngân sách + XHH</w:t>
            </w:r>
          </w:p>
        </w:tc>
      </w:tr>
      <w:tr w:rsidR="003C017D" w:rsidRPr="008E63BB" w14:paraId="519B4160" w14:textId="77777777" w:rsidTr="00742B97">
        <w:trPr>
          <w:trHeight w:val="288"/>
        </w:trPr>
        <w:tc>
          <w:tcPr>
            <w:tcW w:w="708" w:type="dxa"/>
          </w:tcPr>
          <w:p w14:paraId="519B415B" w14:textId="77777777" w:rsidR="003C017D" w:rsidRPr="008E63BB" w:rsidRDefault="003C017D" w:rsidP="00F5692E">
            <w:r w:rsidRPr="008E63BB">
              <w:t>3.10</w:t>
            </w:r>
          </w:p>
        </w:tc>
        <w:tc>
          <w:tcPr>
            <w:tcW w:w="3817" w:type="dxa"/>
          </w:tcPr>
          <w:p w14:paraId="519B415C" w14:textId="77777777" w:rsidR="003C017D" w:rsidRPr="008E63BB" w:rsidRDefault="003C017D" w:rsidP="00F5692E">
            <w:pPr>
              <w:jc w:val="left"/>
            </w:pPr>
            <w:r w:rsidRPr="008E63BB">
              <w:rPr>
                <w:rFonts w:eastAsia="Times New Roman"/>
                <w:szCs w:val="24"/>
              </w:rPr>
              <w:t>Xây dựng bãi đỗ xe (06 vị trí) (0,6 ha)</w:t>
            </w:r>
          </w:p>
        </w:tc>
        <w:tc>
          <w:tcPr>
            <w:tcW w:w="1433" w:type="dxa"/>
          </w:tcPr>
          <w:p w14:paraId="519B415D" w14:textId="77777777" w:rsidR="003C017D" w:rsidRPr="008E63BB" w:rsidRDefault="003C017D" w:rsidP="00FD0E46">
            <w:pPr>
              <w:jc w:val="center"/>
            </w:pPr>
            <w:r w:rsidRPr="008E63BB">
              <w:rPr>
                <w:rFonts w:eastAsia="Times New Roman"/>
                <w:szCs w:val="26"/>
              </w:rPr>
              <w:t>2020-2030</w:t>
            </w:r>
          </w:p>
        </w:tc>
        <w:tc>
          <w:tcPr>
            <w:tcW w:w="1266" w:type="dxa"/>
            <w:vAlign w:val="center"/>
          </w:tcPr>
          <w:p w14:paraId="519B415E" w14:textId="77777777" w:rsidR="003C017D" w:rsidRPr="008E63BB" w:rsidRDefault="003C017D" w:rsidP="00F5692E">
            <w:pPr>
              <w:jc w:val="center"/>
              <w:rPr>
                <w:rFonts w:eastAsia="Times New Roman"/>
                <w:szCs w:val="24"/>
              </w:rPr>
            </w:pPr>
            <w:r w:rsidRPr="008E63BB">
              <w:rPr>
                <w:rFonts w:eastAsia="Times New Roman"/>
                <w:szCs w:val="24"/>
              </w:rPr>
              <w:t>4.8</w:t>
            </w:r>
          </w:p>
        </w:tc>
        <w:tc>
          <w:tcPr>
            <w:tcW w:w="2382" w:type="dxa"/>
          </w:tcPr>
          <w:p w14:paraId="519B415F" w14:textId="77777777" w:rsidR="003C017D" w:rsidRPr="008E63BB" w:rsidRDefault="003C017D">
            <w:r w:rsidRPr="008E63BB">
              <w:rPr>
                <w:sz w:val="28"/>
                <w:szCs w:val="28"/>
              </w:rPr>
              <w:t>Ngân sách + XHH</w:t>
            </w:r>
          </w:p>
        </w:tc>
      </w:tr>
      <w:tr w:rsidR="008D5BFE" w:rsidRPr="008E63BB" w14:paraId="519B4166" w14:textId="77777777" w:rsidTr="00742B97">
        <w:trPr>
          <w:trHeight w:val="305"/>
        </w:trPr>
        <w:tc>
          <w:tcPr>
            <w:tcW w:w="708" w:type="dxa"/>
          </w:tcPr>
          <w:p w14:paraId="519B4161" w14:textId="77777777" w:rsidR="00A02FF4" w:rsidRPr="008E63BB" w:rsidRDefault="00A02FF4" w:rsidP="00F5692E">
            <w:pPr>
              <w:jc w:val="center"/>
              <w:rPr>
                <w:b/>
                <w:i/>
              </w:rPr>
            </w:pPr>
            <w:r w:rsidRPr="008E63BB">
              <w:rPr>
                <w:b/>
                <w:i/>
              </w:rPr>
              <w:t>4</w:t>
            </w:r>
          </w:p>
        </w:tc>
        <w:tc>
          <w:tcPr>
            <w:tcW w:w="3817" w:type="dxa"/>
          </w:tcPr>
          <w:p w14:paraId="519B4162" w14:textId="77777777" w:rsidR="00A02FF4" w:rsidRPr="008E63BB" w:rsidRDefault="00A02FF4" w:rsidP="00F5692E">
            <w:pPr>
              <w:jc w:val="left"/>
              <w:rPr>
                <w:b/>
                <w:i/>
              </w:rPr>
            </w:pPr>
            <w:r w:rsidRPr="008E63BB">
              <w:rPr>
                <w:b/>
                <w:i/>
              </w:rPr>
              <w:t>Chuẩn bị kỹ thuật</w:t>
            </w:r>
          </w:p>
        </w:tc>
        <w:tc>
          <w:tcPr>
            <w:tcW w:w="1433" w:type="dxa"/>
          </w:tcPr>
          <w:p w14:paraId="519B4163" w14:textId="77777777" w:rsidR="00A02FF4" w:rsidRPr="008E63BB" w:rsidRDefault="00A02FF4" w:rsidP="00F5692E">
            <w:pPr>
              <w:jc w:val="center"/>
              <w:rPr>
                <w:b/>
                <w:i/>
              </w:rPr>
            </w:pPr>
          </w:p>
        </w:tc>
        <w:tc>
          <w:tcPr>
            <w:tcW w:w="1266" w:type="dxa"/>
          </w:tcPr>
          <w:p w14:paraId="519B4164" w14:textId="77777777" w:rsidR="00A02FF4" w:rsidRPr="008E63BB" w:rsidRDefault="00A02FF4" w:rsidP="00F5692E">
            <w:pPr>
              <w:jc w:val="center"/>
              <w:rPr>
                <w:b/>
                <w:i/>
              </w:rPr>
            </w:pPr>
          </w:p>
        </w:tc>
        <w:tc>
          <w:tcPr>
            <w:tcW w:w="2382" w:type="dxa"/>
          </w:tcPr>
          <w:p w14:paraId="519B4165" w14:textId="77777777" w:rsidR="00A02FF4" w:rsidRPr="008E63BB" w:rsidRDefault="00A02FF4" w:rsidP="00F5692E">
            <w:pPr>
              <w:rPr>
                <w:b/>
                <w:i/>
              </w:rPr>
            </w:pPr>
          </w:p>
        </w:tc>
      </w:tr>
      <w:tr w:rsidR="00FD0E46" w:rsidRPr="008E63BB" w14:paraId="519B416C" w14:textId="77777777" w:rsidTr="00742B97">
        <w:trPr>
          <w:trHeight w:val="305"/>
        </w:trPr>
        <w:tc>
          <w:tcPr>
            <w:tcW w:w="708" w:type="dxa"/>
          </w:tcPr>
          <w:p w14:paraId="519B4167" w14:textId="77777777" w:rsidR="00FD0E46" w:rsidRPr="008E63BB" w:rsidRDefault="00FD0E46" w:rsidP="00F5692E">
            <w:pPr>
              <w:jc w:val="center"/>
              <w:rPr>
                <w:b/>
                <w:i/>
              </w:rPr>
            </w:pPr>
            <w:r w:rsidRPr="008E63BB">
              <w:rPr>
                <w:b/>
                <w:i/>
              </w:rPr>
              <w:t>4.1</w:t>
            </w:r>
          </w:p>
        </w:tc>
        <w:tc>
          <w:tcPr>
            <w:tcW w:w="3817" w:type="dxa"/>
          </w:tcPr>
          <w:p w14:paraId="519B4168" w14:textId="77777777" w:rsidR="00FD0E46" w:rsidRPr="008E63BB" w:rsidRDefault="00FD0E46" w:rsidP="00F5692E">
            <w:pPr>
              <w:jc w:val="left"/>
              <w:rPr>
                <w:b/>
                <w:i/>
              </w:rPr>
            </w:pPr>
            <w:r w:rsidRPr="008E63BB">
              <w:rPr>
                <w:szCs w:val="26"/>
              </w:rPr>
              <w:t>Xây hồ điều hòa trạm bơm Kênh Gia</w:t>
            </w:r>
          </w:p>
        </w:tc>
        <w:tc>
          <w:tcPr>
            <w:tcW w:w="1433" w:type="dxa"/>
          </w:tcPr>
          <w:p w14:paraId="519B4169" w14:textId="77777777" w:rsidR="00FD0E46" w:rsidRPr="008E63BB" w:rsidRDefault="00FD0E46">
            <w:r w:rsidRPr="008E63BB">
              <w:rPr>
                <w:rFonts w:eastAsia="Times New Roman"/>
                <w:szCs w:val="26"/>
              </w:rPr>
              <w:t>2020-2030</w:t>
            </w:r>
          </w:p>
        </w:tc>
        <w:tc>
          <w:tcPr>
            <w:tcW w:w="1266" w:type="dxa"/>
          </w:tcPr>
          <w:p w14:paraId="519B416A" w14:textId="77777777" w:rsidR="00FD0E46" w:rsidRPr="008E63BB" w:rsidRDefault="00FD0E46" w:rsidP="00F5692E">
            <w:pPr>
              <w:jc w:val="center"/>
              <w:rPr>
                <w:b/>
                <w:i/>
              </w:rPr>
            </w:pPr>
            <w:r w:rsidRPr="008E63BB">
              <w:rPr>
                <w:szCs w:val="26"/>
              </w:rPr>
              <w:t>10</w:t>
            </w:r>
          </w:p>
        </w:tc>
        <w:tc>
          <w:tcPr>
            <w:tcW w:w="2382" w:type="dxa"/>
          </w:tcPr>
          <w:p w14:paraId="519B416B" w14:textId="77777777" w:rsidR="00FD0E46" w:rsidRPr="008E63BB" w:rsidRDefault="003C017D" w:rsidP="00F5692E">
            <w:pPr>
              <w:rPr>
                <w:b/>
                <w:i/>
              </w:rPr>
            </w:pPr>
            <w:r w:rsidRPr="008E63BB">
              <w:rPr>
                <w:sz w:val="28"/>
                <w:szCs w:val="28"/>
              </w:rPr>
              <w:t>Ngân sách + XHH</w:t>
            </w:r>
          </w:p>
        </w:tc>
      </w:tr>
      <w:tr w:rsidR="00FD0E46" w:rsidRPr="008E63BB" w14:paraId="519B4172" w14:textId="77777777" w:rsidTr="00742B97">
        <w:trPr>
          <w:trHeight w:val="305"/>
        </w:trPr>
        <w:tc>
          <w:tcPr>
            <w:tcW w:w="708" w:type="dxa"/>
          </w:tcPr>
          <w:p w14:paraId="519B416D" w14:textId="77777777" w:rsidR="00FD0E46" w:rsidRPr="008E63BB" w:rsidRDefault="00FD0E46" w:rsidP="00F5692E">
            <w:pPr>
              <w:jc w:val="center"/>
              <w:rPr>
                <w:b/>
                <w:i/>
              </w:rPr>
            </w:pPr>
            <w:r w:rsidRPr="008E63BB">
              <w:rPr>
                <w:b/>
                <w:i/>
              </w:rPr>
              <w:t>4.2</w:t>
            </w:r>
          </w:p>
        </w:tc>
        <w:tc>
          <w:tcPr>
            <w:tcW w:w="3817" w:type="dxa"/>
          </w:tcPr>
          <w:p w14:paraId="519B416E" w14:textId="77777777" w:rsidR="00FD0E46" w:rsidRPr="008E63BB" w:rsidRDefault="00FD0E46" w:rsidP="00F5692E">
            <w:pPr>
              <w:jc w:val="left"/>
              <w:rPr>
                <w:b/>
                <w:i/>
              </w:rPr>
            </w:pPr>
            <w:r w:rsidRPr="008E63BB">
              <w:rPr>
                <w:szCs w:val="26"/>
              </w:rPr>
              <w:t>Xây mới trạm bơm Cống Mý 128.000 m3/h</w:t>
            </w:r>
          </w:p>
        </w:tc>
        <w:tc>
          <w:tcPr>
            <w:tcW w:w="1433" w:type="dxa"/>
          </w:tcPr>
          <w:p w14:paraId="519B416F" w14:textId="77777777" w:rsidR="00FD0E46" w:rsidRPr="008E63BB" w:rsidRDefault="00FD0E46">
            <w:r w:rsidRPr="008E63BB">
              <w:rPr>
                <w:rFonts w:eastAsia="Times New Roman"/>
                <w:szCs w:val="26"/>
              </w:rPr>
              <w:t>2020-2030</w:t>
            </w:r>
          </w:p>
        </w:tc>
        <w:tc>
          <w:tcPr>
            <w:tcW w:w="1266" w:type="dxa"/>
          </w:tcPr>
          <w:p w14:paraId="519B4170" w14:textId="77777777" w:rsidR="00FD0E46" w:rsidRPr="008E63BB" w:rsidRDefault="00FD0E46" w:rsidP="00F5692E">
            <w:pPr>
              <w:jc w:val="center"/>
              <w:rPr>
                <w:b/>
                <w:i/>
              </w:rPr>
            </w:pPr>
            <w:r w:rsidRPr="008E63BB">
              <w:rPr>
                <w:szCs w:val="26"/>
              </w:rPr>
              <w:t>100</w:t>
            </w:r>
          </w:p>
        </w:tc>
        <w:tc>
          <w:tcPr>
            <w:tcW w:w="2382" w:type="dxa"/>
          </w:tcPr>
          <w:p w14:paraId="519B4171" w14:textId="77777777" w:rsidR="00FD0E46" w:rsidRPr="008E63BB" w:rsidRDefault="00FD0E46" w:rsidP="00F5692E">
            <w:pPr>
              <w:rPr>
                <w:b/>
                <w:i/>
              </w:rPr>
            </w:pPr>
            <w:r w:rsidRPr="008E63BB">
              <w:rPr>
                <w:szCs w:val="26"/>
              </w:rPr>
              <w:t>ODA, Ngân sách Trung ương, Ngân sách tỉnh</w:t>
            </w:r>
          </w:p>
        </w:tc>
      </w:tr>
      <w:tr w:rsidR="00FD0E46" w:rsidRPr="008E63BB" w14:paraId="519B4178" w14:textId="77777777" w:rsidTr="00742B97">
        <w:trPr>
          <w:trHeight w:val="305"/>
        </w:trPr>
        <w:tc>
          <w:tcPr>
            <w:tcW w:w="708" w:type="dxa"/>
          </w:tcPr>
          <w:p w14:paraId="519B4173" w14:textId="77777777" w:rsidR="00FD0E46" w:rsidRPr="008E63BB" w:rsidRDefault="00FD0E46" w:rsidP="00F5692E">
            <w:pPr>
              <w:jc w:val="center"/>
              <w:rPr>
                <w:b/>
                <w:i/>
              </w:rPr>
            </w:pPr>
            <w:r w:rsidRPr="008E63BB">
              <w:rPr>
                <w:b/>
                <w:i/>
              </w:rPr>
              <w:lastRenderedPageBreak/>
              <w:t>4.3</w:t>
            </w:r>
          </w:p>
        </w:tc>
        <w:tc>
          <w:tcPr>
            <w:tcW w:w="3817" w:type="dxa"/>
          </w:tcPr>
          <w:p w14:paraId="519B4174" w14:textId="77777777" w:rsidR="00FD0E46" w:rsidRPr="008E63BB" w:rsidRDefault="00FD0E46" w:rsidP="00F5692E">
            <w:pPr>
              <w:jc w:val="left"/>
              <w:rPr>
                <w:b/>
                <w:i/>
              </w:rPr>
            </w:pPr>
            <w:r w:rsidRPr="008E63BB">
              <w:rPr>
                <w:szCs w:val="26"/>
              </w:rPr>
              <w:t>Cải tạo, nạo vét, tăng cường hố ga, thay thế hệ thống cống đã xuống cấp, tiết diện bé không đáp ứng đủ lưu lượng thoát nước tại khu vực trung tâm đô thị hiện hữu. Xử lý ngập úng cục bộ tại các khu vực ngã 3, ngã tư.</w:t>
            </w:r>
          </w:p>
        </w:tc>
        <w:tc>
          <w:tcPr>
            <w:tcW w:w="1433" w:type="dxa"/>
          </w:tcPr>
          <w:p w14:paraId="519B4175" w14:textId="77777777" w:rsidR="00FD0E46" w:rsidRPr="008E63BB" w:rsidRDefault="00FD0E46">
            <w:r w:rsidRPr="008E63BB">
              <w:rPr>
                <w:rFonts w:eastAsia="Times New Roman"/>
                <w:szCs w:val="26"/>
              </w:rPr>
              <w:t>2020-2030</w:t>
            </w:r>
          </w:p>
        </w:tc>
        <w:tc>
          <w:tcPr>
            <w:tcW w:w="1266" w:type="dxa"/>
          </w:tcPr>
          <w:p w14:paraId="519B4176" w14:textId="77777777" w:rsidR="00FD0E46" w:rsidRPr="008E63BB" w:rsidRDefault="00FD0E46" w:rsidP="00F5692E">
            <w:pPr>
              <w:jc w:val="center"/>
              <w:rPr>
                <w:b/>
                <w:i/>
              </w:rPr>
            </w:pPr>
            <w:r w:rsidRPr="008E63BB">
              <w:rPr>
                <w:szCs w:val="26"/>
              </w:rPr>
              <w:t>120</w:t>
            </w:r>
          </w:p>
        </w:tc>
        <w:tc>
          <w:tcPr>
            <w:tcW w:w="2382" w:type="dxa"/>
          </w:tcPr>
          <w:p w14:paraId="519B4177" w14:textId="77777777" w:rsidR="00FD0E46" w:rsidRPr="008E63BB" w:rsidRDefault="00FD0E46" w:rsidP="00F5692E">
            <w:pPr>
              <w:rPr>
                <w:b/>
                <w:i/>
              </w:rPr>
            </w:pPr>
            <w:r w:rsidRPr="008E63BB">
              <w:rPr>
                <w:szCs w:val="26"/>
              </w:rPr>
              <w:t>Ngân sách tỉnh, Ngân sách thành phố, Vốn huy động ngoài ngân sách</w:t>
            </w:r>
          </w:p>
        </w:tc>
      </w:tr>
      <w:tr w:rsidR="00FD0E46" w:rsidRPr="008E63BB" w14:paraId="519B417E" w14:textId="77777777" w:rsidTr="00742B97">
        <w:trPr>
          <w:trHeight w:val="305"/>
        </w:trPr>
        <w:tc>
          <w:tcPr>
            <w:tcW w:w="708" w:type="dxa"/>
          </w:tcPr>
          <w:p w14:paraId="519B4179" w14:textId="77777777" w:rsidR="00FD0E46" w:rsidRPr="008E63BB" w:rsidRDefault="00FD0E46" w:rsidP="00F5692E">
            <w:pPr>
              <w:jc w:val="center"/>
              <w:rPr>
                <w:b/>
                <w:i/>
              </w:rPr>
            </w:pPr>
            <w:r w:rsidRPr="008E63BB">
              <w:rPr>
                <w:b/>
                <w:i/>
              </w:rPr>
              <w:t>4.4</w:t>
            </w:r>
          </w:p>
        </w:tc>
        <w:tc>
          <w:tcPr>
            <w:tcW w:w="3817" w:type="dxa"/>
            <w:vAlign w:val="center"/>
          </w:tcPr>
          <w:p w14:paraId="519B417A" w14:textId="77777777" w:rsidR="00FD0E46" w:rsidRPr="008E63BB" w:rsidRDefault="00FD0E46" w:rsidP="00F5692E">
            <w:pPr>
              <w:jc w:val="left"/>
              <w:rPr>
                <w:b/>
                <w:i/>
              </w:rPr>
            </w:pPr>
            <w:r w:rsidRPr="008E63BB">
              <w:rPr>
                <w:rFonts w:eastAsia="Times New Roman"/>
                <w:szCs w:val="26"/>
              </w:rPr>
              <w:t>Kè gia cố kênh tiêu</w:t>
            </w:r>
          </w:p>
        </w:tc>
        <w:tc>
          <w:tcPr>
            <w:tcW w:w="1433" w:type="dxa"/>
          </w:tcPr>
          <w:p w14:paraId="519B417B" w14:textId="77777777" w:rsidR="00FD0E46" w:rsidRPr="008E63BB" w:rsidRDefault="00FD0E46">
            <w:r w:rsidRPr="008E63BB">
              <w:rPr>
                <w:rFonts w:eastAsia="Times New Roman"/>
                <w:szCs w:val="26"/>
              </w:rPr>
              <w:t>2020-2030</w:t>
            </w:r>
          </w:p>
        </w:tc>
        <w:tc>
          <w:tcPr>
            <w:tcW w:w="1266" w:type="dxa"/>
          </w:tcPr>
          <w:p w14:paraId="519B417C" w14:textId="77777777" w:rsidR="00FD0E46" w:rsidRPr="008E63BB" w:rsidRDefault="00FD0E46" w:rsidP="00F5692E">
            <w:pPr>
              <w:jc w:val="center"/>
              <w:rPr>
                <w:b/>
                <w:i/>
              </w:rPr>
            </w:pPr>
            <w:r w:rsidRPr="008E63BB">
              <w:rPr>
                <w:szCs w:val="26"/>
              </w:rPr>
              <w:t>260</w:t>
            </w:r>
          </w:p>
        </w:tc>
        <w:tc>
          <w:tcPr>
            <w:tcW w:w="2382" w:type="dxa"/>
          </w:tcPr>
          <w:p w14:paraId="519B417D" w14:textId="77777777" w:rsidR="00FD0E46" w:rsidRPr="008E63BB" w:rsidRDefault="00FD0E46" w:rsidP="00F5692E">
            <w:pPr>
              <w:rPr>
                <w:b/>
                <w:i/>
              </w:rPr>
            </w:pPr>
            <w:r w:rsidRPr="008E63BB">
              <w:rPr>
                <w:szCs w:val="26"/>
              </w:rPr>
              <w:t>Ngân sách tỉnh, Ngân sách thành phố, Vốn huy động ngoài ngân sách</w:t>
            </w:r>
          </w:p>
        </w:tc>
      </w:tr>
      <w:tr w:rsidR="00FD0E46" w:rsidRPr="008E63BB" w14:paraId="519B4184" w14:textId="77777777" w:rsidTr="00742B97">
        <w:trPr>
          <w:trHeight w:val="305"/>
        </w:trPr>
        <w:tc>
          <w:tcPr>
            <w:tcW w:w="708" w:type="dxa"/>
          </w:tcPr>
          <w:p w14:paraId="519B417F" w14:textId="77777777" w:rsidR="00FD0E46" w:rsidRPr="008E63BB" w:rsidRDefault="00FD0E46" w:rsidP="00F5692E">
            <w:pPr>
              <w:jc w:val="center"/>
              <w:rPr>
                <w:b/>
                <w:i/>
              </w:rPr>
            </w:pPr>
            <w:r w:rsidRPr="008E63BB">
              <w:rPr>
                <w:b/>
                <w:i/>
              </w:rPr>
              <w:t>4.5</w:t>
            </w:r>
          </w:p>
        </w:tc>
        <w:tc>
          <w:tcPr>
            <w:tcW w:w="3817" w:type="dxa"/>
          </w:tcPr>
          <w:p w14:paraId="519B4180" w14:textId="77777777" w:rsidR="00FD0E46" w:rsidRPr="008E63BB" w:rsidRDefault="00FD0E46" w:rsidP="00F5692E">
            <w:pPr>
              <w:jc w:val="left"/>
              <w:rPr>
                <w:b/>
                <w:i/>
              </w:rPr>
            </w:pPr>
            <w:r w:rsidRPr="008E63BB">
              <w:rPr>
                <w:rFonts w:eastAsia="Times New Roman"/>
                <w:szCs w:val="26"/>
              </w:rPr>
              <w:t>Xây mới kênh tiêu, hồ điều hòa</w:t>
            </w:r>
          </w:p>
        </w:tc>
        <w:tc>
          <w:tcPr>
            <w:tcW w:w="1433" w:type="dxa"/>
          </w:tcPr>
          <w:p w14:paraId="519B4181" w14:textId="77777777" w:rsidR="00FD0E46" w:rsidRPr="008E63BB" w:rsidRDefault="00FD0E46">
            <w:r w:rsidRPr="008E63BB">
              <w:rPr>
                <w:rFonts w:eastAsia="Times New Roman"/>
                <w:szCs w:val="26"/>
              </w:rPr>
              <w:t>2020-2030</w:t>
            </w:r>
          </w:p>
        </w:tc>
        <w:tc>
          <w:tcPr>
            <w:tcW w:w="1266" w:type="dxa"/>
          </w:tcPr>
          <w:p w14:paraId="519B4182" w14:textId="77777777" w:rsidR="00FD0E46" w:rsidRPr="008E63BB" w:rsidRDefault="00FD0E46" w:rsidP="00F5692E">
            <w:pPr>
              <w:jc w:val="center"/>
              <w:rPr>
                <w:b/>
                <w:i/>
              </w:rPr>
            </w:pPr>
            <w:r w:rsidRPr="008E63BB">
              <w:rPr>
                <w:szCs w:val="26"/>
              </w:rPr>
              <w:t>80</w:t>
            </w:r>
          </w:p>
        </w:tc>
        <w:tc>
          <w:tcPr>
            <w:tcW w:w="2382" w:type="dxa"/>
          </w:tcPr>
          <w:p w14:paraId="519B4183" w14:textId="77777777" w:rsidR="00FD0E46" w:rsidRPr="008E63BB" w:rsidRDefault="00FD0E46" w:rsidP="00F5692E">
            <w:pPr>
              <w:rPr>
                <w:b/>
                <w:i/>
              </w:rPr>
            </w:pPr>
            <w:r w:rsidRPr="008E63BB">
              <w:rPr>
                <w:szCs w:val="26"/>
              </w:rPr>
              <w:t>Ngân sách tỉnh, Ngân sách thành phố, Vốn huy động ngoài ngân sách</w:t>
            </w:r>
          </w:p>
        </w:tc>
      </w:tr>
      <w:tr w:rsidR="008D5BFE" w:rsidRPr="008E63BB" w14:paraId="519B418A" w14:textId="77777777" w:rsidTr="00742B97">
        <w:trPr>
          <w:trHeight w:val="288"/>
        </w:trPr>
        <w:tc>
          <w:tcPr>
            <w:tcW w:w="708" w:type="dxa"/>
          </w:tcPr>
          <w:p w14:paraId="519B4185" w14:textId="77777777" w:rsidR="00A02FF4" w:rsidRPr="008E63BB" w:rsidRDefault="00A02FF4" w:rsidP="00F5692E">
            <w:pPr>
              <w:jc w:val="center"/>
              <w:rPr>
                <w:b/>
                <w:i/>
              </w:rPr>
            </w:pPr>
            <w:r w:rsidRPr="008E63BB">
              <w:rPr>
                <w:b/>
                <w:i/>
              </w:rPr>
              <w:t>5</w:t>
            </w:r>
          </w:p>
        </w:tc>
        <w:tc>
          <w:tcPr>
            <w:tcW w:w="3817" w:type="dxa"/>
          </w:tcPr>
          <w:p w14:paraId="519B4186" w14:textId="77777777" w:rsidR="00A02FF4" w:rsidRPr="008E63BB" w:rsidRDefault="00A02FF4" w:rsidP="00F5692E">
            <w:pPr>
              <w:rPr>
                <w:b/>
                <w:i/>
              </w:rPr>
            </w:pPr>
            <w:r w:rsidRPr="008E63BB">
              <w:rPr>
                <w:b/>
                <w:i/>
              </w:rPr>
              <w:t>Cấp điện</w:t>
            </w:r>
          </w:p>
        </w:tc>
        <w:tc>
          <w:tcPr>
            <w:tcW w:w="1433" w:type="dxa"/>
          </w:tcPr>
          <w:p w14:paraId="519B4187" w14:textId="77777777" w:rsidR="00A02FF4" w:rsidRPr="008E63BB" w:rsidRDefault="00A02FF4" w:rsidP="00F5692E">
            <w:pPr>
              <w:jc w:val="center"/>
            </w:pPr>
          </w:p>
        </w:tc>
        <w:tc>
          <w:tcPr>
            <w:tcW w:w="1266" w:type="dxa"/>
          </w:tcPr>
          <w:p w14:paraId="519B4188" w14:textId="77777777" w:rsidR="00A02FF4" w:rsidRPr="008E63BB" w:rsidRDefault="00A02FF4" w:rsidP="00F5692E">
            <w:pPr>
              <w:jc w:val="center"/>
            </w:pPr>
          </w:p>
        </w:tc>
        <w:tc>
          <w:tcPr>
            <w:tcW w:w="2382" w:type="dxa"/>
          </w:tcPr>
          <w:p w14:paraId="519B4189" w14:textId="77777777" w:rsidR="00A02FF4" w:rsidRPr="008E63BB" w:rsidRDefault="00A02FF4" w:rsidP="00F5692E"/>
        </w:tc>
      </w:tr>
      <w:tr w:rsidR="00FD0E46" w:rsidRPr="008E63BB" w14:paraId="519B4190" w14:textId="77777777" w:rsidTr="00742B97">
        <w:trPr>
          <w:trHeight w:val="611"/>
        </w:trPr>
        <w:tc>
          <w:tcPr>
            <w:tcW w:w="708" w:type="dxa"/>
          </w:tcPr>
          <w:p w14:paraId="519B418B" w14:textId="77777777" w:rsidR="00FD0E46" w:rsidRPr="008E63BB" w:rsidRDefault="00FD0E46" w:rsidP="00F5692E">
            <w:r w:rsidRPr="008E63BB">
              <w:t>5.1</w:t>
            </w:r>
          </w:p>
        </w:tc>
        <w:tc>
          <w:tcPr>
            <w:tcW w:w="3817" w:type="dxa"/>
          </w:tcPr>
          <w:p w14:paraId="519B418C" w14:textId="77777777" w:rsidR="00FD0E46" w:rsidRPr="008E63BB" w:rsidRDefault="00FD0E46" w:rsidP="00F5692E">
            <w:r w:rsidRPr="008E63BB">
              <w:t xml:space="preserve">Trạm 110 KV Nam Điền (2x40MW) </w:t>
            </w:r>
          </w:p>
        </w:tc>
        <w:tc>
          <w:tcPr>
            <w:tcW w:w="1433" w:type="dxa"/>
          </w:tcPr>
          <w:p w14:paraId="519B418D" w14:textId="77777777" w:rsidR="00FD0E46" w:rsidRPr="008E63BB" w:rsidRDefault="00FD0E46">
            <w:r w:rsidRPr="008E63BB">
              <w:rPr>
                <w:rFonts w:eastAsia="Times New Roman"/>
                <w:szCs w:val="26"/>
              </w:rPr>
              <w:t>2020-2030</w:t>
            </w:r>
          </w:p>
        </w:tc>
        <w:tc>
          <w:tcPr>
            <w:tcW w:w="1266" w:type="dxa"/>
          </w:tcPr>
          <w:p w14:paraId="519B418E" w14:textId="77777777" w:rsidR="00FD0E46" w:rsidRPr="008E63BB" w:rsidRDefault="00FD0E46" w:rsidP="00F5692E">
            <w:pPr>
              <w:jc w:val="center"/>
            </w:pPr>
            <w:r w:rsidRPr="008E63BB">
              <w:t>100</w:t>
            </w:r>
          </w:p>
        </w:tc>
        <w:tc>
          <w:tcPr>
            <w:tcW w:w="2382" w:type="dxa"/>
          </w:tcPr>
          <w:p w14:paraId="519B418F" w14:textId="77777777" w:rsidR="00FD0E46" w:rsidRPr="008E63BB" w:rsidRDefault="00FD0E46" w:rsidP="00F5692E">
            <w:r w:rsidRPr="008E63BB">
              <w:rPr>
                <w:kern w:val="32"/>
              </w:rPr>
              <w:t>Vốn DN (Tổng Công ty Điện lực miền Bắc)</w:t>
            </w:r>
          </w:p>
        </w:tc>
      </w:tr>
      <w:tr w:rsidR="00FD0E46" w:rsidRPr="008E63BB" w14:paraId="519B4196" w14:textId="77777777" w:rsidTr="00742B97">
        <w:trPr>
          <w:trHeight w:val="288"/>
        </w:trPr>
        <w:tc>
          <w:tcPr>
            <w:tcW w:w="708" w:type="dxa"/>
          </w:tcPr>
          <w:p w14:paraId="519B4191" w14:textId="77777777" w:rsidR="00FD0E46" w:rsidRPr="008E63BB" w:rsidRDefault="00FD0E46" w:rsidP="00F5692E">
            <w:r w:rsidRPr="008E63BB">
              <w:t>5.2</w:t>
            </w:r>
          </w:p>
        </w:tc>
        <w:tc>
          <w:tcPr>
            <w:tcW w:w="3817" w:type="dxa"/>
          </w:tcPr>
          <w:p w14:paraId="519B4192" w14:textId="77777777" w:rsidR="00FD0E46" w:rsidRPr="008E63BB" w:rsidRDefault="00FD0E46" w:rsidP="00F5692E">
            <w:r w:rsidRPr="008E63BB">
              <w:t>Trạm 110 KV Mỹ Trung (2x40MW)</w:t>
            </w:r>
          </w:p>
        </w:tc>
        <w:tc>
          <w:tcPr>
            <w:tcW w:w="1433" w:type="dxa"/>
          </w:tcPr>
          <w:p w14:paraId="519B4193" w14:textId="77777777" w:rsidR="00FD0E46" w:rsidRPr="008E63BB" w:rsidRDefault="00FD0E46">
            <w:r w:rsidRPr="008E63BB">
              <w:rPr>
                <w:rFonts w:eastAsia="Times New Roman"/>
                <w:szCs w:val="26"/>
              </w:rPr>
              <w:t>2020-2030</w:t>
            </w:r>
          </w:p>
        </w:tc>
        <w:tc>
          <w:tcPr>
            <w:tcW w:w="1266" w:type="dxa"/>
          </w:tcPr>
          <w:p w14:paraId="519B4194" w14:textId="77777777" w:rsidR="00FD0E46" w:rsidRPr="008E63BB" w:rsidRDefault="00FD0E46" w:rsidP="00F5692E">
            <w:pPr>
              <w:jc w:val="center"/>
            </w:pPr>
            <w:r w:rsidRPr="008E63BB">
              <w:t>100</w:t>
            </w:r>
          </w:p>
        </w:tc>
        <w:tc>
          <w:tcPr>
            <w:tcW w:w="2382" w:type="dxa"/>
          </w:tcPr>
          <w:p w14:paraId="519B4195" w14:textId="77777777" w:rsidR="00FD0E46" w:rsidRPr="008E63BB" w:rsidRDefault="00FD0E46" w:rsidP="00F5692E">
            <w:pPr>
              <w:jc w:val="center"/>
              <w:rPr>
                <w:kern w:val="32"/>
              </w:rPr>
            </w:pPr>
            <w:r w:rsidRPr="008E63BB">
              <w:rPr>
                <w:kern w:val="32"/>
              </w:rPr>
              <w:t>Nt</w:t>
            </w:r>
          </w:p>
        </w:tc>
      </w:tr>
      <w:tr w:rsidR="00FD0E46" w:rsidRPr="008E63BB" w14:paraId="519B419C" w14:textId="77777777" w:rsidTr="00742B97">
        <w:trPr>
          <w:trHeight w:val="611"/>
        </w:trPr>
        <w:tc>
          <w:tcPr>
            <w:tcW w:w="708" w:type="dxa"/>
          </w:tcPr>
          <w:p w14:paraId="519B4197" w14:textId="77777777" w:rsidR="00FD0E46" w:rsidRPr="008E63BB" w:rsidRDefault="00FD0E46" w:rsidP="00F5692E">
            <w:r w:rsidRPr="008E63BB">
              <w:t>5.3</w:t>
            </w:r>
          </w:p>
        </w:tc>
        <w:tc>
          <w:tcPr>
            <w:tcW w:w="3817" w:type="dxa"/>
          </w:tcPr>
          <w:p w14:paraId="519B4198" w14:textId="77777777" w:rsidR="00FD0E46" w:rsidRPr="008E63BB" w:rsidRDefault="00FD0E46" w:rsidP="00F5692E">
            <w:r w:rsidRPr="008E63BB">
              <w:t>Trạm 110 KV xã Mỹ Tiến – H.Mỹ Lộc (2x40MW)</w:t>
            </w:r>
          </w:p>
        </w:tc>
        <w:tc>
          <w:tcPr>
            <w:tcW w:w="1433" w:type="dxa"/>
          </w:tcPr>
          <w:p w14:paraId="519B4199" w14:textId="77777777" w:rsidR="00FD0E46" w:rsidRPr="008E63BB" w:rsidRDefault="00FD0E46">
            <w:r w:rsidRPr="008E63BB">
              <w:rPr>
                <w:rFonts w:eastAsia="Times New Roman"/>
                <w:szCs w:val="26"/>
              </w:rPr>
              <w:t>2020-2030</w:t>
            </w:r>
          </w:p>
        </w:tc>
        <w:tc>
          <w:tcPr>
            <w:tcW w:w="1266" w:type="dxa"/>
          </w:tcPr>
          <w:p w14:paraId="519B419A" w14:textId="77777777" w:rsidR="00FD0E46" w:rsidRPr="008E63BB" w:rsidRDefault="00FD0E46" w:rsidP="00F5692E">
            <w:pPr>
              <w:jc w:val="center"/>
            </w:pPr>
            <w:r w:rsidRPr="008E63BB">
              <w:t>80</w:t>
            </w:r>
          </w:p>
        </w:tc>
        <w:tc>
          <w:tcPr>
            <w:tcW w:w="2382" w:type="dxa"/>
          </w:tcPr>
          <w:p w14:paraId="519B419B" w14:textId="77777777" w:rsidR="00FD0E46" w:rsidRPr="008E63BB" w:rsidRDefault="00FD0E46" w:rsidP="00F5692E">
            <w:pPr>
              <w:jc w:val="center"/>
              <w:rPr>
                <w:kern w:val="32"/>
              </w:rPr>
            </w:pPr>
            <w:r w:rsidRPr="008E63BB">
              <w:rPr>
                <w:kern w:val="32"/>
              </w:rPr>
              <w:t>Nt</w:t>
            </w:r>
          </w:p>
        </w:tc>
      </w:tr>
      <w:tr w:rsidR="00FD0E46" w:rsidRPr="008E63BB" w14:paraId="519B41A2" w14:textId="77777777" w:rsidTr="00742B97">
        <w:trPr>
          <w:trHeight w:val="593"/>
        </w:trPr>
        <w:tc>
          <w:tcPr>
            <w:tcW w:w="708" w:type="dxa"/>
          </w:tcPr>
          <w:p w14:paraId="519B419D" w14:textId="77777777" w:rsidR="00FD0E46" w:rsidRPr="008E63BB" w:rsidRDefault="00FD0E46" w:rsidP="00F5692E">
            <w:r w:rsidRPr="008E63BB">
              <w:t>5.4</w:t>
            </w:r>
          </w:p>
        </w:tc>
        <w:tc>
          <w:tcPr>
            <w:tcW w:w="3817" w:type="dxa"/>
          </w:tcPr>
          <w:p w14:paraId="519B419E" w14:textId="77777777" w:rsidR="00FD0E46" w:rsidRPr="008E63BB" w:rsidRDefault="00FD0E46" w:rsidP="00F5692E">
            <w:r w:rsidRPr="008E63BB">
              <w:rPr>
                <w:lang w:val="vi-VN"/>
              </w:rPr>
              <w:t>Nhánh rẽ trạm 110kV Mỹ Trung mạch kép dây dẫn AC-240</w:t>
            </w:r>
            <w:r w:rsidRPr="008E63BB">
              <w:t xml:space="preserve"> (2x0,5km)</w:t>
            </w:r>
          </w:p>
        </w:tc>
        <w:tc>
          <w:tcPr>
            <w:tcW w:w="1433" w:type="dxa"/>
          </w:tcPr>
          <w:p w14:paraId="519B419F" w14:textId="77777777" w:rsidR="00FD0E46" w:rsidRPr="008E63BB" w:rsidRDefault="00FD0E46">
            <w:r w:rsidRPr="008E63BB">
              <w:rPr>
                <w:rFonts w:eastAsia="Times New Roman"/>
                <w:szCs w:val="26"/>
              </w:rPr>
              <w:t>2020-2030</w:t>
            </w:r>
          </w:p>
        </w:tc>
        <w:tc>
          <w:tcPr>
            <w:tcW w:w="1266" w:type="dxa"/>
          </w:tcPr>
          <w:p w14:paraId="519B41A0" w14:textId="77777777" w:rsidR="00FD0E46" w:rsidRPr="008E63BB" w:rsidRDefault="00FD0E46" w:rsidP="00F5692E">
            <w:pPr>
              <w:jc w:val="center"/>
            </w:pPr>
            <w:r w:rsidRPr="008E63BB">
              <w:t>1</w:t>
            </w:r>
          </w:p>
        </w:tc>
        <w:tc>
          <w:tcPr>
            <w:tcW w:w="2382" w:type="dxa"/>
          </w:tcPr>
          <w:p w14:paraId="519B41A1" w14:textId="77777777" w:rsidR="00FD0E46" w:rsidRPr="008E63BB" w:rsidRDefault="00FD0E46" w:rsidP="00F5692E">
            <w:pPr>
              <w:jc w:val="center"/>
              <w:rPr>
                <w:kern w:val="32"/>
              </w:rPr>
            </w:pPr>
            <w:r w:rsidRPr="008E63BB">
              <w:rPr>
                <w:kern w:val="32"/>
              </w:rPr>
              <w:t>Nt</w:t>
            </w:r>
          </w:p>
        </w:tc>
      </w:tr>
      <w:tr w:rsidR="00FD0E46" w:rsidRPr="008E63BB" w14:paraId="519B41A8" w14:textId="77777777" w:rsidTr="00742B97">
        <w:trPr>
          <w:trHeight w:val="593"/>
        </w:trPr>
        <w:tc>
          <w:tcPr>
            <w:tcW w:w="708" w:type="dxa"/>
          </w:tcPr>
          <w:p w14:paraId="519B41A3" w14:textId="77777777" w:rsidR="00FD0E46" w:rsidRPr="008E63BB" w:rsidRDefault="00FD0E46" w:rsidP="00F5692E">
            <w:r w:rsidRPr="008E63BB">
              <w:t>5.5</w:t>
            </w:r>
          </w:p>
        </w:tc>
        <w:tc>
          <w:tcPr>
            <w:tcW w:w="3817" w:type="dxa"/>
          </w:tcPr>
          <w:p w14:paraId="519B41A4" w14:textId="77777777" w:rsidR="00FD0E46" w:rsidRPr="008E63BB" w:rsidRDefault="00FD0E46" w:rsidP="00F5692E">
            <w:r w:rsidRPr="008E63BB">
              <w:rPr>
                <w:lang w:val="vi-VN"/>
              </w:rPr>
              <w:t>Nhánh rẽ trạm 110kV Nam Điền mạch kép dây dẫn AC-300</w:t>
            </w:r>
            <w:r w:rsidRPr="008E63BB">
              <w:t xml:space="preserve"> (2x1,5km)</w:t>
            </w:r>
          </w:p>
        </w:tc>
        <w:tc>
          <w:tcPr>
            <w:tcW w:w="1433" w:type="dxa"/>
          </w:tcPr>
          <w:p w14:paraId="519B41A5" w14:textId="77777777" w:rsidR="00FD0E46" w:rsidRPr="008E63BB" w:rsidRDefault="00FD0E46">
            <w:r w:rsidRPr="008E63BB">
              <w:rPr>
                <w:rFonts w:eastAsia="Times New Roman"/>
                <w:szCs w:val="26"/>
              </w:rPr>
              <w:t>2020-2030</w:t>
            </w:r>
          </w:p>
        </w:tc>
        <w:tc>
          <w:tcPr>
            <w:tcW w:w="1266" w:type="dxa"/>
          </w:tcPr>
          <w:p w14:paraId="519B41A6" w14:textId="77777777" w:rsidR="00FD0E46" w:rsidRPr="008E63BB" w:rsidRDefault="00FD0E46" w:rsidP="00F5692E">
            <w:pPr>
              <w:jc w:val="center"/>
            </w:pPr>
            <w:r w:rsidRPr="008E63BB">
              <w:t>3</w:t>
            </w:r>
          </w:p>
        </w:tc>
        <w:tc>
          <w:tcPr>
            <w:tcW w:w="2382" w:type="dxa"/>
          </w:tcPr>
          <w:p w14:paraId="519B41A7" w14:textId="77777777" w:rsidR="00FD0E46" w:rsidRPr="008E63BB" w:rsidRDefault="00FD0E46" w:rsidP="00F5692E">
            <w:pPr>
              <w:jc w:val="center"/>
              <w:rPr>
                <w:kern w:val="32"/>
              </w:rPr>
            </w:pPr>
            <w:r w:rsidRPr="008E63BB">
              <w:rPr>
                <w:kern w:val="32"/>
              </w:rPr>
              <w:t>Nt</w:t>
            </w:r>
          </w:p>
        </w:tc>
      </w:tr>
      <w:tr w:rsidR="00FD0E46" w:rsidRPr="008E63BB" w14:paraId="519B41AE" w14:textId="77777777" w:rsidTr="00742B97">
        <w:trPr>
          <w:trHeight w:val="593"/>
        </w:trPr>
        <w:tc>
          <w:tcPr>
            <w:tcW w:w="708" w:type="dxa"/>
          </w:tcPr>
          <w:p w14:paraId="519B41A9" w14:textId="77777777" w:rsidR="00FD0E46" w:rsidRPr="008E63BB" w:rsidRDefault="00FD0E46" w:rsidP="00F5692E">
            <w:r w:rsidRPr="008E63BB">
              <w:t>5.6</w:t>
            </w:r>
          </w:p>
        </w:tc>
        <w:tc>
          <w:tcPr>
            <w:tcW w:w="3817" w:type="dxa"/>
          </w:tcPr>
          <w:p w14:paraId="519B41AA" w14:textId="77777777" w:rsidR="00FD0E46" w:rsidRPr="008E63BB" w:rsidRDefault="00FD0E46" w:rsidP="00F5692E">
            <w:r w:rsidRPr="008E63BB">
              <w:rPr>
                <w:lang w:val="vi-VN"/>
              </w:rPr>
              <w:t xml:space="preserve">Nhánh rẽ trạm 110kV </w:t>
            </w:r>
            <w:r w:rsidRPr="008E63BB">
              <w:t>Quy hoạch mới</w:t>
            </w:r>
            <w:r w:rsidRPr="008E63BB">
              <w:rPr>
                <w:lang w:val="vi-VN"/>
              </w:rPr>
              <w:t xml:space="preserve"> mạch kép dây dẫn AC-300</w:t>
            </w:r>
            <w:r w:rsidRPr="008E63BB">
              <w:t xml:space="preserve"> (2x1,5km)</w:t>
            </w:r>
          </w:p>
        </w:tc>
        <w:tc>
          <w:tcPr>
            <w:tcW w:w="1433" w:type="dxa"/>
          </w:tcPr>
          <w:p w14:paraId="519B41AB" w14:textId="77777777" w:rsidR="00FD0E46" w:rsidRPr="008E63BB" w:rsidRDefault="00FD0E46">
            <w:r w:rsidRPr="008E63BB">
              <w:rPr>
                <w:rFonts w:eastAsia="Times New Roman"/>
                <w:szCs w:val="26"/>
              </w:rPr>
              <w:t>2020-2030</w:t>
            </w:r>
          </w:p>
        </w:tc>
        <w:tc>
          <w:tcPr>
            <w:tcW w:w="1266" w:type="dxa"/>
          </w:tcPr>
          <w:p w14:paraId="519B41AC" w14:textId="77777777" w:rsidR="00FD0E46" w:rsidRPr="008E63BB" w:rsidRDefault="00FD0E46" w:rsidP="00F5692E">
            <w:pPr>
              <w:jc w:val="center"/>
            </w:pPr>
            <w:r w:rsidRPr="008E63BB">
              <w:t>3</w:t>
            </w:r>
          </w:p>
        </w:tc>
        <w:tc>
          <w:tcPr>
            <w:tcW w:w="2382" w:type="dxa"/>
          </w:tcPr>
          <w:p w14:paraId="519B41AD" w14:textId="77777777" w:rsidR="00FD0E46" w:rsidRPr="008E63BB" w:rsidRDefault="00FD0E46" w:rsidP="00F5692E">
            <w:pPr>
              <w:jc w:val="center"/>
              <w:rPr>
                <w:kern w:val="32"/>
              </w:rPr>
            </w:pPr>
            <w:r w:rsidRPr="008E63BB">
              <w:rPr>
                <w:kern w:val="32"/>
              </w:rPr>
              <w:t>Nt</w:t>
            </w:r>
          </w:p>
        </w:tc>
      </w:tr>
      <w:tr w:rsidR="008D5BFE" w:rsidRPr="008E63BB" w14:paraId="519B41B4" w14:textId="77777777" w:rsidTr="00742B97">
        <w:trPr>
          <w:trHeight w:val="611"/>
        </w:trPr>
        <w:tc>
          <w:tcPr>
            <w:tcW w:w="708" w:type="dxa"/>
          </w:tcPr>
          <w:p w14:paraId="519B41AF" w14:textId="77777777" w:rsidR="00A02FF4" w:rsidRPr="008E63BB" w:rsidRDefault="00A02FF4" w:rsidP="00F5692E">
            <w:pPr>
              <w:jc w:val="center"/>
              <w:rPr>
                <w:b/>
                <w:i/>
              </w:rPr>
            </w:pPr>
            <w:r w:rsidRPr="008E63BB">
              <w:rPr>
                <w:b/>
                <w:i/>
              </w:rPr>
              <w:t>6</w:t>
            </w:r>
          </w:p>
        </w:tc>
        <w:tc>
          <w:tcPr>
            <w:tcW w:w="3817" w:type="dxa"/>
          </w:tcPr>
          <w:p w14:paraId="519B41B0" w14:textId="77777777" w:rsidR="00A02FF4" w:rsidRPr="008E63BB" w:rsidRDefault="00A02FF4" w:rsidP="00F5692E">
            <w:pPr>
              <w:rPr>
                <w:b/>
                <w:i/>
              </w:rPr>
            </w:pPr>
            <w:r w:rsidRPr="008E63BB">
              <w:rPr>
                <w:b/>
                <w:i/>
              </w:rPr>
              <w:t>Thoát nước thải – quản lý CTR và nghĩa trang</w:t>
            </w:r>
          </w:p>
        </w:tc>
        <w:tc>
          <w:tcPr>
            <w:tcW w:w="1433" w:type="dxa"/>
          </w:tcPr>
          <w:p w14:paraId="519B41B1" w14:textId="77777777" w:rsidR="00A02FF4" w:rsidRPr="008E63BB" w:rsidRDefault="00A02FF4" w:rsidP="00F5692E">
            <w:pPr>
              <w:jc w:val="center"/>
              <w:rPr>
                <w:b/>
                <w:i/>
              </w:rPr>
            </w:pPr>
          </w:p>
        </w:tc>
        <w:tc>
          <w:tcPr>
            <w:tcW w:w="1266" w:type="dxa"/>
          </w:tcPr>
          <w:p w14:paraId="519B41B2" w14:textId="77777777" w:rsidR="00A02FF4" w:rsidRPr="008E63BB" w:rsidRDefault="00A02FF4" w:rsidP="00F5692E">
            <w:pPr>
              <w:jc w:val="center"/>
              <w:rPr>
                <w:b/>
                <w:i/>
              </w:rPr>
            </w:pPr>
          </w:p>
        </w:tc>
        <w:tc>
          <w:tcPr>
            <w:tcW w:w="2382" w:type="dxa"/>
          </w:tcPr>
          <w:p w14:paraId="519B41B3" w14:textId="77777777" w:rsidR="00A02FF4" w:rsidRPr="008E63BB" w:rsidRDefault="00A02FF4" w:rsidP="00F5692E">
            <w:pPr>
              <w:jc w:val="center"/>
              <w:rPr>
                <w:b/>
                <w:i/>
                <w:kern w:val="32"/>
              </w:rPr>
            </w:pPr>
          </w:p>
        </w:tc>
      </w:tr>
      <w:tr w:rsidR="00FD0E46" w:rsidRPr="008E63BB" w14:paraId="519B41BA" w14:textId="77777777" w:rsidTr="00742B97">
        <w:trPr>
          <w:trHeight w:val="1799"/>
        </w:trPr>
        <w:tc>
          <w:tcPr>
            <w:tcW w:w="708" w:type="dxa"/>
          </w:tcPr>
          <w:p w14:paraId="519B41B5" w14:textId="77777777" w:rsidR="00FD0E46" w:rsidRPr="008E63BB" w:rsidRDefault="00FD0E46" w:rsidP="00F5692E">
            <w:pPr>
              <w:jc w:val="center"/>
              <w:rPr>
                <w:b/>
                <w:i/>
              </w:rPr>
            </w:pPr>
            <w:r w:rsidRPr="008E63BB">
              <w:rPr>
                <w:b/>
                <w:i/>
              </w:rPr>
              <w:t>6.1</w:t>
            </w:r>
          </w:p>
        </w:tc>
        <w:tc>
          <w:tcPr>
            <w:tcW w:w="3817" w:type="dxa"/>
          </w:tcPr>
          <w:p w14:paraId="519B41B6" w14:textId="77777777" w:rsidR="00FD0E46" w:rsidRPr="008E63BB" w:rsidRDefault="00FD0E46" w:rsidP="00F5692E">
            <w:pPr>
              <w:rPr>
                <w:b/>
                <w:i/>
              </w:rPr>
            </w:pPr>
            <w:r w:rsidRPr="008E63BB">
              <w:rPr>
                <w:szCs w:val="26"/>
              </w:rPr>
              <w:t>Dự án xây dựng hệ thống thoát nước thải trong phạm vi quy hoạch đợt đầu bao gồmTXLNT số 1 (tại Quán Chuột) công suất 30.000 m</w:t>
            </w:r>
            <w:r w:rsidRPr="008E63BB">
              <w:rPr>
                <w:szCs w:val="26"/>
                <w:vertAlign w:val="superscript"/>
              </w:rPr>
              <w:t>3</w:t>
            </w:r>
            <w:r w:rsidRPr="008E63BB">
              <w:rPr>
                <w:szCs w:val="26"/>
              </w:rPr>
              <w:t>/ngày, TXLNT số 2 (tại xã Đại An) công suất 20.000 m</w:t>
            </w:r>
            <w:r w:rsidRPr="008E63BB">
              <w:rPr>
                <w:szCs w:val="26"/>
                <w:vertAlign w:val="superscript"/>
              </w:rPr>
              <w:t>3</w:t>
            </w:r>
            <w:r w:rsidRPr="008E63BB">
              <w:rPr>
                <w:szCs w:val="26"/>
              </w:rPr>
              <w:t>/ngày, TXLNT số 3 công suất 5.000 m</w:t>
            </w:r>
            <w:r w:rsidRPr="008E63BB">
              <w:rPr>
                <w:szCs w:val="26"/>
                <w:vertAlign w:val="superscript"/>
              </w:rPr>
              <w:t>3</w:t>
            </w:r>
            <w:r w:rsidRPr="008E63BB">
              <w:rPr>
                <w:szCs w:val="26"/>
              </w:rPr>
              <w:t>/ngày.</w:t>
            </w:r>
          </w:p>
        </w:tc>
        <w:tc>
          <w:tcPr>
            <w:tcW w:w="1433" w:type="dxa"/>
          </w:tcPr>
          <w:p w14:paraId="519B41B7" w14:textId="77777777" w:rsidR="00FD0E46" w:rsidRPr="008E63BB" w:rsidRDefault="00FD0E46">
            <w:r w:rsidRPr="008E63BB">
              <w:rPr>
                <w:rFonts w:eastAsia="Times New Roman"/>
                <w:szCs w:val="26"/>
              </w:rPr>
              <w:t>2020-2030</w:t>
            </w:r>
          </w:p>
        </w:tc>
        <w:tc>
          <w:tcPr>
            <w:tcW w:w="1266" w:type="dxa"/>
          </w:tcPr>
          <w:p w14:paraId="519B41B8" w14:textId="77777777" w:rsidR="00FD0E46" w:rsidRPr="008E63BB" w:rsidRDefault="00FD0E46" w:rsidP="00F5692E">
            <w:pPr>
              <w:jc w:val="center"/>
              <w:rPr>
                <w:szCs w:val="26"/>
              </w:rPr>
            </w:pPr>
            <w:r w:rsidRPr="008E63BB">
              <w:rPr>
                <w:szCs w:val="26"/>
              </w:rPr>
              <w:t>845</w:t>
            </w:r>
          </w:p>
        </w:tc>
        <w:tc>
          <w:tcPr>
            <w:tcW w:w="2382" w:type="dxa"/>
          </w:tcPr>
          <w:p w14:paraId="519B41B9" w14:textId="77777777" w:rsidR="00FD0E46" w:rsidRPr="008E63BB" w:rsidRDefault="00FD0E46" w:rsidP="00F5692E">
            <w:pPr>
              <w:jc w:val="center"/>
              <w:rPr>
                <w:szCs w:val="26"/>
              </w:rPr>
            </w:pPr>
            <w:r w:rsidRPr="008E63BB">
              <w:rPr>
                <w:szCs w:val="26"/>
              </w:rPr>
              <w:t>Vốn ngân sách + vốn ODA+ các nguồn vốn hợp pháp khác</w:t>
            </w:r>
          </w:p>
        </w:tc>
      </w:tr>
      <w:tr w:rsidR="00FD0E46" w:rsidRPr="008E63BB" w14:paraId="519B41C0" w14:textId="77777777" w:rsidTr="00742B97">
        <w:trPr>
          <w:trHeight w:val="899"/>
        </w:trPr>
        <w:tc>
          <w:tcPr>
            <w:tcW w:w="708" w:type="dxa"/>
          </w:tcPr>
          <w:p w14:paraId="519B41BB" w14:textId="77777777" w:rsidR="00FD0E46" w:rsidRPr="008E63BB" w:rsidRDefault="00FD0E46" w:rsidP="00F5692E">
            <w:pPr>
              <w:jc w:val="center"/>
              <w:rPr>
                <w:b/>
                <w:i/>
              </w:rPr>
            </w:pPr>
            <w:r w:rsidRPr="008E63BB">
              <w:rPr>
                <w:b/>
                <w:i/>
              </w:rPr>
              <w:lastRenderedPageBreak/>
              <w:t>6.2</w:t>
            </w:r>
          </w:p>
        </w:tc>
        <w:tc>
          <w:tcPr>
            <w:tcW w:w="3817" w:type="dxa"/>
          </w:tcPr>
          <w:p w14:paraId="519B41BC" w14:textId="77777777" w:rsidR="00FD0E46" w:rsidRPr="008E63BB" w:rsidRDefault="00FD0E46" w:rsidP="00F5692E">
            <w:pPr>
              <w:rPr>
                <w:b/>
                <w:i/>
              </w:rPr>
            </w:pPr>
            <w:r w:rsidRPr="008E63BB">
              <w:rPr>
                <w:szCs w:val="26"/>
              </w:rPr>
              <w:t>Dự án xây dựng khu xử lý CTR tại xã Mỹ Thành, huyện Mỹ Lộc với công suất 300 tấn/ ngày.</w:t>
            </w:r>
          </w:p>
        </w:tc>
        <w:tc>
          <w:tcPr>
            <w:tcW w:w="1433" w:type="dxa"/>
          </w:tcPr>
          <w:p w14:paraId="519B41BD" w14:textId="77777777" w:rsidR="00FD0E46" w:rsidRPr="008E63BB" w:rsidRDefault="00FD0E46">
            <w:r w:rsidRPr="008E63BB">
              <w:rPr>
                <w:rFonts w:eastAsia="Times New Roman"/>
                <w:szCs w:val="26"/>
              </w:rPr>
              <w:t>2020-2030</w:t>
            </w:r>
          </w:p>
        </w:tc>
        <w:tc>
          <w:tcPr>
            <w:tcW w:w="1266" w:type="dxa"/>
          </w:tcPr>
          <w:p w14:paraId="519B41BE" w14:textId="77777777" w:rsidR="00FD0E46" w:rsidRPr="008E63BB" w:rsidRDefault="00FD0E46" w:rsidP="00F5692E">
            <w:pPr>
              <w:jc w:val="center"/>
              <w:rPr>
                <w:szCs w:val="26"/>
              </w:rPr>
            </w:pPr>
            <w:r w:rsidRPr="008E63BB">
              <w:rPr>
                <w:szCs w:val="26"/>
              </w:rPr>
              <w:t>500</w:t>
            </w:r>
          </w:p>
        </w:tc>
        <w:tc>
          <w:tcPr>
            <w:tcW w:w="2382" w:type="dxa"/>
          </w:tcPr>
          <w:p w14:paraId="519B41BF" w14:textId="77777777" w:rsidR="00FD0E46" w:rsidRPr="008E63BB" w:rsidRDefault="00FD0E46" w:rsidP="00F5692E">
            <w:pPr>
              <w:jc w:val="center"/>
              <w:rPr>
                <w:szCs w:val="26"/>
              </w:rPr>
            </w:pPr>
            <w:r w:rsidRPr="008E63BB">
              <w:rPr>
                <w:szCs w:val="26"/>
              </w:rPr>
              <w:t>Vốn ngân sách + vốn ODA+ các nguồn vốn hợp pháp khác</w:t>
            </w:r>
          </w:p>
        </w:tc>
      </w:tr>
      <w:tr w:rsidR="00FD0E46" w:rsidRPr="008E63BB" w14:paraId="519B41C6" w14:textId="77777777" w:rsidTr="00742B97">
        <w:trPr>
          <w:trHeight w:val="395"/>
        </w:trPr>
        <w:tc>
          <w:tcPr>
            <w:tcW w:w="708" w:type="dxa"/>
          </w:tcPr>
          <w:p w14:paraId="519B41C1" w14:textId="77777777" w:rsidR="00FD0E46" w:rsidRPr="008E63BB" w:rsidRDefault="00FD0E46" w:rsidP="00F5692E">
            <w:pPr>
              <w:jc w:val="center"/>
              <w:rPr>
                <w:b/>
                <w:i/>
              </w:rPr>
            </w:pPr>
            <w:r w:rsidRPr="008E63BB">
              <w:rPr>
                <w:b/>
                <w:i/>
              </w:rPr>
              <w:t>7</w:t>
            </w:r>
          </w:p>
        </w:tc>
        <w:tc>
          <w:tcPr>
            <w:tcW w:w="3817" w:type="dxa"/>
          </w:tcPr>
          <w:p w14:paraId="519B41C2" w14:textId="77777777" w:rsidR="00FD0E46" w:rsidRPr="008E63BB" w:rsidRDefault="00FD0E46" w:rsidP="00F5692E">
            <w:pPr>
              <w:rPr>
                <w:b/>
                <w:i/>
                <w:szCs w:val="26"/>
              </w:rPr>
            </w:pPr>
            <w:r w:rsidRPr="008E63BB">
              <w:rPr>
                <w:b/>
                <w:i/>
                <w:szCs w:val="26"/>
              </w:rPr>
              <w:t>Cấp nước</w:t>
            </w:r>
          </w:p>
        </w:tc>
        <w:tc>
          <w:tcPr>
            <w:tcW w:w="1433" w:type="dxa"/>
          </w:tcPr>
          <w:p w14:paraId="519B41C3" w14:textId="77777777" w:rsidR="00FD0E46" w:rsidRPr="008E63BB" w:rsidRDefault="00FD0E46" w:rsidP="00F5692E">
            <w:pPr>
              <w:jc w:val="center"/>
              <w:rPr>
                <w:b/>
                <w:i/>
                <w:szCs w:val="26"/>
              </w:rPr>
            </w:pPr>
          </w:p>
        </w:tc>
        <w:tc>
          <w:tcPr>
            <w:tcW w:w="1266" w:type="dxa"/>
          </w:tcPr>
          <w:p w14:paraId="519B41C4" w14:textId="77777777" w:rsidR="00FD0E46" w:rsidRPr="008E63BB" w:rsidRDefault="00FD0E46" w:rsidP="00F5692E">
            <w:pPr>
              <w:jc w:val="center"/>
              <w:rPr>
                <w:b/>
                <w:i/>
                <w:szCs w:val="26"/>
              </w:rPr>
            </w:pPr>
          </w:p>
        </w:tc>
        <w:tc>
          <w:tcPr>
            <w:tcW w:w="2382" w:type="dxa"/>
          </w:tcPr>
          <w:p w14:paraId="519B41C5" w14:textId="77777777" w:rsidR="00FD0E46" w:rsidRPr="008E63BB" w:rsidRDefault="00FD0E46" w:rsidP="00F5692E">
            <w:pPr>
              <w:jc w:val="center"/>
              <w:rPr>
                <w:b/>
                <w:i/>
                <w:szCs w:val="26"/>
              </w:rPr>
            </w:pPr>
          </w:p>
        </w:tc>
      </w:tr>
      <w:tr w:rsidR="00FD0E46" w:rsidRPr="008E63BB" w14:paraId="519B41CC" w14:textId="77777777" w:rsidTr="00742B97">
        <w:trPr>
          <w:trHeight w:val="899"/>
        </w:trPr>
        <w:tc>
          <w:tcPr>
            <w:tcW w:w="708" w:type="dxa"/>
          </w:tcPr>
          <w:p w14:paraId="519B41C7" w14:textId="77777777" w:rsidR="00FD0E46" w:rsidRPr="008E63BB" w:rsidRDefault="00FD0E46" w:rsidP="00F5692E">
            <w:pPr>
              <w:jc w:val="center"/>
            </w:pPr>
            <w:r w:rsidRPr="008E63BB">
              <w:t>7.1</w:t>
            </w:r>
          </w:p>
        </w:tc>
        <w:tc>
          <w:tcPr>
            <w:tcW w:w="3817" w:type="dxa"/>
          </w:tcPr>
          <w:p w14:paraId="519B41C8" w14:textId="77777777" w:rsidR="00FD0E46" w:rsidRPr="008E63BB" w:rsidRDefault="00FD0E46" w:rsidP="00F5692E">
            <w:pPr>
              <w:rPr>
                <w:szCs w:val="26"/>
              </w:rPr>
            </w:pPr>
            <w:r w:rsidRPr="008E63BB">
              <w:rPr>
                <w:szCs w:val="26"/>
              </w:rPr>
              <w:t>Xây dựng mới nhà máy nước Tân Đệ với công suất 26.000 m3/ngày đêm</w:t>
            </w:r>
          </w:p>
        </w:tc>
        <w:tc>
          <w:tcPr>
            <w:tcW w:w="1433" w:type="dxa"/>
          </w:tcPr>
          <w:p w14:paraId="519B41C9" w14:textId="77777777" w:rsidR="00FD0E46" w:rsidRPr="008E63BB" w:rsidRDefault="00FD0E46" w:rsidP="00F5692E">
            <w:pPr>
              <w:jc w:val="center"/>
              <w:rPr>
                <w:szCs w:val="26"/>
              </w:rPr>
            </w:pPr>
            <w:r w:rsidRPr="008E63BB">
              <w:rPr>
                <w:szCs w:val="26"/>
              </w:rPr>
              <w:t>2020-2030</w:t>
            </w:r>
          </w:p>
        </w:tc>
        <w:tc>
          <w:tcPr>
            <w:tcW w:w="1266" w:type="dxa"/>
          </w:tcPr>
          <w:p w14:paraId="519B41CA" w14:textId="77777777" w:rsidR="00FD0E46" w:rsidRPr="008E63BB" w:rsidRDefault="003C017D" w:rsidP="003C017D">
            <w:pPr>
              <w:jc w:val="center"/>
              <w:rPr>
                <w:szCs w:val="26"/>
              </w:rPr>
            </w:pPr>
            <w:r w:rsidRPr="008E63BB">
              <w:rPr>
                <w:szCs w:val="26"/>
              </w:rPr>
              <w:t>135,46</w:t>
            </w:r>
          </w:p>
        </w:tc>
        <w:tc>
          <w:tcPr>
            <w:tcW w:w="2382" w:type="dxa"/>
          </w:tcPr>
          <w:p w14:paraId="519B41CB" w14:textId="77777777" w:rsidR="00FD0E46" w:rsidRPr="008E63BB" w:rsidRDefault="003C017D" w:rsidP="003C017D">
            <w:pPr>
              <w:rPr>
                <w:szCs w:val="26"/>
              </w:rPr>
            </w:pPr>
            <w:r w:rsidRPr="008E63BB">
              <w:rPr>
                <w:sz w:val="28"/>
                <w:szCs w:val="28"/>
              </w:rPr>
              <w:t>Ngân sách + XHH</w:t>
            </w:r>
          </w:p>
        </w:tc>
      </w:tr>
      <w:tr w:rsidR="003C017D" w:rsidRPr="008E63BB" w14:paraId="519B41D3" w14:textId="77777777" w:rsidTr="00742B97">
        <w:trPr>
          <w:trHeight w:val="899"/>
        </w:trPr>
        <w:tc>
          <w:tcPr>
            <w:tcW w:w="708" w:type="dxa"/>
          </w:tcPr>
          <w:p w14:paraId="519B41CD" w14:textId="77777777" w:rsidR="003C017D" w:rsidRPr="008E63BB" w:rsidRDefault="003C017D" w:rsidP="00F5692E">
            <w:pPr>
              <w:jc w:val="center"/>
              <w:rPr>
                <w:b/>
                <w:i/>
              </w:rPr>
            </w:pPr>
            <w:r w:rsidRPr="008E63BB">
              <w:rPr>
                <w:b/>
                <w:i/>
              </w:rPr>
              <w:t>7.2</w:t>
            </w:r>
          </w:p>
        </w:tc>
        <w:tc>
          <w:tcPr>
            <w:tcW w:w="3817" w:type="dxa"/>
          </w:tcPr>
          <w:p w14:paraId="519B41CE" w14:textId="77777777" w:rsidR="003C017D" w:rsidRPr="008E63BB" w:rsidRDefault="003C017D" w:rsidP="003C017D">
            <w:pPr>
              <w:rPr>
                <w:szCs w:val="26"/>
              </w:rPr>
            </w:pPr>
            <w:r w:rsidRPr="008E63BB">
              <w:rPr>
                <w:szCs w:val="26"/>
              </w:rPr>
              <w:t>Nâng công suất nhà máy nước TP hiện tại lên 105.000 m3/ngđ</w:t>
            </w:r>
            <w:r w:rsidR="00541F43" w:rsidRPr="008E63BB">
              <w:rPr>
                <w:szCs w:val="26"/>
              </w:rPr>
              <w:t>và xử lý bùn thải</w:t>
            </w:r>
          </w:p>
          <w:p w14:paraId="519B41CF" w14:textId="77777777" w:rsidR="003C017D" w:rsidRPr="008E63BB" w:rsidRDefault="003C017D" w:rsidP="003C017D">
            <w:pPr>
              <w:rPr>
                <w:szCs w:val="26"/>
              </w:rPr>
            </w:pPr>
          </w:p>
        </w:tc>
        <w:tc>
          <w:tcPr>
            <w:tcW w:w="1433" w:type="dxa"/>
          </w:tcPr>
          <w:p w14:paraId="519B41D0" w14:textId="77777777" w:rsidR="003C017D" w:rsidRPr="008E63BB" w:rsidRDefault="003C017D" w:rsidP="00F5692E">
            <w:pPr>
              <w:jc w:val="center"/>
              <w:rPr>
                <w:szCs w:val="26"/>
              </w:rPr>
            </w:pPr>
            <w:r w:rsidRPr="008E63BB">
              <w:rPr>
                <w:szCs w:val="26"/>
              </w:rPr>
              <w:t>2020-2030</w:t>
            </w:r>
          </w:p>
        </w:tc>
        <w:tc>
          <w:tcPr>
            <w:tcW w:w="1266" w:type="dxa"/>
          </w:tcPr>
          <w:p w14:paraId="519B41D1" w14:textId="77777777" w:rsidR="003C017D" w:rsidRPr="008E63BB" w:rsidRDefault="003C017D" w:rsidP="00F5692E">
            <w:pPr>
              <w:jc w:val="center"/>
              <w:rPr>
                <w:szCs w:val="26"/>
              </w:rPr>
            </w:pPr>
            <w:r w:rsidRPr="008E63BB">
              <w:rPr>
                <w:szCs w:val="26"/>
              </w:rPr>
              <w:t>126</w:t>
            </w:r>
          </w:p>
        </w:tc>
        <w:tc>
          <w:tcPr>
            <w:tcW w:w="2382" w:type="dxa"/>
          </w:tcPr>
          <w:p w14:paraId="519B41D2" w14:textId="77777777" w:rsidR="003C017D" w:rsidRPr="008E63BB" w:rsidRDefault="003C017D" w:rsidP="003C017D">
            <w:pPr>
              <w:rPr>
                <w:sz w:val="28"/>
                <w:szCs w:val="28"/>
              </w:rPr>
            </w:pPr>
            <w:r w:rsidRPr="008E63BB">
              <w:rPr>
                <w:sz w:val="28"/>
                <w:szCs w:val="28"/>
              </w:rPr>
              <w:t>Ngân sách + XHH</w:t>
            </w:r>
          </w:p>
        </w:tc>
      </w:tr>
      <w:tr w:rsidR="00541F43" w:rsidRPr="008E63BB" w14:paraId="519B41D9" w14:textId="77777777" w:rsidTr="00742B97">
        <w:trPr>
          <w:trHeight w:val="575"/>
        </w:trPr>
        <w:tc>
          <w:tcPr>
            <w:tcW w:w="708" w:type="dxa"/>
          </w:tcPr>
          <w:p w14:paraId="519B41D4" w14:textId="77777777" w:rsidR="00541F43" w:rsidRPr="008E63BB" w:rsidRDefault="00541F43" w:rsidP="00541F43">
            <w:pPr>
              <w:jc w:val="center"/>
              <w:rPr>
                <w:b/>
                <w:i/>
              </w:rPr>
            </w:pPr>
            <w:r w:rsidRPr="008E63BB">
              <w:rPr>
                <w:b/>
                <w:i/>
              </w:rPr>
              <w:t>7.3</w:t>
            </w:r>
          </w:p>
        </w:tc>
        <w:tc>
          <w:tcPr>
            <w:tcW w:w="3817" w:type="dxa"/>
          </w:tcPr>
          <w:p w14:paraId="519B41D5" w14:textId="77777777" w:rsidR="00541F43" w:rsidRPr="008E63BB" w:rsidRDefault="00541F43" w:rsidP="00F5692E">
            <w:pPr>
              <w:rPr>
                <w:szCs w:val="26"/>
              </w:rPr>
            </w:pPr>
            <w:r w:rsidRPr="008E63BB">
              <w:rPr>
                <w:szCs w:val="26"/>
              </w:rPr>
              <w:t>Làm các tuyến ống truyền tải từ D300 - D800</w:t>
            </w:r>
          </w:p>
        </w:tc>
        <w:tc>
          <w:tcPr>
            <w:tcW w:w="1433" w:type="dxa"/>
          </w:tcPr>
          <w:p w14:paraId="519B41D6" w14:textId="77777777" w:rsidR="00541F43" w:rsidRPr="008E63BB" w:rsidRDefault="00541F43" w:rsidP="003C017D">
            <w:pPr>
              <w:jc w:val="center"/>
            </w:pPr>
            <w:r w:rsidRPr="008E63BB">
              <w:rPr>
                <w:szCs w:val="26"/>
              </w:rPr>
              <w:t>2020-2030</w:t>
            </w:r>
          </w:p>
        </w:tc>
        <w:tc>
          <w:tcPr>
            <w:tcW w:w="1266" w:type="dxa"/>
          </w:tcPr>
          <w:p w14:paraId="519B41D7" w14:textId="77777777" w:rsidR="00541F43" w:rsidRPr="008E63BB" w:rsidRDefault="00541F43" w:rsidP="00F5692E">
            <w:pPr>
              <w:jc w:val="center"/>
              <w:rPr>
                <w:szCs w:val="26"/>
              </w:rPr>
            </w:pPr>
            <w:r w:rsidRPr="008E63BB">
              <w:rPr>
                <w:szCs w:val="26"/>
              </w:rPr>
              <w:t>217</w:t>
            </w:r>
          </w:p>
        </w:tc>
        <w:tc>
          <w:tcPr>
            <w:tcW w:w="2382" w:type="dxa"/>
          </w:tcPr>
          <w:p w14:paraId="519B41D8" w14:textId="77777777" w:rsidR="00541F43" w:rsidRPr="008E63BB" w:rsidRDefault="00541F43" w:rsidP="00FA1890">
            <w:pPr>
              <w:rPr>
                <w:sz w:val="28"/>
                <w:szCs w:val="28"/>
              </w:rPr>
            </w:pPr>
            <w:r w:rsidRPr="008E63BB">
              <w:rPr>
                <w:sz w:val="28"/>
                <w:szCs w:val="28"/>
              </w:rPr>
              <w:t>Ngân sách + XHH</w:t>
            </w:r>
          </w:p>
        </w:tc>
      </w:tr>
    </w:tbl>
    <w:p w14:paraId="519B41DA" w14:textId="77777777" w:rsidR="00332E80" w:rsidRPr="008E63BB" w:rsidRDefault="00332E80" w:rsidP="00332E80">
      <w:pPr>
        <w:rPr>
          <w:lang w:val="vi-VN"/>
        </w:rPr>
      </w:pPr>
    </w:p>
    <w:p w14:paraId="519B41DB" w14:textId="77777777" w:rsidR="00C32228" w:rsidRPr="008E63BB" w:rsidRDefault="00C32228" w:rsidP="0065184D">
      <w:pPr>
        <w:pStyle w:val="Heading2"/>
        <w:spacing w:before="0" w:after="0"/>
        <w:rPr>
          <w:kern w:val="32"/>
          <w:lang w:val="vi-VN"/>
        </w:rPr>
      </w:pPr>
      <w:bookmarkStart w:id="534" w:name="_Toc47524743"/>
      <w:r w:rsidRPr="008E63BB">
        <w:rPr>
          <w:kern w:val="32"/>
          <w:lang w:val="vi-VN"/>
        </w:rPr>
        <w:t>8.2. Giải pháp quản lý và cơ chế chính sách tạo vốn đầu tư phát triển đô thị</w:t>
      </w:r>
      <w:bookmarkEnd w:id="534"/>
    </w:p>
    <w:p w14:paraId="519B41DC" w14:textId="77777777" w:rsidR="00C32228" w:rsidRPr="008E63BB" w:rsidRDefault="00B214BA" w:rsidP="0065184D">
      <w:pPr>
        <w:pStyle w:val="Heading3"/>
        <w:rPr>
          <w:lang w:val="vi-VN"/>
        </w:rPr>
      </w:pPr>
      <w:bookmarkStart w:id="535" w:name="_Toc7730073"/>
      <w:bookmarkStart w:id="536" w:name="_Toc47524744"/>
      <w:r w:rsidRPr="008E63BB">
        <w:rPr>
          <w:lang w:val="vi-VN"/>
        </w:rPr>
        <w:t>8.2</w:t>
      </w:r>
      <w:r w:rsidR="00C32228" w:rsidRPr="008E63BB">
        <w:rPr>
          <w:lang w:val="vi-VN"/>
        </w:rPr>
        <w:t>.1. Các giải pháp quản lý</w:t>
      </w:r>
      <w:bookmarkEnd w:id="535"/>
      <w:bookmarkEnd w:id="536"/>
    </w:p>
    <w:p w14:paraId="519B41DD" w14:textId="77777777" w:rsidR="00C32228" w:rsidRPr="008E63BB" w:rsidRDefault="00C32228" w:rsidP="0065184D">
      <w:pPr>
        <w:rPr>
          <w:rFonts w:eastAsia="Times New Roman"/>
          <w:szCs w:val="20"/>
          <w:lang w:val="vi-VN"/>
        </w:rPr>
      </w:pPr>
      <w:r w:rsidRPr="008E63BB">
        <w:rPr>
          <w:rFonts w:eastAsia="Times New Roman"/>
          <w:szCs w:val="20"/>
          <w:lang w:val="vi-VN"/>
        </w:rPr>
        <w:tab/>
        <w:t>- Công bố quy hoạch sau khi quy hoạch được duyệt.</w:t>
      </w:r>
    </w:p>
    <w:p w14:paraId="519B41DE" w14:textId="77777777" w:rsidR="00C32228" w:rsidRPr="008E63BB" w:rsidRDefault="00C32228" w:rsidP="0065184D">
      <w:pPr>
        <w:rPr>
          <w:rFonts w:eastAsia="Times New Roman"/>
          <w:szCs w:val="20"/>
          <w:lang w:val="vi-VN"/>
        </w:rPr>
      </w:pPr>
      <w:r w:rsidRPr="008E63BB">
        <w:rPr>
          <w:rFonts w:eastAsia="Times New Roman"/>
          <w:szCs w:val="20"/>
          <w:lang w:val="vi-VN"/>
        </w:rPr>
        <w:tab/>
        <w:t>- Lưu hồ sơ quy hoạch tại các cơ quan chức năng quản lý về xây dựng đô thị.</w:t>
      </w:r>
    </w:p>
    <w:p w14:paraId="519B41DF" w14:textId="77777777" w:rsidR="00C32228" w:rsidRPr="008E63BB" w:rsidRDefault="00C32228" w:rsidP="0065184D">
      <w:pPr>
        <w:rPr>
          <w:rFonts w:eastAsia="Times New Roman"/>
          <w:szCs w:val="20"/>
          <w:lang w:val="vi-VN"/>
        </w:rPr>
      </w:pPr>
      <w:r w:rsidRPr="008E63BB">
        <w:rPr>
          <w:rFonts w:eastAsia="Times New Roman"/>
          <w:szCs w:val="20"/>
          <w:lang w:val="vi-VN"/>
        </w:rPr>
        <w:tab/>
        <w:t>- Lập chương trình và kế hoạch khai thác quy hoạch.</w:t>
      </w:r>
    </w:p>
    <w:p w14:paraId="519B41E0" w14:textId="77777777" w:rsidR="00C32228" w:rsidRPr="008E63BB" w:rsidRDefault="00C32228" w:rsidP="0065184D">
      <w:pPr>
        <w:rPr>
          <w:rFonts w:eastAsia="Times New Roman"/>
          <w:szCs w:val="20"/>
          <w:lang w:val="vi-VN"/>
        </w:rPr>
      </w:pPr>
      <w:r w:rsidRPr="008E63BB">
        <w:rPr>
          <w:rFonts w:eastAsia="Times New Roman"/>
          <w:szCs w:val="20"/>
          <w:lang w:val="vi-VN"/>
        </w:rPr>
        <w:tab/>
        <w:t>- Cắm mốc lộ giới và khoảng lùi xây dựng công trình trên các đường phố trong đô thị.</w:t>
      </w:r>
    </w:p>
    <w:p w14:paraId="519B41E1" w14:textId="77777777" w:rsidR="00C32228" w:rsidRPr="008E63BB" w:rsidRDefault="00C32228" w:rsidP="0065184D">
      <w:pPr>
        <w:rPr>
          <w:rFonts w:eastAsia="Times New Roman"/>
          <w:szCs w:val="20"/>
          <w:lang w:val="vi-VN"/>
        </w:rPr>
      </w:pPr>
      <w:r w:rsidRPr="008E63BB">
        <w:rPr>
          <w:rFonts w:eastAsia="Times New Roman"/>
          <w:szCs w:val="20"/>
          <w:lang w:val="vi-VN"/>
        </w:rPr>
        <w:tab/>
        <w:t>- Xây dựng đội ngũ cán bộ quản lý đô thị đủ về số lượng vững về chuyên môn.</w:t>
      </w:r>
    </w:p>
    <w:p w14:paraId="519B41E2" w14:textId="77777777" w:rsidR="00C32228" w:rsidRPr="008E63BB" w:rsidRDefault="00C32228" w:rsidP="0065184D">
      <w:pPr>
        <w:rPr>
          <w:rFonts w:eastAsia="Times New Roman"/>
          <w:szCs w:val="20"/>
          <w:lang w:val="vi-VN"/>
        </w:rPr>
      </w:pPr>
      <w:r w:rsidRPr="008E63BB">
        <w:rPr>
          <w:rFonts w:eastAsia="Times New Roman"/>
          <w:szCs w:val="20"/>
          <w:lang w:val="vi-VN"/>
        </w:rPr>
        <w:tab/>
        <w:t>- Tuyên truyền sâu rộng đến mọi người dân đô thị có ý thức trong việc thực hiện xây dựng theo quy hoạch.</w:t>
      </w:r>
    </w:p>
    <w:p w14:paraId="519B41E3" w14:textId="77777777" w:rsidR="00C32228" w:rsidRPr="008E63BB" w:rsidRDefault="00A02FF4" w:rsidP="0065184D">
      <w:pPr>
        <w:rPr>
          <w:rFonts w:eastAsia="Times New Roman"/>
          <w:szCs w:val="20"/>
          <w:lang w:val="vi-VN"/>
        </w:rPr>
      </w:pPr>
      <w:r w:rsidRPr="008E63BB">
        <w:rPr>
          <w:rFonts w:eastAsia="Times New Roman"/>
          <w:szCs w:val="20"/>
          <w:lang w:val="vi-VN"/>
        </w:rPr>
        <w:tab/>
        <w:t>- Lập</w:t>
      </w:r>
      <w:r w:rsidR="00C32228" w:rsidRPr="008E63BB">
        <w:rPr>
          <w:rFonts w:eastAsia="Times New Roman"/>
          <w:szCs w:val="20"/>
          <w:lang w:val="vi-VN"/>
        </w:rPr>
        <w:t xml:space="preserve"> quy chế quản lý </w:t>
      </w:r>
      <w:r w:rsidR="00E12948" w:rsidRPr="008E63BB">
        <w:rPr>
          <w:rFonts w:eastAsia="Times New Roman"/>
          <w:szCs w:val="20"/>
          <w:lang w:val="vi-VN"/>
        </w:rPr>
        <w:t>quy hoạch kiến trúc đô thị</w:t>
      </w:r>
      <w:r w:rsidR="00C32228" w:rsidRPr="008E63BB">
        <w:rPr>
          <w:rFonts w:eastAsia="Times New Roman"/>
          <w:szCs w:val="20"/>
          <w:lang w:val="vi-VN"/>
        </w:rPr>
        <w:t>.</w:t>
      </w:r>
    </w:p>
    <w:p w14:paraId="519B41E4" w14:textId="77777777" w:rsidR="00C32228" w:rsidRPr="008E63BB" w:rsidRDefault="00B214BA" w:rsidP="0065184D">
      <w:pPr>
        <w:pStyle w:val="Heading3"/>
        <w:rPr>
          <w:lang w:val="vi-VN"/>
        </w:rPr>
      </w:pPr>
      <w:bookmarkStart w:id="537" w:name="_Toc5092527"/>
      <w:bookmarkStart w:id="538" w:name="_Toc508699237"/>
      <w:bookmarkStart w:id="539" w:name="_Toc7730074"/>
      <w:bookmarkStart w:id="540" w:name="_Toc47524745"/>
      <w:r w:rsidRPr="008E63BB">
        <w:rPr>
          <w:lang w:val="vi-VN"/>
        </w:rPr>
        <w:t>8.2</w:t>
      </w:r>
      <w:r w:rsidR="00C32228" w:rsidRPr="008E63BB">
        <w:rPr>
          <w:lang w:val="vi-VN"/>
        </w:rPr>
        <w:t>.2. Bộ máy quản lý và tổ chức thực hiện dự án</w:t>
      </w:r>
      <w:bookmarkEnd w:id="537"/>
      <w:bookmarkEnd w:id="538"/>
      <w:bookmarkEnd w:id="539"/>
      <w:bookmarkEnd w:id="540"/>
    </w:p>
    <w:p w14:paraId="519B41E5"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UBND </w:t>
      </w:r>
      <w:r w:rsidR="00B214BA" w:rsidRPr="008E63BB">
        <w:rPr>
          <w:rFonts w:eastAsia="Times New Roman"/>
          <w:kern w:val="32"/>
          <w:szCs w:val="26"/>
          <w:lang w:val="vi-VN"/>
        </w:rPr>
        <w:t>Thành phố Nam Định</w:t>
      </w:r>
      <w:r w:rsidRPr="008E63BB">
        <w:rPr>
          <w:rFonts w:eastAsia="Times New Roman"/>
          <w:kern w:val="32"/>
          <w:szCs w:val="26"/>
          <w:lang w:val="vi-VN"/>
        </w:rPr>
        <w:t xml:space="preserve"> chịu trách nhiệm: </w:t>
      </w:r>
    </w:p>
    <w:p w14:paraId="519B41E6"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Xây dựng các văn bản quy phạm pháp luật, chính sách có liên quan đến hoạt động đầu tư, phát triển đô thị.</w:t>
      </w:r>
    </w:p>
    <w:p w14:paraId="519B41E7"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 Lập quy hoạch phân khu và quy hoạch chi tiết trình UBND tỉnh </w:t>
      </w:r>
      <w:r w:rsidR="00B214BA" w:rsidRPr="008E63BB">
        <w:rPr>
          <w:rFonts w:eastAsia="Times New Roman"/>
          <w:kern w:val="32"/>
          <w:szCs w:val="26"/>
          <w:lang w:val="vi-VN"/>
        </w:rPr>
        <w:t>Nam Định</w:t>
      </w:r>
      <w:r w:rsidRPr="008E63BB">
        <w:rPr>
          <w:rFonts w:eastAsia="Times New Roman"/>
          <w:kern w:val="32"/>
          <w:szCs w:val="26"/>
          <w:lang w:val="vi-VN"/>
        </w:rPr>
        <w:t xml:space="preserve"> phê duyệt. </w:t>
      </w:r>
    </w:p>
    <w:p w14:paraId="519B41E8"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 Chủ trì, phối hợp với các cơ quan có liên quan xây dựng Quy chế phối hợp làm việc với các cơ quan chuyên môn trực thuộc UBND tỉnh </w:t>
      </w:r>
      <w:r w:rsidR="00B214BA" w:rsidRPr="008E63BB">
        <w:rPr>
          <w:rFonts w:eastAsia="Times New Roman"/>
          <w:kern w:val="32"/>
          <w:szCs w:val="26"/>
          <w:lang w:val="vi-VN"/>
        </w:rPr>
        <w:t>Nam Định</w:t>
      </w:r>
      <w:r w:rsidRPr="008E63BB">
        <w:rPr>
          <w:rFonts w:eastAsia="Times New Roman"/>
          <w:kern w:val="32"/>
          <w:szCs w:val="26"/>
          <w:lang w:val="vi-VN"/>
        </w:rPr>
        <w:t xml:space="preserve"> hoặc các cơ quan có liên quan để thực hiện các nhiệm vụ và quyền hạn được giao, trình ủy ban nhân dân tỉnh phê duyệt và tổ chức thực hiện;</w:t>
      </w:r>
    </w:p>
    <w:p w14:paraId="519B41E9"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Xây dựng chương trình, kế hoạch về xúc tiến đầu tư phát triển </w:t>
      </w:r>
      <w:r w:rsidR="00B214BA" w:rsidRPr="008E63BB">
        <w:rPr>
          <w:rFonts w:eastAsia="Times New Roman"/>
          <w:kern w:val="32"/>
          <w:szCs w:val="26"/>
          <w:lang w:val="vi-VN"/>
        </w:rPr>
        <w:t>thành phố Nam Định</w:t>
      </w:r>
      <w:r w:rsidRPr="008E63BB">
        <w:rPr>
          <w:rFonts w:eastAsia="Times New Roman"/>
          <w:kern w:val="32"/>
          <w:szCs w:val="26"/>
          <w:lang w:val="vi-VN"/>
        </w:rPr>
        <w:t xml:space="preserve"> trình ủy ban nhân dân Tỉnh phê duyệt và tổ chức thực hiện;</w:t>
      </w:r>
    </w:p>
    <w:p w14:paraId="519B41EA"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Dự toán ngân sách vốn đầu tư xây dựng hàng năm trình cơ quan có thẩm quyền phê duyệt theo quy định của Luật Ngân sách nhà nước và pháp luật có liên quan.</w:t>
      </w:r>
    </w:p>
    <w:p w14:paraId="519B41EB"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 Xây dựng những sáng kiến tài chính 'hợp tác công tư (PPP) để thực hiện các dự án xây dựng cơ sở hạ tầng bằng nguồn vốn tư nhân - với chi phí sẽ do người sử dụng </w:t>
      </w:r>
      <w:r w:rsidRPr="008E63BB">
        <w:rPr>
          <w:rFonts w:eastAsia="Times New Roman"/>
          <w:kern w:val="32"/>
          <w:szCs w:val="26"/>
          <w:lang w:val="vi-VN"/>
        </w:rPr>
        <w:lastRenderedPageBreak/>
        <w:t>dịch vụ chi trả; hoặc xây dựng "Sáng kiến - tài chính tư nhân '(PFI) để thực hiện các dự án cơ sở hạ tầng bằng nguồn vố</w:t>
      </w:r>
      <w:r w:rsidR="00B214BA" w:rsidRPr="008E63BB">
        <w:rPr>
          <w:rFonts w:eastAsia="Times New Roman"/>
          <w:kern w:val="32"/>
          <w:szCs w:val="26"/>
          <w:lang w:val="vi-VN"/>
        </w:rPr>
        <w:t>n tư nhân – với chi phí do thành phố</w:t>
      </w:r>
      <w:r w:rsidRPr="008E63BB">
        <w:rPr>
          <w:rFonts w:eastAsia="Times New Roman"/>
          <w:kern w:val="32"/>
          <w:szCs w:val="26"/>
          <w:lang w:val="vi-VN"/>
        </w:rPr>
        <w:t xml:space="preserve">/Tỉnh </w:t>
      </w:r>
      <w:r w:rsidR="00B214BA" w:rsidRPr="008E63BB">
        <w:rPr>
          <w:rFonts w:eastAsia="Times New Roman"/>
          <w:kern w:val="32"/>
          <w:szCs w:val="26"/>
          <w:lang w:val="vi-VN"/>
        </w:rPr>
        <w:t>Nam Định</w:t>
      </w:r>
      <w:r w:rsidRPr="008E63BB">
        <w:rPr>
          <w:rFonts w:eastAsia="Times New Roman"/>
          <w:kern w:val="32"/>
          <w:szCs w:val="26"/>
          <w:lang w:val="vi-VN"/>
        </w:rPr>
        <w:t xml:space="preserve"> chi trả thông qua một thỏa thuận cho thuê hoặc hợp đồng;</w:t>
      </w:r>
    </w:p>
    <w:p w14:paraId="519B41EC" w14:textId="77777777" w:rsidR="00C32228" w:rsidRPr="008E63BB" w:rsidRDefault="00C32228" w:rsidP="0065184D">
      <w:pPr>
        <w:rPr>
          <w:rFonts w:eastAsia="Times New Roman"/>
          <w:i/>
          <w:kern w:val="32"/>
          <w:szCs w:val="26"/>
          <w:lang w:val="vi-VN"/>
        </w:rPr>
      </w:pPr>
      <w:r w:rsidRPr="008E63BB">
        <w:rPr>
          <w:rFonts w:eastAsia="Times New Roman"/>
          <w:i/>
          <w:kern w:val="32"/>
          <w:szCs w:val="26"/>
          <w:lang w:val="vi-VN"/>
        </w:rPr>
        <w:t>* Về tổ chức xây dựng:</w:t>
      </w:r>
    </w:p>
    <w:p w14:paraId="519B41ED"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 </w:t>
      </w:r>
      <w:r w:rsidR="00A02FF4" w:rsidRPr="008E63BB">
        <w:rPr>
          <w:rFonts w:eastAsia="Times New Roman"/>
          <w:kern w:val="32"/>
          <w:szCs w:val="26"/>
          <w:lang w:val="vi-VN"/>
        </w:rPr>
        <w:t>Công bố rộng rãi “Điều chỉnh Quy hoạch chung thành phố Nam Định đến năm 2040 tầm nhìn đến năm 2050” sau khi được Thủ tướng Chính phủ phê duyệt bằng nhiều hình thức (thiết lập trang WEB, quảng cáo trên các phương tiện thông tin đại chúng, tổ chức hội nghị xúc tiến đầu tư,...) để các nhà đầu tư có cơ hội tiếp cận với đồ án và tiến hành đầu tư</w:t>
      </w:r>
      <w:r w:rsidRPr="008E63BB">
        <w:rPr>
          <w:rFonts w:eastAsia="Times New Roman"/>
          <w:kern w:val="32"/>
          <w:szCs w:val="26"/>
          <w:lang w:val="vi-VN"/>
        </w:rPr>
        <w:t>.</w:t>
      </w:r>
    </w:p>
    <w:p w14:paraId="519B41EE"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 </w:t>
      </w:r>
      <w:r w:rsidRPr="008E63BB">
        <w:rPr>
          <w:rFonts w:eastAsia="Times New Roman" w:cs="Arial"/>
          <w:bCs/>
          <w:kern w:val="2"/>
          <w:szCs w:val="26"/>
          <w:lang w:val="vi-VN" w:eastAsia="zh-CN"/>
        </w:rPr>
        <w:t xml:space="preserve">Tổ chức </w:t>
      </w:r>
      <w:r w:rsidRPr="008E63BB">
        <w:rPr>
          <w:rFonts w:eastAsia="Times New Roman"/>
          <w:kern w:val="32"/>
          <w:lang w:val="vi-VN"/>
        </w:rPr>
        <w:t>thực hiện xây dựngcông trìnhhạ tầng khung ban đầu</w:t>
      </w:r>
      <w:r w:rsidRPr="008E63BB">
        <w:rPr>
          <w:rFonts w:eastAsia="Times New Roman"/>
          <w:kern w:val="32"/>
          <w:szCs w:val="26"/>
          <w:lang w:val="vi-VN"/>
        </w:rPr>
        <w:t xml:space="preserve"> gồm công trình đầu mối lớn như trạm điện, trạm xử lý nước thải…, và các tuyến đường trục chính chính đô thị , hệ thống thoát nước, cấp nước, cấp điện, viễn thông, các kết nối </w:t>
      </w:r>
      <w:r w:rsidRPr="008E63BB">
        <w:rPr>
          <w:rFonts w:eastAsia="Times New Roman"/>
          <w:kern w:val="32"/>
          <w:lang w:val="vi-VN"/>
        </w:rPr>
        <w:t>dịchvụ hạ tầng khác</w:t>
      </w:r>
      <w:r w:rsidRPr="008E63BB">
        <w:rPr>
          <w:rFonts w:eastAsia="Times New Roman"/>
          <w:kern w:val="32"/>
          <w:szCs w:val="26"/>
          <w:lang w:val="vi-VN"/>
        </w:rPr>
        <w:t>…; Nguồn vốn huy động b</w:t>
      </w:r>
      <w:r w:rsidRPr="008E63BB">
        <w:rPr>
          <w:rFonts w:eastAsia="Times New Roman" w:cs="Arial"/>
          <w:kern w:val="32"/>
          <w:szCs w:val="26"/>
          <w:lang w:val="vi-VN"/>
        </w:rPr>
        <w:t>ằ</w:t>
      </w:r>
      <w:r w:rsidRPr="008E63BB">
        <w:rPr>
          <w:rFonts w:eastAsia="Times New Roman"/>
          <w:kern w:val="32"/>
          <w:szCs w:val="26"/>
          <w:lang w:val="vi-VN"/>
        </w:rPr>
        <w:t xml:space="preserve">ng nhiều hính thức ngân sách, vốn vay, BT, … </w:t>
      </w:r>
    </w:p>
    <w:p w14:paraId="519B41EF"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Các nhà đầu tư tư nhân sẽ mua đất đã được đầu tư hạ tầng kỹ thuật khung của khu vực và tiến hành xây dựng theo quy hoạch đã được duyệt, khi các dự án hoàn thành sẽ được đưa ra bán trên thị trường và lợi nhuận được nhà đầu tư giữ lại sau khi đã hoàn thành nghĩa vụ tài chính đối với Nhà nước. Nguồn kinh phí thu được từ bán đất sẽ bù đắp các chi phí xây dựng cơ sở hạ tầng ban đầu.</w:t>
      </w:r>
    </w:p>
    <w:p w14:paraId="519B41F0"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Đối với các công trình phúc lợi xã hội mà trách nhiệm thuộc UBND </w:t>
      </w:r>
      <w:r w:rsidR="00B214BA" w:rsidRPr="008E63BB">
        <w:rPr>
          <w:rFonts w:eastAsia="Times New Roman"/>
          <w:kern w:val="32"/>
          <w:szCs w:val="26"/>
          <w:lang w:val="vi-VN"/>
        </w:rPr>
        <w:t>phường/</w:t>
      </w:r>
      <w:r w:rsidRPr="008E63BB">
        <w:rPr>
          <w:rFonts w:eastAsia="Times New Roman"/>
          <w:kern w:val="32"/>
          <w:szCs w:val="26"/>
          <w:lang w:val="vi-VN"/>
        </w:rPr>
        <w:t>xã/</w:t>
      </w:r>
      <w:r w:rsidR="00B214BA" w:rsidRPr="008E63BB">
        <w:rPr>
          <w:rFonts w:eastAsia="Times New Roman"/>
          <w:kern w:val="32"/>
          <w:szCs w:val="26"/>
          <w:lang w:val="vi-VN"/>
        </w:rPr>
        <w:t>thị trấn/thành phố/huyện</w:t>
      </w:r>
      <w:r w:rsidRPr="008E63BB">
        <w:rPr>
          <w:rFonts w:eastAsia="Times New Roman"/>
          <w:kern w:val="32"/>
          <w:szCs w:val="26"/>
          <w:lang w:val="vi-VN"/>
        </w:rPr>
        <w:t>/ Tỉnh phải đầu tư như bệnh viện, trường học…có thể áp dụng hình thức để đổi đất cho nhà đầu tư còn chính quyền lấy công trình.</w:t>
      </w:r>
    </w:p>
    <w:p w14:paraId="519B41F1" w14:textId="77777777" w:rsidR="00C32228" w:rsidRPr="008E63BB" w:rsidRDefault="00B214BA" w:rsidP="0065184D">
      <w:pPr>
        <w:pStyle w:val="Heading3"/>
        <w:rPr>
          <w:lang w:val="vi-VN"/>
        </w:rPr>
      </w:pPr>
      <w:bookmarkStart w:id="541" w:name="_Toc5092528"/>
      <w:bookmarkStart w:id="542" w:name="_Toc508699238"/>
      <w:bookmarkStart w:id="543" w:name="_Toc508027472"/>
      <w:bookmarkStart w:id="544" w:name="_Toc507971580"/>
      <w:bookmarkStart w:id="545" w:name="_Toc507970892"/>
      <w:bookmarkStart w:id="546" w:name="_Toc494271028"/>
      <w:bookmarkStart w:id="547" w:name="_Toc345538425"/>
      <w:bookmarkStart w:id="548" w:name="_Toc272245410"/>
      <w:bookmarkStart w:id="549" w:name="_Toc218496951"/>
      <w:bookmarkStart w:id="550" w:name="_Toc167611449"/>
      <w:bookmarkStart w:id="551" w:name="_Toc126877783"/>
      <w:bookmarkStart w:id="552" w:name="_Toc7730075"/>
      <w:bookmarkStart w:id="553" w:name="_Toc47524746"/>
      <w:r w:rsidRPr="008E63BB">
        <w:rPr>
          <w:lang w:val="vi-VN"/>
        </w:rPr>
        <w:t>8.2</w:t>
      </w:r>
      <w:r w:rsidR="00C32228" w:rsidRPr="008E63BB">
        <w:rPr>
          <w:lang w:val="vi-VN"/>
        </w:rPr>
        <w:t>.3. Nguồn vốn đầu tư</w:t>
      </w:r>
      <w:bookmarkEnd w:id="541"/>
      <w:bookmarkEnd w:id="542"/>
      <w:bookmarkEnd w:id="543"/>
      <w:bookmarkEnd w:id="544"/>
      <w:bookmarkEnd w:id="545"/>
      <w:bookmarkEnd w:id="546"/>
      <w:bookmarkEnd w:id="547"/>
      <w:bookmarkEnd w:id="548"/>
      <w:bookmarkEnd w:id="549"/>
      <w:bookmarkEnd w:id="550"/>
      <w:bookmarkEnd w:id="551"/>
      <w:bookmarkEnd w:id="552"/>
      <w:bookmarkEnd w:id="553"/>
    </w:p>
    <w:p w14:paraId="519B41F2" w14:textId="77777777" w:rsidR="00C32228" w:rsidRPr="008E63BB" w:rsidRDefault="00C32228" w:rsidP="0065184D">
      <w:pPr>
        <w:pStyle w:val="Heading4"/>
        <w:spacing w:before="0" w:after="0"/>
        <w:rPr>
          <w:rFonts w:ascii="Times New Roman" w:hAnsi="Times New Roman"/>
          <w:b w:val="0"/>
          <w:i/>
          <w:sz w:val="26"/>
          <w:szCs w:val="26"/>
          <w:lang w:val="vi-VN"/>
        </w:rPr>
      </w:pPr>
      <w:r w:rsidRPr="008E63BB">
        <w:rPr>
          <w:rFonts w:ascii="Times New Roman" w:hAnsi="Times New Roman"/>
          <w:b w:val="0"/>
          <w:i/>
          <w:sz w:val="26"/>
          <w:szCs w:val="26"/>
          <w:lang w:val="vi-VN"/>
        </w:rPr>
        <w:t>a. Các phương án đầu tư</w:t>
      </w:r>
    </w:p>
    <w:p w14:paraId="519B41F3" w14:textId="77777777" w:rsidR="00C32228" w:rsidRPr="008E63BB" w:rsidRDefault="00C32228" w:rsidP="0065184D">
      <w:pPr>
        <w:ind w:firstLine="709"/>
        <w:rPr>
          <w:szCs w:val="26"/>
          <w:lang w:val="de-DE"/>
        </w:rPr>
      </w:pPr>
      <w:r w:rsidRPr="008E63BB">
        <w:rPr>
          <w:szCs w:val="26"/>
          <w:lang w:val="de-DE"/>
        </w:rPr>
        <w:t>- Phân kỳ đầu tư.</w:t>
      </w:r>
    </w:p>
    <w:p w14:paraId="519B41F4" w14:textId="77777777" w:rsidR="00C32228" w:rsidRPr="008E63BB" w:rsidRDefault="00C32228" w:rsidP="0065184D">
      <w:pPr>
        <w:ind w:firstLine="709"/>
        <w:rPr>
          <w:szCs w:val="26"/>
          <w:lang w:val="de-DE"/>
        </w:rPr>
      </w:pPr>
      <w:r w:rsidRPr="008E63BB">
        <w:rPr>
          <w:szCs w:val="26"/>
          <w:lang w:val="de-DE"/>
        </w:rPr>
        <w:t>- Lựa chọn các hạng mục ưu tiên đầu tư.</w:t>
      </w:r>
    </w:p>
    <w:p w14:paraId="519B41F5" w14:textId="77777777" w:rsidR="00C32228" w:rsidRPr="008E63BB" w:rsidRDefault="00C32228" w:rsidP="0065184D">
      <w:pPr>
        <w:ind w:firstLine="709"/>
        <w:rPr>
          <w:szCs w:val="26"/>
          <w:lang w:val="de-DE"/>
        </w:rPr>
      </w:pPr>
      <w:r w:rsidRPr="008E63BB">
        <w:rPr>
          <w:szCs w:val="26"/>
          <w:lang w:val="de-DE"/>
        </w:rPr>
        <w:t>- Khoanh vùng đầu tư.</w:t>
      </w:r>
    </w:p>
    <w:p w14:paraId="519B41F6" w14:textId="77777777" w:rsidR="00C32228" w:rsidRPr="008E63BB" w:rsidRDefault="00C32228" w:rsidP="0065184D">
      <w:pPr>
        <w:ind w:firstLine="709"/>
        <w:rPr>
          <w:szCs w:val="26"/>
          <w:lang w:val="de-DE"/>
        </w:rPr>
      </w:pPr>
      <w:r w:rsidRPr="008E63BB">
        <w:rPr>
          <w:szCs w:val="26"/>
          <w:lang w:val="de-DE"/>
        </w:rPr>
        <w:t>- Đầu tư trọn gói và đầu tư từng phần.</w:t>
      </w:r>
    </w:p>
    <w:p w14:paraId="519B41F7" w14:textId="77777777" w:rsidR="00C32228" w:rsidRPr="008E63BB" w:rsidRDefault="00C32228" w:rsidP="0065184D">
      <w:pPr>
        <w:pStyle w:val="Heading4"/>
        <w:spacing w:before="0" w:after="0"/>
        <w:rPr>
          <w:rFonts w:ascii="Times New Roman" w:hAnsi="Times New Roman"/>
          <w:b w:val="0"/>
          <w:i/>
          <w:sz w:val="26"/>
          <w:szCs w:val="26"/>
          <w:lang w:val="de-DE"/>
        </w:rPr>
      </w:pPr>
      <w:r w:rsidRPr="008E63BB">
        <w:rPr>
          <w:rFonts w:ascii="Times New Roman" w:hAnsi="Times New Roman"/>
          <w:b w:val="0"/>
          <w:i/>
          <w:sz w:val="26"/>
          <w:szCs w:val="26"/>
          <w:lang w:val="de-DE"/>
        </w:rPr>
        <w:t xml:space="preserve">b. </w:t>
      </w:r>
      <w:r w:rsidR="00C56ED9" w:rsidRPr="008E63BB">
        <w:rPr>
          <w:rFonts w:ascii="Times New Roman" w:hAnsi="Times New Roman"/>
          <w:b w:val="0"/>
          <w:i/>
          <w:sz w:val="26"/>
          <w:szCs w:val="26"/>
          <w:lang w:val="de-DE"/>
        </w:rPr>
        <w:t>Giải pháp đảm bảo n</w:t>
      </w:r>
      <w:r w:rsidRPr="008E63BB">
        <w:rPr>
          <w:rFonts w:ascii="Times New Roman" w:hAnsi="Times New Roman"/>
          <w:b w:val="0"/>
          <w:i/>
          <w:sz w:val="26"/>
          <w:szCs w:val="26"/>
          <w:lang w:val="de-DE"/>
        </w:rPr>
        <w:t>guồn vốn đầu tư</w:t>
      </w:r>
    </w:p>
    <w:p w14:paraId="519B41F8" w14:textId="77777777" w:rsidR="00C32228" w:rsidRPr="008E63BB" w:rsidRDefault="00C32228" w:rsidP="0065184D">
      <w:pPr>
        <w:ind w:firstLine="709"/>
        <w:rPr>
          <w:szCs w:val="26"/>
          <w:lang w:val="de-DE"/>
        </w:rPr>
      </w:pPr>
      <w:r w:rsidRPr="008E63BB">
        <w:rPr>
          <w:szCs w:val="26"/>
          <w:lang w:val="de-DE"/>
        </w:rPr>
        <w:t xml:space="preserve">Xây dựng </w:t>
      </w:r>
      <w:r w:rsidR="00B214BA" w:rsidRPr="008E63BB">
        <w:rPr>
          <w:szCs w:val="26"/>
          <w:lang w:val="de-DE"/>
        </w:rPr>
        <w:t xml:space="preserve">Điều chỉnh </w:t>
      </w:r>
      <w:r w:rsidRPr="008E63BB">
        <w:rPr>
          <w:szCs w:val="26"/>
          <w:lang w:val="de-DE"/>
        </w:rPr>
        <w:t xml:space="preserve">quy hoạch chung </w:t>
      </w:r>
      <w:r w:rsidR="00B214BA" w:rsidRPr="008E63BB">
        <w:rPr>
          <w:szCs w:val="26"/>
          <w:lang w:val="de-DE"/>
        </w:rPr>
        <w:t>thành phố Nam Định</w:t>
      </w:r>
      <w:r w:rsidRPr="008E63BB">
        <w:rPr>
          <w:szCs w:val="26"/>
          <w:lang w:val="de-DE"/>
        </w:rPr>
        <w:t xml:space="preserve"> đế</w:t>
      </w:r>
      <w:r w:rsidR="00B214BA" w:rsidRPr="008E63BB">
        <w:rPr>
          <w:szCs w:val="26"/>
          <w:lang w:val="de-DE"/>
        </w:rPr>
        <w:t>n năm 2040</w:t>
      </w:r>
      <w:r w:rsidRPr="008E63BB">
        <w:rPr>
          <w:szCs w:val="26"/>
          <w:lang w:val="de-DE"/>
        </w:rPr>
        <w:t xml:space="preserve"> cần huy động vốn từ nhiều nguồn khác nhau:</w:t>
      </w:r>
    </w:p>
    <w:p w14:paraId="519B41F9" w14:textId="77777777" w:rsidR="00C32228" w:rsidRPr="008E63BB" w:rsidRDefault="00C32228" w:rsidP="0065184D">
      <w:pPr>
        <w:ind w:firstLine="709"/>
        <w:rPr>
          <w:szCs w:val="26"/>
          <w:lang w:val="de-DE"/>
        </w:rPr>
      </w:pPr>
      <w:r w:rsidRPr="008E63BB">
        <w:rPr>
          <w:szCs w:val="26"/>
          <w:lang w:val="de-DE"/>
        </w:rPr>
        <w:t xml:space="preserve">+ Khai thác có hiệu quả nguồn vốn thu từ quỹ đất đô thị để xây dựng các công trình hạ tầng xã hội, thu hút nguồn vốn từ các doanh nghiệp, cá nhân đầu tư vào các lĩnh vực: Đô thị, khu dân cư, nhà ở chung cư, công nghiệp, chợ, trung tâm thương mại, công viên vui chơi giải trí, giao thông và một số cơ sở hạ tầng kỹ thuật khác theo cơ chế thực hiện của UBND tỉnh </w:t>
      </w:r>
      <w:r w:rsidR="00B214BA" w:rsidRPr="008E63BB">
        <w:rPr>
          <w:szCs w:val="26"/>
          <w:lang w:val="de-DE"/>
        </w:rPr>
        <w:t>Nam Định</w:t>
      </w:r>
      <w:r w:rsidRPr="008E63BB">
        <w:rPr>
          <w:szCs w:val="26"/>
          <w:lang w:val="de-DE"/>
        </w:rPr>
        <w:t xml:space="preserve"> về việc ban hành quy định một số nội dung về đầu tư xây dựng khu đô thị mới trên địa bàn tỉnh </w:t>
      </w:r>
      <w:r w:rsidR="00B214BA" w:rsidRPr="008E63BB">
        <w:rPr>
          <w:szCs w:val="26"/>
          <w:lang w:val="de-DE"/>
        </w:rPr>
        <w:t>Nam Định</w:t>
      </w:r>
      <w:r w:rsidRPr="008E63BB">
        <w:rPr>
          <w:szCs w:val="26"/>
          <w:lang w:val="de-DE"/>
        </w:rPr>
        <w:t>: chiếm khoảng 60% tổng kinh phí thực hiện;</w:t>
      </w:r>
    </w:p>
    <w:p w14:paraId="519B41FA" w14:textId="77777777" w:rsidR="00C32228" w:rsidRPr="008E63BB" w:rsidRDefault="00C32228" w:rsidP="0065184D">
      <w:pPr>
        <w:ind w:firstLine="709"/>
        <w:rPr>
          <w:szCs w:val="26"/>
          <w:lang w:val="de-DE"/>
        </w:rPr>
      </w:pPr>
      <w:r w:rsidRPr="008E63BB">
        <w:rPr>
          <w:szCs w:val="26"/>
          <w:lang w:val="de-DE"/>
        </w:rPr>
        <w:t>+ Từ ngân sách nhà nước: Để đầu tư xây dựng các công trình hạ tầng xã hội như: trường, trạm, trụ sở hành chính, giao thông...chiếm khoảng 20% tổng kinh phí thực hiện;</w:t>
      </w:r>
    </w:p>
    <w:p w14:paraId="519B41FB" w14:textId="77777777" w:rsidR="00C32228" w:rsidRPr="008E63BB" w:rsidRDefault="00C32228" w:rsidP="0065184D">
      <w:pPr>
        <w:ind w:firstLine="709"/>
        <w:rPr>
          <w:szCs w:val="26"/>
          <w:lang w:val="de-DE"/>
        </w:rPr>
      </w:pPr>
      <w:r w:rsidRPr="008E63BB">
        <w:rPr>
          <w:szCs w:val="26"/>
          <w:lang w:val="de-DE"/>
        </w:rPr>
        <w:t>+ Thu hút vốn ODA: để xây dựng hệ thống thoát nước và vệ sinh môi trường, cấp nước, xây dựng hệ thống lưới điện,đường giao thông chiếm 10% tổng kinh phí thực hiện;</w:t>
      </w:r>
    </w:p>
    <w:p w14:paraId="519B41FC" w14:textId="77777777" w:rsidR="00C32228" w:rsidRPr="008E63BB" w:rsidRDefault="00C32228" w:rsidP="0065184D">
      <w:pPr>
        <w:ind w:firstLine="709"/>
        <w:rPr>
          <w:szCs w:val="26"/>
          <w:lang w:val="de-DE"/>
        </w:rPr>
      </w:pPr>
      <w:r w:rsidRPr="008E63BB">
        <w:rPr>
          <w:szCs w:val="26"/>
          <w:lang w:val="de-DE"/>
        </w:rPr>
        <w:tab/>
        <w:t>+ Tiếp tục huy động sự đóng góp của nhân dân, xã hội hoá một số dự án như đường nội th</w:t>
      </w:r>
      <w:r w:rsidR="001A4F88" w:rsidRPr="008E63BB">
        <w:rPr>
          <w:szCs w:val="26"/>
          <w:lang w:val="de-DE"/>
        </w:rPr>
        <w:t>ành</w:t>
      </w:r>
      <w:r w:rsidRPr="008E63BB">
        <w:rPr>
          <w:szCs w:val="26"/>
          <w:lang w:val="de-DE"/>
        </w:rPr>
        <w:t xml:space="preserve"> điểm vui chơi, nhà văn hoá thôn, cụm dân cư chiếm khoảng 10% tổng kinh phí thực hiện.</w:t>
      </w:r>
    </w:p>
    <w:p w14:paraId="519B41FD" w14:textId="77777777" w:rsidR="00C32228" w:rsidRPr="008E63BB" w:rsidRDefault="00C32228" w:rsidP="0065184D">
      <w:pPr>
        <w:ind w:firstLine="709"/>
        <w:rPr>
          <w:szCs w:val="26"/>
          <w:lang w:val="de-DE"/>
        </w:rPr>
      </w:pPr>
      <w:r w:rsidRPr="008E63BB">
        <w:rPr>
          <w:szCs w:val="26"/>
          <w:lang w:val="de-DE"/>
        </w:rPr>
        <w:lastRenderedPageBreak/>
        <w:tab/>
        <w:t>Việc đảm bảo nguồn vốn là vấn đề quan trong trong việc thực thi quy hoạch đô thị, đặc biệt là các công trình hạ tầng kỹ thuật quy mô lớn như đường xá, hạ tầng cấp thoát nước cần có nguồn vốn rất lớn. Chỉ với nguồn ngân sách của Trung ương - Tỉ</w:t>
      </w:r>
      <w:r w:rsidR="00B214BA" w:rsidRPr="008E63BB">
        <w:rPr>
          <w:szCs w:val="26"/>
          <w:lang w:val="de-DE"/>
        </w:rPr>
        <w:t>nh –thành phố/</w:t>
      </w:r>
      <w:r w:rsidRPr="008E63BB">
        <w:rPr>
          <w:szCs w:val="26"/>
          <w:lang w:val="de-DE"/>
        </w:rPr>
        <w:t xml:space="preserve">huyện - thị trấn – </w:t>
      </w:r>
      <w:r w:rsidR="00B214BA" w:rsidRPr="008E63BB">
        <w:rPr>
          <w:szCs w:val="26"/>
          <w:lang w:val="de-DE"/>
        </w:rPr>
        <w:t>phường/</w:t>
      </w:r>
      <w:r w:rsidRPr="008E63BB">
        <w:rPr>
          <w:szCs w:val="26"/>
          <w:lang w:val="de-DE"/>
        </w:rPr>
        <w:t>xã thì sẽ không đủ để thực hiện quy hoạch, vì vậy cần có giải pháp đảm bảo nguồn vốn hợp lý cho từng dự án.</w:t>
      </w:r>
    </w:p>
    <w:p w14:paraId="519B41FE" w14:textId="77777777" w:rsidR="00C32228" w:rsidRPr="008E63BB" w:rsidRDefault="00C32228" w:rsidP="0065184D">
      <w:pPr>
        <w:rPr>
          <w:rFonts w:eastAsia="Times New Roman"/>
          <w:spacing w:val="-1"/>
          <w:szCs w:val="26"/>
          <w:lang w:val="de-DE"/>
        </w:rPr>
      </w:pPr>
      <w:r w:rsidRPr="008E63BB">
        <w:rPr>
          <w:szCs w:val="26"/>
          <w:lang w:val="de-DE"/>
        </w:rPr>
        <w:tab/>
        <w:t>Quy hoạch đã nghiên cứu để hướng đến thực hiện các giải pháp chính cho việc đảm bảo nguồn vốn ngoài ngân sách. Đảm bảo nguồn vốn không chỉ bằng các giải</w:t>
      </w:r>
      <w:r w:rsidRPr="008E63BB">
        <w:rPr>
          <w:rFonts w:eastAsia="Times New Roman"/>
          <w:spacing w:val="-1"/>
          <w:szCs w:val="26"/>
          <w:lang w:val="de-DE"/>
        </w:rPr>
        <w:t>phápriêng</w:t>
      </w:r>
      <w:r w:rsidRPr="008E63BB">
        <w:rPr>
          <w:rFonts w:eastAsia="Times New Roman"/>
          <w:szCs w:val="26"/>
          <w:lang w:val="de-DE"/>
        </w:rPr>
        <w:t>lẻ</w:t>
      </w:r>
      <w:r w:rsidRPr="008E63BB">
        <w:rPr>
          <w:rFonts w:eastAsia="Times New Roman"/>
          <w:spacing w:val="-5"/>
          <w:szCs w:val="26"/>
          <w:lang w:val="de-DE"/>
        </w:rPr>
        <w:t>mà</w:t>
      </w:r>
      <w:r w:rsidRPr="008E63BB">
        <w:rPr>
          <w:rFonts w:eastAsia="Times New Roman"/>
          <w:szCs w:val="26"/>
          <w:lang w:val="de-DE"/>
        </w:rPr>
        <w:t>còncầnphải</w:t>
      </w:r>
      <w:r w:rsidRPr="008E63BB">
        <w:rPr>
          <w:rFonts w:eastAsia="Times New Roman"/>
          <w:spacing w:val="-3"/>
          <w:szCs w:val="26"/>
          <w:lang w:val="de-DE"/>
        </w:rPr>
        <w:t>kết</w:t>
      </w:r>
      <w:r w:rsidRPr="008E63BB">
        <w:rPr>
          <w:rFonts w:eastAsia="Times New Roman"/>
          <w:spacing w:val="-1"/>
          <w:szCs w:val="26"/>
          <w:lang w:val="de-DE"/>
        </w:rPr>
        <w:t>hợp</w:t>
      </w:r>
      <w:r w:rsidRPr="008E63BB">
        <w:rPr>
          <w:rFonts w:eastAsia="Times New Roman"/>
          <w:spacing w:val="-2"/>
          <w:szCs w:val="26"/>
          <w:lang w:val="de-DE"/>
        </w:rPr>
        <w:t>nhiều</w:t>
      </w:r>
      <w:r w:rsidRPr="008E63BB">
        <w:rPr>
          <w:rFonts w:eastAsia="Times New Roman"/>
          <w:spacing w:val="-1"/>
          <w:szCs w:val="26"/>
          <w:lang w:val="de-DE"/>
        </w:rPr>
        <w:t>giải pháp</w:t>
      </w:r>
      <w:r w:rsidRPr="008E63BB">
        <w:rPr>
          <w:rFonts w:eastAsia="Times New Roman"/>
          <w:spacing w:val="-3"/>
          <w:szCs w:val="26"/>
          <w:lang w:val="de-DE"/>
        </w:rPr>
        <w:t>nếu</w:t>
      </w:r>
      <w:r w:rsidRPr="008E63BB">
        <w:rPr>
          <w:rFonts w:eastAsia="Times New Roman"/>
          <w:szCs w:val="26"/>
          <w:lang w:val="de-DE"/>
        </w:rPr>
        <w:t>cần</w:t>
      </w:r>
      <w:r w:rsidRPr="008E63BB">
        <w:rPr>
          <w:rFonts w:eastAsia="Times New Roman"/>
          <w:spacing w:val="-1"/>
          <w:szCs w:val="26"/>
          <w:lang w:val="de-DE"/>
        </w:rPr>
        <w:t>thiết.</w:t>
      </w:r>
    </w:p>
    <w:p w14:paraId="519B41FF" w14:textId="77777777" w:rsidR="00C32228" w:rsidRPr="008E63BB" w:rsidRDefault="00B214BA" w:rsidP="0065184D">
      <w:pPr>
        <w:pStyle w:val="Heading3"/>
        <w:rPr>
          <w:lang w:val="de-DE"/>
        </w:rPr>
      </w:pPr>
      <w:bookmarkStart w:id="554" w:name="_Toc7730076"/>
      <w:bookmarkStart w:id="555" w:name="_Toc47524747"/>
      <w:r w:rsidRPr="008E63BB">
        <w:rPr>
          <w:lang w:val="de-DE"/>
        </w:rPr>
        <w:t>8.2</w:t>
      </w:r>
      <w:r w:rsidR="00C32228" w:rsidRPr="008E63BB">
        <w:rPr>
          <w:lang w:val="de-DE"/>
        </w:rPr>
        <w:t>.4. Đề xuất giải pháp thực hiện quy hoạch</w:t>
      </w:r>
      <w:bookmarkEnd w:id="554"/>
      <w:bookmarkEnd w:id="555"/>
    </w:p>
    <w:p w14:paraId="519B4200" w14:textId="5C81F92A" w:rsidR="00C32228" w:rsidRPr="0080092F" w:rsidRDefault="00C32228" w:rsidP="0080092F">
      <w:pPr>
        <w:ind w:firstLine="709"/>
        <w:rPr>
          <w:szCs w:val="26"/>
          <w:lang w:val="de-DE"/>
        </w:rPr>
      </w:pPr>
      <w:r w:rsidRPr="0080092F">
        <w:rPr>
          <w:szCs w:val="26"/>
          <w:lang w:val="de-DE"/>
        </w:rPr>
        <w:t>Trong tương lai, để phát huy có hiệu quả nguồn vốn tư nhân, chính quyền cần lập chiến lược đảm bảo nguồn vốn để tiến hành các giải pháp thu hút vốn theo tiến trình mở rộng đô thị. Trong số các giải pháp đó, có thể áp dụng giải pháp thực hiện dự án có hiệu quả cao như hình thức hợp tác công</w:t>
      </w:r>
      <w:r w:rsidR="0080092F">
        <w:rPr>
          <w:szCs w:val="26"/>
          <w:lang w:val="de-DE"/>
        </w:rPr>
        <w:t xml:space="preserve"> </w:t>
      </w:r>
      <w:r w:rsidRPr="0080092F">
        <w:rPr>
          <w:szCs w:val="26"/>
          <w:lang w:val="de-DE"/>
        </w:rPr>
        <w:t>–</w:t>
      </w:r>
      <w:r w:rsidR="0080092F">
        <w:rPr>
          <w:szCs w:val="26"/>
          <w:lang w:val="de-DE"/>
        </w:rPr>
        <w:t xml:space="preserve"> </w:t>
      </w:r>
      <w:r w:rsidRPr="0080092F">
        <w:rPr>
          <w:szCs w:val="26"/>
          <w:lang w:val="de-DE"/>
        </w:rPr>
        <w:t>tư</w:t>
      </w:r>
      <w:r w:rsidR="0080092F">
        <w:rPr>
          <w:szCs w:val="26"/>
          <w:lang w:val="de-DE"/>
        </w:rPr>
        <w:t xml:space="preserve"> </w:t>
      </w:r>
      <w:r w:rsidRPr="0080092F">
        <w:rPr>
          <w:szCs w:val="26"/>
          <w:lang w:val="de-DE"/>
        </w:rPr>
        <w:t>(PPP:</w:t>
      </w:r>
      <w:r w:rsidR="0080092F">
        <w:rPr>
          <w:szCs w:val="26"/>
          <w:lang w:val="de-DE"/>
        </w:rPr>
        <w:t xml:space="preserve"> </w:t>
      </w:r>
      <w:r w:rsidRPr="0080092F">
        <w:rPr>
          <w:szCs w:val="26"/>
          <w:lang w:val="de-DE"/>
        </w:rPr>
        <w:t>Public–Private</w:t>
      </w:r>
      <w:r w:rsidR="0080092F">
        <w:rPr>
          <w:szCs w:val="26"/>
          <w:lang w:val="de-DE"/>
        </w:rPr>
        <w:t xml:space="preserve"> </w:t>
      </w:r>
      <w:r w:rsidRPr="0080092F">
        <w:rPr>
          <w:szCs w:val="26"/>
          <w:lang w:val="de-DE"/>
        </w:rPr>
        <w:t>Partnership),</w:t>
      </w:r>
      <w:r w:rsidR="0080092F">
        <w:rPr>
          <w:szCs w:val="26"/>
          <w:lang w:val="de-DE"/>
        </w:rPr>
        <w:t xml:space="preserve"> </w:t>
      </w:r>
      <w:r w:rsidRPr="0080092F">
        <w:rPr>
          <w:szCs w:val="26"/>
          <w:lang w:val="de-DE"/>
        </w:rPr>
        <w:t>hình</w:t>
      </w:r>
      <w:r w:rsidR="0080092F">
        <w:rPr>
          <w:szCs w:val="26"/>
          <w:lang w:val="de-DE"/>
        </w:rPr>
        <w:t xml:space="preserve"> </w:t>
      </w:r>
      <w:r w:rsidRPr="0080092F">
        <w:rPr>
          <w:szCs w:val="26"/>
          <w:lang w:val="de-DE"/>
        </w:rPr>
        <w:t>thức</w:t>
      </w:r>
      <w:r w:rsidR="0080092F">
        <w:rPr>
          <w:szCs w:val="26"/>
          <w:lang w:val="de-DE"/>
        </w:rPr>
        <w:t xml:space="preserve"> </w:t>
      </w:r>
      <w:r w:rsidRPr="0080092F">
        <w:rPr>
          <w:szCs w:val="26"/>
          <w:lang w:val="de-DE"/>
        </w:rPr>
        <w:t>tư</w:t>
      </w:r>
      <w:r w:rsidR="0080092F">
        <w:rPr>
          <w:szCs w:val="26"/>
          <w:lang w:val="de-DE"/>
        </w:rPr>
        <w:t xml:space="preserve"> </w:t>
      </w:r>
      <w:r w:rsidRPr="0080092F">
        <w:rPr>
          <w:szCs w:val="26"/>
          <w:lang w:val="de-DE"/>
        </w:rPr>
        <w:t>nhân</w:t>
      </w:r>
      <w:r w:rsidR="0080092F">
        <w:rPr>
          <w:szCs w:val="26"/>
          <w:lang w:val="de-DE"/>
        </w:rPr>
        <w:t xml:space="preserve"> </w:t>
      </w:r>
      <w:r w:rsidRPr="0080092F">
        <w:rPr>
          <w:szCs w:val="26"/>
          <w:lang w:val="de-DE"/>
        </w:rPr>
        <w:t>chủ</w:t>
      </w:r>
      <w:r w:rsidR="0080092F">
        <w:rPr>
          <w:szCs w:val="26"/>
          <w:lang w:val="de-DE"/>
        </w:rPr>
        <w:t xml:space="preserve"> </w:t>
      </w:r>
      <w:r w:rsidRPr="0080092F">
        <w:rPr>
          <w:szCs w:val="26"/>
          <w:lang w:val="de-DE"/>
        </w:rPr>
        <w:t>động</w:t>
      </w:r>
      <w:r w:rsidR="0080092F">
        <w:rPr>
          <w:szCs w:val="26"/>
          <w:lang w:val="de-DE"/>
        </w:rPr>
        <w:t xml:space="preserve"> </w:t>
      </w:r>
      <w:r w:rsidRPr="0080092F">
        <w:rPr>
          <w:szCs w:val="26"/>
          <w:lang w:val="de-DE"/>
        </w:rPr>
        <w:t>vốn</w:t>
      </w:r>
      <w:r w:rsidR="0080092F">
        <w:rPr>
          <w:szCs w:val="26"/>
          <w:lang w:val="de-DE"/>
        </w:rPr>
        <w:t xml:space="preserve"> </w:t>
      </w:r>
      <w:r w:rsidRPr="0080092F">
        <w:rPr>
          <w:szCs w:val="26"/>
          <w:lang w:val="de-DE"/>
        </w:rPr>
        <w:t>(PFI:PrivateFinanceInitiative),</w:t>
      </w:r>
      <w:r w:rsidR="0080092F">
        <w:rPr>
          <w:szCs w:val="26"/>
          <w:lang w:val="de-DE"/>
        </w:rPr>
        <w:t xml:space="preserve"> </w:t>
      </w:r>
      <w:r w:rsidRPr="0080092F">
        <w:rPr>
          <w:szCs w:val="26"/>
          <w:lang w:val="de-DE"/>
        </w:rPr>
        <w:t>để</w:t>
      </w:r>
      <w:r w:rsidR="0080092F">
        <w:rPr>
          <w:szCs w:val="26"/>
          <w:lang w:val="de-DE"/>
        </w:rPr>
        <w:t xml:space="preserve"> </w:t>
      </w:r>
      <w:r w:rsidRPr="0080092F">
        <w:rPr>
          <w:szCs w:val="26"/>
          <w:lang w:val="de-DE"/>
        </w:rPr>
        <w:t>giảm</w:t>
      </w:r>
      <w:r w:rsidR="0080092F">
        <w:rPr>
          <w:szCs w:val="26"/>
          <w:lang w:val="de-DE"/>
        </w:rPr>
        <w:t xml:space="preserve"> </w:t>
      </w:r>
      <w:r w:rsidRPr="0080092F">
        <w:rPr>
          <w:szCs w:val="26"/>
          <w:lang w:val="de-DE"/>
        </w:rPr>
        <w:t>lượng</w:t>
      </w:r>
      <w:r w:rsidR="0080092F">
        <w:rPr>
          <w:szCs w:val="26"/>
          <w:lang w:val="de-DE"/>
        </w:rPr>
        <w:t xml:space="preserve"> </w:t>
      </w:r>
      <w:r w:rsidRPr="0080092F">
        <w:rPr>
          <w:szCs w:val="26"/>
          <w:lang w:val="de-DE"/>
        </w:rPr>
        <w:t>vốn</w:t>
      </w:r>
      <w:r w:rsidR="0080092F">
        <w:rPr>
          <w:szCs w:val="26"/>
          <w:lang w:val="de-DE"/>
        </w:rPr>
        <w:t xml:space="preserve"> </w:t>
      </w:r>
      <w:r w:rsidRPr="0080092F">
        <w:rPr>
          <w:szCs w:val="26"/>
          <w:lang w:val="de-DE"/>
        </w:rPr>
        <w:t>cho</w:t>
      </w:r>
      <w:r w:rsidR="0080092F">
        <w:rPr>
          <w:szCs w:val="26"/>
          <w:lang w:val="de-DE"/>
        </w:rPr>
        <w:t xml:space="preserve"> </w:t>
      </w:r>
      <w:r w:rsidRPr="0080092F">
        <w:rPr>
          <w:szCs w:val="26"/>
          <w:lang w:val="de-DE"/>
        </w:rPr>
        <w:t>xây</w:t>
      </w:r>
      <w:r w:rsidR="0080092F">
        <w:rPr>
          <w:szCs w:val="26"/>
          <w:lang w:val="de-DE"/>
        </w:rPr>
        <w:t xml:space="preserve"> </w:t>
      </w:r>
      <w:r w:rsidRPr="0080092F">
        <w:rPr>
          <w:szCs w:val="26"/>
          <w:lang w:val="de-DE"/>
        </w:rPr>
        <w:t>dựng,</w:t>
      </w:r>
      <w:r w:rsidR="0080092F">
        <w:rPr>
          <w:szCs w:val="26"/>
          <w:lang w:val="de-DE"/>
        </w:rPr>
        <w:t xml:space="preserve"> </w:t>
      </w:r>
      <w:r w:rsidRPr="0080092F">
        <w:rPr>
          <w:szCs w:val="26"/>
          <w:lang w:val="de-DE"/>
        </w:rPr>
        <w:t>hướng</w:t>
      </w:r>
      <w:r w:rsidR="0080092F">
        <w:rPr>
          <w:szCs w:val="26"/>
          <w:lang w:val="de-DE"/>
        </w:rPr>
        <w:t xml:space="preserve"> </w:t>
      </w:r>
      <w:r w:rsidRPr="0080092F">
        <w:rPr>
          <w:szCs w:val="26"/>
          <w:lang w:val="de-DE"/>
        </w:rPr>
        <w:t>đến</w:t>
      </w:r>
      <w:r w:rsidR="0080092F">
        <w:rPr>
          <w:szCs w:val="26"/>
          <w:lang w:val="de-DE"/>
        </w:rPr>
        <w:t xml:space="preserve"> </w:t>
      </w:r>
      <w:r w:rsidRPr="0080092F">
        <w:rPr>
          <w:szCs w:val="26"/>
          <w:lang w:val="de-DE"/>
        </w:rPr>
        <w:t>xây</w:t>
      </w:r>
      <w:r w:rsidR="0080092F">
        <w:rPr>
          <w:szCs w:val="26"/>
          <w:lang w:val="de-DE"/>
        </w:rPr>
        <w:t xml:space="preserve"> </w:t>
      </w:r>
      <w:r w:rsidRPr="0080092F">
        <w:rPr>
          <w:szCs w:val="26"/>
          <w:lang w:val="de-DE"/>
        </w:rPr>
        <w:t>dựng</w:t>
      </w:r>
      <w:r w:rsidR="0080092F">
        <w:rPr>
          <w:szCs w:val="26"/>
          <w:lang w:val="de-DE"/>
        </w:rPr>
        <w:t xml:space="preserve"> </w:t>
      </w:r>
      <w:r w:rsidRPr="0080092F">
        <w:rPr>
          <w:szCs w:val="26"/>
          <w:lang w:val="de-DE"/>
        </w:rPr>
        <w:t>sớm</w:t>
      </w:r>
      <w:r w:rsidR="0080092F">
        <w:rPr>
          <w:szCs w:val="26"/>
          <w:lang w:val="de-DE"/>
        </w:rPr>
        <w:t xml:space="preserve"> </w:t>
      </w:r>
      <w:r w:rsidRPr="0080092F">
        <w:rPr>
          <w:szCs w:val="26"/>
          <w:lang w:val="de-DE"/>
        </w:rPr>
        <w:t>các công</w:t>
      </w:r>
      <w:r w:rsidR="0080092F">
        <w:rPr>
          <w:szCs w:val="26"/>
          <w:lang w:val="de-DE"/>
        </w:rPr>
        <w:t xml:space="preserve"> </w:t>
      </w:r>
      <w:r w:rsidRPr="0080092F">
        <w:rPr>
          <w:szCs w:val="26"/>
          <w:lang w:val="de-DE"/>
        </w:rPr>
        <w:t>trình hạ</w:t>
      </w:r>
      <w:r w:rsidR="0080092F">
        <w:rPr>
          <w:szCs w:val="26"/>
          <w:lang w:val="de-DE"/>
        </w:rPr>
        <w:t xml:space="preserve"> </w:t>
      </w:r>
      <w:r w:rsidRPr="0080092F">
        <w:rPr>
          <w:szCs w:val="26"/>
          <w:lang w:val="de-DE"/>
        </w:rPr>
        <w:t>tầng.</w:t>
      </w:r>
    </w:p>
    <w:p w14:paraId="519B4201" w14:textId="77777777" w:rsidR="00C32228" w:rsidRPr="0080092F" w:rsidRDefault="00C32228" w:rsidP="0080092F">
      <w:pPr>
        <w:ind w:firstLine="709"/>
        <w:rPr>
          <w:szCs w:val="26"/>
          <w:lang w:val="de-DE"/>
        </w:rPr>
      </w:pPr>
      <w:r w:rsidRPr="0080092F">
        <w:rPr>
          <w:szCs w:val="26"/>
          <w:lang w:val="de-DE"/>
        </w:rPr>
        <w:t>Mô hình nhà nước quản lý, hợp tác công + tư là chiến lược được sử dụng phổ biến nhất trong các nghiên cứu được xem xét. Mô hình này bao gồm những vấn đề sau:</w:t>
      </w:r>
    </w:p>
    <w:p w14:paraId="519B4202" w14:textId="77777777" w:rsidR="00C32228" w:rsidRPr="008E63BB" w:rsidRDefault="00C32228" w:rsidP="0080092F">
      <w:pPr>
        <w:ind w:firstLine="709"/>
        <w:rPr>
          <w:rFonts w:eastAsia="Times New Roman"/>
          <w:kern w:val="32"/>
          <w:szCs w:val="26"/>
          <w:lang w:val="vi-VN"/>
        </w:rPr>
      </w:pPr>
      <w:r w:rsidRPr="0080092F">
        <w:rPr>
          <w:szCs w:val="26"/>
          <w:lang w:val="de-DE"/>
        </w:rPr>
        <w:t>- Nhà nước tài trợ cho các công trình hạ tầng khung ban đầu như đường xá, hệ</w:t>
      </w:r>
      <w:r w:rsidRPr="008E63BB">
        <w:rPr>
          <w:rFonts w:eastAsia="Times New Roman"/>
          <w:kern w:val="32"/>
          <w:szCs w:val="26"/>
          <w:lang w:val="vi-VN"/>
        </w:rPr>
        <w:t xml:space="preserve"> thống thoát nước, các kết nối dịch vụ…;</w:t>
      </w:r>
    </w:p>
    <w:p w14:paraId="519B4203"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Xây dựng những sáng kiến tài chính tư nhân (PFI) để phân bổ các hợp phần cơ sở hạ tầng chính (ví dụ hệ thống hạ tầng kỹ thuật chính như giao thông, cấp điện, nước, v.v… và các công trình công cộng chủ yếu như bệnh viện, trường học, công trình văn hóa thể thao..v.v..);</w:t>
      </w:r>
    </w:p>
    <w:p w14:paraId="519B4204"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Các nhà đầu tư tư nhân sẽ mua đất đã được đầu tư hạ tầng kỹ thuật khung của Nhà nước và tiến hành xây dựng để phát triển theo quy hoạch đã được duyệt, khi các dự án hoàn thành sẽ được đưa ra bán trên thị trường và lợi nhuận được nhà đầu tư giữ lại sau khi đã hoàn thành nghĩa tài chính đối với Nhà nước.</w:t>
      </w:r>
    </w:p>
    <w:p w14:paraId="519B4205" w14:textId="7DFB4FAC" w:rsidR="00C32228" w:rsidRPr="008E63BB" w:rsidRDefault="00C32228" w:rsidP="0065184D">
      <w:pPr>
        <w:pStyle w:val="BodyText"/>
        <w:spacing w:after="0"/>
        <w:ind w:right="185" w:firstLine="587"/>
        <w:rPr>
          <w:rFonts w:eastAsia="Times New Roman"/>
          <w:spacing w:val="-1"/>
          <w:szCs w:val="26"/>
        </w:rPr>
      </w:pPr>
      <w:r w:rsidRPr="008E63BB">
        <w:rPr>
          <w:rFonts w:eastAsia="Times New Roman"/>
          <w:spacing w:val="-2"/>
          <w:szCs w:val="26"/>
        </w:rPr>
        <w:t>Hình</w:t>
      </w:r>
      <w:r w:rsidR="0080092F">
        <w:rPr>
          <w:rFonts w:eastAsia="Times New Roman"/>
          <w:spacing w:val="-2"/>
          <w:szCs w:val="26"/>
          <w:lang w:val="en-US"/>
        </w:rPr>
        <w:t xml:space="preserve"> </w:t>
      </w:r>
      <w:r w:rsidRPr="008E63BB">
        <w:rPr>
          <w:rFonts w:eastAsia="Times New Roman"/>
          <w:spacing w:val="-1"/>
          <w:szCs w:val="26"/>
        </w:rPr>
        <w:t>thức</w:t>
      </w:r>
      <w:r w:rsidR="0080092F">
        <w:rPr>
          <w:rFonts w:eastAsia="Times New Roman"/>
          <w:spacing w:val="-1"/>
          <w:szCs w:val="26"/>
          <w:lang w:val="en-US"/>
        </w:rPr>
        <w:t xml:space="preserve"> </w:t>
      </w:r>
      <w:r w:rsidRPr="008E63BB">
        <w:rPr>
          <w:rFonts w:eastAsia="Times New Roman"/>
          <w:spacing w:val="-1"/>
          <w:szCs w:val="26"/>
        </w:rPr>
        <w:t>hợp</w:t>
      </w:r>
      <w:r w:rsidR="0080092F">
        <w:rPr>
          <w:rFonts w:eastAsia="Times New Roman"/>
          <w:spacing w:val="-1"/>
          <w:szCs w:val="26"/>
          <w:lang w:val="en-US"/>
        </w:rPr>
        <w:t xml:space="preserve"> </w:t>
      </w:r>
      <w:r w:rsidRPr="008E63BB">
        <w:rPr>
          <w:rFonts w:eastAsia="Times New Roman"/>
          <w:szCs w:val="26"/>
        </w:rPr>
        <w:t>tác</w:t>
      </w:r>
      <w:r w:rsidR="0080092F">
        <w:rPr>
          <w:rFonts w:eastAsia="Times New Roman"/>
          <w:szCs w:val="26"/>
          <w:lang w:val="en-US"/>
        </w:rPr>
        <w:t xml:space="preserve"> </w:t>
      </w:r>
      <w:r w:rsidRPr="008E63BB">
        <w:rPr>
          <w:rFonts w:eastAsia="Times New Roman"/>
          <w:szCs w:val="26"/>
        </w:rPr>
        <w:t>công</w:t>
      </w:r>
      <w:r w:rsidR="0080092F">
        <w:rPr>
          <w:rFonts w:eastAsia="Times New Roman"/>
          <w:szCs w:val="26"/>
          <w:lang w:val="en-US"/>
        </w:rPr>
        <w:t xml:space="preserve"> </w:t>
      </w:r>
      <w:r w:rsidRPr="008E63BB">
        <w:rPr>
          <w:rFonts w:eastAsia="Times New Roman"/>
          <w:szCs w:val="26"/>
        </w:rPr>
        <w:t>-</w:t>
      </w:r>
      <w:r w:rsidR="0080092F">
        <w:rPr>
          <w:rFonts w:eastAsia="Times New Roman"/>
          <w:szCs w:val="26"/>
          <w:lang w:val="en-US"/>
        </w:rPr>
        <w:t xml:space="preserve"> </w:t>
      </w:r>
      <w:r w:rsidRPr="008E63BB">
        <w:rPr>
          <w:rFonts w:eastAsia="Times New Roman"/>
          <w:spacing w:val="-1"/>
          <w:szCs w:val="26"/>
        </w:rPr>
        <w:t>tư</w:t>
      </w:r>
      <w:r w:rsidR="0080092F">
        <w:rPr>
          <w:rFonts w:eastAsia="Times New Roman"/>
          <w:spacing w:val="-1"/>
          <w:szCs w:val="26"/>
          <w:lang w:val="en-US"/>
        </w:rPr>
        <w:t xml:space="preserve"> </w:t>
      </w:r>
      <w:r w:rsidRPr="008E63BB">
        <w:rPr>
          <w:rFonts w:eastAsia="Times New Roman"/>
          <w:spacing w:val="-2"/>
          <w:szCs w:val="26"/>
        </w:rPr>
        <w:t>(PPP)</w:t>
      </w:r>
      <w:r w:rsidR="0080092F">
        <w:rPr>
          <w:rFonts w:eastAsia="Times New Roman"/>
          <w:spacing w:val="-2"/>
          <w:szCs w:val="26"/>
          <w:lang w:val="en-US"/>
        </w:rPr>
        <w:t xml:space="preserve"> </w:t>
      </w:r>
      <w:r w:rsidRPr="008E63BB">
        <w:rPr>
          <w:rFonts w:eastAsia="Times New Roman"/>
          <w:spacing w:val="-1"/>
          <w:szCs w:val="26"/>
        </w:rPr>
        <w:t>giúp</w:t>
      </w:r>
      <w:r w:rsidR="0080092F">
        <w:rPr>
          <w:rFonts w:eastAsia="Times New Roman"/>
          <w:spacing w:val="-1"/>
          <w:szCs w:val="26"/>
          <w:lang w:val="en-US"/>
        </w:rPr>
        <w:t xml:space="preserve"> </w:t>
      </w:r>
      <w:r w:rsidRPr="008E63BB">
        <w:rPr>
          <w:rFonts w:eastAsia="Times New Roman"/>
          <w:spacing w:val="-1"/>
          <w:szCs w:val="26"/>
        </w:rPr>
        <w:t>chính</w:t>
      </w:r>
      <w:r w:rsidR="0080092F">
        <w:rPr>
          <w:rFonts w:eastAsia="Times New Roman"/>
          <w:spacing w:val="-1"/>
          <w:szCs w:val="26"/>
          <w:lang w:val="en-US"/>
        </w:rPr>
        <w:t xml:space="preserve"> </w:t>
      </w:r>
      <w:r w:rsidRPr="008E63BB">
        <w:rPr>
          <w:rFonts w:eastAsia="Times New Roman"/>
          <w:szCs w:val="26"/>
        </w:rPr>
        <w:t>quyền</w:t>
      </w:r>
      <w:r w:rsidR="0080092F">
        <w:rPr>
          <w:rFonts w:eastAsia="Times New Roman"/>
          <w:szCs w:val="26"/>
          <w:lang w:val="en-US"/>
        </w:rPr>
        <w:t xml:space="preserve"> </w:t>
      </w:r>
      <w:r w:rsidRPr="008E63BB">
        <w:rPr>
          <w:rFonts w:eastAsia="Times New Roman"/>
          <w:szCs w:val="26"/>
        </w:rPr>
        <w:t>đạt</w:t>
      </w:r>
      <w:r w:rsidR="0080092F">
        <w:rPr>
          <w:rFonts w:eastAsia="Times New Roman"/>
          <w:szCs w:val="26"/>
          <w:lang w:val="en-US"/>
        </w:rPr>
        <w:t xml:space="preserve"> </w:t>
      </w:r>
      <w:r w:rsidRPr="008E63BB">
        <w:rPr>
          <w:rFonts w:eastAsia="Times New Roman"/>
          <w:szCs w:val="26"/>
        </w:rPr>
        <w:t>hiệu</w:t>
      </w:r>
      <w:r w:rsidR="0080092F">
        <w:rPr>
          <w:rFonts w:eastAsia="Times New Roman"/>
          <w:szCs w:val="26"/>
          <w:lang w:val="en-US"/>
        </w:rPr>
        <w:t xml:space="preserve"> </w:t>
      </w:r>
      <w:r w:rsidRPr="008E63BB">
        <w:rPr>
          <w:rFonts w:eastAsia="Times New Roman"/>
          <w:spacing w:val="-1"/>
          <w:szCs w:val="26"/>
        </w:rPr>
        <w:t>quả</w:t>
      </w:r>
      <w:r w:rsidR="0080092F">
        <w:rPr>
          <w:rFonts w:eastAsia="Times New Roman"/>
          <w:spacing w:val="-1"/>
          <w:szCs w:val="26"/>
          <w:lang w:val="en-US"/>
        </w:rPr>
        <w:t xml:space="preserve"> </w:t>
      </w:r>
      <w:r w:rsidRPr="008E63BB">
        <w:rPr>
          <w:rFonts w:eastAsia="Times New Roman"/>
          <w:spacing w:val="-1"/>
          <w:szCs w:val="26"/>
        </w:rPr>
        <w:t>cao</w:t>
      </w:r>
      <w:r w:rsidR="0080092F">
        <w:rPr>
          <w:rFonts w:eastAsia="Times New Roman"/>
          <w:spacing w:val="-1"/>
          <w:szCs w:val="26"/>
          <w:lang w:val="en-US"/>
        </w:rPr>
        <w:t xml:space="preserve"> </w:t>
      </w:r>
      <w:r w:rsidRPr="008E63BB">
        <w:rPr>
          <w:rFonts w:eastAsia="Times New Roman"/>
          <w:spacing w:val="-1"/>
          <w:szCs w:val="26"/>
        </w:rPr>
        <w:t>nhất</w:t>
      </w:r>
      <w:r w:rsidR="0080092F">
        <w:rPr>
          <w:rFonts w:eastAsia="Times New Roman"/>
          <w:spacing w:val="-1"/>
          <w:szCs w:val="26"/>
          <w:lang w:val="en-US"/>
        </w:rPr>
        <w:t xml:space="preserve"> </w:t>
      </w:r>
      <w:r w:rsidRPr="008E63BB">
        <w:rPr>
          <w:rFonts w:eastAsia="Times New Roman"/>
          <w:szCs w:val="26"/>
        </w:rPr>
        <w:t>trong</w:t>
      </w:r>
      <w:r w:rsidR="0080092F">
        <w:rPr>
          <w:rFonts w:eastAsia="Times New Roman"/>
          <w:szCs w:val="26"/>
          <w:lang w:val="en-US"/>
        </w:rPr>
        <w:t xml:space="preserve"> </w:t>
      </w:r>
      <w:r w:rsidRPr="008E63BB">
        <w:rPr>
          <w:rFonts w:eastAsia="Times New Roman"/>
          <w:spacing w:val="-2"/>
          <w:szCs w:val="26"/>
        </w:rPr>
        <w:t>việc</w:t>
      </w:r>
      <w:r w:rsidR="0080092F">
        <w:rPr>
          <w:rFonts w:eastAsia="Times New Roman"/>
          <w:spacing w:val="-2"/>
          <w:szCs w:val="26"/>
          <w:lang w:val="en-US"/>
        </w:rPr>
        <w:t xml:space="preserve"> </w:t>
      </w:r>
      <w:r w:rsidRPr="008E63BB">
        <w:rPr>
          <w:rFonts w:eastAsia="Times New Roman"/>
          <w:szCs w:val="26"/>
        </w:rPr>
        <w:t>phân</w:t>
      </w:r>
      <w:r w:rsidR="0080092F">
        <w:rPr>
          <w:rFonts w:eastAsia="Times New Roman"/>
          <w:szCs w:val="26"/>
          <w:lang w:val="en-US"/>
        </w:rPr>
        <w:t xml:space="preserve"> </w:t>
      </w:r>
      <w:r w:rsidRPr="008E63BB">
        <w:rPr>
          <w:rFonts w:eastAsia="Times New Roman"/>
          <w:spacing w:val="-2"/>
          <w:szCs w:val="26"/>
        </w:rPr>
        <w:t>phối</w:t>
      </w:r>
      <w:r w:rsidR="0080092F">
        <w:rPr>
          <w:rFonts w:eastAsia="Times New Roman"/>
          <w:spacing w:val="-2"/>
          <w:szCs w:val="26"/>
          <w:lang w:val="en-US"/>
        </w:rPr>
        <w:t xml:space="preserve"> </w:t>
      </w:r>
      <w:r w:rsidRPr="008E63BB">
        <w:rPr>
          <w:rFonts w:eastAsia="Times New Roman"/>
          <w:spacing w:val="-1"/>
          <w:szCs w:val="26"/>
        </w:rPr>
        <w:t>nguồn</w:t>
      </w:r>
      <w:r w:rsidR="0080092F">
        <w:rPr>
          <w:rFonts w:eastAsia="Times New Roman"/>
          <w:spacing w:val="-1"/>
          <w:szCs w:val="26"/>
          <w:lang w:val="en-US"/>
        </w:rPr>
        <w:t xml:space="preserve"> </w:t>
      </w:r>
      <w:r w:rsidRPr="008E63BB">
        <w:rPr>
          <w:rFonts w:eastAsia="Times New Roman"/>
          <w:spacing w:val="-1"/>
          <w:szCs w:val="26"/>
        </w:rPr>
        <w:t>lực,</w:t>
      </w:r>
      <w:r w:rsidR="0080092F">
        <w:rPr>
          <w:rFonts w:eastAsia="Times New Roman"/>
          <w:spacing w:val="-1"/>
          <w:szCs w:val="26"/>
          <w:lang w:val="en-US"/>
        </w:rPr>
        <w:t xml:space="preserve"> </w:t>
      </w:r>
      <w:r w:rsidRPr="008E63BB">
        <w:rPr>
          <w:rFonts w:eastAsia="Times New Roman"/>
          <w:spacing w:val="-1"/>
          <w:szCs w:val="26"/>
        </w:rPr>
        <w:t>sử</w:t>
      </w:r>
      <w:r w:rsidR="0080092F">
        <w:rPr>
          <w:rFonts w:eastAsia="Times New Roman"/>
          <w:spacing w:val="-1"/>
          <w:szCs w:val="26"/>
          <w:lang w:val="en-US"/>
        </w:rPr>
        <w:t xml:space="preserve"> </w:t>
      </w:r>
      <w:r w:rsidRPr="008E63BB">
        <w:rPr>
          <w:rFonts w:eastAsia="Times New Roman"/>
          <w:szCs w:val="26"/>
        </w:rPr>
        <w:t>dụng</w:t>
      </w:r>
      <w:r w:rsidR="0080092F">
        <w:rPr>
          <w:rFonts w:eastAsia="Times New Roman"/>
          <w:szCs w:val="26"/>
          <w:lang w:val="en-US"/>
        </w:rPr>
        <w:t xml:space="preserve"> </w:t>
      </w:r>
      <w:r w:rsidRPr="008E63BB">
        <w:rPr>
          <w:rFonts w:eastAsia="Times New Roman"/>
          <w:spacing w:val="-1"/>
          <w:szCs w:val="26"/>
        </w:rPr>
        <w:t>được</w:t>
      </w:r>
      <w:r w:rsidR="0080092F">
        <w:rPr>
          <w:rFonts w:eastAsia="Times New Roman"/>
          <w:spacing w:val="-1"/>
          <w:szCs w:val="26"/>
          <w:lang w:val="en-US"/>
        </w:rPr>
        <w:t xml:space="preserve"> </w:t>
      </w:r>
      <w:r w:rsidRPr="008E63BB">
        <w:rPr>
          <w:rFonts w:eastAsia="Times New Roman"/>
          <w:szCs w:val="26"/>
        </w:rPr>
        <w:t>nguồn</w:t>
      </w:r>
      <w:r w:rsidR="0080092F">
        <w:rPr>
          <w:rFonts w:eastAsia="Times New Roman"/>
          <w:szCs w:val="26"/>
          <w:lang w:val="en-US"/>
        </w:rPr>
        <w:t xml:space="preserve"> </w:t>
      </w:r>
      <w:r w:rsidRPr="008E63BB">
        <w:rPr>
          <w:rFonts w:eastAsia="Times New Roman"/>
          <w:spacing w:val="-1"/>
          <w:szCs w:val="26"/>
        </w:rPr>
        <w:t>lực</w:t>
      </w:r>
      <w:r w:rsidR="0080092F">
        <w:rPr>
          <w:rFonts w:eastAsia="Times New Roman"/>
          <w:spacing w:val="-1"/>
          <w:szCs w:val="26"/>
          <w:lang w:val="en-US"/>
        </w:rPr>
        <w:t xml:space="preserve"> </w:t>
      </w:r>
      <w:r w:rsidRPr="008E63BB">
        <w:rPr>
          <w:rFonts w:eastAsia="Times New Roman"/>
          <w:szCs w:val="26"/>
        </w:rPr>
        <w:t>trong</w:t>
      </w:r>
      <w:r w:rsidR="0080092F">
        <w:rPr>
          <w:rFonts w:eastAsia="Times New Roman"/>
          <w:szCs w:val="26"/>
          <w:lang w:val="en-US"/>
        </w:rPr>
        <w:t xml:space="preserve"> </w:t>
      </w:r>
      <w:r w:rsidRPr="008E63BB">
        <w:rPr>
          <w:rFonts w:eastAsia="Times New Roman"/>
          <w:szCs w:val="26"/>
        </w:rPr>
        <w:t>nhân</w:t>
      </w:r>
      <w:r w:rsidR="0080092F">
        <w:rPr>
          <w:rFonts w:eastAsia="Times New Roman"/>
          <w:szCs w:val="26"/>
          <w:lang w:val="en-US"/>
        </w:rPr>
        <w:t xml:space="preserve"> </w:t>
      </w:r>
      <w:r w:rsidRPr="008E63BB">
        <w:rPr>
          <w:rFonts w:eastAsia="Times New Roman"/>
          <w:spacing w:val="-1"/>
          <w:szCs w:val="26"/>
        </w:rPr>
        <w:t>dân</w:t>
      </w:r>
      <w:r w:rsidR="0080092F">
        <w:rPr>
          <w:rFonts w:eastAsia="Times New Roman"/>
          <w:spacing w:val="-1"/>
          <w:szCs w:val="26"/>
          <w:lang w:val="en-US"/>
        </w:rPr>
        <w:t xml:space="preserve"> </w:t>
      </w:r>
      <w:r w:rsidRPr="008E63BB">
        <w:rPr>
          <w:rFonts w:eastAsia="Times New Roman"/>
          <w:spacing w:val="-1"/>
          <w:szCs w:val="26"/>
        </w:rPr>
        <w:t>(vốn,</w:t>
      </w:r>
      <w:r w:rsidR="0080092F">
        <w:rPr>
          <w:rFonts w:eastAsia="Times New Roman"/>
          <w:spacing w:val="-1"/>
          <w:szCs w:val="26"/>
          <w:lang w:val="en-US"/>
        </w:rPr>
        <w:t xml:space="preserve"> </w:t>
      </w:r>
      <w:r w:rsidRPr="008E63BB">
        <w:rPr>
          <w:rFonts w:eastAsia="Times New Roman"/>
          <w:spacing w:val="-2"/>
          <w:szCs w:val="26"/>
        </w:rPr>
        <w:t>kinh</w:t>
      </w:r>
      <w:r w:rsidR="0080092F">
        <w:rPr>
          <w:rFonts w:eastAsia="Times New Roman"/>
          <w:spacing w:val="-2"/>
          <w:szCs w:val="26"/>
          <w:lang w:val="en-US"/>
        </w:rPr>
        <w:t xml:space="preserve"> </w:t>
      </w:r>
      <w:r w:rsidRPr="008E63BB">
        <w:rPr>
          <w:rFonts w:eastAsia="Times New Roman"/>
          <w:spacing w:val="-2"/>
          <w:szCs w:val="26"/>
        </w:rPr>
        <w:t>nghiệm,</w:t>
      </w:r>
      <w:r w:rsidR="0080092F">
        <w:rPr>
          <w:rFonts w:eastAsia="Times New Roman"/>
          <w:spacing w:val="-2"/>
          <w:szCs w:val="26"/>
          <w:lang w:val="en-US"/>
        </w:rPr>
        <w:t xml:space="preserve"> </w:t>
      </w:r>
      <w:r w:rsidRPr="008E63BB">
        <w:rPr>
          <w:rFonts w:eastAsia="Times New Roman"/>
          <w:spacing w:val="-1"/>
          <w:szCs w:val="26"/>
        </w:rPr>
        <w:t>nhân</w:t>
      </w:r>
      <w:r w:rsidR="0080092F">
        <w:rPr>
          <w:rFonts w:eastAsia="Times New Roman"/>
          <w:spacing w:val="-1"/>
          <w:szCs w:val="26"/>
          <w:lang w:val="en-US"/>
        </w:rPr>
        <w:t xml:space="preserve"> </w:t>
      </w:r>
      <w:r w:rsidRPr="008E63BB">
        <w:rPr>
          <w:rFonts w:eastAsia="Times New Roman"/>
          <w:spacing w:val="-1"/>
          <w:szCs w:val="26"/>
        </w:rPr>
        <w:t>lực…).</w:t>
      </w:r>
      <w:r w:rsidRPr="008E63BB">
        <w:rPr>
          <w:rFonts w:eastAsia="Times New Roman"/>
          <w:spacing w:val="-2"/>
          <w:szCs w:val="26"/>
        </w:rPr>
        <w:t>Ví</w:t>
      </w:r>
      <w:r w:rsidR="0080092F">
        <w:rPr>
          <w:rFonts w:eastAsia="Times New Roman"/>
          <w:spacing w:val="-2"/>
          <w:szCs w:val="26"/>
          <w:lang w:val="en-US"/>
        </w:rPr>
        <w:t xml:space="preserve"> </w:t>
      </w:r>
      <w:r w:rsidRPr="008E63BB">
        <w:rPr>
          <w:rFonts w:eastAsia="Times New Roman"/>
          <w:szCs w:val="26"/>
        </w:rPr>
        <w:t>dụ</w:t>
      </w:r>
      <w:r w:rsidR="0080092F">
        <w:rPr>
          <w:rFonts w:eastAsia="Times New Roman"/>
          <w:szCs w:val="26"/>
          <w:lang w:val="en-US"/>
        </w:rPr>
        <w:t xml:space="preserve"> </w:t>
      </w:r>
      <w:r w:rsidRPr="008E63BB">
        <w:rPr>
          <w:rFonts w:eastAsia="Times New Roman"/>
          <w:spacing w:val="-2"/>
          <w:szCs w:val="26"/>
        </w:rPr>
        <w:t>như</w:t>
      </w:r>
      <w:r w:rsidR="0080092F">
        <w:rPr>
          <w:rFonts w:eastAsia="Times New Roman"/>
          <w:spacing w:val="-2"/>
          <w:szCs w:val="26"/>
          <w:lang w:val="en-US"/>
        </w:rPr>
        <w:t xml:space="preserve"> </w:t>
      </w:r>
      <w:r w:rsidRPr="008E63BB">
        <w:rPr>
          <w:rFonts w:eastAsia="Times New Roman"/>
          <w:spacing w:val="-1"/>
          <w:szCs w:val="26"/>
        </w:rPr>
        <w:t>trong</w:t>
      </w:r>
      <w:r w:rsidR="0080092F">
        <w:rPr>
          <w:rFonts w:eastAsia="Times New Roman"/>
          <w:spacing w:val="-1"/>
          <w:szCs w:val="26"/>
          <w:lang w:val="en-US"/>
        </w:rPr>
        <w:t xml:space="preserve"> </w:t>
      </w:r>
      <w:r w:rsidRPr="008E63BB">
        <w:rPr>
          <w:rFonts w:eastAsia="Times New Roman"/>
          <w:spacing w:val="-1"/>
          <w:szCs w:val="26"/>
        </w:rPr>
        <w:t>các</w:t>
      </w:r>
      <w:r w:rsidR="0080092F">
        <w:rPr>
          <w:rFonts w:eastAsia="Times New Roman"/>
          <w:spacing w:val="-1"/>
          <w:szCs w:val="26"/>
          <w:lang w:val="en-US"/>
        </w:rPr>
        <w:t xml:space="preserve"> </w:t>
      </w:r>
      <w:r w:rsidRPr="008E63BB">
        <w:rPr>
          <w:rFonts w:eastAsia="Times New Roman"/>
          <w:spacing w:val="-3"/>
          <w:szCs w:val="26"/>
        </w:rPr>
        <w:t>dự</w:t>
      </w:r>
      <w:r w:rsidR="0080092F">
        <w:rPr>
          <w:rFonts w:eastAsia="Times New Roman"/>
          <w:spacing w:val="-3"/>
          <w:szCs w:val="26"/>
          <w:lang w:val="en-US"/>
        </w:rPr>
        <w:t xml:space="preserve"> </w:t>
      </w:r>
      <w:r w:rsidRPr="008E63BB">
        <w:rPr>
          <w:rFonts w:eastAsia="Times New Roman"/>
          <w:spacing w:val="1"/>
          <w:szCs w:val="26"/>
        </w:rPr>
        <w:t>án</w:t>
      </w:r>
      <w:r w:rsidR="0080092F">
        <w:rPr>
          <w:rFonts w:eastAsia="Times New Roman"/>
          <w:spacing w:val="1"/>
          <w:szCs w:val="26"/>
          <w:lang w:val="en-US"/>
        </w:rPr>
        <w:t xml:space="preserve"> </w:t>
      </w:r>
      <w:r w:rsidRPr="008E63BB">
        <w:rPr>
          <w:rFonts w:eastAsia="Times New Roman"/>
          <w:spacing w:val="-3"/>
          <w:szCs w:val="26"/>
        </w:rPr>
        <w:t>của</w:t>
      </w:r>
      <w:r w:rsidR="0080092F">
        <w:rPr>
          <w:rFonts w:eastAsia="Times New Roman"/>
          <w:spacing w:val="-3"/>
          <w:szCs w:val="26"/>
          <w:lang w:val="en-US"/>
        </w:rPr>
        <w:t xml:space="preserve"> </w:t>
      </w:r>
      <w:r w:rsidRPr="008E63BB">
        <w:rPr>
          <w:rFonts w:eastAsia="Times New Roman"/>
          <w:szCs w:val="26"/>
        </w:rPr>
        <w:t xml:space="preserve">chính </w:t>
      </w:r>
      <w:r w:rsidRPr="008E63BB">
        <w:rPr>
          <w:rFonts w:eastAsia="Times New Roman"/>
          <w:spacing w:val="-1"/>
          <w:szCs w:val="26"/>
        </w:rPr>
        <w:t>quyền</w:t>
      </w:r>
      <w:r w:rsidR="0080092F">
        <w:rPr>
          <w:rFonts w:eastAsia="Times New Roman"/>
          <w:spacing w:val="-1"/>
          <w:szCs w:val="26"/>
          <w:lang w:val="en-US"/>
        </w:rPr>
        <w:t xml:space="preserve"> </w:t>
      </w:r>
      <w:r w:rsidRPr="008E63BB">
        <w:rPr>
          <w:rFonts w:eastAsia="Times New Roman"/>
          <w:spacing w:val="-2"/>
          <w:szCs w:val="26"/>
        </w:rPr>
        <w:t>như</w:t>
      </w:r>
      <w:r w:rsidR="0080092F">
        <w:rPr>
          <w:rFonts w:eastAsia="Times New Roman"/>
          <w:spacing w:val="-2"/>
          <w:szCs w:val="26"/>
          <w:lang w:val="en-US"/>
        </w:rPr>
        <w:t xml:space="preserve"> </w:t>
      </w:r>
      <w:r w:rsidRPr="008E63BB">
        <w:rPr>
          <w:rFonts w:eastAsia="Times New Roman"/>
          <w:spacing w:val="-1"/>
          <w:szCs w:val="26"/>
        </w:rPr>
        <w:t>cấp</w:t>
      </w:r>
      <w:r w:rsidR="0080092F">
        <w:rPr>
          <w:rFonts w:eastAsia="Times New Roman"/>
          <w:spacing w:val="-1"/>
          <w:szCs w:val="26"/>
          <w:lang w:val="en-US"/>
        </w:rPr>
        <w:t xml:space="preserve"> </w:t>
      </w:r>
      <w:r w:rsidRPr="008E63BB">
        <w:rPr>
          <w:rFonts w:eastAsia="Times New Roman"/>
          <w:spacing w:val="-2"/>
          <w:szCs w:val="26"/>
        </w:rPr>
        <w:t>nước,</w:t>
      </w:r>
      <w:r w:rsidR="0080092F">
        <w:rPr>
          <w:rFonts w:eastAsia="Times New Roman"/>
          <w:spacing w:val="-2"/>
          <w:szCs w:val="26"/>
          <w:lang w:val="en-US"/>
        </w:rPr>
        <w:t xml:space="preserve"> </w:t>
      </w:r>
      <w:r w:rsidRPr="008E63BB">
        <w:rPr>
          <w:rFonts w:eastAsia="Times New Roman"/>
          <w:spacing w:val="-1"/>
          <w:szCs w:val="26"/>
        </w:rPr>
        <w:t>gas,</w:t>
      </w:r>
      <w:r w:rsidR="0080092F">
        <w:rPr>
          <w:rFonts w:eastAsia="Times New Roman"/>
          <w:spacing w:val="-1"/>
          <w:szCs w:val="26"/>
          <w:lang w:val="en-US"/>
        </w:rPr>
        <w:t xml:space="preserve"> </w:t>
      </w:r>
      <w:r w:rsidRPr="008E63BB">
        <w:rPr>
          <w:rFonts w:eastAsia="Times New Roman"/>
          <w:spacing w:val="-1"/>
          <w:szCs w:val="26"/>
        </w:rPr>
        <w:t>giao thông… nhà đầu tư tư nhân tham gia dự án từ giai đoạn lập kế hoạch, nhà nước vẫn sở hữu thiết bị, công trình còn việc đầu tư và kinh doanh được ủy thác cho phía tư nhân.</w:t>
      </w:r>
    </w:p>
    <w:p w14:paraId="519B4206" w14:textId="77777777" w:rsidR="00C32228" w:rsidRPr="008E63BB" w:rsidRDefault="00C32228" w:rsidP="0065184D">
      <w:pPr>
        <w:pStyle w:val="BodyText"/>
        <w:spacing w:after="0"/>
        <w:ind w:right="185" w:firstLine="587"/>
        <w:rPr>
          <w:rFonts w:eastAsia="Times New Roman"/>
          <w:spacing w:val="-1"/>
          <w:szCs w:val="26"/>
        </w:rPr>
      </w:pPr>
      <w:r w:rsidRPr="008E63BB">
        <w:rPr>
          <w:rFonts w:eastAsia="Times New Roman"/>
          <w:spacing w:val="-1"/>
          <w:szCs w:val="26"/>
        </w:rPr>
        <w:t>Trong hình thức hợp tác công – tư, cần thực hiện dự án theo hình thức Hợp đồng Xây dựng - Kinh doanh - Chuyển giao (BOT), Hợp đồng Xây dựng - Chuyển giao - Kinh doanh (BTO), Hợp đồng Xây dựng - Chuyển giao (BT). Ngoài ra còn có dự án EPC giúp khuyến khích các chủ thể thực hiện dự án (thiết kế (Engineering), cung cấp thiết bị (Procurement), xây lắp (Construction), là hình thức dự án thực hiện theo yêu cầu của chính quyền để thiết kế công trình xây dựng, kiến trúc theo quy trình, hệ thống, thiết bị (máy móc) thích hợp. Máy móc thiết bị được điều từ nhiều nơi đến để thực hiện xây dựng theo thiết kế và vận hành thử nghiệm, và chuyển giao trong thời hạn quy định).</w:t>
      </w:r>
    </w:p>
    <w:p w14:paraId="519B4207"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Mô hình Nhà nước quản lý, hợp tác tài chính công - tư thường được áp dụng phổ biến nhất cho các dự án có quy mô lớn</w:t>
      </w:r>
      <w:r w:rsidRPr="008E63BB">
        <w:rPr>
          <w:rFonts w:eastAsia="Times New Roman"/>
          <w:i/>
          <w:kern w:val="32"/>
          <w:szCs w:val="26"/>
          <w:lang w:val="vi-VN"/>
        </w:rPr>
        <w:t>.</w:t>
      </w:r>
      <w:r w:rsidRPr="008E63BB">
        <w:rPr>
          <w:rFonts w:eastAsia="Times New Roman"/>
          <w:kern w:val="32"/>
          <w:szCs w:val="26"/>
          <w:lang w:val="vi-VN"/>
        </w:rPr>
        <w:t xml:space="preserve"> Về bản chất, mô hình này bao gồm Huyện-Thị xã/Tỉnh và các nhà đầu tư tư nhân, cả hai đóng góp những phần khác nhau để phân phối một dự án. Mô hình này cho phép sự linh hoạt trong tỷ lệ đầu tư của đô thị so với tư </w:t>
      </w:r>
      <w:r w:rsidRPr="008E63BB">
        <w:rPr>
          <w:rFonts w:eastAsia="Times New Roman"/>
          <w:kern w:val="32"/>
          <w:szCs w:val="26"/>
          <w:lang w:val="vi-VN"/>
        </w:rPr>
        <w:lastRenderedPageBreak/>
        <w:t xml:space="preserve">nhân phụ thuộc vào quy mô các công trình cần thiết và khả năng (tài chính, tổ chức và các vấn đề khác) của </w:t>
      </w:r>
      <w:r w:rsidR="00B214BA" w:rsidRPr="008E63BB">
        <w:rPr>
          <w:rFonts w:eastAsia="Times New Roman"/>
          <w:kern w:val="32"/>
          <w:szCs w:val="26"/>
          <w:lang w:val="vi-VN"/>
        </w:rPr>
        <w:t>thành phố Nam Định</w:t>
      </w:r>
      <w:r w:rsidRPr="008E63BB">
        <w:rPr>
          <w:rFonts w:eastAsia="Times New Roman"/>
          <w:kern w:val="32"/>
          <w:szCs w:val="26"/>
          <w:lang w:val="vi-VN"/>
        </w:rPr>
        <w:t>.</w:t>
      </w:r>
    </w:p>
    <w:p w14:paraId="519B4208"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Theo mô hình này thì </w:t>
      </w:r>
      <w:r w:rsidR="00B214BA" w:rsidRPr="008E63BB">
        <w:rPr>
          <w:rFonts w:eastAsia="Times New Roman"/>
          <w:kern w:val="32"/>
          <w:szCs w:val="26"/>
          <w:lang w:val="vi-VN"/>
        </w:rPr>
        <w:t>Thành phố</w:t>
      </w:r>
      <w:r w:rsidRPr="008E63BB">
        <w:rPr>
          <w:rFonts w:eastAsia="Times New Roman"/>
          <w:kern w:val="32"/>
          <w:szCs w:val="26"/>
          <w:lang w:val="vi-VN"/>
        </w:rPr>
        <w:t>/Tỉnh cấp kinh phí xây dựng cơ sở hạ tầng và dịch vụ cơ bản đó là cung cấp hệ thống đường giao thông, điện, nước, viễn thông chính yếu nếu cần;</w:t>
      </w:r>
    </w:p>
    <w:p w14:paraId="519B4209" w14:textId="77777777" w:rsidR="00C32228" w:rsidRPr="008E63BB" w:rsidRDefault="00B214BA" w:rsidP="0065184D">
      <w:pPr>
        <w:ind w:firstLine="720"/>
        <w:rPr>
          <w:rFonts w:eastAsia="Times New Roman"/>
          <w:kern w:val="32"/>
          <w:szCs w:val="26"/>
          <w:lang w:val="vi-VN"/>
        </w:rPr>
      </w:pPr>
      <w:r w:rsidRPr="008E63BB">
        <w:rPr>
          <w:rFonts w:eastAsia="Times New Roman"/>
          <w:kern w:val="32"/>
          <w:szCs w:val="26"/>
          <w:lang w:val="vi-VN"/>
        </w:rPr>
        <w:t>Thành phố Nam Định</w:t>
      </w:r>
      <w:r w:rsidR="00C32228" w:rsidRPr="008E63BB">
        <w:rPr>
          <w:rFonts w:eastAsia="Times New Roman"/>
          <w:kern w:val="32"/>
          <w:szCs w:val="26"/>
          <w:lang w:val="vi-VN"/>
        </w:rPr>
        <w:t xml:space="preserve"> tham gia vào một 'hợp tác công tư (PPP) để tài trợ cho các dự án cơ sở hạ tầng công cộng bằng nguồn vốn tư nhân - với chi phí sẽ do người sử dụng dị</w:t>
      </w:r>
      <w:r w:rsidRPr="008E63BB">
        <w:rPr>
          <w:rFonts w:eastAsia="Times New Roman"/>
          <w:kern w:val="32"/>
          <w:szCs w:val="26"/>
          <w:lang w:val="vi-VN"/>
        </w:rPr>
        <w:t>ch vụ chi trả; hoặc thành phố</w:t>
      </w:r>
      <w:r w:rsidR="00C32228" w:rsidRPr="008E63BB">
        <w:rPr>
          <w:rFonts w:eastAsia="Times New Roman"/>
          <w:kern w:val="32"/>
          <w:szCs w:val="26"/>
          <w:lang w:val="vi-VN"/>
        </w:rPr>
        <w:t xml:space="preserve"> xây dựng "Sáng kiến -tài chính tư nhân '(PFI) để tài trợ cho các dự án cơ sở hạ tầng bằng nguồn vốn tư nhân – với chi phí do Chính phủ chi trả thông qua một thỏa thuận cho thuê/ hợp đồng;</w:t>
      </w:r>
    </w:p>
    <w:p w14:paraId="519B420A"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Một sự kết hợp của một hoặc tất cả những sáng kiến trên có thể được sử dụng, tùy thuộc vào hoàn cảnh cụ thể. </w:t>
      </w:r>
    </w:p>
    <w:p w14:paraId="519B420B" w14:textId="77777777" w:rsidR="00C32228" w:rsidRPr="008E63BB" w:rsidRDefault="00C32228" w:rsidP="0065184D">
      <w:pPr>
        <w:ind w:firstLine="720"/>
        <w:rPr>
          <w:rFonts w:eastAsia="Times New Roman"/>
          <w:b/>
          <w:kern w:val="32"/>
          <w:szCs w:val="26"/>
          <w:lang w:val="vi-VN"/>
        </w:rPr>
      </w:pPr>
      <w:r w:rsidRPr="008E63BB">
        <w:rPr>
          <w:rFonts w:eastAsia="Times New Roman"/>
          <w:b/>
          <w:kern w:val="32"/>
          <w:szCs w:val="26"/>
          <w:lang w:val="vi-VN"/>
        </w:rPr>
        <w:t xml:space="preserve">Nhà nước cấp kinh phí cho dự án hạ tầng </w:t>
      </w:r>
    </w:p>
    <w:p w14:paraId="519B420C"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Trong kịch bản này, các quy hoạch đã được phê duyệt sẽ chính thức được thông qua như là chính sách</w:t>
      </w:r>
      <w:r w:rsidR="00B214BA" w:rsidRPr="008E63BB">
        <w:rPr>
          <w:rFonts w:eastAsia="Times New Roman"/>
          <w:kern w:val="32"/>
          <w:szCs w:val="26"/>
          <w:lang w:val="vi-VN"/>
        </w:rPr>
        <w:t xml:space="preserve"> của thành phố</w:t>
      </w:r>
      <w:r w:rsidRPr="008E63BB">
        <w:rPr>
          <w:rFonts w:eastAsia="Times New Roman"/>
          <w:kern w:val="32"/>
          <w:szCs w:val="26"/>
          <w:lang w:val="vi-VN"/>
        </w:rPr>
        <w:t xml:space="preserve"> và trở thành trách nhiệm của cơ quan thực hiện chuyên ngành. Việc công bố rộng rãi quy hoạch tổng thể đã được phê duyệt đặt ra vai trò của cơ quan thực hiện và tạo cho đồ án quy hoạch tổng thể có trọng lượng về tính pháp lý.</w:t>
      </w:r>
    </w:p>
    <w:p w14:paraId="519B420D" w14:textId="77777777" w:rsidR="00C32228" w:rsidRPr="008E63BB" w:rsidRDefault="00B214BA" w:rsidP="0065184D">
      <w:pPr>
        <w:ind w:firstLine="720"/>
        <w:rPr>
          <w:rFonts w:eastAsia="Times New Roman"/>
          <w:kern w:val="32"/>
          <w:szCs w:val="26"/>
          <w:lang w:val="vi-VN"/>
        </w:rPr>
      </w:pPr>
      <w:r w:rsidRPr="008E63BB">
        <w:rPr>
          <w:rFonts w:eastAsia="Times New Roman"/>
          <w:kern w:val="32"/>
          <w:szCs w:val="26"/>
          <w:lang w:val="vi-VN"/>
        </w:rPr>
        <w:t>Thành phố</w:t>
      </w:r>
      <w:r w:rsidR="00C32228" w:rsidRPr="008E63BB">
        <w:rPr>
          <w:rFonts w:eastAsia="Times New Roman"/>
          <w:kern w:val="32"/>
          <w:szCs w:val="26"/>
          <w:lang w:val="vi-VN"/>
        </w:rPr>
        <w:t xml:space="preserve"> cấp vốn xây dựng các cơ sở hạ tầng ban đầu - bao gồm đường giao thông, nước, thoát nước và viễn thông (có thể có cơ hội cho các công ty thuộc sở hữu của nhà nước thực hiện một số công việc này), sau đó </w:t>
      </w:r>
      <w:r w:rsidRPr="008E63BB">
        <w:rPr>
          <w:rFonts w:eastAsia="Times New Roman"/>
          <w:kern w:val="32"/>
          <w:szCs w:val="26"/>
          <w:lang w:val="vi-VN"/>
        </w:rPr>
        <w:t>Thành phố</w:t>
      </w:r>
      <w:r w:rsidR="00C32228" w:rsidRPr="008E63BB">
        <w:rPr>
          <w:rFonts w:eastAsia="Times New Roman"/>
          <w:kern w:val="32"/>
          <w:szCs w:val="26"/>
          <w:lang w:val="vi-VN"/>
        </w:rPr>
        <w:t>/ Tỉnh bán đất đã được đầu tư hạ tầng cho các nhà đầu tư tư nhân và yêu cầu họ thực hiện các công trình phù hợp với quy hoạch đã được phê duyệt. Việc bán đất sẽ bù đắp các chi phí xây dựng cơ sở hạ tầng ban đầu.</w:t>
      </w:r>
    </w:p>
    <w:p w14:paraId="519B420E"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Nếu cần thiết, các nhà đầu tư phải trả tiền ‘đóng góp phát triển' (còn được gọi là phí phục hồi cơ sở hạ tầng) để bù đắp chi phí cơ sở hạ</w:t>
      </w:r>
      <w:r w:rsidR="00B214BA" w:rsidRPr="008E63BB">
        <w:rPr>
          <w:rFonts w:eastAsia="Times New Roman"/>
          <w:kern w:val="32"/>
          <w:szCs w:val="26"/>
          <w:lang w:val="vi-VN"/>
        </w:rPr>
        <w:t xml:space="preserve"> tầng phát sinh của thành phố</w:t>
      </w:r>
      <w:r w:rsidRPr="008E63BB">
        <w:rPr>
          <w:rFonts w:eastAsia="Times New Roman"/>
          <w:kern w:val="32"/>
          <w:szCs w:val="26"/>
          <w:lang w:val="vi-VN"/>
        </w:rPr>
        <w:t>. Tính toán chi tiết của những số liệu này như thế nào được cung cấp trong cùng một phần của văn bản pháp luật mới với cơ quan thực hiện.</w:t>
      </w:r>
    </w:p>
    <w:p w14:paraId="519B420F" w14:textId="77777777" w:rsidR="00C32228" w:rsidRPr="008E63BB" w:rsidRDefault="00C32228" w:rsidP="0065184D">
      <w:pPr>
        <w:ind w:firstLine="720"/>
        <w:rPr>
          <w:rFonts w:eastAsia="Times New Roman"/>
          <w:kern w:val="32"/>
          <w:szCs w:val="26"/>
          <w:lang w:val="vi-VN"/>
        </w:rPr>
      </w:pPr>
      <w:r w:rsidRPr="008E63BB">
        <w:rPr>
          <w:rFonts w:eastAsia="Times New Roman"/>
          <w:kern w:val="32"/>
          <w:szCs w:val="26"/>
          <w:lang w:val="vi-VN"/>
        </w:rPr>
        <w:t xml:space="preserve">Các nhà đầu tư được giữ lợi nhuận từ việc bán các dự án hoàn thành. Trong một số trường hợp của các công trình hoặc các tiện ích công cộng như trường học, nhà trẻ, bệnh viện…có thể được bán lại cho </w:t>
      </w:r>
      <w:r w:rsidR="00B214BA" w:rsidRPr="008E63BB">
        <w:rPr>
          <w:rFonts w:eastAsia="Times New Roman"/>
          <w:kern w:val="32"/>
          <w:szCs w:val="26"/>
          <w:lang w:val="vi-VN"/>
        </w:rPr>
        <w:t>Thành phố Nam Định</w:t>
      </w:r>
      <w:r w:rsidRPr="008E63BB">
        <w:rPr>
          <w:rFonts w:eastAsia="Times New Roman"/>
          <w:kern w:val="32"/>
          <w:szCs w:val="26"/>
          <w:lang w:val="vi-VN"/>
        </w:rPr>
        <w:t>.</w:t>
      </w:r>
    </w:p>
    <w:p w14:paraId="519B4210" w14:textId="77777777" w:rsidR="00C32228" w:rsidRPr="008E63BB" w:rsidRDefault="00C32228" w:rsidP="0065184D">
      <w:pPr>
        <w:rPr>
          <w:rFonts w:eastAsia="Times New Roman"/>
          <w:kern w:val="32"/>
          <w:szCs w:val="26"/>
          <w:lang w:val="vi-VN"/>
        </w:rPr>
      </w:pPr>
      <w:r w:rsidRPr="008E63BB">
        <w:rPr>
          <w:rFonts w:eastAsia="Times New Roman"/>
          <w:kern w:val="32"/>
          <w:szCs w:val="26"/>
          <w:lang w:val="vi-VN"/>
        </w:rPr>
        <w:t>Mô hình này có những ưu nhược điểm sau:</w:t>
      </w:r>
    </w:p>
    <w:p w14:paraId="519B4211" w14:textId="77777777" w:rsidR="007813DF" w:rsidRPr="008E63BB" w:rsidRDefault="007813DF" w:rsidP="0065184D">
      <w:pPr>
        <w:rPr>
          <w:rFonts w:eastAsia="Times New Roman"/>
          <w:kern w:val="32"/>
          <w:szCs w:val="26"/>
          <w:lang w:val="vi-VN"/>
        </w:rPr>
      </w:pPr>
    </w:p>
    <w:tbl>
      <w:tblPr>
        <w:tblW w:w="0" w:type="auto"/>
        <w:tblInd w:w="108"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4323"/>
        <w:gridCol w:w="5037"/>
      </w:tblGrid>
      <w:tr w:rsidR="008D5BFE" w:rsidRPr="008E63BB" w14:paraId="519B4214" w14:textId="77777777" w:rsidTr="00C32228">
        <w:tc>
          <w:tcPr>
            <w:tcW w:w="4323" w:type="dxa"/>
            <w:shd w:val="clear" w:color="auto" w:fill="E6E6E6"/>
          </w:tcPr>
          <w:p w14:paraId="519B4212" w14:textId="77777777" w:rsidR="00C32228" w:rsidRPr="008E63BB" w:rsidRDefault="00C32228" w:rsidP="0065184D">
            <w:pPr>
              <w:snapToGrid w:val="0"/>
              <w:rPr>
                <w:rFonts w:eastAsia="Times New Roman"/>
                <w:b/>
                <w:bCs/>
                <w:kern w:val="32"/>
                <w:szCs w:val="26"/>
              </w:rPr>
            </w:pPr>
            <w:r w:rsidRPr="008E63BB">
              <w:rPr>
                <w:rFonts w:eastAsia="Times New Roman"/>
                <w:b/>
                <w:bCs/>
                <w:kern w:val="32"/>
                <w:szCs w:val="26"/>
              </w:rPr>
              <w:t>Thuận lợi</w:t>
            </w:r>
          </w:p>
        </w:tc>
        <w:tc>
          <w:tcPr>
            <w:tcW w:w="5037" w:type="dxa"/>
            <w:shd w:val="clear" w:color="auto" w:fill="E6E6E6"/>
          </w:tcPr>
          <w:p w14:paraId="519B4213" w14:textId="77777777" w:rsidR="00C32228" w:rsidRPr="008E63BB" w:rsidRDefault="00C32228" w:rsidP="0065184D">
            <w:pPr>
              <w:snapToGrid w:val="0"/>
              <w:rPr>
                <w:rFonts w:eastAsia="Times New Roman"/>
                <w:b/>
                <w:bCs/>
                <w:kern w:val="32"/>
                <w:szCs w:val="26"/>
              </w:rPr>
            </w:pPr>
            <w:r w:rsidRPr="008E63BB">
              <w:rPr>
                <w:rFonts w:eastAsia="Times New Roman"/>
                <w:b/>
                <w:bCs/>
                <w:kern w:val="32"/>
                <w:szCs w:val="26"/>
              </w:rPr>
              <w:t>Khó khăn</w:t>
            </w:r>
          </w:p>
        </w:tc>
      </w:tr>
      <w:tr w:rsidR="008D5BFE" w:rsidRPr="008E63BB" w14:paraId="519B4217" w14:textId="77777777" w:rsidTr="00C32228">
        <w:trPr>
          <w:trHeight w:val="77"/>
        </w:trPr>
        <w:tc>
          <w:tcPr>
            <w:tcW w:w="4323" w:type="dxa"/>
          </w:tcPr>
          <w:p w14:paraId="519B4215" w14:textId="77777777" w:rsidR="00C32228" w:rsidRPr="008E63BB" w:rsidRDefault="00C32228" w:rsidP="00F06125">
            <w:pPr>
              <w:numPr>
                <w:ilvl w:val="0"/>
                <w:numId w:val="36"/>
              </w:numPr>
              <w:snapToGrid w:val="0"/>
              <w:ind w:left="0"/>
              <w:rPr>
                <w:rFonts w:eastAsia="Times New Roman"/>
                <w:kern w:val="32"/>
                <w:szCs w:val="26"/>
                <w:lang w:val="vi-VN"/>
              </w:rPr>
            </w:pPr>
            <w:r w:rsidRPr="008E63BB">
              <w:rPr>
                <w:rFonts w:eastAsia="Times New Roman"/>
                <w:kern w:val="32"/>
                <w:szCs w:val="26"/>
                <w:lang w:val="vi-VN"/>
              </w:rPr>
              <w:t xml:space="preserve">Giảm ngân sách của </w:t>
            </w:r>
            <w:r w:rsidR="00B214BA" w:rsidRPr="008E63BB">
              <w:rPr>
                <w:rFonts w:eastAsia="Times New Roman"/>
                <w:kern w:val="32"/>
                <w:szCs w:val="26"/>
              </w:rPr>
              <w:t>thành phố</w:t>
            </w:r>
            <w:r w:rsidRPr="008E63BB">
              <w:rPr>
                <w:rFonts w:eastAsia="Times New Roman"/>
                <w:kern w:val="32"/>
                <w:szCs w:val="26"/>
                <w:lang w:val="vi-VN"/>
              </w:rPr>
              <w:t xml:space="preserve">cấp cho </w:t>
            </w:r>
            <w:r w:rsidRPr="008E63BB">
              <w:rPr>
                <w:rFonts w:eastAsia="Times New Roman"/>
                <w:kern w:val="32"/>
                <w:szCs w:val="26"/>
              </w:rPr>
              <w:t xml:space="preserve">xây dựng </w:t>
            </w:r>
            <w:r w:rsidRPr="008E63BB">
              <w:rPr>
                <w:rFonts w:eastAsia="Times New Roman"/>
                <w:kern w:val="32"/>
                <w:szCs w:val="26"/>
                <w:lang w:val="vi-VN"/>
              </w:rPr>
              <w:t>cơ sở hạ tầng quan trọng.</w:t>
            </w:r>
          </w:p>
        </w:tc>
        <w:tc>
          <w:tcPr>
            <w:tcW w:w="5037" w:type="dxa"/>
          </w:tcPr>
          <w:p w14:paraId="519B4216" w14:textId="77777777" w:rsidR="00C32228" w:rsidRPr="008E63BB" w:rsidRDefault="00C32228" w:rsidP="00F06125">
            <w:pPr>
              <w:numPr>
                <w:ilvl w:val="0"/>
                <w:numId w:val="36"/>
              </w:numPr>
              <w:snapToGrid w:val="0"/>
              <w:ind w:left="0"/>
              <w:rPr>
                <w:rFonts w:eastAsia="Times New Roman"/>
                <w:kern w:val="32"/>
                <w:szCs w:val="26"/>
                <w:lang w:val="vi-VN"/>
              </w:rPr>
            </w:pPr>
            <w:r w:rsidRPr="008E63BB">
              <w:rPr>
                <w:rFonts w:eastAsia="Times New Roman"/>
                <w:kern w:val="32"/>
                <w:szCs w:val="26"/>
                <w:lang w:val="vi-VN"/>
              </w:rPr>
              <w:t>Yêu cầu phối hợp hiệu quả giữa các cơ quan nhà nước (có thể hưởng lợi từ việc thành lập cơ quan thực hiện chuyên ngành).</w:t>
            </w:r>
          </w:p>
        </w:tc>
      </w:tr>
      <w:tr w:rsidR="008D5BFE" w:rsidRPr="008E63BB" w14:paraId="519B421A" w14:textId="77777777" w:rsidTr="00C32228">
        <w:trPr>
          <w:trHeight w:val="77"/>
        </w:trPr>
        <w:tc>
          <w:tcPr>
            <w:tcW w:w="4323" w:type="dxa"/>
          </w:tcPr>
          <w:p w14:paraId="519B4218" w14:textId="77777777" w:rsidR="00C32228" w:rsidRPr="008E63BB" w:rsidRDefault="00C32228" w:rsidP="00F06125">
            <w:pPr>
              <w:numPr>
                <w:ilvl w:val="0"/>
                <w:numId w:val="36"/>
              </w:numPr>
              <w:snapToGrid w:val="0"/>
              <w:ind w:left="0"/>
              <w:rPr>
                <w:rFonts w:eastAsia="Times New Roman"/>
                <w:kern w:val="32"/>
                <w:szCs w:val="26"/>
                <w:lang w:val="vi-VN"/>
              </w:rPr>
            </w:pPr>
            <w:r w:rsidRPr="008E63BB">
              <w:rPr>
                <w:rFonts w:eastAsia="Times New Roman"/>
                <w:kern w:val="32"/>
                <w:szCs w:val="26"/>
                <w:lang w:val="vi-VN"/>
              </w:rPr>
              <w:t>Tiết kiệm thời gian, cho phép khu vực tư nhân bàn giao các hợp phần về cơ sở hạ tầng quan trọng.</w:t>
            </w:r>
          </w:p>
        </w:tc>
        <w:tc>
          <w:tcPr>
            <w:tcW w:w="5037" w:type="dxa"/>
          </w:tcPr>
          <w:p w14:paraId="519B4219" w14:textId="77777777" w:rsidR="00C32228" w:rsidRPr="008E63BB" w:rsidRDefault="00C32228" w:rsidP="00F06125">
            <w:pPr>
              <w:numPr>
                <w:ilvl w:val="0"/>
                <w:numId w:val="36"/>
              </w:numPr>
              <w:snapToGrid w:val="0"/>
              <w:ind w:left="0"/>
              <w:rPr>
                <w:rFonts w:eastAsia="Times New Roman"/>
                <w:kern w:val="32"/>
                <w:szCs w:val="26"/>
                <w:lang w:val="vi-VN"/>
              </w:rPr>
            </w:pPr>
            <w:r w:rsidRPr="008E63BB">
              <w:rPr>
                <w:rFonts w:eastAsia="Times New Roman"/>
                <w:kern w:val="32"/>
                <w:szCs w:val="26"/>
                <w:lang w:val="vi-VN"/>
              </w:rPr>
              <w:t xml:space="preserve">Thành công phụ thuộc vào đàm phán hợp đồng giữa </w:t>
            </w:r>
            <w:r w:rsidR="00B214BA" w:rsidRPr="008E63BB">
              <w:rPr>
                <w:rFonts w:eastAsia="Times New Roman"/>
                <w:kern w:val="32"/>
                <w:szCs w:val="26"/>
                <w:lang w:val="vi-VN"/>
              </w:rPr>
              <w:t xml:space="preserve">thành phố </w:t>
            </w:r>
            <w:r w:rsidRPr="008E63BB">
              <w:rPr>
                <w:rFonts w:eastAsia="Times New Roman"/>
                <w:kern w:val="32"/>
                <w:szCs w:val="26"/>
                <w:lang w:val="vi-VN"/>
              </w:rPr>
              <w:t>/Tỉnh và các nhà đầu tư tư nhân.</w:t>
            </w:r>
          </w:p>
        </w:tc>
      </w:tr>
      <w:tr w:rsidR="008D5BFE" w:rsidRPr="008E63BB" w14:paraId="519B421D" w14:textId="77777777" w:rsidTr="00C32228">
        <w:trPr>
          <w:trHeight w:val="215"/>
        </w:trPr>
        <w:tc>
          <w:tcPr>
            <w:tcW w:w="4323" w:type="dxa"/>
          </w:tcPr>
          <w:p w14:paraId="519B421B" w14:textId="77777777" w:rsidR="00C32228" w:rsidRPr="008E63BB" w:rsidRDefault="00C32228" w:rsidP="0065184D">
            <w:pPr>
              <w:snapToGrid w:val="0"/>
              <w:rPr>
                <w:rFonts w:eastAsia="Times New Roman"/>
                <w:kern w:val="32"/>
                <w:szCs w:val="26"/>
                <w:lang w:val="vi-VN"/>
              </w:rPr>
            </w:pPr>
          </w:p>
        </w:tc>
        <w:tc>
          <w:tcPr>
            <w:tcW w:w="5037" w:type="dxa"/>
          </w:tcPr>
          <w:p w14:paraId="519B421C" w14:textId="77777777" w:rsidR="00C32228" w:rsidRPr="008E63BB" w:rsidRDefault="00C32228" w:rsidP="0065184D">
            <w:pPr>
              <w:snapToGrid w:val="0"/>
              <w:rPr>
                <w:rFonts w:eastAsia="Times New Roman"/>
                <w:kern w:val="32"/>
                <w:szCs w:val="26"/>
                <w:lang w:val="vi-VN"/>
              </w:rPr>
            </w:pPr>
            <w:r w:rsidRPr="008E63BB">
              <w:rPr>
                <w:rFonts w:eastAsia="Times New Roman"/>
                <w:kern w:val="32"/>
                <w:szCs w:val="26"/>
                <w:lang w:val="vi-VN"/>
              </w:rPr>
              <w:t xml:space="preserve">Tiết kiệm cho </w:t>
            </w:r>
            <w:r w:rsidR="00B214BA" w:rsidRPr="008E63BB">
              <w:rPr>
                <w:rFonts w:eastAsia="Times New Roman"/>
                <w:kern w:val="32"/>
                <w:szCs w:val="26"/>
                <w:lang w:val="vi-VN"/>
              </w:rPr>
              <w:t xml:space="preserve">thành phố </w:t>
            </w:r>
            <w:r w:rsidRPr="008E63BB">
              <w:rPr>
                <w:rFonts w:eastAsia="Times New Roman"/>
                <w:kern w:val="32"/>
                <w:szCs w:val="26"/>
                <w:lang w:val="vi-VN"/>
              </w:rPr>
              <w:t>trong ngắn hạn có thể chuyển dịch các tổn thất tài chính trong dài hạn - nếu các hợp đồng được quản lý tốt.</w:t>
            </w:r>
          </w:p>
        </w:tc>
      </w:tr>
    </w:tbl>
    <w:p w14:paraId="519B421E" w14:textId="77777777" w:rsidR="00C32228" w:rsidRPr="008E63BB" w:rsidRDefault="00C32228" w:rsidP="0065184D">
      <w:pPr>
        <w:ind w:firstLine="720"/>
        <w:rPr>
          <w:lang w:val="vi-VN"/>
        </w:rPr>
      </w:pPr>
      <w:r w:rsidRPr="008E63BB">
        <w:rPr>
          <w:rFonts w:eastAsia="Times New Roman"/>
          <w:kern w:val="32"/>
          <w:szCs w:val="26"/>
          <w:lang w:val="vi-VN"/>
        </w:rPr>
        <w:t xml:space="preserve">Đặc điểm của mô hình này là cần phải xác định rõ vai trò của Nhà nước để duy trì vai trò quản lý trong việc phân bổ các dự án không phân biệt cách sắp xếp tài chính cho </w:t>
      </w:r>
      <w:r w:rsidRPr="008E63BB">
        <w:rPr>
          <w:rFonts w:eastAsia="Times New Roman"/>
          <w:kern w:val="32"/>
          <w:szCs w:val="26"/>
          <w:lang w:val="vi-VN"/>
        </w:rPr>
        <w:lastRenderedPageBreak/>
        <w:t>việc xây dựng. Vai trò chính xác mà Nhà nước nắm giữ trong quá trình quản lý này và mức độ Nhà nước tham gia có thể khác nhau</w:t>
      </w:r>
    </w:p>
    <w:p w14:paraId="519B421F" w14:textId="77777777" w:rsidR="00C32228" w:rsidRPr="008E63BB" w:rsidRDefault="00C32228" w:rsidP="0065184D">
      <w:pPr>
        <w:rPr>
          <w:szCs w:val="28"/>
          <w:lang w:val="vi-VN"/>
        </w:rPr>
      </w:pPr>
    </w:p>
    <w:p w14:paraId="519B4220" w14:textId="77777777" w:rsidR="00C3787F" w:rsidRPr="008E63BB" w:rsidRDefault="00C32228" w:rsidP="0065184D">
      <w:pPr>
        <w:pStyle w:val="Heading1"/>
        <w:spacing w:before="0" w:after="0"/>
        <w:rPr>
          <w:lang w:val="vi-VN"/>
        </w:rPr>
      </w:pPr>
      <w:bookmarkStart w:id="556" w:name="_Toc344928505"/>
      <w:bookmarkStart w:id="557" w:name="_Toc345538426"/>
      <w:bookmarkStart w:id="558" w:name="_Toc47524748"/>
      <w:r w:rsidRPr="008E63BB">
        <w:rPr>
          <w:lang w:val="vi-VN"/>
        </w:rPr>
        <w:t>IX</w:t>
      </w:r>
      <w:r w:rsidR="00C3787F" w:rsidRPr="008E63BB">
        <w:rPr>
          <w:lang w:val="vi-VN"/>
        </w:rPr>
        <w:t xml:space="preserve">. PHẦN </w:t>
      </w:r>
      <w:r w:rsidRPr="008E63BB">
        <w:rPr>
          <w:lang w:val="vi-VN"/>
        </w:rPr>
        <w:t>9</w:t>
      </w:r>
      <w:r w:rsidR="00C3787F" w:rsidRPr="008E63BB">
        <w:rPr>
          <w:lang w:val="vi-VN"/>
        </w:rPr>
        <w:t>. ĐÁNH GIÁ MÔI TRƯỜNG CHIẾN LƯỢC</w:t>
      </w:r>
      <w:bookmarkEnd w:id="556"/>
      <w:bookmarkEnd w:id="557"/>
      <w:bookmarkEnd w:id="558"/>
    </w:p>
    <w:p w14:paraId="519B4221" w14:textId="77777777" w:rsidR="008C1B81" w:rsidRPr="008E63BB" w:rsidRDefault="00C32228" w:rsidP="0065184D">
      <w:pPr>
        <w:pStyle w:val="Heading2"/>
        <w:spacing w:before="60"/>
        <w:rPr>
          <w:kern w:val="32"/>
          <w:lang w:val="vi-VN"/>
        </w:rPr>
      </w:pPr>
      <w:bookmarkStart w:id="559" w:name="_Toc495870938"/>
      <w:bookmarkStart w:id="560" w:name="_Toc47524749"/>
      <w:r w:rsidRPr="008E63BB">
        <w:rPr>
          <w:kern w:val="32"/>
          <w:lang w:val="vi-VN"/>
        </w:rPr>
        <w:t>9</w:t>
      </w:r>
      <w:r w:rsidR="008C1B81" w:rsidRPr="008E63BB">
        <w:rPr>
          <w:kern w:val="32"/>
          <w:lang w:val="vi-VN"/>
        </w:rPr>
        <w:t>.1. Hiện trạng môi trường</w:t>
      </w:r>
      <w:bookmarkEnd w:id="559"/>
      <w:bookmarkEnd w:id="560"/>
    </w:p>
    <w:p w14:paraId="519B4222" w14:textId="77777777" w:rsidR="009758A5" w:rsidRPr="008E63BB" w:rsidRDefault="009758A5" w:rsidP="009758A5">
      <w:pPr>
        <w:autoSpaceDE w:val="0"/>
        <w:autoSpaceDN w:val="0"/>
        <w:adjustRightInd w:val="0"/>
        <w:spacing w:before="60" w:after="60"/>
        <w:ind w:firstLine="720"/>
        <w:rPr>
          <w:lang w:val="sv-SE"/>
        </w:rPr>
      </w:pPr>
      <w:bookmarkStart w:id="561" w:name="_Toc437586252"/>
      <w:bookmarkStart w:id="562" w:name="_Toc495870939"/>
      <w:r w:rsidRPr="008E63BB">
        <w:rPr>
          <w:lang w:val="sv-SE"/>
        </w:rPr>
        <w:t xml:space="preserve">Về vị trí, khí hậu, thủy văn đã được nêu rất rõ tại Phần I và II của đề án, nên trong phần này, sẽ không nhắc lại và tập trung đi vào phân tích các diễn biến môi trường của khu vực nghiên cứu quy hoạch; </w:t>
      </w:r>
    </w:p>
    <w:p w14:paraId="519B4223" w14:textId="77777777" w:rsidR="009758A5" w:rsidRPr="008E63BB" w:rsidRDefault="009758A5" w:rsidP="009758A5">
      <w:pPr>
        <w:autoSpaceDE w:val="0"/>
        <w:autoSpaceDN w:val="0"/>
        <w:adjustRightInd w:val="0"/>
        <w:spacing w:before="60" w:after="60"/>
        <w:ind w:firstLine="720"/>
        <w:rPr>
          <w:lang w:val="sv-SE"/>
        </w:rPr>
      </w:pPr>
      <w:r w:rsidRPr="008E63BB">
        <w:rPr>
          <w:lang w:val="sv-SE"/>
        </w:rPr>
        <w:t>Hiện môi trường thành phố Nam Định đang phải đối mặt với nhiều nguy cơ gây ô nhiễm đến từ các hoạt động phát triển kinh tế xã hội, tăng trưởng dân số, đô thị hóa, phát triển công nghiệp, nông nghiệp và giao thông; Mặc dù, thành phố đã có nhiều hành động, chương trình quản lý, bảo vệ và cải thiện môi trường; Tuy nhiên, do hệ thống hạ tầng còn nhiều hạn chế, chưa đồng bộ, hệ thống thu gom, xử lý nước thải chưa hoàn chỉnh, nước thải sinh hoạt phần lớn chưa được thu gom xử lý...; ý thức người dân chưa cao; đội ngũ cán bộ môi trường còn mỏng, trang thiết bị, chi phí giám sát, kiểm soát môi trường còn hạn chế...; Qua báo cáo hiện trạng môi trường cho thấy xu thế chất lượng môi trường tại thành phố Thành phố Nam Định:</w:t>
      </w:r>
    </w:p>
    <w:p w14:paraId="519B4224" w14:textId="77777777" w:rsidR="009758A5" w:rsidRPr="008E63BB" w:rsidRDefault="009758A5" w:rsidP="009758A5">
      <w:pPr>
        <w:rPr>
          <w:b/>
          <w:i/>
          <w:lang w:val="sv-SE"/>
        </w:rPr>
      </w:pPr>
      <w:r w:rsidRPr="008E63BB">
        <w:rPr>
          <w:b/>
          <w:i/>
          <w:lang w:val="sv-SE"/>
        </w:rPr>
        <w:t>a. Hiện trạng môi trường nước:</w:t>
      </w:r>
    </w:p>
    <w:p w14:paraId="519B4225" w14:textId="77777777" w:rsidR="009758A5" w:rsidRPr="008E63BB" w:rsidRDefault="009758A5" w:rsidP="009758A5">
      <w:pPr>
        <w:rPr>
          <w:i/>
          <w:lang w:val="sv-SE"/>
        </w:rPr>
      </w:pPr>
      <w:r w:rsidRPr="008E63BB">
        <w:rPr>
          <w:i/>
          <w:lang w:val="sv-SE"/>
        </w:rPr>
        <w:t>* Môi trường nước mặt:</w:t>
      </w:r>
    </w:p>
    <w:p w14:paraId="519B4226" w14:textId="77777777" w:rsidR="009758A5" w:rsidRPr="008E63BB" w:rsidRDefault="009758A5" w:rsidP="009758A5">
      <w:pPr>
        <w:ind w:firstLine="720"/>
        <w:rPr>
          <w:lang w:val="sv-SE"/>
        </w:rPr>
      </w:pPr>
      <w:r w:rsidRPr="008E63BB">
        <w:rPr>
          <w:lang w:val="sv-SE"/>
        </w:rPr>
        <w:t xml:space="preserve">Khu vực nghiên cứu quy hoạch có hệ thống sông ngòi, kênh mương dày đặc với mật độ 0,5 đến 0,7 km/km2 và có chế độ thủy văn chịu ảnh hưởng của sông Hồng, sông Đào; Ngoài ra, trên địa bàn có rất nhiều ao hồ, giữ vai trò điều hòa và cảnh quan cho khu vực; Hiện môi trường nước mặt đang có các dấu hiệu bị ô nhiễm, tại nhiều thời điểm, các chỉ tiêu quan trắc COD, BOD, TSS, phốt phát, coliform... vượt ngưỡng cho phép ở nhiều nơi, điển hình cao trên các sông Hồng, sông Đòa, sông Vĩnh Giang, sông Hùng Vương tại khu vực tiếp nhận nước thải của các trạm bơm, TXL và hầu hết các hồ cảnh quan trong khu vực; </w:t>
      </w:r>
    </w:p>
    <w:p w14:paraId="519B4227" w14:textId="77777777" w:rsidR="009758A5" w:rsidRPr="008E63BB" w:rsidRDefault="009758A5" w:rsidP="0080092F">
      <w:pPr>
        <w:autoSpaceDE w:val="0"/>
        <w:autoSpaceDN w:val="0"/>
        <w:adjustRightInd w:val="0"/>
        <w:spacing w:before="60" w:after="60"/>
        <w:ind w:firstLine="720"/>
        <w:rPr>
          <w:lang w:val="sv-SE"/>
        </w:rPr>
      </w:pPr>
      <w:r w:rsidRPr="008E63BB">
        <w:rPr>
          <w:lang w:val="sv-SE"/>
        </w:rPr>
        <w:t xml:space="preserve">Tại các sông trên địa bàn khu vực nghiên cứu quy hoạch, nhiều chỉ số quan trắc như BOD, COD, TSS, COD, BOD, TSS, Amoni, Nitrit, Nitrat, phốt phát, coliform... vượt ngưỡng QCVN 08-MT:2015 ở nhiều nơi, tại nhiều thời điểm trong năm; Cụ thể như: </w:t>
      </w:r>
    </w:p>
    <w:p w14:paraId="519B4228" w14:textId="77777777" w:rsidR="009758A5" w:rsidRPr="008E63BB" w:rsidRDefault="009758A5" w:rsidP="0080092F">
      <w:pPr>
        <w:autoSpaceDE w:val="0"/>
        <w:autoSpaceDN w:val="0"/>
        <w:adjustRightInd w:val="0"/>
        <w:spacing w:before="60" w:after="60"/>
        <w:ind w:firstLine="720"/>
        <w:rPr>
          <w:lang w:val="sv-SE"/>
        </w:rPr>
      </w:pPr>
      <w:r w:rsidRPr="008E63BB">
        <w:rPr>
          <w:lang w:val="sv-SE"/>
        </w:rPr>
        <w:t xml:space="preserve">+ Trên sông Hồng, có thời điểm COD vượt ngưỡng QCVN, 4.87 lần; BOD vượt 4,2 lần; các chỉ số TSS, Phốt phát, coliform... cũng cao trong nhiều thời điểm giao động vượt ngưỡng từ 1,1 đến 2,7 lần; </w:t>
      </w:r>
    </w:p>
    <w:p w14:paraId="519B4229" w14:textId="77777777" w:rsidR="009758A5" w:rsidRPr="008E63BB" w:rsidRDefault="009758A5" w:rsidP="0080092F">
      <w:pPr>
        <w:autoSpaceDE w:val="0"/>
        <w:autoSpaceDN w:val="0"/>
        <w:adjustRightInd w:val="0"/>
        <w:spacing w:before="60" w:after="60"/>
        <w:ind w:firstLine="720"/>
        <w:rPr>
          <w:lang w:val="sv-SE"/>
        </w:rPr>
      </w:pPr>
      <w:r w:rsidRPr="008E63BB">
        <w:rPr>
          <w:lang w:val="sv-SE"/>
        </w:rPr>
        <w:t>+ Trên sông Đào, có thời điểm COD vượt QCVN 3,1 lần; TSS vượt 1,5 lần; Phốt phát và BOD vượt 2,7 lần; các chỉ số khác như Amoni, colifrom, Nitrit, Nitrat,... cũng cao tại nhiều nơi, giao động vượt ngưỡng QCVN từ 1,1 đến 1,8 lần;</w:t>
      </w:r>
    </w:p>
    <w:p w14:paraId="519B422A" w14:textId="77777777" w:rsidR="009758A5" w:rsidRPr="008E63BB" w:rsidRDefault="009758A5" w:rsidP="0080092F">
      <w:pPr>
        <w:autoSpaceDE w:val="0"/>
        <w:autoSpaceDN w:val="0"/>
        <w:adjustRightInd w:val="0"/>
        <w:spacing w:before="60" w:after="60"/>
        <w:ind w:firstLine="720"/>
        <w:rPr>
          <w:lang w:val="sv-SE"/>
        </w:rPr>
      </w:pPr>
      <w:r w:rsidRPr="008E63BB">
        <w:rPr>
          <w:lang w:val="sv-SE"/>
        </w:rPr>
        <w:t>+ Trêm Sông Vĩnh Giang: Phần lớn các chỉ tiêu quan trắc đều ở ngưỡng cao, điển hình như các chỉ số BOD, COD, Amoni, Coliform, phôtphats... thường vượt ngưỡng cho phép khoảng 1,1 đến 3,1 lần;</w:t>
      </w:r>
    </w:p>
    <w:p w14:paraId="519B422B" w14:textId="77777777" w:rsidR="009758A5" w:rsidRPr="008E63BB" w:rsidRDefault="009758A5" w:rsidP="0080092F">
      <w:pPr>
        <w:autoSpaceDE w:val="0"/>
        <w:autoSpaceDN w:val="0"/>
        <w:adjustRightInd w:val="0"/>
        <w:spacing w:before="60" w:after="60"/>
        <w:ind w:firstLine="720"/>
        <w:rPr>
          <w:lang w:val="sv-SE"/>
        </w:rPr>
      </w:pPr>
      <w:r w:rsidRPr="008E63BB">
        <w:rPr>
          <w:lang w:val="sv-SE"/>
        </w:rPr>
        <w:t>+ Trên sông Hùng Vương, tại các khu vực tiếp nhận nước thải, có thời điểm vượt ngưỡng cho phép QCVN 1,8 lần với COD;  4,13 lần với BOD; 1,36 lần với SS; Các chỉ số khác như coliform, Amoni, phốt phát, Nitrat, Nitrit,... cũng cao, và vượt ngưỡng QCVN tại nhiều thời điểm;</w:t>
      </w:r>
    </w:p>
    <w:p w14:paraId="519B422C" w14:textId="77777777" w:rsidR="009758A5" w:rsidRPr="008E63BB" w:rsidRDefault="009758A5" w:rsidP="009758A5">
      <w:pPr>
        <w:tabs>
          <w:tab w:val="left" w:pos="900"/>
          <w:tab w:val="left" w:pos="1080"/>
        </w:tabs>
        <w:autoSpaceDE w:val="0"/>
        <w:autoSpaceDN w:val="0"/>
        <w:adjustRightInd w:val="0"/>
        <w:spacing w:before="60" w:after="60"/>
        <w:ind w:firstLine="720"/>
        <w:rPr>
          <w:lang w:val="sv-SE"/>
        </w:rPr>
      </w:pPr>
      <w:r w:rsidRPr="008E63BB">
        <w:rPr>
          <w:lang w:val="sv-SE"/>
        </w:rPr>
        <w:lastRenderedPageBreak/>
        <w:t>+ Sông Châu Giang, đoạn chảy qua khu vực NCQH cũng có các chỉ số hữu cơ vượt ngưỡng QCVN trong khoảng từ 1,1 – 1,5 lần;</w:t>
      </w:r>
    </w:p>
    <w:p w14:paraId="519B422D" w14:textId="77777777" w:rsidR="009758A5" w:rsidRPr="008E63BB" w:rsidRDefault="009758A5" w:rsidP="009758A5">
      <w:pPr>
        <w:autoSpaceDE w:val="0"/>
        <w:autoSpaceDN w:val="0"/>
        <w:adjustRightInd w:val="0"/>
        <w:spacing w:before="60" w:after="60"/>
        <w:rPr>
          <w:lang w:val="sv-SE"/>
        </w:rPr>
      </w:pPr>
      <w:r w:rsidRPr="008E63BB">
        <w:rPr>
          <w:noProof/>
          <w:lang w:eastAsia="zh-CN"/>
        </w:rPr>
        <w:drawing>
          <wp:inline distT="0" distB="0" distL="0" distR="0" wp14:anchorId="519B52A1" wp14:editId="519B52A2">
            <wp:extent cx="5792855" cy="2512464"/>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837393" cy="2531781"/>
                    </a:xfrm>
                    <a:prstGeom prst="rect">
                      <a:avLst/>
                    </a:prstGeom>
                    <a:noFill/>
                  </pic:spPr>
                </pic:pic>
              </a:graphicData>
            </a:graphic>
          </wp:inline>
        </w:drawing>
      </w:r>
    </w:p>
    <w:p w14:paraId="519B422E" w14:textId="77777777" w:rsidR="009758A5" w:rsidRPr="008E63BB" w:rsidRDefault="009758A5" w:rsidP="009758A5">
      <w:pPr>
        <w:autoSpaceDE w:val="0"/>
        <w:autoSpaceDN w:val="0"/>
        <w:adjustRightInd w:val="0"/>
        <w:spacing w:before="60" w:after="60"/>
        <w:jc w:val="center"/>
        <w:rPr>
          <w:lang w:val="sv-SE"/>
        </w:rPr>
      </w:pPr>
      <w:r w:rsidRPr="008E63BB">
        <w:rPr>
          <w:i/>
          <w:lang w:val="sv-SE"/>
        </w:rPr>
        <w:t>Kết quả quan trắc COD (mg/l) tại các sông trên địa bàn khu vực NCQH</w:t>
      </w:r>
    </w:p>
    <w:p w14:paraId="519B422F" w14:textId="77777777" w:rsidR="009758A5" w:rsidRPr="008E63BB" w:rsidRDefault="009758A5" w:rsidP="009758A5">
      <w:pPr>
        <w:autoSpaceDE w:val="0"/>
        <w:autoSpaceDN w:val="0"/>
        <w:adjustRightInd w:val="0"/>
        <w:spacing w:before="60" w:after="60"/>
        <w:rPr>
          <w:lang w:val="sv-SE"/>
        </w:rPr>
      </w:pPr>
      <w:r w:rsidRPr="008E63BB">
        <w:rPr>
          <w:noProof/>
          <w:lang w:eastAsia="zh-CN"/>
        </w:rPr>
        <w:drawing>
          <wp:inline distT="0" distB="0" distL="0" distR="0" wp14:anchorId="519B52A3" wp14:editId="519B52A4">
            <wp:extent cx="5811140" cy="2385037"/>
            <wp:effectExtent l="0" t="0" r="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7" cstate="print">
                      <a:extLst>
                        <a:ext uri="{28A0092B-C50C-407E-A947-70E740481C1C}">
                          <a14:useLocalDpi xmlns:a14="http://schemas.microsoft.com/office/drawing/2010/main"/>
                        </a:ext>
                      </a:extLst>
                    </a:blip>
                    <a:srcRect/>
                    <a:stretch/>
                  </pic:blipFill>
                  <pic:spPr bwMode="auto">
                    <a:xfrm>
                      <a:off x="0" y="0"/>
                      <a:ext cx="5828551" cy="2392183"/>
                    </a:xfrm>
                    <a:prstGeom prst="rect">
                      <a:avLst/>
                    </a:prstGeom>
                    <a:noFill/>
                    <a:ln>
                      <a:noFill/>
                    </a:ln>
                    <a:extLst>
                      <a:ext uri="{53640926-AAD7-44D8-BBD7-CCE9431645EC}">
                        <a14:shadowObscured xmlns:a14="http://schemas.microsoft.com/office/drawing/2010/main"/>
                      </a:ext>
                    </a:extLst>
                  </pic:spPr>
                </pic:pic>
              </a:graphicData>
            </a:graphic>
          </wp:inline>
        </w:drawing>
      </w:r>
    </w:p>
    <w:p w14:paraId="519B4230" w14:textId="77777777" w:rsidR="009758A5" w:rsidRPr="008E63BB" w:rsidRDefault="009758A5" w:rsidP="009758A5">
      <w:pPr>
        <w:autoSpaceDE w:val="0"/>
        <w:autoSpaceDN w:val="0"/>
        <w:adjustRightInd w:val="0"/>
        <w:spacing w:before="60" w:after="60"/>
        <w:jc w:val="center"/>
        <w:rPr>
          <w:i/>
          <w:lang w:val="sv-SE"/>
        </w:rPr>
      </w:pPr>
      <w:r w:rsidRPr="008E63BB">
        <w:rPr>
          <w:i/>
          <w:lang w:val="sv-SE"/>
        </w:rPr>
        <w:t>Kết quả quan trắc BOD (mg/l) tại các sông trên địa bàn khu vực NCQH</w:t>
      </w:r>
    </w:p>
    <w:p w14:paraId="519B4231" w14:textId="77777777" w:rsidR="009758A5" w:rsidRPr="008E63BB" w:rsidRDefault="009758A5" w:rsidP="009758A5">
      <w:pPr>
        <w:autoSpaceDE w:val="0"/>
        <w:autoSpaceDN w:val="0"/>
        <w:adjustRightInd w:val="0"/>
        <w:spacing w:before="60" w:after="60"/>
        <w:jc w:val="center"/>
        <w:rPr>
          <w:lang w:val="sv-SE"/>
        </w:rPr>
      </w:pPr>
      <w:r w:rsidRPr="008E63BB">
        <w:rPr>
          <w:noProof/>
          <w:lang w:eastAsia="zh-CN"/>
        </w:rPr>
        <w:drawing>
          <wp:inline distT="0" distB="0" distL="0" distR="0" wp14:anchorId="519B52A5" wp14:editId="519B52A6">
            <wp:extent cx="5947873" cy="2563353"/>
            <wp:effectExtent l="0" t="0" r="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5966005" cy="2571168"/>
                    </a:xfrm>
                    <a:prstGeom prst="rect">
                      <a:avLst/>
                    </a:prstGeom>
                    <a:noFill/>
                    <a:ln>
                      <a:noFill/>
                    </a:ln>
                    <a:extLst>
                      <a:ext uri="{53640926-AAD7-44D8-BBD7-CCE9431645EC}">
                        <a14:shadowObscured xmlns:a14="http://schemas.microsoft.com/office/drawing/2010/main"/>
                      </a:ext>
                    </a:extLst>
                  </pic:spPr>
                </pic:pic>
              </a:graphicData>
            </a:graphic>
          </wp:inline>
        </w:drawing>
      </w:r>
    </w:p>
    <w:p w14:paraId="519B4232" w14:textId="77777777" w:rsidR="009758A5" w:rsidRPr="008E63BB" w:rsidRDefault="009758A5" w:rsidP="009758A5">
      <w:pPr>
        <w:autoSpaceDE w:val="0"/>
        <w:autoSpaceDN w:val="0"/>
        <w:adjustRightInd w:val="0"/>
        <w:spacing w:before="60" w:after="60"/>
        <w:jc w:val="center"/>
        <w:rPr>
          <w:i/>
          <w:lang w:val="sv-SE"/>
        </w:rPr>
      </w:pPr>
      <w:r w:rsidRPr="008E63BB">
        <w:rPr>
          <w:i/>
          <w:lang w:val="sv-SE"/>
        </w:rPr>
        <w:t>Kết quả quan trắc TSS(mg/l) tại các sông trên địa bàn khu vực NCQH</w:t>
      </w:r>
    </w:p>
    <w:p w14:paraId="519B4233" w14:textId="77777777" w:rsidR="009758A5" w:rsidRPr="008E63BB" w:rsidRDefault="009758A5" w:rsidP="009758A5">
      <w:pPr>
        <w:autoSpaceDE w:val="0"/>
        <w:autoSpaceDN w:val="0"/>
        <w:adjustRightInd w:val="0"/>
        <w:spacing w:before="60" w:after="60"/>
        <w:jc w:val="center"/>
        <w:rPr>
          <w:lang w:val="sv-SE"/>
        </w:rPr>
      </w:pPr>
      <w:r w:rsidRPr="008E63BB">
        <w:rPr>
          <w:noProof/>
          <w:lang w:eastAsia="zh-CN"/>
        </w:rPr>
        <w:lastRenderedPageBreak/>
        <w:drawing>
          <wp:inline distT="0" distB="0" distL="0" distR="0" wp14:anchorId="519B52A7" wp14:editId="519B52A8">
            <wp:extent cx="5889174" cy="2719187"/>
            <wp:effectExtent l="0" t="0" r="0" b="508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913783" cy="2730549"/>
                    </a:xfrm>
                    <a:prstGeom prst="rect">
                      <a:avLst/>
                    </a:prstGeom>
                    <a:noFill/>
                  </pic:spPr>
                </pic:pic>
              </a:graphicData>
            </a:graphic>
          </wp:inline>
        </w:drawing>
      </w:r>
    </w:p>
    <w:p w14:paraId="519B4234" w14:textId="77777777" w:rsidR="009758A5" w:rsidRPr="008E63BB" w:rsidRDefault="009758A5" w:rsidP="009758A5">
      <w:pPr>
        <w:autoSpaceDE w:val="0"/>
        <w:autoSpaceDN w:val="0"/>
        <w:adjustRightInd w:val="0"/>
        <w:spacing w:before="60" w:after="60"/>
        <w:jc w:val="center"/>
        <w:rPr>
          <w:i/>
          <w:lang w:val="sv-SE"/>
        </w:rPr>
      </w:pPr>
      <w:r w:rsidRPr="008E63BB">
        <w:rPr>
          <w:i/>
          <w:lang w:val="sv-SE"/>
        </w:rPr>
        <w:t>Kết quả quan trắc Phốt phất(mg/l) tại các sông trên địa bàn khu vực NCQH</w:t>
      </w:r>
    </w:p>
    <w:p w14:paraId="519B4235" w14:textId="77777777" w:rsidR="009758A5" w:rsidRPr="008E63BB" w:rsidRDefault="009758A5" w:rsidP="009758A5">
      <w:pPr>
        <w:autoSpaceDE w:val="0"/>
        <w:autoSpaceDN w:val="0"/>
        <w:adjustRightInd w:val="0"/>
        <w:spacing w:before="60" w:after="60"/>
        <w:jc w:val="center"/>
        <w:rPr>
          <w:lang w:val="sv-SE"/>
        </w:rPr>
      </w:pPr>
      <w:r w:rsidRPr="008E63BB">
        <w:rPr>
          <w:noProof/>
          <w:lang w:eastAsia="zh-CN"/>
        </w:rPr>
        <w:drawing>
          <wp:inline distT="0" distB="0" distL="0" distR="0" wp14:anchorId="519B52A9" wp14:editId="519B52AA">
            <wp:extent cx="5761539" cy="2404226"/>
            <wp:effectExtent l="0" t="0" r="0" b="0"/>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789152" cy="2415749"/>
                    </a:xfrm>
                    <a:prstGeom prst="rect">
                      <a:avLst/>
                    </a:prstGeom>
                    <a:noFill/>
                  </pic:spPr>
                </pic:pic>
              </a:graphicData>
            </a:graphic>
          </wp:inline>
        </w:drawing>
      </w:r>
    </w:p>
    <w:p w14:paraId="519B4236" w14:textId="77777777" w:rsidR="009758A5" w:rsidRPr="008E63BB" w:rsidRDefault="009758A5" w:rsidP="009758A5">
      <w:pPr>
        <w:autoSpaceDE w:val="0"/>
        <w:autoSpaceDN w:val="0"/>
        <w:adjustRightInd w:val="0"/>
        <w:spacing w:before="60" w:after="60"/>
        <w:jc w:val="center"/>
        <w:rPr>
          <w:i/>
          <w:lang w:val="sv-SE"/>
        </w:rPr>
      </w:pPr>
      <w:r w:rsidRPr="008E63BB">
        <w:rPr>
          <w:i/>
          <w:lang w:val="sv-SE"/>
        </w:rPr>
        <w:t>Kết quả quan trắc Coliform (MPN/100ml) tại các sông trên địa bàn khu vực NCQH</w:t>
      </w:r>
    </w:p>
    <w:p w14:paraId="519B4237" w14:textId="77777777" w:rsidR="009758A5" w:rsidRPr="008E63BB" w:rsidRDefault="009758A5" w:rsidP="009758A5">
      <w:pPr>
        <w:pStyle w:val="FootnoteText"/>
        <w:tabs>
          <w:tab w:val="left" w:pos="360"/>
        </w:tabs>
        <w:spacing w:after="0" w:line="240" w:lineRule="auto"/>
        <w:jc w:val="both"/>
        <w:rPr>
          <w:rFonts w:ascii="Times New Roman" w:hAnsi="Times New Roman"/>
          <w:b/>
          <w:i/>
          <w:sz w:val="24"/>
          <w:szCs w:val="24"/>
          <w:u w:val="single"/>
          <w:lang w:val="sv-SE"/>
        </w:rPr>
      </w:pPr>
      <w:r w:rsidRPr="008E63BB">
        <w:rPr>
          <w:rFonts w:ascii="Times New Roman" w:hAnsi="Times New Roman"/>
          <w:b/>
          <w:i/>
          <w:sz w:val="24"/>
          <w:szCs w:val="24"/>
          <w:lang w:val="sv-SE"/>
        </w:rPr>
        <w:t xml:space="preserve">* </w:t>
      </w:r>
      <w:r w:rsidRPr="008E63BB">
        <w:rPr>
          <w:rFonts w:ascii="Times New Roman" w:hAnsi="Times New Roman"/>
          <w:b/>
          <w:i/>
          <w:sz w:val="24"/>
          <w:szCs w:val="24"/>
          <w:u w:val="single"/>
          <w:lang w:val="sv-SE"/>
        </w:rPr>
        <w:t>Ghi chú:</w:t>
      </w:r>
    </w:p>
    <w:p w14:paraId="519B4238"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xml:space="preserve">- QCVN 08-MT:2015: Quy chuẩn kỹ thuật quốc gia về chất lượng nước mặt; (A2): </w:t>
      </w:r>
      <w:r w:rsidRPr="008E63BB">
        <w:rPr>
          <w:rFonts w:ascii="Times New Roman" w:hAnsi="Times New Roman"/>
          <w:i/>
          <w:spacing w:val="-6"/>
          <w:sz w:val="24"/>
          <w:szCs w:val="24"/>
          <w:lang w:val="sv-SE"/>
        </w:rPr>
        <w:t>Dùng cho mục đích cấp nước sinh hoạt nhưng phải áp dụng công nghệ phù hợp,</w:t>
      </w:r>
      <w:r w:rsidRPr="008E63BB">
        <w:rPr>
          <w:rFonts w:ascii="Times New Roman" w:hAnsi="Times New Roman"/>
          <w:i/>
          <w:sz w:val="24"/>
          <w:szCs w:val="24"/>
          <w:lang w:val="sv-SE"/>
        </w:rPr>
        <w:t>; (B1); dùng cho mục đích tưới tiêu, thủy lợi hoặc mục đích sử dụng khác;</w:t>
      </w:r>
    </w:p>
    <w:p w14:paraId="519B4239"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M1,2..,13: Tên mẫu quan trắc môi trường nước mặt trên các sông Hồng, sông Đào, sông Vĩnh Giang, sông Hùng Vương, sông Châu Giang, cụ thể:</w:t>
      </w:r>
    </w:p>
    <w:p w14:paraId="519B423A"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M1: Mẫu nước sông Hồng tại bến đò Hữu Bị - xã Mỹ Trung – huyện Mỹ Lộc.</w:t>
      </w:r>
    </w:p>
    <w:p w14:paraId="519B423B"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M2; Mẫu nước sông Hồng cách điểm tiếp nhận nước thải của trạm bơm Quán Chuột khoảng 500m về phía hạ lưu thuộc xã Mỹ Tân - huyện Mỹ Lộc (tại thời điểm lấy mẫu trạm bơm không hoạt động).</w:t>
      </w:r>
    </w:p>
    <w:p w14:paraId="519B423C"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M3: Mẫu nước sông Đào, vị trí trước điểm lấy nước vào của Công ty TNHH một thành viên kinh doanh nước sạch Nam Định  thuộc phường Trần Tế Xương – TP Nam Định (điểm cách ngã ba sông Hồng và sông Đào khoảng 2 km về phía hạ lưu).</w:t>
      </w:r>
    </w:p>
    <w:p w14:paraId="519B423D"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M4: Mẫu nước sông Đào tại điểm cách trạm bơm kênh Gia khoảng 1km về phía hạ lưu thuộc xóm 6 xã Tân Thành - huyện Vụ Bản (tại thời điểm lấy mẫu trạm bơm không hoạt động).</w:t>
      </w:r>
    </w:p>
    <w:p w14:paraId="519B423E"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M5: Mẫu nước sông Đào tại điểm cách trạm bơm Cốc Thành khoảng 1,5 km về phía hạ lưu thuộc xóm Cống Phú – đội 7 – xã Thành Lợi – huyện Vụ Bản.</w:t>
      </w:r>
    </w:p>
    <w:p w14:paraId="519B423F"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lastRenderedPageBreak/>
        <w:t>+ M6: Mẫu nước sông Vĩnh Giang tại Cầu Ốc – xã Lộc Hòa, điểm cách nguồn thải sau hệ thống xử lý nước thải KCN Hòa Xá về phía thượng lưu khoảng 500m (điểm nền thượng lưu) thuộc thôn Phú Ốc – xã Lộc Hòa – tp Nam Định.</w:t>
      </w:r>
    </w:p>
    <w:p w14:paraId="519B4240"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M7: Mẫu nước sông Vĩnh Giang tại vị trí cách điểm tiếp nhận nước thải của Trạm xử lý nước thải KCN Hòa Xá – TP, Nam Định khoảng 400m về phía hạ lưu.</w:t>
      </w:r>
    </w:p>
    <w:p w14:paraId="519B4241"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M8: Mẫu nước  sông Vĩnh Giang tại điểm trước cổng trường Cao đẳng Công nghiệp Nam Định – xã Liên Bảo – huyện Vụ Bản sau khi tiếp nhận nước thải của KCN Hòa Xá, CCN An Xá, Vị trí cách cầu Giành khoảng 500m về phía thượng lưu.</w:t>
      </w:r>
    </w:p>
    <w:p w14:paraId="519B4242"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M9: Mẫu nước sông Giáng khu vực xóm Bườn 1 xã Mỹ Thắng – huyện Mỹ Lộc (Điểm thượng lưu).</w:t>
      </w:r>
    </w:p>
    <w:p w14:paraId="519B4243"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M10: Mẫu nước sông Giáng trước nhà ông Lê Văn An xóm 7 xã Mỹ Thành – huyện Mỹ Lộc (Điểm hạ lưu).</w:t>
      </w:r>
    </w:p>
    <w:p w14:paraId="519B4244"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M11: Mẫu nước sông Hùng Vương khu vực xóm 8 – xã Thành Lợi – huyện Vụ Bản (Điểm thượng lưu).</w:t>
      </w:r>
    </w:p>
    <w:p w14:paraId="519B4245"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M12: Mẫu nước sông Hùng Vương cách chân cầu Gạo – xóm Gạo – xã Thành Lợi khoảng 100m về phía hạ lưu, điểm sau khi tiếp nhận nước thải làng nghề Quả Ninh – xã Thành Lợi – huyện Vụ Bản (Điểm hạ lưu).</w:t>
      </w:r>
    </w:p>
    <w:p w14:paraId="519B4246"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lang w:val="sv-SE"/>
        </w:rPr>
      </w:pPr>
      <w:r w:rsidRPr="008E63BB">
        <w:rPr>
          <w:rFonts w:ascii="Times New Roman" w:hAnsi="Times New Roman"/>
          <w:i/>
          <w:sz w:val="24"/>
          <w:szCs w:val="24"/>
          <w:lang w:val="sv-SE"/>
        </w:rPr>
        <w:t>+ M13: Mẫu nước sông Châu Thành tại điểm trước nhà ông Phan Văn Anh thôn Lã Điền – xã Điền Xá – huyện Nam Trực (Điểm thượng lưu).</w:t>
      </w:r>
    </w:p>
    <w:p w14:paraId="519B4247" w14:textId="77777777" w:rsidR="009758A5" w:rsidRPr="008E63BB" w:rsidRDefault="009758A5" w:rsidP="00F06125">
      <w:pPr>
        <w:pStyle w:val="FootnoteText"/>
        <w:numPr>
          <w:ilvl w:val="0"/>
          <w:numId w:val="34"/>
        </w:numPr>
        <w:tabs>
          <w:tab w:val="clear" w:pos="720"/>
          <w:tab w:val="num" w:pos="360"/>
          <w:tab w:val="left" w:pos="990"/>
          <w:tab w:val="left" w:pos="1080"/>
        </w:tabs>
        <w:spacing w:after="0" w:line="240" w:lineRule="auto"/>
        <w:ind w:left="0" w:firstLine="720"/>
        <w:jc w:val="both"/>
        <w:rPr>
          <w:rFonts w:ascii="Times New Roman" w:hAnsi="Times New Roman"/>
          <w:sz w:val="26"/>
          <w:szCs w:val="26"/>
          <w:lang w:val="sv-SE"/>
        </w:rPr>
      </w:pPr>
      <w:r w:rsidRPr="008E63BB">
        <w:rPr>
          <w:rFonts w:ascii="Times New Roman" w:hAnsi="Times New Roman"/>
          <w:sz w:val="26"/>
          <w:szCs w:val="26"/>
          <w:lang w:val="sv-SE"/>
        </w:rPr>
        <w:t>Trên địa bàn NCQH có khoảng 13 hồ điều hòa lớn nhỏ, với tổng diện tích khoảng 41,77 ha; Các hồ trên địa bàn giữ vai trò tiêu thoát nước và cảnh quan; Do phải tiếp nhận hàng ngày một lượng khá lớn nước thải sinh hoạt, sản xuất của người dân quan khu vực, nên phần lớn các hồ đều đang bị ô nhiễm hữu cớ; Những năm gần đay, thành phố đã cho tiến hành cải tạo các hồ trên địa bàn thành phố giúp chất lượng và mỹ quan của nhiều hồ được cải thiện, tuy nhiên, với tình trạng nước thải sinh hoạt, sản xuất còn tiếp tục xả thải, chất lượng nước mặt tại các hồ còn bị suy giảm và ô nhiễm;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5"/>
        <w:gridCol w:w="4781"/>
      </w:tblGrid>
      <w:tr w:rsidR="00077538" w:rsidRPr="008E63BB" w14:paraId="519B424A" w14:textId="77777777" w:rsidTr="00C83DC4">
        <w:tc>
          <w:tcPr>
            <w:tcW w:w="4495" w:type="dxa"/>
          </w:tcPr>
          <w:p w14:paraId="519B4248" w14:textId="77777777" w:rsidR="009758A5" w:rsidRPr="008E63BB" w:rsidRDefault="009758A5" w:rsidP="00C83DC4">
            <w:pPr>
              <w:pStyle w:val="FootnoteText"/>
              <w:tabs>
                <w:tab w:val="left" w:pos="990"/>
                <w:tab w:val="left" w:pos="1080"/>
              </w:tabs>
              <w:spacing w:after="0" w:line="240" w:lineRule="auto"/>
              <w:ind w:left="-203" w:right="-106"/>
              <w:jc w:val="both"/>
              <w:rPr>
                <w:rFonts w:ascii="Times New Roman" w:hAnsi="Times New Roman"/>
                <w:sz w:val="26"/>
                <w:szCs w:val="26"/>
              </w:rPr>
            </w:pPr>
            <w:r w:rsidRPr="008E63BB">
              <w:rPr>
                <w:rFonts w:ascii="Times New Roman" w:hAnsi="Times New Roman"/>
                <w:noProof/>
                <w:sz w:val="26"/>
                <w:szCs w:val="26"/>
                <w:lang w:eastAsia="zh-CN"/>
              </w:rPr>
              <w:drawing>
                <wp:inline distT="0" distB="0" distL="0" distR="0" wp14:anchorId="519B52AB" wp14:editId="519B52AC">
                  <wp:extent cx="2966037" cy="1817141"/>
                  <wp:effectExtent l="0" t="0" r="6350" b="0"/>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1" cstate="print">
                            <a:extLst>
                              <a:ext uri="{28A0092B-C50C-407E-A947-70E740481C1C}">
                                <a14:useLocalDpi xmlns:a14="http://schemas.microsoft.com/office/drawing/2010/main"/>
                              </a:ext>
                            </a:extLst>
                          </a:blip>
                          <a:srcRect/>
                          <a:stretch/>
                        </pic:blipFill>
                        <pic:spPr bwMode="auto">
                          <a:xfrm>
                            <a:off x="0" y="0"/>
                            <a:ext cx="3020895" cy="1850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1" w:type="dxa"/>
          </w:tcPr>
          <w:p w14:paraId="519B4249" w14:textId="77777777" w:rsidR="009758A5" w:rsidRPr="008E63BB" w:rsidRDefault="009758A5" w:rsidP="00C83DC4">
            <w:pPr>
              <w:pStyle w:val="FootnoteText"/>
              <w:tabs>
                <w:tab w:val="left" w:pos="990"/>
                <w:tab w:val="left" w:pos="1080"/>
              </w:tabs>
              <w:spacing w:after="0" w:line="240" w:lineRule="auto"/>
              <w:jc w:val="both"/>
              <w:rPr>
                <w:rFonts w:ascii="Times New Roman" w:hAnsi="Times New Roman"/>
                <w:sz w:val="26"/>
                <w:szCs w:val="26"/>
              </w:rPr>
            </w:pPr>
            <w:r w:rsidRPr="008E63BB">
              <w:rPr>
                <w:rFonts w:ascii="Times New Roman" w:hAnsi="Times New Roman"/>
                <w:noProof/>
                <w:sz w:val="26"/>
                <w:szCs w:val="26"/>
                <w:lang w:eastAsia="zh-CN"/>
              </w:rPr>
              <w:drawing>
                <wp:inline distT="0" distB="0" distL="0" distR="0" wp14:anchorId="519B52AD" wp14:editId="519B52AE">
                  <wp:extent cx="3026114" cy="1828800"/>
                  <wp:effectExtent l="0" t="0" r="3175" b="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2" cstate="print">
                            <a:extLst>
                              <a:ext uri="{28A0092B-C50C-407E-A947-70E740481C1C}">
                                <a14:useLocalDpi xmlns:a14="http://schemas.microsoft.com/office/drawing/2010/main"/>
                              </a:ext>
                            </a:extLst>
                          </a:blip>
                          <a:srcRect b="-1"/>
                          <a:stretch/>
                        </pic:blipFill>
                        <pic:spPr bwMode="auto">
                          <a:xfrm>
                            <a:off x="0" y="0"/>
                            <a:ext cx="3086991" cy="18655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77538" w:rsidRPr="008E63BB" w14:paraId="519B424C" w14:textId="77777777" w:rsidTr="00C83DC4">
        <w:tc>
          <w:tcPr>
            <w:tcW w:w="9276" w:type="dxa"/>
            <w:gridSpan w:val="2"/>
          </w:tcPr>
          <w:p w14:paraId="519B424B" w14:textId="77777777" w:rsidR="009758A5" w:rsidRPr="008E63BB" w:rsidRDefault="009758A5" w:rsidP="00C83DC4">
            <w:pPr>
              <w:pStyle w:val="FootnoteText"/>
              <w:tabs>
                <w:tab w:val="left" w:pos="360"/>
                <w:tab w:val="left" w:pos="720"/>
                <w:tab w:val="left" w:pos="990"/>
                <w:tab w:val="left" w:pos="1080"/>
              </w:tabs>
              <w:spacing w:after="0" w:line="240" w:lineRule="auto"/>
              <w:ind w:left="-108" w:right="-106"/>
              <w:jc w:val="center"/>
              <w:rPr>
                <w:rFonts w:ascii="Times New Roman" w:hAnsi="Times New Roman"/>
                <w:sz w:val="26"/>
                <w:szCs w:val="26"/>
              </w:rPr>
            </w:pPr>
            <w:r w:rsidRPr="008E63BB">
              <w:rPr>
                <w:rFonts w:ascii="Times New Roman" w:hAnsi="Times New Roman"/>
                <w:sz w:val="26"/>
                <w:szCs w:val="26"/>
              </w:rPr>
              <w:t>Diễn biến BOD và Amoni tại 4 hồ chính trên địa bàn TP Nam Định từ năm 2017-2019</w:t>
            </w:r>
          </w:p>
        </w:tc>
      </w:tr>
    </w:tbl>
    <w:p w14:paraId="519B424D" w14:textId="77777777" w:rsidR="009758A5" w:rsidRPr="008E63BB" w:rsidRDefault="009758A5" w:rsidP="009758A5">
      <w:pPr>
        <w:pStyle w:val="FootnoteText"/>
        <w:tabs>
          <w:tab w:val="left" w:pos="360"/>
        </w:tabs>
        <w:spacing w:after="0" w:line="240" w:lineRule="auto"/>
        <w:jc w:val="both"/>
        <w:rPr>
          <w:rFonts w:ascii="Times New Roman" w:hAnsi="Times New Roman"/>
          <w:b/>
          <w:i/>
          <w:sz w:val="24"/>
          <w:szCs w:val="24"/>
          <w:u w:val="single"/>
        </w:rPr>
      </w:pPr>
      <w:r w:rsidRPr="008E63BB">
        <w:rPr>
          <w:rFonts w:ascii="Times New Roman" w:hAnsi="Times New Roman"/>
          <w:b/>
          <w:i/>
          <w:sz w:val="24"/>
          <w:szCs w:val="24"/>
        </w:rPr>
        <w:t xml:space="preserve">* </w:t>
      </w:r>
      <w:r w:rsidRPr="008E63BB">
        <w:rPr>
          <w:rFonts w:ascii="Times New Roman" w:hAnsi="Times New Roman"/>
          <w:b/>
          <w:i/>
          <w:sz w:val="24"/>
          <w:szCs w:val="24"/>
          <w:u w:val="single"/>
        </w:rPr>
        <w:t>Ghi chú:</w:t>
      </w:r>
    </w:p>
    <w:p w14:paraId="519B424E"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6"/>
          <w:szCs w:val="26"/>
        </w:rPr>
      </w:pPr>
      <w:r w:rsidRPr="008E63BB">
        <w:rPr>
          <w:rFonts w:ascii="Times New Roman" w:hAnsi="Times New Roman"/>
          <w:i/>
          <w:sz w:val="24"/>
          <w:szCs w:val="24"/>
        </w:rPr>
        <w:t xml:space="preserve">- QCVN 08-MT:2015: Quy chuẩn kỹ thuật quốc gia về chất lượng nước mặt; </w:t>
      </w:r>
    </w:p>
    <w:p w14:paraId="519B424F"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H1,H2,H3,H4: Mẫu quan trắc các hồ trên địa bàn khu vực NCQH, cụ thể:</w:t>
      </w:r>
    </w:p>
    <w:p w14:paraId="519B4250"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H1: Mẫu nước hồ Vị Xuyên trước cổng thanh tra tỉnh Nam Định – phường Vị Xuyên – thành phố Nam Định,</w:t>
      </w:r>
    </w:p>
    <w:p w14:paraId="519B4251"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H2: Mẫu nước hồ Truyền Thống trước nhà số 8 đường Bái – phường Lộc Vượng – thành phố Nam Định.</w:t>
      </w:r>
    </w:p>
    <w:p w14:paraId="519B4252"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H3: Mẫu nước hồ Thống Nhất tại Cầu Đá – phường Thống Nhất – TP, Nam Định.</w:t>
      </w:r>
    </w:p>
    <w:p w14:paraId="519B4253"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H4: Mẫu nước hồ Đồng An phía sau Công ty xăng dầu Hà Nam Ninh – phường Năng Tĩnh – TP. Nam Định.</w:t>
      </w:r>
    </w:p>
    <w:p w14:paraId="519B4254" w14:textId="77777777" w:rsidR="009758A5" w:rsidRPr="008E63BB" w:rsidRDefault="009758A5" w:rsidP="009758A5">
      <w:pPr>
        <w:widowControl w:val="0"/>
        <w:rPr>
          <w:i/>
          <w:sz w:val="24"/>
          <w:szCs w:val="24"/>
        </w:rPr>
      </w:pPr>
      <w:r w:rsidRPr="008E63BB">
        <w:rPr>
          <w:i/>
          <w:sz w:val="24"/>
          <w:szCs w:val="24"/>
        </w:rPr>
        <w:t xml:space="preserve">* </w:t>
      </w:r>
      <w:r w:rsidRPr="008E63BB">
        <w:rPr>
          <w:i/>
        </w:rPr>
        <w:t xml:space="preserve"> Môi trường nước ngầm:</w:t>
      </w:r>
      <w:r w:rsidRPr="008E63BB">
        <w:rPr>
          <w:szCs w:val="26"/>
        </w:rPr>
        <w:t xml:space="preserve"> Môi trường nước ngầm trên địa bàn Thành phố Nam Định đang có các dấu hiệu suy giảm chất lượng và trữ lượng; các chỉ số về hàm lượng cặn, </w:t>
      </w:r>
      <w:r w:rsidRPr="008E63BB">
        <w:rPr>
          <w:szCs w:val="26"/>
        </w:rPr>
        <w:lastRenderedPageBreak/>
        <w:t>amoni, clorua, sắt, coliform, amoni luôn ở ngưỡng cao, tại nhiều thời điểm vượt ngưỡng cho phép;</w:t>
      </w:r>
    </w:p>
    <w:p w14:paraId="519B4255" w14:textId="77777777" w:rsidR="009758A5" w:rsidRPr="008E63BB" w:rsidRDefault="009758A5" w:rsidP="009758A5">
      <w:pPr>
        <w:pStyle w:val="FootnoteText"/>
        <w:spacing w:before="60" w:after="60" w:line="240" w:lineRule="auto"/>
        <w:jc w:val="center"/>
        <w:rPr>
          <w:rFonts w:ascii="Times New Roman" w:hAnsi="Times New Roman"/>
          <w:b/>
          <w:sz w:val="26"/>
          <w:szCs w:val="26"/>
        </w:rPr>
      </w:pPr>
      <w:r w:rsidRPr="008E63BB">
        <w:rPr>
          <w:rFonts w:ascii="Times New Roman" w:hAnsi="Times New Roman"/>
          <w:b/>
          <w:sz w:val="26"/>
          <w:szCs w:val="26"/>
        </w:rPr>
        <w:t>Bảng</w:t>
      </w:r>
      <w:r w:rsidR="00D4372E" w:rsidRPr="008E63BB">
        <w:rPr>
          <w:rFonts w:ascii="Times New Roman" w:hAnsi="Times New Roman"/>
          <w:b/>
          <w:sz w:val="26"/>
          <w:szCs w:val="26"/>
        </w:rPr>
        <w:t xml:space="preserve"> MT01</w:t>
      </w:r>
      <w:r w:rsidRPr="008E63BB">
        <w:rPr>
          <w:rFonts w:ascii="Times New Roman" w:hAnsi="Times New Roman"/>
          <w:b/>
          <w:sz w:val="26"/>
          <w:szCs w:val="26"/>
        </w:rPr>
        <w:t>: Diễn biến môi trường nước ngầm khu vực NCQH từ năm 2017-2019</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260"/>
        <w:gridCol w:w="799"/>
        <w:gridCol w:w="1001"/>
        <w:gridCol w:w="900"/>
        <w:gridCol w:w="900"/>
        <w:gridCol w:w="810"/>
        <w:gridCol w:w="900"/>
        <w:gridCol w:w="1170"/>
        <w:gridCol w:w="810"/>
      </w:tblGrid>
      <w:tr w:rsidR="00077538" w:rsidRPr="008E63BB" w14:paraId="519B4259" w14:textId="77777777" w:rsidTr="005F4632">
        <w:trPr>
          <w:trHeight w:val="324"/>
          <w:tblHeader/>
        </w:trPr>
        <w:tc>
          <w:tcPr>
            <w:tcW w:w="715" w:type="dxa"/>
            <w:vMerge w:val="restart"/>
            <w:shd w:val="clear" w:color="auto" w:fill="auto"/>
            <w:noWrap/>
            <w:vAlign w:val="center"/>
            <w:hideMark/>
          </w:tcPr>
          <w:p w14:paraId="519B4256" w14:textId="77777777" w:rsidR="009758A5" w:rsidRPr="008E63BB" w:rsidRDefault="009758A5" w:rsidP="00C83DC4">
            <w:pPr>
              <w:ind w:left="-203" w:right="-118"/>
              <w:jc w:val="center"/>
              <w:rPr>
                <w:rFonts w:eastAsia="Times New Roman"/>
                <w:b/>
                <w:bCs/>
                <w:sz w:val="24"/>
                <w:szCs w:val="24"/>
              </w:rPr>
            </w:pPr>
            <w:r w:rsidRPr="008E63BB">
              <w:rPr>
                <w:rFonts w:eastAsia="Times New Roman"/>
                <w:b/>
                <w:bCs/>
                <w:sz w:val="24"/>
                <w:szCs w:val="24"/>
              </w:rPr>
              <w:t>KH mẫu</w:t>
            </w:r>
          </w:p>
        </w:tc>
        <w:tc>
          <w:tcPr>
            <w:tcW w:w="1260" w:type="dxa"/>
            <w:vMerge w:val="restart"/>
            <w:shd w:val="clear" w:color="auto" w:fill="auto"/>
            <w:noWrap/>
            <w:vAlign w:val="center"/>
            <w:hideMark/>
          </w:tcPr>
          <w:p w14:paraId="519B4257" w14:textId="77777777" w:rsidR="009758A5" w:rsidRPr="008E63BB" w:rsidRDefault="009758A5" w:rsidP="00C83DC4">
            <w:pPr>
              <w:ind w:left="-108" w:right="-18"/>
              <w:jc w:val="center"/>
              <w:rPr>
                <w:rFonts w:eastAsia="Times New Roman"/>
                <w:b/>
                <w:bCs/>
                <w:sz w:val="24"/>
                <w:szCs w:val="24"/>
              </w:rPr>
            </w:pPr>
            <w:r w:rsidRPr="008E63BB">
              <w:rPr>
                <w:rFonts w:eastAsia="Times New Roman"/>
                <w:b/>
                <w:bCs/>
                <w:sz w:val="24"/>
                <w:szCs w:val="24"/>
              </w:rPr>
              <w:t>Thời điểm quan trắc</w:t>
            </w:r>
          </w:p>
        </w:tc>
        <w:tc>
          <w:tcPr>
            <w:tcW w:w="7290" w:type="dxa"/>
            <w:gridSpan w:val="8"/>
            <w:shd w:val="clear" w:color="auto" w:fill="auto"/>
            <w:noWrap/>
            <w:vAlign w:val="center"/>
            <w:hideMark/>
          </w:tcPr>
          <w:p w14:paraId="519B4258" w14:textId="77777777" w:rsidR="009758A5" w:rsidRPr="008E63BB" w:rsidRDefault="009758A5" w:rsidP="00C83DC4">
            <w:pPr>
              <w:ind w:left="-203" w:right="-198"/>
              <w:jc w:val="center"/>
              <w:rPr>
                <w:rFonts w:eastAsia="Times New Roman"/>
                <w:b/>
                <w:bCs/>
                <w:sz w:val="24"/>
                <w:szCs w:val="24"/>
              </w:rPr>
            </w:pPr>
            <w:r w:rsidRPr="008E63BB">
              <w:rPr>
                <w:rFonts w:eastAsia="Times New Roman"/>
                <w:b/>
                <w:bCs/>
                <w:sz w:val="24"/>
                <w:szCs w:val="24"/>
              </w:rPr>
              <w:t>Thông số</w:t>
            </w:r>
          </w:p>
        </w:tc>
      </w:tr>
      <w:tr w:rsidR="00077538" w:rsidRPr="008E63BB" w14:paraId="519B4264" w14:textId="77777777" w:rsidTr="005F4632">
        <w:trPr>
          <w:trHeight w:val="696"/>
          <w:tblHeader/>
        </w:trPr>
        <w:tc>
          <w:tcPr>
            <w:tcW w:w="715" w:type="dxa"/>
            <w:vMerge/>
            <w:shd w:val="clear" w:color="auto" w:fill="auto"/>
            <w:vAlign w:val="center"/>
            <w:hideMark/>
          </w:tcPr>
          <w:p w14:paraId="519B425A" w14:textId="77777777" w:rsidR="009758A5" w:rsidRPr="008E63BB" w:rsidRDefault="009758A5" w:rsidP="00C83DC4">
            <w:pPr>
              <w:ind w:left="-203" w:right="-198"/>
              <w:jc w:val="left"/>
              <w:rPr>
                <w:rFonts w:eastAsia="Times New Roman"/>
                <w:b/>
                <w:bCs/>
                <w:sz w:val="24"/>
                <w:szCs w:val="24"/>
              </w:rPr>
            </w:pPr>
          </w:p>
        </w:tc>
        <w:tc>
          <w:tcPr>
            <w:tcW w:w="1260" w:type="dxa"/>
            <w:vMerge/>
            <w:shd w:val="clear" w:color="auto" w:fill="auto"/>
            <w:vAlign w:val="center"/>
            <w:hideMark/>
          </w:tcPr>
          <w:p w14:paraId="519B425B" w14:textId="77777777" w:rsidR="009758A5" w:rsidRPr="008E63BB" w:rsidRDefault="009758A5" w:rsidP="00C83DC4">
            <w:pPr>
              <w:ind w:left="-108" w:right="-108"/>
              <w:jc w:val="left"/>
              <w:rPr>
                <w:rFonts w:eastAsia="Times New Roman"/>
                <w:b/>
                <w:bCs/>
                <w:sz w:val="24"/>
                <w:szCs w:val="24"/>
              </w:rPr>
            </w:pPr>
          </w:p>
        </w:tc>
        <w:tc>
          <w:tcPr>
            <w:tcW w:w="799" w:type="dxa"/>
            <w:shd w:val="clear" w:color="auto" w:fill="auto"/>
            <w:vAlign w:val="center"/>
            <w:hideMark/>
          </w:tcPr>
          <w:p w14:paraId="519B425C" w14:textId="77777777" w:rsidR="009758A5" w:rsidRPr="008E63BB" w:rsidRDefault="009758A5" w:rsidP="00C83DC4">
            <w:pPr>
              <w:ind w:left="-203" w:right="-198"/>
              <w:jc w:val="center"/>
              <w:rPr>
                <w:rFonts w:eastAsia="Times New Roman"/>
                <w:b/>
                <w:bCs/>
                <w:sz w:val="24"/>
                <w:szCs w:val="24"/>
              </w:rPr>
            </w:pPr>
            <w:r w:rsidRPr="008E63BB">
              <w:rPr>
                <w:rFonts w:eastAsia="Times New Roman"/>
                <w:b/>
                <w:bCs/>
                <w:sz w:val="24"/>
                <w:szCs w:val="24"/>
              </w:rPr>
              <w:t>pH</w:t>
            </w:r>
          </w:p>
        </w:tc>
        <w:tc>
          <w:tcPr>
            <w:tcW w:w="1001" w:type="dxa"/>
            <w:shd w:val="clear" w:color="auto" w:fill="auto"/>
            <w:vAlign w:val="center"/>
            <w:hideMark/>
          </w:tcPr>
          <w:p w14:paraId="519B425D" w14:textId="77777777" w:rsidR="009758A5" w:rsidRPr="008E63BB" w:rsidRDefault="009758A5" w:rsidP="00C83DC4">
            <w:pPr>
              <w:ind w:left="-203" w:right="-198"/>
              <w:jc w:val="center"/>
              <w:rPr>
                <w:rFonts w:eastAsia="Times New Roman"/>
                <w:b/>
                <w:bCs/>
                <w:sz w:val="24"/>
                <w:szCs w:val="24"/>
                <w:vertAlign w:val="subscript"/>
              </w:rPr>
            </w:pPr>
            <w:r w:rsidRPr="008E63BB">
              <w:rPr>
                <w:rFonts w:eastAsia="Times New Roman"/>
                <w:b/>
                <w:bCs/>
                <w:sz w:val="24"/>
                <w:szCs w:val="24"/>
              </w:rPr>
              <w:t>KMnO</w:t>
            </w:r>
            <w:r w:rsidRPr="008E63BB">
              <w:rPr>
                <w:rFonts w:eastAsia="Times New Roman"/>
                <w:b/>
                <w:bCs/>
                <w:sz w:val="24"/>
                <w:szCs w:val="24"/>
                <w:vertAlign w:val="subscript"/>
              </w:rPr>
              <w:t xml:space="preserve">4 </w:t>
            </w:r>
            <w:r w:rsidRPr="008E63BB">
              <w:rPr>
                <w:rFonts w:eastAsia="Times New Roman"/>
                <w:sz w:val="24"/>
                <w:szCs w:val="24"/>
              </w:rPr>
              <w:t>(mg/l)</w:t>
            </w:r>
          </w:p>
        </w:tc>
        <w:tc>
          <w:tcPr>
            <w:tcW w:w="900" w:type="dxa"/>
            <w:shd w:val="clear" w:color="auto" w:fill="auto"/>
            <w:vAlign w:val="center"/>
            <w:hideMark/>
          </w:tcPr>
          <w:p w14:paraId="519B425E" w14:textId="77777777" w:rsidR="009758A5" w:rsidRPr="008E63BB" w:rsidRDefault="009758A5" w:rsidP="00C83DC4">
            <w:pPr>
              <w:ind w:left="-203" w:right="-198"/>
              <w:jc w:val="center"/>
              <w:rPr>
                <w:rFonts w:eastAsia="Times New Roman"/>
                <w:b/>
                <w:bCs/>
                <w:sz w:val="24"/>
                <w:szCs w:val="24"/>
              </w:rPr>
            </w:pPr>
            <w:r w:rsidRPr="008E63BB">
              <w:rPr>
                <w:rFonts w:eastAsia="Times New Roman"/>
                <w:b/>
                <w:bCs/>
                <w:sz w:val="24"/>
                <w:szCs w:val="24"/>
              </w:rPr>
              <w:t xml:space="preserve">Amoni </w:t>
            </w:r>
            <w:r w:rsidRPr="008E63BB">
              <w:rPr>
                <w:rFonts w:eastAsia="Times New Roman"/>
                <w:sz w:val="24"/>
                <w:szCs w:val="24"/>
              </w:rPr>
              <w:t>(mg/l)</w:t>
            </w:r>
          </w:p>
        </w:tc>
        <w:tc>
          <w:tcPr>
            <w:tcW w:w="900" w:type="dxa"/>
            <w:shd w:val="clear" w:color="auto" w:fill="auto"/>
            <w:vAlign w:val="center"/>
            <w:hideMark/>
          </w:tcPr>
          <w:p w14:paraId="519B425F" w14:textId="77777777" w:rsidR="009758A5" w:rsidRPr="008E63BB" w:rsidRDefault="009758A5" w:rsidP="00C83DC4">
            <w:pPr>
              <w:ind w:left="-203" w:right="-198"/>
              <w:jc w:val="center"/>
              <w:rPr>
                <w:rFonts w:eastAsia="Times New Roman"/>
                <w:b/>
                <w:bCs/>
                <w:sz w:val="24"/>
                <w:szCs w:val="24"/>
              </w:rPr>
            </w:pPr>
            <w:r w:rsidRPr="008E63BB">
              <w:rPr>
                <w:rFonts w:eastAsia="Times New Roman"/>
                <w:b/>
                <w:bCs/>
                <w:sz w:val="24"/>
                <w:szCs w:val="24"/>
              </w:rPr>
              <w:t xml:space="preserve">Clorua </w:t>
            </w:r>
            <w:r w:rsidRPr="008E63BB">
              <w:rPr>
                <w:rFonts w:eastAsia="Times New Roman"/>
                <w:sz w:val="24"/>
                <w:szCs w:val="24"/>
              </w:rPr>
              <w:t>(mg/l)</w:t>
            </w:r>
          </w:p>
        </w:tc>
        <w:tc>
          <w:tcPr>
            <w:tcW w:w="810" w:type="dxa"/>
            <w:shd w:val="clear" w:color="auto" w:fill="auto"/>
            <w:vAlign w:val="center"/>
            <w:hideMark/>
          </w:tcPr>
          <w:p w14:paraId="519B4260" w14:textId="77777777" w:rsidR="009758A5" w:rsidRPr="008E63BB" w:rsidRDefault="009758A5" w:rsidP="00C83DC4">
            <w:pPr>
              <w:ind w:left="-108" w:right="-118"/>
              <w:jc w:val="center"/>
              <w:rPr>
                <w:rFonts w:eastAsia="Times New Roman"/>
                <w:b/>
                <w:bCs/>
                <w:sz w:val="24"/>
                <w:szCs w:val="24"/>
              </w:rPr>
            </w:pPr>
            <w:r w:rsidRPr="008E63BB">
              <w:rPr>
                <w:rFonts w:eastAsia="Times New Roman"/>
                <w:b/>
                <w:bCs/>
                <w:sz w:val="24"/>
                <w:szCs w:val="24"/>
              </w:rPr>
              <w:t xml:space="preserve">Sắt </w:t>
            </w:r>
            <w:r w:rsidRPr="008E63BB">
              <w:rPr>
                <w:rFonts w:eastAsia="Times New Roman"/>
                <w:sz w:val="24"/>
                <w:szCs w:val="24"/>
              </w:rPr>
              <w:t>(mg/l)</w:t>
            </w:r>
          </w:p>
        </w:tc>
        <w:tc>
          <w:tcPr>
            <w:tcW w:w="900" w:type="dxa"/>
            <w:shd w:val="clear" w:color="auto" w:fill="auto"/>
            <w:vAlign w:val="center"/>
            <w:hideMark/>
          </w:tcPr>
          <w:p w14:paraId="519B4261" w14:textId="77777777" w:rsidR="009758A5" w:rsidRPr="008E63BB" w:rsidRDefault="009758A5" w:rsidP="00C83DC4">
            <w:pPr>
              <w:ind w:left="-203" w:right="-198"/>
              <w:jc w:val="center"/>
              <w:rPr>
                <w:rFonts w:eastAsia="Times New Roman"/>
                <w:b/>
                <w:bCs/>
                <w:sz w:val="24"/>
                <w:szCs w:val="24"/>
              </w:rPr>
            </w:pPr>
            <w:r w:rsidRPr="008E63BB">
              <w:rPr>
                <w:rFonts w:eastAsia="Times New Roman"/>
                <w:b/>
                <w:bCs/>
                <w:sz w:val="24"/>
                <w:szCs w:val="24"/>
              </w:rPr>
              <w:t xml:space="preserve">Sunfat </w:t>
            </w:r>
            <w:r w:rsidRPr="008E63BB">
              <w:rPr>
                <w:rFonts w:eastAsia="Times New Roman"/>
                <w:sz w:val="24"/>
                <w:szCs w:val="24"/>
              </w:rPr>
              <w:t>(mg/l)</w:t>
            </w:r>
          </w:p>
        </w:tc>
        <w:tc>
          <w:tcPr>
            <w:tcW w:w="1170" w:type="dxa"/>
            <w:shd w:val="clear" w:color="auto" w:fill="auto"/>
            <w:vAlign w:val="center"/>
            <w:hideMark/>
          </w:tcPr>
          <w:p w14:paraId="519B4262" w14:textId="77777777" w:rsidR="009758A5" w:rsidRPr="008E63BB" w:rsidRDefault="009758A5" w:rsidP="00C83DC4">
            <w:pPr>
              <w:ind w:left="-108" w:right="-108"/>
              <w:jc w:val="center"/>
              <w:rPr>
                <w:rFonts w:eastAsia="Times New Roman"/>
                <w:b/>
                <w:bCs/>
                <w:sz w:val="24"/>
                <w:szCs w:val="24"/>
              </w:rPr>
            </w:pPr>
            <w:r w:rsidRPr="008E63BB">
              <w:rPr>
                <w:rFonts w:eastAsia="Times New Roman"/>
                <w:b/>
                <w:bCs/>
                <w:sz w:val="24"/>
                <w:szCs w:val="24"/>
              </w:rPr>
              <w:t xml:space="preserve">Coli-form </w:t>
            </w:r>
            <w:r w:rsidRPr="008E63BB">
              <w:rPr>
                <w:rFonts w:eastAsia="Times New Roman"/>
                <w:sz w:val="24"/>
                <w:szCs w:val="24"/>
              </w:rPr>
              <w:t>(CFU/ 100ml)</w:t>
            </w:r>
          </w:p>
        </w:tc>
        <w:tc>
          <w:tcPr>
            <w:tcW w:w="810" w:type="dxa"/>
            <w:shd w:val="clear" w:color="auto" w:fill="auto"/>
            <w:vAlign w:val="center"/>
            <w:hideMark/>
          </w:tcPr>
          <w:p w14:paraId="519B4263" w14:textId="77777777" w:rsidR="009758A5" w:rsidRPr="008E63BB" w:rsidRDefault="009758A5" w:rsidP="00C83DC4">
            <w:pPr>
              <w:ind w:left="-108" w:right="-108"/>
              <w:jc w:val="center"/>
              <w:rPr>
                <w:rFonts w:eastAsia="Times New Roman"/>
                <w:b/>
                <w:bCs/>
                <w:sz w:val="24"/>
                <w:szCs w:val="24"/>
              </w:rPr>
            </w:pPr>
            <w:r w:rsidRPr="008E63BB">
              <w:rPr>
                <w:rFonts w:eastAsia="Times New Roman"/>
                <w:b/>
                <w:bCs/>
                <w:sz w:val="24"/>
                <w:szCs w:val="24"/>
              </w:rPr>
              <w:t xml:space="preserve">E.coli </w:t>
            </w:r>
            <w:r w:rsidRPr="008E63BB">
              <w:rPr>
                <w:rFonts w:eastAsia="Times New Roman"/>
                <w:sz w:val="24"/>
                <w:szCs w:val="24"/>
              </w:rPr>
              <w:t>(</w:t>
            </w:r>
            <w:r w:rsidRPr="008E63BB">
              <w:rPr>
                <w:rFonts w:eastAsia="Times New Roman"/>
                <w:sz w:val="22"/>
              </w:rPr>
              <w:t>MPN/ 100ml)</w:t>
            </w:r>
          </w:p>
        </w:tc>
      </w:tr>
      <w:tr w:rsidR="00077538" w:rsidRPr="008E63BB" w14:paraId="519B426F" w14:textId="77777777" w:rsidTr="00C83DC4">
        <w:trPr>
          <w:trHeight w:val="288"/>
        </w:trPr>
        <w:tc>
          <w:tcPr>
            <w:tcW w:w="715" w:type="dxa"/>
            <w:vMerge w:val="restart"/>
            <w:shd w:val="clear" w:color="auto" w:fill="auto"/>
            <w:vAlign w:val="center"/>
            <w:hideMark/>
          </w:tcPr>
          <w:p w14:paraId="519B4265" w14:textId="77777777" w:rsidR="009758A5" w:rsidRPr="008E63BB" w:rsidRDefault="009758A5" w:rsidP="00C83DC4">
            <w:pPr>
              <w:ind w:left="-203" w:right="-108"/>
              <w:jc w:val="center"/>
              <w:rPr>
                <w:rFonts w:eastAsia="Times New Roman"/>
                <w:b/>
                <w:sz w:val="24"/>
                <w:szCs w:val="24"/>
              </w:rPr>
            </w:pPr>
            <w:r w:rsidRPr="008E63BB">
              <w:rPr>
                <w:rFonts w:eastAsia="Times New Roman"/>
                <w:b/>
                <w:sz w:val="24"/>
                <w:szCs w:val="24"/>
              </w:rPr>
              <w:t>NN1</w:t>
            </w:r>
          </w:p>
        </w:tc>
        <w:tc>
          <w:tcPr>
            <w:tcW w:w="1260" w:type="dxa"/>
            <w:shd w:val="clear" w:color="auto" w:fill="auto"/>
            <w:noWrap/>
            <w:vAlign w:val="center"/>
            <w:hideMark/>
          </w:tcPr>
          <w:p w14:paraId="519B4266"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4/2017</w:t>
            </w:r>
          </w:p>
        </w:tc>
        <w:tc>
          <w:tcPr>
            <w:tcW w:w="799" w:type="dxa"/>
            <w:shd w:val="clear" w:color="auto" w:fill="auto"/>
            <w:noWrap/>
            <w:vAlign w:val="center"/>
            <w:hideMark/>
          </w:tcPr>
          <w:p w14:paraId="519B4267"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6,95</w:t>
            </w:r>
          </w:p>
        </w:tc>
        <w:tc>
          <w:tcPr>
            <w:tcW w:w="1001" w:type="dxa"/>
            <w:shd w:val="clear" w:color="auto" w:fill="auto"/>
            <w:noWrap/>
            <w:vAlign w:val="center"/>
            <w:hideMark/>
          </w:tcPr>
          <w:p w14:paraId="519B4268"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w:t>
            </w:r>
          </w:p>
        </w:tc>
        <w:tc>
          <w:tcPr>
            <w:tcW w:w="900" w:type="dxa"/>
            <w:shd w:val="clear" w:color="auto" w:fill="auto"/>
            <w:noWrap/>
            <w:vAlign w:val="center"/>
            <w:hideMark/>
          </w:tcPr>
          <w:p w14:paraId="519B4269"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0,65</w:t>
            </w:r>
          </w:p>
        </w:tc>
        <w:tc>
          <w:tcPr>
            <w:tcW w:w="900" w:type="dxa"/>
            <w:shd w:val="clear" w:color="auto" w:fill="auto"/>
            <w:noWrap/>
            <w:vAlign w:val="center"/>
            <w:hideMark/>
          </w:tcPr>
          <w:p w14:paraId="519B426A"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886</w:t>
            </w:r>
          </w:p>
        </w:tc>
        <w:tc>
          <w:tcPr>
            <w:tcW w:w="810" w:type="dxa"/>
            <w:shd w:val="clear" w:color="auto" w:fill="auto"/>
            <w:noWrap/>
            <w:vAlign w:val="center"/>
            <w:hideMark/>
          </w:tcPr>
          <w:p w14:paraId="519B426B"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5,7</w:t>
            </w:r>
          </w:p>
        </w:tc>
        <w:tc>
          <w:tcPr>
            <w:tcW w:w="900" w:type="dxa"/>
            <w:shd w:val="clear" w:color="auto" w:fill="auto"/>
            <w:noWrap/>
            <w:vAlign w:val="center"/>
            <w:hideMark/>
          </w:tcPr>
          <w:p w14:paraId="519B426C"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138</w:t>
            </w:r>
          </w:p>
        </w:tc>
        <w:tc>
          <w:tcPr>
            <w:tcW w:w="1170" w:type="dxa"/>
            <w:shd w:val="clear" w:color="auto" w:fill="auto"/>
            <w:noWrap/>
            <w:vAlign w:val="center"/>
            <w:hideMark/>
          </w:tcPr>
          <w:p w14:paraId="519B426D"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c>
          <w:tcPr>
            <w:tcW w:w="810" w:type="dxa"/>
            <w:shd w:val="clear" w:color="auto" w:fill="auto"/>
            <w:noWrap/>
            <w:vAlign w:val="center"/>
            <w:hideMark/>
          </w:tcPr>
          <w:p w14:paraId="519B426E"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2</w:t>
            </w:r>
          </w:p>
        </w:tc>
      </w:tr>
      <w:tr w:rsidR="00077538" w:rsidRPr="008E63BB" w14:paraId="519B427A" w14:textId="77777777" w:rsidTr="00C83DC4">
        <w:trPr>
          <w:trHeight w:val="288"/>
        </w:trPr>
        <w:tc>
          <w:tcPr>
            <w:tcW w:w="715" w:type="dxa"/>
            <w:vMerge/>
            <w:shd w:val="clear" w:color="auto" w:fill="auto"/>
            <w:vAlign w:val="center"/>
            <w:hideMark/>
          </w:tcPr>
          <w:p w14:paraId="519B4270"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71"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6/2017</w:t>
            </w:r>
          </w:p>
        </w:tc>
        <w:tc>
          <w:tcPr>
            <w:tcW w:w="799" w:type="dxa"/>
            <w:shd w:val="clear" w:color="auto" w:fill="auto"/>
            <w:noWrap/>
            <w:vAlign w:val="center"/>
            <w:hideMark/>
          </w:tcPr>
          <w:p w14:paraId="519B4272"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w:t>
            </w:r>
          </w:p>
        </w:tc>
        <w:tc>
          <w:tcPr>
            <w:tcW w:w="1001" w:type="dxa"/>
            <w:shd w:val="clear" w:color="auto" w:fill="auto"/>
            <w:noWrap/>
            <w:vAlign w:val="center"/>
            <w:hideMark/>
          </w:tcPr>
          <w:p w14:paraId="519B4273"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7,5</w:t>
            </w:r>
          </w:p>
        </w:tc>
        <w:tc>
          <w:tcPr>
            <w:tcW w:w="900" w:type="dxa"/>
            <w:shd w:val="clear" w:color="auto" w:fill="auto"/>
            <w:noWrap/>
            <w:vAlign w:val="center"/>
            <w:hideMark/>
          </w:tcPr>
          <w:p w14:paraId="519B4274"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w:t>
            </w:r>
          </w:p>
        </w:tc>
        <w:tc>
          <w:tcPr>
            <w:tcW w:w="900" w:type="dxa"/>
            <w:shd w:val="clear" w:color="auto" w:fill="auto"/>
            <w:noWrap/>
            <w:vAlign w:val="center"/>
            <w:hideMark/>
          </w:tcPr>
          <w:p w14:paraId="519B4275"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880</w:t>
            </w:r>
          </w:p>
        </w:tc>
        <w:tc>
          <w:tcPr>
            <w:tcW w:w="810" w:type="dxa"/>
            <w:shd w:val="clear" w:color="auto" w:fill="auto"/>
            <w:noWrap/>
            <w:vAlign w:val="center"/>
            <w:hideMark/>
          </w:tcPr>
          <w:p w14:paraId="519B4276"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5,2</w:t>
            </w:r>
          </w:p>
        </w:tc>
        <w:tc>
          <w:tcPr>
            <w:tcW w:w="900" w:type="dxa"/>
            <w:shd w:val="clear" w:color="auto" w:fill="auto"/>
            <w:noWrap/>
            <w:vAlign w:val="center"/>
            <w:hideMark/>
          </w:tcPr>
          <w:p w14:paraId="519B4277"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143</w:t>
            </w:r>
          </w:p>
        </w:tc>
        <w:tc>
          <w:tcPr>
            <w:tcW w:w="1170" w:type="dxa"/>
            <w:shd w:val="clear" w:color="auto" w:fill="auto"/>
            <w:noWrap/>
            <w:vAlign w:val="center"/>
            <w:hideMark/>
          </w:tcPr>
          <w:p w14:paraId="519B4278"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6</w:t>
            </w:r>
          </w:p>
        </w:tc>
        <w:tc>
          <w:tcPr>
            <w:tcW w:w="810" w:type="dxa"/>
            <w:shd w:val="clear" w:color="auto" w:fill="auto"/>
            <w:noWrap/>
            <w:vAlign w:val="center"/>
            <w:hideMark/>
          </w:tcPr>
          <w:p w14:paraId="519B4279"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3</w:t>
            </w:r>
          </w:p>
        </w:tc>
      </w:tr>
      <w:tr w:rsidR="00077538" w:rsidRPr="008E63BB" w14:paraId="519B4285" w14:textId="77777777" w:rsidTr="00C83DC4">
        <w:trPr>
          <w:trHeight w:val="288"/>
        </w:trPr>
        <w:tc>
          <w:tcPr>
            <w:tcW w:w="715" w:type="dxa"/>
            <w:vMerge/>
            <w:shd w:val="clear" w:color="auto" w:fill="auto"/>
            <w:vAlign w:val="center"/>
            <w:hideMark/>
          </w:tcPr>
          <w:p w14:paraId="519B427B"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7C"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9/2017</w:t>
            </w:r>
          </w:p>
        </w:tc>
        <w:tc>
          <w:tcPr>
            <w:tcW w:w="799" w:type="dxa"/>
            <w:shd w:val="clear" w:color="auto" w:fill="auto"/>
            <w:noWrap/>
            <w:vAlign w:val="center"/>
            <w:hideMark/>
          </w:tcPr>
          <w:p w14:paraId="519B427D"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6,8</w:t>
            </w:r>
          </w:p>
        </w:tc>
        <w:tc>
          <w:tcPr>
            <w:tcW w:w="1001" w:type="dxa"/>
            <w:shd w:val="clear" w:color="auto" w:fill="auto"/>
            <w:noWrap/>
            <w:vAlign w:val="center"/>
            <w:hideMark/>
          </w:tcPr>
          <w:p w14:paraId="519B427E"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9,7</w:t>
            </w:r>
          </w:p>
        </w:tc>
        <w:tc>
          <w:tcPr>
            <w:tcW w:w="900" w:type="dxa"/>
            <w:shd w:val="clear" w:color="auto" w:fill="auto"/>
            <w:noWrap/>
            <w:vAlign w:val="center"/>
            <w:hideMark/>
          </w:tcPr>
          <w:p w14:paraId="519B427F"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1,62</w:t>
            </w:r>
          </w:p>
        </w:tc>
        <w:tc>
          <w:tcPr>
            <w:tcW w:w="900" w:type="dxa"/>
            <w:shd w:val="clear" w:color="auto" w:fill="auto"/>
            <w:noWrap/>
            <w:vAlign w:val="center"/>
            <w:hideMark/>
          </w:tcPr>
          <w:p w14:paraId="519B4280"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900</w:t>
            </w:r>
          </w:p>
        </w:tc>
        <w:tc>
          <w:tcPr>
            <w:tcW w:w="810" w:type="dxa"/>
            <w:shd w:val="clear" w:color="auto" w:fill="auto"/>
            <w:noWrap/>
            <w:vAlign w:val="center"/>
            <w:hideMark/>
          </w:tcPr>
          <w:p w14:paraId="519B4281"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7,3</w:t>
            </w:r>
          </w:p>
        </w:tc>
        <w:tc>
          <w:tcPr>
            <w:tcW w:w="900" w:type="dxa"/>
            <w:shd w:val="clear" w:color="auto" w:fill="auto"/>
            <w:noWrap/>
            <w:vAlign w:val="center"/>
            <w:hideMark/>
          </w:tcPr>
          <w:p w14:paraId="519B4282"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180</w:t>
            </w:r>
          </w:p>
        </w:tc>
        <w:tc>
          <w:tcPr>
            <w:tcW w:w="1170" w:type="dxa"/>
            <w:shd w:val="clear" w:color="auto" w:fill="auto"/>
            <w:noWrap/>
            <w:vAlign w:val="center"/>
            <w:hideMark/>
          </w:tcPr>
          <w:p w14:paraId="519B4283"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8</w:t>
            </w:r>
          </w:p>
        </w:tc>
        <w:tc>
          <w:tcPr>
            <w:tcW w:w="810" w:type="dxa"/>
            <w:shd w:val="clear" w:color="auto" w:fill="auto"/>
            <w:noWrap/>
            <w:vAlign w:val="center"/>
            <w:hideMark/>
          </w:tcPr>
          <w:p w14:paraId="519B4284"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3</w:t>
            </w:r>
          </w:p>
        </w:tc>
      </w:tr>
      <w:tr w:rsidR="00077538" w:rsidRPr="008E63BB" w14:paraId="519B4290" w14:textId="77777777" w:rsidTr="00C83DC4">
        <w:trPr>
          <w:trHeight w:val="300"/>
        </w:trPr>
        <w:tc>
          <w:tcPr>
            <w:tcW w:w="715" w:type="dxa"/>
            <w:vMerge/>
            <w:shd w:val="clear" w:color="auto" w:fill="auto"/>
            <w:vAlign w:val="center"/>
            <w:hideMark/>
          </w:tcPr>
          <w:p w14:paraId="519B4286"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87"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11/2017</w:t>
            </w:r>
          </w:p>
        </w:tc>
        <w:tc>
          <w:tcPr>
            <w:tcW w:w="799" w:type="dxa"/>
            <w:shd w:val="clear" w:color="auto" w:fill="auto"/>
            <w:noWrap/>
            <w:vAlign w:val="center"/>
            <w:hideMark/>
          </w:tcPr>
          <w:p w14:paraId="519B4288"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6,84</w:t>
            </w:r>
          </w:p>
        </w:tc>
        <w:tc>
          <w:tcPr>
            <w:tcW w:w="1001" w:type="dxa"/>
            <w:shd w:val="clear" w:color="auto" w:fill="auto"/>
            <w:noWrap/>
            <w:vAlign w:val="center"/>
            <w:hideMark/>
          </w:tcPr>
          <w:p w14:paraId="519B4289"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7,5</w:t>
            </w:r>
          </w:p>
        </w:tc>
        <w:tc>
          <w:tcPr>
            <w:tcW w:w="900" w:type="dxa"/>
            <w:shd w:val="clear" w:color="auto" w:fill="auto"/>
            <w:noWrap/>
            <w:vAlign w:val="center"/>
            <w:hideMark/>
          </w:tcPr>
          <w:p w14:paraId="519B428A"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1,2</w:t>
            </w:r>
          </w:p>
        </w:tc>
        <w:tc>
          <w:tcPr>
            <w:tcW w:w="900" w:type="dxa"/>
            <w:shd w:val="clear" w:color="auto" w:fill="auto"/>
            <w:noWrap/>
            <w:vAlign w:val="center"/>
            <w:hideMark/>
          </w:tcPr>
          <w:p w14:paraId="519B428B"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650</w:t>
            </w:r>
          </w:p>
        </w:tc>
        <w:tc>
          <w:tcPr>
            <w:tcW w:w="810" w:type="dxa"/>
            <w:shd w:val="clear" w:color="auto" w:fill="auto"/>
            <w:noWrap/>
            <w:vAlign w:val="center"/>
            <w:hideMark/>
          </w:tcPr>
          <w:p w14:paraId="519B428C"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w:t>
            </w:r>
          </w:p>
        </w:tc>
        <w:tc>
          <w:tcPr>
            <w:tcW w:w="900" w:type="dxa"/>
            <w:shd w:val="clear" w:color="auto" w:fill="auto"/>
            <w:noWrap/>
            <w:vAlign w:val="center"/>
            <w:hideMark/>
          </w:tcPr>
          <w:p w14:paraId="519B428D"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162</w:t>
            </w:r>
          </w:p>
        </w:tc>
        <w:tc>
          <w:tcPr>
            <w:tcW w:w="1170" w:type="dxa"/>
            <w:shd w:val="clear" w:color="auto" w:fill="auto"/>
            <w:noWrap/>
            <w:vAlign w:val="center"/>
            <w:hideMark/>
          </w:tcPr>
          <w:p w14:paraId="519B428E"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c>
          <w:tcPr>
            <w:tcW w:w="810" w:type="dxa"/>
            <w:shd w:val="clear" w:color="auto" w:fill="auto"/>
            <w:noWrap/>
            <w:vAlign w:val="center"/>
            <w:hideMark/>
          </w:tcPr>
          <w:p w14:paraId="519B428F"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2</w:t>
            </w:r>
          </w:p>
        </w:tc>
      </w:tr>
      <w:tr w:rsidR="00077538" w:rsidRPr="008E63BB" w14:paraId="519B429B" w14:textId="77777777" w:rsidTr="00C83DC4">
        <w:trPr>
          <w:trHeight w:val="324"/>
        </w:trPr>
        <w:tc>
          <w:tcPr>
            <w:tcW w:w="715" w:type="dxa"/>
            <w:vMerge/>
            <w:shd w:val="clear" w:color="auto" w:fill="auto"/>
            <w:vAlign w:val="center"/>
            <w:hideMark/>
          </w:tcPr>
          <w:p w14:paraId="519B4291"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92"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03/2018</w:t>
            </w:r>
          </w:p>
        </w:tc>
        <w:tc>
          <w:tcPr>
            <w:tcW w:w="799" w:type="dxa"/>
            <w:shd w:val="clear" w:color="auto" w:fill="auto"/>
            <w:vAlign w:val="center"/>
            <w:hideMark/>
          </w:tcPr>
          <w:p w14:paraId="519B4293"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w:t>
            </w:r>
          </w:p>
        </w:tc>
        <w:tc>
          <w:tcPr>
            <w:tcW w:w="1001" w:type="dxa"/>
            <w:shd w:val="clear" w:color="auto" w:fill="auto"/>
            <w:vAlign w:val="center"/>
            <w:hideMark/>
          </w:tcPr>
          <w:p w14:paraId="519B4294"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8,3</w:t>
            </w:r>
          </w:p>
        </w:tc>
        <w:tc>
          <w:tcPr>
            <w:tcW w:w="900" w:type="dxa"/>
            <w:shd w:val="clear" w:color="auto" w:fill="auto"/>
            <w:vAlign w:val="center"/>
            <w:hideMark/>
          </w:tcPr>
          <w:p w14:paraId="519B4295"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0,76</w:t>
            </w:r>
          </w:p>
        </w:tc>
        <w:tc>
          <w:tcPr>
            <w:tcW w:w="900" w:type="dxa"/>
            <w:shd w:val="clear" w:color="auto" w:fill="auto"/>
            <w:vAlign w:val="center"/>
            <w:hideMark/>
          </w:tcPr>
          <w:p w14:paraId="519B4296"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868</w:t>
            </w:r>
          </w:p>
        </w:tc>
        <w:tc>
          <w:tcPr>
            <w:tcW w:w="810" w:type="dxa"/>
            <w:shd w:val="clear" w:color="auto" w:fill="auto"/>
            <w:vAlign w:val="center"/>
            <w:hideMark/>
          </w:tcPr>
          <w:p w14:paraId="519B4297"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5,8</w:t>
            </w:r>
          </w:p>
        </w:tc>
        <w:tc>
          <w:tcPr>
            <w:tcW w:w="900" w:type="dxa"/>
            <w:shd w:val="clear" w:color="auto" w:fill="auto"/>
            <w:vAlign w:val="center"/>
            <w:hideMark/>
          </w:tcPr>
          <w:p w14:paraId="519B4298"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185</w:t>
            </w:r>
          </w:p>
        </w:tc>
        <w:tc>
          <w:tcPr>
            <w:tcW w:w="1170" w:type="dxa"/>
            <w:shd w:val="clear" w:color="auto" w:fill="auto"/>
            <w:vAlign w:val="center"/>
            <w:hideMark/>
          </w:tcPr>
          <w:p w14:paraId="519B4299"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8</w:t>
            </w:r>
          </w:p>
        </w:tc>
        <w:tc>
          <w:tcPr>
            <w:tcW w:w="810" w:type="dxa"/>
            <w:shd w:val="clear" w:color="auto" w:fill="auto"/>
            <w:vAlign w:val="center"/>
            <w:hideMark/>
          </w:tcPr>
          <w:p w14:paraId="519B429A"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3</w:t>
            </w:r>
          </w:p>
        </w:tc>
      </w:tr>
      <w:tr w:rsidR="00077538" w:rsidRPr="008E63BB" w14:paraId="519B42A6" w14:textId="77777777" w:rsidTr="00C83DC4">
        <w:trPr>
          <w:trHeight w:val="324"/>
        </w:trPr>
        <w:tc>
          <w:tcPr>
            <w:tcW w:w="715" w:type="dxa"/>
            <w:vMerge/>
            <w:shd w:val="clear" w:color="auto" w:fill="auto"/>
            <w:vAlign w:val="center"/>
            <w:hideMark/>
          </w:tcPr>
          <w:p w14:paraId="519B429C"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9D"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06/2018</w:t>
            </w:r>
          </w:p>
        </w:tc>
        <w:tc>
          <w:tcPr>
            <w:tcW w:w="799" w:type="dxa"/>
            <w:shd w:val="clear" w:color="auto" w:fill="auto"/>
            <w:vAlign w:val="center"/>
            <w:hideMark/>
          </w:tcPr>
          <w:p w14:paraId="519B429E"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7,05</w:t>
            </w:r>
          </w:p>
        </w:tc>
        <w:tc>
          <w:tcPr>
            <w:tcW w:w="1001" w:type="dxa"/>
            <w:shd w:val="clear" w:color="auto" w:fill="auto"/>
            <w:vAlign w:val="center"/>
            <w:hideMark/>
          </w:tcPr>
          <w:p w14:paraId="519B429F"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6,6</w:t>
            </w:r>
          </w:p>
        </w:tc>
        <w:tc>
          <w:tcPr>
            <w:tcW w:w="900" w:type="dxa"/>
            <w:shd w:val="clear" w:color="auto" w:fill="auto"/>
            <w:vAlign w:val="center"/>
            <w:hideMark/>
          </w:tcPr>
          <w:p w14:paraId="519B42A0"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0,5</w:t>
            </w:r>
          </w:p>
        </w:tc>
        <w:tc>
          <w:tcPr>
            <w:tcW w:w="900" w:type="dxa"/>
            <w:shd w:val="clear" w:color="auto" w:fill="auto"/>
            <w:vAlign w:val="center"/>
            <w:hideMark/>
          </w:tcPr>
          <w:p w14:paraId="519B42A1"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720</w:t>
            </w:r>
          </w:p>
        </w:tc>
        <w:tc>
          <w:tcPr>
            <w:tcW w:w="810" w:type="dxa"/>
            <w:shd w:val="clear" w:color="auto" w:fill="auto"/>
            <w:vAlign w:val="center"/>
            <w:hideMark/>
          </w:tcPr>
          <w:p w14:paraId="519B42A2"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4,5</w:t>
            </w:r>
          </w:p>
        </w:tc>
        <w:tc>
          <w:tcPr>
            <w:tcW w:w="900" w:type="dxa"/>
            <w:shd w:val="clear" w:color="auto" w:fill="auto"/>
            <w:vAlign w:val="center"/>
            <w:hideMark/>
          </w:tcPr>
          <w:p w14:paraId="519B42A3"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174</w:t>
            </w:r>
          </w:p>
        </w:tc>
        <w:tc>
          <w:tcPr>
            <w:tcW w:w="1170" w:type="dxa"/>
            <w:shd w:val="clear" w:color="auto" w:fill="auto"/>
            <w:vAlign w:val="center"/>
            <w:hideMark/>
          </w:tcPr>
          <w:p w14:paraId="519B42A4"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c>
          <w:tcPr>
            <w:tcW w:w="810" w:type="dxa"/>
            <w:shd w:val="clear" w:color="auto" w:fill="auto"/>
            <w:vAlign w:val="center"/>
            <w:hideMark/>
          </w:tcPr>
          <w:p w14:paraId="519B42A5"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2</w:t>
            </w:r>
          </w:p>
        </w:tc>
      </w:tr>
      <w:tr w:rsidR="00077538" w:rsidRPr="008E63BB" w14:paraId="519B42B1" w14:textId="77777777" w:rsidTr="00C83DC4">
        <w:trPr>
          <w:trHeight w:val="324"/>
        </w:trPr>
        <w:tc>
          <w:tcPr>
            <w:tcW w:w="715" w:type="dxa"/>
            <w:vMerge/>
            <w:shd w:val="clear" w:color="auto" w:fill="auto"/>
            <w:vAlign w:val="center"/>
            <w:hideMark/>
          </w:tcPr>
          <w:p w14:paraId="519B42A7"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A8" w14:textId="77777777" w:rsidR="009758A5" w:rsidRPr="008E63BB" w:rsidRDefault="009758A5" w:rsidP="00C83DC4">
            <w:pPr>
              <w:ind w:left="-18" w:right="-108"/>
              <w:jc w:val="center"/>
              <w:rPr>
                <w:rFonts w:eastAsia="Times New Roman"/>
                <w:sz w:val="24"/>
                <w:szCs w:val="24"/>
              </w:rPr>
            </w:pPr>
            <w:r w:rsidRPr="008E63BB">
              <w:rPr>
                <w:rFonts w:eastAsia="Times New Roman"/>
                <w:sz w:val="24"/>
                <w:szCs w:val="24"/>
              </w:rPr>
              <w:t>08/2018</w:t>
            </w:r>
          </w:p>
        </w:tc>
        <w:tc>
          <w:tcPr>
            <w:tcW w:w="799" w:type="dxa"/>
            <w:shd w:val="clear" w:color="auto" w:fill="auto"/>
            <w:vAlign w:val="center"/>
            <w:hideMark/>
          </w:tcPr>
          <w:p w14:paraId="519B42A9"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7,03</w:t>
            </w:r>
          </w:p>
        </w:tc>
        <w:tc>
          <w:tcPr>
            <w:tcW w:w="1001" w:type="dxa"/>
            <w:shd w:val="clear" w:color="auto" w:fill="auto"/>
            <w:vAlign w:val="center"/>
            <w:hideMark/>
          </w:tcPr>
          <w:p w14:paraId="519B42AA"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4,5</w:t>
            </w:r>
          </w:p>
        </w:tc>
        <w:tc>
          <w:tcPr>
            <w:tcW w:w="900" w:type="dxa"/>
            <w:shd w:val="clear" w:color="auto" w:fill="auto"/>
            <w:vAlign w:val="center"/>
            <w:hideMark/>
          </w:tcPr>
          <w:p w14:paraId="519B42AB"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0,38</w:t>
            </w:r>
          </w:p>
        </w:tc>
        <w:tc>
          <w:tcPr>
            <w:tcW w:w="900" w:type="dxa"/>
            <w:shd w:val="clear" w:color="auto" w:fill="auto"/>
            <w:vAlign w:val="center"/>
            <w:hideMark/>
          </w:tcPr>
          <w:p w14:paraId="519B42AC"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510</w:t>
            </w:r>
          </w:p>
        </w:tc>
        <w:tc>
          <w:tcPr>
            <w:tcW w:w="810" w:type="dxa"/>
            <w:shd w:val="clear" w:color="auto" w:fill="auto"/>
            <w:vAlign w:val="center"/>
            <w:hideMark/>
          </w:tcPr>
          <w:p w14:paraId="519B42AD"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3,2</w:t>
            </w:r>
          </w:p>
        </w:tc>
        <w:tc>
          <w:tcPr>
            <w:tcW w:w="900" w:type="dxa"/>
            <w:shd w:val="clear" w:color="auto" w:fill="auto"/>
            <w:vAlign w:val="center"/>
            <w:hideMark/>
          </w:tcPr>
          <w:p w14:paraId="519B42AE"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144</w:t>
            </w:r>
          </w:p>
        </w:tc>
        <w:tc>
          <w:tcPr>
            <w:tcW w:w="1170" w:type="dxa"/>
            <w:shd w:val="clear" w:color="auto" w:fill="auto"/>
            <w:vAlign w:val="center"/>
            <w:hideMark/>
          </w:tcPr>
          <w:p w14:paraId="519B42AF" w14:textId="77777777" w:rsidR="009758A5" w:rsidRPr="008E63BB" w:rsidRDefault="009758A5" w:rsidP="00C83DC4">
            <w:pPr>
              <w:jc w:val="center"/>
              <w:rPr>
                <w:rFonts w:eastAsia="Times New Roman"/>
                <w:sz w:val="24"/>
                <w:szCs w:val="24"/>
              </w:rPr>
            </w:pPr>
            <w:r w:rsidRPr="008E63BB">
              <w:rPr>
                <w:rFonts w:eastAsia="Times New Roman"/>
                <w:sz w:val="24"/>
                <w:szCs w:val="24"/>
              </w:rPr>
              <w:t>3</w:t>
            </w:r>
          </w:p>
        </w:tc>
        <w:tc>
          <w:tcPr>
            <w:tcW w:w="810" w:type="dxa"/>
            <w:shd w:val="clear" w:color="auto" w:fill="auto"/>
            <w:vAlign w:val="center"/>
            <w:hideMark/>
          </w:tcPr>
          <w:p w14:paraId="519B42B0"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1</w:t>
            </w:r>
          </w:p>
        </w:tc>
      </w:tr>
      <w:tr w:rsidR="00077538" w:rsidRPr="008E63BB" w14:paraId="519B42BC" w14:textId="77777777" w:rsidTr="00C83DC4">
        <w:trPr>
          <w:trHeight w:val="324"/>
        </w:trPr>
        <w:tc>
          <w:tcPr>
            <w:tcW w:w="715" w:type="dxa"/>
            <w:vMerge/>
            <w:shd w:val="clear" w:color="auto" w:fill="auto"/>
            <w:vAlign w:val="center"/>
            <w:hideMark/>
          </w:tcPr>
          <w:p w14:paraId="519B42B2"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B3"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11/2018</w:t>
            </w:r>
          </w:p>
        </w:tc>
        <w:tc>
          <w:tcPr>
            <w:tcW w:w="799" w:type="dxa"/>
            <w:shd w:val="clear" w:color="auto" w:fill="auto"/>
            <w:vAlign w:val="center"/>
            <w:hideMark/>
          </w:tcPr>
          <w:p w14:paraId="519B42B4"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7,05</w:t>
            </w:r>
          </w:p>
        </w:tc>
        <w:tc>
          <w:tcPr>
            <w:tcW w:w="1001" w:type="dxa"/>
            <w:shd w:val="clear" w:color="auto" w:fill="auto"/>
            <w:vAlign w:val="center"/>
            <w:hideMark/>
          </w:tcPr>
          <w:p w14:paraId="519B42B5"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w:t>
            </w:r>
          </w:p>
        </w:tc>
        <w:tc>
          <w:tcPr>
            <w:tcW w:w="900" w:type="dxa"/>
            <w:shd w:val="clear" w:color="auto" w:fill="auto"/>
            <w:vAlign w:val="center"/>
            <w:hideMark/>
          </w:tcPr>
          <w:p w14:paraId="519B42B6"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0,56</w:t>
            </w:r>
          </w:p>
        </w:tc>
        <w:tc>
          <w:tcPr>
            <w:tcW w:w="900" w:type="dxa"/>
            <w:shd w:val="clear" w:color="auto" w:fill="auto"/>
            <w:vAlign w:val="center"/>
            <w:hideMark/>
          </w:tcPr>
          <w:p w14:paraId="519B42B7"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603</w:t>
            </w:r>
          </w:p>
        </w:tc>
        <w:tc>
          <w:tcPr>
            <w:tcW w:w="810" w:type="dxa"/>
            <w:shd w:val="clear" w:color="auto" w:fill="auto"/>
            <w:vAlign w:val="center"/>
            <w:hideMark/>
          </w:tcPr>
          <w:p w14:paraId="519B42B8"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4,5</w:t>
            </w:r>
          </w:p>
        </w:tc>
        <w:tc>
          <w:tcPr>
            <w:tcW w:w="900" w:type="dxa"/>
            <w:shd w:val="clear" w:color="auto" w:fill="auto"/>
            <w:vAlign w:val="center"/>
            <w:hideMark/>
          </w:tcPr>
          <w:p w14:paraId="519B42B9"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168</w:t>
            </w:r>
          </w:p>
        </w:tc>
        <w:tc>
          <w:tcPr>
            <w:tcW w:w="1170" w:type="dxa"/>
            <w:shd w:val="clear" w:color="auto" w:fill="auto"/>
            <w:vAlign w:val="center"/>
            <w:hideMark/>
          </w:tcPr>
          <w:p w14:paraId="519B42BA"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9</w:t>
            </w:r>
          </w:p>
        </w:tc>
        <w:tc>
          <w:tcPr>
            <w:tcW w:w="810" w:type="dxa"/>
            <w:shd w:val="clear" w:color="auto" w:fill="auto"/>
            <w:vAlign w:val="center"/>
            <w:hideMark/>
          </w:tcPr>
          <w:p w14:paraId="519B42BB"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r>
      <w:tr w:rsidR="00077538" w:rsidRPr="008E63BB" w14:paraId="519B42C7" w14:textId="77777777" w:rsidTr="00C83DC4">
        <w:trPr>
          <w:trHeight w:val="636"/>
        </w:trPr>
        <w:tc>
          <w:tcPr>
            <w:tcW w:w="715" w:type="dxa"/>
            <w:vMerge/>
            <w:shd w:val="clear" w:color="auto" w:fill="auto"/>
            <w:vAlign w:val="center"/>
            <w:hideMark/>
          </w:tcPr>
          <w:p w14:paraId="519B42BD"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vAlign w:val="center"/>
            <w:hideMark/>
          </w:tcPr>
          <w:p w14:paraId="519B42BE" w14:textId="77777777" w:rsidR="009758A5" w:rsidRPr="008E63BB" w:rsidRDefault="009758A5" w:rsidP="00C83DC4">
            <w:pPr>
              <w:ind w:left="-18" w:right="-83"/>
              <w:jc w:val="center"/>
              <w:rPr>
                <w:rFonts w:eastAsia="Times New Roman"/>
                <w:bCs/>
                <w:sz w:val="24"/>
                <w:szCs w:val="24"/>
              </w:rPr>
            </w:pPr>
            <w:r w:rsidRPr="008E63BB">
              <w:rPr>
                <w:rFonts w:eastAsia="Times New Roman"/>
                <w:bCs/>
                <w:sz w:val="24"/>
                <w:szCs w:val="24"/>
              </w:rPr>
              <w:t>03/2019</w:t>
            </w:r>
          </w:p>
        </w:tc>
        <w:tc>
          <w:tcPr>
            <w:tcW w:w="799" w:type="dxa"/>
            <w:shd w:val="clear" w:color="auto" w:fill="auto"/>
            <w:vAlign w:val="center"/>
            <w:hideMark/>
          </w:tcPr>
          <w:p w14:paraId="519B42BF"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7,02</w:t>
            </w:r>
          </w:p>
        </w:tc>
        <w:tc>
          <w:tcPr>
            <w:tcW w:w="1001" w:type="dxa"/>
            <w:shd w:val="clear" w:color="auto" w:fill="auto"/>
            <w:vAlign w:val="center"/>
            <w:hideMark/>
          </w:tcPr>
          <w:p w14:paraId="519B42C0"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10,5</w:t>
            </w:r>
          </w:p>
        </w:tc>
        <w:tc>
          <w:tcPr>
            <w:tcW w:w="900" w:type="dxa"/>
            <w:shd w:val="clear" w:color="auto" w:fill="auto"/>
            <w:vAlign w:val="center"/>
            <w:hideMark/>
          </w:tcPr>
          <w:p w14:paraId="519B42C1"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0,76</w:t>
            </w:r>
          </w:p>
        </w:tc>
        <w:tc>
          <w:tcPr>
            <w:tcW w:w="900" w:type="dxa"/>
            <w:shd w:val="clear" w:color="auto" w:fill="auto"/>
            <w:vAlign w:val="center"/>
            <w:hideMark/>
          </w:tcPr>
          <w:p w14:paraId="519B42C2"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691</w:t>
            </w:r>
          </w:p>
        </w:tc>
        <w:tc>
          <w:tcPr>
            <w:tcW w:w="810" w:type="dxa"/>
            <w:shd w:val="clear" w:color="auto" w:fill="auto"/>
            <w:vAlign w:val="center"/>
            <w:hideMark/>
          </w:tcPr>
          <w:p w14:paraId="519B42C3"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7,3</w:t>
            </w:r>
          </w:p>
        </w:tc>
        <w:tc>
          <w:tcPr>
            <w:tcW w:w="900" w:type="dxa"/>
            <w:shd w:val="clear" w:color="auto" w:fill="auto"/>
            <w:vAlign w:val="center"/>
            <w:hideMark/>
          </w:tcPr>
          <w:p w14:paraId="519B42C4"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182</w:t>
            </w:r>
          </w:p>
        </w:tc>
        <w:tc>
          <w:tcPr>
            <w:tcW w:w="1170" w:type="dxa"/>
            <w:shd w:val="clear" w:color="auto" w:fill="auto"/>
            <w:vAlign w:val="center"/>
            <w:hideMark/>
          </w:tcPr>
          <w:p w14:paraId="519B42C5"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12</w:t>
            </w:r>
          </w:p>
        </w:tc>
        <w:tc>
          <w:tcPr>
            <w:tcW w:w="810" w:type="dxa"/>
            <w:shd w:val="clear" w:color="auto" w:fill="auto"/>
            <w:vAlign w:val="center"/>
            <w:hideMark/>
          </w:tcPr>
          <w:p w14:paraId="519B42C6"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r>
      <w:tr w:rsidR="00077538" w:rsidRPr="008E63BB" w14:paraId="519B42D2" w14:textId="77777777" w:rsidTr="00C83DC4">
        <w:trPr>
          <w:trHeight w:val="288"/>
        </w:trPr>
        <w:tc>
          <w:tcPr>
            <w:tcW w:w="715" w:type="dxa"/>
            <w:vMerge w:val="restart"/>
            <w:shd w:val="clear" w:color="auto" w:fill="auto"/>
            <w:vAlign w:val="center"/>
            <w:hideMark/>
          </w:tcPr>
          <w:p w14:paraId="519B42C8" w14:textId="77777777" w:rsidR="009758A5" w:rsidRPr="008E63BB" w:rsidRDefault="009758A5" w:rsidP="00C83DC4">
            <w:pPr>
              <w:ind w:left="-113" w:right="-108"/>
              <w:jc w:val="center"/>
              <w:rPr>
                <w:rFonts w:eastAsia="Times New Roman"/>
                <w:b/>
                <w:sz w:val="24"/>
                <w:szCs w:val="24"/>
              </w:rPr>
            </w:pPr>
            <w:r w:rsidRPr="008E63BB">
              <w:rPr>
                <w:rFonts w:eastAsia="Times New Roman"/>
                <w:b/>
                <w:sz w:val="24"/>
                <w:szCs w:val="24"/>
              </w:rPr>
              <w:t>NN2</w:t>
            </w:r>
          </w:p>
        </w:tc>
        <w:tc>
          <w:tcPr>
            <w:tcW w:w="1260" w:type="dxa"/>
            <w:shd w:val="clear" w:color="auto" w:fill="auto"/>
            <w:noWrap/>
            <w:vAlign w:val="center"/>
            <w:hideMark/>
          </w:tcPr>
          <w:p w14:paraId="519B42C9"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04/2017</w:t>
            </w:r>
          </w:p>
        </w:tc>
        <w:tc>
          <w:tcPr>
            <w:tcW w:w="799" w:type="dxa"/>
            <w:shd w:val="clear" w:color="auto" w:fill="auto"/>
            <w:noWrap/>
            <w:vAlign w:val="center"/>
            <w:hideMark/>
          </w:tcPr>
          <w:p w14:paraId="519B42CA"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6,87</w:t>
            </w:r>
          </w:p>
        </w:tc>
        <w:tc>
          <w:tcPr>
            <w:tcW w:w="1001" w:type="dxa"/>
            <w:shd w:val="clear" w:color="auto" w:fill="auto"/>
            <w:noWrap/>
            <w:vAlign w:val="center"/>
            <w:hideMark/>
          </w:tcPr>
          <w:p w14:paraId="519B42CB"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13,5</w:t>
            </w:r>
          </w:p>
        </w:tc>
        <w:tc>
          <w:tcPr>
            <w:tcW w:w="900" w:type="dxa"/>
            <w:shd w:val="clear" w:color="auto" w:fill="auto"/>
            <w:noWrap/>
            <w:vAlign w:val="center"/>
            <w:hideMark/>
          </w:tcPr>
          <w:p w14:paraId="519B42CC"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1,1</w:t>
            </w:r>
          </w:p>
        </w:tc>
        <w:tc>
          <w:tcPr>
            <w:tcW w:w="900" w:type="dxa"/>
            <w:shd w:val="clear" w:color="auto" w:fill="auto"/>
            <w:noWrap/>
            <w:vAlign w:val="center"/>
            <w:hideMark/>
          </w:tcPr>
          <w:p w14:paraId="519B42CD"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1.773</w:t>
            </w:r>
          </w:p>
        </w:tc>
        <w:tc>
          <w:tcPr>
            <w:tcW w:w="810" w:type="dxa"/>
            <w:shd w:val="clear" w:color="auto" w:fill="auto"/>
            <w:noWrap/>
            <w:vAlign w:val="center"/>
            <w:hideMark/>
          </w:tcPr>
          <w:p w14:paraId="519B42CE"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28,5</w:t>
            </w:r>
          </w:p>
        </w:tc>
        <w:tc>
          <w:tcPr>
            <w:tcW w:w="900" w:type="dxa"/>
            <w:shd w:val="clear" w:color="auto" w:fill="auto"/>
            <w:noWrap/>
            <w:vAlign w:val="center"/>
            <w:hideMark/>
          </w:tcPr>
          <w:p w14:paraId="519B42CF"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230</w:t>
            </w:r>
          </w:p>
        </w:tc>
        <w:tc>
          <w:tcPr>
            <w:tcW w:w="1170" w:type="dxa"/>
            <w:shd w:val="clear" w:color="auto" w:fill="auto"/>
            <w:noWrap/>
            <w:vAlign w:val="center"/>
            <w:hideMark/>
          </w:tcPr>
          <w:p w14:paraId="519B42D0"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6</w:t>
            </w:r>
          </w:p>
        </w:tc>
        <w:tc>
          <w:tcPr>
            <w:tcW w:w="810" w:type="dxa"/>
            <w:shd w:val="clear" w:color="auto" w:fill="auto"/>
            <w:noWrap/>
            <w:vAlign w:val="center"/>
            <w:hideMark/>
          </w:tcPr>
          <w:p w14:paraId="519B42D1"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2</w:t>
            </w:r>
          </w:p>
        </w:tc>
      </w:tr>
      <w:tr w:rsidR="00077538" w:rsidRPr="008E63BB" w14:paraId="519B42DD" w14:textId="77777777" w:rsidTr="00C83DC4">
        <w:trPr>
          <w:trHeight w:val="288"/>
        </w:trPr>
        <w:tc>
          <w:tcPr>
            <w:tcW w:w="715" w:type="dxa"/>
            <w:vMerge/>
            <w:shd w:val="clear" w:color="auto" w:fill="auto"/>
            <w:vAlign w:val="center"/>
            <w:hideMark/>
          </w:tcPr>
          <w:p w14:paraId="519B42D3"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D4"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6/2017</w:t>
            </w:r>
          </w:p>
        </w:tc>
        <w:tc>
          <w:tcPr>
            <w:tcW w:w="799" w:type="dxa"/>
            <w:shd w:val="clear" w:color="auto" w:fill="auto"/>
            <w:noWrap/>
            <w:vAlign w:val="center"/>
            <w:hideMark/>
          </w:tcPr>
          <w:p w14:paraId="519B42D5"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w:t>
            </w:r>
          </w:p>
        </w:tc>
        <w:tc>
          <w:tcPr>
            <w:tcW w:w="1001" w:type="dxa"/>
            <w:shd w:val="clear" w:color="auto" w:fill="auto"/>
            <w:noWrap/>
            <w:vAlign w:val="center"/>
            <w:hideMark/>
          </w:tcPr>
          <w:p w14:paraId="519B42D6"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10,5</w:t>
            </w:r>
          </w:p>
        </w:tc>
        <w:tc>
          <w:tcPr>
            <w:tcW w:w="900" w:type="dxa"/>
            <w:shd w:val="clear" w:color="auto" w:fill="auto"/>
            <w:noWrap/>
            <w:vAlign w:val="center"/>
            <w:hideMark/>
          </w:tcPr>
          <w:p w14:paraId="519B42D7"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1,15</w:t>
            </w:r>
          </w:p>
        </w:tc>
        <w:tc>
          <w:tcPr>
            <w:tcW w:w="900" w:type="dxa"/>
            <w:shd w:val="clear" w:color="auto" w:fill="auto"/>
            <w:noWrap/>
            <w:vAlign w:val="center"/>
            <w:hideMark/>
          </w:tcPr>
          <w:p w14:paraId="519B42D8"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1.578</w:t>
            </w:r>
          </w:p>
        </w:tc>
        <w:tc>
          <w:tcPr>
            <w:tcW w:w="810" w:type="dxa"/>
            <w:shd w:val="clear" w:color="auto" w:fill="auto"/>
            <w:noWrap/>
            <w:vAlign w:val="center"/>
            <w:hideMark/>
          </w:tcPr>
          <w:p w14:paraId="519B42D9"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25,3</w:t>
            </w:r>
          </w:p>
        </w:tc>
        <w:tc>
          <w:tcPr>
            <w:tcW w:w="900" w:type="dxa"/>
            <w:shd w:val="clear" w:color="auto" w:fill="auto"/>
            <w:noWrap/>
            <w:vAlign w:val="center"/>
            <w:hideMark/>
          </w:tcPr>
          <w:p w14:paraId="519B42DA"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247</w:t>
            </w:r>
          </w:p>
        </w:tc>
        <w:tc>
          <w:tcPr>
            <w:tcW w:w="1170" w:type="dxa"/>
            <w:shd w:val="clear" w:color="auto" w:fill="auto"/>
            <w:noWrap/>
            <w:vAlign w:val="center"/>
            <w:hideMark/>
          </w:tcPr>
          <w:p w14:paraId="519B42DB"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c>
          <w:tcPr>
            <w:tcW w:w="810" w:type="dxa"/>
            <w:shd w:val="clear" w:color="auto" w:fill="auto"/>
            <w:noWrap/>
            <w:vAlign w:val="center"/>
            <w:hideMark/>
          </w:tcPr>
          <w:p w14:paraId="519B42DC"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2</w:t>
            </w:r>
          </w:p>
        </w:tc>
      </w:tr>
      <w:tr w:rsidR="00077538" w:rsidRPr="008E63BB" w14:paraId="519B42E8" w14:textId="77777777" w:rsidTr="00C83DC4">
        <w:trPr>
          <w:trHeight w:val="288"/>
        </w:trPr>
        <w:tc>
          <w:tcPr>
            <w:tcW w:w="715" w:type="dxa"/>
            <w:vMerge/>
            <w:shd w:val="clear" w:color="auto" w:fill="auto"/>
            <w:vAlign w:val="center"/>
            <w:hideMark/>
          </w:tcPr>
          <w:p w14:paraId="519B42DE"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DF"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9/2017</w:t>
            </w:r>
          </w:p>
        </w:tc>
        <w:tc>
          <w:tcPr>
            <w:tcW w:w="799" w:type="dxa"/>
            <w:shd w:val="clear" w:color="auto" w:fill="auto"/>
            <w:noWrap/>
            <w:vAlign w:val="center"/>
            <w:hideMark/>
          </w:tcPr>
          <w:p w14:paraId="519B42E0"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6,85</w:t>
            </w:r>
          </w:p>
        </w:tc>
        <w:tc>
          <w:tcPr>
            <w:tcW w:w="1001" w:type="dxa"/>
            <w:shd w:val="clear" w:color="auto" w:fill="auto"/>
            <w:noWrap/>
            <w:vAlign w:val="center"/>
            <w:hideMark/>
          </w:tcPr>
          <w:p w14:paraId="519B42E1"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8,6</w:t>
            </w:r>
          </w:p>
        </w:tc>
        <w:tc>
          <w:tcPr>
            <w:tcW w:w="900" w:type="dxa"/>
            <w:shd w:val="clear" w:color="auto" w:fill="auto"/>
            <w:noWrap/>
            <w:vAlign w:val="center"/>
            <w:hideMark/>
          </w:tcPr>
          <w:p w14:paraId="519B42E2"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1,1</w:t>
            </w:r>
          </w:p>
        </w:tc>
        <w:tc>
          <w:tcPr>
            <w:tcW w:w="900" w:type="dxa"/>
            <w:shd w:val="clear" w:color="auto" w:fill="auto"/>
            <w:noWrap/>
            <w:vAlign w:val="center"/>
            <w:hideMark/>
          </w:tcPr>
          <w:p w14:paraId="519B42E3"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1.985</w:t>
            </w:r>
          </w:p>
        </w:tc>
        <w:tc>
          <w:tcPr>
            <w:tcW w:w="810" w:type="dxa"/>
            <w:shd w:val="clear" w:color="auto" w:fill="auto"/>
            <w:noWrap/>
            <w:vAlign w:val="center"/>
            <w:hideMark/>
          </w:tcPr>
          <w:p w14:paraId="519B42E4"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20</w:t>
            </w:r>
          </w:p>
        </w:tc>
        <w:tc>
          <w:tcPr>
            <w:tcW w:w="900" w:type="dxa"/>
            <w:shd w:val="clear" w:color="auto" w:fill="auto"/>
            <w:noWrap/>
            <w:vAlign w:val="center"/>
            <w:hideMark/>
          </w:tcPr>
          <w:p w14:paraId="519B42E5"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271</w:t>
            </w:r>
          </w:p>
        </w:tc>
        <w:tc>
          <w:tcPr>
            <w:tcW w:w="1170" w:type="dxa"/>
            <w:shd w:val="clear" w:color="auto" w:fill="auto"/>
            <w:noWrap/>
            <w:vAlign w:val="center"/>
            <w:hideMark/>
          </w:tcPr>
          <w:p w14:paraId="519B42E6"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6</w:t>
            </w:r>
          </w:p>
        </w:tc>
        <w:tc>
          <w:tcPr>
            <w:tcW w:w="810" w:type="dxa"/>
            <w:shd w:val="clear" w:color="auto" w:fill="auto"/>
            <w:noWrap/>
            <w:vAlign w:val="center"/>
            <w:hideMark/>
          </w:tcPr>
          <w:p w14:paraId="519B42E7"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3</w:t>
            </w:r>
          </w:p>
        </w:tc>
      </w:tr>
      <w:tr w:rsidR="00077538" w:rsidRPr="008E63BB" w14:paraId="519B42F3" w14:textId="77777777" w:rsidTr="00C83DC4">
        <w:trPr>
          <w:trHeight w:val="300"/>
        </w:trPr>
        <w:tc>
          <w:tcPr>
            <w:tcW w:w="715" w:type="dxa"/>
            <w:vMerge/>
            <w:shd w:val="clear" w:color="auto" w:fill="auto"/>
            <w:vAlign w:val="center"/>
            <w:hideMark/>
          </w:tcPr>
          <w:p w14:paraId="519B42E9"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EA"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11/2017</w:t>
            </w:r>
          </w:p>
        </w:tc>
        <w:tc>
          <w:tcPr>
            <w:tcW w:w="799" w:type="dxa"/>
            <w:shd w:val="clear" w:color="auto" w:fill="auto"/>
            <w:noWrap/>
            <w:vAlign w:val="center"/>
            <w:hideMark/>
          </w:tcPr>
          <w:p w14:paraId="519B42EB"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6,8</w:t>
            </w:r>
          </w:p>
        </w:tc>
        <w:tc>
          <w:tcPr>
            <w:tcW w:w="1001" w:type="dxa"/>
            <w:shd w:val="clear" w:color="auto" w:fill="auto"/>
            <w:noWrap/>
            <w:vAlign w:val="center"/>
            <w:hideMark/>
          </w:tcPr>
          <w:p w14:paraId="519B42EC"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9,5</w:t>
            </w:r>
          </w:p>
        </w:tc>
        <w:tc>
          <w:tcPr>
            <w:tcW w:w="900" w:type="dxa"/>
            <w:shd w:val="clear" w:color="auto" w:fill="auto"/>
            <w:noWrap/>
            <w:vAlign w:val="center"/>
            <w:hideMark/>
          </w:tcPr>
          <w:p w14:paraId="519B42ED"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1,5</w:t>
            </w:r>
          </w:p>
        </w:tc>
        <w:tc>
          <w:tcPr>
            <w:tcW w:w="900" w:type="dxa"/>
            <w:shd w:val="clear" w:color="auto" w:fill="auto"/>
            <w:noWrap/>
            <w:vAlign w:val="center"/>
            <w:hideMark/>
          </w:tcPr>
          <w:p w14:paraId="519B42EE"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2.092</w:t>
            </w:r>
          </w:p>
        </w:tc>
        <w:tc>
          <w:tcPr>
            <w:tcW w:w="810" w:type="dxa"/>
            <w:shd w:val="clear" w:color="auto" w:fill="auto"/>
            <w:noWrap/>
            <w:vAlign w:val="center"/>
            <w:hideMark/>
          </w:tcPr>
          <w:p w14:paraId="519B42EF"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30</w:t>
            </w:r>
          </w:p>
        </w:tc>
        <w:tc>
          <w:tcPr>
            <w:tcW w:w="900" w:type="dxa"/>
            <w:shd w:val="clear" w:color="auto" w:fill="auto"/>
            <w:noWrap/>
            <w:vAlign w:val="center"/>
            <w:hideMark/>
          </w:tcPr>
          <w:p w14:paraId="519B42F0"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260</w:t>
            </w:r>
          </w:p>
        </w:tc>
        <w:tc>
          <w:tcPr>
            <w:tcW w:w="1170" w:type="dxa"/>
            <w:shd w:val="clear" w:color="auto" w:fill="auto"/>
            <w:noWrap/>
            <w:vAlign w:val="center"/>
            <w:hideMark/>
          </w:tcPr>
          <w:p w14:paraId="519B42F1"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8</w:t>
            </w:r>
          </w:p>
        </w:tc>
        <w:tc>
          <w:tcPr>
            <w:tcW w:w="810" w:type="dxa"/>
            <w:shd w:val="clear" w:color="auto" w:fill="auto"/>
            <w:noWrap/>
            <w:vAlign w:val="center"/>
            <w:hideMark/>
          </w:tcPr>
          <w:p w14:paraId="519B42F2"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4</w:t>
            </w:r>
          </w:p>
        </w:tc>
      </w:tr>
      <w:tr w:rsidR="00077538" w:rsidRPr="008E63BB" w14:paraId="519B42FE" w14:textId="77777777" w:rsidTr="00C83DC4">
        <w:trPr>
          <w:trHeight w:val="324"/>
        </w:trPr>
        <w:tc>
          <w:tcPr>
            <w:tcW w:w="715" w:type="dxa"/>
            <w:vMerge/>
            <w:shd w:val="clear" w:color="auto" w:fill="auto"/>
            <w:vAlign w:val="center"/>
            <w:hideMark/>
          </w:tcPr>
          <w:p w14:paraId="519B42F4"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2F5"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03/2018</w:t>
            </w:r>
          </w:p>
        </w:tc>
        <w:tc>
          <w:tcPr>
            <w:tcW w:w="799" w:type="dxa"/>
            <w:shd w:val="clear" w:color="auto" w:fill="auto"/>
            <w:vAlign w:val="center"/>
            <w:hideMark/>
          </w:tcPr>
          <w:p w14:paraId="519B42F6"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7,05</w:t>
            </w:r>
          </w:p>
        </w:tc>
        <w:tc>
          <w:tcPr>
            <w:tcW w:w="1001" w:type="dxa"/>
            <w:shd w:val="clear" w:color="auto" w:fill="auto"/>
            <w:vAlign w:val="center"/>
            <w:hideMark/>
          </w:tcPr>
          <w:p w14:paraId="519B42F7"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6,8</w:t>
            </w:r>
          </w:p>
        </w:tc>
        <w:tc>
          <w:tcPr>
            <w:tcW w:w="900" w:type="dxa"/>
            <w:shd w:val="clear" w:color="auto" w:fill="auto"/>
            <w:vAlign w:val="center"/>
            <w:hideMark/>
          </w:tcPr>
          <w:p w14:paraId="519B42F8"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0,84</w:t>
            </w:r>
          </w:p>
        </w:tc>
        <w:tc>
          <w:tcPr>
            <w:tcW w:w="900" w:type="dxa"/>
            <w:shd w:val="clear" w:color="auto" w:fill="auto"/>
            <w:vAlign w:val="center"/>
            <w:hideMark/>
          </w:tcPr>
          <w:p w14:paraId="519B42F9"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1.800</w:t>
            </w:r>
          </w:p>
        </w:tc>
        <w:tc>
          <w:tcPr>
            <w:tcW w:w="810" w:type="dxa"/>
            <w:shd w:val="clear" w:color="auto" w:fill="auto"/>
            <w:vAlign w:val="center"/>
            <w:hideMark/>
          </w:tcPr>
          <w:p w14:paraId="519B42FA"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20</w:t>
            </w:r>
          </w:p>
        </w:tc>
        <w:tc>
          <w:tcPr>
            <w:tcW w:w="900" w:type="dxa"/>
            <w:shd w:val="clear" w:color="auto" w:fill="auto"/>
            <w:vAlign w:val="center"/>
            <w:hideMark/>
          </w:tcPr>
          <w:p w14:paraId="519B42FB"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192</w:t>
            </w:r>
          </w:p>
        </w:tc>
        <w:tc>
          <w:tcPr>
            <w:tcW w:w="1170" w:type="dxa"/>
            <w:shd w:val="clear" w:color="auto" w:fill="auto"/>
            <w:vAlign w:val="center"/>
            <w:hideMark/>
          </w:tcPr>
          <w:p w14:paraId="519B42FC"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c>
          <w:tcPr>
            <w:tcW w:w="810" w:type="dxa"/>
            <w:shd w:val="clear" w:color="auto" w:fill="auto"/>
            <w:vAlign w:val="center"/>
            <w:hideMark/>
          </w:tcPr>
          <w:p w14:paraId="519B42FD"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2</w:t>
            </w:r>
          </w:p>
        </w:tc>
      </w:tr>
      <w:tr w:rsidR="00077538" w:rsidRPr="008E63BB" w14:paraId="519B4309" w14:textId="77777777" w:rsidTr="00C83DC4">
        <w:trPr>
          <w:trHeight w:val="324"/>
        </w:trPr>
        <w:tc>
          <w:tcPr>
            <w:tcW w:w="715" w:type="dxa"/>
            <w:vMerge/>
            <w:shd w:val="clear" w:color="auto" w:fill="auto"/>
            <w:vAlign w:val="center"/>
            <w:hideMark/>
          </w:tcPr>
          <w:p w14:paraId="519B42FF"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300"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06/2018</w:t>
            </w:r>
          </w:p>
        </w:tc>
        <w:tc>
          <w:tcPr>
            <w:tcW w:w="799" w:type="dxa"/>
            <w:shd w:val="clear" w:color="auto" w:fill="auto"/>
            <w:vAlign w:val="center"/>
            <w:hideMark/>
          </w:tcPr>
          <w:p w14:paraId="519B4301"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w:t>
            </w:r>
          </w:p>
        </w:tc>
        <w:tc>
          <w:tcPr>
            <w:tcW w:w="1001" w:type="dxa"/>
            <w:shd w:val="clear" w:color="auto" w:fill="auto"/>
            <w:vAlign w:val="center"/>
            <w:hideMark/>
          </w:tcPr>
          <w:p w14:paraId="519B4302"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7,5</w:t>
            </w:r>
          </w:p>
        </w:tc>
        <w:tc>
          <w:tcPr>
            <w:tcW w:w="900" w:type="dxa"/>
            <w:shd w:val="clear" w:color="auto" w:fill="auto"/>
            <w:vAlign w:val="center"/>
            <w:hideMark/>
          </w:tcPr>
          <w:p w14:paraId="519B4303"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1,3</w:t>
            </w:r>
          </w:p>
        </w:tc>
        <w:tc>
          <w:tcPr>
            <w:tcW w:w="900" w:type="dxa"/>
            <w:shd w:val="clear" w:color="auto" w:fill="auto"/>
            <w:vAlign w:val="center"/>
            <w:hideMark/>
          </w:tcPr>
          <w:p w14:paraId="519B4304"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2.125</w:t>
            </w:r>
          </w:p>
        </w:tc>
        <w:tc>
          <w:tcPr>
            <w:tcW w:w="810" w:type="dxa"/>
            <w:shd w:val="clear" w:color="auto" w:fill="auto"/>
            <w:vAlign w:val="center"/>
            <w:hideMark/>
          </w:tcPr>
          <w:p w14:paraId="519B4305"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23,8</w:t>
            </w:r>
          </w:p>
        </w:tc>
        <w:tc>
          <w:tcPr>
            <w:tcW w:w="900" w:type="dxa"/>
            <w:shd w:val="clear" w:color="auto" w:fill="auto"/>
            <w:vAlign w:val="center"/>
            <w:hideMark/>
          </w:tcPr>
          <w:p w14:paraId="519B4306"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254</w:t>
            </w:r>
          </w:p>
        </w:tc>
        <w:tc>
          <w:tcPr>
            <w:tcW w:w="1170" w:type="dxa"/>
            <w:shd w:val="clear" w:color="auto" w:fill="auto"/>
            <w:vAlign w:val="center"/>
            <w:hideMark/>
          </w:tcPr>
          <w:p w14:paraId="519B4307"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8</w:t>
            </w:r>
          </w:p>
        </w:tc>
        <w:tc>
          <w:tcPr>
            <w:tcW w:w="810" w:type="dxa"/>
            <w:shd w:val="clear" w:color="auto" w:fill="auto"/>
            <w:vAlign w:val="center"/>
            <w:hideMark/>
          </w:tcPr>
          <w:p w14:paraId="519B4308"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3</w:t>
            </w:r>
          </w:p>
        </w:tc>
      </w:tr>
      <w:tr w:rsidR="00077538" w:rsidRPr="008E63BB" w14:paraId="519B4314" w14:textId="77777777" w:rsidTr="00C83DC4">
        <w:trPr>
          <w:trHeight w:val="324"/>
        </w:trPr>
        <w:tc>
          <w:tcPr>
            <w:tcW w:w="715" w:type="dxa"/>
            <w:vMerge/>
            <w:shd w:val="clear" w:color="auto" w:fill="auto"/>
            <w:vAlign w:val="center"/>
            <w:hideMark/>
          </w:tcPr>
          <w:p w14:paraId="519B430A"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30B"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08/2018</w:t>
            </w:r>
          </w:p>
        </w:tc>
        <w:tc>
          <w:tcPr>
            <w:tcW w:w="799" w:type="dxa"/>
            <w:shd w:val="clear" w:color="auto" w:fill="auto"/>
            <w:vAlign w:val="center"/>
            <w:hideMark/>
          </w:tcPr>
          <w:p w14:paraId="519B430C"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6,98</w:t>
            </w:r>
          </w:p>
        </w:tc>
        <w:tc>
          <w:tcPr>
            <w:tcW w:w="1001" w:type="dxa"/>
            <w:shd w:val="clear" w:color="auto" w:fill="auto"/>
            <w:vAlign w:val="center"/>
            <w:hideMark/>
          </w:tcPr>
          <w:p w14:paraId="519B430D"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13</w:t>
            </w:r>
          </w:p>
        </w:tc>
        <w:tc>
          <w:tcPr>
            <w:tcW w:w="900" w:type="dxa"/>
            <w:shd w:val="clear" w:color="auto" w:fill="auto"/>
            <w:vAlign w:val="center"/>
            <w:hideMark/>
          </w:tcPr>
          <w:p w14:paraId="519B430E"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1,8</w:t>
            </w:r>
          </w:p>
        </w:tc>
        <w:tc>
          <w:tcPr>
            <w:tcW w:w="900" w:type="dxa"/>
            <w:shd w:val="clear" w:color="auto" w:fill="auto"/>
            <w:vAlign w:val="center"/>
            <w:hideMark/>
          </w:tcPr>
          <w:p w14:paraId="519B430F"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2.552</w:t>
            </w:r>
          </w:p>
        </w:tc>
        <w:tc>
          <w:tcPr>
            <w:tcW w:w="810" w:type="dxa"/>
            <w:shd w:val="clear" w:color="auto" w:fill="auto"/>
            <w:vAlign w:val="center"/>
            <w:hideMark/>
          </w:tcPr>
          <w:p w14:paraId="519B4310"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26,5</w:t>
            </w:r>
          </w:p>
        </w:tc>
        <w:tc>
          <w:tcPr>
            <w:tcW w:w="900" w:type="dxa"/>
            <w:shd w:val="clear" w:color="auto" w:fill="auto"/>
            <w:vAlign w:val="center"/>
            <w:hideMark/>
          </w:tcPr>
          <w:p w14:paraId="519B4311"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267</w:t>
            </w:r>
          </w:p>
        </w:tc>
        <w:tc>
          <w:tcPr>
            <w:tcW w:w="1170" w:type="dxa"/>
            <w:shd w:val="clear" w:color="auto" w:fill="auto"/>
            <w:vAlign w:val="center"/>
            <w:hideMark/>
          </w:tcPr>
          <w:p w14:paraId="519B4312"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12</w:t>
            </w:r>
          </w:p>
        </w:tc>
        <w:tc>
          <w:tcPr>
            <w:tcW w:w="810" w:type="dxa"/>
            <w:shd w:val="clear" w:color="auto" w:fill="auto"/>
            <w:vAlign w:val="center"/>
            <w:hideMark/>
          </w:tcPr>
          <w:p w14:paraId="519B4313"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5</w:t>
            </w:r>
          </w:p>
        </w:tc>
      </w:tr>
      <w:tr w:rsidR="00077538" w:rsidRPr="008E63BB" w14:paraId="519B431F" w14:textId="77777777" w:rsidTr="00C83DC4">
        <w:trPr>
          <w:trHeight w:val="324"/>
        </w:trPr>
        <w:tc>
          <w:tcPr>
            <w:tcW w:w="715" w:type="dxa"/>
            <w:vMerge/>
            <w:shd w:val="clear" w:color="auto" w:fill="auto"/>
            <w:vAlign w:val="center"/>
            <w:hideMark/>
          </w:tcPr>
          <w:p w14:paraId="519B4315"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noWrap/>
            <w:vAlign w:val="center"/>
            <w:hideMark/>
          </w:tcPr>
          <w:p w14:paraId="519B4316" w14:textId="77777777" w:rsidR="009758A5" w:rsidRPr="008E63BB" w:rsidRDefault="009758A5" w:rsidP="00C83DC4">
            <w:pPr>
              <w:ind w:left="-18" w:right="-83"/>
              <w:jc w:val="center"/>
              <w:rPr>
                <w:rFonts w:eastAsia="Times New Roman"/>
                <w:sz w:val="24"/>
                <w:szCs w:val="24"/>
              </w:rPr>
            </w:pPr>
            <w:r w:rsidRPr="008E63BB">
              <w:rPr>
                <w:rFonts w:eastAsia="Times New Roman"/>
                <w:sz w:val="24"/>
                <w:szCs w:val="24"/>
              </w:rPr>
              <w:t>11/2018</w:t>
            </w:r>
          </w:p>
        </w:tc>
        <w:tc>
          <w:tcPr>
            <w:tcW w:w="799" w:type="dxa"/>
            <w:shd w:val="clear" w:color="auto" w:fill="auto"/>
            <w:vAlign w:val="center"/>
            <w:hideMark/>
          </w:tcPr>
          <w:p w14:paraId="519B4317"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7,08</w:t>
            </w:r>
          </w:p>
        </w:tc>
        <w:tc>
          <w:tcPr>
            <w:tcW w:w="1001" w:type="dxa"/>
            <w:shd w:val="clear" w:color="auto" w:fill="auto"/>
            <w:vAlign w:val="center"/>
            <w:hideMark/>
          </w:tcPr>
          <w:p w14:paraId="519B4318"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10,5</w:t>
            </w:r>
          </w:p>
        </w:tc>
        <w:tc>
          <w:tcPr>
            <w:tcW w:w="900" w:type="dxa"/>
            <w:shd w:val="clear" w:color="auto" w:fill="auto"/>
            <w:vAlign w:val="center"/>
            <w:hideMark/>
          </w:tcPr>
          <w:p w14:paraId="519B4319"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0,8</w:t>
            </w:r>
          </w:p>
        </w:tc>
        <w:tc>
          <w:tcPr>
            <w:tcW w:w="900" w:type="dxa"/>
            <w:shd w:val="clear" w:color="auto" w:fill="auto"/>
            <w:vAlign w:val="center"/>
            <w:hideMark/>
          </w:tcPr>
          <w:p w14:paraId="519B431A"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2.197</w:t>
            </w:r>
          </w:p>
        </w:tc>
        <w:tc>
          <w:tcPr>
            <w:tcW w:w="810" w:type="dxa"/>
            <w:shd w:val="clear" w:color="auto" w:fill="auto"/>
            <w:vAlign w:val="center"/>
            <w:hideMark/>
          </w:tcPr>
          <w:p w14:paraId="519B431B"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22</w:t>
            </w:r>
          </w:p>
        </w:tc>
        <w:tc>
          <w:tcPr>
            <w:tcW w:w="900" w:type="dxa"/>
            <w:shd w:val="clear" w:color="auto" w:fill="auto"/>
            <w:vAlign w:val="center"/>
            <w:hideMark/>
          </w:tcPr>
          <w:p w14:paraId="519B431C"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197</w:t>
            </w:r>
          </w:p>
        </w:tc>
        <w:tc>
          <w:tcPr>
            <w:tcW w:w="1170" w:type="dxa"/>
            <w:shd w:val="clear" w:color="auto" w:fill="auto"/>
            <w:vAlign w:val="center"/>
            <w:hideMark/>
          </w:tcPr>
          <w:p w14:paraId="519B431D"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8</w:t>
            </w:r>
          </w:p>
        </w:tc>
        <w:tc>
          <w:tcPr>
            <w:tcW w:w="810" w:type="dxa"/>
            <w:shd w:val="clear" w:color="auto" w:fill="auto"/>
            <w:vAlign w:val="center"/>
            <w:hideMark/>
          </w:tcPr>
          <w:p w14:paraId="519B431E"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4</w:t>
            </w:r>
          </w:p>
        </w:tc>
      </w:tr>
      <w:tr w:rsidR="00077538" w:rsidRPr="008E63BB" w14:paraId="519B432A" w14:textId="77777777" w:rsidTr="00C83DC4">
        <w:trPr>
          <w:trHeight w:val="324"/>
        </w:trPr>
        <w:tc>
          <w:tcPr>
            <w:tcW w:w="715" w:type="dxa"/>
            <w:vMerge/>
            <w:shd w:val="clear" w:color="auto" w:fill="auto"/>
            <w:vAlign w:val="center"/>
            <w:hideMark/>
          </w:tcPr>
          <w:p w14:paraId="519B4320" w14:textId="77777777" w:rsidR="009758A5" w:rsidRPr="008E63BB" w:rsidRDefault="009758A5" w:rsidP="00C83DC4">
            <w:pPr>
              <w:ind w:left="-113" w:right="-108"/>
              <w:jc w:val="left"/>
              <w:rPr>
                <w:rFonts w:eastAsia="Times New Roman"/>
                <w:b/>
                <w:sz w:val="24"/>
                <w:szCs w:val="24"/>
              </w:rPr>
            </w:pPr>
          </w:p>
        </w:tc>
        <w:tc>
          <w:tcPr>
            <w:tcW w:w="1260" w:type="dxa"/>
            <w:shd w:val="clear" w:color="auto" w:fill="auto"/>
            <w:vAlign w:val="center"/>
            <w:hideMark/>
          </w:tcPr>
          <w:p w14:paraId="519B4321" w14:textId="77777777" w:rsidR="009758A5" w:rsidRPr="008E63BB" w:rsidRDefault="009758A5" w:rsidP="00C83DC4">
            <w:pPr>
              <w:ind w:left="-18" w:right="-83"/>
              <w:jc w:val="center"/>
              <w:rPr>
                <w:rFonts w:eastAsia="Times New Roman"/>
                <w:bCs/>
                <w:sz w:val="24"/>
                <w:szCs w:val="24"/>
              </w:rPr>
            </w:pPr>
            <w:r w:rsidRPr="008E63BB">
              <w:rPr>
                <w:rFonts w:eastAsia="Times New Roman"/>
                <w:bCs/>
                <w:sz w:val="24"/>
                <w:szCs w:val="24"/>
              </w:rPr>
              <w:t>03/2019</w:t>
            </w:r>
          </w:p>
        </w:tc>
        <w:tc>
          <w:tcPr>
            <w:tcW w:w="799" w:type="dxa"/>
            <w:shd w:val="clear" w:color="auto" w:fill="auto"/>
            <w:vAlign w:val="center"/>
            <w:hideMark/>
          </w:tcPr>
          <w:p w14:paraId="519B4322"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6,99</w:t>
            </w:r>
          </w:p>
        </w:tc>
        <w:tc>
          <w:tcPr>
            <w:tcW w:w="1001" w:type="dxa"/>
            <w:shd w:val="clear" w:color="auto" w:fill="auto"/>
            <w:vAlign w:val="center"/>
            <w:hideMark/>
          </w:tcPr>
          <w:p w14:paraId="519B4323"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8,4</w:t>
            </w:r>
          </w:p>
        </w:tc>
        <w:tc>
          <w:tcPr>
            <w:tcW w:w="900" w:type="dxa"/>
            <w:shd w:val="clear" w:color="auto" w:fill="auto"/>
            <w:vAlign w:val="center"/>
            <w:hideMark/>
          </w:tcPr>
          <w:p w14:paraId="519B4324"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0,66</w:t>
            </w:r>
          </w:p>
        </w:tc>
        <w:tc>
          <w:tcPr>
            <w:tcW w:w="900" w:type="dxa"/>
            <w:shd w:val="clear" w:color="auto" w:fill="auto"/>
            <w:vAlign w:val="center"/>
            <w:hideMark/>
          </w:tcPr>
          <w:p w14:paraId="519B4325"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1630</w:t>
            </w:r>
          </w:p>
        </w:tc>
        <w:tc>
          <w:tcPr>
            <w:tcW w:w="810" w:type="dxa"/>
            <w:shd w:val="clear" w:color="auto" w:fill="auto"/>
            <w:vAlign w:val="center"/>
            <w:hideMark/>
          </w:tcPr>
          <w:p w14:paraId="519B4326"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27,5</w:t>
            </w:r>
          </w:p>
        </w:tc>
        <w:tc>
          <w:tcPr>
            <w:tcW w:w="900" w:type="dxa"/>
            <w:shd w:val="clear" w:color="auto" w:fill="auto"/>
            <w:vAlign w:val="center"/>
            <w:hideMark/>
          </w:tcPr>
          <w:p w14:paraId="519B4327"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238</w:t>
            </w:r>
          </w:p>
        </w:tc>
        <w:tc>
          <w:tcPr>
            <w:tcW w:w="1170" w:type="dxa"/>
            <w:shd w:val="clear" w:color="auto" w:fill="auto"/>
            <w:vAlign w:val="center"/>
            <w:hideMark/>
          </w:tcPr>
          <w:p w14:paraId="519B4328"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6</w:t>
            </w:r>
          </w:p>
        </w:tc>
        <w:tc>
          <w:tcPr>
            <w:tcW w:w="810" w:type="dxa"/>
            <w:shd w:val="clear" w:color="auto" w:fill="auto"/>
            <w:vAlign w:val="center"/>
            <w:hideMark/>
          </w:tcPr>
          <w:p w14:paraId="519B4329" w14:textId="77777777" w:rsidR="009758A5" w:rsidRPr="008E63BB" w:rsidRDefault="009758A5" w:rsidP="00C83DC4">
            <w:pPr>
              <w:jc w:val="center"/>
              <w:rPr>
                <w:rFonts w:eastAsia="Times New Roman"/>
                <w:sz w:val="24"/>
                <w:szCs w:val="24"/>
              </w:rPr>
            </w:pPr>
            <w:r w:rsidRPr="008E63BB">
              <w:rPr>
                <w:rFonts w:eastAsia="Times New Roman"/>
                <w:sz w:val="24"/>
                <w:szCs w:val="24"/>
              </w:rPr>
              <w:t>&lt;3</w:t>
            </w:r>
          </w:p>
        </w:tc>
      </w:tr>
      <w:tr w:rsidR="00077538" w:rsidRPr="008E63BB" w14:paraId="519B4335" w14:textId="77777777" w:rsidTr="00C83DC4">
        <w:trPr>
          <w:trHeight w:val="636"/>
        </w:trPr>
        <w:tc>
          <w:tcPr>
            <w:tcW w:w="715" w:type="dxa"/>
            <w:shd w:val="clear" w:color="auto" w:fill="auto"/>
            <w:vAlign w:val="center"/>
            <w:hideMark/>
          </w:tcPr>
          <w:p w14:paraId="519B432B" w14:textId="77777777" w:rsidR="009758A5" w:rsidRPr="008E63BB" w:rsidRDefault="009758A5" w:rsidP="00C83DC4">
            <w:pPr>
              <w:ind w:left="-113" w:right="-108"/>
              <w:jc w:val="center"/>
              <w:rPr>
                <w:rFonts w:eastAsia="Times New Roman"/>
                <w:b/>
                <w:bCs/>
                <w:sz w:val="24"/>
                <w:szCs w:val="24"/>
              </w:rPr>
            </w:pPr>
            <w:r w:rsidRPr="008E63BB">
              <w:rPr>
                <w:rFonts w:eastAsia="Times New Roman"/>
                <w:b/>
                <w:bCs/>
                <w:sz w:val="24"/>
                <w:szCs w:val="24"/>
              </w:rPr>
              <w:t>NN3</w:t>
            </w:r>
          </w:p>
        </w:tc>
        <w:tc>
          <w:tcPr>
            <w:tcW w:w="1260" w:type="dxa"/>
            <w:shd w:val="clear" w:color="auto" w:fill="auto"/>
            <w:vAlign w:val="center"/>
            <w:hideMark/>
          </w:tcPr>
          <w:p w14:paraId="519B432C" w14:textId="77777777" w:rsidR="009758A5" w:rsidRPr="008E63BB" w:rsidRDefault="009758A5" w:rsidP="00C83DC4">
            <w:pPr>
              <w:ind w:left="-18" w:right="-83"/>
              <w:jc w:val="center"/>
              <w:rPr>
                <w:rFonts w:eastAsia="Times New Roman"/>
                <w:bCs/>
                <w:sz w:val="24"/>
                <w:szCs w:val="24"/>
              </w:rPr>
            </w:pPr>
            <w:r w:rsidRPr="008E63BB">
              <w:rPr>
                <w:rFonts w:eastAsia="Times New Roman"/>
                <w:bCs/>
                <w:sz w:val="24"/>
                <w:szCs w:val="24"/>
              </w:rPr>
              <w:t>3/2019</w:t>
            </w:r>
          </w:p>
        </w:tc>
        <w:tc>
          <w:tcPr>
            <w:tcW w:w="799" w:type="dxa"/>
            <w:shd w:val="clear" w:color="auto" w:fill="auto"/>
            <w:vAlign w:val="center"/>
            <w:hideMark/>
          </w:tcPr>
          <w:p w14:paraId="519B432D"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7,05</w:t>
            </w:r>
          </w:p>
        </w:tc>
        <w:tc>
          <w:tcPr>
            <w:tcW w:w="1001" w:type="dxa"/>
            <w:shd w:val="clear" w:color="auto" w:fill="auto"/>
            <w:vAlign w:val="center"/>
            <w:hideMark/>
          </w:tcPr>
          <w:p w14:paraId="519B432E"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5,2</w:t>
            </w:r>
          </w:p>
        </w:tc>
        <w:tc>
          <w:tcPr>
            <w:tcW w:w="900" w:type="dxa"/>
            <w:shd w:val="clear" w:color="auto" w:fill="auto"/>
            <w:vAlign w:val="center"/>
            <w:hideMark/>
          </w:tcPr>
          <w:p w14:paraId="519B432F"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0,54</w:t>
            </w:r>
          </w:p>
        </w:tc>
        <w:tc>
          <w:tcPr>
            <w:tcW w:w="900" w:type="dxa"/>
            <w:shd w:val="clear" w:color="auto" w:fill="auto"/>
            <w:vAlign w:val="center"/>
            <w:hideMark/>
          </w:tcPr>
          <w:p w14:paraId="519B4330"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368</w:t>
            </w:r>
          </w:p>
        </w:tc>
        <w:tc>
          <w:tcPr>
            <w:tcW w:w="810" w:type="dxa"/>
            <w:shd w:val="clear" w:color="auto" w:fill="auto"/>
            <w:vAlign w:val="center"/>
            <w:hideMark/>
          </w:tcPr>
          <w:p w14:paraId="519B4331"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3,2</w:t>
            </w:r>
          </w:p>
        </w:tc>
        <w:tc>
          <w:tcPr>
            <w:tcW w:w="900" w:type="dxa"/>
            <w:shd w:val="clear" w:color="auto" w:fill="auto"/>
            <w:vAlign w:val="center"/>
            <w:hideMark/>
          </w:tcPr>
          <w:p w14:paraId="519B4332" w14:textId="77777777" w:rsidR="009758A5" w:rsidRPr="008E63BB" w:rsidRDefault="009758A5" w:rsidP="00C83DC4">
            <w:pPr>
              <w:ind w:left="-122" w:right="-144"/>
              <w:jc w:val="center"/>
              <w:rPr>
                <w:rFonts w:eastAsia="Times New Roman"/>
                <w:sz w:val="24"/>
                <w:szCs w:val="24"/>
              </w:rPr>
            </w:pPr>
            <w:r w:rsidRPr="008E63BB">
              <w:rPr>
                <w:rFonts w:eastAsia="Times New Roman"/>
                <w:sz w:val="24"/>
                <w:szCs w:val="24"/>
              </w:rPr>
              <w:t>117</w:t>
            </w:r>
          </w:p>
        </w:tc>
        <w:tc>
          <w:tcPr>
            <w:tcW w:w="1170" w:type="dxa"/>
            <w:shd w:val="clear" w:color="auto" w:fill="auto"/>
            <w:vAlign w:val="center"/>
            <w:hideMark/>
          </w:tcPr>
          <w:p w14:paraId="519B4333"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7</w:t>
            </w:r>
          </w:p>
        </w:tc>
        <w:tc>
          <w:tcPr>
            <w:tcW w:w="810" w:type="dxa"/>
            <w:shd w:val="clear" w:color="auto" w:fill="auto"/>
            <w:vAlign w:val="center"/>
            <w:hideMark/>
          </w:tcPr>
          <w:p w14:paraId="519B4334" w14:textId="77777777" w:rsidR="009758A5" w:rsidRPr="008E63BB" w:rsidRDefault="009758A5" w:rsidP="00C83DC4">
            <w:pPr>
              <w:jc w:val="center"/>
              <w:rPr>
                <w:rFonts w:eastAsia="Times New Roman"/>
                <w:sz w:val="24"/>
                <w:szCs w:val="24"/>
              </w:rPr>
            </w:pPr>
            <w:r w:rsidRPr="008E63BB">
              <w:rPr>
                <w:rFonts w:eastAsia="Times New Roman"/>
                <w:sz w:val="24"/>
                <w:szCs w:val="24"/>
              </w:rPr>
              <w:t>&lt;3</w:t>
            </w:r>
          </w:p>
        </w:tc>
      </w:tr>
      <w:tr w:rsidR="00077538" w:rsidRPr="008E63BB" w14:paraId="519B433F" w14:textId="77777777" w:rsidTr="00C83DC4">
        <w:trPr>
          <w:trHeight w:val="624"/>
        </w:trPr>
        <w:tc>
          <w:tcPr>
            <w:tcW w:w="1975" w:type="dxa"/>
            <w:gridSpan w:val="2"/>
            <w:shd w:val="clear" w:color="auto" w:fill="auto"/>
            <w:vAlign w:val="center"/>
            <w:hideMark/>
          </w:tcPr>
          <w:p w14:paraId="519B4336" w14:textId="77777777" w:rsidR="009758A5" w:rsidRPr="008E63BB" w:rsidRDefault="009758A5" w:rsidP="00C83DC4">
            <w:pPr>
              <w:ind w:left="-113" w:right="-18"/>
              <w:jc w:val="center"/>
              <w:rPr>
                <w:rFonts w:eastAsia="Times New Roman"/>
                <w:b/>
                <w:bCs/>
                <w:sz w:val="24"/>
                <w:szCs w:val="24"/>
              </w:rPr>
            </w:pPr>
            <w:r w:rsidRPr="008E63BB">
              <w:rPr>
                <w:rFonts w:eastAsia="Times New Roman"/>
                <w:b/>
                <w:bCs/>
                <w:sz w:val="24"/>
                <w:szCs w:val="24"/>
              </w:rPr>
              <w:t>QCVN09-MT :2015</w:t>
            </w:r>
          </w:p>
        </w:tc>
        <w:tc>
          <w:tcPr>
            <w:tcW w:w="799" w:type="dxa"/>
            <w:shd w:val="clear" w:color="auto" w:fill="auto"/>
            <w:vAlign w:val="center"/>
            <w:hideMark/>
          </w:tcPr>
          <w:p w14:paraId="519B4337"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5,5-8,5</w:t>
            </w:r>
          </w:p>
        </w:tc>
        <w:tc>
          <w:tcPr>
            <w:tcW w:w="1001" w:type="dxa"/>
            <w:shd w:val="clear" w:color="auto" w:fill="auto"/>
            <w:vAlign w:val="center"/>
            <w:hideMark/>
          </w:tcPr>
          <w:p w14:paraId="519B4338"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4</w:t>
            </w:r>
          </w:p>
        </w:tc>
        <w:tc>
          <w:tcPr>
            <w:tcW w:w="900" w:type="dxa"/>
            <w:shd w:val="clear" w:color="auto" w:fill="auto"/>
            <w:vAlign w:val="center"/>
            <w:hideMark/>
          </w:tcPr>
          <w:p w14:paraId="519B4339"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1</w:t>
            </w:r>
          </w:p>
        </w:tc>
        <w:tc>
          <w:tcPr>
            <w:tcW w:w="900" w:type="dxa"/>
            <w:shd w:val="clear" w:color="auto" w:fill="auto"/>
            <w:vAlign w:val="center"/>
            <w:hideMark/>
          </w:tcPr>
          <w:p w14:paraId="519B433A"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250</w:t>
            </w:r>
          </w:p>
        </w:tc>
        <w:tc>
          <w:tcPr>
            <w:tcW w:w="810" w:type="dxa"/>
            <w:shd w:val="clear" w:color="auto" w:fill="auto"/>
            <w:vAlign w:val="center"/>
            <w:hideMark/>
          </w:tcPr>
          <w:p w14:paraId="519B433B"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5</w:t>
            </w:r>
          </w:p>
        </w:tc>
        <w:tc>
          <w:tcPr>
            <w:tcW w:w="900" w:type="dxa"/>
            <w:shd w:val="clear" w:color="auto" w:fill="auto"/>
            <w:vAlign w:val="center"/>
            <w:hideMark/>
          </w:tcPr>
          <w:p w14:paraId="519B433C" w14:textId="77777777" w:rsidR="009758A5" w:rsidRPr="008E63BB" w:rsidRDefault="009758A5" w:rsidP="00C83DC4">
            <w:pPr>
              <w:ind w:left="-122" w:right="-144"/>
              <w:jc w:val="center"/>
              <w:rPr>
                <w:rFonts w:eastAsia="Times New Roman"/>
                <w:b/>
                <w:bCs/>
                <w:sz w:val="24"/>
                <w:szCs w:val="24"/>
              </w:rPr>
            </w:pPr>
            <w:r w:rsidRPr="008E63BB">
              <w:rPr>
                <w:rFonts w:eastAsia="Times New Roman"/>
                <w:b/>
                <w:bCs/>
                <w:sz w:val="24"/>
                <w:szCs w:val="24"/>
              </w:rPr>
              <w:t>400</w:t>
            </w:r>
          </w:p>
        </w:tc>
        <w:tc>
          <w:tcPr>
            <w:tcW w:w="1170" w:type="dxa"/>
            <w:shd w:val="clear" w:color="auto" w:fill="auto"/>
            <w:vAlign w:val="center"/>
            <w:hideMark/>
          </w:tcPr>
          <w:p w14:paraId="519B433D"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3</w:t>
            </w:r>
          </w:p>
        </w:tc>
        <w:tc>
          <w:tcPr>
            <w:tcW w:w="810" w:type="dxa"/>
            <w:shd w:val="clear" w:color="auto" w:fill="auto"/>
            <w:vAlign w:val="center"/>
            <w:hideMark/>
          </w:tcPr>
          <w:p w14:paraId="519B433E" w14:textId="77777777" w:rsidR="009758A5" w:rsidRPr="008E63BB" w:rsidRDefault="009758A5" w:rsidP="00C83DC4">
            <w:pPr>
              <w:jc w:val="center"/>
              <w:rPr>
                <w:rFonts w:eastAsia="Times New Roman"/>
                <w:b/>
                <w:bCs/>
                <w:sz w:val="24"/>
                <w:szCs w:val="24"/>
              </w:rPr>
            </w:pPr>
            <w:r w:rsidRPr="008E63BB">
              <w:rPr>
                <w:rFonts w:eastAsia="Times New Roman"/>
                <w:b/>
                <w:bCs/>
                <w:sz w:val="24"/>
                <w:szCs w:val="24"/>
              </w:rPr>
              <w:t>kpht</w:t>
            </w:r>
          </w:p>
        </w:tc>
      </w:tr>
    </w:tbl>
    <w:p w14:paraId="519B4340" w14:textId="77777777" w:rsidR="009758A5" w:rsidRPr="008E63BB" w:rsidRDefault="009758A5" w:rsidP="009758A5">
      <w:pPr>
        <w:pStyle w:val="FootnoteText"/>
        <w:tabs>
          <w:tab w:val="left" w:pos="360"/>
        </w:tabs>
        <w:spacing w:after="0" w:line="240" w:lineRule="auto"/>
        <w:jc w:val="both"/>
        <w:rPr>
          <w:rFonts w:ascii="Times New Roman" w:hAnsi="Times New Roman"/>
          <w:b/>
          <w:i/>
          <w:sz w:val="24"/>
          <w:szCs w:val="24"/>
          <w:u w:val="single"/>
        </w:rPr>
      </w:pPr>
      <w:r w:rsidRPr="008E63BB">
        <w:rPr>
          <w:rFonts w:ascii="Times New Roman" w:hAnsi="Times New Roman"/>
          <w:b/>
          <w:i/>
          <w:sz w:val="24"/>
          <w:szCs w:val="24"/>
          <w:u w:val="single"/>
        </w:rPr>
        <w:t>* Ghi chú:</w:t>
      </w:r>
    </w:p>
    <w:p w14:paraId="519B4341"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xml:space="preserve">- QCVN09: QCVN09-MT:2015 - Quy chuẩn kỹ thuật quốc gia về chất lượng nước ngầm; </w:t>
      </w:r>
    </w:p>
    <w:p w14:paraId="519B4342"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pacing w:val="-4"/>
          <w:sz w:val="24"/>
          <w:szCs w:val="24"/>
        </w:rPr>
      </w:pPr>
      <w:r w:rsidRPr="008E63BB">
        <w:rPr>
          <w:rFonts w:ascii="Times New Roman" w:hAnsi="Times New Roman"/>
          <w:i/>
          <w:spacing w:val="-4"/>
          <w:sz w:val="24"/>
          <w:szCs w:val="24"/>
        </w:rPr>
        <w:t xml:space="preserve">- NN01,02: Tên mẫu quan trắc môi trường nước ngầm trên địa bàn khu vực NCQH, cụ thể: </w:t>
      </w:r>
    </w:p>
    <w:p w14:paraId="519B4343"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NN01: Mẫu nước giếng Q221b tại lò gạch nhà ông Oanh – thôn 4 Trại – xã Mỹ Thịnh – huyện Mỹ Lộc (tầng chứa nước qh – sâu 45m)</w:t>
      </w:r>
    </w:p>
    <w:p w14:paraId="519B4344"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NN02: Mẫu nước giếng Q222b tại sân vận động xã Điền Xá, Nam Trực (tầng chứa nước qp – sâu 115m)</w:t>
      </w:r>
    </w:p>
    <w:p w14:paraId="519B4345" w14:textId="77777777" w:rsidR="009758A5" w:rsidRPr="008E63BB" w:rsidRDefault="009758A5" w:rsidP="003D057A">
      <w:pPr>
        <w:pStyle w:val="FootnoteText"/>
        <w:tabs>
          <w:tab w:val="left" w:pos="360"/>
        </w:tabs>
        <w:spacing w:after="0" w:line="240" w:lineRule="auto"/>
        <w:ind w:firstLine="567"/>
        <w:jc w:val="both"/>
        <w:rPr>
          <w:rFonts w:ascii="Times New Roman" w:hAnsi="Times New Roman"/>
          <w:i/>
          <w:sz w:val="24"/>
          <w:szCs w:val="24"/>
        </w:rPr>
      </w:pPr>
      <w:r w:rsidRPr="008E63BB">
        <w:rPr>
          <w:rFonts w:ascii="Times New Roman" w:hAnsi="Times New Roman"/>
          <w:i/>
          <w:sz w:val="24"/>
          <w:szCs w:val="24"/>
        </w:rPr>
        <w:t>+ NN03: Mẫu nước giếng đào sâu 9m nhà ông Vũ Minh Huệ đội 7 – xã Vĩnh Hào – huyện Vụ Bản.</w:t>
      </w:r>
    </w:p>
    <w:p w14:paraId="519B4346" w14:textId="77777777" w:rsidR="009758A5" w:rsidRPr="008E63BB" w:rsidRDefault="009758A5" w:rsidP="009758A5">
      <w:pPr>
        <w:pStyle w:val="FootnoteText"/>
        <w:tabs>
          <w:tab w:val="left" w:pos="360"/>
        </w:tabs>
        <w:spacing w:after="0" w:line="240" w:lineRule="auto"/>
        <w:jc w:val="both"/>
        <w:rPr>
          <w:rFonts w:ascii="Times New Roman" w:hAnsi="Times New Roman"/>
          <w:b/>
          <w:i/>
          <w:sz w:val="26"/>
          <w:szCs w:val="26"/>
        </w:rPr>
      </w:pPr>
      <w:r w:rsidRPr="008E63BB">
        <w:rPr>
          <w:rFonts w:ascii="Times New Roman" w:hAnsi="Times New Roman"/>
          <w:b/>
          <w:i/>
          <w:sz w:val="26"/>
          <w:szCs w:val="26"/>
        </w:rPr>
        <w:t>b. Môi trường không khí, tiếng ồn:</w:t>
      </w:r>
    </w:p>
    <w:p w14:paraId="519B4347" w14:textId="77777777" w:rsidR="009758A5" w:rsidRPr="008E63BB" w:rsidRDefault="009758A5" w:rsidP="009758A5">
      <w:pPr>
        <w:autoSpaceDE w:val="0"/>
        <w:autoSpaceDN w:val="0"/>
        <w:adjustRightInd w:val="0"/>
        <w:spacing w:before="60" w:line="320" w:lineRule="exact"/>
        <w:ind w:firstLine="720"/>
        <w:rPr>
          <w:lang w:val="sv-SE"/>
        </w:rPr>
      </w:pPr>
      <w:r w:rsidRPr="008E63BB">
        <w:rPr>
          <w:lang w:val="sv-SE"/>
        </w:rPr>
        <w:t xml:space="preserve"> Môi trường không khí đang có dấu hiệu ô nhiễm bụi, tiếng ồn, đặc biệt tại các khu vực tiếp giáp khu công nghiệp, trên các trục, điểm giao cắt giao thông lớn;</w:t>
      </w:r>
    </w:p>
    <w:p w14:paraId="519B4348" w14:textId="77777777" w:rsidR="009758A5" w:rsidRPr="008E63BB" w:rsidRDefault="009758A5" w:rsidP="009758A5">
      <w:pPr>
        <w:autoSpaceDE w:val="0"/>
        <w:autoSpaceDN w:val="0"/>
        <w:adjustRightInd w:val="0"/>
        <w:spacing w:before="60" w:after="60"/>
        <w:rPr>
          <w:noProof/>
          <w:lang w:val="sv-SE"/>
        </w:rPr>
      </w:pPr>
    </w:p>
    <w:p w14:paraId="519B4349" w14:textId="77777777" w:rsidR="009758A5" w:rsidRPr="008E63BB" w:rsidRDefault="009758A5" w:rsidP="009758A5">
      <w:pPr>
        <w:autoSpaceDE w:val="0"/>
        <w:autoSpaceDN w:val="0"/>
        <w:adjustRightInd w:val="0"/>
        <w:spacing w:before="60" w:after="60"/>
        <w:rPr>
          <w:i/>
          <w:lang w:val="sv-SE"/>
        </w:rPr>
      </w:pPr>
      <w:r w:rsidRPr="008E63BB">
        <w:rPr>
          <w:i/>
          <w:noProof/>
          <w:lang w:eastAsia="zh-CN"/>
        </w:rPr>
        <w:lastRenderedPageBreak/>
        <w:drawing>
          <wp:inline distT="0" distB="0" distL="0" distR="0" wp14:anchorId="519B52AF" wp14:editId="519B52B0">
            <wp:extent cx="5913005" cy="1963554"/>
            <wp:effectExtent l="0" t="0" r="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3" cstate="screen">
                      <a:extLst>
                        <a:ext uri="{28A0092B-C50C-407E-A947-70E740481C1C}">
                          <a14:useLocalDpi xmlns:a14="http://schemas.microsoft.com/office/drawing/2010/main"/>
                        </a:ext>
                      </a:extLst>
                    </a:blip>
                    <a:srcRect t="2335" b="2398"/>
                    <a:stretch/>
                  </pic:blipFill>
                  <pic:spPr bwMode="auto">
                    <a:xfrm>
                      <a:off x="0" y="0"/>
                      <a:ext cx="5995848" cy="1991064"/>
                    </a:xfrm>
                    <a:prstGeom prst="rect">
                      <a:avLst/>
                    </a:prstGeom>
                    <a:noFill/>
                    <a:ln>
                      <a:noFill/>
                    </a:ln>
                    <a:extLst>
                      <a:ext uri="{53640926-AAD7-44D8-BBD7-CCE9431645EC}">
                        <a14:shadowObscured xmlns:a14="http://schemas.microsoft.com/office/drawing/2010/main"/>
                      </a:ext>
                    </a:extLst>
                  </pic:spPr>
                </pic:pic>
              </a:graphicData>
            </a:graphic>
          </wp:inline>
        </w:drawing>
      </w:r>
    </w:p>
    <w:p w14:paraId="519B434A" w14:textId="77777777" w:rsidR="009758A5" w:rsidRPr="008E63BB" w:rsidRDefault="009758A5" w:rsidP="009758A5">
      <w:pPr>
        <w:autoSpaceDE w:val="0"/>
        <w:autoSpaceDN w:val="0"/>
        <w:adjustRightInd w:val="0"/>
        <w:spacing w:before="60" w:after="60"/>
        <w:jc w:val="center"/>
        <w:rPr>
          <w:i/>
          <w:lang w:val="sv-SE"/>
        </w:rPr>
      </w:pPr>
      <w:r w:rsidRPr="008E63BB">
        <w:rPr>
          <w:i/>
          <w:lang w:val="sv-SE"/>
        </w:rPr>
        <w:t>Diễn biến tiếng ồn trên địa bàn thành phố Nam Định từ năm 2017-2019</w:t>
      </w:r>
    </w:p>
    <w:p w14:paraId="519B434B" w14:textId="77777777" w:rsidR="009758A5" w:rsidRPr="008E63BB" w:rsidRDefault="009758A5" w:rsidP="005F4632">
      <w:pPr>
        <w:autoSpaceDE w:val="0"/>
        <w:autoSpaceDN w:val="0"/>
        <w:adjustRightInd w:val="0"/>
        <w:jc w:val="center"/>
        <w:rPr>
          <w:i/>
          <w:noProof/>
        </w:rPr>
      </w:pPr>
      <w:r w:rsidRPr="008E63BB">
        <w:rPr>
          <w:i/>
          <w:noProof/>
          <w:lang w:eastAsia="zh-CN"/>
        </w:rPr>
        <w:drawing>
          <wp:inline distT="0" distB="0" distL="0" distR="0" wp14:anchorId="519B52B1" wp14:editId="519B52B2">
            <wp:extent cx="5753805" cy="1905802"/>
            <wp:effectExtent l="0" t="0" r="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4" cstate="screen">
                      <a:extLst>
                        <a:ext uri="{28A0092B-C50C-407E-A947-70E740481C1C}">
                          <a14:useLocalDpi xmlns:a14="http://schemas.microsoft.com/office/drawing/2010/main"/>
                        </a:ext>
                      </a:extLst>
                    </a:blip>
                    <a:srcRect l="2898" t="3287" b="3711"/>
                    <a:stretch/>
                  </pic:blipFill>
                  <pic:spPr bwMode="auto">
                    <a:xfrm>
                      <a:off x="0" y="0"/>
                      <a:ext cx="5806787" cy="1923351"/>
                    </a:xfrm>
                    <a:prstGeom prst="rect">
                      <a:avLst/>
                    </a:prstGeom>
                    <a:noFill/>
                    <a:ln>
                      <a:noFill/>
                    </a:ln>
                    <a:extLst>
                      <a:ext uri="{53640926-AAD7-44D8-BBD7-CCE9431645EC}">
                        <a14:shadowObscured xmlns:a14="http://schemas.microsoft.com/office/drawing/2010/main"/>
                      </a:ext>
                    </a:extLst>
                  </pic:spPr>
                </pic:pic>
              </a:graphicData>
            </a:graphic>
          </wp:inline>
        </w:drawing>
      </w:r>
    </w:p>
    <w:p w14:paraId="519B434C" w14:textId="77777777" w:rsidR="009758A5" w:rsidRPr="008E63BB" w:rsidRDefault="009758A5" w:rsidP="005F4632">
      <w:pPr>
        <w:autoSpaceDE w:val="0"/>
        <w:autoSpaceDN w:val="0"/>
        <w:adjustRightInd w:val="0"/>
        <w:jc w:val="center"/>
        <w:rPr>
          <w:i/>
        </w:rPr>
      </w:pPr>
      <w:r w:rsidRPr="008E63BB">
        <w:rPr>
          <w:i/>
        </w:rPr>
        <w:t>Diễn biến tiếng ồn trên địa bàn các xã Vụ Bản, Nam Trực, Mỹ Lộc năm 2017-2019</w:t>
      </w:r>
    </w:p>
    <w:p w14:paraId="519B434D" w14:textId="77777777" w:rsidR="009758A5" w:rsidRPr="008E63BB" w:rsidRDefault="009758A5" w:rsidP="005F4632">
      <w:pPr>
        <w:autoSpaceDE w:val="0"/>
        <w:autoSpaceDN w:val="0"/>
        <w:adjustRightInd w:val="0"/>
        <w:jc w:val="center"/>
        <w:rPr>
          <w:i/>
        </w:rPr>
      </w:pPr>
      <w:r w:rsidRPr="008E63BB">
        <w:rPr>
          <w:i/>
          <w:noProof/>
          <w:lang w:eastAsia="zh-CN"/>
        </w:rPr>
        <w:drawing>
          <wp:inline distT="0" distB="0" distL="0" distR="0" wp14:anchorId="519B52B3" wp14:editId="519B52B4">
            <wp:extent cx="6016212" cy="2030930"/>
            <wp:effectExtent l="0" t="0" r="3810" b="7620"/>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5" cstate="screen">
                      <a:extLst>
                        <a:ext uri="{28A0092B-C50C-407E-A947-70E740481C1C}">
                          <a14:useLocalDpi xmlns:a14="http://schemas.microsoft.com/office/drawing/2010/main"/>
                        </a:ext>
                      </a:extLst>
                    </a:blip>
                    <a:srcRect l="3103" t="1369" b="2397"/>
                    <a:stretch/>
                  </pic:blipFill>
                  <pic:spPr bwMode="auto">
                    <a:xfrm>
                      <a:off x="0" y="0"/>
                      <a:ext cx="6059312" cy="2045480"/>
                    </a:xfrm>
                    <a:prstGeom prst="rect">
                      <a:avLst/>
                    </a:prstGeom>
                    <a:noFill/>
                    <a:ln>
                      <a:noFill/>
                    </a:ln>
                    <a:extLst>
                      <a:ext uri="{53640926-AAD7-44D8-BBD7-CCE9431645EC}">
                        <a14:shadowObscured xmlns:a14="http://schemas.microsoft.com/office/drawing/2010/main"/>
                      </a:ext>
                    </a:extLst>
                  </pic:spPr>
                </pic:pic>
              </a:graphicData>
            </a:graphic>
          </wp:inline>
        </w:drawing>
      </w:r>
    </w:p>
    <w:p w14:paraId="519B434E" w14:textId="77777777" w:rsidR="009758A5" w:rsidRPr="008E63BB" w:rsidRDefault="009758A5" w:rsidP="005F4632">
      <w:pPr>
        <w:autoSpaceDE w:val="0"/>
        <w:autoSpaceDN w:val="0"/>
        <w:adjustRightInd w:val="0"/>
        <w:jc w:val="center"/>
        <w:rPr>
          <w:i/>
        </w:rPr>
      </w:pPr>
      <w:r w:rsidRPr="008E63BB">
        <w:rPr>
          <w:i/>
        </w:rPr>
        <w:t>Diễn biến hàm lượng bụi trên địa bàn thành phố Nam Định từ năm 2017-2019</w:t>
      </w:r>
    </w:p>
    <w:p w14:paraId="519B434F" w14:textId="77777777" w:rsidR="009758A5" w:rsidRPr="008E63BB" w:rsidRDefault="009758A5" w:rsidP="005F4632">
      <w:pPr>
        <w:autoSpaceDE w:val="0"/>
        <w:autoSpaceDN w:val="0"/>
        <w:adjustRightInd w:val="0"/>
        <w:jc w:val="center"/>
        <w:rPr>
          <w:i/>
        </w:rPr>
      </w:pPr>
      <w:r w:rsidRPr="008E63BB">
        <w:rPr>
          <w:i/>
          <w:noProof/>
          <w:lang w:eastAsia="zh-CN"/>
        </w:rPr>
        <w:drawing>
          <wp:inline distT="0" distB="0" distL="0" distR="0" wp14:anchorId="519B52B5" wp14:editId="519B52B6">
            <wp:extent cx="5870996" cy="1911158"/>
            <wp:effectExtent l="0" t="0" r="0" b="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6" cstate="screen">
                      <a:extLst>
                        <a:ext uri="{28A0092B-C50C-407E-A947-70E740481C1C}">
                          <a14:useLocalDpi xmlns:a14="http://schemas.microsoft.com/office/drawing/2010/main"/>
                        </a:ext>
                      </a:extLst>
                    </a:blip>
                    <a:srcRect l="2758" t="3018" b="3247"/>
                    <a:stretch/>
                  </pic:blipFill>
                  <pic:spPr bwMode="auto">
                    <a:xfrm>
                      <a:off x="0" y="0"/>
                      <a:ext cx="5872417" cy="1911620"/>
                    </a:xfrm>
                    <a:prstGeom prst="rect">
                      <a:avLst/>
                    </a:prstGeom>
                    <a:noFill/>
                    <a:ln>
                      <a:noFill/>
                    </a:ln>
                    <a:extLst>
                      <a:ext uri="{53640926-AAD7-44D8-BBD7-CCE9431645EC}">
                        <a14:shadowObscured xmlns:a14="http://schemas.microsoft.com/office/drawing/2010/main"/>
                      </a:ext>
                    </a:extLst>
                  </pic:spPr>
                </pic:pic>
              </a:graphicData>
            </a:graphic>
          </wp:inline>
        </w:drawing>
      </w:r>
    </w:p>
    <w:p w14:paraId="519B4350" w14:textId="77777777" w:rsidR="009758A5" w:rsidRPr="008E63BB" w:rsidRDefault="009758A5" w:rsidP="005F4632">
      <w:pPr>
        <w:autoSpaceDE w:val="0"/>
        <w:autoSpaceDN w:val="0"/>
        <w:adjustRightInd w:val="0"/>
        <w:jc w:val="center"/>
        <w:rPr>
          <w:i/>
        </w:rPr>
      </w:pPr>
      <w:r w:rsidRPr="008E63BB">
        <w:rPr>
          <w:i/>
        </w:rPr>
        <w:t>Diễn biến hàm lượng bụi các xã Vụ Bản, Nam Trực, Mỹ Lộc năm 2017-2019</w:t>
      </w:r>
    </w:p>
    <w:p w14:paraId="519B4351" w14:textId="77777777" w:rsidR="009758A5" w:rsidRPr="008E63BB" w:rsidRDefault="009758A5" w:rsidP="005F4632">
      <w:pPr>
        <w:autoSpaceDE w:val="0"/>
        <w:autoSpaceDN w:val="0"/>
        <w:adjustRightInd w:val="0"/>
        <w:rPr>
          <w:b/>
          <w:i/>
          <w:lang w:val="sv-SE"/>
        </w:rPr>
      </w:pPr>
      <w:r w:rsidRPr="008E63BB">
        <w:rPr>
          <w:b/>
          <w:i/>
          <w:lang w:val="sv-SE"/>
        </w:rPr>
        <w:t xml:space="preserve">c. Môi trường đất </w:t>
      </w:r>
    </w:p>
    <w:p w14:paraId="519B4352" w14:textId="77777777" w:rsidR="009758A5" w:rsidRPr="008E63BB" w:rsidRDefault="009758A5" w:rsidP="005F4632">
      <w:pPr>
        <w:autoSpaceDE w:val="0"/>
        <w:autoSpaceDN w:val="0"/>
        <w:adjustRightInd w:val="0"/>
        <w:ind w:firstLine="720"/>
        <w:rPr>
          <w:lang w:val="sv-SE"/>
        </w:rPr>
      </w:pPr>
      <w:r w:rsidRPr="008E63BB">
        <w:rPr>
          <w:lang w:val="sv-SE"/>
        </w:rPr>
        <w:lastRenderedPageBreak/>
        <w:t>Hiện môi trường đất trên địa bàn Thành phố Nam Định cũng đang phải đối mặt với tình trạng ô nhiễm và suy thoái; Các nguyên nhân gây suy thoái đất tại Nam định từ 2 yếu tố chính là tự nhiên và nhân tạo. Yếu tố tự nhiên là do xâm nhập năm từ nước biển và nhiễm phèn; do nước mưa chứa chất bẩn bề mặt thẩm thấu qua lớp đất; nưacs mưa rửa trôi, làm xói mòn đất... Yếu tố nhân tạo chủ yếu do hoạt động của con người tạo ra các chất thải làm ô nhiễm đất; do hoạt động sản xuất nông nghiệp sử dụng hóa chất BVTV với liều lượng lớn, do hoạt động sản xuất không thực hiện các biện pháp thu gom, xử lý nước thải, chất thải rắn, chất thải nguy hại; do khai thác đất làm nguyên liệu snar xuất vật liệu xây dựng; do việc sử dụng, chuyển đổi mục đích sử dụng đất chưa hợp lý (chuyển đổi đất nông nghiệp thành giao thông; kênh mương thủy lợi, đát công nghiệp; đặc biệt chuyển đát canh tác thành ao hồ nuôi trồng thủy sản).</w:t>
      </w:r>
    </w:p>
    <w:p w14:paraId="519B4353" w14:textId="77777777" w:rsidR="009758A5" w:rsidRPr="008E63BB" w:rsidRDefault="009758A5" w:rsidP="009758A5">
      <w:pPr>
        <w:autoSpaceDE w:val="0"/>
        <w:autoSpaceDN w:val="0"/>
        <w:adjustRightInd w:val="0"/>
        <w:spacing w:before="120" w:after="120"/>
        <w:ind w:firstLine="720"/>
        <w:rPr>
          <w:lang w:val="sv-SE"/>
        </w:rPr>
      </w:pPr>
      <w:r w:rsidRPr="008E63BB">
        <w:rPr>
          <w:lang w:val="sv-SE"/>
        </w:rPr>
        <w:t>Biến đổi khí hậu những năm qua đã gây nền tình trạng khô hạn kéo dài, mùa khô lâu hơn mùa mưa, cùng với sự dân lên của mực nươc biển nên quá trình xâm nhập mặn ngày càng sâu vào dất liền, độ mặn tăng cao và thời gian ngập mạn kéo dài; Trên sông Hồng, ranh giới mặn 1‰ đã lấn đền P</w:t>
      </w:r>
    </w:p>
    <w:p w14:paraId="519B4354" w14:textId="77777777" w:rsidR="009758A5" w:rsidRPr="008E63BB" w:rsidRDefault="009758A5" w:rsidP="009758A5">
      <w:pPr>
        <w:autoSpaceDE w:val="0"/>
        <w:autoSpaceDN w:val="0"/>
        <w:adjustRightInd w:val="0"/>
        <w:spacing w:before="120" w:after="120"/>
        <w:ind w:firstLine="720"/>
        <w:rPr>
          <w:lang w:val="sv-SE"/>
        </w:rPr>
      </w:pPr>
      <w:r w:rsidRPr="008E63BB">
        <w:rPr>
          <w:lang w:val="sv-SE"/>
        </w:rPr>
        <w:t>Hiện tại số liệu điều tra nghiên cứu về môi trường đất chưa nhiều, song qua khảo sát sơ bộ cho thấy diện tích đát nông nghiệp dùng cho trồng trọ có xu hướng mất cân đối về dinh dưỡng do biến đổi khí hâu, tình trạng canh tác độc canh, thâm canh đã sử dụng nhiều phân bón vô cơ và hóa chất bảo vệ thực vật; Theo kết quả điều tra, tại TP Nam Định, tổng lượng hóa chất sử dụng khoảng 3,9 tấn/năm; tại Mỹ lộc khoảng 15,52 tấn/năm; Nam Trực là 54,9 tấn/năm và Vụ Bản là 41,9 tấn/năm; các kết quả quan trắc môi trường đất những năm gần đây cho thấy đã có xuất hiện dư lượng hóa chất BVTV, kim loại nặng trong các kết quả phân tích, và có dấu hiệu tăng, tuy các chỉ số đều nằm trong giới hạn cho phép của QCVN;</w:t>
      </w:r>
    </w:p>
    <w:p w14:paraId="519B4355" w14:textId="77777777" w:rsidR="009758A5" w:rsidRPr="008E63BB" w:rsidRDefault="00D4372E" w:rsidP="009758A5">
      <w:pPr>
        <w:autoSpaceDE w:val="0"/>
        <w:autoSpaceDN w:val="0"/>
        <w:adjustRightInd w:val="0"/>
        <w:spacing w:before="120" w:after="120"/>
        <w:jc w:val="center"/>
        <w:rPr>
          <w:b/>
          <w:lang w:val="sv-SE"/>
        </w:rPr>
      </w:pPr>
      <w:r w:rsidRPr="008E63BB">
        <w:rPr>
          <w:b/>
          <w:lang w:val="sv-SE"/>
        </w:rPr>
        <w:t xml:space="preserve">Bảng MT02: </w:t>
      </w:r>
      <w:r w:rsidR="009758A5" w:rsidRPr="008E63BB">
        <w:rPr>
          <w:b/>
          <w:lang w:val="sv-SE"/>
        </w:rPr>
        <w:t>Lượng hóa hóa chất bảo vệ thực vật sử dụng trong 1 năm (kg)</w:t>
      </w:r>
    </w:p>
    <w:tbl>
      <w:tblPr>
        <w:tblW w:w="9175" w:type="dxa"/>
        <w:tblLook w:val="04A0" w:firstRow="1" w:lastRow="0" w:firstColumn="1" w:lastColumn="0" w:noHBand="0" w:noVBand="1"/>
      </w:tblPr>
      <w:tblGrid>
        <w:gridCol w:w="805"/>
        <w:gridCol w:w="2520"/>
        <w:gridCol w:w="2160"/>
        <w:gridCol w:w="1890"/>
        <w:gridCol w:w="1800"/>
      </w:tblGrid>
      <w:tr w:rsidR="008D5BFE" w:rsidRPr="008E63BB" w14:paraId="519B435B" w14:textId="77777777" w:rsidTr="00C83DC4">
        <w:trPr>
          <w:trHeight w:val="288"/>
        </w:trPr>
        <w:tc>
          <w:tcPr>
            <w:tcW w:w="8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356" w14:textId="77777777" w:rsidR="009758A5" w:rsidRPr="008E63BB" w:rsidRDefault="009758A5" w:rsidP="00C83DC4">
            <w:pPr>
              <w:jc w:val="center"/>
              <w:rPr>
                <w:rFonts w:eastAsia="Times New Roman"/>
                <w:b/>
                <w:szCs w:val="26"/>
              </w:rPr>
            </w:pPr>
            <w:r w:rsidRPr="008E63BB">
              <w:rPr>
                <w:rFonts w:eastAsia="Times New Roman"/>
                <w:b/>
                <w:szCs w:val="26"/>
              </w:rPr>
              <w:t>STT</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519B4357" w14:textId="77777777" w:rsidR="009758A5" w:rsidRPr="008E63BB" w:rsidRDefault="009758A5" w:rsidP="00C83DC4">
            <w:pPr>
              <w:jc w:val="center"/>
              <w:rPr>
                <w:rFonts w:eastAsia="Times New Roman"/>
                <w:b/>
                <w:szCs w:val="26"/>
              </w:rPr>
            </w:pPr>
            <w:r w:rsidRPr="008E63BB">
              <w:rPr>
                <w:rFonts w:eastAsia="Times New Roman"/>
                <w:b/>
                <w:szCs w:val="26"/>
              </w:rPr>
              <w:t>Huyện</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519B4358" w14:textId="77777777" w:rsidR="009758A5" w:rsidRPr="008E63BB" w:rsidRDefault="009758A5" w:rsidP="00C83DC4">
            <w:pPr>
              <w:jc w:val="center"/>
              <w:rPr>
                <w:rFonts w:eastAsia="Times New Roman"/>
                <w:b/>
                <w:szCs w:val="26"/>
              </w:rPr>
            </w:pPr>
            <w:r w:rsidRPr="008E63BB">
              <w:rPr>
                <w:rFonts w:eastAsia="Times New Roman"/>
                <w:b/>
                <w:szCs w:val="26"/>
              </w:rPr>
              <w:t>Vụ Xuân</w:t>
            </w:r>
          </w:p>
        </w:tc>
        <w:tc>
          <w:tcPr>
            <w:tcW w:w="1890" w:type="dxa"/>
            <w:tcBorders>
              <w:top w:val="single" w:sz="4" w:space="0" w:color="auto"/>
              <w:left w:val="nil"/>
              <w:bottom w:val="single" w:sz="4" w:space="0" w:color="auto"/>
              <w:right w:val="single" w:sz="4" w:space="0" w:color="auto"/>
            </w:tcBorders>
            <w:shd w:val="clear" w:color="auto" w:fill="auto"/>
            <w:noWrap/>
            <w:vAlign w:val="center"/>
            <w:hideMark/>
          </w:tcPr>
          <w:p w14:paraId="519B4359" w14:textId="77777777" w:rsidR="009758A5" w:rsidRPr="008E63BB" w:rsidRDefault="009758A5" w:rsidP="00C83DC4">
            <w:pPr>
              <w:jc w:val="center"/>
              <w:rPr>
                <w:rFonts w:eastAsia="Times New Roman"/>
                <w:b/>
                <w:szCs w:val="26"/>
              </w:rPr>
            </w:pPr>
            <w:r w:rsidRPr="008E63BB">
              <w:rPr>
                <w:rFonts w:eastAsia="Times New Roman"/>
                <w:b/>
                <w:szCs w:val="26"/>
              </w:rPr>
              <w:t>Vụ mùa</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519B435A" w14:textId="77777777" w:rsidR="009758A5" w:rsidRPr="008E63BB" w:rsidRDefault="009758A5" w:rsidP="00C83DC4">
            <w:pPr>
              <w:jc w:val="center"/>
              <w:rPr>
                <w:rFonts w:eastAsia="Times New Roman"/>
                <w:b/>
                <w:szCs w:val="26"/>
              </w:rPr>
            </w:pPr>
            <w:r w:rsidRPr="008E63BB">
              <w:rPr>
                <w:rFonts w:eastAsia="Times New Roman"/>
                <w:b/>
                <w:szCs w:val="26"/>
              </w:rPr>
              <w:t>Tổng</w:t>
            </w:r>
          </w:p>
        </w:tc>
      </w:tr>
      <w:tr w:rsidR="008D5BFE" w:rsidRPr="008E63BB" w14:paraId="519B4361" w14:textId="77777777" w:rsidTr="00C83DC4">
        <w:trPr>
          <w:trHeight w:val="288"/>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19B435C" w14:textId="77777777" w:rsidR="009758A5" w:rsidRPr="008E63BB" w:rsidRDefault="009758A5" w:rsidP="00C83DC4">
            <w:pPr>
              <w:jc w:val="center"/>
              <w:rPr>
                <w:rFonts w:eastAsia="Times New Roman"/>
                <w:szCs w:val="26"/>
              </w:rPr>
            </w:pPr>
            <w:r w:rsidRPr="008E63BB">
              <w:rPr>
                <w:rFonts w:eastAsia="Times New Roman"/>
                <w:szCs w:val="26"/>
              </w:rPr>
              <w:t>1</w:t>
            </w:r>
          </w:p>
        </w:tc>
        <w:tc>
          <w:tcPr>
            <w:tcW w:w="2520" w:type="dxa"/>
            <w:tcBorders>
              <w:top w:val="nil"/>
              <w:left w:val="nil"/>
              <w:bottom w:val="single" w:sz="4" w:space="0" w:color="auto"/>
              <w:right w:val="single" w:sz="4" w:space="0" w:color="auto"/>
            </w:tcBorders>
            <w:shd w:val="clear" w:color="auto" w:fill="auto"/>
            <w:noWrap/>
            <w:vAlign w:val="center"/>
            <w:hideMark/>
          </w:tcPr>
          <w:p w14:paraId="519B435D" w14:textId="77777777" w:rsidR="009758A5" w:rsidRPr="008E63BB" w:rsidRDefault="009758A5" w:rsidP="00C83DC4">
            <w:pPr>
              <w:jc w:val="left"/>
              <w:rPr>
                <w:rFonts w:eastAsia="Times New Roman"/>
                <w:szCs w:val="26"/>
              </w:rPr>
            </w:pPr>
            <w:r w:rsidRPr="008E63BB">
              <w:rPr>
                <w:rFonts w:eastAsia="Times New Roman"/>
                <w:szCs w:val="26"/>
              </w:rPr>
              <w:t>Nam Trực</w:t>
            </w:r>
          </w:p>
        </w:tc>
        <w:tc>
          <w:tcPr>
            <w:tcW w:w="2160" w:type="dxa"/>
            <w:tcBorders>
              <w:top w:val="nil"/>
              <w:left w:val="nil"/>
              <w:bottom w:val="single" w:sz="4" w:space="0" w:color="auto"/>
              <w:right w:val="single" w:sz="4" w:space="0" w:color="auto"/>
            </w:tcBorders>
            <w:shd w:val="clear" w:color="auto" w:fill="auto"/>
            <w:noWrap/>
            <w:vAlign w:val="center"/>
            <w:hideMark/>
          </w:tcPr>
          <w:p w14:paraId="519B435E" w14:textId="77777777" w:rsidR="009758A5" w:rsidRPr="008E63BB" w:rsidRDefault="009758A5" w:rsidP="00C83DC4">
            <w:pPr>
              <w:jc w:val="center"/>
              <w:rPr>
                <w:rFonts w:eastAsia="Times New Roman"/>
                <w:szCs w:val="26"/>
              </w:rPr>
            </w:pPr>
            <w:r w:rsidRPr="008E63BB">
              <w:rPr>
                <w:rFonts w:eastAsia="Times New Roman"/>
                <w:szCs w:val="26"/>
              </w:rPr>
              <w:t>17.688,3</w:t>
            </w:r>
          </w:p>
        </w:tc>
        <w:tc>
          <w:tcPr>
            <w:tcW w:w="1890" w:type="dxa"/>
            <w:tcBorders>
              <w:top w:val="nil"/>
              <w:left w:val="nil"/>
              <w:bottom w:val="single" w:sz="4" w:space="0" w:color="auto"/>
              <w:right w:val="single" w:sz="4" w:space="0" w:color="auto"/>
            </w:tcBorders>
            <w:shd w:val="clear" w:color="auto" w:fill="auto"/>
            <w:noWrap/>
            <w:vAlign w:val="center"/>
            <w:hideMark/>
          </w:tcPr>
          <w:p w14:paraId="519B435F" w14:textId="77777777" w:rsidR="009758A5" w:rsidRPr="008E63BB" w:rsidRDefault="009758A5" w:rsidP="00C83DC4">
            <w:pPr>
              <w:jc w:val="center"/>
              <w:rPr>
                <w:rFonts w:eastAsia="Times New Roman"/>
                <w:szCs w:val="26"/>
              </w:rPr>
            </w:pPr>
            <w:r w:rsidRPr="008E63BB">
              <w:rPr>
                <w:rFonts w:eastAsia="Times New Roman"/>
                <w:szCs w:val="26"/>
              </w:rPr>
              <w:t>28.210,0</w:t>
            </w:r>
          </w:p>
        </w:tc>
        <w:tc>
          <w:tcPr>
            <w:tcW w:w="1800" w:type="dxa"/>
            <w:tcBorders>
              <w:top w:val="nil"/>
              <w:left w:val="nil"/>
              <w:bottom w:val="single" w:sz="4" w:space="0" w:color="auto"/>
              <w:right w:val="single" w:sz="4" w:space="0" w:color="auto"/>
            </w:tcBorders>
            <w:shd w:val="clear" w:color="auto" w:fill="auto"/>
            <w:noWrap/>
            <w:vAlign w:val="center"/>
            <w:hideMark/>
          </w:tcPr>
          <w:p w14:paraId="519B4360" w14:textId="77777777" w:rsidR="009758A5" w:rsidRPr="008E63BB" w:rsidRDefault="009758A5" w:rsidP="00C83DC4">
            <w:pPr>
              <w:jc w:val="center"/>
              <w:rPr>
                <w:rFonts w:eastAsia="Times New Roman"/>
                <w:szCs w:val="26"/>
              </w:rPr>
            </w:pPr>
            <w:r w:rsidRPr="008E63BB">
              <w:rPr>
                <w:rFonts w:eastAsia="Times New Roman"/>
                <w:szCs w:val="26"/>
              </w:rPr>
              <w:t>45.898,3</w:t>
            </w:r>
          </w:p>
        </w:tc>
      </w:tr>
      <w:tr w:rsidR="008D5BFE" w:rsidRPr="008E63BB" w14:paraId="519B4367" w14:textId="77777777" w:rsidTr="00C83DC4">
        <w:trPr>
          <w:trHeight w:val="288"/>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19B4362" w14:textId="77777777" w:rsidR="009758A5" w:rsidRPr="008E63BB" w:rsidRDefault="009758A5" w:rsidP="00C83DC4">
            <w:pPr>
              <w:jc w:val="center"/>
              <w:rPr>
                <w:rFonts w:eastAsia="Times New Roman"/>
                <w:szCs w:val="26"/>
              </w:rPr>
            </w:pPr>
            <w:r w:rsidRPr="008E63BB">
              <w:rPr>
                <w:rFonts w:eastAsia="Times New Roman"/>
                <w:szCs w:val="26"/>
              </w:rPr>
              <w:t>2</w:t>
            </w:r>
          </w:p>
        </w:tc>
        <w:tc>
          <w:tcPr>
            <w:tcW w:w="2520" w:type="dxa"/>
            <w:tcBorders>
              <w:top w:val="nil"/>
              <w:left w:val="nil"/>
              <w:bottom w:val="single" w:sz="4" w:space="0" w:color="auto"/>
              <w:right w:val="single" w:sz="4" w:space="0" w:color="auto"/>
            </w:tcBorders>
            <w:shd w:val="clear" w:color="auto" w:fill="auto"/>
            <w:noWrap/>
            <w:vAlign w:val="center"/>
            <w:hideMark/>
          </w:tcPr>
          <w:p w14:paraId="519B4363" w14:textId="77777777" w:rsidR="009758A5" w:rsidRPr="008E63BB" w:rsidRDefault="009758A5" w:rsidP="00C83DC4">
            <w:pPr>
              <w:jc w:val="left"/>
              <w:rPr>
                <w:rFonts w:eastAsia="Times New Roman"/>
                <w:szCs w:val="26"/>
              </w:rPr>
            </w:pPr>
            <w:r w:rsidRPr="008E63BB">
              <w:rPr>
                <w:rFonts w:eastAsia="Times New Roman"/>
                <w:szCs w:val="26"/>
              </w:rPr>
              <w:t>Vụ Bản</w:t>
            </w:r>
          </w:p>
        </w:tc>
        <w:tc>
          <w:tcPr>
            <w:tcW w:w="2160" w:type="dxa"/>
            <w:tcBorders>
              <w:top w:val="nil"/>
              <w:left w:val="nil"/>
              <w:bottom w:val="single" w:sz="4" w:space="0" w:color="auto"/>
              <w:right w:val="single" w:sz="4" w:space="0" w:color="auto"/>
            </w:tcBorders>
            <w:shd w:val="clear" w:color="auto" w:fill="auto"/>
            <w:noWrap/>
            <w:vAlign w:val="center"/>
            <w:hideMark/>
          </w:tcPr>
          <w:p w14:paraId="519B4364" w14:textId="77777777" w:rsidR="009758A5" w:rsidRPr="008E63BB" w:rsidRDefault="009758A5" w:rsidP="00C83DC4">
            <w:pPr>
              <w:jc w:val="center"/>
              <w:rPr>
                <w:rFonts w:eastAsia="Times New Roman"/>
                <w:szCs w:val="26"/>
              </w:rPr>
            </w:pPr>
            <w:r w:rsidRPr="008E63BB">
              <w:rPr>
                <w:rFonts w:eastAsia="Times New Roman"/>
                <w:szCs w:val="26"/>
              </w:rPr>
              <w:t>17.459,4</w:t>
            </w:r>
          </w:p>
        </w:tc>
        <w:tc>
          <w:tcPr>
            <w:tcW w:w="1890" w:type="dxa"/>
            <w:tcBorders>
              <w:top w:val="nil"/>
              <w:left w:val="nil"/>
              <w:bottom w:val="single" w:sz="4" w:space="0" w:color="auto"/>
              <w:right w:val="single" w:sz="4" w:space="0" w:color="auto"/>
            </w:tcBorders>
            <w:shd w:val="clear" w:color="auto" w:fill="auto"/>
            <w:noWrap/>
            <w:vAlign w:val="center"/>
            <w:hideMark/>
          </w:tcPr>
          <w:p w14:paraId="519B4365" w14:textId="77777777" w:rsidR="009758A5" w:rsidRPr="008E63BB" w:rsidRDefault="009758A5" w:rsidP="00C83DC4">
            <w:pPr>
              <w:jc w:val="center"/>
              <w:rPr>
                <w:rFonts w:eastAsia="Times New Roman"/>
                <w:szCs w:val="26"/>
              </w:rPr>
            </w:pPr>
            <w:r w:rsidRPr="008E63BB">
              <w:rPr>
                <w:rFonts w:eastAsia="Times New Roman"/>
                <w:szCs w:val="26"/>
              </w:rPr>
              <w:t>24.450,0</w:t>
            </w:r>
          </w:p>
        </w:tc>
        <w:tc>
          <w:tcPr>
            <w:tcW w:w="1800" w:type="dxa"/>
            <w:tcBorders>
              <w:top w:val="nil"/>
              <w:left w:val="nil"/>
              <w:bottom w:val="single" w:sz="4" w:space="0" w:color="auto"/>
              <w:right w:val="single" w:sz="4" w:space="0" w:color="auto"/>
            </w:tcBorders>
            <w:shd w:val="clear" w:color="auto" w:fill="auto"/>
            <w:noWrap/>
            <w:vAlign w:val="center"/>
            <w:hideMark/>
          </w:tcPr>
          <w:p w14:paraId="519B4366" w14:textId="77777777" w:rsidR="009758A5" w:rsidRPr="008E63BB" w:rsidRDefault="009758A5" w:rsidP="00C83DC4">
            <w:pPr>
              <w:jc w:val="center"/>
              <w:rPr>
                <w:rFonts w:eastAsia="Times New Roman"/>
                <w:szCs w:val="26"/>
              </w:rPr>
            </w:pPr>
            <w:r w:rsidRPr="008E63BB">
              <w:rPr>
                <w:rFonts w:eastAsia="Times New Roman"/>
                <w:szCs w:val="26"/>
              </w:rPr>
              <w:t>41.909,4</w:t>
            </w:r>
          </w:p>
        </w:tc>
      </w:tr>
      <w:tr w:rsidR="008D5BFE" w:rsidRPr="008E63BB" w14:paraId="519B436D" w14:textId="77777777" w:rsidTr="00C83DC4">
        <w:trPr>
          <w:trHeight w:val="288"/>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19B4368" w14:textId="77777777" w:rsidR="009758A5" w:rsidRPr="008E63BB" w:rsidRDefault="009758A5" w:rsidP="00C83DC4">
            <w:pPr>
              <w:jc w:val="center"/>
              <w:rPr>
                <w:rFonts w:eastAsia="Times New Roman"/>
                <w:szCs w:val="26"/>
              </w:rPr>
            </w:pPr>
            <w:r w:rsidRPr="008E63BB">
              <w:rPr>
                <w:rFonts w:eastAsia="Times New Roman"/>
                <w:szCs w:val="26"/>
              </w:rPr>
              <w:t>3</w:t>
            </w:r>
          </w:p>
        </w:tc>
        <w:tc>
          <w:tcPr>
            <w:tcW w:w="2520" w:type="dxa"/>
            <w:tcBorders>
              <w:top w:val="nil"/>
              <w:left w:val="nil"/>
              <w:bottom w:val="single" w:sz="4" w:space="0" w:color="auto"/>
              <w:right w:val="single" w:sz="4" w:space="0" w:color="auto"/>
            </w:tcBorders>
            <w:shd w:val="clear" w:color="auto" w:fill="auto"/>
            <w:noWrap/>
            <w:vAlign w:val="center"/>
            <w:hideMark/>
          </w:tcPr>
          <w:p w14:paraId="519B4369" w14:textId="77777777" w:rsidR="009758A5" w:rsidRPr="008E63BB" w:rsidRDefault="009758A5" w:rsidP="00C83DC4">
            <w:pPr>
              <w:jc w:val="left"/>
              <w:rPr>
                <w:rFonts w:eastAsia="Times New Roman"/>
                <w:szCs w:val="26"/>
              </w:rPr>
            </w:pPr>
            <w:r w:rsidRPr="008E63BB">
              <w:rPr>
                <w:rFonts w:eastAsia="Times New Roman"/>
                <w:szCs w:val="26"/>
              </w:rPr>
              <w:t>Mỹ Lộc</w:t>
            </w:r>
          </w:p>
        </w:tc>
        <w:tc>
          <w:tcPr>
            <w:tcW w:w="2160" w:type="dxa"/>
            <w:tcBorders>
              <w:top w:val="nil"/>
              <w:left w:val="nil"/>
              <w:bottom w:val="single" w:sz="4" w:space="0" w:color="auto"/>
              <w:right w:val="single" w:sz="4" w:space="0" w:color="auto"/>
            </w:tcBorders>
            <w:shd w:val="clear" w:color="auto" w:fill="auto"/>
            <w:noWrap/>
            <w:vAlign w:val="center"/>
            <w:hideMark/>
          </w:tcPr>
          <w:p w14:paraId="519B436A" w14:textId="77777777" w:rsidR="009758A5" w:rsidRPr="008E63BB" w:rsidRDefault="009758A5" w:rsidP="00C83DC4">
            <w:pPr>
              <w:jc w:val="center"/>
              <w:rPr>
                <w:rFonts w:eastAsia="Times New Roman"/>
                <w:szCs w:val="26"/>
              </w:rPr>
            </w:pPr>
            <w:r w:rsidRPr="008E63BB">
              <w:rPr>
                <w:rFonts w:eastAsia="Times New Roman"/>
                <w:szCs w:val="26"/>
              </w:rPr>
              <w:t>7.002,0</w:t>
            </w:r>
          </w:p>
        </w:tc>
        <w:tc>
          <w:tcPr>
            <w:tcW w:w="1890" w:type="dxa"/>
            <w:tcBorders>
              <w:top w:val="nil"/>
              <w:left w:val="nil"/>
              <w:bottom w:val="single" w:sz="4" w:space="0" w:color="auto"/>
              <w:right w:val="single" w:sz="4" w:space="0" w:color="auto"/>
            </w:tcBorders>
            <w:shd w:val="clear" w:color="auto" w:fill="auto"/>
            <w:noWrap/>
            <w:vAlign w:val="center"/>
            <w:hideMark/>
          </w:tcPr>
          <w:p w14:paraId="519B436B" w14:textId="77777777" w:rsidR="009758A5" w:rsidRPr="008E63BB" w:rsidRDefault="009758A5" w:rsidP="00C83DC4">
            <w:pPr>
              <w:jc w:val="center"/>
              <w:rPr>
                <w:rFonts w:eastAsia="Times New Roman"/>
                <w:szCs w:val="26"/>
              </w:rPr>
            </w:pPr>
            <w:r w:rsidRPr="008E63BB">
              <w:rPr>
                <w:rFonts w:eastAsia="Times New Roman"/>
                <w:szCs w:val="26"/>
              </w:rPr>
              <w:t>8.513,1</w:t>
            </w:r>
          </w:p>
        </w:tc>
        <w:tc>
          <w:tcPr>
            <w:tcW w:w="1800" w:type="dxa"/>
            <w:tcBorders>
              <w:top w:val="nil"/>
              <w:left w:val="nil"/>
              <w:bottom w:val="single" w:sz="4" w:space="0" w:color="auto"/>
              <w:right w:val="single" w:sz="4" w:space="0" w:color="auto"/>
            </w:tcBorders>
            <w:shd w:val="clear" w:color="auto" w:fill="auto"/>
            <w:noWrap/>
            <w:vAlign w:val="center"/>
            <w:hideMark/>
          </w:tcPr>
          <w:p w14:paraId="519B436C" w14:textId="77777777" w:rsidR="009758A5" w:rsidRPr="008E63BB" w:rsidRDefault="009758A5" w:rsidP="00C83DC4">
            <w:pPr>
              <w:jc w:val="center"/>
              <w:rPr>
                <w:rFonts w:eastAsia="Times New Roman"/>
                <w:szCs w:val="26"/>
              </w:rPr>
            </w:pPr>
            <w:r w:rsidRPr="008E63BB">
              <w:rPr>
                <w:rFonts w:eastAsia="Times New Roman"/>
                <w:szCs w:val="26"/>
              </w:rPr>
              <w:t>15.515,1</w:t>
            </w:r>
          </w:p>
        </w:tc>
      </w:tr>
      <w:tr w:rsidR="008D5BFE" w:rsidRPr="008E63BB" w14:paraId="519B4373" w14:textId="77777777" w:rsidTr="00C83DC4">
        <w:trPr>
          <w:trHeight w:val="288"/>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19B436E" w14:textId="77777777" w:rsidR="009758A5" w:rsidRPr="008E63BB" w:rsidRDefault="009758A5" w:rsidP="00C83DC4">
            <w:pPr>
              <w:jc w:val="center"/>
              <w:rPr>
                <w:rFonts w:eastAsia="Times New Roman"/>
                <w:szCs w:val="26"/>
              </w:rPr>
            </w:pPr>
            <w:r w:rsidRPr="008E63BB">
              <w:rPr>
                <w:rFonts w:eastAsia="Times New Roman"/>
                <w:szCs w:val="26"/>
              </w:rPr>
              <w:t>4</w:t>
            </w:r>
          </w:p>
        </w:tc>
        <w:tc>
          <w:tcPr>
            <w:tcW w:w="2520" w:type="dxa"/>
            <w:tcBorders>
              <w:top w:val="nil"/>
              <w:left w:val="nil"/>
              <w:bottom w:val="single" w:sz="4" w:space="0" w:color="auto"/>
              <w:right w:val="single" w:sz="4" w:space="0" w:color="auto"/>
            </w:tcBorders>
            <w:shd w:val="clear" w:color="auto" w:fill="auto"/>
            <w:noWrap/>
            <w:vAlign w:val="center"/>
            <w:hideMark/>
          </w:tcPr>
          <w:p w14:paraId="519B436F" w14:textId="77777777" w:rsidR="009758A5" w:rsidRPr="008E63BB" w:rsidRDefault="009758A5" w:rsidP="00C83DC4">
            <w:pPr>
              <w:jc w:val="left"/>
              <w:rPr>
                <w:rFonts w:eastAsia="Times New Roman"/>
                <w:szCs w:val="26"/>
              </w:rPr>
            </w:pPr>
            <w:r w:rsidRPr="008E63BB">
              <w:rPr>
                <w:rFonts w:eastAsia="Times New Roman"/>
                <w:szCs w:val="26"/>
              </w:rPr>
              <w:t>Thành phố</w:t>
            </w:r>
          </w:p>
        </w:tc>
        <w:tc>
          <w:tcPr>
            <w:tcW w:w="2160" w:type="dxa"/>
            <w:tcBorders>
              <w:top w:val="nil"/>
              <w:left w:val="nil"/>
              <w:bottom w:val="single" w:sz="4" w:space="0" w:color="auto"/>
              <w:right w:val="single" w:sz="4" w:space="0" w:color="auto"/>
            </w:tcBorders>
            <w:shd w:val="clear" w:color="auto" w:fill="auto"/>
            <w:noWrap/>
            <w:vAlign w:val="center"/>
            <w:hideMark/>
          </w:tcPr>
          <w:p w14:paraId="519B4370" w14:textId="77777777" w:rsidR="009758A5" w:rsidRPr="008E63BB" w:rsidRDefault="009758A5" w:rsidP="00C83DC4">
            <w:pPr>
              <w:jc w:val="center"/>
              <w:rPr>
                <w:rFonts w:eastAsia="Times New Roman"/>
                <w:szCs w:val="26"/>
              </w:rPr>
            </w:pPr>
            <w:r w:rsidRPr="008E63BB">
              <w:rPr>
                <w:rFonts w:eastAsia="Times New Roman"/>
                <w:szCs w:val="26"/>
              </w:rPr>
              <w:t>1.690,0</w:t>
            </w:r>
          </w:p>
        </w:tc>
        <w:tc>
          <w:tcPr>
            <w:tcW w:w="1890" w:type="dxa"/>
            <w:tcBorders>
              <w:top w:val="nil"/>
              <w:left w:val="nil"/>
              <w:bottom w:val="single" w:sz="4" w:space="0" w:color="auto"/>
              <w:right w:val="single" w:sz="4" w:space="0" w:color="auto"/>
            </w:tcBorders>
            <w:shd w:val="clear" w:color="auto" w:fill="auto"/>
            <w:noWrap/>
            <w:vAlign w:val="center"/>
            <w:hideMark/>
          </w:tcPr>
          <w:p w14:paraId="519B4371" w14:textId="77777777" w:rsidR="009758A5" w:rsidRPr="008E63BB" w:rsidRDefault="009758A5" w:rsidP="00C83DC4">
            <w:pPr>
              <w:jc w:val="center"/>
              <w:rPr>
                <w:rFonts w:eastAsia="Times New Roman"/>
                <w:szCs w:val="26"/>
              </w:rPr>
            </w:pPr>
            <w:r w:rsidRPr="008E63BB">
              <w:rPr>
                <w:rFonts w:eastAsia="Times New Roman"/>
                <w:szCs w:val="26"/>
              </w:rPr>
              <w:t>2.222,1</w:t>
            </w:r>
          </w:p>
        </w:tc>
        <w:tc>
          <w:tcPr>
            <w:tcW w:w="1800" w:type="dxa"/>
            <w:tcBorders>
              <w:top w:val="nil"/>
              <w:left w:val="nil"/>
              <w:bottom w:val="single" w:sz="4" w:space="0" w:color="auto"/>
              <w:right w:val="single" w:sz="4" w:space="0" w:color="auto"/>
            </w:tcBorders>
            <w:shd w:val="clear" w:color="auto" w:fill="auto"/>
            <w:noWrap/>
            <w:vAlign w:val="center"/>
            <w:hideMark/>
          </w:tcPr>
          <w:p w14:paraId="519B4372" w14:textId="77777777" w:rsidR="009758A5" w:rsidRPr="008E63BB" w:rsidRDefault="009758A5" w:rsidP="00C83DC4">
            <w:pPr>
              <w:jc w:val="center"/>
              <w:rPr>
                <w:rFonts w:eastAsia="Times New Roman"/>
                <w:szCs w:val="26"/>
              </w:rPr>
            </w:pPr>
            <w:r w:rsidRPr="008E63BB">
              <w:rPr>
                <w:rFonts w:eastAsia="Times New Roman"/>
                <w:szCs w:val="26"/>
              </w:rPr>
              <w:t>3.912,1</w:t>
            </w:r>
          </w:p>
        </w:tc>
      </w:tr>
      <w:tr w:rsidR="008D5BFE" w:rsidRPr="008E63BB" w14:paraId="519B4379" w14:textId="77777777" w:rsidTr="00C83DC4">
        <w:trPr>
          <w:trHeight w:val="288"/>
        </w:trPr>
        <w:tc>
          <w:tcPr>
            <w:tcW w:w="805" w:type="dxa"/>
            <w:tcBorders>
              <w:top w:val="nil"/>
              <w:left w:val="single" w:sz="4" w:space="0" w:color="auto"/>
              <w:bottom w:val="single" w:sz="4" w:space="0" w:color="auto"/>
              <w:right w:val="single" w:sz="4" w:space="0" w:color="auto"/>
            </w:tcBorders>
            <w:shd w:val="clear" w:color="auto" w:fill="auto"/>
            <w:noWrap/>
            <w:vAlign w:val="center"/>
            <w:hideMark/>
          </w:tcPr>
          <w:p w14:paraId="519B4374" w14:textId="77777777" w:rsidR="009758A5" w:rsidRPr="008E63BB" w:rsidRDefault="009758A5" w:rsidP="00C83DC4">
            <w:pPr>
              <w:jc w:val="center"/>
              <w:rPr>
                <w:rFonts w:eastAsia="Times New Roman"/>
                <w:szCs w:val="26"/>
              </w:rPr>
            </w:pPr>
          </w:p>
        </w:tc>
        <w:tc>
          <w:tcPr>
            <w:tcW w:w="2520" w:type="dxa"/>
            <w:tcBorders>
              <w:top w:val="nil"/>
              <w:left w:val="nil"/>
              <w:bottom w:val="single" w:sz="4" w:space="0" w:color="auto"/>
              <w:right w:val="single" w:sz="4" w:space="0" w:color="auto"/>
            </w:tcBorders>
            <w:shd w:val="clear" w:color="auto" w:fill="auto"/>
            <w:noWrap/>
            <w:vAlign w:val="center"/>
            <w:hideMark/>
          </w:tcPr>
          <w:p w14:paraId="519B4375" w14:textId="77777777" w:rsidR="009758A5" w:rsidRPr="008E63BB" w:rsidRDefault="009758A5" w:rsidP="00C83DC4">
            <w:pPr>
              <w:jc w:val="left"/>
              <w:rPr>
                <w:rFonts w:eastAsia="Times New Roman"/>
                <w:b/>
                <w:szCs w:val="26"/>
              </w:rPr>
            </w:pPr>
            <w:r w:rsidRPr="008E63BB">
              <w:rPr>
                <w:rFonts w:eastAsia="Times New Roman"/>
                <w:b/>
                <w:szCs w:val="26"/>
              </w:rPr>
              <w:t>Toàn Tỉnh</w:t>
            </w:r>
          </w:p>
        </w:tc>
        <w:tc>
          <w:tcPr>
            <w:tcW w:w="2160" w:type="dxa"/>
            <w:tcBorders>
              <w:top w:val="nil"/>
              <w:left w:val="nil"/>
              <w:bottom w:val="single" w:sz="4" w:space="0" w:color="auto"/>
              <w:right w:val="single" w:sz="4" w:space="0" w:color="auto"/>
            </w:tcBorders>
            <w:shd w:val="clear" w:color="auto" w:fill="auto"/>
            <w:noWrap/>
            <w:vAlign w:val="center"/>
            <w:hideMark/>
          </w:tcPr>
          <w:p w14:paraId="519B4376" w14:textId="77777777" w:rsidR="009758A5" w:rsidRPr="008E63BB" w:rsidRDefault="009758A5" w:rsidP="00C83DC4">
            <w:pPr>
              <w:jc w:val="center"/>
              <w:rPr>
                <w:rFonts w:eastAsia="Times New Roman"/>
                <w:b/>
                <w:szCs w:val="26"/>
              </w:rPr>
            </w:pPr>
            <w:r w:rsidRPr="008E63BB">
              <w:rPr>
                <w:rFonts w:eastAsia="Times New Roman"/>
                <w:b/>
                <w:szCs w:val="26"/>
              </w:rPr>
              <w:t>185.057</w:t>
            </w:r>
          </w:p>
        </w:tc>
        <w:tc>
          <w:tcPr>
            <w:tcW w:w="1890" w:type="dxa"/>
            <w:tcBorders>
              <w:top w:val="nil"/>
              <w:left w:val="nil"/>
              <w:bottom w:val="single" w:sz="4" w:space="0" w:color="auto"/>
              <w:right w:val="single" w:sz="4" w:space="0" w:color="auto"/>
            </w:tcBorders>
            <w:shd w:val="clear" w:color="auto" w:fill="auto"/>
            <w:noWrap/>
            <w:vAlign w:val="center"/>
            <w:hideMark/>
          </w:tcPr>
          <w:p w14:paraId="519B4377" w14:textId="77777777" w:rsidR="009758A5" w:rsidRPr="008E63BB" w:rsidRDefault="009758A5" w:rsidP="00C83DC4">
            <w:pPr>
              <w:jc w:val="center"/>
              <w:rPr>
                <w:rFonts w:eastAsia="Times New Roman"/>
                <w:b/>
                <w:szCs w:val="26"/>
              </w:rPr>
            </w:pPr>
            <w:r w:rsidRPr="008E63BB">
              <w:rPr>
                <w:rFonts w:eastAsia="Times New Roman"/>
                <w:b/>
                <w:szCs w:val="26"/>
              </w:rPr>
              <w:t>268.596</w:t>
            </w:r>
          </w:p>
        </w:tc>
        <w:tc>
          <w:tcPr>
            <w:tcW w:w="1800" w:type="dxa"/>
            <w:tcBorders>
              <w:top w:val="nil"/>
              <w:left w:val="nil"/>
              <w:bottom w:val="single" w:sz="4" w:space="0" w:color="auto"/>
              <w:right w:val="single" w:sz="4" w:space="0" w:color="auto"/>
            </w:tcBorders>
            <w:shd w:val="clear" w:color="auto" w:fill="auto"/>
            <w:noWrap/>
            <w:vAlign w:val="center"/>
            <w:hideMark/>
          </w:tcPr>
          <w:p w14:paraId="519B4378" w14:textId="77777777" w:rsidR="009758A5" w:rsidRPr="008E63BB" w:rsidRDefault="009758A5" w:rsidP="00C83DC4">
            <w:pPr>
              <w:jc w:val="center"/>
              <w:rPr>
                <w:rFonts w:eastAsia="Times New Roman"/>
                <w:b/>
                <w:szCs w:val="26"/>
              </w:rPr>
            </w:pPr>
            <w:r w:rsidRPr="008E63BB">
              <w:rPr>
                <w:rFonts w:eastAsia="Times New Roman"/>
                <w:b/>
                <w:szCs w:val="26"/>
              </w:rPr>
              <w:t>453.653</w:t>
            </w:r>
          </w:p>
        </w:tc>
      </w:tr>
    </w:tbl>
    <w:p w14:paraId="519B437A" w14:textId="77777777" w:rsidR="009758A5" w:rsidRPr="008E63BB" w:rsidRDefault="009758A5" w:rsidP="009758A5">
      <w:pPr>
        <w:spacing w:before="60" w:line="26" w:lineRule="atLeast"/>
        <w:ind w:firstLine="709"/>
        <w:rPr>
          <w:szCs w:val="28"/>
          <w:lang w:val="vi-VN"/>
        </w:rPr>
      </w:pPr>
      <w:r w:rsidRPr="008E63BB">
        <w:rPr>
          <w:lang w:val="sv-SE"/>
        </w:rPr>
        <w:tab/>
      </w:r>
      <w:r w:rsidRPr="008E63BB">
        <w:rPr>
          <w:szCs w:val="28"/>
          <w:lang w:val="vi-VN"/>
        </w:rPr>
        <w:t xml:space="preserve">Về đặc điểm địa chất công trình, nói chung, khu vực </w:t>
      </w:r>
      <w:r w:rsidRPr="008E63BB">
        <w:rPr>
          <w:szCs w:val="28"/>
          <w:lang w:val="pt-BR"/>
        </w:rPr>
        <w:t>thành phố Nam Định</w:t>
      </w:r>
      <w:r w:rsidRPr="008E63BB">
        <w:rPr>
          <w:szCs w:val="28"/>
          <w:lang w:val="vi-VN"/>
        </w:rPr>
        <w:t xml:space="preserve"> thuộc thềm đất bồi tương đối yếu, mức nước ngầm cao, không thực sự thuận lợi cho việc xây dựng công trình cao tầng, đặc biệt là khu vực phía Tây của vùng nghiên cứu nằm trong vùng trầm tích đầm lầy gốc sông. Căn cứ vào 125 lỗ khoan phân bố không đều trong thành phố cho thấy cột địa tầng phân bố từ trên xuống dưới là: Lớp đất sét – Lớp sét pha – Lớp bùn sét pha – Lớp cát và lớp bùn sét pha. Cường độ chịu lực của đất yếu ≤1kg/cm2.</w:t>
      </w:r>
    </w:p>
    <w:p w14:paraId="519B437B" w14:textId="77777777" w:rsidR="009758A5" w:rsidRPr="008E63BB" w:rsidRDefault="009758A5" w:rsidP="009758A5">
      <w:pPr>
        <w:spacing w:before="120"/>
        <w:rPr>
          <w:b/>
          <w:i/>
          <w:lang w:val="vi-VN"/>
        </w:rPr>
      </w:pPr>
      <w:r w:rsidRPr="008E63BB">
        <w:rPr>
          <w:b/>
          <w:i/>
          <w:lang w:val="vi-VN"/>
        </w:rPr>
        <w:t>d. Thực trạng biến đổi khí hậu:</w:t>
      </w:r>
    </w:p>
    <w:p w14:paraId="519B437C" w14:textId="77777777" w:rsidR="009758A5" w:rsidRPr="008E63BB" w:rsidRDefault="009758A5" w:rsidP="009758A5">
      <w:pPr>
        <w:autoSpaceDE w:val="0"/>
        <w:autoSpaceDN w:val="0"/>
        <w:adjustRightInd w:val="0"/>
        <w:spacing w:before="120" w:after="120"/>
        <w:ind w:firstLine="720"/>
        <w:rPr>
          <w:lang w:val="sv-SE"/>
        </w:rPr>
      </w:pPr>
      <w:r w:rsidRPr="008E63BB">
        <w:rPr>
          <w:lang w:val="sv-SE"/>
        </w:rPr>
        <w:t xml:space="preserve">Nam định mang đầy đủ những đặc điểm cảu tiểu khí hậu vùng ĐBSH, là khu vực nhiệt đới, gió mùa, nóng ẩm, mưa nhiều, có 4 mùa rõ rệt (xuân, hạ, thu đông). Hàng năm, Nam Định thường chịu ảnh hưởng của bão hoặc áp thấp nhiệt đới, bình quân từ 4 – 6 cơn/năm. Từ năm 1996 đến nay, Nam Định phải gánh chịu 26 trận bão, 01 trận lốc, 04 </w:t>
      </w:r>
      <w:r w:rsidRPr="008E63BB">
        <w:rPr>
          <w:lang w:val="sv-SE"/>
        </w:rPr>
        <w:lastRenderedPageBreak/>
        <w:t xml:space="preserve">trận lũ gây thiệt hại lớn về người và của, ước tính hàng nghìn tỷ đồng; Các hiện tượng thời tiết cực đoan: Tăng nhiệt dộ, thay đổi lượng mưa, tăng tần xuất, mức rét đậm, rét hại... kết hợp với nước biển dâng (NBD), Xâm nhập mặn (XNM) đang gây khó khăn cho sản xuất nông nghiệp, tài nguyên nước, đảm bảo vệ sinh môi trường, đe dọa an ninh lương thực của tỉnh; </w:t>
      </w:r>
    </w:p>
    <w:p w14:paraId="519B437D" w14:textId="77777777" w:rsidR="009758A5" w:rsidRPr="008E63BB" w:rsidRDefault="009758A5" w:rsidP="00F06125">
      <w:pPr>
        <w:pStyle w:val="ListParagraph"/>
        <w:numPr>
          <w:ilvl w:val="0"/>
          <w:numId w:val="34"/>
        </w:numPr>
        <w:autoSpaceDE w:val="0"/>
        <w:autoSpaceDN w:val="0"/>
        <w:adjustRightInd w:val="0"/>
        <w:spacing w:before="120"/>
        <w:rPr>
          <w:lang w:val="sv-SE"/>
        </w:rPr>
      </w:pPr>
      <w:r w:rsidRPr="008E63BB">
        <w:rPr>
          <w:lang w:val="sv-SE"/>
        </w:rPr>
        <w:t>Từ năm 1960 đến nay, nhiệt độ trung bình tại Nam Định có xu hướng tăng khoảng 0,16</w:t>
      </w:r>
      <w:r w:rsidRPr="008E63BB">
        <w:rPr>
          <w:vertAlign w:val="superscript"/>
          <w:lang w:val="sv-SE"/>
        </w:rPr>
        <w:t>o</w:t>
      </w:r>
      <w:r w:rsidRPr="008E63BB">
        <w:rPr>
          <w:lang w:val="sv-SE"/>
        </w:rPr>
        <w:t xml:space="preserve">C; </w:t>
      </w:r>
    </w:p>
    <w:p w14:paraId="519B437E" w14:textId="77777777" w:rsidR="009758A5" w:rsidRPr="008E63BB" w:rsidRDefault="009758A5" w:rsidP="003D057A">
      <w:pPr>
        <w:autoSpaceDE w:val="0"/>
        <w:autoSpaceDN w:val="0"/>
        <w:adjustRightInd w:val="0"/>
        <w:jc w:val="center"/>
        <w:rPr>
          <w:lang w:val="sv-SE"/>
        </w:rPr>
      </w:pPr>
      <w:r w:rsidRPr="008E63BB">
        <w:rPr>
          <w:noProof/>
          <w:lang w:eastAsia="zh-CN"/>
        </w:rPr>
        <w:drawing>
          <wp:inline distT="0" distB="0" distL="0" distR="0" wp14:anchorId="519B52B7" wp14:editId="519B52B8">
            <wp:extent cx="5332262" cy="2708050"/>
            <wp:effectExtent l="19050" t="0" r="1738"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screen">
                      <a:extLst>
                        <a:ext uri="{28A0092B-C50C-407E-A947-70E740481C1C}">
                          <a14:useLocalDpi xmlns:a14="http://schemas.microsoft.com/office/drawing/2010/main"/>
                        </a:ext>
                      </a:extLst>
                    </a:blip>
                    <a:stretch>
                      <a:fillRect/>
                    </a:stretch>
                  </pic:blipFill>
                  <pic:spPr>
                    <a:xfrm>
                      <a:off x="0" y="0"/>
                      <a:ext cx="5345989" cy="2715021"/>
                    </a:xfrm>
                    <a:prstGeom prst="rect">
                      <a:avLst/>
                    </a:prstGeom>
                  </pic:spPr>
                </pic:pic>
              </a:graphicData>
            </a:graphic>
          </wp:inline>
        </w:drawing>
      </w:r>
    </w:p>
    <w:p w14:paraId="519B437F" w14:textId="77777777" w:rsidR="009758A5" w:rsidRPr="008E63BB" w:rsidRDefault="009758A5" w:rsidP="003D057A">
      <w:pPr>
        <w:autoSpaceDE w:val="0"/>
        <w:autoSpaceDN w:val="0"/>
        <w:adjustRightInd w:val="0"/>
        <w:jc w:val="center"/>
        <w:rPr>
          <w:lang w:val="sv-SE"/>
        </w:rPr>
      </w:pPr>
      <w:r w:rsidRPr="008E63BB">
        <w:rPr>
          <w:lang w:val="sv-SE"/>
        </w:rPr>
        <w:t>Biểu đồ: Diễn biến nhiệt độ tại trạm Nam Định từ năm 1960 đến 2014</w:t>
      </w:r>
    </w:p>
    <w:p w14:paraId="519B4380" w14:textId="77777777" w:rsidR="009758A5" w:rsidRPr="008E63BB" w:rsidRDefault="009758A5" w:rsidP="003D057A">
      <w:pPr>
        <w:autoSpaceDE w:val="0"/>
        <w:autoSpaceDN w:val="0"/>
        <w:adjustRightInd w:val="0"/>
        <w:rPr>
          <w:lang w:val="sv-SE"/>
        </w:rPr>
      </w:pPr>
      <w:r w:rsidRPr="008E63BB">
        <w:rPr>
          <w:lang w:val="sv-SE"/>
        </w:rPr>
        <w:t>- Lượng mưa trong gần 60 năm qua mỗi năm lượng mưa giảm gần 3,2mm, mưa mùa giảm 1,5mm và mùa khô giảm 1,7mm. Đặc biệt từ năm 1995 đến nay mưa năm chỉ giao động quanh giá trị 1500 và lớn nhất chỉ đạt 2000 mm, trong khi đó trước năm 1995 có nhiều năm đặt trên 2000mm.</w:t>
      </w:r>
    </w:p>
    <w:p w14:paraId="519B4381" w14:textId="77777777" w:rsidR="009758A5" w:rsidRPr="008E63BB" w:rsidRDefault="009758A5" w:rsidP="003D057A">
      <w:pPr>
        <w:autoSpaceDE w:val="0"/>
        <w:autoSpaceDN w:val="0"/>
        <w:adjustRightInd w:val="0"/>
        <w:jc w:val="center"/>
        <w:rPr>
          <w:lang w:val="sv-SE"/>
        </w:rPr>
      </w:pPr>
      <w:r w:rsidRPr="008E63BB">
        <w:rPr>
          <w:noProof/>
          <w:lang w:eastAsia="zh-CN"/>
        </w:rPr>
        <w:drawing>
          <wp:inline distT="0" distB="0" distL="0" distR="0" wp14:anchorId="519B52B9" wp14:editId="519B52BA">
            <wp:extent cx="5514962" cy="216180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531871" cy="2168428"/>
                    </a:xfrm>
                    <a:prstGeom prst="rect">
                      <a:avLst/>
                    </a:prstGeom>
                  </pic:spPr>
                </pic:pic>
              </a:graphicData>
            </a:graphic>
          </wp:inline>
        </w:drawing>
      </w:r>
    </w:p>
    <w:p w14:paraId="519B4382" w14:textId="77777777" w:rsidR="009758A5" w:rsidRPr="008E63BB" w:rsidRDefault="009758A5" w:rsidP="003D057A">
      <w:pPr>
        <w:autoSpaceDE w:val="0"/>
        <w:autoSpaceDN w:val="0"/>
        <w:adjustRightInd w:val="0"/>
        <w:spacing w:after="120"/>
        <w:jc w:val="center"/>
        <w:rPr>
          <w:lang w:val="sv-SE"/>
        </w:rPr>
      </w:pPr>
      <w:r w:rsidRPr="008E63BB">
        <w:rPr>
          <w:lang w:val="sv-SE"/>
        </w:rPr>
        <w:t xml:space="preserve">Biểu đồ: Diễn biến lượng mưa trung bình năm tại trạm Nam Định </w:t>
      </w:r>
    </w:p>
    <w:p w14:paraId="519B4383" w14:textId="77777777" w:rsidR="009758A5" w:rsidRPr="008E63BB" w:rsidRDefault="009758A5" w:rsidP="003D057A">
      <w:pPr>
        <w:autoSpaceDE w:val="0"/>
        <w:autoSpaceDN w:val="0"/>
        <w:adjustRightInd w:val="0"/>
        <w:spacing w:before="120" w:after="120"/>
        <w:jc w:val="center"/>
        <w:rPr>
          <w:lang w:val="sv-SE"/>
        </w:rPr>
      </w:pPr>
      <w:r w:rsidRPr="008E63BB">
        <w:rPr>
          <w:noProof/>
          <w:lang w:eastAsia="zh-CN"/>
        </w:rPr>
        <w:lastRenderedPageBreak/>
        <w:drawing>
          <wp:inline distT="0" distB="0" distL="0" distR="0" wp14:anchorId="519B52BB" wp14:editId="519B52BC">
            <wp:extent cx="5511464" cy="2365788"/>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screen">
                      <a:extLst>
                        <a:ext uri="{28A0092B-C50C-407E-A947-70E740481C1C}">
                          <a14:useLocalDpi xmlns:a14="http://schemas.microsoft.com/office/drawing/2010/main"/>
                        </a:ext>
                      </a:extLst>
                    </a:blip>
                    <a:stretch>
                      <a:fillRect/>
                    </a:stretch>
                  </pic:blipFill>
                  <pic:spPr>
                    <a:xfrm>
                      <a:off x="0" y="0"/>
                      <a:ext cx="5521092" cy="2369921"/>
                    </a:xfrm>
                    <a:prstGeom prst="rect">
                      <a:avLst/>
                    </a:prstGeom>
                  </pic:spPr>
                </pic:pic>
              </a:graphicData>
            </a:graphic>
          </wp:inline>
        </w:drawing>
      </w:r>
    </w:p>
    <w:p w14:paraId="519B4384" w14:textId="77777777" w:rsidR="009758A5" w:rsidRPr="008E63BB" w:rsidRDefault="009758A5" w:rsidP="003D057A">
      <w:pPr>
        <w:autoSpaceDE w:val="0"/>
        <w:autoSpaceDN w:val="0"/>
        <w:adjustRightInd w:val="0"/>
        <w:jc w:val="center"/>
        <w:rPr>
          <w:lang w:val="sv-SE"/>
        </w:rPr>
      </w:pPr>
      <w:r w:rsidRPr="008E63BB">
        <w:rPr>
          <w:lang w:val="sv-SE"/>
        </w:rPr>
        <w:t xml:space="preserve">Biểu đồ: Diễn biến lượng mưa trung bình mùa khô tại trạm Nam Định </w:t>
      </w:r>
    </w:p>
    <w:p w14:paraId="519B4385" w14:textId="77777777" w:rsidR="009758A5" w:rsidRPr="008E63BB" w:rsidRDefault="009758A5" w:rsidP="003D057A">
      <w:pPr>
        <w:autoSpaceDE w:val="0"/>
        <w:autoSpaceDN w:val="0"/>
        <w:adjustRightInd w:val="0"/>
        <w:spacing w:before="80"/>
        <w:ind w:firstLine="720"/>
        <w:rPr>
          <w:lang w:val="sv-SE"/>
        </w:rPr>
      </w:pPr>
      <w:r w:rsidRPr="008E63BB">
        <w:rPr>
          <w:lang w:val="sv-SE"/>
        </w:rPr>
        <w:t>- Theo số liệu của Viện địa chất và địa chất vật lý Việt Nam cung cấp, mỗi năm mực nước biển tại hu vực Nam Định tăng lên 2,15mm, cùng với đó, đường bờ biển bị lấn vào trung bình 10m; Ngoài ra, số liệu tại đại phương cũng cho thấy, tổng cộng nước biển đã cướp đi của xã Hải Triều gần 180 ha đất;</w:t>
      </w:r>
    </w:p>
    <w:p w14:paraId="519B4386" w14:textId="77777777" w:rsidR="009758A5" w:rsidRPr="008E63BB" w:rsidRDefault="009758A5" w:rsidP="003D057A">
      <w:pPr>
        <w:autoSpaceDE w:val="0"/>
        <w:autoSpaceDN w:val="0"/>
        <w:adjustRightInd w:val="0"/>
        <w:spacing w:before="80"/>
        <w:ind w:firstLine="720"/>
        <w:rPr>
          <w:lang w:val="sv-SE"/>
        </w:rPr>
      </w:pPr>
      <w:r w:rsidRPr="008E63BB">
        <w:rPr>
          <w:lang w:val="sv-SE"/>
        </w:rPr>
        <w:t xml:space="preserve">- Tình hình xâm nhập mặn đang diễn biến khá phức tạp; Tới nay, ranh giới mặn 1‰ đã xâm nhập ngày cảng sâu vào trong các sông Hồng, sông Ninh Cơ và sông Đáy, gây ra áp lực lớn đối với công tác cấp nước phục vụ sinh hoạt, sản xuất và gây nhiều khó khăn cho hoạt động sản xuất nông nghiệp;  </w:t>
      </w:r>
    </w:p>
    <w:p w14:paraId="519B4387" w14:textId="77777777" w:rsidR="009758A5" w:rsidRPr="008E63BB" w:rsidRDefault="009758A5" w:rsidP="003D057A">
      <w:pPr>
        <w:spacing w:before="80"/>
        <w:rPr>
          <w:b/>
          <w:i/>
          <w:lang w:val="sv-SE"/>
        </w:rPr>
      </w:pPr>
      <w:r w:rsidRPr="008E63BB">
        <w:rPr>
          <w:b/>
          <w:i/>
          <w:lang w:val="sv-SE"/>
        </w:rPr>
        <w:t>e. Dự báo các tác động có thể xây ra khi không có quy hoạch</w:t>
      </w:r>
    </w:p>
    <w:p w14:paraId="519B4388" w14:textId="77777777" w:rsidR="009758A5" w:rsidRPr="008E63BB" w:rsidRDefault="009758A5" w:rsidP="003D057A">
      <w:pPr>
        <w:autoSpaceDE w:val="0"/>
        <w:autoSpaceDN w:val="0"/>
        <w:adjustRightInd w:val="0"/>
        <w:spacing w:before="80"/>
        <w:ind w:firstLine="720"/>
        <w:rPr>
          <w:spacing w:val="-2"/>
          <w:lang w:val="sv-SE"/>
        </w:rPr>
      </w:pPr>
      <w:r w:rsidRPr="008E63BB">
        <w:rPr>
          <w:spacing w:val="-2"/>
          <w:lang w:val="sv-SE"/>
        </w:rPr>
        <w:t>Năm 2011, Thành phố đã triển khai và phê duyệt quy hoạch chung; Tính đến nay đã gần 10 năm, trên địa bàn thành phố đã triển khai rất nhiều các quy hoạch phân khu, quy hoạch chi tiết (với tỉ lệ quy hoạch phân khu đạt đến 80% diện tích đất quy hoạch của thành phố); Ngoài ra, tính đến nay Tỉnh và thành phố đã có nhiều hệ thống văn bản pháp quy về quy hoạch, xây dựng và phát triển đô thị, nhiều các đồ án quy hoạch chuyên ngành liên quan,... đã có các tác động không nhỏ đến việc quản lý, thu hút đầu tư, phát triển thành phố; Cùng với tiến trình phát triển và xây dựng, quy hoạch chung 2011 đã góp phần lớn trong định hình phát triển thành phố đến thời điểm này; Tuy nhiên, trong tương lai xa hơn, đặc biệt với việc mở rộng địa giới hành chính, quy hoạch 2011 đã có nhiều yếu tố không còn phù hợp; Nếu tiếp tục duy trì quy hoạch cũ, đô thị sẽ khó để phát triển theo mục tiêu đặt ra trong tương lai; Dưới sức ép về kinh tế, tăng trưởng dân số, nhu cầu đầu tư, dịch vụ, hạ tầng... sẽ khiến đô thị rơi và tình trạng khó khăn trong quản lý;</w:t>
      </w:r>
    </w:p>
    <w:p w14:paraId="519B4389" w14:textId="77777777" w:rsidR="009758A5" w:rsidRPr="008E63BB" w:rsidRDefault="009758A5" w:rsidP="003D057A">
      <w:pPr>
        <w:autoSpaceDE w:val="0"/>
        <w:autoSpaceDN w:val="0"/>
        <w:adjustRightInd w:val="0"/>
        <w:spacing w:before="80"/>
        <w:ind w:firstLine="720"/>
        <w:rPr>
          <w:lang w:val="sv-SE"/>
        </w:rPr>
      </w:pPr>
      <w:r w:rsidRPr="008E63BB">
        <w:rPr>
          <w:lang w:val="sv-SE"/>
        </w:rPr>
        <w:t xml:space="preserve">Như đã phân tích ở trên Thành phố Nam Định là đô thị có lịch sử hình thành lâu đời, vị trí chiến lược quan trọng về kinh tế, chính trị; Việc mở rộng ranh giới hành chính sẽ góp phần tạo động lực cho phát triển kinh tế của thành phố, tăng sức hút của đô thị; Tuy nhiên, nếu duy trì quy hoạch cũ thì rất khó để thực hiện các chiến lược phát triển mới; Song, nếu để thành phố phát triển theo hướng tự phát không triển khai quy hoạch điều chỉnh thì rất nhiều các yếu tố rủi ro có thể xây ra, cụ thể như sau: </w:t>
      </w:r>
    </w:p>
    <w:p w14:paraId="519B438A" w14:textId="77777777" w:rsidR="009758A5" w:rsidRPr="008E63BB" w:rsidRDefault="009758A5" w:rsidP="003D057A">
      <w:pPr>
        <w:autoSpaceDE w:val="0"/>
        <w:autoSpaceDN w:val="0"/>
        <w:adjustRightInd w:val="0"/>
        <w:spacing w:before="80"/>
        <w:ind w:firstLine="720"/>
        <w:rPr>
          <w:lang w:val="sv-SE"/>
        </w:rPr>
      </w:pPr>
      <w:r w:rsidRPr="008E63BB">
        <w:rPr>
          <w:lang w:val="sv-SE"/>
        </w:rPr>
        <w:t xml:space="preserve">- Trước sức ép về gia tăng dân số và phát triển kinh tế xã hội, quỹ đất sẽ tiếp tục bị khai thác mạnh để phục vụ cho các nhu cầu ở, sản xuất, phát triển kinh tế xã hội; Chuyển dịch mục đích sử dụng đất sẽ theo hướng: tăng dần diện tích đất xây đựng (đất ở, giao thông, công trình công cộng, hạ tầng, sản xuất phi nông nghiệp...), giảm dần diện </w:t>
      </w:r>
      <w:r w:rsidRPr="008E63BB">
        <w:rPr>
          <w:lang w:val="sv-SE"/>
        </w:rPr>
        <w:lastRenderedPageBreak/>
        <w:t xml:space="preserve">tích đất nông nghiệp, mặt nước; đất chưa sử dụng cũng sẽ tiếp tục bị khai thác triệt để, đưa vào sử dụng cho các mục đích khác nhau. Việc chuyển đổi mục đích đất không phù hợp, không có chiến lược, kế hoạch hợp lý có thể gây ra các tác động tiêu cực như: chuyển đổi các vùng đất nông nghiệp có chất lượng cao, cho năng suất lớn vào các mục đích đất khác không phù hợp, hoặc chọn các vùng đất có nền yếu, dễ bị sạt lở cho phát triển xây dựng cao tầng, các công trình năng lượng, công trình đòi hỏi tính kiến cố cao...; Hay chọn các vùng đất gần khu dân cư, gần nguồn khai thác nguồn nước, bảo vệ cảnh quan, di tích, có giá trị khai thác kinh tế, có nền địa chất thủy văn không phù hợp... đặt các công trình xử lý chất thải rắn, nghĩa trang tập trung, các khu, cụm công nghiệp... gây các tác động tiêu cực đến kinh tế và an toàn trong xây dựng, tốn kém trong các công tác cải tạo, xử lý công trình, bảo vệ môi trường, gây các mâu thuẫn bức xúc trong cộng đồng...; Ngoài ra, không có quy hoạch sử dụng đất phù hợp còn có thể khiến cho đô thị rơi vào tình trạng phát triển thiếu cân đối; không hài hòa trong cảnh quan, kiến trúc, giảm sức hấp dẫn của đô thị; </w:t>
      </w:r>
    </w:p>
    <w:p w14:paraId="519B438B" w14:textId="77777777" w:rsidR="009758A5" w:rsidRPr="008E63BB" w:rsidRDefault="009758A5" w:rsidP="009758A5">
      <w:pPr>
        <w:autoSpaceDE w:val="0"/>
        <w:autoSpaceDN w:val="0"/>
        <w:adjustRightInd w:val="0"/>
        <w:spacing w:before="120" w:after="120"/>
        <w:ind w:firstLine="720"/>
        <w:rPr>
          <w:lang w:val="sv-SE"/>
        </w:rPr>
      </w:pPr>
      <w:r w:rsidRPr="008E63BB">
        <w:rPr>
          <w:lang w:val="sv-SE"/>
        </w:rPr>
        <w:t>- Phát triển dân cư, kinh tế cũng khiến các nhu cầu về năng lượng, nước sạch tăng lên; Đồng thời lượng nước thải, chất thải rắn, các nhu cầu về nghĩa trang cũng sẽ gia tăng, trong khí môi trường đã và đang phải gánh chịu nhiều các tác động tiêu cực tích lũy, đã và đang có dấu hiệu bị ô nhiễm, suy thoái, suy giảm sức chịu tải; Do đó, nếu các nguồn phát sinh ô nhiễm tiếp tục gia tăng mà không có một giải pháp giảm thiểu, xử lý hiệu quả, hệ thống hạ tầng kỹ thuật không được quy hoạch đảm bảo tính đồng bộ, hợp lý sẽ gây ra các tác động tiêu cực đến mối trường, ảnh hưởng đến hoạt động phát triển kinh tế, chất lượng sống của cộng đồng... Việc thực hiện phát triển đô thị theo hướng bền vững sẽ khó để thực hiện;</w:t>
      </w:r>
    </w:p>
    <w:p w14:paraId="519B438C" w14:textId="77777777" w:rsidR="009758A5" w:rsidRPr="008E63BB" w:rsidRDefault="009758A5" w:rsidP="009758A5">
      <w:pPr>
        <w:autoSpaceDE w:val="0"/>
        <w:autoSpaceDN w:val="0"/>
        <w:adjustRightInd w:val="0"/>
        <w:spacing w:before="120" w:after="120"/>
        <w:ind w:firstLine="720"/>
        <w:rPr>
          <w:lang w:val="sv-SE"/>
        </w:rPr>
      </w:pPr>
      <w:r w:rsidRPr="008E63BB">
        <w:rPr>
          <w:lang w:val="sv-SE"/>
        </w:rPr>
        <w:t xml:space="preserve">- Đô thị, dân cư ngày càng phát triển khiến các nhu cầu về thực phẩm, tiêu dùng ngày càng cao; Trong khi đó diện tích nông, ngư nghiệp lại ngày càng thu hẹp; Khiến áp lực và nhu cầu gia tăng năng suất trong sản xuất nông, ngư nghiệp ngày càng cao; Việc sử dụng hóa chất, các thuốc tăng trưởng, tăng trọng... có thể ngày càng bị lạm dụng nếu không được kiểm soát và có các chương trình kế hoạch phát triểnn nông nghiệp hiệu quả, phù hợp; </w:t>
      </w:r>
    </w:p>
    <w:p w14:paraId="519B438D" w14:textId="77777777" w:rsidR="009758A5" w:rsidRPr="008E63BB" w:rsidRDefault="009758A5" w:rsidP="009758A5">
      <w:pPr>
        <w:autoSpaceDE w:val="0"/>
        <w:autoSpaceDN w:val="0"/>
        <w:adjustRightInd w:val="0"/>
        <w:spacing w:before="120" w:after="120"/>
        <w:ind w:firstLine="720"/>
        <w:rPr>
          <w:lang w:val="sv-SE"/>
        </w:rPr>
      </w:pPr>
      <w:r w:rsidRPr="008E63BB">
        <w:rPr>
          <w:lang w:val="sv-SE"/>
        </w:rPr>
        <w:t>- Ngoài ra, với tình hình biến đổi khí hậu đang diễn ra phức tạp, trong tương lai sẽ gây ra các ảnh hưởng tiêu cực đến các hoạt động sinh hoạt, sinh hoạt, sản xuất của khu vực; Cần có các biện pháp quy hoạch, xây dựng phù hợp có xét đến các yếu tố gây ra do biến đổi khí hậu để thành phố có thể phát triển một cách bền vững, thích ứng với tình hình biến đổi khí hậu trong tương lai;</w:t>
      </w:r>
    </w:p>
    <w:p w14:paraId="519B438E" w14:textId="77777777" w:rsidR="008C1B81" w:rsidRPr="008E63BB" w:rsidRDefault="009758A5" w:rsidP="009758A5">
      <w:pPr>
        <w:autoSpaceDE w:val="0"/>
        <w:autoSpaceDN w:val="0"/>
        <w:adjustRightInd w:val="0"/>
        <w:spacing w:before="120" w:after="120"/>
        <w:ind w:firstLine="720"/>
        <w:rPr>
          <w:lang w:val="sv-SE"/>
        </w:rPr>
      </w:pPr>
      <w:r w:rsidRPr="008E63BB">
        <w:rPr>
          <w:lang w:val="sv-SE"/>
        </w:rPr>
        <w:t>Do đó, việc lập điều chỉnh quy hoạch chung cho thành phố là việc làm cần thiết để đảm bảo phát triển toàn diện cho đô thị một cách bền vững trong một giai đoạn mới</w:t>
      </w:r>
      <w:r w:rsidR="008C1B81" w:rsidRPr="008E63BB">
        <w:rPr>
          <w:lang w:val="sv-SE"/>
        </w:rPr>
        <w:t xml:space="preserve">;  </w:t>
      </w:r>
    </w:p>
    <w:p w14:paraId="519B438F" w14:textId="77777777" w:rsidR="008C1B81" w:rsidRPr="008E63BB" w:rsidRDefault="00C32228" w:rsidP="0065184D">
      <w:pPr>
        <w:pStyle w:val="Heading2"/>
        <w:spacing w:before="0" w:after="0"/>
        <w:rPr>
          <w:kern w:val="32"/>
          <w:lang w:val="sv-SE"/>
        </w:rPr>
      </w:pPr>
      <w:bookmarkStart w:id="563" w:name="_Toc47524750"/>
      <w:r w:rsidRPr="008E63BB">
        <w:rPr>
          <w:kern w:val="32"/>
          <w:lang w:val="sv-SE"/>
        </w:rPr>
        <w:t>9</w:t>
      </w:r>
      <w:r w:rsidR="008C1B81" w:rsidRPr="008E63BB">
        <w:rPr>
          <w:kern w:val="32"/>
          <w:lang w:val="sv-SE"/>
        </w:rPr>
        <w:t xml:space="preserve">.2. Đánh giá, dự báo </w:t>
      </w:r>
      <w:bookmarkEnd w:id="561"/>
      <w:r w:rsidR="008C1B81" w:rsidRPr="008E63BB">
        <w:rPr>
          <w:kern w:val="32"/>
          <w:lang w:val="sv-SE"/>
        </w:rPr>
        <w:t>các tác động môi trường trong quá trình thực hiện quy hoạch</w:t>
      </w:r>
      <w:bookmarkEnd w:id="562"/>
      <w:bookmarkEnd w:id="563"/>
    </w:p>
    <w:p w14:paraId="519B4390" w14:textId="77777777" w:rsidR="008C1B81" w:rsidRPr="008E63BB" w:rsidRDefault="00C32228" w:rsidP="0065184D">
      <w:pPr>
        <w:pStyle w:val="3"/>
        <w:spacing w:before="0" w:after="0"/>
        <w:rPr>
          <w:rFonts w:ascii="Times New Roman" w:hAnsi="Times New Roman"/>
          <w:sz w:val="26"/>
          <w:szCs w:val="26"/>
          <w:lang w:val="vi-VN"/>
        </w:rPr>
      </w:pPr>
      <w:bookmarkStart w:id="564" w:name="_Toc404100316"/>
      <w:r w:rsidRPr="008E63BB">
        <w:rPr>
          <w:rFonts w:ascii="Times New Roman" w:hAnsi="Times New Roman"/>
          <w:sz w:val="26"/>
          <w:szCs w:val="26"/>
          <w:lang w:val="sv-SE"/>
        </w:rPr>
        <w:t>9</w:t>
      </w:r>
      <w:r w:rsidR="008C1B81" w:rsidRPr="008E63BB">
        <w:rPr>
          <w:rFonts w:ascii="Times New Roman" w:hAnsi="Times New Roman"/>
          <w:sz w:val="26"/>
          <w:szCs w:val="26"/>
          <w:lang w:val="sv-SE"/>
        </w:rPr>
        <w:t>.2.1</w:t>
      </w:r>
      <w:r w:rsidR="008C1B81" w:rsidRPr="008E63BB">
        <w:rPr>
          <w:rFonts w:ascii="Times New Roman" w:hAnsi="Times New Roman"/>
          <w:sz w:val="26"/>
          <w:szCs w:val="26"/>
          <w:lang w:val="vi-VN"/>
        </w:rPr>
        <w:t>. Mục tiêu và nhận diện các vấn đề môi trường chính liên quan đến Quy hoạch</w:t>
      </w:r>
      <w:bookmarkEnd w:id="564"/>
    </w:p>
    <w:p w14:paraId="519B4391" w14:textId="77777777" w:rsidR="008C1B81" w:rsidRPr="008E63BB" w:rsidRDefault="008C1B81" w:rsidP="00245117">
      <w:pPr>
        <w:spacing w:before="120" w:after="120"/>
        <w:rPr>
          <w:i/>
          <w:szCs w:val="26"/>
          <w:lang w:val="pt-BR"/>
        </w:rPr>
      </w:pPr>
      <w:r w:rsidRPr="008E63BB">
        <w:rPr>
          <w:i/>
          <w:szCs w:val="26"/>
          <w:lang w:val="pt-BR"/>
        </w:rPr>
        <w:t>a/. Mục tiêu:</w:t>
      </w:r>
    </w:p>
    <w:p w14:paraId="519B4392" w14:textId="77777777" w:rsidR="008C1B81" w:rsidRPr="008E63BB" w:rsidRDefault="008C1B81" w:rsidP="00245117">
      <w:pPr>
        <w:numPr>
          <w:ilvl w:val="0"/>
          <w:numId w:val="19"/>
        </w:numPr>
        <w:tabs>
          <w:tab w:val="left" w:pos="709"/>
          <w:tab w:val="left" w:pos="3122"/>
        </w:tabs>
        <w:spacing w:before="120" w:after="120"/>
        <w:ind w:left="0" w:firstLine="567"/>
        <w:rPr>
          <w:szCs w:val="26"/>
          <w:lang w:val="pt-BR"/>
        </w:rPr>
      </w:pPr>
      <w:r w:rsidRPr="008E63BB">
        <w:rPr>
          <w:szCs w:val="26"/>
          <w:lang w:val="pt-BR"/>
        </w:rPr>
        <w:t>Hạn chế tác động xấu của hoạt động sinh hoạt, sản xuất, phát triển đô thị đến môi trường; đảm bảo chất lượng môi trường và bảo vệ sức khỏe cộng đồng, cảnh quan cây xanh, mặt nước, ngăn chặn tốc độ gia tăng ô nhiễm và từng bước cải thiện chất lượng môi trường;</w:t>
      </w:r>
    </w:p>
    <w:p w14:paraId="519B4393" w14:textId="77777777" w:rsidR="008C1B81" w:rsidRPr="008E63BB" w:rsidRDefault="008C1B81" w:rsidP="00245117">
      <w:pPr>
        <w:numPr>
          <w:ilvl w:val="0"/>
          <w:numId w:val="20"/>
        </w:numPr>
        <w:tabs>
          <w:tab w:val="left" w:pos="709"/>
          <w:tab w:val="left" w:pos="3122"/>
        </w:tabs>
        <w:spacing w:before="120" w:after="120"/>
        <w:ind w:left="0" w:firstLine="567"/>
        <w:rPr>
          <w:szCs w:val="26"/>
          <w:lang w:val="pt-BR"/>
        </w:rPr>
      </w:pPr>
      <w:r w:rsidRPr="008E63BB">
        <w:rPr>
          <w:szCs w:val="26"/>
          <w:lang w:val="pt-BR"/>
        </w:rPr>
        <w:lastRenderedPageBreak/>
        <w:t xml:space="preserve">Phát </w:t>
      </w:r>
      <w:r w:rsidR="00245117" w:rsidRPr="008E63BB">
        <w:rPr>
          <w:szCs w:val="26"/>
          <w:lang w:val="pt-BR"/>
        </w:rPr>
        <w:t>triển đô thị theo hướng bền vừng, thúc đẩy tăng trưởng kinh tế; phát huy, bảo vệ bảo tồn các công trình di tích, lịch sử, văn hóa; nâng cao sức khỏe và chất lượng sống</w:t>
      </w:r>
    </w:p>
    <w:p w14:paraId="519B4394" w14:textId="77777777" w:rsidR="008C1B81" w:rsidRPr="008E63BB" w:rsidRDefault="008C1B81" w:rsidP="00245117">
      <w:pPr>
        <w:tabs>
          <w:tab w:val="left" w:pos="3122"/>
        </w:tabs>
        <w:spacing w:before="120" w:after="120"/>
        <w:rPr>
          <w:szCs w:val="26"/>
          <w:lang w:val="pt-BR"/>
        </w:rPr>
      </w:pPr>
      <w:r w:rsidRPr="008E63BB">
        <w:rPr>
          <w:i/>
          <w:iCs/>
          <w:szCs w:val="26"/>
          <w:lang w:val="pt-BR"/>
        </w:rPr>
        <w:t>b/. Các chỉ tiêu cụ thể</w:t>
      </w:r>
    </w:p>
    <w:p w14:paraId="519B4395" w14:textId="77777777" w:rsidR="008C1B81" w:rsidRPr="008E63BB" w:rsidRDefault="008C1B81" w:rsidP="00245117">
      <w:pPr>
        <w:tabs>
          <w:tab w:val="left" w:pos="709"/>
          <w:tab w:val="left" w:pos="851"/>
          <w:tab w:val="left" w:pos="3122"/>
        </w:tabs>
        <w:spacing w:before="120" w:after="120"/>
        <w:ind w:firstLine="567"/>
        <w:rPr>
          <w:szCs w:val="26"/>
          <w:lang w:val="pt-BR"/>
        </w:rPr>
      </w:pPr>
      <w:r w:rsidRPr="008E63BB">
        <w:rPr>
          <w:szCs w:val="26"/>
          <w:lang w:val="pt-BR"/>
        </w:rPr>
        <w:t xml:space="preserve">- Bảo vệ nguồn nước mặt, nước ngầm, sử dụng bền vững tài nguyên nước; </w:t>
      </w:r>
    </w:p>
    <w:p w14:paraId="519B4396" w14:textId="77777777" w:rsidR="008C1B81" w:rsidRPr="008E63BB" w:rsidRDefault="008C1B81" w:rsidP="00245117">
      <w:pPr>
        <w:tabs>
          <w:tab w:val="left" w:pos="709"/>
          <w:tab w:val="left" w:pos="851"/>
          <w:tab w:val="left" w:pos="3122"/>
        </w:tabs>
        <w:spacing w:before="120" w:after="120"/>
        <w:ind w:firstLine="567"/>
        <w:rPr>
          <w:szCs w:val="26"/>
          <w:lang w:val="pt-BR"/>
        </w:rPr>
      </w:pPr>
      <w:r w:rsidRPr="008E63BB">
        <w:rPr>
          <w:szCs w:val="26"/>
          <w:lang w:val="pt-BR"/>
        </w:rPr>
        <w:t>- Hình thành các hồ cảnh quan, chuỗi "không gian xanh", tạo không gian cảnh quan, điều hòa vi khí hậu;</w:t>
      </w:r>
    </w:p>
    <w:p w14:paraId="519B4397" w14:textId="77777777" w:rsidR="008C1B81" w:rsidRPr="008E63BB" w:rsidRDefault="008C1B81" w:rsidP="00245117">
      <w:pPr>
        <w:tabs>
          <w:tab w:val="left" w:pos="709"/>
          <w:tab w:val="left" w:pos="851"/>
          <w:tab w:val="left" w:pos="3122"/>
        </w:tabs>
        <w:spacing w:before="120" w:after="120"/>
        <w:ind w:firstLine="567"/>
        <w:rPr>
          <w:szCs w:val="26"/>
          <w:lang w:val="pt-BR"/>
        </w:rPr>
      </w:pPr>
      <w:r w:rsidRPr="008E63BB">
        <w:rPr>
          <w:szCs w:val="26"/>
          <w:lang w:val="pt-BR"/>
        </w:rPr>
        <w:t>- Tăng cường diện tích cây xanh tại các dải phân cách giao thông, trên các trục đường, tại các bến bãi,... để điều hòa không khí, giảm bụi, khí thải, tiếng ồn trong giao thông;</w:t>
      </w:r>
    </w:p>
    <w:p w14:paraId="519B4398" w14:textId="77777777" w:rsidR="008C1B81" w:rsidRPr="008E63BB" w:rsidRDefault="008C1B81" w:rsidP="00245117">
      <w:pPr>
        <w:tabs>
          <w:tab w:val="left" w:pos="709"/>
          <w:tab w:val="left" w:pos="851"/>
          <w:tab w:val="left" w:pos="3122"/>
        </w:tabs>
        <w:spacing w:before="120" w:after="120"/>
        <w:ind w:firstLine="567"/>
        <w:rPr>
          <w:szCs w:val="26"/>
          <w:lang w:val="pt-BR"/>
        </w:rPr>
      </w:pPr>
      <w:r w:rsidRPr="008E63BB">
        <w:rPr>
          <w:szCs w:val="26"/>
          <w:lang w:val="pt-BR"/>
        </w:rPr>
        <w:t xml:space="preserve">- Xây dựng hệ thống thu gom, xử lý nước thải sinh hoạt, công nghiệp, đảm bảo nước thải được xử lý đạt quy chuẩn kỹ thuật quốc gia về môi trường trước khi xả vào nguồn tiếp nhận; </w:t>
      </w:r>
    </w:p>
    <w:p w14:paraId="519B4399" w14:textId="77777777" w:rsidR="008C1B81" w:rsidRPr="008E63BB" w:rsidRDefault="008C1B81" w:rsidP="00245117">
      <w:pPr>
        <w:tabs>
          <w:tab w:val="left" w:pos="709"/>
          <w:tab w:val="left" w:pos="851"/>
          <w:tab w:val="left" w:pos="3122"/>
        </w:tabs>
        <w:spacing w:before="120" w:after="120"/>
        <w:ind w:firstLine="567"/>
        <w:rPr>
          <w:szCs w:val="26"/>
          <w:lang w:val="pt-BR"/>
        </w:rPr>
      </w:pPr>
      <w:r w:rsidRPr="008E63BB">
        <w:rPr>
          <w:szCs w:val="26"/>
          <w:lang w:val="pt-BR"/>
        </w:rPr>
        <w:t xml:space="preserve">- Bố trí hệ thống trang thiết bị phục vụ công tác phân loại, thu gom chất thải rắn. Đảm bảo chất thải rắn phát sinh trong phạm vi nghiên cứu quy hoạch được phân loại thu gom triệt để và đưa về khu xử lý đạt tiêu chuẩn môi trường; </w:t>
      </w:r>
    </w:p>
    <w:p w14:paraId="519B439A" w14:textId="77777777" w:rsidR="008C1B81" w:rsidRPr="008E63BB" w:rsidRDefault="008C1B81" w:rsidP="00245117">
      <w:pPr>
        <w:tabs>
          <w:tab w:val="left" w:pos="709"/>
          <w:tab w:val="left" w:pos="851"/>
          <w:tab w:val="left" w:pos="3122"/>
        </w:tabs>
        <w:spacing w:before="120" w:after="120"/>
        <w:ind w:firstLine="567"/>
        <w:rPr>
          <w:szCs w:val="26"/>
          <w:lang w:val="pt-BR"/>
        </w:rPr>
      </w:pPr>
      <w:r w:rsidRPr="008E63BB">
        <w:rPr>
          <w:szCs w:val="26"/>
          <w:lang w:val="pt-BR"/>
        </w:rPr>
        <w:t>- Bảo vệ hệ thống kênh mương thoát nước, các hồ điều hòa, chủ động phong chống thiên tai, các diễn biến bất thường của thời tiết.</w:t>
      </w:r>
    </w:p>
    <w:p w14:paraId="519B439B" w14:textId="77777777" w:rsidR="008C1B81" w:rsidRPr="008E63BB" w:rsidRDefault="008C1B81" w:rsidP="00245117">
      <w:pPr>
        <w:tabs>
          <w:tab w:val="left" w:pos="3122"/>
        </w:tabs>
        <w:spacing w:before="120" w:after="120"/>
        <w:rPr>
          <w:i/>
          <w:iCs/>
          <w:szCs w:val="26"/>
          <w:lang w:val="pt-BR"/>
        </w:rPr>
      </w:pPr>
      <w:r w:rsidRPr="008E63BB">
        <w:rPr>
          <w:i/>
          <w:iCs/>
          <w:szCs w:val="26"/>
          <w:lang w:val="pt-BR"/>
        </w:rPr>
        <w:t>c/. Các vấn đề môi trường chính cần xem xét khi lập quy hoạch</w:t>
      </w:r>
    </w:p>
    <w:p w14:paraId="519B439C" w14:textId="77777777" w:rsidR="008C1B81" w:rsidRPr="008E63BB" w:rsidRDefault="008C1B81" w:rsidP="00245117">
      <w:pPr>
        <w:tabs>
          <w:tab w:val="left" w:pos="3122"/>
        </w:tabs>
        <w:spacing w:before="120" w:after="120"/>
        <w:ind w:firstLine="562"/>
        <w:rPr>
          <w:i/>
          <w:iCs/>
          <w:szCs w:val="26"/>
          <w:lang w:val="pt-BR"/>
        </w:rPr>
      </w:pPr>
      <w:r w:rsidRPr="008E63BB">
        <w:rPr>
          <w:i/>
          <w:iCs/>
          <w:szCs w:val="26"/>
          <w:lang w:val="pt-BR"/>
        </w:rPr>
        <w:t>- Cơ sở xác định các vấn đề môi trường chính:</w:t>
      </w:r>
    </w:p>
    <w:p w14:paraId="519B439D" w14:textId="77777777" w:rsidR="008C1B81" w:rsidRPr="008E63BB" w:rsidRDefault="008C1B81" w:rsidP="00245117">
      <w:pPr>
        <w:tabs>
          <w:tab w:val="left" w:pos="720"/>
        </w:tabs>
        <w:spacing w:before="120" w:after="120"/>
        <w:ind w:firstLine="562"/>
        <w:rPr>
          <w:szCs w:val="26"/>
          <w:lang w:val="pt-BR"/>
        </w:rPr>
      </w:pPr>
      <w:r w:rsidRPr="008E63BB">
        <w:rPr>
          <w:szCs w:val="26"/>
          <w:lang w:val="pt-BR"/>
        </w:rPr>
        <w:t>+ Hiện trạng các nguồn tài nguyên thiên nhiên trên địa bàn tỉnh nói chung và phạm vi nghiên cứu nói riêng, đối chiếu với thực tiễn khai thác, sử dụng chúng cho các mục tiêu phát triển kinh tế – xã hội của khu vực;</w:t>
      </w:r>
    </w:p>
    <w:p w14:paraId="519B439E" w14:textId="77777777" w:rsidR="008C1B81" w:rsidRPr="008E63BB" w:rsidRDefault="008C1B81" w:rsidP="00245117">
      <w:pPr>
        <w:tabs>
          <w:tab w:val="left" w:pos="720"/>
        </w:tabs>
        <w:spacing w:before="120" w:after="120"/>
        <w:ind w:firstLine="562"/>
        <w:rPr>
          <w:szCs w:val="26"/>
          <w:lang w:val="pt-BR"/>
        </w:rPr>
      </w:pPr>
      <w:r w:rsidRPr="008E63BB">
        <w:rPr>
          <w:szCs w:val="26"/>
          <w:lang w:val="pt-BR"/>
        </w:rPr>
        <w:t>+ Hiện trạng và xu thế diễn biến chất lượng môi trường đất, nước, không khí trên địa bàn tỉnh trong những năm qua.</w:t>
      </w:r>
    </w:p>
    <w:p w14:paraId="519B439F" w14:textId="77777777" w:rsidR="008C1B81" w:rsidRPr="008E63BB" w:rsidRDefault="008C1B81" w:rsidP="00245117">
      <w:pPr>
        <w:tabs>
          <w:tab w:val="left" w:pos="720"/>
        </w:tabs>
        <w:spacing w:before="120" w:after="120"/>
        <w:ind w:firstLine="562"/>
        <w:rPr>
          <w:szCs w:val="26"/>
          <w:lang w:val="pt-BR"/>
        </w:rPr>
      </w:pPr>
      <w:r w:rsidRPr="008E63BB">
        <w:rPr>
          <w:szCs w:val="26"/>
          <w:lang w:val="pt-BR"/>
        </w:rPr>
        <w:t>+ Hiện trạng các nguồn gây ô nhiễm trên diện rộng và trong phạm vi nghiên cứu quy hoạch;</w:t>
      </w:r>
    </w:p>
    <w:p w14:paraId="519B43A0" w14:textId="77777777" w:rsidR="008C1B81" w:rsidRPr="008E63BB" w:rsidRDefault="008C1B81" w:rsidP="00245117">
      <w:pPr>
        <w:tabs>
          <w:tab w:val="left" w:pos="720"/>
        </w:tabs>
        <w:spacing w:before="120" w:after="120"/>
        <w:ind w:firstLine="562"/>
        <w:rPr>
          <w:spacing w:val="-8"/>
          <w:szCs w:val="26"/>
          <w:lang w:val="pt-BR"/>
        </w:rPr>
      </w:pPr>
      <w:r w:rsidRPr="008E63BB">
        <w:rPr>
          <w:spacing w:val="-8"/>
          <w:szCs w:val="26"/>
          <w:lang w:val="pt-BR"/>
        </w:rPr>
        <w:t>+ Dự báo các diễn biến và kế hoạch hành động, ứng phó với biến đổi khí hậu của Tỉnh;</w:t>
      </w:r>
    </w:p>
    <w:p w14:paraId="519B43A1" w14:textId="77777777" w:rsidR="008C1B81" w:rsidRPr="008E63BB" w:rsidRDefault="008C1B81" w:rsidP="00245117">
      <w:pPr>
        <w:tabs>
          <w:tab w:val="left" w:pos="720"/>
        </w:tabs>
        <w:spacing w:before="120" w:after="120"/>
        <w:ind w:firstLine="562"/>
        <w:rPr>
          <w:szCs w:val="26"/>
          <w:lang w:val="pt-BR"/>
        </w:rPr>
      </w:pPr>
      <w:r w:rsidRPr="008E63BB">
        <w:rPr>
          <w:szCs w:val="26"/>
          <w:lang w:val="pt-BR"/>
        </w:rPr>
        <w:t>+ Dự báo diễn biến môi trường quy hoạch dưới các sức ép của của gia tăng dân số và phát triển kinh tế – xã hội theo các chiến lược, quy hoạch đã được duyệt;</w:t>
      </w:r>
    </w:p>
    <w:p w14:paraId="519B43A2" w14:textId="77777777" w:rsidR="008C1B81" w:rsidRPr="008E63BB" w:rsidRDefault="008C1B81" w:rsidP="00245117">
      <w:pPr>
        <w:tabs>
          <w:tab w:val="left" w:pos="709"/>
        </w:tabs>
        <w:spacing w:before="120" w:after="120"/>
        <w:ind w:firstLine="562"/>
        <w:rPr>
          <w:i/>
          <w:iCs/>
          <w:szCs w:val="26"/>
          <w:lang w:val="pt-BR"/>
        </w:rPr>
      </w:pPr>
      <w:r w:rsidRPr="008E63BB">
        <w:rPr>
          <w:i/>
          <w:iCs/>
          <w:szCs w:val="26"/>
          <w:lang w:val="pt-BR"/>
        </w:rPr>
        <w:t>- Nhận diện các vấn đề môi trường chính liên quan đến quy hoạch</w:t>
      </w:r>
    </w:p>
    <w:p w14:paraId="519B43A3" w14:textId="77777777" w:rsidR="008C1B81" w:rsidRPr="008E63BB" w:rsidRDefault="008C1B81" w:rsidP="00245117">
      <w:pPr>
        <w:tabs>
          <w:tab w:val="left" w:pos="720"/>
        </w:tabs>
        <w:spacing w:before="120" w:after="120"/>
        <w:ind w:firstLine="562"/>
        <w:rPr>
          <w:szCs w:val="26"/>
          <w:lang w:val="pt-BR"/>
        </w:rPr>
      </w:pPr>
      <w:r w:rsidRPr="008E63BB">
        <w:rPr>
          <w:szCs w:val="26"/>
          <w:lang w:val="pt-BR"/>
        </w:rPr>
        <w:t xml:space="preserve">Sau khi xem xét, tìm hiểu và tham khảo báo cáo hiện trạng môi trường tỉnh Nam Định, cùng với quá trình khảo sát hiện trạng môi trường trong khu vực lập quy hoạch, xem xét đánh giá các tác động có thể xẩy ra khi thực hiện quy hoạch, các vấn đề chính được nhận diện: </w:t>
      </w:r>
    </w:p>
    <w:p w14:paraId="519B43A4" w14:textId="77777777" w:rsidR="008C1B81" w:rsidRPr="008E63BB" w:rsidRDefault="008C1B81" w:rsidP="00245117">
      <w:pPr>
        <w:tabs>
          <w:tab w:val="left" w:pos="720"/>
        </w:tabs>
        <w:spacing w:before="120" w:after="120"/>
        <w:ind w:firstLine="562"/>
        <w:rPr>
          <w:szCs w:val="26"/>
          <w:lang w:val="pt-BR"/>
        </w:rPr>
      </w:pPr>
      <w:r w:rsidRPr="008E63BB">
        <w:rPr>
          <w:szCs w:val="26"/>
          <w:lang w:val="pt-BR"/>
        </w:rPr>
        <w:t>1. Các vấn đề về môi trường kinh tế - xã hội;</w:t>
      </w:r>
    </w:p>
    <w:p w14:paraId="519B43A5" w14:textId="77777777" w:rsidR="008C1B81" w:rsidRPr="008E63BB" w:rsidRDefault="008C1B81" w:rsidP="00245117">
      <w:pPr>
        <w:tabs>
          <w:tab w:val="left" w:pos="720"/>
        </w:tabs>
        <w:spacing w:before="120" w:after="120"/>
        <w:ind w:firstLine="562"/>
        <w:rPr>
          <w:szCs w:val="26"/>
          <w:lang w:val="pt-BR"/>
        </w:rPr>
      </w:pPr>
      <w:r w:rsidRPr="008E63BB">
        <w:rPr>
          <w:szCs w:val="26"/>
          <w:lang w:val="pt-BR"/>
        </w:rPr>
        <w:t>2. Diễn biến trữ lượng và chất lượng nước;</w:t>
      </w:r>
    </w:p>
    <w:p w14:paraId="519B43A6" w14:textId="77777777" w:rsidR="008C1B81" w:rsidRPr="008E63BB" w:rsidRDefault="008C1B81" w:rsidP="00245117">
      <w:pPr>
        <w:tabs>
          <w:tab w:val="left" w:pos="720"/>
        </w:tabs>
        <w:spacing w:before="120" w:after="120"/>
        <w:ind w:firstLine="562"/>
        <w:rPr>
          <w:szCs w:val="26"/>
          <w:lang w:val="pt-BR"/>
        </w:rPr>
      </w:pPr>
      <w:r w:rsidRPr="008E63BB">
        <w:rPr>
          <w:szCs w:val="26"/>
          <w:lang w:val="pt-BR"/>
        </w:rPr>
        <w:t>3. Diễn biến chất lượng môi trường không khí, tiếng ồn;</w:t>
      </w:r>
    </w:p>
    <w:p w14:paraId="519B43A7" w14:textId="77777777" w:rsidR="008C1B81" w:rsidRPr="008E63BB" w:rsidRDefault="008C1B81" w:rsidP="00245117">
      <w:pPr>
        <w:tabs>
          <w:tab w:val="left" w:pos="720"/>
        </w:tabs>
        <w:spacing w:before="120" w:after="120"/>
        <w:ind w:firstLine="562"/>
        <w:rPr>
          <w:szCs w:val="26"/>
          <w:lang w:val="pt-BR"/>
        </w:rPr>
      </w:pPr>
      <w:r w:rsidRPr="008E63BB">
        <w:rPr>
          <w:szCs w:val="26"/>
          <w:lang w:val="pt-BR"/>
        </w:rPr>
        <w:t>4. Diễn biến môi trường đất;</w:t>
      </w:r>
    </w:p>
    <w:p w14:paraId="519B43A8" w14:textId="77777777" w:rsidR="008C1B81" w:rsidRPr="008E63BB" w:rsidRDefault="008C1B81" w:rsidP="00245117">
      <w:pPr>
        <w:tabs>
          <w:tab w:val="left" w:pos="720"/>
        </w:tabs>
        <w:spacing w:before="120" w:after="120"/>
        <w:ind w:firstLine="562"/>
        <w:rPr>
          <w:szCs w:val="26"/>
          <w:lang w:val="pt-BR"/>
        </w:rPr>
      </w:pPr>
      <w:r w:rsidRPr="008E63BB">
        <w:rPr>
          <w:szCs w:val="26"/>
          <w:lang w:val="pt-BR"/>
        </w:rPr>
        <w:lastRenderedPageBreak/>
        <w:t>5. Diễn biến chất thải rắn;</w:t>
      </w:r>
    </w:p>
    <w:p w14:paraId="519B43A9" w14:textId="77777777" w:rsidR="008C1B81" w:rsidRPr="008E63BB" w:rsidRDefault="008C1B81" w:rsidP="00245117">
      <w:pPr>
        <w:tabs>
          <w:tab w:val="left" w:pos="720"/>
        </w:tabs>
        <w:spacing w:before="120" w:after="120"/>
        <w:ind w:firstLine="562"/>
        <w:rPr>
          <w:szCs w:val="26"/>
          <w:lang w:val="pt-BR"/>
        </w:rPr>
      </w:pPr>
      <w:r w:rsidRPr="008E63BB">
        <w:rPr>
          <w:szCs w:val="26"/>
          <w:lang w:val="pt-BR"/>
        </w:rPr>
        <w:t>6. Biến đổi khí hậu và các tai biến thiên nhiên;</w:t>
      </w:r>
    </w:p>
    <w:p w14:paraId="519B43AA" w14:textId="77777777" w:rsidR="008C1B81" w:rsidRPr="008E63BB" w:rsidRDefault="00C32228" w:rsidP="0065184D">
      <w:pPr>
        <w:pStyle w:val="3"/>
        <w:spacing w:after="60"/>
        <w:rPr>
          <w:rFonts w:ascii="Times New Roman" w:hAnsi="Times New Roman"/>
          <w:sz w:val="26"/>
          <w:szCs w:val="26"/>
          <w:lang w:val="pt-BR"/>
        </w:rPr>
      </w:pPr>
      <w:bookmarkStart w:id="565" w:name="_Toc404100317"/>
      <w:r w:rsidRPr="008E63BB">
        <w:rPr>
          <w:rFonts w:ascii="Times New Roman" w:hAnsi="Times New Roman"/>
          <w:sz w:val="26"/>
          <w:szCs w:val="26"/>
          <w:lang w:val="pt-BR"/>
        </w:rPr>
        <w:t>9</w:t>
      </w:r>
      <w:r w:rsidR="008C1B81" w:rsidRPr="008E63BB">
        <w:rPr>
          <w:rFonts w:ascii="Times New Roman" w:hAnsi="Times New Roman"/>
          <w:sz w:val="26"/>
          <w:szCs w:val="26"/>
          <w:lang w:val="pt-BR"/>
        </w:rPr>
        <w:t>.2.2. Đánh giá sự phù hợp giữa các quan điểm, mục tiêu của Quy hoạch và bảo vệ môi trường</w:t>
      </w:r>
      <w:bookmarkEnd w:id="565"/>
    </w:p>
    <w:p w14:paraId="519B43AB" w14:textId="77777777" w:rsidR="00A13528" w:rsidRPr="008E63BB" w:rsidRDefault="00A13528" w:rsidP="00A13528">
      <w:pPr>
        <w:autoSpaceDE w:val="0"/>
        <w:autoSpaceDN w:val="0"/>
        <w:adjustRightInd w:val="0"/>
        <w:spacing w:before="120" w:after="120"/>
        <w:jc w:val="center"/>
        <w:rPr>
          <w:b/>
          <w:lang w:val="sv-SE"/>
        </w:rPr>
      </w:pPr>
      <w:r w:rsidRPr="008E63BB">
        <w:rPr>
          <w:b/>
          <w:lang w:val="sv-SE"/>
        </w:rPr>
        <w:t>Bảng</w:t>
      </w:r>
      <w:r w:rsidR="00D4372E" w:rsidRPr="008E63BB">
        <w:rPr>
          <w:b/>
          <w:lang w:val="sv-SE"/>
        </w:rPr>
        <w:t xml:space="preserve"> MT03</w:t>
      </w:r>
      <w:r w:rsidRPr="008E63BB">
        <w:rPr>
          <w:b/>
          <w:lang w:val="sv-SE"/>
        </w:rPr>
        <w:t>: Đánh giá sự phù hợp giữa quan điểm, mục tiêu, định hướng phát triển chính của quy hoạch và bảo vệ môi trường</w:t>
      </w:r>
    </w:p>
    <w:tbl>
      <w:tblPr>
        <w:tblStyle w:val="TableGrid"/>
        <w:tblW w:w="9747" w:type="dxa"/>
        <w:tblLayout w:type="fixed"/>
        <w:tblLook w:val="04A0" w:firstRow="1" w:lastRow="0" w:firstColumn="1" w:lastColumn="0" w:noHBand="0" w:noVBand="1"/>
      </w:tblPr>
      <w:tblGrid>
        <w:gridCol w:w="445"/>
        <w:gridCol w:w="6042"/>
        <w:gridCol w:w="3260"/>
      </w:tblGrid>
      <w:tr w:rsidR="00A13528" w:rsidRPr="008E63BB" w14:paraId="519B43AF" w14:textId="77777777" w:rsidTr="003D057A">
        <w:trPr>
          <w:tblHeader/>
        </w:trPr>
        <w:tc>
          <w:tcPr>
            <w:tcW w:w="445" w:type="dxa"/>
            <w:vAlign w:val="center"/>
          </w:tcPr>
          <w:p w14:paraId="519B43AC" w14:textId="77777777" w:rsidR="00A13528" w:rsidRPr="008E63BB" w:rsidRDefault="00A13528" w:rsidP="005F4632">
            <w:pPr>
              <w:pStyle w:val="3"/>
              <w:spacing w:before="20"/>
              <w:ind w:left="-113" w:right="-108"/>
              <w:jc w:val="center"/>
              <w:rPr>
                <w:rFonts w:ascii="Times New Roman" w:hAnsi="Times New Roman"/>
                <w:i w:val="0"/>
                <w:sz w:val="24"/>
                <w:lang w:val="pt-BR"/>
              </w:rPr>
            </w:pPr>
            <w:r w:rsidRPr="008E63BB">
              <w:rPr>
                <w:rFonts w:ascii="Times New Roman" w:hAnsi="Times New Roman"/>
                <w:i w:val="0"/>
                <w:sz w:val="24"/>
                <w:lang w:val="pt-BR"/>
              </w:rPr>
              <w:t>TT</w:t>
            </w:r>
          </w:p>
        </w:tc>
        <w:tc>
          <w:tcPr>
            <w:tcW w:w="6042" w:type="dxa"/>
            <w:vAlign w:val="center"/>
          </w:tcPr>
          <w:p w14:paraId="519B43AD" w14:textId="77777777" w:rsidR="00A13528" w:rsidRPr="008E63BB" w:rsidRDefault="00A13528" w:rsidP="005F4632">
            <w:pPr>
              <w:pStyle w:val="3"/>
              <w:spacing w:before="20"/>
              <w:jc w:val="center"/>
              <w:rPr>
                <w:rFonts w:ascii="Times New Roman" w:hAnsi="Times New Roman"/>
                <w:i w:val="0"/>
                <w:sz w:val="24"/>
                <w:lang w:val="pt-BR"/>
              </w:rPr>
            </w:pPr>
            <w:r w:rsidRPr="008E63BB">
              <w:rPr>
                <w:rFonts w:ascii="Times New Roman" w:hAnsi="Times New Roman"/>
                <w:i w:val="0"/>
                <w:sz w:val="24"/>
                <w:lang w:val="pt-BR"/>
              </w:rPr>
              <w:t>Mục tiêu, định hướng Quy hoạch</w:t>
            </w:r>
          </w:p>
        </w:tc>
        <w:tc>
          <w:tcPr>
            <w:tcW w:w="3260" w:type="dxa"/>
            <w:vAlign w:val="center"/>
          </w:tcPr>
          <w:p w14:paraId="519B43AE" w14:textId="77777777" w:rsidR="00A13528" w:rsidRPr="008E63BB" w:rsidRDefault="00A13528" w:rsidP="005F4632">
            <w:pPr>
              <w:pStyle w:val="3"/>
              <w:spacing w:before="20"/>
              <w:ind w:right="-108"/>
              <w:jc w:val="center"/>
              <w:rPr>
                <w:rFonts w:ascii="Times New Roman" w:hAnsi="Times New Roman"/>
                <w:i w:val="0"/>
                <w:sz w:val="24"/>
                <w:lang w:val="pt-BR"/>
              </w:rPr>
            </w:pPr>
            <w:r w:rsidRPr="008E63BB">
              <w:rPr>
                <w:rFonts w:ascii="Times New Roman" w:hAnsi="Times New Roman"/>
                <w:i w:val="0"/>
                <w:sz w:val="24"/>
                <w:lang w:val="pt-BR"/>
              </w:rPr>
              <w:t>Đánh giá sự phù hợp</w:t>
            </w:r>
          </w:p>
        </w:tc>
      </w:tr>
      <w:tr w:rsidR="00A13528" w:rsidRPr="008E63BB" w14:paraId="519B43B3" w14:textId="77777777" w:rsidTr="003D057A">
        <w:tc>
          <w:tcPr>
            <w:tcW w:w="445" w:type="dxa"/>
            <w:vAlign w:val="center"/>
          </w:tcPr>
          <w:p w14:paraId="519B43B0" w14:textId="77777777" w:rsidR="00A13528" w:rsidRPr="008E63BB" w:rsidRDefault="00A13528" w:rsidP="00D4372E">
            <w:pPr>
              <w:pStyle w:val="3"/>
              <w:spacing w:before="20"/>
              <w:jc w:val="center"/>
              <w:rPr>
                <w:rFonts w:ascii="Times New Roman" w:hAnsi="Times New Roman"/>
                <w:sz w:val="24"/>
                <w:lang w:val="pt-BR"/>
              </w:rPr>
            </w:pPr>
            <w:r w:rsidRPr="008E63BB">
              <w:rPr>
                <w:rFonts w:ascii="Times New Roman" w:hAnsi="Times New Roman"/>
                <w:sz w:val="24"/>
                <w:lang w:val="pt-BR"/>
              </w:rPr>
              <w:t>I</w:t>
            </w:r>
          </w:p>
        </w:tc>
        <w:tc>
          <w:tcPr>
            <w:tcW w:w="6042" w:type="dxa"/>
            <w:vAlign w:val="center"/>
          </w:tcPr>
          <w:p w14:paraId="519B43B1" w14:textId="77777777" w:rsidR="00A13528" w:rsidRPr="008E63BB" w:rsidRDefault="00A13528" w:rsidP="005F4632">
            <w:pPr>
              <w:pStyle w:val="3"/>
              <w:spacing w:before="20"/>
              <w:rPr>
                <w:rFonts w:ascii="Times New Roman" w:hAnsi="Times New Roman"/>
                <w:sz w:val="24"/>
                <w:lang w:val="pt-BR"/>
              </w:rPr>
            </w:pPr>
            <w:r w:rsidRPr="008E63BB">
              <w:rPr>
                <w:rFonts w:ascii="Times New Roman" w:hAnsi="Times New Roman"/>
                <w:sz w:val="24"/>
                <w:lang w:val="pt-BR"/>
              </w:rPr>
              <w:t>Mục tiêu</w:t>
            </w:r>
          </w:p>
        </w:tc>
        <w:tc>
          <w:tcPr>
            <w:tcW w:w="3260" w:type="dxa"/>
            <w:vAlign w:val="center"/>
          </w:tcPr>
          <w:p w14:paraId="519B43B2" w14:textId="77777777" w:rsidR="00A13528" w:rsidRPr="008E63BB" w:rsidRDefault="00A13528" w:rsidP="00D4372E">
            <w:pPr>
              <w:pStyle w:val="3"/>
              <w:spacing w:before="20"/>
              <w:ind w:right="-108"/>
              <w:jc w:val="center"/>
              <w:rPr>
                <w:rFonts w:ascii="Times New Roman" w:hAnsi="Times New Roman"/>
                <w:sz w:val="24"/>
                <w:lang w:val="pt-BR"/>
              </w:rPr>
            </w:pPr>
          </w:p>
        </w:tc>
      </w:tr>
      <w:tr w:rsidR="00A13528" w:rsidRPr="008E63BB" w14:paraId="519B43B7" w14:textId="77777777" w:rsidTr="003D057A">
        <w:tc>
          <w:tcPr>
            <w:tcW w:w="445" w:type="dxa"/>
          </w:tcPr>
          <w:p w14:paraId="519B43B4"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1</w:t>
            </w:r>
          </w:p>
        </w:tc>
        <w:tc>
          <w:tcPr>
            <w:tcW w:w="6042" w:type="dxa"/>
          </w:tcPr>
          <w:p w14:paraId="519B43B5" w14:textId="77777777" w:rsidR="00A13528" w:rsidRPr="008E63BB" w:rsidRDefault="00A13528" w:rsidP="005F4632">
            <w:pPr>
              <w:tabs>
                <w:tab w:val="left" w:pos="288"/>
                <w:tab w:val="left" w:pos="851"/>
              </w:tabs>
              <w:spacing w:before="20" w:after="20"/>
              <w:ind w:right="-108"/>
              <w:rPr>
                <w:sz w:val="24"/>
                <w:szCs w:val="24"/>
                <w:lang w:val="pt-BR"/>
              </w:rPr>
            </w:pPr>
            <w:r w:rsidRPr="008E63BB">
              <w:rPr>
                <w:sz w:val="24"/>
                <w:szCs w:val="24"/>
                <w:lang w:val="vi-VN"/>
              </w:rPr>
              <w:t xml:space="preserve">Phát triển Thành phố Nam Định với những vị thế và xu hướng phát triển mới, trong bối cảnh hội nhập quốc tế và toàn cầu hoá, khai thác có hiệu quả những tiềm năng phát triển của thành phố </w:t>
            </w:r>
            <w:r w:rsidRPr="008E63BB">
              <w:rPr>
                <w:b/>
                <w:sz w:val="24"/>
                <w:szCs w:val="24"/>
                <w:lang w:val="vi-VN"/>
              </w:rPr>
              <w:t>theo hướngphát triển bền vững</w:t>
            </w:r>
            <w:r w:rsidRPr="008E63BB">
              <w:rPr>
                <w:sz w:val="24"/>
                <w:szCs w:val="24"/>
                <w:lang w:val="vi-VN"/>
              </w:rPr>
              <w:t>;</w:t>
            </w:r>
          </w:p>
        </w:tc>
        <w:tc>
          <w:tcPr>
            <w:tcW w:w="3260" w:type="dxa"/>
          </w:tcPr>
          <w:p w14:paraId="519B43B6"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“Phát triển bền vững” cũng là mục tiêu công tác bảo vệ môi trường luôn hướng đến</w:t>
            </w:r>
          </w:p>
        </w:tc>
      </w:tr>
      <w:tr w:rsidR="00A13528" w:rsidRPr="008E63BB" w14:paraId="519B43BB" w14:textId="77777777" w:rsidTr="003D057A">
        <w:tc>
          <w:tcPr>
            <w:tcW w:w="445" w:type="dxa"/>
          </w:tcPr>
          <w:p w14:paraId="519B43B8"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2</w:t>
            </w:r>
          </w:p>
        </w:tc>
        <w:tc>
          <w:tcPr>
            <w:tcW w:w="6042" w:type="dxa"/>
          </w:tcPr>
          <w:p w14:paraId="519B43B9" w14:textId="77777777" w:rsidR="00A13528" w:rsidRPr="008E63BB" w:rsidRDefault="00A13528" w:rsidP="005F4632">
            <w:pPr>
              <w:tabs>
                <w:tab w:val="left" w:pos="288"/>
                <w:tab w:val="left" w:pos="851"/>
              </w:tabs>
              <w:spacing w:before="20" w:after="20"/>
              <w:ind w:right="-108"/>
              <w:rPr>
                <w:sz w:val="24"/>
                <w:szCs w:val="24"/>
                <w:lang w:val="vi-VN"/>
              </w:rPr>
            </w:pPr>
            <w:r w:rsidRPr="008E63BB">
              <w:rPr>
                <w:sz w:val="24"/>
                <w:szCs w:val="24"/>
                <w:lang w:val="vi-VN"/>
              </w:rPr>
              <w:t>Xây dựng thành phố Nam Định thành một đô thị văn minh, xanh, thân thiện với môi trường với hệ thống kết cấu hạ tầng kinh tế - xã hội đồng bộ, hiện đại; chủ động ứng phó có hiệu quả thiên tai và biến đổi khí hậu.</w:t>
            </w:r>
          </w:p>
        </w:tc>
        <w:tc>
          <w:tcPr>
            <w:tcW w:w="3260" w:type="dxa"/>
          </w:tcPr>
          <w:p w14:paraId="519B43BA"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Mục tiêu đề cập rất rõ đến công tác bảo vệ môi trường, ứng phó biến đổi khí hậu</w:t>
            </w:r>
          </w:p>
        </w:tc>
      </w:tr>
      <w:tr w:rsidR="00A13528" w:rsidRPr="008E63BB" w14:paraId="519B43BF" w14:textId="77777777" w:rsidTr="003D057A">
        <w:tc>
          <w:tcPr>
            <w:tcW w:w="445" w:type="dxa"/>
          </w:tcPr>
          <w:p w14:paraId="519B43BC"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3</w:t>
            </w:r>
          </w:p>
        </w:tc>
        <w:tc>
          <w:tcPr>
            <w:tcW w:w="6042" w:type="dxa"/>
          </w:tcPr>
          <w:p w14:paraId="519B43BD" w14:textId="77777777" w:rsidR="00A13528" w:rsidRPr="008E63BB" w:rsidRDefault="00A13528" w:rsidP="005F4632">
            <w:pPr>
              <w:tabs>
                <w:tab w:val="left" w:pos="288"/>
                <w:tab w:val="left" w:pos="851"/>
              </w:tabs>
              <w:spacing w:before="20" w:after="20"/>
              <w:ind w:right="-108"/>
              <w:rPr>
                <w:sz w:val="24"/>
                <w:szCs w:val="24"/>
                <w:lang w:val="vi-VN"/>
              </w:rPr>
            </w:pPr>
            <w:r w:rsidRPr="008E63BB">
              <w:rPr>
                <w:sz w:val="24"/>
                <w:szCs w:val="24"/>
                <w:lang w:val="vi-VN"/>
              </w:rPr>
              <w:t>Phát triển Nam Định gắn với những tiềm năng nổi trội về văn hóa lịch sử, giáo dục, công nghiệp và dịch vụ.</w:t>
            </w:r>
          </w:p>
        </w:tc>
        <w:tc>
          <w:tcPr>
            <w:tcW w:w="3260" w:type="dxa"/>
          </w:tcPr>
          <w:p w14:paraId="519B43BE"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Mục tiêu đem lại nhiều lợi ích về kinh tế, văn hóa và xã hội; Phù hợp mục tiêu môi trường: nâng cao sức khỏe, chất lượng sống người dân;</w:t>
            </w:r>
          </w:p>
        </w:tc>
      </w:tr>
      <w:tr w:rsidR="00A13528" w:rsidRPr="008E63BB" w14:paraId="519B43C3" w14:textId="77777777" w:rsidTr="003D057A">
        <w:tc>
          <w:tcPr>
            <w:tcW w:w="445" w:type="dxa"/>
          </w:tcPr>
          <w:p w14:paraId="519B43C0"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4</w:t>
            </w:r>
          </w:p>
        </w:tc>
        <w:tc>
          <w:tcPr>
            <w:tcW w:w="6042" w:type="dxa"/>
          </w:tcPr>
          <w:p w14:paraId="519B43C1" w14:textId="77777777" w:rsidR="00A13528" w:rsidRPr="008E63BB" w:rsidRDefault="00A13528" w:rsidP="005F4632">
            <w:pPr>
              <w:tabs>
                <w:tab w:val="left" w:pos="288"/>
                <w:tab w:val="left" w:pos="851"/>
              </w:tabs>
              <w:spacing w:before="20" w:after="20"/>
              <w:ind w:right="-108"/>
              <w:rPr>
                <w:sz w:val="24"/>
                <w:szCs w:val="24"/>
                <w:lang w:val="vi-VN"/>
              </w:rPr>
            </w:pPr>
            <w:r w:rsidRPr="008E63BB">
              <w:rPr>
                <w:sz w:val="24"/>
                <w:szCs w:val="24"/>
                <w:lang w:val="vi-VN"/>
              </w:rPr>
              <w:t>Làm cơ sở để xây dựng các chương trình, dự án đầu tư phát triển đô thị</w:t>
            </w:r>
            <w:r w:rsidRPr="008E63BB">
              <w:rPr>
                <w:rFonts w:eastAsia="Times New Roman"/>
                <w:sz w:val="24"/>
                <w:szCs w:val="24"/>
                <w:lang w:val="vi-VN"/>
              </w:rPr>
              <w:t>.</w:t>
            </w:r>
          </w:p>
        </w:tc>
        <w:tc>
          <w:tcPr>
            <w:tcW w:w="3260" w:type="dxa"/>
          </w:tcPr>
          <w:p w14:paraId="519B43C2"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Là mục tiêu cần làm được, để đô thị có thể phát triển đồng bộ, đảm bảo các mục tiêu phát triển đã đặt ra;</w:t>
            </w:r>
          </w:p>
        </w:tc>
      </w:tr>
      <w:tr w:rsidR="00A13528" w:rsidRPr="008E63BB" w14:paraId="519B43C7" w14:textId="77777777" w:rsidTr="003D057A">
        <w:tc>
          <w:tcPr>
            <w:tcW w:w="445" w:type="dxa"/>
          </w:tcPr>
          <w:p w14:paraId="519B43C4" w14:textId="77777777" w:rsidR="00A13528" w:rsidRPr="008E63BB" w:rsidRDefault="00A13528" w:rsidP="00D4372E">
            <w:pPr>
              <w:pStyle w:val="3"/>
              <w:spacing w:before="20"/>
              <w:jc w:val="center"/>
              <w:rPr>
                <w:rFonts w:ascii="Times New Roman" w:hAnsi="Times New Roman"/>
                <w:sz w:val="24"/>
                <w:lang w:val="pt-BR"/>
              </w:rPr>
            </w:pPr>
            <w:r w:rsidRPr="008E63BB">
              <w:rPr>
                <w:rFonts w:ascii="Times New Roman" w:hAnsi="Times New Roman"/>
                <w:sz w:val="24"/>
                <w:lang w:val="pt-BR"/>
              </w:rPr>
              <w:t>II</w:t>
            </w:r>
          </w:p>
        </w:tc>
        <w:tc>
          <w:tcPr>
            <w:tcW w:w="6042" w:type="dxa"/>
          </w:tcPr>
          <w:p w14:paraId="519B43C5" w14:textId="77777777" w:rsidR="00A13528" w:rsidRPr="008E63BB" w:rsidRDefault="00A13528" w:rsidP="005F4632">
            <w:pPr>
              <w:spacing w:before="20" w:after="20"/>
              <w:ind w:right="-108" w:hanging="18"/>
              <w:rPr>
                <w:rFonts w:eastAsia="Times New Roman"/>
                <w:b/>
                <w:i/>
                <w:sz w:val="24"/>
                <w:szCs w:val="24"/>
                <w:lang w:val="pt-BR"/>
              </w:rPr>
            </w:pPr>
            <w:r w:rsidRPr="008E63BB">
              <w:rPr>
                <w:rFonts w:eastAsia="Times New Roman"/>
                <w:b/>
                <w:i/>
                <w:sz w:val="24"/>
                <w:szCs w:val="24"/>
                <w:lang w:val="pt-BR"/>
              </w:rPr>
              <w:t>Các chiến lược phát triển đô thị</w:t>
            </w:r>
          </w:p>
        </w:tc>
        <w:tc>
          <w:tcPr>
            <w:tcW w:w="3260" w:type="dxa"/>
          </w:tcPr>
          <w:p w14:paraId="519B43C6" w14:textId="77777777" w:rsidR="00A13528" w:rsidRPr="008E63BB" w:rsidRDefault="00A13528" w:rsidP="00D4372E">
            <w:pPr>
              <w:pStyle w:val="3"/>
              <w:spacing w:before="20"/>
              <w:ind w:right="-108"/>
              <w:jc w:val="left"/>
              <w:rPr>
                <w:rFonts w:ascii="Times New Roman" w:hAnsi="Times New Roman"/>
                <w:sz w:val="24"/>
                <w:lang w:val="pt-BR"/>
              </w:rPr>
            </w:pPr>
          </w:p>
        </w:tc>
      </w:tr>
      <w:tr w:rsidR="00A13528" w:rsidRPr="008E63BB" w14:paraId="519B43CB" w14:textId="77777777" w:rsidTr="003D057A">
        <w:tc>
          <w:tcPr>
            <w:tcW w:w="445" w:type="dxa"/>
          </w:tcPr>
          <w:p w14:paraId="519B43C8"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1</w:t>
            </w:r>
          </w:p>
        </w:tc>
        <w:tc>
          <w:tcPr>
            <w:tcW w:w="6042" w:type="dxa"/>
          </w:tcPr>
          <w:p w14:paraId="519B43C9" w14:textId="77777777" w:rsidR="00A13528" w:rsidRPr="008E63BB" w:rsidRDefault="00A13528" w:rsidP="005F4632">
            <w:pPr>
              <w:spacing w:before="20" w:after="20"/>
              <w:ind w:right="-108"/>
              <w:rPr>
                <w:rFonts w:eastAsia="Times New Roman"/>
                <w:sz w:val="24"/>
                <w:szCs w:val="24"/>
                <w:lang w:val="pt-BR"/>
              </w:rPr>
            </w:pPr>
            <w:r w:rsidRPr="008E63BB">
              <w:rPr>
                <w:i/>
                <w:iCs/>
                <w:sz w:val="24"/>
                <w:szCs w:val="24"/>
                <w:lang w:val="pt-BR"/>
              </w:rPr>
              <w:t>Chiến lược 01: Thành phố sẵn sàng ứng phó biến đổi khi hậu;</w:t>
            </w:r>
            <w:r w:rsidRPr="008E63BB">
              <w:rPr>
                <w:sz w:val="24"/>
                <w:szCs w:val="24"/>
                <w:lang w:val="pt-BR"/>
              </w:rPr>
              <w:t xml:space="preserve"> Việc chuẩn bị để Nam Định sẵn sàng ứng phó với biến đổi khí hậu là rất quan trọng, giúp giảm thiểu rủi ro dài hạn, cải thiện khả năng phục hồi đô thị trước các tác động của biến đổi khí hậu dự kiến.</w:t>
            </w:r>
          </w:p>
        </w:tc>
        <w:tc>
          <w:tcPr>
            <w:tcW w:w="3260" w:type="dxa"/>
          </w:tcPr>
          <w:p w14:paraId="519B43CA"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Thể hiện rõ mức độ quan tâm, lồng ghép công tác thích ứng biến đổi khí hậu vào quy hoạch;</w:t>
            </w:r>
          </w:p>
        </w:tc>
      </w:tr>
      <w:tr w:rsidR="00A13528" w:rsidRPr="008E63BB" w14:paraId="519B43CF" w14:textId="77777777" w:rsidTr="003D057A">
        <w:tc>
          <w:tcPr>
            <w:tcW w:w="445" w:type="dxa"/>
          </w:tcPr>
          <w:p w14:paraId="519B43CC"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2</w:t>
            </w:r>
          </w:p>
        </w:tc>
        <w:tc>
          <w:tcPr>
            <w:tcW w:w="6042" w:type="dxa"/>
          </w:tcPr>
          <w:p w14:paraId="519B43CD" w14:textId="77777777" w:rsidR="00A13528" w:rsidRPr="008E63BB" w:rsidRDefault="00A13528" w:rsidP="005F4632">
            <w:pPr>
              <w:spacing w:before="20" w:after="20"/>
              <w:ind w:right="-108"/>
              <w:rPr>
                <w:i/>
                <w:iCs/>
                <w:sz w:val="24"/>
                <w:szCs w:val="24"/>
                <w:lang w:val="vi-VN"/>
              </w:rPr>
            </w:pPr>
            <w:r w:rsidRPr="008E63BB">
              <w:rPr>
                <w:i/>
                <w:iCs/>
                <w:sz w:val="24"/>
                <w:szCs w:val="24"/>
                <w:lang w:val="pt-BR"/>
              </w:rPr>
              <w:t xml:space="preserve">Chiến lược 02: Phát triển thành phố hai bên sông: </w:t>
            </w:r>
            <w:r w:rsidRPr="008E63BB">
              <w:rPr>
                <w:sz w:val="24"/>
                <w:szCs w:val="24"/>
                <w:lang w:val="vi-VN"/>
              </w:rPr>
              <w:t>Từ lịch sử hình thành và phát triển cho thấy, các dòng sông đóng vai trò quan trọng trong quá trình phát triển KTXH của Nam Định, làm thay đổi hình thái và cấu trúc của đô thị. Thông qua việc quản lý tốt, cải thiện chất lượng sông, giảm ô nhiễm, khuyến khích phát triển phù hợp và cải tạo các bờ sông, thành phố sẽ có thêm nhiều không gian dành cho nhu cầu nghỉ ngơi, giải trí, cảnh quan đẹp hấp dẫn, từ đó giúp tăng giá trị đất đai, thu hút các hoạt động đầu tư khai thác bờ sông để phát triển kinh tế. Để Nam Định trở thành một thành phố bên bờ sông, không gian trọng tâm là sông Hồng và sông Đào cần được nhấn mạnh.</w:t>
            </w:r>
          </w:p>
        </w:tc>
        <w:tc>
          <w:tcPr>
            <w:tcW w:w="3260" w:type="dxa"/>
          </w:tcPr>
          <w:p w14:paraId="519B43CE" w14:textId="77777777" w:rsidR="00A13528" w:rsidRPr="008E63BB" w:rsidRDefault="00A13528" w:rsidP="00D4372E">
            <w:pPr>
              <w:pStyle w:val="3"/>
              <w:spacing w:before="20"/>
              <w:ind w:right="-108"/>
              <w:jc w:val="left"/>
              <w:rPr>
                <w:rFonts w:ascii="Times New Roman" w:hAnsi="Times New Roman"/>
                <w:b w:val="0"/>
                <w:i w:val="0"/>
                <w:sz w:val="24"/>
                <w:lang w:val="vi-VN"/>
              </w:rPr>
            </w:pPr>
            <w:r w:rsidRPr="008E63BB">
              <w:rPr>
                <w:rFonts w:ascii="Times New Roman" w:hAnsi="Times New Roman"/>
                <w:b w:val="0"/>
                <w:i w:val="0"/>
                <w:sz w:val="24"/>
                <w:lang w:val="pt-BR"/>
              </w:rPr>
              <w:t>Chiến lược phát triển thứ 2 cũng thể hiện rõ tính nghiêm túc trong nghiên cứu quy hoạch, có xét đến yếu tố lịch sử, tập quán của khu vực; Trong chiến lược cũng đề cập đến bảo vệ môi trường: “</w:t>
            </w:r>
            <w:r w:rsidRPr="008E63BB">
              <w:rPr>
                <w:rFonts w:ascii="Times New Roman" w:hAnsi="Times New Roman"/>
                <w:b w:val="0"/>
                <w:i w:val="0"/>
                <w:sz w:val="24"/>
                <w:lang w:val="vi-VN"/>
              </w:rPr>
              <w:t>cải thiện chất lượng sông, giảm ô nhiễm, khuyến khích phát triển phù hợp và cải tạo các bờ sông”;</w:t>
            </w:r>
          </w:p>
        </w:tc>
      </w:tr>
      <w:tr w:rsidR="00A13528" w:rsidRPr="008E63BB" w14:paraId="519B43D6" w14:textId="77777777" w:rsidTr="003D057A">
        <w:tc>
          <w:tcPr>
            <w:tcW w:w="445" w:type="dxa"/>
          </w:tcPr>
          <w:p w14:paraId="519B43D0"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3</w:t>
            </w:r>
          </w:p>
        </w:tc>
        <w:tc>
          <w:tcPr>
            <w:tcW w:w="6042" w:type="dxa"/>
          </w:tcPr>
          <w:p w14:paraId="519B43D1" w14:textId="77777777" w:rsidR="00A13528" w:rsidRPr="008E63BB" w:rsidRDefault="00A13528" w:rsidP="005F4632">
            <w:pPr>
              <w:spacing w:before="20" w:after="20"/>
              <w:ind w:right="-108"/>
              <w:rPr>
                <w:sz w:val="24"/>
                <w:szCs w:val="24"/>
                <w:lang w:val="vi-VN"/>
              </w:rPr>
            </w:pPr>
            <w:r w:rsidRPr="008E63BB">
              <w:rPr>
                <w:i/>
                <w:iCs/>
                <w:sz w:val="24"/>
                <w:szCs w:val="24"/>
                <w:lang w:val="pt-BR"/>
              </w:rPr>
              <w:t>Chiến lược 03: Gìn giữ và phát huy các giá trị lịch sử;</w:t>
            </w:r>
          </w:p>
          <w:p w14:paraId="519B43D2" w14:textId="77777777" w:rsidR="00A13528" w:rsidRPr="008E63BB" w:rsidRDefault="00A13528" w:rsidP="005F4632">
            <w:pPr>
              <w:spacing w:before="20" w:after="20"/>
              <w:ind w:right="-108"/>
              <w:rPr>
                <w:sz w:val="24"/>
                <w:szCs w:val="24"/>
                <w:lang w:val="vi-VN"/>
              </w:rPr>
            </w:pPr>
            <w:r w:rsidRPr="008E63BB">
              <w:rPr>
                <w:sz w:val="24"/>
                <w:szCs w:val="24"/>
                <w:lang w:val="vi-VN"/>
              </w:rPr>
              <w:t>- Duy trì phát triển khu phố cổ  với các giá trị văn hóa trong TP bằng việc bổ xung những không gian công cộng mới</w:t>
            </w:r>
          </w:p>
          <w:p w14:paraId="519B43D3" w14:textId="77777777" w:rsidR="00A13528" w:rsidRPr="008E63BB" w:rsidRDefault="00A13528" w:rsidP="005F4632">
            <w:pPr>
              <w:spacing w:before="20" w:after="20"/>
              <w:ind w:right="-108"/>
              <w:rPr>
                <w:sz w:val="24"/>
                <w:szCs w:val="24"/>
                <w:lang w:val="vi-VN"/>
              </w:rPr>
            </w:pPr>
            <w:r w:rsidRPr="008E63BB">
              <w:rPr>
                <w:sz w:val="24"/>
                <w:szCs w:val="24"/>
                <w:lang w:val="vi-VN"/>
              </w:rPr>
              <w:lastRenderedPageBreak/>
              <w:t>- Khuyến khích các ngành công nghiệp sáng tạo (nghệ thuật và thủ công, doanh nghiệp siêu nhỏ) và đầu tư vào nghệ thuật và văn hóa trong khu vực đô thị, cải tạo chỉnh trang và thay thế công năng sử dụng.</w:t>
            </w:r>
          </w:p>
          <w:p w14:paraId="519B43D4" w14:textId="77777777" w:rsidR="00A13528" w:rsidRPr="008E63BB" w:rsidRDefault="00A13528" w:rsidP="005F4632">
            <w:pPr>
              <w:spacing w:before="20" w:after="20"/>
              <w:ind w:right="-108"/>
              <w:rPr>
                <w:i/>
                <w:iCs/>
                <w:sz w:val="24"/>
                <w:szCs w:val="24"/>
                <w:lang w:val="vi-VN"/>
              </w:rPr>
            </w:pPr>
            <w:r w:rsidRPr="008E63BB">
              <w:rPr>
                <w:sz w:val="24"/>
                <w:szCs w:val="24"/>
                <w:lang w:val="vi-VN"/>
              </w:rPr>
              <w:t>- Hỗ trợ các hoạt động nông nghiệp truyền thống trong khu vực ngoại ô, bao gồm cả nông nghiệp công nghệ cao gắn với phát triển du lịch làng nghề, du lịch trải nghiệm.</w:t>
            </w:r>
          </w:p>
        </w:tc>
        <w:tc>
          <w:tcPr>
            <w:tcW w:w="3260" w:type="dxa"/>
          </w:tcPr>
          <w:p w14:paraId="519B43D5"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lastRenderedPageBreak/>
              <w:t xml:space="preserve">Các chiến lược đặt ra đem lại các lợi ich về kinh tế, xã hội, tạo cơ hội việc làm, thúc đẩy phát </w:t>
            </w:r>
            <w:r w:rsidRPr="008E63BB">
              <w:rPr>
                <w:rFonts w:ascii="Times New Roman" w:hAnsi="Times New Roman"/>
                <w:b w:val="0"/>
                <w:i w:val="0"/>
                <w:sz w:val="24"/>
                <w:lang w:val="pt-BR"/>
              </w:rPr>
              <w:lastRenderedPageBreak/>
              <w:t>triển ngành nghề truyền thống địa phương, nâng giá trị ngành nghề truyền thống, phát huy du lịch làng nghề;</w:t>
            </w:r>
          </w:p>
        </w:tc>
      </w:tr>
      <w:tr w:rsidR="00A13528" w:rsidRPr="008E63BB" w14:paraId="519B43DF" w14:textId="77777777" w:rsidTr="003D057A">
        <w:tc>
          <w:tcPr>
            <w:tcW w:w="445" w:type="dxa"/>
          </w:tcPr>
          <w:p w14:paraId="519B43D7"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lastRenderedPageBreak/>
              <w:t>4</w:t>
            </w:r>
          </w:p>
        </w:tc>
        <w:tc>
          <w:tcPr>
            <w:tcW w:w="6042" w:type="dxa"/>
          </w:tcPr>
          <w:p w14:paraId="519B43D8" w14:textId="77777777" w:rsidR="00A13528" w:rsidRPr="008E63BB" w:rsidRDefault="00A13528" w:rsidP="005F4632">
            <w:pPr>
              <w:spacing w:before="20" w:after="20"/>
              <w:ind w:right="-108"/>
              <w:rPr>
                <w:i/>
                <w:iCs/>
                <w:sz w:val="24"/>
                <w:szCs w:val="24"/>
                <w:lang w:val="pt-BR"/>
              </w:rPr>
            </w:pPr>
            <w:r w:rsidRPr="008E63BB">
              <w:rPr>
                <w:i/>
                <w:iCs/>
                <w:sz w:val="24"/>
                <w:szCs w:val="24"/>
                <w:lang w:val="pt-BR"/>
              </w:rPr>
              <w:t>Chiến lược 04: Phát triển một thành phố tái sinh</w:t>
            </w:r>
          </w:p>
          <w:p w14:paraId="519B43D9" w14:textId="77777777" w:rsidR="00A13528" w:rsidRPr="008E63BB" w:rsidRDefault="00A13528" w:rsidP="005F4632">
            <w:pPr>
              <w:spacing w:before="20" w:after="20"/>
              <w:ind w:right="-108"/>
              <w:rPr>
                <w:sz w:val="24"/>
                <w:szCs w:val="24"/>
              </w:rPr>
            </w:pPr>
            <w:r w:rsidRPr="008E63BB">
              <w:rPr>
                <w:sz w:val="24"/>
                <w:szCs w:val="24"/>
                <w:lang w:val="pt-BR"/>
              </w:rPr>
              <w:t>Ở khu vực đô thị cũ,</w:t>
            </w:r>
            <w:r w:rsidRPr="008E63BB">
              <w:rPr>
                <w:sz w:val="24"/>
                <w:szCs w:val="24"/>
                <w:lang w:val="vi-VN"/>
              </w:rPr>
              <w:t xml:space="preserve"> trong giai đoạn</w:t>
            </w:r>
            <w:r w:rsidRPr="008E63BB">
              <w:rPr>
                <w:sz w:val="24"/>
                <w:szCs w:val="24"/>
                <w:lang w:val="pt-BR"/>
              </w:rPr>
              <w:t xml:space="preserve"> trước, các nhà máy, cơ sở sản xuất đã được xây dựng tại </w:t>
            </w:r>
            <w:r w:rsidRPr="008E63BB">
              <w:rPr>
                <w:sz w:val="24"/>
                <w:szCs w:val="24"/>
                <w:lang w:val="vi-VN"/>
              </w:rPr>
              <w:t>các địa điểm có vị trí chiến lược</w:t>
            </w:r>
            <w:r w:rsidRPr="008E63BB">
              <w:rPr>
                <w:sz w:val="24"/>
                <w:szCs w:val="24"/>
                <w:lang w:val="pt-BR"/>
              </w:rPr>
              <w:t xml:space="preserve"> với quy mô tương đối lớn</w:t>
            </w:r>
            <w:r w:rsidRPr="008E63BB">
              <w:rPr>
                <w:sz w:val="24"/>
                <w:szCs w:val="24"/>
                <w:lang w:val="vi-VN"/>
              </w:rPr>
              <w:t xml:space="preserve">. Việc tái phát triển những chức năng mới tại vị trí các khu công nghiệp/nhà máy cũ sẽ mang lại sự thay đổi đáng kể cho Nam Định và là điểm đến mới của Thành phố. </w:t>
            </w:r>
            <w:r w:rsidRPr="008E63BB">
              <w:rPr>
                <w:sz w:val="24"/>
                <w:szCs w:val="24"/>
              </w:rPr>
              <w:t>C</w:t>
            </w:r>
            <w:r w:rsidRPr="008E63BB">
              <w:rPr>
                <w:sz w:val="24"/>
                <w:szCs w:val="24"/>
                <w:lang w:val="vi-VN"/>
              </w:rPr>
              <w:t>ác chiến lược sau đây được áp dụng</w:t>
            </w:r>
            <w:r w:rsidRPr="008E63BB">
              <w:rPr>
                <w:sz w:val="24"/>
                <w:szCs w:val="24"/>
              </w:rPr>
              <w:t>:</w:t>
            </w:r>
          </w:p>
          <w:p w14:paraId="519B43DA" w14:textId="77777777" w:rsidR="00A13528" w:rsidRPr="008E63BB" w:rsidRDefault="00A13528" w:rsidP="005F4632">
            <w:pPr>
              <w:pStyle w:val="ListParagraph"/>
              <w:numPr>
                <w:ilvl w:val="0"/>
                <w:numId w:val="3"/>
              </w:numPr>
              <w:tabs>
                <w:tab w:val="left" w:pos="252"/>
                <w:tab w:val="left" w:pos="540"/>
              </w:tabs>
              <w:spacing w:before="20" w:after="20"/>
              <w:ind w:left="0" w:right="-108" w:firstLine="0"/>
              <w:rPr>
                <w:rFonts w:eastAsia="Calibri"/>
                <w:szCs w:val="24"/>
                <w:lang w:val="en-US"/>
              </w:rPr>
            </w:pPr>
            <w:r w:rsidRPr="008E63BB">
              <w:rPr>
                <w:rFonts w:eastAsia="Calibri"/>
                <w:szCs w:val="24"/>
                <w:lang w:val="en-US"/>
              </w:rPr>
              <w:t>Khuyến khích tái phát triển tại khu vực nhà máy trước đây.</w:t>
            </w:r>
          </w:p>
          <w:p w14:paraId="519B43DB" w14:textId="77777777" w:rsidR="00A13528" w:rsidRPr="008E63BB" w:rsidRDefault="00A13528" w:rsidP="005F4632">
            <w:pPr>
              <w:pStyle w:val="ListParagraph"/>
              <w:numPr>
                <w:ilvl w:val="0"/>
                <w:numId w:val="3"/>
              </w:numPr>
              <w:tabs>
                <w:tab w:val="left" w:pos="252"/>
                <w:tab w:val="left" w:pos="540"/>
              </w:tabs>
              <w:spacing w:before="20" w:after="20"/>
              <w:ind w:left="0" w:right="-108" w:firstLine="0"/>
              <w:rPr>
                <w:rFonts w:eastAsia="Calibri"/>
                <w:szCs w:val="24"/>
                <w:lang w:val="en-US"/>
              </w:rPr>
            </w:pPr>
            <w:r w:rsidRPr="008E63BB">
              <w:rPr>
                <w:rFonts w:eastAsia="Calibri"/>
                <w:szCs w:val="24"/>
                <w:lang w:val="en-US"/>
              </w:rPr>
              <w:t>Hỗ trợ một mô hình mới về phát triển tích hợp sử dụng đa chức năng.</w:t>
            </w:r>
          </w:p>
          <w:p w14:paraId="519B43DC" w14:textId="77777777" w:rsidR="00A13528" w:rsidRPr="008E63BB" w:rsidRDefault="00A13528" w:rsidP="005F4632">
            <w:pPr>
              <w:pStyle w:val="ListParagraph"/>
              <w:numPr>
                <w:ilvl w:val="0"/>
                <w:numId w:val="3"/>
              </w:numPr>
              <w:tabs>
                <w:tab w:val="left" w:pos="252"/>
                <w:tab w:val="left" w:pos="540"/>
              </w:tabs>
              <w:spacing w:before="20" w:after="20"/>
              <w:ind w:left="0" w:right="-108" w:firstLine="0"/>
              <w:rPr>
                <w:rFonts w:eastAsia="Calibri"/>
                <w:szCs w:val="24"/>
                <w:lang w:val="en-US"/>
              </w:rPr>
            </w:pPr>
            <w:r w:rsidRPr="008E63BB">
              <w:rPr>
                <w:rFonts w:eastAsia="Calibri"/>
                <w:szCs w:val="24"/>
                <w:lang w:val="en-US"/>
              </w:rPr>
              <w:t>Tái thiết đô thị không chỉ bằng việc XD công trình mới mà còn là gìn giữ công trình cũ nhưng với những chức năng mới.</w:t>
            </w:r>
          </w:p>
          <w:p w14:paraId="519B43DD" w14:textId="77777777" w:rsidR="00A13528" w:rsidRPr="008E63BB" w:rsidRDefault="00A13528" w:rsidP="005F4632">
            <w:pPr>
              <w:pStyle w:val="ListParagraph"/>
              <w:numPr>
                <w:ilvl w:val="0"/>
                <w:numId w:val="3"/>
              </w:numPr>
              <w:tabs>
                <w:tab w:val="left" w:pos="252"/>
                <w:tab w:val="left" w:pos="540"/>
              </w:tabs>
              <w:spacing w:before="20" w:after="20"/>
              <w:ind w:left="0" w:right="-108" w:firstLine="0"/>
              <w:rPr>
                <w:i/>
                <w:iCs/>
                <w:szCs w:val="24"/>
              </w:rPr>
            </w:pPr>
            <w:r w:rsidRPr="008E63BB">
              <w:rPr>
                <w:rFonts w:eastAsia="Calibri"/>
                <w:szCs w:val="24"/>
                <w:lang w:val="en-US"/>
              </w:rPr>
              <w:t>Bổ sung các không gian công cộng dịch vụ mới, tạo không gian hấp dẫn thu hút người dân và khách du lịch.</w:t>
            </w:r>
          </w:p>
        </w:tc>
        <w:tc>
          <w:tcPr>
            <w:tcW w:w="3260" w:type="dxa"/>
          </w:tcPr>
          <w:p w14:paraId="519B43DE"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Tái phát triển tại các khu vực theo hướng tích hợp sử dụng đa chức năng, giữ gìn công trình cũ, chuyển đổi chức năng mới phù hợp cùng với bổ sung các không gian công cộng dịch vụ mới hấp dẫn, thu hút người dân và khách du lịch không chỉ đem lại các lợi ích về kinh tế mà còn đem lại nhiều lợi ích về môi trường, góp phần đem lại hiệu quả sử dụng đất, giảm đất xây dựng mới;</w:t>
            </w:r>
          </w:p>
        </w:tc>
      </w:tr>
      <w:tr w:rsidR="00A13528" w:rsidRPr="008E63BB" w14:paraId="519B43E4" w14:textId="77777777" w:rsidTr="003D057A">
        <w:tc>
          <w:tcPr>
            <w:tcW w:w="445" w:type="dxa"/>
          </w:tcPr>
          <w:p w14:paraId="519B43E0"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5</w:t>
            </w:r>
          </w:p>
        </w:tc>
        <w:tc>
          <w:tcPr>
            <w:tcW w:w="6042" w:type="dxa"/>
          </w:tcPr>
          <w:p w14:paraId="519B43E1" w14:textId="77777777" w:rsidR="00A13528" w:rsidRPr="008E63BB" w:rsidRDefault="00A13528" w:rsidP="005F4632">
            <w:pPr>
              <w:spacing w:before="20" w:after="20"/>
              <w:ind w:right="-108"/>
              <w:rPr>
                <w:i/>
                <w:iCs/>
                <w:sz w:val="24"/>
                <w:szCs w:val="24"/>
                <w:lang w:val="pt-BR"/>
              </w:rPr>
            </w:pPr>
            <w:r w:rsidRPr="008E63BB">
              <w:rPr>
                <w:i/>
                <w:iCs/>
                <w:sz w:val="24"/>
                <w:szCs w:val="24"/>
                <w:lang w:val="pt-BR"/>
              </w:rPr>
              <w:t>Chiến lược 05: Phát triển một thành phố dễ tiếp cận</w:t>
            </w:r>
          </w:p>
          <w:p w14:paraId="519B43E2" w14:textId="77777777" w:rsidR="00A13528" w:rsidRPr="008E63BB" w:rsidRDefault="00A13528" w:rsidP="005F4632">
            <w:pPr>
              <w:spacing w:before="20" w:after="20"/>
              <w:ind w:right="-108"/>
              <w:rPr>
                <w:sz w:val="24"/>
                <w:szCs w:val="24"/>
                <w:lang w:val="vi-VN"/>
              </w:rPr>
            </w:pPr>
            <w:r w:rsidRPr="008E63BB">
              <w:rPr>
                <w:sz w:val="24"/>
                <w:szCs w:val="24"/>
                <w:lang w:val="vi-VN"/>
              </w:rPr>
              <w:t>Đầu tư vào cơ sở hạ tầng phải theo kịp nhu cầu mới nổi về dịch vụ đô thị. Tại Nam Định, việc phụ thuộc quá nhiều vào phương tiện cá nhân là phương thức vận tải chính và vận chuyển hàng hóa khu vực qua lõi đô thị sẽ gây thêm áp lực lên cơ sở hạ tầng hiện có. Đầu tư chiến lược vào giao thông công cộng và tuyến vận tải hàng hóa sẽ đảm bảo khu vực đô thị hiện tại và tương lai có thể dễ dàng tiếp cận và thu hút loại hình đầu tư thích hợp.</w:t>
            </w:r>
          </w:p>
        </w:tc>
        <w:tc>
          <w:tcPr>
            <w:tcW w:w="3260" w:type="dxa"/>
          </w:tcPr>
          <w:p w14:paraId="519B43E3"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Các chiến lược đưa ra về phát triển hầng, phát triển giao thông công cộng đem lại nhiều lợi ích về mặt môi trường;</w:t>
            </w:r>
          </w:p>
        </w:tc>
      </w:tr>
      <w:tr w:rsidR="00A13528" w:rsidRPr="008E63BB" w14:paraId="519B43EC" w14:textId="77777777" w:rsidTr="003D057A">
        <w:tc>
          <w:tcPr>
            <w:tcW w:w="445" w:type="dxa"/>
          </w:tcPr>
          <w:p w14:paraId="519B43E5"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6</w:t>
            </w:r>
          </w:p>
        </w:tc>
        <w:tc>
          <w:tcPr>
            <w:tcW w:w="6042" w:type="dxa"/>
          </w:tcPr>
          <w:p w14:paraId="519B43E6" w14:textId="77777777" w:rsidR="00A13528" w:rsidRPr="008E63BB" w:rsidRDefault="00A13528" w:rsidP="005F4632">
            <w:pPr>
              <w:spacing w:before="20" w:after="20"/>
              <w:ind w:right="-108"/>
              <w:rPr>
                <w:i/>
                <w:iCs/>
                <w:sz w:val="24"/>
                <w:szCs w:val="24"/>
                <w:lang w:val="pt-BR"/>
              </w:rPr>
            </w:pPr>
            <w:r w:rsidRPr="008E63BB">
              <w:rPr>
                <w:i/>
                <w:iCs/>
                <w:sz w:val="24"/>
                <w:szCs w:val="24"/>
                <w:lang w:val="pt-BR"/>
              </w:rPr>
              <w:t>Chiến lược 06: Phát triển một thành phố đi bộ</w:t>
            </w:r>
          </w:p>
          <w:p w14:paraId="519B43E7" w14:textId="77777777" w:rsidR="00A13528" w:rsidRPr="008E63BB" w:rsidRDefault="00A13528" w:rsidP="005F4632">
            <w:pPr>
              <w:spacing w:before="20" w:after="20"/>
              <w:ind w:right="-108"/>
              <w:rPr>
                <w:sz w:val="24"/>
                <w:szCs w:val="24"/>
                <w:lang w:val="pt-BR"/>
              </w:rPr>
            </w:pPr>
            <w:r w:rsidRPr="008E63BB">
              <w:rPr>
                <w:sz w:val="24"/>
                <w:szCs w:val="24"/>
                <w:shd w:val="clear" w:color="auto" w:fill="F8F9FA"/>
                <w:lang w:val="pt-BR"/>
              </w:rPr>
              <w:t>Môi trường dành cho người đi bộ an toàn và dễ chịu đóng vai trò quan trọng trong việc thiết lập Nam Định thành một nơi hấp dẫn để sống, làm việc và vui chơi. Đầu tư vào các lối đi dành cho người đi bộ được kết nối tốt, không gian mở dễ dàng tiếp cận và sự đa dạng của các dịch vụ giải trí sẽ bảo đảm hình ảnh thành phố Nam Định là một thành phố đáng sống và bền vững. các chiến lược sau đây được áp dụng:</w:t>
            </w:r>
          </w:p>
          <w:p w14:paraId="519B43E8" w14:textId="77777777" w:rsidR="00A13528" w:rsidRPr="008E63BB" w:rsidRDefault="00A13528" w:rsidP="005F4632">
            <w:pPr>
              <w:spacing w:before="20" w:after="20"/>
              <w:ind w:right="-108"/>
              <w:rPr>
                <w:sz w:val="24"/>
                <w:szCs w:val="24"/>
                <w:lang w:val="pt-BR"/>
              </w:rPr>
            </w:pPr>
            <w:r w:rsidRPr="008E63BB">
              <w:rPr>
                <w:sz w:val="24"/>
                <w:szCs w:val="24"/>
                <w:lang w:val="pt-BR"/>
              </w:rPr>
              <w:t>- Tạo một mạng lưới các con đường đi bộ dọc và qua sông</w:t>
            </w:r>
          </w:p>
          <w:p w14:paraId="519B43E9" w14:textId="77777777" w:rsidR="00A13528" w:rsidRPr="008E63BB" w:rsidRDefault="00A13528" w:rsidP="005F4632">
            <w:pPr>
              <w:spacing w:before="20" w:after="20"/>
              <w:ind w:right="-108"/>
              <w:rPr>
                <w:sz w:val="24"/>
                <w:szCs w:val="24"/>
                <w:lang w:val="pt-BR"/>
              </w:rPr>
            </w:pPr>
            <w:r w:rsidRPr="008E63BB">
              <w:rPr>
                <w:sz w:val="24"/>
                <w:szCs w:val="24"/>
                <w:lang w:val="pt-BR"/>
              </w:rPr>
              <w:t>- Trồng cây ở tất cả các phố, giảm thiểu hiệu ứng đảo nhiệt đô thị.</w:t>
            </w:r>
          </w:p>
          <w:p w14:paraId="519B43EA" w14:textId="77777777" w:rsidR="00A13528" w:rsidRPr="008E63BB" w:rsidRDefault="00A13528" w:rsidP="005F4632">
            <w:pPr>
              <w:spacing w:before="20" w:after="20"/>
              <w:ind w:right="-108"/>
              <w:rPr>
                <w:i/>
                <w:iCs/>
                <w:sz w:val="24"/>
                <w:szCs w:val="24"/>
                <w:lang w:val="pt-BR"/>
              </w:rPr>
            </w:pPr>
            <w:r w:rsidRPr="008E63BB">
              <w:rPr>
                <w:sz w:val="24"/>
                <w:szCs w:val="24"/>
                <w:lang w:val="pt-BR"/>
              </w:rPr>
              <w:t>- Phân bố cân đối các không gian công cộng mở trên toàn Thành phố.</w:t>
            </w:r>
          </w:p>
        </w:tc>
        <w:tc>
          <w:tcPr>
            <w:tcW w:w="3260" w:type="dxa"/>
          </w:tcPr>
          <w:p w14:paraId="519B43EB"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t>Là một chiến lược hay, tạo cho Nam Định trở thành một thành phố đáng sống, một thành phố năng động và thân thiện với môi trường;</w:t>
            </w:r>
          </w:p>
        </w:tc>
      </w:tr>
      <w:tr w:rsidR="00A13528" w:rsidRPr="008E63BB" w14:paraId="519B43F1" w14:textId="77777777" w:rsidTr="003D057A">
        <w:tc>
          <w:tcPr>
            <w:tcW w:w="445" w:type="dxa"/>
          </w:tcPr>
          <w:p w14:paraId="519B43ED"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t>7</w:t>
            </w:r>
          </w:p>
        </w:tc>
        <w:tc>
          <w:tcPr>
            <w:tcW w:w="6042" w:type="dxa"/>
          </w:tcPr>
          <w:p w14:paraId="519B43EE" w14:textId="77777777" w:rsidR="00A13528" w:rsidRPr="008E63BB" w:rsidRDefault="00A13528" w:rsidP="005F4632">
            <w:pPr>
              <w:spacing w:before="20" w:after="20"/>
              <w:ind w:right="-108"/>
              <w:rPr>
                <w:i/>
                <w:iCs/>
                <w:sz w:val="24"/>
                <w:szCs w:val="24"/>
                <w:lang w:val="pt-BR"/>
              </w:rPr>
            </w:pPr>
            <w:r w:rsidRPr="008E63BB">
              <w:rPr>
                <w:i/>
                <w:iCs/>
                <w:sz w:val="24"/>
                <w:szCs w:val="24"/>
                <w:lang w:val="pt-BR"/>
              </w:rPr>
              <w:t>Chiến lược 07: Thành phố sống khỏe</w:t>
            </w:r>
          </w:p>
          <w:p w14:paraId="519B43EF" w14:textId="77777777" w:rsidR="00A13528" w:rsidRPr="008E63BB" w:rsidRDefault="00A13528" w:rsidP="005F4632">
            <w:pPr>
              <w:spacing w:before="20" w:after="20"/>
              <w:ind w:right="-108"/>
              <w:rPr>
                <w:i/>
                <w:iCs/>
                <w:sz w:val="24"/>
                <w:szCs w:val="24"/>
                <w:lang w:val="vi-VN"/>
              </w:rPr>
            </w:pPr>
            <w:r w:rsidRPr="008E63BB">
              <w:rPr>
                <w:sz w:val="24"/>
                <w:szCs w:val="24"/>
                <w:lang w:val="vi-VN"/>
              </w:rPr>
              <w:t xml:space="preserve">Đầu tư vào cơ sở hạ tầng xã hội và phúc lợi. Phân phối cơ sở hạ tầng mềm; Mang lại các tiện ích chăm sóc sức khỏe và phúc lợi xã hội một cách công bằng tới cho cộng đồng, xem </w:t>
            </w:r>
            <w:r w:rsidRPr="008E63BB">
              <w:rPr>
                <w:sz w:val="24"/>
                <w:szCs w:val="24"/>
                <w:lang w:val="vi-VN"/>
              </w:rPr>
              <w:lastRenderedPageBreak/>
              <w:t>xét đến khả năng tiếp cận của người dân, đảm bảo hệ thống các công trình công cộng được bố trí hợp lý, có thể tiếp cận bằng phương tiện giao thông  công cộng dễ dàng.</w:t>
            </w:r>
          </w:p>
        </w:tc>
        <w:tc>
          <w:tcPr>
            <w:tcW w:w="3260" w:type="dxa"/>
          </w:tcPr>
          <w:p w14:paraId="519B43F0"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hAnsi="Times New Roman"/>
                <w:b w:val="0"/>
                <w:i w:val="0"/>
                <w:sz w:val="24"/>
                <w:lang w:val="pt-BR"/>
              </w:rPr>
              <w:lastRenderedPageBreak/>
              <w:t>Một chiến lược đem lại nhiều lợi ích cho cộng đồng;</w:t>
            </w:r>
          </w:p>
        </w:tc>
      </w:tr>
      <w:tr w:rsidR="00A13528" w:rsidRPr="008E63BB" w14:paraId="519B43F5" w14:textId="77777777" w:rsidTr="003D057A">
        <w:tc>
          <w:tcPr>
            <w:tcW w:w="445" w:type="dxa"/>
          </w:tcPr>
          <w:p w14:paraId="519B43F2" w14:textId="77777777" w:rsidR="00A13528" w:rsidRPr="008E63BB" w:rsidRDefault="00A13528" w:rsidP="00D4372E">
            <w:pPr>
              <w:pStyle w:val="3"/>
              <w:spacing w:before="20"/>
              <w:jc w:val="center"/>
              <w:rPr>
                <w:rFonts w:ascii="Times New Roman" w:hAnsi="Times New Roman"/>
                <w:b w:val="0"/>
                <w:i w:val="0"/>
                <w:sz w:val="24"/>
                <w:lang w:val="pt-BR"/>
              </w:rPr>
            </w:pPr>
            <w:r w:rsidRPr="008E63BB">
              <w:rPr>
                <w:rFonts w:ascii="Times New Roman" w:hAnsi="Times New Roman"/>
                <w:b w:val="0"/>
                <w:i w:val="0"/>
                <w:sz w:val="24"/>
                <w:lang w:val="pt-BR"/>
              </w:rPr>
              <w:lastRenderedPageBreak/>
              <w:t>8</w:t>
            </w:r>
          </w:p>
        </w:tc>
        <w:tc>
          <w:tcPr>
            <w:tcW w:w="6042" w:type="dxa"/>
          </w:tcPr>
          <w:p w14:paraId="519B43F3" w14:textId="77777777" w:rsidR="00A13528" w:rsidRPr="008E63BB" w:rsidRDefault="00A13528" w:rsidP="005F4632">
            <w:pPr>
              <w:spacing w:before="20" w:after="20"/>
              <w:ind w:right="-108"/>
              <w:rPr>
                <w:sz w:val="24"/>
                <w:szCs w:val="24"/>
                <w:lang w:val="vi-VN"/>
              </w:rPr>
            </w:pPr>
            <w:r w:rsidRPr="008E63BB">
              <w:rPr>
                <w:i/>
                <w:iCs/>
                <w:sz w:val="24"/>
                <w:szCs w:val="24"/>
                <w:lang w:val="pt-BR"/>
              </w:rPr>
              <w:t xml:space="preserve">Chiến lược 08: Xây dựng thành phố thông minh thông qua đổi mới công nghiệp, giáo dục và cải thiện các chức năng đô thị: </w:t>
            </w:r>
            <w:r w:rsidRPr="008E63BB">
              <w:rPr>
                <w:sz w:val="24"/>
                <w:szCs w:val="24"/>
                <w:lang w:val="vi-VN"/>
              </w:rPr>
              <w:t>Năm 2040, Nam Định có khả năng trở thành Thành phố thông minh và là nơi hỗ trợ các khái niệm về đổi mới, công nghệ, tiện lợi và lối sống để hỗ trợ dân số ngày càng thịnh vượng.</w:t>
            </w:r>
          </w:p>
        </w:tc>
        <w:tc>
          <w:tcPr>
            <w:tcW w:w="3260" w:type="dxa"/>
          </w:tcPr>
          <w:p w14:paraId="519B43F4" w14:textId="77777777" w:rsidR="00A13528" w:rsidRPr="008E63BB" w:rsidRDefault="00A13528" w:rsidP="00D4372E">
            <w:pPr>
              <w:pStyle w:val="3"/>
              <w:spacing w:before="20"/>
              <w:ind w:right="-108"/>
              <w:jc w:val="left"/>
              <w:rPr>
                <w:rFonts w:ascii="Times New Roman" w:hAnsi="Times New Roman"/>
                <w:b w:val="0"/>
                <w:i w:val="0"/>
                <w:sz w:val="24"/>
                <w:lang w:val="pt-BR"/>
              </w:rPr>
            </w:pPr>
            <w:r w:rsidRPr="008E63BB">
              <w:rPr>
                <w:rFonts w:ascii="Times New Roman" w:eastAsia="Calibri" w:hAnsi="Times New Roman"/>
                <w:b w:val="0"/>
                <w:bCs w:val="0"/>
                <w:i w:val="0"/>
                <w:iCs w:val="0"/>
                <w:sz w:val="24"/>
                <w:lang w:val="vi-VN" w:eastAsia="en-US"/>
              </w:rPr>
              <w:t>Đô thị thông minh sẽ góp phần phát huy các nguồn lực của đô thị có sự tham gia của người dân, nâng cao chất lượng cuộc sống và làm việc của cộng đồng; thúc đẩy đổi mới, sáng tạo phát triển kinh tế; đồng thời, bảo vệ môi trường trên cơ sở tăng cường liên thông, chia sẻ dữ liệu, an toàn, an ninh thông tin giữa các hệ thống và dịch vụ.</w:t>
            </w:r>
          </w:p>
        </w:tc>
      </w:tr>
    </w:tbl>
    <w:p w14:paraId="519B43F6" w14:textId="77777777" w:rsidR="00A13528" w:rsidRPr="008E63BB" w:rsidRDefault="00A13528" w:rsidP="003D057A">
      <w:pPr>
        <w:tabs>
          <w:tab w:val="left" w:pos="709"/>
        </w:tabs>
        <w:spacing w:before="80"/>
        <w:ind w:firstLine="562"/>
        <w:rPr>
          <w:webHidden/>
          <w:szCs w:val="26"/>
          <w:lang w:val="pt-BR"/>
        </w:rPr>
      </w:pPr>
      <w:r w:rsidRPr="008E63BB">
        <w:rPr>
          <w:b/>
          <w:bCs/>
          <w:i/>
          <w:iCs/>
          <w:sz w:val="24"/>
          <w:lang w:val="pt-BR"/>
        </w:rPr>
        <w:tab/>
      </w:r>
      <w:r w:rsidRPr="008E63BB">
        <w:rPr>
          <w:szCs w:val="26"/>
          <w:lang w:val="pt-BR"/>
        </w:rPr>
        <w:t>Ngoài ra, trong đồ án điều chỉnh quy hoạch, có đầy đủ các thành phần quy hoạch kiến trúc và hạ tầng bao gồm: Quy hoạch sử dụng đất, thiết kế cảnh quan, giao thông, chuẩn bị kỹ thuật (san nền, thoát nước mưa), Cấp nước, cấp điện, thoát nước thải, chát thải rắn, nghĩa trang và đánh giá môi trường chiến lược; Các quy hoạch này đều được thể hiện trên một phương án quy hoạch thống nhất và thông qua nhiều bước báo cáo, thầm định theo quy định đảm bảo chất lượng, phù hợp và thực tiễn.</w:t>
      </w:r>
    </w:p>
    <w:p w14:paraId="519B43F7" w14:textId="77777777" w:rsidR="008C1B81" w:rsidRPr="008E63BB" w:rsidRDefault="00C32228" w:rsidP="003D057A">
      <w:pPr>
        <w:pStyle w:val="3"/>
        <w:spacing w:before="80" w:after="0"/>
        <w:rPr>
          <w:rFonts w:ascii="Times New Roman" w:hAnsi="Times New Roman"/>
          <w:sz w:val="26"/>
          <w:szCs w:val="26"/>
          <w:lang w:val="pt-BR"/>
        </w:rPr>
      </w:pPr>
      <w:bookmarkStart w:id="566" w:name="_Toc404100318"/>
      <w:bookmarkStart w:id="567" w:name="_Toc358451627"/>
      <w:bookmarkStart w:id="568" w:name="_Toc360621808"/>
      <w:r w:rsidRPr="008E63BB">
        <w:rPr>
          <w:rFonts w:ascii="Times New Roman" w:hAnsi="Times New Roman"/>
          <w:sz w:val="26"/>
          <w:szCs w:val="26"/>
          <w:lang w:val="pt-BR"/>
        </w:rPr>
        <w:t>9</w:t>
      </w:r>
      <w:r w:rsidR="008C1B81" w:rsidRPr="008E63BB">
        <w:rPr>
          <w:rFonts w:ascii="Times New Roman" w:hAnsi="Times New Roman"/>
          <w:sz w:val="26"/>
          <w:szCs w:val="26"/>
          <w:lang w:val="pt-BR"/>
        </w:rPr>
        <w:t>.2.3.Dự báo diễn biến môi trường khi thực hiện quy hoạch</w:t>
      </w:r>
      <w:bookmarkEnd w:id="566"/>
    </w:p>
    <w:bookmarkEnd w:id="567"/>
    <w:bookmarkEnd w:id="568"/>
    <w:p w14:paraId="519B43F8" w14:textId="77777777" w:rsidR="008C1B81" w:rsidRPr="008E63BB" w:rsidRDefault="008C1B81" w:rsidP="003D057A">
      <w:pPr>
        <w:tabs>
          <w:tab w:val="left" w:pos="851"/>
        </w:tabs>
        <w:spacing w:before="80"/>
        <w:rPr>
          <w:i/>
          <w:webHidden/>
          <w:szCs w:val="26"/>
          <w:lang w:val="pt-BR"/>
        </w:rPr>
      </w:pPr>
      <w:r w:rsidRPr="008E63BB">
        <w:rPr>
          <w:i/>
          <w:szCs w:val="26"/>
          <w:lang w:val="pt-BR"/>
        </w:rPr>
        <w:t>a/. Các vấn đề môi trường kinh tế - xã hội</w:t>
      </w:r>
    </w:p>
    <w:p w14:paraId="519B43F9" w14:textId="77777777" w:rsidR="008C1B81" w:rsidRPr="008E63BB" w:rsidRDefault="008C1B81" w:rsidP="003D057A">
      <w:pPr>
        <w:tabs>
          <w:tab w:val="left" w:pos="851"/>
        </w:tabs>
        <w:spacing w:before="80"/>
        <w:ind w:firstLine="567"/>
        <w:rPr>
          <w:szCs w:val="26"/>
          <w:lang w:val="pt-BR"/>
        </w:rPr>
      </w:pPr>
      <w:r w:rsidRPr="008E63BB">
        <w:rPr>
          <w:szCs w:val="26"/>
          <w:lang w:val="pt-BR"/>
        </w:rPr>
        <w:t>Quy hoạch sẽ có các tác động không nhỏ đến vấn đề kinh tế - xã hội của khu vực; Trong đó có cả các tác động tiêu cực và tích cực:</w:t>
      </w:r>
    </w:p>
    <w:p w14:paraId="519B43FA" w14:textId="77777777" w:rsidR="008C1B81" w:rsidRPr="008E63BB" w:rsidRDefault="008C1B81" w:rsidP="003D057A">
      <w:pPr>
        <w:tabs>
          <w:tab w:val="left" w:pos="851"/>
        </w:tabs>
        <w:spacing w:before="80"/>
        <w:rPr>
          <w:szCs w:val="26"/>
          <w:lang w:val="pt-BR"/>
        </w:rPr>
      </w:pPr>
      <w:r w:rsidRPr="008E63BB">
        <w:rPr>
          <w:szCs w:val="26"/>
          <w:lang w:val="pt-BR"/>
        </w:rPr>
        <w:t>* Tác động tích cực:</w:t>
      </w:r>
    </w:p>
    <w:p w14:paraId="519B43FB" w14:textId="77777777" w:rsidR="008C1B81" w:rsidRPr="008E63BB" w:rsidRDefault="008C1B81" w:rsidP="003D057A">
      <w:pPr>
        <w:tabs>
          <w:tab w:val="left" w:pos="851"/>
        </w:tabs>
        <w:spacing w:before="80"/>
        <w:ind w:firstLine="567"/>
        <w:rPr>
          <w:szCs w:val="26"/>
          <w:lang w:val="pt-BR"/>
        </w:rPr>
      </w:pPr>
      <w:r w:rsidRPr="008E63BB">
        <w:rPr>
          <w:szCs w:val="26"/>
          <w:lang w:val="pt-BR"/>
        </w:rPr>
        <w:t>- Diện mạo khu vực thay đổi, các khu chức năng được hình thành đa dạng và bố trí hợp lý, hệ thống giao thông được hoàn chỉnh; Đây là điều kiện thuận lợi cho việc đầu tư, phát triển kinh tế địa phương, tạo cơ hội việc làm và phát triển đa dạng ngành nghề kinh tế trong khu vực;</w:t>
      </w:r>
    </w:p>
    <w:p w14:paraId="519B43FC" w14:textId="77777777" w:rsidR="008C1B81" w:rsidRPr="008E63BB" w:rsidRDefault="008C1B81" w:rsidP="003D057A">
      <w:pPr>
        <w:tabs>
          <w:tab w:val="left" w:pos="851"/>
        </w:tabs>
        <w:spacing w:before="80"/>
        <w:ind w:firstLine="567"/>
        <w:rPr>
          <w:szCs w:val="26"/>
          <w:lang w:val="pt-BR"/>
        </w:rPr>
      </w:pPr>
      <w:r w:rsidRPr="008E63BB">
        <w:rPr>
          <w:szCs w:val="26"/>
          <w:lang w:val="pt-BR"/>
        </w:rPr>
        <w:t>- Các cơ sở hạ tầng xã hội được phát triển giúp chất lượng cuộc sống của người dân được đảm bảo, nâng cao dân trí và sức khỏe cộng đồng;</w:t>
      </w:r>
    </w:p>
    <w:p w14:paraId="519B43FD" w14:textId="77777777" w:rsidR="008C1B81" w:rsidRPr="008E63BB" w:rsidRDefault="008C1B81" w:rsidP="003D057A">
      <w:pPr>
        <w:tabs>
          <w:tab w:val="left" w:pos="851"/>
        </w:tabs>
        <w:spacing w:before="80"/>
        <w:ind w:firstLine="567"/>
        <w:rPr>
          <w:szCs w:val="26"/>
          <w:lang w:val="vi-VN"/>
        </w:rPr>
      </w:pPr>
      <w:r w:rsidRPr="008E63BB">
        <w:rPr>
          <w:szCs w:val="26"/>
          <w:lang w:val="pt-BR"/>
        </w:rPr>
        <w:t xml:space="preserve">- Hệ thống hạ tầng kỹ thuật được quy hoạch </w:t>
      </w:r>
      <w:r w:rsidRPr="008E63BB">
        <w:rPr>
          <w:szCs w:val="26"/>
          <w:lang w:val="vi-VN"/>
        </w:rPr>
        <w:t xml:space="preserve">(giao thông, </w:t>
      </w:r>
      <w:r w:rsidRPr="008E63BB">
        <w:rPr>
          <w:szCs w:val="26"/>
          <w:lang w:val="pt-BR"/>
        </w:rPr>
        <w:t xml:space="preserve">cấp điện, </w:t>
      </w:r>
      <w:r w:rsidRPr="008E63BB">
        <w:rPr>
          <w:szCs w:val="26"/>
          <w:lang w:val="vi-VN"/>
        </w:rPr>
        <w:t>cấp nước,</w:t>
      </w:r>
      <w:r w:rsidRPr="008E63BB">
        <w:rPr>
          <w:szCs w:val="26"/>
          <w:lang w:val="pt-BR"/>
        </w:rPr>
        <w:t xml:space="preserve"> thông tin liên lạc,</w:t>
      </w:r>
      <w:r w:rsidRPr="008E63BB">
        <w:rPr>
          <w:szCs w:val="26"/>
          <w:lang w:val="vi-VN"/>
        </w:rPr>
        <w:t xml:space="preserve"> thoát nước, xử lý nước thải....) là cơ hội cải thiện chất lượng cuộc sống của nhân dân, phát triển đô thị theo hướng bền vững, tạo tiền đề thúc đẩy nền kinh tế; </w:t>
      </w:r>
    </w:p>
    <w:p w14:paraId="519B43FE" w14:textId="77777777" w:rsidR="008C1B81" w:rsidRPr="008E63BB" w:rsidRDefault="008C1B81" w:rsidP="003D057A">
      <w:pPr>
        <w:tabs>
          <w:tab w:val="left" w:pos="851"/>
        </w:tabs>
        <w:spacing w:before="80"/>
        <w:ind w:firstLine="567"/>
        <w:rPr>
          <w:szCs w:val="26"/>
          <w:lang w:val="vi-VN"/>
        </w:rPr>
      </w:pPr>
      <w:r w:rsidRPr="008E63BB">
        <w:rPr>
          <w:szCs w:val="26"/>
          <w:lang w:val="vi-VN"/>
        </w:rPr>
        <w:t>- Xây dựng hệ thống công viên cây xanh, mặt nước, thể dục thể thao, góp phần điều hòa vi khí hậu, tạo lập khu vui chơi, giải trí, nghỉ ngơi, thư giãn, đáp ứng các nhu cầu sinh hoạt cộng đồng; Tạo lậpmột đô thị hiện đại, văn minh gắn liền với phát triển bền vững.</w:t>
      </w:r>
    </w:p>
    <w:p w14:paraId="519B43FF" w14:textId="77777777" w:rsidR="008C1B81" w:rsidRPr="008E63BB" w:rsidRDefault="008C1B81" w:rsidP="003D057A">
      <w:pPr>
        <w:tabs>
          <w:tab w:val="left" w:pos="851"/>
        </w:tabs>
        <w:spacing w:before="80"/>
        <w:ind w:firstLine="567"/>
        <w:rPr>
          <w:szCs w:val="26"/>
          <w:lang w:val="vi-VN"/>
        </w:rPr>
      </w:pPr>
      <w:r w:rsidRPr="008E63BB">
        <w:rPr>
          <w:szCs w:val="26"/>
          <w:lang w:val="vi-VN"/>
        </w:rPr>
        <w:t>- Sự hình thành của các khu, cụmcông nghiệp, logistic, nông nghiệp công nghệ cao, dịch vụ du lịch… sẽ góp phần phát triển kinh tế, giải quyết việc làm, tăng thu nhập, tăng tính hấp dẫn của đô thị trong tương lai;</w:t>
      </w:r>
    </w:p>
    <w:p w14:paraId="519B4400" w14:textId="77777777" w:rsidR="008C1B81" w:rsidRPr="008E63BB" w:rsidRDefault="008C1B81" w:rsidP="003D057A">
      <w:pPr>
        <w:tabs>
          <w:tab w:val="left" w:pos="851"/>
        </w:tabs>
        <w:spacing w:before="80"/>
        <w:rPr>
          <w:i/>
          <w:szCs w:val="26"/>
          <w:lang w:val="vi-VN"/>
        </w:rPr>
      </w:pPr>
      <w:r w:rsidRPr="008E63BB">
        <w:rPr>
          <w:i/>
          <w:szCs w:val="26"/>
          <w:lang w:val="vi-VN"/>
        </w:rPr>
        <w:t>* Các tác động tiêu cực:</w:t>
      </w:r>
    </w:p>
    <w:p w14:paraId="519B4401" w14:textId="77777777" w:rsidR="008C1B81" w:rsidRPr="008E63BB" w:rsidRDefault="008C1B81" w:rsidP="003D057A">
      <w:pPr>
        <w:tabs>
          <w:tab w:val="left" w:pos="851"/>
        </w:tabs>
        <w:spacing w:before="80"/>
        <w:ind w:firstLine="567"/>
        <w:rPr>
          <w:szCs w:val="26"/>
          <w:lang w:val="vi-VN"/>
        </w:rPr>
      </w:pPr>
      <w:r w:rsidRPr="008E63BB">
        <w:rPr>
          <w:szCs w:val="26"/>
          <w:lang w:val="vi-VN"/>
        </w:rPr>
        <w:lastRenderedPageBreak/>
        <w:t>- Quy hoạch xây dựng đã chuyển đổi mục đích sử dụng đất, tăng diện tích đất ở, giao thông, công trình công cộng, dịch vụ thương mại, công nghiệp... đồng thời thu hẹp diện tích đất nông nghiệp gây ra ảnh hưởng hoạt động sản xuất, sinh hoạt người dân và cơ cấu kinh tế trong khu vực:</w:t>
      </w:r>
    </w:p>
    <w:p w14:paraId="519B4402" w14:textId="77777777" w:rsidR="008C1B81" w:rsidRPr="008E63BB" w:rsidRDefault="008C1B81" w:rsidP="003D057A">
      <w:pPr>
        <w:tabs>
          <w:tab w:val="left" w:pos="851"/>
        </w:tabs>
        <w:spacing w:before="80"/>
        <w:ind w:firstLine="567"/>
        <w:rPr>
          <w:szCs w:val="26"/>
          <w:lang w:val="vi-VN"/>
        </w:rPr>
      </w:pPr>
      <w:r w:rsidRPr="008E63BB">
        <w:rPr>
          <w:szCs w:val="26"/>
          <w:lang w:val="vi-VN"/>
        </w:rPr>
        <w:t xml:space="preserve">+ Các hộ dân nằm trong khu vực giải tỏa phải di chuyển đến nơi ở mới =&gt; ảnh hưởng đến cuộc sống, phát sinh các mâu thuẫn trong vấn đề giải phóng mặt bằng... </w:t>
      </w:r>
    </w:p>
    <w:p w14:paraId="519B4403" w14:textId="77777777" w:rsidR="008C1B81" w:rsidRPr="008E63BB" w:rsidRDefault="008C1B81" w:rsidP="003D057A">
      <w:pPr>
        <w:tabs>
          <w:tab w:val="left" w:pos="851"/>
        </w:tabs>
        <w:spacing w:before="80"/>
        <w:ind w:firstLine="567"/>
        <w:rPr>
          <w:szCs w:val="26"/>
          <w:lang w:val="vi-VN"/>
        </w:rPr>
      </w:pPr>
      <w:r w:rsidRPr="008E63BB">
        <w:rPr>
          <w:szCs w:val="26"/>
          <w:lang w:val="vi-VN"/>
        </w:rPr>
        <w:t>+ Diện tích đất nông nghiệp bị chuyển đổi đổi để xây dựng công nghiệp, hệ thống hạ tầng, khu chức năng trong đô thị…gây ảnh hưởng lớn đến đời sống của ngườii dân; Các hộ dân bị mất đất sản xuất buộc phải chuyển đổi ngành nghề, thay đổi lối sống từ nông nghiệp sang làm các loại hình kinh tế khác. Các vấn đề về việc làm, mâu thuẫn xã hội, an ninh trật tự…có thể nảy sinh và diễn biến phức tạp =&gt; cần phải có các kế hoạch, lộ trình chính sách hợp lý giúp người dân chuyển đổ nghề nghiệp, tiếp cận với các thông tin, nguồn vốn và phương thức làm kinh tế mới… để cải thiện cuộc sống, tham gia vào các loại hình sản xuất có mức thu nhập cao, ổn định, nâng cao tri thức…</w:t>
      </w:r>
    </w:p>
    <w:p w14:paraId="519B4404" w14:textId="77777777" w:rsidR="008C1B81" w:rsidRPr="008E63BB" w:rsidRDefault="008C1B81" w:rsidP="003D057A">
      <w:pPr>
        <w:tabs>
          <w:tab w:val="left" w:pos="851"/>
        </w:tabs>
        <w:ind w:firstLine="567"/>
        <w:rPr>
          <w:szCs w:val="26"/>
          <w:lang w:val="vi-VN"/>
        </w:rPr>
      </w:pPr>
      <w:r w:rsidRPr="008E63BB">
        <w:rPr>
          <w:szCs w:val="26"/>
          <w:lang w:val="vi-VN"/>
        </w:rPr>
        <w:t>- Sự phát triển của hệ thống giao thông, bến xe… =&gt; tăng mật độ lưu thông =&gt; Gia tăng độ ồn, bụi, khí thải động cơ, các vấn đề ùn tắc và tai nạn giao thông =&gt; ảnh hưởng đáng kể đến cuộc sống của người dân trong khu vực;</w:t>
      </w:r>
    </w:p>
    <w:p w14:paraId="519B4405" w14:textId="77777777" w:rsidR="008C1B81" w:rsidRPr="008E63BB" w:rsidRDefault="008C1B81" w:rsidP="003D057A">
      <w:pPr>
        <w:tabs>
          <w:tab w:val="left" w:pos="851"/>
        </w:tabs>
        <w:ind w:firstLine="567"/>
        <w:rPr>
          <w:szCs w:val="26"/>
          <w:lang w:val="vi-VN"/>
        </w:rPr>
      </w:pPr>
      <w:r w:rsidRPr="008E63BB">
        <w:rPr>
          <w:szCs w:val="26"/>
          <w:lang w:val="vi-VN"/>
        </w:rPr>
        <w:t>- Trong quá trình thi công xây dựng các hạng mục công trình, vận chuyển nguyên vật liệu cũng gây nhiều tác động tiêu cực đến môi trường đất, nước không khí trong khu vực ảnh hưởng đến chất lượng cuộc sống của cộng đồng dân cư. Ngoài ra việc tập trung một lượng công nhân tham gia triển khai xây dựng các công trình có thể gây ra các vấn đề ảnh hưởng đến vấn đề trật tự, an ninh xã hội (như: nợ chịu, đánh bạc, mâu thuẫn với dân cư địa phương, sự phát sinh các hàng quán quanh khu vực xây dựng…)</w:t>
      </w:r>
    </w:p>
    <w:p w14:paraId="519B4406" w14:textId="77777777" w:rsidR="008C1B81" w:rsidRPr="008E63BB" w:rsidRDefault="008C1B81" w:rsidP="003D057A">
      <w:pPr>
        <w:tabs>
          <w:tab w:val="left" w:pos="851"/>
        </w:tabs>
        <w:rPr>
          <w:i/>
          <w:szCs w:val="26"/>
          <w:lang w:val="vi-VN"/>
        </w:rPr>
      </w:pPr>
      <w:r w:rsidRPr="008E63BB">
        <w:rPr>
          <w:i/>
          <w:szCs w:val="26"/>
          <w:lang w:val="vi-VN"/>
        </w:rPr>
        <w:t>b/. Môi trường nước</w:t>
      </w:r>
    </w:p>
    <w:p w14:paraId="519B4407" w14:textId="77777777" w:rsidR="008C1B81" w:rsidRPr="008E63BB" w:rsidRDefault="008C1B81" w:rsidP="003D057A">
      <w:pPr>
        <w:tabs>
          <w:tab w:val="left" w:pos="851"/>
        </w:tabs>
        <w:ind w:firstLine="567"/>
        <w:rPr>
          <w:szCs w:val="26"/>
          <w:lang w:val="vi-VN"/>
        </w:rPr>
      </w:pPr>
      <w:r w:rsidRPr="008E63BB">
        <w:rPr>
          <w:szCs w:val="26"/>
          <w:lang w:val="vi-VN"/>
        </w:rPr>
        <w:t>Như đã phân tích ở trên, hiện môi trường nước mặt trong khu vực đang có các dấu hiệu bị ô nhiễm do nước thải và chất thải sinh hoạt, sản xuất chưa được thu gom và xử lý hiệu quả, đảm bảo vệ sinh môi trường và hoạt động sản xuất lạm dụng hóa chất trên địa bàn. Môi trường nước ngầm cũng đang đối mặt với tình trạng suy giảm về chất lượng.</w:t>
      </w:r>
    </w:p>
    <w:p w14:paraId="519B4408" w14:textId="77777777" w:rsidR="008C1B81" w:rsidRPr="008E63BB" w:rsidRDefault="008C1B81" w:rsidP="003D057A">
      <w:pPr>
        <w:tabs>
          <w:tab w:val="left" w:pos="851"/>
        </w:tabs>
        <w:ind w:firstLine="567"/>
        <w:rPr>
          <w:szCs w:val="26"/>
          <w:lang w:val="vi-VN"/>
        </w:rPr>
      </w:pPr>
      <w:r w:rsidRPr="008E63BB">
        <w:rPr>
          <w:szCs w:val="26"/>
          <w:lang w:val="vi-VN"/>
        </w:rPr>
        <w:t>Theo quy hoạch, thành phố trong tương lai sẽ có sự phát triển mạnh mẽ, với mật độ dân số tăng lên đáng kể, đời sống người dân có nhiều sự chuyển biến với sự hình thành, mở rộng của các khu, cụm công nghiệp, khu đô thị, dịch vụ, công cộng, … =&gt; Nhu cầu sử dụng nước sạch cũng như lượng, thành phần nước thải, chất thải phát sinh cũng tăng lên =&gt; Tạo ra sức ép lớn lên môi trường nước mặt, nước ngầm của khu vực;</w:t>
      </w:r>
    </w:p>
    <w:p w14:paraId="519B4409" w14:textId="77777777" w:rsidR="008C1B81" w:rsidRPr="008E63BB" w:rsidRDefault="008C1B81" w:rsidP="003D057A">
      <w:pPr>
        <w:tabs>
          <w:tab w:val="left" w:pos="709"/>
        </w:tabs>
        <w:ind w:firstLine="567"/>
        <w:rPr>
          <w:szCs w:val="26"/>
          <w:lang w:val="vi-VN"/>
        </w:rPr>
      </w:pPr>
      <w:r w:rsidRPr="008E63BB">
        <w:rPr>
          <w:szCs w:val="26"/>
          <w:lang w:val="vi-VN"/>
        </w:rPr>
        <w:t>* Xác định nguồn gây ô nhiễm và mức độ tác động</w:t>
      </w:r>
    </w:p>
    <w:p w14:paraId="519B440A" w14:textId="77777777" w:rsidR="008C1B81" w:rsidRPr="008E63BB" w:rsidRDefault="008C1B81" w:rsidP="003D057A">
      <w:pPr>
        <w:tabs>
          <w:tab w:val="left" w:pos="851"/>
        </w:tabs>
        <w:ind w:firstLine="567"/>
        <w:rPr>
          <w:szCs w:val="26"/>
          <w:lang w:val="vi-VN"/>
        </w:rPr>
      </w:pPr>
      <w:r w:rsidRPr="008E63BB">
        <w:rPr>
          <w:szCs w:val="26"/>
          <w:lang w:val="vi-VN"/>
        </w:rPr>
        <w:t>Căn cứ theo hoạt động các khu chức năng trong phạm vi nghiên cứu quy hoạch, xác định các thành phần chất ô nhiễm nguồn nước và mức độ tác động đến chất lượng nước trong khu vực lập quy hoạch được dự báo như sau:</w:t>
      </w:r>
    </w:p>
    <w:p w14:paraId="519B440B" w14:textId="77777777" w:rsidR="008C1B81" w:rsidRPr="008E63BB" w:rsidRDefault="008C1B81" w:rsidP="003D057A">
      <w:pPr>
        <w:tabs>
          <w:tab w:val="left" w:pos="3122"/>
        </w:tabs>
        <w:jc w:val="center"/>
        <w:rPr>
          <w:bCs/>
          <w:szCs w:val="26"/>
          <w:lang w:val="vi-VN"/>
        </w:rPr>
      </w:pPr>
      <w:r w:rsidRPr="008E63BB">
        <w:rPr>
          <w:b/>
          <w:bCs/>
          <w:szCs w:val="26"/>
          <w:lang w:val="vi-VN"/>
        </w:rPr>
        <w:t>Bảng MT0</w:t>
      </w:r>
      <w:r w:rsidR="00D4372E" w:rsidRPr="008E63BB">
        <w:rPr>
          <w:b/>
          <w:bCs/>
          <w:szCs w:val="26"/>
          <w:lang w:val="vi-VN"/>
        </w:rPr>
        <w:t>4</w:t>
      </w:r>
      <w:r w:rsidRPr="008E63BB">
        <w:rPr>
          <w:b/>
          <w:bCs/>
          <w:szCs w:val="26"/>
          <w:lang w:val="vi-VN"/>
        </w:rPr>
        <w:t>: Đánh giá nguồn phát sinh,</w:t>
      </w:r>
      <w:r w:rsidRPr="008E63BB">
        <w:rPr>
          <w:b/>
          <w:bCs/>
          <w:spacing w:val="-2"/>
          <w:szCs w:val="26"/>
          <w:lang w:val="vi-VN"/>
        </w:rPr>
        <w:t xml:space="preserve"> thành phần các chất gây ô nhiễm môi trường nước </w:t>
      </w:r>
      <w:r w:rsidRPr="008E63BB">
        <w:rPr>
          <w:bCs/>
          <w:szCs w:val="26"/>
          <w:lang w:val="vi-VN"/>
        </w:rPr>
        <w:t>(Khi không có biện pháp xử lý, giám sát môi trường hiệu quả)</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870"/>
        <w:gridCol w:w="3150"/>
      </w:tblGrid>
      <w:tr w:rsidR="008D5BFE" w:rsidRPr="008E63BB" w14:paraId="519B4410" w14:textId="77777777" w:rsidTr="00DE0230">
        <w:tc>
          <w:tcPr>
            <w:tcW w:w="2268" w:type="dxa"/>
            <w:tcBorders>
              <w:top w:val="single" w:sz="4" w:space="0" w:color="auto"/>
              <w:left w:val="single" w:sz="4" w:space="0" w:color="auto"/>
              <w:bottom w:val="single" w:sz="4" w:space="0" w:color="auto"/>
              <w:right w:val="single" w:sz="4" w:space="0" w:color="auto"/>
            </w:tcBorders>
            <w:vAlign w:val="center"/>
            <w:hideMark/>
          </w:tcPr>
          <w:p w14:paraId="519B440C" w14:textId="77777777" w:rsidR="008C1B81" w:rsidRPr="008E63BB" w:rsidRDefault="008C1B81" w:rsidP="00D4372E">
            <w:pPr>
              <w:tabs>
                <w:tab w:val="left" w:pos="3122"/>
              </w:tabs>
              <w:spacing w:before="20" w:after="20"/>
              <w:jc w:val="center"/>
              <w:rPr>
                <w:b/>
                <w:bCs/>
                <w:sz w:val="24"/>
                <w:szCs w:val="24"/>
                <w:lang w:val="de-DE"/>
              </w:rPr>
            </w:pPr>
            <w:r w:rsidRPr="008E63BB">
              <w:rPr>
                <w:b/>
                <w:bCs/>
                <w:sz w:val="24"/>
                <w:szCs w:val="24"/>
                <w:lang w:val="de-DE"/>
              </w:rPr>
              <w:t>Hoạt động gây tác động</w:t>
            </w:r>
          </w:p>
        </w:tc>
        <w:tc>
          <w:tcPr>
            <w:tcW w:w="3870" w:type="dxa"/>
            <w:tcBorders>
              <w:top w:val="single" w:sz="4" w:space="0" w:color="auto"/>
              <w:left w:val="single" w:sz="4" w:space="0" w:color="auto"/>
              <w:bottom w:val="single" w:sz="4" w:space="0" w:color="auto"/>
              <w:right w:val="single" w:sz="4" w:space="0" w:color="auto"/>
            </w:tcBorders>
            <w:vAlign w:val="center"/>
            <w:hideMark/>
          </w:tcPr>
          <w:p w14:paraId="519B440D" w14:textId="77777777" w:rsidR="008C1B81" w:rsidRPr="008E63BB" w:rsidRDefault="008C1B81" w:rsidP="00D4372E">
            <w:pPr>
              <w:tabs>
                <w:tab w:val="left" w:pos="3122"/>
              </w:tabs>
              <w:spacing w:before="20" w:after="20"/>
              <w:jc w:val="center"/>
              <w:rPr>
                <w:b/>
                <w:bCs/>
                <w:sz w:val="24"/>
                <w:szCs w:val="24"/>
                <w:lang w:val="de-DE"/>
              </w:rPr>
            </w:pPr>
            <w:r w:rsidRPr="008E63BB">
              <w:rPr>
                <w:b/>
                <w:bCs/>
                <w:sz w:val="24"/>
                <w:szCs w:val="24"/>
                <w:lang w:val="de-DE"/>
              </w:rPr>
              <w:t>Thành phần chất ô nhiễm</w:t>
            </w:r>
          </w:p>
        </w:tc>
        <w:tc>
          <w:tcPr>
            <w:tcW w:w="3150" w:type="dxa"/>
            <w:tcBorders>
              <w:top w:val="single" w:sz="4" w:space="0" w:color="auto"/>
              <w:left w:val="single" w:sz="4" w:space="0" w:color="auto"/>
              <w:bottom w:val="single" w:sz="4" w:space="0" w:color="auto"/>
              <w:right w:val="single" w:sz="4" w:space="0" w:color="auto"/>
            </w:tcBorders>
            <w:vAlign w:val="center"/>
            <w:hideMark/>
          </w:tcPr>
          <w:p w14:paraId="519B440E" w14:textId="77777777" w:rsidR="008C1B81" w:rsidRPr="008E63BB" w:rsidRDefault="008C1B81" w:rsidP="00D4372E">
            <w:pPr>
              <w:tabs>
                <w:tab w:val="left" w:pos="3122"/>
              </w:tabs>
              <w:spacing w:before="20" w:after="20"/>
              <w:jc w:val="center"/>
              <w:rPr>
                <w:b/>
                <w:bCs/>
                <w:sz w:val="24"/>
                <w:szCs w:val="24"/>
                <w:lang w:val="de-DE"/>
              </w:rPr>
            </w:pPr>
            <w:r w:rsidRPr="008E63BB">
              <w:rPr>
                <w:b/>
                <w:bCs/>
                <w:sz w:val="24"/>
                <w:szCs w:val="24"/>
                <w:lang w:val="de-DE"/>
              </w:rPr>
              <w:t>Khu vực và</w:t>
            </w:r>
          </w:p>
          <w:p w14:paraId="519B440F" w14:textId="77777777" w:rsidR="008C1B81" w:rsidRPr="008E63BB" w:rsidRDefault="008C1B81" w:rsidP="00D4372E">
            <w:pPr>
              <w:tabs>
                <w:tab w:val="left" w:pos="3122"/>
              </w:tabs>
              <w:spacing w:before="20" w:after="20"/>
              <w:jc w:val="center"/>
              <w:rPr>
                <w:b/>
                <w:bCs/>
                <w:sz w:val="24"/>
                <w:szCs w:val="24"/>
                <w:lang w:val="de-DE"/>
              </w:rPr>
            </w:pPr>
            <w:r w:rsidRPr="008E63BB">
              <w:rPr>
                <w:b/>
                <w:bCs/>
                <w:sz w:val="24"/>
                <w:szCs w:val="24"/>
                <w:lang w:val="de-DE"/>
              </w:rPr>
              <w:t>mức độ tác động</w:t>
            </w:r>
          </w:p>
        </w:tc>
      </w:tr>
      <w:tr w:rsidR="008D5BFE" w:rsidRPr="008E63BB" w14:paraId="519B4414" w14:textId="77777777" w:rsidTr="00DE0230">
        <w:tc>
          <w:tcPr>
            <w:tcW w:w="2268" w:type="dxa"/>
            <w:tcBorders>
              <w:top w:val="single" w:sz="4" w:space="0" w:color="auto"/>
              <w:left w:val="single" w:sz="4" w:space="0" w:color="auto"/>
              <w:bottom w:val="single" w:sz="4" w:space="0" w:color="auto"/>
              <w:right w:val="single" w:sz="4" w:space="0" w:color="auto"/>
            </w:tcBorders>
            <w:vAlign w:val="center"/>
            <w:hideMark/>
          </w:tcPr>
          <w:p w14:paraId="519B4411" w14:textId="77777777" w:rsidR="008C1B81" w:rsidRPr="008E63BB" w:rsidRDefault="008C1B81" w:rsidP="00D4372E">
            <w:pPr>
              <w:tabs>
                <w:tab w:val="left" w:pos="3122"/>
              </w:tabs>
              <w:spacing w:before="20" w:after="20"/>
              <w:rPr>
                <w:sz w:val="24"/>
                <w:szCs w:val="24"/>
                <w:lang w:val="de-DE"/>
              </w:rPr>
            </w:pPr>
            <w:r w:rsidRPr="008E63BB">
              <w:rPr>
                <w:sz w:val="24"/>
                <w:szCs w:val="24"/>
                <w:lang w:val="de-DE"/>
              </w:rPr>
              <w:t>Khu vực phát triển dân cư, DVTM (khu ở, công trình công cộng, dịch vụ,...)</w:t>
            </w:r>
          </w:p>
        </w:tc>
        <w:tc>
          <w:tcPr>
            <w:tcW w:w="3870" w:type="dxa"/>
            <w:tcBorders>
              <w:top w:val="single" w:sz="4" w:space="0" w:color="auto"/>
              <w:left w:val="single" w:sz="4" w:space="0" w:color="auto"/>
              <w:bottom w:val="single" w:sz="4" w:space="0" w:color="auto"/>
              <w:right w:val="single" w:sz="4" w:space="0" w:color="auto"/>
            </w:tcBorders>
            <w:vAlign w:val="center"/>
            <w:hideMark/>
          </w:tcPr>
          <w:p w14:paraId="519B4412" w14:textId="77777777" w:rsidR="008C1B81" w:rsidRPr="008E63BB" w:rsidRDefault="008C1B81" w:rsidP="00D4372E">
            <w:pPr>
              <w:tabs>
                <w:tab w:val="left" w:pos="3122"/>
              </w:tabs>
              <w:spacing w:before="20" w:after="20"/>
              <w:rPr>
                <w:spacing w:val="-4"/>
                <w:sz w:val="24"/>
                <w:szCs w:val="24"/>
                <w:lang w:val="de-DE"/>
              </w:rPr>
            </w:pPr>
            <w:r w:rsidRPr="008E63BB">
              <w:rPr>
                <w:spacing w:val="-4"/>
                <w:sz w:val="24"/>
                <w:szCs w:val="24"/>
                <w:lang w:val="fr-FR"/>
              </w:rPr>
              <w:t>các chất ô nhiễm hữu cơ (BOD, COD), cặn lơ lửng (SS); Các chất dinh dưỡng (N, P) cao; vi sinh vật gây bệnh (Ecoli, coliform…); trứng giun, sán; rác thải; dầu mỡ, chất tẩy rửa, …</w:t>
            </w:r>
          </w:p>
        </w:tc>
        <w:tc>
          <w:tcPr>
            <w:tcW w:w="3150" w:type="dxa"/>
            <w:tcBorders>
              <w:top w:val="single" w:sz="4" w:space="0" w:color="auto"/>
              <w:left w:val="single" w:sz="4" w:space="0" w:color="auto"/>
              <w:bottom w:val="single" w:sz="4" w:space="0" w:color="auto"/>
              <w:right w:val="single" w:sz="4" w:space="0" w:color="auto"/>
            </w:tcBorders>
            <w:vAlign w:val="center"/>
            <w:hideMark/>
          </w:tcPr>
          <w:p w14:paraId="519B4413" w14:textId="77777777" w:rsidR="008C1B81" w:rsidRPr="008E63BB" w:rsidRDefault="008C1B81" w:rsidP="00D4372E">
            <w:pPr>
              <w:tabs>
                <w:tab w:val="left" w:pos="3122"/>
              </w:tabs>
              <w:spacing w:before="20" w:after="20"/>
              <w:rPr>
                <w:b/>
                <w:bCs/>
                <w:sz w:val="24"/>
                <w:szCs w:val="24"/>
                <w:lang w:val="fr-FR"/>
              </w:rPr>
            </w:pPr>
            <w:r w:rsidRPr="008E63BB">
              <w:rPr>
                <w:sz w:val="24"/>
                <w:szCs w:val="24"/>
                <w:lang w:val="de-DE"/>
              </w:rPr>
              <w:t xml:space="preserve">Môi trường nước ngầm, nước mặt, các kênh tiêu chính, sông Thương, sông Cầu, ao, hồ trong khu vực. </w:t>
            </w:r>
            <w:r w:rsidRPr="008E63BB">
              <w:rPr>
                <w:sz w:val="24"/>
                <w:szCs w:val="24"/>
                <w:lang w:val="fr-FR"/>
              </w:rPr>
              <w:t>Mức độ tác động mạnh.</w:t>
            </w:r>
          </w:p>
        </w:tc>
      </w:tr>
      <w:tr w:rsidR="008D5BFE" w:rsidRPr="008E63BB" w14:paraId="519B4418" w14:textId="77777777" w:rsidTr="00DE0230">
        <w:tc>
          <w:tcPr>
            <w:tcW w:w="2268" w:type="dxa"/>
            <w:tcBorders>
              <w:top w:val="single" w:sz="4" w:space="0" w:color="auto"/>
              <w:left w:val="single" w:sz="4" w:space="0" w:color="auto"/>
              <w:bottom w:val="single" w:sz="4" w:space="0" w:color="auto"/>
              <w:right w:val="single" w:sz="4" w:space="0" w:color="auto"/>
            </w:tcBorders>
            <w:vAlign w:val="center"/>
            <w:hideMark/>
          </w:tcPr>
          <w:p w14:paraId="519B4415" w14:textId="77777777" w:rsidR="008C1B81" w:rsidRPr="008E63BB" w:rsidRDefault="008C1B81" w:rsidP="00D4372E">
            <w:pPr>
              <w:tabs>
                <w:tab w:val="left" w:pos="3122"/>
              </w:tabs>
              <w:spacing w:before="20" w:after="20"/>
              <w:rPr>
                <w:sz w:val="24"/>
                <w:szCs w:val="24"/>
                <w:lang w:val="fr-FR"/>
              </w:rPr>
            </w:pPr>
            <w:r w:rsidRPr="008E63BB">
              <w:rPr>
                <w:sz w:val="24"/>
                <w:szCs w:val="24"/>
                <w:lang w:val="fr-FR"/>
              </w:rPr>
              <w:lastRenderedPageBreak/>
              <w:t>Khu vực phát triển công nghiệp</w:t>
            </w:r>
          </w:p>
        </w:tc>
        <w:tc>
          <w:tcPr>
            <w:tcW w:w="3870" w:type="dxa"/>
            <w:tcBorders>
              <w:top w:val="single" w:sz="4" w:space="0" w:color="auto"/>
              <w:left w:val="single" w:sz="4" w:space="0" w:color="auto"/>
              <w:bottom w:val="single" w:sz="4" w:space="0" w:color="auto"/>
              <w:right w:val="single" w:sz="4" w:space="0" w:color="auto"/>
            </w:tcBorders>
            <w:vAlign w:val="center"/>
            <w:hideMark/>
          </w:tcPr>
          <w:p w14:paraId="519B4416" w14:textId="77777777" w:rsidR="008C1B81" w:rsidRPr="008E63BB" w:rsidRDefault="008C1B81" w:rsidP="00D4372E">
            <w:pPr>
              <w:tabs>
                <w:tab w:val="left" w:pos="3122"/>
              </w:tabs>
              <w:spacing w:before="20" w:after="20"/>
              <w:rPr>
                <w:spacing w:val="-6"/>
                <w:sz w:val="24"/>
                <w:szCs w:val="24"/>
                <w:lang w:val="fr-FR"/>
              </w:rPr>
            </w:pPr>
            <w:r w:rsidRPr="008E63BB">
              <w:rPr>
                <w:spacing w:val="-6"/>
                <w:sz w:val="24"/>
                <w:szCs w:val="24"/>
                <w:lang w:val="fr-FR"/>
              </w:rPr>
              <w:t>chất hữu cơ như: BOD5, COD, SS, tổng P, tổng N cao; kim loại nặng, vi sinh vật gây bệnh; dầu mỡ, chất tẩy rửa...</w:t>
            </w:r>
          </w:p>
        </w:tc>
        <w:tc>
          <w:tcPr>
            <w:tcW w:w="3150" w:type="dxa"/>
            <w:tcBorders>
              <w:top w:val="single" w:sz="4" w:space="0" w:color="auto"/>
              <w:left w:val="single" w:sz="4" w:space="0" w:color="auto"/>
              <w:bottom w:val="single" w:sz="4" w:space="0" w:color="auto"/>
              <w:right w:val="single" w:sz="4" w:space="0" w:color="auto"/>
            </w:tcBorders>
            <w:vAlign w:val="center"/>
            <w:hideMark/>
          </w:tcPr>
          <w:p w14:paraId="519B4417" w14:textId="77777777" w:rsidR="008C1B81" w:rsidRPr="008E63BB" w:rsidRDefault="008C1B81" w:rsidP="00D4372E">
            <w:pPr>
              <w:tabs>
                <w:tab w:val="left" w:pos="3122"/>
              </w:tabs>
              <w:spacing w:before="20" w:after="20"/>
              <w:rPr>
                <w:sz w:val="24"/>
                <w:szCs w:val="24"/>
                <w:lang w:val="fr-FR"/>
              </w:rPr>
            </w:pPr>
            <w:r w:rsidRPr="008E63BB">
              <w:rPr>
                <w:sz w:val="24"/>
                <w:szCs w:val="24"/>
                <w:lang w:val="fr-FR"/>
              </w:rPr>
              <w:t>Môi trường nước mặt, nước ngầm trong khu vực. Mức độ tác động rất mạnh.</w:t>
            </w:r>
          </w:p>
        </w:tc>
      </w:tr>
      <w:tr w:rsidR="008D5BFE" w:rsidRPr="008E63BB" w14:paraId="519B441C" w14:textId="77777777" w:rsidTr="00DE0230">
        <w:tc>
          <w:tcPr>
            <w:tcW w:w="2268" w:type="dxa"/>
            <w:tcBorders>
              <w:top w:val="single" w:sz="4" w:space="0" w:color="auto"/>
              <w:left w:val="single" w:sz="4" w:space="0" w:color="auto"/>
              <w:bottom w:val="single" w:sz="4" w:space="0" w:color="auto"/>
              <w:right w:val="single" w:sz="4" w:space="0" w:color="auto"/>
            </w:tcBorders>
            <w:vAlign w:val="center"/>
            <w:hideMark/>
          </w:tcPr>
          <w:p w14:paraId="519B4419" w14:textId="77777777" w:rsidR="008C1B81" w:rsidRPr="008E63BB" w:rsidRDefault="008C1B81" w:rsidP="00D4372E">
            <w:pPr>
              <w:tabs>
                <w:tab w:val="left" w:pos="3122"/>
              </w:tabs>
              <w:spacing w:before="20" w:after="20"/>
              <w:rPr>
                <w:sz w:val="24"/>
                <w:szCs w:val="24"/>
                <w:lang w:val="fr-FR"/>
              </w:rPr>
            </w:pPr>
            <w:r w:rsidRPr="008E63BB">
              <w:rPr>
                <w:sz w:val="24"/>
                <w:szCs w:val="24"/>
                <w:lang w:val="fr-FR"/>
              </w:rPr>
              <w:t xml:space="preserve">Khu vực phát triển </w:t>
            </w:r>
            <w:r w:rsidR="00081A92" w:rsidRPr="008E63BB">
              <w:rPr>
                <w:sz w:val="24"/>
                <w:szCs w:val="24"/>
                <w:lang w:val="fr-FR"/>
              </w:rPr>
              <w:t>thể dục thể thao-sân golf</w:t>
            </w:r>
          </w:p>
        </w:tc>
        <w:tc>
          <w:tcPr>
            <w:tcW w:w="3870" w:type="dxa"/>
            <w:tcBorders>
              <w:top w:val="single" w:sz="4" w:space="0" w:color="auto"/>
              <w:left w:val="single" w:sz="4" w:space="0" w:color="auto"/>
              <w:bottom w:val="single" w:sz="4" w:space="0" w:color="auto"/>
              <w:right w:val="single" w:sz="4" w:space="0" w:color="auto"/>
            </w:tcBorders>
            <w:vAlign w:val="center"/>
            <w:hideMark/>
          </w:tcPr>
          <w:p w14:paraId="519B441A" w14:textId="77777777" w:rsidR="008C1B81" w:rsidRPr="008E63BB" w:rsidRDefault="008C1B81" w:rsidP="00D4372E">
            <w:pPr>
              <w:tabs>
                <w:tab w:val="left" w:pos="3122"/>
              </w:tabs>
              <w:spacing w:before="20" w:after="20"/>
              <w:rPr>
                <w:sz w:val="24"/>
                <w:szCs w:val="24"/>
                <w:lang w:val="fr-FR"/>
              </w:rPr>
            </w:pPr>
            <w:r w:rsidRPr="008E63BB">
              <w:rPr>
                <w:sz w:val="24"/>
                <w:szCs w:val="24"/>
                <w:lang w:val="fr-FR"/>
              </w:rPr>
              <w:t>Chứa thành phần chất hữu cơ như: BOD5, COD, SS, tổng P, tổng N cao; hóa chất độc hại...</w:t>
            </w:r>
          </w:p>
        </w:tc>
        <w:tc>
          <w:tcPr>
            <w:tcW w:w="3150" w:type="dxa"/>
            <w:tcBorders>
              <w:top w:val="single" w:sz="4" w:space="0" w:color="auto"/>
              <w:left w:val="single" w:sz="4" w:space="0" w:color="auto"/>
              <w:bottom w:val="single" w:sz="4" w:space="0" w:color="auto"/>
              <w:right w:val="single" w:sz="4" w:space="0" w:color="auto"/>
            </w:tcBorders>
            <w:vAlign w:val="center"/>
            <w:hideMark/>
          </w:tcPr>
          <w:p w14:paraId="519B441B" w14:textId="77777777" w:rsidR="008C1B81" w:rsidRPr="008E63BB" w:rsidRDefault="008C1B81" w:rsidP="00D4372E">
            <w:pPr>
              <w:tabs>
                <w:tab w:val="left" w:pos="3122"/>
              </w:tabs>
              <w:spacing w:before="20" w:after="20"/>
              <w:rPr>
                <w:sz w:val="24"/>
                <w:szCs w:val="24"/>
                <w:lang w:val="fr-FR"/>
              </w:rPr>
            </w:pPr>
            <w:r w:rsidRPr="008E63BB">
              <w:rPr>
                <w:sz w:val="24"/>
                <w:szCs w:val="24"/>
                <w:lang w:val="fr-FR"/>
              </w:rPr>
              <w:t>Môi trường nước mặt, nước ngầm trong khu vực. Mức độ tác động rất mạnh.</w:t>
            </w:r>
          </w:p>
        </w:tc>
      </w:tr>
      <w:tr w:rsidR="008D5BFE" w:rsidRPr="008E63BB" w14:paraId="519B4420" w14:textId="77777777" w:rsidTr="00DE0230">
        <w:tc>
          <w:tcPr>
            <w:tcW w:w="2268" w:type="dxa"/>
            <w:tcBorders>
              <w:top w:val="single" w:sz="4" w:space="0" w:color="auto"/>
              <w:left w:val="single" w:sz="4" w:space="0" w:color="auto"/>
              <w:bottom w:val="single" w:sz="4" w:space="0" w:color="auto"/>
              <w:right w:val="single" w:sz="4" w:space="0" w:color="auto"/>
            </w:tcBorders>
            <w:vAlign w:val="center"/>
            <w:hideMark/>
          </w:tcPr>
          <w:p w14:paraId="519B441D" w14:textId="77777777" w:rsidR="008C1B81" w:rsidRPr="008E63BB" w:rsidRDefault="008C1B81" w:rsidP="00D4372E">
            <w:pPr>
              <w:tabs>
                <w:tab w:val="left" w:pos="3122"/>
              </w:tabs>
              <w:spacing w:before="20" w:after="20"/>
              <w:rPr>
                <w:sz w:val="24"/>
                <w:szCs w:val="24"/>
                <w:lang w:val="nb-NO"/>
              </w:rPr>
            </w:pPr>
            <w:r w:rsidRPr="008E63BB">
              <w:rPr>
                <w:sz w:val="24"/>
                <w:szCs w:val="24"/>
                <w:lang w:val="nb-NO"/>
              </w:rPr>
              <w:t>Các bệnh viện</w:t>
            </w:r>
          </w:p>
        </w:tc>
        <w:tc>
          <w:tcPr>
            <w:tcW w:w="3870" w:type="dxa"/>
            <w:tcBorders>
              <w:top w:val="single" w:sz="4" w:space="0" w:color="auto"/>
              <w:left w:val="single" w:sz="4" w:space="0" w:color="auto"/>
              <w:bottom w:val="single" w:sz="4" w:space="0" w:color="auto"/>
              <w:right w:val="single" w:sz="4" w:space="0" w:color="auto"/>
            </w:tcBorders>
            <w:vAlign w:val="center"/>
            <w:hideMark/>
          </w:tcPr>
          <w:p w14:paraId="519B441E" w14:textId="77777777" w:rsidR="008C1B81" w:rsidRPr="008E63BB" w:rsidRDefault="008C1B81" w:rsidP="00D4372E">
            <w:pPr>
              <w:tabs>
                <w:tab w:val="left" w:pos="3122"/>
              </w:tabs>
              <w:spacing w:before="20" w:after="20"/>
              <w:rPr>
                <w:b/>
                <w:bCs/>
                <w:sz w:val="24"/>
                <w:szCs w:val="24"/>
                <w:lang w:val="nb-NO"/>
              </w:rPr>
            </w:pPr>
            <w:r w:rsidRPr="008E63BB">
              <w:rPr>
                <w:sz w:val="24"/>
                <w:szCs w:val="24"/>
                <w:lang w:val="nb-NO"/>
              </w:rPr>
              <w:t>Các chất hữu cơ; các chất dinh dưỡng của ni-tơ (N), phốt-pho (P); các chất rắn lơ lửng và các vi trùng, vi khuẩn gây bệnh.</w:t>
            </w:r>
          </w:p>
        </w:tc>
        <w:tc>
          <w:tcPr>
            <w:tcW w:w="3150" w:type="dxa"/>
            <w:tcBorders>
              <w:top w:val="single" w:sz="4" w:space="0" w:color="auto"/>
              <w:left w:val="single" w:sz="4" w:space="0" w:color="auto"/>
              <w:bottom w:val="single" w:sz="4" w:space="0" w:color="auto"/>
              <w:right w:val="single" w:sz="4" w:space="0" w:color="auto"/>
            </w:tcBorders>
            <w:vAlign w:val="center"/>
            <w:hideMark/>
          </w:tcPr>
          <w:p w14:paraId="519B441F" w14:textId="77777777" w:rsidR="008C1B81" w:rsidRPr="008E63BB" w:rsidRDefault="008C1B81" w:rsidP="00D4372E">
            <w:pPr>
              <w:tabs>
                <w:tab w:val="left" w:pos="3122"/>
              </w:tabs>
              <w:spacing w:before="20" w:after="20"/>
              <w:rPr>
                <w:b/>
                <w:bCs/>
                <w:sz w:val="24"/>
                <w:szCs w:val="24"/>
                <w:lang w:val="nb-NO"/>
              </w:rPr>
            </w:pPr>
            <w:r w:rsidRPr="008E63BB">
              <w:rPr>
                <w:sz w:val="24"/>
                <w:szCs w:val="24"/>
                <w:lang w:val="nb-NO"/>
              </w:rPr>
              <w:t>Môi trường nước mặt, nước ngầm trong khu vực. Tác động mạnh</w:t>
            </w:r>
          </w:p>
        </w:tc>
      </w:tr>
      <w:tr w:rsidR="008D5BFE" w:rsidRPr="008E63BB" w14:paraId="519B4424" w14:textId="77777777" w:rsidTr="00DE0230">
        <w:tc>
          <w:tcPr>
            <w:tcW w:w="2268" w:type="dxa"/>
            <w:tcBorders>
              <w:top w:val="single" w:sz="4" w:space="0" w:color="auto"/>
              <w:left w:val="single" w:sz="4" w:space="0" w:color="auto"/>
              <w:bottom w:val="single" w:sz="4" w:space="0" w:color="auto"/>
              <w:right w:val="single" w:sz="4" w:space="0" w:color="auto"/>
            </w:tcBorders>
            <w:vAlign w:val="center"/>
            <w:hideMark/>
          </w:tcPr>
          <w:p w14:paraId="519B4421" w14:textId="77777777" w:rsidR="008C1B81" w:rsidRPr="008E63BB" w:rsidRDefault="008C1B81" w:rsidP="00D4372E">
            <w:pPr>
              <w:tabs>
                <w:tab w:val="left" w:pos="3122"/>
              </w:tabs>
              <w:spacing w:before="20" w:after="20"/>
              <w:rPr>
                <w:sz w:val="24"/>
                <w:szCs w:val="24"/>
                <w:lang w:val="nb-NO"/>
              </w:rPr>
            </w:pPr>
            <w:r w:rsidRPr="008E63BB">
              <w:rPr>
                <w:sz w:val="24"/>
                <w:szCs w:val="24"/>
                <w:lang w:val="nb-NO"/>
              </w:rPr>
              <w:t>Khu vực phát triển nông nghiệp (Hoạt đồng trồng trọt, chăn nuôi)</w:t>
            </w:r>
          </w:p>
        </w:tc>
        <w:tc>
          <w:tcPr>
            <w:tcW w:w="3870" w:type="dxa"/>
            <w:tcBorders>
              <w:top w:val="single" w:sz="4" w:space="0" w:color="auto"/>
              <w:left w:val="single" w:sz="4" w:space="0" w:color="auto"/>
              <w:bottom w:val="single" w:sz="4" w:space="0" w:color="auto"/>
              <w:right w:val="single" w:sz="4" w:space="0" w:color="auto"/>
            </w:tcBorders>
            <w:vAlign w:val="center"/>
            <w:hideMark/>
          </w:tcPr>
          <w:p w14:paraId="519B4422" w14:textId="77777777" w:rsidR="008C1B81" w:rsidRPr="008E63BB" w:rsidRDefault="008C1B81" w:rsidP="00D4372E">
            <w:pPr>
              <w:tabs>
                <w:tab w:val="left" w:pos="3122"/>
              </w:tabs>
              <w:spacing w:before="20" w:after="20"/>
              <w:rPr>
                <w:sz w:val="24"/>
                <w:szCs w:val="24"/>
                <w:lang w:val="fr-FR"/>
              </w:rPr>
            </w:pPr>
            <w:r w:rsidRPr="008E63BB">
              <w:rPr>
                <w:sz w:val="24"/>
                <w:szCs w:val="24"/>
                <w:lang w:val="fr-FR"/>
              </w:rPr>
              <w:t>Chứa thành phần chất hữu cơ như: BOD</w:t>
            </w:r>
            <w:r w:rsidRPr="008E63BB">
              <w:rPr>
                <w:sz w:val="24"/>
                <w:szCs w:val="24"/>
                <w:vertAlign w:val="subscript"/>
                <w:lang w:val="fr-FR"/>
              </w:rPr>
              <w:t>5</w:t>
            </w:r>
            <w:r w:rsidRPr="008E63BB">
              <w:rPr>
                <w:sz w:val="24"/>
                <w:szCs w:val="24"/>
                <w:lang w:val="fr-FR"/>
              </w:rPr>
              <w:t>, COD, SS, tổng P, tổng N cao; vi sinh vật gây bệnh, ký sinh trùng; chất độc hại, kim loại nặng (hóa chất bảo vệ thực vật, phân hóa học), …</w:t>
            </w:r>
          </w:p>
        </w:tc>
        <w:tc>
          <w:tcPr>
            <w:tcW w:w="3150" w:type="dxa"/>
            <w:tcBorders>
              <w:top w:val="single" w:sz="4" w:space="0" w:color="auto"/>
              <w:left w:val="single" w:sz="4" w:space="0" w:color="auto"/>
              <w:bottom w:val="single" w:sz="4" w:space="0" w:color="auto"/>
              <w:right w:val="single" w:sz="4" w:space="0" w:color="auto"/>
            </w:tcBorders>
            <w:vAlign w:val="center"/>
            <w:hideMark/>
          </w:tcPr>
          <w:p w14:paraId="519B4423" w14:textId="77777777" w:rsidR="008C1B81" w:rsidRPr="008E63BB" w:rsidRDefault="008C1B81" w:rsidP="00D4372E">
            <w:pPr>
              <w:tabs>
                <w:tab w:val="left" w:pos="-1057"/>
                <w:tab w:val="left" w:pos="36"/>
                <w:tab w:val="left" w:pos="3122"/>
              </w:tabs>
              <w:spacing w:before="20" w:after="20"/>
              <w:rPr>
                <w:spacing w:val="-8"/>
                <w:sz w:val="24"/>
                <w:szCs w:val="24"/>
                <w:lang w:val="fr-FR"/>
              </w:rPr>
            </w:pPr>
            <w:r w:rsidRPr="008E63BB">
              <w:rPr>
                <w:spacing w:val="-8"/>
                <w:sz w:val="24"/>
                <w:szCs w:val="24"/>
                <w:lang w:val="fr-FR"/>
              </w:rPr>
              <w:t>Môi trường nước mặt, nước ngầm; Mức độ tác động mạnh hoặc trung bình (tùy thuộc mức độ quản lý và kiểm soát nước thải, HCBVTV trên địa bàn)</w:t>
            </w:r>
          </w:p>
        </w:tc>
      </w:tr>
    </w:tbl>
    <w:p w14:paraId="519B4425" w14:textId="77777777" w:rsidR="008C1B81" w:rsidRPr="008E63BB" w:rsidRDefault="008C1B81" w:rsidP="003D057A">
      <w:pPr>
        <w:tabs>
          <w:tab w:val="left" w:pos="567"/>
        </w:tabs>
        <w:rPr>
          <w:i/>
          <w:szCs w:val="26"/>
          <w:lang w:val="fr-FR"/>
        </w:rPr>
      </w:pPr>
      <w:r w:rsidRPr="008E63BB">
        <w:rPr>
          <w:i/>
          <w:szCs w:val="26"/>
          <w:lang w:val="fr-FR"/>
        </w:rPr>
        <w:t>* Dự báo tải lượng chất ô nhiễm</w:t>
      </w:r>
    </w:p>
    <w:p w14:paraId="519B4426" w14:textId="77777777" w:rsidR="008C1B81" w:rsidRPr="008E63BB" w:rsidRDefault="00A13528" w:rsidP="003D057A">
      <w:pPr>
        <w:tabs>
          <w:tab w:val="left" w:pos="709"/>
        </w:tabs>
        <w:autoSpaceDE w:val="0"/>
        <w:autoSpaceDN w:val="0"/>
        <w:adjustRightInd w:val="0"/>
        <w:ind w:firstLine="562"/>
        <w:rPr>
          <w:szCs w:val="26"/>
          <w:lang w:val="fr-FR"/>
        </w:rPr>
      </w:pPr>
      <w:r w:rsidRPr="008E63BB">
        <w:rPr>
          <w:szCs w:val="26"/>
          <w:lang w:val="fr-FR"/>
        </w:rPr>
        <w:t xml:space="preserve">Theo quy hoạch, Thành phố Nam Định đến năm 2040 sẽ trở thành một đô thị có sức hút mạnh mẽ, với dân số toàn đô thị tăng cao, ước khoảng 600.000 người, trong đó dân số nội thành chiếm trên </w:t>
      </w:r>
      <w:r w:rsidR="00764C8E" w:rsidRPr="008E63BB">
        <w:rPr>
          <w:szCs w:val="26"/>
          <w:lang w:val="fr-FR"/>
        </w:rPr>
        <w:t>8</w:t>
      </w:r>
      <w:r w:rsidRPr="008E63BB">
        <w:rPr>
          <w:szCs w:val="26"/>
          <w:lang w:val="fr-FR"/>
        </w:rPr>
        <w:t xml:space="preserve">0%, khoảng </w:t>
      </w:r>
      <w:r w:rsidR="00764C8E" w:rsidRPr="008E63BB">
        <w:rPr>
          <w:szCs w:val="26"/>
          <w:lang w:val="fr-FR"/>
        </w:rPr>
        <w:t>485</w:t>
      </w:r>
      <w:r w:rsidRPr="008E63BB">
        <w:rPr>
          <w:szCs w:val="26"/>
          <w:lang w:val="fr-FR"/>
        </w:rPr>
        <w:t>.000người; Đồng thời, công nghiệp cũng phát triển,  tăng trưởng với diện tích khoảng trên 1.000 ha</w:t>
      </w:r>
      <w:r w:rsidR="008C1B81" w:rsidRPr="008E63BB">
        <w:rPr>
          <w:szCs w:val="26"/>
          <w:lang w:val="fr-FR"/>
        </w:rPr>
        <w:t>;</w:t>
      </w:r>
    </w:p>
    <w:p w14:paraId="519B4427" w14:textId="77777777" w:rsidR="00A13528" w:rsidRPr="008E63BB" w:rsidRDefault="00A13528" w:rsidP="003D057A">
      <w:pPr>
        <w:tabs>
          <w:tab w:val="left" w:pos="709"/>
        </w:tabs>
        <w:autoSpaceDE w:val="0"/>
        <w:autoSpaceDN w:val="0"/>
        <w:adjustRightInd w:val="0"/>
        <w:ind w:firstLine="562"/>
        <w:rPr>
          <w:spacing w:val="-4"/>
          <w:szCs w:val="26"/>
          <w:lang w:val="fr-FR"/>
        </w:rPr>
      </w:pPr>
      <w:r w:rsidRPr="008E63BB">
        <w:rPr>
          <w:spacing w:val="-4"/>
          <w:szCs w:val="26"/>
          <w:lang w:val="fr-FR"/>
        </w:rPr>
        <w:t>Với số liệu ước tính như trên lượng nước thải sinh hoạt, công nghiệp phát sinh trên địa bàn sẽ không hề nhỏ, chứa nhiều thành phần chất ô nhiễm, nếu không được thu gom, xử lý có nguy cơ gây ô nhiễm môi trường cao (đặc biệt là môi trường nước mặt trong khu vực);</w:t>
      </w:r>
    </w:p>
    <w:p w14:paraId="519B4428" w14:textId="77777777" w:rsidR="008C1B81" w:rsidRPr="008E63BB" w:rsidRDefault="008C1B81" w:rsidP="0065184D">
      <w:pPr>
        <w:tabs>
          <w:tab w:val="left" w:pos="709"/>
        </w:tabs>
        <w:autoSpaceDE w:val="0"/>
        <w:autoSpaceDN w:val="0"/>
        <w:adjustRightInd w:val="0"/>
        <w:ind w:left="-90" w:right="-122"/>
        <w:jc w:val="center"/>
        <w:rPr>
          <w:b/>
          <w:bCs/>
          <w:szCs w:val="26"/>
          <w:lang w:val="fr-FR"/>
        </w:rPr>
      </w:pPr>
      <w:r w:rsidRPr="008E63BB">
        <w:rPr>
          <w:b/>
          <w:bCs/>
          <w:szCs w:val="26"/>
          <w:lang w:val="fr-FR"/>
        </w:rPr>
        <w:t>Bả</w:t>
      </w:r>
      <w:r w:rsidR="00D4372E" w:rsidRPr="008E63BB">
        <w:rPr>
          <w:b/>
          <w:bCs/>
          <w:szCs w:val="26"/>
          <w:lang w:val="fr-FR"/>
        </w:rPr>
        <w:t>ng MT05</w:t>
      </w:r>
      <w:r w:rsidRPr="008E63BB">
        <w:rPr>
          <w:b/>
          <w:bCs/>
          <w:szCs w:val="26"/>
          <w:lang w:val="fr-FR"/>
        </w:rPr>
        <w:t xml:space="preserve">: </w:t>
      </w:r>
      <w:r w:rsidRPr="008E63BB">
        <w:rPr>
          <w:b/>
          <w:bCs/>
          <w:szCs w:val="26"/>
          <w:lang w:val="vi-VN"/>
        </w:rPr>
        <w:t>Dự báo tải lượng chất ô nhiễm trong nước thải s</w:t>
      </w:r>
      <w:r w:rsidRPr="008E63BB">
        <w:rPr>
          <w:b/>
          <w:bCs/>
          <w:szCs w:val="26"/>
          <w:lang w:val="fr-FR"/>
        </w:rPr>
        <w:t>.</w:t>
      </w:r>
      <w:r w:rsidRPr="008E63BB">
        <w:rPr>
          <w:b/>
          <w:bCs/>
          <w:szCs w:val="26"/>
          <w:lang w:val="vi-VN"/>
        </w:rPr>
        <w:t>hoạt đến năm 20</w:t>
      </w:r>
      <w:r w:rsidRPr="008E63BB">
        <w:rPr>
          <w:b/>
          <w:bCs/>
          <w:szCs w:val="26"/>
          <w:lang w:val="fr-FR"/>
        </w:rPr>
        <w:t>40</w:t>
      </w:r>
    </w:p>
    <w:p w14:paraId="519B4429" w14:textId="77777777" w:rsidR="008C1B81" w:rsidRPr="008E63BB" w:rsidRDefault="008C1B81" w:rsidP="0065184D">
      <w:pPr>
        <w:autoSpaceDE w:val="0"/>
        <w:autoSpaceDN w:val="0"/>
        <w:adjustRightInd w:val="0"/>
        <w:spacing w:after="60"/>
        <w:ind w:right="-29"/>
        <w:jc w:val="right"/>
        <w:rPr>
          <w:i/>
          <w:iCs/>
          <w:szCs w:val="26"/>
          <w:lang w:val="pt-BR"/>
        </w:rPr>
      </w:pPr>
      <w:r w:rsidRPr="008E63BB">
        <w:rPr>
          <w:i/>
          <w:iCs/>
          <w:szCs w:val="26"/>
          <w:lang w:val="pt-BR"/>
        </w:rPr>
        <w:t>Đơn vị: kg/ngày</w:t>
      </w:r>
    </w:p>
    <w:tbl>
      <w:tblPr>
        <w:tblW w:w="9152" w:type="dxa"/>
        <w:tblInd w:w="113" w:type="dxa"/>
        <w:tblLayout w:type="fixed"/>
        <w:tblLook w:val="04A0" w:firstRow="1" w:lastRow="0" w:firstColumn="1" w:lastColumn="0" w:noHBand="0" w:noVBand="1"/>
      </w:tblPr>
      <w:tblGrid>
        <w:gridCol w:w="708"/>
        <w:gridCol w:w="1964"/>
        <w:gridCol w:w="1440"/>
        <w:gridCol w:w="1339"/>
        <w:gridCol w:w="1260"/>
        <w:gridCol w:w="1170"/>
        <w:gridCol w:w="1271"/>
      </w:tblGrid>
      <w:tr w:rsidR="00A13528" w:rsidRPr="008E63BB" w14:paraId="519B442E" w14:textId="77777777" w:rsidTr="00A13528">
        <w:trPr>
          <w:trHeight w:val="20"/>
        </w:trPr>
        <w:tc>
          <w:tcPr>
            <w:tcW w:w="708" w:type="dxa"/>
            <w:vMerge w:val="restart"/>
            <w:tcBorders>
              <w:top w:val="single" w:sz="4" w:space="0" w:color="auto"/>
              <w:left w:val="single" w:sz="4" w:space="0" w:color="auto"/>
              <w:right w:val="single" w:sz="4" w:space="0" w:color="auto"/>
            </w:tcBorders>
            <w:vAlign w:val="center"/>
          </w:tcPr>
          <w:p w14:paraId="519B442A" w14:textId="77777777" w:rsidR="00A13528" w:rsidRPr="008E63BB" w:rsidRDefault="00A13528" w:rsidP="00A13528">
            <w:pPr>
              <w:spacing w:before="20" w:after="20"/>
              <w:jc w:val="center"/>
              <w:rPr>
                <w:rFonts w:eastAsia="Times New Roman"/>
                <w:b/>
                <w:bCs/>
                <w:sz w:val="24"/>
                <w:szCs w:val="24"/>
              </w:rPr>
            </w:pPr>
            <w:r w:rsidRPr="008E63BB">
              <w:rPr>
                <w:rFonts w:eastAsia="Times New Roman"/>
                <w:b/>
                <w:bCs/>
                <w:sz w:val="24"/>
                <w:szCs w:val="24"/>
              </w:rPr>
              <w:t>STT</w:t>
            </w:r>
          </w:p>
        </w:tc>
        <w:tc>
          <w:tcPr>
            <w:tcW w:w="19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442B" w14:textId="77777777" w:rsidR="00A13528" w:rsidRPr="008E63BB" w:rsidRDefault="00A13528" w:rsidP="00A13528">
            <w:pPr>
              <w:spacing w:before="20" w:after="20"/>
              <w:jc w:val="center"/>
              <w:rPr>
                <w:rFonts w:eastAsia="Times New Roman"/>
                <w:b/>
                <w:bCs/>
                <w:sz w:val="24"/>
                <w:szCs w:val="24"/>
              </w:rPr>
            </w:pPr>
            <w:r w:rsidRPr="008E63BB">
              <w:rPr>
                <w:rFonts w:eastAsia="Times New Roman"/>
                <w:b/>
                <w:bCs/>
                <w:sz w:val="24"/>
                <w:szCs w:val="24"/>
              </w:rPr>
              <w:t>Thành phần</w:t>
            </w:r>
          </w:p>
        </w:tc>
        <w:tc>
          <w:tcPr>
            <w:tcW w:w="4039" w:type="dxa"/>
            <w:gridSpan w:val="3"/>
            <w:tcBorders>
              <w:top w:val="single" w:sz="4" w:space="0" w:color="auto"/>
              <w:left w:val="nil"/>
              <w:bottom w:val="single" w:sz="4" w:space="0" w:color="auto"/>
              <w:right w:val="single" w:sz="4" w:space="0" w:color="auto"/>
            </w:tcBorders>
            <w:shd w:val="clear" w:color="auto" w:fill="auto"/>
            <w:vAlign w:val="center"/>
            <w:hideMark/>
          </w:tcPr>
          <w:p w14:paraId="519B442C" w14:textId="77777777" w:rsidR="00A13528" w:rsidRPr="008E63BB" w:rsidRDefault="00A13528" w:rsidP="00A13528">
            <w:pPr>
              <w:spacing w:before="20" w:after="20"/>
              <w:jc w:val="center"/>
              <w:rPr>
                <w:rFonts w:eastAsia="Times New Roman"/>
                <w:b/>
                <w:bCs/>
                <w:sz w:val="24"/>
                <w:szCs w:val="24"/>
              </w:rPr>
            </w:pPr>
            <w:r w:rsidRPr="008E63BB">
              <w:rPr>
                <w:rFonts w:eastAsia="Times New Roman"/>
                <w:b/>
                <w:bCs/>
                <w:sz w:val="24"/>
                <w:szCs w:val="24"/>
              </w:rPr>
              <w:t>Tải lượng chất ô nhiễm khu vực</w:t>
            </w:r>
          </w:p>
        </w:tc>
        <w:tc>
          <w:tcPr>
            <w:tcW w:w="2441" w:type="dxa"/>
            <w:gridSpan w:val="2"/>
            <w:tcBorders>
              <w:top w:val="single" w:sz="4" w:space="0" w:color="auto"/>
              <w:left w:val="nil"/>
              <w:bottom w:val="single" w:sz="4" w:space="0" w:color="auto"/>
              <w:right w:val="single" w:sz="4" w:space="0" w:color="auto"/>
            </w:tcBorders>
            <w:shd w:val="clear" w:color="auto" w:fill="auto"/>
            <w:vAlign w:val="center"/>
            <w:hideMark/>
          </w:tcPr>
          <w:p w14:paraId="519B442D" w14:textId="77777777" w:rsidR="00A13528" w:rsidRPr="008E63BB" w:rsidRDefault="00A13528" w:rsidP="00A13528">
            <w:pPr>
              <w:spacing w:before="20" w:after="20"/>
              <w:ind w:left="-119" w:right="-108"/>
              <w:jc w:val="center"/>
              <w:rPr>
                <w:rFonts w:eastAsia="Times New Roman"/>
                <w:b/>
                <w:bCs/>
                <w:sz w:val="24"/>
                <w:szCs w:val="24"/>
              </w:rPr>
            </w:pPr>
            <w:r w:rsidRPr="008E63BB">
              <w:rPr>
                <w:rFonts w:eastAsia="Times New Roman"/>
                <w:b/>
                <w:bCs/>
                <w:sz w:val="24"/>
                <w:szCs w:val="24"/>
              </w:rPr>
              <w:t>TL chất ô nhiễm TP được Xử lý đạt QCVN 14:2008/BTNMT loại</w:t>
            </w:r>
          </w:p>
        </w:tc>
      </w:tr>
      <w:tr w:rsidR="00A13528" w:rsidRPr="008E63BB" w14:paraId="519B4436" w14:textId="77777777" w:rsidTr="00A13528">
        <w:trPr>
          <w:trHeight w:val="20"/>
        </w:trPr>
        <w:tc>
          <w:tcPr>
            <w:tcW w:w="708" w:type="dxa"/>
            <w:vMerge/>
            <w:tcBorders>
              <w:left w:val="single" w:sz="4" w:space="0" w:color="auto"/>
              <w:bottom w:val="single" w:sz="4" w:space="0" w:color="auto"/>
              <w:right w:val="single" w:sz="4" w:space="0" w:color="auto"/>
            </w:tcBorders>
            <w:vAlign w:val="center"/>
          </w:tcPr>
          <w:p w14:paraId="519B442F" w14:textId="77777777" w:rsidR="00A13528" w:rsidRPr="008E63BB" w:rsidRDefault="00A13528" w:rsidP="00A13528">
            <w:pPr>
              <w:spacing w:before="20" w:after="20"/>
              <w:jc w:val="center"/>
              <w:rPr>
                <w:rFonts w:eastAsia="Times New Roman"/>
                <w:b/>
                <w:bCs/>
                <w:sz w:val="24"/>
                <w:szCs w:val="24"/>
              </w:rPr>
            </w:pPr>
          </w:p>
        </w:tc>
        <w:tc>
          <w:tcPr>
            <w:tcW w:w="19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9B4430" w14:textId="77777777" w:rsidR="00A13528" w:rsidRPr="008E63BB" w:rsidRDefault="00A13528" w:rsidP="00A13528">
            <w:pPr>
              <w:spacing w:before="20" w:after="20"/>
              <w:jc w:val="center"/>
              <w:rPr>
                <w:rFonts w:eastAsia="Times New Roman"/>
                <w:b/>
                <w:bCs/>
                <w:sz w:val="24"/>
                <w:szCs w:val="24"/>
              </w:rPr>
            </w:pPr>
          </w:p>
        </w:tc>
        <w:tc>
          <w:tcPr>
            <w:tcW w:w="1440" w:type="dxa"/>
            <w:tcBorders>
              <w:top w:val="nil"/>
              <w:left w:val="nil"/>
              <w:bottom w:val="single" w:sz="4" w:space="0" w:color="auto"/>
              <w:right w:val="single" w:sz="4" w:space="0" w:color="auto"/>
            </w:tcBorders>
            <w:shd w:val="clear" w:color="auto" w:fill="auto"/>
            <w:vAlign w:val="center"/>
            <w:hideMark/>
          </w:tcPr>
          <w:p w14:paraId="519B4431" w14:textId="77777777" w:rsidR="00A13528" w:rsidRPr="008E63BB" w:rsidRDefault="00A13528" w:rsidP="00A13528">
            <w:pPr>
              <w:spacing w:before="20" w:after="20"/>
              <w:jc w:val="center"/>
              <w:rPr>
                <w:rFonts w:eastAsia="Times New Roman"/>
                <w:sz w:val="24"/>
                <w:szCs w:val="24"/>
              </w:rPr>
            </w:pPr>
            <w:r w:rsidRPr="008E63BB">
              <w:rPr>
                <w:rFonts w:eastAsia="Times New Roman"/>
                <w:sz w:val="24"/>
                <w:szCs w:val="24"/>
              </w:rPr>
              <w:t>Nội thị</w:t>
            </w:r>
          </w:p>
        </w:tc>
        <w:tc>
          <w:tcPr>
            <w:tcW w:w="1339" w:type="dxa"/>
            <w:tcBorders>
              <w:top w:val="nil"/>
              <w:left w:val="nil"/>
              <w:bottom w:val="single" w:sz="4" w:space="0" w:color="auto"/>
              <w:right w:val="single" w:sz="4" w:space="0" w:color="auto"/>
            </w:tcBorders>
            <w:shd w:val="clear" w:color="auto" w:fill="auto"/>
            <w:vAlign w:val="center"/>
            <w:hideMark/>
          </w:tcPr>
          <w:p w14:paraId="519B4432" w14:textId="77777777" w:rsidR="00A13528" w:rsidRPr="008E63BB" w:rsidRDefault="00A13528" w:rsidP="00A13528">
            <w:pPr>
              <w:spacing w:before="20" w:after="20"/>
              <w:jc w:val="center"/>
              <w:rPr>
                <w:rFonts w:eastAsia="Times New Roman"/>
                <w:sz w:val="24"/>
                <w:szCs w:val="24"/>
              </w:rPr>
            </w:pPr>
            <w:r w:rsidRPr="008E63BB">
              <w:rPr>
                <w:rFonts w:eastAsia="Times New Roman"/>
                <w:sz w:val="24"/>
                <w:szCs w:val="24"/>
              </w:rPr>
              <w:t>Ngoại thị</w:t>
            </w:r>
          </w:p>
        </w:tc>
        <w:tc>
          <w:tcPr>
            <w:tcW w:w="1260" w:type="dxa"/>
            <w:tcBorders>
              <w:top w:val="nil"/>
              <w:left w:val="nil"/>
              <w:bottom w:val="single" w:sz="4" w:space="0" w:color="auto"/>
              <w:right w:val="single" w:sz="4" w:space="0" w:color="auto"/>
            </w:tcBorders>
            <w:shd w:val="clear" w:color="auto" w:fill="auto"/>
            <w:vAlign w:val="center"/>
            <w:hideMark/>
          </w:tcPr>
          <w:p w14:paraId="519B4433" w14:textId="77777777" w:rsidR="00A13528" w:rsidRPr="008E63BB" w:rsidRDefault="00A13528" w:rsidP="00A13528">
            <w:pPr>
              <w:spacing w:before="20" w:after="20"/>
              <w:jc w:val="center"/>
              <w:rPr>
                <w:rFonts w:eastAsia="Times New Roman"/>
                <w:b/>
                <w:bCs/>
                <w:sz w:val="24"/>
                <w:szCs w:val="24"/>
              </w:rPr>
            </w:pPr>
            <w:r w:rsidRPr="008E63BB">
              <w:rPr>
                <w:rFonts w:eastAsia="Times New Roman"/>
                <w:b/>
                <w:bCs/>
                <w:sz w:val="24"/>
                <w:szCs w:val="24"/>
              </w:rPr>
              <w:t>Toàn TP</w:t>
            </w:r>
          </w:p>
        </w:tc>
        <w:tc>
          <w:tcPr>
            <w:tcW w:w="1170" w:type="dxa"/>
            <w:tcBorders>
              <w:top w:val="nil"/>
              <w:left w:val="nil"/>
              <w:bottom w:val="single" w:sz="4" w:space="0" w:color="auto"/>
              <w:right w:val="single" w:sz="4" w:space="0" w:color="auto"/>
            </w:tcBorders>
            <w:shd w:val="clear" w:color="auto" w:fill="auto"/>
            <w:vAlign w:val="center"/>
            <w:hideMark/>
          </w:tcPr>
          <w:p w14:paraId="519B4434" w14:textId="77777777" w:rsidR="00A13528" w:rsidRPr="008E63BB" w:rsidRDefault="00A13528" w:rsidP="00A13528">
            <w:pPr>
              <w:spacing w:before="20" w:after="20"/>
              <w:ind w:left="-119" w:right="-108"/>
              <w:jc w:val="center"/>
              <w:rPr>
                <w:rFonts w:eastAsia="Times New Roman"/>
                <w:sz w:val="24"/>
                <w:szCs w:val="24"/>
              </w:rPr>
            </w:pPr>
            <w:r w:rsidRPr="008E63BB">
              <w:rPr>
                <w:rFonts w:eastAsia="Times New Roman"/>
                <w:sz w:val="24"/>
                <w:szCs w:val="24"/>
              </w:rPr>
              <w:t>A</w:t>
            </w:r>
          </w:p>
        </w:tc>
        <w:tc>
          <w:tcPr>
            <w:tcW w:w="1271" w:type="dxa"/>
            <w:tcBorders>
              <w:top w:val="nil"/>
              <w:left w:val="nil"/>
              <w:bottom w:val="single" w:sz="4" w:space="0" w:color="auto"/>
              <w:right w:val="single" w:sz="4" w:space="0" w:color="auto"/>
            </w:tcBorders>
            <w:shd w:val="clear" w:color="auto" w:fill="auto"/>
            <w:vAlign w:val="center"/>
            <w:hideMark/>
          </w:tcPr>
          <w:p w14:paraId="519B4435" w14:textId="77777777" w:rsidR="00A13528" w:rsidRPr="008E63BB" w:rsidRDefault="00A13528" w:rsidP="00A13528">
            <w:pPr>
              <w:spacing w:before="20" w:after="20"/>
              <w:ind w:left="-119" w:right="-108"/>
              <w:jc w:val="center"/>
              <w:rPr>
                <w:rFonts w:eastAsia="Times New Roman"/>
                <w:sz w:val="24"/>
                <w:szCs w:val="24"/>
              </w:rPr>
            </w:pPr>
            <w:r w:rsidRPr="008E63BB">
              <w:rPr>
                <w:rFonts w:eastAsia="Times New Roman"/>
                <w:sz w:val="24"/>
                <w:szCs w:val="24"/>
              </w:rPr>
              <w:t>B</w:t>
            </w:r>
          </w:p>
        </w:tc>
      </w:tr>
      <w:tr w:rsidR="00B566D5" w:rsidRPr="008E63BB" w14:paraId="519B443E" w14:textId="77777777" w:rsidTr="00D4372E">
        <w:trPr>
          <w:trHeight w:val="20"/>
        </w:trPr>
        <w:tc>
          <w:tcPr>
            <w:tcW w:w="708" w:type="dxa"/>
            <w:tcBorders>
              <w:top w:val="nil"/>
              <w:left w:val="single" w:sz="4" w:space="0" w:color="auto"/>
              <w:bottom w:val="single" w:sz="4" w:space="0" w:color="auto"/>
              <w:right w:val="single" w:sz="4" w:space="0" w:color="auto"/>
            </w:tcBorders>
          </w:tcPr>
          <w:p w14:paraId="519B4437" w14:textId="77777777" w:rsidR="00B566D5" w:rsidRPr="008E63BB" w:rsidRDefault="00B566D5" w:rsidP="00B566D5">
            <w:pPr>
              <w:spacing w:before="20" w:after="20"/>
              <w:jc w:val="center"/>
              <w:rPr>
                <w:rFonts w:eastAsia="Times New Roman"/>
                <w:sz w:val="24"/>
                <w:szCs w:val="24"/>
              </w:rPr>
            </w:pPr>
            <w:r w:rsidRPr="008E63BB">
              <w:rPr>
                <w:rFonts w:eastAsia="Times New Roman"/>
                <w:sz w:val="24"/>
                <w:szCs w:val="24"/>
              </w:rPr>
              <w:t>1</w:t>
            </w:r>
          </w:p>
        </w:tc>
        <w:tc>
          <w:tcPr>
            <w:tcW w:w="1964" w:type="dxa"/>
            <w:tcBorders>
              <w:top w:val="nil"/>
              <w:left w:val="single" w:sz="4" w:space="0" w:color="auto"/>
              <w:bottom w:val="single" w:sz="4" w:space="0" w:color="auto"/>
              <w:right w:val="single" w:sz="4" w:space="0" w:color="auto"/>
            </w:tcBorders>
            <w:shd w:val="clear" w:color="auto" w:fill="auto"/>
            <w:vAlign w:val="center"/>
            <w:hideMark/>
          </w:tcPr>
          <w:p w14:paraId="519B4438" w14:textId="77777777" w:rsidR="00B566D5" w:rsidRPr="008E63BB" w:rsidRDefault="00B566D5" w:rsidP="00B566D5">
            <w:pPr>
              <w:spacing w:before="20" w:after="20"/>
              <w:rPr>
                <w:rFonts w:eastAsia="Times New Roman"/>
                <w:sz w:val="24"/>
                <w:szCs w:val="24"/>
              </w:rPr>
            </w:pPr>
            <w:r w:rsidRPr="008E63BB">
              <w:rPr>
                <w:rFonts w:eastAsia="Times New Roman"/>
                <w:sz w:val="24"/>
                <w:szCs w:val="24"/>
              </w:rPr>
              <w:t>TSS</w:t>
            </w:r>
          </w:p>
        </w:tc>
        <w:tc>
          <w:tcPr>
            <w:tcW w:w="1440" w:type="dxa"/>
            <w:tcBorders>
              <w:top w:val="nil"/>
              <w:left w:val="nil"/>
              <w:bottom w:val="single" w:sz="4" w:space="0" w:color="auto"/>
              <w:right w:val="single" w:sz="4" w:space="0" w:color="auto"/>
            </w:tcBorders>
            <w:shd w:val="clear" w:color="auto" w:fill="auto"/>
            <w:vAlign w:val="center"/>
            <w:hideMark/>
          </w:tcPr>
          <w:p w14:paraId="519B4439" w14:textId="77777777" w:rsidR="00B566D5" w:rsidRPr="008E63BB" w:rsidRDefault="00B566D5" w:rsidP="00B566D5">
            <w:pPr>
              <w:spacing w:before="20" w:after="20"/>
              <w:jc w:val="center"/>
              <w:rPr>
                <w:rFonts w:eastAsia="Times New Roman"/>
                <w:sz w:val="24"/>
                <w:szCs w:val="24"/>
              </w:rPr>
            </w:pPr>
            <w:r w:rsidRPr="008E63BB">
              <w:rPr>
                <w:sz w:val="24"/>
                <w:szCs w:val="24"/>
              </w:rPr>
              <w:t>81.365</w:t>
            </w:r>
          </w:p>
        </w:tc>
        <w:tc>
          <w:tcPr>
            <w:tcW w:w="1339" w:type="dxa"/>
            <w:tcBorders>
              <w:top w:val="nil"/>
              <w:left w:val="nil"/>
              <w:bottom w:val="single" w:sz="4" w:space="0" w:color="auto"/>
              <w:right w:val="single" w:sz="4" w:space="0" w:color="auto"/>
            </w:tcBorders>
            <w:shd w:val="clear" w:color="auto" w:fill="auto"/>
            <w:vAlign w:val="center"/>
            <w:hideMark/>
          </w:tcPr>
          <w:p w14:paraId="519B443A" w14:textId="77777777" w:rsidR="00B566D5" w:rsidRPr="008E63BB" w:rsidRDefault="00B566D5" w:rsidP="00B566D5">
            <w:pPr>
              <w:spacing w:before="20" w:after="20"/>
              <w:jc w:val="center"/>
              <w:rPr>
                <w:rFonts w:eastAsia="Times New Roman"/>
                <w:sz w:val="24"/>
                <w:szCs w:val="24"/>
              </w:rPr>
            </w:pPr>
            <w:r w:rsidRPr="008E63BB">
              <w:rPr>
                <w:sz w:val="24"/>
                <w:szCs w:val="24"/>
              </w:rPr>
              <w:t>13.041</w:t>
            </w:r>
          </w:p>
        </w:tc>
        <w:tc>
          <w:tcPr>
            <w:tcW w:w="1260" w:type="dxa"/>
            <w:tcBorders>
              <w:top w:val="nil"/>
              <w:left w:val="nil"/>
              <w:bottom w:val="single" w:sz="4" w:space="0" w:color="auto"/>
              <w:right w:val="single" w:sz="4" w:space="0" w:color="auto"/>
            </w:tcBorders>
            <w:shd w:val="clear" w:color="auto" w:fill="auto"/>
            <w:vAlign w:val="center"/>
            <w:hideMark/>
          </w:tcPr>
          <w:p w14:paraId="519B443B" w14:textId="77777777" w:rsidR="00B566D5" w:rsidRPr="008E63BB" w:rsidRDefault="00B566D5" w:rsidP="00B566D5">
            <w:pPr>
              <w:spacing w:before="20" w:after="20"/>
              <w:jc w:val="center"/>
              <w:rPr>
                <w:rFonts w:eastAsia="Times New Roman"/>
                <w:b/>
                <w:bCs/>
                <w:sz w:val="24"/>
                <w:szCs w:val="24"/>
              </w:rPr>
            </w:pPr>
            <w:r w:rsidRPr="008E63BB">
              <w:rPr>
                <w:b/>
                <w:bCs/>
                <w:sz w:val="24"/>
                <w:szCs w:val="24"/>
              </w:rPr>
              <w:t>94.406</w:t>
            </w:r>
          </w:p>
        </w:tc>
        <w:tc>
          <w:tcPr>
            <w:tcW w:w="1170" w:type="dxa"/>
            <w:tcBorders>
              <w:top w:val="nil"/>
              <w:left w:val="nil"/>
              <w:bottom w:val="single" w:sz="4" w:space="0" w:color="auto"/>
              <w:right w:val="single" w:sz="4" w:space="0" w:color="auto"/>
            </w:tcBorders>
            <w:shd w:val="clear" w:color="auto" w:fill="auto"/>
            <w:vAlign w:val="center"/>
            <w:hideMark/>
          </w:tcPr>
          <w:p w14:paraId="519B443C" w14:textId="77777777" w:rsidR="00B566D5" w:rsidRPr="008E63BB" w:rsidRDefault="00B566D5" w:rsidP="00B566D5">
            <w:pPr>
              <w:spacing w:before="20" w:after="20"/>
              <w:jc w:val="center"/>
              <w:rPr>
                <w:rFonts w:eastAsia="Times New Roman"/>
                <w:sz w:val="24"/>
                <w:szCs w:val="24"/>
              </w:rPr>
            </w:pPr>
            <w:r w:rsidRPr="008E63BB">
              <w:rPr>
                <w:sz w:val="24"/>
                <w:szCs w:val="24"/>
              </w:rPr>
              <w:t>10.007</w:t>
            </w:r>
          </w:p>
        </w:tc>
        <w:tc>
          <w:tcPr>
            <w:tcW w:w="1271" w:type="dxa"/>
            <w:tcBorders>
              <w:top w:val="nil"/>
              <w:left w:val="nil"/>
              <w:bottom w:val="single" w:sz="4" w:space="0" w:color="auto"/>
              <w:right w:val="single" w:sz="4" w:space="0" w:color="auto"/>
            </w:tcBorders>
            <w:shd w:val="clear" w:color="auto" w:fill="auto"/>
            <w:vAlign w:val="center"/>
            <w:hideMark/>
          </w:tcPr>
          <w:p w14:paraId="519B443D" w14:textId="77777777" w:rsidR="00B566D5" w:rsidRPr="008E63BB" w:rsidRDefault="00B566D5" w:rsidP="00B566D5">
            <w:pPr>
              <w:spacing w:before="20" w:after="20"/>
              <w:jc w:val="center"/>
              <w:rPr>
                <w:rFonts w:eastAsia="Times New Roman"/>
                <w:sz w:val="24"/>
                <w:szCs w:val="24"/>
              </w:rPr>
            </w:pPr>
            <w:r w:rsidRPr="008E63BB">
              <w:rPr>
                <w:sz w:val="24"/>
                <w:szCs w:val="24"/>
              </w:rPr>
              <w:t>20.013</w:t>
            </w:r>
          </w:p>
        </w:tc>
      </w:tr>
      <w:tr w:rsidR="00B566D5" w:rsidRPr="008E63BB" w14:paraId="519B4446" w14:textId="77777777" w:rsidTr="00D4372E">
        <w:trPr>
          <w:trHeight w:val="20"/>
        </w:trPr>
        <w:tc>
          <w:tcPr>
            <w:tcW w:w="708" w:type="dxa"/>
            <w:tcBorders>
              <w:top w:val="nil"/>
              <w:left w:val="single" w:sz="4" w:space="0" w:color="auto"/>
              <w:bottom w:val="single" w:sz="4" w:space="0" w:color="auto"/>
              <w:right w:val="single" w:sz="4" w:space="0" w:color="auto"/>
            </w:tcBorders>
          </w:tcPr>
          <w:p w14:paraId="519B443F" w14:textId="77777777" w:rsidR="00B566D5" w:rsidRPr="008E63BB" w:rsidRDefault="00B566D5" w:rsidP="00B566D5">
            <w:pPr>
              <w:spacing w:before="20" w:after="20"/>
              <w:jc w:val="center"/>
              <w:rPr>
                <w:rFonts w:eastAsia="Times New Roman"/>
                <w:sz w:val="24"/>
                <w:szCs w:val="24"/>
              </w:rPr>
            </w:pPr>
            <w:r w:rsidRPr="008E63BB">
              <w:rPr>
                <w:rFonts w:eastAsia="Times New Roman"/>
                <w:sz w:val="24"/>
                <w:szCs w:val="24"/>
              </w:rPr>
              <w:t>2</w:t>
            </w:r>
          </w:p>
        </w:tc>
        <w:tc>
          <w:tcPr>
            <w:tcW w:w="1964" w:type="dxa"/>
            <w:tcBorders>
              <w:top w:val="nil"/>
              <w:left w:val="single" w:sz="4" w:space="0" w:color="auto"/>
              <w:bottom w:val="single" w:sz="4" w:space="0" w:color="auto"/>
              <w:right w:val="single" w:sz="4" w:space="0" w:color="auto"/>
            </w:tcBorders>
            <w:shd w:val="clear" w:color="auto" w:fill="auto"/>
            <w:vAlign w:val="center"/>
            <w:hideMark/>
          </w:tcPr>
          <w:p w14:paraId="519B4440" w14:textId="77777777" w:rsidR="00B566D5" w:rsidRPr="008E63BB" w:rsidRDefault="00B566D5" w:rsidP="00B566D5">
            <w:pPr>
              <w:spacing w:before="20" w:after="20"/>
              <w:rPr>
                <w:rFonts w:eastAsia="Times New Roman"/>
                <w:sz w:val="24"/>
                <w:szCs w:val="24"/>
              </w:rPr>
            </w:pPr>
            <w:r w:rsidRPr="008E63BB">
              <w:rPr>
                <w:rFonts w:eastAsia="Times New Roman"/>
                <w:sz w:val="24"/>
                <w:szCs w:val="24"/>
              </w:rPr>
              <w:t>BOD</w:t>
            </w:r>
            <w:r w:rsidRPr="008E63BB">
              <w:rPr>
                <w:rFonts w:eastAsia="Times New Roman"/>
                <w:sz w:val="24"/>
                <w:szCs w:val="24"/>
                <w:vertAlign w:val="subscript"/>
              </w:rPr>
              <w:t>5</w:t>
            </w:r>
            <w:r w:rsidRPr="008E63BB">
              <w:rPr>
                <w:rFonts w:eastAsia="Times New Roman"/>
                <w:sz w:val="24"/>
                <w:szCs w:val="24"/>
              </w:rPr>
              <w:t xml:space="preserve"> (đã lắng)</w:t>
            </w:r>
          </w:p>
        </w:tc>
        <w:tc>
          <w:tcPr>
            <w:tcW w:w="1440" w:type="dxa"/>
            <w:tcBorders>
              <w:top w:val="nil"/>
              <w:left w:val="nil"/>
              <w:bottom w:val="single" w:sz="4" w:space="0" w:color="auto"/>
              <w:right w:val="single" w:sz="4" w:space="0" w:color="auto"/>
            </w:tcBorders>
            <w:shd w:val="clear" w:color="auto" w:fill="auto"/>
            <w:vAlign w:val="center"/>
            <w:hideMark/>
          </w:tcPr>
          <w:p w14:paraId="519B4441" w14:textId="77777777" w:rsidR="00B566D5" w:rsidRPr="008E63BB" w:rsidRDefault="00B566D5" w:rsidP="00B566D5">
            <w:pPr>
              <w:spacing w:before="20" w:after="20"/>
              <w:jc w:val="center"/>
              <w:rPr>
                <w:rFonts w:eastAsia="Times New Roman"/>
                <w:sz w:val="24"/>
                <w:szCs w:val="24"/>
              </w:rPr>
            </w:pPr>
            <w:r w:rsidRPr="008E63BB">
              <w:rPr>
                <w:sz w:val="24"/>
                <w:szCs w:val="24"/>
              </w:rPr>
              <w:t>45.203</w:t>
            </w:r>
          </w:p>
        </w:tc>
        <w:tc>
          <w:tcPr>
            <w:tcW w:w="1339" w:type="dxa"/>
            <w:tcBorders>
              <w:top w:val="nil"/>
              <w:left w:val="nil"/>
              <w:bottom w:val="single" w:sz="4" w:space="0" w:color="auto"/>
              <w:right w:val="single" w:sz="4" w:space="0" w:color="auto"/>
            </w:tcBorders>
            <w:shd w:val="clear" w:color="auto" w:fill="auto"/>
            <w:vAlign w:val="center"/>
            <w:hideMark/>
          </w:tcPr>
          <w:p w14:paraId="519B4442" w14:textId="77777777" w:rsidR="00B566D5" w:rsidRPr="008E63BB" w:rsidRDefault="00B566D5" w:rsidP="00B566D5">
            <w:pPr>
              <w:spacing w:before="20" w:after="20"/>
              <w:jc w:val="center"/>
              <w:rPr>
                <w:rFonts w:eastAsia="Times New Roman"/>
                <w:sz w:val="24"/>
                <w:szCs w:val="24"/>
              </w:rPr>
            </w:pPr>
            <w:r w:rsidRPr="008E63BB">
              <w:rPr>
                <w:sz w:val="24"/>
                <w:szCs w:val="24"/>
              </w:rPr>
              <w:t>4.830</w:t>
            </w:r>
          </w:p>
        </w:tc>
        <w:tc>
          <w:tcPr>
            <w:tcW w:w="1260" w:type="dxa"/>
            <w:tcBorders>
              <w:top w:val="nil"/>
              <w:left w:val="nil"/>
              <w:bottom w:val="single" w:sz="4" w:space="0" w:color="auto"/>
              <w:right w:val="single" w:sz="4" w:space="0" w:color="auto"/>
            </w:tcBorders>
            <w:shd w:val="clear" w:color="auto" w:fill="auto"/>
            <w:vAlign w:val="center"/>
            <w:hideMark/>
          </w:tcPr>
          <w:p w14:paraId="519B4443" w14:textId="77777777" w:rsidR="00B566D5" w:rsidRPr="008E63BB" w:rsidRDefault="00B566D5" w:rsidP="00B566D5">
            <w:pPr>
              <w:spacing w:before="20" w:after="20"/>
              <w:jc w:val="center"/>
              <w:rPr>
                <w:rFonts w:eastAsia="Times New Roman"/>
                <w:b/>
                <w:bCs/>
                <w:sz w:val="24"/>
                <w:szCs w:val="24"/>
              </w:rPr>
            </w:pPr>
            <w:r w:rsidRPr="008E63BB">
              <w:rPr>
                <w:b/>
                <w:bCs/>
                <w:sz w:val="24"/>
                <w:szCs w:val="24"/>
              </w:rPr>
              <w:t>50.033</w:t>
            </w:r>
          </w:p>
        </w:tc>
        <w:tc>
          <w:tcPr>
            <w:tcW w:w="1170" w:type="dxa"/>
            <w:tcBorders>
              <w:top w:val="nil"/>
              <w:left w:val="nil"/>
              <w:bottom w:val="single" w:sz="4" w:space="0" w:color="auto"/>
              <w:right w:val="single" w:sz="4" w:space="0" w:color="auto"/>
            </w:tcBorders>
            <w:shd w:val="clear" w:color="auto" w:fill="auto"/>
            <w:vAlign w:val="center"/>
            <w:hideMark/>
          </w:tcPr>
          <w:p w14:paraId="519B4444" w14:textId="77777777" w:rsidR="00B566D5" w:rsidRPr="008E63BB" w:rsidRDefault="00B566D5" w:rsidP="00B566D5">
            <w:pPr>
              <w:spacing w:before="20" w:after="20"/>
              <w:jc w:val="center"/>
              <w:rPr>
                <w:rFonts w:eastAsia="Times New Roman"/>
                <w:sz w:val="24"/>
                <w:szCs w:val="24"/>
              </w:rPr>
            </w:pPr>
            <w:r w:rsidRPr="008E63BB">
              <w:rPr>
                <w:sz w:val="24"/>
                <w:szCs w:val="24"/>
              </w:rPr>
              <w:t>6.004</w:t>
            </w:r>
          </w:p>
        </w:tc>
        <w:tc>
          <w:tcPr>
            <w:tcW w:w="1271" w:type="dxa"/>
            <w:tcBorders>
              <w:top w:val="nil"/>
              <w:left w:val="nil"/>
              <w:bottom w:val="single" w:sz="4" w:space="0" w:color="auto"/>
              <w:right w:val="single" w:sz="4" w:space="0" w:color="auto"/>
            </w:tcBorders>
            <w:shd w:val="clear" w:color="auto" w:fill="auto"/>
            <w:vAlign w:val="center"/>
            <w:hideMark/>
          </w:tcPr>
          <w:p w14:paraId="519B4445" w14:textId="77777777" w:rsidR="00B566D5" w:rsidRPr="008E63BB" w:rsidRDefault="00B566D5" w:rsidP="00B566D5">
            <w:pPr>
              <w:spacing w:before="20" w:after="20"/>
              <w:jc w:val="center"/>
              <w:rPr>
                <w:rFonts w:eastAsia="Times New Roman"/>
                <w:sz w:val="24"/>
                <w:szCs w:val="24"/>
              </w:rPr>
            </w:pPr>
            <w:r w:rsidRPr="008E63BB">
              <w:rPr>
                <w:sz w:val="24"/>
                <w:szCs w:val="24"/>
              </w:rPr>
              <w:t>10.007</w:t>
            </w:r>
          </w:p>
        </w:tc>
      </w:tr>
      <w:tr w:rsidR="00B566D5" w:rsidRPr="008E63BB" w14:paraId="519B444E" w14:textId="77777777" w:rsidTr="00D4372E">
        <w:trPr>
          <w:trHeight w:val="20"/>
        </w:trPr>
        <w:tc>
          <w:tcPr>
            <w:tcW w:w="708" w:type="dxa"/>
            <w:tcBorders>
              <w:top w:val="nil"/>
              <w:left w:val="single" w:sz="4" w:space="0" w:color="auto"/>
              <w:bottom w:val="single" w:sz="4" w:space="0" w:color="auto"/>
              <w:right w:val="single" w:sz="4" w:space="0" w:color="auto"/>
            </w:tcBorders>
          </w:tcPr>
          <w:p w14:paraId="519B4447" w14:textId="77777777" w:rsidR="00B566D5" w:rsidRPr="008E63BB" w:rsidRDefault="00B566D5" w:rsidP="00B566D5">
            <w:pPr>
              <w:spacing w:before="20" w:after="20"/>
              <w:jc w:val="center"/>
              <w:rPr>
                <w:rFonts w:eastAsia="Times New Roman"/>
                <w:sz w:val="24"/>
                <w:szCs w:val="24"/>
              </w:rPr>
            </w:pPr>
            <w:r w:rsidRPr="008E63BB">
              <w:rPr>
                <w:rFonts w:eastAsia="Times New Roman"/>
                <w:sz w:val="24"/>
                <w:szCs w:val="24"/>
              </w:rPr>
              <w:t>3</w:t>
            </w:r>
          </w:p>
        </w:tc>
        <w:tc>
          <w:tcPr>
            <w:tcW w:w="1964" w:type="dxa"/>
            <w:tcBorders>
              <w:top w:val="nil"/>
              <w:left w:val="single" w:sz="4" w:space="0" w:color="auto"/>
              <w:bottom w:val="single" w:sz="4" w:space="0" w:color="auto"/>
              <w:right w:val="single" w:sz="4" w:space="0" w:color="auto"/>
            </w:tcBorders>
            <w:shd w:val="clear" w:color="auto" w:fill="auto"/>
            <w:vAlign w:val="center"/>
            <w:hideMark/>
          </w:tcPr>
          <w:p w14:paraId="519B4448" w14:textId="77777777" w:rsidR="00B566D5" w:rsidRPr="008E63BB" w:rsidRDefault="00B566D5" w:rsidP="00B566D5">
            <w:pPr>
              <w:spacing w:before="20" w:after="20"/>
              <w:rPr>
                <w:rFonts w:eastAsia="Times New Roman"/>
                <w:sz w:val="24"/>
                <w:szCs w:val="24"/>
              </w:rPr>
            </w:pPr>
            <w:r w:rsidRPr="008E63BB">
              <w:rPr>
                <w:rFonts w:eastAsia="Times New Roman"/>
                <w:sz w:val="24"/>
                <w:szCs w:val="24"/>
              </w:rPr>
              <w:t>N- NH</w:t>
            </w:r>
            <w:r w:rsidRPr="008E63BB">
              <w:rPr>
                <w:rFonts w:eastAsia="Times New Roman"/>
                <w:sz w:val="24"/>
                <w:szCs w:val="24"/>
                <w:vertAlign w:val="subscript"/>
              </w:rPr>
              <w:t>4</w:t>
            </w:r>
            <w:r w:rsidRPr="008E63BB">
              <w:rPr>
                <w:rFonts w:eastAsia="Times New Roman"/>
                <w:sz w:val="24"/>
                <w:szCs w:val="24"/>
                <w:vertAlign w:val="superscript"/>
              </w:rPr>
              <w:t>+</w:t>
            </w:r>
          </w:p>
        </w:tc>
        <w:tc>
          <w:tcPr>
            <w:tcW w:w="1440" w:type="dxa"/>
            <w:tcBorders>
              <w:top w:val="nil"/>
              <w:left w:val="nil"/>
              <w:bottom w:val="single" w:sz="4" w:space="0" w:color="auto"/>
              <w:right w:val="single" w:sz="4" w:space="0" w:color="auto"/>
            </w:tcBorders>
            <w:shd w:val="clear" w:color="auto" w:fill="auto"/>
            <w:vAlign w:val="center"/>
            <w:hideMark/>
          </w:tcPr>
          <w:p w14:paraId="519B4449" w14:textId="77777777" w:rsidR="00B566D5" w:rsidRPr="008E63BB" w:rsidRDefault="00B566D5" w:rsidP="00B566D5">
            <w:pPr>
              <w:spacing w:before="20" w:after="20"/>
              <w:jc w:val="center"/>
              <w:rPr>
                <w:rFonts w:eastAsia="Times New Roman"/>
                <w:sz w:val="24"/>
                <w:szCs w:val="24"/>
              </w:rPr>
            </w:pPr>
            <w:r w:rsidRPr="008E63BB">
              <w:rPr>
                <w:sz w:val="24"/>
                <w:szCs w:val="24"/>
              </w:rPr>
              <w:t>9.041</w:t>
            </w:r>
          </w:p>
        </w:tc>
        <w:tc>
          <w:tcPr>
            <w:tcW w:w="1339" w:type="dxa"/>
            <w:tcBorders>
              <w:top w:val="nil"/>
              <w:left w:val="nil"/>
              <w:bottom w:val="single" w:sz="4" w:space="0" w:color="auto"/>
              <w:right w:val="single" w:sz="4" w:space="0" w:color="auto"/>
            </w:tcBorders>
            <w:shd w:val="clear" w:color="auto" w:fill="auto"/>
            <w:vAlign w:val="center"/>
            <w:hideMark/>
          </w:tcPr>
          <w:p w14:paraId="519B444A" w14:textId="77777777" w:rsidR="00B566D5" w:rsidRPr="008E63BB" w:rsidRDefault="00B566D5" w:rsidP="00B566D5">
            <w:pPr>
              <w:spacing w:before="20" w:after="20"/>
              <w:jc w:val="center"/>
              <w:rPr>
                <w:rFonts w:eastAsia="Times New Roman"/>
                <w:sz w:val="24"/>
                <w:szCs w:val="24"/>
              </w:rPr>
            </w:pPr>
            <w:r w:rsidRPr="008E63BB">
              <w:rPr>
                <w:sz w:val="24"/>
                <w:szCs w:val="24"/>
              </w:rPr>
              <w:t>1.449</w:t>
            </w:r>
          </w:p>
        </w:tc>
        <w:tc>
          <w:tcPr>
            <w:tcW w:w="1260" w:type="dxa"/>
            <w:tcBorders>
              <w:top w:val="nil"/>
              <w:left w:val="nil"/>
              <w:bottom w:val="single" w:sz="4" w:space="0" w:color="auto"/>
              <w:right w:val="single" w:sz="4" w:space="0" w:color="auto"/>
            </w:tcBorders>
            <w:shd w:val="clear" w:color="auto" w:fill="auto"/>
            <w:vAlign w:val="center"/>
            <w:hideMark/>
          </w:tcPr>
          <w:p w14:paraId="519B444B" w14:textId="77777777" w:rsidR="00B566D5" w:rsidRPr="008E63BB" w:rsidRDefault="00B566D5" w:rsidP="00B566D5">
            <w:pPr>
              <w:spacing w:before="20" w:after="20"/>
              <w:jc w:val="center"/>
              <w:rPr>
                <w:rFonts w:eastAsia="Times New Roman"/>
                <w:b/>
                <w:bCs/>
                <w:sz w:val="24"/>
                <w:szCs w:val="24"/>
              </w:rPr>
            </w:pPr>
            <w:r w:rsidRPr="008E63BB">
              <w:rPr>
                <w:b/>
                <w:bCs/>
                <w:sz w:val="24"/>
                <w:szCs w:val="24"/>
              </w:rPr>
              <w:t>10.490</w:t>
            </w:r>
          </w:p>
        </w:tc>
        <w:tc>
          <w:tcPr>
            <w:tcW w:w="1170" w:type="dxa"/>
            <w:tcBorders>
              <w:top w:val="nil"/>
              <w:left w:val="nil"/>
              <w:bottom w:val="single" w:sz="4" w:space="0" w:color="auto"/>
              <w:right w:val="single" w:sz="4" w:space="0" w:color="auto"/>
            </w:tcBorders>
            <w:shd w:val="clear" w:color="auto" w:fill="auto"/>
            <w:vAlign w:val="center"/>
            <w:hideMark/>
          </w:tcPr>
          <w:p w14:paraId="519B444C" w14:textId="77777777" w:rsidR="00B566D5" w:rsidRPr="008E63BB" w:rsidRDefault="00B566D5" w:rsidP="00B566D5">
            <w:pPr>
              <w:spacing w:before="20" w:after="20"/>
              <w:jc w:val="center"/>
              <w:rPr>
                <w:rFonts w:eastAsia="Times New Roman"/>
                <w:sz w:val="24"/>
                <w:szCs w:val="24"/>
              </w:rPr>
            </w:pPr>
            <w:r w:rsidRPr="008E63BB">
              <w:rPr>
                <w:sz w:val="24"/>
                <w:szCs w:val="24"/>
              </w:rPr>
              <w:t>1.001</w:t>
            </w:r>
          </w:p>
        </w:tc>
        <w:tc>
          <w:tcPr>
            <w:tcW w:w="1271" w:type="dxa"/>
            <w:tcBorders>
              <w:top w:val="nil"/>
              <w:left w:val="nil"/>
              <w:bottom w:val="single" w:sz="4" w:space="0" w:color="auto"/>
              <w:right w:val="single" w:sz="4" w:space="0" w:color="auto"/>
            </w:tcBorders>
            <w:shd w:val="clear" w:color="auto" w:fill="auto"/>
            <w:vAlign w:val="center"/>
            <w:hideMark/>
          </w:tcPr>
          <w:p w14:paraId="519B444D" w14:textId="77777777" w:rsidR="00B566D5" w:rsidRPr="008E63BB" w:rsidRDefault="00B566D5" w:rsidP="00B566D5">
            <w:pPr>
              <w:spacing w:before="20" w:after="20"/>
              <w:jc w:val="center"/>
              <w:rPr>
                <w:rFonts w:eastAsia="Times New Roman"/>
                <w:sz w:val="24"/>
                <w:szCs w:val="24"/>
              </w:rPr>
            </w:pPr>
            <w:r w:rsidRPr="008E63BB">
              <w:rPr>
                <w:sz w:val="24"/>
                <w:szCs w:val="24"/>
              </w:rPr>
              <w:t>2.001</w:t>
            </w:r>
          </w:p>
        </w:tc>
      </w:tr>
      <w:tr w:rsidR="00B566D5" w:rsidRPr="008E63BB" w14:paraId="519B4456" w14:textId="77777777" w:rsidTr="00D4372E">
        <w:trPr>
          <w:trHeight w:val="20"/>
        </w:trPr>
        <w:tc>
          <w:tcPr>
            <w:tcW w:w="708" w:type="dxa"/>
            <w:tcBorders>
              <w:top w:val="nil"/>
              <w:left w:val="single" w:sz="4" w:space="0" w:color="auto"/>
              <w:bottom w:val="single" w:sz="4" w:space="0" w:color="auto"/>
              <w:right w:val="single" w:sz="4" w:space="0" w:color="auto"/>
            </w:tcBorders>
          </w:tcPr>
          <w:p w14:paraId="519B444F" w14:textId="77777777" w:rsidR="00B566D5" w:rsidRPr="008E63BB" w:rsidRDefault="00B566D5" w:rsidP="00B566D5">
            <w:pPr>
              <w:spacing w:before="20" w:after="20"/>
              <w:jc w:val="center"/>
              <w:rPr>
                <w:rFonts w:eastAsia="Times New Roman"/>
                <w:bCs/>
                <w:sz w:val="24"/>
                <w:szCs w:val="24"/>
              </w:rPr>
            </w:pPr>
            <w:r w:rsidRPr="008E63BB">
              <w:rPr>
                <w:rFonts w:eastAsia="Times New Roman"/>
                <w:bCs/>
                <w:sz w:val="24"/>
                <w:szCs w:val="24"/>
              </w:rPr>
              <w:t>4</w:t>
            </w:r>
          </w:p>
        </w:tc>
        <w:tc>
          <w:tcPr>
            <w:tcW w:w="1964" w:type="dxa"/>
            <w:tcBorders>
              <w:top w:val="nil"/>
              <w:left w:val="single" w:sz="4" w:space="0" w:color="auto"/>
              <w:bottom w:val="single" w:sz="4" w:space="0" w:color="auto"/>
              <w:right w:val="single" w:sz="4" w:space="0" w:color="auto"/>
            </w:tcBorders>
            <w:shd w:val="clear" w:color="auto" w:fill="auto"/>
            <w:vAlign w:val="center"/>
            <w:hideMark/>
          </w:tcPr>
          <w:p w14:paraId="519B4450" w14:textId="77777777" w:rsidR="00B566D5" w:rsidRPr="008E63BB" w:rsidRDefault="00B566D5" w:rsidP="00B566D5">
            <w:pPr>
              <w:spacing w:before="20" w:after="20"/>
              <w:rPr>
                <w:rFonts w:eastAsia="Times New Roman"/>
                <w:bCs/>
                <w:sz w:val="24"/>
                <w:szCs w:val="24"/>
              </w:rPr>
            </w:pPr>
            <w:r w:rsidRPr="008E63BB">
              <w:rPr>
                <w:rFonts w:eastAsia="Times New Roman"/>
                <w:bCs/>
                <w:sz w:val="24"/>
                <w:szCs w:val="24"/>
              </w:rPr>
              <w:t xml:space="preserve">Dầu mỡ </w:t>
            </w:r>
          </w:p>
        </w:tc>
        <w:tc>
          <w:tcPr>
            <w:tcW w:w="1440" w:type="dxa"/>
            <w:tcBorders>
              <w:top w:val="nil"/>
              <w:left w:val="nil"/>
              <w:bottom w:val="single" w:sz="4" w:space="0" w:color="auto"/>
              <w:right w:val="single" w:sz="4" w:space="0" w:color="auto"/>
            </w:tcBorders>
            <w:shd w:val="clear" w:color="auto" w:fill="auto"/>
            <w:vAlign w:val="center"/>
            <w:hideMark/>
          </w:tcPr>
          <w:p w14:paraId="519B4451" w14:textId="77777777" w:rsidR="00B566D5" w:rsidRPr="008E63BB" w:rsidRDefault="00B566D5" w:rsidP="00B566D5">
            <w:pPr>
              <w:spacing w:before="20" w:after="20"/>
              <w:jc w:val="center"/>
              <w:rPr>
                <w:rFonts w:eastAsia="Times New Roman"/>
                <w:sz w:val="24"/>
                <w:szCs w:val="24"/>
              </w:rPr>
            </w:pPr>
            <w:r w:rsidRPr="008E63BB">
              <w:rPr>
                <w:sz w:val="24"/>
                <w:szCs w:val="24"/>
              </w:rPr>
              <w:t>27.122</w:t>
            </w:r>
          </w:p>
        </w:tc>
        <w:tc>
          <w:tcPr>
            <w:tcW w:w="1339" w:type="dxa"/>
            <w:tcBorders>
              <w:top w:val="nil"/>
              <w:left w:val="nil"/>
              <w:bottom w:val="single" w:sz="4" w:space="0" w:color="auto"/>
              <w:right w:val="single" w:sz="4" w:space="0" w:color="auto"/>
            </w:tcBorders>
            <w:shd w:val="clear" w:color="auto" w:fill="auto"/>
            <w:vAlign w:val="center"/>
            <w:hideMark/>
          </w:tcPr>
          <w:p w14:paraId="519B4452" w14:textId="77777777" w:rsidR="00B566D5" w:rsidRPr="008E63BB" w:rsidRDefault="00B566D5" w:rsidP="00B566D5">
            <w:pPr>
              <w:spacing w:before="20" w:after="20"/>
              <w:jc w:val="center"/>
              <w:rPr>
                <w:rFonts w:eastAsia="Times New Roman"/>
                <w:sz w:val="24"/>
                <w:szCs w:val="24"/>
              </w:rPr>
            </w:pPr>
            <w:r w:rsidRPr="008E63BB">
              <w:rPr>
                <w:sz w:val="24"/>
                <w:szCs w:val="24"/>
              </w:rPr>
              <w:t>1.932</w:t>
            </w:r>
          </w:p>
        </w:tc>
        <w:tc>
          <w:tcPr>
            <w:tcW w:w="1260" w:type="dxa"/>
            <w:tcBorders>
              <w:top w:val="nil"/>
              <w:left w:val="nil"/>
              <w:bottom w:val="single" w:sz="4" w:space="0" w:color="auto"/>
              <w:right w:val="single" w:sz="4" w:space="0" w:color="auto"/>
            </w:tcBorders>
            <w:shd w:val="clear" w:color="auto" w:fill="auto"/>
            <w:vAlign w:val="center"/>
            <w:hideMark/>
          </w:tcPr>
          <w:p w14:paraId="519B4453" w14:textId="77777777" w:rsidR="00B566D5" w:rsidRPr="008E63BB" w:rsidRDefault="00B566D5" w:rsidP="00B566D5">
            <w:pPr>
              <w:spacing w:before="20" w:after="20"/>
              <w:jc w:val="center"/>
              <w:rPr>
                <w:rFonts w:eastAsia="Times New Roman"/>
                <w:b/>
                <w:bCs/>
                <w:sz w:val="24"/>
                <w:szCs w:val="24"/>
              </w:rPr>
            </w:pPr>
            <w:r w:rsidRPr="008E63BB">
              <w:rPr>
                <w:b/>
                <w:bCs/>
                <w:sz w:val="24"/>
                <w:szCs w:val="24"/>
              </w:rPr>
              <w:t>29.054</w:t>
            </w:r>
          </w:p>
        </w:tc>
        <w:tc>
          <w:tcPr>
            <w:tcW w:w="1170" w:type="dxa"/>
            <w:tcBorders>
              <w:top w:val="nil"/>
              <w:left w:val="nil"/>
              <w:bottom w:val="single" w:sz="4" w:space="0" w:color="auto"/>
              <w:right w:val="single" w:sz="4" w:space="0" w:color="auto"/>
            </w:tcBorders>
            <w:shd w:val="clear" w:color="auto" w:fill="auto"/>
            <w:vAlign w:val="center"/>
            <w:hideMark/>
          </w:tcPr>
          <w:p w14:paraId="519B4454" w14:textId="77777777" w:rsidR="00B566D5" w:rsidRPr="008E63BB" w:rsidRDefault="00B566D5" w:rsidP="00B566D5">
            <w:pPr>
              <w:spacing w:before="20" w:after="20"/>
              <w:jc w:val="center"/>
              <w:rPr>
                <w:rFonts w:eastAsia="Times New Roman"/>
                <w:sz w:val="24"/>
                <w:szCs w:val="24"/>
              </w:rPr>
            </w:pPr>
            <w:r w:rsidRPr="008E63BB">
              <w:rPr>
                <w:sz w:val="24"/>
                <w:szCs w:val="24"/>
              </w:rPr>
              <w:t>2.001</w:t>
            </w:r>
          </w:p>
        </w:tc>
        <w:tc>
          <w:tcPr>
            <w:tcW w:w="1271" w:type="dxa"/>
            <w:tcBorders>
              <w:top w:val="nil"/>
              <w:left w:val="nil"/>
              <w:bottom w:val="single" w:sz="4" w:space="0" w:color="auto"/>
              <w:right w:val="single" w:sz="4" w:space="0" w:color="auto"/>
            </w:tcBorders>
            <w:shd w:val="clear" w:color="auto" w:fill="auto"/>
            <w:vAlign w:val="center"/>
            <w:hideMark/>
          </w:tcPr>
          <w:p w14:paraId="519B4455" w14:textId="77777777" w:rsidR="00B566D5" w:rsidRPr="008E63BB" w:rsidRDefault="00B566D5" w:rsidP="00B566D5">
            <w:pPr>
              <w:spacing w:before="20" w:after="20"/>
              <w:jc w:val="center"/>
              <w:rPr>
                <w:rFonts w:eastAsia="Times New Roman"/>
                <w:sz w:val="24"/>
                <w:szCs w:val="24"/>
              </w:rPr>
            </w:pPr>
            <w:r w:rsidRPr="008E63BB">
              <w:rPr>
                <w:sz w:val="24"/>
                <w:szCs w:val="24"/>
              </w:rPr>
              <w:t>4.003</w:t>
            </w:r>
          </w:p>
        </w:tc>
      </w:tr>
      <w:tr w:rsidR="00B566D5" w:rsidRPr="008E63BB" w14:paraId="519B445E" w14:textId="77777777" w:rsidTr="00D4372E">
        <w:trPr>
          <w:trHeight w:val="20"/>
        </w:trPr>
        <w:tc>
          <w:tcPr>
            <w:tcW w:w="708" w:type="dxa"/>
            <w:tcBorders>
              <w:top w:val="nil"/>
              <w:left w:val="single" w:sz="4" w:space="0" w:color="auto"/>
              <w:bottom w:val="single" w:sz="4" w:space="0" w:color="auto"/>
              <w:right w:val="single" w:sz="4" w:space="0" w:color="auto"/>
            </w:tcBorders>
          </w:tcPr>
          <w:p w14:paraId="519B4457" w14:textId="77777777" w:rsidR="00B566D5" w:rsidRPr="008E63BB" w:rsidRDefault="00B566D5" w:rsidP="00B566D5">
            <w:pPr>
              <w:spacing w:before="20" w:after="20"/>
              <w:jc w:val="center"/>
              <w:rPr>
                <w:rFonts w:eastAsia="Times New Roman"/>
                <w:bCs/>
                <w:sz w:val="24"/>
                <w:szCs w:val="24"/>
              </w:rPr>
            </w:pPr>
            <w:r w:rsidRPr="008E63BB">
              <w:rPr>
                <w:rFonts w:eastAsia="Times New Roman"/>
                <w:bCs/>
                <w:sz w:val="24"/>
                <w:szCs w:val="24"/>
              </w:rPr>
              <w:t>5</w:t>
            </w:r>
          </w:p>
        </w:tc>
        <w:tc>
          <w:tcPr>
            <w:tcW w:w="1964" w:type="dxa"/>
            <w:tcBorders>
              <w:top w:val="nil"/>
              <w:left w:val="single" w:sz="4" w:space="0" w:color="auto"/>
              <w:bottom w:val="single" w:sz="4" w:space="0" w:color="auto"/>
              <w:right w:val="single" w:sz="4" w:space="0" w:color="auto"/>
            </w:tcBorders>
            <w:shd w:val="clear" w:color="auto" w:fill="auto"/>
            <w:vAlign w:val="center"/>
            <w:hideMark/>
          </w:tcPr>
          <w:p w14:paraId="519B4458" w14:textId="77777777" w:rsidR="00B566D5" w:rsidRPr="008E63BB" w:rsidRDefault="00B566D5" w:rsidP="00B566D5">
            <w:pPr>
              <w:spacing w:before="20" w:after="20"/>
              <w:rPr>
                <w:rFonts w:eastAsia="Times New Roman"/>
                <w:bCs/>
                <w:sz w:val="24"/>
                <w:szCs w:val="24"/>
              </w:rPr>
            </w:pPr>
            <w:r w:rsidRPr="008E63BB">
              <w:rPr>
                <w:rFonts w:eastAsia="Times New Roman"/>
                <w:bCs/>
                <w:sz w:val="24"/>
                <w:szCs w:val="24"/>
              </w:rPr>
              <w:t>chất HĐBM</w:t>
            </w:r>
          </w:p>
        </w:tc>
        <w:tc>
          <w:tcPr>
            <w:tcW w:w="1440" w:type="dxa"/>
            <w:tcBorders>
              <w:top w:val="nil"/>
              <w:left w:val="nil"/>
              <w:bottom w:val="single" w:sz="4" w:space="0" w:color="auto"/>
              <w:right w:val="single" w:sz="4" w:space="0" w:color="auto"/>
            </w:tcBorders>
            <w:shd w:val="clear" w:color="auto" w:fill="auto"/>
            <w:vAlign w:val="center"/>
            <w:hideMark/>
          </w:tcPr>
          <w:p w14:paraId="519B4459" w14:textId="77777777" w:rsidR="00B566D5" w:rsidRPr="008E63BB" w:rsidRDefault="00B566D5" w:rsidP="00B566D5">
            <w:pPr>
              <w:spacing w:before="20" w:after="20"/>
              <w:jc w:val="center"/>
              <w:rPr>
                <w:rFonts w:eastAsia="Times New Roman"/>
                <w:sz w:val="24"/>
                <w:szCs w:val="24"/>
              </w:rPr>
            </w:pPr>
            <w:r w:rsidRPr="008E63BB">
              <w:rPr>
                <w:sz w:val="24"/>
                <w:szCs w:val="24"/>
              </w:rPr>
              <w:t>5.650</w:t>
            </w:r>
          </w:p>
        </w:tc>
        <w:tc>
          <w:tcPr>
            <w:tcW w:w="1339" w:type="dxa"/>
            <w:tcBorders>
              <w:top w:val="nil"/>
              <w:left w:val="nil"/>
              <w:bottom w:val="single" w:sz="4" w:space="0" w:color="auto"/>
              <w:right w:val="single" w:sz="4" w:space="0" w:color="auto"/>
            </w:tcBorders>
            <w:shd w:val="clear" w:color="auto" w:fill="auto"/>
            <w:vAlign w:val="center"/>
            <w:hideMark/>
          </w:tcPr>
          <w:p w14:paraId="519B445A" w14:textId="77777777" w:rsidR="00B566D5" w:rsidRPr="008E63BB" w:rsidRDefault="00B566D5" w:rsidP="00B566D5">
            <w:pPr>
              <w:spacing w:before="20" w:after="20"/>
              <w:jc w:val="center"/>
              <w:rPr>
                <w:rFonts w:eastAsia="Times New Roman"/>
                <w:sz w:val="24"/>
                <w:szCs w:val="24"/>
              </w:rPr>
            </w:pPr>
            <w:r w:rsidRPr="008E63BB">
              <w:rPr>
                <w:sz w:val="24"/>
                <w:szCs w:val="24"/>
              </w:rPr>
              <w:t>483</w:t>
            </w:r>
          </w:p>
        </w:tc>
        <w:tc>
          <w:tcPr>
            <w:tcW w:w="1260" w:type="dxa"/>
            <w:tcBorders>
              <w:top w:val="nil"/>
              <w:left w:val="nil"/>
              <w:bottom w:val="single" w:sz="4" w:space="0" w:color="auto"/>
              <w:right w:val="single" w:sz="4" w:space="0" w:color="auto"/>
            </w:tcBorders>
            <w:shd w:val="clear" w:color="auto" w:fill="auto"/>
            <w:vAlign w:val="center"/>
            <w:hideMark/>
          </w:tcPr>
          <w:p w14:paraId="519B445B" w14:textId="77777777" w:rsidR="00B566D5" w:rsidRPr="008E63BB" w:rsidRDefault="00B566D5" w:rsidP="00B566D5">
            <w:pPr>
              <w:spacing w:before="20" w:after="20"/>
              <w:jc w:val="center"/>
              <w:rPr>
                <w:rFonts w:eastAsia="Times New Roman"/>
                <w:b/>
                <w:bCs/>
                <w:sz w:val="24"/>
                <w:szCs w:val="24"/>
              </w:rPr>
            </w:pPr>
            <w:r w:rsidRPr="008E63BB">
              <w:rPr>
                <w:b/>
                <w:bCs/>
                <w:sz w:val="24"/>
                <w:szCs w:val="24"/>
              </w:rPr>
              <w:t>6.133</w:t>
            </w:r>
          </w:p>
        </w:tc>
        <w:tc>
          <w:tcPr>
            <w:tcW w:w="1170" w:type="dxa"/>
            <w:tcBorders>
              <w:top w:val="nil"/>
              <w:left w:val="nil"/>
              <w:bottom w:val="single" w:sz="4" w:space="0" w:color="auto"/>
              <w:right w:val="single" w:sz="4" w:space="0" w:color="auto"/>
            </w:tcBorders>
            <w:shd w:val="clear" w:color="auto" w:fill="auto"/>
            <w:vAlign w:val="center"/>
            <w:hideMark/>
          </w:tcPr>
          <w:p w14:paraId="519B445C" w14:textId="77777777" w:rsidR="00B566D5" w:rsidRPr="008E63BB" w:rsidRDefault="00B566D5" w:rsidP="00B566D5">
            <w:pPr>
              <w:spacing w:before="20" w:after="20"/>
              <w:jc w:val="center"/>
              <w:rPr>
                <w:rFonts w:eastAsia="Times New Roman"/>
                <w:sz w:val="24"/>
                <w:szCs w:val="24"/>
              </w:rPr>
            </w:pPr>
            <w:r w:rsidRPr="008E63BB">
              <w:rPr>
                <w:sz w:val="24"/>
                <w:szCs w:val="24"/>
              </w:rPr>
              <w:t>1.001</w:t>
            </w:r>
          </w:p>
        </w:tc>
        <w:tc>
          <w:tcPr>
            <w:tcW w:w="1271" w:type="dxa"/>
            <w:tcBorders>
              <w:top w:val="nil"/>
              <w:left w:val="nil"/>
              <w:bottom w:val="single" w:sz="4" w:space="0" w:color="auto"/>
              <w:right w:val="single" w:sz="4" w:space="0" w:color="auto"/>
            </w:tcBorders>
            <w:shd w:val="clear" w:color="auto" w:fill="auto"/>
            <w:vAlign w:val="center"/>
            <w:hideMark/>
          </w:tcPr>
          <w:p w14:paraId="519B445D" w14:textId="77777777" w:rsidR="00B566D5" w:rsidRPr="008E63BB" w:rsidRDefault="00B566D5" w:rsidP="00B566D5">
            <w:pPr>
              <w:spacing w:before="20" w:after="20"/>
              <w:jc w:val="center"/>
              <w:rPr>
                <w:rFonts w:eastAsia="Times New Roman"/>
                <w:sz w:val="24"/>
                <w:szCs w:val="24"/>
              </w:rPr>
            </w:pPr>
            <w:r w:rsidRPr="008E63BB">
              <w:rPr>
                <w:sz w:val="24"/>
                <w:szCs w:val="24"/>
              </w:rPr>
              <w:t>2.001</w:t>
            </w:r>
          </w:p>
        </w:tc>
      </w:tr>
    </w:tbl>
    <w:p w14:paraId="519B445F" w14:textId="77777777" w:rsidR="008C1B81" w:rsidRPr="008E63BB" w:rsidRDefault="008C1B81" w:rsidP="0065184D">
      <w:pPr>
        <w:autoSpaceDE w:val="0"/>
        <w:autoSpaceDN w:val="0"/>
        <w:adjustRightInd w:val="0"/>
        <w:ind w:right="-32"/>
        <w:jc w:val="right"/>
        <w:rPr>
          <w:i/>
          <w:iCs/>
          <w:szCs w:val="26"/>
          <w:lang w:val="pt-BR"/>
        </w:rPr>
      </w:pPr>
    </w:p>
    <w:p w14:paraId="519B4460" w14:textId="77777777" w:rsidR="008C1B81" w:rsidRPr="008E63BB" w:rsidRDefault="008C1B81" w:rsidP="0065184D">
      <w:pPr>
        <w:autoSpaceDE w:val="0"/>
        <w:autoSpaceDN w:val="0"/>
        <w:adjustRightInd w:val="0"/>
        <w:jc w:val="center"/>
        <w:rPr>
          <w:b/>
          <w:bCs/>
          <w:szCs w:val="26"/>
          <w:lang w:val="pt-BR"/>
        </w:rPr>
      </w:pPr>
      <w:r w:rsidRPr="008E63BB">
        <w:rPr>
          <w:b/>
          <w:bCs/>
          <w:szCs w:val="26"/>
          <w:lang w:val="pt-BR"/>
        </w:rPr>
        <w:t>Bả</w:t>
      </w:r>
      <w:r w:rsidR="00D4372E" w:rsidRPr="008E63BB">
        <w:rPr>
          <w:b/>
          <w:bCs/>
          <w:szCs w:val="26"/>
          <w:lang w:val="pt-BR"/>
        </w:rPr>
        <w:t>ng MT06</w:t>
      </w:r>
      <w:r w:rsidRPr="008E63BB">
        <w:rPr>
          <w:b/>
          <w:bCs/>
          <w:szCs w:val="26"/>
          <w:lang w:val="pt-BR"/>
        </w:rPr>
        <w:t xml:space="preserve">: </w:t>
      </w:r>
      <w:r w:rsidRPr="008E63BB">
        <w:rPr>
          <w:b/>
          <w:bCs/>
          <w:szCs w:val="26"/>
          <w:lang w:val="vi-VN"/>
        </w:rPr>
        <w:t xml:space="preserve">Dự báo tải lượng chất ô nhiễm trong nước thải </w:t>
      </w:r>
      <w:r w:rsidRPr="008E63BB">
        <w:rPr>
          <w:b/>
          <w:bCs/>
          <w:szCs w:val="26"/>
          <w:lang w:val="pt-BR"/>
        </w:rPr>
        <w:t>CN</w:t>
      </w:r>
      <w:r w:rsidRPr="008E63BB">
        <w:rPr>
          <w:b/>
          <w:bCs/>
          <w:szCs w:val="26"/>
          <w:lang w:val="vi-VN"/>
        </w:rPr>
        <w:t xml:space="preserve"> đến năm 20</w:t>
      </w:r>
      <w:r w:rsidRPr="008E63BB">
        <w:rPr>
          <w:b/>
          <w:bCs/>
          <w:szCs w:val="26"/>
          <w:lang w:val="pt-BR"/>
        </w:rPr>
        <w:t>40</w:t>
      </w:r>
    </w:p>
    <w:p w14:paraId="519B4461" w14:textId="77777777" w:rsidR="008C1B81" w:rsidRPr="008E63BB" w:rsidRDefault="008C1B81" w:rsidP="0065184D">
      <w:pPr>
        <w:autoSpaceDE w:val="0"/>
        <w:autoSpaceDN w:val="0"/>
        <w:adjustRightInd w:val="0"/>
        <w:ind w:firstLine="720"/>
        <w:jc w:val="right"/>
        <w:rPr>
          <w:i/>
          <w:iCs/>
          <w:szCs w:val="26"/>
          <w:lang w:val="pt-BR"/>
        </w:rPr>
      </w:pPr>
      <w:r w:rsidRPr="008E63BB">
        <w:rPr>
          <w:i/>
          <w:iCs/>
          <w:szCs w:val="26"/>
          <w:lang w:val="pt-BR"/>
        </w:rPr>
        <w:t>Đơn vị: kg/ngày</w:t>
      </w:r>
    </w:p>
    <w:tbl>
      <w:tblPr>
        <w:tblW w:w="9157" w:type="dxa"/>
        <w:tblInd w:w="108" w:type="dxa"/>
        <w:tblLook w:val="00A0" w:firstRow="1" w:lastRow="0" w:firstColumn="1" w:lastColumn="0" w:noHBand="0" w:noVBand="0"/>
      </w:tblPr>
      <w:tblGrid>
        <w:gridCol w:w="708"/>
        <w:gridCol w:w="2004"/>
        <w:gridCol w:w="2125"/>
        <w:gridCol w:w="2478"/>
        <w:gridCol w:w="1842"/>
      </w:tblGrid>
      <w:tr w:rsidR="00D4372E" w:rsidRPr="008E63BB" w14:paraId="519B4466" w14:textId="77777777" w:rsidTr="00D4372E">
        <w:trPr>
          <w:trHeight w:val="20"/>
        </w:trPr>
        <w:tc>
          <w:tcPr>
            <w:tcW w:w="708" w:type="dxa"/>
            <w:vMerge w:val="restart"/>
            <w:tcBorders>
              <w:top w:val="single" w:sz="4" w:space="0" w:color="auto"/>
              <w:left w:val="single" w:sz="4" w:space="0" w:color="auto"/>
              <w:right w:val="single" w:sz="4" w:space="0" w:color="auto"/>
            </w:tcBorders>
            <w:vAlign w:val="center"/>
          </w:tcPr>
          <w:p w14:paraId="519B4462" w14:textId="77777777" w:rsidR="00D4372E" w:rsidRPr="008E63BB" w:rsidRDefault="00D4372E" w:rsidP="00D4372E">
            <w:pPr>
              <w:spacing w:before="20" w:after="20"/>
              <w:ind w:left="-131" w:right="-97"/>
              <w:jc w:val="center"/>
              <w:rPr>
                <w:b/>
                <w:bCs/>
                <w:sz w:val="24"/>
                <w:szCs w:val="24"/>
                <w:lang w:eastAsia="vi-VN"/>
              </w:rPr>
            </w:pPr>
            <w:r w:rsidRPr="008E63BB">
              <w:rPr>
                <w:b/>
                <w:bCs/>
                <w:sz w:val="24"/>
                <w:szCs w:val="24"/>
                <w:lang w:eastAsia="vi-VN"/>
              </w:rPr>
              <w:t>STT</w:t>
            </w:r>
          </w:p>
        </w:tc>
        <w:tc>
          <w:tcPr>
            <w:tcW w:w="2004" w:type="dxa"/>
            <w:vMerge w:val="restart"/>
            <w:tcBorders>
              <w:top w:val="single" w:sz="4" w:space="0" w:color="auto"/>
              <w:left w:val="single" w:sz="4" w:space="0" w:color="auto"/>
              <w:right w:val="single" w:sz="4" w:space="0" w:color="auto"/>
            </w:tcBorders>
            <w:vAlign w:val="center"/>
            <w:hideMark/>
          </w:tcPr>
          <w:p w14:paraId="519B4463" w14:textId="77777777" w:rsidR="00D4372E" w:rsidRPr="008E63BB" w:rsidRDefault="00D4372E" w:rsidP="00D4372E">
            <w:pPr>
              <w:spacing w:before="20" w:after="20"/>
              <w:jc w:val="center"/>
              <w:rPr>
                <w:b/>
                <w:bCs/>
                <w:sz w:val="24"/>
                <w:szCs w:val="24"/>
                <w:lang w:eastAsia="vi-VN"/>
              </w:rPr>
            </w:pPr>
            <w:r w:rsidRPr="008E63BB">
              <w:rPr>
                <w:b/>
                <w:bCs/>
                <w:sz w:val="24"/>
                <w:szCs w:val="24"/>
                <w:lang w:eastAsia="vi-VN"/>
              </w:rPr>
              <w:t>Thành phần</w:t>
            </w:r>
          </w:p>
        </w:tc>
        <w:tc>
          <w:tcPr>
            <w:tcW w:w="2125" w:type="dxa"/>
            <w:vMerge w:val="restart"/>
            <w:tcBorders>
              <w:top w:val="single" w:sz="4" w:space="0" w:color="auto"/>
              <w:left w:val="nil"/>
              <w:right w:val="single" w:sz="4" w:space="0" w:color="auto"/>
            </w:tcBorders>
            <w:vAlign w:val="center"/>
            <w:hideMark/>
          </w:tcPr>
          <w:p w14:paraId="519B4464" w14:textId="77777777" w:rsidR="00D4372E" w:rsidRPr="008E63BB" w:rsidRDefault="00D4372E" w:rsidP="00D4372E">
            <w:pPr>
              <w:spacing w:before="20" w:after="20"/>
              <w:ind w:left="-53" w:right="-18"/>
              <w:jc w:val="center"/>
              <w:rPr>
                <w:b/>
                <w:bCs/>
                <w:sz w:val="24"/>
                <w:szCs w:val="24"/>
                <w:lang w:eastAsia="vi-VN"/>
              </w:rPr>
            </w:pPr>
            <w:r w:rsidRPr="008E63BB">
              <w:rPr>
                <w:b/>
                <w:bCs/>
                <w:sz w:val="24"/>
                <w:szCs w:val="24"/>
                <w:lang w:eastAsia="vi-VN"/>
              </w:rPr>
              <w:t>Không xử lý</w:t>
            </w:r>
          </w:p>
        </w:tc>
        <w:tc>
          <w:tcPr>
            <w:tcW w:w="4320" w:type="dxa"/>
            <w:gridSpan w:val="2"/>
            <w:tcBorders>
              <w:top w:val="single" w:sz="4" w:space="0" w:color="auto"/>
              <w:left w:val="nil"/>
              <w:bottom w:val="single" w:sz="4" w:space="0" w:color="auto"/>
              <w:right w:val="single" w:sz="4" w:space="0" w:color="auto"/>
            </w:tcBorders>
            <w:vAlign w:val="center"/>
            <w:hideMark/>
          </w:tcPr>
          <w:p w14:paraId="519B4465" w14:textId="77777777" w:rsidR="00D4372E" w:rsidRPr="008E63BB" w:rsidRDefault="00D4372E" w:rsidP="00D4372E">
            <w:pPr>
              <w:spacing w:before="20" w:after="20"/>
              <w:ind w:left="-53" w:right="-18"/>
              <w:jc w:val="center"/>
              <w:rPr>
                <w:b/>
                <w:bCs/>
                <w:sz w:val="24"/>
                <w:szCs w:val="24"/>
                <w:lang w:eastAsia="vi-VN"/>
              </w:rPr>
            </w:pPr>
            <w:r w:rsidRPr="008E63BB">
              <w:rPr>
                <w:b/>
                <w:bCs/>
                <w:sz w:val="24"/>
                <w:szCs w:val="24"/>
                <w:lang w:eastAsia="vi-VN"/>
              </w:rPr>
              <w:t>Xử lý đạt QCVN 40:2011/BTNMT</w:t>
            </w:r>
          </w:p>
        </w:tc>
      </w:tr>
      <w:tr w:rsidR="00D4372E" w:rsidRPr="008E63BB" w14:paraId="519B446C" w14:textId="77777777" w:rsidTr="00D4372E">
        <w:trPr>
          <w:trHeight w:val="20"/>
        </w:trPr>
        <w:tc>
          <w:tcPr>
            <w:tcW w:w="708" w:type="dxa"/>
            <w:vMerge/>
            <w:tcBorders>
              <w:left w:val="single" w:sz="4" w:space="0" w:color="auto"/>
              <w:bottom w:val="single" w:sz="4" w:space="0" w:color="auto"/>
              <w:right w:val="single" w:sz="4" w:space="0" w:color="auto"/>
            </w:tcBorders>
            <w:vAlign w:val="center"/>
          </w:tcPr>
          <w:p w14:paraId="519B4467" w14:textId="77777777" w:rsidR="00D4372E" w:rsidRPr="008E63BB" w:rsidRDefault="00D4372E" w:rsidP="00D4372E">
            <w:pPr>
              <w:spacing w:before="20" w:after="20"/>
              <w:ind w:left="-131" w:right="-97" w:firstLine="230"/>
              <w:jc w:val="center"/>
              <w:rPr>
                <w:sz w:val="24"/>
                <w:szCs w:val="24"/>
                <w:lang w:eastAsia="vi-VN"/>
              </w:rPr>
            </w:pPr>
          </w:p>
        </w:tc>
        <w:tc>
          <w:tcPr>
            <w:tcW w:w="2004" w:type="dxa"/>
            <w:vMerge/>
            <w:tcBorders>
              <w:left w:val="single" w:sz="4" w:space="0" w:color="auto"/>
              <w:bottom w:val="single" w:sz="4" w:space="0" w:color="auto"/>
              <w:right w:val="single" w:sz="4" w:space="0" w:color="auto"/>
            </w:tcBorders>
            <w:vAlign w:val="bottom"/>
          </w:tcPr>
          <w:p w14:paraId="519B4468" w14:textId="77777777" w:rsidR="00D4372E" w:rsidRPr="008E63BB" w:rsidRDefault="00D4372E" w:rsidP="00D4372E">
            <w:pPr>
              <w:spacing w:before="20" w:after="20"/>
              <w:ind w:firstLine="230"/>
              <w:rPr>
                <w:sz w:val="24"/>
                <w:szCs w:val="24"/>
                <w:lang w:eastAsia="vi-VN"/>
              </w:rPr>
            </w:pPr>
          </w:p>
        </w:tc>
        <w:tc>
          <w:tcPr>
            <w:tcW w:w="2125" w:type="dxa"/>
            <w:vMerge/>
            <w:tcBorders>
              <w:left w:val="nil"/>
              <w:bottom w:val="single" w:sz="4" w:space="0" w:color="auto"/>
              <w:right w:val="single" w:sz="4" w:space="0" w:color="auto"/>
            </w:tcBorders>
            <w:vAlign w:val="center"/>
          </w:tcPr>
          <w:p w14:paraId="519B4469" w14:textId="77777777" w:rsidR="00D4372E" w:rsidRPr="008E63BB" w:rsidRDefault="00D4372E" w:rsidP="00D4372E">
            <w:pPr>
              <w:spacing w:before="20" w:after="20"/>
              <w:ind w:left="-53" w:right="-18"/>
              <w:jc w:val="center"/>
              <w:rPr>
                <w:sz w:val="24"/>
                <w:szCs w:val="24"/>
              </w:rPr>
            </w:pPr>
          </w:p>
        </w:tc>
        <w:tc>
          <w:tcPr>
            <w:tcW w:w="2478" w:type="dxa"/>
            <w:tcBorders>
              <w:top w:val="nil"/>
              <w:left w:val="nil"/>
              <w:bottom w:val="single" w:sz="4" w:space="0" w:color="auto"/>
              <w:right w:val="single" w:sz="4" w:space="0" w:color="auto"/>
            </w:tcBorders>
            <w:vAlign w:val="center"/>
          </w:tcPr>
          <w:p w14:paraId="519B446A" w14:textId="77777777" w:rsidR="00D4372E" w:rsidRPr="008E63BB" w:rsidRDefault="00D4372E" w:rsidP="00D4372E">
            <w:pPr>
              <w:spacing w:before="20" w:after="20"/>
              <w:ind w:left="-53" w:right="-18"/>
              <w:jc w:val="center"/>
              <w:rPr>
                <w:sz w:val="24"/>
                <w:szCs w:val="24"/>
              </w:rPr>
            </w:pPr>
            <w:r w:rsidRPr="008E63BB">
              <w:rPr>
                <w:sz w:val="24"/>
                <w:szCs w:val="24"/>
              </w:rPr>
              <w:t>A</w:t>
            </w:r>
          </w:p>
        </w:tc>
        <w:tc>
          <w:tcPr>
            <w:tcW w:w="1842" w:type="dxa"/>
            <w:tcBorders>
              <w:top w:val="nil"/>
              <w:left w:val="nil"/>
              <w:bottom w:val="single" w:sz="4" w:space="0" w:color="auto"/>
              <w:right w:val="single" w:sz="4" w:space="0" w:color="auto"/>
            </w:tcBorders>
          </w:tcPr>
          <w:p w14:paraId="519B446B" w14:textId="77777777" w:rsidR="00D4372E" w:rsidRPr="008E63BB" w:rsidRDefault="00D4372E" w:rsidP="00D4372E">
            <w:pPr>
              <w:spacing w:before="20" w:after="20"/>
              <w:ind w:left="-53" w:right="-18"/>
              <w:jc w:val="center"/>
              <w:rPr>
                <w:sz w:val="24"/>
                <w:szCs w:val="24"/>
              </w:rPr>
            </w:pPr>
            <w:r w:rsidRPr="008E63BB">
              <w:rPr>
                <w:sz w:val="24"/>
                <w:szCs w:val="24"/>
              </w:rPr>
              <w:t>B</w:t>
            </w:r>
          </w:p>
        </w:tc>
      </w:tr>
      <w:tr w:rsidR="00D4372E" w:rsidRPr="008E63BB" w14:paraId="519B4472" w14:textId="77777777" w:rsidTr="00D4372E">
        <w:trPr>
          <w:trHeight w:val="20"/>
        </w:trPr>
        <w:tc>
          <w:tcPr>
            <w:tcW w:w="708" w:type="dxa"/>
            <w:tcBorders>
              <w:top w:val="nil"/>
              <w:left w:val="single" w:sz="4" w:space="0" w:color="auto"/>
              <w:bottom w:val="single" w:sz="4" w:space="0" w:color="auto"/>
              <w:right w:val="single" w:sz="4" w:space="0" w:color="auto"/>
            </w:tcBorders>
            <w:vAlign w:val="center"/>
          </w:tcPr>
          <w:p w14:paraId="519B446D" w14:textId="77777777" w:rsidR="00D4372E" w:rsidRPr="008E63BB" w:rsidRDefault="00D4372E" w:rsidP="00D4372E">
            <w:pPr>
              <w:spacing w:before="20" w:after="20"/>
              <w:ind w:left="-131" w:right="-97"/>
              <w:jc w:val="center"/>
              <w:rPr>
                <w:sz w:val="24"/>
                <w:szCs w:val="24"/>
                <w:lang w:eastAsia="vi-VN"/>
              </w:rPr>
            </w:pPr>
            <w:r w:rsidRPr="008E63BB">
              <w:rPr>
                <w:sz w:val="24"/>
                <w:szCs w:val="24"/>
                <w:lang w:eastAsia="vi-VN"/>
              </w:rPr>
              <w:t>1</w:t>
            </w:r>
          </w:p>
        </w:tc>
        <w:tc>
          <w:tcPr>
            <w:tcW w:w="2004" w:type="dxa"/>
            <w:tcBorders>
              <w:top w:val="nil"/>
              <w:left w:val="single" w:sz="4" w:space="0" w:color="auto"/>
              <w:bottom w:val="single" w:sz="4" w:space="0" w:color="auto"/>
              <w:right w:val="single" w:sz="4" w:space="0" w:color="auto"/>
            </w:tcBorders>
            <w:vAlign w:val="bottom"/>
            <w:hideMark/>
          </w:tcPr>
          <w:p w14:paraId="519B446E" w14:textId="77777777" w:rsidR="00D4372E" w:rsidRPr="008E63BB" w:rsidRDefault="00D4372E" w:rsidP="00D4372E">
            <w:pPr>
              <w:spacing w:before="20" w:after="20"/>
              <w:rPr>
                <w:sz w:val="24"/>
                <w:szCs w:val="24"/>
                <w:lang w:eastAsia="vi-VN"/>
              </w:rPr>
            </w:pPr>
            <w:r w:rsidRPr="008E63BB">
              <w:rPr>
                <w:sz w:val="24"/>
                <w:szCs w:val="24"/>
                <w:lang w:eastAsia="vi-VN"/>
              </w:rPr>
              <w:t>COD</w:t>
            </w:r>
          </w:p>
        </w:tc>
        <w:tc>
          <w:tcPr>
            <w:tcW w:w="2125" w:type="dxa"/>
            <w:tcBorders>
              <w:top w:val="nil"/>
              <w:left w:val="nil"/>
              <w:bottom w:val="single" w:sz="4" w:space="0" w:color="auto"/>
              <w:right w:val="single" w:sz="4" w:space="0" w:color="auto"/>
            </w:tcBorders>
            <w:vAlign w:val="center"/>
            <w:hideMark/>
          </w:tcPr>
          <w:p w14:paraId="519B446F"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70.488</w:t>
            </w:r>
          </w:p>
        </w:tc>
        <w:tc>
          <w:tcPr>
            <w:tcW w:w="2478" w:type="dxa"/>
            <w:tcBorders>
              <w:top w:val="nil"/>
              <w:left w:val="nil"/>
              <w:bottom w:val="single" w:sz="4" w:space="0" w:color="auto"/>
              <w:right w:val="single" w:sz="4" w:space="0" w:color="auto"/>
            </w:tcBorders>
            <w:vAlign w:val="center"/>
            <w:hideMark/>
          </w:tcPr>
          <w:p w14:paraId="519B4470"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1.652,1</w:t>
            </w:r>
          </w:p>
        </w:tc>
        <w:tc>
          <w:tcPr>
            <w:tcW w:w="1842" w:type="dxa"/>
            <w:tcBorders>
              <w:top w:val="nil"/>
              <w:left w:val="nil"/>
              <w:bottom w:val="single" w:sz="4" w:space="0" w:color="auto"/>
              <w:right w:val="single" w:sz="4" w:space="0" w:color="auto"/>
            </w:tcBorders>
            <w:vAlign w:val="bottom"/>
          </w:tcPr>
          <w:p w14:paraId="519B4471"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3.304,13</w:t>
            </w:r>
          </w:p>
        </w:tc>
      </w:tr>
      <w:tr w:rsidR="00D4372E" w:rsidRPr="008E63BB" w14:paraId="519B4478" w14:textId="77777777" w:rsidTr="00D4372E">
        <w:trPr>
          <w:trHeight w:val="20"/>
        </w:trPr>
        <w:tc>
          <w:tcPr>
            <w:tcW w:w="708" w:type="dxa"/>
            <w:tcBorders>
              <w:top w:val="nil"/>
              <w:left w:val="single" w:sz="4" w:space="0" w:color="auto"/>
              <w:bottom w:val="single" w:sz="4" w:space="0" w:color="auto"/>
              <w:right w:val="single" w:sz="4" w:space="0" w:color="auto"/>
            </w:tcBorders>
            <w:vAlign w:val="center"/>
          </w:tcPr>
          <w:p w14:paraId="519B4473" w14:textId="77777777" w:rsidR="00D4372E" w:rsidRPr="008E63BB" w:rsidRDefault="00D4372E" w:rsidP="00D4372E">
            <w:pPr>
              <w:spacing w:before="20" w:after="20"/>
              <w:ind w:left="-131" w:right="-97"/>
              <w:jc w:val="center"/>
              <w:rPr>
                <w:sz w:val="24"/>
                <w:szCs w:val="24"/>
                <w:lang w:eastAsia="vi-VN"/>
              </w:rPr>
            </w:pPr>
            <w:r w:rsidRPr="008E63BB">
              <w:rPr>
                <w:sz w:val="24"/>
                <w:szCs w:val="24"/>
                <w:lang w:eastAsia="vi-VN"/>
              </w:rPr>
              <w:t>2</w:t>
            </w:r>
          </w:p>
        </w:tc>
        <w:tc>
          <w:tcPr>
            <w:tcW w:w="2004" w:type="dxa"/>
            <w:tcBorders>
              <w:top w:val="nil"/>
              <w:left w:val="single" w:sz="4" w:space="0" w:color="auto"/>
              <w:bottom w:val="single" w:sz="4" w:space="0" w:color="auto"/>
              <w:right w:val="single" w:sz="4" w:space="0" w:color="auto"/>
            </w:tcBorders>
            <w:vAlign w:val="bottom"/>
            <w:hideMark/>
          </w:tcPr>
          <w:p w14:paraId="519B4474" w14:textId="77777777" w:rsidR="00D4372E" w:rsidRPr="008E63BB" w:rsidRDefault="00D4372E" w:rsidP="00D4372E">
            <w:pPr>
              <w:spacing w:before="20" w:after="20"/>
              <w:rPr>
                <w:sz w:val="24"/>
                <w:szCs w:val="24"/>
                <w:lang w:eastAsia="vi-VN"/>
              </w:rPr>
            </w:pPr>
            <w:r w:rsidRPr="008E63BB">
              <w:rPr>
                <w:sz w:val="24"/>
                <w:szCs w:val="24"/>
                <w:lang w:eastAsia="vi-VN"/>
              </w:rPr>
              <w:t>BOD</w:t>
            </w:r>
            <w:r w:rsidRPr="008E63BB">
              <w:rPr>
                <w:sz w:val="24"/>
                <w:szCs w:val="24"/>
                <w:vertAlign w:val="subscript"/>
                <w:lang w:eastAsia="vi-VN"/>
              </w:rPr>
              <w:t>5</w:t>
            </w:r>
          </w:p>
        </w:tc>
        <w:tc>
          <w:tcPr>
            <w:tcW w:w="2125" w:type="dxa"/>
            <w:tcBorders>
              <w:top w:val="nil"/>
              <w:left w:val="nil"/>
              <w:bottom w:val="single" w:sz="4" w:space="0" w:color="auto"/>
              <w:right w:val="single" w:sz="4" w:space="0" w:color="auto"/>
            </w:tcBorders>
            <w:vAlign w:val="center"/>
            <w:hideMark/>
          </w:tcPr>
          <w:p w14:paraId="519B4475"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30.839</w:t>
            </w:r>
          </w:p>
        </w:tc>
        <w:tc>
          <w:tcPr>
            <w:tcW w:w="2478" w:type="dxa"/>
            <w:tcBorders>
              <w:top w:val="nil"/>
              <w:left w:val="nil"/>
              <w:bottom w:val="single" w:sz="4" w:space="0" w:color="auto"/>
              <w:right w:val="single" w:sz="4" w:space="0" w:color="auto"/>
            </w:tcBorders>
            <w:vAlign w:val="center"/>
            <w:hideMark/>
          </w:tcPr>
          <w:p w14:paraId="519B4476"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660,8</w:t>
            </w:r>
          </w:p>
        </w:tc>
        <w:tc>
          <w:tcPr>
            <w:tcW w:w="1842" w:type="dxa"/>
            <w:tcBorders>
              <w:top w:val="nil"/>
              <w:left w:val="nil"/>
              <w:bottom w:val="single" w:sz="4" w:space="0" w:color="auto"/>
              <w:right w:val="single" w:sz="4" w:space="0" w:color="auto"/>
            </w:tcBorders>
            <w:vAlign w:val="bottom"/>
          </w:tcPr>
          <w:p w14:paraId="519B4477"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1.101,38</w:t>
            </w:r>
          </w:p>
        </w:tc>
      </w:tr>
      <w:tr w:rsidR="00D4372E" w:rsidRPr="008E63BB" w14:paraId="519B447E" w14:textId="77777777" w:rsidTr="00D4372E">
        <w:trPr>
          <w:trHeight w:val="20"/>
        </w:trPr>
        <w:tc>
          <w:tcPr>
            <w:tcW w:w="708" w:type="dxa"/>
            <w:tcBorders>
              <w:top w:val="nil"/>
              <w:left w:val="single" w:sz="4" w:space="0" w:color="auto"/>
              <w:bottom w:val="single" w:sz="4" w:space="0" w:color="auto"/>
              <w:right w:val="single" w:sz="4" w:space="0" w:color="auto"/>
            </w:tcBorders>
            <w:vAlign w:val="center"/>
          </w:tcPr>
          <w:p w14:paraId="519B4479" w14:textId="77777777" w:rsidR="00D4372E" w:rsidRPr="008E63BB" w:rsidRDefault="00D4372E" w:rsidP="00D4372E">
            <w:pPr>
              <w:spacing w:before="20" w:after="20"/>
              <w:ind w:left="-131" w:right="-97"/>
              <w:jc w:val="center"/>
              <w:rPr>
                <w:sz w:val="24"/>
                <w:szCs w:val="24"/>
                <w:lang w:eastAsia="vi-VN"/>
              </w:rPr>
            </w:pPr>
            <w:r w:rsidRPr="008E63BB">
              <w:rPr>
                <w:sz w:val="24"/>
                <w:szCs w:val="24"/>
                <w:lang w:eastAsia="vi-VN"/>
              </w:rPr>
              <w:t>3</w:t>
            </w:r>
          </w:p>
        </w:tc>
        <w:tc>
          <w:tcPr>
            <w:tcW w:w="2004" w:type="dxa"/>
            <w:tcBorders>
              <w:top w:val="nil"/>
              <w:left w:val="single" w:sz="4" w:space="0" w:color="auto"/>
              <w:bottom w:val="single" w:sz="4" w:space="0" w:color="auto"/>
              <w:right w:val="single" w:sz="4" w:space="0" w:color="auto"/>
            </w:tcBorders>
            <w:vAlign w:val="bottom"/>
            <w:hideMark/>
          </w:tcPr>
          <w:p w14:paraId="519B447A" w14:textId="77777777" w:rsidR="00D4372E" w:rsidRPr="008E63BB" w:rsidRDefault="00D4372E" w:rsidP="00D4372E">
            <w:pPr>
              <w:spacing w:before="20" w:after="20"/>
              <w:rPr>
                <w:sz w:val="24"/>
                <w:szCs w:val="24"/>
                <w:lang w:eastAsia="vi-VN"/>
              </w:rPr>
            </w:pPr>
            <w:r w:rsidRPr="008E63BB">
              <w:rPr>
                <w:sz w:val="24"/>
                <w:szCs w:val="24"/>
                <w:lang w:eastAsia="vi-VN"/>
              </w:rPr>
              <w:t>TSS</w:t>
            </w:r>
          </w:p>
        </w:tc>
        <w:tc>
          <w:tcPr>
            <w:tcW w:w="2125" w:type="dxa"/>
            <w:tcBorders>
              <w:top w:val="nil"/>
              <w:left w:val="nil"/>
              <w:bottom w:val="single" w:sz="4" w:space="0" w:color="auto"/>
              <w:right w:val="single" w:sz="4" w:space="0" w:color="auto"/>
            </w:tcBorders>
            <w:vAlign w:val="center"/>
            <w:hideMark/>
          </w:tcPr>
          <w:p w14:paraId="519B447B"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44.055</w:t>
            </w:r>
          </w:p>
        </w:tc>
        <w:tc>
          <w:tcPr>
            <w:tcW w:w="2478" w:type="dxa"/>
            <w:tcBorders>
              <w:top w:val="nil"/>
              <w:left w:val="nil"/>
              <w:bottom w:val="single" w:sz="4" w:space="0" w:color="auto"/>
              <w:right w:val="single" w:sz="4" w:space="0" w:color="auto"/>
            </w:tcBorders>
            <w:vAlign w:val="center"/>
            <w:hideMark/>
          </w:tcPr>
          <w:p w14:paraId="519B447C"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1.101,4</w:t>
            </w:r>
          </w:p>
        </w:tc>
        <w:tc>
          <w:tcPr>
            <w:tcW w:w="1842" w:type="dxa"/>
            <w:tcBorders>
              <w:top w:val="nil"/>
              <w:left w:val="nil"/>
              <w:bottom w:val="single" w:sz="4" w:space="0" w:color="auto"/>
              <w:right w:val="single" w:sz="4" w:space="0" w:color="auto"/>
            </w:tcBorders>
            <w:vAlign w:val="bottom"/>
          </w:tcPr>
          <w:p w14:paraId="519B447D"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2.202,75</w:t>
            </w:r>
          </w:p>
        </w:tc>
      </w:tr>
      <w:tr w:rsidR="00D4372E" w:rsidRPr="008E63BB" w14:paraId="519B4484" w14:textId="77777777" w:rsidTr="00D4372E">
        <w:trPr>
          <w:trHeight w:val="20"/>
        </w:trPr>
        <w:tc>
          <w:tcPr>
            <w:tcW w:w="708" w:type="dxa"/>
            <w:tcBorders>
              <w:top w:val="nil"/>
              <w:left w:val="single" w:sz="4" w:space="0" w:color="auto"/>
              <w:bottom w:val="single" w:sz="4" w:space="0" w:color="auto"/>
              <w:right w:val="single" w:sz="4" w:space="0" w:color="auto"/>
            </w:tcBorders>
            <w:vAlign w:val="center"/>
          </w:tcPr>
          <w:p w14:paraId="519B447F" w14:textId="77777777" w:rsidR="00D4372E" w:rsidRPr="008E63BB" w:rsidRDefault="00D4372E" w:rsidP="00D4372E">
            <w:pPr>
              <w:spacing w:before="20" w:after="20"/>
              <w:ind w:left="-131" w:right="-97"/>
              <w:jc w:val="center"/>
              <w:rPr>
                <w:sz w:val="24"/>
                <w:szCs w:val="24"/>
                <w:lang w:eastAsia="vi-VN"/>
              </w:rPr>
            </w:pPr>
            <w:r w:rsidRPr="008E63BB">
              <w:rPr>
                <w:sz w:val="24"/>
                <w:szCs w:val="24"/>
                <w:lang w:eastAsia="vi-VN"/>
              </w:rPr>
              <w:t>4</w:t>
            </w:r>
          </w:p>
        </w:tc>
        <w:tc>
          <w:tcPr>
            <w:tcW w:w="2004" w:type="dxa"/>
            <w:tcBorders>
              <w:top w:val="nil"/>
              <w:left w:val="single" w:sz="4" w:space="0" w:color="auto"/>
              <w:bottom w:val="single" w:sz="4" w:space="0" w:color="auto"/>
              <w:right w:val="single" w:sz="4" w:space="0" w:color="auto"/>
            </w:tcBorders>
            <w:vAlign w:val="bottom"/>
            <w:hideMark/>
          </w:tcPr>
          <w:p w14:paraId="519B4480" w14:textId="77777777" w:rsidR="00D4372E" w:rsidRPr="008E63BB" w:rsidRDefault="00D4372E" w:rsidP="00D4372E">
            <w:pPr>
              <w:spacing w:before="20" w:after="20"/>
              <w:rPr>
                <w:sz w:val="24"/>
                <w:szCs w:val="24"/>
                <w:lang w:eastAsia="vi-VN"/>
              </w:rPr>
            </w:pPr>
            <w:r w:rsidRPr="008E63BB">
              <w:rPr>
                <w:sz w:val="24"/>
                <w:szCs w:val="24"/>
                <w:lang w:eastAsia="vi-VN"/>
              </w:rPr>
              <w:t>Tổng N</w:t>
            </w:r>
          </w:p>
        </w:tc>
        <w:tc>
          <w:tcPr>
            <w:tcW w:w="2125" w:type="dxa"/>
            <w:tcBorders>
              <w:top w:val="nil"/>
              <w:left w:val="nil"/>
              <w:bottom w:val="single" w:sz="4" w:space="0" w:color="auto"/>
              <w:right w:val="single" w:sz="4" w:space="0" w:color="auto"/>
            </w:tcBorders>
            <w:vAlign w:val="center"/>
            <w:hideMark/>
          </w:tcPr>
          <w:p w14:paraId="519B4481"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3.304</w:t>
            </w:r>
          </w:p>
        </w:tc>
        <w:tc>
          <w:tcPr>
            <w:tcW w:w="2478" w:type="dxa"/>
            <w:tcBorders>
              <w:top w:val="nil"/>
              <w:left w:val="nil"/>
              <w:bottom w:val="single" w:sz="4" w:space="0" w:color="auto"/>
              <w:right w:val="single" w:sz="4" w:space="0" w:color="auto"/>
            </w:tcBorders>
            <w:vAlign w:val="center"/>
            <w:hideMark/>
          </w:tcPr>
          <w:p w14:paraId="519B4482"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440,6</w:t>
            </w:r>
          </w:p>
        </w:tc>
        <w:tc>
          <w:tcPr>
            <w:tcW w:w="1842" w:type="dxa"/>
            <w:tcBorders>
              <w:top w:val="nil"/>
              <w:left w:val="nil"/>
              <w:bottom w:val="single" w:sz="4" w:space="0" w:color="auto"/>
              <w:right w:val="single" w:sz="4" w:space="0" w:color="auto"/>
            </w:tcBorders>
            <w:vAlign w:val="bottom"/>
          </w:tcPr>
          <w:p w14:paraId="519B4483"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881,10</w:t>
            </w:r>
          </w:p>
        </w:tc>
      </w:tr>
      <w:tr w:rsidR="00D4372E" w:rsidRPr="008E63BB" w14:paraId="519B448A" w14:textId="77777777" w:rsidTr="00D4372E">
        <w:trPr>
          <w:trHeight w:val="20"/>
        </w:trPr>
        <w:tc>
          <w:tcPr>
            <w:tcW w:w="708" w:type="dxa"/>
            <w:tcBorders>
              <w:top w:val="nil"/>
              <w:left w:val="single" w:sz="4" w:space="0" w:color="auto"/>
              <w:bottom w:val="single" w:sz="4" w:space="0" w:color="auto"/>
              <w:right w:val="single" w:sz="4" w:space="0" w:color="auto"/>
            </w:tcBorders>
            <w:vAlign w:val="center"/>
          </w:tcPr>
          <w:p w14:paraId="519B4485" w14:textId="77777777" w:rsidR="00D4372E" w:rsidRPr="008E63BB" w:rsidRDefault="00D4372E" w:rsidP="00D4372E">
            <w:pPr>
              <w:spacing w:before="20" w:after="20"/>
              <w:ind w:left="-131" w:right="-97"/>
              <w:jc w:val="center"/>
              <w:rPr>
                <w:sz w:val="24"/>
                <w:szCs w:val="24"/>
                <w:lang w:eastAsia="vi-VN"/>
              </w:rPr>
            </w:pPr>
            <w:r w:rsidRPr="008E63BB">
              <w:rPr>
                <w:sz w:val="24"/>
                <w:szCs w:val="24"/>
                <w:lang w:eastAsia="vi-VN"/>
              </w:rPr>
              <w:t>5</w:t>
            </w:r>
          </w:p>
        </w:tc>
        <w:tc>
          <w:tcPr>
            <w:tcW w:w="2004" w:type="dxa"/>
            <w:tcBorders>
              <w:top w:val="nil"/>
              <w:left w:val="single" w:sz="4" w:space="0" w:color="auto"/>
              <w:bottom w:val="single" w:sz="4" w:space="0" w:color="auto"/>
              <w:right w:val="single" w:sz="4" w:space="0" w:color="auto"/>
            </w:tcBorders>
            <w:vAlign w:val="bottom"/>
            <w:hideMark/>
          </w:tcPr>
          <w:p w14:paraId="519B4486" w14:textId="77777777" w:rsidR="00D4372E" w:rsidRPr="008E63BB" w:rsidRDefault="00D4372E" w:rsidP="00D4372E">
            <w:pPr>
              <w:spacing w:before="20" w:after="20"/>
              <w:rPr>
                <w:sz w:val="24"/>
                <w:szCs w:val="24"/>
                <w:lang w:eastAsia="vi-VN"/>
              </w:rPr>
            </w:pPr>
            <w:r w:rsidRPr="008E63BB">
              <w:rPr>
                <w:sz w:val="24"/>
                <w:szCs w:val="24"/>
                <w:lang w:eastAsia="vi-VN"/>
              </w:rPr>
              <w:t>Tổng P</w:t>
            </w:r>
          </w:p>
        </w:tc>
        <w:tc>
          <w:tcPr>
            <w:tcW w:w="2125" w:type="dxa"/>
            <w:tcBorders>
              <w:top w:val="nil"/>
              <w:left w:val="nil"/>
              <w:bottom w:val="single" w:sz="4" w:space="0" w:color="auto"/>
              <w:right w:val="single" w:sz="4" w:space="0" w:color="auto"/>
            </w:tcBorders>
            <w:vAlign w:val="center"/>
            <w:hideMark/>
          </w:tcPr>
          <w:p w14:paraId="519B4487"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1.322</w:t>
            </w:r>
          </w:p>
        </w:tc>
        <w:tc>
          <w:tcPr>
            <w:tcW w:w="2478" w:type="dxa"/>
            <w:tcBorders>
              <w:top w:val="nil"/>
              <w:left w:val="nil"/>
              <w:bottom w:val="single" w:sz="4" w:space="0" w:color="auto"/>
              <w:right w:val="single" w:sz="4" w:space="0" w:color="auto"/>
            </w:tcBorders>
            <w:vAlign w:val="center"/>
            <w:hideMark/>
          </w:tcPr>
          <w:p w14:paraId="519B4488"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88,1</w:t>
            </w:r>
          </w:p>
        </w:tc>
        <w:tc>
          <w:tcPr>
            <w:tcW w:w="1842" w:type="dxa"/>
            <w:tcBorders>
              <w:top w:val="nil"/>
              <w:left w:val="nil"/>
              <w:bottom w:val="single" w:sz="4" w:space="0" w:color="auto"/>
              <w:right w:val="single" w:sz="4" w:space="0" w:color="auto"/>
            </w:tcBorders>
            <w:vAlign w:val="bottom"/>
          </w:tcPr>
          <w:p w14:paraId="519B4489" w14:textId="77777777" w:rsidR="00D4372E" w:rsidRPr="008E63BB" w:rsidRDefault="00D4372E" w:rsidP="00D4372E">
            <w:pPr>
              <w:spacing w:before="20" w:after="20"/>
              <w:ind w:left="-53" w:right="-18"/>
              <w:jc w:val="center"/>
              <w:rPr>
                <w:rFonts w:eastAsia="Times New Roman"/>
                <w:sz w:val="24"/>
                <w:szCs w:val="24"/>
              </w:rPr>
            </w:pPr>
            <w:r w:rsidRPr="008E63BB">
              <w:rPr>
                <w:rFonts w:eastAsia="Times New Roman"/>
                <w:sz w:val="24"/>
                <w:szCs w:val="24"/>
              </w:rPr>
              <w:t>132,17</w:t>
            </w:r>
          </w:p>
        </w:tc>
      </w:tr>
    </w:tbl>
    <w:p w14:paraId="519B448B" w14:textId="77777777" w:rsidR="008C1B81" w:rsidRPr="008E63BB" w:rsidRDefault="008C1B81" w:rsidP="0065184D">
      <w:pPr>
        <w:tabs>
          <w:tab w:val="left" w:pos="851"/>
        </w:tabs>
        <w:spacing w:before="120"/>
        <w:rPr>
          <w:i/>
          <w:szCs w:val="26"/>
        </w:rPr>
      </w:pPr>
      <w:r w:rsidRPr="008E63BB">
        <w:rPr>
          <w:i/>
          <w:szCs w:val="26"/>
        </w:rPr>
        <w:t>c/. Diễn biến môi trường không khí</w:t>
      </w:r>
    </w:p>
    <w:p w14:paraId="519B448C" w14:textId="77777777" w:rsidR="008C1B81" w:rsidRPr="008E63BB" w:rsidRDefault="008C1B81" w:rsidP="0065184D">
      <w:pPr>
        <w:tabs>
          <w:tab w:val="left" w:pos="3122"/>
        </w:tabs>
        <w:spacing w:before="120" w:after="60"/>
        <w:jc w:val="center"/>
        <w:rPr>
          <w:b/>
          <w:szCs w:val="26"/>
          <w:lang w:val="vi-VN"/>
        </w:rPr>
      </w:pPr>
      <w:r w:rsidRPr="008E63BB">
        <w:rPr>
          <w:b/>
          <w:bCs/>
          <w:szCs w:val="26"/>
        </w:rPr>
        <w:lastRenderedPageBreak/>
        <w:t>Bả</w:t>
      </w:r>
      <w:r w:rsidR="00D4372E" w:rsidRPr="008E63BB">
        <w:rPr>
          <w:b/>
          <w:bCs/>
          <w:szCs w:val="26"/>
        </w:rPr>
        <w:t>ng MT07</w:t>
      </w:r>
      <w:r w:rsidRPr="008E63BB">
        <w:rPr>
          <w:b/>
          <w:bCs/>
          <w:szCs w:val="26"/>
        </w:rPr>
        <w:t>: Dự báo n</w:t>
      </w:r>
      <w:r w:rsidRPr="008E63BB">
        <w:rPr>
          <w:b/>
          <w:bCs/>
          <w:szCs w:val="26"/>
          <w:lang w:val="vi-VN"/>
        </w:rPr>
        <w:t>guồn và thành phần các chất ô nhiễm không khí</w:t>
      </w:r>
    </w:p>
    <w:tbl>
      <w:tblPr>
        <w:tblW w:w="91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3524"/>
        <w:gridCol w:w="3223"/>
      </w:tblGrid>
      <w:tr w:rsidR="008D5BFE" w:rsidRPr="008E63BB" w14:paraId="519B4491" w14:textId="77777777" w:rsidTr="003D057A">
        <w:trPr>
          <w:tblHeader/>
        </w:trPr>
        <w:tc>
          <w:tcPr>
            <w:tcW w:w="2430" w:type="dxa"/>
            <w:tcBorders>
              <w:top w:val="single" w:sz="4" w:space="0" w:color="auto"/>
              <w:left w:val="single" w:sz="4" w:space="0" w:color="auto"/>
              <w:bottom w:val="single" w:sz="4" w:space="0" w:color="auto"/>
              <w:right w:val="single" w:sz="4" w:space="0" w:color="auto"/>
            </w:tcBorders>
            <w:vAlign w:val="center"/>
            <w:hideMark/>
          </w:tcPr>
          <w:p w14:paraId="519B448D" w14:textId="77777777" w:rsidR="008C1B81" w:rsidRPr="008E63BB" w:rsidRDefault="008C1B81" w:rsidP="003D057A">
            <w:pPr>
              <w:tabs>
                <w:tab w:val="left" w:pos="3122"/>
              </w:tabs>
              <w:spacing w:before="20" w:after="20"/>
              <w:jc w:val="center"/>
              <w:rPr>
                <w:b/>
                <w:bCs/>
                <w:sz w:val="24"/>
                <w:szCs w:val="24"/>
                <w:lang w:val="vi-VN"/>
              </w:rPr>
            </w:pPr>
            <w:r w:rsidRPr="008E63BB">
              <w:rPr>
                <w:b/>
                <w:bCs/>
                <w:sz w:val="24"/>
                <w:szCs w:val="24"/>
                <w:lang w:val="vi-VN"/>
              </w:rPr>
              <w:t>Hoạt động gây tác động</w:t>
            </w:r>
          </w:p>
        </w:tc>
        <w:tc>
          <w:tcPr>
            <w:tcW w:w="3524" w:type="dxa"/>
            <w:tcBorders>
              <w:top w:val="single" w:sz="4" w:space="0" w:color="auto"/>
              <w:left w:val="single" w:sz="4" w:space="0" w:color="auto"/>
              <w:bottom w:val="single" w:sz="4" w:space="0" w:color="auto"/>
              <w:right w:val="single" w:sz="4" w:space="0" w:color="auto"/>
            </w:tcBorders>
            <w:vAlign w:val="center"/>
            <w:hideMark/>
          </w:tcPr>
          <w:p w14:paraId="519B448E" w14:textId="77777777" w:rsidR="008C1B81" w:rsidRPr="008E63BB" w:rsidRDefault="008C1B81" w:rsidP="003D057A">
            <w:pPr>
              <w:tabs>
                <w:tab w:val="left" w:pos="3122"/>
              </w:tabs>
              <w:spacing w:before="20" w:after="20"/>
              <w:jc w:val="center"/>
              <w:rPr>
                <w:b/>
                <w:bCs/>
                <w:sz w:val="24"/>
                <w:szCs w:val="24"/>
                <w:lang w:val="vi-VN"/>
              </w:rPr>
            </w:pPr>
            <w:r w:rsidRPr="008E63BB">
              <w:rPr>
                <w:b/>
                <w:bCs/>
                <w:sz w:val="24"/>
                <w:szCs w:val="24"/>
                <w:lang w:val="vi-VN"/>
              </w:rPr>
              <w:t>Thành phần chất ô nhiễm</w:t>
            </w:r>
          </w:p>
        </w:tc>
        <w:tc>
          <w:tcPr>
            <w:tcW w:w="3223" w:type="dxa"/>
            <w:tcBorders>
              <w:top w:val="single" w:sz="4" w:space="0" w:color="auto"/>
              <w:left w:val="single" w:sz="4" w:space="0" w:color="auto"/>
              <w:bottom w:val="single" w:sz="4" w:space="0" w:color="auto"/>
              <w:right w:val="single" w:sz="4" w:space="0" w:color="auto"/>
            </w:tcBorders>
            <w:vAlign w:val="center"/>
            <w:hideMark/>
          </w:tcPr>
          <w:p w14:paraId="519B448F" w14:textId="77777777" w:rsidR="008C1B81" w:rsidRPr="008E63BB" w:rsidRDefault="008C1B81" w:rsidP="003D057A">
            <w:pPr>
              <w:tabs>
                <w:tab w:val="left" w:pos="3122"/>
              </w:tabs>
              <w:spacing w:before="20" w:after="20"/>
              <w:jc w:val="center"/>
              <w:rPr>
                <w:b/>
                <w:bCs/>
                <w:sz w:val="24"/>
                <w:szCs w:val="24"/>
                <w:lang w:val="vi-VN"/>
              </w:rPr>
            </w:pPr>
            <w:r w:rsidRPr="008E63BB">
              <w:rPr>
                <w:b/>
                <w:bCs/>
                <w:sz w:val="24"/>
                <w:szCs w:val="24"/>
                <w:lang w:val="vi-VN"/>
              </w:rPr>
              <w:t>Khu vực và</w:t>
            </w:r>
          </w:p>
          <w:p w14:paraId="519B4490" w14:textId="77777777" w:rsidR="008C1B81" w:rsidRPr="008E63BB" w:rsidRDefault="008C1B81" w:rsidP="003D057A">
            <w:pPr>
              <w:tabs>
                <w:tab w:val="left" w:pos="3122"/>
              </w:tabs>
              <w:spacing w:before="20" w:after="20"/>
              <w:jc w:val="center"/>
              <w:rPr>
                <w:b/>
                <w:bCs/>
                <w:sz w:val="24"/>
                <w:szCs w:val="24"/>
                <w:lang w:val="vi-VN"/>
              </w:rPr>
            </w:pPr>
            <w:r w:rsidRPr="008E63BB">
              <w:rPr>
                <w:b/>
                <w:bCs/>
                <w:sz w:val="24"/>
                <w:szCs w:val="24"/>
                <w:lang w:val="vi-VN"/>
              </w:rPr>
              <w:t>mức độ tác động</w:t>
            </w:r>
          </w:p>
        </w:tc>
      </w:tr>
      <w:tr w:rsidR="008D5BFE" w:rsidRPr="008E63BB" w14:paraId="519B4496" w14:textId="77777777" w:rsidTr="00DE0230">
        <w:tc>
          <w:tcPr>
            <w:tcW w:w="2430" w:type="dxa"/>
            <w:tcBorders>
              <w:top w:val="single" w:sz="4" w:space="0" w:color="auto"/>
              <w:left w:val="single" w:sz="4" w:space="0" w:color="auto"/>
              <w:bottom w:val="single" w:sz="4" w:space="0" w:color="auto"/>
              <w:right w:val="single" w:sz="4" w:space="0" w:color="auto"/>
            </w:tcBorders>
            <w:hideMark/>
          </w:tcPr>
          <w:p w14:paraId="519B4492" w14:textId="77777777" w:rsidR="008C1B81" w:rsidRPr="008E63BB" w:rsidRDefault="008C1B81" w:rsidP="008F29AA">
            <w:pPr>
              <w:tabs>
                <w:tab w:val="left" w:pos="3122"/>
              </w:tabs>
              <w:spacing w:before="20" w:after="20"/>
              <w:rPr>
                <w:sz w:val="24"/>
                <w:szCs w:val="24"/>
                <w:lang w:val="vi-VN"/>
              </w:rPr>
            </w:pPr>
            <w:r w:rsidRPr="008E63BB">
              <w:rPr>
                <w:sz w:val="24"/>
                <w:szCs w:val="24"/>
                <w:lang w:val="de-DE"/>
              </w:rPr>
              <w:t>Khu vực phát triển dân cư, DVTM (khu ở, công trình công cộng, dịch vụ,...)</w:t>
            </w:r>
          </w:p>
        </w:tc>
        <w:tc>
          <w:tcPr>
            <w:tcW w:w="3524" w:type="dxa"/>
            <w:tcBorders>
              <w:top w:val="single" w:sz="4" w:space="0" w:color="auto"/>
              <w:left w:val="single" w:sz="4" w:space="0" w:color="auto"/>
              <w:bottom w:val="single" w:sz="4" w:space="0" w:color="auto"/>
              <w:right w:val="single" w:sz="4" w:space="0" w:color="auto"/>
            </w:tcBorders>
          </w:tcPr>
          <w:p w14:paraId="519B4493" w14:textId="77777777" w:rsidR="008C1B81" w:rsidRPr="008E63BB" w:rsidRDefault="008C1B81" w:rsidP="008F29AA">
            <w:pPr>
              <w:spacing w:before="20" w:after="20"/>
              <w:rPr>
                <w:sz w:val="24"/>
                <w:szCs w:val="24"/>
                <w:lang w:val="vi-VN"/>
              </w:rPr>
            </w:pPr>
            <w:r w:rsidRPr="008E63BB">
              <w:rPr>
                <w:sz w:val="24"/>
                <w:szCs w:val="24"/>
                <w:lang w:val="vi-VN"/>
              </w:rPr>
              <w:t>Các chất ô nhiễm không khí như bụi, khí CO, khí S0</w:t>
            </w:r>
            <w:r w:rsidRPr="008E63BB">
              <w:rPr>
                <w:sz w:val="24"/>
                <w:szCs w:val="24"/>
                <w:vertAlign w:val="subscript"/>
                <w:lang w:val="vi-VN"/>
              </w:rPr>
              <w:t>2</w:t>
            </w:r>
            <w:r w:rsidRPr="008E63BB">
              <w:rPr>
                <w:sz w:val="24"/>
                <w:szCs w:val="24"/>
                <w:lang w:val="vi-VN"/>
              </w:rPr>
              <w:t>, VOC…</w:t>
            </w:r>
          </w:p>
          <w:p w14:paraId="519B4494" w14:textId="77777777" w:rsidR="008C1B81" w:rsidRPr="008E63BB" w:rsidRDefault="008C1B81" w:rsidP="008F29AA">
            <w:pPr>
              <w:tabs>
                <w:tab w:val="left" w:pos="3122"/>
              </w:tabs>
              <w:spacing w:before="20" w:after="20"/>
              <w:rPr>
                <w:sz w:val="24"/>
                <w:szCs w:val="24"/>
                <w:lang w:val="vi-VN"/>
              </w:rPr>
            </w:pPr>
          </w:p>
        </w:tc>
        <w:tc>
          <w:tcPr>
            <w:tcW w:w="3223" w:type="dxa"/>
            <w:tcBorders>
              <w:top w:val="single" w:sz="4" w:space="0" w:color="auto"/>
              <w:left w:val="single" w:sz="4" w:space="0" w:color="auto"/>
              <w:bottom w:val="single" w:sz="4" w:space="0" w:color="auto"/>
              <w:right w:val="single" w:sz="4" w:space="0" w:color="auto"/>
            </w:tcBorders>
            <w:hideMark/>
          </w:tcPr>
          <w:p w14:paraId="519B4495" w14:textId="77777777" w:rsidR="008C1B81" w:rsidRPr="008E63BB" w:rsidRDefault="008C1B81" w:rsidP="008F29AA">
            <w:pPr>
              <w:tabs>
                <w:tab w:val="left" w:pos="3122"/>
              </w:tabs>
              <w:spacing w:before="20" w:after="20"/>
              <w:rPr>
                <w:b/>
                <w:bCs/>
                <w:sz w:val="24"/>
                <w:szCs w:val="24"/>
                <w:lang w:val="vi-VN"/>
              </w:rPr>
            </w:pPr>
            <w:r w:rsidRPr="008E63BB">
              <w:rPr>
                <w:sz w:val="24"/>
                <w:szCs w:val="24"/>
                <w:lang w:val="vi-VN"/>
              </w:rPr>
              <w:t xml:space="preserve">Môi trường không khí trong khu vực. Mức độ tác động trung bình. </w:t>
            </w:r>
          </w:p>
        </w:tc>
      </w:tr>
      <w:tr w:rsidR="008D5BFE" w:rsidRPr="008E63BB" w14:paraId="519B449A" w14:textId="77777777" w:rsidTr="00DE0230">
        <w:tc>
          <w:tcPr>
            <w:tcW w:w="2430" w:type="dxa"/>
            <w:tcBorders>
              <w:top w:val="single" w:sz="4" w:space="0" w:color="auto"/>
              <w:left w:val="single" w:sz="4" w:space="0" w:color="auto"/>
              <w:bottom w:val="single" w:sz="4" w:space="0" w:color="auto"/>
              <w:right w:val="single" w:sz="4" w:space="0" w:color="auto"/>
            </w:tcBorders>
            <w:hideMark/>
          </w:tcPr>
          <w:p w14:paraId="519B4497"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Khu công nghiệp</w:t>
            </w:r>
          </w:p>
        </w:tc>
        <w:tc>
          <w:tcPr>
            <w:tcW w:w="3524" w:type="dxa"/>
            <w:tcBorders>
              <w:top w:val="single" w:sz="4" w:space="0" w:color="auto"/>
              <w:left w:val="single" w:sz="4" w:space="0" w:color="auto"/>
              <w:bottom w:val="single" w:sz="4" w:space="0" w:color="auto"/>
              <w:right w:val="single" w:sz="4" w:space="0" w:color="auto"/>
            </w:tcBorders>
            <w:hideMark/>
          </w:tcPr>
          <w:p w14:paraId="519B4498" w14:textId="77777777" w:rsidR="008C1B81" w:rsidRPr="008E63BB" w:rsidRDefault="008C1B81" w:rsidP="008F29AA">
            <w:pPr>
              <w:spacing w:before="20" w:after="20"/>
              <w:rPr>
                <w:sz w:val="24"/>
                <w:szCs w:val="24"/>
                <w:lang w:val="fr-FR"/>
              </w:rPr>
            </w:pPr>
            <w:r w:rsidRPr="008E63BB">
              <w:rPr>
                <w:sz w:val="24"/>
                <w:szCs w:val="24"/>
                <w:lang w:val="fr-FR"/>
              </w:rPr>
              <w:t>Các chất ô nhiễm không khí như bụi, khí CO, khí S0</w:t>
            </w:r>
            <w:r w:rsidRPr="008E63BB">
              <w:rPr>
                <w:sz w:val="24"/>
                <w:szCs w:val="24"/>
                <w:vertAlign w:val="subscript"/>
                <w:lang w:val="fr-FR"/>
              </w:rPr>
              <w:t>2</w:t>
            </w:r>
            <w:r w:rsidRPr="008E63BB">
              <w:rPr>
                <w:sz w:val="24"/>
                <w:szCs w:val="24"/>
                <w:lang w:val="fr-FR"/>
              </w:rPr>
              <w:t>, H2S, hơi hữu cơ, hơi hóa chất…</w:t>
            </w:r>
          </w:p>
        </w:tc>
        <w:tc>
          <w:tcPr>
            <w:tcW w:w="3223" w:type="dxa"/>
            <w:tcBorders>
              <w:top w:val="single" w:sz="4" w:space="0" w:color="auto"/>
              <w:left w:val="single" w:sz="4" w:space="0" w:color="auto"/>
              <w:bottom w:val="single" w:sz="4" w:space="0" w:color="auto"/>
              <w:right w:val="single" w:sz="4" w:space="0" w:color="auto"/>
            </w:tcBorders>
            <w:hideMark/>
          </w:tcPr>
          <w:p w14:paraId="519B4499"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Môi trường không khí trong khu vực. Mức độ tác động rất mạnh.</w:t>
            </w:r>
          </w:p>
        </w:tc>
      </w:tr>
      <w:tr w:rsidR="008D5BFE" w:rsidRPr="008E63BB" w14:paraId="519B449E" w14:textId="77777777" w:rsidTr="00DE0230">
        <w:tc>
          <w:tcPr>
            <w:tcW w:w="2430" w:type="dxa"/>
            <w:tcBorders>
              <w:top w:val="single" w:sz="4" w:space="0" w:color="auto"/>
              <w:left w:val="single" w:sz="4" w:space="0" w:color="auto"/>
              <w:bottom w:val="single" w:sz="4" w:space="0" w:color="auto"/>
              <w:right w:val="single" w:sz="4" w:space="0" w:color="auto"/>
            </w:tcBorders>
            <w:hideMark/>
          </w:tcPr>
          <w:p w14:paraId="519B449B"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Khu logistic</w:t>
            </w:r>
          </w:p>
        </w:tc>
        <w:tc>
          <w:tcPr>
            <w:tcW w:w="3524" w:type="dxa"/>
            <w:tcBorders>
              <w:top w:val="single" w:sz="4" w:space="0" w:color="auto"/>
              <w:left w:val="single" w:sz="4" w:space="0" w:color="auto"/>
              <w:bottom w:val="single" w:sz="4" w:space="0" w:color="auto"/>
              <w:right w:val="single" w:sz="4" w:space="0" w:color="auto"/>
            </w:tcBorders>
            <w:hideMark/>
          </w:tcPr>
          <w:p w14:paraId="519B449C" w14:textId="77777777" w:rsidR="008C1B81" w:rsidRPr="008E63BB" w:rsidRDefault="008C1B81" w:rsidP="008F29AA">
            <w:pPr>
              <w:tabs>
                <w:tab w:val="left" w:pos="3122"/>
              </w:tabs>
              <w:spacing w:before="20" w:after="20"/>
              <w:rPr>
                <w:b/>
                <w:bCs/>
                <w:sz w:val="24"/>
                <w:szCs w:val="24"/>
                <w:lang w:val="fr-FR"/>
              </w:rPr>
            </w:pPr>
            <w:r w:rsidRPr="008E63BB">
              <w:rPr>
                <w:sz w:val="24"/>
                <w:szCs w:val="24"/>
                <w:lang w:val="fr-FR"/>
              </w:rPr>
              <w:t>Các chất ô nhiễm không khí như bụi, khí CO, khí S0</w:t>
            </w:r>
            <w:r w:rsidRPr="008E63BB">
              <w:rPr>
                <w:sz w:val="24"/>
                <w:szCs w:val="24"/>
                <w:vertAlign w:val="subscript"/>
                <w:lang w:val="fr-FR"/>
              </w:rPr>
              <w:t>2</w:t>
            </w:r>
            <w:r w:rsidRPr="008E63BB">
              <w:rPr>
                <w:sz w:val="24"/>
                <w:szCs w:val="24"/>
                <w:lang w:val="fr-FR"/>
              </w:rPr>
              <w:t>, … do các phương tiện cơ giới, hoạt động lao động sản xuất trong khu vực</w:t>
            </w:r>
          </w:p>
        </w:tc>
        <w:tc>
          <w:tcPr>
            <w:tcW w:w="3223" w:type="dxa"/>
            <w:tcBorders>
              <w:top w:val="single" w:sz="4" w:space="0" w:color="auto"/>
              <w:left w:val="single" w:sz="4" w:space="0" w:color="auto"/>
              <w:bottom w:val="single" w:sz="4" w:space="0" w:color="auto"/>
              <w:right w:val="single" w:sz="4" w:space="0" w:color="auto"/>
            </w:tcBorders>
            <w:hideMark/>
          </w:tcPr>
          <w:p w14:paraId="519B449D" w14:textId="77777777" w:rsidR="008C1B81" w:rsidRPr="008E63BB" w:rsidRDefault="008C1B81" w:rsidP="008F29AA">
            <w:pPr>
              <w:tabs>
                <w:tab w:val="left" w:pos="3122"/>
              </w:tabs>
              <w:spacing w:before="20" w:after="20"/>
              <w:rPr>
                <w:b/>
                <w:bCs/>
                <w:sz w:val="24"/>
                <w:szCs w:val="24"/>
                <w:lang w:val="fr-FR"/>
              </w:rPr>
            </w:pPr>
            <w:r w:rsidRPr="008E63BB">
              <w:rPr>
                <w:sz w:val="24"/>
                <w:szCs w:val="24"/>
                <w:lang w:val="fr-FR"/>
              </w:rPr>
              <w:t xml:space="preserve">Môi trường không khí trong khu vực. Mức độ tác động rất mạnh. </w:t>
            </w:r>
          </w:p>
        </w:tc>
      </w:tr>
      <w:tr w:rsidR="008D5BFE" w:rsidRPr="008E63BB" w14:paraId="519B44A2" w14:textId="77777777" w:rsidTr="00DE0230">
        <w:tc>
          <w:tcPr>
            <w:tcW w:w="2430" w:type="dxa"/>
            <w:tcBorders>
              <w:top w:val="single" w:sz="4" w:space="0" w:color="auto"/>
              <w:left w:val="single" w:sz="4" w:space="0" w:color="auto"/>
              <w:bottom w:val="single" w:sz="4" w:space="0" w:color="auto"/>
              <w:right w:val="single" w:sz="4" w:space="0" w:color="auto"/>
            </w:tcBorders>
            <w:hideMark/>
          </w:tcPr>
          <w:p w14:paraId="519B449F"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Khu đô thị sinh thái, nông nghiệp sinh thái</w:t>
            </w:r>
          </w:p>
        </w:tc>
        <w:tc>
          <w:tcPr>
            <w:tcW w:w="3524" w:type="dxa"/>
            <w:tcBorders>
              <w:top w:val="single" w:sz="4" w:space="0" w:color="auto"/>
              <w:left w:val="single" w:sz="4" w:space="0" w:color="auto"/>
              <w:bottom w:val="single" w:sz="4" w:space="0" w:color="auto"/>
              <w:right w:val="single" w:sz="4" w:space="0" w:color="auto"/>
            </w:tcBorders>
            <w:hideMark/>
          </w:tcPr>
          <w:p w14:paraId="519B44A0"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Các chất ô nhiễm không khí như bụi, khí CO, khí S0</w:t>
            </w:r>
            <w:r w:rsidRPr="008E63BB">
              <w:rPr>
                <w:sz w:val="24"/>
                <w:szCs w:val="24"/>
                <w:vertAlign w:val="subscript"/>
                <w:lang w:val="fr-FR"/>
              </w:rPr>
              <w:t>2</w:t>
            </w:r>
            <w:r w:rsidRPr="008E63BB">
              <w:rPr>
                <w:sz w:val="24"/>
                <w:szCs w:val="24"/>
                <w:lang w:val="fr-FR"/>
              </w:rPr>
              <w:t>, …</w:t>
            </w:r>
          </w:p>
        </w:tc>
        <w:tc>
          <w:tcPr>
            <w:tcW w:w="3223" w:type="dxa"/>
            <w:tcBorders>
              <w:top w:val="single" w:sz="4" w:space="0" w:color="auto"/>
              <w:left w:val="single" w:sz="4" w:space="0" w:color="auto"/>
              <w:bottom w:val="single" w:sz="4" w:space="0" w:color="auto"/>
              <w:right w:val="single" w:sz="4" w:space="0" w:color="auto"/>
            </w:tcBorders>
            <w:hideMark/>
          </w:tcPr>
          <w:p w14:paraId="519B44A1"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 xml:space="preserve">Môi trường không khí trong khu vực. Mức độ tác động thấp. </w:t>
            </w:r>
          </w:p>
        </w:tc>
      </w:tr>
      <w:tr w:rsidR="008D5BFE" w:rsidRPr="008E63BB" w14:paraId="519B44A6" w14:textId="77777777" w:rsidTr="00DE0230">
        <w:tc>
          <w:tcPr>
            <w:tcW w:w="2430" w:type="dxa"/>
            <w:tcBorders>
              <w:top w:val="single" w:sz="4" w:space="0" w:color="auto"/>
              <w:left w:val="single" w:sz="4" w:space="0" w:color="auto"/>
              <w:bottom w:val="single" w:sz="4" w:space="0" w:color="auto"/>
              <w:right w:val="single" w:sz="4" w:space="0" w:color="auto"/>
            </w:tcBorders>
            <w:hideMark/>
          </w:tcPr>
          <w:p w14:paraId="519B44A3"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Phát triển hệ thống giao thông</w:t>
            </w:r>
          </w:p>
        </w:tc>
        <w:tc>
          <w:tcPr>
            <w:tcW w:w="3524" w:type="dxa"/>
            <w:tcBorders>
              <w:top w:val="single" w:sz="4" w:space="0" w:color="auto"/>
              <w:left w:val="single" w:sz="4" w:space="0" w:color="auto"/>
              <w:bottom w:val="single" w:sz="4" w:space="0" w:color="auto"/>
              <w:right w:val="single" w:sz="4" w:space="0" w:color="auto"/>
            </w:tcBorders>
            <w:hideMark/>
          </w:tcPr>
          <w:p w14:paraId="519B44A4" w14:textId="77777777" w:rsidR="008C1B81" w:rsidRPr="008E63BB" w:rsidRDefault="008C1B81" w:rsidP="008F29AA">
            <w:pPr>
              <w:tabs>
                <w:tab w:val="left" w:pos="3122"/>
              </w:tabs>
              <w:spacing w:before="20" w:after="20"/>
              <w:rPr>
                <w:sz w:val="24"/>
                <w:szCs w:val="24"/>
                <w:lang w:val="fr-FR"/>
              </w:rPr>
            </w:pPr>
            <w:r w:rsidRPr="008E63BB">
              <w:rPr>
                <w:sz w:val="24"/>
                <w:szCs w:val="24"/>
              </w:rPr>
              <w:t xml:space="preserve">Tiếng ồn, </w:t>
            </w:r>
            <w:r w:rsidRPr="008E63BB">
              <w:rPr>
                <w:sz w:val="24"/>
                <w:szCs w:val="24"/>
                <w:lang w:val="vi-VN"/>
              </w:rPr>
              <w:t>bụi, CO, CO</w:t>
            </w:r>
            <w:r w:rsidRPr="008E63BB">
              <w:rPr>
                <w:sz w:val="24"/>
                <w:szCs w:val="24"/>
                <w:vertAlign w:val="subscript"/>
                <w:lang w:val="vi-VN"/>
              </w:rPr>
              <w:t>2</w:t>
            </w:r>
            <w:r w:rsidRPr="008E63BB">
              <w:rPr>
                <w:sz w:val="24"/>
                <w:szCs w:val="24"/>
                <w:lang w:val="vi-VN"/>
              </w:rPr>
              <w:t>, SO</w:t>
            </w:r>
            <w:r w:rsidRPr="008E63BB">
              <w:rPr>
                <w:sz w:val="24"/>
                <w:szCs w:val="24"/>
                <w:vertAlign w:val="subscript"/>
                <w:lang w:val="vi-VN"/>
              </w:rPr>
              <w:t>2</w:t>
            </w:r>
            <w:r w:rsidRPr="008E63BB">
              <w:rPr>
                <w:sz w:val="24"/>
                <w:szCs w:val="24"/>
                <w:lang w:val="vi-VN"/>
              </w:rPr>
              <w:t>, C</w:t>
            </w:r>
            <w:r w:rsidRPr="008E63BB">
              <w:rPr>
                <w:sz w:val="24"/>
                <w:szCs w:val="24"/>
                <w:vertAlign w:val="subscript"/>
                <w:lang w:val="vi-VN"/>
              </w:rPr>
              <w:t>X</w:t>
            </w:r>
            <w:r w:rsidRPr="008E63BB">
              <w:rPr>
                <w:sz w:val="24"/>
                <w:szCs w:val="24"/>
                <w:lang w:val="vi-VN"/>
              </w:rPr>
              <w:t>H</w:t>
            </w:r>
            <w:r w:rsidRPr="008E63BB">
              <w:rPr>
                <w:sz w:val="24"/>
                <w:szCs w:val="24"/>
                <w:vertAlign w:val="subscript"/>
                <w:lang w:val="vi-VN"/>
              </w:rPr>
              <w:t>y</w:t>
            </w:r>
            <w:r w:rsidRPr="008E63BB">
              <w:rPr>
                <w:sz w:val="24"/>
                <w:szCs w:val="24"/>
                <w:lang w:val="vi-VN"/>
              </w:rPr>
              <w:t>, H</w:t>
            </w:r>
            <w:r w:rsidRPr="008E63BB">
              <w:rPr>
                <w:sz w:val="24"/>
                <w:szCs w:val="24"/>
                <w:vertAlign w:val="subscript"/>
                <w:lang w:val="vi-VN"/>
              </w:rPr>
              <w:t>2</w:t>
            </w:r>
            <w:r w:rsidRPr="008E63BB">
              <w:rPr>
                <w:sz w:val="24"/>
                <w:szCs w:val="24"/>
                <w:lang w:val="vi-VN"/>
              </w:rPr>
              <w:t>S, NO</w:t>
            </w:r>
            <w:r w:rsidRPr="008E63BB">
              <w:rPr>
                <w:sz w:val="24"/>
                <w:szCs w:val="24"/>
                <w:vertAlign w:val="subscript"/>
                <w:lang w:val="vi-VN"/>
              </w:rPr>
              <w:t>x</w:t>
            </w:r>
            <w:r w:rsidRPr="008E63BB">
              <w:rPr>
                <w:sz w:val="24"/>
                <w:szCs w:val="24"/>
                <w:lang w:val="vi-VN"/>
              </w:rPr>
              <w:t>, VOC,…</w:t>
            </w:r>
          </w:p>
        </w:tc>
        <w:tc>
          <w:tcPr>
            <w:tcW w:w="3223" w:type="dxa"/>
            <w:tcBorders>
              <w:top w:val="single" w:sz="4" w:space="0" w:color="auto"/>
              <w:left w:val="single" w:sz="4" w:space="0" w:color="auto"/>
              <w:bottom w:val="single" w:sz="4" w:space="0" w:color="auto"/>
              <w:right w:val="single" w:sz="4" w:space="0" w:color="auto"/>
            </w:tcBorders>
            <w:hideMark/>
          </w:tcPr>
          <w:p w14:paraId="519B44A5"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Môi trường không khí; Mức độ tác động mạnh tại các nút giao thông, bến bãi, tuyến đường lớn trong khu vực</w:t>
            </w:r>
          </w:p>
        </w:tc>
      </w:tr>
      <w:tr w:rsidR="008D5BFE" w:rsidRPr="008E63BB" w14:paraId="519B44AA" w14:textId="77777777" w:rsidTr="00DE0230">
        <w:tc>
          <w:tcPr>
            <w:tcW w:w="2430" w:type="dxa"/>
            <w:tcBorders>
              <w:top w:val="single" w:sz="4" w:space="0" w:color="auto"/>
              <w:left w:val="single" w:sz="4" w:space="0" w:color="auto"/>
              <w:bottom w:val="single" w:sz="4" w:space="0" w:color="auto"/>
              <w:right w:val="single" w:sz="4" w:space="0" w:color="auto"/>
            </w:tcBorders>
            <w:hideMark/>
          </w:tcPr>
          <w:p w14:paraId="519B44A7"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Phát triển nông nghiệp</w:t>
            </w:r>
          </w:p>
        </w:tc>
        <w:tc>
          <w:tcPr>
            <w:tcW w:w="3524" w:type="dxa"/>
            <w:tcBorders>
              <w:top w:val="single" w:sz="4" w:space="0" w:color="auto"/>
              <w:left w:val="single" w:sz="4" w:space="0" w:color="auto"/>
              <w:bottom w:val="single" w:sz="4" w:space="0" w:color="auto"/>
              <w:right w:val="single" w:sz="4" w:space="0" w:color="auto"/>
            </w:tcBorders>
            <w:hideMark/>
          </w:tcPr>
          <w:p w14:paraId="519B44A8"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Hơi hữu cơ, CO, SO</w:t>
            </w:r>
            <w:r w:rsidRPr="008E63BB">
              <w:rPr>
                <w:sz w:val="24"/>
                <w:szCs w:val="24"/>
                <w:vertAlign w:val="subscript"/>
                <w:lang w:val="fr-FR"/>
              </w:rPr>
              <w:t>2</w:t>
            </w:r>
            <w:r w:rsidRPr="008E63BB">
              <w:rPr>
                <w:sz w:val="24"/>
                <w:szCs w:val="24"/>
                <w:lang w:val="fr-FR"/>
              </w:rPr>
              <w:t>, CH</w:t>
            </w:r>
            <w:r w:rsidRPr="008E63BB">
              <w:rPr>
                <w:sz w:val="24"/>
                <w:szCs w:val="24"/>
                <w:vertAlign w:val="subscript"/>
                <w:lang w:val="fr-FR"/>
              </w:rPr>
              <w:t>4</w:t>
            </w:r>
            <w:r w:rsidRPr="008E63BB">
              <w:rPr>
                <w:sz w:val="24"/>
                <w:szCs w:val="24"/>
                <w:lang w:val="fr-FR"/>
              </w:rPr>
              <w:t>, NOx, H</w:t>
            </w:r>
            <w:r w:rsidRPr="008E63BB">
              <w:rPr>
                <w:sz w:val="24"/>
                <w:szCs w:val="24"/>
                <w:vertAlign w:val="subscript"/>
                <w:lang w:val="fr-FR"/>
              </w:rPr>
              <w:t>2</w:t>
            </w:r>
            <w:r w:rsidRPr="008E63BB">
              <w:rPr>
                <w:sz w:val="24"/>
                <w:szCs w:val="24"/>
                <w:lang w:val="fr-FR"/>
              </w:rPr>
              <w:t>S, VOC, khói, bụi…</w:t>
            </w:r>
          </w:p>
        </w:tc>
        <w:tc>
          <w:tcPr>
            <w:tcW w:w="3223" w:type="dxa"/>
            <w:tcBorders>
              <w:top w:val="single" w:sz="4" w:space="0" w:color="auto"/>
              <w:left w:val="single" w:sz="4" w:space="0" w:color="auto"/>
              <w:bottom w:val="single" w:sz="4" w:space="0" w:color="auto"/>
              <w:right w:val="single" w:sz="4" w:space="0" w:color="auto"/>
            </w:tcBorders>
            <w:hideMark/>
          </w:tcPr>
          <w:p w14:paraId="519B44A9" w14:textId="77777777" w:rsidR="008C1B81" w:rsidRPr="008E63BB" w:rsidRDefault="008C1B81" w:rsidP="008F29AA">
            <w:pPr>
              <w:tabs>
                <w:tab w:val="left" w:pos="3122"/>
              </w:tabs>
              <w:spacing w:before="20" w:after="20"/>
              <w:rPr>
                <w:sz w:val="24"/>
                <w:szCs w:val="24"/>
                <w:lang w:val="fr-FR"/>
              </w:rPr>
            </w:pPr>
            <w:r w:rsidRPr="008E63BB">
              <w:rPr>
                <w:sz w:val="24"/>
                <w:szCs w:val="24"/>
                <w:lang w:val="fr-FR"/>
              </w:rPr>
              <w:t>Môi trường không khí, mức độ tác động trung bình, cục bộ mạnh tại điểm tập trung chăn nuôi lớn, đốt rơm, rạ mùa thu hoạch, phun HCBVTV nồng độ cao…</w:t>
            </w:r>
          </w:p>
        </w:tc>
      </w:tr>
    </w:tbl>
    <w:p w14:paraId="519B44AB" w14:textId="77777777" w:rsidR="008C1B81" w:rsidRPr="008E63BB" w:rsidRDefault="008C1B81" w:rsidP="003D057A">
      <w:pPr>
        <w:tabs>
          <w:tab w:val="left" w:pos="709"/>
        </w:tabs>
        <w:spacing w:before="80"/>
        <w:ind w:firstLine="567"/>
        <w:rPr>
          <w:szCs w:val="26"/>
          <w:lang w:val="vi-VN"/>
        </w:rPr>
      </w:pPr>
      <w:r w:rsidRPr="008E63BB">
        <w:rPr>
          <w:szCs w:val="26"/>
          <w:lang w:val="fr-FR"/>
        </w:rPr>
        <w:t>Ngoài ra, b</w:t>
      </w:r>
      <w:r w:rsidRPr="008E63BB">
        <w:rPr>
          <w:szCs w:val="26"/>
          <w:lang w:val="vi-VN"/>
        </w:rPr>
        <w:t>ề mặt đất trống, cây xanh, mặt nước giảm đi, thay vào đó là các bề mặt bắt giữ nhiệt (như: bê tông, nhựa đường, gạch, ngói,…) =&gt; hiện tượng nghịch nhiệt, tích tụ chất ô nhiễm sát mặt đất tăng lên, độ ẩm trong không khí và khả năng hấp thụ chất ô nhiễm giảm =&gt; Môi trường không khí trong khu vực oi bức và khó chịu hơn;</w:t>
      </w:r>
    </w:p>
    <w:p w14:paraId="519B44AC" w14:textId="77777777" w:rsidR="008C1B81" w:rsidRPr="008E63BB" w:rsidRDefault="008C1B81" w:rsidP="003D057A">
      <w:pPr>
        <w:tabs>
          <w:tab w:val="left" w:pos="851"/>
        </w:tabs>
        <w:spacing w:before="80"/>
        <w:rPr>
          <w:i/>
          <w:szCs w:val="26"/>
          <w:lang w:val="vi-VN"/>
        </w:rPr>
      </w:pPr>
      <w:r w:rsidRPr="008E63BB">
        <w:rPr>
          <w:i/>
          <w:szCs w:val="26"/>
          <w:lang w:val="vi-VN"/>
        </w:rPr>
        <w:t>d/. Diễn biến môi trường đất</w:t>
      </w:r>
    </w:p>
    <w:p w14:paraId="519B44AD" w14:textId="77777777" w:rsidR="008F29AA" w:rsidRPr="008E63BB" w:rsidRDefault="008F29AA" w:rsidP="003D057A">
      <w:pPr>
        <w:tabs>
          <w:tab w:val="num" w:pos="360"/>
          <w:tab w:val="left" w:pos="630"/>
        </w:tabs>
        <w:spacing w:before="80"/>
        <w:ind w:firstLine="547"/>
        <w:rPr>
          <w:rFonts w:eastAsia="Arial Unicode MS"/>
          <w:szCs w:val="26"/>
          <w:u w:color="000000"/>
          <w:lang w:val="vi-VN"/>
        </w:rPr>
      </w:pPr>
      <w:r w:rsidRPr="008E63BB">
        <w:rPr>
          <w:rFonts w:eastAsia="Arial Unicode MS"/>
          <w:szCs w:val="26"/>
          <w:u w:color="000000"/>
          <w:lang w:val="vi-VN"/>
        </w:rPr>
        <w:t>- Xu hướng tăng dân số, đô thị hoá, công nghiệp hoá nhanh sẽ gây áp lực đối với việc khai thác, sử dụng tài nguyên đất. Nhiều diện tích đất nông nghiệp sẽ bị chuyển đổi thành đất công nghiệp, dịch vụ, du lịch và phát triển đô thị. Do đó, nếu không có quy hoạch sử dụng đất hợp lý sẽ gây nên tình trạng lãng phí và sử dụng đất không đúng mục đích, gây tổn hại đến kinh tế, xã hội của địa phương.</w:t>
      </w:r>
    </w:p>
    <w:p w14:paraId="519B44AE" w14:textId="77777777" w:rsidR="008F29AA" w:rsidRPr="008E63BB" w:rsidRDefault="008F29AA" w:rsidP="003D057A">
      <w:pPr>
        <w:tabs>
          <w:tab w:val="left" w:pos="630"/>
          <w:tab w:val="left" w:pos="851"/>
          <w:tab w:val="left" w:pos="993"/>
        </w:tabs>
        <w:spacing w:before="80"/>
        <w:ind w:firstLine="547"/>
        <w:rPr>
          <w:szCs w:val="26"/>
          <w:lang w:val="vi-VN"/>
        </w:rPr>
      </w:pPr>
      <w:r w:rsidRPr="008E63BB">
        <w:rPr>
          <w:rFonts w:eastAsia="Arial Unicode MS"/>
          <w:szCs w:val="26"/>
          <w:u w:color="000000"/>
          <w:lang w:val="vi-VN"/>
        </w:rPr>
        <w:t xml:space="preserve">- </w:t>
      </w:r>
      <w:r w:rsidRPr="008E63BB">
        <w:rPr>
          <w:szCs w:val="26"/>
          <w:lang w:val="vi-VN"/>
        </w:rPr>
        <w:t>Theo quy hoạch, diện tích đất nông nghiệp sẽ bị thu hẹp, trong khi đó dân số, dịch vụ, du lịch, công nghiệp ngày càng phát triển; khiến nhu cầu về lương thực ngày càng gia tăng; Để đáp ứng nhu cầu chung của đô thị, việc tìm ra các giải pháp nâng cao năng suất lương thực, thực phẩm sẽ ngày càng gia tăng; Việc sử dụng hóa chất trong trồng trọt, chăn nuôi có thể được áp dụng để đem lại hiệu quả kinh tế cao, tăng lượng thành phầm của cây trồng, vật nuôi; Song, việc làm này lại tiềm ẩn nhiều nguy cơ, ảnh hưởng đến môi trường và sức khỏe cộng đồng nếu công tác kiểm soát sử dụng hóa chất trong trồng trọt, chăn nuôi không được thực hiện tốt.</w:t>
      </w:r>
    </w:p>
    <w:p w14:paraId="519B44AF" w14:textId="77777777" w:rsidR="008F29AA" w:rsidRPr="008E63BB" w:rsidRDefault="008F29AA" w:rsidP="003D057A">
      <w:pPr>
        <w:tabs>
          <w:tab w:val="left" w:pos="630"/>
          <w:tab w:val="left" w:pos="851"/>
          <w:tab w:val="left" w:pos="993"/>
        </w:tabs>
        <w:spacing w:before="80"/>
        <w:ind w:firstLine="547"/>
        <w:rPr>
          <w:szCs w:val="26"/>
          <w:lang w:val="vi-VN"/>
        </w:rPr>
      </w:pPr>
      <w:r w:rsidRPr="008E63BB">
        <w:rPr>
          <w:szCs w:val="26"/>
          <w:lang w:val="vi-VN"/>
        </w:rPr>
        <w:lastRenderedPageBreak/>
        <w:t>- Các hoạt động phát triển công nghiệp, dịch vụ và đô thị sẽ phát sinh vảo môi trường một lượng chất thải, nước thải rất lớn (đặc biệt trong nước thải, chất thải công nghiệp có thể chứa nhiều thành phần có tính nguy hại cao); Nếu công tác thu gom, xử lý không được thực hiện tốt, quản lý và giám sát chặt chẽ, sẽ gây các tác động rất lớn đến môi trường đất, nước, không khí trong khu vực Tác động đến chất lượng cuộc sống, sức khỏe cộng đồng, mỹ quan và sức hấp dẫn của đô thị;</w:t>
      </w:r>
    </w:p>
    <w:p w14:paraId="519B44B0" w14:textId="77777777" w:rsidR="008F29AA" w:rsidRPr="008E63BB" w:rsidRDefault="008F29AA" w:rsidP="003D057A">
      <w:pPr>
        <w:tabs>
          <w:tab w:val="num" w:pos="360"/>
          <w:tab w:val="left" w:pos="630"/>
        </w:tabs>
        <w:spacing w:before="80"/>
        <w:ind w:firstLine="547"/>
        <w:rPr>
          <w:rFonts w:eastAsia="Arial Unicode MS"/>
          <w:spacing w:val="-4"/>
          <w:szCs w:val="26"/>
          <w:u w:color="000000"/>
          <w:lang w:val="vi-VN"/>
        </w:rPr>
      </w:pPr>
      <w:r w:rsidRPr="008E63BB">
        <w:rPr>
          <w:spacing w:val="-4"/>
          <w:szCs w:val="26"/>
          <w:lang w:val="vi-VN"/>
        </w:rPr>
        <w:t xml:space="preserve">- Để duy trì thảm thực vật tại khu vực phát triển sân golf ở phía Bắc, cần phải sử dụng một lượng lớn phân hóa học và thuốc bảo vệ thực vật; </w:t>
      </w:r>
      <w:r w:rsidRPr="008E63BB">
        <w:rPr>
          <w:rFonts w:eastAsia="Arial Unicode MS"/>
          <w:spacing w:val="-4"/>
          <w:szCs w:val="26"/>
          <w:u w:color="000000"/>
          <w:lang w:val="vi-VN"/>
        </w:rPr>
        <w:t>Tất cả các loại hoá chất này có thể ngấm xuống đất, vào nước ngầm, chảy tràn khi mưa xuống làm ô nhiễm vùng đất, nguồn nước mặt các khu vực lân cận. Ngoài ra khi phun hoá chất vào các thảm cỏ, một phần chúng phát tán vào môi trường làm ô nhiễm đất, không khí. Do đó, nếu không có biện pháp kiểm soát nghiêm ngặt thì khả năng ô nhiễm môi trường là hoàn toàn có thể xảy ra.</w:t>
      </w:r>
    </w:p>
    <w:p w14:paraId="519B44B1" w14:textId="77777777" w:rsidR="008F29AA" w:rsidRPr="008E63BB" w:rsidRDefault="008F29AA" w:rsidP="003D057A">
      <w:pPr>
        <w:tabs>
          <w:tab w:val="left" w:pos="630"/>
          <w:tab w:val="left" w:pos="851"/>
          <w:tab w:val="left" w:pos="993"/>
        </w:tabs>
        <w:ind w:firstLine="547"/>
        <w:rPr>
          <w:spacing w:val="-4"/>
          <w:szCs w:val="26"/>
          <w:lang w:val="vi-VN"/>
        </w:rPr>
      </w:pPr>
      <w:r w:rsidRPr="008E63BB">
        <w:rPr>
          <w:spacing w:val="-4"/>
          <w:szCs w:val="26"/>
          <w:lang w:val="vi-VN"/>
        </w:rPr>
        <w:t>- Các công trình xử lý nước thải, chất thải rắn là thành phần không thể thiếu để bảo vệ môi trường; Tuy nhiên, khi công tác xử lý không đảm bảo tiêu chí kỹ thuật hoặc xẩy ra sự cố, thì chính những công trình này lại sẽ trở thành các nguồn gây ô nhiễm tập trung, ảnh hưởng đến môi trường trong và quanh khu vực; Đặc biệt, các công trình xử lý chất thải rắn những năm qua tại Việt Nam thường gây ra nhiều bức xúc cho người dân tại các vùng tiếp giáp, do công tác quản lý và bảo vệ môi trường chưa được thực hiện tốt, ảnh hưởng đến môi trường, chất lượng cuộc sống của người dân sống xung quanh; Do vậy, Việc xử lý chất thải cần được quan tâm và giám sát chặt chẽ, đảm bảo các tiêu chí kỹ thuật, vệ sinh môi trường, trở thành công trình hữu ích, được người dân đón nhận và ủng hộ ở mọi mặt;</w:t>
      </w:r>
    </w:p>
    <w:p w14:paraId="519B44B2" w14:textId="77777777" w:rsidR="008F29AA" w:rsidRPr="008E63BB" w:rsidRDefault="008F29AA" w:rsidP="003D057A">
      <w:pPr>
        <w:tabs>
          <w:tab w:val="left" w:pos="630"/>
          <w:tab w:val="left" w:pos="851"/>
          <w:tab w:val="left" w:pos="993"/>
        </w:tabs>
        <w:ind w:firstLine="547"/>
        <w:rPr>
          <w:szCs w:val="26"/>
          <w:lang w:val="vi-VN"/>
        </w:rPr>
      </w:pPr>
      <w:r w:rsidRPr="008E63BB">
        <w:rPr>
          <w:szCs w:val="26"/>
          <w:lang w:val="vi-VN"/>
        </w:rPr>
        <w:t>- Nghĩa trang là một trong những công trình nhạy cảm, mang ý nghĩa văn hóa và tâm linh; Hiện, trong khu vực nghiên cứu quy hoạch còn tồn tại nhiều nghĩa trang nằm rải rác trong vùng lõi nội thành của Thành phố, gây ra các ảnh hưởng đến mỹ quan và môi trường khu vực; Đặc biệt, các nghĩa trang hung táng cũ chưa có các công trình xử lý, bảo vệ môi trường; Song, việc di rời, đóng cửa các nghĩa trang hiện hữu là một việc là rất khó khăn; Trong quy hoạch, cũng đã có đề xuất một số các nghĩa trang tập trung mới cho đô thị, lựa chọn vị trí phù hợp về giao thông, khoảng cách đến khu dân cư, công trình hạ tầng…; Tuy nhiên, nếu công tác quản lý và bảo vệ môi trường không được thực hiện tốt sẽ gây ra các tác động tiêu cưc đến môi trường, gây bức xúc cho người dân tại các khu vực xung quanh;</w:t>
      </w:r>
    </w:p>
    <w:p w14:paraId="519B44B3" w14:textId="77777777" w:rsidR="008F29AA" w:rsidRPr="008E63BB" w:rsidRDefault="008F29AA" w:rsidP="003D057A">
      <w:pPr>
        <w:tabs>
          <w:tab w:val="left" w:pos="630"/>
          <w:tab w:val="left" w:pos="851"/>
          <w:tab w:val="left" w:pos="993"/>
        </w:tabs>
        <w:ind w:firstLine="547"/>
        <w:rPr>
          <w:szCs w:val="26"/>
          <w:lang w:val="vi-VN"/>
        </w:rPr>
      </w:pPr>
      <w:r w:rsidRPr="008E63BB">
        <w:rPr>
          <w:szCs w:val="26"/>
          <w:lang w:val="vi-VN"/>
        </w:rPr>
        <w:tab/>
        <w:t>- Quy hoạch làm thay đổi địa hình, địa mạo của nhiều nơi trong khu vực. Các đặc tính lý, hóa của đất sẽ bị thay đổi do tiếp xúc với các loại đất mới do san lấp =&gt; độ ẩm, độ rỗng, khối lượng riêng, độ mùn, khả năng chịu tải, … cũng bị thay đổi do các con đường trao đổi chất trước đây bị phá vỡ. Do đó, tại các khu vực đào đắp tập trung lớn cần chú ý tới vấn đề sụt lún ảnh hưởng đến chất lượng công trình;</w:t>
      </w:r>
    </w:p>
    <w:p w14:paraId="519B44B4" w14:textId="77777777" w:rsidR="008F29AA" w:rsidRPr="008E63BB" w:rsidRDefault="008F29AA" w:rsidP="003D057A">
      <w:pPr>
        <w:tabs>
          <w:tab w:val="left" w:pos="630"/>
          <w:tab w:val="left" w:pos="851"/>
          <w:tab w:val="left" w:pos="993"/>
        </w:tabs>
        <w:ind w:firstLine="547"/>
        <w:rPr>
          <w:szCs w:val="26"/>
          <w:lang w:val="vi-VN"/>
        </w:rPr>
      </w:pPr>
      <w:r w:rsidRPr="008E63BB">
        <w:rPr>
          <w:szCs w:val="26"/>
          <w:lang w:val="vi-VN"/>
        </w:rPr>
        <w:t xml:space="preserve">- Các vấn đề ngập úng cục bộ cũng có thể xẩy ra nếu công tác quản lý xây dựng, triển khai các dự án không thực hiện tốt, đồng bộ và tuân thủ theo quy hoạch; Việc xây dựng manh mún, lấn chiếm lóng hồ, xâm hại đến các công trình kênh mương, thủy lợi, thoát nước có thể gây ngập úng cục bộ tại một số khu vực, ảnh hưởng đến môi trường, mỹ quan và chất lượng cuộc sống của người dân; </w:t>
      </w:r>
    </w:p>
    <w:p w14:paraId="519B44B5" w14:textId="77777777" w:rsidR="008C1B81" w:rsidRPr="008E63BB" w:rsidRDefault="008C1B81" w:rsidP="003D057A">
      <w:pPr>
        <w:tabs>
          <w:tab w:val="left" w:pos="851"/>
        </w:tabs>
        <w:rPr>
          <w:i/>
          <w:szCs w:val="26"/>
          <w:lang w:val="vi-VN"/>
        </w:rPr>
      </w:pPr>
      <w:r w:rsidRPr="008E63BB">
        <w:rPr>
          <w:i/>
          <w:szCs w:val="26"/>
          <w:lang w:val="vi-VN"/>
        </w:rPr>
        <w:t>e/. Diễn biến chất thải rắn</w:t>
      </w:r>
    </w:p>
    <w:p w14:paraId="519B44B6" w14:textId="77777777" w:rsidR="008F29AA" w:rsidRPr="008E63BB" w:rsidRDefault="008F29AA" w:rsidP="003D057A">
      <w:pPr>
        <w:tabs>
          <w:tab w:val="left" w:pos="709"/>
          <w:tab w:val="left" w:pos="851"/>
        </w:tabs>
        <w:ind w:firstLine="562"/>
        <w:rPr>
          <w:szCs w:val="26"/>
          <w:lang w:val="vi-VN"/>
        </w:rPr>
      </w:pPr>
      <w:r w:rsidRPr="008E63BB">
        <w:rPr>
          <w:szCs w:val="26"/>
          <w:lang w:val="vi-VN"/>
        </w:rPr>
        <w:t>Do sự tăng trưởng của dân số, chất lượng đời sống dân cư ngày càng được cải thiện, cùng với đó là sự hình thành của các khu vực dịch vụ, công cộng, trường học, bệnh viện… =&gt; lượng và thành phần chất thải rắn có chiều hướng tăng nhanh trong tương lai.</w:t>
      </w:r>
    </w:p>
    <w:p w14:paraId="519B44B7" w14:textId="77777777" w:rsidR="008F29AA" w:rsidRPr="008E63BB" w:rsidRDefault="008F29AA" w:rsidP="003D057A">
      <w:pPr>
        <w:tabs>
          <w:tab w:val="left" w:pos="709"/>
          <w:tab w:val="left" w:pos="851"/>
        </w:tabs>
        <w:ind w:firstLine="562"/>
        <w:rPr>
          <w:szCs w:val="26"/>
          <w:lang w:val="vi-VN"/>
        </w:rPr>
      </w:pPr>
      <w:r w:rsidRPr="008E63BB">
        <w:rPr>
          <w:szCs w:val="26"/>
          <w:lang w:val="vi-VN"/>
        </w:rPr>
        <w:lastRenderedPageBreak/>
        <w:t>Theo quy hoạch với lượng dân cư ước tính khoảng gần 600.000 người đến năm 2040 và diện tích công nghiệp khoảng trên 1.000 ha thì lượng chất thải rắn phát sinh trong khu vực ước tính vào khoảng: 471.000 (tấn/năm), trong đó khoảng 394.000(tấn) rác thải sinh hoạt, 77.000 (tấn) rác thải công nghiệp.</w:t>
      </w:r>
    </w:p>
    <w:p w14:paraId="519B44B8" w14:textId="77777777" w:rsidR="008F29AA" w:rsidRPr="008E63BB" w:rsidRDefault="008F29AA" w:rsidP="003D057A">
      <w:pPr>
        <w:tabs>
          <w:tab w:val="left" w:pos="709"/>
          <w:tab w:val="left" w:pos="851"/>
        </w:tabs>
        <w:ind w:firstLine="562"/>
        <w:rPr>
          <w:spacing w:val="-4"/>
          <w:szCs w:val="26"/>
          <w:lang w:val="vi-VN"/>
        </w:rPr>
      </w:pPr>
      <w:r w:rsidRPr="008E63BB">
        <w:rPr>
          <w:spacing w:val="-4"/>
          <w:szCs w:val="26"/>
          <w:lang w:val="vi-VN"/>
        </w:rPr>
        <w:t>Như vậy, lượng chất thải rắn phát sinh trong tương lai là rất lớn, đặc biệt cần chú ý đến rác thải công nghiệp và y tế với nhiều thành phần chất độc hại, có nguy cơ ô nhiễm, gây bệnh cao, ước tính lượng chất thải rắn phát sinh trong khu ước tính khoảng 27.000 tân/năm (tuy nhiên đây chỉ là con số ước tính tương đối, lượng chất thải nguy hại phát sinh phụ thuộc vào nhiều yếu tố, lớn nhất là trong công nghiệp thì phụ thuộc rất nhiều vào loại hình và công nghệ sản xuất) ; Các chất thải sinh hoạt với thành phần chất hữu cơ cao, dễ phân hủy gây mùi, thu hút côn trùng và vi sinh vật gây bệnh cũng cần được thu gom xử lý hiệu quả, đảm bảo vệ sinh môi trường, mỹ quan và sự phát triển bền vững của đô thị trong tương lai.</w:t>
      </w:r>
    </w:p>
    <w:p w14:paraId="519B44B9" w14:textId="77777777" w:rsidR="008F29AA" w:rsidRPr="008E63BB" w:rsidRDefault="008F29AA" w:rsidP="008F29AA">
      <w:pPr>
        <w:tabs>
          <w:tab w:val="left" w:pos="709"/>
          <w:tab w:val="left" w:pos="851"/>
        </w:tabs>
        <w:spacing w:before="80" w:after="80"/>
        <w:ind w:firstLine="562"/>
        <w:rPr>
          <w:szCs w:val="26"/>
          <w:lang w:val="vi-VN"/>
        </w:rPr>
      </w:pPr>
      <w:r w:rsidRPr="008E63BB">
        <w:rPr>
          <w:szCs w:val="26"/>
          <w:lang w:val="vi-VN"/>
        </w:rPr>
        <w:t xml:space="preserve">Ngoài ra, việc chất thải không được phân loại hiệu quả sẽ gây rất nhiều khó khăn cho công tác xử lý chất thải rắn; </w:t>
      </w:r>
    </w:p>
    <w:p w14:paraId="519B44BA" w14:textId="77777777" w:rsidR="008C1B81" w:rsidRPr="008E63BB" w:rsidRDefault="008C1B81" w:rsidP="0065184D">
      <w:pPr>
        <w:tabs>
          <w:tab w:val="left" w:pos="851"/>
        </w:tabs>
        <w:rPr>
          <w:i/>
          <w:szCs w:val="26"/>
          <w:lang w:val="vi-VN"/>
        </w:rPr>
      </w:pPr>
      <w:r w:rsidRPr="008E63BB">
        <w:rPr>
          <w:i/>
          <w:szCs w:val="26"/>
          <w:lang w:val="vi-VN"/>
        </w:rPr>
        <w:t>f .Dự báo biến đối khí hậu trên địa bàn tỉnh Nam Định</w:t>
      </w:r>
    </w:p>
    <w:p w14:paraId="519B44BB" w14:textId="77777777" w:rsidR="008C1B81" w:rsidRPr="008E63BB" w:rsidRDefault="008C1B81" w:rsidP="008F29AA">
      <w:pPr>
        <w:autoSpaceDE w:val="0"/>
        <w:autoSpaceDN w:val="0"/>
        <w:adjustRightInd w:val="0"/>
        <w:spacing w:before="80" w:after="80"/>
        <w:ind w:firstLine="720"/>
        <w:rPr>
          <w:lang w:val="sv-SE"/>
        </w:rPr>
      </w:pPr>
      <w:bookmarkStart w:id="569" w:name="_Toc495870940"/>
      <w:r w:rsidRPr="008E63BB">
        <w:rPr>
          <w:lang w:val="sv-SE"/>
        </w:rPr>
        <w:t xml:space="preserve">Theo </w:t>
      </w:r>
      <w:r w:rsidRPr="008E63BB">
        <w:rPr>
          <w:lang w:val="fr-FR"/>
        </w:rPr>
        <w:t>kịch bản BĐKH, NBD cho Việt Nam năm 2016, vào cuối thế kỷ 21tại tỉnh Nam Định:</w:t>
      </w:r>
    </w:p>
    <w:p w14:paraId="519B44BC" w14:textId="77777777" w:rsidR="008F29AA" w:rsidRPr="008E63BB" w:rsidRDefault="008F29AA" w:rsidP="008F29AA">
      <w:pPr>
        <w:pStyle w:val="ListParagraph"/>
        <w:widowControl w:val="0"/>
        <w:tabs>
          <w:tab w:val="left" w:pos="709"/>
        </w:tabs>
        <w:spacing w:before="80" w:after="80"/>
        <w:ind w:left="0" w:firstLine="562"/>
        <w:rPr>
          <w:sz w:val="26"/>
          <w:szCs w:val="26"/>
          <w:lang w:val="fr-FR"/>
        </w:rPr>
      </w:pPr>
      <w:r w:rsidRPr="008E63BB">
        <w:rPr>
          <w:lang w:val="sv-SE"/>
        </w:rPr>
        <w:t>-</w:t>
      </w:r>
      <w:r w:rsidRPr="008E63BB">
        <w:rPr>
          <w:sz w:val="26"/>
          <w:szCs w:val="26"/>
          <w:lang w:val="fr-FR"/>
        </w:rPr>
        <w:t xml:space="preserve"> Nhiệt độ trung bình năm đến cuối thế kỷ, có thể tăng lên trung bình khoảng 2,2</w:t>
      </w:r>
      <w:r w:rsidRPr="008E63BB">
        <w:rPr>
          <w:sz w:val="26"/>
          <w:szCs w:val="26"/>
          <w:vertAlign w:val="superscript"/>
          <w:lang w:val="fr-FR"/>
        </w:rPr>
        <w:t>o</w:t>
      </w:r>
      <w:r w:rsidRPr="008E63BB">
        <w:rPr>
          <w:sz w:val="26"/>
          <w:szCs w:val="26"/>
          <w:lang w:val="fr-FR"/>
        </w:rPr>
        <w:t>C với kịch bản nồng độ khí nhà kính trung bình thấp RCP4.5 so với trung bình thời kỳ cơ sở và 3,6</w:t>
      </w:r>
      <w:r w:rsidRPr="008E63BB">
        <w:rPr>
          <w:sz w:val="26"/>
          <w:szCs w:val="26"/>
          <w:vertAlign w:val="superscript"/>
          <w:lang w:val="fr-FR"/>
        </w:rPr>
        <w:t>o</w:t>
      </w:r>
      <w:r w:rsidRPr="008E63BB">
        <w:rPr>
          <w:sz w:val="26"/>
          <w:szCs w:val="26"/>
          <w:lang w:val="fr-FR"/>
        </w:rPr>
        <w:t xml:space="preserve">C với theo kịch bản nồng độ khí nhà kính cao RCP8.5; Nhiệt độ có xu hướng biến đổi lớn hơn vào mùa hè và mùa thu ; </w:t>
      </w:r>
    </w:p>
    <w:p w14:paraId="519B44BD" w14:textId="77777777" w:rsidR="008F29AA" w:rsidRPr="008E63BB" w:rsidRDefault="008F29AA" w:rsidP="008F29AA">
      <w:pPr>
        <w:spacing w:before="120" w:after="120"/>
        <w:jc w:val="center"/>
        <w:rPr>
          <w:b/>
          <w:szCs w:val="26"/>
          <w:lang w:val="vi-VN"/>
        </w:rPr>
      </w:pPr>
      <w:r w:rsidRPr="008E63BB">
        <w:rPr>
          <w:b/>
          <w:szCs w:val="26"/>
          <w:lang w:val="vi-VN"/>
        </w:rPr>
        <w:t>Bảng</w:t>
      </w:r>
      <w:r w:rsidRPr="008E63BB">
        <w:rPr>
          <w:b/>
          <w:szCs w:val="26"/>
          <w:lang w:val="fr-FR"/>
        </w:rPr>
        <w:t xml:space="preserve"> MT08</w:t>
      </w:r>
      <w:r w:rsidRPr="008E63BB">
        <w:rPr>
          <w:b/>
          <w:szCs w:val="26"/>
          <w:lang w:val="vi-VN"/>
        </w:rPr>
        <w:t>: Biến đổi nhiệt độ trung bình năm (</w:t>
      </w:r>
      <w:r w:rsidRPr="008E63BB">
        <w:rPr>
          <w:b/>
          <w:szCs w:val="26"/>
          <w:vertAlign w:val="superscript"/>
          <w:lang w:val="vi-VN"/>
        </w:rPr>
        <w:t>o</w:t>
      </w:r>
      <w:r w:rsidRPr="008E63BB">
        <w:rPr>
          <w:b/>
          <w:szCs w:val="26"/>
          <w:lang w:val="vi-VN"/>
        </w:rPr>
        <w:t>C) so với thời kỳ cơ sở</w:t>
      </w:r>
    </w:p>
    <w:tbl>
      <w:tblPr>
        <w:tblW w:w="946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4"/>
        <w:gridCol w:w="1770"/>
        <w:gridCol w:w="2070"/>
        <w:gridCol w:w="1980"/>
        <w:gridCol w:w="2070"/>
      </w:tblGrid>
      <w:tr w:rsidR="008F29AA" w:rsidRPr="008E63BB" w14:paraId="519B44C2" w14:textId="77777777" w:rsidTr="008F29AA">
        <w:trPr>
          <w:trHeight w:val="20"/>
          <w:tblHeader/>
        </w:trPr>
        <w:tc>
          <w:tcPr>
            <w:tcW w:w="33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9B44BE" w14:textId="77777777" w:rsidR="008F29AA" w:rsidRPr="008E63BB" w:rsidRDefault="008F29AA" w:rsidP="006E16AC">
            <w:pPr>
              <w:spacing w:before="20" w:after="20"/>
              <w:jc w:val="center"/>
              <w:rPr>
                <w:b/>
                <w:sz w:val="24"/>
                <w:szCs w:val="24"/>
              </w:rPr>
            </w:pPr>
            <w:r w:rsidRPr="008E63BB">
              <w:rPr>
                <w:b/>
                <w:sz w:val="24"/>
                <w:szCs w:val="24"/>
              </w:rPr>
              <w:t>Thời kỳ</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BF" w14:textId="77777777" w:rsidR="008F29AA" w:rsidRPr="008E63BB" w:rsidRDefault="008F29AA" w:rsidP="006E16AC">
            <w:pPr>
              <w:spacing w:before="20" w:after="20"/>
              <w:jc w:val="center"/>
              <w:rPr>
                <w:b/>
                <w:sz w:val="24"/>
                <w:szCs w:val="24"/>
              </w:rPr>
            </w:pPr>
            <w:r w:rsidRPr="008E63BB">
              <w:rPr>
                <w:b/>
                <w:sz w:val="24"/>
                <w:szCs w:val="24"/>
              </w:rPr>
              <w:t>2016-2035</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0" w14:textId="77777777" w:rsidR="008F29AA" w:rsidRPr="008E63BB" w:rsidRDefault="008F29AA" w:rsidP="006E16AC">
            <w:pPr>
              <w:spacing w:before="20" w:after="20"/>
              <w:jc w:val="center"/>
              <w:rPr>
                <w:b/>
                <w:sz w:val="24"/>
                <w:szCs w:val="24"/>
              </w:rPr>
            </w:pPr>
            <w:r w:rsidRPr="008E63BB">
              <w:rPr>
                <w:b/>
                <w:sz w:val="24"/>
                <w:szCs w:val="24"/>
              </w:rPr>
              <w:t>2046-2065</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1" w14:textId="77777777" w:rsidR="008F29AA" w:rsidRPr="008E63BB" w:rsidRDefault="008F29AA" w:rsidP="006E16AC">
            <w:pPr>
              <w:spacing w:before="20" w:after="20"/>
              <w:jc w:val="center"/>
              <w:rPr>
                <w:b/>
                <w:sz w:val="24"/>
                <w:szCs w:val="24"/>
              </w:rPr>
            </w:pPr>
            <w:r w:rsidRPr="008E63BB">
              <w:rPr>
                <w:b/>
                <w:sz w:val="24"/>
                <w:szCs w:val="24"/>
              </w:rPr>
              <w:t>2080-2099</w:t>
            </w:r>
          </w:p>
        </w:tc>
      </w:tr>
      <w:tr w:rsidR="008F29AA" w:rsidRPr="008E63BB" w14:paraId="519B44C8" w14:textId="77777777" w:rsidTr="006E16AC">
        <w:trPr>
          <w:trHeight w:val="20"/>
        </w:trPr>
        <w:tc>
          <w:tcPr>
            <w:tcW w:w="15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9B44C3" w14:textId="77777777" w:rsidR="008F29AA" w:rsidRPr="008E63BB" w:rsidRDefault="008F29AA" w:rsidP="006E16AC">
            <w:pPr>
              <w:spacing w:before="20" w:after="20"/>
              <w:jc w:val="center"/>
              <w:rPr>
                <w:sz w:val="24"/>
                <w:szCs w:val="24"/>
              </w:rPr>
            </w:pPr>
            <w:r w:rsidRPr="008E63BB">
              <w:rPr>
                <w:sz w:val="24"/>
                <w:szCs w:val="24"/>
              </w:rPr>
              <w:t>Kịch bản RCP4.5</w:t>
            </w: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C4" w14:textId="77777777" w:rsidR="008F29AA" w:rsidRPr="008E63BB" w:rsidRDefault="008F29AA" w:rsidP="006E16AC">
            <w:pPr>
              <w:spacing w:before="20" w:after="20"/>
              <w:rPr>
                <w:sz w:val="24"/>
                <w:szCs w:val="24"/>
              </w:rPr>
            </w:pPr>
            <w:r w:rsidRPr="008E63BB">
              <w:rPr>
                <w:sz w:val="24"/>
                <w:szCs w:val="24"/>
              </w:rPr>
              <w:t>Mùa xuân</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5" w14:textId="77777777" w:rsidR="008F29AA" w:rsidRPr="008E63BB" w:rsidRDefault="008F29AA" w:rsidP="006E16AC">
            <w:pPr>
              <w:spacing w:before="20" w:after="20"/>
              <w:jc w:val="center"/>
              <w:rPr>
                <w:sz w:val="24"/>
                <w:szCs w:val="24"/>
              </w:rPr>
            </w:pPr>
            <w:r w:rsidRPr="008E63BB">
              <w:rPr>
                <w:sz w:val="24"/>
                <w:szCs w:val="24"/>
              </w:rPr>
              <w:t>0,7 (0,2 ÷1,2)</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6" w14:textId="77777777" w:rsidR="008F29AA" w:rsidRPr="008E63BB" w:rsidRDefault="008F29AA" w:rsidP="006E16AC">
            <w:pPr>
              <w:spacing w:before="20" w:after="20"/>
              <w:jc w:val="center"/>
              <w:rPr>
                <w:sz w:val="24"/>
                <w:szCs w:val="24"/>
              </w:rPr>
            </w:pPr>
            <w:r w:rsidRPr="008E63BB">
              <w:rPr>
                <w:sz w:val="24"/>
                <w:szCs w:val="24"/>
              </w:rPr>
              <w:t>1,4 (0,9 ÷ 2,0)</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7" w14:textId="77777777" w:rsidR="008F29AA" w:rsidRPr="008E63BB" w:rsidRDefault="008F29AA" w:rsidP="006E16AC">
            <w:pPr>
              <w:spacing w:before="20" w:after="20"/>
              <w:jc w:val="center"/>
              <w:rPr>
                <w:sz w:val="24"/>
                <w:szCs w:val="24"/>
              </w:rPr>
            </w:pPr>
            <w:r w:rsidRPr="008E63BB">
              <w:rPr>
                <w:sz w:val="24"/>
                <w:szCs w:val="24"/>
              </w:rPr>
              <w:t>2,2 (1,3 ÷ 3,1)</w:t>
            </w:r>
          </w:p>
        </w:tc>
      </w:tr>
      <w:tr w:rsidR="008F29AA" w:rsidRPr="008E63BB" w14:paraId="519B44CE"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C9" w14:textId="77777777" w:rsidR="008F29AA" w:rsidRPr="008E63BB" w:rsidRDefault="008F29AA" w:rsidP="006E16AC">
            <w:pPr>
              <w:spacing w:before="20" w:after="20"/>
              <w:jc w:val="center"/>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CA" w14:textId="77777777" w:rsidR="008F29AA" w:rsidRPr="008E63BB" w:rsidRDefault="008F29AA" w:rsidP="006E16AC">
            <w:pPr>
              <w:spacing w:before="20" w:after="20"/>
              <w:rPr>
                <w:sz w:val="24"/>
                <w:szCs w:val="24"/>
              </w:rPr>
            </w:pPr>
            <w:r w:rsidRPr="008E63BB">
              <w:rPr>
                <w:sz w:val="24"/>
                <w:szCs w:val="24"/>
              </w:rPr>
              <w:t>Mùa hè</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B" w14:textId="77777777" w:rsidR="008F29AA" w:rsidRPr="008E63BB" w:rsidRDefault="008F29AA" w:rsidP="006E16AC">
            <w:pPr>
              <w:spacing w:before="20" w:after="20"/>
              <w:jc w:val="center"/>
              <w:rPr>
                <w:sz w:val="24"/>
                <w:szCs w:val="24"/>
              </w:rPr>
            </w:pPr>
            <w:r w:rsidRPr="008E63BB">
              <w:rPr>
                <w:sz w:val="24"/>
                <w:szCs w:val="24"/>
              </w:rPr>
              <w:t>0,8 (0,4 ÷1,2)</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C" w14:textId="77777777" w:rsidR="008F29AA" w:rsidRPr="008E63BB" w:rsidRDefault="008F29AA" w:rsidP="006E16AC">
            <w:pPr>
              <w:spacing w:before="20" w:after="20"/>
              <w:jc w:val="center"/>
              <w:rPr>
                <w:sz w:val="24"/>
                <w:szCs w:val="24"/>
              </w:rPr>
            </w:pPr>
            <w:r w:rsidRPr="008E63BB">
              <w:rPr>
                <w:sz w:val="24"/>
                <w:szCs w:val="24"/>
              </w:rPr>
              <w:t>1,8 (1,2 ÷ 2,7)</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CD" w14:textId="77777777" w:rsidR="008F29AA" w:rsidRPr="008E63BB" w:rsidRDefault="008F29AA" w:rsidP="006E16AC">
            <w:pPr>
              <w:spacing w:before="20" w:after="20"/>
              <w:jc w:val="center"/>
              <w:rPr>
                <w:sz w:val="24"/>
                <w:szCs w:val="24"/>
              </w:rPr>
            </w:pPr>
            <w:r w:rsidRPr="008E63BB">
              <w:rPr>
                <w:sz w:val="24"/>
                <w:szCs w:val="24"/>
              </w:rPr>
              <w:t>2,5 (1,8 ÷ 3,5)</w:t>
            </w:r>
          </w:p>
        </w:tc>
      </w:tr>
      <w:tr w:rsidR="008F29AA" w:rsidRPr="008E63BB" w14:paraId="519B44D4"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CF" w14:textId="77777777" w:rsidR="008F29AA" w:rsidRPr="008E63BB" w:rsidRDefault="008F29AA" w:rsidP="006E16AC">
            <w:pPr>
              <w:spacing w:before="20" w:after="20"/>
              <w:jc w:val="center"/>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D0" w14:textId="77777777" w:rsidR="008F29AA" w:rsidRPr="008E63BB" w:rsidRDefault="008F29AA" w:rsidP="006E16AC">
            <w:pPr>
              <w:spacing w:before="20" w:after="20"/>
              <w:rPr>
                <w:sz w:val="24"/>
                <w:szCs w:val="24"/>
              </w:rPr>
            </w:pPr>
            <w:r w:rsidRPr="008E63BB">
              <w:rPr>
                <w:sz w:val="24"/>
                <w:szCs w:val="24"/>
              </w:rPr>
              <w:t>Mùa thu</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1" w14:textId="77777777" w:rsidR="008F29AA" w:rsidRPr="008E63BB" w:rsidRDefault="008F29AA" w:rsidP="006E16AC">
            <w:pPr>
              <w:spacing w:before="20" w:after="20"/>
              <w:jc w:val="center"/>
              <w:rPr>
                <w:sz w:val="24"/>
                <w:szCs w:val="24"/>
              </w:rPr>
            </w:pPr>
            <w:r w:rsidRPr="008E63BB">
              <w:rPr>
                <w:sz w:val="24"/>
                <w:szCs w:val="24"/>
              </w:rPr>
              <w:t>0,7 (0,2 ÷ 1,2)</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2" w14:textId="77777777" w:rsidR="008F29AA" w:rsidRPr="008E63BB" w:rsidRDefault="008F29AA" w:rsidP="006E16AC">
            <w:pPr>
              <w:spacing w:before="20" w:after="20"/>
              <w:jc w:val="center"/>
              <w:rPr>
                <w:sz w:val="24"/>
                <w:szCs w:val="24"/>
              </w:rPr>
            </w:pPr>
            <w:r w:rsidRPr="008E63BB">
              <w:rPr>
                <w:sz w:val="24"/>
                <w:szCs w:val="24"/>
              </w:rPr>
              <w:t>1,7 (1,2 ÷ 2,4)</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3" w14:textId="77777777" w:rsidR="008F29AA" w:rsidRPr="008E63BB" w:rsidRDefault="008F29AA" w:rsidP="006E16AC">
            <w:pPr>
              <w:spacing w:before="20" w:after="20"/>
              <w:jc w:val="center"/>
              <w:rPr>
                <w:sz w:val="24"/>
                <w:szCs w:val="24"/>
              </w:rPr>
            </w:pPr>
            <w:r w:rsidRPr="008E63BB">
              <w:rPr>
                <w:sz w:val="24"/>
                <w:szCs w:val="24"/>
              </w:rPr>
              <w:t>2,2 (1,5 ÷ 3,1)</w:t>
            </w:r>
          </w:p>
        </w:tc>
      </w:tr>
      <w:tr w:rsidR="008F29AA" w:rsidRPr="008E63BB" w14:paraId="519B44DA"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D5" w14:textId="77777777" w:rsidR="008F29AA" w:rsidRPr="008E63BB" w:rsidRDefault="008F29AA" w:rsidP="006E16AC">
            <w:pPr>
              <w:spacing w:before="20" w:after="20"/>
              <w:jc w:val="center"/>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D6" w14:textId="77777777" w:rsidR="008F29AA" w:rsidRPr="008E63BB" w:rsidRDefault="008F29AA" w:rsidP="006E16AC">
            <w:pPr>
              <w:spacing w:before="20" w:after="20"/>
              <w:rPr>
                <w:sz w:val="24"/>
                <w:szCs w:val="24"/>
              </w:rPr>
            </w:pPr>
            <w:r w:rsidRPr="008E63BB">
              <w:rPr>
                <w:sz w:val="24"/>
                <w:szCs w:val="24"/>
              </w:rPr>
              <w:t>Mùa đông</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7" w14:textId="77777777" w:rsidR="008F29AA" w:rsidRPr="008E63BB" w:rsidRDefault="008F29AA" w:rsidP="006E16AC">
            <w:pPr>
              <w:spacing w:before="20" w:after="20"/>
              <w:jc w:val="center"/>
              <w:rPr>
                <w:sz w:val="24"/>
                <w:szCs w:val="24"/>
              </w:rPr>
            </w:pPr>
            <w:r w:rsidRPr="008E63BB">
              <w:rPr>
                <w:sz w:val="24"/>
                <w:szCs w:val="24"/>
              </w:rPr>
              <w:t>0,7 (0,2 ÷ 1,2)</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8" w14:textId="77777777" w:rsidR="008F29AA" w:rsidRPr="008E63BB" w:rsidRDefault="008F29AA" w:rsidP="006E16AC">
            <w:pPr>
              <w:spacing w:before="20" w:after="20"/>
              <w:jc w:val="center"/>
              <w:rPr>
                <w:sz w:val="24"/>
                <w:szCs w:val="24"/>
              </w:rPr>
            </w:pPr>
            <w:r w:rsidRPr="008E63BB">
              <w:rPr>
                <w:sz w:val="24"/>
                <w:szCs w:val="24"/>
              </w:rPr>
              <w:t>1,5 (0,9 ÷ 2,1)</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9" w14:textId="77777777" w:rsidR="008F29AA" w:rsidRPr="008E63BB" w:rsidRDefault="008F29AA" w:rsidP="006E16AC">
            <w:pPr>
              <w:spacing w:before="20" w:after="20"/>
              <w:jc w:val="center"/>
              <w:rPr>
                <w:sz w:val="24"/>
                <w:szCs w:val="24"/>
              </w:rPr>
            </w:pPr>
            <w:r w:rsidRPr="008E63BB">
              <w:rPr>
                <w:sz w:val="24"/>
                <w:szCs w:val="24"/>
              </w:rPr>
              <w:t>1,9 (1,2 ÷ 2,7)</w:t>
            </w:r>
          </w:p>
        </w:tc>
      </w:tr>
      <w:tr w:rsidR="008F29AA" w:rsidRPr="008E63BB" w14:paraId="519B44E0"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DB" w14:textId="77777777" w:rsidR="008F29AA" w:rsidRPr="008E63BB" w:rsidRDefault="008F29AA" w:rsidP="006E16AC">
            <w:pPr>
              <w:spacing w:before="20" w:after="20"/>
              <w:jc w:val="center"/>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DC" w14:textId="77777777" w:rsidR="008F29AA" w:rsidRPr="008E63BB" w:rsidRDefault="008F29AA" w:rsidP="006E16AC">
            <w:pPr>
              <w:spacing w:before="20" w:after="20"/>
              <w:rPr>
                <w:sz w:val="24"/>
                <w:szCs w:val="24"/>
              </w:rPr>
            </w:pPr>
            <w:r w:rsidRPr="008E63BB">
              <w:rPr>
                <w:sz w:val="24"/>
                <w:szCs w:val="24"/>
              </w:rPr>
              <w:t>TB năm</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D" w14:textId="77777777" w:rsidR="008F29AA" w:rsidRPr="008E63BB" w:rsidRDefault="008F29AA" w:rsidP="006E16AC">
            <w:pPr>
              <w:spacing w:before="20" w:after="20"/>
              <w:jc w:val="center"/>
              <w:rPr>
                <w:sz w:val="24"/>
                <w:szCs w:val="24"/>
              </w:rPr>
            </w:pPr>
            <w:r w:rsidRPr="008E63BB">
              <w:rPr>
                <w:sz w:val="24"/>
                <w:szCs w:val="24"/>
              </w:rPr>
              <w:t>0,7 (0,4 ÷ 1,1)</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E" w14:textId="77777777" w:rsidR="008F29AA" w:rsidRPr="008E63BB" w:rsidRDefault="008F29AA" w:rsidP="006E16AC">
            <w:pPr>
              <w:spacing w:before="20" w:after="20"/>
              <w:jc w:val="center"/>
              <w:rPr>
                <w:sz w:val="24"/>
                <w:szCs w:val="24"/>
              </w:rPr>
            </w:pPr>
            <w:r w:rsidRPr="008E63BB">
              <w:rPr>
                <w:sz w:val="24"/>
                <w:szCs w:val="24"/>
              </w:rPr>
              <w:t>1,6 (1,2 ÷ 2,2)</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DF" w14:textId="77777777" w:rsidR="008F29AA" w:rsidRPr="008E63BB" w:rsidRDefault="008F29AA" w:rsidP="006E16AC">
            <w:pPr>
              <w:spacing w:before="20" w:after="20"/>
              <w:jc w:val="center"/>
              <w:rPr>
                <w:sz w:val="24"/>
                <w:szCs w:val="24"/>
              </w:rPr>
            </w:pPr>
            <w:r w:rsidRPr="008E63BB">
              <w:rPr>
                <w:sz w:val="24"/>
                <w:szCs w:val="24"/>
              </w:rPr>
              <w:t>2,2 (1,5 ÷ 3,1)</w:t>
            </w:r>
          </w:p>
        </w:tc>
      </w:tr>
      <w:tr w:rsidR="008F29AA" w:rsidRPr="008E63BB" w14:paraId="519B44E6" w14:textId="77777777" w:rsidTr="006E16AC">
        <w:trPr>
          <w:trHeight w:val="20"/>
        </w:trPr>
        <w:tc>
          <w:tcPr>
            <w:tcW w:w="157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9B44E1" w14:textId="77777777" w:rsidR="008F29AA" w:rsidRPr="008E63BB" w:rsidRDefault="008F29AA" w:rsidP="006E16AC">
            <w:pPr>
              <w:spacing w:before="20" w:after="20"/>
              <w:jc w:val="center"/>
              <w:rPr>
                <w:sz w:val="24"/>
                <w:szCs w:val="24"/>
              </w:rPr>
            </w:pPr>
            <w:r w:rsidRPr="008E63BB">
              <w:rPr>
                <w:sz w:val="24"/>
                <w:szCs w:val="24"/>
              </w:rPr>
              <w:t>Kịch bản RCP8.5</w:t>
            </w: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E2" w14:textId="77777777" w:rsidR="008F29AA" w:rsidRPr="008E63BB" w:rsidRDefault="008F29AA" w:rsidP="006E16AC">
            <w:pPr>
              <w:spacing w:before="20" w:after="20"/>
              <w:rPr>
                <w:sz w:val="24"/>
                <w:szCs w:val="24"/>
              </w:rPr>
            </w:pPr>
            <w:r w:rsidRPr="008E63BB">
              <w:rPr>
                <w:sz w:val="24"/>
                <w:szCs w:val="24"/>
              </w:rPr>
              <w:t>Mùa xuân</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3" w14:textId="77777777" w:rsidR="008F29AA" w:rsidRPr="008E63BB" w:rsidRDefault="008F29AA" w:rsidP="006E16AC">
            <w:pPr>
              <w:spacing w:before="20" w:after="20"/>
              <w:jc w:val="center"/>
              <w:rPr>
                <w:sz w:val="24"/>
                <w:szCs w:val="24"/>
              </w:rPr>
            </w:pPr>
            <w:r w:rsidRPr="008E63BB">
              <w:rPr>
                <w:sz w:val="24"/>
                <w:szCs w:val="24"/>
              </w:rPr>
              <w:t>0,9 (0,5 ÷ 1,3)</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4" w14:textId="77777777" w:rsidR="008F29AA" w:rsidRPr="008E63BB" w:rsidRDefault="008F29AA" w:rsidP="006E16AC">
            <w:pPr>
              <w:spacing w:before="20" w:after="20"/>
              <w:jc w:val="center"/>
              <w:rPr>
                <w:sz w:val="24"/>
                <w:szCs w:val="24"/>
              </w:rPr>
            </w:pPr>
            <w:r w:rsidRPr="008E63BB">
              <w:rPr>
                <w:sz w:val="24"/>
                <w:szCs w:val="24"/>
              </w:rPr>
              <w:t>2,0 (1,1 ÷ 2,9)</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5" w14:textId="77777777" w:rsidR="008F29AA" w:rsidRPr="008E63BB" w:rsidRDefault="008F29AA" w:rsidP="006E16AC">
            <w:pPr>
              <w:spacing w:before="20" w:after="20"/>
              <w:jc w:val="center"/>
              <w:rPr>
                <w:sz w:val="24"/>
                <w:szCs w:val="24"/>
              </w:rPr>
            </w:pPr>
            <w:r w:rsidRPr="008E63BB">
              <w:rPr>
                <w:sz w:val="24"/>
                <w:szCs w:val="24"/>
              </w:rPr>
              <w:t>3,3 (2,5 ÷ 4,6)</w:t>
            </w:r>
          </w:p>
        </w:tc>
      </w:tr>
      <w:tr w:rsidR="008F29AA" w:rsidRPr="008E63BB" w14:paraId="519B44EC"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E7" w14:textId="77777777" w:rsidR="008F29AA" w:rsidRPr="008E63BB" w:rsidRDefault="008F29AA" w:rsidP="006E16AC">
            <w:pPr>
              <w:spacing w:before="20" w:after="20"/>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E8" w14:textId="77777777" w:rsidR="008F29AA" w:rsidRPr="008E63BB" w:rsidRDefault="008F29AA" w:rsidP="006E16AC">
            <w:pPr>
              <w:spacing w:before="20" w:after="20"/>
              <w:rPr>
                <w:sz w:val="24"/>
                <w:szCs w:val="24"/>
              </w:rPr>
            </w:pPr>
            <w:r w:rsidRPr="008E63BB">
              <w:rPr>
                <w:sz w:val="24"/>
                <w:szCs w:val="24"/>
              </w:rPr>
              <w:t>Mùa hè</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9" w14:textId="77777777" w:rsidR="008F29AA" w:rsidRPr="008E63BB" w:rsidRDefault="008F29AA" w:rsidP="006E16AC">
            <w:pPr>
              <w:spacing w:before="20" w:after="20"/>
              <w:jc w:val="center"/>
              <w:rPr>
                <w:sz w:val="24"/>
                <w:szCs w:val="24"/>
              </w:rPr>
            </w:pPr>
            <w:r w:rsidRPr="008E63BB">
              <w:rPr>
                <w:sz w:val="24"/>
                <w:szCs w:val="24"/>
              </w:rPr>
              <w:t>1,0 (0,4 ÷ 1,5)</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A" w14:textId="77777777" w:rsidR="008F29AA" w:rsidRPr="008E63BB" w:rsidRDefault="008F29AA" w:rsidP="006E16AC">
            <w:pPr>
              <w:spacing w:before="20" w:after="20"/>
              <w:jc w:val="center"/>
              <w:rPr>
                <w:sz w:val="24"/>
                <w:szCs w:val="24"/>
              </w:rPr>
            </w:pPr>
            <w:r w:rsidRPr="008E63BB">
              <w:rPr>
                <w:sz w:val="24"/>
                <w:szCs w:val="24"/>
              </w:rPr>
              <w:t>2,2 (1,5 ÷ 3,3)</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B" w14:textId="77777777" w:rsidR="008F29AA" w:rsidRPr="008E63BB" w:rsidRDefault="008F29AA" w:rsidP="006E16AC">
            <w:pPr>
              <w:spacing w:before="20" w:after="20"/>
              <w:jc w:val="center"/>
              <w:rPr>
                <w:sz w:val="24"/>
                <w:szCs w:val="24"/>
              </w:rPr>
            </w:pPr>
            <w:r w:rsidRPr="008E63BB">
              <w:rPr>
                <w:sz w:val="24"/>
                <w:szCs w:val="24"/>
              </w:rPr>
              <w:t>3,9 (3,0 ÷ 5,4)</w:t>
            </w:r>
          </w:p>
        </w:tc>
      </w:tr>
      <w:tr w:rsidR="008F29AA" w:rsidRPr="008E63BB" w14:paraId="519B44F2"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ED" w14:textId="77777777" w:rsidR="008F29AA" w:rsidRPr="008E63BB" w:rsidRDefault="008F29AA" w:rsidP="006E16AC">
            <w:pPr>
              <w:spacing w:before="20" w:after="20"/>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EE" w14:textId="77777777" w:rsidR="008F29AA" w:rsidRPr="008E63BB" w:rsidRDefault="008F29AA" w:rsidP="006E16AC">
            <w:pPr>
              <w:spacing w:before="20" w:after="20"/>
              <w:rPr>
                <w:sz w:val="24"/>
                <w:szCs w:val="24"/>
              </w:rPr>
            </w:pPr>
            <w:r w:rsidRPr="008E63BB">
              <w:rPr>
                <w:sz w:val="24"/>
                <w:szCs w:val="24"/>
              </w:rPr>
              <w:t>Mùa thu</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EF" w14:textId="77777777" w:rsidR="008F29AA" w:rsidRPr="008E63BB" w:rsidRDefault="008F29AA" w:rsidP="006E16AC">
            <w:pPr>
              <w:spacing w:before="20" w:after="20"/>
              <w:jc w:val="center"/>
              <w:rPr>
                <w:sz w:val="24"/>
                <w:szCs w:val="24"/>
              </w:rPr>
            </w:pPr>
            <w:r w:rsidRPr="008E63BB">
              <w:rPr>
                <w:sz w:val="24"/>
                <w:szCs w:val="24"/>
              </w:rPr>
              <w:t>1,0 (0,4 ÷ 1,6)</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0" w14:textId="77777777" w:rsidR="008F29AA" w:rsidRPr="008E63BB" w:rsidRDefault="008F29AA" w:rsidP="006E16AC">
            <w:pPr>
              <w:spacing w:before="20" w:after="20"/>
              <w:jc w:val="center"/>
              <w:rPr>
                <w:sz w:val="24"/>
                <w:szCs w:val="24"/>
              </w:rPr>
            </w:pPr>
            <w:r w:rsidRPr="008E63BB">
              <w:rPr>
                <w:sz w:val="24"/>
                <w:szCs w:val="24"/>
              </w:rPr>
              <w:t>2,1 (1,4 ÷ 3,3)</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1" w14:textId="77777777" w:rsidR="008F29AA" w:rsidRPr="008E63BB" w:rsidRDefault="008F29AA" w:rsidP="006E16AC">
            <w:pPr>
              <w:spacing w:before="20" w:after="20"/>
              <w:jc w:val="center"/>
              <w:rPr>
                <w:sz w:val="24"/>
                <w:szCs w:val="24"/>
              </w:rPr>
            </w:pPr>
            <w:r w:rsidRPr="008E63BB">
              <w:rPr>
                <w:sz w:val="24"/>
                <w:szCs w:val="24"/>
              </w:rPr>
              <w:t>3,9 (2,8 ÷ 5,2)</w:t>
            </w:r>
          </w:p>
        </w:tc>
      </w:tr>
      <w:tr w:rsidR="008F29AA" w:rsidRPr="008E63BB" w14:paraId="519B44F8"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F3" w14:textId="77777777" w:rsidR="008F29AA" w:rsidRPr="008E63BB" w:rsidRDefault="008F29AA" w:rsidP="006E16AC">
            <w:pPr>
              <w:spacing w:before="20" w:after="20"/>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F4" w14:textId="77777777" w:rsidR="008F29AA" w:rsidRPr="008E63BB" w:rsidRDefault="008F29AA" w:rsidP="006E16AC">
            <w:pPr>
              <w:spacing w:before="20" w:after="20"/>
              <w:rPr>
                <w:sz w:val="24"/>
                <w:szCs w:val="24"/>
              </w:rPr>
            </w:pPr>
            <w:r w:rsidRPr="008E63BB">
              <w:rPr>
                <w:sz w:val="24"/>
                <w:szCs w:val="24"/>
              </w:rPr>
              <w:t>Mùa đông</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5" w14:textId="77777777" w:rsidR="008F29AA" w:rsidRPr="008E63BB" w:rsidRDefault="008F29AA" w:rsidP="006E16AC">
            <w:pPr>
              <w:spacing w:before="20" w:after="20"/>
              <w:jc w:val="center"/>
              <w:rPr>
                <w:sz w:val="24"/>
                <w:szCs w:val="24"/>
              </w:rPr>
            </w:pPr>
            <w:r w:rsidRPr="008E63BB">
              <w:rPr>
                <w:sz w:val="24"/>
                <w:szCs w:val="24"/>
              </w:rPr>
              <w:t>1,0 (0,6 ÷ 1,5)</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6" w14:textId="77777777" w:rsidR="008F29AA" w:rsidRPr="008E63BB" w:rsidRDefault="008F29AA" w:rsidP="006E16AC">
            <w:pPr>
              <w:spacing w:before="20" w:after="20"/>
              <w:jc w:val="center"/>
              <w:rPr>
                <w:sz w:val="24"/>
                <w:szCs w:val="24"/>
              </w:rPr>
            </w:pPr>
            <w:r w:rsidRPr="008E63BB">
              <w:rPr>
                <w:sz w:val="24"/>
                <w:szCs w:val="24"/>
              </w:rPr>
              <w:t>2,0 (1,2 ÷ 2,8)</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7" w14:textId="77777777" w:rsidR="008F29AA" w:rsidRPr="008E63BB" w:rsidRDefault="008F29AA" w:rsidP="006E16AC">
            <w:pPr>
              <w:spacing w:before="20" w:after="20"/>
              <w:jc w:val="center"/>
              <w:rPr>
                <w:sz w:val="24"/>
                <w:szCs w:val="24"/>
              </w:rPr>
            </w:pPr>
            <w:r w:rsidRPr="008E63BB">
              <w:rPr>
                <w:sz w:val="24"/>
                <w:szCs w:val="24"/>
              </w:rPr>
              <w:t>3,3 (2,3 ÷ 4,3)</w:t>
            </w:r>
          </w:p>
        </w:tc>
      </w:tr>
      <w:tr w:rsidR="008F29AA" w:rsidRPr="008E63BB" w14:paraId="519B44FE" w14:textId="77777777" w:rsidTr="006E16AC">
        <w:trPr>
          <w:trHeight w:val="20"/>
        </w:trPr>
        <w:tc>
          <w:tcPr>
            <w:tcW w:w="157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4F9" w14:textId="77777777" w:rsidR="008F29AA" w:rsidRPr="008E63BB" w:rsidRDefault="008F29AA" w:rsidP="006E16AC">
            <w:pPr>
              <w:spacing w:before="20" w:after="20"/>
              <w:rPr>
                <w:sz w:val="24"/>
                <w:szCs w:val="24"/>
              </w:rPr>
            </w:pPr>
          </w:p>
        </w:tc>
        <w:tc>
          <w:tcPr>
            <w:tcW w:w="17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4FA" w14:textId="77777777" w:rsidR="008F29AA" w:rsidRPr="008E63BB" w:rsidRDefault="008F29AA" w:rsidP="006E16AC">
            <w:pPr>
              <w:spacing w:before="20" w:after="20"/>
              <w:rPr>
                <w:sz w:val="24"/>
                <w:szCs w:val="24"/>
              </w:rPr>
            </w:pPr>
            <w:r w:rsidRPr="008E63BB">
              <w:rPr>
                <w:sz w:val="24"/>
                <w:szCs w:val="24"/>
              </w:rPr>
              <w:t>TB năm</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B" w14:textId="77777777" w:rsidR="008F29AA" w:rsidRPr="008E63BB" w:rsidRDefault="008F29AA" w:rsidP="006E16AC">
            <w:pPr>
              <w:spacing w:before="20" w:after="20"/>
              <w:jc w:val="center"/>
              <w:rPr>
                <w:sz w:val="24"/>
                <w:szCs w:val="24"/>
              </w:rPr>
            </w:pPr>
            <w:r w:rsidRPr="008E63BB">
              <w:rPr>
                <w:sz w:val="24"/>
                <w:szCs w:val="24"/>
              </w:rPr>
              <w:t>0,9 (0,6 ÷ 1,4)</w:t>
            </w:r>
          </w:p>
        </w:tc>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C" w14:textId="77777777" w:rsidR="008F29AA" w:rsidRPr="008E63BB" w:rsidRDefault="008F29AA" w:rsidP="006E16AC">
            <w:pPr>
              <w:spacing w:before="20" w:after="20"/>
              <w:jc w:val="center"/>
              <w:rPr>
                <w:sz w:val="24"/>
                <w:szCs w:val="24"/>
              </w:rPr>
            </w:pPr>
            <w:r w:rsidRPr="008E63BB">
              <w:rPr>
                <w:sz w:val="24"/>
                <w:szCs w:val="24"/>
              </w:rPr>
              <w:t>2,0 (1,4 ÷ 3,0)</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4FD" w14:textId="77777777" w:rsidR="008F29AA" w:rsidRPr="008E63BB" w:rsidRDefault="008F29AA" w:rsidP="006E16AC">
            <w:pPr>
              <w:spacing w:before="20" w:after="20"/>
              <w:jc w:val="center"/>
              <w:rPr>
                <w:sz w:val="24"/>
                <w:szCs w:val="24"/>
              </w:rPr>
            </w:pPr>
            <w:r w:rsidRPr="008E63BB">
              <w:rPr>
                <w:sz w:val="24"/>
                <w:szCs w:val="24"/>
              </w:rPr>
              <w:t>3,6 (2,8 ÷ 4,9)</w:t>
            </w:r>
          </w:p>
        </w:tc>
      </w:tr>
    </w:tbl>
    <w:p w14:paraId="519B44FF" w14:textId="77777777" w:rsidR="008F29AA" w:rsidRPr="008E63BB" w:rsidRDefault="008F29AA" w:rsidP="008F29AA">
      <w:pPr>
        <w:spacing w:before="120" w:after="120"/>
        <w:ind w:left="1070"/>
        <w:jc w:val="right"/>
        <w:rPr>
          <w:i/>
          <w:szCs w:val="26"/>
        </w:rPr>
      </w:pPr>
      <w:r w:rsidRPr="008E63BB">
        <w:rPr>
          <w:i/>
          <w:szCs w:val="26"/>
        </w:rPr>
        <w:t>Nguồn: Kịch bản biến đổi khí hậu, NBD cho Việt Nam, 2016</w:t>
      </w:r>
    </w:p>
    <w:p w14:paraId="519B4500" w14:textId="77777777" w:rsidR="008F29AA" w:rsidRPr="008E63BB" w:rsidRDefault="008F29AA" w:rsidP="008F29AA">
      <w:pPr>
        <w:widowControl w:val="0"/>
        <w:tabs>
          <w:tab w:val="left" w:pos="851"/>
        </w:tabs>
        <w:spacing w:before="120" w:after="120"/>
        <w:ind w:firstLine="561"/>
        <w:rPr>
          <w:lang w:val="fr-FR"/>
        </w:rPr>
      </w:pPr>
      <w:r w:rsidRPr="008E63BB">
        <w:t>- Lượng mưa</w:t>
      </w:r>
      <w:r w:rsidRPr="008E63BB">
        <w:rPr>
          <w:lang w:val="fr-FR"/>
        </w:rPr>
        <w:t xml:space="preserve"> trung bình năm vào cuối thế kỷ, có thể tăng lên trung bình khoảng 27,5% với kịch bản nồng độ khí nhà kính trung bình thấp RCP4.5 so với trung bình thời kỳ cơ sở và 34,7% với theo kịch bản nồng độ khí nhà kính cao RCP8.5; Lượng mưa có xu hướng tăng cao vào mùa mưa (mùa hè và thu), mùa đông (mùa khô) diễn biến lượng mưa có thể tăng theo diễn biến chung, cũng có thể giảm xuống 5%-13%</w:t>
      </w:r>
    </w:p>
    <w:p w14:paraId="519B4501" w14:textId="77777777" w:rsidR="008F29AA" w:rsidRPr="008E63BB" w:rsidRDefault="008F29AA" w:rsidP="008F29AA">
      <w:pPr>
        <w:spacing w:before="120" w:after="120"/>
        <w:jc w:val="center"/>
        <w:rPr>
          <w:b/>
          <w:szCs w:val="26"/>
          <w:lang w:val="vi-VN"/>
        </w:rPr>
      </w:pPr>
      <w:r w:rsidRPr="008E63BB">
        <w:rPr>
          <w:b/>
          <w:szCs w:val="26"/>
          <w:lang w:val="vi-VN"/>
        </w:rPr>
        <w:t>Bảng</w:t>
      </w:r>
      <w:r w:rsidRPr="008E63BB">
        <w:rPr>
          <w:b/>
          <w:szCs w:val="26"/>
          <w:lang w:val="fr-FR"/>
        </w:rPr>
        <w:t xml:space="preserve"> MT09</w:t>
      </w:r>
      <w:r w:rsidRPr="008E63BB">
        <w:rPr>
          <w:b/>
          <w:szCs w:val="26"/>
          <w:lang w:val="vi-VN"/>
        </w:rPr>
        <w:t xml:space="preserve">: Biến đổi </w:t>
      </w:r>
      <w:r w:rsidRPr="008E63BB">
        <w:rPr>
          <w:b/>
          <w:szCs w:val="26"/>
          <w:lang w:val="fr-FR"/>
        </w:rPr>
        <w:t>lượng mưa</w:t>
      </w:r>
      <w:r w:rsidR="00F83712" w:rsidRPr="008E63BB">
        <w:rPr>
          <w:b/>
          <w:szCs w:val="26"/>
          <w:lang w:val="vi-VN"/>
        </w:rPr>
        <w:t xml:space="preserve"> trung bình năm </w:t>
      </w:r>
      <w:r w:rsidR="00F83712" w:rsidRPr="008E63BB">
        <w:rPr>
          <w:b/>
          <w:szCs w:val="26"/>
          <w:lang w:val="fr-FR"/>
        </w:rPr>
        <w:t>(%</w:t>
      </w:r>
      <w:r w:rsidRPr="008E63BB">
        <w:rPr>
          <w:b/>
          <w:szCs w:val="26"/>
          <w:lang w:val="vi-VN"/>
        </w:rPr>
        <w:t>) so với thời kỳ cơ sở</w:t>
      </w:r>
    </w:p>
    <w:tbl>
      <w:tblPr>
        <w:tblW w:w="946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1620"/>
        <w:gridCol w:w="2250"/>
        <w:gridCol w:w="2160"/>
        <w:gridCol w:w="2183"/>
      </w:tblGrid>
      <w:tr w:rsidR="008F29AA" w:rsidRPr="008E63BB" w14:paraId="519B4506" w14:textId="77777777" w:rsidTr="006E16AC">
        <w:trPr>
          <w:trHeight w:val="20"/>
        </w:trPr>
        <w:tc>
          <w:tcPr>
            <w:tcW w:w="287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9B4502" w14:textId="77777777" w:rsidR="008F29AA" w:rsidRPr="008E63BB" w:rsidRDefault="008F29AA" w:rsidP="006E16AC">
            <w:pPr>
              <w:spacing w:before="20" w:after="20"/>
              <w:jc w:val="center"/>
              <w:rPr>
                <w:b/>
                <w:sz w:val="24"/>
                <w:szCs w:val="24"/>
              </w:rPr>
            </w:pPr>
            <w:r w:rsidRPr="008E63BB">
              <w:rPr>
                <w:b/>
                <w:sz w:val="24"/>
                <w:szCs w:val="24"/>
              </w:rPr>
              <w:t>Thời kỳ</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3" w14:textId="77777777" w:rsidR="008F29AA" w:rsidRPr="008E63BB" w:rsidRDefault="008F29AA" w:rsidP="006E16AC">
            <w:pPr>
              <w:spacing w:before="20" w:after="20"/>
              <w:jc w:val="center"/>
              <w:rPr>
                <w:b/>
                <w:sz w:val="24"/>
                <w:szCs w:val="24"/>
              </w:rPr>
            </w:pPr>
            <w:r w:rsidRPr="008E63BB">
              <w:rPr>
                <w:b/>
                <w:sz w:val="24"/>
                <w:szCs w:val="24"/>
              </w:rPr>
              <w:t>2016-2035</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4" w14:textId="77777777" w:rsidR="008F29AA" w:rsidRPr="008E63BB" w:rsidRDefault="008F29AA" w:rsidP="006E16AC">
            <w:pPr>
              <w:spacing w:before="20" w:after="20"/>
              <w:jc w:val="center"/>
              <w:rPr>
                <w:b/>
                <w:sz w:val="24"/>
                <w:szCs w:val="24"/>
              </w:rPr>
            </w:pPr>
            <w:r w:rsidRPr="008E63BB">
              <w:rPr>
                <w:b/>
                <w:sz w:val="24"/>
                <w:szCs w:val="24"/>
              </w:rPr>
              <w:t>2046-2065</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5" w14:textId="77777777" w:rsidR="008F29AA" w:rsidRPr="008E63BB" w:rsidRDefault="008F29AA" w:rsidP="006E16AC">
            <w:pPr>
              <w:spacing w:before="20" w:after="20"/>
              <w:jc w:val="center"/>
              <w:rPr>
                <w:b/>
                <w:sz w:val="24"/>
                <w:szCs w:val="24"/>
              </w:rPr>
            </w:pPr>
            <w:r w:rsidRPr="008E63BB">
              <w:rPr>
                <w:b/>
                <w:sz w:val="24"/>
                <w:szCs w:val="24"/>
              </w:rPr>
              <w:t>2080-2099</w:t>
            </w:r>
          </w:p>
        </w:tc>
      </w:tr>
      <w:tr w:rsidR="008F29AA" w:rsidRPr="008E63BB" w14:paraId="519B450C" w14:textId="77777777" w:rsidTr="006E16AC">
        <w:trPr>
          <w:trHeight w:val="20"/>
        </w:trPr>
        <w:tc>
          <w:tcPr>
            <w:tcW w:w="12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9B4507" w14:textId="77777777" w:rsidR="008F29AA" w:rsidRPr="008E63BB" w:rsidRDefault="008F29AA" w:rsidP="006E16AC">
            <w:pPr>
              <w:spacing w:before="20" w:after="20"/>
              <w:jc w:val="center"/>
              <w:rPr>
                <w:sz w:val="24"/>
                <w:szCs w:val="24"/>
              </w:rPr>
            </w:pPr>
            <w:r w:rsidRPr="008E63BB">
              <w:rPr>
                <w:sz w:val="24"/>
                <w:szCs w:val="24"/>
              </w:rPr>
              <w:lastRenderedPageBreak/>
              <w:t>Kịch bản RCP4.5</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08" w14:textId="77777777" w:rsidR="008F29AA" w:rsidRPr="008E63BB" w:rsidRDefault="008F29AA" w:rsidP="006E16AC">
            <w:pPr>
              <w:spacing w:before="20" w:after="20"/>
              <w:rPr>
                <w:sz w:val="24"/>
                <w:szCs w:val="24"/>
              </w:rPr>
            </w:pPr>
            <w:r w:rsidRPr="008E63BB">
              <w:rPr>
                <w:sz w:val="24"/>
                <w:szCs w:val="24"/>
              </w:rPr>
              <w:t>Mùa xuân</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9" w14:textId="77777777" w:rsidR="008F29AA" w:rsidRPr="008E63BB" w:rsidRDefault="008F29AA" w:rsidP="006E16AC">
            <w:pPr>
              <w:spacing w:before="20" w:after="20"/>
              <w:jc w:val="center"/>
              <w:rPr>
                <w:sz w:val="24"/>
                <w:szCs w:val="24"/>
              </w:rPr>
            </w:pPr>
            <w:r w:rsidRPr="008E63BB">
              <w:rPr>
                <w:sz w:val="24"/>
                <w:szCs w:val="24"/>
              </w:rPr>
              <w:t>-7,6 (-12,7÷2,6)</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A" w14:textId="77777777" w:rsidR="008F29AA" w:rsidRPr="008E63BB" w:rsidRDefault="008F29AA" w:rsidP="006E16AC">
            <w:pPr>
              <w:spacing w:before="20" w:after="20"/>
              <w:jc w:val="center"/>
              <w:rPr>
                <w:sz w:val="24"/>
                <w:szCs w:val="24"/>
              </w:rPr>
            </w:pPr>
            <w:r w:rsidRPr="008E63BB">
              <w:rPr>
                <w:sz w:val="24"/>
                <w:szCs w:val="24"/>
              </w:rPr>
              <w:t>8,8 (-5,6÷22)</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B" w14:textId="77777777" w:rsidR="008F29AA" w:rsidRPr="008E63BB" w:rsidRDefault="008F29AA" w:rsidP="006E16AC">
            <w:pPr>
              <w:spacing w:before="20" w:after="20"/>
              <w:jc w:val="center"/>
              <w:rPr>
                <w:sz w:val="24"/>
                <w:szCs w:val="24"/>
              </w:rPr>
            </w:pPr>
            <w:r w:rsidRPr="008E63BB">
              <w:rPr>
                <w:sz w:val="24"/>
                <w:szCs w:val="24"/>
              </w:rPr>
              <w:t>19,4 (5,7 ÷ 33,9)</w:t>
            </w:r>
          </w:p>
        </w:tc>
      </w:tr>
      <w:tr w:rsidR="008F29AA" w:rsidRPr="008E63BB" w14:paraId="519B4512"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0D" w14:textId="77777777" w:rsidR="008F29AA" w:rsidRPr="008E63BB" w:rsidRDefault="008F29AA" w:rsidP="006E16AC">
            <w:pPr>
              <w:spacing w:before="20" w:after="20"/>
              <w:jc w:val="center"/>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0E" w14:textId="77777777" w:rsidR="008F29AA" w:rsidRPr="008E63BB" w:rsidRDefault="008F29AA" w:rsidP="006E16AC">
            <w:pPr>
              <w:spacing w:before="20" w:after="20"/>
              <w:rPr>
                <w:sz w:val="24"/>
                <w:szCs w:val="24"/>
              </w:rPr>
            </w:pPr>
            <w:r w:rsidRPr="008E63BB">
              <w:rPr>
                <w:sz w:val="24"/>
                <w:szCs w:val="24"/>
              </w:rPr>
              <w:t>Mùa hè</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0F" w14:textId="77777777" w:rsidR="008F29AA" w:rsidRPr="008E63BB" w:rsidRDefault="008F29AA" w:rsidP="006E16AC">
            <w:pPr>
              <w:spacing w:before="20" w:after="20"/>
              <w:jc w:val="center"/>
              <w:rPr>
                <w:sz w:val="24"/>
                <w:szCs w:val="24"/>
              </w:rPr>
            </w:pPr>
            <w:r w:rsidRPr="008E63BB">
              <w:rPr>
                <w:sz w:val="24"/>
                <w:szCs w:val="24"/>
              </w:rPr>
              <w:t>11,7 (1,9 ÷21,8)</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0" w14:textId="77777777" w:rsidR="008F29AA" w:rsidRPr="008E63BB" w:rsidRDefault="008F29AA" w:rsidP="006E16AC">
            <w:pPr>
              <w:spacing w:before="20" w:after="20"/>
              <w:jc w:val="center"/>
              <w:rPr>
                <w:sz w:val="24"/>
                <w:szCs w:val="24"/>
              </w:rPr>
            </w:pPr>
            <w:r w:rsidRPr="008E63BB">
              <w:rPr>
                <w:sz w:val="24"/>
                <w:szCs w:val="24"/>
              </w:rPr>
              <w:t>17,6 (8,8 ÷ 25,9)</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1" w14:textId="77777777" w:rsidR="008F29AA" w:rsidRPr="008E63BB" w:rsidRDefault="008F29AA" w:rsidP="006E16AC">
            <w:pPr>
              <w:spacing w:before="20" w:after="20"/>
              <w:jc w:val="center"/>
              <w:rPr>
                <w:sz w:val="24"/>
                <w:szCs w:val="24"/>
              </w:rPr>
            </w:pPr>
            <w:r w:rsidRPr="008E63BB">
              <w:rPr>
                <w:sz w:val="24"/>
                <w:szCs w:val="24"/>
              </w:rPr>
              <w:t>24,5 (10,1 ÷ 39)</w:t>
            </w:r>
          </w:p>
        </w:tc>
      </w:tr>
      <w:tr w:rsidR="008F29AA" w:rsidRPr="008E63BB" w14:paraId="519B4518"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13" w14:textId="77777777" w:rsidR="008F29AA" w:rsidRPr="008E63BB" w:rsidRDefault="008F29AA" w:rsidP="006E16AC">
            <w:pPr>
              <w:spacing w:before="20" w:after="20"/>
              <w:jc w:val="center"/>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14" w14:textId="77777777" w:rsidR="008F29AA" w:rsidRPr="008E63BB" w:rsidRDefault="008F29AA" w:rsidP="006E16AC">
            <w:pPr>
              <w:spacing w:before="20" w:after="20"/>
              <w:rPr>
                <w:sz w:val="24"/>
                <w:szCs w:val="24"/>
              </w:rPr>
            </w:pPr>
            <w:r w:rsidRPr="008E63BB">
              <w:rPr>
                <w:sz w:val="24"/>
                <w:szCs w:val="24"/>
              </w:rPr>
              <w:t>Mùa thu</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5" w14:textId="77777777" w:rsidR="008F29AA" w:rsidRPr="008E63BB" w:rsidRDefault="008F29AA" w:rsidP="006E16AC">
            <w:pPr>
              <w:spacing w:before="20" w:after="20"/>
              <w:jc w:val="center"/>
              <w:rPr>
                <w:sz w:val="24"/>
                <w:szCs w:val="24"/>
              </w:rPr>
            </w:pPr>
            <w:r w:rsidRPr="008E63BB">
              <w:rPr>
                <w:sz w:val="24"/>
                <w:szCs w:val="24"/>
              </w:rPr>
              <w:t>34,5 (6,7 ÷ 58,8)</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6" w14:textId="77777777" w:rsidR="008F29AA" w:rsidRPr="008E63BB" w:rsidRDefault="008F29AA" w:rsidP="006E16AC">
            <w:pPr>
              <w:spacing w:before="20" w:after="20"/>
              <w:jc w:val="center"/>
              <w:rPr>
                <w:sz w:val="24"/>
                <w:szCs w:val="24"/>
              </w:rPr>
            </w:pPr>
            <w:r w:rsidRPr="008E63BB">
              <w:rPr>
                <w:sz w:val="24"/>
                <w:szCs w:val="24"/>
              </w:rPr>
              <w:t>31,3 (18,2 ÷ 44,3)</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7" w14:textId="77777777" w:rsidR="008F29AA" w:rsidRPr="008E63BB" w:rsidRDefault="008F29AA" w:rsidP="006E16AC">
            <w:pPr>
              <w:spacing w:before="20" w:after="20"/>
              <w:jc w:val="center"/>
              <w:rPr>
                <w:sz w:val="24"/>
                <w:szCs w:val="24"/>
              </w:rPr>
            </w:pPr>
            <w:r w:rsidRPr="008E63BB">
              <w:rPr>
                <w:sz w:val="24"/>
                <w:szCs w:val="24"/>
              </w:rPr>
              <w:t>37,8 (15 ÷ 60,7)</w:t>
            </w:r>
          </w:p>
        </w:tc>
      </w:tr>
      <w:tr w:rsidR="008F29AA" w:rsidRPr="008E63BB" w14:paraId="519B451E"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19" w14:textId="77777777" w:rsidR="008F29AA" w:rsidRPr="008E63BB" w:rsidRDefault="008F29AA" w:rsidP="006E16AC">
            <w:pPr>
              <w:spacing w:before="20" w:after="20"/>
              <w:jc w:val="center"/>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1A" w14:textId="77777777" w:rsidR="008F29AA" w:rsidRPr="008E63BB" w:rsidRDefault="008F29AA" w:rsidP="006E16AC">
            <w:pPr>
              <w:spacing w:before="20" w:after="20"/>
              <w:rPr>
                <w:sz w:val="24"/>
                <w:szCs w:val="24"/>
              </w:rPr>
            </w:pPr>
            <w:r w:rsidRPr="008E63BB">
              <w:rPr>
                <w:sz w:val="24"/>
                <w:szCs w:val="24"/>
              </w:rPr>
              <w:t>Mùa đông</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B" w14:textId="77777777" w:rsidR="008F29AA" w:rsidRPr="008E63BB" w:rsidRDefault="008F29AA" w:rsidP="006E16AC">
            <w:pPr>
              <w:spacing w:before="20" w:after="20"/>
              <w:jc w:val="center"/>
              <w:rPr>
                <w:sz w:val="24"/>
                <w:szCs w:val="24"/>
              </w:rPr>
            </w:pPr>
            <w:r w:rsidRPr="008E63BB">
              <w:rPr>
                <w:sz w:val="24"/>
                <w:szCs w:val="24"/>
              </w:rPr>
              <w:t>7,8 (-12,2 ÷ 28,8)</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C" w14:textId="77777777" w:rsidR="008F29AA" w:rsidRPr="008E63BB" w:rsidRDefault="008F29AA" w:rsidP="006E16AC">
            <w:pPr>
              <w:spacing w:before="20" w:after="20"/>
              <w:jc w:val="center"/>
              <w:rPr>
                <w:sz w:val="24"/>
                <w:szCs w:val="24"/>
              </w:rPr>
            </w:pPr>
            <w:r w:rsidRPr="008E63BB">
              <w:rPr>
                <w:sz w:val="24"/>
                <w:szCs w:val="24"/>
              </w:rPr>
              <w:t>23,6 (-4,9 ÷ 49,2)</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1D" w14:textId="77777777" w:rsidR="008F29AA" w:rsidRPr="008E63BB" w:rsidRDefault="008F29AA" w:rsidP="006E16AC">
            <w:pPr>
              <w:spacing w:before="20" w:after="20"/>
              <w:jc w:val="center"/>
              <w:rPr>
                <w:sz w:val="24"/>
                <w:szCs w:val="24"/>
              </w:rPr>
            </w:pPr>
            <w:r w:rsidRPr="008E63BB">
              <w:rPr>
                <w:sz w:val="24"/>
                <w:szCs w:val="24"/>
              </w:rPr>
              <w:t>8,4 ( -10,8÷ 26,3)</w:t>
            </w:r>
          </w:p>
        </w:tc>
      </w:tr>
      <w:tr w:rsidR="008F29AA" w:rsidRPr="008E63BB" w14:paraId="519B4524"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1F" w14:textId="77777777" w:rsidR="008F29AA" w:rsidRPr="008E63BB" w:rsidRDefault="008F29AA" w:rsidP="006E16AC">
            <w:pPr>
              <w:spacing w:before="20" w:after="20"/>
              <w:jc w:val="center"/>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20" w14:textId="77777777" w:rsidR="008F29AA" w:rsidRPr="008E63BB" w:rsidRDefault="008F29AA" w:rsidP="006E16AC">
            <w:pPr>
              <w:spacing w:before="20" w:after="20"/>
              <w:rPr>
                <w:sz w:val="24"/>
                <w:szCs w:val="24"/>
              </w:rPr>
            </w:pPr>
            <w:r w:rsidRPr="008E63BB">
              <w:rPr>
                <w:sz w:val="24"/>
                <w:szCs w:val="24"/>
              </w:rPr>
              <w:t>TB năm</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1" w14:textId="77777777" w:rsidR="008F29AA" w:rsidRPr="008E63BB" w:rsidRDefault="008F29AA" w:rsidP="006E16AC">
            <w:pPr>
              <w:spacing w:before="20" w:after="20"/>
              <w:jc w:val="center"/>
              <w:rPr>
                <w:sz w:val="24"/>
                <w:szCs w:val="24"/>
              </w:rPr>
            </w:pPr>
            <w:r w:rsidRPr="008E63BB">
              <w:rPr>
                <w:sz w:val="24"/>
                <w:szCs w:val="24"/>
              </w:rPr>
              <w:t>16,0 (6,0 ÷ 26)</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2" w14:textId="77777777" w:rsidR="008F29AA" w:rsidRPr="008E63BB" w:rsidRDefault="008F29AA" w:rsidP="006E16AC">
            <w:pPr>
              <w:spacing w:before="20" w:after="20"/>
              <w:jc w:val="center"/>
              <w:rPr>
                <w:sz w:val="24"/>
                <w:szCs w:val="24"/>
              </w:rPr>
            </w:pPr>
            <w:r w:rsidRPr="008E63BB">
              <w:rPr>
                <w:sz w:val="24"/>
                <w:szCs w:val="24"/>
              </w:rPr>
              <w:t>21,1 (14,8 ÷ 27,8)</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3" w14:textId="77777777" w:rsidR="008F29AA" w:rsidRPr="008E63BB" w:rsidRDefault="008F29AA" w:rsidP="006E16AC">
            <w:pPr>
              <w:spacing w:before="20" w:after="20"/>
              <w:jc w:val="center"/>
              <w:rPr>
                <w:sz w:val="24"/>
                <w:szCs w:val="24"/>
              </w:rPr>
            </w:pPr>
            <w:r w:rsidRPr="008E63BB">
              <w:rPr>
                <w:sz w:val="24"/>
                <w:szCs w:val="24"/>
              </w:rPr>
              <w:t>27,5 (17,5 ÷ 38,1)</w:t>
            </w:r>
          </w:p>
        </w:tc>
      </w:tr>
      <w:tr w:rsidR="008F29AA" w:rsidRPr="008E63BB" w14:paraId="519B452A" w14:textId="77777777" w:rsidTr="006E16AC">
        <w:trPr>
          <w:trHeight w:val="20"/>
        </w:trPr>
        <w:tc>
          <w:tcPr>
            <w:tcW w:w="12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9B4525" w14:textId="77777777" w:rsidR="008F29AA" w:rsidRPr="008E63BB" w:rsidRDefault="008F29AA" w:rsidP="006E16AC">
            <w:pPr>
              <w:spacing w:before="20" w:after="20"/>
              <w:jc w:val="center"/>
              <w:rPr>
                <w:sz w:val="24"/>
                <w:szCs w:val="24"/>
              </w:rPr>
            </w:pPr>
            <w:r w:rsidRPr="008E63BB">
              <w:rPr>
                <w:sz w:val="24"/>
                <w:szCs w:val="24"/>
              </w:rPr>
              <w:t>Kịch bản RCP8.5</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26" w14:textId="77777777" w:rsidR="008F29AA" w:rsidRPr="008E63BB" w:rsidRDefault="008F29AA" w:rsidP="006E16AC">
            <w:pPr>
              <w:spacing w:before="20" w:after="20"/>
              <w:rPr>
                <w:sz w:val="24"/>
                <w:szCs w:val="24"/>
              </w:rPr>
            </w:pPr>
            <w:r w:rsidRPr="008E63BB">
              <w:rPr>
                <w:sz w:val="24"/>
                <w:szCs w:val="24"/>
              </w:rPr>
              <w:t>Mùa xuân</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7" w14:textId="77777777" w:rsidR="008F29AA" w:rsidRPr="008E63BB" w:rsidRDefault="008F29AA" w:rsidP="006E16AC">
            <w:pPr>
              <w:spacing w:before="20" w:after="20"/>
              <w:jc w:val="center"/>
              <w:rPr>
                <w:sz w:val="24"/>
                <w:szCs w:val="24"/>
              </w:rPr>
            </w:pPr>
            <w:r w:rsidRPr="008E63BB">
              <w:rPr>
                <w:sz w:val="24"/>
                <w:szCs w:val="24"/>
              </w:rPr>
              <w:t>-8,8 (-16,8 ÷ 3,2)</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8" w14:textId="77777777" w:rsidR="008F29AA" w:rsidRPr="008E63BB" w:rsidRDefault="008F29AA" w:rsidP="006E16AC">
            <w:pPr>
              <w:spacing w:before="20" w:after="20"/>
              <w:jc w:val="center"/>
              <w:rPr>
                <w:sz w:val="24"/>
                <w:szCs w:val="24"/>
              </w:rPr>
            </w:pPr>
            <w:r w:rsidRPr="008E63BB">
              <w:rPr>
                <w:sz w:val="24"/>
                <w:szCs w:val="24"/>
              </w:rPr>
              <w:t>7,2 (0,4 ÷ 13,7)</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9" w14:textId="77777777" w:rsidR="008F29AA" w:rsidRPr="008E63BB" w:rsidRDefault="008F29AA" w:rsidP="006E16AC">
            <w:pPr>
              <w:spacing w:before="20" w:after="20"/>
              <w:jc w:val="center"/>
              <w:rPr>
                <w:sz w:val="24"/>
                <w:szCs w:val="24"/>
              </w:rPr>
            </w:pPr>
            <w:r w:rsidRPr="008E63BB">
              <w:rPr>
                <w:sz w:val="24"/>
                <w:szCs w:val="24"/>
              </w:rPr>
              <w:t>8,9 ( -4,6÷ 21,6)</w:t>
            </w:r>
          </w:p>
        </w:tc>
      </w:tr>
      <w:tr w:rsidR="008F29AA" w:rsidRPr="008E63BB" w14:paraId="519B4530"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2B" w14:textId="77777777" w:rsidR="008F29AA" w:rsidRPr="008E63BB" w:rsidRDefault="008F29AA" w:rsidP="006E16AC">
            <w:pPr>
              <w:spacing w:before="20" w:after="20"/>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2C" w14:textId="77777777" w:rsidR="008F29AA" w:rsidRPr="008E63BB" w:rsidRDefault="008F29AA" w:rsidP="006E16AC">
            <w:pPr>
              <w:spacing w:before="20" w:after="20"/>
              <w:rPr>
                <w:sz w:val="24"/>
                <w:szCs w:val="24"/>
              </w:rPr>
            </w:pPr>
            <w:r w:rsidRPr="008E63BB">
              <w:rPr>
                <w:sz w:val="24"/>
                <w:szCs w:val="24"/>
              </w:rPr>
              <w:t>Mùa hè</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D" w14:textId="77777777" w:rsidR="008F29AA" w:rsidRPr="008E63BB" w:rsidRDefault="008F29AA" w:rsidP="006E16AC">
            <w:pPr>
              <w:spacing w:before="20" w:after="20"/>
              <w:jc w:val="center"/>
              <w:rPr>
                <w:sz w:val="24"/>
                <w:szCs w:val="24"/>
              </w:rPr>
            </w:pPr>
            <w:r w:rsidRPr="008E63BB">
              <w:rPr>
                <w:sz w:val="24"/>
                <w:szCs w:val="24"/>
              </w:rPr>
              <w:t>24,6 (13,6 ÷ 35,1)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E" w14:textId="77777777" w:rsidR="008F29AA" w:rsidRPr="008E63BB" w:rsidRDefault="008F29AA" w:rsidP="006E16AC">
            <w:pPr>
              <w:spacing w:before="20" w:after="20"/>
              <w:jc w:val="center"/>
              <w:rPr>
                <w:sz w:val="24"/>
                <w:szCs w:val="24"/>
              </w:rPr>
            </w:pPr>
            <w:r w:rsidRPr="008E63BB">
              <w:rPr>
                <w:sz w:val="24"/>
                <w:szCs w:val="24"/>
              </w:rPr>
              <w:t>14,8 (6,9 ÷ 22,1)</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2F" w14:textId="77777777" w:rsidR="008F29AA" w:rsidRPr="008E63BB" w:rsidRDefault="008F29AA" w:rsidP="006E16AC">
            <w:pPr>
              <w:spacing w:before="20" w:after="20"/>
              <w:jc w:val="center"/>
              <w:rPr>
                <w:sz w:val="24"/>
                <w:szCs w:val="24"/>
              </w:rPr>
            </w:pPr>
            <w:r w:rsidRPr="008E63BB">
              <w:rPr>
                <w:sz w:val="24"/>
                <w:szCs w:val="24"/>
              </w:rPr>
              <w:t>39,0 (28,5 ÷ 49,2)</w:t>
            </w:r>
          </w:p>
        </w:tc>
      </w:tr>
      <w:tr w:rsidR="008F29AA" w:rsidRPr="008E63BB" w14:paraId="519B4536"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31" w14:textId="77777777" w:rsidR="008F29AA" w:rsidRPr="008E63BB" w:rsidRDefault="008F29AA" w:rsidP="006E16AC">
            <w:pPr>
              <w:spacing w:before="20" w:after="20"/>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32" w14:textId="77777777" w:rsidR="008F29AA" w:rsidRPr="008E63BB" w:rsidRDefault="008F29AA" w:rsidP="006E16AC">
            <w:pPr>
              <w:spacing w:before="20" w:after="20"/>
              <w:rPr>
                <w:sz w:val="24"/>
                <w:szCs w:val="24"/>
              </w:rPr>
            </w:pPr>
            <w:r w:rsidRPr="008E63BB">
              <w:rPr>
                <w:sz w:val="24"/>
                <w:szCs w:val="24"/>
              </w:rPr>
              <w:t>Mùa thu</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3" w14:textId="77777777" w:rsidR="008F29AA" w:rsidRPr="008E63BB" w:rsidRDefault="008F29AA" w:rsidP="006E16AC">
            <w:pPr>
              <w:spacing w:before="20" w:after="20"/>
              <w:jc w:val="center"/>
              <w:rPr>
                <w:sz w:val="24"/>
                <w:szCs w:val="24"/>
              </w:rPr>
            </w:pPr>
            <w:r w:rsidRPr="008E63BB">
              <w:rPr>
                <w:sz w:val="24"/>
                <w:szCs w:val="24"/>
              </w:rPr>
              <w:t>17,8 (-4 ÷ 39,9)</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4" w14:textId="77777777" w:rsidR="008F29AA" w:rsidRPr="008E63BB" w:rsidRDefault="008F29AA" w:rsidP="006E16AC">
            <w:pPr>
              <w:spacing w:before="20" w:after="20"/>
              <w:jc w:val="center"/>
              <w:rPr>
                <w:sz w:val="24"/>
                <w:szCs w:val="24"/>
              </w:rPr>
            </w:pPr>
            <w:r w:rsidRPr="008E63BB">
              <w:rPr>
                <w:sz w:val="24"/>
                <w:szCs w:val="24"/>
              </w:rPr>
              <w:t>39,2 (21,5 ÷ 57,4)</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5" w14:textId="77777777" w:rsidR="008F29AA" w:rsidRPr="008E63BB" w:rsidRDefault="008F29AA" w:rsidP="006E16AC">
            <w:pPr>
              <w:spacing w:before="20" w:after="20"/>
              <w:jc w:val="center"/>
              <w:rPr>
                <w:sz w:val="24"/>
                <w:szCs w:val="24"/>
              </w:rPr>
            </w:pPr>
            <w:r w:rsidRPr="008E63BB">
              <w:rPr>
                <w:sz w:val="24"/>
                <w:szCs w:val="24"/>
              </w:rPr>
              <w:t>46,8 (18,0 ÷ 75,4)</w:t>
            </w:r>
          </w:p>
        </w:tc>
      </w:tr>
      <w:tr w:rsidR="008F29AA" w:rsidRPr="008E63BB" w14:paraId="519B453C"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37" w14:textId="77777777" w:rsidR="008F29AA" w:rsidRPr="008E63BB" w:rsidRDefault="008F29AA" w:rsidP="006E16AC">
            <w:pPr>
              <w:spacing w:before="20" w:after="20"/>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38" w14:textId="77777777" w:rsidR="008F29AA" w:rsidRPr="008E63BB" w:rsidRDefault="008F29AA" w:rsidP="006E16AC">
            <w:pPr>
              <w:spacing w:before="20" w:after="20"/>
              <w:rPr>
                <w:sz w:val="24"/>
                <w:szCs w:val="24"/>
              </w:rPr>
            </w:pPr>
            <w:r w:rsidRPr="008E63BB">
              <w:rPr>
                <w:sz w:val="24"/>
                <w:szCs w:val="24"/>
              </w:rPr>
              <w:t>Mùa đông</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9" w14:textId="77777777" w:rsidR="008F29AA" w:rsidRPr="008E63BB" w:rsidRDefault="008F29AA" w:rsidP="006E16AC">
            <w:pPr>
              <w:spacing w:before="20" w:after="20"/>
              <w:jc w:val="center"/>
              <w:rPr>
                <w:sz w:val="24"/>
                <w:szCs w:val="24"/>
              </w:rPr>
            </w:pPr>
            <w:r w:rsidRPr="008E63BB">
              <w:rPr>
                <w:sz w:val="24"/>
                <w:szCs w:val="24"/>
              </w:rPr>
              <w:t>5,7 (-13 ÷ 24,9)</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A" w14:textId="77777777" w:rsidR="008F29AA" w:rsidRPr="008E63BB" w:rsidRDefault="008F29AA" w:rsidP="006E16AC">
            <w:pPr>
              <w:spacing w:before="20" w:after="20"/>
              <w:jc w:val="center"/>
              <w:rPr>
                <w:sz w:val="24"/>
                <w:szCs w:val="24"/>
              </w:rPr>
            </w:pPr>
            <w:r w:rsidRPr="008E63BB">
              <w:rPr>
                <w:sz w:val="24"/>
                <w:szCs w:val="24"/>
              </w:rPr>
              <w:t>13,3 (-9,2 ÷ 34,7)</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B" w14:textId="77777777" w:rsidR="008F29AA" w:rsidRPr="008E63BB" w:rsidRDefault="008F29AA" w:rsidP="006E16AC">
            <w:pPr>
              <w:spacing w:before="20" w:after="20"/>
              <w:jc w:val="center"/>
              <w:rPr>
                <w:sz w:val="24"/>
                <w:szCs w:val="24"/>
              </w:rPr>
            </w:pPr>
            <w:r w:rsidRPr="008E63BB">
              <w:rPr>
                <w:sz w:val="24"/>
                <w:szCs w:val="24"/>
              </w:rPr>
              <w:t>16,1 (-12,9 ÷ 43,1)</w:t>
            </w:r>
          </w:p>
        </w:tc>
      </w:tr>
      <w:tr w:rsidR="008F29AA" w:rsidRPr="008E63BB" w14:paraId="519B4542" w14:textId="77777777" w:rsidTr="006E16AC">
        <w:trPr>
          <w:trHeight w:val="20"/>
        </w:trPr>
        <w:tc>
          <w:tcPr>
            <w:tcW w:w="12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9B453D" w14:textId="77777777" w:rsidR="008F29AA" w:rsidRPr="008E63BB" w:rsidRDefault="008F29AA" w:rsidP="006E16AC">
            <w:pPr>
              <w:spacing w:before="20" w:after="20"/>
              <w:rPr>
                <w:sz w:val="24"/>
                <w:szCs w:val="24"/>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9B453E" w14:textId="77777777" w:rsidR="008F29AA" w:rsidRPr="008E63BB" w:rsidRDefault="008F29AA" w:rsidP="006E16AC">
            <w:pPr>
              <w:spacing w:before="20" w:after="20"/>
              <w:rPr>
                <w:sz w:val="24"/>
                <w:szCs w:val="24"/>
              </w:rPr>
            </w:pPr>
            <w:r w:rsidRPr="008E63BB">
              <w:rPr>
                <w:sz w:val="24"/>
                <w:szCs w:val="24"/>
              </w:rPr>
              <w:t>TB năm</w:t>
            </w:r>
          </w:p>
        </w:tc>
        <w:tc>
          <w:tcPr>
            <w:tcW w:w="22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3F" w14:textId="77777777" w:rsidR="008F29AA" w:rsidRPr="008E63BB" w:rsidRDefault="008F29AA" w:rsidP="006E16AC">
            <w:pPr>
              <w:spacing w:before="20" w:after="20"/>
              <w:jc w:val="center"/>
              <w:rPr>
                <w:sz w:val="24"/>
                <w:szCs w:val="24"/>
              </w:rPr>
            </w:pPr>
            <w:r w:rsidRPr="008E63BB">
              <w:rPr>
                <w:sz w:val="24"/>
                <w:szCs w:val="24"/>
              </w:rPr>
              <w:t>15,2 (8,6 ÷ 22)</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40" w14:textId="77777777" w:rsidR="008F29AA" w:rsidRPr="008E63BB" w:rsidRDefault="008F29AA" w:rsidP="006E16AC">
            <w:pPr>
              <w:spacing w:before="20" w:after="20"/>
              <w:jc w:val="center"/>
              <w:rPr>
                <w:sz w:val="24"/>
                <w:szCs w:val="24"/>
              </w:rPr>
            </w:pPr>
            <w:r w:rsidRPr="008E63BB">
              <w:rPr>
                <w:sz w:val="24"/>
                <w:szCs w:val="24"/>
              </w:rPr>
              <w:t>21,9 (13,2 ÷ 30,5)</w:t>
            </w:r>
          </w:p>
        </w:tc>
        <w:tc>
          <w:tcPr>
            <w:tcW w:w="21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9B4541" w14:textId="77777777" w:rsidR="008F29AA" w:rsidRPr="008E63BB" w:rsidRDefault="008F29AA" w:rsidP="006E16AC">
            <w:pPr>
              <w:spacing w:before="20" w:after="20"/>
              <w:jc w:val="center"/>
              <w:rPr>
                <w:sz w:val="24"/>
                <w:szCs w:val="24"/>
              </w:rPr>
            </w:pPr>
            <w:r w:rsidRPr="008E63BB">
              <w:rPr>
                <w:sz w:val="24"/>
                <w:szCs w:val="24"/>
              </w:rPr>
              <w:t>34,7 (24,8 ÷ 44,6)</w:t>
            </w:r>
          </w:p>
        </w:tc>
      </w:tr>
    </w:tbl>
    <w:p w14:paraId="519B4543" w14:textId="77777777" w:rsidR="008F29AA" w:rsidRPr="008E63BB" w:rsidRDefault="008F29AA" w:rsidP="008F29AA">
      <w:pPr>
        <w:spacing w:before="40" w:after="120"/>
        <w:ind w:left="1066"/>
        <w:jc w:val="right"/>
        <w:rPr>
          <w:i/>
          <w:szCs w:val="26"/>
        </w:rPr>
      </w:pPr>
      <w:r w:rsidRPr="008E63BB">
        <w:rPr>
          <w:i/>
          <w:szCs w:val="26"/>
        </w:rPr>
        <w:t>Nguồn: Kịch bản biến đổi khí hậu, NBD cho Việt Nam, 2016</w:t>
      </w:r>
    </w:p>
    <w:p w14:paraId="519B4544" w14:textId="77777777" w:rsidR="008F29AA" w:rsidRPr="008E63BB" w:rsidRDefault="008F29AA" w:rsidP="008F29AA">
      <w:pPr>
        <w:widowControl w:val="0"/>
        <w:spacing w:before="120" w:after="120"/>
        <w:ind w:firstLine="561"/>
      </w:pPr>
      <w:r w:rsidRPr="008E63BB">
        <w:t>- Mực NBD tại bờ biển tỉnh Nam Định theo các giai đoạn được áp dụng cho Khu vực bờ biển từ Hòn Dấu – Đèo Ngang. Theo Kịch bản BĐKH, NBD cho Việt nam 2016 đến năm 2100 mực NBD tại Nam Định có thể giao động từ 32÷75cm, với kịch bản RCP4.5 và 49÷101 với kịch bản RCP8.5;</w:t>
      </w:r>
    </w:p>
    <w:p w14:paraId="519B4545" w14:textId="77777777" w:rsidR="008F29AA" w:rsidRPr="008E63BB" w:rsidRDefault="008F29AA" w:rsidP="008F29AA">
      <w:pPr>
        <w:pStyle w:val="BangNDmoi"/>
        <w:widowControl w:val="0"/>
        <w:spacing w:line="240" w:lineRule="auto"/>
        <w:rPr>
          <w:bCs/>
          <w:noProof/>
          <w:lang w:val="en-US" w:eastAsia="en-US"/>
        </w:rPr>
      </w:pPr>
      <w:r w:rsidRPr="008E63BB">
        <w:rPr>
          <w:bCs/>
          <w:noProof/>
          <w:lang w:val="en-US" w:eastAsia="en-US"/>
        </w:rPr>
        <w:t>Bảng MT10: Mực nước biển dâng khu vực NCQH theo kịch bản BĐKH và NBD Việt Nam năm 2016</w:t>
      </w:r>
    </w:p>
    <w:tbl>
      <w:tblPr>
        <w:tblW w:w="94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921"/>
        <w:gridCol w:w="987"/>
        <w:gridCol w:w="987"/>
        <w:gridCol w:w="987"/>
        <w:gridCol w:w="987"/>
        <w:gridCol w:w="987"/>
        <w:gridCol w:w="987"/>
        <w:gridCol w:w="1105"/>
      </w:tblGrid>
      <w:tr w:rsidR="008F29AA" w:rsidRPr="008E63BB" w14:paraId="519B4548" w14:textId="77777777" w:rsidTr="006E16AC">
        <w:trPr>
          <w:trHeight w:val="22"/>
          <w:tblHeader/>
        </w:trPr>
        <w:tc>
          <w:tcPr>
            <w:tcW w:w="1458" w:type="dxa"/>
            <w:vMerge w:val="restart"/>
            <w:shd w:val="clear" w:color="auto" w:fill="auto"/>
            <w:vAlign w:val="center"/>
          </w:tcPr>
          <w:p w14:paraId="519B4546"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Kịch bản</w:t>
            </w:r>
          </w:p>
        </w:tc>
        <w:tc>
          <w:tcPr>
            <w:tcW w:w="7948" w:type="dxa"/>
            <w:gridSpan w:val="8"/>
            <w:shd w:val="clear" w:color="auto" w:fill="auto"/>
            <w:vAlign w:val="center"/>
          </w:tcPr>
          <w:p w14:paraId="519B4547"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Các mốc thời gian của thế kỷ 21 (năm)</w:t>
            </w:r>
          </w:p>
        </w:tc>
      </w:tr>
      <w:tr w:rsidR="008F29AA" w:rsidRPr="008E63BB" w14:paraId="519B4552" w14:textId="77777777" w:rsidTr="006E16AC">
        <w:trPr>
          <w:trHeight w:val="22"/>
          <w:tblHeader/>
        </w:trPr>
        <w:tc>
          <w:tcPr>
            <w:tcW w:w="1458" w:type="dxa"/>
            <w:vMerge/>
            <w:shd w:val="clear" w:color="auto" w:fill="auto"/>
            <w:vAlign w:val="center"/>
          </w:tcPr>
          <w:p w14:paraId="519B4549" w14:textId="77777777" w:rsidR="008F29AA" w:rsidRPr="008E63BB" w:rsidRDefault="008F29AA" w:rsidP="006E16AC">
            <w:pPr>
              <w:pStyle w:val="BangNDmoi"/>
              <w:widowControl w:val="0"/>
              <w:spacing w:before="40" w:after="40" w:line="240" w:lineRule="auto"/>
              <w:rPr>
                <w:sz w:val="24"/>
                <w:szCs w:val="24"/>
                <w:lang w:val="en-US"/>
              </w:rPr>
            </w:pPr>
          </w:p>
        </w:tc>
        <w:tc>
          <w:tcPr>
            <w:tcW w:w="921" w:type="dxa"/>
            <w:shd w:val="clear" w:color="auto" w:fill="auto"/>
            <w:vAlign w:val="center"/>
          </w:tcPr>
          <w:p w14:paraId="519B454A"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2030</w:t>
            </w:r>
          </w:p>
        </w:tc>
        <w:tc>
          <w:tcPr>
            <w:tcW w:w="987" w:type="dxa"/>
            <w:shd w:val="clear" w:color="auto" w:fill="auto"/>
            <w:vAlign w:val="center"/>
          </w:tcPr>
          <w:p w14:paraId="519B454B"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2040</w:t>
            </w:r>
          </w:p>
        </w:tc>
        <w:tc>
          <w:tcPr>
            <w:tcW w:w="987" w:type="dxa"/>
            <w:shd w:val="clear" w:color="auto" w:fill="auto"/>
            <w:vAlign w:val="center"/>
          </w:tcPr>
          <w:p w14:paraId="519B454C"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2050</w:t>
            </w:r>
          </w:p>
        </w:tc>
        <w:tc>
          <w:tcPr>
            <w:tcW w:w="987" w:type="dxa"/>
            <w:shd w:val="clear" w:color="auto" w:fill="auto"/>
            <w:vAlign w:val="center"/>
          </w:tcPr>
          <w:p w14:paraId="519B454D"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2060</w:t>
            </w:r>
          </w:p>
        </w:tc>
        <w:tc>
          <w:tcPr>
            <w:tcW w:w="987" w:type="dxa"/>
            <w:shd w:val="clear" w:color="auto" w:fill="auto"/>
            <w:vAlign w:val="center"/>
          </w:tcPr>
          <w:p w14:paraId="519B454E"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2070</w:t>
            </w:r>
          </w:p>
        </w:tc>
        <w:tc>
          <w:tcPr>
            <w:tcW w:w="987" w:type="dxa"/>
            <w:shd w:val="clear" w:color="auto" w:fill="auto"/>
            <w:vAlign w:val="center"/>
          </w:tcPr>
          <w:p w14:paraId="519B454F"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2080</w:t>
            </w:r>
          </w:p>
        </w:tc>
        <w:tc>
          <w:tcPr>
            <w:tcW w:w="987" w:type="dxa"/>
            <w:shd w:val="clear" w:color="auto" w:fill="auto"/>
            <w:vAlign w:val="center"/>
          </w:tcPr>
          <w:p w14:paraId="519B4550"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2090</w:t>
            </w:r>
          </w:p>
        </w:tc>
        <w:tc>
          <w:tcPr>
            <w:tcW w:w="1105" w:type="dxa"/>
            <w:shd w:val="clear" w:color="auto" w:fill="auto"/>
            <w:vAlign w:val="center"/>
          </w:tcPr>
          <w:p w14:paraId="519B4551" w14:textId="77777777" w:rsidR="008F29AA" w:rsidRPr="008E63BB" w:rsidRDefault="008F29AA" w:rsidP="006E16AC">
            <w:pPr>
              <w:pStyle w:val="BangNDmoi"/>
              <w:widowControl w:val="0"/>
              <w:spacing w:before="40" w:after="40" w:line="240" w:lineRule="auto"/>
              <w:rPr>
                <w:sz w:val="24"/>
                <w:szCs w:val="24"/>
                <w:lang w:val="en-US"/>
              </w:rPr>
            </w:pPr>
            <w:r w:rsidRPr="008E63BB">
              <w:rPr>
                <w:sz w:val="24"/>
                <w:szCs w:val="24"/>
                <w:lang w:val="en-US"/>
              </w:rPr>
              <w:t>2100</w:t>
            </w:r>
          </w:p>
        </w:tc>
      </w:tr>
      <w:tr w:rsidR="008F29AA" w:rsidRPr="008E63BB" w14:paraId="519B4564" w14:textId="77777777" w:rsidTr="006E16AC">
        <w:trPr>
          <w:trHeight w:val="22"/>
        </w:trPr>
        <w:tc>
          <w:tcPr>
            <w:tcW w:w="1458" w:type="dxa"/>
            <w:shd w:val="clear" w:color="auto" w:fill="auto"/>
            <w:vAlign w:val="center"/>
          </w:tcPr>
          <w:p w14:paraId="519B4553" w14:textId="77777777" w:rsidR="008F29AA" w:rsidRPr="008E63BB" w:rsidRDefault="008F29AA" w:rsidP="006E16AC">
            <w:pPr>
              <w:pStyle w:val="BangNDmoi"/>
              <w:widowControl w:val="0"/>
              <w:tabs>
                <w:tab w:val="left" w:pos="90"/>
              </w:tabs>
              <w:spacing w:before="40" w:after="40" w:line="240" w:lineRule="auto"/>
              <w:ind w:left="-86" w:right="-115"/>
              <w:rPr>
                <w:b w:val="0"/>
                <w:sz w:val="24"/>
                <w:szCs w:val="24"/>
                <w:lang w:val="en-US"/>
              </w:rPr>
            </w:pPr>
            <w:r w:rsidRPr="008E63BB">
              <w:rPr>
                <w:sz w:val="24"/>
                <w:szCs w:val="24"/>
                <w:lang w:val="en-US"/>
              </w:rPr>
              <w:t>RCP 4.5</w:t>
            </w:r>
          </w:p>
        </w:tc>
        <w:tc>
          <w:tcPr>
            <w:tcW w:w="921" w:type="dxa"/>
            <w:shd w:val="clear" w:color="auto" w:fill="auto"/>
            <w:vAlign w:val="center"/>
          </w:tcPr>
          <w:p w14:paraId="519B4554"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13</w:t>
            </w:r>
          </w:p>
          <w:p w14:paraId="519B4555"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(8÷18)</w:t>
            </w:r>
          </w:p>
        </w:tc>
        <w:tc>
          <w:tcPr>
            <w:tcW w:w="987" w:type="dxa"/>
            <w:shd w:val="clear" w:color="auto" w:fill="auto"/>
            <w:vAlign w:val="center"/>
          </w:tcPr>
          <w:p w14:paraId="519B4556"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17</w:t>
            </w:r>
          </w:p>
          <w:p w14:paraId="519B4557"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(10÷24)</w:t>
            </w:r>
          </w:p>
        </w:tc>
        <w:tc>
          <w:tcPr>
            <w:tcW w:w="987" w:type="dxa"/>
            <w:shd w:val="clear" w:color="auto" w:fill="auto"/>
            <w:vAlign w:val="center"/>
          </w:tcPr>
          <w:p w14:paraId="519B4558"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22</w:t>
            </w:r>
          </w:p>
          <w:p w14:paraId="519B4559"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(13÷31)</w:t>
            </w:r>
          </w:p>
        </w:tc>
        <w:tc>
          <w:tcPr>
            <w:tcW w:w="987" w:type="dxa"/>
            <w:shd w:val="clear" w:color="auto" w:fill="auto"/>
            <w:vAlign w:val="center"/>
          </w:tcPr>
          <w:p w14:paraId="519B455A"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27</w:t>
            </w:r>
          </w:p>
          <w:p w14:paraId="519B455B"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(16÷39)</w:t>
            </w:r>
          </w:p>
        </w:tc>
        <w:tc>
          <w:tcPr>
            <w:tcW w:w="987" w:type="dxa"/>
            <w:shd w:val="clear" w:color="auto" w:fill="auto"/>
            <w:vAlign w:val="center"/>
          </w:tcPr>
          <w:p w14:paraId="519B455C"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33</w:t>
            </w:r>
          </w:p>
          <w:p w14:paraId="519B455D"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(20÷47)</w:t>
            </w:r>
          </w:p>
        </w:tc>
        <w:tc>
          <w:tcPr>
            <w:tcW w:w="987" w:type="dxa"/>
            <w:shd w:val="clear" w:color="auto" w:fill="auto"/>
            <w:vAlign w:val="center"/>
          </w:tcPr>
          <w:p w14:paraId="519B455E"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39</w:t>
            </w:r>
          </w:p>
          <w:p w14:paraId="519B455F"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(24÷56)</w:t>
            </w:r>
          </w:p>
        </w:tc>
        <w:tc>
          <w:tcPr>
            <w:tcW w:w="987" w:type="dxa"/>
            <w:shd w:val="clear" w:color="auto" w:fill="auto"/>
            <w:vAlign w:val="center"/>
          </w:tcPr>
          <w:p w14:paraId="519B4560"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46</w:t>
            </w:r>
          </w:p>
          <w:p w14:paraId="519B4561"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(28÷65)</w:t>
            </w:r>
          </w:p>
        </w:tc>
        <w:tc>
          <w:tcPr>
            <w:tcW w:w="1105" w:type="dxa"/>
            <w:shd w:val="clear" w:color="auto" w:fill="auto"/>
            <w:vAlign w:val="center"/>
          </w:tcPr>
          <w:p w14:paraId="519B4562"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53</w:t>
            </w:r>
          </w:p>
          <w:p w14:paraId="519B4563" w14:textId="77777777" w:rsidR="008F29AA" w:rsidRPr="008E63BB" w:rsidRDefault="008F29AA" w:rsidP="006E16AC">
            <w:pPr>
              <w:pStyle w:val="BangNDmoi"/>
              <w:widowControl w:val="0"/>
              <w:spacing w:before="40" w:after="40" w:line="240" w:lineRule="auto"/>
              <w:ind w:left="-108" w:right="-115"/>
              <w:rPr>
                <w:b w:val="0"/>
                <w:sz w:val="24"/>
                <w:szCs w:val="24"/>
                <w:lang w:val="en-US"/>
              </w:rPr>
            </w:pPr>
            <w:r w:rsidRPr="008E63BB">
              <w:rPr>
                <w:b w:val="0"/>
                <w:sz w:val="24"/>
                <w:szCs w:val="24"/>
                <w:lang w:val="en-US"/>
              </w:rPr>
              <w:t>(32÷75)</w:t>
            </w:r>
          </w:p>
        </w:tc>
      </w:tr>
      <w:tr w:rsidR="008F29AA" w:rsidRPr="008E63BB" w14:paraId="519B4576" w14:textId="77777777" w:rsidTr="006E16AC">
        <w:trPr>
          <w:trHeight w:val="22"/>
        </w:trPr>
        <w:tc>
          <w:tcPr>
            <w:tcW w:w="1458" w:type="dxa"/>
            <w:shd w:val="clear" w:color="auto" w:fill="auto"/>
            <w:vAlign w:val="center"/>
          </w:tcPr>
          <w:p w14:paraId="519B4565" w14:textId="77777777" w:rsidR="008F29AA" w:rsidRPr="008E63BB" w:rsidRDefault="008F29AA" w:rsidP="006E16AC">
            <w:pPr>
              <w:pStyle w:val="BangNDmoi"/>
              <w:widowControl w:val="0"/>
              <w:tabs>
                <w:tab w:val="left" w:pos="90"/>
              </w:tabs>
              <w:spacing w:before="40" w:after="40" w:line="240" w:lineRule="auto"/>
              <w:ind w:left="-86" w:right="-115"/>
              <w:rPr>
                <w:b w:val="0"/>
                <w:sz w:val="24"/>
                <w:szCs w:val="24"/>
                <w:lang w:val="en-US"/>
              </w:rPr>
            </w:pPr>
            <w:r w:rsidRPr="008E63BB">
              <w:rPr>
                <w:sz w:val="24"/>
                <w:szCs w:val="24"/>
                <w:lang w:val="en-US"/>
              </w:rPr>
              <w:t>RCP 8.5</w:t>
            </w:r>
          </w:p>
        </w:tc>
        <w:tc>
          <w:tcPr>
            <w:tcW w:w="921" w:type="dxa"/>
            <w:shd w:val="clear" w:color="auto" w:fill="auto"/>
            <w:vAlign w:val="center"/>
          </w:tcPr>
          <w:p w14:paraId="519B4566"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13</w:t>
            </w:r>
          </w:p>
          <w:p w14:paraId="519B4567"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(9÷18)</w:t>
            </w:r>
          </w:p>
        </w:tc>
        <w:tc>
          <w:tcPr>
            <w:tcW w:w="987" w:type="dxa"/>
            <w:shd w:val="clear" w:color="auto" w:fill="auto"/>
            <w:vAlign w:val="center"/>
          </w:tcPr>
          <w:p w14:paraId="519B4568"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18</w:t>
            </w:r>
          </w:p>
          <w:p w14:paraId="519B4569"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(12÷26)</w:t>
            </w:r>
          </w:p>
        </w:tc>
        <w:tc>
          <w:tcPr>
            <w:tcW w:w="987" w:type="dxa"/>
            <w:shd w:val="clear" w:color="auto" w:fill="auto"/>
            <w:vAlign w:val="center"/>
          </w:tcPr>
          <w:p w14:paraId="519B456A"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25</w:t>
            </w:r>
          </w:p>
          <w:p w14:paraId="519B456B"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(17÷35)</w:t>
            </w:r>
          </w:p>
        </w:tc>
        <w:tc>
          <w:tcPr>
            <w:tcW w:w="987" w:type="dxa"/>
            <w:shd w:val="clear" w:color="auto" w:fill="auto"/>
            <w:vAlign w:val="center"/>
          </w:tcPr>
          <w:p w14:paraId="519B456C"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32</w:t>
            </w:r>
          </w:p>
          <w:p w14:paraId="519B456D"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(22÷45)</w:t>
            </w:r>
          </w:p>
        </w:tc>
        <w:tc>
          <w:tcPr>
            <w:tcW w:w="987" w:type="dxa"/>
            <w:shd w:val="clear" w:color="auto" w:fill="auto"/>
            <w:vAlign w:val="center"/>
          </w:tcPr>
          <w:p w14:paraId="519B456E"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40</w:t>
            </w:r>
          </w:p>
          <w:p w14:paraId="519B456F"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(28÷57)</w:t>
            </w:r>
          </w:p>
        </w:tc>
        <w:tc>
          <w:tcPr>
            <w:tcW w:w="987" w:type="dxa"/>
            <w:shd w:val="clear" w:color="auto" w:fill="auto"/>
            <w:vAlign w:val="center"/>
          </w:tcPr>
          <w:p w14:paraId="519B4570"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50</w:t>
            </w:r>
          </w:p>
          <w:p w14:paraId="519B4571"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(34÷71)</w:t>
            </w:r>
          </w:p>
        </w:tc>
        <w:tc>
          <w:tcPr>
            <w:tcW w:w="987" w:type="dxa"/>
            <w:shd w:val="clear" w:color="auto" w:fill="auto"/>
            <w:vAlign w:val="center"/>
          </w:tcPr>
          <w:p w14:paraId="519B4572"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60</w:t>
            </w:r>
          </w:p>
          <w:p w14:paraId="519B4573"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(41÷85)</w:t>
            </w:r>
          </w:p>
        </w:tc>
        <w:tc>
          <w:tcPr>
            <w:tcW w:w="1105" w:type="dxa"/>
            <w:shd w:val="clear" w:color="auto" w:fill="auto"/>
            <w:vAlign w:val="center"/>
          </w:tcPr>
          <w:p w14:paraId="519B4574"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72</w:t>
            </w:r>
          </w:p>
          <w:p w14:paraId="519B4575" w14:textId="77777777" w:rsidR="008F29AA" w:rsidRPr="008E63BB" w:rsidRDefault="008F29AA" w:rsidP="006E16AC">
            <w:pPr>
              <w:pStyle w:val="BangNDmoi"/>
              <w:widowControl w:val="0"/>
              <w:spacing w:before="40" w:after="40" w:line="240" w:lineRule="auto"/>
              <w:ind w:left="-108" w:right="-115"/>
              <w:rPr>
                <w:sz w:val="24"/>
                <w:szCs w:val="24"/>
                <w:lang w:val="en-US"/>
              </w:rPr>
            </w:pPr>
            <w:r w:rsidRPr="008E63BB">
              <w:rPr>
                <w:sz w:val="24"/>
                <w:szCs w:val="24"/>
                <w:lang w:val="en-US"/>
              </w:rPr>
              <w:t>(49÷101)</w:t>
            </w:r>
          </w:p>
        </w:tc>
      </w:tr>
    </w:tbl>
    <w:p w14:paraId="519B4577" w14:textId="77777777" w:rsidR="008F29AA" w:rsidRPr="008E63BB" w:rsidRDefault="008F29AA" w:rsidP="008F29AA">
      <w:pPr>
        <w:autoSpaceDE w:val="0"/>
        <w:autoSpaceDN w:val="0"/>
        <w:adjustRightInd w:val="0"/>
        <w:spacing w:before="240" w:after="120"/>
        <w:rPr>
          <w:i/>
          <w:lang w:val="sv-SE"/>
        </w:rPr>
      </w:pPr>
      <w:r w:rsidRPr="008E63BB">
        <w:rPr>
          <w:i/>
          <w:lang w:val="sv-SE"/>
        </w:rPr>
        <w:t>* Các tác động của BĐKH:</w:t>
      </w:r>
    </w:p>
    <w:p w14:paraId="519B4578" w14:textId="77777777" w:rsidR="008F29AA" w:rsidRPr="008E63BB" w:rsidRDefault="008F29AA" w:rsidP="008F29AA">
      <w:pPr>
        <w:widowControl w:val="0"/>
        <w:numPr>
          <w:ilvl w:val="0"/>
          <w:numId w:val="22"/>
        </w:numPr>
        <w:tabs>
          <w:tab w:val="left" w:pos="851"/>
        </w:tabs>
        <w:spacing w:before="80" w:after="80"/>
        <w:ind w:left="0" w:firstLine="709"/>
        <w:rPr>
          <w:lang w:val="sv-SE"/>
        </w:rPr>
      </w:pPr>
      <w:r w:rsidRPr="008E63BB">
        <w:rPr>
          <w:lang w:val="sv-SE"/>
        </w:rPr>
        <w:t>Nhiệt độ gia tăng: gây các tác động tiêu cực đến đời sống sản xuất nông nghiệp, nuôi trồng thủy hải sản, sức khỏe cộng đồng và nhu cầu năng lượng, nước sạch;</w:t>
      </w:r>
    </w:p>
    <w:p w14:paraId="519B4579" w14:textId="77777777" w:rsidR="008F29AA" w:rsidRPr="008E63BB" w:rsidRDefault="008F29AA" w:rsidP="008F29AA">
      <w:pPr>
        <w:widowControl w:val="0"/>
        <w:tabs>
          <w:tab w:val="left" w:pos="851"/>
        </w:tabs>
        <w:spacing w:before="80" w:after="80"/>
        <w:rPr>
          <w:lang w:val="sv-SE"/>
        </w:rPr>
      </w:pPr>
      <w:r w:rsidRPr="008E63BB">
        <w:rPr>
          <w:lang w:val="sv-SE"/>
        </w:rPr>
        <w:tab/>
        <w:t>+ Nhiệt độ gia tăng, cùng với độ ẩm cao là điều kiện thuận lợi cho dịch bệnh phát triển, ảnh hưởng đến đời sống sinh hoạt, sản xuất, sức khỏe cộng đồng;</w:t>
      </w:r>
    </w:p>
    <w:p w14:paraId="519B457A" w14:textId="77777777" w:rsidR="008F29AA" w:rsidRPr="008E63BB" w:rsidRDefault="008F29AA" w:rsidP="008F29AA">
      <w:pPr>
        <w:widowControl w:val="0"/>
        <w:tabs>
          <w:tab w:val="left" w:pos="851"/>
        </w:tabs>
        <w:spacing w:before="80" w:after="80"/>
        <w:rPr>
          <w:lang w:val="sv-SE"/>
        </w:rPr>
      </w:pPr>
      <w:r w:rsidRPr="008E63BB">
        <w:rPr>
          <w:lang w:val="sv-SE"/>
        </w:rPr>
        <w:tab/>
        <w:t>+ Biến đổi nhiệt độ khiến mùa đông có thể bị rút ngắn, làm mù vụ bị thay đổi; Nắng nóng kéo dài cũng khiến tình hình khô cạn trở nên nghiêm trọng, cùng với tình hình dịch bệnh, thiên tai có thể gia tăng gây sức ép lớn đối với ngành nông nghiệp, ngư nghiệp, ảnh hưởng đến an ninh lương thực của địa phương;</w:t>
      </w:r>
    </w:p>
    <w:p w14:paraId="519B457B" w14:textId="77777777" w:rsidR="008F29AA" w:rsidRPr="008E63BB" w:rsidRDefault="008F29AA" w:rsidP="008F29AA">
      <w:pPr>
        <w:widowControl w:val="0"/>
        <w:tabs>
          <w:tab w:val="left" w:pos="851"/>
        </w:tabs>
        <w:spacing w:before="80" w:after="80"/>
        <w:rPr>
          <w:lang w:val="sv-SE"/>
        </w:rPr>
      </w:pPr>
      <w:r w:rsidRPr="008E63BB">
        <w:rPr>
          <w:lang w:val="sv-SE"/>
        </w:rPr>
        <w:tab/>
        <w:t>+ Nhiệt độ tăng cao khiến nhu cầu sử dụng năng lượng để làm mát gia tăng, nhu cầu nước sạch, nước tưới gia tăng; Gây áp lực lên nguồn tài nguyên thiên nhiên;</w:t>
      </w:r>
    </w:p>
    <w:p w14:paraId="519B457C" w14:textId="77777777" w:rsidR="008F29AA" w:rsidRPr="008E63BB" w:rsidRDefault="008F29AA" w:rsidP="008F29AA">
      <w:pPr>
        <w:widowControl w:val="0"/>
        <w:tabs>
          <w:tab w:val="left" w:pos="851"/>
        </w:tabs>
        <w:spacing w:before="80" w:after="80"/>
        <w:rPr>
          <w:lang w:val="sv-SE"/>
        </w:rPr>
      </w:pPr>
      <w:r w:rsidRPr="008E63BB">
        <w:rPr>
          <w:lang w:val="sv-SE"/>
        </w:rPr>
        <w:tab/>
        <w:t>+ Nắng nóng cũng khiến nguy cơ hỏa hoạn tăng lên, ảnh hưởng đến kinh tế và cộng đồng;</w:t>
      </w:r>
    </w:p>
    <w:p w14:paraId="519B457D" w14:textId="77777777" w:rsidR="008F29AA" w:rsidRPr="008E63BB" w:rsidRDefault="008F29AA" w:rsidP="008F29AA">
      <w:pPr>
        <w:widowControl w:val="0"/>
        <w:numPr>
          <w:ilvl w:val="0"/>
          <w:numId w:val="22"/>
        </w:numPr>
        <w:tabs>
          <w:tab w:val="left" w:pos="720"/>
        </w:tabs>
        <w:spacing w:before="80" w:after="80"/>
        <w:ind w:left="90" w:firstLine="477"/>
        <w:rPr>
          <w:lang w:val="sv-SE"/>
        </w:rPr>
      </w:pPr>
      <w:r w:rsidRPr="008E63BB">
        <w:rPr>
          <w:lang w:val="sv-SE"/>
        </w:rPr>
        <w:t>Biến động lượng mưa: Lượng mưa có xu hướng tăng cao trong mùa mưa và có thể giảm trong mùa khô gây ảnh hưởng đến đời sống sinh hoạt, sản xuất của nhân dân:</w:t>
      </w:r>
    </w:p>
    <w:p w14:paraId="519B457E" w14:textId="77777777" w:rsidR="008F29AA" w:rsidRPr="008E63BB" w:rsidRDefault="008F29AA" w:rsidP="008F29AA">
      <w:pPr>
        <w:widowControl w:val="0"/>
        <w:tabs>
          <w:tab w:val="left" w:pos="720"/>
        </w:tabs>
        <w:spacing w:before="80" w:after="80"/>
        <w:ind w:left="90" w:firstLine="477"/>
        <w:rPr>
          <w:lang w:val="sv-SE"/>
        </w:rPr>
      </w:pPr>
      <w:r w:rsidRPr="008E63BB">
        <w:rPr>
          <w:lang w:val="sv-SE"/>
        </w:rPr>
        <w:t>+ Lượng mưa gia tăng sẽ khiến tình hình ngập lụt có nguy cơ gia tăng, ảnh hưởng đến chất lượng các công trình hạ tầng, sức khỏe và chất lượng cuộc sống của người dân;</w:t>
      </w:r>
    </w:p>
    <w:p w14:paraId="519B457F" w14:textId="77777777" w:rsidR="008F29AA" w:rsidRPr="008E63BB" w:rsidRDefault="008F29AA" w:rsidP="008F29AA">
      <w:pPr>
        <w:widowControl w:val="0"/>
        <w:tabs>
          <w:tab w:val="left" w:pos="720"/>
        </w:tabs>
        <w:spacing w:before="80" w:after="80"/>
        <w:ind w:left="90" w:firstLine="477"/>
        <w:rPr>
          <w:lang w:val="sv-SE"/>
        </w:rPr>
      </w:pPr>
      <w:r w:rsidRPr="008E63BB">
        <w:rPr>
          <w:lang w:val="sv-SE"/>
        </w:rPr>
        <w:lastRenderedPageBreak/>
        <w:t xml:space="preserve">+ Lượng mưa gia tăng sẽ khiến các hoạt động sản xuất nông nghiệp, ngư nghiệp gặp khó khăn; Ảnh hưởng đến chất lượng, sản lượng lượng thực, thực phẩm; </w:t>
      </w:r>
    </w:p>
    <w:p w14:paraId="519B4580" w14:textId="77777777" w:rsidR="008F29AA" w:rsidRPr="008E63BB" w:rsidRDefault="008F29AA" w:rsidP="008F29AA">
      <w:pPr>
        <w:widowControl w:val="0"/>
        <w:tabs>
          <w:tab w:val="left" w:pos="720"/>
        </w:tabs>
        <w:spacing w:before="80" w:after="80"/>
        <w:ind w:left="90" w:firstLine="477"/>
        <w:rPr>
          <w:lang w:val="sv-SE"/>
        </w:rPr>
      </w:pPr>
      <w:r w:rsidRPr="008E63BB">
        <w:rPr>
          <w:lang w:val="sv-SE"/>
        </w:rPr>
        <w:t>+ Cùng với vấn đề lượng mưa gia tăng trong mùa mưa thì nguy cơ hạn hán có thể xẩy ra trong mùa khô, khi lượng mưa mùa sụt giảm; Nước sản xuất, nước sinh hoạt thiếu thốn gây ảnh hưởng đến hoạt động sinh hoạt, sản xuất của nhân dân;</w:t>
      </w:r>
    </w:p>
    <w:p w14:paraId="519B4581" w14:textId="77777777" w:rsidR="008F29AA" w:rsidRPr="008E63BB" w:rsidRDefault="008F29AA" w:rsidP="008F29AA">
      <w:pPr>
        <w:widowControl w:val="0"/>
        <w:tabs>
          <w:tab w:val="left" w:pos="720"/>
        </w:tabs>
        <w:spacing w:before="80" w:after="80"/>
        <w:ind w:left="90" w:firstLine="477"/>
        <w:rPr>
          <w:lang w:val="sv-SE"/>
        </w:rPr>
      </w:pPr>
      <w:r w:rsidRPr="008E63BB">
        <w:rPr>
          <w:lang w:val="sv-SE"/>
        </w:rPr>
        <w:t>+ Mưa lớn kéo dài kết thúc, nắng nóng xuất hiện thường xuyên khiến nền nhiệt thay đổi liên tục khiến sức khỏe của cộng đồng bị ảnh hưởng, đặc biệt là các đối tượng nhạy cảm là người già và trẻ em;</w:t>
      </w:r>
    </w:p>
    <w:p w14:paraId="519B4582" w14:textId="77777777" w:rsidR="008F29AA" w:rsidRPr="008E63BB" w:rsidRDefault="008F29AA" w:rsidP="008F29AA">
      <w:pPr>
        <w:widowControl w:val="0"/>
        <w:numPr>
          <w:ilvl w:val="0"/>
          <w:numId w:val="22"/>
        </w:numPr>
        <w:tabs>
          <w:tab w:val="left" w:pos="851"/>
        </w:tabs>
        <w:spacing w:before="80" w:after="80"/>
        <w:ind w:left="0" w:firstLine="709"/>
        <w:rPr>
          <w:spacing w:val="-2"/>
          <w:lang w:val="sv-SE"/>
        </w:rPr>
      </w:pPr>
      <w:r w:rsidRPr="008E63BB">
        <w:rPr>
          <w:spacing w:val="-2"/>
          <w:lang w:val="sv-SE"/>
        </w:rPr>
        <w:t>Nước biển dâng là một trong những vấn đề đáng lo ngại của khu vực trong tương lai. Với mức độ dâng cao của nước biển trong khoảng 50 - 100 năm tới có thể một phần diện tích trong khu vực có nguy cơ bị ngập, đặt ra những áp lực về đất đai, an ninh lương thực, cơ sở hạ tầng kỹ thuật, hạ tầng xã hội, tài nguyên nước, sức khỏe và đời sống của cộng đồng dân cư; Riêng đối với thành phố Nam Định, tương ứng với MNBD 100m, thì khoảng 1,95% diện tích bị ngập, với huyện Nam Trực là 59,39% và huyện Mỹ Lộc là 20,7%. Cùng với tình hình nước biển dâng, tình hình xâm nhập mặn cũng có nguy cơ gia tăng đặc biệt vào các thời kỳ khô hạn, khi mực nước tại các con sông sụt giảm do hạn hán;</w:t>
      </w:r>
    </w:p>
    <w:p w14:paraId="519B4583" w14:textId="77777777" w:rsidR="008C1B81" w:rsidRPr="008E63BB" w:rsidRDefault="008C1B81" w:rsidP="0065184D">
      <w:pPr>
        <w:widowControl w:val="0"/>
        <w:tabs>
          <w:tab w:val="left" w:pos="851"/>
        </w:tabs>
        <w:spacing w:before="40" w:after="40"/>
        <w:jc w:val="center"/>
        <w:rPr>
          <w:b/>
          <w:lang w:val="sv-SE"/>
        </w:rPr>
      </w:pPr>
      <w:r w:rsidRPr="008E63BB">
        <w:rPr>
          <w:b/>
          <w:lang w:val="sv-SE"/>
        </w:rPr>
        <w:t>Bảng</w:t>
      </w:r>
      <w:r w:rsidR="008F29AA" w:rsidRPr="008E63BB">
        <w:rPr>
          <w:b/>
          <w:lang w:val="sv-SE"/>
        </w:rPr>
        <w:t xml:space="preserve"> MT11</w:t>
      </w:r>
      <w:r w:rsidRPr="008E63BB">
        <w:rPr>
          <w:b/>
          <w:lang w:val="sv-SE"/>
        </w:rPr>
        <w:t>: Nguy cơ ngập tỉnh Nam Định theo kịch bản BĐKH và NBD năm 2016</w:t>
      </w:r>
    </w:p>
    <w:p w14:paraId="519B4584" w14:textId="77777777" w:rsidR="008C1B81" w:rsidRPr="008E63BB" w:rsidRDefault="00AD33EB" w:rsidP="0065184D">
      <w:pPr>
        <w:widowControl w:val="0"/>
        <w:ind w:left="-90"/>
      </w:pPr>
      <w:r w:rsidRPr="008E63BB">
        <w:rPr>
          <w:noProof/>
          <w:lang w:eastAsia="zh-CN"/>
        </w:rPr>
        <w:drawing>
          <wp:inline distT="0" distB="0" distL="0" distR="0" wp14:anchorId="519B52BD" wp14:editId="519B52BE">
            <wp:extent cx="5998029" cy="2826089"/>
            <wp:effectExtent l="0" t="0" r="3175" b="0"/>
            <wp:docPr id="50" name="Picture 22" descr="ngaP-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gaP-ND"/>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6061298" cy="2855900"/>
                    </a:xfrm>
                    <a:prstGeom prst="rect">
                      <a:avLst/>
                    </a:prstGeom>
                    <a:noFill/>
                    <a:ln w="9525">
                      <a:noFill/>
                      <a:miter lim="800000"/>
                      <a:headEnd/>
                      <a:tailEnd/>
                    </a:ln>
                  </pic:spPr>
                </pic:pic>
              </a:graphicData>
            </a:graphic>
          </wp:inline>
        </w:drawing>
      </w:r>
    </w:p>
    <w:p w14:paraId="519B4585" w14:textId="1E102059" w:rsidR="008C1B81" w:rsidRPr="008E63BB" w:rsidRDefault="00E44DA3" w:rsidP="0065184D">
      <w:pPr>
        <w:pStyle w:val="ListParagraph"/>
        <w:widowControl w:val="0"/>
        <w:tabs>
          <w:tab w:val="left" w:pos="709"/>
        </w:tabs>
        <w:spacing w:before="20" w:after="20"/>
        <w:ind w:left="-270"/>
        <w:rPr>
          <w:sz w:val="26"/>
          <w:szCs w:val="26"/>
          <w:lang w:val="fr-FR"/>
        </w:rPr>
      </w:pPr>
      <w:r w:rsidRPr="008E63BB">
        <w:rPr>
          <w:noProof/>
          <w:sz w:val="26"/>
          <w:szCs w:val="26"/>
          <w:lang w:val="en-US" w:eastAsia="zh-CN"/>
        </w:rPr>
        <w:lastRenderedPageBreak/>
        <mc:AlternateContent>
          <mc:Choice Requires="wpg">
            <w:drawing>
              <wp:anchor distT="0" distB="0" distL="114300" distR="114300" simplePos="0" relativeHeight="251656704" behindDoc="0" locked="0" layoutInCell="1" allowOverlap="1" wp14:anchorId="519B52C0" wp14:editId="6B685EF7">
                <wp:simplePos x="0" y="0"/>
                <wp:positionH relativeFrom="column">
                  <wp:posOffset>1609725</wp:posOffset>
                </wp:positionH>
                <wp:positionV relativeFrom="paragraph">
                  <wp:posOffset>325755</wp:posOffset>
                </wp:positionV>
                <wp:extent cx="4234815" cy="1437005"/>
                <wp:effectExtent l="19050" t="19050" r="0" b="10795"/>
                <wp:wrapNone/>
                <wp:docPr id="7199"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4815" cy="1437005"/>
                          <a:chOff x="3968" y="1893"/>
                          <a:chExt cx="6095" cy="1925"/>
                        </a:xfrm>
                      </wpg:grpSpPr>
                      <wps:wsp>
                        <wps:cNvPr id="7206" name="Oval 5"/>
                        <wps:cNvSpPr>
                          <a:spLocks noChangeArrowheads="1"/>
                        </wps:cNvSpPr>
                        <wps:spPr bwMode="auto">
                          <a:xfrm>
                            <a:off x="3968" y="1893"/>
                            <a:ext cx="2093" cy="1925"/>
                          </a:xfrm>
                          <a:prstGeom prst="ellipse">
                            <a:avLst/>
                          </a:prstGeom>
                          <a:noFill/>
                          <a:ln w="57150">
                            <a:solidFill>
                              <a:srgbClr val="008EEE"/>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7" name="AutoShape 6"/>
                        <wps:cNvSpPr>
                          <a:spLocks noChangeArrowheads="1"/>
                        </wps:cNvSpPr>
                        <wps:spPr bwMode="auto">
                          <a:xfrm>
                            <a:off x="7015" y="2227"/>
                            <a:ext cx="3048" cy="954"/>
                          </a:xfrm>
                          <a:prstGeom prst="wedgeRectCallout">
                            <a:avLst>
                              <a:gd name="adj1" fmla="val -82514"/>
                              <a:gd name="adj2" fmla="val 40880"/>
                            </a:avLst>
                          </a:prstGeom>
                          <a:solidFill>
                            <a:srgbClr val="F7F179"/>
                          </a:solidFill>
                          <a:ln w="25400">
                            <a:solidFill>
                              <a:srgbClr val="E36C0A"/>
                            </a:solidFill>
                            <a:miter lim="800000"/>
                            <a:headEnd/>
                            <a:tailEnd/>
                          </a:ln>
                        </wps:spPr>
                        <wps:txbx>
                          <w:txbxContent>
                            <w:p w14:paraId="519B52D9" w14:textId="77777777" w:rsidR="00EA1D82" w:rsidRPr="00205080" w:rsidRDefault="00EA1D82" w:rsidP="008C1B81">
                              <w:pPr>
                                <w:rPr>
                                  <w:b/>
                                  <w:color w:val="0813E8"/>
                                  <w:sz w:val="20"/>
                                  <w:szCs w:val="20"/>
                                </w:rPr>
                              </w:pPr>
                              <w:r w:rsidRPr="00205080">
                                <w:rPr>
                                  <w:b/>
                                  <w:color w:val="0813E8"/>
                                  <w:sz w:val="20"/>
                                  <w:szCs w:val="20"/>
                                </w:rPr>
                                <w:t>Khu vực NCQH: TP Nam Định, huyện Mỹ Lộc và một số xã thuộc huyện Nam Trực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26" style="position:absolute;left:0;text-align:left;margin-left:126.75pt;margin-top:25.65pt;width:333.45pt;height:113.15pt;z-index:251656704" coordorigin="3968,1893" coordsize="6095,1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">
                <v:oval id="Oval 5" o:spid="_x0000_s1027" style="position:absolute;left:3968;top:1893;width:2093;height:1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VB/8QA&#10;AADdAAAADwAAAGRycy9kb3ducmV2LnhtbESPQWvCQBSE70L/w/IK3symHqKkriKlShFEjIVeX7Kv&#10;SWj2bchuk/jvXUHwOMzMN8xqM5pG9NS52rKCtygGQVxYXXOp4Puymy1BOI+ssbFMCq7kYLN+maww&#10;1XbgM/WZL0WAsEtRQeV9m0rpiooMusi2xMH7tZ1BH2RXSt3hEOCmkfM4TqTBmsNChS19VFT8Zf9G&#10;wfZ0zSjP80N/Jjpmyc8ePwej1PR13L6D8DT6Z/jR/tIKFvM4gfub8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1Qf/EAAAA3QAAAA8AAAAAAAAAAAAAAAAAmAIAAGRycy9k&#10;b3ducmV2LnhtbFBLBQYAAAAABAAEAPUAAACJAwAAAAA=&#10;" filled="f" strokecolor="#008eee" strokeweight="4.5pt">
                  <v:stroke dashstyle="dash"/>
                </v:oval>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6" o:spid="_x0000_s1028" type="#_x0000_t61" style="position:absolute;left:7015;top:2227;width:3048;height: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EvVsYA&#10;AADdAAAADwAAAGRycy9kb3ducmV2LnhtbESPUWvCQBCE3wX/w7EFX0Qv2tqU1FPaQmmflGp+wJJb&#10;k9DcXsytmvrre4WCj8PMfMMs171r1Jm6UHs2MJsmoIgLb2suDeT798kTqCDIFhvPZOCHAqxXw8ES&#10;M+sv/EXnnZQqQjhkaKASaTOtQ1GRwzD1LXH0Dr5zKFF2pbYdXiLcNXqeJI/aYc1xocKW3ioqvncn&#10;Z6BOF278ev1YXO9n9HDIczlutmLM6K5/eQYl1Mst/N/+tAbSeZLC35v4BP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EvVsYAAADdAAAADwAAAAAAAAAAAAAAAACYAgAAZHJz&#10;L2Rvd25yZXYueG1sUEsFBgAAAAAEAAQA9QAAAIsDAAAAAA==&#10;" adj="-7023,19630" fillcolor="#f7f179" strokecolor="#e36c0a" strokeweight="2pt">
                  <v:textbox>
                    <w:txbxContent>
                      <w:p w14:paraId="519B52D9" w14:textId="77777777" w:rsidR="00EA1D82" w:rsidRPr="00205080" w:rsidRDefault="00EA1D82" w:rsidP="008C1B81">
                        <w:pPr>
                          <w:rPr>
                            <w:b/>
                            <w:color w:val="0813E8"/>
                            <w:sz w:val="20"/>
                            <w:szCs w:val="20"/>
                          </w:rPr>
                        </w:pPr>
                        <w:r w:rsidRPr="00205080">
                          <w:rPr>
                            <w:b/>
                            <w:color w:val="0813E8"/>
                            <w:sz w:val="20"/>
                            <w:szCs w:val="20"/>
                          </w:rPr>
                          <w:t>Khu vực NCQH: TP Nam Định, huyện Mỹ Lộc và một số xã thuộc huyện Nam Trực</w:t>
                        </w:r>
                      </w:p>
                    </w:txbxContent>
                  </v:textbox>
                </v:shape>
              </v:group>
            </w:pict>
          </mc:Fallback>
        </mc:AlternateContent>
      </w:r>
      <w:r w:rsidRPr="008E63BB">
        <w:rPr>
          <w:noProof/>
          <w:sz w:val="26"/>
          <w:szCs w:val="26"/>
          <w:lang w:val="en-US" w:eastAsia="zh-CN"/>
        </w:rPr>
        <mc:AlternateContent>
          <mc:Choice Requires="wps">
            <w:drawing>
              <wp:inline distT="0" distB="0" distL="0" distR="0" wp14:anchorId="519B52C2" wp14:editId="7DF90CB1">
                <wp:extent cx="6248400" cy="4481195"/>
                <wp:effectExtent l="2540" t="0" r="0" b="3175"/>
                <wp:docPr id="718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4933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9B52DA" w14:textId="77777777" w:rsidR="00EA1D82" w:rsidRDefault="00EA1D82" w:rsidP="008F29AA">
                            <w:pPr>
                              <w:ind w:left="90"/>
                              <w:rPr>
                                <w:color w:val="FF0000"/>
                                <w:lang w:val="sv-SE"/>
                              </w:rPr>
                            </w:pPr>
                            <w:r>
                              <w:rPr>
                                <w:noProof/>
                                <w:color w:val="FF0000"/>
                                <w:lang w:eastAsia="zh-CN"/>
                              </w:rPr>
                              <w:drawing>
                                <wp:inline distT="0" distB="0" distL="0" distR="0" wp14:anchorId="519B52DD" wp14:editId="519B52DE">
                                  <wp:extent cx="5899785" cy="4463142"/>
                                  <wp:effectExtent l="0" t="0" r="5715" b="0"/>
                                  <wp:docPr id="74" name="Picture 23" descr="ngap_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gap_ND"/>
                                          <pic:cNvPicPr>
                                            <a:picLocks noChangeAspect="1" noChangeArrowheads="1"/>
                                          </pic:cNvPicPr>
                                        </pic:nvPicPr>
                                        <pic:blipFill>
                                          <a:blip r:embed="rId161"/>
                                          <a:srcRect/>
                                          <a:stretch>
                                            <a:fillRect/>
                                          </a:stretch>
                                        </pic:blipFill>
                                        <pic:spPr bwMode="auto">
                                          <a:xfrm>
                                            <a:off x="0" y="0"/>
                                            <a:ext cx="5908662" cy="4469858"/>
                                          </a:xfrm>
                                          <a:prstGeom prst="rect">
                                            <a:avLst/>
                                          </a:prstGeom>
                                          <a:noFill/>
                                          <a:ln w="9525">
                                            <a:noFill/>
                                            <a:miter lim="800000"/>
                                            <a:headEnd/>
                                            <a:tailEnd/>
                                          </a:ln>
                                        </pic:spPr>
                                      </pic:pic>
                                    </a:graphicData>
                                  </a:graphic>
                                </wp:inline>
                              </w:drawing>
                            </w:r>
                          </w:p>
                          <w:p w14:paraId="519B52DB" w14:textId="77777777" w:rsidR="00EA1D82" w:rsidRPr="00AC5BAD" w:rsidRDefault="00EA1D82" w:rsidP="008C1B81">
                            <w:pPr>
                              <w:jc w:val="center"/>
                              <w:rPr>
                                <w:b/>
                                <w:bCs/>
                                <w:noProof/>
                                <w:lang w:val="sv-SE"/>
                              </w:rPr>
                            </w:pPr>
                            <w:r w:rsidRPr="00AC5BAD">
                              <w:rPr>
                                <w:b/>
                                <w:bCs/>
                                <w:noProof/>
                                <w:lang w:val="sv-SE"/>
                              </w:rPr>
                              <w:t>Bản đồ nguy cơ ngập tỉnh Nam Định ứng với mực nước biển dâng 100cm</w:t>
                            </w:r>
                          </w:p>
                          <w:p w14:paraId="519B52DC" w14:textId="77777777" w:rsidR="00EA1D82" w:rsidRPr="00AC5BAD" w:rsidRDefault="00EA1D82" w:rsidP="008C1B81">
                            <w:pPr>
                              <w:ind w:left="710"/>
                              <w:jc w:val="center"/>
                              <w:rPr>
                                <w:lang w:val="sv-SE"/>
                              </w:rPr>
                            </w:pPr>
                            <w:r w:rsidRPr="00AC5BAD">
                              <w:rPr>
                                <w:lang w:val="sv-SE"/>
                              </w:rPr>
                              <w:t>(nguồn: kịch bản biến đổi khí hậu cho Việt Nam năm 2016)</w:t>
                            </w:r>
                          </w:p>
                        </w:txbxContent>
                      </wps:txbx>
                      <wps:bodyPr rot="0" vert="horz" wrap="square" lIns="91440" tIns="45720" rIns="91440" bIns="45720" anchor="t" anchorCtr="0" upright="1">
                        <a:spAutoFit/>
                      </wps:bodyPr>
                    </wps:wsp>
                  </a:graphicData>
                </a:graphic>
              </wp:inline>
            </w:drawing>
          </mc:Choice>
          <mc:Fallback>
            <w:pict>
              <v:shapetype id="_x0000_t202" coordsize="21600,21600" o:spt="202" path="m,l,21600r21600,l21600,xe">
                <v:stroke joinstyle="miter"/>
                <v:path gradientshapeok="t" o:connecttype="rect"/>
              </v:shapetype>
              <v:shape id="Text Box 51" o:spid="_x0000_s1029" type="#_x0000_t202" style="width:492pt;height:35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" stroked="f">
                <v:textbox style="mso-fit-shape-to-text:t">
                  <w:txbxContent>
                    <w:p w14:paraId="519B52DA" w14:textId="77777777" w:rsidR="00EA1D82" w:rsidRDefault="00EA1D82" w:rsidP="008F29AA">
                      <w:pPr>
                        <w:ind w:left="90"/>
                        <w:rPr>
                          <w:color w:val="FF0000"/>
                          <w:lang w:val="sv-SE"/>
                        </w:rPr>
                      </w:pPr>
                      <w:r>
                        <w:rPr>
                          <w:noProof/>
                          <w:color w:val="FF0000"/>
                        </w:rPr>
                        <w:drawing>
                          <wp:inline distT="0" distB="0" distL="0" distR="0" wp14:anchorId="519B52DD" wp14:editId="519B52DE">
                            <wp:extent cx="5899785" cy="4463142"/>
                            <wp:effectExtent l="0" t="0" r="5715" b="0"/>
                            <wp:docPr id="74" name="Picture 23" descr="ngap_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gap_ND"/>
                                    <pic:cNvPicPr>
                                      <a:picLocks noChangeAspect="1" noChangeArrowheads="1"/>
                                    </pic:cNvPicPr>
                                  </pic:nvPicPr>
                                  <pic:blipFill>
                                    <a:blip r:embed="rId162"/>
                                    <a:srcRect/>
                                    <a:stretch>
                                      <a:fillRect/>
                                    </a:stretch>
                                  </pic:blipFill>
                                  <pic:spPr bwMode="auto">
                                    <a:xfrm>
                                      <a:off x="0" y="0"/>
                                      <a:ext cx="5908662" cy="4469858"/>
                                    </a:xfrm>
                                    <a:prstGeom prst="rect">
                                      <a:avLst/>
                                    </a:prstGeom>
                                    <a:noFill/>
                                    <a:ln w="9525">
                                      <a:noFill/>
                                      <a:miter lim="800000"/>
                                      <a:headEnd/>
                                      <a:tailEnd/>
                                    </a:ln>
                                  </pic:spPr>
                                </pic:pic>
                              </a:graphicData>
                            </a:graphic>
                          </wp:inline>
                        </w:drawing>
                      </w:r>
                    </w:p>
                    <w:p w14:paraId="519B52DB" w14:textId="77777777" w:rsidR="00EA1D82" w:rsidRPr="00AC5BAD" w:rsidRDefault="00EA1D82" w:rsidP="008C1B81">
                      <w:pPr>
                        <w:jc w:val="center"/>
                        <w:rPr>
                          <w:b/>
                          <w:bCs/>
                          <w:noProof/>
                          <w:lang w:val="sv-SE"/>
                        </w:rPr>
                      </w:pPr>
                      <w:r w:rsidRPr="00AC5BAD">
                        <w:rPr>
                          <w:b/>
                          <w:bCs/>
                          <w:noProof/>
                          <w:lang w:val="sv-SE"/>
                        </w:rPr>
                        <w:t>Bản đồ nguy cơ ngập tỉnh Nam Định ứng với mực nước biển dâng 100cm</w:t>
                      </w:r>
                    </w:p>
                    <w:p w14:paraId="519B52DC" w14:textId="77777777" w:rsidR="00EA1D82" w:rsidRPr="00AC5BAD" w:rsidRDefault="00EA1D82" w:rsidP="008C1B81">
                      <w:pPr>
                        <w:ind w:left="710"/>
                        <w:jc w:val="center"/>
                        <w:rPr>
                          <w:lang w:val="sv-SE"/>
                        </w:rPr>
                      </w:pPr>
                      <w:r w:rsidRPr="00AC5BAD">
                        <w:rPr>
                          <w:lang w:val="sv-SE"/>
                        </w:rPr>
                        <w:t>(nguồn: kịch bản biến đổi khí hậu cho Việt Nam năm 2016)</w:t>
                      </w:r>
                    </w:p>
                  </w:txbxContent>
                </v:textbox>
                <w10:anchorlock/>
              </v:shape>
            </w:pict>
          </mc:Fallback>
        </mc:AlternateContent>
      </w:r>
    </w:p>
    <w:p w14:paraId="519B4586" w14:textId="77777777" w:rsidR="00050E82" w:rsidRPr="008E63BB" w:rsidRDefault="00050E82" w:rsidP="00050E82">
      <w:pPr>
        <w:tabs>
          <w:tab w:val="num" w:pos="360"/>
        </w:tabs>
        <w:jc w:val="center"/>
        <w:rPr>
          <w:rFonts w:eastAsia="Arial Unicode MS"/>
          <w:b/>
          <w:szCs w:val="26"/>
          <w:u w:color="000000"/>
          <w:lang w:val="de-DE"/>
        </w:rPr>
      </w:pPr>
      <w:r w:rsidRPr="008E63BB">
        <w:rPr>
          <w:rFonts w:eastAsia="Arial Unicode MS"/>
          <w:b/>
          <w:szCs w:val="26"/>
          <w:u w:color="000000"/>
          <w:lang w:val="de-DE"/>
        </w:rPr>
        <w:t>Bảng MT12: Đánh giá tác động của biến đổi khí hậu đến định hướng quy hoạch và đề xuất giải pháp ứng phó</w:t>
      </w:r>
    </w:p>
    <w:tbl>
      <w:tblPr>
        <w:tblW w:w="5005"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5"/>
        <w:gridCol w:w="1533"/>
        <w:gridCol w:w="2207"/>
        <w:gridCol w:w="2602"/>
        <w:gridCol w:w="1815"/>
      </w:tblGrid>
      <w:tr w:rsidR="00050E82" w:rsidRPr="008E63BB" w14:paraId="519B458C" w14:textId="77777777" w:rsidTr="006E16AC">
        <w:trPr>
          <w:tblHeader/>
        </w:trPr>
        <w:tc>
          <w:tcPr>
            <w:tcW w:w="712" w:type="pct"/>
            <w:vAlign w:val="center"/>
          </w:tcPr>
          <w:p w14:paraId="519B4587" w14:textId="77777777" w:rsidR="00050E82" w:rsidRPr="008E63BB" w:rsidRDefault="00050E82" w:rsidP="006E16AC">
            <w:pPr>
              <w:ind w:left="-108" w:right="-136"/>
              <w:jc w:val="center"/>
              <w:rPr>
                <w:rFonts w:eastAsia="Times New Roman"/>
                <w:b/>
                <w:sz w:val="24"/>
                <w:szCs w:val="24"/>
              </w:rPr>
            </w:pPr>
            <w:r w:rsidRPr="008E63BB">
              <w:rPr>
                <w:rFonts w:eastAsia="Times New Roman"/>
                <w:b/>
                <w:sz w:val="24"/>
                <w:szCs w:val="24"/>
              </w:rPr>
              <w:t>Tác động của BĐKH</w:t>
            </w:r>
          </w:p>
        </w:tc>
        <w:tc>
          <w:tcPr>
            <w:tcW w:w="806" w:type="pct"/>
            <w:vAlign w:val="center"/>
          </w:tcPr>
          <w:p w14:paraId="519B4588" w14:textId="77777777" w:rsidR="00050E82" w:rsidRPr="008E63BB" w:rsidRDefault="00050E82" w:rsidP="006E16AC">
            <w:pPr>
              <w:ind w:left="-108" w:right="-136"/>
              <w:jc w:val="center"/>
              <w:rPr>
                <w:rFonts w:eastAsia="Times New Roman"/>
                <w:b/>
                <w:sz w:val="24"/>
                <w:szCs w:val="24"/>
              </w:rPr>
            </w:pPr>
            <w:r w:rsidRPr="008E63BB">
              <w:rPr>
                <w:rFonts w:eastAsia="Times New Roman"/>
                <w:b/>
                <w:sz w:val="24"/>
                <w:szCs w:val="24"/>
              </w:rPr>
              <w:t>Quy hoạch bị ảnh hưởng</w:t>
            </w:r>
          </w:p>
        </w:tc>
        <w:tc>
          <w:tcPr>
            <w:tcW w:w="1160" w:type="pct"/>
            <w:vAlign w:val="center"/>
          </w:tcPr>
          <w:p w14:paraId="519B4589" w14:textId="77777777" w:rsidR="00050E82" w:rsidRPr="008E63BB" w:rsidRDefault="00050E82" w:rsidP="006E16AC">
            <w:pPr>
              <w:ind w:left="-108" w:right="-136"/>
              <w:jc w:val="center"/>
              <w:rPr>
                <w:rFonts w:eastAsia="Times New Roman"/>
                <w:b/>
                <w:sz w:val="24"/>
                <w:szCs w:val="24"/>
              </w:rPr>
            </w:pPr>
            <w:r w:rsidRPr="008E63BB">
              <w:rPr>
                <w:rFonts w:eastAsia="Times New Roman"/>
                <w:b/>
                <w:sz w:val="24"/>
                <w:szCs w:val="24"/>
              </w:rPr>
              <w:t>Khu vực, đối tượng chịu ảnh hưởng</w:t>
            </w:r>
          </w:p>
        </w:tc>
        <w:tc>
          <w:tcPr>
            <w:tcW w:w="1368" w:type="pct"/>
            <w:vAlign w:val="center"/>
          </w:tcPr>
          <w:p w14:paraId="519B458A" w14:textId="77777777" w:rsidR="00050E82" w:rsidRPr="008E63BB" w:rsidRDefault="00050E82" w:rsidP="006E16AC">
            <w:pPr>
              <w:ind w:left="-108" w:right="-136"/>
              <w:jc w:val="center"/>
              <w:rPr>
                <w:rFonts w:eastAsia="Times New Roman"/>
                <w:b/>
                <w:sz w:val="24"/>
                <w:szCs w:val="24"/>
              </w:rPr>
            </w:pPr>
            <w:r w:rsidRPr="008E63BB">
              <w:rPr>
                <w:rFonts w:eastAsia="Times New Roman"/>
                <w:b/>
                <w:sz w:val="24"/>
                <w:szCs w:val="24"/>
              </w:rPr>
              <w:t>Định hướng QH nâng cao năng lực thích ứng</w:t>
            </w:r>
          </w:p>
        </w:tc>
        <w:tc>
          <w:tcPr>
            <w:tcW w:w="954" w:type="pct"/>
            <w:vAlign w:val="center"/>
          </w:tcPr>
          <w:p w14:paraId="519B458B" w14:textId="77777777" w:rsidR="00050E82" w:rsidRPr="008E63BB" w:rsidRDefault="00050E82" w:rsidP="006E16AC">
            <w:pPr>
              <w:ind w:left="-108" w:right="-136"/>
              <w:jc w:val="center"/>
              <w:rPr>
                <w:rFonts w:eastAsia="Times New Roman"/>
                <w:b/>
                <w:sz w:val="24"/>
                <w:szCs w:val="24"/>
              </w:rPr>
            </w:pPr>
            <w:r w:rsidRPr="008E63BB">
              <w:rPr>
                <w:rFonts w:eastAsia="Times New Roman"/>
                <w:b/>
                <w:sz w:val="24"/>
                <w:szCs w:val="24"/>
              </w:rPr>
              <w:t>Giải pháp ứng phó bổ sung</w:t>
            </w:r>
          </w:p>
        </w:tc>
      </w:tr>
      <w:tr w:rsidR="00050E82" w:rsidRPr="008E63BB" w14:paraId="519B4599" w14:textId="77777777" w:rsidTr="006E16AC">
        <w:tc>
          <w:tcPr>
            <w:tcW w:w="712" w:type="pct"/>
          </w:tcPr>
          <w:p w14:paraId="519B458D" w14:textId="77777777" w:rsidR="00050E82" w:rsidRPr="008E63BB" w:rsidRDefault="00050E82" w:rsidP="006E16AC">
            <w:pPr>
              <w:rPr>
                <w:rFonts w:eastAsia="Times New Roman"/>
                <w:i/>
                <w:iCs/>
                <w:sz w:val="24"/>
                <w:szCs w:val="24"/>
              </w:rPr>
            </w:pPr>
            <w:r w:rsidRPr="008E63BB">
              <w:rPr>
                <w:rFonts w:eastAsia="Times New Roman"/>
                <w:sz w:val="24"/>
                <w:szCs w:val="24"/>
              </w:rPr>
              <w:t>Ngập do nước biển dâng</w:t>
            </w:r>
          </w:p>
        </w:tc>
        <w:tc>
          <w:tcPr>
            <w:tcW w:w="806" w:type="pct"/>
          </w:tcPr>
          <w:p w14:paraId="519B458E" w14:textId="77777777" w:rsidR="00050E82" w:rsidRPr="008E63BB" w:rsidRDefault="00050E82" w:rsidP="006E16AC">
            <w:pPr>
              <w:rPr>
                <w:rFonts w:eastAsia="Times New Roman"/>
                <w:sz w:val="24"/>
                <w:szCs w:val="24"/>
              </w:rPr>
            </w:pPr>
            <w:r w:rsidRPr="008E63BB">
              <w:rPr>
                <w:rFonts w:eastAsia="Times New Roman"/>
                <w:sz w:val="24"/>
                <w:szCs w:val="24"/>
              </w:rPr>
              <w:t>-Sử dụng đất</w:t>
            </w:r>
          </w:p>
          <w:p w14:paraId="519B458F" w14:textId="77777777" w:rsidR="00050E82" w:rsidRPr="008E63BB" w:rsidRDefault="00050E82" w:rsidP="006E16AC">
            <w:pPr>
              <w:rPr>
                <w:rFonts w:eastAsia="Times New Roman"/>
                <w:sz w:val="24"/>
                <w:szCs w:val="24"/>
              </w:rPr>
            </w:pPr>
            <w:r w:rsidRPr="008E63BB">
              <w:rPr>
                <w:rFonts w:eastAsia="Times New Roman"/>
                <w:sz w:val="24"/>
                <w:szCs w:val="24"/>
              </w:rPr>
              <w:t>-Kiến trúc cảnh quan</w:t>
            </w:r>
          </w:p>
          <w:p w14:paraId="519B4590" w14:textId="77777777" w:rsidR="00050E82" w:rsidRPr="008E63BB" w:rsidRDefault="00050E82" w:rsidP="006E16AC">
            <w:pPr>
              <w:rPr>
                <w:rFonts w:eastAsia="Times New Roman"/>
                <w:sz w:val="24"/>
                <w:szCs w:val="24"/>
              </w:rPr>
            </w:pPr>
            <w:r w:rsidRPr="008E63BB">
              <w:rPr>
                <w:rFonts w:eastAsia="Times New Roman"/>
                <w:sz w:val="24"/>
                <w:szCs w:val="24"/>
              </w:rPr>
              <w:t>- Cao độ nền xây dựng</w:t>
            </w:r>
          </w:p>
          <w:p w14:paraId="519B4591" w14:textId="77777777" w:rsidR="00050E82" w:rsidRPr="008E63BB" w:rsidRDefault="00050E82" w:rsidP="006E16AC">
            <w:pPr>
              <w:rPr>
                <w:rFonts w:eastAsia="Times New Roman"/>
                <w:sz w:val="24"/>
                <w:szCs w:val="24"/>
              </w:rPr>
            </w:pPr>
            <w:r w:rsidRPr="008E63BB">
              <w:rPr>
                <w:rFonts w:eastAsia="Times New Roman"/>
                <w:sz w:val="24"/>
                <w:szCs w:val="24"/>
              </w:rPr>
              <w:t>- Giao thông</w:t>
            </w:r>
          </w:p>
          <w:p w14:paraId="519B4592" w14:textId="77777777" w:rsidR="00050E82" w:rsidRPr="008E63BB" w:rsidRDefault="00050E82" w:rsidP="006E16AC">
            <w:pPr>
              <w:rPr>
                <w:rFonts w:eastAsia="Times New Roman"/>
                <w:sz w:val="24"/>
                <w:szCs w:val="24"/>
              </w:rPr>
            </w:pPr>
            <w:r w:rsidRPr="008E63BB">
              <w:rPr>
                <w:rFonts w:eastAsia="Times New Roman"/>
                <w:sz w:val="24"/>
                <w:szCs w:val="24"/>
              </w:rPr>
              <w:t>- Cấp nước</w:t>
            </w:r>
          </w:p>
          <w:p w14:paraId="519B4593" w14:textId="77777777" w:rsidR="00050E82" w:rsidRPr="008E63BB" w:rsidRDefault="00050E82" w:rsidP="006E16AC">
            <w:pPr>
              <w:rPr>
                <w:rFonts w:eastAsia="Times New Roman"/>
                <w:sz w:val="24"/>
                <w:szCs w:val="24"/>
              </w:rPr>
            </w:pPr>
            <w:r w:rsidRPr="008E63BB">
              <w:rPr>
                <w:rFonts w:eastAsia="Times New Roman"/>
                <w:sz w:val="24"/>
                <w:szCs w:val="24"/>
              </w:rPr>
              <w:t>- Thoát nước</w:t>
            </w:r>
          </w:p>
        </w:tc>
        <w:tc>
          <w:tcPr>
            <w:tcW w:w="1160" w:type="pct"/>
          </w:tcPr>
          <w:p w14:paraId="519B4594" w14:textId="77777777" w:rsidR="00050E82" w:rsidRPr="008E63BB" w:rsidRDefault="00050E82" w:rsidP="006E16AC">
            <w:pPr>
              <w:rPr>
                <w:rFonts w:eastAsia="Times New Roman"/>
                <w:sz w:val="24"/>
                <w:szCs w:val="24"/>
              </w:rPr>
            </w:pPr>
            <w:r w:rsidRPr="008E63BB">
              <w:rPr>
                <w:rFonts w:eastAsia="Times New Roman"/>
                <w:sz w:val="24"/>
                <w:szCs w:val="24"/>
              </w:rPr>
              <w:t>- Các khu vực thấp, trũng, khu vực ven sông;</w:t>
            </w:r>
          </w:p>
        </w:tc>
        <w:tc>
          <w:tcPr>
            <w:tcW w:w="1368" w:type="pct"/>
          </w:tcPr>
          <w:p w14:paraId="519B4595" w14:textId="77777777" w:rsidR="00050E82" w:rsidRPr="008E63BB" w:rsidRDefault="00050E82" w:rsidP="006E16AC">
            <w:pPr>
              <w:rPr>
                <w:rFonts w:eastAsia="Times New Roman"/>
                <w:sz w:val="24"/>
                <w:szCs w:val="24"/>
              </w:rPr>
            </w:pPr>
            <w:r w:rsidRPr="008E63BB">
              <w:rPr>
                <w:rFonts w:eastAsia="Times New Roman"/>
                <w:sz w:val="24"/>
                <w:szCs w:val="24"/>
              </w:rPr>
              <w:t>- Giải pháp sử dụng đất hợp lý;</w:t>
            </w:r>
          </w:p>
          <w:p w14:paraId="519B4596" w14:textId="77777777" w:rsidR="00050E82" w:rsidRPr="008E63BB" w:rsidRDefault="00050E82" w:rsidP="006E16AC">
            <w:pPr>
              <w:rPr>
                <w:rFonts w:eastAsia="Times New Roman"/>
                <w:sz w:val="24"/>
                <w:szCs w:val="24"/>
              </w:rPr>
            </w:pPr>
            <w:r w:rsidRPr="008E63BB">
              <w:rPr>
                <w:rFonts w:eastAsia="Times New Roman"/>
                <w:sz w:val="24"/>
                <w:szCs w:val="24"/>
              </w:rPr>
              <w:t>- Nâng cốt nền xây dựng có tính đến mực nước biển dâng do BĐKH</w:t>
            </w:r>
          </w:p>
          <w:p w14:paraId="519B4597" w14:textId="77777777" w:rsidR="00050E82" w:rsidRPr="008E63BB" w:rsidRDefault="00050E82" w:rsidP="006E16AC">
            <w:pPr>
              <w:rPr>
                <w:rFonts w:eastAsia="Times New Roman"/>
                <w:sz w:val="24"/>
                <w:szCs w:val="24"/>
              </w:rPr>
            </w:pPr>
            <w:r w:rsidRPr="008E63BB">
              <w:rPr>
                <w:rFonts w:eastAsia="Times New Roman"/>
                <w:sz w:val="24"/>
                <w:szCs w:val="24"/>
              </w:rPr>
              <w:t>- Bảo vệ rừng ngập mặn, rừng phòng hộ ven biển (tuy nằm ngoài khu vực NCQH nhưng lại có tác động rất lớn toàn tỉnh);</w:t>
            </w:r>
          </w:p>
        </w:tc>
        <w:tc>
          <w:tcPr>
            <w:tcW w:w="954" w:type="pct"/>
          </w:tcPr>
          <w:p w14:paraId="519B4598" w14:textId="77777777" w:rsidR="00050E82" w:rsidRPr="008E63BB" w:rsidRDefault="00050E82" w:rsidP="006E16AC">
            <w:pPr>
              <w:rPr>
                <w:rFonts w:eastAsia="Times New Roman"/>
                <w:sz w:val="24"/>
                <w:szCs w:val="24"/>
              </w:rPr>
            </w:pPr>
            <w:r w:rsidRPr="008E63BB">
              <w:rPr>
                <w:rFonts w:eastAsia="Times New Roman"/>
                <w:sz w:val="24"/>
                <w:szCs w:val="24"/>
              </w:rPr>
              <w:t>- Thường xuyên tu bổ, nâng cấp hệ thống đê điều; công trình thủy lợi, công trình ngăn mặn trên địa bàn thành phố và khu vực cửa sông, cửa biển;</w:t>
            </w:r>
          </w:p>
        </w:tc>
      </w:tr>
      <w:tr w:rsidR="00050E82" w:rsidRPr="008E63BB" w14:paraId="519B45A5" w14:textId="77777777" w:rsidTr="006E16AC">
        <w:tc>
          <w:tcPr>
            <w:tcW w:w="712" w:type="pct"/>
          </w:tcPr>
          <w:p w14:paraId="519B459A" w14:textId="77777777" w:rsidR="00050E82" w:rsidRPr="008E63BB" w:rsidRDefault="00050E82" w:rsidP="006E16AC">
            <w:pPr>
              <w:rPr>
                <w:rFonts w:eastAsia="Times New Roman"/>
                <w:i/>
                <w:iCs/>
                <w:sz w:val="24"/>
                <w:szCs w:val="24"/>
              </w:rPr>
            </w:pPr>
            <w:r w:rsidRPr="008E63BB">
              <w:rPr>
                <w:rFonts w:eastAsia="Times New Roman"/>
                <w:sz w:val="24"/>
                <w:szCs w:val="24"/>
              </w:rPr>
              <w:t>Xâm nhập mặn</w:t>
            </w:r>
          </w:p>
        </w:tc>
        <w:tc>
          <w:tcPr>
            <w:tcW w:w="806" w:type="pct"/>
          </w:tcPr>
          <w:p w14:paraId="519B459B" w14:textId="77777777" w:rsidR="00050E82" w:rsidRPr="008E63BB" w:rsidRDefault="00050E82" w:rsidP="006E16AC">
            <w:pPr>
              <w:rPr>
                <w:rFonts w:eastAsia="Times New Roman"/>
                <w:sz w:val="24"/>
                <w:szCs w:val="24"/>
              </w:rPr>
            </w:pPr>
            <w:r w:rsidRPr="008E63BB">
              <w:rPr>
                <w:rFonts w:eastAsia="Times New Roman"/>
                <w:sz w:val="24"/>
                <w:szCs w:val="24"/>
              </w:rPr>
              <w:t>- Sử dụng đất</w:t>
            </w:r>
          </w:p>
          <w:p w14:paraId="519B459C" w14:textId="77777777" w:rsidR="00050E82" w:rsidRPr="008E63BB" w:rsidRDefault="00050E82" w:rsidP="006E16AC">
            <w:pPr>
              <w:rPr>
                <w:rFonts w:eastAsia="Times New Roman"/>
                <w:sz w:val="24"/>
                <w:szCs w:val="24"/>
              </w:rPr>
            </w:pPr>
            <w:r w:rsidRPr="008E63BB">
              <w:rPr>
                <w:rFonts w:eastAsia="Times New Roman"/>
                <w:sz w:val="24"/>
                <w:szCs w:val="24"/>
              </w:rPr>
              <w:t>- Cấp nước</w:t>
            </w:r>
          </w:p>
        </w:tc>
        <w:tc>
          <w:tcPr>
            <w:tcW w:w="1160" w:type="pct"/>
          </w:tcPr>
          <w:p w14:paraId="519B459D" w14:textId="77777777" w:rsidR="00050E82" w:rsidRPr="008E63BB" w:rsidRDefault="00050E82" w:rsidP="006E16AC">
            <w:pPr>
              <w:rPr>
                <w:rFonts w:eastAsia="Times New Roman"/>
                <w:sz w:val="24"/>
                <w:szCs w:val="24"/>
              </w:rPr>
            </w:pPr>
            <w:r w:rsidRPr="008E63BB">
              <w:rPr>
                <w:rFonts w:eastAsia="Times New Roman"/>
                <w:sz w:val="24"/>
                <w:szCs w:val="24"/>
              </w:rPr>
              <w:t>- Khu vực sản xuất nông nghiệp (trồng trọt, nuôi trồng thủy sản)</w:t>
            </w:r>
          </w:p>
          <w:p w14:paraId="519B459E" w14:textId="77777777" w:rsidR="00050E82" w:rsidRPr="008E63BB" w:rsidRDefault="00050E82" w:rsidP="006E16AC">
            <w:pPr>
              <w:rPr>
                <w:rFonts w:eastAsia="Times New Roman"/>
                <w:sz w:val="24"/>
                <w:szCs w:val="24"/>
              </w:rPr>
            </w:pPr>
            <w:r w:rsidRPr="008E63BB">
              <w:rPr>
                <w:rFonts w:eastAsia="Times New Roman"/>
                <w:sz w:val="24"/>
                <w:szCs w:val="24"/>
              </w:rPr>
              <w:t xml:space="preserve">- Khu vực khai thác nước sạch (đặc biệt các công trình khai thác, sử dụng nguồn </w:t>
            </w:r>
            <w:r w:rsidRPr="008E63BB">
              <w:rPr>
                <w:rFonts w:eastAsia="Times New Roman"/>
                <w:sz w:val="24"/>
                <w:szCs w:val="24"/>
              </w:rPr>
              <w:lastRenderedPageBreak/>
              <w:t>nước ngầm)</w:t>
            </w:r>
          </w:p>
          <w:p w14:paraId="519B459F" w14:textId="77777777" w:rsidR="00050E82" w:rsidRPr="008E63BB" w:rsidRDefault="00050E82" w:rsidP="006E16AC">
            <w:pPr>
              <w:rPr>
                <w:rFonts w:eastAsia="Times New Roman"/>
                <w:sz w:val="24"/>
                <w:szCs w:val="24"/>
              </w:rPr>
            </w:pPr>
          </w:p>
        </w:tc>
        <w:tc>
          <w:tcPr>
            <w:tcW w:w="1368" w:type="pct"/>
          </w:tcPr>
          <w:p w14:paraId="519B45A0" w14:textId="77777777" w:rsidR="00050E82" w:rsidRPr="008E63BB" w:rsidRDefault="00050E82" w:rsidP="006E16AC">
            <w:pPr>
              <w:rPr>
                <w:rFonts w:eastAsia="Times New Roman"/>
                <w:sz w:val="24"/>
                <w:szCs w:val="24"/>
              </w:rPr>
            </w:pPr>
            <w:r w:rsidRPr="008E63BB">
              <w:rPr>
                <w:rFonts w:eastAsia="Times New Roman"/>
                <w:sz w:val="24"/>
                <w:szCs w:val="24"/>
              </w:rPr>
              <w:lastRenderedPageBreak/>
              <w:t>- Sử dụng đất hợp lý, lựa chọn các vùng đất phù hợp để phát triển nông, ngư nghiệp; Đề xuất vùng tiềm năng phát triển nông nghiệp chất lượng cao;</w:t>
            </w:r>
          </w:p>
          <w:p w14:paraId="519B45A1" w14:textId="77777777" w:rsidR="00050E82" w:rsidRPr="008E63BB" w:rsidRDefault="00050E82" w:rsidP="006E16AC">
            <w:pPr>
              <w:rPr>
                <w:rFonts w:eastAsia="Times New Roman"/>
                <w:sz w:val="24"/>
                <w:szCs w:val="24"/>
              </w:rPr>
            </w:pPr>
            <w:r w:rsidRPr="008E63BB">
              <w:rPr>
                <w:rFonts w:eastAsia="Times New Roman"/>
                <w:sz w:val="24"/>
                <w:szCs w:val="24"/>
              </w:rPr>
              <w:t xml:space="preserve">- Quy hoạch cấp nước </w:t>
            </w:r>
            <w:r w:rsidRPr="008E63BB">
              <w:rPr>
                <w:rFonts w:eastAsia="Times New Roman"/>
                <w:sz w:val="24"/>
                <w:szCs w:val="24"/>
              </w:rPr>
              <w:lastRenderedPageBreak/>
              <w:t>có tính đến BĐKH và XNM;</w:t>
            </w:r>
          </w:p>
          <w:p w14:paraId="519B45A2" w14:textId="77777777" w:rsidR="00050E82" w:rsidRPr="008E63BB" w:rsidRDefault="00050E82" w:rsidP="006E16AC">
            <w:pPr>
              <w:rPr>
                <w:rFonts w:eastAsia="Times New Roman"/>
                <w:sz w:val="24"/>
                <w:szCs w:val="24"/>
              </w:rPr>
            </w:pPr>
            <w:r w:rsidRPr="008E63BB">
              <w:rPr>
                <w:rFonts w:eastAsia="Times New Roman"/>
                <w:sz w:val="24"/>
                <w:szCs w:val="24"/>
              </w:rPr>
              <w:t>- Phát triển rừng ngập mặn, rừng phòng hộ, bảo vệ hệ sinh thái tự nhiên;</w:t>
            </w:r>
          </w:p>
        </w:tc>
        <w:tc>
          <w:tcPr>
            <w:tcW w:w="954" w:type="pct"/>
          </w:tcPr>
          <w:p w14:paraId="519B45A3" w14:textId="77777777" w:rsidR="00050E82" w:rsidRPr="008E63BB" w:rsidRDefault="00050E82" w:rsidP="006E16AC">
            <w:pPr>
              <w:rPr>
                <w:rFonts w:eastAsia="Times New Roman"/>
                <w:sz w:val="24"/>
                <w:szCs w:val="24"/>
              </w:rPr>
            </w:pPr>
            <w:r w:rsidRPr="008E63BB">
              <w:rPr>
                <w:rFonts w:eastAsia="Times New Roman"/>
                <w:sz w:val="24"/>
                <w:szCs w:val="24"/>
              </w:rPr>
              <w:lastRenderedPageBreak/>
              <w:t xml:space="preserve">Bảo vệ các công trình thủy lợi; Các công trình ngăn mặn của tỉnh; </w:t>
            </w:r>
          </w:p>
          <w:p w14:paraId="519B45A4" w14:textId="77777777" w:rsidR="00050E82" w:rsidRPr="008E63BB" w:rsidRDefault="00050E82" w:rsidP="006E16AC">
            <w:pPr>
              <w:rPr>
                <w:rFonts w:eastAsia="Times New Roman"/>
                <w:sz w:val="24"/>
                <w:szCs w:val="24"/>
              </w:rPr>
            </w:pPr>
            <w:r w:rsidRPr="008E63BB">
              <w:rPr>
                <w:rFonts w:eastAsia="Times New Roman"/>
                <w:sz w:val="24"/>
                <w:szCs w:val="24"/>
              </w:rPr>
              <w:t xml:space="preserve">Có giải pháp chuyển đổi sản xuất phù hợp </w:t>
            </w:r>
            <w:r w:rsidRPr="008E63BB">
              <w:rPr>
                <w:rFonts w:eastAsia="Times New Roman"/>
                <w:sz w:val="24"/>
                <w:szCs w:val="24"/>
              </w:rPr>
              <w:lastRenderedPageBreak/>
              <w:t>với tình hình biến đổi, xâm nhập mặn trong tương lai;</w:t>
            </w:r>
          </w:p>
        </w:tc>
      </w:tr>
      <w:tr w:rsidR="00050E82" w:rsidRPr="008E63BB" w14:paraId="519B45BB" w14:textId="77777777" w:rsidTr="006E16AC">
        <w:tc>
          <w:tcPr>
            <w:tcW w:w="712" w:type="pct"/>
          </w:tcPr>
          <w:p w14:paraId="519B45A6" w14:textId="77777777" w:rsidR="00050E82" w:rsidRPr="008E63BB" w:rsidRDefault="00050E82" w:rsidP="006E16AC">
            <w:pPr>
              <w:rPr>
                <w:rFonts w:eastAsia="Times New Roman"/>
                <w:sz w:val="24"/>
                <w:szCs w:val="24"/>
              </w:rPr>
            </w:pPr>
            <w:r w:rsidRPr="008E63BB">
              <w:rPr>
                <w:rFonts w:eastAsia="Times New Roman"/>
                <w:sz w:val="24"/>
                <w:szCs w:val="24"/>
              </w:rPr>
              <w:lastRenderedPageBreak/>
              <w:t>Cường độ mưa tăng trong mùa mưa; Giảm trong mùa khô</w:t>
            </w:r>
          </w:p>
        </w:tc>
        <w:tc>
          <w:tcPr>
            <w:tcW w:w="806" w:type="pct"/>
          </w:tcPr>
          <w:p w14:paraId="519B45A7" w14:textId="77777777" w:rsidR="00050E82" w:rsidRPr="008E63BB" w:rsidRDefault="00050E82" w:rsidP="006E16AC">
            <w:pPr>
              <w:rPr>
                <w:rFonts w:eastAsia="Times New Roman"/>
                <w:sz w:val="24"/>
                <w:szCs w:val="24"/>
              </w:rPr>
            </w:pPr>
            <w:r w:rsidRPr="008E63BB">
              <w:rPr>
                <w:rFonts w:eastAsia="Times New Roman"/>
                <w:sz w:val="24"/>
                <w:szCs w:val="24"/>
              </w:rPr>
              <w:t>-Sử dụng đất</w:t>
            </w:r>
          </w:p>
          <w:p w14:paraId="519B45A8" w14:textId="77777777" w:rsidR="00050E82" w:rsidRPr="008E63BB" w:rsidRDefault="00050E82" w:rsidP="006E16AC">
            <w:pPr>
              <w:rPr>
                <w:rFonts w:eastAsia="Times New Roman"/>
                <w:sz w:val="24"/>
                <w:szCs w:val="24"/>
              </w:rPr>
            </w:pPr>
            <w:r w:rsidRPr="008E63BB">
              <w:rPr>
                <w:rFonts w:eastAsia="Times New Roman"/>
                <w:sz w:val="24"/>
                <w:szCs w:val="24"/>
              </w:rPr>
              <w:t>-Kiến trúc cảnh quan</w:t>
            </w:r>
          </w:p>
          <w:p w14:paraId="519B45A9" w14:textId="77777777" w:rsidR="00050E82" w:rsidRPr="008E63BB" w:rsidRDefault="00050E82" w:rsidP="006E16AC">
            <w:pPr>
              <w:rPr>
                <w:rFonts w:eastAsia="Times New Roman"/>
                <w:sz w:val="24"/>
                <w:szCs w:val="24"/>
              </w:rPr>
            </w:pPr>
            <w:r w:rsidRPr="008E63BB">
              <w:rPr>
                <w:rFonts w:eastAsia="Times New Roman"/>
                <w:sz w:val="24"/>
                <w:szCs w:val="24"/>
              </w:rPr>
              <w:t>-Nền xây dựng</w:t>
            </w:r>
          </w:p>
          <w:p w14:paraId="519B45AA" w14:textId="77777777" w:rsidR="00050E82" w:rsidRPr="008E63BB" w:rsidRDefault="00050E82" w:rsidP="006E16AC">
            <w:pPr>
              <w:rPr>
                <w:rFonts w:eastAsia="Times New Roman"/>
                <w:sz w:val="24"/>
                <w:szCs w:val="24"/>
              </w:rPr>
            </w:pPr>
            <w:r w:rsidRPr="008E63BB">
              <w:rPr>
                <w:rFonts w:eastAsia="Times New Roman"/>
                <w:sz w:val="24"/>
                <w:szCs w:val="24"/>
              </w:rPr>
              <w:t>-Giao thông</w:t>
            </w:r>
          </w:p>
          <w:p w14:paraId="519B45AB" w14:textId="77777777" w:rsidR="00050E82" w:rsidRPr="008E63BB" w:rsidRDefault="00050E82" w:rsidP="006E16AC">
            <w:pPr>
              <w:rPr>
                <w:rFonts w:eastAsia="Times New Roman"/>
                <w:sz w:val="24"/>
                <w:szCs w:val="24"/>
              </w:rPr>
            </w:pPr>
            <w:r w:rsidRPr="008E63BB">
              <w:rPr>
                <w:rFonts w:eastAsia="Times New Roman"/>
                <w:sz w:val="24"/>
                <w:szCs w:val="24"/>
              </w:rPr>
              <w:t>- Cấp nước</w:t>
            </w:r>
          </w:p>
          <w:p w14:paraId="519B45AC" w14:textId="77777777" w:rsidR="00050E82" w:rsidRPr="008E63BB" w:rsidRDefault="00050E82" w:rsidP="006E16AC">
            <w:pPr>
              <w:rPr>
                <w:rFonts w:eastAsia="Times New Roman"/>
                <w:sz w:val="24"/>
                <w:szCs w:val="24"/>
              </w:rPr>
            </w:pPr>
            <w:r w:rsidRPr="008E63BB">
              <w:rPr>
                <w:rFonts w:eastAsia="Times New Roman"/>
                <w:sz w:val="24"/>
                <w:szCs w:val="24"/>
              </w:rPr>
              <w:t>-Thoát nước</w:t>
            </w:r>
          </w:p>
          <w:p w14:paraId="519B45AD" w14:textId="77777777" w:rsidR="00050E82" w:rsidRPr="008E63BB" w:rsidRDefault="00050E82" w:rsidP="006E16AC">
            <w:pPr>
              <w:rPr>
                <w:rFonts w:eastAsia="Times New Roman"/>
                <w:sz w:val="24"/>
                <w:szCs w:val="24"/>
              </w:rPr>
            </w:pPr>
            <w:r w:rsidRPr="008E63BB">
              <w:rPr>
                <w:rFonts w:eastAsia="Times New Roman"/>
                <w:sz w:val="24"/>
                <w:szCs w:val="24"/>
              </w:rPr>
              <w:t>-Vệ sinh môi trường</w:t>
            </w:r>
          </w:p>
        </w:tc>
        <w:tc>
          <w:tcPr>
            <w:tcW w:w="1160" w:type="pct"/>
          </w:tcPr>
          <w:p w14:paraId="519B45AE" w14:textId="77777777" w:rsidR="00050E82" w:rsidRPr="008E63BB" w:rsidRDefault="00050E82" w:rsidP="006E16AC">
            <w:pPr>
              <w:tabs>
                <w:tab w:val="left" w:pos="133"/>
                <w:tab w:val="left" w:pos="223"/>
              </w:tabs>
              <w:rPr>
                <w:rFonts w:eastAsia="Times New Roman"/>
                <w:sz w:val="24"/>
                <w:szCs w:val="24"/>
              </w:rPr>
            </w:pPr>
            <w:r w:rsidRPr="008E63BB">
              <w:rPr>
                <w:rFonts w:eastAsia="Times New Roman"/>
                <w:sz w:val="24"/>
                <w:szCs w:val="24"/>
              </w:rPr>
              <w:t>- Hệ thống thoát nước sẽ bị quá tải</w:t>
            </w:r>
          </w:p>
          <w:p w14:paraId="519B45AF" w14:textId="77777777" w:rsidR="00050E82" w:rsidRPr="008E63BB" w:rsidRDefault="00050E82" w:rsidP="006E16AC">
            <w:pPr>
              <w:tabs>
                <w:tab w:val="left" w:pos="133"/>
                <w:tab w:val="left" w:pos="223"/>
              </w:tabs>
              <w:rPr>
                <w:rFonts w:eastAsia="Times New Roman"/>
                <w:sz w:val="24"/>
                <w:szCs w:val="24"/>
              </w:rPr>
            </w:pPr>
            <w:r w:rsidRPr="008E63BB">
              <w:rPr>
                <w:rFonts w:eastAsia="Times New Roman"/>
                <w:sz w:val="24"/>
                <w:szCs w:val="24"/>
              </w:rPr>
              <w:t>- Hệ thống giao thông, hạ tầng bị ảnh hưởng do ngập úng;</w:t>
            </w:r>
          </w:p>
          <w:p w14:paraId="519B45B0" w14:textId="77777777" w:rsidR="00050E82" w:rsidRPr="008E63BB" w:rsidRDefault="00050E82" w:rsidP="006E16AC">
            <w:pPr>
              <w:tabs>
                <w:tab w:val="left" w:pos="133"/>
                <w:tab w:val="left" w:pos="223"/>
              </w:tabs>
              <w:rPr>
                <w:rFonts w:eastAsia="Times New Roman"/>
                <w:sz w:val="24"/>
                <w:szCs w:val="24"/>
              </w:rPr>
            </w:pPr>
            <w:r w:rsidRPr="008E63BB">
              <w:rPr>
                <w:rFonts w:eastAsia="Times New Roman"/>
                <w:sz w:val="24"/>
                <w:szCs w:val="24"/>
              </w:rPr>
              <w:t>- Nước sạch có nguy cơ khan hiếm;</w:t>
            </w:r>
          </w:p>
          <w:p w14:paraId="519B45B1" w14:textId="77777777" w:rsidR="00050E82" w:rsidRPr="008E63BB" w:rsidRDefault="00050E82" w:rsidP="006E16AC">
            <w:pPr>
              <w:tabs>
                <w:tab w:val="left" w:pos="133"/>
                <w:tab w:val="left" w:pos="223"/>
              </w:tabs>
              <w:rPr>
                <w:rFonts w:eastAsia="Times New Roman"/>
                <w:sz w:val="24"/>
                <w:szCs w:val="24"/>
              </w:rPr>
            </w:pPr>
            <w:r w:rsidRPr="008E63BB">
              <w:rPr>
                <w:rFonts w:eastAsia="Times New Roman"/>
                <w:sz w:val="24"/>
                <w:szCs w:val="24"/>
              </w:rPr>
              <w:t xml:space="preserve">- Các hoạt động sản xuất (đặc biệt là nông, ngư nghiệp) </w:t>
            </w:r>
          </w:p>
          <w:p w14:paraId="519B45B2" w14:textId="77777777" w:rsidR="00050E82" w:rsidRPr="008E63BB" w:rsidRDefault="00050E82" w:rsidP="006E16AC">
            <w:pPr>
              <w:tabs>
                <w:tab w:val="left" w:pos="133"/>
                <w:tab w:val="left" w:pos="223"/>
              </w:tabs>
              <w:rPr>
                <w:rFonts w:eastAsia="Times New Roman"/>
                <w:sz w:val="24"/>
                <w:szCs w:val="24"/>
              </w:rPr>
            </w:pPr>
            <w:r w:rsidRPr="008E63BB">
              <w:rPr>
                <w:rFonts w:eastAsia="Times New Roman"/>
                <w:sz w:val="24"/>
                <w:szCs w:val="24"/>
              </w:rPr>
              <w:t>- Môi trường bị ảnh hưởng do ngập lũ</w:t>
            </w:r>
          </w:p>
          <w:p w14:paraId="519B45B3" w14:textId="77777777" w:rsidR="00050E82" w:rsidRPr="008E63BB" w:rsidRDefault="00050E82" w:rsidP="006E16AC">
            <w:pPr>
              <w:rPr>
                <w:rFonts w:eastAsia="Times New Roman"/>
                <w:sz w:val="24"/>
                <w:szCs w:val="24"/>
              </w:rPr>
            </w:pPr>
            <w:r w:rsidRPr="008E63BB">
              <w:rPr>
                <w:rFonts w:eastAsia="Times New Roman"/>
                <w:sz w:val="24"/>
                <w:szCs w:val="24"/>
              </w:rPr>
              <w:t>- Đời sống, an toàn, sức khỏe cộng đồng</w:t>
            </w:r>
          </w:p>
        </w:tc>
        <w:tc>
          <w:tcPr>
            <w:tcW w:w="1368" w:type="pct"/>
          </w:tcPr>
          <w:p w14:paraId="519B45B4" w14:textId="77777777" w:rsidR="00050E82" w:rsidRPr="008E63BB" w:rsidRDefault="00050E82" w:rsidP="006E16AC">
            <w:pPr>
              <w:rPr>
                <w:rFonts w:eastAsia="Times New Roman"/>
                <w:sz w:val="24"/>
                <w:szCs w:val="24"/>
              </w:rPr>
            </w:pPr>
            <w:r w:rsidRPr="008E63BB">
              <w:rPr>
                <w:rFonts w:eastAsia="Times New Roman"/>
                <w:sz w:val="24"/>
                <w:szCs w:val="24"/>
              </w:rPr>
              <w:t>- Định hướng quy hoạch sử dụng đất có tính đến biến đổi khí hậu, lựa chọn các khu vực xây dựng công trình phù hợp;</w:t>
            </w:r>
          </w:p>
          <w:p w14:paraId="519B45B5" w14:textId="77777777" w:rsidR="00050E82" w:rsidRPr="008E63BB" w:rsidRDefault="00050E82" w:rsidP="006E16AC">
            <w:pPr>
              <w:rPr>
                <w:rFonts w:eastAsia="Times New Roman"/>
                <w:sz w:val="24"/>
                <w:szCs w:val="24"/>
              </w:rPr>
            </w:pPr>
            <w:r w:rsidRPr="008E63BB">
              <w:rPr>
                <w:rFonts w:eastAsia="Times New Roman"/>
                <w:sz w:val="24"/>
                <w:szCs w:val="24"/>
              </w:rPr>
              <w:t xml:space="preserve">- Thực hiện tốt công tác san nền, thoát nước mưa trong khu vực; </w:t>
            </w:r>
          </w:p>
          <w:p w14:paraId="519B45B6" w14:textId="77777777" w:rsidR="00050E82" w:rsidRPr="008E63BB" w:rsidRDefault="00050E82" w:rsidP="006E16AC">
            <w:pPr>
              <w:rPr>
                <w:rFonts w:eastAsia="Times New Roman"/>
                <w:sz w:val="24"/>
                <w:szCs w:val="24"/>
              </w:rPr>
            </w:pPr>
            <w:r w:rsidRPr="008E63BB">
              <w:rPr>
                <w:rFonts w:eastAsia="Times New Roman"/>
                <w:sz w:val="24"/>
                <w:szCs w:val="24"/>
              </w:rPr>
              <w:t>- Bảo vệ hồ điều hòa, nghiêm cấm các hành vi lấn chiếm, xâm phạm công trình thủy lợi, thoát nước;</w:t>
            </w:r>
          </w:p>
          <w:p w14:paraId="519B45B7" w14:textId="77777777" w:rsidR="00050E82" w:rsidRPr="008E63BB" w:rsidRDefault="00050E82" w:rsidP="006E16AC">
            <w:pPr>
              <w:rPr>
                <w:rFonts w:eastAsia="Times New Roman"/>
                <w:sz w:val="24"/>
                <w:szCs w:val="24"/>
              </w:rPr>
            </w:pPr>
            <w:r w:rsidRPr="008E63BB">
              <w:rPr>
                <w:rFonts w:eastAsia="Times New Roman"/>
                <w:sz w:val="24"/>
                <w:szCs w:val="24"/>
              </w:rPr>
              <w:t>- Tăng mặt phủ xanh, tạo các vùng trữ nước tạm thời;</w:t>
            </w:r>
          </w:p>
        </w:tc>
        <w:tc>
          <w:tcPr>
            <w:tcW w:w="954" w:type="pct"/>
          </w:tcPr>
          <w:p w14:paraId="519B45B8" w14:textId="77777777" w:rsidR="00050E82" w:rsidRPr="008E63BB" w:rsidRDefault="00050E82" w:rsidP="006E16AC">
            <w:pPr>
              <w:rPr>
                <w:rFonts w:eastAsia="Times New Roman"/>
                <w:sz w:val="24"/>
                <w:szCs w:val="24"/>
              </w:rPr>
            </w:pPr>
            <w:r w:rsidRPr="008E63BB">
              <w:rPr>
                <w:rFonts w:eastAsia="Times New Roman"/>
                <w:sz w:val="24"/>
                <w:szCs w:val="24"/>
              </w:rPr>
              <w:t>- Hạn chế xây dựng công trình tại những nơi đất nền yếu</w:t>
            </w:r>
          </w:p>
          <w:p w14:paraId="519B45B9" w14:textId="77777777" w:rsidR="00050E82" w:rsidRPr="008E63BB" w:rsidRDefault="00050E82" w:rsidP="006E16AC">
            <w:pPr>
              <w:rPr>
                <w:rFonts w:eastAsia="Times New Roman"/>
                <w:sz w:val="24"/>
                <w:szCs w:val="24"/>
              </w:rPr>
            </w:pPr>
            <w:r w:rsidRPr="008E63BB">
              <w:rPr>
                <w:rFonts w:eastAsia="Times New Roman"/>
                <w:sz w:val="24"/>
                <w:szCs w:val="24"/>
              </w:rPr>
              <w:t>- Nghiên cứu, áp dụng các giải pháp thoats nước bền vững;</w:t>
            </w:r>
          </w:p>
          <w:p w14:paraId="519B45BA" w14:textId="77777777" w:rsidR="00050E82" w:rsidRPr="008E63BB" w:rsidRDefault="00050E82" w:rsidP="006E16AC">
            <w:pPr>
              <w:rPr>
                <w:rFonts w:eastAsia="Times New Roman"/>
                <w:sz w:val="24"/>
                <w:szCs w:val="24"/>
              </w:rPr>
            </w:pPr>
            <w:r w:rsidRPr="008E63BB">
              <w:rPr>
                <w:rFonts w:eastAsia="Times New Roman"/>
                <w:sz w:val="24"/>
                <w:szCs w:val="24"/>
              </w:rPr>
              <w:t>- Hạn chế bê tông hoá bề mặt, nâng cao tỷ lệ cây xanh mặt nước trong đô thị và từng công trình;</w:t>
            </w:r>
          </w:p>
        </w:tc>
      </w:tr>
      <w:tr w:rsidR="00050E82" w:rsidRPr="008E63BB" w14:paraId="519B45CC" w14:textId="77777777" w:rsidTr="006E16AC">
        <w:tc>
          <w:tcPr>
            <w:tcW w:w="712" w:type="pct"/>
          </w:tcPr>
          <w:p w14:paraId="519B45BC" w14:textId="77777777" w:rsidR="00050E82" w:rsidRPr="008E63BB" w:rsidRDefault="00050E82" w:rsidP="006E16AC">
            <w:pPr>
              <w:rPr>
                <w:rFonts w:eastAsia="Times New Roman"/>
                <w:sz w:val="24"/>
                <w:szCs w:val="24"/>
              </w:rPr>
            </w:pPr>
            <w:r w:rsidRPr="008E63BB">
              <w:rPr>
                <w:rFonts w:eastAsia="Times New Roman"/>
                <w:sz w:val="24"/>
                <w:szCs w:val="24"/>
              </w:rPr>
              <w:t>Nhiệt độ tăng</w:t>
            </w:r>
          </w:p>
        </w:tc>
        <w:tc>
          <w:tcPr>
            <w:tcW w:w="806" w:type="pct"/>
          </w:tcPr>
          <w:p w14:paraId="519B45BD" w14:textId="77777777" w:rsidR="00050E82" w:rsidRPr="008E63BB" w:rsidRDefault="00050E82" w:rsidP="006E16AC">
            <w:pPr>
              <w:rPr>
                <w:rFonts w:eastAsia="Times New Roman"/>
                <w:sz w:val="24"/>
                <w:szCs w:val="24"/>
              </w:rPr>
            </w:pPr>
            <w:r w:rsidRPr="008E63BB">
              <w:rPr>
                <w:rFonts w:eastAsia="Times New Roman"/>
                <w:sz w:val="24"/>
                <w:szCs w:val="24"/>
              </w:rPr>
              <w:t>- Kiến trúc cảnh quan</w:t>
            </w:r>
          </w:p>
          <w:p w14:paraId="519B45BE" w14:textId="77777777" w:rsidR="00050E82" w:rsidRPr="008E63BB" w:rsidRDefault="00050E82" w:rsidP="006E16AC">
            <w:pPr>
              <w:rPr>
                <w:rFonts w:eastAsia="Times New Roman"/>
                <w:sz w:val="24"/>
                <w:szCs w:val="24"/>
              </w:rPr>
            </w:pPr>
            <w:r w:rsidRPr="008E63BB">
              <w:rPr>
                <w:rFonts w:eastAsia="Times New Roman"/>
                <w:sz w:val="24"/>
                <w:szCs w:val="24"/>
              </w:rPr>
              <w:t>- Cấp điện</w:t>
            </w:r>
          </w:p>
          <w:p w14:paraId="519B45BF" w14:textId="77777777" w:rsidR="00050E82" w:rsidRPr="008E63BB" w:rsidRDefault="00050E82" w:rsidP="006E16AC">
            <w:pPr>
              <w:rPr>
                <w:rFonts w:eastAsia="Times New Roman"/>
                <w:sz w:val="24"/>
                <w:szCs w:val="24"/>
              </w:rPr>
            </w:pPr>
            <w:r w:rsidRPr="008E63BB">
              <w:rPr>
                <w:rFonts w:eastAsia="Times New Roman"/>
                <w:sz w:val="24"/>
                <w:szCs w:val="24"/>
              </w:rPr>
              <w:t>- Cấp nước</w:t>
            </w:r>
          </w:p>
          <w:p w14:paraId="519B45C0" w14:textId="77777777" w:rsidR="00050E82" w:rsidRPr="008E63BB" w:rsidRDefault="00050E82" w:rsidP="006E16AC">
            <w:pPr>
              <w:rPr>
                <w:rFonts w:eastAsia="Times New Roman"/>
                <w:sz w:val="24"/>
                <w:szCs w:val="24"/>
              </w:rPr>
            </w:pPr>
            <w:r w:rsidRPr="008E63BB">
              <w:rPr>
                <w:rFonts w:eastAsia="Times New Roman"/>
                <w:sz w:val="24"/>
                <w:szCs w:val="24"/>
              </w:rPr>
              <w:t>- Vệ sinh môi trường</w:t>
            </w:r>
          </w:p>
        </w:tc>
        <w:tc>
          <w:tcPr>
            <w:tcW w:w="1160" w:type="pct"/>
          </w:tcPr>
          <w:p w14:paraId="519B45C1" w14:textId="77777777" w:rsidR="00050E82" w:rsidRPr="008E63BB" w:rsidRDefault="00050E82" w:rsidP="006E16AC">
            <w:pPr>
              <w:rPr>
                <w:rFonts w:eastAsia="Times New Roman"/>
                <w:sz w:val="24"/>
                <w:szCs w:val="24"/>
              </w:rPr>
            </w:pPr>
            <w:r w:rsidRPr="008E63BB">
              <w:rPr>
                <w:rFonts w:eastAsia="Times New Roman"/>
                <w:sz w:val="24"/>
                <w:szCs w:val="24"/>
              </w:rPr>
              <w:t>- Toàn đô thị; Đặc biệt tại các khu vực tập trung dân cư, khu vừc phát triển nông nghiệp, thủy sản;</w:t>
            </w:r>
          </w:p>
        </w:tc>
        <w:tc>
          <w:tcPr>
            <w:tcW w:w="1368" w:type="pct"/>
          </w:tcPr>
          <w:p w14:paraId="519B45C2" w14:textId="77777777" w:rsidR="00050E82" w:rsidRPr="008E63BB" w:rsidRDefault="00050E82" w:rsidP="006E16AC">
            <w:pPr>
              <w:rPr>
                <w:rFonts w:eastAsia="Times New Roman"/>
                <w:sz w:val="24"/>
                <w:szCs w:val="24"/>
              </w:rPr>
            </w:pPr>
            <w:r w:rsidRPr="008E63BB">
              <w:rPr>
                <w:rFonts w:eastAsia="Times New Roman"/>
                <w:sz w:val="24"/>
                <w:szCs w:val="24"/>
              </w:rPr>
              <w:t xml:space="preserve">- Quy hoạch sử dụng đất và cảnh quan trên cơ sở phát triển đô thị xanh; </w:t>
            </w:r>
          </w:p>
          <w:p w14:paraId="519B45C3" w14:textId="77777777" w:rsidR="00050E82" w:rsidRPr="008E63BB" w:rsidRDefault="00050E82" w:rsidP="006E16AC">
            <w:pPr>
              <w:rPr>
                <w:rFonts w:eastAsia="Times New Roman"/>
                <w:sz w:val="24"/>
                <w:szCs w:val="24"/>
              </w:rPr>
            </w:pPr>
            <w:r w:rsidRPr="008E63BB">
              <w:rPr>
                <w:rFonts w:eastAsia="Times New Roman"/>
                <w:sz w:val="24"/>
                <w:szCs w:val="24"/>
              </w:rPr>
              <w:t>- Bảo vệ sông ngòi, ao hồ, mặt nước;</w:t>
            </w:r>
          </w:p>
          <w:p w14:paraId="519B45C4" w14:textId="77777777" w:rsidR="00050E82" w:rsidRPr="008E63BB" w:rsidRDefault="00050E82" w:rsidP="006E16AC">
            <w:pPr>
              <w:rPr>
                <w:rFonts w:eastAsia="Times New Roman"/>
                <w:sz w:val="24"/>
                <w:szCs w:val="24"/>
              </w:rPr>
            </w:pPr>
            <w:r w:rsidRPr="008E63BB">
              <w:rPr>
                <w:rFonts w:eastAsia="Times New Roman"/>
                <w:sz w:val="24"/>
                <w:szCs w:val="24"/>
              </w:rPr>
              <w:t xml:space="preserve">- Định hướng phát triển nông nghiệp thích ứng với BĐKH; </w:t>
            </w:r>
          </w:p>
          <w:p w14:paraId="519B45C5" w14:textId="77777777" w:rsidR="00050E82" w:rsidRPr="008E63BB" w:rsidRDefault="00050E82" w:rsidP="006E16AC">
            <w:pPr>
              <w:rPr>
                <w:rFonts w:eastAsia="Times New Roman"/>
                <w:sz w:val="24"/>
                <w:szCs w:val="24"/>
              </w:rPr>
            </w:pPr>
            <w:r w:rsidRPr="008E63BB">
              <w:rPr>
                <w:rFonts w:eastAsia="Times New Roman"/>
                <w:sz w:val="24"/>
                <w:szCs w:val="24"/>
              </w:rPr>
              <w:t>- Quy hoạch cấp nước bền vững;</w:t>
            </w:r>
          </w:p>
          <w:p w14:paraId="519B45C6" w14:textId="77777777" w:rsidR="00050E82" w:rsidRPr="008E63BB" w:rsidRDefault="00050E82" w:rsidP="006E16AC">
            <w:pPr>
              <w:rPr>
                <w:rFonts w:eastAsia="Times New Roman"/>
                <w:sz w:val="24"/>
                <w:szCs w:val="24"/>
              </w:rPr>
            </w:pPr>
            <w:r w:rsidRPr="008E63BB">
              <w:rPr>
                <w:rFonts w:eastAsia="Times New Roman"/>
                <w:sz w:val="24"/>
                <w:szCs w:val="24"/>
              </w:rPr>
              <w:t>- Quy hoạch cấp điện có tính đến yếu tố tăng cao trong các đợt nắng nóng kéo dài;</w:t>
            </w:r>
          </w:p>
          <w:p w14:paraId="519B45C7" w14:textId="77777777" w:rsidR="00050E82" w:rsidRPr="008E63BB" w:rsidRDefault="00050E82" w:rsidP="006E16AC">
            <w:pPr>
              <w:rPr>
                <w:rFonts w:eastAsia="Times New Roman"/>
                <w:sz w:val="24"/>
                <w:szCs w:val="24"/>
              </w:rPr>
            </w:pPr>
            <w:r w:rsidRPr="008E63BB">
              <w:rPr>
                <w:rFonts w:eastAsia="Times New Roman"/>
                <w:sz w:val="24"/>
                <w:szCs w:val="24"/>
              </w:rPr>
              <w:t>- Phát triển y tế công cộng, chăm sóc sức khỏe cộng đồng;</w:t>
            </w:r>
          </w:p>
        </w:tc>
        <w:tc>
          <w:tcPr>
            <w:tcW w:w="954" w:type="pct"/>
          </w:tcPr>
          <w:p w14:paraId="519B45C8" w14:textId="77777777" w:rsidR="00050E82" w:rsidRPr="008E63BB" w:rsidRDefault="00050E82" w:rsidP="006E16AC">
            <w:pPr>
              <w:rPr>
                <w:rFonts w:eastAsia="Times New Roman"/>
                <w:sz w:val="24"/>
                <w:szCs w:val="24"/>
              </w:rPr>
            </w:pPr>
            <w:r w:rsidRPr="008E63BB">
              <w:rPr>
                <w:rFonts w:eastAsia="Times New Roman"/>
                <w:sz w:val="24"/>
                <w:szCs w:val="24"/>
              </w:rPr>
              <w:t>- Sử dụng năng lượng hiệu quả</w:t>
            </w:r>
          </w:p>
          <w:p w14:paraId="519B45C9" w14:textId="77777777" w:rsidR="00050E82" w:rsidRPr="008E63BB" w:rsidRDefault="00050E82" w:rsidP="006E16AC">
            <w:pPr>
              <w:rPr>
                <w:rFonts w:eastAsia="Times New Roman"/>
                <w:sz w:val="24"/>
                <w:szCs w:val="24"/>
              </w:rPr>
            </w:pPr>
            <w:r w:rsidRPr="008E63BB">
              <w:rPr>
                <w:rFonts w:eastAsia="Times New Roman"/>
                <w:sz w:val="24"/>
                <w:szCs w:val="24"/>
              </w:rPr>
              <w:t>- Thiết kế đô thị xanh</w:t>
            </w:r>
          </w:p>
          <w:p w14:paraId="519B45CA" w14:textId="77777777" w:rsidR="00050E82" w:rsidRPr="008E63BB" w:rsidRDefault="00050E82" w:rsidP="006E16AC">
            <w:pPr>
              <w:rPr>
                <w:rFonts w:eastAsia="Times New Roman"/>
                <w:sz w:val="24"/>
                <w:szCs w:val="24"/>
              </w:rPr>
            </w:pPr>
            <w:r w:rsidRPr="008E63BB">
              <w:rPr>
                <w:rFonts w:eastAsia="Times New Roman"/>
                <w:sz w:val="24"/>
                <w:szCs w:val="24"/>
              </w:rPr>
              <w:t>- Tăng mặt phủ xanh; Nghiên cứu, sử dụng các vật liệu mới thân thiện môi trường, có hệ số bắt giữ nhiệt thấp…;</w:t>
            </w:r>
          </w:p>
          <w:p w14:paraId="519B45CB" w14:textId="77777777" w:rsidR="00050E82" w:rsidRPr="008E63BB" w:rsidRDefault="00050E82" w:rsidP="006E16AC">
            <w:pPr>
              <w:rPr>
                <w:rFonts w:eastAsia="Times New Roman"/>
                <w:sz w:val="24"/>
                <w:szCs w:val="24"/>
              </w:rPr>
            </w:pPr>
          </w:p>
        </w:tc>
      </w:tr>
    </w:tbl>
    <w:p w14:paraId="519B45CD" w14:textId="77777777" w:rsidR="00050E82" w:rsidRPr="008E63BB" w:rsidRDefault="00050E82" w:rsidP="005F4632">
      <w:pPr>
        <w:tabs>
          <w:tab w:val="left" w:pos="6244"/>
        </w:tabs>
        <w:autoSpaceDE w:val="0"/>
        <w:autoSpaceDN w:val="0"/>
        <w:adjustRightInd w:val="0"/>
        <w:ind w:firstLine="720"/>
        <w:rPr>
          <w:lang w:val="sv-SE"/>
        </w:rPr>
      </w:pPr>
      <w:r w:rsidRPr="008E63BB">
        <w:rPr>
          <w:lang w:val="sv-SE"/>
        </w:rPr>
        <w:t>* Nhìn chung, vấn đề BĐKH và NBD theo dự báo sẽ có các tác động không nhỏ đến khu vực, đặc biệt trong kịch bản BĐKH năm 2016 đã có sự điều chỉnh so với các kịch bản trước đây và cho thấy mức biến động lớn hơn, tác động mạnh hơn; Do đó, trong quy hoạch xây dựng, phát triển kinh tế, đô thị... cần tính toán, đưa ra các giải pháp xây dựng, phát triển phù hợp có tính đến BĐKH và nước biển dâng, đảm bảo cho sự phát triển bền vững, an toàn của đô thị trong tương lai.</w:t>
      </w:r>
    </w:p>
    <w:p w14:paraId="519B45CE" w14:textId="77777777" w:rsidR="008C1B81" w:rsidRPr="008E63BB" w:rsidRDefault="00C32228" w:rsidP="005F4632">
      <w:pPr>
        <w:pStyle w:val="Heading2"/>
        <w:spacing w:before="0" w:after="0"/>
        <w:rPr>
          <w:kern w:val="32"/>
          <w:lang w:val="vi-VN"/>
        </w:rPr>
      </w:pPr>
      <w:bookmarkStart w:id="570" w:name="_Toc47524751"/>
      <w:r w:rsidRPr="008E63BB">
        <w:rPr>
          <w:kern w:val="32"/>
          <w:lang w:val="vi-VN"/>
        </w:rPr>
        <w:lastRenderedPageBreak/>
        <w:t>9</w:t>
      </w:r>
      <w:r w:rsidR="008C1B81" w:rsidRPr="008E63BB">
        <w:rPr>
          <w:kern w:val="32"/>
          <w:lang w:val="vi-VN"/>
        </w:rPr>
        <w:t>.3. Đề xuất giải pháp giảm thiểu và bảo vệ môi trường</w:t>
      </w:r>
      <w:bookmarkEnd w:id="569"/>
      <w:bookmarkEnd w:id="570"/>
    </w:p>
    <w:p w14:paraId="519B45CF" w14:textId="77777777" w:rsidR="008C1B81" w:rsidRPr="008E63BB" w:rsidRDefault="00C32228" w:rsidP="005F4632">
      <w:pPr>
        <w:rPr>
          <w:i/>
          <w:iCs/>
          <w:szCs w:val="26"/>
          <w:lang w:val="vi-VN"/>
        </w:rPr>
      </w:pPr>
      <w:r w:rsidRPr="008E63BB">
        <w:rPr>
          <w:rFonts w:eastAsia="SimSun"/>
          <w:b/>
          <w:bCs/>
          <w:i/>
          <w:iCs/>
          <w:szCs w:val="26"/>
          <w:lang w:val="pt-BR"/>
        </w:rPr>
        <w:t>9</w:t>
      </w:r>
      <w:r w:rsidR="008C1B81" w:rsidRPr="008E63BB">
        <w:rPr>
          <w:rFonts w:eastAsia="SimSun"/>
          <w:b/>
          <w:bCs/>
          <w:i/>
          <w:iCs/>
          <w:szCs w:val="26"/>
          <w:lang w:val="pt-BR"/>
        </w:rPr>
        <w:t>.3.1. Phân vùng bảo vệ môi trường</w:t>
      </w:r>
    </w:p>
    <w:p w14:paraId="519B45D0" w14:textId="77777777" w:rsidR="008C1B81" w:rsidRPr="008E63BB" w:rsidRDefault="008C1B81" w:rsidP="005F4632">
      <w:pPr>
        <w:tabs>
          <w:tab w:val="left" w:pos="1260"/>
        </w:tabs>
        <w:ind w:firstLine="720"/>
        <w:rPr>
          <w:szCs w:val="26"/>
          <w:lang w:val="vi-VN"/>
        </w:rPr>
      </w:pPr>
      <w:r w:rsidRPr="008E63BB">
        <w:rPr>
          <w:szCs w:val="26"/>
          <w:lang w:val="vi-VN"/>
        </w:rPr>
        <w:t>Căn cứ vào mức độ và phạm vi tác động môi trường, mục tiêu bảo vệ môi trường chính. Khu vực nghiên cứu quy hoạch được chia thành 05 khu vực bảo vệ chính:</w:t>
      </w:r>
    </w:p>
    <w:p w14:paraId="519B45D1" w14:textId="77777777" w:rsidR="00257656" w:rsidRPr="008E63BB" w:rsidRDefault="00257656" w:rsidP="005F4632">
      <w:pPr>
        <w:autoSpaceDE w:val="0"/>
        <w:autoSpaceDN w:val="0"/>
        <w:adjustRightInd w:val="0"/>
        <w:ind w:firstLine="720"/>
        <w:rPr>
          <w:szCs w:val="26"/>
          <w:lang w:val="vi-VN"/>
        </w:rPr>
      </w:pPr>
      <w:r w:rsidRPr="008E63BB">
        <w:rPr>
          <w:b/>
          <w:i/>
          <w:szCs w:val="26"/>
          <w:lang w:val="vi-VN"/>
        </w:rPr>
        <w:t xml:space="preserve">* Khu vực kiểm soát môi trường do hoạt động phát triển dân cư, dịch vụ thương mại: </w:t>
      </w:r>
      <w:r w:rsidRPr="008E63BB">
        <w:rPr>
          <w:i/>
          <w:iCs/>
          <w:szCs w:val="26"/>
          <w:lang w:val="vi-VN"/>
        </w:rPr>
        <w:t>(khu vực đất ở, công cộng, cơ quan, trường học, các công trình  công cộng, hạ tầng xã hội, dịch vụ, thương mại, du lịch ):</w:t>
      </w:r>
      <w:r w:rsidRPr="008E63BB">
        <w:rPr>
          <w:szCs w:val="26"/>
          <w:lang w:val="vi-VN"/>
        </w:rPr>
        <w:t xml:space="preserve"> Xây dựng các công trình hài hòa, gắn  liền với cảnh quan, môi trường, văn hóa, quốc phòng an ninh; Xây dựng hệ thống thu  gom, xử lý ô nhiễm, bảo vệ môi trường, các giải pháp phòng chống lũ lụt, ngập úng, thiên tai, hỏa hoạn, các giải pháp di rời, ứng cứu khẩn cấp…; </w:t>
      </w:r>
    </w:p>
    <w:p w14:paraId="519B45D2" w14:textId="77777777" w:rsidR="00257656" w:rsidRPr="008E63BB" w:rsidRDefault="00257656" w:rsidP="005F4632">
      <w:pPr>
        <w:tabs>
          <w:tab w:val="left" w:pos="567"/>
          <w:tab w:val="left" w:pos="851"/>
          <w:tab w:val="left" w:pos="993"/>
          <w:tab w:val="left" w:pos="1276"/>
        </w:tabs>
        <w:rPr>
          <w:szCs w:val="26"/>
          <w:lang w:val="vi-VN"/>
        </w:rPr>
      </w:pPr>
      <w:r w:rsidRPr="008E63BB">
        <w:rPr>
          <w:b/>
          <w:i/>
          <w:szCs w:val="26"/>
          <w:lang w:val="vi-VN"/>
        </w:rPr>
        <w:tab/>
        <w:t>* Khu vực kiểm soát môi trường do hoạt động phát triển công nghiệp:</w:t>
      </w:r>
      <w:r w:rsidRPr="008E63BB">
        <w:rPr>
          <w:szCs w:val="26"/>
          <w:lang w:val="vi-VN"/>
        </w:rPr>
        <w:t xml:space="preserve"> Định hướng phát triển công nghiệp sạch, không gây ô nhiễm môi trường; Xây dựng và bố trí các công trình, các khu chức năng phù hợp, đảm tiêu chí kỹ thuật, an toàn, mỹ quan, kinh tế, môi trường và thuận lợi trong vận chuyển, bốc dỡ…; Thường xuyên kiểm tra, theo dõi chất lượng môi trường; định kỳ quan trắc môi trường theo quy định; Xây dựng hệ thống thu gom, xử lý nước thải, khí thải, chất thải rắn.</w:t>
      </w:r>
    </w:p>
    <w:p w14:paraId="519B45D3" w14:textId="77777777" w:rsidR="00257656" w:rsidRPr="008E63BB" w:rsidRDefault="00257656" w:rsidP="005F4632">
      <w:pPr>
        <w:tabs>
          <w:tab w:val="left" w:pos="567"/>
          <w:tab w:val="left" w:pos="720"/>
          <w:tab w:val="left" w:pos="851"/>
          <w:tab w:val="left" w:pos="993"/>
          <w:tab w:val="left" w:pos="1276"/>
        </w:tabs>
        <w:ind w:firstLine="540"/>
        <w:rPr>
          <w:spacing w:val="-4"/>
          <w:szCs w:val="26"/>
          <w:lang w:val="vi-VN"/>
        </w:rPr>
      </w:pPr>
      <w:r w:rsidRPr="008E63BB">
        <w:rPr>
          <w:szCs w:val="26"/>
          <w:lang w:val="vi-VN"/>
        </w:rPr>
        <w:tab/>
        <w:t xml:space="preserve">* </w:t>
      </w:r>
      <w:r w:rsidRPr="008E63BB">
        <w:rPr>
          <w:b/>
          <w:i/>
          <w:spacing w:val="-4"/>
          <w:szCs w:val="26"/>
          <w:lang w:val="vi-VN"/>
        </w:rPr>
        <w:t xml:space="preserve"> Khu vực cấm, hạn chế xây dựng</w:t>
      </w:r>
      <w:r w:rsidRPr="008E63BB">
        <w:rPr>
          <w:spacing w:val="-4"/>
          <w:szCs w:val="26"/>
          <w:lang w:val="vi-VN"/>
        </w:rPr>
        <w:t xml:space="preserve"> (đất tôn giáo, hạ tầng kỹ thuật, an ninh quốc phòng): Tuân thủ các quy định hiện hành; Cấm các hành vi xâm phạm, phá hoại; Phát triển tôn giáo gắn với văn mình, văn hóa dân tốc, phát triển du lịch và bảo vệ môi trường; Có các giải pháp xây dựng, tôn tạo, trùng tu phù hợp; Nghiêm cấm hành vi lợi dụng tôn giáo để truyền bá các tư tưởng sai lệch, mê tín dị đoan, phá vỡ các truyền thống tốt đẹp của dân tộc;</w:t>
      </w:r>
    </w:p>
    <w:p w14:paraId="519B45D4" w14:textId="77777777" w:rsidR="00257656" w:rsidRPr="008E63BB" w:rsidRDefault="00257656" w:rsidP="005F4632">
      <w:pPr>
        <w:autoSpaceDE w:val="0"/>
        <w:autoSpaceDN w:val="0"/>
        <w:adjustRightInd w:val="0"/>
        <w:ind w:firstLine="90"/>
        <w:rPr>
          <w:szCs w:val="26"/>
          <w:lang w:val="vi-VN"/>
        </w:rPr>
      </w:pPr>
      <w:r w:rsidRPr="008E63BB">
        <w:rPr>
          <w:b/>
          <w:i/>
          <w:szCs w:val="26"/>
          <w:lang w:val="vi-VN"/>
        </w:rPr>
        <w:tab/>
        <w:t>* Khu vực tích cực môi trường cần được bảo vệ và phát triển (đất cây xanh, mặt nước)</w:t>
      </w:r>
      <w:r w:rsidRPr="008E63BB">
        <w:rPr>
          <w:szCs w:val="26"/>
          <w:lang w:val="vi-VN"/>
        </w:rPr>
        <w:t xml:space="preserve"> Là không gian xanh, đảm bảo tiêu chí cảnh quan, môi trường, điều hòa vi khí hậu, đáp ứng các nhu cầu giải trí, sinh hoạt cộng đồng; Cần được bảo vệ và phát triển; Có giải  pháp chăm sóc, lựa chọn cây trồng phù hợp, hạn chế sử dụng hóa chất; Tăng tính  thẩm mỹ, kỹ thuật trong thiết kế, quy hoạch; Kiểm soát chặt chẽ hoạt động xả thải, bảo  vệ môi trường cảnh quan, mặt nước;  </w:t>
      </w:r>
    </w:p>
    <w:p w14:paraId="519B45D5" w14:textId="77777777" w:rsidR="00257656" w:rsidRPr="008E63BB" w:rsidRDefault="00257656" w:rsidP="005F4632">
      <w:pPr>
        <w:tabs>
          <w:tab w:val="left" w:pos="567"/>
          <w:tab w:val="left" w:pos="851"/>
          <w:tab w:val="left" w:pos="993"/>
          <w:tab w:val="left" w:pos="1276"/>
        </w:tabs>
        <w:rPr>
          <w:szCs w:val="26"/>
          <w:lang w:val="vi-VN"/>
        </w:rPr>
      </w:pPr>
      <w:r w:rsidRPr="008E63BB">
        <w:rPr>
          <w:szCs w:val="26"/>
          <w:lang w:val="vi-VN"/>
        </w:rPr>
        <w:tab/>
      </w:r>
      <w:r w:rsidRPr="008E63BB">
        <w:rPr>
          <w:b/>
          <w:i/>
          <w:szCs w:val="26"/>
          <w:lang w:val="vi-VN"/>
        </w:rPr>
        <w:t>* Khu vực phát triển nông nghiệp:</w:t>
      </w:r>
      <w:r w:rsidRPr="008E63BB">
        <w:rPr>
          <w:szCs w:val="26"/>
          <w:lang w:val="vi-VN"/>
        </w:rPr>
        <w:t xml:space="preserve"> quản lý chặt chẽ việc buôn bán và sử dụng hóa chất trên địa bàn, khuyến cáo người dân sử dụng các biện pháp phòng trừ tổng hợp hạn chế sử dụng hóa chất trong canh tác sản xuất nông nghiệp; Có các giải pháp sử dụng nước hiệu quả, tiết kiệm trong mùa khô;</w:t>
      </w:r>
    </w:p>
    <w:p w14:paraId="519B45D6" w14:textId="77777777" w:rsidR="00257656" w:rsidRPr="008E63BB" w:rsidRDefault="00257656" w:rsidP="005F4632">
      <w:pPr>
        <w:tabs>
          <w:tab w:val="left" w:pos="567"/>
          <w:tab w:val="left" w:pos="851"/>
          <w:tab w:val="left" w:pos="993"/>
          <w:tab w:val="left" w:pos="1276"/>
        </w:tabs>
        <w:rPr>
          <w:szCs w:val="26"/>
          <w:lang w:val="vi-VN"/>
        </w:rPr>
      </w:pPr>
      <w:r w:rsidRPr="008E63BB">
        <w:rPr>
          <w:b/>
          <w:i/>
          <w:szCs w:val="26"/>
          <w:lang w:val="vi-VN"/>
        </w:rPr>
        <w:tab/>
        <w:t>* Khu vực kiểm soát môi trường do hoạt động phát triển sân golf:</w:t>
      </w:r>
      <w:r w:rsidRPr="008E63BB">
        <w:rPr>
          <w:szCs w:val="26"/>
          <w:lang w:val="vi-VN"/>
        </w:rPr>
        <w:t>kiểm soát chặt chẽ hoạt động phát triển sân golf; Xây dựng hệ thống xử lý nước thải, chất thải đảm bảo tiêu chí vệ sinh môi trường; Kiểm soát chặt hoạt động sử dụng hóa chất trong khu vực;</w:t>
      </w:r>
    </w:p>
    <w:p w14:paraId="519B45D7" w14:textId="77777777" w:rsidR="008C1B81" w:rsidRPr="008E63BB" w:rsidRDefault="00257656" w:rsidP="005F4632">
      <w:pPr>
        <w:tabs>
          <w:tab w:val="left" w:pos="567"/>
          <w:tab w:val="left" w:pos="851"/>
          <w:tab w:val="left" w:pos="993"/>
          <w:tab w:val="left" w:pos="1276"/>
        </w:tabs>
        <w:rPr>
          <w:szCs w:val="26"/>
          <w:lang w:val="vi-VN"/>
        </w:rPr>
      </w:pPr>
      <w:r w:rsidRPr="008E63BB">
        <w:rPr>
          <w:b/>
          <w:i/>
          <w:spacing w:val="-4"/>
          <w:szCs w:val="26"/>
          <w:lang w:val="vi-VN"/>
        </w:rPr>
        <w:tab/>
        <w:t>* Khu vực nghĩa trang:</w:t>
      </w:r>
      <w:r w:rsidRPr="008E63BB">
        <w:rPr>
          <w:spacing w:val="-4"/>
          <w:szCs w:val="26"/>
          <w:lang w:val="vi-VN"/>
        </w:rPr>
        <w:t xml:space="preserve"> Có giải pháp quy hoạch hợp lý đảm bảo các tiêu chí kỹ thuật, mỹ thuật, văn hóa, tín ngưỡng địa phương; Quản lý chặt chẽ hoạt động xây dựng, an táng, xử lý nước thải và chất thải rắn phát sinh trong khu vực; Đảm bảo khoảng cách an toàn tới khu dân cư, các công trình hạ tầng kỹ thuật, nguồn nước… theo quy định</w:t>
      </w:r>
      <w:r w:rsidR="008C1B81" w:rsidRPr="008E63BB">
        <w:rPr>
          <w:szCs w:val="26"/>
          <w:lang w:val="vi-VN"/>
        </w:rPr>
        <w:t>;</w:t>
      </w:r>
    </w:p>
    <w:p w14:paraId="519B45D8" w14:textId="77777777" w:rsidR="008C1B81" w:rsidRPr="008E63BB" w:rsidRDefault="00C32228" w:rsidP="005F4632">
      <w:pPr>
        <w:rPr>
          <w:szCs w:val="26"/>
          <w:lang w:val="vi-VN"/>
        </w:rPr>
      </w:pPr>
      <w:r w:rsidRPr="008E63BB">
        <w:rPr>
          <w:rFonts w:eastAsia="SimSun"/>
          <w:b/>
          <w:bCs/>
          <w:i/>
          <w:iCs/>
          <w:szCs w:val="26"/>
          <w:lang w:val="pt-BR"/>
        </w:rPr>
        <w:t>9</w:t>
      </w:r>
      <w:r w:rsidR="008C1B81" w:rsidRPr="008E63BB">
        <w:rPr>
          <w:rFonts w:eastAsia="SimSun"/>
          <w:b/>
          <w:bCs/>
          <w:i/>
          <w:iCs/>
          <w:szCs w:val="26"/>
          <w:lang w:val="pt-BR"/>
        </w:rPr>
        <w:t xml:space="preserve">.3.2. Các qui định về môi trường và vùng đệm cảnh quan đối với từng khu vực </w:t>
      </w:r>
    </w:p>
    <w:p w14:paraId="519B45D9" w14:textId="77777777" w:rsidR="008C1B81" w:rsidRPr="008E63BB" w:rsidRDefault="008C1B81" w:rsidP="005F4632">
      <w:pPr>
        <w:ind w:firstLine="720"/>
        <w:rPr>
          <w:szCs w:val="26"/>
          <w:lang w:val="vi-VN"/>
        </w:rPr>
      </w:pPr>
      <w:r w:rsidRPr="008E63BB">
        <w:rPr>
          <w:szCs w:val="26"/>
          <w:lang w:val="vi-VN"/>
        </w:rPr>
        <w:t>Căn cứ theo mức độ tác động tới môi trường xung quanh và các quy định trong quy chuẩn hệ thống hạ tầng kỹ thuật, đề xuất các quy định cụ thể nhằm quản lý các nguồn và hoạt động tác động đến môi trường trong khu vực quy hoạch như sau:</w:t>
      </w:r>
    </w:p>
    <w:p w14:paraId="519B45DA" w14:textId="77777777" w:rsidR="008C1B81" w:rsidRPr="008E63BB" w:rsidRDefault="008C1B81" w:rsidP="005F4632">
      <w:pPr>
        <w:jc w:val="center"/>
        <w:rPr>
          <w:b/>
          <w:bCs/>
          <w:szCs w:val="26"/>
          <w:lang w:val="vi-VN"/>
        </w:rPr>
      </w:pPr>
      <w:r w:rsidRPr="008E63BB">
        <w:rPr>
          <w:b/>
          <w:bCs/>
          <w:szCs w:val="26"/>
          <w:lang w:val="vi-VN"/>
        </w:rPr>
        <w:t>Bả</w:t>
      </w:r>
      <w:r w:rsidR="008A5B79" w:rsidRPr="008E63BB">
        <w:rPr>
          <w:b/>
          <w:bCs/>
          <w:szCs w:val="26"/>
          <w:lang w:val="vi-VN"/>
        </w:rPr>
        <w:t>ng MT13</w:t>
      </w:r>
      <w:r w:rsidRPr="008E63BB">
        <w:rPr>
          <w:b/>
          <w:bCs/>
          <w:szCs w:val="26"/>
          <w:lang w:val="vi-VN"/>
        </w:rPr>
        <w:t>: Phân khu vực và các quy định cụ thể đối với công tác quản lý và bảo vệ môi trường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7594"/>
      </w:tblGrid>
      <w:tr w:rsidR="008D5BFE" w:rsidRPr="008E63BB" w14:paraId="519B45DD" w14:textId="77777777" w:rsidTr="005F4632">
        <w:trPr>
          <w:tblHeader/>
        </w:trPr>
        <w:tc>
          <w:tcPr>
            <w:tcW w:w="1004" w:type="pct"/>
            <w:vAlign w:val="center"/>
          </w:tcPr>
          <w:p w14:paraId="519B45DB" w14:textId="77777777" w:rsidR="008C1B81" w:rsidRPr="008E63BB" w:rsidRDefault="008C1B81" w:rsidP="00BD0AA5">
            <w:pPr>
              <w:spacing w:before="20" w:after="20"/>
              <w:ind w:left="-90" w:right="-109"/>
              <w:jc w:val="center"/>
              <w:rPr>
                <w:b/>
                <w:bCs/>
                <w:sz w:val="24"/>
                <w:szCs w:val="24"/>
                <w:lang w:val="vi-VN"/>
              </w:rPr>
            </w:pPr>
            <w:r w:rsidRPr="008E63BB">
              <w:rPr>
                <w:b/>
                <w:bCs/>
                <w:sz w:val="24"/>
                <w:szCs w:val="24"/>
                <w:lang w:val="vi-VN"/>
              </w:rPr>
              <w:t>Khu vực nhạy cảm môi trường</w:t>
            </w:r>
          </w:p>
        </w:tc>
        <w:tc>
          <w:tcPr>
            <w:tcW w:w="3996" w:type="pct"/>
            <w:vAlign w:val="center"/>
          </w:tcPr>
          <w:p w14:paraId="519B45DC" w14:textId="77777777" w:rsidR="008C1B81" w:rsidRPr="008E63BB" w:rsidRDefault="008C1B81" w:rsidP="00BD0AA5">
            <w:pPr>
              <w:spacing w:before="20" w:after="20"/>
              <w:ind w:left="-90" w:right="-109"/>
              <w:jc w:val="center"/>
              <w:rPr>
                <w:b/>
                <w:bCs/>
                <w:sz w:val="24"/>
                <w:szCs w:val="24"/>
                <w:lang w:val="vi-VN"/>
              </w:rPr>
            </w:pPr>
            <w:r w:rsidRPr="008E63BB">
              <w:rPr>
                <w:b/>
                <w:bCs/>
                <w:sz w:val="24"/>
                <w:szCs w:val="24"/>
                <w:lang w:val="vi-VN"/>
              </w:rPr>
              <w:t>Các quy định quản lý cụ thể</w:t>
            </w:r>
          </w:p>
        </w:tc>
      </w:tr>
      <w:tr w:rsidR="008D5BFE" w:rsidRPr="008E63BB" w14:paraId="519B45E0" w14:textId="77777777" w:rsidTr="00DE0230">
        <w:tc>
          <w:tcPr>
            <w:tcW w:w="1004" w:type="pct"/>
          </w:tcPr>
          <w:p w14:paraId="519B45DE" w14:textId="77777777" w:rsidR="008C1B81" w:rsidRPr="008E63BB" w:rsidRDefault="008C1B81" w:rsidP="00BD0AA5">
            <w:pPr>
              <w:spacing w:before="20" w:after="20"/>
              <w:rPr>
                <w:sz w:val="24"/>
                <w:szCs w:val="24"/>
                <w:lang w:val="vi-VN"/>
              </w:rPr>
            </w:pPr>
            <w:r w:rsidRPr="008E63BB">
              <w:rPr>
                <w:sz w:val="24"/>
                <w:szCs w:val="24"/>
                <w:lang w:val="vi-VN"/>
              </w:rPr>
              <w:lastRenderedPageBreak/>
              <w:t>Khu vực phát triển công nghiệp, kho tàng</w:t>
            </w:r>
          </w:p>
        </w:tc>
        <w:tc>
          <w:tcPr>
            <w:tcW w:w="3996" w:type="pct"/>
          </w:tcPr>
          <w:p w14:paraId="519B45DF" w14:textId="77777777" w:rsidR="008C1B81" w:rsidRPr="008E63BB" w:rsidRDefault="008C1B81" w:rsidP="00BD0AA5">
            <w:pPr>
              <w:pStyle w:val="ListParagraph"/>
              <w:spacing w:before="20" w:after="20"/>
              <w:ind w:left="0"/>
              <w:rPr>
                <w:b/>
                <w:bCs/>
                <w:szCs w:val="24"/>
              </w:rPr>
            </w:pPr>
            <w:r w:rsidRPr="008E63BB">
              <w:rPr>
                <w:szCs w:val="24"/>
              </w:rPr>
              <w:t>Đặt ở vị trí không nằm trong khu dân cư và ở cuối hướng gió. Khoảng cách ly tối thiểu với khu vực dân cư là 50m (tùy thuộc loại hình công nghiệp mà khoảng cách có thể tăng lên). Diện tích cây xanh được bố trí  dày trong từng cơ sở công nghiệp với diện tích lớn, tạo khoảng cách ly vệ sinh với khu dân cư .</w:t>
            </w:r>
          </w:p>
        </w:tc>
      </w:tr>
      <w:tr w:rsidR="008D5BFE" w:rsidRPr="008E63BB" w14:paraId="519B45E5" w14:textId="77777777" w:rsidTr="00DE0230">
        <w:tc>
          <w:tcPr>
            <w:tcW w:w="1004" w:type="pct"/>
          </w:tcPr>
          <w:p w14:paraId="519B45E1" w14:textId="77777777" w:rsidR="008C1B81" w:rsidRPr="008E63BB" w:rsidRDefault="008C1B81" w:rsidP="00BD0AA5">
            <w:pPr>
              <w:spacing w:before="20" w:after="20"/>
              <w:rPr>
                <w:sz w:val="24"/>
                <w:szCs w:val="24"/>
                <w:lang w:val="vi-VN"/>
              </w:rPr>
            </w:pPr>
            <w:r w:rsidRPr="008E63BB">
              <w:rPr>
                <w:sz w:val="24"/>
                <w:szCs w:val="24"/>
                <w:lang w:val="vi-VN"/>
              </w:rPr>
              <w:t>Hệ thống kênh mương, mặt nước</w:t>
            </w:r>
          </w:p>
        </w:tc>
        <w:tc>
          <w:tcPr>
            <w:tcW w:w="3996" w:type="pct"/>
          </w:tcPr>
          <w:p w14:paraId="519B45E2" w14:textId="77777777" w:rsidR="008C1B81" w:rsidRPr="008E63BB" w:rsidRDefault="008C1B81" w:rsidP="00BD0AA5">
            <w:pPr>
              <w:numPr>
                <w:ilvl w:val="0"/>
                <w:numId w:val="24"/>
              </w:numPr>
              <w:tabs>
                <w:tab w:val="left" w:pos="235"/>
                <w:tab w:val="left" w:pos="526"/>
              </w:tabs>
              <w:spacing w:before="20" w:after="20"/>
              <w:ind w:left="0" w:firstLine="0"/>
              <w:rPr>
                <w:sz w:val="24"/>
                <w:szCs w:val="24"/>
                <w:lang w:val="vi-VN"/>
              </w:rPr>
            </w:pPr>
            <w:r w:rsidRPr="008E63BB">
              <w:rPr>
                <w:sz w:val="24"/>
                <w:szCs w:val="24"/>
                <w:lang w:val="vi-VN"/>
              </w:rPr>
              <w:t>Đối với khu vực hồ: Đảm bảo vùng đệm xanh cách ly tối thiểu 20 m tới công trình xây dựng;</w:t>
            </w:r>
          </w:p>
          <w:p w14:paraId="519B45E3" w14:textId="77777777" w:rsidR="008C1B81" w:rsidRPr="008E63BB" w:rsidRDefault="008C1B81" w:rsidP="00BD0AA5">
            <w:pPr>
              <w:spacing w:before="20" w:after="20"/>
              <w:rPr>
                <w:sz w:val="24"/>
                <w:szCs w:val="24"/>
                <w:lang w:val="vi-VN"/>
              </w:rPr>
            </w:pPr>
            <w:r w:rsidRPr="008E63BB">
              <w:rPr>
                <w:sz w:val="24"/>
                <w:szCs w:val="24"/>
                <w:lang w:val="vi-VN"/>
              </w:rPr>
              <w:t>- Hệ thống kênh mương: hành lang bảo vệ tuân thủ theo quy định thủy lợi áp dụng cho từng cấp kênh, mương cụ thể;</w:t>
            </w:r>
          </w:p>
          <w:p w14:paraId="519B45E4" w14:textId="77777777" w:rsidR="008A5B79" w:rsidRPr="008E63BB" w:rsidRDefault="008A5B79" w:rsidP="00BD0AA5">
            <w:pPr>
              <w:spacing w:before="20" w:after="20"/>
              <w:rPr>
                <w:sz w:val="24"/>
                <w:szCs w:val="24"/>
                <w:lang w:val="vi-VN"/>
              </w:rPr>
            </w:pPr>
            <w:r w:rsidRPr="008E63BB">
              <w:rPr>
                <w:sz w:val="24"/>
                <w:szCs w:val="24"/>
                <w:lang w:val="vi-VN"/>
              </w:rPr>
              <w:t>- Khu vực bảo vệ (nghiêm cấm xả thải, các tác động gây ô nhiễm môi trường nước) đối với công trình cấp nước cấp I (≥200m về phía thượng nguồn, ≥100m về phía hạ nguồn); cấp II (≥1000m về phía thượng nguồn, ≥250m về phía hạ nguồn;</w:t>
            </w:r>
          </w:p>
        </w:tc>
      </w:tr>
      <w:tr w:rsidR="008D5BFE" w:rsidRPr="008E63BB" w14:paraId="519B45EF" w14:textId="77777777" w:rsidTr="00DE0230">
        <w:tc>
          <w:tcPr>
            <w:tcW w:w="1004" w:type="pct"/>
          </w:tcPr>
          <w:p w14:paraId="519B45E6" w14:textId="77777777" w:rsidR="008C1B81" w:rsidRPr="008E63BB" w:rsidRDefault="008C1B81" w:rsidP="00BD0AA5">
            <w:pPr>
              <w:spacing w:before="20" w:after="20"/>
              <w:rPr>
                <w:sz w:val="24"/>
                <w:szCs w:val="24"/>
                <w:lang w:val="vi-VN"/>
              </w:rPr>
            </w:pPr>
            <w:r w:rsidRPr="008E63BB">
              <w:rPr>
                <w:sz w:val="24"/>
                <w:szCs w:val="24"/>
                <w:lang w:val="vi-VN"/>
              </w:rPr>
              <w:t>Các công trình hạ tầng kỹ thuật khác (đường giao thông, bãi đỗ xe, nhà máy xử lý nước thải, nghĩa trang…)</w:t>
            </w:r>
          </w:p>
        </w:tc>
        <w:tc>
          <w:tcPr>
            <w:tcW w:w="3996" w:type="pct"/>
          </w:tcPr>
          <w:p w14:paraId="519B45E7" w14:textId="77777777" w:rsidR="008C1B81" w:rsidRPr="008E63BB" w:rsidRDefault="008C1B81" w:rsidP="00BD0AA5">
            <w:pPr>
              <w:spacing w:before="20" w:after="20"/>
              <w:rPr>
                <w:sz w:val="24"/>
                <w:szCs w:val="24"/>
                <w:lang w:val="vi-VN"/>
              </w:rPr>
            </w:pPr>
            <w:r w:rsidRPr="008E63BB">
              <w:rPr>
                <w:sz w:val="24"/>
                <w:szCs w:val="24"/>
                <w:lang w:val="vi-VN"/>
              </w:rPr>
              <w:t>- Đảm bảo cách ly cây xanh đối với công trình ven trục giao thông tối thiểu 5-10m.</w:t>
            </w:r>
          </w:p>
          <w:p w14:paraId="519B45E8" w14:textId="77777777" w:rsidR="008C1B81" w:rsidRPr="008E63BB" w:rsidRDefault="008C1B81" w:rsidP="00BD0AA5">
            <w:pPr>
              <w:numPr>
                <w:ilvl w:val="0"/>
                <w:numId w:val="25"/>
              </w:numPr>
              <w:tabs>
                <w:tab w:val="left" w:pos="14"/>
                <w:tab w:val="left" w:pos="245"/>
                <w:tab w:val="left" w:pos="445"/>
              </w:tabs>
              <w:spacing w:before="20" w:after="20"/>
              <w:ind w:left="0" w:firstLine="0"/>
              <w:rPr>
                <w:sz w:val="24"/>
                <w:szCs w:val="24"/>
                <w:lang w:val="vi-VN"/>
              </w:rPr>
            </w:pPr>
            <w:r w:rsidRPr="008E63BB">
              <w:rPr>
                <w:sz w:val="24"/>
                <w:szCs w:val="24"/>
                <w:lang w:val="vi-VN"/>
              </w:rPr>
              <w:t xml:space="preserve">Khu vực bãi đỗ xe: xung quanh bãi đỗ xe cần tính toán việc trồng cây xanh bao phủ xung quanh bãi đỗ xe, nghiên cứu biện pháp bố trí khuất tầm mắt không gây ảnh hưởng đến khu dân cư; </w:t>
            </w:r>
          </w:p>
          <w:p w14:paraId="519B45E9" w14:textId="77777777" w:rsidR="008C1B81" w:rsidRPr="008E63BB" w:rsidRDefault="008C1B81" w:rsidP="00BD0AA5">
            <w:pPr>
              <w:numPr>
                <w:ilvl w:val="0"/>
                <w:numId w:val="25"/>
              </w:numPr>
              <w:tabs>
                <w:tab w:val="left" w:pos="14"/>
                <w:tab w:val="left" w:pos="245"/>
                <w:tab w:val="left" w:pos="445"/>
              </w:tabs>
              <w:spacing w:before="20" w:after="20"/>
              <w:ind w:left="0" w:firstLine="0"/>
              <w:rPr>
                <w:sz w:val="24"/>
                <w:szCs w:val="24"/>
                <w:lang w:val="vi-VN"/>
              </w:rPr>
            </w:pPr>
            <w:r w:rsidRPr="008E63BB">
              <w:rPr>
                <w:sz w:val="24"/>
                <w:szCs w:val="24"/>
              </w:rPr>
              <w:t xml:space="preserve">Hệ thống cấp nước: </w:t>
            </w:r>
          </w:p>
          <w:p w14:paraId="519B45EA" w14:textId="77777777" w:rsidR="008A5B79" w:rsidRPr="008E63BB" w:rsidRDefault="008A5B79" w:rsidP="00BD0AA5">
            <w:pPr>
              <w:tabs>
                <w:tab w:val="left" w:pos="14"/>
                <w:tab w:val="left" w:pos="245"/>
                <w:tab w:val="left" w:pos="445"/>
              </w:tabs>
              <w:spacing w:before="20" w:after="20"/>
              <w:rPr>
                <w:sz w:val="24"/>
                <w:szCs w:val="24"/>
                <w:lang w:val="vi-VN"/>
              </w:rPr>
            </w:pPr>
            <w:r w:rsidRPr="008E63BB">
              <w:rPr>
                <w:sz w:val="24"/>
                <w:szCs w:val="24"/>
                <w:lang w:val="vi-VN"/>
              </w:rPr>
              <w:t>+ Nhà máy nước: đảm bảo khoảng cách an toàn vệ sinh tối thiểu 30 m;</w:t>
            </w:r>
          </w:p>
          <w:p w14:paraId="519B45EB" w14:textId="77777777" w:rsidR="008A5B79" w:rsidRPr="008E63BB" w:rsidRDefault="008A5B79" w:rsidP="00BD0AA5">
            <w:pPr>
              <w:tabs>
                <w:tab w:val="left" w:pos="14"/>
                <w:tab w:val="left" w:pos="245"/>
                <w:tab w:val="left" w:pos="445"/>
              </w:tabs>
              <w:spacing w:before="20" w:after="20"/>
              <w:rPr>
                <w:sz w:val="24"/>
                <w:szCs w:val="24"/>
                <w:lang w:val="vi-VN"/>
              </w:rPr>
            </w:pPr>
            <w:r w:rsidRPr="008E63BB">
              <w:rPr>
                <w:sz w:val="24"/>
                <w:szCs w:val="24"/>
                <w:lang w:val="vi-VN"/>
              </w:rPr>
              <w:t>+ Điểm lấy nước (nguồn nước mặt): bảo đảm khu vực bảo vệ tối thiểu 200 m về phía thượng nguồn, 100m về phía hạ nguồn (cấm các hoạt động xây dựng, xả thải ô nhiễm, chăn nuôi gia súc, gia cầm, đánh bắt thủy sản, sử dụng hóa chất, phân hữu cơ và phân khoáng để bón cây;)</w:t>
            </w:r>
          </w:p>
          <w:p w14:paraId="519B45EC" w14:textId="77777777" w:rsidR="008A5B79" w:rsidRPr="008E63BB" w:rsidRDefault="008A5B79" w:rsidP="00BD0AA5">
            <w:pPr>
              <w:numPr>
                <w:ilvl w:val="0"/>
                <w:numId w:val="23"/>
              </w:numPr>
              <w:tabs>
                <w:tab w:val="left" w:pos="235"/>
              </w:tabs>
              <w:spacing w:before="20" w:after="20"/>
              <w:ind w:left="0" w:firstLine="0"/>
              <w:rPr>
                <w:sz w:val="24"/>
                <w:szCs w:val="24"/>
                <w:lang w:val="vi-VN"/>
              </w:rPr>
            </w:pPr>
            <w:r w:rsidRPr="008E63BB">
              <w:rPr>
                <w:sz w:val="24"/>
                <w:szCs w:val="24"/>
                <w:lang w:val="vi-VN"/>
              </w:rPr>
              <w:t>Khu vực xây dựng nghĩa trang tập trung đảm bảo khoảng cách tối thiểu đến khu dân cư 100-1500m (tùy thuộc vào loại hình táng) và phải có hệ thống bảo vệ môi trường; khoảng cách an toàn vệ sinh môi trường đến các công trình khai thác nước sinh hoạt tập trung tối thiểu 5.000m  với nghĩa trang hung táng, 3000m với nghĩa trang chôn cất ột lần; khoảng cách tối thiếu đến mép nước của thủy vực lớn là 500 m với nghĩa trang hung táng và 100m với nghĩa trang cát táng;</w:t>
            </w:r>
          </w:p>
          <w:p w14:paraId="519B45ED" w14:textId="77777777" w:rsidR="008A5B79" w:rsidRPr="008E63BB" w:rsidRDefault="008A5B79" w:rsidP="00BD0AA5">
            <w:pPr>
              <w:numPr>
                <w:ilvl w:val="0"/>
                <w:numId w:val="23"/>
              </w:numPr>
              <w:tabs>
                <w:tab w:val="left" w:pos="235"/>
              </w:tabs>
              <w:spacing w:before="20" w:after="20"/>
              <w:ind w:left="0" w:firstLine="0"/>
              <w:rPr>
                <w:sz w:val="24"/>
                <w:szCs w:val="24"/>
                <w:lang w:val="vi-VN"/>
              </w:rPr>
            </w:pPr>
            <w:r w:rsidRPr="008E63BB">
              <w:rPr>
                <w:sz w:val="24"/>
                <w:szCs w:val="24"/>
                <w:lang w:val="vi-VN"/>
              </w:rPr>
              <w:t>Hệ thống xử lý nước thải: vùng đệm khu xử lý nước thải sẽ xây dựng hàng rào quanh công trình, trồng cây xanh với chiều rộng ≥10m, hệ thống giao thông vào khu vực thuận lợi với giao thông đối ngoại.  Khoảng cách an toàn vệ sinh môi trường tối thiểu từ 10 – 500m, tùy thuộc vào quy mô và công nghệ xử lý (có tính hệ số bất lợi như đặt đầu hướng gió...).</w:t>
            </w:r>
          </w:p>
          <w:p w14:paraId="519B45EE" w14:textId="77777777" w:rsidR="008C1B81" w:rsidRPr="008E63BB" w:rsidRDefault="008A5B79" w:rsidP="00BD0AA5">
            <w:pPr>
              <w:numPr>
                <w:ilvl w:val="0"/>
                <w:numId w:val="23"/>
              </w:numPr>
              <w:tabs>
                <w:tab w:val="left" w:pos="235"/>
              </w:tabs>
              <w:spacing w:before="20" w:after="20"/>
              <w:ind w:left="0" w:firstLine="0"/>
              <w:rPr>
                <w:sz w:val="24"/>
                <w:szCs w:val="24"/>
                <w:lang w:val="vi-VN"/>
              </w:rPr>
            </w:pPr>
            <w:r w:rsidRPr="008E63BB">
              <w:rPr>
                <w:sz w:val="24"/>
                <w:szCs w:val="24"/>
                <w:lang w:val="vi-VN"/>
              </w:rPr>
              <w:t>Khu vực xử lý chất thải rắn: khoảng cách an toàn vệ sinh môi trường đến các công trình xây dựng phụ thuộc vào công nghệ xử lý; khoảng cách ATMT nhỏ nhất tính từ hàng rào khu xử lý đến chân công trình xây dựng khác là 1000m đối với khu liên hợp xử lý chất thải rắn, khu chôn lấp chất thải rắn thông thường; 500m đối với trạm đốt chất thải rắn, khu chế biến chất thải rắn hữu cơ thàh phân vi sinh;</w:t>
            </w:r>
          </w:p>
        </w:tc>
      </w:tr>
    </w:tbl>
    <w:p w14:paraId="519B45F0" w14:textId="77777777" w:rsidR="008C1B81" w:rsidRPr="008E63BB" w:rsidRDefault="008C1B81" w:rsidP="0065184D">
      <w:pPr>
        <w:jc w:val="center"/>
        <w:rPr>
          <w:b/>
          <w:szCs w:val="26"/>
          <w:lang w:val="vi-VN"/>
        </w:rPr>
      </w:pPr>
    </w:p>
    <w:p w14:paraId="519B45F1" w14:textId="77777777" w:rsidR="008C1B81" w:rsidRPr="008E63BB" w:rsidRDefault="00C32228" w:rsidP="005F4632">
      <w:pPr>
        <w:spacing w:before="120"/>
        <w:rPr>
          <w:rFonts w:eastAsia="SimSun"/>
          <w:b/>
          <w:bCs/>
          <w:i/>
          <w:iCs/>
          <w:szCs w:val="26"/>
          <w:lang w:val="pt-BR"/>
        </w:rPr>
      </w:pPr>
      <w:r w:rsidRPr="008E63BB">
        <w:rPr>
          <w:rFonts w:eastAsia="SimSun"/>
          <w:b/>
          <w:bCs/>
          <w:i/>
          <w:iCs/>
          <w:szCs w:val="26"/>
          <w:lang w:val="pt-BR"/>
        </w:rPr>
        <w:t>9</w:t>
      </w:r>
      <w:r w:rsidR="008C1B81" w:rsidRPr="008E63BB">
        <w:rPr>
          <w:rFonts w:eastAsia="SimSun"/>
          <w:b/>
          <w:bCs/>
          <w:i/>
          <w:iCs/>
          <w:szCs w:val="26"/>
          <w:lang w:val="pt-BR"/>
        </w:rPr>
        <w:t>.3.3. Các giải pháp quản lý và giảm thiểu tác động môi trường</w:t>
      </w:r>
    </w:p>
    <w:p w14:paraId="519B45F2" w14:textId="77777777" w:rsidR="009C0B69" w:rsidRPr="008E63BB" w:rsidRDefault="009C0B69" w:rsidP="005F4632">
      <w:pPr>
        <w:tabs>
          <w:tab w:val="num" w:pos="709"/>
        </w:tabs>
        <w:spacing w:before="120"/>
        <w:rPr>
          <w:i/>
          <w:szCs w:val="26"/>
          <w:lang w:val="pt-BR"/>
        </w:rPr>
      </w:pPr>
      <w:r w:rsidRPr="008E63BB">
        <w:rPr>
          <w:i/>
          <w:szCs w:val="26"/>
          <w:lang w:val="pt-BR"/>
        </w:rPr>
        <w:t>a/ Các giải pháp bảo vệ môi trường kinh tế - xã hội:</w:t>
      </w:r>
    </w:p>
    <w:p w14:paraId="519B45F3" w14:textId="77777777" w:rsidR="009C0B69" w:rsidRPr="008E63BB" w:rsidRDefault="009C0B69" w:rsidP="005F4632">
      <w:pPr>
        <w:tabs>
          <w:tab w:val="num" w:pos="540"/>
        </w:tabs>
        <w:spacing w:before="120"/>
        <w:rPr>
          <w:szCs w:val="26"/>
          <w:lang w:val="pt-BR"/>
        </w:rPr>
      </w:pPr>
      <w:r w:rsidRPr="008E63BB">
        <w:rPr>
          <w:szCs w:val="26"/>
          <w:lang w:val="pt-BR"/>
        </w:rPr>
        <w:lastRenderedPageBreak/>
        <w:tab/>
        <w:t>+ Quản lý chặt chẽ hoạt động phát triển xây dựng trên địa bàn; Sử dụng đất hiệu quả; Nghiêm cấm các hành vi lấn chiếm không gian cây xanh, mặt nước, công trình hạ tầng kỹ thuật, các hoạt động gây ô nhiễm, mật trật tự an ninh xã hội, ảnh hưởng đến cuộc sống của người dân;</w:t>
      </w:r>
    </w:p>
    <w:p w14:paraId="519B45F4" w14:textId="77777777" w:rsidR="009C0B69" w:rsidRPr="008E63BB" w:rsidRDefault="009C0B69" w:rsidP="005F4632">
      <w:pPr>
        <w:tabs>
          <w:tab w:val="num" w:pos="540"/>
        </w:tabs>
        <w:spacing w:before="120"/>
        <w:rPr>
          <w:szCs w:val="26"/>
          <w:lang w:val="pt-BR"/>
        </w:rPr>
      </w:pPr>
      <w:r w:rsidRPr="008E63BB">
        <w:rPr>
          <w:szCs w:val="26"/>
          <w:lang w:val="pt-BR"/>
        </w:rPr>
        <w:tab/>
        <w:t>+ Thực hiện tốt công tác giải phóng mặt bằng, hướng nghiệp trong nhân dân;</w:t>
      </w:r>
    </w:p>
    <w:p w14:paraId="519B45F5" w14:textId="77777777" w:rsidR="009C0B69" w:rsidRPr="008E63BB" w:rsidRDefault="009C0B69" w:rsidP="005F4632">
      <w:pPr>
        <w:tabs>
          <w:tab w:val="num" w:pos="540"/>
        </w:tabs>
        <w:spacing w:before="120"/>
        <w:ind w:firstLine="567"/>
        <w:rPr>
          <w:szCs w:val="26"/>
          <w:lang w:val="pt-BR"/>
        </w:rPr>
      </w:pPr>
      <w:r w:rsidRPr="008E63BB">
        <w:rPr>
          <w:szCs w:val="26"/>
          <w:lang w:val="pt-BR"/>
        </w:rPr>
        <w:t xml:space="preserve">+ Phát triển y tế công cộng, chăm sóc sức khỏe cộng đồng; Chủ động phòng chống thiên tai, dịch bệnh; </w:t>
      </w:r>
    </w:p>
    <w:p w14:paraId="519B45F6" w14:textId="77777777" w:rsidR="009C0B69" w:rsidRPr="008E63BB" w:rsidRDefault="009C0B69" w:rsidP="005F4632">
      <w:pPr>
        <w:tabs>
          <w:tab w:val="num" w:pos="709"/>
        </w:tabs>
        <w:spacing w:before="120"/>
        <w:ind w:firstLine="425"/>
        <w:rPr>
          <w:szCs w:val="26"/>
          <w:lang w:val="pt-BR"/>
        </w:rPr>
      </w:pPr>
      <w:r w:rsidRPr="008E63BB">
        <w:rPr>
          <w:szCs w:val="26"/>
          <w:lang w:val="pt-BR"/>
        </w:rPr>
        <w:tab/>
        <w:t>+ Phát triển đồng bộ hệ thống hạ tầng; nâng cao chất sống của người dân;</w:t>
      </w:r>
    </w:p>
    <w:p w14:paraId="519B45F7" w14:textId="77777777" w:rsidR="009C0B69" w:rsidRPr="008E63BB" w:rsidRDefault="009C0B69" w:rsidP="005F4632">
      <w:pPr>
        <w:tabs>
          <w:tab w:val="num" w:pos="540"/>
        </w:tabs>
        <w:spacing w:before="120"/>
        <w:ind w:firstLine="567"/>
        <w:rPr>
          <w:szCs w:val="26"/>
          <w:lang w:val="pt-BR"/>
        </w:rPr>
      </w:pPr>
      <w:r w:rsidRPr="008E63BB">
        <w:rPr>
          <w:szCs w:val="26"/>
          <w:lang w:val="pt-BR"/>
        </w:rPr>
        <w:t>+ Bảo vệ, phát triển di tích lịch sử, văn hóa trên địa bàn; Phát huy các truyển thống văn hóa địa phương kết hợp xây dựng lối sống mới văn minh, hiện đại;</w:t>
      </w:r>
    </w:p>
    <w:p w14:paraId="519B45F8" w14:textId="77777777" w:rsidR="009C0B69" w:rsidRPr="008E63BB" w:rsidRDefault="009C0B69" w:rsidP="005F4632">
      <w:pPr>
        <w:tabs>
          <w:tab w:val="num" w:pos="540"/>
        </w:tabs>
        <w:spacing w:before="120"/>
        <w:ind w:firstLine="567"/>
        <w:rPr>
          <w:szCs w:val="26"/>
          <w:lang w:val="pt-BR"/>
        </w:rPr>
      </w:pPr>
      <w:r w:rsidRPr="008E63BB">
        <w:rPr>
          <w:szCs w:val="26"/>
          <w:lang w:val="pt-BR"/>
        </w:rPr>
        <w:t>+ Bảo vệ cảnh quan sông Hồng, sông Đào; Phát huy các ngành nghề truyền thống kết hợp với du lịch và quảng bá đặc sản địa phương;</w:t>
      </w:r>
    </w:p>
    <w:p w14:paraId="519B45F9" w14:textId="77777777" w:rsidR="009C0B69" w:rsidRPr="008E63BB" w:rsidRDefault="009C0B69" w:rsidP="005F4632">
      <w:pPr>
        <w:tabs>
          <w:tab w:val="num" w:pos="540"/>
        </w:tabs>
        <w:spacing w:before="120"/>
        <w:ind w:firstLine="567"/>
        <w:rPr>
          <w:szCs w:val="26"/>
          <w:lang w:val="pt-BR"/>
        </w:rPr>
      </w:pPr>
      <w:r w:rsidRPr="008E63BB">
        <w:rPr>
          <w:szCs w:val="26"/>
          <w:lang w:val="pt-BR"/>
        </w:rPr>
        <w:t xml:space="preserve">+ Thực hiện tốt công tác bảo vệ môi trường; Phát triển du lịch, công nghiệp theo hướng hiện đại, thân thiện môi trường; Khuyến khích các doanh nghiệp sử dụng lao động địa phương; </w:t>
      </w:r>
    </w:p>
    <w:p w14:paraId="519B45FA" w14:textId="77777777" w:rsidR="009C0B69" w:rsidRPr="008E63BB" w:rsidRDefault="009C0B69" w:rsidP="005F4632">
      <w:pPr>
        <w:tabs>
          <w:tab w:val="num" w:pos="540"/>
        </w:tabs>
        <w:spacing w:before="120"/>
        <w:ind w:firstLine="567"/>
        <w:rPr>
          <w:szCs w:val="26"/>
          <w:lang w:val="pt-BR"/>
        </w:rPr>
      </w:pPr>
      <w:r w:rsidRPr="008E63BB">
        <w:rPr>
          <w:szCs w:val="26"/>
          <w:lang w:val="pt-BR"/>
        </w:rPr>
        <w:t>+ Chủ động ứng phó với biến đổi khí hậu; Xây dựng các chương trình hành động, các buổi tập huấn phòng chống thiên tai, ứng cứu nạn khẩn cấp;</w:t>
      </w:r>
    </w:p>
    <w:p w14:paraId="519B45FB" w14:textId="77777777" w:rsidR="009C0B69" w:rsidRPr="008E63BB" w:rsidRDefault="009C0B69" w:rsidP="005F4632">
      <w:pPr>
        <w:tabs>
          <w:tab w:val="num" w:pos="540"/>
        </w:tabs>
        <w:spacing w:before="120"/>
        <w:ind w:firstLine="567"/>
        <w:rPr>
          <w:szCs w:val="26"/>
          <w:lang w:val="pt-BR"/>
        </w:rPr>
      </w:pPr>
      <w:r w:rsidRPr="008E63BB">
        <w:rPr>
          <w:szCs w:val="26"/>
          <w:lang w:val="pt-BR"/>
        </w:rPr>
        <w:t>+ Nâng cao ý thức cộng đồng trong bảo vệ môi trường; Sử dụng bền vững tài nguyên thiên nhiên;</w:t>
      </w:r>
    </w:p>
    <w:p w14:paraId="519B45FC" w14:textId="77777777" w:rsidR="009C0B69" w:rsidRPr="008E63BB" w:rsidRDefault="009C0B69" w:rsidP="005F4632">
      <w:pPr>
        <w:spacing w:before="120"/>
        <w:jc w:val="left"/>
        <w:rPr>
          <w:i/>
          <w:szCs w:val="26"/>
          <w:lang w:val="pt-BR"/>
        </w:rPr>
      </w:pPr>
      <w:r w:rsidRPr="008E63BB">
        <w:rPr>
          <w:i/>
          <w:szCs w:val="26"/>
          <w:lang w:val="pt-BR"/>
        </w:rPr>
        <w:t>b/ Các giải pháp bảo vệ môi trường đất:</w:t>
      </w:r>
    </w:p>
    <w:p w14:paraId="519B45FD" w14:textId="77777777" w:rsidR="009C0B69" w:rsidRPr="008E63BB" w:rsidRDefault="009C0B69" w:rsidP="005F4632">
      <w:pPr>
        <w:tabs>
          <w:tab w:val="num" w:pos="709"/>
        </w:tabs>
        <w:spacing w:before="120"/>
        <w:rPr>
          <w:szCs w:val="26"/>
          <w:lang w:val="pt-BR"/>
        </w:rPr>
      </w:pPr>
      <w:r w:rsidRPr="008E63BB">
        <w:rPr>
          <w:szCs w:val="26"/>
          <w:lang w:val="pt-BR"/>
        </w:rPr>
        <w:tab/>
        <w:t xml:space="preserve">+ Sử dụng hiệu quả tại nguyên đất; Tận dụng khai thác các quỹ đất xây dựng; </w:t>
      </w:r>
    </w:p>
    <w:p w14:paraId="519B4600" w14:textId="72FB72B7" w:rsidR="009C0B69" w:rsidRPr="008E63BB" w:rsidRDefault="009C0B69" w:rsidP="005F4632">
      <w:pPr>
        <w:tabs>
          <w:tab w:val="num" w:pos="709"/>
        </w:tabs>
        <w:spacing w:before="60"/>
        <w:rPr>
          <w:szCs w:val="26"/>
          <w:lang w:val="pt-BR"/>
        </w:rPr>
      </w:pPr>
      <w:r w:rsidRPr="008E63BB">
        <w:rPr>
          <w:szCs w:val="26"/>
          <w:lang w:val="pt-BR"/>
        </w:rPr>
        <w:tab/>
      </w:r>
      <w:r w:rsidR="005F4632" w:rsidRPr="008E63BB">
        <w:rPr>
          <w:szCs w:val="26"/>
          <w:lang w:val="pt-BR"/>
        </w:rPr>
        <w:tab/>
      </w:r>
      <w:r w:rsidRPr="008E63BB">
        <w:rPr>
          <w:szCs w:val="26"/>
          <w:lang w:val="pt-BR"/>
        </w:rPr>
        <w:t>+ Thực hiện tốt hiệu quả công tác san nền, thoát nước mưa trong khu vực: đảm bảo cao độ xây dựng hợp lý, thoát nước an toàn, hiệu quả; Xây dựng các giải pháp phòng chống ngập úng, sụt lở đất; Tăng cường công tác thăm dò địa chất, thực hiện công tác thi công, xây dựng an toàn, hiệu quả;</w:t>
      </w:r>
    </w:p>
    <w:p w14:paraId="519B4601" w14:textId="77777777" w:rsidR="009C0B69" w:rsidRPr="008E63BB" w:rsidRDefault="009C0B69" w:rsidP="003D057A">
      <w:pPr>
        <w:tabs>
          <w:tab w:val="num" w:pos="709"/>
        </w:tabs>
        <w:spacing w:before="60"/>
        <w:ind w:firstLine="567"/>
        <w:rPr>
          <w:szCs w:val="26"/>
          <w:lang w:val="pt-BR"/>
        </w:rPr>
      </w:pPr>
      <w:r w:rsidRPr="008E63BB">
        <w:rPr>
          <w:szCs w:val="26"/>
          <w:lang w:val="pt-BR"/>
        </w:rPr>
        <w:tab/>
        <w:t xml:space="preserve">+ Quản lý chặt chẽ hoạt động buôn bán, sử dụng hóa chất bảo vệ thực vật trên địa bàn; Khuyến cáo người dân sử dụng các biện pháp tổng hợp trong phòng trừ dịch hại, bảo vệ cây trồng, hạn chế sử dụng hóa chất trong trồng trọt, chăn nuôi; </w:t>
      </w:r>
      <w:r w:rsidRPr="008E63BB">
        <w:rPr>
          <w:szCs w:val="26"/>
          <w:lang w:val="vi-VN"/>
        </w:rPr>
        <w:t>Vận động người dân có ý thức thu gom bao bì hóa chất sau khi sử dụng</w:t>
      </w:r>
      <w:r w:rsidRPr="008E63BB">
        <w:rPr>
          <w:szCs w:val="26"/>
          <w:lang w:val="pt-BR"/>
        </w:rPr>
        <w:t xml:space="preserve"> và</w:t>
      </w:r>
      <w:r w:rsidRPr="008E63BB">
        <w:rPr>
          <w:szCs w:val="26"/>
          <w:lang w:val="vi-VN"/>
        </w:rPr>
        <w:t xml:space="preserve"> tập trung đưa đi xử lý; </w:t>
      </w:r>
      <w:r w:rsidRPr="008E63BB">
        <w:rPr>
          <w:szCs w:val="26"/>
          <w:lang w:val="pt-BR"/>
        </w:rPr>
        <w:t>Phát triển nền nông nghiệp, sạch bền vững trong tương lai;</w:t>
      </w:r>
    </w:p>
    <w:p w14:paraId="519B4602" w14:textId="77777777" w:rsidR="009C0B69" w:rsidRPr="008E63BB" w:rsidRDefault="009C0B69" w:rsidP="003D057A">
      <w:pPr>
        <w:tabs>
          <w:tab w:val="num" w:pos="709"/>
        </w:tabs>
        <w:spacing w:before="60"/>
        <w:rPr>
          <w:szCs w:val="26"/>
          <w:lang w:val="pt-BR"/>
        </w:rPr>
      </w:pPr>
      <w:r w:rsidRPr="008E63BB">
        <w:rPr>
          <w:szCs w:val="26"/>
          <w:lang w:val="pt-BR"/>
        </w:rPr>
        <w:tab/>
        <w:t xml:space="preserve">+ Quản lý chặt chẽ hoạt động thu gom, xử lý nước thải, chất thải rắn trên địa bàn; Khuyến cáo người dân bỏ rác đúng nơi quy đinh, phân loại rác tại nguồn; </w:t>
      </w:r>
    </w:p>
    <w:p w14:paraId="519B4603" w14:textId="77777777" w:rsidR="009C0B69" w:rsidRPr="008E63BB" w:rsidRDefault="009C0B69" w:rsidP="003D057A">
      <w:pPr>
        <w:tabs>
          <w:tab w:val="num" w:pos="709"/>
        </w:tabs>
        <w:spacing w:before="60"/>
        <w:rPr>
          <w:szCs w:val="26"/>
          <w:lang w:val="pt-BR"/>
        </w:rPr>
      </w:pPr>
      <w:r w:rsidRPr="008E63BB">
        <w:rPr>
          <w:szCs w:val="26"/>
          <w:lang w:val="pt-BR"/>
        </w:rPr>
        <w:tab/>
        <w:t xml:space="preserve">+ Quản lý, giám sát chặt chẽ hoạt động phát triển, bảo vệ môi trường sân golf, công nghiệp, dịch vụ; </w:t>
      </w:r>
    </w:p>
    <w:p w14:paraId="519B4604" w14:textId="77777777" w:rsidR="009C0B69" w:rsidRPr="008E63BB" w:rsidRDefault="009C0B69" w:rsidP="003D057A">
      <w:pPr>
        <w:tabs>
          <w:tab w:val="num" w:pos="709"/>
        </w:tabs>
        <w:spacing w:before="60"/>
        <w:rPr>
          <w:szCs w:val="26"/>
          <w:lang w:val="pt-BR"/>
        </w:rPr>
      </w:pPr>
      <w:r w:rsidRPr="008E63BB">
        <w:rPr>
          <w:szCs w:val="26"/>
          <w:lang w:val="pt-BR"/>
        </w:rPr>
        <w:tab/>
        <w:t xml:space="preserve">+ Có lộ trình đóng cửa, ngừng hoạt động và cải tạo cá nghĩa trang nằm trong khu vực nội thị; Xây dựng nghĩa trang tập trung cho đô thị trên tiêu chí phù hợp với điều kiện địa hình, văn hóa, tín ngưỡng địa phương, đảm bảo mỹ quan và bảo vệ môi trường; </w:t>
      </w:r>
    </w:p>
    <w:p w14:paraId="519B4605" w14:textId="77777777" w:rsidR="009C0B69" w:rsidRPr="008E63BB" w:rsidRDefault="009C0B69" w:rsidP="003D057A">
      <w:pPr>
        <w:tabs>
          <w:tab w:val="num" w:pos="709"/>
        </w:tabs>
        <w:spacing w:before="60"/>
        <w:rPr>
          <w:i/>
          <w:szCs w:val="26"/>
          <w:lang w:val="pt-BR"/>
        </w:rPr>
      </w:pPr>
      <w:r w:rsidRPr="008E63BB">
        <w:rPr>
          <w:i/>
          <w:szCs w:val="26"/>
          <w:lang w:val="pt-BR"/>
        </w:rPr>
        <w:t xml:space="preserve">c/ Bảo vệ môi trường nước: </w:t>
      </w:r>
    </w:p>
    <w:p w14:paraId="519B4606" w14:textId="77777777" w:rsidR="009C0B69" w:rsidRPr="008E63BB" w:rsidRDefault="009C0B69" w:rsidP="003D057A">
      <w:pPr>
        <w:tabs>
          <w:tab w:val="num" w:pos="709"/>
        </w:tabs>
        <w:spacing w:before="60"/>
        <w:ind w:firstLine="720"/>
        <w:rPr>
          <w:szCs w:val="26"/>
          <w:lang w:val="pt-BR"/>
        </w:rPr>
      </w:pPr>
      <w:r w:rsidRPr="008E63BB">
        <w:rPr>
          <w:szCs w:val="26"/>
          <w:lang w:val="pt-BR"/>
        </w:rPr>
        <w:t xml:space="preserve">+ Quản lý chặt chẽ hoạt động thu gom, xử lý nước thải, chất thải trên địa bàn; Đặc biệt chú ý công tác xử lý ô nhiễm, bảo vệ môi trường tại các cơ sở y tế, công nghiệp; </w:t>
      </w:r>
      <w:r w:rsidRPr="008E63BB">
        <w:rPr>
          <w:szCs w:val="26"/>
          <w:lang w:val="pt-BR"/>
        </w:rPr>
        <w:lastRenderedPageBreak/>
        <w:t xml:space="preserve">Nước thải trước khi xả vào nguồn tiếp nhận, phải đảm bảo đạt Quy chuẩn kỹ thuật quốc gia về môi trường; </w:t>
      </w:r>
    </w:p>
    <w:p w14:paraId="519B4607" w14:textId="77777777" w:rsidR="009C0B69" w:rsidRPr="008E63BB" w:rsidRDefault="009C0B69" w:rsidP="003D057A">
      <w:pPr>
        <w:tabs>
          <w:tab w:val="left" w:pos="426"/>
          <w:tab w:val="num" w:pos="709"/>
        </w:tabs>
        <w:spacing w:before="60"/>
        <w:ind w:firstLine="720"/>
        <w:rPr>
          <w:szCs w:val="26"/>
          <w:lang w:val="vi-VN"/>
        </w:rPr>
      </w:pPr>
      <w:r w:rsidRPr="008E63BB">
        <w:rPr>
          <w:szCs w:val="26"/>
          <w:lang w:val="pt-BR"/>
        </w:rPr>
        <w:t xml:space="preserve">+ </w:t>
      </w:r>
      <w:r w:rsidRPr="008E63BB">
        <w:rPr>
          <w:szCs w:val="26"/>
          <w:lang w:val="vi-VN"/>
        </w:rPr>
        <w:t>Thu gom hiệu quả, tăng cường công tác phân loại rác tại nguồn, vận chuyển chất thải rắn về khu xử lý chất thải của khu vực theo như quy hoạch đã đề xuất. Đặc biệt đối với chất thải nguy hại việc lưu chứa, vận chuyển, xử lý phải tuân thủ nghiêm ngặt theo các quy định kỹ thuật về van toàn và vệ sinh môi trường;</w:t>
      </w:r>
    </w:p>
    <w:p w14:paraId="519B4608" w14:textId="77777777" w:rsidR="009C0B69" w:rsidRPr="008E63BB" w:rsidRDefault="009C0B69" w:rsidP="003D057A">
      <w:pPr>
        <w:tabs>
          <w:tab w:val="num" w:pos="709"/>
        </w:tabs>
        <w:spacing w:before="60"/>
        <w:ind w:firstLine="720"/>
        <w:rPr>
          <w:szCs w:val="26"/>
          <w:lang w:val="vi-VN"/>
        </w:rPr>
      </w:pPr>
      <w:r w:rsidRPr="008E63BB">
        <w:rPr>
          <w:szCs w:val="26"/>
          <w:lang w:val="vi-VN"/>
        </w:rPr>
        <w:t xml:space="preserve">+ Khuyến cáo, hướng dẫn người dân sử dụng hóa chất hợp lý, đúng quy cách, liều lượng; Thực hiện thu gom chất thải rắn nguy hại trong nông nghiệp (bao bì hóa chất bảo vệ thực vật) </w:t>
      </w:r>
    </w:p>
    <w:p w14:paraId="519B4609" w14:textId="77777777" w:rsidR="009C0B69" w:rsidRPr="008E63BB" w:rsidRDefault="009C0B69" w:rsidP="003D057A">
      <w:pPr>
        <w:spacing w:before="60"/>
        <w:ind w:firstLine="567"/>
        <w:rPr>
          <w:spacing w:val="-2"/>
          <w:lang w:val="vi-VN"/>
        </w:rPr>
      </w:pPr>
      <w:r w:rsidRPr="008E63BB">
        <w:rPr>
          <w:spacing w:val="-2"/>
          <w:szCs w:val="26"/>
          <w:lang w:val="vi-VN"/>
        </w:rPr>
        <w:t xml:space="preserve">+ Có kế hoạch khai thác, sử dụng hiệu quả tài nguyên nước; Khuyến cáo người dân sử dụng nước cấp, quản lý chặt chẽ việc khai thác nước mặt, nước ngầm trên địa bàn; Các giếng khoan, giếng đào sau khi không xử dụng cần được lấp lại theo đúng kỹ thuật để đảm bảo không bị sụt lún và gây ô nhiễm môi trường nước ngầm; </w:t>
      </w:r>
      <w:r w:rsidRPr="008E63BB">
        <w:rPr>
          <w:spacing w:val="-2"/>
          <w:lang w:val="vi-VN"/>
        </w:rPr>
        <w:t>Đảm bảo khoảng cách vệ sinh an toàn đối với các công trình cấp nước trong khu vực; Khoanh vùng bảo vệ nguồn nước, tuân thủ nghiêm ngặt các quy định vệ sinh môi trường trong khu vực bảo vệ;</w:t>
      </w:r>
    </w:p>
    <w:p w14:paraId="519B460A" w14:textId="77777777" w:rsidR="009C0B69" w:rsidRPr="008E63BB" w:rsidRDefault="009C0B69" w:rsidP="003D057A">
      <w:pPr>
        <w:spacing w:before="60"/>
        <w:ind w:firstLine="567"/>
        <w:rPr>
          <w:szCs w:val="26"/>
          <w:lang w:val="vi-VN"/>
        </w:rPr>
      </w:pPr>
      <w:r w:rsidRPr="008E63BB">
        <w:rPr>
          <w:szCs w:val="26"/>
          <w:lang w:val="vi-VN"/>
        </w:rPr>
        <w:t xml:space="preserve">+ Bảo vệ đê điều, hành lang thoát lũ, các công trình thủy lợi trên địa bàn;  Xây dựng hệ thống thoát nước mưa hiệu quả, phòng chống ngập úng cho đô thị; Khuyến cáo áp dụng giải pháp thoát nước bền vững (SUDS) kết hợp với mô hình Nông nghiệp/vườn đô thị - Hạ tầng xanh (các gài pháp mái xanh, thoát nước mưa tại chỗ, vật liệu lát tăng cường thẩm thấu, </w:t>
      </w:r>
      <w:r w:rsidRPr="008E63BB">
        <w:rPr>
          <w:rFonts w:eastAsia="Times New Roman"/>
          <w:szCs w:val="26"/>
          <w:lang w:val="vi-VN"/>
        </w:rPr>
        <w:t>Mương/dải phân cách/hào thu và lọc nước, xây dựng các ao, hồ, quảng trường, bãi đỗ xe... chứa nước tạm thời, Đất ngập nước nhân tạo... kết hợp các mảng xanh, vùng sinh thái nông nghiệp...)</w:t>
      </w:r>
    </w:p>
    <w:p w14:paraId="519B460B" w14:textId="77777777" w:rsidR="009C0B69" w:rsidRPr="008E63BB" w:rsidRDefault="009C0B69" w:rsidP="009C0B69">
      <w:pPr>
        <w:pStyle w:val="HTMLPreformatted"/>
        <w:shd w:val="clear" w:color="auto" w:fill="FFFFFF"/>
        <w:jc w:val="center"/>
        <w:rPr>
          <w:rFonts w:ascii="Times New Roman" w:hAnsi="Times New Roman"/>
          <w:sz w:val="26"/>
          <w:szCs w:val="26"/>
          <w:lang w:eastAsia="fi-FI"/>
        </w:rPr>
      </w:pPr>
      <w:r w:rsidRPr="008E63BB">
        <w:rPr>
          <w:rFonts w:ascii="Times New Roman" w:hAnsi="Times New Roman"/>
          <w:noProof/>
          <w:sz w:val="26"/>
          <w:szCs w:val="26"/>
          <w:lang w:eastAsia="zh-CN"/>
        </w:rPr>
        <w:drawing>
          <wp:inline distT="0" distB="0" distL="0" distR="0" wp14:anchorId="519B52C3" wp14:editId="519B52C4">
            <wp:extent cx="5867400" cy="2461906"/>
            <wp:effectExtent l="19050" t="19050" r="19050" b="14605"/>
            <wp:docPr id="15" name="Picture 15" descr="C:\Users\Administrator\Desktop\SU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SUDS.jpg"/>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5908242" cy="2479043"/>
                    </a:xfrm>
                    <a:prstGeom prst="rect">
                      <a:avLst/>
                    </a:prstGeom>
                    <a:noFill/>
                    <a:ln w="9525" cmpd="sng">
                      <a:solidFill>
                        <a:srgbClr val="0D0D0D"/>
                      </a:solidFill>
                      <a:miter lim="800000"/>
                      <a:headEnd/>
                      <a:tailEnd/>
                    </a:ln>
                    <a:effectLst/>
                  </pic:spPr>
                </pic:pic>
              </a:graphicData>
            </a:graphic>
          </wp:inline>
        </w:drawing>
      </w:r>
    </w:p>
    <w:p w14:paraId="519B460C" w14:textId="77777777" w:rsidR="009C0B69" w:rsidRPr="008E63BB" w:rsidRDefault="009C0B69" w:rsidP="00BD0AA5">
      <w:pPr>
        <w:pStyle w:val="HTMLPreformatted"/>
        <w:shd w:val="clear" w:color="auto" w:fill="FFFFFF"/>
        <w:spacing w:before="120" w:after="120"/>
        <w:jc w:val="center"/>
        <w:rPr>
          <w:rFonts w:ascii="Times New Roman" w:hAnsi="Times New Roman"/>
          <w:i/>
          <w:sz w:val="26"/>
          <w:szCs w:val="26"/>
          <w:lang w:eastAsia="fi-FI"/>
        </w:rPr>
      </w:pPr>
      <w:r w:rsidRPr="008E63BB">
        <w:rPr>
          <w:rFonts w:ascii="Times New Roman" w:hAnsi="Times New Roman"/>
          <w:i/>
          <w:sz w:val="26"/>
          <w:szCs w:val="26"/>
          <w:lang w:eastAsia="fi-FI"/>
        </w:rPr>
        <w:t>Cách tiếp cận trọng thiết lập và quản lý hệ thống thoát nước bền vững</w:t>
      </w:r>
    </w:p>
    <w:tbl>
      <w:tblPr>
        <w:tblW w:w="0" w:type="auto"/>
        <w:tblLook w:val="04A0" w:firstRow="1" w:lastRow="0" w:firstColumn="1" w:lastColumn="0" w:noHBand="0" w:noVBand="1"/>
      </w:tblPr>
      <w:tblGrid>
        <w:gridCol w:w="3187"/>
        <w:gridCol w:w="3163"/>
        <w:gridCol w:w="3152"/>
      </w:tblGrid>
      <w:tr w:rsidR="009C0B69" w:rsidRPr="008E63BB" w14:paraId="519B4610" w14:textId="77777777" w:rsidTr="006E16AC">
        <w:tc>
          <w:tcPr>
            <w:tcW w:w="3167" w:type="dxa"/>
            <w:shd w:val="clear" w:color="auto" w:fill="auto"/>
          </w:tcPr>
          <w:p w14:paraId="519B460D" w14:textId="77777777" w:rsidR="009C0B69" w:rsidRPr="008E63BB" w:rsidRDefault="009C0B69" w:rsidP="006E16AC">
            <w:pPr>
              <w:tabs>
                <w:tab w:val="right" w:leader="dot" w:pos="9308"/>
              </w:tabs>
              <w:rPr>
                <w:lang w:eastAsia="fi-FI"/>
              </w:rPr>
            </w:pPr>
            <w:r w:rsidRPr="008E63BB">
              <w:rPr>
                <w:noProof/>
                <w:lang w:eastAsia="zh-CN"/>
              </w:rPr>
              <w:drawing>
                <wp:inline distT="0" distB="0" distL="0" distR="0" wp14:anchorId="519B52C5" wp14:editId="519B52C6">
                  <wp:extent cx="1965960" cy="1295400"/>
                  <wp:effectExtent l="0" t="0" r="0" b="0"/>
                  <wp:docPr id="41" name="Picture 41" descr="C:\Users\aws\AppData\Local\Microsoft\Windows\Temporary Internet Files\Content.Outlook\XKK7GKD0\IMG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ws\AppData\Local\Microsoft\Windows\Temporary Internet Files\Content.Outlook\XKK7GKD0\IMG_0850.JPG"/>
                          <pic:cNvPicPr>
                            <a:picLocks noChangeAspect="1" noChangeArrowheads="1"/>
                          </pic:cNvPicPr>
                        </pic:nvPicPr>
                        <pic:blipFill>
                          <a:blip r:embed="rId164">
                            <a:extLst>
                              <a:ext uri="{28A0092B-C50C-407E-A947-70E740481C1C}">
                                <a14:useLocalDpi xmlns:a14="http://schemas.microsoft.com/office/drawing/2010/main"/>
                              </a:ext>
                            </a:extLst>
                          </a:blip>
                          <a:srcRect/>
                          <a:stretch>
                            <a:fillRect/>
                          </a:stretch>
                        </pic:blipFill>
                        <pic:spPr bwMode="auto">
                          <a:xfrm>
                            <a:off x="0" y="0"/>
                            <a:ext cx="1965960" cy="1295400"/>
                          </a:xfrm>
                          <a:prstGeom prst="rect">
                            <a:avLst/>
                          </a:prstGeom>
                          <a:noFill/>
                          <a:ln>
                            <a:noFill/>
                          </a:ln>
                        </pic:spPr>
                      </pic:pic>
                    </a:graphicData>
                  </a:graphic>
                </wp:inline>
              </w:drawing>
            </w:r>
          </w:p>
        </w:tc>
        <w:tc>
          <w:tcPr>
            <w:tcW w:w="3153" w:type="dxa"/>
            <w:shd w:val="clear" w:color="auto" w:fill="auto"/>
          </w:tcPr>
          <w:p w14:paraId="519B460E" w14:textId="77777777" w:rsidR="009C0B69" w:rsidRPr="008E63BB" w:rsidRDefault="009C0B69" w:rsidP="006E16AC">
            <w:pPr>
              <w:tabs>
                <w:tab w:val="right" w:leader="dot" w:pos="9308"/>
              </w:tabs>
              <w:jc w:val="center"/>
              <w:rPr>
                <w:lang w:eastAsia="fi-FI"/>
              </w:rPr>
            </w:pPr>
            <w:r w:rsidRPr="008E63BB">
              <w:rPr>
                <w:noProof/>
                <w:lang w:eastAsia="zh-CN"/>
              </w:rPr>
              <w:drawing>
                <wp:inline distT="0" distB="0" distL="0" distR="0" wp14:anchorId="519B52C7" wp14:editId="519B52C8">
                  <wp:extent cx="1943100" cy="1295400"/>
                  <wp:effectExtent l="0" t="0" r="0" b="0"/>
                  <wp:docPr id="7184" name="Picture 7184" descr="C:\Users\aws\AppData\Local\Microsoft\Windows\Temporary Internet Files\Content.Outlook\XKK7GKD0\IMG_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ws\AppData\Local\Microsoft\Windows\Temporary Internet Files\Content.Outlook\XKK7GKD0\IMG_0843.JPG"/>
                          <pic:cNvPicPr>
                            <a:picLocks noChangeAspect="1" noChangeArrowheads="1"/>
                          </pic:cNvPicPr>
                        </pic:nvPicPr>
                        <pic:blipFill>
                          <a:blip r:embed="rId165">
                            <a:extLst>
                              <a:ext uri="{28A0092B-C50C-407E-A947-70E740481C1C}">
                                <a14:useLocalDpi xmlns:a14="http://schemas.microsoft.com/office/drawing/2010/main"/>
                              </a:ext>
                            </a:extLst>
                          </a:blip>
                          <a:srcRect/>
                          <a:stretch>
                            <a:fillRect/>
                          </a:stretch>
                        </pic:blipFill>
                        <pic:spPr bwMode="auto">
                          <a:xfrm>
                            <a:off x="0" y="0"/>
                            <a:ext cx="1943100" cy="1295400"/>
                          </a:xfrm>
                          <a:prstGeom prst="rect">
                            <a:avLst/>
                          </a:prstGeom>
                          <a:noFill/>
                          <a:ln>
                            <a:noFill/>
                          </a:ln>
                        </pic:spPr>
                      </pic:pic>
                    </a:graphicData>
                  </a:graphic>
                </wp:inline>
              </w:drawing>
            </w:r>
          </w:p>
        </w:tc>
        <w:tc>
          <w:tcPr>
            <w:tcW w:w="3139" w:type="dxa"/>
            <w:shd w:val="clear" w:color="auto" w:fill="auto"/>
          </w:tcPr>
          <w:p w14:paraId="519B460F" w14:textId="77777777" w:rsidR="009C0B69" w:rsidRPr="008E63BB" w:rsidRDefault="009C0B69" w:rsidP="006E16AC">
            <w:pPr>
              <w:tabs>
                <w:tab w:val="right" w:leader="dot" w:pos="9308"/>
              </w:tabs>
              <w:rPr>
                <w:lang w:eastAsia="fi-FI"/>
              </w:rPr>
            </w:pPr>
            <w:r w:rsidRPr="008E63BB">
              <w:rPr>
                <w:noProof/>
                <w:lang w:eastAsia="zh-CN"/>
              </w:rPr>
              <w:drawing>
                <wp:inline distT="0" distB="0" distL="0" distR="0" wp14:anchorId="519B52C9" wp14:editId="519B52CA">
                  <wp:extent cx="1943100" cy="1295400"/>
                  <wp:effectExtent l="0" t="0" r="0" b="0"/>
                  <wp:docPr id="48" name="Picture 48" descr="C:\Users\aws\AppData\Local\Microsoft\Windows\Temporary Internet Files\Content.Outlook\XKK7GKD0\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ws\AppData\Local\Microsoft\Windows\Temporary Internet Files\Content.Outlook\XKK7GKD0\IMG_0837.JPG"/>
                          <pic:cNvPicPr>
                            <a:picLocks noChangeAspect="1" noChangeArrowheads="1"/>
                          </pic:cNvPicPr>
                        </pic:nvPicPr>
                        <pic:blipFill>
                          <a:blip r:embed="rId166">
                            <a:extLst>
                              <a:ext uri="{28A0092B-C50C-407E-A947-70E740481C1C}">
                                <a14:useLocalDpi xmlns:a14="http://schemas.microsoft.com/office/drawing/2010/main"/>
                              </a:ext>
                            </a:extLst>
                          </a:blip>
                          <a:srcRect/>
                          <a:stretch>
                            <a:fillRect/>
                          </a:stretch>
                        </pic:blipFill>
                        <pic:spPr bwMode="auto">
                          <a:xfrm>
                            <a:off x="0" y="0"/>
                            <a:ext cx="1943100" cy="1295400"/>
                          </a:xfrm>
                          <a:prstGeom prst="rect">
                            <a:avLst/>
                          </a:prstGeom>
                          <a:noFill/>
                          <a:ln>
                            <a:noFill/>
                          </a:ln>
                        </pic:spPr>
                      </pic:pic>
                    </a:graphicData>
                  </a:graphic>
                </wp:inline>
              </w:drawing>
            </w:r>
          </w:p>
        </w:tc>
      </w:tr>
      <w:tr w:rsidR="009C0B69" w:rsidRPr="008E63BB" w14:paraId="519B4614" w14:textId="77777777" w:rsidTr="006E16AC">
        <w:tc>
          <w:tcPr>
            <w:tcW w:w="3167" w:type="dxa"/>
            <w:shd w:val="clear" w:color="auto" w:fill="auto"/>
          </w:tcPr>
          <w:p w14:paraId="519B4611" w14:textId="77777777" w:rsidR="009C0B69" w:rsidRPr="008E63BB" w:rsidRDefault="009C0B69" w:rsidP="006E16AC">
            <w:pPr>
              <w:tabs>
                <w:tab w:val="right" w:leader="dot" w:pos="9308"/>
              </w:tabs>
              <w:jc w:val="center"/>
              <w:rPr>
                <w:sz w:val="2"/>
                <w:szCs w:val="2"/>
                <w:lang w:eastAsia="fi-FI"/>
              </w:rPr>
            </w:pPr>
            <w:r w:rsidRPr="008E63BB">
              <w:rPr>
                <w:noProof/>
                <w:sz w:val="2"/>
                <w:szCs w:val="2"/>
                <w:lang w:eastAsia="zh-CN"/>
              </w:rPr>
              <w:lastRenderedPageBreak/>
              <w:drawing>
                <wp:inline distT="0" distB="0" distL="0" distR="0" wp14:anchorId="519B52CB" wp14:editId="519B52CC">
                  <wp:extent cx="1935480" cy="1287780"/>
                  <wp:effectExtent l="0" t="0" r="762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935480" cy="1287780"/>
                          </a:xfrm>
                          <a:prstGeom prst="rect">
                            <a:avLst/>
                          </a:prstGeom>
                          <a:noFill/>
                          <a:ln>
                            <a:noFill/>
                          </a:ln>
                        </pic:spPr>
                      </pic:pic>
                    </a:graphicData>
                  </a:graphic>
                </wp:inline>
              </w:drawing>
            </w:r>
          </w:p>
        </w:tc>
        <w:tc>
          <w:tcPr>
            <w:tcW w:w="3153" w:type="dxa"/>
            <w:shd w:val="clear" w:color="auto" w:fill="auto"/>
          </w:tcPr>
          <w:p w14:paraId="519B4612" w14:textId="77777777" w:rsidR="009C0B69" w:rsidRPr="008E63BB" w:rsidRDefault="009C0B69" w:rsidP="006E16AC">
            <w:pPr>
              <w:tabs>
                <w:tab w:val="right" w:leader="dot" w:pos="9308"/>
              </w:tabs>
              <w:rPr>
                <w:sz w:val="2"/>
                <w:szCs w:val="2"/>
                <w:lang w:eastAsia="fi-FI"/>
              </w:rPr>
            </w:pPr>
            <w:r w:rsidRPr="008E63BB">
              <w:rPr>
                <w:noProof/>
                <w:sz w:val="2"/>
                <w:szCs w:val="2"/>
                <w:lang w:eastAsia="zh-CN"/>
              </w:rPr>
              <w:drawing>
                <wp:inline distT="0" distB="0" distL="0" distR="0" wp14:anchorId="519B52CD" wp14:editId="519B52CE">
                  <wp:extent cx="1950720" cy="1287780"/>
                  <wp:effectExtent l="0" t="0" r="0" b="7620"/>
                  <wp:docPr id="51" name="Picture 51" descr="Tagfarmen ØsterGRO i Klimakvarter">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gfarmen ØsterGRO i Klimakvarter"/>
                          <pic:cNvPicPr>
                            <a:picLocks noChangeAspect="1" noChangeArrowheads="1"/>
                          </pic:cNvPicPr>
                        </pic:nvPicPr>
                        <pic:blipFill>
                          <a:blip r:embed="rId169">
                            <a:extLst>
                              <a:ext uri="{28A0092B-C50C-407E-A947-70E740481C1C}">
                                <a14:useLocalDpi xmlns:a14="http://schemas.microsoft.com/office/drawing/2010/main"/>
                              </a:ext>
                            </a:extLst>
                          </a:blip>
                          <a:srcRect/>
                          <a:stretch>
                            <a:fillRect/>
                          </a:stretch>
                        </pic:blipFill>
                        <pic:spPr bwMode="auto">
                          <a:xfrm>
                            <a:off x="0" y="0"/>
                            <a:ext cx="1950720" cy="1287780"/>
                          </a:xfrm>
                          <a:prstGeom prst="rect">
                            <a:avLst/>
                          </a:prstGeom>
                          <a:noFill/>
                          <a:ln>
                            <a:noFill/>
                          </a:ln>
                        </pic:spPr>
                      </pic:pic>
                    </a:graphicData>
                  </a:graphic>
                </wp:inline>
              </w:drawing>
            </w:r>
          </w:p>
        </w:tc>
        <w:tc>
          <w:tcPr>
            <w:tcW w:w="3139" w:type="dxa"/>
            <w:shd w:val="clear" w:color="auto" w:fill="auto"/>
          </w:tcPr>
          <w:p w14:paraId="519B4613" w14:textId="77777777" w:rsidR="009C0B69" w:rsidRPr="008E63BB" w:rsidRDefault="009C0B69" w:rsidP="006E16AC">
            <w:pPr>
              <w:tabs>
                <w:tab w:val="right" w:leader="dot" w:pos="9308"/>
              </w:tabs>
              <w:rPr>
                <w:sz w:val="2"/>
                <w:szCs w:val="2"/>
                <w:lang w:eastAsia="fi-FI"/>
              </w:rPr>
            </w:pPr>
            <w:r w:rsidRPr="008E63BB">
              <w:rPr>
                <w:noProof/>
                <w:sz w:val="2"/>
                <w:szCs w:val="2"/>
                <w:lang w:eastAsia="zh-CN"/>
              </w:rPr>
              <w:drawing>
                <wp:inline distT="0" distB="0" distL="0" distR="0" wp14:anchorId="519B52CF" wp14:editId="519B52D0">
                  <wp:extent cx="1943100" cy="1287780"/>
                  <wp:effectExtent l="0" t="0" r="0" b="7620"/>
                  <wp:docPr id="56" name="Picture 56" descr="http://www.xl-byg.dk/files/goer-det-selv/Haven/Have/Regnvandstoende/Saml-vandet-i-en-regnvandstoende_Stort.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xl-byg.dk/files/goer-det-selv/Haven/Have/Regnvandstoende/Saml-vandet-i-en-regnvandstoende_Stort.jpg"/>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1943100" cy="1287780"/>
                          </a:xfrm>
                          <a:prstGeom prst="rect">
                            <a:avLst/>
                          </a:prstGeom>
                          <a:noFill/>
                          <a:ln>
                            <a:noFill/>
                          </a:ln>
                        </pic:spPr>
                      </pic:pic>
                    </a:graphicData>
                  </a:graphic>
                </wp:inline>
              </w:drawing>
            </w:r>
          </w:p>
        </w:tc>
      </w:tr>
    </w:tbl>
    <w:p w14:paraId="519B4615" w14:textId="77777777" w:rsidR="009C0B69" w:rsidRPr="008E63BB" w:rsidRDefault="009C0B69" w:rsidP="009C0B69">
      <w:pPr>
        <w:spacing w:before="60"/>
        <w:jc w:val="center"/>
        <w:rPr>
          <w:i/>
        </w:rPr>
      </w:pPr>
      <w:r w:rsidRPr="008E63BB">
        <w:rPr>
          <w:i/>
          <w:lang w:eastAsia="fi-FI"/>
        </w:rPr>
        <w:t>Ví dụ về hệ thống SUDS kết hợp với mô hình nông nghiệp đô thị tại Copenhagen</w:t>
      </w:r>
    </w:p>
    <w:p w14:paraId="519B4616" w14:textId="77777777" w:rsidR="009C0B69" w:rsidRPr="008E63BB" w:rsidRDefault="009C0B69" w:rsidP="005F4632">
      <w:pPr>
        <w:tabs>
          <w:tab w:val="num" w:pos="709"/>
        </w:tabs>
        <w:spacing w:before="40"/>
        <w:rPr>
          <w:i/>
          <w:szCs w:val="26"/>
        </w:rPr>
      </w:pPr>
      <w:r w:rsidRPr="008E63BB">
        <w:rPr>
          <w:i/>
          <w:szCs w:val="26"/>
        </w:rPr>
        <w:t>d/ Bảo vệ môi trường không khí:</w:t>
      </w:r>
    </w:p>
    <w:p w14:paraId="519B4617" w14:textId="77777777" w:rsidR="009C0B69" w:rsidRPr="008E63BB" w:rsidRDefault="009C0B69" w:rsidP="005F4632">
      <w:pPr>
        <w:tabs>
          <w:tab w:val="num" w:pos="709"/>
        </w:tabs>
        <w:spacing w:before="40"/>
        <w:ind w:firstLine="567"/>
        <w:rPr>
          <w:szCs w:val="26"/>
          <w:lang w:val="vi-VN"/>
        </w:rPr>
      </w:pPr>
      <w:r w:rsidRPr="008E63BB">
        <w:rPr>
          <w:szCs w:val="26"/>
          <w:lang w:val="vi-VN"/>
        </w:rPr>
        <w:t>+ Chính sách ưu tiên đầu tư và ưu đãi cho các doanh nghiệp sản xuất công nghiệp có áp dụng công nghệ hiện đại, sử dụng năng lượng sạch, có biện pháp xử lý ô nhiễm môi trường hiệu quả; Đồng thời xử phạt nghiêm khắc đối với những cơ sở sản xuất gây ô nhiễm trong khu vực;</w:t>
      </w:r>
    </w:p>
    <w:p w14:paraId="519B4618" w14:textId="77777777" w:rsidR="009C0B69" w:rsidRPr="008E63BB" w:rsidRDefault="009C0B69" w:rsidP="005F4632">
      <w:pPr>
        <w:tabs>
          <w:tab w:val="num" w:pos="709"/>
        </w:tabs>
        <w:spacing w:before="40"/>
        <w:ind w:firstLine="567"/>
        <w:rPr>
          <w:szCs w:val="26"/>
          <w:lang w:val="vi-VN"/>
        </w:rPr>
      </w:pPr>
      <w:r w:rsidRPr="008E63BB">
        <w:rPr>
          <w:szCs w:val="26"/>
          <w:lang w:val="vi-VN"/>
        </w:rPr>
        <w:t>+ Đảm bảo khoảng cách ly an toàn  giưa các khu vực phát triển công nghiệp, trung chuyển hàng hóa, đầu mối hạ tầng kỹ thuật, các công trình xử lý nước thải, chất thải rắn, nghĩa trang … đến khu dân cư, công trình công cộng; Tăng diện tích cây xanh cách ly;</w:t>
      </w:r>
    </w:p>
    <w:p w14:paraId="519B4619" w14:textId="77777777" w:rsidR="009C0B69" w:rsidRPr="008E63BB" w:rsidRDefault="009C0B69" w:rsidP="005F4632">
      <w:pPr>
        <w:tabs>
          <w:tab w:val="num" w:pos="709"/>
        </w:tabs>
        <w:spacing w:before="40"/>
        <w:ind w:firstLine="567"/>
        <w:rPr>
          <w:szCs w:val="26"/>
          <w:lang w:val="vi-VN"/>
        </w:rPr>
      </w:pPr>
      <w:r w:rsidRPr="008E63BB">
        <w:rPr>
          <w:szCs w:val="26"/>
          <w:lang w:val="vi-VN"/>
        </w:rPr>
        <w:t>+ Bố trí cây xanh giao thông hợp lý, tăng cường dải cây xanh cách ly trên các tuyến trục giao thông chính, đường sắt (Đặc biệt với khu vực dân cư, bệnh viện, trường học…); Phát triển giao thông công cộng;</w:t>
      </w:r>
    </w:p>
    <w:p w14:paraId="519B461A" w14:textId="77777777" w:rsidR="009C0B69" w:rsidRPr="008E63BB" w:rsidRDefault="009C0B69" w:rsidP="005F4632">
      <w:pPr>
        <w:tabs>
          <w:tab w:val="num" w:pos="709"/>
        </w:tabs>
        <w:spacing w:before="40"/>
        <w:ind w:firstLine="567"/>
        <w:rPr>
          <w:szCs w:val="26"/>
          <w:lang w:val="vi-VN"/>
        </w:rPr>
      </w:pPr>
      <w:r w:rsidRPr="008E63BB">
        <w:rPr>
          <w:szCs w:val="26"/>
          <w:lang w:val="vi-VN"/>
        </w:rPr>
        <w:t xml:space="preserve">+ Phát triển năng lượng sạch, năng lượng tái chế; Hạn chế sử dụng nhiên, nguyên liệu hóa thạch; Tăng mặt phủ tự nhiên, hạn chế tối đa bê tông hóa; Phát triển giao thông công cộng; </w:t>
      </w:r>
    </w:p>
    <w:p w14:paraId="519B461B" w14:textId="77777777" w:rsidR="009C0B69" w:rsidRPr="008E63BB" w:rsidRDefault="009C0B69" w:rsidP="009C0B69">
      <w:pPr>
        <w:tabs>
          <w:tab w:val="num" w:pos="709"/>
        </w:tabs>
        <w:spacing w:before="60" w:after="60"/>
        <w:ind w:firstLine="567"/>
        <w:rPr>
          <w:szCs w:val="26"/>
          <w:lang w:val="vi-VN"/>
        </w:rPr>
      </w:pPr>
      <w:r w:rsidRPr="008E63BB">
        <w:rPr>
          <w:szCs w:val="26"/>
          <w:lang w:val="vi-VN"/>
        </w:rPr>
        <w:t>+ Phát triển đô thị thông minh, đô thị xanh, tiết kiệm năng lượng và thân thiện với môi trường;</w:t>
      </w:r>
    </w:p>
    <w:p w14:paraId="519B461C" w14:textId="77777777" w:rsidR="009C0B69" w:rsidRPr="008E63BB" w:rsidRDefault="009C0B69" w:rsidP="009C0B69">
      <w:pPr>
        <w:tabs>
          <w:tab w:val="num" w:pos="709"/>
        </w:tabs>
        <w:spacing w:before="60" w:after="60"/>
        <w:rPr>
          <w:i/>
          <w:szCs w:val="26"/>
          <w:lang w:val="vi-VN"/>
        </w:rPr>
      </w:pPr>
      <w:r w:rsidRPr="008E63BB">
        <w:rPr>
          <w:i/>
          <w:szCs w:val="26"/>
          <w:lang w:val="vi-VN"/>
        </w:rPr>
        <w:t>e/ Ứng phó với biến đổi khí hậu, thiên tai và sự cố môi trường:</w:t>
      </w:r>
    </w:p>
    <w:p w14:paraId="519B461D" w14:textId="77777777" w:rsidR="009C0B69" w:rsidRPr="008E63BB" w:rsidRDefault="009C0B69" w:rsidP="009C0B69">
      <w:pPr>
        <w:tabs>
          <w:tab w:val="num" w:pos="709"/>
        </w:tabs>
        <w:spacing w:before="60" w:after="60"/>
        <w:ind w:firstLine="567"/>
        <w:rPr>
          <w:szCs w:val="26"/>
          <w:lang w:val="vi-VN"/>
        </w:rPr>
      </w:pPr>
      <w:r w:rsidRPr="008E63BB">
        <w:rPr>
          <w:szCs w:val="26"/>
          <w:lang w:val="vi-VN"/>
        </w:rPr>
        <w:t xml:space="preserve">+ Thực hiện tốt công tác san nền, thoát nước; Bảo vệ hệ thống đê điều, hành lang thoát lũ, các công trình thủy lợi, ao hồ, hệ thống thoát nước trên địa bàn; </w:t>
      </w:r>
    </w:p>
    <w:p w14:paraId="519B461E" w14:textId="77777777" w:rsidR="009C0B69" w:rsidRPr="008E63BB" w:rsidRDefault="009C0B69" w:rsidP="009C0B69">
      <w:pPr>
        <w:tabs>
          <w:tab w:val="num" w:pos="709"/>
        </w:tabs>
        <w:spacing w:before="60" w:after="60"/>
        <w:ind w:firstLine="567"/>
        <w:rPr>
          <w:szCs w:val="26"/>
          <w:lang w:val="vi-VN"/>
        </w:rPr>
      </w:pPr>
      <w:r w:rsidRPr="008E63BB">
        <w:rPr>
          <w:szCs w:val="26"/>
          <w:lang w:val="vi-VN"/>
        </w:rPr>
        <w:t>+ Bảo vệ rừng ngập mặn tại các khu vực cửa sông, cửa biển trên địa bàn tỉnh (mặc dù không thuộc địa bàn thành phố, song lại có tác động tích cực về môi trường và bảo vệ cho thành phố được an toàn, nên cần được bảo vệ và phá triển);</w:t>
      </w:r>
    </w:p>
    <w:p w14:paraId="519B461F" w14:textId="77777777" w:rsidR="009C0B69" w:rsidRPr="008E63BB" w:rsidRDefault="009C0B69" w:rsidP="009C0B69">
      <w:pPr>
        <w:tabs>
          <w:tab w:val="num" w:pos="709"/>
        </w:tabs>
        <w:spacing w:before="60" w:after="60"/>
        <w:ind w:firstLine="567"/>
        <w:rPr>
          <w:spacing w:val="-6"/>
          <w:szCs w:val="26"/>
          <w:lang w:val="vi-VN"/>
        </w:rPr>
      </w:pPr>
      <w:r w:rsidRPr="008E63BB">
        <w:rPr>
          <w:spacing w:val="-6"/>
          <w:szCs w:val="26"/>
          <w:lang w:val="vi-VN"/>
        </w:rPr>
        <w:t>+ Thường xuyên kiểm tra bảo dưỡng, nâng cấp hệ thống đê điều, các công trình thủy lợi trên địa bàn thành phố nói riêng, các công trình ngăn mặn, ngăn triều, công trình phòng chống thiên tai nói chung trên địa bàn tỉnh nói chung (đặc biệt là các công trình ven biển);</w:t>
      </w:r>
    </w:p>
    <w:p w14:paraId="519B4620" w14:textId="77777777" w:rsidR="009C0B69" w:rsidRPr="008E63BB" w:rsidRDefault="009C0B69" w:rsidP="009C0B69">
      <w:pPr>
        <w:tabs>
          <w:tab w:val="num" w:pos="709"/>
        </w:tabs>
        <w:spacing w:before="60" w:after="60"/>
        <w:ind w:firstLine="567"/>
        <w:rPr>
          <w:spacing w:val="-2"/>
          <w:szCs w:val="26"/>
          <w:lang w:val="vi-VN"/>
        </w:rPr>
      </w:pPr>
      <w:r w:rsidRPr="008E63BB">
        <w:rPr>
          <w:spacing w:val="-2"/>
          <w:szCs w:val="26"/>
          <w:lang w:val="vi-VN"/>
        </w:rPr>
        <w:t>+ Có kế hoạch sử dụng bền vững tài nguyên nước trước tình hình biến đổi khí hậu ngày càng gia tăng trong tương lai; Thực hiện các biện pháp tưới tiết kiệm trong mùa khô;</w:t>
      </w:r>
    </w:p>
    <w:p w14:paraId="519B4621" w14:textId="77777777" w:rsidR="009C0B69" w:rsidRPr="008E63BB" w:rsidRDefault="009C0B69" w:rsidP="009C0B69">
      <w:pPr>
        <w:tabs>
          <w:tab w:val="num" w:pos="709"/>
        </w:tabs>
        <w:spacing w:before="60" w:after="60"/>
        <w:ind w:firstLine="567"/>
        <w:rPr>
          <w:szCs w:val="26"/>
          <w:lang w:val="vi-VN"/>
        </w:rPr>
      </w:pPr>
      <w:r w:rsidRPr="008E63BB">
        <w:rPr>
          <w:szCs w:val="26"/>
          <w:lang w:val="vi-VN"/>
        </w:rPr>
        <w:t xml:space="preserve">+ Có kế hoạch chuyển đổi nông nghiệp phù hợp; Nghiên cứu các giống cây trồng, vật nuôi cho năng suất cao, phòng chống dịch bệnh tốt và thích ứng với điều kiện biến đổi khí hậu trong tương lai; </w:t>
      </w:r>
    </w:p>
    <w:p w14:paraId="519B4622" w14:textId="77777777" w:rsidR="009C0B69" w:rsidRPr="008E63BB" w:rsidRDefault="009C0B69" w:rsidP="009C0B69">
      <w:pPr>
        <w:tabs>
          <w:tab w:val="num" w:pos="709"/>
        </w:tabs>
        <w:spacing w:before="60" w:after="60"/>
        <w:ind w:firstLine="567"/>
        <w:rPr>
          <w:szCs w:val="26"/>
          <w:lang w:val="vi-VN"/>
        </w:rPr>
      </w:pPr>
      <w:r w:rsidRPr="008E63BB">
        <w:rPr>
          <w:szCs w:val="26"/>
          <w:lang w:val="vi-VN"/>
        </w:rPr>
        <w:t>+ Phát triển y tế; quan tâm, phát triển y tế công cộng;</w:t>
      </w:r>
    </w:p>
    <w:p w14:paraId="519B4623" w14:textId="77777777" w:rsidR="009C0B69" w:rsidRPr="008E63BB" w:rsidRDefault="009C0B69" w:rsidP="009C0B69">
      <w:pPr>
        <w:tabs>
          <w:tab w:val="num" w:pos="709"/>
        </w:tabs>
        <w:spacing w:before="60" w:after="60"/>
        <w:ind w:firstLine="567"/>
        <w:rPr>
          <w:spacing w:val="-2"/>
          <w:szCs w:val="26"/>
          <w:lang w:val="vi-VN"/>
        </w:rPr>
      </w:pPr>
      <w:r w:rsidRPr="008E63BB">
        <w:rPr>
          <w:spacing w:val="-2"/>
          <w:szCs w:val="26"/>
          <w:lang w:val="vi-VN"/>
        </w:rPr>
        <w:t>+ Tăng cường công tác dự báo, theo dõi khí tượng thủy văn, địa chất công trình; Đưa ra các kế hoạch hành động, các buổi tập huấn phòng chống thiên tai, ứng cứu khẩn cấp; Giáo dục, nâng cao ý thức cộng đồng trong bảo vệ môi trường và phòng chống thiên tai;</w:t>
      </w:r>
    </w:p>
    <w:p w14:paraId="519B4624" w14:textId="77777777" w:rsidR="009C0B69" w:rsidRPr="008E63BB" w:rsidRDefault="009C0B69" w:rsidP="009C0B69">
      <w:pPr>
        <w:tabs>
          <w:tab w:val="num" w:pos="709"/>
        </w:tabs>
        <w:spacing w:before="60" w:after="60"/>
        <w:ind w:firstLine="567"/>
        <w:rPr>
          <w:szCs w:val="26"/>
          <w:lang w:val="vi-VN"/>
        </w:rPr>
      </w:pPr>
      <w:r w:rsidRPr="008E63BB">
        <w:rPr>
          <w:szCs w:val="26"/>
          <w:lang w:val="vi-VN"/>
        </w:rPr>
        <w:lastRenderedPageBreak/>
        <w:t>+ Tăng cường công tác giám sát và quản lý môi trường; Thường xuyên kiểm tra, bảo dưỡng, nâng cấp hệ thống hạ tầng, các công trình xử lý nước thải, chất thải rắn; Khắc phục kịp thời các sự cố có thể xẩy ra;</w:t>
      </w:r>
    </w:p>
    <w:p w14:paraId="519B4625" w14:textId="77777777" w:rsidR="008C1B81" w:rsidRPr="008E63BB" w:rsidRDefault="00C32228" w:rsidP="0065184D">
      <w:pPr>
        <w:rPr>
          <w:rFonts w:eastAsia="SimSun"/>
          <w:b/>
          <w:bCs/>
          <w:i/>
          <w:iCs/>
          <w:szCs w:val="26"/>
          <w:lang w:val="pt-BR"/>
        </w:rPr>
      </w:pPr>
      <w:r w:rsidRPr="008E63BB">
        <w:rPr>
          <w:rFonts w:eastAsia="SimSun"/>
          <w:b/>
          <w:bCs/>
          <w:i/>
          <w:iCs/>
          <w:szCs w:val="26"/>
          <w:lang w:val="pt-BR"/>
        </w:rPr>
        <w:t>9</w:t>
      </w:r>
      <w:r w:rsidR="008C1B81" w:rsidRPr="008E63BB">
        <w:rPr>
          <w:rFonts w:eastAsia="SimSun"/>
          <w:b/>
          <w:bCs/>
          <w:i/>
          <w:iCs/>
          <w:szCs w:val="26"/>
          <w:lang w:val="pt-BR"/>
        </w:rPr>
        <w:t>.3.4. Chương trình quản lý và giám sát môi trường</w:t>
      </w:r>
    </w:p>
    <w:p w14:paraId="519B4626" w14:textId="77777777" w:rsidR="008C1B81" w:rsidRPr="008E63BB" w:rsidRDefault="008C1B81" w:rsidP="0065184D">
      <w:pPr>
        <w:tabs>
          <w:tab w:val="left" w:pos="709"/>
        </w:tabs>
        <w:spacing w:before="120" w:after="120"/>
        <w:ind w:firstLine="562"/>
        <w:rPr>
          <w:szCs w:val="26"/>
          <w:lang w:val="vi-VN"/>
        </w:rPr>
      </w:pPr>
      <w:r w:rsidRPr="008E63BB">
        <w:rPr>
          <w:szCs w:val="26"/>
          <w:lang w:val="vi-VN"/>
        </w:rPr>
        <w:t>Quan trắc môi trường là công cụ quan trọng để giám sát môi trường một cách chính xác, nhanh chóng phát hiện kịp thời các vấn đề ô nhiễm để đưa ra các giải pháp</w:t>
      </w:r>
      <w:r w:rsidRPr="008E63BB">
        <w:rPr>
          <w:szCs w:val="26"/>
          <w:lang w:val="pt-BR"/>
        </w:rPr>
        <w:t xml:space="preserve"> khắc phục, xử lý hiệu quả</w:t>
      </w:r>
      <w:r w:rsidRPr="008E63BB">
        <w:rPr>
          <w:szCs w:val="26"/>
          <w:lang w:val="vi-VN"/>
        </w:rPr>
        <w:t>; Các điểm quan trắc càng dầy, tần suất càng lớn, càng thể hiện rõ nét diễn biến môi trường, thuận tiện cho công tác quản lý;</w:t>
      </w:r>
    </w:p>
    <w:p w14:paraId="519B4627" w14:textId="77777777" w:rsidR="008C1B81" w:rsidRPr="008E63BB" w:rsidRDefault="008C1B81" w:rsidP="0065184D">
      <w:pPr>
        <w:spacing w:before="120" w:after="120"/>
        <w:ind w:firstLine="562"/>
        <w:rPr>
          <w:sz w:val="22"/>
          <w:lang w:val="vi-VN"/>
        </w:rPr>
      </w:pPr>
      <w:r w:rsidRPr="008E63BB">
        <w:rPr>
          <w:lang w:val="vi-VN"/>
        </w:rPr>
        <w:t>Dựa trên hiện trạng, xem xét các diễn biến môi trường có thể xẩy ra, các đối tượng, thông số và tần suất quan trắc môi trường trong khu vực được xác định như sau:</w:t>
      </w:r>
    </w:p>
    <w:p w14:paraId="519B4628" w14:textId="77777777" w:rsidR="008C1B81" w:rsidRPr="008E63BB" w:rsidRDefault="008C1B81" w:rsidP="0065184D">
      <w:pPr>
        <w:jc w:val="center"/>
        <w:rPr>
          <w:bCs/>
          <w:iCs/>
          <w:szCs w:val="26"/>
          <w:lang w:val="vi-VN"/>
        </w:rPr>
      </w:pPr>
      <w:r w:rsidRPr="008E63BB">
        <w:rPr>
          <w:b/>
          <w:bCs/>
          <w:szCs w:val="26"/>
          <w:lang w:val="vi-VN"/>
        </w:rPr>
        <w:t>Bả</w:t>
      </w:r>
      <w:r w:rsidR="00BD0AA5" w:rsidRPr="008E63BB">
        <w:rPr>
          <w:b/>
          <w:bCs/>
          <w:szCs w:val="26"/>
          <w:lang w:val="vi-VN"/>
        </w:rPr>
        <w:t>ng MT14</w:t>
      </w:r>
      <w:r w:rsidRPr="008E63BB">
        <w:rPr>
          <w:b/>
          <w:bCs/>
          <w:szCs w:val="26"/>
          <w:lang w:val="vi-VN"/>
        </w:rPr>
        <w:t xml:space="preserve">:Chương trình quan trắc, giám sát môi trường </w:t>
      </w:r>
    </w:p>
    <w:p w14:paraId="519B4629" w14:textId="77777777" w:rsidR="008C1B81" w:rsidRPr="008E63BB" w:rsidRDefault="008C1B81" w:rsidP="0065184D">
      <w:pPr>
        <w:autoSpaceDE w:val="0"/>
        <w:autoSpaceDN w:val="0"/>
        <w:adjustRightInd w:val="0"/>
        <w:jc w:val="center"/>
        <w:rPr>
          <w:bCs/>
          <w:sz w:val="22"/>
          <w:szCs w:val="26"/>
          <w:lang w:val="vi-VN"/>
        </w:rPr>
      </w:pPr>
      <w:r w:rsidRPr="008E63BB">
        <w:rPr>
          <w:bCs/>
          <w:szCs w:val="26"/>
          <w:lang w:val="vi-VN"/>
        </w:rPr>
        <w:t xml:space="preserve"> (vị trí các điểm quan trắc tham khao trong phần bản vẽ) </w:t>
      </w:r>
    </w:p>
    <w:tbl>
      <w:tblPr>
        <w:tblW w:w="94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1309"/>
        <w:gridCol w:w="4147"/>
        <w:gridCol w:w="3396"/>
      </w:tblGrid>
      <w:tr w:rsidR="008D5BFE" w:rsidRPr="008E63BB" w14:paraId="519B462E" w14:textId="77777777" w:rsidTr="003D057A">
        <w:trPr>
          <w:tblHeader/>
          <w:jc w:val="center"/>
        </w:trPr>
        <w:tc>
          <w:tcPr>
            <w:tcW w:w="586" w:type="dxa"/>
            <w:tcBorders>
              <w:top w:val="single" w:sz="4" w:space="0" w:color="auto"/>
              <w:left w:val="single" w:sz="4" w:space="0" w:color="auto"/>
              <w:bottom w:val="single" w:sz="4" w:space="0" w:color="auto"/>
              <w:right w:val="single" w:sz="4" w:space="0" w:color="auto"/>
            </w:tcBorders>
            <w:vAlign w:val="center"/>
            <w:hideMark/>
          </w:tcPr>
          <w:p w14:paraId="519B462A" w14:textId="77777777" w:rsidR="008C1B81" w:rsidRPr="008E63BB" w:rsidRDefault="008C1B81" w:rsidP="003D057A">
            <w:pPr>
              <w:widowControl w:val="0"/>
              <w:autoSpaceDE w:val="0"/>
              <w:autoSpaceDN w:val="0"/>
              <w:adjustRightInd w:val="0"/>
              <w:spacing w:before="40"/>
              <w:jc w:val="center"/>
              <w:rPr>
                <w:b/>
                <w:bCs/>
                <w:sz w:val="24"/>
                <w:szCs w:val="24"/>
              </w:rPr>
            </w:pPr>
            <w:r w:rsidRPr="008E63BB">
              <w:rPr>
                <w:b/>
                <w:bCs/>
                <w:sz w:val="24"/>
                <w:szCs w:val="24"/>
              </w:rPr>
              <w:t>TT</w:t>
            </w:r>
          </w:p>
        </w:tc>
        <w:tc>
          <w:tcPr>
            <w:tcW w:w="1309" w:type="dxa"/>
            <w:tcBorders>
              <w:top w:val="single" w:sz="4" w:space="0" w:color="auto"/>
              <w:left w:val="single" w:sz="4" w:space="0" w:color="auto"/>
              <w:bottom w:val="single" w:sz="4" w:space="0" w:color="auto"/>
              <w:right w:val="single" w:sz="4" w:space="0" w:color="auto"/>
            </w:tcBorders>
            <w:vAlign w:val="center"/>
            <w:hideMark/>
          </w:tcPr>
          <w:p w14:paraId="519B462B" w14:textId="77777777" w:rsidR="008C1B81" w:rsidRPr="008E63BB" w:rsidRDefault="008C1B81" w:rsidP="003D057A">
            <w:pPr>
              <w:widowControl w:val="0"/>
              <w:autoSpaceDE w:val="0"/>
              <w:autoSpaceDN w:val="0"/>
              <w:adjustRightInd w:val="0"/>
              <w:spacing w:before="40"/>
              <w:jc w:val="center"/>
              <w:rPr>
                <w:b/>
                <w:bCs/>
                <w:sz w:val="24"/>
                <w:szCs w:val="24"/>
              </w:rPr>
            </w:pPr>
            <w:r w:rsidRPr="008E63BB">
              <w:rPr>
                <w:b/>
                <w:bCs/>
                <w:sz w:val="24"/>
                <w:szCs w:val="24"/>
              </w:rPr>
              <w:t xml:space="preserve">Môi trường </w:t>
            </w:r>
          </w:p>
        </w:tc>
        <w:tc>
          <w:tcPr>
            <w:tcW w:w="4147" w:type="dxa"/>
            <w:tcBorders>
              <w:top w:val="single" w:sz="4" w:space="0" w:color="auto"/>
              <w:left w:val="single" w:sz="4" w:space="0" w:color="auto"/>
              <w:bottom w:val="single" w:sz="4" w:space="0" w:color="auto"/>
              <w:right w:val="single" w:sz="4" w:space="0" w:color="auto"/>
            </w:tcBorders>
            <w:vAlign w:val="center"/>
            <w:hideMark/>
          </w:tcPr>
          <w:p w14:paraId="519B462C" w14:textId="77777777" w:rsidR="008C1B81" w:rsidRPr="008E63BB" w:rsidRDefault="008C1B81" w:rsidP="003D057A">
            <w:pPr>
              <w:widowControl w:val="0"/>
              <w:autoSpaceDE w:val="0"/>
              <w:autoSpaceDN w:val="0"/>
              <w:adjustRightInd w:val="0"/>
              <w:spacing w:before="40"/>
              <w:jc w:val="center"/>
              <w:rPr>
                <w:b/>
                <w:bCs/>
                <w:sz w:val="24"/>
                <w:szCs w:val="24"/>
              </w:rPr>
            </w:pPr>
            <w:r w:rsidRPr="008E63BB">
              <w:rPr>
                <w:b/>
                <w:bCs/>
                <w:sz w:val="24"/>
                <w:szCs w:val="24"/>
              </w:rPr>
              <w:t>Thông số quan trắc</w:t>
            </w:r>
          </w:p>
        </w:tc>
        <w:tc>
          <w:tcPr>
            <w:tcW w:w="3396" w:type="dxa"/>
            <w:tcBorders>
              <w:top w:val="single" w:sz="4" w:space="0" w:color="auto"/>
              <w:left w:val="single" w:sz="4" w:space="0" w:color="auto"/>
              <w:bottom w:val="single" w:sz="4" w:space="0" w:color="auto"/>
              <w:right w:val="single" w:sz="4" w:space="0" w:color="auto"/>
            </w:tcBorders>
            <w:vAlign w:val="center"/>
            <w:hideMark/>
          </w:tcPr>
          <w:p w14:paraId="519B462D" w14:textId="77777777" w:rsidR="008C1B81" w:rsidRPr="008E63BB" w:rsidRDefault="008C1B81" w:rsidP="003D057A">
            <w:pPr>
              <w:widowControl w:val="0"/>
              <w:autoSpaceDE w:val="0"/>
              <w:autoSpaceDN w:val="0"/>
              <w:adjustRightInd w:val="0"/>
              <w:spacing w:before="40"/>
              <w:jc w:val="center"/>
              <w:rPr>
                <w:b/>
                <w:bCs/>
                <w:sz w:val="24"/>
                <w:szCs w:val="24"/>
                <w:lang w:val="fr-FR"/>
              </w:rPr>
            </w:pPr>
            <w:r w:rsidRPr="008E63BB">
              <w:rPr>
                <w:b/>
                <w:bCs/>
                <w:sz w:val="24"/>
                <w:szCs w:val="24"/>
                <w:lang w:val="fr-FR"/>
              </w:rPr>
              <w:t>Tần suất quan trắc</w:t>
            </w:r>
          </w:p>
        </w:tc>
      </w:tr>
      <w:tr w:rsidR="008D5BFE" w:rsidRPr="008E63BB" w14:paraId="519B4633" w14:textId="77777777" w:rsidTr="003D057A">
        <w:trPr>
          <w:jc w:val="center"/>
        </w:trPr>
        <w:tc>
          <w:tcPr>
            <w:tcW w:w="586" w:type="dxa"/>
            <w:tcBorders>
              <w:top w:val="single" w:sz="4" w:space="0" w:color="auto"/>
              <w:left w:val="single" w:sz="4" w:space="0" w:color="auto"/>
              <w:bottom w:val="single" w:sz="4" w:space="0" w:color="auto"/>
              <w:right w:val="single" w:sz="4" w:space="0" w:color="auto"/>
            </w:tcBorders>
            <w:vAlign w:val="center"/>
            <w:hideMark/>
          </w:tcPr>
          <w:p w14:paraId="519B462F" w14:textId="77777777" w:rsidR="008C1B81" w:rsidRPr="008E63BB" w:rsidRDefault="008C1B81" w:rsidP="003D057A">
            <w:pPr>
              <w:widowControl w:val="0"/>
              <w:autoSpaceDE w:val="0"/>
              <w:autoSpaceDN w:val="0"/>
              <w:adjustRightInd w:val="0"/>
              <w:spacing w:before="40"/>
              <w:jc w:val="center"/>
              <w:rPr>
                <w:sz w:val="24"/>
                <w:szCs w:val="24"/>
              </w:rPr>
            </w:pPr>
            <w:r w:rsidRPr="008E63BB">
              <w:rPr>
                <w:sz w:val="24"/>
                <w:szCs w:val="24"/>
              </w:rPr>
              <w:t>1</w:t>
            </w:r>
          </w:p>
        </w:tc>
        <w:tc>
          <w:tcPr>
            <w:tcW w:w="1309" w:type="dxa"/>
            <w:tcBorders>
              <w:top w:val="single" w:sz="4" w:space="0" w:color="auto"/>
              <w:left w:val="single" w:sz="4" w:space="0" w:color="auto"/>
              <w:bottom w:val="single" w:sz="4" w:space="0" w:color="auto"/>
              <w:right w:val="single" w:sz="4" w:space="0" w:color="auto"/>
            </w:tcBorders>
            <w:vAlign w:val="center"/>
            <w:hideMark/>
          </w:tcPr>
          <w:p w14:paraId="519B4630" w14:textId="77777777" w:rsidR="008C1B81" w:rsidRPr="008E63BB" w:rsidRDefault="008C1B81" w:rsidP="003D057A">
            <w:pPr>
              <w:widowControl w:val="0"/>
              <w:autoSpaceDE w:val="0"/>
              <w:autoSpaceDN w:val="0"/>
              <w:adjustRightInd w:val="0"/>
              <w:spacing w:before="40"/>
              <w:jc w:val="center"/>
              <w:rPr>
                <w:sz w:val="24"/>
                <w:szCs w:val="24"/>
                <w:lang w:val="vi-VN"/>
              </w:rPr>
            </w:pPr>
            <w:r w:rsidRPr="008E63BB">
              <w:rPr>
                <w:sz w:val="24"/>
                <w:szCs w:val="24"/>
                <w:lang w:val="vi-VN"/>
              </w:rPr>
              <w:t>N</w:t>
            </w:r>
            <w:r w:rsidRPr="008E63BB">
              <w:rPr>
                <w:sz w:val="24"/>
                <w:szCs w:val="24"/>
                <w:lang w:val="vi-VN"/>
              </w:rPr>
              <w:softHyphen/>
              <w:t>ước mặt</w:t>
            </w:r>
          </w:p>
        </w:tc>
        <w:tc>
          <w:tcPr>
            <w:tcW w:w="4147" w:type="dxa"/>
            <w:tcBorders>
              <w:top w:val="single" w:sz="4" w:space="0" w:color="auto"/>
              <w:left w:val="single" w:sz="4" w:space="0" w:color="auto"/>
              <w:bottom w:val="single" w:sz="4" w:space="0" w:color="auto"/>
              <w:right w:val="single" w:sz="4" w:space="0" w:color="auto"/>
            </w:tcBorders>
            <w:hideMark/>
          </w:tcPr>
          <w:p w14:paraId="519B4631" w14:textId="77777777" w:rsidR="008C1B81" w:rsidRPr="008E63BB" w:rsidRDefault="008C1B81" w:rsidP="003D057A">
            <w:pPr>
              <w:widowControl w:val="0"/>
              <w:autoSpaceDE w:val="0"/>
              <w:autoSpaceDN w:val="0"/>
              <w:adjustRightInd w:val="0"/>
              <w:spacing w:before="40"/>
              <w:rPr>
                <w:sz w:val="24"/>
                <w:szCs w:val="24"/>
                <w:lang w:val="vi-VN"/>
              </w:rPr>
            </w:pPr>
            <w:r w:rsidRPr="008E63BB">
              <w:rPr>
                <w:sz w:val="24"/>
                <w:szCs w:val="24"/>
                <w:lang w:val="vi-VN"/>
              </w:rPr>
              <w:t>Nhiệt độ, pH, SS, độ đục, động vật đáy, DO, Cl</w:t>
            </w:r>
            <w:r w:rsidRPr="008E63BB">
              <w:rPr>
                <w:sz w:val="24"/>
                <w:szCs w:val="24"/>
                <w:vertAlign w:val="superscript"/>
                <w:lang w:val="vi-VN"/>
              </w:rPr>
              <w:t>-</w:t>
            </w:r>
            <w:r w:rsidRPr="008E63BB">
              <w:rPr>
                <w:sz w:val="24"/>
                <w:szCs w:val="24"/>
                <w:lang w:val="vi-VN"/>
              </w:rPr>
              <w:t>, BOD</w:t>
            </w:r>
            <w:r w:rsidRPr="008E63BB">
              <w:rPr>
                <w:sz w:val="24"/>
                <w:szCs w:val="24"/>
                <w:vertAlign w:val="subscript"/>
                <w:lang w:val="vi-VN"/>
              </w:rPr>
              <w:t>5</w:t>
            </w:r>
            <w:r w:rsidRPr="008E63BB">
              <w:rPr>
                <w:sz w:val="24"/>
                <w:szCs w:val="24"/>
                <w:lang w:val="vi-VN"/>
              </w:rPr>
              <w:t>, COD, SS, SN, SP, NO</w:t>
            </w:r>
            <w:r w:rsidRPr="008E63BB">
              <w:rPr>
                <w:sz w:val="24"/>
                <w:szCs w:val="24"/>
                <w:vertAlign w:val="subscript"/>
                <w:lang w:val="vi-VN"/>
              </w:rPr>
              <w:t>3</w:t>
            </w:r>
            <w:r w:rsidRPr="008E63BB">
              <w:rPr>
                <w:sz w:val="24"/>
                <w:szCs w:val="24"/>
                <w:vertAlign w:val="superscript"/>
                <w:lang w:val="vi-VN"/>
              </w:rPr>
              <w:t>-</w:t>
            </w:r>
            <w:r w:rsidRPr="008E63BB">
              <w:rPr>
                <w:sz w:val="24"/>
                <w:szCs w:val="24"/>
                <w:lang w:val="vi-VN"/>
              </w:rPr>
              <w:t>, NO</w:t>
            </w:r>
            <w:r w:rsidRPr="008E63BB">
              <w:rPr>
                <w:sz w:val="24"/>
                <w:szCs w:val="24"/>
                <w:vertAlign w:val="subscript"/>
                <w:lang w:val="vi-VN"/>
              </w:rPr>
              <w:t>2</w:t>
            </w:r>
            <w:r w:rsidRPr="008E63BB">
              <w:rPr>
                <w:sz w:val="24"/>
                <w:szCs w:val="24"/>
                <w:vertAlign w:val="superscript"/>
                <w:lang w:val="vi-VN"/>
              </w:rPr>
              <w:t>-</w:t>
            </w:r>
            <w:r w:rsidRPr="008E63BB">
              <w:rPr>
                <w:sz w:val="24"/>
                <w:szCs w:val="24"/>
                <w:lang w:val="vi-VN"/>
              </w:rPr>
              <w:t>, PO</w:t>
            </w:r>
            <w:r w:rsidRPr="008E63BB">
              <w:rPr>
                <w:sz w:val="24"/>
                <w:szCs w:val="24"/>
                <w:vertAlign w:val="subscript"/>
                <w:lang w:val="vi-VN"/>
              </w:rPr>
              <w:t>4</w:t>
            </w:r>
            <w:r w:rsidRPr="008E63BB">
              <w:rPr>
                <w:sz w:val="24"/>
                <w:szCs w:val="24"/>
                <w:vertAlign w:val="superscript"/>
                <w:lang w:val="vi-VN"/>
              </w:rPr>
              <w:t>3-,</w:t>
            </w:r>
            <w:r w:rsidRPr="008E63BB">
              <w:rPr>
                <w:sz w:val="24"/>
                <w:szCs w:val="24"/>
                <w:lang w:val="vi-VN"/>
              </w:rPr>
              <w:t xml:space="preserve"> Cr, Pb, As, Hg, Coliform.</w:t>
            </w:r>
          </w:p>
        </w:tc>
        <w:tc>
          <w:tcPr>
            <w:tcW w:w="3396" w:type="dxa"/>
            <w:tcBorders>
              <w:top w:val="single" w:sz="4" w:space="0" w:color="auto"/>
              <w:left w:val="single" w:sz="4" w:space="0" w:color="auto"/>
              <w:bottom w:val="single" w:sz="4" w:space="0" w:color="auto"/>
              <w:right w:val="single" w:sz="4" w:space="0" w:color="auto"/>
            </w:tcBorders>
            <w:hideMark/>
          </w:tcPr>
          <w:p w14:paraId="519B4632" w14:textId="77777777" w:rsidR="008C1B81" w:rsidRPr="008E63BB" w:rsidRDefault="008C1B81" w:rsidP="003D057A">
            <w:pPr>
              <w:widowControl w:val="0"/>
              <w:autoSpaceDE w:val="0"/>
              <w:autoSpaceDN w:val="0"/>
              <w:adjustRightInd w:val="0"/>
              <w:spacing w:before="40"/>
              <w:rPr>
                <w:sz w:val="24"/>
                <w:szCs w:val="24"/>
                <w:lang w:val="vi-VN"/>
              </w:rPr>
            </w:pPr>
            <w:r w:rsidRPr="008E63BB">
              <w:rPr>
                <w:sz w:val="24"/>
                <w:szCs w:val="24"/>
                <w:lang w:val="vi-VN"/>
              </w:rPr>
              <w:t>Định kỳ 4 lần/năm và bất thường khi có sự cố hoặc rủi ro môi trường xảy ra trong khu vực.</w:t>
            </w:r>
          </w:p>
        </w:tc>
      </w:tr>
      <w:tr w:rsidR="008D5BFE" w:rsidRPr="008E63BB" w14:paraId="519B4638" w14:textId="77777777" w:rsidTr="003D057A">
        <w:trPr>
          <w:jc w:val="center"/>
        </w:trPr>
        <w:tc>
          <w:tcPr>
            <w:tcW w:w="586" w:type="dxa"/>
            <w:tcBorders>
              <w:top w:val="single" w:sz="4" w:space="0" w:color="auto"/>
              <w:left w:val="single" w:sz="4" w:space="0" w:color="auto"/>
              <w:bottom w:val="single" w:sz="4" w:space="0" w:color="auto"/>
              <w:right w:val="single" w:sz="4" w:space="0" w:color="auto"/>
            </w:tcBorders>
            <w:vAlign w:val="center"/>
            <w:hideMark/>
          </w:tcPr>
          <w:p w14:paraId="519B4634" w14:textId="77777777" w:rsidR="008C1B81" w:rsidRPr="008E63BB" w:rsidRDefault="008C1B81" w:rsidP="003D057A">
            <w:pPr>
              <w:widowControl w:val="0"/>
              <w:autoSpaceDE w:val="0"/>
              <w:autoSpaceDN w:val="0"/>
              <w:adjustRightInd w:val="0"/>
              <w:spacing w:before="40"/>
              <w:jc w:val="center"/>
              <w:rPr>
                <w:sz w:val="24"/>
                <w:szCs w:val="24"/>
              </w:rPr>
            </w:pPr>
            <w:r w:rsidRPr="008E63BB">
              <w:rPr>
                <w:sz w:val="24"/>
                <w:szCs w:val="24"/>
              </w:rPr>
              <w:t>2</w:t>
            </w:r>
          </w:p>
        </w:tc>
        <w:tc>
          <w:tcPr>
            <w:tcW w:w="1309" w:type="dxa"/>
            <w:tcBorders>
              <w:top w:val="single" w:sz="4" w:space="0" w:color="auto"/>
              <w:left w:val="single" w:sz="4" w:space="0" w:color="auto"/>
              <w:bottom w:val="single" w:sz="4" w:space="0" w:color="auto"/>
              <w:right w:val="single" w:sz="4" w:space="0" w:color="auto"/>
            </w:tcBorders>
            <w:vAlign w:val="center"/>
            <w:hideMark/>
          </w:tcPr>
          <w:p w14:paraId="519B4635" w14:textId="77777777" w:rsidR="008C1B81" w:rsidRPr="008E63BB" w:rsidRDefault="008C1B81" w:rsidP="005F4632">
            <w:pPr>
              <w:widowControl w:val="0"/>
              <w:autoSpaceDE w:val="0"/>
              <w:autoSpaceDN w:val="0"/>
              <w:adjustRightInd w:val="0"/>
              <w:spacing w:before="40"/>
              <w:jc w:val="left"/>
              <w:rPr>
                <w:sz w:val="24"/>
                <w:szCs w:val="24"/>
              </w:rPr>
            </w:pPr>
            <w:r w:rsidRPr="008E63BB">
              <w:rPr>
                <w:sz w:val="24"/>
                <w:szCs w:val="24"/>
                <w:lang w:val="vi-VN"/>
              </w:rPr>
              <w:t>N</w:t>
            </w:r>
            <w:r w:rsidRPr="008E63BB">
              <w:rPr>
                <w:sz w:val="24"/>
                <w:szCs w:val="24"/>
                <w:lang w:val="vi-VN"/>
              </w:rPr>
              <w:softHyphen/>
              <w:t>ước ngầm</w:t>
            </w:r>
            <w:r w:rsidRPr="008E63BB">
              <w:rPr>
                <w:sz w:val="24"/>
                <w:szCs w:val="24"/>
              </w:rPr>
              <w:t>, nước cấp</w:t>
            </w:r>
          </w:p>
        </w:tc>
        <w:tc>
          <w:tcPr>
            <w:tcW w:w="4147" w:type="dxa"/>
            <w:tcBorders>
              <w:top w:val="single" w:sz="4" w:space="0" w:color="auto"/>
              <w:left w:val="single" w:sz="4" w:space="0" w:color="auto"/>
              <w:bottom w:val="single" w:sz="4" w:space="0" w:color="auto"/>
              <w:right w:val="single" w:sz="4" w:space="0" w:color="auto"/>
            </w:tcBorders>
            <w:hideMark/>
          </w:tcPr>
          <w:p w14:paraId="519B4636" w14:textId="77777777" w:rsidR="008C1B81" w:rsidRPr="008E63BB" w:rsidRDefault="008C1B81" w:rsidP="003D057A">
            <w:pPr>
              <w:widowControl w:val="0"/>
              <w:autoSpaceDE w:val="0"/>
              <w:autoSpaceDN w:val="0"/>
              <w:adjustRightInd w:val="0"/>
              <w:spacing w:before="40"/>
              <w:rPr>
                <w:sz w:val="24"/>
                <w:szCs w:val="24"/>
                <w:lang w:val="vi-VN"/>
              </w:rPr>
            </w:pPr>
            <w:r w:rsidRPr="008E63BB">
              <w:rPr>
                <w:sz w:val="24"/>
                <w:szCs w:val="24"/>
                <w:lang w:val="vi-VN"/>
              </w:rPr>
              <w:t>Nhiệt độ, pH, SS, DO, COD, NH</w:t>
            </w:r>
            <w:r w:rsidRPr="008E63BB">
              <w:rPr>
                <w:sz w:val="24"/>
                <w:szCs w:val="24"/>
                <w:vertAlign w:val="subscript"/>
                <w:lang w:val="vi-VN"/>
              </w:rPr>
              <w:t>4</w:t>
            </w:r>
            <w:r w:rsidRPr="008E63BB">
              <w:rPr>
                <w:sz w:val="24"/>
                <w:szCs w:val="24"/>
                <w:vertAlign w:val="superscript"/>
                <w:lang w:val="vi-VN"/>
              </w:rPr>
              <w:t>+</w:t>
            </w:r>
            <w:r w:rsidRPr="008E63BB">
              <w:rPr>
                <w:sz w:val="24"/>
                <w:szCs w:val="24"/>
                <w:lang w:val="vi-VN"/>
              </w:rPr>
              <w:t xml:space="preserve">, </w:t>
            </w:r>
            <w:r w:rsidRPr="008E63BB">
              <w:rPr>
                <w:sz w:val="24"/>
                <w:szCs w:val="24"/>
              </w:rPr>
              <w:t xml:space="preserve">độ cứng, Cu, Zn, </w:t>
            </w:r>
            <w:r w:rsidRPr="008E63BB">
              <w:rPr>
                <w:sz w:val="24"/>
                <w:szCs w:val="24"/>
                <w:lang w:val="vi-VN"/>
              </w:rPr>
              <w:t xml:space="preserve">Pb, As, Fe, Mn, </w:t>
            </w:r>
            <w:r w:rsidRPr="008E63BB">
              <w:rPr>
                <w:sz w:val="24"/>
                <w:szCs w:val="24"/>
              </w:rPr>
              <w:t>Cl</w:t>
            </w:r>
            <w:r w:rsidRPr="008E63BB">
              <w:rPr>
                <w:sz w:val="24"/>
                <w:szCs w:val="24"/>
                <w:vertAlign w:val="superscript"/>
              </w:rPr>
              <w:t>-</w:t>
            </w:r>
            <w:r w:rsidRPr="008E63BB">
              <w:rPr>
                <w:sz w:val="24"/>
                <w:szCs w:val="24"/>
              </w:rPr>
              <w:t xml:space="preserve">, </w:t>
            </w:r>
            <w:r w:rsidRPr="008E63BB">
              <w:rPr>
                <w:sz w:val="24"/>
                <w:szCs w:val="24"/>
                <w:lang w:val="vi-VN"/>
              </w:rPr>
              <w:t>Coliform.</w:t>
            </w:r>
          </w:p>
        </w:tc>
        <w:tc>
          <w:tcPr>
            <w:tcW w:w="3396" w:type="dxa"/>
            <w:tcBorders>
              <w:top w:val="single" w:sz="4" w:space="0" w:color="auto"/>
              <w:left w:val="single" w:sz="4" w:space="0" w:color="auto"/>
              <w:bottom w:val="single" w:sz="4" w:space="0" w:color="auto"/>
              <w:right w:val="single" w:sz="4" w:space="0" w:color="auto"/>
            </w:tcBorders>
            <w:hideMark/>
          </w:tcPr>
          <w:p w14:paraId="519B4637" w14:textId="77777777" w:rsidR="008C1B81" w:rsidRPr="008E63BB" w:rsidRDefault="008C1B81" w:rsidP="003D057A">
            <w:pPr>
              <w:widowControl w:val="0"/>
              <w:autoSpaceDE w:val="0"/>
              <w:autoSpaceDN w:val="0"/>
              <w:adjustRightInd w:val="0"/>
              <w:spacing w:before="40"/>
              <w:rPr>
                <w:sz w:val="24"/>
                <w:szCs w:val="24"/>
                <w:lang w:val="vi-VN"/>
              </w:rPr>
            </w:pPr>
            <w:r w:rsidRPr="008E63BB">
              <w:rPr>
                <w:sz w:val="24"/>
                <w:szCs w:val="24"/>
                <w:lang w:val="vi-VN"/>
              </w:rPr>
              <w:t>Định kỳ 4 lần/năm và bất thường khi có sự cố hoặc rủi ro môi trường xảy ra trong vùng.</w:t>
            </w:r>
          </w:p>
        </w:tc>
      </w:tr>
      <w:tr w:rsidR="008D5BFE" w:rsidRPr="008E63BB" w14:paraId="519B463D" w14:textId="77777777" w:rsidTr="003D057A">
        <w:trPr>
          <w:jc w:val="center"/>
        </w:trPr>
        <w:tc>
          <w:tcPr>
            <w:tcW w:w="586" w:type="dxa"/>
            <w:tcBorders>
              <w:top w:val="single" w:sz="4" w:space="0" w:color="auto"/>
              <w:left w:val="single" w:sz="4" w:space="0" w:color="auto"/>
              <w:bottom w:val="single" w:sz="4" w:space="0" w:color="auto"/>
              <w:right w:val="single" w:sz="4" w:space="0" w:color="auto"/>
            </w:tcBorders>
            <w:vAlign w:val="center"/>
            <w:hideMark/>
          </w:tcPr>
          <w:p w14:paraId="519B4639" w14:textId="77777777" w:rsidR="008C1B81" w:rsidRPr="008E63BB" w:rsidRDefault="008C1B81" w:rsidP="0065184D">
            <w:pPr>
              <w:widowControl w:val="0"/>
              <w:autoSpaceDE w:val="0"/>
              <w:autoSpaceDN w:val="0"/>
              <w:adjustRightInd w:val="0"/>
              <w:jc w:val="center"/>
              <w:rPr>
                <w:sz w:val="24"/>
                <w:szCs w:val="24"/>
              </w:rPr>
            </w:pPr>
            <w:r w:rsidRPr="008E63BB">
              <w:rPr>
                <w:sz w:val="24"/>
                <w:szCs w:val="24"/>
              </w:rPr>
              <w:t>3</w:t>
            </w:r>
          </w:p>
        </w:tc>
        <w:tc>
          <w:tcPr>
            <w:tcW w:w="1309" w:type="dxa"/>
            <w:tcBorders>
              <w:top w:val="single" w:sz="4" w:space="0" w:color="auto"/>
              <w:left w:val="single" w:sz="4" w:space="0" w:color="auto"/>
              <w:bottom w:val="single" w:sz="4" w:space="0" w:color="auto"/>
              <w:right w:val="single" w:sz="4" w:space="0" w:color="auto"/>
            </w:tcBorders>
            <w:vAlign w:val="center"/>
            <w:hideMark/>
          </w:tcPr>
          <w:p w14:paraId="519B463A" w14:textId="77777777" w:rsidR="008C1B81" w:rsidRPr="008E63BB" w:rsidRDefault="008C1B81" w:rsidP="005F4632">
            <w:pPr>
              <w:widowControl w:val="0"/>
              <w:autoSpaceDE w:val="0"/>
              <w:autoSpaceDN w:val="0"/>
              <w:adjustRightInd w:val="0"/>
              <w:jc w:val="left"/>
              <w:rPr>
                <w:sz w:val="24"/>
                <w:szCs w:val="24"/>
              </w:rPr>
            </w:pPr>
            <w:r w:rsidRPr="008E63BB">
              <w:rPr>
                <w:sz w:val="24"/>
                <w:szCs w:val="24"/>
              </w:rPr>
              <w:t>Nước thải</w:t>
            </w:r>
          </w:p>
        </w:tc>
        <w:tc>
          <w:tcPr>
            <w:tcW w:w="4147" w:type="dxa"/>
            <w:tcBorders>
              <w:top w:val="single" w:sz="4" w:space="0" w:color="auto"/>
              <w:left w:val="single" w:sz="4" w:space="0" w:color="auto"/>
              <w:bottom w:val="single" w:sz="4" w:space="0" w:color="auto"/>
              <w:right w:val="single" w:sz="4" w:space="0" w:color="auto"/>
            </w:tcBorders>
            <w:hideMark/>
          </w:tcPr>
          <w:p w14:paraId="519B463B" w14:textId="77777777" w:rsidR="008C1B81" w:rsidRPr="008E63BB" w:rsidRDefault="008C1B81" w:rsidP="0065184D">
            <w:pPr>
              <w:widowControl w:val="0"/>
              <w:autoSpaceDE w:val="0"/>
              <w:autoSpaceDN w:val="0"/>
              <w:adjustRightInd w:val="0"/>
              <w:rPr>
                <w:sz w:val="24"/>
                <w:szCs w:val="24"/>
                <w:lang w:val="vi-VN"/>
              </w:rPr>
            </w:pPr>
            <w:r w:rsidRPr="008E63BB">
              <w:rPr>
                <w:sz w:val="24"/>
                <w:szCs w:val="24"/>
                <w:lang w:val="vi-VN"/>
              </w:rPr>
              <w:t>Nhiệt độ, pH, độ màu, TSS, DO, BOD5, COD, NH4+, Pb, As, Cd, Fe, Tổng N, Tổng P, Coliform, dầu mỡ khoáng…</w:t>
            </w:r>
          </w:p>
        </w:tc>
        <w:tc>
          <w:tcPr>
            <w:tcW w:w="3396" w:type="dxa"/>
            <w:tcBorders>
              <w:top w:val="single" w:sz="4" w:space="0" w:color="auto"/>
              <w:left w:val="single" w:sz="4" w:space="0" w:color="auto"/>
              <w:bottom w:val="single" w:sz="4" w:space="0" w:color="auto"/>
              <w:right w:val="single" w:sz="4" w:space="0" w:color="auto"/>
            </w:tcBorders>
            <w:hideMark/>
          </w:tcPr>
          <w:p w14:paraId="519B463C" w14:textId="77777777" w:rsidR="008C1B81" w:rsidRPr="008E63BB" w:rsidRDefault="008C1B81" w:rsidP="0065184D">
            <w:pPr>
              <w:widowControl w:val="0"/>
              <w:autoSpaceDE w:val="0"/>
              <w:autoSpaceDN w:val="0"/>
              <w:adjustRightInd w:val="0"/>
              <w:rPr>
                <w:sz w:val="24"/>
                <w:szCs w:val="24"/>
                <w:lang w:val="vi-VN"/>
              </w:rPr>
            </w:pPr>
            <w:r w:rsidRPr="008E63BB">
              <w:rPr>
                <w:sz w:val="24"/>
                <w:szCs w:val="24"/>
                <w:lang w:val="vi-VN"/>
              </w:rPr>
              <w:t>Định kỳ 4 lần/năm và bất thường khi có sự cố hoặc rủi ro môi trường xảy ra trong vùng.</w:t>
            </w:r>
          </w:p>
        </w:tc>
      </w:tr>
      <w:tr w:rsidR="008D5BFE" w:rsidRPr="008E63BB" w14:paraId="519B4642" w14:textId="77777777" w:rsidTr="003D057A">
        <w:trPr>
          <w:jc w:val="center"/>
        </w:trPr>
        <w:tc>
          <w:tcPr>
            <w:tcW w:w="586" w:type="dxa"/>
            <w:tcBorders>
              <w:top w:val="single" w:sz="4" w:space="0" w:color="auto"/>
              <w:left w:val="single" w:sz="4" w:space="0" w:color="auto"/>
              <w:bottom w:val="single" w:sz="4" w:space="0" w:color="auto"/>
              <w:right w:val="single" w:sz="4" w:space="0" w:color="auto"/>
            </w:tcBorders>
            <w:vAlign w:val="center"/>
            <w:hideMark/>
          </w:tcPr>
          <w:p w14:paraId="519B463E" w14:textId="77777777" w:rsidR="008C1B81" w:rsidRPr="008E63BB" w:rsidRDefault="008C1B81" w:rsidP="0065184D">
            <w:pPr>
              <w:widowControl w:val="0"/>
              <w:autoSpaceDE w:val="0"/>
              <w:autoSpaceDN w:val="0"/>
              <w:adjustRightInd w:val="0"/>
              <w:jc w:val="center"/>
              <w:rPr>
                <w:sz w:val="24"/>
                <w:szCs w:val="24"/>
              </w:rPr>
            </w:pPr>
            <w:r w:rsidRPr="008E63BB">
              <w:rPr>
                <w:sz w:val="24"/>
                <w:szCs w:val="24"/>
              </w:rPr>
              <w:t>4</w:t>
            </w:r>
          </w:p>
        </w:tc>
        <w:tc>
          <w:tcPr>
            <w:tcW w:w="1309" w:type="dxa"/>
            <w:tcBorders>
              <w:top w:val="single" w:sz="4" w:space="0" w:color="auto"/>
              <w:left w:val="single" w:sz="4" w:space="0" w:color="auto"/>
              <w:bottom w:val="single" w:sz="4" w:space="0" w:color="auto"/>
              <w:right w:val="single" w:sz="4" w:space="0" w:color="auto"/>
            </w:tcBorders>
            <w:vAlign w:val="center"/>
            <w:hideMark/>
          </w:tcPr>
          <w:p w14:paraId="519B463F" w14:textId="77777777" w:rsidR="008C1B81" w:rsidRPr="008E63BB" w:rsidRDefault="008C1B81" w:rsidP="005F4632">
            <w:pPr>
              <w:widowControl w:val="0"/>
              <w:autoSpaceDE w:val="0"/>
              <w:autoSpaceDN w:val="0"/>
              <w:adjustRightInd w:val="0"/>
              <w:jc w:val="left"/>
              <w:rPr>
                <w:sz w:val="24"/>
                <w:szCs w:val="24"/>
              </w:rPr>
            </w:pPr>
            <w:r w:rsidRPr="008E63BB">
              <w:rPr>
                <w:sz w:val="24"/>
                <w:szCs w:val="24"/>
              </w:rPr>
              <w:t>Không khí - Tiếng ồn</w:t>
            </w:r>
          </w:p>
        </w:tc>
        <w:tc>
          <w:tcPr>
            <w:tcW w:w="4147" w:type="dxa"/>
            <w:tcBorders>
              <w:top w:val="single" w:sz="4" w:space="0" w:color="auto"/>
              <w:left w:val="single" w:sz="4" w:space="0" w:color="auto"/>
              <w:bottom w:val="single" w:sz="4" w:space="0" w:color="auto"/>
              <w:right w:val="single" w:sz="4" w:space="0" w:color="auto"/>
            </w:tcBorders>
            <w:hideMark/>
          </w:tcPr>
          <w:p w14:paraId="519B4640" w14:textId="77777777" w:rsidR="008C1B81" w:rsidRPr="008E63BB" w:rsidRDefault="008C1B81" w:rsidP="0065184D">
            <w:pPr>
              <w:widowControl w:val="0"/>
              <w:autoSpaceDE w:val="0"/>
              <w:autoSpaceDN w:val="0"/>
              <w:adjustRightInd w:val="0"/>
              <w:rPr>
                <w:sz w:val="24"/>
                <w:szCs w:val="24"/>
                <w:lang w:val="vi-VN"/>
              </w:rPr>
            </w:pPr>
            <w:r w:rsidRPr="008E63BB">
              <w:rPr>
                <w:sz w:val="24"/>
                <w:szCs w:val="24"/>
                <w:lang w:val="vi-VN"/>
              </w:rPr>
              <w:t>- Bụi tổng cộng, bụi PM10, CO, CO</w:t>
            </w:r>
            <w:r w:rsidRPr="008E63BB">
              <w:rPr>
                <w:sz w:val="24"/>
                <w:szCs w:val="24"/>
                <w:vertAlign w:val="subscript"/>
                <w:lang w:val="vi-VN"/>
              </w:rPr>
              <w:t>2</w:t>
            </w:r>
            <w:r w:rsidRPr="008E63BB">
              <w:rPr>
                <w:sz w:val="24"/>
                <w:szCs w:val="24"/>
                <w:lang w:val="vi-VN"/>
              </w:rPr>
              <w:t>, SO</w:t>
            </w:r>
            <w:r w:rsidRPr="008E63BB">
              <w:rPr>
                <w:sz w:val="24"/>
                <w:szCs w:val="24"/>
                <w:vertAlign w:val="subscript"/>
                <w:lang w:val="vi-VN"/>
              </w:rPr>
              <w:t>2</w:t>
            </w:r>
            <w:r w:rsidRPr="008E63BB">
              <w:rPr>
                <w:sz w:val="24"/>
                <w:szCs w:val="24"/>
                <w:lang w:val="vi-VN"/>
              </w:rPr>
              <w:t>, NO</w:t>
            </w:r>
            <w:r w:rsidRPr="008E63BB">
              <w:rPr>
                <w:sz w:val="24"/>
                <w:szCs w:val="24"/>
                <w:vertAlign w:val="subscript"/>
                <w:lang w:val="vi-VN"/>
              </w:rPr>
              <w:t>2</w:t>
            </w:r>
            <w:r w:rsidRPr="008E63BB">
              <w:rPr>
                <w:sz w:val="24"/>
                <w:szCs w:val="24"/>
                <w:lang w:val="vi-VN"/>
              </w:rPr>
              <w:t>, CxHy</w:t>
            </w:r>
            <w:r w:rsidRPr="008E63BB">
              <w:rPr>
                <w:sz w:val="24"/>
                <w:szCs w:val="24"/>
              </w:rPr>
              <w:t xml:space="preserve">, </w:t>
            </w:r>
            <w:r w:rsidRPr="008E63BB">
              <w:rPr>
                <w:sz w:val="24"/>
                <w:szCs w:val="24"/>
                <w:lang w:val="vi-VN"/>
              </w:rPr>
              <w:t>VOC</w:t>
            </w:r>
            <w:r w:rsidRPr="008E63BB">
              <w:rPr>
                <w:sz w:val="24"/>
                <w:szCs w:val="24"/>
              </w:rPr>
              <w:t>;</w:t>
            </w:r>
            <w:r w:rsidRPr="008E63BB">
              <w:rPr>
                <w:sz w:val="24"/>
                <w:szCs w:val="24"/>
                <w:lang w:val="vi-VN"/>
              </w:rPr>
              <w:t xml:space="preserve"> Cư</w:t>
            </w:r>
            <w:r w:rsidRPr="008E63BB">
              <w:rPr>
                <w:sz w:val="24"/>
                <w:szCs w:val="24"/>
                <w:lang w:val="vi-VN"/>
              </w:rPr>
              <w:softHyphen/>
              <w:t>ờng độ xe, c</w:t>
            </w:r>
            <w:r w:rsidRPr="008E63BB">
              <w:rPr>
                <w:sz w:val="24"/>
                <w:szCs w:val="24"/>
                <w:lang w:val="vi-VN"/>
              </w:rPr>
              <w:softHyphen/>
              <w:t>ường độ ồn max, cường độ ồn min.</w:t>
            </w:r>
          </w:p>
        </w:tc>
        <w:tc>
          <w:tcPr>
            <w:tcW w:w="3396" w:type="dxa"/>
            <w:tcBorders>
              <w:top w:val="single" w:sz="4" w:space="0" w:color="auto"/>
              <w:left w:val="single" w:sz="4" w:space="0" w:color="auto"/>
              <w:bottom w:val="single" w:sz="4" w:space="0" w:color="auto"/>
              <w:right w:val="single" w:sz="4" w:space="0" w:color="auto"/>
            </w:tcBorders>
            <w:hideMark/>
          </w:tcPr>
          <w:p w14:paraId="519B4641" w14:textId="77777777" w:rsidR="008C1B81" w:rsidRPr="008E63BB" w:rsidRDefault="008C1B81" w:rsidP="0065184D">
            <w:pPr>
              <w:widowControl w:val="0"/>
              <w:autoSpaceDE w:val="0"/>
              <w:autoSpaceDN w:val="0"/>
              <w:adjustRightInd w:val="0"/>
              <w:rPr>
                <w:sz w:val="24"/>
                <w:szCs w:val="24"/>
                <w:lang w:val="vi-VN"/>
              </w:rPr>
            </w:pPr>
            <w:r w:rsidRPr="008E63BB">
              <w:rPr>
                <w:sz w:val="24"/>
                <w:szCs w:val="24"/>
                <w:lang w:val="vi-VN"/>
              </w:rPr>
              <w:t>Định kỳ 4 lần/năm và bất thường khi có sự cố hoặc rủi ro môi trường xảy ra trong vùng.</w:t>
            </w:r>
          </w:p>
        </w:tc>
      </w:tr>
      <w:tr w:rsidR="008D5BFE" w:rsidRPr="008E63BB" w14:paraId="519B4647" w14:textId="77777777" w:rsidTr="003D057A">
        <w:trPr>
          <w:jc w:val="center"/>
        </w:trPr>
        <w:tc>
          <w:tcPr>
            <w:tcW w:w="586" w:type="dxa"/>
            <w:tcBorders>
              <w:top w:val="single" w:sz="4" w:space="0" w:color="auto"/>
              <w:left w:val="single" w:sz="4" w:space="0" w:color="auto"/>
              <w:bottom w:val="single" w:sz="4" w:space="0" w:color="auto"/>
              <w:right w:val="single" w:sz="4" w:space="0" w:color="auto"/>
            </w:tcBorders>
            <w:vAlign w:val="center"/>
            <w:hideMark/>
          </w:tcPr>
          <w:p w14:paraId="519B4643" w14:textId="77777777" w:rsidR="008C1B81" w:rsidRPr="008E63BB" w:rsidRDefault="008C1B81" w:rsidP="0065184D">
            <w:pPr>
              <w:widowControl w:val="0"/>
              <w:autoSpaceDE w:val="0"/>
              <w:autoSpaceDN w:val="0"/>
              <w:adjustRightInd w:val="0"/>
              <w:jc w:val="center"/>
              <w:rPr>
                <w:sz w:val="24"/>
                <w:szCs w:val="24"/>
              </w:rPr>
            </w:pPr>
            <w:r w:rsidRPr="008E63BB">
              <w:rPr>
                <w:sz w:val="24"/>
                <w:szCs w:val="24"/>
              </w:rPr>
              <w:t>5</w:t>
            </w:r>
          </w:p>
        </w:tc>
        <w:tc>
          <w:tcPr>
            <w:tcW w:w="1309" w:type="dxa"/>
            <w:tcBorders>
              <w:top w:val="single" w:sz="4" w:space="0" w:color="auto"/>
              <w:left w:val="single" w:sz="4" w:space="0" w:color="auto"/>
              <w:bottom w:val="single" w:sz="4" w:space="0" w:color="auto"/>
              <w:right w:val="single" w:sz="4" w:space="0" w:color="auto"/>
            </w:tcBorders>
            <w:vAlign w:val="center"/>
            <w:hideMark/>
          </w:tcPr>
          <w:p w14:paraId="519B4644" w14:textId="77777777" w:rsidR="008C1B81" w:rsidRPr="008E63BB" w:rsidRDefault="008C1B81" w:rsidP="0065184D">
            <w:pPr>
              <w:widowControl w:val="0"/>
              <w:autoSpaceDE w:val="0"/>
              <w:autoSpaceDN w:val="0"/>
              <w:adjustRightInd w:val="0"/>
              <w:jc w:val="center"/>
              <w:rPr>
                <w:sz w:val="24"/>
                <w:szCs w:val="24"/>
              </w:rPr>
            </w:pPr>
            <w:r w:rsidRPr="008E63BB">
              <w:rPr>
                <w:sz w:val="24"/>
                <w:szCs w:val="24"/>
              </w:rPr>
              <w:t>Đất</w:t>
            </w:r>
          </w:p>
        </w:tc>
        <w:tc>
          <w:tcPr>
            <w:tcW w:w="4147" w:type="dxa"/>
            <w:tcBorders>
              <w:top w:val="single" w:sz="4" w:space="0" w:color="auto"/>
              <w:left w:val="single" w:sz="4" w:space="0" w:color="auto"/>
              <w:bottom w:val="single" w:sz="4" w:space="0" w:color="auto"/>
              <w:right w:val="single" w:sz="4" w:space="0" w:color="auto"/>
            </w:tcBorders>
            <w:hideMark/>
          </w:tcPr>
          <w:p w14:paraId="519B4645" w14:textId="77777777" w:rsidR="008C1B81" w:rsidRPr="008E63BB" w:rsidRDefault="008C1B81" w:rsidP="0065184D">
            <w:pPr>
              <w:widowControl w:val="0"/>
              <w:autoSpaceDE w:val="0"/>
              <w:autoSpaceDN w:val="0"/>
              <w:adjustRightInd w:val="0"/>
              <w:rPr>
                <w:sz w:val="24"/>
                <w:szCs w:val="24"/>
              </w:rPr>
            </w:pPr>
            <w:r w:rsidRPr="008E63BB">
              <w:rPr>
                <w:sz w:val="24"/>
                <w:szCs w:val="24"/>
                <w:lang w:val="vi-VN"/>
              </w:rPr>
              <w:t>Hàm lượng các kim loại nặng</w:t>
            </w:r>
            <w:r w:rsidRPr="008E63BB">
              <w:rPr>
                <w:sz w:val="24"/>
                <w:szCs w:val="24"/>
              </w:rPr>
              <w:t>: As, Cd, Cu, Pb, Zn…;D</w:t>
            </w:r>
            <w:r w:rsidRPr="008E63BB">
              <w:rPr>
                <w:sz w:val="24"/>
                <w:szCs w:val="24"/>
                <w:lang w:val="vi-VN"/>
              </w:rPr>
              <w:t>ư lượng hóa chất bảo vệ thực vật.</w:t>
            </w:r>
          </w:p>
        </w:tc>
        <w:tc>
          <w:tcPr>
            <w:tcW w:w="3396" w:type="dxa"/>
            <w:tcBorders>
              <w:top w:val="single" w:sz="4" w:space="0" w:color="auto"/>
              <w:left w:val="single" w:sz="4" w:space="0" w:color="auto"/>
              <w:bottom w:val="single" w:sz="4" w:space="0" w:color="auto"/>
              <w:right w:val="single" w:sz="4" w:space="0" w:color="auto"/>
            </w:tcBorders>
            <w:hideMark/>
          </w:tcPr>
          <w:p w14:paraId="519B4646" w14:textId="77777777" w:rsidR="008C1B81" w:rsidRPr="008E63BB" w:rsidRDefault="008C1B81" w:rsidP="0065184D">
            <w:pPr>
              <w:widowControl w:val="0"/>
              <w:autoSpaceDE w:val="0"/>
              <w:autoSpaceDN w:val="0"/>
              <w:adjustRightInd w:val="0"/>
              <w:rPr>
                <w:sz w:val="24"/>
                <w:szCs w:val="24"/>
                <w:lang w:val="vi-VN"/>
              </w:rPr>
            </w:pPr>
            <w:r w:rsidRPr="008E63BB">
              <w:rPr>
                <w:sz w:val="24"/>
                <w:szCs w:val="24"/>
                <w:lang w:val="vi-VN"/>
              </w:rPr>
              <w:t xml:space="preserve">Định kỳ </w:t>
            </w:r>
            <w:r w:rsidRPr="008E63BB">
              <w:rPr>
                <w:sz w:val="24"/>
                <w:szCs w:val="24"/>
              </w:rPr>
              <w:t>4</w:t>
            </w:r>
            <w:r w:rsidRPr="008E63BB">
              <w:rPr>
                <w:sz w:val="24"/>
                <w:szCs w:val="24"/>
                <w:lang w:val="vi-VN"/>
              </w:rPr>
              <w:t xml:space="preserve"> lần/năm và bất thường khi có sự cố hoặc rủi ro môi trường xảy ra trong vùng.</w:t>
            </w:r>
          </w:p>
        </w:tc>
      </w:tr>
    </w:tbl>
    <w:p w14:paraId="519B4648" w14:textId="77777777" w:rsidR="008C1B81" w:rsidRPr="008E63BB" w:rsidRDefault="008C1B81" w:rsidP="005F4632">
      <w:pPr>
        <w:spacing w:before="120"/>
        <w:ind w:firstLine="720"/>
      </w:pPr>
      <w:r w:rsidRPr="008E63BB">
        <w:t>Vị trí, các thông số và tần suất quan trắc được nêu ra trong đồ án mang tính chất định hướng, có thể thay đổi (tăng, giảm) dựa trên điều kiện kinh tế, các diễn biến thực tế trong quá trình phát triển của đô thị, các sự cố môi trường phát sinh.</w:t>
      </w:r>
    </w:p>
    <w:p w14:paraId="519B4649" w14:textId="77777777" w:rsidR="008C1B81" w:rsidRPr="008E63BB" w:rsidRDefault="00C32228" w:rsidP="005F4632">
      <w:pPr>
        <w:pStyle w:val="Heading2"/>
        <w:spacing w:before="120" w:after="0"/>
        <w:rPr>
          <w:kern w:val="32"/>
        </w:rPr>
      </w:pPr>
      <w:bookmarkStart w:id="571" w:name="_Toc495870941"/>
      <w:bookmarkStart w:id="572" w:name="_Toc47524752"/>
      <w:r w:rsidRPr="008E63BB">
        <w:rPr>
          <w:kern w:val="32"/>
        </w:rPr>
        <w:t>9</w:t>
      </w:r>
      <w:r w:rsidR="008C1B81" w:rsidRPr="008E63BB">
        <w:rPr>
          <w:kern w:val="32"/>
        </w:rPr>
        <w:t>.4. Kết luận phần ĐMC:</w:t>
      </w:r>
      <w:bookmarkEnd w:id="571"/>
      <w:bookmarkEnd w:id="572"/>
    </w:p>
    <w:p w14:paraId="519B464A" w14:textId="77777777" w:rsidR="008C1B81" w:rsidRPr="008E63BB" w:rsidRDefault="008C1B81" w:rsidP="005F4632">
      <w:pPr>
        <w:tabs>
          <w:tab w:val="center" w:pos="4680"/>
          <w:tab w:val="right" w:pos="9360"/>
        </w:tabs>
        <w:spacing w:before="120"/>
        <w:ind w:firstLine="720"/>
        <w:rPr>
          <w:szCs w:val="26"/>
        </w:rPr>
      </w:pPr>
      <w:r w:rsidRPr="008E63BB">
        <w:rPr>
          <w:szCs w:val="26"/>
        </w:rPr>
        <w:t>Nội dung đánh giá môi trường chiến lược đã đề cập đến nhiều vấn đề môi trường hiện tại cũng như trong tương lai.</w:t>
      </w:r>
    </w:p>
    <w:p w14:paraId="519B464B" w14:textId="77777777" w:rsidR="008C1B81" w:rsidRPr="008E63BB" w:rsidRDefault="008C1B81" w:rsidP="005F4632">
      <w:pPr>
        <w:tabs>
          <w:tab w:val="center" w:pos="4680"/>
          <w:tab w:val="right" w:pos="9360"/>
        </w:tabs>
        <w:spacing w:before="120"/>
        <w:ind w:firstLine="720"/>
        <w:rPr>
          <w:spacing w:val="-4"/>
          <w:szCs w:val="26"/>
        </w:rPr>
      </w:pPr>
      <w:r w:rsidRPr="008E63BB">
        <w:rPr>
          <w:spacing w:val="-4"/>
          <w:szCs w:val="26"/>
        </w:rPr>
        <w:t xml:space="preserve">Tuy nhiên, quá trình phát triển xây dựng, không tránh khỏi những mặt tiêu cực ảnh hưởng tới môi trường. Mặc dù các định hướng quy hoạch đã hạn chế tối đa những ảnh hưởng tiêu cực đến môi trường và những tác động xuất hiện chỉ có tính cục bộ trong phạm vi từng khu chức năng, nhưng những ảnh hưởng tích hợp của chúng nếu không được phòng ngừa, giảm thiểu và kiểm soát ngay từ nguồn phát sinh thì sẽ gây ô nhiễm nghiêm trọng. </w:t>
      </w:r>
    </w:p>
    <w:p w14:paraId="519B464C" w14:textId="77777777" w:rsidR="008C1B81" w:rsidRPr="008E63BB" w:rsidRDefault="008C1B81" w:rsidP="005F4632">
      <w:pPr>
        <w:spacing w:before="120"/>
        <w:ind w:firstLine="720"/>
        <w:rPr>
          <w:rFonts w:eastAsia="Times New Roman"/>
          <w:b/>
          <w:bCs/>
          <w:kern w:val="32"/>
          <w:szCs w:val="26"/>
        </w:rPr>
      </w:pPr>
      <w:r w:rsidRPr="008E63BB">
        <w:rPr>
          <w:szCs w:val="26"/>
        </w:rPr>
        <w:t xml:space="preserve">Vì vậy để bảo vệ môi trường một cách hiệu quả, ngoài việc quản lý xây dựng theo quy hoạch cần thực hiện đầy đủ, đồng bộ các giải pháp phòng ngừa, giảm thiểu tác động tiêu cực đã được đề xuất trong bản đánh giá môi trường chiến lược. Ngoài ra, đối với </w:t>
      </w:r>
      <w:r w:rsidRPr="008E63BB">
        <w:rPr>
          <w:szCs w:val="26"/>
        </w:rPr>
        <w:lastRenderedPageBreak/>
        <w:t>mỗi dự án xây dựng cụ thể trong phạm vi nghiên cứu quy hoạch cần thực hiện tốt công tác đánh giá tác động môi trường, cam kết bảo vệ môi trường theo quy định; Đồng thời, cần kết hợp hiệu quả, chặt chẽ giữa các cấp chính quyền và cộng đồng dân cư trong quản lý và bảo vệ môi trường.</w:t>
      </w:r>
    </w:p>
    <w:p w14:paraId="519B464D" w14:textId="77777777" w:rsidR="00531FB2" w:rsidRPr="008E63BB" w:rsidRDefault="00E9609D" w:rsidP="005F4632">
      <w:pPr>
        <w:pStyle w:val="Heading1"/>
        <w:spacing w:before="120" w:after="0"/>
        <w:rPr>
          <w:szCs w:val="26"/>
        </w:rPr>
      </w:pPr>
      <w:hyperlink w:anchor="_TOC143759738" w:history="1">
        <w:bookmarkStart w:id="573" w:name="_Toc341519095"/>
        <w:bookmarkStart w:id="574" w:name="_Toc341519196"/>
        <w:bookmarkStart w:id="575" w:name="_Toc344928507"/>
        <w:bookmarkStart w:id="576" w:name="_Toc345538427"/>
        <w:bookmarkStart w:id="577" w:name="_Toc495870942"/>
        <w:bookmarkStart w:id="578" w:name="_Toc47524753"/>
        <w:r w:rsidR="001C7C9C" w:rsidRPr="008E63BB">
          <w:t>X</w:t>
        </w:r>
        <w:r w:rsidR="00531FB2" w:rsidRPr="008E63BB">
          <w:t>.</w:t>
        </w:r>
        <w:r w:rsidR="00531FB2" w:rsidRPr="008E63BB">
          <w:rPr>
            <w:szCs w:val="26"/>
          </w:rPr>
          <w:tab/>
        </w:r>
        <w:r w:rsidR="00C32228" w:rsidRPr="008E63BB">
          <w:rPr>
            <w:szCs w:val="26"/>
          </w:rPr>
          <w:t>PHẦN 10</w:t>
        </w:r>
        <w:r w:rsidR="001C7C9C" w:rsidRPr="008E63BB">
          <w:rPr>
            <w:szCs w:val="26"/>
          </w:rPr>
          <w:t xml:space="preserve">. </w:t>
        </w:r>
        <w:r w:rsidR="00531FB2" w:rsidRPr="008E63BB">
          <w:t>KẾT LUẬN</w:t>
        </w:r>
        <w:bookmarkEnd w:id="573"/>
        <w:bookmarkEnd w:id="574"/>
        <w:bookmarkEnd w:id="575"/>
        <w:bookmarkEnd w:id="576"/>
        <w:bookmarkEnd w:id="577"/>
        <w:r w:rsidR="003F2993" w:rsidRPr="008E63BB">
          <w:t xml:space="preserve"> VÀ KIẾN NGHỊ</w:t>
        </w:r>
        <w:bookmarkEnd w:id="578"/>
        <w:r w:rsidR="00531FB2" w:rsidRPr="008E63BB">
          <w:rPr>
            <w:webHidden/>
          </w:rPr>
          <w:tab/>
        </w:r>
      </w:hyperlink>
    </w:p>
    <w:p w14:paraId="519B464E" w14:textId="77777777" w:rsidR="00450752" w:rsidRPr="008E63BB" w:rsidRDefault="00450752" w:rsidP="005F4632">
      <w:pPr>
        <w:pStyle w:val="Heading2"/>
        <w:spacing w:before="120" w:after="0"/>
        <w:rPr>
          <w:kern w:val="32"/>
        </w:rPr>
      </w:pPr>
      <w:bookmarkStart w:id="579" w:name="_Toc531157076"/>
      <w:bookmarkStart w:id="580" w:name="_Toc14867708"/>
      <w:bookmarkStart w:id="581" w:name="_Toc47524754"/>
      <w:r w:rsidRPr="008E63BB">
        <w:rPr>
          <w:kern w:val="32"/>
        </w:rPr>
        <w:t>10.1. Kết luận</w:t>
      </w:r>
      <w:bookmarkEnd w:id="579"/>
      <w:bookmarkEnd w:id="580"/>
      <w:bookmarkEnd w:id="581"/>
    </w:p>
    <w:p w14:paraId="519B464F" w14:textId="77777777" w:rsidR="00450752" w:rsidRPr="008E63BB" w:rsidRDefault="00450752" w:rsidP="005F4632">
      <w:pPr>
        <w:tabs>
          <w:tab w:val="left" w:pos="0"/>
        </w:tabs>
        <w:spacing w:before="120"/>
        <w:textAlignment w:val="baseline"/>
        <w:rPr>
          <w:rFonts w:eastAsia="Times New Roman"/>
          <w:szCs w:val="26"/>
          <w:lang w:val="sv-SE"/>
        </w:rPr>
      </w:pPr>
      <w:r w:rsidRPr="008E63BB">
        <w:rPr>
          <w:rFonts w:eastAsia="Times New Roman"/>
          <w:szCs w:val="26"/>
          <w:lang w:val="sv-SE"/>
        </w:rPr>
        <w:tab/>
        <w:t xml:space="preserve">Đồ án Điều chỉnh Quy hoạch chung thành phố Nam Định đến năm 2040, tầm nhìn đến năm 2050 hướng đến hình thành đô thị Trung tâm Nam Đồng Bằng sông Hồng, </w:t>
      </w:r>
      <w:r w:rsidR="008A1ABC" w:rsidRPr="008E63BB">
        <w:rPr>
          <w:rFonts w:eastAsia="Times New Roman"/>
          <w:iCs/>
          <w:szCs w:val="26"/>
        </w:rPr>
        <w:t xml:space="preserve">đáp ứng các tiêu chí đô thị loại I, </w:t>
      </w:r>
      <w:r w:rsidRPr="008E63BB">
        <w:rPr>
          <w:rFonts w:eastAsia="Times New Roman"/>
          <w:szCs w:val="26"/>
          <w:lang w:val="sv-SE"/>
        </w:rPr>
        <w:t xml:space="preserve">gắn với bảo tồn phát huy </w:t>
      </w:r>
      <w:r w:rsidR="008A1ABC" w:rsidRPr="008E63BB">
        <w:rPr>
          <w:rFonts w:eastAsia="Times New Roman"/>
          <w:szCs w:val="26"/>
          <w:lang w:val="sv-SE"/>
        </w:rPr>
        <w:t>giá trị văn hóa lịch sử truyền thống của Nam Định</w:t>
      </w:r>
      <w:r w:rsidRPr="008E63BB">
        <w:rPr>
          <w:rFonts w:eastAsia="Times New Roman"/>
          <w:szCs w:val="26"/>
          <w:lang w:val="sv-SE"/>
        </w:rPr>
        <w:t xml:space="preserve"> theo hướng phát triển bền vững, phù hợp với các chương trình, chiến lược phát triển quốc gia, khai thác tiềm năng lợi thế của khu vực để tạo nên động lực thúc đẩy sự phát triển của tỉnh </w:t>
      </w:r>
      <w:r w:rsidR="008A1ABC" w:rsidRPr="008E63BB">
        <w:rPr>
          <w:rFonts w:eastAsia="Times New Roman"/>
          <w:szCs w:val="26"/>
          <w:lang w:val="sv-SE"/>
        </w:rPr>
        <w:t>Nam Định</w:t>
      </w:r>
      <w:r w:rsidRPr="008E63BB">
        <w:rPr>
          <w:rFonts w:eastAsia="Times New Roman"/>
          <w:szCs w:val="26"/>
          <w:lang w:val="sv-SE"/>
        </w:rPr>
        <w:t xml:space="preserve"> và khu vực.</w:t>
      </w:r>
    </w:p>
    <w:p w14:paraId="519B4650" w14:textId="77777777" w:rsidR="00450752" w:rsidRPr="008E63BB" w:rsidRDefault="00450752" w:rsidP="005F4632">
      <w:pPr>
        <w:tabs>
          <w:tab w:val="left" w:pos="0"/>
        </w:tabs>
        <w:spacing w:before="120"/>
        <w:textAlignment w:val="baseline"/>
        <w:rPr>
          <w:rFonts w:eastAsia="Times New Roman"/>
          <w:szCs w:val="26"/>
          <w:lang w:val="sv-SE"/>
        </w:rPr>
      </w:pPr>
      <w:r w:rsidRPr="008E63BB">
        <w:rPr>
          <w:rFonts w:eastAsia="Times New Roman"/>
          <w:szCs w:val="26"/>
          <w:lang w:val="sv-SE"/>
        </w:rPr>
        <w:tab/>
        <w:t>Điều chỉnh quy hoạch theo hướng tăng cường liên kết, chia sẻ chức năng với các khu vực lân cận, tăng cư</w:t>
      </w:r>
      <w:r w:rsidR="008A1ABC" w:rsidRPr="008E63BB">
        <w:rPr>
          <w:rFonts w:eastAsia="Times New Roman"/>
          <w:szCs w:val="26"/>
          <w:lang w:val="sv-SE"/>
        </w:rPr>
        <w:t>ờng kết nối với khu vực</w:t>
      </w:r>
      <w:r w:rsidRPr="008E63BB">
        <w:rPr>
          <w:rFonts w:eastAsia="Times New Roman"/>
          <w:szCs w:val="26"/>
          <w:lang w:val="sv-SE"/>
        </w:rPr>
        <w:t>, khắc phục các tồn tại bất cập, đặc biệt là vấn đề môi trường</w:t>
      </w:r>
      <w:r w:rsidR="008A1ABC" w:rsidRPr="008E63BB">
        <w:rPr>
          <w:rFonts w:eastAsia="Times New Roman"/>
          <w:szCs w:val="26"/>
          <w:lang w:val="sv-SE"/>
        </w:rPr>
        <w:t xml:space="preserve"> biến đổi khí hậu</w:t>
      </w:r>
      <w:r w:rsidRPr="008E63BB">
        <w:rPr>
          <w:rFonts w:eastAsia="Times New Roman"/>
          <w:szCs w:val="26"/>
          <w:lang w:val="sv-SE"/>
        </w:rPr>
        <w:t>.</w:t>
      </w:r>
    </w:p>
    <w:p w14:paraId="519B4651" w14:textId="4EBCAFAE" w:rsidR="00450752" w:rsidRDefault="00450752" w:rsidP="005F4632">
      <w:pPr>
        <w:tabs>
          <w:tab w:val="left" w:pos="0"/>
        </w:tabs>
        <w:spacing w:before="120"/>
        <w:textAlignment w:val="baseline"/>
        <w:rPr>
          <w:rFonts w:eastAsia="Times New Roman"/>
          <w:szCs w:val="26"/>
          <w:lang w:val="sv-SE"/>
        </w:rPr>
      </w:pPr>
      <w:r w:rsidRPr="008E63BB">
        <w:rPr>
          <w:rFonts w:eastAsia="Times New Roman"/>
          <w:szCs w:val="26"/>
          <w:lang w:val="sv-SE"/>
        </w:rPr>
        <w:tab/>
      </w:r>
      <w:r w:rsidR="0080092F" w:rsidRPr="008E63BB">
        <w:rPr>
          <w:rFonts w:eastAsia="Times New Roman"/>
          <w:szCs w:val="26"/>
          <w:lang w:val="sv-SE"/>
        </w:rPr>
        <w:t>Thủ tướng Chính phủ phê duyệt Đồ án Điều chỉnh quy hoạch chung xây dựng thành phố Nam Định – tỉnh Nam Định đến năm 2040, tầm nhìn đến năm 2050 làm cơ sở cho việc tổ chức lập quy hoạch đô thị, các phân khu chức năng đô thị; đề xuất danh mục các chương trình đầu tư và dự án phát triển kinh tế - xã hội; kiểm soát phát triển và quản lý đô thị.</w:t>
      </w:r>
      <w:r w:rsidRPr="008E63BB">
        <w:rPr>
          <w:rFonts w:eastAsia="Times New Roman"/>
          <w:szCs w:val="26"/>
          <w:lang w:val="sv-SE"/>
        </w:rPr>
        <w:t xml:space="preserve"> Tạo cơ hội thuận lợi cho các chương trình phát triển, các dự án đầu tư, sử dụng hợp lý các nguồn lực đảm bảo kinh tế - xã hội của thành phố Nam Định đến năm 2040</w:t>
      </w:r>
      <w:r w:rsidR="0080092F">
        <w:rPr>
          <w:rFonts w:eastAsia="Times New Roman"/>
          <w:szCs w:val="26"/>
          <w:lang w:val="sv-SE"/>
        </w:rPr>
        <w:t>, tầm nhìn đến năm 2050</w:t>
      </w:r>
      <w:r w:rsidRPr="008E63BB">
        <w:rPr>
          <w:rFonts w:eastAsia="Times New Roman"/>
          <w:szCs w:val="26"/>
          <w:lang w:val="sv-SE"/>
        </w:rPr>
        <w:t>.</w:t>
      </w:r>
    </w:p>
    <w:p w14:paraId="37AC8D8A" w14:textId="77777777" w:rsidR="0080092F" w:rsidRDefault="0080092F" w:rsidP="00450752">
      <w:pPr>
        <w:pStyle w:val="Heading2"/>
        <w:spacing w:before="0" w:after="0"/>
        <w:rPr>
          <w:kern w:val="32"/>
          <w:lang w:val="sv-SE"/>
        </w:rPr>
      </w:pPr>
      <w:bookmarkStart w:id="582" w:name="_Toc531157077"/>
      <w:bookmarkStart w:id="583" w:name="_Toc14867709"/>
      <w:bookmarkStart w:id="584" w:name="_Toc47524755"/>
    </w:p>
    <w:p w14:paraId="519B4653" w14:textId="77777777" w:rsidR="00450752" w:rsidRPr="008E63BB" w:rsidRDefault="00450752" w:rsidP="00450752">
      <w:pPr>
        <w:pStyle w:val="Heading2"/>
        <w:spacing w:before="0" w:after="0"/>
        <w:rPr>
          <w:kern w:val="32"/>
          <w:lang w:val="sv-SE"/>
        </w:rPr>
      </w:pPr>
      <w:r w:rsidRPr="008E63BB">
        <w:rPr>
          <w:kern w:val="32"/>
          <w:lang w:val="sv-SE"/>
        </w:rPr>
        <w:t>10.2. Kiến nghị</w:t>
      </w:r>
      <w:bookmarkEnd w:id="582"/>
      <w:bookmarkEnd w:id="583"/>
      <w:bookmarkEnd w:id="584"/>
    </w:p>
    <w:p w14:paraId="519B4654" w14:textId="614E9FBB" w:rsidR="00450752" w:rsidRPr="008E63BB" w:rsidRDefault="008A1ABC" w:rsidP="005F4632">
      <w:pPr>
        <w:tabs>
          <w:tab w:val="left" w:pos="0"/>
        </w:tabs>
        <w:spacing w:before="120"/>
        <w:textAlignment w:val="baseline"/>
        <w:rPr>
          <w:rFonts w:eastAsia="Times New Roman"/>
          <w:szCs w:val="26"/>
          <w:lang w:val="sv-SE"/>
        </w:rPr>
      </w:pPr>
      <w:r w:rsidRPr="008E63BB">
        <w:rPr>
          <w:rFonts w:eastAsia="Times New Roman"/>
          <w:szCs w:val="26"/>
          <w:lang w:val="sv-SE"/>
        </w:rPr>
        <w:tab/>
      </w:r>
      <w:r w:rsidR="00450752" w:rsidRPr="008E63BB">
        <w:rPr>
          <w:rFonts w:eastAsia="Times New Roman"/>
          <w:szCs w:val="26"/>
          <w:lang w:val="sv-SE"/>
        </w:rPr>
        <w:t xml:space="preserve">Để hỗ trợ cho công tác quản lý phát triển đô thị của Thành phố </w:t>
      </w:r>
      <w:r w:rsidRPr="008E63BB">
        <w:rPr>
          <w:rFonts w:eastAsia="Times New Roman"/>
          <w:szCs w:val="26"/>
          <w:lang w:val="sv-SE"/>
        </w:rPr>
        <w:t>Nam Định</w:t>
      </w:r>
      <w:r w:rsidR="00450752" w:rsidRPr="008E63BB">
        <w:rPr>
          <w:rFonts w:eastAsia="Times New Roman"/>
          <w:szCs w:val="26"/>
          <w:lang w:val="sv-SE"/>
        </w:rPr>
        <w:t xml:space="preserve">, đề nghị chính quyền thành phố </w:t>
      </w:r>
      <w:r w:rsidRPr="008E63BB">
        <w:rPr>
          <w:rFonts w:eastAsia="Times New Roman"/>
          <w:szCs w:val="26"/>
          <w:lang w:val="sv-SE"/>
        </w:rPr>
        <w:t>Nam Định</w:t>
      </w:r>
      <w:r w:rsidR="0080092F">
        <w:rPr>
          <w:rFonts w:eastAsia="Times New Roman"/>
          <w:szCs w:val="26"/>
          <w:lang w:val="sv-SE"/>
        </w:rPr>
        <w:t xml:space="preserve"> </w:t>
      </w:r>
      <w:r w:rsidR="00450752" w:rsidRPr="008E63BB">
        <w:rPr>
          <w:rFonts w:eastAsia="Times New Roman"/>
          <w:szCs w:val="26"/>
          <w:lang w:val="sv-SE"/>
        </w:rPr>
        <w:t xml:space="preserve">và tỉnh </w:t>
      </w:r>
      <w:r w:rsidRPr="008E63BB">
        <w:rPr>
          <w:rFonts w:eastAsia="Times New Roman"/>
          <w:szCs w:val="26"/>
          <w:lang w:val="sv-SE"/>
        </w:rPr>
        <w:t>Nam Định</w:t>
      </w:r>
      <w:r w:rsidR="00450752" w:rsidRPr="008E63BB">
        <w:rPr>
          <w:rFonts w:eastAsia="Times New Roman"/>
          <w:szCs w:val="26"/>
          <w:lang w:val="sv-SE"/>
        </w:rPr>
        <w:t xml:space="preserve"> cần sớm xây dựng và ban hành Quy chế quản lý Quy hoạch kiến trúc đô thị Thành phố </w:t>
      </w:r>
      <w:r w:rsidRPr="008E63BB">
        <w:rPr>
          <w:rFonts w:eastAsia="Times New Roman"/>
          <w:szCs w:val="26"/>
          <w:lang w:val="sv-SE"/>
        </w:rPr>
        <w:t>Nam Định</w:t>
      </w:r>
      <w:r w:rsidR="00450752" w:rsidRPr="008E63BB">
        <w:rPr>
          <w:rFonts w:eastAsia="Times New Roman"/>
          <w:szCs w:val="26"/>
          <w:lang w:val="sv-SE"/>
        </w:rPr>
        <w:t>, ban hành rộng rãi để các cơ quan, tổ chức, cá nhân và cộng đồng dân cư cùng biết và phối hợp thực hiện.</w:t>
      </w:r>
    </w:p>
    <w:p w14:paraId="519B4655" w14:textId="77777777" w:rsidR="00450752" w:rsidRPr="008E63BB" w:rsidRDefault="00450752" w:rsidP="005F4632">
      <w:pPr>
        <w:tabs>
          <w:tab w:val="left" w:pos="0"/>
        </w:tabs>
        <w:spacing w:before="120"/>
        <w:textAlignment w:val="baseline"/>
        <w:rPr>
          <w:rFonts w:eastAsia="Times New Roman"/>
          <w:szCs w:val="26"/>
          <w:lang w:val="sv-SE"/>
        </w:rPr>
      </w:pPr>
      <w:r w:rsidRPr="008E63BB">
        <w:rPr>
          <w:rFonts w:eastAsia="Times New Roman"/>
          <w:szCs w:val="26"/>
          <w:lang w:val="sv-SE"/>
        </w:rPr>
        <w:tab/>
        <w:t xml:space="preserve">Lập và triển khai đề án xây dựng Thành phố </w:t>
      </w:r>
      <w:r w:rsidR="008A1ABC" w:rsidRPr="008E63BB">
        <w:rPr>
          <w:rFonts w:eastAsia="Times New Roman"/>
          <w:szCs w:val="26"/>
          <w:lang w:val="sv-SE"/>
        </w:rPr>
        <w:t xml:space="preserve">Nam Định </w:t>
      </w:r>
      <w:r w:rsidRPr="008E63BB">
        <w:rPr>
          <w:rFonts w:eastAsia="Times New Roman"/>
          <w:szCs w:val="26"/>
          <w:lang w:val="sv-SE"/>
        </w:rPr>
        <w:t>theo mô hình đô thị thông minh thông qua sự tham gia của chính quyền, doanh nghiệp và người dân. Khuyến khích phát triển các giải pháp sáng tạo, ứng dụng công nghệ tạo sự thuận lợi, thân thiện và an toàn cho người dân và du khách.</w:t>
      </w:r>
    </w:p>
    <w:p w14:paraId="519B4656" w14:textId="77777777" w:rsidR="008A1ABC" w:rsidRPr="008E63BB" w:rsidRDefault="00450752" w:rsidP="005F4632">
      <w:pPr>
        <w:tabs>
          <w:tab w:val="left" w:pos="0"/>
        </w:tabs>
        <w:spacing w:before="120"/>
        <w:textAlignment w:val="baseline"/>
        <w:rPr>
          <w:rStyle w:val="A4"/>
          <w:color w:val="auto"/>
          <w:sz w:val="26"/>
          <w:szCs w:val="26"/>
          <w:lang w:val="sv-SE"/>
        </w:rPr>
      </w:pPr>
      <w:r w:rsidRPr="008E63BB">
        <w:rPr>
          <w:rFonts w:eastAsia="Times New Roman"/>
          <w:szCs w:val="26"/>
          <w:lang w:val="sv-SE"/>
        </w:rPr>
        <w:tab/>
      </w:r>
      <w:r w:rsidR="008A1ABC" w:rsidRPr="008E63BB">
        <w:rPr>
          <w:rStyle w:val="A4"/>
          <w:color w:val="auto"/>
          <w:sz w:val="26"/>
          <w:szCs w:val="26"/>
          <w:lang w:val="sv-SE"/>
        </w:rPr>
        <w:t>Kiến nghị UBND Tỉnh Nam Định có chính sách ưu tiên đặc biệt đối với thành phố Nam Định như tập trung đầu tư cho trung tâm văn hóa dịch vụ du lịch, các trường đào tạo, dạy nghề, dịch vụ trung chuyển hàng hóa, nông nghiệp công nghệ cao... và đặc biệt là đầu tư cơ sở hạ tầng. Đồng thời cần có những cơ chế chính sách hỗ trợ để tạo điều kiện phát triển kinh tế xã hội thành phố.</w:t>
      </w:r>
    </w:p>
    <w:p w14:paraId="519B4657" w14:textId="2B742305" w:rsidR="00531FB2" w:rsidRPr="008E63BB" w:rsidRDefault="008A1ABC" w:rsidP="005F4632">
      <w:pPr>
        <w:tabs>
          <w:tab w:val="left" w:pos="0"/>
        </w:tabs>
        <w:spacing w:before="120"/>
        <w:textAlignment w:val="baseline"/>
        <w:rPr>
          <w:rStyle w:val="A4"/>
          <w:color w:val="auto"/>
          <w:sz w:val="26"/>
          <w:szCs w:val="26"/>
          <w:lang w:val="sv-SE"/>
        </w:rPr>
      </w:pPr>
      <w:r w:rsidRPr="008E63BB">
        <w:rPr>
          <w:rStyle w:val="A4"/>
          <w:color w:val="auto"/>
          <w:sz w:val="26"/>
          <w:szCs w:val="26"/>
          <w:lang w:val="sv-SE"/>
        </w:rPr>
        <w:tab/>
      </w:r>
      <w:r w:rsidRPr="008E63BB">
        <w:rPr>
          <w:rFonts w:eastAsia="Times New Roman"/>
          <w:szCs w:val="26"/>
          <w:lang w:val="sv-SE"/>
        </w:rPr>
        <w:tab/>
      </w:r>
    </w:p>
    <w:p w14:paraId="519B4658" w14:textId="77777777" w:rsidR="00993172" w:rsidRPr="008E63BB" w:rsidRDefault="00993172" w:rsidP="005F4632">
      <w:pPr>
        <w:spacing w:before="120"/>
        <w:jc w:val="left"/>
        <w:rPr>
          <w:rStyle w:val="A4"/>
          <w:color w:val="auto"/>
          <w:sz w:val="26"/>
          <w:szCs w:val="26"/>
          <w:lang w:val="vi-VN"/>
        </w:rPr>
      </w:pPr>
    </w:p>
    <w:p w14:paraId="519B4659" w14:textId="77777777" w:rsidR="00993172" w:rsidRPr="008E63BB" w:rsidRDefault="00993172" w:rsidP="005F4632">
      <w:pPr>
        <w:spacing w:before="120"/>
        <w:jc w:val="left"/>
        <w:rPr>
          <w:szCs w:val="26"/>
          <w:lang w:val="vi-VN"/>
        </w:rPr>
        <w:sectPr w:rsidR="00993172" w:rsidRPr="008E63BB" w:rsidSect="003E624C">
          <w:pgSz w:w="11907" w:h="16840" w:code="9"/>
          <w:pgMar w:top="1440" w:right="922" w:bottom="1440" w:left="1699" w:header="720" w:footer="720" w:gutter="0"/>
          <w:cols w:space="720"/>
          <w:docGrid w:linePitch="360"/>
        </w:sectPr>
      </w:pPr>
    </w:p>
    <w:p w14:paraId="519B465A" w14:textId="77777777" w:rsidR="00993172" w:rsidRPr="008E63BB" w:rsidRDefault="00993172" w:rsidP="0065184D">
      <w:pPr>
        <w:jc w:val="center"/>
        <w:rPr>
          <w:b/>
          <w:szCs w:val="26"/>
          <w:lang w:val="vi-VN"/>
        </w:rPr>
      </w:pPr>
      <w:r w:rsidRPr="008E63BB">
        <w:rPr>
          <w:b/>
          <w:szCs w:val="26"/>
          <w:lang w:val="vi-VN"/>
        </w:rPr>
        <w:lastRenderedPageBreak/>
        <w:t>PHỤ LỤC</w:t>
      </w:r>
    </w:p>
    <w:p w14:paraId="519B465B" w14:textId="77777777" w:rsidR="00993172" w:rsidRPr="008E63BB" w:rsidRDefault="00993172" w:rsidP="0065184D">
      <w:pPr>
        <w:rPr>
          <w:b/>
          <w:lang w:val="vi-VN"/>
        </w:rPr>
      </w:pPr>
      <w:r w:rsidRPr="008E63BB">
        <w:rPr>
          <w:b/>
          <w:lang w:val="vi-VN"/>
        </w:rPr>
        <w:t>Bảng hiện trạng dân số (người)</w:t>
      </w:r>
    </w:p>
    <w:tbl>
      <w:tblPr>
        <w:tblW w:w="14707" w:type="dxa"/>
        <w:tblInd w:w="-459" w:type="dxa"/>
        <w:tblLook w:val="04A0" w:firstRow="1" w:lastRow="0" w:firstColumn="1" w:lastColumn="0" w:noHBand="0" w:noVBand="1"/>
      </w:tblPr>
      <w:tblGrid>
        <w:gridCol w:w="709"/>
        <w:gridCol w:w="2684"/>
        <w:gridCol w:w="794"/>
        <w:gridCol w:w="866"/>
        <w:gridCol w:w="866"/>
        <w:gridCol w:w="866"/>
        <w:gridCol w:w="866"/>
        <w:gridCol w:w="866"/>
        <w:gridCol w:w="866"/>
        <w:gridCol w:w="866"/>
        <w:gridCol w:w="866"/>
        <w:gridCol w:w="866"/>
        <w:gridCol w:w="866"/>
        <w:gridCol w:w="866"/>
        <w:gridCol w:w="994"/>
      </w:tblGrid>
      <w:tr w:rsidR="008D5BFE" w:rsidRPr="008E63BB" w14:paraId="519B4661" w14:textId="77777777" w:rsidTr="0074711A">
        <w:trPr>
          <w:cantSplit/>
          <w:trHeight w:val="375"/>
          <w:tblHeader/>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65C" w14:textId="77777777" w:rsidR="0074711A" w:rsidRPr="008E63BB" w:rsidRDefault="0074711A" w:rsidP="0065184D">
            <w:pPr>
              <w:jc w:val="center"/>
              <w:rPr>
                <w:rFonts w:eastAsia="Times New Roman"/>
                <w:sz w:val="20"/>
                <w:szCs w:val="20"/>
              </w:rPr>
            </w:pPr>
            <w:r w:rsidRPr="008E63BB">
              <w:rPr>
                <w:rFonts w:eastAsia="Times New Roman"/>
                <w:sz w:val="20"/>
                <w:szCs w:val="20"/>
              </w:rPr>
              <w:t>TT</w:t>
            </w:r>
          </w:p>
        </w:tc>
        <w:tc>
          <w:tcPr>
            <w:tcW w:w="26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65D" w14:textId="77777777" w:rsidR="0074711A" w:rsidRPr="008E63BB" w:rsidRDefault="0074711A" w:rsidP="0065184D">
            <w:pPr>
              <w:jc w:val="center"/>
              <w:rPr>
                <w:rFonts w:eastAsia="Times New Roman"/>
                <w:sz w:val="20"/>
                <w:szCs w:val="20"/>
              </w:rPr>
            </w:pPr>
            <w:r w:rsidRPr="008E63BB">
              <w:rPr>
                <w:rFonts w:eastAsia="Times New Roman"/>
                <w:sz w:val="20"/>
                <w:szCs w:val="20"/>
              </w:rPr>
              <w:t>Danh mục</w:t>
            </w:r>
          </w:p>
        </w:tc>
        <w:tc>
          <w:tcPr>
            <w:tcW w:w="79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9B465E" w14:textId="77777777" w:rsidR="0074711A" w:rsidRPr="008E63BB" w:rsidRDefault="0074711A" w:rsidP="0065184D">
            <w:pPr>
              <w:jc w:val="center"/>
              <w:rPr>
                <w:rFonts w:eastAsia="Times New Roman"/>
                <w:sz w:val="20"/>
                <w:szCs w:val="20"/>
              </w:rPr>
            </w:pPr>
            <w:r w:rsidRPr="008E63BB">
              <w:rPr>
                <w:rFonts w:eastAsia="Times New Roman"/>
                <w:sz w:val="20"/>
                <w:szCs w:val="20"/>
              </w:rPr>
              <w:t>Diện tích (km2)</w:t>
            </w:r>
          </w:p>
        </w:tc>
        <w:tc>
          <w:tcPr>
            <w:tcW w:w="9526" w:type="dxa"/>
            <w:gridSpan w:val="11"/>
            <w:tcBorders>
              <w:top w:val="single" w:sz="4" w:space="0" w:color="auto"/>
              <w:left w:val="nil"/>
              <w:bottom w:val="single" w:sz="4" w:space="0" w:color="auto"/>
              <w:right w:val="single" w:sz="4" w:space="0" w:color="auto"/>
            </w:tcBorders>
            <w:shd w:val="clear" w:color="auto" w:fill="auto"/>
            <w:vAlign w:val="center"/>
            <w:hideMark/>
          </w:tcPr>
          <w:p w14:paraId="519B465F" w14:textId="77777777" w:rsidR="0074711A" w:rsidRPr="008E63BB" w:rsidRDefault="0074711A" w:rsidP="0065184D">
            <w:pPr>
              <w:jc w:val="center"/>
              <w:rPr>
                <w:rFonts w:eastAsia="Times New Roman"/>
                <w:sz w:val="20"/>
                <w:szCs w:val="20"/>
              </w:rPr>
            </w:pPr>
            <w:r w:rsidRPr="008E63BB">
              <w:rPr>
                <w:rFonts w:eastAsia="Times New Roman"/>
                <w:sz w:val="20"/>
                <w:szCs w:val="20"/>
              </w:rPr>
              <w:t>Dân số (người)</w:t>
            </w:r>
          </w:p>
        </w:tc>
        <w:tc>
          <w:tcPr>
            <w:tcW w:w="994" w:type="dxa"/>
            <w:vMerge w:val="restart"/>
            <w:tcBorders>
              <w:top w:val="single" w:sz="4" w:space="0" w:color="auto"/>
              <w:left w:val="single" w:sz="4" w:space="0" w:color="auto"/>
              <w:right w:val="single" w:sz="4" w:space="0" w:color="auto"/>
            </w:tcBorders>
            <w:shd w:val="clear" w:color="auto" w:fill="auto"/>
            <w:vAlign w:val="center"/>
            <w:hideMark/>
          </w:tcPr>
          <w:p w14:paraId="519B4660" w14:textId="77777777" w:rsidR="0074711A" w:rsidRPr="008E63BB" w:rsidRDefault="0074711A" w:rsidP="0065184D">
            <w:pPr>
              <w:jc w:val="center"/>
              <w:rPr>
                <w:rFonts w:eastAsia="Times New Roman"/>
                <w:sz w:val="20"/>
                <w:szCs w:val="20"/>
              </w:rPr>
            </w:pPr>
            <w:r w:rsidRPr="008E63BB">
              <w:rPr>
                <w:rFonts w:eastAsia="Times New Roman"/>
                <w:sz w:val="20"/>
                <w:szCs w:val="20"/>
              </w:rPr>
              <w:t>Mật độ dân số (Người/ km2)</w:t>
            </w:r>
          </w:p>
        </w:tc>
      </w:tr>
      <w:tr w:rsidR="008D5BFE" w:rsidRPr="008E63BB" w14:paraId="519B4671" w14:textId="77777777" w:rsidTr="0074711A">
        <w:trPr>
          <w:cantSplit/>
          <w:trHeight w:val="440"/>
          <w:tblHead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519B4662" w14:textId="77777777" w:rsidR="0074711A" w:rsidRPr="008E63BB" w:rsidRDefault="0074711A" w:rsidP="0065184D">
            <w:pPr>
              <w:jc w:val="left"/>
              <w:rPr>
                <w:rFonts w:eastAsia="Times New Roman"/>
                <w:sz w:val="20"/>
                <w:szCs w:val="20"/>
              </w:rPr>
            </w:pPr>
          </w:p>
        </w:tc>
        <w:tc>
          <w:tcPr>
            <w:tcW w:w="2684" w:type="dxa"/>
            <w:vMerge/>
            <w:tcBorders>
              <w:top w:val="single" w:sz="4" w:space="0" w:color="auto"/>
              <w:left w:val="single" w:sz="4" w:space="0" w:color="auto"/>
              <w:bottom w:val="single" w:sz="4" w:space="0" w:color="auto"/>
              <w:right w:val="single" w:sz="4" w:space="0" w:color="auto"/>
            </w:tcBorders>
            <w:vAlign w:val="center"/>
            <w:hideMark/>
          </w:tcPr>
          <w:p w14:paraId="519B4663" w14:textId="77777777" w:rsidR="0074711A" w:rsidRPr="008E63BB" w:rsidRDefault="0074711A" w:rsidP="0065184D">
            <w:pPr>
              <w:jc w:val="left"/>
              <w:rPr>
                <w:rFonts w:eastAsia="Times New Roman"/>
                <w:sz w:val="20"/>
                <w:szCs w:val="20"/>
              </w:rPr>
            </w:pPr>
          </w:p>
        </w:tc>
        <w:tc>
          <w:tcPr>
            <w:tcW w:w="794" w:type="dxa"/>
            <w:vMerge/>
            <w:tcBorders>
              <w:top w:val="single" w:sz="4" w:space="0" w:color="auto"/>
              <w:left w:val="single" w:sz="4" w:space="0" w:color="auto"/>
              <w:bottom w:val="single" w:sz="4" w:space="0" w:color="auto"/>
              <w:right w:val="single" w:sz="4" w:space="0" w:color="auto"/>
            </w:tcBorders>
            <w:vAlign w:val="center"/>
            <w:hideMark/>
          </w:tcPr>
          <w:p w14:paraId="519B4664" w14:textId="77777777" w:rsidR="0074711A" w:rsidRPr="008E63BB" w:rsidRDefault="0074711A" w:rsidP="0065184D">
            <w:pPr>
              <w:jc w:val="left"/>
              <w:rPr>
                <w:rFonts w:eastAsia="Times New Roman"/>
                <w:sz w:val="20"/>
                <w:szCs w:val="20"/>
              </w:rPr>
            </w:pPr>
          </w:p>
        </w:tc>
        <w:tc>
          <w:tcPr>
            <w:tcW w:w="866" w:type="dxa"/>
            <w:tcBorders>
              <w:top w:val="nil"/>
              <w:left w:val="nil"/>
              <w:bottom w:val="single" w:sz="4" w:space="0" w:color="auto"/>
              <w:right w:val="single" w:sz="4" w:space="0" w:color="auto"/>
            </w:tcBorders>
            <w:shd w:val="clear" w:color="auto" w:fill="auto"/>
            <w:noWrap/>
            <w:vAlign w:val="center"/>
            <w:hideMark/>
          </w:tcPr>
          <w:p w14:paraId="519B4665" w14:textId="77777777" w:rsidR="0074711A" w:rsidRPr="008E63BB" w:rsidRDefault="0074711A" w:rsidP="0065184D">
            <w:pPr>
              <w:jc w:val="center"/>
              <w:rPr>
                <w:rFonts w:eastAsia="Times New Roman"/>
                <w:sz w:val="20"/>
                <w:szCs w:val="20"/>
              </w:rPr>
            </w:pPr>
            <w:r w:rsidRPr="008E63BB">
              <w:rPr>
                <w:rFonts w:eastAsia="Times New Roman"/>
                <w:sz w:val="20"/>
                <w:szCs w:val="20"/>
              </w:rPr>
              <w:t>2008</w:t>
            </w:r>
          </w:p>
        </w:tc>
        <w:tc>
          <w:tcPr>
            <w:tcW w:w="866" w:type="dxa"/>
            <w:tcBorders>
              <w:top w:val="nil"/>
              <w:left w:val="nil"/>
              <w:bottom w:val="single" w:sz="4" w:space="0" w:color="auto"/>
              <w:right w:val="single" w:sz="4" w:space="0" w:color="auto"/>
            </w:tcBorders>
            <w:shd w:val="clear" w:color="auto" w:fill="auto"/>
            <w:noWrap/>
            <w:vAlign w:val="center"/>
            <w:hideMark/>
          </w:tcPr>
          <w:p w14:paraId="519B4666" w14:textId="77777777" w:rsidR="0074711A" w:rsidRPr="008E63BB" w:rsidRDefault="0074711A" w:rsidP="0065184D">
            <w:pPr>
              <w:jc w:val="center"/>
              <w:rPr>
                <w:rFonts w:eastAsia="Times New Roman"/>
                <w:sz w:val="20"/>
                <w:szCs w:val="20"/>
              </w:rPr>
            </w:pPr>
            <w:r w:rsidRPr="008E63BB">
              <w:rPr>
                <w:rFonts w:eastAsia="Times New Roman"/>
                <w:sz w:val="20"/>
                <w:szCs w:val="20"/>
              </w:rPr>
              <w:t>2009</w:t>
            </w:r>
          </w:p>
        </w:tc>
        <w:tc>
          <w:tcPr>
            <w:tcW w:w="866" w:type="dxa"/>
            <w:tcBorders>
              <w:top w:val="nil"/>
              <w:left w:val="nil"/>
              <w:bottom w:val="single" w:sz="4" w:space="0" w:color="auto"/>
              <w:right w:val="single" w:sz="4" w:space="0" w:color="auto"/>
            </w:tcBorders>
            <w:shd w:val="clear" w:color="auto" w:fill="auto"/>
            <w:noWrap/>
            <w:vAlign w:val="center"/>
            <w:hideMark/>
          </w:tcPr>
          <w:p w14:paraId="519B4667" w14:textId="77777777" w:rsidR="0074711A" w:rsidRPr="008E63BB" w:rsidRDefault="0074711A" w:rsidP="0065184D">
            <w:pPr>
              <w:jc w:val="center"/>
              <w:rPr>
                <w:rFonts w:eastAsia="Times New Roman"/>
                <w:sz w:val="20"/>
                <w:szCs w:val="20"/>
              </w:rPr>
            </w:pPr>
            <w:r w:rsidRPr="008E63BB">
              <w:rPr>
                <w:rFonts w:eastAsia="Times New Roman"/>
                <w:sz w:val="20"/>
                <w:szCs w:val="20"/>
              </w:rPr>
              <w:t>2010</w:t>
            </w:r>
          </w:p>
        </w:tc>
        <w:tc>
          <w:tcPr>
            <w:tcW w:w="866" w:type="dxa"/>
            <w:tcBorders>
              <w:top w:val="nil"/>
              <w:left w:val="nil"/>
              <w:bottom w:val="single" w:sz="4" w:space="0" w:color="auto"/>
              <w:right w:val="single" w:sz="4" w:space="0" w:color="auto"/>
            </w:tcBorders>
            <w:shd w:val="clear" w:color="auto" w:fill="auto"/>
            <w:noWrap/>
            <w:vAlign w:val="center"/>
            <w:hideMark/>
          </w:tcPr>
          <w:p w14:paraId="519B4668" w14:textId="77777777" w:rsidR="0074711A" w:rsidRPr="008E63BB" w:rsidRDefault="0074711A" w:rsidP="0065184D">
            <w:pPr>
              <w:jc w:val="center"/>
              <w:rPr>
                <w:rFonts w:eastAsia="Times New Roman"/>
                <w:sz w:val="20"/>
                <w:szCs w:val="20"/>
              </w:rPr>
            </w:pPr>
            <w:r w:rsidRPr="008E63BB">
              <w:rPr>
                <w:rFonts w:eastAsia="Times New Roman"/>
                <w:sz w:val="20"/>
                <w:szCs w:val="20"/>
              </w:rPr>
              <w:t>2011</w:t>
            </w:r>
          </w:p>
        </w:tc>
        <w:tc>
          <w:tcPr>
            <w:tcW w:w="866" w:type="dxa"/>
            <w:tcBorders>
              <w:top w:val="nil"/>
              <w:left w:val="nil"/>
              <w:bottom w:val="single" w:sz="4" w:space="0" w:color="auto"/>
              <w:right w:val="single" w:sz="4" w:space="0" w:color="auto"/>
            </w:tcBorders>
            <w:shd w:val="clear" w:color="auto" w:fill="auto"/>
            <w:noWrap/>
            <w:vAlign w:val="center"/>
            <w:hideMark/>
          </w:tcPr>
          <w:p w14:paraId="519B4669" w14:textId="77777777" w:rsidR="0074711A" w:rsidRPr="008E63BB" w:rsidRDefault="0074711A" w:rsidP="0065184D">
            <w:pPr>
              <w:jc w:val="center"/>
              <w:rPr>
                <w:rFonts w:eastAsia="Times New Roman"/>
                <w:sz w:val="20"/>
                <w:szCs w:val="20"/>
              </w:rPr>
            </w:pPr>
            <w:r w:rsidRPr="008E63BB">
              <w:rPr>
                <w:rFonts w:eastAsia="Times New Roman"/>
                <w:sz w:val="20"/>
                <w:szCs w:val="20"/>
              </w:rPr>
              <w:t>2012</w:t>
            </w:r>
          </w:p>
        </w:tc>
        <w:tc>
          <w:tcPr>
            <w:tcW w:w="866" w:type="dxa"/>
            <w:tcBorders>
              <w:top w:val="nil"/>
              <w:left w:val="nil"/>
              <w:bottom w:val="single" w:sz="4" w:space="0" w:color="auto"/>
              <w:right w:val="single" w:sz="4" w:space="0" w:color="auto"/>
            </w:tcBorders>
            <w:shd w:val="clear" w:color="auto" w:fill="auto"/>
            <w:noWrap/>
            <w:vAlign w:val="center"/>
            <w:hideMark/>
          </w:tcPr>
          <w:p w14:paraId="519B466A" w14:textId="77777777" w:rsidR="0074711A" w:rsidRPr="008E63BB" w:rsidRDefault="0074711A" w:rsidP="0065184D">
            <w:pPr>
              <w:jc w:val="center"/>
              <w:rPr>
                <w:rFonts w:eastAsia="Times New Roman"/>
                <w:sz w:val="20"/>
                <w:szCs w:val="20"/>
              </w:rPr>
            </w:pPr>
            <w:r w:rsidRPr="008E63BB">
              <w:rPr>
                <w:rFonts w:eastAsia="Times New Roman"/>
                <w:sz w:val="20"/>
                <w:szCs w:val="20"/>
              </w:rPr>
              <w:t>2013</w:t>
            </w:r>
          </w:p>
        </w:tc>
        <w:tc>
          <w:tcPr>
            <w:tcW w:w="866" w:type="dxa"/>
            <w:tcBorders>
              <w:top w:val="nil"/>
              <w:left w:val="nil"/>
              <w:bottom w:val="single" w:sz="4" w:space="0" w:color="auto"/>
              <w:right w:val="single" w:sz="4" w:space="0" w:color="auto"/>
            </w:tcBorders>
            <w:shd w:val="clear" w:color="auto" w:fill="auto"/>
            <w:noWrap/>
            <w:vAlign w:val="center"/>
            <w:hideMark/>
          </w:tcPr>
          <w:p w14:paraId="519B466B" w14:textId="77777777" w:rsidR="0074711A" w:rsidRPr="008E63BB" w:rsidRDefault="0074711A" w:rsidP="0065184D">
            <w:pPr>
              <w:jc w:val="center"/>
              <w:rPr>
                <w:rFonts w:eastAsia="Times New Roman"/>
                <w:sz w:val="20"/>
                <w:szCs w:val="20"/>
              </w:rPr>
            </w:pPr>
            <w:r w:rsidRPr="008E63BB">
              <w:rPr>
                <w:rFonts w:eastAsia="Times New Roman"/>
                <w:sz w:val="20"/>
                <w:szCs w:val="20"/>
              </w:rPr>
              <w:t>2014</w:t>
            </w:r>
          </w:p>
        </w:tc>
        <w:tc>
          <w:tcPr>
            <w:tcW w:w="866" w:type="dxa"/>
            <w:tcBorders>
              <w:top w:val="nil"/>
              <w:left w:val="nil"/>
              <w:bottom w:val="single" w:sz="4" w:space="0" w:color="auto"/>
              <w:right w:val="single" w:sz="4" w:space="0" w:color="auto"/>
            </w:tcBorders>
            <w:shd w:val="clear" w:color="auto" w:fill="auto"/>
            <w:noWrap/>
            <w:vAlign w:val="center"/>
            <w:hideMark/>
          </w:tcPr>
          <w:p w14:paraId="519B466C" w14:textId="77777777" w:rsidR="0074711A" w:rsidRPr="008E63BB" w:rsidRDefault="0074711A" w:rsidP="0065184D">
            <w:pPr>
              <w:jc w:val="center"/>
              <w:rPr>
                <w:rFonts w:eastAsia="Times New Roman"/>
                <w:sz w:val="20"/>
                <w:szCs w:val="20"/>
              </w:rPr>
            </w:pPr>
            <w:r w:rsidRPr="008E63BB">
              <w:rPr>
                <w:rFonts w:eastAsia="Times New Roman"/>
                <w:sz w:val="20"/>
                <w:szCs w:val="20"/>
              </w:rPr>
              <w:t>2015</w:t>
            </w:r>
          </w:p>
        </w:tc>
        <w:tc>
          <w:tcPr>
            <w:tcW w:w="866" w:type="dxa"/>
            <w:tcBorders>
              <w:top w:val="nil"/>
              <w:left w:val="nil"/>
              <w:bottom w:val="single" w:sz="4" w:space="0" w:color="auto"/>
              <w:right w:val="single" w:sz="4" w:space="0" w:color="auto"/>
            </w:tcBorders>
            <w:shd w:val="clear" w:color="auto" w:fill="auto"/>
            <w:noWrap/>
            <w:vAlign w:val="center"/>
            <w:hideMark/>
          </w:tcPr>
          <w:p w14:paraId="519B466D" w14:textId="77777777" w:rsidR="0074711A" w:rsidRPr="008E63BB" w:rsidRDefault="0074711A" w:rsidP="0065184D">
            <w:pPr>
              <w:jc w:val="center"/>
              <w:rPr>
                <w:rFonts w:eastAsia="Times New Roman"/>
                <w:sz w:val="20"/>
                <w:szCs w:val="20"/>
              </w:rPr>
            </w:pPr>
            <w:r w:rsidRPr="008E63BB">
              <w:rPr>
                <w:rFonts w:eastAsia="Times New Roman"/>
                <w:sz w:val="20"/>
                <w:szCs w:val="20"/>
              </w:rPr>
              <w:t>2016</w:t>
            </w:r>
          </w:p>
        </w:tc>
        <w:tc>
          <w:tcPr>
            <w:tcW w:w="866" w:type="dxa"/>
            <w:tcBorders>
              <w:top w:val="nil"/>
              <w:left w:val="nil"/>
              <w:bottom w:val="single" w:sz="4" w:space="0" w:color="auto"/>
              <w:right w:val="single" w:sz="4" w:space="0" w:color="auto"/>
            </w:tcBorders>
            <w:shd w:val="clear" w:color="auto" w:fill="auto"/>
            <w:noWrap/>
            <w:vAlign w:val="center"/>
            <w:hideMark/>
          </w:tcPr>
          <w:p w14:paraId="519B466E" w14:textId="77777777" w:rsidR="0074711A" w:rsidRPr="008E63BB" w:rsidRDefault="0074711A" w:rsidP="0065184D">
            <w:pPr>
              <w:jc w:val="center"/>
              <w:rPr>
                <w:rFonts w:eastAsia="Times New Roman"/>
                <w:sz w:val="20"/>
                <w:szCs w:val="20"/>
              </w:rPr>
            </w:pPr>
            <w:r w:rsidRPr="008E63BB">
              <w:rPr>
                <w:rFonts w:eastAsia="Times New Roman"/>
                <w:sz w:val="20"/>
                <w:szCs w:val="20"/>
              </w:rPr>
              <w:t>2017</w:t>
            </w:r>
          </w:p>
        </w:tc>
        <w:tc>
          <w:tcPr>
            <w:tcW w:w="866" w:type="dxa"/>
            <w:tcBorders>
              <w:top w:val="nil"/>
              <w:left w:val="nil"/>
              <w:bottom w:val="single" w:sz="4" w:space="0" w:color="auto"/>
              <w:right w:val="single" w:sz="4" w:space="0" w:color="auto"/>
            </w:tcBorders>
            <w:shd w:val="clear" w:color="auto" w:fill="auto"/>
            <w:vAlign w:val="center"/>
            <w:hideMark/>
          </w:tcPr>
          <w:p w14:paraId="519B466F" w14:textId="77777777" w:rsidR="0074711A" w:rsidRPr="008E63BB" w:rsidRDefault="0074711A" w:rsidP="0065184D">
            <w:pPr>
              <w:jc w:val="center"/>
              <w:rPr>
                <w:rFonts w:eastAsia="Times New Roman"/>
                <w:sz w:val="20"/>
                <w:szCs w:val="20"/>
              </w:rPr>
            </w:pPr>
            <w:r w:rsidRPr="008E63BB">
              <w:rPr>
                <w:rFonts w:eastAsia="Times New Roman"/>
                <w:sz w:val="20"/>
                <w:szCs w:val="20"/>
              </w:rPr>
              <w:t>2018</w:t>
            </w:r>
          </w:p>
        </w:tc>
        <w:tc>
          <w:tcPr>
            <w:tcW w:w="994" w:type="dxa"/>
            <w:vMerge/>
            <w:tcBorders>
              <w:left w:val="single" w:sz="4" w:space="0" w:color="auto"/>
              <w:bottom w:val="single" w:sz="4" w:space="0" w:color="000000"/>
              <w:right w:val="single" w:sz="4" w:space="0" w:color="auto"/>
            </w:tcBorders>
            <w:vAlign w:val="center"/>
            <w:hideMark/>
          </w:tcPr>
          <w:p w14:paraId="519B4670" w14:textId="77777777" w:rsidR="0074711A" w:rsidRPr="008E63BB" w:rsidRDefault="0074711A" w:rsidP="0065184D">
            <w:pPr>
              <w:jc w:val="left"/>
              <w:rPr>
                <w:rFonts w:eastAsia="Times New Roman"/>
                <w:sz w:val="20"/>
                <w:szCs w:val="20"/>
              </w:rPr>
            </w:pPr>
          </w:p>
        </w:tc>
      </w:tr>
      <w:tr w:rsidR="008D5BFE" w:rsidRPr="008E63BB" w14:paraId="519B4681" w14:textId="77777777" w:rsidTr="0074711A">
        <w:trPr>
          <w:trHeight w:val="36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72" w14:textId="77777777" w:rsidR="0074711A" w:rsidRPr="008E63BB" w:rsidRDefault="0074711A" w:rsidP="0065184D">
            <w:pPr>
              <w:jc w:val="left"/>
              <w:rPr>
                <w:rFonts w:eastAsia="Times New Roman"/>
                <w:b/>
                <w:bCs/>
                <w:i/>
                <w:iCs/>
                <w:sz w:val="20"/>
                <w:szCs w:val="20"/>
              </w:rPr>
            </w:pPr>
            <w:r w:rsidRPr="008E63BB">
              <w:rPr>
                <w:rFonts w:eastAsia="Times New Roman"/>
                <w:b/>
                <w:bCs/>
                <w:i/>
                <w:iCs/>
                <w:sz w:val="20"/>
                <w:szCs w:val="20"/>
              </w:rPr>
              <w:t> </w:t>
            </w:r>
          </w:p>
        </w:tc>
        <w:tc>
          <w:tcPr>
            <w:tcW w:w="2684" w:type="dxa"/>
            <w:tcBorders>
              <w:top w:val="nil"/>
              <w:left w:val="nil"/>
              <w:bottom w:val="single" w:sz="4" w:space="0" w:color="auto"/>
              <w:right w:val="single" w:sz="4" w:space="0" w:color="auto"/>
            </w:tcBorders>
            <w:shd w:val="clear" w:color="auto" w:fill="auto"/>
            <w:noWrap/>
            <w:vAlign w:val="center"/>
            <w:hideMark/>
          </w:tcPr>
          <w:p w14:paraId="519B4673" w14:textId="77777777" w:rsidR="0074711A" w:rsidRPr="008E63BB" w:rsidRDefault="0074711A" w:rsidP="0065184D">
            <w:pPr>
              <w:jc w:val="left"/>
              <w:rPr>
                <w:rFonts w:eastAsia="Times New Roman"/>
                <w:b/>
                <w:bCs/>
                <w:i/>
                <w:iCs/>
                <w:sz w:val="20"/>
                <w:szCs w:val="20"/>
              </w:rPr>
            </w:pPr>
            <w:r w:rsidRPr="008E63BB">
              <w:rPr>
                <w:rFonts w:eastAsia="Times New Roman"/>
                <w:b/>
                <w:bCs/>
                <w:i/>
                <w:iCs/>
                <w:sz w:val="20"/>
                <w:szCs w:val="20"/>
              </w:rPr>
              <w:t>Tổng RG QH (A+B+C+D)</w:t>
            </w:r>
          </w:p>
        </w:tc>
        <w:tc>
          <w:tcPr>
            <w:tcW w:w="794" w:type="dxa"/>
            <w:tcBorders>
              <w:top w:val="nil"/>
              <w:left w:val="nil"/>
              <w:bottom w:val="single" w:sz="4" w:space="0" w:color="auto"/>
              <w:right w:val="single" w:sz="4" w:space="0" w:color="auto"/>
            </w:tcBorders>
            <w:shd w:val="clear" w:color="auto" w:fill="auto"/>
            <w:noWrap/>
            <w:vAlign w:val="center"/>
            <w:hideMark/>
          </w:tcPr>
          <w:p w14:paraId="519B4674"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187,99</w:t>
            </w:r>
          </w:p>
        </w:tc>
        <w:tc>
          <w:tcPr>
            <w:tcW w:w="866" w:type="dxa"/>
            <w:tcBorders>
              <w:top w:val="nil"/>
              <w:left w:val="nil"/>
              <w:bottom w:val="single" w:sz="4" w:space="0" w:color="auto"/>
              <w:right w:val="single" w:sz="4" w:space="0" w:color="auto"/>
            </w:tcBorders>
            <w:shd w:val="clear" w:color="auto" w:fill="auto"/>
            <w:noWrap/>
            <w:vAlign w:val="center"/>
            <w:hideMark/>
          </w:tcPr>
          <w:p w14:paraId="519B4675"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305.112</w:t>
            </w:r>
          </w:p>
        </w:tc>
        <w:tc>
          <w:tcPr>
            <w:tcW w:w="866" w:type="dxa"/>
            <w:tcBorders>
              <w:top w:val="nil"/>
              <w:left w:val="nil"/>
              <w:bottom w:val="single" w:sz="4" w:space="0" w:color="auto"/>
              <w:right w:val="single" w:sz="4" w:space="0" w:color="auto"/>
            </w:tcBorders>
            <w:shd w:val="clear" w:color="auto" w:fill="auto"/>
            <w:noWrap/>
            <w:vAlign w:val="center"/>
            <w:hideMark/>
          </w:tcPr>
          <w:p w14:paraId="519B4676"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299.559</w:t>
            </w:r>
          </w:p>
        </w:tc>
        <w:tc>
          <w:tcPr>
            <w:tcW w:w="866" w:type="dxa"/>
            <w:tcBorders>
              <w:top w:val="nil"/>
              <w:left w:val="nil"/>
              <w:bottom w:val="single" w:sz="4" w:space="0" w:color="auto"/>
              <w:right w:val="single" w:sz="4" w:space="0" w:color="auto"/>
            </w:tcBorders>
            <w:shd w:val="clear" w:color="auto" w:fill="auto"/>
            <w:noWrap/>
            <w:vAlign w:val="center"/>
            <w:hideMark/>
          </w:tcPr>
          <w:p w14:paraId="519B4677"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387.826</w:t>
            </w:r>
          </w:p>
        </w:tc>
        <w:tc>
          <w:tcPr>
            <w:tcW w:w="866" w:type="dxa"/>
            <w:tcBorders>
              <w:top w:val="nil"/>
              <w:left w:val="nil"/>
              <w:bottom w:val="single" w:sz="4" w:space="0" w:color="auto"/>
              <w:right w:val="single" w:sz="4" w:space="0" w:color="auto"/>
            </w:tcBorders>
            <w:shd w:val="clear" w:color="auto" w:fill="auto"/>
            <w:noWrap/>
            <w:vAlign w:val="center"/>
            <w:hideMark/>
          </w:tcPr>
          <w:p w14:paraId="519B4678"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389.208</w:t>
            </w:r>
          </w:p>
        </w:tc>
        <w:tc>
          <w:tcPr>
            <w:tcW w:w="866" w:type="dxa"/>
            <w:tcBorders>
              <w:top w:val="nil"/>
              <w:left w:val="nil"/>
              <w:bottom w:val="single" w:sz="4" w:space="0" w:color="auto"/>
              <w:right w:val="single" w:sz="4" w:space="0" w:color="auto"/>
            </w:tcBorders>
            <w:shd w:val="clear" w:color="auto" w:fill="auto"/>
            <w:noWrap/>
            <w:vAlign w:val="center"/>
            <w:hideMark/>
          </w:tcPr>
          <w:p w14:paraId="519B4679"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389.505</w:t>
            </w:r>
          </w:p>
        </w:tc>
        <w:tc>
          <w:tcPr>
            <w:tcW w:w="866" w:type="dxa"/>
            <w:tcBorders>
              <w:top w:val="nil"/>
              <w:left w:val="nil"/>
              <w:bottom w:val="single" w:sz="4" w:space="0" w:color="auto"/>
              <w:right w:val="single" w:sz="4" w:space="0" w:color="auto"/>
            </w:tcBorders>
            <w:shd w:val="clear" w:color="auto" w:fill="auto"/>
            <w:noWrap/>
            <w:vAlign w:val="center"/>
            <w:hideMark/>
          </w:tcPr>
          <w:p w14:paraId="519B467A"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391.689</w:t>
            </w:r>
          </w:p>
        </w:tc>
        <w:tc>
          <w:tcPr>
            <w:tcW w:w="866" w:type="dxa"/>
            <w:tcBorders>
              <w:top w:val="nil"/>
              <w:left w:val="nil"/>
              <w:bottom w:val="single" w:sz="4" w:space="0" w:color="auto"/>
              <w:right w:val="single" w:sz="4" w:space="0" w:color="auto"/>
            </w:tcBorders>
            <w:shd w:val="clear" w:color="auto" w:fill="auto"/>
            <w:noWrap/>
            <w:vAlign w:val="center"/>
            <w:hideMark/>
          </w:tcPr>
          <w:p w14:paraId="519B467B"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511.242</w:t>
            </w:r>
          </w:p>
        </w:tc>
        <w:tc>
          <w:tcPr>
            <w:tcW w:w="866" w:type="dxa"/>
            <w:tcBorders>
              <w:top w:val="nil"/>
              <w:left w:val="nil"/>
              <w:bottom w:val="single" w:sz="4" w:space="0" w:color="auto"/>
              <w:right w:val="single" w:sz="4" w:space="0" w:color="auto"/>
            </w:tcBorders>
            <w:shd w:val="clear" w:color="auto" w:fill="auto"/>
            <w:noWrap/>
            <w:vAlign w:val="center"/>
            <w:hideMark/>
          </w:tcPr>
          <w:p w14:paraId="519B467C"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396.206</w:t>
            </w:r>
          </w:p>
        </w:tc>
        <w:tc>
          <w:tcPr>
            <w:tcW w:w="866" w:type="dxa"/>
            <w:tcBorders>
              <w:top w:val="nil"/>
              <w:left w:val="nil"/>
              <w:bottom w:val="single" w:sz="4" w:space="0" w:color="auto"/>
              <w:right w:val="single" w:sz="4" w:space="0" w:color="auto"/>
            </w:tcBorders>
            <w:shd w:val="clear" w:color="auto" w:fill="auto"/>
            <w:noWrap/>
            <w:vAlign w:val="center"/>
            <w:hideMark/>
          </w:tcPr>
          <w:p w14:paraId="519B467D"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396.656</w:t>
            </w:r>
          </w:p>
        </w:tc>
        <w:tc>
          <w:tcPr>
            <w:tcW w:w="866" w:type="dxa"/>
            <w:tcBorders>
              <w:top w:val="nil"/>
              <w:left w:val="nil"/>
              <w:bottom w:val="single" w:sz="4" w:space="0" w:color="auto"/>
              <w:right w:val="single" w:sz="4" w:space="0" w:color="auto"/>
            </w:tcBorders>
            <w:shd w:val="clear" w:color="auto" w:fill="auto"/>
            <w:noWrap/>
            <w:vAlign w:val="center"/>
            <w:hideMark/>
          </w:tcPr>
          <w:p w14:paraId="519B467E"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393.885</w:t>
            </w:r>
          </w:p>
        </w:tc>
        <w:tc>
          <w:tcPr>
            <w:tcW w:w="866" w:type="dxa"/>
            <w:tcBorders>
              <w:top w:val="nil"/>
              <w:left w:val="nil"/>
              <w:bottom w:val="single" w:sz="4" w:space="0" w:color="auto"/>
              <w:right w:val="single" w:sz="4" w:space="0" w:color="auto"/>
            </w:tcBorders>
            <w:shd w:val="clear" w:color="auto" w:fill="auto"/>
            <w:noWrap/>
            <w:vAlign w:val="center"/>
            <w:hideMark/>
          </w:tcPr>
          <w:p w14:paraId="519B467F"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387.298</w:t>
            </w:r>
          </w:p>
        </w:tc>
        <w:tc>
          <w:tcPr>
            <w:tcW w:w="994" w:type="dxa"/>
            <w:tcBorders>
              <w:top w:val="nil"/>
              <w:left w:val="nil"/>
              <w:bottom w:val="single" w:sz="4" w:space="0" w:color="auto"/>
              <w:right w:val="single" w:sz="4" w:space="0" w:color="auto"/>
            </w:tcBorders>
            <w:shd w:val="clear" w:color="auto" w:fill="auto"/>
            <w:noWrap/>
            <w:vAlign w:val="center"/>
            <w:hideMark/>
          </w:tcPr>
          <w:p w14:paraId="519B4680" w14:textId="77777777" w:rsidR="0074711A" w:rsidRPr="008E63BB" w:rsidRDefault="0074711A" w:rsidP="0065184D">
            <w:pPr>
              <w:jc w:val="right"/>
              <w:rPr>
                <w:rFonts w:eastAsia="Times New Roman"/>
                <w:b/>
                <w:bCs/>
                <w:i/>
                <w:iCs/>
                <w:sz w:val="20"/>
                <w:szCs w:val="20"/>
              </w:rPr>
            </w:pPr>
            <w:r w:rsidRPr="008E63BB">
              <w:rPr>
                <w:rFonts w:eastAsia="Times New Roman"/>
                <w:b/>
                <w:bCs/>
                <w:i/>
                <w:iCs/>
                <w:sz w:val="20"/>
                <w:szCs w:val="20"/>
              </w:rPr>
              <w:t>2.060</w:t>
            </w:r>
          </w:p>
        </w:tc>
      </w:tr>
      <w:tr w:rsidR="008D5BFE" w:rsidRPr="008E63BB" w14:paraId="519B469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82" w14:textId="77777777" w:rsidR="0074711A" w:rsidRPr="008E63BB" w:rsidRDefault="0074711A" w:rsidP="0065184D">
            <w:pPr>
              <w:jc w:val="left"/>
              <w:rPr>
                <w:rFonts w:eastAsia="Times New Roman"/>
                <w:sz w:val="20"/>
                <w:szCs w:val="20"/>
              </w:rPr>
            </w:pPr>
            <w:r w:rsidRPr="008E63BB">
              <w:rPr>
                <w:rFonts w:eastAsia="Times New Roman"/>
                <w:sz w:val="20"/>
                <w:szCs w:val="20"/>
              </w:rPr>
              <w:t>A</w:t>
            </w:r>
          </w:p>
        </w:tc>
        <w:tc>
          <w:tcPr>
            <w:tcW w:w="2684" w:type="dxa"/>
            <w:tcBorders>
              <w:top w:val="nil"/>
              <w:left w:val="nil"/>
              <w:bottom w:val="single" w:sz="4" w:space="0" w:color="auto"/>
              <w:right w:val="single" w:sz="4" w:space="0" w:color="auto"/>
            </w:tcBorders>
            <w:shd w:val="clear" w:color="auto" w:fill="auto"/>
            <w:noWrap/>
            <w:vAlign w:val="center"/>
            <w:hideMark/>
          </w:tcPr>
          <w:p w14:paraId="519B4683"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Toàn thành phố (I+II)</w:t>
            </w:r>
          </w:p>
        </w:tc>
        <w:tc>
          <w:tcPr>
            <w:tcW w:w="794" w:type="dxa"/>
            <w:tcBorders>
              <w:top w:val="nil"/>
              <w:left w:val="nil"/>
              <w:bottom w:val="single" w:sz="4" w:space="0" w:color="auto"/>
              <w:right w:val="single" w:sz="4" w:space="0" w:color="auto"/>
            </w:tcBorders>
            <w:shd w:val="clear" w:color="auto" w:fill="auto"/>
            <w:noWrap/>
            <w:vAlign w:val="center"/>
            <w:hideMark/>
          </w:tcPr>
          <w:p w14:paraId="519B4684"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46,42</w:t>
            </w:r>
          </w:p>
        </w:tc>
        <w:tc>
          <w:tcPr>
            <w:tcW w:w="866" w:type="dxa"/>
            <w:tcBorders>
              <w:top w:val="nil"/>
              <w:left w:val="nil"/>
              <w:bottom w:val="single" w:sz="4" w:space="0" w:color="auto"/>
              <w:right w:val="single" w:sz="4" w:space="0" w:color="auto"/>
            </w:tcBorders>
            <w:shd w:val="clear" w:color="auto" w:fill="auto"/>
            <w:noWrap/>
            <w:vAlign w:val="center"/>
            <w:hideMark/>
          </w:tcPr>
          <w:p w14:paraId="519B4685"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249.570</w:t>
            </w:r>
          </w:p>
        </w:tc>
        <w:tc>
          <w:tcPr>
            <w:tcW w:w="866" w:type="dxa"/>
            <w:tcBorders>
              <w:top w:val="nil"/>
              <w:left w:val="nil"/>
              <w:bottom w:val="single" w:sz="4" w:space="0" w:color="auto"/>
              <w:right w:val="single" w:sz="4" w:space="0" w:color="auto"/>
            </w:tcBorders>
            <w:shd w:val="clear" w:color="auto" w:fill="auto"/>
            <w:noWrap/>
            <w:vAlign w:val="center"/>
            <w:hideMark/>
          </w:tcPr>
          <w:p w14:paraId="519B4686"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244.017</w:t>
            </w:r>
          </w:p>
        </w:tc>
        <w:tc>
          <w:tcPr>
            <w:tcW w:w="866" w:type="dxa"/>
            <w:tcBorders>
              <w:top w:val="nil"/>
              <w:left w:val="nil"/>
              <w:bottom w:val="single" w:sz="4" w:space="0" w:color="auto"/>
              <w:right w:val="single" w:sz="4" w:space="0" w:color="auto"/>
            </w:tcBorders>
            <w:shd w:val="clear" w:color="auto" w:fill="auto"/>
            <w:noWrap/>
            <w:vAlign w:val="center"/>
            <w:hideMark/>
          </w:tcPr>
          <w:p w14:paraId="519B4687"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244.300</w:t>
            </w:r>
          </w:p>
        </w:tc>
        <w:tc>
          <w:tcPr>
            <w:tcW w:w="866" w:type="dxa"/>
            <w:tcBorders>
              <w:top w:val="nil"/>
              <w:left w:val="nil"/>
              <w:bottom w:val="single" w:sz="4" w:space="0" w:color="auto"/>
              <w:right w:val="single" w:sz="4" w:space="0" w:color="auto"/>
            </w:tcBorders>
            <w:shd w:val="clear" w:color="auto" w:fill="auto"/>
            <w:noWrap/>
            <w:vAlign w:val="center"/>
            <w:hideMark/>
          </w:tcPr>
          <w:p w14:paraId="519B4688"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245.667</w:t>
            </w:r>
          </w:p>
        </w:tc>
        <w:tc>
          <w:tcPr>
            <w:tcW w:w="866" w:type="dxa"/>
            <w:tcBorders>
              <w:top w:val="nil"/>
              <w:left w:val="nil"/>
              <w:bottom w:val="single" w:sz="4" w:space="0" w:color="auto"/>
              <w:right w:val="single" w:sz="4" w:space="0" w:color="auto"/>
            </w:tcBorders>
            <w:shd w:val="clear" w:color="auto" w:fill="auto"/>
            <w:noWrap/>
            <w:vAlign w:val="center"/>
            <w:hideMark/>
          </w:tcPr>
          <w:p w14:paraId="519B4689"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245.848</w:t>
            </w:r>
          </w:p>
        </w:tc>
        <w:tc>
          <w:tcPr>
            <w:tcW w:w="866" w:type="dxa"/>
            <w:tcBorders>
              <w:top w:val="nil"/>
              <w:left w:val="nil"/>
              <w:bottom w:val="single" w:sz="4" w:space="0" w:color="auto"/>
              <w:right w:val="single" w:sz="4" w:space="0" w:color="auto"/>
            </w:tcBorders>
            <w:shd w:val="clear" w:color="auto" w:fill="auto"/>
            <w:noWrap/>
            <w:vAlign w:val="center"/>
            <w:hideMark/>
          </w:tcPr>
          <w:p w14:paraId="519B468A"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247.709</w:t>
            </w:r>
          </w:p>
        </w:tc>
        <w:tc>
          <w:tcPr>
            <w:tcW w:w="866" w:type="dxa"/>
            <w:tcBorders>
              <w:top w:val="nil"/>
              <w:left w:val="nil"/>
              <w:bottom w:val="single" w:sz="4" w:space="0" w:color="auto"/>
              <w:right w:val="single" w:sz="4" w:space="0" w:color="auto"/>
            </w:tcBorders>
            <w:shd w:val="clear" w:color="auto" w:fill="auto"/>
            <w:noWrap/>
            <w:vAlign w:val="center"/>
            <w:hideMark/>
          </w:tcPr>
          <w:p w14:paraId="519B468B"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249.865</w:t>
            </w:r>
          </w:p>
        </w:tc>
        <w:tc>
          <w:tcPr>
            <w:tcW w:w="866" w:type="dxa"/>
            <w:tcBorders>
              <w:top w:val="nil"/>
              <w:left w:val="nil"/>
              <w:bottom w:val="single" w:sz="4" w:space="0" w:color="auto"/>
              <w:right w:val="single" w:sz="4" w:space="0" w:color="auto"/>
            </w:tcBorders>
            <w:shd w:val="clear" w:color="auto" w:fill="auto"/>
            <w:noWrap/>
            <w:vAlign w:val="center"/>
            <w:hideMark/>
          </w:tcPr>
          <w:p w14:paraId="519B468C"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251.628</w:t>
            </w:r>
          </w:p>
        </w:tc>
        <w:tc>
          <w:tcPr>
            <w:tcW w:w="866" w:type="dxa"/>
            <w:tcBorders>
              <w:top w:val="nil"/>
              <w:left w:val="nil"/>
              <w:bottom w:val="single" w:sz="4" w:space="0" w:color="auto"/>
              <w:right w:val="single" w:sz="4" w:space="0" w:color="auto"/>
            </w:tcBorders>
            <w:shd w:val="clear" w:color="auto" w:fill="auto"/>
            <w:noWrap/>
            <w:vAlign w:val="center"/>
            <w:hideMark/>
          </w:tcPr>
          <w:p w14:paraId="519B468D"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252.008</w:t>
            </w:r>
          </w:p>
        </w:tc>
        <w:tc>
          <w:tcPr>
            <w:tcW w:w="866" w:type="dxa"/>
            <w:tcBorders>
              <w:top w:val="nil"/>
              <w:left w:val="nil"/>
              <w:bottom w:val="single" w:sz="4" w:space="0" w:color="auto"/>
              <w:right w:val="single" w:sz="4" w:space="0" w:color="auto"/>
            </w:tcBorders>
            <w:shd w:val="clear" w:color="auto" w:fill="auto"/>
            <w:noWrap/>
            <w:vAlign w:val="center"/>
            <w:hideMark/>
          </w:tcPr>
          <w:p w14:paraId="519B468E"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249.206</w:t>
            </w:r>
          </w:p>
        </w:tc>
        <w:tc>
          <w:tcPr>
            <w:tcW w:w="866" w:type="dxa"/>
            <w:tcBorders>
              <w:top w:val="nil"/>
              <w:left w:val="nil"/>
              <w:bottom w:val="single" w:sz="4" w:space="0" w:color="auto"/>
              <w:right w:val="single" w:sz="4" w:space="0" w:color="auto"/>
            </w:tcBorders>
            <w:shd w:val="clear" w:color="auto" w:fill="auto"/>
            <w:noWrap/>
            <w:vAlign w:val="center"/>
            <w:hideMark/>
          </w:tcPr>
          <w:p w14:paraId="519B468F"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253.343</w:t>
            </w:r>
          </w:p>
        </w:tc>
        <w:tc>
          <w:tcPr>
            <w:tcW w:w="994" w:type="dxa"/>
            <w:tcBorders>
              <w:top w:val="nil"/>
              <w:left w:val="nil"/>
              <w:bottom w:val="single" w:sz="4" w:space="0" w:color="auto"/>
              <w:right w:val="single" w:sz="4" w:space="0" w:color="auto"/>
            </w:tcBorders>
            <w:shd w:val="clear" w:color="auto" w:fill="auto"/>
            <w:noWrap/>
            <w:vAlign w:val="center"/>
            <w:hideMark/>
          </w:tcPr>
          <w:p w14:paraId="519B4690"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5.458</w:t>
            </w:r>
          </w:p>
        </w:tc>
      </w:tr>
      <w:tr w:rsidR="008D5BFE" w:rsidRPr="008E63BB" w14:paraId="519B46A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92"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I</w:t>
            </w:r>
          </w:p>
        </w:tc>
        <w:tc>
          <w:tcPr>
            <w:tcW w:w="2684" w:type="dxa"/>
            <w:tcBorders>
              <w:top w:val="nil"/>
              <w:left w:val="nil"/>
              <w:bottom w:val="single" w:sz="4" w:space="0" w:color="auto"/>
              <w:right w:val="single" w:sz="4" w:space="0" w:color="auto"/>
            </w:tcBorders>
            <w:shd w:val="clear" w:color="auto" w:fill="auto"/>
            <w:noWrap/>
            <w:vAlign w:val="center"/>
            <w:hideMark/>
          </w:tcPr>
          <w:p w14:paraId="519B4693"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Nội thành</w:t>
            </w:r>
          </w:p>
        </w:tc>
        <w:tc>
          <w:tcPr>
            <w:tcW w:w="794" w:type="dxa"/>
            <w:tcBorders>
              <w:top w:val="nil"/>
              <w:left w:val="nil"/>
              <w:bottom w:val="single" w:sz="4" w:space="0" w:color="auto"/>
              <w:right w:val="single" w:sz="4" w:space="0" w:color="auto"/>
            </w:tcBorders>
            <w:shd w:val="clear" w:color="auto" w:fill="auto"/>
            <w:noWrap/>
            <w:vAlign w:val="center"/>
            <w:hideMark/>
          </w:tcPr>
          <w:p w14:paraId="519B4694"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30,89</w:t>
            </w:r>
          </w:p>
        </w:tc>
        <w:tc>
          <w:tcPr>
            <w:tcW w:w="866" w:type="dxa"/>
            <w:tcBorders>
              <w:top w:val="nil"/>
              <w:left w:val="nil"/>
              <w:bottom w:val="single" w:sz="4" w:space="0" w:color="auto"/>
              <w:right w:val="single" w:sz="4" w:space="0" w:color="auto"/>
            </w:tcBorders>
            <w:shd w:val="clear" w:color="auto" w:fill="auto"/>
            <w:noWrap/>
            <w:vAlign w:val="center"/>
            <w:hideMark/>
          </w:tcPr>
          <w:p w14:paraId="519B4695"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203.686</w:t>
            </w:r>
          </w:p>
        </w:tc>
        <w:tc>
          <w:tcPr>
            <w:tcW w:w="866" w:type="dxa"/>
            <w:tcBorders>
              <w:top w:val="nil"/>
              <w:left w:val="nil"/>
              <w:bottom w:val="nil"/>
              <w:right w:val="single" w:sz="4" w:space="0" w:color="auto"/>
            </w:tcBorders>
            <w:shd w:val="clear" w:color="auto" w:fill="auto"/>
            <w:noWrap/>
            <w:vAlign w:val="center"/>
            <w:hideMark/>
          </w:tcPr>
          <w:p w14:paraId="519B4696"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194.905</w:t>
            </w:r>
          </w:p>
        </w:tc>
        <w:tc>
          <w:tcPr>
            <w:tcW w:w="866" w:type="dxa"/>
            <w:tcBorders>
              <w:top w:val="nil"/>
              <w:left w:val="nil"/>
              <w:bottom w:val="single" w:sz="4" w:space="0" w:color="auto"/>
              <w:right w:val="single" w:sz="4" w:space="0" w:color="auto"/>
            </w:tcBorders>
            <w:shd w:val="clear" w:color="auto" w:fill="auto"/>
            <w:noWrap/>
            <w:vAlign w:val="center"/>
            <w:hideMark/>
          </w:tcPr>
          <w:p w14:paraId="519B4697"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197.286</w:t>
            </w:r>
          </w:p>
        </w:tc>
        <w:tc>
          <w:tcPr>
            <w:tcW w:w="866" w:type="dxa"/>
            <w:tcBorders>
              <w:top w:val="nil"/>
              <w:left w:val="nil"/>
              <w:bottom w:val="single" w:sz="4" w:space="0" w:color="auto"/>
              <w:right w:val="single" w:sz="4" w:space="0" w:color="auto"/>
            </w:tcBorders>
            <w:shd w:val="clear" w:color="auto" w:fill="auto"/>
            <w:noWrap/>
            <w:vAlign w:val="center"/>
            <w:hideMark/>
          </w:tcPr>
          <w:p w14:paraId="519B4698"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197.540</w:t>
            </w:r>
          </w:p>
        </w:tc>
        <w:tc>
          <w:tcPr>
            <w:tcW w:w="866" w:type="dxa"/>
            <w:tcBorders>
              <w:top w:val="nil"/>
              <w:left w:val="nil"/>
              <w:bottom w:val="single" w:sz="4" w:space="0" w:color="auto"/>
              <w:right w:val="single" w:sz="4" w:space="0" w:color="auto"/>
            </w:tcBorders>
            <w:shd w:val="clear" w:color="auto" w:fill="auto"/>
            <w:noWrap/>
            <w:vAlign w:val="center"/>
            <w:hideMark/>
          </w:tcPr>
          <w:p w14:paraId="519B4699"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199.325</w:t>
            </w:r>
          </w:p>
        </w:tc>
        <w:tc>
          <w:tcPr>
            <w:tcW w:w="866" w:type="dxa"/>
            <w:tcBorders>
              <w:top w:val="nil"/>
              <w:left w:val="nil"/>
              <w:bottom w:val="single" w:sz="4" w:space="0" w:color="auto"/>
              <w:right w:val="single" w:sz="4" w:space="0" w:color="auto"/>
            </w:tcBorders>
            <w:shd w:val="clear" w:color="auto" w:fill="auto"/>
            <w:noWrap/>
            <w:vAlign w:val="center"/>
            <w:hideMark/>
          </w:tcPr>
          <w:p w14:paraId="519B469A"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200.006</w:t>
            </w:r>
          </w:p>
        </w:tc>
        <w:tc>
          <w:tcPr>
            <w:tcW w:w="866" w:type="dxa"/>
            <w:tcBorders>
              <w:top w:val="nil"/>
              <w:left w:val="nil"/>
              <w:bottom w:val="single" w:sz="4" w:space="0" w:color="auto"/>
              <w:right w:val="single" w:sz="4" w:space="0" w:color="auto"/>
            </w:tcBorders>
            <w:shd w:val="clear" w:color="auto" w:fill="auto"/>
            <w:noWrap/>
            <w:vAlign w:val="center"/>
            <w:hideMark/>
          </w:tcPr>
          <w:p w14:paraId="519B469B"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201.036</w:t>
            </w:r>
          </w:p>
        </w:tc>
        <w:tc>
          <w:tcPr>
            <w:tcW w:w="866" w:type="dxa"/>
            <w:tcBorders>
              <w:top w:val="nil"/>
              <w:left w:val="nil"/>
              <w:bottom w:val="single" w:sz="4" w:space="0" w:color="auto"/>
              <w:right w:val="single" w:sz="4" w:space="0" w:color="auto"/>
            </w:tcBorders>
            <w:shd w:val="clear" w:color="auto" w:fill="auto"/>
            <w:noWrap/>
            <w:vAlign w:val="center"/>
            <w:hideMark/>
          </w:tcPr>
          <w:p w14:paraId="519B469C"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202.027</w:t>
            </w:r>
          </w:p>
        </w:tc>
        <w:tc>
          <w:tcPr>
            <w:tcW w:w="866" w:type="dxa"/>
            <w:tcBorders>
              <w:top w:val="nil"/>
              <w:left w:val="nil"/>
              <w:bottom w:val="single" w:sz="4" w:space="0" w:color="auto"/>
              <w:right w:val="single" w:sz="4" w:space="0" w:color="auto"/>
            </w:tcBorders>
            <w:shd w:val="clear" w:color="auto" w:fill="auto"/>
            <w:noWrap/>
            <w:vAlign w:val="center"/>
            <w:hideMark/>
          </w:tcPr>
          <w:p w14:paraId="519B469D"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201.778</w:t>
            </w:r>
          </w:p>
        </w:tc>
        <w:tc>
          <w:tcPr>
            <w:tcW w:w="866" w:type="dxa"/>
            <w:tcBorders>
              <w:top w:val="nil"/>
              <w:left w:val="nil"/>
              <w:bottom w:val="single" w:sz="4" w:space="0" w:color="auto"/>
              <w:right w:val="single" w:sz="4" w:space="0" w:color="auto"/>
            </w:tcBorders>
            <w:shd w:val="clear" w:color="auto" w:fill="auto"/>
            <w:noWrap/>
            <w:vAlign w:val="center"/>
            <w:hideMark/>
          </w:tcPr>
          <w:p w14:paraId="519B469E"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198.873</w:t>
            </w:r>
          </w:p>
        </w:tc>
        <w:tc>
          <w:tcPr>
            <w:tcW w:w="866" w:type="dxa"/>
            <w:tcBorders>
              <w:top w:val="nil"/>
              <w:left w:val="nil"/>
              <w:bottom w:val="single" w:sz="4" w:space="0" w:color="auto"/>
              <w:right w:val="single" w:sz="4" w:space="0" w:color="auto"/>
            </w:tcBorders>
            <w:shd w:val="clear" w:color="auto" w:fill="auto"/>
            <w:noWrap/>
            <w:vAlign w:val="center"/>
            <w:hideMark/>
          </w:tcPr>
          <w:p w14:paraId="519B469F"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230.680</w:t>
            </w:r>
          </w:p>
        </w:tc>
        <w:tc>
          <w:tcPr>
            <w:tcW w:w="994" w:type="dxa"/>
            <w:tcBorders>
              <w:top w:val="nil"/>
              <w:left w:val="nil"/>
              <w:bottom w:val="single" w:sz="4" w:space="0" w:color="auto"/>
              <w:right w:val="single" w:sz="4" w:space="0" w:color="auto"/>
            </w:tcBorders>
            <w:shd w:val="clear" w:color="auto" w:fill="auto"/>
            <w:noWrap/>
            <w:vAlign w:val="center"/>
            <w:hideMark/>
          </w:tcPr>
          <w:p w14:paraId="519B46A0"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7.468</w:t>
            </w:r>
          </w:p>
        </w:tc>
      </w:tr>
      <w:tr w:rsidR="008D5BFE" w:rsidRPr="008E63BB" w14:paraId="519B46B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A2" w14:textId="77777777" w:rsidR="0074711A" w:rsidRPr="008E63BB" w:rsidRDefault="0074711A" w:rsidP="0065184D">
            <w:pPr>
              <w:jc w:val="right"/>
              <w:rPr>
                <w:rFonts w:eastAsia="Times New Roman"/>
                <w:sz w:val="20"/>
                <w:szCs w:val="20"/>
              </w:rPr>
            </w:pPr>
            <w:r w:rsidRPr="008E63BB">
              <w:rPr>
                <w:rFonts w:eastAsia="Times New Roman"/>
                <w:sz w:val="20"/>
                <w:szCs w:val="20"/>
              </w:rPr>
              <w:t>1</w:t>
            </w:r>
          </w:p>
        </w:tc>
        <w:tc>
          <w:tcPr>
            <w:tcW w:w="2684" w:type="dxa"/>
            <w:tcBorders>
              <w:top w:val="nil"/>
              <w:left w:val="nil"/>
              <w:bottom w:val="single" w:sz="4" w:space="0" w:color="auto"/>
              <w:right w:val="single" w:sz="4" w:space="0" w:color="auto"/>
            </w:tcBorders>
            <w:shd w:val="clear" w:color="auto" w:fill="auto"/>
            <w:vAlign w:val="center"/>
            <w:hideMark/>
          </w:tcPr>
          <w:p w14:paraId="519B46A3" w14:textId="77777777" w:rsidR="0074711A" w:rsidRPr="008E63BB" w:rsidRDefault="0074711A" w:rsidP="0065184D">
            <w:pPr>
              <w:jc w:val="left"/>
              <w:rPr>
                <w:rFonts w:eastAsia="Times New Roman"/>
                <w:sz w:val="20"/>
                <w:szCs w:val="20"/>
              </w:rPr>
            </w:pPr>
            <w:r w:rsidRPr="008E63BB">
              <w:rPr>
                <w:rFonts w:eastAsia="Times New Roman"/>
                <w:sz w:val="20"/>
                <w:szCs w:val="20"/>
              </w:rPr>
              <w:t>P.</w:t>
            </w:r>
            <w:r w:rsidR="00450752" w:rsidRPr="008E63BB">
              <w:rPr>
                <w:rFonts w:eastAsia="Times New Roman"/>
                <w:sz w:val="20"/>
                <w:szCs w:val="20"/>
              </w:rPr>
              <w:t>Nam Định</w:t>
            </w:r>
          </w:p>
        </w:tc>
        <w:tc>
          <w:tcPr>
            <w:tcW w:w="794" w:type="dxa"/>
            <w:tcBorders>
              <w:top w:val="nil"/>
              <w:left w:val="nil"/>
              <w:bottom w:val="single" w:sz="4" w:space="0" w:color="auto"/>
              <w:right w:val="single" w:sz="4" w:space="0" w:color="auto"/>
            </w:tcBorders>
            <w:shd w:val="clear" w:color="auto" w:fill="auto"/>
            <w:noWrap/>
            <w:vAlign w:val="center"/>
            <w:hideMark/>
          </w:tcPr>
          <w:p w14:paraId="519B46A4" w14:textId="77777777" w:rsidR="0074711A" w:rsidRPr="008E63BB" w:rsidRDefault="0074711A" w:rsidP="0065184D">
            <w:pPr>
              <w:jc w:val="right"/>
              <w:rPr>
                <w:rFonts w:eastAsia="Times New Roman"/>
                <w:sz w:val="20"/>
                <w:szCs w:val="20"/>
              </w:rPr>
            </w:pPr>
            <w:r w:rsidRPr="008E63BB">
              <w:rPr>
                <w:rFonts w:eastAsia="Times New Roman"/>
                <w:sz w:val="20"/>
                <w:szCs w:val="20"/>
              </w:rPr>
              <w:t>0,59</w:t>
            </w:r>
          </w:p>
        </w:tc>
        <w:tc>
          <w:tcPr>
            <w:tcW w:w="866" w:type="dxa"/>
            <w:tcBorders>
              <w:top w:val="nil"/>
              <w:left w:val="nil"/>
              <w:bottom w:val="single" w:sz="4" w:space="0" w:color="auto"/>
              <w:right w:val="nil"/>
            </w:tcBorders>
            <w:shd w:val="clear" w:color="auto" w:fill="auto"/>
            <w:vAlign w:val="center"/>
            <w:hideMark/>
          </w:tcPr>
          <w:p w14:paraId="519B46A5" w14:textId="77777777" w:rsidR="0074711A" w:rsidRPr="008E63BB" w:rsidRDefault="0074711A" w:rsidP="0065184D">
            <w:pPr>
              <w:jc w:val="right"/>
              <w:rPr>
                <w:rFonts w:eastAsia="Times New Roman"/>
                <w:sz w:val="20"/>
                <w:szCs w:val="20"/>
              </w:rPr>
            </w:pPr>
            <w:r w:rsidRPr="008E63BB">
              <w:rPr>
                <w:rFonts w:eastAsia="Times New Roman"/>
                <w:sz w:val="20"/>
                <w:szCs w:val="20"/>
              </w:rPr>
              <w:t>14.616</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6A6" w14:textId="77777777" w:rsidR="0074711A" w:rsidRPr="008E63BB" w:rsidRDefault="0074711A" w:rsidP="0065184D">
            <w:pPr>
              <w:jc w:val="right"/>
              <w:rPr>
                <w:rFonts w:eastAsia="Times New Roman"/>
                <w:sz w:val="20"/>
                <w:szCs w:val="20"/>
              </w:rPr>
            </w:pPr>
            <w:r w:rsidRPr="008E63BB">
              <w:rPr>
                <w:rFonts w:eastAsia="Times New Roman"/>
                <w:sz w:val="20"/>
                <w:szCs w:val="20"/>
              </w:rPr>
              <w:t>14.595</w:t>
            </w:r>
          </w:p>
        </w:tc>
        <w:tc>
          <w:tcPr>
            <w:tcW w:w="866" w:type="dxa"/>
            <w:tcBorders>
              <w:top w:val="nil"/>
              <w:left w:val="nil"/>
              <w:bottom w:val="single" w:sz="4" w:space="0" w:color="auto"/>
              <w:right w:val="single" w:sz="4" w:space="0" w:color="auto"/>
            </w:tcBorders>
            <w:shd w:val="clear" w:color="auto" w:fill="auto"/>
            <w:noWrap/>
            <w:vAlign w:val="center"/>
            <w:hideMark/>
          </w:tcPr>
          <w:p w14:paraId="519B46A7" w14:textId="77777777" w:rsidR="0074711A" w:rsidRPr="008E63BB" w:rsidRDefault="0074711A" w:rsidP="0065184D">
            <w:pPr>
              <w:jc w:val="right"/>
              <w:rPr>
                <w:rFonts w:eastAsia="Times New Roman"/>
                <w:sz w:val="20"/>
                <w:szCs w:val="20"/>
              </w:rPr>
            </w:pPr>
            <w:r w:rsidRPr="008E63BB">
              <w:rPr>
                <w:rFonts w:eastAsia="Times New Roman"/>
                <w:sz w:val="20"/>
                <w:szCs w:val="20"/>
              </w:rPr>
              <w:t>14.961</w:t>
            </w:r>
          </w:p>
        </w:tc>
        <w:tc>
          <w:tcPr>
            <w:tcW w:w="866" w:type="dxa"/>
            <w:tcBorders>
              <w:top w:val="nil"/>
              <w:left w:val="nil"/>
              <w:bottom w:val="single" w:sz="4" w:space="0" w:color="auto"/>
              <w:right w:val="single" w:sz="4" w:space="0" w:color="auto"/>
            </w:tcBorders>
            <w:shd w:val="clear" w:color="auto" w:fill="auto"/>
            <w:vAlign w:val="bottom"/>
            <w:hideMark/>
          </w:tcPr>
          <w:p w14:paraId="519B46A8" w14:textId="77777777" w:rsidR="0074711A" w:rsidRPr="008E63BB" w:rsidRDefault="0074711A" w:rsidP="0065184D">
            <w:pPr>
              <w:jc w:val="right"/>
              <w:rPr>
                <w:rFonts w:eastAsia="Times New Roman"/>
                <w:sz w:val="20"/>
                <w:szCs w:val="20"/>
              </w:rPr>
            </w:pPr>
            <w:r w:rsidRPr="008E63BB">
              <w:rPr>
                <w:rFonts w:eastAsia="Times New Roman"/>
                <w:sz w:val="20"/>
                <w:szCs w:val="20"/>
              </w:rPr>
              <w:t>15.256</w:t>
            </w:r>
          </w:p>
        </w:tc>
        <w:tc>
          <w:tcPr>
            <w:tcW w:w="866" w:type="dxa"/>
            <w:tcBorders>
              <w:top w:val="nil"/>
              <w:left w:val="nil"/>
              <w:bottom w:val="single" w:sz="4" w:space="0" w:color="auto"/>
              <w:right w:val="single" w:sz="4" w:space="0" w:color="auto"/>
            </w:tcBorders>
            <w:shd w:val="clear" w:color="auto" w:fill="auto"/>
            <w:vAlign w:val="bottom"/>
            <w:hideMark/>
          </w:tcPr>
          <w:p w14:paraId="519B46A9" w14:textId="77777777" w:rsidR="0074711A" w:rsidRPr="008E63BB" w:rsidRDefault="0074711A" w:rsidP="0065184D">
            <w:pPr>
              <w:jc w:val="right"/>
              <w:rPr>
                <w:rFonts w:eastAsia="Times New Roman"/>
                <w:sz w:val="20"/>
                <w:szCs w:val="20"/>
              </w:rPr>
            </w:pPr>
            <w:r w:rsidRPr="008E63BB">
              <w:rPr>
                <w:rFonts w:eastAsia="Times New Roman"/>
                <w:sz w:val="20"/>
                <w:szCs w:val="20"/>
              </w:rPr>
              <w:t>15.568</w:t>
            </w:r>
          </w:p>
        </w:tc>
        <w:tc>
          <w:tcPr>
            <w:tcW w:w="866" w:type="dxa"/>
            <w:tcBorders>
              <w:top w:val="nil"/>
              <w:left w:val="nil"/>
              <w:bottom w:val="single" w:sz="4" w:space="0" w:color="auto"/>
              <w:right w:val="single" w:sz="4" w:space="0" w:color="auto"/>
            </w:tcBorders>
            <w:shd w:val="clear" w:color="auto" w:fill="auto"/>
            <w:noWrap/>
            <w:vAlign w:val="center"/>
            <w:hideMark/>
          </w:tcPr>
          <w:p w14:paraId="519B46AA" w14:textId="77777777" w:rsidR="0074711A" w:rsidRPr="008E63BB" w:rsidRDefault="0074711A" w:rsidP="0065184D">
            <w:pPr>
              <w:jc w:val="right"/>
              <w:rPr>
                <w:rFonts w:eastAsia="Times New Roman"/>
                <w:sz w:val="20"/>
                <w:szCs w:val="20"/>
              </w:rPr>
            </w:pPr>
            <w:r w:rsidRPr="008E63BB">
              <w:rPr>
                <w:rFonts w:eastAsia="Times New Roman"/>
                <w:sz w:val="20"/>
                <w:szCs w:val="20"/>
              </w:rPr>
              <w:t>15.761</w:t>
            </w:r>
          </w:p>
        </w:tc>
        <w:tc>
          <w:tcPr>
            <w:tcW w:w="866" w:type="dxa"/>
            <w:tcBorders>
              <w:top w:val="nil"/>
              <w:left w:val="nil"/>
              <w:bottom w:val="single" w:sz="4" w:space="0" w:color="auto"/>
              <w:right w:val="single" w:sz="4" w:space="0" w:color="auto"/>
            </w:tcBorders>
            <w:shd w:val="clear" w:color="auto" w:fill="auto"/>
            <w:noWrap/>
            <w:vAlign w:val="center"/>
            <w:hideMark/>
          </w:tcPr>
          <w:p w14:paraId="519B46AB" w14:textId="77777777" w:rsidR="0074711A" w:rsidRPr="008E63BB" w:rsidRDefault="0074711A" w:rsidP="0065184D">
            <w:pPr>
              <w:jc w:val="right"/>
              <w:rPr>
                <w:rFonts w:eastAsia="Times New Roman"/>
                <w:sz w:val="20"/>
                <w:szCs w:val="20"/>
              </w:rPr>
            </w:pPr>
            <w:r w:rsidRPr="008E63BB">
              <w:rPr>
                <w:rFonts w:eastAsia="Times New Roman"/>
                <w:sz w:val="20"/>
                <w:szCs w:val="20"/>
              </w:rPr>
              <w:t>15.948</w:t>
            </w:r>
          </w:p>
        </w:tc>
        <w:tc>
          <w:tcPr>
            <w:tcW w:w="866" w:type="dxa"/>
            <w:tcBorders>
              <w:top w:val="nil"/>
              <w:left w:val="nil"/>
              <w:bottom w:val="single" w:sz="4" w:space="0" w:color="auto"/>
              <w:right w:val="single" w:sz="4" w:space="0" w:color="auto"/>
            </w:tcBorders>
            <w:shd w:val="clear" w:color="auto" w:fill="auto"/>
            <w:noWrap/>
            <w:vAlign w:val="center"/>
            <w:hideMark/>
          </w:tcPr>
          <w:p w14:paraId="519B46AC" w14:textId="77777777" w:rsidR="0074711A" w:rsidRPr="008E63BB" w:rsidRDefault="0074711A" w:rsidP="0065184D">
            <w:pPr>
              <w:jc w:val="right"/>
              <w:rPr>
                <w:rFonts w:eastAsia="Times New Roman"/>
                <w:sz w:val="20"/>
                <w:szCs w:val="20"/>
              </w:rPr>
            </w:pPr>
            <w:r w:rsidRPr="008E63BB">
              <w:rPr>
                <w:rFonts w:eastAsia="Times New Roman"/>
                <w:sz w:val="20"/>
                <w:szCs w:val="20"/>
              </w:rPr>
              <w:t>16.059</w:t>
            </w:r>
          </w:p>
        </w:tc>
        <w:tc>
          <w:tcPr>
            <w:tcW w:w="866" w:type="dxa"/>
            <w:tcBorders>
              <w:top w:val="nil"/>
              <w:left w:val="nil"/>
              <w:bottom w:val="single" w:sz="4" w:space="0" w:color="auto"/>
              <w:right w:val="single" w:sz="4" w:space="0" w:color="auto"/>
            </w:tcBorders>
            <w:shd w:val="clear" w:color="auto" w:fill="auto"/>
            <w:noWrap/>
            <w:vAlign w:val="center"/>
            <w:hideMark/>
          </w:tcPr>
          <w:p w14:paraId="519B46AD" w14:textId="77777777" w:rsidR="0074711A" w:rsidRPr="008E63BB" w:rsidRDefault="0074711A" w:rsidP="0065184D">
            <w:pPr>
              <w:jc w:val="right"/>
              <w:rPr>
                <w:rFonts w:eastAsia="Times New Roman"/>
                <w:sz w:val="20"/>
                <w:szCs w:val="20"/>
              </w:rPr>
            </w:pPr>
            <w:r w:rsidRPr="008E63BB">
              <w:rPr>
                <w:rFonts w:eastAsia="Times New Roman"/>
                <w:sz w:val="20"/>
                <w:szCs w:val="20"/>
              </w:rPr>
              <w:t>16.265</w:t>
            </w:r>
          </w:p>
        </w:tc>
        <w:tc>
          <w:tcPr>
            <w:tcW w:w="866" w:type="dxa"/>
            <w:tcBorders>
              <w:top w:val="nil"/>
              <w:left w:val="nil"/>
              <w:bottom w:val="single" w:sz="4" w:space="0" w:color="auto"/>
              <w:right w:val="single" w:sz="4" w:space="0" w:color="auto"/>
            </w:tcBorders>
            <w:shd w:val="clear" w:color="auto" w:fill="auto"/>
            <w:noWrap/>
            <w:vAlign w:val="center"/>
            <w:hideMark/>
          </w:tcPr>
          <w:p w14:paraId="519B46AE" w14:textId="77777777" w:rsidR="0074711A" w:rsidRPr="008E63BB" w:rsidRDefault="0074711A" w:rsidP="0065184D">
            <w:pPr>
              <w:jc w:val="right"/>
              <w:rPr>
                <w:rFonts w:eastAsia="Times New Roman"/>
                <w:sz w:val="20"/>
                <w:szCs w:val="20"/>
              </w:rPr>
            </w:pPr>
            <w:r w:rsidRPr="008E63BB">
              <w:rPr>
                <w:rFonts w:eastAsia="Times New Roman"/>
                <w:sz w:val="20"/>
                <w:szCs w:val="20"/>
              </w:rPr>
              <w:t>16.356</w:t>
            </w:r>
          </w:p>
        </w:tc>
        <w:tc>
          <w:tcPr>
            <w:tcW w:w="866" w:type="dxa"/>
            <w:tcBorders>
              <w:top w:val="nil"/>
              <w:left w:val="nil"/>
              <w:bottom w:val="single" w:sz="4" w:space="0" w:color="auto"/>
              <w:right w:val="single" w:sz="4" w:space="0" w:color="auto"/>
            </w:tcBorders>
            <w:shd w:val="clear" w:color="auto" w:fill="auto"/>
            <w:noWrap/>
            <w:vAlign w:val="center"/>
            <w:hideMark/>
          </w:tcPr>
          <w:p w14:paraId="519B46AF" w14:textId="77777777" w:rsidR="0074711A" w:rsidRPr="008E63BB" w:rsidRDefault="0074711A" w:rsidP="0065184D">
            <w:pPr>
              <w:jc w:val="right"/>
              <w:rPr>
                <w:rFonts w:eastAsia="Times New Roman"/>
                <w:sz w:val="20"/>
                <w:szCs w:val="20"/>
              </w:rPr>
            </w:pPr>
            <w:r w:rsidRPr="008E63BB">
              <w:rPr>
                <w:rFonts w:eastAsia="Times New Roman"/>
                <w:sz w:val="20"/>
                <w:szCs w:val="20"/>
              </w:rPr>
              <w:t>16.185</w:t>
            </w:r>
          </w:p>
        </w:tc>
        <w:tc>
          <w:tcPr>
            <w:tcW w:w="994" w:type="dxa"/>
            <w:tcBorders>
              <w:top w:val="nil"/>
              <w:left w:val="nil"/>
              <w:bottom w:val="single" w:sz="4" w:space="0" w:color="auto"/>
              <w:right w:val="single" w:sz="4" w:space="0" w:color="auto"/>
            </w:tcBorders>
            <w:shd w:val="clear" w:color="auto" w:fill="auto"/>
            <w:noWrap/>
            <w:vAlign w:val="center"/>
            <w:hideMark/>
          </w:tcPr>
          <w:p w14:paraId="519B46B0" w14:textId="77777777" w:rsidR="0074711A" w:rsidRPr="008E63BB" w:rsidRDefault="0074711A" w:rsidP="0065184D">
            <w:pPr>
              <w:jc w:val="right"/>
              <w:rPr>
                <w:rFonts w:eastAsia="Times New Roman"/>
                <w:sz w:val="20"/>
                <w:szCs w:val="20"/>
              </w:rPr>
            </w:pPr>
            <w:r w:rsidRPr="008E63BB">
              <w:rPr>
                <w:rFonts w:eastAsia="Times New Roman"/>
                <w:sz w:val="20"/>
                <w:szCs w:val="20"/>
              </w:rPr>
              <w:t>27.432</w:t>
            </w:r>
          </w:p>
        </w:tc>
      </w:tr>
      <w:tr w:rsidR="008D5BFE" w:rsidRPr="008E63BB" w14:paraId="519B46C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B2" w14:textId="77777777" w:rsidR="0074711A" w:rsidRPr="008E63BB" w:rsidRDefault="0074711A" w:rsidP="0065184D">
            <w:pPr>
              <w:jc w:val="right"/>
              <w:rPr>
                <w:rFonts w:eastAsia="Times New Roman"/>
                <w:sz w:val="20"/>
                <w:szCs w:val="20"/>
              </w:rPr>
            </w:pPr>
            <w:r w:rsidRPr="008E63BB">
              <w:rPr>
                <w:rFonts w:eastAsia="Times New Roman"/>
                <w:sz w:val="20"/>
                <w:szCs w:val="20"/>
              </w:rPr>
              <w:t>2</w:t>
            </w:r>
          </w:p>
        </w:tc>
        <w:tc>
          <w:tcPr>
            <w:tcW w:w="2684" w:type="dxa"/>
            <w:tcBorders>
              <w:top w:val="nil"/>
              <w:left w:val="nil"/>
              <w:bottom w:val="single" w:sz="4" w:space="0" w:color="auto"/>
              <w:right w:val="single" w:sz="4" w:space="0" w:color="auto"/>
            </w:tcBorders>
            <w:shd w:val="clear" w:color="auto" w:fill="auto"/>
            <w:vAlign w:val="center"/>
            <w:hideMark/>
          </w:tcPr>
          <w:p w14:paraId="519B46B3" w14:textId="77777777" w:rsidR="0074711A" w:rsidRPr="008E63BB" w:rsidRDefault="0074711A" w:rsidP="0065184D">
            <w:pPr>
              <w:jc w:val="left"/>
              <w:rPr>
                <w:rFonts w:eastAsia="Times New Roman"/>
                <w:sz w:val="20"/>
                <w:szCs w:val="20"/>
              </w:rPr>
            </w:pPr>
            <w:r w:rsidRPr="008E63BB">
              <w:rPr>
                <w:rFonts w:eastAsia="Times New Roman"/>
                <w:sz w:val="20"/>
                <w:szCs w:val="20"/>
              </w:rPr>
              <w:t>P. Trần Tế Xương</w:t>
            </w:r>
          </w:p>
        </w:tc>
        <w:tc>
          <w:tcPr>
            <w:tcW w:w="794" w:type="dxa"/>
            <w:tcBorders>
              <w:top w:val="nil"/>
              <w:left w:val="nil"/>
              <w:bottom w:val="single" w:sz="4" w:space="0" w:color="auto"/>
              <w:right w:val="single" w:sz="4" w:space="0" w:color="auto"/>
            </w:tcBorders>
            <w:shd w:val="clear" w:color="auto" w:fill="auto"/>
            <w:noWrap/>
            <w:vAlign w:val="center"/>
            <w:hideMark/>
          </w:tcPr>
          <w:p w14:paraId="519B46B4" w14:textId="77777777" w:rsidR="0074711A" w:rsidRPr="008E63BB" w:rsidRDefault="0074711A" w:rsidP="0065184D">
            <w:pPr>
              <w:jc w:val="right"/>
              <w:rPr>
                <w:rFonts w:eastAsia="Times New Roman"/>
                <w:sz w:val="20"/>
                <w:szCs w:val="20"/>
              </w:rPr>
            </w:pPr>
            <w:r w:rsidRPr="008E63BB">
              <w:rPr>
                <w:rFonts w:eastAsia="Times New Roman"/>
                <w:sz w:val="20"/>
                <w:szCs w:val="20"/>
              </w:rPr>
              <w:t>0,73</w:t>
            </w:r>
          </w:p>
        </w:tc>
        <w:tc>
          <w:tcPr>
            <w:tcW w:w="866" w:type="dxa"/>
            <w:tcBorders>
              <w:top w:val="nil"/>
              <w:left w:val="nil"/>
              <w:bottom w:val="single" w:sz="4" w:space="0" w:color="auto"/>
              <w:right w:val="nil"/>
            </w:tcBorders>
            <w:shd w:val="clear" w:color="auto" w:fill="auto"/>
            <w:vAlign w:val="center"/>
            <w:hideMark/>
          </w:tcPr>
          <w:p w14:paraId="519B46B5" w14:textId="77777777" w:rsidR="0074711A" w:rsidRPr="008E63BB" w:rsidRDefault="0074711A" w:rsidP="0065184D">
            <w:pPr>
              <w:jc w:val="right"/>
              <w:rPr>
                <w:rFonts w:eastAsia="Times New Roman"/>
                <w:sz w:val="20"/>
                <w:szCs w:val="20"/>
              </w:rPr>
            </w:pPr>
            <w:r w:rsidRPr="008E63BB">
              <w:rPr>
                <w:rFonts w:eastAsia="Times New Roman"/>
                <w:sz w:val="20"/>
                <w:szCs w:val="20"/>
              </w:rPr>
              <w:t>12.523</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6B6" w14:textId="77777777" w:rsidR="0074711A" w:rsidRPr="008E63BB" w:rsidRDefault="0074711A" w:rsidP="0065184D">
            <w:pPr>
              <w:jc w:val="right"/>
              <w:rPr>
                <w:rFonts w:eastAsia="Times New Roman"/>
                <w:sz w:val="20"/>
                <w:szCs w:val="20"/>
              </w:rPr>
            </w:pPr>
            <w:r w:rsidRPr="008E63BB">
              <w:rPr>
                <w:rFonts w:eastAsia="Times New Roman"/>
                <w:sz w:val="20"/>
                <w:szCs w:val="20"/>
              </w:rPr>
              <w:t>12.967</w:t>
            </w:r>
          </w:p>
        </w:tc>
        <w:tc>
          <w:tcPr>
            <w:tcW w:w="866" w:type="dxa"/>
            <w:tcBorders>
              <w:top w:val="nil"/>
              <w:left w:val="nil"/>
              <w:bottom w:val="single" w:sz="4" w:space="0" w:color="auto"/>
              <w:right w:val="single" w:sz="4" w:space="0" w:color="auto"/>
            </w:tcBorders>
            <w:shd w:val="clear" w:color="auto" w:fill="auto"/>
            <w:noWrap/>
            <w:vAlign w:val="center"/>
            <w:hideMark/>
          </w:tcPr>
          <w:p w14:paraId="519B46B7" w14:textId="77777777" w:rsidR="0074711A" w:rsidRPr="008E63BB" w:rsidRDefault="0074711A" w:rsidP="0065184D">
            <w:pPr>
              <w:jc w:val="right"/>
              <w:rPr>
                <w:rFonts w:eastAsia="Times New Roman"/>
                <w:sz w:val="20"/>
                <w:szCs w:val="20"/>
              </w:rPr>
            </w:pPr>
            <w:r w:rsidRPr="008E63BB">
              <w:rPr>
                <w:rFonts w:eastAsia="Times New Roman"/>
                <w:sz w:val="20"/>
                <w:szCs w:val="20"/>
              </w:rPr>
              <w:t>13.052</w:t>
            </w:r>
          </w:p>
        </w:tc>
        <w:tc>
          <w:tcPr>
            <w:tcW w:w="866" w:type="dxa"/>
            <w:tcBorders>
              <w:top w:val="nil"/>
              <w:left w:val="nil"/>
              <w:bottom w:val="single" w:sz="4" w:space="0" w:color="auto"/>
              <w:right w:val="single" w:sz="4" w:space="0" w:color="auto"/>
            </w:tcBorders>
            <w:shd w:val="clear" w:color="auto" w:fill="auto"/>
            <w:vAlign w:val="bottom"/>
            <w:hideMark/>
          </w:tcPr>
          <w:p w14:paraId="519B46B8" w14:textId="77777777" w:rsidR="0074711A" w:rsidRPr="008E63BB" w:rsidRDefault="0074711A" w:rsidP="0065184D">
            <w:pPr>
              <w:jc w:val="right"/>
              <w:rPr>
                <w:rFonts w:eastAsia="Times New Roman"/>
                <w:sz w:val="20"/>
                <w:szCs w:val="20"/>
              </w:rPr>
            </w:pPr>
            <w:r w:rsidRPr="008E63BB">
              <w:rPr>
                <w:rFonts w:eastAsia="Times New Roman"/>
                <w:sz w:val="20"/>
                <w:szCs w:val="20"/>
              </w:rPr>
              <w:t>13.143</w:t>
            </w:r>
          </w:p>
        </w:tc>
        <w:tc>
          <w:tcPr>
            <w:tcW w:w="866" w:type="dxa"/>
            <w:tcBorders>
              <w:top w:val="nil"/>
              <w:left w:val="nil"/>
              <w:bottom w:val="single" w:sz="4" w:space="0" w:color="auto"/>
              <w:right w:val="single" w:sz="4" w:space="0" w:color="auto"/>
            </w:tcBorders>
            <w:shd w:val="clear" w:color="auto" w:fill="auto"/>
            <w:vAlign w:val="bottom"/>
            <w:hideMark/>
          </w:tcPr>
          <w:p w14:paraId="519B46B9" w14:textId="77777777" w:rsidR="0074711A" w:rsidRPr="008E63BB" w:rsidRDefault="0074711A" w:rsidP="0065184D">
            <w:pPr>
              <w:jc w:val="right"/>
              <w:rPr>
                <w:rFonts w:eastAsia="Times New Roman"/>
                <w:sz w:val="20"/>
                <w:szCs w:val="20"/>
              </w:rPr>
            </w:pPr>
            <w:r w:rsidRPr="008E63BB">
              <w:rPr>
                <w:rFonts w:eastAsia="Times New Roman"/>
                <w:sz w:val="20"/>
                <w:szCs w:val="20"/>
              </w:rPr>
              <w:t>13.255</w:t>
            </w:r>
          </w:p>
        </w:tc>
        <w:tc>
          <w:tcPr>
            <w:tcW w:w="866" w:type="dxa"/>
            <w:tcBorders>
              <w:top w:val="nil"/>
              <w:left w:val="nil"/>
              <w:bottom w:val="single" w:sz="4" w:space="0" w:color="auto"/>
              <w:right w:val="single" w:sz="4" w:space="0" w:color="auto"/>
            </w:tcBorders>
            <w:shd w:val="clear" w:color="auto" w:fill="auto"/>
            <w:noWrap/>
            <w:vAlign w:val="center"/>
            <w:hideMark/>
          </w:tcPr>
          <w:p w14:paraId="519B46BA" w14:textId="77777777" w:rsidR="0074711A" w:rsidRPr="008E63BB" w:rsidRDefault="0074711A" w:rsidP="0065184D">
            <w:pPr>
              <w:jc w:val="right"/>
              <w:rPr>
                <w:rFonts w:eastAsia="Times New Roman"/>
                <w:sz w:val="20"/>
                <w:szCs w:val="20"/>
              </w:rPr>
            </w:pPr>
            <w:r w:rsidRPr="008E63BB">
              <w:rPr>
                <w:rFonts w:eastAsia="Times New Roman"/>
                <w:sz w:val="20"/>
                <w:szCs w:val="20"/>
              </w:rPr>
              <w:t>13.351</w:t>
            </w:r>
          </w:p>
        </w:tc>
        <w:tc>
          <w:tcPr>
            <w:tcW w:w="866" w:type="dxa"/>
            <w:tcBorders>
              <w:top w:val="nil"/>
              <w:left w:val="nil"/>
              <w:bottom w:val="single" w:sz="4" w:space="0" w:color="auto"/>
              <w:right w:val="single" w:sz="4" w:space="0" w:color="auto"/>
            </w:tcBorders>
            <w:shd w:val="clear" w:color="auto" w:fill="auto"/>
            <w:noWrap/>
            <w:vAlign w:val="center"/>
            <w:hideMark/>
          </w:tcPr>
          <w:p w14:paraId="519B46BB" w14:textId="77777777" w:rsidR="0074711A" w:rsidRPr="008E63BB" w:rsidRDefault="0074711A" w:rsidP="0065184D">
            <w:pPr>
              <w:jc w:val="right"/>
              <w:rPr>
                <w:rFonts w:eastAsia="Times New Roman"/>
                <w:sz w:val="20"/>
                <w:szCs w:val="20"/>
              </w:rPr>
            </w:pPr>
            <w:r w:rsidRPr="008E63BB">
              <w:rPr>
                <w:rFonts w:eastAsia="Times New Roman"/>
                <w:sz w:val="20"/>
                <w:szCs w:val="20"/>
              </w:rPr>
              <w:t>13.443</w:t>
            </w:r>
          </w:p>
        </w:tc>
        <w:tc>
          <w:tcPr>
            <w:tcW w:w="866" w:type="dxa"/>
            <w:tcBorders>
              <w:top w:val="nil"/>
              <w:left w:val="nil"/>
              <w:bottom w:val="single" w:sz="4" w:space="0" w:color="auto"/>
              <w:right w:val="single" w:sz="4" w:space="0" w:color="auto"/>
            </w:tcBorders>
            <w:shd w:val="clear" w:color="auto" w:fill="auto"/>
            <w:noWrap/>
            <w:vAlign w:val="center"/>
            <w:hideMark/>
          </w:tcPr>
          <w:p w14:paraId="519B46BC" w14:textId="77777777" w:rsidR="0074711A" w:rsidRPr="008E63BB" w:rsidRDefault="0074711A" w:rsidP="0065184D">
            <w:pPr>
              <w:jc w:val="right"/>
              <w:rPr>
                <w:rFonts w:eastAsia="Times New Roman"/>
                <w:sz w:val="20"/>
                <w:szCs w:val="20"/>
              </w:rPr>
            </w:pPr>
            <w:r w:rsidRPr="008E63BB">
              <w:rPr>
                <w:rFonts w:eastAsia="Times New Roman"/>
                <w:sz w:val="20"/>
                <w:szCs w:val="20"/>
              </w:rPr>
              <w:t>13.201</w:t>
            </w:r>
          </w:p>
        </w:tc>
        <w:tc>
          <w:tcPr>
            <w:tcW w:w="866" w:type="dxa"/>
            <w:tcBorders>
              <w:top w:val="nil"/>
              <w:left w:val="nil"/>
              <w:bottom w:val="single" w:sz="4" w:space="0" w:color="auto"/>
              <w:right w:val="single" w:sz="4" w:space="0" w:color="auto"/>
            </w:tcBorders>
            <w:shd w:val="clear" w:color="auto" w:fill="auto"/>
            <w:noWrap/>
            <w:vAlign w:val="center"/>
            <w:hideMark/>
          </w:tcPr>
          <w:p w14:paraId="519B46BD" w14:textId="77777777" w:rsidR="0074711A" w:rsidRPr="008E63BB" w:rsidRDefault="0074711A" w:rsidP="0065184D">
            <w:pPr>
              <w:jc w:val="right"/>
              <w:rPr>
                <w:rFonts w:eastAsia="Times New Roman"/>
                <w:sz w:val="20"/>
                <w:szCs w:val="20"/>
              </w:rPr>
            </w:pPr>
            <w:r w:rsidRPr="008E63BB">
              <w:rPr>
                <w:rFonts w:eastAsia="Times New Roman"/>
                <w:sz w:val="20"/>
                <w:szCs w:val="20"/>
              </w:rPr>
              <w:t>13.225</w:t>
            </w:r>
          </w:p>
        </w:tc>
        <w:tc>
          <w:tcPr>
            <w:tcW w:w="866" w:type="dxa"/>
            <w:tcBorders>
              <w:top w:val="nil"/>
              <w:left w:val="nil"/>
              <w:bottom w:val="single" w:sz="4" w:space="0" w:color="auto"/>
              <w:right w:val="single" w:sz="4" w:space="0" w:color="auto"/>
            </w:tcBorders>
            <w:shd w:val="clear" w:color="auto" w:fill="auto"/>
            <w:noWrap/>
            <w:vAlign w:val="center"/>
            <w:hideMark/>
          </w:tcPr>
          <w:p w14:paraId="519B46BE" w14:textId="77777777" w:rsidR="0074711A" w:rsidRPr="008E63BB" w:rsidRDefault="0074711A" w:rsidP="0065184D">
            <w:pPr>
              <w:jc w:val="right"/>
              <w:rPr>
                <w:rFonts w:eastAsia="Times New Roman"/>
                <w:sz w:val="20"/>
                <w:szCs w:val="20"/>
              </w:rPr>
            </w:pPr>
            <w:r w:rsidRPr="008E63BB">
              <w:rPr>
                <w:rFonts w:eastAsia="Times New Roman"/>
                <w:sz w:val="20"/>
                <w:szCs w:val="20"/>
              </w:rPr>
              <w:t>12.466</w:t>
            </w:r>
          </w:p>
        </w:tc>
        <w:tc>
          <w:tcPr>
            <w:tcW w:w="866" w:type="dxa"/>
            <w:tcBorders>
              <w:top w:val="nil"/>
              <w:left w:val="nil"/>
              <w:bottom w:val="single" w:sz="4" w:space="0" w:color="auto"/>
              <w:right w:val="single" w:sz="4" w:space="0" w:color="auto"/>
            </w:tcBorders>
            <w:shd w:val="clear" w:color="auto" w:fill="auto"/>
            <w:noWrap/>
            <w:vAlign w:val="center"/>
            <w:hideMark/>
          </w:tcPr>
          <w:p w14:paraId="519B46BF" w14:textId="77777777" w:rsidR="0074711A" w:rsidRPr="008E63BB" w:rsidRDefault="0074711A" w:rsidP="0065184D">
            <w:pPr>
              <w:jc w:val="right"/>
              <w:rPr>
                <w:rFonts w:eastAsia="Times New Roman"/>
                <w:sz w:val="20"/>
                <w:szCs w:val="20"/>
              </w:rPr>
            </w:pPr>
            <w:r w:rsidRPr="008E63BB">
              <w:rPr>
                <w:rFonts w:eastAsia="Times New Roman"/>
                <w:sz w:val="20"/>
                <w:szCs w:val="20"/>
              </w:rPr>
              <w:t>12.554</w:t>
            </w:r>
          </w:p>
        </w:tc>
        <w:tc>
          <w:tcPr>
            <w:tcW w:w="994" w:type="dxa"/>
            <w:tcBorders>
              <w:top w:val="nil"/>
              <w:left w:val="nil"/>
              <w:bottom w:val="single" w:sz="4" w:space="0" w:color="auto"/>
              <w:right w:val="single" w:sz="4" w:space="0" w:color="auto"/>
            </w:tcBorders>
            <w:shd w:val="clear" w:color="auto" w:fill="auto"/>
            <w:noWrap/>
            <w:vAlign w:val="center"/>
            <w:hideMark/>
          </w:tcPr>
          <w:p w14:paraId="519B46C0" w14:textId="77777777" w:rsidR="0074711A" w:rsidRPr="008E63BB" w:rsidRDefault="0074711A" w:rsidP="0065184D">
            <w:pPr>
              <w:jc w:val="right"/>
              <w:rPr>
                <w:rFonts w:eastAsia="Times New Roman"/>
                <w:sz w:val="20"/>
                <w:szCs w:val="20"/>
              </w:rPr>
            </w:pPr>
            <w:r w:rsidRPr="008E63BB">
              <w:rPr>
                <w:rFonts w:eastAsia="Times New Roman"/>
                <w:sz w:val="20"/>
                <w:szCs w:val="20"/>
              </w:rPr>
              <w:t>17.197</w:t>
            </w:r>
          </w:p>
        </w:tc>
      </w:tr>
      <w:tr w:rsidR="008D5BFE" w:rsidRPr="008E63BB" w14:paraId="519B46D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C2" w14:textId="77777777" w:rsidR="0074711A" w:rsidRPr="008E63BB" w:rsidRDefault="0074711A" w:rsidP="0065184D">
            <w:pPr>
              <w:jc w:val="right"/>
              <w:rPr>
                <w:rFonts w:eastAsia="Times New Roman"/>
                <w:sz w:val="20"/>
                <w:szCs w:val="20"/>
              </w:rPr>
            </w:pPr>
            <w:r w:rsidRPr="008E63BB">
              <w:rPr>
                <w:rFonts w:eastAsia="Times New Roman"/>
                <w:sz w:val="20"/>
                <w:szCs w:val="20"/>
              </w:rPr>
              <w:t>3</w:t>
            </w:r>
          </w:p>
        </w:tc>
        <w:tc>
          <w:tcPr>
            <w:tcW w:w="2684" w:type="dxa"/>
            <w:tcBorders>
              <w:top w:val="nil"/>
              <w:left w:val="nil"/>
              <w:bottom w:val="single" w:sz="4" w:space="0" w:color="auto"/>
              <w:right w:val="single" w:sz="4" w:space="0" w:color="auto"/>
            </w:tcBorders>
            <w:shd w:val="clear" w:color="auto" w:fill="auto"/>
            <w:vAlign w:val="center"/>
            <w:hideMark/>
          </w:tcPr>
          <w:p w14:paraId="519B46C3" w14:textId="77777777" w:rsidR="0074711A" w:rsidRPr="008E63BB" w:rsidRDefault="0074711A" w:rsidP="0065184D">
            <w:pPr>
              <w:jc w:val="left"/>
              <w:rPr>
                <w:rFonts w:eastAsia="Times New Roman"/>
                <w:sz w:val="20"/>
                <w:szCs w:val="20"/>
              </w:rPr>
            </w:pPr>
            <w:r w:rsidRPr="008E63BB">
              <w:rPr>
                <w:rFonts w:eastAsia="Times New Roman"/>
                <w:sz w:val="20"/>
                <w:szCs w:val="20"/>
              </w:rPr>
              <w:t>P. Vị Hoàng</w:t>
            </w:r>
          </w:p>
        </w:tc>
        <w:tc>
          <w:tcPr>
            <w:tcW w:w="794" w:type="dxa"/>
            <w:tcBorders>
              <w:top w:val="nil"/>
              <w:left w:val="nil"/>
              <w:bottom w:val="single" w:sz="4" w:space="0" w:color="auto"/>
              <w:right w:val="single" w:sz="4" w:space="0" w:color="auto"/>
            </w:tcBorders>
            <w:shd w:val="clear" w:color="auto" w:fill="auto"/>
            <w:noWrap/>
            <w:vAlign w:val="center"/>
            <w:hideMark/>
          </w:tcPr>
          <w:p w14:paraId="519B46C4" w14:textId="77777777" w:rsidR="0074711A" w:rsidRPr="008E63BB" w:rsidRDefault="0074711A" w:rsidP="0065184D">
            <w:pPr>
              <w:jc w:val="right"/>
              <w:rPr>
                <w:rFonts w:eastAsia="Times New Roman"/>
                <w:sz w:val="20"/>
                <w:szCs w:val="20"/>
              </w:rPr>
            </w:pPr>
            <w:r w:rsidRPr="008E63BB">
              <w:rPr>
                <w:rFonts w:eastAsia="Times New Roman"/>
                <w:sz w:val="20"/>
                <w:szCs w:val="20"/>
              </w:rPr>
              <w:t>0,64</w:t>
            </w:r>
          </w:p>
        </w:tc>
        <w:tc>
          <w:tcPr>
            <w:tcW w:w="866" w:type="dxa"/>
            <w:tcBorders>
              <w:top w:val="nil"/>
              <w:left w:val="nil"/>
              <w:bottom w:val="single" w:sz="4" w:space="0" w:color="auto"/>
              <w:right w:val="nil"/>
            </w:tcBorders>
            <w:shd w:val="clear" w:color="auto" w:fill="auto"/>
            <w:vAlign w:val="center"/>
            <w:hideMark/>
          </w:tcPr>
          <w:p w14:paraId="519B46C5" w14:textId="77777777" w:rsidR="0074711A" w:rsidRPr="008E63BB" w:rsidRDefault="0074711A" w:rsidP="0065184D">
            <w:pPr>
              <w:jc w:val="right"/>
              <w:rPr>
                <w:rFonts w:eastAsia="Times New Roman"/>
                <w:sz w:val="20"/>
                <w:szCs w:val="20"/>
              </w:rPr>
            </w:pPr>
            <w:r w:rsidRPr="008E63BB">
              <w:rPr>
                <w:rFonts w:eastAsia="Times New Roman"/>
                <w:sz w:val="20"/>
                <w:szCs w:val="20"/>
              </w:rPr>
              <w:t>8.477</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6C6" w14:textId="77777777" w:rsidR="0074711A" w:rsidRPr="008E63BB" w:rsidRDefault="0074711A" w:rsidP="0065184D">
            <w:pPr>
              <w:jc w:val="right"/>
              <w:rPr>
                <w:rFonts w:eastAsia="Times New Roman"/>
                <w:sz w:val="20"/>
                <w:szCs w:val="20"/>
              </w:rPr>
            </w:pPr>
            <w:r w:rsidRPr="008E63BB">
              <w:rPr>
                <w:rFonts w:eastAsia="Times New Roman"/>
                <w:sz w:val="20"/>
                <w:szCs w:val="20"/>
              </w:rPr>
              <w:t>7.218</w:t>
            </w:r>
          </w:p>
        </w:tc>
        <w:tc>
          <w:tcPr>
            <w:tcW w:w="866" w:type="dxa"/>
            <w:tcBorders>
              <w:top w:val="nil"/>
              <w:left w:val="nil"/>
              <w:bottom w:val="single" w:sz="4" w:space="0" w:color="auto"/>
              <w:right w:val="single" w:sz="4" w:space="0" w:color="auto"/>
            </w:tcBorders>
            <w:shd w:val="clear" w:color="auto" w:fill="auto"/>
            <w:noWrap/>
            <w:vAlign w:val="center"/>
            <w:hideMark/>
          </w:tcPr>
          <w:p w14:paraId="519B46C7" w14:textId="77777777" w:rsidR="0074711A" w:rsidRPr="008E63BB" w:rsidRDefault="0074711A" w:rsidP="0065184D">
            <w:pPr>
              <w:jc w:val="right"/>
              <w:rPr>
                <w:rFonts w:eastAsia="Times New Roman"/>
                <w:sz w:val="20"/>
                <w:szCs w:val="20"/>
              </w:rPr>
            </w:pPr>
            <w:r w:rsidRPr="008E63BB">
              <w:rPr>
                <w:rFonts w:eastAsia="Times New Roman"/>
                <w:sz w:val="20"/>
                <w:szCs w:val="20"/>
              </w:rPr>
              <w:t>7.299</w:t>
            </w:r>
          </w:p>
        </w:tc>
        <w:tc>
          <w:tcPr>
            <w:tcW w:w="866" w:type="dxa"/>
            <w:tcBorders>
              <w:top w:val="nil"/>
              <w:left w:val="nil"/>
              <w:bottom w:val="single" w:sz="4" w:space="0" w:color="auto"/>
              <w:right w:val="single" w:sz="4" w:space="0" w:color="auto"/>
            </w:tcBorders>
            <w:shd w:val="clear" w:color="auto" w:fill="auto"/>
            <w:vAlign w:val="bottom"/>
            <w:hideMark/>
          </w:tcPr>
          <w:p w14:paraId="519B46C8" w14:textId="77777777" w:rsidR="0074711A" w:rsidRPr="008E63BB" w:rsidRDefault="0074711A" w:rsidP="0065184D">
            <w:pPr>
              <w:jc w:val="right"/>
              <w:rPr>
                <w:rFonts w:eastAsia="Times New Roman"/>
                <w:sz w:val="20"/>
                <w:szCs w:val="20"/>
              </w:rPr>
            </w:pPr>
            <w:r w:rsidRPr="008E63BB">
              <w:rPr>
                <w:rFonts w:eastAsia="Times New Roman"/>
                <w:sz w:val="20"/>
                <w:szCs w:val="20"/>
              </w:rPr>
              <w:t>7.351</w:t>
            </w:r>
          </w:p>
        </w:tc>
        <w:tc>
          <w:tcPr>
            <w:tcW w:w="866" w:type="dxa"/>
            <w:tcBorders>
              <w:top w:val="nil"/>
              <w:left w:val="nil"/>
              <w:bottom w:val="single" w:sz="4" w:space="0" w:color="auto"/>
              <w:right w:val="single" w:sz="4" w:space="0" w:color="auto"/>
            </w:tcBorders>
            <w:shd w:val="clear" w:color="auto" w:fill="auto"/>
            <w:vAlign w:val="bottom"/>
            <w:hideMark/>
          </w:tcPr>
          <w:p w14:paraId="519B46C9" w14:textId="77777777" w:rsidR="0074711A" w:rsidRPr="008E63BB" w:rsidRDefault="0074711A" w:rsidP="0065184D">
            <w:pPr>
              <w:jc w:val="right"/>
              <w:rPr>
                <w:rFonts w:eastAsia="Times New Roman"/>
                <w:sz w:val="20"/>
                <w:szCs w:val="20"/>
              </w:rPr>
            </w:pPr>
            <w:r w:rsidRPr="008E63BB">
              <w:rPr>
                <w:rFonts w:eastAsia="Times New Roman"/>
                <w:sz w:val="20"/>
                <w:szCs w:val="20"/>
              </w:rPr>
              <w:t>7.368</w:t>
            </w:r>
          </w:p>
        </w:tc>
        <w:tc>
          <w:tcPr>
            <w:tcW w:w="866" w:type="dxa"/>
            <w:tcBorders>
              <w:top w:val="nil"/>
              <w:left w:val="nil"/>
              <w:bottom w:val="single" w:sz="4" w:space="0" w:color="auto"/>
              <w:right w:val="single" w:sz="4" w:space="0" w:color="auto"/>
            </w:tcBorders>
            <w:shd w:val="clear" w:color="auto" w:fill="auto"/>
            <w:noWrap/>
            <w:vAlign w:val="center"/>
            <w:hideMark/>
          </w:tcPr>
          <w:p w14:paraId="519B46CA" w14:textId="77777777" w:rsidR="0074711A" w:rsidRPr="008E63BB" w:rsidRDefault="0074711A" w:rsidP="0065184D">
            <w:pPr>
              <w:jc w:val="right"/>
              <w:rPr>
                <w:rFonts w:eastAsia="Times New Roman"/>
                <w:sz w:val="20"/>
                <w:szCs w:val="20"/>
              </w:rPr>
            </w:pPr>
            <w:r w:rsidRPr="008E63BB">
              <w:rPr>
                <w:rFonts w:eastAsia="Times New Roman"/>
                <w:sz w:val="20"/>
                <w:szCs w:val="20"/>
              </w:rPr>
              <w:t>7.401</w:t>
            </w:r>
          </w:p>
        </w:tc>
        <w:tc>
          <w:tcPr>
            <w:tcW w:w="866" w:type="dxa"/>
            <w:tcBorders>
              <w:top w:val="nil"/>
              <w:left w:val="nil"/>
              <w:bottom w:val="single" w:sz="4" w:space="0" w:color="auto"/>
              <w:right w:val="single" w:sz="4" w:space="0" w:color="auto"/>
            </w:tcBorders>
            <w:shd w:val="clear" w:color="auto" w:fill="auto"/>
            <w:noWrap/>
            <w:vAlign w:val="center"/>
            <w:hideMark/>
          </w:tcPr>
          <w:p w14:paraId="519B46CB" w14:textId="77777777" w:rsidR="0074711A" w:rsidRPr="008E63BB" w:rsidRDefault="0074711A" w:rsidP="0065184D">
            <w:pPr>
              <w:jc w:val="right"/>
              <w:rPr>
                <w:rFonts w:eastAsia="Times New Roman"/>
                <w:sz w:val="20"/>
                <w:szCs w:val="20"/>
              </w:rPr>
            </w:pPr>
            <w:r w:rsidRPr="008E63BB">
              <w:rPr>
                <w:rFonts w:eastAsia="Times New Roman"/>
                <w:sz w:val="20"/>
                <w:szCs w:val="20"/>
              </w:rPr>
              <w:t>7.435</w:t>
            </w:r>
          </w:p>
        </w:tc>
        <w:tc>
          <w:tcPr>
            <w:tcW w:w="866" w:type="dxa"/>
            <w:tcBorders>
              <w:top w:val="nil"/>
              <w:left w:val="nil"/>
              <w:bottom w:val="single" w:sz="4" w:space="0" w:color="auto"/>
              <w:right w:val="single" w:sz="4" w:space="0" w:color="auto"/>
            </w:tcBorders>
            <w:shd w:val="clear" w:color="auto" w:fill="auto"/>
            <w:noWrap/>
            <w:vAlign w:val="center"/>
            <w:hideMark/>
          </w:tcPr>
          <w:p w14:paraId="519B46CC" w14:textId="77777777" w:rsidR="0074711A" w:rsidRPr="008E63BB" w:rsidRDefault="0074711A" w:rsidP="0065184D">
            <w:pPr>
              <w:jc w:val="right"/>
              <w:rPr>
                <w:rFonts w:eastAsia="Times New Roman"/>
                <w:sz w:val="20"/>
                <w:szCs w:val="20"/>
              </w:rPr>
            </w:pPr>
            <w:r w:rsidRPr="008E63BB">
              <w:rPr>
                <w:rFonts w:eastAsia="Times New Roman"/>
                <w:sz w:val="20"/>
                <w:szCs w:val="20"/>
              </w:rPr>
              <w:t>7.485</w:t>
            </w:r>
          </w:p>
        </w:tc>
        <w:tc>
          <w:tcPr>
            <w:tcW w:w="866" w:type="dxa"/>
            <w:tcBorders>
              <w:top w:val="nil"/>
              <w:left w:val="nil"/>
              <w:bottom w:val="single" w:sz="4" w:space="0" w:color="auto"/>
              <w:right w:val="single" w:sz="4" w:space="0" w:color="auto"/>
            </w:tcBorders>
            <w:shd w:val="clear" w:color="auto" w:fill="auto"/>
            <w:noWrap/>
            <w:vAlign w:val="center"/>
            <w:hideMark/>
          </w:tcPr>
          <w:p w14:paraId="519B46CD" w14:textId="77777777" w:rsidR="0074711A" w:rsidRPr="008E63BB" w:rsidRDefault="0074711A" w:rsidP="0065184D">
            <w:pPr>
              <w:jc w:val="right"/>
              <w:rPr>
                <w:rFonts w:eastAsia="Times New Roman"/>
                <w:sz w:val="20"/>
                <w:szCs w:val="20"/>
              </w:rPr>
            </w:pPr>
            <w:r w:rsidRPr="008E63BB">
              <w:rPr>
                <w:rFonts w:eastAsia="Times New Roman"/>
                <w:sz w:val="20"/>
                <w:szCs w:val="20"/>
              </w:rPr>
              <w:t>7.559</w:t>
            </w:r>
          </w:p>
        </w:tc>
        <w:tc>
          <w:tcPr>
            <w:tcW w:w="866" w:type="dxa"/>
            <w:tcBorders>
              <w:top w:val="nil"/>
              <w:left w:val="nil"/>
              <w:bottom w:val="single" w:sz="4" w:space="0" w:color="auto"/>
              <w:right w:val="single" w:sz="4" w:space="0" w:color="auto"/>
            </w:tcBorders>
            <w:shd w:val="clear" w:color="auto" w:fill="auto"/>
            <w:noWrap/>
            <w:vAlign w:val="center"/>
            <w:hideMark/>
          </w:tcPr>
          <w:p w14:paraId="519B46CE" w14:textId="77777777" w:rsidR="0074711A" w:rsidRPr="008E63BB" w:rsidRDefault="0074711A" w:rsidP="0065184D">
            <w:pPr>
              <w:jc w:val="right"/>
              <w:rPr>
                <w:rFonts w:eastAsia="Times New Roman"/>
                <w:sz w:val="20"/>
                <w:szCs w:val="20"/>
              </w:rPr>
            </w:pPr>
            <w:r w:rsidRPr="008E63BB">
              <w:rPr>
                <w:rFonts w:eastAsia="Times New Roman"/>
                <w:sz w:val="20"/>
                <w:szCs w:val="20"/>
              </w:rPr>
              <w:t>7.794</w:t>
            </w:r>
          </w:p>
        </w:tc>
        <w:tc>
          <w:tcPr>
            <w:tcW w:w="866" w:type="dxa"/>
            <w:tcBorders>
              <w:top w:val="nil"/>
              <w:left w:val="nil"/>
              <w:bottom w:val="single" w:sz="4" w:space="0" w:color="auto"/>
              <w:right w:val="single" w:sz="4" w:space="0" w:color="auto"/>
            </w:tcBorders>
            <w:shd w:val="clear" w:color="auto" w:fill="auto"/>
            <w:noWrap/>
            <w:vAlign w:val="center"/>
            <w:hideMark/>
          </w:tcPr>
          <w:p w14:paraId="519B46CF" w14:textId="77777777" w:rsidR="0074711A" w:rsidRPr="008E63BB" w:rsidRDefault="0074711A" w:rsidP="0065184D">
            <w:pPr>
              <w:jc w:val="right"/>
              <w:rPr>
                <w:rFonts w:eastAsia="Times New Roman"/>
                <w:sz w:val="20"/>
                <w:szCs w:val="20"/>
              </w:rPr>
            </w:pPr>
            <w:r w:rsidRPr="008E63BB">
              <w:rPr>
                <w:rFonts w:eastAsia="Times New Roman"/>
                <w:sz w:val="20"/>
                <w:szCs w:val="20"/>
              </w:rPr>
              <w:t>7.884</w:t>
            </w:r>
          </w:p>
        </w:tc>
        <w:tc>
          <w:tcPr>
            <w:tcW w:w="994" w:type="dxa"/>
            <w:tcBorders>
              <w:top w:val="nil"/>
              <w:left w:val="nil"/>
              <w:bottom w:val="single" w:sz="4" w:space="0" w:color="auto"/>
              <w:right w:val="single" w:sz="4" w:space="0" w:color="auto"/>
            </w:tcBorders>
            <w:shd w:val="clear" w:color="auto" w:fill="auto"/>
            <w:noWrap/>
            <w:vAlign w:val="center"/>
            <w:hideMark/>
          </w:tcPr>
          <w:p w14:paraId="519B46D0" w14:textId="77777777" w:rsidR="0074711A" w:rsidRPr="008E63BB" w:rsidRDefault="0074711A" w:rsidP="0065184D">
            <w:pPr>
              <w:jc w:val="right"/>
              <w:rPr>
                <w:rFonts w:eastAsia="Times New Roman"/>
                <w:sz w:val="20"/>
                <w:szCs w:val="20"/>
              </w:rPr>
            </w:pPr>
            <w:r w:rsidRPr="008E63BB">
              <w:rPr>
                <w:rFonts w:eastAsia="Times New Roman"/>
                <w:sz w:val="20"/>
                <w:szCs w:val="20"/>
              </w:rPr>
              <w:t>12.319</w:t>
            </w:r>
          </w:p>
        </w:tc>
      </w:tr>
      <w:tr w:rsidR="008D5BFE" w:rsidRPr="008E63BB" w14:paraId="519B46E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D2" w14:textId="77777777" w:rsidR="0074711A" w:rsidRPr="008E63BB" w:rsidRDefault="0074711A" w:rsidP="0065184D">
            <w:pPr>
              <w:jc w:val="right"/>
              <w:rPr>
                <w:rFonts w:eastAsia="Times New Roman"/>
                <w:sz w:val="20"/>
                <w:szCs w:val="20"/>
              </w:rPr>
            </w:pPr>
            <w:r w:rsidRPr="008E63BB">
              <w:rPr>
                <w:rFonts w:eastAsia="Times New Roman"/>
                <w:sz w:val="20"/>
                <w:szCs w:val="20"/>
              </w:rPr>
              <w:t>4</w:t>
            </w:r>
          </w:p>
        </w:tc>
        <w:tc>
          <w:tcPr>
            <w:tcW w:w="2684" w:type="dxa"/>
            <w:tcBorders>
              <w:top w:val="nil"/>
              <w:left w:val="nil"/>
              <w:bottom w:val="single" w:sz="4" w:space="0" w:color="auto"/>
              <w:right w:val="single" w:sz="4" w:space="0" w:color="auto"/>
            </w:tcBorders>
            <w:shd w:val="clear" w:color="auto" w:fill="auto"/>
            <w:vAlign w:val="center"/>
            <w:hideMark/>
          </w:tcPr>
          <w:p w14:paraId="519B46D3" w14:textId="77777777" w:rsidR="0074711A" w:rsidRPr="008E63BB" w:rsidRDefault="0074711A" w:rsidP="0065184D">
            <w:pPr>
              <w:jc w:val="left"/>
              <w:rPr>
                <w:rFonts w:eastAsia="Times New Roman"/>
                <w:sz w:val="20"/>
                <w:szCs w:val="20"/>
              </w:rPr>
            </w:pPr>
            <w:r w:rsidRPr="008E63BB">
              <w:rPr>
                <w:rFonts w:eastAsia="Times New Roman"/>
                <w:sz w:val="20"/>
                <w:szCs w:val="20"/>
              </w:rPr>
              <w:t>P. Vị Xuyên</w:t>
            </w:r>
          </w:p>
        </w:tc>
        <w:tc>
          <w:tcPr>
            <w:tcW w:w="794" w:type="dxa"/>
            <w:tcBorders>
              <w:top w:val="nil"/>
              <w:left w:val="nil"/>
              <w:bottom w:val="single" w:sz="4" w:space="0" w:color="auto"/>
              <w:right w:val="single" w:sz="4" w:space="0" w:color="auto"/>
            </w:tcBorders>
            <w:shd w:val="clear" w:color="auto" w:fill="auto"/>
            <w:noWrap/>
            <w:vAlign w:val="center"/>
            <w:hideMark/>
          </w:tcPr>
          <w:p w14:paraId="519B46D4" w14:textId="77777777" w:rsidR="0074711A" w:rsidRPr="008E63BB" w:rsidRDefault="0074711A" w:rsidP="0065184D">
            <w:pPr>
              <w:jc w:val="right"/>
              <w:rPr>
                <w:rFonts w:eastAsia="Times New Roman"/>
                <w:sz w:val="20"/>
                <w:szCs w:val="20"/>
              </w:rPr>
            </w:pPr>
            <w:r w:rsidRPr="008E63BB">
              <w:rPr>
                <w:rFonts w:eastAsia="Times New Roman"/>
                <w:sz w:val="20"/>
                <w:szCs w:val="20"/>
              </w:rPr>
              <w:t>0,52</w:t>
            </w:r>
          </w:p>
        </w:tc>
        <w:tc>
          <w:tcPr>
            <w:tcW w:w="866" w:type="dxa"/>
            <w:tcBorders>
              <w:top w:val="nil"/>
              <w:left w:val="nil"/>
              <w:bottom w:val="single" w:sz="4" w:space="0" w:color="auto"/>
              <w:right w:val="nil"/>
            </w:tcBorders>
            <w:shd w:val="clear" w:color="auto" w:fill="auto"/>
            <w:vAlign w:val="center"/>
            <w:hideMark/>
          </w:tcPr>
          <w:p w14:paraId="519B46D5" w14:textId="77777777" w:rsidR="0074711A" w:rsidRPr="008E63BB" w:rsidRDefault="0074711A" w:rsidP="0065184D">
            <w:pPr>
              <w:jc w:val="right"/>
              <w:rPr>
                <w:rFonts w:eastAsia="Times New Roman"/>
                <w:sz w:val="20"/>
                <w:szCs w:val="20"/>
              </w:rPr>
            </w:pPr>
            <w:r w:rsidRPr="008E63BB">
              <w:rPr>
                <w:rFonts w:eastAsia="Times New Roman"/>
                <w:sz w:val="20"/>
                <w:szCs w:val="20"/>
              </w:rPr>
              <w:t>9.857</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6D6" w14:textId="77777777" w:rsidR="0074711A" w:rsidRPr="008E63BB" w:rsidRDefault="0074711A" w:rsidP="0065184D">
            <w:pPr>
              <w:jc w:val="right"/>
              <w:rPr>
                <w:rFonts w:eastAsia="Times New Roman"/>
                <w:sz w:val="20"/>
                <w:szCs w:val="20"/>
              </w:rPr>
            </w:pPr>
            <w:r w:rsidRPr="008E63BB">
              <w:rPr>
                <w:rFonts w:eastAsia="Times New Roman"/>
                <w:sz w:val="20"/>
                <w:szCs w:val="20"/>
              </w:rPr>
              <w:t>10.023</w:t>
            </w:r>
          </w:p>
        </w:tc>
        <w:tc>
          <w:tcPr>
            <w:tcW w:w="866" w:type="dxa"/>
            <w:tcBorders>
              <w:top w:val="nil"/>
              <w:left w:val="nil"/>
              <w:bottom w:val="single" w:sz="4" w:space="0" w:color="auto"/>
              <w:right w:val="single" w:sz="4" w:space="0" w:color="auto"/>
            </w:tcBorders>
            <w:shd w:val="clear" w:color="auto" w:fill="auto"/>
            <w:noWrap/>
            <w:vAlign w:val="center"/>
            <w:hideMark/>
          </w:tcPr>
          <w:p w14:paraId="519B46D7" w14:textId="77777777" w:rsidR="0074711A" w:rsidRPr="008E63BB" w:rsidRDefault="0074711A" w:rsidP="0065184D">
            <w:pPr>
              <w:jc w:val="right"/>
              <w:rPr>
                <w:rFonts w:eastAsia="Times New Roman"/>
                <w:sz w:val="20"/>
                <w:szCs w:val="20"/>
              </w:rPr>
            </w:pPr>
            <w:r w:rsidRPr="008E63BB">
              <w:rPr>
                <w:rFonts w:eastAsia="Times New Roman"/>
                <w:sz w:val="20"/>
                <w:szCs w:val="20"/>
              </w:rPr>
              <w:t>10.024</w:t>
            </w:r>
          </w:p>
        </w:tc>
        <w:tc>
          <w:tcPr>
            <w:tcW w:w="866" w:type="dxa"/>
            <w:tcBorders>
              <w:top w:val="nil"/>
              <w:left w:val="nil"/>
              <w:bottom w:val="single" w:sz="4" w:space="0" w:color="auto"/>
              <w:right w:val="single" w:sz="4" w:space="0" w:color="auto"/>
            </w:tcBorders>
            <w:shd w:val="clear" w:color="auto" w:fill="auto"/>
            <w:vAlign w:val="bottom"/>
            <w:hideMark/>
          </w:tcPr>
          <w:p w14:paraId="519B46D8" w14:textId="77777777" w:rsidR="0074711A" w:rsidRPr="008E63BB" w:rsidRDefault="0074711A" w:rsidP="0065184D">
            <w:pPr>
              <w:jc w:val="right"/>
              <w:rPr>
                <w:rFonts w:eastAsia="Times New Roman"/>
                <w:sz w:val="20"/>
                <w:szCs w:val="20"/>
              </w:rPr>
            </w:pPr>
            <w:r w:rsidRPr="008E63BB">
              <w:rPr>
                <w:rFonts w:eastAsia="Times New Roman"/>
                <w:sz w:val="20"/>
                <w:szCs w:val="20"/>
              </w:rPr>
              <w:t>10.058</w:t>
            </w:r>
          </w:p>
        </w:tc>
        <w:tc>
          <w:tcPr>
            <w:tcW w:w="866" w:type="dxa"/>
            <w:tcBorders>
              <w:top w:val="nil"/>
              <w:left w:val="nil"/>
              <w:bottom w:val="single" w:sz="4" w:space="0" w:color="auto"/>
              <w:right w:val="single" w:sz="4" w:space="0" w:color="auto"/>
            </w:tcBorders>
            <w:shd w:val="clear" w:color="auto" w:fill="auto"/>
            <w:vAlign w:val="bottom"/>
            <w:hideMark/>
          </w:tcPr>
          <w:p w14:paraId="519B46D9" w14:textId="77777777" w:rsidR="0074711A" w:rsidRPr="008E63BB" w:rsidRDefault="0074711A" w:rsidP="0065184D">
            <w:pPr>
              <w:jc w:val="right"/>
              <w:rPr>
                <w:rFonts w:eastAsia="Times New Roman"/>
                <w:sz w:val="20"/>
                <w:szCs w:val="20"/>
              </w:rPr>
            </w:pPr>
            <w:r w:rsidRPr="008E63BB">
              <w:rPr>
                <w:rFonts w:eastAsia="Times New Roman"/>
                <w:sz w:val="20"/>
                <w:szCs w:val="20"/>
              </w:rPr>
              <w:t>10.152</w:t>
            </w:r>
          </w:p>
        </w:tc>
        <w:tc>
          <w:tcPr>
            <w:tcW w:w="866" w:type="dxa"/>
            <w:tcBorders>
              <w:top w:val="nil"/>
              <w:left w:val="nil"/>
              <w:bottom w:val="single" w:sz="4" w:space="0" w:color="auto"/>
              <w:right w:val="single" w:sz="4" w:space="0" w:color="auto"/>
            </w:tcBorders>
            <w:shd w:val="clear" w:color="auto" w:fill="auto"/>
            <w:noWrap/>
            <w:vAlign w:val="center"/>
            <w:hideMark/>
          </w:tcPr>
          <w:p w14:paraId="519B46DA" w14:textId="77777777" w:rsidR="0074711A" w:rsidRPr="008E63BB" w:rsidRDefault="0074711A" w:rsidP="0065184D">
            <w:pPr>
              <w:jc w:val="right"/>
              <w:rPr>
                <w:rFonts w:eastAsia="Times New Roman"/>
                <w:sz w:val="20"/>
                <w:szCs w:val="20"/>
              </w:rPr>
            </w:pPr>
            <w:r w:rsidRPr="008E63BB">
              <w:rPr>
                <w:rFonts w:eastAsia="Times New Roman"/>
                <w:sz w:val="20"/>
                <w:szCs w:val="20"/>
              </w:rPr>
              <w:t>10.400</w:t>
            </w:r>
          </w:p>
        </w:tc>
        <w:tc>
          <w:tcPr>
            <w:tcW w:w="866" w:type="dxa"/>
            <w:tcBorders>
              <w:top w:val="nil"/>
              <w:left w:val="nil"/>
              <w:bottom w:val="single" w:sz="4" w:space="0" w:color="auto"/>
              <w:right w:val="single" w:sz="4" w:space="0" w:color="auto"/>
            </w:tcBorders>
            <w:shd w:val="clear" w:color="auto" w:fill="auto"/>
            <w:noWrap/>
            <w:vAlign w:val="center"/>
            <w:hideMark/>
          </w:tcPr>
          <w:p w14:paraId="519B46DB" w14:textId="77777777" w:rsidR="0074711A" w:rsidRPr="008E63BB" w:rsidRDefault="0074711A" w:rsidP="0065184D">
            <w:pPr>
              <w:jc w:val="right"/>
              <w:rPr>
                <w:rFonts w:eastAsia="Times New Roman"/>
                <w:sz w:val="20"/>
                <w:szCs w:val="20"/>
              </w:rPr>
            </w:pPr>
            <w:r w:rsidRPr="008E63BB">
              <w:rPr>
                <w:rFonts w:eastAsia="Times New Roman"/>
                <w:sz w:val="20"/>
                <w:szCs w:val="20"/>
              </w:rPr>
              <w:t>10.593</w:t>
            </w:r>
          </w:p>
        </w:tc>
        <w:tc>
          <w:tcPr>
            <w:tcW w:w="866" w:type="dxa"/>
            <w:tcBorders>
              <w:top w:val="nil"/>
              <w:left w:val="nil"/>
              <w:bottom w:val="single" w:sz="4" w:space="0" w:color="auto"/>
              <w:right w:val="single" w:sz="4" w:space="0" w:color="auto"/>
            </w:tcBorders>
            <w:shd w:val="clear" w:color="auto" w:fill="auto"/>
            <w:noWrap/>
            <w:vAlign w:val="center"/>
            <w:hideMark/>
          </w:tcPr>
          <w:p w14:paraId="519B46DC" w14:textId="77777777" w:rsidR="0074711A" w:rsidRPr="008E63BB" w:rsidRDefault="0074711A" w:rsidP="0065184D">
            <w:pPr>
              <w:jc w:val="right"/>
              <w:rPr>
                <w:rFonts w:eastAsia="Times New Roman"/>
                <w:sz w:val="20"/>
                <w:szCs w:val="20"/>
              </w:rPr>
            </w:pPr>
            <w:r w:rsidRPr="008E63BB">
              <w:rPr>
                <w:rFonts w:eastAsia="Times New Roman"/>
                <w:sz w:val="20"/>
                <w:szCs w:val="20"/>
              </w:rPr>
              <w:t>10.617</w:t>
            </w:r>
          </w:p>
        </w:tc>
        <w:tc>
          <w:tcPr>
            <w:tcW w:w="866" w:type="dxa"/>
            <w:tcBorders>
              <w:top w:val="nil"/>
              <w:left w:val="nil"/>
              <w:bottom w:val="single" w:sz="4" w:space="0" w:color="auto"/>
              <w:right w:val="single" w:sz="4" w:space="0" w:color="auto"/>
            </w:tcBorders>
            <w:shd w:val="clear" w:color="auto" w:fill="auto"/>
            <w:noWrap/>
            <w:vAlign w:val="center"/>
            <w:hideMark/>
          </w:tcPr>
          <w:p w14:paraId="519B46DD" w14:textId="77777777" w:rsidR="0074711A" w:rsidRPr="008E63BB" w:rsidRDefault="0074711A" w:rsidP="0065184D">
            <w:pPr>
              <w:jc w:val="right"/>
              <w:rPr>
                <w:rFonts w:eastAsia="Times New Roman"/>
                <w:sz w:val="20"/>
                <w:szCs w:val="20"/>
              </w:rPr>
            </w:pPr>
            <w:r w:rsidRPr="008E63BB">
              <w:rPr>
                <w:rFonts w:eastAsia="Times New Roman"/>
                <w:sz w:val="20"/>
                <w:szCs w:val="20"/>
              </w:rPr>
              <w:t>10.719</w:t>
            </w:r>
          </w:p>
        </w:tc>
        <w:tc>
          <w:tcPr>
            <w:tcW w:w="866" w:type="dxa"/>
            <w:tcBorders>
              <w:top w:val="nil"/>
              <w:left w:val="nil"/>
              <w:bottom w:val="single" w:sz="4" w:space="0" w:color="auto"/>
              <w:right w:val="single" w:sz="4" w:space="0" w:color="auto"/>
            </w:tcBorders>
            <w:shd w:val="clear" w:color="auto" w:fill="auto"/>
            <w:noWrap/>
            <w:vAlign w:val="center"/>
            <w:hideMark/>
          </w:tcPr>
          <w:p w14:paraId="519B46DE" w14:textId="77777777" w:rsidR="0074711A" w:rsidRPr="008E63BB" w:rsidRDefault="0074711A" w:rsidP="0065184D">
            <w:pPr>
              <w:jc w:val="right"/>
              <w:rPr>
                <w:rFonts w:eastAsia="Times New Roman"/>
                <w:sz w:val="20"/>
                <w:szCs w:val="20"/>
              </w:rPr>
            </w:pPr>
            <w:r w:rsidRPr="008E63BB">
              <w:rPr>
                <w:rFonts w:eastAsia="Times New Roman"/>
                <w:sz w:val="20"/>
                <w:szCs w:val="20"/>
              </w:rPr>
              <w:t>7.794</w:t>
            </w:r>
          </w:p>
        </w:tc>
        <w:tc>
          <w:tcPr>
            <w:tcW w:w="866" w:type="dxa"/>
            <w:tcBorders>
              <w:top w:val="nil"/>
              <w:left w:val="nil"/>
              <w:bottom w:val="single" w:sz="4" w:space="0" w:color="auto"/>
              <w:right w:val="single" w:sz="4" w:space="0" w:color="auto"/>
            </w:tcBorders>
            <w:shd w:val="clear" w:color="auto" w:fill="auto"/>
            <w:noWrap/>
            <w:vAlign w:val="center"/>
            <w:hideMark/>
          </w:tcPr>
          <w:p w14:paraId="519B46DF" w14:textId="77777777" w:rsidR="0074711A" w:rsidRPr="008E63BB" w:rsidRDefault="0074711A" w:rsidP="0065184D">
            <w:pPr>
              <w:jc w:val="right"/>
              <w:rPr>
                <w:rFonts w:eastAsia="Times New Roman"/>
                <w:sz w:val="20"/>
                <w:szCs w:val="20"/>
              </w:rPr>
            </w:pPr>
            <w:r w:rsidRPr="008E63BB">
              <w:rPr>
                <w:rFonts w:eastAsia="Times New Roman"/>
                <w:sz w:val="20"/>
                <w:szCs w:val="20"/>
              </w:rPr>
              <w:t>10.939</w:t>
            </w:r>
          </w:p>
        </w:tc>
        <w:tc>
          <w:tcPr>
            <w:tcW w:w="994" w:type="dxa"/>
            <w:tcBorders>
              <w:top w:val="nil"/>
              <w:left w:val="nil"/>
              <w:bottom w:val="single" w:sz="4" w:space="0" w:color="auto"/>
              <w:right w:val="single" w:sz="4" w:space="0" w:color="auto"/>
            </w:tcBorders>
            <w:shd w:val="clear" w:color="auto" w:fill="auto"/>
            <w:noWrap/>
            <w:vAlign w:val="center"/>
            <w:hideMark/>
          </w:tcPr>
          <w:p w14:paraId="519B46E0" w14:textId="77777777" w:rsidR="0074711A" w:rsidRPr="008E63BB" w:rsidRDefault="0074711A" w:rsidP="0065184D">
            <w:pPr>
              <w:jc w:val="right"/>
              <w:rPr>
                <w:rFonts w:eastAsia="Times New Roman"/>
                <w:sz w:val="20"/>
                <w:szCs w:val="20"/>
              </w:rPr>
            </w:pPr>
            <w:r w:rsidRPr="008E63BB">
              <w:rPr>
                <w:rFonts w:eastAsia="Times New Roman"/>
                <w:sz w:val="20"/>
                <w:szCs w:val="20"/>
              </w:rPr>
              <w:t>21.037</w:t>
            </w:r>
          </w:p>
        </w:tc>
      </w:tr>
      <w:tr w:rsidR="008D5BFE" w:rsidRPr="008E63BB" w14:paraId="519B46F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E2" w14:textId="77777777" w:rsidR="0074711A" w:rsidRPr="008E63BB" w:rsidRDefault="0074711A" w:rsidP="0065184D">
            <w:pPr>
              <w:jc w:val="right"/>
              <w:rPr>
                <w:rFonts w:eastAsia="Times New Roman"/>
                <w:sz w:val="20"/>
                <w:szCs w:val="20"/>
              </w:rPr>
            </w:pPr>
            <w:r w:rsidRPr="008E63BB">
              <w:rPr>
                <w:rFonts w:eastAsia="Times New Roman"/>
                <w:sz w:val="20"/>
                <w:szCs w:val="20"/>
              </w:rPr>
              <w:t>5</w:t>
            </w:r>
          </w:p>
        </w:tc>
        <w:tc>
          <w:tcPr>
            <w:tcW w:w="2684" w:type="dxa"/>
            <w:tcBorders>
              <w:top w:val="nil"/>
              <w:left w:val="nil"/>
              <w:bottom w:val="single" w:sz="4" w:space="0" w:color="auto"/>
              <w:right w:val="single" w:sz="4" w:space="0" w:color="auto"/>
            </w:tcBorders>
            <w:shd w:val="clear" w:color="auto" w:fill="auto"/>
            <w:vAlign w:val="center"/>
            <w:hideMark/>
          </w:tcPr>
          <w:p w14:paraId="519B46E3" w14:textId="77777777" w:rsidR="0074711A" w:rsidRPr="008E63BB" w:rsidRDefault="0074711A" w:rsidP="0065184D">
            <w:pPr>
              <w:jc w:val="left"/>
              <w:rPr>
                <w:rFonts w:eastAsia="Times New Roman"/>
                <w:sz w:val="20"/>
                <w:szCs w:val="20"/>
              </w:rPr>
            </w:pPr>
            <w:r w:rsidRPr="008E63BB">
              <w:rPr>
                <w:rFonts w:eastAsia="Times New Roman"/>
                <w:sz w:val="20"/>
                <w:szCs w:val="20"/>
              </w:rPr>
              <w:t>P. Quang Trung</w:t>
            </w:r>
          </w:p>
        </w:tc>
        <w:tc>
          <w:tcPr>
            <w:tcW w:w="794" w:type="dxa"/>
            <w:tcBorders>
              <w:top w:val="nil"/>
              <w:left w:val="nil"/>
              <w:bottom w:val="single" w:sz="4" w:space="0" w:color="auto"/>
              <w:right w:val="single" w:sz="4" w:space="0" w:color="auto"/>
            </w:tcBorders>
            <w:shd w:val="clear" w:color="auto" w:fill="auto"/>
            <w:noWrap/>
            <w:vAlign w:val="center"/>
            <w:hideMark/>
          </w:tcPr>
          <w:p w14:paraId="519B46E4" w14:textId="77777777" w:rsidR="0074711A" w:rsidRPr="008E63BB" w:rsidRDefault="0074711A" w:rsidP="0065184D">
            <w:pPr>
              <w:jc w:val="right"/>
              <w:rPr>
                <w:rFonts w:eastAsia="Times New Roman"/>
                <w:sz w:val="20"/>
                <w:szCs w:val="20"/>
              </w:rPr>
            </w:pPr>
            <w:r w:rsidRPr="008E63BB">
              <w:rPr>
                <w:rFonts w:eastAsia="Times New Roman"/>
                <w:sz w:val="20"/>
                <w:szCs w:val="20"/>
              </w:rPr>
              <w:t>0,30</w:t>
            </w:r>
          </w:p>
        </w:tc>
        <w:tc>
          <w:tcPr>
            <w:tcW w:w="866" w:type="dxa"/>
            <w:tcBorders>
              <w:top w:val="nil"/>
              <w:left w:val="nil"/>
              <w:bottom w:val="single" w:sz="4" w:space="0" w:color="auto"/>
              <w:right w:val="nil"/>
            </w:tcBorders>
            <w:shd w:val="clear" w:color="auto" w:fill="auto"/>
            <w:vAlign w:val="center"/>
            <w:hideMark/>
          </w:tcPr>
          <w:p w14:paraId="519B46E5" w14:textId="77777777" w:rsidR="0074711A" w:rsidRPr="008E63BB" w:rsidRDefault="0074711A" w:rsidP="0065184D">
            <w:pPr>
              <w:jc w:val="right"/>
              <w:rPr>
                <w:rFonts w:eastAsia="Times New Roman"/>
                <w:sz w:val="20"/>
                <w:szCs w:val="20"/>
              </w:rPr>
            </w:pPr>
            <w:r w:rsidRPr="008E63BB">
              <w:rPr>
                <w:rFonts w:eastAsia="Times New Roman"/>
                <w:sz w:val="20"/>
                <w:szCs w:val="20"/>
              </w:rPr>
              <w:t>11.441</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6E6" w14:textId="77777777" w:rsidR="0074711A" w:rsidRPr="008E63BB" w:rsidRDefault="0074711A" w:rsidP="0065184D">
            <w:pPr>
              <w:jc w:val="right"/>
              <w:rPr>
                <w:rFonts w:eastAsia="Times New Roman"/>
                <w:sz w:val="20"/>
                <w:szCs w:val="20"/>
              </w:rPr>
            </w:pPr>
            <w:r w:rsidRPr="008E63BB">
              <w:rPr>
                <w:rFonts w:eastAsia="Times New Roman"/>
                <w:sz w:val="20"/>
                <w:szCs w:val="20"/>
              </w:rPr>
              <w:t>10.160</w:t>
            </w:r>
          </w:p>
        </w:tc>
        <w:tc>
          <w:tcPr>
            <w:tcW w:w="866" w:type="dxa"/>
            <w:tcBorders>
              <w:top w:val="nil"/>
              <w:left w:val="nil"/>
              <w:bottom w:val="single" w:sz="4" w:space="0" w:color="auto"/>
              <w:right w:val="single" w:sz="4" w:space="0" w:color="auto"/>
            </w:tcBorders>
            <w:shd w:val="clear" w:color="auto" w:fill="auto"/>
            <w:noWrap/>
            <w:vAlign w:val="center"/>
            <w:hideMark/>
          </w:tcPr>
          <w:p w14:paraId="519B46E7" w14:textId="77777777" w:rsidR="0074711A" w:rsidRPr="008E63BB" w:rsidRDefault="0074711A" w:rsidP="0065184D">
            <w:pPr>
              <w:jc w:val="right"/>
              <w:rPr>
                <w:rFonts w:eastAsia="Times New Roman"/>
                <w:sz w:val="20"/>
                <w:szCs w:val="20"/>
              </w:rPr>
            </w:pPr>
            <w:r w:rsidRPr="008E63BB">
              <w:rPr>
                <w:rFonts w:eastAsia="Times New Roman"/>
                <w:sz w:val="20"/>
                <w:szCs w:val="20"/>
              </w:rPr>
              <w:t>10.032</w:t>
            </w:r>
          </w:p>
        </w:tc>
        <w:tc>
          <w:tcPr>
            <w:tcW w:w="866" w:type="dxa"/>
            <w:tcBorders>
              <w:top w:val="nil"/>
              <w:left w:val="nil"/>
              <w:bottom w:val="single" w:sz="4" w:space="0" w:color="auto"/>
              <w:right w:val="single" w:sz="4" w:space="0" w:color="auto"/>
            </w:tcBorders>
            <w:shd w:val="clear" w:color="auto" w:fill="auto"/>
            <w:vAlign w:val="bottom"/>
            <w:hideMark/>
          </w:tcPr>
          <w:p w14:paraId="519B46E8" w14:textId="77777777" w:rsidR="0074711A" w:rsidRPr="008E63BB" w:rsidRDefault="0074711A" w:rsidP="0065184D">
            <w:pPr>
              <w:jc w:val="right"/>
              <w:rPr>
                <w:rFonts w:eastAsia="Times New Roman"/>
                <w:sz w:val="20"/>
                <w:szCs w:val="20"/>
              </w:rPr>
            </w:pPr>
            <w:r w:rsidRPr="008E63BB">
              <w:rPr>
                <w:rFonts w:eastAsia="Times New Roman"/>
                <w:sz w:val="20"/>
                <w:szCs w:val="20"/>
              </w:rPr>
              <w:t>10.087</w:t>
            </w:r>
          </w:p>
        </w:tc>
        <w:tc>
          <w:tcPr>
            <w:tcW w:w="866" w:type="dxa"/>
            <w:tcBorders>
              <w:top w:val="nil"/>
              <w:left w:val="nil"/>
              <w:bottom w:val="single" w:sz="4" w:space="0" w:color="auto"/>
              <w:right w:val="single" w:sz="4" w:space="0" w:color="auto"/>
            </w:tcBorders>
            <w:shd w:val="clear" w:color="auto" w:fill="auto"/>
            <w:vAlign w:val="bottom"/>
            <w:hideMark/>
          </w:tcPr>
          <w:p w14:paraId="519B46E9" w14:textId="77777777" w:rsidR="0074711A" w:rsidRPr="008E63BB" w:rsidRDefault="0074711A" w:rsidP="0065184D">
            <w:pPr>
              <w:jc w:val="right"/>
              <w:rPr>
                <w:rFonts w:eastAsia="Times New Roman"/>
                <w:sz w:val="20"/>
                <w:szCs w:val="20"/>
              </w:rPr>
            </w:pPr>
            <w:r w:rsidRPr="008E63BB">
              <w:rPr>
                <w:rFonts w:eastAsia="Times New Roman"/>
                <w:sz w:val="20"/>
                <w:szCs w:val="20"/>
              </w:rPr>
              <w:t>10.212</w:t>
            </w:r>
          </w:p>
        </w:tc>
        <w:tc>
          <w:tcPr>
            <w:tcW w:w="866" w:type="dxa"/>
            <w:tcBorders>
              <w:top w:val="nil"/>
              <w:left w:val="nil"/>
              <w:bottom w:val="single" w:sz="4" w:space="0" w:color="auto"/>
              <w:right w:val="single" w:sz="4" w:space="0" w:color="auto"/>
            </w:tcBorders>
            <w:shd w:val="clear" w:color="auto" w:fill="auto"/>
            <w:noWrap/>
            <w:vAlign w:val="center"/>
            <w:hideMark/>
          </w:tcPr>
          <w:p w14:paraId="519B46EA" w14:textId="77777777" w:rsidR="0074711A" w:rsidRPr="008E63BB" w:rsidRDefault="0074711A" w:rsidP="0065184D">
            <w:pPr>
              <w:jc w:val="right"/>
              <w:rPr>
                <w:rFonts w:eastAsia="Times New Roman"/>
                <w:sz w:val="20"/>
                <w:szCs w:val="20"/>
              </w:rPr>
            </w:pPr>
            <w:r w:rsidRPr="008E63BB">
              <w:rPr>
                <w:rFonts w:eastAsia="Times New Roman"/>
                <w:sz w:val="20"/>
                <w:szCs w:val="20"/>
              </w:rPr>
              <w:t>10.479</w:t>
            </w:r>
          </w:p>
        </w:tc>
        <w:tc>
          <w:tcPr>
            <w:tcW w:w="866" w:type="dxa"/>
            <w:tcBorders>
              <w:top w:val="nil"/>
              <w:left w:val="nil"/>
              <w:bottom w:val="single" w:sz="4" w:space="0" w:color="auto"/>
              <w:right w:val="single" w:sz="4" w:space="0" w:color="auto"/>
            </w:tcBorders>
            <w:shd w:val="clear" w:color="auto" w:fill="auto"/>
            <w:noWrap/>
            <w:vAlign w:val="center"/>
            <w:hideMark/>
          </w:tcPr>
          <w:p w14:paraId="519B46EB" w14:textId="77777777" w:rsidR="0074711A" w:rsidRPr="008E63BB" w:rsidRDefault="0074711A" w:rsidP="0065184D">
            <w:pPr>
              <w:jc w:val="right"/>
              <w:rPr>
                <w:rFonts w:eastAsia="Times New Roman"/>
                <w:sz w:val="20"/>
                <w:szCs w:val="20"/>
              </w:rPr>
            </w:pPr>
            <w:r w:rsidRPr="008E63BB">
              <w:rPr>
                <w:rFonts w:eastAsia="Times New Roman"/>
                <w:sz w:val="20"/>
                <w:szCs w:val="20"/>
              </w:rPr>
              <w:t>10.737</w:t>
            </w:r>
          </w:p>
        </w:tc>
        <w:tc>
          <w:tcPr>
            <w:tcW w:w="866" w:type="dxa"/>
            <w:tcBorders>
              <w:top w:val="nil"/>
              <w:left w:val="nil"/>
              <w:bottom w:val="single" w:sz="4" w:space="0" w:color="auto"/>
              <w:right w:val="single" w:sz="4" w:space="0" w:color="auto"/>
            </w:tcBorders>
            <w:shd w:val="clear" w:color="auto" w:fill="auto"/>
            <w:noWrap/>
            <w:vAlign w:val="center"/>
            <w:hideMark/>
          </w:tcPr>
          <w:p w14:paraId="519B46EC" w14:textId="77777777" w:rsidR="0074711A" w:rsidRPr="008E63BB" w:rsidRDefault="0074711A" w:rsidP="0065184D">
            <w:pPr>
              <w:jc w:val="right"/>
              <w:rPr>
                <w:rFonts w:eastAsia="Times New Roman"/>
                <w:sz w:val="20"/>
                <w:szCs w:val="20"/>
              </w:rPr>
            </w:pPr>
            <w:r w:rsidRPr="008E63BB">
              <w:rPr>
                <w:rFonts w:eastAsia="Times New Roman"/>
                <w:sz w:val="20"/>
                <w:szCs w:val="20"/>
              </w:rPr>
              <w:t>10.982</w:t>
            </w:r>
          </w:p>
        </w:tc>
        <w:tc>
          <w:tcPr>
            <w:tcW w:w="866" w:type="dxa"/>
            <w:tcBorders>
              <w:top w:val="nil"/>
              <w:left w:val="nil"/>
              <w:bottom w:val="single" w:sz="4" w:space="0" w:color="auto"/>
              <w:right w:val="single" w:sz="4" w:space="0" w:color="auto"/>
            </w:tcBorders>
            <w:shd w:val="clear" w:color="auto" w:fill="auto"/>
            <w:noWrap/>
            <w:vAlign w:val="center"/>
            <w:hideMark/>
          </w:tcPr>
          <w:p w14:paraId="519B46ED" w14:textId="77777777" w:rsidR="0074711A" w:rsidRPr="008E63BB" w:rsidRDefault="0074711A" w:rsidP="0065184D">
            <w:pPr>
              <w:jc w:val="right"/>
              <w:rPr>
                <w:rFonts w:eastAsia="Times New Roman"/>
                <w:sz w:val="20"/>
                <w:szCs w:val="20"/>
              </w:rPr>
            </w:pPr>
            <w:r w:rsidRPr="008E63BB">
              <w:rPr>
                <w:rFonts w:eastAsia="Times New Roman"/>
                <w:sz w:val="20"/>
                <w:szCs w:val="20"/>
              </w:rPr>
              <w:t>11.021</w:t>
            </w:r>
          </w:p>
        </w:tc>
        <w:tc>
          <w:tcPr>
            <w:tcW w:w="866" w:type="dxa"/>
            <w:tcBorders>
              <w:top w:val="nil"/>
              <w:left w:val="nil"/>
              <w:bottom w:val="single" w:sz="4" w:space="0" w:color="auto"/>
              <w:right w:val="single" w:sz="4" w:space="0" w:color="auto"/>
            </w:tcBorders>
            <w:shd w:val="clear" w:color="auto" w:fill="auto"/>
            <w:noWrap/>
            <w:vAlign w:val="center"/>
            <w:hideMark/>
          </w:tcPr>
          <w:p w14:paraId="519B46EE" w14:textId="77777777" w:rsidR="0074711A" w:rsidRPr="008E63BB" w:rsidRDefault="0074711A" w:rsidP="0065184D">
            <w:pPr>
              <w:jc w:val="right"/>
              <w:rPr>
                <w:rFonts w:eastAsia="Times New Roman"/>
                <w:sz w:val="20"/>
                <w:szCs w:val="20"/>
              </w:rPr>
            </w:pPr>
            <w:r w:rsidRPr="008E63BB">
              <w:rPr>
                <w:rFonts w:eastAsia="Times New Roman"/>
                <w:sz w:val="20"/>
                <w:szCs w:val="20"/>
              </w:rPr>
              <w:t>11.734</w:t>
            </w:r>
          </w:p>
        </w:tc>
        <w:tc>
          <w:tcPr>
            <w:tcW w:w="866" w:type="dxa"/>
            <w:tcBorders>
              <w:top w:val="nil"/>
              <w:left w:val="nil"/>
              <w:bottom w:val="single" w:sz="4" w:space="0" w:color="auto"/>
              <w:right w:val="single" w:sz="4" w:space="0" w:color="auto"/>
            </w:tcBorders>
            <w:shd w:val="clear" w:color="auto" w:fill="auto"/>
            <w:noWrap/>
            <w:vAlign w:val="center"/>
            <w:hideMark/>
          </w:tcPr>
          <w:p w14:paraId="519B46EF" w14:textId="77777777" w:rsidR="0074711A" w:rsidRPr="008E63BB" w:rsidRDefault="0074711A" w:rsidP="0065184D">
            <w:pPr>
              <w:jc w:val="right"/>
              <w:rPr>
                <w:rFonts w:eastAsia="Times New Roman"/>
                <w:sz w:val="20"/>
                <w:szCs w:val="20"/>
              </w:rPr>
            </w:pPr>
            <w:r w:rsidRPr="008E63BB">
              <w:rPr>
                <w:rFonts w:eastAsia="Times New Roman"/>
                <w:sz w:val="20"/>
                <w:szCs w:val="20"/>
              </w:rPr>
              <w:t>11.211</w:t>
            </w:r>
          </w:p>
        </w:tc>
        <w:tc>
          <w:tcPr>
            <w:tcW w:w="994" w:type="dxa"/>
            <w:tcBorders>
              <w:top w:val="nil"/>
              <w:left w:val="nil"/>
              <w:bottom w:val="single" w:sz="4" w:space="0" w:color="auto"/>
              <w:right w:val="single" w:sz="4" w:space="0" w:color="auto"/>
            </w:tcBorders>
            <w:shd w:val="clear" w:color="auto" w:fill="auto"/>
            <w:noWrap/>
            <w:vAlign w:val="center"/>
            <w:hideMark/>
          </w:tcPr>
          <w:p w14:paraId="519B46F0" w14:textId="77777777" w:rsidR="0074711A" w:rsidRPr="008E63BB" w:rsidRDefault="0074711A" w:rsidP="0065184D">
            <w:pPr>
              <w:jc w:val="right"/>
              <w:rPr>
                <w:rFonts w:eastAsia="Times New Roman"/>
                <w:sz w:val="20"/>
                <w:szCs w:val="20"/>
              </w:rPr>
            </w:pPr>
            <w:r w:rsidRPr="008E63BB">
              <w:rPr>
                <w:rFonts w:eastAsia="Times New Roman"/>
                <w:sz w:val="20"/>
                <w:szCs w:val="20"/>
              </w:rPr>
              <w:t>37.370</w:t>
            </w:r>
          </w:p>
        </w:tc>
      </w:tr>
      <w:tr w:rsidR="008D5BFE" w:rsidRPr="008E63BB" w14:paraId="519B470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6F2" w14:textId="77777777" w:rsidR="0074711A" w:rsidRPr="008E63BB" w:rsidRDefault="0074711A" w:rsidP="0065184D">
            <w:pPr>
              <w:jc w:val="right"/>
              <w:rPr>
                <w:rFonts w:eastAsia="Times New Roman"/>
                <w:sz w:val="20"/>
                <w:szCs w:val="20"/>
              </w:rPr>
            </w:pPr>
            <w:r w:rsidRPr="008E63BB">
              <w:rPr>
                <w:rFonts w:eastAsia="Times New Roman"/>
                <w:sz w:val="20"/>
                <w:szCs w:val="20"/>
              </w:rPr>
              <w:t>6</w:t>
            </w:r>
          </w:p>
        </w:tc>
        <w:tc>
          <w:tcPr>
            <w:tcW w:w="2684" w:type="dxa"/>
            <w:tcBorders>
              <w:top w:val="nil"/>
              <w:left w:val="nil"/>
              <w:bottom w:val="single" w:sz="4" w:space="0" w:color="auto"/>
              <w:right w:val="single" w:sz="4" w:space="0" w:color="auto"/>
            </w:tcBorders>
            <w:shd w:val="clear" w:color="auto" w:fill="auto"/>
            <w:vAlign w:val="center"/>
            <w:hideMark/>
          </w:tcPr>
          <w:p w14:paraId="519B46F3" w14:textId="77777777" w:rsidR="0074711A" w:rsidRPr="008E63BB" w:rsidRDefault="0074711A" w:rsidP="0065184D">
            <w:pPr>
              <w:jc w:val="left"/>
              <w:rPr>
                <w:rFonts w:eastAsia="Times New Roman"/>
                <w:sz w:val="20"/>
                <w:szCs w:val="20"/>
              </w:rPr>
            </w:pPr>
            <w:r w:rsidRPr="008E63BB">
              <w:rPr>
                <w:rFonts w:eastAsia="Times New Roman"/>
                <w:sz w:val="20"/>
                <w:szCs w:val="20"/>
              </w:rPr>
              <w:t>P. Cửa Bắc</w:t>
            </w:r>
          </w:p>
        </w:tc>
        <w:tc>
          <w:tcPr>
            <w:tcW w:w="794" w:type="dxa"/>
            <w:tcBorders>
              <w:top w:val="nil"/>
              <w:left w:val="nil"/>
              <w:bottom w:val="single" w:sz="4" w:space="0" w:color="auto"/>
              <w:right w:val="single" w:sz="4" w:space="0" w:color="auto"/>
            </w:tcBorders>
            <w:shd w:val="clear" w:color="auto" w:fill="auto"/>
            <w:noWrap/>
            <w:vAlign w:val="center"/>
            <w:hideMark/>
          </w:tcPr>
          <w:p w14:paraId="519B46F4" w14:textId="77777777" w:rsidR="0074711A" w:rsidRPr="008E63BB" w:rsidRDefault="0074711A" w:rsidP="0065184D">
            <w:pPr>
              <w:jc w:val="right"/>
              <w:rPr>
                <w:rFonts w:eastAsia="Times New Roman"/>
                <w:sz w:val="20"/>
                <w:szCs w:val="20"/>
              </w:rPr>
            </w:pPr>
            <w:r w:rsidRPr="008E63BB">
              <w:rPr>
                <w:rFonts w:eastAsia="Times New Roman"/>
                <w:sz w:val="20"/>
                <w:szCs w:val="20"/>
              </w:rPr>
              <w:t>0,64</w:t>
            </w:r>
          </w:p>
        </w:tc>
        <w:tc>
          <w:tcPr>
            <w:tcW w:w="866" w:type="dxa"/>
            <w:tcBorders>
              <w:top w:val="nil"/>
              <w:left w:val="nil"/>
              <w:bottom w:val="single" w:sz="4" w:space="0" w:color="auto"/>
              <w:right w:val="nil"/>
            </w:tcBorders>
            <w:shd w:val="clear" w:color="auto" w:fill="auto"/>
            <w:vAlign w:val="center"/>
            <w:hideMark/>
          </w:tcPr>
          <w:p w14:paraId="519B46F5" w14:textId="77777777" w:rsidR="0074711A" w:rsidRPr="008E63BB" w:rsidRDefault="0074711A" w:rsidP="0065184D">
            <w:pPr>
              <w:jc w:val="right"/>
              <w:rPr>
                <w:rFonts w:eastAsia="Times New Roman"/>
                <w:sz w:val="20"/>
                <w:szCs w:val="20"/>
              </w:rPr>
            </w:pPr>
            <w:r w:rsidRPr="008E63BB">
              <w:rPr>
                <w:rFonts w:eastAsia="Times New Roman"/>
                <w:sz w:val="20"/>
                <w:szCs w:val="20"/>
              </w:rPr>
              <w:t>14.084</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6F6" w14:textId="77777777" w:rsidR="0074711A" w:rsidRPr="008E63BB" w:rsidRDefault="0074711A" w:rsidP="0065184D">
            <w:pPr>
              <w:jc w:val="right"/>
              <w:rPr>
                <w:rFonts w:eastAsia="Times New Roman"/>
                <w:sz w:val="20"/>
                <w:szCs w:val="20"/>
              </w:rPr>
            </w:pPr>
            <w:r w:rsidRPr="008E63BB">
              <w:rPr>
                <w:rFonts w:eastAsia="Times New Roman"/>
                <w:sz w:val="20"/>
                <w:szCs w:val="20"/>
              </w:rPr>
              <w:t>13.707</w:t>
            </w:r>
          </w:p>
        </w:tc>
        <w:tc>
          <w:tcPr>
            <w:tcW w:w="866" w:type="dxa"/>
            <w:tcBorders>
              <w:top w:val="nil"/>
              <w:left w:val="nil"/>
              <w:bottom w:val="single" w:sz="4" w:space="0" w:color="auto"/>
              <w:right w:val="single" w:sz="4" w:space="0" w:color="auto"/>
            </w:tcBorders>
            <w:shd w:val="clear" w:color="auto" w:fill="auto"/>
            <w:noWrap/>
            <w:vAlign w:val="center"/>
            <w:hideMark/>
          </w:tcPr>
          <w:p w14:paraId="519B46F7" w14:textId="77777777" w:rsidR="0074711A" w:rsidRPr="008E63BB" w:rsidRDefault="0074711A" w:rsidP="0065184D">
            <w:pPr>
              <w:jc w:val="right"/>
              <w:rPr>
                <w:rFonts w:eastAsia="Times New Roman"/>
                <w:sz w:val="20"/>
                <w:szCs w:val="20"/>
              </w:rPr>
            </w:pPr>
            <w:r w:rsidRPr="008E63BB">
              <w:rPr>
                <w:rFonts w:eastAsia="Times New Roman"/>
                <w:sz w:val="20"/>
                <w:szCs w:val="20"/>
              </w:rPr>
              <w:t>13.986</w:t>
            </w:r>
          </w:p>
        </w:tc>
        <w:tc>
          <w:tcPr>
            <w:tcW w:w="866" w:type="dxa"/>
            <w:tcBorders>
              <w:top w:val="nil"/>
              <w:left w:val="nil"/>
              <w:bottom w:val="single" w:sz="4" w:space="0" w:color="auto"/>
              <w:right w:val="single" w:sz="4" w:space="0" w:color="auto"/>
            </w:tcBorders>
            <w:shd w:val="clear" w:color="auto" w:fill="auto"/>
            <w:vAlign w:val="bottom"/>
            <w:hideMark/>
          </w:tcPr>
          <w:p w14:paraId="519B46F8" w14:textId="77777777" w:rsidR="0074711A" w:rsidRPr="008E63BB" w:rsidRDefault="0074711A" w:rsidP="0065184D">
            <w:pPr>
              <w:jc w:val="right"/>
              <w:rPr>
                <w:rFonts w:eastAsia="Times New Roman"/>
                <w:sz w:val="20"/>
                <w:szCs w:val="20"/>
              </w:rPr>
            </w:pPr>
            <w:r w:rsidRPr="008E63BB">
              <w:rPr>
                <w:rFonts w:eastAsia="Times New Roman"/>
                <w:sz w:val="20"/>
                <w:szCs w:val="20"/>
              </w:rPr>
              <w:t>14.111</w:t>
            </w:r>
          </w:p>
        </w:tc>
        <w:tc>
          <w:tcPr>
            <w:tcW w:w="866" w:type="dxa"/>
            <w:tcBorders>
              <w:top w:val="nil"/>
              <w:left w:val="nil"/>
              <w:bottom w:val="single" w:sz="4" w:space="0" w:color="auto"/>
              <w:right w:val="single" w:sz="4" w:space="0" w:color="auto"/>
            </w:tcBorders>
            <w:shd w:val="clear" w:color="auto" w:fill="auto"/>
            <w:vAlign w:val="bottom"/>
            <w:hideMark/>
          </w:tcPr>
          <w:p w14:paraId="519B46F9" w14:textId="77777777" w:rsidR="0074711A" w:rsidRPr="008E63BB" w:rsidRDefault="0074711A" w:rsidP="0065184D">
            <w:pPr>
              <w:jc w:val="right"/>
              <w:rPr>
                <w:rFonts w:eastAsia="Times New Roman"/>
                <w:sz w:val="20"/>
                <w:szCs w:val="20"/>
              </w:rPr>
            </w:pPr>
            <w:r w:rsidRPr="008E63BB">
              <w:rPr>
                <w:rFonts w:eastAsia="Times New Roman"/>
                <w:sz w:val="20"/>
                <w:szCs w:val="20"/>
              </w:rPr>
              <w:t>14.205</w:t>
            </w:r>
          </w:p>
        </w:tc>
        <w:tc>
          <w:tcPr>
            <w:tcW w:w="866" w:type="dxa"/>
            <w:tcBorders>
              <w:top w:val="nil"/>
              <w:left w:val="nil"/>
              <w:bottom w:val="single" w:sz="4" w:space="0" w:color="auto"/>
              <w:right w:val="single" w:sz="4" w:space="0" w:color="auto"/>
            </w:tcBorders>
            <w:shd w:val="clear" w:color="auto" w:fill="auto"/>
            <w:noWrap/>
            <w:vAlign w:val="center"/>
            <w:hideMark/>
          </w:tcPr>
          <w:p w14:paraId="519B46FA" w14:textId="77777777" w:rsidR="0074711A" w:rsidRPr="008E63BB" w:rsidRDefault="0074711A" w:rsidP="0065184D">
            <w:pPr>
              <w:jc w:val="right"/>
              <w:rPr>
                <w:rFonts w:eastAsia="Times New Roman"/>
                <w:sz w:val="20"/>
                <w:szCs w:val="20"/>
              </w:rPr>
            </w:pPr>
            <w:r w:rsidRPr="008E63BB">
              <w:rPr>
                <w:rFonts w:eastAsia="Times New Roman"/>
                <w:sz w:val="20"/>
                <w:szCs w:val="20"/>
              </w:rPr>
              <w:t>14.360</w:t>
            </w:r>
          </w:p>
        </w:tc>
        <w:tc>
          <w:tcPr>
            <w:tcW w:w="866" w:type="dxa"/>
            <w:tcBorders>
              <w:top w:val="nil"/>
              <w:left w:val="nil"/>
              <w:bottom w:val="single" w:sz="4" w:space="0" w:color="auto"/>
              <w:right w:val="single" w:sz="4" w:space="0" w:color="auto"/>
            </w:tcBorders>
            <w:shd w:val="clear" w:color="auto" w:fill="auto"/>
            <w:noWrap/>
            <w:vAlign w:val="center"/>
            <w:hideMark/>
          </w:tcPr>
          <w:p w14:paraId="519B46FB" w14:textId="77777777" w:rsidR="0074711A" w:rsidRPr="008E63BB" w:rsidRDefault="0074711A" w:rsidP="0065184D">
            <w:pPr>
              <w:jc w:val="right"/>
              <w:rPr>
                <w:rFonts w:eastAsia="Times New Roman"/>
                <w:sz w:val="20"/>
                <w:szCs w:val="20"/>
              </w:rPr>
            </w:pPr>
            <w:r w:rsidRPr="008E63BB">
              <w:rPr>
                <w:rFonts w:eastAsia="Times New Roman"/>
                <w:sz w:val="20"/>
                <w:szCs w:val="20"/>
              </w:rPr>
              <w:t>14.501</w:t>
            </w:r>
          </w:p>
        </w:tc>
        <w:tc>
          <w:tcPr>
            <w:tcW w:w="866" w:type="dxa"/>
            <w:tcBorders>
              <w:top w:val="nil"/>
              <w:left w:val="nil"/>
              <w:bottom w:val="single" w:sz="4" w:space="0" w:color="auto"/>
              <w:right w:val="single" w:sz="4" w:space="0" w:color="auto"/>
            </w:tcBorders>
            <w:shd w:val="clear" w:color="auto" w:fill="auto"/>
            <w:noWrap/>
            <w:vAlign w:val="center"/>
            <w:hideMark/>
          </w:tcPr>
          <w:p w14:paraId="519B46FC" w14:textId="77777777" w:rsidR="0074711A" w:rsidRPr="008E63BB" w:rsidRDefault="0074711A" w:rsidP="0065184D">
            <w:pPr>
              <w:jc w:val="right"/>
              <w:rPr>
                <w:rFonts w:eastAsia="Times New Roman"/>
                <w:sz w:val="20"/>
                <w:szCs w:val="20"/>
              </w:rPr>
            </w:pPr>
            <w:r w:rsidRPr="008E63BB">
              <w:rPr>
                <w:rFonts w:eastAsia="Times New Roman"/>
                <w:sz w:val="20"/>
                <w:szCs w:val="20"/>
              </w:rPr>
              <w:t>14.724</w:t>
            </w:r>
          </w:p>
        </w:tc>
        <w:tc>
          <w:tcPr>
            <w:tcW w:w="866" w:type="dxa"/>
            <w:tcBorders>
              <w:top w:val="nil"/>
              <w:left w:val="nil"/>
              <w:bottom w:val="single" w:sz="4" w:space="0" w:color="auto"/>
              <w:right w:val="single" w:sz="4" w:space="0" w:color="auto"/>
            </w:tcBorders>
            <w:shd w:val="clear" w:color="auto" w:fill="auto"/>
            <w:noWrap/>
            <w:vAlign w:val="center"/>
            <w:hideMark/>
          </w:tcPr>
          <w:p w14:paraId="519B46FD" w14:textId="77777777" w:rsidR="0074711A" w:rsidRPr="008E63BB" w:rsidRDefault="0074711A" w:rsidP="0065184D">
            <w:pPr>
              <w:jc w:val="right"/>
              <w:rPr>
                <w:rFonts w:eastAsia="Times New Roman"/>
                <w:sz w:val="20"/>
                <w:szCs w:val="20"/>
              </w:rPr>
            </w:pPr>
            <w:r w:rsidRPr="008E63BB">
              <w:rPr>
                <w:rFonts w:eastAsia="Times New Roman"/>
                <w:sz w:val="20"/>
                <w:szCs w:val="20"/>
              </w:rPr>
              <w:t>14.842</w:t>
            </w:r>
          </w:p>
        </w:tc>
        <w:tc>
          <w:tcPr>
            <w:tcW w:w="866" w:type="dxa"/>
            <w:tcBorders>
              <w:top w:val="nil"/>
              <w:left w:val="nil"/>
              <w:bottom w:val="single" w:sz="4" w:space="0" w:color="auto"/>
              <w:right w:val="single" w:sz="4" w:space="0" w:color="auto"/>
            </w:tcBorders>
            <w:shd w:val="clear" w:color="auto" w:fill="auto"/>
            <w:noWrap/>
            <w:vAlign w:val="center"/>
            <w:hideMark/>
          </w:tcPr>
          <w:p w14:paraId="519B46FE" w14:textId="77777777" w:rsidR="0074711A" w:rsidRPr="008E63BB" w:rsidRDefault="0074711A" w:rsidP="0065184D">
            <w:pPr>
              <w:jc w:val="right"/>
              <w:rPr>
                <w:rFonts w:eastAsia="Times New Roman"/>
                <w:sz w:val="20"/>
                <w:szCs w:val="20"/>
              </w:rPr>
            </w:pPr>
            <w:r w:rsidRPr="008E63BB">
              <w:rPr>
                <w:rFonts w:eastAsia="Times New Roman"/>
                <w:sz w:val="20"/>
                <w:szCs w:val="20"/>
              </w:rPr>
              <w:t>14.935</w:t>
            </w:r>
          </w:p>
        </w:tc>
        <w:tc>
          <w:tcPr>
            <w:tcW w:w="866" w:type="dxa"/>
            <w:tcBorders>
              <w:top w:val="nil"/>
              <w:left w:val="nil"/>
              <w:bottom w:val="single" w:sz="4" w:space="0" w:color="auto"/>
              <w:right w:val="single" w:sz="4" w:space="0" w:color="auto"/>
            </w:tcBorders>
            <w:shd w:val="clear" w:color="auto" w:fill="auto"/>
            <w:noWrap/>
            <w:vAlign w:val="center"/>
            <w:hideMark/>
          </w:tcPr>
          <w:p w14:paraId="519B46FF" w14:textId="77777777" w:rsidR="0074711A" w:rsidRPr="008E63BB" w:rsidRDefault="0074711A" w:rsidP="0065184D">
            <w:pPr>
              <w:jc w:val="right"/>
              <w:rPr>
                <w:rFonts w:eastAsia="Times New Roman"/>
                <w:sz w:val="20"/>
                <w:szCs w:val="20"/>
              </w:rPr>
            </w:pPr>
            <w:r w:rsidRPr="008E63BB">
              <w:rPr>
                <w:rFonts w:eastAsia="Times New Roman"/>
                <w:sz w:val="20"/>
                <w:szCs w:val="20"/>
              </w:rPr>
              <w:t>14.328</w:t>
            </w:r>
          </w:p>
        </w:tc>
        <w:tc>
          <w:tcPr>
            <w:tcW w:w="994" w:type="dxa"/>
            <w:tcBorders>
              <w:top w:val="nil"/>
              <w:left w:val="nil"/>
              <w:bottom w:val="single" w:sz="4" w:space="0" w:color="auto"/>
              <w:right w:val="single" w:sz="4" w:space="0" w:color="auto"/>
            </w:tcBorders>
            <w:shd w:val="clear" w:color="auto" w:fill="auto"/>
            <w:noWrap/>
            <w:vAlign w:val="center"/>
            <w:hideMark/>
          </w:tcPr>
          <w:p w14:paraId="519B4700" w14:textId="77777777" w:rsidR="0074711A" w:rsidRPr="008E63BB" w:rsidRDefault="0074711A" w:rsidP="0065184D">
            <w:pPr>
              <w:jc w:val="right"/>
              <w:rPr>
                <w:rFonts w:eastAsia="Times New Roman"/>
                <w:sz w:val="20"/>
                <w:szCs w:val="20"/>
              </w:rPr>
            </w:pPr>
            <w:r w:rsidRPr="008E63BB">
              <w:rPr>
                <w:rFonts w:eastAsia="Times New Roman"/>
                <w:sz w:val="20"/>
                <w:szCs w:val="20"/>
              </w:rPr>
              <w:t>22.388</w:t>
            </w:r>
          </w:p>
        </w:tc>
      </w:tr>
      <w:tr w:rsidR="008D5BFE" w:rsidRPr="008E63BB" w14:paraId="519B471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02" w14:textId="77777777" w:rsidR="0074711A" w:rsidRPr="008E63BB" w:rsidRDefault="0074711A" w:rsidP="0065184D">
            <w:pPr>
              <w:jc w:val="right"/>
              <w:rPr>
                <w:rFonts w:eastAsia="Times New Roman"/>
                <w:sz w:val="20"/>
                <w:szCs w:val="20"/>
              </w:rPr>
            </w:pPr>
            <w:r w:rsidRPr="008E63BB">
              <w:rPr>
                <w:rFonts w:eastAsia="Times New Roman"/>
                <w:sz w:val="20"/>
                <w:szCs w:val="20"/>
              </w:rPr>
              <w:t>7</w:t>
            </w:r>
          </w:p>
        </w:tc>
        <w:tc>
          <w:tcPr>
            <w:tcW w:w="2684" w:type="dxa"/>
            <w:tcBorders>
              <w:top w:val="nil"/>
              <w:left w:val="nil"/>
              <w:bottom w:val="single" w:sz="4" w:space="0" w:color="auto"/>
              <w:right w:val="single" w:sz="4" w:space="0" w:color="auto"/>
            </w:tcBorders>
            <w:shd w:val="clear" w:color="auto" w:fill="auto"/>
            <w:vAlign w:val="center"/>
            <w:hideMark/>
          </w:tcPr>
          <w:p w14:paraId="519B4703" w14:textId="77777777" w:rsidR="0074711A" w:rsidRPr="008E63BB" w:rsidRDefault="0074711A" w:rsidP="0065184D">
            <w:pPr>
              <w:jc w:val="left"/>
              <w:rPr>
                <w:rFonts w:eastAsia="Times New Roman"/>
                <w:sz w:val="20"/>
                <w:szCs w:val="20"/>
              </w:rPr>
            </w:pPr>
            <w:r w:rsidRPr="008E63BB">
              <w:rPr>
                <w:rFonts w:eastAsia="Times New Roman"/>
                <w:sz w:val="20"/>
                <w:szCs w:val="20"/>
              </w:rPr>
              <w:t>P.Nguyễn Du</w:t>
            </w:r>
          </w:p>
        </w:tc>
        <w:tc>
          <w:tcPr>
            <w:tcW w:w="794" w:type="dxa"/>
            <w:tcBorders>
              <w:top w:val="nil"/>
              <w:left w:val="nil"/>
              <w:bottom w:val="single" w:sz="4" w:space="0" w:color="auto"/>
              <w:right w:val="single" w:sz="4" w:space="0" w:color="auto"/>
            </w:tcBorders>
            <w:shd w:val="clear" w:color="auto" w:fill="auto"/>
            <w:noWrap/>
            <w:vAlign w:val="center"/>
            <w:hideMark/>
          </w:tcPr>
          <w:p w14:paraId="519B4704" w14:textId="77777777" w:rsidR="0074711A" w:rsidRPr="008E63BB" w:rsidRDefault="0074711A" w:rsidP="0065184D">
            <w:pPr>
              <w:jc w:val="right"/>
              <w:rPr>
                <w:rFonts w:eastAsia="Times New Roman"/>
                <w:sz w:val="20"/>
                <w:szCs w:val="20"/>
              </w:rPr>
            </w:pPr>
            <w:r w:rsidRPr="008E63BB">
              <w:rPr>
                <w:rFonts w:eastAsia="Times New Roman"/>
                <w:sz w:val="20"/>
                <w:szCs w:val="20"/>
              </w:rPr>
              <w:t>0,21</w:t>
            </w:r>
          </w:p>
        </w:tc>
        <w:tc>
          <w:tcPr>
            <w:tcW w:w="866" w:type="dxa"/>
            <w:tcBorders>
              <w:top w:val="nil"/>
              <w:left w:val="nil"/>
              <w:bottom w:val="single" w:sz="4" w:space="0" w:color="auto"/>
              <w:right w:val="nil"/>
            </w:tcBorders>
            <w:shd w:val="clear" w:color="auto" w:fill="auto"/>
            <w:vAlign w:val="center"/>
            <w:hideMark/>
          </w:tcPr>
          <w:p w14:paraId="519B4705" w14:textId="77777777" w:rsidR="0074711A" w:rsidRPr="008E63BB" w:rsidRDefault="0074711A" w:rsidP="0065184D">
            <w:pPr>
              <w:jc w:val="right"/>
              <w:rPr>
                <w:rFonts w:eastAsia="Times New Roman"/>
                <w:sz w:val="20"/>
                <w:szCs w:val="20"/>
              </w:rPr>
            </w:pPr>
            <w:r w:rsidRPr="008E63BB">
              <w:rPr>
                <w:rFonts w:eastAsia="Times New Roman"/>
                <w:sz w:val="20"/>
                <w:szCs w:val="20"/>
              </w:rPr>
              <w:t>8.624</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06" w14:textId="77777777" w:rsidR="0074711A" w:rsidRPr="008E63BB" w:rsidRDefault="0074711A" w:rsidP="0065184D">
            <w:pPr>
              <w:jc w:val="right"/>
              <w:rPr>
                <w:rFonts w:eastAsia="Times New Roman"/>
                <w:sz w:val="20"/>
                <w:szCs w:val="20"/>
              </w:rPr>
            </w:pPr>
            <w:r w:rsidRPr="008E63BB">
              <w:rPr>
                <w:rFonts w:eastAsia="Times New Roman"/>
                <w:sz w:val="20"/>
                <w:szCs w:val="20"/>
              </w:rPr>
              <w:t>6.455</w:t>
            </w:r>
          </w:p>
        </w:tc>
        <w:tc>
          <w:tcPr>
            <w:tcW w:w="866" w:type="dxa"/>
            <w:tcBorders>
              <w:top w:val="nil"/>
              <w:left w:val="nil"/>
              <w:bottom w:val="single" w:sz="4" w:space="0" w:color="auto"/>
              <w:right w:val="single" w:sz="4" w:space="0" w:color="auto"/>
            </w:tcBorders>
            <w:shd w:val="clear" w:color="auto" w:fill="auto"/>
            <w:noWrap/>
            <w:vAlign w:val="center"/>
            <w:hideMark/>
          </w:tcPr>
          <w:p w14:paraId="519B4707" w14:textId="77777777" w:rsidR="0074711A" w:rsidRPr="008E63BB" w:rsidRDefault="0074711A" w:rsidP="0065184D">
            <w:pPr>
              <w:jc w:val="right"/>
              <w:rPr>
                <w:rFonts w:eastAsia="Times New Roman"/>
                <w:sz w:val="20"/>
                <w:szCs w:val="20"/>
              </w:rPr>
            </w:pPr>
            <w:r w:rsidRPr="008E63BB">
              <w:rPr>
                <w:rFonts w:eastAsia="Times New Roman"/>
                <w:sz w:val="20"/>
                <w:szCs w:val="20"/>
              </w:rPr>
              <w:t>6.395</w:t>
            </w:r>
          </w:p>
        </w:tc>
        <w:tc>
          <w:tcPr>
            <w:tcW w:w="866" w:type="dxa"/>
            <w:tcBorders>
              <w:top w:val="nil"/>
              <w:left w:val="nil"/>
              <w:bottom w:val="single" w:sz="4" w:space="0" w:color="auto"/>
              <w:right w:val="single" w:sz="4" w:space="0" w:color="auto"/>
            </w:tcBorders>
            <w:shd w:val="clear" w:color="auto" w:fill="auto"/>
            <w:vAlign w:val="bottom"/>
            <w:hideMark/>
          </w:tcPr>
          <w:p w14:paraId="519B4708" w14:textId="77777777" w:rsidR="0074711A" w:rsidRPr="008E63BB" w:rsidRDefault="0074711A" w:rsidP="0065184D">
            <w:pPr>
              <w:jc w:val="right"/>
              <w:rPr>
                <w:rFonts w:eastAsia="Times New Roman"/>
                <w:sz w:val="20"/>
                <w:szCs w:val="20"/>
              </w:rPr>
            </w:pPr>
            <w:r w:rsidRPr="008E63BB">
              <w:rPr>
                <w:rFonts w:eastAsia="Times New Roman"/>
                <w:sz w:val="20"/>
                <w:szCs w:val="20"/>
              </w:rPr>
              <w:t>6.403</w:t>
            </w:r>
          </w:p>
        </w:tc>
        <w:tc>
          <w:tcPr>
            <w:tcW w:w="866" w:type="dxa"/>
            <w:tcBorders>
              <w:top w:val="nil"/>
              <w:left w:val="nil"/>
              <w:bottom w:val="single" w:sz="4" w:space="0" w:color="auto"/>
              <w:right w:val="single" w:sz="4" w:space="0" w:color="auto"/>
            </w:tcBorders>
            <w:shd w:val="clear" w:color="auto" w:fill="auto"/>
            <w:vAlign w:val="bottom"/>
            <w:hideMark/>
          </w:tcPr>
          <w:p w14:paraId="519B4709" w14:textId="77777777" w:rsidR="0074711A" w:rsidRPr="008E63BB" w:rsidRDefault="0074711A" w:rsidP="0065184D">
            <w:pPr>
              <w:jc w:val="right"/>
              <w:rPr>
                <w:rFonts w:eastAsia="Times New Roman"/>
                <w:sz w:val="20"/>
                <w:szCs w:val="20"/>
              </w:rPr>
            </w:pPr>
            <w:r w:rsidRPr="008E63BB">
              <w:rPr>
                <w:rFonts w:eastAsia="Times New Roman"/>
                <w:sz w:val="20"/>
                <w:szCs w:val="20"/>
              </w:rPr>
              <w:t>6.428</w:t>
            </w:r>
          </w:p>
        </w:tc>
        <w:tc>
          <w:tcPr>
            <w:tcW w:w="866" w:type="dxa"/>
            <w:tcBorders>
              <w:top w:val="nil"/>
              <w:left w:val="nil"/>
              <w:bottom w:val="single" w:sz="4" w:space="0" w:color="auto"/>
              <w:right w:val="single" w:sz="4" w:space="0" w:color="auto"/>
            </w:tcBorders>
            <w:shd w:val="clear" w:color="auto" w:fill="auto"/>
            <w:noWrap/>
            <w:vAlign w:val="center"/>
            <w:hideMark/>
          </w:tcPr>
          <w:p w14:paraId="519B470A" w14:textId="77777777" w:rsidR="0074711A" w:rsidRPr="008E63BB" w:rsidRDefault="0074711A" w:rsidP="0065184D">
            <w:pPr>
              <w:jc w:val="right"/>
              <w:rPr>
                <w:rFonts w:eastAsia="Times New Roman"/>
                <w:sz w:val="20"/>
                <w:szCs w:val="20"/>
              </w:rPr>
            </w:pPr>
            <w:r w:rsidRPr="008E63BB">
              <w:rPr>
                <w:rFonts w:eastAsia="Times New Roman"/>
                <w:sz w:val="20"/>
                <w:szCs w:val="20"/>
              </w:rPr>
              <w:t>6.440</w:t>
            </w:r>
          </w:p>
        </w:tc>
        <w:tc>
          <w:tcPr>
            <w:tcW w:w="866" w:type="dxa"/>
            <w:tcBorders>
              <w:top w:val="nil"/>
              <w:left w:val="nil"/>
              <w:bottom w:val="single" w:sz="4" w:space="0" w:color="auto"/>
              <w:right w:val="single" w:sz="4" w:space="0" w:color="auto"/>
            </w:tcBorders>
            <w:shd w:val="clear" w:color="auto" w:fill="auto"/>
            <w:noWrap/>
            <w:vAlign w:val="center"/>
            <w:hideMark/>
          </w:tcPr>
          <w:p w14:paraId="519B470B" w14:textId="77777777" w:rsidR="0074711A" w:rsidRPr="008E63BB" w:rsidRDefault="0074711A" w:rsidP="0065184D">
            <w:pPr>
              <w:jc w:val="right"/>
              <w:rPr>
                <w:rFonts w:eastAsia="Times New Roman"/>
                <w:sz w:val="20"/>
                <w:szCs w:val="20"/>
              </w:rPr>
            </w:pPr>
            <w:r w:rsidRPr="008E63BB">
              <w:rPr>
                <w:rFonts w:eastAsia="Times New Roman"/>
                <w:sz w:val="20"/>
                <w:szCs w:val="20"/>
              </w:rPr>
              <w:t>6.455</w:t>
            </w:r>
          </w:p>
        </w:tc>
        <w:tc>
          <w:tcPr>
            <w:tcW w:w="866" w:type="dxa"/>
            <w:tcBorders>
              <w:top w:val="nil"/>
              <w:left w:val="nil"/>
              <w:bottom w:val="single" w:sz="4" w:space="0" w:color="auto"/>
              <w:right w:val="single" w:sz="4" w:space="0" w:color="auto"/>
            </w:tcBorders>
            <w:shd w:val="clear" w:color="auto" w:fill="auto"/>
            <w:noWrap/>
            <w:vAlign w:val="center"/>
            <w:hideMark/>
          </w:tcPr>
          <w:p w14:paraId="519B470C" w14:textId="77777777" w:rsidR="0074711A" w:rsidRPr="008E63BB" w:rsidRDefault="0074711A" w:rsidP="0065184D">
            <w:pPr>
              <w:jc w:val="right"/>
              <w:rPr>
                <w:rFonts w:eastAsia="Times New Roman"/>
                <w:sz w:val="20"/>
                <w:szCs w:val="20"/>
              </w:rPr>
            </w:pPr>
            <w:r w:rsidRPr="008E63BB">
              <w:rPr>
                <w:rFonts w:eastAsia="Times New Roman"/>
                <w:sz w:val="20"/>
                <w:szCs w:val="20"/>
              </w:rPr>
              <w:t>6.550</w:t>
            </w:r>
          </w:p>
        </w:tc>
        <w:tc>
          <w:tcPr>
            <w:tcW w:w="866" w:type="dxa"/>
            <w:tcBorders>
              <w:top w:val="nil"/>
              <w:left w:val="nil"/>
              <w:bottom w:val="single" w:sz="4" w:space="0" w:color="auto"/>
              <w:right w:val="single" w:sz="4" w:space="0" w:color="auto"/>
            </w:tcBorders>
            <w:shd w:val="clear" w:color="auto" w:fill="auto"/>
            <w:noWrap/>
            <w:vAlign w:val="center"/>
            <w:hideMark/>
          </w:tcPr>
          <w:p w14:paraId="519B470D" w14:textId="77777777" w:rsidR="0074711A" w:rsidRPr="008E63BB" w:rsidRDefault="0074711A" w:rsidP="0065184D">
            <w:pPr>
              <w:jc w:val="right"/>
              <w:rPr>
                <w:rFonts w:eastAsia="Times New Roman"/>
                <w:sz w:val="20"/>
                <w:szCs w:val="20"/>
              </w:rPr>
            </w:pPr>
            <w:r w:rsidRPr="008E63BB">
              <w:rPr>
                <w:rFonts w:eastAsia="Times New Roman"/>
                <w:sz w:val="20"/>
                <w:szCs w:val="20"/>
              </w:rPr>
              <w:t>6.602</w:t>
            </w:r>
          </w:p>
        </w:tc>
        <w:tc>
          <w:tcPr>
            <w:tcW w:w="866" w:type="dxa"/>
            <w:tcBorders>
              <w:top w:val="nil"/>
              <w:left w:val="nil"/>
              <w:bottom w:val="single" w:sz="4" w:space="0" w:color="auto"/>
              <w:right w:val="single" w:sz="4" w:space="0" w:color="auto"/>
            </w:tcBorders>
            <w:shd w:val="clear" w:color="auto" w:fill="auto"/>
            <w:noWrap/>
            <w:vAlign w:val="center"/>
            <w:hideMark/>
          </w:tcPr>
          <w:p w14:paraId="519B470E" w14:textId="77777777" w:rsidR="0074711A" w:rsidRPr="008E63BB" w:rsidRDefault="0074711A" w:rsidP="0065184D">
            <w:pPr>
              <w:jc w:val="right"/>
              <w:rPr>
                <w:rFonts w:eastAsia="Times New Roman"/>
                <w:sz w:val="20"/>
                <w:szCs w:val="20"/>
              </w:rPr>
            </w:pPr>
            <w:r w:rsidRPr="008E63BB">
              <w:rPr>
                <w:rFonts w:eastAsia="Times New Roman"/>
                <w:sz w:val="20"/>
                <w:szCs w:val="20"/>
              </w:rPr>
              <w:t>6.807</w:t>
            </w:r>
          </w:p>
        </w:tc>
        <w:tc>
          <w:tcPr>
            <w:tcW w:w="866" w:type="dxa"/>
            <w:tcBorders>
              <w:top w:val="nil"/>
              <w:left w:val="nil"/>
              <w:bottom w:val="single" w:sz="4" w:space="0" w:color="auto"/>
              <w:right w:val="single" w:sz="4" w:space="0" w:color="auto"/>
            </w:tcBorders>
            <w:shd w:val="clear" w:color="auto" w:fill="auto"/>
            <w:noWrap/>
            <w:vAlign w:val="center"/>
            <w:hideMark/>
          </w:tcPr>
          <w:p w14:paraId="519B470F" w14:textId="77777777" w:rsidR="0074711A" w:rsidRPr="008E63BB" w:rsidRDefault="0074711A" w:rsidP="0065184D">
            <w:pPr>
              <w:jc w:val="right"/>
              <w:rPr>
                <w:rFonts w:eastAsia="Times New Roman"/>
                <w:sz w:val="20"/>
                <w:szCs w:val="20"/>
              </w:rPr>
            </w:pPr>
            <w:r w:rsidRPr="008E63BB">
              <w:rPr>
                <w:rFonts w:eastAsia="Times New Roman"/>
                <w:sz w:val="20"/>
                <w:szCs w:val="20"/>
              </w:rPr>
              <w:t>6.702</w:t>
            </w:r>
          </w:p>
        </w:tc>
        <w:tc>
          <w:tcPr>
            <w:tcW w:w="994" w:type="dxa"/>
            <w:tcBorders>
              <w:top w:val="nil"/>
              <w:left w:val="nil"/>
              <w:bottom w:val="single" w:sz="4" w:space="0" w:color="auto"/>
              <w:right w:val="single" w:sz="4" w:space="0" w:color="auto"/>
            </w:tcBorders>
            <w:shd w:val="clear" w:color="auto" w:fill="auto"/>
            <w:noWrap/>
            <w:vAlign w:val="center"/>
            <w:hideMark/>
          </w:tcPr>
          <w:p w14:paraId="519B4710" w14:textId="77777777" w:rsidR="0074711A" w:rsidRPr="008E63BB" w:rsidRDefault="0074711A" w:rsidP="0065184D">
            <w:pPr>
              <w:jc w:val="right"/>
              <w:rPr>
                <w:rFonts w:eastAsia="Times New Roman"/>
                <w:sz w:val="20"/>
                <w:szCs w:val="20"/>
              </w:rPr>
            </w:pPr>
            <w:r w:rsidRPr="008E63BB">
              <w:rPr>
                <w:rFonts w:eastAsia="Times New Roman"/>
                <w:sz w:val="20"/>
                <w:szCs w:val="20"/>
              </w:rPr>
              <w:t>31.914</w:t>
            </w:r>
          </w:p>
        </w:tc>
      </w:tr>
      <w:tr w:rsidR="008D5BFE" w:rsidRPr="008E63BB" w14:paraId="519B472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12" w14:textId="77777777" w:rsidR="0074711A" w:rsidRPr="008E63BB" w:rsidRDefault="0074711A" w:rsidP="0065184D">
            <w:pPr>
              <w:jc w:val="right"/>
              <w:rPr>
                <w:rFonts w:eastAsia="Times New Roman"/>
                <w:sz w:val="20"/>
                <w:szCs w:val="20"/>
              </w:rPr>
            </w:pPr>
            <w:r w:rsidRPr="008E63BB">
              <w:rPr>
                <w:rFonts w:eastAsia="Times New Roman"/>
                <w:sz w:val="20"/>
                <w:szCs w:val="20"/>
              </w:rPr>
              <w:t>8</w:t>
            </w:r>
          </w:p>
        </w:tc>
        <w:tc>
          <w:tcPr>
            <w:tcW w:w="2684" w:type="dxa"/>
            <w:tcBorders>
              <w:top w:val="nil"/>
              <w:left w:val="nil"/>
              <w:bottom w:val="single" w:sz="4" w:space="0" w:color="auto"/>
              <w:right w:val="single" w:sz="4" w:space="0" w:color="auto"/>
            </w:tcBorders>
            <w:shd w:val="clear" w:color="auto" w:fill="auto"/>
            <w:vAlign w:val="center"/>
            <w:hideMark/>
          </w:tcPr>
          <w:p w14:paraId="519B4713" w14:textId="77777777" w:rsidR="0074711A" w:rsidRPr="008E63BB" w:rsidRDefault="0074711A" w:rsidP="0065184D">
            <w:pPr>
              <w:jc w:val="left"/>
              <w:rPr>
                <w:rFonts w:eastAsia="Times New Roman"/>
                <w:sz w:val="20"/>
                <w:szCs w:val="20"/>
              </w:rPr>
            </w:pPr>
            <w:r w:rsidRPr="008E63BB">
              <w:rPr>
                <w:rFonts w:eastAsia="Times New Roman"/>
                <w:sz w:val="20"/>
                <w:szCs w:val="20"/>
              </w:rPr>
              <w:t>P. Bà Triệu</w:t>
            </w:r>
          </w:p>
        </w:tc>
        <w:tc>
          <w:tcPr>
            <w:tcW w:w="794" w:type="dxa"/>
            <w:tcBorders>
              <w:top w:val="nil"/>
              <w:left w:val="nil"/>
              <w:bottom w:val="single" w:sz="4" w:space="0" w:color="auto"/>
              <w:right w:val="single" w:sz="4" w:space="0" w:color="auto"/>
            </w:tcBorders>
            <w:shd w:val="clear" w:color="auto" w:fill="auto"/>
            <w:noWrap/>
            <w:vAlign w:val="center"/>
            <w:hideMark/>
          </w:tcPr>
          <w:p w14:paraId="519B4714" w14:textId="77777777" w:rsidR="0074711A" w:rsidRPr="008E63BB" w:rsidRDefault="0074711A" w:rsidP="0065184D">
            <w:pPr>
              <w:jc w:val="right"/>
              <w:rPr>
                <w:rFonts w:eastAsia="Times New Roman"/>
                <w:sz w:val="20"/>
                <w:szCs w:val="20"/>
              </w:rPr>
            </w:pPr>
            <w:r w:rsidRPr="008E63BB">
              <w:rPr>
                <w:rFonts w:eastAsia="Times New Roman"/>
                <w:sz w:val="20"/>
                <w:szCs w:val="20"/>
              </w:rPr>
              <w:t>0,27</w:t>
            </w:r>
          </w:p>
        </w:tc>
        <w:tc>
          <w:tcPr>
            <w:tcW w:w="866" w:type="dxa"/>
            <w:tcBorders>
              <w:top w:val="nil"/>
              <w:left w:val="nil"/>
              <w:bottom w:val="single" w:sz="4" w:space="0" w:color="auto"/>
              <w:right w:val="nil"/>
            </w:tcBorders>
            <w:shd w:val="clear" w:color="auto" w:fill="auto"/>
            <w:vAlign w:val="center"/>
            <w:hideMark/>
          </w:tcPr>
          <w:p w14:paraId="519B4715" w14:textId="77777777" w:rsidR="0074711A" w:rsidRPr="008E63BB" w:rsidRDefault="0074711A" w:rsidP="0065184D">
            <w:pPr>
              <w:jc w:val="right"/>
              <w:rPr>
                <w:rFonts w:eastAsia="Times New Roman"/>
                <w:sz w:val="20"/>
                <w:szCs w:val="20"/>
              </w:rPr>
            </w:pPr>
            <w:r w:rsidRPr="008E63BB">
              <w:rPr>
                <w:rFonts w:eastAsia="Times New Roman"/>
                <w:sz w:val="20"/>
                <w:szCs w:val="20"/>
              </w:rPr>
              <w:t>7.353</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16" w14:textId="77777777" w:rsidR="0074711A" w:rsidRPr="008E63BB" w:rsidRDefault="0074711A" w:rsidP="0065184D">
            <w:pPr>
              <w:jc w:val="right"/>
              <w:rPr>
                <w:rFonts w:eastAsia="Times New Roman"/>
                <w:sz w:val="20"/>
                <w:szCs w:val="20"/>
              </w:rPr>
            </w:pPr>
            <w:r w:rsidRPr="008E63BB">
              <w:rPr>
                <w:rFonts w:eastAsia="Times New Roman"/>
                <w:sz w:val="20"/>
                <w:szCs w:val="20"/>
              </w:rPr>
              <w:t>6.548</w:t>
            </w:r>
          </w:p>
        </w:tc>
        <w:tc>
          <w:tcPr>
            <w:tcW w:w="866" w:type="dxa"/>
            <w:tcBorders>
              <w:top w:val="nil"/>
              <w:left w:val="nil"/>
              <w:bottom w:val="single" w:sz="4" w:space="0" w:color="auto"/>
              <w:right w:val="single" w:sz="4" w:space="0" w:color="auto"/>
            </w:tcBorders>
            <w:shd w:val="clear" w:color="auto" w:fill="auto"/>
            <w:noWrap/>
            <w:vAlign w:val="center"/>
            <w:hideMark/>
          </w:tcPr>
          <w:p w14:paraId="519B4717" w14:textId="77777777" w:rsidR="0074711A" w:rsidRPr="008E63BB" w:rsidRDefault="0074711A" w:rsidP="0065184D">
            <w:pPr>
              <w:jc w:val="right"/>
              <w:rPr>
                <w:rFonts w:eastAsia="Times New Roman"/>
                <w:sz w:val="20"/>
                <w:szCs w:val="20"/>
              </w:rPr>
            </w:pPr>
            <w:r w:rsidRPr="008E63BB">
              <w:rPr>
                <w:rFonts w:eastAsia="Times New Roman"/>
                <w:sz w:val="20"/>
                <w:szCs w:val="20"/>
              </w:rPr>
              <w:t>6.501</w:t>
            </w:r>
          </w:p>
        </w:tc>
        <w:tc>
          <w:tcPr>
            <w:tcW w:w="866" w:type="dxa"/>
            <w:tcBorders>
              <w:top w:val="nil"/>
              <w:left w:val="nil"/>
              <w:bottom w:val="single" w:sz="4" w:space="0" w:color="auto"/>
              <w:right w:val="single" w:sz="4" w:space="0" w:color="auto"/>
            </w:tcBorders>
            <w:shd w:val="clear" w:color="auto" w:fill="auto"/>
            <w:vAlign w:val="bottom"/>
            <w:hideMark/>
          </w:tcPr>
          <w:p w14:paraId="519B4718" w14:textId="77777777" w:rsidR="0074711A" w:rsidRPr="008E63BB" w:rsidRDefault="0074711A" w:rsidP="0065184D">
            <w:pPr>
              <w:jc w:val="right"/>
              <w:rPr>
                <w:rFonts w:eastAsia="Times New Roman"/>
                <w:sz w:val="20"/>
                <w:szCs w:val="20"/>
              </w:rPr>
            </w:pPr>
            <w:r w:rsidRPr="008E63BB">
              <w:rPr>
                <w:rFonts w:eastAsia="Times New Roman"/>
                <w:sz w:val="20"/>
                <w:szCs w:val="20"/>
              </w:rPr>
              <w:t>6.517</w:t>
            </w:r>
          </w:p>
        </w:tc>
        <w:tc>
          <w:tcPr>
            <w:tcW w:w="866" w:type="dxa"/>
            <w:tcBorders>
              <w:top w:val="nil"/>
              <w:left w:val="nil"/>
              <w:bottom w:val="single" w:sz="4" w:space="0" w:color="auto"/>
              <w:right w:val="single" w:sz="4" w:space="0" w:color="auto"/>
            </w:tcBorders>
            <w:shd w:val="clear" w:color="auto" w:fill="auto"/>
            <w:vAlign w:val="bottom"/>
            <w:hideMark/>
          </w:tcPr>
          <w:p w14:paraId="519B4719" w14:textId="77777777" w:rsidR="0074711A" w:rsidRPr="008E63BB" w:rsidRDefault="0074711A" w:rsidP="0065184D">
            <w:pPr>
              <w:jc w:val="right"/>
              <w:rPr>
                <w:rFonts w:eastAsia="Times New Roman"/>
                <w:sz w:val="20"/>
                <w:szCs w:val="20"/>
              </w:rPr>
            </w:pPr>
            <w:r w:rsidRPr="008E63BB">
              <w:rPr>
                <w:rFonts w:eastAsia="Times New Roman"/>
                <w:sz w:val="20"/>
                <w:szCs w:val="20"/>
              </w:rPr>
              <w:t>6.597</w:t>
            </w:r>
          </w:p>
        </w:tc>
        <w:tc>
          <w:tcPr>
            <w:tcW w:w="866" w:type="dxa"/>
            <w:tcBorders>
              <w:top w:val="nil"/>
              <w:left w:val="nil"/>
              <w:bottom w:val="single" w:sz="4" w:space="0" w:color="auto"/>
              <w:right w:val="single" w:sz="4" w:space="0" w:color="auto"/>
            </w:tcBorders>
            <w:shd w:val="clear" w:color="auto" w:fill="auto"/>
            <w:noWrap/>
            <w:vAlign w:val="center"/>
            <w:hideMark/>
          </w:tcPr>
          <w:p w14:paraId="519B471A" w14:textId="77777777" w:rsidR="0074711A" w:rsidRPr="008E63BB" w:rsidRDefault="0074711A" w:rsidP="0065184D">
            <w:pPr>
              <w:jc w:val="right"/>
              <w:rPr>
                <w:rFonts w:eastAsia="Times New Roman"/>
                <w:sz w:val="20"/>
                <w:szCs w:val="20"/>
              </w:rPr>
            </w:pPr>
            <w:r w:rsidRPr="008E63BB">
              <w:rPr>
                <w:rFonts w:eastAsia="Times New Roman"/>
                <w:sz w:val="20"/>
                <w:szCs w:val="20"/>
              </w:rPr>
              <w:t>6.755</w:t>
            </w:r>
          </w:p>
        </w:tc>
        <w:tc>
          <w:tcPr>
            <w:tcW w:w="866" w:type="dxa"/>
            <w:tcBorders>
              <w:top w:val="nil"/>
              <w:left w:val="nil"/>
              <w:bottom w:val="single" w:sz="4" w:space="0" w:color="auto"/>
              <w:right w:val="single" w:sz="4" w:space="0" w:color="auto"/>
            </w:tcBorders>
            <w:shd w:val="clear" w:color="auto" w:fill="auto"/>
            <w:noWrap/>
            <w:vAlign w:val="center"/>
            <w:hideMark/>
          </w:tcPr>
          <w:p w14:paraId="519B471B" w14:textId="77777777" w:rsidR="0074711A" w:rsidRPr="008E63BB" w:rsidRDefault="0074711A" w:rsidP="0065184D">
            <w:pPr>
              <w:jc w:val="right"/>
              <w:rPr>
                <w:rFonts w:eastAsia="Times New Roman"/>
                <w:sz w:val="20"/>
                <w:szCs w:val="20"/>
              </w:rPr>
            </w:pPr>
            <w:r w:rsidRPr="008E63BB">
              <w:rPr>
                <w:rFonts w:eastAsia="Times New Roman"/>
                <w:sz w:val="20"/>
                <w:szCs w:val="20"/>
              </w:rPr>
              <w:t>6.899</w:t>
            </w:r>
          </w:p>
        </w:tc>
        <w:tc>
          <w:tcPr>
            <w:tcW w:w="866" w:type="dxa"/>
            <w:tcBorders>
              <w:top w:val="nil"/>
              <w:left w:val="nil"/>
              <w:bottom w:val="single" w:sz="4" w:space="0" w:color="auto"/>
              <w:right w:val="single" w:sz="4" w:space="0" w:color="auto"/>
            </w:tcBorders>
            <w:shd w:val="clear" w:color="auto" w:fill="auto"/>
            <w:noWrap/>
            <w:vAlign w:val="center"/>
            <w:hideMark/>
          </w:tcPr>
          <w:p w14:paraId="519B471C" w14:textId="77777777" w:rsidR="0074711A" w:rsidRPr="008E63BB" w:rsidRDefault="0074711A" w:rsidP="0065184D">
            <w:pPr>
              <w:jc w:val="right"/>
              <w:rPr>
                <w:rFonts w:eastAsia="Times New Roman"/>
                <w:sz w:val="20"/>
                <w:szCs w:val="20"/>
              </w:rPr>
            </w:pPr>
            <w:r w:rsidRPr="008E63BB">
              <w:rPr>
                <w:rFonts w:eastAsia="Times New Roman"/>
                <w:sz w:val="20"/>
                <w:szCs w:val="20"/>
              </w:rPr>
              <w:t>6.907</w:t>
            </w:r>
          </w:p>
        </w:tc>
        <w:tc>
          <w:tcPr>
            <w:tcW w:w="866" w:type="dxa"/>
            <w:tcBorders>
              <w:top w:val="nil"/>
              <w:left w:val="nil"/>
              <w:bottom w:val="single" w:sz="4" w:space="0" w:color="auto"/>
              <w:right w:val="single" w:sz="4" w:space="0" w:color="auto"/>
            </w:tcBorders>
            <w:shd w:val="clear" w:color="auto" w:fill="auto"/>
            <w:noWrap/>
            <w:vAlign w:val="center"/>
            <w:hideMark/>
          </w:tcPr>
          <w:p w14:paraId="519B471D" w14:textId="77777777" w:rsidR="0074711A" w:rsidRPr="008E63BB" w:rsidRDefault="0074711A" w:rsidP="0065184D">
            <w:pPr>
              <w:jc w:val="right"/>
              <w:rPr>
                <w:rFonts w:eastAsia="Times New Roman"/>
                <w:sz w:val="20"/>
                <w:szCs w:val="20"/>
              </w:rPr>
            </w:pPr>
            <w:r w:rsidRPr="008E63BB">
              <w:rPr>
                <w:rFonts w:eastAsia="Times New Roman"/>
                <w:sz w:val="20"/>
                <w:szCs w:val="20"/>
              </w:rPr>
              <w:t>6.974</w:t>
            </w:r>
          </w:p>
        </w:tc>
        <w:tc>
          <w:tcPr>
            <w:tcW w:w="866" w:type="dxa"/>
            <w:tcBorders>
              <w:top w:val="nil"/>
              <w:left w:val="nil"/>
              <w:bottom w:val="single" w:sz="4" w:space="0" w:color="auto"/>
              <w:right w:val="single" w:sz="4" w:space="0" w:color="auto"/>
            </w:tcBorders>
            <w:shd w:val="clear" w:color="auto" w:fill="auto"/>
            <w:noWrap/>
            <w:vAlign w:val="center"/>
            <w:hideMark/>
          </w:tcPr>
          <w:p w14:paraId="519B471E" w14:textId="77777777" w:rsidR="0074711A" w:rsidRPr="008E63BB" w:rsidRDefault="0074711A" w:rsidP="0065184D">
            <w:pPr>
              <w:jc w:val="right"/>
              <w:rPr>
                <w:rFonts w:eastAsia="Times New Roman"/>
                <w:sz w:val="20"/>
                <w:szCs w:val="20"/>
              </w:rPr>
            </w:pPr>
            <w:r w:rsidRPr="008E63BB">
              <w:rPr>
                <w:rFonts w:eastAsia="Times New Roman"/>
                <w:sz w:val="20"/>
                <w:szCs w:val="20"/>
              </w:rPr>
              <w:t>7.148</w:t>
            </w:r>
          </w:p>
        </w:tc>
        <w:tc>
          <w:tcPr>
            <w:tcW w:w="866" w:type="dxa"/>
            <w:tcBorders>
              <w:top w:val="nil"/>
              <w:left w:val="nil"/>
              <w:bottom w:val="single" w:sz="4" w:space="0" w:color="auto"/>
              <w:right w:val="single" w:sz="4" w:space="0" w:color="auto"/>
            </w:tcBorders>
            <w:shd w:val="clear" w:color="auto" w:fill="auto"/>
            <w:noWrap/>
            <w:vAlign w:val="center"/>
            <w:hideMark/>
          </w:tcPr>
          <w:p w14:paraId="519B471F" w14:textId="77777777" w:rsidR="0074711A" w:rsidRPr="008E63BB" w:rsidRDefault="0074711A" w:rsidP="0065184D">
            <w:pPr>
              <w:jc w:val="right"/>
              <w:rPr>
                <w:rFonts w:eastAsia="Times New Roman"/>
                <w:sz w:val="20"/>
                <w:szCs w:val="20"/>
              </w:rPr>
            </w:pPr>
            <w:r w:rsidRPr="008E63BB">
              <w:rPr>
                <w:rFonts w:eastAsia="Times New Roman"/>
                <w:sz w:val="20"/>
                <w:szCs w:val="20"/>
              </w:rPr>
              <w:t>7.098</w:t>
            </w:r>
          </w:p>
        </w:tc>
        <w:tc>
          <w:tcPr>
            <w:tcW w:w="994" w:type="dxa"/>
            <w:tcBorders>
              <w:top w:val="nil"/>
              <w:left w:val="nil"/>
              <w:bottom w:val="single" w:sz="4" w:space="0" w:color="auto"/>
              <w:right w:val="single" w:sz="4" w:space="0" w:color="auto"/>
            </w:tcBorders>
            <w:shd w:val="clear" w:color="auto" w:fill="auto"/>
            <w:noWrap/>
            <w:vAlign w:val="center"/>
            <w:hideMark/>
          </w:tcPr>
          <w:p w14:paraId="519B4720" w14:textId="77777777" w:rsidR="0074711A" w:rsidRPr="008E63BB" w:rsidRDefault="0074711A" w:rsidP="0065184D">
            <w:pPr>
              <w:jc w:val="right"/>
              <w:rPr>
                <w:rFonts w:eastAsia="Times New Roman"/>
                <w:sz w:val="20"/>
                <w:szCs w:val="20"/>
              </w:rPr>
            </w:pPr>
            <w:r w:rsidRPr="008E63BB">
              <w:rPr>
                <w:rFonts w:eastAsia="Times New Roman"/>
                <w:sz w:val="20"/>
                <w:szCs w:val="20"/>
              </w:rPr>
              <w:t>26.289</w:t>
            </w:r>
          </w:p>
        </w:tc>
      </w:tr>
      <w:tr w:rsidR="008D5BFE" w:rsidRPr="008E63BB" w14:paraId="519B473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22" w14:textId="77777777" w:rsidR="0074711A" w:rsidRPr="008E63BB" w:rsidRDefault="0074711A" w:rsidP="0065184D">
            <w:pPr>
              <w:jc w:val="right"/>
              <w:rPr>
                <w:rFonts w:eastAsia="Times New Roman"/>
                <w:sz w:val="20"/>
                <w:szCs w:val="20"/>
              </w:rPr>
            </w:pPr>
            <w:r w:rsidRPr="008E63BB">
              <w:rPr>
                <w:rFonts w:eastAsia="Times New Roman"/>
                <w:sz w:val="20"/>
                <w:szCs w:val="20"/>
              </w:rPr>
              <w:t>9</w:t>
            </w:r>
          </w:p>
        </w:tc>
        <w:tc>
          <w:tcPr>
            <w:tcW w:w="2684" w:type="dxa"/>
            <w:tcBorders>
              <w:top w:val="nil"/>
              <w:left w:val="nil"/>
              <w:bottom w:val="single" w:sz="4" w:space="0" w:color="auto"/>
              <w:right w:val="single" w:sz="4" w:space="0" w:color="auto"/>
            </w:tcBorders>
            <w:shd w:val="clear" w:color="auto" w:fill="auto"/>
            <w:vAlign w:val="center"/>
            <w:hideMark/>
          </w:tcPr>
          <w:p w14:paraId="519B4723" w14:textId="77777777" w:rsidR="0074711A" w:rsidRPr="008E63BB" w:rsidRDefault="0074711A" w:rsidP="0065184D">
            <w:pPr>
              <w:jc w:val="left"/>
              <w:rPr>
                <w:rFonts w:eastAsia="Times New Roman"/>
                <w:sz w:val="20"/>
                <w:szCs w:val="20"/>
              </w:rPr>
            </w:pPr>
            <w:r w:rsidRPr="008E63BB">
              <w:rPr>
                <w:rFonts w:eastAsia="Times New Roman"/>
                <w:sz w:val="20"/>
                <w:szCs w:val="20"/>
              </w:rPr>
              <w:t>P.Trường Thi</w:t>
            </w:r>
          </w:p>
        </w:tc>
        <w:tc>
          <w:tcPr>
            <w:tcW w:w="794" w:type="dxa"/>
            <w:tcBorders>
              <w:top w:val="nil"/>
              <w:left w:val="nil"/>
              <w:bottom w:val="single" w:sz="4" w:space="0" w:color="auto"/>
              <w:right w:val="single" w:sz="4" w:space="0" w:color="auto"/>
            </w:tcBorders>
            <w:shd w:val="clear" w:color="auto" w:fill="auto"/>
            <w:noWrap/>
            <w:vAlign w:val="center"/>
            <w:hideMark/>
          </w:tcPr>
          <w:p w14:paraId="519B4724" w14:textId="77777777" w:rsidR="0074711A" w:rsidRPr="008E63BB" w:rsidRDefault="0074711A" w:rsidP="0065184D">
            <w:pPr>
              <w:jc w:val="right"/>
              <w:rPr>
                <w:rFonts w:eastAsia="Times New Roman"/>
                <w:sz w:val="20"/>
                <w:szCs w:val="20"/>
              </w:rPr>
            </w:pPr>
            <w:r w:rsidRPr="008E63BB">
              <w:rPr>
                <w:rFonts w:eastAsia="Times New Roman"/>
                <w:sz w:val="20"/>
                <w:szCs w:val="20"/>
              </w:rPr>
              <w:t>0,68</w:t>
            </w:r>
          </w:p>
        </w:tc>
        <w:tc>
          <w:tcPr>
            <w:tcW w:w="866" w:type="dxa"/>
            <w:tcBorders>
              <w:top w:val="nil"/>
              <w:left w:val="nil"/>
              <w:bottom w:val="single" w:sz="4" w:space="0" w:color="auto"/>
              <w:right w:val="nil"/>
            </w:tcBorders>
            <w:shd w:val="clear" w:color="auto" w:fill="auto"/>
            <w:vAlign w:val="center"/>
            <w:hideMark/>
          </w:tcPr>
          <w:p w14:paraId="519B4725" w14:textId="77777777" w:rsidR="0074711A" w:rsidRPr="008E63BB" w:rsidRDefault="0074711A" w:rsidP="0065184D">
            <w:pPr>
              <w:jc w:val="right"/>
              <w:rPr>
                <w:rFonts w:eastAsia="Times New Roman"/>
                <w:sz w:val="20"/>
                <w:szCs w:val="20"/>
              </w:rPr>
            </w:pPr>
            <w:r w:rsidRPr="008E63BB">
              <w:rPr>
                <w:rFonts w:eastAsia="Times New Roman"/>
                <w:sz w:val="20"/>
                <w:szCs w:val="20"/>
              </w:rPr>
              <w:t>15.546</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26" w14:textId="77777777" w:rsidR="0074711A" w:rsidRPr="008E63BB" w:rsidRDefault="0074711A" w:rsidP="0065184D">
            <w:pPr>
              <w:jc w:val="right"/>
              <w:rPr>
                <w:rFonts w:eastAsia="Times New Roman"/>
                <w:sz w:val="20"/>
                <w:szCs w:val="20"/>
              </w:rPr>
            </w:pPr>
            <w:r w:rsidRPr="008E63BB">
              <w:rPr>
                <w:rFonts w:eastAsia="Times New Roman"/>
                <w:sz w:val="20"/>
                <w:szCs w:val="20"/>
              </w:rPr>
              <w:t>12.854</w:t>
            </w:r>
          </w:p>
        </w:tc>
        <w:tc>
          <w:tcPr>
            <w:tcW w:w="866" w:type="dxa"/>
            <w:tcBorders>
              <w:top w:val="nil"/>
              <w:left w:val="nil"/>
              <w:bottom w:val="single" w:sz="4" w:space="0" w:color="auto"/>
              <w:right w:val="single" w:sz="4" w:space="0" w:color="auto"/>
            </w:tcBorders>
            <w:shd w:val="clear" w:color="auto" w:fill="auto"/>
            <w:noWrap/>
            <w:vAlign w:val="center"/>
            <w:hideMark/>
          </w:tcPr>
          <w:p w14:paraId="519B4727" w14:textId="77777777" w:rsidR="0074711A" w:rsidRPr="008E63BB" w:rsidRDefault="0074711A" w:rsidP="0065184D">
            <w:pPr>
              <w:jc w:val="right"/>
              <w:rPr>
                <w:rFonts w:eastAsia="Times New Roman"/>
                <w:sz w:val="20"/>
                <w:szCs w:val="20"/>
              </w:rPr>
            </w:pPr>
            <w:r w:rsidRPr="008E63BB">
              <w:rPr>
                <w:rFonts w:eastAsia="Times New Roman"/>
                <w:sz w:val="20"/>
                <w:szCs w:val="20"/>
              </w:rPr>
              <w:t>14.903</w:t>
            </w:r>
          </w:p>
        </w:tc>
        <w:tc>
          <w:tcPr>
            <w:tcW w:w="866" w:type="dxa"/>
            <w:tcBorders>
              <w:top w:val="nil"/>
              <w:left w:val="nil"/>
              <w:bottom w:val="single" w:sz="4" w:space="0" w:color="auto"/>
              <w:right w:val="single" w:sz="4" w:space="0" w:color="auto"/>
            </w:tcBorders>
            <w:shd w:val="clear" w:color="auto" w:fill="auto"/>
            <w:vAlign w:val="bottom"/>
            <w:hideMark/>
          </w:tcPr>
          <w:p w14:paraId="519B4728" w14:textId="77777777" w:rsidR="0074711A" w:rsidRPr="008E63BB" w:rsidRDefault="0074711A" w:rsidP="0065184D">
            <w:pPr>
              <w:jc w:val="right"/>
              <w:rPr>
                <w:rFonts w:eastAsia="Times New Roman"/>
                <w:sz w:val="20"/>
                <w:szCs w:val="20"/>
              </w:rPr>
            </w:pPr>
            <w:r w:rsidRPr="008E63BB">
              <w:rPr>
                <w:rFonts w:eastAsia="Times New Roman"/>
                <w:sz w:val="20"/>
                <w:szCs w:val="20"/>
              </w:rPr>
              <w:t>14.292</w:t>
            </w:r>
          </w:p>
        </w:tc>
        <w:tc>
          <w:tcPr>
            <w:tcW w:w="866" w:type="dxa"/>
            <w:tcBorders>
              <w:top w:val="nil"/>
              <w:left w:val="nil"/>
              <w:bottom w:val="single" w:sz="4" w:space="0" w:color="auto"/>
              <w:right w:val="single" w:sz="4" w:space="0" w:color="auto"/>
            </w:tcBorders>
            <w:shd w:val="clear" w:color="auto" w:fill="auto"/>
            <w:vAlign w:val="bottom"/>
            <w:hideMark/>
          </w:tcPr>
          <w:p w14:paraId="519B4729" w14:textId="77777777" w:rsidR="0074711A" w:rsidRPr="008E63BB" w:rsidRDefault="0074711A" w:rsidP="0065184D">
            <w:pPr>
              <w:jc w:val="right"/>
              <w:rPr>
                <w:rFonts w:eastAsia="Times New Roman"/>
                <w:sz w:val="20"/>
                <w:szCs w:val="20"/>
              </w:rPr>
            </w:pPr>
            <w:r w:rsidRPr="008E63BB">
              <w:rPr>
                <w:rFonts w:eastAsia="Times New Roman"/>
                <w:sz w:val="20"/>
                <w:szCs w:val="20"/>
              </w:rPr>
              <w:t>14.318</w:t>
            </w:r>
          </w:p>
        </w:tc>
        <w:tc>
          <w:tcPr>
            <w:tcW w:w="866" w:type="dxa"/>
            <w:tcBorders>
              <w:top w:val="nil"/>
              <w:left w:val="nil"/>
              <w:bottom w:val="single" w:sz="4" w:space="0" w:color="auto"/>
              <w:right w:val="single" w:sz="4" w:space="0" w:color="auto"/>
            </w:tcBorders>
            <w:shd w:val="clear" w:color="auto" w:fill="auto"/>
            <w:noWrap/>
            <w:vAlign w:val="center"/>
            <w:hideMark/>
          </w:tcPr>
          <w:p w14:paraId="519B472A" w14:textId="77777777" w:rsidR="0074711A" w:rsidRPr="008E63BB" w:rsidRDefault="0074711A" w:rsidP="0065184D">
            <w:pPr>
              <w:jc w:val="right"/>
              <w:rPr>
                <w:rFonts w:eastAsia="Times New Roman"/>
                <w:sz w:val="20"/>
                <w:szCs w:val="20"/>
              </w:rPr>
            </w:pPr>
            <w:r w:rsidRPr="008E63BB">
              <w:rPr>
                <w:rFonts w:eastAsia="Times New Roman"/>
                <w:sz w:val="20"/>
                <w:szCs w:val="20"/>
              </w:rPr>
              <w:t>14.415</w:t>
            </w:r>
          </w:p>
        </w:tc>
        <w:tc>
          <w:tcPr>
            <w:tcW w:w="866" w:type="dxa"/>
            <w:tcBorders>
              <w:top w:val="nil"/>
              <w:left w:val="nil"/>
              <w:bottom w:val="single" w:sz="4" w:space="0" w:color="auto"/>
              <w:right w:val="single" w:sz="4" w:space="0" w:color="auto"/>
            </w:tcBorders>
            <w:shd w:val="clear" w:color="auto" w:fill="auto"/>
            <w:noWrap/>
            <w:vAlign w:val="center"/>
            <w:hideMark/>
          </w:tcPr>
          <w:p w14:paraId="519B472B" w14:textId="77777777" w:rsidR="0074711A" w:rsidRPr="008E63BB" w:rsidRDefault="0074711A" w:rsidP="0065184D">
            <w:pPr>
              <w:jc w:val="right"/>
              <w:rPr>
                <w:rFonts w:eastAsia="Times New Roman"/>
                <w:sz w:val="20"/>
                <w:szCs w:val="20"/>
              </w:rPr>
            </w:pPr>
            <w:r w:rsidRPr="008E63BB">
              <w:rPr>
                <w:rFonts w:eastAsia="Times New Roman"/>
                <w:sz w:val="20"/>
                <w:szCs w:val="20"/>
              </w:rPr>
              <w:t>14.647</w:t>
            </w:r>
          </w:p>
        </w:tc>
        <w:tc>
          <w:tcPr>
            <w:tcW w:w="866" w:type="dxa"/>
            <w:tcBorders>
              <w:top w:val="nil"/>
              <w:left w:val="nil"/>
              <w:bottom w:val="single" w:sz="4" w:space="0" w:color="auto"/>
              <w:right w:val="single" w:sz="4" w:space="0" w:color="auto"/>
            </w:tcBorders>
            <w:shd w:val="clear" w:color="auto" w:fill="auto"/>
            <w:noWrap/>
            <w:vAlign w:val="center"/>
            <w:hideMark/>
          </w:tcPr>
          <w:p w14:paraId="519B472C" w14:textId="77777777" w:rsidR="0074711A" w:rsidRPr="008E63BB" w:rsidRDefault="0074711A" w:rsidP="0065184D">
            <w:pPr>
              <w:jc w:val="right"/>
              <w:rPr>
                <w:rFonts w:eastAsia="Times New Roman"/>
                <w:sz w:val="20"/>
                <w:szCs w:val="20"/>
              </w:rPr>
            </w:pPr>
            <w:r w:rsidRPr="008E63BB">
              <w:rPr>
                <w:rFonts w:eastAsia="Times New Roman"/>
                <w:sz w:val="20"/>
                <w:szCs w:val="20"/>
              </w:rPr>
              <w:t>14.693</w:t>
            </w:r>
          </w:p>
        </w:tc>
        <w:tc>
          <w:tcPr>
            <w:tcW w:w="866" w:type="dxa"/>
            <w:tcBorders>
              <w:top w:val="nil"/>
              <w:left w:val="nil"/>
              <w:bottom w:val="single" w:sz="4" w:space="0" w:color="auto"/>
              <w:right w:val="single" w:sz="4" w:space="0" w:color="auto"/>
            </w:tcBorders>
            <w:shd w:val="clear" w:color="auto" w:fill="auto"/>
            <w:noWrap/>
            <w:vAlign w:val="center"/>
            <w:hideMark/>
          </w:tcPr>
          <w:p w14:paraId="519B472D" w14:textId="77777777" w:rsidR="0074711A" w:rsidRPr="008E63BB" w:rsidRDefault="0074711A" w:rsidP="0065184D">
            <w:pPr>
              <w:jc w:val="right"/>
              <w:rPr>
                <w:rFonts w:eastAsia="Times New Roman"/>
                <w:sz w:val="20"/>
                <w:szCs w:val="20"/>
              </w:rPr>
            </w:pPr>
            <w:r w:rsidRPr="008E63BB">
              <w:rPr>
                <w:rFonts w:eastAsia="Times New Roman"/>
                <w:sz w:val="20"/>
                <w:szCs w:val="20"/>
              </w:rPr>
              <w:t>14.757</w:t>
            </w:r>
          </w:p>
        </w:tc>
        <w:tc>
          <w:tcPr>
            <w:tcW w:w="866" w:type="dxa"/>
            <w:tcBorders>
              <w:top w:val="nil"/>
              <w:left w:val="nil"/>
              <w:bottom w:val="single" w:sz="4" w:space="0" w:color="auto"/>
              <w:right w:val="single" w:sz="4" w:space="0" w:color="auto"/>
            </w:tcBorders>
            <w:shd w:val="clear" w:color="auto" w:fill="auto"/>
            <w:noWrap/>
            <w:vAlign w:val="center"/>
            <w:hideMark/>
          </w:tcPr>
          <w:p w14:paraId="519B472E" w14:textId="77777777" w:rsidR="0074711A" w:rsidRPr="008E63BB" w:rsidRDefault="0074711A" w:rsidP="0065184D">
            <w:pPr>
              <w:jc w:val="right"/>
              <w:rPr>
                <w:rFonts w:eastAsia="Times New Roman"/>
                <w:sz w:val="20"/>
                <w:szCs w:val="20"/>
              </w:rPr>
            </w:pPr>
            <w:r w:rsidRPr="008E63BB">
              <w:rPr>
                <w:rFonts w:eastAsia="Times New Roman"/>
                <w:sz w:val="20"/>
                <w:szCs w:val="20"/>
              </w:rPr>
              <w:t>14.696</w:t>
            </w:r>
          </w:p>
        </w:tc>
        <w:tc>
          <w:tcPr>
            <w:tcW w:w="866" w:type="dxa"/>
            <w:tcBorders>
              <w:top w:val="nil"/>
              <w:left w:val="nil"/>
              <w:bottom w:val="single" w:sz="4" w:space="0" w:color="auto"/>
              <w:right w:val="single" w:sz="4" w:space="0" w:color="auto"/>
            </w:tcBorders>
            <w:shd w:val="clear" w:color="auto" w:fill="auto"/>
            <w:noWrap/>
            <w:vAlign w:val="center"/>
            <w:hideMark/>
          </w:tcPr>
          <w:p w14:paraId="519B472F" w14:textId="77777777" w:rsidR="0074711A" w:rsidRPr="008E63BB" w:rsidRDefault="0074711A" w:rsidP="0065184D">
            <w:pPr>
              <w:jc w:val="right"/>
              <w:rPr>
                <w:rFonts w:eastAsia="Times New Roman"/>
                <w:sz w:val="20"/>
                <w:szCs w:val="20"/>
              </w:rPr>
            </w:pPr>
            <w:r w:rsidRPr="008E63BB">
              <w:rPr>
                <w:rFonts w:eastAsia="Times New Roman"/>
                <w:sz w:val="20"/>
                <w:szCs w:val="20"/>
              </w:rPr>
              <w:t>14.769</w:t>
            </w:r>
          </w:p>
        </w:tc>
        <w:tc>
          <w:tcPr>
            <w:tcW w:w="994" w:type="dxa"/>
            <w:tcBorders>
              <w:top w:val="nil"/>
              <w:left w:val="nil"/>
              <w:bottom w:val="single" w:sz="4" w:space="0" w:color="auto"/>
              <w:right w:val="single" w:sz="4" w:space="0" w:color="auto"/>
            </w:tcBorders>
            <w:shd w:val="clear" w:color="auto" w:fill="auto"/>
            <w:noWrap/>
            <w:vAlign w:val="center"/>
            <w:hideMark/>
          </w:tcPr>
          <w:p w14:paraId="519B4730" w14:textId="77777777" w:rsidR="0074711A" w:rsidRPr="008E63BB" w:rsidRDefault="0074711A" w:rsidP="0065184D">
            <w:pPr>
              <w:jc w:val="right"/>
              <w:rPr>
                <w:rFonts w:eastAsia="Times New Roman"/>
                <w:sz w:val="20"/>
                <w:szCs w:val="20"/>
              </w:rPr>
            </w:pPr>
            <w:r w:rsidRPr="008E63BB">
              <w:rPr>
                <w:rFonts w:eastAsia="Times New Roman"/>
                <w:sz w:val="20"/>
                <w:szCs w:val="20"/>
              </w:rPr>
              <w:t>21.719</w:t>
            </w:r>
          </w:p>
        </w:tc>
      </w:tr>
      <w:tr w:rsidR="008D5BFE" w:rsidRPr="008E63BB" w14:paraId="519B474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32" w14:textId="77777777" w:rsidR="0074711A" w:rsidRPr="008E63BB" w:rsidRDefault="0074711A" w:rsidP="0065184D">
            <w:pPr>
              <w:jc w:val="right"/>
              <w:rPr>
                <w:rFonts w:eastAsia="Times New Roman"/>
                <w:sz w:val="20"/>
                <w:szCs w:val="20"/>
              </w:rPr>
            </w:pPr>
            <w:r w:rsidRPr="008E63BB">
              <w:rPr>
                <w:rFonts w:eastAsia="Times New Roman"/>
                <w:sz w:val="20"/>
                <w:szCs w:val="20"/>
              </w:rPr>
              <w:t>10</w:t>
            </w:r>
          </w:p>
        </w:tc>
        <w:tc>
          <w:tcPr>
            <w:tcW w:w="2684" w:type="dxa"/>
            <w:tcBorders>
              <w:top w:val="nil"/>
              <w:left w:val="nil"/>
              <w:bottom w:val="single" w:sz="4" w:space="0" w:color="auto"/>
              <w:right w:val="single" w:sz="4" w:space="0" w:color="auto"/>
            </w:tcBorders>
            <w:shd w:val="clear" w:color="auto" w:fill="auto"/>
            <w:vAlign w:val="center"/>
            <w:hideMark/>
          </w:tcPr>
          <w:p w14:paraId="519B4733" w14:textId="77777777" w:rsidR="0074711A" w:rsidRPr="008E63BB" w:rsidRDefault="0074711A" w:rsidP="0065184D">
            <w:pPr>
              <w:jc w:val="left"/>
              <w:rPr>
                <w:rFonts w:eastAsia="Times New Roman"/>
                <w:sz w:val="20"/>
                <w:szCs w:val="20"/>
              </w:rPr>
            </w:pPr>
            <w:r w:rsidRPr="008E63BB">
              <w:rPr>
                <w:rFonts w:eastAsia="Times New Roman"/>
                <w:sz w:val="20"/>
                <w:szCs w:val="20"/>
              </w:rPr>
              <w:t>P.Phan ĐÌnh Phùng</w:t>
            </w:r>
          </w:p>
        </w:tc>
        <w:tc>
          <w:tcPr>
            <w:tcW w:w="794" w:type="dxa"/>
            <w:tcBorders>
              <w:top w:val="nil"/>
              <w:left w:val="nil"/>
              <w:bottom w:val="single" w:sz="4" w:space="0" w:color="auto"/>
              <w:right w:val="single" w:sz="4" w:space="0" w:color="auto"/>
            </w:tcBorders>
            <w:shd w:val="clear" w:color="auto" w:fill="auto"/>
            <w:noWrap/>
            <w:vAlign w:val="center"/>
            <w:hideMark/>
          </w:tcPr>
          <w:p w14:paraId="519B4734" w14:textId="77777777" w:rsidR="0074711A" w:rsidRPr="008E63BB" w:rsidRDefault="0074711A" w:rsidP="0065184D">
            <w:pPr>
              <w:jc w:val="right"/>
              <w:rPr>
                <w:rFonts w:eastAsia="Times New Roman"/>
                <w:sz w:val="20"/>
                <w:szCs w:val="20"/>
              </w:rPr>
            </w:pPr>
            <w:r w:rsidRPr="008E63BB">
              <w:rPr>
                <w:rFonts w:eastAsia="Times New Roman"/>
                <w:sz w:val="20"/>
                <w:szCs w:val="20"/>
              </w:rPr>
              <w:t>0,39</w:t>
            </w:r>
          </w:p>
        </w:tc>
        <w:tc>
          <w:tcPr>
            <w:tcW w:w="866" w:type="dxa"/>
            <w:tcBorders>
              <w:top w:val="nil"/>
              <w:left w:val="nil"/>
              <w:bottom w:val="single" w:sz="4" w:space="0" w:color="auto"/>
              <w:right w:val="nil"/>
            </w:tcBorders>
            <w:shd w:val="clear" w:color="auto" w:fill="auto"/>
            <w:vAlign w:val="center"/>
            <w:hideMark/>
          </w:tcPr>
          <w:p w14:paraId="519B4735" w14:textId="77777777" w:rsidR="0074711A" w:rsidRPr="008E63BB" w:rsidRDefault="0074711A" w:rsidP="0065184D">
            <w:pPr>
              <w:jc w:val="right"/>
              <w:rPr>
                <w:rFonts w:eastAsia="Times New Roman"/>
                <w:sz w:val="20"/>
                <w:szCs w:val="20"/>
              </w:rPr>
            </w:pPr>
            <w:r w:rsidRPr="008E63BB">
              <w:rPr>
                <w:rFonts w:eastAsia="Times New Roman"/>
                <w:sz w:val="20"/>
                <w:szCs w:val="20"/>
              </w:rPr>
              <w:t>8.273</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36" w14:textId="77777777" w:rsidR="0074711A" w:rsidRPr="008E63BB" w:rsidRDefault="0074711A" w:rsidP="0065184D">
            <w:pPr>
              <w:jc w:val="right"/>
              <w:rPr>
                <w:rFonts w:eastAsia="Times New Roman"/>
                <w:sz w:val="20"/>
                <w:szCs w:val="20"/>
              </w:rPr>
            </w:pPr>
            <w:r w:rsidRPr="008E63BB">
              <w:rPr>
                <w:rFonts w:eastAsia="Times New Roman"/>
                <w:sz w:val="20"/>
                <w:szCs w:val="20"/>
              </w:rPr>
              <w:t>7.666</w:t>
            </w:r>
          </w:p>
        </w:tc>
        <w:tc>
          <w:tcPr>
            <w:tcW w:w="866" w:type="dxa"/>
            <w:tcBorders>
              <w:top w:val="nil"/>
              <w:left w:val="nil"/>
              <w:bottom w:val="single" w:sz="4" w:space="0" w:color="auto"/>
              <w:right w:val="single" w:sz="4" w:space="0" w:color="auto"/>
            </w:tcBorders>
            <w:shd w:val="clear" w:color="auto" w:fill="auto"/>
            <w:noWrap/>
            <w:vAlign w:val="center"/>
            <w:hideMark/>
          </w:tcPr>
          <w:p w14:paraId="519B4737" w14:textId="77777777" w:rsidR="0074711A" w:rsidRPr="008E63BB" w:rsidRDefault="0074711A" w:rsidP="0065184D">
            <w:pPr>
              <w:jc w:val="right"/>
              <w:rPr>
                <w:rFonts w:eastAsia="Times New Roman"/>
                <w:sz w:val="20"/>
                <w:szCs w:val="20"/>
              </w:rPr>
            </w:pPr>
            <w:r w:rsidRPr="008E63BB">
              <w:rPr>
                <w:rFonts w:eastAsia="Times New Roman"/>
                <w:sz w:val="20"/>
                <w:szCs w:val="20"/>
              </w:rPr>
              <w:t>7.625</w:t>
            </w:r>
          </w:p>
        </w:tc>
        <w:tc>
          <w:tcPr>
            <w:tcW w:w="866" w:type="dxa"/>
            <w:tcBorders>
              <w:top w:val="nil"/>
              <w:left w:val="nil"/>
              <w:bottom w:val="single" w:sz="4" w:space="0" w:color="auto"/>
              <w:right w:val="single" w:sz="4" w:space="0" w:color="auto"/>
            </w:tcBorders>
            <w:shd w:val="clear" w:color="auto" w:fill="auto"/>
            <w:vAlign w:val="bottom"/>
            <w:hideMark/>
          </w:tcPr>
          <w:p w14:paraId="519B4738" w14:textId="77777777" w:rsidR="0074711A" w:rsidRPr="008E63BB" w:rsidRDefault="0074711A" w:rsidP="0065184D">
            <w:pPr>
              <w:jc w:val="right"/>
              <w:rPr>
                <w:rFonts w:eastAsia="Times New Roman"/>
                <w:sz w:val="20"/>
                <w:szCs w:val="20"/>
              </w:rPr>
            </w:pPr>
            <w:r w:rsidRPr="008E63BB">
              <w:rPr>
                <w:rFonts w:eastAsia="Times New Roman"/>
                <w:sz w:val="20"/>
                <w:szCs w:val="20"/>
              </w:rPr>
              <w:t>7.641</w:t>
            </w:r>
          </w:p>
        </w:tc>
        <w:tc>
          <w:tcPr>
            <w:tcW w:w="866" w:type="dxa"/>
            <w:tcBorders>
              <w:top w:val="nil"/>
              <w:left w:val="nil"/>
              <w:bottom w:val="single" w:sz="4" w:space="0" w:color="auto"/>
              <w:right w:val="single" w:sz="4" w:space="0" w:color="auto"/>
            </w:tcBorders>
            <w:shd w:val="clear" w:color="auto" w:fill="auto"/>
            <w:vAlign w:val="bottom"/>
            <w:hideMark/>
          </w:tcPr>
          <w:p w14:paraId="519B4739" w14:textId="77777777" w:rsidR="0074711A" w:rsidRPr="008E63BB" w:rsidRDefault="0074711A" w:rsidP="0065184D">
            <w:pPr>
              <w:jc w:val="right"/>
              <w:rPr>
                <w:rFonts w:eastAsia="Times New Roman"/>
                <w:sz w:val="20"/>
                <w:szCs w:val="20"/>
              </w:rPr>
            </w:pPr>
            <w:r w:rsidRPr="008E63BB">
              <w:rPr>
                <w:rFonts w:eastAsia="Times New Roman"/>
                <w:sz w:val="20"/>
                <w:szCs w:val="20"/>
              </w:rPr>
              <w:t>7.728</w:t>
            </w:r>
          </w:p>
        </w:tc>
        <w:tc>
          <w:tcPr>
            <w:tcW w:w="866" w:type="dxa"/>
            <w:tcBorders>
              <w:top w:val="nil"/>
              <w:left w:val="nil"/>
              <w:bottom w:val="single" w:sz="4" w:space="0" w:color="auto"/>
              <w:right w:val="single" w:sz="4" w:space="0" w:color="auto"/>
            </w:tcBorders>
            <w:shd w:val="clear" w:color="auto" w:fill="auto"/>
            <w:noWrap/>
            <w:vAlign w:val="center"/>
            <w:hideMark/>
          </w:tcPr>
          <w:p w14:paraId="519B473A" w14:textId="77777777" w:rsidR="0074711A" w:rsidRPr="008E63BB" w:rsidRDefault="0074711A" w:rsidP="0065184D">
            <w:pPr>
              <w:jc w:val="right"/>
              <w:rPr>
                <w:rFonts w:eastAsia="Times New Roman"/>
                <w:sz w:val="20"/>
                <w:szCs w:val="20"/>
              </w:rPr>
            </w:pPr>
            <w:r w:rsidRPr="008E63BB">
              <w:rPr>
                <w:rFonts w:eastAsia="Times New Roman"/>
                <w:sz w:val="20"/>
                <w:szCs w:val="20"/>
              </w:rPr>
              <w:t>7.816</w:t>
            </w:r>
          </w:p>
        </w:tc>
        <w:tc>
          <w:tcPr>
            <w:tcW w:w="866" w:type="dxa"/>
            <w:tcBorders>
              <w:top w:val="nil"/>
              <w:left w:val="nil"/>
              <w:bottom w:val="single" w:sz="4" w:space="0" w:color="auto"/>
              <w:right w:val="single" w:sz="4" w:space="0" w:color="auto"/>
            </w:tcBorders>
            <w:shd w:val="clear" w:color="auto" w:fill="auto"/>
            <w:noWrap/>
            <w:vAlign w:val="center"/>
            <w:hideMark/>
          </w:tcPr>
          <w:p w14:paraId="519B473B" w14:textId="77777777" w:rsidR="0074711A" w:rsidRPr="008E63BB" w:rsidRDefault="0074711A" w:rsidP="0065184D">
            <w:pPr>
              <w:jc w:val="right"/>
              <w:rPr>
                <w:rFonts w:eastAsia="Times New Roman"/>
                <w:sz w:val="20"/>
                <w:szCs w:val="20"/>
              </w:rPr>
            </w:pPr>
            <w:r w:rsidRPr="008E63BB">
              <w:rPr>
                <w:rFonts w:eastAsia="Times New Roman"/>
                <w:sz w:val="20"/>
                <w:szCs w:val="20"/>
              </w:rPr>
              <w:t>7.888</w:t>
            </w:r>
          </w:p>
        </w:tc>
        <w:tc>
          <w:tcPr>
            <w:tcW w:w="866" w:type="dxa"/>
            <w:tcBorders>
              <w:top w:val="nil"/>
              <w:left w:val="nil"/>
              <w:bottom w:val="single" w:sz="4" w:space="0" w:color="auto"/>
              <w:right w:val="single" w:sz="4" w:space="0" w:color="auto"/>
            </w:tcBorders>
            <w:shd w:val="clear" w:color="auto" w:fill="auto"/>
            <w:noWrap/>
            <w:vAlign w:val="center"/>
            <w:hideMark/>
          </w:tcPr>
          <w:p w14:paraId="519B473C" w14:textId="77777777" w:rsidR="0074711A" w:rsidRPr="008E63BB" w:rsidRDefault="0074711A" w:rsidP="0065184D">
            <w:pPr>
              <w:jc w:val="right"/>
              <w:rPr>
                <w:rFonts w:eastAsia="Times New Roman"/>
                <w:sz w:val="20"/>
                <w:szCs w:val="20"/>
              </w:rPr>
            </w:pPr>
            <w:r w:rsidRPr="008E63BB">
              <w:rPr>
                <w:rFonts w:eastAsia="Times New Roman"/>
                <w:sz w:val="20"/>
                <w:szCs w:val="20"/>
              </w:rPr>
              <w:t>7.895</w:t>
            </w:r>
          </w:p>
        </w:tc>
        <w:tc>
          <w:tcPr>
            <w:tcW w:w="866" w:type="dxa"/>
            <w:tcBorders>
              <w:top w:val="nil"/>
              <w:left w:val="nil"/>
              <w:bottom w:val="single" w:sz="4" w:space="0" w:color="auto"/>
              <w:right w:val="single" w:sz="4" w:space="0" w:color="auto"/>
            </w:tcBorders>
            <w:shd w:val="clear" w:color="auto" w:fill="auto"/>
            <w:noWrap/>
            <w:vAlign w:val="center"/>
            <w:hideMark/>
          </w:tcPr>
          <w:p w14:paraId="519B473D" w14:textId="77777777" w:rsidR="0074711A" w:rsidRPr="008E63BB" w:rsidRDefault="0074711A" w:rsidP="0065184D">
            <w:pPr>
              <w:jc w:val="right"/>
              <w:rPr>
                <w:rFonts w:eastAsia="Times New Roman"/>
                <w:sz w:val="20"/>
                <w:szCs w:val="20"/>
              </w:rPr>
            </w:pPr>
            <w:r w:rsidRPr="008E63BB">
              <w:rPr>
                <w:rFonts w:eastAsia="Times New Roman"/>
                <w:sz w:val="20"/>
                <w:szCs w:val="20"/>
              </w:rPr>
              <w:t>7.909</w:t>
            </w:r>
          </w:p>
        </w:tc>
        <w:tc>
          <w:tcPr>
            <w:tcW w:w="866" w:type="dxa"/>
            <w:tcBorders>
              <w:top w:val="nil"/>
              <w:left w:val="nil"/>
              <w:bottom w:val="single" w:sz="4" w:space="0" w:color="auto"/>
              <w:right w:val="single" w:sz="4" w:space="0" w:color="auto"/>
            </w:tcBorders>
            <w:shd w:val="clear" w:color="auto" w:fill="auto"/>
            <w:noWrap/>
            <w:vAlign w:val="center"/>
            <w:hideMark/>
          </w:tcPr>
          <w:p w14:paraId="519B473E" w14:textId="77777777" w:rsidR="0074711A" w:rsidRPr="008E63BB" w:rsidRDefault="0074711A" w:rsidP="0065184D">
            <w:pPr>
              <w:jc w:val="right"/>
              <w:rPr>
                <w:rFonts w:eastAsia="Times New Roman"/>
                <w:sz w:val="20"/>
                <w:szCs w:val="20"/>
              </w:rPr>
            </w:pPr>
            <w:r w:rsidRPr="008E63BB">
              <w:rPr>
                <w:rFonts w:eastAsia="Times New Roman"/>
                <w:sz w:val="20"/>
                <w:szCs w:val="20"/>
              </w:rPr>
              <w:t>7.933</w:t>
            </w:r>
          </w:p>
        </w:tc>
        <w:tc>
          <w:tcPr>
            <w:tcW w:w="866" w:type="dxa"/>
            <w:tcBorders>
              <w:top w:val="nil"/>
              <w:left w:val="nil"/>
              <w:bottom w:val="single" w:sz="4" w:space="0" w:color="auto"/>
              <w:right w:val="single" w:sz="4" w:space="0" w:color="auto"/>
            </w:tcBorders>
            <w:shd w:val="clear" w:color="auto" w:fill="auto"/>
            <w:noWrap/>
            <w:vAlign w:val="center"/>
            <w:hideMark/>
          </w:tcPr>
          <w:p w14:paraId="519B473F" w14:textId="77777777" w:rsidR="0074711A" w:rsidRPr="008E63BB" w:rsidRDefault="0074711A" w:rsidP="0065184D">
            <w:pPr>
              <w:jc w:val="right"/>
              <w:rPr>
                <w:rFonts w:eastAsia="Times New Roman"/>
                <w:sz w:val="20"/>
                <w:szCs w:val="20"/>
              </w:rPr>
            </w:pPr>
            <w:r w:rsidRPr="008E63BB">
              <w:rPr>
                <w:rFonts w:eastAsia="Times New Roman"/>
                <w:sz w:val="20"/>
                <w:szCs w:val="20"/>
              </w:rPr>
              <w:t>7.921</w:t>
            </w:r>
          </w:p>
        </w:tc>
        <w:tc>
          <w:tcPr>
            <w:tcW w:w="994" w:type="dxa"/>
            <w:tcBorders>
              <w:top w:val="nil"/>
              <w:left w:val="nil"/>
              <w:bottom w:val="single" w:sz="4" w:space="0" w:color="auto"/>
              <w:right w:val="single" w:sz="4" w:space="0" w:color="auto"/>
            </w:tcBorders>
            <w:shd w:val="clear" w:color="auto" w:fill="auto"/>
            <w:noWrap/>
            <w:vAlign w:val="center"/>
            <w:hideMark/>
          </w:tcPr>
          <w:p w14:paraId="519B4740" w14:textId="77777777" w:rsidR="0074711A" w:rsidRPr="008E63BB" w:rsidRDefault="0074711A" w:rsidP="0065184D">
            <w:pPr>
              <w:jc w:val="right"/>
              <w:rPr>
                <w:rFonts w:eastAsia="Times New Roman"/>
                <w:sz w:val="20"/>
                <w:szCs w:val="20"/>
              </w:rPr>
            </w:pPr>
            <w:r w:rsidRPr="008E63BB">
              <w:rPr>
                <w:rFonts w:eastAsia="Times New Roman"/>
                <w:sz w:val="20"/>
                <w:szCs w:val="20"/>
              </w:rPr>
              <w:t>20.310</w:t>
            </w:r>
          </w:p>
        </w:tc>
      </w:tr>
      <w:tr w:rsidR="008D5BFE" w:rsidRPr="008E63BB" w14:paraId="519B4751" w14:textId="77777777" w:rsidTr="0074711A">
        <w:trPr>
          <w:trHeight w:val="330"/>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42" w14:textId="77777777" w:rsidR="0074711A" w:rsidRPr="008E63BB" w:rsidRDefault="0074711A" w:rsidP="0065184D">
            <w:pPr>
              <w:jc w:val="right"/>
              <w:rPr>
                <w:rFonts w:eastAsia="Times New Roman"/>
                <w:sz w:val="20"/>
                <w:szCs w:val="20"/>
              </w:rPr>
            </w:pPr>
            <w:r w:rsidRPr="008E63BB">
              <w:rPr>
                <w:rFonts w:eastAsia="Times New Roman"/>
                <w:sz w:val="20"/>
                <w:szCs w:val="20"/>
              </w:rPr>
              <w:t>11</w:t>
            </w:r>
          </w:p>
        </w:tc>
        <w:tc>
          <w:tcPr>
            <w:tcW w:w="2684" w:type="dxa"/>
            <w:tcBorders>
              <w:top w:val="nil"/>
              <w:left w:val="nil"/>
              <w:bottom w:val="single" w:sz="4" w:space="0" w:color="auto"/>
              <w:right w:val="single" w:sz="4" w:space="0" w:color="auto"/>
            </w:tcBorders>
            <w:shd w:val="clear" w:color="auto" w:fill="auto"/>
            <w:vAlign w:val="center"/>
            <w:hideMark/>
          </w:tcPr>
          <w:p w14:paraId="519B4743" w14:textId="77777777" w:rsidR="0074711A" w:rsidRPr="008E63BB" w:rsidRDefault="0074711A" w:rsidP="0065184D">
            <w:pPr>
              <w:jc w:val="left"/>
              <w:rPr>
                <w:rFonts w:eastAsia="Times New Roman"/>
                <w:sz w:val="20"/>
                <w:szCs w:val="20"/>
              </w:rPr>
            </w:pPr>
            <w:r w:rsidRPr="008E63BB">
              <w:rPr>
                <w:rFonts w:eastAsia="Times New Roman"/>
                <w:sz w:val="20"/>
                <w:szCs w:val="20"/>
              </w:rPr>
              <w:t>P. Ngô Quyền</w:t>
            </w:r>
          </w:p>
        </w:tc>
        <w:tc>
          <w:tcPr>
            <w:tcW w:w="794" w:type="dxa"/>
            <w:tcBorders>
              <w:top w:val="nil"/>
              <w:left w:val="nil"/>
              <w:bottom w:val="single" w:sz="4" w:space="0" w:color="auto"/>
              <w:right w:val="single" w:sz="4" w:space="0" w:color="auto"/>
            </w:tcBorders>
            <w:shd w:val="clear" w:color="auto" w:fill="auto"/>
            <w:noWrap/>
            <w:vAlign w:val="center"/>
            <w:hideMark/>
          </w:tcPr>
          <w:p w14:paraId="519B4744" w14:textId="77777777" w:rsidR="0074711A" w:rsidRPr="008E63BB" w:rsidRDefault="0074711A" w:rsidP="0065184D">
            <w:pPr>
              <w:jc w:val="right"/>
              <w:rPr>
                <w:rFonts w:eastAsia="Times New Roman"/>
                <w:sz w:val="20"/>
                <w:szCs w:val="20"/>
              </w:rPr>
            </w:pPr>
            <w:r w:rsidRPr="008E63BB">
              <w:rPr>
                <w:rFonts w:eastAsia="Times New Roman"/>
                <w:sz w:val="20"/>
                <w:szCs w:val="20"/>
              </w:rPr>
              <w:t>0,36</w:t>
            </w:r>
          </w:p>
        </w:tc>
        <w:tc>
          <w:tcPr>
            <w:tcW w:w="866" w:type="dxa"/>
            <w:tcBorders>
              <w:top w:val="nil"/>
              <w:left w:val="nil"/>
              <w:bottom w:val="single" w:sz="4" w:space="0" w:color="auto"/>
              <w:right w:val="nil"/>
            </w:tcBorders>
            <w:shd w:val="clear" w:color="auto" w:fill="auto"/>
            <w:vAlign w:val="center"/>
            <w:hideMark/>
          </w:tcPr>
          <w:p w14:paraId="519B4745" w14:textId="77777777" w:rsidR="0074711A" w:rsidRPr="008E63BB" w:rsidRDefault="0074711A" w:rsidP="0065184D">
            <w:pPr>
              <w:jc w:val="right"/>
              <w:rPr>
                <w:rFonts w:eastAsia="Times New Roman"/>
                <w:sz w:val="20"/>
                <w:szCs w:val="20"/>
              </w:rPr>
            </w:pPr>
            <w:r w:rsidRPr="008E63BB">
              <w:rPr>
                <w:rFonts w:eastAsia="Times New Roman"/>
                <w:sz w:val="20"/>
                <w:szCs w:val="20"/>
              </w:rPr>
              <w:t>5.261</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46" w14:textId="77777777" w:rsidR="0074711A" w:rsidRPr="008E63BB" w:rsidRDefault="0074711A" w:rsidP="0065184D">
            <w:pPr>
              <w:jc w:val="right"/>
              <w:rPr>
                <w:rFonts w:eastAsia="Times New Roman"/>
                <w:sz w:val="20"/>
                <w:szCs w:val="20"/>
              </w:rPr>
            </w:pPr>
            <w:r w:rsidRPr="008E63BB">
              <w:rPr>
                <w:rFonts w:eastAsia="Times New Roman"/>
                <w:sz w:val="20"/>
                <w:szCs w:val="20"/>
              </w:rPr>
              <w:t>4.936</w:t>
            </w:r>
          </w:p>
        </w:tc>
        <w:tc>
          <w:tcPr>
            <w:tcW w:w="866" w:type="dxa"/>
            <w:tcBorders>
              <w:top w:val="nil"/>
              <w:left w:val="nil"/>
              <w:bottom w:val="single" w:sz="4" w:space="0" w:color="auto"/>
              <w:right w:val="single" w:sz="4" w:space="0" w:color="auto"/>
            </w:tcBorders>
            <w:shd w:val="clear" w:color="auto" w:fill="auto"/>
            <w:noWrap/>
            <w:vAlign w:val="center"/>
            <w:hideMark/>
          </w:tcPr>
          <w:p w14:paraId="519B4747" w14:textId="77777777" w:rsidR="0074711A" w:rsidRPr="008E63BB" w:rsidRDefault="0074711A" w:rsidP="0065184D">
            <w:pPr>
              <w:jc w:val="right"/>
              <w:rPr>
                <w:rFonts w:eastAsia="Times New Roman"/>
                <w:sz w:val="20"/>
                <w:szCs w:val="20"/>
              </w:rPr>
            </w:pPr>
            <w:r w:rsidRPr="008E63BB">
              <w:rPr>
                <w:rFonts w:eastAsia="Times New Roman"/>
                <w:sz w:val="20"/>
                <w:szCs w:val="20"/>
              </w:rPr>
              <w:t>5.016</w:t>
            </w:r>
          </w:p>
        </w:tc>
        <w:tc>
          <w:tcPr>
            <w:tcW w:w="866" w:type="dxa"/>
            <w:tcBorders>
              <w:top w:val="nil"/>
              <w:left w:val="nil"/>
              <w:bottom w:val="single" w:sz="4" w:space="0" w:color="auto"/>
              <w:right w:val="single" w:sz="4" w:space="0" w:color="auto"/>
            </w:tcBorders>
            <w:shd w:val="clear" w:color="auto" w:fill="auto"/>
            <w:vAlign w:val="bottom"/>
            <w:hideMark/>
          </w:tcPr>
          <w:p w14:paraId="519B4748" w14:textId="77777777" w:rsidR="0074711A" w:rsidRPr="008E63BB" w:rsidRDefault="0074711A" w:rsidP="0065184D">
            <w:pPr>
              <w:jc w:val="right"/>
              <w:rPr>
                <w:rFonts w:eastAsia="Times New Roman"/>
                <w:sz w:val="20"/>
                <w:szCs w:val="20"/>
              </w:rPr>
            </w:pPr>
            <w:r w:rsidRPr="008E63BB">
              <w:rPr>
                <w:rFonts w:eastAsia="Times New Roman"/>
                <w:sz w:val="20"/>
                <w:szCs w:val="20"/>
              </w:rPr>
              <w:t>5.021</w:t>
            </w:r>
          </w:p>
        </w:tc>
        <w:tc>
          <w:tcPr>
            <w:tcW w:w="866" w:type="dxa"/>
            <w:tcBorders>
              <w:top w:val="nil"/>
              <w:left w:val="nil"/>
              <w:bottom w:val="single" w:sz="4" w:space="0" w:color="auto"/>
              <w:right w:val="single" w:sz="4" w:space="0" w:color="auto"/>
            </w:tcBorders>
            <w:shd w:val="clear" w:color="auto" w:fill="auto"/>
            <w:vAlign w:val="bottom"/>
            <w:hideMark/>
          </w:tcPr>
          <w:p w14:paraId="519B4749" w14:textId="77777777" w:rsidR="0074711A" w:rsidRPr="008E63BB" w:rsidRDefault="0074711A" w:rsidP="0065184D">
            <w:pPr>
              <w:jc w:val="right"/>
              <w:rPr>
                <w:rFonts w:eastAsia="Times New Roman"/>
                <w:sz w:val="20"/>
                <w:szCs w:val="20"/>
              </w:rPr>
            </w:pPr>
            <w:r w:rsidRPr="008E63BB">
              <w:rPr>
                <w:rFonts w:eastAsia="Times New Roman"/>
                <w:sz w:val="20"/>
                <w:szCs w:val="20"/>
              </w:rPr>
              <w:t>5.048</w:t>
            </w:r>
          </w:p>
        </w:tc>
        <w:tc>
          <w:tcPr>
            <w:tcW w:w="866" w:type="dxa"/>
            <w:tcBorders>
              <w:top w:val="nil"/>
              <w:left w:val="nil"/>
              <w:bottom w:val="single" w:sz="4" w:space="0" w:color="auto"/>
              <w:right w:val="single" w:sz="4" w:space="0" w:color="auto"/>
            </w:tcBorders>
            <w:shd w:val="clear" w:color="auto" w:fill="auto"/>
            <w:noWrap/>
            <w:vAlign w:val="center"/>
            <w:hideMark/>
          </w:tcPr>
          <w:p w14:paraId="519B474A" w14:textId="77777777" w:rsidR="0074711A" w:rsidRPr="008E63BB" w:rsidRDefault="0074711A" w:rsidP="0065184D">
            <w:pPr>
              <w:jc w:val="right"/>
              <w:rPr>
                <w:rFonts w:eastAsia="Times New Roman"/>
                <w:sz w:val="20"/>
                <w:szCs w:val="20"/>
              </w:rPr>
            </w:pPr>
            <w:r w:rsidRPr="008E63BB">
              <w:rPr>
                <w:rFonts w:eastAsia="Times New Roman"/>
                <w:sz w:val="20"/>
                <w:szCs w:val="20"/>
              </w:rPr>
              <w:t>5.079</w:t>
            </w:r>
          </w:p>
        </w:tc>
        <w:tc>
          <w:tcPr>
            <w:tcW w:w="866" w:type="dxa"/>
            <w:tcBorders>
              <w:top w:val="nil"/>
              <w:left w:val="nil"/>
              <w:bottom w:val="single" w:sz="4" w:space="0" w:color="auto"/>
              <w:right w:val="single" w:sz="4" w:space="0" w:color="auto"/>
            </w:tcBorders>
            <w:shd w:val="clear" w:color="auto" w:fill="auto"/>
            <w:noWrap/>
            <w:vAlign w:val="center"/>
            <w:hideMark/>
          </w:tcPr>
          <w:p w14:paraId="519B474B" w14:textId="77777777" w:rsidR="0074711A" w:rsidRPr="008E63BB" w:rsidRDefault="0074711A" w:rsidP="0065184D">
            <w:pPr>
              <w:jc w:val="right"/>
              <w:rPr>
                <w:rFonts w:eastAsia="Times New Roman"/>
                <w:sz w:val="20"/>
                <w:szCs w:val="20"/>
              </w:rPr>
            </w:pPr>
            <w:r w:rsidRPr="008E63BB">
              <w:rPr>
                <w:rFonts w:eastAsia="Times New Roman"/>
                <w:sz w:val="20"/>
                <w:szCs w:val="20"/>
              </w:rPr>
              <w:t>5.107</w:t>
            </w:r>
          </w:p>
        </w:tc>
        <w:tc>
          <w:tcPr>
            <w:tcW w:w="866" w:type="dxa"/>
            <w:tcBorders>
              <w:top w:val="nil"/>
              <w:left w:val="nil"/>
              <w:bottom w:val="single" w:sz="4" w:space="0" w:color="auto"/>
              <w:right w:val="single" w:sz="4" w:space="0" w:color="auto"/>
            </w:tcBorders>
            <w:shd w:val="clear" w:color="auto" w:fill="auto"/>
            <w:noWrap/>
            <w:vAlign w:val="center"/>
            <w:hideMark/>
          </w:tcPr>
          <w:p w14:paraId="519B474C" w14:textId="77777777" w:rsidR="0074711A" w:rsidRPr="008E63BB" w:rsidRDefault="0074711A" w:rsidP="0065184D">
            <w:pPr>
              <w:jc w:val="right"/>
              <w:rPr>
                <w:rFonts w:eastAsia="Times New Roman"/>
                <w:sz w:val="20"/>
                <w:szCs w:val="20"/>
              </w:rPr>
            </w:pPr>
            <w:r w:rsidRPr="008E63BB">
              <w:rPr>
                <w:rFonts w:eastAsia="Times New Roman"/>
                <w:sz w:val="20"/>
                <w:szCs w:val="20"/>
              </w:rPr>
              <w:t>5.122</w:t>
            </w:r>
          </w:p>
        </w:tc>
        <w:tc>
          <w:tcPr>
            <w:tcW w:w="866" w:type="dxa"/>
            <w:tcBorders>
              <w:top w:val="nil"/>
              <w:left w:val="nil"/>
              <w:bottom w:val="single" w:sz="4" w:space="0" w:color="auto"/>
              <w:right w:val="single" w:sz="4" w:space="0" w:color="auto"/>
            </w:tcBorders>
            <w:shd w:val="clear" w:color="auto" w:fill="auto"/>
            <w:noWrap/>
            <w:vAlign w:val="center"/>
            <w:hideMark/>
          </w:tcPr>
          <w:p w14:paraId="519B474D" w14:textId="77777777" w:rsidR="0074711A" w:rsidRPr="008E63BB" w:rsidRDefault="0074711A" w:rsidP="0065184D">
            <w:pPr>
              <w:jc w:val="right"/>
              <w:rPr>
                <w:rFonts w:eastAsia="Times New Roman"/>
                <w:sz w:val="20"/>
                <w:szCs w:val="20"/>
              </w:rPr>
            </w:pPr>
            <w:r w:rsidRPr="008E63BB">
              <w:rPr>
                <w:rFonts w:eastAsia="Times New Roman"/>
                <w:sz w:val="20"/>
                <w:szCs w:val="20"/>
              </w:rPr>
              <w:t>5.159</w:t>
            </w:r>
          </w:p>
        </w:tc>
        <w:tc>
          <w:tcPr>
            <w:tcW w:w="866" w:type="dxa"/>
            <w:tcBorders>
              <w:top w:val="nil"/>
              <w:left w:val="nil"/>
              <w:bottom w:val="single" w:sz="4" w:space="0" w:color="auto"/>
              <w:right w:val="single" w:sz="4" w:space="0" w:color="auto"/>
            </w:tcBorders>
            <w:shd w:val="clear" w:color="auto" w:fill="auto"/>
            <w:noWrap/>
            <w:vAlign w:val="center"/>
            <w:hideMark/>
          </w:tcPr>
          <w:p w14:paraId="519B474E" w14:textId="77777777" w:rsidR="0074711A" w:rsidRPr="008E63BB" w:rsidRDefault="0074711A" w:rsidP="0065184D">
            <w:pPr>
              <w:jc w:val="right"/>
              <w:rPr>
                <w:rFonts w:eastAsia="Times New Roman"/>
                <w:sz w:val="20"/>
                <w:szCs w:val="20"/>
              </w:rPr>
            </w:pPr>
            <w:r w:rsidRPr="008E63BB">
              <w:rPr>
                <w:rFonts w:eastAsia="Times New Roman"/>
                <w:sz w:val="20"/>
                <w:szCs w:val="20"/>
              </w:rPr>
              <w:t>5.210</w:t>
            </w:r>
          </w:p>
        </w:tc>
        <w:tc>
          <w:tcPr>
            <w:tcW w:w="866" w:type="dxa"/>
            <w:tcBorders>
              <w:top w:val="nil"/>
              <w:left w:val="nil"/>
              <w:bottom w:val="single" w:sz="4" w:space="0" w:color="auto"/>
              <w:right w:val="single" w:sz="4" w:space="0" w:color="auto"/>
            </w:tcBorders>
            <w:shd w:val="clear" w:color="auto" w:fill="auto"/>
            <w:noWrap/>
            <w:vAlign w:val="center"/>
            <w:hideMark/>
          </w:tcPr>
          <w:p w14:paraId="519B474F" w14:textId="77777777" w:rsidR="0074711A" w:rsidRPr="008E63BB" w:rsidRDefault="0074711A" w:rsidP="0065184D">
            <w:pPr>
              <w:jc w:val="right"/>
              <w:rPr>
                <w:rFonts w:eastAsia="Times New Roman"/>
                <w:sz w:val="20"/>
                <w:szCs w:val="20"/>
              </w:rPr>
            </w:pPr>
            <w:r w:rsidRPr="008E63BB">
              <w:rPr>
                <w:rFonts w:eastAsia="Times New Roman"/>
                <w:sz w:val="20"/>
                <w:szCs w:val="20"/>
              </w:rPr>
              <w:t>5.039</w:t>
            </w:r>
          </w:p>
        </w:tc>
        <w:tc>
          <w:tcPr>
            <w:tcW w:w="994" w:type="dxa"/>
            <w:tcBorders>
              <w:top w:val="nil"/>
              <w:left w:val="nil"/>
              <w:bottom w:val="single" w:sz="4" w:space="0" w:color="auto"/>
              <w:right w:val="single" w:sz="4" w:space="0" w:color="auto"/>
            </w:tcBorders>
            <w:shd w:val="clear" w:color="auto" w:fill="auto"/>
            <w:noWrap/>
            <w:vAlign w:val="center"/>
            <w:hideMark/>
          </w:tcPr>
          <w:p w14:paraId="519B4750" w14:textId="77777777" w:rsidR="0074711A" w:rsidRPr="008E63BB" w:rsidRDefault="0074711A" w:rsidP="0065184D">
            <w:pPr>
              <w:jc w:val="right"/>
              <w:rPr>
                <w:rFonts w:eastAsia="Times New Roman"/>
                <w:sz w:val="20"/>
                <w:szCs w:val="20"/>
              </w:rPr>
            </w:pPr>
            <w:r w:rsidRPr="008E63BB">
              <w:rPr>
                <w:rFonts w:eastAsia="Times New Roman"/>
                <w:sz w:val="20"/>
                <w:szCs w:val="20"/>
              </w:rPr>
              <w:t>13.997</w:t>
            </w:r>
          </w:p>
        </w:tc>
      </w:tr>
      <w:tr w:rsidR="008D5BFE" w:rsidRPr="008E63BB" w14:paraId="519B476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52" w14:textId="77777777" w:rsidR="0074711A" w:rsidRPr="008E63BB" w:rsidRDefault="0074711A" w:rsidP="0065184D">
            <w:pPr>
              <w:jc w:val="right"/>
              <w:rPr>
                <w:rFonts w:eastAsia="Times New Roman"/>
                <w:sz w:val="20"/>
                <w:szCs w:val="20"/>
              </w:rPr>
            </w:pPr>
            <w:r w:rsidRPr="008E63BB">
              <w:rPr>
                <w:rFonts w:eastAsia="Times New Roman"/>
                <w:sz w:val="20"/>
                <w:szCs w:val="20"/>
              </w:rPr>
              <w:t>12</w:t>
            </w:r>
          </w:p>
        </w:tc>
        <w:tc>
          <w:tcPr>
            <w:tcW w:w="2684" w:type="dxa"/>
            <w:tcBorders>
              <w:top w:val="nil"/>
              <w:left w:val="nil"/>
              <w:bottom w:val="single" w:sz="4" w:space="0" w:color="auto"/>
              <w:right w:val="single" w:sz="4" w:space="0" w:color="auto"/>
            </w:tcBorders>
            <w:shd w:val="clear" w:color="auto" w:fill="auto"/>
            <w:vAlign w:val="center"/>
            <w:hideMark/>
          </w:tcPr>
          <w:p w14:paraId="519B4753" w14:textId="77777777" w:rsidR="0074711A" w:rsidRPr="008E63BB" w:rsidRDefault="0074711A" w:rsidP="0065184D">
            <w:pPr>
              <w:jc w:val="left"/>
              <w:rPr>
                <w:rFonts w:eastAsia="Times New Roman"/>
                <w:sz w:val="20"/>
                <w:szCs w:val="20"/>
              </w:rPr>
            </w:pPr>
            <w:r w:rsidRPr="008E63BB">
              <w:rPr>
                <w:rFonts w:eastAsia="Times New Roman"/>
                <w:sz w:val="20"/>
                <w:szCs w:val="20"/>
              </w:rPr>
              <w:t>P. Trần Hưng Đạo</w:t>
            </w:r>
          </w:p>
        </w:tc>
        <w:tc>
          <w:tcPr>
            <w:tcW w:w="794" w:type="dxa"/>
            <w:tcBorders>
              <w:top w:val="nil"/>
              <w:left w:val="nil"/>
              <w:bottom w:val="single" w:sz="4" w:space="0" w:color="auto"/>
              <w:right w:val="single" w:sz="4" w:space="0" w:color="auto"/>
            </w:tcBorders>
            <w:shd w:val="clear" w:color="auto" w:fill="auto"/>
            <w:noWrap/>
            <w:vAlign w:val="center"/>
            <w:hideMark/>
          </w:tcPr>
          <w:p w14:paraId="519B4754" w14:textId="77777777" w:rsidR="0074711A" w:rsidRPr="008E63BB" w:rsidRDefault="0074711A" w:rsidP="0065184D">
            <w:pPr>
              <w:jc w:val="right"/>
              <w:rPr>
                <w:rFonts w:eastAsia="Times New Roman"/>
                <w:sz w:val="20"/>
                <w:szCs w:val="20"/>
              </w:rPr>
            </w:pPr>
            <w:r w:rsidRPr="008E63BB">
              <w:rPr>
                <w:rFonts w:eastAsia="Times New Roman"/>
                <w:sz w:val="20"/>
                <w:szCs w:val="20"/>
              </w:rPr>
              <w:t>0,36</w:t>
            </w:r>
          </w:p>
        </w:tc>
        <w:tc>
          <w:tcPr>
            <w:tcW w:w="866" w:type="dxa"/>
            <w:tcBorders>
              <w:top w:val="nil"/>
              <w:left w:val="nil"/>
              <w:bottom w:val="single" w:sz="4" w:space="0" w:color="auto"/>
              <w:right w:val="nil"/>
            </w:tcBorders>
            <w:shd w:val="clear" w:color="auto" w:fill="auto"/>
            <w:vAlign w:val="center"/>
            <w:hideMark/>
          </w:tcPr>
          <w:p w14:paraId="519B4755" w14:textId="77777777" w:rsidR="0074711A" w:rsidRPr="008E63BB" w:rsidRDefault="0074711A" w:rsidP="0065184D">
            <w:pPr>
              <w:jc w:val="right"/>
              <w:rPr>
                <w:rFonts w:eastAsia="Times New Roman"/>
                <w:sz w:val="20"/>
                <w:szCs w:val="20"/>
              </w:rPr>
            </w:pPr>
            <w:r w:rsidRPr="008E63BB">
              <w:rPr>
                <w:rFonts w:eastAsia="Times New Roman"/>
                <w:sz w:val="20"/>
                <w:szCs w:val="20"/>
              </w:rPr>
              <w:t>7.363</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56" w14:textId="77777777" w:rsidR="0074711A" w:rsidRPr="008E63BB" w:rsidRDefault="0074711A" w:rsidP="0065184D">
            <w:pPr>
              <w:jc w:val="right"/>
              <w:rPr>
                <w:rFonts w:eastAsia="Times New Roman"/>
                <w:sz w:val="20"/>
                <w:szCs w:val="20"/>
              </w:rPr>
            </w:pPr>
            <w:r w:rsidRPr="008E63BB">
              <w:rPr>
                <w:rFonts w:eastAsia="Times New Roman"/>
                <w:sz w:val="20"/>
                <w:szCs w:val="20"/>
              </w:rPr>
              <w:t>5.669</w:t>
            </w:r>
          </w:p>
        </w:tc>
        <w:tc>
          <w:tcPr>
            <w:tcW w:w="866" w:type="dxa"/>
            <w:tcBorders>
              <w:top w:val="nil"/>
              <w:left w:val="nil"/>
              <w:bottom w:val="single" w:sz="4" w:space="0" w:color="auto"/>
              <w:right w:val="single" w:sz="4" w:space="0" w:color="auto"/>
            </w:tcBorders>
            <w:shd w:val="clear" w:color="auto" w:fill="auto"/>
            <w:noWrap/>
            <w:vAlign w:val="center"/>
            <w:hideMark/>
          </w:tcPr>
          <w:p w14:paraId="519B4757" w14:textId="77777777" w:rsidR="0074711A" w:rsidRPr="008E63BB" w:rsidRDefault="0074711A" w:rsidP="0065184D">
            <w:pPr>
              <w:jc w:val="right"/>
              <w:rPr>
                <w:rFonts w:eastAsia="Times New Roman"/>
                <w:sz w:val="20"/>
                <w:szCs w:val="20"/>
              </w:rPr>
            </w:pPr>
            <w:r w:rsidRPr="008E63BB">
              <w:rPr>
                <w:rFonts w:eastAsia="Times New Roman"/>
                <w:sz w:val="20"/>
                <w:szCs w:val="20"/>
              </w:rPr>
              <w:t>5.575</w:t>
            </w:r>
          </w:p>
        </w:tc>
        <w:tc>
          <w:tcPr>
            <w:tcW w:w="866" w:type="dxa"/>
            <w:tcBorders>
              <w:top w:val="nil"/>
              <w:left w:val="nil"/>
              <w:bottom w:val="single" w:sz="4" w:space="0" w:color="auto"/>
              <w:right w:val="single" w:sz="4" w:space="0" w:color="auto"/>
            </w:tcBorders>
            <w:shd w:val="clear" w:color="auto" w:fill="auto"/>
            <w:vAlign w:val="bottom"/>
            <w:hideMark/>
          </w:tcPr>
          <w:p w14:paraId="519B4758" w14:textId="77777777" w:rsidR="0074711A" w:rsidRPr="008E63BB" w:rsidRDefault="0074711A" w:rsidP="0065184D">
            <w:pPr>
              <w:jc w:val="right"/>
              <w:rPr>
                <w:rFonts w:eastAsia="Times New Roman"/>
                <w:sz w:val="20"/>
                <w:szCs w:val="20"/>
              </w:rPr>
            </w:pPr>
            <w:r w:rsidRPr="008E63BB">
              <w:rPr>
                <w:rFonts w:eastAsia="Times New Roman"/>
                <w:sz w:val="20"/>
                <w:szCs w:val="20"/>
              </w:rPr>
              <w:t>5.620</w:t>
            </w:r>
          </w:p>
        </w:tc>
        <w:tc>
          <w:tcPr>
            <w:tcW w:w="866" w:type="dxa"/>
            <w:tcBorders>
              <w:top w:val="nil"/>
              <w:left w:val="nil"/>
              <w:bottom w:val="single" w:sz="4" w:space="0" w:color="auto"/>
              <w:right w:val="single" w:sz="4" w:space="0" w:color="auto"/>
            </w:tcBorders>
            <w:shd w:val="clear" w:color="auto" w:fill="auto"/>
            <w:vAlign w:val="bottom"/>
            <w:hideMark/>
          </w:tcPr>
          <w:p w14:paraId="519B4759" w14:textId="77777777" w:rsidR="0074711A" w:rsidRPr="008E63BB" w:rsidRDefault="0074711A" w:rsidP="0065184D">
            <w:pPr>
              <w:jc w:val="right"/>
              <w:rPr>
                <w:rFonts w:eastAsia="Times New Roman"/>
                <w:sz w:val="20"/>
                <w:szCs w:val="20"/>
              </w:rPr>
            </w:pPr>
            <w:r w:rsidRPr="008E63BB">
              <w:rPr>
                <w:rFonts w:eastAsia="Times New Roman"/>
                <w:sz w:val="20"/>
                <w:szCs w:val="20"/>
              </w:rPr>
              <w:t>5.662</w:t>
            </w:r>
          </w:p>
        </w:tc>
        <w:tc>
          <w:tcPr>
            <w:tcW w:w="866" w:type="dxa"/>
            <w:tcBorders>
              <w:top w:val="nil"/>
              <w:left w:val="nil"/>
              <w:bottom w:val="single" w:sz="4" w:space="0" w:color="auto"/>
              <w:right w:val="single" w:sz="4" w:space="0" w:color="auto"/>
            </w:tcBorders>
            <w:shd w:val="clear" w:color="auto" w:fill="auto"/>
            <w:noWrap/>
            <w:vAlign w:val="center"/>
            <w:hideMark/>
          </w:tcPr>
          <w:p w14:paraId="519B475A" w14:textId="77777777" w:rsidR="0074711A" w:rsidRPr="008E63BB" w:rsidRDefault="0074711A" w:rsidP="0065184D">
            <w:pPr>
              <w:jc w:val="right"/>
              <w:rPr>
                <w:rFonts w:eastAsia="Times New Roman"/>
                <w:sz w:val="20"/>
                <w:szCs w:val="20"/>
              </w:rPr>
            </w:pPr>
            <w:r w:rsidRPr="008E63BB">
              <w:rPr>
                <w:rFonts w:eastAsia="Times New Roman"/>
                <w:sz w:val="20"/>
                <w:szCs w:val="20"/>
              </w:rPr>
              <w:t>5.766</w:t>
            </w:r>
          </w:p>
        </w:tc>
        <w:tc>
          <w:tcPr>
            <w:tcW w:w="866" w:type="dxa"/>
            <w:tcBorders>
              <w:top w:val="nil"/>
              <w:left w:val="nil"/>
              <w:bottom w:val="single" w:sz="4" w:space="0" w:color="auto"/>
              <w:right w:val="single" w:sz="4" w:space="0" w:color="auto"/>
            </w:tcBorders>
            <w:shd w:val="clear" w:color="auto" w:fill="auto"/>
            <w:noWrap/>
            <w:vAlign w:val="center"/>
            <w:hideMark/>
          </w:tcPr>
          <w:p w14:paraId="519B475B" w14:textId="77777777" w:rsidR="0074711A" w:rsidRPr="008E63BB" w:rsidRDefault="0074711A" w:rsidP="0065184D">
            <w:pPr>
              <w:jc w:val="right"/>
              <w:rPr>
                <w:rFonts w:eastAsia="Times New Roman"/>
                <w:sz w:val="20"/>
                <w:szCs w:val="20"/>
              </w:rPr>
            </w:pPr>
            <w:r w:rsidRPr="008E63BB">
              <w:rPr>
                <w:rFonts w:eastAsia="Times New Roman"/>
                <w:sz w:val="20"/>
                <w:szCs w:val="20"/>
              </w:rPr>
              <w:t>5.867</w:t>
            </w:r>
          </w:p>
        </w:tc>
        <w:tc>
          <w:tcPr>
            <w:tcW w:w="866" w:type="dxa"/>
            <w:tcBorders>
              <w:top w:val="nil"/>
              <w:left w:val="nil"/>
              <w:bottom w:val="single" w:sz="4" w:space="0" w:color="auto"/>
              <w:right w:val="single" w:sz="4" w:space="0" w:color="auto"/>
            </w:tcBorders>
            <w:shd w:val="clear" w:color="auto" w:fill="auto"/>
            <w:noWrap/>
            <w:vAlign w:val="center"/>
            <w:hideMark/>
          </w:tcPr>
          <w:p w14:paraId="519B475C" w14:textId="77777777" w:rsidR="0074711A" w:rsidRPr="008E63BB" w:rsidRDefault="0074711A" w:rsidP="0065184D">
            <w:pPr>
              <w:jc w:val="right"/>
              <w:rPr>
                <w:rFonts w:eastAsia="Times New Roman"/>
                <w:sz w:val="20"/>
                <w:szCs w:val="20"/>
              </w:rPr>
            </w:pPr>
            <w:r w:rsidRPr="008E63BB">
              <w:rPr>
                <w:rFonts w:eastAsia="Times New Roman"/>
                <w:sz w:val="20"/>
                <w:szCs w:val="20"/>
              </w:rPr>
              <w:t>5.890</w:t>
            </w:r>
          </w:p>
        </w:tc>
        <w:tc>
          <w:tcPr>
            <w:tcW w:w="866" w:type="dxa"/>
            <w:tcBorders>
              <w:top w:val="nil"/>
              <w:left w:val="nil"/>
              <w:bottom w:val="single" w:sz="4" w:space="0" w:color="auto"/>
              <w:right w:val="single" w:sz="4" w:space="0" w:color="auto"/>
            </w:tcBorders>
            <w:shd w:val="clear" w:color="auto" w:fill="auto"/>
            <w:noWrap/>
            <w:vAlign w:val="center"/>
            <w:hideMark/>
          </w:tcPr>
          <w:p w14:paraId="519B475D" w14:textId="77777777" w:rsidR="0074711A" w:rsidRPr="008E63BB" w:rsidRDefault="0074711A" w:rsidP="0065184D">
            <w:pPr>
              <w:jc w:val="right"/>
              <w:rPr>
                <w:rFonts w:eastAsia="Times New Roman"/>
                <w:sz w:val="20"/>
                <w:szCs w:val="20"/>
              </w:rPr>
            </w:pPr>
            <w:r w:rsidRPr="008E63BB">
              <w:rPr>
                <w:rFonts w:eastAsia="Times New Roman"/>
                <w:sz w:val="20"/>
                <w:szCs w:val="20"/>
              </w:rPr>
              <w:t>6.020</w:t>
            </w:r>
          </w:p>
        </w:tc>
        <w:tc>
          <w:tcPr>
            <w:tcW w:w="866" w:type="dxa"/>
            <w:tcBorders>
              <w:top w:val="nil"/>
              <w:left w:val="nil"/>
              <w:bottom w:val="single" w:sz="4" w:space="0" w:color="auto"/>
              <w:right w:val="single" w:sz="4" w:space="0" w:color="auto"/>
            </w:tcBorders>
            <w:shd w:val="clear" w:color="auto" w:fill="auto"/>
            <w:noWrap/>
            <w:vAlign w:val="center"/>
            <w:hideMark/>
          </w:tcPr>
          <w:p w14:paraId="519B475E" w14:textId="77777777" w:rsidR="0074711A" w:rsidRPr="008E63BB" w:rsidRDefault="0074711A" w:rsidP="0065184D">
            <w:pPr>
              <w:jc w:val="right"/>
              <w:rPr>
                <w:rFonts w:eastAsia="Times New Roman"/>
                <w:sz w:val="20"/>
                <w:szCs w:val="20"/>
              </w:rPr>
            </w:pPr>
            <w:r w:rsidRPr="008E63BB">
              <w:rPr>
                <w:rFonts w:eastAsia="Times New Roman"/>
                <w:sz w:val="20"/>
                <w:szCs w:val="20"/>
              </w:rPr>
              <w:t>5.855</w:t>
            </w:r>
          </w:p>
        </w:tc>
        <w:tc>
          <w:tcPr>
            <w:tcW w:w="866" w:type="dxa"/>
            <w:tcBorders>
              <w:top w:val="nil"/>
              <w:left w:val="nil"/>
              <w:bottom w:val="single" w:sz="4" w:space="0" w:color="auto"/>
              <w:right w:val="single" w:sz="4" w:space="0" w:color="auto"/>
            </w:tcBorders>
            <w:shd w:val="clear" w:color="auto" w:fill="auto"/>
            <w:noWrap/>
            <w:vAlign w:val="center"/>
            <w:hideMark/>
          </w:tcPr>
          <w:p w14:paraId="519B475F" w14:textId="77777777" w:rsidR="0074711A" w:rsidRPr="008E63BB" w:rsidRDefault="0074711A" w:rsidP="0065184D">
            <w:pPr>
              <w:jc w:val="right"/>
              <w:rPr>
                <w:rFonts w:eastAsia="Times New Roman"/>
                <w:sz w:val="20"/>
                <w:szCs w:val="20"/>
              </w:rPr>
            </w:pPr>
            <w:r w:rsidRPr="008E63BB">
              <w:rPr>
                <w:rFonts w:eastAsia="Times New Roman"/>
                <w:sz w:val="20"/>
                <w:szCs w:val="20"/>
              </w:rPr>
              <w:t>5.876</w:t>
            </w:r>
          </w:p>
        </w:tc>
        <w:tc>
          <w:tcPr>
            <w:tcW w:w="994" w:type="dxa"/>
            <w:tcBorders>
              <w:top w:val="nil"/>
              <w:left w:val="nil"/>
              <w:bottom w:val="single" w:sz="4" w:space="0" w:color="auto"/>
              <w:right w:val="single" w:sz="4" w:space="0" w:color="auto"/>
            </w:tcBorders>
            <w:shd w:val="clear" w:color="auto" w:fill="auto"/>
            <w:noWrap/>
            <w:vAlign w:val="center"/>
            <w:hideMark/>
          </w:tcPr>
          <w:p w14:paraId="519B4760" w14:textId="77777777" w:rsidR="0074711A" w:rsidRPr="008E63BB" w:rsidRDefault="0074711A" w:rsidP="0065184D">
            <w:pPr>
              <w:jc w:val="right"/>
              <w:rPr>
                <w:rFonts w:eastAsia="Times New Roman"/>
                <w:sz w:val="20"/>
                <w:szCs w:val="20"/>
              </w:rPr>
            </w:pPr>
            <w:r w:rsidRPr="008E63BB">
              <w:rPr>
                <w:rFonts w:eastAsia="Times New Roman"/>
                <w:sz w:val="20"/>
                <w:szCs w:val="20"/>
              </w:rPr>
              <w:t>16.322</w:t>
            </w:r>
          </w:p>
        </w:tc>
      </w:tr>
      <w:tr w:rsidR="008D5BFE" w:rsidRPr="008E63BB" w14:paraId="519B477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62" w14:textId="77777777" w:rsidR="0074711A" w:rsidRPr="008E63BB" w:rsidRDefault="0074711A" w:rsidP="0065184D">
            <w:pPr>
              <w:jc w:val="right"/>
              <w:rPr>
                <w:rFonts w:eastAsia="Times New Roman"/>
                <w:sz w:val="20"/>
                <w:szCs w:val="20"/>
              </w:rPr>
            </w:pPr>
            <w:r w:rsidRPr="008E63BB">
              <w:rPr>
                <w:rFonts w:eastAsia="Times New Roman"/>
                <w:sz w:val="20"/>
                <w:szCs w:val="20"/>
              </w:rPr>
              <w:t>13</w:t>
            </w:r>
          </w:p>
        </w:tc>
        <w:tc>
          <w:tcPr>
            <w:tcW w:w="2684" w:type="dxa"/>
            <w:tcBorders>
              <w:top w:val="nil"/>
              <w:left w:val="nil"/>
              <w:bottom w:val="single" w:sz="4" w:space="0" w:color="auto"/>
              <w:right w:val="single" w:sz="4" w:space="0" w:color="auto"/>
            </w:tcBorders>
            <w:shd w:val="clear" w:color="auto" w:fill="auto"/>
            <w:vAlign w:val="center"/>
            <w:hideMark/>
          </w:tcPr>
          <w:p w14:paraId="519B4763" w14:textId="77777777" w:rsidR="0074711A" w:rsidRPr="008E63BB" w:rsidRDefault="0074711A" w:rsidP="0065184D">
            <w:pPr>
              <w:jc w:val="left"/>
              <w:rPr>
                <w:rFonts w:eastAsia="Times New Roman"/>
                <w:sz w:val="20"/>
                <w:szCs w:val="20"/>
              </w:rPr>
            </w:pPr>
            <w:r w:rsidRPr="008E63BB">
              <w:rPr>
                <w:rFonts w:eastAsia="Times New Roman"/>
                <w:sz w:val="20"/>
                <w:szCs w:val="20"/>
              </w:rPr>
              <w:t>P. Trần Đăng Ninh</w:t>
            </w:r>
          </w:p>
        </w:tc>
        <w:tc>
          <w:tcPr>
            <w:tcW w:w="794" w:type="dxa"/>
            <w:tcBorders>
              <w:top w:val="nil"/>
              <w:left w:val="nil"/>
              <w:bottom w:val="single" w:sz="4" w:space="0" w:color="auto"/>
              <w:right w:val="single" w:sz="4" w:space="0" w:color="auto"/>
            </w:tcBorders>
            <w:shd w:val="clear" w:color="auto" w:fill="auto"/>
            <w:noWrap/>
            <w:vAlign w:val="center"/>
            <w:hideMark/>
          </w:tcPr>
          <w:p w14:paraId="519B4764" w14:textId="77777777" w:rsidR="0074711A" w:rsidRPr="008E63BB" w:rsidRDefault="0074711A" w:rsidP="0065184D">
            <w:pPr>
              <w:jc w:val="right"/>
              <w:rPr>
                <w:rFonts w:eastAsia="Times New Roman"/>
                <w:sz w:val="20"/>
                <w:szCs w:val="20"/>
              </w:rPr>
            </w:pPr>
            <w:r w:rsidRPr="008E63BB">
              <w:rPr>
                <w:rFonts w:eastAsia="Times New Roman"/>
                <w:sz w:val="20"/>
                <w:szCs w:val="20"/>
              </w:rPr>
              <w:t>0,46</w:t>
            </w:r>
          </w:p>
        </w:tc>
        <w:tc>
          <w:tcPr>
            <w:tcW w:w="866" w:type="dxa"/>
            <w:tcBorders>
              <w:top w:val="nil"/>
              <w:left w:val="nil"/>
              <w:bottom w:val="single" w:sz="4" w:space="0" w:color="auto"/>
              <w:right w:val="nil"/>
            </w:tcBorders>
            <w:shd w:val="clear" w:color="auto" w:fill="auto"/>
            <w:vAlign w:val="center"/>
            <w:hideMark/>
          </w:tcPr>
          <w:p w14:paraId="519B4765" w14:textId="77777777" w:rsidR="0074711A" w:rsidRPr="008E63BB" w:rsidRDefault="0074711A" w:rsidP="0065184D">
            <w:pPr>
              <w:jc w:val="right"/>
              <w:rPr>
                <w:rFonts w:eastAsia="Times New Roman"/>
                <w:sz w:val="20"/>
                <w:szCs w:val="20"/>
              </w:rPr>
            </w:pPr>
            <w:r w:rsidRPr="008E63BB">
              <w:rPr>
                <w:rFonts w:eastAsia="Times New Roman"/>
                <w:sz w:val="20"/>
                <w:szCs w:val="20"/>
              </w:rPr>
              <w:t>9.446</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66" w14:textId="77777777" w:rsidR="0074711A" w:rsidRPr="008E63BB" w:rsidRDefault="0074711A" w:rsidP="0065184D">
            <w:pPr>
              <w:jc w:val="right"/>
              <w:rPr>
                <w:rFonts w:eastAsia="Times New Roman"/>
                <w:sz w:val="20"/>
                <w:szCs w:val="20"/>
              </w:rPr>
            </w:pPr>
            <w:r w:rsidRPr="008E63BB">
              <w:rPr>
                <w:rFonts w:eastAsia="Times New Roman"/>
                <w:sz w:val="20"/>
                <w:szCs w:val="20"/>
              </w:rPr>
              <w:t>8.902</w:t>
            </w:r>
          </w:p>
        </w:tc>
        <w:tc>
          <w:tcPr>
            <w:tcW w:w="866" w:type="dxa"/>
            <w:tcBorders>
              <w:top w:val="nil"/>
              <w:left w:val="nil"/>
              <w:bottom w:val="single" w:sz="4" w:space="0" w:color="auto"/>
              <w:right w:val="single" w:sz="4" w:space="0" w:color="auto"/>
            </w:tcBorders>
            <w:shd w:val="clear" w:color="auto" w:fill="auto"/>
            <w:noWrap/>
            <w:vAlign w:val="center"/>
            <w:hideMark/>
          </w:tcPr>
          <w:p w14:paraId="519B4767" w14:textId="77777777" w:rsidR="0074711A" w:rsidRPr="008E63BB" w:rsidRDefault="0074711A" w:rsidP="0065184D">
            <w:pPr>
              <w:jc w:val="right"/>
              <w:rPr>
                <w:rFonts w:eastAsia="Times New Roman"/>
                <w:sz w:val="20"/>
                <w:szCs w:val="20"/>
              </w:rPr>
            </w:pPr>
            <w:r w:rsidRPr="008E63BB">
              <w:rPr>
                <w:rFonts w:eastAsia="Times New Roman"/>
                <w:sz w:val="20"/>
                <w:szCs w:val="20"/>
              </w:rPr>
              <w:t>9.289</w:t>
            </w:r>
          </w:p>
        </w:tc>
        <w:tc>
          <w:tcPr>
            <w:tcW w:w="866" w:type="dxa"/>
            <w:tcBorders>
              <w:top w:val="nil"/>
              <w:left w:val="nil"/>
              <w:bottom w:val="single" w:sz="4" w:space="0" w:color="auto"/>
              <w:right w:val="single" w:sz="4" w:space="0" w:color="auto"/>
            </w:tcBorders>
            <w:shd w:val="clear" w:color="auto" w:fill="auto"/>
            <w:vAlign w:val="bottom"/>
            <w:hideMark/>
          </w:tcPr>
          <w:p w14:paraId="519B4768" w14:textId="77777777" w:rsidR="0074711A" w:rsidRPr="008E63BB" w:rsidRDefault="0074711A" w:rsidP="0065184D">
            <w:pPr>
              <w:jc w:val="right"/>
              <w:rPr>
                <w:rFonts w:eastAsia="Times New Roman"/>
                <w:sz w:val="20"/>
                <w:szCs w:val="20"/>
              </w:rPr>
            </w:pPr>
            <w:r w:rsidRPr="008E63BB">
              <w:rPr>
                <w:rFonts w:eastAsia="Times New Roman"/>
                <w:sz w:val="20"/>
                <w:szCs w:val="20"/>
              </w:rPr>
              <w:t>9.353</w:t>
            </w:r>
          </w:p>
        </w:tc>
        <w:tc>
          <w:tcPr>
            <w:tcW w:w="866" w:type="dxa"/>
            <w:tcBorders>
              <w:top w:val="nil"/>
              <w:left w:val="nil"/>
              <w:bottom w:val="single" w:sz="4" w:space="0" w:color="auto"/>
              <w:right w:val="single" w:sz="4" w:space="0" w:color="auto"/>
            </w:tcBorders>
            <w:shd w:val="clear" w:color="auto" w:fill="auto"/>
            <w:vAlign w:val="bottom"/>
            <w:hideMark/>
          </w:tcPr>
          <w:p w14:paraId="519B4769" w14:textId="77777777" w:rsidR="0074711A" w:rsidRPr="008E63BB" w:rsidRDefault="0074711A" w:rsidP="0065184D">
            <w:pPr>
              <w:jc w:val="right"/>
              <w:rPr>
                <w:rFonts w:eastAsia="Times New Roman"/>
                <w:sz w:val="20"/>
                <w:szCs w:val="20"/>
              </w:rPr>
            </w:pPr>
            <w:r w:rsidRPr="008E63BB">
              <w:rPr>
                <w:rFonts w:eastAsia="Times New Roman"/>
                <w:sz w:val="20"/>
                <w:szCs w:val="20"/>
              </w:rPr>
              <w:t>9.405</w:t>
            </w:r>
          </w:p>
        </w:tc>
        <w:tc>
          <w:tcPr>
            <w:tcW w:w="866" w:type="dxa"/>
            <w:tcBorders>
              <w:top w:val="nil"/>
              <w:left w:val="nil"/>
              <w:bottom w:val="single" w:sz="4" w:space="0" w:color="auto"/>
              <w:right w:val="single" w:sz="4" w:space="0" w:color="auto"/>
            </w:tcBorders>
            <w:shd w:val="clear" w:color="auto" w:fill="auto"/>
            <w:noWrap/>
            <w:vAlign w:val="center"/>
            <w:hideMark/>
          </w:tcPr>
          <w:p w14:paraId="519B476A" w14:textId="77777777" w:rsidR="0074711A" w:rsidRPr="008E63BB" w:rsidRDefault="0074711A" w:rsidP="0065184D">
            <w:pPr>
              <w:jc w:val="right"/>
              <w:rPr>
                <w:rFonts w:eastAsia="Times New Roman"/>
                <w:sz w:val="20"/>
                <w:szCs w:val="20"/>
              </w:rPr>
            </w:pPr>
            <w:r w:rsidRPr="008E63BB">
              <w:rPr>
                <w:rFonts w:eastAsia="Times New Roman"/>
                <w:sz w:val="20"/>
                <w:szCs w:val="20"/>
              </w:rPr>
              <w:t>9.493</w:t>
            </w:r>
          </w:p>
        </w:tc>
        <w:tc>
          <w:tcPr>
            <w:tcW w:w="866" w:type="dxa"/>
            <w:tcBorders>
              <w:top w:val="nil"/>
              <w:left w:val="nil"/>
              <w:bottom w:val="single" w:sz="4" w:space="0" w:color="auto"/>
              <w:right w:val="single" w:sz="4" w:space="0" w:color="auto"/>
            </w:tcBorders>
            <w:shd w:val="clear" w:color="auto" w:fill="auto"/>
            <w:noWrap/>
            <w:vAlign w:val="center"/>
            <w:hideMark/>
          </w:tcPr>
          <w:p w14:paraId="519B476B" w14:textId="77777777" w:rsidR="0074711A" w:rsidRPr="008E63BB" w:rsidRDefault="0074711A" w:rsidP="0065184D">
            <w:pPr>
              <w:jc w:val="right"/>
              <w:rPr>
                <w:rFonts w:eastAsia="Times New Roman"/>
                <w:sz w:val="20"/>
                <w:szCs w:val="20"/>
              </w:rPr>
            </w:pPr>
            <w:r w:rsidRPr="008E63BB">
              <w:rPr>
                <w:rFonts w:eastAsia="Times New Roman"/>
                <w:sz w:val="20"/>
                <w:szCs w:val="20"/>
              </w:rPr>
              <w:t>9.576</w:t>
            </w:r>
          </w:p>
        </w:tc>
        <w:tc>
          <w:tcPr>
            <w:tcW w:w="866" w:type="dxa"/>
            <w:tcBorders>
              <w:top w:val="nil"/>
              <w:left w:val="nil"/>
              <w:bottom w:val="single" w:sz="4" w:space="0" w:color="auto"/>
              <w:right w:val="single" w:sz="4" w:space="0" w:color="auto"/>
            </w:tcBorders>
            <w:shd w:val="clear" w:color="auto" w:fill="auto"/>
            <w:noWrap/>
            <w:vAlign w:val="center"/>
            <w:hideMark/>
          </w:tcPr>
          <w:p w14:paraId="519B476C" w14:textId="77777777" w:rsidR="0074711A" w:rsidRPr="008E63BB" w:rsidRDefault="0074711A" w:rsidP="0065184D">
            <w:pPr>
              <w:jc w:val="right"/>
              <w:rPr>
                <w:rFonts w:eastAsia="Times New Roman"/>
                <w:sz w:val="20"/>
                <w:szCs w:val="20"/>
              </w:rPr>
            </w:pPr>
            <w:r w:rsidRPr="008E63BB">
              <w:rPr>
                <w:rFonts w:eastAsia="Times New Roman"/>
                <w:sz w:val="20"/>
                <w:szCs w:val="20"/>
              </w:rPr>
              <w:t>9.588</w:t>
            </w:r>
          </w:p>
        </w:tc>
        <w:tc>
          <w:tcPr>
            <w:tcW w:w="866" w:type="dxa"/>
            <w:tcBorders>
              <w:top w:val="nil"/>
              <w:left w:val="nil"/>
              <w:bottom w:val="single" w:sz="4" w:space="0" w:color="auto"/>
              <w:right w:val="single" w:sz="4" w:space="0" w:color="auto"/>
            </w:tcBorders>
            <w:shd w:val="clear" w:color="auto" w:fill="auto"/>
            <w:noWrap/>
            <w:vAlign w:val="center"/>
            <w:hideMark/>
          </w:tcPr>
          <w:p w14:paraId="519B476D" w14:textId="77777777" w:rsidR="0074711A" w:rsidRPr="008E63BB" w:rsidRDefault="0074711A" w:rsidP="0065184D">
            <w:pPr>
              <w:jc w:val="right"/>
              <w:rPr>
                <w:rFonts w:eastAsia="Times New Roman"/>
                <w:sz w:val="20"/>
                <w:szCs w:val="20"/>
              </w:rPr>
            </w:pPr>
            <w:r w:rsidRPr="008E63BB">
              <w:rPr>
                <w:rFonts w:eastAsia="Times New Roman"/>
                <w:sz w:val="20"/>
                <w:szCs w:val="20"/>
              </w:rPr>
              <w:t>9.625</w:t>
            </w:r>
          </w:p>
        </w:tc>
        <w:tc>
          <w:tcPr>
            <w:tcW w:w="866" w:type="dxa"/>
            <w:tcBorders>
              <w:top w:val="nil"/>
              <w:left w:val="nil"/>
              <w:bottom w:val="single" w:sz="4" w:space="0" w:color="auto"/>
              <w:right w:val="single" w:sz="4" w:space="0" w:color="auto"/>
            </w:tcBorders>
            <w:shd w:val="clear" w:color="auto" w:fill="auto"/>
            <w:noWrap/>
            <w:vAlign w:val="center"/>
            <w:hideMark/>
          </w:tcPr>
          <w:p w14:paraId="519B476E" w14:textId="77777777" w:rsidR="0074711A" w:rsidRPr="008E63BB" w:rsidRDefault="0074711A" w:rsidP="0065184D">
            <w:pPr>
              <w:jc w:val="right"/>
              <w:rPr>
                <w:rFonts w:eastAsia="Times New Roman"/>
                <w:sz w:val="20"/>
                <w:szCs w:val="20"/>
              </w:rPr>
            </w:pPr>
            <w:r w:rsidRPr="008E63BB">
              <w:rPr>
                <w:rFonts w:eastAsia="Times New Roman"/>
                <w:sz w:val="20"/>
                <w:szCs w:val="20"/>
              </w:rPr>
              <w:t>9.653</w:t>
            </w:r>
          </w:p>
        </w:tc>
        <w:tc>
          <w:tcPr>
            <w:tcW w:w="866" w:type="dxa"/>
            <w:tcBorders>
              <w:top w:val="nil"/>
              <w:left w:val="nil"/>
              <w:bottom w:val="single" w:sz="4" w:space="0" w:color="auto"/>
              <w:right w:val="single" w:sz="4" w:space="0" w:color="auto"/>
            </w:tcBorders>
            <w:shd w:val="clear" w:color="auto" w:fill="auto"/>
            <w:noWrap/>
            <w:vAlign w:val="center"/>
            <w:hideMark/>
          </w:tcPr>
          <w:p w14:paraId="519B476F" w14:textId="77777777" w:rsidR="0074711A" w:rsidRPr="008E63BB" w:rsidRDefault="0074711A" w:rsidP="0065184D">
            <w:pPr>
              <w:jc w:val="right"/>
              <w:rPr>
                <w:rFonts w:eastAsia="Times New Roman"/>
                <w:sz w:val="20"/>
                <w:szCs w:val="20"/>
              </w:rPr>
            </w:pPr>
            <w:r w:rsidRPr="008E63BB">
              <w:rPr>
                <w:rFonts w:eastAsia="Times New Roman"/>
                <w:sz w:val="20"/>
                <w:szCs w:val="20"/>
              </w:rPr>
              <w:t>9.688</w:t>
            </w:r>
          </w:p>
        </w:tc>
        <w:tc>
          <w:tcPr>
            <w:tcW w:w="994" w:type="dxa"/>
            <w:tcBorders>
              <w:top w:val="nil"/>
              <w:left w:val="nil"/>
              <w:bottom w:val="single" w:sz="4" w:space="0" w:color="auto"/>
              <w:right w:val="single" w:sz="4" w:space="0" w:color="auto"/>
            </w:tcBorders>
            <w:shd w:val="clear" w:color="auto" w:fill="auto"/>
            <w:noWrap/>
            <w:vAlign w:val="center"/>
            <w:hideMark/>
          </w:tcPr>
          <w:p w14:paraId="519B4770" w14:textId="77777777" w:rsidR="0074711A" w:rsidRPr="008E63BB" w:rsidRDefault="0074711A" w:rsidP="0065184D">
            <w:pPr>
              <w:jc w:val="right"/>
              <w:rPr>
                <w:rFonts w:eastAsia="Times New Roman"/>
                <w:sz w:val="20"/>
                <w:szCs w:val="20"/>
              </w:rPr>
            </w:pPr>
            <w:r w:rsidRPr="008E63BB">
              <w:rPr>
                <w:rFonts w:eastAsia="Times New Roman"/>
                <w:sz w:val="20"/>
                <w:szCs w:val="20"/>
              </w:rPr>
              <w:t>21.061</w:t>
            </w:r>
          </w:p>
        </w:tc>
      </w:tr>
      <w:tr w:rsidR="008D5BFE" w:rsidRPr="008E63BB" w14:paraId="519B478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72" w14:textId="77777777" w:rsidR="0074711A" w:rsidRPr="008E63BB" w:rsidRDefault="0074711A" w:rsidP="0065184D">
            <w:pPr>
              <w:jc w:val="right"/>
              <w:rPr>
                <w:rFonts w:eastAsia="Times New Roman"/>
                <w:sz w:val="20"/>
                <w:szCs w:val="20"/>
              </w:rPr>
            </w:pPr>
            <w:r w:rsidRPr="008E63BB">
              <w:rPr>
                <w:rFonts w:eastAsia="Times New Roman"/>
                <w:sz w:val="20"/>
                <w:szCs w:val="20"/>
              </w:rPr>
              <w:t>14</w:t>
            </w:r>
          </w:p>
        </w:tc>
        <w:tc>
          <w:tcPr>
            <w:tcW w:w="2684" w:type="dxa"/>
            <w:tcBorders>
              <w:top w:val="nil"/>
              <w:left w:val="nil"/>
              <w:bottom w:val="single" w:sz="4" w:space="0" w:color="auto"/>
              <w:right w:val="single" w:sz="4" w:space="0" w:color="auto"/>
            </w:tcBorders>
            <w:shd w:val="clear" w:color="auto" w:fill="auto"/>
            <w:vAlign w:val="center"/>
            <w:hideMark/>
          </w:tcPr>
          <w:p w14:paraId="519B4773" w14:textId="77777777" w:rsidR="0074711A" w:rsidRPr="008E63BB" w:rsidRDefault="0074711A" w:rsidP="0065184D">
            <w:pPr>
              <w:jc w:val="left"/>
              <w:rPr>
                <w:rFonts w:eastAsia="Times New Roman"/>
                <w:sz w:val="20"/>
                <w:szCs w:val="20"/>
              </w:rPr>
            </w:pPr>
            <w:r w:rsidRPr="008E63BB">
              <w:rPr>
                <w:rFonts w:eastAsia="Times New Roman"/>
                <w:sz w:val="20"/>
                <w:szCs w:val="20"/>
              </w:rPr>
              <w:t>P. Năng Tĩnh</w:t>
            </w:r>
          </w:p>
        </w:tc>
        <w:tc>
          <w:tcPr>
            <w:tcW w:w="794" w:type="dxa"/>
            <w:tcBorders>
              <w:top w:val="nil"/>
              <w:left w:val="nil"/>
              <w:bottom w:val="single" w:sz="4" w:space="0" w:color="auto"/>
              <w:right w:val="single" w:sz="4" w:space="0" w:color="auto"/>
            </w:tcBorders>
            <w:shd w:val="clear" w:color="auto" w:fill="auto"/>
            <w:noWrap/>
            <w:vAlign w:val="center"/>
            <w:hideMark/>
          </w:tcPr>
          <w:p w14:paraId="519B4774" w14:textId="77777777" w:rsidR="0074711A" w:rsidRPr="008E63BB" w:rsidRDefault="0074711A" w:rsidP="0065184D">
            <w:pPr>
              <w:jc w:val="right"/>
              <w:rPr>
                <w:rFonts w:eastAsia="Times New Roman"/>
                <w:sz w:val="20"/>
                <w:szCs w:val="20"/>
              </w:rPr>
            </w:pPr>
            <w:r w:rsidRPr="008E63BB">
              <w:rPr>
                <w:rFonts w:eastAsia="Times New Roman"/>
                <w:sz w:val="20"/>
                <w:szCs w:val="20"/>
              </w:rPr>
              <w:t>0,79</w:t>
            </w:r>
          </w:p>
        </w:tc>
        <w:tc>
          <w:tcPr>
            <w:tcW w:w="866" w:type="dxa"/>
            <w:tcBorders>
              <w:top w:val="nil"/>
              <w:left w:val="nil"/>
              <w:bottom w:val="single" w:sz="4" w:space="0" w:color="auto"/>
              <w:right w:val="nil"/>
            </w:tcBorders>
            <w:shd w:val="clear" w:color="auto" w:fill="auto"/>
            <w:vAlign w:val="center"/>
            <w:hideMark/>
          </w:tcPr>
          <w:p w14:paraId="519B4775" w14:textId="77777777" w:rsidR="0074711A" w:rsidRPr="008E63BB" w:rsidRDefault="0074711A" w:rsidP="0065184D">
            <w:pPr>
              <w:jc w:val="right"/>
              <w:rPr>
                <w:rFonts w:eastAsia="Times New Roman"/>
                <w:sz w:val="20"/>
                <w:szCs w:val="20"/>
              </w:rPr>
            </w:pPr>
            <w:r w:rsidRPr="008E63BB">
              <w:rPr>
                <w:rFonts w:eastAsia="Times New Roman"/>
                <w:sz w:val="20"/>
                <w:szCs w:val="20"/>
              </w:rPr>
              <w:t>11.778</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76" w14:textId="77777777" w:rsidR="0074711A" w:rsidRPr="008E63BB" w:rsidRDefault="0074711A" w:rsidP="0065184D">
            <w:pPr>
              <w:jc w:val="right"/>
              <w:rPr>
                <w:rFonts w:eastAsia="Times New Roman"/>
                <w:sz w:val="20"/>
                <w:szCs w:val="20"/>
              </w:rPr>
            </w:pPr>
            <w:r w:rsidRPr="008E63BB">
              <w:rPr>
                <w:rFonts w:eastAsia="Times New Roman"/>
                <w:sz w:val="20"/>
                <w:szCs w:val="20"/>
              </w:rPr>
              <w:t>11.411</w:t>
            </w:r>
          </w:p>
        </w:tc>
        <w:tc>
          <w:tcPr>
            <w:tcW w:w="866" w:type="dxa"/>
            <w:tcBorders>
              <w:top w:val="nil"/>
              <w:left w:val="nil"/>
              <w:bottom w:val="single" w:sz="4" w:space="0" w:color="auto"/>
              <w:right w:val="single" w:sz="4" w:space="0" w:color="auto"/>
            </w:tcBorders>
            <w:shd w:val="clear" w:color="auto" w:fill="auto"/>
            <w:noWrap/>
            <w:vAlign w:val="center"/>
            <w:hideMark/>
          </w:tcPr>
          <w:p w14:paraId="519B4777" w14:textId="77777777" w:rsidR="0074711A" w:rsidRPr="008E63BB" w:rsidRDefault="0074711A" w:rsidP="0065184D">
            <w:pPr>
              <w:jc w:val="right"/>
              <w:rPr>
                <w:rFonts w:eastAsia="Times New Roman"/>
                <w:sz w:val="20"/>
                <w:szCs w:val="20"/>
              </w:rPr>
            </w:pPr>
            <w:r w:rsidRPr="008E63BB">
              <w:rPr>
                <w:rFonts w:eastAsia="Times New Roman"/>
                <w:sz w:val="20"/>
                <w:szCs w:val="20"/>
              </w:rPr>
              <w:t>11.636</w:t>
            </w:r>
          </w:p>
        </w:tc>
        <w:tc>
          <w:tcPr>
            <w:tcW w:w="866" w:type="dxa"/>
            <w:tcBorders>
              <w:top w:val="nil"/>
              <w:left w:val="nil"/>
              <w:bottom w:val="single" w:sz="4" w:space="0" w:color="auto"/>
              <w:right w:val="single" w:sz="4" w:space="0" w:color="auto"/>
            </w:tcBorders>
            <w:shd w:val="clear" w:color="auto" w:fill="auto"/>
            <w:vAlign w:val="bottom"/>
            <w:hideMark/>
          </w:tcPr>
          <w:p w14:paraId="519B4778" w14:textId="77777777" w:rsidR="0074711A" w:rsidRPr="008E63BB" w:rsidRDefault="0074711A" w:rsidP="0065184D">
            <w:pPr>
              <w:jc w:val="right"/>
              <w:rPr>
                <w:rFonts w:eastAsia="Times New Roman"/>
                <w:sz w:val="20"/>
                <w:szCs w:val="20"/>
              </w:rPr>
            </w:pPr>
            <w:r w:rsidRPr="008E63BB">
              <w:rPr>
                <w:rFonts w:eastAsia="Times New Roman"/>
                <w:sz w:val="20"/>
                <w:szCs w:val="20"/>
              </w:rPr>
              <w:t>11.726</w:t>
            </w:r>
          </w:p>
        </w:tc>
        <w:tc>
          <w:tcPr>
            <w:tcW w:w="866" w:type="dxa"/>
            <w:tcBorders>
              <w:top w:val="nil"/>
              <w:left w:val="nil"/>
              <w:bottom w:val="single" w:sz="4" w:space="0" w:color="auto"/>
              <w:right w:val="single" w:sz="4" w:space="0" w:color="auto"/>
            </w:tcBorders>
            <w:shd w:val="clear" w:color="auto" w:fill="auto"/>
            <w:vAlign w:val="bottom"/>
            <w:hideMark/>
          </w:tcPr>
          <w:p w14:paraId="519B4779" w14:textId="77777777" w:rsidR="0074711A" w:rsidRPr="008E63BB" w:rsidRDefault="0074711A" w:rsidP="0065184D">
            <w:pPr>
              <w:jc w:val="right"/>
              <w:rPr>
                <w:rFonts w:eastAsia="Times New Roman"/>
                <w:sz w:val="20"/>
                <w:szCs w:val="20"/>
              </w:rPr>
            </w:pPr>
            <w:r w:rsidRPr="008E63BB">
              <w:rPr>
                <w:rFonts w:eastAsia="Times New Roman"/>
                <w:sz w:val="20"/>
                <w:szCs w:val="20"/>
              </w:rPr>
              <w:t>11.878</w:t>
            </w:r>
          </w:p>
        </w:tc>
        <w:tc>
          <w:tcPr>
            <w:tcW w:w="866" w:type="dxa"/>
            <w:tcBorders>
              <w:top w:val="nil"/>
              <w:left w:val="nil"/>
              <w:bottom w:val="single" w:sz="4" w:space="0" w:color="auto"/>
              <w:right w:val="single" w:sz="4" w:space="0" w:color="auto"/>
            </w:tcBorders>
            <w:shd w:val="clear" w:color="auto" w:fill="auto"/>
            <w:noWrap/>
            <w:vAlign w:val="center"/>
            <w:hideMark/>
          </w:tcPr>
          <w:p w14:paraId="519B477A" w14:textId="77777777" w:rsidR="0074711A" w:rsidRPr="008E63BB" w:rsidRDefault="0074711A" w:rsidP="0065184D">
            <w:pPr>
              <w:jc w:val="right"/>
              <w:rPr>
                <w:rFonts w:eastAsia="Times New Roman"/>
                <w:sz w:val="20"/>
                <w:szCs w:val="20"/>
              </w:rPr>
            </w:pPr>
            <w:r w:rsidRPr="008E63BB">
              <w:rPr>
                <w:rFonts w:eastAsia="Times New Roman"/>
                <w:sz w:val="20"/>
                <w:szCs w:val="20"/>
              </w:rPr>
              <w:t>11.978</w:t>
            </w:r>
          </w:p>
        </w:tc>
        <w:tc>
          <w:tcPr>
            <w:tcW w:w="866" w:type="dxa"/>
            <w:tcBorders>
              <w:top w:val="nil"/>
              <w:left w:val="nil"/>
              <w:bottom w:val="single" w:sz="4" w:space="0" w:color="auto"/>
              <w:right w:val="single" w:sz="4" w:space="0" w:color="auto"/>
            </w:tcBorders>
            <w:shd w:val="clear" w:color="auto" w:fill="auto"/>
            <w:noWrap/>
            <w:vAlign w:val="center"/>
            <w:hideMark/>
          </w:tcPr>
          <w:p w14:paraId="519B477B" w14:textId="77777777" w:rsidR="0074711A" w:rsidRPr="008E63BB" w:rsidRDefault="0074711A" w:rsidP="0065184D">
            <w:pPr>
              <w:jc w:val="right"/>
              <w:rPr>
                <w:rFonts w:eastAsia="Times New Roman"/>
                <w:sz w:val="20"/>
                <w:szCs w:val="20"/>
              </w:rPr>
            </w:pPr>
            <w:r w:rsidRPr="008E63BB">
              <w:rPr>
                <w:rFonts w:eastAsia="Times New Roman"/>
                <w:sz w:val="20"/>
                <w:szCs w:val="20"/>
              </w:rPr>
              <w:t>12.069</w:t>
            </w:r>
          </w:p>
        </w:tc>
        <w:tc>
          <w:tcPr>
            <w:tcW w:w="866" w:type="dxa"/>
            <w:tcBorders>
              <w:top w:val="nil"/>
              <w:left w:val="nil"/>
              <w:bottom w:val="single" w:sz="4" w:space="0" w:color="auto"/>
              <w:right w:val="single" w:sz="4" w:space="0" w:color="auto"/>
            </w:tcBorders>
            <w:shd w:val="clear" w:color="auto" w:fill="auto"/>
            <w:noWrap/>
            <w:vAlign w:val="center"/>
            <w:hideMark/>
          </w:tcPr>
          <w:p w14:paraId="519B477C" w14:textId="77777777" w:rsidR="0074711A" w:rsidRPr="008E63BB" w:rsidRDefault="0074711A" w:rsidP="0065184D">
            <w:pPr>
              <w:jc w:val="right"/>
              <w:rPr>
                <w:rFonts w:eastAsia="Times New Roman"/>
                <w:sz w:val="20"/>
                <w:szCs w:val="20"/>
              </w:rPr>
            </w:pPr>
            <w:r w:rsidRPr="008E63BB">
              <w:rPr>
                <w:rFonts w:eastAsia="Times New Roman"/>
                <w:sz w:val="20"/>
                <w:szCs w:val="20"/>
              </w:rPr>
              <w:t>12.120</w:t>
            </w:r>
          </w:p>
        </w:tc>
        <w:tc>
          <w:tcPr>
            <w:tcW w:w="866" w:type="dxa"/>
            <w:tcBorders>
              <w:top w:val="nil"/>
              <w:left w:val="nil"/>
              <w:bottom w:val="single" w:sz="4" w:space="0" w:color="auto"/>
              <w:right w:val="single" w:sz="4" w:space="0" w:color="auto"/>
            </w:tcBorders>
            <w:shd w:val="clear" w:color="auto" w:fill="auto"/>
            <w:noWrap/>
            <w:vAlign w:val="center"/>
            <w:hideMark/>
          </w:tcPr>
          <w:p w14:paraId="519B477D" w14:textId="77777777" w:rsidR="0074711A" w:rsidRPr="008E63BB" w:rsidRDefault="0074711A" w:rsidP="0065184D">
            <w:pPr>
              <w:jc w:val="right"/>
              <w:rPr>
                <w:rFonts w:eastAsia="Times New Roman"/>
                <w:sz w:val="20"/>
                <w:szCs w:val="20"/>
              </w:rPr>
            </w:pPr>
            <w:r w:rsidRPr="008E63BB">
              <w:rPr>
                <w:rFonts w:eastAsia="Times New Roman"/>
                <w:sz w:val="20"/>
                <w:szCs w:val="20"/>
              </w:rPr>
              <w:t>12.225</w:t>
            </w:r>
          </w:p>
        </w:tc>
        <w:tc>
          <w:tcPr>
            <w:tcW w:w="866" w:type="dxa"/>
            <w:tcBorders>
              <w:top w:val="nil"/>
              <w:left w:val="nil"/>
              <w:bottom w:val="single" w:sz="4" w:space="0" w:color="auto"/>
              <w:right w:val="single" w:sz="4" w:space="0" w:color="auto"/>
            </w:tcBorders>
            <w:shd w:val="clear" w:color="auto" w:fill="auto"/>
            <w:noWrap/>
            <w:vAlign w:val="center"/>
            <w:hideMark/>
          </w:tcPr>
          <w:p w14:paraId="519B477E" w14:textId="77777777" w:rsidR="0074711A" w:rsidRPr="008E63BB" w:rsidRDefault="0074711A" w:rsidP="0065184D">
            <w:pPr>
              <w:jc w:val="right"/>
              <w:rPr>
                <w:rFonts w:eastAsia="Times New Roman"/>
                <w:sz w:val="20"/>
                <w:szCs w:val="20"/>
              </w:rPr>
            </w:pPr>
            <w:r w:rsidRPr="008E63BB">
              <w:rPr>
                <w:rFonts w:eastAsia="Times New Roman"/>
                <w:sz w:val="20"/>
                <w:szCs w:val="20"/>
              </w:rPr>
              <w:t>12.302</w:t>
            </w:r>
          </w:p>
        </w:tc>
        <w:tc>
          <w:tcPr>
            <w:tcW w:w="866" w:type="dxa"/>
            <w:tcBorders>
              <w:top w:val="nil"/>
              <w:left w:val="nil"/>
              <w:bottom w:val="single" w:sz="4" w:space="0" w:color="auto"/>
              <w:right w:val="single" w:sz="4" w:space="0" w:color="auto"/>
            </w:tcBorders>
            <w:shd w:val="clear" w:color="auto" w:fill="auto"/>
            <w:noWrap/>
            <w:vAlign w:val="center"/>
            <w:hideMark/>
          </w:tcPr>
          <w:p w14:paraId="519B477F" w14:textId="77777777" w:rsidR="0074711A" w:rsidRPr="008E63BB" w:rsidRDefault="0074711A" w:rsidP="0065184D">
            <w:pPr>
              <w:jc w:val="right"/>
              <w:rPr>
                <w:rFonts w:eastAsia="Times New Roman"/>
                <w:sz w:val="20"/>
                <w:szCs w:val="20"/>
              </w:rPr>
            </w:pPr>
            <w:r w:rsidRPr="008E63BB">
              <w:rPr>
                <w:rFonts w:eastAsia="Times New Roman"/>
                <w:sz w:val="20"/>
                <w:szCs w:val="20"/>
              </w:rPr>
              <w:t>12.377</w:t>
            </w:r>
          </w:p>
        </w:tc>
        <w:tc>
          <w:tcPr>
            <w:tcW w:w="994" w:type="dxa"/>
            <w:tcBorders>
              <w:top w:val="nil"/>
              <w:left w:val="nil"/>
              <w:bottom w:val="single" w:sz="4" w:space="0" w:color="auto"/>
              <w:right w:val="single" w:sz="4" w:space="0" w:color="auto"/>
            </w:tcBorders>
            <w:shd w:val="clear" w:color="auto" w:fill="auto"/>
            <w:noWrap/>
            <w:vAlign w:val="center"/>
            <w:hideMark/>
          </w:tcPr>
          <w:p w14:paraId="519B4780" w14:textId="77777777" w:rsidR="0074711A" w:rsidRPr="008E63BB" w:rsidRDefault="0074711A" w:rsidP="0065184D">
            <w:pPr>
              <w:jc w:val="right"/>
              <w:rPr>
                <w:rFonts w:eastAsia="Times New Roman"/>
                <w:sz w:val="20"/>
                <w:szCs w:val="20"/>
              </w:rPr>
            </w:pPr>
            <w:r w:rsidRPr="008E63BB">
              <w:rPr>
                <w:rFonts w:eastAsia="Times New Roman"/>
                <w:sz w:val="20"/>
                <w:szCs w:val="20"/>
              </w:rPr>
              <w:t>15.667</w:t>
            </w:r>
          </w:p>
        </w:tc>
      </w:tr>
      <w:tr w:rsidR="008D5BFE" w:rsidRPr="008E63BB" w14:paraId="519B479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82" w14:textId="77777777" w:rsidR="0074711A" w:rsidRPr="008E63BB" w:rsidRDefault="0074711A" w:rsidP="0065184D">
            <w:pPr>
              <w:jc w:val="right"/>
              <w:rPr>
                <w:rFonts w:eastAsia="Times New Roman"/>
                <w:sz w:val="20"/>
                <w:szCs w:val="20"/>
              </w:rPr>
            </w:pPr>
            <w:r w:rsidRPr="008E63BB">
              <w:rPr>
                <w:rFonts w:eastAsia="Times New Roman"/>
                <w:sz w:val="20"/>
                <w:szCs w:val="20"/>
              </w:rPr>
              <w:t>15</w:t>
            </w:r>
          </w:p>
        </w:tc>
        <w:tc>
          <w:tcPr>
            <w:tcW w:w="2684" w:type="dxa"/>
            <w:tcBorders>
              <w:top w:val="nil"/>
              <w:left w:val="nil"/>
              <w:bottom w:val="single" w:sz="4" w:space="0" w:color="auto"/>
              <w:right w:val="single" w:sz="4" w:space="0" w:color="auto"/>
            </w:tcBorders>
            <w:shd w:val="clear" w:color="auto" w:fill="auto"/>
            <w:vAlign w:val="center"/>
            <w:hideMark/>
          </w:tcPr>
          <w:p w14:paraId="519B4783" w14:textId="77777777" w:rsidR="0074711A" w:rsidRPr="008E63BB" w:rsidRDefault="0074711A" w:rsidP="0065184D">
            <w:pPr>
              <w:jc w:val="left"/>
              <w:rPr>
                <w:rFonts w:eastAsia="Times New Roman"/>
                <w:sz w:val="20"/>
                <w:szCs w:val="20"/>
              </w:rPr>
            </w:pPr>
            <w:r w:rsidRPr="008E63BB">
              <w:rPr>
                <w:rFonts w:eastAsia="Times New Roman"/>
                <w:sz w:val="20"/>
                <w:szCs w:val="20"/>
              </w:rPr>
              <w:t>P. Văn Miếu</w:t>
            </w:r>
          </w:p>
        </w:tc>
        <w:tc>
          <w:tcPr>
            <w:tcW w:w="794" w:type="dxa"/>
            <w:tcBorders>
              <w:top w:val="nil"/>
              <w:left w:val="nil"/>
              <w:bottom w:val="single" w:sz="4" w:space="0" w:color="auto"/>
              <w:right w:val="single" w:sz="4" w:space="0" w:color="auto"/>
            </w:tcBorders>
            <w:shd w:val="clear" w:color="auto" w:fill="auto"/>
            <w:noWrap/>
            <w:vAlign w:val="center"/>
            <w:hideMark/>
          </w:tcPr>
          <w:p w14:paraId="519B4784" w14:textId="77777777" w:rsidR="0074711A" w:rsidRPr="008E63BB" w:rsidRDefault="0074711A" w:rsidP="0065184D">
            <w:pPr>
              <w:jc w:val="right"/>
              <w:rPr>
                <w:rFonts w:eastAsia="Times New Roman"/>
                <w:sz w:val="20"/>
                <w:szCs w:val="20"/>
              </w:rPr>
            </w:pPr>
            <w:r w:rsidRPr="008E63BB">
              <w:rPr>
                <w:rFonts w:eastAsia="Times New Roman"/>
                <w:sz w:val="20"/>
                <w:szCs w:val="20"/>
              </w:rPr>
              <w:t>0,43</w:t>
            </w:r>
          </w:p>
        </w:tc>
        <w:tc>
          <w:tcPr>
            <w:tcW w:w="866" w:type="dxa"/>
            <w:tcBorders>
              <w:top w:val="nil"/>
              <w:left w:val="nil"/>
              <w:bottom w:val="single" w:sz="4" w:space="0" w:color="auto"/>
              <w:right w:val="nil"/>
            </w:tcBorders>
            <w:shd w:val="clear" w:color="auto" w:fill="auto"/>
            <w:vAlign w:val="center"/>
            <w:hideMark/>
          </w:tcPr>
          <w:p w14:paraId="519B4785" w14:textId="77777777" w:rsidR="0074711A" w:rsidRPr="008E63BB" w:rsidRDefault="0074711A" w:rsidP="0065184D">
            <w:pPr>
              <w:jc w:val="right"/>
              <w:rPr>
                <w:rFonts w:eastAsia="Times New Roman"/>
                <w:sz w:val="20"/>
                <w:szCs w:val="20"/>
              </w:rPr>
            </w:pPr>
            <w:r w:rsidRPr="008E63BB">
              <w:rPr>
                <w:rFonts w:eastAsia="Times New Roman"/>
                <w:sz w:val="20"/>
                <w:szCs w:val="20"/>
              </w:rPr>
              <w:t>12.637</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86" w14:textId="77777777" w:rsidR="0074711A" w:rsidRPr="008E63BB" w:rsidRDefault="0074711A" w:rsidP="0065184D">
            <w:pPr>
              <w:jc w:val="right"/>
              <w:rPr>
                <w:rFonts w:eastAsia="Times New Roman"/>
                <w:sz w:val="20"/>
                <w:szCs w:val="20"/>
              </w:rPr>
            </w:pPr>
            <w:r w:rsidRPr="008E63BB">
              <w:rPr>
                <w:rFonts w:eastAsia="Times New Roman"/>
                <w:sz w:val="20"/>
                <w:szCs w:val="20"/>
              </w:rPr>
              <w:t>10.966</w:t>
            </w:r>
          </w:p>
        </w:tc>
        <w:tc>
          <w:tcPr>
            <w:tcW w:w="866" w:type="dxa"/>
            <w:tcBorders>
              <w:top w:val="nil"/>
              <w:left w:val="nil"/>
              <w:bottom w:val="single" w:sz="4" w:space="0" w:color="auto"/>
              <w:right w:val="single" w:sz="4" w:space="0" w:color="auto"/>
            </w:tcBorders>
            <w:shd w:val="clear" w:color="auto" w:fill="auto"/>
            <w:noWrap/>
            <w:vAlign w:val="center"/>
            <w:hideMark/>
          </w:tcPr>
          <w:p w14:paraId="519B4787" w14:textId="77777777" w:rsidR="0074711A" w:rsidRPr="008E63BB" w:rsidRDefault="0074711A" w:rsidP="0065184D">
            <w:pPr>
              <w:jc w:val="right"/>
              <w:rPr>
                <w:rFonts w:eastAsia="Times New Roman"/>
                <w:sz w:val="20"/>
                <w:szCs w:val="20"/>
              </w:rPr>
            </w:pPr>
            <w:r w:rsidRPr="008E63BB">
              <w:rPr>
                <w:rFonts w:eastAsia="Times New Roman"/>
                <w:sz w:val="20"/>
                <w:szCs w:val="20"/>
              </w:rPr>
              <w:t>11.167</w:t>
            </w:r>
          </w:p>
        </w:tc>
        <w:tc>
          <w:tcPr>
            <w:tcW w:w="866" w:type="dxa"/>
            <w:tcBorders>
              <w:top w:val="nil"/>
              <w:left w:val="nil"/>
              <w:bottom w:val="single" w:sz="4" w:space="0" w:color="auto"/>
              <w:right w:val="single" w:sz="4" w:space="0" w:color="auto"/>
            </w:tcBorders>
            <w:shd w:val="clear" w:color="auto" w:fill="auto"/>
            <w:vAlign w:val="bottom"/>
            <w:hideMark/>
          </w:tcPr>
          <w:p w14:paraId="519B4788" w14:textId="77777777" w:rsidR="0074711A" w:rsidRPr="008E63BB" w:rsidRDefault="0074711A" w:rsidP="0065184D">
            <w:pPr>
              <w:jc w:val="right"/>
              <w:rPr>
                <w:rFonts w:eastAsia="Times New Roman"/>
                <w:sz w:val="20"/>
                <w:szCs w:val="20"/>
              </w:rPr>
            </w:pPr>
            <w:r w:rsidRPr="008E63BB">
              <w:rPr>
                <w:rFonts w:eastAsia="Times New Roman"/>
                <w:sz w:val="20"/>
                <w:szCs w:val="20"/>
              </w:rPr>
              <w:t>11.273</w:t>
            </w:r>
          </w:p>
        </w:tc>
        <w:tc>
          <w:tcPr>
            <w:tcW w:w="866" w:type="dxa"/>
            <w:tcBorders>
              <w:top w:val="nil"/>
              <w:left w:val="nil"/>
              <w:bottom w:val="single" w:sz="4" w:space="0" w:color="auto"/>
              <w:right w:val="single" w:sz="4" w:space="0" w:color="auto"/>
            </w:tcBorders>
            <w:shd w:val="clear" w:color="auto" w:fill="auto"/>
            <w:vAlign w:val="bottom"/>
            <w:hideMark/>
          </w:tcPr>
          <w:p w14:paraId="519B4789" w14:textId="77777777" w:rsidR="0074711A" w:rsidRPr="008E63BB" w:rsidRDefault="0074711A" w:rsidP="0065184D">
            <w:pPr>
              <w:jc w:val="right"/>
              <w:rPr>
                <w:rFonts w:eastAsia="Times New Roman"/>
                <w:sz w:val="20"/>
                <w:szCs w:val="20"/>
              </w:rPr>
            </w:pPr>
            <w:r w:rsidRPr="008E63BB">
              <w:rPr>
                <w:rFonts w:eastAsia="Times New Roman"/>
                <w:sz w:val="20"/>
                <w:szCs w:val="20"/>
              </w:rPr>
              <w:t>11.374</w:t>
            </w:r>
          </w:p>
        </w:tc>
        <w:tc>
          <w:tcPr>
            <w:tcW w:w="866" w:type="dxa"/>
            <w:tcBorders>
              <w:top w:val="nil"/>
              <w:left w:val="nil"/>
              <w:bottom w:val="single" w:sz="4" w:space="0" w:color="auto"/>
              <w:right w:val="single" w:sz="4" w:space="0" w:color="auto"/>
            </w:tcBorders>
            <w:shd w:val="clear" w:color="auto" w:fill="auto"/>
            <w:noWrap/>
            <w:vAlign w:val="center"/>
            <w:hideMark/>
          </w:tcPr>
          <w:p w14:paraId="519B478A" w14:textId="77777777" w:rsidR="0074711A" w:rsidRPr="008E63BB" w:rsidRDefault="0074711A" w:rsidP="0065184D">
            <w:pPr>
              <w:jc w:val="right"/>
              <w:rPr>
                <w:rFonts w:eastAsia="Times New Roman"/>
                <w:sz w:val="20"/>
                <w:szCs w:val="20"/>
              </w:rPr>
            </w:pPr>
            <w:r w:rsidRPr="008E63BB">
              <w:rPr>
                <w:rFonts w:eastAsia="Times New Roman"/>
                <w:sz w:val="20"/>
                <w:szCs w:val="20"/>
              </w:rPr>
              <w:t>11.498</w:t>
            </w:r>
          </w:p>
        </w:tc>
        <w:tc>
          <w:tcPr>
            <w:tcW w:w="866" w:type="dxa"/>
            <w:tcBorders>
              <w:top w:val="nil"/>
              <w:left w:val="nil"/>
              <w:bottom w:val="single" w:sz="4" w:space="0" w:color="auto"/>
              <w:right w:val="single" w:sz="4" w:space="0" w:color="auto"/>
            </w:tcBorders>
            <w:shd w:val="clear" w:color="auto" w:fill="auto"/>
            <w:noWrap/>
            <w:vAlign w:val="center"/>
            <w:hideMark/>
          </w:tcPr>
          <w:p w14:paraId="519B478B" w14:textId="77777777" w:rsidR="0074711A" w:rsidRPr="008E63BB" w:rsidRDefault="0074711A" w:rsidP="0065184D">
            <w:pPr>
              <w:jc w:val="right"/>
              <w:rPr>
                <w:rFonts w:eastAsia="Times New Roman"/>
                <w:sz w:val="20"/>
                <w:szCs w:val="20"/>
              </w:rPr>
            </w:pPr>
            <w:r w:rsidRPr="008E63BB">
              <w:rPr>
                <w:rFonts w:eastAsia="Times New Roman"/>
                <w:sz w:val="20"/>
                <w:szCs w:val="20"/>
              </w:rPr>
              <w:t>11.566</w:t>
            </w:r>
          </w:p>
        </w:tc>
        <w:tc>
          <w:tcPr>
            <w:tcW w:w="866" w:type="dxa"/>
            <w:tcBorders>
              <w:top w:val="nil"/>
              <w:left w:val="nil"/>
              <w:bottom w:val="single" w:sz="4" w:space="0" w:color="auto"/>
              <w:right w:val="single" w:sz="4" w:space="0" w:color="auto"/>
            </w:tcBorders>
            <w:shd w:val="clear" w:color="auto" w:fill="auto"/>
            <w:noWrap/>
            <w:vAlign w:val="center"/>
            <w:hideMark/>
          </w:tcPr>
          <w:p w14:paraId="519B478C" w14:textId="77777777" w:rsidR="0074711A" w:rsidRPr="008E63BB" w:rsidRDefault="0074711A" w:rsidP="0065184D">
            <w:pPr>
              <w:jc w:val="right"/>
              <w:rPr>
                <w:rFonts w:eastAsia="Times New Roman"/>
                <w:sz w:val="20"/>
                <w:szCs w:val="20"/>
              </w:rPr>
            </w:pPr>
            <w:r w:rsidRPr="008E63BB">
              <w:rPr>
                <w:rFonts w:eastAsia="Times New Roman"/>
                <w:sz w:val="20"/>
                <w:szCs w:val="20"/>
              </w:rPr>
              <w:t>11.581</w:t>
            </w:r>
          </w:p>
        </w:tc>
        <w:tc>
          <w:tcPr>
            <w:tcW w:w="866" w:type="dxa"/>
            <w:tcBorders>
              <w:top w:val="nil"/>
              <w:left w:val="nil"/>
              <w:bottom w:val="single" w:sz="4" w:space="0" w:color="auto"/>
              <w:right w:val="single" w:sz="4" w:space="0" w:color="auto"/>
            </w:tcBorders>
            <w:shd w:val="clear" w:color="auto" w:fill="auto"/>
            <w:noWrap/>
            <w:vAlign w:val="center"/>
            <w:hideMark/>
          </w:tcPr>
          <w:p w14:paraId="519B478D" w14:textId="77777777" w:rsidR="0074711A" w:rsidRPr="008E63BB" w:rsidRDefault="0074711A" w:rsidP="0065184D">
            <w:pPr>
              <w:jc w:val="right"/>
              <w:rPr>
                <w:rFonts w:eastAsia="Times New Roman"/>
                <w:sz w:val="20"/>
                <w:szCs w:val="20"/>
              </w:rPr>
            </w:pPr>
            <w:r w:rsidRPr="008E63BB">
              <w:rPr>
                <w:rFonts w:eastAsia="Times New Roman"/>
                <w:sz w:val="20"/>
                <w:szCs w:val="20"/>
              </w:rPr>
              <w:t>11.616</w:t>
            </w:r>
          </w:p>
        </w:tc>
        <w:tc>
          <w:tcPr>
            <w:tcW w:w="866" w:type="dxa"/>
            <w:tcBorders>
              <w:top w:val="nil"/>
              <w:left w:val="nil"/>
              <w:bottom w:val="single" w:sz="4" w:space="0" w:color="auto"/>
              <w:right w:val="single" w:sz="4" w:space="0" w:color="auto"/>
            </w:tcBorders>
            <w:shd w:val="clear" w:color="auto" w:fill="auto"/>
            <w:noWrap/>
            <w:vAlign w:val="center"/>
            <w:hideMark/>
          </w:tcPr>
          <w:p w14:paraId="519B478E" w14:textId="77777777" w:rsidR="0074711A" w:rsidRPr="008E63BB" w:rsidRDefault="0074711A" w:rsidP="0065184D">
            <w:pPr>
              <w:jc w:val="right"/>
              <w:rPr>
                <w:rFonts w:eastAsia="Times New Roman"/>
                <w:sz w:val="20"/>
                <w:szCs w:val="20"/>
              </w:rPr>
            </w:pPr>
            <w:r w:rsidRPr="008E63BB">
              <w:rPr>
                <w:rFonts w:eastAsia="Times New Roman"/>
                <w:sz w:val="20"/>
                <w:szCs w:val="20"/>
              </w:rPr>
              <w:t>12.322</w:t>
            </w:r>
          </w:p>
        </w:tc>
        <w:tc>
          <w:tcPr>
            <w:tcW w:w="866" w:type="dxa"/>
            <w:tcBorders>
              <w:top w:val="nil"/>
              <w:left w:val="nil"/>
              <w:bottom w:val="single" w:sz="4" w:space="0" w:color="auto"/>
              <w:right w:val="single" w:sz="4" w:space="0" w:color="auto"/>
            </w:tcBorders>
            <w:shd w:val="clear" w:color="auto" w:fill="auto"/>
            <w:noWrap/>
            <w:vAlign w:val="center"/>
            <w:hideMark/>
          </w:tcPr>
          <w:p w14:paraId="519B478F" w14:textId="77777777" w:rsidR="0074711A" w:rsidRPr="008E63BB" w:rsidRDefault="0074711A" w:rsidP="0065184D">
            <w:pPr>
              <w:jc w:val="right"/>
              <w:rPr>
                <w:rFonts w:eastAsia="Times New Roman"/>
                <w:sz w:val="20"/>
                <w:szCs w:val="20"/>
              </w:rPr>
            </w:pPr>
            <w:r w:rsidRPr="008E63BB">
              <w:rPr>
                <w:rFonts w:eastAsia="Times New Roman"/>
                <w:sz w:val="20"/>
                <w:szCs w:val="20"/>
              </w:rPr>
              <w:t>12.389</w:t>
            </w:r>
          </w:p>
        </w:tc>
        <w:tc>
          <w:tcPr>
            <w:tcW w:w="994" w:type="dxa"/>
            <w:tcBorders>
              <w:top w:val="nil"/>
              <w:left w:val="nil"/>
              <w:bottom w:val="single" w:sz="4" w:space="0" w:color="auto"/>
              <w:right w:val="single" w:sz="4" w:space="0" w:color="auto"/>
            </w:tcBorders>
            <w:shd w:val="clear" w:color="auto" w:fill="auto"/>
            <w:noWrap/>
            <w:vAlign w:val="center"/>
            <w:hideMark/>
          </w:tcPr>
          <w:p w14:paraId="519B4790" w14:textId="77777777" w:rsidR="0074711A" w:rsidRPr="008E63BB" w:rsidRDefault="0074711A" w:rsidP="0065184D">
            <w:pPr>
              <w:jc w:val="right"/>
              <w:rPr>
                <w:rFonts w:eastAsia="Times New Roman"/>
                <w:sz w:val="20"/>
                <w:szCs w:val="20"/>
              </w:rPr>
            </w:pPr>
            <w:r w:rsidRPr="008E63BB">
              <w:rPr>
                <w:rFonts w:eastAsia="Times New Roman"/>
                <w:sz w:val="20"/>
                <w:szCs w:val="20"/>
              </w:rPr>
              <w:t>28.812</w:t>
            </w:r>
          </w:p>
        </w:tc>
      </w:tr>
      <w:tr w:rsidR="008D5BFE" w:rsidRPr="008E63BB" w14:paraId="519B47A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92" w14:textId="77777777" w:rsidR="0074711A" w:rsidRPr="008E63BB" w:rsidRDefault="0074711A" w:rsidP="0065184D">
            <w:pPr>
              <w:jc w:val="right"/>
              <w:rPr>
                <w:rFonts w:eastAsia="Times New Roman"/>
                <w:sz w:val="20"/>
                <w:szCs w:val="20"/>
              </w:rPr>
            </w:pPr>
            <w:r w:rsidRPr="008E63BB">
              <w:rPr>
                <w:rFonts w:eastAsia="Times New Roman"/>
                <w:sz w:val="20"/>
                <w:szCs w:val="20"/>
              </w:rPr>
              <w:t>16</w:t>
            </w:r>
          </w:p>
        </w:tc>
        <w:tc>
          <w:tcPr>
            <w:tcW w:w="2684" w:type="dxa"/>
            <w:tcBorders>
              <w:top w:val="nil"/>
              <w:left w:val="nil"/>
              <w:bottom w:val="single" w:sz="4" w:space="0" w:color="auto"/>
              <w:right w:val="single" w:sz="4" w:space="0" w:color="auto"/>
            </w:tcBorders>
            <w:shd w:val="clear" w:color="auto" w:fill="auto"/>
            <w:vAlign w:val="center"/>
            <w:hideMark/>
          </w:tcPr>
          <w:p w14:paraId="519B4793" w14:textId="77777777" w:rsidR="0074711A" w:rsidRPr="008E63BB" w:rsidRDefault="0074711A" w:rsidP="0065184D">
            <w:pPr>
              <w:jc w:val="left"/>
              <w:rPr>
                <w:rFonts w:eastAsia="Times New Roman"/>
                <w:sz w:val="20"/>
                <w:szCs w:val="20"/>
              </w:rPr>
            </w:pPr>
            <w:r w:rsidRPr="008E63BB">
              <w:rPr>
                <w:rFonts w:eastAsia="Times New Roman"/>
                <w:sz w:val="20"/>
                <w:szCs w:val="20"/>
              </w:rPr>
              <w:t>P.Trần Quang Khải</w:t>
            </w:r>
          </w:p>
        </w:tc>
        <w:tc>
          <w:tcPr>
            <w:tcW w:w="794" w:type="dxa"/>
            <w:tcBorders>
              <w:top w:val="nil"/>
              <w:left w:val="nil"/>
              <w:bottom w:val="single" w:sz="4" w:space="0" w:color="auto"/>
              <w:right w:val="single" w:sz="4" w:space="0" w:color="auto"/>
            </w:tcBorders>
            <w:shd w:val="clear" w:color="auto" w:fill="auto"/>
            <w:noWrap/>
            <w:vAlign w:val="center"/>
            <w:hideMark/>
          </w:tcPr>
          <w:p w14:paraId="519B4794" w14:textId="77777777" w:rsidR="0074711A" w:rsidRPr="008E63BB" w:rsidRDefault="0074711A" w:rsidP="0065184D">
            <w:pPr>
              <w:jc w:val="right"/>
              <w:rPr>
                <w:rFonts w:eastAsia="Times New Roman"/>
                <w:sz w:val="20"/>
                <w:szCs w:val="20"/>
              </w:rPr>
            </w:pPr>
            <w:r w:rsidRPr="008E63BB">
              <w:rPr>
                <w:rFonts w:eastAsia="Times New Roman"/>
                <w:sz w:val="20"/>
                <w:szCs w:val="20"/>
              </w:rPr>
              <w:t>0,91</w:t>
            </w:r>
          </w:p>
        </w:tc>
        <w:tc>
          <w:tcPr>
            <w:tcW w:w="866" w:type="dxa"/>
            <w:tcBorders>
              <w:top w:val="nil"/>
              <w:left w:val="nil"/>
              <w:bottom w:val="single" w:sz="4" w:space="0" w:color="auto"/>
              <w:right w:val="nil"/>
            </w:tcBorders>
            <w:shd w:val="clear" w:color="auto" w:fill="auto"/>
            <w:vAlign w:val="center"/>
            <w:hideMark/>
          </w:tcPr>
          <w:p w14:paraId="519B4795" w14:textId="77777777" w:rsidR="0074711A" w:rsidRPr="008E63BB" w:rsidRDefault="0074711A" w:rsidP="0065184D">
            <w:pPr>
              <w:jc w:val="right"/>
              <w:rPr>
                <w:rFonts w:eastAsia="Times New Roman"/>
                <w:sz w:val="20"/>
                <w:szCs w:val="20"/>
              </w:rPr>
            </w:pPr>
            <w:r w:rsidRPr="008E63BB">
              <w:rPr>
                <w:rFonts w:eastAsia="Times New Roman"/>
                <w:sz w:val="20"/>
                <w:szCs w:val="20"/>
              </w:rPr>
              <w:t>8.002</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96" w14:textId="77777777" w:rsidR="0074711A" w:rsidRPr="008E63BB" w:rsidRDefault="0074711A" w:rsidP="0065184D">
            <w:pPr>
              <w:jc w:val="right"/>
              <w:rPr>
                <w:rFonts w:eastAsia="Times New Roman"/>
                <w:sz w:val="20"/>
                <w:szCs w:val="20"/>
              </w:rPr>
            </w:pPr>
            <w:r w:rsidRPr="008E63BB">
              <w:rPr>
                <w:rFonts w:eastAsia="Times New Roman"/>
                <w:sz w:val="20"/>
                <w:szCs w:val="20"/>
              </w:rPr>
              <w:t>8.401</w:t>
            </w:r>
          </w:p>
        </w:tc>
        <w:tc>
          <w:tcPr>
            <w:tcW w:w="866" w:type="dxa"/>
            <w:tcBorders>
              <w:top w:val="nil"/>
              <w:left w:val="nil"/>
              <w:bottom w:val="single" w:sz="4" w:space="0" w:color="auto"/>
              <w:right w:val="single" w:sz="4" w:space="0" w:color="auto"/>
            </w:tcBorders>
            <w:shd w:val="clear" w:color="auto" w:fill="auto"/>
            <w:noWrap/>
            <w:vAlign w:val="center"/>
            <w:hideMark/>
          </w:tcPr>
          <w:p w14:paraId="519B4797" w14:textId="77777777" w:rsidR="0074711A" w:rsidRPr="008E63BB" w:rsidRDefault="0074711A" w:rsidP="0065184D">
            <w:pPr>
              <w:jc w:val="right"/>
              <w:rPr>
                <w:rFonts w:eastAsia="Times New Roman"/>
                <w:sz w:val="20"/>
                <w:szCs w:val="20"/>
              </w:rPr>
            </w:pPr>
            <w:r w:rsidRPr="008E63BB">
              <w:rPr>
                <w:rFonts w:eastAsia="Times New Roman"/>
                <w:sz w:val="20"/>
                <w:szCs w:val="20"/>
              </w:rPr>
              <w:t>8.413</w:t>
            </w:r>
          </w:p>
        </w:tc>
        <w:tc>
          <w:tcPr>
            <w:tcW w:w="866" w:type="dxa"/>
            <w:tcBorders>
              <w:top w:val="nil"/>
              <w:left w:val="nil"/>
              <w:bottom w:val="single" w:sz="4" w:space="0" w:color="auto"/>
              <w:right w:val="single" w:sz="4" w:space="0" w:color="auto"/>
            </w:tcBorders>
            <w:shd w:val="clear" w:color="auto" w:fill="auto"/>
            <w:vAlign w:val="bottom"/>
            <w:hideMark/>
          </w:tcPr>
          <w:p w14:paraId="519B4798" w14:textId="77777777" w:rsidR="0074711A" w:rsidRPr="008E63BB" w:rsidRDefault="0074711A" w:rsidP="0065184D">
            <w:pPr>
              <w:jc w:val="right"/>
              <w:rPr>
                <w:rFonts w:eastAsia="Times New Roman"/>
                <w:sz w:val="20"/>
                <w:szCs w:val="20"/>
              </w:rPr>
            </w:pPr>
            <w:r w:rsidRPr="008E63BB">
              <w:rPr>
                <w:rFonts w:eastAsia="Times New Roman"/>
                <w:sz w:val="20"/>
                <w:szCs w:val="20"/>
              </w:rPr>
              <w:t>8.488</w:t>
            </w:r>
          </w:p>
        </w:tc>
        <w:tc>
          <w:tcPr>
            <w:tcW w:w="866" w:type="dxa"/>
            <w:tcBorders>
              <w:top w:val="nil"/>
              <w:left w:val="nil"/>
              <w:bottom w:val="single" w:sz="4" w:space="0" w:color="auto"/>
              <w:right w:val="single" w:sz="4" w:space="0" w:color="auto"/>
            </w:tcBorders>
            <w:shd w:val="clear" w:color="auto" w:fill="auto"/>
            <w:vAlign w:val="bottom"/>
            <w:hideMark/>
          </w:tcPr>
          <w:p w14:paraId="519B4799" w14:textId="77777777" w:rsidR="0074711A" w:rsidRPr="008E63BB" w:rsidRDefault="0074711A" w:rsidP="0065184D">
            <w:pPr>
              <w:jc w:val="right"/>
              <w:rPr>
                <w:rFonts w:eastAsia="Times New Roman"/>
                <w:sz w:val="20"/>
                <w:szCs w:val="20"/>
              </w:rPr>
            </w:pPr>
            <w:r w:rsidRPr="008E63BB">
              <w:rPr>
                <w:rFonts w:eastAsia="Times New Roman"/>
                <w:sz w:val="20"/>
                <w:szCs w:val="20"/>
              </w:rPr>
              <w:t>8.602</w:t>
            </w:r>
          </w:p>
        </w:tc>
        <w:tc>
          <w:tcPr>
            <w:tcW w:w="866" w:type="dxa"/>
            <w:tcBorders>
              <w:top w:val="nil"/>
              <w:left w:val="nil"/>
              <w:bottom w:val="single" w:sz="4" w:space="0" w:color="auto"/>
              <w:right w:val="single" w:sz="4" w:space="0" w:color="auto"/>
            </w:tcBorders>
            <w:shd w:val="clear" w:color="auto" w:fill="auto"/>
            <w:noWrap/>
            <w:vAlign w:val="center"/>
            <w:hideMark/>
          </w:tcPr>
          <w:p w14:paraId="519B479A" w14:textId="77777777" w:rsidR="0074711A" w:rsidRPr="008E63BB" w:rsidRDefault="0074711A" w:rsidP="0065184D">
            <w:pPr>
              <w:jc w:val="right"/>
              <w:rPr>
                <w:rFonts w:eastAsia="Times New Roman"/>
                <w:sz w:val="20"/>
                <w:szCs w:val="20"/>
              </w:rPr>
            </w:pPr>
            <w:r w:rsidRPr="008E63BB">
              <w:rPr>
                <w:rFonts w:eastAsia="Times New Roman"/>
                <w:sz w:val="20"/>
                <w:szCs w:val="20"/>
              </w:rPr>
              <w:t>8.739</w:t>
            </w:r>
          </w:p>
        </w:tc>
        <w:tc>
          <w:tcPr>
            <w:tcW w:w="866" w:type="dxa"/>
            <w:tcBorders>
              <w:top w:val="nil"/>
              <w:left w:val="nil"/>
              <w:bottom w:val="single" w:sz="4" w:space="0" w:color="auto"/>
              <w:right w:val="single" w:sz="4" w:space="0" w:color="auto"/>
            </w:tcBorders>
            <w:shd w:val="clear" w:color="auto" w:fill="auto"/>
            <w:noWrap/>
            <w:vAlign w:val="center"/>
            <w:hideMark/>
          </w:tcPr>
          <w:p w14:paraId="519B479B" w14:textId="77777777" w:rsidR="0074711A" w:rsidRPr="008E63BB" w:rsidRDefault="0074711A" w:rsidP="0065184D">
            <w:pPr>
              <w:jc w:val="right"/>
              <w:rPr>
                <w:rFonts w:eastAsia="Times New Roman"/>
                <w:sz w:val="20"/>
                <w:szCs w:val="20"/>
              </w:rPr>
            </w:pPr>
            <w:r w:rsidRPr="008E63BB">
              <w:rPr>
                <w:rFonts w:eastAsia="Times New Roman"/>
                <w:sz w:val="20"/>
                <w:szCs w:val="20"/>
              </w:rPr>
              <w:t>8.851</w:t>
            </w:r>
          </w:p>
        </w:tc>
        <w:tc>
          <w:tcPr>
            <w:tcW w:w="866" w:type="dxa"/>
            <w:tcBorders>
              <w:top w:val="nil"/>
              <w:left w:val="nil"/>
              <w:bottom w:val="single" w:sz="4" w:space="0" w:color="auto"/>
              <w:right w:val="single" w:sz="4" w:space="0" w:color="auto"/>
            </w:tcBorders>
            <w:shd w:val="clear" w:color="auto" w:fill="auto"/>
            <w:noWrap/>
            <w:vAlign w:val="center"/>
            <w:hideMark/>
          </w:tcPr>
          <w:p w14:paraId="519B479C" w14:textId="77777777" w:rsidR="0074711A" w:rsidRPr="008E63BB" w:rsidRDefault="0074711A" w:rsidP="0065184D">
            <w:pPr>
              <w:jc w:val="right"/>
              <w:rPr>
                <w:rFonts w:eastAsia="Times New Roman"/>
                <w:sz w:val="20"/>
                <w:szCs w:val="20"/>
              </w:rPr>
            </w:pPr>
            <w:r w:rsidRPr="008E63BB">
              <w:rPr>
                <w:rFonts w:eastAsia="Times New Roman"/>
                <w:sz w:val="20"/>
                <w:szCs w:val="20"/>
              </w:rPr>
              <w:t>8.906</w:t>
            </w:r>
          </w:p>
        </w:tc>
        <w:tc>
          <w:tcPr>
            <w:tcW w:w="866" w:type="dxa"/>
            <w:tcBorders>
              <w:top w:val="nil"/>
              <w:left w:val="nil"/>
              <w:bottom w:val="single" w:sz="4" w:space="0" w:color="auto"/>
              <w:right w:val="single" w:sz="4" w:space="0" w:color="auto"/>
            </w:tcBorders>
            <w:shd w:val="clear" w:color="auto" w:fill="auto"/>
            <w:noWrap/>
            <w:vAlign w:val="center"/>
            <w:hideMark/>
          </w:tcPr>
          <w:p w14:paraId="519B479D" w14:textId="77777777" w:rsidR="0074711A" w:rsidRPr="008E63BB" w:rsidRDefault="0074711A" w:rsidP="0065184D">
            <w:pPr>
              <w:jc w:val="right"/>
              <w:rPr>
                <w:rFonts w:eastAsia="Times New Roman"/>
                <w:sz w:val="20"/>
                <w:szCs w:val="20"/>
              </w:rPr>
            </w:pPr>
            <w:r w:rsidRPr="008E63BB">
              <w:rPr>
                <w:rFonts w:eastAsia="Times New Roman"/>
                <w:sz w:val="20"/>
                <w:szCs w:val="20"/>
              </w:rPr>
              <w:t>8.958</w:t>
            </w:r>
          </w:p>
        </w:tc>
        <w:tc>
          <w:tcPr>
            <w:tcW w:w="866" w:type="dxa"/>
            <w:tcBorders>
              <w:top w:val="nil"/>
              <w:left w:val="nil"/>
              <w:bottom w:val="single" w:sz="4" w:space="0" w:color="auto"/>
              <w:right w:val="single" w:sz="4" w:space="0" w:color="auto"/>
            </w:tcBorders>
            <w:shd w:val="clear" w:color="auto" w:fill="auto"/>
            <w:noWrap/>
            <w:vAlign w:val="center"/>
            <w:hideMark/>
          </w:tcPr>
          <w:p w14:paraId="519B479E" w14:textId="77777777" w:rsidR="0074711A" w:rsidRPr="008E63BB" w:rsidRDefault="0074711A" w:rsidP="0065184D">
            <w:pPr>
              <w:jc w:val="right"/>
              <w:rPr>
                <w:rFonts w:eastAsia="Times New Roman"/>
                <w:sz w:val="20"/>
                <w:szCs w:val="20"/>
              </w:rPr>
            </w:pPr>
            <w:r w:rsidRPr="008E63BB">
              <w:rPr>
                <w:rFonts w:eastAsia="Times New Roman"/>
                <w:sz w:val="20"/>
                <w:szCs w:val="20"/>
              </w:rPr>
              <w:t>9.069</w:t>
            </w:r>
          </w:p>
        </w:tc>
        <w:tc>
          <w:tcPr>
            <w:tcW w:w="866" w:type="dxa"/>
            <w:tcBorders>
              <w:top w:val="nil"/>
              <w:left w:val="nil"/>
              <w:bottom w:val="single" w:sz="4" w:space="0" w:color="auto"/>
              <w:right w:val="single" w:sz="4" w:space="0" w:color="auto"/>
            </w:tcBorders>
            <w:shd w:val="clear" w:color="auto" w:fill="auto"/>
            <w:noWrap/>
            <w:vAlign w:val="center"/>
            <w:hideMark/>
          </w:tcPr>
          <w:p w14:paraId="519B479F" w14:textId="77777777" w:rsidR="0074711A" w:rsidRPr="008E63BB" w:rsidRDefault="0074711A" w:rsidP="0065184D">
            <w:pPr>
              <w:jc w:val="right"/>
              <w:rPr>
                <w:rFonts w:eastAsia="Times New Roman"/>
                <w:sz w:val="20"/>
                <w:szCs w:val="20"/>
              </w:rPr>
            </w:pPr>
            <w:r w:rsidRPr="008E63BB">
              <w:rPr>
                <w:rFonts w:eastAsia="Times New Roman"/>
                <w:sz w:val="20"/>
                <w:szCs w:val="20"/>
              </w:rPr>
              <w:t>9.174</w:t>
            </w:r>
          </w:p>
        </w:tc>
        <w:tc>
          <w:tcPr>
            <w:tcW w:w="994" w:type="dxa"/>
            <w:tcBorders>
              <w:top w:val="nil"/>
              <w:left w:val="nil"/>
              <w:bottom w:val="single" w:sz="4" w:space="0" w:color="auto"/>
              <w:right w:val="single" w:sz="4" w:space="0" w:color="auto"/>
            </w:tcBorders>
            <w:shd w:val="clear" w:color="auto" w:fill="auto"/>
            <w:noWrap/>
            <w:vAlign w:val="center"/>
            <w:hideMark/>
          </w:tcPr>
          <w:p w14:paraId="519B47A0" w14:textId="77777777" w:rsidR="0074711A" w:rsidRPr="008E63BB" w:rsidRDefault="0074711A" w:rsidP="0065184D">
            <w:pPr>
              <w:jc w:val="right"/>
              <w:rPr>
                <w:rFonts w:eastAsia="Times New Roman"/>
                <w:sz w:val="20"/>
                <w:szCs w:val="20"/>
              </w:rPr>
            </w:pPr>
            <w:r w:rsidRPr="008E63BB">
              <w:rPr>
                <w:rFonts w:eastAsia="Times New Roman"/>
                <w:sz w:val="20"/>
                <w:szCs w:val="20"/>
              </w:rPr>
              <w:t>10.081</w:t>
            </w:r>
          </w:p>
        </w:tc>
      </w:tr>
      <w:tr w:rsidR="008D5BFE" w:rsidRPr="008E63BB" w14:paraId="519B47B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A2" w14:textId="77777777" w:rsidR="0074711A" w:rsidRPr="008E63BB" w:rsidRDefault="0074711A" w:rsidP="0065184D">
            <w:pPr>
              <w:jc w:val="right"/>
              <w:rPr>
                <w:rFonts w:eastAsia="Times New Roman"/>
                <w:sz w:val="20"/>
                <w:szCs w:val="20"/>
              </w:rPr>
            </w:pPr>
            <w:r w:rsidRPr="008E63BB">
              <w:rPr>
                <w:rFonts w:eastAsia="Times New Roman"/>
                <w:sz w:val="20"/>
                <w:szCs w:val="20"/>
              </w:rPr>
              <w:t>17</w:t>
            </w:r>
          </w:p>
        </w:tc>
        <w:tc>
          <w:tcPr>
            <w:tcW w:w="2684" w:type="dxa"/>
            <w:tcBorders>
              <w:top w:val="nil"/>
              <w:left w:val="nil"/>
              <w:bottom w:val="single" w:sz="4" w:space="0" w:color="auto"/>
              <w:right w:val="single" w:sz="4" w:space="0" w:color="auto"/>
            </w:tcBorders>
            <w:shd w:val="clear" w:color="auto" w:fill="auto"/>
            <w:vAlign w:val="center"/>
            <w:hideMark/>
          </w:tcPr>
          <w:p w14:paraId="519B47A3" w14:textId="77777777" w:rsidR="0074711A" w:rsidRPr="008E63BB" w:rsidRDefault="0074711A" w:rsidP="0065184D">
            <w:pPr>
              <w:jc w:val="left"/>
              <w:rPr>
                <w:rFonts w:eastAsia="Times New Roman"/>
                <w:sz w:val="20"/>
                <w:szCs w:val="20"/>
              </w:rPr>
            </w:pPr>
            <w:r w:rsidRPr="008E63BB">
              <w:rPr>
                <w:rFonts w:eastAsia="Times New Roman"/>
                <w:sz w:val="20"/>
                <w:szCs w:val="20"/>
              </w:rPr>
              <w:t>P. Thống Nhất</w:t>
            </w:r>
          </w:p>
        </w:tc>
        <w:tc>
          <w:tcPr>
            <w:tcW w:w="794" w:type="dxa"/>
            <w:tcBorders>
              <w:top w:val="nil"/>
              <w:left w:val="nil"/>
              <w:bottom w:val="single" w:sz="4" w:space="0" w:color="auto"/>
              <w:right w:val="single" w:sz="4" w:space="0" w:color="auto"/>
            </w:tcBorders>
            <w:shd w:val="clear" w:color="auto" w:fill="auto"/>
            <w:noWrap/>
            <w:vAlign w:val="center"/>
            <w:hideMark/>
          </w:tcPr>
          <w:p w14:paraId="519B47A4" w14:textId="77777777" w:rsidR="0074711A" w:rsidRPr="008E63BB" w:rsidRDefault="0074711A" w:rsidP="0065184D">
            <w:pPr>
              <w:jc w:val="right"/>
              <w:rPr>
                <w:rFonts w:eastAsia="Times New Roman"/>
                <w:sz w:val="20"/>
                <w:szCs w:val="20"/>
              </w:rPr>
            </w:pPr>
            <w:r w:rsidRPr="008E63BB">
              <w:rPr>
                <w:rFonts w:eastAsia="Times New Roman"/>
                <w:sz w:val="20"/>
                <w:szCs w:val="20"/>
              </w:rPr>
              <w:t>0,68</w:t>
            </w:r>
          </w:p>
        </w:tc>
        <w:tc>
          <w:tcPr>
            <w:tcW w:w="866" w:type="dxa"/>
            <w:tcBorders>
              <w:top w:val="nil"/>
              <w:left w:val="nil"/>
              <w:bottom w:val="single" w:sz="4" w:space="0" w:color="auto"/>
              <w:right w:val="nil"/>
            </w:tcBorders>
            <w:shd w:val="clear" w:color="auto" w:fill="auto"/>
            <w:vAlign w:val="center"/>
            <w:hideMark/>
          </w:tcPr>
          <w:p w14:paraId="519B47A5" w14:textId="77777777" w:rsidR="0074711A" w:rsidRPr="008E63BB" w:rsidRDefault="0074711A" w:rsidP="0065184D">
            <w:pPr>
              <w:jc w:val="right"/>
              <w:rPr>
                <w:rFonts w:eastAsia="Times New Roman"/>
                <w:sz w:val="20"/>
                <w:szCs w:val="20"/>
              </w:rPr>
            </w:pPr>
            <w:r w:rsidRPr="008E63BB">
              <w:rPr>
                <w:rFonts w:eastAsia="Times New Roman"/>
                <w:sz w:val="20"/>
                <w:szCs w:val="20"/>
              </w:rPr>
              <w:t>7.742</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A6" w14:textId="77777777" w:rsidR="0074711A" w:rsidRPr="008E63BB" w:rsidRDefault="0074711A" w:rsidP="0065184D">
            <w:pPr>
              <w:jc w:val="right"/>
              <w:rPr>
                <w:rFonts w:eastAsia="Times New Roman"/>
                <w:sz w:val="20"/>
                <w:szCs w:val="20"/>
              </w:rPr>
            </w:pPr>
            <w:r w:rsidRPr="008E63BB">
              <w:rPr>
                <w:rFonts w:eastAsia="Times New Roman"/>
                <w:sz w:val="20"/>
                <w:szCs w:val="20"/>
              </w:rPr>
              <w:t>7.663</w:t>
            </w:r>
          </w:p>
        </w:tc>
        <w:tc>
          <w:tcPr>
            <w:tcW w:w="866" w:type="dxa"/>
            <w:tcBorders>
              <w:top w:val="nil"/>
              <w:left w:val="nil"/>
              <w:bottom w:val="single" w:sz="4" w:space="0" w:color="auto"/>
              <w:right w:val="single" w:sz="4" w:space="0" w:color="auto"/>
            </w:tcBorders>
            <w:shd w:val="clear" w:color="auto" w:fill="auto"/>
            <w:noWrap/>
            <w:vAlign w:val="center"/>
            <w:hideMark/>
          </w:tcPr>
          <w:p w14:paraId="519B47A7" w14:textId="77777777" w:rsidR="0074711A" w:rsidRPr="008E63BB" w:rsidRDefault="0074711A" w:rsidP="0065184D">
            <w:pPr>
              <w:jc w:val="right"/>
              <w:rPr>
                <w:rFonts w:eastAsia="Times New Roman"/>
                <w:sz w:val="20"/>
                <w:szCs w:val="20"/>
              </w:rPr>
            </w:pPr>
            <w:r w:rsidRPr="008E63BB">
              <w:rPr>
                <w:rFonts w:eastAsia="Times New Roman"/>
                <w:sz w:val="20"/>
                <w:szCs w:val="20"/>
              </w:rPr>
              <w:t>7.747</w:t>
            </w:r>
          </w:p>
        </w:tc>
        <w:tc>
          <w:tcPr>
            <w:tcW w:w="866" w:type="dxa"/>
            <w:tcBorders>
              <w:top w:val="nil"/>
              <w:left w:val="nil"/>
              <w:bottom w:val="single" w:sz="4" w:space="0" w:color="auto"/>
              <w:right w:val="single" w:sz="4" w:space="0" w:color="auto"/>
            </w:tcBorders>
            <w:shd w:val="clear" w:color="auto" w:fill="auto"/>
            <w:vAlign w:val="bottom"/>
            <w:hideMark/>
          </w:tcPr>
          <w:p w14:paraId="519B47A8" w14:textId="77777777" w:rsidR="0074711A" w:rsidRPr="008E63BB" w:rsidRDefault="0074711A" w:rsidP="0065184D">
            <w:pPr>
              <w:jc w:val="right"/>
              <w:rPr>
                <w:rFonts w:eastAsia="Times New Roman"/>
                <w:sz w:val="20"/>
                <w:szCs w:val="20"/>
              </w:rPr>
            </w:pPr>
            <w:r w:rsidRPr="008E63BB">
              <w:rPr>
                <w:rFonts w:eastAsia="Times New Roman"/>
                <w:sz w:val="20"/>
                <w:szCs w:val="20"/>
              </w:rPr>
              <w:t>7.827</w:t>
            </w:r>
          </w:p>
        </w:tc>
        <w:tc>
          <w:tcPr>
            <w:tcW w:w="866" w:type="dxa"/>
            <w:tcBorders>
              <w:top w:val="nil"/>
              <w:left w:val="nil"/>
              <w:bottom w:val="single" w:sz="4" w:space="0" w:color="auto"/>
              <w:right w:val="single" w:sz="4" w:space="0" w:color="auto"/>
            </w:tcBorders>
            <w:shd w:val="clear" w:color="auto" w:fill="auto"/>
            <w:vAlign w:val="bottom"/>
            <w:hideMark/>
          </w:tcPr>
          <w:p w14:paraId="519B47A9" w14:textId="77777777" w:rsidR="0074711A" w:rsidRPr="008E63BB" w:rsidRDefault="0074711A" w:rsidP="0065184D">
            <w:pPr>
              <w:jc w:val="right"/>
              <w:rPr>
                <w:rFonts w:eastAsia="Times New Roman"/>
                <w:sz w:val="20"/>
                <w:szCs w:val="20"/>
              </w:rPr>
            </w:pPr>
            <w:r w:rsidRPr="008E63BB">
              <w:rPr>
                <w:rFonts w:eastAsia="Times New Roman"/>
                <w:sz w:val="20"/>
                <w:szCs w:val="20"/>
              </w:rPr>
              <w:t>7.855</w:t>
            </w:r>
          </w:p>
        </w:tc>
        <w:tc>
          <w:tcPr>
            <w:tcW w:w="866" w:type="dxa"/>
            <w:tcBorders>
              <w:top w:val="nil"/>
              <w:left w:val="nil"/>
              <w:bottom w:val="single" w:sz="4" w:space="0" w:color="auto"/>
              <w:right w:val="single" w:sz="4" w:space="0" w:color="auto"/>
            </w:tcBorders>
            <w:shd w:val="clear" w:color="auto" w:fill="auto"/>
            <w:noWrap/>
            <w:vAlign w:val="center"/>
            <w:hideMark/>
          </w:tcPr>
          <w:p w14:paraId="519B47AA" w14:textId="77777777" w:rsidR="0074711A" w:rsidRPr="008E63BB" w:rsidRDefault="0074711A" w:rsidP="0065184D">
            <w:pPr>
              <w:jc w:val="right"/>
              <w:rPr>
                <w:rFonts w:eastAsia="Times New Roman"/>
                <w:sz w:val="20"/>
                <w:szCs w:val="20"/>
              </w:rPr>
            </w:pPr>
            <w:r w:rsidRPr="008E63BB">
              <w:rPr>
                <w:rFonts w:eastAsia="Times New Roman"/>
                <w:sz w:val="20"/>
                <w:szCs w:val="20"/>
              </w:rPr>
              <w:t>7.897</w:t>
            </w:r>
          </w:p>
        </w:tc>
        <w:tc>
          <w:tcPr>
            <w:tcW w:w="866" w:type="dxa"/>
            <w:tcBorders>
              <w:top w:val="nil"/>
              <w:left w:val="nil"/>
              <w:bottom w:val="single" w:sz="4" w:space="0" w:color="auto"/>
              <w:right w:val="single" w:sz="4" w:space="0" w:color="auto"/>
            </w:tcBorders>
            <w:shd w:val="clear" w:color="auto" w:fill="auto"/>
            <w:noWrap/>
            <w:vAlign w:val="center"/>
            <w:hideMark/>
          </w:tcPr>
          <w:p w14:paraId="519B47AB" w14:textId="77777777" w:rsidR="0074711A" w:rsidRPr="008E63BB" w:rsidRDefault="0074711A" w:rsidP="0065184D">
            <w:pPr>
              <w:jc w:val="right"/>
              <w:rPr>
                <w:rFonts w:eastAsia="Times New Roman"/>
                <w:sz w:val="20"/>
                <w:szCs w:val="20"/>
              </w:rPr>
            </w:pPr>
            <w:r w:rsidRPr="008E63BB">
              <w:rPr>
                <w:rFonts w:eastAsia="Times New Roman"/>
                <w:sz w:val="20"/>
                <w:szCs w:val="20"/>
              </w:rPr>
              <w:t>7.940</w:t>
            </w:r>
          </w:p>
        </w:tc>
        <w:tc>
          <w:tcPr>
            <w:tcW w:w="866" w:type="dxa"/>
            <w:tcBorders>
              <w:top w:val="nil"/>
              <w:left w:val="nil"/>
              <w:bottom w:val="single" w:sz="4" w:space="0" w:color="auto"/>
              <w:right w:val="single" w:sz="4" w:space="0" w:color="auto"/>
            </w:tcBorders>
            <w:shd w:val="clear" w:color="auto" w:fill="auto"/>
            <w:noWrap/>
            <w:vAlign w:val="center"/>
            <w:hideMark/>
          </w:tcPr>
          <w:p w14:paraId="519B47AC" w14:textId="77777777" w:rsidR="0074711A" w:rsidRPr="008E63BB" w:rsidRDefault="0074711A" w:rsidP="0065184D">
            <w:pPr>
              <w:jc w:val="right"/>
              <w:rPr>
                <w:rFonts w:eastAsia="Times New Roman"/>
                <w:sz w:val="20"/>
                <w:szCs w:val="20"/>
              </w:rPr>
            </w:pPr>
            <w:r w:rsidRPr="008E63BB">
              <w:rPr>
                <w:rFonts w:eastAsia="Times New Roman"/>
                <w:sz w:val="20"/>
                <w:szCs w:val="20"/>
              </w:rPr>
              <w:t>7.985</w:t>
            </w:r>
          </w:p>
        </w:tc>
        <w:tc>
          <w:tcPr>
            <w:tcW w:w="866" w:type="dxa"/>
            <w:tcBorders>
              <w:top w:val="nil"/>
              <w:left w:val="nil"/>
              <w:bottom w:val="single" w:sz="4" w:space="0" w:color="auto"/>
              <w:right w:val="single" w:sz="4" w:space="0" w:color="auto"/>
            </w:tcBorders>
            <w:shd w:val="clear" w:color="auto" w:fill="auto"/>
            <w:noWrap/>
            <w:vAlign w:val="center"/>
            <w:hideMark/>
          </w:tcPr>
          <w:p w14:paraId="519B47AD" w14:textId="77777777" w:rsidR="0074711A" w:rsidRPr="008E63BB" w:rsidRDefault="0074711A" w:rsidP="0065184D">
            <w:pPr>
              <w:jc w:val="right"/>
              <w:rPr>
                <w:rFonts w:eastAsia="Times New Roman"/>
                <w:sz w:val="20"/>
                <w:szCs w:val="20"/>
              </w:rPr>
            </w:pPr>
            <w:r w:rsidRPr="008E63BB">
              <w:rPr>
                <w:rFonts w:eastAsia="Times New Roman"/>
                <w:sz w:val="20"/>
                <w:szCs w:val="20"/>
              </w:rPr>
              <w:t>8.067</w:t>
            </w:r>
          </w:p>
        </w:tc>
        <w:tc>
          <w:tcPr>
            <w:tcW w:w="866" w:type="dxa"/>
            <w:tcBorders>
              <w:top w:val="nil"/>
              <w:left w:val="nil"/>
              <w:bottom w:val="single" w:sz="4" w:space="0" w:color="auto"/>
              <w:right w:val="single" w:sz="4" w:space="0" w:color="auto"/>
            </w:tcBorders>
            <w:shd w:val="clear" w:color="auto" w:fill="auto"/>
            <w:noWrap/>
            <w:vAlign w:val="center"/>
            <w:hideMark/>
          </w:tcPr>
          <w:p w14:paraId="519B47AE" w14:textId="77777777" w:rsidR="0074711A" w:rsidRPr="008E63BB" w:rsidRDefault="0074711A" w:rsidP="0065184D">
            <w:pPr>
              <w:jc w:val="right"/>
              <w:rPr>
                <w:rFonts w:eastAsia="Times New Roman"/>
                <w:sz w:val="20"/>
                <w:szCs w:val="20"/>
              </w:rPr>
            </w:pPr>
            <w:r w:rsidRPr="008E63BB">
              <w:rPr>
                <w:rFonts w:eastAsia="Times New Roman"/>
                <w:sz w:val="20"/>
                <w:szCs w:val="20"/>
              </w:rPr>
              <w:t>7.937</w:t>
            </w:r>
          </w:p>
        </w:tc>
        <w:tc>
          <w:tcPr>
            <w:tcW w:w="866" w:type="dxa"/>
            <w:tcBorders>
              <w:top w:val="nil"/>
              <w:left w:val="nil"/>
              <w:bottom w:val="single" w:sz="4" w:space="0" w:color="auto"/>
              <w:right w:val="single" w:sz="4" w:space="0" w:color="auto"/>
            </w:tcBorders>
            <w:shd w:val="clear" w:color="auto" w:fill="auto"/>
            <w:noWrap/>
            <w:vAlign w:val="center"/>
            <w:hideMark/>
          </w:tcPr>
          <w:p w14:paraId="519B47AF" w14:textId="77777777" w:rsidR="0074711A" w:rsidRPr="008E63BB" w:rsidRDefault="0074711A" w:rsidP="0065184D">
            <w:pPr>
              <w:jc w:val="right"/>
              <w:rPr>
                <w:rFonts w:eastAsia="Times New Roman"/>
                <w:sz w:val="20"/>
                <w:szCs w:val="20"/>
              </w:rPr>
            </w:pPr>
            <w:r w:rsidRPr="008E63BB">
              <w:rPr>
                <w:rFonts w:eastAsia="Times New Roman"/>
                <w:sz w:val="20"/>
                <w:szCs w:val="20"/>
              </w:rPr>
              <w:t>7.995</w:t>
            </w:r>
          </w:p>
        </w:tc>
        <w:tc>
          <w:tcPr>
            <w:tcW w:w="994" w:type="dxa"/>
            <w:tcBorders>
              <w:top w:val="nil"/>
              <w:left w:val="nil"/>
              <w:bottom w:val="single" w:sz="4" w:space="0" w:color="auto"/>
              <w:right w:val="single" w:sz="4" w:space="0" w:color="auto"/>
            </w:tcBorders>
            <w:shd w:val="clear" w:color="auto" w:fill="auto"/>
            <w:noWrap/>
            <w:vAlign w:val="center"/>
            <w:hideMark/>
          </w:tcPr>
          <w:p w14:paraId="519B47B0" w14:textId="77777777" w:rsidR="0074711A" w:rsidRPr="008E63BB" w:rsidRDefault="0074711A" w:rsidP="0065184D">
            <w:pPr>
              <w:jc w:val="right"/>
              <w:rPr>
                <w:rFonts w:eastAsia="Times New Roman"/>
                <w:sz w:val="20"/>
                <w:szCs w:val="20"/>
              </w:rPr>
            </w:pPr>
            <w:r w:rsidRPr="008E63BB">
              <w:rPr>
                <w:rFonts w:eastAsia="Times New Roman"/>
                <w:sz w:val="20"/>
                <w:szCs w:val="20"/>
              </w:rPr>
              <w:t>11.757</w:t>
            </w:r>
          </w:p>
        </w:tc>
      </w:tr>
      <w:tr w:rsidR="008D5BFE" w:rsidRPr="008E63BB" w14:paraId="519B47C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B2" w14:textId="77777777" w:rsidR="0074711A" w:rsidRPr="008E63BB" w:rsidRDefault="0074711A" w:rsidP="0065184D">
            <w:pPr>
              <w:jc w:val="right"/>
              <w:rPr>
                <w:rFonts w:eastAsia="Times New Roman"/>
                <w:sz w:val="20"/>
                <w:szCs w:val="20"/>
              </w:rPr>
            </w:pPr>
            <w:r w:rsidRPr="008E63BB">
              <w:rPr>
                <w:rFonts w:eastAsia="Times New Roman"/>
                <w:sz w:val="20"/>
                <w:szCs w:val="20"/>
              </w:rPr>
              <w:t>18</w:t>
            </w:r>
          </w:p>
        </w:tc>
        <w:tc>
          <w:tcPr>
            <w:tcW w:w="2684" w:type="dxa"/>
            <w:tcBorders>
              <w:top w:val="nil"/>
              <w:left w:val="nil"/>
              <w:bottom w:val="single" w:sz="4" w:space="0" w:color="auto"/>
              <w:right w:val="single" w:sz="4" w:space="0" w:color="auto"/>
            </w:tcBorders>
            <w:shd w:val="clear" w:color="auto" w:fill="auto"/>
            <w:vAlign w:val="center"/>
            <w:hideMark/>
          </w:tcPr>
          <w:p w14:paraId="519B47B3" w14:textId="77777777" w:rsidR="0074711A" w:rsidRPr="008E63BB" w:rsidRDefault="0074711A" w:rsidP="0065184D">
            <w:pPr>
              <w:jc w:val="left"/>
              <w:rPr>
                <w:rFonts w:eastAsia="Times New Roman"/>
                <w:sz w:val="20"/>
                <w:szCs w:val="20"/>
              </w:rPr>
            </w:pPr>
            <w:r w:rsidRPr="008E63BB">
              <w:rPr>
                <w:rFonts w:eastAsia="Times New Roman"/>
                <w:sz w:val="20"/>
                <w:szCs w:val="20"/>
              </w:rPr>
              <w:t>P. Lộc Hạ</w:t>
            </w:r>
          </w:p>
        </w:tc>
        <w:tc>
          <w:tcPr>
            <w:tcW w:w="794" w:type="dxa"/>
            <w:tcBorders>
              <w:top w:val="nil"/>
              <w:left w:val="nil"/>
              <w:bottom w:val="single" w:sz="4" w:space="0" w:color="auto"/>
              <w:right w:val="single" w:sz="4" w:space="0" w:color="auto"/>
            </w:tcBorders>
            <w:shd w:val="clear" w:color="auto" w:fill="auto"/>
            <w:noWrap/>
            <w:vAlign w:val="center"/>
            <w:hideMark/>
          </w:tcPr>
          <w:p w14:paraId="519B47B4" w14:textId="77777777" w:rsidR="0074711A" w:rsidRPr="008E63BB" w:rsidRDefault="0074711A" w:rsidP="0065184D">
            <w:pPr>
              <w:jc w:val="right"/>
              <w:rPr>
                <w:rFonts w:eastAsia="Times New Roman"/>
                <w:sz w:val="20"/>
                <w:szCs w:val="20"/>
              </w:rPr>
            </w:pPr>
            <w:r w:rsidRPr="008E63BB">
              <w:rPr>
                <w:rFonts w:eastAsia="Times New Roman"/>
                <w:sz w:val="20"/>
                <w:szCs w:val="20"/>
              </w:rPr>
              <w:t>3,40</w:t>
            </w:r>
          </w:p>
        </w:tc>
        <w:tc>
          <w:tcPr>
            <w:tcW w:w="866" w:type="dxa"/>
            <w:tcBorders>
              <w:top w:val="nil"/>
              <w:left w:val="nil"/>
              <w:bottom w:val="single" w:sz="4" w:space="0" w:color="auto"/>
              <w:right w:val="nil"/>
            </w:tcBorders>
            <w:shd w:val="clear" w:color="auto" w:fill="auto"/>
            <w:vAlign w:val="center"/>
            <w:hideMark/>
          </w:tcPr>
          <w:p w14:paraId="519B47B5" w14:textId="77777777" w:rsidR="0074711A" w:rsidRPr="008E63BB" w:rsidRDefault="0074711A" w:rsidP="0065184D">
            <w:pPr>
              <w:jc w:val="right"/>
              <w:rPr>
                <w:rFonts w:eastAsia="Times New Roman"/>
                <w:sz w:val="20"/>
                <w:szCs w:val="20"/>
              </w:rPr>
            </w:pPr>
            <w:r w:rsidRPr="008E63BB">
              <w:rPr>
                <w:rFonts w:eastAsia="Times New Roman"/>
                <w:sz w:val="20"/>
                <w:szCs w:val="20"/>
              </w:rPr>
              <w:t>12.359</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B6" w14:textId="77777777" w:rsidR="0074711A" w:rsidRPr="008E63BB" w:rsidRDefault="0074711A" w:rsidP="0065184D">
            <w:pPr>
              <w:jc w:val="right"/>
              <w:rPr>
                <w:rFonts w:eastAsia="Times New Roman"/>
                <w:sz w:val="20"/>
                <w:szCs w:val="20"/>
              </w:rPr>
            </w:pPr>
            <w:r w:rsidRPr="008E63BB">
              <w:rPr>
                <w:rFonts w:eastAsia="Times New Roman"/>
                <w:sz w:val="20"/>
                <w:szCs w:val="20"/>
              </w:rPr>
              <w:t>13.823</w:t>
            </w:r>
          </w:p>
        </w:tc>
        <w:tc>
          <w:tcPr>
            <w:tcW w:w="866" w:type="dxa"/>
            <w:tcBorders>
              <w:top w:val="nil"/>
              <w:left w:val="nil"/>
              <w:bottom w:val="single" w:sz="4" w:space="0" w:color="auto"/>
              <w:right w:val="single" w:sz="4" w:space="0" w:color="auto"/>
            </w:tcBorders>
            <w:shd w:val="clear" w:color="auto" w:fill="auto"/>
            <w:noWrap/>
            <w:vAlign w:val="center"/>
            <w:hideMark/>
          </w:tcPr>
          <w:p w14:paraId="519B47B7" w14:textId="77777777" w:rsidR="0074711A" w:rsidRPr="008E63BB" w:rsidRDefault="0074711A" w:rsidP="0065184D">
            <w:pPr>
              <w:jc w:val="right"/>
              <w:rPr>
                <w:rFonts w:eastAsia="Times New Roman"/>
                <w:sz w:val="20"/>
                <w:szCs w:val="20"/>
              </w:rPr>
            </w:pPr>
            <w:r w:rsidRPr="008E63BB">
              <w:rPr>
                <w:rFonts w:eastAsia="Times New Roman"/>
                <w:sz w:val="20"/>
                <w:szCs w:val="20"/>
              </w:rPr>
              <w:t>13.467</w:t>
            </w:r>
          </w:p>
        </w:tc>
        <w:tc>
          <w:tcPr>
            <w:tcW w:w="866" w:type="dxa"/>
            <w:tcBorders>
              <w:top w:val="nil"/>
              <w:left w:val="nil"/>
              <w:bottom w:val="single" w:sz="4" w:space="0" w:color="auto"/>
              <w:right w:val="single" w:sz="4" w:space="0" w:color="auto"/>
            </w:tcBorders>
            <w:shd w:val="clear" w:color="auto" w:fill="auto"/>
            <w:vAlign w:val="bottom"/>
            <w:hideMark/>
          </w:tcPr>
          <w:p w14:paraId="519B47B8" w14:textId="77777777" w:rsidR="0074711A" w:rsidRPr="008E63BB" w:rsidRDefault="0074711A" w:rsidP="0065184D">
            <w:pPr>
              <w:jc w:val="right"/>
              <w:rPr>
                <w:rFonts w:eastAsia="Times New Roman"/>
                <w:sz w:val="20"/>
                <w:szCs w:val="20"/>
              </w:rPr>
            </w:pPr>
            <w:r w:rsidRPr="008E63BB">
              <w:rPr>
                <w:rFonts w:eastAsia="Times New Roman"/>
                <w:sz w:val="20"/>
                <w:szCs w:val="20"/>
              </w:rPr>
              <w:t>13.657</w:t>
            </w:r>
          </w:p>
        </w:tc>
        <w:tc>
          <w:tcPr>
            <w:tcW w:w="866" w:type="dxa"/>
            <w:tcBorders>
              <w:top w:val="nil"/>
              <w:left w:val="nil"/>
              <w:bottom w:val="single" w:sz="4" w:space="0" w:color="auto"/>
              <w:right w:val="single" w:sz="4" w:space="0" w:color="auto"/>
            </w:tcBorders>
            <w:shd w:val="clear" w:color="auto" w:fill="auto"/>
            <w:vAlign w:val="bottom"/>
            <w:hideMark/>
          </w:tcPr>
          <w:p w14:paraId="519B47B9" w14:textId="77777777" w:rsidR="0074711A" w:rsidRPr="008E63BB" w:rsidRDefault="0074711A" w:rsidP="0065184D">
            <w:pPr>
              <w:jc w:val="right"/>
              <w:rPr>
                <w:rFonts w:eastAsia="Times New Roman"/>
                <w:sz w:val="20"/>
                <w:szCs w:val="20"/>
              </w:rPr>
            </w:pPr>
            <w:r w:rsidRPr="008E63BB">
              <w:rPr>
                <w:rFonts w:eastAsia="Times New Roman"/>
                <w:sz w:val="20"/>
                <w:szCs w:val="20"/>
              </w:rPr>
              <w:t>14.138</w:t>
            </w:r>
          </w:p>
        </w:tc>
        <w:tc>
          <w:tcPr>
            <w:tcW w:w="866" w:type="dxa"/>
            <w:tcBorders>
              <w:top w:val="nil"/>
              <w:left w:val="nil"/>
              <w:bottom w:val="single" w:sz="4" w:space="0" w:color="auto"/>
              <w:right w:val="single" w:sz="4" w:space="0" w:color="auto"/>
            </w:tcBorders>
            <w:shd w:val="clear" w:color="auto" w:fill="auto"/>
            <w:noWrap/>
            <w:vAlign w:val="center"/>
            <w:hideMark/>
          </w:tcPr>
          <w:p w14:paraId="519B47BA" w14:textId="77777777" w:rsidR="0074711A" w:rsidRPr="008E63BB" w:rsidRDefault="0074711A" w:rsidP="0065184D">
            <w:pPr>
              <w:jc w:val="right"/>
              <w:rPr>
                <w:rFonts w:eastAsia="Times New Roman"/>
                <w:sz w:val="20"/>
                <w:szCs w:val="20"/>
              </w:rPr>
            </w:pPr>
            <w:r w:rsidRPr="008E63BB">
              <w:rPr>
                <w:rFonts w:eastAsia="Times New Roman"/>
                <w:sz w:val="20"/>
                <w:szCs w:val="20"/>
              </w:rPr>
              <w:t>13.940</w:t>
            </w:r>
          </w:p>
        </w:tc>
        <w:tc>
          <w:tcPr>
            <w:tcW w:w="866" w:type="dxa"/>
            <w:tcBorders>
              <w:top w:val="nil"/>
              <w:left w:val="nil"/>
              <w:bottom w:val="single" w:sz="4" w:space="0" w:color="auto"/>
              <w:right w:val="single" w:sz="4" w:space="0" w:color="auto"/>
            </w:tcBorders>
            <w:shd w:val="clear" w:color="auto" w:fill="auto"/>
            <w:noWrap/>
            <w:vAlign w:val="center"/>
            <w:hideMark/>
          </w:tcPr>
          <w:p w14:paraId="519B47BB" w14:textId="77777777" w:rsidR="0074711A" w:rsidRPr="008E63BB" w:rsidRDefault="0074711A" w:rsidP="0065184D">
            <w:pPr>
              <w:jc w:val="right"/>
              <w:rPr>
                <w:rFonts w:eastAsia="Times New Roman"/>
                <w:sz w:val="20"/>
                <w:szCs w:val="20"/>
              </w:rPr>
            </w:pPr>
            <w:r w:rsidRPr="008E63BB">
              <w:rPr>
                <w:rFonts w:eastAsia="Times New Roman"/>
                <w:sz w:val="20"/>
                <w:szCs w:val="20"/>
              </w:rPr>
              <w:t>13.742</w:t>
            </w:r>
          </w:p>
        </w:tc>
        <w:tc>
          <w:tcPr>
            <w:tcW w:w="866" w:type="dxa"/>
            <w:tcBorders>
              <w:top w:val="nil"/>
              <w:left w:val="nil"/>
              <w:bottom w:val="single" w:sz="4" w:space="0" w:color="auto"/>
              <w:right w:val="single" w:sz="4" w:space="0" w:color="auto"/>
            </w:tcBorders>
            <w:shd w:val="clear" w:color="auto" w:fill="auto"/>
            <w:noWrap/>
            <w:vAlign w:val="center"/>
            <w:hideMark/>
          </w:tcPr>
          <w:p w14:paraId="519B47BC" w14:textId="77777777" w:rsidR="0074711A" w:rsidRPr="008E63BB" w:rsidRDefault="0074711A" w:rsidP="0065184D">
            <w:pPr>
              <w:jc w:val="right"/>
              <w:rPr>
                <w:rFonts w:eastAsia="Times New Roman"/>
                <w:sz w:val="20"/>
                <w:szCs w:val="20"/>
              </w:rPr>
            </w:pPr>
            <w:r w:rsidRPr="008E63BB">
              <w:rPr>
                <w:rFonts w:eastAsia="Times New Roman"/>
                <w:sz w:val="20"/>
                <w:szCs w:val="20"/>
              </w:rPr>
              <w:t>13.755</w:t>
            </w:r>
          </w:p>
        </w:tc>
        <w:tc>
          <w:tcPr>
            <w:tcW w:w="866" w:type="dxa"/>
            <w:tcBorders>
              <w:top w:val="nil"/>
              <w:left w:val="nil"/>
              <w:bottom w:val="single" w:sz="4" w:space="0" w:color="auto"/>
              <w:right w:val="single" w:sz="4" w:space="0" w:color="auto"/>
            </w:tcBorders>
            <w:shd w:val="clear" w:color="auto" w:fill="auto"/>
            <w:noWrap/>
            <w:vAlign w:val="center"/>
            <w:hideMark/>
          </w:tcPr>
          <w:p w14:paraId="519B47BD" w14:textId="77777777" w:rsidR="0074711A" w:rsidRPr="008E63BB" w:rsidRDefault="0074711A" w:rsidP="0065184D">
            <w:pPr>
              <w:jc w:val="right"/>
              <w:rPr>
                <w:rFonts w:eastAsia="Times New Roman"/>
                <w:sz w:val="20"/>
                <w:szCs w:val="20"/>
              </w:rPr>
            </w:pPr>
            <w:r w:rsidRPr="008E63BB">
              <w:rPr>
                <w:rFonts w:eastAsia="Times New Roman"/>
                <w:sz w:val="20"/>
                <w:szCs w:val="20"/>
              </w:rPr>
              <w:t>12.365</w:t>
            </w:r>
          </w:p>
        </w:tc>
        <w:tc>
          <w:tcPr>
            <w:tcW w:w="866" w:type="dxa"/>
            <w:tcBorders>
              <w:top w:val="nil"/>
              <w:left w:val="nil"/>
              <w:bottom w:val="single" w:sz="4" w:space="0" w:color="auto"/>
              <w:right w:val="single" w:sz="4" w:space="0" w:color="auto"/>
            </w:tcBorders>
            <w:shd w:val="clear" w:color="auto" w:fill="auto"/>
            <w:noWrap/>
            <w:vAlign w:val="center"/>
            <w:hideMark/>
          </w:tcPr>
          <w:p w14:paraId="519B47BE" w14:textId="77777777" w:rsidR="0074711A" w:rsidRPr="008E63BB" w:rsidRDefault="0074711A" w:rsidP="0065184D">
            <w:pPr>
              <w:jc w:val="right"/>
              <w:rPr>
                <w:rFonts w:eastAsia="Times New Roman"/>
                <w:sz w:val="20"/>
                <w:szCs w:val="20"/>
              </w:rPr>
            </w:pPr>
            <w:r w:rsidRPr="008E63BB">
              <w:rPr>
                <w:rFonts w:eastAsia="Times New Roman"/>
                <w:sz w:val="20"/>
                <w:szCs w:val="20"/>
              </w:rPr>
              <w:t>11.084</w:t>
            </w:r>
          </w:p>
        </w:tc>
        <w:tc>
          <w:tcPr>
            <w:tcW w:w="866" w:type="dxa"/>
            <w:tcBorders>
              <w:top w:val="nil"/>
              <w:left w:val="nil"/>
              <w:bottom w:val="single" w:sz="4" w:space="0" w:color="auto"/>
              <w:right w:val="single" w:sz="4" w:space="0" w:color="auto"/>
            </w:tcBorders>
            <w:shd w:val="clear" w:color="auto" w:fill="auto"/>
            <w:noWrap/>
            <w:vAlign w:val="center"/>
            <w:hideMark/>
          </w:tcPr>
          <w:p w14:paraId="519B47BF" w14:textId="77777777" w:rsidR="0074711A" w:rsidRPr="008E63BB" w:rsidRDefault="0074711A" w:rsidP="0065184D">
            <w:pPr>
              <w:jc w:val="right"/>
              <w:rPr>
                <w:rFonts w:eastAsia="Times New Roman"/>
                <w:sz w:val="20"/>
                <w:szCs w:val="20"/>
              </w:rPr>
            </w:pPr>
            <w:r w:rsidRPr="008E63BB">
              <w:rPr>
                <w:rFonts w:eastAsia="Times New Roman"/>
                <w:sz w:val="20"/>
                <w:szCs w:val="20"/>
              </w:rPr>
              <w:t>11.481</w:t>
            </w:r>
          </w:p>
        </w:tc>
        <w:tc>
          <w:tcPr>
            <w:tcW w:w="994" w:type="dxa"/>
            <w:tcBorders>
              <w:top w:val="nil"/>
              <w:left w:val="nil"/>
              <w:bottom w:val="single" w:sz="4" w:space="0" w:color="auto"/>
              <w:right w:val="single" w:sz="4" w:space="0" w:color="auto"/>
            </w:tcBorders>
            <w:shd w:val="clear" w:color="auto" w:fill="auto"/>
            <w:noWrap/>
            <w:vAlign w:val="center"/>
            <w:hideMark/>
          </w:tcPr>
          <w:p w14:paraId="519B47C0" w14:textId="77777777" w:rsidR="0074711A" w:rsidRPr="008E63BB" w:rsidRDefault="0074711A" w:rsidP="0065184D">
            <w:pPr>
              <w:jc w:val="right"/>
              <w:rPr>
                <w:rFonts w:eastAsia="Times New Roman"/>
                <w:sz w:val="20"/>
                <w:szCs w:val="20"/>
              </w:rPr>
            </w:pPr>
            <w:r w:rsidRPr="008E63BB">
              <w:rPr>
                <w:rFonts w:eastAsia="Times New Roman"/>
                <w:sz w:val="20"/>
                <w:szCs w:val="20"/>
              </w:rPr>
              <w:t>3.377</w:t>
            </w:r>
          </w:p>
        </w:tc>
      </w:tr>
      <w:tr w:rsidR="008D5BFE" w:rsidRPr="008E63BB" w14:paraId="519B47D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C2" w14:textId="77777777" w:rsidR="0074711A" w:rsidRPr="008E63BB" w:rsidRDefault="0074711A" w:rsidP="0065184D">
            <w:pPr>
              <w:jc w:val="right"/>
              <w:rPr>
                <w:rFonts w:eastAsia="Times New Roman"/>
                <w:sz w:val="20"/>
                <w:szCs w:val="20"/>
              </w:rPr>
            </w:pPr>
            <w:r w:rsidRPr="008E63BB">
              <w:rPr>
                <w:rFonts w:eastAsia="Times New Roman"/>
                <w:sz w:val="20"/>
                <w:szCs w:val="20"/>
              </w:rPr>
              <w:t>19</w:t>
            </w:r>
          </w:p>
        </w:tc>
        <w:tc>
          <w:tcPr>
            <w:tcW w:w="2684" w:type="dxa"/>
            <w:tcBorders>
              <w:top w:val="nil"/>
              <w:left w:val="nil"/>
              <w:bottom w:val="single" w:sz="4" w:space="0" w:color="auto"/>
              <w:right w:val="single" w:sz="4" w:space="0" w:color="auto"/>
            </w:tcBorders>
            <w:shd w:val="clear" w:color="auto" w:fill="auto"/>
            <w:vAlign w:val="center"/>
            <w:hideMark/>
          </w:tcPr>
          <w:p w14:paraId="519B47C3" w14:textId="77777777" w:rsidR="0074711A" w:rsidRPr="008E63BB" w:rsidRDefault="0074711A" w:rsidP="0065184D">
            <w:pPr>
              <w:jc w:val="left"/>
              <w:rPr>
                <w:rFonts w:eastAsia="Times New Roman"/>
                <w:sz w:val="20"/>
                <w:szCs w:val="20"/>
              </w:rPr>
            </w:pPr>
            <w:r w:rsidRPr="008E63BB">
              <w:rPr>
                <w:rFonts w:eastAsia="Times New Roman"/>
                <w:sz w:val="20"/>
                <w:szCs w:val="20"/>
              </w:rPr>
              <w:t>P.Lộc Vượng</w:t>
            </w:r>
          </w:p>
        </w:tc>
        <w:tc>
          <w:tcPr>
            <w:tcW w:w="794" w:type="dxa"/>
            <w:tcBorders>
              <w:top w:val="nil"/>
              <w:left w:val="nil"/>
              <w:bottom w:val="single" w:sz="4" w:space="0" w:color="auto"/>
              <w:right w:val="single" w:sz="4" w:space="0" w:color="auto"/>
            </w:tcBorders>
            <w:shd w:val="clear" w:color="auto" w:fill="auto"/>
            <w:noWrap/>
            <w:vAlign w:val="center"/>
            <w:hideMark/>
          </w:tcPr>
          <w:p w14:paraId="519B47C4" w14:textId="77777777" w:rsidR="0074711A" w:rsidRPr="008E63BB" w:rsidRDefault="0074711A" w:rsidP="0065184D">
            <w:pPr>
              <w:jc w:val="right"/>
              <w:rPr>
                <w:rFonts w:eastAsia="Times New Roman"/>
                <w:sz w:val="20"/>
                <w:szCs w:val="20"/>
              </w:rPr>
            </w:pPr>
            <w:r w:rsidRPr="008E63BB">
              <w:rPr>
                <w:rFonts w:eastAsia="Times New Roman"/>
                <w:sz w:val="20"/>
                <w:szCs w:val="20"/>
              </w:rPr>
              <w:t>4,47</w:t>
            </w:r>
          </w:p>
        </w:tc>
        <w:tc>
          <w:tcPr>
            <w:tcW w:w="866" w:type="dxa"/>
            <w:tcBorders>
              <w:top w:val="nil"/>
              <w:left w:val="nil"/>
              <w:bottom w:val="single" w:sz="4" w:space="0" w:color="auto"/>
              <w:right w:val="nil"/>
            </w:tcBorders>
            <w:shd w:val="clear" w:color="auto" w:fill="auto"/>
            <w:vAlign w:val="center"/>
            <w:hideMark/>
          </w:tcPr>
          <w:p w14:paraId="519B47C5" w14:textId="77777777" w:rsidR="0074711A" w:rsidRPr="008E63BB" w:rsidRDefault="0074711A" w:rsidP="0065184D">
            <w:pPr>
              <w:jc w:val="right"/>
              <w:rPr>
                <w:rFonts w:eastAsia="Times New Roman"/>
                <w:sz w:val="20"/>
                <w:szCs w:val="20"/>
              </w:rPr>
            </w:pPr>
            <w:r w:rsidRPr="008E63BB">
              <w:rPr>
                <w:rFonts w:eastAsia="Times New Roman"/>
                <w:sz w:val="20"/>
                <w:szCs w:val="20"/>
              </w:rPr>
              <w:t>11.901</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C6" w14:textId="77777777" w:rsidR="0074711A" w:rsidRPr="008E63BB" w:rsidRDefault="0074711A" w:rsidP="0065184D">
            <w:pPr>
              <w:jc w:val="right"/>
              <w:rPr>
                <w:rFonts w:eastAsia="Times New Roman"/>
                <w:sz w:val="20"/>
                <w:szCs w:val="20"/>
              </w:rPr>
            </w:pPr>
            <w:r w:rsidRPr="008E63BB">
              <w:rPr>
                <w:rFonts w:eastAsia="Times New Roman"/>
                <w:sz w:val="20"/>
                <w:szCs w:val="20"/>
              </w:rPr>
              <w:t>14.928</w:t>
            </w:r>
          </w:p>
        </w:tc>
        <w:tc>
          <w:tcPr>
            <w:tcW w:w="866" w:type="dxa"/>
            <w:tcBorders>
              <w:top w:val="nil"/>
              <w:left w:val="nil"/>
              <w:bottom w:val="single" w:sz="4" w:space="0" w:color="auto"/>
              <w:right w:val="single" w:sz="4" w:space="0" w:color="auto"/>
            </w:tcBorders>
            <w:shd w:val="clear" w:color="auto" w:fill="auto"/>
            <w:noWrap/>
            <w:vAlign w:val="center"/>
            <w:hideMark/>
          </w:tcPr>
          <w:p w14:paraId="519B47C7" w14:textId="77777777" w:rsidR="0074711A" w:rsidRPr="008E63BB" w:rsidRDefault="0074711A" w:rsidP="0065184D">
            <w:pPr>
              <w:jc w:val="right"/>
              <w:rPr>
                <w:rFonts w:eastAsia="Times New Roman"/>
                <w:sz w:val="20"/>
                <w:szCs w:val="20"/>
              </w:rPr>
            </w:pPr>
            <w:r w:rsidRPr="008E63BB">
              <w:rPr>
                <w:rFonts w:eastAsia="Times New Roman"/>
                <w:sz w:val="20"/>
                <w:szCs w:val="20"/>
              </w:rPr>
              <w:t>14.203</w:t>
            </w:r>
          </w:p>
        </w:tc>
        <w:tc>
          <w:tcPr>
            <w:tcW w:w="866" w:type="dxa"/>
            <w:tcBorders>
              <w:top w:val="nil"/>
              <w:left w:val="nil"/>
              <w:bottom w:val="single" w:sz="4" w:space="0" w:color="auto"/>
              <w:right w:val="single" w:sz="4" w:space="0" w:color="auto"/>
            </w:tcBorders>
            <w:shd w:val="clear" w:color="auto" w:fill="auto"/>
            <w:vAlign w:val="bottom"/>
            <w:hideMark/>
          </w:tcPr>
          <w:p w14:paraId="519B47C8" w14:textId="77777777" w:rsidR="0074711A" w:rsidRPr="008E63BB" w:rsidRDefault="0074711A" w:rsidP="0065184D">
            <w:pPr>
              <w:jc w:val="right"/>
              <w:rPr>
                <w:rFonts w:eastAsia="Times New Roman"/>
                <w:sz w:val="20"/>
                <w:szCs w:val="20"/>
              </w:rPr>
            </w:pPr>
            <w:r w:rsidRPr="008E63BB">
              <w:rPr>
                <w:rFonts w:eastAsia="Times New Roman"/>
                <w:sz w:val="20"/>
                <w:szCs w:val="20"/>
              </w:rPr>
              <w:t>13.663</w:t>
            </w:r>
          </w:p>
        </w:tc>
        <w:tc>
          <w:tcPr>
            <w:tcW w:w="866" w:type="dxa"/>
            <w:tcBorders>
              <w:top w:val="nil"/>
              <w:left w:val="nil"/>
              <w:bottom w:val="single" w:sz="4" w:space="0" w:color="auto"/>
              <w:right w:val="single" w:sz="4" w:space="0" w:color="auto"/>
            </w:tcBorders>
            <w:shd w:val="clear" w:color="auto" w:fill="auto"/>
            <w:vAlign w:val="bottom"/>
            <w:hideMark/>
          </w:tcPr>
          <w:p w14:paraId="519B47C9" w14:textId="77777777" w:rsidR="0074711A" w:rsidRPr="008E63BB" w:rsidRDefault="0074711A" w:rsidP="0065184D">
            <w:pPr>
              <w:jc w:val="right"/>
              <w:rPr>
                <w:rFonts w:eastAsia="Times New Roman"/>
                <w:sz w:val="20"/>
                <w:szCs w:val="20"/>
              </w:rPr>
            </w:pPr>
            <w:r w:rsidRPr="008E63BB">
              <w:rPr>
                <w:rFonts w:eastAsia="Times New Roman"/>
                <w:sz w:val="20"/>
                <w:szCs w:val="20"/>
              </w:rPr>
              <w:t>13.409</w:t>
            </w:r>
          </w:p>
        </w:tc>
        <w:tc>
          <w:tcPr>
            <w:tcW w:w="866" w:type="dxa"/>
            <w:tcBorders>
              <w:top w:val="nil"/>
              <w:left w:val="nil"/>
              <w:bottom w:val="single" w:sz="4" w:space="0" w:color="auto"/>
              <w:right w:val="single" w:sz="4" w:space="0" w:color="auto"/>
            </w:tcBorders>
            <w:shd w:val="clear" w:color="auto" w:fill="auto"/>
            <w:noWrap/>
            <w:vAlign w:val="center"/>
            <w:hideMark/>
          </w:tcPr>
          <w:p w14:paraId="519B47CA" w14:textId="77777777" w:rsidR="0074711A" w:rsidRPr="008E63BB" w:rsidRDefault="0074711A" w:rsidP="0065184D">
            <w:pPr>
              <w:jc w:val="right"/>
              <w:rPr>
                <w:rFonts w:eastAsia="Times New Roman"/>
                <w:sz w:val="20"/>
                <w:szCs w:val="20"/>
              </w:rPr>
            </w:pPr>
            <w:r w:rsidRPr="008E63BB">
              <w:rPr>
                <w:rFonts w:eastAsia="Times New Roman"/>
                <w:sz w:val="20"/>
                <w:szCs w:val="20"/>
              </w:rPr>
              <w:t>12.280</w:t>
            </w:r>
          </w:p>
        </w:tc>
        <w:tc>
          <w:tcPr>
            <w:tcW w:w="866" w:type="dxa"/>
            <w:tcBorders>
              <w:top w:val="nil"/>
              <w:left w:val="nil"/>
              <w:bottom w:val="single" w:sz="4" w:space="0" w:color="auto"/>
              <w:right w:val="single" w:sz="4" w:space="0" w:color="auto"/>
            </w:tcBorders>
            <w:shd w:val="clear" w:color="auto" w:fill="auto"/>
            <w:noWrap/>
            <w:vAlign w:val="center"/>
            <w:hideMark/>
          </w:tcPr>
          <w:p w14:paraId="519B47CB" w14:textId="77777777" w:rsidR="0074711A" w:rsidRPr="008E63BB" w:rsidRDefault="0074711A" w:rsidP="0065184D">
            <w:pPr>
              <w:jc w:val="right"/>
              <w:rPr>
                <w:rFonts w:eastAsia="Times New Roman"/>
                <w:sz w:val="20"/>
                <w:szCs w:val="20"/>
              </w:rPr>
            </w:pPr>
            <w:r w:rsidRPr="008E63BB">
              <w:rPr>
                <w:rFonts w:eastAsia="Times New Roman"/>
                <w:sz w:val="20"/>
                <w:szCs w:val="20"/>
              </w:rPr>
              <w:t>11.584</w:t>
            </w:r>
          </w:p>
        </w:tc>
        <w:tc>
          <w:tcPr>
            <w:tcW w:w="866" w:type="dxa"/>
            <w:tcBorders>
              <w:top w:val="nil"/>
              <w:left w:val="nil"/>
              <w:bottom w:val="single" w:sz="4" w:space="0" w:color="auto"/>
              <w:right w:val="single" w:sz="4" w:space="0" w:color="auto"/>
            </w:tcBorders>
            <w:shd w:val="clear" w:color="auto" w:fill="auto"/>
            <w:noWrap/>
            <w:vAlign w:val="center"/>
            <w:hideMark/>
          </w:tcPr>
          <w:p w14:paraId="519B47CC" w14:textId="77777777" w:rsidR="0074711A" w:rsidRPr="008E63BB" w:rsidRDefault="0074711A" w:rsidP="0065184D">
            <w:pPr>
              <w:jc w:val="right"/>
              <w:rPr>
                <w:rFonts w:eastAsia="Times New Roman"/>
                <w:sz w:val="20"/>
                <w:szCs w:val="20"/>
              </w:rPr>
            </w:pPr>
            <w:r w:rsidRPr="008E63BB">
              <w:rPr>
                <w:rFonts w:eastAsia="Times New Roman"/>
                <w:sz w:val="20"/>
                <w:szCs w:val="20"/>
              </w:rPr>
              <w:t>11.590</w:t>
            </w:r>
          </w:p>
        </w:tc>
        <w:tc>
          <w:tcPr>
            <w:tcW w:w="866" w:type="dxa"/>
            <w:tcBorders>
              <w:top w:val="nil"/>
              <w:left w:val="nil"/>
              <w:bottom w:val="single" w:sz="4" w:space="0" w:color="auto"/>
              <w:right w:val="single" w:sz="4" w:space="0" w:color="auto"/>
            </w:tcBorders>
            <w:shd w:val="clear" w:color="auto" w:fill="auto"/>
            <w:noWrap/>
            <w:vAlign w:val="center"/>
            <w:hideMark/>
          </w:tcPr>
          <w:p w14:paraId="519B47CD" w14:textId="77777777" w:rsidR="0074711A" w:rsidRPr="008E63BB" w:rsidRDefault="0074711A" w:rsidP="0065184D">
            <w:pPr>
              <w:jc w:val="right"/>
              <w:rPr>
                <w:rFonts w:eastAsia="Times New Roman"/>
                <w:sz w:val="20"/>
                <w:szCs w:val="20"/>
              </w:rPr>
            </w:pPr>
            <w:r w:rsidRPr="008E63BB">
              <w:rPr>
                <w:rFonts w:eastAsia="Times New Roman"/>
                <w:sz w:val="20"/>
                <w:szCs w:val="20"/>
              </w:rPr>
              <w:t>11.402</w:t>
            </w:r>
          </w:p>
        </w:tc>
        <w:tc>
          <w:tcPr>
            <w:tcW w:w="866" w:type="dxa"/>
            <w:tcBorders>
              <w:top w:val="nil"/>
              <w:left w:val="nil"/>
              <w:bottom w:val="single" w:sz="4" w:space="0" w:color="auto"/>
              <w:right w:val="single" w:sz="4" w:space="0" w:color="auto"/>
            </w:tcBorders>
            <w:shd w:val="clear" w:color="auto" w:fill="auto"/>
            <w:noWrap/>
            <w:vAlign w:val="center"/>
            <w:hideMark/>
          </w:tcPr>
          <w:p w14:paraId="519B47CE" w14:textId="77777777" w:rsidR="0074711A" w:rsidRPr="008E63BB" w:rsidRDefault="0074711A" w:rsidP="0065184D">
            <w:pPr>
              <w:jc w:val="right"/>
              <w:rPr>
                <w:rFonts w:eastAsia="Times New Roman"/>
                <w:sz w:val="20"/>
                <w:szCs w:val="20"/>
              </w:rPr>
            </w:pPr>
            <w:r w:rsidRPr="008E63BB">
              <w:rPr>
                <w:rFonts w:eastAsia="Times New Roman"/>
                <w:sz w:val="20"/>
                <w:szCs w:val="20"/>
              </w:rPr>
              <w:t>11.297</w:t>
            </w:r>
          </w:p>
        </w:tc>
        <w:tc>
          <w:tcPr>
            <w:tcW w:w="866" w:type="dxa"/>
            <w:tcBorders>
              <w:top w:val="nil"/>
              <w:left w:val="nil"/>
              <w:bottom w:val="single" w:sz="4" w:space="0" w:color="auto"/>
              <w:right w:val="single" w:sz="4" w:space="0" w:color="auto"/>
            </w:tcBorders>
            <w:shd w:val="clear" w:color="auto" w:fill="auto"/>
            <w:noWrap/>
            <w:vAlign w:val="center"/>
            <w:hideMark/>
          </w:tcPr>
          <w:p w14:paraId="519B47CF" w14:textId="77777777" w:rsidR="0074711A" w:rsidRPr="008E63BB" w:rsidRDefault="0074711A" w:rsidP="0065184D">
            <w:pPr>
              <w:jc w:val="right"/>
              <w:rPr>
                <w:rFonts w:eastAsia="Times New Roman"/>
                <w:sz w:val="20"/>
                <w:szCs w:val="20"/>
              </w:rPr>
            </w:pPr>
            <w:r w:rsidRPr="008E63BB">
              <w:rPr>
                <w:rFonts w:eastAsia="Times New Roman"/>
                <w:sz w:val="20"/>
                <w:szCs w:val="20"/>
              </w:rPr>
              <w:t>12.192</w:t>
            </w:r>
          </w:p>
        </w:tc>
        <w:tc>
          <w:tcPr>
            <w:tcW w:w="994" w:type="dxa"/>
            <w:tcBorders>
              <w:top w:val="nil"/>
              <w:left w:val="nil"/>
              <w:bottom w:val="single" w:sz="4" w:space="0" w:color="auto"/>
              <w:right w:val="single" w:sz="4" w:space="0" w:color="auto"/>
            </w:tcBorders>
            <w:shd w:val="clear" w:color="auto" w:fill="auto"/>
            <w:noWrap/>
            <w:vAlign w:val="center"/>
            <w:hideMark/>
          </w:tcPr>
          <w:p w14:paraId="519B47D0" w14:textId="77777777" w:rsidR="0074711A" w:rsidRPr="008E63BB" w:rsidRDefault="0074711A" w:rsidP="0065184D">
            <w:pPr>
              <w:jc w:val="right"/>
              <w:rPr>
                <w:rFonts w:eastAsia="Times New Roman"/>
                <w:sz w:val="20"/>
                <w:szCs w:val="20"/>
              </w:rPr>
            </w:pPr>
            <w:r w:rsidRPr="008E63BB">
              <w:rPr>
                <w:rFonts w:eastAsia="Times New Roman"/>
                <w:sz w:val="20"/>
                <w:szCs w:val="20"/>
              </w:rPr>
              <w:t>2.728</w:t>
            </w:r>
          </w:p>
        </w:tc>
      </w:tr>
      <w:tr w:rsidR="008D5BFE" w:rsidRPr="008E63BB" w14:paraId="519B47E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D2" w14:textId="77777777" w:rsidR="0074711A" w:rsidRPr="008E63BB" w:rsidRDefault="0074711A" w:rsidP="0065184D">
            <w:pPr>
              <w:jc w:val="right"/>
              <w:rPr>
                <w:rFonts w:eastAsia="Times New Roman"/>
                <w:sz w:val="20"/>
                <w:szCs w:val="20"/>
              </w:rPr>
            </w:pPr>
            <w:r w:rsidRPr="008E63BB">
              <w:rPr>
                <w:rFonts w:eastAsia="Times New Roman"/>
                <w:sz w:val="20"/>
                <w:szCs w:val="20"/>
              </w:rPr>
              <w:lastRenderedPageBreak/>
              <w:t>20</w:t>
            </w:r>
          </w:p>
        </w:tc>
        <w:tc>
          <w:tcPr>
            <w:tcW w:w="2684" w:type="dxa"/>
            <w:tcBorders>
              <w:top w:val="nil"/>
              <w:left w:val="nil"/>
              <w:bottom w:val="single" w:sz="4" w:space="0" w:color="auto"/>
              <w:right w:val="single" w:sz="4" w:space="0" w:color="auto"/>
            </w:tcBorders>
            <w:shd w:val="clear" w:color="auto" w:fill="auto"/>
            <w:vAlign w:val="center"/>
            <w:hideMark/>
          </w:tcPr>
          <w:p w14:paraId="519B47D3" w14:textId="77777777" w:rsidR="0074711A" w:rsidRPr="008E63BB" w:rsidRDefault="0074711A" w:rsidP="0065184D">
            <w:pPr>
              <w:jc w:val="left"/>
              <w:rPr>
                <w:rFonts w:eastAsia="Times New Roman"/>
                <w:sz w:val="20"/>
                <w:szCs w:val="20"/>
              </w:rPr>
            </w:pPr>
            <w:r w:rsidRPr="008E63BB">
              <w:rPr>
                <w:rFonts w:eastAsia="Times New Roman"/>
                <w:sz w:val="20"/>
                <w:szCs w:val="20"/>
              </w:rPr>
              <w:t>P.Cửa Nam</w:t>
            </w:r>
          </w:p>
        </w:tc>
        <w:tc>
          <w:tcPr>
            <w:tcW w:w="794" w:type="dxa"/>
            <w:tcBorders>
              <w:top w:val="nil"/>
              <w:left w:val="nil"/>
              <w:bottom w:val="single" w:sz="4" w:space="0" w:color="auto"/>
              <w:right w:val="single" w:sz="4" w:space="0" w:color="auto"/>
            </w:tcBorders>
            <w:shd w:val="clear" w:color="auto" w:fill="auto"/>
            <w:noWrap/>
            <w:vAlign w:val="center"/>
            <w:hideMark/>
          </w:tcPr>
          <w:p w14:paraId="519B47D4" w14:textId="77777777" w:rsidR="0074711A" w:rsidRPr="008E63BB" w:rsidRDefault="0074711A" w:rsidP="0065184D">
            <w:pPr>
              <w:jc w:val="right"/>
              <w:rPr>
                <w:rFonts w:eastAsia="Times New Roman"/>
                <w:sz w:val="20"/>
                <w:szCs w:val="20"/>
              </w:rPr>
            </w:pPr>
            <w:r w:rsidRPr="008E63BB">
              <w:rPr>
                <w:rFonts w:eastAsia="Times New Roman"/>
                <w:sz w:val="20"/>
                <w:szCs w:val="20"/>
              </w:rPr>
              <w:t>1,41</w:t>
            </w:r>
          </w:p>
        </w:tc>
        <w:tc>
          <w:tcPr>
            <w:tcW w:w="866" w:type="dxa"/>
            <w:tcBorders>
              <w:top w:val="nil"/>
              <w:left w:val="nil"/>
              <w:bottom w:val="single" w:sz="4" w:space="0" w:color="auto"/>
              <w:right w:val="nil"/>
            </w:tcBorders>
            <w:shd w:val="clear" w:color="auto" w:fill="auto"/>
            <w:vAlign w:val="center"/>
            <w:hideMark/>
          </w:tcPr>
          <w:p w14:paraId="519B47D5" w14:textId="77777777" w:rsidR="0074711A" w:rsidRPr="008E63BB" w:rsidRDefault="0074711A" w:rsidP="0065184D">
            <w:pPr>
              <w:jc w:val="right"/>
              <w:rPr>
                <w:rFonts w:eastAsia="Times New Roman"/>
                <w:sz w:val="20"/>
                <w:szCs w:val="20"/>
              </w:rPr>
            </w:pPr>
            <w:r w:rsidRPr="008E63BB">
              <w:rPr>
                <w:rFonts w:eastAsia="Times New Roman"/>
                <w:sz w:val="20"/>
                <w:szCs w:val="20"/>
              </w:rPr>
              <w:t>6.403</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7D6" w14:textId="77777777" w:rsidR="0074711A" w:rsidRPr="008E63BB" w:rsidRDefault="0074711A" w:rsidP="0065184D">
            <w:pPr>
              <w:jc w:val="right"/>
              <w:rPr>
                <w:rFonts w:eastAsia="Times New Roman"/>
                <w:sz w:val="20"/>
                <w:szCs w:val="20"/>
              </w:rPr>
            </w:pPr>
            <w:r w:rsidRPr="008E63BB">
              <w:rPr>
                <w:rFonts w:eastAsia="Times New Roman"/>
                <w:sz w:val="20"/>
                <w:szCs w:val="20"/>
              </w:rPr>
              <w:t>6.013</w:t>
            </w:r>
          </w:p>
        </w:tc>
        <w:tc>
          <w:tcPr>
            <w:tcW w:w="866" w:type="dxa"/>
            <w:tcBorders>
              <w:top w:val="nil"/>
              <w:left w:val="nil"/>
              <w:bottom w:val="single" w:sz="4" w:space="0" w:color="auto"/>
              <w:right w:val="single" w:sz="4" w:space="0" w:color="auto"/>
            </w:tcBorders>
            <w:shd w:val="clear" w:color="auto" w:fill="auto"/>
            <w:noWrap/>
            <w:vAlign w:val="center"/>
            <w:hideMark/>
          </w:tcPr>
          <w:p w14:paraId="519B47D7" w14:textId="77777777" w:rsidR="0074711A" w:rsidRPr="008E63BB" w:rsidRDefault="0074711A" w:rsidP="0065184D">
            <w:pPr>
              <w:jc w:val="right"/>
              <w:rPr>
                <w:rFonts w:eastAsia="Times New Roman"/>
                <w:sz w:val="20"/>
                <w:szCs w:val="20"/>
              </w:rPr>
            </w:pPr>
            <w:r w:rsidRPr="008E63BB">
              <w:rPr>
                <w:rFonts w:eastAsia="Times New Roman"/>
                <w:sz w:val="20"/>
                <w:szCs w:val="20"/>
              </w:rPr>
              <w:t>5.995</w:t>
            </w:r>
          </w:p>
        </w:tc>
        <w:tc>
          <w:tcPr>
            <w:tcW w:w="866" w:type="dxa"/>
            <w:tcBorders>
              <w:top w:val="nil"/>
              <w:left w:val="nil"/>
              <w:bottom w:val="single" w:sz="4" w:space="0" w:color="auto"/>
              <w:right w:val="single" w:sz="4" w:space="0" w:color="auto"/>
            </w:tcBorders>
            <w:shd w:val="clear" w:color="auto" w:fill="auto"/>
            <w:vAlign w:val="bottom"/>
            <w:hideMark/>
          </w:tcPr>
          <w:p w14:paraId="519B47D8" w14:textId="77777777" w:rsidR="0074711A" w:rsidRPr="008E63BB" w:rsidRDefault="0074711A" w:rsidP="0065184D">
            <w:pPr>
              <w:jc w:val="right"/>
              <w:rPr>
                <w:rFonts w:eastAsia="Times New Roman"/>
                <w:sz w:val="20"/>
                <w:szCs w:val="20"/>
              </w:rPr>
            </w:pPr>
            <w:r w:rsidRPr="008E63BB">
              <w:rPr>
                <w:rFonts w:eastAsia="Times New Roman"/>
                <w:sz w:val="20"/>
                <w:szCs w:val="20"/>
              </w:rPr>
              <w:t>6.053</w:t>
            </w:r>
          </w:p>
        </w:tc>
        <w:tc>
          <w:tcPr>
            <w:tcW w:w="866" w:type="dxa"/>
            <w:tcBorders>
              <w:top w:val="nil"/>
              <w:left w:val="nil"/>
              <w:bottom w:val="single" w:sz="4" w:space="0" w:color="auto"/>
              <w:right w:val="single" w:sz="4" w:space="0" w:color="auto"/>
            </w:tcBorders>
            <w:shd w:val="clear" w:color="auto" w:fill="auto"/>
            <w:vAlign w:val="bottom"/>
            <w:hideMark/>
          </w:tcPr>
          <w:p w14:paraId="519B47D9" w14:textId="77777777" w:rsidR="0074711A" w:rsidRPr="008E63BB" w:rsidRDefault="0074711A" w:rsidP="0065184D">
            <w:pPr>
              <w:jc w:val="right"/>
              <w:rPr>
                <w:rFonts w:eastAsia="Times New Roman"/>
                <w:sz w:val="20"/>
                <w:szCs w:val="20"/>
              </w:rPr>
            </w:pPr>
            <w:r w:rsidRPr="008E63BB">
              <w:rPr>
                <w:rFonts w:eastAsia="Times New Roman"/>
                <w:sz w:val="20"/>
                <w:szCs w:val="20"/>
              </w:rPr>
              <w:t>6.123</w:t>
            </w:r>
          </w:p>
        </w:tc>
        <w:tc>
          <w:tcPr>
            <w:tcW w:w="866" w:type="dxa"/>
            <w:tcBorders>
              <w:top w:val="nil"/>
              <w:left w:val="nil"/>
              <w:bottom w:val="single" w:sz="4" w:space="0" w:color="auto"/>
              <w:right w:val="single" w:sz="4" w:space="0" w:color="auto"/>
            </w:tcBorders>
            <w:shd w:val="clear" w:color="auto" w:fill="auto"/>
            <w:noWrap/>
            <w:vAlign w:val="center"/>
            <w:hideMark/>
          </w:tcPr>
          <w:p w14:paraId="519B47DA" w14:textId="77777777" w:rsidR="0074711A" w:rsidRPr="008E63BB" w:rsidRDefault="0074711A" w:rsidP="0065184D">
            <w:pPr>
              <w:jc w:val="right"/>
              <w:rPr>
                <w:rFonts w:eastAsia="Times New Roman"/>
                <w:sz w:val="20"/>
                <w:szCs w:val="20"/>
              </w:rPr>
            </w:pPr>
            <w:r w:rsidRPr="008E63BB">
              <w:rPr>
                <w:rFonts w:eastAsia="Times New Roman"/>
                <w:sz w:val="20"/>
                <w:szCs w:val="20"/>
              </w:rPr>
              <w:t>6.158</w:t>
            </w:r>
          </w:p>
        </w:tc>
        <w:tc>
          <w:tcPr>
            <w:tcW w:w="866" w:type="dxa"/>
            <w:tcBorders>
              <w:top w:val="nil"/>
              <w:left w:val="nil"/>
              <w:bottom w:val="single" w:sz="4" w:space="0" w:color="auto"/>
              <w:right w:val="single" w:sz="4" w:space="0" w:color="auto"/>
            </w:tcBorders>
            <w:shd w:val="clear" w:color="auto" w:fill="auto"/>
            <w:noWrap/>
            <w:vAlign w:val="center"/>
            <w:hideMark/>
          </w:tcPr>
          <w:p w14:paraId="519B47DB" w14:textId="77777777" w:rsidR="0074711A" w:rsidRPr="008E63BB" w:rsidRDefault="0074711A" w:rsidP="0065184D">
            <w:pPr>
              <w:jc w:val="right"/>
              <w:rPr>
                <w:rFonts w:eastAsia="Times New Roman"/>
                <w:sz w:val="20"/>
                <w:szCs w:val="20"/>
              </w:rPr>
            </w:pPr>
            <w:r w:rsidRPr="008E63BB">
              <w:rPr>
                <w:rFonts w:eastAsia="Times New Roman"/>
                <w:sz w:val="20"/>
                <w:szCs w:val="20"/>
              </w:rPr>
              <w:t>6.188</w:t>
            </w:r>
          </w:p>
        </w:tc>
        <w:tc>
          <w:tcPr>
            <w:tcW w:w="866" w:type="dxa"/>
            <w:tcBorders>
              <w:top w:val="nil"/>
              <w:left w:val="nil"/>
              <w:bottom w:val="single" w:sz="4" w:space="0" w:color="auto"/>
              <w:right w:val="single" w:sz="4" w:space="0" w:color="auto"/>
            </w:tcBorders>
            <w:shd w:val="clear" w:color="auto" w:fill="auto"/>
            <w:noWrap/>
            <w:vAlign w:val="center"/>
            <w:hideMark/>
          </w:tcPr>
          <w:p w14:paraId="519B47DC" w14:textId="77777777" w:rsidR="0074711A" w:rsidRPr="008E63BB" w:rsidRDefault="0074711A" w:rsidP="0065184D">
            <w:pPr>
              <w:jc w:val="right"/>
              <w:rPr>
                <w:rFonts w:eastAsia="Times New Roman"/>
                <w:sz w:val="20"/>
                <w:szCs w:val="20"/>
              </w:rPr>
            </w:pPr>
            <w:r w:rsidRPr="008E63BB">
              <w:rPr>
                <w:rFonts w:eastAsia="Times New Roman"/>
                <w:sz w:val="20"/>
                <w:szCs w:val="20"/>
              </w:rPr>
              <w:t>6.377</w:t>
            </w:r>
          </w:p>
        </w:tc>
        <w:tc>
          <w:tcPr>
            <w:tcW w:w="866" w:type="dxa"/>
            <w:tcBorders>
              <w:top w:val="nil"/>
              <w:left w:val="nil"/>
              <w:bottom w:val="single" w:sz="4" w:space="0" w:color="auto"/>
              <w:right w:val="single" w:sz="4" w:space="0" w:color="auto"/>
            </w:tcBorders>
            <w:shd w:val="clear" w:color="auto" w:fill="auto"/>
            <w:noWrap/>
            <w:vAlign w:val="center"/>
            <w:hideMark/>
          </w:tcPr>
          <w:p w14:paraId="519B47DD" w14:textId="77777777" w:rsidR="0074711A" w:rsidRPr="008E63BB" w:rsidRDefault="0074711A" w:rsidP="0065184D">
            <w:pPr>
              <w:jc w:val="right"/>
              <w:rPr>
                <w:rFonts w:eastAsia="Times New Roman"/>
                <w:sz w:val="20"/>
                <w:szCs w:val="20"/>
              </w:rPr>
            </w:pPr>
            <w:r w:rsidRPr="008E63BB">
              <w:rPr>
                <w:rFonts w:eastAsia="Times New Roman"/>
                <w:sz w:val="20"/>
                <w:szCs w:val="20"/>
              </w:rPr>
              <w:t>6.468</w:t>
            </w:r>
          </w:p>
        </w:tc>
        <w:tc>
          <w:tcPr>
            <w:tcW w:w="866" w:type="dxa"/>
            <w:tcBorders>
              <w:top w:val="nil"/>
              <w:left w:val="nil"/>
              <w:bottom w:val="single" w:sz="4" w:space="0" w:color="auto"/>
              <w:right w:val="single" w:sz="4" w:space="0" w:color="auto"/>
            </w:tcBorders>
            <w:shd w:val="clear" w:color="auto" w:fill="auto"/>
            <w:noWrap/>
            <w:vAlign w:val="center"/>
            <w:hideMark/>
          </w:tcPr>
          <w:p w14:paraId="519B47DE" w14:textId="77777777" w:rsidR="0074711A" w:rsidRPr="008E63BB" w:rsidRDefault="0074711A" w:rsidP="0065184D">
            <w:pPr>
              <w:jc w:val="right"/>
              <w:rPr>
                <w:rFonts w:eastAsia="Times New Roman"/>
                <w:sz w:val="20"/>
                <w:szCs w:val="20"/>
              </w:rPr>
            </w:pPr>
            <w:r w:rsidRPr="008E63BB">
              <w:rPr>
                <w:rFonts w:eastAsia="Times New Roman"/>
                <w:sz w:val="20"/>
                <w:szCs w:val="20"/>
              </w:rPr>
              <w:t>6.481</w:t>
            </w:r>
          </w:p>
        </w:tc>
        <w:tc>
          <w:tcPr>
            <w:tcW w:w="866" w:type="dxa"/>
            <w:tcBorders>
              <w:top w:val="nil"/>
              <w:left w:val="nil"/>
              <w:bottom w:val="single" w:sz="4" w:space="0" w:color="auto"/>
              <w:right w:val="single" w:sz="4" w:space="0" w:color="auto"/>
            </w:tcBorders>
            <w:shd w:val="clear" w:color="auto" w:fill="auto"/>
            <w:noWrap/>
            <w:vAlign w:val="center"/>
            <w:hideMark/>
          </w:tcPr>
          <w:p w14:paraId="519B47DF" w14:textId="77777777" w:rsidR="0074711A" w:rsidRPr="008E63BB" w:rsidRDefault="0074711A" w:rsidP="0065184D">
            <w:pPr>
              <w:jc w:val="right"/>
              <w:rPr>
                <w:rFonts w:eastAsia="Times New Roman"/>
                <w:sz w:val="20"/>
                <w:szCs w:val="20"/>
              </w:rPr>
            </w:pPr>
            <w:r w:rsidRPr="008E63BB">
              <w:rPr>
                <w:rFonts w:eastAsia="Times New Roman"/>
                <w:sz w:val="20"/>
                <w:szCs w:val="20"/>
              </w:rPr>
              <w:t>6.553</w:t>
            </w:r>
          </w:p>
        </w:tc>
        <w:tc>
          <w:tcPr>
            <w:tcW w:w="994" w:type="dxa"/>
            <w:tcBorders>
              <w:top w:val="nil"/>
              <w:left w:val="nil"/>
              <w:bottom w:val="single" w:sz="4" w:space="0" w:color="auto"/>
              <w:right w:val="single" w:sz="4" w:space="0" w:color="auto"/>
            </w:tcBorders>
            <w:shd w:val="clear" w:color="auto" w:fill="auto"/>
            <w:noWrap/>
            <w:vAlign w:val="center"/>
            <w:hideMark/>
          </w:tcPr>
          <w:p w14:paraId="519B47E0" w14:textId="77777777" w:rsidR="0074711A" w:rsidRPr="008E63BB" w:rsidRDefault="0074711A" w:rsidP="0065184D">
            <w:pPr>
              <w:jc w:val="right"/>
              <w:rPr>
                <w:rFonts w:eastAsia="Times New Roman"/>
                <w:sz w:val="20"/>
                <w:szCs w:val="20"/>
              </w:rPr>
            </w:pPr>
            <w:r w:rsidRPr="008E63BB">
              <w:rPr>
                <w:rFonts w:eastAsia="Times New Roman"/>
                <w:sz w:val="20"/>
                <w:szCs w:val="20"/>
              </w:rPr>
              <w:t>4.648</w:t>
            </w:r>
          </w:p>
        </w:tc>
      </w:tr>
      <w:tr w:rsidR="008D5BFE" w:rsidRPr="008E63BB" w14:paraId="519B47F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E2" w14:textId="77777777" w:rsidR="0074711A" w:rsidRPr="008E63BB" w:rsidRDefault="0074711A" w:rsidP="0065184D">
            <w:pPr>
              <w:jc w:val="right"/>
              <w:rPr>
                <w:rFonts w:eastAsia="Times New Roman"/>
                <w:sz w:val="20"/>
                <w:szCs w:val="20"/>
              </w:rPr>
            </w:pPr>
            <w:r w:rsidRPr="008E63BB">
              <w:rPr>
                <w:rFonts w:eastAsia="Times New Roman"/>
                <w:sz w:val="20"/>
                <w:szCs w:val="20"/>
              </w:rPr>
              <w:t>21</w:t>
            </w:r>
          </w:p>
        </w:tc>
        <w:tc>
          <w:tcPr>
            <w:tcW w:w="2684" w:type="dxa"/>
            <w:tcBorders>
              <w:top w:val="nil"/>
              <w:left w:val="nil"/>
              <w:bottom w:val="single" w:sz="4" w:space="0" w:color="auto"/>
              <w:right w:val="single" w:sz="4" w:space="0" w:color="auto"/>
            </w:tcBorders>
            <w:shd w:val="clear" w:color="auto" w:fill="auto"/>
            <w:noWrap/>
            <w:vAlign w:val="center"/>
            <w:hideMark/>
          </w:tcPr>
          <w:p w14:paraId="519B47E3" w14:textId="77777777" w:rsidR="0074711A" w:rsidRPr="008E63BB" w:rsidRDefault="0074711A" w:rsidP="0065184D">
            <w:pPr>
              <w:jc w:val="left"/>
              <w:rPr>
                <w:rFonts w:eastAsia="Times New Roman"/>
                <w:sz w:val="20"/>
                <w:szCs w:val="20"/>
              </w:rPr>
            </w:pPr>
            <w:r w:rsidRPr="008E63BB">
              <w:rPr>
                <w:rFonts w:eastAsia="Times New Roman"/>
                <w:sz w:val="20"/>
                <w:szCs w:val="20"/>
              </w:rPr>
              <w:t>P. Lộc Hòa</w:t>
            </w:r>
          </w:p>
        </w:tc>
        <w:tc>
          <w:tcPr>
            <w:tcW w:w="794" w:type="dxa"/>
            <w:tcBorders>
              <w:top w:val="nil"/>
              <w:left w:val="nil"/>
              <w:bottom w:val="single" w:sz="4" w:space="0" w:color="auto"/>
              <w:right w:val="single" w:sz="4" w:space="0" w:color="auto"/>
            </w:tcBorders>
            <w:shd w:val="clear" w:color="auto" w:fill="auto"/>
            <w:noWrap/>
            <w:vAlign w:val="center"/>
            <w:hideMark/>
          </w:tcPr>
          <w:p w14:paraId="519B47E4" w14:textId="77777777" w:rsidR="0074711A" w:rsidRPr="008E63BB" w:rsidRDefault="0074711A" w:rsidP="0065184D">
            <w:pPr>
              <w:jc w:val="right"/>
              <w:rPr>
                <w:rFonts w:eastAsia="Times New Roman"/>
                <w:sz w:val="20"/>
                <w:szCs w:val="20"/>
              </w:rPr>
            </w:pPr>
            <w:r w:rsidRPr="008E63BB">
              <w:rPr>
                <w:rFonts w:eastAsia="Times New Roman"/>
                <w:sz w:val="20"/>
                <w:szCs w:val="20"/>
              </w:rPr>
              <w:t>6,43</w:t>
            </w:r>
          </w:p>
        </w:tc>
        <w:tc>
          <w:tcPr>
            <w:tcW w:w="866" w:type="dxa"/>
            <w:tcBorders>
              <w:top w:val="nil"/>
              <w:left w:val="nil"/>
              <w:bottom w:val="single" w:sz="4" w:space="0" w:color="auto"/>
              <w:right w:val="nil"/>
            </w:tcBorders>
            <w:shd w:val="clear" w:color="auto" w:fill="auto"/>
            <w:vAlign w:val="center"/>
            <w:hideMark/>
          </w:tcPr>
          <w:p w14:paraId="519B47E5" w14:textId="77777777" w:rsidR="0074711A" w:rsidRPr="008E63BB" w:rsidRDefault="0074711A" w:rsidP="0065184D">
            <w:pPr>
              <w:jc w:val="right"/>
              <w:rPr>
                <w:rFonts w:eastAsia="Times New Roman"/>
                <w:sz w:val="20"/>
                <w:szCs w:val="20"/>
              </w:rPr>
            </w:pPr>
            <w:r w:rsidRPr="008E63BB">
              <w:rPr>
                <w:rFonts w:eastAsia="Times New Roman"/>
                <w:sz w:val="20"/>
                <w:szCs w:val="20"/>
              </w:rPr>
              <w:t>9.023</w:t>
            </w:r>
          </w:p>
        </w:tc>
        <w:tc>
          <w:tcPr>
            <w:tcW w:w="866" w:type="dxa"/>
            <w:tcBorders>
              <w:top w:val="nil"/>
              <w:left w:val="single" w:sz="4" w:space="0" w:color="auto"/>
              <w:bottom w:val="single" w:sz="4" w:space="0" w:color="auto"/>
              <w:right w:val="nil"/>
            </w:tcBorders>
            <w:shd w:val="clear" w:color="auto" w:fill="auto"/>
            <w:vAlign w:val="center"/>
            <w:hideMark/>
          </w:tcPr>
          <w:p w14:paraId="519B47E6" w14:textId="77777777" w:rsidR="0074711A" w:rsidRPr="008E63BB" w:rsidRDefault="0074711A" w:rsidP="0065184D">
            <w:pPr>
              <w:jc w:val="right"/>
              <w:rPr>
                <w:rFonts w:eastAsia="Times New Roman"/>
                <w:sz w:val="20"/>
                <w:szCs w:val="20"/>
              </w:rPr>
            </w:pPr>
            <w:r w:rsidRPr="008E63BB">
              <w:rPr>
                <w:rFonts w:eastAsia="Times New Roman"/>
                <w:sz w:val="20"/>
                <w:szCs w:val="20"/>
              </w:rPr>
              <w:t>9.261</w:t>
            </w:r>
          </w:p>
        </w:tc>
        <w:tc>
          <w:tcPr>
            <w:tcW w:w="866" w:type="dxa"/>
            <w:tcBorders>
              <w:top w:val="nil"/>
              <w:left w:val="single" w:sz="4" w:space="0" w:color="auto"/>
              <w:bottom w:val="single" w:sz="4" w:space="0" w:color="auto"/>
              <w:right w:val="nil"/>
            </w:tcBorders>
            <w:shd w:val="clear" w:color="auto" w:fill="auto"/>
            <w:vAlign w:val="center"/>
            <w:hideMark/>
          </w:tcPr>
          <w:p w14:paraId="519B47E7" w14:textId="77777777" w:rsidR="0074711A" w:rsidRPr="008E63BB" w:rsidRDefault="0074711A" w:rsidP="0065184D">
            <w:pPr>
              <w:jc w:val="right"/>
              <w:rPr>
                <w:rFonts w:eastAsia="Times New Roman"/>
                <w:sz w:val="20"/>
                <w:szCs w:val="20"/>
              </w:rPr>
            </w:pPr>
            <w:r w:rsidRPr="008E63BB">
              <w:rPr>
                <w:rFonts w:eastAsia="Times New Roman"/>
                <w:sz w:val="20"/>
                <w:szCs w:val="20"/>
              </w:rPr>
              <w:t>9.466</w:t>
            </w:r>
          </w:p>
        </w:tc>
        <w:tc>
          <w:tcPr>
            <w:tcW w:w="866" w:type="dxa"/>
            <w:tcBorders>
              <w:top w:val="nil"/>
              <w:left w:val="single" w:sz="4" w:space="0" w:color="auto"/>
              <w:bottom w:val="single" w:sz="4" w:space="0" w:color="auto"/>
              <w:right w:val="nil"/>
            </w:tcBorders>
            <w:shd w:val="clear" w:color="auto" w:fill="auto"/>
            <w:vAlign w:val="center"/>
            <w:hideMark/>
          </w:tcPr>
          <w:p w14:paraId="519B47E8" w14:textId="77777777" w:rsidR="0074711A" w:rsidRPr="008E63BB" w:rsidRDefault="0074711A" w:rsidP="0065184D">
            <w:pPr>
              <w:jc w:val="right"/>
              <w:rPr>
                <w:rFonts w:eastAsia="Times New Roman"/>
                <w:sz w:val="20"/>
                <w:szCs w:val="20"/>
              </w:rPr>
            </w:pPr>
            <w:r w:rsidRPr="008E63BB">
              <w:rPr>
                <w:rFonts w:eastAsia="Times New Roman"/>
                <w:sz w:val="20"/>
                <w:szCs w:val="20"/>
              </w:rPr>
              <w:t>9.643</w:t>
            </w:r>
          </w:p>
        </w:tc>
        <w:tc>
          <w:tcPr>
            <w:tcW w:w="866" w:type="dxa"/>
            <w:tcBorders>
              <w:top w:val="nil"/>
              <w:left w:val="single" w:sz="4" w:space="0" w:color="auto"/>
              <w:bottom w:val="single" w:sz="4" w:space="0" w:color="auto"/>
              <w:right w:val="nil"/>
            </w:tcBorders>
            <w:shd w:val="clear" w:color="auto" w:fill="auto"/>
            <w:vAlign w:val="center"/>
            <w:hideMark/>
          </w:tcPr>
          <w:p w14:paraId="519B47E9" w14:textId="77777777" w:rsidR="0074711A" w:rsidRPr="008E63BB" w:rsidRDefault="0074711A" w:rsidP="0065184D">
            <w:pPr>
              <w:jc w:val="right"/>
              <w:rPr>
                <w:rFonts w:eastAsia="Times New Roman"/>
                <w:sz w:val="20"/>
                <w:szCs w:val="20"/>
              </w:rPr>
            </w:pPr>
            <w:r w:rsidRPr="008E63BB">
              <w:rPr>
                <w:rFonts w:eastAsia="Times New Roman"/>
                <w:sz w:val="20"/>
                <w:szCs w:val="20"/>
              </w:rPr>
              <w:t>9.261</w:t>
            </w:r>
          </w:p>
        </w:tc>
        <w:tc>
          <w:tcPr>
            <w:tcW w:w="866" w:type="dxa"/>
            <w:tcBorders>
              <w:top w:val="nil"/>
              <w:left w:val="single" w:sz="4" w:space="0" w:color="auto"/>
              <w:bottom w:val="single" w:sz="4" w:space="0" w:color="auto"/>
              <w:right w:val="nil"/>
            </w:tcBorders>
            <w:shd w:val="clear" w:color="auto" w:fill="auto"/>
            <w:vAlign w:val="center"/>
            <w:hideMark/>
          </w:tcPr>
          <w:p w14:paraId="519B47EA" w14:textId="77777777" w:rsidR="0074711A" w:rsidRPr="008E63BB" w:rsidRDefault="0074711A" w:rsidP="0065184D">
            <w:pPr>
              <w:jc w:val="right"/>
              <w:rPr>
                <w:rFonts w:eastAsia="Times New Roman"/>
                <w:sz w:val="20"/>
                <w:szCs w:val="20"/>
              </w:rPr>
            </w:pPr>
            <w:r w:rsidRPr="008E63BB">
              <w:rPr>
                <w:rFonts w:eastAsia="Times New Roman"/>
                <w:sz w:val="20"/>
                <w:szCs w:val="20"/>
              </w:rPr>
              <w:t>9.074</w:t>
            </w:r>
          </w:p>
        </w:tc>
        <w:tc>
          <w:tcPr>
            <w:tcW w:w="866" w:type="dxa"/>
            <w:tcBorders>
              <w:top w:val="nil"/>
              <w:left w:val="single" w:sz="4" w:space="0" w:color="auto"/>
              <w:bottom w:val="single" w:sz="4" w:space="0" w:color="auto"/>
              <w:right w:val="nil"/>
            </w:tcBorders>
            <w:shd w:val="clear" w:color="auto" w:fill="auto"/>
            <w:vAlign w:val="center"/>
            <w:hideMark/>
          </w:tcPr>
          <w:p w14:paraId="519B47EB" w14:textId="77777777" w:rsidR="0074711A" w:rsidRPr="008E63BB" w:rsidRDefault="0074711A" w:rsidP="0065184D">
            <w:pPr>
              <w:jc w:val="right"/>
              <w:rPr>
                <w:rFonts w:eastAsia="Times New Roman"/>
                <w:sz w:val="20"/>
                <w:szCs w:val="20"/>
              </w:rPr>
            </w:pPr>
            <w:r w:rsidRPr="008E63BB">
              <w:rPr>
                <w:rFonts w:eastAsia="Times New Roman"/>
                <w:sz w:val="20"/>
                <w:szCs w:val="20"/>
              </w:rPr>
              <w:t>9.270</w:t>
            </w:r>
          </w:p>
        </w:tc>
        <w:tc>
          <w:tcPr>
            <w:tcW w:w="866" w:type="dxa"/>
            <w:tcBorders>
              <w:top w:val="nil"/>
              <w:left w:val="single" w:sz="4" w:space="0" w:color="auto"/>
              <w:bottom w:val="single" w:sz="4" w:space="0" w:color="auto"/>
              <w:right w:val="nil"/>
            </w:tcBorders>
            <w:shd w:val="clear" w:color="auto" w:fill="auto"/>
            <w:vAlign w:val="center"/>
            <w:hideMark/>
          </w:tcPr>
          <w:p w14:paraId="519B47EC" w14:textId="77777777" w:rsidR="0074711A" w:rsidRPr="008E63BB" w:rsidRDefault="0074711A" w:rsidP="0065184D">
            <w:pPr>
              <w:jc w:val="right"/>
              <w:rPr>
                <w:rFonts w:eastAsia="Times New Roman"/>
                <w:sz w:val="20"/>
                <w:szCs w:val="20"/>
              </w:rPr>
            </w:pPr>
            <w:r w:rsidRPr="008E63BB">
              <w:rPr>
                <w:rFonts w:eastAsia="Times New Roman"/>
                <w:sz w:val="20"/>
                <w:szCs w:val="20"/>
              </w:rPr>
              <w:t>9.372</w:t>
            </w:r>
          </w:p>
        </w:tc>
        <w:tc>
          <w:tcPr>
            <w:tcW w:w="866" w:type="dxa"/>
            <w:tcBorders>
              <w:top w:val="nil"/>
              <w:left w:val="single" w:sz="4" w:space="0" w:color="auto"/>
              <w:bottom w:val="single" w:sz="4" w:space="0" w:color="auto"/>
              <w:right w:val="nil"/>
            </w:tcBorders>
            <w:shd w:val="clear" w:color="auto" w:fill="auto"/>
            <w:vAlign w:val="center"/>
            <w:hideMark/>
          </w:tcPr>
          <w:p w14:paraId="519B47ED" w14:textId="77777777" w:rsidR="0074711A" w:rsidRPr="008E63BB" w:rsidRDefault="0074711A" w:rsidP="0065184D">
            <w:pPr>
              <w:jc w:val="right"/>
              <w:rPr>
                <w:rFonts w:eastAsia="Times New Roman"/>
                <w:sz w:val="20"/>
                <w:szCs w:val="20"/>
              </w:rPr>
            </w:pPr>
            <w:r w:rsidRPr="008E63BB">
              <w:rPr>
                <w:rFonts w:eastAsia="Times New Roman"/>
                <w:sz w:val="20"/>
                <w:szCs w:val="20"/>
              </w:rPr>
              <w:t>9.439</w:t>
            </w:r>
          </w:p>
        </w:tc>
        <w:tc>
          <w:tcPr>
            <w:tcW w:w="866" w:type="dxa"/>
            <w:tcBorders>
              <w:top w:val="nil"/>
              <w:left w:val="single" w:sz="4" w:space="0" w:color="auto"/>
              <w:bottom w:val="single" w:sz="4" w:space="0" w:color="auto"/>
              <w:right w:val="nil"/>
            </w:tcBorders>
            <w:shd w:val="clear" w:color="auto" w:fill="auto"/>
            <w:vAlign w:val="center"/>
            <w:hideMark/>
          </w:tcPr>
          <w:p w14:paraId="519B47EE" w14:textId="77777777" w:rsidR="0074711A" w:rsidRPr="008E63BB" w:rsidRDefault="0074711A" w:rsidP="0065184D">
            <w:pPr>
              <w:jc w:val="right"/>
              <w:rPr>
                <w:rFonts w:eastAsia="Times New Roman"/>
                <w:sz w:val="20"/>
                <w:szCs w:val="20"/>
              </w:rPr>
            </w:pPr>
            <w:r w:rsidRPr="008E63BB">
              <w:rPr>
                <w:rFonts w:eastAsia="Times New Roman"/>
                <w:sz w:val="20"/>
                <w:szCs w:val="20"/>
              </w:rPr>
              <w:t>9.245</w:t>
            </w:r>
          </w:p>
        </w:tc>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519B47EF" w14:textId="77777777" w:rsidR="0074711A" w:rsidRPr="008E63BB" w:rsidRDefault="0074711A" w:rsidP="0065184D">
            <w:pPr>
              <w:jc w:val="right"/>
              <w:rPr>
                <w:rFonts w:eastAsia="Times New Roman"/>
                <w:sz w:val="20"/>
                <w:szCs w:val="20"/>
              </w:rPr>
            </w:pPr>
            <w:r w:rsidRPr="008E63BB">
              <w:rPr>
                <w:rFonts w:eastAsia="Times New Roman"/>
                <w:sz w:val="20"/>
                <w:szCs w:val="20"/>
              </w:rPr>
              <w:t>9.681*</w:t>
            </w:r>
          </w:p>
        </w:tc>
        <w:tc>
          <w:tcPr>
            <w:tcW w:w="994" w:type="dxa"/>
            <w:tcBorders>
              <w:top w:val="nil"/>
              <w:left w:val="nil"/>
              <w:bottom w:val="single" w:sz="4" w:space="0" w:color="auto"/>
              <w:right w:val="single" w:sz="4" w:space="0" w:color="auto"/>
            </w:tcBorders>
            <w:shd w:val="clear" w:color="auto" w:fill="auto"/>
            <w:noWrap/>
            <w:vAlign w:val="center"/>
            <w:hideMark/>
          </w:tcPr>
          <w:p w14:paraId="519B47F0" w14:textId="77777777" w:rsidR="0074711A" w:rsidRPr="008E63BB" w:rsidRDefault="0074711A" w:rsidP="0065184D">
            <w:pPr>
              <w:jc w:val="right"/>
              <w:rPr>
                <w:rFonts w:eastAsia="Times New Roman"/>
                <w:sz w:val="20"/>
                <w:szCs w:val="20"/>
              </w:rPr>
            </w:pPr>
            <w:r w:rsidRPr="008E63BB">
              <w:rPr>
                <w:rFonts w:eastAsia="Times New Roman"/>
                <w:sz w:val="20"/>
                <w:szCs w:val="20"/>
              </w:rPr>
              <w:t>1.506</w:t>
            </w:r>
          </w:p>
        </w:tc>
      </w:tr>
      <w:tr w:rsidR="008D5BFE" w:rsidRPr="008E63BB" w14:paraId="519B480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7F2" w14:textId="77777777" w:rsidR="0074711A" w:rsidRPr="008E63BB" w:rsidRDefault="0074711A" w:rsidP="0065184D">
            <w:pPr>
              <w:jc w:val="right"/>
              <w:rPr>
                <w:rFonts w:eastAsia="Times New Roman"/>
                <w:sz w:val="20"/>
                <w:szCs w:val="20"/>
              </w:rPr>
            </w:pPr>
            <w:r w:rsidRPr="008E63BB">
              <w:rPr>
                <w:rFonts w:eastAsia="Times New Roman"/>
                <w:sz w:val="20"/>
                <w:szCs w:val="20"/>
              </w:rPr>
              <w:t>22</w:t>
            </w:r>
          </w:p>
        </w:tc>
        <w:tc>
          <w:tcPr>
            <w:tcW w:w="2684" w:type="dxa"/>
            <w:tcBorders>
              <w:top w:val="nil"/>
              <w:left w:val="nil"/>
              <w:bottom w:val="single" w:sz="4" w:space="0" w:color="auto"/>
              <w:right w:val="single" w:sz="4" w:space="0" w:color="auto"/>
            </w:tcBorders>
            <w:shd w:val="clear" w:color="auto" w:fill="auto"/>
            <w:noWrap/>
            <w:vAlign w:val="center"/>
            <w:hideMark/>
          </w:tcPr>
          <w:p w14:paraId="519B47F3" w14:textId="77777777" w:rsidR="0074711A" w:rsidRPr="008E63BB" w:rsidRDefault="0074711A" w:rsidP="0065184D">
            <w:pPr>
              <w:jc w:val="left"/>
              <w:rPr>
                <w:rFonts w:eastAsia="Times New Roman"/>
                <w:sz w:val="20"/>
                <w:szCs w:val="20"/>
              </w:rPr>
            </w:pPr>
            <w:r w:rsidRPr="008E63BB">
              <w:rPr>
                <w:rFonts w:eastAsia="Times New Roman"/>
                <w:sz w:val="20"/>
                <w:szCs w:val="20"/>
              </w:rPr>
              <w:t>P. Mỹ Xá</w:t>
            </w:r>
          </w:p>
        </w:tc>
        <w:tc>
          <w:tcPr>
            <w:tcW w:w="794" w:type="dxa"/>
            <w:tcBorders>
              <w:top w:val="nil"/>
              <w:left w:val="nil"/>
              <w:bottom w:val="single" w:sz="4" w:space="0" w:color="auto"/>
              <w:right w:val="single" w:sz="4" w:space="0" w:color="auto"/>
            </w:tcBorders>
            <w:shd w:val="clear" w:color="auto" w:fill="auto"/>
            <w:noWrap/>
            <w:vAlign w:val="center"/>
            <w:hideMark/>
          </w:tcPr>
          <w:p w14:paraId="519B47F4" w14:textId="77777777" w:rsidR="0074711A" w:rsidRPr="008E63BB" w:rsidRDefault="0074711A" w:rsidP="0065184D">
            <w:pPr>
              <w:jc w:val="right"/>
              <w:rPr>
                <w:rFonts w:eastAsia="Times New Roman"/>
                <w:sz w:val="20"/>
                <w:szCs w:val="20"/>
              </w:rPr>
            </w:pPr>
            <w:r w:rsidRPr="008E63BB">
              <w:rPr>
                <w:rFonts w:eastAsia="Times New Roman"/>
                <w:sz w:val="20"/>
                <w:szCs w:val="20"/>
              </w:rPr>
              <w:t>6,22</w:t>
            </w:r>
          </w:p>
        </w:tc>
        <w:tc>
          <w:tcPr>
            <w:tcW w:w="866" w:type="dxa"/>
            <w:tcBorders>
              <w:top w:val="nil"/>
              <w:left w:val="nil"/>
              <w:bottom w:val="single" w:sz="4" w:space="0" w:color="auto"/>
              <w:right w:val="nil"/>
            </w:tcBorders>
            <w:shd w:val="clear" w:color="auto" w:fill="auto"/>
            <w:vAlign w:val="center"/>
            <w:hideMark/>
          </w:tcPr>
          <w:p w14:paraId="519B47F5" w14:textId="77777777" w:rsidR="0074711A" w:rsidRPr="008E63BB" w:rsidRDefault="0074711A" w:rsidP="0065184D">
            <w:pPr>
              <w:jc w:val="right"/>
              <w:rPr>
                <w:rFonts w:eastAsia="Times New Roman"/>
                <w:sz w:val="20"/>
                <w:szCs w:val="20"/>
              </w:rPr>
            </w:pPr>
            <w:r w:rsidRPr="008E63BB">
              <w:rPr>
                <w:rFonts w:eastAsia="Times New Roman"/>
                <w:sz w:val="20"/>
                <w:szCs w:val="20"/>
              </w:rPr>
              <w:t>9.108</w:t>
            </w:r>
          </w:p>
        </w:tc>
        <w:tc>
          <w:tcPr>
            <w:tcW w:w="866" w:type="dxa"/>
            <w:tcBorders>
              <w:top w:val="nil"/>
              <w:left w:val="single" w:sz="4" w:space="0" w:color="auto"/>
              <w:bottom w:val="single" w:sz="4" w:space="0" w:color="auto"/>
              <w:right w:val="nil"/>
            </w:tcBorders>
            <w:shd w:val="clear" w:color="auto" w:fill="auto"/>
            <w:vAlign w:val="center"/>
            <w:hideMark/>
          </w:tcPr>
          <w:p w14:paraId="519B47F6" w14:textId="77777777" w:rsidR="0074711A" w:rsidRPr="008E63BB" w:rsidRDefault="0074711A" w:rsidP="0065184D">
            <w:pPr>
              <w:jc w:val="right"/>
              <w:rPr>
                <w:rFonts w:eastAsia="Times New Roman"/>
                <w:sz w:val="20"/>
                <w:szCs w:val="20"/>
              </w:rPr>
            </w:pPr>
            <w:r w:rsidRPr="008E63BB">
              <w:rPr>
                <w:rFonts w:eastAsia="Times New Roman"/>
                <w:sz w:val="20"/>
                <w:szCs w:val="20"/>
              </w:rPr>
              <w:t>8.079</w:t>
            </w:r>
          </w:p>
        </w:tc>
        <w:tc>
          <w:tcPr>
            <w:tcW w:w="866" w:type="dxa"/>
            <w:tcBorders>
              <w:top w:val="nil"/>
              <w:left w:val="single" w:sz="4" w:space="0" w:color="auto"/>
              <w:bottom w:val="single" w:sz="4" w:space="0" w:color="auto"/>
              <w:right w:val="nil"/>
            </w:tcBorders>
            <w:shd w:val="clear" w:color="auto" w:fill="auto"/>
            <w:vAlign w:val="center"/>
            <w:hideMark/>
          </w:tcPr>
          <w:p w14:paraId="519B47F7" w14:textId="77777777" w:rsidR="0074711A" w:rsidRPr="008E63BB" w:rsidRDefault="0074711A" w:rsidP="0065184D">
            <w:pPr>
              <w:jc w:val="right"/>
              <w:rPr>
                <w:rFonts w:eastAsia="Times New Roman"/>
                <w:sz w:val="20"/>
                <w:szCs w:val="20"/>
              </w:rPr>
            </w:pPr>
            <w:r w:rsidRPr="008E63BB">
              <w:rPr>
                <w:rFonts w:eastAsia="Times New Roman"/>
                <w:sz w:val="20"/>
                <w:szCs w:val="20"/>
              </w:rPr>
              <w:t>8.368</w:t>
            </w:r>
          </w:p>
        </w:tc>
        <w:tc>
          <w:tcPr>
            <w:tcW w:w="866" w:type="dxa"/>
            <w:tcBorders>
              <w:top w:val="nil"/>
              <w:left w:val="single" w:sz="4" w:space="0" w:color="auto"/>
              <w:bottom w:val="single" w:sz="4" w:space="0" w:color="auto"/>
              <w:right w:val="nil"/>
            </w:tcBorders>
            <w:shd w:val="clear" w:color="auto" w:fill="auto"/>
            <w:vAlign w:val="center"/>
            <w:hideMark/>
          </w:tcPr>
          <w:p w14:paraId="519B47F8" w14:textId="77777777" w:rsidR="0074711A" w:rsidRPr="008E63BB" w:rsidRDefault="0074711A" w:rsidP="0065184D">
            <w:pPr>
              <w:jc w:val="right"/>
              <w:rPr>
                <w:rFonts w:eastAsia="Times New Roman"/>
                <w:sz w:val="20"/>
                <w:szCs w:val="20"/>
              </w:rPr>
            </w:pPr>
            <w:r w:rsidRPr="008E63BB">
              <w:rPr>
                <w:rFonts w:eastAsia="Times New Roman"/>
                <w:sz w:val="20"/>
                <w:szCs w:val="20"/>
              </w:rPr>
              <w:t>8.637</w:t>
            </w:r>
          </w:p>
        </w:tc>
        <w:tc>
          <w:tcPr>
            <w:tcW w:w="866" w:type="dxa"/>
            <w:tcBorders>
              <w:top w:val="nil"/>
              <w:left w:val="single" w:sz="4" w:space="0" w:color="auto"/>
              <w:bottom w:val="single" w:sz="4" w:space="0" w:color="auto"/>
              <w:right w:val="nil"/>
            </w:tcBorders>
            <w:shd w:val="clear" w:color="auto" w:fill="auto"/>
            <w:vAlign w:val="center"/>
            <w:hideMark/>
          </w:tcPr>
          <w:p w14:paraId="519B47F9" w14:textId="77777777" w:rsidR="0074711A" w:rsidRPr="008E63BB" w:rsidRDefault="0074711A" w:rsidP="0065184D">
            <w:pPr>
              <w:jc w:val="right"/>
              <w:rPr>
                <w:rFonts w:eastAsia="Times New Roman"/>
                <w:sz w:val="20"/>
                <w:szCs w:val="20"/>
              </w:rPr>
            </w:pPr>
            <w:r w:rsidRPr="008E63BB">
              <w:rPr>
                <w:rFonts w:eastAsia="Times New Roman"/>
                <w:sz w:val="20"/>
                <w:szCs w:val="20"/>
              </w:rPr>
              <w:t>8.549</w:t>
            </w:r>
          </w:p>
        </w:tc>
        <w:tc>
          <w:tcPr>
            <w:tcW w:w="866" w:type="dxa"/>
            <w:tcBorders>
              <w:top w:val="nil"/>
              <w:left w:val="single" w:sz="4" w:space="0" w:color="auto"/>
              <w:bottom w:val="single" w:sz="4" w:space="0" w:color="auto"/>
              <w:right w:val="nil"/>
            </w:tcBorders>
            <w:shd w:val="clear" w:color="auto" w:fill="auto"/>
            <w:vAlign w:val="center"/>
            <w:hideMark/>
          </w:tcPr>
          <w:p w14:paraId="519B47FA" w14:textId="77777777" w:rsidR="0074711A" w:rsidRPr="008E63BB" w:rsidRDefault="0074711A" w:rsidP="0065184D">
            <w:pPr>
              <w:jc w:val="right"/>
              <w:rPr>
                <w:rFonts w:eastAsia="Times New Roman"/>
                <w:sz w:val="20"/>
                <w:szCs w:val="20"/>
              </w:rPr>
            </w:pPr>
            <w:r w:rsidRPr="008E63BB">
              <w:rPr>
                <w:rFonts w:eastAsia="Times New Roman"/>
                <w:sz w:val="20"/>
                <w:szCs w:val="20"/>
              </w:rPr>
              <w:t>8.580</w:t>
            </w:r>
          </w:p>
        </w:tc>
        <w:tc>
          <w:tcPr>
            <w:tcW w:w="866" w:type="dxa"/>
            <w:tcBorders>
              <w:top w:val="nil"/>
              <w:left w:val="single" w:sz="4" w:space="0" w:color="auto"/>
              <w:bottom w:val="single" w:sz="4" w:space="0" w:color="auto"/>
              <w:right w:val="nil"/>
            </w:tcBorders>
            <w:shd w:val="clear" w:color="auto" w:fill="auto"/>
            <w:vAlign w:val="center"/>
            <w:hideMark/>
          </w:tcPr>
          <w:p w14:paraId="519B47FB" w14:textId="77777777" w:rsidR="0074711A" w:rsidRPr="008E63BB" w:rsidRDefault="0074711A" w:rsidP="0065184D">
            <w:pPr>
              <w:jc w:val="right"/>
              <w:rPr>
                <w:rFonts w:eastAsia="Times New Roman"/>
                <w:sz w:val="20"/>
                <w:szCs w:val="20"/>
              </w:rPr>
            </w:pPr>
            <w:r w:rsidRPr="008E63BB">
              <w:rPr>
                <w:rFonts w:eastAsia="Times New Roman"/>
                <w:sz w:val="20"/>
                <w:szCs w:val="20"/>
              </w:rPr>
              <w:t>8.719</w:t>
            </w:r>
          </w:p>
        </w:tc>
        <w:tc>
          <w:tcPr>
            <w:tcW w:w="866" w:type="dxa"/>
            <w:tcBorders>
              <w:top w:val="nil"/>
              <w:left w:val="single" w:sz="4" w:space="0" w:color="auto"/>
              <w:bottom w:val="single" w:sz="4" w:space="0" w:color="auto"/>
              <w:right w:val="nil"/>
            </w:tcBorders>
            <w:shd w:val="clear" w:color="auto" w:fill="auto"/>
            <w:vAlign w:val="center"/>
            <w:hideMark/>
          </w:tcPr>
          <w:p w14:paraId="519B47FC" w14:textId="77777777" w:rsidR="0074711A" w:rsidRPr="008E63BB" w:rsidRDefault="0074711A" w:rsidP="0065184D">
            <w:pPr>
              <w:jc w:val="right"/>
              <w:rPr>
                <w:rFonts w:eastAsia="Times New Roman"/>
                <w:sz w:val="20"/>
                <w:szCs w:val="20"/>
              </w:rPr>
            </w:pPr>
            <w:r w:rsidRPr="008E63BB">
              <w:rPr>
                <w:rFonts w:eastAsia="Times New Roman"/>
                <w:sz w:val="20"/>
                <w:szCs w:val="20"/>
              </w:rPr>
              <w:t>8.896</w:t>
            </w:r>
          </w:p>
        </w:tc>
        <w:tc>
          <w:tcPr>
            <w:tcW w:w="866" w:type="dxa"/>
            <w:tcBorders>
              <w:top w:val="nil"/>
              <w:left w:val="single" w:sz="4" w:space="0" w:color="auto"/>
              <w:bottom w:val="single" w:sz="4" w:space="0" w:color="auto"/>
              <w:right w:val="nil"/>
            </w:tcBorders>
            <w:shd w:val="clear" w:color="auto" w:fill="auto"/>
            <w:vAlign w:val="center"/>
            <w:hideMark/>
          </w:tcPr>
          <w:p w14:paraId="519B47FD" w14:textId="77777777" w:rsidR="0074711A" w:rsidRPr="008E63BB" w:rsidRDefault="0074711A" w:rsidP="0065184D">
            <w:pPr>
              <w:jc w:val="right"/>
              <w:rPr>
                <w:rFonts w:eastAsia="Times New Roman"/>
                <w:sz w:val="20"/>
                <w:szCs w:val="20"/>
              </w:rPr>
            </w:pPr>
            <w:r w:rsidRPr="008E63BB">
              <w:rPr>
                <w:rFonts w:eastAsia="Times New Roman"/>
                <w:sz w:val="20"/>
                <w:szCs w:val="20"/>
              </w:rPr>
              <w:t>8.933</w:t>
            </w:r>
          </w:p>
        </w:tc>
        <w:tc>
          <w:tcPr>
            <w:tcW w:w="866" w:type="dxa"/>
            <w:tcBorders>
              <w:top w:val="nil"/>
              <w:left w:val="single" w:sz="4" w:space="0" w:color="auto"/>
              <w:bottom w:val="single" w:sz="4" w:space="0" w:color="auto"/>
              <w:right w:val="nil"/>
            </w:tcBorders>
            <w:shd w:val="clear" w:color="auto" w:fill="auto"/>
            <w:vAlign w:val="center"/>
            <w:hideMark/>
          </w:tcPr>
          <w:p w14:paraId="519B47FE" w14:textId="77777777" w:rsidR="0074711A" w:rsidRPr="008E63BB" w:rsidRDefault="0074711A" w:rsidP="0065184D">
            <w:pPr>
              <w:jc w:val="right"/>
              <w:rPr>
                <w:rFonts w:eastAsia="Times New Roman"/>
                <w:sz w:val="20"/>
                <w:szCs w:val="20"/>
              </w:rPr>
            </w:pPr>
            <w:r w:rsidRPr="008E63BB">
              <w:rPr>
                <w:rFonts w:eastAsia="Times New Roman"/>
                <w:sz w:val="20"/>
                <w:szCs w:val="20"/>
              </w:rPr>
              <w:t>8.652</w:t>
            </w:r>
          </w:p>
        </w:tc>
        <w:tc>
          <w:tcPr>
            <w:tcW w:w="866" w:type="dxa"/>
            <w:tcBorders>
              <w:top w:val="nil"/>
              <w:left w:val="single" w:sz="4" w:space="0" w:color="auto"/>
              <w:bottom w:val="single" w:sz="4" w:space="0" w:color="auto"/>
              <w:right w:val="single" w:sz="4" w:space="0" w:color="auto"/>
            </w:tcBorders>
            <w:shd w:val="clear" w:color="auto" w:fill="auto"/>
            <w:noWrap/>
            <w:vAlign w:val="center"/>
            <w:hideMark/>
          </w:tcPr>
          <w:p w14:paraId="519B47FF" w14:textId="77777777" w:rsidR="0074711A" w:rsidRPr="008E63BB" w:rsidRDefault="0074711A" w:rsidP="0065184D">
            <w:pPr>
              <w:jc w:val="right"/>
              <w:rPr>
                <w:rFonts w:eastAsia="Times New Roman"/>
                <w:sz w:val="20"/>
                <w:szCs w:val="20"/>
              </w:rPr>
            </w:pPr>
            <w:r w:rsidRPr="008E63BB">
              <w:rPr>
                <w:rFonts w:eastAsia="Times New Roman"/>
                <w:sz w:val="20"/>
                <w:szCs w:val="20"/>
              </w:rPr>
              <w:t>18.644*</w:t>
            </w:r>
          </w:p>
        </w:tc>
        <w:tc>
          <w:tcPr>
            <w:tcW w:w="994" w:type="dxa"/>
            <w:tcBorders>
              <w:top w:val="nil"/>
              <w:left w:val="nil"/>
              <w:bottom w:val="single" w:sz="4" w:space="0" w:color="auto"/>
              <w:right w:val="single" w:sz="4" w:space="0" w:color="auto"/>
            </w:tcBorders>
            <w:shd w:val="clear" w:color="auto" w:fill="auto"/>
            <w:noWrap/>
            <w:vAlign w:val="center"/>
            <w:hideMark/>
          </w:tcPr>
          <w:p w14:paraId="519B4800" w14:textId="77777777" w:rsidR="0074711A" w:rsidRPr="008E63BB" w:rsidRDefault="0074711A" w:rsidP="0065184D">
            <w:pPr>
              <w:jc w:val="right"/>
              <w:rPr>
                <w:rFonts w:eastAsia="Times New Roman"/>
                <w:sz w:val="20"/>
                <w:szCs w:val="20"/>
              </w:rPr>
            </w:pPr>
            <w:r w:rsidRPr="008E63BB">
              <w:rPr>
                <w:rFonts w:eastAsia="Times New Roman"/>
                <w:sz w:val="20"/>
                <w:szCs w:val="20"/>
              </w:rPr>
              <w:t>2.997</w:t>
            </w:r>
          </w:p>
        </w:tc>
      </w:tr>
      <w:tr w:rsidR="008D5BFE" w:rsidRPr="008E63BB" w14:paraId="519B481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02"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II</w:t>
            </w:r>
          </w:p>
        </w:tc>
        <w:tc>
          <w:tcPr>
            <w:tcW w:w="2684" w:type="dxa"/>
            <w:tcBorders>
              <w:top w:val="nil"/>
              <w:left w:val="nil"/>
              <w:bottom w:val="single" w:sz="4" w:space="0" w:color="auto"/>
              <w:right w:val="single" w:sz="4" w:space="0" w:color="auto"/>
            </w:tcBorders>
            <w:shd w:val="clear" w:color="auto" w:fill="auto"/>
            <w:vAlign w:val="center"/>
            <w:hideMark/>
          </w:tcPr>
          <w:p w14:paraId="519B4803"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Ngoại thành</w:t>
            </w:r>
          </w:p>
        </w:tc>
        <w:tc>
          <w:tcPr>
            <w:tcW w:w="794" w:type="dxa"/>
            <w:tcBorders>
              <w:top w:val="nil"/>
              <w:left w:val="nil"/>
              <w:bottom w:val="single" w:sz="4" w:space="0" w:color="auto"/>
              <w:right w:val="single" w:sz="4" w:space="0" w:color="auto"/>
            </w:tcBorders>
            <w:shd w:val="clear" w:color="auto" w:fill="auto"/>
            <w:noWrap/>
            <w:vAlign w:val="center"/>
            <w:hideMark/>
          </w:tcPr>
          <w:p w14:paraId="519B4804"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15,53</w:t>
            </w:r>
          </w:p>
        </w:tc>
        <w:tc>
          <w:tcPr>
            <w:tcW w:w="866" w:type="dxa"/>
            <w:tcBorders>
              <w:top w:val="nil"/>
              <w:left w:val="nil"/>
              <w:bottom w:val="single" w:sz="4" w:space="0" w:color="auto"/>
              <w:right w:val="single" w:sz="4" w:space="0" w:color="auto"/>
            </w:tcBorders>
            <w:shd w:val="clear" w:color="auto" w:fill="auto"/>
            <w:noWrap/>
            <w:vAlign w:val="center"/>
            <w:hideMark/>
          </w:tcPr>
          <w:p w14:paraId="519B4805"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45.884</w:t>
            </w:r>
          </w:p>
        </w:tc>
        <w:tc>
          <w:tcPr>
            <w:tcW w:w="866" w:type="dxa"/>
            <w:tcBorders>
              <w:top w:val="nil"/>
              <w:left w:val="nil"/>
              <w:bottom w:val="nil"/>
              <w:right w:val="single" w:sz="4" w:space="0" w:color="auto"/>
            </w:tcBorders>
            <w:shd w:val="clear" w:color="auto" w:fill="auto"/>
            <w:noWrap/>
            <w:vAlign w:val="center"/>
            <w:hideMark/>
          </w:tcPr>
          <w:p w14:paraId="519B4806"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49.112</w:t>
            </w:r>
          </w:p>
        </w:tc>
        <w:tc>
          <w:tcPr>
            <w:tcW w:w="866" w:type="dxa"/>
            <w:tcBorders>
              <w:top w:val="nil"/>
              <w:left w:val="nil"/>
              <w:bottom w:val="single" w:sz="4" w:space="0" w:color="auto"/>
              <w:right w:val="single" w:sz="4" w:space="0" w:color="auto"/>
            </w:tcBorders>
            <w:shd w:val="clear" w:color="auto" w:fill="auto"/>
            <w:noWrap/>
            <w:vAlign w:val="center"/>
            <w:hideMark/>
          </w:tcPr>
          <w:p w14:paraId="519B4807"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47.014</w:t>
            </w:r>
          </w:p>
        </w:tc>
        <w:tc>
          <w:tcPr>
            <w:tcW w:w="866" w:type="dxa"/>
            <w:tcBorders>
              <w:top w:val="nil"/>
              <w:left w:val="nil"/>
              <w:bottom w:val="single" w:sz="4" w:space="0" w:color="auto"/>
              <w:right w:val="single" w:sz="4" w:space="0" w:color="auto"/>
            </w:tcBorders>
            <w:shd w:val="clear" w:color="auto" w:fill="auto"/>
            <w:noWrap/>
            <w:vAlign w:val="center"/>
            <w:hideMark/>
          </w:tcPr>
          <w:p w14:paraId="519B4808"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48.127</w:t>
            </w:r>
          </w:p>
        </w:tc>
        <w:tc>
          <w:tcPr>
            <w:tcW w:w="866" w:type="dxa"/>
            <w:tcBorders>
              <w:top w:val="nil"/>
              <w:left w:val="nil"/>
              <w:bottom w:val="single" w:sz="4" w:space="0" w:color="auto"/>
              <w:right w:val="single" w:sz="4" w:space="0" w:color="auto"/>
            </w:tcBorders>
            <w:shd w:val="clear" w:color="auto" w:fill="auto"/>
            <w:noWrap/>
            <w:vAlign w:val="center"/>
            <w:hideMark/>
          </w:tcPr>
          <w:p w14:paraId="519B4809"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46.523</w:t>
            </w:r>
          </w:p>
        </w:tc>
        <w:tc>
          <w:tcPr>
            <w:tcW w:w="866" w:type="dxa"/>
            <w:tcBorders>
              <w:top w:val="nil"/>
              <w:left w:val="nil"/>
              <w:bottom w:val="single" w:sz="4" w:space="0" w:color="auto"/>
              <w:right w:val="single" w:sz="4" w:space="0" w:color="auto"/>
            </w:tcBorders>
            <w:shd w:val="clear" w:color="auto" w:fill="auto"/>
            <w:noWrap/>
            <w:vAlign w:val="center"/>
            <w:hideMark/>
          </w:tcPr>
          <w:p w14:paraId="519B480A"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47.703</w:t>
            </w:r>
          </w:p>
        </w:tc>
        <w:tc>
          <w:tcPr>
            <w:tcW w:w="866" w:type="dxa"/>
            <w:tcBorders>
              <w:top w:val="nil"/>
              <w:left w:val="nil"/>
              <w:bottom w:val="single" w:sz="4" w:space="0" w:color="auto"/>
              <w:right w:val="single" w:sz="4" w:space="0" w:color="auto"/>
            </w:tcBorders>
            <w:shd w:val="clear" w:color="auto" w:fill="auto"/>
            <w:noWrap/>
            <w:vAlign w:val="center"/>
            <w:hideMark/>
          </w:tcPr>
          <w:p w14:paraId="519B480B"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48.829</w:t>
            </w:r>
          </w:p>
        </w:tc>
        <w:tc>
          <w:tcPr>
            <w:tcW w:w="866" w:type="dxa"/>
            <w:tcBorders>
              <w:top w:val="nil"/>
              <w:left w:val="nil"/>
              <w:bottom w:val="single" w:sz="4" w:space="0" w:color="auto"/>
              <w:right w:val="single" w:sz="4" w:space="0" w:color="auto"/>
            </w:tcBorders>
            <w:shd w:val="clear" w:color="auto" w:fill="auto"/>
            <w:noWrap/>
            <w:vAlign w:val="center"/>
            <w:hideMark/>
          </w:tcPr>
          <w:p w14:paraId="519B480C"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49.601</w:t>
            </w:r>
          </w:p>
        </w:tc>
        <w:tc>
          <w:tcPr>
            <w:tcW w:w="866" w:type="dxa"/>
            <w:tcBorders>
              <w:top w:val="nil"/>
              <w:left w:val="nil"/>
              <w:bottom w:val="single" w:sz="4" w:space="0" w:color="auto"/>
              <w:right w:val="single" w:sz="4" w:space="0" w:color="auto"/>
            </w:tcBorders>
            <w:shd w:val="clear" w:color="auto" w:fill="auto"/>
            <w:noWrap/>
            <w:vAlign w:val="center"/>
            <w:hideMark/>
          </w:tcPr>
          <w:p w14:paraId="519B480D"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50.230</w:t>
            </w:r>
          </w:p>
        </w:tc>
        <w:tc>
          <w:tcPr>
            <w:tcW w:w="866" w:type="dxa"/>
            <w:tcBorders>
              <w:top w:val="nil"/>
              <w:left w:val="nil"/>
              <w:bottom w:val="single" w:sz="4" w:space="0" w:color="auto"/>
              <w:right w:val="single" w:sz="4" w:space="0" w:color="auto"/>
            </w:tcBorders>
            <w:shd w:val="clear" w:color="auto" w:fill="auto"/>
            <w:noWrap/>
            <w:vAlign w:val="center"/>
            <w:hideMark/>
          </w:tcPr>
          <w:p w14:paraId="519B480E"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50.333</w:t>
            </w:r>
          </w:p>
        </w:tc>
        <w:tc>
          <w:tcPr>
            <w:tcW w:w="866" w:type="dxa"/>
            <w:tcBorders>
              <w:top w:val="nil"/>
              <w:left w:val="nil"/>
              <w:bottom w:val="single" w:sz="4" w:space="0" w:color="auto"/>
              <w:right w:val="single" w:sz="4" w:space="0" w:color="auto"/>
            </w:tcBorders>
            <w:shd w:val="clear" w:color="auto" w:fill="auto"/>
            <w:noWrap/>
            <w:vAlign w:val="center"/>
            <w:hideMark/>
          </w:tcPr>
          <w:p w14:paraId="519B480F"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22.663</w:t>
            </w:r>
          </w:p>
        </w:tc>
        <w:tc>
          <w:tcPr>
            <w:tcW w:w="994" w:type="dxa"/>
            <w:tcBorders>
              <w:top w:val="nil"/>
              <w:left w:val="nil"/>
              <w:bottom w:val="single" w:sz="4" w:space="0" w:color="auto"/>
              <w:right w:val="single" w:sz="4" w:space="0" w:color="auto"/>
            </w:tcBorders>
            <w:shd w:val="clear" w:color="auto" w:fill="auto"/>
            <w:noWrap/>
            <w:vAlign w:val="center"/>
            <w:hideMark/>
          </w:tcPr>
          <w:p w14:paraId="519B4810"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1.459</w:t>
            </w:r>
          </w:p>
        </w:tc>
      </w:tr>
      <w:tr w:rsidR="008D5BFE" w:rsidRPr="008E63BB" w14:paraId="519B482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12" w14:textId="77777777" w:rsidR="0074711A" w:rsidRPr="008E63BB" w:rsidRDefault="0074711A" w:rsidP="0065184D">
            <w:pPr>
              <w:jc w:val="right"/>
              <w:rPr>
                <w:rFonts w:eastAsia="Times New Roman"/>
                <w:sz w:val="20"/>
                <w:szCs w:val="20"/>
              </w:rPr>
            </w:pPr>
            <w:r w:rsidRPr="008E63BB">
              <w:rPr>
                <w:rFonts w:eastAsia="Times New Roman"/>
                <w:sz w:val="20"/>
                <w:szCs w:val="20"/>
              </w:rPr>
              <w:t>1</w:t>
            </w:r>
          </w:p>
        </w:tc>
        <w:tc>
          <w:tcPr>
            <w:tcW w:w="2684" w:type="dxa"/>
            <w:tcBorders>
              <w:top w:val="nil"/>
              <w:left w:val="nil"/>
              <w:bottom w:val="single" w:sz="4" w:space="0" w:color="auto"/>
              <w:right w:val="single" w:sz="4" w:space="0" w:color="auto"/>
            </w:tcBorders>
            <w:shd w:val="clear" w:color="auto" w:fill="auto"/>
            <w:noWrap/>
            <w:vAlign w:val="center"/>
            <w:hideMark/>
          </w:tcPr>
          <w:p w14:paraId="519B4813" w14:textId="77777777" w:rsidR="0074711A" w:rsidRPr="008E63BB" w:rsidRDefault="0074711A" w:rsidP="0065184D">
            <w:pPr>
              <w:jc w:val="left"/>
              <w:rPr>
                <w:rFonts w:eastAsia="Times New Roman"/>
                <w:sz w:val="20"/>
                <w:szCs w:val="20"/>
              </w:rPr>
            </w:pPr>
            <w:r w:rsidRPr="008E63BB">
              <w:rPr>
                <w:rFonts w:eastAsia="Times New Roman"/>
                <w:sz w:val="20"/>
                <w:szCs w:val="20"/>
              </w:rPr>
              <w:t>X. Lộc Hòa</w:t>
            </w:r>
          </w:p>
        </w:tc>
        <w:tc>
          <w:tcPr>
            <w:tcW w:w="794" w:type="dxa"/>
            <w:tcBorders>
              <w:top w:val="nil"/>
              <w:left w:val="nil"/>
              <w:bottom w:val="single" w:sz="4" w:space="0" w:color="auto"/>
              <w:right w:val="single" w:sz="4" w:space="0" w:color="auto"/>
            </w:tcBorders>
            <w:shd w:val="clear" w:color="auto" w:fill="auto"/>
            <w:noWrap/>
            <w:vAlign w:val="center"/>
            <w:hideMark/>
          </w:tcPr>
          <w:p w14:paraId="519B4814" w14:textId="77777777" w:rsidR="0074711A" w:rsidRPr="008E63BB" w:rsidRDefault="0074711A" w:rsidP="0065184D">
            <w:pPr>
              <w:jc w:val="right"/>
              <w:rPr>
                <w:rFonts w:eastAsia="Times New Roman"/>
                <w:sz w:val="20"/>
                <w:szCs w:val="20"/>
              </w:rPr>
            </w:pPr>
            <w:r w:rsidRPr="008E63BB">
              <w:rPr>
                <w:rFonts w:eastAsia="Times New Roman"/>
                <w:sz w:val="20"/>
                <w:szCs w:val="20"/>
              </w:rPr>
              <w:t>6,43</w:t>
            </w:r>
          </w:p>
        </w:tc>
        <w:tc>
          <w:tcPr>
            <w:tcW w:w="866" w:type="dxa"/>
            <w:tcBorders>
              <w:top w:val="nil"/>
              <w:left w:val="nil"/>
              <w:bottom w:val="single" w:sz="4" w:space="0" w:color="auto"/>
              <w:right w:val="nil"/>
            </w:tcBorders>
            <w:shd w:val="clear" w:color="auto" w:fill="auto"/>
            <w:vAlign w:val="center"/>
            <w:hideMark/>
          </w:tcPr>
          <w:p w14:paraId="519B4815" w14:textId="77777777" w:rsidR="0074711A" w:rsidRPr="008E63BB" w:rsidRDefault="0074711A" w:rsidP="0065184D">
            <w:pPr>
              <w:jc w:val="right"/>
              <w:rPr>
                <w:rFonts w:eastAsia="Times New Roman"/>
                <w:sz w:val="20"/>
                <w:szCs w:val="20"/>
              </w:rPr>
            </w:pPr>
            <w:r w:rsidRPr="008E63BB">
              <w:rPr>
                <w:rFonts w:eastAsia="Times New Roman"/>
                <w:sz w:val="20"/>
                <w:szCs w:val="20"/>
              </w:rPr>
              <w:t>9.023</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816" w14:textId="77777777" w:rsidR="0074711A" w:rsidRPr="008E63BB" w:rsidRDefault="0074711A" w:rsidP="0065184D">
            <w:pPr>
              <w:jc w:val="right"/>
              <w:rPr>
                <w:rFonts w:eastAsia="Times New Roman"/>
                <w:sz w:val="20"/>
                <w:szCs w:val="20"/>
              </w:rPr>
            </w:pPr>
            <w:r w:rsidRPr="008E63BB">
              <w:rPr>
                <w:rFonts w:eastAsia="Times New Roman"/>
                <w:sz w:val="20"/>
                <w:szCs w:val="20"/>
              </w:rPr>
              <w:t>9.261</w:t>
            </w:r>
          </w:p>
        </w:tc>
        <w:tc>
          <w:tcPr>
            <w:tcW w:w="866" w:type="dxa"/>
            <w:tcBorders>
              <w:top w:val="nil"/>
              <w:left w:val="nil"/>
              <w:bottom w:val="single" w:sz="4" w:space="0" w:color="auto"/>
              <w:right w:val="single" w:sz="4" w:space="0" w:color="auto"/>
            </w:tcBorders>
            <w:shd w:val="clear" w:color="auto" w:fill="auto"/>
            <w:noWrap/>
            <w:vAlign w:val="center"/>
            <w:hideMark/>
          </w:tcPr>
          <w:p w14:paraId="519B4817" w14:textId="77777777" w:rsidR="0074711A" w:rsidRPr="008E63BB" w:rsidRDefault="0074711A" w:rsidP="0065184D">
            <w:pPr>
              <w:jc w:val="right"/>
              <w:rPr>
                <w:rFonts w:eastAsia="Times New Roman"/>
                <w:sz w:val="20"/>
                <w:szCs w:val="20"/>
              </w:rPr>
            </w:pPr>
            <w:r w:rsidRPr="008E63BB">
              <w:rPr>
                <w:rFonts w:eastAsia="Times New Roman"/>
                <w:sz w:val="20"/>
                <w:szCs w:val="20"/>
              </w:rPr>
              <w:t>9.466</w:t>
            </w:r>
          </w:p>
        </w:tc>
        <w:tc>
          <w:tcPr>
            <w:tcW w:w="866" w:type="dxa"/>
            <w:tcBorders>
              <w:top w:val="nil"/>
              <w:left w:val="nil"/>
              <w:bottom w:val="single" w:sz="4" w:space="0" w:color="auto"/>
              <w:right w:val="single" w:sz="4" w:space="0" w:color="auto"/>
            </w:tcBorders>
            <w:shd w:val="clear" w:color="auto" w:fill="auto"/>
            <w:vAlign w:val="bottom"/>
            <w:hideMark/>
          </w:tcPr>
          <w:p w14:paraId="519B4818" w14:textId="77777777" w:rsidR="0074711A" w:rsidRPr="008E63BB" w:rsidRDefault="0074711A" w:rsidP="0065184D">
            <w:pPr>
              <w:jc w:val="right"/>
              <w:rPr>
                <w:rFonts w:eastAsia="Times New Roman"/>
                <w:sz w:val="20"/>
                <w:szCs w:val="20"/>
              </w:rPr>
            </w:pPr>
            <w:r w:rsidRPr="008E63BB">
              <w:rPr>
                <w:rFonts w:eastAsia="Times New Roman"/>
                <w:sz w:val="20"/>
                <w:szCs w:val="20"/>
              </w:rPr>
              <w:t>9.643</w:t>
            </w:r>
          </w:p>
        </w:tc>
        <w:tc>
          <w:tcPr>
            <w:tcW w:w="866" w:type="dxa"/>
            <w:tcBorders>
              <w:top w:val="nil"/>
              <w:left w:val="nil"/>
              <w:bottom w:val="single" w:sz="4" w:space="0" w:color="auto"/>
              <w:right w:val="single" w:sz="4" w:space="0" w:color="auto"/>
            </w:tcBorders>
            <w:shd w:val="clear" w:color="auto" w:fill="auto"/>
            <w:vAlign w:val="bottom"/>
            <w:hideMark/>
          </w:tcPr>
          <w:p w14:paraId="519B4819" w14:textId="77777777" w:rsidR="0074711A" w:rsidRPr="008E63BB" w:rsidRDefault="0074711A" w:rsidP="0065184D">
            <w:pPr>
              <w:jc w:val="right"/>
              <w:rPr>
                <w:rFonts w:eastAsia="Times New Roman"/>
                <w:sz w:val="20"/>
                <w:szCs w:val="20"/>
              </w:rPr>
            </w:pPr>
            <w:r w:rsidRPr="008E63BB">
              <w:rPr>
                <w:rFonts w:eastAsia="Times New Roman"/>
                <w:sz w:val="20"/>
                <w:szCs w:val="20"/>
              </w:rPr>
              <w:t>9.261</w:t>
            </w:r>
          </w:p>
        </w:tc>
        <w:tc>
          <w:tcPr>
            <w:tcW w:w="866" w:type="dxa"/>
            <w:tcBorders>
              <w:top w:val="nil"/>
              <w:left w:val="nil"/>
              <w:bottom w:val="single" w:sz="4" w:space="0" w:color="auto"/>
              <w:right w:val="single" w:sz="4" w:space="0" w:color="auto"/>
            </w:tcBorders>
            <w:shd w:val="clear" w:color="auto" w:fill="auto"/>
            <w:noWrap/>
            <w:vAlign w:val="center"/>
            <w:hideMark/>
          </w:tcPr>
          <w:p w14:paraId="519B481A" w14:textId="77777777" w:rsidR="0074711A" w:rsidRPr="008E63BB" w:rsidRDefault="0074711A" w:rsidP="0065184D">
            <w:pPr>
              <w:jc w:val="right"/>
              <w:rPr>
                <w:rFonts w:eastAsia="Times New Roman"/>
                <w:sz w:val="20"/>
                <w:szCs w:val="20"/>
              </w:rPr>
            </w:pPr>
            <w:r w:rsidRPr="008E63BB">
              <w:rPr>
                <w:rFonts w:eastAsia="Times New Roman"/>
                <w:sz w:val="20"/>
                <w:szCs w:val="20"/>
              </w:rPr>
              <w:t>9.074</w:t>
            </w:r>
          </w:p>
        </w:tc>
        <w:tc>
          <w:tcPr>
            <w:tcW w:w="866" w:type="dxa"/>
            <w:tcBorders>
              <w:top w:val="nil"/>
              <w:left w:val="nil"/>
              <w:bottom w:val="single" w:sz="4" w:space="0" w:color="auto"/>
              <w:right w:val="single" w:sz="4" w:space="0" w:color="auto"/>
            </w:tcBorders>
            <w:shd w:val="clear" w:color="auto" w:fill="auto"/>
            <w:noWrap/>
            <w:vAlign w:val="center"/>
            <w:hideMark/>
          </w:tcPr>
          <w:p w14:paraId="519B481B" w14:textId="77777777" w:rsidR="0074711A" w:rsidRPr="008E63BB" w:rsidRDefault="0074711A" w:rsidP="0065184D">
            <w:pPr>
              <w:jc w:val="right"/>
              <w:rPr>
                <w:rFonts w:eastAsia="Times New Roman"/>
                <w:sz w:val="20"/>
                <w:szCs w:val="20"/>
              </w:rPr>
            </w:pPr>
            <w:r w:rsidRPr="008E63BB">
              <w:rPr>
                <w:rFonts w:eastAsia="Times New Roman"/>
                <w:sz w:val="20"/>
                <w:szCs w:val="20"/>
              </w:rPr>
              <w:t>9.270</w:t>
            </w:r>
          </w:p>
        </w:tc>
        <w:tc>
          <w:tcPr>
            <w:tcW w:w="866" w:type="dxa"/>
            <w:tcBorders>
              <w:top w:val="nil"/>
              <w:left w:val="nil"/>
              <w:bottom w:val="single" w:sz="4" w:space="0" w:color="auto"/>
              <w:right w:val="single" w:sz="4" w:space="0" w:color="auto"/>
            </w:tcBorders>
            <w:shd w:val="clear" w:color="auto" w:fill="auto"/>
            <w:noWrap/>
            <w:vAlign w:val="center"/>
            <w:hideMark/>
          </w:tcPr>
          <w:p w14:paraId="519B481C" w14:textId="77777777" w:rsidR="0074711A" w:rsidRPr="008E63BB" w:rsidRDefault="0074711A" w:rsidP="0065184D">
            <w:pPr>
              <w:jc w:val="right"/>
              <w:rPr>
                <w:rFonts w:eastAsia="Times New Roman"/>
                <w:sz w:val="20"/>
                <w:szCs w:val="20"/>
              </w:rPr>
            </w:pPr>
            <w:r w:rsidRPr="008E63BB">
              <w:rPr>
                <w:rFonts w:eastAsia="Times New Roman"/>
                <w:sz w:val="20"/>
                <w:szCs w:val="20"/>
              </w:rPr>
              <w:t>9.372</w:t>
            </w:r>
          </w:p>
        </w:tc>
        <w:tc>
          <w:tcPr>
            <w:tcW w:w="866" w:type="dxa"/>
            <w:tcBorders>
              <w:top w:val="nil"/>
              <w:left w:val="nil"/>
              <w:bottom w:val="single" w:sz="4" w:space="0" w:color="auto"/>
              <w:right w:val="single" w:sz="4" w:space="0" w:color="auto"/>
            </w:tcBorders>
            <w:shd w:val="clear" w:color="auto" w:fill="auto"/>
            <w:noWrap/>
            <w:vAlign w:val="center"/>
            <w:hideMark/>
          </w:tcPr>
          <w:p w14:paraId="519B481D" w14:textId="77777777" w:rsidR="0074711A" w:rsidRPr="008E63BB" w:rsidRDefault="0074711A" w:rsidP="0065184D">
            <w:pPr>
              <w:jc w:val="right"/>
              <w:rPr>
                <w:rFonts w:eastAsia="Times New Roman"/>
                <w:sz w:val="20"/>
                <w:szCs w:val="20"/>
              </w:rPr>
            </w:pPr>
            <w:r w:rsidRPr="008E63BB">
              <w:rPr>
                <w:rFonts w:eastAsia="Times New Roman"/>
                <w:sz w:val="20"/>
                <w:szCs w:val="20"/>
              </w:rPr>
              <w:t>9.439</w:t>
            </w:r>
          </w:p>
        </w:tc>
        <w:tc>
          <w:tcPr>
            <w:tcW w:w="866" w:type="dxa"/>
            <w:tcBorders>
              <w:top w:val="nil"/>
              <w:left w:val="nil"/>
              <w:bottom w:val="single" w:sz="4" w:space="0" w:color="auto"/>
              <w:right w:val="single" w:sz="4" w:space="0" w:color="auto"/>
            </w:tcBorders>
            <w:shd w:val="clear" w:color="auto" w:fill="auto"/>
            <w:noWrap/>
            <w:vAlign w:val="center"/>
            <w:hideMark/>
          </w:tcPr>
          <w:p w14:paraId="519B481E" w14:textId="77777777" w:rsidR="0074711A" w:rsidRPr="008E63BB" w:rsidRDefault="0074711A" w:rsidP="0065184D">
            <w:pPr>
              <w:jc w:val="right"/>
              <w:rPr>
                <w:rFonts w:eastAsia="Times New Roman"/>
                <w:sz w:val="20"/>
                <w:szCs w:val="20"/>
              </w:rPr>
            </w:pPr>
            <w:r w:rsidRPr="008E63BB">
              <w:rPr>
                <w:rFonts w:eastAsia="Times New Roman"/>
                <w:sz w:val="20"/>
                <w:szCs w:val="20"/>
              </w:rPr>
              <w:t>9.245</w:t>
            </w:r>
          </w:p>
        </w:tc>
        <w:tc>
          <w:tcPr>
            <w:tcW w:w="866" w:type="dxa"/>
            <w:tcBorders>
              <w:top w:val="nil"/>
              <w:left w:val="nil"/>
              <w:bottom w:val="single" w:sz="4" w:space="0" w:color="auto"/>
              <w:right w:val="single" w:sz="4" w:space="0" w:color="auto"/>
            </w:tcBorders>
            <w:shd w:val="clear" w:color="auto" w:fill="auto"/>
            <w:noWrap/>
            <w:vAlign w:val="center"/>
            <w:hideMark/>
          </w:tcPr>
          <w:p w14:paraId="519B481F"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994" w:type="dxa"/>
            <w:tcBorders>
              <w:top w:val="nil"/>
              <w:left w:val="nil"/>
              <w:bottom w:val="single" w:sz="4" w:space="0" w:color="auto"/>
              <w:right w:val="single" w:sz="4" w:space="0" w:color="auto"/>
            </w:tcBorders>
            <w:shd w:val="clear" w:color="auto" w:fill="auto"/>
            <w:noWrap/>
            <w:vAlign w:val="center"/>
            <w:hideMark/>
          </w:tcPr>
          <w:p w14:paraId="519B4820" w14:textId="77777777" w:rsidR="0074711A" w:rsidRPr="008E63BB" w:rsidRDefault="0074711A" w:rsidP="0065184D">
            <w:pPr>
              <w:jc w:val="right"/>
              <w:rPr>
                <w:rFonts w:eastAsia="Times New Roman"/>
                <w:sz w:val="20"/>
                <w:szCs w:val="20"/>
              </w:rPr>
            </w:pPr>
            <w:r w:rsidRPr="008E63BB">
              <w:rPr>
                <w:rFonts w:eastAsia="Times New Roman"/>
                <w:sz w:val="20"/>
                <w:szCs w:val="20"/>
              </w:rPr>
              <w:t>0</w:t>
            </w:r>
          </w:p>
        </w:tc>
      </w:tr>
      <w:tr w:rsidR="008D5BFE" w:rsidRPr="008E63BB" w14:paraId="519B483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22" w14:textId="77777777" w:rsidR="0074711A" w:rsidRPr="008E63BB" w:rsidRDefault="0074711A" w:rsidP="0065184D">
            <w:pPr>
              <w:jc w:val="right"/>
              <w:rPr>
                <w:rFonts w:eastAsia="Times New Roman"/>
                <w:sz w:val="20"/>
                <w:szCs w:val="20"/>
              </w:rPr>
            </w:pPr>
            <w:r w:rsidRPr="008E63BB">
              <w:rPr>
                <w:rFonts w:eastAsia="Times New Roman"/>
                <w:sz w:val="20"/>
                <w:szCs w:val="20"/>
              </w:rPr>
              <w:t>2</w:t>
            </w:r>
          </w:p>
        </w:tc>
        <w:tc>
          <w:tcPr>
            <w:tcW w:w="2684" w:type="dxa"/>
            <w:tcBorders>
              <w:top w:val="nil"/>
              <w:left w:val="nil"/>
              <w:bottom w:val="single" w:sz="4" w:space="0" w:color="auto"/>
              <w:right w:val="single" w:sz="4" w:space="0" w:color="auto"/>
            </w:tcBorders>
            <w:shd w:val="clear" w:color="auto" w:fill="auto"/>
            <w:noWrap/>
            <w:vAlign w:val="center"/>
            <w:hideMark/>
          </w:tcPr>
          <w:p w14:paraId="519B4823" w14:textId="77777777" w:rsidR="0074711A" w:rsidRPr="008E63BB" w:rsidRDefault="0074711A" w:rsidP="0065184D">
            <w:pPr>
              <w:jc w:val="left"/>
              <w:rPr>
                <w:rFonts w:eastAsia="Times New Roman"/>
                <w:sz w:val="20"/>
                <w:szCs w:val="20"/>
              </w:rPr>
            </w:pPr>
            <w:r w:rsidRPr="008E63BB">
              <w:rPr>
                <w:rFonts w:eastAsia="Times New Roman"/>
                <w:sz w:val="20"/>
                <w:szCs w:val="20"/>
              </w:rPr>
              <w:t>X.Nam Phong</w:t>
            </w:r>
          </w:p>
        </w:tc>
        <w:tc>
          <w:tcPr>
            <w:tcW w:w="794" w:type="dxa"/>
            <w:tcBorders>
              <w:top w:val="nil"/>
              <w:left w:val="nil"/>
              <w:bottom w:val="single" w:sz="4" w:space="0" w:color="auto"/>
              <w:right w:val="single" w:sz="4" w:space="0" w:color="auto"/>
            </w:tcBorders>
            <w:shd w:val="clear" w:color="auto" w:fill="auto"/>
            <w:noWrap/>
            <w:vAlign w:val="center"/>
            <w:hideMark/>
          </w:tcPr>
          <w:p w14:paraId="519B4824" w14:textId="77777777" w:rsidR="0074711A" w:rsidRPr="008E63BB" w:rsidRDefault="0074711A" w:rsidP="0065184D">
            <w:pPr>
              <w:jc w:val="right"/>
              <w:rPr>
                <w:rFonts w:eastAsia="Times New Roman"/>
                <w:sz w:val="20"/>
                <w:szCs w:val="20"/>
              </w:rPr>
            </w:pPr>
            <w:r w:rsidRPr="008E63BB">
              <w:rPr>
                <w:rFonts w:eastAsia="Times New Roman"/>
                <w:sz w:val="20"/>
                <w:szCs w:val="20"/>
              </w:rPr>
              <w:t>6,58</w:t>
            </w:r>
          </w:p>
        </w:tc>
        <w:tc>
          <w:tcPr>
            <w:tcW w:w="866" w:type="dxa"/>
            <w:tcBorders>
              <w:top w:val="nil"/>
              <w:left w:val="nil"/>
              <w:bottom w:val="single" w:sz="4" w:space="0" w:color="auto"/>
              <w:right w:val="nil"/>
            </w:tcBorders>
            <w:shd w:val="clear" w:color="auto" w:fill="auto"/>
            <w:vAlign w:val="center"/>
            <w:hideMark/>
          </w:tcPr>
          <w:p w14:paraId="519B4825" w14:textId="77777777" w:rsidR="0074711A" w:rsidRPr="008E63BB" w:rsidRDefault="0074711A" w:rsidP="0065184D">
            <w:pPr>
              <w:jc w:val="right"/>
              <w:rPr>
                <w:rFonts w:eastAsia="Times New Roman"/>
                <w:sz w:val="20"/>
                <w:szCs w:val="20"/>
              </w:rPr>
            </w:pPr>
            <w:r w:rsidRPr="008E63BB">
              <w:rPr>
                <w:rFonts w:eastAsia="Times New Roman"/>
                <w:sz w:val="20"/>
                <w:szCs w:val="20"/>
              </w:rPr>
              <w:t>9.108</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826" w14:textId="77777777" w:rsidR="0074711A" w:rsidRPr="008E63BB" w:rsidRDefault="0074711A" w:rsidP="0065184D">
            <w:pPr>
              <w:jc w:val="right"/>
              <w:rPr>
                <w:rFonts w:eastAsia="Times New Roman"/>
                <w:sz w:val="20"/>
                <w:szCs w:val="20"/>
              </w:rPr>
            </w:pPr>
            <w:r w:rsidRPr="008E63BB">
              <w:rPr>
                <w:rFonts w:eastAsia="Times New Roman"/>
                <w:sz w:val="20"/>
                <w:szCs w:val="20"/>
              </w:rPr>
              <w:t>8.079</w:t>
            </w:r>
          </w:p>
        </w:tc>
        <w:tc>
          <w:tcPr>
            <w:tcW w:w="866" w:type="dxa"/>
            <w:tcBorders>
              <w:top w:val="nil"/>
              <w:left w:val="nil"/>
              <w:bottom w:val="single" w:sz="4" w:space="0" w:color="auto"/>
              <w:right w:val="single" w:sz="4" w:space="0" w:color="auto"/>
            </w:tcBorders>
            <w:shd w:val="clear" w:color="auto" w:fill="auto"/>
            <w:noWrap/>
            <w:vAlign w:val="center"/>
            <w:hideMark/>
          </w:tcPr>
          <w:p w14:paraId="519B4827" w14:textId="77777777" w:rsidR="0074711A" w:rsidRPr="008E63BB" w:rsidRDefault="0074711A" w:rsidP="0065184D">
            <w:pPr>
              <w:jc w:val="right"/>
              <w:rPr>
                <w:rFonts w:eastAsia="Times New Roman"/>
                <w:sz w:val="20"/>
                <w:szCs w:val="20"/>
              </w:rPr>
            </w:pPr>
            <w:r w:rsidRPr="008E63BB">
              <w:rPr>
                <w:rFonts w:eastAsia="Times New Roman"/>
                <w:sz w:val="20"/>
                <w:szCs w:val="20"/>
              </w:rPr>
              <w:t>8.368</w:t>
            </w:r>
          </w:p>
        </w:tc>
        <w:tc>
          <w:tcPr>
            <w:tcW w:w="866" w:type="dxa"/>
            <w:tcBorders>
              <w:top w:val="nil"/>
              <w:left w:val="nil"/>
              <w:bottom w:val="single" w:sz="4" w:space="0" w:color="auto"/>
              <w:right w:val="single" w:sz="4" w:space="0" w:color="auto"/>
            </w:tcBorders>
            <w:shd w:val="clear" w:color="auto" w:fill="auto"/>
            <w:vAlign w:val="bottom"/>
            <w:hideMark/>
          </w:tcPr>
          <w:p w14:paraId="519B4828" w14:textId="77777777" w:rsidR="0074711A" w:rsidRPr="008E63BB" w:rsidRDefault="0074711A" w:rsidP="0065184D">
            <w:pPr>
              <w:jc w:val="right"/>
              <w:rPr>
                <w:rFonts w:eastAsia="Times New Roman"/>
                <w:sz w:val="20"/>
                <w:szCs w:val="20"/>
              </w:rPr>
            </w:pPr>
            <w:r w:rsidRPr="008E63BB">
              <w:rPr>
                <w:rFonts w:eastAsia="Times New Roman"/>
                <w:sz w:val="20"/>
                <w:szCs w:val="20"/>
              </w:rPr>
              <w:t>8.637</w:t>
            </w:r>
          </w:p>
        </w:tc>
        <w:tc>
          <w:tcPr>
            <w:tcW w:w="866" w:type="dxa"/>
            <w:tcBorders>
              <w:top w:val="nil"/>
              <w:left w:val="nil"/>
              <w:bottom w:val="single" w:sz="4" w:space="0" w:color="auto"/>
              <w:right w:val="single" w:sz="4" w:space="0" w:color="auto"/>
            </w:tcBorders>
            <w:shd w:val="clear" w:color="auto" w:fill="auto"/>
            <w:vAlign w:val="bottom"/>
            <w:hideMark/>
          </w:tcPr>
          <w:p w14:paraId="519B4829" w14:textId="77777777" w:rsidR="0074711A" w:rsidRPr="008E63BB" w:rsidRDefault="0074711A" w:rsidP="0065184D">
            <w:pPr>
              <w:jc w:val="right"/>
              <w:rPr>
                <w:rFonts w:eastAsia="Times New Roman"/>
                <w:sz w:val="20"/>
                <w:szCs w:val="20"/>
              </w:rPr>
            </w:pPr>
            <w:r w:rsidRPr="008E63BB">
              <w:rPr>
                <w:rFonts w:eastAsia="Times New Roman"/>
                <w:sz w:val="20"/>
                <w:szCs w:val="20"/>
              </w:rPr>
              <w:t>8.549</w:t>
            </w:r>
          </w:p>
        </w:tc>
        <w:tc>
          <w:tcPr>
            <w:tcW w:w="866" w:type="dxa"/>
            <w:tcBorders>
              <w:top w:val="nil"/>
              <w:left w:val="nil"/>
              <w:bottom w:val="single" w:sz="4" w:space="0" w:color="auto"/>
              <w:right w:val="single" w:sz="4" w:space="0" w:color="auto"/>
            </w:tcBorders>
            <w:shd w:val="clear" w:color="auto" w:fill="auto"/>
            <w:noWrap/>
            <w:vAlign w:val="center"/>
            <w:hideMark/>
          </w:tcPr>
          <w:p w14:paraId="519B482A" w14:textId="77777777" w:rsidR="0074711A" w:rsidRPr="008E63BB" w:rsidRDefault="0074711A" w:rsidP="0065184D">
            <w:pPr>
              <w:jc w:val="right"/>
              <w:rPr>
                <w:rFonts w:eastAsia="Times New Roman"/>
                <w:sz w:val="20"/>
                <w:szCs w:val="20"/>
              </w:rPr>
            </w:pPr>
            <w:r w:rsidRPr="008E63BB">
              <w:rPr>
                <w:rFonts w:eastAsia="Times New Roman"/>
                <w:sz w:val="20"/>
                <w:szCs w:val="20"/>
              </w:rPr>
              <w:t>8.580</w:t>
            </w:r>
          </w:p>
        </w:tc>
        <w:tc>
          <w:tcPr>
            <w:tcW w:w="866" w:type="dxa"/>
            <w:tcBorders>
              <w:top w:val="nil"/>
              <w:left w:val="nil"/>
              <w:bottom w:val="single" w:sz="4" w:space="0" w:color="auto"/>
              <w:right w:val="single" w:sz="4" w:space="0" w:color="auto"/>
            </w:tcBorders>
            <w:shd w:val="clear" w:color="auto" w:fill="auto"/>
            <w:noWrap/>
            <w:vAlign w:val="center"/>
            <w:hideMark/>
          </w:tcPr>
          <w:p w14:paraId="519B482B" w14:textId="77777777" w:rsidR="0074711A" w:rsidRPr="008E63BB" w:rsidRDefault="0074711A" w:rsidP="0065184D">
            <w:pPr>
              <w:jc w:val="right"/>
              <w:rPr>
                <w:rFonts w:eastAsia="Times New Roman"/>
                <w:sz w:val="20"/>
                <w:szCs w:val="20"/>
              </w:rPr>
            </w:pPr>
            <w:r w:rsidRPr="008E63BB">
              <w:rPr>
                <w:rFonts w:eastAsia="Times New Roman"/>
                <w:sz w:val="20"/>
                <w:szCs w:val="20"/>
              </w:rPr>
              <w:t>8.719</w:t>
            </w:r>
          </w:p>
        </w:tc>
        <w:tc>
          <w:tcPr>
            <w:tcW w:w="866" w:type="dxa"/>
            <w:tcBorders>
              <w:top w:val="nil"/>
              <w:left w:val="nil"/>
              <w:bottom w:val="single" w:sz="4" w:space="0" w:color="auto"/>
              <w:right w:val="single" w:sz="4" w:space="0" w:color="auto"/>
            </w:tcBorders>
            <w:shd w:val="clear" w:color="auto" w:fill="auto"/>
            <w:noWrap/>
            <w:vAlign w:val="center"/>
            <w:hideMark/>
          </w:tcPr>
          <w:p w14:paraId="519B482C" w14:textId="77777777" w:rsidR="0074711A" w:rsidRPr="008E63BB" w:rsidRDefault="0074711A" w:rsidP="0065184D">
            <w:pPr>
              <w:jc w:val="right"/>
              <w:rPr>
                <w:rFonts w:eastAsia="Times New Roman"/>
                <w:sz w:val="20"/>
                <w:szCs w:val="20"/>
              </w:rPr>
            </w:pPr>
            <w:r w:rsidRPr="008E63BB">
              <w:rPr>
                <w:rFonts w:eastAsia="Times New Roman"/>
                <w:sz w:val="20"/>
                <w:szCs w:val="20"/>
              </w:rPr>
              <w:t>8.896</w:t>
            </w:r>
          </w:p>
        </w:tc>
        <w:tc>
          <w:tcPr>
            <w:tcW w:w="866" w:type="dxa"/>
            <w:tcBorders>
              <w:top w:val="nil"/>
              <w:left w:val="nil"/>
              <w:bottom w:val="single" w:sz="4" w:space="0" w:color="auto"/>
              <w:right w:val="single" w:sz="4" w:space="0" w:color="auto"/>
            </w:tcBorders>
            <w:shd w:val="clear" w:color="auto" w:fill="auto"/>
            <w:noWrap/>
            <w:vAlign w:val="center"/>
            <w:hideMark/>
          </w:tcPr>
          <w:p w14:paraId="519B482D" w14:textId="77777777" w:rsidR="0074711A" w:rsidRPr="008E63BB" w:rsidRDefault="0074711A" w:rsidP="0065184D">
            <w:pPr>
              <w:jc w:val="right"/>
              <w:rPr>
                <w:rFonts w:eastAsia="Times New Roman"/>
                <w:sz w:val="20"/>
                <w:szCs w:val="20"/>
              </w:rPr>
            </w:pPr>
            <w:r w:rsidRPr="008E63BB">
              <w:rPr>
                <w:rFonts w:eastAsia="Times New Roman"/>
                <w:sz w:val="20"/>
                <w:szCs w:val="20"/>
              </w:rPr>
              <w:t>8.933</w:t>
            </w:r>
          </w:p>
        </w:tc>
        <w:tc>
          <w:tcPr>
            <w:tcW w:w="866" w:type="dxa"/>
            <w:tcBorders>
              <w:top w:val="nil"/>
              <w:left w:val="nil"/>
              <w:bottom w:val="single" w:sz="4" w:space="0" w:color="auto"/>
              <w:right w:val="single" w:sz="4" w:space="0" w:color="auto"/>
            </w:tcBorders>
            <w:shd w:val="clear" w:color="auto" w:fill="auto"/>
            <w:noWrap/>
            <w:vAlign w:val="center"/>
            <w:hideMark/>
          </w:tcPr>
          <w:p w14:paraId="519B482E" w14:textId="77777777" w:rsidR="0074711A" w:rsidRPr="008E63BB" w:rsidRDefault="0074711A" w:rsidP="0065184D">
            <w:pPr>
              <w:jc w:val="right"/>
              <w:rPr>
                <w:rFonts w:eastAsia="Times New Roman"/>
                <w:sz w:val="20"/>
                <w:szCs w:val="20"/>
              </w:rPr>
            </w:pPr>
            <w:r w:rsidRPr="008E63BB">
              <w:rPr>
                <w:rFonts w:eastAsia="Times New Roman"/>
                <w:sz w:val="20"/>
                <w:szCs w:val="20"/>
              </w:rPr>
              <w:t>8.652</w:t>
            </w:r>
          </w:p>
        </w:tc>
        <w:tc>
          <w:tcPr>
            <w:tcW w:w="866" w:type="dxa"/>
            <w:tcBorders>
              <w:top w:val="nil"/>
              <w:left w:val="nil"/>
              <w:bottom w:val="single" w:sz="4" w:space="0" w:color="auto"/>
              <w:right w:val="single" w:sz="4" w:space="0" w:color="auto"/>
            </w:tcBorders>
            <w:shd w:val="clear" w:color="auto" w:fill="auto"/>
            <w:noWrap/>
            <w:vAlign w:val="center"/>
            <w:hideMark/>
          </w:tcPr>
          <w:p w14:paraId="519B482F" w14:textId="77777777" w:rsidR="0074711A" w:rsidRPr="008E63BB" w:rsidRDefault="0074711A" w:rsidP="0065184D">
            <w:pPr>
              <w:jc w:val="right"/>
              <w:rPr>
                <w:rFonts w:eastAsia="Times New Roman"/>
                <w:sz w:val="20"/>
                <w:szCs w:val="20"/>
              </w:rPr>
            </w:pPr>
            <w:r w:rsidRPr="008E63BB">
              <w:rPr>
                <w:rFonts w:eastAsia="Times New Roman"/>
                <w:sz w:val="20"/>
                <w:szCs w:val="20"/>
              </w:rPr>
              <w:t>8.605</w:t>
            </w:r>
          </w:p>
        </w:tc>
        <w:tc>
          <w:tcPr>
            <w:tcW w:w="994" w:type="dxa"/>
            <w:tcBorders>
              <w:top w:val="nil"/>
              <w:left w:val="nil"/>
              <w:bottom w:val="single" w:sz="4" w:space="0" w:color="auto"/>
              <w:right w:val="single" w:sz="4" w:space="0" w:color="auto"/>
            </w:tcBorders>
            <w:shd w:val="clear" w:color="auto" w:fill="auto"/>
            <w:noWrap/>
            <w:vAlign w:val="center"/>
            <w:hideMark/>
          </w:tcPr>
          <w:p w14:paraId="519B4830" w14:textId="77777777" w:rsidR="0074711A" w:rsidRPr="008E63BB" w:rsidRDefault="0074711A" w:rsidP="0065184D">
            <w:pPr>
              <w:jc w:val="right"/>
              <w:rPr>
                <w:rFonts w:eastAsia="Times New Roman"/>
                <w:sz w:val="20"/>
                <w:szCs w:val="20"/>
              </w:rPr>
            </w:pPr>
            <w:r w:rsidRPr="008E63BB">
              <w:rPr>
                <w:rFonts w:eastAsia="Times New Roman"/>
                <w:sz w:val="20"/>
                <w:szCs w:val="20"/>
              </w:rPr>
              <w:t>1.308</w:t>
            </w:r>
          </w:p>
        </w:tc>
      </w:tr>
      <w:tr w:rsidR="008D5BFE" w:rsidRPr="008E63BB" w14:paraId="519B484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32" w14:textId="77777777" w:rsidR="0074711A" w:rsidRPr="008E63BB" w:rsidRDefault="0074711A" w:rsidP="0065184D">
            <w:pPr>
              <w:jc w:val="right"/>
              <w:rPr>
                <w:rFonts w:eastAsia="Times New Roman"/>
                <w:sz w:val="20"/>
                <w:szCs w:val="20"/>
              </w:rPr>
            </w:pPr>
            <w:r w:rsidRPr="008E63BB">
              <w:rPr>
                <w:rFonts w:eastAsia="Times New Roman"/>
                <w:sz w:val="20"/>
                <w:szCs w:val="20"/>
              </w:rPr>
              <w:t>3</w:t>
            </w:r>
          </w:p>
        </w:tc>
        <w:tc>
          <w:tcPr>
            <w:tcW w:w="2684" w:type="dxa"/>
            <w:tcBorders>
              <w:top w:val="nil"/>
              <w:left w:val="nil"/>
              <w:bottom w:val="single" w:sz="4" w:space="0" w:color="auto"/>
              <w:right w:val="single" w:sz="4" w:space="0" w:color="auto"/>
            </w:tcBorders>
            <w:shd w:val="clear" w:color="auto" w:fill="auto"/>
            <w:noWrap/>
            <w:vAlign w:val="center"/>
            <w:hideMark/>
          </w:tcPr>
          <w:p w14:paraId="519B4833" w14:textId="77777777" w:rsidR="0074711A" w:rsidRPr="008E63BB" w:rsidRDefault="0074711A" w:rsidP="0065184D">
            <w:pPr>
              <w:jc w:val="left"/>
              <w:rPr>
                <w:rFonts w:eastAsia="Times New Roman"/>
                <w:sz w:val="20"/>
                <w:szCs w:val="20"/>
              </w:rPr>
            </w:pPr>
            <w:r w:rsidRPr="008E63BB">
              <w:rPr>
                <w:rFonts w:eastAsia="Times New Roman"/>
                <w:sz w:val="20"/>
                <w:szCs w:val="20"/>
              </w:rPr>
              <w:t>X.Mỹ Xá</w:t>
            </w:r>
          </w:p>
        </w:tc>
        <w:tc>
          <w:tcPr>
            <w:tcW w:w="794" w:type="dxa"/>
            <w:tcBorders>
              <w:top w:val="nil"/>
              <w:left w:val="nil"/>
              <w:bottom w:val="single" w:sz="4" w:space="0" w:color="auto"/>
              <w:right w:val="single" w:sz="4" w:space="0" w:color="auto"/>
            </w:tcBorders>
            <w:shd w:val="clear" w:color="auto" w:fill="auto"/>
            <w:noWrap/>
            <w:vAlign w:val="center"/>
            <w:hideMark/>
          </w:tcPr>
          <w:p w14:paraId="519B4834" w14:textId="77777777" w:rsidR="0074711A" w:rsidRPr="008E63BB" w:rsidRDefault="0074711A" w:rsidP="0065184D">
            <w:pPr>
              <w:jc w:val="right"/>
              <w:rPr>
                <w:rFonts w:eastAsia="Times New Roman"/>
                <w:sz w:val="20"/>
                <w:szCs w:val="20"/>
              </w:rPr>
            </w:pPr>
            <w:r w:rsidRPr="008E63BB">
              <w:rPr>
                <w:rFonts w:eastAsia="Times New Roman"/>
                <w:sz w:val="20"/>
                <w:szCs w:val="20"/>
              </w:rPr>
              <w:t>6,22</w:t>
            </w:r>
          </w:p>
        </w:tc>
        <w:tc>
          <w:tcPr>
            <w:tcW w:w="866" w:type="dxa"/>
            <w:tcBorders>
              <w:top w:val="nil"/>
              <w:left w:val="nil"/>
              <w:bottom w:val="single" w:sz="4" w:space="0" w:color="auto"/>
              <w:right w:val="nil"/>
            </w:tcBorders>
            <w:shd w:val="clear" w:color="auto" w:fill="auto"/>
            <w:vAlign w:val="center"/>
            <w:hideMark/>
          </w:tcPr>
          <w:p w14:paraId="519B4835" w14:textId="77777777" w:rsidR="0074711A" w:rsidRPr="008E63BB" w:rsidRDefault="0074711A" w:rsidP="0065184D">
            <w:pPr>
              <w:jc w:val="right"/>
              <w:rPr>
                <w:rFonts w:eastAsia="Times New Roman"/>
                <w:sz w:val="20"/>
                <w:szCs w:val="20"/>
              </w:rPr>
            </w:pPr>
            <w:r w:rsidRPr="008E63BB">
              <w:rPr>
                <w:rFonts w:eastAsia="Times New Roman"/>
                <w:sz w:val="20"/>
                <w:szCs w:val="20"/>
              </w:rPr>
              <w:t>14.788</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836" w14:textId="77777777" w:rsidR="0074711A" w:rsidRPr="008E63BB" w:rsidRDefault="0074711A" w:rsidP="0065184D">
            <w:pPr>
              <w:jc w:val="right"/>
              <w:rPr>
                <w:rFonts w:eastAsia="Times New Roman"/>
                <w:sz w:val="20"/>
                <w:szCs w:val="20"/>
              </w:rPr>
            </w:pPr>
            <w:r w:rsidRPr="008E63BB">
              <w:rPr>
                <w:rFonts w:eastAsia="Times New Roman"/>
                <w:sz w:val="20"/>
                <w:szCs w:val="20"/>
              </w:rPr>
              <w:t>18.561</w:t>
            </w:r>
          </w:p>
        </w:tc>
        <w:tc>
          <w:tcPr>
            <w:tcW w:w="866" w:type="dxa"/>
            <w:tcBorders>
              <w:top w:val="nil"/>
              <w:left w:val="nil"/>
              <w:bottom w:val="single" w:sz="4" w:space="0" w:color="auto"/>
              <w:right w:val="single" w:sz="4" w:space="0" w:color="auto"/>
            </w:tcBorders>
            <w:shd w:val="clear" w:color="auto" w:fill="auto"/>
            <w:noWrap/>
            <w:vAlign w:val="center"/>
            <w:hideMark/>
          </w:tcPr>
          <w:p w14:paraId="519B4837" w14:textId="77777777" w:rsidR="0074711A" w:rsidRPr="008E63BB" w:rsidRDefault="0074711A" w:rsidP="0065184D">
            <w:pPr>
              <w:jc w:val="right"/>
              <w:rPr>
                <w:rFonts w:eastAsia="Times New Roman"/>
                <w:sz w:val="20"/>
                <w:szCs w:val="20"/>
              </w:rPr>
            </w:pPr>
            <w:r w:rsidRPr="008E63BB">
              <w:rPr>
                <w:rFonts w:eastAsia="Times New Roman"/>
                <w:sz w:val="20"/>
                <w:szCs w:val="20"/>
              </w:rPr>
              <w:t>15.963</w:t>
            </w:r>
          </w:p>
        </w:tc>
        <w:tc>
          <w:tcPr>
            <w:tcW w:w="866" w:type="dxa"/>
            <w:tcBorders>
              <w:top w:val="nil"/>
              <w:left w:val="nil"/>
              <w:bottom w:val="single" w:sz="4" w:space="0" w:color="auto"/>
              <w:right w:val="single" w:sz="4" w:space="0" w:color="auto"/>
            </w:tcBorders>
            <w:shd w:val="clear" w:color="auto" w:fill="auto"/>
            <w:vAlign w:val="bottom"/>
            <w:hideMark/>
          </w:tcPr>
          <w:p w14:paraId="519B4838" w14:textId="77777777" w:rsidR="0074711A" w:rsidRPr="008E63BB" w:rsidRDefault="0074711A" w:rsidP="0065184D">
            <w:pPr>
              <w:jc w:val="right"/>
              <w:rPr>
                <w:rFonts w:eastAsia="Times New Roman"/>
                <w:sz w:val="20"/>
                <w:szCs w:val="20"/>
              </w:rPr>
            </w:pPr>
            <w:r w:rsidRPr="008E63BB">
              <w:rPr>
                <w:rFonts w:eastAsia="Times New Roman"/>
                <w:sz w:val="20"/>
                <w:szCs w:val="20"/>
              </w:rPr>
              <w:t>16.452</w:t>
            </w:r>
          </w:p>
        </w:tc>
        <w:tc>
          <w:tcPr>
            <w:tcW w:w="866" w:type="dxa"/>
            <w:tcBorders>
              <w:top w:val="nil"/>
              <w:left w:val="nil"/>
              <w:bottom w:val="single" w:sz="4" w:space="0" w:color="auto"/>
              <w:right w:val="single" w:sz="4" w:space="0" w:color="auto"/>
            </w:tcBorders>
            <w:shd w:val="clear" w:color="auto" w:fill="auto"/>
            <w:vAlign w:val="bottom"/>
            <w:hideMark/>
          </w:tcPr>
          <w:p w14:paraId="519B4839" w14:textId="77777777" w:rsidR="0074711A" w:rsidRPr="008E63BB" w:rsidRDefault="0074711A" w:rsidP="0065184D">
            <w:pPr>
              <w:jc w:val="right"/>
              <w:rPr>
                <w:rFonts w:eastAsia="Times New Roman"/>
                <w:sz w:val="20"/>
                <w:szCs w:val="20"/>
              </w:rPr>
            </w:pPr>
            <w:r w:rsidRPr="008E63BB">
              <w:rPr>
                <w:rFonts w:eastAsia="Times New Roman"/>
                <w:sz w:val="20"/>
                <w:szCs w:val="20"/>
              </w:rPr>
              <w:t>15.714</w:t>
            </w:r>
          </w:p>
        </w:tc>
        <w:tc>
          <w:tcPr>
            <w:tcW w:w="866" w:type="dxa"/>
            <w:tcBorders>
              <w:top w:val="nil"/>
              <w:left w:val="nil"/>
              <w:bottom w:val="single" w:sz="4" w:space="0" w:color="auto"/>
              <w:right w:val="single" w:sz="4" w:space="0" w:color="auto"/>
            </w:tcBorders>
            <w:shd w:val="clear" w:color="auto" w:fill="auto"/>
            <w:noWrap/>
            <w:vAlign w:val="center"/>
            <w:hideMark/>
          </w:tcPr>
          <w:p w14:paraId="519B483A" w14:textId="77777777" w:rsidR="0074711A" w:rsidRPr="008E63BB" w:rsidRDefault="0074711A" w:rsidP="0065184D">
            <w:pPr>
              <w:jc w:val="right"/>
              <w:rPr>
                <w:rFonts w:eastAsia="Times New Roman"/>
                <w:sz w:val="20"/>
                <w:szCs w:val="20"/>
              </w:rPr>
            </w:pPr>
            <w:r w:rsidRPr="008E63BB">
              <w:rPr>
                <w:rFonts w:eastAsia="Times New Roman"/>
                <w:sz w:val="20"/>
                <w:szCs w:val="20"/>
              </w:rPr>
              <w:t>16.777</w:t>
            </w:r>
          </w:p>
        </w:tc>
        <w:tc>
          <w:tcPr>
            <w:tcW w:w="866" w:type="dxa"/>
            <w:tcBorders>
              <w:top w:val="nil"/>
              <w:left w:val="nil"/>
              <w:bottom w:val="single" w:sz="4" w:space="0" w:color="auto"/>
              <w:right w:val="single" w:sz="4" w:space="0" w:color="auto"/>
            </w:tcBorders>
            <w:shd w:val="clear" w:color="auto" w:fill="auto"/>
            <w:noWrap/>
            <w:vAlign w:val="center"/>
            <w:hideMark/>
          </w:tcPr>
          <w:p w14:paraId="519B483B" w14:textId="77777777" w:rsidR="0074711A" w:rsidRPr="008E63BB" w:rsidRDefault="0074711A" w:rsidP="0065184D">
            <w:pPr>
              <w:jc w:val="right"/>
              <w:rPr>
                <w:rFonts w:eastAsia="Times New Roman"/>
                <w:sz w:val="20"/>
                <w:szCs w:val="20"/>
              </w:rPr>
            </w:pPr>
            <w:r w:rsidRPr="008E63BB">
              <w:rPr>
                <w:rFonts w:eastAsia="Times New Roman"/>
                <w:sz w:val="20"/>
                <w:szCs w:val="20"/>
              </w:rPr>
              <w:t>17.107</w:t>
            </w:r>
          </w:p>
        </w:tc>
        <w:tc>
          <w:tcPr>
            <w:tcW w:w="866" w:type="dxa"/>
            <w:tcBorders>
              <w:top w:val="nil"/>
              <w:left w:val="nil"/>
              <w:bottom w:val="single" w:sz="4" w:space="0" w:color="auto"/>
              <w:right w:val="single" w:sz="4" w:space="0" w:color="auto"/>
            </w:tcBorders>
            <w:shd w:val="clear" w:color="auto" w:fill="auto"/>
            <w:noWrap/>
            <w:vAlign w:val="center"/>
            <w:hideMark/>
          </w:tcPr>
          <w:p w14:paraId="519B483C" w14:textId="77777777" w:rsidR="0074711A" w:rsidRPr="008E63BB" w:rsidRDefault="0074711A" w:rsidP="0065184D">
            <w:pPr>
              <w:jc w:val="right"/>
              <w:rPr>
                <w:rFonts w:eastAsia="Times New Roman"/>
                <w:sz w:val="20"/>
                <w:szCs w:val="20"/>
              </w:rPr>
            </w:pPr>
            <w:r w:rsidRPr="008E63BB">
              <w:rPr>
                <w:rFonts w:eastAsia="Times New Roman"/>
                <w:sz w:val="20"/>
                <w:szCs w:val="20"/>
              </w:rPr>
              <w:t>17.276</w:t>
            </w:r>
          </w:p>
        </w:tc>
        <w:tc>
          <w:tcPr>
            <w:tcW w:w="866" w:type="dxa"/>
            <w:tcBorders>
              <w:top w:val="nil"/>
              <w:left w:val="nil"/>
              <w:bottom w:val="single" w:sz="4" w:space="0" w:color="auto"/>
              <w:right w:val="single" w:sz="4" w:space="0" w:color="auto"/>
            </w:tcBorders>
            <w:shd w:val="clear" w:color="auto" w:fill="auto"/>
            <w:noWrap/>
            <w:vAlign w:val="center"/>
            <w:hideMark/>
          </w:tcPr>
          <w:p w14:paraId="519B483D" w14:textId="77777777" w:rsidR="0074711A" w:rsidRPr="008E63BB" w:rsidRDefault="0074711A" w:rsidP="0065184D">
            <w:pPr>
              <w:jc w:val="right"/>
              <w:rPr>
                <w:rFonts w:eastAsia="Times New Roman"/>
                <w:sz w:val="20"/>
                <w:szCs w:val="20"/>
              </w:rPr>
            </w:pPr>
            <w:r w:rsidRPr="008E63BB">
              <w:rPr>
                <w:rFonts w:eastAsia="Times New Roman"/>
                <w:sz w:val="20"/>
                <w:szCs w:val="20"/>
              </w:rPr>
              <w:t>17.741</w:t>
            </w:r>
          </w:p>
        </w:tc>
        <w:tc>
          <w:tcPr>
            <w:tcW w:w="866" w:type="dxa"/>
            <w:tcBorders>
              <w:top w:val="nil"/>
              <w:left w:val="nil"/>
              <w:bottom w:val="single" w:sz="4" w:space="0" w:color="auto"/>
              <w:right w:val="single" w:sz="4" w:space="0" w:color="auto"/>
            </w:tcBorders>
            <w:shd w:val="clear" w:color="auto" w:fill="auto"/>
            <w:noWrap/>
            <w:vAlign w:val="center"/>
            <w:hideMark/>
          </w:tcPr>
          <w:p w14:paraId="519B483E" w14:textId="77777777" w:rsidR="0074711A" w:rsidRPr="008E63BB" w:rsidRDefault="0074711A" w:rsidP="0065184D">
            <w:pPr>
              <w:jc w:val="right"/>
              <w:rPr>
                <w:rFonts w:eastAsia="Times New Roman"/>
                <w:sz w:val="20"/>
                <w:szCs w:val="20"/>
              </w:rPr>
            </w:pPr>
            <w:r w:rsidRPr="008E63BB">
              <w:rPr>
                <w:rFonts w:eastAsia="Times New Roman"/>
                <w:sz w:val="20"/>
                <w:szCs w:val="20"/>
              </w:rPr>
              <w:t>18.193</w:t>
            </w:r>
          </w:p>
        </w:tc>
        <w:tc>
          <w:tcPr>
            <w:tcW w:w="866" w:type="dxa"/>
            <w:tcBorders>
              <w:top w:val="nil"/>
              <w:left w:val="nil"/>
              <w:bottom w:val="single" w:sz="4" w:space="0" w:color="auto"/>
              <w:right w:val="single" w:sz="4" w:space="0" w:color="auto"/>
            </w:tcBorders>
            <w:shd w:val="clear" w:color="auto" w:fill="auto"/>
            <w:noWrap/>
            <w:vAlign w:val="center"/>
            <w:hideMark/>
          </w:tcPr>
          <w:p w14:paraId="519B483F"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994" w:type="dxa"/>
            <w:tcBorders>
              <w:top w:val="nil"/>
              <w:left w:val="nil"/>
              <w:bottom w:val="single" w:sz="4" w:space="0" w:color="auto"/>
              <w:right w:val="single" w:sz="4" w:space="0" w:color="auto"/>
            </w:tcBorders>
            <w:shd w:val="clear" w:color="auto" w:fill="auto"/>
            <w:noWrap/>
            <w:vAlign w:val="center"/>
            <w:hideMark/>
          </w:tcPr>
          <w:p w14:paraId="519B4840" w14:textId="77777777" w:rsidR="0074711A" w:rsidRPr="008E63BB" w:rsidRDefault="0074711A" w:rsidP="0065184D">
            <w:pPr>
              <w:jc w:val="right"/>
              <w:rPr>
                <w:rFonts w:eastAsia="Times New Roman"/>
                <w:sz w:val="20"/>
                <w:szCs w:val="20"/>
              </w:rPr>
            </w:pPr>
            <w:r w:rsidRPr="008E63BB">
              <w:rPr>
                <w:rFonts w:eastAsia="Times New Roman"/>
                <w:sz w:val="20"/>
                <w:szCs w:val="20"/>
              </w:rPr>
              <w:t>0</w:t>
            </w:r>
          </w:p>
        </w:tc>
      </w:tr>
      <w:tr w:rsidR="008D5BFE" w:rsidRPr="008E63BB" w14:paraId="519B485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42" w14:textId="77777777" w:rsidR="0074711A" w:rsidRPr="008E63BB" w:rsidRDefault="0074711A" w:rsidP="0065184D">
            <w:pPr>
              <w:jc w:val="right"/>
              <w:rPr>
                <w:rFonts w:eastAsia="Times New Roman"/>
                <w:sz w:val="20"/>
                <w:szCs w:val="20"/>
              </w:rPr>
            </w:pPr>
            <w:r w:rsidRPr="008E63BB">
              <w:rPr>
                <w:rFonts w:eastAsia="Times New Roman"/>
                <w:sz w:val="20"/>
                <w:szCs w:val="20"/>
              </w:rPr>
              <w:t>4</w:t>
            </w:r>
          </w:p>
        </w:tc>
        <w:tc>
          <w:tcPr>
            <w:tcW w:w="2684" w:type="dxa"/>
            <w:tcBorders>
              <w:top w:val="nil"/>
              <w:left w:val="nil"/>
              <w:bottom w:val="single" w:sz="4" w:space="0" w:color="auto"/>
              <w:right w:val="single" w:sz="4" w:space="0" w:color="auto"/>
            </w:tcBorders>
            <w:shd w:val="clear" w:color="auto" w:fill="auto"/>
            <w:noWrap/>
            <w:vAlign w:val="center"/>
            <w:hideMark/>
          </w:tcPr>
          <w:p w14:paraId="519B4843" w14:textId="77777777" w:rsidR="0074711A" w:rsidRPr="008E63BB" w:rsidRDefault="0074711A" w:rsidP="0065184D">
            <w:pPr>
              <w:jc w:val="left"/>
              <w:rPr>
                <w:rFonts w:eastAsia="Times New Roman"/>
                <w:sz w:val="20"/>
                <w:szCs w:val="20"/>
              </w:rPr>
            </w:pPr>
            <w:r w:rsidRPr="008E63BB">
              <w:rPr>
                <w:rFonts w:eastAsia="Times New Roman"/>
                <w:sz w:val="20"/>
                <w:szCs w:val="20"/>
              </w:rPr>
              <w:t>X.Lộc An</w:t>
            </w:r>
          </w:p>
        </w:tc>
        <w:tc>
          <w:tcPr>
            <w:tcW w:w="794" w:type="dxa"/>
            <w:tcBorders>
              <w:top w:val="nil"/>
              <w:left w:val="nil"/>
              <w:bottom w:val="single" w:sz="4" w:space="0" w:color="auto"/>
              <w:right w:val="single" w:sz="4" w:space="0" w:color="auto"/>
            </w:tcBorders>
            <w:shd w:val="clear" w:color="auto" w:fill="auto"/>
            <w:noWrap/>
            <w:vAlign w:val="center"/>
            <w:hideMark/>
          </w:tcPr>
          <w:p w14:paraId="519B4844" w14:textId="77777777" w:rsidR="0074711A" w:rsidRPr="008E63BB" w:rsidRDefault="0074711A" w:rsidP="0065184D">
            <w:pPr>
              <w:jc w:val="right"/>
              <w:rPr>
                <w:rFonts w:eastAsia="Times New Roman"/>
                <w:sz w:val="20"/>
                <w:szCs w:val="20"/>
              </w:rPr>
            </w:pPr>
            <w:r w:rsidRPr="008E63BB">
              <w:rPr>
                <w:rFonts w:eastAsia="Times New Roman"/>
                <w:sz w:val="20"/>
                <w:szCs w:val="20"/>
              </w:rPr>
              <w:t>3,33</w:t>
            </w:r>
          </w:p>
        </w:tc>
        <w:tc>
          <w:tcPr>
            <w:tcW w:w="866" w:type="dxa"/>
            <w:tcBorders>
              <w:top w:val="nil"/>
              <w:left w:val="nil"/>
              <w:bottom w:val="single" w:sz="4" w:space="0" w:color="auto"/>
              <w:right w:val="nil"/>
            </w:tcBorders>
            <w:shd w:val="clear" w:color="auto" w:fill="auto"/>
            <w:vAlign w:val="center"/>
            <w:hideMark/>
          </w:tcPr>
          <w:p w14:paraId="519B4845" w14:textId="77777777" w:rsidR="0074711A" w:rsidRPr="008E63BB" w:rsidRDefault="0074711A" w:rsidP="0065184D">
            <w:pPr>
              <w:jc w:val="right"/>
              <w:rPr>
                <w:rFonts w:eastAsia="Times New Roman"/>
                <w:sz w:val="20"/>
                <w:szCs w:val="20"/>
              </w:rPr>
            </w:pPr>
            <w:r w:rsidRPr="008E63BB">
              <w:rPr>
                <w:rFonts w:eastAsia="Times New Roman"/>
                <w:sz w:val="20"/>
                <w:szCs w:val="20"/>
              </w:rPr>
              <w:t>6.456</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846" w14:textId="77777777" w:rsidR="0074711A" w:rsidRPr="008E63BB" w:rsidRDefault="0074711A" w:rsidP="0065184D">
            <w:pPr>
              <w:jc w:val="right"/>
              <w:rPr>
                <w:rFonts w:eastAsia="Times New Roman"/>
                <w:sz w:val="20"/>
                <w:szCs w:val="20"/>
              </w:rPr>
            </w:pPr>
            <w:r w:rsidRPr="008E63BB">
              <w:rPr>
                <w:rFonts w:eastAsia="Times New Roman"/>
                <w:sz w:val="20"/>
                <w:szCs w:val="20"/>
              </w:rPr>
              <w:t>6.727</w:t>
            </w:r>
          </w:p>
        </w:tc>
        <w:tc>
          <w:tcPr>
            <w:tcW w:w="866" w:type="dxa"/>
            <w:tcBorders>
              <w:top w:val="nil"/>
              <w:left w:val="nil"/>
              <w:bottom w:val="single" w:sz="4" w:space="0" w:color="auto"/>
              <w:right w:val="single" w:sz="4" w:space="0" w:color="auto"/>
            </w:tcBorders>
            <w:shd w:val="clear" w:color="auto" w:fill="auto"/>
            <w:noWrap/>
            <w:vAlign w:val="center"/>
            <w:hideMark/>
          </w:tcPr>
          <w:p w14:paraId="519B4847" w14:textId="77777777" w:rsidR="0074711A" w:rsidRPr="008E63BB" w:rsidRDefault="0074711A" w:rsidP="0065184D">
            <w:pPr>
              <w:jc w:val="right"/>
              <w:rPr>
                <w:rFonts w:eastAsia="Times New Roman"/>
                <w:sz w:val="20"/>
                <w:szCs w:val="20"/>
              </w:rPr>
            </w:pPr>
            <w:r w:rsidRPr="008E63BB">
              <w:rPr>
                <w:rFonts w:eastAsia="Times New Roman"/>
                <w:sz w:val="20"/>
                <w:szCs w:val="20"/>
              </w:rPr>
              <w:t>6.740</w:t>
            </w:r>
          </w:p>
        </w:tc>
        <w:tc>
          <w:tcPr>
            <w:tcW w:w="866" w:type="dxa"/>
            <w:tcBorders>
              <w:top w:val="nil"/>
              <w:left w:val="nil"/>
              <w:bottom w:val="single" w:sz="4" w:space="0" w:color="auto"/>
              <w:right w:val="single" w:sz="4" w:space="0" w:color="auto"/>
            </w:tcBorders>
            <w:shd w:val="clear" w:color="auto" w:fill="auto"/>
            <w:vAlign w:val="bottom"/>
            <w:hideMark/>
          </w:tcPr>
          <w:p w14:paraId="519B4848" w14:textId="77777777" w:rsidR="0074711A" w:rsidRPr="008E63BB" w:rsidRDefault="0074711A" w:rsidP="0065184D">
            <w:pPr>
              <w:jc w:val="right"/>
              <w:rPr>
                <w:rFonts w:eastAsia="Times New Roman"/>
                <w:sz w:val="20"/>
                <w:szCs w:val="20"/>
              </w:rPr>
            </w:pPr>
            <w:r w:rsidRPr="008E63BB">
              <w:rPr>
                <w:rFonts w:eastAsia="Times New Roman"/>
                <w:sz w:val="20"/>
                <w:szCs w:val="20"/>
              </w:rPr>
              <w:t>6.912</w:t>
            </w:r>
          </w:p>
        </w:tc>
        <w:tc>
          <w:tcPr>
            <w:tcW w:w="866" w:type="dxa"/>
            <w:tcBorders>
              <w:top w:val="nil"/>
              <w:left w:val="nil"/>
              <w:bottom w:val="single" w:sz="4" w:space="0" w:color="auto"/>
              <w:right w:val="single" w:sz="4" w:space="0" w:color="auto"/>
            </w:tcBorders>
            <w:shd w:val="clear" w:color="auto" w:fill="auto"/>
            <w:vAlign w:val="bottom"/>
            <w:hideMark/>
          </w:tcPr>
          <w:p w14:paraId="519B4849" w14:textId="77777777" w:rsidR="0074711A" w:rsidRPr="008E63BB" w:rsidRDefault="0074711A" w:rsidP="0065184D">
            <w:pPr>
              <w:jc w:val="right"/>
              <w:rPr>
                <w:rFonts w:eastAsia="Times New Roman"/>
                <w:sz w:val="20"/>
                <w:szCs w:val="20"/>
              </w:rPr>
            </w:pPr>
            <w:r w:rsidRPr="008E63BB">
              <w:rPr>
                <w:rFonts w:eastAsia="Times New Roman"/>
                <w:sz w:val="20"/>
                <w:szCs w:val="20"/>
              </w:rPr>
              <w:t>6.567</w:t>
            </w:r>
          </w:p>
        </w:tc>
        <w:tc>
          <w:tcPr>
            <w:tcW w:w="866" w:type="dxa"/>
            <w:tcBorders>
              <w:top w:val="nil"/>
              <w:left w:val="nil"/>
              <w:bottom w:val="single" w:sz="4" w:space="0" w:color="auto"/>
              <w:right w:val="single" w:sz="4" w:space="0" w:color="auto"/>
            </w:tcBorders>
            <w:shd w:val="clear" w:color="auto" w:fill="auto"/>
            <w:noWrap/>
            <w:vAlign w:val="center"/>
            <w:hideMark/>
          </w:tcPr>
          <w:p w14:paraId="519B484A" w14:textId="77777777" w:rsidR="0074711A" w:rsidRPr="008E63BB" w:rsidRDefault="0074711A" w:rsidP="0065184D">
            <w:pPr>
              <w:jc w:val="right"/>
              <w:rPr>
                <w:rFonts w:eastAsia="Times New Roman"/>
                <w:sz w:val="20"/>
                <w:szCs w:val="20"/>
              </w:rPr>
            </w:pPr>
            <w:r w:rsidRPr="008E63BB">
              <w:rPr>
                <w:rFonts w:eastAsia="Times New Roman"/>
                <w:sz w:val="20"/>
                <w:szCs w:val="20"/>
              </w:rPr>
              <w:t>6.744</w:t>
            </w:r>
          </w:p>
        </w:tc>
        <w:tc>
          <w:tcPr>
            <w:tcW w:w="866" w:type="dxa"/>
            <w:tcBorders>
              <w:top w:val="nil"/>
              <w:left w:val="nil"/>
              <w:bottom w:val="single" w:sz="4" w:space="0" w:color="auto"/>
              <w:right w:val="single" w:sz="4" w:space="0" w:color="auto"/>
            </w:tcBorders>
            <w:shd w:val="clear" w:color="auto" w:fill="auto"/>
            <w:noWrap/>
            <w:vAlign w:val="center"/>
            <w:hideMark/>
          </w:tcPr>
          <w:p w14:paraId="519B484B" w14:textId="77777777" w:rsidR="0074711A" w:rsidRPr="008E63BB" w:rsidRDefault="0074711A" w:rsidP="0065184D">
            <w:pPr>
              <w:jc w:val="right"/>
              <w:rPr>
                <w:rFonts w:eastAsia="Times New Roman"/>
                <w:sz w:val="20"/>
                <w:szCs w:val="20"/>
              </w:rPr>
            </w:pPr>
            <w:r w:rsidRPr="008E63BB">
              <w:rPr>
                <w:rFonts w:eastAsia="Times New Roman"/>
                <w:sz w:val="20"/>
                <w:szCs w:val="20"/>
              </w:rPr>
              <w:t>7.051</w:t>
            </w:r>
          </w:p>
        </w:tc>
        <w:tc>
          <w:tcPr>
            <w:tcW w:w="866" w:type="dxa"/>
            <w:tcBorders>
              <w:top w:val="nil"/>
              <w:left w:val="nil"/>
              <w:bottom w:val="single" w:sz="4" w:space="0" w:color="auto"/>
              <w:right w:val="single" w:sz="4" w:space="0" w:color="auto"/>
            </w:tcBorders>
            <w:shd w:val="clear" w:color="auto" w:fill="auto"/>
            <w:noWrap/>
            <w:vAlign w:val="center"/>
            <w:hideMark/>
          </w:tcPr>
          <w:p w14:paraId="519B484C" w14:textId="77777777" w:rsidR="0074711A" w:rsidRPr="008E63BB" w:rsidRDefault="0074711A" w:rsidP="0065184D">
            <w:pPr>
              <w:jc w:val="right"/>
              <w:rPr>
                <w:rFonts w:eastAsia="Times New Roman"/>
                <w:sz w:val="20"/>
                <w:szCs w:val="20"/>
              </w:rPr>
            </w:pPr>
            <w:r w:rsidRPr="008E63BB">
              <w:rPr>
                <w:rFonts w:eastAsia="Times New Roman"/>
                <w:sz w:val="20"/>
                <w:szCs w:val="20"/>
              </w:rPr>
              <w:t>7.254</w:t>
            </w:r>
          </w:p>
        </w:tc>
        <w:tc>
          <w:tcPr>
            <w:tcW w:w="866" w:type="dxa"/>
            <w:tcBorders>
              <w:top w:val="nil"/>
              <w:left w:val="nil"/>
              <w:bottom w:val="single" w:sz="4" w:space="0" w:color="auto"/>
              <w:right w:val="single" w:sz="4" w:space="0" w:color="auto"/>
            </w:tcBorders>
            <w:shd w:val="clear" w:color="auto" w:fill="auto"/>
            <w:noWrap/>
            <w:vAlign w:val="center"/>
            <w:hideMark/>
          </w:tcPr>
          <w:p w14:paraId="519B484D" w14:textId="77777777" w:rsidR="0074711A" w:rsidRPr="008E63BB" w:rsidRDefault="0074711A" w:rsidP="0065184D">
            <w:pPr>
              <w:jc w:val="right"/>
              <w:rPr>
                <w:rFonts w:eastAsia="Times New Roman"/>
                <w:sz w:val="20"/>
                <w:szCs w:val="20"/>
              </w:rPr>
            </w:pPr>
            <w:r w:rsidRPr="008E63BB">
              <w:rPr>
                <w:rFonts w:eastAsia="Times New Roman"/>
                <w:sz w:val="20"/>
                <w:szCs w:val="20"/>
              </w:rPr>
              <w:t>7.308</w:t>
            </w:r>
          </w:p>
        </w:tc>
        <w:tc>
          <w:tcPr>
            <w:tcW w:w="866" w:type="dxa"/>
            <w:tcBorders>
              <w:top w:val="nil"/>
              <w:left w:val="nil"/>
              <w:bottom w:val="single" w:sz="4" w:space="0" w:color="auto"/>
              <w:right w:val="single" w:sz="4" w:space="0" w:color="auto"/>
            </w:tcBorders>
            <w:shd w:val="clear" w:color="auto" w:fill="auto"/>
            <w:noWrap/>
            <w:vAlign w:val="center"/>
            <w:hideMark/>
          </w:tcPr>
          <w:p w14:paraId="519B484E" w14:textId="77777777" w:rsidR="0074711A" w:rsidRPr="008E63BB" w:rsidRDefault="0074711A" w:rsidP="0065184D">
            <w:pPr>
              <w:jc w:val="right"/>
              <w:rPr>
                <w:rFonts w:eastAsia="Times New Roman"/>
                <w:sz w:val="20"/>
                <w:szCs w:val="20"/>
              </w:rPr>
            </w:pPr>
            <w:r w:rsidRPr="008E63BB">
              <w:rPr>
                <w:rFonts w:eastAsia="Times New Roman"/>
                <w:sz w:val="20"/>
                <w:szCs w:val="20"/>
              </w:rPr>
              <w:t>7.193</w:t>
            </w:r>
          </w:p>
        </w:tc>
        <w:tc>
          <w:tcPr>
            <w:tcW w:w="866" w:type="dxa"/>
            <w:tcBorders>
              <w:top w:val="nil"/>
              <w:left w:val="nil"/>
              <w:bottom w:val="single" w:sz="4" w:space="0" w:color="auto"/>
              <w:right w:val="single" w:sz="4" w:space="0" w:color="auto"/>
            </w:tcBorders>
            <w:shd w:val="clear" w:color="auto" w:fill="auto"/>
            <w:noWrap/>
            <w:vAlign w:val="center"/>
            <w:hideMark/>
          </w:tcPr>
          <w:p w14:paraId="519B484F" w14:textId="77777777" w:rsidR="0074711A" w:rsidRPr="008E63BB" w:rsidRDefault="0074711A" w:rsidP="0065184D">
            <w:pPr>
              <w:jc w:val="right"/>
              <w:rPr>
                <w:rFonts w:eastAsia="Times New Roman"/>
                <w:sz w:val="20"/>
                <w:szCs w:val="20"/>
              </w:rPr>
            </w:pPr>
            <w:r w:rsidRPr="008E63BB">
              <w:rPr>
                <w:rFonts w:eastAsia="Times New Roman"/>
                <w:sz w:val="20"/>
                <w:szCs w:val="20"/>
              </w:rPr>
              <w:t>7.213</w:t>
            </w:r>
          </w:p>
        </w:tc>
        <w:tc>
          <w:tcPr>
            <w:tcW w:w="994" w:type="dxa"/>
            <w:tcBorders>
              <w:top w:val="nil"/>
              <w:left w:val="nil"/>
              <w:bottom w:val="single" w:sz="4" w:space="0" w:color="auto"/>
              <w:right w:val="single" w:sz="4" w:space="0" w:color="auto"/>
            </w:tcBorders>
            <w:shd w:val="clear" w:color="auto" w:fill="auto"/>
            <w:noWrap/>
            <w:vAlign w:val="center"/>
            <w:hideMark/>
          </w:tcPr>
          <w:p w14:paraId="519B4850" w14:textId="77777777" w:rsidR="0074711A" w:rsidRPr="008E63BB" w:rsidRDefault="0074711A" w:rsidP="0065184D">
            <w:pPr>
              <w:jc w:val="right"/>
              <w:rPr>
                <w:rFonts w:eastAsia="Times New Roman"/>
                <w:sz w:val="20"/>
                <w:szCs w:val="20"/>
              </w:rPr>
            </w:pPr>
            <w:r w:rsidRPr="008E63BB">
              <w:rPr>
                <w:rFonts w:eastAsia="Times New Roman"/>
                <w:sz w:val="20"/>
                <w:szCs w:val="20"/>
              </w:rPr>
              <w:t>2.166</w:t>
            </w:r>
          </w:p>
        </w:tc>
      </w:tr>
      <w:tr w:rsidR="008D5BFE" w:rsidRPr="008E63BB" w14:paraId="519B486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52" w14:textId="77777777" w:rsidR="0074711A" w:rsidRPr="008E63BB" w:rsidRDefault="0074711A" w:rsidP="0065184D">
            <w:pPr>
              <w:jc w:val="right"/>
              <w:rPr>
                <w:rFonts w:eastAsia="Times New Roman"/>
                <w:sz w:val="20"/>
                <w:szCs w:val="20"/>
              </w:rPr>
            </w:pPr>
            <w:r w:rsidRPr="008E63BB">
              <w:rPr>
                <w:rFonts w:eastAsia="Times New Roman"/>
                <w:sz w:val="20"/>
                <w:szCs w:val="20"/>
              </w:rPr>
              <w:t>5</w:t>
            </w:r>
          </w:p>
        </w:tc>
        <w:tc>
          <w:tcPr>
            <w:tcW w:w="2684" w:type="dxa"/>
            <w:tcBorders>
              <w:top w:val="nil"/>
              <w:left w:val="nil"/>
              <w:bottom w:val="single" w:sz="4" w:space="0" w:color="auto"/>
              <w:right w:val="single" w:sz="4" w:space="0" w:color="auto"/>
            </w:tcBorders>
            <w:shd w:val="clear" w:color="auto" w:fill="auto"/>
            <w:noWrap/>
            <w:vAlign w:val="center"/>
            <w:hideMark/>
          </w:tcPr>
          <w:p w14:paraId="519B4853" w14:textId="77777777" w:rsidR="0074711A" w:rsidRPr="008E63BB" w:rsidRDefault="0074711A" w:rsidP="0065184D">
            <w:pPr>
              <w:jc w:val="left"/>
              <w:rPr>
                <w:rFonts w:eastAsia="Times New Roman"/>
                <w:sz w:val="20"/>
                <w:szCs w:val="20"/>
              </w:rPr>
            </w:pPr>
            <w:r w:rsidRPr="008E63BB">
              <w:rPr>
                <w:rFonts w:eastAsia="Times New Roman"/>
                <w:sz w:val="20"/>
                <w:szCs w:val="20"/>
              </w:rPr>
              <w:t>X.Nam Vân</w:t>
            </w:r>
          </w:p>
        </w:tc>
        <w:tc>
          <w:tcPr>
            <w:tcW w:w="794" w:type="dxa"/>
            <w:tcBorders>
              <w:top w:val="nil"/>
              <w:left w:val="nil"/>
              <w:bottom w:val="single" w:sz="4" w:space="0" w:color="auto"/>
              <w:right w:val="single" w:sz="4" w:space="0" w:color="auto"/>
            </w:tcBorders>
            <w:shd w:val="clear" w:color="auto" w:fill="auto"/>
            <w:noWrap/>
            <w:vAlign w:val="center"/>
            <w:hideMark/>
          </w:tcPr>
          <w:p w14:paraId="519B4854" w14:textId="77777777" w:rsidR="0074711A" w:rsidRPr="008E63BB" w:rsidRDefault="0074711A" w:rsidP="0065184D">
            <w:pPr>
              <w:jc w:val="right"/>
              <w:rPr>
                <w:rFonts w:eastAsia="Times New Roman"/>
                <w:sz w:val="20"/>
                <w:szCs w:val="20"/>
              </w:rPr>
            </w:pPr>
            <w:r w:rsidRPr="008E63BB">
              <w:rPr>
                <w:rFonts w:eastAsia="Times New Roman"/>
                <w:sz w:val="20"/>
                <w:szCs w:val="20"/>
              </w:rPr>
              <w:t>5,62</w:t>
            </w:r>
          </w:p>
        </w:tc>
        <w:tc>
          <w:tcPr>
            <w:tcW w:w="866" w:type="dxa"/>
            <w:tcBorders>
              <w:top w:val="nil"/>
              <w:left w:val="nil"/>
              <w:bottom w:val="single" w:sz="4" w:space="0" w:color="auto"/>
              <w:right w:val="nil"/>
            </w:tcBorders>
            <w:shd w:val="clear" w:color="auto" w:fill="auto"/>
            <w:vAlign w:val="center"/>
            <w:hideMark/>
          </w:tcPr>
          <w:p w14:paraId="519B4855" w14:textId="77777777" w:rsidR="0074711A" w:rsidRPr="008E63BB" w:rsidRDefault="0074711A" w:rsidP="0065184D">
            <w:pPr>
              <w:jc w:val="right"/>
              <w:rPr>
                <w:rFonts w:eastAsia="Times New Roman"/>
                <w:sz w:val="20"/>
                <w:szCs w:val="20"/>
              </w:rPr>
            </w:pPr>
            <w:r w:rsidRPr="008E63BB">
              <w:rPr>
                <w:rFonts w:eastAsia="Times New Roman"/>
                <w:sz w:val="20"/>
                <w:szCs w:val="20"/>
              </w:rPr>
              <w:t>6.509</w:t>
            </w:r>
          </w:p>
        </w:tc>
        <w:tc>
          <w:tcPr>
            <w:tcW w:w="866" w:type="dxa"/>
            <w:tcBorders>
              <w:top w:val="nil"/>
              <w:left w:val="single" w:sz="4" w:space="0" w:color="auto"/>
              <w:bottom w:val="single" w:sz="4" w:space="0" w:color="auto"/>
              <w:right w:val="single" w:sz="4" w:space="0" w:color="auto"/>
            </w:tcBorders>
            <w:shd w:val="clear" w:color="auto" w:fill="auto"/>
            <w:vAlign w:val="center"/>
            <w:hideMark/>
          </w:tcPr>
          <w:p w14:paraId="519B4856" w14:textId="77777777" w:rsidR="0074711A" w:rsidRPr="008E63BB" w:rsidRDefault="0074711A" w:rsidP="0065184D">
            <w:pPr>
              <w:jc w:val="right"/>
              <w:rPr>
                <w:rFonts w:eastAsia="Times New Roman"/>
                <w:sz w:val="20"/>
                <w:szCs w:val="20"/>
              </w:rPr>
            </w:pPr>
            <w:r w:rsidRPr="008E63BB">
              <w:rPr>
                <w:rFonts w:eastAsia="Times New Roman"/>
                <w:sz w:val="20"/>
                <w:szCs w:val="20"/>
              </w:rPr>
              <w:t>6.484</w:t>
            </w:r>
          </w:p>
        </w:tc>
        <w:tc>
          <w:tcPr>
            <w:tcW w:w="866" w:type="dxa"/>
            <w:tcBorders>
              <w:top w:val="nil"/>
              <w:left w:val="nil"/>
              <w:bottom w:val="single" w:sz="4" w:space="0" w:color="auto"/>
              <w:right w:val="single" w:sz="4" w:space="0" w:color="auto"/>
            </w:tcBorders>
            <w:shd w:val="clear" w:color="auto" w:fill="auto"/>
            <w:noWrap/>
            <w:vAlign w:val="center"/>
            <w:hideMark/>
          </w:tcPr>
          <w:p w14:paraId="519B4857" w14:textId="77777777" w:rsidR="0074711A" w:rsidRPr="008E63BB" w:rsidRDefault="0074711A" w:rsidP="0065184D">
            <w:pPr>
              <w:jc w:val="right"/>
              <w:rPr>
                <w:rFonts w:eastAsia="Times New Roman"/>
                <w:sz w:val="20"/>
                <w:szCs w:val="20"/>
              </w:rPr>
            </w:pPr>
            <w:r w:rsidRPr="008E63BB">
              <w:rPr>
                <w:rFonts w:eastAsia="Times New Roman"/>
                <w:sz w:val="20"/>
                <w:szCs w:val="20"/>
              </w:rPr>
              <w:t>6.477</w:t>
            </w:r>
          </w:p>
        </w:tc>
        <w:tc>
          <w:tcPr>
            <w:tcW w:w="866" w:type="dxa"/>
            <w:tcBorders>
              <w:top w:val="nil"/>
              <w:left w:val="nil"/>
              <w:bottom w:val="single" w:sz="4" w:space="0" w:color="auto"/>
              <w:right w:val="single" w:sz="4" w:space="0" w:color="auto"/>
            </w:tcBorders>
            <w:shd w:val="clear" w:color="auto" w:fill="auto"/>
            <w:vAlign w:val="bottom"/>
            <w:hideMark/>
          </w:tcPr>
          <w:p w14:paraId="519B4858" w14:textId="77777777" w:rsidR="0074711A" w:rsidRPr="008E63BB" w:rsidRDefault="0074711A" w:rsidP="0065184D">
            <w:pPr>
              <w:jc w:val="right"/>
              <w:rPr>
                <w:rFonts w:eastAsia="Times New Roman"/>
                <w:sz w:val="20"/>
                <w:szCs w:val="20"/>
              </w:rPr>
            </w:pPr>
            <w:r w:rsidRPr="008E63BB">
              <w:rPr>
                <w:rFonts w:eastAsia="Times New Roman"/>
                <w:sz w:val="20"/>
                <w:szCs w:val="20"/>
              </w:rPr>
              <w:t>6.483</w:t>
            </w:r>
          </w:p>
        </w:tc>
        <w:tc>
          <w:tcPr>
            <w:tcW w:w="866" w:type="dxa"/>
            <w:tcBorders>
              <w:top w:val="nil"/>
              <w:left w:val="nil"/>
              <w:bottom w:val="single" w:sz="4" w:space="0" w:color="auto"/>
              <w:right w:val="single" w:sz="4" w:space="0" w:color="auto"/>
            </w:tcBorders>
            <w:shd w:val="clear" w:color="auto" w:fill="auto"/>
            <w:vAlign w:val="bottom"/>
            <w:hideMark/>
          </w:tcPr>
          <w:p w14:paraId="519B4859" w14:textId="77777777" w:rsidR="0074711A" w:rsidRPr="008E63BB" w:rsidRDefault="0074711A" w:rsidP="0065184D">
            <w:pPr>
              <w:jc w:val="right"/>
              <w:rPr>
                <w:rFonts w:eastAsia="Times New Roman"/>
                <w:sz w:val="20"/>
                <w:szCs w:val="20"/>
              </w:rPr>
            </w:pPr>
            <w:r w:rsidRPr="008E63BB">
              <w:rPr>
                <w:rFonts w:eastAsia="Times New Roman"/>
                <w:sz w:val="20"/>
                <w:szCs w:val="20"/>
              </w:rPr>
              <w:t>6.432</w:t>
            </w:r>
          </w:p>
        </w:tc>
        <w:tc>
          <w:tcPr>
            <w:tcW w:w="866" w:type="dxa"/>
            <w:tcBorders>
              <w:top w:val="nil"/>
              <w:left w:val="nil"/>
              <w:bottom w:val="single" w:sz="4" w:space="0" w:color="auto"/>
              <w:right w:val="single" w:sz="4" w:space="0" w:color="auto"/>
            </w:tcBorders>
            <w:shd w:val="clear" w:color="auto" w:fill="auto"/>
            <w:noWrap/>
            <w:vAlign w:val="center"/>
            <w:hideMark/>
          </w:tcPr>
          <w:p w14:paraId="519B485A" w14:textId="77777777" w:rsidR="0074711A" w:rsidRPr="008E63BB" w:rsidRDefault="0074711A" w:rsidP="0065184D">
            <w:pPr>
              <w:jc w:val="right"/>
              <w:rPr>
                <w:rFonts w:eastAsia="Times New Roman"/>
                <w:sz w:val="20"/>
                <w:szCs w:val="20"/>
              </w:rPr>
            </w:pPr>
            <w:r w:rsidRPr="008E63BB">
              <w:rPr>
                <w:rFonts w:eastAsia="Times New Roman"/>
                <w:sz w:val="20"/>
                <w:szCs w:val="20"/>
              </w:rPr>
              <w:t>6.528</w:t>
            </w:r>
          </w:p>
        </w:tc>
        <w:tc>
          <w:tcPr>
            <w:tcW w:w="866" w:type="dxa"/>
            <w:tcBorders>
              <w:top w:val="nil"/>
              <w:left w:val="nil"/>
              <w:bottom w:val="single" w:sz="4" w:space="0" w:color="auto"/>
              <w:right w:val="single" w:sz="4" w:space="0" w:color="auto"/>
            </w:tcBorders>
            <w:shd w:val="clear" w:color="auto" w:fill="auto"/>
            <w:noWrap/>
            <w:vAlign w:val="center"/>
            <w:hideMark/>
          </w:tcPr>
          <w:p w14:paraId="519B485B" w14:textId="77777777" w:rsidR="0074711A" w:rsidRPr="008E63BB" w:rsidRDefault="0074711A" w:rsidP="0065184D">
            <w:pPr>
              <w:jc w:val="right"/>
              <w:rPr>
                <w:rFonts w:eastAsia="Times New Roman"/>
                <w:sz w:val="20"/>
                <w:szCs w:val="20"/>
              </w:rPr>
            </w:pPr>
            <w:r w:rsidRPr="008E63BB">
              <w:rPr>
                <w:rFonts w:eastAsia="Times New Roman"/>
                <w:sz w:val="20"/>
                <w:szCs w:val="20"/>
              </w:rPr>
              <w:t>6.682</w:t>
            </w:r>
          </w:p>
        </w:tc>
        <w:tc>
          <w:tcPr>
            <w:tcW w:w="866" w:type="dxa"/>
            <w:tcBorders>
              <w:top w:val="nil"/>
              <w:left w:val="nil"/>
              <w:bottom w:val="single" w:sz="4" w:space="0" w:color="auto"/>
              <w:right w:val="single" w:sz="4" w:space="0" w:color="auto"/>
            </w:tcBorders>
            <w:shd w:val="clear" w:color="auto" w:fill="auto"/>
            <w:noWrap/>
            <w:vAlign w:val="center"/>
            <w:hideMark/>
          </w:tcPr>
          <w:p w14:paraId="519B485C" w14:textId="77777777" w:rsidR="0074711A" w:rsidRPr="008E63BB" w:rsidRDefault="0074711A" w:rsidP="0065184D">
            <w:pPr>
              <w:jc w:val="right"/>
              <w:rPr>
                <w:rFonts w:eastAsia="Times New Roman"/>
                <w:sz w:val="20"/>
                <w:szCs w:val="20"/>
              </w:rPr>
            </w:pPr>
            <w:r w:rsidRPr="008E63BB">
              <w:rPr>
                <w:rFonts w:eastAsia="Times New Roman"/>
                <w:sz w:val="20"/>
                <w:szCs w:val="20"/>
              </w:rPr>
              <w:t>6.803</w:t>
            </w:r>
          </w:p>
        </w:tc>
        <w:tc>
          <w:tcPr>
            <w:tcW w:w="866" w:type="dxa"/>
            <w:tcBorders>
              <w:top w:val="nil"/>
              <w:left w:val="nil"/>
              <w:bottom w:val="single" w:sz="4" w:space="0" w:color="auto"/>
              <w:right w:val="single" w:sz="4" w:space="0" w:color="auto"/>
            </w:tcBorders>
            <w:shd w:val="clear" w:color="auto" w:fill="auto"/>
            <w:noWrap/>
            <w:vAlign w:val="center"/>
            <w:hideMark/>
          </w:tcPr>
          <w:p w14:paraId="519B485D" w14:textId="77777777" w:rsidR="0074711A" w:rsidRPr="008E63BB" w:rsidRDefault="0074711A" w:rsidP="0065184D">
            <w:pPr>
              <w:jc w:val="right"/>
              <w:rPr>
                <w:rFonts w:eastAsia="Times New Roman"/>
                <w:sz w:val="20"/>
                <w:szCs w:val="20"/>
              </w:rPr>
            </w:pPr>
            <w:r w:rsidRPr="008E63BB">
              <w:rPr>
                <w:rFonts w:eastAsia="Times New Roman"/>
                <w:sz w:val="20"/>
                <w:szCs w:val="20"/>
              </w:rPr>
              <w:t>6.809</w:t>
            </w:r>
          </w:p>
        </w:tc>
        <w:tc>
          <w:tcPr>
            <w:tcW w:w="866" w:type="dxa"/>
            <w:tcBorders>
              <w:top w:val="nil"/>
              <w:left w:val="nil"/>
              <w:bottom w:val="single" w:sz="4" w:space="0" w:color="auto"/>
              <w:right w:val="single" w:sz="4" w:space="0" w:color="auto"/>
            </w:tcBorders>
            <w:shd w:val="clear" w:color="auto" w:fill="auto"/>
            <w:noWrap/>
            <w:vAlign w:val="center"/>
            <w:hideMark/>
          </w:tcPr>
          <w:p w14:paraId="519B485E" w14:textId="77777777" w:rsidR="0074711A" w:rsidRPr="008E63BB" w:rsidRDefault="0074711A" w:rsidP="0065184D">
            <w:pPr>
              <w:jc w:val="right"/>
              <w:rPr>
                <w:rFonts w:eastAsia="Times New Roman"/>
                <w:sz w:val="20"/>
                <w:szCs w:val="20"/>
              </w:rPr>
            </w:pPr>
            <w:r w:rsidRPr="008E63BB">
              <w:rPr>
                <w:rFonts w:eastAsia="Times New Roman"/>
                <w:sz w:val="20"/>
                <w:szCs w:val="20"/>
              </w:rPr>
              <w:t>7.050</w:t>
            </w:r>
          </w:p>
        </w:tc>
        <w:tc>
          <w:tcPr>
            <w:tcW w:w="866" w:type="dxa"/>
            <w:tcBorders>
              <w:top w:val="nil"/>
              <w:left w:val="nil"/>
              <w:bottom w:val="single" w:sz="4" w:space="0" w:color="auto"/>
              <w:right w:val="single" w:sz="4" w:space="0" w:color="auto"/>
            </w:tcBorders>
            <w:shd w:val="clear" w:color="auto" w:fill="auto"/>
            <w:noWrap/>
            <w:vAlign w:val="center"/>
            <w:hideMark/>
          </w:tcPr>
          <w:p w14:paraId="519B485F" w14:textId="77777777" w:rsidR="0074711A" w:rsidRPr="008E63BB" w:rsidRDefault="0074711A" w:rsidP="0065184D">
            <w:pPr>
              <w:jc w:val="right"/>
              <w:rPr>
                <w:rFonts w:eastAsia="Times New Roman"/>
                <w:sz w:val="20"/>
                <w:szCs w:val="20"/>
              </w:rPr>
            </w:pPr>
            <w:r w:rsidRPr="008E63BB">
              <w:rPr>
                <w:rFonts w:eastAsia="Times New Roman"/>
                <w:sz w:val="20"/>
                <w:szCs w:val="20"/>
              </w:rPr>
              <w:t>6.845</w:t>
            </w:r>
          </w:p>
        </w:tc>
        <w:tc>
          <w:tcPr>
            <w:tcW w:w="994" w:type="dxa"/>
            <w:tcBorders>
              <w:top w:val="nil"/>
              <w:left w:val="nil"/>
              <w:bottom w:val="single" w:sz="4" w:space="0" w:color="auto"/>
              <w:right w:val="single" w:sz="4" w:space="0" w:color="auto"/>
            </w:tcBorders>
            <w:shd w:val="clear" w:color="auto" w:fill="auto"/>
            <w:noWrap/>
            <w:vAlign w:val="center"/>
            <w:hideMark/>
          </w:tcPr>
          <w:p w14:paraId="519B4860" w14:textId="77777777" w:rsidR="0074711A" w:rsidRPr="008E63BB" w:rsidRDefault="0074711A" w:rsidP="0065184D">
            <w:pPr>
              <w:jc w:val="right"/>
              <w:rPr>
                <w:rFonts w:eastAsia="Times New Roman"/>
                <w:sz w:val="20"/>
                <w:szCs w:val="20"/>
              </w:rPr>
            </w:pPr>
            <w:r w:rsidRPr="008E63BB">
              <w:rPr>
                <w:rFonts w:eastAsia="Times New Roman"/>
                <w:sz w:val="20"/>
                <w:szCs w:val="20"/>
              </w:rPr>
              <w:t>1.218</w:t>
            </w:r>
          </w:p>
        </w:tc>
      </w:tr>
      <w:tr w:rsidR="008D5BFE" w:rsidRPr="008E63BB" w14:paraId="519B487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62"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B</w:t>
            </w:r>
          </w:p>
        </w:tc>
        <w:tc>
          <w:tcPr>
            <w:tcW w:w="2684" w:type="dxa"/>
            <w:tcBorders>
              <w:top w:val="nil"/>
              <w:left w:val="nil"/>
              <w:bottom w:val="single" w:sz="4" w:space="0" w:color="auto"/>
              <w:right w:val="single" w:sz="4" w:space="0" w:color="auto"/>
            </w:tcBorders>
            <w:shd w:val="clear" w:color="auto" w:fill="auto"/>
            <w:noWrap/>
            <w:vAlign w:val="center"/>
            <w:hideMark/>
          </w:tcPr>
          <w:p w14:paraId="519B4863"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H. Mỹ Lộc</w:t>
            </w:r>
          </w:p>
        </w:tc>
        <w:tc>
          <w:tcPr>
            <w:tcW w:w="794" w:type="dxa"/>
            <w:tcBorders>
              <w:top w:val="nil"/>
              <w:left w:val="nil"/>
              <w:bottom w:val="single" w:sz="4" w:space="0" w:color="auto"/>
              <w:right w:val="single" w:sz="4" w:space="0" w:color="auto"/>
            </w:tcBorders>
            <w:shd w:val="clear" w:color="auto" w:fill="auto"/>
            <w:noWrap/>
            <w:vAlign w:val="center"/>
            <w:hideMark/>
          </w:tcPr>
          <w:p w14:paraId="519B4864"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74,49</w:t>
            </w:r>
          </w:p>
        </w:tc>
        <w:tc>
          <w:tcPr>
            <w:tcW w:w="866" w:type="dxa"/>
            <w:tcBorders>
              <w:top w:val="nil"/>
              <w:left w:val="nil"/>
              <w:bottom w:val="single" w:sz="4" w:space="0" w:color="auto"/>
              <w:right w:val="single" w:sz="4" w:space="0" w:color="auto"/>
            </w:tcBorders>
            <w:shd w:val="clear" w:color="auto" w:fill="auto"/>
            <w:noWrap/>
            <w:vAlign w:val="center"/>
            <w:hideMark/>
          </w:tcPr>
          <w:p w14:paraId="519B4865"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0</w:t>
            </w:r>
          </w:p>
        </w:tc>
        <w:tc>
          <w:tcPr>
            <w:tcW w:w="866" w:type="dxa"/>
            <w:tcBorders>
              <w:top w:val="nil"/>
              <w:left w:val="nil"/>
              <w:bottom w:val="single" w:sz="4" w:space="0" w:color="auto"/>
              <w:right w:val="single" w:sz="4" w:space="0" w:color="auto"/>
            </w:tcBorders>
            <w:shd w:val="clear" w:color="auto" w:fill="auto"/>
            <w:noWrap/>
            <w:vAlign w:val="center"/>
            <w:hideMark/>
          </w:tcPr>
          <w:p w14:paraId="519B4866"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67"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69.265</w:t>
            </w:r>
          </w:p>
        </w:tc>
        <w:tc>
          <w:tcPr>
            <w:tcW w:w="866" w:type="dxa"/>
            <w:tcBorders>
              <w:top w:val="nil"/>
              <w:left w:val="nil"/>
              <w:bottom w:val="single" w:sz="4" w:space="0" w:color="auto"/>
              <w:right w:val="single" w:sz="4" w:space="0" w:color="auto"/>
            </w:tcBorders>
            <w:shd w:val="clear" w:color="auto" w:fill="auto"/>
            <w:noWrap/>
            <w:vAlign w:val="center"/>
            <w:hideMark/>
          </w:tcPr>
          <w:p w14:paraId="519B4868"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69.387</w:t>
            </w:r>
          </w:p>
        </w:tc>
        <w:tc>
          <w:tcPr>
            <w:tcW w:w="866" w:type="dxa"/>
            <w:tcBorders>
              <w:top w:val="nil"/>
              <w:left w:val="nil"/>
              <w:bottom w:val="single" w:sz="4" w:space="0" w:color="auto"/>
              <w:right w:val="single" w:sz="4" w:space="0" w:color="auto"/>
            </w:tcBorders>
            <w:shd w:val="clear" w:color="auto" w:fill="auto"/>
            <w:noWrap/>
            <w:vAlign w:val="center"/>
            <w:hideMark/>
          </w:tcPr>
          <w:p w14:paraId="519B4869"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69.486</w:t>
            </w:r>
          </w:p>
        </w:tc>
        <w:tc>
          <w:tcPr>
            <w:tcW w:w="866" w:type="dxa"/>
            <w:tcBorders>
              <w:top w:val="nil"/>
              <w:left w:val="nil"/>
              <w:bottom w:val="single" w:sz="4" w:space="0" w:color="auto"/>
              <w:right w:val="single" w:sz="4" w:space="0" w:color="auto"/>
            </w:tcBorders>
            <w:shd w:val="clear" w:color="auto" w:fill="auto"/>
            <w:noWrap/>
            <w:vAlign w:val="center"/>
            <w:hideMark/>
          </w:tcPr>
          <w:p w14:paraId="519B486A"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69.672</w:t>
            </w:r>
          </w:p>
        </w:tc>
        <w:tc>
          <w:tcPr>
            <w:tcW w:w="866" w:type="dxa"/>
            <w:tcBorders>
              <w:top w:val="nil"/>
              <w:left w:val="nil"/>
              <w:bottom w:val="single" w:sz="4" w:space="0" w:color="auto"/>
              <w:right w:val="single" w:sz="4" w:space="0" w:color="auto"/>
            </w:tcBorders>
            <w:shd w:val="clear" w:color="auto" w:fill="auto"/>
            <w:noWrap/>
            <w:vAlign w:val="center"/>
            <w:hideMark/>
          </w:tcPr>
          <w:p w14:paraId="519B486B"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69.933</w:t>
            </w:r>
          </w:p>
        </w:tc>
        <w:tc>
          <w:tcPr>
            <w:tcW w:w="866" w:type="dxa"/>
            <w:tcBorders>
              <w:top w:val="nil"/>
              <w:left w:val="nil"/>
              <w:bottom w:val="single" w:sz="4" w:space="0" w:color="auto"/>
              <w:right w:val="single" w:sz="4" w:space="0" w:color="auto"/>
            </w:tcBorders>
            <w:shd w:val="clear" w:color="auto" w:fill="auto"/>
            <w:noWrap/>
            <w:vAlign w:val="center"/>
            <w:hideMark/>
          </w:tcPr>
          <w:p w14:paraId="519B486C"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70.152</w:t>
            </w:r>
          </w:p>
        </w:tc>
        <w:tc>
          <w:tcPr>
            <w:tcW w:w="866" w:type="dxa"/>
            <w:tcBorders>
              <w:top w:val="nil"/>
              <w:left w:val="nil"/>
              <w:bottom w:val="single" w:sz="4" w:space="0" w:color="auto"/>
              <w:right w:val="single" w:sz="4" w:space="0" w:color="auto"/>
            </w:tcBorders>
            <w:shd w:val="clear" w:color="auto" w:fill="auto"/>
            <w:noWrap/>
            <w:vAlign w:val="center"/>
            <w:hideMark/>
          </w:tcPr>
          <w:p w14:paraId="519B486D"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70.237</w:t>
            </w:r>
          </w:p>
        </w:tc>
        <w:tc>
          <w:tcPr>
            <w:tcW w:w="866" w:type="dxa"/>
            <w:tcBorders>
              <w:top w:val="nil"/>
              <w:left w:val="nil"/>
              <w:bottom w:val="single" w:sz="4" w:space="0" w:color="auto"/>
              <w:right w:val="single" w:sz="4" w:space="0" w:color="auto"/>
            </w:tcBorders>
            <w:shd w:val="clear" w:color="auto" w:fill="auto"/>
            <w:noWrap/>
            <w:vAlign w:val="center"/>
            <w:hideMark/>
          </w:tcPr>
          <w:p w14:paraId="519B486E"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70.255</w:t>
            </w:r>
          </w:p>
        </w:tc>
        <w:tc>
          <w:tcPr>
            <w:tcW w:w="866" w:type="dxa"/>
            <w:tcBorders>
              <w:top w:val="nil"/>
              <w:left w:val="nil"/>
              <w:bottom w:val="single" w:sz="4" w:space="0" w:color="auto"/>
              <w:right w:val="single" w:sz="4" w:space="0" w:color="auto"/>
            </w:tcBorders>
            <w:shd w:val="clear" w:color="auto" w:fill="auto"/>
            <w:noWrap/>
            <w:vAlign w:val="center"/>
            <w:hideMark/>
          </w:tcPr>
          <w:p w14:paraId="519B486F"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70.306</w:t>
            </w:r>
          </w:p>
        </w:tc>
        <w:tc>
          <w:tcPr>
            <w:tcW w:w="994" w:type="dxa"/>
            <w:tcBorders>
              <w:top w:val="nil"/>
              <w:left w:val="nil"/>
              <w:bottom w:val="single" w:sz="4" w:space="0" w:color="auto"/>
              <w:right w:val="single" w:sz="4" w:space="0" w:color="auto"/>
            </w:tcBorders>
            <w:shd w:val="clear" w:color="auto" w:fill="auto"/>
            <w:noWrap/>
            <w:vAlign w:val="center"/>
            <w:hideMark/>
          </w:tcPr>
          <w:p w14:paraId="519B4870"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944</w:t>
            </w:r>
          </w:p>
        </w:tc>
      </w:tr>
      <w:tr w:rsidR="008D5BFE" w:rsidRPr="008E63BB" w14:paraId="519B488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72" w14:textId="77777777" w:rsidR="0074711A" w:rsidRPr="008E63BB" w:rsidRDefault="0074711A" w:rsidP="0065184D">
            <w:pPr>
              <w:jc w:val="right"/>
              <w:rPr>
                <w:rFonts w:eastAsia="Times New Roman"/>
                <w:sz w:val="20"/>
                <w:szCs w:val="20"/>
              </w:rPr>
            </w:pPr>
            <w:r w:rsidRPr="008E63BB">
              <w:rPr>
                <w:rFonts w:eastAsia="Times New Roman"/>
                <w:sz w:val="20"/>
                <w:szCs w:val="20"/>
              </w:rPr>
              <w:t>1</w:t>
            </w:r>
          </w:p>
        </w:tc>
        <w:tc>
          <w:tcPr>
            <w:tcW w:w="2684" w:type="dxa"/>
            <w:tcBorders>
              <w:top w:val="nil"/>
              <w:left w:val="nil"/>
              <w:bottom w:val="single" w:sz="4" w:space="0" w:color="auto"/>
              <w:right w:val="single" w:sz="4" w:space="0" w:color="auto"/>
            </w:tcBorders>
            <w:shd w:val="clear" w:color="auto" w:fill="auto"/>
            <w:noWrap/>
            <w:vAlign w:val="center"/>
            <w:hideMark/>
          </w:tcPr>
          <w:p w14:paraId="519B4873" w14:textId="77777777" w:rsidR="0074711A" w:rsidRPr="008E63BB" w:rsidRDefault="0074711A" w:rsidP="0065184D">
            <w:pPr>
              <w:jc w:val="left"/>
              <w:rPr>
                <w:rFonts w:eastAsia="Times New Roman"/>
                <w:sz w:val="20"/>
                <w:szCs w:val="20"/>
              </w:rPr>
            </w:pPr>
            <w:r w:rsidRPr="008E63BB">
              <w:rPr>
                <w:rFonts w:eastAsia="Times New Roman"/>
                <w:sz w:val="20"/>
                <w:szCs w:val="20"/>
              </w:rPr>
              <w:t>TT. Mỹ Lộc</w:t>
            </w:r>
          </w:p>
        </w:tc>
        <w:tc>
          <w:tcPr>
            <w:tcW w:w="794" w:type="dxa"/>
            <w:tcBorders>
              <w:top w:val="nil"/>
              <w:left w:val="nil"/>
              <w:bottom w:val="single" w:sz="4" w:space="0" w:color="auto"/>
              <w:right w:val="single" w:sz="4" w:space="0" w:color="auto"/>
            </w:tcBorders>
            <w:shd w:val="clear" w:color="auto" w:fill="auto"/>
            <w:noWrap/>
            <w:vAlign w:val="center"/>
            <w:hideMark/>
          </w:tcPr>
          <w:p w14:paraId="519B4874" w14:textId="77777777" w:rsidR="0074711A" w:rsidRPr="008E63BB" w:rsidRDefault="0074711A" w:rsidP="0065184D">
            <w:pPr>
              <w:jc w:val="right"/>
              <w:rPr>
                <w:rFonts w:eastAsia="Times New Roman"/>
                <w:sz w:val="20"/>
                <w:szCs w:val="20"/>
              </w:rPr>
            </w:pPr>
            <w:r w:rsidRPr="008E63BB">
              <w:rPr>
                <w:rFonts w:eastAsia="Times New Roman"/>
                <w:sz w:val="20"/>
                <w:szCs w:val="20"/>
              </w:rPr>
              <w:t>4,72</w:t>
            </w:r>
          </w:p>
        </w:tc>
        <w:tc>
          <w:tcPr>
            <w:tcW w:w="866" w:type="dxa"/>
            <w:tcBorders>
              <w:top w:val="nil"/>
              <w:left w:val="nil"/>
              <w:bottom w:val="single" w:sz="4" w:space="0" w:color="auto"/>
              <w:right w:val="single" w:sz="4" w:space="0" w:color="auto"/>
            </w:tcBorders>
            <w:shd w:val="clear" w:color="auto" w:fill="auto"/>
            <w:noWrap/>
            <w:vAlign w:val="center"/>
            <w:hideMark/>
          </w:tcPr>
          <w:p w14:paraId="519B487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7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77" w14:textId="77777777" w:rsidR="0074711A" w:rsidRPr="008E63BB" w:rsidRDefault="0074711A" w:rsidP="0065184D">
            <w:pPr>
              <w:jc w:val="right"/>
              <w:rPr>
                <w:rFonts w:eastAsia="Times New Roman"/>
                <w:sz w:val="20"/>
                <w:szCs w:val="20"/>
              </w:rPr>
            </w:pPr>
            <w:r w:rsidRPr="008E63BB">
              <w:rPr>
                <w:rFonts w:eastAsia="Times New Roman"/>
                <w:sz w:val="20"/>
                <w:szCs w:val="20"/>
              </w:rPr>
              <w:t>4.710</w:t>
            </w:r>
          </w:p>
        </w:tc>
        <w:tc>
          <w:tcPr>
            <w:tcW w:w="866" w:type="dxa"/>
            <w:tcBorders>
              <w:top w:val="nil"/>
              <w:left w:val="nil"/>
              <w:bottom w:val="single" w:sz="4" w:space="0" w:color="auto"/>
              <w:right w:val="single" w:sz="4" w:space="0" w:color="auto"/>
            </w:tcBorders>
            <w:shd w:val="clear" w:color="auto" w:fill="auto"/>
            <w:noWrap/>
            <w:vAlign w:val="center"/>
            <w:hideMark/>
          </w:tcPr>
          <w:p w14:paraId="519B4878" w14:textId="77777777" w:rsidR="0074711A" w:rsidRPr="008E63BB" w:rsidRDefault="0074711A" w:rsidP="0065184D">
            <w:pPr>
              <w:jc w:val="right"/>
              <w:rPr>
                <w:rFonts w:eastAsia="Times New Roman"/>
                <w:sz w:val="20"/>
                <w:szCs w:val="20"/>
              </w:rPr>
            </w:pPr>
            <w:r w:rsidRPr="008E63BB">
              <w:rPr>
                <w:rFonts w:eastAsia="Times New Roman"/>
                <w:sz w:val="20"/>
                <w:szCs w:val="20"/>
              </w:rPr>
              <w:t>4.792</w:t>
            </w:r>
          </w:p>
        </w:tc>
        <w:tc>
          <w:tcPr>
            <w:tcW w:w="866" w:type="dxa"/>
            <w:tcBorders>
              <w:top w:val="nil"/>
              <w:left w:val="nil"/>
              <w:bottom w:val="single" w:sz="4" w:space="0" w:color="auto"/>
              <w:right w:val="single" w:sz="4" w:space="0" w:color="auto"/>
            </w:tcBorders>
            <w:shd w:val="clear" w:color="auto" w:fill="auto"/>
            <w:noWrap/>
            <w:vAlign w:val="center"/>
            <w:hideMark/>
          </w:tcPr>
          <w:p w14:paraId="519B4879" w14:textId="77777777" w:rsidR="0074711A" w:rsidRPr="008E63BB" w:rsidRDefault="0074711A" w:rsidP="0065184D">
            <w:pPr>
              <w:jc w:val="right"/>
              <w:rPr>
                <w:rFonts w:eastAsia="Times New Roman"/>
                <w:sz w:val="20"/>
                <w:szCs w:val="20"/>
              </w:rPr>
            </w:pPr>
            <w:r w:rsidRPr="008E63BB">
              <w:rPr>
                <w:rFonts w:eastAsia="Times New Roman"/>
                <w:sz w:val="20"/>
                <w:szCs w:val="20"/>
              </w:rPr>
              <w:t>4.859</w:t>
            </w:r>
          </w:p>
        </w:tc>
        <w:tc>
          <w:tcPr>
            <w:tcW w:w="866" w:type="dxa"/>
            <w:tcBorders>
              <w:top w:val="nil"/>
              <w:left w:val="nil"/>
              <w:bottom w:val="single" w:sz="4" w:space="0" w:color="auto"/>
              <w:right w:val="single" w:sz="4" w:space="0" w:color="auto"/>
            </w:tcBorders>
            <w:shd w:val="clear" w:color="auto" w:fill="auto"/>
            <w:noWrap/>
            <w:vAlign w:val="center"/>
            <w:hideMark/>
          </w:tcPr>
          <w:p w14:paraId="519B487A" w14:textId="77777777" w:rsidR="0074711A" w:rsidRPr="008E63BB" w:rsidRDefault="0074711A" w:rsidP="0065184D">
            <w:pPr>
              <w:jc w:val="right"/>
              <w:rPr>
                <w:rFonts w:eastAsia="Times New Roman"/>
                <w:sz w:val="20"/>
                <w:szCs w:val="20"/>
              </w:rPr>
            </w:pPr>
            <w:r w:rsidRPr="008E63BB">
              <w:rPr>
                <w:rFonts w:eastAsia="Times New Roman"/>
                <w:sz w:val="20"/>
                <w:szCs w:val="20"/>
              </w:rPr>
              <w:t>4.957</w:t>
            </w:r>
          </w:p>
        </w:tc>
        <w:tc>
          <w:tcPr>
            <w:tcW w:w="866" w:type="dxa"/>
            <w:tcBorders>
              <w:top w:val="nil"/>
              <w:left w:val="nil"/>
              <w:bottom w:val="single" w:sz="4" w:space="0" w:color="auto"/>
              <w:right w:val="single" w:sz="4" w:space="0" w:color="auto"/>
            </w:tcBorders>
            <w:shd w:val="clear" w:color="auto" w:fill="auto"/>
            <w:noWrap/>
            <w:vAlign w:val="center"/>
            <w:hideMark/>
          </w:tcPr>
          <w:p w14:paraId="519B487B" w14:textId="77777777" w:rsidR="0074711A" w:rsidRPr="008E63BB" w:rsidRDefault="0074711A" w:rsidP="0065184D">
            <w:pPr>
              <w:jc w:val="right"/>
              <w:rPr>
                <w:rFonts w:eastAsia="Times New Roman"/>
                <w:sz w:val="20"/>
                <w:szCs w:val="20"/>
              </w:rPr>
            </w:pPr>
            <w:r w:rsidRPr="008E63BB">
              <w:rPr>
                <w:rFonts w:eastAsia="Times New Roman"/>
                <w:sz w:val="20"/>
                <w:szCs w:val="20"/>
              </w:rPr>
              <w:t>5.089</w:t>
            </w:r>
          </w:p>
        </w:tc>
        <w:tc>
          <w:tcPr>
            <w:tcW w:w="866" w:type="dxa"/>
            <w:tcBorders>
              <w:top w:val="nil"/>
              <w:left w:val="nil"/>
              <w:bottom w:val="single" w:sz="4" w:space="0" w:color="auto"/>
              <w:right w:val="single" w:sz="4" w:space="0" w:color="auto"/>
            </w:tcBorders>
            <w:shd w:val="clear" w:color="auto" w:fill="auto"/>
            <w:noWrap/>
            <w:vAlign w:val="center"/>
            <w:hideMark/>
          </w:tcPr>
          <w:p w14:paraId="519B487C" w14:textId="77777777" w:rsidR="0074711A" w:rsidRPr="008E63BB" w:rsidRDefault="0074711A" w:rsidP="0065184D">
            <w:pPr>
              <w:jc w:val="right"/>
              <w:rPr>
                <w:rFonts w:eastAsia="Times New Roman"/>
                <w:sz w:val="20"/>
                <w:szCs w:val="20"/>
              </w:rPr>
            </w:pPr>
            <w:r w:rsidRPr="008E63BB">
              <w:rPr>
                <w:rFonts w:eastAsia="Times New Roman"/>
                <w:sz w:val="20"/>
                <w:szCs w:val="20"/>
              </w:rPr>
              <w:t>5.208</w:t>
            </w:r>
          </w:p>
        </w:tc>
        <w:tc>
          <w:tcPr>
            <w:tcW w:w="866" w:type="dxa"/>
            <w:tcBorders>
              <w:top w:val="nil"/>
              <w:left w:val="nil"/>
              <w:bottom w:val="single" w:sz="4" w:space="0" w:color="auto"/>
              <w:right w:val="single" w:sz="4" w:space="0" w:color="auto"/>
            </w:tcBorders>
            <w:shd w:val="clear" w:color="auto" w:fill="auto"/>
            <w:noWrap/>
            <w:vAlign w:val="center"/>
            <w:hideMark/>
          </w:tcPr>
          <w:p w14:paraId="519B487D" w14:textId="77777777" w:rsidR="0074711A" w:rsidRPr="008E63BB" w:rsidRDefault="0074711A" w:rsidP="0065184D">
            <w:pPr>
              <w:jc w:val="right"/>
              <w:rPr>
                <w:rFonts w:eastAsia="Times New Roman"/>
                <w:sz w:val="20"/>
                <w:szCs w:val="20"/>
              </w:rPr>
            </w:pPr>
            <w:r w:rsidRPr="008E63BB">
              <w:rPr>
                <w:rFonts w:eastAsia="Times New Roman"/>
                <w:sz w:val="20"/>
                <w:szCs w:val="20"/>
              </w:rPr>
              <w:t>5.251</w:t>
            </w:r>
          </w:p>
        </w:tc>
        <w:tc>
          <w:tcPr>
            <w:tcW w:w="866" w:type="dxa"/>
            <w:tcBorders>
              <w:top w:val="nil"/>
              <w:left w:val="nil"/>
              <w:bottom w:val="single" w:sz="4" w:space="0" w:color="auto"/>
              <w:right w:val="single" w:sz="4" w:space="0" w:color="auto"/>
            </w:tcBorders>
            <w:shd w:val="clear" w:color="auto" w:fill="auto"/>
            <w:noWrap/>
            <w:vAlign w:val="center"/>
            <w:hideMark/>
          </w:tcPr>
          <w:p w14:paraId="519B487E" w14:textId="77777777" w:rsidR="0074711A" w:rsidRPr="008E63BB" w:rsidRDefault="0074711A" w:rsidP="0065184D">
            <w:pPr>
              <w:jc w:val="right"/>
              <w:rPr>
                <w:rFonts w:eastAsia="Times New Roman"/>
                <w:sz w:val="20"/>
                <w:szCs w:val="20"/>
              </w:rPr>
            </w:pPr>
            <w:r w:rsidRPr="008E63BB">
              <w:rPr>
                <w:rFonts w:eastAsia="Times New Roman"/>
                <w:sz w:val="20"/>
                <w:szCs w:val="20"/>
              </w:rPr>
              <w:t>5.255</w:t>
            </w:r>
          </w:p>
        </w:tc>
        <w:tc>
          <w:tcPr>
            <w:tcW w:w="866" w:type="dxa"/>
            <w:tcBorders>
              <w:top w:val="nil"/>
              <w:left w:val="nil"/>
              <w:bottom w:val="single" w:sz="4" w:space="0" w:color="auto"/>
              <w:right w:val="single" w:sz="4" w:space="0" w:color="auto"/>
            </w:tcBorders>
            <w:shd w:val="clear" w:color="auto" w:fill="auto"/>
            <w:noWrap/>
            <w:vAlign w:val="center"/>
            <w:hideMark/>
          </w:tcPr>
          <w:p w14:paraId="519B487F" w14:textId="77777777" w:rsidR="0074711A" w:rsidRPr="008E63BB" w:rsidRDefault="0074711A" w:rsidP="0065184D">
            <w:pPr>
              <w:jc w:val="right"/>
              <w:rPr>
                <w:rFonts w:eastAsia="Times New Roman"/>
                <w:sz w:val="20"/>
                <w:szCs w:val="20"/>
              </w:rPr>
            </w:pPr>
            <w:r w:rsidRPr="008E63BB">
              <w:rPr>
                <w:rFonts w:eastAsia="Times New Roman"/>
                <w:sz w:val="20"/>
                <w:szCs w:val="20"/>
              </w:rPr>
              <w:t>5.209</w:t>
            </w:r>
          </w:p>
        </w:tc>
        <w:tc>
          <w:tcPr>
            <w:tcW w:w="994" w:type="dxa"/>
            <w:tcBorders>
              <w:top w:val="nil"/>
              <w:left w:val="nil"/>
              <w:bottom w:val="single" w:sz="4" w:space="0" w:color="auto"/>
              <w:right w:val="single" w:sz="4" w:space="0" w:color="auto"/>
            </w:tcBorders>
            <w:shd w:val="clear" w:color="auto" w:fill="auto"/>
            <w:noWrap/>
            <w:vAlign w:val="center"/>
            <w:hideMark/>
          </w:tcPr>
          <w:p w14:paraId="519B4880" w14:textId="77777777" w:rsidR="0074711A" w:rsidRPr="008E63BB" w:rsidRDefault="0074711A" w:rsidP="0065184D">
            <w:pPr>
              <w:jc w:val="right"/>
              <w:rPr>
                <w:rFonts w:eastAsia="Times New Roman"/>
                <w:sz w:val="20"/>
                <w:szCs w:val="20"/>
              </w:rPr>
            </w:pPr>
            <w:r w:rsidRPr="008E63BB">
              <w:rPr>
                <w:rFonts w:eastAsia="Times New Roman"/>
                <w:sz w:val="20"/>
                <w:szCs w:val="20"/>
              </w:rPr>
              <w:t>1.104</w:t>
            </w:r>
          </w:p>
        </w:tc>
      </w:tr>
      <w:tr w:rsidR="008D5BFE" w:rsidRPr="008E63BB" w14:paraId="519B489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82" w14:textId="77777777" w:rsidR="0074711A" w:rsidRPr="008E63BB" w:rsidRDefault="0074711A" w:rsidP="0065184D">
            <w:pPr>
              <w:jc w:val="right"/>
              <w:rPr>
                <w:rFonts w:eastAsia="Times New Roman"/>
                <w:sz w:val="20"/>
                <w:szCs w:val="20"/>
              </w:rPr>
            </w:pPr>
            <w:r w:rsidRPr="008E63BB">
              <w:rPr>
                <w:rFonts w:eastAsia="Times New Roman"/>
                <w:sz w:val="20"/>
                <w:szCs w:val="20"/>
              </w:rPr>
              <w:t>2</w:t>
            </w:r>
          </w:p>
        </w:tc>
        <w:tc>
          <w:tcPr>
            <w:tcW w:w="2684" w:type="dxa"/>
            <w:tcBorders>
              <w:top w:val="nil"/>
              <w:left w:val="nil"/>
              <w:bottom w:val="single" w:sz="4" w:space="0" w:color="auto"/>
              <w:right w:val="single" w:sz="4" w:space="0" w:color="auto"/>
            </w:tcBorders>
            <w:shd w:val="clear" w:color="auto" w:fill="auto"/>
            <w:noWrap/>
            <w:vAlign w:val="center"/>
            <w:hideMark/>
          </w:tcPr>
          <w:p w14:paraId="519B4883" w14:textId="77777777" w:rsidR="0074711A" w:rsidRPr="008E63BB" w:rsidRDefault="0074711A" w:rsidP="0065184D">
            <w:pPr>
              <w:jc w:val="left"/>
              <w:rPr>
                <w:rFonts w:eastAsia="Times New Roman"/>
                <w:sz w:val="20"/>
                <w:szCs w:val="20"/>
              </w:rPr>
            </w:pPr>
            <w:r w:rsidRPr="008E63BB">
              <w:rPr>
                <w:rFonts w:eastAsia="Times New Roman"/>
                <w:sz w:val="20"/>
                <w:szCs w:val="20"/>
              </w:rPr>
              <w:t>X. Mỹ Hà</w:t>
            </w:r>
          </w:p>
        </w:tc>
        <w:tc>
          <w:tcPr>
            <w:tcW w:w="794" w:type="dxa"/>
            <w:tcBorders>
              <w:top w:val="nil"/>
              <w:left w:val="nil"/>
              <w:bottom w:val="single" w:sz="4" w:space="0" w:color="auto"/>
              <w:right w:val="single" w:sz="4" w:space="0" w:color="auto"/>
            </w:tcBorders>
            <w:shd w:val="clear" w:color="auto" w:fill="auto"/>
            <w:noWrap/>
            <w:vAlign w:val="center"/>
            <w:hideMark/>
          </w:tcPr>
          <w:p w14:paraId="519B4884" w14:textId="77777777" w:rsidR="0074711A" w:rsidRPr="008E63BB" w:rsidRDefault="0074711A" w:rsidP="0065184D">
            <w:pPr>
              <w:jc w:val="right"/>
              <w:rPr>
                <w:rFonts w:eastAsia="Times New Roman"/>
                <w:sz w:val="20"/>
                <w:szCs w:val="20"/>
              </w:rPr>
            </w:pPr>
            <w:r w:rsidRPr="008E63BB">
              <w:rPr>
                <w:rFonts w:eastAsia="Times New Roman"/>
                <w:sz w:val="20"/>
                <w:szCs w:val="20"/>
              </w:rPr>
              <w:t>8,17</w:t>
            </w:r>
          </w:p>
        </w:tc>
        <w:tc>
          <w:tcPr>
            <w:tcW w:w="866" w:type="dxa"/>
            <w:tcBorders>
              <w:top w:val="nil"/>
              <w:left w:val="nil"/>
              <w:bottom w:val="single" w:sz="4" w:space="0" w:color="auto"/>
              <w:right w:val="single" w:sz="4" w:space="0" w:color="auto"/>
            </w:tcBorders>
            <w:shd w:val="clear" w:color="auto" w:fill="auto"/>
            <w:noWrap/>
            <w:vAlign w:val="center"/>
            <w:hideMark/>
          </w:tcPr>
          <w:p w14:paraId="519B488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8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87" w14:textId="77777777" w:rsidR="0074711A" w:rsidRPr="008E63BB" w:rsidRDefault="0074711A" w:rsidP="0065184D">
            <w:pPr>
              <w:jc w:val="right"/>
              <w:rPr>
                <w:rFonts w:eastAsia="Times New Roman"/>
                <w:sz w:val="20"/>
                <w:szCs w:val="20"/>
              </w:rPr>
            </w:pPr>
            <w:r w:rsidRPr="008E63BB">
              <w:rPr>
                <w:rFonts w:eastAsia="Times New Roman"/>
                <w:sz w:val="20"/>
                <w:szCs w:val="20"/>
              </w:rPr>
              <w:t>7.419</w:t>
            </w:r>
          </w:p>
        </w:tc>
        <w:tc>
          <w:tcPr>
            <w:tcW w:w="866" w:type="dxa"/>
            <w:tcBorders>
              <w:top w:val="nil"/>
              <w:left w:val="nil"/>
              <w:bottom w:val="single" w:sz="4" w:space="0" w:color="auto"/>
              <w:right w:val="single" w:sz="4" w:space="0" w:color="auto"/>
            </w:tcBorders>
            <w:shd w:val="clear" w:color="auto" w:fill="auto"/>
            <w:noWrap/>
            <w:vAlign w:val="center"/>
            <w:hideMark/>
          </w:tcPr>
          <w:p w14:paraId="519B4888" w14:textId="77777777" w:rsidR="0074711A" w:rsidRPr="008E63BB" w:rsidRDefault="0074711A" w:rsidP="0065184D">
            <w:pPr>
              <w:jc w:val="right"/>
              <w:rPr>
                <w:rFonts w:eastAsia="Times New Roman"/>
                <w:sz w:val="20"/>
                <w:szCs w:val="20"/>
              </w:rPr>
            </w:pPr>
            <w:r w:rsidRPr="008E63BB">
              <w:rPr>
                <w:rFonts w:eastAsia="Times New Roman"/>
                <w:sz w:val="20"/>
                <w:szCs w:val="20"/>
              </w:rPr>
              <w:t>7.420</w:t>
            </w:r>
          </w:p>
        </w:tc>
        <w:tc>
          <w:tcPr>
            <w:tcW w:w="866" w:type="dxa"/>
            <w:tcBorders>
              <w:top w:val="nil"/>
              <w:left w:val="nil"/>
              <w:bottom w:val="single" w:sz="4" w:space="0" w:color="auto"/>
              <w:right w:val="single" w:sz="4" w:space="0" w:color="auto"/>
            </w:tcBorders>
            <w:shd w:val="clear" w:color="auto" w:fill="auto"/>
            <w:noWrap/>
            <w:vAlign w:val="center"/>
            <w:hideMark/>
          </w:tcPr>
          <w:p w14:paraId="519B4889" w14:textId="77777777" w:rsidR="0074711A" w:rsidRPr="008E63BB" w:rsidRDefault="0074711A" w:rsidP="0065184D">
            <w:pPr>
              <w:jc w:val="right"/>
              <w:rPr>
                <w:rFonts w:eastAsia="Times New Roman"/>
                <w:sz w:val="20"/>
                <w:szCs w:val="20"/>
              </w:rPr>
            </w:pPr>
            <w:r w:rsidRPr="008E63BB">
              <w:rPr>
                <w:rFonts w:eastAsia="Times New Roman"/>
                <w:sz w:val="20"/>
                <w:szCs w:val="20"/>
              </w:rPr>
              <w:t>7.428</w:t>
            </w:r>
          </w:p>
        </w:tc>
        <w:tc>
          <w:tcPr>
            <w:tcW w:w="866" w:type="dxa"/>
            <w:tcBorders>
              <w:top w:val="nil"/>
              <w:left w:val="nil"/>
              <w:bottom w:val="single" w:sz="4" w:space="0" w:color="auto"/>
              <w:right w:val="single" w:sz="4" w:space="0" w:color="auto"/>
            </w:tcBorders>
            <w:shd w:val="clear" w:color="auto" w:fill="auto"/>
            <w:noWrap/>
            <w:vAlign w:val="center"/>
            <w:hideMark/>
          </w:tcPr>
          <w:p w14:paraId="519B488A" w14:textId="77777777" w:rsidR="0074711A" w:rsidRPr="008E63BB" w:rsidRDefault="0074711A" w:rsidP="0065184D">
            <w:pPr>
              <w:jc w:val="right"/>
              <w:rPr>
                <w:rFonts w:eastAsia="Times New Roman"/>
                <w:sz w:val="20"/>
                <w:szCs w:val="20"/>
              </w:rPr>
            </w:pPr>
            <w:r w:rsidRPr="008E63BB">
              <w:rPr>
                <w:rFonts w:eastAsia="Times New Roman"/>
                <w:sz w:val="20"/>
                <w:szCs w:val="20"/>
              </w:rPr>
              <w:t>7.438</w:t>
            </w:r>
          </w:p>
        </w:tc>
        <w:tc>
          <w:tcPr>
            <w:tcW w:w="866" w:type="dxa"/>
            <w:tcBorders>
              <w:top w:val="nil"/>
              <w:left w:val="nil"/>
              <w:bottom w:val="single" w:sz="4" w:space="0" w:color="auto"/>
              <w:right w:val="single" w:sz="4" w:space="0" w:color="auto"/>
            </w:tcBorders>
            <w:shd w:val="clear" w:color="auto" w:fill="auto"/>
            <w:noWrap/>
            <w:vAlign w:val="center"/>
            <w:hideMark/>
          </w:tcPr>
          <w:p w14:paraId="519B488B" w14:textId="77777777" w:rsidR="0074711A" w:rsidRPr="008E63BB" w:rsidRDefault="0074711A" w:rsidP="0065184D">
            <w:pPr>
              <w:jc w:val="right"/>
              <w:rPr>
                <w:rFonts w:eastAsia="Times New Roman"/>
                <w:sz w:val="20"/>
                <w:szCs w:val="20"/>
              </w:rPr>
            </w:pPr>
            <w:r w:rsidRPr="008E63BB">
              <w:rPr>
                <w:rFonts w:eastAsia="Times New Roman"/>
                <w:sz w:val="20"/>
                <w:szCs w:val="20"/>
              </w:rPr>
              <w:t>7.452</w:t>
            </w:r>
          </w:p>
        </w:tc>
        <w:tc>
          <w:tcPr>
            <w:tcW w:w="866" w:type="dxa"/>
            <w:tcBorders>
              <w:top w:val="nil"/>
              <w:left w:val="nil"/>
              <w:bottom w:val="single" w:sz="4" w:space="0" w:color="auto"/>
              <w:right w:val="single" w:sz="4" w:space="0" w:color="auto"/>
            </w:tcBorders>
            <w:shd w:val="clear" w:color="auto" w:fill="auto"/>
            <w:noWrap/>
            <w:vAlign w:val="center"/>
            <w:hideMark/>
          </w:tcPr>
          <w:p w14:paraId="519B488C" w14:textId="77777777" w:rsidR="0074711A" w:rsidRPr="008E63BB" w:rsidRDefault="0074711A" w:rsidP="0065184D">
            <w:pPr>
              <w:jc w:val="right"/>
              <w:rPr>
                <w:rFonts w:eastAsia="Times New Roman"/>
                <w:sz w:val="20"/>
                <w:szCs w:val="20"/>
              </w:rPr>
            </w:pPr>
            <w:r w:rsidRPr="008E63BB">
              <w:rPr>
                <w:rFonts w:eastAsia="Times New Roman"/>
                <w:sz w:val="20"/>
                <w:szCs w:val="20"/>
              </w:rPr>
              <w:t>7.469</w:t>
            </w:r>
          </w:p>
        </w:tc>
        <w:tc>
          <w:tcPr>
            <w:tcW w:w="866" w:type="dxa"/>
            <w:tcBorders>
              <w:top w:val="nil"/>
              <w:left w:val="nil"/>
              <w:bottom w:val="single" w:sz="4" w:space="0" w:color="auto"/>
              <w:right w:val="single" w:sz="4" w:space="0" w:color="auto"/>
            </w:tcBorders>
            <w:shd w:val="clear" w:color="auto" w:fill="auto"/>
            <w:noWrap/>
            <w:vAlign w:val="center"/>
            <w:hideMark/>
          </w:tcPr>
          <w:p w14:paraId="519B488D" w14:textId="77777777" w:rsidR="0074711A" w:rsidRPr="008E63BB" w:rsidRDefault="0074711A" w:rsidP="0065184D">
            <w:pPr>
              <w:jc w:val="right"/>
              <w:rPr>
                <w:rFonts w:eastAsia="Times New Roman"/>
                <w:sz w:val="20"/>
                <w:szCs w:val="20"/>
              </w:rPr>
            </w:pPr>
            <w:r w:rsidRPr="008E63BB">
              <w:rPr>
                <w:rFonts w:eastAsia="Times New Roman"/>
                <w:sz w:val="20"/>
                <w:szCs w:val="20"/>
              </w:rPr>
              <w:t>7.475</w:t>
            </w:r>
          </w:p>
        </w:tc>
        <w:tc>
          <w:tcPr>
            <w:tcW w:w="866" w:type="dxa"/>
            <w:tcBorders>
              <w:top w:val="nil"/>
              <w:left w:val="nil"/>
              <w:bottom w:val="single" w:sz="4" w:space="0" w:color="auto"/>
              <w:right w:val="single" w:sz="4" w:space="0" w:color="auto"/>
            </w:tcBorders>
            <w:shd w:val="clear" w:color="auto" w:fill="auto"/>
            <w:noWrap/>
            <w:vAlign w:val="center"/>
            <w:hideMark/>
          </w:tcPr>
          <w:p w14:paraId="519B488E" w14:textId="77777777" w:rsidR="0074711A" w:rsidRPr="008E63BB" w:rsidRDefault="0074711A" w:rsidP="0065184D">
            <w:pPr>
              <w:jc w:val="right"/>
              <w:rPr>
                <w:rFonts w:eastAsia="Times New Roman"/>
                <w:sz w:val="20"/>
                <w:szCs w:val="20"/>
              </w:rPr>
            </w:pPr>
            <w:r w:rsidRPr="008E63BB">
              <w:rPr>
                <w:rFonts w:eastAsia="Times New Roman"/>
                <w:sz w:val="20"/>
                <w:szCs w:val="20"/>
              </w:rPr>
              <w:t>7.477</w:t>
            </w:r>
          </w:p>
        </w:tc>
        <w:tc>
          <w:tcPr>
            <w:tcW w:w="866" w:type="dxa"/>
            <w:tcBorders>
              <w:top w:val="nil"/>
              <w:left w:val="nil"/>
              <w:bottom w:val="single" w:sz="4" w:space="0" w:color="auto"/>
              <w:right w:val="single" w:sz="4" w:space="0" w:color="auto"/>
            </w:tcBorders>
            <w:shd w:val="clear" w:color="auto" w:fill="auto"/>
            <w:noWrap/>
            <w:vAlign w:val="center"/>
            <w:hideMark/>
          </w:tcPr>
          <w:p w14:paraId="519B488F" w14:textId="77777777" w:rsidR="0074711A" w:rsidRPr="008E63BB" w:rsidRDefault="0074711A" w:rsidP="0065184D">
            <w:pPr>
              <w:jc w:val="right"/>
              <w:rPr>
                <w:rFonts w:eastAsia="Times New Roman"/>
                <w:sz w:val="20"/>
                <w:szCs w:val="20"/>
              </w:rPr>
            </w:pPr>
            <w:r w:rsidRPr="008E63BB">
              <w:rPr>
                <w:rFonts w:eastAsia="Times New Roman"/>
                <w:sz w:val="20"/>
                <w:szCs w:val="20"/>
              </w:rPr>
              <w:t>7.486</w:t>
            </w:r>
          </w:p>
        </w:tc>
        <w:tc>
          <w:tcPr>
            <w:tcW w:w="994" w:type="dxa"/>
            <w:tcBorders>
              <w:top w:val="nil"/>
              <w:left w:val="nil"/>
              <w:bottom w:val="single" w:sz="4" w:space="0" w:color="auto"/>
              <w:right w:val="single" w:sz="4" w:space="0" w:color="auto"/>
            </w:tcBorders>
            <w:shd w:val="clear" w:color="auto" w:fill="auto"/>
            <w:noWrap/>
            <w:vAlign w:val="center"/>
            <w:hideMark/>
          </w:tcPr>
          <w:p w14:paraId="519B4890" w14:textId="77777777" w:rsidR="0074711A" w:rsidRPr="008E63BB" w:rsidRDefault="0074711A" w:rsidP="0065184D">
            <w:pPr>
              <w:jc w:val="right"/>
              <w:rPr>
                <w:rFonts w:eastAsia="Times New Roman"/>
                <w:sz w:val="20"/>
                <w:szCs w:val="20"/>
              </w:rPr>
            </w:pPr>
            <w:r w:rsidRPr="008E63BB">
              <w:rPr>
                <w:rFonts w:eastAsia="Times New Roman"/>
                <w:sz w:val="20"/>
                <w:szCs w:val="20"/>
              </w:rPr>
              <w:t>916</w:t>
            </w:r>
          </w:p>
        </w:tc>
      </w:tr>
      <w:tr w:rsidR="008D5BFE" w:rsidRPr="008E63BB" w14:paraId="519B48A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92" w14:textId="77777777" w:rsidR="0074711A" w:rsidRPr="008E63BB" w:rsidRDefault="0074711A" w:rsidP="0065184D">
            <w:pPr>
              <w:jc w:val="right"/>
              <w:rPr>
                <w:rFonts w:eastAsia="Times New Roman"/>
                <w:sz w:val="20"/>
                <w:szCs w:val="20"/>
              </w:rPr>
            </w:pPr>
            <w:r w:rsidRPr="008E63BB">
              <w:rPr>
                <w:rFonts w:eastAsia="Times New Roman"/>
                <w:sz w:val="20"/>
                <w:szCs w:val="20"/>
              </w:rPr>
              <w:t>3</w:t>
            </w:r>
          </w:p>
        </w:tc>
        <w:tc>
          <w:tcPr>
            <w:tcW w:w="2684" w:type="dxa"/>
            <w:tcBorders>
              <w:top w:val="nil"/>
              <w:left w:val="nil"/>
              <w:bottom w:val="single" w:sz="4" w:space="0" w:color="auto"/>
              <w:right w:val="single" w:sz="4" w:space="0" w:color="auto"/>
            </w:tcBorders>
            <w:shd w:val="clear" w:color="auto" w:fill="auto"/>
            <w:noWrap/>
            <w:vAlign w:val="center"/>
            <w:hideMark/>
          </w:tcPr>
          <w:p w14:paraId="519B4893" w14:textId="77777777" w:rsidR="0074711A" w:rsidRPr="008E63BB" w:rsidRDefault="0074711A" w:rsidP="0065184D">
            <w:pPr>
              <w:jc w:val="left"/>
              <w:rPr>
                <w:rFonts w:eastAsia="Times New Roman"/>
                <w:sz w:val="20"/>
                <w:szCs w:val="20"/>
              </w:rPr>
            </w:pPr>
            <w:r w:rsidRPr="008E63BB">
              <w:rPr>
                <w:rFonts w:eastAsia="Times New Roman"/>
                <w:sz w:val="20"/>
                <w:szCs w:val="20"/>
              </w:rPr>
              <w:t>X. Mỹ Tiến</w:t>
            </w:r>
          </w:p>
        </w:tc>
        <w:tc>
          <w:tcPr>
            <w:tcW w:w="794" w:type="dxa"/>
            <w:tcBorders>
              <w:top w:val="nil"/>
              <w:left w:val="nil"/>
              <w:bottom w:val="single" w:sz="4" w:space="0" w:color="auto"/>
              <w:right w:val="single" w:sz="4" w:space="0" w:color="auto"/>
            </w:tcBorders>
            <w:shd w:val="clear" w:color="auto" w:fill="auto"/>
            <w:noWrap/>
            <w:vAlign w:val="center"/>
            <w:hideMark/>
          </w:tcPr>
          <w:p w14:paraId="519B4894" w14:textId="77777777" w:rsidR="0074711A" w:rsidRPr="008E63BB" w:rsidRDefault="0074711A" w:rsidP="0065184D">
            <w:pPr>
              <w:jc w:val="right"/>
              <w:rPr>
                <w:rFonts w:eastAsia="Times New Roman"/>
                <w:sz w:val="20"/>
                <w:szCs w:val="20"/>
              </w:rPr>
            </w:pPr>
            <w:r w:rsidRPr="008E63BB">
              <w:rPr>
                <w:rFonts w:eastAsia="Times New Roman"/>
                <w:sz w:val="20"/>
                <w:szCs w:val="20"/>
              </w:rPr>
              <w:t>5,83</w:t>
            </w:r>
          </w:p>
        </w:tc>
        <w:tc>
          <w:tcPr>
            <w:tcW w:w="866" w:type="dxa"/>
            <w:tcBorders>
              <w:top w:val="nil"/>
              <w:left w:val="nil"/>
              <w:bottom w:val="single" w:sz="4" w:space="0" w:color="auto"/>
              <w:right w:val="single" w:sz="4" w:space="0" w:color="auto"/>
            </w:tcBorders>
            <w:shd w:val="clear" w:color="auto" w:fill="auto"/>
            <w:noWrap/>
            <w:vAlign w:val="center"/>
            <w:hideMark/>
          </w:tcPr>
          <w:p w14:paraId="519B489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9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97" w14:textId="77777777" w:rsidR="0074711A" w:rsidRPr="008E63BB" w:rsidRDefault="0074711A" w:rsidP="0065184D">
            <w:pPr>
              <w:jc w:val="right"/>
              <w:rPr>
                <w:rFonts w:eastAsia="Times New Roman"/>
                <w:sz w:val="20"/>
                <w:szCs w:val="20"/>
              </w:rPr>
            </w:pPr>
            <w:r w:rsidRPr="008E63BB">
              <w:rPr>
                <w:rFonts w:eastAsia="Times New Roman"/>
                <w:sz w:val="20"/>
                <w:szCs w:val="20"/>
              </w:rPr>
              <w:t>5.044</w:t>
            </w:r>
          </w:p>
        </w:tc>
        <w:tc>
          <w:tcPr>
            <w:tcW w:w="866" w:type="dxa"/>
            <w:tcBorders>
              <w:top w:val="nil"/>
              <w:left w:val="nil"/>
              <w:bottom w:val="single" w:sz="4" w:space="0" w:color="auto"/>
              <w:right w:val="single" w:sz="4" w:space="0" w:color="auto"/>
            </w:tcBorders>
            <w:shd w:val="clear" w:color="auto" w:fill="auto"/>
            <w:noWrap/>
            <w:vAlign w:val="center"/>
            <w:hideMark/>
          </w:tcPr>
          <w:p w14:paraId="519B4898" w14:textId="77777777" w:rsidR="0074711A" w:rsidRPr="008E63BB" w:rsidRDefault="0074711A" w:rsidP="0065184D">
            <w:pPr>
              <w:jc w:val="right"/>
              <w:rPr>
                <w:rFonts w:eastAsia="Times New Roman"/>
                <w:sz w:val="20"/>
                <w:szCs w:val="20"/>
              </w:rPr>
            </w:pPr>
            <w:r w:rsidRPr="008E63BB">
              <w:rPr>
                <w:rFonts w:eastAsia="Times New Roman"/>
                <w:sz w:val="20"/>
                <w:szCs w:val="20"/>
              </w:rPr>
              <w:t>5.044</w:t>
            </w:r>
          </w:p>
        </w:tc>
        <w:tc>
          <w:tcPr>
            <w:tcW w:w="866" w:type="dxa"/>
            <w:tcBorders>
              <w:top w:val="nil"/>
              <w:left w:val="nil"/>
              <w:bottom w:val="single" w:sz="4" w:space="0" w:color="auto"/>
              <w:right w:val="single" w:sz="4" w:space="0" w:color="auto"/>
            </w:tcBorders>
            <w:shd w:val="clear" w:color="auto" w:fill="auto"/>
            <w:noWrap/>
            <w:vAlign w:val="center"/>
            <w:hideMark/>
          </w:tcPr>
          <w:p w14:paraId="519B4899" w14:textId="77777777" w:rsidR="0074711A" w:rsidRPr="008E63BB" w:rsidRDefault="0074711A" w:rsidP="0065184D">
            <w:pPr>
              <w:jc w:val="right"/>
              <w:rPr>
                <w:rFonts w:eastAsia="Times New Roman"/>
                <w:sz w:val="20"/>
                <w:szCs w:val="20"/>
              </w:rPr>
            </w:pPr>
            <w:r w:rsidRPr="008E63BB">
              <w:rPr>
                <w:rFonts w:eastAsia="Times New Roman"/>
                <w:sz w:val="20"/>
                <w:szCs w:val="20"/>
              </w:rPr>
              <w:t>5.049</w:t>
            </w:r>
          </w:p>
        </w:tc>
        <w:tc>
          <w:tcPr>
            <w:tcW w:w="866" w:type="dxa"/>
            <w:tcBorders>
              <w:top w:val="nil"/>
              <w:left w:val="nil"/>
              <w:bottom w:val="single" w:sz="4" w:space="0" w:color="auto"/>
              <w:right w:val="single" w:sz="4" w:space="0" w:color="auto"/>
            </w:tcBorders>
            <w:shd w:val="clear" w:color="auto" w:fill="auto"/>
            <w:noWrap/>
            <w:vAlign w:val="center"/>
            <w:hideMark/>
          </w:tcPr>
          <w:p w14:paraId="519B489A" w14:textId="77777777" w:rsidR="0074711A" w:rsidRPr="008E63BB" w:rsidRDefault="0074711A" w:rsidP="0065184D">
            <w:pPr>
              <w:jc w:val="right"/>
              <w:rPr>
                <w:rFonts w:eastAsia="Times New Roman"/>
                <w:sz w:val="20"/>
                <w:szCs w:val="20"/>
              </w:rPr>
            </w:pPr>
            <w:r w:rsidRPr="008E63BB">
              <w:rPr>
                <w:rFonts w:eastAsia="Times New Roman"/>
                <w:sz w:val="20"/>
                <w:szCs w:val="20"/>
              </w:rPr>
              <w:t>5.056</w:t>
            </w:r>
          </w:p>
        </w:tc>
        <w:tc>
          <w:tcPr>
            <w:tcW w:w="866" w:type="dxa"/>
            <w:tcBorders>
              <w:top w:val="nil"/>
              <w:left w:val="nil"/>
              <w:bottom w:val="single" w:sz="4" w:space="0" w:color="auto"/>
              <w:right w:val="single" w:sz="4" w:space="0" w:color="auto"/>
            </w:tcBorders>
            <w:shd w:val="clear" w:color="auto" w:fill="auto"/>
            <w:noWrap/>
            <w:vAlign w:val="center"/>
            <w:hideMark/>
          </w:tcPr>
          <w:p w14:paraId="519B489B" w14:textId="77777777" w:rsidR="0074711A" w:rsidRPr="008E63BB" w:rsidRDefault="0074711A" w:rsidP="0065184D">
            <w:pPr>
              <w:jc w:val="right"/>
              <w:rPr>
                <w:rFonts w:eastAsia="Times New Roman"/>
                <w:sz w:val="20"/>
                <w:szCs w:val="20"/>
              </w:rPr>
            </w:pPr>
            <w:r w:rsidRPr="008E63BB">
              <w:rPr>
                <w:rFonts w:eastAsia="Times New Roman"/>
                <w:sz w:val="20"/>
                <w:szCs w:val="20"/>
              </w:rPr>
              <w:t>5.068</w:t>
            </w:r>
          </w:p>
        </w:tc>
        <w:tc>
          <w:tcPr>
            <w:tcW w:w="866" w:type="dxa"/>
            <w:tcBorders>
              <w:top w:val="nil"/>
              <w:left w:val="nil"/>
              <w:bottom w:val="single" w:sz="4" w:space="0" w:color="auto"/>
              <w:right w:val="single" w:sz="4" w:space="0" w:color="auto"/>
            </w:tcBorders>
            <w:shd w:val="clear" w:color="auto" w:fill="auto"/>
            <w:noWrap/>
            <w:vAlign w:val="center"/>
            <w:hideMark/>
          </w:tcPr>
          <w:p w14:paraId="519B489C" w14:textId="77777777" w:rsidR="0074711A" w:rsidRPr="008E63BB" w:rsidRDefault="0074711A" w:rsidP="0065184D">
            <w:pPr>
              <w:jc w:val="right"/>
              <w:rPr>
                <w:rFonts w:eastAsia="Times New Roman"/>
                <w:sz w:val="20"/>
                <w:szCs w:val="20"/>
              </w:rPr>
            </w:pPr>
            <w:r w:rsidRPr="008E63BB">
              <w:rPr>
                <w:rFonts w:eastAsia="Times New Roman"/>
                <w:sz w:val="20"/>
                <w:szCs w:val="20"/>
              </w:rPr>
              <w:t>5.074</w:t>
            </w:r>
          </w:p>
        </w:tc>
        <w:tc>
          <w:tcPr>
            <w:tcW w:w="866" w:type="dxa"/>
            <w:tcBorders>
              <w:top w:val="nil"/>
              <w:left w:val="nil"/>
              <w:bottom w:val="single" w:sz="4" w:space="0" w:color="auto"/>
              <w:right w:val="single" w:sz="4" w:space="0" w:color="auto"/>
            </w:tcBorders>
            <w:shd w:val="clear" w:color="auto" w:fill="auto"/>
            <w:noWrap/>
            <w:vAlign w:val="center"/>
            <w:hideMark/>
          </w:tcPr>
          <w:p w14:paraId="519B489D" w14:textId="77777777" w:rsidR="0074711A" w:rsidRPr="008E63BB" w:rsidRDefault="0074711A" w:rsidP="0065184D">
            <w:pPr>
              <w:jc w:val="right"/>
              <w:rPr>
                <w:rFonts w:eastAsia="Times New Roman"/>
                <w:sz w:val="20"/>
                <w:szCs w:val="20"/>
              </w:rPr>
            </w:pPr>
            <w:r w:rsidRPr="008E63BB">
              <w:rPr>
                <w:rFonts w:eastAsia="Times New Roman"/>
                <w:sz w:val="20"/>
                <w:szCs w:val="20"/>
              </w:rPr>
              <w:t>5.076</w:t>
            </w:r>
          </w:p>
        </w:tc>
        <w:tc>
          <w:tcPr>
            <w:tcW w:w="866" w:type="dxa"/>
            <w:tcBorders>
              <w:top w:val="nil"/>
              <w:left w:val="nil"/>
              <w:bottom w:val="single" w:sz="4" w:space="0" w:color="auto"/>
              <w:right w:val="single" w:sz="4" w:space="0" w:color="auto"/>
            </w:tcBorders>
            <w:shd w:val="clear" w:color="auto" w:fill="auto"/>
            <w:noWrap/>
            <w:vAlign w:val="center"/>
            <w:hideMark/>
          </w:tcPr>
          <w:p w14:paraId="519B489E" w14:textId="77777777" w:rsidR="0074711A" w:rsidRPr="008E63BB" w:rsidRDefault="0074711A" w:rsidP="0065184D">
            <w:pPr>
              <w:jc w:val="right"/>
              <w:rPr>
                <w:rFonts w:eastAsia="Times New Roman"/>
                <w:sz w:val="20"/>
                <w:szCs w:val="20"/>
              </w:rPr>
            </w:pPr>
            <w:r w:rsidRPr="008E63BB">
              <w:rPr>
                <w:rFonts w:eastAsia="Times New Roman"/>
                <w:sz w:val="20"/>
                <w:szCs w:val="20"/>
              </w:rPr>
              <w:t>5.077</w:t>
            </w:r>
          </w:p>
        </w:tc>
        <w:tc>
          <w:tcPr>
            <w:tcW w:w="866" w:type="dxa"/>
            <w:tcBorders>
              <w:top w:val="nil"/>
              <w:left w:val="nil"/>
              <w:bottom w:val="single" w:sz="4" w:space="0" w:color="auto"/>
              <w:right w:val="single" w:sz="4" w:space="0" w:color="auto"/>
            </w:tcBorders>
            <w:shd w:val="clear" w:color="auto" w:fill="auto"/>
            <w:noWrap/>
            <w:vAlign w:val="center"/>
            <w:hideMark/>
          </w:tcPr>
          <w:p w14:paraId="519B489F" w14:textId="77777777" w:rsidR="0074711A" w:rsidRPr="008E63BB" w:rsidRDefault="0074711A" w:rsidP="0065184D">
            <w:pPr>
              <w:jc w:val="right"/>
              <w:rPr>
                <w:rFonts w:eastAsia="Times New Roman"/>
                <w:sz w:val="20"/>
                <w:szCs w:val="20"/>
              </w:rPr>
            </w:pPr>
            <w:r w:rsidRPr="008E63BB">
              <w:rPr>
                <w:rFonts w:eastAsia="Times New Roman"/>
                <w:sz w:val="20"/>
                <w:szCs w:val="20"/>
              </w:rPr>
              <w:t>5.085</w:t>
            </w:r>
          </w:p>
        </w:tc>
        <w:tc>
          <w:tcPr>
            <w:tcW w:w="994" w:type="dxa"/>
            <w:tcBorders>
              <w:top w:val="nil"/>
              <w:left w:val="nil"/>
              <w:bottom w:val="single" w:sz="4" w:space="0" w:color="auto"/>
              <w:right w:val="single" w:sz="4" w:space="0" w:color="auto"/>
            </w:tcBorders>
            <w:shd w:val="clear" w:color="auto" w:fill="auto"/>
            <w:noWrap/>
            <w:vAlign w:val="center"/>
            <w:hideMark/>
          </w:tcPr>
          <w:p w14:paraId="519B48A0" w14:textId="77777777" w:rsidR="0074711A" w:rsidRPr="008E63BB" w:rsidRDefault="0074711A" w:rsidP="0065184D">
            <w:pPr>
              <w:jc w:val="right"/>
              <w:rPr>
                <w:rFonts w:eastAsia="Times New Roman"/>
                <w:sz w:val="20"/>
                <w:szCs w:val="20"/>
              </w:rPr>
            </w:pPr>
            <w:r w:rsidRPr="008E63BB">
              <w:rPr>
                <w:rFonts w:eastAsia="Times New Roman"/>
                <w:sz w:val="20"/>
                <w:szCs w:val="20"/>
              </w:rPr>
              <w:t>872</w:t>
            </w:r>
          </w:p>
        </w:tc>
      </w:tr>
      <w:tr w:rsidR="008D5BFE" w:rsidRPr="008E63BB" w14:paraId="519B48B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A2" w14:textId="77777777" w:rsidR="0074711A" w:rsidRPr="008E63BB" w:rsidRDefault="0074711A" w:rsidP="0065184D">
            <w:pPr>
              <w:jc w:val="right"/>
              <w:rPr>
                <w:rFonts w:eastAsia="Times New Roman"/>
                <w:sz w:val="20"/>
                <w:szCs w:val="20"/>
              </w:rPr>
            </w:pPr>
            <w:r w:rsidRPr="008E63BB">
              <w:rPr>
                <w:rFonts w:eastAsia="Times New Roman"/>
                <w:sz w:val="20"/>
                <w:szCs w:val="20"/>
              </w:rPr>
              <w:t>4</w:t>
            </w:r>
          </w:p>
        </w:tc>
        <w:tc>
          <w:tcPr>
            <w:tcW w:w="2684" w:type="dxa"/>
            <w:tcBorders>
              <w:top w:val="nil"/>
              <w:left w:val="nil"/>
              <w:bottom w:val="single" w:sz="4" w:space="0" w:color="auto"/>
              <w:right w:val="single" w:sz="4" w:space="0" w:color="auto"/>
            </w:tcBorders>
            <w:shd w:val="clear" w:color="auto" w:fill="auto"/>
            <w:noWrap/>
            <w:vAlign w:val="center"/>
            <w:hideMark/>
          </w:tcPr>
          <w:p w14:paraId="519B48A3" w14:textId="77777777" w:rsidR="0074711A" w:rsidRPr="008E63BB" w:rsidRDefault="0074711A" w:rsidP="0065184D">
            <w:pPr>
              <w:jc w:val="left"/>
              <w:rPr>
                <w:rFonts w:eastAsia="Times New Roman"/>
                <w:sz w:val="20"/>
                <w:szCs w:val="20"/>
              </w:rPr>
            </w:pPr>
            <w:r w:rsidRPr="008E63BB">
              <w:rPr>
                <w:rFonts w:eastAsia="Times New Roman"/>
                <w:sz w:val="20"/>
                <w:szCs w:val="20"/>
              </w:rPr>
              <w:t>X. Mỹ Thắng</w:t>
            </w:r>
          </w:p>
        </w:tc>
        <w:tc>
          <w:tcPr>
            <w:tcW w:w="794" w:type="dxa"/>
            <w:tcBorders>
              <w:top w:val="nil"/>
              <w:left w:val="nil"/>
              <w:bottom w:val="single" w:sz="4" w:space="0" w:color="auto"/>
              <w:right w:val="single" w:sz="4" w:space="0" w:color="auto"/>
            </w:tcBorders>
            <w:shd w:val="clear" w:color="auto" w:fill="auto"/>
            <w:noWrap/>
            <w:vAlign w:val="center"/>
            <w:hideMark/>
          </w:tcPr>
          <w:p w14:paraId="519B48A4" w14:textId="77777777" w:rsidR="0074711A" w:rsidRPr="008E63BB" w:rsidRDefault="0074711A" w:rsidP="0065184D">
            <w:pPr>
              <w:jc w:val="right"/>
              <w:rPr>
                <w:rFonts w:eastAsia="Times New Roman"/>
                <w:sz w:val="20"/>
                <w:szCs w:val="20"/>
              </w:rPr>
            </w:pPr>
            <w:r w:rsidRPr="008E63BB">
              <w:rPr>
                <w:rFonts w:eastAsia="Times New Roman"/>
                <w:sz w:val="20"/>
                <w:szCs w:val="20"/>
              </w:rPr>
              <w:t>7,47</w:t>
            </w:r>
          </w:p>
        </w:tc>
        <w:tc>
          <w:tcPr>
            <w:tcW w:w="866" w:type="dxa"/>
            <w:tcBorders>
              <w:top w:val="nil"/>
              <w:left w:val="nil"/>
              <w:bottom w:val="single" w:sz="4" w:space="0" w:color="auto"/>
              <w:right w:val="single" w:sz="4" w:space="0" w:color="auto"/>
            </w:tcBorders>
            <w:shd w:val="clear" w:color="auto" w:fill="auto"/>
            <w:noWrap/>
            <w:vAlign w:val="center"/>
            <w:hideMark/>
          </w:tcPr>
          <w:p w14:paraId="519B48A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A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A7" w14:textId="77777777" w:rsidR="0074711A" w:rsidRPr="008E63BB" w:rsidRDefault="0074711A" w:rsidP="0065184D">
            <w:pPr>
              <w:jc w:val="right"/>
              <w:rPr>
                <w:rFonts w:eastAsia="Times New Roman"/>
                <w:sz w:val="20"/>
                <w:szCs w:val="20"/>
              </w:rPr>
            </w:pPr>
            <w:r w:rsidRPr="008E63BB">
              <w:rPr>
                <w:rFonts w:eastAsia="Times New Roman"/>
                <w:sz w:val="20"/>
                <w:szCs w:val="20"/>
              </w:rPr>
              <w:t>7.923</w:t>
            </w:r>
          </w:p>
        </w:tc>
        <w:tc>
          <w:tcPr>
            <w:tcW w:w="866" w:type="dxa"/>
            <w:tcBorders>
              <w:top w:val="nil"/>
              <w:left w:val="nil"/>
              <w:bottom w:val="single" w:sz="4" w:space="0" w:color="auto"/>
              <w:right w:val="single" w:sz="4" w:space="0" w:color="auto"/>
            </w:tcBorders>
            <w:shd w:val="clear" w:color="auto" w:fill="auto"/>
            <w:noWrap/>
            <w:vAlign w:val="center"/>
            <w:hideMark/>
          </w:tcPr>
          <w:p w14:paraId="519B48A8" w14:textId="77777777" w:rsidR="0074711A" w:rsidRPr="008E63BB" w:rsidRDefault="0074711A" w:rsidP="0065184D">
            <w:pPr>
              <w:jc w:val="right"/>
              <w:rPr>
                <w:rFonts w:eastAsia="Times New Roman"/>
                <w:sz w:val="20"/>
                <w:szCs w:val="20"/>
              </w:rPr>
            </w:pPr>
            <w:r w:rsidRPr="008E63BB">
              <w:rPr>
                <w:rFonts w:eastAsia="Times New Roman"/>
                <w:sz w:val="20"/>
                <w:szCs w:val="20"/>
              </w:rPr>
              <w:t>7.923</w:t>
            </w:r>
          </w:p>
        </w:tc>
        <w:tc>
          <w:tcPr>
            <w:tcW w:w="866" w:type="dxa"/>
            <w:tcBorders>
              <w:top w:val="nil"/>
              <w:left w:val="nil"/>
              <w:bottom w:val="single" w:sz="4" w:space="0" w:color="auto"/>
              <w:right w:val="single" w:sz="4" w:space="0" w:color="auto"/>
            </w:tcBorders>
            <w:shd w:val="clear" w:color="auto" w:fill="auto"/>
            <w:noWrap/>
            <w:vAlign w:val="center"/>
            <w:hideMark/>
          </w:tcPr>
          <w:p w14:paraId="519B48A9" w14:textId="77777777" w:rsidR="0074711A" w:rsidRPr="008E63BB" w:rsidRDefault="0074711A" w:rsidP="0065184D">
            <w:pPr>
              <w:jc w:val="right"/>
              <w:rPr>
                <w:rFonts w:eastAsia="Times New Roman"/>
                <w:sz w:val="20"/>
                <w:szCs w:val="20"/>
              </w:rPr>
            </w:pPr>
            <w:r w:rsidRPr="008E63BB">
              <w:rPr>
                <w:rFonts w:eastAsia="Times New Roman"/>
                <w:sz w:val="20"/>
                <w:szCs w:val="20"/>
              </w:rPr>
              <w:t>7.932</w:t>
            </w:r>
          </w:p>
        </w:tc>
        <w:tc>
          <w:tcPr>
            <w:tcW w:w="866" w:type="dxa"/>
            <w:tcBorders>
              <w:top w:val="nil"/>
              <w:left w:val="nil"/>
              <w:bottom w:val="single" w:sz="4" w:space="0" w:color="auto"/>
              <w:right w:val="single" w:sz="4" w:space="0" w:color="auto"/>
            </w:tcBorders>
            <w:shd w:val="clear" w:color="auto" w:fill="auto"/>
            <w:noWrap/>
            <w:vAlign w:val="center"/>
            <w:hideMark/>
          </w:tcPr>
          <w:p w14:paraId="519B48AA" w14:textId="77777777" w:rsidR="0074711A" w:rsidRPr="008E63BB" w:rsidRDefault="0074711A" w:rsidP="0065184D">
            <w:pPr>
              <w:jc w:val="right"/>
              <w:rPr>
                <w:rFonts w:eastAsia="Times New Roman"/>
                <w:sz w:val="20"/>
                <w:szCs w:val="20"/>
              </w:rPr>
            </w:pPr>
            <w:r w:rsidRPr="008E63BB">
              <w:rPr>
                <w:rFonts w:eastAsia="Times New Roman"/>
                <w:sz w:val="20"/>
                <w:szCs w:val="20"/>
              </w:rPr>
              <w:t>7.943</w:t>
            </w:r>
          </w:p>
        </w:tc>
        <w:tc>
          <w:tcPr>
            <w:tcW w:w="866" w:type="dxa"/>
            <w:tcBorders>
              <w:top w:val="nil"/>
              <w:left w:val="nil"/>
              <w:bottom w:val="single" w:sz="4" w:space="0" w:color="auto"/>
              <w:right w:val="single" w:sz="4" w:space="0" w:color="auto"/>
            </w:tcBorders>
            <w:shd w:val="clear" w:color="auto" w:fill="auto"/>
            <w:noWrap/>
            <w:vAlign w:val="center"/>
            <w:hideMark/>
          </w:tcPr>
          <w:p w14:paraId="519B48AB" w14:textId="77777777" w:rsidR="0074711A" w:rsidRPr="008E63BB" w:rsidRDefault="0074711A" w:rsidP="0065184D">
            <w:pPr>
              <w:jc w:val="right"/>
              <w:rPr>
                <w:rFonts w:eastAsia="Times New Roman"/>
                <w:sz w:val="20"/>
                <w:szCs w:val="20"/>
              </w:rPr>
            </w:pPr>
            <w:r w:rsidRPr="008E63BB">
              <w:rPr>
                <w:rFonts w:eastAsia="Times New Roman"/>
                <w:sz w:val="20"/>
                <w:szCs w:val="20"/>
              </w:rPr>
              <w:t>7.958</w:t>
            </w:r>
          </w:p>
        </w:tc>
        <w:tc>
          <w:tcPr>
            <w:tcW w:w="866" w:type="dxa"/>
            <w:tcBorders>
              <w:top w:val="nil"/>
              <w:left w:val="nil"/>
              <w:bottom w:val="single" w:sz="4" w:space="0" w:color="auto"/>
              <w:right w:val="single" w:sz="4" w:space="0" w:color="auto"/>
            </w:tcBorders>
            <w:shd w:val="clear" w:color="auto" w:fill="auto"/>
            <w:noWrap/>
            <w:vAlign w:val="center"/>
            <w:hideMark/>
          </w:tcPr>
          <w:p w14:paraId="519B48AC" w14:textId="77777777" w:rsidR="0074711A" w:rsidRPr="008E63BB" w:rsidRDefault="0074711A" w:rsidP="0065184D">
            <w:pPr>
              <w:jc w:val="right"/>
              <w:rPr>
                <w:rFonts w:eastAsia="Times New Roman"/>
                <w:sz w:val="20"/>
                <w:szCs w:val="20"/>
              </w:rPr>
            </w:pPr>
            <w:r w:rsidRPr="008E63BB">
              <w:rPr>
                <w:rFonts w:eastAsia="Times New Roman"/>
                <w:sz w:val="20"/>
                <w:szCs w:val="20"/>
              </w:rPr>
              <w:t>7.968</w:t>
            </w:r>
          </w:p>
        </w:tc>
        <w:tc>
          <w:tcPr>
            <w:tcW w:w="866" w:type="dxa"/>
            <w:tcBorders>
              <w:top w:val="nil"/>
              <w:left w:val="nil"/>
              <w:bottom w:val="single" w:sz="4" w:space="0" w:color="auto"/>
              <w:right w:val="single" w:sz="4" w:space="0" w:color="auto"/>
            </w:tcBorders>
            <w:shd w:val="clear" w:color="auto" w:fill="auto"/>
            <w:noWrap/>
            <w:vAlign w:val="center"/>
            <w:hideMark/>
          </w:tcPr>
          <w:p w14:paraId="519B48AD" w14:textId="77777777" w:rsidR="0074711A" w:rsidRPr="008E63BB" w:rsidRDefault="0074711A" w:rsidP="0065184D">
            <w:pPr>
              <w:jc w:val="right"/>
              <w:rPr>
                <w:rFonts w:eastAsia="Times New Roman"/>
                <w:sz w:val="20"/>
                <w:szCs w:val="20"/>
              </w:rPr>
            </w:pPr>
            <w:r w:rsidRPr="008E63BB">
              <w:rPr>
                <w:rFonts w:eastAsia="Times New Roman"/>
                <w:sz w:val="20"/>
                <w:szCs w:val="20"/>
              </w:rPr>
              <w:t>7.974</w:t>
            </w:r>
          </w:p>
        </w:tc>
        <w:tc>
          <w:tcPr>
            <w:tcW w:w="866" w:type="dxa"/>
            <w:tcBorders>
              <w:top w:val="nil"/>
              <w:left w:val="nil"/>
              <w:bottom w:val="single" w:sz="4" w:space="0" w:color="auto"/>
              <w:right w:val="single" w:sz="4" w:space="0" w:color="auto"/>
            </w:tcBorders>
            <w:shd w:val="clear" w:color="auto" w:fill="auto"/>
            <w:noWrap/>
            <w:vAlign w:val="center"/>
            <w:hideMark/>
          </w:tcPr>
          <w:p w14:paraId="519B48AE" w14:textId="77777777" w:rsidR="0074711A" w:rsidRPr="008E63BB" w:rsidRDefault="0074711A" w:rsidP="0065184D">
            <w:pPr>
              <w:jc w:val="right"/>
              <w:rPr>
                <w:rFonts w:eastAsia="Times New Roman"/>
                <w:sz w:val="20"/>
                <w:szCs w:val="20"/>
              </w:rPr>
            </w:pPr>
            <w:r w:rsidRPr="008E63BB">
              <w:rPr>
                <w:rFonts w:eastAsia="Times New Roman"/>
                <w:sz w:val="20"/>
                <w:szCs w:val="20"/>
              </w:rPr>
              <w:t>7.976</w:t>
            </w:r>
          </w:p>
        </w:tc>
        <w:tc>
          <w:tcPr>
            <w:tcW w:w="866" w:type="dxa"/>
            <w:tcBorders>
              <w:top w:val="nil"/>
              <w:left w:val="nil"/>
              <w:bottom w:val="single" w:sz="4" w:space="0" w:color="auto"/>
              <w:right w:val="single" w:sz="4" w:space="0" w:color="auto"/>
            </w:tcBorders>
            <w:shd w:val="clear" w:color="auto" w:fill="auto"/>
            <w:noWrap/>
            <w:vAlign w:val="center"/>
            <w:hideMark/>
          </w:tcPr>
          <w:p w14:paraId="519B48AF" w14:textId="77777777" w:rsidR="0074711A" w:rsidRPr="008E63BB" w:rsidRDefault="0074711A" w:rsidP="0065184D">
            <w:pPr>
              <w:jc w:val="right"/>
              <w:rPr>
                <w:rFonts w:eastAsia="Times New Roman"/>
                <w:sz w:val="20"/>
                <w:szCs w:val="20"/>
              </w:rPr>
            </w:pPr>
            <w:r w:rsidRPr="008E63BB">
              <w:rPr>
                <w:rFonts w:eastAsia="Times New Roman"/>
                <w:sz w:val="20"/>
                <w:szCs w:val="20"/>
              </w:rPr>
              <w:t>7.987</w:t>
            </w:r>
          </w:p>
        </w:tc>
        <w:tc>
          <w:tcPr>
            <w:tcW w:w="994" w:type="dxa"/>
            <w:tcBorders>
              <w:top w:val="nil"/>
              <w:left w:val="nil"/>
              <w:bottom w:val="single" w:sz="4" w:space="0" w:color="auto"/>
              <w:right w:val="single" w:sz="4" w:space="0" w:color="auto"/>
            </w:tcBorders>
            <w:shd w:val="clear" w:color="auto" w:fill="auto"/>
            <w:noWrap/>
            <w:vAlign w:val="center"/>
            <w:hideMark/>
          </w:tcPr>
          <w:p w14:paraId="519B48B0" w14:textId="77777777" w:rsidR="0074711A" w:rsidRPr="008E63BB" w:rsidRDefault="0074711A" w:rsidP="0065184D">
            <w:pPr>
              <w:jc w:val="right"/>
              <w:rPr>
                <w:rFonts w:eastAsia="Times New Roman"/>
                <w:sz w:val="20"/>
                <w:szCs w:val="20"/>
              </w:rPr>
            </w:pPr>
            <w:r w:rsidRPr="008E63BB">
              <w:rPr>
                <w:rFonts w:eastAsia="Times New Roman"/>
                <w:sz w:val="20"/>
                <w:szCs w:val="20"/>
              </w:rPr>
              <w:t>1.069</w:t>
            </w:r>
          </w:p>
        </w:tc>
      </w:tr>
      <w:tr w:rsidR="008D5BFE" w:rsidRPr="008E63BB" w14:paraId="519B48C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B2" w14:textId="77777777" w:rsidR="0074711A" w:rsidRPr="008E63BB" w:rsidRDefault="0074711A" w:rsidP="0065184D">
            <w:pPr>
              <w:jc w:val="right"/>
              <w:rPr>
                <w:rFonts w:eastAsia="Times New Roman"/>
                <w:sz w:val="20"/>
                <w:szCs w:val="20"/>
              </w:rPr>
            </w:pPr>
            <w:r w:rsidRPr="008E63BB">
              <w:rPr>
                <w:rFonts w:eastAsia="Times New Roman"/>
                <w:sz w:val="20"/>
                <w:szCs w:val="20"/>
              </w:rPr>
              <w:t>5</w:t>
            </w:r>
          </w:p>
        </w:tc>
        <w:tc>
          <w:tcPr>
            <w:tcW w:w="2684" w:type="dxa"/>
            <w:tcBorders>
              <w:top w:val="nil"/>
              <w:left w:val="nil"/>
              <w:bottom w:val="single" w:sz="4" w:space="0" w:color="auto"/>
              <w:right w:val="single" w:sz="4" w:space="0" w:color="auto"/>
            </w:tcBorders>
            <w:shd w:val="clear" w:color="auto" w:fill="auto"/>
            <w:noWrap/>
            <w:vAlign w:val="center"/>
            <w:hideMark/>
          </w:tcPr>
          <w:p w14:paraId="519B48B3" w14:textId="77777777" w:rsidR="0074711A" w:rsidRPr="008E63BB" w:rsidRDefault="0074711A" w:rsidP="0065184D">
            <w:pPr>
              <w:jc w:val="left"/>
              <w:rPr>
                <w:rFonts w:eastAsia="Times New Roman"/>
                <w:sz w:val="20"/>
                <w:szCs w:val="20"/>
              </w:rPr>
            </w:pPr>
            <w:r w:rsidRPr="008E63BB">
              <w:rPr>
                <w:rFonts w:eastAsia="Times New Roman"/>
                <w:sz w:val="20"/>
                <w:szCs w:val="20"/>
              </w:rPr>
              <w:t>X. Mỹ Trung</w:t>
            </w:r>
          </w:p>
        </w:tc>
        <w:tc>
          <w:tcPr>
            <w:tcW w:w="794" w:type="dxa"/>
            <w:tcBorders>
              <w:top w:val="nil"/>
              <w:left w:val="nil"/>
              <w:bottom w:val="single" w:sz="4" w:space="0" w:color="auto"/>
              <w:right w:val="single" w:sz="4" w:space="0" w:color="auto"/>
            </w:tcBorders>
            <w:shd w:val="clear" w:color="auto" w:fill="auto"/>
            <w:noWrap/>
            <w:vAlign w:val="center"/>
            <w:hideMark/>
          </w:tcPr>
          <w:p w14:paraId="519B48B4" w14:textId="77777777" w:rsidR="0074711A" w:rsidRPr="008E63BB" w:rsidRDefault="0074711A" w:rsidP="0065184D">
            <w:pPr>
              <w:jc w:val="right"/>
              <w:rPr>
                <w:rFonts w:eastAsia="Times New Roman"/>
                <w:sz w:val="20"/>
                <w:szCs w:val="20"/>
              </w:rPr>
            </w:pPr>
            <w:r w:rsidRPr="008E63BB">
              <w:rPr>
                <w:rFonts w:eastAsia="Times New Roman"/>
                <w:sz w:val="20"/>
                <w:szCs w:val="20"/>
              </w:rPr>
              <w:t>6,85</w:t>
            </w:r>
          </w:p>
        </w:tc>
        <w:tc>
          <w:tcPr>
            <w:tcW w:w="866" w:type="dxa"/>
            <w:tcBorders>
              <w:top w:val="nil"/>
              <w:left w:val="nil"/>
              <w:bottom w:val="single" w:sz="4" w:space="0" w:color="auto"/>
              <w:right w:val="single" w:sz="4" w:space="0" w:color="auto"/>
            </w:tcBorders>
            <w:shd w:val="clear" w:color="auto" w:fill="auto"/>
            <w:noWrap/>
            <w:vAlign w:val="center"/>
            <w:hideMark/>
          </w:tcPr>
          <w:p w14:paraId="519B48B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B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B7" w14:textId="77777777" w:rsidR="0074711A" w:rsidRPr="008E63BB" w:rsidRDefault="0074711A" w:rsidP="0065184D">
            <w:pPr>
              <w:jc w:val="right"/>
              <w:rPr>
                <w:rFonts w:eastAsia="Times New Roman"/>
                <w:sz w:val="20"/>
                <w:szCs w:val="20"/>
              </w:rPr>
            </w:pPr>
            <w:r w:rsidRPr="008E63BB">
              <w:rPr>
                <w:rFonts w:eastAsia="Times New Roman"/>
                <w:sz w:val="20"/>
                <w:szCs w:val="20"/>
              </w:rPr>
              <w:t>4.979</w:t>
            </w:r>
          </w:p>
        </w:tc>
        <w:tc>
          <w:tcPr>
            <w:tcW w:w="866" w:type="dxa"/>
            <w:tcBorders>
              <w:top w:val="nil"/>
              <w:left w:val="nil"/>
              <w:bottom w:val="single" w:sz="4" w:space="0" w:color="auto"/>
              <w:right w:val="single" w:sz="4" w:space="0" w:color="auto"/>
            </w:tcBorders>
            <w:shd w:val="clear" w:color="auto" w:fill="auto"/>
            <w:noWrap/>
            <w:vAlign w:val="center"/>
            <w:hideMark/>
          </w:tcPr>
          <w:p w14:paraId="519B48B8" w14:textId="77777777" w:rsidR="0074711A" w:rsidRPr="008E63BB" w:rsidRDefault="0074711A" w:rsidP="0065184D">
            <w:pPr>
              <w:jc w:val="right"/>
              <w:rPr>
                <w:rFonts w:eastAsia="Times New Roman"/>
                <w:sz w:val="20"/>
                <w:szCs w:val="20"/>
              </w:rPr>
            </w:pPr>
            <w:r w:rsidRPr="008E63BB">
              <w:rPr>
                <w:rFonts w:eastAsia="Times New Roman"/>
                <w:sz w:val="20"/>
                <w:szCs w:val="20"/>
              </w:rPr>
              <w:t>4.984</w:t>
            </w:r>
          </w:p>
        </w:tc>
        <w:tc>
          <w:tcPr>
            <w:tcW w:w="866" w:type="dxa"/>
            <w:tcBorders>
              <w:top w:val="nil"/>
              <w:left w:val="nil"/>
              <w:bottom w:val="single" w:sz="4" w:space="0" w:color="auto"/>
              <w:right w:val="single" w:sz="4" w:space="0" w:color="auto"/>
            </w:tcBorders>
            <w:shd w:val="clear" w:color="auto" w:fill="auto"/>
            <w:noWrap/>
            <w:vAlign w:val="center"/>
            <w:hideMark/>
          </w:tcPr>
          <w:p w14:paraId="519B48B9" w14:textId="77777777" w:rsidR="0074711A" w:rsidRPr="008E63BB" w:rsidRDefault="0074711A" w:rsidP="0065184D">
            <w:pPr>
              <w:jc w:val="right"/>
              <w:rPr>
                <w:rFonts w:eastAsia="Times New Roman"/>
                <w:sz w:val="20"/>
                <w:szCs w:val="20"/>
              </w:rPr>
            </w:pPr>
            <w:r w:rsidRPr="008E63BB">
              <w:rPr>
                <w:rFonts w:eastAsia="Times New Roman"/>
                <w:sz w:val="20"/>
                <w:szCs w:val="20"/>
              </w:rPr>
              <w:t>4.984</w:t>
            </w:r>
          </w:p>
        </w:tc>
        <w:tc>
          <w:tcPr>
            <w:tcW w:w="866" w:type="dxa"/>
            <w:tcBorders>
              <w:top w:val="nil"/>
              <w:left w:val="nil"/>
              <w:bottom w:val="single" w:sz="4" w:space="0" w:color="auto"/>
              <w:right w:val="single" w:sz="4" w:space="0" w:color="auto"/>
            </w:tcBorders>
            <w:shd w:val="clear" w:color="auto" w:fill="auto"/>
            <w:noWrap/>
            <w:vAlign w:val="center"/>
            <w:hideMark/>
          </w:tcPr>
          <w:p w14:paraId="519B48BA" w14:textId="77777777" w:rsidR="0074711A" w:rsidRPr="008E63BB" w:rsidRDefault="0074711A" w:rsidP="0065184D">
            <w:pPr>
              <w:jc w:val="right"/>
              <w:rPr>
                <w:rFonts w:eastAsia="Times New Roman"/>
                <w:sz w:val="20"/>
                <w:szCs w:val="20"/>
              </w:rPr>
            </w:pPr>
            <w:r w:rsidRPr="008E63BB">
              <w:rPr>
                <w:rFonts w:eastAsia="Times New Roman"/>
                <w:sz w:val="20"/>
                <w:szCs w:val="20"/>
              </w:rPr>
              <w:t>4.991</w:t>
            </w:r>
          </w:p>
        </w:tc>
        <w:tc>
          <w:tcPr>
            <w:tcW w:w="866" w:type="dxa"/>
            <w:tcBorders>
              <w:top w:val="nil"/>
              <w:left w:val="nil"/>
              <w:bottom w:val="single" w:sz="4" w:space="0" w:color="auto"/>
              <w:right w:val="single" w:sz="4" w:space="0" w:color="auto"/>
            </w:tcBorders>
            <w:shd w:val="clear" w:color="auto" w:fill="auto"/>
            <w:noWrap/>
            <w:vAlign w:val="center"/>
            <w:hideMark/>
          </w:tcPr>
          <w:p w14:paraId="519B48BB" w14:textId="77777777" w:rsidR="0074711A" w:rsidRPr="008E63BB" w:rsidRDefault="0074711A" w:rsidP="0065184D">
            <w:pPr>
              <w:jc w:val="right"/>
              <w:rPr>
                <w:rFonts w:eastAsia="Times New Roman"/>
                <w:sz w:val="20"/>
                <w:szCs w:val="20"/>
              </w:rPr>
            </w:pPr>
            <w:r w:rsidRPr="008E63BB">
              <w:rPr>
                <w:rFonts w:eastAsia="Times New Roman"/>
                <w:sz w:val="20"/>
                <w:szCs w:val="20"/>
              </w:rPr>
              <w:t>5.002</w:t>
            </w:r>
          </w:p>
        </w:tc>
        <w:tc>
          <w:tcPr>
            <w:tcW w:w="866" w:type="dxa"/>
            <w:tcBorders>
              <w:top w:val="nil"/>
              <w:left w:val="nil"/>
              <w:bottom w:val="single" w:sz="4" w:space="0" w:color="auto"/>
              <w:right w:val="single" w:sz="4" w:space="0" w:color="auto"/>
            </w:tcBorders>
            <w:shd w:val="clear" w:color="auto" w:fill="auto"/>
            <w:noWrap/>
            <w:vAlign w:val="center"/>
            <w:hideMark/>
          </w:tcPr>
          <w:p w14:paraId="519B48BC" w14:textId="77777777" w:rsidR="0074711A" w:rsidRPr="008E63BB" w:rsidRDefault="0074711A" w:rsidP="0065184D">
            <w:pPr>
              <w:jc w:val="right"/>
              <w:rPr>
                <w:rFonts w:eastAsia="Times New Roman"/>
                <w:sz w:val="20"/>
                <w:szCs w:val="20"/>
              </w:rPr>
            </w:pPr>
            <w:r w:rsidRPr="008E63BB">
              <w:rPr>
                <w:rFonts w:eastAsia="Times New Roman"/>
                <w:sz w:val="20"/>
                <w:szCs w:val="20"/>
              </w:rPr>
              <w:t>5.013</w:t>
            </w:r>
          </w:p>
        </w:tc>
        <w:tc>
          <w:tcPr>
            <w:tcW w:w="866" w:type="dxa"/>
            <w:tcBorders>
              <w:top w:val="nil"/>
              <w:left w:val="nil"/>
              <w:bottom w:val="single" w:sz="4" w:space="0" w:color="auto"/>
              <w:right w:val="single" w:sz="4" w:space="0" w:color="auto"/>
            </w:tcBorders>
            <w:shd w:val="clear" w:color="auto" w:fill="auto"/>
            <w:noWrap/>
            <w:vAlign w:val="center"/>
            <w:hideMark/>
          </w:tcPr>
          <w:p w14:paraId="519B48BD" w14:textId="77777777" w:rsidR="0074711A" w:rsidRPr="008E63BB" w:rsidRDefault="0074711A" w:rsidP="0065184D">
            <w:pPr>
              <w:jc w:val="right"/>
              <w:rPr>
                <w:rFonts w:eastAsia="Times New Roman"/>
                <w:sz w:val="20"/>
                <w:szCs w:val="20"/>
              </w:rPr>
            </w:pPr>
            <w:r w:rsidRPr="008E63BB">
              <w:rPr>
                <w:rFonts w:eastAsia="Times New Roman"/>
                <w:sz w:val="20"/>
                <w:szCs w:val="20"/>
              </w:rPr>
              <w:t>5.015</w:t>
            </w:r>
          </w:p>
        </w:tc>
        <w:tc>
          <w:tcPr>
            <w:tcW w:w="866" w:type="dxa"/>
            <w:tcBorders>
              <w:top w:val="nil"/>
              <w:left w:val="nil"/>
              <w:bottom w:val="single" w:sz="4" w:space="0" w:color="auto"/>
              <w:right w:val="single" w:sz="4" w:space="0" w:color="auto"/>
            </w:tcBorders>
            <w:shd w:val="clear" w:color="auto" w:fill="auto"/>
            <w:noWrap/>
            <w:vAlign w:val="center"/>
            <w:hideMark/>
          </w:tcPr>
          <w:p w14:paraId="519B48BE" w14:textId="77777777" w:rsidR="0074711A" w:rsidRPr="008E63BB" w:rsidRDefault="0074711A" w:rsidP="0065184D">
            <w:pPr>
              <w:jc w:val="right"/>
              <w:rPr>
                <w:rFonts w:eastAsia="Times New Roman"/>
                <w:sz w:val="20"/>
                <w:szCs w:val="20"/>
              </w:rPr>
            </w:pPr>
            <w:r w:rsidRPr="008E63BB">
              <w:rPr>
                <w:rFonts w:eastAsia="Times New Roman"/>
                <w:sz w:val="20"/>
                <w:szCs w:val="20"/>
              </w:rPr>
              <w:t>5.016</w:t>
            </w:r>
          </w:p>
        </w:tc>
        <w:tc>
          <w:tcPr>
            <w:tcW w:w="866" w:type="dxa"/>
            <w:tcBorders>
              <w:top w:val="nil"/>
              <w:left w:val="nil"/>
              <w:bottom w:val="single" w:sz="4" w:space="0" w:color="auto"/>
              <w:right w:val="single" w:sz="4" w:space="0" w:color="auto"/>
            </w:tcBorders>
            <w:shd w:val="clear" w:color="auto" w:fill="auto"/>
            <w:noWrap/>
            <w:vAlign w:val="center"/>
            <w:hideMark/>
          </w:tcPr>
          <w:p w14:paraId="519B48BF" w14:textId="77777777" w:rsidR="0074711A" w:rsidRPr="008E63BB" w:rsidRDefault="0074711A" w:rsidP="0065184D">
            <w:pPr>
              <w:jc w:val="right"/>
              <w:rPr>
                <w:rFonts w:eastAsia="Times New Roman"/>
                <w:sz w:val="20"/>
                <w:szCs w:val="20"/>
              </w:rPr>
            </w:pPr>
            <w:r w:rsidRPr="008E63BB">
              <w:rPr>
                <w:rFonts w:eastAsia="Times New Roman"/>
                <w:sz w:val="20"/>
                <w:szCs w:val="20"/>
              </w:rPr>
              <w:t>5.025</w:t>
            </w:r>
          </w:p>
        </w:tc>
        <w:tc>
          <w:tcPr>
            <w:tcW w:w="994" w:type="dxa"/>
            <w:tcBorders>
              <w:top w:val="nil"/>
              <w:left w:val="nil"/>
              <w:bottom w:val="single" w:sz="4" w:space="0" w:color="auto"/>
              <w:right w:val="single" w:sz="4" w:space="0" w:color="auto"/>
            </w:tcBorders>
            <w:shd w:val="clear" w:color="auto" w:fill="auto"/>
            <w:noWrap/>
            <w:vAlign w:val="center"/>
            <w:hideMark/>
          </w:tcPr>
          <w:p w14:paraId="519B48C0" w14:textId="77777777" w:rsidR="0074711A" w:rsidRPr="008E63BB" w:rsidRDefault="0074711A" w:rsidP="0065184D">
            <w:pPr>
              <w:jc w:val="right"/>
              <w:rPr>
                <w:rFonts w:eastAsia="Times New Roman"/>
                <w:sz w:val="20"/>
                <w:szCs w:val="20"/>
              </w:rPr>
            </w:pPr>
            <w:r w:rsidRPr="008E63BB">
              <w:rPr>
                <w:rFonts w:eastAsia="Times New Roman"/>
                <w:sz w:val="20"/>
                <w:szCs w:val="20"/>
              </w:rPr>
              <w:t>734</w:t>
            </w:r>
          </w:p>
        </w:tc>
      </w:tr>
      <w:tr w:rsidR="008D5BFE" w:rsidRPr="008E63BB" w14:paraId="519B48D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C2" w14:textId="77777777" w:rsidR="0074711A" w:rsidRPr="008E63BB" w:rsidRDefault="0074711A" w:rsidP="0065184D">
            <w:pPr>
              <w:jc w:val="right"/>
              <w:rPr>
                <w:rFonts w:eastAsia="Times New Roman"/>
                <w:sz w:val="20"/>
                <w:szCs w:val="20"/>
              </w:rPr>
            </w:pPr>
            <w:r w:rsidRPr="008E63BB">
              <w:rPr>
                <w:rFonts w:eastAsia="Times New Roman"/>
                <w:sz w:val="20"/>
                <w:szCs w:val="20"/>
              </w:rPr>
              <w:t>6</w:t>
            </w:r>
          </w:p>
        </w:tc>
        <w:tc>
          <w:tcPr>
            <w:tcW w:w="2684" w:type="dxa"/>
            <w:tcBorders>
              <w:top w:val="nil"/>
              <w:left w:val="nil"/>
              <w:bottom w:val="single" w:sz="4" w:space="0" w:color="auto"/>
              <w:right w:val="single" w:sz="4" w:space="0" w:color="auto"/>
            </w:tcBorders>
            <w:shd w:val="clear" w:color="auto" w:fill="auto"/>
            <w:noWrap/>
            <w:vAlign w:val="center"/>
            <w:hideMark/>
          </w:tcPr>
          <w:p w14:paraId="519B48C3" w14:textId="77777777" w:rsidR="0074711A" w:rsidRPr="008E63BB" w:rsidRDefault="0074711A" w:rsidP="0065184D">
            <w:pPr>
              <w:jc w:val="left"/>
              <w:rPr>
                <w:rFonts w:eastAsia="Times New Roman"/>
                <w:sz w:val="20"/>
                <w:szCs w:val="20"/>
              </w:rPr>
            </w:pPr>
            <w:r w:rsidRPr="008E63BB">
              <w:rPr>
                <w:rFonts w:eastAsia="Times New Roman"/>
                <w:sz w:val="20"/>
                <w:szCs w:val="20"/>
              </w:rPr>
              <w:t>X. Mỹ Tân</w:t>
            </w:r>
          </w:p>
        </w:tc>
        <w:tc>
          <w:tcPr>
            <w:tcW w:w="794" w:type="dxa"/>
            <w:tcBorders>
              <w:top w:val="nil"/>
              <w:left w:val="nil"/>
              <w:bottom w:val="single" w:sz="4" w:space="0" w:color="auto"/>
              <w:right w:val="single" w:sz="4" w:space="0" w:color="auto"/>
            </w:tcBorders>
            <w:shd w:val="clear" w:color="auto" w:fill="auto"/>
            <w:noWrap/>
            <w:vAlign w:val="center"/>
            <w:hideMark/>
          </w:tcPr>
          <w:p w14:paraId="519B48C4" w14:textId="77777777" w:rsidR="0074711A" w:rsidRPr="008E63BB" w:rsidRDefault="0074711A" w:rsidP="0065184D">
            <w:pPr>
              <w:jc w:val="right"/>
              <w:rPr>
                <w:rFonts w:eastAsia="Times New Roman"/>
                <w:sz w:val="20"/>
                <w:szCs w:val="20"/>
              </w:rPr>
            </w:pPr>
            <w:r w:rsidRPr="008E63BB">
              <w:rPr>
                <w:rFonts w:eastAsia="Times New Roman"/>
                <w:sz w:val="20"/>
                <w:szCs w:val="20"/>
              </w:rPr>
              <w:t>10,27</w:t>
            </w:r>
          </w:p>
        </w:tc>
        <w:tc>
          <w:tcPr>
            <w:tcW w:w="866" w:type="dxa"/>
            <w:tcBorders>
              <w:top w:val="nil"/>
              <w:left w:val="nil"/>
              <w:bottom w:val="single" w:sz="4" w:space="0" w:color="auto"/>
              <w:right w:val="single" w:sz="4" w:space="0" w:color="auto"/>
            </w:tcBorders>
            <w:shd w:val="clear" w:color="auto" w:fill="auto"/>
            <w:noWrap/>
            <w:vAlign w:val="center"/>
            <w:hideMark/>
          </w:tcPr>
          <w:p w14:paraId="519B48C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C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C7" w14:textId="77777777" w:rsidR="0074711A" w:rsidRPr="008E63BB" w:rsidRDefault="0074711A" w:rsidP="0065184D">
            <w:pPr>
              <w:jc w:val="right"/>
              <w:rPr>
                <w:rFonts w:eastAsia="Times New Roman"/>
                <w:sz w:val="20"/>
                <w:szCs w:val="20"/>
              </w:rPr>
            </w:pPr>
            <w:r w:rsidRPr="008E63BB">
              <w:rPr>
                <w:rFonts w:eastAsia="Times New Roman"/>
                <w:sz w:val="20"/>
                <w:szCs w:val="20"/>
              </w:rPr>
              <w:t>10.387</w:t>
            </w:r>
          </w:p>
        </w:tc>
        <w:tc>
          <w:tcPr>
            <w:tcW w:w="866" w:type="dxa"/>
            <w:tcBorders>
              <w:top w:val="nil"/>
              <w:left w:val="nil"/>
              <w:bottom w:val="single" w:sz="4" w:space="0" w:color="auto"/>
              <w:right w:val="single" w:sz="4" w:space="0" w:color="auto"/>
            </w:tcBorders>
            <w:shd w:val="clear" w:color="auto" w:fill="auto"/>
            <w:noWrap/>
            <w:vAlign w:val="center"/>
            <w:hideMark/>
          </w:tcPr>
          <w:p w14:paraId="519B48C8" w14:textId="77777777" w:rsidR="0074711A" w:rsidRPr="008E63BB" w:rsidRDefault="0074711A" w:rsidP="0065184D">
            <w:pPr>
              <w:jc w:val="right"/>
              <w:rPr>
                <w:rFonts w:eastAsia="Times New Roman"/>
                <w:sz w:val="20"/>
                <w:szCs w:val="20"/>
              </w:rPr>
            </w:pPr>
            <w:r w:rsidRPr="008E63BB">
              <w:rPr>
                <w:rFonts w:eastAsia="Times New Roman"/>
                <w:sz w:val="20"/>
                <w:szCs w:val="20"/>
              </w:rPr>
              <w:t>10.399</w:t>
            </w:r>
          </w:p>
        </w:tc>
        <w:tc>
          <w:tcPr>
            <w:tcW w:w="866" w:type="dxa"/>
            <w:tcBorders>
              <w:top w:val="nil"/>
              <w:left w:val="nil"/>
              <w:bottom w:val="single" w:sz="4" w:space="0" w:color="auto"/>
              <w:right w:val="single" w:sz="4" w:space="0" w:color="auto"/>
            </w:tcBorders>
            <w:shd w:val="clear" w:color="auto" w:fill="auto"/>
            <w:noWrap/>
            <w:vAlign w:val="center"/>
            <w:hideMark/>
          </w:tcPr>
          <w:p w14:paraId="519B48C9" w14:textId="77777777" w:rsidR="0074711A" w:rsidRPr="008E63BB" w:rsidRDefault="0074711A" w:rsidP="0065184D">
            <w:pPr>
              <w:jc w:val="right"/>
              <w:rPr>
                <w:rFonts w:eastAsia="Times New Roman"/>
                <w:sz w:val="20"/>
                <w:szCs w:val="20"/>
              </w:rPr>
            </w:pPr>
            <w:r w:rsidRPr="008E63BB">
              <w:rPr>
                <w:rFonts w:eastAsia="Times New Roman"/>
                <w:sz w:val="20"/>
                <w:szCs w:val="20"/>
              </w:rPr>
              <w:t>10.399</w:t>
            </w:r>
          </w:p>
        </w:tc>
        <w:tc>
          <w:tcPr>
            <w:tcW w:w="866" w:type="dxa"/>
            <w:tcBorders>
              <w:top w:val="nil"/>
              <w:left w:val="nil"/>
              <w:bottom w:val="single" w:sz="4" w:space="0" w:color="auto"/>
              <w:right w:val="single" w:sz="4" w:space="0" w:color="auto"/>
            </w:tcBorders>
            <w:shd w:val="clear" w:color="auto" w:fill="auto"/>
            <w:noWrap/>
            <w:vAlign w:val="center"/>
            <w:hideMark/>
          </w:tcPr>
          <w:p w14:paraId="519B48CA" w14:textId="77777777" w:rsidR="0074711A" w:rsidRPr="008E63BB" w:rsidRDefault="0074711A" w:rsidP="0065184D">
            <w:pPr>
              <w:jc w:val="right"/>
              <w:rPr>
                <w:rFonts w:eastAsia="Times New Roman"/>
                <w:sz w:val="20"/>
                <w:szCs w:val="20"/>
              </w:rPr>
            </w:pPr>
            <w:r w:rsidRPr="008E63BB">
              <w:rPr>
                <w:rFonts w:eastAsia="Times New Roman"/>
                <w:sz w:val="20"/>
                <w:szCs w:val="20"/>
              </w:rPr>
              <w:t>10.413</w:t>
            </w:r>
          </w:p>
        </w:tc>
        <w:tc>
          <w:tcPr>
            <w:tcW w:w="866" w:type="dxa"/>
            <w:tcBorders>
              <w:top w:val="nil"/>
              <w:left w:val="nil"/>
              <w:bottom w:val="single" w:sz="4" w:space="0" w:color="auto"/>
              <w:right w:val="single" w:sz="4" w:space="0" w:color="auto"/>
            </w:tcBorders>
            <w:shd w:val="clear" w:color="auto" w:fill="auto"/>
            <w:noWrap/>
            <w:vAlign w:val="center"/>
            <w:hideMark/>
          </w:tcPr>
          <w:p w14:paraId="519B48CB" w14:textId="77777777" w:rsidR="0074711A" w:rsidRPr="008E63BB" w:rsidRDefault="0074711A" w:rsidP="0065184D">
            <w:pPr>
              <w:jc w:val="right"/>
              <w:rPr>
                <w:rFonts w:eastAsia="Times New Roman"/>
                <w:sz w:val="20"/>
                <w:szCs w:val="20"/>
              </w:rPr>
            </w:pPr>
            <w:r w:rsidRPr="008E63BB">
              <w:rPr>
                <w:rFonts w:eastAsia="Times New Roman"/>
                <w:sz w:val="20"/>
                <w:szCs w:val="20"/>
              </w:rPr>
              <w:t>10.431</w:t>
            </w:r>
          </w:p>
        </w:tc>
        <w:tc>
          <w:tcPr>
            <w:tcW w:w="866" w:type="dxa"/>
            <w:tcBorders>
              <w:top w:val="nil"/>
              <w:left w:val="nil"/>
              <w:bottom w:val="single" w:sz="4" w:space="0" w:color="auto"/>
              <w:right w:val="single" w:sz="4" w:space="0" w:color="auto"/>
            </w:tcBorders>
            <w:shd w:val="clear" w:color="auto" w:fill="auto"/>
            <w:noWrap/>
            <w:vAlign w:val="center"/>
            <w:hideMark/>
          </w:tcPr>
          <w:p w14:paraId="519B48CC" w14:textId="77777777" w:rsidR="0074711A" w:rsidRPr="008E63BB" w:rsidRDefault="0074711A" w:rsidP="0065184D">
            <w:pPr>
              <w:jc w:val="right"/>
              <w:rPr>
                <w:rFonts w:eastAsia="Times New Roman"/>
                <w:sz w:val="20"/>
                <w:szCs w:val="20"/>
              </w:rPr>
            </w:pPr>
            <w:r w:rsidRPr="008E63BB">
              <w:rPr>
                <w:rFonts w:eastAsia="Times New Roman"/>
                <w:sz w:val="20"/>
                <w:szCs w:val="20"/>
              </w:rPr>
              <w:t>10.446</w:t>
            </w:r>
          </w:p>
        </w:tc>
        <w:tc>
          <w:tcPr>
            <w:tcW w:w="866" w:type="dxa"/>
            <w:tcBorders>
              <w:top w:val="nil"/>
              <w:left w:val="nil"/>
              <w:bottom w:val="single" w:sz="4" w:space="0" w:color="auto"/>
              <w:right w:val="single" w:sz="4" w:space="0" w:color="auto"/>
            </w:tcBorders>
            <w:shd w:val="clear" w:color="auto" w:fill="auto"/>
            <w:noWrap/>
            <w:vAlign w:val="center"/>
            <w:hideMark/>
          </w:tcPr>
          <w:p w14:paraId="519B48CD" w14:textId="77777777" w:rsidR="0074711A" w:rsidRPr="008E63BB" w:rsidRDefault="0074711A" w:rsidP="0065184D">
            <w:pPr>
              <w:jc w:val="right"/>
              <w:rPr>
                <w:rFonts w:eastAsia="Times New Roman"/>
                <w:sz w:val="20"/>
                <w:szCs w:val="20"/>
              </w:rPr>
            </w:pPr>
            <w:r w:rsidRPr="008E63BB">
              <w:rPr>
                <w:rFonts w:eastAsia="Times New Roman"/>
                <w:sz w:val="20"/>
                <w:szCs w:val="20"/>
              </w:rPr>
              <w:t>10.455</w:t>
            </w:r>
          </w:p>
        </w:tc>
        <w:tc>
          <w:tcPr>
            <w:tcW w:w="866" w:type="dxa"/>
            <w:tcBorders>
              <w:top w:val="nil"/>
              <w:left w:val="nil"/>
              <w:bottom w:val="single" w:sz="4" w:space="0" w:color="auto"/>
              <w:right w:val="single" w:sz="4" w:space="0" w:color="auto"/>
            </w:tcBorders>
            <w:shd w:val="clear" w:color="auto" w:fill="auto"/>
            <w:noWrap/>
            <w:vAlign w:val="center"/>
            <w:hideMark/>
          </w:tcPr>
          <w:p w14:paraId="519B48CE" w14:textId="77777777" w:rsidR="0074711A" w:rsidRPr="008E63BB" w:rsidRDefault="0074711A" w:rsidP="0065184D">
            <w:pPr>
              <w:jc w:val="right"/>
              <w:rPr>
                <w:rFonts w:eastAsia="Times New Roman"/>
                <w:sz w:val="20"/>
                <w:szCs w:val="20"/>
              </w:rPr>
            </w:pPr>
            <w:r w:rsidRPr="008E63BB">
              <w:rPr>
                <w:rFonts w:eastAsia="Times New Roman"/>
                <w:sz w:val="20"/>
                <w:szCs w:val="20"/>
              </w:rPr>
              <w:t>10.457</w:t>
            </w:r>
          </w:p>
        </w:tc>
        <w:tc>
          <w:tcPr>
            <w:tcW w:w="866" w:type="dxa"/>
            <w:tcBorders>
              <w:top w:val="nil"/>
              <w:left w:val="nil"/>
              <w:bottom w:val="single" w:sz="4" w:space="0" w:color="auto"/>
              <w:right w:val="single" w:sz="4" w:space="0" w:color="auto"/>
            </w:tcBorders>
            <w:shd w:val="clear" w:color="auto" w:fill="auto"/>
            <w:noWrap/>
            <w:vAlign w:val="center"/>
            <w:hideMark/>
          </w:tcPr>
          <w:p w14:paraId="519B48CF" w14:textId="77777777" w:rsidR="0074711A" w:rsidRPr="008E63BB" w:rsidRDefault="0074711A" w:rsidP="0065184D">
            <w:pPr>
              <w:jc w:val="right"/>
              <w:rPr>
                <w:rFonts w:eastAsia="Times New Roman"/>
                <w:sz w:val="20"/>
                <w:szCs w:val="20"/>
              </w:rPr>
            </w:pPr>
            <w:r w:rsidRPr="008E63BB">
              <w:rPr>
                <w:rFonts w:eastAsia="Times New Roman"/>
                <w:sz w:val="20"/>
                <w:szCs w:val="20"/>
              </w:rPr>
              <w:t>10.467</w:t>
            </w:r>
          </w:p>
        </w:tc>
        <w:tc>
          <w:tcPr>
            <w:tcW w:w="994" w:type="dxa"/>
            <w:tcBorders>
              <w:top w:val="nil"/>
              <w:left w:val="nil"/>
              <w:bottom w:val="single" w:sz="4" w:space="0" w:color="auto"/>
              <w:right w:val="single" w:sz="4" w:space="0" w:color="auto"/>
            </w:tcBorders>
            <w:shd w:val="clear" w:color="auto" w:fill="auto"/>
            <w:noWrap/>
            <w:vAlign w:val="center"/>
            <w:hideMark/>
          </w:tcPr>
          <w:p w14:paraId="519B48D0" w14:textId="77777777" w:rsidR="0074711A" w:rsidRPr="008E63BB" w:rsidRDefault="0074711A" w:rsidP="0065184D">
            <w:pPr>
              <w:jc w:val="right"/>
              <w:rPr>
                <w:rFonts w:eastAsia="Times New Roman"/>
                <w:sz w:val="20"/>
                <w:szCs w:val="20"/>
              </w:rPr>
            </w:pPr>
            <w:r w:rsidRPr="008E63BB">
              <w:rPr>
                <w:rFonts w:eastAsia="Times New Roman"/>
                <w:sz w:val="20"/>
                <w:szCs w:val="20"/>
              </w:rPr>
              <w:t>1.019</w:t>
            </w:r>
          </w:p>
        </w:tc>
      </w:tr>
      <w:tr w:rsidR="008D5BFE" w:rsidRPr="008E63BB" w14:paraId="519B48E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D2" w14:textId="77777777" w:rsidR="0074711A" w:rsidRPr="008E63BB" w:rsidRDefault="0074711A" w:rsidP="0065184D">
            <w:pPr>
              <w:jc w:val="right"/>
              <w:rPr>
                <w:rFonts w:eastAsia="Times New Roman"/>
                <w:sz w:val="20"/>
                <w:szCs w:val="20"/>
              </w:rPr>
            </w:pPr>
            <w:r w:rsidRPr="008E63BB">
              <w:rPr>
                <w:rFonts w:eastAsia="Times New Roman"/>
                <w:sz w:val="20"/>
                <w:szCs w:val="20"/>
              </w:rPr>
              <w:t>7</w:t>
            </w:r>
          </w:p>
        </w:tc>
        <w:tc>
          <w:tcPr>
            <w:tcW w:w="2684" w:type="dxa"/>
            <w:tcBorders>
              <w:top w:val="nil"/>
              <w:left w:val="nil"/>
              <w:bottom w:val="single" w:sz="4" w:space="0" w:color="auto"/>
              <w:right w:val="single" w:sz="4" w:space="0" w:color="auto"/>
            </w:tcBorders>
            <w:shd w:val="clear" w:color="auto" w:fill="auto"/>
            <w:noWrap/>
            <w:vAlign w:val="center"/>
            <w:hideMark/>
          </w:tcPr>
          <w:p w14:paraId="519B48D3" w14:textId="77777777" w:rsidR="0074711A" w:rsidRPr="008E63BB" w:rsidRDefault="0074711A" w:rsidP="0065184D">
            <w:pPr>
              <w:jc w:val="left"/>
              <w:rPr>
                <w:rFonts w:eastAsia="Times New Roman"/>
                <w:sz w:val="20"/>
                <w:szCs w:val="20"/>
              </w:rPr>
            </w:pPr>
            <w:r w:rsidRPr="008E63BB">
              <w:rPr>
                <w:rFonts w:eastAsia="Times New Roman"/>
                <w:sz w:val="20"/>
                <w:szCs w:val="20"/>
              </w:rPr>
              <w:t>X. Mỹ Phúc</w:t>
            </w:r>
          </w:p>
        </w:tc>
        <w:tc>
          <w:tcPr>
            <w:tcW w:w="794" w:type="dxa"/>
            <w:tcBorders>
              <w:top w:val="nil"/>
              <w:left w:val="nil"/>
              <w:bottom w:val="single" w:sz="4" w:space="0" w:color="auto"/>
              <w:right w:val="single" w:sz="4" w:space="0" w:color="auto"/>
            </w:tcBorders>
            <w:shd w:val="clear" w:color="auto" w:fill="auto"/>
            <w:noWrap/>
            <w:vAlign w:val="center"/>
            <w:hideMark/>
          </w:tcPr>
          <w:p w14:paraId="519B48D4" w14:textId="77777777" w:rsidR="0074711A" w:rsidRPr="008E63BB" w:rsidRDefault="0074711A" w:rsidP="0065184D">
            <w:pPr>
              <w:jc w:val="right"/>
              <w:rPr>
                <w:rFonts w:eastAsia="Times New Roman"/>
                <w:sz w:val="20"/>
                <w:szCs w:val="20"/>
              </w:rPr>
            </w:pPr>
            <w:r w:rsidRPr="008E63BB">
              <w:rPr>
                <w:rFonts w:eastAsia="Times New Roman"/>
                <w:sz w:val="20"/>
                <w:szCs w:val="20"/>
              </w:rPr>
              <w:t>6,18</w:t>
            </w:r>
          </w:p>
        </w:tc>
        <w:tc>
          <w:tcPr>
            <w:tcW w:w="866" w:type="dxa"/>
            <w:tcBorders>
              <w:top w:val="nil"/>
              <w:left w:val="nil"/>
              <w:bottom w:val="single" w:sz="4" w:space="0" w:color="auto"/>
              <w:right w:val="single" w:sz="4" w:space="0" w:color="auto"/>
            </w:tcBorders>
            <w:shd w:val="clear" w:color="auto" w:fill="auto"/>
            <w:noWrap/>
            <w:vAlign w:val="center"/>
            <w:hideMark/>
          </w:tcPr>
          <w:p w14:paraId="519B48D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D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D7" w14:textId="77777777" w:rsidR="0074711A" w:rsidRPr="008E63BB" w:rsidRDefault="0074711A" w:rsidP="0065184D">
            <w:pPr>
              <w:jc w:val="right"/>
              <w:rPr>
                <w:rFonts w:eastAsia="Times New Roman"/>
                <w:sz w:val="20"/>
                <w:szCs w:val="20"/>
              </w:rPr>
            </w:pPr>
            <w:r w:rsidRPr="008E63BB">
              <w:rPr>
                <w:rFonts w:eastAsia="Times New Roman"/>
                <w:sz w:val="20"/>
                <w:szCs w:val="20"/>
              </w:rPr>
              <w:t>7.423</w:t>
            </w:r>
          </w:p>
        </w:tc>
        <w:tc>
          <w:tcPr>
            <w:tcW w:w="866" w:type="dxa"/>
            <w:tcBorders>
              <w:top w:val="nil"/>
              <w:left w:val="nil"/>
              <w:bottom w:val="single" w:sz="4" w:space="0" w:color="auto"/>
              <w:right w:val="single" w:sz="4" w:space="0" w:color="auto"/>
            </w:tcBorders>
            <w:shd w:val="clear" w:color="auto" w:fill="auto"/>
            <w:noWrap/>
            <w:vAlign w:val="center"/>
            <w:hideMark/>
          </w:tcPr>
          <w:p w14:paraId="519B48D8" w14:textId="77777777" w:rsidR="0074711A" w:rsidRPr="008E63BB" w:rsidRDefault="0074711A" w:rsidP="0065184D">
            <w:pPr>
              <w:jc w:val="right"/>
              <w:rPr>
                <w:rFonts w:eastAsia="Times New Roman"/>
                <w:sz w:val="20"/>
                <w:szCs w:val="20"/>
              </w:rPr>
            </w:pPr>
            <w:r w:rsidRPr="008E63BB">
              <w:rPr>
                <w:rFonts w:eastAsia="Times New Roman"/>
                <w:sz w:val="20"/>
                <w:szCs w:val="20"/>
              </w:rPr>
              <w:t>7.430</w:t>
            </w:r>
          </w:p>
        </w:tc>
        <w:tc>
          <w:tcPr>
            <w:tcW w:w="866" w:type="dxa"/>
            <w:tcBorders>
              <w:top w:val="nil"/>
              <w:left w:val="nil"/>
              <w:bottom w:val="single" w:sz="4" w:space="0" w:color="auto"/>
              <w:right w:val="single" w:sz="4" w:space="0" w:color="auto"/>
            </w:tcBorders>
            <w:shd w:val="clear" w:color="auto" w:fill="auto"/>
            <w:noWrap/>
            <w:vAlign w:val="center"/>
            <w:hideMark/>
          </w:tcPr>
          <w:p w14:paraId="519B48D9" w14:textId="77777777" w:rsidR="0074711A" w:rsidRPr="008E63BB" w:rsidRDefault="0074711A" w:rsidP="0065184D">
            <w:pPr>
              <w:jc w:val="right"/>
              <w:rPr>
                <w:rFonts w:eastAsia="Times New Roman"/>
                <w:sz w:val="20"/>
                <w:szCs w:val="20"/>
              </w:rPr>
            </w:pPr>
            <w:r w:rsidRPr="008E63BB">
              <w:rPr>
                <w:rFonts w:eastAsia="Times New Roman"/>
                <w:sz w:val="20"/>
                <w:szCs w:val="20"/>
              </w:rPr>
              <w:t>7.430</w:t>
            </w:r>
          </w:p>
        </w:tc>
        <w:tc>
          <w:tcPr>
            <w:tcW w:w="866" w:type="dxa"/>
            <w:tcBorders>
              <w:top w:val="nil"/>
              <w:left w:val="nil"/>
              <w:bottom w:val="single" w:sz="4" w:space="0" w:color="auto"/>
              <w:right w:val="single" w:sz="4" w:space="0" w:color="auto"/>
            </w:tcBorders>
            <w:shd w:val="clear" w:color="auto" w:fill="auto"/>
            <w:noWrap/>
            <w:vAlign w:val="center"/>
            <w:hideMark/>
          </w:tcPr>
          <w:p w14:paraId="519B48DA" w14:textId="77777777" w:rsidR="0074711A" w:rsidRPr="008E63BB" w:rsidRDefault="0074711A" w:rsidP="0065184D">
            <w:pPr>
              <w:jc w:val="right"/>
              <w:rPr>
                <w:rFonts w:eastAsia="Times New Roman"/>
                <w:sz w:val="20"/>
                <w:szCs w:val="20"/>
              </w:rPr>
            </w:pPr>
            <w:r w:rsidRPr="008E63BB">
              <w:rPr>
                <w:rFonts w:eastAsia="Times New Roman"/>
                <w:sz w:val="20"/>
                <w:szCs w:val="20"/>
              </w:rPr>
              <w:t>7.441</w:t>
            </w:r>
          </w:p>
        </w:tc>
        <w:tc>
          <w:tcPr>
            <w:tcW w:w="866" w:type="dxa"/>
            <w:tcBorders>
              <w:top w:val="nil"/>
              <w:left w:val="nil"/>
              <w:bottom w:val="single" w:sz="4" w:space="0" w:color="auto"/>
              <w:right w:val="single" w:sz="4" w:space="0" w:color="auto"/>
            </w:tcBorders>
            <w:shd w:val="clear" w:color="auto" w:fill="auto"/>
            <w:noWrap/>
            <w:vAlign w:val="center"/>
            <w:hideMark/>
          </w:tcPr>
          <w:p w14:paraId="519B48DB" w14:textId="77777777" w:rsidR="0074711A" w:rsidRPr="008E63BB" w:rsidRDefault="0074711A" w:rsidP="0065184D">
            <w:pPr>
              <w:jc w:val="right"/>
              <w:rPr>
                <w:rFonts w:eastAsia="Times New Roman"/>
                <w:sz w:val="20"/>
                <w:szCs w:val="20"/>
              </w:rPr>
            </w:pPr>
            <w:r w:rsidRPr="008E63BB">
              <w:rPr>
                <w:rFonts w:eastAsia="Times New Roman"/>
                <w:sz w:val="20"/>
                <w:szCs w:val="20"/>
              </w:rPr>
              <w:t>7.456</w:t>
            </w:r>
          </w:p>
        </w:tc>
        <w:tc>
          <w:tcPr>
            <w:tcW w:w="866" w:type="dxa"/>
            <w:tcBorders>
              <w:top w:val="nil"/>
              <w:left w:val="nil"/>
              <w:bottom w:val="single" w:sz="4" w:space="0" w:color="auto"/>
              <w:right w:val="single" w:sz="4" w:space="0" w:color="auto"/>
            </w:tcBorders>
            <w:shd w:val="clear" w:color="auto" w:fill="auto"/>
            <w:noWrap/>
            <w:vAlign w:val="center"/>
            <w:hideMark/>
          </w:tcPr>
          <w:p w14:paraId="519B48DC" w14:textId="77777777" w:rsidR="0074711A" w:rsidRPr="008E63BB" w:rsidRDefault="0074711A" w:rsidP="0065184D">
            <w:pPr>
              <w:jc w:val="right"/>
              <w:rPr>
                <w:rFonts w:eastAsia="Times New Roman"/>
                <w:sz w:val="20"/>
                <w:szCs w:val="20"/>
              </w:rPr>
            </w:pPr>
            <w:r w:rsidRPr="008E63BB">
              <w:rPr>
                <w:rFonts w:eastAsia="Times New Roman"/>
                <w:sz w:val="20"/>
                <w:szCs w:val="20"/>
              </w:rPr>
              <w:t>7.467</w:t>
            </w:r>
          </w:p>
        </w:tc>
        <w:tc>
          <w:tcPr>
            <w:tcW w:w="866" w:type="dxa"/>
            <w:tcBorders>
              <w:top w:val="nil"/>
              <w:left w:val="nil"/>
              <w:bottom w:val="single" w:sz="4" w:space="0" w:color="auto"/>
              <w:right w:val="single" w:sz="4" w:space="0" w:color="auto"/>
            </w:tcBorders>
            <w:shd w:val="clear" w:color="auto" w:fill="auto"/>
            <w:noWrap/>
            <w:vAlign w:val="center"/>
            <w:hideMark/>
          </w:tcPr>
          <w:p w14:paraId="519B48DD" w14:textId="77777777" w:rsidR="0074711A" w:rsidRPr="008E63BB" w:rsidRDefault="0074711A" w:rsidP="0065184D">
            <w:pPr>
              <w:jc w:val="right"/>
              <w:rPr>
                <w:rFonts w:eastAsia="Times New Roman"/>
                <w:sz w:val="20"/>
                <w:szCs w:val="20"/>
              </w:rPr>
            </w:pPr>
            <w:r w:rsidRPr="008E63BB">
              <w:rPr>
                <w:rFonts w:eastAsia="Times New Roman"/>
                <w:sz w:val="20"/>
                <w:szCs w:val="20"/>
              </w:rPr>
              <w:t>7.472</w:t>
            </w:r>
          </w:p>
        </w:tc>
        <w:tc>
          <w:tcPr>
            <w:tcW w:w="866" w:type="dxa"/>
            <w:tcBorders>
              <w:top w:val="nil"/>
              <w:left w:val="nil"/>
              <w:bottom w:val="single" w:sz="4" w:space="0" w:color="auto"/>
              <w:right w:val="single" w:sz="4" w:space="0" w:color="auto"/>
            </w:tcBorders>
            <w:shd w:val="clear" w:color="auto" w:fill="auto"/>
            <w:noWrap/>
            <w:vAlign w:val="center"/>
            <w:hideMark/>
          </w:tcPr>
          <w:p w14:paraId="519B48DE" w14:textId="77777777" w:rsidR="0074711A" w:rsidRPr="008E63BB" w:rsidRDefault="0074711A" w:rsidP="0065184D">
            <w:pPr>
              <w:jc w:val="right"/>
              <w:rPr>
                <w:rFonts w:eastAsia="Times New Roman"/>
                <w:sz w:val="20"/>
                <w:szCs w:val="20"/>
              </w:rPr>
            </w:pPr>
            <w:r w:rsidRPr="008E63BB">
              <w:rPr>
                <w:rFonts w:eastAsia="Times New Roman"/>
                <w:sz w:val="20"/>
                <w:szCs w:val="20"/>
              </w:rPr>
              <w:t>7.474</w:t>
            </w:r>
          </w:p>
        </w:tc>
        <w:tc>
          <w:tcPr>
            <w:tcW w:w="866" w:type="dxa"/>
            <w:tcBorders>
              <w:top w:val="nil"/>
              <w:left w:val="nil"/>
              <w:bottom w:val="single" w:sz="4" w:space="0" w:color="auto"/>
              <w:right w:val="single" w:sz="4" w:space="0" w:color="auto"/>
            </w:tcBorders>
            <w:shd w:val="clear" w:color="auto" w:fill="auto"/>
            <w:noWrap/>
            <w:vAlign w:val="center"/>
            <w:hideMark/>
          </w:tcPr>
          <w:p w14:paraId="519B48DF" w14:textId="77777777" w:rsidR="0074711A" w:rsidRPr="008E63BB" w:rsidRDefault="0074711A" w:rsidP="0065184D">
            <w:pPr>
              <w:jc w:val="right"/>
              <w:rPr>
                <w:rFonts w:eastAsia="Times New Roman"/>
                <w:sz w:val="20"/>
                <w:szCs w:val="20"/>
              </w:rPr>
            </w:pPr>
            <w:r w:rsidRPr="008E63BB">
              <w:rPr>
                <w:rFonts w:eastAsia="Times New Roman"/>
                <w:sz w:val="20"/>
                <w:szCs w:val="20"/>
              </w:rPr>
              <w:t>7.485</w:t>
            </w:r>
          </w:p>
        </w:tc>
        <w:tc>
          <w:tcPr>
            <w:tcW w:w="994" w:type="dxa"/>
            <w:tcBorders>
              <w:top w:val="nil"/>
              <w:left w:val="nil"/>
              <w:bottom w:val="single" w:sz="4" w:space="0" w:color="auto"/>
              <w:right w:val="single" w:sz="4" w:space="0" w:color="auto"/>
            </w:tcBorders>
            <w:shd w:val="clear" w:color="auto" w:fill="auto"/>
            <w:noWrap/>
            <w:vAlign w:val="center"/>
            <w:hideMark/>
          </w:tcPr>
          <w:p w14:paraId="519B48E0" w14:textId="77777777" w:rsidR="0074711A" w:rsidRPr="008E63BB" w:rsidRDefault="0074711A" w:rsidP="0065184D">
            <w:pPr>
              <w:jc w:val="right"/>
              <w:rPr>
                <w:rFonts w:eastAsia="Times New Roman"/>
                <w:sz w:val="20"/>
                <w:szCs w:val="20"/>
              </w:rPr>
            </w:pPr>
            <w:r w:rsidRPr="008E63BB">
              <w:rPr>
                <w:rFonts w:eastAsia="Times New Roman"/>
                <w:sz w:val="20"/>
                <w:szCs w:val="20"/>
              </w:rPr>
              <w:t>1.211</w:t>
            </w:r>
          </w:p>
        </w:tc>
      </w:tr>
      <w:tr w:rsidR="008D5BFE" w:rsidRPr="008E63BB" w14:paraId="519B48F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E2" w14:textId="77777777" w:rsidR="0074711A" w:rsidRPr="008E63BB" w:rsidRDefault="0074711A" w:rsidP="0065184D">
            <w:pPr>
              <w:jc w:val="right"/>
              <w:rPr>
                <w:rFonts w:eastAsia="Times New Roman"/>
                <w:sz w:val="20"/>
                <w:szCs w:val="20"/>
              </w:rPr>
            </w:pPr>
            <w:r w:rsidRPr="008E63BB">
              <w:rPr>
                <w:rFonts w:eastAsia="Times New Roman"/>
                <w:sz w:val="20"/>
                <w:szCs w:val="20"/>
              </w:rPr>
              <w:t>8</w:t>
            </w:r>
          </w:p>
        </w:tc>
        <w:tc>
          <w:tcPr>
            <w:tcW w:w="2684" w:type="dxa"/>
            <w:tcBorders>
              <w:top w:val="nil"/>
              <w:left w:val="nil"/>
              <w:bottom w:val="single" w:sz="4" w:space="0" w:color="auto"/>
              <w:right w:val="single" w:sz="4" w:space="0" w:color="auto"/>
            </w:tcBorders>
            <w:shd w:val="clear" w:color="auto" w:fill="auto"/>
            <w:noWrap/>
            <w:vAlign w:val="center"/>
            <w:hideMark/>
          </w:tcPr>
          <w:p w14:paraId="519B48E3" w14:textId="77777777" w:rsidR="0074711A" w:rsidRPr="008E63BB" w:rsidRDefault="0074711A" w:rsidP="0065184D">
            <w:pPr>
              <w:jc w:val="left"/>
              <w:rPr>
                <w:rFonts w:eastAsia="Times New Roman"/>
                <w:sz w:val="20"/>
                <w:szCs w:val="20"/>
              </w:rPr>
            </w:pPr>
            <w:r w:rsidRPr="008E63BB">
              <w:rPr>
                <w:rFonts w:eastAsia="Times New Roman"/>
                <w:sz w:val="20"/>
                <w:szCs w:val="20"/>
              </w:rPr>
              <w:t>X. Mỹ Hưng</w:t>
            </w:r>
          </w:p>
        </w:tc>
        <w:tc>
          <w:tcPr>
            <w:tcW w:w="794" w:type="dxa"/>
            <w:tcBorders>
              <w:top w:val="nil"/>
              <w:left w:val="nil"/>
              <w:bottom w:val="single" w:sz="4" w:space="0" w:color="auto"/>
              <w:right w:val="single" w:sz="4" w:space="0" w:color="auto"/>
            </w:tcBorders>
            <w:shd w:val="clear" w:color="auto" w:fill="auto"/>
            <w:noWrap/>
            <w:vAlign w:val="center"/>
            <w:hideMark/>
          </w:tcPr>
          <w:p w14:paraId="519B48E4" w14:textId="77777777" w:rsidR="0074711A" w:rsidRPr="008E63BB" w:rsidRDefault="0074711A" w:rsidP="0065184D">
            <w:pPr>
              <w:jc w:val="right"/>
              <w:rPr>
                <w:rFonts w:eastAsia="Times New Roman"/>
                <w:sz w:val="20"/>
                <w:szCs w:val="20"/>
              </w:rPr>
            </w:pPr>
            <w:r w:rsidRPr="008E63BB">
              <w:rPr>
                <w:rFonts w:eastAsia="Times New Roman"/>
                <w:sz w:val="20"/>
                <w:szCs w:val="20"/>
              </w:rPr>
              <w:t>5,25</w:t>
            </w:r>
          </w:p>
        </w:tc>
        <w:tc>
          <w:tcPr>
            <w:tcW w:w="866" w:type="dxa"/>
            <w:tcBorders>
              <w:top w:val="nil"/>
              <w:left w:val="nil"/>
              <w:bottom w:val="single" w:sz="4" w:space="0" w:color="auto"/>
              <w:right w:val="single" w:sz="4" w:space="0" w:color="auto"/>
            </w:tcBorders>
            <w:shd w:val="clear" w:color="auto" w:fill="auto"/>
            <w:noWrap/>
            <w:vAlign w:val="center"/>
            <w:hideMark/>
          </w:tcPr>
          <w:p w14:paraId="519B48E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E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E7" w14:textId="77777777" w:rsidR="0074711A" w:rsidRPr="008E63BB" w:rsidRDefault="0074711A" w:rsidP="0065184D">
            <w:pPr>
              <w:jc w:val="right"/>
              <w:rPr>
                <w:rFonts w:eastAsia="Times New Roman"/>
                <w:sz w:val="20"/>
                <w:szCs w:val="20"/>
              </w:rPr>
            </w:pPr>
            <w:r w:rsidRPr="008E63BB">
              <w:rPr>
                <w:rFonts w:eastAsia="Times New Roman"/>
                <w:sz w:val="20"/>
                <w:szCs w:val="20"/>
              </w:rPr>
              <w:t>6.260</w:t>
            </w:r>
          </w:p>
        </w:tc>
        <w:tc>
          <w:tcPr>
            <w:tcW w:w="866" w:type="dxa"/>
            <w:tcBorders>
              <w:top w:val="nil"/>
              <w:left w:val="nil"/>
              <w:bottom w:val="single" w:sz="4" w:space="0" w:color="auto"/>
              <w:right w:val="single" w:sz="4" w:space="0" w:color="auto"/>
            </w:tcBorders>
            <w:shd w:val="clear" w:color="auto" w:fill="auto"/>
            <w:noWrap/>
            <w:vAlign w:val="center"/>
            <w:hideMark/>
          </w:tcPr>
          <w:p w14:paraId="519B48E8" w14:textId="77777777" w:rsidR="0074711A" w:rsidRPr="008E63BB" w:rsidRDefault="0074711A" w:rsidP="0065184D">
            <w:pPr>
              <w:jc w:val="right"/>
              <w:rPr>
                <w:rFonts w:eastAsia="Times New Roman"/>
                <w:sz w:val="20"/>
                <w:szCs w:val="20"/>
              </w:rPr>
            </w:pPr>
            <w:r w:rsidRPr="008E63BB">
              <w:rPr>
                <w:rFonts w:eastAsia="Times New Roman"/>
                <w:sz w:val="20"/>
                <w:szCs w:val="20"/>
              </w:rPr>
              <w:t>6.267</w:t>
            </w:r>
          </w:p>
        </w:tc>
        <w:tc>
          <w:tcPr>
            <w:tcW w:w="866" w:type="dxa"/>
            <w:tcBorders>
              <w:top w:val="nil"/>
              <w:left w:val="nil"/>
              <w:bottom w:val="single" w:sz="4" w:space="0" w:color="auto"/>
              <w:right w:val="single" w:sz="4" w:space="0" w:color="auto"/>
            </w:tcBorders>
            <w:shd w:val="clear" w:color="auto" w:fill="auto"/>
            <w:noWrap/>
            <w:vAlign w:val="center"/>
            <w:hideMark/>
          </w:tcPr>
          <w:p w14:paraId="519B48E9" w14:textId="77777777" w:rsidR="0074711A" w:rsidRPr="008E63BB" w:rsidRDefault="0074711A" w:rsidP="0065184D">
            <w:pPr>
              <w:jc w:val="right"/>
              <w:rPr>
                <w:rFonts w:eastAsia="Times New Roman"/>
                <w:sz w:val="20"/>
                <w:szCs w:val="20"/>
              </w:rPr>
            </w:pPr>
            <w:r w:rsidRPr="008E63BB">
              <w:rPr>
                <w:rFonts w:eastAsia="Times New Roman"/>
                <w:sz w:val="20"/>
                <w:szCs w:val="20"/>
              </w:rPr>
              <w:t>6.267</w:t>
            </w:r>
          </w:p>
        </w:tc>
        <w:tc>
          <w:tcPr>
            <w:tcW w:w="866" w:type="dxa"/>
            <w:tcBorders>
              <w:top w:val="nil"/>
              <w:left w:val="nil"/>
              <w:bottom w:val="single" w:sz="4" w:space="0" w:color="auto"/>
              <w:right w:val="single" w:sz="4" w:space="0" w:color="auto"/>
            </w:tcBorders>
            <w:shd w:val="clear" w:color="auto" w:fill="auto"/>
            <w:noWrap/>
            <w:vAlign w:val="center"/>
            <w:hideMark/>
          </w:tcPr>
          <w:p w14:paraId="519B48EA" w14:textId="77777777" w:rsidR="0074711A" w:rsidRPr="008E63BB" w:rsidRDefault="0074711A" w:rsidP="0065184D">
            <w:pPr>
              <w:jc w:val="right"/>
              <w:rPr>
                <w:rFonts w:eastAsia="Times New Roman"/>
                <w:sz w:val="20"/>
                <w:szCs w:val="20"/>
              </w:rPr>
            </w:pPr>
            <w:r w:rsidRPr="008E63BB">
              <w:rPr>
                <w:rFonts w:eastAsia="Times New Roman"/>
                <w:sz w:val="20"/>
                <w:szCs w:val="20"/>
              </w:rPr>
              <w:t>6.276</w:t>
            </w:r>
          </w:p>
        </w:tc>
        <w:tc>
          <w:tcPr>
            <w:tcW w:w="866" w:type="dxa"/>
            <w:tcBorders>
              <w:top w:val="nil"/>
              <w:left w:val="nil"/>
              <w:bottom w:val="single" w:sz="4" w:space="0" w:color="auto"/>
              <w:right w:val="single" w:sz="4" w:space="0" w:color="auto"/>
            </w:tcBorders>
            <w:shd w:val="clear" w:color="auto" w:fill="auto"/>
            <w:noWrap/>
            <w:vAlign w:val="center"/>
            <w:hideMark/>
          </w:tcPr>
          <w:p w14:paraId="519B48EB" w14:textId="77777777" w:rsidR="0074711A" w:rsidRPr="008E63BB" w:rsidRDefault="0074711A" w:rsidP="0065184D">
            <w:pPr>
              <w:jc w:val="right"/>
              <w:rPr>
                <w:rFonts w:eastAsia="Times New Roman"/>
                <w:sz w:val="20"/>
                <w:szCs w:val="20"/>
              </w:rPr>
            </w:pPr>
            <w:r w:rsidRPr="008E63BB">
              <w:rPr>
                <w:rFonts w:eastAsia="Times New Roman"/>
                <w:sz w:val="20"/>
                <w:szCs w:val="20"/>
              </w:rPr>
              <w:t>6.289</w:t>
            </w:r>
          </w:p>
        </w:tc>
        <w:tc>
          <w:tcPr>
            <w:tcW w:w="866" w:type="dxa"/>
            <w:tcBorders>
              <w:top w:val="nil"/>
              <w:left w:val="nil"/>
              <w:bottom w:val="single" w:sz="4" w:space="0" w:color="auto"/>
              <w:right w:val="single" w:sz="4" w:space="0" w:color="auto"/>
            </w:tcBorders>
            <w:shd w:val="clear" w:color="auto" w:fill="auto"/>
            <w:noWrap/>
            <w:vAlign w:val="center"/>
            <w:hideMark/>
          </w:tcPr>
          <w:p w14:paraId="519B48EC" w14:textId="77777777" w:rsidR="0074711A" w:rsidRPr="008E63BB" w:rsidRDefault="0074711A" w:rsidP="0065184D">
            <w:pPr>
              <w:jc w:val="right"/>
              <w:rPr>
                <w:rFonts w:eastAsia="Times New Roman"/>
                <w:sz w:val="20"/>
                <w:szCs w:val="20"/>
              </w:rPr>
            </w:pPr>
            <w:r w:rsidRPr="008E63BB">
              <w:rPr>
                <w:rFonts w:eastAsia="Times New Roman"/>
                <w:sz w:val="20"/>
                <w:szCs w:val="20"/>
              </w:rPr>
              <w:t>6.299</w:t>
            </w:r>
          </w:p>
        </w:tc>
        <w:tc>
          <w:tcPr>
            <w:tcW w:w="866" w:type="dxa"/>
            <w:tcBorders>
              <w:top w:val="nil"/>
              <w:left w:val="nil"/>
              <w:bottom w:val="single" w:sz="4" w:space="0" w:color="auto"/>
              <w:right w:val="single" w:sz="4" w:space="0" w:color="auto"/>
            </w:tcBorders>
            <w:shd w:val="clear" w:color="auto" w:fill="auto"/>
            <w:noWrap/>
            <w:vAlign w:val="center"/>
            <w:hideMark/>
          </w:tcPr>
          <w:p w14:paraId="519B48ED" w14:textId="77777777" w:rsidR="0074711A" w:rsidRPr="008E63BB" w:rsidRDefault="0074711A" w:rsidP="0065184D">
            <w:pPr>
              <w:jc w:val="right"/>
              <w:rPr>
                <w:rFonts w:eastAsia="Times New Roman"/>
                <w:sz w:val="20"/>
                <w:szCs w:val="20"/>
              </w:rPr>
            </w:pPr>
            <w:r w:rsidRPr="008E63BB">
              <w:rPr>
                <w:rFonts w:eastAsia="Times New Roman"/>
                <w:sz w:val="20"/>
                <w:szCs w:val="20"/>
              </w:rPr>
              <w:t>6.303</w:t>
            </w:r>
          </w:p>
        </w:tc>
        <w:tc>
          <w:tcPr>
            <w:tcW w:w="866" w:type="dxa"/>
            <w:tcBorders>
              <w:top w:val="nil"/>
              <w:left w:val="nil"/>
              <w:bottom w:val="single" w:sz="4" w:space="0" w:color="auto"/>
              <w:right w:val="single" w:sz="4" w:space="0" w:color="auto"/>
            </w:tcBorders>
            <w:shd w:val="clear" w:color="auto" w:fill="auto"/>
            <w:noWrap/>
            <w:vAlign w:val="center"/>
            <w:hideMark/>
          </w:tcPr>
          <w:p w14:paraId="519B48EE" w14:textId="77777777" w:rsidR="0074711A" w:rsidRPr="008E63BB" w:rsidRDefault="0074711A" w:rsidP="0065184D">
            <w:pPr>
              <w:jc w:val="right"/>
              <w:rPr>
                <w:rFonts w:eastAsia="Times New Roman"/>
                <w:sz w:val="20"/>
                <w:szCs w:val="20"/>
              </w:rPr>
            </w:pPr>
            <w:r w:rsidRPr="008E63BB">
              <w:rPr>
                <w:rFonts w:eastAsia="Times New Roman"/>
                <w:sz w:val="20"/>
                <w:szCs w:val="20"/>
              </w:rPr>
              <w:t>6.304</w:t>
            </w:r>
          </w:p>
        </w:tc>
        <w:tc>
          <w:tcPr>
            <w:tcW w:w="866" w:type="dxa"/>
            <w:tcBorders>
              <w:top w:val="nil"/>
              <w:left w:val="nil"/>
              <w:bottom w:val="single" w:sz="4" w:space="0" w:color="auto"/>
              <w:right w:val="single" w:sz="4" w:space="0" w:color="auto"/>
            </w:tcBorders>
            <w:shd w:val="clear" w:color="auto" w:fill="auto"/>
            <w:noWrap/>
            <w:vAlign w:val="center"/>
            <w:hideMark/>
          </w:tcPr>
          <w:p w14:paraId="519B48EF" w14:textId="77777777" w:rsidR="0074711A" w:rsidRPr="008E63BB" w:rsidRDefault="0074711A" w:rsidP="0065184D">
            <w:pPr>
              <w:jc w:val="right"/>
              <w:rPr>
                <w:rFonts w:eastAsia="Times New Roman"/>
                <w:sz w:val="20"/>
                <w:szCs w:val="20"/>
              </w:rPr>
            </w:pPr>
            <w:r w:rsidRPr="008E63BB">
              <w:rPr>
                <w:rFonts w:eastAsia="Times New Roman"/>
                <w:sz w:val="20"/>
                <w:szCs w:val="20"/>
              </w:rPr>
              <w:t>6.314</w:t>
            </w:r>
          </w:p>
        </w:tc>
        <w:tc>
          <w:tcPr>
            <w:tcW w:w="994" w:type="dxa"/>
            <w:tcBorders>
              <w:top w:val="nil"/>
              <w:left w:val="nil"/>
              <w:bottom w:val="single" w:sz="4" w:space="0" w:color="auto"/>
              <w:right w:val="single" w:sz="4" w:space="0" w:color="auto"/>
            </w:tcBorders>
            <w:shd w:val="clear" w:color="auto" w:fill="auto"/>
            <w:noWrap/>
            <w:vAlign w:val="center"/>
            <w:hideMark/>
          </w:tcPr>
          <w:p w14:paraId="519B48F0" w14:textId="77777777" w:rsidR="0074711A" w:rsidRPr="008E63BB" w:rsidRDefault="0074711A" w:rsidP="0065184D">
            <w:pPr>
              <w:jc w:val="right"/>
              <w:rPr>
                <w:rFonts w:eastAsia="Times New Roman"/>
                <w:sz w:val="20"/>
                <w:szCs w:val="20"/>
              </w:rPr>
            </w:pPr>
            <w:r w:rsidRPr="008E63BB">
              <w:rPr>
                <w:rFonts w:eastAsia="Times New Roman"/>
                <w:sz w:val="20"/>
                <w:szCs w:val="20"/>
              </w:rPr>
              <w:t>1.203</w:t>
            </w:r>
          </w:p>
        </w:tc>
      </w:tr>
      <w:tr w:rsidR="008D5BFE" w:rsidRPr="008E63BB" w14:paraId="519B490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8F2" w14:textId="77777777" w:rsidR="0074711A" w:rsidRPr="008E63BB" w:rsidRDefault="0074711A" w:rsidP="0065184D">
            <w:pPr>
              <w:jc w:val="right"/>
              <w:rPr>
                <w:rFonts w:eastAsia="Times New Roman"/>
                <w:sz w:val="20"/>
                <w:szCs w:val="20"/>
              </w:rPr>
            </w:pPr>
            <w:r w:rsidRPr="008E63BB">
              <w:rPr>
                <w:rFonts w:eastAsia="Times New Roman"/>
                <w:sz w:val="20"/>
                <w:szCs w:val="20"/>
              </w:rPr>
              <w:t>9</w:t>
            </w:r>
          </w:p>
        </w:tc>
        <w:tc>
          <w:tcPr>
            <w:tcW w:w="2684" w:type="dxa"/>
            <w:tcBorders>
              <w:top w:val="nil"/>
              <w:left w:val="nil"/>
              <w:bottom w:val="single" w:sz="4" w:space="0" w:color="auto"/>
              <w:right w:val="single" w:sz="4" w:space="0" w:color="auto"/>
            </w:tcBorders>
            <w:shd w:val="clear" w:color="auto" w:fill="auto"/>
            <w:noWrap/>
            <w:vAlign w:val="center"/>
            <w:hideMark/>
          </w:tcPr>
          <w:p w14:paraId="519B48F3" w14:textId="77777777" w:rsidR="0074711A" w:rsidRPr="008E63BB" w:rsidRDefault="0074711A" w:rsidP="0065184D">
            <w:pPr>
              <w:jc w:val="left"/>
              <w:rPr>
                <w:rFonts w:eastAsia="Times New Roman"/>
                <w:sz w:val="20"/>
                <w:szCs w:val="20"/>
              </w:rPr>
            </w:pPr>
            <w:r w:rsidRPr="008E63BB">
              <w:rPr>
                <w:rFonts w:eastAsia="Times New Roman"/>
                <w:sz w:val="20"/>
                <w:szCs w:val="20"/>
              </w:rPr>
              <w:t>X. Mỹ Thuận</w:t>
            </w:r>
          </w:p>
        </w:tc>
        <w:tc>
          <w:tcPr>
            <w:tcW w:w="794" w:type="dxa"/>
            <w:tcBorders>
              <w:top w:val="nil"/>
              <w:left w:val="nil"/>
              <w:bottom w:val="single" w:sz="4" w:space="0" w:color="auto"/>
              <w:right w:val="single" w:sz="4" w:space="0" w:color="auto"/>
            </w:tcBorders>
            <w:shd w:val="clear" w:color="auto" w:fill="auto"/>
            <w:noWrap/>
            <w:vAlign w:val="center"/>
            <w:hideMark/>
          </w:tcPr>
          <w:p w14:paraId="519B48F4" w14:textId="77777777" w:rsidR="0074711A" w:rsidRPr="008E63BB" w:rsidRDefault="0074711A" w:rsidP="0065184D">
            <w:pPr>
              <w:jc w:val="right"/>
              <w:rPr>
                <w:rFonts w:eastAsia="Times New Roman"/>
                <w:sz w:val="20"/>
                <w:szCs w:val="20"/>
              </w:rPr>
            </w:pPr>
            <w:r w:rsidRPr="008E63BB">
              <w:rPr>
                <w:rFonts w:eastAsia="Times New Roman"/>
                <w:sz w:val="20"/>
                <w:szCs w:val="20"/>
              </w:rPr>
              <w:t>8,65</w:t>
            </w:r>
          </w:p>
        </w:tc>
        <w:tc>
          <w:tcPr>
            <w:tcW w:w="866" w:type="dxa"/>
            <w:tcBorders>
              <w:top w:val="nil"/>
              <w:left w:val="nil"/>
              <w:bottom w:val="single" w:sz="4" w:space="0" w:color="auto"/>
              <w:right w:val="single" w:sz="4" w:space="0" w:color="auto"/>
            </w:tcBorders>
            <w:shd w:val="clear" w:color="auto" w:fill="auto"/>
            <w:noWrap/>
            <w:vAlign w:val="center"/>
            <w:hideMark/>
          </w:tcPr>
          <w:p w14:paraId="519B48F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F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8F7" w14:textId="77777777" w:rsidR="0074711A" w:rsidRPr="008E63BB" w:rsidRDefault="0074711A" w:rsidP="0065184D">
            <w:pPr>
              <w:jc w:val="right"/>
              <w:rPr>
                <w:rFonts w:eastAsia="Times New Roman"/>
                <w:sz w:val="20"/>
                <w:szCs w:val="20"/>
              </w:rPr>
            </w:pPr>
            <w:r w:rsidRPr="008E63BB">
              <w:rPr>
                <w:rFonts w:eastAsia="Times New Roman"/>
                <w:sz w:val="20"/>
                <w:szCs w:val="20"/>
              </w:rPr>
              <w:t>6.869</w:t>
            </w:r>
          </w:p>
        </w:tc>
        <w:tc>
          <w:tcPr>
            <w:tcW w:w="866" w:type="dxa"/>
            <w:tcBorders>
              <w:top w:val="nil"/>
              <w:left w:val="nil"/>
              <w:bottom w:val="single" w:sz="4" w:space="0" w:color="auto"/>
              <w:right w:val="single" w:sz="4" w:space="0" w:color="auto"/>
            </w:tcBorders>
            <w:shd w:val="clear" w:color="auto" w:fill="auto"/>
            <w:noWrap/>
            <w:vAlign w:val="center"/>
            <w:hideMark/>
          </w:tcPr>
          <w:p w14:paraId="519B48F8" w14:textId="77777777" w:rsidR="0074711A" w:rsidRPr="008E63BB" w:rsidRDefault="0074711A" w:rsidP="0065184D">
            <w:pPr>
              <w:jc w:val="right"/>
              <w:rPr>
                <w:rFonts w:eastAsia="Times New Roman"/>
                <w:sz w:val="20"/>
                <w:szCs w:val="20"/>
              </w:rPr>
            </w:pPr>
            <w:r w:rsidRPr="008E63BB">
              <w:rPr>
                <w:rFonts w:eastAsia="Times New Roman"/>
                <w:sz w:val="20"/>
                <w:szCs w:val="20"/>
              </w:rPr>
              <w:t>6.877</w:t>
            </w:r>
          </w:p>
        </w:tc>
        <w:tc>
          <w:tcPr>
            <w:tcW w:w="866" w:type="dxa"/>
            <w:tcBorders>
              <w:top w:val="nil"/>
              <w:left w:val="nil"/>
              <w:bottom w:val="single" w:sz="4" w:space="0" w:color="auto"/>
              <w:right w:val="single" w:sz="4" w:space="0" w:color="auto"/>
            </w:tcBorders>
            <w:shd w:val="clear" w:color="auto" w:fill="auto"/>
            <w:noWrap/>
            <w:vAlign w:val="center"/>
            <w:hideMark/>
          </w:tcPr>
          <w:p w14:paraId="519B48F9" w14:textId="77777777" w:rsidR="0074711A" w:rsidRPr="008E63BB" w:rsidRDefault="0074711A" w:rsidP="0065184D">
            <w:pPr>
              <w:jc w:val="right"/>
              <w:rPr>
                <w:rFonts w:eastAsia="Times New Roman"/>
                <w:sz w:val="20"/>
                <w:szCs w:val="20"/>
              </w:rPr>
            </w:pPr>
            <w:r w:rsidRPr="008E63BB">
              <w:rPr>
                <w:rFonts w:eastAsia="Times New Roman"/>
                <w:sz w:val="20"/>
                <w:szCs w:val="20"/>
              </w:rPr>
              <w:t>6.877</w:t>
            </w:r>
          </w:p>
        </w:tc>
        <w:tc>
          <w:tcPr>
            <w:tcW w:w="866" w:type="dxa"/>
            <w:tcBorders>
              <w:top w:val="nil"/>
              <w:left w:val="nil"/>
              <w:bottom w:val="single" w:sz="4" w:space="0" w:color="auto"/>
              <w:right w:val="single" w:sz="4" w:space="0" w:color="auto"/>
            </w:tcBorders>
            <w:shd w:val="clear" w:color="auto" w:fill="auto"/>
            <w:noWrap/>
            <w:vAlign w:val="center"/>
            <w:hideMark/>
          </w:tcPr>
          <w:p w14:paraId="519B48FA" w14:textId="77777777" w:rsidR="0074711A" w:rsidRPr="008E63BB" w:rsidRDefault="0074711A" w:rsidP="0065184D">
            <w:pPr>
              <w:jc w:val="right"/>
              <w:rPr>
                <w:rFonts w:eastAsia="Times New Roman"/>
                <w:sz w:val="20"/>
                <w:szCs w:val="20"/>
              </w:rPr>
            </w:pPr>
            <w:r w:rsidRPr="008E63BB">
              <w:rPr>
                <w:rFonts w:eastAsia="Times New Roman"/>
                <w:sz w:val="20"/>
                <w:szCs w:val="20"/>
              </w:rPr>
              <w:t>6.886</w:t>
            </w:r>
          </w:p>
        </w:tc>
        <w:tc>
          <w:tcPr>
            <w:tcW w:w="866" w:type="dxa"/>
            <w:tcBorders>
              <w:top w:val="nil"/>
              <w:left w:val="nil"/>
              <w:bottom w:val="single" w:sz="4" w:space="0" w:color="auto"/>
              <w:right w:val="single" w:sz="4" w:space="0" w:color="auto"/>
            </w:tcBorders>
            <w:shd w:val="clear" w:color="auto" w:fill="auto"/>
            <w:noWrap/>
            <w:vAlign w:val="center"/>
            <w:hideMark/>
          </w:tcPr>
          <w:p w14:paraId="519B48FB" w14:textId="77777777" w:rsidR="0074711A" w:rsidRPr="008E63BB" w:rsidRDefault="0074711A" w:rsidP="0065184D">
            <w:pPr>
              <w:jc w:val="right"/>
              <w:rPr>
                <w:rFonts w:eastAsia="Times New Roman"/>
                <w:sz w:val="20"/>
                <w:szCs w:val="20"/>
              </w:rPr>
            </w:pPr>
            <w:r w:rsidRPr="008E63BB">
              <w:rPr>
                <w:rFonts w:eastAsia="Times New Roman"/>
                <w:sz w:val="20"/>
                <w:szCs w:val="20"/>
              </w:rPr>
              <w:t>6.899</w:t>
            </w:r>
          </w:p>
        </w:tc>
        <w:tc>
          <w:tcPr>
            <w:tcW w:w="866" w:type="dxa"/>
            <w:tcBorders>
              <w:top w:val="nil"/>
              <w:left w:val="nil"/>
              <w:bottom w:val="single" w:sz="4" w:space="0" w:color="auto"/>
              <w:right w:val="single" w:sz="4" w:space="0" w:color="auto"/>
            </w:tcBorders>
            <w:shd w:val="clear" w:color="auto" w:fill="auto"/>
            <w:noWrap/>
            <w:vAlign w:val="center"/>
            <w:hideMark/>
          </w:tcPr>
          <w:p w14:paraId="519B48FC" w14:textId="77777777" w:rsidR="0074711A" w:rsidRPr="008E63BB" w:rsidRDefault="0074711A" w:rsidP="0065184D">
            <w:pPr>
              <w:jc w:val="right"/>
              <w:rPr>
                <w:rFonts w:eastAsia="Times New Roman"/>
                <w:sz w:val="20"/>
                <w:szCs w:val="20"/>
              </w:rPr>
            </w:pPr>
            <w:r w:rsidRPr="008E63BB">
              <w:rPr>
                <w:rFonts w:eastAsia="Times New Roman"/>
                <w:sz w:val="20"/>
                <w:szCs w:val="20"/>
              </w:rPr>
              <w:t>6.908</w:t>
            </w:r>
          </w:p>
        </w:tc>
        <w:tc>
          <w:tcPr>
            <w:tcW w:w="866" w:type="dxa"/>
            <w:tcBorders>
              <w:top w:val="nil"/>
              <w:left w:val="nil"/>
              <w:bottom w:val="single" w:sz="4" w:space="0" w:color="auto"/>
              <w:right w:val="single" w:sz="4" w:space="0" w:color="auto"/>
            </w:tcBorders>
            <w:shd w:val="clear" w:color="auto" w:fill="auto"/>
            <w:noWrap/>
            <w:vAlign w:val="center"/>
            <w:hideMark/>
          </w:tcPr>
          <w:p w14:paraId="519B48FD" w14:textId="77777777" w:rsidR="0074711A" w:rsidRPr="008E63BB" w:rsidRDefault="0074711A" w:rsidP="0065184D">
            <w:pPr>
              <w:jc w:val="right"/>
              <w:rPr>
                <w:rFonts w:eastAsia="Times New Roman"/>
                <w:sz w:val="20"/>
                <w:szCs w:val="20"/>
              </w:rPr>
            </w:pPr>
            <w:r w:rsidRPr="008E63BB">
              <w:rPr>
                <w:rFonts w:eastAsia="Times New Roman"/>
                <w:sz w:val="20"/>
                <w:szCs w:val="20"/>
              </w:rPr>
              <w:t>6.912</w:t>
            </w:r>
          </w:p>
        </w:tc>
        <w:tc>
          <w:tcPr>
            <w:tcW w:w="866" w:type="dxa"/>
            <w:tcBorders>
              <w:top w:val="nil"/>
              <w:left w:val="nil"/>
              <w:bottom w:val="single" w:sz="4" w:space="0" w:color="auto"/>
              <w:right w:val="single" w:sz="4" w:space="0" w:color="auto"/>
            </w:tcBorders>
            <w:shd w:val="clear" w:color="auto" w:fill="auto"/>
            <w:noWrap/>
            <w:vAlign w:val="center"/>
            <w:hideMark/>
          </w:tcPr>
          <w:p w14:paraId="519B48FE" w14:textId="77777777" w:rsidR="0074711A" w:rsidRPr="008E63BB" w:rsidRDefault="0074711A" w:rsidP="0065184D">
            <w:pPr>
              <w:jc w:val="right"/>
              <w:rPr>
                <w:rFonts w:eastAsia="Times New Roman"/>
                <w:sz w:val="20"/>
                <w:szCs w:val="20"/>
              </w:rPr>
            </w:pPr>
            <w:r w:rsidRPr="008E63BB">
              <w:rPr>
                <w:rFonts w:eastAsia="Times New Roman"/>
                <w:sz w:val="20"/>
                <w:szCs w:val="20"/>
              </w:rPr>
              <w:t>6.913</w:t>
            </w:r>
          </w:p>
        </w:tc>
        <w:tc>
          <w:tcPr>
            <w:tcW w:w="866" w:type="dxa"/>
            <w:tcBorders>
              <w:top w:val="nil"/>
              <w:left w:val="nil"/>
              <w:bottom w:val="single" w:sz="4" w:space="0" w:color="auto"/>
              <w:right w:val="single" w:sz="4" w:space="0" w:color="auto"/>
            </w:tcBorders>
            <w:shd w:val="clear" w:color="auto" w:fill="auto"/>
            <w:noWrap/>
            <w:vAlign w:val="center"/>
            <w:hideMark/>
          </w:tcPr>
          <w:p w14:paraId="519B48FF" w14:textId="77777777" w:rsidR="0074711A" w:rsidRPr="008E63BB" w:rsidRDefault="0074711A" w:rsidP="0065184D">
            <w:pPr>
              <w:jc w:val="right"/>
              <w:rPr>
                <w:rFonts w:eastAsia="Times New Roman"/>
                <w:sz w:val="20"/>
                <w:szCs w:val="20"/>
              </w:rPr>
            </w:pPr>
            <w:r w:rsidRPr="008E63BB">
              <w:rPr>
                <w:rFonts w:eastAsia="Times New Roman"/>
                <w:sz w:val="20"/>
                <w:szCs w:val="20"/>
              </w:rPr>
              <w:t>6.923</w:t>
            </w:r>
          </w:p>
        </w:tc>
        <w:tc>
          <w:tcPr>
            <w:tcW w:w="994" w:type="dxa"/>
            <w:tcBorders>
              <w:top w:val="nil"/>
              <w:left w:val="nil"/>
              <w:bottom w:val="single" w:sz="4" w:space="0" w:color="auto"/>
              <w:right w:val="single" w:sz="4" w:space="0" w:color="auto"/>
            </w:tcBorders>
            <w:shd w:val="clear" w:color="auto" w:fill="auto"/>
            <w:noWrap/>
            <w:vAlign w:val="center"/>
            <w:hideMark/>
          </w:tcPr>
          <w:p w14:paraId="519B4900" w14:textId="77777777" w:rsidR="0074711A" w:rsidRPr="008E63BB" w:rsidRDefault="0074711A" w:rsidP="0065184D">
            <w:pPr>
              <w:jc w:val="right"/>
              <w:rPr>
                <w:rFonts w:eastAsia="Times New Roman"/>
                <w:sz w:val="20"/>
                <w:szCs w:val="20"/>
              </w:rPr>
            </w:pPr>
            <w:r w:rsidRPr="008E63BB">
              <w:rPr>
                <w:rFonts w:eastAsia="Times New Roman"/>
                <w:sz w:val="20"/>
                <w:szCs w:val="20"/>
              </w:rPr>
              <w:t>800</w:t>
            </w:r>
          </w:p>
        </w:tc>
      </w:tr>
      <w:tr w:rsidR="008D5BFE" w:rsidRPr="008E63BB" w14:paraId="519B491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02" w14:textId="77777777" w:rsidR="0074711A" w:rsidRPr="008E63BB" w:rsidRDefault="0074711A" w:rsidP="0065184D">
            <w:pPr>
              <w:jc w:val="right"/>
              <w:rPr>
                <w:rFonts w:eastAsia="Times New Roman"/>
                <w:sz w:val="20"/>
                <w:szCs w:val="20"/>
              </w:rPr>
            </w:pPr>
            <w:r w:rsidRPr="008E63BB">
              <w:rPr>
                <w:rFonts w:eastAsia="Times New Roman"/>
                <w:sz w:val="20"/>
                <w:szCs w:val="20"/>
              </w:rPr>
              <w:t>10</w:t>
            </w:r>
          </w:p>
        </w:tc>
        <w:tc>
          <w:tcPr>
            <w:tcW w:w="2684" w:type="dxa"/>
            <w:tcBorders>
              <w:top w:val="nil"/>
              <w:left w:val="nil"/>
              <w:bottom w:val="single" w:sz="4" w:space="0" w:color="auto"/>
              <w:right w:val="single" w:sz="4" w:space="0" w:color="auto"/>
            </w:tcBorders>
            <w:shd w:val="clear" w:color="auto" w:fill="auto"/>
            <w:noWrap/>
            <w:vAlign w:val="center"/>
            <w:hideMark/>
          </w:tcPr>
          <w:p w14:paraId="519B4903" w14:textId="77777777" w:rsidR="0074711A" w:rsidRPr="008E63BB" w:rsidRDefault="0074711A" w:rsidP="0065184D">
            <w:pPr>
              <w:jc w:val="left"/>
              <w:rPr>
                <w:rFonts w:eastAsia="Times New Roman"/>
                <w:sz w:val="20"/>
                <w:szCs w:val="20"/>
              </w:rPr>
            </w:pPr>
            <w:r w:rsidRPr="008E63BB">
              <w:rPr>
                <w:rFonts w:eastAsia="Times New Roman"/>
                <w:sz w:val="20"/>
                <w:szCs w:val="20"/>
              </w:rPr>
              <w:t>X. Mỹ Thịnh</w:t>
            </w:r>
          </w:p>
        </w:tc>
        <w:tc>
          <w:tcPr>
            <w:tcW w:w="794" w:type="dxa"/>
            <w:tcBorders>
              <w:top w:val="nil"/>
              <w:left w:val="nil"/>
              <w:bottom w:val="single" w:sz="4" w:space="0" w:color="auto"/>
              <w:right w:val="single" w:sz="4" w:space="0" w:color="auto"/>
            </w:tcBorders>
            <w:shd w:val="clear" w:color="auto" w:fill="auto"/>
            <w:noWrap/>
            <w:vAlign w:val="center"/>
            <w:hideMark/>
          </w:tcPr>
          <w:p w14:paraId="519B4904" w14:textId="77777777" w:rsidR="0074711A" w:rsidRPr="008E63BB" w:rsidRDefault="0074711A" w:rsidP="0065184D">
            <w:pPr>
              <w:jc w:val="right"/>
              <w:rPr>
                <w:rFonts w:eastAsia="Times New Roman"/>
                <w:sz w:val="20"/>
                <w:szCs w:val="20"/>
              </w:rPr>
            </w:pPr>
            <w:r w:rsidRPr="008E63BB">
              <w:rPr>
                <w:rFonts w:eastAsia="Times New Roman"/>
                <w:sz w:val="20"/>
                <w:szCs w:val="20"/>
              </w:rPr>
              <w:t>5,31</w:t>
            </w:r>
          </w:p>
        </w:tc>
        <w:tc>
          <w:tcPr>
            <w:tcW w:w="866" w:type="dxa"/>
            <w:tcBorders>
              <w:top w:val="nil"/>
              <w:left w:val="nil"/>
              <w:bottom w:val="single" w:sz="4" w:space="0" w:color="auto"/>
              <w:right w:val="single" w:sz="4" w:space="0" w:color="auto"/>
            </w:tcBorders>
            <w:shd w:val="clear" w:color="auto" w:fill="auto"/>
            <w:noWrap/>
            <w:vAlign w:val="center"/>
            <w:hideMark/>
          </w:tcPr>
          <w:p w14:paraId="519B490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90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907" w14:textId="77777777" w:rsidR="0074711A" w:rsidRPr="008E63BB" w:rsidRDefault="0074711A" w:rsidP="0065184D">
            <w:pPr>
              <w:jc w:val="right"/>
              <w:rPr>
                <w:rFonts w:eastAsia="Times New Roman"/>
                <w:sz w:val="20"/>
                <w:szCs w:val="20"/>
              </w:rPr>
            </w:pPr>
            <w:r w:rsidRPr="008E63BB">
              <w:rPr>
                <w:rFonts w:eastAsia="Times New Roman"/>
                <w:sz w:val="20"/>
                <w:szCs w:val="20"/>
              </w:rPr>
              <w:t>4.011</w:t>
            </w:r>
          </w:p>
        </w:tc>
        <w:tc>
          <w:tcPr>
            <w:tcW w:w="866" w:type="dxa"/>
            <w:tcBorders>
              <w:top w:val="nil"/>
              <w:left w:val="nil"/>
              <w:bottom w:val="single" w:sz="4" w:space="0" w:color="auto"/>
              <w:right w:val="single" w:sz="4" w:space="0" w:color="auto"/>
            </w:tcBorders>
            <w:shd w:val="clear" w:color="auto" w:fill="auto"/>
            <w:noWrap/>
            <w:vAlign w:val="center"/>
            <w:hideMark/>
          </w:tcPr>
          <w:p w14:paraId="519B4908" w14:textId="77777777" w:rsidR="0074711A" w:rsidRPr="008E63BB" w:rsidRDefault="0074711A" w:rsidP="0065184D">
            <w:pPr>
              <w:jc w:val="right"/>
              <w:rPr>
                <w:rFonts w:eastAsia="Times New Roman"/>
                <w:sz w:val="20"/>
                <w:szCs w:val="20"/>
              </w:rPr>
            </w:pPr>
            <w:r w:rsidRPr="008E63BB">
              <w:rPr>
                <w:rFonts w:eastAsia="Times New Roman"/>
                <w:sz w:val="20"/>
                <w:szCs w:val="20"/>
              </w:rPr>
              <w:t>4.011</w:t>
            </w:r>
          </w:p>
        </w:tc>
        <w:tc>
          <w:tcPr>
            <w:tcW w:w="866" w:type="dxa"/>
            <w:tcBorders>
              <w:top w:val="nil"/>
              <w:left w:val="nil"/>
              <w:bottom w:val="single" w:sz="4" w:space="0" w:color="auto"/>
              <w:right w:val="single" w:sz="4" w:space="0" w:color="auto"/>
            </w:tcBorders>
            <w:shd w:val="clear" w:color="auto" w:fill="auto"/>
            <w:noWrap/>
            <w:vAlign w:val="center"/>
            <w:hideMark/>
          </w:tcPr>
          <w:p w14:paraId="519B4909" w14:textId="77777777" w:rsidR="0074711A" w:rsidRPr="008E63BB" w:rsidRDefault="0074711A" w:rsidP="0065184D">
            <w:pPr>
              <w:jc w:val="right"/>
              <w:rPr>
                <w:rFonts w:eastAsia="Times New Roman"/>
                <w:sz w:val="20"/>
                <w:szCs w:val="20"/>
              </w:rPr>
            </w:pPr>
            <w:r w:rsidRPr="008E63BB">
              <w:rPr>
                <w:rFonts w:eastAsia="Times New Roman"/>
                <w:sz w:val="20"/>
                <w:szCs w:val="20"/>
              </w:rPr>
              <w:t>4.016</w:t>
            </w:r>
          </w:p>
        </w:tc>
        <w:tc>
          <w:tcPr>
            <w:tcW w:w="866" w:type="dxa"/>
            <w:tcBorders>
              <w:top w:val="nil"/>
              <w:left w:val="nil"/>
              <w:bottom w:val="single" w:sz="4" w:space="0" w:color="auto"/>
              <w:right w:val="single" w:sz="4" w:space="0" w:color="auto"/>
            </w:tcBorders>
            <w:shd w:val="clear" w:color="auto" w:fill="auto"/>
            <w:noWrap/>
            <w:vAlign w:val="center"/>
            <w:hideMark/>
          </w:tcPr>
          <w:p w14:paraId="519B490A" w14:textId="77777777" w:rsidR="0074711A" w:rsidRPr="008E63BB" w:rsidRDefault="0074711A" w:rsidP="0065184D">
            <w:pPr>
              <w:jc w:val="right"/>
              <w:rPr>
                <w:rFonts w:eastAsia="Times New Roman"/>
                <w:sz w:val="20"/>
                <w:szCs w:val="20"/>
              </w:rPr>
            </w:pPr>
            <w:r w:rsidRPr="008E63BB">
              <w:rPr>
                <w:rFonts w:eastAsia="Times New Roman"/>
                <w:sz w:val="20"/>
                <w:szCs w:val="20"/>
              </w:rPr>
              <w:t>4.021</w:t>
            </w:r>
          </w:p>
        </w:tc>
        <w:tc>
          <w:tcPr>
            <w:tcW w:w="866" w:type="dxa"/>
            <w:tcBorders>
              <w:top w:val="nil"/>
              <w:left w:val="nil"/>
              <w:bottom w:val="single" w:sz="4" w:space="0" w:color="auto"/>
              <w:right w:val="single" w:sz="4" w:space="0" w:color="auto"/>
            </w:tcBorders>
            <w:shd w:val="clear" w:color="auto" w:fill="auto"/>
            <w:noWrap/>
            <w:vAlign w:val="center"/>
            <w:hideMark/>
          </w:tcPr>
          <w:p w14:paraId="519B490B" w14:textId="77777777" w:rsidR="0074711A" w:rsidRPr="008E63BB" w:rsidRDefault="0074711A" w:rsidP="0065184D">
            <w:pPr>
              <w:jc w:val="right"/>
              <w:rPr>
                <w:rFonts w:eastAsia="Times New Roman"/>
                <w:sz w:val="20"/>
                <w:szCs w:val="20"/>
              </w:rPr>
            </w:pPr>
            <w:r w:rsidRPr="008E63BB">
              <w:rPr>
                <w:rFonts w:eastAsia="Times New Roman"/>
                <w:sz w:val="20"/>
                <w:szCs w:val="20"/>
              </w:rPr>
              <w:t>4.030</w:t>
            </w:r>
          </w:p>
        </w:tc>
        <w:tc>
          <w:tcPr>
            <w:tcW w:w="866" w:type="dxa"/>
            <w:tcBorders>
              <w:top w:val="nil"/>
              <w:left w:val="nil"/>
              <w:bottom w:val="single" w:sz="4" w:space="0" w:color="auto"/>
              <w:right w:val="single" w:sz="4" w:space="0" w:color="auto"/>
            </w:tcBorders>
            <w:shd w:val="clear" w:color="auto" w:fill="auto"/>
            <w:noWrap/>
            <w:vAlign w:val="center"/>
            <w:hideMark/>
          </w:tcPr>
          <w:p w14:paraId="519B490C" w14:textId="77777777" w:rsidR="0074711A" w:rsidRPr="008E63BB" w:rsidRDefault="0074711A" w:rsidP="0065184D">
            <w:pPr>
              <w:jc w:val="right"/>
              <w:rPr>
                <w:rFonts w:eastAsia="Times New Roman"/>
                <w:sz w:val="20"/>
                <w:szCs w:val="20"/>
              </w:rPr>
            </w:pPr>
            <w:r w:rsidRPr="008E63BB">
              <w:rPr>
                <w:rFonts w:eastAsia="Times New Roman"/>
                <w:sz w:val="20"/>
                <w:szCs w:val="20"/>
              </w:rPr>
              <w:t>4.033</w:t>
            </w:r>
          </w:p>
        </w:tc>
        <w:tc>
          <w:tcPr>
            <w:tcW w:w="866" w:type="dxa"/>
            <w:tcBorders>
              <w:top w:val="nil"/>
              <w:left w:val="nil"/>
              <w:bottom w:val="single" w:sz="4" w:space="0" w:color="auto"/>
              <w:right w:val="single" w:sz="4" w:space="0" w:color="auto"/>
            </w:tcBorders>
            <w:shd w:val="clear" w:color="auto" w:fill="auto"/>
            <w:noWrap/>
            <w:vAlign w:val="center"/>
            <w:hideMark/>
          </w:tcPr>
          <w:p w14:paraId="519B490D" w14:textId="77777777" w:rsidR="0074711A" w:rsidRPr="008E63BB" w:rsidRDefault="0074711A" w:rsidP="0065184D">
            <w:pPr>
              <w:jc w:val="right"/>
              <w:rPr>
                <w:rFonts w:eastAsia="Times New Roman"/>
                <w:sz w:val="20"/>
                <w:szCs w:val="20"/>
              </w:rPr>
            </w:pPr>
            <w:r w:rsidRPr="008E63BB">
              <w:rPr>
                <w:rFonts w:eastAsia="Times New Roman"/>
                <w:sz w:val="20"/>
                <w:szCs w:val="20"/>
              </w:rPr>
              <w:t>4.035</w:t>
            </w:r>
          </w:p>
        </w:tc>
        <w:tc>
          <w:tcPr>
            <w:tcW w:w="866" w:type="dxa"/>
            <w:tcBorders>
              <w:top w:val="nil"/>
              <w:left w:val="nil"/>
              <w:bottom w:val="single" w:sz="4" w:space="0" w:color="auto"/>
              <w:right w:val="single" w:sz="4" w:space="0" w:color="auto"/>
            </w:tcBorders>
            <w:shd w:val="clear" w:color="auto" w:fill="auto"/>
            <w:noWrap/>
            <w:vAlign w:val="center"/>
            <w:hideMark/>
          </w:tcPr>
          <w:p w14:paraId="519B490E" w14:textId="77777777" w:rsidR="0074711A" w:rsidRPr="008E63BB" w:rsidRDefault="0074711A" w:rsidP="0065184D">
            <w:pPr>
              <w:jc w:val="right"/>
              <w:rPr>
                <w:rFonts w:eastAsia="Times New Roman"/>
                <w:sz w:val="20"/>
                <w:szCs w:val="20"/>
              </w:rPr>
            </w:pPr>
            <w:r w:rsidRPr="008E63BB">
              <w:rPr>
                <w:rFonts w:eastAsia="Times New Roman"/>
                <w:sz w:val="20"/>
                <w:szCs w:val="20"/>
              </w:rPr>
              <w:t>4.036</w:t>
            </w:r>
          </w:p>
        </w:tc>
        <w:tc>
          <w:tcPr>
            <w:tcW w:w="866" w:type="dxa"/>
            <w:tcBorders>
              <w:top w:val="nil"/>
              <w:left w:val="nil"/>
              <w:bottom w:val="single" w:sz="4" w:space="0" w:color="auto"/>
              <w:right w:val="single" w:sz="4" w:space="0" w:color="auto"/>
            </w:tcBorders>
            <w:shd w:val="clear" w:color="auto" w:fill="auto"/>
            <w:noWrap/>
            <w:vAlign w:val="center"/>
            <w:hideMark/>
          </w:tcPr>
          <w:p w14:paraId="519B490F" w14:textId="77777777" w:rsidR="0074711A" w:rsidRPr="008E63BB" w:rsidRDefault="0074711A" w:rsidP="0065184D">
            <w:pPr>
              <w:jc w:val="right"/>
              <w:rPr>
                <w:rFonts w:eastAsia="Times New Roman"/>
                <w:sz w:val="20"/>
                <w:szCs w:val="20"/>
              </w:rPr>
            </w:pPr>
            <w:r w:rsidRPr="008E63BB">
              <w:rPr>
                <w:rFonts w:eastAsia="Times New Roman"/>
                <w:sz w:val="20"/>
                <w:szCs w:val="20"/>
              </w:rPr>
              <w:t>4.046</w:t>
            </w:r>
          </w:p>
        </w:tc>
        <w:tc>
          <w:tcPr>
            <w:tcW w:w="994" w:type="dxa"/>
            <w:tcBorders>
              <w:top w:val="nil"/>
              <w:left w:val="nil"/>
              <w:bottom w:val="single" w:sz="4" w:space="0" w:color="auto"/>
              <w:right w:val="single" w:sz="4" w:space="0" w:color="auto"/>
            </w:tcBorders>
            <w:shd w:val="clear" w:color="auto" w:fill="auto"/>
            <w:noWrap/>
            <w:vAlign w:val="center"/>
            <w:hideMark/>
          </w:tcPr>
          <w:p w14:paraId="519B4910" w14:textId="77777777" w:rsidR="0074711A" w:rsidRPr="008E63BB" w:rsidRDefault="0074711A" w:rsidP="0065184D">
            <w:pPr>
              <w:jc w:val="right"/>
              <w:rPr>
                <w:rFonts w:eastAsia="Times New Roman"/>
                <w:sz w:val="20"/>
                <w:szCs w:val="20"/>
              </w:rPr>
            </w:pPr>
            <w:r w:rsidRPr="008E63BB">
              <w:rPr>
                <w:rFonts w:eastAsia="Times New Roman"/>
                <w:sz w:val="20"/>
                <w:szCs w:val="20"/>
              </w:rPr>
              <w:t>762</w:t>
            </w:r>
          </w:p>
        </w:tc>
      </w:tr>
      <w:tr w:rsidR="008D5BFE" w:rsidRPr="008E63BB" w14:paraId="519B492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12" w14:textId="77777777" w:rsidR="0074711A" w:rsidRPr="008E63BB" w:rsidRDefault="0074711A" w:rsidP="0065184D">
            <w:pPr>
              <w:jc w:val="right"/>
              <w:rPr>
                <w:rFonts w:eastAsia="Times New Roman"/>
                <w:sz w:val="20"/>
                <w:szCs w:val="20"/>
              </w:rPr>
            </w:pPr>
            <w:r w:rsidRPr="008E63BB">
              <w:rPr>
                <w:rFonts w:eastAsia="Times New Roman"/>
                <w:sz w:val="20"/>
                <w:szCs w:val="20"/>
              </w:rPr>
              <w:t>11</w:t>
            </w:r>
          </w:p>
        </w:tc>
        <w:tc>
          <w:tcPr>
            <w:tcW w:w="2684" w:type="dxa"/>
            <w:tcBorders>
              <w:top w:val="nil"/>
              <w:left w:val="nil"/>
              <w:bottom w:val="single" w:sz="4" w:space="0" w:color="auto"/>
              <w:right w:val="single" w:sz="4" w:space="0" w:color="auto"/>
            </w:tcBorders>
            <w:shd w:val="clear" w:color="auto" w:fill="auto"/>
            <w:noWrap/>
            <w:vAlign w:val="center"/>
            <w:hideMark/>
          </w:tcPr>
          <w:p w14:paraId="519B4913" w14:textId="77777777" w:rsidR="0074711A" w:rsidRPr="008E63BB" w:rsidRDefault="0074711A" w:rsidP="0065184D">
            <w:pPr>
              <w:jc w:val="left"/>
              <w:rPr>
                <w:rFonts w:eastAsia="Times New Roman"/>
                <w:sz w:val="20"/>
                <w:szCs w:val="20"/>
              </w:rPr>
            </w:pPr>
            <w:r w:rsidRPr="008E63BB">
              <w:rPr>
                <w:rFonts w:eastAsia="Times New Roman"/>
                <w:sz w:val="20"/>
                <w:szCs w:val="20"/>
              </w:rPr>
              <w:t>X. Mỹ Thành</w:t>
            </w:r>
          </w:p>
        </w:tc>
        <w:tc>
          <w:tcPr>
            <w:tcW w:w="794" w:type="dxa"/>
            <w:tcBorders>
              <w:top w:val="nil"/>
              <w:left w:val="nil"/>
              <w:bottom w:val="single" w:sz="4" w:space="0" w:color="auto"/>
              <w:right w:val="single" w:sz="4" w:space="0" w:color="auto"/>
            </w:tcBorders>
            <w:shd w:val="clear" w:color="auto" w:fill="auto"/>
            <w:noWrap/>
            <w:vAlign w:val="center"/>
            <w:hideMark/>
          </w:tcPr>
          <w:p w14:paraId="519B4914" w14:textId="77777777" w:rsidR="0074711A" w:rsidRPr="008E63BB" w:rsidRDefault="0074711A" w:rsidP="0065184D">
            <w:pPr>
              <w:jc w:val="right"/>
              <w:rPr>
                <w:rFonts w:eastAsia="Times New Roman"/>
                <w:sz w:val="20"/>
                <w:szCs w:val="20"/>
              </w:rPr>
            </w:pPr>
            <w:r w:rsidRPr="008E63BB">
              <w:rPr>
                <w:rFonts w:eastAsia="Times New Roman"/>
                <w:sz w:val="20"/>
                <w:szCs w:val="20"/>
              </w:rPr>
              <w:t>5,79</w:t>
            </w:r>
          </w:p>
        </w:tc>
        <w:tc>
          <w:tcPr>
            <w:tcW w:w="866" w:type="dxa"/>
            <w:tcBorders>
              <w:top w:val="nil"/>
              <w:left w:val="nil"/>
              <w:bottom w:val="single" w:sz="4" w:space="0" w:color="auto"/>
              <w:right w:val="single" w:sz="4" w:space="0" w:color="auto"/>
            </w:tcBorders>
            <w:shd w:val="clear" w:color="auto" w:fill="auto"/>
            <w:noWrap/>
            <w:vAlign w:val="center"/>
            <w:hideMark/>
          </w:tcPr>
          <w:p w14:paraId="519B4915"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916" w14:textId="77777777" w:rsidR="0074711A" w:rsidRPr="008E63BB" w:rsidRDefault="0074711A" w:rsidP="0065184D">
            <w:pPr>
              <w:jc w:val="left"/>
              <w:rPr>
                <w:rFonts w:eastAsia="Times New Roman"/>
                <w:sz w:val="20"/>
                <w:szCs w:val="20"/>
              </w:rPr>
            </w:pPr>
            <w:r w:rsidRPr="008E63BB">
              <w:rPr>
                <w:rFonts w:eastAsia="Times New Roman"/>
                <w:sz w:val="20"/>
                <w:szCs w:val="20"/>
              </w:rPr>
              <w:t> </w:t>
            </w:r>
          </w:p>
        </w:tc>
        <w:tc>
          <w:tcPr>
            <w:tcW w:w="866" w:type="dxa"/>
            <w:tcBorders>
              <w:top w:val="nil"/>
              <w:left w:val="nil"/>
              <w:bottom w:val="single" w:sz="4" w:space="0" w:color="auto"/>
              <w:right w:val="single" w:sz="4" w:space="0" w:color="auto"/>
            </w:tcBorders>
            <w:shd w:val="clear" w:color="auto" w:fill="auto"/>
            <w:noWrap/>
            <w:vAlign w:val="center"/>
            <w:hideMark/>
          </w:tcPr>
          <w:p w14:paraId="519B4917" w14:textId="77777777" w:rsidR="0074711A" w:rsidRPr="008E63BB" w:rsidRDefault="0074711A" w:rsidP="0065184D">
            <w:pPr>
              <w:jc w:val="right"/>
              <w:rPr>
                <w:rFonts w:eastAsia="Times New Roman"/>
                <w:sz w:val="20"/>
                <w:szCs w:val="20"/>
              </w:rPr>
            </w:pPr>
            <w:r w:rsidRPr="008E63BB">
              <w:rPr>
                <w:rFonts w:eastAsia="Times New Roman"/>
                <w:sz w:val="20"/>
                <w:szCs w:val="20"/>
              </w:rPr>
              <w:t>4.240</w:t>
            </w:r>
          </w:p>
        </w:tc>
        <w:tc>
          <w:tcPr>
            <w:tcW w:w="866" w:type="dxa"/>
            <w:tcBorders>
              <w:top w:val="nil"/>
              <w:left w:val="nil"/>
              <w:bottom w:val="single" w:sz="4" w:space="0" w:color="auto"/>
              <w:right w:val="single" w:sz="4" w:space="0" w:color="auto"/>
            </w:tcBorders>
            <w:shd w:val="clear" w:color="auto" w:fill="auto"/>
            <w:noWrap/>
            <w:vAlign w:val="center"/>
            <w:hideMark/>
          </w:tcPr>
          <w:p w14:paraId="519B4918" w14:textId="77777777" w:rsidR="0074711A" w:rsidRPr="008E63BB" w:rsidRDefault="0074711A" w:rsidP="0065184D">
            <w:pPr>
              <w:jc w:val="right"/>
              <w:rPr>
                <w:rFonts w:eastAsia="Times New Roman"/>
                <w:sz w:val="20"/>
                <w:szCs w:val="20"/>
              </w:rPr>
            </w:pPr>
            <w:r w:rsidRPr="008E63BB">
              <w:rPr>
                <w:rFonts w:eastAsia="Times New Roman"/>
                <w:sz w:val="20"/>
                <w:szCs w:val="20"/>
              </w:rPr>
              <w:t>4.240</w:t>
            </w:r>
          </w:p>
        </w:tc>
        <w:tc>
          <w:tcPr>
            <w:tcW w:w="866" w:type="dxa"/>
            <w:tcBorders>
              <w:top w:val="nil"/>
              <w:left w:val="nil"/>
              <w:bottom w:val="single" w:sz="4" w:space="0" w:color="auto"/>
              <w:right w:val="single" w:sz="4" w:space="0" w:color="auto"/>
            </w:tcBorders>
            <w:shd w:val="clear" w:color="auto" w:fill="auto"/>
            <w:noWrap/>
            <w:vAlign w:val="center"/>
            <w:hideMark/>
          </w:tcPr>
          <w:p w14:paraId="519B4919" w14:textId="77777777" w:rsidR="0074711A" w:rsidRPr="008E63BB" w:rsidRDefault="0074711A" w:rsidP="0065184D">
            <w:pPr>
              <w:jc w:val="right"/>
              <w:rPr>
                <w:rFonts w:eastAsia="Times New Roman"/>
                <w:sz w:val="20"/>
                <w:szCs w:val="20"/>
              </w:rPr>
            </w:pPr>
            <w:r w:rsidRPr="008E63BB">
              <w:rPr>
                <w:rFonts w:eastAsia="Times New Roman"/>
                <w:sz w:val="20"/>
                <w:szCs w:val="20"/>
              </w:rPr>
              <w:t>4.245</w:t>
            </w:r>
          </w:p>
        </w:tc>
        <w:tc>
          <w:tcPr>
            <w:tcW w:w="866" w:type="dxa"/>
            <w:tcBorders>
              <w:top w:val="nil"/>
              <w:left w:val="nil"/>
              <w:bottom w:val="single" w:sz="4" w:space="0" w:color="auto"/>
              <w:right w:val="single" w:sz="4" w:space="0" w:color="auto"/>
            </w:tcBorders>
            <w:shd w:val="clear" w:color="auto" w:fill="auto"/>
            <w:noWrap/>
            <w:vAlign w:val="center"/>
            <w:hideMark/>
          </w:tcPr>
          <w:p w14:paraId="519B491A" w14:textId="77777777" w:rsidR="0074711A" w:rsidRPr="008E63BB" w:rsidRDefault="0074711A" w:rsidP="0065184D">
            <w:pPr>
              <w:jc w:val="right"/>
              <w:rPr>
                <w:rFonts w:eastAsia="Times New Roman"/>
                <w:sz w:val="20"/>
                <w:szCs w:val="20"/>
              </w:rPr>
            </w:pPr>
            <w:r w:rsidRPr="008E63BB">
              <w:rPr>
                <w:rFonts w:eastAsia="Times New Roman"/>
                <w:sz w:val="20"/>
                <w:szCs w:val="20"/>
              </w:rPr>
              <w:t>4.250</w:t>
            </w:r>
          </w:p>
        </w:tc>
        <w:tc>
          <w:tcPr>
            <w:tcW w:w="866" w:type="dxa"/>
            <w:tcBorders>
              <w:top w:val="nil"/>
              <w:left w:val="nil"/>
              <w:bottom w:val="single" w:sz="4" w:space="0" w:color="auto"/>
              <w:right w:val="single" w:sz="4" w:space="0" w:color="auto"/>
            </w:tcBorders>
            <w:shd w:val="clear" w:color="auto" w:fill="auto"/>
            <w:noWrap/>
            <w:vAlign w:val="center"/>
            <w:hideMark/>
          </w:tcPr>
          <w:p w14:paraId="519B491B" w14:textId="77777777" w:rsidR="0074711A" w:rsidRPr="008E63BB" w:rsidRDefault="0074711A" w:rsidP="0065184D">
            <w:pPr>
              <w:jc w:val="right"/>
              <w:rPr>
                <w:rFonts w:eastAsia="Times New Roman"/>
                <w:sz w:val="20"/>
                <w:szCs w:val="20"/>
              </w:rPr>
            </w:pPr>
            <w:r w:rsidRPr="008E63BB">
              <w:rPr>
                <w:rFonts w:eastAsia="Times New Roman"/>
                <w:sz w:val="20"/>
                <w:szCs w:val="20"/>
              </w:rPr>
              <w:t>4.259</w:t>
            </w:r>
          </w:p>
        </w:tc>
        <w:tc>
          <w:tcPr>
            <w:tcW w:w="866" w:type="dxa"/>
            <w:tcBorders>
              <w:top w:val="nil"/>
              <w:left w:val="nil"/>
              <w:bottom w:val="single" w:sz="4" w:space="0" w:color="auto"/>
              <w:right w:val="single" w:sz="4" w:space="0" w:color="auto"/>
            </w:tcBorders>
            <w:shd w:val="clear" w:color="auto" w:fill="auto"/>
            <w:noWrap/>
            <w:vAlign w:val="center"/>
            <w:hideMark/>
          </w:tcPr>
          <w:p w14:paraId="519B491C" w14:textId="77777777" w:rsidR="0074711A" w:rsidRPr="008E63BB" w:rsidRDefault="0074711A" w:rsidP="0065184D">
            <w:pPr>
              <w:jc w:val="right"/>
              <w:rPr>
                <w:rFonts w:eastAsia="Times New Roman"/>
                <w:sz w:val="20"/>
                <w:szCs w:val="20"/>
              </w:rPr>
            </w:pPr>
            <w:r w:rsidRPr="008E63BB">
              <w:rPr>
                <w:rFonts w:eastAsia="Times New Roman"/>
                <w:sz w:val="20"/>
                <w:szCs w:val="20"/>
              </w:rPr>
              <w:t>4.267</w:t>
            </w:r>
          </w:p>
        </w:tc>
        <w:tc>
          <w:tcPr>
            <w:tcW w:w="866" w:type="dxa"/>
            <w:tcBorders>
              <w:top w:val="nil"/>
              <w:left w:val="nil"/>
              <w:bottom w:val="single" w:sz="4" w:space="0" w:color="auto"/>
              <w:right w:val="single" w:sz="4" w:space="0" w:color="auto"/>
            </w:tcBorders>
            <w:shd w:val="clear" w:color="auto" w:fill="auto"/>
            <w:noWrap/>
            <w:vAlign w:val="center"/>
            <w:hideMark/>
          </w:tcPr>
          <w:p w14:paraId="519B491D" w14:textId="77777777" w:rsidR="0074711A" w:rsidRPr="008E63BB" w:rsidRDefault="0074711A" w:rsidP="0065184D">
            <w:pPr>
              <w:jc w:val="right"/>
              <w:rPr>
                <w:rFonts w:eastAsia="Times New Roman"/>
                <w:sz w:val="20"/>
                <w:szCs w:val="20"/>
              </w:rPr>
            </w:pPr>
            <w:r w:rsidRPr="008E63BB">
              <w:rPr>
                <w:rFonts w:eastAsia="Times New Roman"/>
                <w:sz w:val="20"/>
                <w:szCs w:val="20"/>
              </w:rPr>
              <w:t>4.269</w:t>
            </w:r>
          </w:p>
        </w:tc>
        <w:tc>
          <w:tcPr>
            <w:tcW w:w="866" w:type="dxa"/>
            <w:tcBorders>
              <w:top w:val="nil"/>
              <w:left w:val="nil"/>
              <w:bottom w:val="single" w:sz="4" w:space="0" w:color="auto"/>
              <w:right w:val="single" w:sz="4" w:space="0" w:color="auto"/>
            </w:tcBorders>
            <w:shd w:val="clear" w:color="auto" w:fill="auto"/>
            <w:noWrap/>
            <w:vAlign w:val="center"/>
            <w:hideMark/>
          </w:tcPr>
          <w:p w14:paraId="519B491E" w14:textId="77777777" w:rsidR="0074711A" w:rsidRPr="008E63BB" w:rsidRDefault="0074711A" w:rsidP="0065184D">
            <w:pPr>
              <w:jc w:val="right"/>
              <w:rPr>
                <w:rFonts w:eastAsia="Times New Roman"/>
                <w:sz w:val="20"/>
                <w:szCs w:val="20"/>
              </w:rPr>
            </w:pPr>
            <w:r w:rsidRPr="008E63BB">
              <w:rPr>
                <w:rFonts w:eastAsia="Times New Roman"/>
                <w:sz w:val="20"/>
                <w:szCs w:val="20"/>
              </w:rPr>
              <w:t>4.270</w:t>
            </w:r>
          </w:p>
        </w:tc>
        <w:tc>
          <w:tcPr>
            <w:tcW w:w="866" w:type="dxa"/>
            <w:tcBorders>
              <w:top w:val="nil"/>
              <w:left w:val="nil"/>
              <w:bottom w:val="single" w:sz="4" w:space="0" w:color="auto"/>
              <w:right w:val="single" w:sz="4" w:space="0" w:color="auto"/>
            </w:tcBorders>
            <w:shd w:val="clear" w:color="auto" w:fill="auto"/>
            <w:noWrap/>
            <w:vAlign w:val="center"/>
            <w:hideMark/>
          </w:tcPr>
          <w:p w14:paraId="519B491F" w14:textId="77777777" w:rsidR="0074711A" w:rsidRPr="008E63BB" w:rsidRDefault="0074711A" w:rsidP="0065184D">
            <w:pPr>
              <w:jc w:val="right"/>
              <w:rPr>
                <w:rFonts w:eastAsia="Times New Roman"/>
                <w:sz w:val="20"/>
                <w:szCs w:val="20"/>
              </w:rPr>
            </w:pPr>
            <w:r w:rsidRPr="008E63BB">
              <w:rPr>
                <w:rFonts w:eastAsia="Times New Roman"/>
                <w:sz w:val="20"/>
                <w:szCs w:val="20"/>
              </w:rPr>
              <w:t>4.279</w:t>
            </w:r>
          </w:p>
        </w:tc>
        <w:tc>
          <w:tcPr>
            <w:tcW w:w="994" w:type="dxa"/>
            <w:tcBorders>
              <w:top w:val="nil"/>
              <w:left w:val="nil"/>
              <w:bottom w:val="single" w:sz="4" w:space="0" w:color="auto"/>
              <w:right w:val="single" w:sz="4" w:space="0" w:color="auto"/>
            </w:tcBorders>
            <w:shd w:val="clear" w:color="auto" w:fill="auto"/>
            <w:noWrap/>
            <w:vAlign w:val="center"/>
            <w:hideMark/>
          </w:tcPr>
          <w:p w14:paraId="519B4920" w14:textId="77777777" w:rsidR="0074711A" w:rsidRPr="008E63BB" w:rsidRDefault="0074711A" w:rsidP="0065184D">
            <w:pPr>
              <w:jc w:val="right"/>
              <w:rPr>
                <w:rFonts w:eastAsia="Times New Roman"/>
                <w:sz w:val="20"/>
                <w:szCs w:val="20"/>
              </w:rPr>
            </w:pPr>
            <w:r w:rsidRPr="008E63BB">
              <w:rPr>
                <w:rFonts w:eastAsia="Times New Roman"/>
                <w:sz w:val="20"/>
                <w:szCs w:val="20"/>
              </w:rPr>
              <w:t>739</w:t>
            </w:r>
          </w:p>
        </w:tc>
      </w:tr>
      <w:tr w:rsidR="008D5BFE" w:rsidRPr="008E63BB" w14:paraId="519B493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22"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C</w:t>
            </w:r>
          </w:p>
        </w:tc>
        <w:tc>
          <w:tcPr>
            <w:tcW w:w="2684" w:type="dxa"/>
            <w:tcBorders>
              <w:top w:val="nil"/>
              <w:left w:val="nil"/>
              <w:bottom w:val="single" w:sz="4" w:space="0" w:color="auto"/>
              <w:right w:val="single" w:sz="4" w:space="0" w:color="auto"/>
            </w:tcBorders>
            <w:shd w:val="clear" w:color="auto" w:fill="auto"/>
            <w:noWrap/>
            <w:vAlign w:val="center"/>
            <w:hideMark/>
          </w:tcPr>
          <w:p w14:paraId="519B4923"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H. Vụ Bản</w:t>
            </w:r>
          </w:p>
        </w:tc>
        <w:tc>
          <w:tcPr>
            <w:tcW w:w="794" w:type="dxa"/>
            <w:tcBorders>
              <w:top w:val="nil"/>
              <w:left w:val="nil"/>
              <w:bottom w:val="single" w:sz="4" w:space="0" w:color="auto"/>
              <w:right w:val="single" w:sz="4" w:space="0" w:color="auto"/>
            </w:tcBorders>
            <w:shd w:val="clear" w:color="auto" w:fill="auto"/>
            <w:noWrap/>
            <w:vAlign w:val="center"/>
            <w:hideMark/>
          </w:tcPr>
          <w:p w14:paraId="519B4924"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26,48</w:t>
            </w:r>
          </w:p>
        </w:tc>
        <w:tc>
          <w:tcPr>
            <w:tcW w:w="866" w:type="dxa"/>
            <w:tcBorders>
              <w:top w:val="nil"/>
              <w:left w:val="nil"/>
              <w:bottom w:val="single" w:sz="4" w:space="0" w:color="auto"/>
              <w:right w:val="single" w:sz="4" w:space="0" w:color="auto"/>
            </w:tcBorders>
            <w:shd w:val="clear" w:color="auto" w:fill="auto"/>
            <w:noWrap/>
            <w:vAlign w:val="center"/>
            <w:hideMark/>
          </w:tcPr>
          <w:p w14:paraId="519B4925"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9.425</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26"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9.425</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27"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27.897</w:t>
            </w:r>
          </w:p>
        </w:tc>
        <w:tc>
          <w:tcPr>
            <w:tcW w:w="866" w:type="dxa"/>
            <w:tcBorders>
              <w:top w:val="nil"/>
              <w:left w:val="nil"/>
              <w:bottom w:val="single" w:sz="4" w:space="0" w:color="auto"/>
              <w:right w:val="single" w:sz="4" w:space="0" w:color="auto"/>
            </w:tcBorders>
            <w:shd w:val="clear" w:color="auto" w:fill="auto"/>
            <w:noWrap/>
            <w:vAlign w:val="center"/>
            <w:hideMark/>
          </w:tcPr>
          <w:p w14:paraId="519B4928"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27.871</w:t>
            </w:r>
          </w:p>
        </w:tc>
        <w:tc>
          <w:tcPr>
            <w:tcW w:w="866" w:type="dxa"/>
            <w:tcBorders>
              <w:top w:val="nil"/>
              <w:left w:val="nil"/>
              <w:bottom w:val="single" w:sz="4" w:space="0" w:color="auto"/>
              <w:right w:val="single" w:sz="4" w:space="0" w:color="auto"/>
            </w:tcBorders>
            <w:shd w:val="clear" w:color="auto" w:fill="auto"/>
            <w:noWrap/>
            <w:vAlign w:val="center"/>
            <w:hideMark/>
          </w:tcPr>
          <w:p w14:paraId="519B4929"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27.895</w:t>
            </w:r>
          </w:p>
        </w:tc>
        <w:tc>
          <w:tcPr>
            <w:tcW w:w="866" w:type="dxa"/>
            <w:tcBorders>
              <w:top w:val="nil"/>
              <w:left w:val="nil"/>
              <w:bottom w:val="single" w:sz="4" w:space="0" w:color="auto"/>
              <w:right w:val="single" w:sz="4" w:space="0" w:color="auto"/>
            </w:tcBorders>
            <w:shd w:val="clear" w:color="auto" w:fill="auto"/>
            <w:noWrap/>
            <w:vAlign w:val="center"/>
            <w:hideMark/>
          </w:tcPr>
          <w:p w14:paraId="519B492A"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27.894</w:t>
            </w:r>
          </w:p>
        </w:tc>
        <w:tc>
          <w:tcPr>
            <w:tcW w:w="866" w:type="dxa"/>
            <w:tcBorders>
              <w:top w:val="nil"/>
              <w:left w:val="nil"/>
              <w:bottom w:val="single" w:sz="4" w:space="0" w:color="auto"/>
              <w:right w:val="single" w:sz="4" w:space="0" w:color="auto"/>
            </w:tcBorders>
            <w:shd w:val="clear" w:color="auto" w:fill="auto"/>
            <w:noWrap/>
            <w:vAlign w:val="center"/>
            <w:hideMark/>
          </w:tcPr>
          <w:p w14:paraId="519B492B"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27.926</w:t>
            </w:r>
          </w:p>
        </w:tc>
        <w:tc>
          <w:tcPr>
            <w:tcW w:w="866" w:type="dxa"/>
            <w:tcBorders>
              <w:top w:val="nil"/>
              <w:left w:val="nil"/>
              <w:bottom w:val="single" w:sz="4" w:space="0" w:color="auto"/>
              <w:right w:val="single" w:sz="4" w:space="0" w:color="auto"/>
            </w:tcBorders>
            <w:shd w:val="clear" w:color="auto" w:fill="auto"/>
            <w:noWrap/>
            <w:vAlign w:val="center"/>
            <w:hideMark/>
          </w:tcPr>
          <w:p w14:paraId="519B492C"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27.934</w:t>
            </w:r>
          </w:p>
        </w:tc>
        <w:tc>
          <w:tcPr>
            <w:tcW w:w="866" w:type="dxa"/>
            <w:tcBorders>
              <w:top w:val="nil"/>
              <w:left w:val="nil"/>
              <w:bottom w:val="single" w:sz="4" w:space="0" w:color="auto"/>
              <w:right w:val="single" w:sz="4" w:space="0" w:color="auto"/>
            </w:tcBorders>
            <w:shd w:val="clear" w:color="auto" w:fill="auto"/>
            <w:noWrap/>
            <w:vAlign w:val="center"/>
            <w:hideMark/>
          </w:tcPr>
          <w:p w14:paraId="519B492D"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27.975</w:t>
            </w:r>
          </w:p>
        </w:tc>
        <w:tc>
          <w:tcPr>
            <w:tcW w:w="866" w:type="dxa"/>
            <w:tcBorders>
              <w:top w:val="nil"/>
              <w:left w:val="nil"/>
              <w:bottom w:val="single" w:sz="4" w:space="0" w:color="auto"/>
              <w:right w:val="single" w:sz="4" w:space="0" w:color="auto"/>
            </w:tcBorders>
            <w:shd w:val="clear" w:color="auto" w:fill="auto"/>
            <w:noWrap/>
            <w:vAlign w:val="center"/>
            <w:hideMark/>
          </w:tcPr>
          <w:p w14:paraId="519B492E"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27.985</w:t>
            </w:r>
          </w:p>
        </w:tc>
        <w:tc>
          <w:tcPr>
            <w:tcW w:w="866" w:type="dxa"/>
            <w:tcBorders>
              <w:top w:val="nil"/>
              <w:left w:val="nil"/>
              <w:bottom w:val="single" w:sz="4" w:space="0" w:color="auto"/>
              <w:right w:val="single" w:sz="4" w:space="0" w:color="auto"/>
            </w:tcBorders>
            <w:shd w:val="clear" w:color="auto" w:fill="auto"/>
            <w:noWrap/>
            <w:vAlign w:val="center"/>
            <w:hideMark/>
          </w:tcPr>
          <w:p w14:paraId="519B492F"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28.013</w:t>
            </w:r>
          </w:p>
        </w:tc>
        <w:tc>
          <w:tcPr>
            <w:tcW w:w="994" w:type="dxa"/>
            <w:tcBorders>
              <w:top w:val="nil"/>
              <w:left w:val="nil"/>
              <w:bottom w:val="single" w:sz="4" w:space="0" w:color="auto"/>
              <w:right w:val="single" w:sz="4" w:space="0" w:color="auto"/>
            </w:tcBorders>
            <w:shd w:val="clear" w:color="auto" w:fill="auto"/>
            <w:noWrap/>
            <w:vAlign w:val="center"/>
            <w:hideMark/>
          </w:tcPr>
          <w:p w14:paraId="519B4930"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1.058</w:t>
            </w:r>
          </w:p>
        </w:tc>
      </w:tr>
      <w:tr w:rsidR="008D5BFE" w:rsidRPr="008E63BB" w14:paraId="519B494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32" w14:textId="77777777" w:rsidR="0074711A" w:rsidRPr="008E63BB" w:rsidRDefault="0074711A" w:rsidP="0065184D">
            <w:pPr>
              <w:jc w:val="right"/>
              <w:rPr>
                <w:rFonts w:eastAsia="Times New Roman"/>
                <w:sz w:val="20"/>
                <w:szCs w:val="20"/>
              </w:rPr>
            </w:pPr>
            <w:r w:rsidRPr="008E63BB">
              <w:rPr>
                <w:rFonts w:eastAsia="Times New Roman"/>
                <w:sz w:val="20"/>
                <w:szCs w:val="20"/>
              </w:rPr>
              <w:t>1</w:t>
            </w:r>
          </w:p>
        </w:tc>
        <w:tc>
          <w:tcPr>
            <w:tcW w:w="2684" w:type="dxa"/>
            <w:tcBorders>
              <w:top w:val="nil"/>
              <w:left w:val="nil"/>
              <w:bottom w:val="single" w:sz="4" w:space="0" w:color="auto"/>
              <w:right w:val="single" w:sz="4" w:space="0" w:color="auto"/>
            </w:tcBorders>
            <w:shd w:val="clear" w:color="auto" w:fill="auto"/>
            <w:noWrap/>
            <w:vAlign w:val="center"/>
            <w:hideMark/>
          </w:tcPr>
          <w:p w14:paraId="519B4933" w14:textId="77777777" w:rsidR="0074711A" w:rsidRPr="008E63BB" w:rsidRDefault="0074711A" w:rsidP="0065184D">
            <w:pPr>
              <w:jc w:val="left"/>
              <w:rPr>
                <w:rFonts w:eastAsia="Times New Roman"/>
                <w:sz w:val="20"/>
                <w:szCs w:val="20"/>
              </w:rPr>
            </w:pPr>
            <w:r w:rsidRPr="008E63BB">
              <w:rPr>
                <w:rFonts w:eastAsia="Times New Roman"/>
                <w:sz w:val="20"/>
                <w:szCs w:val="20"/>
              </w:rPr>
              <w:t>X. Đại An</w:t>
            </w:r>
          </w:p>
        </w:tc>
        <w:tc>
          <w:tcPr>
            <w:tcW w:w="794" w:type="dxa"/>
            <w:tcBorders>
              <w:top w:val="nil"/>
              <w:left w:val="nil"/>
              <w:bottom w:val="single" w:sz="4" w:space="0" w:color="auto"/>
              <w:right w:val="single" w:sz="4" w:space="0" w:color="auto"/>
            </w:tcBorders>
            <w:shd w:val="clear" w:color="auto" w:fill="auto"/>
            <w:noWrap/>
            <w:vAlign w:val="center"/>
            <w:hideMark/>
          </w:tcPr>
          <w:p w14:paraId="519B4934" w14:textId="77777777" w:rsidR="0074711A" w:rsidRPr="008E63BB" w:rsidRDefault="0074711A" w:rsidP="0065184D">
            <w:pPr>
              <w:jc w:val="right"/>
              <w:rPr>
                <w:rFonts w:eastAsia="Times New Roman"/>
                <w:sz w:val="20"/>
                <w:szCs w:val="20"/>
              </w:rPr>
            </w:pPr>
            <w:r w:rsidRPr="008E63BB">
              <w:rPr>
                <w:rFonts w:eastAsia="Times New Roman"/>
                <w:sz w:val="20"/>
                <w:szCs w:val="20"/>
              </w:rPr>
              <w:t>9,81</w:t>
            </w:r>
          </w:p>
        </w:tc>
        <w:tc>
          <w:tcPr>
            <w:tcW w:w="866" w:type="dxa"/>
            <w:tcBorders>
              <w:top w:val="nil"/>
              <w:left w:val="nil"/>
              <w:bottom w:val="single" w:sz="4" w:space="0" w:color="auto"/>
              <w:right w:val="nil"/>
            </w:tcBorders>
            <w:shd w:val="clear" w:color="auto" w:fill="auto"/>
            <w:noWrap/>
            <w:vAlign w:val="center"/>
            <w:hideMark/>
          </w:tcPr>
          <w:p w14:paraId="519B4935" w14:textId="77777777" w:rsidR="0074711A" w:rsidRPr="008E63BB" w:rsidRDefault="0074711A" w:rsidP="0065184D">
            <w:pPr>
              <w:jc w:val="right"/>
              <w:rPr>
                <w:rFonts w:eastAsia="Times New Roman"/>
                <w:sz w:val="20"/>
                <w:szCs w:val="20"/>
              </w:rPr>
            </w:pPr>
            <w:r w:rsidRPr="008E63BB">
              <w:rPr>
                <w:rFonts w:eastAsia="Times New Roman"/>
                <w:sz w:val="20"/>
                <w:szCs w:val="20"/>
              </w:rPr>
              <w:t>1.857</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36" w14:textId="77777777" w:rsidR="0074711A" w:rsidRPr="008E63BB" w:rsidRDefault="0074711A" w:rsidP="0065184D">
            <w:pPr>
              <w:jc w:val="right"/>
              <w:rPr>
                <w:rFonts w:eastAsia="Times New Roman"/>
                <w:sz w:val="20"/>
                <w:szCs w:val="20"/>
              </w:rPr>
            </w:pPr>
            <w:r w:rsidRPr="008E63BB">
              <w:rPr>
                <w:rFonts w:eastAsia="Times New Roman"/>
                <w:sz w:val="20"/>
                <w:szCs w:val="20"/>
              </w:rPr>
              <w:t>1.857</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37" w14:textId="77777777" w:rsidR="0074711A" w:rsidRPr="008E63BB" w:rsidRDefault="0074711A" w:rsidP="0065184D">
            <w:pPr>
              <w:jc w:val="right"/>
              <w:rPr>
                <w:rFonts w:eastAsia="Times New Roman"/>
                <w:sz w:val="20"/>
                <w:szCs w:val="20"/>
              </w:rPr>
            </w:pPr>
            <w:r w:rsidRPr="008E63BB">
              <w:rPr>
                <w:rFonts w:eastAsia="Times New Roman"/>
                <w:sz w:val="20"/>
                <w:szCs w:val="20"/>
              </w:rPr>
              <w:t>7.644</w:t>
            </w:r>
          </w:p>
        </w:tc>
        <w:tc>
          <w:tcPr>
            <w:tcW w:w="866" w:type="dxa"/>
            <w:tcBorders>
              <w:top w:val="nil"/>
              <w:left w:val="nil"/>
              <w:bottom w:val="single" w:sz="4" w:space="0" w:color="auto"/>
              <w:right w:val="single" w:sz="4" w:space="0" w:color="auto"/>
            </w:tcBorders>
            <w:shd w:val="clear" w:color="auto" w:fill="auto"/>
            <w:noWrap/>
            <w:vAlign w:val="center"/>
            <w:hideMark/>
          </w:tcPr>
          <w:p w14:paraId="519B4938" w14:textId="77777777" w:rsidR="0074711A" w:rsidRPr="008E63BB" w:rsidRDefault="0074711A" w:rsidP="0065184D">
            <w:pPr>
              <w:jc w:val="right"/>
              <w:rPr>
                <w:rFonts w:eastAsia="Times New Roman"/>
                <w:sz w:val="20"/>
                <w:szCs w:val="20"/>
              </w:rPr>
            </w:pPr>
            <w:r w:rsidRPr="008E63BB">
              <w:rPr>
                <w:rFonts w:eastAsia="Times New Roman"/>
                <w:sz w:val="20"/>
                <w:szCs w:val="20"/>
              </w:rPr>
              <w:t>7.655</w:t>
            </w:r>
          </w:p>
        </w:tc>
        <w:tc>
          <w:tcPr>
            <w:tcW w:w="866" w:type="dxa"/>
            <w:tcBorders>
              <w:top w:val="nil"/>
              <w:left w:val="nil"/>
              <w:bottom w:val="single" w:sz="4" w:space="0" w:color="auto"/>
              <w:right w:val="single" w:sz="4" w:space="0" w:color="auto"/>
            </w:tcBorders>
            <w:shd w:val="clear" w:color="auto" w:fill="auto"/>
            <w:noWrap/>
            <w:vAlign w:val="center"/>
            <w:hideMark/>
          </w:tcPr>
          <w:p w14:paraId="519B4939" w14:textId="77777777" w:rsidR="0074711A" w:rsidRPr="008E63BB" w:rsidRDefault="0074711A" w:rsidP="0065184D">
            <w:pPr>
              <w:jc w:val="right"/>
              <w:rPr>
                <w:rFonts w:eastAsia="Times New Roman"/>
                <w:sz w:val="20"/>
                <w:szCs w:val="20"/>
              </w:rPr>
            </w:pPr>
            <w:r w:rsidRPr="008E63BB">
              <w:rPr>
                <w:rFonts w:eastAsia="Times New Roman"/>
                <w:sz w:val="20"/>
                <w:szCs w:val="20"/>
              </w:rPr>
              <w:t>7.650</w:t>
            </w:r>
          </w:p>
        </w:tc>
        <w:tc>
          <w:tcPr>
            <w:tcW w:w="866" w:type="dxa"/>
            <w:tcBorders>
              <w:top w:val="nil"/>
              <w:left w:val="nil"/>
              <w:bottom w:val="single" w:sz="4" w:space="0" w:color="auto"/>
              <w:right w:val="single" w:sz="4" w:space="0" w:color="auto"/>
            </w:tcBorders>
            <w:shd w:val="clear" w:color="auto" w:fill="auto"/>
            <w:noWrap/>
            <w:vAlign w:val="center"/>
            <w:hideMark/>
          </w:tcPr>
          <w:p w14:paraId="519B493A" w14:textId="77777777" w:rsidR="0074711A" w:rsidRPr="008E63BB" w:rsidRDefault="0074711A" w:rsidP="0065184D">
            <w:pPr>
              <w:jc w:val="right"/>
              <w:rPr>
                <w:rFonts w:eastAsia="Times New Roman"/>
                <w:sz w:val="20"/>
                <w:szCs w:val="20"/>
              </w:rPr>
            </w:pPr>
            <w:r w:rsidRPr="008E63BB">
              <w:rPr>
                <w:rFonts w:eastAsia="Times New Roman"/>
                <w:sz w:val="20"/>
                <w:szCs w:val="20"/>
              </w:rPr>
              <w:t>7.665</w:t>
            </w:r>
          </w:p>
        </w:tc>
        <w:tc>
          <w:tcPr>
            <w:tcW w:w="866" w:type="dxa"/>
            <w:tcBorders>
              <w:top w:val="nil"/>
              <w:left w:val="nil"/>
              <w:bottom w:val="single" w:sz="4" w:space="0" w:color="auto"/>
              <w:right w:val="single" w:sz="4" w:space="0" w:color="auto"/>
            </w:tcBorders>
            <w:shd w:val="clear" w:color="auto" w:fill="auto"/>
            <w:noWrap/>
            <w:vAlign w:val="center"/>
            <w:hideMark/>
          </w:tcPr>
          <w:p w14:paraId="519B493B" w14:textId="77777777" w:rsidR="0074711A" w:rsidRPr="008E63BB" w:rsidRDefault="0074711A" w:rsidP="0065184D">
            <w:pPr>
              <w:jc w:val="right"/>
              <w:rPr>
                <w:rFonts w:eastAsia="Times New Roman"/>
                <w:sz w:val="20"/>
                <w:szCs w:val="20"/>
              </w:rPr>
            </w:pPr>
            <w:r w:rsidRPr="008E63BB">
              <w:rPr>
                <w:rFonts w:eastAsia="Times New Roman"/>
                <w:sz w:val="20"/>
                <w:szCs w:val="20"/>
              </w:rPr>
              <w:t>7.673</w:t>
            </w:r>
          </w:p>
        </w:tc>
        <w:tc>
          <w:tcPr>
            <w:tcW w:w="866" w:type="dxa"/>
            <w:tcBorders>
              <w:top w:val="nil"/>
              <w:left w:val="nil"/>
              <w:bottom w:val="single" w:sz="4" w:space="0" w:color="auto"/>
              <w:right w:val="single" w:sz="4" w:space="0" w:color="auto"/>
            </w:tcBorders>
            <w:shd w:val="clear" w:color="auto" w:fill="auto"/>
            <w:noWrap/>
            <w:vAlign w:val="center"/>
            <w:hideMark/>
          </w:tcPr>
          <w:p w14:paraId="519B493C" w14:textId="77777777" w:rsidR="0074711A" w:rsidRPr="008E63BB" w:rsidRDefault="0074711A" w:rsidP="0065184D">
            <w:pPr>
              <w:jc w:val="right"/>
              <w:rPr>
                <w:rFonts w:eastAsia="Times New Roman"/>
                <w:sz w:val="20"/>
                <w:szCs w:val="20"/>
              </w:rPr>
            </w:pPr>
            <w:r w:rsidRPr="008E63BB">
              <w:rPr>
                <w:rFonts w:eastAsia="Times New Roman"/>
                <w:sz w:val="20"/>
                <w:szCs w:val="20"/>
              </w:rPr>
              <w:t>7.682</w:t>
            </w:r>
          </w:p>
        </w:tc>
        <w:tc>
          <w:tcPr>
            <w:tcW w:w="866" w:type="dxa"/>
            <w:tcBorders>
              <w:top w:val="nil"/>
              <w:left w:val="nil"/>
              <w:bottom w:val="single" w:sz="4" w:space="0" w:color="auto"/>
              <w:right w:val="single" w:sz="4" w:space="0" w:color="auto"/>
            </w:tcBorders>
            <w:shd w:val="clear" w:color="auto" w:fill="auto"/>
            <w:noWrap/>
            <w:vAlign w:val="center"/>
            <w:hideMark/>
          </w:tcPr>
          <w:p w14:paraId="519B493D" w14:textId="77777777" w:rsidR="0074711A" w:rsidRPr="008E63BB" w:rsidRDefault="0074711A" w:rsidP="0065184D">
            <w:pPr>
              <w:jc w:val="right"/>
              <w:rPr>
                <w:rFonts w:eastAsia="Times New Roman"/>
                <w:sz w:val="20"/>
                <w:szCs w:val="20"/>
              </w:rPr>
            </w:pPr>
            <w:r w:rsidRPr="008E63BB">
              <w:rPr>
                <w:rFonts w:eastAsia="Times New Roman"/>
                <w:sz w:val="20"/>
                <w:szCs w:val="20"/>
              </w:rPr>
              <w:t>7.695</w:t>
            </w:r>
          </w:p>
        </w:tc>
        <w:tc>
          <w:tcPr>
            <w:tcW w:w="866" w:type="dxa"/>
            <w:tcBorders>
              <w:top w:val="nil"/>
              <w:left w:val="nil"/>
              <w:bottom w:val="single" w:sz="4" w:space="0" w:color="auto"/>
              <w:right w:val="single" w:sz="4" w:space="0" w:color="auto"/>
            </w:tcBorders>
            <w:shd w:val="clear" w:color="auto" w:fill="auto"/>
            <w:noWrap/>
            <w:vAlign w:val="center"/>
            <w:hideMark/>
          </w:tcPr>
          <w:p w14:paraId="519B493E" w14:textId="77777777" w:rsidR="0074711A" w:rsidRPr="008E63BB" w:rsidRDefault="0074711A" w:rsidP="0065184D">
            <w:pPr>
              <w:jc w:val="right"/>
              <w:rPr>
                <w:rFonts w:eastAsia="Times New Roman"/>
                <w:sz w:val="20"/>
                <w:szCs w:val="20"/>
              </w:rPr>
            </w:pPr>
            <w:r w:rsidRPr="008E63BB">
              <w:rPr>
                <w:rFonts w:eastAsia="Times New Roman"/>
                <w:sz w:val="20"/>
                <w:szCs w:val="20"/>
              </w:rPr>
              <w:t>7.694</w:t>
            </w:r>
          </w:p>
        </w:tc>
        <w:tc>
          <w:tcPr>
            <w:tcW w:w="866" w:type="dxa"/>
            <w:tcBorders>
              <w:top w:val="nil"/>
              <w:left w:val="nil"/>
              <w:bottom w:val="single" w:sz="4" w:space="0" w:color="auto"/>
              <w:right w:val="single" w:sz="4" w:space="0" w:color="auto"/>
            </w:tcBorders>
            <w:shd w:val="clear" w:color="auto" w:fill="auto"/>
            <w:noWrap/>
            <w:vAlign w:val="center"/>
            <w:hideMark/>
          </w:tcPr>
          <w:p w14:paraId="519B493F" w14:textId="77777777" w:rsidR="0074711A" w:rsidRPr="008E63BB" w:rsidRDefault="0074711A" w:rsidP="0065184D">
            <w:pPr>
              <w:jc w:val="right"/>
              <w:rPr>
                <w:rFonts w:eastAsia="Times New Roman"/>
                <w:sz w:val="20"/>
                <w:szCs w:val="20"/>
              </w:rPr>
            </w:pPr>
            <w:r w:rsidRPr="008E63BB">
              <w:rPr>
                <w:rFonts w:eastAsia="Times New Roman"/>
                <w:sz w:val="20"/>
                <w:szCs w:val="20"/>
              </w:rPr>
              <w:t>7.696</w:t>
            </w:r>
          </w:p>
        </w:tc>
        <w:tc>
          <w:tcPr>
            <w:tcW w:w="994" w:type="dxa"/>
            <w:tcBorders>
              <w:top w:val="nil"/>
              <w:left w:val="nil"/>
              <w:bottom w:val="single" w:sz="4" w:space="0" w:color="auto"/>
              <w:right w:val="single" w:sz="4" w:space="0" w:color="auto"/>
            </w:tcBorders>
            <w:shd w:val="clear" w:color="auto" w:fill="auto"/>
            <w:noWrap/>
            <w:vAlign w:val="center"/>
            <w:hideMark/>
          </w:tcPr>
          <w:p w14:paraId="519B4940" w14:textId="77777777" w:rsidR="0074711A" w:rsidRPr="008E63BB" w:rsidRDefault="0074711A" w:rsidP="0065184D">
            <w:pPr>
              <w:jc w:val="right"/>
              <w:rPr>
                <w:rFonts w:eastAsia="Times New Roman"/>
                <w:sz w:val="20"/>
                <w:szCs w:val="20"/>
              </w:rPr>
            </w:pPr>
            <w:r w:rsidRPr="008E63BB">
              <w:rPr>
                <w:rFonts w:eastAsia="Times New Roman"/>
                <w:sz w:val="20"/>
                <w:szCs w:val="20"/>
              </w:rPr>
              <w:t>785</w:t>
            </w:r>
          </w:p>
        </w:tc>
      </w:tr>
      <w:tr w:rsidR="008D5BFE" w:rsidRPr="008E63BB" w14:paraId="519B495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42" w14:textId="77777777" w:rsidR="0074711A" w:rsidRPr="008E63BB" w:rsidRDefault="0074711A" w:rsidP="0065184D">
            <w:pPr>
              <w:jc w:val="right"/>
              <w:rPr>
                <w:rFonts w:eastAsia="Times New Roman"/>
                <w:sz w:val="20"/>
                <w:szCs w:val="20"/>
              </w:rPr>
            </w:pPr>
            <w:r w:rsidRPr="008E63BB">
              <w:rPr>
                <w:rFonts w:eastAsia="Times New Roman"/>
                <w:sz w:val="20"/>
                <w:szCs w:val="20"/>
              </w:rPr>
              <w:t>2</w:t>
            </w:r>
          </w:p>
        </w:tc>
        <w:tc>
          <w:tcPr>
            <w:tcW w:w="2684" w:type="dxa"/>
            <w:tcBorders>
              <w:top w:val="nil"/>
              <w:left w:val="nil"/>
              <w:bottom w:val="single" w:sz="4" w:space="0" w:color="auto"/>
              <w:right w:val="single" w:sz="4" w:space="0" w:color="auto"/>
            </w:tcBorders>
            <w:shd w:val="clear" w:color="auto" w:fill="auto"/>
            <w:noWrap/>
            <w:vAlign w:val="center"/>
            <w:hideMark/>
          </w:tcPr>
          <w:p w14:paraId="519B4943" w14:textId="77777777" w:rsidR="0074711A" w:rsidRPr="008E63BB" w:rsidRDefault="0074711A" w:rsidP="0065184D">
            <w:pPr>
              <w:jc w:val="left"/>
              <w:rPr>
                <w:rFonts w:eastAsia="Times New Roman"/>
                <w:sz w:val="20"/>
                <w:szCs w:val="20"/>
              </w:rPr>
            </w:pPr>
            <w:r w:rsidRPr="008E63BB">
              <w:rPr>
                <w:rFonts w:eastAsia="Times New Roman"/>
                <w:sz w:val="20"/>
                <w:szCs w:val="20"/>
              </w:rPr>
              <w:t>X. Thành Lợi</w:t>
            </w:r>
          </w:p>
        </w:tc>
        <w:tc>
          <w:tcPr>
            <w:tcW w:w="794" w:type="dxa"/>
            <w:tcBorders>
              <w:top w:val="nil"/>
              <w:left w:val="nil"/>
              <w:bottom w:val="single" w:sz="4" w:space="0" w:color="auto"/>
              <w:right w:val="single" w:sz="4" w:space="0" w:color="auto"/>
            </w:tcBorders>
            <w:shd w:val="clear" w:color="auto" w:fill="auto"/>
            <w:noWrap/>
            <w:vAlign w:val="center"/>
            <w:hideMark/>
          </w:tcPr>
          <w:p w14:paraId="519B4944" w14:textId="77777777" w:rsidR="0074711A" w:rsidRPr="008E63BB" w:rsidRDefault="0074711A" w:rsidP="0065184D">
            <w:pPr>
              <w:jc w:val="right"/>
              <w:rPr>
                <w:rFonts w:eastAsia="Times New Roman"/>
                <w:sz w:val="20"/>
                <w:szCs w:val="20"/>
              </w:rPr>
            </w:pPr>
            <w:r w:rsidRPr="008E63BB">
              <w:rPr>
                <w:rFonts w:eastAsia="Times New Roman"/>
                <w:sz w:val="20"/>
                <w:szCs w:val="20"/>
              </w:rPr>
              <w:t>4,27</w:t>
            </w:r>
          </w:p>
        </w:tc>
        <w:tc>
          <w:tcPr>
            <w:tcW w:w="866" w:type="dxa"/>
            <w:tcBorders>
              <w:top w:val="nil"/>
              <w:left w:val="nil"/>
              <w:bottom w:val="single" w:sz="4" w:space="0" w:color="auto"/>
              <w:right w:val="nil"/>
            </w:tcBorders>
            <w:shd w:val="clear" w:color="auto" w:fill="auto"/>
            <w:noWrap/>
            <w:vAlign w:val="center"/>
            <w:hideMark/>
          </w:tcPr>
          <w:p w14:paraId="519B4945" w14:textId="77777777" w:rsidR="0074711A" w:rsidRPr="008E63BB" w:rsidRDefault="0074711A" w:rsidP="0065184D">
            <w:pPr>
              <w:jc w:val="right"/>
              <w:rPr>
                <w:rFonts w:eastAsia="Times New Roman"/>
                <w:sz w:val="20"/>
                <w:szCs w:val="20"/>
              </w:rPr>
            </w:pPr>
            <w:r w:rsidRPr="008E63BB">
              <w:rPr>
                <w:rFonts w:eastAsia="Times New Roman"/>
                <w:sz w:val="20"/>
                <w:szCs w:val="20"/>
              </w:rPr>
              <w:t>3.710</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46" w14:textId="77777777" w:rsidR="0074711A" w:rsidRPr="008E63BB" w:rsidRDefault="0074711A" w:rsidP="0065184D">
            <w:pPr>
              <w:jc w:val="right"/>
              <w:rPr>
                <w:rFonts w:eastAsia="Times New Roman"/>
                <w:sz w:val="20"/>
                <w:szCs w:val="20"/>
              </w:rPr>
            </w:pPr>
            <w:r w:rsidRPr="008E63BB">
              <w:rPr>
                <w:rFonts w:eastAsia="Times New Roman"/>
                <w:sz w:val="20"/>
                <w:szCs w:val="20"/>
              </w:rPr>
              <w:t>3.710</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47" w14:textId="77777777" w:rsidR="0074711A" w:rsidRPr="008E63BB" w:rsidRDefault="0074711A" w:rsidP="0065184D">
            <w:pPr>
              <w:jc w:val="right"/>
              <w:rPr>
                <w:rFonts w:eastAsia="Times New Roman"/>
                <w:sz w:val="20"/>
                <w:szCs w:val="20"/>
              </w:rPr>
            </w:pPr>
            <w:r w:rsidRPr="008E63BB">
              <w:rPr>
                <w:rFonts w:eastAsia="Times New Roman"/>
                <w:sz w:val="20"/>
                <w:szCs w:val="20"/>
              </w:rPr>
              <w:t>15.572</w:t>
            </w:r>
          </w:p>
        </w:tc>
        <w:tc>
          <w:tcPr>
            <w:tcW w:w="866" w:type="dxa"/>
            <w:tcBorders>
              <w:top w:val="nil"/>
              <w:left w:val="nil"/>
              <w:bottom w:val="single" w:sz="4" w:space="0" w:color="auto"/>
              <w:right w:val="single" w:sz="4" w:space="0" w:color="auto"/>
            </w:tcBorders>
            <w:shd w:val="clear" w:color="auto" w:fill="auto"/>
            <w:noWrap/>
            <w:vAlign w:val="center"/>
            <w:hideMark/>
          </w:tcPr>
          <w:p w14:paraId="519B4948" w14:textId="77777777" w:rsidR="0074711A" w:rsidRPr="008E63BB" w:rsidRDefault="0074711A" w:rsidP="0065184D">
            <w:pPr>
              <w:jc w:val="right"/>
              <w:rPr>
                <w:rFonts w:eastAsia="Times New Roman"/>
                <w:sz w:val="20"/>
                <w:szCs w:val="20"/>
              </w:rPr>
            </w:pPr>
            <w:r w:rsidRPr="008E63BB">
              <w:rPr>
                <w:rFonts w:eastAsia="Times New Roman"/>
                <w:sz w:val="20"/>
                <w:szCs w:val="20"/>
              </w:rPr>
              <w:t>15.550</w:t>
            </w:r>
          </w:p>
        </w:tc>
        <w:tc>
          <w:tcPr>
            <w:tcW w:w="866" w:type="dxa"/>
            <w:tcBorders>
              <w:top w:val="nil"/>
              <w:left w:val="nil"/>
              <w:bottom w:val="single" w:sz="4" w:space="0" w:color="auto"/>
              <w:right w:val="single" w:sz="4" w:space="0" w:color="auto"/>
            </w:tcBorders>
            <w:shd w:val="clear" w:color="auto" w:fill="auto"/>
            <w:noWrap/>
            <w:vAlign w:val="center"/>
            <w:hideMark/>
          </w:tcPr>
          <w:p w14:paraId="519B4949" w14:textId="77777777" w:rsidR="0074711A" w:rsidRPr="008E63BB" w:rsidRDefault="0074711A" w:rsidP="0065184D">
            <w:pPr>
              <w:jc w:val="right"/>
              <w:rPr>
                <w:rFonts w:eastAsia="Times New Roman"/>
                <w:sz w:val="20"/>
                <w:szCs w:val="20"/>
              </w:rPr>
            </w:pPr>
            <w:r w:rsidRPr="008E63BB">
              <w:rPr>
                <w:rFonts w:eastAsia="Times New Roman"/>
                <w:sz w:val="20"/>
                <w:szCs w:val="20"/>
              </w:rPr>
              <w:t>15.585</w:t>
            </w:r>
          </w:p>
        </w:tc>
        <w:tc>
          <w:tcPr>
            <w:tcW w:w="866" w:type="dxa"/>
            <w:tcBorders>
              <w:top w:val="nil"/>
              <w:left w:val="nil"/>
              <w:bottom w:val="single" w:sz="4" w:space="0" w:color="auto"/>
              <w:right w:val="single" w:sz="4" w:space="0" w:color="auto"/>
            </w:tcBorders>
            <w:shd w:val="clear" w:color="auto" w:fill="auto"/>
            <w:noWrap/>
            <w:vAlign w:val="center"/>
            <w:hideMark/>
          </w:tcPr>
          <w:p w14:paraId="519B494A" w14:textId="77777777" w:rsidR="0074711A" w:rsidRPr="008E63BB" w:rsidRDefault="0074711A" w:rsidP="0065184D">
            <w:pPr>
              <w:jc w:val="right"/>
              <w:rPr>
                <w:rFonts w:eastAsia="Times New Roman"/>
                <w:sz w:val="20"/>
                <w:szCs w:val="20"/>
              </w:rPr>
            </w:pPr>
            <w:r w:rsidRPr="008E63BB">
              <w:rPr>
                <w:rFonts w:eastAsia="Times New Roman"/>
                <w:sz w:val="20"/>
                <w:szCs w:val="20"/>
              </w:rPr>
              <w:t>15.559</w:t>
            </w:r>
          </w:p>
        </w:tc>
        <w:tc>
          <w:tcPr>
            <w:tcW w:w="866" w:type="dxa"/>
            <w:tcBorders>
              <w:top w:val="nil"/>
              <w:left w:val="nil"/>
              <w:bottom w:val="single" w:sz="4" w:space="0" w:color="auto"/>
              <w:right w:val="single" w:sz="4" w:space="0" w:color="auto"/>
            </w:tcBorders>
            <w:shd w:val="clear" w:color="auto" w:fill="auto"/>
            <w:noWrap/>
            <w:vAlign w:val="center"/>
            <w:hideMark/>
          </w:tcPr>
          <w:p w14:paraId="519B494B" w14:textId="77777777" w:rsidR="0074711A" w:rsidRPr="008E63BB" w:rsidRDefault="0074711A" w:rsidP="0065184D">
            <w:pPr>
              <w:jc w:val="right"/>
              <w:rPr>
                <w:rFonts w:eastAsia="Times New Roman"/>
                <w:sz w:val="20"/>
                <w:szCs w:val="20"/>
              </w:rPr>
            </w:pPr>
            <w:r w:rsidRPr="008E63BB">
              <w:rPr>
                <w:rFonts w:eastAsia="Times New Roman"/>
                <w:sz w:val="20"/>
                <w:szCs w:val="20"/>
              </w:rPr>
              <w:t>15.580</w:t>
            </w:r>
          </w:p>
        </w:tc>
        <w:tc>
          <w:tcPr>
            <w:tcW w:w="866" w:type="dxa"/>
            <w:tcBorders>
              <w:top w:val="nil"/>
              <w:left w:val="nil"/>
              <w:bottom w:val="single" w:sz="4" w:space="0" w:color="auto"/>
              <w:right w:val="single" w:sz="4" w:space="0" w:color="auto"/>
            </w:tcBorders>
            <w:shd w:val="clear" w:color="auto" w:fill="auto"/>
            <w:noWrap/>
            <w:vAlign w:val="center"/>
            <w:hideMark/>
          </w:tcPr>
          <w:p w14:paraId="519B494C" w14:textId="77777777" w:rsidR="0074711A" w:rsidRPr="008E63BB" w:rsidRDefault="0074711A" w:rsidP="0065184D">
            <w:pPr>
              <w:jc w:val="right"/>
              <w:rPr>
                <w:rFonts w:eastAsia="Times New Roman"/>
                <w:sz w:val="20"/>
                <w:szCs w:val="20"/>
              </w:rPr>
            </w:pPr>
            <w:r w:rsidRPr="008E63BB">
              <w:rPr>
                <w:rFonts w:eastAsia="Times New Roman"/>
                <w:sz w:val="20"/>
                <w:szCs w:val="20"/>
              </w:rPr>
              <w:t>15.570</w:t>
            </w:r>
          </w:p>
        </w:tc>
        <w:tc>
          <w:tcPr>
            <w:tcW w:w="866" w:type="dxa"/>
            <w:tcBorders>
              <w:top w:val="nil"/>
              <w:left w:val="nil"/>
              <w:bottom w:val="single" w:sz="4" w:space="0" w:color="auto"/>
              <w:right w:val="single" w:sz="4" w:space="0" w:color="auto"/>
            </w:tcBorders>
            <w:shd w:val="clear" w:color="auto" w:fill="auto"/>
            <w:noWrap/>
            <w:vAlign w:val="center"/>
            <w:hideMark/>
          </w:tcPr>
          <w:p w14:paraId="519B494D" w14:textId="77777777" w:rsidR="0074711A" w:rsidRPr="008E63BB" w:rsidRDefault="0074711A" w:rsidP="0065184D">
            <w:pPr>
              <w:jc w:val="right"/>
              <w:rPr>
                <w:rFonts w:eastAsia="Times New Roman"/>
                <w:sz w:val="20"/>
                <w:szCs w:val="20"/>
              </w:rPr>
            </w:pPr>
            <w:r w:rsidRPr="008E63BB">
              <w:rPr>
                <w:rFonts w:eastAsia="Times New Roman"/>
                <w:sz w:val="20"/>
                <w:szCs w:val="20"/>
              </w:rPr>
              <w:t>15.590</w:t>
            </w:r>
          </w:p>
        </w:tc>
        <w:tc>
          <w:tcPr>
            <w:tcW w:w="866" w:type="dxa"/>
            <w:tcBorders>
              <w:top w:val="nil"/>
              <w:left w:val="nil"/>
              <w:bottom w:val="single" w:sz="4" w:space="0" w:color="auto"/>
              <w:right w:val="single" w:sz="4" w:space="0" w:color="auto"/>
            </w:tcBorders>
            <w:shd w:val="clear" w:color="auto" w:fill="auto"/>
            <w:noWrap/>
            <w:vAlign w:val="center"/>
            <w:hideMark/>
          </w:tcPr>
          <w:p w14:paraId="519B494E" w14:textId="77777777" w:rsidR="0074711A" w:rsidRPr="008E63BB" w:rsidRDefault="0074711A" w:rsidP="0065184D">
            <w:pPr>
              <w:jc w:val="right"/>
              <w:rPr>
                <w:rFonts w:eastAsia="Times New Roman"/>
                <w:sz w:val="20"/>
                <w:szCs w:val="20"/>
              </w:rPr>
            </w:pPr>
            <w:r w:rsidRPr="008E63BB">
              <w:rPr>
                <w:rFonts w:eastAsia="Times New Roman"/>
                <w:sz w:val="20"/>
                <w:szCs w:val="20"/>
              </w:rPr>
              <w:t>15.602</w:t>
            </w:r>
          </w:p>
        </w:tc>
        <w:tc>
          <w:tcPr>
            <w:tcW w:w="866" w:type="dxa"/>
            <w:tcBorders>
              <w:top w:val="nil"/>
              <w:left w:val="nil"/>
              <w:bottom w:val="single" w:sz="4" w:space="0" w:color="auto"/>
              <w:right w:val="single" w:sz="4" w:space="0" w:color="auto"/>
            </w:tcBorders>
            <w:shd w:val="clear" w:color="auto" w:fill="auto"/>
            <w:noWrap/>
            <w:vAlign w:val="center"/>
            <w:hideMark/>
          </w:tcPr>
          <w:p w14:paraId="519B494F" w14:textId="77777777" w:rsidR="0074711A" w:rsidRPr="008E63BB" w:rsidRDefault="0074711A" w:rsidP="0065184D">
            <w:pPr>
              <w:jc w:val="right"/>
              <w:rPr>
                <w:rFonts w:eastAsia="Times New Roman"/>
                <w:sz w:val="20"/>
                <w:szCs w:val="20"/>
              </w:rPr>
            </w:pPr>
            <w:r w:rsidRPr="008E63BB">
              <w:rPr>
                <w:rFonts w:eastAsia="Times New Roman"/>
                <w:sz w:val="20"/>
                <w:szCs w:val="20"/>
              </w:rPr>
              <w:t>15.625</w:t>
            </w:r>
          </w:p>
        </w:tc>
        <w:tc>
          <w:tcPr>
            <w:tcW w:w="994" w:type="dxa"/>
            <w:tcBorders>
              <w:top w:val="nil"/>
              <w:left w:val="nil"/>
              <w:bottom w:val="single" w:sz="4" w:space="0" w:color="auto"/>
              <w:right w:val="single" w:sz="4" w:space="0" w:color="auto"/>
            </w:tcBorders>
            <w:shd w:val="clear" w:color="auto" w:fill="auto"/>
            <w:noWrap/>
            <w:vAlign w:val="center"/>
            <w:hideMark/>
          </w:tcPr>
          <w:p w14:paraId="519B4950" w14:textId="77777777" w:rsidR="0074711A" w:rsidRPr="008E63BB" w:rsidRDefault="0074711A" w:rsidP="0065184D">
            <w:pPr>
              <w:jc w:val="right"/>
              <w:rPr>
                <w:rFonts w:eastAsia="Times New Roman"/>
                <w:sz w:val="20"/>
                <w:szCs w:val="20"/>
              </w:rPr>
            </w:pPr>
            <w:r w:rsidRPr="008E63BB">
              <w:rPr>
                <w:rFonts w:eastAsia="Times New Roman"/>
                <w:sz w:val="20"/>
                <w:szCs w:val="20"/>
              </w:rPr>
              <w:t>3.659</w:t>
            </w:r>
          </w:p>
        </w:tc>
      </w:tr>
      <w:tr w:rsidR="008D5BFE" w:rsidRPr="008E63BB" w14:paraId="519B496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52" w14:textId="77777777" w:rsidR="0074711A" w:rsidRPr="008E63BB" w:rsidRDefault="0074711A" w:rsidP="0065184D">
            <w:pPr>
              <w:jc w:val="right"/>
              <w:rPr>
                <w:rFonts w:eastAsia="Times New Roman"/>
                <w:sz w:val="20"/>
                <w:szCs w:val="20"/>
              </w:rPr>
            </w:pPr>
            <w:r w:rsidRPr="008E63BB">
              <w:rPr>
                <w:rFonts w:eastAsia="Times New Roman"/>
                <w:sz w:val="20"/>
                <w:szCs w:val="20"/>
              </w:rPr>
              <w:lastRenderedPageBreak/>
              <w:t>3</w:t>
            </w:r>
          </w:p>
        </w:tc>
        <w:tc>
          <w:tcPr>
            <w:tcW w:w="2684" w:type="dxa"/>
            <w:tcBorders>
              <w:top w:val="nil"/>
              <w:left w:val="nil"/>
              <w:bottom w:val="single" w:sz="4" w:space="0" w:color="auto"/>
              <w:right w:val="single" w:sz="4" w:space="0" w:color="auto"/>
            </w:tcBorders>
            <w:shd w:val="clear" w:color="auto" w:fill="auto"/>
            <w:noWrap/>
            <w:vAlign w:val="center"/>
            <w:hideMark/>
          </w:tcPr>
          <w:p w14:paraId="519B4953" w14:textId="77777777" w:rsidR="0074711A" w:rsidRPr="008E63BB" w:rsidRDefault="0074711A" w:rsidP="0065184D">
            <w:pPr>
              <w:jc w:val="left"/>
              <w:rPr>
                <w:rFonts w:eastAsia="Times New Roman"/>
                <w:sz w:val="20"/>
                <w:szCs w:val="20"/>
              </w:rPr>
            </w:pPr>
            <w:r w:rsidRPr="008E63BB">
              <w:rPr>
                <w:rFonts w:eastAsia="Times New Roman"/>
                <w:sz w:val="20"/>
                <w:szCs w:val="20"/>
              </w:rPr>
              <w:t>X. Tân Thành</w:t>
            </w:r>
          </w:p>
        </w:tc>
        <w:tc>
          <w:tcPr>
            <w:tcW w:w="794" w:type="dxa"/>
            <w:tcBorders>
              <w:top w:val="nil"/>
              <w:left w:val="nil"/>
              <w:bottom w:val="single" w:sz="4" w:space="0" w:color="auto"/>
              <w:right w:val="single" w:sz="4" w:space="0" w:color="auto"/>
            </w:tcBorders>
            <w:shd w:val="clear" w:color="auto" w:fill="auto"/>
            <w:noWrap/>
            <w:vAlign w:val="center"/>
            <w:hideMark/>
          </w:tcPr>
          <w:p w14:paraId="519B4954" w14:textId="77777777" w:rsidR="0074711A" w:rsidRPr="008E63BB" w:rsidRDefault="0074711A" w:rsidP="0065184D">
            <w:pPr>
              <w:jc w:val="right"/>
              <w:rPr>
                <w:rFonts w:eastAsia="Times New Roman"/>
                <w:sz w:val="20"/>
                <w:szCs w:val="20"/>
              </w:rPr>
            </w:pPr>
            <w:r w:rsidRPr="008E63BB">
              <w:rPr>
                <w:rFonts w:eastAsia="Times New Roman"/>
                <w:sz w:val="20"/>
                <w:szCs w:val="20"/>
              </w:rPr>
              <w:t>12,40</w:t>
            </w:r>
          </w:p>
        </w:tc>
        <w:tc>
          <w:tcPr>
            <w:tcW w:w="866" w:type="dxa"/>
            <w:tcBorders>
              <w:top w:val="nil"/>
              <w:left w:val="nil"/>
              <w:bottom w:val="single" w:sz="4" w:space="0" w:color="auto"/>
              <w:right w:val="nil"/>
            </w:tcBorders>
            <w:shd w:val="clear" w:color="auto" w:fill="auto"/>
            <w:noWrap/>
            <w:vAlign w:val="center"/>
            <w:hideMark/>
          </w:tcPr>
          <w:p w14:paraId="519B4955" w14:textId="77777777" w:rsidR="0074711A" w:rsidRPr="008E63BB" w:rsidRDefault="0074711A" w:rsidP="0065184D">
            <w:pPr>
              <w:jc w:val="right"/>
              <w:rPr>
                <w:rFonts w:eastAsia="Times New Roman"/>
                <w:sz w:val="20"/>
                <w:szCs w:val="20"/>
              </w:rPr>
            </w:pPr>
            <w:r w:rsidRPr="008E63BB">
              <w:rPr>
                <w:rFonts w:eastAsia="Times New Roman"/>
                <w:sz w:val="20"/>
                <w:szCs w:val="20"/>
              </w:rPr>
              <w:t>3.858</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56" w14:textId="77777777" w:rsidR="0074711A" w:rsidRPr="008E63BB" w:rsidRDefault="0074711A" w:rsidP="0065184D">
            <w:pPr>
              <w:jc w:val="right"/>
              <w:rPr>
                <w:rFonts w:eastAsia="Times New Roman"/>
                <w:sz w:val="20"/>
                <w:szCs w:val="20"/>
              </w:rPr>
            </w:pPr>
            <w:r w:rsidRPr="008E63BB">
              <w:rPr>
                <w:rFonts w:eastAsia="Times New Roman"/>
                <w:sz w:val="20"/>
                <w:szCs w:val="20"/>
              </w:rPr>
              <w:t>3.858</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57" w14:textId="77777777" w:rsidR="0074711A" w:rsidRPr="008E63BB" w:rsidRDefault="0074711A" w:rsidP="0065184D">
            <w:pPr>
              <w:jc w:val="right"/>
              <w:rPr>
                <w:rFonts w:eastAsia="Times New Roman"/>
                <w:sz w:val="20"/>
                <w:szCs w:val="20"/>
              </w:rPr>
            </w:pPr>
            <w:r w:rsidRPr="008E63BB">
              <w:rPr>
                <w:rFonts w:eastAsia="Times New Roman"/>
                <w:sz w:val="20"/>
                <w:szCs w:val="20"/>
              </w:rPr>
              <w:t>4.681</w:t>
            </w:r>
          </w:p>
        </w:tc>
        <w:tc>
          <w:tcPr>
            <w:tcW w:w="866" w:type="dxa"/>
            <w:tcBorders>
              <w:top w:val="nil"/>
              <w:left w:val="nil"/>
              <w:bottom w:val="single" w:sz="4" w:space="0" w:color="auto"/>
              <w:right w:val="single" w:sz="4" w:space="0" w:color="auto"/>
            </w:tcBorders>
            <w:shd w:val="clear" w:color="auto" w:fill="auto"/>
            <w:noWrap/>
            <w:vAlign w:val="center"/>
            <w:hideMark/>
          </w:tcPr>
          <w:p w14:paraId="519B4958" w14:textId="77777777" w:rsidR="0074711A" w:rsidRPr="008E63BB" w:rsidRDefault="0074711A" w:rsidP="0065184D">
            <w:pPr>
              <w:jc w:val="right"/>
              <w:rPr>
                <w:rFonts w:eastAsia="Times New Roman"/>
                <w:sz w:val="20"/>
                <w:szCs w:val="20"/>
              </w:rPr>
            </w:pPr>
            <w:r w:rsidRPr="008E63BB">
              <w:rPr>
                <w:rFonts w:eastAsia="Times New Roman"/>
                <w:sz w:val="20"/>
                <w:szCs w:val="20"/>
              </w:rPr>
              <w:t>4.666</w:t>
            </w:r>
          </w:p>
        </w:tc>
        <w:tc>
          <w:tcPr>
            <w:tcW w:w="866" w:type="dxa"/>
            <w:tcBorders>
              <w:top w:val="nil"/>
              <w:left w:val="nil"/>
              <w:bottom w:val="single" w:sz="4" w:space="0" w:color="auto"/>
              <w:right w:val="single" w:sz="4" w:space="0" w:color="auto"/>
            </w:tcBorders>
            <w:shd w:val="clear" w:color="auto" w:fill="auto"/>
            <w:noWrap/>
            <w:vAlign w:val="center"/>
            <w:hideMark/>
          </w:tcPr>
          <w:p w14:paraId="519B4959" w14:textId="77777777" w:rsidR="0074711A" w:rsidRPr="008E63BB" w:rsidRDefault="0074711A" w:rsidP="0065184D">
            <w:pPr>
              <w:jc w:val="right"/>
              <w:rPr>
                <w:rFonts w:eastAsia="Times New Roman"/>
                <w:sz w:val="20"/>
                <w:szCs w:val="20"/>
              </w:rPr>
            </w:pPr>
            <w:r w:rsidRPr="008E63BB">
              <w:rPr>
                <w:rFonts w:eastAsia="Times New Roman"/>
                <w:sz w:val="20"/>
                <w:szCs w:val="20"/>
              </w:rPr>
              <w:t>4.660</w:t>
            </w:r>
          </w:p>
        </w:tc>
        <w:tc>
          <w:tcPr>
            <w:tcW w:w="866" w:type="dxa"/>
            <w:tcBorders>
              <w:top w:val="nil"/>
              <w:left w:val="nil"/>
              <w:bottom w:val="single" w:sz="4" w:space="0" w:color="auto"/>
              <w:right w:val="single" w:sz="4" w:space="0" w:color="auto"/>
            </w:tcBorders>
            <w:shd w:val="clear" w:color="auto" w:fill="auto"/>
            <w:noWrap/>
            <w:vAlign w:val="center"/>
            <w:hideMark/>
          </w:tcPr>
          <w:p w14:paraId="519B495A" w14:textId="77777777" w:rsidR="0074711A" w:rsidRPr="008E63BB" w:rsidRDefault="0074711A" w:rsidP="0065184D">
            <w:pPr>
              <w:jc w:val="right"/>
              <w:rPr>
                <w:rFonts w:eastAsia="Times New Roman"/>
                <w:sz w:val="20"/>
                <w:szCs w:val="20"/>
              </w:rPr>
            </w:pPr>
            <w:r w:rsidRPr="008E63BB">
              <w:rPr>
                <w:rFonts w:eastAsia="Times New Roman"/>
                <w:sz w:val="20"/>
                <w:szCs w:val="20"/>
              </w:rPr>
              <w:t>4.670</w:t>
            </w:r>
          </w:p>
        </w:tc>
        <w:tc>
          <w:tcPr>
            <w:tcW w:w="866" w:type="dxa"/>
            <w:tcBorders>
              <w:top w:val="nil"/>
              <w:left w:val="nil"/>
              <w:bottom w:val="single" w:sz="4" w:space="0" w:color="auto"/>
              <w:right w:val="single" w:sz="4" w:space="0" w:color="auto"/>
            </w:tcBorders>
            <w:shd w:val="clear" w:color="auto" w:fill="auto"/>
            <w:noWrap/>
            <w:vAlign w:val="center"/>
            <w:hideMark/>
          </w:tcPr>
          <w:p w14:paraId="519B495B" w14:textId="77777777" w:rsidR="0074711A" w:rsidRPr="008E63BB" w:rsidRDefault="0074711A" w:rsidP="0065184D">
            <w:pPr>
              <w:jc w:val="right"/>
              <w:rPr>
                <w:rFonts w:eastAsia="Times New Roman"/>
                <w:sz w:val="20"/>
                <w:szCs w:val="20"/>
              </w:rPr>
            </w:pPr>
            <w:r w:rsidRPr="008E63BB">
              <w:rPr>
                <w:rFonts w:eastAsia="Times New Roman"/>
                <w:sz w:val="20"/>
                <w:szCs w:val="20"/>
              </w:rPr>
              <w:t>4.673</w:t>
            </w:r>
          </w:p>
        </w:tc>
        <w:tc>
          <w:tcPr>
            <w:tcW w:w="866" w:type="dxa"/>
            <w:tcBorders>
              <w:top w:val="nil"/>
              <w:left w:val="nil"/>
              <w:bottom w:val="single" w:sz="4" w:space="0" w:color="auto"/>
              <w:right w:val="single" w:sz="4" w:space="0" w:color="auto"/>
            </w:tcBorders>
            <w:shd w:val="clear" w:color="auto" w:fill="auto"/>
            <w:noWrap/>
            <w:vAlign w:val="center"/>
            <w:hideMark/>
          </w:tcPr>
          <w:p w14:paraId="519B495C" w14:textId="77777777" w:rsidR="0074711A" w:rsidRPr="008E63BB" w:rsidRDefault="0074711A" w:rsidP="0065184D">
            <w:pPr>
              <w:jc w:val="right"/>
              <w:rPr>
                <w:rFonts w:eastAsia="Times New Roman"/>
                <w:sz w:val="20"/>
                <w:szCs w:val="20"/>
              </w:rPr>
            </w:pPr>
            <w:r w:rsidRPr="008E63BB">
              <w:rPr>
                <w:rFonts w:eastAsia="Times New Roman"/>
                <w:sz w:val="20"/>
                <w:szCs w:val="20"/>
              </w:rPr>
              <w:t>4.682</w:t>
            </w:r>
          </w:p>
        </w:tc>
        <w:tc>
          <w:tcPr>
            <w:tcW w:w="866" w:type="dxa"/>
            <w:tcBorders>
              <w:top w:val="nil"/>
              <w:left w:val="nil"/>
              <w:bottom w:val="single" w:sz="4" w:space="0" w:color="auto"/>
              <w:right w:val="single" w:sz="4" w:space="0" w:color="auto"/>
            </w:tcBorders>
            <w:shd w:val="clear" w:color="auto" w:fill="auto"/>
            <w:noWrap/>
            <w:vAlign w:val="center"/>
            <w:hideMark/>
          </w:tcPr>
          <w:p w14:paraId="519B495D" w14:textId="77777777" w:rsidR="0074711A" w:rsidRPr="008E63BB" w:rsidRDefault="0074711A" w:rsidP="0065184D">
            <w:pPr>
              <w:jc w:val="right"/>
              <w:rPr>
                <w:rFonts w:eastAsia="Times New Roman"/>
                <w:sz w:val="20"/>
                <w:szCs w:val="20"/>
              </w:rPr>
            </w:pPr>
            <w:r w:rsidRPr="008E63BB">
              <w:rPr>
                <w:rFonts w:eastAsia="Times New Roman"/>
                <w:sz w:val="20"/>
                <w:szCs w:val="20"/>
              </w:rPr>
              <w:t>4.690</w:t>
            </w:r>
          </w:p>
        </w:tc>
        <w:tc>
          <w:tcPr>
            <w:tcW w:w="866" w:type="dxa"/>
            <w:tcBorders>
              <w:top w:val="nil"/>
              <w:left w:val="nil"/>
              <w:bottom w:val="single" w:sz="4" w:space="0" w:color="auto"/>
              <w:right w:val="single" w:sz="4" w:space="0" w:color="auto"/>
            </w:tcBorders>
            <w:shd w:val="clear" w:color="auto" w:fill="auto"/>
            <w:noWrap/>
            <w:vAlign w:val="center"/>
            <w:hideMark/>
          </w:tcPr>
          <w:p w14:paraId="519B495E" w14:textId="77777777" w:rsidR="0074711A" w:rsidRPr="008E63BB" w:rsidRDefault="0074711A" w:rsidP="0065184D">
            <w:pPr>
              <w:jc w:val="right"/>
              <w:rPr>
                <w:rFonts w:eastAsia="Times New Roman"/>
                <w:sz w:val="20"/>
                <w:szCs w:val="20"/>
              </w:rPr>
            </w:pPr>
            <w:r w:rsidRPr="008E63BB">
              <w:rPr>
                <w:rFonts w:eastAsia="Times New Roman"/>
                <w:sz w:val="20"/>
                <w:szCs w:val="20"/>
              </w:rPr>
              <w:t>4.689</w:t>
            </w:r>
          </w:p>
        </w:tc>
        <w:tc>
          <w:tcPr>
            <w:tcW w:w="866" w:type="dxa"/>
            <w:tcBorders>
              <w:top w:val="nil"/>
              <w:left w:val="nil"/>
              <w:bottom w:val="single" w:sz="4" w:space="0" w:color="auto"/>
              <w:right w:val="single" w:sz="4" w:space="0" w:color="auto"/>
            </w:tcBorders>
            <w:shd w:val="clear" w:color="auto" w:fill="auto"/>
            <w:noWrap/>
            <w:vAlign w:val="center"/>
            <w:hideMark/>
          </w:tcPr>
          <w:p w14:paraId="519B495F" w14:textId="77777777" w:rsidR="0074711A" w:rsidRPr="008E63BB" w:rsidRDefault="0074711A" w:rsidP="0065184D">
            <w:pPr>
              <w:jc w:val="right"/>
              <w:rPr>
                <w:rFonts w:eastAsia="Times New Roman"/>
                <w:sz w:val="20"/>
                <w:szCs w:val="20"/>
              </w:rPr>
            </w:pPr>
            <w:r w:rsidRPr="008E63BB">
              <w:rPr>
                <w:rFonts w:eastAsia="Times New Roman"/>
                <w:sz w:val="20"/>
                <w:szCs w:val="20"/>
              </w:rPr>
              <w:t>4.692</w:t>
            </w:r>
          </w:p>
        </w:tc>
        <w:tc>
          <w:tcPr>
            <w:tcW w:w="994" w:type="dxa"/>
            <w:tcBorders>
              <w:top w:val="nil"/>
              <w:left w:val="nil"/>
              <w:bottom w:val="single" w:sz="4" w:space="0" w:color="auto"/>
              <w:right w:val="single" w:sz="4" w:space="0" w:color="auto"/>
            </w:tcBorders>
            <w:shd w:val="clear" w:color="auto" w:fill="auto"/>
            <w:noWrap/>
            <w:vAlign w:val="center"/>
            <w:hideMark/>
          </w:tcPr>
          <w:p w14:paraId="519B4960" w14:textId="77777777" w:rsidR="0074711A" w:rsidRPr="008E63BB" w:rsidRDefault="0074711A" w:rsidP="0065184D">
            <w:pPr>
              <w:jc w:val="right"/>
              <w:rPr>
                <w:rFonts w:eastAsia="Times New Roman"/>
                <w:sz w:val="20"/>
                <w:szCs w:val="20"/>
              </w:rPr>
            </w:pPr>
            <w:r w:rsidRPr="008E63BB">
              <w:rPr>
                <w:rFonts w:eastAsia="Times New Roman"/>
                <w:sz w:val="20"/>
                <w:szCs w:val="20"/>
              </w:rPr>
              <w:t>378</w:t>
            </w:r>
          </w:p>
        </w:tc>
      </w:tr>
      <w:tr w:rsidR="008D5BFE" w:rsidRPr="008E63BB" w14:paraId="519B4971" w14:textId="77777777" w:rsidTr="0074711A">
        <w:trPr>
          <w:trHeight w:val="319"/>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62"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D</w:t>
            </w:r>
          </w:p>
        </w:tc>
        <w:tc>
          <w:tcPr>
            <w:tcW w:w="2684" w:type="dxa"/>
            <w:tcBorders>
              <w:top w:val="nil"/>
              <w:left w:val="nil"/>
              <w:bottom w:val="single" w:sz="4" w:space="0" w:color="auto"/>
              <w:right w:val="single" w:sz="4" w:space="0" w:color="auto"/>
            </w:tcBorders>
            <w:shd w:val="clear" w:color="auto" w:fill="auto"/>
            <w:noWrap/>
            <w:vAlign w:val="center"/>
            <w:hideMark/>
          </w:tcPr>
          <w:p w14:paraId="519B4963" w14:textId="77777777" w:rsidR="0074711A" w:rsidRPr="008E63BB" w:rsidRDefault="0074711A" w:rsidP="0065184D">
            <w:pPr>
              <w:jc w:val="left"/>
              <w:rPr>
                <w:rFonts w:eastAsia="Times New Roman"/>
                <w:b/>
                <w:bCs/>
                <w:sz w:val="20"/>
                <w:szCs w:val="20"/>
              </w:rPr>
            </w:pPr>
            <w:r w:rsidRPr="008E63BB">
              <w:rPr>
                <w:rFonts w:eastAsia="Times New Roman"/>
                <w:b/>
                <w:bCs/>
                <w:sz w:val="20"/>
                <w:szCs w:val="20"/>
              </w:rPr>
              <w:t>H. Nam Trực</w:t>
            </w:r>
          </w:p>
        </w:tc>
        <w:tc>
          <w:tcPr>
            <w:tcW w:w="794" w:type="dxa"/>
            <w:tcBorders>
              <w:top w:val="nil"/>
              <w:left w:val="nil"/>
              <w:bottom w:val="single" w:sz="4" w:space="0" w:color="auto"/>
              <w:right w:val="single" w:sz="4" w:space="0" w:color="auto"/>
            </w:tcBorders>
            <w:shd w:val="clear" w:color="auto" w:fill="auto"/>
            <w:noWrap/>
            <w:vAlign w:val="center"/>
            <w:hideMark/>
          </w:tcPr>
          <w:p w14:paraId="519B4964"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40,60</w:t>
            </w:r>
          </w:p>
        </w:tc>
        <w:tc>
          <w:tcPr>
            <w:tcW w:w="866" w:type="dxa"/>
            <w:tcBorders>
              <w:top w:val="nil"/>
              <w:left w:val="nil"/>
              <w:bottom w:val="single" w:sz="4" w:space="0" w:color="auto"/>
              <w:right w:val="single" w:sz="4" w:space="0" w:color="auto"/>
            </w:tcBorders>
            <w:shd w:val="clear" w:color="auto" w:fill="auto"/>
            <w:noWrap/>
            <w:vAlign w:val="center"/>
            <w:hideMark/>
          </w:tcPr>
          <w:p w14:paraId="519B4965"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46.117</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66"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46.117</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67"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46.364</w:t>
            </w:r>
          </w:p>
        </w:tc>
        <w:tc>
          <w:tcPr>
            <w:tcW w:w="866" w:type="dxa"/>
            <w:tcBorders>
              <w:top w:val="nil"/>
              <w:left w:val="nil"/>
              <w:bottom w:val="single" w:sz="4" w:space="0" w:color="auto"/>
              <w:right w:val="single" w:sz="4" w:space="0" w:color="auto"/>
            </w:tcBorders>
            <w:shd w:val="clear" w:color="auto" w:fill="auto"/>
            <w:noWrap/>
            <w:vAlign w:val="center"/>
            <w:hideMark/>
          </w:tcPr>
          <w:p w14:paraId="519B4968"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46.283</w:t>
            </w:r>
          </w:p>
        </w:tc>
        <w:tc>
          <w:tcPr>
            <w:tcW w:w="866" w:type="dxa"/>
            <w:tcBorders>
              <w:top w:val="nil"/>
              <w:left w:val="nil"/>
              <w:bottom w:val="single" w:sz="4" w:space="0" w:color="auto"/>
              <w:right w:val="single" w:sz="4" w:space="0" w:color="auto"/>
            </w:tcBorders>
            <w:shd w:val="clear" w:color="auto" w:fill="auto"/>
            <w:noWrap/>
            <w:vAlign w:val="center"/>
            <w:hideMark/>
          </w:tcPr>
          <w:p w14:paraId="519B4969"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46.276</w:t>
            </w:r>
          </w:p>
        </w:tc>
        <w:tc>
          <w:tcPr>
            <w:tcW w:w="866" w:type="dxa"/>
            <w:tcBorders>
              <w:top w:val="nil"/>
              <w:left w:val="nil"/>
              <w:bottom w:val="single" w:sz="4" w:space="0" w:color="auto"/>
              <w:right w:val="single" w:sz="4" w:space="0" w:color="auto"/>
            </w:tcBorders>
            <w:shd w:val="clear" w:color="auto" w:fill="auto"/>
            <w:noWrap/>
            <w:vAlign w:val="center"/>
            <w:hideMark/>
          </w:tcPr>
          <w:p w14:paraId="519B496A"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46.414</w:t>
            </w:r>
          </w:p>
        </w:tc>
        <w:tc>
          <w:tcPr>
            <w:tcW w:w="866" w:type="dxa"/>
            <w:tcBorders>
              <w:top w:val="nil"/>
              <w:left w:val="nil"/>
              <w:bottom w:val="single" w:sz="4" w:space="0" w:color="auto"/>
              <w:right w:val="single" w:sz="4" w:space="0" w:color="auto"/>
            </w:tcBorders>
            <w:shd w:val="clear" w:color="auto" w:fill="auto"/>
            <w:noWrap/>
            <w:vAlign w:val="center"/>
            <w:hideMark/>
          </w:tcPr>
          <w:p w14:paraId="519B496B"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163.518</w:t>
            </w:r>
          </w:p>
        </w:tc>
        <w:tc>
          <w:tcPr>
            <w:tcW w:w="866" w:type="dxa"/>
            <w:tcBorders>
              <w:top w:val="nil"/>
              <w:left w:val="nil"/>
              <w:bottom w:val="single" w:sz="4" w:space="0" w:color="auto"/>
              <w:right w:val="single" w:sz="4" w:space="0" w:color="auto"/>
            </w:tcBorders>
            <w:shd w:val="clear" w:color="auto" w:fill="auto"/>
            <w:noWrap/>
            <w:vAlign w:val="center"/>
            <w:hideMark/>
          </w:tcPr>
          <w:p w14:paraId="519B496C"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46.492</w:t>
            </w:r>
          </w:p>
        </w:tc>
        <w:tc>
          <w:tcPr>
            <w:tcW w:w="866" w:type="dxa"/>
            <w:tcBorders>
              <w:top w:val="nil"/>
              <w:left w:val="nil"/>
              <w:bottom w:val="single" w:sz="4" w:space="0" w:color="auto"/>
              <w:right w:val="single" w:sz="4" w:space="0" w:color="auto"/>
            </w:tcBorders>
            <w:shd w:val="clear" w:color="auto" w:fill="auto"/>
            <w:noWrap/>
            <w:vAlign w:val="center"/>
            <w:hideMark/>
          </w:tcPr>
          <w:p w14:paraId="519B496D"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46.436</w:t>
            </w:r>
          </w:p>
        </w:tc>
        <w:tc>
          <w:tcPr>
            <w:tcW w:w="866" w:type="dxa"/>
            <w:tcBorders>
              <w:top w:val="nil"/>
              <w:left w:val="nil"/>
              <w:bottom w:val="single" w:sz="4" w:space="0" w:color="auto"/>
              <w:right w:val="single" w:sz="4" w:space="0" w:color="auto"/>
            </w:tcBorders>
            <w:shd w:val="clear" w:color="auto" w:fill="auto"/>
            <w:noWrap/>
            <w:vAlign w:val="center"/>
            <w:hideMark/>
          </w:tcPr>
          <w:p w14:paraId="519B496E"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46.439</w:t>
            </w:r>
          </w:p>
        </w:tc>
        <w:tc>
          <w:tcPr>
            <w:tcW w:w="866" w:type="dxa"/>
            <w:tcBorders>
              <w:top w:val="nil"/>
              <w:left w:val="nil"/>
              <w:bottom w:val="single" w:sz="4" w:space="0" w:color="auto"/>
              <w:right w:val="single" w:sz="4" w:space="0" w:color="auto"/>
            </w:tcBorders>
            <w:shd w:val="clear" w:color="auto" w:fill="auto"/>
            <w:noWrap/>
            <w:vAlign w:val="center"/>
            <w:hideMark/>
          </w:tcPr>
          <w:p w14:paraId="519B496F"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35.636</w:t>
            </w:r>
          </w:p>
        </w:tc>
        <w:tc>
          <w:tcPr>
            <w:tcW w:w="994" w:type="dxa"/>
            <w:tcBorders>
              <w:top w:val="nil"/>
              <w:left w:val="nil"/>
              <w:bottom w:val="single" w:sz="4" w:space="0" w:color="auto"/>
              <w:right w:val="single" w:sz="4" w:space="0" w:color="auto"/>
            </w:tcBorders>
            <w:shd w:val="clear" w:color="auto" w:fill="auto"/>
            <w:noWrap/>
            <w:vAlign w:val="center"/>
            <w:hideMark/>
          </w:tcPr>
          <w:p w14:paraId="519B4970" w14:textId="77777777" w:rsidR="0074711A" w:rsidRPr="008E63BB" w:rsidRDefault="0074711A" w:rsidP="0065184D">
            <w:pPr>
              <w:jc w:val="right"/>
              <w:rPr>
                <w:rFonts w:eastAsia="Times New Roman"/>
                <w:b/>
                <w:bCs/>
                <w:sz w:val="20"/>
                <w:szCs w:val="20"/>
              </w:rPr>
            </w:pPr>
            <w:r w:rsidRPr="008E63BB">
              <w:rPr>
                <w:rFonts w:eastAsia="Times New Roman"/>
                <w:b/>
                <w:bCs/>
                <w:sz w:val="20"/>
                <w:szCs w:val="20"/>
              </w:rPr>
              <w:t>878</w:t>
            </w:r>
          </w:p>
        </w:tc>
      </w:tr>
      <w:tr w:rsidR="008D5BFE" w:rsidRPr="008E63BB" w14:paraId="519B498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72" w14:textId="77777777" w:rsidR="0074711A" w:rsidRPr="008E63BB" w:rsidRDefault="0074711A" w:rsidP="0065184D">
            <w:pPr>
              <w:jc w:val="right"/>
              <w:rPr>
                <w:rFonts w:eastAsia="Times New Roman"/>
                <w:sz w:val="20"/>
                <w:szCs w:val="20"/>
              </w:rPr>
            </w:pPr>
            <w:r w:rsidRPr="008E63BB">
              <w:rPr>
                <w:rFonts w:eastAsia="Times New Roman"/>
                <w:sz w:val="20"/>
                <w:szCs w:val="20"/>
              </w:rPr>
              <w:t>1</w:t>
            </w:r>
          </w:p>
        </w:tc>
        <w:tc>
          <w:tcPr>
            <w:tcW w:w="2684" w:type="dxa"/>
            <w:tcBorders>
              <w:top w:val="nil"/>
              <w:left w:val="nil"/>
              <w:bottom w:val="single" w:sz="4" w:space="0" w:color="auto"/>
              <w:right w:val="single" w:sz="4" w:space="0" w:color="auto"/>
            </w:tcBorders>
            <w:shd w:val="clear" w:color="auto" w:fill="auto"/>
            <w:noWrap/>
            <w:vAlign w:val="center"/>
            <w:hideMark/>
          </w:tcPr>
          <w:p w14:paraId="519B4973" w14:textId="77777777" w:rsidR="0074711A" w:rsidRPr="008E63BB" w:rsidRDefault="0074711A" w:rsidP="0065184D">
            <w:pPr>
              <w:jc w:val="left"/>
              <w:rPr>
                <w:rFonts w:eastAsia="Times New Roman"/>
                <w:sz w:val="20"/>
                <w:szCs w:val="20"/>
              </w:rPr>
            </w:pPr>
            <w:r w:rsidRPr="008E63BB">
              <w:rPr>
                <w:rFonts w:eastAsia="Times New Roman"/>
                <w:sz w:val="20"/>
                <w:szCs w:val="20"/>
              </w:rPr>
              <w:t>X. Nam Mỹ</w:t>
            </w:r>
          </w:p>
        </w:tc>
        <w:tc>
          <w:tcPr>
            <w:tcW w:w="794" w:type="dxa"/>
            <w:tcBorders>
              <w:top w:val="nil"/>
              <w:left w:val="nil"/>
              <w:bottom w:val="single" w:sz="4" w:space="0" w:color="auto"/>
              <w:right w:val="single" w:sz="4" w:space="0" w:color="auto"/>
            </w:tcBorders>
            <w:shd w:val="clear" w:color="auto" w:fill="auto"/>
            <w:noWrap/>
            <w:vAlign w:val="center"/>
            <w:hideMark/>
          </w:tcPr>
          <w:p w14:paraId="519B4974" w14:textId="77777777" w:rsidR="0074711A" w:rsidRPr="008E63BB" w:rsidRDefault="0074711A" w:rsidP="0065184D">
            <w:pPr>
              <w:jc w:val="right"/>
              <w:rPr>
                <w:rFonts w:eastAsia="Times New Roman"/>
                <w:sz w:val="20"/>
                <w:szCs w:val="20"/>
              </w:rPr>
            </w:pPr>
            <w:r w:rsidRPr="008E63BB">
              <w:rPr>
                <w:rFonts w:eastAsia="Times New Roman"/>
                <w:sz w:val="20"/>
                <w:szCs w:val="20"/>
              </w:rPr>
              <w:t>4,33</w:t>
            </w:r>
          </w:p>
        </w:tc>
        <w:tc>
          <w:tcPr>
            <w:tcW w:w="866" w:type="dxa"/>
            <w:tcBorders>
              <w:top w:val="nil"/>
              <w:left w:val="nil"/>
              <w:bottom w:val="single" w:sz="4" w:space="0" w:color="auto"/>
              <w:right w:val="nil"/>
            </w:tcBorders>
            <w:shd w:val="clear" w:color="auto" w:fill="auto"/>
            <w:noWrap/>
            <w:vAlign w:val="center"/>
            <w:hideMark/>
          </w:tcPr>
          <w:p w14:paraId="519B4975" w14:textId="77777777" w:rsidR="0074711A" w:rsidRPr="008E63BB" w:rsidRDefault="0074711A" w:rsidP="0065184D">
            <w:pPr>
              <w:jc w:val="right"/>
              <w:rPr>
                <w:rFonts w:eastAsia="Times New Roman"/>
                <w:sz w:val="20"/>
                <w:szCs w:val="20"/>
              </w:rPr>
            </w:pPr>
            <w:r w:rsidRPr="008E63BB">
              <w:rPr>
                <w:rFonts w:eastAsia="Times New Roman"/>
                <w:sz w:val="20"/>
                <w:szCs w:val="20"/>
              </w:rPr>
              <w:t>5.993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76" w14:textId="77777777" w:rsidR="0074711A" w:rsidRPr="008E63BB" w:rsidRDefault="0074711A" w:rsidP="0065184D">
            <w:pPr>
              <w:jc w:val="right"/>
              <w:rPr>
                <w:rFonts w:eastAsia="Times New Roman"/>
                <w:sz w:val="20"/>
                <w:szCs w:val="20"/>
              </w:rPr>
            </w:pPr>
            <w:r w:rsidRPr="008E63BB">
              <w:rPr>
                <w:rFonts w:eastAsia="Times New Roman"/>
                <w:sz w:val="20"/>
                <w:szCs w:val="20"/>
              </w:rPr>
              <w:t>5.993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977" w14:textId="77777777" w:rsidR="0074711A" w:rsidRPr="008E63BB" w:rsidRDefault="0074711A" w:rsidP="0065184D">
            <w:pPr>
              <w:jc w:val="right"/>
              <w:rPr>
                <w:rFonts w:eastAsia="Times New Roman"/>
                <w:sz w:val="20"/>
                <w:szCs w:val="20"/>
              </w:rPr>
            </w:pPr>
            <w:r w:rsidRPr="008E63BB">
              <w:rPr>
                <w:rFonts w:eastAsia="Times New Roman"/>
                <w:sz w:val="20"/>
                <w:szCs w:val="20"/>
              </w:rPr>
              <w:t>6.126</w:t>
            </w:r>
          </w:p>
        </w:tc>
        <w:tc>
          <w:tcPr>
            <w:tcW w:w="866" w:type="dxa"/>
            <w:tcBorders>
              <w:top w:val="nil"/>
              <w:left w:val="nil"/>
              <w:bottom w:val="single" w:sz="4" w:space="0" w:color="auto"/>
              <w:right w:val="single" w:sz="4" w:space="0" w:color="auto"/>
            </w:tcBorders>
            <w:shd w:val="clear" w:color="auto" w:fill="auto"/>
            <w:noWrap/>
            <w:vAlign w:val="center"/>
            <w:hideMark/>
          </w:tcPr>
          <w:p w14:paraId="519B4978" w14:textId="77777777" w:rsidR="0074711A" w:rsidRPr="008E63BB" w:rsidRDefault="0074711A" w:rsidP="0065184D">
            <w:pPr>
              <w:jc w:val="right"/>
              <w:rPr>
                <w:rFonts w:eastAsia="Times New Roman"/>
                <w:sz w:val="20"/>
                <w:szCs w:val="20"/>
              </w:rPr>
            </w:pPr>
            <w:r w:rsidRPr="008E63BB">
              <w:rPr>
                <w:rFonts w:eastAsia="Times New Roman"/>
                <w:sz w:val="20"/>
                <w:szCs w:val="20"/>
              </w:rPr>
              <w:t>6.106</w:t>
            </w:r>
          </w:p>
        </w:tc>
        <w:tc>
          <w:tcPr>
            <w:tcW w:w="866" w:type="dxa"/>
            <w:tcBorders>
              <w:top w:val="nil"/>
              <w:left w:val="nil"/>
              <w:bottom w:val="single" w:sz="4" w:space="0" w:color="auto"/>
              <w:right w:val="single" w:sz="4" w:space="0" w:color="auto"/>
            </w:tcBorders>
            <w:shd w:val="clear" w:color="auto" w:fill="auto"/>
            <w:noWrap/>
            <w:vAlign w:val="center"/>
            <w:hideMark/>
          </w:tcPr>
          <w:p w14:paraId="519B4979" w14:textId="77777777" w:rsidR="0074711A" w:rsidRPr="008E63BB" w:rsidRDefault="0074711A" w:rsidP="0065184D">
            <w:pPr>
              <w:jc w:val="right"/>
              <w:rPr>
                <w:rFonts w:eastAsia="Times New Roman"/>
                <w:sz w:val="20"/>
                <w:szCs w:val="20"/>
              </w:rPr>
            </w:pPr>
            <w:r w:rsidRPr="008E63BB">
              <w:rPr>
                <w:rFonts w:eastAsia="Times New Roman"/>
                <w:sz w:val="20"/>
                <w:szCs w:val="20"/>
              </w:rPr>
              <w:t>6.103</w:t>
            </w:r>
          </w:p>
        </w:tc>
        <w:tc>
          <w:tcPr>
            <w:tcW w:w="866" w:type="dxa"/>
            <w:tcBorders>
              <w:top w:val="nil"/>
              <w:left w:val="nil"/>
              <w:bottom w:val="single" w:sz="4" w:space="0" w:color="auto"/>
              <w:right w:val="single" w:sz="4" w:space="0" w:color="auto"/>
            </w:tcBorders>
            <w:shd w:val="clear" w:color="auto" w:fill="auto"/>
            <w:noWrap/>
            <w:vAlign w:val="center"/>
            <w:hideMark/>
          </w:tcPr>
          <w:p w14:paraId="519B497A" w14:textId="77777777" w:rsidR="0074711A" w:rsidRPr="008E63BB" w:rsidRDefault="0074711A" w:rsidP="0065184D">
            <w:pPr>
              <w:jc w:val="right"/>
              <w:rPr>
                <w:rFonts w:eastAsia="Times New Roman"/>
                <w:sz w:val="20"/>
                <w:szCs w:val="20"/>
              </w:rPr>
            </w:pPr>
            <w:r w:rsidRPr="008E63BB">
              <w:rPr>
                <w:rFonts w:eastAsia="Times New Roman"/>
                <w:sz w:val="20"/>
                <w:szCs w:val="20"/>
              </w:rPr>
              <w:t>6.117</w:t>
            </w:r>
          </w:p>
        </w:tc>
        <w:tc>
          <w:tcPr>
            <w:tcW w:w="866" w:type="dxa"/>
            <w:tcBorders>
              <w:top w:val="nil"/>
              <w:left w:val="nil"/>
              <w:bottom w:val="single" w:sz="4" w:space="0" w:color="auto"/>
              <w:right w:val="single" w:sz="4" w:space="0" w:color="auto"/>
            </w:tcBorders>
            <w:shd w:val="clear" w:color="auto" w:fill="auto"/>
            <w:noWrap/>
            <w:vAlign w:val="center"/>
            <w:hideMark/>
          </w:tcPr>
          <w:p w14:paraId="519B497B" w14:textId="77777777" w:rsidR="0074711A" w:rsidRPr="008E63BB" w:rsidRDefault="0074711A" w:rsidP="0065184D">
            <w:pPr>
              <w:jc w:val="right"/>
              <w:rPr>
                <w:rFonts w:eastAsia="Times New Roman"/>
                <w:sz w:val="20"/>
                <w:szCs w:val="20"/>
              </w:rPr>
            </w:pPr>
            <w:r w:rsidRPr="008E63BB">
              <w:rPr>
                <w:rFonts w:eastAsia="Times New Roman"/>
                <w:sz w:val="20"/>
                <w:szCs w:val="20"/>
              </w:rPr>
              <w:t>6.131</w:t>
            </w:r>
          </w:p>
        </w:tc>
        <w:tc>
          <w:tcPr>
            <w:tcW w:w="866" w:type="dxa"/>
            <w:tcBorders>
              <w:top w:val="nil"/>
              <w:left w:val="nil"/>
              <w:bottom w:val="single" w:sz="4" w:space="0" w:color="auto"/>
              <w:right w:val="single" w:sz="4" w:space="0" w:color="auto"/>
            </w:tcBorders>
            <w:shd w:val="clear" w:color="auto" w:fill="auto"/>
            <w:noWrap/>
            <w:vAlign w:val="center"/>
            <w:hideMark/>
          </w:tcPr>
          <w:p w14:paraId="519B497C" w14:textId="77777777" w:rsidR="0074711A" w:rsidRPr="008E63BB" w:rsidRDefault="0074711A" w:rsidP="0065184D">
            <w:pPr>
              <w:jc w:val="right"/>
              <w:rPr>
                <w:rFonts w:eastAsia="Times New Roman"/>
                <w:sz w:val="20"/>
                <w:szCs w:val="20"/>
              </w:rPr>
            </w:pPr>
            <w:r w:rsidRPr="008E63BB">
              <w:rPr>
                <w:rFonts w:eastAsia="Times New Roman"/>
                <w:sz w:val="20"/>
                <w:szCs w:val="20"/>
              </w:rPr>
              <w:t>6.144</w:t>
            </w:r>
          </w:p>
        </w:tc>
        <w:tc>
          <w:tcPr>
            <w:tcW w:w="866" w:type="dxa"/>
            <w:tcBorders>
              <w:top w:val="nil"/>
              <w:left w:val="nil"/>
              <w:bottom w:val="single" w:sz="4" w:space="0" w:color="auto"/>
              <w:right w:val="single" w:sz="4" w:space="0" w:color="auto"/>
            </w:tcBorders>
            <w:shd w:val="clear" w:color="auto" w:fill="auto"/>
            <w:noWrap/>
            <w:vAlign w:val="center"/>
            <w:hideMark/>
          </w:tcPr>
          <w:p w14:paraId="519B497D" w14:textId="77777777" w:rsidR="0074711A" w:rsidRPr="008E63BB" w:rsidRDefault="0074711A" w:rsidP="0065184D">
            <w:pPr>
              <w:jc w:val="right"/>
              <w:rPr>
                <w:rFonts w:eastAsia="Times New Roman"/>
                <w:sz w:val="20"/>
                <w:szCs w:val="20"/>
              </w:rPr>
            </w:pPr>
            <w:r w:rsidRPr="008E63BB">
              <w:rPr>
                <w:rFonts w:eastAsia="Times New Roman"/>
                <w:sz w:val="20"/>
                <w:szCs w:val="20"/>
              </w:rPr>
              <w:t>6.136</w:t>
            </w:r>
          </w:p>
        </w:tc>
        <w:tc>
          <w:tcPr>
            <w:tcW w:w="866" w:type="dxa"/>
            <w:tcBorders>
              <w:top w:val="nil"/>
              <w:left w:val="nil"/>
              <w:bottom w:val="single" w:sz="4" w:space="0" w:color="auto"/>
              <w:right w:val="single" w:sz="4" w:space="0" w:color="auto"/>
            </w:tcBorders>
            <w:shd w:val="clear" w:color="auto" w:fill="auto"/>
            <w:noWrap/>
            <w:vAlign w:val="center"/>
            <w:hideMark/>
          </w:tcPr>
          <w:p w14:paraId="519B497E" w14:textId="77777777" w:rsidR="0074711A" w:rsidRPr="008E63BB" w:rsidRDefault="0074711A" w:rsidP="0065184D">
            <w:pPr>
              <w:jc w:val="right"/>
              <w:rPr>
                <w:rFonts w:eastAsia="Times New Roman"/>
                <w:sz w:val="20"/>
                <w:szCs w:val="20"/>
              </w:rPr>
            </w:pPr>
            <w:r w:rsidRPr="008E63BB">
              <w:rPr>
                <w:rFonts w:eastAsia="Times New Roman"/>
                <w:sz w:val="20"/>
                <w:szCs w:val="20"/>
              </w:rPr>
              <w:t>6.138</w:t>
            </w:r>
          </w:p>
        </w:tc>
        <w:tc>
          <w:tcPr>
            <w:tcW w:w="866" w:type="dxa"/>
            <w:tcBorders>
              <w:top w:val="nil"/>
              <w:left w:val="nil"/>
              <w:bottom w:val="single" w:sz="4" w:space="0" w:color="auto"/>
              <w:right w:val="single" w:sz="4" w:space="0" w:color="auto"/>
            </w:tcBorders>
            <w:shd w:val="clear" w:color="auto" w:fill="auto"/>
            <w:noWrap/>
            <w:vAlign w:val="center"/>
            <w:hideMark/>
          </w:tcPr>
          <w:p w14:paraId="519B497F" w14:textId="77777777" w:rsidR="0074711A" w:rsidRPr="008E63BB" w:rsidRDefault="0074711A" w:rsidP="0065184D">
            <w:pPr>
              <w:jc w:val="right"/>
              <w:rPr>
                <w:rFonts w:eastAsia="Times New Roman"/>
                <w:sz w:val="20"/>
                <w:szCs w:val="20"/>
              </w:rPr>
            </w:pPr>
            <w:r w:rsidRPr="008E63BB">
              <w:rPr>
                <w:rFonts w:eastAsia="Times New Roman"/>
                <w:sz w:val="20"/>
                <w:szCs w:val="20"/>
              </w:rPr>
              <w:t>6.144</w:t>
            </w:r>
          </w:p>
        </w:tc>
        <w:tc>
          <w:tcPr>
            <w:tcW w:w="994" w:type="dxa"/>
            <w:tcBorders>
              <w:top w:val="nil"/>
              <w:left w:val="nil"/>
              <w:bottom w:val="single" w:sz="4" w:space="0" w:color="auto"/>
              <w:right w:val="single" w:sz="4" w:space="0" w:color="auto"/>
            </w:tcBorders>
            <w:shd w:val="clear" w:color="auto" w:fill="auto"/>
            <w:noWrap/>
            <w:vAlign w:val="center"/>
            <w:hideMark/>
          </w:tcPr>
          <w:p w14:paraId="519B4980" w14:textId="77777777" w:rsidR="0074711A" w:rsidRPr="008E63BB" w:rsidRDefault="0074711A" w:rsidP="0065184D">
            <w:pPr>
              <w:jc w:val="right"/>
              <w:rPr>
                <w:rFonts w:eastAsia="Times New Roman"/>
                <w:sz w:val="20"/>
                <w:szCs w:val="20"/>
              </w:rPr>
            </w:pPr>
            <w:r w:rsidRPr="008E63BB">
              <w:rPr>
                <w:rFonts w:eastAsia="Times New Roman"/>
                <w:sz w:val="20"/>
                <w:szCs w:val="20"/>
              </w:rPr>
              <w:t>1.419</w:t>
            </w:r>
          </w:p>
        </w:tc>
      </w:tr>
      <w:tr w:rsidR="008D5BFE" w:rsidRPr="008E63BB" w14:paraId="519B499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82" w14:textId="77777777" w:rsidR="0074711A" w:rsidRPr="008E63BB" w:rsidRDefault="0074711A" w:rsidP="0065184D">
            <w:pPr>
              <w:jc w:val="right"/>
              <w:rPr>
                <w:rFonts w:eastAsia="Times New Roman"/>
                <w:sz w:val="20"/>
                <w:szCs w:val="20"/>
              </w:rPr>
            </w:pPr>
            <w:r w:rsidRPr="008E63BB">
              <w:rPr>
                <w:rFonts w:eastAsia="Times New Roman"/>
                <w:sz w:val="20"/>
                <w:szCs w:val="20"/>
              </w:rPr>
              <w:t>2</w:t>
            </w:r>
          </w:p>
        </w:tc>
        <w:tc>
          <w:tcPr>
            <w:tcW w:w="2684" w:type="dxa"/>
            <w:tcBorders>
              <w:top w:val="nil"/>
              <w:left w:val="nil"/>
              <w:bottom w:val="single" w:sz="4" w:space="0" w:color="auto"/>
              <w:right w:val="single" w:sz="4" w:space="0" w:color="auto"/>
            </w:tcBorders>
            <w:shd w:val="clear" w:color="auto" w:fill="auto"/>
            <w:noWrap/>
            <w:vAlign w:val="center"/>
            <w:hideMark/>
          </w:tcPr>
          <w:p w14:paraId="519B4983" w14:textId="77777777" w:rsidR="0074711A" w:rsidRPr="008E63BB" w:rsidRDefault="0074711A" w:rsidP="0065184D">
            <w:pPr>
              <w:jc w:val="left"/>
              <w:rPr>
                <w:rFonts w:eastAsia="Times New Roman"/>
                <w:sz w:val="20"/>
                <w:szCs w:val="20"/>
              </w:rPr>
            </w:pPr>
            <w:r w:rsidRPr="008E63BB">
              <w:rPr>
                <w:rFonts w:eastAsia="Times New Roman"/>
                <w:sz w:val="20"/>
                <w:szCs w:val="20"/>
              </w:rPr>
              <w:t>X. Điền Xá</w:t>
            </w:r>
          </w:p>
        </w:tc>
        <w:tc>
          <w:tcPr>
            <w:tcW w:w="794" w:type="dxa"/>
            <w:tcBorders>
              <w:top w:val="nil"/>
              <w:left w:val="nil"/>
              <w:bottom w:val="single" w:sz="4" w:space="0" w:color="auto"/>
              <w:right w:val="single" w:sz="4" w:space="0" w:color="auto"/>
            </w:tcBorders>
            <w:shd w:val="clear" w:color="auto" w:fill="auto"/>
            <w:noWrap/>
            <w:vAlign w:val="center"/>
            <w:hideMark/>
          </w:tcPr>
          <w:p w14:paraId="519B4984" w14:textId="77777777" w:rsidR="0074711A" w:rsidRPr="008E63BB" w:rsidRDefault="0074711A" w:rsidP="0065184D">
            <w:pPr>
              <w:jc w:val="right"/>
              <w:rPr>
                <w:rFonts w:eastAsia="Times New Roman"/>
                <w:sz w:val="20"/>
                <w:szCs w:val="20"/>
              </w:rPr>
            </w:pPr>
            <w:r w:rsidRPr="008E63BB">
              <w:rPr>
                <w:rFonts w:eastAsia="Times New Roman"/>
                <w:sz w:val="20"/>
                <w:szCs w:val="20"/>
              </w:rPr>
              <w:t>10,41</w:t>
            </w:r>
          </w:p>
        </w:tc>
        <w:tc>
          <w:tcPr>
            <w:tcW w:w="866" w:type="dxa"/>
            <w:tcBorders>
              <w:top w:val="nil"/>
              <w:left w:val="nil"/>
              <w:bottom w:val="single" w:sz="4" w:space="0" w:color="auto"/>
              <w:right w:val="nil"/>
            </w:tcBorders>
            <w:shd w:val="clear" w:color="auto" w:fill="auto"/>
            <w:noWrap/>
            <w:vAlign w:val="center"/>
            <w:hideMark/>
          </w:tcPr>
          <w:p w14:paraId="519B4985" w14:textId="77777777" w:rsidR="0074711A" w:rsidRPr="008E63BB" w:rsidRDefault="0074711A" w:rsidP="0065184D">
            <w:pPr>
              <w:jc w:val="right"/>
              <w:rPr>
                <w:rFonts w:eastAsia="Times New Roman"/>
                <w:sz w:val="20"/>
                <w:szCs w:val="20"/>
              </w:rPr>
            </w:pPr>
            <w:r w:rsidRPr="008E63BB">
              <w:rPr>
                <w:rFonts w:eastAsia="Times New Roman"/>
                <w:sz w:val="20"/>
                <w:szCs w:val="20"/>
              </w:rPr>
              <w:t>11.876</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986" w14:textId="77777777" w:rsidR="0074711A" w:rsidRPr="008E63BB" w:rsidRDefault="0074711A" w:rsidP="0065184D">
            <w:pPr>
              <w:jc w:val="right"/>
              <w:rPr>
                <w:rFonts w:eastAsia="Times New Roman"/>
                <w:sz w:val="20"/>
                <w:szCs w:val="20"/>
              </w:rPr>
            </w:pPr>
            <w:r w:rsidRPr="008E63BB">
              <w:rPr>
                <w:rFonts w:eastAsia="Times New Roman"/>
                <w:sz w:val="20"/>
                <w:szCs w:val="20"/>
              </w:rPr>
              <w:t>4.174</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87" w14:textId="77777777" w:rsidR="0074711A" w:rsidRPr="008E63BB" w:rsidRDefault="0074711A" w:rsidP="0065184D">
            <w:pPr>
              <w:jc w:val="right"/>
              <w:rPr>
                <w:rFonts w:eastAsia="Times New Roman"/>
                <w:sz w:val="20"/>
                <w:szCs w:val="20"/>
              </w:rPr>
            </w:pPr>
            <w:r w:rsidRPr="008E63BB">
              <w:rPr>
                <w:rFonts w:eastAsia="Times New Roman"/>
                <w:sz w:val="20"/>
                <w:szCs w:val="20"/>
              </w:rPr>
              <w:t>12.045</w:t>
            </w:r>
          </w:p>
        </w:tc>
        <w:tc>
          <w:tcPr>
            <w:tcW w:w="866" w:type="dxa"/>
            <w:tcBorders>
              <w:top w:val="nil"/>
              <w:left w:val="nil"/>
              <w:bottom w:val="single" w:sz="4" w:space="0" w:color="auto"/>
              <w:right w:val="single" w:sz="4" w:space="0" w:color="auto"/>
            </w:tcBorders>
            <w:shd w:val="clear" w:color="auto" w:fill="auto"/>
            <w:noWrap/>
            <w:vAlign w:val="center"/>
            <w:hideMark/>
          </w:tcPr>
          <w:p w14:paraId="519B4988" w14:textId="77777777" w:rsidR="0074711A" w:rsidRPr="008E63BB" w:rsidRDefault="0074711A" w:rsidP="0065184D">
            <w:pPr>
              <w:jc w:val="right"/>
              <w:rPr>
                <w:rFonts w:eastAsia="Times New Roman"/>
                <w:sz w:val="20"/>
                <w:szCs w:val="20"/>
              </w:rPr>
            </w:pPr>
            <w:r w:rsidRPr="008E63BB">
              <w:rPr>
                <w:rFonts w:eastAsia="Times New Roman"/>
                <w:sz w:val="20"/>
                <w:szCs w:val="20"/>
              </w:rPr>
              <w:t>12.038</w:t>
            </w:r>
          </w:p>
        </w:tc>
        <w:tc>
          <w:tcPr>
            <w:tcW w:w="866" w:type="dxa"/>
            <w:tcBorders>
              <w:top w:val="nil"/>
              <w:left w:val="nil"/>
              <w:bottom w:val="single" w:sz="4" w:space="0" w:color="auto"/>
              <w:right w:val="single" w:sz="4" w:space="0" w:color="auto"/>
            </w:tcBorders>
            <w:shd w:val="clear" w:color="auto" w:fill="auto"/>
            <w:noWrap/>
            <w:vAlign w:val="center"/>
            <w:hideMark/>
          </w:tcPr>
          <w:p w14:paraId="519B4989" w14:textId="77777777" w:rsidR="0074711A" w:rsidRPr="008E63BB" w:rsidRDefault="0074711A" w:rsidP="0065184D">
            <w:pPr>
              <w:jc w:val="right"/>
              <w:rPr>
                <w:rFonts w:eastAsia="Times New Roman"/>
                <w:sz w:val="20"/>
                <w:szCs w:val="20"/>
              </w:rPr>
            </w:pPr>
            <w:r w:rsidRPr="008E63BB">
              <w:rPr>
                <w:rFonts w:eastAsia="Times New Roman"/>
                <w:sz w:val="20"/>
                <w:szCs w:val="20"/>
              </w:rPr>
              <w:t>12.027</w:t>
            </w:r>
          </w:p>
        </w:tc>
        <w:tc>
          <w:tcPr>
            <w:tcW w:w="866" w:type="dxa"/>
            <w:tcBorders>
              <w:top w:val="nil"/>
              <w:left w:val="nil"/>
              <w:bottom w:val="single" w:sz="4" w:space="0" w:color="auto"/>
              <w:right w:val="single" w:sz="4" w:space="0" w:color="auto"/>
            </w:tcBorders>
            <w:shd w:val="clear" w:color="auto" w:fill="auto"/>
            <w:noWrap/>
            <w:vAlign w:val="center"/>
            <w:hideMark/>
          </w:tcPr>
          <w:p w14:paraId="519B498A" w14:textId="77777777" w:rsidR="0074711A" w:rsidRPr="008E63BB" w:rsidRDefault="0074711A" w:rsidP="0065184D">
            <w:pPr>
              <w:jc w:val="right"/>
              <w:rPr>
                <w:rFonts w:eastAsia="Times New Roman"/>
                <w:sz w:val="20"/>
                <w:szCs w:val="20"/>
              </w:rPr>
            </w:pPr>
            <w:r w:rsidRPr="008E63BB">
              <w:rPr>
                <w:rFonts w:eastAsia="Times New Roman"/>
                <w:sz w:val="20"/>
                <w:szCs w:val="20"/>
              </w:rPr>
              <w:t>12.061</w:t>
            </w:r>
          </w:p>
        </w:tc>
        <w:tc>
          <w:tcPr>
            <w:tcW w:w="866" w:type="dxa"/>
            <w:tcBorders>
              <w:top w:val="nil"/>
              <w:left w:val="nil"/>
              <w:bottom w:val="single" w:sz="4" w:space="0" w:color="auto"/>
              <w:right w:val="single" w:sz="4" w:space="0" w:color="auto"/>
            </w:tcBorders>
            <w:shd w:val="clear" w:color="auto" w:fill="auto"/>
            <w:noWrap/>
            <w:vAlign w:val="center"/>
            <w:hideMark/>
          </w:tcPr>
          <w:p w14:paraId="519B498B" w14:textId="77777777" w:rsidR="0074711A" w:rsidRPr="008E63BB" w:rsidRDefault="0074711A" w:rsidP="0065184D">
            <w:pPr>
              <w:jc w:val="right"/>
              <w:rPr>
                <w:rFonts w:eastAsia="Times New Roman"/>
                <w:sz w:val="20"/>
                <w:szCs w:val="20"/>
              </w:rPr>
            </w:pPr>
            <w:r w:rsidRPr="008E63BB">
              <w:rPr>
                <w:rFonts w:eastAsia="Times New Roman"/>
                <w:sz w:val="20"/>
                <w:szCs w:val="20"/>
              </w:rPr>
              <w:t>12.086</w:t>
            </w:r>
          </w:p>
        </w:tc>
        <w:tc>
          <w:tcPr>
            <w:tcW w:w="866" w:type="dxa"/>
            <w:tcBorders>
              <w:top w:val="nil"/>
              <w:left w:val="nil"/>
              <w:bottom w:val="single" w:sz="4" w:space="0" w:color="auto"/>
              <w:right w:val="single" w:sz="4" w:space="0" w:color="auto"/>
            </w:tcBorders>
            <w:shd w:val="clear" w:color="auto" w:fill="auto"/>
            <w:noWrap/>
            <w:vAlign w:val="center"/>
            <w:hideMark/>
          </w:tcPr>
          <w:p w14:paraId="519B498C" w14:textId="77777777" w:rsidR="0074711A" w:rsidRPr="008E63BB" w:rsidRDefault="0074711A" w:rsidP="0065184D">
            <w:pPr>
              <w:jc w:val="right"/>
              <w:rPr>
                <w:rFonts w:eastAsia="Times New Roman"/>
                <w:sz w:val="20"/>
                <w:szCs w:val="20"/>
              </w:rPr>
            </w:pPr>
            <w:r w:rsidRPr="008E63BB">
              <w:rPr>
                <w:rFonts w:eastAsia="Times New Roman"/>
                <w:sz w:val="20"/>
                <w:szCs w:val="20"/>
              </w:rPr>
              <w:t>12.080</w:t>
            </w:r>
          </w:p>
        </w:tc>
        <w:tc>
          <w:tcPr>
            <w:tcW w:w="866" w:type="dxa"/>
            <w:tcBorders>
              <w:top w:val="nil"/>
              <w:left w:val="nil"/>
              <w:bottom w:val="single" w:sz="4" w:space="0" w:color="auto"/>
              <w:right w:val="single" w:sz="4" w:space="0" w:color="auto"/>
            </w:tcBorders>
            <w:shd w:val="clear" w:color="auto" w:fill="auto"/>
            <w:noWrap/>
            <w:vAlign w:val="center"/>
            <w:hideMark/>
          </w:tcPr>
          <w:p w14:paraId="519B498D" w14:textId="77777777" w:rsidR="0074711A" w:rsidRPr="008E63BB" w:rsidRDefault="0074711A" w:rsidP="0065184D">
            <w:pPr>
              <w:jc w:val="right"/>
              <w:rPr>
                <w:rFonts w:eastAsia="Times New Roman"/>
                <w:sz w:val="20"/>
                <w:szCs w:val="20"/>
              </w:rPr>
            </w:pPr>
            <w:r w:rsidRPr="008E63BB">
              <w:rPr>
                <w:rFonts w:eastAsia="Times New Roman"/>
                <w:sz w:val="20"/>
                <w:szCs w:val="20"/>
              </w:rPr>
              <w:t>12.099</w:t>
            </w:r>
          </w:p>
        </w:tc>
        <w:tc>
          <w:tcPr>
            <w:tcW w:w="866" w:type="dxa"/>
            <w:tcBorders>
              <w:top w:val="nil"/>
              <w:left w:val="nil"/>
              <w:bottom w:val="single" w:sz="4" w:space="0" w:color="auto"/>
              <w:right w:val="single" w:sz="4" w:space="0" w:color="auto"/>
            </w:tcBorders>
            <w:shd w:val="clear" w:color="auto" w:fill="auto"/>
            <w:noWrap/>
            <w:vAlign w:val="center"/>
            <w:hideMark/>
          </w:tcPr>
          <w:p w14:paraId="519B498E" w14:textId="77777777" w:rsidR="0074711A" w:rsidRPr="008E63BB" w:rsidRDefault="0074711A" w:rsidP="0065184D">
            <w:pPr>
              <w:jc w:val="right"/>
              <w:rPr>
                <w:rFonts w:eastAsia="Times New Roman"/>
                <w:sz w:val="20"/>
                <w:szCs w:val="20"/>
              </w:rPr>
            </w:pPr>
            <w:r w:rsidRPr="008E63BB">
              <w:rPr>
                <w:rFonts w:eastAsia="Times New Roman"/>
                <w:sz w:val="20"/>
                <w:szCs w:val="20"/>
              </w:rPr>
              <w:t>12.100</w:t>
            </w:r>
          </w:p>
        </w:tc>
        <w:tc>
          <w:tcPr>
            <w:tcW w:w="866" w:type="dxa"/>
            <w:tcBorders>
              <w:top w:val="nil"/>
              <w:left w:val="nil"/>
              <w:bottom w:val="single" w:sz="4" w:space="0" w:color="auto"/>
              <w:right w:val="single" w:sz="4" w:space="0" w:color="auto"/>
            </w:tcBorders>
            <w:shd w:val="clear" w:color="auto" w:fill="auto"/>
            <w:noWrap/>
            <w:vAlign w:val="center"/>
            <w:hideMark/>
          </w:tcPr>
          <w:p w14:paraId="519B498F" w14:textId="77777777" w:rsidR="0074711A" w:rsidRPr="008E63BB" w:rsidRDefault="0074711A" w:rsidP="0065184D">
            <w:pPr>
              <w:jc w:val="right"/>
              <w:rPr>
                <w:rFonts w:eastAsia="Times New Roman"/>
                <w:sz w:val="20"/>
                <w:szCs w:val="20"/>
              </w:rPr>
            </w:pPr>
            <w:r w:rsidRPr="008E63BB">
              <w:rPr>
                <w:rFonts w:eastAsia="Times New Roman"/>
                <w:sz w:val="20"/>
                <w:szCs w:val="20"/>
              </w:rPr>
              <w:t>1.210</w:t>
            </w:r>
          </w:p>
        </w:tc>
        <w:tc>
          <w:tcPr>
            <w:tcW w:w="994" w:type="dxa"/>
            <w:tcBorders>
              <w:top w:val="nil"/>
              <w:left w:val="nil"/>
              <w:bottom w:val="single" w:sz="4" w:space="0" w:color="auto"/>
              <w:right w:val="single" w:sz="4" w:space="0" w:color="auto"/>
            </w:tcBorders>
            <w:shd w:val="clear" w:color="auto" w:fill="auto"/>
            <w:noWrap/>
            <w:vAlign w:val="center"/>
            <w:hideMark/>
          </w:tcPr>
          <w:p w14:paraId="519B4990" w14:textId="77777777" w:rsidR="0074711A" w:rsidRPr="008E63BB" w:rsidRDefault="0074711A" w:rsidP="0065184D">
            <w:pPr>
              <w:jc w:val="right"/>
              <w:rPr>
                <w:rFonts w:eastAsia="Times New Roman"/>
                <w:sz w:val="20"/>
                <w:szCs w:val="20"/>
              </w:rPr>
            </w:pPr>
            <w:r w:rsidRPr="008E63BB">
              <w:rPr>
                <w:rFonts w:eastAsia="Times New Roman"/>
                <w:sz w:val="20"/>
                <w:szCs w:val="20"/>
              </w:rPr>
              <w:t>116</w:t>
            </w:r>
          </w:p>
        </w:tc>
      </w:tr>
      <w:tr w:rsidR="008D5BFE" w:rsidRPr="008E63BB" w14:paraId="519B49A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92" w14:textId="77777777" w:rsidR="0074711A" w:rsidRPr="008E63BB" w:rsidRDefault="0074711A" w:rsidP="0065184D">
            <w:pPr>
              <w:jc w:val="right"/>
              <w:rPr>
                <w:rFonts w:eastAsia="Times New Roman"/>
                <w:sz w:val="20"/>
                <w:szCs w:val="20"/>
              </w:rPr>
            </w:pPr>
            <w:r w:rsidRPr="008E63BB">
              <w:rPr>
                <w:rFonts w:eastAsia="Times New Roman"/>
                <w:sz w:val="20"/>
                <w:szCs w:val="20"/>
              </w:rPr>
              <w:t>3</w:t>
            </w:r>
          </w:p>
        </w:tc>
        <w:tc>
          <w:tcPr>
            <w:tcW w:w="2684" w:type="dxa"/>
            <w:tcBorders>
              <w:top w:val="nil"/>
              <w:left w:val="nil"/>
              <w:bottom w:val="single" w:sz="4" w:space="0" w:color="auto"/>
              <w:right w:val="single" w:sz="4" w:space="0" w:color="auto"/>
            </w:tcBorders>
            <w:shd w:val="clear" w:color="auto" w:fill="auto"/>
            <w:noWrap/>
            <w:vAlign w:val="center"/>
            <w:hideMark/>
          </w:tcPr>
          <w:p w14:paraId="519B4993" w14:textId="77777777" w:rsidR="0074711A" w:rsidRPr="008E63BB" w:rsidRDefault="0074711A" w:rsidP="0065184D">
            <w:pPr>
              <w:jc w:val="left"/>
              <w:rPr>
                <w:rFonts w:eastAsia="Times New Roman"/>
                <w:sz w:val="20"/>
                <w:szCs w:val="20"/>
              </w:rPr>
            </w:pPr>
            <w:r w:rsidRPr="008E63BB">
              <w:rPr>
                <w:rFonts w:eastAsia="Times New Roman"/>
                <w:sz w:val="20"/>
                <w:szCs w:val="20"/>
              </w:rPr>
              <w:t>X. Nghĩa An</w:t>
            </w:r>
          </w:p>
        </w:tc>
        <w:tc>
          <w:tcPr>
            <w:tcW w:w="794" w:type="dxa"/>
            <w:tcBorders>
              <w:top w:val="nil"/>
              <w:left w:val="nil"/>
              <w:bottom w:val="single" w:sz="4" w:space="0" w:color="auto"/>
              <w:right w:val="single" w:sz="4" w:space="0" w:color="auto"/>
            </w:tcBorders>
            <w:shd w:val="clear" w:color="auto" w:fill="auto"/>
            <w:noWrap/>
            <w:vAlign w:val="center"/>
            <w:hideMark/>
          </w:tcPr>
          <w:p w14:paraId="519B4994" w14:textId="77777777" w:rsidR="0074711A" w:rsidRPr="008E63BB" w:rsidRDefault="0074711A" w:rsidP="0065184D">
            <w:pPr>
              <w:jc w:val="right"/>
              <w:rPr>
                <w:rFonts w:eastAsia="Times New Roman"/>
                <w:sz w:val="20"/>
                <w:szCs w:val="20"/>
              </w:rPr>
            </w:pPr>
            <w:r w:rsidRPr="008E63BB">
              <w:rPr>
                <w:rFonts w:eastAsia="Times New Roman"/>
                <w:sz w:val="20"/>
                <w:szCs w:val="20"/>
              </w:rPr>
              <w:t>11,32</w:t>
            </w:r>
          </w:p>
        </w:tc>
        <w:tc>
          <w:tcPr>
            <w:tcW w:w="866" w:type="dxa"/>
            <w:tcBorders>
              <w:top w:val="nil"/>
              <w:left w:val="nil"/>
              <w:bottom w:val="single" w:sz="4" w:space="0" w:color="auto"/>
              <w:right w:val="nil"/>
            </w:tcBorders>
            <w:shd w:val="clear" w:color="auto" w:fill="auto"/>
            <w:noWrap/>
            <w:vAlign w:val="center"/>
            <w:hideMark/>
          </w:tcPr>
          <w:p w14:paraId="519B4995" w14:textId="77777777" w:rsidR="0074711A" w:rsidRPr="008E63BB" w:rsidRDefault="0074711A" w:rsidP="0065184D">
            <w:pPr>
              <w:jc w:val="right"/>
              <w:rPr>
                <w:rFonts w:eastAsia="Times New Roman"/>
                <w:sz w:val="20"/>
                <w:szCs w:val="20"/>
              </w:rPr>
            </w:pPr>
            <w:r w:rsidRPr="008E63BB">
              <w:rPr>
                <w:rFonts w:eastAsia="Times New Roman"/>
                <w:sz w:val="20"/>
                <w:szCs w:val="20"/>
              </w:rPr>
              <w:t>10.178</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996" w14:textId="77777777" w:rsidR="0074711A" w:rsidRPr="008E63BB" w:rsidRDefault="0074711A" w:rsidP="0065184D">
            <w:pPr>
              <w:jc w:val="right"/>
              <w:rPr>
                <w:rFonts w:eastAsia="Times New Roman"/>
                <w:sz w:val="20"/>
                <w:szCs w:val="20"/>
              </w:rPr>
            </w:pPr>
            <w:r w:rsidRPr="008E63BB">
              <w:rPr>
                <w:rFonts w:eastAsia="Times New Roman"/>
                <w:sz w:val="20"/>
                <w:szCs w:val="20"/>
              </w:rPr>
              <w:t>13.896</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97" w14:textId="77777777" w:rsidR="0074711A" w:rsidRPr="008E63BB" w:rsidRDefault="0074711A" w:rsidP="0065184D">
            <w:pPr>
              <w:jc w:val="right"/>
              <w:rPr>
                <w:rFonts w:eastAsia="Times New Roman"/>
                <w:sz w:val="20"/>
                <w:szCs w:val="20"/>
              </w:rPr>
            </w:pPr>
            <w:r w:rsidRPr="008E63BB">
              <w:rPr>
                <w:rFonts w:eastAsia="Times New Roman"/>
                <w:sz w:val="20"/>
                <w:szCs w:val="20"/>
              </w:rPr>
              <w:t>10.359</w:t>
            </w:r>
          </w:p>
        </w:tc>
        <w:tc>
          <w:tcPr>
            <w:tcW w:w="866" w:type="dxa"/>
            <w:tcBorders>
              <w:top w:val="nil"/>
              <w:left w:val="nil"/>
              <w:bottom w:val="single" w:sz="4" w:space="0" w:color="auto"/>
              <w:right w:val="single" w:sz="4" w:space="0" w:color="auto"/>
            </w:tcBorders>
            <w:shd w:val="clear" w:color="auto" w:fill="auto"/>
            <w:noWrap/>
            <w:vAlign w:val="center"/>
            <w:hideMark/>
          </w:tcPr>
          <w:p w14:paraId="519B4998" w14:textId="77777777" w:rsidR="0074711A" w:rsidRPr="008E63BB" w:rsidRDefault="0074711A" w:rsidP="0065184D">
            <w:pPr>
              <w:jc w:val="right"/>
              <w:rPr>
                <w:rFonts w:eastAsia="Times New Roman"/>
                <w:sz w:val="20"/>
                <w:szCs w:val="20"/>
              </w:rPr>
            </w:pPr>
            <w:r w:rsidRPr="008E63BB">
              <w:rPr>
                <w:rFonts w:eastAsia="Times New Roman"/>
                <w:sz w:val="20"/>
                <w:szCs w:val="20"/>
              </w:rPr>
              <w:t>10.349</w:t>
            </w:r>
          </w:p>
        </w:tc>
        <w:tc>
          <w:tcPr>
            <w:tcW w:w="866" w:type="dxa"/>
            <w:tcBorders>
              <w:top w:val="nil"/>
              <w:left w:val="nil"/>
              <w:bottom w:val="single" w:sz="4" w:space="0" w:color="auto"/>
              <w:right w:val="single" w:sz="4" w:space="0" w:color="auto"/>
            </w:tcBorders>
            <w:shd w:val="clear" w:color="auto" w:fill="auto"/>
            <w:noWrap/>
            <w:vAlign w:val="center"/>
            <w:hideMark/>
          </w:tcPr>
          <w:p w14:paraId="519B4999" w14:textId="77777777" w:rsidR="0074711A" w:rsidRPr="008E63BB" w:rsidRDefault="0074711A" w:rsidP="0065184D">
            <w:pPr>
              <w:jc w:val="right"/>
              <w:rPr>
                <w:rFonts w:eastAsia="Times New Roman"/>
                <w:sz w:val="20"/>
                <w:szCs w:val="20"/>
              </w:rPr>
            </w:pPr>
            <w:r w:rsidRPr="008E63BB">
              <w:rPr>
                <w:rFonts w:eastAsia="Times New Roman"/>
                <w:sz w:val="20"/>
                <w:szCs w:val="20"/>
              </w:rPr>
              <w:t>10.367</w:t>
            </w:r>
          </w:p>
        </w:tc>
        <w:tc>
          <w:tcPr>
            <w:tcW w:w="866" w:type="dxa"/>
            <w:tcBorders>
              <w:top w:val="nil"/>
              <w:left w:val="nil"/>
              <w:bottom w:val="single" w:sz="4" w:space="0" w:color="auto"/>
              <w:right w:val="single" w:sz="4" w:space="0" w:color="auto"/>
            </w:tcBorders>
            <w:shd w:val="clear" w:color="auto" w:fill="auto"/>
            <w:noWrap/>
            <w:vAlign w:val="center"/>
            <w:hideMark/>
          </w:tcPr>
          <w:p w14:paraId="519B499A" w14:textId="77777777" w:rsidR="0074711A" w:rsidRPr="008E63BB" w:rsidRDefault="0074711A" w:rsidP="0065184D">
            <w:pPr>
              <w:jc w:val="right"/>
              <w:rPr>
                <w:rFonts w:eastAsia="Times New Roman"/>
                <w:sz w:val="20"/>
                <w:szCs w:val="20"/>
              </w:rPr>
            </w:pPr>
            <w:r w:rsidRPr="008E63BB">
              <w:rPr>
                <w:rFonts w:eastAsia="Times New Roman"/>
                <w:sz w:val="20"/>
                <w:szCs w:val="20"/>
              </w:rPr>
              <w:t>10.392</w:t>
            </w:r>
          </w:p>
        </w:tc>
        <w:tc>
          <w:tcPr>
            <w:tcW w:w="866" w:type="dxa"/>
            <w:tcBorders>
              <w:top w:val="nil"/>
              <w:left w:val="nil"/>
              <w:bottom w:val="single" w:sz="4" w:space="0" w:color="auto"/>
              <w:right w:val="single" w:sz="4" w:space="0" w:color="auto"/>
            </w:tcBorders>
            <w:shd w:val="clear" w:color="auto" w:fill="auto"/>
            <w:noWrap/>
            <w:vAlign w:val="center"/>
            <w:hideMark/>
          </w:tcPr>
          <w:p w14:paraId="519B499B" w14:textId="77777777" w:rsidR="0074711A" w:rsidRPr="008E63BB" w:rsidRDefault="0074711A" w:rsidP="0065184D">
            <w:pPr>
              <w:jc w:val="right"/>
              <w:rPr>
                <w:rFonts w:eastAsia="Times New Roman"/>
                <w:sz w:val="20"/>
                <w:szCs w:val="20"/>
              </w:rPr>
            </w:pPr>
            <w:r w:rsidRPr="008E63BB">
              <w:rPr>
                <w:rFonts w:eastAsia="Times New Roman"/>
                <w:sz w:val="20"/>
                <w:szCs w:val="20"/>
              </w:rPr>
              <w:t>10.415</w:t>
            </w:r>
          </w:p>
        </w:tc>
        <w:tc>
          <w:tcPr>
            <w:tcW w:w="866" w:type="dxa"/>
            <w:tcBorders>
              <w:top w:val="nil"/>
              <w:left w:val="nil"/>
              <w:bottom w:val="single" w:sz="4" w:space="0" w:color="auto"/>
              <w:right w:val="single" w:sz="4" w:space="0" w:color="auto"/>
            </w:tcBorders>
            <w:shd w:val="clear" w:color="auto" w:fill="auto"/>
            <w:noWrap/>
            <w:vAlign w:val="center"/>
            <w:hideMark/>
          </w:tcPr>
          <w:p w14:paraId="519B499C" w14:textId="77777777" w:rsidR="0074711A" w:rsidRPr="008E63BB" w:rsidRDefault="0074711A" w:rsidP="0065184D">
            <w:pPr>
              <w:jc w:val="right"/>
              <w:rPr>
                <w:rFonts w:eastAsia="Times New Roman"/>
                <w:sz w:val="20"/>
                <w:szCs w:val="20"/>
              </w:rPr>
            </w:pPr>
            <w:r w:rsidRPr="008E63BB">
              <w:rPr>
                <w:rFonts w:eastAsia="Times New Roman"/>
                <w:sz w:val="20"/>
                <w:szCs w:val="20"/>
              </w:rPr>
              <w:t>10.412</w:t>
            </w:r>
          </w:p>
        </w:tc>
        <w:tc>
          <w:tcPr>
            <w:tcW w:w="866" w:type="dxa"/>
            <w:tcBorders>
              <w:top w:val="nil"/>
              <w:left w:val="nil"/>
              <w:bottom w:val="single" w:sz="4" w:space="0" w:color="auto"/>
              <w:right w:val="single" w:sz="4" w:space="0" w:color="auto"/>
            </w:tcBorders>
            <w:shd w:val="clear" w:color="auto" w:fill="auto"/>
            <w:noWrap/>
            <w:vAlign w:val="center"/>
            <w:hideMark/>
          </w:tcPr>
          <w:p w14:paraId="519B499D" w14:textId="77777777" w:rsidR="0074711A" w:rsidRPr="008E63BB" w:rsidRDefault="0074711A" w:rsidP="0065184D">
            <w:pPr>
              <w:jc w:val="right"/>
              <w:rPr>
                <w:rFonts w:eastAsia="Times New Roman"/>
                <w:sz w:val="20"/>
                <w:szCs w:val="20"/>
              </w:rPr>
            </w:pPr>
            <w:r w:rsidRPr="008E63BB">
              <w:rPr>
                <w:rFonts w:eastAsia="Times New Roman"/>
                <w:sz w:val="20"/>
                <w:szCs w:val="20"/>
              </w:rPr>
              <w:t>10.442</w:t>
            </w:r>
          </w:p>
        </w:tc>
        <w:tc>
          <w:tcPr>
            <w:tcW w:w="866" w:type="dxa"/>
            <w:tcBorders>
              <w:top w:val="nil"/>
              <w:left w:val="nil"/>
              <w:bottom w:val="single" w:sz="4" w:space="0" w:color="auto"/>
              <w:right w:val="single" w:sz="4" w:space="0" w:color="auto"/>
            </w:tcBorders>
            <w:shd w:val="clear" w:color="auto" w:fill="auto"/>
            <w:noWrap/>
            <w:vAlign w:val="center"/>
            <w:hideMark/>
          </w:tcPr>
          <w:p w14:paraId="519B499E" w14:textId="77777777" w:rsidR="0074711A" w:rsidRPr="008E63BB" w:rsidRDefault="0074711A" w:rsidP="0065184D">
            <w:pPr>
              <w:jc w:val="right"/>
              <w:rPr>
                <w:rFonts w:eastAsia="Times New Roman"/>
                <w:sz w:val="20"/>
                <w:szCs w:val="20"/>
              </w:rPr>
            </w:pPr>
            <w:r w:rsidRPr="008E63BB">
              <w:rPr>
                <w:rFonts w:eastAsia="Times New Roman"/>
                <w:sz w:val="20"/>
                <w:szCs w:val="20"/>
              </w:rPr>
              <w:t>10.440</w:t>
            </w:r>
          </w:p>
        </w:tc>
        <w:tc>
          <w:tcPr>
            <w:tcW w:w="866" w:type="dxa"/>
            <w:tcBorders>
              <w:top w:val="nil"/>
              <w:left w:val="nil"/>
              <w:bottom w:val="single" w:sz="4" w:space="0" w:color="auto"/>
              <w:right w:val="single" w:sz="4" w:space="0" w:color="auto"/>
            </w:tcBorders>
            <w:shd w:val="clear" w:color="auto" w:fill="auto"/>
            <w:noWrap/>
            <w:vAlign w:val="center"/>
            <w:hideMark/>
          </w:tcPr>
          <w:p w14:paraId="519B499F" w14:textId="77777777" w:rsidR="0074711A" w:rsidRPr="008E63BB" w:rsidRDefault="0074711A" w:rsidP="0065184D">
            <w:pPr>
              <w:jc w:val="right"/>
              <w:rPr>
                <w:rFonts w:eastAsia="Times New Roman"/>
                <w:sz w:val="20"/>
                <w:szCs w:val="20"/>
              </w:rPr>
            </w:pPr>
            <w:r w:rsidRPr="008E63BB">
              <w:rPr>
                <w:rFonts w:eastAsia="Times New Roman"/>
                <w:sz w:val="20"/>
                <w:szCs w:val="20"/>
              </w:rPr>
              <w:t>10.499</w:t>
            </w:r>
          </w:p>
        </w:tc>
        <w:tc>
          <w:tcPr>
            <w:tcW w:w="994" w:type="dxa"/>
            <w:tcBorders>
              <w:top w:val="nil"/>
              <w:left w:val="nil"/>
              <w:bottom w:val="single" w:sz="4" w:space="0" w:color="auto"/>
              <w:right w:val="single" w:sz="4" w:space="0" w:color="auto"/>
            </w:tcBorders>
            <w:shd w:val="clear" w:color="auto" w:fill="auto"/>
            <w:noWrap/>
            <w:vAlign w:val="center"/>
            <w:hideMark/>
          </w:tcPr>
          <w:p w14:paraId="519B49A0" w14:textId="77777777" w:rsidR="0074711A" w:rsidRPr="008E63BB" w:rsidRDefault="0074711A" w:rsidP="0065184D">
            <w:pPr>
              <w:jc w:val="right"/>
              <w:rPr>
                <w:rFonts w:eastAsia="Times New Roman"/>
                <w:sz w:val="20"/>
                <w:szCs w:val="20"/>
              </w:rPr>
            </w:pPr>
            <w:r w:rsidRPr="008E63BB">
              <w:rPr>
                <w:rFonts w:eastAsia="Times New Roman"/>
                <w:sz w:val="20"/>
                <w:szCs w:val="20"/>
              </w:rPr>
              <w:t>927</w:t>
            </w:r>
          </w:p>
        </w:tc>
      </w:tr>
      <w:tr w:rsidR="008D5BFE" w:rsidRPr="008E63BB" w14:paraId="519B49B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A2" w14:textId="77777777" w:rsidR="0074711A" w:rsidRPr="008E63BB" w:rsidRDefault="0074711A" w:rsidP="0065184D">
            <w:pPr>
              <w:jc w:val="right"/>
              <w:rPr>
                <w:rFonts w:eastAsia="Times New Roman"/>
                <w:sz w:val="20"/>
                <w:szCs w:val="20"/>
              </w:rPr>
            </w:pPr>
            <w:r w:rsidRPr="008E63BB">
              <w:rPr>
                <w:rFonts w:eastAsia="Times New Roman"/>
                <w:sz w:val="20"/>
                <w:szCs w:val="20"/>
              </w:rPr>
              <w:t>4</w:t>
            </w:r>
          </w:p>
        </w:tc>
        <w:tc>
          <w:tcPr>
            <w:tcW w:w="2684" w:type="dxa"/>
            <w:tcBorders>
              <w:top w:val="nil"/>
              <w:left w:val="nil"/>
              <w:bottom w:val="single" w:sz="4" w:space="0" w:color="auto"/>
              <w:right w:val="single" w:sz="4" w:space="0" w:color="auto"/>
            </w:tcBorders>
            <w:shd w:val="clear" w:color="auto" w:fill="auto"/>
            <w:noWrap/>
            <w:vAlign w:val="center"/>
            <w:hideMark/>
          </w:tcPr>
          <w:p w14:paraId="519B49A3" w14:textId="77777777" w:rsidR="0074711A" w:rsidRPr="008E63BB" w:rsidRDefault="0074711A" w:rsidP="0065184D">
            <w:pPr>
              <w:jc w:val="left"/>
              <w:rPr>
                <w:rFonts w:eastAsia="Times New Roman"/>
                <w:sz w:val="20"/>
                <w:szCs w:val="20"/>
              </w:rPr>
            </w:pPr>
            <w:r w:rsidRPr="008E63BB">
              <w:rPr>
                <w:rFonts w:eastAsia="Times New Roman"/>
                <w:sz w:val="20"/>
                <w:szCs w:val="20"/>
              </w:rPr>
              <w:t>X. Nam Toàn</w:t>
            </w:r>
          </w:p>
        </w:tc>
        <w:tc>
          <w:tcPr>
            <w:tcW w:w="794" w:type="dxa"/>
            <w:tcBorders>
              <w:top w:val="nil"/>
              <w:left w:val="nil"/>
              <w:bottom w:val="single" w:sz="4" w:space="0" w:color="auto"/>
              <w:right w:val="single" w:sz="4" w:space="0" w:color="auto"/>
            </w:tcBorders>
            <w:shd w:val="clear" w:color="auto" w:fill="auto"/>
            <w:noWrap/>
            <w:vAlign w:val="center"/>
            <w:hideMark/>
          </w:tcPr>
          <w:p w14:paraId="519B49A4" w14:textId="77777777" w:rsidR="0074711A" w:rsidRPr="008E63BB" w:rsidRDefault="0074711A" w:rsidP="0065184D">
            <w:pPr>
              <w:jc w:val="right"/>
              <w:rPr>
                <w:rFonts w:eastAsia="Times New Roman"/>
                <w:sz w:val="20"/>
                <w:szCs w:val="20"/>
              </w:rPr>
            </w:pPr>
            <w:r w:rsidRPr="008E63BB">
              <w:rPr>
                <w:rFonts w:eastAsia="Times New Roman"/>
                <w:sz w:val="20"/>
                <w:szCs w:val="20"/>
              </w:rPr>
              <w:t>3,95</w:t>
            </w:r>
          </w:p>
        </w:tc>
        <w:tc>
          <w:tcPr>
            <w:tcW w:w="866" w:type="dxa"/>
            <w:tcBorders>
              <w:top w:val="nil"/>
              <w:left w:val="nil"/>
              <w:bottom w:val="single" w:sz="4" w:space="0" w:color="auto"/>
              <w:right w:val="nil"/>
            </w:tcBorders>
            <w:shd w:val="clear" w:color="auto" w:fill="auto"/>
            <w:noWrap/>
            <w:vAlign w:val="center"/>
            <w:hideMark/>
          </w:tcPr>
          <w:p w14:paraId="519B49A5" w14:textId="77777777" w:rsidR="0074711A" w:rsidRPr="008E63BB" w:rsidRDefault="0074711A" w:rsidP="0065184D">
            <w:pPr>
              <w:jc w:val="right"/>
              <w:rPr>
                <w:rFonts w:eastAsia="Times New Roman"/>
                <w:sz w:val="20"/>
                <w:szCs w:val="20"/>
              </w:rPr>
            </w:pPr>
            <w:r w:rsidRPr="008E63BB">
              <w:rPr>
                <w:rFonts w:eastAsia="Times New Roman"/>
                <w:sz w:val="20"/>
                <w:szCs w:val="20"/>
              </w:rPr>
              <w:t>4.174</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9A6" w14:textId="77777777" w:rsidR="0074711A" w:rsidRPr="008E63BB" w:rsidRDefault="0074711A" w:rsidP="0065184D">
            <w:pPr>
              <w:jc w:val="right"/>
              <w:rPr>
                <w:rFonts w:eastAsia="Times New Roman"/>
                <w:sz w:val="20"/>
                <w:szCs w:val="20"/>
              </w:rPr>
            </w:pPr>
            <w:r w:rsidRPr="008E63BB">
              <w:rPr>
                <w:rFonts w:eastAsia="Times New Roman"/>
                <w:sz w:val="20"/>
                <w:szCs w:val="20"/>
              </w:rPr>
              <w:t>11.876</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A7" w14:textId="77777777" w:rsidR="0074711A" w:rsidRPr="008E63BB" w:rsidRDefault="0074711A" w:rsidP="0065184D">
            <w:pPr>
              <w:jc w:val="right"/>
              <w:rPr>
                <w:rFonts w:eastAsia="Times New Roman"/>
                <w:sz w:val="20"/>
                <w:szCs w:val="20"/>
              </w:rPr>
            </w:pPr>
            <w:r w:rsidRPr="008E63BB">
              <w:rPr>
                <w:rFonts w:eastAsia="Times New Roman"/>
                <w:sz w:val="20"/>
                <w:szCs w:val="20"/>
              </w:rPr>
              <w:t>4.328</w:t>
            </w:r>
          </w:p>
        </w:tc>
        <w:tc>
          <w:tcPr>
            <w:tcW w:w="866" w:type="dxa"/>
            <w:tcBorders>
              <w:top w:val="nil"/>
              <w:left w:val="nil"/>
              <w:bottom w:val="single" w:sz="4" w:space="0" w:color="auto"/>
              <w:right w:val="single" w:sz="4" w:space="0" w:color="auto"/>
            </w:tcBorders>
            <w:shd w:val="clear" w:color="auto" w:fill="auto"/>
            <w:noWrap/>
            <w:vAlign w:val="center"/>
            <w:hideMark/>
          </w:tcPr>
          <w:p w14:paraId="519B49A8" w14:textId="77777777" w:rsidR="0074711A" w:rsidRPr="008E63BB" w:rsidRDefault="0074711A" w:rsidP="0065184D">
            <w:pPr>
              <w:jc w:val="right"/>
              <w:rPr>
                <w:rFonts w:eastAsia="Times New Roman"/>
                <w:sz w:val="20"/>
                <w:szCs w:val="20"/>
              </w:rPr>
            </w:pPr>
            <w:r w:rsidRPr="008E63BB">
              <w:rPr>
                <w:rFonts w:eastAsia="Times New Roman"/>
                <w:sz w:val="20"/>
                <w:szCs w:val="20"/>
              </w:rPr>
              <w:t>4.306</w:t>
            </w:r>
          </w:p>
        </w:tc>
        <w:tc>
          <w:tcPr>
            <w:tcW w:w="866" w:type="dxa"/>
            <w:tcBorders>
              <w:top w:val="nil"/>
              <w:left w:val="nil"/>
              <w:bottom w:val="single" w:sz="4" w:space="0" w:color="auto"/>
              <w:right w:val="single" w:sz="4" w:space="0" w:color="auto"/>
            </w:tcBorders>
            <w:shd w:val="clear" w:color="auto" w:fill="auto"/>
            <w:noWrap/>
            <w:vAlign w:val="center"/>
            <w:hideMark/>
          </w:tcPr>
          <w:p w14:paraId="519B49A9" w14:textId="77777777" w:rsidR="0074711A" w:rsidRPr="008E63BB" w:rsidRDefault="0074711A" w:rsidP="0065184D">
            <w:pPr>
              <w:jc w:val="right"/>
              <w:rPr>
                <w:rFonts w:eastAsia="Times New Roman"/>
                <w:sz w:val="20"/>
                <w:szCs w:val="20"/>
              </w:rPr>
            </w:pPr>
            <w:r w:rsidRPr="008E63BB">
              <w:rPr>
                <w:rFonts w:eastAsia="Times New Roman"/>
                <w:sz w:val="20"/>
                <w:szCs w:val="20"/>
              </w:rPr>
              <w:t>4.299</w:t>
            </w:r>
          </w:p>
        </w:tc>
        <w:tc>
          <w:tcPr>
            <w:tcW w:w="866" w:type="dxa"/>
            <w:tcBorders>
              <w:top w:val="nil"/>
              <w:left w:val="nil"/>
              <w:bottom w:val="single" w:sz="4" w:space="0" w:color="auto"/>
              <w:right w:val="single" w:sz="4" w:space="0" w:color="auto"/>
            </w:tcBorders>
            <w:shd w:val="clear" w:color="auto" w:fill="auto"/>
            <w:noWrap/>
            <w:vAlign w:val="center"/>
            <w:hideMark/>
          </w:tcPr>
          <w:p w14:paraId="519B49AA" w14:textId="77777777" w:rsidR="0074711A" w:rsidRPr="008E63BB" w:rsidRDefault="0074711A" w:rsidP="0065184D">
            <w:pPr>
              <w:jc w:val="right"/>
              <w:rPr>
                <w:rFonts w:eastAsia="Times New Roman"/>
                <w:sz w:val="20"/>
                <w:szCs w:val="20"/>
              </w:rPr>
            </w:pPr>
            <w:r w:rsidRPr="008E63BB">
              <w:rPr>
                <w:rFonts w:eastAsia="Times New Roman"/>
                <w:sz w:val="20"/>
                <w:szCs w:val="20"/>
              </w:rPr>
              <w:t>4.303</w:t>
            </w:r>
          </w:p>
        </w:tc>
        <w:tc>
          <w:tcPr>
            <w:tcW w:w="866" w:type="dxa"/>
            <w:tcBorders>
              <w:top w:val="nil"/>
              <w:left w:val="nil"/>
              <w:bottom w:val="single" w:sz="4" w:space="0" w:color="auto"/>
              <w:right w:val="single" w:sz="4" w:space="0" w:color="auto"/>
            </w:tcBorders>
            <w:shd w:val="clear" w:color="auto" w:fill="auto"/>
            <w:noWrap/>
            <w:vAlign w:val="center"/>
            <w:hideMark/>
          </w:tcPr>
          <w:p w14:paraId="519B49AB" w14:textId="77777777" w:rsidR="0074711A" w:rsidRPr="008E63BB" w:rsidRDefault="0074711A" w:rsidP="0065184D">
            <w:pPr>
              <w:jc w:val="right"/>
              <w:rPr>
                <w:rFonts w:eastAsia="Times New Roman"/>
                <w:sz w:val="20"/>
                <w:szCs w:val="20"/>
              </w:rPr>
            </w:pPr>
            <w:r w:rsidRPr="008E63BB">
              <w:rPr>
                <w:rFonts w:eastAsia="Times New Roman"/>
                <w:sz w:val="20"/>
                <w:szCs w:val="20"/>
              </w:rPr>
              <w:t>4.315</w:t>
            </w:r>
          </w:p>
        </w:tc>
        <w:tc>
          <w:tcPr>
            <w:tcW w:w="866" w:type="dxa"/>
            <w:tcBorders>
              <w:top w:val="nil"/>
              <w:left w:val="nil"/>
              <w:bottom w:val="single" w:sz="4" w:space="0" w:color="auto"/>
              <w:right w:val="single" w:sz="4" w:space="0" w:color="auto"/>
            </w:tcBorders>
            <w:shd w:val="clear" w:color="auto" w:fill="auto"/>
            <w:noWrap/>
            <w:vAlign w:val="center"/>
            <w:hideMark/>
          </w:tcPr>
          <w:p w14:paraId="519B49AC" w14:textId="77777777" w:rsidR="0074711A" w:rsidRPr="008E63BB" w:rsidRDefault="0074711A" w:rsidP="0065184D">
            <w:pPr>
              <w:jc w:val="right"/>
              <w:rPr>
                <w:rFonts w:eastAsia="Times New Roman"/>
                <w:sz w:val="20"/>
                <w:szCs w:val="20"/>
              </w:rPr>
            </w:pPr>
            <w:r w:rsidRPr="008E63BB">
              <w:rPr>
                <w:rFonts w:eastAsia="Times New Roman"/>
                <w:sz w:val="20"/>
                <w:szCs w:val="20"/>
              </w:rPr>
              <w:t>4.315</w:t>
            </w:r>
          </w:p>
        </w:tc>
        <w:tc>
          <w:tcPr>
            <w:tcW w:w="866" w:type="dxa"/>
            <w:tcBorders>
              <w:top w:val="nil"/>
              <w:left w:val="nil"/>
              <w:bottom w:val="single" w:sz="4" w:space="0" w:color="auto"/>
              <w:right w:val="single" w:sz="4" w:space="0" w:color="auto"/>
            </w:tcBorders>
            <w:shd w:val="clear" w:color="auto" w:fill="auto"/>
            <w:noWrap/>
            <w:vAlign w:val="center"/>
            <w:hideMark/>
          </w:tcPr>
          <w:p w14:paraId="519B49AD" w14:textId="77777777" w:rsidR="0074711A" w:rsidRPr="008E63BB" w:rsidRDefault="0074711A" w:rsidP="0065184D">
            <w:pPr>
              <w:jc w:val="right"/>
              <w:rPr>
                <w:rFonts w:eastAsia="Times New Roman"/>
                <w:sz w:val="20"/>
                <w:szCs w:val="20"/>
              </w:rPr>
            </w:pPr>
            <w:r w:rsidRPr="008E63BB">
              <w:rPr>
                <w:rFonts w:eastAsia="Times New Roman"/>
                <w:sz w:val="20"/>
                <w:szCs w:val="20"/>
              </w:rPr>
              <w:t>4.329</w:t>
            </w:r>
          </w:p>
        </w:tc>
        <w:tc>
          <w:tcPr>
            <w:tcW w:w="866" w:type="dxa"/>
            <w:tcBorders>
              <w:top w:val="nil"/>
              <w:left w:val="nil"/>
              <w:bottom w:val="single" w:sz="4" w:space="0" w:color="auto"/>
              <w:right w:val="single" w:sz="4" w:space="0" w:color="auto"/>
            </w:tcBorders>
            <w:shd w:val="clear" w:color="auto" w:fill="auto"/>
            <w:noWrap/>
            <w:vAlign w:val="center"/>
            <w:hideMark/>
          </w:tcPr>
          <w:p w14:paraId="519B49AE" w14:textId="77777777" w:rsidR="0074711A" w:rsidRPr="008E63BB" w:rsidRDefault="0074711A" w:rsidP="0065184D">
            <w:pPr>
              <w:jc w:val="right"/>
              <w:rPr>
                <w:rFonts w:eastAsia="Times New Roman"/>
                <w:sz w:val="20"/>
                <w:szCs w:val="20"/>
              </w:rPr>
            </w:pPr>
            <w:r w:rsidRPr="008E63BB">
              <w:rPr>
                <w:rFonts w:eastAsia="Times New Roman"/>
                <w:sz w:val="20"/>
                <w:szCs w:val="20"/>
              </w:rPr>
              <w:t>4.330</w:t>
            </w:r>
          </w:p>
        </w:tc>
        <w:tc>
          <w:tcPr>
            <w:tcW w:w="866" w:type="dxa"/>
            <w:tcBorders>
              <w:top w:val="nil"/>
              <w:left w:val="nil"/>
              <w:bottom w:val="single" w:sz="4" w:space="0" w:color="auto"/>
              <w:right w:val="single" w:sz="4" w:space="0" w:color="auto"/>
            </w:tcBorders>
            <w:shd w:val="clear" w:color="auto" w:fill="auto"/>
            <w:noWrap/>
            <w:vAlign w:val="center"/>
            <w:hideMark/>
          </w:tcPr>
          <w:p w14:paraId="519B49AF" w14:textId="77777777" w:rsidR="0074711A" w:rsidRPr="008E63BB" w:rsidRDefault="0074711A" w:rsidP="0065184D">
            <w:pPr>
              <w:jc w:val="right"/>
              <w:rPr>
                <w:rFonts w:eastAsia="Times New Roman"/>
                <w:sz w:val="20"/>
                <w:szCs w:val="20"/>
              </w:rPr>
            </w:pPr>
            <w:r w:rsidRPr="008E63BB">
              <w:rPr>
                <w:rFonts w:eastAsia="Times New Roman"/>
                <w:sz w:val="20"/>
                <w:szCs w:val="20"/>
              </w:rPr>
              <w:t>4.343</w:t>
            </w:r>
          </w:p>
        </w:tc>
        <w:tc>
          <w:tcPr>
            <w:tcW w:w="994" w:type="dxa"/>
            <w:tcBorders>
              <w:top w:val="nil"/>
              <w:left w:val="nil"/>
              <w:bottom w:val="single" w:sz="4" w:space="0" w:color="auto"/>
              <w:right w:val="single" w:sz="4" w:space="0" w:color="auto"/>
            </w:tcBorders>
            <w:shd w:val="clear" w:color="auto" w:fill="auto"/>
            <w:noWrap/>
            <w:vAlign w:val="center"/>
            <w:hideMark/>
          </w:tcPr>
          <w:p w14:paraId="519B49B0" w14:textId="77777777" w:rsidR="0074711A" w:rsidRPr="008E63BB" w:rsidRDefault="0074711A" w:rsidP="0065184D">
            <w:pPr>
              <w:jc w:val="right"/>
              <w:rPr>
                <w:rFonts w:eastAsia="Times New Roman"/>
                <w:sz w:val="20"/>
                <w:szCs w:val="20"/>
              </w:rPr>
            </w:pPr>
            <w:r w:rsidRPr="008E63BB">
              <w:rPr>
                <w:rFonts w:eastAsia="Times New Roman"/>
                <w:sz w:val="20"/>
                <w:szCs w:val="20"/>
              </w:rPr>
              <w:t>1.099</w:t>
            </w:r>
          </w:p>
        </w:tc>
      </w:tr>
      <w:tr w:rsidR="008D5BFE" w:rsidRPr="008E63BB" w14:paraId="519B49C1" w14:textId="77777777" w:rsidTr="0074711A">
        <w:trPr>
          <w:trHeight w:val="315"/>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9B49B2" w14:textId="77777777" w:rsidR="0074711A" w:rsidRPr="008E63BB" w:rsidRDefault="0074711A" w:rsidP="0065184D">
            <w:pPr>
              <w:jc w:val="right"/>
              <w:rPr>
                <w:rFonts w:eastAsia="Times New Roman"/>
                <w:sz w:val="20"/>
                <w:szCs w:val="20"/>
              </w:rPr>
            </w:pPr>
            <w:r w:rsidRPr="008E63BB">
              <w:rPr>
                <w:rFonts w:eastAsia="Times New Roman"/>
                <w:sz w:val="20"/>
                <w:szCs w:val="20"/>
              </w:rPr>
              <w:t>5</w:t>
            </w:r>
          </w:p>
        </w:tc>
        <w:tc>
          <w:tcPr>
            <w:tcW w:w="2684" w:type="dxa"/>
            <w:tcBorders>
              <w:top w:val="nil"/>
              <w:left w:val="nil"/>
              <w:bottom w:val="single" w:sz="4" w:space="0" w:color="auto"/>
              <w:right w:val="single" w:sz="4" w:space="0" w:color="auto"/>
            </w:tcBorders>
            <w:shd w:val="clear" w:color="auto" w:fill="auto"/>
            <w:noWrap/>
            <w:vAlign w:val="center"/>
            <w:hideMark/>
          </w:tcPr>
          <w:p w14:paraId="519B49B3" w14:textId="77777777" w:rsidR="0074711A" w:rsidRPr="008E63BB" w:rsidRDefault="0074711A" w:rsidP="0065184D">
            <w:pPr>
              <w:jc w:val="left"/>
              <w:rPr>
                <w:rFonts w:eastAsia="Times New Roman"/>
                <w:sz w:val="20"/>
                <w:szCs w:val="20"/>
              </w:rPr>
            </w:pPr>
            <w:r w:rsidRPr="008E63BB">
              <w:rPr>
                <w:rFonts w:eastAsia="Times New Roman"/>
                <w:sz w:val="20"/>
                <w:szCs w:val="20"/>
              </w:rPr>
              <w:t>X. Hồng Quang</w:t>
            </w:r>
          </w:p>
        </w:tc>
        <w:tc>
          <w:tcPr>
            <w:tcW w:w="794" w:type="dxa"/>
            <w:tcBorders>
              <w:top w:val="nil"/>
              <w:left w:val="nil"/>
              <w:bottom w:val="single" w:sz="4" w:space="0" w:color="auto"/>
              <w:right w:val="single" w:sz="4" w:space="0" w:color="auto"/>
            </w:tcBorders>
            <w:shd w:val="clear" w:color="auto" w:fill="auto"/>
            <w:noWrap/>
            <w:vAlign w:val="center"/>
            <w:hideMark/>
          </w:tcPr>
          <w:p w14:paraId="519B49B4" w14:textId="77777777" w:rsidR="0074711A" w:rsidRPr="008E63BB" w:rsidRDefault="0074711A" w:rsidP="0065184D">
            <w:pPr>
              <w:jc w:val="right"/>
              <w:rPr>
                <w:rFonts w:eastAsia="Times New Roman"/>
                <w:sz w:val="20"/>
                <w:szCs w:val="20"/>
              </w:rPr>
            </w:pPr>
            <w:r w:rsidRPr="008E63BB">
              <w:rPr>
                <w:rFonts w:eastAsia="Times New Roman"/>
                <w:sz w:val="20"/>
                <w:szCs w:val="20"/>
              </w:rPr>
              <w:t>10,59</w:t>
            </w:r>
          </w:p>
        </w:tc>
        <w:tc>
          <w:tcPr>
            <w:tcW w:w="866" w:type="dxa"/>
            <w:tcBorders>
              <w:top w:val="nil"/>
              <w:left w:val="nil"/>
              <w:bottom w:val="single" w:sz="4" w:space="0" w:color="auto"/>
              <w:right w:val="nil"/>
            </w:tcBorders>
            <w:shd w:val="clear" w:color="auto" w:fill="auto"/>
            <w:noWrap/>
            <w:vAlign w:val="center"/>
            <w:hideMark/>
          </w:tcPr>
          <w:p w14:paraId="519B49B5" w14:textId="77777777" w:rsidR="0074711A" w:rsidRPr="008E63BB" w:rsidRDefault="0074711A" w:rsidP="0065184D">
            <w:pPr>
              <w:jc w:val="right"/>
              <w:rPr>
                <w:rFonts w:eastAsia="Times New Roman"/>
                <w:sz w:val="20"/>
                <w:szCs w:val="20"/>
              </w:rPr>
            </w:pPr>
            <w:r w:rsidRPr="008E63BB">
              <w:rPr>
                <w:rFonts w:eastAsia="Times New Roman"/>
                <w:sz w:val="20"/>
                <w:szCs w:val="20"/>
              </w:rPr>
              <w:t>13.896</w:t>
            </w:r>
          </w:p>
        </w:tc>
        <w:tc>
          <w:tcPr>
            <w:tcW w:w="8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9B6" w14:textId="77777777" w:rsidR="0074711A" w:rsidRPr="008E63BB" w:rsidRDefault="0074711A" w:rsidP="0065184D">
            <w:pPr>
              <w:jc w:val="right"/>
              <w:rPr>
                <w:rFonts w:eastAsia="Times New Roman"/>
                <w:sz w:val="20"/>
                <w:szCs w:val="20"/>
              </w:rPr>
            </w:pPr>
            <w:r w:rsidRPr="008E63BB">
              <w:rPr>
                <w:rFonts w:eastAsia="Times New Roman"/>
                <w:sz w:val="20"/>
                <w:szCs w:val="20"/>
              </w:rPr>
              <w:t>10.178</w:t>
            </w:r>
          </w:p>
        </w:tc>
        <w:tc>
          <w:tcPr>
            <w:tcW w:w="866" w:type="dxa"/>
            <w:tcBorders>
              <w:top w:val="single" w:sz="4" w:space="0" w:color="auto"/>
              <w:left w:val="nil"/>
              <w:bottom w:val="single" w:sz="4" w:space="0" w:color="auto"/>
              <w:right w:val="single" w:sz="4" w:space="0" w:color="auto"/>
            </w:tcBorders>
            <w:shd w:val="clear" w:color="auto" w:fill="auto"/>
            <w:noWrap/>
            <w:vAlign w:val="center"/>
            <w:hideMark/>
          </w:tcPr>
          <w:p w14:paraId="519B49B7" w14:textId="77777777" w:rsidR="0074711A" w:rsidRPr="008E63BB" w:rsidRDefault="0074711A" w:rsidP="0065184D">
            <w:pPr>
              <w:jc w:val="right"/>
              <w:rPr>
                <w:rFonts w:eastAsia="Times New Roman"/>
                <w:sz w:val="20"/>
                <w:szCs w:val="20"/>
              </w:rPr>
            </w:pPr>
            <w:r w:rsidRPr="008E63BB">
              <w:rPr>
                <w:rFonts w:eastAsia="Times New Roman"/>
                <w:sz w:val="20"/>
                <w:szCs w:val="20"/>
              </w:rPr>
              <w:t>13.506</w:t>
            </w:r>
          </w:p>
        </w:tc>
        <w:tc>
          <w:tcPr>
            <w:tcW w:w="866" w:type="dxa"/>
            <w:tcBorders>
              <w:top w:val="nil"/>
              <w:left w:val="nil"/>
              <w:bottom w:val="single" w:sz="4" w:space="0" w:color="auto"/>
              <w:right w:val="single" w:sz="4" w:space="0" w:color="auto"/>
            </w:tcBorders>
            <w:shd w:val="clear" w:color="auto" w:fill="auto"/>
            <w:noWrap/>
            <w:vAlign w:val="center"/>
            <w:hideMark/>
          </w:tcPr>
          <w:p w14:paraId="519B49B8" w14:textId="77777777" w:rsidR="0074711A" w:rsidRPr="008E63BB" w:rsidRDefault="0074711A" w:rsidP="0065184D">
            <w:pPr>
              <w:jc w:val="right"/>
              <w:rPr>
                <w:rFonts w:eastAsia="Times New Roman"/>
                <w:sz w:val="20"/>
                <w:szCs w:val="20"/>
              </w:rPr>
            </w:pPr>
            <w:r w:rsidRPr="008E63BB">
              <w:rPr>
                <w:rFonts w:eastAsia="Times New Roman"/>
                <w:sz w:val="20"/>
                <w:szCs w:val="20"/>
              </w:rPr>
              <w:t>13.484</w:t>
            </w:r>
          </w:p>
        </w:tc>
        <w:tc>
          <w:tcPr>
            <w:tcW w:w="866" w:type="dxa"/>
            <w:tcBorders>
              <w:top w:val="nil"/>
              <w:left w:val="nil"/>
              <w:bottom w:val="single" w:sz="4" w:space="0" w:color="auto"/>
              <w:right w:val="single" w:sz="4" w:space="0" w:color="auto"/>
            </w:tcBorders>
            <w:shd w:val="clear" w:color="auto" w:fill="auto"/>
            <w:noWrap/>
            <w:vAlign w:val="center"/>
            <w:hideMark/>
          </w:tcPr>
          <w:p w14:paraId="519B49B9" w14:textId="77777777" w:rsidR="0074711A" w:rsidRPr="008E63BB" w:rsidRDefault="0074711A" w:rsidP="0065184D">
            <w:pPr>
              <w:jc w:val="right"/>
              <w:rPr>
                <w:rFonts w:eastAsia="Times New Roman"/>
                <w:sz w:val="20"/>
                <w:szCs w:val="20"/>
              </w:rPr>
            </w:pPr>
            <w:r w:rsidRPr="008E63BB">
              <w:rPr>
                <w:rFonts w:eastAsia="Times New Roman"/>
                <w:sz w:val="20"/>
                <w:szCs w:val="20"/>
              </w:rPr>
              <w:t>13.480</w:t>
            </w:r>
          </w:p>
        </w:tc>
        <w:tc>
          <w:tcPr>
            <w:tcW w:w="866" w:type="dxa"/>
            <w:tcBorders>
              <w:top w:val="nil"/>
              <w:left w:val="nil"/>
              <w:bottom w:val="single" w:sz="4" w:space="0" w:color="auto"/>
              <w:right w:val="single" w:sz="4" w:space="0" w:color="auto"/>
            </w:tcBorders>
            <w:shd w:val="clear" w:color="auto" w:fill="auto"/>
            <w:noWrap/>
            <w:vAlign w:val="center"/>
            <w:hideMark/>
          </w:tcPr>
          <w:p w14:paraId="519B49BA" w14:textId="77777777" w:rsidR="0074711A" w:rsidRPr="008E63BB" w:rsidRDefault="0074711A" w:rsidP="0065184D">
            <w:pPr>
              <w:jc w:val="right"/>
              <w:rPr>
                <w:rFonts w:eastAsia="Times New Roman"/>
                <w:sz w:val="20"/>
                <w:szCs w:val="20"/>
              </w:rPr>
            </w:pPr>
            <w:r w:rsidRPr="008E63BB">
              <w:rPr>
                <w:rFonts w:eastAsia="Times New Roman"/>
                <w:sz w:val="20"/>
                <w:szCs w:val="20"/>
              </w:rPr>
              <w:t>13.541</w:t>
            </w:r>
          </w:p>
        </w:tc>
        <w:tc>
          <w:tcPr>
            <w:tcW w:w="866" w:type="dxa"/>
            <w:tcBorders>
              <w:top w:val="nil"/>
              <w:left w:val="nil"/>
              <w:bottom w:val="single" w:sz="4" w:space="0" w:color="auto"/>
              <w:right w:val="single" w:sz="4" w:space="0" w:color="auto"/>
            </w:tcBorders>
            <w:shd w:val="clear" w:color="auto" w:fill="auto"/>
            <w:noWrap/>
            <w:vAlign w:val="center"/>
            <w:hideMark/>
          </w:tcPr>
          <w:p w14:paraId="519B49BB" w14:textId="77777777" w:rsidR="0074711A" w:rsidRPr="008E63BB" w:rsidRDefault="0074711A" w:rsidP="0065184D">
            <w:pPr>
              <w:jc w:val="right"/>
              <w:rPr>
                <w:rFonts w:eastAsia="Times New Roman"/>
                <w:sz w:val="20"/>
                <w:szCs w:val="20"/>
              </w:rPr>
            </w:pPr>
            <w:r w:rsidRPr="008E63BB">
              <w:rPr>
                <w:rFonts w:eastAsia="Times New Roman"/>
                <w:sz w:val="20"/>
                <w:szCs w:val="20"/>
              </w:rPr>
              <w:t>130.571</w:t>
            </w:r>
          </w:p>
        </w:tc>
        <w:tc>
          <w:tcPr>
            <w:tcW w:w="866" w:type="dxa"/>
            <w:tcBorders>
              <w:top w:val="nil"/>
              <w:left w:val="nil"/>
              <w:bottom w:val="single" w:sz="4" w:space="0" w:color="auto"/>
              <w:right w:val="single" w:sz="4" w:space="0" w:color="auto"/>
            </w:tcBorders>
            <w:shd w:val="clear" w:color="auto" w:fill="auto"/>
            <w:noWrap/>
            <w:vAlign w:val="center"/>
            <w:hideMark/>
          </w:tcPr>
          <w:p w14:paraId="519B49BC" w14:textId="77777777" w:rsidR="0074711A" w:rsidRPr="008E63BB" w:rsidRDefault="0074711A" w:rsidP="0065184D">
            <w:pPr>
              <w:jc w:val="right"/>
              <w:rPr>
                <w:rFonts w:eastAsia="Times New Roman"/>
                <w:sz w:val="20"/>
                <w:szCs w:val="20"/>
              </w:rPr>
            </w:pPr>
            <w:r w:rsidRPr="008E63BB">
              <w:rPr>
                <w:rFonts w:eastAsia="Times New Roman"/>
                <w:sz w:val="20"/>
                <w:szCs w:val="20"/>
              </w:rPr>
              <w:t>13.541</w:t>
            </w:r>
          </w:p>
        </w:tc>
        <w:tc>
          <w:tcPr>
            <w:tcW w:w="866" w:type="dxa"/>
            <w:tcBorders>
              <w:top w:val="nil"/>
              <w:left w:val="nil"/>
              <w:bottom w:val="single" w:sz="4" w:space="0" w:color="auto"/>
              <w:right w:val="single" w:sz="4" w:space="0" w:color="auto"/>
            </w:tcBorders>
            <w:shd w:val="clear" w:color="auto" w:fill="auto"/>
            <w:noWrap/>
            <w:vAlign w:val="center"/>
            <w:hideMark/>
          </w:tcPr>
          <w:p w14:paraId="519B49BD" w14:textId="77777777" w:rsidR="0074711A" w:rsidRPr="008E63BB" w:rsidRDefault="0074711A" w:rsidP="0065184D">
            <w:pPr>
              <w:jc w:val="right"/>
              <w:rPr>
                <w:rFonts w:eastAsia="Times New Roman"/>
                <w:sz w:val="20"/>
                <w:szCs w:val="20"/>
              </w:rPr>
            </w:pPr>
            <w:r w:rsidRPr="008E63BB">
              <w:rPr>
                <w:rFonts w:eastAsia="Times New Roman"/>
                <w:sz w:val="20"/>
                <w:szCs w:val="20"/>
              </w:rPr>
              <w:t>13.430</w:t>
            </w:r>
          </w:p>
        </w:tc>
        <w:tc>
          <w:tcPr>
            <w:tcW w:w="866" w:type="dxa"/>
            <w:tcBorders>
              <w:top w:val="nil"/>
              <w:left w:val="nil"/>
              <w:bottom w:val="single" w:sz="4" w:space="0" w:color="auto"/>
              <w:right w:val="single" w:sz="4" w:space="0" w:color="auto"/>
            </w:tcBorders>
            <w:shd w:val="clear" w:color="auto" w:fill="auto"/>
            <w:noWrap/>
            <w:vAlign w:val="center"/>
            <w:hideMark/>
          </w:tcPr>
          <w:p w14:paraId="519B49BE" w14:textId="77777777" w:rsidR="0074711A" w:rsidRPr="008E63BB" w:rsidRDefault="0074711A" w:rsidP="0065184D">
            <w:pPr>
              <w:jc w:val="right"/>
              <w:rPr>
                <w:rFonts w:eastAsia="Times New Roman"/>
                <w:sz w:val="20"/>
                <w:szCs w:val="20"/>
              </w:rPr>
            </w:pPr>
            <w:r w:rsidRPr="008E63BB">
              <w:rPr>
                <w:rFonts w:eastAsia="Times New Roman"/>
                <w:sz w:val="20"/>
                <w:szCs w:val="20"/>
              </w:rPr>
              <w:t>13.431</w:t>
            </w:r>
          </w:p>
        </w:tc>
        <w:tc>
          <w:tcPr>
            <w:tcW w:w="866" w:type="dxa"/>
            <w:tcBorders>
              <w:top w:val="nil"/>
              <w:left w:val="nil"/>
              <w:bottom w:val="single" w:sz="4" w:space="0" w:color="auto"/>
              <w:right w:val="single" w:sz="4" w:space="0" w:color="auto"/>
            </w:tcBorders>
            <w:shd w:val="clear" w:color="auto" w:fill="auto"/>
            <w:noWrap/>
            <w:vAlign w:val="center"/>
            <w:hideMark/>
          </w:tcPr>
          <w:p w14:paraId="519B49BF" w14:textId="77777777" w:rsidR="0074711A" w:rsidRPr="008E63BB" w:rsidRDefault="0074711A" w:rsidP="0065184D">
            <w:pPr>
              <w:jc w:val="right"/>
              <w:rPr>
                <w:rFonts w:eastAsia="Times New Roman"/>
                <w:sz w:val="20"/>
                <w:szCs w:val="20"/>
              </w:rPr>
            </w:pPr>
            <w:r w:rsidRPr="008E63BB">
              <w:rPr>
                <w:rFonts w:eastAsia="Times New Roman"/>
                <w:sz w:val="20"/>
                <w:szCs w:val="20"/>
              </w:rPr>
              <w:t>13.440</w:t>
            </w:r>
          </w:p>
        </w:tc>
        <w:tc>
          <w:tcPr>
            <w:tcW w:w="994" w:type="dxa"/>
            <w:tcBorders>
              <w:top w:val="nil"/>
              <w:left w:val="nil"/>
              <w:bottom w:val="single" w:sz="4" w:space="0" w:color="auto"/>
              <w:right w:val="single" w:sz="4" w:space="0" w:color="auto"/>
            </w:tcBorders>
            <w:shd w:val="clear" w:color="auto" w:fill="auto"/>
            <w:noWrap/>
            <w:vAlign w:val="center"/>
            <w:hideMark/>
          </w:tcPr>
          <w:p w14:paraId="519B49C0" w14:textId="77777777" w:rsidR="0074711A" w:rsidRPr="008E63BB" w:rsidRDefault="0074711A" w:rsidP="0065184D">
            <w:pPr>
              <w:jc w:val="right"/>
              <w:rPr>
                <w:rFonts w:eastAsia="Times New Roman"/>
                <w:sz w:val="20"/>
                <w:szCs w:val="20"/>
              </w:rPr>
            </w:pPr>
            <w:r w:rsidRPr="008E63BB">
              <w:rPr>
                <w:rFonts w:eastAsia="Times New Roman"/>
                <w:sz w:val="20"/>
                <w:szCs w:val="20"/>
              </w:rPr>
              <w:t>1.269</w:t>
            </w:r>
          </w:p>
        </w:tc>
      </w:tr>
    </w:tbl>
    <w:p w14:paraId="519B49C2" w14:textId="77777777" w:rsidR="007F05FD" w:rsidRPr="008E63BB" w:rsidRDefault="007F05FD" w:rsidP="0065184D">
      <w:pPr>
        <w:rPr>
          <w:b/>
          <w:lang w:val="vi-VN"/>
        </w:rPr>
      </w:pPr>
    </w:p>
    <w:p w14:paraId="519B49C3" w14:textId="77777777" w:rsidR="00993172" w:rsidRPr="008E63BB" w:rsidRDefault="00993172" w:rsidP="0065184D">
      <w:pPr>
        <w:rPr>
          <w:i/>
          <w:lang w:val="vi-VN"/>
        </w:rPr>
      </w:pPr>
      <w:r w:rsidRPr="008E63BB">
        <w:rPr>
          <w:i/>
          <w:lang w:val="vi-VN"/>
        </w:rPr>
        <w:t xml:space="preserve"> Nguồn: Niên giám thông kê </w:t>
      </w:r>
      <w:r w:rsidR="0074711A" w:rsidRPr="008E63BB">
        <w:rPr>
          <w:i/>
          <w:lang w:val="vi-VN"/>
        </w:rPr>
        <w:t>2018</w:t>
      </w:r>
    </w:p>
    <w:p w14:paraId="519B49C4" w14:textId="77777777" w:rsidR="00993172" w:rsidRPr="008E63BB" w:rsidRDefault="00993172" w:rsidP="0065184D">
      <w:pPr>
        <w:rPr>
          <w:szCs w:val="26"/>
          <w:lang w:val="vi-VN"/>
        </w:rPr>
        <w:sectPr w:rsidR="00993172" w:rsidRPr="008E63BB" w:rsidSect="003E624C">
          <w:pgSz w:w="16840" w:h="11907" w:orient="landscape" w:code="9"/>
          <w:pgMar w:top="1699" w:right="1440" w:bottom="922" w:left="1440" w:header="720" w:footer="720" w:gutter="0"/>
          <w:cols w:space="720"/>
          <w:docGrid w:linePitch="360"/>
        </w:sectPr>
      </w:pPr>
    </w:p>
    <w:p w14:paraId="519B49C5" w14:textId="77777777" w:rsidR="007F05FD" w:rsidRPr="008E63BB" w:rsidRDefault="007F05FD" w:rsidP="0065184D">
      <w:pPr>
        <w:rPr>
          <w:b/>
          <w:szCs w:val="26"/>
        </w:rPr>
      </w:pPr>
      <w:r w:rsidRPr="008E63BB">
        <w:rPr>
          <w:b/>
          <w:szCs w:val="26"/>
        </w:rPr>
        <w:lastRenderedPageBreak/>
        <w:t>Bảng lao động 2015-2017</w:t>
      </w:r>
    </w:p>
    <w:tbl>
      <w:tblPr>
        <w:tblW w:w="96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599"/>
        <w:gridCol w:w="866"/>
        <w:gridCol w:w="866"/>
        <w:gridCol w:w="866"/>
        <w:gridCol w:w="766"/>
        <w:gridCol w:w="766"/>
        <w:gridCol w:w="787"/>
        <w:gridCol w:w="766"/>
        <w:gridCol w:w="866"/>
      </w:tblGrid>
      <w:tr w:rsidR="008D5BFE" w:rsidRPr="008E63BB" w14:paraId="519B49CD" w14:textId="77777777" w:rsidTr="0090727E">
        <w:trPr>
          <w:trHeight w:val="1020"/>
        </w:trPr>
        <w:tc>
          <w:tcPr>
            <w:tcW w:w="520" w:type="dxa"/>
            <w:vMerge w:val="restart"/>
            <w:shd w:val="clear" w:color="auto" w:fill="auto"/>
            <w:vAlign w:val="center"/>
            <w:hideMark/>
          </w:tcPr>
          <w:p w14:paraId="519B49C6" w14:textId="77777777" w:rsidR="007F05FD" w:rsidRPr="008E63BB" w:rsidRDefault="007F05FD" w:rsidP="0065184D">
            <w:pPr>
              <w:jc w:val="center"/>
              <w:rPr>
                <w:rFonts w:eastAsia="Times New Roman"/>
                <w:sz w:val="20"/>
                <w:szCs w:val="20"/>
              </w:rPr>
            </w:pPr>
            <w:r w:rsidRPr="008E63BB">
              <w:rPr>
                <w:rFonts w:eastAsia="Times New Roman"/>
                <w:sz w:val="20"/>
                <w:szCs w:val="20"/>
              </w:rPr>
              <w:t>TT</w:t>
            </w:r>
          </w:p>
        </w:tc>
        <w:tc>
          <w:tcPr>
            <w:tcW w:w="2599" w:type="dxa"/>
            <w:vMerge w:val="restart"/>
            <w:shd w:val="clear" w:color="auto" w:fill="auto"/>
            <w:vAlign w:val="center"/>
            <w:hideMark/>
          </w:tcPr>
          <w:p w14:paraId="519B49C7" w14:textId="77777777" w:rsidR="007F05FD" w:rsidRPr="008E63BB" w:rsidRDefault="007F05FD" w:rsidP="0065184D">
            <w:pPr>
              <w:jc w:val="center"/>
              <w:rPr>
                <w:rFonts w:eastAsia="Times New Roman"/>
                <w:sz w:val="20"/>
                <w:szCs w:val="20"/>
              </w:rPr>
            </w:pPr>
            <w:r w:rsidRPr="008E63BB">
              <w:rPr>
                <w:rFonts w:eastAsia="Times New Roman"/>
                <w:sz w:val="20"/>
                <w:szCs w:val="20"/>
              </w:rPr>
              <w:t>Danh mục</w:t>
            </w:r>
          </w:p>
        </w:tc>
        <w:tc>
          <w:tcPr>
            <w:tcW w:w="2598" w:type="dxa"/>
            <w:gridSpan w:val="3"/>
            <w:shd w:val="clear" w:color="auto" w:fill="auto"/>
            <w:vAlign w:val="center"/>
            <w:hideMark/>
          </w:tcPr>
          <w:p w14:paraId="519B49C8" w14:textId="77777777" w:rsidR="007F05FD" w:rsidRPr="008E63BB" w:rsidRDefault="007F05FD" w:rsidP="0065184D">
            <w:pPr>
              <w:jc w:val="center"/>
              <w:rPr>
                <w:rFonts w:eastAsia="Times New Roman"/>
                <w:sz w:val="20"/>
                <w:szCs w:val="20"/>
              </w:rPr>
            </w:pPr>
            <w:r w:rsidRPr="008E63BB">
              <w:rPr>
                <w:rFonts w:eastAsia="Times New Roman"/>
                <w:sz w:val="20"/>
                <w:szCs w:val="20"/>
              </w:rPr>
              <w:t>TP. Nam Định</w:t>
            </w:r>
          </w:p>
        </w:tc>
        <w:tc>
          <w:tcPr>
            <w:tcW w:w="1532" w:type="dxa"/>
            <w:gridSpan w:val="2"/>
            <w:shd w:val="clear" w:color="auto" w:fill="auto"/>
            <w:noWrap/>
            <w:vAlign w:val="center"/>
            <w:hideMark/>
          </w:tcPr>
          <w:p w14:paraId="519B49C9" w14:textId="77777777" w:rsidR="007F05FD" w:rsidRPr="008E63BB" w:rsidRDefault="007F05FD" w:rsidP="0065184D">
            <w:pPr>
              <w:jc w:val="center"/>
              <w:rPr>
                <w:rFonts w:eastAsia="Times New Roman"/>
                <w:sz w:val="20"/>
                <w:szCs w:val="20"/>
              </w:rPr>
            </w:pPr>
            <w:r w:rsidRPr="008E63BB">
              <w:rPr>
                <w:rFonts w:eastAsia="Times New Roman"/>
                <w:sz w:val="20"/>
                <w:szCs w:val="20"/>
              </w:rPr>
              <w:t>Huyện Mỹ Lộc</w:t>
            </w:r>
          </w:p>
        </w:tc>
        <w:tc>
          <w:tcPr>
            <w:tcW w:w="787" w:type="dxa"/>
            <w:shd w:val="clear" w:color="auto" w:fill="auto"/>
            <w:vAlign w:val="center"/>
            <w:hideMark/>
          </w:tcPr>
          <w:p w14:paraId="519B49CA" w14:textId="77777777" w:rsidR="007F05FD" w:rsidRPr="008E63BB" w:rsidRDefault="007F05FD" w:rsidP="0065184D">
            <w:pPr>
              <w:jc w:val="left"/>
              <w:rPr>
                <w:rFonts w:eastAsia="Times New Roman"/>
                <w:sz w:val="20"/>
                <w:szCs w:val="20"/>
              </w:rPr>
            </w:pPr>
            <w:r w:rsidRPr="008E63BB">
              <w:rPr>
                <w:rFonts w:eastAsia="Times New Roman"/>
                <w:sz w:val="20"/>
                <w:szCs w:val="20"/>
              </w:rPr>
              <w:t>3 xã Huyện Vụ Bản</w:t>
            </w:r>
          </w:p>
        </w:tc>
        <w:tc>
          <w:tcPr>
            <w:tcW w:w="750" w:type="dxa"/>
            <w:shd w:val="clear" w:color="auto" w:fill="auto"/>
            <w:vAlign w:val="center"/>
            <w:hideMark/>
          </w:tcPr>
          <w:p w14:paraId="519B49CB" w14:textId="77777777" w:rsidR="007F05FD" w:rsidRPr="008E63BB" w:rsidRDefault="007F05FD" w:rsidP="0065184D">
            <w:pPr>
              <w:jc w:val="left"/>
              <w:rPr>
                <w:rFonts w:eastAsia="Times New Roman"/>
                <w:sz w:val="20"/>
                <w:szCs w:val="20"/>
              </w:rPr>
            </w:pPr>
            <w:r w:rsidRPr="008E63BB">
              <w:rPr>
                <w:rFonts w:eastAsia="Times New Roman"/>
                <w:sz w:val="20"/>
                <w:szCs w:val="20"/>
              </w:rPr>
              <w:t>5 xã Huyện Nam Trực</w:t>
            </w:r>
          </w:p>
        </w:tc>
        <w:tc>
          <w:tcPr>
            <w:tcW w:w="866" w:type="dxa"/>
            <w:shd w:val="clear" w:color="auto" w:fill="auto"/>
            <w:vAlign w:val="center"/>
            <w:hideMark/>
          </w:tcPr>
          <w:p w14:paraId="519B49CC" w14:textId="77777777" w:rsidR="007F05FD" w:rsidRPr="008E63BB" w:rsidRDefault="007F05FD" w:rsidP="0065184D">
            <w:pPr>
              <w:jc w:val="left"/>
              <w:rPr>
                <w:rFonts w:eastAsia="Times New Roman"/>
                <w:sz w:val="20"/>
                <w:szCs w:val="20"/>
              </w:rPr>
            </w:pPr>
            <w:r w:rsidRPr="008E63BB">
              <w:rPr>
                <w:rFonts w:eastAsia="Times New Roman"/>
                <w:sz w:val="20"/>
                <w:szCs w:val="20"/>
              </w:rPr>
              <w:t>Tổng RG QH</w:t>
            </w:r>
          </w:p>
        </w:tc>
      </w:tr>
      <w:tr w:rsidR="008D5BFE" w:rsidRPr="008E63BB" w14:paraId="519B49D8" w14:textId="77777777" w:rsidTr="0090727E">
        <w:trPr>
          <w:trHeight w:val="255"/>
        </w:trPr>
        <w:tc>
          <w:tcPr>
            <w:tcW w:w="520" w:type="dxa"/>
            <w:vMerge/>
            <w:vAlign w:val="center"/>
            <w:hideMark/>
          </w:tcPr>
          <w:p w14:paraId="519B49CE" w14:textId="77777777" w:rsidR="007F05FD" w:rsidRPr="008E63BB" w:rsidRDefault="007F05FD" w:rsidP="0065184D">
            <w:pPr>
              <w:jc w:val="left"/>
              <w:rPr>
                <w:rFonts w:eastAsia="Times New Roman"/>
                <w:sz w:val="20"/>
                <w:szCs w:val="20"/>
              </w:rPr>
            </w:pPr>
          </w:p>
        </w:tc>
        <w:tc>
          <w:tcPr>
            <w:tcW w:w="2599" w:type="dxa"/>
            <w:vMerge/>
            <w:vAlign w:val="center"/>
            <w:hideMark/>
          </w:tcPr>
          <w:p w14:paraId="519B49CF" w14:textId="77777777" w:rsidR="007F05FD" w:rsidRPr="008E63BB" w:rsidRDefault="007F05FD" w:rsidP="0065184D">
            <w:pPr>
              <w:jc w:val="left"/>
              <w:rPr>
                <w:rFonts w:eastAsia="Times New Roman"/>
                <w:sz w:val="20"/>
                <w:szCs w:val="20"/>
              </w:rPr>
            </w:pPr>
          </w:p>
        </w:tc>
        <w:tc>
          <w:tcPr>
            <w:tcW w:w="866" w:type="dxa"/>
            <w:shd w:val="clear" w:color="auto" w:fill="auto"/>
            <w:noWrap/>
            <w:vAlign w:val="center"/>
            <w:hideMark/>
          </w:tcPr>
          <w:p w14:paraId="519B49D0" w14:textId="77777777" w:rsidR="007F05FD" w:rsidRPr="008E63BB" w:rsidRDefault="007F05FD" w:rsidP="0065184D">
            <w:pPr>
              <w:jc w:val="right"/>
              <w:rPr>
                <w:rFonts w:eastAsia="Times New Roman"/>
                <w:sz w:val="20"/>
                <w:szCs w:val="20"/>
              </w:rPr>
            </w:pPr>
            <w:r w:rsidRPr="008E63BB">
              <w:rPr>
                <w:rFonts w:eastAsia="Times New Roman"/>
                <w:sz w:val="20"/>
                <w:szCs w:val="20"/>
              </w:rPr>
              <w:t>2015</w:t>
            </w:r>
          </w:p>
        </w:tc>
        <w:tc>
          <w:tcPr>
            <w:tcW w:w="866" w:type="dxa"/>
            <w:shd w:val="clear" w:color="auto" w:fill="auto"/>
            <w:noWrap/>
            <w:vAlign w:val="center"/>
            <w:hideMark/>
          </w:tcPr>
          <w:p w14:paraId="519B49D1" w14:textId="77777777" w:rsidR="007F05FD" w:rsidRPr="008E63BB" w:rsidRDefault="007F05FD" w:rsidP="0065184D">
            <w:pPr>
              <w:jc w:val="right"/>
              <w:rPr>
                <w:rFonts w:eastAsia="Times New Roman"/>
                <w:sz w:val="20"/>
                <w:szCs w:val="20"/>
              </w:rPr>
            </w:pPr>
            <w:r w:rsidRPr="008E63BB">
              <w:rPr>
                <w:rFonts w:eastAsia="Times New Roman"/>
                <w:sz w:val="20"/>
                <w:szCs w:val="20"/>
              </w:rPr>
              <w:t>2016</w:t>
            </w:r>
          </w:p>
        </w:tc>
        <w:tc>
          <w:tcPr>
            <w:tcW w:w="866" w:type="dxa"/>
            <w:shd w:val="clear" w:color="auto" w:fill="auto"/>
            <w:noWrap/>
            <w:vAlign w:val="center"/>
            <w:hideMark/>
          </w:tcPr>
          <w:p w14:paraId="519B49D2" w14:textId="77777777" w:rsidR="007F05FD" w:rsidRPr="008E63BB" w:rsidRDefault="007F05FD" w:rsidP="0065184D">
            <w:pPr>
              <w:jc w:val="right"/>
              <w:rPr>
                <w:rFonts w:eastAsia="Times New Roman"/>
                <w:sz w:val="20"/>
                <w:szCs w:val="20"/>
              </w:rPr>
            </w:pPr>
            <w:r w:rsidRPr="008E63BB">
              <w:rPr>
                <w:rFonts w:eastAsia="Times New Roman"/>
                <w:sz w:val="20"/>
                <w:szCs w:val="20"/>
              </w:rPr>
              <w:t>2017</w:t>
            </w:r>
          </w:p>
        </w:tc>
        <w:tc>
          <w:tcPr>
            <w:tcW w:w="766" w:type="dxa"/>
            <w:shd w:val="clear" w:color="auto" w:fill="auto"/>
            <w:noWrap/>
            <w:vAlign w:val="center"/>
            <w:hideMark/>
          </w:tcPr>
          <w:p w14:paraId="519B49D3" w14:textId="77777777" w:rsidR="007F05FD" w:rsidRPr="008E63BB" w:rsidRDefault="007F05FD" w:rsidP="0065184D">
            <w:pPr>
              <w:jc w:val="right"/>
              <w:rPr>
                <w:rFonts w:eastAsia="Times New Roman"/>
                <w:sz w:val="20"/>
                <w:szCs w:val="20"/>
              </w:rPr>
            </w:pPr>
            <w:r w:rsidRPr="008E63BB">
              <w:rPr>
                <w:rFonts w:eastAsia="Times New Roman"/>
                <w:sz w:val="20"/>
                <w:szCs w:val="20"/>
              </w:rPr>
              <w:t>2015</w:t>
            </w:r>
          </w:p>
        </w:tc>
        <w:tc>
          <w:tcPr>
            <w:tcW w:w="766" w:type="dxa"/>
            <w:shd w:val="clear" w:color="auto" w:fill="auto"/>
            <w:noWrap/>
            <w:vAlign w:val="center"/>
            <w:hideMark/>
          </w:tcPr>
          <w:p w14:paraId="519B49D4" w14:textId="77777777" w:rsidR="007F05FD" w:rsidRPr="008E63BB" w:rsidRDefault="007F05FD" w:rsidP="0065184D">
            <w:pPr>
              <w:jc w:val="right"/>
              <w:rPr>
                <w:rFonts w:eastAsia="Times New Roman"/>
                <w:sz w:val="20"/>
                <w:szCs w:val="20"/>
              </w:rPr>
            </w:pPr>
            <w:r w:rsidRPr="008E63BB">
              <w:rPr>
                <w:rFonts w:eastAsia="Times New Roman"/>
                <w:sz w:val="20"/>
                <w:szCs w:val="20"/>
              </w:rPr>
              <w:t>2017</w:t>
            </w:r>
          </w:p>
        </w:tc>
        <w:tc>
          <w:tcPr>
            <w:tcW w:w="787" w:type="dxa"/>
            <w:shd w:val="clear" w:color="auto" w:fill="auto"/>
            <w:noWrap/>
            <w:vAlign w:val="center"/>
            <w:hideMark/>
          </w:tcPr>
          <w:p w14:paraId="519B49D5" w14:textId="77777777" w:rsidR="007F05FD" w:rsidRPr="008E63BB" w:rsidRDefault="007F05FD" w:rsidP="0065184D">
            <w:pPr>
              <w:jc w:val="right"/>
              <w:rPr>
                <w:rFonts w:eastAsia="Times New Roman"/>
                <w:sz w:val="20"/>
                <w:szCs w:val="20"/>
              </w:rPr>
            </w:pPr>
            <w:r w:rsidRPr="008E63BB">
              <w:rPr>
                <w:rFonts w:eastAsia="Times New Roman"/>
                <w:sz w:val="20"/>
                <w:szCs w:val="20"/>
              </w:rPr>
              <w:t>2017</w:t>
            </w:r>
          </w:p>
        </w:tc>
        <w:tc>
          <w:tcPr>
            <w:tcW w:w="750" w:type="dxa"/>
            <w:shd w:val="clear" w:color="auto" w:fill="auto"/>
            <w:noWrap/>
            <w:vAlign w:val="center"/>
            <w:hideMark/>
          </w:tcPr>
          <w:p w14:paraId="519B49D6" w14:textId="77777777" w:rsidR="007F05FD" w:rsidRPr="008E63BB" w:rsidRDefault="007F05FD" w:rsidP="0065184D">
            <w:pPr>
              <w:jc w:val="right"/>
              <w:rPr>
                <w:rFonts w:eastAsia="Times New Roman"/>
                <w:sz w:val="20"/>
                <w:szCs w:val="20"/>
              </w:rPr>
            </w:pPr>
            <w:r w:rsidRPr="008E63BB">
              <w:rPr>
                <w:rFonts w:eastAsia="Times New Roman"/>
                <w:sz w:val="20"/>
                <w:szCs w:val="20"/>
              </w:rPr>
              <w:t>2017</w:t>
            </w:r>
          </w:p>
        </w:tc>
        <w:tc>
          <w:tcPr>
            <w:tcW w:w="866" w:type="dxa"/>
            <w:shd w:val="clear" w:color="auto" w:fill="auto"/>
            <w:noWrap/>
            <w:vAlign w:val="center"/>
            <w:hideMark/>
          </w:tcPr>
          <w:p w14:paraId="519B49D7" w14:textId="77777777" w:rsidR="007F05FD" w:rsidRPr="008E63BB" w:rsidRDefault="007F05FD" w:rsidP="0065184D">
            <w:pPr>
              <w:jc w:val="right"/>
              <w:rPr>
                <w:rFonts w:eastAsia="Times New Roman"/>
                <w:sz w:val="20"/>
                <w:szCs w:val="20"/>
              </w:rPr>
            </w:pPr>
            <w:r w:rsidRPr="008E63BB">
              <w:rPr>
                <w:rFonts w:eastAsia="Times New Roman"/>
                <w:sz w:val="20"/>
                <w:szCs w:val="20"/>
              </w:rPr>
              <w:t>2017</w:t>
            </w:r>
          </w:p>
        </w:tc>
      </w:tr>
      <w:tr w:rsidR="008D5BFE" w:rsidRPr="008E63BB" w14:paraId="519B49E3" w14:textId="77777777" w:rsidTr="0090727E">
        <w:trPr>
          <w:trHeight w:val="255"/>
        </w:trPr>
        <w:tc>
          <w:tcPr>
            <w:tcW w:w="520" w:type="dxa"/>
            <w:shd w:val="clear" w:color="auto" w:fill="auto"/>
            <w:noWrap/>
            <w:vAlign w:val="bottom"/>
            <w:hideMark/>
          </w:tcPr>
          <w:p w14:paraId="519B49D9" w14:textId="77777777" w:rsidR="007F05FD" w:rsidRPr="008E63BB" w:rsidRDefault="007F05FD" w:rsidP="0065184D">
            <w:pPr>
              <w:jc w:val="center"/>
              <w:rPr>
                <w:rFonts w:eastAsia="Times New Roman"/>
                <w:sz w:val="20"/>
                <w:szCs w:val="20"/>
              </w:rPr>
            </w:pPr>
            <w:r w:rsidRPr="008E63BB">
              <w:rPr>
                <w:rFonts w:eastAsia="Times New Roman"/>
                <w:sz w:val="20"/>
                <w:szCs w:val="20"/>
              </w:rPr>
              <w:t>I</w:t>
            </w:r>
          </w:p>
        </w:tc>
        <w:tc>
          <w:tcPr>
            <w:tcW w:w="2599" w:type="dxa"/>
            <w:shd w:val="clear" w:color="auto" w:fill="auto"/>
            <w:noWrap/>
            <w:vAlign w:val="bottom"/>
            <w:hideMark/>
          </w:tcPr>
          <w:p w14:paraId="519B49DA" w14:textId="77777777" w:rsidR="007F05FD" w:rsidRPr="008E63BB" w:rsidRDefault="007F05FD" w:rsidP="0065184D">
            <w:pPr>
              <w:jc w:val="left"/>
              <w:rPr>
                <w:rFonts w:eastAsia="Times New Roman"/>
                <w:sz w:val="20"/>
                <w:szCs w:val="20"/>
              </w:rPr>
            </w:pPr>
            <w:r w:rsidRPr="008E63BB">
              <w:rPr>
                <w:rFonts w:eastAsia="Times New Roman"/>
                <w:sz w:val="20"/>
                <w:szCs w:val="20"/>
              </w:rPr>
              <w:t>Dân số (người)</w:t>
            </w:r>
          </w:p>
        </w:tc>
        <w:tc>
          <w:tcPr>
            <w:tcW w:w="866" w:type="dxa"/>
            <w:shd w:val="clear" w:color="auto" w:fill="auto"/>
            <w:noWrap/>
            <w:vAlign w:val="bottom"/>
            <w:hideMark/>
          </w:tcPr>
          <w:p w14:paraId="519B49DB" w14:textId="77777777" w:rsidR="007F05FD" w:rsidRPr="008E63BB" w:rsidRDefault="007F05FD" w:rsidP="0065184D">
            <w:pPr>
              <w:jc w:val="center"/>
              <w:rPr>
                <w:rFonts w:eastAsia="Times New Roman"/>
                <w:sz w:val="20"/>
                <w:szCs w:val="20"/>
              </w:rPr>
            </w:pPr>
            <w:r w:rsidRPr="008E63BB">
              <w:rPr>
                <w:rFonts w:eastAsia="Times New Roman"/>
                <w:sz w:val="20"/>
                <w:szCs w:val="20"/>
              </w:rPr>
              <w:t>251.628</w:t>
            </w:r>
          </w:p>
        </w:tc>
        <w:tc>
          <w:tcPr>
            <w:tcW w:w="866" w:type="dxa"/>
            <w:shd w:val="clear" w:color="auto" w:fill="auto"/>
            <w:noWrap/>
            <w:vAlign w:val="bottom"/>
            <w:hideMark/>
          </w:tcPr>
          <w:p w14:paraId="519B49DC" w14:textId="77777777" w:rsidR="007F05FD" w:rsidRPr="008E63BB" w:rsidRDefault="007F05FD" w:rsidP="0065184D">
            <w:pPr>
              <w:jc w:val="right"/>
              <w:rPr>
                <w:rFonts w:eastAsia="Times New Roman"/>
                <w:sz w:val="20"/>
                <w:szCs w:val="20"/>
              </w:rPr>
            </w:pPr>
            <w:r w:rsidRPr="008E63BB">
              <w:rPr>
                <w:rFonts w:eastAsia="Times New Roman"/>
                <w:sz w:val="20"/>
                <w:szCs w:val="20"/>
              </w:rPr>
              <w:t>252.008</w:t>
            </w:r>
          </w:p>
        </w:tc>
        <w:tc>
          <w:tcPr>
            <w:tcW w:w="866" w:type="dxa"/>
            <w:shd w:val="clear" w:color="auto" w:fill="auto"/>
            <w:noWrap/>
            <w:vAlign w:val="bottom"/>
            <w:hideMark/>
          </w:tcPr>
          <w:p w14:paraId="519B49DD" w14:textId="77777777" w:rsidR="007F05FD" w:rsidRPr="008E63BB" w:rsidRDefault="007F05FD" w:rsidP="0065184D">
            <w:pPr>
              <w:jc w:val="right"/>
              <w:rPr>
                <w:rFonts w:eastAsia="Times New Roman"/>
                <w:sz w:val="20"/>
                <w:szCs w:val="20"/>
              </w:rPr>
            </w:pPr>
            <w:r w:rsidRPr="008E63BB">
              <w:rPr>
                <w:rFonts w:eastAsia="Times New Roman"/>
                <w:sz w:val="20"/>
                <w:szCs w:val="20"/>
              </w:rPr>
              <w:t>249.206</w:t>
            </w:r>
          </w:p>
        </w:tc>
        <w:tc>
          <w:tcPr>
            <w:tcW w:w="766" w:type="dxa"/>
            <w:shd w:val="clear" w:color="auto" w:fill="auto"/>
            <w:noWrap/>
            <w:vAlign w:val="bottom"/>
            <w:hideMark/>
          </w:tcPr>
          <w:p w14:paraId="519B49DE" w14:textId="77777777" w:rsidR="007F05FD" w:rsidRPr="008E63BB" w:rsidRDefault="007F05FD" w:rsidP="0065184D">
            <w:pPr>
              <w:jc w:val="right"/>
              <w:rPr>
                <w:rFonts w:eastAsia="Times New Roman"/>
                <w:sz w:val="20"/>
                <w:szCs w:val="20"/>
              </w:rPr>
            </w:pPr>
            <w:r w:rsidRPr="008E63BB">
              <w:rPr>
                <w:rFonts w:eastAsia="Times New Roman"/>
                <w:sz w:val="20"/>
                <w:szCs w:val="20"/>
              </w:rPr>
              <w:t>70.152</w:t>
            </w:r>
          </w:p>
        </w:tc>
        <w:tc>
          <w:tcPr>
            <w:tcW w:w="766" w:type="dxa"/>
            <w:shd w:val="clear" w:color="auto" w:fill="auto"/>
            <w:noWrap/>
            <w:vAlign w:val="bottom"/>
            <w:hideMark/>
          </w:tcPr>
          <w:p w14:paraId="519B49DF" w14:textId="77777777" w:rsidR="007F05FD" w:rsidRPr="008E63BB" w:rsidRDefault="007F05FD" w:rsidP="0065184D">
            <w:pPr>
              <w:jc w:val="right"/>
              <w:rPr>
                <w:rFonts w:eastAsia="Times New Roman"/>
                <w:sz w:val="20"/>
                <w:szCs w:val="20"/>
              </w:rPr>
            </w:pPr>
            <w:r w:rsidRPr="008E63BB">
              <w:rPr>
                <w:rFonts w:eastAsia="Times New Roman"/>
                <w:sz w:val="20"/>
                <w:szCs w:val="20"/>
              </w:rPr>
              <w:t>70.255</w:t>
            </w:r>
          </w:p>
        </w:tc>
        <w:tc>
          <w:tcPr>
            <w:tcW w:w="787" w:type="dxa"/>
            <w:shd w:val="clear" w:color="auto" w:fill="auto"/>
            <w:noWrap/>
            <w:vAlign w:val="bottom"/>
            <w:hideMark/>
          </w:tcPr>
          <w:p w14:paraId="519B49E0" w14:textId="77777777" w:rsidR="007F05FD" w:rsidRPr="008E63BB" w:rsidRDefault="007F05FD" w:rsidP="0065184D">
            <w:pPr>
              <w:jc w:val="right"/>
              <w:rPr>
                <w:rFonts w:eastAsia="Times New Roman"/>
                <w:sz w:val="20"/>
                <w:szCs w:val="20"/>
              </w:rPr>
            </w:pPr>
            <w:r w:rsidRPr="008E63BB">
              <w:rPr>
                <w:rFonts w:eastAsia="Times New Roman"/>
                <w:sz w:val="20"/>
                <w:szCs w:val="20"/>
              </w:rPr>
              <w:t>27.985</w:t>
            </w:r>
          </w:p>
        </w:tc>
        <w:tc>
          <w:tcPr>
            <w:tcW w:w="750" w:type="dxa"/>
            <w:shd w:val="clear" w:color="auto" w:fill="auto"/>
            <w:noWrap/>
            <w:vAlign w:val="bottom"/>
            <w:hideMark/>
          </w:tcPr>
          <w:p w14:paraId="519B49E1" w14:textId="77777777" w:rsidR="007F05FD" w:rsidRPr="008E63BB" w:rsidRDefault="007F05FD" w:rsidP="0065184D">
            <w:pPr>
              <w:jc w:val="right"/>
              <w:rPr>
                <w:rFonts w:eastAsia="Times New Roman"/>
                <w:sz w:val="20"/>
                <w:szCs w:val="20"/>
              </w:rPr>
            </w:pPr>
            <w:r w:rsidRPr="008E63BB">
              <w:rPr>
                <w:rFonts w:eastAsia="Times New Roman"/>
                <w:sz w:val="20"/>
                <w:szCs w:val="20"/>
              </w:rPr>
              <w:t>46.439</w:t>
            </w:r>
          </w:p>
        </w:tc>
        <w:tc>
          <w:tcPr>
            <w:tcW w:w="866" w:type="dxa"/>
            <w:shd w:val="clear" w:color="auto" w:fill="auto"/>
            <w:noWrap/>
            <w:vAlign w:val="bottom"/>
            <w:hideMark/>
          </w:tcPr>
          <w:p w14:paraId="519B49E2" w14:textId="77777777" w:rsidR="007F05FD" w:rsidRPr="008E63BB" w:rsidRDefault="007F05FD" w:rsidP="0065184D">
            <w:pPr>
              <w:jc w:val="right"/>
              <w:rPr>
                <w:rFonts w:eastAsia="Times New Roman"/>
                <w:sz w:val="20"/>
                <w:szCs w:val="20"/>
              </w:rPr>
            </w:pPr>
            <w:r w:rsidRPr="008E63BB">
              <w:rPr>
                <w:rFonts w:eastAsia="Times New Roman"/>
                <w:sz w:val="20"/>
                <w:szCs w:val="20"/>
              </w:rPr>
              <w:t>393.885</w:t>
            </w:r>
          </w:p>
        </w:tc>
      </w:tr>
      <w:tr w:rsidR="008D5BFE" w:rsidRPr="008E63BB" w14:paraId="519B49EE" w14:textId="77777777" w:rsidTr="0090727E">
        <w:trPr>
          <w:trHeight w:val="255"/>
        </w:trPr>
        <w:tc>
          <w:tcPr>
            <w:tcW w:w="520" w:type="dxa"/>
            <w:shd w:val="clear" w:color="auto" w:fill="auto"/>
            <w:noWrap/>
            <w:vAlign w:val="bottom"/>
            <w:hideMark/>
          </w:tcPr>
          <w:p w14:paraId="519B49E4" w14:textId="77777777" w:rsidR="007F05FD" w:rsidRPr="008E63BB" w:rsidRDefault="007F05FD" w:rsidP="0065184D">
            <w:pPr>
              <w:jc w:val="center"/>
              <w:rPr>
                <w:rFonts w:eastAsia="Times New Roman"/>
                <w:sz w:val="20"/>
                <w:szCs w:val="20"/>
              </w:rPr>
            </w:pPr>
            <w:r w:rsidRPr="008E63BB">
              <w:rPr>
                <w:rFonts w:eastAsia="Times New Roman"/>
                <w:sz w:val="20"/>
                <w:szCs w:val="20"/>
              </w:rPr>
              <w:t>II</w:t>
            </w:r>
          </w:p>
        </w:tc>
        <w:tc>
          <w:tcPr>
            <w:tcW w:w="2599" w:type="dxa"/>
            <w:shd w:val="clear" w:color="auto" w:fill="auto"/>
            <w:noWrap/>
            <w:vAlign w:val="bottom"/>
            <w:hideMark/>
          </w:tcPr>
          <w:p w14:paraId="519B49E5" w14:textId="77777777" w:rsidR="007F05FD" w:rsidRPr="008E63BB" w:rsidRDefault="007F05FD" w:rsidP="0065184D">
            <w:pPr>
              <w:jc w:val="left"/>
              <w:rPr>
                <w:rFonts w:eastAsia="Times New Roman"/>
                <w:sz w:val="20"/>
                <w:szCs w:val="20"/>
              </w:rPr>
            </w:pPr>
            <w:r w:rsidRPr="008E63BB">
              <w:rPr>
                <w:rFonts w:eastAsia="Times New Roman"/>
                <w:sz w:val="20"/>
                <w:szCs w:val="20"/>
              </w:rPr>
              <w:t>Lao động trong độ tuổi</w:t>
            </w:r>
          </w:p>
        </w:tc>
        <w:tc>
          <w:tcPr>
            <w:tcW w:w="866" w:type="dxa"/>
            <w:shd w:val="clear" w:color="auto" w:fill="auto"/>
            <w:noWrap/>
            <w:vAlign w:val="bottom"/>
            <w:hideMark/>
          </w:tcPr>
          <w:p w14:paraId="519B49E6" w14:textId="77777777" w:rsidR="007F05FD" w:rsidRPr="008E63BB" w:rsidRDefault="007F05FD" w:rsidP="0065184D">
            <w:pPr>
              <w:jc w:val="right"/>
              <w:rPr>
                <w:rFonts w:eastAsia="Times New Roman"/>
                <w:sz w:val="20"/>
                <w:szCs w:val="20"/>
              </w:rPr>
            </w:pPr>
            <w:r w:rsidRPr="008E63BB">
              <w:rPr>
                <w:rFonts w:eastAsia="Times New Roman"/>
                <w:sz w:val="20"/>
                <w:szCs w:val="20"/>
              </w:rPr>
              <w:t>151.932</w:t>
            </w:r>
          </w:p>
        </w:tc>
        <w:tc>
          <w:tcPr>
            <w:tcW w:w="866" w:type="dxa"/>
            <w:shd w:val="clear" w:color="auto" w:fill="auto"/>
            <w:noWrap/>
            <w:vAlign w:val="bottom"/>
            <w:hideMark/>
          </w:tcPr>
          <w:p w14:paraId="519B49E7" w14:textId="77777777" w:rsidR="007F05FD" w:rsidRPr="008E63BB" w:rsidRDefault="007F05FD" w:rsidP="0065184D">
            <w:pPr>
              <w:jc w:val="right"/>
              <w:rPr>
                <w:rFonts w:eastAsia="Times New Roman"/>
                <w:sz w:val="20"/>
                <w:szCs w:val="20"/>
              </w:rPr>
            </w:pPr>
            <w:r w:rsidRPr="008E63BB">
              <w:rPr>
                <w:rFonts w:eastAsia="Times New Roman"/>
                <w:sz w:val="20"/>
                <w:szCs w:val="20"/>
              </w:rPr>
              <w:t>158.430</w:t>
            </w:r>
          </w:p>
        </w:tc>
        <w:tc>
          <w:tcPr>
            <w:tcW w:w="866" w:type="dxa"/>
            <w:shd w:val="clear" w:color="auto" w:fill="auto"/>
            <w:noWrap/>
            <w:vAlign w:val="bottom"/>
            <w:hideMark/>
          </w:tcPr>
          <w:p w14:paraId="519B49E8" w14:textId="77777777" w:rsidR="007F05FD" w:rsidRPr="008E63BB" w:rsidRDefault="007F05FD" w:rsidP="0065184D">
            <w:pPr>
              <w:jc w:val="right"/>
              <w:rPr>
                <w:rFonts w:eastAsia="Times New Roman"/>
                <w:sz w:val="20"/>
                <w:szCs w:val="20"/>
              </w:rPr>
            </w:pPr>
            <w:r w:rsidRPr="008E63BB">
              <w:rPr>
                <w:rFonts w:eastAsia="Times New Roman"/>
                <w:sz w:val="20"/>
                <w:szCs w:val="20"/>
              </w:rPr>
              <w:t>117.695</w:t>
            </w:r>
          </w:p>
        </w:tc>
        <w:tc>
          <w:tcPr>
            <w:tcW w:w="766" w:type="dxa"/>
            <w:shd w:val="clear" w:color="auto" w:fill="auto"/>
            <w:noWrap/>
            <w:vAlign w:val="bottom"/>
            <w:hideMark/>
          </w:tcPr>
          <w:p w14:paraId="519B49E9" w14:textId="77777777" w:rsidR="007F05FD" w:rsidRPr="008E63BB" w:rsidRDefault="007F05FD" w:rsidP="0065184D">
            <w:pPr>
              <w:jc w:val="right"/>
              <w:rPr>
                <w:rFonts w:eastAsia="Times New Roman"/>
                <w:sz w:val="20"/>
                <w:szCs w:val="20"/>
              </w:rPr>
            </w:pPr>
            <w:r w:rsidRPr="008E63BB">
              <w:rPr>
                <w:rFonts w:eastAsia="Times New Roman"/>
                <w:sz w:val="20"/>
                <w:szCs w:val="20"/>
              </w:rPr>
              <w:t>43.320</w:t>
            </w:r>
          </w:p>
        </w:tc>
        <w:tc>
          <w:tcPr>
            <w:tcW w:w="766" w:type="dxa"/>
            <w:shd w:val="clear" w:color="auto" w:fill="auto"/>
            <w:noWrap/>
            <w:vAlign w:val="bottom"/>
            <w:hideMark/>
          </w:tcPr>
          <w:p w14:paraId="519B49EA" w14:textId="77777777" w:rsidR="007F05FD" w:rsidRPr="008E63BB" w:rsidRDefault="007F05FD" w:rsidP="0065184D">
            <w:pPr>
              <w:jc w:val="right"/>
              <w:rPr>
                <w:rFonts w:eastAsia="Times New Roman"/>
                <w:sz w:val="20"/>
                <w:szCs w:val="20"/>
              </w:rPr>
            </w:pPr>
            <w:r w:rsidRPr="008E63BB">
              <w:rPr>
                <w:rFonts w:eastAsia="Times New Roman"/>
                <w:sz w:val="20"/>
                <w:szCs w:val="20"/>
              </w:rPr>
              <w:t>44.186</w:t>
            </w:r>
          </w:p>
        </w:tc>
        <w:tc>
          <w:tcPr>
            <w:tcW w:w="787" w:type="dxa"/>
            <w:shd w:val="clear" w:color="auto" w:fill="auto"/>
            <w:noWrap/>
            <w:vAlign w:val="bottom"/>
            <w:hideMark/>
          </w:tcPr>
          <w:p w14:paraId="519B49EB" w14:textId="77777777" w:rsidR="007F05FD" w:rsidRPr="008E63BB" w:rsidRDefault="007F05FD" w:rsidP="0065184D">
            <w:pPr>
              <w:jc w:val="right"/>
              <w:rPr>
                <w:rFonts w:eastAsia="Times New Roman"/>
                <w:sz w:val="20"/>
                <w:szCs w:val="20"/>
              </w:rPr>
            </w:pPr>
            <w:r w:rsidRPr="008E63BB">
              <w:rPr>
                <w:rFonts w:eastAsia="Times New Roman"/>
                <w:sz w:val="20"/>
                <w:szCs w:val="20"/>
              </w:rPr>
              <w:t>17.576</w:t>
            </w:r>
          </w:p>
        </w:tc>
        <w:tc>
          <w:tcPr>
            <w:tcW w:w="750" w:type="dxa"/>
            <w:shd w:val="clear" w:color="auto" w:fill="auto"/>
            <w:noWrap/>
            <w:vAlign w:val="bottom"/>
            <w:hideMark/>
          </w:tcPr>
          <w:p w14:paraId="519B49EC" w14:textId="77777777" w:rsidR="007F05FD" w:rsidRPr="008E63BB" w:rsidRDefault="007F05FD" w:rsidP="0065184D">
            <w:pPr>
              <w:jc w:val="right"/>
              <w:rPr>
                <w:rFonts w:eastAsia="Times New Roman"/>
                <w:sz w:val="20"/>
                <w:szCs w:val="20"/>
              </w:rPr>
            </w:pPr>
            <w:r w:rsidRPr="008E63BB">
              <w:rPr>
                <w:rFonts w:eastAsia="Times New Roman"/>
                <w:sz w:val="20"/>
                <w:szCs w:val="20"/>
              </w:rPr>
              <w:t>28.366</w:t>
            </w:r>
          </w:p>
        </w:tc>
        <w:tc>
          <w:tcPr>
            <w:tcW w:w="866" w:type="dxa"/>
            <w:shd w:val="clear" w:color="auto" w:fill="auto"/>
            <w:noWrap/>
            <w:vAlign w:val="bottom"/>
            <w:hideMark/>
          </w:tcPr>
          <w:p w14:paraId="519B49ED" w14:textId="77777777" w:rsidR="007F05FD" w:rsidRPr="008E63BB" w:rsidRDefault="007F05FD" w:rsidP="0065184D">
            <w:pPr>
              <w:jc w:val="right"/>
              <w:rPr>
                <w:rFonts w:eastAsia="Times New Roman"/>
                <w:sz w:val="20"/>
                <w:szCs w:val="20"/>
              </w:rPr>
            </w:pPr>
            <w:r w:rsidRPr="008E63BB">
              <w:rPr>
                <w:rFonts w:eastAsia="Times New Roman"/>
                <w:sz w:val="20"/>
                <w:szCs w:val="20"/>
              </w:rPr>
              <w:t>207.823</w:t>
            </w:r>
          </w:p>
        </w:tc>
      </w:tr>
      <w:tr w:rsidR="008D5BFE" w:rsidRPr="008E63BB" w14:paraId="519B49F9" w14:textId="77777777" w:rsidTr="0090727E">
        <w:trPr>
          <w:trHeight w:val="255"/>
        </w:trPr>
        <w:tc>
          <w:tcPr>
            <w:tcW w:w="520" w:type="dxa"/>
            <w:shd w:val="clear" w:color="auto" w:fill="auto"/>
            <w:noWrap/>
            <w:vAlign w:val="bottom"/>
            <w:hideMark/>
          </w:tcPr>
          <w:p w14:paraId="519B49EF" w14:textId="77777777" w:rsidR="007F05FD" w:rsidRPr="008E63BB" w:rsidRDefault="007F05FD" w:rsidP="0065184D">
            <w:pPr>
              <w:jc w:val="center"/>
              <w:rPr>
                <w:rFonts w:eastAsia="Times New Roman"/>
                <w:sz w:val="20"/>
                <w:szCs w:val="20"/>
              </w:rPr>
            </w:pPr>
            <w:r w:rsidRPr="008E63BB">
              <w:rPr>
                <w:rFonts w:eastAsia="Times New Roman"/>
                <w:sz w:val="20"/>
                <w:szCs w:val="20"/>
              </w:rPr>
              <w:t> </w:t>
            </w:r>
          </w:p>
        </w:tc>
        <w:tc>
          <w:tcPr>
            <w:tcW w:w="2599" w:type="dxa"/>
            <w:shd w:val="clear" w:color="auto" w:fill="auto"/>
            <w:noWrap/>
            <w:vAlign w:val="bottom"/>
            <w:hideMark/>
          </w:tcPr>
          <w:p w14:paraId="519B49F0"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tổng dân số </w:t>
            </w:r>
          </w:p>
        </w:tc>
        <w:tc>
          <w:tcPr>
            <w:tcW w:w="866" w:type="dxa"/>
            <w:shd w:val="clear" w:color="auto" w:fill="auto"/>
            <w:noWrap/>
            <w:vAlign w:val="bottom"/>
            <w:hideMark/>
          </w:tcPr>
          <w:p w14:paraId="519B49F1"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60,38</w:t>
            </w:r>
          </w:p>
        </w:tc>
        <w:tc>
          <w:tcPr>
            <w:tcW w:w="866" w:type="dxa"/>
            <w:shd w:val="clear" w:color="auto" w:fill="auto"/>
            <w:noWrap/>
            <w:vAlign w:val="bottom"/>
            <w:hideMark/>
          </w:tcPr>
          <w:p w14:paraId="519B49F2"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62,87</w:t>
            </w:r>
          </w:p>
        </w:tc>
        <w:tc>
          <w:tcPr>
            <w:tcW w:w="866" w:type="dxa"/>
            <w:shd w:val="clear" w:color="auto" w:fill="auto"/>
            <w:noWrap/>
            <w:vAlign w:val="bottom"/>
            <w:hideMark/>
          </w:tcPr>
          <w:p w14:paraId="519B49F3"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47,23</w:t>
            </w:r>
          </w:p>
        </w:tc>
        <w:tc>
          <w:tcPr>
            <w:tcW w:w="766" w:type="dxa"/>
            <w:shd w:val="clear" w:color="auto" w:fill="auto"/>
            <w:noWrap/>
            <w:vAlign w:val="bottom"/>
            <w:hideMark/>
          </w:tcPr>
          <w:p w14:paraId="519B49F4"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61,8</w:t>
            </w:r>
          </w:p>
        </w:tc>
        <w:tc>
          <w:tcPr>
            <w:tcW w:w="766" w:type="dxa"/>
            <w:shd w:val="clear" w:color="auto" w:fill="auto"/>
            <w:noWrap/>
            <w:vAlign w:val="bottom"/>
            <w:hideMark/>
          </w:tcPr>
          <w:p w14:paraId="519B49F5"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62,9</w:t>
            </w:r>
          </w:p>
        </w:tc>
        <w:tc>
          <w:tcPr>
            <w:tcW w:w="787" w:type="dxa"/>
            <w:shd w:val="clear" w:color="auto" w:fill="auto"/>
            <w:noWrap/>
            <w:vAlign w:val="bottom"/>
            <w:hideMark/>
          </w:tcPr>
          <w:p w14:paraId="519B49F6"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62,8</w:t>
            </w:r>
          </w:p>
        </w:tc>
        <w:tc>
          <w:tcPr>
            <w:tcW w:w="750" w:type="dxa"/>
            <w:shd w:val="clear" w:color="auto" w:fill="auto"/>
            <w:noWrap/>
            <w:vAlign w:val="bottom"/>
            <w:hideMark/>
          </w:tcPr>
          <w:p w14:paraId="519B49F7"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61,1</w:t>
            </w:r>
          </w:p>
        </w:tc>
        <w:tc>
          <w:tcPr>
            <w:tcW w:w="866" w:type="dxa"/>
            <w:shd w:val="clear" w:color="auto" w:fill="auto"/>
            <w:noWrap/>
            <w:vAlign w:val="bottom"/>
            <w:hideMark/>
          </w:tcPr>
          <w:p w14:paraId="519B49F8"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52,76</w:t>
            </w:r>
          </w:p>
        </w:tc>
      </w:tr>
      <w:tr w:rsidR="008D5BFE" w:rsidRPr="008E63BB" w14:paraId="519B4A04" w14:textId="77777777" w:rsidTr="0090727E">
        <w:trPr>
          <w:trHeight w:val="255"/>
        </w:trPr>
        <w:tc>
          <w:tcPr>
            <w:tcW w:w="520" w:type="dxa"/>
            <w:shd w:val="clear" w:color="auto" w:fill="auto"/>
            <w:noWrap/>
            <w:vAlign w:val="bottom"/>
            <w:hideMark/>
          </w:tcPr>
          <w:p w14:paraId="519B49FA" w14:textId="77777777" w:rsidR="007F05FD" w:rsidRPr="008E63BB" w:rsidRDefault="007F05FD" w:rsidP="0065184D">
            <w:pPr>
              <w:jc w:val="center"/>
              <w:rPr>
                <w:rFonts w:eastAsia="Times New Roman"/>
                <w:sz w:val="20"/>
                <w:szCs w:val="20"/>
              </w:rPr>
            </w:pPr>
            <w:r w:rsidRPr="008E63BB">
              <w:rPr>
                <w:rFonts w:eastAsia="Times New Roman"/>
                <w:sz w:val="20"/>
                <w:szCs w:val="20"/>
              </w:rPr>
              <w:t>III</w:t>
            </w:r>
          </w:p>
        </w:tc>
        <w:tc>
          <w:tcPr>
            <w:tcW w:w="2599" w:type="dxa"/>
            <w:shd w:val="clear" w:color="auto" w:fill="auto"/>
            <w:noWrap/>
            <w:vAlign w:val="bottom"/>
            <w:hideMark/>
          </w:tcPr>
          <w:p w14:paraId="519B49FB" w14:textId="77777777" w:rsidR="007F05FD" w:rsidRPr="008E63BB" w:rsidRDefault="007F05FD" w:rsidP="0065184D">
            <w:pPr>
              <w:jc w:val="left"/>
              <w:rPr>
                <w:rFonts w:eastAsia="Times New Roman"/>
                <w:sz w:val="20"/>
                <w:szCs w:val="20"/>
              </w:rPr>
            </w:pPr>
            <w:r w:rsidRPr="008E63BB">
              <w:rPr>
                <w:rFonts w:eastAsia="Times New Roman"/>
                <w:sz w:val="20"/>
                <w:szCs w:val="20"/>
              </w:rPr>
              <w:t>Tổng LĐ làm việc trong các ngành kinh tế (người)</w:t>
            </w:r>
          </w:p>
        </w:tc>
        <w:tc>
          <w:tcPr>
            <w:tcW w:w="866" w:type="dxa"/>
            <w:shd w:val="clear" w:color="auto" w:fill="auto"/>
            <w:noWrap/>
            <w:vAlign w:val="bottom"/>
            <w:hideMark/>
          </w:tcPr>
          <w:p w14:paraId="519B49FC" w14:textId="77777777" w:rsidR="007F05FD" w:rsidRPr="008E63BB" w:rsidRDefault="007F05FD" w:rsidP="0065184D">
            <w:pPr>
              <w:jc w:val="right"/>
              <w:rPr>
                <w:rFonts w:eastAsia="Times New Roman"/>
                <w:sz w:val="20"/>
                <w:szCs w:val="20"/>
              </w:rPr>
            </w:pPr>
            <w:r w:rsidRPr="008E63BB">
              <w:rPr>
                <w:rFonts w:eastAsia="Times New Roman"/>
                <w:sz w:val="20"/>
                <w:szCs w:val="20"/>
              </w:rPr>
              <w:t>105.885</w:t>
            </w:r>
          </w:p>
        </w:tc>
        <w:tc>
          <w:tcPr>
            <w:tcW w:w="866" w:type="dxa"/>
            <w:shd w:val="clear" w:color="auto" w:fill="auto"/>
            <w:noWrap/>
            <w:vAlign w:val="bottom"/>
            <w:hideMark/>
          </w:tcPr>
          <w:p w14:paraId="519B49FD" w14:textId="77777777" w:rsidR="007F05FD" w:rsidRPr="008E63BB" w:rsidRDefault="007F05FD" w:rsidP="0065184D">
            <w:pPr>
              <w:jc w:val="right"/>
              <w:rPr>
                <w:rFonts w:eastAsia="Times New Roman"/>
                <w:sz w:val="20"/>
                <w:szCs w:val="20"/>
              </w:rPr>
            </w:pPr>
            <w:r w:rsidRPr="008E63BB">
              <w:rPr>
                <w:rFonts w:eastAsia="Times New Roman"/>
                <w:sz w:val="20"/>
                <w:szCs w:val="20"/>
              </w:rPr>
              <w:t>110.960</w:t>
            </w:r>
          </w:p>
        </w:tc>
        <w:tc>
          <w:tcPr>
            <w:tcW w:w="866" w:type="dxa"/>
            <w:shd w:val="clear" w:color="auto" w:fill="auto"/>
            <w:noWrap/>
            <w:vAlign w:val="bottom"/>
            <w:hideMark/>
          </w:tcPr>
          <w:p w14:paraId="519B49FE" w14:textId="77777777" w:rsidR="007F05FD" w:rsidRPr="008E63BB" w:rsidRDefault="007F05FD" w:rsidP="0065184D">
            <w:pPr>
              <w:jc w:val="right"/>
              <w:rPr>
                <w:rFonts w:eastAsia="Times New Roman"/>
                <w:sz w:val="20"/>
                <w:szCs w:val="20"/>
              </w:rPr>
            </w:pPr>
            <w:r w:rsidRPr="008E63BB">
              <w:rPr>
                <w:rFonts w:eastAsia="Times New Roman"/>
                <w:sz w:val="20"/>
                <w:szCs w:val="20"/>
              </w:rPr>
              <w:t>115.147</w:t>
            </w:r>
          </w:p>
        </w:tc>
        <w:tc>
          <w:tcPr>
            <w:tcW w:w="766" w:type="dxa"/>
            <w:shd w:val="clear" w:color="auto" w:fill="auto"/>
            <w:noWrap/>
            <w:vAlign w:val="bottom"/>
            <w:hideMark/>
          </w:tcPr>
          <w:p w14:paraId="519B49FF" w14:textId="77777777" w:rsidR="007F05FD" w:rsidRPr="008E63BB" w:rsidRDefault="007F05FD" w:rsidP="0065184D">
            <w:pPr>
              <w:jc w:val="right"/>
              <w:rPr>
                <w:rFonts w:eastAsia="Times New Roman"/>
                <w:sz w:val="20"/>
                <w:szCs w:val="20"/>
              </w:rPr>
            </w:pPr>
            <w:r w:rsidRPr="008E63BB">
              <w:rPr>
                <w:rFonts w:eastAsia="Times New Roman"/>
                <w:sz w:val="20"/>
                <w:szCs w:val="20"/>
              </w:rPr>
              <w:t>41.261</w:t>
            </w:r>
          </w:p>
        </w:tc>
        <w:tc>
          <w:tcPr>
            <w:tcW w:w="766" w:type="dxa"/>
            <w:shd w:val="clear" w:color="auto" w:fill="auto"/>
            <w:noWrap/>
            <w:vAlign w:val="bottom"/>
            <w:hideMark/>
          </w:tcPr>
          <w:p w14:paraId="519B4A00" w14:textId="77777777" w:rsidR="007F05FD" w:rsidRPr="008E63BB" w:rsidRDefault="007F05FD" w:rsidP="0065184D">
            <w:pPr>
              <w:jc w:val="right"/>
              <w:rPr>
                <w:rFonts w:eastAsia="Times New Roman"/>
                <w:sz w:val="20"/>
                <w:szCs w:val="20"/>
              </w:rPr>
            </w:pPr>
            <w:r w:rsidRPr="008E63BB">
              <w:rPr>
                <w:rFonts w:eastAsia="Times New Roman"/>
                <w:sz w:val="20"/>
                <w:szCs w:val="20"/>
              </w:rPr>
              <w:t>43.208</w:t>
            </w:r>
          </w:p>
        </w:tc>
        <w:tc>
          <w:tcPr>
            <w:tcW w:w="787" w:type="dxa"/>
            <w:shd w:val="clear" w:color="auto" w:fill="auto"/>
            <w:noWrap/>
            <w:vAlign w:val="bottom"/>
            <w:hideMark/>
          </w:tcPr>
          <w:p w14:paraId="519B4A01" w14:textId="77777777" w:rsidR="007F05FD" w:rsidRPr="008E63BB" w:rsidRDefault="007F05FD" w:rsidP="0065184D">
            <w:pPr>
              <w:jc w:val="right"/>
              <w:rPr>
                <w:rFonts w:eastAsia="Times New Roman"/>
                <w:sz w:val="20"/>
                <w:szCs w:val="20"/>
              </w:rPr>
            </w:pPr>
            <w:r w:rsidRPr="008E63BB">
              <w:rPr>
                <w:rFonts w:eastAsia="Times New Roman"/>
                <w:sz w:val="20"/>
                <w:szCs w:val="20"/>
              </w:rPr>
              <w:t>17.335</w:t>
            </w:r>
          </w:p>
        </w:tc>
        <w:tc>
          <w:tcPr>
            <w:tcW w:w="750" w:type="dxa"/>
            <w:shd w:val="clear" w:color="auto" w:fill="auto"/>
            <w:noWrap/>
            <w:vAlign w:val="bottom"/>
            <w:hideMark/>
          </w:tcPr>
          <w:p w14:paraId="519B4A02" w14:textId="77777777" w:rsidR="007F05FD" w:rsidRPr="008E63BB" w:rsidRDefault="007F05FD" w:rsidP="0065184D">
            <w:pPr>
              <w:jc w:val="right"/>
              <w:rPr>
                <w:rFonts w:eastAsia="Times New Roman"/>
                <w:sz w:val="20"/>
                <w:szCs w:val="20"/>
              </w:rPr>
            </w:pPr>
            <w:r w:rsidRPr="008E63BB">
              <w:rPr>
                <w:rFonts w:eastAsia="Times New Roman"/>
                <w:sz w:val="20"/>
                <w:szCs w:val="20"/>
              </w:rPr>
              <w:t>28.000</w:t>
            </w:r>
          </w:p>
        </w:tc>
        <w:tc>
          <w:tcPr>
            <w:tcW w:w="866" w:type="dxa"/>
            <w:shd w:val="clear" w:color="auto" w:fill="auto"/>
            <w:noWrap/>
            <w:vAlign w:val="bottom"/>
            <w:hideMark/>
          </w:tcPr>
          <w:p w14:paraId="519B4A03" w14:textId="77777777" w:rsidR="007F05FD" w:rsidRPr="008E63BB" w:rsidRDefault="007F05FD" w:rsidP="0065184D">
            <w:pPr>
              <w:jc w:val="right"/>
              <w:rPr>
                <w:rFonts w:eastAsia="Times New Roman"/>
                <w:sz w:val="20"/>
                <w:szCs w:val="20"/>
              </w:rPr>
            </w:pPr>
            <w:r w:rsidRPr="008E63BB">
              <w:rPr>
                <w:rFonts w:eastAsia="Times New Roman"/>
                <w:sz w:val="20"/>
                <w:szCs w:val="20"/>
              </w:rPr>
              <w:t>203.690</w:t>
            </w:r>
          </w:p>
        </w:tc>
      </w:tr>
      <w:tr w:rsidR="008D5BFE" w:rsidRPr="008E63BB" w14:paraId="519B4A0F" w14:textId="77777777" w:rsidTr="0090727E">
        <w:trPr>
          <w:trHeight w:val="255"/>
        </w:trPr>
        <w:tc>
          <w:tcPr>
            <w:tcW w:w="520" w:type="dxa"/>
            <w:shd w:val="clear" w:color="auto" w:fill="auto"/>
            <w:noWrap/>
            <w:vAlign w:val="bottom"/>
            <w:hideMark/>
          </w:tcPr>
          <w:p w14:paraId="519B4A05" w14:textId="77777777" w:rsidR="007F05FD" w:rsidRPr="008E63BB" w:rsidRDefault="007F05FD" w:rsidP="0065184D">
            <w:pPr>
              <w:jc w:val="center"/>
              <w:rPr>
                <w:rFonts w:eastAsia="Times New Roman"/>
                <w:i/>
                <w:iCs/>
                <w:sz w:val="20"/>
                <w:szCs w:val="20"/>
              </w:rPr>
            </w:pPr>
            <w:r w:rsidRPr="008E63BB">
              <w:rPr>
                <w:rFonts w:eastAsia="Times New Roman"/>
                <w:i/>
                <w:iCs/>
                <w:sz w:val="20"/>
                <w:szCs w:val="20"/>
              </w:rPr>
              <w:t> </w:t>
            </w:r>
          </w:p>
        </w:tc>
        <w:tc>
          <w:tcPr>
            <w:tcW w:w="2599" w:type="dxa"/>
            <w:shd w:val="clear" w:color="auto" w:fill="auto"/>
            <w:noWrap/>
            <w:vAlign w:val="bottom"/>
            <w:hideMark/>
          </w:tcPr>
          <w:p w14:paraId="519B4A06"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tổng dân số trong độ tuổi lao động</w:t>
            </w:r>
          </w:p>
        </w:tc>
        <w:tc>
          <w:tcPr>
            <w:tcW w:w="866" w:type="dxa"/>
            <w:shd w:val="clear" w:color="auto" w:fill="auto"/>
            <w:noWrap/>
            <w:vAlign w:val="bottom"/>
            <w:hideMark/>
          </w:tcPr>
          <w:p w14:paraId="519B4A07"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69,69</w:t>
            </w:r>
          </w:p>
        </w:tc>
        <w:tc>
          <w:tcPr>
            <w:tcW w:w="866" w:type="dxa"/>
            <w:shd w:val="clear" w:color="auto" w:fill="auto"/>
            <w:noWrap/>
            <w:vAlign w:val="bottom"/>
            <w:hideMark/>
          </w:tcPr>
          <w:p w14:paraId="519B4A08"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70,04</w:t>
            </w:r>
          </w:p>
        </w:tc>
        <w:tc>
          <w:tcPr>
            <w:tcW w:w="866" w:type="dxa"/>
            <w:shd w:val="clear" w:color="auto" w:fill="auto"/>
            <w:noWrap/>
            <w:vAlign w:val="bottom"/>
            <w:hideMark/>
          </w:tcPr>
          <w:p w14:paraId="519B4A09"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97,84</w:t>
            </w:r>
          </w:p>
        </w:tc>
        <w:tc>
          <w:tcPr>
            <w:tcW w:w="766" w:type="dxa"/>
            <w:shd w:val="clear" w:color="auto" w:fill="auto"/>
            <w:noWrap/>
            <w:vAlign w:val="bottom"/>
            <w:hideMark/>
          </w:tcPr>
          <w:p w14:paraId="519B4A0A"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95,25</w:t>
            </w:r>
          </w:p>
        </w:tc>
        <w:tc>
          <w:tcPr>
            <w:tcW w:w="766" w:type="dxa"/>
            <w:shd w:val="clear" w:color="auto" w:fill="auto"/>
            <w:noWrap/>
            <w:vAlign w:val="bottom"/>
            <w:hideMark/>
          </w:tcPr>
          <w:p w14:paraId="519B4A0B"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97,79</w:t>
            </w:r>
          </w:p>
        </w:tc>
        <w:tc>
          <w:tcPr>
            <w:tcW w:w="787" w:type="dxa"/>
            <w:shd w:val="clear" w:color="auto" w:fill="auto"/>
            <w:noWrap/>
            <w:vAlign w:val="bottom"/>
            <w:hideMark/>
          </w:tcPr>
          <w:p w14:paraId="519B4A0C"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98,63</w:t>
            </w:r>
          </w:p>
        </w:tc>
        <w:tc>
          <w:tcPr>
            <w:tcW w:w="750" w:type="dxa"/>
            <w:shd w:val="clear" w:color="auto" w:fill="auto"/>
            <w:noWrap/>
            <w:vAlign w:val="bottom"/>
            <w:hideMark/>
          </w:tcPr>
          <w:p w14:paraId="519B4A0D"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98,71</w:t>
            </w:r>
          </w:p>
        </w:tc>
        <w:tc>
          <w:tcPr>
            <w:tcW w:w="866" w:type="dxa"/>
            <w:shd w:val="clear" w:color="auto" w:fill="auto"/>
            <w:noWrap/>
            <w:vAlign w:val="bottom"/>
            <w:hideMark/>
          </w:tcPr>
          <w:p w14:paraId="519B4A0E"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98,01</w:t>
            </w:r>
          </w:p>
        </w:tc>
      </w:tr>
      <w:tr w:rsidR="008D5BFE" w:rsidRPr="008E63BB" w14:paraId="519B4A1A" w14:textId="77777777" w:rsidTr="0090727E">
        <w:trPr>
          <w:trHeight w:val="255"/>
        </w:trPr>
        <w:tc>
          <w:tcPr>
            <w:tcW w:w="520" w:type="dxa"/>
            <w:shd w:val="clear" w:color="auto" w:fill="auto"/>
            <w:noWrap/>
            <w:vAlign w:val="bottom"/>
            <w:hideMark/>
          </w:tcPr>
          <w:p w14:paraId="519B4A10" w14:textId="77777777" w:rsidR="007F05FD" w:rsidRPr="008E63BB" w:rsidRDefault="007F05FD" w:rsidP="0065184D">
            <w:pPr>
              <w:jc w:val="center"/>
              <w:rPr>
                <w:rFonts w:eastAsia="Times New Roman"/>
                <w:i/>
                <w:iCs/>
                <w:sz w:val="20"/>
                <w:szCs w:val="20"/>
              </w:rPr>
            </w:pPr>
            <w:r w:rsidRPr="008E63BB">
              <w:rPr>
                <w:rFonts w:eastAsia="Times New Roman"/>
                <w:i/>
                <w:iCs/>
                <w:sz w:val="20"/>
                <w:szCs w:val="20"/>
              </w:rPr>
              <w:t> </w:t>
            </w:r>
          </w:p>
        </w:tc>
        <w:tc>
          <w:tcPr>
            <w:tcW w:w="2599" w:type="dxa"/>
            <w:shd w:val="clear" w:color="auto" w:fill="auto"/>
            <w:noWrap/>
            <w:vAlign w:val="bottom"/>
            <w:hideMark/>
          </w:tcPr>
          <w:p w14:paraId="519B4A11"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Phân theo ngành:</w:t>
            </w:r>
          </w:p>
        </w:tc>
        <w:tc>
          <w:tcPr>
            <w:tcW w:w="866" w:type="dxa"/>
            <w:shd w:val="clear" w:color="auto" w:fill="auto"/>
            <w:noWrap/>
            <w:vAlign w:val="bottom"/>
            <w:hideMark/>
          </w:tcPr>
          <w:p w14:paraId="519B4A12"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866" w:type="dxa"/>
            <w:shd w:val="clear" w:color="auto" w:fill="auto"/>
            <w:noWrap/>
            <w:vAlign w:val="bottom"/>
            <w:hideMark/>
          </w:tcPr>
          <w:p w14:paraId="519B4A13"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866" w:type="dxa"/>
            <w:shd w:val="clear" w:color="auto" w:fill="auto"/>
            <w:noWrap/>
            <w:vAlign w:val="bottom"/>
            <w:hideMark/>
          </w:tcPr>
          <w:p w14:paraId="519B4A14"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66" w:type="dxa"/>
            <w:shd w:val="clear" w:color="auto" w:fill="auto"/>
            <w:noWrap/>
            <w:vAlign w:val="bottom"/>
            <w:hideMark/>
          </w:tcPr>
          <w:p w14:paraId="519B4A15"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66" w:type="dxa"/>
            <w:shd w:val="clear" w:color="auto" w:fill="auto"/>
            <w:noWrap/>
            <w:vAlign w:val="bottom"/>
            <w:hideMark/>
          </w:tcPr>
          <w:p w14:paraId="519B4A16"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87" w:type="dxa"/>
            <w:shd w:val="clear" w:color="auto" w:fill="auto"/>
            <w:noWrap/>
            <w:vAlign w:val="bottom"/>
            <w:hideMark/>
          </w:tcPr>
          <w:p w14:paraId="519B4A17"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50" w:type="dxa"/>
            <w:shd w:val="clear" w:color="auto" w:fill="auto"/>
            <w:noWrap/>
            <w:vAlign w:val="bottom"/>
            <w:hideMark/>
          </w:tcPr>
          <w:p w14:paraId="519B4A18"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866" w:type="dxa"/>
            <w:shd w:val="clear" w:color="auto" w:fill="auto"/>
            <w:noWrap/>
            <w:vAlign w:val="bottom"/>
            <w:hideMark/>
          </w:tcPr>
          <w:p w14:paraId="519B4A19"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r>
      <w:tr w:rsidR="008D5BFE" w:rsidRPr="008E63BB" w14:paraId="519B4A25" w14:textId="77777777" w:rsidTr="0090727E">
        <w:trPr>
          <w:trHeight w:val="255"/>
        </w:trPr>
        <w:tc>
          <w:tcPr>
            <w:tcW w:w="520" w:type="dxa"/>
            <w:shd w:val="clear" w:color="auto" w:fill="auto"/>
            <w:noWrap/>
            <w:vAlign w:val="bottom"/>
            <w:hideMark/>
          </w:tcPr>
          <w:p w14:paraId="519B4A1B" w14:textId="77777777" w:rsidR="007F05FD" w:rsidRPr="008E63BB" w:rsidRDefault="007F05FD" w:rsidP="0065184D">
            <w:pPr>
              <w:jc w:val="center"/>
              <w:rPr>
                <w:rFonts w:eastAsia="Times New Roman"/>
                <w:i/>
                <w:iCs/>
                <w:sz w:val="20"/>
                <w:szCs w:val="20"/>
                <w:u w:val="single"/>
              </w:rPr>
            </w:pPr>
            <w:r w:rsidRPr="008E63BB">
              <w:rPr>
                <w:rFonts w:eastAsia="Times New Roman"/>
                <w:i/>
                <w:iCs/>
                <w:sz w:val="20"/>
                <w:szCs w:val="20"/>
                <w:u w:val="single"/>
              </w:rPr>
              <w:t>3.1</w:t>
            </w:r>
          </w:p>
        </w:tc>
        <w:tc>
          <w:tcPr>
            <w:tcW w:w="2599" w:type="dxa"/>
            <w:shd w:val="clear" w:color="auto" w:fill="auto"/>
            <w:noWrap/>
            <w:vAlign w:val="bottom"/>
            <w:hideMark/>
          </w:tcPr>
          <w:p w14:paraId="519B4A1C" w14:textId="77777777" w:rsidR="007F05FD" w:rsidRPr="008E63BB" w:rsidRDefault="007F05FD" w:rsidP="0065184D">
            <w:pPr>
              <w:jc w:val="left"/>
              <w:rPr>
                <w:rFonts w:eastAsia="Times New Roman"/>
                <w:i/>
                <w:iCs/>
                <w:sz w:val="20"/>
                <w:szCs w:val="20"/>
                <w:u w:val="single"/>
              </w:rPr>
            </w:pPr>
            <w:r w:rsidRPr="008E63BB">
              <w:rPr>
                <w:rFonts w:eastAsia="Times New Roman"/>
                <w:i/>
                <w:iCs/>
                <w:sz w:val="20"/>
                <w:szCs w:val="20"/>
                <w:u w:val="single"/>
              </w:rPr>
              <w:t>LĐ nông nghiệp, thuỷ sản (người)</w:t>
            </w:r>
          </w:p>
        </w:tc>
        <w:tc>
          <w:tcPr>
            <w:tcW w:w="866" w:type="dxa"/>
            <w:shd w:val="clear" w:color="auto" w:fill="auto"/>
            <w:noWrap/>
            <w:vAlign w:val="bottom"/>
            <w:hideMark/>
          </w:tcPr>
          <w:p w14:paraId="519B4A1D"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5.628</w:t>
            </w:r>
          </w:p>
        </w:tc>
        <w:tc>
          <w:tcPr>
            <w:tcW w:w="866" w:type="dxa"/>
            <w:shd w:val="clear" w:color="auto" w:fill="auto"/>
            <w:noWrap/>
            <w:vAlign w:val="bottom"/>
            <w:hideMark/>
          </w:tcPr>
          <w:p w14:paraId="519B4A1E"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5.898</w:t>
            </w:r>
          </w:p>
        </w:tc>
        <w:tc>
          <w:tcPr>
            <w:tcW w:w="866" w:type="dxa"/>
            <w:shd w:val="clear" w:color="auto" w:fill="auto"/>
            <w:noWrap/>
            <w:vAlign w:val="bottom"/>
            <w:hideMark/>
          </w:tcPr>
          <w:p w14:paraId="519B4A1F"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3.825</w:t>
            </w:r>
          </w:p>
        </w:tc>
        <w:tc>
          <w:tcPr>
            <w:tcW w:w="766" w:type="dxa"/>
            <w:shd w:val="clear" w:color="auto" w:fill="auto"/>
            <w:noWrap/>
            <w:vAlign w:val="bottom"/>
            <w:hideMark/>
          </w:tcPr>
          <w:p w14:paraId="519B4A20"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23.300</w:t>
            </w:r>
          </w:p>
        </w:tc>
        <w:tc>
          <w:tcPr>
            <w:tcW w:w="766" w:type="dxa"/>
            <w:shd w:val="clear" w:color="auto" w:fill="auto"/>
            <w:noWrap/>
            <w:vAlign w:val="bottom"/>
            <w:hideMark/>
          </w:tcPr>
          <w:p w14:paraId="519B4A21"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23.999</w:t>
            </w:r>
          </w:p>
        </w:tc>
        <w:tc>
          <w:tcPr>
            <w:tcW w:w="787" w:type="dxa"/>
            <w:shd w:val="clear" w:color="auto" w:fill="auto"/>
            <w:noWrap/>
            <w:vAlign w:val="bottom"/>
            <w:hideMark/>
          </w:tcPr>
          <w:p w14:paraId="519B4A22"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9.343</w:t>
            </w:r>
          </w:p>
        </w:tc>
        <w:tc>
          <w:tcPr>
            <w:tcW w:w="750" w:type="dxa"/>
            <w:shd w:val="clear" w:color="auto" w:fill="auto"/>
            <w:noWrap/>
            <w:vAlign w:val="bottom"/>
            <w:hideMark/>
          </w:tcPr>
          <w:p w14:paraId="519B4A23"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16.464</w:t>
            </w:r>
          </w:p>
        </w:tc>
        <w:tc>
          <w:tcPr>
            <w:tcW w:w="866" w:type="dxa"/>
            <w:shd w:val="clear" w:color="auto" w:fill="auto"/>
            <w:noWrap/>
            <w:vAlign w:val="bottom"/>
            <w:hideMark/>
          </w:tcPr>
          <w:p w14:paraId="519B4A24"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53.631</w:t>
            </w:r>
          </w:p>
        </w:tc>
      </w:tr>
      <w:tr w:rsidR="008D5BFE" w:rsidRPr="008E63BB" w14:paraId="519B4A30" w14:textId="77777777" w:rsidTr="0090727E">
        <w:trPr>
          <w:trHeight w:val="255"/>
        </w:trPr>
        <w:tc>
          <w:tcPr>
            <w:tcW w:w="520" w:type="dxa"/>
            <w:shd w:val="clear" w:color="auto" w:fill="auto"/>
            <w:noWrap/>
            <w:vAlign w:val="bottom"/>
            <w:hideMark/>
          </w:tcPr>
          <w:p w14:paraId="519B4A26" w14:textId="77777777" w:rsidR="007F05FD" w:rsidRPr="008E63BB" w:rsidRDefault="007F05FD" w:rsidP="0065184D">
            <w:pPr>
              <w:jc w:val="center"/>
              <w:rPr>
                <w:rFonts w:eastAsia="Times New Roman"/>
                <w:i/>
                <w:iCs/>
                <w:sz w:val="20"/>
                <w:szCs w:val="20"/>
              </w:rPr>
            </w:pPr>
            <w:r w:rsidRPr="008E63BB">
              <w:rPr>
                <w:rFonts w:eastAsia="Times New Roman"/>
                <w:i/>
                <w:iCs/>
                <w:sz w:val="20"/>
                <w:szCs w:val="20"/>
              </w:rPr>
              <w:t> </w:t>
            </w:r>
          </w:p>
        </w:tc>
        <w:tc>
          <w:tcPr>
            <w:tcW w:w="2599" w:type="dxa"/>
            <w:shd w:val="clear" w:color="auto" w:fill="auto"/>
            <w:noWrap/>
            <w:vAlign w:val="bottom"/>
            <w:hideMark/>
          </w:tcPr>
          <w:p w14:paraId="519B4A27"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LĐ làm việc</w:t>
            </w:r>
          </w:p>
        </w:tc>
        <w:tc>
          <w:tcPr>
            <w:tcW w:w="866" w:type="dxa"/>
            <w:shd w:val="clear" w:color="auto" w:fill="auto"/>
            <w:noWrap/>
            <w:vAlign w:val="bottom"/>
            <w:hideMark/>
          </w:tcPr>
          <w:p w14:paraId="519B4A28"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5,32</w:t>
            </w:r>
          </w:p>
        </w:tc>
        <w:tc>
          <w:tcPr>
            <w:tcW w:w="866" w:type="dxa"/>
            <w:shd w:val="clear" w:color="auto" w:fill="auto"/>
            <w:noWrap/>
            <w:vAlign w:val="bottom"/>
            <w:hideMark/>
          </w:tcPr>
          <w:p w14:paraId="519B4A29"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5,32</w:t>
            </w:r>
          </w:p>
        </w:tc>
        <w:tc>
          <w:tcPr>
            <w:tcW w:w="866" w:type="dxa"/>
            <w:shd w:val="clear" w:color="auto" w:fill="auto"/>
            <w:noWrap/>
            <w:vAlign w:val="bottom"/>
            <w:hideMark/>
          </w:tcPr>
          <w:p w14:paraId="519B4A2A"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3,32</w:t>
            </w:r>
          </w:p>
        </w:tc>
        <w:tc>
          <w:tcPr>
            <w:tcW w:w="766" w:type="dxa"/>
            <w:shd w:val="clear" w:color="auto" w:fill="auto"/>
            <w:noWrap/>
            <w:vAlign w:val="bottom"/>
            <w:hideMark/>
          </w:tcPr>
          <w:p w14:paraId="519B4A2B"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56,47</w:t>
            </w:r>
          </w:p>
        </w:tc>
        <w:tc>
          <w:tcPr>
            <w:tcW w:w="766" w:type="dxa"/>
            <w:shd w:val="clear" w:color="auto" w:fill="auto"/>
            <w:noWrap/>
            <w:vAlign w:val="bottom"/>
            <w:hideMark/>
          </w:tcPr>
          <w:p w14:paraId="519B4A2C"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55,54</w:t>
            </w:r>
          </w:p>
        </w:tc>
        <w:tc>
          <w:tcPr>
            <w:tcW w:w="787" w:type="dxa"/>
            <w:shd w:val="clear" w:color="auto" w:fill="auto"/>
            <w:noWrap/>
            <w:vAlign w:val="bottom"/>
            <w:hideMark/>
          </w:tcPr>
          <w:p w14:paraId="519B4A2D"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53,90</w:t>
            </w:r>
          </w:p>
        </w:tc>
        <w:tc>
          <w:tcPr>
            <w:tcW w:w="750" w:type="dxa"/>
            <w:shd w:val="clear" w:color="auto" w:fill="auto"/>
            <w:noWrap/>
            <w:vAlign w:val="bottom"/>
            <w:hideMark/>
          </w:tcPr>
          <w:p w14:paraId="519B4A2E"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58,80</w:t>
            </w:r>
          </w:p>
        </w:tc>
        <w:tc>
          <w:tcPr>
            <w:tcW w:w="866" w:type="dxa"/>
            <w:shd w:val="clear" w:color="auto" w:fill="auto"/>
            <w:noWrap/>
            <w:vAlign w:val="bottom"/>
            <w:hideMark/>
          </w:tcPr>
          <w:p w14:paraId="519B4A2F"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26,33</w:t>
            </w:r>
          </w:p>
        </w:tc>
      </w:tr>
      <w:tr w:rsidR="008D5BFE" w:rsidRPr="008E63BB" w14:paraId="519B4A3B" w14:textId="77777777" w:rsidTr="0090727E">
        <w:trPr>
          <w:trHeight w:val="255"/>
        </w:trPr>
        <w:tc>
          <w:tcPr>
            <w:tcW w:w="520" w:type="dxa"/>
            <w:shd w:val="clear" w:color="auto" w:fill="auto"/>
            <w:noWrap/>
            <w:vAlign w:val="bottom"/>
            <w:hideMark/>
          </w:tcPr>
          <w:p w14:paraId="519B4A31" w14:textId="77777777" w:rsidR="007F05FD" w:rsidRPr="008E63BB" w:rsidRDefault="007F05FD" w:rsidP="0065184D">
            <w:pPr>
              <w:jc w:val="center"/>
              <w:rPr>
                <w:rFonts w:eastAsia="Times New Roman"/>
                <w:i/>
                <w:iCs/>
                <w:sz w:val="20"/>
                <w:szCs w:val="20"/>
                <w:u w:val="single"/>
              </w:rPr>
            </w:pPr>
            <w:r w:rsidRPr="008E63BB">
              <w:rPr>
                <w:rFonts w:eastAsia="Times New Roman"/>
                <w:i/>
                <w:iCs/>
                <w:sz w:val="20"/>
                <w:szCs w:val="20"/>
                <w:u w:val="single"/>
              </w:rPr>
              <w:t>3.2</w:t>
            </w:r>
          </w:p>
        </w:tc>
        <w:tc>
          <w:tcPr>
            <w:tcW w:w="2599" w:type="dxa"/>
            <w:shd w:val="clear" w:color="auto" w:fill="auto"/>
            <w:noWrap/>
            <w:vAlign w:val="bottom"/>
            <w:hideMark/>
          </w:tcPr>
          <w:p w14:paraId="519B4A32" w14:textId="77777777" w:rsidR="007F05FD" w:rsidRPr="008E63BB" w:rsidRDefault="007F05FD" w:rsidP="0065184D">
            <w:pPr>
              <w:jc w:val="left"/>
              <w:rPr>
                <w:rFonts w:eastAsia="Times New Roman"/>
                <w:i/>
                <w:iCs/>
                <w:sz w:val="20"/>
                <w:szCs w:val="20"/>
                <w:u w:val="single"/>
              </w:rPr>
            </w:pPr>
            <w:r w:rsidRPr="008E63BB">
              <w:rPr>
                <w:rFonts w:eastAsia="Times New Roman"/>
                <w:i/>
                <w:iCs/>
                <w:sz w:val="20"/>
                <w:szCs w:val="20"/>
                <w:u w:val="single"/>
              </w:rPr>
              <w:t>LĐ  CN, TTCN, XD (người)</w:t>
            </w:r>
          </w:p>
        </w:tc>
        <w:tc>
          <w:tcPr>
            <w:tcW w:w="866" w:type="dxa"/>
            <w:shd w:val="clear" w:color="auto" w:fill="auto"/>
            <w:noWrap/>
            <w:vAlign w:val="bottom"/>
            <w:hideMark/>
          </w:tcPr>
          <w:p w14:paraId="519B4A33"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45.945</w:t>
            </w:r>
          </w:p>
        </w:tc>
        <w:tc>
          <w:tcPr>
            <w:tcW w:w="866" w:type="dxa"/>
            <w:shd w:val="clear" w:color="auto" w:fill="auto"/>
            <w:noWrap/>
            <w:vAlign w:val="bottom"/>
            <w:hideMark/>
          </w:tcPr>
          <w:p w14:paraId="519B4A34"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48.170</w:t>
            </w:r>
          </w:p>
        </w:tc>
        <w:tc>
          <w:tcPr>
            <w:tcW w:w="866" w:type="dxa"/>
            <w:shd w:val="clear" w:color="auto" w:fill="auto"/>
            <w:noWrap/>
            <w:vAlign w:val="bottom"/>
            <w:hideMark/>
          </w:tcPr>
          <w:p w14:paraId="519B4A35"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50.868</w:t>
            </w:r>
          </w:p>
        </w:tc>
        <w:tc>
          <w:tcPr>
            <w:tcW w:w="766" w:type="dxa"/>
            <w:shd w:val="clear" w:color="auto" w:fill="auto"/>
            <w:noWrap/>
            <w:vAlign w:val="bottom"/>
            <w:hideMark/>
          </w:tcPr>
          <w:p w14:paraId="519B4A36"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9.834</w:t>
            </w:r>
          </w:p>
        </w:tc>
        <w:tc>
          <w:tcPr>
            <w:tcW w:w="766" w:type="dxa"/>
            <w:shd w:val="clear" w:color="auto" w:fill="auto"/>
            <w:noWrap/>
            <w:vAlign w:val="bottom"/>
            <w:hideMark/>
          </w:tcPr>
          <w:p w14:paraId="519B4A37"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10.621</w:t>
            </w:r>
          </w:p>
        </w:tc>
        <w:tc>
          <w:tcPr>
            <w:tcW w:w="787" w:type="dxa"/>
            <w:shd w:val="clear" w:color="auto" w:fill="auto"/>
            <w:noWrap/>
            <w:vAlign w:val="bottom"/>
            <w:hideMark/>
          </w:tcPr>
          <w:p w14:paraId="519B4A38"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4.732</w:t>
            </w:r>
          </w:p>
        </w:tc>
        <w:tc>
          <w:tcPr>
            <w:tcW w:w="750" w:type="dxa"/>
            <w:shd w:val="clear" w:color="auto" w:fill="auto"/>
            <w:noWrap/>
            <w:vAlign w:val="bottom"/>
            <w:hideMark/>
          </w:tcPr>
          <w:p w14:paraId="519B4A39"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6.048</w:t>
            </w:r>
          </w:p>
        </w:tc>
        <w:tc>
          <w:tcPr>
            <w:tcW w:w="866" w:type="dxa"/>
            <w:shd w:val="clear" w:color="auto" w:fill="auto"/>
            <w:noWrap/>
            <w:vAlign w:val="bottom"/>
            <w:hideMark/>
          </w:tcPr>
          <w:p w14:paraId="519B4A3A"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72.269</w:t>
            </w:r>
          </w:p>
        </w:tc>
      </w:tr>
      <w:tr w:rsidR="008D5BFE" w:rsidRPr="008E63BB" w14:paraId="519B4A46" w14:textId="77777777" w:rsidTr="0090727E">
        <w:trPr>
          <w:trHeight w:val="255"/>
        </w:trPr>
        <w:tc>
          <w:tcPr>
            <w:tcW w:w="520" w:type="dxa"/>
            <w:shd w:val="clear" w:color="auto" w:fill="auto"/>
            <w:noWrap/>
            <w:vAlign w:val="bottom"/>
            <w:hideMark/>
          </w:tcPr>
          <w:p w14:paraId="519B4A3C" w14:textId="77777777" w:rsidR="007F05FD" w:rsidRPr="008E63BB" w:rsidRDefault="007F05FD" w:rsidP="0065184D">
            <w:pPr>
              <w:jc w:val="center"/>
              <w:rPr>
                <w:rFonts w:eastAsia="Times New Roman"/>
                <w:i/>
                <w:iCs/>
                <w:sz w:val="20"/>
                <w:szCs w:val="20"/>
              </w:rPr>
            </w:pPr>
            <w:r w:rsidRPr="008E63BB">
              <w:rPr>
                <w:rFonts w:eastAsia="Times New Roman"/>
                <w:i/>
                <w:iCs/>
                <w:sz w:val="20"/>
                <w:szCs w:val="20"/>
              </w:rPr>
              <w:t> </w:t>
            </w:r>
          </w:p>
        </w:tc>
        <w:tc>
          <w:tcPr>
            <w:tcW w:w="2599" w:type="dxa"/>
            <w:shd w:val="clear" w:color="auto" w:fill="auto"/>
            <w:noWrap/>
            <w:vAlign w:val="bottom"/>
            <w:hideMark/>
          </w:tcPr>
          <w:p w14:paraId="519B4A3D"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LĐ làm việc</w:t>
            </w:r>
          </w:p>
        </w:tc>
        <w:tc>
          <w:tcPr>
            <w:tcW w:w="866" w:type="dxa"/>
            <w:shd w:val="clear" w:color="auto" w:fill="auto"/>
            <w:noWrap/>
            <w:vAlign w:val="bottom"/>
            <w:hideMark/>
          </w:tcPr>
          <w:p w14:paraId="519B4A3E"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43,39</w:t>
            </w:r>
          </w:p>
        </w:tc>
        <w:tc>
          <w:tcPr>
            <w:tcW w:w="866" w:type="dxa"/>
            <w:shd w:val="clear" w:color="auto" w:fill="auto"/>
            <w:noWrap/>
            <w:vAlign w:val="bottom"/>
            <w:hideMark/>
          </w:tcPr>
          <w:p w14:paraId="519B4A3F"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43,41</w:t>
            </w:r>
          </w:p>
        </w:tc>
        <w:tc>
          <w:tcPr>
            <w:tcW w:w="866" w:type="dxa"/>
            <w:shd w:val="clear" w:color="auto" w:fill="auto"/>
            <w:noWrap/>
            <w:vAlign w:val="bottom"/>
            <w:hideMark/>
          </w:tcPr>
          <w:p w14:paraId="519B4A40"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44,18</w:t>
            </w:r>
          </w:p>
        </w:tc>
        <w:tc>
          <w:tcPr>
            <w:tcW w:w="766" w:type="dxa"/>
            <w:shd w:val="clear" w:color="auto" w:fill="auto"/>
            <w:noWrap/>
            <w:vAlign w:val="bottom"/>
            <w:hideMark/>
          </w:tcPr>
          <w:p w14:paraId="519B4A41"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23,83</w:t>
            </w:r>
          </w:p>
        </w:tc>
        <w:tc>
          <w:tcPr>
            <w:tcW w:w="766" w:type="dxa"/>
            <w:shd w:val="clear" w:color="auto" w:fill="auto"/>
            <w:noWrap/>
            <w:vAlign w:val="bottom"/>
            <w:hideMark/>
          </w:tcPr>
          <w:p w14:paraId="519B4A42"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24,58</w:t>
            </w:r>
          </w:p>
        </w:tc>
        <w:tc>
          <w:tcPr>
            <w:tcW w:w="787" w:type="dxa"/>
            <w:shd w:val="clear" w:color="auto" w:fill="auto"/>
            <w:noWrap/>
            <w:vAlign w:val="bottom"/>
            <w:hideMark/>
          </w:tcPr>
          <w:p w14:paraId="519B4A43"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27,30</w:t>
            </w:r>
          </w:p>
        </w:tc>
        <w:tc>
          <w:tcPr>
            <w:tcW w:w="750" w:type="dxa"/>
            <w:shd w:val="clear" w:color="auto" w:fill="auto"/>
            <w:noWrap/>
            <w:vAlign w:val="bottom"/>
            <w:hideMark/>
          </w:tcPr>
          <w:p w14:paraId="519B4A44"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21,60</w:t>
            </w:r>
          </w:p>
        </w:tc>
        <w:tc>
          <w:tcPr>
            <w:tcW w:w="866" w:type="dxa"/>
            <w:shd w:val="clear" w:color="auto" w:fill="auto"/>
            <w:noWrap/>
            <w:vAlign w:val="bottom"/>
            <w:hideMark/>
          </w:tcPr>
          <w:p w14:paraId="519B4A45"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35,48</w:t>
            </w:r>
          </w:p>
        </w:tc>
      </w:tr>
      <w:tr w:rsidR="008D5BFE" w:rsidRPr="008E63BB" w14:paraId="519B4A51" w14:textId="77777777" w:rsidTr="0090727E">
        <w:trPr>
          <w:trHeight w:val="255"/>
        </w:trPr>
        <w:tc>
          <w:tcPr>
            <w:tcW w:w="520" w:type="dxa"/>
            <w:shd w:val="clear" w:color="auto" w:fill="auto"/>
            <w:noWrap/>
            <w:vAlign w:val="bottom"/>
            <w:hideMark/>
          </w:tcPr>
          <w:p w14:paraId="519B4A47" w14:textId="77777777" w:rsidR="007F05FD" w:rsidRPr="008E63BB" w:rsidRDefault="007F05FD" w:rsidP="0065184D">
            <w:pPr>
              <w:jc w:val="center"/>
              <w:rPr>
                <w:rFonts w:eastAsia="Times New Roman"/>
                <w:i/>
                <w:iCs/>
                <w:sz w:val="20"/>
                <w:szCs w:val="20"/>
                <w:u w:val="single"/>
              </w:rPr>
            </w:pPr>
            <w:r w:rsidRPr="008E63BB">
              <w:rPr>
                <w:rFonts w:eastAsia="Times New Roman"/>
                <w:i/>
                <w:iCs/>
                <w:sz w:val="20"/>
                <w:szCs w:val="20"/>
                <w:u w:val="single"/>
              </w:rPr>
              <w:t>3.3</w:t>
            </w:r>
          </w:p>
        </w:tc>
        <w:tc>
          <w:tcPr>
            <w:tcW w:w="2599" w:type="dxa"/>
            <w:shd w:val="clear" w:color="auto" w:fill="auto"/>
            <w:noWrap/>
            <w:vAlign w:val="bottom"/>
            <w:hideMark/>
          </w:tcPr>
          <w:p w14:paraId="519B4A48" w14:textId="77777777" w:rsidR="007F05FD" w:rsidRPr="008E63BB" w:rsidRDefault="007F05FD" w:rsidP="0065184D">
            <w:pPr>
              <w:jc w:val="left"/>
              <w:rPr>
                <w:rFonts w:eastAsia="Times New Roman"/>
                <w:i/>
                <w:iCs/>
                <w:sz w:val="20"/>
                <w:szCs w:val="20"/>
                <w:u w:val="single"/>
              </w:rPr>
            </w:pPr>
            <w:r w:rsidRPr="008E63BB">
              <w:rPr>
                <w:rFonts w:eastAsia="Times New Roman"/>
                <w:i/>
                <w:iCs/>
                <w:sz w:val="20"/>
                <w:szCs w:val="20"/>
                <w:u w:val="single"/>
              </w:rPr>
              <w:t>LĐ dịch vụ, thương mại, HCSN (người)</w:t>
            </w:r>
          </w:p>
        </w:tc>
        <w:tc>
          <w:tcPr>
            <w:tcW w:w="866" w:type="dxa"/>
            <w:shd w:val="clear" w:color="auto" w:fill="auto"/>
            <w:noWrap/>
            <w:vAlign w:val="bottom"/>
            <w:hideMark/>
          </w:tcPr>
          <w:p w14:paraId="519B4A49"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51.099</w:t>
            </w:r>
          </w:p>
        </w:tc>
        <w:tc>
          <w:tcPr>
            <w:tcW w:w="866" w:type="dxa"/>
            <w:shd w:val="clear" w:color="auto" w:fill="auto"/>
            <w:noWrap/>
            <w:vAlign w:val="bottom"/>
            <w:hideMark/>
          </w:tcPr>
          <w:p w14:paraId="519B4A4A"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53.574</w:t>
            </w:r>
          </w:p>
        </w:tc>
        <w:tc>
          <w:tcPr>
            <w:tcW w:w="866" w:type="dxa"/>
            <w:shd w:val="clear" w:color="auto" w:fill="auto"/>
            <w:noWrap/>
            <w:vAlign w:val="bottom"/>
            <w:hideMark/>
          </w:tcPr>
          <w:p w14:paraId="519B4A4B"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60.454</w:t>
            </w:r>
          </w:p>
        </w:tc>
        <w:tc>
          <w:tcPr>
            <w:tcW w:w="766" w:type="dxa"/>
            <w:shd w:val="clear" w:color="auto" w:fill="auto"/>
            <w:noWrap/>
            <w:vAlign w:val="bottom"/>
            <w:hideMark/>
          </w:tcPr>
          <w:p w14:paraId="519B4A4C"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8.127</w:t>
            </w:r>
          </w:p>
        </w:tc>
        <w:tc>
          <w:tcPr>
            <w:tcW w:w="766" w:type="dxa"/>
            <w:shd w:val="clear" w:color="auto" w:fill="auto"/>
            <w:noWrap/>
            <w:vAlign w:val="bottom"/>
            <w:hideMark/>
          </w:tcPr>
          <w:p w14:paraId="519B4A4D"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8.589</w:t>
            </w:r>
          </w:p>
        </w:tc>
        <w:tc>
          <w:tcPr>
            <w:tcW w:w="787" w:type="dxa"/>
            <w:shd w:val="clear" w:color="auto" w:fill="auto"/>
            <w:noWrap/>
            <w:vAlign w:val="bottom"/>
            <w:hideMark/>
          </w:tcPr>
          <w:p w14:paraId="519B4A4E"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3.259</w:t>
            </w:r>
          </w:p>
        </w:tc>
        <w:tc>
          <w:tcPr>
            <w:tcW w:w="750" w:type="dxa"/>
            <w:shd w:val="clear" w:color="auto" w:fill="auto"/>
            <w:noWrap/>
            <w:vAlign w:val="bottom"/>
            <w:hideMark/>
          </w:tcPr>
          <w:p w14:paraId="519B4A4F"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5.488</w:t>
            </w:r>
          </w:p>
        </w:tc>
        <w:tc>
          <w:tcPr>
            <w:tcW w:w="866" w:type="dxa"/>
            <w:shd w:val="clear" w:color="auto" w:fill="auto"/>
            <w:noWrap/>
            <w:vAlign w:val="bottom"/>
            <w:hideMark/>
          </w:tcPr>
          <w:p w14:paraId="519B4A50" w14:textId="77777777" w:rsidR="007F05FD" w:rsidRPr="008E63BB" w:rsidRDefault="007F05FD" w:rsidP="0065184D">
            <w:pPr>
              <w:jc w:val="right"/>
              <w:rPr>
                <w:rFonts w:eastAsia="Times New Roman"/>
                <w:i/>
                <w:iCs/>
                <w:sz w:val="20"/>
                <w:szCs w:val="20"/>
                <w:u w:val="single"/>
              </w:rPr>
            </w:pPr>
            <w:r w:rsidRPr="008E63BB">
              <w:rPr>
                <w:rFonts w:eastAsia="Times New Roman"/>
                <w:i/>
                <w:iCs/>
                <w:sz w:val="20"/>
                <w:szCs w:val="20"/>
                <w:u w:val="single"/>
              </w:rPr>
              <w:t>77.789</w:t>
            </w:r>
          </w:p>
        </w:tc>
      </w:tr>
      <w:tr w:rsidR="008D5BFE" w:rsidRPr="008E63BB" w14:paraId="519B4A5C" w14:textId="77777777" w:rsidTr="0090727E">
        <w:trPr>
          <w:trHeight w:val="255"/>
        </w:trPr>
        <w:tc>
          <w:tcPr>
            <w:tcW w:w="520" w:type="dxa"/>
            <w:shd w:val="clear" w:color="auto" w:fill="auto"/>
            <w:noWrap/>
            <w:vAlign w:val="bottom"/>
            <w:hideMark/>
          </w:tcPr>
          <w:p w14:paraId="519B4A52" w14:textId="77777777" w:rsidR="007F05FD" w:rsidRPr="008E63BB" w:rsidRDefault="007F05FD" w:rsidP="0065184D">
            <w:pPr>
              <w:jc w:val="center"/>
              <w:rPr>
                <w:rFonts w:eastAsia="Times New Roman"/>
                <w:i/>
                <w:iCs/>
                <w:sz w:val="20"/>
                <w:szCs w:val="20"/>
              </w:rPr>
            </w:pPr>
            <w:r w:rsidRPr="008E63BB">
              <w:rPr>
                <w:rFonts w:eastAsia="Times New Roman"/>
                <w:i/>
                <w:iCs/>
                <w:sz w:val="20"/>
                <w:szCs w:val="20"/>
              </w:rPr>
              <w:t> </w:t>
            </w:r>
          </w:p>
        </w:tc>
        <w:tc>
          <w:tcPr>
            <w:tcW w:w="2599" w:type="dxa"/>
            <w:shd w:val="clear" w:color="auto" w:fill="auto"/>
            <w:noWrap/>
            <w:vAlign w:val="bottom"/>
            <w:hideMark/>
          </w:tcPr>
          <w:p w14:paraId="519B4A53"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LĐ làm việc</w:t>
            </w:r>
          </w:p>
        </w:tc>
        <w:tc>
          <w:tcPr>
            <w:tcW w:w="866" w:type="dxa"/>
            <w:shd w:val="clear" w:color="auto" w:fill="auto"/>
            <w:noWrap/>
            <w:vAlign w:val="bottom"/>
            <w:hideMark/>
          </w:tcPr>
          <w:p w14:paraId="519B4A54"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48,26</w:t>
            </w:r>
          </w:p>
        </w:tc>
        <w:tc>
          <w:tcPr>
            <w:tcW w:w="866" w:type="dxa"/>
            <w:shd w:val="clear" w:color="auto" w:fill="auto"/>
            <w:noWrap/>
            <w:vAlign w:val="bottom"/>
            <w:hideMark/>
          </w:tcPr>
          <w:p w14:paraId="519B4A55"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48,28</w:t>
            </w:r>
          </w:p>
        </w:tc>
        <w:tc>
          <w:tcPr>
            <w:tcW w:w="866" w:type="dxa"/>
            <w:shd w:val="clear" w:color="auto" w:fill="auto"/>
            <w:noWrap/>
            <w:vAlign w:val="bottom"/>
            <w:hideMark/>
          </w:tcPr>
          <w:p w14:paraId="519B4A56"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52,50</w:t>
            </w:r>
          </w:p>
        </w:tc>
        <w:tc>
          <w:tcPr>
            <w:tcW w:w="766" w:type="dxa"/>
            <w:shd w:val="clear" w:color="auto" w:fill="auto"/>
            <w:noWrap/>
            <w:vAlign w:val="bottom"/>
            <w:hideMark/>
          </w:tcPr>
          <w:p w14:paraId="519B4A57"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19,70</w:t>
            </w:r>
          </w:p>
        </w:tc>
        <w:tc>
          <w:tcPr>
            <w:tcW w:w="766" w:type="dxa"/>
            <w:shd w:val="clear" w:color="auto" w:fill="auto"/>
            <w:noWrap/>
            <w:vAlign w:val="bottom"/>
            <w:hideMark/>
          </w:tcPr>
          <w:p w14:paraId="519B4A58"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19,88</w:t>
            </w:r>
          </w:p>
        </w:tc>
        <w:tc>
          <w:tcPr>
            <w:tcW w:w="787" w:type="dxa"/>
            <w:shd w:val="clear" w:color="auto" w:fill="auto"/>
            <w:noWrap/>
            <w:vAlign w:val="bottom"/>
            <w:hideMark/>
          </w:tcPr>
          <w:p w14:paraId="519B4A59"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18,80</w:t>
            </w:r>
          </w:p>
        </w:tc>
        <w:tc>
          <w:tcPr>
            <w:tcW w:w="750" w:type="dxa"/>
            <w:shd w:val="clear" w:color="auto" w:fill="auto"/>
            <w:noWrap/>
            <w:vAlign w:val="bottom"/>
            <w:hideMark/>
          </w:tcPr>
          <w:p w14:paraId="519B4A5A"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19,60</w:t>
            </w:r>
          </w:p>
        </w:tc>
        <w:tc>
          <w:tcPr>
            <w:tcW w:w="866" w:type="dxa"/>
            <w:shd w:val="clear" w:color="auto" w:fill="auto"/>
            <w:noWrap/>
            <w:vAlign w:val="bottom"/>
            <w:hideMark/>
          </w:tcPr>
          <w:p w14:paraId="519B4A5B"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38,19</w:t>
            </w:r>
          </w:p>
        </w:tc>
      </w:tr>
      <w:tr w:rsidR="008D5BFE" w:rsidRPr="008E63BB" w14:paraId="519B4A67" w14:textId="77777777" w:rsidTr="0090727E">
        <w:trPr>
          <w:trHeight w:val="255"/>
        </w:trPr>
        <w:tc>
          <w:tcPr>
            <w:tcW w:w="520" w:type="dxa"/>
            <w:shd w:val="clear" w:color="auto" w:fill="auto"/>
            <w:noWrap/>
            <w:vAlign w:val="bottom"/>
            <w:hideMark/>
          </w:tcPr>
          <w:p w14:paraId="519B4A5D" w14:textId="77777777" w:rsidR="007F05FD" w:rsidRPr="008E63BB" w:rsidRDefault="007F05FD" w:rsidP="0065184D">
            <w:pPr>
              <w:jc w:val="center"/>
              <w:rPr>
                <w:rFonts w:eastAsia="Times New Roman"/>
                <w:sz w:val="20"/>
                <w:szCs w:val="20"/>
              </w:rPr>
            </w:pPr>
            <w:r w:rsidRPr="008E63BB">
              <w:rPr>
                <w:rFonts w:eastAsia="Times New Roman"/>
                <w:sz w:val="20"/>
                <w:szCs w:val="20"/>
              </w:rPr>
              <w:t>IV</w:t>
            </w:r>
          </w:p>
        </w:tc>
        <w:tc>
          <w:tcPr>
            <w:tcW w:w="2599" w:type="dxa"/>
            <w:shd w:val="clear" w:color="auto" w:fill="auto"/>
            <w:noWrap/>
            <w:vAlign w:val="bottom"/>
            <w:hideMark/>
          </w:tcPr>
          <w:p w14:paraId="519B4A5E" w14:textId="77777777" w:rsidR="007F05FD" w:rsidRPr="008E63BB" w:rsidRDefault="007F05FD" w:rsidP="0065184D">
            <w:pPr>
              <w:jc w:val="left"/>
              <w:rPr>
                <w:rFonts w:eastAsia="Times New Roman"/>
                <w:sz w:val="20"/>
                <w:szCs w:val="20"/>
              </w:rPr>
            </w:pPr>
            <w:r w:rsidRPr="008E63BB">
              <w:rPr>
                <w:rFonts w:eastAsia="Times New Roman"/>
                <w:sz w:val="20"/>
                <w:szCs w:val="20"/>
              </w:rPr>
              <w:t>Nội trợ, mất sức, học sinh trong tuổi LĐ (người)</w:t>
            </w:r>
          </w:p>
        </w:tc>
        <w:tc>
          <w:tcPr>
            <w:tcW w:w="866" w:type="dxa"/>
            <w:shd w:val="clear" w:color="auto" w:fill="auto"/>
            <w:noWrap/>
            <w:vAlign w:val="bottom"/>
            <w:hideMark/>
          </w:tcPr>
          <w:p w14:paraId="519B4A5F" w14:textId="77777777" w:rsidR="007F05FD" w:rsidRPr="008E63BB" w:rsidRDefault="007F05FD" w:rsidP="0065184D">
            <w:pPr>
              <w:jc w:val="right"/>
              <w:rPr>
                <w:rFonts w:eastAsia="Times New Roman"/>
                <w:sz w:val="20"/>
                <w:szCs w:val="20"/>
              </w:rPr>
            </w:pPr>
            <w:r w:rsidRPr="008E63BB">
              <w:rPr>
                <w:rFonts w:eastAsia="Times New Roman"/>
                <w:sz w:val="20"/>
                <w:szCs w:val="20"/>
              </w:rPr>
              <w:t>46.047</w:t>
            </w:r>
          </w:p>
        </w:tc>
        <w:tc>
          <w:tcPr>
            <w:tcW w:w="866" w:type="dxa"/>
            <w:shd w:val="clear" w:color="auto" w:fill="auto"/>
            <w:noWrap/>
            <w:vAlign w:val="bottom"/>
            <w:hideMark/>
          </w:tcPr>
          <w:p w14:paraId="519B4A60" w14:textId="77777777" w:rsidR="007F05FD" w:rsidRPr="008E63BB" w:rsidRDefault="007F05FD" w:rsidP="0065184D">
            <w:pPr>
              <w:jc w:val="right"/>
              <w:rPr>
                <w:rFonts w:eastAsia="Times New Roman"/>
                <w:sz w:val="20"/>
                <w:szCs w:val="20"/>
              </w:rPr>
            </w:pPr>
            <w:r w:rsidRPr="008E63BB">
              <w:rPr>
                <w:rFonts w:eastAsia="Times New Roman"/>
                <w:sz w:val="20"/>
                <w:szCs w:val="20"/>
              </w:rPr>
              <w:t>47.470</w:t>
            </w:r>
          </w:p>
        </w:tc>
        <w:tc>
          <w:tcPr>
            <w:tcW w:w="866" w:type="dxa"/>
            <w:shd w:val="clear" w:color="auto" w:fill="auto"/>
            <w:noWrap/>
            <w:vAlign w:val="bottom"/>
            <w:hideMark/>
          </w:tcPr>
          <w:p w14:paraId="519B4A61" w14:textId="77777777" w:rsidR="007F05FD" w:rsidRPr="008E63BB" w:rsidRDefault="007F05FD" w:rsidP="0065184D">
            <w:pPr>
              <w:jc w:val="right"/>
              <w:rPr>
                <w:rFonts w:eastAsia="Times New Roman"/>
                <w:sz w:val="20"/>
                <w:szCs w:val="20"/>
              </w:rPr>
            </w:pPr>
            <w:r w:rsidRPr="008E63BB">
              <w:rPr>
                <w:rFonts w:eastAsia="Times New Roman"/>
                <w:sz w:val="20"/>
                <w:szCs w:val="20"/>
              </w:rPr>
              <w:t>47.630</w:t>
            </w:r>
          </w:p>
        </w:tc>
        <w:tc>
          <w:tcPr>
            <w:tcW w:w="766" w:type="dxa"/>
            <w:shd w:val="clear" w:color="auto" w:fill="auto"/>
            <w:noWrap/>
            <w:vAlign w:val="bottom"/>
            <w:hideMark/>
          </w:tcPr>
          <w:p w14:paraId="519B4A62"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766" w:type="dxa"/>
            <w:shd w:val="clear" w:color="auto" w:fill="auto"/>
            <w:noWrap/>
            <w:vAlign w:val="bottom"/>
            <w:hideMark/>
          </w:tcPr>
          <w:p w14:paraId="519B4A63"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787" w:type="dxa"/>
            <w:shd w:val="clear" w:color="auto" w:fill="auto"/>
            <w:noWrap/>
            <w:vAlign w:val="bottom"/>
            <w:hideMark/>
          </w:tcPr>
          <w:p w14:paraId="519B4A64"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750" w:type="dxa"/>
            <w:shd w:val="clear" w:color="auto" w:fill="auto"/>
            <w:noWrap/>
            <w:vAlign w:val="bottom"/>
            <w:hideMark/>
          </w:tcPr>
          <w:p w14:paraId="519B4A65"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866" w:type="dxa"/>
            <w:shd w:val="clear" w:color="auto" w:fill="auto"/>
            <w:noWrap/>
            <w:vAlign w:val="bottom"/>
            <w:hideMark/>
          </w:tcPr>
          <w:p w14:paraId="519B4A66" w14:textId="77777777" w:rsidR="007F05FD" w:rsidRPr="008E63BB" w:rsidRDefault="007F05FD" w:rsidP="0065184D">
            <w:pPr>
              <w:jc w:val="right"/>
              <w:rPr>
                <w:rFonts w:eastAsia="Times New Roman"/>
                <w:sz w:val="20"/>
                <w:szCs w:val="20"/>
              </w:rPr>
            </w:pPr>
            <w:r w:rsidRPr="008E63BB">
              <w:rPr>
                <w:rFonts w:eastAsia="Times New Roman"/>
                <w:sz w:val="20"/>
                <w:szCs w:val="20"/>
              </w:rPr>
              <w:t>84.104</w:t>
            </w:r>
          </w:p>
        </w:tc>
      </w:tr>
      <w:tr w:rsidR="008D5BFE" w:rsidRPr="008E63BB" w14:paraId="519B4A72" w14:textId="77777777" w:rsidTr="0090727E">
        <w:trPr>
          <w:trHeight w:val="255"/>
        </w:trPr>
        <w:tc>
          <w:tcPr>
            <w:tcW w:w="520" w:type="dxa"/>
            <w:shd w:val="clear" w:color="auto" w:fill="auto"/>
            <w:noWrap/>
            <w:vAlign w:val="bottom"/>
            <w:hideMark/>
          </w:tcPr>
          <w:p w14:paraId="519B4A68" w14:textId="77777777" w:rsidR="007F05FD" w:rsidRPr="008E63BB" w:rsidRDefault="007F05FD" w:rsidP="0065184D">
            <w:pPr>
              <w:jc w:val="center"/>
              <w:rPr>
                <w:rFonts w:eastAsia="Times New Roman"/>
                <w:sz w:val="20"/>
                <w:szCs w:val="20"/>
              </w:rPr>
            </w:pPr>
            <w:r w:rsidRPr="008E63BB">
              <w:rPr>
                <w:rFonts w:eastAsia="Times New Roman"/>
                <w:sz w:val="20"/>
                <w:szCs w:val="20"/>
              </w:rPr>
              <w:t> </w:t>
            </w:r>
          </w:p>
        </w:tc>
        <w:tc>
          <w:tcPr>
            <w:tcW w:w="2599" w:type="dxa"/>
            <w:shd w:val="clear" w:color="auto" w:fill="auto"/>
            <w:noWrap/>
            <w:vAlign w:val="bottom"/>
            <w:hideMark/>
          </w:tcPr>
          <w:p w14:paraId="519B4A69"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LĐ trong độ tuổi</w:t>
            </w:r>
          </w:p>
        </w:tc>
        <w:tc>
          <w:tcPr>
            <w:tcW w:w="866" w:type="dxa"/>
            <w:shd w:val="clear" w:color="auto" w:fill="auto"/>
            <w:noWrap/>
            <w:vAlign w:val="bottom"/>
            <w:hideMark/>
          </w:tcPr>
          <w:p w14:paraId="519B4A6A"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30,31</w:t>
            </w:r>
          </w:p>
        </w:tc>
        <w:tc>
          <w:tcPr>
            <w:tcW w:w="866" w:type="dxa"/>
            <w:shd w:val="clear" w:color="auto" w:fill="auto"/>
            <w:noWrap/>
            <w:vAlign w:val="bottom"/>
            <w:hideMark/>
          </w:tcPr>
          <w:p w14:paraId="519B4A6B"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29,96</w:t>
            </w:r>
          </w:p>
        </w:tc>
        <w:tc>
          <w:tcPr>
            <w:tcW w:w="866" w:type="dxa"/>
            <w:shd w:val="clear" w:color="auto" w:fill="auto"/>
            <w:noWrap/>
            <w:vAlign w:val="bottom"/>
            <w:hideMark/>
          </w:tcPr>
          <w:p w14:paraId="519B4A6C"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40,47</w:t>
            </w:r>
          </w:p>
        </w:tc>
        <w:tc>
          <w:tcPr>
            <w:tcW w:w="766" w:type="dxa"/>
            <w:shd w:val="clear" w:color="auto" w:fill="auto"/>
            <w:noWrap/>
            <w:vAlign w:val="bottom"/>
            <w:hideMark/>
          </w:tcPr>
          <w:p w14:paraId="519B4A6D"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66" w:type="dxa"/>
            <w:shd w:val="clear" w:color="auto" w:fill="auto"/>
            <w:noWrap/>
            <w:vAlign w:val="bottom"/>
            <w:hideMark/>
          </w:tcPr>
          <w:p w14:paraId="519B4A6E"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87" w:type="dxa"/>
            <w:shd w:val="clear" w:color="auto" w:fill="auto"/>
            <w:noWrap/>
            <w:vAlign w:val="bottom"/>
            <w:hideMark/>
          </w:tcPr>
          <w:p w14:paraId="519B4A6F"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50" w:type="dxa"/>
            <w:shd w:val="clear" w:color="auto" w:fill="auto"/>
            <w:noWrap/>
            <w:vAlign w:val="bottom"/>
            <w:hideMark/>
          </w:tcPr>
          <w:p w14:paraId="519B4A70"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866" w:type="dxa"/>
            <w:shd w:val="clear" w:color="auto" w:fill="auto"/>
            <w:noWrap/>
            <w:vAlign w:val="bottom"/>
            <w:hideMark/>
          </w:tcPr>
          <w:p w14:paraId="519B4A71"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40,47</w:t>
            </w:r>
          </w:p>
        </w:tc>
      </w:tr>
      <w:tr w:rsidR="008D5BFE" w:rsidRPr="008E63BB" w14:paraId="519B4A7D" w14:textId="77777777" w:rsidTr="0090727E">
        <w:trPr>
          <w:trHeight w:val="255"/>
        </w:trPr>
        <w:tc>
          <w:tcPr>
            <w:tcW w:w="520" w:type="dxa"/>
            <w:shd w:val="clear" w:color="auto" w:fill="auto"/>
            <w:noWrap/>
            <w:vAlign w:val="bottom"/>
            <w:hideMark/>
          </w:tcPr>
          <w:p w14:paraId="519B4A73" w14:textId="77777777" w:rsidR="007F05FD" w:rsidRPr="008E63BB" w:rsidRDefault="007F05FD" w:rsidP="0065184D">
            <w:pPr>
              <w:jc w:val="center"/>
              <w:rPr>
                <w:rFonts w:eastAsia="Times New Roman"/>
                <w:sz w:val="20"/>
                <w:szCs w:val="20"/>
              </w:rPr>
            </w:pPr>
            <w:r w:rsidRPr="008E63BB">
              <w:rPr>
                <w:rFonts w:eastAsia="Times New Roman"/>
                <w:sz w:val="20"/>
                <w:szCs w:val="20"/>
              </w:rPr>
              <w:t>V</w:t>
            </w:r>
          </w:p>
        </w:tc>
        <w:tc>
          <w:tcPr>
            <w:tcW w:w="2599" w:type="dxa"/>
            <w:shd w:val="clear" w:color="auto" w:fill="auto"/>
            <w:noWrap/>
            <w:vAlign w:val="bottom"/>
            <w:hideMark/>
          </w:tcPr>
          <w:p w14:paraId="519B4A74" w14:textId="77777777" w:rsidR="007F05FD" w:rsidRPr="008E63BB" w:rsidRDefault="007F05FD" w:rsidP="0065184D">
            <w:pPr>
              <w:jc w:val="left"/>
              <w:rPr>
                <w:rFonts w:eastAsia="Times New Roman"/>
                <w:sz w:val="20"/>
                <w:szCs w:val="20"/>
              </w:rPr>
            </w:pPr>
            <w:r w:rsidRPr="008E63BB">
              <w:rPr>
                <w:rFonts w:eastAsia="Times New Roman"/>
                <w:sz w:val="20"/>
                <w:szCs w:val="20"/>
              </w:rPr>
              <w:t>Thất nghiệp  (người)</w:t>
            </w:r>
          </w:p>
        </w:tc>
        <w:tc>
          <w:tcPr>
            <w:tcW w:w="866" w:type="dxa"/>
            <w:shd w:val="clear" w:color="auto" w:fill="auto"/>
            <w:noWrap/>
            <w:vAlign w:val="bottom"/>
            <w:hideMark/>
          </w:tcPr>
          <w:p w14:paraId="519B4A75" w14:textId="77777777" w:rsidR="007F05FD" w:rsidRPr="008E63BB" w:rsidRDefault="007F05FD" w:rsidP="0065184D">
            <w:pPr>
              <w:jc w:val="right"/>
              <w:rPr>
                <w:rFonts w:eastAsia="Times New Roman"/>
                <w:sz w:val="20"/>
                <w:szCs w:val="20"/>
              </w:rPr>
            </w:pPr>
            <w:r w:rsidRPr="008E63BB">
              <w:rPr>
                <w:rFonts w:eastAsia="Times New Roman"/>
                <w:sz w:val="20"/>
                <w:szCs w:val="20"/>
              </w:rPr>
              <w:t>3.213</w:t>
            </w:r>
          </w:p>
        </w:tc>
        <w:tc>
          <w:tcPr>
            <w:tcW w:w="866" w:type="dxa"/>
            <w:shd w:val="clear" w:color="auto" w:fill="auto"/>
            <w:noWrap/>
            <w:vAlign w:val="bottom"/>
            <w:hideMark/>
          </w:tcPr>
          <w:p w14:paraId="519B4A76" w14:textId="77777777" w:rsidR="007F05FD" w:rsidRPr="008E63BB" w:rsidRDefault="007F05FD" w:rsidP="0065184D">
            <w:pPr>
              <w:jc w:val="right"/>
              <w:rPr>
                <w:rFonts w:eastAsia="Times New Roman"/>
                <w:sz w:val="20"/>
                <w:szCs w:val="20"/>
              </w:rPr>
            </w:pPr>
            <w:r w:rsidRPr="008E63BB">
              <w:rPr>
                <w:rFonts w:eastAsia="Times New Roman"/>
                <w:sz w:val="20"/>
                <w:szCs w:val="20"/>
              </w:rPr>
              <w:t>3.318</w:t>
            </w:r>
          </w:p>
        </w:tc>
        <w:tc>
          <w:tcPr>
            <w:tcW w:w="866" w:type="dxa"/>
            <w:shd w:val="clear" w:color="auto" w:fill="auto"/>
            <w:noWrap/>
            <w:vAlign w:val="bottom"/>
            <w:hideMark/>
          </w:tcPr>
          <w:p w14:paraId="519B4A77" w14:textId="77777777" w:rsidR="007F05FD" w:rsidRPr="008E63BB" w:rsidRDefault="007F05FD" w:rsidP="0065184D">
            <w:pPr>
              <w:jc w:val="right"/>
              <w:rPr>
                <w:rFonts w:eastAsia="Times New Roman"/>
                <w:sz w:val="20"/>
                <w:szCs w:val="20"/>
              </w:rPr>
            </w:pPr>
            <w:r w:rsidRPr="008E63BB">
              <w:rPr>
                <w:rFonts w:eastAsia="Times New Roman"/>
                <w:sz w:val="20"/>
                <w:szCs w:val="20"/>
              </w:rPr>
              <w:t>3.454</w:t>
            </w:r>
          </w:p>
        </w:tc>
        <w:tc>
          <w:tcPr>
            <w:tcW w:w="766" w:type="dxa"/>
            <w:shd w:val="clear" w:color="auto" w:fill="auto"/>
            <w:noWrap/>
            <w:vAlign w:val="bottom"/>
            <w:hideMark/>
          </w:tcPr>
          <w:p w14:paraId="519B4A78"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766" w:type="dxa"/>
            <w:shd w:val="clear" w:color="auto" w:fill="auto"/>
            <w:noWrap/>
            <w:vAlign w:val="bottom"/>
            <w:hideMark/>
          </w:tcPr>
          <w:p w14:paraId="519B4A79"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787" w:type="dxa"/>
            <w:shd w:val="clear" w:color="auto" w:fill="auto"/>
            <w:noWrap/>
            <w:vAlign w:val="bottom"/>
            <w:hideMark/>
          </w:tcPr>
          <w:p w14:paraId="519B4A7A"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750" w:type="dxa"/>
            <w:shd w:val="clear" w:color="auto" w:fill="auto"/>
            <w:noWrap/>
            <w:vAlign w:val="bottom"/>
            <w:hideMark/>
          </w:tcPr>
          <w:p w14:paraId="519B4A7B" w14:textId="77777777" w:rsidR="007F05FD" w:rsidRPr="008E63BB" w:rsidRDefault="007F05FD" w:rsidP="0065184D">
            <w:pPr>
              <w:jc w:val="left"/>
              <w:rPr>
                <w:rFonts w:eastAsia="Times New Roman"/>
                <w:sz w:val="20"/>
                <w:szCs w:val="20"/>
              </w:rPr>
            </w:pPr>
            <w:r w:rsidRPr="008E63BB">
              <w:rPr>
                <w:rFonts w:eastAsia="Times New Roman"/>
                <w:sz w:val="20"/>
                <w:szCs w:val="20"/>
              </w:rPr>
              <w:t> </w:t>
            </w:r>
          </w:p>
        </w:tc>
        <w:tc>
          <w:tcPr>
            <w:tcW w:w="866" w:type="dxa"/>
            <w:shd w:val="clear" w:color="auto" w:fill="auto"/>
            <w:noWrap/>
            <w:vAlign w:val="bottom"/>
            <w:hideMark/>
          </w:tcPr>
          <w:p w14:paraId="519B4A7C" w14:textId="77777777" w:rsidR="007F05FD" w:rsidRPr="008E63BB" w:rsidRDefault="007F05FD" w:rsidP="0065184D">
            <w:pPr>
              <w:jc w:val="right"/>
              <w:rPr>
                <w:rFonts w:eastAsia="Times New Roman"/>
                <w:sz w:val="20"/>
                <w:szCs w:val="20"/>
              </w:rPr>
            </w:pPr>
            <w:r w:rsidRPr="008E63BB">
              <w:rPr>
                <w:rFonts w:eastAsia="Times New Roman"/>
                <w:sz w:val="20"/>
                <w:szCs w:val="20"/>
              </w:rPr>
              <w:t>6.099</w:t>
            </w:r>
          </w:p>
        </w:tc>
      </w:tr>
      <w:tr w:rsidR="008D5BFE" w:rsidRPr="008E63BB" w14:paraId="519B4A88" w14:textId="77777777" w:rsidTr="0090727E">
        <w:trPr>
          <w:trHeight w:val="255"/>
        </w:trPr>
        <w:tc>
          <w:tcPr>
            <w:tcW w:w="520" w:type="dxa"/>
            <w:shd w:val="clear" w:color="auto" w:fill="auto"/>
            <w:noWrap/>
            <w:vAlign w:val="bottom"/>
            <w:hideMark/>
          </w:tcPr>
          <w:p w14:paraId="519B4A7E" w14:textId="77777777" w:rsidR="007F05FD" w:rsidRPr="008E63BB" w:rsidRDefault="007F05FD" w:rsidP="0065184D">
            <w:pPr>
              <w:jc w:val="center"/>
              <w:rPr>
                <w:rFonts w:eastAsia="Times New Roman"/>
                <w:sz w:val="20"/>
                <w:szCs w:val="20"/>
              </w:rPr>
            </w:pPr>
            <w:r w:rsidRPr="008E63BB">
              <w:rPr>
                <w:rFonts w:eastAsia="Times New Roman"/>
                <w:sz w:val="20"/>
                <w:szCs w:val="20"/>
              </w:rPr>
              <w:t> </w:t>
            </w:r>
          </w:p>
        </w:tc>
        <w:tc>
          <w:tcPr>
            <w:tcW w:w="2599" w:type="dxa"/>
            <w:shd w:val="clear" w:color="auto" w:fill="auto"/>
            <w:noWrap/>
            <w:vAlign w:val="bottom"/>
            <w:hideMark/>
          </w:tcPr>
          <w:p w14:paraId="519B4A7F"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xml:space="preserve"> - Tỷ lệ % so LĐ trong độ tuổi</w:t>
            </w:r>
          </w:p>
        </w:tc>
        <w:tc>
          <w:tcPr>
            <w:tcW w:w="866" w:type="dxa"/>
            <w:shd w:val="clear" w:color="auto" w:fill="auto"/>
            <w:noWrap/>
            <w:vAlign w:val="bottom"/>
            <w:hideMark/>
          </w:tcPr>
          <w:p w14:paraId="519B4A80"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2,11</w:t>
            </w:r>
          </w:p>
        </w:tc>
        <w:tc>
          <w:tcPr>
            <w:tcW w:w="866" w:type="dxa"/>
            <w:shd w:val="clear" w:color="auto" w:fill="auto"/>
            <w:noWrap/>
            <w:vAlign w:val="bottom"/>
            <w:hideMark/>
          </w:tcPr>
          <w:p w14:paraId="519B4A81"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2,09</w:t>
            </w:r>
          </w:p>
        </w:tc>
        <w:tc>
          <w:tcPr>
            <w:tcW w:w="866" w:type="dxa"/>
            <w:shd w:val="clear" w:color="auto" w:fill="auto"/>
            <w:noWrap/>
            <w:vAlign w:val="bottom"/>
            <w:hideMark/>
          </w:tcPr>
          <w:p w14:paraId="519B4A82"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2,93</w:t>
            </w:r>
          </w:p>
        </w:tc>
        <w:tc>
          <w:tcPr>
            <w:tcW w:w="766" w:type="dxa"/>
            <w:shd w:val="clear" w:color="auto" w:fill="auto"/>
            <w:noWrap/>
            <w:vAlign w:val="bottom"/>
            <w:hideMark/>
          </w:tcPr>
          <w:p w14:paraId="519B4A83"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66" w:type="dxa"/>
            <w:shd w:val="clear" w:color="auto" w:fill="auto"/>
            <w:noWrap/>
            <w:vAlign w:val="bottom"/>
            <w:hideMark/>
          </w:tcPr>
          <w:p w14:paraId="519B4A84"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87" w:type="dxa"/>
            <w:shd w:val="clear" w:color="auto" w:fill="auto"/>
            <w:noWrap/>
            <w:vAlign w:val="bottom"/>
            <w:hideMark/>
          </w:tcPr>
          <w:p w14:paraId="519B4A85"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750" w:type="dxa"/>
            <w:shd w:val="clear" w:color="auto" w:fill="auto"/>
            <w:noWrap/>
            <w:vAlign w:val="bottom"/>
            <w:hideMark/>
          </w:tcPr>
          <w:p w14:paraId="519B4A86" w14:textId="77777777" w:rsidR="007F05FD" w:rsidRPr="008E63BB" w:rsidRDefault="007F05FD" w:rsidP="0065184D">
            <w:pPr>
              <w:jc w:val="left"/>
              <w:rPr>
                <w:rFonts w:eastAsia="Times New Roman"/>
                <w:i/>
                <w:iCs/>
                <w:sz w:val="20"/>
                <w:szCs w:val="20"/>
              </w:rPr>
            </w:pPr>
            <w:r w:rsidRPr="008E63BB">
              <w:rPr>
                <w:rFonts w:eastAsia="Times New Roman"/>
                <w:i/>
                <w:iCs/>
                <w:sz w:val="20"/>
                <w:szCs w:val="20"/>
              </w:rPr>
              <w:t> </w:t>
            </w:r>
          </w:p>
        </w:tc>
        <w:tc>
          <w:tcPr>
            <w:tcW w:w="866" w:type="dxa"/>
            <w:shd w:val="clear" w:color="auto" w:fill="auto"/>
            <w:noWrap/>
            <w:vAlign w:val="bottom"/>
            <w:hideMark/>
          </w:tcPr>
          <w:p w14:paraId="519B4A87" w14:textId="77777777" w:rsidR="007F05FD" w:rsidRPr="008E63BB" w:rsidRDefault="007F05FD" w:rsidP="0065184D">
            <w:pPr>
              <w:jc w:val="right"/>
              <w:rPr>
                <w:rFonts w:eastAsia="Times New Roman"/>
                <w:i/>
                <w:iCs/>
                <w:sz w:val="20"/>
                <w:szCs w:val="20"/>
              </w:rPr>
            </w:pPr>
            <w:r w:rsidRPr="008E63BB">
              <w:rPr>
                <w:rFonts w:eastAsia="Times New Roman"/>
                <w:i/>
                <w:iCs/>
                <w:sz w:val="20"/>
                <w:szCs w:val="20"/>
              </w:rPr>
              <w:t>2,93</w:t>
            </w:r>
          </w:p>
        </w:tc>
      </w:tr>
    </w:tbl>
    <w:p w14:paraId="519B4A89" w14:textId="77777777" w:rsidR="00993172" w:rsidRPr="008E63BB" w:rsidRDefault="007F05FD" w:rsidP="0065184D">
      <w:pPr>
        <w:jc w:val="left"/>
        <w:rPr>
          <w:rFonts w:eastAsia="Times New Roman"/>
          <w:b/>
          <w:bCs/>
          <w:sz w:val="20"/>
          <w:szCs w:val="20"/>
        </w:rPr>
        <w:sectPr w:rsidR="00993172" w:rsidRPr="008E63BB" w:rsidSect="003E624C">
          <w:pgSz w:w="11907" w:h="16840" w:code="9"/>
          <w:pgMar w:top="1440" w:right="922" w:bottom="1440" w:left="1699" w:header="720" w:footer="720" w:gutter="0"/>
          <w:cols w:space="720"/>
          <w:docGrid w:linePitch="360"/>
        </w:sectPr>
      </w:pPr>
      <w:r w:rsidRPr="008E63BB">
        <w:rPr>
          <w:i/>
          <w:szCs w:val="26"/>
        </w:rPr>
        <w:t>Nguồn: Tổng hợp số liệu Niên giám thống kê, công văn số 539/CV-CTKNĐ ngày 31/10/2019 của Cục thống kê Nam Định v/v tham gia ý kiến hồ sơ “Điều chỉnh QHC thành phố Nam ĐỊnh đến năm 2040, tầm nhìn đến năm 2050</w:t>
      </w:r>
    </w:p>
    <w:tbl>
      <w:tblPr>
        <w:tblW w:w="14306" w:type="dxa"/>
        <w:tblInd w:w="108" w:type="dxa"/>
        <w:tblLook w:val="04A0" w:firstRow="1" w:lastRow="0" w:firstColumn="1" w:lastColumn="0" w:noHBand="0" w:noVBand="1"/>
      </w:tblPr>
      <w:tblGrid>
        <w:gridCol w:w="616"/>
        <w:gridCol w:w="316"/>
        <w:gridCol w:w="2730"/>
        <w:gridCol w:w="1116"/>
        <w:gridCol w:w="1116"/>
        <w:gridCol w:w="1116"/>
        <w:gridCol w:w="1216"/>
        <w:gridCol w:w="1216"/>
        <w:gridCol w:w="1216"/>
        <w:gridCol w:w="1216"/>
        <w:gridCol w:w="1216"/>
        <w:gridCol w:w="1216"/>
      </w:tblGrid>
      <w:tr w:rsidR="008D5BFE" w:rsidRPr="008E63BB" w14:paraId="519B4A8B" w14:textId="77777777" w:rsidTr="004710C7">
        <w:trPr>
          <w:trHeight w:val="435"/>
        </w:trPr>
        <w:tc>
          <w:tcPr>
            <w:tcW w:w="14306" w:type="dxa"/>
            <w:gridSpan w:val="12"/>
            <w:tcBorders>
              <w:top w:val="nil"/>
              <w:left w:val="nil"/>
              <w:bottom w:val="single" w:sz="4" w:space="0" w:color="auto"/>
              <w:right w:val="nil"/>
            </w:tcBorders>
            <w:shd w:val="clear" w:color="auto" w:fill="auto"/>
            <w:noWrap/>
            <w:vAlign w:val="center"/>
            <w:hideMark/>
          </w:tcPr>
          <w:p w14:paraId="519B4A8A" w14:textId="77777777" w:rsidR="00993172" w:rsidRPr="008E63BB" w:rsidRDefault="00993172" w:rsidP="0065184D">
            <w:pPr>
              <w:jc w:val="left"/>
              <w:rPr>
                <w:rFonts w:eastAsia="Times New Roman"/>
                <w:b/>
                <w:bCs/>
                <w:sz w:val="20"/>
                <w:szCs w:val="20"/>
              </w:rPr>
            </w:pPr>
            <w:r w:rsidRPr="008E63BB">
              <w:rPr>
                <w:rFonts w:eastAsia="Times New Roman"/>
                <w:b/>
                <w:bCs/>
                <w:sz w:val="20"/>
                <w:szCs w:val="20"/>
              </w:rPr>
              <w:lastRenderedPageBreak/>
              <w:t>Bảng Giá trị sản xuất theo giá hiện hành phân theo ngành kinh tế 2010-2018</w:t>
            </w:r>
          </w:p>
        </w:tc>
      </w:tr>
      <w:tr w:rsidR="008D5BFE" w:rsidRPr="008E63BB" w14:paraId="519B4A98" w14:textId="77777777" w:rsidTr="004710C7">
        <w:trPr>
          <w:trHeight w:val="255"/>
        </w:trPr>
        <w:tc>
          <w:tcPr>
            <w:tcW w:w="616" w:type="dxa"/>
            <w:tcBorders>
              <w:top w:val="nil"/>
              <w:left w:val="single" w:sz="4" w:space="0" w:color="auto"/>
              <w:bottom w:val="single" w:sz="4" w:space="0" w:color="auto"/>
              <w:right w:val="single" w:sz="4" w:space="0" w:color="auto"/>
            </w:tcBorders>
            <w:shd w:val="clear" w:color="auto" w:fill="auto"/>
            <w:noWrap/>
            <w:vAlign w:val="center"/>
            <w:hideMark/>
          </w:tcPr>
          <w:p w14:paraId="519B4A8C" w14:textId="77777777" w:rsidR="00993172" w:rsidRPr="008E63BB" w:rsidRDefault="00993172" w:rsidP="0065184D">
            <w:pPr>
              <w:jc w:val="center"/>
              <w:rPr>
                <w:rFonts w:eastAsia="Times New Roman"/>
                <w:sz w:val="20"/>
                <w:szCs w:val="20"/>
              </w:rPr>
            </w:pPr>
            <w:r w:rsidRPr="008E63BB">
              <w:rPr>
                <w:rFonts w:eastAsia="Times New Roman"/>
                <w:sz w:val="20"/>
                <w:szCs w:val="20"/>
              </w:rPr>
              <w:t> </w:t>
            </w:r>
          </w:p>
        </w:tc>
        <w:tc>
          <w:tcPr>
            <w:tcW w:w="316" w:type="dxa"/>
            <w:tcBorders>
              <w:top w:val="nil"/>
              <w:left w:val="nil"/>
              <w:bottom w:val="single" w:sz="4" w:space="0" w:color="auto"/>
              <w:right w:val="single" w:sz="4" w:space="0" w:color="auto"/>
            </w:tcBorders>
            <w:shd w:val="clear" w:color="auto" w:fill="auto"/>
            <w:noWrap/>
            <w:vAlign w:val="bottom"/>
            <w:hideMark/>
          </w:tcPr>
          <w:p w14:paraId="519B4A8D" w14:textId="77777777" w:rsidR="00993172" w:rsidRPr="008E63BB" w:rsidRDefault="00993172" w:rsidP="0065184D">
            <w:pPr>
              <w:jc w:val="center"/>
              <w:rPr>
                <w:rFonts w:eastAsia="Times New Roman"/>
                <w:sz w:val="20"/>
                <w:szCs w:val="20"/>
              </w:rPr>
            </w:pPr>
            <w:r w:rsidRPr="008E63BB">
              <w:rPr>
                <w:rFonts w:eastAsia="Times New Roman"/>
                <w:sz w:val="20"/>
                <w:szCs w:val="20"/>
              </w:rPr>
              <w:t> </w:t>
            </w:r>
          </w:p>
        </w:tc>
        <w:tc>
          <w:tcPr>
            <w:tcW w:w="2730" w:type="dxa"/>
            <w:tcBorders>
              <w:top w:val="nil"/>
              <w:left w:val="nil"/>
              <w:bottom w:val="single" w:sz="4" w:space="0" w:color="auto"/>
              <w:right w:val="single" w:sz="4" w:space="0" w:color="auto"/>
            </w:tcBorders>
            <w:shd w:val="clear" w:color="auto" w:fill="auto"/>
            <w:noWrap/>
            <w:vAlign w:val="bottom"/>
            <w:hideMark/>
          </w:tcPr>
          <w:p w14:paraId="519B4A8E" w14:textId="77777777" w:rsidR="00993172" w:rsidRPr="008E63BB" w:rsidRDefault="00993172" w:rsidP="0065184D">
            <w:pPr>
              <w:jc w:val="center"/>
              <w:rPr>
                <w:rFonts w:eastAsia="Times New Roman"/>
                <w:sz w:val="20"/>
                <w:szCs w:val="20"/>
              </w:rPr>
            </w:pPr>
            <w:r w:rsidRPr="008E63BB">
              <w:rPr>
                <w:rFonts w:eastAsia="Times New Roman"/>
                <w:sz w:val="20"/>
                <w:szCs w:val="20"/>
              </w:rPr>
              <w:t>Danh mục</w:t>
            </w:r>
          </w:p>
        </w:tc>
        <w:tc>
          <w:tcPr>
            <w:tcW w:w="1116" w:type="dxa"/>
            <w:tcBorders>
              <w:top w:val="nil"/>
              <w:left w:val="nil"/>
              <w:bottom w:val="single" w:sz="4" w:space="0" w:color="auto"/>
              <w:right w:val="single" w:sz="4" w:space="0" w:color="auto"/>
            </w:tcBorders>
            <w:shd w:val="clear" w:color="auto" w:fill="auto"/>
            <w:noWrap/>
            <w:vAlign w:val="bottom"/>
            <w:hideMark/>
          </w:tcPr>
          <w:p w14:paraId="519B4A8F" w14:textId="77777777" w:rsidR="00993172" w:rsidRPr="008E63BB" w:rsidRDefault="00993172" w:rsidP="0065184D">
            <w:pPr>
              <w:jc w:val="center"/>
              <w:rPr>
                <w:rFonts w:eastAsia="Times New Roman"/>
                <w:sz w:val="20"/>
                <w:szCs w:val="20"/>
              </w:rPr>
            </w:pPr>
            <w:r w:rsidRPr="008E63BB">
              <w:rPr>
                <w:rFonts w:eastAsia="Times New Roman"/>
                <w:sz w:val="20"/>
                <w:szCs w:val="20"/>
              </w:rPr>
              <w:t>2010</w:t>
            </w:r>
          </w:p>
        </w:tc>
        <w:tc>
          <w:tcPr>
            <w:tcW w:w="1116" w:type="dxa"/>
            <w:tcBorders>
              <w:top w:val="nil"/>
              <w:left w:val="nil"/>
              <w:bottom w:val="single" w:sz="4" w:space="0" w:color="auto"/>
              <w:right w:val="single" w:sz="4" w:space="0" w:color="auto"/>
            </w:tcBorders>
            <w:shd w:val="clear" w:color="auto" w:fill="auto"/>
            <w:noWrap/>
            <w:vAlign w:val="bottom"/>
            <w:hideMark/>
          </w:tcPr>
          <w:p w14:paraId="519B4A90" w14:textId="77777777" w:rsidR="00993172" w:rsidRPr="008E63BB" w:rsidRDefault="00993172" w:rsidP="0065184D">
            <w:pPr>
              <w:jc w:val="center"/>
              <w:rPr>
                <w:rFonts w:eastAsia="Times New Roman"/>
                <w:sz w:val="20"/>
                <w:szCs w:val="20"/>
              </w:rPr>
            </w:pPr>
            <w:r w:rsidRPr="008E63BB">
              <w:rPr>
                <w:rFonts w:eastAsia="Times New Roman"/>
                <w:sz w:val="20"/>
                <w:szCs w:val="20"/>
              </w:rPr>
              <w:t>2011</w:t>
            </w:r>
          </w:p>
        </w:tc>
        <w:tc>
          <w:tcPr>
            <w:tcW w:w="1116" w:type="dxa"/>
            <w:tcBorders>
              <w:top w:val="nil"/>
              <w:left w:val="nil"/>
              <w:bottom w:val="single" w:sz="4" w:space="0" w:color="auto"/>
              <w:right w:val="single" w:sz="4" w:space="0" w:color="auto"/>
            </w:tcBorders>
            <w:shd w:val="clear" w:color="auto" w:fill="auto"/>
            <w:noWrap/>
            <w:vAlign w:val="bottom"/>
            <w:hideMark/>
          </w:tcPr>
          <w:p w14:paraId="519B4A91" w14:textId="77777777" w:rsidR="00993172" w:rsidRPr="008E63BB" w:rsidRDefault="00993172" w:rsidP="0065184D">
            <w:pPr>
              <w:jc w:val="center"/>
              <w:rPr>
                <w:rFonts w:eastAsia="Times New Roman"/>
                <w:sz w:val="20"/>
                <w:szCs w:val="20"/>
              </w:rPr>
            </w:pPr>
            <w:r w:rsidRPr="008E63BB">
              <w:rPr>
                <w:rFonts w:eastAsia="Times New Roman"/>
                <w:sz w:val="20"/>
                <w:szCs w:val="20"/>
              </w:rPr>
              <w:t>2012</w:t>
            </w:r>
          </w:p>
        </w:tc>
        <w:tc>
          <w:tcPr>
            <w:tcW w:w="1216" w:type="dxa"/>
            <w:tcBorders>
              <w:top w:val="nil"/>
              <w:left w:val="nil"/>
              <w:bottom w:val="single" w:sz="4" w:space="0" w:color="auto"/>
              <w:right w:val="single" w:sz="4" w:space="0" w:color="auto"/>
            </w:tcBorders>
            <w:shd w:val="clear" w:color="auto" w:fill="auto"/>
            <w:noWrap/>
            <w:vAlign w:val="bottom"/>
            <w:hideMark/>
          </w:tcPr>
          <w:p w14:paraId="519B4A92" w14:textId="77777777" w:rsidR="00993172" w:rsidRPr="008E63BB" w:rsidRDefault="00993172" w:rsidP="0065184D">
            <w:pPr>
              <w:jc w:val="center"/>
              <w:rPr>
                <w:rFonts w:eastAsia="Times New Roman"/>
                <w:sz w:val="20"/>
                <w:szCs w:val="20"/>
              </w:rPr>
            </w:pPr>
            <w:r w:rsidRPr="008E63BB">
              <w:rPr>
                <w:rFonts w:eastAsia="Times New Roman"/>
                <w:sz w:val="20"/>
                <w:szCs w:val="20"/>
              </w:rPr>
              <w:t>2013</w:t>
            </w:r>
          </w:p>
        </w:tc>
        <w:tc>
          <w:tcPr>
            <w:tcW w:w="1216" w:type="dxa"/>
            <w:tcBorders>
              <w:top w:val="nil"/>
              <w:left w:val="nil"/>
              <w:bottom w:val="single" w:sz="4" w:space="0" w:color="auto"/>
              <w:right w:val="single" w:sz="4" w:space="0" w:color="auto"/>
            </w:tcBorders>
            <w:shd w:val="clear" w:color="auto" w:fill="auto"/>
            <w:noWrap/>
            <w:vAlign w:val="bottom"/>
            <w:hideMark/>
          </w:tcPr>
          <w:p w14:paraId="519B4A93" w14:textId="77777777" w:rsidR="00993172" w:rsidRPr="008E63BB" w:rsidRDefault="00993172" w:rsidP="0065184D">
            <w:pPr>
              <w:jc w:val="center"/>
              <w:rPr>
                <w:rFonts w:eastAsia="Times New Roman"/>
                <w:sz w:val="20"/>
                <w:szCs w:val="20"/>
              </w:rPr>
            </w:pPr>
            <w:r w:rsidRPr="008E63BB">
              <w:rPr>
                <w:rFonts w:eastAsia="Times New Roman"/>
                <w:sz w:val="20"/>
                <w:szCs w:val="20"/>
              </w:rPr>
              <w:t>2014</w:t>
            </w:r>
          </w:p>
        </w:tc>
        <w:tc>
          <w:tcPr>
            <w:tcW w:w="1216" w:type="dxa"/>
            <w:tcBorders>
              <w:top w:val="nil"/>
              <w:left w:val="nil"/>
              <w:bottom w:val="single" w:sz="4" w:space="0" w:color="auto"/>
              <w:right w:val="single" w:sz="4" w:space="0" w:color="auto"/>
            </w:tcBorders>
            <w:shd w:val="clear" w:color="auto" w:fill="auto"/>
            <w:noWrap/>
            <w:vAlign w:val="bottom"/>
            <w:hideMark/>
          </w:tcPr>
          <w:p w14:paraId="519B4A94" w14:textId="77777777" w:rsidR="00993172" w:rsidRPr="008E63BB" w:rsidRDefault="00993172" w:rsidP="0065184D">
            <w:pPr>
              <w:jc w:val="center"/>
              <w:rPr>
                <w:rFonts w:eastAsia="Times New Roman"/>
                <w:sz w:val="20"/>
                <w:szCs w:val="20"/>
              </w:rPr>
            </w:pPr>
            <w:r w:rsidRPr="008E63BB">
              <w:rPr>
                <w:rFonts w:eastAsia="Times New Roman"/>
                <w:sz w:val="20"/>
                <w:szCs w:val="20"/>
              </w:rPr>
              <w:t>2015</w:t>
            </w:r>
          </w:p>
        </w:tc>
        <w:tc>
          <w:tcPr>
            <w:tcW w:w="1216" w:type="dxa"/>
            <w:tcBorders>
              <w:top w:val="nil"/>
              <w:left w:val="nil"/>
              <w:bottom w:val="single" w:sz="4" w:space="0" w:color="auto"/>
              <w:right w:val="single" w:sz="4" w:space="0" w:color="auto"/>
            </w:tcBorders>
            <w:shd w:val="clear" w:color="auto" w:fill="auto"/>
            <w:noWrap/>
            <w:vAlign w:val="bottom"/>
            <w:hideMark/>
          </w:tcPr>
          <w:p w14:paraId="519B4A95" w14:textId="77777777" w:rsidR="00993172" w:rsidRPr="008E63BB" w:rsidRDefault="00993172" w:rsidP="0065184D">
            <w:pPr>
              <w:jc w:val="center"/>
              <w:rPr>
                <w:rFonts w:eastAsia="Times New Roman"/>
                <w:sz w:val="20"/>
                <w:szCs w:val="20"/>
              </w:rPr>
            </w:pPr>
            <w:r w:rsidRPr="008E63BB">
              <w:rPr>
                <w:rFonts w:eastAsia="Times New Roman"/>
                <w:sz w:val="20"/>
                <w:szCs w:val="20"/>
              </w:rPr>
              <w:t>2016</w:t>
            </w:r>
          </w:p>
        </w:tc>
        <w:tc>
          <w:tcPr>
            <w:tcW w:w="1216" w:type="dxa"/>
            <w:tcBorders>
              <w:top w:val="nil"/>
              <w:left w:val="nil"/>
              <w:bottom w:val="single" w:sz="4" w:space="0" w:color="auto"/>
              <w:right w:val="single" w:sz="4" w:space="0" w:color="auto"/>
            </w:tcBorders>
            <w:shd w:val="clear" w:color="auto" w:fill="auto"/>
            <w:noWrap/>
            <w:vAlign w:val="bottom"/>
            <w:hideMark/>
          </w:tcPr>
          <w:p w14:paraId="519B4A96" w14:textId="77777777" w:rsidR="00993172" w:rsidRPr="008E63BB" w:rsidRDefault="00993172" w:rsidP="0065184D">
            <w:pPr>
              <w:jc w:val="center"/>
              <w:rPr>
                <w:rFonts w:eastAsia="Times New Roman"/>
                <w:sz w:val="20"/>
                <w:szCs w:val="20"/>
              </w:rPr>
            </w:pPr>
            <w:r w:rsidRPr="008E63BB">
              <w:rPr>
                <w:rFonts w:eastAsia="Times New Roman"/>
                <w:sz w:val="20"/>
                <w:szCs w:val="20"/>
              </w:rPr>
              <w:t>2017</w:t>
            </w:r>
          </w:p>
        </w:tc>
        <w:tc>
          <w:tcPr>
            <w:tcW w:w="1216" w:type="dxa"/>
            <w:tcBorders>
              <w:top w:val="nil"/>
              <w:left w:val="nil"/>
              <w:bottom w:val="single" w:sz="4" w:space="0" w:color="auto"/>
              <w:right w:val="single" w:sz="4" w:space="0" w:color="auto"/>
            </w:tcBorders>
            <w:shd w:val="clear" w:color="auto" w:fill="auto"/>
            <w:noWrap/>
            <w:vAlign w:val="bottom"/>
            <w:hideMark/>
          </w:tcPr>
          <w:p w14:paraId="519B4A97" w14:textId="77777777" w:rsidR="00993172" w:rsidRPr="008E63BB" w:rsidRDefault="00993172" w:rsidP="0065184D">
            <w:pPr>
              <w:jc w:val="center"/>
              <w:rPr>
                <w:rFonts w:eastAsia="Times New Roman"/>
                <w:sz w:val="20"/>
                <w:szCs w:val="20"/>
              </w:rPr>
            </w:pPr>
            <w:r w:rsidRPr="008E63BB">
              <w:rPr>
                <w:rFonts w:eastAsia="Times New Roman"/>
                <w:sz w:val="20"/>
                <w:szCs w:val="20"/>
              </w:rPr>
              <w:t>2018</w:t>
            </w:r>
          </w:p>
        </w:tc>
      </w:tr>
      <w:tr w:rsidR="008D5BFE" w:rsidRPr="008E63BB" w14:paraId="519B4AA5" w14:textId="77777777" w:rsidTr="004710C7">
        <w:trPr>
          <w:trHeight w:val="255"/>
        </w:trPr>
        <w:tc>
          <w:tcPr>
            <w:tcW w:w="616"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4A99" w14:textId="77777777" w:rsidR="00993172" w:rsidRPr="008E63BB" w:rsidRDefault="00993172" w:rsidP="0065184D">
            <w:pPr>
              <w:jc w:val="center"/>
              <w:rPr>
                <w:rFonts w:eastAsia="Times New Roman"/>
                <w:sz w:val="20"/>
                <w:szCs w:val="20"/>
              </w:rPr>
            </w:pPr>
            <w:r w:rsidRPr="008E63BB">
              <w:rPr>
                <w:rFonts w:eastAsia="Times New Roman"/>
                <w:sz w:val="20"/>
                <w:szCs w:val="20"/>
              </w:rPr>
              <w:t>Tỉnh Nam Định</w:t>
            </w:r>
          </w:p>
        </w:tc>
        <w:tc>
          <w:tcPr>
            <w:tcW w:w="316" w:type="dxa"/>
            <w:tcBorders>
              <w:top w:val="nil"/>
              <w:left w:val="nil"/>
              <w:bottom w:val="single" w:sz="4" w:space="0" w:color="auto"/>
              <w:right w:val="single" w:sz="4" w:space="0" w:color="auto"/>
            </w:tcBorders>
            <w:shd w:val="clear" w:color="auto" w:fill="auto"/>
            <w:noWrap/>
            <w:vAlign w:val="bottom"/>
            <w:hideMark/>
          </w:tcPr>
          <w:p w14:paraId="519B4A9A" w14:textId="77777777" w:rsidR="00993172" w:rsidRPr="008E63BB" w:rsidRDefault="00993172" w:rsidP="0065184D">
            <w:pPr>
              <w:jc w:val="center"/>
              <w:rPr>
                <w:rFonts w:eastAsia="Times New Roman"/>
                <w:b/>
                <w:bCs/>
                <w:sz w:val="20"/>
                <w:szCs w:val="20"/>
              </w:rPr>
            </w:pPr>
            <w:r w:rsidRPr="008E63BB">
              <w:rPr>
                <w:rFonts w:eastAsia="Times New Roman"/>
                <w:b/>
                <w:bCs/>
                <w:sz w:val="20"/>
                <w:szCs w:val="20"/>
              </w:rPr>
              <w:t>1</w:t>
            </w:r>
          </w:p>
        </w:tc>
        <w:tc>
          <w:tcPr>
            <w:tcW w:w="2730" w:type="dxa"/>
            <w:tcBorders>
              <w:top w:val="nil"/>
              <w:left w:val="nil"/>
              <w:bottom w:val="single" w:sz="4" w:space="0" w:color="auto"/>
              <w:right w:val="single" w:sz="4" w:space="0" w:color="auto"/>
            </w:tcBorders>
            <w:shd w:val="clear" w:color="auto" w:fill="auto"/>
            <w:noWrap/>
            <w:vAlign w:val="bottom"/>
            <w:hideMark/>
          </w:tcPr>
          <w:p w14:paraId="519B4A9B" w14:textId="77777777" w:rsidR="00993172" w:rsidRPr="008E63BB" w:rsidRDefault="00993172" w:rsidP="0065184D">
            <w:pPr>
              <w:jc w:val="left"/>
              <w:rPr>
                <w:rFonts w:eastAsia="Times New Roman"/>
                <w:b/>
                <w:bCs/>
                <w:sz w:val="20"/>
                <w:szCs w:val="20"/>
              </w:rPr>
            </w:pPr>
            <w:r w:rsidRPr="008E63BB">
              <w:rPr>
                <w:rFonts w:eastAsia="Times New Roman"/>
                <w:b/>
                <w:bCs/>
                <w:sz w:val="20"/>
                <w:szCs w:val="20"/>
              </w:rPr>
              <w:t>Tổng giá trị sản xuất (tỷ)</w:t>
            </w:r>
          </w:p>
        </w:tc>
        <w:tc>
          <w:tcPr>
            <w:tcW w:w="1116" w:type="dxa"/>
            <w:tcBorders>
              <w:top w:val="nil"/>
              <w:left w:val="nil"/>
              <w:bottom w:val="single" w:sz="4" w:space="0" w:color="auto"/>
              <w:right w:val="single" w:sz="4" w:space="0" w:color="auto"/>
            </w:tcBorders>
            <w:shd w:val="clear" w:color="auto" w:fill="auto"/>
            <w:noWrap/>
            <w:vAlign w:val="bottom"/>
            <w:hideMark/>
          </w:tcPr>
          <w:p w14:paraId="519B4A9C"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65.545,770</w:t>
            </w:r>
          </w:p>
        </w:tc>
        <w:tc>
          <w:tcPr>
            <w:tcW w:w="1116" w:type="dxa"/>
            <w:tcBorders>
              <w:top w:val="nil"/>
              <w:left w:val="nil"/>
              <w:bottom w:val="single" w:sz="4" w:space="0" w:color="auto"/>
              <w:right w:val="single" w:sz="4" w:space="0" w:color="auto"/>
            </w:tcBorders>
            <w:shd w:val="clear" w:color="auto" w:fill="auto"/>
            <w:noWrap/>
            <w:vAlign w:val="bottom"/>
            <w:hideMark/>
          </w:tcPr>
          <w:p w14:paraId="519B4A9D"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81.005,409</w:t>
            </w:r>
          </w:p>
        </w:tc>
        <w:tc>
          <w:tcPr>
            <w:tcW w:w="1116" w:type="dxa"/>
            <w:tcBorders>
              <w:top w:val="nil"/>
              <w:left w:val="nil"/>
              <w:bottom w:val="single" w:sz="4" w:space="0" w:color="auto"/>
              <w:right w:val="single" w:sz="4" w:space="0" w:color="auto"/>
            </w:tcBorders>
            <w:shd w:val="clear" w:color="auto" w:fill="auto"/>
            <w:noWrap/>
            <w:vAlign w:val="bottom"/>
            <w:hideMark/>
          </w:tcPr>
          <w:p w14:paraId="519B4A9E"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90.701,057</w:t>
            </w:r>
          </w:p>
        </w:tc>
        <w:tc>
          <w:tcPr>
            <w:tcW w:w="1216" w:type="dxa"/>
            <w:tcBorders>
              <w:top w:val="nil"/>
              <w:left w:val="nil"/>
              <w:bottom w:val="single" w:sz="4" w:space="0" w:color="auto"/>
              <w:right w:val="single" w:sz="4" w:space="0" w:color="auto"/>
            </w:tcBorders>
            <w:shd w:val="clear" w:color="auto" w:fill="auto"/>
            <w:noWrap/>
            <w:vAlign w:val="bottom"/>
            <w:hideMark/>
          </w:tcPr>
          <w:p w14:paraId="519B4A9F"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100.275,963</w:t>
            </w:r>
          </w:p>
        </w:tc>
        <w:tc>
          <w:tcPr>
            <w:tcW w:w="1216" w:type="dxa"/>
            <w:tcBorders>
              <w:top w:val="nil"/>
              <w:left w:val="nil"/>
              <w:bottom w:val="single" w:sz="4" w:space="0" w:color="auto"/>
              <w:right w:val="single" w:sz="4" w:space="0" w:color="auto"/>
            </w:tcBorders>
            <w:shd w:val="clear" w:color="auto" w:fill="auto"/>
            <w:noWrap/>
            <w:vAlign w:val="bottom"/>
            <w:hideMark/>
          </w:tcPr>
          <w:p w14:paraId="519B4AA0"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115.184,662</w:t>
            </w:r>
          </w:p>
        </w:tc>
        <w:tc>
          <w:tcPr>
            <w:tcW w:w="1216" w:type="dxa"/>
            <w:tcBorders>
              <w:top w:val="nil"/>
              <w:left w:val="nil"/>
              <w:bottom w:val="single" w:sz="4" w:space="0" w:color="auto"/>
              <w:right w:val="single" w:sz="4" w:space="0" w:color="auto"/>
            </w:tcBorders>
            <w:shd w:val="clear" w:color="auto" w:fill="auto"/>
            <w:noWrap/>
            <w:vAlign w:val="bottom"/>
            <w:hideMark/>
          </w:tcPr>
          <w:p w14:paraId="519B4AA1"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133.957,522</w:t>
            </w:r>
          </w:p>
        </w:tc>
        <w:tc>
          <w:tcPr>
            <w:tcW w:w="1216" w:type="dxa"/>
            <w:tcBorders>
              <w:top w:val="nil"/>
              <w:left w:val="nil"/>
              <w:bottom w:val="single" w:sz="4" w:space="0" w:color="auto"/>
              <w:right w:val="single" w:sz="4" w:space="0" w:color="auto"/>
            </w:tcBorders>
            <w:shd w:val="clear" w:color="auto" w:fill="auto"/>
            <w:noWrap/>
            <w:vAlign w:val="bottom"/>
            <w:hideMark/>
          </w:tcPr>
          <w:p w14:paraId="519B4AA2"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134.026,958</w:t>
            </w:r>
          </w:p>
        </w:tc>
        <w:tc>
          <w:tcPr>
            <w:tcW w:w="1216" w:type="dxa"/>
            <w:tcBorders>
              <w:top w:val="nil"/>
              <w:left w:val="nil"/>
              <w:bottom w:val="single" w:sz="4" w:space="0" w:color="auto"/>
              <w:right w:val="single" w:sz="4" w:space="0" w:color="auto"/>
            </w:tcBorders>
            <w:shd w:val="clear" w:color="auto" w:fill="auto"/>
            <w:noWrap/>
            <w:vAlign w:val="bottom"/>
            <w:hideMark/>
          </w:tcPr>
          <w:p w14:paraId="519B4AA3"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146.856,866</w:t>
            </w:r>
          </w:p>
        </w:tc>
        <w:tc>
          <w:tcPr>
            <w:tcW w:w="1216" w:type="dxa"/>
            <w:tcBorders>
              <w:top w:val="nil"/>
              <w:left w:val="nil"/>
              <w:bottom w:val="single" w:sz="4" w:space="0" w:color="auto"/>
              <w:right w:val="single" w:sz="4" w:space="0" w:color="auto"/>
            </w:tcBorders>
            <w:shd w:val="clear" w:color="auto" w:fill="auto"/>
            <w:noWrap/>
            <w:vAlign w:val="bottom"/>
            <w:hideMark/>
          </w:tcPr>
          <w:p w14:paraId="519B4AA4"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165.272,069</w:t>
            </w:r>
          </w:p>
        </w:tc>
      </w:tr>
      <w:tr w:rsidR="008D5BFE" w:rsidRPr="008E63BB" w14:paraId="519B4AB2"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AA6"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AA7"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AA8" w14:textId="77777777" w:rsidR="00993172" w:rsidRPr="008E63BB" w:rsidRDefault="00993172" w:rsidP="0065184D">
            <w:pPr>
              <w:jc w:val="left"/>
              <w:rPr>
                <w:rFonts w:eastAsia="Times New Roman"/>
                <w:sz w:val="20"/>
                <w:szCs w:val="20"/>
              </w:rPr>
            </w:pPr>
            <w:r w:rsidRPr="008E63BB">
              <w:rPr>
                <w:rFonts w:eastAsia="Times New Roman"/>
                <w:sz w:val="20"/>
                <w:szCs w:val="20"/>
              </w:rPr>
              <w:t>Nông, lâm nghiệp và thủy sản</w:t>
            </w:r>
          </w:p>
        </w:tc>
        <w:tc>
          <w:tcPr>
            <w:tcW w:w="1116" w:type="dxa"/>
            <w:tcBorders>
              <w:top w:val="nil"/>
              <w:left w:val="nil"/>
              <w:bottom w:val="single" w:sz="4" w:space="0" w:color="auto"/>
              <w:right w:val="single" w:sz="4" w:space="0" w:color="auto"/>
            </w:tcBorders>
            <w:shd w:val="clear" w:color="auto" w:fill="auto"/>
            <w:noWrap/>
            <w:vAlign w:val="bottom"/>
            <w:hideMark/>
          </w:tcPr>
          <w:p w14:paraId="519B4AA9" w14:textId="77777777" w:rsidR="00993172" w:rsidRPr="008E63BB" w:rsidRDefault="00993172" w:rsidP="0065184D">
            <w:pPr>
              <w:jc w:val="right"/>
              <w:rPr>
                <w:rFonts w:eastAsia="Times New Roman"/>
                <w:sz w:val="20"/>
                <w:szCs w:val="20"/>
              </w:rPr>
            </w:pPr>
            <w:r w:rsidRPr="008E63BB">
              <w:rPr>
                <w:rFonts w:eastAsia="Times New Roman"/>
                <w:sz w:val="20"/>
                <w:szCs w:val="20"/>
              </w:rPr>
              <w:t>15.369,247</w:t>
            </w:r>
          </w:p>
        </w:tc>
        <w:tc>
          <w:tcPr>
            <w:tcW w:w="1116" w:type="dxa"/>
            <w:tcBorders>
              <w:top w:val="nil"/>
              <w:left w:val="nil"/>
              <w:bottom w:val="single" w:sz="4" w:space="0" w:color="auto"/>
              <w:right w:val="single" w:sz="4" w:space="0" w:color="auto"/>
            </w:tcBorders>
            <w:shd w:val="clear" w:color="auto" w:fill="auto"/>
            <w:noWrap/>
            <w:vAlign w:val="bottom"/>
            <w:hideMark/>
          </w:tcPr>
          <w:p w14:paraId="519B4AAA" w14:textId="77777777" w:rsidR="00993172" w:rsidRPr="008E63BB" w:rsidRDefault="00993172" w:rsidP="0065184D">
            <w:pPr>
              <w:jc w:val="right"/>
              <w:rPr>
                <w:rFonts w:eastAsia="Times New Roman"/>
                <w:sz w:val="20"/>
                <w:szCs w:val="20"/>
              </w:rPr>
            </w:pPr>
            <w:r w:rsidRPr="008E63BB">
              <w:rPr>
                <w:rFonts w:eastAsia="Times New Roman"/>
                <w:sz w:val="20"/>
                <w:szCs w:val="20"/>
              </w:rPr>
              <w:t>20.279,846</w:t>
            </w:r>
          </w:p>
        </w:tc>
        <w:tc>
          <w:tcPr>
            <w:tcW w:w="1116" w:type="dxa"/>
            <w:tcBorders>
              <w:top w:val="nil"/>
              <w:left w:val="nil"/>
              <w:bottom w:val="single" w:sz="4" w:space="0" w:color="auto"/>
              <w:right w:val="single" w:sz="4" w:space="0" w:color="auto"/>
            </w:tcBorders>
            <w:shd w:val="clear" w:color="auto" w:fill="auto"/>
            <w:noWrap/>
            <w:vAlign w:val="bottom"/>
            <w:hideMark/>
          </w:tcPr>
          <w:p w14:paraId="519B4AAB" w14:textId="77777777" w:rsidR="00993172" w:rsidRPr="008E63BB" w:rsidRDefault="00993172" w:rsidP="0065184D">
            <w:pPr>
              <w:jc w:val="right"/>
              <w:rPr>
                <w:rFonts w:eastAsia="Times New Roman"/>
                <w:sz w:val="20"/>
                <w:szCs w:val="20"/>
              </w:rPr>
            </w:pPr>
            <w:r w:rsidRPr="008E63BB">
              <w:rPr>
                <w:rFonts w:eastAsia="Times New Roman"/>
                <w:sz w:val="20"/>
                <w:szCs w:val="20"/>
              </w:rPr>
              <w:t>20.348,167</w:t>
            </w:r>
          </w:p>
        </w:tc>
        <w:tc>
          <w:tcPr>
            <w:tcW w:w="1216" w:type="dxa"/>
            <w:tcBorders>
              <w:top w:val="nil"/>
              <w:left w:val="nil"/>
              <w:bottom w:val="single" w:sz="4" w:space="0" w:color="auto"/>
              <w:right w:val="single" w:sz="4" w:space="0" w:color="auto"/>
            </w:tcBorders>
            <w:shd w:val="clear" w:color="auto" w:fill="auto"/>
            <w:noWrap/>
            <w:vAlign w:val="bottom"/>
            <w:hideMark/>
          </w:tcPr>
          <w:p w14:paraId="519B4AAC" w14:textId="77777777" w:rsidR="00993172" w:rsidRPr="008E63BB" w:rsidRDefault="00993172" w:rsidP="0065184D">
            <w:pPr>
              <w:jc w:val="right"/>
              <w:rPr>
                <w:rFonts w:eastAsia="Times New Roman"/>
                <w:sz w:val="20"/>
                <w:szCs w:val="20"/>
              </w:rPr>
            </w:pPr>
            <w:r w:rsidRPr="008E63BB">
              <w:rPr>
                <w:rFonts w:eastAsia="Times New Roman"/>
                <w:sz w:val="20"/>
                <w:szCs w:val="20"/>
              </w:rPr>
              <w:t>20.415,841</w:t>
            </w:r>
          </w:p>
        </w:tc>
        <w:tc>
          <w:tcPr>
            <w:tcW w:w="1216" w:type="dxa"/>
            <w:tcBorders>
              <w:top w:val="nil"/>
              <w:left w:val="nil"/>
              <w:bottom w:val="single" w:sz="4" w:space="0" w:color="auto"/>
              <w:right w:val="single" w:sz="4" w:space="0" w:color="auto"/>
            </w:tcBorders>
            <w:shd w:val="clear" w:color="auto" w:fill="auto"/>
            <w:noWrap/>
            <w:vAlign w:val="bottom"/>
            <w:hideMark/>
          </w:tcPr>
          <w:p w14:paraId="519B4AAD" w14:textId="77777777" w:rsidR="00993172" w:rsidRPr="008E63BB" w:rsidRDefault="00993172" w:rsidP="0065184D">
            <w:pPr>
              <w:jc w:val="right"/>
              <w:rPr>
                <w:rFonts w:eastAsia="Times New Roman"/>
                <w:sz w:val="20"/>
                <w:szCs w:val="20"/>
              </w:rPr>
            </w:pPr>
            <w:r w:rsidRPr="008E63BB">
              <w:rPr>
                <w:rFonts w:eastAsia="Times New Roman"/>
                <w:sz w:val="20"/>
                <w:szCs w:val="20"/>
              </w:rPr>
              <w:t>22.852,039</w:t>
            </w:r>
          </w:p>
        </w:tc>
        <w:tc>
          <w:tcPr>
            <w:tcW w:w="1216" w:type="dxa"/>
            <w:tcBorders>
              <w:top w:val="nil"/>
              <w:left w:val="nil"/>
              <w:bottom w:val="single" w:sz="4" w:space="0" w:color="auto"/>
              <w:right w:val="single" w:sz="4" w:space="0" w:color="auto"/>
            </w:tcBorders>
            <w:shd w:val="clear" w:color="auto" w:fill="auto"/>
            <w:noWrap/>
            <w:vAlign w:val="bottom"/>
            <w:hideMark/>
          </w:tcPr>
          <w:p w14:paraId="519B4AAE" w14:textId="77777777" w:rsidR="00993172" w:rsidRPr="008E63BB" w:rsidRDefault="00993172" w:rsidP="0065184D">
            <w:pPr>
              <w:jc w:val="right"/>
              <w:rPr>
                <w:rFonts w:eastAsia="Times New Roman"/>
                <w:sz w:val="20"/>
                <w:szCs w:val="20"/>
              </w:rPr>
            </w:pPr>
            <w:r w:rsidRPr="008E63BB">
              <w:rPr>
                <w:rFonts w:eastAsia="Times New Roman"/>
                <w:sz w:val="20"/>
                <w:szCs w:val="20"/>
              </w:rPr>
              <w:t>23.878,762</w:t>
            </w:r>
          </w:p>
        </w:tc>
        <w:tc>
          <w:tcPr>
            <w:tcW w:w="1216" w:type="dxa"/>
            <w:tcBorders>
              <w:top w:val="nil"/>
              <w:left w:val="nil"/>
              <w:bottom w:val="single" w:sz="4" w:space="0" w:color="auto"/>
              <w:right w:val="single" w:sz="4" w:space="0" w:color="auto"/>
            </w:tcBorders>
            <w:shd w:val="clear" w:color="auto" w:fill="auto"/>
            <w:noWrap/>
            <w:vAlign w:val="bottom"/>
            <w:hideMark/>
          </w:tcPr>
          <w:p w14:paraId="519B4AAF" w14:textId="77777777" w:rsidR="00993172" w:rsidRPr="008E63BB" w:rsidRDefault="00993172" w:rsidP="0065184D">
            <w:pPr>
              <w:jc w:val="right"/>
              <w:rPr>
                <w:rFonts w:eastAsia="Times New Roman"/>
                <w:sz w:val="20"/>
                <w:szCs w:val="20"/>
              </w:rPr>
            </w:pPr>
            <w:r w:rsidRPr="008E63BB">
              <w:rPr>
                <w:rFonts w:eastAsia="Times New Roman"/>
                <w:sz w:val="20"/>
                <w:szCs w:val="20"/>
              </w:rPr>
              <w:t>24.623,706</w:t>
            </w:r>
          </w:p>
        </w:tc>
        <w:tc>
          <w:tcPr>
            <w:tcW w:w="1216" w:type="dxa"/>
            <w:tcBorders>
              <w:top w:val="nil"/>
              <w:left w:val="nil"/>
              <w:bottom w:val="single" w:sz="4" w:space="0" w:color="auto"/>
              <w:right w:val="single" w:sz="4" w:space="0" w:color="auto"/>
            </w:tcBorders>
            <w:shd w:val="clear" w:color="auto" w:fill="auto"/>
            <w:noWrap/>
            <w:vAlign w:val="bottom"/>
            <w:hideMark/>
          </w:tcPr>
          <w:p w14:paraId="519B4AB0" w14:textId="77777777" w:rsidR="00993172" w:rsidRPr="008E63BB" w:rsidRDefault="00993172" w:rsidP="0065184D">
            <w:pPr>
              <w:jc w:val="right"/>
              <w:rPr>
                <w:rFonts w:eastAsia="Times New Roman"/>
                <w:sz w:val="20"/>
                <w:szCs w:val="20"/>
              </w:rPr>
            </w:pPr>
            <w:r w:rsidRPr="008E63BB">
              <w:rPr>
                <w:rFonts w:eastAsia="Times New Roman"/>
                <w:sz w:val="20"/>
                <w:szCs w:val="20"/>
              </w:rPr>
              <w:t>24.568,740</w:t>
            </w:r>
          </w:p>
        </w:tc>
        <w:tc>
          <w:tcPr>
            <w:tcW w:w="1216" w:type="dxa"/>
            <w:tcBorders>
              <w:top w:val="nil"/>
              <w:left w:val="nil"/>
              <w:bottom w:val="single" w:sz="4" w:space="0" w:color="auto"/>
              <w:right w:val="single" w:sz="4" w:space="0" w:color="auto"/>
            </w:tcBorders>
            <w:shd w:val="clear" w:color="auto" w:fill="auto"/>
            <w:noWrap/>
            <w:vAlign w:val="bottom"/>
            <w:hideMark/>
          </w:tcPr>
          <w:p w14:paraId="519B4AB1" w14:textId="77777777" w:rsidR="00993172" w:rsidRPr="008E63BB" w:rsidRDefault="00993172" w:rsidP="0065184D">
            <w:pPr>
              <w:jc w:val="right"/>
              <w:rPr>
                <w:rFonts w:eastAsia="Times New Roman"/>
                <w:sz w:val="20"/>
                <w:szCs w:val="20"/>
              </w:rPr>
            </w:pPr>
            <w:r w:rsidRPr="008E63BB">
              <w:rPr>
                <w:rFonts w:eastAsia="Times New Roman"/>
                <w:sz w:val="20"/>
                <w:szCs w:val="20"/>
              </w:rPr>
              <w:t>26.822,590</w:t>
            </w:r>
          </w:p>
        </w:tc>
      </w:tr>
      <w:tr w:rsidR="008D5BFE" w:rsidRPr="008E63BB" w14:paraId="519B4ABF"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AB3"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AB4"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AB5" w14:textId="77777777" w:rsidR="00993172" w:rsidRPr="008E63BB" w:rsidRDefault="00993172" w:rsidP="0065184D">
            <w:pPr>
              <w:jc w:val="left"/>
              <w:rPr>
                <w:rFonts w:eastAsia="Times New Roman"/>
                <w:sz w:val="20"/>
                <w:szCs w:val="20"/>
              </w:rPr>
            </w:pPr>
            <w:r w:rsidRPr="008E63BB">
              <w:rPr>
                <w:rFonts w:eastAsia="Times New Roman"/>
                <w:sz w:val="20"/>
                <w:szCs w:val="20"/>
              </w:rPr>
              <w:t>Công nghiệp và xây dựng</w:t>
            </w:r>
          </w:p>
        </w:tc>
        <w:tc>
          <w:tcPr>
            <w:tcW w:w="1116" w:type="dxa"/>
            <w:tcBorders>
              <w:top w:val="nil"/>
              <w:left w:val="nil"/>
              <w:bottom w:val="single" w:sz="4" w:space="0" w:color="auto"/>
              <w:right w:val="single" w:sz="4" w:space="0" w:color="auto"/>
            </w:tcBorders>
            <w:shd w:val="clear" w:color="auto" w:fill="auto"/>
            <w:noWrap/>
            <w:vAlign w:val="bottom"/>
            <w:hideMark/>
          </w:tcPr>
          <w:p w14:paraId="519B4AB6" w14:textId="77777777" w:rsidR="00993172" w:rsidRPr="008E63BB" w:rsidRDefault="00993172" w:rsidP="0065184D">
            <w:pPr>
              <w:jc w:val="right"/>
              <w:rPr>
                <w:rFonts w:eastAsia="Times New Roman"/>
                <w:sz w:val="20"/>
                <w:szCs w:val="20"/>
              </w:rPr>
            </w:pPr>
            <w:r w:rsidRPr="008E63BB">
              <w:rPr>
                <w:rFonts w:eastAsia="Times New Roman"/>
                <w:sz w:val="20"/>
                <w:szCs w:val="20"/>
              </w:rPr>
              <w:t>34.142,044</w:t>
            </w:r>
          </w:p>
        </w:tc>
        <w:tc>
          <w:tcPr>
            <w:tcW w:w="1116" w:type="dxa"/>
            <w:tcBorders>
              <w:top w:val="nil"/>
              <w:left w:val="nil"/>
              <w:bottom w:val="single" w:sz="4" w:space="0" w:color="auto"/>
              <w:right w:val="single" w:sz="4" w:space="0" w:color="auto"/>
            </w:tcBorders>
            <w:shd w:val="clear" w:color="auto" w:fill="auto"/>
            <w:noWrap/>
            <w:vAlign w:val="bottom"/>
            <w:hideMark/>
          </w:tcPr>
          <w:p w14:paraId="519B4AB7" w14:textId="77777777" w:rsidR="00993172" w:rsidRPr="008E63BB" w:rsidRDefault="00993172" w:rsidP="0065184D">
            <w:pPr>
              <w:jc w:val="right"/>
              <w:rPr>
                <w:rFonts w:eastAsia="Times New Roman"/>
                <w:sz w:val="20"/>
                <w:szCs w:val="20"/>
              </w:rPr>
            </w:pPr>
            <w:r w:rsidRPr="008E63BB">
              <w:rPr>
                <w:rFonts w:eastAsia="Times New Roman"/>
                <w:sz w:val="20"/>
                <w:szCs w:val="20"/>
              </w:rPr>
              <w:t>41.224,298</w:t>
            </w:r>
          </w:p>
        </w:tc>
        <w:tc>
          <w:tcPr>
            <w:tcW w:w="1116" w:type="dxa"/>
            <w:tcBorders>
              <w:top w:val="nil"/>
              <w:left w:val="nil"/>
              <w:bottom w:val="single" w:sz="4" w:space="0" w:color="auto"/>
              <w:right w:val="single" w:sz="4" w:space="0" w:color="auto"/>
            </w:tcBorders>
            <w:shd w:val="clear" w:color="auto" w:fill="auto"/>
            <w:noWrap/>
            <w:vAlign w:val="bottom"/>
            <w:hideMark/>
          </w:tcPr>
          <w:p w14:paraId="519B4AB8" w14:textId="77777777" w:rsidR="00993172" w:rsidRPr="008E63BB" w:rsidRDefault="00993172" w:rsidP="0065184D">
            <w:pPr>
              <w:jc w:val="right"/>
              <w:rPr>
                <w:rFonts w:eastAsia="Times New Roman"/>
                <w:sz w:val="20"/>
                <w:szCs w:val="20"/>
              </w:rPr>
            </w:pPr>
            <w:r w:rsidRPr="008E63BB">
              <w:rPr>
                <w:rFonts w:eastAsia="Times New Roman"/>
                <w:sz w:val="20"/>
                <w:szCs w:val="20"/>
              </w:rPr>
              <w:t>47.965,750</w:t>
            </w:r>
          </w:p>
        </w:tc>
        <w:tc>
          <w:tcPr>
            <w:tcW w:w="1216" w:type="dxa"/>
            <w:tcBorders>
              <w:top w:val="nil"/>
              <w:left w:val="nil"/>
              <w:bottom w:val="single" w:sz="4" w:space="0" w:color="auto"/>
              <w:right w:val="single" w:sz="4" w:space="0" w:color="auto"/>
            </w:tcBorders>
            <w:shd w:val="clear" w:color="auto" w:fill="auto"/>
            <w:noWrap/>
            <w:vAlign w:val="bottom"/>
            <w:hideMark/>
          </w:tcPr>
          <w:p w14:paraId="519B4AB9" w14:textId="77777777" w:rsidR="00993172" w:rsidRPr="008E63BB" w:rsidRDefault="00993172" w:rsidP="0065184D">
            <w:pPr>
              <w:jc w:val="right"/>
              <w:rPr>
                <w:rFonts w:eastAsia="Times New Roman"/>
                <w:sz w:val="20"/>
                <w:szCs w:val="20"/>
              </w:rPr>
            </w:pPr>
            <w:r w:rsidRPr="008E63BB">
              <w:rPr>
                <w:rFonts w:eastAsia="Times New Roman"/>
                <w:sz w:val="20"/>
                <w:szCs w:val="20"/>
              </w:rPr>
              <w:t>56.674,048</w:t>
            </w:r>
          </w:p>
        </w:tc>
        <w:tc>
          <w:tcPr>
            <w:tcW w:w="1216" w:type="dxa"/>
            <w:tcBorders>
              <w:top w:val="nil"/>
              <w:left w:val="nil"/>
              <w:bottom w:val="single" w:sz="4" w:space="0" w:color="auto"/>
              <w:right w:val="single" w:sz="4" w:space="0" w:color="auto"/>
            </w:tcBorders>
            <w:shd w:val="clear" w:color="auto" w:fill="auto"/>
            <w:noWrap/>
            <w:vAlign w:val="bottom"/>
            <w:hideMark/>
          </w:tcPr>
          <w:p w14:paraId="519B4ABA" w14:textId="77777777" w:rsidR="00993172" w:rsidRPr="008E63BB" w:rsidRDefault="00993172" w:rsidP="0065184D">
            <w:pPr>
              <w:jc w:val="right"/>
              <w:rPr>
                <w:rFonts w:eastAsia="Times New Roman"/>
                <w:sz w:val="20"/>
                <w:szCs w:val="20"/>
              </w:rPr>
            </w:pPr>
            <w:r w:rsidRPr="008E63BB">
              <w:rPr>
                <w:rFonts w:eastAsia="Times New Roman"/>
                <w:sz w:val="20"/>
                <w:szCs w:val="20"/>
              </w:rPr>
              <w:t>66.534,118</w:t>
            </w:r>
          </w:p>
        </w:tc>
        <w:tc>
          <w:tcPr>
            <w:tcW w:w="1216" w:type="dxa"/>
            <w:tcBorders>
              <w:top w:val="nil"/>
              <w:left w:val="nil"/>
              <w:bottom w:val="single" w:sz="4" w:space="0" w:color="auto"/>
              <w:right w:val="single" w:sz="4" w:space="0" w:color="auto"/>
            </w:tcBorders>
            <w:shd w:val="clear" w:color="auto" w:fill="auto"/>
            <w:noWrap/>
            <w:vAlign w:val="bottom"/>
            <w:hideMark/>
          </w:tcPr>
          <w:p w14:paraId="519B4ABB" w14:textId="77777777" w:rsidR="00993172" w:rsidRPr="008E63BB" w:rsidRDefault="00993172" w:rsidP="0065184D">
            <w:pPr>
              <w:jc w:val="right"/>
              <w:rPr>
                <w:rFonts w:eastAsia="Times New Roman"/>
                <w:sz w:val="20"/>
                <w:szCs w:val="20"/>
              </w:rPr>
            </w:pPr>
            <w:r w:rsidRPr="008E63BB">
              <w:rPr>
                <w:rFonts w:eastAsia="Times New Roman"/>
                <w:sz w:val="20"/>
                <w:szCs w:val="20"/>
              </w:rPr>
              <w:t>72.389,266</w:t>
            </w:r>
          </w:p>
        </w:tc>
        <w:tc>
          <w:tcPr>
            <w:tcW w:w="1216" w:type="dxa"/>
            <w:tcBorders>
              <w:top w:val="nil"/>
              <w:left w:val="nil"/>
              <w:bottom w:val="single" w:sz="4" w:space="0" w:color="auto"/>
              <w:right w:val="single" w:sz="4" w:space="0" w:color="auto"/>
            </w:tcBorders>
            <w:shd w:val="clear" w:color="auto" w:fill="auto"/>
            <w:noWrap/>
            <w:vAlign w:val="bottom"/>
            <w:hideMark/>
          </w:tcPr>
          <w:p w14:paraId="519B4ABC" w14:textId="77777777" w:rsidR="00993172" w:rsidRPr="008E63BB" w:rsidRDefault="00993172" w:rsidP="0065184D">
            <w:pPr>
              <w:jc w:val="right"/>
              <w:rPr>
                <w:rFonts w:eastAsia="Times New Roman"/>
                <w:sz w:val="20"/>
                <w:szCs w:val="20"/>
              </w:rPr>
            </w:pPr>
            <w:r w:rsidRPr="008E63BB">
              <w:rPr>
                <w:rFonts w:eastAsia="Times New Roman"/>
                <w:sz w:val="20"/>
                <w:szCs w:val="20"/>
              </w:rPr>
              <w:t>78.904,428</w:t>
            </w:r>
          </w:p>
        </w:tc>
        <w:tc>
          <w:tcPr>
            <w:tcW w:w="1216" w:type="dxa"/>
            <w:tcBorders>
              <w:top w:val="nil"/>
              <w:left w:val="nil"/>
              <w:bottom w:val="single" w:sz="4" w:space="0" w:color="auto"/>
              <w:right w:val="single" w:sz="4" w:space="0" w:color="auto"/>
            </w:tcBorders>
            <w:shd w:val="clear" w:color="auto" w:fill="auto"/>
            <w:noWrap/>
            <w:vAlign w:val="bottom"/>
            <w:hideMark/>
          </w:tcPr>
          <w:p w14:paraId="519B4ABD" w14:textId="77777777" w:rsidR="00993172" w:rsidRPr="008E63BB" w:rsidRDefault="00993172" w:rsidP="0065184D">
            <w:pPr>
              <w:jc w:val="right"/>
              <w:rPr>
                <w:rFonts w:eastAsia="Times New Roman"/>
                <w:sz w:val="20"/>
                <w:szCs w:val="20"/>
              </w:rPr>
            </w:pPr>
            <w:r w:rsidRPr="008E63BB">
              <w:rPr>
                <w:rFonts w:eastAsia="Times New Roman"/>
                <w:sz w:val="20"/>
                <w:szCs w:val="20"/>
              </w:rPr>
              <w:t>89.139,438</w:t>
            </w:r>
          </w:p>
        </w:tc>
        <w:tc>
          <w:tcPr>
            <w:tcW w:w="1216" w:type="dxa"/>
            <w:tcBorders>
              <w:top w:val="nil"/>
              <w:left w:val="nil"/>
              <w:bottom w:val="single" w:sz="4" w:space="0" w:color="auto"/>
              <w:right w:val="single" w:sz="4" w:space="0" w:color="auto"/>
            </w:tcBorders>
            <w:shd w:val="clear" w:color="auto" w:fill="auto"/>
            <w:noWrap/>
            <w:vAlign w:val="bottom"/>
            <w:hideMark/>
          </w:tcPr>
          <w:p w14:paraId="519B4ABE" w14:textId="77777777" w:rsidR="00993172" w:rsidRPr="008E63BB" w:rsidRDefault="00993172" w:rsidP="0065184D">
            <w:pPr>
              <w:jc w:val="right"/>
              <w:rPr>
                <w:rFonts w:eastAsia="Times New Roman"/>
                <w:sz w:val="20"/>
                <w:szCs w:val="20"/>
              </w:rPr>
            </w:pPr>
            <w:r w:rsidRPr="008E63BB">
              <w:rPr>
                <w:rFonts w:eastAsia="Times New Roman"/>
                <w:sz w:val="20"/>
                <w:szCs w:val="20"/>
              </w:rPr>
              <w:t>103.425,577</w:t>
            </w:r>
          </w:p>
        </w:tc>
      </w:tr>
      <w:tr w:rsidR="008D5BFE" w:rsidRPr="008E63BB" w14:paraId="519B4ACC"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AC0"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AC1"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AC2" w14:textId="77777777" w:rsidR="00993172" w:rsidRPr="008E63BB" w:rsidRDefault="00993172" w:rsidP="0065184D">
            <w:pPr>
              <w:jc w:val="left"/>
              <w:rPr>
                <w:rFonts w:eastAsia="Times New Roman"/>
                <w:sz w:val="20"/>
                <w:szCs w:val="20"/>
              </w:rPr>
            </w:pPr>
            <w:r w:rsidRPr="008E63BB">
              <w:rPr>
                <w:rFonts w:eastAsia="Times New Roman"/>
                <w:sz w:val="20"/>
                <w:szCs w:val="20"/>
              </w:rPr>
              <w:t>Dịch vụ, thương mại</w:t>
            </w:r>
          </w:p>
        </w:tc>
        <w:tc>
          <w:tcPr>
            <w:tcW w:w="1116" w:type="dxa"/>
            <w:tcBorders>
              <w:top w:val="nil"/>
              <w:left w:val="nil"/>
              <w:bottom w:val="single" w:sz="4" w:space="0" w:color="auto"/>
              <w:right w:val="single" w:sz="4" w:space="0" w:color="auto"/>
            </w:tcBorders>
            <w:shd w:val="clear" w:color="auto" w:fill="auto"/>
            <w:noWrap/>
            <w:vAlign w:val="bottom"/>
            <w:hideMark/>
          </w:tcPr>
          <w:p w14:paraId="519B4AC3" w14:textId="77777777" w:rsidR="00993172" w:rsidRPr="008E63BB" w:rsidRDefault="00993172" w:rsidP="0065184D">
            <w:pPr>
              <w:jc w:val="right"/>
              <w:rPr>
                <w:rFonts w:eastAsia="Times New Roman"/>
                <w:sz w:val="20"/>
                <w:szCs w:val="20"/>
              </w:rPr>
            </w:pPr>
            <w:r w:rsidRPr="008E63BB">
              <w:rPr>
                <w:rFonts w:eastAsia="Times New Roman"/>
                <w:sz w:val="20"/>
                <w:szCs w:val="20"/>
              </w:rPr>
              <w:t>16.034,479</w:t>
            </w:r>
          </w:p>
        </w:tc>
        <w:tc>
          <w:tcPr>
            <w:tcW w:w="1116" w:type="dxa"/>
            <w:tcBorders>
              <w:top w:val="nil"/>
              <w:left w:val="nil"/>
              <w:bottom w:val="single" w:sz="4" w:space="0" w:color="auto"/>
              <w:right w:val="single" w:sz="4" w:space="0" w:color="auto"/>
            </w:tcBorders>
            <w:shd w:val="clear" w:color="auto" w:fill="auto"/>
            <w:noWrap/>
            <w:vAlign w:val="bottom"/>
            <w:hideMark/>
          </w:tcPr>
          <w:p w14:paraId="519B4AC4" w14:textId="77777777" w:rsidR="00993172" w:rsidRPr="008E63BB" w:rsidRDefault="00993172" w:rsidP="0065184D">
            <w:pPr>
              <w:jc w:val="right"/>
              <w:rPr>
                <w:rFonts w:eastAsia="Times New Roman"/>
                <w:sz w:val="20"/>
                <w:szCs w:val="20"/>
              </w:rPr>
            </w:pPr>
            <w:r w:rsidRPr="008E63BB">
              <w:rPr>
                <w:rFonts w:eastAsia="Times New Roman"/>
                <w:sz w:val="20"/>
                <w:szCs w:val="20"/>
              </w:rPr>
              <w:t>19.501,265</w:t>
            </w:r>
          </w:p>
        </w:tc>
        <w:tc>
          <w:tcPr>
            <w:tcW w:w="1116" w:type="dxa"/>
            <w:tcBorders>
              <w:top w:val="nil"/>
              <w:left w:val="nil"/>
              <w:bottom w:val="single" w:sz="4" w:space="0" w:color="auto"/>
              <w:right w:val="single" w:sz="4" w:space="0" w:color="auto"/>
            </w:tcBorders>
            <w:shd w:val="clear" w:color="auto" w:fill="auto"/>
            <w:noWrap/>
            <w:vAlign w:val="bottom"/>
            <w:hideMark/>
          </w:tcPr>
          <w:p w14:paraId="519B4AC5" w14:textId="77777777" w:rsidR="00993172" w:rsidRPr="008E63BB" w:rsidRDefault="00993172" w:rsidP="0065184D">
            <w:pPr>
              <w:jc w:val="right"/>
              <w:rPr>
                <w:rFonts w:eastAsia="Times New Roman"/>
                <w:sz w:val="20"/>
                <w:szCs w:val="20"/>
              </w:rPr>
            </w:pPr>
            <w:r w:rsidRPr="008E63BB">
              <w:rPr>
                <w:rFonts w:eastAsia="Times New Roman"/>
                <w:sz w:val="20"/>
                <w:szCs w:val="20"/>
              </w:rPr>
              <w:t>22.387,140</w:t>
            </w:r>
          </w:p>
        </w:tc>
        <w:tc>
          <w:tcPr>
            <w:tcW w:w="1216" w:type="dxa"/>
            <w:tcBorders>
              <w:top w:val="nil"/>
              <w:left w:val="nil"/>
              <w:bottom w:val="single" w:sz="4" w:space="0" w:color="auto"/>
              <w:right w:val="single" w:sz="4" w:space="0" w:color="auto"/>
            </w:tcBorders>
            <w:shd w:val="clear" w:color="auto" w:fill="auto"/>
            <w:noWrap/>
            <w:vAlign w:val="bottom"/>
            <w:hideMark/>
          </w:tcPr>
          <w:p w14:paraId="519B4AC6" w14:textId="77777777" w:rsidR="00993172" w:rsidRPr="008E63BB" w:rsidRDefault="00993172" w:rsidP="0065184D">
            <w:pPr>
              <w:jc w:val="right"/>
              <w:rPr>
                <w:rFonts w:eastAsia="Times New Roman"/>
                <w:sz w:val="20"/>
                <w:szCs w:val="20"/>
              </w:rPr>
            </w:pPr>
            <w:r w:rsidRPr="008E63BB">
              <w:rPr>
                <w:rFonts w:eastAsia="Times New Roman"/>
                <w:sz w:val="20"/>
                <w:szCs w:val="20"/>
              </w:rPr>
              <w:t>23.186,074</w:t>
            </w:r>
          </w:p>
        </w:tc>
        <w:tc>
          <w:tcPr>
            <w:tcW w:w="1216" w:type="dxa"/>
            <w:tcBorders>
              <w:top w:val="nil"/>
              <w:left w:val="nil"/>
              <w:bottom w:val="single" w:sz="4" w:space="0" w:color="auto"/>
              <w:right w:val="single" w:sz="4" w:space="0" w:color="auto"/>
            </w:tcBorders>
            <w:shd w:val="clear" w:color="auto" w:fill="auto"/>
            <w:noWrap/>
            <w:vAlign w:val="bottom"/>
            <w:hideMark/>
          </w:tcPr>
          <w:p w14:paraId="519B4AC7" w14:textId="77777777" w:rsidR="00993172" w:rsidRPr="008E63BB" w:rsidRDefault="00993172" w:rsidP="0065184D">
            <w:pPr>
              <w:jc w:val="right"/>
              <w:rPr>
                <w:rFonts w:eastAsia="Times New Roman"/>
                <w:sz w:val="20"/>
                <w:szCs w:val="20"/>
              </w:rPr>
            </w:pPr>
            <w:r w:rsidRPr="008E63BB">
              <w:rPr>
                <w:rFonts w:eastAsia="Times New Roman"/>
                <w:sz w:val="20"/>
                <w:szCs w:val="20"/>
              </w:rPr>
              <w:t>25.798,505</w:t>
            </w:r>
          </w:p>
        </w:tc>
        <w:tc>
          <w:tcPr>
            <w:tcW w:w="1216" w:type="dxa"/>
            <w:tcBorders>
              <w:top w:val="nil"/>
              <w:left w:val="nil"/>
              <w:bottom w:val="single" w:sz="4" w:space="0" w:color="auto"/>
              <w:right w:val="single" w:sz="4" w:space="0" w:color="auto"/>
            </w:tcBorders>
            <w:shd w:val="clear" w:color="auto" w:fill="auto"/>
            <w:noWrap/>
            <w:vAlign w:val="bottom"/>
            <w:hideMark/>
          </w:tcPr>
          <w:p w14:paraId="519B4AC8" w14:textId="77777777" w:rsidR="00993172" w:rsidRPr="008E63BB" w:rsidRDefault="00993172" w:rsidP="0065184D">
            <w:pPr>
              <w:jc w:val="right"/>
              <w:rPr>
                <w:rFonts w:eastAsia="Times New Roman"/>
                <w:sz w:val="20"/>
                <w:szCs w:val="20"/>
              </w:rPr>
            </w:pPr>
            <w:r w:rsidRPr="008E63BB">
              <w:rPr>
                <w:rFonts w:eastAsia="Times New Roman"/>
                <w:sz w:val="20"/>
                <w:szCs w:val="20"/>
              </w:rPr>
              <w:t>37.689,494</w:t>
            </w:r>
          </w:p>
        </w:tc>
        <w:tc>
          <w:tcPr>
            <w:tcW w:w="1216" w:type="dxa"/>
            <w:tcBorders>
              <w:top w:val="nil"/>
              <w:left w:val="nil"/>
              <w:bottom w:val="single" w:sz="4" w:space="0" w:color="auto"/>
              <w:right w:val="single" w:sz="4" w:space="0" w:color="auto"/>
            </w:tcBorders>
            <w:shd w:val="clear" w:color="auto" w:fill="auto"/>
            <w:noWrap/>
            <w:vAlign w:val="bottom"/>
            <w:hideMark/>
          </w:tcPr>
          <w:p w14:paraId="519B4AC9" w14:textId="77777777" w:rsidR="00993172" w:rsidRPr="008E63BB" w:rsidRDefault="00993172" w:rsidP="0065184D">
            <w:pPr>
              <w:jc w:val="right"/>
              <w:rPr>
                <w:rFonts w:eastAsia="Times New Roman"/>
                <w:sz w:val="20"/>
                <w:szCs w:val="20"/>
              </w:rPr>
            </w:pPr>
            <w:r w:rsidRPr="008E63BB">
              <w:rPr>
                <w:rFonts w:eastAsia="Times New Roman"/>
                <w:sz w:val="20"/>
                <w:szCs w:val="20"/>
              </w:rPr>
              <w:t>30.498,824</w:t>
            </w:r>
          </w:p>
        </w:tc>
        <w:tc>
          <w:tcPr>
            <w:tcW w:w="1216" w:type="dxa"/>
            <w:tcBorders>
              <w:top w:val="nil"/>
              <w:left w:val="nil"/>
              <w:bottom w:val="single" w:sz="4" w:space="0" w:color="auto"/>
              <w:right w:val="single" w:sz="4" w:space="0" w:color="auto"/>
            </w:tcBorders>
            <w:shd w:val="clear" w:color="auto" w:fill="auto"/>
            <w:noWrap/>
            <w:vAlign w:val="bottom"/>
            <w:hideMark/>
          </w:tcPr>
          <w:p w14:paraId="519B4ACA" w14:textId="77777777" w:rsidR="00993172" w:rsidRPr="008E63BB" w:rsidRDefault="00993172" w:rsidP="0065184D">
            <w:pPr>
              <w:jc w:val="right"/>
              <w:rPr>
                <w:rFonts w:eastAsia="Times New Roman"/>
                <w:sz w:val="20"/>
                <w:szCs w:val="20"/>
              </w:rPr>
            </w:pPr>
            <w:r w:rsidRPr="008E63BB">
              <w:rPr>
                <w:rFonts w:eastAsia="Times New Roman"/>
                <w:sz w:val="20"/>
                <w:szCs w:val="20"/>
              </w:rPr>
              <w:t>33.148,688</w:t>
            </w:r>
          </w:p>
        </w:tc>
        <w:tc>
          <w:tcPr>
            <w:tcW w:w="1216" w:type="dxa"/>
            <w:tcBorders>
              <w:top w:val="nil"/>
              <w:left w:val="nil"/>
              <w:bottom w:val="single" w:sz="4" w:space="0" w:color="auto"/>
              <w:right w:val="single" w:sz="4" w:space="0" w:color="auto"/>
            </w:tcBorders>
            <w:shd w:val="clear" w:color="auto" w:fill="auto"/>
            <w:noWrap/>
            <w:vAlign w:val="bottom"/>
            <w:hideMark/>
          </w:tcPr>
          <w:p w14:paraId="519B4ACB" w14:textId="77777777" w:rsidR="00993172" w:rsidRPr="008E63BB" w:rsidRDefault="00993172" w:rsidP="0065184D">
            <w:pPr>
              <w:jc w:val="right"/>
              <w:rPr>
                <w:rFonts w:eastAsia="Times New Roman"/>
                <w:sz w:val="20"/>
                <w:szCs w:val="20"/>
              </w:rPr>
            </w:pPr>
            <w:r w:rsidRPr="008E63BB">
              <w:rPr>
                <w:rFonts w:eastAsia="Times New Roman"/>
                <w:sz w:val="20"/>
                <w:szCs w:val="20"/>
              </w:rPr>
              <w:t>35.023,902</w:t>
            </w:r>
          </w:p>
        </w:tc>
      </w:tr>
      <w:tr w:rsidR="008D5BFE" w:rsidRPr="008E63BB" w14:paraId="519B4AD9" w14:textId="77777777" w:rsidTr="004710C7">
        <w:trPr>
          <w:trHeight w:val="255"/>
        </w:trPr>
        <w:tc>
          <w:tcPr>
            <w:tcW w:w="616"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4ACD" w14:textId="77777777" w:rsidR="00993172" w:rsidRPr="008E63BB" w:rsidRDefault="00993172" w:rsidP="0065184D">
            <w:pPr>
              <w:jc w:val="center"/>
              <w:rPr>
                <w:rFonts w:eastAsia="Times New Roman"/>
                <w:sz w:val="20"/>
                <w:szCs w:val="20"/>
              </w:rPr>
            </w:pPr>
            <w:r w:rsidRPr="008E63BB">
              <w:rPr>
                <w:rFonts w:eastAsia="Times New Roman"/>
                <w:sz w:val="20"/>
                <w:szCs w:val="20"/>
              </w:rPr>
              <w:t>TP. Nam Định</w:t>
            </w:r>
          </w:p>
        </w:tc>
        <w:tc>
          <w:tcPr>
            <w:tcW w:w="316" w:type="dxa"/>
            <w:tcBorders>
              <w:top w:val="nil"/>
              <w:left w:val="nil"/>
              <w:bottom w:val="single" w:sz="4" w:space="0" w:color="auto"/>
              <w:right w:val="single" w:sz="4" w:space="0" w:color="auto"/>
            </w:tcBorders>
            <w:shd w:val="clear" w:color="auto" w:fill="auto"/>
            <w:noWrap/>
            <w:vAlign w:val="bottom"/>
            <w:hideMark/>
          </w:tcPr>
          <w:p w14:paraId="519B4ACE" w14:textId="77777777" w:rsidR="00993172" w:rsidRPr="008E63BB" w:rsidRDefault="00993172" w:rsidP="0065184D">
            <w:pPr>
              <w:jc w:val="center"/>
              <w:rPr>
                <w:rFonts w:eastAsia="Times New Roman"/>
                <w:b/>
                <w:bCs/>
                <w:sz w:val="20"/>
                <w:szCs w:val="20"/>
              </w:rPr>
            </w:pPr>
            <w:r w:rsidRPr="008E63BB">
              <w:rPr>
                <w:rFonts w:eastAsia="Times New Roman"/>
                <w:b/>
                <w:bCs/>
                <w:sz w:val="20"/>
                <w:szCs w:val="20"/>
              </w:rPr>
              <w:t>2</w:t>
            </w:r>
          </w:p>
        </w:tc>
        <w:tc>
          <w:tcPr>
            <w:tcW w:w="2730" w:type="dxa"/>
            <w:tcBorders>
              <w:top w:val="nil"/>
              <w:left w:val="nil"/>
              <w:bottom w:val="single" w:sz="4" w:space="0" w:color="auto"/>
              <w:right w:val="single" w:sz="4" w:space="0" w:color="auto"/>
            </w:tcBorders>
            <w:shd w:val="clear" w:color="auto" w:fill="auto"/>
            <w:noWrap/>
            <w:vAlign w:val="bottom"/>
            <w:hideMark/>
          </w:tcPr>
          <w:p w14:paraId="519B4ACF" w14:textId="77777777" w:rsidR="00993172" w:rsidRPr="008E63BB" w:rsidRDefault="00993172" w:rsidP="0065184D">
            <w:pPr>
              <w:jc w:val="left"/>
              <w:rPr>
                <w:rFonts w:eastAsia="Times New Roman"/>
                <w:b/>
                <w:bCs/>
                <w:sz w:val="20"/>
                <w:szCs w:val="20"/>
              </w:rPr>
            </w:pPr>
            <w:r w:rsidRPr="008E63BB">
              <w:rPr>
                <w:rFonts w:eastAsia="Times New Roman"/>
                <w:b/>
                <w:bCs/>
                <w:sz w:val="20"/>
                <w:szCs w:val="20"/>
              </w:rPr>
              <w:t>Tổng giá trị sản xuất (tỷ)</w:t>
            </w:r>
          </w:p>
        </w:tc>
        <w:tc>
          <w:tcPr>
            <w:tcW w:w="1116" w:type="dxa"/>
            <w:tcBorders>
              <w:top w:val="nil"/>
              <w:left w:val="nil"/>
              <w:bottom w:val="single" w:sz="4" w:space="0" w:color="auto"/>
              <w:right w:val="single" w:sz="4" w:space="0" w:color="auto"/>
            </w:tcBorders>
            <w:shd w:val="clear" w:color="auto" w:fill="auto"/>
            <w:noWrap/>
            <w:vAlign w:val="bottom"/>
            <w:hideMark/>
          </w:tcPr>
          <w:p w14:paraId="519B4AD0"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22.337,838</w:t>
            </w:r>
          </w:p>
        </w:tc>
        <w:tc>
          <w:tcPr>
            <w:tcW w:w="1116" w:type="dxa"/>
            <w:tcBorders>
              <w:top w:val="nil"/>
              <w:left w:val="nil"/>
              <w:bottom w:val="single" w:sz="4" w:space="0" w:color="auto"/>
              <w:right w:val="single" w:sz="4" w:space="0" w:color="auto"/>
            </w:tcBorders>
            <w:shd w:val="clear" w:color="auto" w:fill="auto"/>
            <w:noWrap/>
            <w:vAlign w:val="bottom"/>
            <w:hideMark/>
          </w:tcPr>
          <w:p w14:paraId="519B4AD1"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27.393,770</w:t>
            </w:r>
          </w:p>
        </w:tc>
        <w:tc>
          <w:tcPr>
            <w:tcW w:w="1116" w:type="dxa"/>
            <w:tcBorders>
              <w:top w:val="nil"/>
              <w:left w:val="nil"/>
              <w:bottom w:val="single" w:sz="4" w:space="0" w:color="auto"/>
              <w:right w:val="single" w:sz="4" w:space="0" w:color="auto"/>
            </w:tcBorders>
            <w:shd w:val="clear" w:color="auto" w:fill="auto"/>
            <w:noWrap/>
            <w:vAlign w:val="bottom"/>
            <w:hideMark/>
          </w:tcPr>
          <w:p w14:paraId="519B4AD2"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30.595,796</w:t>
            </w:r>
          </w:p>
        </w:tc>
        <w:tc>
          <w:tcPr>
            <w:tcW w:w="1216" w:type="dxa"/>
            <w:tcBorders>
              <w:top w:val="nil"/>
              <w:left w:val="nil"/>
              <w:bottom w:val="single" w:sz="4" w:space="0" w:color="auto"/>
              <w:right w:val="single" w:sz="4" w:space="0" w:color="auto"/>
            </w:tcBorders>
            <w:shd w:val="clear" w:color="auto" w:fill="auto"/>
            <w:noWrap/>
            <w:vAlign w:val="bottom"/>
            <w:hideMark/>
          </w:tcPr>
          <w:p w14:paraId="519B4AD3"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33.614,446</w:t>
            </w:r>
          </w:p>
        </w:tc>
        <w:tc>
          <w:tcPr>
            <w:tcW w:w="1216" w:type="dxa"/>
            <w:tcBorders>
              <w:top w:val="nil"/>
              <w:left w:val="nil"/>
              <w:bottom w:val="single" w:sz="4" w:space="0" w:color="auto"/>
              <w:right w:val="single" w:sz="4" w:space="0" w:color="auto"/>
            </w:tcBorders>
            <w:shd w:val="clear" w:color="auto" w:fill="auto"/>
            <w:noWrap/>
            <w:vAlign w:val="bottom"/>
            <w:hideMark/>
          </w:tcPr>
          <w:p w14:paraId="519B4AD4"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38.564,933</w:t>
            </w:r>
          </w:p>
        </w:tc>
        <w:tc>
          <w:tcPr>
            <w:tcW w:w="1216" w:type="dxa"/>
            <w:tcBorders>
              <w:top w:val="nil"/>
              <w:left w:val="nil"/>
              <w:bottom w:val="single" w:sz="4" w:space="0" w:color="auto"/>
              <w:right w:val="single" w:sz="4" w:space="0" w:color="auto"/>
            </w:tcBorders>
            <w:shd w:val="clear" w:color="auto" w:fill="auto"/>
            <w:noWrap/>
            <w:vAlign w:val="bottom"/>
            <w:hideMark/>
          </w:tcPr>
          <w:p w14:paraId="519B4AD5"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40.174,280</w:t>
            </w:r>
          </w:p>
        </w:tc>
        <w:tc>
          <w:tcPr>
            <w:tcW w:w="1216" w:type="dxa"/>
            <w:tcBorders>
              <w:top w:val="nil"/>
              <w:left w:val="nil"/>
              <w:bottom w:val="single" w:sz="4" w:space="0" w:color="auto"/>
              <w:right w:val="single" w:sz="4" w:space="0" w:color="auto"/>
            </w:tcBorders>
            <w:shd w:val="clear" w:color="auto" w:fill="auto"/>
            <w:noWrap/>
            <w:vAlign w:val="bottom"/>
            <w:hideMark/>
          </w:tcPr>
          <w:p w14:paraId="519B4AD6"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43.061,849</w:t>
            </w:r>
          </w:p>
        </w:tc>
        <w:tc>
          <w:tcPr>
            <w:tcW w:w="1216" w:type="dxa"/>
            <w:tcBorders>
              <w:top w:val="nil"/>
              <w:left w:val="nil"/>
              <w:bottom w:val="single" w:sz="4" w:space="0" w:color="auto"/>
              <w:right w:val="single" w:sz="4" w:space="0" w:color="auto"/>
            </w:tcBorders>
            <w:shd w:val="clear" w:color="auto" w:fill="auto"/>
            <w:noWrap/>
            <w:vAlign w:val="bottom"/>
            <w:hideMark/>
          </w:tcPr>
          <w:p w14:paraId="519B4AD7"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47.980,687</w:t>
            </w:r>
          </w:p>
        </w:tc>
        <w:tc>
          <w:tcPr>
            <w:tcW w:w="1216" w:type="dxa"/>
            <w:tcBorders>
              <w:top w:val="nil"/>
              <w:left w:val="nil"/>
              <w:bottom w:val="single" w:sz="4" w:space="0" w:color="auto"/>
              <w:right w:val="single" w:sz="4" w:space="0" w:color="auto"/>
            </w:tcBorders>
            <w:shd w:val="clear" w:color="auto" w:fill="auto"/>
            <w:noWrap/>
            <w:vAlign w:val="bottom"/>
            <w:hideMark/>
          </w:tcPr>
          <w:p w14:paraId="519B4AD8"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54.499,447</w:t>
            </w:r>
          </w:p>
        </w:tc>
      </w:tr>
      <w:tr w:rsidR="008D5BFE" w:rsidRPr="008E63BB" w14:paraId="519B4AE6"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ADA"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ADB"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ADC" w14:textId="77777777" w:rsidR="00993172" w:rsidRPr="008E63BB" w:rsidRDefault="00993172" w:rsidP="0065184D">
            <w:pPr>
              <w:jc w:val="left"/>
              <w:rPr>
                <w:rFonts w:eastAsia="Times New Roman"/>
                <w:sz w:val="20"/>
                <w:szCs w:val="20"/>
              </w:rPr>
            </w:pPr>
            <w:r w:rsidRPr="008E63BB">
              <w:rPr>
                <w:rFonts w:eastAsia="Times New Roman"/>
                <w:sz w:val="20"/>
                <w:szCs w:val="20"/>
              </w:rPr>
              <w:t>Nông, lâm nghiệp và thủy sản</w:t>
            </w:r>
          </w:p>
        </w:tc>
        <w:tc>
          <w:tcPr>
            <w:tcW w:w="1116" w:type="dxa"/>
            <w:tcBorders>
              <w:top w:val="nil"/>
              <w:left w:val="nil"/>
              <w:bottom w:val="single" w:sz="4" w:space="0" w:color="auto"/>
              <w:right w:val="single" w:sz="4" w:space="0" w:color="auto"/>
            </w:tcBorders>
            <w:shd w:val="clear" w:color="auto" w:fill="auto"/>
            <w:noWrap/>
            <w:vAlign w:val="bottom"/>
            <w:hideMark/>
          </w:tcPr>
          <w:p w14:paraId="519B4ADD" w14:textId="77777777" w:rsidR="00993172" w:rsidRPr="008E63BB" w:rsidRDefault="00993172" w:rsidP="0065184D">
            <w:pPr>
              <w:jc w:val="right"/>
              <w:rPr>
                <w:rFonts w:eastAsia="Times New Roman"/>
                <w:sz w:val="20"/>
                <w:szCs w:val="20"/>
              </w:rPr>
            </w:pPr>
            <w:r w:rsidRPr="008E63BB">
              <w:rPr>
                <w:rFonts w:eastAsia="Times New Roman"/>
                <w:sz w:val="20"/>
                <w:szCs w:val="20"/>
              </w:rPr>
              <w:t>248,479</w:t>
            </w:r>
          </w:p>
        </w:tc>
        <w:tc>
          <w:tcPr>
            <w:tcW w:w="1116" w:type="dxa"/>
            <w:tcBorders>
              <w:top w:val="nil"/>
              <w:left w:val="nil"/>
              <w:bottom w:val="single" w:sz="4" w:space="0" w:color="auto"/>
              <w:right w:val="single" w:sz="4" w:space="0" w:color="auto"/>
            </w:tcBorders>
            <w:shd w:val="clear" w:color="auto" w:fill="auto"/>
            <w:noWrap/>
            <w:vAlign w:val="bottom"/>
            <w:hideMark/>
          </w:tcPr>
          <w:p w14:paraId="519B4ADE" w14:textId="77777777" w:rsidR="00993172" w:rsidRPr="008E63BB" w:rsidRDefault="00993172" w:rsidP="0065184D">
            <w:pPr>
              <w:jc w:val="right"/>
              <w:rPr>
                <w:rFonts w:eastAsia="Times New Roman"/>
                <w:sz w:val="20"/>
                <w:szCs w:val="20"/>
              </w:rPr>
            </w:pPr>
            <w:r w:rsidRPr="008E63BB">
              <w:rPr>
                <w:rFonts w:eastAsia="Times New Roman"/>
                <w:sz w:val="20"/>
                <w:szCs w:val="20"/>
              </w:rPr>
              <w:t>327,764</w:t>
            </w:r>
          </w:p>
        </w:tc>
        <w:tc>
          <w:tcPr>
            <w:tcW w:w="1116" w:type="dxa"/>
            <w:tcBorders>
              <w:top w:val="nil"/>
              <w:left w:val="nil"/>
              <w:bottom w:val="single" w:sz="4" w:space="0" w:color="auto"/>
              <w:right w:val="single" w:sz="4" w:space="0" w:color="auto"/>
            </w:tcBorders>
            <w:shd w:val="clear" w:color="auto" w:fill="auto"/>
            <w:noWrap/>
            <w:vAlign w:val="bottom"/>
            <w:hideMark/>
          </w:tcPr>
          <w:p w14:paraId="519B4ADF" w14:textId="77777777" w:rsidR="00993172" w:rsidRPr="008E63BB" w:rsidRDefault="00993172" w:rsidP="0065184D">
            <w:pPr>
              <w:jc w:val="right"/>
              <w:rPr>
                <w:rFonts w:eastAsia="Times New Roman"/>
                <w:sz w:val="20"/>
                <w:szCs w:val="20"/>
              </w:rPr>
            </w:pPr>
            <w:r w:rsidRPr="008E63BB">
              <w:rPr>
                <w:rFonts w:eastAsia="Times New Roman"/>
                <w:sz w:val="20"/>
                <w:szCs w:val="20"/>
              </w:rPr>
              <w:t>321,353</w:t>
            </w:r>
          </w:p>
        </w:tc>
        <w:tc>
          <w:tcPr>
            <w:tcW w:w="1216" w:type="dxa"/>
            <w:tcBorders>
              <w:top w:val="nil"/>
              <w:left w:val="nil"/>
              <w:bottom w:val="single" w:sz="4" w:space="0" w:color="auto"/>
              <w:right w:val="single" w:sz="4" w:space="0" w:color="auto"/>
            </w:tcBorders>
            <w:shd w:val="clear" w:color="auto" w:fill="auto"/>
            <w:noWrap/>
            <w:vAlign w:val="bottom"/>
            <w:hideMark/>
          </w:tcPr>
          <w:p w14:paraId="519B4AE0" w14:textId="77777777" w:rsidR="00993172" w:rsidRPr="008E63BB" w:rsidRDefault="00993172" w:rsidP="0065184D">
            <w:pPr>
              <w:jc w:val="right"/>
              <w:rPr>
                <w:rFonts w:eastAsia="Times New Roman"/>
                <w:sz w:val="20"/>
                <w:szCs w:val="20"/>
              </w:rPr>
            </w:pPr>
            <w:r w:rsidRPr="008E63BB">
              <w:rPr>
                <w:rFonts w:eastAsia="Times New Roman"/>
                <w:sz w:val="20"/>
                <w:szCs w:val="20"/>
              </w:rPr>
              <w:t>320,264</w:t>
            </w:r>
          </w:p>
        </w:tc>
        <w:tc>
          <w:tcPr>
            <w:tcW w:w="1216" w:type="dxa"/>
            <w:tcBorders>
              <w:top w:val="nil"/>
              <w:left w:val="nil"/>
              <w:bottom w:val="single" w:sz="4" w:space="0" w:color="auto"/>
              <w:right w:val="single" w:sz="4" w:space="0" w:color="auto"/>
            </w:tcBorders>
            <w:shd w:val="clear" w:color="auto" w:fill="auto"/>
            <w:noWrap/>
            <w:vAlign w:val="bottom"/>
            <w:hideMark/>
          </w:tcPr>
          <w:p w14:paraId="519B4AE1" w14:textId="77777777" w:rsidR="00993172" w:rsidRPr="008E63BB" w:rsidRDefault="00993172" w:rsidP="0065184D">
            <w:pPr>
              <w:jc w:val="right"/>
              <w:rPr>
                <w:rFonts w:eastAsia="Times New Roman"/>
                <w:sz w:val="20"/>
                <w:szCs w:val="20"/>
              </w:rPr>
            </w:pPr>
            <w:r w:rsidRPr="008E63BB">
              <w:rPr>
                <w:rFonts w:eastAsia="Times New Roman"/>
                <w:sz w:val="20"/>
                <w:szCs w:val="20"/>
              </w:rPr>
              <w:t>334,002</w:t>
            </w:r>
          </w:p>
        </w:tc>
        <w:tc>
          <w:tcPr>
            <w:tcW w:w="1216" w:type="dxa"/>
            <w:tcBorders>
              <w:top w:val="nil"/>
              <w:left w:val="nil"/>
              <w:bottom w:val="single" w:sz="4" w:space="0" w:color="auto"/>
              <w:right w:val="single" w:sz="4" w:space="0" w:color="auto"/>
            </w:tcBorders>
            <w:shd w:val="clear" w:color="auto" w:fill="auto"/>
            <w:noWrap/>
            <w:vAlign w:val="bottom"/>
            <w:hideMark/>
          </w:tcPr>
          <w:p w14:paraId="519B4AE2" w14:textId="77777777" w:rsidR="00993172" w:rsidRPr="008E63BB" w:rsidRDefault="00993172" w:rsidP="0065184D">
            <w:pPr>
              <w:jc w:val="right"/>
              <w:rPr>
                <w:rFonts w:eastAsia="Times New Roman"/>
                <w:sz w:val="20"/>
                <w:szCs w:val="20"/>
              </w:rPr>
            </w:pPr>
            <w:r w:rsidRPr="008E63BB">
              <w:rPr>
                <w:rFonts w:eastAsia="Times New Roman"/>
                <w:sz w:val="20"/>
                <w:szCs w:val="20"/>
              </w:rPr>
              <w:t>342,375</w:t>
            </w:r>
          </w:p>
        </w:tc>
        <w:tc>
          <w:tcPr>
            <w:tcW w:w="1216" w:type="dxa"/>
            <w:tcBorders>
              <w:top w:val="nil"/>
              <w:left w:val="nil"/>
              <w:bottom w:val="single" w:sz="4" w:space="0" w:color="auto"/>
              <w:right w:val="single" w:sz="4" w:space="0" w:color="auto"/>
            </w:tcBorders>
            <w:shd w:val="clear" w:color="auto" w:fill="auto"/>
            <w:noWrap/>
            <w:vAlign w:val="bottom"/>
            <w:hideMark/>
          </w:tcPr>
          <w:p w14:paraId="519B4AE3" w14:textId="77777777" w:rsidR="00993172" w:rsidRPr="008E63BB" w:rsidRDefault="00993172" w:rsidP="0065184D">
            <w:pPr>
              <w:jc w:val="right"/>
              <w:rPr>
                <w:rFonts w:eastAsia="Times New Roman"/>
                <w:sz w:val="20"/>
                <w:szCs w:val="20"/>
              </w:rPr>
            </w:pPr>
            <w:r w:rsidRPr="008E63BB">
              <w:rPr>
                <w:rFonts w:eastAsia="Times New Roman"/>
                <w:sz w:val="20"/>
                <w:szCs w:val="20"/>
              </w:rPr>
              <w:t>333,632</w:t>
            </w:r>
          </w:p>
        </w:tc>
        <w:tc>
          <w:tcPr>
            <w:tcW w:w="1216" w:type="dxa"/>
            <w:tcBorders>
              <w:top w:val="nil"/>
              <w:left w:val="nil"/>
              <w:bottom w:val="single" w:sz="4" w:space="0" w:color="auto"/>
              <w:right w:val="single" w:sz="4" w:space="0" w:color="auto"/>
            </w:tcBorders>
            <w:shd w:val="clear" w:color="auto" w:fill="auto"/>
            <w:noWrap/>
            <w:vAlign w:val="bottom"/>
            <w:hideMark/>
          </w:tcPr>
          <w:p w14:paraId="519B4AE4" w14:textId="77777777" w:rsidR="00993172" w:rsidRPr="008E63BB" w:rsidRDefault="00993172" w:rsidP="0065184D">
            <w:pPr>
              <w:jc w:val="right"/>
              <w:rPr>
                <w:rFonts w:eastAsia="Times New Roman"/>
                <w:sz w:val="20"/>
                <w:szCs w:val="20"/>
              </w:rPr>
            </w:pPr>
            <w:r w:rsidRPr="008E63BB">
              <w:rPr>
                <w:rFonts w:eastAsia="Times New Roman"/>
                <w:sz w:val="20"/>
                <w:szCs w:val="20"/>
              </w:rPr>
              <w:t>271,910</w:t>
            </w:r>
          </w:p>
        </w:tc>
        <w:tc>
          <w:tcPr>
            <w:tcW w:w="1216" w:type="dxa"/>
            <w:tcBorders>
              <w:top w:val="nil"/>
              <w:left w:val="nil"/>
              <w:bottom w:val="single" w:sz="4" w:space="0" w:color="auto"/>
              <w:right w:val="single" w:sz="4" w:space="0" w:color="auto"/>
            </w:tcBorders>
            <w:shd w:val="clear" w:color="auto" w:fill="auto"/>
            <w:noWrap/>
            <w:vAlign w:val="bottom"/>
            <w:hideMark/>
          </w:tcPr>
          <w:p w14:paraId="519B4AE5" w14:textId="77777777" w:rsidR="00993172" w:rsidRPr="008E63BB" w:rsidRDefault="00993172" w:rsidP="0065184D">
            <w:pPr>
              <w:jc w:val="right"/>
              <w:rPr>
                <w:rFonts w:eastAsia="Times New Roman"/>
                <w:sz w:val="20"/>
                <w:szCs w:val="20"/>
              </w:rPr>
            </w:pPr>
            <w:r w:rsidRPr="008E63BB">
              <w:rPr>
                <w:rFonts w:eastAsia="Times New Roman"/>
                <w:sz w:val="20"/>
                <w:szCs w:val="20"/>
              </w:rPr>
              <w:t>271,233</w:t>
            </w:r>
          </w:p>
        </w:tc>
      </w:tr>
      <w:tr w:rsidR="008D5BFE" w:rsidRPr="008E63BB" w14:paraId="519B4AF3"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AE7"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AE8"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AE9" w14:textId="77777777" w:rsidR="00993172" w:rsidRPr="008E63BB" w:rsidRDefault="00993172" w:rsidP="0065184D">
            <w:pPr>
              <w:jc w:val="left"/>
              <w:rPr>
                <w:rFonts w:eastAsia="Times New Roman"/>
                <w:sz w:val="20"/>
                <w:szCs w:val="20"/>
              </w:rPr>
            </w:pPr>
            <w:r w:rsidRPr="008E63BB">
              <w:rPr>
                <w:rFonts w:eastAsia="Times New Roman"/>
                <w:sz w:val="20"/>
                <w:szCs w:val="20"/>
              </w:rPr>
              <w:t>Công nghiệp và xây dựng</w:t>
            </w:r>
          </w:p>
        </w:tc>
        <w:tc>
          <w:tcPr>
            <w:tcW w:w="1116" w:type="dxa"/>
            <w:tcBorders>
              <w:top w:val="nil"/>
              <w:left w:val="nil"/>
              <w:bottom w:val="single" w:sz="4" w:space="0" w:color="auto"/>
              <w:right w:val="single" w:sz="4" w:space="0" w:color="auto"/>
            </w:tcBorders>
            <w:shd w:val="clear" w:color="auto" w:fill="auto"/>
            <w:noWrap/>
            <w:vAlign w:val="bottom"/>
            <w:hideMark/>
          </w:tcPr>
          <w:p w14:paraId="519B4AEA" w14:textId="77777777" w:rsidR="00993172" w:rsidRPr="008E63BB" w:rsidRDefault="00993172" w:rsidP="0065184D">
            <w:pPr>
              <w:jc w:val="right"/>
              <w:rPr>
                <w:rFonts w:eastAsia="Times New Roman"/>
                <w:sz w:val="20"/>
                <w:szCs w:val="20"/>
              </w:rPr>
            </w:pPr>
            <w:r w:rsidRPr="008E63BB">
              <w:rPr>
                <w:rFonts w:eastAsia="Times New Roman"/>
                <w:sz w:val="20"/>
                <w:szCs w:val="20"/>
              </w:rPr>
              <w:t>16.566,068</w:t>
            </w:r>
          </w:p>
        </w:tc>
        <w:tc>
          <w:tcPr>
            <w:tcW w:w="1116" w:type="dxa"/>
            <w:tcBorders>
              <w:top w:val="nil"/>
              <w:left w:val="nil"/>
              <w:bottom w:val="single" w:sz="4" w:space="0" w:color="auto"/>
              <w:right w:val="single" w:sz="4" w:space="0" w:color="auto"/>
            </w:tcBorders>
            <w:shd w:val="clear" w:color="auto" w:fill="auto"/>
            <w:noWrap/>
            <w:vAlign w:val="bottom"/>
            <w:hideMark/>
          </w:tcPr>
          <w:p w14:paraId="519B4AEB" w14:textId="77777777" w:rsidR="00993172" w:rsidRPr="008E63BB" w:rsidRDefault="00993172" w:rsidP="0065184D">
            <w:pPr>
              <w:jc w:val="right"/>
              <w:rPr>
                <w:rFonts w:eastAsia="Times New Roman"/>
                <w:sz w:val="20"/>
                <w:szCs w:val="20"/>
              </w:rPr>
            </w:pPr>
            <w:r w:rsidRPr="008E63BB">
              <w:rPr>
                <w:rFonts w:eastAsia="Times New Roman"/>
                <w:sz w:val="20"/>
                <w:szCs w:val="20"/>
              </w:rPr>
              <w:t>20.350,561</w:t>
            </w:r>
          </w:p>
        </w:tc>
        <w:tc>
          <w:tcPr>
            <w:tcW w:w="1116" w:type="dxa"/>
            <w:tcBorders>
              <w:top w:val="nil"/>
              <w:left w:val="nil"/>
              <w:bottom w:val="single" w:sz="4" w:space="0" w:color="auto"/>
              <w:right w:val="single" w:sz="4" w:space="0" w:color="auto"/>
            </w:tcBorders>
            <w:shd w:val="clear" w:color="auto" w:fill="auto"/>
            <w:noWrap/>
            <w:vAlign w:val="bottom"/>
            <w:hideMark/>
          </w:tcPr>
          <w:p w14:paraId="519B4AEC" w14:textId="77777777" w:rsidR="00993172" w:rsidRPr="008E63BB" w:rsidRDefault="00993172" w:rsidP="0065184D">
            <w:pPr>
              <w:jc w:val="right"/>
              <w:rPr>
                <w:rFonts w:eastAsia="Times New Roman"/>
                <w:sz w:val="20"/>
                <w:szCs w:val="20"/>
              </w:rPr>
            </w:pPr>
            <w:r w:rsidRPr="008E63BB">
              <w:rPr>
                <w:rFonts w:eastAsia="Times New Roman"/>
                <w:sz w:val="20"/>
                <w:szCs w:val="20"/>
              </w:rPr>
              <w:t>22.570,622</w:t>
            </w:r>
          </w:p>
        </w:tc>
        <w:tc>
          <w:tcPr>
            <w:tcW w:w="1216" w:type="dxa"/>
            <w:tcBorders>
              <w:top w:val="nil"/>
              <w:left w:val="nil"/>
              <w:bottom w:val="single" w:sz="4" w:space="0" w:color="auto"/>
              <w:right w:val="single" w:sz="4" w:space="0" w:color="auto"/>
            </w:tcBorders>
            <w:shd w:val="clear" w:color="auto" w:fill="auto"/>
            <w:noWrap/>
            <w:vAlign w:val="bottom"/>
            <w:hideMark/>
          </w:tcPr>
          <w:p w14:paraId="519B4AED" w14:textId="77777777" w:rsidR="00993172" w:rsidRPr="008E63BB" w:rsidRDefault="00993172" w:rsidP="0065184D">
            <w:pPr>
              <w:jc w:val="right"/>
              <w:rPr>
                <w:rFonts w:eastAsia="Times New Roman"/>
                <w:sz w:val="20"/>
                <w:szCs w:val="20"/>
              </w:rPr>
            </w:pPr>
            <w:r w:rsidRPr="008E63BB">
              <w:rPr>
                <w:rFonts w:eastAsia="Times New Roman"/>
                <w:sz w:val="20"/>
                <w:szCs w:val="20"/>
              </w:rPr>
              <w:t>25.321,017</w:t>
            </w:r>
          </w:p>
        </w:tc>
        <w:tc>
          <w:tcPr>
            <w:tcW w:w="1216" w:type="dxa"/>
            <w:tcBorders>
              <w:top w:val="nil"/>
              <w:left w:val="nil"/>
              <w:bottom w:val="single" w:sz="4" w:space="0" w:color="auto"/>
              <w:right w:val="single" w:sz="4" w:space="0" w:color="auto"/>
            </w:tcBorders>
            <w:shd w:val="clear" w:color="auto" w:fill="auto"/>
            <w:noWrap/>
            <w:vAlign w:val="bottom"/>
            <w:hideMark/>
          </w:tcPr>
          <w:p w14:paraId="519B4AEE" w14:textId="77777777" w:rsidR="00993172" w:rsidRPr="008E63BB" w:rsidRDefault="00993172" w:rsidP="0065184D">
            <w:pPr>
              <w:jc w:val="right"/>
              <w:rPr>
                <w:rFonts w:eastAsia="Times New Roman"/>
                <w:sz w:val="20"/>
                <w:szCs w:val="20"/>
              </w:rPr>
            </w:pPr>
            <w:r w:rsidRPr="008E63BB">
              <w:rPr>
                <w:rFonts w:eastAsia="Times New Roman"/>
                <w:sz w:val="20"/>
                <w:szCs w:val="20"/>
              </w:rPr>
              <w:t>29.365,607</w:t>
            </w:r>
          </w:p>
        </w:tc>
        <w:tc>
          <w:tcPr>
            <w:tcW w:w="1216" w:type="dxa"/>
            <w:tcBorders>
              <w:top w:val="nil"/>
              <w:left w:val="nil"/>
              <w:bottom w:val="single" w:sz="4" w:space="0" w:color="auto"/>
              <w:right w:val="single" w:sz="4" w:space="0" w:color="auto"/>
            </w:tcBorders>
            <w:shd w:val="clear" w:color="auto" w:fill="auto"/>
            <w:noWrap/>
            <w:vAlign w:val="bottom"/>
            <w:hideMark/>
          </w:tcPr>
          <w:p w14:paraId="519B4AEF" w14:textId="77777777" w:rsidR="00993172" w:rsidRPr="008E63BB" w:rsidRDefault="00993172" w:rsidP="0065184D">
            <w:pPr>
              <w:jc w:val="right"/>
              <w:rPr>
                <w:rFonts w:eastAsia="Times New Roman"/>
                <w:sz w:val="20"/>
                <w:szCs w:val="20"/>
              </w:rPr>
            </w:pPr>
            <w:r w:rsidRPr="008E63BB">
              <w:rPr>
                <w:rFonts w:eastAsia="Times New Roman"/>
                <w:sz w:val="20"/>
                <w:szCs w:val="20"/>
              </w:rPr>
              <w:t>30.315,818</w:t>
            </w:r>
          </w:p>
        </w:tc>
        <w:tc>
          <w:tcPr>
            <w:tcW w:w="1216" w:type="dxa"/>
            <w:tcBorders>
              <w:top w:val="nil"/>
              <w:left w:val="nil"/>
              <w:bottom w:val="single" w:sz="4" w:space="0" w:color="auto"/>
              <w:right w:val="single" w:sz="4" w:space="0" w:color="auto"/>
            </w:tcBorders>
            <w:shd w:val="clear" w:color="auto" w:fill="auto"/>
            <w:noWrap/>
            <w:vAlign w:val="bottom"/>
            <w:hideMark/>
          </w:tcPr>
          <w:p w14:paraId="519B4AF0" w14:textId="77777777" w:rsidR="00993172" w:rsidRPr="008E63BB" w:rsidRDefault="00993172" w:rsidP="0065184D">
            <w:pPr>
              <w:jc w:val="right"/>
              <w:rPr>
                <w:rFonts w:eastAsia="Times New Roman"/>
                <w:sz w:val="20"/>
                <w:szCs w:val="20"/>
              </w:rPr>
            </w:pPr>
            <w:r w:rsidRPr="008E63BB">
              <w:rPr>
                <w:rFonts w:eastAsia="Times New Roman"/>
                <w:sz w:val="20"/>
                <w:szCs w:val="20"/>
              </w:rPr>
              <w:t>32.265,482</w:t>
            </w:r>
          </w:p>
        </w:tc>
        <w:tc>
          <w:tcPr>
            <w:tcW w:w="1216" w:type="dxa"/>
            <w:tcBorders>
              <w:top w:val="nil"/>
              <w:left w:val="nil"/>
              <w:bottom w:val="single" w:sz="4" w:space="0" w:color="auto"/>
              <w:right w:val="single" w:sz="4" w:space="0" w:color="auto"/>
            </w:tcBorders>
            <w:shd w:val="clear" w:color="auto" w:fill="auto"/>
            <w:noWrap/>
            <w:vAlign w:val="bottom"/>
            <w:hideMark/>
          </w:tcPr>
          <w:p w14:paraId="519B4AF1" w14:textId="77777777" w:rsidR="00993172" w:rsidRPr="008E63BB" w:rsidRDefault="00993172" w:rsidP="0065184D">
            <w:pPr>
              <w:jc w:val="right"/>
              <w:rPr>
                <w:rFonts w:eastAsia="Times New Roman"/>
                <w:sz w:val="20"/>
                <w:szCs w:val="20"/>
              </w:rPr>
            </w:pPr>
            <w:r w:rsidRPr="008E63BB">
              <w:rPr>
                <w:rFonts w:eastAsia="Times New Roman"/>
                <w:sz w:val="20"/>
                <w:szCs w:val="20"/>
              </w:rPr>
              <w:t>36.342,294</w:t>
            </w:r>
          </w:p>
        </w:tc>
        <w:tc>
          <w:tcPr>
            <w:tcW w:w="1216" w:type="dxa"/>
            <w:tcBorders>
              <w:top w:val="nil"/>
              <w:left w:val="nil"/>
              <w:bottom w:val="single" w:sz="4" w:space="0" w:color="auto"/>
              <w:right w:val="single" w:sz="4" w:space="0" w:color="auto"/>
            </w:tcBorders>
            <w:shd w:val="clear" w:color="auto" w:fill="auto"/>
            <w:noWrap/>
            <w:vAlign w:val="bottom"/>
            <w:hideMark/>
          </w:tcPr>
          <w:p w14:paraId="519B4AF2" w14:textId="77777777" w:rsidR="00993172" w:rsidRPr="008E63BB" w:rsidRDefault="00993172" w:rsidP="0065184D">
            <w:pPr>
              <w:jc w:val="right"/>
              <w:rPr>
                <w:rFonts w:eastAsia="Times New Roman"/>
                <w:sz w:val="20"/>
                <w:szCs w:val="20"/>
              </w:rPr>
            </w:pPr>
            <w:r w:rsidRPr="008E63BB">
              <w:rPr>
                <w:rFonts w:eastAsia="Times New Roman"/>
                <w:sz w:val="20"/>
                <w:szCs w:val="20"/>
              </w:rPr>
              <w:t>42.202,590</w:t>
            </w:r>
          </w:p>
        </w:tc>
      </w:tr>
      <w:tr w:rsidR="008D5BFE" w:rsidRPr="008E63BB" w14:paraId="519B4B00"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AF4"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AF5"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AF6" w14:textId="77777777" w:rsidR="00993172" w:rsidRPr="008E63BB" w:rsidRDefault="00993172" w:rsidP="0065184D">
            <w:pPr>
              <w:jc w:val="left"/>
              <w:rPr>
                <w:rFonts w:eastAsia="Times New Roman"/>
                <w:sz w:val="20"/>
                <w:szCs w:val="20"/>
              </w:rPr>
            </w:pPr>
            <w:r w:rsidRPr="008E63BB">
              <w:rPr>
                <w:rFonts w:eastAsia="Times New Roman"/>
                <w:sz w:val="20"/>
                <w:szCs w:val="20"/>
              </w:rPr>
              <w:t>Dịch vụ, thương mại</w:t>
            </w:r>
          </w:p>
        </w:tc>
        <w:tc>
          <w:tcPr>
            <w:tcW w:w="1116" w:type="dxa"/>
            <w:tcBorders>
              <w:top w:val="nil"/>
              <w:left w:val="nil"/>
              <w:bottom w:val="single" w:sz="4" w:space="0" w:color="auto"/>
              <w:right w:val="single" w:sz="4" w:space="0" w:color="auto"/>
            </w:tcBorders>
            <w:shd w:val="clear" w:color="auto" w:fill="auto"/>
            <w:noWrap/>
            <w:vAlign w:val="bottom"/>
            <w:hideMark/>
          </w:tcPr>
          <w:p w14:paraId="519B4AF7" w14:textId="77777777" w:rsidR="00993172" w:rsidRPr="008E63BB" w:rsidRDefault="00993172" w:rsidP="0065184D">
            <w:pPr>
              <w:jc w:val="right"/>
              <w:rPr>
                <w:rFonts w:eastAsia="Times New Roman"/>
                <w:sz w:val="20"/>
                <w:szCs w:val="20"/>
              </w:rPr>
            </w:pPr>
            <w:r w:rsidRPr="008E63BB">
              <w:rPr>
                <w:rFonts w:eastAsia="Times New Roman"/>
                <w:sz w:val="20"/>
                <w:szCs w:val="20"/>
              </w:rPr>
              <w:t>5.523,291</w:t>
            </w:r>
          </w:p>
        </w:tc>
        <w:tc>
          <w:tcPr>
            <w:tcW w:w="1116" w:type="dxa"/>
            <w:tcBorders>
              <w:top w:val="nil"/>
              <w:left w:val="nil"/>
              <w:bottom w:val="single" w:sz="4" w:space="0" w:color="auto"/>
              <w:right w:val="single" w:sz="4" w:space="0" w:color="auto"/>
            </w:tcBorders>
            <w:shd w:val="clear" w:color="auto" w:fill="auto"/>
            <w:noWrap/>
            <w:vAlign w:val="bottom"/>
            <w:hideMark/>
          </w:tcPr>
          <w:p w14:paraId="519B4AF8" w14:textId="77777777" w:rsidR="00993172" w:rsidRPr="008E63BB" w:rsidRDefault="00993172" w:rsidP="0065184D">
            <w:pPr>
              <w:jc w:val="right"/>
              <w:rPr>
                <w:rFonts w:eastAsia="Times New Roman"/>
                <w:sz w:val="20"/>
                <w:szCs w:val="20"/>
              </w:rPr>
            </w:pPr>
            <w:r w:rsidRPr="008E63BB">
              <w:rPr>
                <w:rFonts w:eastAsia="Times New Roman"/>
                <w:sz w:val="20"/>
                <w:szCs w:val="20"/>
              </w:rPr>
              <w:t>6.715,445</w:t>
            </w:r>
          </w:p>
        </w:tc>
        <w:tc>
          <w:tcPr>
            <w:tcW w:w="1116" w:type="dxa"/>
            <w:tcBorders>
              <w:top w:val="nil"/>
              <w:left w:val="nil"/>
              <w:bottom w:val="single" w:sz="4" w:space="0" w:color="auto"/>
              <w:right w:val="single" w:sz="4" w:space="0" w:color="auto"/>
            </w:tcBorders>
            <w:shd w:val="clear" w:color="auto" w:fill="auto"/>
            <w:noWrap/>
            <w:vAlign w:val="bottom"/>
            <w:hideMark/>
          </w:tcPr>
          <w:p w14:paraId="519B4AF9" w14:textId="77777777" w:rsidR="00993172" w:rsidRPr="008E63BB" w:rsidRDefault="00993172" w:rsidP="0065184D">
            <w:pPr>
              <w:jc w:val="right"/>
              <w:rPr>
                <w:rFonts w:eastAsia="Times New Roman"/>
                <w:sz w:val="20"/>
                <w:szCs w:val="20"/>
              </w:rPr>
            </w:pPr>
            <w:r w:rsidRPr="008E63BB">
              <w:rPr>
                <w:rFonts w:eastAsia="Times New Roman"/>
                <w:sz w:val="20"/>
                <w:szCs w:val="20"/>
              </w:rPr>
              <w:t>7.703,821</w:t>
            </w:r>
          </w:p>
        </w:tc>
        <w:tc>
          <w:tcPr>
            <w:tcW w:w="1216" w:type="dxa"/>
            <w:tcBorders>
              <w:top w:val="nil"/>
              <w:left w:val="nil"/>
              <w:bottom w:val="single" w:sz="4" w:space="0" w:color="auto"/>
              <w:right w:val="single" w:sz="4" w:space="0" w:color="auto"/>
            </w:tcBorders>
            <w:shd w:val="clear" w:color="auto" w:fill="auto"/>
            <w:noWrap/>
            <w:vAlign w:val="bottom"/>
            <w:hideMark/>
          </w:tcPr>
          <w:p w14:paraId="519B4AFA" w14:textId="77777777" w:rsidR="00993172" w:rsidRPr="008E63BB" w:rsidRDefault="00993172" w:rsidP="0065184D">
            <w:pPr>
              <w:jc w:val="right"/>
              <w:rPr>
                <w:rFonts w:eastAsia="Times New Roman"/>
                <w:sz w:val="20"/>
                <w:szCs w:val="20"/>
              </w:rPr>
            </w:pPr>
            <w:r w:rsidRPr="008E63BB">
              <w:rPr>
                <w:rFonts w:eastAsia="Times New Roman"/>
                <w:sz w:val="20"/>
                <w:szCs w:val="20"/>
              </w:rPr>
              <w:t>7.973,165</w:t>
            </w:r>
          </w:p>
        </w:tc>
        <w:tc>
          <w:tcPr>
            <w:tcW w:w="1216" w:type="dxa"/>
            <w:tcBorders>
              <w:top w:val="nil"/>
              <w:left w:val="nil"/>
              <w:bottom w:val="single" w:sz="4" w:space="0" w:color="auto"/>
              <w:right w:val="single" w:sz="4" w:space="0" w:color="auto"/>
            </w:tcBorders>
            <w:shd w:val="clear" w:color="auto" w:fill="auto"/>
            <w:noWrap/>
            <w:vAlign w:val="bottom"/>
            <w:hideMark/>
          </w:tcPr>
          <w:p w14:paraId="519B4AFB" w14:textId="77777777" w:rsidR="00993172" w:rsidRPr="008E63BB" w:rsidRDefault="00993172" w:rsidP="0065184D">
            <w:pPr>
              <w:jc w:val="right"/>
              <w:rPr>
                <w:rFonts w:eastAsia="Times New Roman"/>
                <w:sz w:val="20"/>
                <w:szCs w:val="20"/>
              </w:rPr>
            </w:pPr>
            <w:r w:rsidRPr="008E63BB">
              <w:rPr>
                <w:rFonts w:eastAsia="Times New Roman"/>
                <w:sz w:val="20"/>
                <w:szCs w:val="20"/>
              </w:rPr>
              <w:t>8.865,324</w:t>
            </w:r>
          </w:p>
        </w:tc>
        <w:tc>
          <w:tcPr>
            <w:tcW w:w="1216" w:type="dxa"/>
            <w:tcBorders>
              <w:top w:val="nil"/>
              <w:left w:val="nil"/>
              <w:bottom w:val="single" w:sz="4" w:space="0" w:color="auto"/>
              <w:right w:val="single" w:sz="4" w:space="0" w:color="auto"/>
            </w:tcBorders>
            <w:shd w:val="clear" w:color="auto" w:fill="auto"/>
            <w:noWrap/>
            <w:vAlign w:val="bottom"/>
            <w:hideMark/>
          </w:tcPr>
          <w:p w14:paraId="519B4AFC" w14:textId="77777777" w:rsidR="00993172" w:rsidRPr="008E63BB" w:rsidRDefault="00993172" w:rsidP="0065184D">
            <w:pPr>
              <w:jc w:val="right"/>
              <w:rPr>
                <w:rFonts w:eastAsia="Times New Roman"/>
                <w:sz w:val="20"/>
                <w:szCs w:val="20"/>
              </w:rPr>
            </w:pPr>
            <w:r w:rsidRPr="008E63BB">
              <w:rPr>
                <w:rFonts w:eastAsia="Times New Roman"/>
                <w:sz w:val="20"/>
                <w:szCs w:val="20"/>
              </w:rPr>
              <w:t>9.516,087</w:t>
            </w:r>
          </w:p>
        </w:tc>
        <w:tc>
          <w:tcPr>
            <w:tcW w:w="1216" w:type="dxa"/>
            <w:tcBorders>
              <w:top w:val="nil"/>
              <w:left w:val="nil"/>
              <w:bottom w:val="single" w:sz="4" w:space="0" w:color="auto"/>
              <w:right w:val="single" w:sz="4" w:space="0" w:color="auto"/>
            </w:tcBorders>
            <w:shd w:val="clear" w:color="auto" w:fill="auto"/>
            <w:noWrap/>
            <w:vAlign w:val="bottom"/>
            <w:hideMark/>
          </w:tcPr>
          <w:p w14:paraId="519B4AFD" w14:textId="77777777" w:rsidR="00993172" w:rsidRPr="008E63BB" w:rsidRDefault="00993172" w:rsidP="0065184D">
            <w:pPr>
              <w:jc w:val="right"/>
              <w:rPr>
                <w:rFonts w:eastAsia="Times New Roman"/>
                <w:sz w:val="20"/>
                <w:szCs w:val="20"/>
              </w:rPr>
            </w:pPr>
            <w:r w:rsidRPr="008E63BB">
              <w:rPr>
                <w:rFonts w:eastAsia="Times New Roman"/>
                <w:sz w:val="20"/>
                <w:szCs w:val="20"/>
              </w:rPr>
              <w:t>10.462,735</w:t>
            </w:r>
          </w:p>
        </w:tc>
        <w:tc>
          <w:tcPr>
            <w:tcW w:w="1216" w:type="dxa"/>
            <w:tcBorders>
              <w:top w:val="nil"/>
              <w:left w:val="nil"/>
              <w:bottom w:val="single" w:sz="4" w:space="0" w:color="auto"/>
              <w:right w:val="single" w:sz="4" w:space="0" w:color="auto"/>
            </w:tcBorders>
            <w:shd w:val="clear" w:color="auto" w:fill="auto"/>
            <w:noWrap/>
            <w:vAlign w:val="bottom"/>
            <w:hideMark/>
          </w:tcPr>
          <w:p w14:paraId="519B4AFE" w14:textId="77777777" w:rsidR="00993172" w:rsidRPr="008E63BB" w:rsidRDefault="00993172" w:rsidP="0065184D">
            <w:pPr>
              <w:jc w:val="right"/>
              <w:rPr>
                <w:rFonts w:eastAsia="Times New Roman"/>
                <w:sz w:val="20"/>
                <w:szCs w:val="20"/>
              </w:rPr>
            </w:pPr>
            <w:r w:rsidRPr="008E63BB">
              <w:rPr>
                <w:rFonts w:eastAsia="Times New Roman"/>
                <w:sz w:val="20"/>
                <w:szCs w:val="20"/>
              </w:rPr>
              <w:t>11.366,483</w:t>
            </w:r>
          </w:p>
        </w:tc>
        <w:tc>
          <w:tcPr>
            <w:tcW w:w="1216" w:type="dxa"/>
            <w:tcBorders>
              <w:top w:val="nil"/>
              <w:left w:val="nil"/>
              <w:bottom w:val="single" w:sz="4" w:space="0" w:color="auto"/>
              <w:right w:val="single" w:sz="4" w:space="0" w:color="auto"/>
            </w:tcBorders>
            <w:shd w:val="clear" w:color="auto" w:fill="auto"/>
            <w:noWrap/>
            <w:vAlign w:val="bottom"/>
            <w:hideMark/>
          </w:tcPr>
          <w:p w14:paraId="519B4AFF" w14:textId="77777777" w:rsidR="00993172" w:rsidRPr="008E63BB" w:rsidRDefault="00993172" w:rsidP="0065184D">
            <w:pPr>
              <w:jc w:val="right"/>
              <w:rPr>
                <w:rFonts w:eastAsia="Times New Roman"/>
                <w:sz w:val="20"/>
                <w:szCs w:val="20"/>
              </w:rPr>
            </w:pPr>
            <w:r w:rsidRPr="008E63BB">
              <w:rPr>
                <w:rFonts w:eastAsia="Times New Roman"/>
                <w:sz w:val="20"/>
                <w:szCs w:val="20"/>
              </w:rPr>
              <w:t>12.025,624</w:t>
            </w:r>
          </w:p>
        </w:tc>
      </w:tr>
      <w:tr w:rsidR="008D5BFE" w:rsidRPr="008E63BB" w14:paraId="519B4B0D" w14:textId="77777777" w:rsidTr="004710C7">
        <w:trPr>
          <w:trHeight w:val="255"/>
        </w:trPr>
        <w:tc>
          <w:tcPr>
            <w:tcW w:w="616"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4B01" w14:textId="77777777" w:rsidR="00993172" w:rsidRPr="008E63BB" w:rsidRDefault="00993172" w:rsidP="0065184D">
            <w:pPr>
              <w:jc w:val="center"/>
              <w:rPr>
                <w:rFonts w:eastAsia="Times New Roman"/>
                <w:sz w:val="20"/>
                <w:szCs w:val="20"/>
              </w:rPr>
            </w:pPr>
            <w:r w:rsidRPr="008E63BB">
              <w:rPr>
                <w:rFonts w:eastAsia="Times New Roman"/>
                <w:sz w:val="20"/>
                <w:szCs w:val="20"/>
              </w:rPr>
              <w:t>H. Mỹ Lộc</w:t>
            </w:r>
          </w:p>
        </w:tc>
        <w:tc>
          <w:tcPr>
            <w:tcW w:w="316" w:type="dxa"/>
            <w:tcBorders>
              <w:top w:val="nil"/>
              <w:left w:val="nil"/>
              <w:bottom w:val="single" w:sz="4" w:space="0" w:color="auto"/>
              <w:right w:val="single" w:sz="4" w:space="0" w:color="auto"/>
            </w:tcBorders>
            <w:shd w:val="clear" w:color="auto" w:fill="auto"/>
            <w:noWrap/>
            <w:vAlign w:val="bottom"/>
            <w:hideMark/>
          </w:tcPr>
          <w:p w14:paraId="519B4B02" w14:textId="77777777" w:rsidR="00993172" w:rsidRPr="008E63BB" w:rsidRDefault="00993172" w:rsidP="0065184D">
            <w:pPr>
              <w:jc w:val="center"/>
              <w:rPr>
                <w:rFonts w:eastAsia="Times New Roman"/>
                <w:b/>
                <w:bCs/>
                <w:sz w:val="20"/>
                <w:szCs w:val="20"/>
              </w:rPr>
            </w:pPr>
            <w:r w:rsidRPr="008E63BB">
              <w:rPr>
                <w:rFonts w:eastAsia="Times New Roman"/>
                <w:b/>
                <w:bCs/>
                <w:sz w:val="20"/>
                <w:szCs w:val="20"/>
              </w:rPr>
              <w:t>3</w:t>
            </w:r>
          </w:p>
        </w:tc>
        <w:tc>
          <w:tcPr>
            <w:tcW w:w="2730" w:type="dxa"/>
            <w:tcBorders>
              <w:top w:val="nil"/>
              <w:left w:val="nil"/>
              <w:bottom w:val="single" w:sz="4" w:space="0" w:color="auto"/>
              <w:right w:val="single" w:sz="4" w:space="0" w:color="auto"/>
            </w:tcBorders>
            <w:shd w:val="clear" w:color="auto" w:fill="auto"/>
            <w:noWrap/>
            <w:vAlign w:val="bottom"/>
            <w:hideMark/>
          </w:tcPr>
          <w:p w14:paraId="519B4B03" w14:textId="77777777" w:rsidR="00993172" w:rsidRPr="008E63BB" w:rsidRDefault="00993172" w:rsidP="0065184D">
            <w:pPr>
              <w:jc w:val="left"/>
              <w:rPr>
                <w:rFonts w:eastAsia="Times New Roman"/>
                <w:b/>
                <w:bCs/>
                <w:sz w:val="20"/>
                <w:szCs w:val="20"/>
              </w:rPr>
            </w:pPr>
            <w:r w:rsidRPr="008E63BB">
              <w:rPr>
                <w:rFonts w:eastAsia="Times New Roman"/>
                <w:b/>
                <w:bCs/>
                <w:sz w:val="20"/>
                <w:szCs w:val="20"/>
              </w:rPr>
              <w:t>Tổng giá trị sản xuất (tỷ)</w:t>
            </w:r>
          </w:p>
        </w:tc>
        <w:tc>
          <w:tcPr>
            <w:tcW w:w="1116" w:type="dxa"/>
            <w:tcBorders>
              <w:top w:val="nil"/>
              <w:left w:val="nil"/>
              <w:bottom w:val="single" w:sz="4" w:space="0" w:color="auto"/>
              <w:right w:val="single" w:sz="4" w:space="0" w:color="auto"/>
            </w:tcBorders>
            <w:shd w:val="clear" w:color="auto" w:fill="auto"/>
            <w:noWrap/>
            <w:vAlign w:val="bottom"/>
            <w:hideMark/>
          </w:tcPr>
          <w:p w14:paraId="519B4B04"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1.797,115</w:t>
            </w:r>
          </w:p>
        </w:tc>
        <w:tc>
          <w:tcPr>
            <w:tcW w:w="1116" w:type="dxa"/>
            <w:tcBorders>
              <w:top w:val="nil"/>
              <w:left w:val="nil"/>
              <w:bottom w:val="single" w:sz="4" w:space="0" w:color="auto"/>
              <w:right w:val="single" w:sz="4" w:space="0" w:color="auto"/>
            </w:tcBorders>
            <w:shd w:val="clear" w:color="auto" w:fill="auto"/>
            <w:noWrap/>
            <w:vAlign w:val="bottom"/>
            <w:hideMark/>
          </w:tcPr>
          <w:p w14:paraId="519B4B05"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2.164,084</w:t>
            </w:r>
          </w:p>
        </w:tc>
        <w:tc>
          <w:tcPr>
            <w:tcW w:w="1116" w:type="dxa"/>
            <w:tcBorders>
              <w:top w:val="nil"/>
              <w:left w:val="nil"/>
              <w:bottom w:val="single" w:sz="4" w:space="0" w:color="auto"/>
              <w:right w:val="single" w:sz="4" w:space="0" w:color="auto"/>
            </w:tcBorders>
            <w:shd w:val="clear" w:color="auto" w:fill="auto"/>
            <w:noWrap/>
            <w:vAlign w:val="bottom"/>
            <w:hideMark/>
          </w:tcPr>
          <w:p w14:paraId="519B4B06"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2.409,878</w:t>
            </w:r>
          </w:p>
        </w:tc>
        <w:tc>
          <w:tcPr>
            <w:tcW w:w="1216" w:type="dxa"/>
            <w:tcBorders>
              <w:top w:val="nil"/>
              <w:left w:val="nil"/>
              <w:bottom w:val="single" w:sz="4" w:space="0" w:color="auto"/>
              <w:right w:val="single" w:sz="4" w:space="0" w:color="auto"/>
            </w:tcBorders>
            <w:shd w:val="clear" w:color="auto" w:fill="auto"/>
            <w:noWrap/>
            <w:vAlign w:val="bottom"/>
            <w:hideMark/>
          </w:tcPr>
          <w:p w14:paraId="519B4B07"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2.595,547</w:t>
            </w:r>
          </w:p>
        </w:tc>
        <w:tc>
          <w:tcPr>
            <w:tcW w:w="1216" w:type="dxa"/>
            <w:tcBorders>
              <w:top w:val="nil"/>
              <w:left w:val="nil"/>
              <w:bottom w:val="single" w:sz="4" w:space="0" w:color="auto"/>
              <w:right w:val="single" w:sz="4" w:space="0" w:color="auto"/>
            </w:tcBorders>
            <w:shd w:val="clear" w:color="auto" w:fill="auto"/>
            <w:noWrap/>
            <w:vAlign w:val="bottom"/>
            <w:hideMark/>
          </w:tcPr>
          <w:p w14:paraId="519B4B08"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2.762,465</w:t>
            </w:r>
          </w:p>
        </w:tc>
        <w:tc>
          <w:tcPr>
            <w:tcW w:w="1216" w:type="dxa"/>
            <w:tcBorders>
              <w:top w:val="nil"/>
              <w:left w:val="nil"/>
              <w:bottom w:val="single" w:sz="4" w:space="0" w:color="auto"/>
              <w:right w:val="single" w:sz="4" w:space="0" w:color="auto"/>
            </w:tcBorders>
            <w:shd w:val="clear" w:color="auto" w:fill="auto"/>
            <w:noWrap/>
            <w:vAlign w:val="bottom"/>
            <w:hideMark/>
          </w:tcPr>
          <w:p w14:paraId="519B4B09"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3.329,843</w:t>
            </w:r>
          </w:p>
        </w:tc>
        <w:tc>
          <w:tcPr>
            <w:tcW w:w="1216" w:type="dxa"/>
            <w:tcBorders>
              <w:top w:val="nil"/>
              <w:left w:val="nil"/>
              <w:bottom w:val="single" w:sz="4" w:space="0" w:color="auto"/>
              <w:right w:val="single" w:sz="4" w:space="0" w:color="auto"/>
            </w:tcBorders>
            <w:shd w:val="clear" w:color="auto" w:fill="auto"/>
            <w:noWrap/>
            <w:vAlign w:val="bottom"/>
            <w:hideMark/>
          </w:tcPr>
          <w:p w14:paraId="519B4B0A"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3.545,514</w:t>
            </w:r>
          </w:p>
        </w:tc>
        <w:tc>
          <w:tcPr>
            <w:tcW w:w="1216" w:type="dxa"/>
            <w:tcBorders>
              <w:top w:val="nil"/>
              <w:left w:val="nil"/>
              <w:bottom w:val="single" w:sz="4" w:space="0" w:color="auto"/>
              <w:right w:val="single" w:sz="4" w:space="0" w:color="auto"/>
            </w:tcBorders>
            <w:shd w:val="clear" w:color="auto" w:fill="auto"/>
            <w:noWrap/>
            <w:vAlign w:val="bottom"/>
            <w:hideMark/>
          </w:tcPr>
          <w:p w14:paraId="519B4B0B"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3.741,170</w:t>
            </w:r>
          </w:p>
        </w:tc>
        <w:tc>
          <w:tcPr>
            <w:tcW w:w="1216" w:type="dxa"/>
            <w:tcBorders>
              <w:top w:val="nil"/>
              <w:left w:val="nil"/>
              <w:bottom w:val="single" w:sz="4" w:space="0" w:color="auto"/>
              <w:right w:val="single" w:sz="4" w:space="0" w:color="auto"/>
            </w:tcBorders>
            <w:shd w:val="clear" w:color="auto" w:fill="auto"/>
            <w:noWrap/>
            <w:vAlign w:val="bottom"/>
            <w:hideMark/>
          </w:tcPr>
          <w:p w14:paraId="519B4B0C"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4.186,986</w:t>
            </w:r>
          </w:p>
        </w:tc>
      </w:tr>
      <w:tr w:rsidR="008D5BFE" w:rsidRPr="008E63BB" w14:paraId="519B4B1A"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0E"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0F"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10" w14:textId="77777777" w:rsidR="00993172" w:rsidRPr="008E63BB" w:rsidRDefault="00993172" w:rsidP="0065184D">
            <w:pPr>
              <w:jc w:val="left"/>
              <w:rPr>
                <w:rFonts w:eastAsia="Times New Roman"/>
                <w:sz w:val="20"/>
                <w:szCs w:val="20"/>
              </w:rPr>
            </w:pPr>
            <w:r w:rsidRPr="008E63BB">
              <w:rPr>
                <w:rFonts w:eastAsia="Times New Roman"/>
                <w:sz w:val="20"/>
                <w:szCs w:val="20"/>
              </w:rPr>
              <w:t>Nông, lâm nghiệp và thủy sản</w:t>
            </w:r>
          </w:p>
        </w:tc>
        <w:tc>
          <w:tcPr>
            <w:tcW w:w="1116" w:type="dxa"/>
            <w:tcBorders>
              <w:top w:val="nil"/>
              <w:left w:val="nil"/>
              <w:bottom w:val="single" w:sz="4" w:space="0" w:color="auto"/>
              <w:right w:val="single" w:sz="4" w:space="0" w:color="auto"/>
            </w:tcBorders>
            <w:shd w:val="clear" w:color="auto" w:fill="auto"/>
            <w:noWrap/>
            <w:vAlign w:val="bottom"/>
            <w:hideMark/>
          </w:tcPr>
          <w:p w14:paraId="519B4B11" w14:textId="77777777" w:rsidR="00993172" w:rsidRPr="008E63BB" w:rsidRDefault="00993172" w:rsidP="0065184D">
            <w:pPr>
              <w:jc w:val="right"/>
              <w:rPr>
                <w:rFonts w:eastAsia="Times New Roman"/>
                <w:sz w:val="20"/>
                <w:szCs w:val="20"/>
              </w:rPr>
            </w:pPr>
            <w:r w:rsidRPr="008E63BB">
              <w:rPr>
                <w:rFonts w:eastAsia="Times New Roman"/>
                <w:sz w:val="20"/>
                <w:szCs w:val="20"/>
              </w:rPr>
              <w:t>583,842</w:t>
            </w:r>
          </w:p>
        </w:tc>
        <w:tc>
          <w:tcPr>
            <w:tcW w:w="1116" w:type="dxa"/>
            <w:tcBorders>
              <w:top w:val="nil"/>
              <w:left w:val="nil"/>
              <w:bottom w:val="single" w:sz="4" w:space="0" w:color="auto"/>
              <w:right w:val="single" w:sz="4" w:space="0" w:color="auto"/>
            </w:tcBorders>
            <w:shd w:val="clear" w:color="auto" w:fill="auto"/>
            <w:noWrap/>
            <w:vAlign w:val="bottom"/>
            <w:hideMark/>
          </w:tcPr>
          <w:p w14:paraId="519B4B12" w14:textId="77777777" w:rsidR="00993172" w:rsidRPr="008E63BB" w:rsidRDefault="00993172" w:rsidP="0065184D">
            <w:pPr>
              <w:jc w:val="right"/>
              <w:rPr>
                <w:rFonts w:eastAsia="Times New Roman"/>
                <w:sz w:val="20"/>
                <w:szCs w:val="20"/>
              </w:rPr>
            </w:pPr>
            <w:r w:rsidRPr="008E63BB">
              <w:rPr>
                <w:rFonts w:eastAsia="Times New Roman"/>
                <w:sz w:val="20"/>
                <w:szCs w:val="20"/>
              </w:rPr>
              <w:t>755,043</w:t>
            </w:r>
          </w:p>
        </w:tc>
        <w:tc>
          <w:tcPr>
            <w:tcW w:w="1116" w:type="dxa"/>
            <w:tcBorders>
              <w:top w:val="nil"/>
              <w:left w:val="nil"/>
              <w:bottom w:val="single" w:sz="4" w:space="0" w:color="auto"/>
              <w:right w:val="single" w:sz="4" w:space="0" w:color="auto"/>
            </w:tcBorders>
            <w:shd w:val="clear" w:color="auto" w:fill="auto"/>
            <w:noWrap/>
            <w:vAlign w:val="bottom"/>
            <w:hideMark/>
          </w:tcPr>
          <w:p w14:paraId="519B4B13" w14:textId="77777777" w:rsidR="00993172" w:rsidRPr="008E63BB" w:rsidRDefault="00993172" w:rsidP="0065184D">
            <w:pPr>
              <w:jc w:val="right"/>
              <w:rPr>
                <w:rFonts w:eastAsia="Times New Roman"/>
                <w:sz w:val="20"/>
                <w:szCs w:val="20"/>
              </w:rPr>
            </w:pPr>
            <w:r w:rsidRPr="008E63BB">
              <w:rPr>
                <w:rFonts w:eastAsia="Times New Roman"/>
                <w:sz w:val="20"/>
                <w:szCs w:val="20"/>
              </w:rPr>
              <w:t>759,836</w:t>
            </w:r>
          </w:p>
        </w:tc>
        <w:tc>
          <w:tcPr>
            <w:tcW w:w="1216" w:type="dxa"/>
            <w:tcBorders>
              <w:top w:val="nil"/>
              <w:left w:val="nil"/>
              <w:bottom w:val="single" w:sz="4" w:space="0" w:color="auto"/>
              <w:right w:val="single" w:sz="4" w:space="0" w:color="auto"/>
            </w:tcBorders>
            <w:shd w:val="clear" w:color="auto" w:fill="auto"/>
            <w:noWrap/>
            <w:vAlign w:val="bottom"/>
            <w:hideMark/>
          </w:tcPr>
          <w:p w14:paraId="519B4B14" w14:textId="77777777" w:rsidR="00993172" w:rsidRPr="008E63BB" w:rsidRDefault="00993172" w:rsidP="0065184D">
            <w:pPr>
              <w:jc w:val="right"/>
              <w:rPr>
                <w:rFonts w:eastAsia="Times New Roman"/>
                <w:sz w:val="20"/>
                <w:szCs w:val="20"/>
              </w:rPr>
            </w:pPr>
            <w:r w:rsidRPr="008E63BB">
              <w:rPr>
                <w:rFonts w:eastAsia="Times New Roman"/>
                <w:sz w:val="20"/>
                <w:szCs w:val="20"/>
              </w:rPr>
              <w:t>758,418</w:t>
            </w:r>
          </w:p>
        </w:tc>
        <w:tc>
          <w:tcPr>
            <w:tcW w:w="1216" w:type="dxa"/>
            <w:tcBorders>
              <w:top w:val="nil"/>
              <w:left w:val="nil"/>
              <w:bottom w:val="single" w:sz="4" w:space="0" w:color="auto"/>
              <w:right w:val="single" w:sz="4" w:space="0" w:color="auto"/>
            </w:tcBorders>
            <w:shd w:val="clear" w:color="auto" w:fill="auto"/>
            <w:noWrap/>
            <w:vAlign w:val="bottom"/>
            <w:hideMark/>
          </w:tcPr>
          <w:p w14:paraId="519B4B15" w14:textId="77777777" w:rsidR="00993172" w:rsidRPr="008E63BB" w:rsidRDefault="00993172" w:rsidP="0065184D">
            <w:pPr>
              <w:jc w:val="right"/>
              <w:rPr>
                <w:rFonts w:eastAsia="Times New Roman"/>
                <w:sz w:val="20"/>
                <w:szCs w:val="20"/>
              </w:rPr>
            </w:pPr>
            <w:r w:rsidRPr="008E63BB">
              <w:rPr>
                <w:rFonts w:eastAsia="Times New Roman"/>
                <w:sz w:val="20"/>
                <w:szCs w:val="20"/>
              </w:rPr>
              <w:t>791,724</w:t>
            </w:r>
          </w:p>
        </w:tc>
        <w:tc>
          <w:tcPr>
            <w:tcW w:w="1216" w:type="dxa"/>
            <w:tcBorders>
              <w:top w:val="nil"/>
              <w:left w:val="nil"/>
              <w:bottom w:val="single" w:sz="4" w:space="0" w:color="auto"/>
              <w:right w:val="single" w:sz="4" w:space="0" w:color="auto"/>
            </w:tcBorders>
            <w:shd w:val="clear" w:color="auto" w:fill="auto"/>
            <w:noWrap/>
            <w:vAlign w:val="bottom"/>
            <w:hideMark/>
          </w:tcPr>
          <w:p w14:paraId="519B4B16" w14:textId="77777777" w:rsidR="00993172" w:rsidRPr="008E63BB" w:rsidRDefault="00993172" w:rsidP="0065184D">
            <w:pPr>
              <w:jc w:val="right"/>
              <w:rPr>
                <w:rFonts w:eastAsia="Times New Roman"/>
                <w:sz w:val="20"/>
                <w:szCs w:val="20"/>
              </w:rPr>
            </w:pPr>
            <w:r w:rsidRPr="008E63BB">
              <w:rPr>
                <w:rFonts w:eastAsia="Times New Roman"/>
                <w:sz w:val="20"/>
                <w:szCs w:val="20"/>
              </w:rPr>
              <w:t>889,084</w:t>
            </w:r>
          </w:p>
        </w:tc>
        <w:tc>
          <w:tcPr>
            <w:tcW w:w="1216" w:type="dxa"/>
            <w:tcBorders>
              <w:top w:val="nil"/>
              <w:left w:val="nil"/>
              <w:bottom w:val="single" w:sz="4" w:space="0" w:color="auto"/>
              <w:right w:val="single" w:sz="4" w:space="0" w:color="auto"/>
            </w:tcBorders>
            <w:shd w:val="clear" w:color="auto" w:fill="auto"/>
            <w:noWrap/>
            <w:vAlign w:val="bottom"/>
            <w:hideMark/>
          </w:tcPr>
          <w:p w14:paraId="519B4B17" w14:textId="77777777" w:rsidR="00993172" w:rsidRPr="008E63BB" w:rsidRDefault="00993172" w:rsidP="0065184D">
            <w:pPr>
              <w:jc w:val="right"/>
              <w:rPr>
                <w:rFonts w:eastAsia="Times New Roman"/>
                <w:sz w:val="20"/>
                <w:szCs w:val="20"/>
              </w:rPr>
            </w:pPr>
            <w:r w:rsidRPr="008E63BB">
              <w:rPr>
                <w:rFonts w:eastAsia="Times New Roman"/>
                <w:sz w:val="20"/>
                <w:szCs w:val="20"/>
              </w:rPr>
              <w:t>911,019</w:t>
            </w:r>
          </w:p>
        </w:tc>
        <w:tc>
          <w:tcPr>
            <w:tcW w:w="1216" w:type="dxa"/>
            <w:tcBorders>
              <w:top w:val="nil"/>
              <w:left w:val="nil"/>
              <w:bottom w:val="single" w:sz="4" w:space="0" w:color="auto"/>
              <w:right w:val="single" w:sz="4" w:space="0" w:color="auto"/>
            </w:tcBorders>
            <w:shd w:val="clear" w:color="auto" w:fill="auto"/>
            <w:noWrap/>
            <w:vAlign w:val="bottom"/>
            <w:hideMark/>
          </w:tcPr>
          <w:p w14:paraId="519B4B18" w14:textId="77777777" w:rsidR="00993172" w:rsidRPr="008E63BB" w:rsidRDefault="00993172" w:rsidP="0065184D">
            <w:pPr>
              <w:jc w:val="right"/>
              <w:rPr>
                <w:rFonts w:eastAsia="Times New Roman"/>
                <w:sz w:val="20"/>
                <w:szCs w:val="20"/>
              </w:rPr>
            </w:pPr>
            <w:r w:rsidRPr="008E63BB">
              <w:rPr>
                <w:rFonts w:eastAsia="Times New Roman"/>
                <w:sz w:val="20"/>
                <w:szCs w:val="20"/>
              </w:rPr>
              <w:t>865,135</w:t>
            </w:r>
          </w:p>
        </w:tc>
        <w:tc>
          <w:tcPr>
            <w:tcW w:w="1216" w:type="dxa"/>
            <w:tcBorders>
              <w:top w:val="nil"/>
              <w:left w:val="nil"/>
              <w:bottom w:val="single" w:sz="4" w:space="0" w:color="auto"/>
              <w:right w:val="single" w:sz="4" w:space="0" w:color="auto"/>
            </w:tcBorders>
            <w:shd w:val="clear" w:color="auto" w:fill="auto"/>
            <w:noWrap/>
            <w:vAlign w:val="bottom"/>
            <w:hideMark/>
          </w:tcPr>
          <w:p w14:paraId="519B4B19" w14:textId="77777777" w:rsidR="00993172" w:rsidRPr="008E63BB" w:rsidRDefault="00993172" w:rsidP="0065184D">
            <w:pPr>
              <w:jc w:val="right"/>
              <w:rPr>
                <w:rFonts w:eastAsia="Times New Roman"/>
                <w:sz w:val="20"/>
                <w:szCs w:val="20"/>
              </w:rPr>
            </w:pPr>
            <w:r w:rsidRPr="008E63BB">
              <w:rPr>
                <w:rFonts w:eastAsia="Times New Roman"/>
                <w:sz w:val="20"/>
                <w:szCs w:val="20"/>
              </w:rPr>
              <w:t>932,025</w:t>
            </w:r>
          </w:p>
        </w:tc>
      </w:tr>
      <w:tr w:rsidR="008D5BFE" w:rsidRPr="008E63BB" w14:paraId="519B4B27"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1B"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1C"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1D" w14:textId="77777777" w:rsidR="00993172" w:rsidRPr="008E63BB" w:rsidRDefault="00993172" w:rsidP="0065184D">
            <w:pPr>
              <w:jc w:val="left"/>
              <w:rPr>
                <w:rFonts w:eastAsia="Times New Roman"/>
                <w:sz w:val="20"/>
                <w:szCs w:val="20"/>
              </w:rPr>
            </w:pPr>
            <w:r w:rsidRPr="008E63BB">
              <w:rPr>
                <w:rFonts w:eastAsia="Times New Roman"/>
                <w:sz w:val="20"/>
                <w:szCs w:val="20"/>
              </w:rPr>
              <w:t>Công nghiệp và xây dựng</w:t>
            </w:r>
          </w:p>
        </w:tc>
        <w:tc>
          <w:tcPr>
            <w:tcW w:w="1116" w:type="dxa"/>
            <w:tcBorders>
              <w:top w:val="nil"/>
              <w:left w:val="nil"/>
              <w:bottom w:val="single" w:sz="4" w:space="0" w:color="auto"/>
              <w:right w:val="single" w:sz="4" w:space="0" w:color="auto"/>
            </w:tcBorders>
            <w:shd w:val="clear" w:color="auto" w:fill="auto"/>
            <w:noWrap/>
            <w:vAlign w:val="bottom"/>
            <w:hideMark/>
          </w:tcPr>
          <w:p w14:paraId="519B4B1E" w14:textId="77777777" w:rsidR="00993172" w:rsidRPr="008E63BB" w:rsidRDefault="00993172" w:rsidP="0065184D">
            <w:pPr>
              <w:jc w:val="right"/>
              <w:rPr>
                <w:rFonts w:eastAsia="Times New Roman"/>
                <w:sz w:val="20"/>
                <w:szCs w:val="20"/>
              </w:rPr>
            </w:pPr>
            <w:r w:rsidRPr="008E63BB">
              <w:rPr>
                <w:rFonts w:eastAsia="Times New Roman"/>
                <w:sz w:val="20"/>
                <w:szCs w:val="20"/>
              </w:rPr>
              <w:t>888,012</w:t>
            </w:r>
          </w:p>
        </w:tc>
        <w:tc>
          <w:tcPr>
            <w:tcW w:w="1116" w:type="dxa"/>
            <w:tcBorders>
              <w:top w:val="nil"/>
              <w:left w:val="nil"/>
              <w:bottom w:val="single" w:sz="4" w:space="0" w:color="auto"/>
              <w:right w:val="single" w:sz="4" w:space="0" w:color="auto"/>
            </w:tcBorders>
            <w:shd w:val="clear" w:color="auto" w:fill="auto"/>
            <w:noWrap/>
            <w:vAlign w:val="bottom"/>
            <w:hideMark/>
          </w:tcPr>
          <w:p w14:paraId="519B4B1F" w14:textId="77777777" w:rsidR="00993172" w:rsidRPr="008E63BB" w:rsidRDefault="00993172" w:rsidP="0065184D">
            <w:pPr>
              <w:jc w:val="right"/>
              <w:rPr>
                <w:rFonts w:eastAsia="Times New Roman"/>
                <w:sz w:val="20"/>
                <w:szCs w:val="20"/>
              </w:rPr>
            </w:pPr>
            <w:r w:rsidRPr="008E63BB">
              <w:rPr>
                <w:rFonts w:eastAsia="Times New Roman"/>
                <w:sz w:val="20"/>
                <w:szCs w:val="20"/>
              </w:rPr>
              <w:t>1.009,477</w:t>
            </w:r>
          </w:p>
        </w:tc>
        <w:tc>
          <w:tcPr>
            <w:tcW w:w="1116" w:type="dxa"/>
            <w:tcBorders>
              <w:top w:val="nil"/>
              <w:left w:val="nil"/>
              <w:bottom w:val="single" w:sz="4" w:space="0" w:color="auto"/>
              <w:right w:val="single" w:sz="4" w:space="0" w:color="auto"/>
            </w:tcBorders>
            <w:shd w:val="clear" w:color="auto" w:fill="auto"/>
            <w:noWrap/>
            <w:vAlign w:val="bottom"/>
            <w:hideMark/>
          </w:tcPr>
          <w:p w14:paraId="519B4B20" w14:textId="77777777" w:rsidR="00993172" w:rsidRPr="008E63BB" w:rsidRDefault="00993172" w:rsidP="0065184D">
            <w:pPr>
              <w:jc w:val="right"/>
              <w:rPr>
                <w:rFonts w:eastAsia="Times New Roman"/>
                <w:sz w:val="20"/>
                <w:szCs w:val="20"/>
              </w:rPr>
            </w:pPr>
            <w:r w:rsidRPr="008E63BB">
              <w:rPr>
                <w:rFonts w:eastAsia="Times New Roman"/>
                <w:sz w:val="20"/>
                <w:szCs w:val="20"/>
              </w:rPr>
              <w:t>1.180,742</w:t>
            </w:r>
          </w:p>
        </w:tc>
        <w:tc>
          <w:tcPr>
            <w:tcW w:w="1216" w:type="dxa"/>
            <w:tcBorders>
              <w:top w:val="nil"/>
              <w:left w:val="nil"/>
              <w:bottom w:val="single" w:sz="4" w:space="0" w:color="auto"/>
              <w:right w:val="single" w:sz="4" w:space="0" w:color="auto"/>
            </w:tcBorders>
            <w:shd w:val="clear" w:color="auto" w:fill="auto"/>
            <w:noWrap/>
            <w:vAlign w:val="bottom"/>
            <w:hideMark/>
          </w:tcPr>
          <w:p w14:paraId="519B4B21" w14:textId="77777777" w:rsidR="00993172" w:rsidRPr="008E63BB" w:rsidRDefault="00993172" w:rsidP="0065184D">
            <w:pPr>
              <w:jc w:val="right"/>
              <w:rPr>
                <w:rFonts w:eastAsia="Times New Roman"/>
                <w:sz w:val="20"/>
                <w:szCs w:val="20"/>
              </w:rPr>
            </w:pPr>
            <w:r w:rsidRPr="008E63BB">
              <w:rPr>
                <w:rFonts w:eastAsia="Times New Roman"/>
                <w:sz w:val="20"/>
                <w:szCs w:val="20"/>
              </w:rPr>
              <w:t>1.340,122</w:t>
            </w:r>
          </w:p>
        </w:tc>
        <w:tc>
          <w:tcPr>
            <w:tcW w:w="1216" w:type="dxa"/>
            <w:tcBorders>
              <w:top w:val="nil"/>
              <w:left w:val="nil"/>
              <w:bottom w:val="single" w:sz="4" w:space="0" w:color="auto"/>
              <w:right w:val="single" w:sz="4" w:space="0" w:color="auto"/>
            </w:tcBorders>
            <w:shd w:val="clear" w:color="auto" w:fill="auto"/>
            <w:noWrap/>
            <w:vAlign w:val="bottom"/>
            <w:hideMark/>
          </w:tcPr>
          <w:p w14:paraId="519B4B22" w14:textId="77777777" w:rsidR="00993172" w:rsidRPr="008E63BB" w:rsidRDefault="00993172" w:rsidP="0065184D">
            <w:pPr>
              <w:jc w:val="right"/>
              <w:rPr>
                <w:rFonts w:eastAsia="Times New Roman"/>
                <w:sz w:val="20"/>
                <w:szCs w:val="20"/>
              </w:rPr>
            </w:pPr>
            <w:r w:rsidRPr="008E63BB">
              <w:rPr>
                <w:rFonts w:eastAsia="Times New Roman"/>
                <w:sz w:val="20"/>
                <w:szCs w:val="20"/>
              </w:rPr>
              <w:t>1.405,572</w:t>
            </w:r>
          </w:p>
        </w:tc>
        <w:tc>
          <w:tcPr>
            <w:tcW w:w="1216" w:type="dxa"/>
            <w:tcBorders>
              <w:top w:val="nil"/>
              <w:left w:val="nil"/>
              <w:bottom w:val="single" w:sz="4" w:space="0" w:color="auto"/>
              <w:right w:val="single" w:sz="4" w:space="0" w:color="auto"/>
            </w:tcBorders>
            <w:shd w:val="clear" w:color="auto" w:fill="auto"/>
            <w:noWrap/>
            <w:vAlign w:val="bottom"/>
            <w:hideMark/>
          </w:tcPr>
          <w:p w14:paraId="519B4B23" w14:textId="77777777" w:rsidR="00993172" w:rsidRPr="008E63BB" w:rsidRDefault="00993172" w:rsidP="0065184D">
            <w:pPr>
              <w:jc w:val="right"/>
              <w:rPr>
                <w:rFonts w:eastAsia="Times New Roman"/>
                <w:sz w:val="20"/>
                <w:szCs w:val="20"/>
              </w:rPr>
            </w:pPr>
            <w:r w:rsidRPr="008E63BB">
              <w:rPr>
                <w:rFonts w:eastAsia="Times New Roman"/>
                <w:sz w:val="20"/>
                <w:szCs w:val="20"/>
              </w:rPr>
              <w:t>1821,206</w:t>
            </w:r>
          </w:p>
        </w:tc>
        <w:tc>
          <w:tcPr>
            <w:tcW w:w="1216" w:type="dxa"/>
            <w:tcBorders>
              <w:top w:val="nil"/>
              <w:left w:val="nil"/>
              <w:bottom w:val="single" w:sz="4" w:space="0" w:color="auto"/>
              <w:right w:val="single" w:sz="4" w:space="0" w:color="auto"/>
            </w:tcBorders>
            <w:shd w:val="clear" w:color="auto" w:fill="auto"/>
            <w:noWrap/>
            <w:vAlign w:val="bottom"/>
            <w:hideMark/>
          </w:tcPr>
          <w:p w14:paraId="519B4B24" w14:textId="77777777" w:rsidR="00993172" w:rsidRPr="008E63BB" w:rsidRDefault="00993172" w:rsidP="0065184D">
            <w:pPr>
              <w:jc w:val="right"/>
              <w:rPr>
                <w:rFonts w:eastAsia="Times New Roman"/>
                <w:sz w:val="20"/>
                <w:szCs w:val="20"/>
              </w:rPr>
            </w:pPr>
            <w:r w:rsidRPr="008E63BB">
              <w:rPr>
                <w:rFonts w:eastAsia="Times New Roman"/>
                <w:sz w:val="20"/>
                <w:szCs w:val="20"/>
              </w:rPr>
              <w:t>1946,137</w:t>
            </w:r>
          </w:p>
        </w:tc>
        <w:tc>
          <w:tcPr>
            <w:tcW w:w="1216" w:type="dxa"/>
            <w:tcBorders>
              <w:top w:val="nil"/>
              <w:left w:val="nil"/>
              <w:bottom w:val="single" w:sz="4" w:space="0" w:color="auto"/>
              <w:right w:val="single" w:sz="4" w:space="0" w:color="auto"/>
            </w:tcBorders>
            <w:shd w:val="clear" w:color="auto" w:fill="auto"/>
            <w:noWrap/>
            <w:vAlign w:val="bottom"/>
            <w:hideMark/>
          </w:tcPr>
          <w:p w14:paraId="519B4B25" w14:textId="77777777" w:rsidR="00993172" w:rsidRPr="008E63BB" w:rsidRDefault="00993172" w:rsidP="0065184D">
            <w:pPr>
              <w:jc w:val="right"/>
              <w:rPr>
                <w:rFonts w:eastAsia="Times New Roman"/>
                <w:sz w:val="20"/>
                <w:szCs w:val="20"/>
              </w:rPr>
            </w:pPr>
            <w:r w:rsidRPr="008E63BB">
              <w:rPr>
                <w:rFonts w:eastAsia="Times New Roman"/>
                <w:sz w:val="20"/>
                <w:szCs w:val="20"/>
              </w:rPr>
              <w:t>2120,908</w:t>
            </w:r>
          </w:p>
        </w:tc>
        <w:tc>
          <w:tcPr>
            <w:tcW w:w="1216" w:type="dxa"/>
            <w:tcBorders>
              <w:top w:val="nil"/>
              <w:left w:val="nil"/>
              <w:bottom w:val="single" w:sz="4" w:space="0" w:color="auto"/>
              <w:right w:val="single" w:sz="4" w:space="0" w:color="auto"/>
            </w:tcBorders>
            <w:shd w:val="clear" w:color="auto" w:fill="auto"/>
            <w:noWrap/>
            <w:vAlign w:val="bottom"/>
            <w:hideMark/>
          </w:tcPr>
          <w:p w14:paraId="519B4B26" w14:textId="77777777" w:rsidR="00993172" w:rsidRPr="008E63BB" w:rsidRDefault="00993172" w:rsidP="0065184D">
            <w:pPr>
              <w:jc w:val="right"/>
              <w:rPr>
                <w:rFonts w:eastAsia="Times New Roman"/>
                <w:sz w:val="20"/>
                <w:szCs w:val="20"/>
              </w:rPr>
            </w:pPr>
            <w:r w:rsidRPr="008E63BB">
              <w:rPr>
                <w:rFonts w:eastAsia="Times New Roman"/>
                <w:sz w:val="20"/>
                <w:szCs w:val="20"/>
              </w:rPr>
              <w:t>2468,51</w:t>
            </w:r>
          </w:p>
        </w:tc>
      </w:tr>
      <w:tr w:rsidR="008D5BFE" w:rsidRPr="008E63BB" w14:paraId="519B4B34"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28"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29"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2A" w14:textId="77777777" w:rsidR="00993172" w:rsidRPr="008E63BB" w:rsidRDefault="00993172" w:rsidP="0065184D">
            <w:pPr>
              <w:jc w:val="left"/>
              <w:rPr>
                <w:rFonts w:eastAsia="Times New Roman"/>
                <w:sz w:val="20"/>
                <w:szCs w:val="20"/>
              </w:rPr>
            </w:pPr>
            <w:r w:rsidRPr="008E63BB">
              <w:rPr>
                <w:rFonts w:eastAsia="Times New Roman"/>
                <w:sz w:val="20"/>
                <w:szCs w:val="20"/>
              </w:rPr>
              <w:t>Dịch vụ, thương mại</w:t>
            </w:r>
          </w:p>
        </w:tc>
        <w:tc>
          <w:tcPr>
            <w:tcW w:w="1116" w:type="dxa"/>
            <w:tcBorders>
              <w:top w:val="nil"/>
              <w:left w:val="nil"/>
              <w:bottom w:val="single" w:sz="4" w:space="0" w:color="auto"/>
              <w:right w:val="single" w:sz="4" w:space="0" w:color="auto"/>
            </w:tcBorders>
            <w:shd w:val="clear" w:color="auto" w:fill="auto"/>
            <w:noWrap/>
            <w:vAlign w:val="bottom"/>
            <w:hideMark/>
          </w:tcPr>
          <w:p w14:paraId="519B4B2B" w14:textId="77777777" w:rsidR="00993172" w:rsidRPr="008E63BB" w:rsidRDefault="00993172" w:rsidP="0065184D">
            <w:pPr>
              <w:jc w:val="right"/>
              <w:rPr>
                <w:rFonts w:eastAsia="Times New Roman"/>
                <w:sz w:val="20"/>
                <w:szCs w:val="20"/>
              </w:rPr>
            </w:pPr>
            <w:r w:rsidRPr="008E63BB">
              <w:rPr>
                <w:rFonts w:eastAsia="Times New Roman"/>
                <w:sz w:val="20"/>
                <w:szCs w:val="20"/>
              </w:rPr>
              <w:t>325,261</w:t>
            </w:r>
          </w:p>
        </w:tc>
        <w:tc>
          <w:tcPr>
            <w:tcW w:w="1116" w:type="dxa"/>
            <w:tcBorders>
              <w:top w:val="nil"/>
              <w:left w:val="nil"/>
              <w:bottom w:val="single" w:sz="4" w:space="0" w:color="auto"/>
              <w:right w:val="single" w:sz="4" w:space="0" w:color="auto"/>
            </w:tcBorders>
            <w:shd w:val="clear" w:color="auto" w:fill="auto"/>
            <w:noWrap/>
            <w:vAlign w:val="bottom"/>
            <w:hideMark/>
          </w:tcPr>
          <w:p w14:paraId="519B4B2C" w14:textId="77777777" w:rsidR="00993172" w:rsidRPr="008E63BB" w:rsidRDefault="00993172" w:rsidP="0065184D">
            <w:pPr>
              <w:jc w:val="right"/>
              <w:rPr>
                <w:rFonts w:eastAsia="Times New Roman"/>
                <w:sz w:val="20"/>
                <w:szCs w:val="20"/>
              </w:rPr>
            </w:pPr>
            <w:r w:rsidRPr="008E63BB">
              <w:rPr>
                <w:rFonts w:eastAsia="Times New Roman"/>
                <w:sz w:val="20"/>
                <w:szCs w:val="20"/>
              </w:rPr>
              <w:t>399,564</w:t>
            </w:r>
          </w:p>
        </w:tc>
        <w:tc>
          <w:tcPr>
            <w:tcW w:w="1116" w:type="dxa"/>
            <w:tcBorders>
              <w:top w:val="nil"/>
              <w:left w:val="nil"/>
              <w:bottom w:val="single" w:sz="4" w:space="0" w:color="auto"/>
              <w:right w:val="single" w:sz="4" w:space="0" w:color="auto"/>
            </w:tcBorders>
            <w:shd w:val="clear" w:color="auto" w:fill="auto"/>
            <w:noWrap/>
            <w:vAlign w:val="bottom"/>
            <w:hideMark/>
          </w:tcPr>
          <w:p w14:paraId="519B4B2D" w14:textId="77777777" w:rsidR="00993172" w:rsidRPr="008E63BB" w:rsidRDefault="00993172" w:rsidP="0065184D">
            <w:pPr>
              <w:jc w:val="right"/>
              <w:rPr>
                <w:rFonts w:eastAsia="Times New Roman"/>
                <w:sz w:val="20"/>
                <w:szCs w:val="20"/>
              </w:rPr>
            </w:pPr>
            <w:r w:rsidRPr="008E63BB">
              <w:rPr>
                <w:rFonts w:eastAsia="Times New Roman"/>
                <w:sz w:val="20"/>
                <w:szCs w:val="20"/>
              </w:rPr>
              <w:t>469,300</w:t>
            </w:r>
          </w:p>
        </w:tc>
        <w:tc>
          <w:tcPr>
            <w:tcW w:w="1216" w:type="dxa"/>
            <w:tcBorders>
              <w:top w:val="nil"/>
              <w:left w:val="nil"/>
              <w:bottom w:val="single" w:sz="4" w:space="0" w:color="auto"/>
              <w:right w:val="single" w:sz="4" w:space="0" w:color="auto"/>
            </w:tcBorders>
            <w:shd w:val="clear" w:color="auto" w:fill="auto"/>
            <w:noWrap/>
            <w:vAlign w:val="bottom"/>
            <w:hideMark/>
          </w:tcPr>
          <w:p w14:paraId="519B4B2E" w14:textId="77777777" w:rsidR="00993172" w:rsidRPr="008E63BB" w:rsidRDefault="00993172" w:rsidP="0065184D">
            <w:pPr>
              <w:jc w:val="right"/>
              <w:rPr>
                <w:rFonts w:eastAsia="Times New Roman"/>
                <w:sz w:val="20"/>
                <w:szCs w:val="20"/>
              </w:rPr>
            </w:pPr>
            <w:r w:rsidRPr="008E63BB">
              <w:rPr>
                <w:rFonts w:eastAsia="Times New Roman"/>
                <w:sz w:val="20"/>
                <w:szCs w:val="20"/>
              </w:rPr>
              <w:t>497,007</w:t>
            </w:r>
          </w:p>
        </w:tc>
        <w:tc>
          <w:tcPr>
            <w:tcW w:w="1216" w:type="dxa"/>
            <w:tcBorders>
              <w:top w:val="nil"/>
              <w:left w:val="nil"/>
              <w:bottom w:val="single" w:sz="4" w:space="0" w:color="auto"/>
              <w:right w:val="single" w:sz="4" w:space="0" w:color="auto"/>
            </w:tcBorders>
            <w:shd w:val="clear" w:color="auto" w:fill="auto"/>
            <w:noWrap/>
            <w:vAlign w:val="bottom"/>
            <w:hideMark/>
          </w:tcPr>
          <w:p w14:paraId="519B4B2F" w14:textId="77777777" w:rsidR="00993172" w:rsidRPr="008E63BB" w:rsidRDefault="00993172" w:rsidP="0065184D">
            <w:pPr>
              <w:jc w:val="right"/>
              <w:rPr>
                <w:rFonts w:eastAsia="Times New Roman"/>
                <w:sz w:val="20"/>
                <w:szCs w:val="20"/>
              </w:rPr>
            </w:pPr>
            <w:r w:rsidRPr="008E63BB">
              <w:rPr>
                <w:rFonts w:eastAsia="Times New Roman"/>
                <w:sz w:val="20"/>
                <w:szCs w:val="20"/>
              </w:rPr>
              <w:t>565,169</w:t>
            </w:r>
          </w:p>
        </w:tc>
        <w:tc>
          <w:tcPr>
            <w:tcW w:w="1216" w:type="dxa"/>
            <w:tcBorders>
              <w:top w:val="nil"/>
              <w:left w:val="nil"/>
              <w:bottom w:val="single" w:sz="4" w:space="0" w:color="auto"/>
              <w:right w:val="single" w:sz="4" w:space="0" w:color="auto"/>
            </w:tcBorders>
            <w:shd w:val="clear" w:color="auto" w:fill="auto"/>
            <w:noWrap/>
            <w:vAlign w:val="bottom"/>
            <w:hideMark/>
          </w:tcPr>
          <w:p w14:paraId="519B4B30" w14:textId="77777777" w:rsidR="00993172" w:rsidRPr="008E63BB" w:rsidRDefault="00993172" w:rsidP="0065184D">
            <w:pPr>
              <w:jc w:val="right"/>
              <w:rPr>
                <w:rFonts w:eastAsia="Times New Roman"/>
                <w:sz w:val="20"/>
                <w:szCs w:val="20"/>
              </w:rPr>
            </w:pPr>
            <w:r w:rsidRPr="008E63BB">
              <w:rPr>
                <w:rFonts w:eastAsia="Times New Roman"/>
                <w:sz w:val="20"/>
                <w:szCs w:val="20"/>
              </w:rPr>
              <w:t>619,553</w:t>
            </w:r>
          </w:p>
        </w:tc>
        <w:tc>
          <w:tcPr>
            <w:tcW w:w="1216" w:type="dxa"/>
            <w:tcBorders>
              <w:top w:val="nil"/>
              <w:left w:val="nil"/>
              <w:bottom w:val="single" w:sz="4" w:space="0" w:color="auto"/>
              <w:right w:val="single" w:sz="4" w:space="0" w:color="auto"/>
            </w:tcBorders>
            <w:shd w:val="clear" w:color="auto" w:fill="auto"/>
            <w:noWrap/>
            <w:vAlign w:val="bottom"/>
            <w:hideMark/>
          </w:tcPr>
          <w:p w14:paraId="519B4B31" w14:textId="77777777" w:rsidR="00993172" w:rsidRPr="008E63BB" w:rsidRDefault="00993172" w:rsidP="0065184D">
            <w:pPr>
              <w:jc w:val="right"/>
              <w:rPr>
                <w:rFonts w:eastAsia="Times New Roman"/>
                <w:sz w:val="20"/>
                <w:szCs w:val="20"/>
              </w:rPr>
            </w:pPr>
            <w:r w:rsidRPr="008E63BB">
              <w:rPr>
                <w:rFonts w:eastAsia="Times New Roman"/>
                <w:sz w:val="20"/>
                <w:szCs w:val="20"/>
              </w:rPr>
              <w:t>688,358</w:t>
            </w:r>
          </w:p>
        </w:tc>
        <w:tc>
          <w:tcPr>
            <w:tcW w:w="1216" w:type="dxa"/>
            <w:tcBorders>
              <w:top w:val="nil"/>
              <w:left w:val="nil"/>
              <w:bottom w:val="single" w:sz="4" w:space="0" w:color="auto"/>
              <w:right w:val="single" w:sz="4" w:space="0" w:color="auto"/>
            </w:tcBorders>
            <w:shd w:val="clear" w:color="auto" w:fill="auto"/>
            <w:noWrap/>
            <w:vAlign w:val="bottom"/>
            <w:hideMark/>
          </w:tcPr>
          <w:p w14:paraId="519B4B32" w14:textId="77777777" w:rsidR="00993172" w:rsidRPr="008E63BB" w:rsidRDefault="00993172" w:rsidP="0065184D">
            <w:pPr>
              <w:jc w:val="right"/>
              <w:rPr>
                <w:rFonts w:eastAsia="Times New Roman"/>
                <w:sz w:val="20"/>
                <w:szCs w:val="20"/>
              </w:rPr>
            </w:pPr>
            <w:r w:rsidRPr="008E63BB">
              <w:rPr>
                <w:rFonts w:eastAsia="Times New Roman"/>
                <w:sz w:val="20"/>
                <w:szCs w:val="20"/>
              </w:rPr>
              <w:t>755,127</w:t>
            </w:r>
          </w:p>
        </w:tc>
        <w:tc>
          <w:tcPr>
            <w:tcW w:w="1216" w:type="dxa"/>
            <w:tcBorders>
              <w:top w:val="nil"/>
              <w:left w:val="nil"/>
              <w:bottom w:val="single" w:sz="4" w:space="0" w:color="auto"/>
              <w:right w:val="single" w:sz="4" w:space="0" w:color="auto"/>
            </w:tcBorders>
            <w:shd w:val="clear" w:color="auto" w:fill="auto"/>
            <w:noWrap/>
            <w:vAlign w:val="bottom"/>
            <w:hideMark/>
          </w:tcPr>
          <w:p w14:paraId="519B4B33" w14:textId="77777777" w:rsidR="00993172" w:rsidRPr="008E63BB" w:rsidRDefault="00993172" w:rsidP="0065184D">
            <w:pPr>
              <w:jc w:val="right"/>
              <w:rPr>
                <w:rFonts w:eastAsia="Times New Roman"/>
                <w:sz w:val="20"/>
                <w:szCs w:val="20"/>
              </w:rPr>
            </w:pPr>
            <w:r w:rsidRPr="008E63BB">
              <w:rPr>
                <w:rFonts w:eastAsia="Times New Roman"/>
                <w:sz w:val="20"/>
                <w:szCs w:val="20"/>
              </w:rPr>
              <w:t>786,451</w:t>
            </w:r>
          </w:p>
        </w:tc>
      </w:tr>
      <w:tr w:rsidR="008D5BFE" w:rsidRPr="008E63BB" w14:paraId="519B4B41" w14:textId="77777777" w:rsidTr="004710C7">
        <w:trPr>
          <w:trHeight w:val="255"/>
        </w:trPr>
        <w:tc>
          <w:tcPr>
            <w:tcW w:w="616"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4B35" w14:textId="77777777" w:rsidR="00993172" w:rsidRPr="008E63BB" w:rsidRDefault="00993172" w:rsidP="0065184D">
            <w:pPr>
              <w:jc w:val="center"/>
              <w:rPr>
                <w:rFonts w:eastAsia="Times New Roman"/>
                <w:sz w:val="20"/>
                <w:szCs w:val="20"/>
              </w:rPr>
            </w:pPr>
            <w:r w:rsidRPr="008E63BB">
              <w:rPr>
                <w:rFonts w:eastAsia="Times New Roman"/>
                <w:sz w:val="20"/>
                <w:szCs w:val="20"/>
              </w:rPr>
              <w:t>H. Vụ Bản</w:t>
            </w:r>
          </w:p>
        </w:tc>
        <w:tc>
          <w:tcPr>
            <w:tcW w:w="316" w:type="dxa"/>
            <w:tcBorders>
              <w:top w:val="nil"/>
              <w:left w:val="nil"/>
              <w:bottom w:val="single" w:sz="4" w:space="0" w:color="auto"/>
              <w:right w:val="single" w:sz="4" w:space="0" w:color="auto"/>
            </w:tcBorders>
            <w:shd w:val="clear" w:color="auto" w:fill="auto"/>
            <w:noWrap/>
            <w:vAlign w:val="bottom"/>
            <w:hideMark/>
          </w:tcPr>
          <w:p w14:paraId="519B4B36" w14:textId="77777777" w:rsidR="00993172" w:rsidRPr="008E63BB" w:rsidRDefault="00993172" w:rsidP="0065184D">
            <w:pPr>
              <w:jc w:val="center"/>
              <w:rPr>
                <w:rFonts w:eastAsia="Times New Roman"/>
                <w:b/>
                <w:bCs/>
                <w:sz w:val="20"/>
                <w:szCs w:val="20"/>
              </w:rPr>
            </w:pPr>
            <w:r w:rsidRPr="008E63BB">
              <w:rPr>
                <w:rFonts w:eastAsia="Times New Roman"/>
                <w:b/>
                <w:bCs/>
                <w:sz w:val="20"/>
                <w:szCs w:val="20"/>
              </w:rPr>
              <w:t>3</w:t>
            </w:r>
          </w:p>
        </w:tc>
        <w:tc>
          <w:tcPr>
            <w:tcW w:w="2730" w:type="dxa"/>
            <w:tcBorders>
              <w:top w:val="nil"/>
              <w:left w:val="nil"/>
              <w:bottom w:val="single" w:sz="4" w:space="0" w:color="auto"/>
              <w:right w:val="single" w:sz="4" w:space="0" w:color="auto"/>
            </w:tcBorders>
            <w:shd w:val="clear" w:color="auto" w:fill="auto"/>
            <w:noWrap/>
            <w:vAlign w:val="bottom"/>
            <w:hideMark/>
          </w:tcPr>
          <w:p w14:paraId="519B4B37" w14:textId="77777777" w:rsidR="00993172" w:rsidRPr="008E63BB" w:rsidRDefault="00993172" w:rsidP="0065184D">
            <w:pPr>
              <w:jc w:val="left"/>
              <w:rPr>
                <w:rFonts w:eastAsia="Times New Roman"/>
                <w:b/>
                <w:bCs/>
                <w:sz w:val="20"/>
                <w:szCs w:val="20"/>
              </w:rPr>
            </w:pPr>
            <w:r w:rsidRPr="008E63BB">
              <w:rPr>
                <w:rFonts w:eastAsia="Times New Roman"/>
                <w:b/>
                <w:bCs/>
                <w:sz w:val="20"/>
                <w:szCs w:val="20"/>
              </w:rPr>
              <w:t>Tổng giá trị sản xuất (tỷ)</w:t>
            </w:r>
          </w:p>
        </w:tc>
        <w:tc>
          <w:tcPr>
            <w:tcW w:w="1116" w:type="dxa"/>
            <w:tcBorders>
              <w:top w:val="nil"/>
              <w:left w:val="nil"/>
              <w:bottom w:val="single" w:sz="4" w:space="0" w:color="auto"/>
              <w:right w:val="single" w:sz="4" w:space="0" w:color="auto"/>
            </w:tcBorders>
            <w:shd w:val="clear" w:color="auto" w:fill="auto"/>
            <w:noWrap/>
            <w:vAlign w:val="bottom"/>
            <w:hideMark/>
          </w:tcPr>
          <w:p w14:paraId="519B4B38"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2.966,068</w:t>
            </w:r>
          </w:p>
        </w:tc>
        <w:tc>
          <w:tcPr>
            <w:tcW w:w="1116" w:type="dxa"/>
            <w:tcBorders>
              <w:top w:val="nil"/>
              <w:left w:val="nil"/>
              <w:bottom w:val="single" w:sz="4" w:space="0" w:color="auto"/>
              <w:right w:val="single" w:sz="4" w:space="0" w:color="auto"/>
            </w:tcBorders>
            <w:shd w:val="clear" w:color="auto" w:fill="auto"/>
            <w:noWrap/>
            <w:vAlign w:val="bottom"/>
            <w:hideMark/>
          </w:tcPr>
          <w:p w14:paraId="519B4B39"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3.675,963</w:t>
            </w:r>
          </w:p>
        </w:tc>
        <w:tc>
          <w:tcPr>
            <w:tcW w:w="1116" w:type="dxa"/>
            <w:tcBorders>
              <w:top w:val="nil"/>
              <w:left w:val="nil"/>
              <w:bottom w:val="single" w:sz="4" w:space="0" w:color="auto"/>
              <w:right w:val="single" w:sz="4" w:space="0" w:color="auto"/>
            </w:tcBorders>
            <w:shd w:val="clear" w:color="auto" w:fill="auto"/>
            <w:noWrap/>
            <w:vAlign w:val="bottom"/>
            <w:hideMark/>
          </w:tcPr>
          <w:p w14:paraId="519B4B3A"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4.068,236</w:t>
            </w:r>
          </w:p>
        </w:tc>
        <w:tc>
          <w:tcPr>
            <w:tcW w:w="1216" w:type="dxa"/>
            <w:tcBorders>
              <w:top w:val="nil"/>
              <w:left w:val="nil"/>
              <w:bottom w:val="single" w:sz="4" w:space="0" w:color="auto"/>
              <w:right w:val="single" w:sz="4" w:space="0" w:color="auto"/>
            </w:tcBorders>
            <w:shd w:val="clear" w:color="auto" w:fill="auto"/>
            <w:noWrap/>
            <w:vAlign w:val="bottom"/>
            <w:hideMark/>
          </w:tcPr>
          <w:p w14:paraId="519B4B3B"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4.753,881</w:t>
            </w:r>
          </w:p>
        </w:tc>
        <w:tc>
          <w:tcPr>
            <w:tcW w:w="1216" w:type="dxa"/>
            <w:tcBorders>
              <w:top w:val="nil"/>
              <w:left w:val="nil"/>
              <w:bottom w:val="single" w:sz="4" w:space="0" w:color="auto"/>
              <w:right w:val="single" w:sz="4" w:space="0" w:color="auto"/>
            </w:tcBorders>
            <w:shd w:val="clear" w:color="auto" w:fill="auto"/>
            <w:noWrap/>
            <w:vAlign w:val="bottom"/>
            <w:hideMark/>
          </w:tcPr>
          <w:p w14:paraId="519B4B3C"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6.030,171</w:t>
            </w:r>
          </w:p>
        </w:tc>
        <w:tc>
          <w:tcPr>
            <w:tcW w:w="1216" w:type="dxa"/>
            <w:tcBorders>
              <w:top w:val="nil"/>
              <w:left w:val="nil"/>
              <w:bottom w:val="single" w:sz="4" w:space="0" w:color="auto"/>
              <w:right w:val="single" w:sz="4" w:space="0" w:color="auto"/>
            </w:tcBorders>
            <w:shd w:val="clear" w:color="auto" w:fill="auto"/>
            <w:noWrap/>
            <w:vAlign w:val="bottom"/>
            <w:hideMark/>
          </w:tcPr>
          <w:p w14:paraId="519B4B3D"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6.777,966</w:t>
            </w:r>
          </w:p>
        </w:tc>
        <w:tc>
          <w:tcPr>
            <w:tcW w:w="1216" w:type="dxa"/>
            <w:tcBorders>
              <w:top w:val="nil"/>
              <w:left w:val="nil"/>
              <w:bottom w:val="single" w:sz="4" w:space="0" w:color="auto"/>
              <w:right w:val="single" w:sz="4" w:space="0" w:color="auto"/>
            </w:tcBorders>
            <w:shd w:val="clear" w:color="auto" w:fill="auto"/>
            <w:noWrap/>
            <w:vAlign w:val="bottom"/>
            <w:hideMark/>
          </w:tcPr>
          <w:p w14:paraId="519B4B3E"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7.864,470</w:t>
            </w:r>
          </w:p>
        </w:tc>
        <w:tc>
          <w:tcPr>
            <w:tcW w:w="1216" w:type="dxa"/>
            <w:tcBorders>
              <w:top w:val="nil"/>
              <w:left w:val="nil"/>
              <w:bottom w:val="single" w:sz="4" w:space="0" w:color="auto"/>
              <w:right w:val="single" w:sz="4" w:space="0" w:color="auto"/>
            </w:tcBorders>
            <w:shd w:val="clear" w:color="auto" w:fill="auto"/>
            <w:noWrap/>
            <w:vAlign w:val="bottom"/>
            <w:hideMark/>
          </w:tcPr>
          <w:p w14:paraId="519B4B3F"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8.520,816</w:t>
            </w:r>
          </w:p>
        </w:tc>
        <w:tc>
          <w:tcPr>
            <w:tcW w:w="1216" w:type="dxa"/>
            <w:tcBorders>
              <w:top w:val="nil"/>
              <w:left w:val="nil"/>
              <w:bottom w:val="single" w:sz="4" w:space="0" w:color="auto"/>
              <w:right w:val="single" w:sz="4" w:space="0" w:color="auto"/>
            </w:tcBorders>
            <w:shd w:val="clear" w:color="auto" w:fill="auto"/>
            <w:noWrap/>
            <w:vAlign w:val="bottom"/>
            <w:hideMark/>
          </w:tcPr>
          <w:p w14:paraId="519B4B40"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9.427,378</w:t>
            </w:r>
          </w:p>
        </w:tc>
      </w:tr>
      <w:tr w:rsidR="008D5BFE" w:rsidRPr="008E63BB" w14:paraId="519B4B4E"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42"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43"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44" w14:textId="77777777" w:rsidR="00993172" w:rsidRPr="008E63BB" w:rsidRDefault="00993172" w:rsidP="0065184D">
            <w:pPr>
              <w:jc w:val="left"/>
              <w:rPr>
                <w:rFonts w:eastAsia="Times New Roman"/>
                <w:sz w:val="20"/>
                <w:szCs w:val="20"/>
              </w:rPr>
            </w:pPr>
            <w:r w:rsidRPr="008E63BB">
              <w:rPr>
                <w:rFonts w:eastAsia="Times New Roman"/>
                <w:sz w:val="20"/>
                <w:szCs w:val="20"/>
              </w:rPr>
              <w:t>Nông, lâm nghiệp và thủy sản</w:t>
            </w:r>
          </w:p>
        </w:tc>
        <w:tc>
          <w:tcPr>
            <w:tcW w:w="1116" w:type="dxa"/>
            <w:tcBorders>
              <w:top w:val="nil"/>
              <w:left w:val="nil"/>
              <w:bottom w:val="single" w:sz="4" w:space="0" w:color="auto"/>
              <w:right w:val="single" w:sz="4" w:space="0" w:color="auto"/>
            </w:tcBorders>
            <w:shd w:val="clear" w:color="auto" w:fill="auto"/>
            <w:noWrap/>
            <w:vAlign w:val="bottom"/>
            <w:hideMark/>
          </w:tcPr>
          <w:p w14:paraId="519B4B45" w14:textId="77777777" w:rsidR="00993172" w:rsidRPr="008E63BB" w:rsidRDefault="00993172" w:rsidP="0065184D">
            <w:pPr>
              <w:jc w:val="right"/>
              <w:rPr>
                <w:rFonts w:eastAsia="Times New Roman"/>
                <w:sz w:val="20"/>
                <w:szCs w:val="20"/>
              </w:rPr>
            </w:pPr>
            <w:r w:rsidRPr="008E63BB">
              <w:rPr>
                <w:rFonts w:eastAsia="Times New Roman"/>
                <w:sz w:val="20"/>
                <w:szCs w:val="20"/>
              </w:rPr>
              <w:t>1.285,210</w:t>
            </w:r>
          </w:p>
        </w:tc>
        <w:tc>
          <w:tcPr>
            <w:tcW w:w="1116" w:type="dxa"/>
            <w:tcBorders>
              <w:top w:val="nil"/>
              <w:left w:val="nil"/>
              <w:bottom w:val="single" w:sz="4" w:space="0" w:color="auto"/>
              <w:right w:val="single" w:sz="4" w:space="0" w:color="auto"/>
            </w:tcBorders>
            <w:shd w:val="clear" w:color="auto" w:fill="auto"/>
            <w:noWrap/>
            <w:vAlign w:val="bottom"/>
            <w:hideMark/>
          </w:tcPr>
          <w:p w14:paraId="519B4B46" w14:textId="77777777" w:rsidR="00993172" w:rsidRPr="008E63BB" w:rsidRDefault="00993172" w:rsidP="0065184D">
            <w:pPr>
              <w:jc w:val="right"/>
              <w:rPr>
                <w:rFonts w:eastAsia="Times New Roman"/>
                <w:sz w:val="20"/>
                <w:szCs w:val="20"/>
              </w:rPr>
            </w:pPr>
            <w:r w:rsidRPr="008E63BB">
              <w:rPr>
                <w:rFonts w:eastAsia="Times New Roman"/>
                <w:sz w:val="20"/>
                <w:szCs w:val="20"/>
              </w:rPr>
              <w:t>1.669,791</w:t>
            </w:r>
          </w:p>
        </w:tc>
        <w:tc>
          <w:tcPr>
            <w:tcW w:w="1116" w:type="dxa"/>
            <w:tcBorders>
              <w:top w:val="nil"/>
              <w:left w:val="nil"/>
              <w:bottom w:val="single" w:sz="4" w:space="0" w:color="auto"/>
              <w:right w:val="single" w:sz="4" w:space="0" w:color="auto"/>
            </w:tcBorders>
            <w:shd w:val="clear" w:color="auto" w:fill="auto"/>
            <w:noWrap/>
            <w:vAlign w:val="bottom"/>
            <w:hideMark/>
          </w:tcPr>
          <w:p w14:paraId="519B4B47" w14:textId="77777777" w:rsidR="00993172" w:rsidRPr="008E63BB" w:rsidRDefault="00993172" w:rsidP="0065184D">
            <w:pPr>
              <w:jc w:val="right"/>
              <w:rPr>
                <w:rFonts w:eastAsia="Times New Roman"/>
                <w:sz w:val="20"/>
                <w:szCs w:val="20"/>
              </w:rPr>
            </w:pPr>
            <w:r w:rsidRPr="008E63BB">
              <w:rPr>
                <w:rFonts w:eastAsia="Times New Roman"/>
                <w:sz w:val="20"/>
                <w:szCs w:val="20"/>
              </w:rPr>
              <w:t>1.635,673</w:t>
            </w:r>
          </w:p>
        </w:tc>
        <w:tc>
          <w:tcPr>
            <w:tcW w:w="1216" w:type="dxa"/>
            <w:tcBorders>
              <w:top w:val="nil"/>
              <w:left w:val="nil"/>
              <w:bottom w:val="single" w:sz="4" w:space="0" w:color="auto"/>
              <w:right w:val="single" w:sz="4" w:space="0" w:color="auto"/>
            </w:tcBorders>
            <w:shd w:val="clear" w:color="auto" w:fill="auto"/>
            <w:noWrap/>
            <w:vAlign w:val="bottom"/>
            <w:hideMark/>
          </w:tcPr>
          <w:p w14:paraId="519B4B48" w14:textId="77777777" w:rsidR="00993172" w:rsidRPr="008E63BB" w:rsidRDefault="00993172" w:rsidP="0065184D">
            <w:pPr>
              <w:jc w:val="right"/>
              <w:rPr>
                <w:rFonts w:eastAsia="Times New Roman"/>
                <w:sz w:val="20"/>
                <w:szCs w:val="20"/>
              </w:rPr>
            </w:pPr>
            <w:r w:rsidRPr="008E63BB">
              <w:rPr>
                <w:rFonts w:eastAsia="Times New Roman"/>
                <w:sz w:val="20"/>
                <w:szCs w:val="20"/>
              </w:rPr>
              <w:t>1.620,993</w:t>
            </w:r>
          </w:p>
        </w:tc>
        <w:tc>
          <w:tcPr>
            <w:tcW w:w="1216" w:type="dxa"/>
            <w:tcBorders>
              <w:top w:val="nil"/>
              <w:left w:val="nil"/>
              <w:bottom w:val="single" w:sz="4" w:space="0" w:color="auto"/>
              <w:right w:val="single" w:sz="4" w:space="0" w:color="auto"/>
            </w:tcBorders>
            <w:shd w:val="clear" w:color="auto" w:fill="auto"/>
            <w:noWrap/>
            <w:vAlign w:val="bottom"/>
            <w:hideMark/>
          </w:tcPr>
          <w:p w14:paraId="519B4B49" w14:textId="77777777" w:rsidR="00993172" w:rsidRPr="008E63BB" w:rsidRDefault="00993172" w:rsidP="0065184D">
            <w:pPr>
              <w:jc w:val="right"/>
              <w:rPr>
                <w:rFonts w:eastAsia="Times New Roman"/>
                <w:sz w:val="20"/>
                <w:szCs w:val="20"/>
              </w:rPr>
            </w:pPr>
            <w:r w:rsidRPr="008E63BB">
              <w:rPr>
                <w:rFonts w:eastAsia="Times New Roman"/>
                <w:sz w:val="20"/>
                <w:szCs w:val="20"/>
              </w:rPr>
              <w:t>1.712,083</w:t>
            </w:r>
          </w:p>
        </w:tc>
        <w:tc>
          <w:tcPr>
            <w:tcW w:w="1216" w:type="dxa"/>
            <w:tcBorders>
              <w:top w:val="nil"/>
              <w:left w:val="nil"/>
              <w:bottom w:val="single" w:sz="4" w:space="0" w:color="auto"/>
              <w:right w:val="single" w:sz="4" w:space="0" w:color="auto"/>
            </w:tcBorders>
            <w:shd w:val="clear" w:color="auto" w:fill="auto"/>
            <w:noWrap/>
            <w:vAlign w:val="bottom"/>
            <w:hideMark/>
          </w:tcPr>
          <w:p w14:paraId="519B4B4A" w14:textId="77777777" w:rsidR="00993172" w:rsidRPr="008E63BB" w:rsidRDefault="00993172" w:rsidP="0065184D">
            <w:pPr>
              <w:jc w:val="right"/>
              <w:rPr>
                <w:rFonts w:eastAsia="Times New Roman"/>
                <w:sz w:val="20"/>
                <w:szCs w:val="20"/>
              </w:rPr>
            </w:pPr>
            <w:r w:rsidRPr="008E63BB">
              <w:rPr>
                <w:rFonts w:eastAsia="Times New Roman"/>
                <w:sz w:val="20"/>
                <w:szCs w:val="20"/>
              </w:rPr>
              <w:t>1.757,666</w:t>
            </w:r>
          </w:p>
        </w:tc>
        <w:tc>
          <w:tcPr>
            <w:tcW w:w="1216" w:type="dxa"/>
            <w:tcBorders>
              <w:top w:val="nil"/>
              <w:left w:val="nil"/>
              <w:bottom w:val="single" w:sz="4" w:space="0" w:color="auto"/>
              <w:right w:val="single" w:sz="4" w:space="0" w:color="auto"/>
            </w:tcBorders>
            <w:shd w:val="clear" w:color="auto" w:fill="auto"/>
            <w:noWrap/>
            <w:vAlign w:val="bottom"/>
            <w:hideMark/>
          </w:tcPr>
          <w:p w14:paraId="519B4B4B" w14:textId="77777777" w:rsidR="00993172" w:rsidRPr="008E63BB" w:rsidRDefault="00993172" w:rsidP="0065184D">
            <w:pPr>
              <w:jc w:val="right"/>
              <w:rPr>
                <w:rFonts w:eastAsia="Times New Roman"/>
                <w:sz w:val="20"/>
                <w:szCs w:val="20"/>
              </w:rPr>
            </w:pPr>
            <w:r w:rsidRPr="008E63BB">
              <w:rPr>
                <w:rFonts w:eastAsia="Times New Roman"/>
                <w:sz w:val="20"/>
                <w:szCs w:val="20"/>
              </w:rPr>
              <w:t>1.829,288</w:t>
            </w:r>
          </w:p>
        </w:tc>
        <w:tc>
          <w:tcPr>
            <w:tcW w:w="1216" w:type="dxa"/>
            <w:tcBorders>
              <w:top w:val="nil"/>
              <w:left w:val="nil"/>
              <w:bottom w:val="single" w:sz="4" w:space="0" w:color="auto"/>
              <w:right w:val="single" w:sz="4" w:space="0" w:color="auto"/>
            </w:tcBorders>
            <w:shd w:val="clear" w:color="auto" w:fill="auto"/>
            <w:noWrap/>
            <w:vAlign w:val="bottom"/>
            <w:hideMark/>
          </w:tcPr>
          <w:p w14:paraId="519B4B4C" w14:textId="77777777" w:rsidR="00993172" w:rsidRPr="008E63BB" w:rsidRDefault="00993172" w:rsidP="0065184D">
            <w:pPr>
              <w:jc w:val="right"/>
              <w:rPr>
                <w:rFonts w:eastAsia="Times New Roman"/>
                <w:sz w:val="20"/>
                <w:szCs w:val="20"/>
              </w:rPr>
            </w:pPr>
            <w:r w:rsidRPr="008E63BB">
              <w:rPr>
                <w:rFonts w:eastAsia="Times New Roman"/>
                <w:sz w:val="20"/>
                <w:szCs w:val="20"/>
              </w:rPr>
              <w:t>1.700,511</w:t>
            </w:r>
          </w:p>
        </w:tc>
        <w:tc>
          <w:tcPr>
            <w:tcW w:w="1216" w:type="dxa"/>
            <w:tcBorders>
              <w:top w:val="nil"/>
              <w:left w:val="nil"/>
              <w:bottom w:val="single" w:sz="4" w:space="0" w:color="auto"/>
              <w:right w:val="single" w:sz="4" w:space="0" w:color="auto"/>
            </w:tcBorders>
            <w:shd w:val="clear" w:color="auto" w:fill="auto"/>
            <w:noWrap/>
            <w:vAlign w:val="bottom"/>
            <w:hideMark/>
          </w:tcPr>
          <w:p w14:paraId="519B4B4D" w14:textId="77777777" w:rsidR="00993172" w:rsidRPr="008E63BB" w:rsidRDefault="00993172" w:rsidP="0065184D">
            <w:pPr>
              <w:jc w:val="right"/>
              <w:rPr>
                <w:rFonts w:eastAsia="Times New Roman"/>
                <w:sz w:val="20"/>
                <w:szCs w:val="20"/>
              </w:rPr>
            </w:pPr>
            <w:r w:rsidRPr="008E63BB">
              <w:rPr>
                <w:rFonts w:eastAsia="Times New Roman"/>
                <w:sz w:val="20"/>
                <w:szCs w:val="20"/>
              </w:rPr>
              <w:t>1.851,153</w:t>
            </w:r>
          </w:p>
        </w:tc>
      </w:tr>
      <w:tr w:rsidR="008D5BFE" w:rsidRPr="008E63BB" w14:paraId="519B4B5B"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4F"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50"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51" w14:textId="77777777" w:rsidR="00993172" w:rsidRPr="008E63BB" w:rsidRDefault="00993172" w:rsidP="0065184D">
            <w:pPr>
              <w:jc w:val="left"/>
              <w:rPr>
                <w:rFonts w:eastAsia="Times New Roman"/>
                <w:sz w:val="20"/>
                <w:szCs w:val="20"/>
              </w:rPr>
            </w:pPr>
            <w:r w:rsidRPr="008E63BB">
              <w:rPr>
                <w:rFonts w:eastAsia="Times New Roman"/>
                <w:sz w:val="20"/>
                <w:szCs w:val="20"/>
              </w:rPr>
              <w:t>Công nghiệp và xây dựng</w:t>
            </w:r>
          </w:p>
        </w:tc>
        <w:tc>
          <w:tcPr>
            <w:tcW w:w="1116" w:type="dxa"/>
            <w:tcBorders>
              <w:top w:val="nil"/>
              <w:left w:val="nil"/>
              <w:bottom w:val="single" w:sz="4" w:space="0" w:color="auto"/>
              <w:right w:val="single" w:sz="4" w:space="0" w:color="auto"/>
            </w:tcBorders>
            <w:shd w:val="clear" w:color="auto" w:fill="auto"/>
            <w:noWrap/>
            <w:vAlign w:val="bottom"/>
            <w:hideMark/>
          </w:tcPr>
          <w:p w14:paraId="519B4B52" w14:textId="77777777" w:rsidR="00993172" w:rsidRPr="008E63BB" w:rsidRDefault="00993172" w:rsidP="0065184D">
            <w:pPr>
              <w:jc w:val="right"/>
              <w:rPr>
                <w:rFonts w:eastAsia="Times New Roman"/>
                <w:sz w:val="20"/>
                <w:szCs w:val="20"/>
              </w:rPr>
            </w:pPr>
            <w:r w:rsidRPr="008E63BB">
              <w:rPr>
                <w:rFonts w:eastAsia="Times New Roman"/>
                <w:sz w:val="20"/>
                <w:szCs w:val="20"/>
              </w:rPr>
              <w:t>939,298</w:t>
            </w:r>
          </w:p>
        </w:tc>
        <w:tc>
          <w:tcPr>
            <w:tcW w:w="1116" w:type="dxa"/>
            <w:tcBorders>
              <w:top w:val="nil"/>
              <w:left w:val="nil"/>
              <w:bottom w:val="single" w:sz="4" w:space="0" w:color="auto"/>
              <w:right w:val="single" w:sz="4" w:space="0" w:color="auto"/>
            </w:tcBorders>
            <w:shd w:val="clear" w:color="auto" w:fill="auto"/>
            <w:noWrap/>
            <w:vAlign w:val="bottom"/>
            <w:hideMark/>
          </w:tcPr>
          <w:p w14:paraId="519B4B53" w14:textId="77777777" w:rsidR="00993172" w:rsidRPr="008E63BB" w:rsidRDefault="00993172" w:rsidP="0065184D">
            <w:pPr>
              <w:jc w:val="right"/>
              <w:rPr>
                <w:rFonts w:eastAsia="Times New Roman"/>
                <w:sz w:val="20"/>
                <w:szCs w:val="20"/>
              </w:rPr>
            </w:pPr>
            <w:r w:rsidRPr="008E63BB">
              <w:rPr>
                <w:rFonts w:eastAsia="Times New Roman"/>
                <w:sz w:val="20"/>
                <w:szCs w:val="20"/>
              </w:rPr>
              <w:t>1.104,201</w:t>
            </w:r>
          </w:p>
        </w:tc>
        <w:tc>
          <w:tcPr>
            <w:tcW w:w="1116" w:type="dxa"/>
            <w:tcBorders>
              <w:top w:val="nil"/>
              <w:left w:val="nil"/>
              <w:bottom w:val="single" w:sz="4" w:space="0" w:color="auto"/>
              <w:right w:val="single" w:sz="4" w:space="0" w:color="auto"/>
            </w:tcBorders>
            <w:shd w:val="clear" w:color="auto" w:fill="auto"/>
            <w:noWrap/>
            <w:vAlign w:val="bottom"/>
            <w:hideMark/>
          </w:tcPr>
          <w:p w14:paraId="519B4B54" w14:textId="77777777" w:rsidR="00993172" w:rsidRPr="008E63BB" w:rsidRDefault="00993172" w:rsidP="0065184D">
            <w:pPr>
              <w:jc w:val="right"/>
              <w:rPr>
                <w:rFonts w:eastAsia="Times New Roman"/>
                <w:sz w:val="20"/>
                <w:szCs w:val="20"/>
              </w:rPr>
            </w:pPr>
            <w:r w:rsidRPr="008E63BB">
              <w:rPr>
                <w:rFonts w:eastAsia="Times New Roman"/>
                <w:sz w:val="20"/>
                <w:szCs w:val="20"/>
              </w:rPr>
              <w:t>1.397,589</w:t>
            </w:r>
          </w:p>
        </w:tc>
        <w:tc>
          <w:tcPr>
            <w:tcW w:w="1216" w:type="dxa"/>
            <w:tcBorders>
              <w:top w:val="nil"/>
              <w:left w:val="nil"/>
              <w:bottom w:val="single" w:sz="4" w:space="0" w:color="auto"/>
              <w:right w:val="single" w:sz="4" w:space="0" w:color="auto"/>
            </w:tcBorders>
            <w:shd w:val="clear" w:color="auto" w:fill="auto"/>
            <w:noWrap/>
            <w:vAlign w:val="bottom"/>
            <w:hideMark/>
          </w:tcPr>
          <w:p w14:paraId="519B4B55" w14:textId="77777777" w:rsidR="00993172" w:rsidRPr="008E63BB" w:rsidRDefault="00993172" w:rsidP="0065184D">
            <w:pPr>
              <w:jc w:val="right"/>
              <w:rPr>
                <w:rFonts w:eastAsia="Times New Roman"/>
                <w:sz w:val="20"/>
                <w:szCs w:val="20"/>
              </w:rPr>
            </w:pPr>
            <w:r w:rsidRPr="008E63BB">
              <w:rPr>
                <w:rFonts w:eastAsia="Times New Roman"/>
                <w:sz w:val="20"/>
                <w:szCs w:val="20"/>
              </w:rPr>
              <w:t>2.061,255</w:t>
            </w:r>
          </w:p>
        </w:tc>
        <w:tc>
          <w:tcPr>
            <w:tcW w:w="1216" w:type="dxa"/>
            <w:tcBorders>
              <w:top w:val="nil"/>
              <w:left w:val="nil"/>
              <w:bottom w:val="single" w:sz="4" w:space="0" w:color="auto"/>
              <w:right w:val="single" w:sz="4" w:space="0" w:color="auto"/>
            </w:tcBorders>
            <w:shd w:val="clear" w:color="auto" w:fill="auto"/>
            <w:noWrap/>
            <w:vAlign w:val="bottom"/>
            <w:hideMark/>
          </w:tcPr>
          <w:p w14:paraId="519B4B56" w14:textId="77777777" w:rsidR="00993172" w:rsidRPr="008E63BB" w:rsidRDefault="00993172" w:rsidP="0065184D">
            <w:pPr>
              <w:jc w:val="right"/>
              <w:rPr>
                <w:rFonts w:eastAsia="Times New Roman"/>
                <w:sz w:val="20"/>
                <w:szCs w:val="20"/>
              </w:rPr>
            </w:pPr>
            <w:r w:rsidRPr="008E63BB">
              <w:rPr>
                <w:rFonts w:eastAsia="Times New Roman"/>
                <w:sz w:val="20"/>
                <w:szCs w:val="20"/>
              </w:rPr>
              <w:t>3.126,019</w:t>
            </w:r>
          </w:p>
        </w:tc>
        <w:tc>
          <w:tcPr>
            <w:tcW w:w="1216" w:type="dxa"/>
            <w:tcBorders>
              <w:top w:val="nil"/>
              <w:left w:val="nil"/>
              <w:bottom w:val="single" w:sz="4" w:space="0" w:color="auto"/>
              <w:right w:val="single" w:sz="4" w:space="0" w:color="auto"/>
            </w:tcBorders>
            <w:shd w:val="clear" w:color="auto" w:fill="auto"/>
            <w:noWrap/>
            <w:vAlign w:val="bottom"/>
            <w:hideMark/>
          </w:tcPr>
          <w:p w14:paraId="519B4B57" w14:textId="77777777" w:rsidR="00993172" w:rsidRPr="008E63BB" w:rsidRDefault="00993172" w:rsidP="0065184D">
            <w:pPr>
              <w:jc w:val="right"/>
              <w:rPr>
                <w:rFonts w:eastAsia="Times New Roman"/>
                <w:sz w:val="20"/>
                <w:szCs w:val="20"/>
              </w:rPr>
            </w:pPr>
            <w:r w:rsidRPr="008E63BB">
              <w:rPr>
                <w:rFonts w:eastAsia="Times New Roman"/>
                <w:sz w:val="20"/>
                <w:szCs w:val="20"/>
              </w:rPr>
              <w:t>3743,514</w:t>
            </w:r>
          </w:p>
        </w:tc>
        <w:tc>
          <w:tcPr>
            <w:tcW w:w="1216" w:type="dxa"/>
            <w:tcBorders>
              <w:top w:val="nil"/>
              <w:left w:val="nil"/>
              <w:bottom w:val="single" w:sz="4" w:space="0" w:color="auto"/>
              <w:right w:val="single" w:sz="4" w:space="0" w:color="auto"/>
            </w:tcBorders>
            <w:shd w:val="clear" w:color="auto" w:fill="auto"/>
            <w:noWrap/>
            <w:vAlign w:val="bottom"/>
            <w:hideMark/>
          </w:tcPr>
          <w:p w14:paraId="519B4B58" w14:textId="77777777" w:rsidR="00993172" w:rsidRPr="008E63BB" w:rsidRDefault="00993172" w:rsidP="0065184D">
            <w:pPr>
              <w:jc w:val="right"/>
              <w:rPr>
                <w:rFonts w:eastAsia="Times New Roman"/>
                <w:sz w:val="20"/>
                <w:szCs w:val="20"/>
              </w:rPr>
            </w:pPr>
            <w:r w:rsidRPr="008E63BB">
              <w:rPr>
                <w:rFonts w:eastAsia="Times New Roman"/>
                <w:sz w:val="20"/>
                <w:szCs w:val="20"/>
              </w:rPr>
              <w:t>4612,99</w:t>
            </w:r>
          </w:p>
        </w:tc>
        <w:tc>
          <w:tcPr>
            <w:tcW w:w="1216" w:type="dxa"/>
            <w:tcBorders>
              <w:top w:val="nil"/>
              <w:left w:val="nil"/>
              <w:bottom w:val="single" w:sz="4" w:space="0" w:color="auto"/>
              <w:right w:val="single" w:sz="4" w:space="0" w:color="auto"/>
            </w:tcBorders>
            <w:shd w:val="clear" w:color="auto" w:fill="auto"/>
            <w:noWrap/>
            <w:vAlign w:val="bottom"/>
            <w:hideMark/>
          </w:tcPr>
          <w:p w14:paraId="519B4B59" w14:textId="77777777" w:rsidR="00993172" w:rsidRPr="008E63BB" w:rsidRDefault="00993172" w:rsidP="0065184D">
            <w:pPr>
              <w:jc w:val="right"/>
              <w:rPr>
                <w:rFonts w:eastAsia="Times New Roman"/>
                <w:sz w:val="20"/>
                <w:szCs w:val="20"/>
              </w:rPr>
            </w:pPr>
            <w:r w:rsidRPr="008E63BB">
              <w:rPr>
                <w:rFonts w:eastAsia="Times New Roman"/>
                <w:sz w:val="20"/>
                <w:szCs w:val="20"/>
              </w:rPr>
              <w:t>5271,496</w:t>
            </w:r>
          </w:p>
        </w:tc>
        <w:tc>
          <w:tcPr>
            <w:tcW w:w="1216" w:type="dxa"/>
            <w:tcBorders>
              <w:top w:val="nil"/>
              <w:left w:val="nil"/>
              <w:bottom w:val="single" w:sz="4" w:space="0" w:color="auto"/>
              <w:right w:val="single" w:sz="4" w:space="0" w:color="auto"/>
            </w:tcBorders>
            <w:shd w:val="clear" w:color="auto" w:fill="auto"/>
            <w:noWrap/>
            <w:vAlign w:val="bottom"/>
            <w:hideMark/>
          </w:tcPr>
          <w:p w14:paraId="519B4B5A" w14:textId="77777777" w:rsidR="00993172" w:rsidRPr="008E63BB" w:rsidRDefault="00993172" w:rsidP="0065184D">
            <w:pPr>
              <w:jc w:val="right"/>
              <w:rPr>
                <w:rFonts w:eastAsia="Times New Roman"/>
                <w:sz w:val="20"/>
                <w:szCs w:val="20"/>
              </w:rPr>
            </w:pPr>
            <w:r w:rsidRPr="008E63BB">
              <w:rPr>
                <w:rFonts w:eastAsia="Times New Roman"/>
                <w:sz w:val="20"/>
                <w:szCs w:val="20"/>
              </w:rPr>
              <w:t>5940,048</w:t>
            </w:r>
          </w:p>
        </w:tc>
      </w:tr>
      <w:tr w:rsidR="008D5BFE" w:rsidRPr="008E63BB" w14:paraId="519B4B68"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5C"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5D"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5E" w14:textId="77777777" w:rsidR="00993172" w:rsidRPr="008E63BB" w:rsidRDefault="00993172" w:rsidP="0065184D">
            <w:pPr>
              <w:jc w:val="left"/>
              <w:rPr>
                <w:rFonts w:eastAsia="Times New Roman"/>
                <w:sz w:val="20"/>
                <w:szCs w:val="20"/>
              </w:rPr>
            </w:pPr>
            <w:r w:rsidRPr="008E63BB">
              <w:rPr>
                <w:rFonts w:eastAsia="Times New Roman"/>
                <w:sz w:val="20"/>
                <w:szCs w:val="20"/>
              </w:rPr>
              <w:t>Dịch vụ, thương mại</w:t>
            </w:r>
          </w:p>
        </w:tc>
        <w:tc>
          <w:tcPr>
            <w:tcW w:w="1116" w:type="dxa"/>
            <w:tcBorders>
              <w:top w:val="nil"/>
              <w:left w:val="nil"/>
              <w:bottom w:val="single" w:sz="4" w:space="0" w:color="auto"/>
              <w:right w:val="single" w:sz="4" w:space="0" w:color="auto"/>
            </w:tcBorders>
            <w:shd w:val="clear" w:color="auto" w:fill="auto"/>
            <w:noWrap/>
            <w:vAlign w:val="bottom"/>
            <w:hideMark/>
          </w:tcPr>
          <w:p w14:paraId="519B4B5F" w14:textId="77777777" w:rsidR="00993172" w:rsidRPr="008E63BB" w:rsidRDefault="00993172" w:rsidP="0065184D">
            <w:pPr>
              <w:jc w:val="right"/>
              <w:rPr>
                <w:rFonts w:eastAsia="Times New Roman"/>
                <w:sz w:val="20"/>
                <w:szCs w:val="20"/>
              </w:rPr>
            </w:pPr>
            <w:r w:rsidRPr="008E63BB">
              <w:rPr>
                <w:rFonts w:eastAsia="Times New Roman"/>
                <w:sz w:val="20"/>
                <w:szCs w:val="20"/>
              </w:rPr>
              <w:t>741,560</w:t>
            </w:r>
          </w:p>
        </w:tc>
        <w:tc>
          <w:tcPr>
            <w:tcW w:w="1116" w:type="dxa"/>
            <w:tcBorders>
              <w:top w:val="nil"/>
              <w:left w:val="nil"/>
              <w:bottom w:val="single" w:sz="4" w:space="0" w:color="auto"/>
              <w:right w:val="single" w:sz="4" w:space="0" w:color="auto"/>
            </w:tcBorders>
            <w:shd w:val="clear" w:color="auto" w:fill="auto"/>
            <w:noWrap/>
            <w:vAlign w:val="bottom"/>
            <w:hideMark/>
          </w:tcPr>
          <w:p w14:paraId="519B4B60" w14:textId="77777777" w:rsidR="00993172" w:rsidRPr="008E63BB" w:rsidRDefault="00993172" w:rsidP="0065184D">
            <w:pPr>
              <w:jc w:val="right"/>
              <w:rPr>
                <w:rFonts w:eastAsia="Times New Roman"/>
                <w:sz w:val="20"/>
                <w:szCs w:val="20"/>
              </w:rPr>
            </w:pPr>
            <w:r w:rsidRPr="008E63BB">
              <w:rPr>
                <w:rFonts w:eastAsia="Times New Roman"/>
                <w:sz w:val="20"/>
                <w:szCs w:val="20"/>
              </w:rPr>
              <w:t>901,971</w:t>
            </w:r>
          </w:p>
        </w:tc>
        <w:tc>
          <w:tcPr>
            <w:tcW w:w="1116" w:type="dxa"/>
            <w:tcBorders>
              <w:top w:val="nil"/>
              <w:left w:val="nil"/>
              <w:bottom w:val="single" w:sz="4" w:space="0" w:color="auto"/>
              <w:right w:val="single" w:sz="4" w:space="0" w:color="auto"/>
            </w:tcBorders>
            <w:shd w:val="clear" w:color="auto" w:fill="auto"/>
            <w:noWrap/>
            <w:vAlign w:val="bottom"/>
            <w:hideMark/>
          </w:tcPr>
          <w:p w14:paraId="519B4B61" w14:textId="77777777" w:rsidR="00993172" w:rsidRPr="008E63BB" w:rsidRDefault="00993172" w:rsidP="0065184D">
            <w:pPr>
              <w:jc w:val="right"/>
              <w:rPr>
                <w:rFonts w:eastAsia="Times New Roman"/>
                <w:sz w:val="20"/>
                <w:szCs w:val="20"/>
              </w:rPr>
            </w:pPr>
            <w:r w:rsidRPr="008E63BB">
              <w:rPr>
                <w:rFonts w:eastAsia="Times New Roman"/>
                <w:sz w:val="20"/>
                <w:szCs w:val="20"/>
              </w:rPr>
              <w:t>1.034,974</w:t>
            </w:r>
          </w:p>
        </w:tc>
        <w:tc>
          <w:tcPr>
            <w:tcW w:w="1216" w:type="dxa"/>
            <w:tcBorders>
              <w:top w:val="nil"/>
              <w:left w:val="nil"/>
              <w:bottom w:val="single" w:sz="4" w:space="0" w:color="auto"/>
              <w:right w:val="single" w:sz="4" w:space="0" w:color="auto"/>
            </w:tcBorders>
            <w:shd w:val="clear" w:color="auto" w:fill="auto"/>
            <w:noWrap/>
            <w:vAlign w:val="bottom"/>
            <w:hideMark/>
          </w:tcPr>
          <w:p w14:paraId="519B4B62" w14:textId="77777777" w:rsidR="00993172" w:rsidRPr="008E63BB" w:rsidRDefault="00993172" w:rsidP="0065184D">
            <w:pPr>
              <w:jc w:val="right"/>
              <w:rPr>
                <w:rFonts w:eastAsia="Times New Roman"/>
                <w:sz w:val="20"/>
                <w:szCs w:val="20"/>
              </w:rPr>
            </w:pPr>
            <w:r w:rsidRPr="008E63BB">
              <w:rPr>
                <w:rFonts w:eastAsia="Times New Roman"/>
                <w:sz w:val="20"/>
                <w:szCs w:val="20"/>
              </w:rPr>
              <w:t>1.071,633</w:t>
            </w:r>
          </w:p>
        </w:tc>
        <w:tc>
          <w:tcPr>
            <w:tcW w:w="1216" w:type="dxa"/>
            <w:tcBorders>
              <w:top w:val="nil"/>
              <w:left w:val="nil"/>
              <w:bottom w:val="single" w:sz="4" w:space="0" w:color="auto"/>
              <w:right w:val="single" w:sz="4" w:space="0" w:color="auto"/>
            </w:tcBorders>
            <w:shd w:val="clear" w:color="auto" w:fill="auto"/>
            <w:noWrap/>
            <w:vAlign w:val="bottom"/>
            <w:hideMark/>
          </w:tcPr>
          <w:p w14:paraId="519B4B63" w14:textId="77777777" w:rsidR="00993172" w:rsidRPr="008E63BB" w:rsidRDefault="00993172" w:rsidP="0065184D">
            <w:pPr>
              <w:jc w:val="right"/>
              <w:rPr>
                <w:rFonts w:eastAsia="Times New Roman"/>
                <w:sz w:val="20"/>
                <w:szCs w:val="20"/>
              </w:rPr>
            </w:pPr>
            <w:r w:rsidRPr="008E63BB">
              <w:rPr>
                <w:rFonts w:eastAsia="Times New Roman"/>
                <w:sz w:val="20"/>
                <w:szCs w:val="20"/>
              </w:rPr>
              <w:t>1.192,069</w:t>
            </w:r>
          </w:p>
        </w:tc>
        <w:tc>
          <w:tcPr>
            <w:tcW w:w="1216" w:type="dxa"/>
            <w:tcBorders>
              <w:top w:val="nil"/>
              <w:left w:val="nil"/>
              <w:bottom w:val="single" w:sz="4" w:space="0" w:color="auto"/>
              <w:right w:val="single" w:sz="4" w:space="0" w:color="auto"/>
            </w:tcBorders>
            <w:shd w:val="clear" w:color="auto" w:fill="auto"/>
            <w:noWrap/>
            <w:vAlign w:val="bottom"/>
            <w:hideMark/>
          </w:tcPr>
          <w:p w14:paraId="519B4B64" w14:textId="77777777" w:rsidR="00993172" w:rsidRPr="008E63BB" w:rsidRDefault="00993172" w:rsidP="0065184D">
            <w:pPr>
              <w:jc w:val="right"/>
              <w:rPr>
                <w:rFonts w:eastAsia="Times New Roman"/>
                <w:sz w:val="20"/>
                <w:szCs w:val="20"/>
              </w:rPr>
            </w:pPr>
            <w:r w:rsidRPr="008E63BB">
              <w:rPr>
                <w:rFonts w:eastAsia="Times New Roman"/>
                <w:sz w:val="20"/>
                <w:szCs w:val="20"/>
              </w:rPr>
              <w:t>1.276,786</w:t>
            </w:r>
          </w:p>
        </w:tc>
        <w:tc>
          <w:tcPr>
            <w:tcW w:w="1216" w:type="dxa"/>
            <w:tcBorders>
              <w:top w:val="nil"/>
              <w:left w:val="nil"/>
              <w:bottom w:val="single" w:sz="4" w:space="0" w:color="auto"/>
              <w:right w:val="single" w:sz="4" w:space="0" w:color="auto"/>
            </w:tcBorders>
            <w:shd w:val="clear" w:color="auto" w:fill="auto"/>
            <w:noWrap/>
            <w:vAlign w:val="bottom"/>
            <w:hideMark/>
          </w:tcPr>
          <w:p w14:paraId="519B4B65" w14:textId="77777777" w:rsidR="00993172" w:rsidRPr="008E63BB" w:rsidRDefault="00993172" w:rsidP="0065184D">
            <w:pPr>
              <w:jc w:val="right"/>
              <w:rPr>
                <w:rFonts w:eastAsia="Times New Roman"/>
                <w:sz w:val="20"/>
                <w:szCs w:val="20"/>
              </w:rPr>
            </w:pPr>
            <w:r w:rsidRPr="008E63BB">
              <w:rPr>
                <w:rFonts w:eastAsia="Times New Roman"/>
                <w:sz w:val="20"/>
                <w:szCs w:val="20"/>
              </w:rPr>
              <w:t>1.422,192</w:t>
            </w:r>
          </w:p>
        </w:tc>
        <w:tc>
          <w:tcPr>
            <w:tcW w:w="1216" w:type="dxa"/>
            <w:tcBorders>
              <w:top w:val="nil"/>
              <w:left w:val="nil"/>
              <w:bottom w:val="single" w:sz="4" w:space="0" w:color="auto"/>
              <w:right w:val="single" w:sz="4" w:space="0" w:color="auto"/>
            </w:tcBorders>
            <w:shd w:val="clear" w:color="auto" w:fill="auto"/>
            <w:noWrap/>
            <w:vAlign w:val="bottom"/>
            <w:hideMark/>
          </w:tcPr>
          <w:p w14:paraId="519B4B66" w14:textId="77777777" w:rsidR="00993172" w:rsidRPr="008E63BB" w:rsidRDefault="00993172" w:rsidP="0065184D">
            <w:pPr>
              <w:jc w:val="right"/>
              <w:rPr>
                <w:rFonts w:eastAsia="Times New Roman"/>
                <w:sz w:val="20"/>
                <w:szCs w:val="20"/>
              </w:rPr>
            </w:pPr>
            <w:r w:rsidRPr="008E63BB">
              <w:rPr>
                <w:rFonts w:eastAsia="Times New Roman"/>
                <w:sz w:val="20"/>
                <w:szCs w:val="20"/>
              </w:rPr>
              <w:t>1.548,809</w:t>
            </w:r>
          </w:p>
        </w:tc>
        <w:tc>
          <w:tcPr>
            <w:tcW w:w="1216" w:type="dxa"/>
            <w:tcBorders>
              <w:top w:val="nil"/>
              <w:left w:val="nil"/>
              <w:bottom w:val="single" w:sz="4" w:space="0" w:color="auto"/>
              <w:right w:val="single" w:sz="4" w:space="0" w:color="auto"/>
            </w:tcBorders>
            <w:shd w:val="clear" w:color="auto" w:fill="auto"/>
            <w:noWrap/>
            <w:vAlign w:val="bottom"/>
            <w:hideMark/>
          </w:tcPr>
          <w:p w14:paraId="519B4B67" w14:textId="77777777" w:rsidR="00993172" w:rsidRPr="008E63BB" w:rsidRDefault="00993172" w:rsidP="0065184D">
            <w:pPr>
              <w:jc w:val="right"/>
              <w:rPr>
                <w:rFonts w:eastAsia="Times New Roman"/>
                <w:sz w:val="20"/>
                <w:szCs w:val="20"/>
              </w:rPr>
            </w:pPr>
            <w:r w:rsidRPr="008E63BB">
              <w:rPr>
                <w:rFonts w:eastAsia="Times New Roman"/>
                <w:sz w:val="20"/>
                <w:szCs w:val="20"/>
              </w:rPr>
              <w:t>1.636,177</w:t>
            </w:r>
          </w:p>
        </w:tc>
      </w:tr>
      <w:tr w:rsidR="008D5BFE" w:rsidRPr="008E63BB" w14:paraId="519B4B75" w14:textId="77777777" w:rsidTr="004710C7">
        <w:trPr>
          <w:trHeight w:val="255"/>
        </w:trPr>
        <w:tc>
          <w:tcPr>
            <w:tcW w:w="616" w:type="dxa"/>
            <w:vMerge w:val="restart"/>
            <w:tcBorders>
              <w:top w:val="nil"/>
              <w:left w:val="single" w:sz="4" w:space="0" w:color="auto"/>
              <w:bottom w:val="single" w:sz="4" w:space="0" w:color="000000"/>
              <w:right w:val="single" w:sz="4" w:space="0" w:color="auto"/>
            </w:tcBorders>
            <w:shd w:val="clear" w:color="auto" w:fill="auto"/>
            <w:vAlign w:val="center"/>
            <w:hideMark/>
          </w:tcPr>
          <w:p w14:paraId="519B4B69" w14:textId="77777777" w:rsidR="00993172" w:rsidRPr="008E63BB" w:rsidRDefault="00993172" w:rsidP="0065184D">
            <w:pPr>
              <w:jc w:val="center"/>
              <w:rPr>
                <w:rFonts w:eastAsia="Times New Roman"/>
                <w:sz w:val="20"/>
                <w:szCs w:val="20"/>
              </w:rPr>
            </w:pPr>
            <w:r w:rsidRPr="008E63BB">
              <w:rPr>
                <w:rFonts w:eastAsia="Times New Roman"/>
                <w:sz w:val="20"/>
                <w:szCs w:val="20"/>
              </w:rPr>
              <w:t>H. Nam Trực</w:t>
            </w:r>
          </w:p>
        </w:tc>
        <w:tc>
          <w:tcPr>
            <w:tcW w:w="316" w:type="dxa"/>
            <w:tcBorders>
              <w:top w:val="nil"/>
              <w:left w:val="nil"/>
              <w:bottom w:val="single" w:sz="4" w:space="0" w:color="auto"/>
              <w:right w:val="single" w:sz="4" w:space="0" w:color="auto"/>
            </w:tcBorders>
            <w:shd w:val="clear" w:color="auto" w:fill="auto"/>
            <w:noWrap/>
            <w:vAlign w:val="bottom"/>
            <w:hideMark/>
          </w:tcPr>
          <w:p w14:paraId="519B4B6A" w14:textId="77777777" w:rsidR="00993172" w:rsidRPr="008E63BB" w:rsidRDefault="00993172" w:rsidP="0065184D">
            <w:pPr>
              <w:jc w:val="center"/>
              <w:rPr>
                <w:rFonts w:eastAsia="Times New Roman"/>
                <w:b/>
                <w:bCs/>
                <w:sz w:val="20"/>
                <w:szCs w:val="20"/>
              </w:rPr>
            </w:pPr>
            <w:r w:rsidRPr="008E63BB">
              <w:rPr>
                <w:rFonts w:eastAsia="Times New Roman"/>
                <w:b/>
                <w:bCs/>
                <w:sz w:val="20"/>
                <w:szCs w:val="20"/>
              </w:rPr>
              <w:t>3</w:t>
            </w:r>
          </w:p>
        </w:tc>
        <w:tc>
          <w:tcPr>
            <w:tcW w:w="2730" w:type="dxa"/>
            <w:tcBorders>
              <w:top w:val="nil"/>
              <w:left w:val="nil"/>
              <w:bottom w:val="single" w:sz="4" w:space="0" w:color="auto"/>
              <w:right w:val="single" w:sz="4" w:space="0" w:color="auto"/>
            </w:tcBorders>
            <w:shd w:val="clear" w:color="auto" w:fill="auto"/>
            <w:noWrap/>
            <w:vAlign w:val="bottom"/>
            <w:hideMark/>
          </w:tcPr>
          <w:p w14:paraId="519B4B6B" w14:textId="77777777" w:rsidR="00993172" w:rsidRPr="008E63BB" w:rsidRDefault="00993172" w:rsidP="0065184D">
            <w:pPr>
              <w:jc w:val="left"/>
              <w:rPr>
                <w:rFonts w:eastAsia="Times New Roman"/>
                <w:b/>
                <w:bCs/>
                <w:sz w:val="20"/>
                <w:szCs w:val="20"/>
              </w:rPr>
            </w:pPr>
            <w:r w:rsidRPr="008E63BB">
              <w:rPr>
                <w:rFonts w:eastAsia="Times New Roman"/>
                <w:b/>
                <w:bCs/>
                <w:sz w:val="20"/>
                <w:szCs w:val="20"/>
              </w:rPr>
              <w:t>Tổng giá trị sản xuất (tỷ)</w:t>
            </w:r>
          </w:p>
        </w:tc>
        <w:tc>
          <w:tcPr>
            <w:tcW w:w="1116" w:type="dxa"/>
            <w:tcBorders>
              <w:top w:val="nil"/>
              <w:left w:val="nil"/>
              <w:bottom w:val="single" w:sz="4" w:space="0" w:color="auto"/>
              <w:right w:val="single" w:sz="4" w:space="0" w:color="auto"/>
            </w:tcBorders>
            <w:shd w:val="clear" w:color="auto" w:fill="auto"/>
            <w:noWrap/>
            <w:vAlign w:val="bottom"/>
            <w:hideMark/>
          </w:tcPr>
          <w:p w14:paraId="519B4B6C"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5.600,144</w:t>
            </w:r>
          </w:p>
        </w:tc>
        <w:tc>
          <w:tcPr>
            <w:tcW w:w="1116" w:type="dxa"/>
            <w:tcBorders>
              <w:top w:val="nil"/>
              <w:left w:val="nil"/>
              <w:bottom w:val="single" w:sz="4" w:space="0" w:color="auto"/>
              <w:right w:val="single" w:sz="4" w:space="0" w:color="auto"/>
            </w:tcBorders>
            <w:shd w:val="clear" w:color="auto" w:fill="auto"/>
            <w:noWrap/>
            <w:vAlign w:val="bottom"/>
            <w:hideMark/>
          </w:tcPr>
          <w:p w14:paraId="519B4B6D"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6.925,029</w:t>
            </w:r>
          </w:p>
        </w:tc>
        <w:tc>
          <w:tcPr>
            <w:tcW w:w="1116" w:type="dxa"/>
            <w:tcBorders>
              <w:top w:val="nil"/>
              <w:left w:val="nil"/>
              <w:bottom w:val="single" w:sz="4" w:space="0" w:color="auto"/>
              <w:right w:val="single" w:sz="4" w:space="0" w:color="auto"/>
            </w:tcBorders>
            <w:shd w:val="clear" w:color="auto" w:fill="auto"/>
            <w:noWrap/>
            <w:vAlign w:val="bottom"/>
            <w:hideMark/>
          </w:tcPr>
          <w:p w14:paraId="519B4B6E"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7.819,114</w:t>
            </w:r>
          </w:p>
        </w:tc>
        <w:tc>
          <w:tcPr>
            <w:tcW w:w="1216" w:type="dxa"/>
            <w:tcBorders>
              <w:top w:val="nil"/>
              <w:left w:val="nil"/>
              <w:bottom w:val="single" w:sz="4" w:space="0" w:color="auto"/>
              <w:right w:val="single" w:sz="4" w:space="0" w:color="auto"/>
            </w:tcBorders>
            <w:shd w:val="clear" w:color="auto" w:fill="auto"/>
            <w:noWrap/>
            <w:vAlign w:val="bottom"/>
            <w:hideMark/>
          </w:tcPr>
          <w:p w14:paraId="519B4B6F"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8.635,788</w:t>
            </w:r>
          </w:p>
        </w:tc>
        <w:tc>
          <w:tcPr>
            <w:tcW w:w="1216" w:type="dxa"/>
            <w:tcBorders>
              <w:top w:val="nil"/>
              <w:left w:val="nil"/>
              <w:bottom w:val="single" w:sz="4" w:space="0" w:color="auto"/>
              <w:right w:val="single" w:sz="4" w:space="0" w:color="auto"/>
            </w:tcBorders>
            <w:shd w:val="clear" w:color="auto" w:fill="auto"/>
            <w:noWrap/>
            <w:vAlign w:val="bottom"/>
            <w:hideMark/>
          </w:tcPr>
          <w:p w14:paraId="519B4B70"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9.721,198</w:t>
            </w:r>
          </w:p>
        </w:tc>
        <w:tc>
          <w:tcPr>
            <w:tcW w:w="1216" w:type="dxa"/>
            <w:tcBorders>
              <w:top w:val="nil"/>
              <w:left w:val="nil"/>
              <w:bottom w:val="single" w:sz="4" w:space="0" w:color="auto"/>
              <w:right w:val="single" w:sz="4" w:space="0" w:color="auto"/>
            </w:tcBorders>
            <w:shd w:val="clear" w:color="auto" w:fill="auto"/>
            <w:noWrap/>
            <w:vAlign w:val="bottom"/>
            <w:hideMark/>
          </w:tcPr>
          <w:p w14:paraId="519B4B71"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10.660,548</w:t>
            </w:r>
          </w:p>
        </w:tc>
        <w:tc>
          <w:tcPr>
            <w:tcW w:w="1216" w:type="dxa"/>
            <w:tcBorders>
              <w:top w:val="nil"/>
              <w:left w:val="nil"/>
              <w:bottom w:val="single" w:sz="4" w:space="0" w:color="auto"/>
              <w:right w:val="single" w:sz="4" w:space="0" w:color="auto"/>
            </w:tcBorders>
            <w:shd w:val="clear" w:color="auto" w:fill="auto"/>
            <w:noWrap/>
            <w:vAlign w:val="bottom"/>
            <w:hideMark/>
          </w:tcPr>
          <w:p w14:paraId="519B4B72"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11.321,358</w:t>
            </w:r>
          </w:p>
        </w:tc>
        <w:tc>
          <w:tcPr>
            <w:tcW w:w="1216" w:type="dxa"/>
            <w:tcBorders>
              <w:top w:val="nil"/>
              <w:left w:val="nil"/>
              <w:bottom w:val="single" w:sz="4" w:space="0" w:color="auto"/>
              <w:right w:val="single" w:sz="4" w:space="0" w:color="auto"/>
            </w:tcBorders>
            <w:shd w:val="clear" w:color="auto" w:fill="auto"/>
            <w:noWrap/>
            <w:vAlign w:val="bottom"/>
            <w:hideMark/>
          </w:tcPr>
          <w:p w14:paraId="519B4B73"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12.300,310</w:t>
            </w:r>
          </w:p>
        </w:tc>
        <w:tc>
          <w:tcPr>
            <w:tcW w:w="1216" w:type="dxa"/>
            <w:tcBorders>
              <w:top w:val="nil"/>
              <w:left w:val="nil"/>
              <w:bottom w:val="single" w:sz="4" w:space="0" w:color="auto"/>
              <w:right w:val="single" w:sz="4" w:space="0" w:color="auto"/>
            </w:tcBorders>
            <w:shd w:val="clear" w:color="auto" w:fill="auto"/>
            <w:noWrap/>
            <w:vAlign w:val="bottom"/>
            <w:hideMark/>
          </w:tcPr>
          <w:p w14:paraId="519B4B74" w14:textId="77777777" w:rsidR="00993172" w:rsidRPr="008E63BB" w:rsidRDefault="00993172" w:rsidP="0065184D">
            <w:pPr>
              <w:jc w:val="right"/>
              <w:rPr>
                <w:rFonts w:eastAsia="Times New Roman"/>
                <w:b/>
                <w:bCs/>
                <w:sz w:val="20"/>
                <w:szCs w:val="20"/>
              </w:rPr>
            </w:pPr>
            <w:r w:rsidRPr="008E63BB">
              <w:rPr>
                <w:rFonts w:eastAsia="Times New Roman"/>
                <w:b/>
                <w:bCs/>
                <w:sz w:val="20"/>
                <w:szCs w:val="20"/>
              </w:rPr>
              <w:t>13.592,535</w:t>
            </w:r>
          </w:p>
        </w:tc>
      </w:tr>
      <w:tr w:rsidR="008D5BFE" w:rsidRPr="008E63BB" w14:paraId="519B4B82"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76"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77"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78" w14:textId="77777777" w:rsidR="00993172" w:rsidRPr="008E63BB" w:rsidRDefault="00993172" w:rsidP="0065184D">
            <w:pPr>
              <w:jc w:val="left"/>
              <w:rPr>
                <w:rFonts w:eastAsia="Times New Roman"/>
                <w:sz w:val="20"/>
                <w:szCs w:val="20"/>
              </w:rPr>
            </w:pPr>
            <w:r w:rsidRPr="008E63BB">
              <w:rPr>
                <w:rFonts w:eastAsia="Times New Roman"/>
                <w:sz w:val="20"/>
                <w:szCs w:val="20"/>
              </w:rPr>
              <w:t>Nông, lâm nghiệp và thủy sản</w:t>
            </w:r>
          </w:p>
        </w:tc>
        <w:tc>
          <w:tcPr>
            <w:tcW w:w="1116" w:type="dxa"/>
            <w:tcBorders>
              <w:top w:val="nil"/>
              <w:left w:val="nil"/>
              <w:bottom w:val="single" w:sz="4" w:space="0" w:color="auto"/>
              <w:right w:val="single" w:sz="4" w:space="0" w:color="auto"/>
            </w:tcBorders>
            <w:shd w:val="clear" w:color="auto" w:fill="auto"/>
            <w:noWrap/>
            <w:vAlign w:val="bottom"/>
            <w:hideMark/>
          </w:tcPr>
          <w:p w14:paraId="519B4B79" w14:textId="77777777" w:rsidR="00993172" w:rsidRPr="008E63BB" w:rsidRDefault="00993172" w:rsidP="0065184D">
            <w:pPr>
              <w:jc w:val="right"/>
              <w:rPr>
                <w:rFonts w:eastAsia="Times New Roman"/>
                <w:sz w:val="20"/>
                <w:szCs w:val="20"/>
              </w:rPr>
            </w:pPr>
            <w:r w:rsidRPr="008E63BB">
              <w:rPr>
                <w:rFonts w:eastAsia="Times New Roman"/>
                <w:sz w:val="20"/>
                <w:szCs w:val="20"/>
              </w:rPr>
              <w:t>1.453,289</w:t>
            </w:r>
          </w:p>
        </w:tc>
        <w:tc>
          <w:tcPr>
            <w:tcW w:w="1116" w:type="dxa"/>
            <w:tcBorders>
              <w:top w:val="nil"/>
              <w:left w:val="nil"/>
              <w:bottom w:val="single" w:sz="4" w:space="0" w:color="auto"/>
              <w:right w:val="single" w:sz="4" w:space="0" w:color="auto"/>
            </w:tcBorders>
            <w:shd w:val="clear" w:color="auto" w:fill="auto"/>
            <w:noWrap/>
            <w:vAlign w:val="bottom"/>
            <w:hideMark/>
          </w:tcPr>
          <w:p w14:paraId="519B4B7A" w14:textId="77777777" w:rsidR="00993172" w:rsidRPr="008E63BB" w:rsidRDefault="00993172" w:rsidP="0065184D">
            <w:pPr>
              <w:jc w:val="right"/>
              <w:rPr>
                <w:rFonts w:eastAsia="Times New Roman"/>
                <w:sz w:val="20"/>
                <w:szCs w:val="20"/>
              </w:rPr>
            </w:pPr>
            <w:r w:rsidRPr="008E63BB">
              <w:rPr>
                <w:rFonts w:eastAsia="Times New Roman"/>
                <w:sz w:val="20"/>
                <w:szCs w:val="20"/>
              </w:rPr>
              <w:t>1.950,563</w:t>
            </w:r>
          </w:p>
        </w:tc>
        <w:tc>
          <w:tcPr>
            <w:tcW w:w="1116" w:type="dxa"/>
            <w:tcBorders>
              <w:top w:val="nil"/>
              <w:left w:val="nil"/>
              <w:bottom w:val="single" w:sz="4" w:space="0" w:color="auto"/>
              <w:right w:val="single" w:sz="4" w:space="0" w:color="auto"/>
            </w:tcBorders>
            <w:shd w:val="clear" w:color="auto" w:fill="auto"/>
            <w:noWrap/>
            <w:vAlign w:val="bottom"/>
            <w:hideMark/>
          </w:tcPr>
          <w:p w14:paraId="519B4B7B" w14:textId="77777777" w:rsidR="00993172" w:rsidRPr="008E63BB" w:rsidRDefault="00993172" w:rsidP="0065184D">
            <w:pPr>
              <w:jc w:val="right"/>
              <w:rPr>
                <w:rFonts w:eastAsia="Times New Roman"/>
                <w:sz w:val="20"/>
                <w:szCs w:val="20"/>
              </w:rPr>
            </w:pPr>
            <w:r w:rsidRPr="008E63BB">
              <w:rPr>
                <w:rFonts w:eastAsia="Times New Roman"/>
                <w:sz w:val="20"/>
                <w:szCs w:val="20"/>
              </w:rPr>
              <w:t>1.880,751</w:t>
            </w:r>
          </w:p>
        </w:tc>
        <w:tc>
          <w:tcPr>
            <w:tcW w:w="1216" w:type="dxa"/>
            <w:tcBorders>
              <w:top w:val="nil"/>
              <w:left w:val="nil"/>
              <w:bottom w:val="single" w:sz="4" w:space="0" w:color="auto"/>
              <w:right w:val="single" w:sz="4" w:space="0" w:color="auto"/>
            </w:tcBorders>
            <w:shd w:val="clear" w:color="auto" w:fill="auto"/>
            <w:noWrap/>
            <w:vAlign w:val="bottom"/>
            <w:hideMark/>
          </w:tcPr>
          <w:p w14:paraId="519B4B7C" w14:textId="77777777" w:rsidR="00993172" w:rsidRPr="008E63BB" w:rsidRDefault="00993172" w:rsidP="0065184D">
            <w:pPr>
              <w:jc w:val="right"/>
              <w:rPr>
                <w:rFonts w:eastAsia="Times New Roman"/>
                <w:sz w:val="20"/>
                <w:szCs w:val="20"/>
              </w:rPr>
            </w:pPr>
            <w:r w:rsidRPr="008E63BB">
              <w:rPr>
                <w:rFonts w:eastAsia="Times New Roman"/>
                <w:sz w:val="20"/>
                <w:szCs w:val="20"/>
              </w:rPr>
              <w:t>1.882,619</w:t>
            </w:r>
          </w:p>
        </w:tc>
        <w:tc>
          <w:tcPr>
            <w:tcW w:w="1216" w:type="dxa"/>
            <w:tcBorders>
              <w:top w:val="nil"/>
              <w:left w:val="nil"/>
              <w:bottom w:val="single" w:sz="4" w:space="0" w:color="auto"/>
              <w:right w:val="single" w:sz="4" w:space="0" w:color="auto"/>
            </w:tcBorders>
            <w:shd w:val="clear" w:color="auto" w:fill="auto"/>
            <w:noWrap/>
            <w:vAlign w:val="bottom"/>
            <w:hideMark/>
          </w:tcPr>
          <w:p w14:paraId="519B4B7D" w14:textId="77777777" w:rsidR="00993172" w:rsidRPr="008E63BB" w:rsidRDefault="00993172" w:rsidP="0065184D">
            <w:pPr>
              <w:jc w:val="right"/>
              <w:rPr>
                <w:rFonts w:eastAsia="Times New Roman"/>
                <w:sz w:val="20"/>
                <w:szCs w:val="20"/>
              </w:rPr>
            </w:pPr>
            <w:r w:rsidRPr="008E63BB">
              <w:rPr>
                <w:rFonts w:eastAsia="Times New Roman"/>
                <w:sz w:val="20"/>
                <w:szCs w:val="20"/>
              </w:rPr>
              <w:t>1.998,807</w:t>
            </w:r>
          </w:p>
        </w:tc>
        <w:tc>
          <w:tcPr>
            <w:tcW w:w="1216" w:type="dxa"/>
            <w:tcBorders>
              <w:top w:val="nil"/>
              <w:left w:val="nil"/>
              <w:bottom w:val="single" w:sz="4" w:space="0" w:color="auto"/>
              <w:right w:val="single" w:sz="4" w:space="0" w:color="auto"/>
            </w:tcBorders>
            <w:shd w:val="clear" w:color="auto" w:fill="auto"/>
            <w:noWrap/>
            <w:vAlign w:val="bottom"/>
            <w:hideMark/>
          </w:tcPr>
          <w:p w14:paraId="519B4B7E" w14:textId="77777777" w:rsidR="00993172" w:rsidRPr="008E63BB" w:rsidRDefault="00993172" w:rsidP="0065184D">
            <w:pPr>
              <w:jc w:val="right"/>
              <w:rPr>
                <w:rFonts w:eastAsia="Times New Roman"/>
                <w:sz w:val="20"/>
                <w:szCs w:val="20"/>
              </w:rPr>
            </w:pPr>
            <w:r w:rsidRPr="008E63BB">
              <w:rPr>
                <w:rFonts w:eastAsia="Times New Roman"/>
                <w:sz w:val="20"/>
                <w:szCs w:val="20"/>
              </w:rPr>
              <w:t>2.027,482</w:t>
            </w:r>
          </w:p>
        </w:tc>
        <w:tc>
          <w:tcPr>
            <w:tcW w:w="1216" w:type="dxa"/>
            <w:tcBorders>
              <w:top w:val="nil"/>
              <w:left w:val="nil"/>
              <w:bottom w:val="single" w:sz="4" w:space="0" w:color="auto"/>
              <w:right w:val="single" w:sz="4" w:space="0" w:color="auto"/>
            </w:tcBorders>
            <w:shd w:val="clear" w:color="auto" w:fill="auto"/>
            <w:noWrap/>
            <w:vAlign w:val="bottom"/>
            <w:hideMark/>
          </w:tcPr>
          <w:p w14:paraId="519B4B7F" w14:textId="77777777" w:rsidR="00993172" w:rsidRPr="008E63BB" w:rsidRDefault="00993172" w:rsidP="0065184D">
            <w:pPr>
              <w:jc w:val="right"/>
              <w:rPr>
                <w:rFonts w:eastAsia="Times New Roman"/>
                <w:sz w:val="20"/>
                <w:szCs w:val="20"/>
              </w:rPr>
            </w:pPr>
            <w:r w:rsidRPr="008E63BB">
              <w:rPr>
                <w:rFonts w:eastAsia="Times New Roman"/>
                <w:sz w:val="20"/>
                <w:szCs w:val="20"/>
              </w:rPr>
              <w:t>2.066,459</w:t>
            </w:r>
          </w:p>
        </w:tc>
        <w:tc>
          <w:tcPr>
            <w:tcW w:w="1216" w:type="dxa"/>
            <w:tcBorders>
              <w:top w:val="nil"/>
              <w:left w:val="nil"/>
              <w:bottom w:val="single" w:sz="4" w:space="0" w:color="auto"/>
              <w:right w:val="single" w:sz="4" w:space="0" w:color="auto"/>
            </w:tcBorders>
            <w:shd w:val="clear" w:color="auto" w:fill="auto"/>
            <w:noWrap/>
            <w:vAlign w:val="bottom"/>
            <w:hideMark/>
          </w:tcPr>
          <w:p w14:paraId="519B4B80" w14:textId="77777777" w:rsidR="00993172" w:rsidRPr="008E63BB" w:rsidRDefault="00993172" w:rsidP="0065184D">
            <w:pPr>
              <w:jc w:val="right"/>
              <w:rPr>
                <w:rFonts w:eastAsia="Times New Roman"/>
                <w:sz w:val="20"/>
                <w:szCs w:val="20"/>
              </w:rPr>
            </w:pPr>
            <w:r w:rsidRPr="008E63BB">
              <w:rPr>
                <w:rFonts w:eastAsia="Times New Roman"/>
                <w:sz w:val="20"/>
                <w:szCs w:val="20"/>
              </w:rPr>
              <w:t>1.932,445</w:t>
            </w:r>
          </w:p>
        </w:tc>
        <w:tc>
          <w:tcPr>
            <w:tcW w:w="1216" w:type="dxa"/>
            <w:tcBorders>
              <w:top w:val="nil"/>
              <w:left w:val="nil"/>
              <w:bottom w:val="single" w:sz="4" w:space="0" w:color="auto"/>
              <w:right w:val="single" w:sz="4" w:space="0" w:color="auto"/>
            </w:tcBorders>
            <w:shd w:val="clear" w:color="auto" w:fill="auto"/>
            <w:noWrap/>
            <w:vAlign w:val="bottom"/>
            <w:hideMark/>
          </w:tcPr>
          <w:p w14:paraId="519B4B81" w14:textId="77777777" w:rsidR="00993172" w:rsidRPr="008E63BB" w:rsidRDefault="00993172" w:rsidP="0065184D">
            <w:pPr>
              <w:jc w:val="right"/>
              <w:rPr>
                <w:rFonts w:eastAsia="Times New Roman"/>
                <w:sz w:val="20"/>
                <w:szCs w:val="20"/>
              </w:rPr>
            </w:pPr>
            <w:r w:rsidRPr="008E63BB">
              <w:rPr>
                <w:rFonts w:eastAsia="Times New Roman"/>
                <w:sz w:val="20"/>
                <w:szCs w:val="20"/>
              </w:rPr>
              <w:t>2.000,783</w:t>
            </w:r>
          </w:p>
        </w:tc>
      </w:tr>
      <w:tr w:rsidR="008D5BFE" w:rsidRPr="008E63BB" w14:paraId="519B4B8F"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83"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84"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85" w14:textId="77777777" w:rsidR="00993172" w:rsidRPr="008E63BB" w:rsidRDefault="00993172" w:rsidP="0065184D">
            <w:pPr>
              <w:jc w:val="left"/>
              <w:rPr>
                <w:rFonts w:eastAsia="Times New Roman"/>
                <w:sz w:val="20"/>
                <w:szCs w:val="20"/>
              </w:rPr>
            </w:pPr>
            <w:r w:rsidRPr="008E63BB">
              <w:rPr>
                <w:rFonts w:eastAsia="Times New Roman"/>
                <w:sz w:val="20"/>
                <w:szCs w:val="20"/>
              </w:rPr>
              <w:t>Công nghiệp và xây dựng</w:t>
            </w:r>
          </w:p>
        </w:tc>
        <w:tc>
          <w:tcPr>
            <w:tcW w:w="1116" w:type="dxa"/>
            <w:tcBorders>
              <w:top w:val="nil"/>
              <w:left w:val="nil"/>
              <w:bottom w:val="single" w:sz="4" w:space="0" w:color="auto"/>
              <w:right w:val="single" w:sz="4" w:space="0" w:color="auto"/>
            </w:tcBorders>
            <w:shd w:val="clear" w:color="auto" w:fill="auto"/>
            <w:noWrap/>
            <w:vAlign w:val="bottom"/>
            <w:hideMark/>
          </w:tcPr>
          <w:p w14:paraId="519B4B86" w14:textId="77777777" w:rsidR="00993172" w:rsidRPr="008E63BB" w:rsidRDefault="00993172" w:rsidP="0065184D">
            <w:pPr>
              <w:jc w:val="right"/>
              <w:rPr>
                <w:rFonts w:eastAsia="Times New Roman"/>
                <w:sz w:val="20"/>
                <w:szCs w:val="20"/>
              </w:rPr>
            </w:pPr>
            <w:r w:rsidRPr="008E63BB">
              <w:rPr>
                <w:rFonts w:eastAsia="Times New Roman"/>
                <w:sz w:val="20"/>
                <w:szCs w:val="20"/>
              </w:rPr>
              <w:t>2.881,638</w:t>
            </w:r>
          </w:p>
        </w:tc>
        <w:tc>
          <w:tcPr>
            <w:tcW w:w="1116" w:type="dxa"/>
            <w:tcBorders>
              <w:top w:val="nil"/>
              <w:left w:val="nil"/>
              <w:bottom w:val="single" w:sz="4" w:space="0" w:color="auto"/>
              <w:right w:val="single" w:sz="4" w:space="0" w:color="auto"/>
            </w:tcBorders>
            <w:shd w:val="clear" w:color="auto" w:fill="auto"/>
            <w:noWrap/>
            <w:vAlign w:val="bottom"/>
            <w:hideMark/>
          </w:tcPr>
          <w:p w14:paraId="519B4B87" w14:textId="77777777" w:rsidR="00993172" w:rsidRPr="008E63BB" w:rsidRDefault="00993172" w:rsidP="0065184D">
            <w:pPr>
              <w:jc w:val="right"/>
              <w:rPr>
                <w:rFonts w:eastAsia="Times New Roman"/>
                <w:sz w:val="20"/>
                <w:szCs w:val="20"/>
              </w:rPr>
            </w:pPr>
            <w:r w:rsidRPr="008E63BB">
              <w:rPr>
                <w:rFonts w:eastAsia="Times New Roman"/>
                <w:sz w:val="20"/>
                <w:szCs w:val="20"/>
              </w:rPr>
              <w:t>3.435,910</w:t>
            </w:r>
          </w:p>
        </w:tc>
        <w:tc>
          <w:tcPr>
            <w:tcW w:w="1116" w:type="dxa"/>
            <w:tcBorders>
              <w:top w:val="nil"/>
              <w:left w:val="nil"/>
              <w:bottom w:val="single" w:sz="4" w:space="0" w:color="auto"/>
              <w:right w:val="single" w:sz="4" w:space="0" w:color="auto"/>
            </w:tcBorders>
            <w:shd w:val="clear" w:color="auto" w:fill="auto"/>
            <w:noWrap/>
            <w:vAlign w:val="bottom"/>
            <w:hideMark/>
          </w:tcPr>
          <w:p w14:paraId="519B4B88" w14:textId="77777777" w:rsidR="00993172" w:rsidRPr="008E63BB" w:rsidRDefault="00993172" w:rsidP="0065184D">
            <w:pPr>
              <w:jc w:val="right"/>
              <w:rPr>
                <w:rFonts w:eastAsia="Times New Roman"/>
                <w:sz w:val="20"/>
                <w:szCs w:val="20"/>
              </w:rPr>
            </w:pPr>
            <w:r w:rsidRPr="008E63BB">
              <w:rPr>
                <w:rFonts w:eastAsia="Times New Roman"/>
                <w:sz w:val="20"/>
                <w:szCs w:val="20"/>
              </w:rPr>
              <w:t>4.172,689</w:t>
            </w:r>
          </w:p>
        </w:tc>
        <w:tc>
          <w:tcPr>
            <w:tcW w:w="1216" w:type="dxa"/>
            <w:tcBorders>
              <w:top w:val="nil"/>
              <w:left w:val="nil"/>
              <w:bottom w:val="single" w:sz="4" w:space="0" w:color="auto"/>
              <w:right w:val="single" w:sz="4" w:space="0" w:color="auto"/>
            </w:tcBorders>
            <w:shd w:val="clear" w:color="auto" w:fill="auto"/>
            <w:noWrap/>
            <w:vAlign w:val="bottom"/>
            <w:hideMark/>
          </w:tcPr>
          <w:p w14:paraId="519B4B89" w14:textId="77777777" w:rsidR="00993172" w:rsidRPr="008E63BB" w:rsidRDefault="00993172" w:rsidP="0065184D">
            <w:pPr>
              <w:jc w:val="right"/>
              <w:rPr>
                <w:rFonts w:eastAsia="Times New Roman"/>
                <w:sz w:val="20"/>
                <w:szCs w:val="20"/>
              </w:rPr>
            </w:pPr>
            <w:r w:rsidRPr="008E63BB">
              <w:rPr>
                <w:rFonts w:eastAsia="Times New Roman"/>
                <w:sz w:val="20"/>
                <w:szCs w:val="20"/>
              </w:rPr>
              <w:t>4.925,065</w:t>
            </w:r>
          </w:p>
        </w:tc>
        <w:tc>
          <w:tcPr>
            <w:tcW w:w="1216" w:type="dxa"/>
            <w:tcBorders>
              <w:top w:val="nil"/>
              <w:left w:val="nil"/>
              <w:bottom w:val="single" w:sz="4" w:space="0" w:color="auto"/>
              <w:right w:val="single" w:sz="4" w:space="0" w:color="auto"/>
            </w:tcBorders>
            <w:shd w:val="clear" w:color="auto" w:fill="auto"/>
            <w:noWrap/>
            <w:vAlign w:val="bottom"/>
            <w:hideMark/>
          </w:tcPr>
          <w:p w14:paraId="519B4B8A" w14:textId="77777777" w:rsidR="00993172" w:rsidRPr="008E63BB" w:rsidRDefault="00993172" w:rsidP="0065184D">
            <w:pPr>
              <w:jc w:val="right"/>
              <w:rPr>
                <w:rFonts w:eastAsia="Times New Roman"/>
                <w:sz w:val="20"/>
                <w:szCs w:val="20"/>
              </w:rPr>
            </w:pPr>
            <w:r w:rsidRPr="008E63BB">
              <w:rPr>
                <w:rFonts w:eastAsia="Times New Roman"/>
                <w:sz w:val="20"/>
                <w:szCs w:val="20"/>
              </w:rPr>
              <w:t>5.688,956</w:t>
            </w:r>
          </w:p>
        </w:tc>
        <w:tc>
          <w:tcPr>
            <w:tcW w:w="1216" w:type="dxa"/>
            <w:tcBorders>
              <w:top w:val="nil"/>
              <w:left w:val="nil"/>
              <w:bottom w:val="single" w:sz="4" w:space="0" w:color="auto"/>
              <w:right w:val="single" w:sz="4" w:space="0" w:color="auto"/>
            </w:tcBorders>
            <w:shd w:val="clear" w:color="auto" w:fill="auto"/>
            <w:noWrap/>
            <w:vAlign w:val="bottom"/>
            <w:hideMark/>
          </w:tcPr>
          <w:p w14:paraId="519B4B8B" w14:textId="77777777" w:rsidR="00993172" w:rsidRPr="008E63BB" w:rsidRDefault="00993172" w:rsidP="0065184D">
            <w:pPr>
              <w:jc w:val="right"/>
              <w:rPr>
                <w:rFonts w:eastAsia="Times New Roman"/>
                <w:sz w:val="20"/>
                <w:szCs w:val="20"/>
              </w:rPr>
            </w:pPr>
            <w:r w:rsidRPr="008E63BB">
              <w:rPr>
                <w:rFonts w:eastAsia="Times New Roman"/>
                <w:sz w:val="20"/>
                <w:szCs w:val="20"/>
              </w:rPr>
              <w:t>6450,485</w:t>
            </w:r>
          </w:p>
        </w:tc>
        <w:tc>
          <w:tcPr>
            <w:tcW w:w="1216" w:type="dxa"/>
            <w:tcBorders>
              <w:top w:val="nil"/>
              <w:left w:val="nil"/>
              <w:bottom w:val="single" w:sz="4" w:space="0" w:color="auto"/>
              <w:right w:val="single" w:sz="4" w:space="0" w:color="auto"/>
            </w:tcBorders>
            <w:shd w:val="clear" w:color="auto" w:fill="auto"/>
            <w:noWrap/>
            <w:vAlign w:val="bottom"/>
            <w:hideMark/>
          </w:tcPr>
          <w:p w14:paraId="519B4B8C" w14:textId="77777777" w:rsidR="00993172" w:rsidRPr="008E63BB" w:rsidRDefault="00993172" w:rsidP="0065184D">
            <w:pPr>
              <w:jc w:val="right"/>
              <w:rPr>
                <w:rFonts w:eastAsia="Times New Roman"/>
                <w:sz w:val="20"/>
                <w:szCs w:val="20"/>
              </w:rPr>
            </w:pPr>
            <w:r w:rsidRPr="008E63BB">
              <w:rPr>
                <w:rFonts w:eastAsia="Times New Roman"/>
                <w:sz w:val="20"/>
                <w:szCs w:val="20"/>
              </w:rPr>
              <w:t>6852,74</w:t>
            </w:r>
          </w:p>
        </w:tc>
        <w:tc>
          <w:tcPr>
            <w:tcW w:w="1216" w:type="dxa"/>
            <w:tcBorders>
              <w:top w:val="nil"/>
              <w:left w:val="nil"/>
              <w:bottom w:val="single" w:sz="4" w:space="0" w:color="auto"/>
              <w:right w:val="single" w:sz="4" w:space="0" w:color="auto"/>
            </w:tcBorders>
            <w:shd w:val="clear" w:color="auto" w:fill="auto"/>
            <w:noWrap/>
            <w:vAlign w:val="bottom"/>
            <w:hideMark/>
          </w:tcPr>
          <w:p w14:paraId="519B4B8D" w14:textId="77777777" w:rsidR="00993172" w:rsidRPr="008E63BB" w:rsidRDefault="00993172" w:rsidP="0065184D">
            <w:pPr>
              <w:jc w:val="right"/>
              <w:rPr>
                <w:rFonts w:eastAsia="Times New Roman"/>
                <w:sz w:val="20"/>
                <w:szCs w:val="20"/>
              </w:rPr>
            </w:pPr>
            <w:r w:rsidRPr="008E63BB">
              <w:rPr>
                <w:rFonts w:eastAsia="Times New Roman"/>
                <w:sz w:val="20"/>
                <w:szCs w:val="20"/>
              </w:rPr>
              <w:t>7757,535</w:t>
            </w:r>
          </w:p>
        </w:tc>
        <w:tc>
          <w:tcPr>
            <w:tcW w:w="1216" w:type="dxa"/>
            <w:tcBorders>
              <w:top w:val="nil"/>
              <w:left w:val="nil"/>
              <w:bottom w:val="single" w:sz="4" w:space="0" w:color="auto"/>
              <w:right w:val="single" w:sz="4" w:space="0" w:color="auto"/>
            </w:tcBorders>
            <w:shd w:val="clear" w:color="auto" w:fill="auto"/>
            <w:noWrap/>
            <w:vAlign w:val="bottom"/>
            <w:hideMark/>
          </w:tcPr>
          <w:p w14:paraId="519B4B8E" w14:textId="77777777" w:rsidR="00993172" w:rsidRPr="008E63BB" w:rsidRDefault="00993172" w:rsidP="0065184D">
            <w:pPr>
              <w:jc w:val="right"/>
              <w:rPr>
                <w:rFonts w:eastAsia="Times New Roman"/>
                <w:sz w:val="20"/>
                <w:szCs w:val="20"/>
              </w:rPr>
            </w:pPr>
            <w:r w:rsidRPr="008E63BB">
              <w:rPr>
                <w:rFonts w:eastAsia="Times New Roman"/>
                <w:sz w:val="20"/>
                <w:szCs w:val="20"/>
              </w:rPr>
              <w:t>8834,271</w:t>
            </w:r>
          </w:p>
        </w:tc>
      </w:tr>
      <w:tr w:rsidR="008D5BFE" w:rsidRPr="008E63BB" w14:paraId="519B4B9C" w14:textId="77777777" w:rsidTr="004710C7">
        <w:trPr>
          <w:trHeight w:val="255"/>
        </w:trPr>
        <w:tc>
          <w:tcPr>
            <w:tcW w:w="616" w:type="dxa"/>
            <w:vMerge/>
            <w:tcBorders>
              <w:top w:val="nil"/>
              <w:left w:val="single" w:sz="4" w:space="0" w:color="auto"/>
              <w:bottom w:val="single" w:sz="4" w:space="0" w:color="000000"/>
              <w:right w:val="single" w:sz="4" w:space="0" w:color="auto"/>
            </w:tcBorders>
            <w:vAlign w:val="center"/>
            <w:hideMark/>
          </w:tcPr>
          <w:p w14:paraId="519B4B90" w14:textId="77777777" w:rsidR="00993172" w:rsidRPr="008E63BB" w:rsidRDefault="00993172" w:rsidP="0065184D">
            <w:pPr>
              <w:jc w:val="left"/>
              <w:rPr>
                <w:rFonts w:eastAsia="Times New Roman"/>
                <w:sz w:val="20"/>
                <w:szCs w:val="20"/>
              </w:rPr>
            </w:pPr>
          </w:p>
        </w:tc>
        <w:tc>
          <w:tcPr>
            <w:tcW w:w="316" w:type="dxa"/>
            <w:tcBorders>
              <w:top w:val="nil"/>
              <w:left w:val="nil"/>
              <w:bottom w:val="single" w:sz="4" w:space="0" w:color="auto"/>
              <w:right w:val="single" w:sz="4" w:space="0" w:color="auto"/>
            </w:tcBorders>
            <w:shd w:val="clear" w:color="auto" w:fill="auto"/>
            <w:noWrap/>
            <w:vAlign w:val="bottom"/>
            <w:hideMark/>
          </w:tcPr>
          <w:p w14:paraId="519B4B91" w14:textId="77777777" w:rsidR="00993172" w:rsidRPr="008E63BB" w:rsidRDefault="00993172" w:rsidP="0065184D">
            <w:pPr>
              <w:jc w:val="right"/>
              <w:rPr>
                <w:rFonts w:eastAsia="Times New Roman"/>
                <w:sz w:val="20"/>
                <w:szCs w:val="20"/>
              </w:rPr>
            </w:pPr>
            <w:r w:rsidRPr="008E63BB">
              <w:rPr>
                <w:rFonts w:eastAsia="Times New Roman"/>
                <w:sz w:val="20"/>
                <w:szCs w:val="20"/>
              </w:rPr>
              <w:t>-</w:t>
            </w:r>
          </w:p>
        </w:tc>
        <w:tc>
          <w:tcPr>
            <w:tcW w:w="2730" w:type="dxa"/>
            <w:tcBorders>
              <w:top w:val="nil"/>
              <w:left w:val="nil"/>
              <w:bottom w:val="single" w:sz="4" w:space="0" w:color="auto"/>
              <w:right w:val="single" w:sz="4" w:space="0" w:color="auto"/>
            </w:tcBorders>
            <w:shd w:val="clear" w:color="auto" w:fill="auto"/>
            <w:noWrap/>
            <w:vAlign w:val="bottom"/>
            <w:hideMark/>
          </w:tcPr>
          <w:p w14:paraId="519B4B92" w14:textId="77777777" w:rsidR="00993172" w:rsidRPr="008E63BB" w:rsidRDefault="00993172" w:rsidP="0065184D">
            <w:pPr>
              <w:jc w:val="left"/>
              <w:rPr>
                <w:rFonts w:eastAsia="Times New Roman"/>
                <w:sz w:val="20"/>
                <w:szCs w:val="20"/>
              </w:rPr>
            </w:pPr>
            <w:r w:rsidRPr="008E63BB">
              <w:rPr>
                <w:rFonts w:eastAsia="Times New Roman"/>
                <w:sz w:val="20"/>
                <w:szCs w:val="20"/>
              </w:rPr>
              <w:t>Dịch vụ, thương mại</w:t>
            </w:r>
          </w:p>
        </w:tc>
        <w:tc>
          <w:tcPr>
            <w:tcW w:w="1116" w:type="dxa"/>
            <w:tcBorders>
              <w:top w:val="nil"/>
              <w:left w:val="nil"/>
              <w:bottom w:val="single" w:sz="4" w:space="0" w:color="auto"/>
              <w:right w:val="single" w:sz="4" w:space="0" w:color="auto"/>
            </w:tcBorders>
            <w:shd w:val="clear" w:color="auto" w:fill="auto"/>
            <w:noWrap/>
            <w:vAlign w:val="bottom"/>
            <w:hideMark/>
          </w:tcPr>
          <w:p w14:paraId="519B4B93" w14:textId="77777777" w:rsidR="00993172" w:rsidRPr="008E63BB" w:rsidRDefault="00993172" w:rsidP="0065184D">
            <w:pPr>
              <w:jc w:val="right"/>
              <w:rPr>
                <w:rFonts w:eastAsia="Times New Roman"/>
                <w:sz w:val="20"/>
                <w:szCs w:val="20"/>
              </w:rPr>
            </w:pPr>
            <w:r w:rsidRPr="008E63BB">
              <w:rPr>
                <w:rFonts w:eastAsia="Times New Roman"/>
                <w:sz w:val="20"/>
                <w:szCs w:val="20"/>
              </w:rPr>
              <w:t>1.265,217</w:t>
            </w:r>
          </w:p>
        </w:tc>
        <w:tc>
          <w:tcPr>
            <w:tcW w:w="1116" w:type="dxa"/>
            <w:tcBorders>
              <w:top w:val="nil"/>
              <w:left w:val="nil"/>
              <w:bottom w:val="single" w:sz="4" w:space="0" w:color="auto"/>
              <w:right w:val="single" w:sz="4" w:space="0" w:color="auto"/>
            </w:tcBorders>
            <w:shd w:val="clear" w:color="auto" w:fill="auto"/>
            <w:noWrap/>
            <w:vAlign w:val="bottom"/>
            <w:hideMark/>
          </w:tcPr>
          <w:p w14:paraId="519B4B94" w14:textId="77777777" w:rsidR="00993172" w:rsidRPr="008E63BB" w:rsidRDefault="00993172" w:rsidP="0065184D">
            <w:pPr>
              <w:jc w:val="right"/>
              <w:rPr>
                <w:rFonts w:eastAsia="Times New Roman"/>
                <w:sz w:val="20"/>
                <w:szCs w:val="20"/>
              </w:rPr>
            </w:pPr>
            <w:r w:rsidRPr="008E63BB">
              <w:rPr>
                <w:rFonts w:eastAsia="Times New Roman"/>
                <w:sz w:val="20"/>
                <w:szCs w:val="20"/>
              </w:rPr>
              <w:t>1.538,556</w:t>
            </w:r>
          </w:p>
        </w:tc>
        <w:tc>
          <w:tcPr>
            <w:tcW w:w="1116" w:type="dxa"/>
            <w:tcBorders>
              <w:top w:val="nil"/>
              <w:left w:val="nil"/>
              <w:bottom w:val="single" w:sz="4" w:space="0" w:color="auto"/>
              <w:right w:val="single" w:sz="4" w:space="0" w:color="auto"/>
            </w:tcBorders>
            <w:shd w:val="clear" w:color="auto" w:fill="auto"/>
            <w:noWrap/>
            <w:vAlign w:val="bottom"/>
            <w:hideMark/>
          </w:tcPr>
          <w:p w14:paraId="519B4B95" w14:textId="77777777" w:rsidR="00993172" w:rsidRPr="008E63BB" w:rsidRDefault="00993172" w:rsidP="0065184D">
            <w:pPr>
              <w:jc w:val="right"/>
              <w:rPr>
                <w:rFonts w:eastAsia="Times New Roman"/>
                <w:sz w:val="20"/>
                <w:szCs w:val="20"/>
              </w:rPr>
            </w:pPr>
            <w:r w:rsidRPr="008E63BB">
              <w:rPr>
                <w:rFonts w:eastAsia="Times New Roman"/>
                <w:sz w:val="20"/>
                <w:szCs w:val="20"/>
              </w:rPr>
              <w:t>1.765,674</w:t>
            </w:r>
          </w:p>
        </w:tc>
        <w:tc>
          <w:tcPr>
            <w:tcW w:w="1216" w:type="dxa"/>
            <w:tcBorders>
              <w:top w:val="nil"/>
              <w:left w:val="nil"/>
              <w:bottom w:val="single" w:sz="4" w:space="0" w:color="auto"/>
              <w:right w:val="single" w:sz="4" w:space="0" w:color="auto"/>
            </w:tcBorders>
            <w:shd w:val="clear" w:color="auto" w:fill="auto"/>
            <w:noWrap/>
            <w:vAlign w:val="bottom"/>
            <w:hideMark/>
          </w:tcPr>
          <w:p w14:paraId="519B4B96" w14:textId="77777777" w:rsidR="00993172" w:rsidRPr="008E63BB" w:rsidRDefault="00993172" w:rsidP="0065184D">
            <w:pPr>
              <w:jc w:val="right"/>
              <w:rPr>
                <w:rFonts w:eastAsia="Times New Roman"/>
                <w:sz w:val="20"/>
                <w:szCs w:val="20"/>
              </w:rPr>
            </w:pPr>
            <w:r w:rsidRPr="008E63BB">
              <w:rPr>
                <w:rFonts w:eastAsia="Times New Roman"/>
                <w:sz w:val="20"/>
                <w:szCs w:val="20"/>
              </w:rPr>
              <w:t>1.828,104</w:t>
            </w:r>
          </w:p>
        </w:tc>
        <w:tc>
          <w:tcPr>
            <w:tcW w:w="1216" w:type="dxa"/>
            <w:tcBorders>
              <w:top w:val="nil"/>
              <w:left w:val="nil"/>
              <w:bottom w:val="single" w:sz="4" w:space="0" w:color="auto"/>
              <w:right w:val="single" w:sz="4" w:space="0" w:color="auto"/>
            </w:tcBorders>
            <w:shd w:val="clear" w:color="auto" w:fill="auto"/>
            <w:noWrap/>
            <w:vAlign w:val="bottom"/>
            <w:hideMark/>
          </w:tcPr>
          <w:p w14:paraId="519B4B97" w14:textId="77777777" w:rsidR="00993172" w:rsidRPr="008E63BB" w:rsidRDefault="00993172" w:rsidP="0065184D">
            <w:pPr>
              <w:jc w:val="right"/>
              <w:rPr>
                <w:rFonts w:eastAsia="Times New Roman"/>
                <w:sz w:val="20"/>
                <w:szCs w:val="20"/>
              </w:rPr>
            </w:pPr>
            <w:r w:rsidRPr="008E63BB">
              <w:rPr>
                <w:rFonts w:eastAsia="Times New Roman"/>
                <w:sz w:val="20"/>
                <w:szCs w:val="20"/>
              </w:rPr>
              <w:t>2.033,435</w:t>
            </w:r>
          </w:p>
        </w:tc>
        <w:tc>
          <w:tcPr>
            <w:tcW w:w="1216" w:type="dxa"/>
            <w:tcBorders>
              <w:top w:val="nil"/>
              <w:left w:val="nil"/>
              <w:bottom w:val="single" w:sz="4" w:space="0" w:color="auto"/>
              <w:right w:val="single" w:sz="4" w:space="0" w:color="auto"/>
            </w:tcBorders>
            <w:shd w:val="clear" w:color="auto" w:fill="auto"/>
            <w:noWrap/>
            <w:vAlign w:val="bottom"/>
            <w:hideMark/>
          </w:tcPr>
          <w:p w14:paraId="519B4B98" w14:textId="77777777" w:rsidR="00993172" w:rsidRPr="008E63BB" w:rsidRDefault="00993172" w:rsidP="0065184D">
            <w:pPr>
              <w:jc w:val="right"/>
              <w:rPr>
                <w:rFonts w:eastAsia="Times New Roman"/>
                <w:sz w:val="20"/>
                <w:szCs w:val="20"/>
              </w:rPr>
            </w:pPr>
            <w:r w:rsidRPr="008E63BB">
              <w:rPr>
                <w:rFonts w:eastAsia="Times New Roman"/>
                <w:sz w:val="20"/>
                <w:szCs w:val="20"/>
              </w:rPr>
              <w:t>2.182,581</w:t>
            </w:r>
          </w:p>
        </w:tc>
        <w:tc>
          <w:tcPr>
            <w:tcW w:w="1216" w:type="dxa"/>
            <w:tcBorders>
              <w:top w:val="nil"/>
              <w:left w:val="nil"/>
              <w:bottom w:val="single" w:sz="4" w:space="0" w:color="auto"/>
              <w:right w:val="single" w:sz="4" w:space="0" w:color="auto"/>
            </w:tcBorders>
            <w:shd w:val="clear" w:color="auto" w:fill="auto"/>
            <w:noWrap/>
            <w:vAlign w:val="bottom"/>
            <w:hideMark/>
          </w:tcPr>
          <w:p w14:paraId="519B4B99" w14:textId="77777777" w:rsidR="00993172" w:rsidRPr="008E63BB" w:rsidRDefault="00993172" w:rsidP="0065184D">
            <w:pPr>
              <w:jc w:val="right"/>
              <w:rPr>
                <w:rFonts w:eastAsia="Times New Roman"/>
                <w:sz w:val="20"/>
                <w:szCs w:val="20"/>
              </w:rPr>
            </w:pPr>
            <w:r w:rsidRPr="008E63BB">
              <w:rPr>
                <w:rFonts w:eastAsia="Times New Roman"/>
                <w:sz w:val="20"/>
                <w:szCs w:val="20"/>
              </w:rPr>
              <w:t>2.402,159</w:t>
            </w:r>
          </w:p>
        </w:tc>
        <w:tc>
          <w:tcPr>
            <w:tcW w:w="1216" w:type="dxa"/>
            <w:tcBorders>
              <w:top w:val="nil"/>
              <w:left w:val="nil"/>
              <w:bottom w:val="single" w:sz="4" w:space="0" w:color="auto"/>
              <w:right w:val="single" w:sz="4" w:space="0" w:color="auto"/>
            </w:tcBorders>
            <w:shd w:val="clear" w:color="auto" w:fill="auto"/>
            <w:noWrap/>
            <w:vAlign w:val="bottom"/>
            <w:hideMark/>
          </w:tcPr>
          <w:p w14:paraId="519B4B9A" w14:textId="77777777" w:rsidR="00993172" w:rsidRPr="008E63BB" w:rsidRDefault="00993172" w:rsidP="0065184D">
            <w:pPr>
              <w:jc w:val="right"/>
              <w:rPr>
                <w:rFonts w:eastAsia="Times New Roman"/>
                <w:sz w:val="20"/>
                <w:szCs w:val="20"/>
              </w:rPr>
            </w:pPr>
            <w:r w:rsidRPr="008E63BB">
              <w:rPr>
                <w:rFonts w:eastAsia="Times New Roman"/>
                <w:sz w:val="20"/>
                <w:szCs w:val="20"/>
              </w:rPr>
              <w:t>2.610,330</w:t>
            </w:r>
          </w:p>
        </w:tc>
        <w:tc>
          <w:tcPr>
            <w:tcW w:w="1216" w:type="dxa"/>
            <w:tcBorders>
              <w:top w:val="nil"/>
              <w:left w:val="nil"/>
              <w:bottom w:val="single" w:sz="4" w:space="0" w:color="auto"/>
              <w:right w:val="single" w:sz="4" w:space="0" w:color="auto"/>
            </w:tcBorders>
            <w:shd w:val="clear" w:color="auto" w:fill="auto"/>
            <w:noWrap/>
            <w:vAlign w:val="bottom"/>
            <w:hideMark/>
          </w:tcPr>
          <w:p w14:paraId="519B4B9B" w14:textId="77777777" w:rsidR="00993172" w:rsidRPr="008E63BB" w:rsidRDefault="00993172" w:rsidP="0065184D">
            <w:pPr>
              <w:jc w:val="right"/>
              <w:rPr>
                <w:rFonts w:eastAsia="Times New Roman"/>
                <w:sz w:val="20"/>
                <w:szCs w:val="20"/>
              </w:rPr>
            </w:pPr>
            <w:r w:rsidRPr="008E63BB">
              <w:rPr>
                <w:rFonts w:eastAsia="Times New Roman"/>
                <w:sz w:val="20"/>
                <w:szCs w:val="20"/>
              </w:rPr>
              <w:t>2.757,481</w:t>
            </w:r>
          </w:p>
        </w:tc>
      </w:tr>
    </w:tbl>
    <w:p w14:paraId="519B4B9D" w14:textId="77777777" w:rsidR="00296BCC" w:rsidRPr="008E63BB" w:rsidRDefault="00296BCC" w:rsidP="0065184D">
      <w:pPr>
        <w:rPr>
          <w:i/>
          <w:szCs w:val="26"/>
        </w:rPr>
        <w:sectPr w:rsidR="00296BCC" w:rsidRPr="008E63BB" w:rsidSect="00296BCC">
          <w:pgSz w:w="16840" w:h="11907" w:orient="landscape" w:code="9"/>
          <w:pgMar w:top="1699" w:right="1440" w:bottom="922" w:left="1440" w:header="720" w:footer="720" w:gutter="0"/>
          <w:cols w:space="720"/>
          <w:docGrid w:linePitch="360"/>
        </w:sectPr>
      </w:pPr>
    </w:p>
    <w:p w14:paraId="519B4B9E" w14:textId="77777777" w:rsidR="00A0345A" w:rsidRPr="008E63BB" w:rsidRDefault="00A0345A" w:rsidP="0065184D">
      <w:pPr>
        <w:rPr>
          <w:b/>
          <w:szCs w:val="26"/>
        </w:rPr>
      </w:pPr>
      <w:r w:rsidRPr="008E63BB">
        <w:rPr>
          <w:b/>
          <w:szCs w:val="26"/>
        </w:rPr>
        <w:lastRenderedPageBreak/>
        <w:t>Hiện trạng cơ sở y tế trên địa bàn</w:t>
      </w:r>
    </w:p>
    <w:tbl>
      <w:tblPr>
        <w:tblW w:w="9441" w:type="dxa"/>
        <w:tblInd w:w="93" w:type="dxa"/>
        <w:tblLook w:val="04A0" w:firstRow="1" w:lastRow="0" w:firstColumn="1" w:lastColumn="0" w:noHBand="0" w:noVBand="1"/>
      </w:tblPr>
      <w:tblGrid>
        <w:gridCol w:w="579"/>
        <w:gridCol w:w="3215"/>
        <w:gridCol w:w="2971"/>
        <w:gridCol w:w="959"/>
        <w:gridCol w:w="900"/>
        <w:gridCol w:w="817"/>
      </w:tblGrid>
      <w:tr w:rsidR="008D5BFE" w:rsidRPr="008E63BB" w14:paraId="519B4BA5" w14:textId="77777777" w:rsidTr="00F97812">
        <w:trPr>
          <w:cantSplit/>
          <w:trHeight w:val="1673"/>
          <w:tblHeader/>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B9F" w14:textId="77777777" w:rsidR="00A0345A" w:rsidRPr="008E63BB" w:rsidRDefault="00A0345A" w:rsidP="0065184D">
            <w:pPr>
              <w:jc w:val="center"/>
              <w:rPr>
                <w:rFonts w:eastAsia="Times New Roman"/>
                <w:sz w:val="24"/>
                <w:szCs w:val="24"/>
              </w:rPr>
            </w:pPr>
            <w:r w:rsidRPr="008E63BB">
              <w:rPr>
                <w:rFonts w:eastAsia="Times New Roman"/>
                <w:sz w:val="24"/>
                <w:szCs w:val="24"/>
              </w:rPr>
              <w:t>TT</w:t>
            </w:r>
          </w:p>
        </w:tc>
        <w:tc>
          <w:tcPr>
            <w:tcW w:w="3215" w:type="dxa"/>
            <w:tcBorders>
              <w:top w:val="single" w:sz="4" w:space="0" w:color="auto"/>
              <w:left w:val="nil"/>
              <w:bottom w:val="single" w:sz="4" w:space="0" w:color="auto"/>
              <w:right w:val="single" w:sz="4" w:space="0" w:color="auto"/>
            </w:tcBorders>
            <w:shd w:val="clear" w:color="auto" w:fill="auto"/>
            <w:vAlign w:val="center"/>
            <w:hideMark/>
          </w:tcPr>
          <w:p w14:paraId="519B4BA0" w14:textId="77777777" w:rsidR="00A0345A" w:rsidRPr="008E63BB" w:rsidRDefault="00A0345A" w:rsidP="0065184D">
            <w:pPr>
              <w:jc w:val="center"/>
              <w:rPr>
                <w:rFonts w:eastAsia="Times New Roman"/>
                <w:sz w:val="24"/>
                <w:szCs w:val="24"/>
              </w:rPr>
            </w:pPr>
            <w:r w:rsidRPr="008E63BB">
              <w:rPr>
                <w:rFonts w:eastAsia="Times New Roman"/>
                <w:sz w:val="24"/>
                <w:szCs w:val="24"/>
              </w:rPr>
              <w:t>Danh mục</w:t>
            </w:r>
          </w:p>
        </w:tc>
        <w:tc>
          <w:tcPr>
            <w:tcW w:w="2971" w:type="dxa"/>
            <w:tcBorders>
              <w:top w:val="single" w:sz="4" w:space="0" w:color="auto"/>
              <w:left w:val="nil"/>
              <w:bottom w:val="single" w:sz="4" w:space="0" w:color="auto"/>
              <w:right w:val="single" w:sz="4" w:space="0" w:color="auto"/>
            </w:tcBorders>
            <w:shd w:val="clear" w:color="auto" w:fill="auto"/>
            <w:vAlign w:val="center"/>
            <w:hideMark/>
          </w:tcPr>
          <w:p w14:paraId="519B4BA1" w14:textId="77777777" w:rsidR="00A0345A" w:rsidRPr="008E63BB" w:rsidRDefault="00A0345A" w:rsidP="0065184D">
            <w:pPr>
              <w:jc w:val="center"/>
              <w:rPr>
                <w:rFonts w:eastAsia="Times New Roman"/>
                <w:sz w:val="24"/>
                <w:szCs w:val="24"/>
              </w:rPr>
            </w:pPr>
            <w:r w:rsidRPr="008E63BB">
              <w:rPr>
                <w:rFonts w:eastAsia="Times New Roman"/>
                <w:sz w:val="24"/>
                <w:szCs w:val="24"/>
              </w:rPr>
              <w:t>Vị trí</w:t>
            </w:r>
          </w:p>
        </w:tc>
        <w:tc>
          <w:tcPr>
            <w:tcW w:w="959" w:type="dxa"/>
            <w:tcBorders>
              <w:top w:val="single" w:sz="4" w:space="0" w:color="auto"/>
              <w:left w:val="nil"/>
              <w:bottom w:val="single" w:sz="4" w:space="0" w:color="auto"/>
              <w:right w:val="single" w:sz="4" w:space="0" w:color="auto"/>
            </w:tcBorders>
            <w:shd w:val="clear" w:color="auto" w:fill="auto"/>
            <w:vAlign w:val="center"/>
            <w:hideMark/>
          </w:tcPr>
          <w:p w14:paraId="519B4BA2" w14:textId="77777777" w:rsidR="00A0345A" w:rsidRPr="008E63BB" w:rsidRDefault="00A0345A" w:rsidP="0065184D">
            <w:pPr>
              <w:jc w:val="center"/>
              <w:rPr>
                <w:rFonts w:eastAsia="Times New Roman"/>
                <w:sz w:val="24"/>
                <w:szCs w:val="24"/>
              </w:rPr>
            </w:pPr>
            <w:r w:rsidRPr="008E63BB">
              <w:rPr>
                <w:rFonts w:eastAsia="Times New Roman"/>
                <w:sz w:val="24"/>
                <w:szCs w:val="24"/>
              </w:rPr>
              <w:t>Qui mô giường bệnh kế hoạch</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519B4BA3" w14:textId="77777777" w:rsidR="00A0345A" w:rsidRPr="008E63BB" w:rsidRDefault="00A0345A" w:rsidP="0065184D">
            <w:pPr>
              <w:jc w:val="center"/>
              <w:rPr>
                <w:rFonts w:eastAsia="Times New Roman"/>
                <w:sz w:val="24"/>
                <w:szCs w:val="24"/>
              </w:rPr>
            </w:pPr>
            <w:r w:rsidRPr="008E63BB">
              <w:rPr>
                <w:rFonts w:eastAsia="Times New Roman"/>
                <w:sz w:val="24"/>
                <w:szCs w:val="24"/>
              </w:rPr>
              <w:t>Qui mô giường bệnh thực kê</w:t>
            </w:r>
          </w:p>
        </w:tc>
        <w:tc>
          <w:tcPr>
            <w:tcW w:w="817" w:type="dxa"/>
            <w:tcBorders>
              <w:top w:val="single" w:sz="4" w:space="0" w:color="auto"/>
              <w:left w:val="nil"/>
              <w:bottom w:val="single" w:sz="4" w:space="0" w:color="auto"/>
              <w:right w:val="single" w:sz="4" w:space="0" w:color="auto"/>
            </w:tcBorders>
            <w:shd w:val="clear" w:color="auto" w:fill="auto"/>
            <w:vAlign w:val="center"/>
            <w:hideMark/>
          </w:tcPr>
          <w:p w14:paraId="519B4BA4" w14:textId="77777777" w:rsidR="00A0345A" w:rsidRPr="008E63BB" w:rsidRDefault="00A0345A" w:rsidP="0065184D">
            <w:pPr>
              <w:jc w:val="center"/>
              <w:rPr>
                <w:rFonts w:eastAsia="Times New Roman"/>
                <w:sz w:val="24"/>
                <w:szCs w:val="24"/>
              </w:rPr>
            </w:pPr>
            <w:r w:rsidRPr="008E63BB">
              <w:rPr>
                <w:rFonts w:eastAsia="Times New Roman"/>
                <w:sz w:val="24"/>
                <w:szCs w:val="24"/>
              </w:rPr>
              <w:t>Xếp hạng</w:t>
            </w:r>
          </w:p>
        </w:tc>
      </w:tr>
      <w:tr w:rsidR="008D5BFE" w:rsidRPr="008E63BB" w14:paraId="519B4BAC" w14:textId="77777777" w:rsidTr="003D057A">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A6"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A</w:t>
            </w:r>
          </w:p>
        </w:tc>
        <w:tc>
          <w:tcPr>
            <w:tcW w:w="3215" w:type="dxa"/>
            <w:tcBorders>
              <w:top w:val="nil"/>
              <w:left w:val="nil"/>
              <w:bottom w:val="single" w:sz="4" w:space="0" w:color="auto"/>
              <w:right w:val="single" w:sz="4" w:space="0" w:color="auto"/>
            </w:tcBorders>
            <w:shd w:val="clear" w:color="auto" w:fill="auto"/>
            <w:vAlign w:val="center"/>
            <w:hideMark/>
          </w:tcPr>
          <w:p w14:paraId="519B4BA7"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Khám chữa bệnh</w:t>
            </w:r>
          </w:p>
        </w:tc>
        <w:tc>
          <w:tcPr>
            <w:tcW w:w="2971" w:type="dxa"/>
            <w:tcBorders>
              <w:top w:val="nil"/>
              <w:left w:val="nil"/>
              <w:bottom w:val="single" w:sz="4" w:space="0" w:color="auto"/>
              <w:right w:val="single" w:sz="4" w:space="0" w:color="auto"/>
            </w:tcBorders>
            <w:shd w:val="clear" w:color="auto" w:fill="auto"/>
            <w:vAlign w:val="center"/>
            <w:hideMark/>
          </w:tcPr>
          <w:p w14:paraId="519B4BA8"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c>
          <w:tcPr>
            <w:tcW w:w="959" w:type="dxa"/>
            <w:tcBorders>
              <w:top w:val="nil"/>
              <w:left w:val="nil"/>
              <w:bottom w:val="single" w:sz="4" w:space="0" w:color="auto"/>
              <w:right w:val="single" w:sz="4" w:space="0" w:color="auto"/>
            </w:tcBorders>
            <w:shd w:val="clear" w:color="auto" w:fill="auto"/>
            <w:vAlign w:val="center"/>
            <w:hideMark/>
          </w:tcPr>
          <w:p w14:paraId="519B4BA9"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2.</w:t>
            </w:r>
            <w:r w:rsidR="00146AD0" w:rsidRPr="008E63BB">
              <w:rPr>
                <w:rFonts w:eastAsia="Times New Roman"/>
                <w:b/>
                <w:bCs/>
                <w:sz w:val="24"/>
                <w:szCs w:val="24"/>
              </w:rPr>
              <w:t>280</w:t>
            </w:r>
          </w:p>
        </w:tc>
        <w:tc>
          <w:tcPr>
            <w:tcW w:w="900" w:type="dxa"/>
            <w:tcBorders>
              <w:top w:val="nil"/>
              <w:left w:val="nil"/>
              <w:bottom w:val="single" w:sz="4" w:space="0" w:color="auto"/>
              <w:right w:val="single" w:sz="4" w:space="0" w:color="auto"/>
            </w:tcBorders>
            <w:shd w:val="clear" w:color="auto" w:fill="auto"/>
            <w:vAlign w:val="center"/>
            <w:hideMark/>
          </w:tcPr>
          <w:p w14:paraId="519B4BAA"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2.</w:t>
            </w:r>
            <w:r w:rsidR="00146AD0" w:rsidRPr="008E63BB">
              <w:rPr>
                <w:rFonts w:eastAsia="Times New Roman"/>
                <w:b/>
                <w:bCs/>
                <w:sz w:val="24"/>
                <w:szCs w:val="24"/>
              </w:rPr>
              <w:t>75</w:t>
            </w:r>
            <w:r w:rsidRPr="008E63BB">
              <w:rPr>
                <w:rFonts w:eastAsia="Times New Roman"/>
                <w:b/>
                <w:bCs/>
                <w:sz w:val="24"/>
                <w:szCs w:val="24"/>
              </w:rPr>
              <w:t>5</w:t>
            </w:r>
          </w:p>
        </w:tc>
        <w:tc>
          <w:tcPr>
            <w:tcW w:w="817" w:type="dxa"/>
            <w:tcBorders>
              <w:top w:val="nil"/>
              <w:left w:val="nil"/>
              <w:bottom w:val="single" w:sz="4" w:space="0" w:color="auto"/>
              <w:right w:val="single" w:sz="4" w:space="0" w:color="auto"/>
            </w:tcBorders>
            <w:shd w:val="clear" w:color="auto" w:fill="auto"/>
            <w:vAlign w:val="center"/>
            <w:hideMark/>
          </w:tcPr>
          <w:p w14:paraId="519B4BAB"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4BB3" w14:textId="77777777" w:rsidTr="00F97812">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AD"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I</w:t>
            </w:r>
          </w:p>
        </w:tc>
        <w:tc>
          <w:tcPr>
            <w:tcW w:w="3215" w:type="dxa"/>
            <w:tcBorders>
              <w:top w:val="nil"/>
              <w:left w:val="nil"/>
              <w:bottom w:val="single" w:sz="4" w:space="0" w:color="auto"/>
              <w:right w:val="single" w:sz="4" w:space="0" w:color="auto"/>
            </w:tcBorders>
            <w:shd w:val="clear" w:color="auto" w:fill="auto"/>
            <w:vAlign w:val="center"/>
            <w:hideMark/>
          </w:tcPr>
          <w:p w14:paraId="519B4BAE"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xml:space="preserve">Đơn vị tuyến Tỉnh </w:t>
            </w:r>
          </w:p>
        </w:tc>
        <w:tc>
          <w:tcPr>
            <w:tcW w:w="2971" w:type="dxa"/>
            <w:tcBorders>
              <w:top w:val="nil"/>
              <w:left w:val="nil"/>
              <w:bottom w:val="single" w:sz="4" w:space="0" w:color="auto"/>
              <w:right w:val="single" w:sz="4" w:space="0" w:color="auto"/>
            </w:tcBorders>
            <w:shd w:val="clear" w:color="auto" w:fill="auto"/>
            <w:vAlign w:val="center"/>
            <w:hideMark/>
          </w:tcPr>
          <w:p w14:paraId="519B4BAF"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c>
          <w:tcPr>
            <w:tcW w:w="959" w:type="dxa"/>
            <w:tcBorders>
              <w:top w:val="nil"/>
              <w:left w:val="nil"/>
              <w:bottom w:val="single" w:sz="4" w:space="0" w:color="auto"/>
              <w:right w:val="single" w:sz="4" w:space="0" w:color="auto"/>
            </w:tcBorders>
            <w:shd w:val="clear" w:color="auto" w:fill="auto"/>
            <w:vAlign w:val="center"/>
            <w:hideMark/>
          </w:tcPr>
          <w:p w14:paraId="519B4BB0"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2.090</w:t>
            </w:r>
          </w:p>
        </w:tc>
        <w:tc>
          <w:tcPr>
            <w:tcW w:w="900" w:type="dxa"/>
            <w:tcBorders>
              <w:top w:val="nil"/>
              <w:left w:val="nil"/>
              <w:bottom w:val="single" w:sz="4" w:space="0" w:color="auto"/>
              <w:right w:val="single" w:sz="4" w:space="0" w:color="auto"/>
            </w:tcBorders>
            <w:shd w:val="clear" w:color="auto" w:fill="auto"/>
            <w:vAlign w:val="center"/>
            <w:hideMark/>
          </w:tcPr>
          <w:p w14:paraId="519B4BB1"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2.</w:t>
            </w:r>
            <w:r w:rsidR="00146AD0" w:rsidRPr="008E63BB">
              <w:rPr>
                <w:rFonts w:eastAsia="Times New Roman"/>
                <w:b/>
                <w:bCs/>
                <w:sz w:val="24"/>
                <w:szCs w:val="24"/>
              </w:rPr>
              <w:t>41</w:t>
            </w:r>
            <w:r w:rsidRPr="008E63BB">
              <w:rPr>
                <w:rFonts w:eastAsia="Times New Roman"/>
                <w:b/>
                <w:bCs/>
                <w:sz w:val="24"/>
                <w:szCs w:val="24"/>
              </w:rPr>
              <w:t>5</w:t>
            </w:r>
          </w:p>
        </w:tc>
        <w:tc>
          <w:tcPr>
            <w:tcW w:w="817" w:type="dxa"/>
            <w:tcBorders>
              <w:top w:val="nil"/>
              <w:left w:val="nil"/>
              <w:bottom w:val="single" w:sz="4" w:space="0" w:color="auto"/>
              <w:right w:val="single" w:sz="4" w:space="0" w:color="auto"/>
            </w:tcBorders>
            <w:shd w:val="clear" w:color="auto" w:fill="auto"/>
            <w:vAlign w:val="center"/>
            <w:hideMark/>
          </w:tcPr>
          <w:p w14:paraId="519B4BB2"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4BBA" w14:textId="77777777" w:rsidTr="00F97812">
        <w:trPr>
          <w:trHeight w:val="872"/>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B4" w14:textId="77777777" w:rsidR="00A0345A" w:rsidRPr="008E63BB" w:rsidRDefault="00A0345A" w:rsidP="0065184D">
            <w:pPr>
              <w:jc w:val="right"/>
              <w:rPr>
                <w:rFonts w:eastAsia="Times New Roman"/>
                <w:sz w:val="24"/>
                <w:szCs w:val="24"/>
              </w:rPr>
            </w:pPr>
            <w:r w:rsidRPr="008E63BB">
              <w:rPr>
                <w:rFonts w:eastAsia="Times New Roman"/>
                <w:sz w:val="24"/>
                <w:szCs w:val="24"/>
              </w:rPr>
              <w:t>1</w:t>
            </w:r>
          </w:p>
        </w:tc>
        <w:tc>
          <w:tcPr>
            <w:tcW w:w="3215" w:type="dxa"/>
            <w:tcBorders>
              <w:top w:val="nil"/>
              <w:left w:val="nil"/>
              <w:bottom w:val="single" w:sz="4" w:space="0" w:color="auto"/>
              <w:right w:val="single" w:sz="4" w:space="0" w:color="auto"/>
            </w:tcBorders>
            <w:shd w:val="clear" w:color="auto" w:fill="auto"/>
            <w:vAlign w:val="center"/>
            <w:hideMark/>
          </w:tcPr>
          <w:p w14:paraId="519B4BB5"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đa khoa tỉnh Nam Định</w:t>
            </w:r>
          </w:p>
        </w:tc>
        <w:tc>
          <w:tcPr>
            <w:tcW w:w="2971" w:type="dxa"/>
            <w:tcBorders>
              <w:top w:val="nil"/>
              <w:left w:val="nil"/>
              <w:bottom w:val="single" w:sz="4" w:space="0" w:color="auto"/>
              <w:right w:val="single" w:sz="4" w:space="0" w:color="auto"/>
            </w:tcBorders>
            <w:shd w:val="clear" w:color="auto" w:fill="auto"/>
            <w:vAlign w:val="center"/>
            <w:hideMark/>
          </w:tcPr>
          <w:p w14:paraId="519B4BB6" w14:textId="77777777" w:rsidR="00A0345A" w:rsidRPr="008E63BB" w:rsidRDefault="00A0345A" w:rsidP="0065184D">
            <w:pPr>
              <w:jc w:val="left"/>
              <w:rPr>
                <w:rFonts w:eastAsia="Times New Roman"/>
                <w:sz w:val="24"/>
                <w:szCs w:val="24"/>
              </w:rPr>
            </w:pPr>
            <w:r w:rsidRPr="008E63BB">
              <w:rPr>
                <w:rFonts w:eastAsia="Times New Roman"/>
                <w:sz w:val="24"/>
                <w:szCs w:val="24"/>
              </w:rPr>
              <w:t>Số 2 đường Trần Quốc Toản,  Trần Đăng Ninh, thành phố Nam Định,</w:t>
            </w:r>
          </w:p>
        </w:tc>
        <w:tc>
          <w:tcPr>
            <w:tcW w:w="959" w:type="dxa"/>
            <w:tcBorders>
              <w:top w:val="nil"/>
              <w:left w:val="nil"/>
              <w:bottom w:val="single" w:sz="4" w:space="0" w:color="auto"/>
              <w:right w:val="single" w:sz="4" w:space="0" w:color="auto"/>
            </w:tcBorders>
            <w:shd w:val="clear" w:color="auto" w:fill="auto"/>
            <w:vAlign w:val="center"/>
            <w:hideMark/>
          </w:tcPr>
          <w:p w14:paraId="519B4BB7" w14:textId="77777777" w:rsidR="00A0345A" w:rsidRPr="008E63BB" w:rsidRDefault="00A0345A" w:rsidP="0065184D">
            <w:pPr>
              <w:jc w:val="right"/>
              <w:rPr>
                <w:rFonts w:eastAsia="Times New Roman"/>
                <w:sz w:val="24"/>
                <w:szCs w:val="24"/>
              </w:rPr>
            </w:pPr>
            <w:r w:rsidRPr="008E63BB">
              <w:rPr>
                <w:rFonts w:eastAsia="Times New Roman"/>
                <w:sz w:val="24"/>
                <w:szCs w:val="24"/>
              </w:rPr>
              <w:t>740</w:t>
            </w:r>
          </w:p>
        </w:tc>
        <w:tc>
          <w:tcPr>
            <w:tcW w:w="900" w:type="dxa"/>
            <w:tcBorders>
              <w:top w:val="nil"/>
              <w:left w:val="nil"/>
              <w:bottom w:val="single" w:sz="4" w:space="0" w:color="auto"/>
              <w:right w:val="single" w:sz="4" w:space="0" w:color="auto"/>
            </w:tcBorders>
            <w:shd w:val="clear" w:color="auto" w:fill="auto"/>
            <w:vAlign w:val="center"/>
            <w:hideMark/>
          </w:tcPr>
          <w:p w14:paraId="519B4BB8" w14:textId="77777777" w:rsidR="00A0345A" w:rsidRPr="008E63BB" w:rsidRDefault="00A0345A" w:rsidP="0065184D">
            <w:pPr>
              <w:jc w:val="right"/>
              <w:rPr>
                <w:rFonts w:eastAsia="Times New Roman"/>
                <w:sz w:val="24"/>
                <w:szCs w:val="24"/>
              </w:rPr>
            </w:pPr>
            <w:r w:rsidRPr="008E63BB">
              <w:rPr>
                <w:rFonts w:eastAsia="Times New Roman"/>
                <w:sz w:val="24"/>
                <w:szCs w:val="24"/>
              </w:rPr>
              <w:t>900</w:t>
            </w:r>
          </w:p>
        </w:tc>
        <w:tc>
          <w:tcPr>
            <w:tcW w:w="817" w:type="dxa"/>
            <w:tcBorders>
              <w:top w:val="nil"/>
              <w:left w:val="nil"/>
              <w:bottom w:val="single" w:sz="4" w:space="0" w:color="auto"/>
              <w:right w:val="single" w:sz="4" w:space="0" w:color="auto"/>
            </w:tcBorders>
            <w:shd w:val="clear" w:color="auto" w:fill="auto"/>
            <w:vAlign w:val="center"/>
            <w:hideMark/>
          </w:tcPr>
          <w:p w14:paraId="519B4BB9" w14:textId="77777777" w:rsidR="00A0345A" w:rsidRPr="008E63BB" w:rsidRDefault="00A0345A" w:rsidP="0065184D">
            <w:pPr>
              <w:jc w:val="right"/>
              <w:rPr>
                <w:rFonts w:eastAsia="Times New Roman"/>
                <w:sz w:val="24"/>
                <w:szCs w:val="24"/>
              </w:rPr>
            </w:pPr>
            <w:r w:rsidRPr="008E63BB">
              <w:rPr>
                <w:rFonts w:eastAsia="Times New Roman"/>
                <w:sz w:val="24"/>
                <w:szCs w:val="24"/>
              </w:rPr>
              <w:t>1</w:t>
            </w:r>
          </w:p>
        </w:tc>
      </w:tr>
      <w:tr w:rsidR="008D5BFE" w:rsidRPr="008E63BB" w14:paraId="519B4BC1" w14:textId="77777777" w:rsidTr="00F97812">
        <w:trPr>
          <w:trHeight w:val="52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BB" w14:textId="77777777" w:rsidR="00A0345A" w:rsidRPr="008E63BB" w:rsidRDefault="00A0345A" w:rsidP="0065184D">
            <w:pPr>
              <w:jc w:val="right"/>
              <w:rPr>
                <w:rFonts w:eastAsia="Times New Roman"/>
                <w:sz w:val="24"/>
                <w:szCs w:val="24"/>
              </w:rPr>
            </w:pPr>
            <w:r w:rsidRPr="008E63BB">
              <w:rPr>
                <w:rFonts w:eastAsia="Times New Roman"/>
                <w:sz w:val="24"/>
                <w:szCs w:val="24"/>
              </w:rPr>
              <w:t>2</w:t>
            </w:r>
          </w:p>
        </w:tc>
        <w:tc>
          <w:tcPr>
            <w:tcW w:w="3215" w:type="dxa"/>
            <w:tcBorders>
              <w:top w:val="nil"/>
              <w:left w:val="nil"/>
              <w:bottom w:val="single" w:sz="4" w:space="0" w:color="auto"/>
              <w:right w:val="single" w:sz="4" w:space="0" w:color="auto"/>
            </w:tcBorders>
            <w:shd w:val="clear" w:color="auto" w:fill="auto"/>
            <w:vAlign w:val="center"/>
            <w:hideMark/>
          </w:tcPr>
          <w:p w14:paraId="519B4BBC"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phụ sản Nam Định</w:t>
            </w:r>
          </w:p>
        </w:tc>
        <w:tc>
          <w:tcPr>
            <w:tcW w:w="2971" w:type="dxa"/>
            <w:tcBorders>
              <w:top w:val="nil"/>
              <w:left w:val="nil"/>
              <w:bottom w:val="single" w:sz="4" w:space="0" w:color="auto"/>
              <w:right w:val="single" w:sz="4" w:space="0" w:color="auto"/>
            </w:tcBorders>
            <w:shd w:val="clear" w:color="auto" w:fill="auto"/>
            <w:vAlign w:val="center"/>
            <w:hideMark/>
          </w:tcPr>
          <w:p w14:paraId="519B4BBD" w14:textId="77777777" w:rsidR="00A0345A" w:rsidRPr="008E63BB" w:rsidRDefault="00A0345A" w:rsidP="0065184D">
            <w:pPr>
              <w:jc w:val="left"/>
              <w:rPr>
                <w:rFonts w:eastAsia="Times New Roman"/>
                <w:sz w:val="24"/>
                <w:szCs w:val="24"/>
              </w:rPr>
            </w:pPr>
            <w:r w:rsidRPr="008E63BB">
              <w:rPr>
                <w:rFonts w:eastAsia="Times New Roman"/>
                <w:sz w:val="24"/>
                <w:szCs w:val="24"/>
              </w:rPr>
              <w:t>168, Trần Đăng Ninh,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BE" w14:textId="77777777" w:rsidR="00A0345A" w:rsidRPr="008E63BB" w:rsidRDefault="00A0345A" w:rsidP="0065184D">
            <w:pPr>
              <w:jc w:val="right"/>
              <w:rPr>
                <w:rFonts w:eastAsia="Times New Roman"/>
                <w:sz w:val="24"/>
                <w:szCs w:val="24"/>
              </w:rPr>
            </w:pPr>
            <w:r w:rsidRPr="008E63BB">
              <w:rPr>
                <w:rFonts w:eastAsia="Times New Roman"/>
                <w:sz w:val="24"/>
                <w:szCs w:val="24"/>
              </w:rPr>
              <w:t>250</w:t>
            </w:r>
          </w:p>
        </w:tc>
        <w:tc>
          <w:tcPr>
            <w:tcW w:w="900" w:type="dxa"/>
            <w:tcBorders>
              <w:top w:val="nil"/>
              <w:left w:val="nil"/>
              <w:bottom w:val="single" w:sz="4" w:space="0" w:color="auto"/>
              <w:right w:val="single" w:sz="4" w:space="0" w:color="auto"/>
            </w:tcBorders>
            <w:shd w:val="clear" w:color="auto" w:fill="auto"/>
            <w:vAlign w:val="center"/>
            <w:hideMark/>
          </w:tcPr>
          <w:p w14:paraId="519B4BBF" w14:textId="77777777" w:rsidR="00A0345A" w:rsidRPr="008E63BB" w:rsidRDefault="00A0345A" w:rsidP="0065184D">
            <w:pPr>
              <w:jc w:val="right"/>
              <w:rPr>
                <w:rFonts w:eastAsia="Times New Roman"/>
                <w:sz w:val="24"/>
                <w:szCs w:val="24"/>
              </w:rPr>
            </w:pPr>
            <w:r w:rsidRPr="008E63BB">
              <w:rPr>
                <w:rFonts w:eastAsia="Times New Roman"/>
                <w:sz w:val="24"/>
                <w:szCs w:val="24"/>
              </w:rPr>
              <w:t>350</w:t>
            </w:r>
          </w:p>
        </w:tc>
        <w:tc>
          <w:tcPr>
            <w:tcW w:w="817" w:type="dxa"/>
            <w:tcBorders>
              <w:top w:val="nil"/>
              <w:left w:val="nil"/>
              <w:bottom w:val="single" w:sz="4" w:space="0" w:color="auto"/>
              <w:right w:val="single" w:sz="4" w:space="0" w:color="auto"/>
            </w:tcBorders>
            <w:shd w:val="clear" w:color="auto" w:fill="auto"/>
            <w:vAlign w:val="center"/>
            <w:hideMark/>
          </w:tcPr>
          <w:p w14:paraId="519B4BC0" w14:textId="77777777" w:rsidR="00A0345A" w:rsidRPr="008E63BB" w:rsidRDefault="00A0345A" w:rsidP="0065184D">
            <w:pPr>
              <w:jc w:val="right"/>
              <w:rPr>
                <w:rFonts w:eastAsia="Times New Roman"/>
                <w:sz w:val="24"/>
                <w:szCs w:val="24"/>
              </w:rPr>
            </w:pPr>
            <w:r w:rsidRPr="008E63BB">
              <w:rPr>
                <w:rFonts w:eastAsia="Times New Roman"/>
                <w:sz w:val="24"/>
                <w:szCs w:val="24"/>
              </w:rPr>
              <w:t>2</w:t>
            </w:r>
          </w:p>
        </w:tc>
      </w:tr>
      <w:tr w:rsidR="008D5BFE" w:rsidRPr="008E63BB" w14:paraId="519B4BC8" w14:textId="77777777" w:rsidTr="00F97812">
        <w:trPr>
          <w:trHeight w:val="494"/>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C2"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c>
          <w:tcPr>
            <w:tcW w:w="3215" w:type="dxa"/>
            <w:tcBorders>
              <w:top w:val="nil"/>
              <w:left w:val="nil"/>
              <w:bottom w:val="single" w:sz="4" w:space="0" w:color="auto"/>
              <w:right w:val="single" w:sz="4" w:space="0" w:color="auto"/>
            </w:tcBorders>
            <w:shd w:val="clear" w:color="auto" w:fill="auto"/>
            <w:vAlign w:val="center"/>
            <w:hideMark/>
          </w:tcPr>
          <w:p w14:paraId="519B4BC3"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Nhi Nam Định</w:t>
            </w:r>
          </w:p>
        </w:tc>
        <w:tc>
          <w:tcPr>
            <w:tcW w:w="2971" w:type="dxa"/>
            <w:tcBorders>
              <w:top w:val="nil"/>
              <w:left w:val="nil"/>
              <w:bottom w:val="single" w:sz="4" w:space="0" w:color="auto"/>
              <w:right w:val="single" w:sz="4" w:space="0" w:color="auto"/>
            </w:tcBorders>
            <w:shd w:val="clear" w:color="auto" w:fill="auto"/>
            <w:vAlign w:val="center"/>
            <w:hideMark/>
          </w:tcPr>
          <w:p w14:paraId="519B4BC4" w14:textId="77777777" w:rsidR="00A0345A" w:rsidRPr="008E63BB" w:rsidRDefault="00A0345A" w:rsidP="0065184D">
            <w:pPr>
              <w:jc w:val="left"/>
              <w:rPr>
                <w:rFonts w:eastAsia="Times New Roman"/>
                <w:sz w:val="24"/>
                <w:szCs w:val="24"/>
              </w:rPr>
            </w:pPr>
            <w:r w:rsidRPr="008E63BB">
              <w:rPr>
                <w:rFonts w:eastAsia="Times New Roman"/>
                <w:sz w:val="24"/>
                <w:szCs w:val="24"/>
              </w:rPr>
              <w:t>12 phố Hà Huy Tập Trần Đăng Ninh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C5" w14:textId="77777777" w:rsidR="00A0345A" w:rsidRPr="008E63BB" w:rsidRDefault="00A0345A" w:rsidP="0065184D">
            <w:pPr>
              <w:jc w:val="right"/>
              <w:rPr>
                <w:rFonts w:eastAsia="Times New Roman"/>
                <w:sz w:val="24"/>
                <w:szCs w:val="24"/>
              </w:rPr>
            </w:pPr>
            <w:r w:rsidRPr="008E63BB">
              <w:rPr>
                <w:rFonts w:eastAsia="Times New Roman"/>
                <w:sz w:val="24"/>
                <w:szCs w:val="24"/>
              </w:rPr>
              <w:t>200</w:t>
            </w:r>
          </w:p>
        </w:tc>
        <w:tc>
          <w:tcPr>
            <w:tcW w:w="900" w:type="dxa"/>
            <w:tcBorders>
              <w:top w:val="nil"/>
              <w:left w:val="nil"/>
              <w:bottom w:val="single" w:sz="4" w:space="0" w:color="auto"/>
              <w:right w:val="single" w:sz="4" w:space="0" w:color="auto"/>
            </w:tcBorders>
            <w:shd w:val="clear" w:color="auto" w:fill="auto"/>
            <w:vAlign w:val="center"/>
            <w:hideMark/>
          </w:tcPr>
          <w:p w14:paraId="519B4BC6" w14:textId="77777777" w:rsidR="00A0345A" w:rsidRPr="008E63BB" w:rsidRDefault="00A0345A" w:rsidP="0065184D">
            <w:pPr>
              <w:jc w:val="right"/>
              <w:rPr>
                <w:rFonts w:eastAsia="Times New Roman"/>
                <w:sz w:val="24"/>
                <w:szCs w:val="24"/>
              </w:rPr>
            </w:pPr>
            <w:r w:rsidRPr="008E63BB">
              <w:rPr>
                <w:rFonts w:eastAsia="Times New Roman"/>
                <w:sz w:val="24"/>
                <w:szCs w:val="24"/>
              </w:rPr>
              <w:t>250</w:t>
            </w:r>
          </w:p>
        </w:tc>
        <w:tc>
          <w:tcPr>
            <w:tcW w:w="817" w:type="dxa"/>
            <w:tcBorders>
              <w:top w:val="nil"/>
              <w:left w:val="nil"/>
              <w:bottom w:val="single" w:sz="4" w:space="0" w:color="auto"/>
              <w:right w:val="single" w:sz="4" w:space="0" w:color="auto"/>
            </w:tcBorders>
            <w:shd w:val="clear" w:color="auto" w:fill="auto"/>
            <w:vAlign w:val="center"/>
            <w:hideMark/>
          </w:tcPr>
          <w:p w14:paraId="519B4BC7"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BCF" w14:textId="77777777" w:rsidTr="00F97812">
        <w:trPr>
          <w:trHeight w:val="48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C9" w14:textId="77777777" w:rsidR="00A0345A" w:rsidRPr="008E63BB" w:rsidRDefault="00A0345A" w:rsidP="0065184D">
            <w:pPr>
              <w:jc w:val="right"/>
              <w:rPr>
                <w:rFonts w:eastAsia="Times New Roman"/>
                <w:sz w:val="24"/>
                <w:szCs w:val="24"/>
              </w:rPr>
            </w:pPr>
            <w:r w:rsidRPr="008E63BB">
              <w:rPr>
                <w:rFonts w:eastAsia="Times New Roman"/>
                <w:sz w:val="24"/>
                <w:szCs w:val="24"/>
              </w:rPr>
              <w:t>4</w:t>
            </w:r>
          </w:p>
        </w:tc>
        <w:tc>
          <w:tcPr>
            <w:tcW w:w="3215" w:type="dxa"/>
            <w:tcBorders>
              <w:top w:val="nil"/>
              <w:left w:val="nil"/>
              <w:bottom w:val="single" w:sz="4" w:space="0" w:color="auto"/>
              <w:right w:val="single" w:sz="4" w:space="0" w:color="auto"/>
            </w:tcBorders>
            <w:shd w:val="clear" w:color="auto" w:fill="auto"/>
            <w:vAlign w:val="center"/>
            <w:hideMark/>
          </w:tcPr>
          <w:p w14:paraId="519B4BCA"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mắt Nam Định</w:t>
            </w:r>
          </w:p>
        </w:tc>
        <w:tc>
          <w:tcPr>
            <w:tcW w:w="2971" w:type="dxa"/>
            <w:tcBorders>
              <w:top w:val="nil"/>
              <w:left w:val="nil"/>
              <w:bottom w:val="single" w:sz="4" w:space="0" w:color="auto"/>
              <w:right w:val="single" w:sz="4" w:space="0" w:color="auto"/>
            </w:tcBorders>
            <w:shd w:val="clear" w:color="auto" w:fill="auto"/>
            <w:vAlign w:val="center"/>
            <w:hideMark/>
          </w:tcPr>
          <w:p w14:paraId="519B4BCB" w14:textId="77777777" w:rsidR="00A0345A" w:rsidRPr="008E63BB" w:rsidRDefault="00A0345A" w:rsidP="0065184D">
            <w:pPr>
              <w:jc w:val="left"/>
              <w:rPr>
                <w:rFonts w:eastAsia="Times New Roman"/>
                <w:sz w:val="24"/>
                <w:szCs w:val="24"/>
              </w:rPr>
            </w:pPr>
            <w:r w:rsidRPr="008E63BB">
              <w:rPr>
                <w:rFonts w:eastAsia="Times New Roman"/>
                <w:sz w:val="24"/>
                <w:szCs w:val="24"/>
              </w:rPr>
              <w:t xml:space="preserve">269 Phù Nghĩa, </w:t>
            </w:r>
            <w:r w:rsidR="00450752" w:rsidRPr="008E63BB">
              <w:rPr>
                <w:rFonts w:eastAsia="Times New Roman"/>
                <w:sz w:val="24"/>
                <w:szCs w:val="24"/>
              </w:rPr>
              <w:t>Nam Định</w:t>
            </w:r>
            <w:r w:rsidRPr="008E63BB">
              <w:rPr>
                <w:rFonts w:eastAsia="Times New Roman"/>
                <w:sz w:val="24"/>
                <w:szCs w:val="24"/>
              </w:rPr>
              <w:t>,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CC" w14:textId="77777777" w:rsidR="00A0345A" w:rsidRPr="008E63BB" w:rsidRDefault="00A0345A" w:rsidP="0065184D">
            <w:pPr>
              <w:jc w:val="right"/>
              <w:rPr>
                <w:rFonts w:eastAsia="Times New Roman"/>
                <w:sz w:val="24"/>
                <w:szCs w:val="24"/>
              </w:rPr>
            </w:pPr>
            <w:r w:rsidRPr="008E63BB">
              <w:rPr>
                <w:rFonts w:eastAsia="Times New Roman"/>
                <w:sz w:val="24"/>
                <w:szCs w:val="24"/>
              </w:rPr>
              <w:t>90</w:t>
            </w:r>
          </w:p>
        </w:tc>
        <w:tc>
          <w:tcPr>
            <w:tcW w:w="900" w:type="dxa"/>
            <w:tcBorders>
              <w:top w:val="nil"/>
              <w:left w:val="nil"/>
              <w:bottom w:val="single" w:sz="4" w:space="0" w:color="auto"/>
              <w:right w:val="single" w:sz="4" w:space="0" w:color="auto"/>
            </w:tcBorders>
            <w:shd w:val="clear" w:color="auto" w:fill="auto"/>
            <w:vAlign w:val="center"/>
            <w:hideMark/>
          </w:tcPr>
          <w:p w14:paraId="519B4BCD" w14:textId="77777777" w:rsidR="00A0345A" w:rsidRPr="008E63BB" w:rsidRDefault="00A0345A" w:rsidP="0065184D">
            <w:pPr>
              <w:jc w:val="right"/>
              <w:rPr>
                <w:rFonts w:eastAsia="Times New Roman"/>
                <w:sz w:val="24"/>
                <w:szCs w:val="24"/>
              </w:rPr>
            </w:pPr>
            <w:r w:rsidRPr="008E63BB">
              <w:rPr>
                <w:rFonts w:eastAsia="Times New Roman"/>
                <w:sz w:val="24"/>
                <w:szCs w:val="24"/>
              </w:rPr>
              <w:t>110</w:t>
            </w:r>
          </w:p>
        </w:tc>
        <w:tc>
          <w:tcPr>
            <w:tcW w:w="817" w:type="dxa"/>
            <w:tcBorders>
              <w:top w:val="nil"/>
              <w:left w:val="nil"/>
              <w:bottom w:val="single" w:sz="4" w:space="0" w:color="auto"/>
              <w:right w:val="single" w:sz="4" w:space="0" w:color="auto"/>
            </w:tcBorders>
            <w:shd w:val="clear" w:color="auto" w:fill="auto"/>
            <w:vAlign w:val="center"/>
            <w:hideMark/>
          </w:tcPr>
          <w:p w14:paraId="519B4BCE"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BD6" w14:textId="77777777" w:rsidTr="00F97812">
        <w:trPr>
          <w:trHeight w:val="647"/>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D0" w14:textId="77777777" w:rsidR="00A0345A" w:rsidRPr="008E63BB" w:rsidRDefault="00A0345A" w:rsidP="0065184D">
            <w:pPr>
              <w:jc w:val="right"/>
              <w:rPr>
                <w:rFonts w:eastAsia="Times New Roman"/>
                <w:sz w:val="24"/>
                <w:szCs w:val="24"/>
              </w:rPr>
            </w:pPr>
            <w:r w:rsidRPr="008E63BB">
              <w:rPr>
                <w:rFonts w:eastAsia="Times New Roman"/>
                <w:sz w:val="24"/>
                <w:szCs w:val="24"/>
              </w:rPr>
              <w:t>5</w:t>
            </w:r>
          </w:p>
        </w:tc>
        <w:tc>
          <w:tcPr>
            <w:tcW w:w="3215" w:type="dxa"/>
            <w:tcBorders>
              <w:top w:val="nil"/>
              <w:left w:val="nil"/>
              <w:bottom w:val="single" w:sz="4" w:space="0" w:color="auto"/>
              <w:right w:val="single" w:sz="4" w:space="0" w:color="auto"/>
            </w:tcBorders>
            <w:shd w:val="clear" w:color="auto" w:fill="auto"/>
            <w:vAlign w:val="center"/>
            <w:hideMark/>
          </w:tcPr>
          <w:p w14:paraId="519B4BD1"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Lao Phổi Nam Định</w:t>
            </w:r>
          </w:p>
        </w:tc>
        <w:tc>
          <w:tcPr>
            <w:tcW w:w="2971" w:type="dxa"/>
            <w:tcBorders>
              <w:top w:val="nil"/>
              <w:left w:val="nil"/>
              <w:bottom w:val="single" w:sz="4" w:space="0" w:color="auto"/>
              <w:right w:val="single" w:sz="4" w:space="0" w:color="auto"/>
            </w:tcBorders>
            <w:shd w:val="clear" w:color="auto" w:fill="auto"/>
            <w:vAlign w:val="center"/>
            <w:hideMark/>
          </w:tcPr>
          <w:p w14:paraId="519B4BD2" w14:textId="77777777" w:rsidR="00A0345A" w:rsidRPr="008E63BB" w:rsidRDefault="00A0345A" w:rsidP="0065184D">
            <w:pPr>
              <w:jc w:val="left"/>
              <w:rPr>
                <w:rFonts w:eastAsia="Times New Roman"/>
                <w:sz w:val="24"/>
                <w:szCs w:val="24"/>
              </w:rPr>
            </w:pPr>
            <w:r w:rsidRPr="008E63BB">
              <w:rPr>
                <w:rFonts w:eastAsia="Times New Roman"/>
                <w:sz w:val="24"/>
                <w:szCs w:val="24"/>
              </w:rPr>
              <w:t>136 Phạm Ngọc Thạch, Lộc Hạ,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D3" w14:textId="77777777" w:rsidR="00A0345A" w:rsidRPr="008E63BB" w:rsidRDefault="00A0345A" w:rsidP="0065184D">
            <w:pPr>
              <w:jc w:val="right"/>
              <w:rPr>
                <w:rFonts w:eastAsia="Times New Roman"/>
                <w:sz w:val="24"/>
                <w:szCs w:val="24"/>
              </w:rPr>
            </w:pPr>
            <w:r w:rsidRPr="008E63BB">
              <w:rPr>
                <w:rFonts w:eastAsia="Times New Roman"/>
                <w:sz w:val="24"/>
                <w:szCs w:val="24"/>
              </w:rPr>
              <w:t>180</w:t>
            </w:r>
          </w:p>
        </w:tc>
        <w:tc>
          <w:tcPr>
            <w:tcW w:w="900" w:type="dxa"/>
            <w:tcBorders>
              <w:top w:val="nil"/>
              <w:left w:val="nil"/>
              <w:bottom w:val="single" w:sz="4" w:space="0" w:color="auto"/>
              <w:right w:val="single" w:sz="4" w:space="0" w:color="auto"/>
            </w:tcBorders>
            <w:shd w:val="clear" w:color="auto" w:fill="auto"/>
            <w:vAlign w:val="center"/>
            <w:hideMark/>
          </w:tcPr>
          <w:p w14:paraId="519B4BD4" w14:textId="77777777" w:rsidR="00A0345A" w:rsidRPr="008E63BB" w:rsidRDefault="00A0345A" w:rsidP="0065184D">
            <w:pPr>
              <w:jc w:val="right"/>
              <w:rPr>
                <w:rFonts w:eastAsia="Times New Roman"/>
                <w:sz w:val="24"/>
                <w:szCs w:val="24"/>
              </w:rPr>
            </w:pPr>
            <w:r w:rsidRPr="008E63BB">
              <w:rPr>
                <w:rFonts w:eastAsia="Times New Roman"/>
                <w:sz w:val="24"/>
                <w:szCs w:val="24"/>
              </w:rPr>
              <w:t>235</w:t>
            </w:r>
          </w:p>
        </w:tc>
        <w:tc>
          <w:tcPr>
            <w:tcW w:w="817" w:type="dxa"/>
            <w:tcBorders>
              <w:top w:val="nil"/>
              <w:left w:val="nil"/>
              <w:bottom w:val="single" w:sz="4" w:space="0" w:color="auto"/>
              <w:right w:val="single" w:sz="4" w:space="0" w:color="auto"/>
            </w:tcBorders>
            <w:shd w:val="clear" w:color="auto" w:fill="auto"/>
            <w:vAlign w:val="center"/>
            <w:hideMark/>
          </w:tcPr>
          <w:p w14:paraId="519B4BD5" w14:textId="77777777" w:rsidR="00A0345A" w:rsidRPr="008E63BB" w:rsidRDefault="00A0345A" w:rsidP="0065184D">
            <w:pPr>
              <w:jc w:val="right"/>
              <w:rPr>
                <w:rFonts w:eastAsia="Times New Roman"/>
                <w:sz w:val="24"/>
                <w:szCs w:val="24"/>
              </w:rPr>
            </w:pPr>
            <w:r w:rsidRPr="008E63BB">
              <w:rPr>
                <w:rFonts w:eastAsia="Times New Roman"/>
                <w:sz w:val="24"/>
                <w:szCs w:val="24"/>
              </w:rPr>
              <w:t>2</w:t>
            </w:r>
          </w:p>
        </w:tc>
      </w:tr>
      <w:tr w:rsidR="008D5BFE" w:rsidRPr="008E63BB" w14:paraId="519B4BDD" w14:textId="77777777" w:rsidTr="00F97812">
        <w:trPr>
          <w:trHeight w:val="52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D7" w14:textId="77777777" w:rsidR="00A0345A" w:rsidRPr="008E63BB" w:rsidRDefault="00A0345A" w:rsidP="0065184D">
            <w:pPr>
              <w:jc w:val="right"/>
              <w:rPr>
                <w:rFonts w:eastAsia="Times New Roman"/>
                <w:sz w:val="24"/>
                <w:szCs w:val="24"/>
              </w:rPr>
            </w:pPr>
            <w:r w:rsidRPr="008E63BB">
              <w:rPr>
                <w:rFonts w:eastAsia="Times New Roman"/>
                <w:sz w:val="24"/>
                <w:szCs w:val="24"/>
              </w:rPr>
              <w:t>6</w:t>
            </w:r>
          </w:p>
        </w:tc>
        <w:tc>
          <w:tcPr>
            <w:tcW w:w="3215" w:type="dxa"/>
            <w:tcBorders>
              <w:top w:val="nil"/>
              <w:left w:val="nil"/>
              <w:bottom w:val="single" w:sz="4" w:space="0" w:color="auto"/>
              <w:right w:val="single" w:sz="4" w:space="0" w:color="auto"/>
            </w:tcBorders>
            <w:shd w:val="clear" w:color="auto" w:fill="auto"/>
            <w:vAlign w:val="center"/>
            <w:hideMark/>
          </w:tcPr>
          <w:p w14:paraId="519B4BD8"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Y học cổ truyền Nam Định</w:t>
            </w:r>
          </w:p>
        </w:tc>
        <w:tc>
          <w:tcPr>
            <w:tcW w:w="2971" w:type="dxa"/>
            <w:tcBorders>
              <w:top w:val="nil"/>
              <w:left w:val="nil"/>
              <w:bottom w:val="single" w:sz="4" w:space="0" w:color="auto"/>
              <w:right w:val="single" w:sz="4" w:space="0" w:color="auto"/>
            </w:tcBorders>
            <w:shd w:val="clear" w:color="auto" w:fill="auto"/>
            <w:vAlign w:val="center"/>
            <w:hideMark/>
          </w:tcPr>
          <w:p w14:paraId="519B4BD9" w14:textId="77777777" w:rsidR="00A0345A" w:rsidRPr="008E63BB" w:rsidRDefault="00A0345A" w:rsidP="0065184D">
            <w:pPr>
              <w:jc w:val="left"/>
              <w:rPr>
                <w:rFonts w:eastAsia="Times New Roman"/>
                <w:sz w:val="24"/>
                <w:szCs w:val="24"/>
              </w:rPr>
            </w:pPr>
            <w:r w:rsidRPr="008E63BB">
              <w:rPr>
                <w:rFonts w:eastAsia="Times New Roman"/>
                <w:sz w:val="24"/>
                <w:szCs w:val="24"/>
              </w:rPr>
              <w:t>Huyền Trân, Lộc Vượng,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DA" w14:textId="77777777" w:rsidR="00A0345A" w:rsidRPr="008E63BB" w:rsidRDefault="00A0345A" w:rsidP="0065184D">
            <w:pPr>
              <w:jc w:val="right"/>
              <w:rPr>
                <w:rFonts w:eastAsia="Times New Roman"/>
                <w:sz w:val="24"/>
                <w:szCs w:val="24"/>
              </w:rPr>
            </w:pPr>
            <w:r w:rsidRPr="008E63BB">
              <w:rPr>
                <w:rFonts w:eastAsia="Times New Roman"/>
                <w:sz w:val="24"/>
                <w:szCs w:val="24"/>
              </w:rPr>
              <w:t>200</w:t>
            </w:r>
          </w:p>
        </w:tc>
        <w:tc>
          <w:tcPr>
            <w:tcW w:w="900" w:type="dxa"/>
            <w:tcBorders>
              <w:top w:val="nil"/>
              <w:left w:val="nil"/>
              <w:bottom w:val="single" w:sz="4" w:space="0" w:color="auto"/>
              <w:right w:val="single" w:sz="4" w:space="0" w:color="auto"/>
            </w:tcBorders>
            <w:shd w:val="clear" w:color="auto" w:fill="auto"/>
            <w:vAlign w:val="center"/>
            <w:hideMark/>
          </w:tcPr>
          <w:p w14:paraId="519B4BDB" w14:textId="77777777" w:rsidR="00A0345A" w:rsidRPr="008E63BB" w:rsidRDefault="00A0345A" w:rsidP="0065184D">
            <w:pPr>
              <w:jc w:val="right"/>
              <w:rPr>
                <w:rFonts w:eastAsia="Times New Roman"/>
                <w:sz w:val="24"/>
                <w:szCs w:val="24"/>
              </w:rPr>
            </w:pPr>
            <w:r w:rsidRPr="008E63BB">
              <w:rPr>
                <w:rFonts w:eastAsia="Times New Roman"/>
                <w:sz w:val="24"/>
                <w:szCs w:val="24"/>
              </w:rPr>
              <w:t>300</w:t>
            </w:r>
          </w:p>
        </w:tc>
        <w:tc>
          <w:tcPr>
            <w:tcW w:w="817" w:type="dxa"/>
            <w:tcBorders>
              <w:top w:val="nil"/>
              <w:left w:val="nil"/>
              <w:bottom w:val="single" w:sz="4" w:space="0" w:color="auto"/>
              <w:right w:val="single" w:sz="4" w:space="0" w:color="auto"/>
            </w:tcBorders>
            <w:shd w:val="clear" w:color="auto" w:fill="auto"/>
            <w:vAlign w:val="center"/>
            <w:hideMark/>
          </w:tcPr>
          <w:p w14:paraId="519B4BDC"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BE4" w14:textId="77777777" w:rsidTr="00F97812">
        <w:trPr>
          <w:trHeight w:val="494"/>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DE" w14:textId="77777777" w:rsidR="00A0345A" w:rsidRPr="008E63BB" w:rsidRDefault="00A0345A" w:rsidP="0065184D">
            <w:pPr>
              <w:jc w:val="right"/>
              <w:rPr>
                <w:rFonts w:eastAsia="Times New Roman"/>
                <w:sz w:val="24"/>
                <w:szCs w:val="24"/>
              </w:rPr>
            </w:pPr>
            <w:r w:rsidRPr="008E63BB">
              <w:rPr>
                <w:rFonts w:eastAsia="Times New Roman"/>
                <w:sz w:val="24"/>
                <w:szCs w:val="24"/>
              </w:rPr>
              <w:t>7</w:t>
            </w:r>
          </w:p>
        </w:tc>
        <w:tc>
          <w:tcPr>
            <w:tcW w:w="3215" w:type="dxa"/>
            <w:tcBorders>
              <w:top w:val="nil"/>
              <w:left w:val="nil"/>
              <w:bottom w:val="single" w:sz="4" w:space="0" w:color="auto"/>
              <w:right w:val="single" w:sz="4" w:space="0" w:color="auto"/>
            </w:tcBorders>
            <w:shd w:val="clear" w:color="auto" w:fill="auto"/>
            <w:vAlign w:val="center"/>
            <w:hideMark/>
          </w:tcPr>
          <w:p w14:paraId="519B4BDF"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tâm thần Nam Định</w:t>
            </w:r>
          </w:p>
        </w:tc>
        <w:tc>
          <w:tcPr>
            <w:tcW w:w="2971" w:type="dxa"/>
            <w:tcBorders>
              <w:top w:val="nil"/>
              <w:left w:val="nil"/>
              <w:bottom w:val="single" w:sz="4" w:space="0" w:color="auto"/>
              <w:right w:val="single" w:sz="4" w:space="0" w:color="auto"/>
            </w:tcBorders>
            <w:shd w:val="clear" w:color="auto" w:fill="auto"/>
            <w:vAlign w:val="center"/>
            <w:hideMark/>
          </w:tcPr>
          <w:p w14:paraId="519B4BE0" w14:textId="77777777" w:rsidR="00A0345A" w:rsidRPr="008E63BB" w:rsidRDefault="00A0345A" w:rsidP="0065184D">
            <w:pPr>
              <w:jc w:val="left"/>
              <w:rPr>
                <w:rFonts w:eastAsia="Times New Roman"/>
                <w:sz w:val="24"/>
                <w:szCs w:val="24"/>
              </w:rPr>
            </w:pPr>
            <w:r w:rsidRPr="008E63BB">
              <w:rPr>
                <w:rFonts w:eastAsia="Times New Roman"/>
                <w:sz w:val="24"/>
                <w:szCs w:val="24"/>
              </w:rPr>
              <w:t>Đệ Tứ, Lộc Hạ,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E1" w14:textId="77777777" w:rsidR="00A0345A" w:rsidRPr="008E63BB" w:rsidRDefault="00A0345A" w:rsidP="0065184D">
            <w:pPr>
              <w:jc w:val="right"/>
              <w:rPr>
                <w:rFonts w:eastAsia="Times New Roman"/>
                <w:sz w:val="24"/>
                <w:szCs w:val="24"/>
              </w:rPr>
            </w:pPr>
            <w:r w:rsidRPr="008E63BB">
              <w:rPr>
                <w:rFonts w:eastAsia="Times New Roman"/>
                <w:sz w:val="24"/>
                <w:szCs w:val="24"/>
              </w:rPr>
              <w:t>200</w:t>
            </w:r>
          </w:p>
        </w:tc>
        <w:tc>
          <w:tcPr>
            <w:tcW w:w="900" w:type="dxa"/>
            <w:tcBorders>
              <w:top w:val="nil"/>
              <w:left w:val="nil"/>
              <w:bottom w:val="single" w:sz="4" w:space="0" w:color="auto"/>
              <w:right w:val="single" w:sz="4" w:space="0" w:color="auto"/>
            </w:tcBorders>
            <w:shd w:val="clear" w:color="auto" w:fill="auto"/>
            <w:vAlign w:val="center"/>
            <w:hideMark/>
          </w:tcPr>
          <w:p w14:paraId="519B4BE2" w14:textId="77777777" w:rsidR="00A0345A" w:rsidRPr="008E63BB" w:rsidRDefault="00A0345A" w:rsidP="0065184D">
            <w:pPr>
              <w:jc w:val="right"/>
              <w:rPr>
                <w:rFonts w:eastAsia="Times New Roman"/>
                <w:sz w:val="24"/>
                <w:szCs w:val="24"/>
              </w:rPr>
            </w:pPr>
            <w:r w:rsidRPr="008E63BB">
              <w:rPr>
                <w:rFonts w:eastAsia="Times New Roman"/>
                <w:sz w:val="24"/>
                <w:szCs w:val="24"/>
              </w:rPr>
              <w:t>200</w:t>
            </w:r>
          </w:p>
        </w:tc>
        <w:tc>
          <w:tcPr>
            <w:tcW w:w="817" w:type="dxa"/>
            <w:tcBorders>
              <w:top w:val="nil"/>
              <w:left w:val="nil"/>
              <w:bottom w:val="single" w:sz="4" w:space="0" w:color="auto"/>
              <w:right w:val="single" w:sz="4" w:space="0" w:color="auto"/>
            </w:tcBorders>
            <w:shd w:val="clear" w:color="auto" w:fill="auto"/>
            <w:vAlign w:val="center"/>
            <w:hideMark/>
          </w:tcPr>
          <w:p w14:paraId="519B4BE3"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BEB" w14:textId="77777777" w:rsidTr="00F97812">
        <w:trPr>
          <w:trHeight w:val="48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E5" w14:textId="77777777" w:rsidR="00A0345A" w:rsidRPr="008E63BB" w:rsidRDefault="00A0345A" w:rsidP="0065184D">
            <w:pPr>
              <w:jc w:val="right"/>
              <w:rPr>
                <w:rFonts w:eastAsia="Times New Roman"/>
                <w:sz w:val="24"/>
                <w:szCs w:val="24"/>
              </w:rPr>
            </w:pPr>
            <w:r w:rsidRPr="008E63BB">
              <w:rPr>
                <w:rFonts w:eastAsia="Times New Roman"/>
                <w:sz w:val="24"/>
                <w:szCs w:val="24"/>
              </w:rPr>
              <w:t>8</w:t>
            </w:r>
          </w:p>
        </w:tc>
        <w:tc>
          <w:tcPr>
            <w:tcW w:w="3215" w:type="dxa"/>
            <w:tcBorders>
              <w:top w:val="nil"/>
              <w:left w:val="nil"/>
              <w:bottom w:val="single" w:sz="4" w:space="0" w:color="auto"/>
              <w:right w:val="single" w:sz="4" w:space="0" w:color="auto"/>
            </w:tcBorders>
            <w:shd w:val="clear" w:color="auto" w:fill="auto"/>
            <w:vAlign w:val="center"/>
            <w:hideMark/>
          </w:tcPr>
          <w:p w14:paraId="519B4BE6"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nội tiết</w:t>
            </w:r>
          </w:p>
        </w:tc>
        <w:tc>
          <w:tcPr>
            <w:tcW w:w="2971" w:type="dxa"/>
            <w:tcBorders>
              <w:top w:val="nil"/>
              <w:left w:val="nil"/>
              <w:bottom w:val="single" w:sz="4" w:space="0" w:color="auto"/>
              <w:right w:val="single" w:sz="4" w:space="0" w:color="auto"/>
            </w:tcBorders>
            <w:shd w:val="clear" w:color="auto" w:fill="auto"/>
            <w:vAlign w:val="center"/>
            <w:hideMark/>
          </w:tcPr>
          <w:p w14:paraId="519B4BE7" w14:textId="77777777" w:rsidR="00A0345A" w:rsidRPr="008E63BB" w:rsidRDefault="00A0345A" w:rsidP="0065184D">
            <w:pPr>
              <w:jc w:val="left"/>
              <w:rPr>
                <w:rFonts w:eastAsia="Times New Roman"/>
                <w:sz w:val="24"/>
                <w:szCs w:val="24"/>
              </w:rPr>
            </w:pPr>
            <w:r w:rsidRPr="008E63BB">
              <w:rPr>
                <w:rFonts w:eastAsia="Times New Roman"/>
                <w:sz w:val="24"/>
                <w:szCs w:val="24"/>
              </w:rPr>
              <w:t>Phù Nghĩa, Lộc Vượng,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E8" w14:textId="77777777" w:rsidR="00A0345A" w:rsidRPr="008E63BB" w:rsidRDefault="00A0345A" w:rsidP="0065184D">
            <w:pPr>
              <w:jc w:val="right"/>
              <w:rPr>
                <w:rFonts w:eastAsia="Times New Roman"/>
                <w:sz w:val="24"/>
                <w:szCs w:val="24"/>
              </w:rPr>
            </w:pPr>
            <w:r w:rsidRPr="008E63BB">
              <w:rPr>
                <w:rFonts w:eastAsia="Times New Roman"/>
                <w:sz w:val="24"/>
                <w:szCs w:val="24"/>
              </w:rPr>
              <w:t>70</w:t>
            </w:r>
          </w:p>
        </w:tc>
        <w:tc>
          <w:tcPr>
            <w:tcW w:w="900" w:type="dxa"/>
            <w:tcBorders>
              <w:top w:val="nil"/>
              <w:left w:val="nil"/>
              <w:bottom w:val="single" w:sz="4" w:space="0" w:color="auto"/>
              <w:right w:val="single" w:sz="4" w:space="0" w:color="auto"/>
            </w:tcBorders>
            <w:shd w:val="clear" w:color="auto" w:fill="auto"/>
            <w:vAlign w:val="center"/>
            <w:hideMark/>
          </w:tcPr>
          <w:p w14:paraId="519B4BE9" w14:textId="77777777" w:rsidR="00A0345A" w:rsidRPr="008E63BB" w:rsidRDefault="00A0345A" w:rsidP="0065184D">
            <w:pPr>
              <w:jc w:val="right"/>
              <w:rPr>
                <w:rFonts w:eastAsia="Times New Roman"/>
                <w:sz w:val="24"/>
                <w:szCs w:val="24"/>
              </w:rPr>
            </w:pPr>
            <w:r w:rsidRPr="008E63BB">
              <w:rPr>
                <w:rFonts w:eastAsia="Times New Roman"/>
                <w:sz w:val="24"/>
                <w:szCs w:val="24"/>
              </w:rPr>
              <w:t>50</w:t>
            </w:r>
          </w:p>
        </w:tc>
        <w:tc>
          <w:tcPr>
            <w:tcW w:w="817" w:type="dxa"/>
            <w:tcBorders>
              <w:top w:val="nil"/>
              <w:left w:val="nil"/>
              <w:bottom w:val="single" w:sz="4" w:space="0" w:color="auto"/>
              <w:right w:val="single" w:sz="4" w:space="0" w:color="auto"/>
            </w:tcBorders>
            <w:shd w:val="clear" w:color="auto" w:fill="auto"/>
            <w:vAlign w:val="center"/>
            <w:hideMark/>
          </w:tcPr>
          <w:p w14:paraId="519B4BEA"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BF2" w14:textId="77777777" w:rsidTr="00F97812">
        <w:trPr>
          <w:trHeight w:val="548"/>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EC" w14:textId="77777777" w:rsidR="00A0345A" w:rsidRPr="008E63BB" w:rsidRDefault="00A0345A" w:rsidP="0065184D">
            <w:pPr>
              <w:jc w:val="right"/>
              <w:rPr>
                <w:rFonts w:eastAsia="Times New Roman"/>
                <w:sz w:val="24"/>
                <w:szCs w:val="24"/>
              </w:rPr>
            </w:pPr>
            <w:r w:rsidRPr="008E63BB">
              <w:rPr>
                <w:rFonts w:eastAsia="Times New Roman"/>
                <w:sz w:val="24"/>
                <w:szCs w:val="24"/>
              </w:rPr>
              <w:t>9</w:t>
            </w:r>
          </w:p>
        </w:tc>
        <w:tc>
          <w:tcPr>
            <w:tcW w:w="3215" w:type="dxa"/>
            <w:tcBorders>
              <w:top w:val="nil"/>
              <w:left w:val="nil"/>
              <w:bottom w:val="single" w:sz="4" w:space="0" w:color="auto"/>
              <w:right w:val="single" w:sz="4" w:space="0" w:color="auto"/>
            </w:tcBorders>
            <w:shd w:val="clear" w:color="auto" w:fill="auto"/>
            <w:vAlign w:val="center"/>
            <w:hideMark/>
          </w:tcPr>
          <w:p w14:paraId="519B4BED"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da liễu Nam Định</w:t>
            </w:r>
          </w:p>
        </w:tc>
        <w:tc>
          <w:tcPr>
            <w:tcW w:w="2971" w:type="dxa"/>
            <w:tcBorders>
              <w:top w:val="nil"/>
              <w:left w:val="nil"/>
              <w:bottom w:val="single" w:sz="4" w:space="0" w:color="auto"/>
              <w:right w:val="single" w:sz="4" w:space="0" w:color="auto"/>
            </w:tcBorders>
            <w:shd w:val="clear" w:color="auto" w:fill="auto"/>
            <w:vAlign w:val="center"/>
            <w:hideMark/>
          </w:tcPr>
          <w:p w14:paraId="519B4BEE" w14:textId="77777777" w:rsidR="00A0345A" w:rsidRPr="008E63BB" w:rsidRDefault="00A0345A" w:rsidP="0065184D">
            <w:pPr>
              <w:jc w:val="left"/>
              <w:rPr>
                <w:rFonts w:eastAsia="Times New Roman"/>
                <w:sz w:val="24"/>
                <w:szCs w:val="24"/>
              </w:rPr>
            </w:pPr>
            <w:r w:rsidRPr="008E63BB">
              <w:rPr>
                <w:rFonts w:eastAsia="Times New Roman"/>
                <w:sz w:val="24"/>
                <w:szCs w:val="24"/>
              </w:rPr>
              <w:t>2 Trần Quốc Toản, Ngô Quyền,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EF" w14:textId="77777777" w:rsidR="00A0345A" w:rsidRPr="008E63BB" w:rsidRDefault="00A0345A" w:rsidP="0065184D">
            <w:pPr>
              <w:jc w:val="right"/>
              <w:rPr>
                <w:rFonts w:eastAsia="Times New Roman"/>
                <w:sz w:val="24"/>
                <w:szCs w:val="24"/>
              </w:rPr>
            </w:pPr>
            <w:r w:rsidRPr="008E63BB">
              <w:rPr>
                <w:rFonts w:eastAsia="Times New Roman"/>
                <w:sz w:val="24"/>
                <w:szCs w:val="24"/>
              </w:rPr>
              <w:t>70</w:t>
            </w:r>
          </w:p>
        </w:tc>
        <w:tc>
          <w:tcPr>
            <w:tcW w:w="900" w:type="dxa"/>
            <w:tcBorders>
              <w:top w:val="nil"/>
              <w:left w:val="nil"/>
              <w:bottom w:val="single" w:sz="4" w:space="0" w:color="auto"/>
              <w:right w:val="single" w:sz="4" w:space="0" w:color="auto"/>
            </w:tcBorders>
            <w:shd w:val="clear" w:color="auto" w:fill="auto"/>
            <w:vAlign w:val="center"/>
            <w:hideMark/>
          </w:tcPr>
          <w:p w14:paraId="519B4BF0" w14:textId="77777777" w:rsidR="00A0345A" w:rsidRPr="008E63BB" w:rsidRDefault="00A0345A" w:rsidP="0065184D">
            <w:pPr>
              <w:jc w:val="right"/>
              <w:rPr>
                <w:rFonts w:eastAsia="Times New Roman"/>
                <w:sz w:val="24"/>
                <w:szCs w:val="24"/>
              </w:rPr>
            </w:pPr>
            <w:r w:rsidRPr="008E63BB">
              <w:rPr>
                <w:rFonts w:eastAsia="Times New Roman"/>
                <w:sz w:val="24"/>
                <w:szCs w:val="24"/>
              </w:rPr>
              <w:t>20</w:t>
            </w:r>
          </w:p>
        </w:tc>
        <w:tc>
          <w:tcPr>
            <w:tcW w:w="817" w:type="dxa"/>
            <w:tcBorders>
              <w:top w:val="nil"/>
              <w:left w:val="nil"/>
              <w:bottom w:val="single" w:sz="4" w:space="0" w:color="auto"/>
              <w:right w:val="single" w:sz="4" w:space="0" w:color="auto"/>
            </w:tcBorders>
            <w:shd w:val="clear" w:color="auto" w:fill="auto"/>
            <w:vAlign w:val="center"/>
            <w:hideMark/>
          </w:tcPr>
          <w:p w14:paraId="519B4BF1"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BF9" w14:textId="77777777" w:rsidTr="00F97812">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F3"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II</w:t>
            </w:r>
          </w:p>
        </w:tc>
        <w:tc>
          <w:tcPr>
            <w:tcW w:w="3215" w:type="dxa"/>
            <w:tcBorders>
              <w:top w:val="nil"/>
              <w:left w:val="nil"/>
              <w:bottom w:val="single" w:sz="4" w:space="0" w:color="auto"/>
              <w:right w:val="single" w:sz="4" w:space="0" w:color="auto"/>
            </w:tcBorders>
            <w:shd w:val="clear" w:color="auto" w:fill="auto"/>
            <w:vAlign w:val="center"/>
            <w:hideMark/>
          </w:tcPr>
          <w:p w14:paraId="519B4BF4"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xml:space="preserve">Đơn vị tuyến Huyện </w:t>
            </w:r>
          </w:p>
        </w:tc>
        <w:tc>
          <w:tcPr>
            <w:tcW w:w="2971" w:type="dxa"/>
            <w:tcBorders>
              <w:top w:val="nil"/>
              <w:left w:val="nil"/>
              <w:bottom w:val="single" w:sz="4" w:space="0" w:color="auto"/>
              <w:right w:val="single" w:sz="4" w:space="0" w:color="auto"/>
            </w:tcBorders>
            <w:shd w:val="clear" w:color="auto" w:fill="auto"/>
            <w:vAlign w:val="center"/>
            <w:hideMark/>
          </w:tcPr>
          <w:p w14:paraId="519B4BF5"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c>
          <w:tcPr>
            <w:tcW w:w="959" w:type="dxa"/>
            <w:tcBorders>
              <w:top w:val="nil"/>
              <w:left w:val="nil"/>
              <w:bottom w:val="single" w:sz="4" w:space="0" w:color="auto"/>
              <w:right w:val="single" w:sz="4" w:space="0" w:color="auto"/>
            </w:tcBorders>
            <w:shd w:val="clear" w:color="auto" w:fill="auto"/>
            <w:vAlign w:val="center"/>
            <w:hideMark/>
          </w:tcPr>
          <w:p w14:paraId="519B4BF6"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280</w:t>
            </w:r>
          </w:p>
        </w:tc>
        <w:tc>
          <w:tcPr>
            <w:tcW w:w="900" w:type="dxa"/>
            <w:tcBorders>
              <w:top w:val="nil"/>
              <w:left w:val="nil"/>
              <w:bottom w:val="single" w:sz="4" w:space="0" w:color="auto"/>
              <w:right w:val="single" w:sz="4" w:space="0" w:color="auto"/>
            </w:tcBorders>
            <w:shd w:val="clear" w:color="auto" w:fill="auto"/>
            <w:vAlign w:val="center"/>
            <w:hideMark/>
          </w:tcPr>
          <w:p w14:paraId="519B4BF7"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340</w:t>
            </w:r>
          </w:p>
        </w:tc>
        <w:tc>
          <w:tcPr>
            <w:tcW w:w="817" w:type="dxa"/>
            <w:tcBorders>
              <w:top w:val="nil"/>
              <w:left w:val="nil"/>
              <w:bottom w:val="single" w:sz="4" w:space="0" w:color="auto"/>
              <w:right w:val="single" w:sz="4" w:space="0" w:color="auto"/>
            </w:tcBorders>
            <w:shd w:val="clear" w:color="auto" w:fill="auto"/>
            <w:vAlign w:val="center"/>
            <w:hideMark/>
          </w:tcPr>
          <w:p w14:paraId="519B4BF8"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4C00" w14:textId="77777777" w:rsidTr="00F97812">
        <w:trPr>
          <w:trHeight w:val="539"/>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BFA" w14:textId="77777777" w:rsidR="00A0345A" w:rsidRPr="008E63BB" w:rsidRDefault="00A0345A" w:rsidP="0065184D">
            <w:pPr>
              <w:jc w:val="right"/>
              <w:rPr>
                <w:rFonts w:eastAsia="Times New Roman"/>
                <w:sz w:val="24"/>
                <w:szCs w:val="24"/>
              </w:rPr>
            </w:pPr>
            <w:r w:rsidRPr="008E63BB">
              <w:rPr>
                <w:rFonts w:eastAsia="Times New Roman"/>
                <w:sz w:val="24"/>
                <w:szCs w:val="24"/>
              </w:rPr>
              <w:t>1</w:t>
            </w:r>
          </w:p>
        </w:tc>
        <w:tc>
          <w:tcPr>
            <w:tcW w:w="3215" w:type="dxa"/>
            <w:tcBorders>
              <w:top w:val="nil"/>
              <w:left w:val="nil"/>
              <w:bottom w:val="single" w:sz="4" w:space="0" w:color="auto"/>
              <w:right w:val="single" w:sz="4" w:space="0" w:color="auto"/>
            </w:tcBorders>
            <w:shd w:val="clear" w:color="auto" w:fill="auto"/>
            <w:vAlign w:val="center"/>
            <w:hideMark/>
          </w:tcPr>
          <w:p w14:paraId="519B4BFB" w14:textId="77777777" w:rsidR="00A0345A" w:rsidRPr="008E63BB" w:rsidRDefault="00A0345A" w:rsidP="0065184D">
            <w:pPr>
              <w:jc w:val="left"/>
              <w:rPr>
                <w:rFonts w:eastAsia="Times New Roman"/>
                <w:sz w:val="24"/>
                <w:szCs w:val="24"/>
              </w:rPr>
            </w:pPr>
            <w:r w:rsidRPr="008E63BB">
              <w:rPr>
                <w:rFonts w:eastAsia="Times New Roman"/>
                <w:sz w:val="24"/>
                <w:szCs w:val="24"/>
              </w:rPr>
              <w:t>Trung tâm Y tế TP Nam Định</w:t>
            </w:r>
          </w:p>
        </w:tc>
        <w:tc>
          <w:tcPr>
            <w:tcW w:w="2971" w:type="dxa"/>
            <w:tcBorders>
              <w:top w:val="nil"/>
              <w:left w:val="nil"/>
              <w:bottom w:val="single" w:sz="4" w:space="0" w:color="auto"/>
              <w:right w:val="single" w:sz="4" w:space="0" w:color="auto"/>
            </w:tcBorders>
            <w:shd w:val="clear" w:color="auto" w:fill="auto"/>
            <w:vAlign w:val="center"/>
            <w:hideMark/>
          </w:tcPr>
          <w:p w14:paraId="519B4BFC" w14:textId="77777777" w:rsidR="00A0345A" w:rsidRPr="008E63BB" w:rsidRDefault="00A0345A" w:rsidP="0065184D">
            <w:pPr>
              <w:jc w:val="left"/>
              <w:rPr>
                <w:rFonts w:eastAsia="Times New Roman"/>
                <w:sz w:val="24"/>
                <w:szCs w:val="24"/>
              </w:rPr>
            </w:pPr>
            <w:r w:rsidRPr="008E63BB">
              <w:rPr>
                <w:rFonts w:eastAsia="Times New Roman"/>
                <w:sz w:val="24"/>
                <w:szCs w:val="24"/>
              </w:rPr>
              <w:t>64 Nguyễn Du,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BFD" w14:textId="77777777" w:rsidR="00A0345A" w:rsidRPr="008E63BB" w:rsidRDefault="00A0345A" w:rsidP="0065184D">
            <w:pPr>
              <w:jc w:val="right"/>
              <w:rPr>
                <w:rFonts w:eastAsia="Times New Roman"/>
                <w:sz w:val="24"/>
                <w:szCs w:val="24"/>
              </w:rPr>
            </w:pPr>
            <w:r w:rsidRPr="008E63BB">
              <w:rPr>
                <w:rFonts w:eastAsia="Times New Roman"/>
                <w:sz w:val="24"/>
                <w:szCs w:val="24"/>
              </w:rPr>
              <w:t>120</w:t>
            </w:r>
          </w:p>
        </w:tc>
        <w:tc>
          <w:tcPr>
            <w:tcW w:w="900" w:type="dxa"/>
            <w:tcBorders>
              <w:top w:val="nil"/>
              <w:left w:val="nil"/>
              <w:bottom w:val="single" w:sz="4" w:space="0" w:color="auto"/>
              <w:right w:val="single" w:sz="4" w:space="0" w:color="auto"/>
            </w:tcBorders>
            <w:shd w:val="clear" w:color="auto" w:fill="auto"/>
            <w:vAlign w:val="center"/>
            <w:hideMark/>
          </w:tcPr>
          <w:p w14:paraId="519B4BFE" w14:textId="77777777" w:rsidR="00A0345A" w:rsidRPr="008E63BB" w:rsidRDefault="00A0345A" w:rsidP="0065184D">
            <w:pPr>
              <w:jc w:val="right"/>
              <w:rPr>
                <w:rFonts w:eastAsia="Times New Roman"/>
                <w:sz w:val="24"/>
                <w:szCs w:val="24"/>
              </w:rPr>
            </w:pPr>
            <w:r w:rsidRPr="008E63BB">
              <w:rPr>
                <w:rFonts w:eastAsia="Times New Roman"/>
                <w:sz w:val="24"/>
                <w:szCs w:val="24"/>
              </w:rPr>
              <w:t>140</w:t>
            </w:r>
          </w:p>
        </w:tc>
        <w:tc>
          <w:tcPr>
            <w:tcW w:w="817" w:type="dxa"/>
            <w:tcBorders>
              <w:top w:val="nil"/>
              <w:left w:val="nil"/>
              <w:bottom w:val="single" w:sz="4" w:space="0" w:color="auto"/>
              <w:right w:val="single" w:sz="4" w:space="0" w:color="auto"/>
            </w:tcBorders>
            <w:shd w:val="clear" w:color="auto" w:fill="auto"/>
            <w:vAlign w:val="center"/>
            <w:hideMark/>
          </w:tcPr>
          <w:p w14:paraId="519B4BFF"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C07" w14:textId="77777777" w:rsidTr="00F97812">
        <w:trPr>
          <w:trHeight w:val="422"/>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01" w14:textId="77777777" w:rsidR="00A0345A" w:rsidRPr="008E63BB" w:rsidRDefault="00A0345A" w:rsidP="0065184D">
            <w:pPr>
              <w:jc w:val="right"/>
              <w:rPr>
                <w:rFonts w:eastAsia="Times New Roman"/>
                <w:sz w:val="24"/>
                <w:szCs w:val="24"/>
              </w:rPr>
            </w:pPr>
            <w:r w:rsidRPr="008E63BB">
              <w:rPr>
                <w:rFonts w:eastAsia="Times New Roman"/>
                <w:sz w:val="24"/>
                <w:szCs w:val="24"/>
              </w:rPr>
              <w:t>2</w:t>
            </w:r>
          </w:p>
        </w:tc>
        <w:tc>
          <w:tcPr>
            <w:tcW w:w="3215" w:type="dxa"/>
            <w:tcBorders>
              <w:top w:val="nil"/>
              <w:left w:val="nil"/>
              <w:bottom w:val="single" w:sz="4" w:space="0" w:color="auto"/>
              <w:right w:val="single" w:sz="4" w:space="0" w:color="auto"/>
            </w:tcBorders>
            <w:shd w:val="clear" w:color="auto" w:fill="auto"/>
            <w:vAlign w:val="center"/>
            <w:hideMark/>
          </w:tcPr>
          <w:p w14:paraId="519B4C02" w14:textId="77777777" w:rsidR="00A0345A" w:rsidRPr="008E63BB" w:rsidRDefault="00A0345A" w:rsidP="0065184D">
            <w:pPr>
              <w:jc w:val="left"/>
              <w:rPr>
                <w:rFonts w:eastAsia="Times New Roman"/>
                <w:sz w:val="24"/>
                <w:szCs w:val="24"/>
              </w:rPr>
            </w:pPr>
            <w:r w:rsidRPr="008E63BB">
              <w:rPr>
                <w:rFonts w:eastAsia="Times New Roman"/>
                <w:sz w:val="24"/>
                <w:szCs w:val="24"/>
              </w:rPr>
              <w:t>Trung tâm Y tế huyện Mỹ Lộc</w:t>
            </w:r>
          </w:p>
        </w:tc>
        <w:tc>
          <w:tcPr>
            <w:tcW w:w="2971" w:type="dxa"/>
            <w:tcBorders>
              <w:top w:val="nil"/>
              <w:left w:val="nil"/>
              <w:bottom w:val="single" w:sz="4" w:space="0" w:color="auto"/>
              <w:right w:val="single" w:sz="4" w:space="0" w:color="auto"/>
            </w:tcBorders>
            <w:shd w:val="clear" w:color="auto" w:fill="auto"/>
            <w:vAlign w:val="center"/>
            <w:hideMark/>
          </w:tcPr>
          <w:p w14:paraId="519B4C03" w14:textId="77777777" w:rsidR="00A0345A" w:rsidRPr="008E63BB" w:rsidRDefault="00A0345A" w:rsidP="0065184D">
            <w:pPr>
              <w:jc w:val="left"/>
              <w:rPr>
                <w:rFonts w:eastAsia="Times New Roman"/>
                <w:sz w:val="24"/>
                <w:szCs w:val="24"/>
              </w:rPr>
            </w:pPr>
            <w:r w:rsidRPr="008E63BB">
              <w:rPr>
                <w:rFonts w:eastAsia="Times New Roman"/>
                <w:sz w:val="24"/>
                <w:szCs w:val="24"/>
              </w:rPr>
              <w:t> </w:t>
            </w:r>
            <w:r w:rsidRPr="008E63BB">
              <w:rPr>
                <w:rFonts w:eastAsia="Times New Roman"/>
                <w:sz w:val="22"/>
              </w:rPr>
              <w:t>QL21, TT. Mỹ Lộc, Mỹ Lộc</w:t>
            </w:r>
          </w:p>
        </w:tc>
        <w:tc>
          <w:tcPr>
            <w:tcW w:w="959" w:type="dxa"/>
            <w:tcBorders>
              <w:top w:val="nil"/>
              <w:left w:val="nil"/>
              <w:bottom w:val="single" w:sz="4" w:space="0" w:color="auto"/>
              <w:right w:val="single" w:sz="4" w:space="0" w:color="auto"/>
            </w:tcBorders>
            <w:shd w:val="clear" w:color="auto" w:fill="auto"/>
            <w:vAlign w:val="center"/>
            <w:hideMark/>
          </w:tcPr>
          <w:p w14:paraId="519B4C04" w14:textId="77777777" w:rsidR="00A0345A" w:rsidRPr="008E63BB" w:rsidRDefault="00A0345A" w:rsidP="0065184D">
            <w:pPr>
              <w:jc w:val="right"/>
              <w:rPr>
                <w:rFonts w:eastAsia="Times New Roman"/>
                <w:sz w:val="24"/>
                <w:szCs w:val="24"/>
              </w:rPr>
            </w:pPr>
            <w:r w:rsidRPr="008E63BB">
              <w:rPr>
                <w:rFonts w:eastAsia="Times New Roman"/>
                <w:sz w:val="24"/>
                <w:szCs w:val="24"/>
              </w:rPr>
              <w:t>160</w:t>
            </w:r>
          </w:p>
        </w:tc>
        <w:tc>
          <w:tcPr>
            <w:tcW w:w="900" w:type="dxa"/>
            <w:tcBorders>
              <w:top w:val="nil"/>
              <w:left w:val="nil"/>
              <w:bottom w:val="single" w:sz="4" w:space="0" w:color="auto"/>
              <w:right w:val="single" w:sz="4" w:space="0" w:color="auto"/>
            </w:tcBorders>
            <w:shd w:val="clear" w:color="auto" w:fill="auto"/>
            <w:vAlign w:val="center"/>
            <w:hideMark/>
          </w:tcPr>
          <w:p w14:paraId="519B4C05" w14:textId="77777777" w:rsidR="00A0345A" w:rsidRPr="008E63BB" w:rsidRDefault="00A0345A" w:rsidP="0065184D">
            <w:pPr>
              <w:jc w:val="right"/>
              <w:rPr>
                <w:rFonts w:eastAsia="Times New Roman"/>
                <w:sz w:val="24"/>
                <w:szCs w:val="24"/>
              </w:rPr>
            </w:pPr>
            <w:r w:rsidRPr="008E63BB">
              <w:rPr>
                <w:rFonts w:eastAsia="Times New Roman"/>
                <w:sz w:val="24"/>
                <w:szCs w:val="24"/>
              </w:rPr>
              <w:t>200</w:t>
            </w:r>
          </w:p>
        </w:tc>
        <w:tc>
          <w:tcPr>
            <w:tcW w:w="817" w:type="dxa"/>
            <w:tcBorders>
              <w:top w:val="nil"/>
              <w:left w:val="nil"/>
              <w:bottom w:val="single" w:sz="4" w:space="0" w:color="auto"/>
              <w:right w:val="single" w:sz="4" w:space="0" w:color="auto"/>
            </w:tcBorders>
            <w:shd w:val="clear" w:color="auto" w:fill="auto"/>
            <w:vAlign w:val="center"/>
            <w:hideMark/>
          </w:tcPr>
          <w:p w14:paraId="519B4C06"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r>
      <w:tr w:rsidR="008D5BFE" w:rsidRPr="008E63BB" w14:paraId="519B4C0E" w14:textId="77777777" w:rsidTr="003D057A">
        <w:trPr>
          <w:trHeight w:val="630"/>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08"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B</w:t>
            </w:r>
          </w:p>
        </w:tc>
        <w:tc>
          <w:tcPr>
            <w:tcW w:w="3215" w:type="dxa"/>
            <w:tcBorders>
              <w:top w:val="nil"/>
              <w:left w:val="nil"/>
              <w:bottom w:val="single" w:sz="4" w:space="0" w:color="auto"/>
              <w:right w:val="single" w:sz="4" w:space="0" w:color="auto"/>
            </w:tcBorders>
            <w:shd w:val="clear" w:color="auto" w:fill="auto"/>
            <w:vAlign w:val="center"/>
            <w:hideMark/>
          </w:tcPr>
          <w:p w14:paraId="519B4C09"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Cơ sở y tế ngành, ngoài công lập</w:t>
            </w:r>
          </w:p>
        </w:tc>
        <w:tc>
          <w:tcPr>
            <w:tcW w:w="2971" w:type="dxa"/>
            <w:tcBorders>
              <w:top w:val="nil"/>
              <w:left w:val="nil"/>
              <w:bottom w:val="single" w:sz="4" w:space="0" w:color="auto"/>
              <w:right w:val="single" w:sz="4" w:space="0" w:color="auto"/>
            </w:tcBorders>
            <w:shd w:val="clear" w:color="auto" w:fill="auto"/>
            <w:vAlign w:val="center"/>
            <w:hideMark/>
          </w:tcPr>
          <w:p w14:paraId="519B4C0A"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c>
          <w:tcPr>
            <w:tcW w:w="959" w:type="dxa"/>
            <w:tcBorders>
              <w:top w:val="nil"/>
              <w:left w:val="nil"/>
              <w:bottom w:val="single" w:sz="4" w:space="0" w:color="auto"/>
              <w:right w:val="single" w:sz="4" w:space="0" w:color="auto"/>
            </w:tcBorders>
            <w:shd w:val="clear" w:color="auto" w:fill="auto"/>
            <w:vAlign w:val="center"/>
            <w:hideMark/>
          </w:tcPr>
          <w:p w14:paraId="519B4C0B"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280</w:t>
            </w:r>
          </w:p>
        </w:tc>
        <w:tc>
          <w:tcPr>
            <w:tcW w:w="900" w:type="dxa"/>
            <w:tcBorders>
              <w:top w:val="nil"/>
              <w:left w:val="nil"/>
              <w:bottom w:val="single" w:sz="4" w:space="0" w:color="auto"/>
              <w:right w:val="single" w:sz="4" w:space="0" w:color="auto"/>
            </w:tcBorders>
            <w:shd w:val="clear" w:color="auto" w:fill="auto"/>
            <w:vAlign w:val="center"/>
            <w:hideMark/>
          </w:tcPr>
          <w:p w14:paraId="519B4C0C"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310</w:t>
            </w:r>
          </w:p>
        </w:tc>
        <w:tc>
          <w:tcPr>
            <w:tcW w:w="817" w:type="dxa"/>
            <w:tcBorders>
              <w:top w:val="nil"/>
              <w:left w:val="nil"/>
              <w:bottom w:val="single" w:sz="4" w:space="0" w:color="auto"/>
              <w:right w:val="single" w:sz="4" w:space="0" w:color="auto"/>
            </w:tcBorders>
            <w:shd w:val="clear" w:color="auto" w:fill="auto"/>
            <w:vAlign w:val="center"/>
            <w:hideMark/>
          </w:tcPr>
          <w:p w14:paraId="519B4C0D"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4C15" w14:textId="77777777" w:rsidTr="00F97812">
        <w:trPr>
          <w:trHeight w:val="521"/>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0F" w14:textId="77777777" w:rsidR="00A0345A" w:rsidRPr="008E63BB" w:rsidRDefault="00A0345A" w:rsidP="0065184D">
            <w:pPr>
              <w:jc w:val="right"/>
              <w:rPr>
                <w:rFonts w:eastAsia="Times New Roman"/>
                <w:sz w:val="24"/>
                <w:szCs w:val="24"/>
              </w:rPr>
            </w:pPr>
            <w:r w:rsidRPr="008E63BB">
              <w:rPr>
                <w:rFonts w:eastAsia="Times New Roman"/>
                <w:sz w:val="24"/>
                <w:szCs w:val="24"/>
              </w:rPr>
              <w:t>1</w:t>
            </w:r>
          </w:p>
        </w:tc>
        <w:tc>
          <w:tcPr>
            <w:tcW w:w="3215" w:type="dxa"/>
            <w:tcBorders>
              <w:top w:val="nil"/>
              <w:left w:val="nil"/>
              <w:bottom w:val="single" w:sz="4" w:space="0" w:color="auto"/>
              <w:right w:val="single" w:sz="4" w:space="0" w:color="auto"/>
            </w:tcBorders>
            <w:shd w:val="clear" w:color="auto" w:fill="auto"/>
            <w:vAlign w:val="center"/>
            <w:hideMark/>
          </w:tcPr>
          <w:p w14:paraId="519B4C10"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đa khoa Công an Nam Định</w:t>
            </w:r>
          </w:p>
        </w:tc>
        <w:tc>
          <w:tcPr>
            <w:tcW w:w="2971" w:type="dxa"/>
            <w:tcBorders>
              <w:top w:val="nil"/>
              <w:left w:val="nil"/>
              <w:bottom w:val="single" w:sz="4" w:space="0" w:color="auto"/>
              <w:right w:val="single" w:sz="4" w:space="0" w:color="auto"/>
            </w:tcBorders>
            <w:shd w:val="clear" w:color="auto" w:fill="auto"/>
            <w:vAlign w:val="center"/>
            <w:hideMark/>
          </w:tcPr>
          <w:p w14:paraId="519B4C11" w14:textId="77777777" w:rsidR="00A0345A" w:rsidRPr="008E63BB" w:rsidRDefault="00A0345A" w:rsidP="0065184D">
            <w:pPr>
              <w:jc w:val="left"/>
              <w:rPr>
                <w:rFonts w:eastAsia="Times New Roman"/>
                <w:sz w:val="24"/>
                <w:szCs w:val="24"/>
              </w:rPr>
            </w:pPr>
            <w:r w:rsidRPr="008E63BB">
              <w:rPr>
                <w:rFonts w:eastAsia="Times New Roman"/>
                <w:sz w:val="24"/>
                <w:szCs w:val="24"/>
              </w:rPr>
              <w:t>162 Trần Đăng Ninh, Cửa Bắc,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C12" w14:textId="77777777" w:rsidR="00A0345A" w:rsidRPr="008E63BB" w:rsidRDefault="00A0345A" w:rsidP="0065184D">
            <w:pPr>
              <w:jc w:val="right"/>
              <w:rPr>
                <w:rFonts w:eastAsia="Times New Roman"/>
                <w:sz w:val="24"/>
                <w:szCs w:val="24"/>
              </w:rPr>
            </w:pPr>
            <w:r w:rsidRPr="008E63BB">
              <w:rPr>
                <w:rFonts w:eastAsia="Times New Roman"/>
                <w:sz w:val="24"/>
                <w:szCs w:val="24"/>
              </w:rPr>
              <w:t>100</w:t>
            </w:r>
          </w:p>
        </w:tc>
        <w:tc>
          <w:tcPr>
            <w:tcW w:w="900" w:type="dxa"/>
            <w:tcBorders>
              <w:top w:val="nil"/>
              <w:left w:val="nil"/>
              <w:bottom w:val="single" w:sz="4" w:space="0" w:color="auto"/>
              <w:right w:val="single" w:sz="4" w:space="0" w:color="auto"/>
            </w:tcBorders>
            <w:shd w:val="clear" w:color="auto" w:fill="auto"/>
            <w:vAlign w:val="center"/>
            <w:hideMark/>
          </w:tcPr>
          <w:p w14:paraId="519B4C13" w14:textId="77777777" w:rsidR="00A0345A" w:rsidRPr="008E63BB" w:rsidRDefault="00A0345A" w:rsidP="0065184D">
            <w:pPr>
              <w:jc w:val="right"/>
              <w:rPr>
                <w:rFonts w:eastAsia="Times New Roman"/>
                <w:sz w:val="24"/>
                <w:szCs w:val="24"/>
              </w:rPr>
            </w:pPr>
            <w:r w:rsidRPr="008E63BB">
              <w:rPr>
                <w:rFonts w:eastAsia="Times New Roman"/>
                <w:sz w:val="24"/>
                <w:szCs w:val="24"/>
              </w:rPr>
              <w:t>130</w:t>
            </w:r>
          </w:p>
        </w:tc>
        <w:tc>
          <w:tcPr>
            <w:tcW w:w="817" w:type="dxa"/>
            <w:tcBorders>
              <w:top w:val="nil"/>
              <w:left w:val="nil"/>
              <w:bottom w:val="single" w:sz="4" w:space="0" w:color="auto"/>
              <w:right w:val="single" w:sz="4" w:space="0" w:color="auto"/>
            </w:tcBorders>
            <w:shd w:val="clear" w:color="auto" w:fill="auto"/>
            <w:vAlign w:val="center"/>
            <w:hideMark/>
          </w:tcPr>
          <w:p w14:paraId="519B4C14" w14:textId="77777777" w:rsidR="00A0345A" w:rsidRPr="008E63BB" w:rsidRDefault="00A0345A" w:rsidP="0065184D">
            <w:pPr>
              <w:jc w:val="right"/>
              <w:rPr>
                <w:rFonts w:eastAsia="Times New Roman"/>
                <w:sz w:val="24"/>
                <w:szCs w:val="24"/>
              </w:rPr>
            </w:pPr>
            <w:r w:rsidRPr="008E63BB">
              <w:rPr>
                <w:rFonts w:eastAsia="Times New Roman"/>
                <w:sz w:val="24"/>
                <w:szCs w:val="24"/>
              </w:rPr>
              <w:t> </w:t>
            </w:r>
          </w:p>
        </w:tc>
      </w:tr>
      <w:tr w:rsidR="008D5BFE" w:rsidRPr="008E63BB" w14:paraId="519B4C1C" w14:textId="77777777" w:rsidTr="00F97812">
        <w:trPr>
          <w:trHeight w:val="422"/>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16" w14:textId="77777777" w:rsidR="00A0345A" w:rsidRPr="008E63BB" w:rsidRDefault="00A0345A" w:rsidP="0065184D">
            <w:pPr>
              <w:jc w:val="right"/>
              <w:rPr>
                <w:rFonts w:eastAsia="Times New Roman"/>
                <w:sz w:val="24"/>
                <w:szCs w:val="24"/>
              </w:rPr>
            </w:pPr>
            <w:r w:rsidRPr="008E63BB">
              <w:rPr>
                <w:rFonts w:eastAsia="Times New Roman"/>
                <w:sz w:val="24"/>
                <w:szCs w:val="24"/>
              </w:rPr>
              <w:t>2</w:t>
            </w:r>
          </w:p>
        </w:tc>
        <w:tc>
          <w:tcPr>
            <w:tcW w:w="3215" w:type="dxa"/>
            <w:tcBorders>
              <w:top w:val="nil"/>
              <w:left w:val="nil"/>
              <w:bottom w:val="single" w:sz="4" w:space="0" w:color="auto"/>
              <w:right w:val="single" w:sz="4" w:space="0" w:color="auto"/>
            </w:tcBorders>
            <w:shd w:val="clear" w:color="auto" w:fill="auto"/>
            <w:vAlign w:val="center"/>
            <w:hideMark/>
          </w:tcPr>
          <w:p w14:paraId="519B4C17" w14:textId="77777777" w:rsidR="00A0345A" w:rsidRPr="008E63BB" w:rsidRDefault="00A0345A" w:rsidP="0065184D">
            <w:pPr>
              <w:jc w:val="left"/>
              <w:rPr>
                <w:rFonts w:eastAsia="Times New Roman"/>
                <w:sz w:val="24"/>
                <w:szCs w:val="24"/>
              </w:rPr>
            </w:pPr>
            <w:r w:rsidRPr="008E63BB">
              <w:rPr>
                <w:rFonts w:eastAsia="Times New Roman"/>
                <w:sz w:val="24"/>
                <w:szCs w:val="24"/>
              </w:rPr>
              <w:t>Bệnh viện đa khoa Sài gòn-Nam Định</w:t>
            </w:r>
          </w:p>
        </w:tc>
        <w:tc>
          <w:tcPr>
            <w:tcW w:w="2971" w:type="dxa"/>
            <w:tcBorders>
              <w:top w:val="nil"/>
              <w:left w:val="nil"/>
              <w:bottom w:val="single" w:sz="4" w:space="0" w:color="auto"/>
              <w:right w:val="single" w:sz="4" w:space="0" w:color="auto"/>
            </w:tcBorders>
            <w:shd w:val="clear" w:color="auto" w:fill="auto"/>
            <w:vAlign w:val="center"/>
            <w:hideMark/>
          </w:tcPr>
          <w:p w14:paraId="519B4C18" w14:textId="77777777" w:rsidR="00A0345A" w:rsidRPr="008E63BB" w:rsidRDefault="00A0345A" w:rsidP="0065184D">
            <w:pPr>
              <w:jc w:val="left"/>
              <w:rPr>
                <w:rFonts w:eastAsia="Times New Roman"/>
                <w:sz w:val="24"/>
                <w:szCs w:val="24"/>
              </w:rPr>
            </w:pPr>
            <w:r w:rsidRPr="008E63BB">
              <w:rPr>
                <w:rFonts w:eastAsia="Times New Roman"/>
                <w:sz w:val="24"/>
                <w:szCs w:val="24"/>
              </w:rPr>
              <w:t>Đông A, TP. Nam Định</w:t>
            </w:r>
          </w:p>
        </w:tc>
        <w:tc>
          <w:tcPr>
            <w:tcW w:w="959" w:type="dxa"/>
            <w:tcBorders>
              <w:top w:val="nil"/>
              <w:left w:val="nil"/>
              <w:bottom w:val="single" w:sz="4" w:space="0" w:color="auto"/>
              <w:right w:val="single" w:sz="4" w:space="0" w:color="auto"/>
            </w:tcBorders>
            <w:shd w:val="clear" w:color="auto" w:fill="auto"/>
            <w:vAlign w:val="center"/>
            <w:hideMark/>
          </w:tcPr>
          <w:p w14:paraId="519B4C19" w14:textId="77777777" w:rsidR="00A0345A" w:rsidRPr="008E63BB" w:rsidRDefault="00A0345A" w:rsidP="0065184D">
            <w:pPr>
              <w:jc w:val="right"/>
              <w:rPr>
                <w:rFonts w:eastAsia="Times New Roman"/>
                <w:sz w:val="24"/>
                <w:szCs w:val="24"/>
              </w:rPr>
            </w:pPr>
            <w:r w:rsidRPr="008E63BB">
              <w:rPr>
                <w:rFonts w:eastAsia="Times New Roman"/>
                <w:sz w:val="24"/>
                <w:szCs w:val="24"/>
              </w:rPr>
              <w:t>180</w:t>
            </w:r>
          </w:p>
        </w:tc>
        <w:tc>
          <w:tcPr>
            <w:tcW w:w="900" w:type="dxa"/>
            <w:tcBorders>
              <w:top w:val="nil"/>
              <w:left w:val="nil"/>
              <w:bottom w:val="single" w:sz="4" w:space="0" w:color="auto"/>
              <w:right w:val="single" w:sz="4" w:space="0" w:color="auto"/>
            </w:tcBorders>
            <w:shd w:val="clear" w:color="auto" w:fill="auto"/>
            <w:vAlign w:val="center"/>
            <w:hideMark/>
          </w:tcPr>
          <w:p w14:paraId="519B4C1A" w14:textId="77777777" w:rsidR="00A0345A" w:rsidRPr="008E63BB" w:rsidRDefault="00A0345A" w:rsidP="0065184D">
            <w:pPr>
              <w:jc w:val="right"/>
              <w:rPr>
                <w:rFonts w:eastAsia="Times New Roman"/>
                <w:sz w:val="24"/>
                <w:szCs w:val="24"/>
              </w:rPr>
            </w:pPr>
            <w:r w:rsidRPr="008E63BB">
              <w:rPr>
                <w:rFonts w:eastAsia="Times New Roman"/>
                <w:sz w:val="24"/>
                <w:szCs w:val="24"/>
              </w:rPr>
              <w:t>180</w:t>
            </w:r>
          </w:p>
        </w:tc>
        <w:tc>
          <w:tcPr>
            <w:tcW w:w="817" w:type="dxa"/>
            <w:tcBorders>
              <w:top w:val="nil"/>
              <w:left w:val="nil"/>
              <w:bottom w:val="single" w:sz="4" w:space="0" w:color="auto"/>
              <w:right w:val="single" w:sz="4" w:space="0" w:color="auto"/>
            </w:tcBorders>
            <w:shd w:val="clear" w:color="auto" w:fill="auto"/>
            <w:vAlign w:val="center"/>
            <w:hideMark/>
          </w:tcPr>
          <w:p w14:paraId="519B4C1B" w14:textId="77777777" w:rsidR="00A0345A" w:rsidRPr="008E63BB" w:rsidRDefault="00A0345A" w:rsidP="0065184D">
            <w:pPr>
              <w:jc w:val="right"/>
              <w:rPr>
                <w:rFonts w:eastAsia="Times New Roman"/>
                <w:sz w:val="24"/>
                <w:szCs w:val="24"/>
              </w:rPr>
            </w:pPr>
            <w:r w:rsidRPr="008E63BB">
              <w:rPr>
                <w:rFonts w:eastAsia="Times New Roman"/>
                <w:sz w:val="24"/>
                <w:szCs w:val="24"/>
              </w:rPr>
              <w:t> </w:t>
            </w:r>
          </w:p>
        </w:tc>
      </w:tr>
      <w:tr w:rsidR="008D5BFE" w:rsidRPr="008E63BB" w14:paraId="519B4C23" w14:textId="77777777" w:rsidTr="00F97812">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1D" w14:textId="77777777" w:rsidR="00A0345A" w:rsidRPr="008E63BB" w:rsidRDefault="00A0345A" w:rsidP="0065184D">
            <w:pPr>
              <w:jc w:val="right"/>
              <w:rPr>
                <w:rFonts w:eastAsia="Times New Roman"/>
                <w:sz w:val="24"/>
                <w:szCs w:val="24"/>
              </w:rPr>
            </w:pPr>
            <w:r w:rsidRPr="008E63BB">
              <w:rPr>
                <w:rFonts w:eastAsia="Times New Roman"/>
                <w:sz w:val="24"/>
                <w:szCs w:val="24"/>
              </w:rPr>
              <w:t>3</w:t>
            </w:r>
          </w:p>
        </w:tc>
        <w:tc>
          <w:tcPr>
            <w:tcW w:w="3215" w:type="dxa"/>
            <w:tcBorders>
              <w:top w:val="nil"/>
              <w:left w:val="nil"/>
              <w:bottom w:val="single" w:sz="4" w:space="0" w:color="auto"/>
              <w:right w:val="single" w:sz="4" w:space="0" w:color="auto"/>
            </w:tcBorders>
            <w:shd w:val="clear" w:color="auto" w:fill="auto"/>
            <w:vAlign w:val="center"/>
            <w:hideMark/>
          </w:tcPr>
          <w:p w14:paraId="519B4C1E" w14:textId="77777777" w:rsidR="00A0345A" w:rsidRPr="008E63BB" w:rsidRDefault="00A0345A" w:rsidP="0065184D">
            <w:pPr>
              <w:jc w:val="left"/>
              <w:rPr>
                <w:rFonts w:eastAsia="Times New Roman"/>
                <w:sz w:val="24"/>
                <w:szCs w:val="24"/>
              </w:rPr>
            </w:pPr>
            <w:r w:rsidRPr="008E63BB">
              <w:rPr>
                <w:rFonts w:eastAsia="Times New Roman"/>
                <w:sz w:val="24"/>
                <w:szCs w:val="24"/>
              </w:rPr>
              <w:t>Phòng khám đa khoa</w:t>
            </w:r>
          </w:p>
        </w:tc>
        <w:tc>
          <w:tcPr>
            <w:tcW w:w="2971" w:type="dxa"/>
            <w:tcBorders>
              <w:top w:val="nil"/>
              <w:left w:val="nil"/>
              <w:bottom w:val="single" w:sz="4" w:space="0" w:color="auto"/>
              <w:right w:val="single" w:sz="4" w:space="0" w:color="auto"/>
            </w:tcBorders>
            <w:shd w:val="clear" w:color="auto" w:fill="auto"/>
            <w:vAlign w:val="center"/>
            <w:hideMark/>
          </w:tcPr>
          <w:p w14:paraId="519B4C1F" w14:textId="77777777" w:rsidR="00A0345A" w:rsidRPr="008E63BB" w:rsidRDefault="00A0345A" w:rsidP="0065184D">
            <w:pPr>
              <w:jc w:val="center"/>
              <w:rPr>
                <w:rFonts w:eastAsia="Times New Roman"/>
                <w:sz w:val="24"/>
                <w:szCs w:val="24"/>
              </w:rPr>
            </w:pPr>
            <w:r w:rsidRPr="008E63BB">
              <w:rPr>
                <w:rFonts w:eastAsia="Times New Roman"/>
                <w:sz w:val="24"/>
                <w:szCs w:val="24"/>
              </w:rPr>
              <w:t> </w:t>
            </w:r>
          </w:p>
        </w:tc>
        <w:tc>
          <w:tcPr>
            <w:tcW w:w="959" w:type="dxa"/>
            <w:tcBorders>
              <w:top w:val="nil"/>
              <w:left w:val="nil"/>
              <w:bottom w:val="single" w:sz="4" w:space="0" w:color="auto"/>
              <w:right w:val="single" w:sz="4" w:space="0" w:color="auto"/>
            </w:tcBorders>
            <w:shd w:val="clear" w:color="auto" w:fill="auto"/>
            <w:vAlign w:val="center"/>
          </w:tcPr>
          <w:p w14:paraId="519B4C20" w14:textId="77777777" w:rsidR="00A0345A" w:rsidRPr="008E63BB" w:rsidRDefault="00A0345A" w:rsidP="0065184D">
            <w:pPr>
              <w:jc w:val="right"/>
              <w:rPr>
                <w:rFonts w:eastAsia="Times New Roman"/>
                <w:sz w:val="24"/>
                <w:szCs w:val="24"/>
              </w:rPr>
            </w:pPr>
          </w:p>
        </w:tc>
        <w:tc>
          <w:tcPr>
            <w:tcW w:w="900" w:type="dxa"/>
            <w:tcBorders>
              <w:top w:val="nil"/>
              <w:left w:val="nil"/>
              <w:bottom w:val="single" w:sz="4" w:space="0" w:color="auto"/>
              <w:right w:val="single" w:sz="4" w:space="0" w:color="auto"/>
            </w:tcBorders>
            <w:shd w:val="clear" w:color="auto" w:fill="auto"/>
            <w:vAlign w:val="center"/>
          </w:tcPr>
          <w:p w14:paraId="519B4C21" w14:textId="77777777" w:rsidR="00A0345A" w:rsidRPr="008E63BB" w:rsidRDefault="00A0345A" w:rsidP="0065184D">
            <w:pPr>
              <w:jc w:val="right"/>
              <w:rPr>
                <w:rFonts w:eastAsia="Times New Roman"/>
                <w:sz w:val="24"/>
                <w:szCs w:val="24"/>
              </w:rPr>
            </w:pPr>
          </w:p>
        </w:tc>
        <w:tc>
          <w:tcPr>
            <w:tcW w:w="817" w:type="dxa"/>
            <w:tcBorders>
              <w:top w:val="nil"/>
              <w:left w:val="nil"/>
              <w:bottom w:val="single" w:sz="4" w:space="0" w:color="auto"/>
              <w:right w:val="single" w:sz="4" w:space="0" w:color="auto"/>
            </w:tcBorders>
            <w:shd w:val="clear" w:color="auto" w:fill="auto"/>
            <w:vAlign w:val="center"/>
            <w:hideMark/>
          </w:tcPr>
          <w:p w14:paraId="519B4C22" w14:textId="77777777" w:rsidR="00A0345A" w:rsidRPr="008E63BB" w:rsidRDefault="00A0345A" w:rsidP="0065184D">
            <w:pPr>
              <w:jc w:val="center"/>
              <w:rPr>
                <w:rFonts w:eastAsia="Times New Roman"/>
                <w:sz w:val="24"/>
                <w:szCs w:val="24"/>
              </w:rPr>
            </w:pPr>
            <w:r w:rsidRPr="008E63BB">
              <w:rPr>
                <w:rFonts w:eastAsia="Times New Roman"/>
                <w:sz w:val="24"/>
                <w:szCs w:val="24"/>
              </w:rPr>
              <w:t> </w:t>
            </w:r>
          </w:p>
        </w:tc>
      </w:tr>
      <w:tr w:rsidR="008D5BFE" w:rsidRPr="008E63BB" w14:paraId="519B4C2A" w14:textId="77777777" w:rsidTr="00F97812">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24" w14:textId="77777777" w:rsidR="00A0345A" w:rsidRPr="008E63BB" w:rsidRDefault="00A0345A" w:rsidP="0065184D">
            <w:pPr>
              <w:jc w:val="right"/>
              <w:rPr>
                <w:rFonts w:eastAsia="Times New Roman"/>
                <w:sz w:val="24"/>
                <w:szCs w:val="24"/>
              </w:rPr>
            </w:pPr>
            <w:r w:rsidRPr="008E63BB">
              <w:rPr>
                <w:rFonts w:eastAsia="Times New Roman"/>
                <w:sz w:val="24"/>
                <w:szCs w:val="24"/>
              </w:rPr>
              <w:t>4</w:t>
            </w:r>
          </w:p>
        </w:tc>
        <w:tc>
          <w:tcPr>
            <w:tcW w:w="3215" w:type="dxa"/>
            <w:tcBorders>
              <w:top w:val="nil"/>
              <w:left w:val="nil"/>
              <w:bottom w:val="single" w:sz="4" w:space="0" w:color="auto"/>
              <w:right w:val="single" w:sz="4" w:space="0" w:color="auto"/>
            </w:tcBorders>
            <w:shd w:val="clear" w:color="auto" w:fill="auto"/>
            <w:vAlign w:val="center"/>
            <w:hideMark/>
          </w:tcPr>
          <w:p w14:paraId="519B4C25" w14:textId="77777777" w:rsidR="00A0345A" w:rsidRPr="008E63BB" w:rsidRDefault="00A0345A" w:rsidP="0065184D">
            <w:pPr>
              <w:jc w:val="left"/>
              <w:rPr>
                <w:rFonts w:eastAsia="Times New Roman"/>
                <w:sz w:val="24"/>
                <w:szCs w:val="24"/>
              </w:rPr>
            </w:pPr>
            <w:r w:rsidRPr="008E63BB">
              <w:rPr>
                <w:rFonts w:eastAsia="Times New Roman"/>
                <w:sz w:val="24"/>
                <w:szCs w:val="24"/>
              </w:rPr>
              <w:t>Phòng khám chuyên khoa</w:t>
            </w:r>
          </w:p>
        </w:tc>
        <w:tc>
          <w:tcPr>
            <w:tcW w:w="2971" w:type="dxa"/>
            <w:tcBorders>
              <w:top w:val="nil"/>
              <w:left w:val="nil"/>
              <w:bottom w:val="single" w:sz="4" w:space="0" w:color="auto"/>
              <w:right w:val="single" w:sz="4" w:space="0" w:color="auto"/>
            </w:tcBorders>
            <w:shd w:val="clear" w:color="auto" w:fill="auto"/>
            <w:vAlign w:val="center"/>
            <w:hideMark/>
          </w:tcPr>
          <w:p w14:paraId="519B4C26" w14:textId="77777777" w:rsidR="00A0345A" w:rsidRPr="008E63BB" w:rsidRDefault="00A0345A" w:rsidP="0065184D">
            <w:pPr>
              <w:jc w:val="center"/>
              <w:rPr>
                <w:rFonts w:eastAsia="Times New Roman"/>
                <w:sz w:val="24"/>
                <w:szCs w:val="24"/>
              </w:rPr>
            </w:pPr>
            <w:r w:rsidRPr="008E63BB">
              <w:rPr>
                <w:rFonts w:eastAsia="Times New Roman"/>
                <w:sz w:val="24"/>
                <w:szCs w:val="24"/>
              </w:rPr>
              <w:t> </w:t>
            </w:r>
          </w:p>
        </w:tc>
        <w:tc>
          <w:tcPr>
            <w:tcW w:w="959" w:type="dxa"/>
            <w:tcBorders>
              <w:top w:val="nil"/>
              <w:left w:val="nil"/>
              <w:bottom w:val="single" w:sz="4" w:space="0" w:color="auto"/>
              <w:right w:val="single" w:sz="4" w:space="0" w:color="auto"/>
            </w:tcBorders>
            <w:shd w:val="clear" w:color="auto" w:fill="auto"/>
            <w:vAlign w:val="center"/>
          </w:tcPr>
          <w:p w14:paraId="519B4C27" w14:textId="77777777" w:rsidR="00A0345A" w:rsidRPr="008E63BB" w:rsidRDefault="00A0345A" w:rsidP="0065184D">
            <w:pPr>
              <w:jc w:val="right"/>
              <w:rPr>
                <w:rFonts w:eastAsia="Times New Roman"/>
                <w:sz w:val="24"/>
                <w:szCs w:val="24"/>
              </w:rPr>
            </w:pPr>
          </w:p>
        </w:tc>
        <w:tc>
          <w:tcPr>
            <w:tcW w:w="900" w:type="dxa"/>
            <w:tcBorders>
              <w:top w:val="nil"/>
              <w:left w:val="nil"/>
              <w:bottom w:val="single" w:sz="4" w:space="0" w:color="auto"/>
              <w:right w:val="single" w:sz="4" w:space="0" w:color="auto"/>
            </w:tcBorders>
            <w:shd w:val="clear" w:color="auto" w:fill="auto"/>
            <w:vAlign w:val="center"/>
          </w:tcPr>
          <w:p w14:paraId="519B4C28" w14:textId="77777777" w:rsidR="00A0345A" w:rsidRPr="008E63BB" w:rsidRDefault="00A0345A" w:rsidP="0065184D">
            <w:pPr>
              <w:jc w:val="right"/>
              <w:rPr>
                <w:rFonts w:eastAsia="Times New Roman"/>
                <w:sz w:val="24"/>
                <w:szCs w:val="24"/>
              </w:rPr>
            </w:pPr>
          </w:p>
        </w:tc>
        <w:tc>
          <w:tcPr>
            <w:tcW w:w="817" w:type="dxa"/>
            <w:tcBorders>
              <w:top w:val="nil"/>
              <w:left w:val="nil"/>
              <w:bottom w:val="single" w:sz="4" w:space="0" w:color="auto"/>
              <w:right w:val="single" w:sz="4" w:space="0" w:color="auto"/>
            </w:tcBorders>
            <w:shd w:val="clear" w:color="auto" w:fill="auto"/>
            <w:vAlign w:val="center"/>
            <w:hideMark/>
          </w:tcPr>
          <w:p w14:paraId="519B4C29" w14:textId="77777777" w:rsidR="00A0345A" w:rsidRPr="008E63BB" w:rsidRDefault="00A0345A" w:rsidP="0065184D">
            <w:pPr>
              <w:jc w:val="center"/>
              <w:rPr>
                <w:rFonts w:eastAsia="Times New Roman"/>
                <w:sz w:val="24"/>
                <w:szCs w:val="24"/>
              </w:rPr>
            </w:pPr>
            <w:r w:rsidRPr="008E63BB">
              <w:rPr>
                <w:rFonts w:eastAsia="Times New Roman"/>
                <w:sz w:val="24"/>
                <w:szCs w:val="24"/>
              </w:rPr>
              <w:t> </w:t>
            </w:r>
          </w:p>
        </w:tc>
      </w:tr>
      <w:tr w:rsidR="008D5BFE" w:rsidRPr="008E63BB" w14:paraId="519B4C31" w14:textId="77777777" w:rsidTr="00F97812">
        <w:trPr>
          <w:trHeight w:val="315"/>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2B" w14:textId="77777777" w:rsidR="00A0345A" w:rsidRPr="008E63BB" w:rsidRDefault="00A0345A" w:rsidP="0065184D">
            <w:pPr>
              <w:jc w:val="right"/>
              <w:rPr>
                <w:rFonts w:eastAsia="Times New Roman"/>
                <w:sz w:val="24"/>
                <w:szCs w:val="24"/>
              </w:rPr>
            </w:pPr>
            <w:r w:rsidRPr="008E63BB">
              <w:rPr>
                <w:rFonts w:eastAsia="Times New Roman"/>
                <w:sz w:val="24"/>
                <w:szCs w:val="24"/>
              </w:rPr>
              <w:t>5</w:t>
            </w:r>
          </w:p>
        </w:tc>
        <w:tc>
          <w:tcPr>
            <w:tcW w:w="3215" w:type="dxa"/>
            <w:tcBorders>
              <w:top w:val="nil"/>
              <w:left w:val="nil"/>
              <w:bottom w:val="single" w:sz="4" w:space="0" w:color="auto"/>
              <w:right w:val="single" w:sz="4" w:space="0" w:color="auto"/>
            </w:tcBorders>
            <w:shd w:val="clear" w:color="auto" w:fill="auto"/>
            <w:vAlign w:val="center"/>
            <w:hideMark/>
          </w:tcPr>
          <w:p w14:paraId="519B4C2C" w14:textId="77777777" w:rsidR="00A0345A" w:rsidRPr="008E63BB" w:rsidRDefault="00A0345A" w:rsidP="0065184D">
            <w:pPr>
              <w:jc w:val="left"/>
              <w:rPr>
                <w:rFonts w:eastAsia="Times New Roman"/>
                <w:sz w:val="24"/>
                <w:szCs w:val="24"/>
              </w:rPr>
            </w:pPr>
            <w:r w:rsidRPr="008E63BB">
              <w:rPr>
                <w:rFonts w:eastAsia="Times New Roman"/>
                <w:sz w:val="24"/>
                <w:szCs w:val="24"/>
              </w:rPr>
              <w:t>Phòng chẩn trị YHCT</w:t>
            </w:r>
          </w:p>
        </w:tc>
        <w:tc>
          <w:tcPr>
            <w:tcW w:w="2971" w:type="dxa"/>
            <w:tcBorders>
              <w:top w:val="nil"/>
              <w:left w:val="nil"/>
              <w:bottom w:val="single" w:sz="4" w:space="0" w:color="auto"/>
              <w:right w:val="single" w:sz="4" w:space="0" w:color="auto"/>
            </w:tcBorders>
            <w:shd w:val="clear" w:color="auto" w:fill="auto"/>
            <w:vAlign w:val="center"/>
            <w:hideMark/>
          </w:tcPr>
          <w:p w14:paraId="519B4C2D" w14:textId="77777777" w:rsidR="00A0345A" w:rsidRPr="008E63BB" w:rsidRDefault="00A0345A" w:rsidP="0065184D">
            <w:pPr>
              <w:jc w:val="center"/>
              <w:rPr>
                <w:rFonts w:eastAsia="Times New Roman"/>
                <w:sz w:val="24"/>
                <w:szCs w:val="24"/>
              </w:rPr>
            </w:pPr>
            <w:r w:rsidRPr="008E63BB">
              <w:rPr>
                <w:rFonts w:eastAsia="Times New Roman"/>
                <w:sz w:val="24"/>
                <w:szCs w:val="24"/>
              </w:rPr>
              <w:t> </w:t>
            </w:r>
          </w:p>
        </w:tc>
        <w:tc>
          <w:tcPr>
            <w:tcW w:w="959" w:type="dxa"/>
            <w:tcBorders>
              <w:top w:val="nil"/>
              <w:left w:val="nil"/>
              <w:bottom w:val="single" w:sz="4" w:space="0" w:color="auto"/>
              <w:right w:val="single" w:sz="4" w:space="0" w:color="auto"/>
            </w:tcBorders>
            <w:shd w:val="clear" w:color="auto" w:fill="auto"/>
            <w:vAlign w:val="center"/>
          </w:tcPr>
          <w:p w14:paraId="519B4C2E" w14:textId="77777777" w:rsidR="00A0345A" w:rsidRPr="008E63BB" w:rsidRDefault="00A0345A" w:rsidP="0065184D">
            <w:pPr>
              <w:jc w:val="right"/>
              <w:rPr>
                <w:rFonts w:eastAsia="Times New Roman"/>
                <w:sz w:val="24"/>
                <w:szCs w:val="24"/>
              </w:rPr>
            </w:pPr>
          </w:p>
        </w:tc>
        <w:tc>
          <w:tcPr>
            <w:tcW w:w="900" w:type="dxa"/>
            <w:tcBorders>
              <w:top w:val="nil"/>
              <w:left w:val="nil"/>
              <w:bottom w:val="single" w:sz="4" w:space="0" w:color="auto"/>
              <w:right w:val="single" w:sz="4" w:space="0" w:color="auto"/>
            </w:tcBorders>
            <w:shd w:val="clear" w:color="auto" w:fill="auto"/>
            <w:vAlign w:val="center"/>
          </w:tcPr>
          <w:p w14:paraId="519B4C2F" w14:textId="77777777" w:rsidR="00A0345A" w:rsidRPr="008E63BB" w:rsidRDefault="00A0345A" w:rsidP="0065184D">
            <w:pPr>
              <w:jc w:val="right"/>
              <w:rPr>
                <w:rFonts w:eastAsia="Times New Roman"/>
                <w:sz w:val="24"/>
                <w:szCs w:val="24"/>
              </w:rPr>
            </w:pPr>
          </w:p>
        </w:tc>
        <w:tc>
          <w:tcPr>
            <w:tcW w:w="817" w:type="dxa"/>
            <w:tcBorders>
              <w:top w:val="nil"/>
              <w:left w:val="nil"/>
              <w:bottom w:val="single" w:sz="4" w:space="0" w:color="auto"/>
              <w:right w:val="single" w:sz="4" w:space="0" w:color="auto"/>
            </w:tcBorders>
            <w:shd w:val="clear" w:color="auto" w:fill="auto"/>
            <w:vAlign w:val="center"/>
            <w:hideMark/>
          </w:tcPr>
          <w:p w14:paraId="519B4C30" w14:textId="77777777" w:rsidR="00A0345A" w:rsidRPr="008E63BB" w:rsidRDefault="00A0345A" w:rsidP="0065184D">
            <w:pPr>
              <w:jc w:val="center"/>
              <w:rPr>
                <w:rFonts w:eastAsia="Times New Roman"/>
                <w:sz w:val="24"/>
                <w:szCs w:val="24"/>
              </w:rPr>
            </w:pPr>
            <w:r w:rsidRPr="008E63BB">
              <w:rPr>
                <w:rFonts w:eastAsia="Times New Roman"/>
                <w:sz w:val="24"/>
                <w:szCs w:val="24"/>
              </w:rPr>
              <w:t> </w:t>
            </w:r>
          </w:p>
        </w:tc>
      </w:tr>
      <w:tr w:rsidR="008D5BFE" w:rsidRPr="008E63BB" w14:paraId="519B4C34" w14:textId="77777777" w:rsidTr="003D057A">
        <w:trPr>
          <w:trHeight w:val="494"/>
        </w:trPr>
        <w:tc>
          <w:tcPr>
            <w:tcW w:w="579" w:type="dxa"/>
            <w:tcBorders>
              <w:top w:val="nil"/>
              <w:left w:val="single" w:sz="4" w:space="0" w:color="auto"/>
              <w:bottom w:val="single" w:sz="4" w:space="0" w:color="auto"/>
              <w:right w:val="single" w:sz="4" w:space="0" w:color="auto"/>
            </w:tcBorders>
            <w:shd w:val="clear" w:color="auto" w:fill="auto"/>
            <w:vAlign w:val="center"/>
            <w:hideMark/>
          </w:tcPr>
          <w:p w14:paraId="519B4C32" w14:textId="77777777" w:rsidR="00A0345A" w:rsidRPr="008E63BB" w:rsidRDefault="00A0345A" w:rsidP="0065184D">
            <w:pPr>
              <w:jc w:val="center"/>
              <w:rPr>
                <w:rFonts w:eastAsia="Times New Roman"/>
                <w:b/>
                <w:bCs/>
                <w:sz w:val="24"/>
                <w:szCs w:val="24"/>
              </w:rPr>
            </w:pPr>
            <w:r w:rsidRPr="008E63BB">
              <w:rPr>
                <w:rFonts w:eastAsia="Times New Roman"/>
                <w:b/>
                <w:bCs/>
                <w:sz w:val="24"/>
                <w:szCs w:val="24"/>
              </w:rPr>
              <w:t>C</w:t>
            </w:r>
          </w:p>
        </w:tc>
        <w:tc>
          <w:tcPr>
            <w:tcW w:w="8862" w:type="dxa"/>
            <w:gridSpan w:val="5"/>
            <w:tcBorders>
              <w:top w:val="single" w:sz="4" w:space="0" w:color="auto"/>
              <w:left w:val="nil"/>
              <w:bottom w:val="single" w:sz="4" w:space="0" w:color="auto"/>
              <w:right w:val="single" w:sz="4" w:space="0" w:color="000000"/>
            </w:tcBorders>
            <w:shd w:val="clear" w:color="auto" w:fill="auto"/>
            <w:vAlign w:val="center"/>
            <w:hideMark/>
          </w:tcPr>
          <w:p w14:paraId="519B4C33" w14:textId="77777777" w:rsidR="00A0345A" w:rsidRPr="008E63BB" w:rsidRDefault="00A0345A" w:rsidP="0065184D">
            <w:pPr>
              <w:jc w:val="left"/>
              <w:rPr>
                <w:rFonts w:eastAsia="Times New Roman"/>
                <w:b/>
                <w:bCs/>
                <w:sz w:val="24"/>
                <w:szCs w:val="24"/>
              </w:rPr>
            </w:pPr>
            <w:r w:rsidRPr="008E63BB">
              <w:rPr>
                <w:rFonts w:eastAsia="Times New Roman"/>
                <w:b/>
                <w:bCs/>
                <w:sz w:val="24"/>
                <w:szCs w:val="24"/>
              </w:rPr>
              <w:t>Đơn vị tuyến Xã: 229 trạm y tế xã, phường, thị trấn thuộc 10 trung tâm y tế huyện, TP. Tổng số giường bệnh lưu: 1.145 giường</w:t>
            </w:r>
          </w:p>
        </w:tc>
      </w:tr>
    </w:tbl>
    <w:p w14:paraId="519B4C35" w14:textId="77777777" w:rsidR="00A0345A" w:rsidRPr="008E63BB" w:rsidRDefault="00A0345A" w:rsidP="0065184D">
      <w:pPr>
        <w:rPr>
          <w:i/>
          <w:szCs w:val="26"/>
        </w:rPr>
      </w:pPr>
      <w:r w:rsidRPr="008E63BB">
        <w:rPr>
          <w:i/>
          <w:szCs w:val="26"/>
        </w:rPr>
        <w:t>Nguồn: Công văn ngày 12/7/2019 của Sở Y tế V/v phúc đáp số 770/SXD-QH ngày 04/7/2019</w:t>
      </w:r>
    </w:p>
    <w:p w14:paraId="519B4C36" w14:textId="77777777" w:rsidR="003D6A03" w:rsidRPr="008E63BB" w:rsidRDefault="003D6A03" w:rsidP="0065184D">
      <w:pPr>
        <w:jc w:val="left"/>
        <w:rPr>
          <w:szCs w:val="26"/>
        </w:rPr>
      </w:pPr>
      <w:r w:rsidRPr="008E63BB">
        <w:rPr>
          <w:szCs w:val="26"/>
        </w:rPr>
        <w:br w:type="page"/>
      </w:r>
    </w:p>
    <w:p w14:paraId="519B4C37" w14:textId="77777777" w:rsidR="003D6A03" w:rsidRPr="008E63BB" w:rsidRDefault="003D6A03" w:rsidP="0065184D">
      <w:pPr>
        <w:rPr>
          <w:szCs w:val="26"/>
        </w:rPr>
        <w:sectPr w:rsidR="003D6A03" w:rsidRPr="008E63BB" w:rsidSect="003E624C">
          <w:pgSz w:w="11907" w:h="16840" w:code="9"/>
          <w:pgMar w:top="1440" w:right="922" w:bottom="1440" w:left="1699" w:header="720" w:footer="720" w:gutter="0"/>
          <w:cols w:space="720"/>
          <w:docGrid w:linePitch="360"/>
        </w:sectPr>
      </w:pPr>
    </w:p>
    <w:p w14:paraId="519B4C38" w14:textId="77777777" w:rsidR="00993172" w:rsidRPr="008E63BB" w:rsidRDefault="00993172" w:rsidP="0065184D">
      <w:pPr>
        <w:rPr>
          <w:szCs w:val="26"/>
        </w:rPr>
      </w:pPr>
      <w:r w:rsidRPr="008E63BB">
        <w:rPr>
          <w:szCs w:val="26"/>
        </w:rPr>
        <w:lastRenderedPageBreak/>
        <w:t>Hiện trạng các di tích đã xếp hạng</w:t>
      </w:r>
    </w:p>
    <w:p w14:paraId="519B4C39" w14:textId="77777777" w:rsidR="007757F0" w:rsidRPr="008E63BB" w:rsidRDefault="007757F0" w:rsidP="0065184D">
      <w:pPr>
        <w:jc w:val="left"/>
        <w:rPr>
          <w:szCs w:val="26"/>
        </w:rPr>
      </w:pPr>
    </w:p>
    <w:tbl>
      <w:tblPr>
        <w:tblW w:w="14240" w:type="dxa"/>
        <w:tblInd w:w="113" w:type="dxa"/>
        <w:tblLook w:val="04A0" w:firstRow="1" w:lastRow="0" w:firstColumn="1" w:lastColumn="0" w:noHBand="0" w:noVBand="1"/>
      </w:tblPr>
      <w:tblGrid>
        <w:gridCol w:w="537"/>
        <w:gridCol w:w="2732"/>
        <w:gridCol w:w="2795"/>
        <w:gridCol w:w="653"/>
        <w:gridCol w:w="777"/>
        <w:gridCol w:w="658"/>
        <w:gridCol w:w="810"/>
        <w:gridCol w:w="658"/>
        <w:gridCol w:w="710"/>
        <w:gridCol w:w="710"/>
        <w:gridCol w:w="3200"/>
      </w:tblGrid>
      <w:tr w:rsidR="008D5BFE" w:rsidRPr="008E63BB" w14:paraId="519B4C41" w14:textId="77777777" w:rsidTr="000D31BD">
        <w:trPr>
          <w:cantSplit/>
          <w:trHeight w:val="315"/>
          <w:tblHeader/>
        </w:trPr>
        <w:tc>
          <w:tcPr>
            <w:tcW w:w="400" w:type="dxa"/>
            <w:vMerge w:val="restart"/>
            <w:tcBorders>
              <w:top w:val="single" w:sz="4" w:space="0" w:color="000000"/>
              <w:left w:val="single" w:sz="4" w:space="0" w:color="000000"/>
              <w:bottom w:val="single" w:sz="4" w:space="0" w:color="000000"/>
              <w:right w:val="single" w:sz="4" w:space="0" w:color="000000"/>
            </w:tcBorders>
            <w:vAlign w:val="center"/>
            <w:hideMark/>
          </w:tcPr>
          <w:p w14:paraId="519B4C3A"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TT</w:t>
            </w:r>
          </w:p>
        </w:tc>
        <w:tc>
          <w:tcPr>
            <w:tcW w:w="2980" w:type="dxa"/>
            <w:vMerge w:val="restart"/>
            <w:tcBorders>
              <w:top w:val="single" w:sz="4" w:space="0" w:color="000000"/>
              <w:left w:val="single" w:sz="4" w:space="0" w:color="000000"/>
              <w:bottom w:val="single" w:sz="4" w:space="0" w:color="000000"/>
              <w:right w:val="single" w:sz="4" w:space="0" w:color="000000"/>
            </w:tcBorders>
            <w:vAlign w:val="center"/>
            <w:hideMark/>
          </w:tcPr>
          <w:p w14:paraId="519B4C3B"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Tên di tích lịch sử, văn hoá</w:t>
            </w:r>
          </w:p>
        </w:tc>
        <w:tc>
          <w:tcPr>
            <w:tcW w:w="3040" w:type="dxa"/>
            <w:vMerge w:val="restart"/>
            <w:tcBorders>
              <w:top w:val="single" w:sz="4" w:space="0" w:color="000000"/>
              <w:left w:val="single" w:sz="4" w:space="0" w:color="000000"/>
              <w:bottom w:val="single" w:sz="4" w:space="0" w:color="000000"/>
              <w:right w:val="single" w:sz="4" w:space="0" w:color="000000"/>
            </w:tcBorders>
            <w:vAlign w:val="center"/>
            <w:hideMark/>
          </w:tcPr>
          <w:p w14:paraId="519B4C3C"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Địa điểm</w:t>
            </w:r>
          </w:p>
        </w:tc>
        <w:tc>
          <w:tcPr>
            <w:tcW w:w="660" w:type="dxa"/>
            <w:vMerge w:val="restart"/>
            <w:tcBorders>
              <w:top w:val="single" w:sz="4" w:space="0" w:color="000000"/>
              <w:left w:val="single" w:sz="4" w:space="0" w:color="000000"/>
              <w:bottom w:val="single" w:sz="4" w:space="0" w:color="000000"/>
              <w:right w:val="single" w:sz="4" w:space="0" w:color="000000"/>
            </w:tcBorders>
            <w:vAlign w:val="center"/>
            <w:hideMark/>
          </w:tcPr>
          <w:p w14:paraId="519B4C3D"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 xml:space="preserve">Di tích lịch sử, </w:t>
            </w:r>
            <w:r w:rsidRPr="008E63BB">
              <w:rPr>
                <w:rFonts w:eastAsia="Times New Roman" w:cs="Arial"/>
                <w:b/>
                <w:bCs/>
                <w:sz w:val="24"/>
                <w:szCs w:val="24"/>
              </w:rPr>
              <w:br/>
              <w:t>văn hoá</w:t>
            </w:r>
          </w:p>
        </w:tc>
        <w:tc>
          <w:tcPr>
            <w:tcW w:w="1980" w:type="dxa"/>
            <w:gridSpan w:val="3"/>
            <w:tcBorders>
              <w:top w:val="single" w:sz="4" w:space="0" w:color="000000"/>
              <w:left w:val="nil"/>
              <w:bottom w:val="single" w:sz="4" w:space="0" w:color="000000"/>
              <w:right w:val="single" w:sz="4" w:space="0" w:color="000000"/>
            </w:tcBorders>
            <w:vAlign w:val="center"/>
            <w:hideMark/>
          </w:tcPr>
          <w:p w14:paraId="519B4C3E"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Loại công trình</w:t>
            </w:r>
          </w:p>
        </w:tc>
        <w:tc>
          <w:tcPr>
            <w:tcW w:w="1980" w:type="dxa"/>
            <w:gridSpan w:val="3"/>
            <w:tcBorders>
              <w:top w:val="single" w:sz="4" w:space="0" w:color="000000"/>
              <w:left w:val="nil"/>
              <w:bottom w:val="single" w:sz="4" w:space="0" w:color="000000"/>
              <w:right w:val="single" w:sz="4" w:space="0" w:color="000000"/>
            </w:tcBorders>
            <w:vAlign w:val="center"/>
            <w:hideMark/>
          </w:tcPr>
          <w:p w14:paraId="519B4C3F"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Xếp hạng</w:t>
            </w:r>
          </w:p>
        </w:tc>
        <w:tc>
          <w:tcPr>
            <w:tcW w:w="3200" w:type="dxa"/>
            <w:vMerge w:val="restart"/>
            <w:tcBorders>
              <w:top w:val="single" w:sz="4" w:space="0" w:color="000000"/>
              <w:left w:val="single" w:sz="4" w:space="0" w:color="000000"/>
              <w:bottom w:val="single" w:sz="4" w:space="0" w:color="000000"/>
              <w:right w:val="single" w:sz="4" w:space="0" w:color="000000"/>
            </w:tcBorders>
            <w:vAlign w:val="center"/>
            <w:hideMark/>
          </w:tcPr>
          <w:p w14:paraId="519B4C40"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Ghi chú</w:t>
            </w:r>
          </w:p>
        </w:tc>
      </w:tr>
      <w:tr w:rsidR="008D5BFE" w:rsidRPr="008E63BB" w14:paraId="519B4C4D" w14:textId="77777777" w:rsidTr="000D31BD">
        <w:trPr>
          <w:cantSplit/>
          <w:trHeight w:val="1710"/>
          <w:tblHeader/>
        </w:trPr>
        <w:tc>
          <w:tcPr>
            <w:tcW w:w="400" w:type="dxa"/>
            <w:vMerge/>
            <w:tcBorders>
              <w:top w:val="single" w:sz="4" w:space="0" w:color="000000"/>
              <w:left w:val="single" w:sz="4" w:space="0" w:color="000000"/>
              <w:bottom w:val="single" w:sz="4" w:space="0" w:color="000000"/>
              <w:right w:val="single" w:sz="4" w:space="0" w:color="000000"/>
            </w:tcBorders>
            <w:vAlign w:val="center"/>
            <w:hideMark/>
          </w:tcPr>
          <w:p w14:paraId="519B4C42" w14:textId="77777777" w:rsidR="007757F0" w:rsidRPr="008E63BB" w:rsidRDefault="007757F0" w:rsidP="0065184D">
            <w:pPr>
              <w:jc w:val="left"/>
              <w:rPr>
                <w:rFonts w:eastAsia="Times New Roman" w:cs="Arial"/>
                <w:b/>
                <w:bCs/>
                <w:sz w:val="24"/>
                <w:szCs w:val="24"/>
              </w:rPr>
            </w:pPr>
          </w:p>
        </w:tc>
        <w:tc>
          <w:tcPr>
            <w:tcW w:w="2980" w:type="dxa"/>
            <w:vMerge/>
            <w:tcBorders>
              <w:top w:val="single" w:sz="4" w:space="0" w:color="000000"/>
              <w:left w:val="single" w:sz="4" w:space="0" w:color="000000"/>
              <w:bottom w:val="single" w:sz="4" w:space="0" w:color="000000"/>
              <w:right w:val="single" w:sz="4" w:space="0" w:color="000000"/>
            </w:tcBorders>
            <w:vAlign w:val="center"/>
            <w:hideMark/>
          </w:tcPr>
          <w:p w14:paraId="519B4C43" w14:textId="77777777" w:rsidR="007757F0" w:rsidRPr="008E63BB" w:rsidRDefault="007757F0" w:rsidP="0065184D">
            <w:pPr>
              <w:jc w:val="left"/>
              <w:rPr>
                <w:rFonts w:eastAsia="Times New Roman" w:cs="Arial"/>
                <w:b/>
                <w:bCs/>
                <w:sz w:val="24"/>
                <w:szCs w:val="24"/>
              </w:rPr>
            </w:pPr>
          </w:p>
        </w:tc>
        <w:tc>
          <w:tcPr>
            <w:tcW w:w="3040" w:type="dxa"/>
            <w:vMerge/>
            <w:tcBorders>
              <w:top w:val="single" w:sz="4" w:space="0" w:color="000000"/>
              <w:left w:val="single" w:sz="4" w:space="0" w:color="000000"/>
              <w:bottom w:val="single" w:sz="4" w:space="0" w:color="000000"/>
              <w:right w:val="single" w:sz="4" w:space="0" w:color="000000"/>
            </w:tcBorders>
            <w:vAlign w:val="center"/>
            <w:hideMark/>
          </w:tcPr>
          <w:p w14:paraId="519B4C44" w14:textId="77777777" w:rsidR="007757F0" w:rsidRPr="008E63BB" w:rsidRDefault="007757F0" w:rsidP="0065184D">
            <w:pPr>
              <w:jc w:val="left"/>
              <w:rPr>
                <w:rFonts w:eastAsia="Times New Roman" w:cs="Arial"/>
                <w:b/>
                <w:bCs/>
                <w:sz w:val="24"/>
                <w:szCs w:val="24"/>
              </w:rPr>
            </w:pPr>
          </w:p>
        </w:tc>
        <w:tc>
          <w:tcPr>
            <w:tcW w:w="660" w:type="dxa"/>
            <w:vMerge/>
            <w:tcBorders>
              <w:top w:val="single" w:sz="4" w:space="0" w:color="000000"/>
              <w:left w:val="single" w:sz="4" w:space="0" w:color="000000"/>
              <w:bottom w:val="single" w:sz="4" w:space="0" w:color="000000"/>
              <w:right w:val="single" w:sz="4" w:space="0" w:color="000000"/>
            </w:tcBorders>
            <w:vAlign w:val="center"/>
            <w:hideMark/>
          </w:tcPr>
          <w:p w14:paraId="519B4C45" w14:textId="77777777" w:rsidR="007757F0" w:rsidRPr="008E63BB" w:rsidRDefault="007757F0" w:rsidP="0065184D">
            <w:pPr>
              <w:jc w:val="left"/>
              <w:rPr>
                <w:rFonts w:eastAsia="Times New Roman" w:cs="Arial"/>
                <w:b/>
                <w:bCs/>
                <w:sz w:val="24"/>
                <w:szCs w:val="24"/>
              </w:rPr>
            </w:pPr>
          </w:p>
        </w:tc>
        <w:tc>
          <w:tcPr>
            <w:tcW w:w="660" w:type="dxa"/>
            <w:tcBorders>
              <w:top w:val="nil"/>
              <w:left w:val="nil"/>
              <w:bottom w:val="nil"/>
              <w:right w:val="single" w:sz="4" w:space="0" w:color="000000"/>
            </w:tcBorders>
            <w:vAlign w:val="center"/>
            <w:hideMark/>
          </w:tcPr>
          <w:p w14:paraId="519B4C46"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Chùa</w:t>
            </w:r>
          </w:p>
        </w:tc>
        <w:tc>
          <w:tcPr>
            <w:tcW w:w="660" w:type="dxa"/>
            <w:tcBorders>
              <w:top w:val="nil"/>
              <w:left w:val="nil"/>
              <w:bottom w:val="nil"/>
              <w:right w:val="single" w:sz="4" w:space="0" w:color="000000"/>
            </w:tcBorders>
            <w:vAlign w:val="center"/>
            <w:hideMark/>
          </w:tcPr>
          <w:p w14:paraId="519B4C47"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Nhà thờ</w:t>
            </w:r>
          </w:p>
        </w:tc>
        <w:tc>
          <w:tcPr>
            <w:tcW w:w="660" w:type="dxa"/>
            <w:tcBorders>
              <w:top w:val="nil"/>
              <w:left w:val="nil"/>
              <w:bottom w:val="nil"/>
              <w:right w:val="single" w:sz="4" w:space="0" w:color="000000"/>
            </w:tcBorders>
            <w:vAlign w:val="center"/>
            <w:hideMark/>
          </w:tcPr>
          <w:p w14:paraId="519B4C48"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Đền, Miếu, Đình</w:t>
            </w:r>
          </w:p>
        </w:tc>
        <w:tc>
          <w:tcPr>
            <w:tcW w:w="660" w:type="dxa"/>
            <w:tcBorders>
              <w:top w:val="nil"/>
              <w:left w:val="nil"/>
              <w:bottom w:val="nil"/>
              <w:right w:val="single" w:sz="4" w:space="0" w:color="000000"/>
            </w:tcBorders>
            <w:vAlign w:val="center"/>
            <w:hideMark/>
          </w:tcPr>
          <w:p w14:paraId="519B4C49"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Cấp tỉnh</w:t>
            </w:r>
          </w:p>
        </w:tc>
        <w:tc>
          <w:tcPr>
            <w:tcW w:w="660" w:type="dxa"/>
            <w:tcBorders>
              <w:top w:val="nil"/>
              <w:left w:val="nil"/>
              <w:bottom w:val="nil"/>
              <w:right w:val="single" w:sz="4" w:space="0" w:color="000000"/>
            </w:tcBorders>
            <w:vAlign w:val="center"/>
            <w:hideMark/>
          </w:tcPr>
          <w:p w14:paraId="519B4C4A"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Cấp quốc gia</w:t>
            </w:r>
          </w:p>
        </w:tc>
        <w:tc>
          <w:tcPr>
            <w:tcW w:w="660" w:type="dxa"/>
            <w:tcBorders>
              <w:top w:val="nil"/>
              <w:left w:val="nil"/>
              <w:bottom w:val="nil"/>
              <w:right w:val="single" w:sz="4" w:space="0" w:color="000000"/>
            </w:tcBorders>
            <w:vAlign w:val="center"/>
            <w:hideMark/>
          </w:tcPr>
          <w:p w14:paraId="519B4C4B" w14:textId="77777777" w:rsidR="007757F0" w:rsidRPr="008E63BB" w:rsidRDefault="007757F0" w:rsidP="0065184D">
            <w:pPr>
              <w:jc w:val="center"/>
              <w:rPr>
                <w:rFonts w:eastAsia="Times New Roman" w:cs="Arial"/>
                <w:b/>
                <w:bCs/>
                <w:sz w:val="24"/>
                <w:szCs w:val="24"/>
              </w:rPr>
            </w:pPr>
            <w:r w:rsidRPr="008E63BB">
              <w:rPr>
                <w:rFonts w:eastAsia="Times New Roman" w:cs="Arial"/>
                <w:b/>
                <w:bCs/>
                <w:sz w:val="24"/>
                <w:szCs w:val="24"/>
              </w:rPr>
              <w:t xml:space="preserve">Cấp quốc gia </w:t>
            </w:r>
            <w:r w:rsidRPr="008E63BB">
              <w:rPr>
                <w:rFonts w:eastAsia="Times New Roman"/>
                <w:b/>
                <w:bCs/>
                <w:sz w:val="24"/>
                <w:szCs w:val="24"/>
              </w:rPr>
              <w:t>đ</w:t>
            </w:r>
            <w:r w:rsidRPr="008E63BB">
              <w:rPr>
                <w:rFonts w:ascii="Tahoma" w:eastAsia="Times New Roman" w:hAnsi="Tahoma" w:cs="Tahoma"/>
                <w:b/>
                <w:bCs/>
                <w:sz w:val="24"/>
                <w:szCs w:val="24"/>
              </w:rPr>
              <w:t>ặ</w:t>
            </w:r>
            <w:r w:rsidRPr="008E63BB">
              <w:rPr>
                <w:rFonts w:eastAsia="Times New Roman" w:cs="Arial"/>
                <w:b/>
                <w:bCs/>
                <w:sz w:val="24"/>
                <w:szCs w:val="24"/>
              </w:rPr>
              <w:t>c bi</w:t>
            </w:r>
            <w:r w:rsidRPr="008E63BB">
              <w:rPr>
                <w:rFonts w:ascii="Tahoma" w:eastAsia="Times New Roman" w:hAnsi="Tahoma" w:cs="Tahoma"/>
                <w:b/>
                <w:bCs/>
                <w:sz w:val="24"/>
                <w:szCs w:val="24"/>
              </w:rPr>
              <w:t>ệ</w:t>
            </w:r>
            <w:r w:rsidRPr="008E63BB">
              <w:rPr>
                <w:rFonts w:eastAsia="Times New Roman" w:cs="Arial"/>
                <w:b/>
                <w:bCs/>
                <w:sz w:val="24"/>
                <w:szCs w:val="24"/>
              </w:rPr>
              <w:t>t</w:t>
            </w:r>
          </w:p>
        </w:tc>
        <w:tc>
          <w:tcPr>
            <w:tcW w:w="3200" w:type="dxa"/>
            <w:vMerge/>
            <w:tcBorders>
              <w:top w:val="single" w:sz="4" w:space="0" w:color="000000"/>
              <w:left w:val="single" w:sz="4" w:space="0" w:color="000000"/>
              <w:bottom w:val="single" w:sz="4" w:space="0" w:color="000000"/>
              <w:right w:val="single" w:sz="4" w:space="0" w:color="000000"/>
            </w:tcBorders>
            <w:vAlign w:val="center"/>
            <w:hideMark/>
          </w:tcPr>
          <w:p w14:paraId="519B4C4C" w14:textId="77777777" w:rsidR="007757F0" w:rsidRPr="008E63BB" w:rsidRDefault="007757F0" w:rsidP="0065184D">
            <w:pPr>
              <w:jc w:val="left"/>
              <w:rPr>
                <w:rFonts w:eastAsia="Times New Roman" w:cs="Arial"/>
                <w:b/>
                <w:bCs/>
                <w:sz w:val="24"/>
                <w:szCs w:val="24"/>
              </w:rPr>
            </w:pPr>
          </w:p>
        </w:tc>
      </w:tr>
      <w:tr w:rsidR="008D5BFE" w:rsidRPr="008E63BB" w14:paraId="519B4C59" w14:textId="77777777" w:rsidTr="000D31BD">
        <w:trPr>
          <w:trHeight w:val="630"/>
        </w:trPr>
        <w:tc>
          <w:tcPr>
            <w:tcW w:w="400" w:type="dxa"/>
            <w:tcBorders>
              <w:top w:val="single" w:sz="4" w:space="0" w:color="auto"/>
              <w:left w:val="single" w:sz="4" w:space="0" w:color="auto"/>
              <w:bottom w:val="single" w:sz="4" w:space="0" w:color="auto"/>
              <w:right w:val="single" w:sz="4" w:space="0" w:color="auto"/>
            </w:tcBorders>
            <w:vAlign w:val="center"/>
            <w:hideMark/>
          </w:tcPr>
          <w:p w14:paraId="519B4C4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w:t>
            </w:r>
          </w:p>
        </w:tc>
        <w:tc>
          <w:tcPr>
            <w:tcW w:w="2980" w:type="dxa"/>
            <w:tcBorders>
              <w:top w:val="single" w:sz="4" w:space="0" w:color="auto"/>
              <w:left w:val="nil"/>
              <w:bottom w:val="single" w:sz="4" w:space="0" w:color="auto"/>
              <w:right w:val="single" w:sz="4" w:space="0" w:color="auto"/>
            </w:tcBorders>
            <w:vAlign w:val="center"/>
            <w:hideMark/>
          </w:tcPr>
          <w:p w14:paraId="519B4C4F"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Cột cờ Nam Định</w:t>
            </w:r>
          </w:p>
        </w:tc>
        <w:tc>
          <w:tcPr>
            <w:tcW w:w="3040" w:type="dxa"/>
            <w:tcBorders>
              <w:top w:val="single" w:sz="4" w:space="0" w:color="auto"/>
              <w:left w:val="nil"/>
              <w:bottom w:val="single" w:sz="4" w:space="0" w:color="auto"/>
              <w:right w:val="single" w:sz="4" w:space="0" w:color="auto"/>
            </w:tcBorders>
            <w:vAlign w:val="center"/>
            <w:hideMark/>
          </w:tcPr>
          <w:p w14:paraId="519B4C5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Số 1 Đ. Tô Hiệu</w:t>
            </w:r>
          </w:p>
        </w:tc>
        <w:tc>
          <w:tcPr>
            <w:tcW w:w="660" w:type="dxa"/>
            <w:tcBorders>
              <w:top w:val="single" w:sz="4" w:space="0" w:color="auto"/>
              <w:left w:val="nil"/>
              <w:bottom w:val="single" w:sz="4" w:space="0" w:color="auto"/>
              <w:right w:val="single" w:sz="4" w:space="0" w:color="auto"/>
            </w:tcBorders>
            <w:vAlign w:val="center"/>
            <w:hideMark/>
          </w:tcPr>
          <w:p w14:paraId="519B4C5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single" w:sz="4" w:space="0" w:color="auto"/>
              <w:left w:val="nil"/>
              <w:bottom w:val="single" w:sz="4" w:space="0" w:color="auto"/>
              <w:right w:val="single" w:sz="4" w:space="0" w:color="auto"/>
            </w:tcBorders>
            <w:vAlign w:val="center"/>
            <w:hideMark/>
          </w:tcPr>
          <w:p w14:paraId="519B4C5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C5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C54"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C55"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C5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single" w:sz="4" w:space="0" w:color="auto"/>
              <w:left w:val="nil"/>
              <w:bottom w:val="single" w:sz="4" w:space="0" w:color="auto"/>
              <w:right w:val="single" w:sz="4" w:space="0" w:color="auto"/>
            </w:tcBorders>
            <w:vAlign w:val="center"/>
            <w:hideMark/>
          </w:tcPr>
          <w:p w14:paraId="519B4C5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single" w:sz="4" w:space="0" w:color="auto"/>
              <w:left w:val="nil"/>
              <w:bottom w:val="single" w:sz="4" w:space="0" w:color="auto"/>
              <w:right w:val="single" w:sz="4" w:space="0" w:color="auto"/>
            </w:tcBorders>
            <w:vAlign w:val="center"/>
            <w:hideMark/>
          </w:tcPr>
          <w:p w14:paraId="519B4C58" w14:textId="77777777" w:rsidR="007757F0" w:rsidRPr="008E63BB" w:rsidRDefault="007757F0" w:rsidP="0065184D">
            <w:pPr>
              <w:jc w:val="left"/>
              <w:rPr>
                <w:rFonts w:eastAsia="Times New Roman"/>
                <w:sz w:val="24"/>
                <w:szCs w:val="24"/>
              </w:rPr>
            </w:pPr>
            <w:r w:rsidRPr="008E63BB">
              <w:rPr>
                <w:rFonts w:eastAsia="Times New Roman"/>
                <w:sz w:val="24"/>
                <w:szCs w:val="24"/>
              </w:rPr>
              <w:t>Di tích được công nhận năm 1962</w:t>
            </w:r>
          </w:p>
        </w:tc>
      </w:tr>
      <w:tr w:rsidR="008D5BFE" w:rsidRPr="008E63BB" w14:paraId="519B4C65" w14:textId="77777777" w:rsidTr="000D31BD">
        <w:trPr>
          <w:trHeight w:val="600"/>
        </w:trPr>
        <w:tc>
          <w:tcPr>
            <w:tcW w:w="400" w:type="dxa"/>
            <w:tcBorders>
              <w:top w:val="nil"/>
              <w:left w:val="single" w:sz="4" w:space="0" w:color="auto"/>
              <w:bottom w:val="single" w:sz="4" w:space="0" w:color="auto"/>
              <w:right w:val="single" w:sz="4" w:space="0" w:color="auto"/>
            </w:tcBorders>
            <w:vAlign w:val="center"/>
            <w:hideMark/>
          </w:tcPr>
          <w:p w14:paraId="519B4C5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2</w:t>
            </w:r>
          </w:p>
        </w:tc>
        <w:tc>
          <w:tcPr>
            <w:tcW w:w="2980" w:type="dxa"/>
            <w:tcBorders>
              <w:top w:val="nil"/>
              <w:left w:val="nil"/>
              <w:bottom w:val="single" w:sz="4" w:space="0" w:color="auto"/>
              <w:right w:val="single" w:sz="4" w:space="0" w:color="auto"/>
            </w:tcBorders>
            <w:vAlign w:val="center"/>
            <w:hideMark/>
          </w:tcPr>
          <w:p w14:paraId="519B4C5B"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Khu di tích đền Thiên Tr</w:t>
            </w:r>
            <w:r w:rsidRPr="008E63BB">
              <w:rPr>
                <w:rFonts w:eastAsia="Times New Roman" w:cs="Arial"/>
                <w:sz w:val="24"/>
                <w:szCs w:val="24"/>
              </w:rPr>
              <w:softHyphen/>
              <w:t>ờng; Chùa Tháp</w:t>
            </w:r>
          </w:p>
        </w:tc>
        <w:tc>
          <w:tcPr>
            <w:tcW w:w="3040" w:type="dxa"/>
            <w:tcBorders>
              <w:top w:val="nil"/>
              <w:left w:val="nil"/>
              <w:bottom w:val="single" w:sz="4" w:space="0" w:color="auto"/>
              <w:right w:val="single" w:sz="4" w:space="0" w:color="auto"/>
            </w:tcBorders>
            <w:vAlign w:val="center"/>
            <w:hideMark/>
          </w:tcPr>
          <w:p w14:paraId="519B4C5C"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Lộc V</w:t>
            </w:r>
            <w:r w:rsidR="00E00918" w:rsidRPr="008E63BB">
              <w:rPr>
                <w:rFonts w:eastAsia="Times New Roman" w:cs="Arial"/>
                <w:sz w:val="24"/>
                <w:szCs w:val="24"/>
              </w:rPr>
              <w:t>ư</w:t>
            </w:r>
            <w:r w:rsidRPr="008E63BB">
              <w:rPr>
                <w:rFonts w:eastAsia="Times New Roman" w:cs="Arial"/>
                <w:sz w:val="24"/>
                <w:szCs w:val="24"/>
              </w:rPr>
              <w:softHyphen/>
              <w:t>ợng</w:t>
            </w:r>
          </w:p>
        </w:tc>
        <w:tc>
          <w:tcPr>
            <w:tcW w:w="660" w:type="dxa"/>
            <w:tcBorders>
              <w:top w:val="nil"/>
              <w:left w:val="nil"/>
              <w:bottom w:val="single" w:sz="4" w:space="0" w:color="auto"/>
              <w:right w:val="single" w:sz="4" w:space="0" w:color="auto"/>
            </w:tcBorders>
            <w:vAlign w:val="center"/>
            <w:hideMark/>
          </w:tcPr>
          <w:p w14:paraId="519B4C5D"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5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5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0"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6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3200" w:type="dxa"/>
            <w:tcBorders>
              <w:top w:val="nil"/>
              <w:left w:val="nil"/>
              <w:bottom w:val="single" w:sz="4" w:space="0" w:color="auto"/>
              <w:right w:val="single" w:sz="4" w:space="0" w:color="auto"/>
            </w:tcBorders>
            <w:noWrap/>
            <w:vAlign w:val="bottom"/>
            <w:hideMark/>
          </w:tcPr>
          <w:p w14:paraId="519B4C6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71"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6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3</w:t>
            </w:r>
          </w:p>
        </w:tc>
        <w:tc>
          <w:tcPr>
            <w:tcW w:w="2980" w:type="dxa"/>
            <w:tcBorders>
              <w:top w:val="nil"/>
              <w:left w:val="nil"/>
              <w:bottom w:val="single" w:sz="4" w:space="0" w:color="auto"/>
              <w:right w:val="single" w:sz="4" w:space="0" w:color="auto"/>
            </w:tcBorders>
            <w:vAlign w:val="center"/>
            <w:hideMark/>
          </w:tcPr>
          <w:p w14:paraId="519B4C67"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Khu di tích đền  Cố Trạch</w:t>
            </w:r>
          </w:p>
        </w:tc>
        <w:tc>
          <w:tcPr>
            <w:tcW w:w="3040" w:type="dxa"/>
            <w:tcBorders>
              <w:top w:val="nil"/>
              <w:left w:val="nil"/>
              <w:bottom w:val="single" w:sz="4" w:space="0" w:color="auto"/>
              <w:right w:val="single" w:sz="4" w:space="0" w:color="auto"/>
            </w:tcBorders>
            <w:vAlign w:val="center"/>
            <w:hideMark/>
          </w:tcPr>
          <w:p w14:paraId="519B4C68"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Lộc V</w:t>
            </w:r>
            <w:r w:rsidR="00E00918" w:rsidRPr="008E63BB">
              <w:rPr>
                <w:rFonts w:eastAsia="Times New Roman" w:cs="Arial"/>
                <w:sz w:val="24"/>
                <w:szCs w:val="24"/>
              </w:rPr>
              <w:t>ư</w:t>
            </w:r>
            <w:r w:rsidRPr="008E63BB">
              <w:rPr>
                <w:rFonts w:eastAsia="Times New Roman" w:cs="Arial"/>
                <w:sz w:val="24"/>
                <w:szCs w:val="24"/>
              </w:rPr>
              <w:softHyphen/>
              <w:t>ợng</w:t>
            </w:r>
          </w:p>
        </w:tc>
        <w:tc>
          <w:tcPr>
            <w:tcW w:w="660" w:type="dxa"/>
            <w:tcBorders>
              <w:top w:val="nil"/>
              <w:left w:val="nil"/>
              <w:bottom w:val="single" w:sz="4" w:space="0" w:color="auto"/>
              <w:right w:val="single" w:sz="4" w:space="0" w:color="auto"/>
            </w:tcBorders>
            <w:vAlign w:val="center"/>
            <w:hideMark/>
          </w:tcPr>
          <w:p w14:paraId="519B4C6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6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C"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6D"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6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3200" w:type="dxa"/>
            <w:tcBorders>
              <w:top w:val="nil"/>
              <w:left w:val="nil"/>
              <w:bottom w:val="single" w:sz="4" w:space="0" w:color="auto"/>
              <w:right w:val="single" w:sz="4" w:space="0" w:color="auto"/>
            </w:tcBorders>
            <w:noWrap/>
            <w:vAlign w:val="bottom"/>
            <w:hideMark/>
          </w:tcPr>
          <w:p w14:paraId="519B4C7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7D" w14:textId="77777777" w:rsidTr="000D31BD">
        <w:trPr>
          <w:trHeight w:val="630"/>
        </w:trPr>
        <w:tc>
          <w:tcPr>
            <w:tcW w:w="400" w:type="dxa"/>
            <w:tcBorders>
              <w:top w:val="nil"/>
              <w:left w:val="single" w:sz="4" w:space="0" w:color="auto"/>
              <w:bottom w:val="single" w:sz="4" w:space="0" w:color="auto"/>
              <w:right w:val="single" w:sz="4" w:space="0" w:color="auto"/>
            </w:tcBorders>
            <w:vAlign w:val="center"/>
            <w:hideMark/>
          </w:tcPr>
          <w:p w14:paraId="519B4C7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4</w:t>
            </w:r>
          </w:p>
        </w:tc>
        <w:tc>
          <w:tcPr>
            <w:tcW w:w="2980" w:type="dxa"/>
            <w:tcBorders>
              <w:top w:val="nil"/>
              <w:left w:val="nil"/>
              <w:bottom w:val="single" w:sz="4" w:space="0" w:color="auto"/>
              <w:right w:val="single" w:sz="4" w:space="0" w:color="auto"/>
            </w:tcBorders>
            <w:vAlign w:val="center"/>
            <w:hideMark/>
          </w:tcPr>
          <w:p w14:paraId="519B4C73"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Di tích lịch sử số 7- Bến Ngự</w:t>
            </w:r>
          </w:p>
        </w:tc>
        <w:tc>
          <w:tcPr>
            <w:tcW w:w="3040" w:type="dxa"/>
            <w:tcBorders>
              <w:top w:val="nil"/>
              <w:left w:val="nil"/>
              <w:bottom w:val="single" w:sz="4" w:space="0" w:color="auto"/>
              <w:right w:val="single" w:sz="4" w:space="0" w:color="auto"/>
            </w:tcBorders>
            <w:vAlign w:val="center"/>
            <w:hideMark/>
          </w:tcPr>
          <w:p w14:paraId="519B4C7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Số 7 Bến Ngự P. Phan Đình Phùng</w:t>
            </w:r>
          </w:p>
        </w:tc>
        <w:tc>
          <w:tcPr>
            <w:tcW w:w="660" w:type="dxa"/>
            <w:tcBorders>
              <w:top w:val="nil"/>
              <w:left w:val="nil"/>
              <w:bottom w:val="single" w:sz="4" w:space="0" w:color="auto"/>
              <w:right w:val="single" w:sz="4" w:space="0" w:color="auto"/>
            </w:tcBorders>
            <w:vAlign w:val="center"/>
            <w:hideMark/>
          </w:tcPr>
          <w:p w14:paraId="519B4C75"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76"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7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78"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7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7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7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vAlign w:val="center"/>
            <w:hideMark/>
          </w:tcPr>
          <w:p w14:paraId="519B4C7C" w14:textId="77777777" w:rsidR="007757F0" w:rsidRPr="008E63BB" w:rsidRDefault="007757F0" w:rsidP="0065184D">
            <w:pPr>
              <w:jc w:val="left"/>
              <w:rPr>
                <w:rFonts w:eastAsia="Times New Roman"/>
                <w:sz w:val="24"/>
                <w:szCs w:val="24"/>
              </w:rPr>
            </w:pPr>
            <w:r w:rsidRPr="008E63BB">
              <w:rPr>
                <w:rFonts w:eastAsia="Times New Roman"/>
                <w:sz w:val="24"/>
                <w:szCs w:val="24"/>
              </w:rPr>
              <w:t>Di tích được công nhận năm 1991</w:t>
            </w:r>
          </w:p>
        </w:tc>
      </w:tr>
      <w:tr w:rsidR="008D5BFE" w:rsidRPr="008E63BB" w14:paraId="519B4C89"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7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5</w:t>
            </w:r>
          </w:p>
        </w:tc>
        <w:tc>
          <w:tcPr>
            <w:tcW w:w="2980" w:type="dxa"/>
            <w:tcBorders>
              <w:top w:val="nil"/>
              <w:left w:val="nil"/>
              <w:bottom w:val="single" w:sz="4" w:space="0" w:color="auto"/>
              <w:right w:val="single" w:sz="4" w:space="0" w:color="auto"/>
            </w:tcBorders>
            <w:vAlign w:val="center"/>
            <w:hideMark/>
          </w:tcPr>
          <w:p w14:paraId="519B4C7F"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Cửa hàng cắt tóc d</w:t>
            </w:r>
            <w:r w:rsidRPr="008E63BB">
              <w:rPr>
                <w:rFonts w:eastAsia="Times New Roman" w:cs="Arial"/>
                <w:sz w:val="24"/>
                <w:szCs w:val="24"/>
              </w:rPr>
              <w:softHyphen/>
              <w:t>ới hầm</w:t>
            </w:r>
          </w:p>
        </w:tc>
        <w:tc>
          <w:tcPr>
            <w:tcW w:w="3040" w:type="dxa"/>
            <w:tcBorders>
              <w:top w:val="nil"/>
              <w:left w:val="nil"/>
              <w:bottom w:val="single" w:sz="4" w:space="0" w:color="auto"/>
              <w:right w:val="single" w:sz="4" w:space="0" w:color="auto"/>
            </w:tcBorders>
            <w:vAlign w:val="center"/>
            <w:hideMark/>
          </w:tcPr>
          <w:p w14:paraId="519B4C8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Đ</w:t>
            </w:r>
            <w:r w:rsidRPr="008E63BB">
              <w:rPr>
                <w:rFonts w:eastAsia="Times New Roman" w:cs="Arial"/>
                <w:sz w:val="24"/>
                <w:szCs w:val="24"/>
              </w:rPr>
              <w:softHyphen/>
              <w:t>ờng Nguyễn Du</w:t>
            </w:r>
          </w:p>
        </w:tc>
        <w:tc>
          <w:tcPr>
            <w:tcW w:w="660" w:type="dxa"/>
            <w:tcBorders>
              <w:top w:val="nil"/>
              <w:left w:val="nil"/>
              <w:bottom w:val="single" w:sz="4" w:space="0" w:color="auto"/>
              <w:right w:val="single" w:sz="4" w:space="0" w:color="auto"/>
            </w:tcBorders>
            <w:vAlign w:val="center"/>
            <w:hideMark/>
          </w:tcPr>
          <w:p w14:paraId="519B4C8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8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8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84"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85"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8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8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88"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95"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8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6</w:t>
            </w:r>
          </w:p>
        </w:tc>
        <w:tc>
          <w:tcPr>
            <w:tcW w:w="2980" w:type="dxa"/>
            <w:tcBorders>
              <w:top w:val="nil"/>
              <w:left w:val="nil"/>
              <w:bottom w:val="single" w:sz="4" w:space="0" w:color="auto"/>
              <w:right w:val="single" w:sz="4" w:space="0" w:color="auto"/>
            </w:tcBorders>
            <w:vAlign w:val="center"/>
            <w:hideMark/>
          </w:tcPr>
          <w:p w14:paraId="519B4C8B"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Cửa hàng ăn  uống d</w:t>
            </w:r>
            <w:r w:rsidRPr="008E63BB">
              <w:rPr>
                <w:rFonts w:eastAsia="Times New Roman" w:cs="Arial"/>
                <w:sz w:val="24"/>
                <w:szCs w:val="24"/>
              </w:rPr>
              <w:softHyphen/>
              <w:t>ới hầm</w:t>
            </w:r>
          </w:p>
        </w:tc>
        <w:tc>
          <w:tcPr>
            <w:tcW w:w="3040" w:type="dxa"/>
            <w:tcBorders>
              <w:top w:val="nil"/>
              <w:left w:val="nil"/>
              <w:bottom w:val="single" w:sz="4" w:space="0" w:color="auto"/>
              <w:right w:val="single" w:sz="4" w:space="0" w:color="auto"/>
            </w:tcBorders>
            <w:vAlign w:val="center"/>
            <w:hideMark/>
          </w:tcPr>
          <w:p w14:paraId="519B4C8C"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Đ</w:t>
            </w:r>
            <w:r w:rsidRPr="008E63BB">
              <w:rPr>
                <w:rFonts w:eastAsia="Times New Roman" w:cs="Arial"/>
                <w:sz w:val="24"/>
                <w:szCs w:val="24"/>
              </w:rPr>
              <w:softHyphen/>
              <w:t>ờng Trần H</w:t>
            </w:r>
            <w:r w:rsidRPr="008E63BB">
              <w:rPr>
                <w:rFonts w:eastAsia="Times New Roman" w:cs="Arial"/>
                <w:sz w:val="24"/>
                <w:szCs w:val="24"/>
              </w:rPr>
              <w:softHyphen/>
              <w:t>ng  Đạo</w:t>
            </w:r>
          </w:p>
        </w:tc>
        <w:tc>
          <w:tcPr>
            <w:tcW w:w="660" w:type="dxa"/>
            <w:tcBorders>
              <w:top w:val="nil"/>
              <w:left w:val="nil"/>
              <w:bottom w:val="single" w:sz="4" w:space="0" w:color="auto"/>
              <w:right w:val="single" w:sz="4" w:space="0" w:color="auto"/>
            </w:tcBorders>
            <w:vAlign w:val="center"/>
            <w:hideMark/>
          </w:tcPr>
          <w:p w14:paraId="519B4C8D"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8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8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0"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9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9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A1"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9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7</w:t>
            </w:r>
          </w:p>
        </w:tc>
        <w:tc>
          <w:tcPr>
            <w:tcW w:w="2980" w:type="dxa"/>
            <w:tcBorders>
              <w:top w:val="nil"/>
              <w:left w:val="nil"/>
              <w:bottom w:val="single" w:sz="4" w:space="0" w:color="auto"/>
              <w:right w:val="single" w:sz="4" w:space="0" w:color="auto"/>
            </w:tcBorders>
            <w:vAlign w:val="center"/>
            <w:hideMark/>
          </w:tcPr>
          <w:p w14:paraId="519B4C97"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Hầm chỉ huy Thành ủy</w:t>
            </w:r>
          </w:p>
        </w:tc>
        <w:tc>
          <w:tcPr>
            <w:tcW w:w="3040" w:type="dxa"/>
            <w:tcBorders>
              <w:top w:val="nil"/>
              <w:left w:val="nil"/>
              <w:bottom w:val="single" w:sz="4" w:space="0" w:color="auto"/>
              <w:right w:val="single" w:sz="4" w:space="0" w:color="auto"/>
            </w:tcBorders>
            <w:vAlign w:val="center"/>
            <w:hideMark/>
          </w:tcPr>
          <w:p w14:paraId="519B4C98"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Số 87 Đ</w:t>
            </w:r>
            <w:r w:rsidRPr="008E63BB">
              <w:rPr>
                <w:rFonts w:eastAsia="Times New Roman" w:cs="Arial"/>
                <w:sz w:val="24"/>
                <w:szCs w:val="24"/>
              </w:rPr>
              <w:softHyphen/>
              <w:t>ờng Quang Trung</w:t>
            </w:r>
          </w:p>
        </w:tc>
        <w:tc>
          <w:tcPr>
            <w:tcW w:w="660" w:type="dxa"/>
            <w:tcBorders>
              <w:top w:val="nil"/>
              <w:left w:val="nil"/>
              <w:bottom w:val="single" w:sz="4" w:space="0" w:color="auto"/>
              <w:right w:val="single" w:sz="4" w:space="0" w:color="auto"/>
            </w:tcBorders>
            <w:vAlign w:val="center"/>
            <w:hideMark/>
          </w:tcPr>
          <w:p w14:paraId="519B4C9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9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C"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D"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9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9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A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AD"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A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8</w:t>
            </w:r>
          </w:p>
        </w:tc>
        <w:tc>
          <w:tcPr>
            <w:tcW w:w="2980" w:type="dxa"/>
            <w:tcBorders>
              <w:top w:val="nil"/>
              <w:left w:val="nil"/>
              <w:bottom w:val="single" w:sz="4" w:space="0" w:color="auto"/>
              <w:right w:val="single" w:sz="4" w:space="0" w:color="auto"/>
            </w:tcBorders>
            <w:vAlign w:val="center"/>
            <w:hideMark/>
          </w:tcPr>
          <w:p w14:paraId="519B4CA3"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Bia Căm Thù</w:t>
            </w:r>
          </w:p>
        </w:tc>
        <w:tc>
          <w:tcPr>
            <w:tcW w:w="3040" w:type="dxa"/>
            <w:tcBorders>
              <w:top w:val="nil"/>
              <w:left w:val="nil"/>
              <w:bottom w:val="single" w:sz="4" w:space="0" w:color="auto"/>
              <w:right w:val="single" w:sz="4" w:space="0" w:color="auto"/>
            </w:tcBorders>
            <w:vAlign w:val="center"/>
            <w:hideMark/>
          </w:tcPr>
          <w:p w14:paraId="519B4CA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xml:space="preserve">Phố Hàng Thao </w:t>
            </w:r>
          </w:p>
        </w:tc>
        <w:tc>
          <w:tcPr>
            <w:tcW w:w="660" w:type="dxa"/>
            <w:tcBorders>
              <w:top w:val="nil"/>
              <w:left w:val="nil"/>
              <w:bottom w:val="single" w:sz="4" w:space="0" w:color="auto"/>
              <w:right w:val="single" w:sz="4" w:space="0" w:color="auto"/>
            </w:tcBorders>
            <w:vAlign w:val="center"/>
            <w:hideMark/>
          </w:tcPr>
          <w:p w14:paraId="519B4CA5"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A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A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A8"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A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A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A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AC"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B9" w14:textId="77777777" w:rsidTr="000D31BD">
        <w:trPr>
          <w:trHeight w:val="630"/>
        </w:trPr>
        <w:tc>
          <w:tcPr>
            <w:tcW w:w="400" w:type="dxa"/>
            <w:tcBorders>
              <w:top w:val="nil"/>
              <w:left w:val="single" w:sz="4" w:space="0" w:color="auto"/>
              <w:bottom w:val="single" w:sz="4" w:space="0" w:color="auto"/>
              <w:right w:val="single" w:sz="4" w:space="0" w:color="auto"/>
            </w:tcBorders>
            <w:vAlign w:val="center"/>
            <w:hideMark/>
          </w:tcPr>
          <w:p w14:paraId="519B4CA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9</w:t>
            </w:r>
          </w:p>
        </w:tc>
        <w:tc>
          <w:tcPr>
            <w:tcW w:w="2980" w:type="dxa"/>
            <w:tcBorders>
              <w:top w:val="nil"/>
              <w:left w:val="nil"/>
              <w:bottom w:val="single" w:sz="4" w:space="0" w:color="auto"/>
              <w:right w:val="single" w:sz="4" w:space="0" w:color="auto"/>
            </w:tcBorders>
            <w:vAlign w:val="center"/>
            <w:hideMark/>
          </w:tcPr>
          <w:p w14:paraId="519B4CAF"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Chùa Đệ Tứ</w:t>
            </w:r>
          </w:p>
        </w:tc>
        <w:tc>
          <w:tcPr>
            <w:tcW w:w="3040" w:type="dxa"/>
            <w:tcBorders>
              <w:top w:val="nil"/>
              <w:left w:val="nil"/>
              <w:bottom w:val="single" w:sz="4" w:space="0" w:color="auto"/>
              <w:right w:val="single" w:sz="4" w:space="0" w:color="auto"/>
            </w:tcBorders>
            <w:vAlign w:val="center"/>
            <w:hideMark/>
          </w:tcPr>
          <w:p w14:paraId="519B4CB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Lộc Hạ</w:t>
            </w:r>
          </w:p>
        </w:tc>
        <w:tc>
          <w:tcPr>
            <w:tcW w:w="660" w:type="dxa"/>
            <w:tcBorders>
              <w:top w:val="nil"/>
              <w:left w:val="nil"/>
              <w:bottom w:val="single" w:sz="4" w:space="0" w:color="auto"/>
              <w:right w:val="single" w:sz="4" w:space="0" w:color="auto"/>
            </w:tcBorders>
            <w:vAlign w:val="center"/>
            <w:hideMark/>
          </w:tcPr>
          <w:p w14:paraId="519B4CB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B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B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B4"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B5"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B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B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vAlign w:val="center"/>
            <w:hideMark/>
          </w:tcPr>
          <w:p w14:paraId="519B4CB8" w14:textId="77777777" w:rsidR="007757F0" w:rsidRPr="008E63BB" w:rsidRDefault="007757F0" w:rsidP="0065184D">
            <w:pPr>
              <w:jc w:val="left"/>
              <w:rPr>
                <w:rFonts w:eastAsia="Times New Roman"/>
                <w:sz w:val="24"/>
                <w:szCs w:val="24"/>
              </w:rPr>
            </w:pPr>
            <w:r w:rsidRPr="008E63BB">
              <w:rPr>
                <w:rFonts w:eastAsia="Times New Roman"/>
                <w:sz w:val="24"/>
                <w:szCs w:val="24"/>
              </w:rPr>
              <w:t>Di tích được công nhận năm 2004</w:t>
            </w:r>
          </w:p>
        </w:tc>
      </w:tr>
      <w:tr w:rsidR="008D5BFE" w:rsidRPr="008E63BB" w14:paraId="519B4CC5" w14:textId="77777777" w:rsidTr="000D31BD">
        <w:trPr>
          <w:trHeight w:val="600"/>
        </w:trPr>
        <w:tc>
          <w:tcPr>
            <w:tcW w:w="400" w:type="dxa"/>
            <w:tcBorders>
              <w:top w:val="nil"/>
              <w:left w:val="single" w:sz="4" w:space="0" w:color="auto"/>
              <w:bottom w:val="single" w:sz="4" w:space="0" w:color="auto"/>
              <w:right w:val="single" w:sz="4" w:space="0" w:color="auto"/>
            </w:tcBorders>
            <w:vAlign w:val="center"/>
            <w:hideMark/>
          </w:tcPr>
          <w:p w14:paraId="519B4CB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10</w:t>
            </w:r>
          </w:p>
        </w:tc>
        <w:tc>
          <w:tcPr>
            <w:tcW w:w="2980" w:type="dxa"/>
            <w:tcBorders>
              <w:top w:val="nil"/>
              <w:left w:val="nil"/>
              <w:bottom w:val="single" w:sz="4" w:space="0" w:color="auto"/>
              <w:right w:val="single" w:sz="4" w:space="0" w:color="auto"/>
            </w:tcBorders>
            <w:vAlign w:val="center"/>
            <w:hideMark/>
          </w:tcPr>
          <w:p w14:paraId="519B4CBB"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Khu chỉ huy sở Nhà máy Dệt Nam Định</w:t>
            </w:r>
          </w:p>
        </w:tc>
        <w:tc>
          <w:tcPr>
            <w:tcW w:w="3040" w:type="dxa"/>
            <w:tcBorders>
              <w:top w:val="nil"/>
              <w:left w:val="nil"/>
              <w:bottom w:val="single" w:sz="4" w:space="0" w:color="auto"/>
              <w:right w:val="single" w:sz="4" w:space="0" w:color="auto"/>
            </w:tcBorders>
            <w:vAlign w:val="center"/>
            <w:hideMark/>
          </w:tcPr>
          <w:p w14:paraId="519B4CBC"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Nhà máy Dệt thành phố Nam Định</w:t>
            </w:r>
          </w:p>
        </w:tc>
        <w:tc>
          <w:tcPr>
            <w:tcW w:w="660" w:type="dxa"/>
            <w:tcBorders>
              <w:top w:val="nil"/>
              <w:left w:val="nil"/>
              <w:bottom w:val="single" w:sz="4" w:space="0" w:color="auto"/>
              <w:right w:val="single" w:sz="4" w:space="0" w:color="auto"/>
            </w:tcBorders>
            <w:vAlign w:val="center"/>
            <w:hideMark/>
          </w:tcPr>
          <w:p w14:paraId="519B4CBD"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B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B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0"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C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C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D1" w14:textId="77777777" w:rsidTr="000D31BD">
        <w:trPr>
          <w:trHeight w:val="600"/>
        </w:trPr>
        <w:tc>
          <w:tcPr>
            <w:tcW w:w="400" w:type="dxa"/>
            <w:tcBorders>
              <w:top w:val="nil"/>
              <w:left w:val="single" w:sz="4" w:space="0" w:color="auto"/>
              <w:bottom w:val="single" w:sz="4" w:space="0" w:color="auto"/>
              <w:right w:val="single" w:sz="4" w:space="0" w:color="auto"/>
            </w:tcBorders>
            <w:vAlign w:val="center"/>
            <w:hideMark/>
          </w:tcPr>
          <w:p w14:paraId="519B4CC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11</w:t>
            </w:r>
          </w:p>
        </w:tc>
        <w:tc>
          <w:tcPr>
            <w:tcW w:w="2980" w:type="dxa"/>
            <w:tcBorders>
              <w:top w:val="nil"/>
              <w:left w:val="nil"/>
              <w:bottom w:val="single" w:sz="4" w:space="0" w:color="auto"/>
              <w:right w:val="single" w:sz="4" w:space="0" w:color="auto"/>
            </w:tcBorders>
            <w:vAlign w:val="center"/>
            <w:hideMark/>
          </w:tcPr>
          <w:p w14:paraId="519B4CC7"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Khu di tích phố Hàng Thao</w:t>
            </w:r>
          </w:p>
        </w:tc>
        <w:tc>
          <w:tcPr>
            <w:tcW w:w="3040" w:type="dxa"/>
            <w:tcBorders>
              <w:top w:val="nil"/>
              <w:left w:val="nil"/>
              <w:bottom w:val="single" w:sz="4" w:space="0" w:color="auto"/>
              <w:right w:val="single" w:sz="4" w:space="0" w:color="auto"/>
            </w:tcBorders>
            <w:vAlign w:val="center"/>
            <w:hideMark/>
          </w:tcPr>
          <w:p w14:paraId="519B4CC8"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Phố Hàng Thao. P.Trần H</w:t>
            </w:r>
            <w:r w:rsidRPr="008E63BB">
              <w:rPr>
                <w:rFonts w:eastAsia="Times New Roman" w:cs="Arial"/>
                <w:sz w:val="24"/>
                <w:szCs w:val="24"/>
              </w:rPr>
              <w:softHyphen/>
              <w:t>ng Đạo</w:t>
            </w:r>
          </w:p>
        </w:tc>
        <w:tc>
          <w:tcPr>
            <w:tcW w:w="660" w:type="dxa"/>
            <w:tcBorders>
              <w:top w:val="nil"/>
              <w:left w:val="nil"/>
              <w:bottom w:val="single" w:sz="4" w:space="0" w:color="auto"/>
              <w:right w:val="single" w:sz="4" w:space="0" w:color="auto"/>
            </w:tcBorders>
            <w:vAlign w:val="center"/>
            <w:hideMark/>
          </w:tcPr>
          <w:p w14:paraId="519B4CC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C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C"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D"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C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C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D0" w14:textId="77777777" w:rsidR="007757F0" w:rsidRPr="008E63BB" w:rsidRDefault="007757F0" w:rsidP="0065184D">
            <w:pPr>
              <w:jc w:val="left"/>
              <w:rPr>
                <w:rFonts w:eastAsia="Times New Roman" w:cs="Arial"/>
                <w:b/>
                <w:bCs/>
                <w:i/>
                <w:iCs/>
                <w:sz w:val="24"/>
                <w:szCs w:val="24"/>
              </w:rPr>
            </w:pPr>
            <w:r w:rsidRPr="008E63BB">
              <w:rPr>
                <w:rFonts w:eastAsia="Times New Roman" w:cs="Arial"/>
                <w:b/>
                <w:bCs/>
                <w:i/>
                <w:iCs/>
                <w:sz w:val="24"/>
                <w:szCs w:val="24"/>
              </w:rPr>
              <w:t> </w:t>
            </w:r>
          </w:p>
        </w:tc>
      </w:tr>
      <w:tr w:rsidR="008D5BFE" w:rsidRPr="008E63BB" w14:paraId="519B4CDD"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D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12</w:t>
            </w:r>
          </w:p>
        </w:tc>
        <w:tc>
          <w:tcPr>
            <w:tcW w:w="2980" w:type="dxa"/>
            <w:tcBorders>
              <w:top w:val="nil"/>
              <w:left w:val="nil"/>
              <w:bottom w:val="single" w:sz="4" w:space="0" w:color="auto"/>
              <w:right w:val="single" w:sz="4" w:space="0" w:color="auto"/>
            </w:tcBorders>
            <w:vAlign w:val="center"/>
            <w:hideMark/>
          </w:tcPr>
          <w:p w14:paraId="519B4CD3"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Chựa Thỏ</w:t>
            </w:r>
          </w:p>
        </w:tc>
        <w:tc>
          <w:tcPr>
            <w:tcW w:w="3040" w:type="dxa"/>
            <w:tcBorders>
              <w:top w:val="nil"/>
              <w:left w:val="nil"/>
              <w:bottom w:val="single" w:sz="4" w:space="0" w:color="auto"/>
              <w:right w:val="single" w:sz="4" w:space="0" w:color="auto"/>
            </w:tcBorders>
            <w:vAlign w:val="center"/>
            <w:hideMark/>
          </w:tcPr>
          <w:p w14:paraId="519B4CD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Xã Lộc Hòa</w:t>
            </w:r>
          </w:p>
        </w:tc>
        <w:tc>
          <w:tcPr>
            <w:tcW w:w="660" w:type="dxa"/>
            <w:tcBorders>
              <w:top w:val="nil"/>
              <w:left w:val="nil"/>
              <w:bottom w:val="single" w:sz="4" w:space="0" w:color="auto"/>
              <w:right w:val="single" w:sz="4" w:space="0" w:color="auto"/>
            </w:tcBorders>
            <w:vAlign w:val="center"/>
            <w:hideMark/>
          </w:tcPr>
          <w:p w14:paraId="519B4CD5"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D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D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D8"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D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D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D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DC"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CE9"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D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13</w:t>
            </w:r>
          </w:p>
        </w:tc>
        <w:tc>
          <w:tcPr>
            <w:tcW w:w="2980" w:type="dxa"/>
            <w:tcBorders>
              <w:top w:val="nil"/>
              <w:left w:val="nil"/>
              <w:bottom w:val="single" w:sz="4" w:space="0" w:color="auto"/>
              <w:right w:val="single" w:sz="4" w:space="0" w:color="auto"/>
            </w:tcBorders>
            <w:vAlign w:val="center"/>
            <w:hideMark/>
          </w:tcPr>
          <w:p w14:paraId="519B4CDF"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Đình Kênh</w:t>
            </w:r>
          </w:p>
        </w:tc>
        <w:tc>
          <w:tcPr>
            <w:tcW w:w="3040" w:type="dxa"/>
            <w:tcBorders>
              <w:top w:val="nil"/>
              <w:left w:val="nil"/>
              <w:bottom w:val="single" w:sz="4" w:space="0" w:color="auto"/>
              <w:right w:val="single" w:sz="4" w:space="0" w:color="auto"/>
            </w:tcBorders>
            <w:vAlign w:val="center"/>
            <w:hideMark/>
          </w:tcPr>
          <w:p w14:paraId="519B4CE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Lộc V</w:t>
            </w:r>
            <w:r w:rsidRPr="008E63BB">
              <w:rPr>
                <w:rFonts w:eastAsia="Times New Roman" w:cs="Arial"/>
                <w:sz w:val="24"/>
                <w:szCs w:val="24"/>
              </w:rPr>
              <w:softHyphen/>
              <w:t>ợng</w:t>
            </w:r>
          </w:p>
        </w:tc>
        <w:tc>
          <w:tcPr>
            <w:tcW w:w="660" w:type="dxa"/>
            <w:tcBorders>
              <w:top w:val="nil"/>
              <w:left w:val="nil"/>
              <w:bottom w:val="single" w:sz="4" w:space="0" w:color="auto"/>
              <w:right w:val="single" w:sz="4" w:space="0" w:color="auto"/>
            </w:tcBorders>
            <w:vAlign w:val="center"/>
            <w:hideMark/>
          </w:tcPr>
          <w:p w14:paraId="519B4CE1"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 </w:t>
            </w:r>
          </w:p>
        </w:tc>
        <w:tc>
          <w:tcPr>
            <w:tcW w:w="660" w:type="dxa"/>
            <w:tcBorders>
              <w:top w:val="nil"/>
              <w:left w:val="nil"/>
              <w:bottom w:val="single" w:sz="4" w:space="0" w:color="auto"/>
              <w:right w:val="single" w:sz="4" w:space="0" w:color="auto"/>
            </w:tcBorders>
            <w:vAlign w:val="center"/>
            <w:hideMark/>
          </w:tcPr>
          <w:p w14:paraId="519B4CE2"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 </w:t>
            </w:r>
          </w:p>
        </w:tc>
        <w:tc>
          <w:tcPr>
            <w:tcW w:w="660" w:type="dxa"/>
            <w:tcBorders>
              <w:top w:val="nil"/>
              <w:left w:val="nil"/>
              <w:bottom w:val="single" w:sz="4" w:space="0" w:color="auto"/>
              <w:right w:val="single" w:sz="4" w:space="0" w:color="auto"/>
            </w:tcBorders>
            <w:vAlign w:val="center"/>
            <w:hideMark/>
          </w:tcPr>
          <w:p w14:paraId="519B4CE3"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 </w:t>
            </w:r>
          </w:p>
        </w:tc>
        <w:tc>
          <w:tcPr>
            <w:tcW w:w="660" w:type="dxa"/>
            <w:tcBorders>
              <w:top w:val="nil"/>
              <w:left w:val="nil"/>
              <w:bottom w:val="single" w:sz="4" w:space="0" w:color="auto"/>
              <w:right w:val="single" w:sz="4" w:space="0" w:color="auto"/>
            </w:tcBorders>
            <w:vAlign w:val="center"/>
            <w:hideMark/>
          </w:tcPr>
          <w:p w14:paraId="519B4CE4"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x</w:t>
            </w:r>
          </w:p>
        </w:tc>
        <w:tc>
          <w:tcPr>
            <w:tcW w:w="660" w:type="dxa"/>
            <w:tcBorders>
              <w:top w:val="nil"/>
              <w:left w:val="nil"/>
              <w:bottom w:val="single" w:sz="4" w:space="0" w:color="auto"/>
              <w:right w:val="single" w:sz="4" w:space="0" w:color="auto"/>
            </w:tcBorders>
            <w:vAlign w:val="center"/>
            <w:hideMark/>
          </w:tcPr>
          <w:p w14:paraId="519B4CE5"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x</w:t>
            </w:r>
          </w:p>
        </w:tc>
        <w:tc>
          <w:tcPr>
            <w:tcW w:w="660" w:type="dxa"/>
            <w:tcBorders>
              <w:top w:val="nil"/>
              <w:left w:val="nil"/>
              <w:bottom w:val="single" w:sz="4" w:space="0" w:color="auto"/>
              <w:right w:val="single" w:sz="4" w:space="0" w:color="auto"/>
            </w:tcBorders>
            <w:vAlign w:val="center"/>
            <w:hideMark/>
          </w:tcPr>
          <w:p w14:paraId="519B4CE6"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 </w:t>
            </w:r>
          </w:p>
        </w:tc>
        <w:tc>
          <w:tcPr>
            <w:tcW w:w="660" w:type="dxa"/>
            <w:tcBorders>
              <w:top w:val="nil"/>
              <w:left w:val="nil"/>
              <w:bottom w:val="single" w:sz="4" w:space="0" w:color="auto"/>
              <w:right w:val="single" w:sz="4" w:space="0" w:color="auto"/>
            </w:tcBorders>
            <w:vAlign w:val="center"/>
            <w:hideMark/>
          </w:tcPr>
          <w:p w14:paraId="519B4CE7" w14:textId="77777777" w:rsidR="007757F0" w:rsidRPr="008E63BB" w:rsidRDefault="007757F0" w:rsidP="0065184D">
            <w:pPr>
              <w:jc w:val="center"/>
              <w:rPr>
                <w:rFonts w:eastAsia="Times New Roman" w:cs="Arial"/>
                <w:b/>
                <w:bCs/>
                <w:i/>
                <w:iCs/>
                <w:sz w:val="24"/>
                <w:szCs w:val="24"/>
              </w:rPr>
            </w:pPr>
            <w:r w:rsidRPr="008E63BB">
              <w:rPr>
                <w:rFonts w:eastAsia="Times New Roman" w:cs="Arial"/>
                <w:b/>
                <w:bCs/>
                <w:i/>
                <w:iCs/>
                <w:sz w:val="24"/>
                <w:szCs w:val="24"/>
              </w:rPr>
              <w:t> </w:t>
            </w:r>
          </w:p>
        </w:tc>
        <w:tc>
          <w:tcPr>
            <w:tcW w:w="3200" w:type="dxa"/>
            <w:tcBorders>
              <w:top w:val="nil"/>
              <w:left w:val="nil"/>
              <w:bottom w:val="single" w:sz="4" w:space="0" w:color="auto"/>
              <w:right w:val="single" w:sz="4" w:space="0" w:color="auto"/>
            </w:tcBorders>
            <w:noWrap/>
            <w:vAlign w:val="bottom"/>
            <w:hideMark/>
          </w:tcPr>
          <w:p w14:paraId="519B4CE8" w14:textId="77777777" w:rsidR="007757F0" w:rsidRPr="008E63BB" w:rsidRDefault="007757F0" w:rsidP="0065184D">
            <w:pPr>
              <w:jc w:val="left"/>
              <w:rPr>
                <w:rFonts w:eastAsia="Times New Roman" w:cs="Arial"/>
                <w:b/>
                <w:bCs/>
                <w:i/>
                <w:iCs/>
                <w:sz w:val="24"/>
                <w:szCs w:val="24"/>
              </w:rPr>
            </w:pPr>
            <w:r w:rsidRPr="008E63BB">
              <w:rPr>
                <w:rFonts w:eastAsia="Times New Roman" w:cs="Arial"/>
                <w:b/>
                <w:bCs/>
                <w:i/>
                <w:iCs/>
                <w:sz w:val="24"/>
                <w:szCs w:val="24"/>
              </w:rPr>
              <w:t> </w:t>
            </w:r>
          </w:p>
        </w:tc>
      </w:tr>
      <w:tr w:rsidR="008D5BFE" w:rsidRPr="008E63BB" w14:paraId="519B4CF5" w14:textId="77777777" w:rsidTr="000D31BD">
        <w:trPr>
          <w:trHeight w:val="300"/>
        </w:trPr>
        <w:tc>
          <w:tcPr>
            <w:tcW w:w="400" w:type="dxa"/>
            <w:tcBorders>
              <w:top w:val="nil"/>
              <w:left w:val="single" w:sz="4" w:space="0" w:color="auto"/>
              <w:bottom w:val="single" w:sz="4" w:space="0" w:color="auto"/>
              <w:right w:val="single" w:sz="4" w:space="0" w:color="auto"/>
            </w:tcBorders>
            <w:vAlign w:val="center"/>
            <w:hideMark/>
          </w:tcPr>
          <w:p w14:paraId="519B4CE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lastRenderedPageBreak/>
              <w:t>14</w:t>
            </w:r>
          </w:p>
        </w:tc>
        <w:tc>
          <w:tcPr>
            <w:tcW w:w="2980" w:type="dxa"/>
            <w:tcBorders>
              <w:top w:val="nil"/>
              <w:left w:val="nil"/>
              <w:bottom w:val="single" w:sz="4" w:space="0" w:color="auto"/>
              <w:right w:val="single" w:sz="4" w:space="0" w:color="auto"/>
            </w:tcBorders>
            <w:vAlign w:val="center"/>
            <w:hideMark/>
          </w:tcPr>
          <w:p w14:paraId="519B4CEB"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Đình Tức Mặc</w:t>
            </w:r>
          </w:p>
        </w:tc>
        <w:tc>
          <w:tcPr>
            <w:tcW w:w="3040" w:type="dxa"/>
            <w:tcBorders>
              <w:top w:val="nil"/>
              <w:left w:val="nil"/>
              <w:bottom w:val="single" w:sz="4" w:space="0" w:color="auto"/>
              <w:right w:val="single" w:sz="4" w:space="0" w:color="auto"/>
            </w:tcBorders>
            <w:vAlign w:val="center"/>
            <w:hideMark/>
          </w:tcPr>
          <w:p w14:paraId="519B4CEC"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Lộc V</w:t>
            </w:r>
            <w:r w:rsidRPr="008E63BB">
              <w:rPr>
                <w:rFonts w:eastAsia="Times New Roman" w:cs="Arial"/>
                <w:sz w:val="24"/>
                <w:szCs w:val="24"/>
              </w:rPr>
              <w:softHyphen/>
            </w:r>
            <w:r w:rsidR="00E00918" w:rsidRPr="008E63BB">
              <w:rPr>
                <w:rFonts w:eastAsia="Times New Roman" w:cs="Arial"/>
                <w:sz w:val="24"/>
                <w:szCs w:val="24"/>
              </w:rPr>
              <w:t>ư</w:t>
            </w:r>
            <w:r w:rsidRPr="008E63BB">
              <w:rPr>
                <w:rFonts w:eastAsia="Times New Roman" w:cs="Arial"/>
                <w:sz w:val="24"/>
                <w:szCs w:val="24"/>
              </w:rPr>
              <w:t>ợng</w:t>
            </w:r>
          </w:p>
        </w:tc>
        <w:tc>
          <w:tcPr>
            <w:tcW w:w="660" w:type="dxa"/>
            <w:tcBorders>
              <w:top w:val="nil"/>
              <w:left w:val="nil"/>
              <w:bottom w:val="single" w:sz="4" w:space="0" w:color="auto"/>
              <w:right w:val="single" w:sz="4" w:space="0" w:color="auto"/>
            </w:tcBorders>
            <w:vAlign w:val="center"/>
            <w:hideMark/>
          </w:tcPr>
          <w:p w14:paraId="519B4CED"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E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EF"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F0"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F1"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nil"/>
              <w:left w:val="nil"/>
              <w:bottom w:val="single" w:sz="4" w:space="0" w:color="auto"/>
              <w:right w:val="single" w:sz="4" w:space="0" w:color="auto"/>
            </w:tcBorders>
            <w:vAlign w:val="center"/>
            <w:hideMark/>
          </w:tcPr>
          <w:p w14:paraId="519B4CF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nil"/>
              <w:left w:val="nil"/>
              <w:bottom w:val="single" w:sz="4" w:space="0" w:color="auto"/>
              <w:right w:val="single" w:sz="4" w:space="0" w:color="auto"/>
            </w:tcBorders>
            <w:vAlign w:val="center"/>
            <w:hideMark/>
          </w:tcPr>
          <w:p w14:paraId="519B4CF3"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nil"/>
              <w:left w:val="nil"/>
              <w:bottom w:val="single" w:sz="4" w:space="0" w:color="auto"/>
              <w:right w:val="single" w:sz="4" w:space="0" w:color="auto"/>
            </w:tcBorders>
            <w:noWrap/>
            <w:vAlign w:val="bottom"/>
            <w:hideMark/>
          </w:tcPr>
          <w:p w14:paraId="519B4CF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D01" w14:textId="77777777" w:rsidTr="000D31BD">
        <w:trPr>
          <w:trHeight w:val="315"/>
        </w:trPr>
        <w:tc>
          <w:tcPr>
            <w:tcW w:w="400" w:type="dxa"/>
            <w:tcBorders>
              <w:top w:val="single" w:sz="4" w:space="0" w:color="auto"/>
              <w:left w:val="single" w:sz="4" w:space="0" w:color="auto"/>
              <w:bottom w:val="single" w:sz="4" w:space="0" w:color="auto"/>
              <w:right w:val="single" w:sz="4" w:space="0" w:color="auto"/>
            </w:tcBorders>
            <w:vAlign w:val="center"/>
            <w:hideMark/>
          </w:tcPr>
          <w:p w14:paraId="519B4CF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15</w:t>
            </w:r>
          </w:p>
        </w:tc>
        <w:tc>
          <w:tcPr>
            <w:tcW w:w="2980" w:type="dxa"/>
            <w:tcBorders>
              <w:top w:val="single" w:sz="4" w:space="0" w:color="auto"/>
              <w:left w:val="single" w:sz="4" w:space="0" w:color="auto"/>
              <w:bottom w:val="single" w:sz="4" w:space="0" w:color="auto"/>
              <w:right w:val="single" w:sz="4" w:space="0" w:color="auto"/>
            </w:tcBorders>
            <w:vAlign w:val="center"/>
            <w:hideMark/>
          </w:tcPr>
          <w:p w14:paraId="519B4CF7"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Đình Thôn Vĩnh Tr</w:t>
            </w:r>
            <w:r w:rsidRPr="008E63BB">
              <w:rPr>
                <w:rFonts w:eastAsia="Times New Roman" w:cs="Arial"/>
                <w:sz w:val="24"/>
                <w:szCs w:val="24"/>
              </w:rPr>
              <w:softHyphen/>
              <w:t>ờng</w:t>
            </w:r>
          </w:p>
        </w:tc>
        <w:tc>
          <w:tcPr>
            <w:tcW w:w="3040" w:type="dxa"/>
            <w:tcBorders>
              <w:top w:val="single" w:sz="4" w:space="0" w:color="auto"/>
              <w:left w:val="single" w:sz="4" w:space="0" w:color="auto"/>
              <w:bottom w:val="single" w:sz="4" w:space="0" w:color="auto"/>
              <w:right w:val="single" w:sz="4" w:space="0" w:color="auto"/>
            </w:tcBorders>
            <w:vAlign w:val="center"/>
            <w:hideMark/>
          </w:tcPr>
          <w:p w14:paraId="519B4CF8"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Lộc V</w:t>
            </w:r>
            <w:r w:rsidR="00E00918" w:rsidRPr="008E63BB">
              <w:rPr>
                <w:rFonts w:eastAsia="Times New Roman" w:cs="Arial"/>
                <w:sz w:val="24"/>
                <w:szCs w:val="24"/>
              </w:rPr>
              <w:t>ư</w:t>
            </w:r>
            <w:r w:rsidRPr="008E63BB">
              <w:rPr>
                <w:rFonts w:eastAsia="Times New Roman" w:cs="Arial"/>
                <w:sz w:val="24"/>
                <w:szCs w:val="24"/>
              </w:rPr>
              <w:softHyphen/>
              <w:t>ợng</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9"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 </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A"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 </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B"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 </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C"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x</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D"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x</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E"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 </w:t>
            </w:r>
          </w:p>
        </w:tc>
        <w:tc>
          <w:tcPr>
            <w:tcW w:w="660" w:type="dxa"/>
            <w:tcBorders>
              <w:top w:val="single" w:sz="4" w:space="0" w:color="auto"/>
              <w:left w:val="single" w:sz="4" w:space="0" w:color="auto"/>
              <w:bottom w:val="single" w:sz="4" w:space="0" w:color="auto"/>
              <w:right w:val="single" w:sz="4" w:space="0" w:color="auto"/>
            </w:tcBorders>
            <w:vAlign w:val="center"/>
            <w:hideMark/>
          </w:tcPr>
          <w:p w14:paraId="519B4CFF" w14:textId="77777777" w:rsidR="007757F0" w:rsidRPr="008E63BB" w:rsidRDefault="007757F0" w:rsidP="0065184D">
            <w:pPr>
              <w:jc w:val="center"/>
              <w:rPr>
                <w:rFonts w:eastAsia="Times New Roman" w:cs="Arial"/>
                <w:i/>
                <w:iCs/>
                <w:sz w:val="24"/>
                <w:szCs w:val="24"/>
              </w:rPr>
            </w:pPr>
            <w:r w:rsidRPr="008E63BB">
              <w:rPr>
                <w:rFonts w:eastAsia="Times New Roman" w:cs="Arial"/>
                <w:i/>
                <w:iCs/>
                <w:sz w:val="24"/>
                <w:szCs w:val="24"/>
              </w:rPr>
              <w:t> </w:t>
            </w:r>
          </w:p>
        </w:tc>
        <w:tc>
          <w:tcPr>
            <w:tcW w:w="3200" w:type="dxa"/>
            <w:tcBorders>
              <w:top w:val="single" w:sz="4" w:space="0" w:color="auto"/>
              <w:left w:val="single" w:sz="4" w:space="0" w:color="auto"/>
              <w:bottom w:val="single" w:sz="4" w:space="0" w:color="auto"/>
              <w:right w:val="single" w:sz="4" w:space="0" w:color="auto"/>
            </w:tcBorders>
            <w:noWrap/>
            <w:vAlign w:val="bottom"/>
            <w:hideMark/>
          </w:tcPr>
          <w:p w14:paraId="519B4D00"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 </w:t>
            </w:r>
          </w:p>
        </w:tc>
      </w:tr>
      <w:tr w:rsidR="008D5BFE" w:rsidRPr="008E63BB" w14:paraId="519B4D0D" w14:textId="77777777" w:rsidTr="000D31BD">
        <w:trPr>
          <w:trHeight w:val="300"/>
        </w:trPr>
        <w:tc>
          <w:tcPr>
            <w:tcW w:w="400" w:type="dxa"/>
            <w:tcBorders>
              <w:top w:val="single" w:sz="4" w:space="0" w:color="auto"/>
              <w:left w:val="single" w:sz="4" w:space="0" w:color="auto"/>
              <w:bottom w:val="single" w:sz="4" w:space="0" w:color="auto"/>
              <w:right w:val="single" w:sz="4" w:space="0" w:color="auto"/>
            </w:tcBorders>
            <w:vAlign w:val="center"/>
            <w:hideMark/>
          </w:tcPr>
          <w:p w14:paraId="519B4D0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16</w:t>
            </w:r>
          </w:p>
        </w:tc>
        <w:tc>
          <w:tcPr>
            <w:tcW w:w="2980" w:type="dxa"/>
            <w:tcBorders>
              <w:top w:val="single" w:sz="4" w:space="0" w:color="auto"/>
              <w:left w:val="nil"/>
              <w:bottom w:val="single" w:sz="4" w:space="0" w:color="auto"/>
              <w:right w:val="single" w:sz="4" w:space="0" w:color="auto"/>
            </w:tcBorders>
            <w:vAlign w:val="center"/>
            <w:hideMark/>
          </w:tcPr>
          <w:p w14:paraId="519B4D03"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Nhà Thờ Họ- Trần Thọ</w:t>
            </w:r>
          </w:p>
        </w:tc>
        <w:tc>
          <w:tcPr>
            <w:tcW w:w="3040" w:type="dxa"/>
            <w:tcBorders>
              <w:top w:val="single" w:sz="4" w:space="0" w:color="auto"/>
              <w:left w:val="nil"/>
              <w:bottom w:val="single" w:sz="4" w:space="0" w:color="auto"/>
              <w:right w:val="single" w:sz="4" w:space="0" w:color="auto"/>
            </w:tcBorders>
            <w:vAlign w:val="center"/>
            <w:hideMark/>
          </w:tcPr>
          <w:p w14:paraId="519B4D04" w14:textId="77777777" w:rsidR="007757F0" w:rsidRPr="008E63BB" w:rsidRDefault="007757F0" w:rsidP="0065184D">
            <w:pPr>
              <w:jc w:val="left"/>
              <w:rPr>
                <w:rFonts w:eastAsia="Times New Roman" w:cs="Arial"/>
                <w:sz w:val="24"/>
                <w:szCs w:val="24"/>
              </w:rPr>
            </w:pPr>
            <w:r w:rsidRPr="008E63BB">
              <w:rPr>
                <w:rFonts w:eastAsia="Times New Roman" w:cs="Arial"/>
                <w:sz w:val="24"/>
                <w:szCs w:val="24"/>
              </w:rPr>
              <w:t>Ph</w:t>
            </w:r>
            <w:r w:rsidRPr="008E63BB">
              <w:rPr>
                <w:rFonts w:eastAsia="Times New Roman" w:cs="Arial"/>
                <w:sz w:val="24"/>
                <w:szCs w:val="24"/>
              </w:rPr>
              <w:softHyphen/>
              <w:t>ờng Vị Hoàng</w:t>
            </w:r>
          </w:p>
        </w:tc>
        <w:tc>
          <w:tcPr>
            <w:tcW w:w="660" w:type="dxa"/>
            <w:tcBorders>
              <w:top w:val="single" w:sz="4" w:space="0" w:color="auto"/>
              <w:left w:val="nil"/>
              <w:bottom w:val="single" w:sz="4" w:space="0" w:color="auto"/>
              <w:right w:val="single" w:sz="4" w:space="0" w:color="auto"/>
            </w:tcBorders>
            <w:vAlign w:val="center"/>
            <w:hideMark/>
          </w:tcPr>
          <w:p w14:paraId="519B4D05"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D0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D07"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D08"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single" w:sz="4" w:space="0" w:color="auto"/>
              <w:left w:val="nil"/>
              <w:bottom w:val="single" w:sz="4" w:space="0" w:color="auto"/>
              <w:right w:val="single" w:sz="4" w:space="0" w:color="auto"/>
            </w:tcBorders>
            <w:vAlign w:val="center"/>
            <w:hideMark/>
          </w:tcPr>
          <w:p w14:paraId="519B4D09"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x</w:t>
            </w:r>
          </w:p>
        </w:tc>
        <w:tc>
          <w:tcPr>
            <w:tcW w:w="660" w:type="dxa"/>
            <w:tcBorders>
              <w:top w:val="single" w:sz="4" w:space="0" w:color="auto"/>
              <w:left w:val="nil"/>
              <w:bottom w:val="single" w:sz="4" w:space="0" w:color="auto"/>
              <w:right w:val="single" w:sz="4" w:space="0" w:color="auto"/>
            </w:tcBorders>
            <w:vAlign w:val="center"/>
            <w:hideMark/>
          </w:tcPr>
          <w:p w14:paraId="519B4D0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660" w:type="dxa"/>
            <w:tcBorders>
              <w:top w:val="single" w:sz="4" w:space="0" w:color="auto"/>
              <w:left w:val="nil"/>
              <w:bottom w:val="single" w:sz="4" w:space="0" w:color="auto"/>
              <w:right w:val="single" w:sz="4" w:space="0" w:color="auto"/>
            </w:tcBorders>
            <w:vAlign w:val="center"/>
            <w:hideMark/>
          </w:tcPr>
          <w:p w14:paraId="519B4D0B"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 </w:t>
            </w:r>
          </w:p>
        </w:tc>
        <w:tc>
          <w:tcPr>
            <w:tcW w:w="3200" w:type="dxa"/>
            <w:tcBorders>
              <w:top w:val="single" w:sz="4" w:space="0" w:color="auto"/>
              <w:left w:val="nil"/>
              <w:bottom w:val="single" w:sz="4" w:space="0" w:color="auto"/>
              <w:right w:val="single" w:sz="4" w:space="0" w:color="auto"/>
            </w:tcBorders>
            <w:noWrap/>
            <w:vAlign w:val="bottom"/>
            <w:hideMark/>
          </w:tcPr>
          <w:p w14:paraId="519B4D0C" w14:textId="77777777" w:rsidR="007757F0" w:rsidRPr="008E63BB" w:rsidRDefault="007757F0" w:rsidP="0065184D">
            <w:pPr>
              <w:jc w:val="left"/>
              <w:rPr>
                <w:rFonts w:eastAsia="Times New Roman" w:cs="Arial"/>
                <w:b/>
                <w:bCs/>
                <w:i/>
                <w:iCs/>
                <w:sz w:val="24"/>
                <w:szCs w:val="24"/>
              </w:rPr>
            </w:pPr>
            <w:r w:rsidRPr="008E63BB">
              <w:rPr>
                <w:rFonts w:eastAsia="Times New Roman" w:cs="Arial"/>
                <w:b/>
                <w:bCs/>
                <w:i/>
                <w:iCs/>
                <w:sz w:val="24"/>
                <w:szCs w:val="24"/>
              </w:rPr>
              <w:t> </w:t>
            </w:r>
          </w:p>
        </w:tc>
      </w:tr>
      <w:tr w:rsidR="008D5BFE" w:rsidRPr="008E63BB" w14:paraId="519B4D19" w14:textId="77777777" w:rsidTr="000D31BD">
        <w:trPr>
          <w:trHeight w:val="630"/>
        </w:trPr>
        <w:tc>
          <w:tcPr>
            <w:tcW w:w="400" w:type="dxa"/>
            <w:tcBorders>
              <w:top w:val="nil"/>
              <w:left w:val="single" w:sz="4" w:space="0" w:color="auto"/>
              <w:bottom w:val="single" w:sz="4" w:space="0" w:color="auto"/>
              <w:right w:val="single" w:sz="4" w:space="0" w:color="auto"/>
            </w:tcBorders>
            <w:vAlign w:val="center"/>
            <w:hideMark/>
          </w:tcPr>
          <w:p w14:paraId="519B4D0E"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17</w:t>
            </w:r>
          </w:p>
        </w:tc>
        <w:tc>
          <w:tcPr>
            <w:tcW w:w="2980" w:type="dxa"/>
            <w:tcBorders>
              <w:top w:val="nil"/>
              <w:left w:val="nil"/>
              <w:bottom w:val="single" w:sz="4" w:space="0" w:color="auto"/>
              <w:right w:val="single" w:sz="4" w:space="0" w:color="auto"/>
            </w:tcBorders>
            <w:vAlign w:val="center"/>
            <w:hideMark/>
          </w:tcPr>
          <w:p w14:paraId="519B4D0F" w14:textId="77777777" w:rsidR="007757F0" w:rsidRPr="008E63BB" w:rsidRDefault="00E9609D" w:rsidP="0065184D">
            <w:pPr>
              <w:jc w:val="left"/>
              <w:rPr>
                <w:rFonts w:eastAsia="Times New Roman"/>
                <w:sz w:val="24"/>
                <w:szCs w:val="24"/>
              </w:rPr>
            </w:pPr>
            <w:hyperlink r:id="rId172" w:tooltip="Miếu và đỡnh Cao Đài (trang chưa được viết)" w:history="1">
              <w:r w:rsidR="007757F0" w:rsidRPr="008E63BB">
                <w:rPr>
                  <w:rFonts w:eastAsia="Times New Roman"/>
                  <w:sz w:val="24"/>
                  <w:szCs w:val="24"/>
                </w:rPr>
                <w:t>Miếu và đỡnh Cao Đài</w:t>
              </w:r>
            </w:hyperlink>
          </w:p>
        </w:tc>
        <w:tc>
          <w:tcPr>
            <w:tcW w:w="3040" w:type="dxa"/>
            <w:tcBorders>
              <w:top w:val="nil"/>
              <w:left w:val="nil"/>
              <w:bottom w:val="single" w:sz="4" w:space="0" w:color="auto"/>
              <w:right w:val="single" w:sz="4" w:space="0" w:color="auto"/>
            </w:tcBorders>
            <w:vAlign w:val="center"/>
            <w:hideMark/>
          </w:tcPr>
          <w:p w14:paraId="519B4D10" w14:textId="77777777" w:rsidR="007757F0" w:rsidRPr="008E63BB" w:rsidRDefault="00E9609D" w:rsidP="0065184D">
            <w:pPr>
              <w:jc w:val="left"/>
              <w:rPr>
                <w:rFonts w:eastAsia="Times New Roman"/>
                <w:sz w:val="24"/>
                <w:szCs w:val="24"/>
              </w:rPr>
            </w:pPr>
            <w:hyperlink r:id="rId173" w:tooltip="Mỹ Thành, Mỹ Lộc" w:history="1">
              <w:r w:rsidR="007757F0" w:rsidRPr="008E63BB">
                <w:rPr>
                  <w:rFonts w:eastAsia="Times New Roman"/>
                  <w:sz w:val="24"/>
                  <w:szCs w:val="24"/>
                </w:rPr>
                <w:t>Mỹ Thành, H. Mỹ Lộc</w:t>
              </w:r>
            </w:hyperlink>
          </w:p>
        </w:tc>
        <w:tc>
          <w:tcPr>
            <w:tcW w:w="660" w:type="dxa"/>
            <w:tcBorders>
              <w:top w:val="nil"/>
              <w:left w:val="nil"/>
              <w:bottom w:val="single" w:sz="4" w:space="0" w:color="auto"/>
              <w:right w:val="single" w:sz="4" w:space="0" w:color="auto"/>
            </w:tcBorders>
            <w:vAlign w:val="center"/>
            <w:hideMark/>
          </w:tcPr>
          <w:p w14:paraId="519B4D11"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2"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3"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4" w14:textId="77777777" w:rsidR="007757F0" w:rsidRPr="008E63BB" w:rsidRDefault="007757F0" w:rsidP="0065184D">
            <w:pPr>
              <w:jc w:val="center"/>
              <w:rPr>
                <w:rFonts w:eastAsia="Times New Roman"/>
                <w:i/>
                <w:iCs/>
                <w:sz w:val="24"/>
                <w:szCs w:val="24"/>
              </w:rPr>
            </w:pPr>
            <w:r w:rsidRPr="008E63BB">
              <w:rPr>
                <w:rFonts w:eastAsia="Times New Roman"/>
                <w:i/>
                <w:iCs/>
                <w:sz w:val="24"/>
                <w:szCs w:val="24"/>
              </w:rPr>
              <w:t>x</w:t>
            </w:r>
          </w:p>
        </w:tc>
        <w:tc>
          <w:tcPr>
            <w:tcW w:w="660" w:type="dxa"/>
            <w:tcBorders>
              <w:top w:val="nil"/>
              <w:left w:val="nil"/>
              <w:bottom w:val="single" w:sz="4" w:space="0" w:color="auto"/>
              <w:right w:val="single" w:sz="4" w:space="0" w:color="auto"/>
            </w:tcBorders>
            <w:vAlign w:val="center"/>
            <w:hideMark/>
          </w:tcPr>
          <w:p w14:paraId="519B4D15"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6"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7"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3200" w:type="dxa"/>
            <w:tcBorders>
              <w:top w:val="nil"/>
              <w:left w:val="nil"/>
              <w:bottom w:val="single" w:sz="4" w:space="0" w:color="auto"/>
              <w:right w:val="single" w:sz="4" w:space="0" w:color="auto"/>
            </w:tcBorders>
            <w:vAlign w:val="center"/>
            <w:hideMark/>
          </w:tcPr>
          <w:p w14:paraId="519B4D18" w14:textId="77777777" w:rsidR="007757F0" w:rsidRPr="008E63BB" w:rsidRDefault="007757F0" w:rsidP="0065184D">
            <w:pPr>
              <w:jc w:val="left"/>
              <w:rPr>
                <w:rFonts w:eastAsia="Times New Roman"/>
                <w:sz w:val="24"/>
                <w:szCs w:val="24"/>
              </w:rPr>
            </w:pPr>
            <w:r w:rsidRPr="008E63BB">
              <w:rPr>
                <w:rFonts w:eastAsia="Times New Roman"/>
                <w:sz w:val="24"/>
                <w:szCs w:val="24"/>
              </w:rPr>
              <w:t>Di t</w:t>
            </w:r>
            <w:r w:rsidR="00E00918" w:rsidRPr="008E63BB">
              <w:rPr>
                <w:rFonts w:eastAsia="Times New Roman"/>
                <w:sz w:val="24"/>
                <w:szCs w:val="24"/>
              </w:rPr>
              <w:t>í</w:t>
            </w:r>
            <w:r w:rsidRPr="008E63BB">
              <w:rPr>
                <w:rFonts w:eastAsia="Times New Roman"/>
                <w:sz w:val="24"/>
                <w:szCs w:val="24"/>
              </w:rPr>
              <w:t>ch kiến tr</w:t>
            </w:r>
            <w:r w:rsidR="00E00918" w:rsidRPr="008E63BB">
              <w:rPr>
                <w:rFonts w:eastAsia="Times New Roman"/>
                <w:sz w:val="24"/>
                <w:szCs w:val="24"/>
              </w:rPr>
              <w:t>ú</w:t>
            </w:r>
            <w:r w:rsidRPr="008E63BB">
              <w:rPr>
                <w:rFonts w:eastAsia="Times New Roman"/>
                <w:sz w:val="24"/>
                <w:szCs w:val="24"/>
              </w:rPr>
              <w:t>c nghệ thuật được công nhận năm 1964</w:t>
            </w:r>
          </w:p>
        </w:tc>
      </w:tr>
      <w:tr w:rsidR="008D5BFE" w:rsidRPr="008E63BB" w14:paraId="519B4D25" w14:textId="77777777" w:rsidTr="000D31BD">
        <w:trPr>
          <w:trHeight w:val="630"/>
        </w:trPr>
        <w:tc>
          <w:tcPr>
            <w:tcW w:w="400" w:type="dxa"/>
            <w:tcBorders>
              <w:top w:val="nil"/>
              <w:left w:val="single" w:sz="4" w:space="0" w:color="auto"/>
              <w:bottom w:val="single" w:sz="4" w:space="0" w:color="auto"/>
              <w:right w:val="single" w:sz="4" w:space="0" w:color="auto"/>
            </w:tcBorders>
            <w:vAlign w:val="center"/>
            <w:hideMark/>
          </w:tcPr>
          <w:p w14:paraId="519B4D1A"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18</w:t>
            </w:r>
          </w:p>
        </w:tc>
        <w:tc>
          <w:tcPr>
            <w:tcW w:w="2980" w:type="dxa"/>
            <w:tcBorders>
              <w:top w:val="nil"/>
              <w:left w:val="nil"/>
              <w:bottom w:val="single" w:sz="4" w:space="0" w:color="auto"/>
              <w:right w:val="single" w:sz="4" w:space="0" w:color="auto"/>
            </w:tcBorders>
            <w:vAlign w:val="center"/>
            <w:hideMark/>
          </w:tcPr>
          <w:p w14:paraId="519B4D1B" w14:textId="77777777" w:rsidR="007757F0" w:rsidRPr="008E63BB" w:rsidRDefault="00E9609D" w:rsidP="0065184D">
            <w:pPr>
              <w:jc w:val="left"/>
              <w:rPr>
                <w:rFonts w:eastAsia="Times New Roman"/>
                <w:sz w:val="24"/>
                <w:szCs w:val="24"/>
              </w:rPr>
            </w:pPr>
            <w:hyperlink r:id="rId174" w:tooltip="Đỡnh Sựng Văn (trang chưa được viết)" w:history="1">
              <w:r w:rsidR="007757F0" w:rsidRPr="008E63BB">
                <w:rPr>
                  <w:rFonts w:eastAsia="Times New Roman"/>
                  <w:sz w:val="24"/>
                  <w:szCs w:val="24"/>
                </w:rPr>
                <w:t>Đỡnh Sựng Văn</w:t>
              </w:r>
            </w:hyperlink>
          </w:p>
        </w:tc>
        <w:tc>
          <w:tcPr>
            <w:tcW w:w="3040" w:type="dxa"/>
            <w:tcBorders>
              <w:top w:val="nil"/>
              <w:left w:val="nil"/>
              <w:bottom w:val="single" w:sz="4" w:space="0" w:color="auto"/>
              <w:right w:val="single" w:sz="4" w:space="0" w:color="auto"/>
            </w:tcBorders>
            <w:vAlign w:val="center"/>
            <w:hideMark/>
          </w:tcPr>
          <w:p w14:paraId="519B4D1C" w14:textId="77777777" w:rsidR="007757F0" w:rsidRPr="008E63BB" w:rsidRDefault="00E9609D" w:rsidP="0065184D">
            <w:pPr>
              <w:jc w:val="left"/>
              <w:rPr>
                <w:rFonts w:eastAsia="Times New Roman"/>
                <w:sz w:val="24"/>
                <w:szCs w:val="24"/>
              </w:rPr>
            </w:pPr>
            <w:hyperlink r:id="rId175" w:tooltip="Mỹ Thuận, Mỹ Lộc" w:history="1">
              <w:r w:rsidR="007757F0" w:rsidRPr="008E63BB">
                <w:rPr>
                  <w:rFonts w:eastAsia="Times New Roman"/>
                  <w:sz w:val="24"/>
                  <w:szCs w:val="24"/>
                </w:rPr>
                <w:t>Mỹ Thuận, H. Mỹ Lộc</w:t>
              </w:r>
            </w:hyperlink>
          </w:p>
        </w:tc>
        <w:tc>
          <w:tcPr>
            <w:tcW w:w="660" w:type="dxa"/>
            <w:tcBorders>
              <w:top w:val="nil"/>
              <w:left w:val="nil"/>
              <w:bottom w:val="single" w:sz="4" w:space="0" w:color="auto"/>
              <w:right w:val="single" w:sz="4" w:space="0" w:color="auto"/>
            </w:tcBorders>
            <w:vAlign w:val="center"/>
            <w:hideMark/>
          </w:tcPr>
          <w:p w14:paraId="519B4D1D"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E"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1F"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20" w14:textId="77777777" w:rsidR="007757F0" w:rsidRPr="008E63BB" w:rsidRDefault="007757F0" w:rsidP="0065184D">
            <w:pPr>
              <w:jc w:val="center"/>
              <w:rPr>
                <w:rFonts w:eastAsia="Times New Roman"/>
                <w:sz w:val="24"/>
                <w:szCs w:val="24"/>
              </w:rPr>
            </w:pPr>
            <w:r w:rsidRPr="008E63BB">
              <w:rPr>
                <w:rFonts w:eastAsia="Times New Roman"/>
                <w:sz w:val="24"/>
                <w:szCs w:val="24"/>
              </w:rPr>
              <w:t>x</w:t>
            </w:r>
          </w:p>
        </w:tc>
        <w:tc>
          <w:tcPr>
            <w:tcW w:w="660" w:type="dxa"/>
            <w:tcBorders>
              <w:top w:val="nil"/>
              <w:left w:val="nil"/>
              <w:bottom w:val="single" w:sz="4" w:space="0" w:color="auto"/>
              <w:right w:val="single" w:sz="4" w:space="0" w:color="auto"/>
            </w:tcBorders>
            <w:vAlign w:val="center"/>
            <w:hideMark/>
          </w:tcPr>
          <w:p w14:paraId="519B4D21"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22"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660" w:type="dxa"/>
            <w:tcBorders>
              <w:top w:val="nil"/>
              <w:left w:val="nil"/>
              <w:bottom w:val="single" w:sz="4" w:space="0" w:color="auto"/>
              <w:right w:val="single" w:sz="4" w:space="0" w:color="auto"/>
            </w:tcBorders>
            <w:vAlign w:val="center"/>
            <w:hideMark/>
          </w:tcPr>
          <w:p w14:paraId="519B4D23" w14:textId="77777777" w:rsidR="007757F0" w:rsidRPr="008E63BB" w:rsidRDefault="007757F0" w:rsidP="0065184D">
            <w:pPr>
              <w:jc w:val="left"/>
              <w:rPr>
                <w:rFonts w:eastAsia="Times New Roman"/>
                <w:sz w:val="24"/>
                <w:szCs w:val="24"/>
              </w:rPr>
            </w:pPr>
            <w:r w:rsidRPr="008E63BB">
              <w:rPr>
                <w:rFonts w:eastAsia="Times New Roman"/>
                <w:sz w:val="24"/>
                <w:szCs w:val="24"/>
              </w:rPr>
              <w:t> </w:t>
            </w:r>
          </w:p>
        </w:tc>
        <w:tc>
          <w:tcPr>
            <w:tcW w:w="3200" w:type="dxa"/>
            <w:tcBorders>
              <w:top w:val="nil"/>
              <w:left w:val="nil"/>
              <w:bottom w:val="single" w:sz="4" w:space="0" w:color="auto"/>
              <w:right w:val="single" w:sz="4" w:space="0" w:color="auto"/>
            </w:tcBorders>
            <w:vAlign w:val="center"/>
            <w:hideMark/>
          </w:tcPr>
          <w:p w14:paraId="519B4D24" w14:textId="77777777" w:rsidR="007757F0" w:rsidRPr="008E63BB" w:rsidRDefault="007757F0" w:rsidP="0065184D">
            <w:pPr>
              <w:jc w:val="left"/>
              <w:rPr>
                <w:rFonts w:eastAsia="Times New Roman"/>
                <w:sz w:val="24"/>
                <w:szCs w:val="24"/>
              </w:rPr>
            </w:pPr>
            <w:r w:rsidRPr="008E63BB">
              <w:rPr>
                <w:rFonts w:eastAsia="Times New Roman"/>
                <w:sz w:val="24"/>
                <w:szCs w:val="24"/>
              </w:rPr>
              <w:t>Di tích lịch sử, văn hóa được công nhận năm 1997</w:t>
            </w:r>
          </w:p>
        </w:tc>
      </w:tr>
      <w:tr w:rsidR="008D5BFE" w:rsidRPr="008E63BB" w14:paraId="519B4D31" w14:textId="77777777" w:rsidTr="000D31BD">
        <w:trPr>
          <w:trHeight w:val="630"/>
        </w:trPr>
        <w:tc>
          <w:tcPr>
            <w:tcW w:w="400" w:type="dxa"/>
            <w:tcBorders>
              <w:top w:val="nil"/>
              <w:left w:val="single" w:sz="4" w:space="0" w:color="auto"/>
              <w:bottom w:val="single" w:sz="4" w:space="0" w:color="auto"/>
              <w:right w:val="single" w:sz="4" w:space="0" w:color="auto"/>
            </w:tcBorders>
            <w:vAlign w:val="center"/>
            <w:hideMark/>
          </w:tcPr>
          <w:p w14:paraId="519B4D26"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19</w:t>
            </w:r>
          </w:p>
        </w:tc>
        <w:tc>
          <w:tcPr>
            <w:tcW w:w="2980" w:type="dxa"/>
            <w:tcBorders>
              <w:top w:val="nil"/>
              <w:left w:val="nil"/>
              <w:bottom w:val="single" w:sz="4" w:space="0" w:color="auto"/>
              <w:right w:val="single" w:sz="4" w:space="0" w:color="auto"/>
            </w:tcBorders>
            <w:vAlign w:val="center"/>
            <w:hideMark/>
          </w:tcPr>
          <w:p w14:paraId="519B4D27" w14:textId="77777777" w:rsidR="007757F0" w:rsidRPr="008E63BB" w:rsidRDefault="007757F0" w:rsidP="0065184D">
            <w:pPr>
              <w:jc w:val="left"/>
              <w:rPr>
                <w:rFonts w:eastAsia="Times New Roman"/>
                <w:sz w:val="24"/>
                <w:szCs w:val="24"/>
              </w:rPr>
            </w:pPr>
            <w:r w:rsidRPr="008E63BB">
              <w:rPr>
                <w:rFonts w:eastAsia="Times New Roman"/>
                <w:sz w:val="24"/>
                <w:szCs w:val="24"/>
              </w:rPr>
              <w:t>Nhà Lưu niệm nhà thơ Trần Tế Xương</w:t>
            </w:r>
          </w:p>
        </w:tc>
        <w:tc>
          <w:tcPr>
            <w:tcW w:w="3040" w:type="dxa"/>
            <w:tcBorders>
              <w:top w:val="nil"/>
              <w:left w:val="nil"/>
              <w:bottom w:val="single" w:sz="4" w:space="0" w:color="auto"/>
              <w:right w:val="single" w:sz="4" w:space="0" w:color="auto"/>
            </w:tcBorders>
            <w:vAlign w:val="center"/>
            <w:hideMark/>
          </w:tcPr>
          <w:p w14:paraId="519B4D28" w14:textId="77777777" w:rsidR="007757F0" w:rsidRPr="008E63BB" w:rsidRDefault="007757F0" w:rsidP="0065184D">
            <w:pPr>
              <w:jc w:val="left"/>
              <w:rPr>
                <w:rFonts w:eastAsia="Times New Roman"/>
                <w:sz w:val="24"/>
                <w:szCs w:val="24"/>
              </w:rPr>
            </w:pPr>
          </w:p>
        </w:tc>
        <w:tc>
          <w:tcPr>
            <w:tcW w:w="660" w:type="dxa"/>
            <w:tcBorders>
              <w:top w:val="nil"/>
              <w:left w:val="nil"/>
              <w:bottom w:val="single" w:sz="4" w:space="0" w:color="auto"/>
              <w:right w:val="single" w:sz="4" w:space="0" w:color="auto"/>
            </w:tcBorders>
            <w:vAlign w:val="center"/>
            <w:hideMark/>
          </w:tcPr>
          <w:p w14:paraId="519B4D29"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2A"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2B"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2C" w14:textId="77777777" w:rsidR="007757F0" w:rsidRPr="008E63BB" w:rsidRDefault="007757F0" w:rsidP="0065184D">
            <w:pPr>
              <w:jc w:val="center"/>
              <w:rPr>
                <w:rFonts w:eastAsia="Times New Roman"/>
                <w:i/>
                <w:iCs/>
                <w:sz w:val="24"/>
                <w:szCs w:val="24"/>
              </w:rPr>
            </w:pPr>
            <w:r w:rsidRPr="008E63BB">
              <w:rPr>
                <w:rFonts w:eastAsia="Times New Roman"/>
                <w:i/>
                <w:iCs/>
                <w:sz w:val="24"/>
                <w:szCs w:val="24"/>
              </w:rPr>
              <w:t>x</w:t>
            </w:r>
          </w:p>
        </w:tc>
        <w:tc>
          <w:tcPr>
            <w:tcW w:w="660" w:type="dxa"/>
            <w:tcBorders>
              <w:top w:val="nil"/>
              <w:left w:val="nil"/>
              <w:bottom w:val="single" w:sz="4" w:space="0" w:color="auto"/>
              <w:right w:val="single" w:sz="4" w:space="0" w:color="auto"/>
            </w:tcBorders>
            <w:vAlign w:val="center"/>
            <w:hideMark/>
          </w:tcPr>
          <w:p w14:paraId="519B4D2D"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2E"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2F"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3200" w:type="dxa"/>
            <w:tcBorders>
              <w:top w:val="nil"/>
              <w:left w:val="nil"/>
              <w:bottom w:val="single" w:sz="4" w:space="0" w:color="auto"/>
              <w:right w:val="single" w:sz="4" w:space="0" w:color="auto"/>
            </w:tcBorders>
            <w:vAlign w:val="center"/>
            <w:hideMark/>
          </w:tcPr>
          <w:p w14:paraId="519B4D30"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r>
      <w:tr w:rsidR="008D5BFE" w:rsidRPr="008E63BB" w14:paraId="519B4D3D" w14:textId="77777777" w:rsidTr="000D31BD">
        <w:trPr>
          <w:trHeight w:val="630"/>
        </w:trPr>
        <w:tc>
          <w:tcPr>
            <w:tcW w:w="400" w:type="dxa"/>
            <w:tcBorders>
              <w:top w:val="nil"/>
              <w:left w:val="single" w:sz="4" w:space="0" w:color="auto"/>
              <w:bottom w:val="single" w:sz="4" w:space="0" w:color="auto"/>
              <w:right w:val="single" w:sz="4" w:space="0" w:color="auto"/>
            </w:tcBorders>
            <w:vAlign w:val="center"/>
            <w:hideMark/>
          </w:tcPr>
          <w:p w14:paraId="519B4D32" w14:textId="77777777" w:rsidR="007757F0" w:rsidRPr="008E63BB" w:rsidRDefault="007757F0" w:rsidP="0065184D">
            <w:pPr>
              <w:jc w:val="center"/>
              <w:rPr>
                <w:rFonts w:eastAsia="Times New Roman" w:cs="Arial"/>
                <w:sz w:val="24"/>
                <w:szCs w:val="24"/>
              </w:rPr>
            </w:pPr>
            <w:r w:rsidRPr="008E63BB">
              <w:rPr>
                <w:rFonts w:eastAsia="Times New Roman" w:cs="Arial"/>
                <w:sz w:val="24"/>
                <w:szCs w:val="24"/>
              </w:rPr>
              <w:t>20</w:t>
            </w:r>
          </w:p>
        </w:tc>
        <w:tc>
          <w:tcPr>
            <w:tcW w:w="2980" w:type="dxa"/>
            <w:tcBorders>
              <w:top w:val="nil"/>
              <w:left w:val="nil"/>
              <w:bottom w:val="single" w:sz="4" w:space="0" w:color="auto"/>
              <w:right w:val="single" w:sz="4" w:space="0" w:color="auto"/>
            </w:tcBorders>
            <w:vAlign w:val="center"/>
            <w:hideMark/>
          </w:tcPr>
          <w:p w14:paraId="519B4D33" w14:textId="77777777" w:rsidR="007757F0" w:rsidRPr="008E63BB" w:rsidRDefault="007757F0" w:rsidP="0065184D">
            <w:pPr>
              <w:jc w:val="left"/>
              <w:rPr>
                <w:rFonts w:eastAsia="Times New Roman"/>
                <w:sz w:val="24"/>
                <w:szCs w:val="24"/>
              </w:rPr>
            </w:pPr>
            <w:r w:rsidRPr="008E63BB">
              <w:rPr>
                <w:rFonts w:eastAsia="Times New Roman"/>
                <w:sz w:val="24"/>
                <w:szCs w:val="24"/>
              </w:rPr>
              <w:t>Khu tưởng niệm đ/c Lê Đức Thọ</w:t>
            </w:r>
          </w:p>
        </w:tc>
        <w:tc>
          <w:tcPr>
            <w:tcW w:w="3040" w:type="dxa"/>
            <w:tcBorders>
              <w:top w:val="nil"/>
              <w:left w:val="nil"/>
              <w:bottom w:val="single" w:sz="4" w:space="0" w:color="auto"/>
              <w:right w:val="single" w:sz="4" w:space="0" w:color="auto"/>
            </w:tcBorders>
            <w:vAlign w:val="center"/>
            <w:hideMark/>
          </w:tcPr>
          <w:p w14:paraId="519B4D34" w14:textId="77777777" w:rsidR="007757F0" w:rsidRPr="008E63BB" w:rsidRDefault="007757F0" w:rsidP="0065184D">
            <w:pPr>
              <w:jc w:val="left"/>
              <w:rPr>
                <w:rFonts w:eastAsia="Times New Roman"/>
                <w:sz w:val="24"/>
                <w:szCs w:val="24"/>
              </w:rPr>
            </w:pPr>
          </w:p>
        </w:tc>
        <w:tc>
          <w:tcPr>
            <w:tcW w:w="660" w:type="dxa"/>
            <w:tcBorders>
              <w:top w:val="nil"/>
              <w:left w:val="nil"/>
              <w:bottom w:val="single" w:sz="4" w:space="0" w:color="auto"/>
              <w:right w:val="single" w:sz="4" w:space="0" w:color="auto"/>
            </w:tcBorders>
            <w:vAlign w:val="center"/>
            <w:hideMark/>
          </w:tcPr>
          <w:p w14:paraId="519B4D35"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36"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37"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38" w14:textId="77777777" w:rsidR="007757F0" w:rsidRPr="008E63BB" w:rsidRDefault="007757F0" w:rsidP="0065184D">
            <w:pPr>
              <w:jc w:val="center"/>
              <w:rPr>
                <w:rFonts w:eastAsia="Times New Roman"/>
                <w:sz w:val="24"/>
                <w:szCs w:val="24"/>
              </w:rPr>
            </w:pPr>
            <w:r w:rsidRPr="008E63BB">
              <w:rPr>
                <w:rFonts w:eastAsia="Times New Roman"/>
                <w:sz w:val="24"/>
                <w:szCs w:val="24"/>
              </w:rPr>
              <w:t>x</w:t>
            </w:r>
          </w:p>
        </w:tc>
        <w:tc>
          <w:tcPr>
            <w:tcW w:w="660" w:type="dxa"/>
            <w:tcBorders>
              <w:top w:val="nil"/>
              <w:left w:val="nil"/>
              <w:bottom w:val="single" w:sz="4" w:space="0" w:color="auto"/>
              <w:right w:val="single" w:sz="4" w:space="0" w:color="auto"/>
            </w:tcBorders>
            <w:vAlign w:val="center"/>
            <w:hideMark/>
          </w:tcPr>
          <w:p w14:paraId="519B4D39"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3A"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660" w:type="dxa"/>
            <w:tcBorders>
              <w:top w:val="nil"/>
              <w:left w:val="nil"/>
              <w:bottom w:val="single" w:sz="4" w:space="0" w:color="auto"/>
              <w:right w:val="single" w:sz="4" w:space="0" w:color="auto"/>
            </w:tcBorders>
            <w:vAlign w:val="center"/>
            <w:hideMark/>
          </w:tcPr>
          <w:p w14:paraId="519B4D3B"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c>
          <w:tcPr>
            <w:tcW w:w="3200" w:type="dxa"/>
            <w:tcBorders>
              <w:top w:val="nil"/>
              <w:left w:val="nil"/>
              <w:bottom w:val="single" w:sz="4" w:space="0" w:color="auto"/>
              <w:right w:val="single" w:sz="4" w:space="0" w:color="auto"/>
            </w:tcBorders>
            <w:vAlign w:val="center"/>
            <w:hideMark/>
          </w:tcPr>
          <w:p w14:paraId="519B4D3C" w14:textId="77777777" w:rsidR="007757F0" w:rsidRPr="008E63BB" w:rsidRDefault="007757F0" w:rsidP="0065184D">
            <w:pPr>
              <w:jc w:val="left"/>
              <w:rPr>
                <w:rFonts w:ascii="Arial" w:eastAsia="Times New Roman" w:hAnsi="Arial" w:cs="Arial"/>
                <w:sz w:val="24"/>
                <w:szCs w:val="24"/>
              </w:rPr>
            </w:pPr>
            <w:r w:rsidRPr="008E63BB">
              <w:rPr>
                <w:rFonts w:ascii="Arial" w:eastAsia="Times New Roman" w:hAnsi="Arial" w:cs="Arial"/>
                <w:sz w:val="24"/>
                <w:szCs w:val="24"/>
              </w:rPr>
              <w:t> </w:t>
            </w:r>
          </w:p>
        </w:tc>
      </w:tr>
    </w:tbl>
    <w:p w14:paraId="519B4D3E" w14:textId="77777777" w:rsidR="007757F0" w:rsidRPr="008E63BB" w:rsidRDefault="007757F0" w:rsidP="0065184D">
      <w:pPr>
        <w:jc w:val="left"/>
        <w:rPr>
          <w:szCs w:val="26"/>
        </w:rPr>
        <w:sectPr w:rsidR="007757F0" w:rsidRPr="008E63BB" w:rsidSect="00296BCC">
          <w:pgSz w:w="16840" w:h="11907" w:orient="landscape" w:code="9"/>
          <w:pgMar w:top="1699" w:right="1440" w:bottom="922" w:left="1440" w:header="720" w:footer="720" w:gutter="0"/>
          <w:cols w:space="720"/>
          <w:docGrid w:linePitch="360"/>
        </w:sectPr>
      </w:pPr>
    </w:p>
    <w:p w14:paraId="519B4D3F" w14:textId="77777777" w:rsidR="00993172" w:rsidRPr="008E63BB" w:rsidRDefault="00993172" w:rsidP="0065184D">
      <w:pPr>
        <w:jc w:val="left"/>
        <w:rPr>
          <w:i/>
          <w:szCs w:val="26"/>
        </w:rPr>
      </w:pPr>
      <w:r w:rsidRPr="008E63BB">
        <w:rPr>
          <w:i/>
          <w:szCs w:val="26"/>
        </w:rPr>
        <w:lastRenderedPageBreak/>
        <w:t>Hiện trạng hệ thống siêu thị tại Nam Định</w:t>
      </w:r>
    </w:p>
    <w:p w14:paraId="519B4D40" w14:textId="77777777" w:rsidR="00993172" w:rsidRPr="008E63BB" w:rsidRDefault="00993172" w:rsidP="0065184D">
      <w:pPr>
        <w:rPr>
          <w:b/>
          <w:szCs w:val="26"/>
        </w:rPr>
      </w:pPr>
    </w:p>
    <w:tbl>
      <w:tblPr>
        <w:tblW w:w="9465" w:type="dxa"/>
        <w:tblInd w:w="93" w:type="dxa"/>
        <w:tblLook w:val="04A0" w:firstRow="1" w:lastRow="0" w:firstColumn="1" w:lastColumn="0" w:noHBand="0" w:noVBand="1"/>
      </w:tblPr>
      <w:tblGrid>
        <w:gridCol w:w="600"/>
        <w:gridCol w:w="2115"/>
        <w:gridCol w:w="2340"/>
        <w:gridCol w:w="1350"/>
        <w:gridCol w:w="1180"/>
        <w:gridCol w:w="1880"/>
      </w:tblGrid>
      <w:tr w:rsidR="008D5BFE" w:rsidRPr="008E63BB" w14:paraId="519B4D46" w14:textId="77777777" w:rsidTr="00C2092A">
        <w:trPr>
          <w:trHeight w:val="435"/>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D41" w14:textId="77777777" w:rsidR="00C2092A" w:rsidRPr="008E63BB" w:rsidRDefault="00C2092A" w:rsidP="0065184D">
            <w:pPr>
              <w:jc w:val="center"/>
              <w:rPr>
                <w:rFonts w:eastAsia="Times New Roman"/>
                <w:sz w:val="24"/>
                <w:szCs w:val="24"/>
              </w:rPr>
            </w:pPr>
            <w:r w:rsidRPr="008E63BB">
              <w:rPr>
                <w:rFonts w:eastAsia="Times New Roman"/>
                <w:sz w:val="24"/>
                <w:szCs w:val="24"/>
              </w:rPr>
              <w:t>TT</w:t>
            </w:r>
          </w:p>
        </w:tc>
        <w:tc>
          <w:tcPr>
            <w:tcW w:w="2115" w:type="dxa"/>
            <w:tcBorders>
              <w:top w:val="single" w:sz="4" w:space="0" w:color="auto"/>
              <w:left w:val="nil"/>
              <w:bottom w:val="single" w:sz="4" w:space="0" w:color="auto"/>
              <w:right w:val="single" w:sz="4" w:space="0" w:color="auto"/>
            </w:tcBorders>
            <w:shd w:val="clear" w:color="auto" w:fill="auto"/>
            <w:vAlign w:val="center"/>
            <w:hideMark/>
          </w:tcPr>
          <w:p w14:paraId="519B4D42" w14:textId="77777777" w:rsidR="00C2092A" w:rsidRPr="008E63BB" w:rsidRDefault="00C2092A" w:rsidP="0065184D">
            <w:pPr>
              <w:jc w:val="center"/>
              <w:rPr>
                <w:rFonts w:eastAsia="Times New Roman"/>
                <w:sz w:val="24"/>
                <w:szCs w:val="24"/>
              </w:rPr>
            </w:pPr>
            <w:r w:rsidRPr="008E63BB">
              <w:rPr>
                <w:rFonts w:eastAsia="Times New Roman"/>
                <w:sz w:val="24"/>
                <w:szCs w:val="24"/>
              </w:rPr>
              <w:t>Danh mục</w:t>
            </w:r>
          </w:p>
        </w:tc>
        <w:tc>
          <w:tcPr>
            <w:tcW w:w="3690" w:type="dxa"/>
            <w:gridSpan w:val="2"/>
            <w:tcBorders>
              <w:top w:val="single" w:sz="4" w:space="0" w:color="auto"/>
              <w:left w:val="nil"/>
              <w:bottom w:val="single" w:sz="4" w:space="0" w:color="auto"/>
              <w:right w:val="single" w:sz="4" w:space="0" w:color="auto"/>
            </w:tcBorders>
            <w:shd w:val="clear" w:color="auto" w:fill="auto"/>
            <w:vAlign w:val="center"/>
            <w:hideMark/>
          </w:tcPr>
          <w:p w14:paraId="519B4D43" w14:textId="77777777" w:rsidR="00C2092A" w:rsidRPr="008E63BB" w:rsidRDefault="00C2092A" w:rsidP="0065184D">
            <w:pPr>
              <w:jc w:val="center"/>
              <w:rPr>
                <w:rFonts w:eastAsia="Times New Roman"/>
                <w:sz w:val="24"/>
                <w:szCs w:val="24"/>
              </w:rPr>
            </w:pPr>
            <w:r w:rsidRPr="008E63BB">
              <w:rPr>
                <w:rFonts w:eastAsia="Times New Roman"/>
                <w:sz w:val="24"/>
                <w:szCs w:val="24"/>
              </w:rPr>
              <w:t>Vị trí</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519B4D44" w14:textId="77777777" w:rsidR="00C2092A" w:rsidRPr="008E63BB" w:rsidRDefault="00C2092A" w:rsidP="0065184D">
            <w:pPr>
              <w:jc w:val="center"/>
              <w:rPr>
                <w:rFonts w:eastAsia="Times New Roman"/>
                <w:sz w:val="24"/>
                <w:szCs w:val="24"/>
              </w:rPr>
            </w:pPr>
            <w:r w:rsidRPr="008E63BB">
              <w:rPr>
                <w:rFonts w:eastAsia="Times New Roman"/>
                <w:sz w:val="24"/>
                <w:szCs w:val="24"/>
              </w:rPr>
              <w:t>Hạng</w:t>
            </w:r>
          </w:p>
        </w:tc>
        <w:tc>
          <w:tcPr>
            <w:tcW w:w="1880" w:type="dxa"/>
            <w:tcBorders>
              <w:top w:val="single" w:sz="4" w:space="0" w:color="auto"/>
              <w:left w:val="nil"/>
              <w:bottom w:val="single" w:sz="4" w:space="0" w:color="auto"/>
              <w:right w:val="single" w:sz="4" w:space="0" w:color="auto"/>
            </w:tcBorders>
            <w:shd w:val="clear" w:color="auto" w:fill="auto"/>
            <w:vAlign w:val="center"/>
            <w:hideMark/>
          </w:tcPr>
          <w:p w14:paraId="519B4D45" w14:textId="77777777" w:rsidR="00C2092A" w:rsidRPr="008E63BB" w:rsidRDefault="00C2092A" w:rsidP="0065184D">
            <w:pPr>
              <w:jc w:val="center"/>
              <w:rPr>
                <w:rFonts w:eastAsia="Times New Roman"/>
                <w:sz w:val="24"/>
                <w:szCs w:val="24"/>
              </w:rPr>
            </w:pPr>
            <w:r w:rsidRPr="008E63BB">
              <w:rPr>
                <w:rFonts w:eastAsia="Times New Roman"/>
                <w:sz w:val="24"/>
                <w:szCs w:val="24"/>
              </w:rPr>
              <w:t>Ghi chú</w:t>
            </w:r>
          </w:p>
        </w:tc>
      </w:tr>
      <w:tr w:rsidR="008D5BFE" w:rsidRPr="008E63BB" w14:paraId="519B4D4D" w14:textId="77777777" w:rsidTr="003D057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47" w14:textId="77777777" w:rsidR="00C2092A" w:rsidRPr="008E63BB" w:rsidRDefault="00C2092A" w:rsidP="0065184D">
            <w:pPr>
              <w:jc w:val="left"/>
              <w:rPr>
                <w:rFonts w:eastAsia="Times New Roman"/>
                <w:b/>
                <w:bCs/>
                <w:sz w:val="24"/>
                <w:szCs w:val="24"/>
              </w:rPr>
            </w:pPr>
            <w:r w:rsidRPr="008E63BB">
              <w:rPr>
                <w:rFonts w:eastAsia="Times New Roman"/>
                <w:b/>
                <w:bCs/>
                <w:sz w:val="24"/>
                <w:szCs w:val="24"/>
              </w:rPr>
              <w:t> </w:t>
            </w:r>
          </w:p>
        </w:tc>
        <w:tc>
          <w:tcPr>
            <w:tcW w:w="2115" w:type="dxa"/>
            <w:tcBorders>
              <w:top w:val="nil"/>
              <w:left w:val="nil"/>
              <w:bottom w:val="single" w:sz="4" w:space="0" w:color="auto"/>
              <w:right w:val="single" w:sz="4" w:space="0" w:color="auto"/>
            </w:tcBorders>
            <w:shd w:val="clear" w:color="auto" w:fill="auto"/>
            <w:vAlign w:val="center"/>
            <w:hideMark/>
          </w:tcPr>
          <w:p w14:paraId="519B4D48"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Tổng cộng</w:t>
            </w:r>
          </w:p>
        </w:tc>
        <w:tc>
          <w:tcPr>
            <w:tcW w:w="2340" w:type="dxa"/>
            <w:tcBorders>
              <w:top w:val="nil"/>
              <w:left w:val="nil"/>
              <w:bottom w:val="single" w:sz="4" w:space="0" w:color="auto"/>
              <w:right w:val="nil"/>
            </w:tcBorders>
            <w:shd w:val="clear" w:color="auto" w:fill="auto"/>
            <w:vAlign w:val="center"/>
            <w:hideMark/>
          </w:tcPr>
          <w:p w14:paraId="519B4D49"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c>
          <w:tcPr>
            <w:tcW w:w="1350" w:type="dxa"/>
            <w:tcBorders>
              <w:top w:val="nil"/>
              <w:left w:val="nil"/>
              <w:bottom w:val="single" w:sz="4" w:space="0" w:color="auto"/>
              <w:right w:val="single" w:sz="4" w:space="0" w:color="auto"/>
            </w:tcBorders>
            <w:shd w:val="clear" w:color="auto" w:fill="auto"/>
            <w:vAlign w:val="center"/>
            <w:hideMark/>
          </w:tcPr>
          <w:p w14:paraId="519B4D4A"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c>
          <w:tcPr>
            <w:tcW w:w="1180" w:type="dxa"/>
            <w:tcBorders>
              <w:top w:val="nil"/>
              <w:left w:val="nil"/>
              <w:bottom w:val="single" w:sz="4" w:space="0" w:color="auto"/>
              <w:right w:val="single" w:sz="4" w:space="0" w:color="auto"/>
            </w:tcBorders>
            <w:shd w:val="clear" w:color="auto" w:fill="auto"/>
            <w:vAlign w:val="center"/>
            <w:hideMark/>
          </w:tcPr>
          <w:p w14:paraId="519B4D4B"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c>
          <w:tcPr>
            <w:tcW w:w="1880" w:type="dxa"/>
            <w:tcBorders>
              <w:top w:val="nil"/>
              <w:left w:val="nil"/>
              <w:bottom w:val="single" w:sz="4" w:space="0" w:color="auto"/>
              <w:right w:val="single" w:sz="4" w:space="0" w:color="auto"/>
            </w:tcBorders>
            <w:shd w:val="clear" w:color="auto" w:fill="auto"/>
            <w:vAlign w:val="center"/>
            <w:hideMark/>
          </w:tcPr>
          <w:p w14:paraId="519B4D4C" w14:textId="77777777" w:rsidR="00C2092A" w:rsidRPr="008E63BB" w:rsidRDefault="00C2092A" w:rsidP="0065184D">
            <w:pPr>
              <w:jc w:val="left"/>
              <w:rPr>
                <w:rFonts w:eastAsia="Times New Roman"/>
                <w:b/>
                <w:bCs/>
                <w:sz w:val="24"/>
                <w:szCs w:val="24"/>
              </w:rPr>
            </w:pPr>
            <w:r w:rsidRPr="008E63BB">
              <w:rPr>
                <w:rFonts w:eastAsia="Times New Roman"/>
                <w:b/>
                <w:bCs/>
                <w:sz w:val="24"/>
                <w:szCs w:val="24"/>
              </w:rPr>
              <w:t> </w:t>
            </w:r>
          </w:p>
        </w:tc>
      </w:tr>
      <w:tr w:rsidR="008D5BFE" w:rsidRPr="008E63BB" w14:paraId="519B4D54" w14:textId="77777777" w:rsidTr="00C2092A">
        <w:trPr>
          <w:trHeight w:val="63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4E" w14:textId="77777777" w:rsidR="00C2092A" w:rsidRPr="008E63BB" w:rsidRDefault="00C2092A" w:rsidP="0065184D">
            <w:pPr>
              <w:jc w:val="right"/>
              <w:rPr>
                <w:rFonts w:eastAsia="Times New Roman"/>
                <w:sz w:val="24"/>
                <w:szCs w:val="24"/>
              </w:rPr>
            </w:pPr>
            <w:r w:rsidRPr="008E63BB">
              <w:rPr>
                <w:rFonts w:eastAsia="Times New Roman"/>
                <w:sz w:val="24"/>
                <w:szCs w:val="24"/>
              </w:rPr>
              <w:t>1</w:t>
            </w:r>
          </w:p>
        </w:tc>
        <w:tc>
          <w:tcPr>
            <w:tcW w:w="2115" w:type="dxa"/>
            <w:tcBorders>
              <w:top w:val="nil"/>
              <w:left w:val="nil"/>
              <w:bottom w:val="single" w:sz="4" w:space="0" w:color="auto"/>
              <w:right w:val="single" w:sz="4" w:space="0" w:color="auto"/>
            </w:tcBorders>
            <w:shd w:val="clear" w:color="auto" w:fill="auto"/>
            <w:vAlign w:val="center"/>
            <w:hideMark/>
          </w:tcPr>
          <w:p w14:paraId="519B4D4F" w14:textId="77777777" w:rsidR="00C2092A" w:rsidRPr="008E63BB" w:rsidRDefault="00C2092A" w:rsidP="0065184D">
            <w:pPr>
              <w:jc w:val="left"/>
              <w:rPr>
                <w:rFonts w:eastAsia="Times New Roman"/>
                <w:sz w:val="24"/>
                <w:szCs w:val="24"/>
              </w:rPr>
            </w:pPr>
            <w:r w:rsidRPr="008E63BB">
              <w:rPr>
                <w:rFonts w:eastAsia="Times New Roman"/>
                <w:sz w:val="24"/>
                <w:szCs w:val="24"/>
              </w:rPr>
              <w:t>Big C Nam Định (trung tâm thương mại Thiên Trường)</w:t>
            </w:r>
          </w:p>
        </w:tc>
        <w:tc>
          <w:tcPr>
            <w:tcW w:w="2340" w:type="dxa"/>
            <w:tcBorders>
              <w:top w:val="nil"/>
              <w:left w:val="nil"/>
              <w:bottom w:val="single" w:sz="4" w:space="0" w:color="auto"/>
              <w:right w:val="nil"/>
            </w:tcBorders>
            <w:shd w:val="clear" w:color="auto" w:fill="auto"/>
            <w:vAlign w:val="center"/>
            <w:hideMark/>
          </w:tcPr>
          <w:p w14:paraId="519B4D50" w14:textId="77777777" w:rsidR="00C2092A" w:rsidRPr="008E63BB" w:rsidRDefault="00C2092A" w:rsidP="0065184D">
            <w:pPr>
              <w:jc w:val="left"/>
              <w:rPr>
                <w:rFonts w:eastAsia="Times New Roman"/>
                <w:sz w:val="24"/>
                <w:szCs w:val="24"/>
              </w:rPr>
            </w:pPr>
            <w:r w:rsidRPr="008E63BB">
              <w:rPr>
                <w:rFonts w:eastAsia="Times New Roman"/>
                <w:sz w:val="24"/>
                <w:szCs w:val="24"/>
              </w:rPr>
              <w:t>QL10, P. Lộc Hoà</w:t>
            </w:r>
          </w:p>
        </w:tc>
        <w:tc>
          <w:tcPr>
            <w:tcW w:w="1350" w:type="dxa"/>
            <w:tcBorders>
              <w:top w:val="nil"/>
              <w:left w:val="nil"/>
              <w:bottom w:val="single" w:sz="4" w:space="0" w:color="auto"/>
              <w:right w:val="single" w:sz="4" w:space="0" w:color="auto"/>
            </w:tcBorders>
            <w:shd w:val="clear" w:color="auto" w:fill="auto"/>
            <w:vAlign w:val="center"/>
            <w:hideMark/>
          </w:tcPr>
          <w:p w14:paraId="519B4D51"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52" w14:textId="77777777" w:rsidR="00C2092A" w:rsidRPr="008E63BB" w:rsidRDefault="00C2092A" w:rsidP="0065184D">
            <w:pPr>
              <w:jc w:val="center"/>
              <w:rPr>
                <w:rFonts w:eastAsia="Times New Roman"/>
                <w:sz w:val="24"/>
                <w:szCs w:val="24"/>
              </w:rPr>
            </w:pPr>
            <w:r w:rsidRPr="008E63BB">
              <w:rPr>
                <w:rFonts w:eastAsia="Times New Roman"/>
                <w:sz w:val="24"/>
                <w:szCs w:val="24"/>
              </w:rPr>
              <w:t>I</w:t>
            </w:r>
          </w:p>
        </w:tc>
        <w:tc>
          <w:tcPr>
            <w:tcW w:w="1880" w:type="dxa"/>
            <w:tcBorders>
              <w:top w:val="nil"/>
              <w:left w:val="nil"/>
              <w:bottom w:val="single" w:sz="4" w:space="0" w:color="auto"/>
              <w:right w:val="single" w:sz="4" w:space="0" w:color="auto"/>
            </w:tcBorders>
            <w:shd w:val="clear" w:color="auto" w:fill="auto"/>
            <w:vAlign w:val="center"/>
            <w:hideMark/>
          </w:tcPr>
          <w:p w14:paraId="519B4D53" w14:textId="77777777" w:rsidR="00C2092A" w:rsidRPr="008E63BB" w:rsidRDefault="00C2092A" w:rsidP="0065184D">
            <w:pPr>
              <w:jc w:val="left"/>
              <w:rPr>
                <w:rFonts w:eastAsia="Times New Roman"/>
                <w:sz w:val="24"/>
                <w:szCs w:val="24"/>
              </w:rPr>
            </w:pPr>
            <w:r w:rsidRPr="008E63BB">
              <w:rPr>
                <w:rFonts w:eastAsia="Times New Roman"/>
                <w:sz w:val="24"/>
                <w:szCs w:val="24"/>
              </w:rPr>
              <w:t>Kinh doanh tổng hợp</w:t>
            </w:r>
          </w:p>
        </w:tc>
      </w:tr>
      <w:tr w:rsidR="008D5BFE" w:rsidRPr="008E63BB" w14:paraId="519B4D5B" w14:textId="77777777" w:rsidTr="00C2092A">
        <w:trPr>
          <w:trHeight w:val="63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55" w14:textId="77777777" w:rsidR="00C2092A" w:rsidRPr="008E63BB" w:rsidRDefault="00C2092A" w:rsidP="0065184D">
            <w:pPr>
              <w:jc w:val="right"/>
              <w:rPr>
                <w:rFonts w:eastAsia="Times New Roman"/>
                <w:sz w:val="24"/>
                <w:szCs w:val="24"/>
              </w:rPr>
            </w:pPr>
            <w:r w:rsidRPr="008E63BB">
              <w:rPr>
                <w:rFonts w:eastAsia="Times New Roman"/>
                <w:sz w:val="24"/>
                <w:szCs w:val="24"/>
              </w:rPr>
              <w:t>2</w:t>
            </w:r>
          </w:p>
        </w:tc>
        <w:tc>
          <w:tcPr>
            <w:tcW w:w="2115" w:type="dxa"/>
            <w:tcBorders>
              <w:top w:val="nil"/>
              <w:left w:val="nil"/>
              <w:bottom w:val="single" w:sz="4" w:space="0" w:color="auto"/>
              <w:right w:val="single" w:sz="4" w:space="0" w:color="auto"/>
            </w:tcBorders>
            <w:shd w:val="clear" w:color="auto" w:fill="auto"/>
            <w:vAlign w:val="center"/>
            <w:hideMark/>
          </w:tcPr>
          <w:p w14:paraId="519B4D56" w14:textId="77777777" w:rsidR="00C2092A" w:rsidRPr="008E63BB" w:rsidRDefault="00C2092A" w:rsidP="0065184D">
            <w:pPr>
              <w:jc w:val="left"/>
              <w:rPr>
                <w:rFonts w:eastAsia="Times New Roman"/>
                <w:sz w:val="24"/>
                <w:szCs w:val="24"/>
              </w:rPr>
            </w:pPr>
            <w:r w:rsidRPr="008E63BB">
              <w:rPr>
                <w:rFonts w:eastAsia="Times New Roman"/>
                <w:sz w:val="24"/>
                <w:szCs w:val="24"/>
              </w:rPr>
              <w:t>Micom Plaza</w:t>
            </w:r>
          </w:p>
        </w:tc>
        <w:tc>
          <w:tcPr>
            <w:tcW w:w="2340" w:type="dxa"/>
            <w:tcBorders>
              <w:top w:val="nil"/>
              <w:left w:val="nil"/>
              <w:bottom w:val="single" w:sz="4" w:space="0" w:color="auto"/>
              <w:right w:val="nil"/>
            </w:tcBorders>
            <w:shd w:val="clear" w:color="auto" w:fill="auto"/>
            <w:vAlign w:val="center"/>
            <w:hideMark/>
          </w:tcPr>
          <w:p w14:paraId="519B4D57" w14:textId="77777777" w:rsidR="00C2092A" w:rsidRPr="008E63BB" w:rsidRDefault="00C2092A" w:rsidP="0065184D">
            <w:pPr>
              <w:jc w:val="left"/>
              <w:rPr>
                <w:rFonts w:eastAsia="Times New Roman"/>
                <w:sz w:val="24"/>
                <w:szCs w:val="24"/>
              </w:rPr>
            </w:pPr>
            <w:r w:rsidRPr="008E63BB">
              <w:rPr>
                <w:rFonts w:eastAsia="Times New Roman"/>
                <w:sz w:val="24"/>
                <w:szCs w:val="24"/>
              </w:rPr>
              <w:t>75 Điện Biên, Phường Cửa Bắc, P. Lộc Hoà</w:t>
            </w:r>
          </w:p>
        </w:tc>
        <w:tc>
          <w:tcPr>
            <w:tcW w:w="1350" w:type="dxa"/>
            <w:tcBorders>
              <w:top w:val="nil"/>
              <w:left w:val="nil"/>
              <w:bottom w:val="single" w:sz="4" w:space="0" w:color="auto"/>
              <w:right w:val="single" w:sz="4" w:space="0" w:color="auto"/>
            </w:tcBorders>
            <w:shd w:val="clear" w:color="auto" w:fill="auto"/>
            <w:vAlign w:val="center"/>
            <w:hideMark/>
          </w:tcPr>
          <w:p w14:paraId="519B4D58"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59" w14:textId="77777777" w:rsidR="00C2092A" w:rsidRPr="008E63BB" w:rsidRDefault="00C2092A" w:rsidP="0065184D">
            <w:pPr>
              <w:jc w:val="center"/>
              <w:rPr>
                <w:rFonts w:eastAsia="Times New Roman"/>
                <w:sz w:val="24"/>
                <w:szCs w:val="24"/>
              </w:rPr>
            </w:pPr>
            <w:r w:rsidRPr="008E63BB">
              <w:rPr>
                <w:rFonts w:eastAsia="Times New Roman"/>
                <w:sz w:val="24"/>
                <w:szCs w:val="24"/>
              </w:rPr>
              <w:t>I</w:t>
            </w:r>
          </w:p>
        </w:tc>
        <w:tc>
          <w:tcPr>
            <w:tcW w:w="1880" w:type="dxa"/>
            <w:tcBorders>
              <w:top w:val="nil"/>
              <w:left w:val="nil"/>
              <w:bottom w:val="single" w:sz="4" w:space="0" w:color="auto"/>
              <w:right w:val="single" w:sz="4" w:space="0" w:color="auto"/>
            </w:tcBorders>
            <w:shd w:val="clear" w:color="auto" w:fill="auto"/>
            <w:vAlign w:val="center"/>
            <w:hideMark/>
          </w:tcPr>
          <w:p w14:paraId="519B4D5A" w14:textId="77777777" w:rsidR="00C2092A" w:rsidRPr="008E63BB" w:rsidRDefault="00C2092A" w:rsidP="0065184D">
            <w:pPr>
              <w:jc w:val="left"/>
              <w:rPr>
                <w:rFonts w:eastAsia="Times New Roman"/>
                <w:sz w:val="24"/>
                <w:szCs w:val="24"/>
              </w:rPr>
            </w:pPr>
            <w:r w:rsidRPr="008E63BB">
              <w:rPr>
                <w:rFonts w:eastAsia="Times New Roman"/>
                <w:sz w:val="24"/>
                <w:szCs w:val="24"/>
              </w:rPr>
              <w:t>Kinh doanh tổng hợp</w:t>
            </w:r>
          </w:p>
        </w:tc>
      </w:tr>
      <w:tr w:rsidR="008D5BFE" w:rsidRPr="008E63BB" w14:paraId="519B4D62" w14:textId="77777777" w:rsidTr="00C2092A">
        <w:trPr>
          <w:trHeight w:val="63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5C" w14:textId="77777777" w:rsidR="00C2092A" w:rsidRPr="008E63BB" w:rsidRDefault="00C2092A" w:rsidP="0065184D">
            <w:pPr>
              <w:jc w:val="right"/>
              <w:rPr>
                <w:rFonts w:eastAsia="Times New Roman"/>
                <w:sz w:val="24"/>
                <w:szCs w:val="24"/>
              </w:rPr>
            </w:pPr>
            <w:r w:rsidRPr="008E63BB">
              <w:rPr>
                <w:rFonts w:eastAsia="Times New Roman"/>
                <w:sz w:val="24"/>
                <w:szCs w:val="24"/>
              </w:rPr>
              <w:t>3</w:t>
            </w:r>
          </w:p>
        </w:tc>
        <w:tc>
          <w:tcPr>
            <w:tcW w:w="2115" w:type="dxa"/>
            <w:tcBorders>
              <w:top w:val="nil"/>
              <w:left w:val="nil"/>
              <w:bottom w:val="single" w:sz="4" w:space="0" w:color="auto"/>
              <w:right w:val="single" w:sz="4" w:space="0" w:color="auto"/>
            </w:tcBorders>
            <w:shd w:val="clear" w:color="auto" w:fill="auto"/>
            <w:noWrap/>
            <w:vAlign w:val="center"/>
            <w:hideMark/>
          </w:tcPr>
          <w:p w14:paraId="519B4D5D" w14:textId="77777777" w:rsidR="00C2092A" w:rsidRPr="008E63BB" w:rsidRDefault="00C2092A" w:rsidP="0065184D">
            <w:pPr>
              <w:jc w:val="left"/>
              <w:rPr>
                <w:rFonts w:eastAsia="Times New Roman"/>
                <w:sz w:val="20"/>
                <w:szCs w:val="20"/>
              </w:rPr>
            </w:pPr>
            <w:r w:rsidRPr="008E63BB">
              <w:rPr>
                <w:rFonts w:eastAsia="Times New Roman"/>
                <w:sz w:val="20"/>
                <w:szCs w:val="20"/>
              </w:rPr>
              <w:t>Siêu thị Co.opmart Nam </w:t>
            </w:r>
          </w:p>
        </w:tc>
        <w:tc>
          <w:tcPr>
            <w:tcW w:w="2340" w:type="dxa"/>
            <w:tcBorders>
              <w:top w:val="nil"/>
              <w:left w:val="nil"/>
              <w:bottom w:val="single" w:sz="4" w:space="0" w:color="auto"/>
              <w:right w:val="nil"/>
            </w:tcBorders>
            <w:shd w:val="clear" w:color="auto" w:fill="auto"/>
            <w:vAlign w:val="center"/>
            <w:hideMark/>
          </w:tcPr>
          <w:p w14:paraId="519B4D5E" w14:textId="77777777" w:rsidR="00C2092A" w:rsidRPr="008E63BB" w:rsidRDefault="00C2092A" w:rsidP="0065184D">
            <w:pPr>
              <w:jc w:val="left"/>
              <w:rPr>
                <w:rFonts w:eastAsia="Times New Roman"/>
                <w:sz w:val="24"/>
                <w:szCs w:val="24"/>
              </w:rPr>
            </w:pPr>
            <w:r w:rsidRPr="008E63BB">
              <w:rPr>
                <w:rFonts w:eastAsia="Times New Roman"/>
                <w:sz w:val="24"/>
                <w:szCs w:val="24"/>
              </w:rPr>
              <w:t>91 đường Điện Biên, Phường Cửa Bắc, P. Lộc Hoà</w:t>
            </w:r>
          </w:p>
        </w:tc>
        <w:tc>
          <w:tcPr>
            <w:tcW w:w="1350" w:type="dxa"/>
            <w:tcBorders>
              <w:top w:val="nil"/>
              <w:left w:val="nil"/>
              <w:bottom w:val="single" w:sz="4" w:space="0" w:color="auto"/>
              <w:right w:val="single" w:sz="4" w:space="0" w:color="auto"/>
            </w:tcBorders>
            <w:shd w:val="clear" w:color="auto" w:fill="auto"/>
            <w:vAlign w:val="center"/>
            <w:hideMark/>
          </w:tcPr>
          <w:p w14:paraId="519B4D5F"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60" w14:textId="77777777" w:rsidR="00C2092A" w:rsidRPr="008E63BB" w:rsidRDefault="00C2092A" w:rsidP="0065184D">
            <w:pPr>
              <w:jc w:val="center"/>
              <w:rPr>
                <w:rFonts w:eastAsia="Times New Roman"/>
                <w:sz w:val="24"/>
                <w:szCs w:val="24"/>
              </w:rPr>
            </w:pPr>
            <w:r w:rsidRPr="008E63BB">
              <w:rPr>
                <w:rFonts w:eastAsia="Times New Roman"/>
                <w:sz w:val="24"/>
                <w:szCs w:val="24"/>
              </w:rPr>
              <w:t>II</w:t>
            </w:r>
          </w:p>
        </w:tc>
        <w:tc>
          <w:tcPr>
            <w:tcW w:w="1880" w:type="dxa"/>
            <w:tcBorders>
              <w:top w:val="nil"/>
              <w:left w:val="nil"/>
              <w:bottom w:val="single" w:sz="4" w:space="0" w:color="auto"/>
              <w:right w:val="single" w:sz="4" w:space="0" w:color="auto"/>
            </w:tcBorders>
            <w:shd w:val="clear" w:color="auto" w:fill="auto"/>
            <w:vAlign w:val="center"/>
            <w:hideMark/>
          </w:tcPr>
          <w:p w14:paraId="519B4D61" w14:textId="77777777" w:rsidR="00C2092A" w:rsidRPr="008E63BB" w:rsidRDefault="00C2092A" w:rsidP="0065184D">
            <w:pPr>
              <w:jc w:val="left"/>
              <w:rPr>
                <w:rFonts w:eastAsia="Times New Roman"/>
                <w:sz w:val="24"/>
                <w:szCs w:val="24"/>
              </w:rPr>
            </w:pPr>
            <w:r w:rsidRPr="008E63BB">
              <w:rPr>
                <w:rFonts w:eastAsia="Times New Roman"/>
                <w:sz w:val="24"/>
                <w:szCs w:val="24"/>
              </w:rPr>
              <w:t>Kinh doanh tổng hợp</w:t>
            </w:r>
          </w:p>
        </w:tc>
      </w:tr>
      <w:tr w:rsidR="008D5BFE" w:rsidRPr="008E63BB" w14:paraId="519B4D69"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63" w14:textId="77777777" w:rsidR="00C2092A" w:rsidRPr="008E63BB" w:rsidRDefault="00C2092A" w:rsidP="0065184D">
            <w:pPr>
              <w:jc w:val="right"/>
              <w:rPr>
                <w:rFonts w:eastAsia="Times New Roman"/>
                <w:sz w:val="24"/>
                <w:szCs w:val="24"/>
              </w:rPr>
            </w:pPr>
            <w:r w:rsidRPr="008E63BB">
              <w:rPr>
                <w:rFonts w:eastAsia="Times New Roman"/>
                <w:sz w:val="24"/>
                <w:szCs w:val="24"/>
              </w:rPr>
              <w:t>4</w:t>
            </w:r>
          </w:p>
        </w:tc>
        <w:tc>
          <w:tcPr>
            <w:tcW w:w="2115" w:type="dxa"/>
            <w:tcBorders>
              <w:top w:val="nil"/>
              <w:left w:val="nil"/>
              <w:bottom w:val="single" w:sz="4" w:space="0" w:color="auto"/>
              <w:right w:val="single" w:sz="4" w:space="0" w:color="auto"/>
            </w:tcBorders>
            <w:shd w:val="clear" w:color="auto" w:fill="auto"/>
            <w:vAlign w:val="center"/>
            <w:hideMark/>
          </w:tcPr>
          <w:p w14:paraId="519B4D64" w14:textId="77777777" w:rsidR="00C2092A" w:rsidRPr="008E63BB" w:rsidRDefault="00C2092A" w:rsidP="0065184D">
            <w:pPr>
              <w:jc w:val="left"/>
              <w:rPr>
                <w:rFonts w:eastAsia="Times New Roman"/>
                <w:sz w:val="24"/>
                <w:szCs w:val="24"/>
              </w:rPr>
            </w:pPr>
            <w:r w:rsidRPr="008E63BB">
              <w:rPr>
                <w:rFonts w:eastAsia="Times New Roman"/>
                <w:sz w:val="24"/>
                <w:szCs w:val="24"/>
              </w:rPr>
              <w:t>Siêu thị Media Mart </w:t>
            </w:r>
          </w:p>
        </w:tc>
        <w:tc>
          <w:tcPr>
            <w:tcW w:w="2340" w:type="dxa"/>
            <w:tcBorders>
              <w:top w:val="nil"/>
              <w:left w:val="nil"/>
              <w:bottom w:val="single" w:sz="4" w:space="0" w:color="auto"/>
              <w:right w:val="nil"/>
            </w:tcBorders>
            <w:shd w:val="clear" w:color="auto" w:fill="auto"/>
            <w:vAlign w:val="center"/>
            <w:hideMark/>
          </w:tcPr>
          <w:p w14:paraId="519B4D65" w14:textId="77777777" w:rsidR="00C2092A" w:rsidRPr="008E63BB" w:rsidRDefault="00C2092A" w:rsidP="0065184D">
            <w:pPr>
              <w:jc w:val="left"/>
              <w:rPr>
                <w:rFonts w:eastAsia="Times New Roman"/>
                <w:sz w:val="24"/>
                <w:szCs w:val="24"/>
              </w:rPr>
            </w:pPr>
            <w:r w:rsidRPr="008E63BB">
              <w:rPr>
                <w:rFonts w:eastAsia="Times New Roman"/>
                <w:sz w:val="24"/>
                <w:szCs w:val="24"/>
              </w:rPr>
              <w:t>113 Đông A, KĐT Hòa Vượng</w:t>
            </w:r>
          </w:p>
        </w:tc>
        <w:tc>
          <w:tcPr>
            <w:tcW w:w="1350" w:type="dxa"/>
            <w:tcBorders>
              <w:top w:val="nil"/>
              <w:left w:val="nil"/>
              <w:bottom w:val="single" w:sz="4" w:space="0" w:color="auto"/>
              <w:right w:val="single" w:sz="4" w:space="0" w:color="auto"/>
            </w:tcBorders>
            <w:shd w:val="clear" w:color="auto" w:fill="auto"/>
            <w:vAlign w:val="center"/>
            <w:hideMark/>
          </w:tcPr>
          <w:p w14:paraId="519B4D66"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67"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68"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r w:rsidR="008D5BFE" w:rsidRPr="008E63BB" w14:paraId="519B4D70"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6A" w14:textId="77777777" w:rsidR="00C2092A" w:rsidRPr="008E63BB" w:rsidRDefault="00C2092A" w:rsidP="0065184D">
            <w:pPr>
              <w:jc w:val="right"/>
              <w:rPr>
                <w:rFonts w:eastAsia="Times New Roman"/>
                <w:sz w:val="24"/>
                <w:szCs w:val="24"/>
              </w:rPr>
            </w:pPr>
            <w:r w:rsidRPr="008E63BB">
              <w:rPr>
                <w:rFonts w:eastAsia="Times New Roman"/>
                <w:sz w:val="24"/>
                <w:szCs w:val="24"/>
              </w:rPr>
              <w:t>5</w:t>
            </w:r>
          </w:p>
        </w:tc>
        <w:tc>
          <w:tcPr>
            <w:tcW w:w="2115" w:type="dxa"/>
            <w:tcBorders>
              <w:top w:val="nil"/>
              <w:left w:val="nil"/>
              <w:bottom w:val="single" w:sz="4" w:space="0" w:color="auto"/>
              <w:right w:val="single" w:sz="4" w:space="0" w:color="auto"/>
            </w:tcBorders>
            <w:shd w:val="clear" w:color="auto" w:fill="auto"/>
            <w:vAlign w:val="center"/>
            <w:hideMark/>
          </w:tcPr>
          <w:p w14:paraId="519B4D6B" w14:textId="77777777" w:rsidR="00C2092A" w:rsidRPr="008E63BB" w:rsidRDefault="00C2092A" w:rsidP="0065184D">
            <w:pPr>
              <w:jc w:val="left"/>
              <w:rPr>
                <w:rFonts w:eastAsia="Times New Roman"/>
                <w:sz w:val="24"/>
                <w:szCs w:val="24"/>
              </w:rPr>
            </w:pPr>
            <w:r w:rsidRPr="008E63BB">
              <w:rPr>
                <w:rFonts w:eastAsia="Times New Roman"/>
                <w:sz w:val="24"/>
                <w:szCs w:val="24"/>
              </w:rPr>
              <w:t>Siêu thị Media Mart </w:t>
            </w:r>
          </w:p>
        </w:tc>
        <w:tc>
          <w:tcPr>
            <w:tcW w:w="2340" w:type="dxa"/>
            <w:tcBorders>
              <w:top w:val="nil"/>
              <w:left w:val="nil"/>
              <w:bottom w:val="single" w:sz="4" w:space="0" w:color="auto"/>
              <w:right w:val="nil"/>
            </w:tcBorders>
            <w:shd w:val="clear" w:color="auto" w:fill="auto"/>
            <w:vAlign w:val="center"/>
            <w:hideMark/>
          </w:tcPr>
          <w:p w14:paraId="519B4D6C" w14:textId="77777777" w:rsidR="00C2092A" w:rsidRPr="008E63BB" w:rsidRDefault="00C2092A" w:rsidP="0065184D">
            <w:pPr>
              <w:jc w:val="left"/>
              <w:rPr>
                <w:rFonts w:eastAsia="Times New Roman"/>
                <w:sz w:val="24"/>
                <w:szCs w:val="24"/>
              </w:rPr>
            </w:pPr>
            <w:r w:rsidRPr="008E63BB">
              <w:rPr>
                <w:rFonts w:eastAsia="Times New Roman"/>
                <w:sz w:val="24"/>
                <w:szCs w:val="24"/>
              </w:rPr>
              <w:t>143 Đặng Xuân Bảng</w:t>
            </w:r>
          </w:p>
        </w:tc>
        <w:tc>
          <w:tcPr>
            <w:tcW w:w="1350" w:type="dxa"/>
            <w:tcBorders>
              <w:top w:val="nil"/>
              <w:left w:val="nil"/>
              <w:bottom w:val="single" w:sz="4" w:space="0" w:color="auto"/>
              <w:right w:val="single" w:sz="4" w:space="0" w:color="auto"/>
            </w:tcBorders>
            <w:shd w:val="clear" w:color="auto" w:fill="auto"/>
            <w:vAlign w:val="center"/>
            <w:hideMark/>
          </w:tcPr>
          <w:p w14:paraId="519B4D6D"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6E" w14:textId="77777777" w:rsidR="00C2092A" w:rsidRPr="008E63BB" w:rsidRDefault="00C2092A" w:rsidP="0065184D">
            <w:pPr>
              <w:jc w:val="center"/>
              <w:rPr>
                <w:rFonts w:eastAsia="Times New Roman"/>
                <w:sz w:val="24"/>
                <w:szCs w:val="24"/>
              </w:rPr>
            </w:pPr>
            <w:r w:rsidRPr="008E63BB">
              <w:rPr>
                <w:rFonts w:eastAsia="Times New Roman"/>
                <w:sz w:val="24"/>
                <w:szCs w:val="24"/>
              </w:rPr>
              <w:t> </w:t>
            </w:r>
          </w:p>
        </w:tc>
        <w:tc>
          <w:tcPr>
            <w:tcW w:w="1880" w:type="dxa"/>
            <w:tcBorders>
              <w:top w:val="nil"/>
              <w:left w:val="nil"/>
              <w:bottom w:val="single" w:sz="4" w:space="0" w:color="auto"/>
              <w:right w:val="single" w:sz="4" w:space="0" w:color="auto"/>
            </w:tcBorders>
            <w:shd w:val="clear" w:color="auto" w:fill="auto"/>
            <w:vAlign w:val="center"/>
            <w:hideMark/>
          </w:tcPr>
          <w:p w14:paraId="519B4D6F"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r w:rsidR="008D5BFE" w:rsidRPr="008E63BB" w14:paraId="519B4D77" w14:textId="77777777" w:rsidTr="00C2092A">
        <w:trPr>
          <w:trHeight w:val="94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71" w14:textId="77777777" w:rsidR="00C2092A" w:rsidRPr="008E63BB" w:rsidRDefault="00C2092A" w:rsidP="0065184D">
            <w:pPr>
              <w:jc w:val="right"/>
              <w:rPr>
                <w:rFonts w:eastAsia="Times New Roman"/>
                <w:sz w:val="24"/>
                <w:szCs w:val="24"/>
              </w:rPr>
            </w:pPr>
            <w:r w:rsidRPr="008E63BB">
              <w:rPr>
                <w:rFonts w:eastAsia="Times New Roman"/>
                <w:sz w:val="24"/>
                <w:szCs w:val="24"/>
              </w:rPr>
              <w:t>6</w:t>
            </w:r>
          </w:p>
        </w:tc>
        <w:tc>
          <w:tcPr>
            <w:tcW w:w="2115" w:type="dxa"/>
            <w:tcBorders>
              <w:top w:val="nil"/>
              <w:left w:val="nil"/>
              <w:bottom w:val="single" w:sz="4" w:space="0" w:color="auto"/>
              <w:right w:val="single" w:sz="4" w:space="0" w:color="auto"/>
            </w:tcBorders>
            <w:shd w:val="clear" w:color="auto" w:fill="auto"/>
            <w:vAlign w:val="center"/>
            <w:hideMark/>
          </w:tcPr>
          <w:p w14:paraId="519B4D72" w14:textId="77777777" w:rsidR="00C2092A" w:rsidRPr="008E63BB" w:rsidRDefault="00C2092A" w:rsidP="0065184D">
            <w:pPr>
              <w:jc w:val="left"/>
              <w:rPr>
                <w:rFonts w:eastAsia="Times New Roman"/>
                <w:sz w:val="24"/>
                <w:szCs w:val="24"/>
              </w:rPr>
            </w:pPr>
            <w:r w:rsidRPr="008E63BB">
              <w:rPr>
                <w:rFonts w:eastAsia="Times New Roman"/>
                <w:sz w:val="24"/>
                <w:szCs w:val="24"/>
              </w:rPr>
              <w:t>Pico electronics stores Nam Dinh</w:t>
            </w:r>
          </w:p>
        </w:tc>
        <w:tc>
          <w:tcPr>
            <w:tcW w:w="2340" w:type="dxa"/>
            <w:tcBorders>
              <w:top w:val="nil"/>
              <w:left w:val="nil"/>
              <w:bottom w:val="single" w:sz="4" w:space="0" w:color="auto"/>
              <w:right w:val="nil"/>
            </w:tcBorders>
            <w:shd w:val="clear" w:color="auto" w:fill="auto"/>
            <w:vAlign w:val="center"/>
            <w:hideMark/>
          </w:tcPr>
          <w:p w14:paraId="519B4D73" w14:textId="77777777" w:rsidR="00C2092A" w:rsidRPr="008E63BB" w:rsidRDefault="00C2092A" w:rsidP="0065184D">
            <w:pPr>
              <w:jc w:val="left"/>
              <w:rPr>
                <w:rFonts w:eastAsia="Times New Roman"/>
                <w:sz w:val="24"/>
                <w:szCs w:val="24"/>
              </w:rPr>
            </w:pPr>
            <w:r w:rsidRPr="008E63BB">
              <w:rPr>
                <w:rFonts w:eastAsia="Times New Roman"/>
                <w:sz w:val="24"/>
                <w:szCs w:val="24"/>
              </w:rPr>
              <w:t>87 Quang Trung</w:t>
            </w:r>
          </w:p>
        </w:tc>
        <w:tc>
          <w:tcPr>
            <w:tcW w:w="1350" w:type="dxa"/>
            <w:tcBorders>
              <w:top w:val="nil"/>
              <w:left w:val="nil"/>
              <w:bottom w:val="single" w:sz="4" w:space="0" w:color="auto"/>
              <w:right w:val="single" w:sz="4" w:space="0" w:color="auto"/>
            </w:tcBorders>
            <w:shd w:val="clear" w:color="auto" w:fill="auto"/>
            <w:vAlign w:val="center"/>
            <w:hideMark/>
          </w:tcPr>
          <w:p w14:paraId="519B4D74"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75"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76" w14:textId="77777777" w:rsidR="00C2092A" w:rsidRPr="008E63BB" w:rsidRDefault="00C2092A" w:rsidP="0065184D">
            <w:pPr>
              <w:jc w:val="left"/>
              <w:rPr>
                <w:rFonts w:eastAsia="Times New Roman"/>
                <w:sz w:val="24"/>
                <w:szCs w:val="24"/>
              </w:rPr>
            </w:pPr>
            <w:r w:rsidRPr="008E63BB">
              <w:rPr>
                <w:rFonts w:eastAsia="Times New Roman"/>
                <w:sz w:val="24"/>
                <w:szCs w:val="24"/>
              </w:rPr>
              <w:t>Kinh doanh hàng điện tử, điện gia dụng</w:t>
            </w:r>
          </w:p>
        </w:tc>
      </w:tr>
      <w:tr w:rsidR="008D5BFE" w:rsidRPr="008E63BB" w14:paraId="519B4D7E"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78" w14:textId="77777777" w:rsidR="00C2092A" w:rsidRPr="008E63BB" w:rsidRDefault="00C2092A" w:rsidP="0065184D">
            <w:pPr>
              <w:jc w:val="right"/>
              <w:rPr>
                <w:rFonts w:eastAsia="Times New Roman"/>
                <w:sz w:val="24"/>
                <w:szCs w:val="24"/>
              </w:rPr>
            </w:pPr>
            <w:r w:rsidRPr="008E63BB">
              <w:rPr>
                <w:rFonts w:eastAsia="Times New Roman"/>
                <w:sz w:val="24"/>
                <w:szCs w:val="24"/>
              </w:rPr>
              <w:t>7</w:t>
            </w:r>
          </w:p>
        </w:tc>
        <w:tc>
          <w:tcPr>
            <w:tcW w:w="2115" w:type="dxa"/>
            <w:tcBorders>
              <w:top w:val="nil"/>
              <w:left w:val="nil"/>
              <w:bottom w:val="single" w:sz="4" w:space="0" w:color="auto"/>
              <w:right w:val="single" w:sz="4" w:space="0" w:color="auto"/>
            </w:tcBorders>
            <w:shd w:val="clear" w:color="auto" w:fill="auto"/>
            <w:vAlign w:val="center"/>
            <w:hideMark/>
          </w:tcPr>
          <w:p w14:paraId="519B4D79" w14:textId="77777777" w:rsidR="00C2092A" w:rsidRPr="008E63BB" w:rsidRDefault="00C2092A" w:rsidP="0065184D">
            <w:pPr>
              <w:jc w:val="left"/>
              <w:rPr>
                <w:rFonts w:eastAsia="Times New Roman"/>
                <w:sz w:val="24"/>
                <w:szCs w:val="24"/>
              </w:rPr>
            </w:pPr>
            <w:r w:rsidRPr="008E63BB">
              <w:rPr>
                <w:rFonts w:eastAsia="Times New Roman"/>
                <w:sz w:val="24"/>
                <w:szCs w:val="24"/>
              </w:rPr>
              <w:t>Siêu thị máy tính PDC (Phi Dũng)</w:t>
            </w:r>
          </w:p>
        </w:tc>
        <w:tc>
          <w:tcPr>
            <w:tcW w:w="2340" w:type="dxa"/>
            <w:tcBorders>
              <w:top w:val="nil"/>
              <w:left w:val="nil"/>
              <w:bottom w:val="single" w:sz="4" w:space="0" w:color="auto"/>
              <w:right w:val="nil"/>
            </w:tcBorders>
            <w:shd w:val="clear" w:color="auto" w:fill="auto"/>
            <w:vAlign w:val="center"/>
            <w:hideMark/>
          </w:tcPr>
          <w:p w14:paraId="519B4D7A" w14:textId="77777777" w:rsidR="00C2092A" w:rsidRPr="008E63BB" w:rsidRDefault="00C2092A" w:rsidP="0065184D">
            <w:pPr>
              <w:jc w:val="left"/>
              <w:rPr>
                <w:rFonts w:eastAsia="Times New Roman"/>
                <w:sz w:val="24"/>
                <w:szCs w:val="24"/>
              </w:rPr>
            </w:pPr>
            <w:r w:rsidRPr="008E63BB">
              <w:rPr>
                <w:rFonts w:eastAsia="Times New Roman"/>
                <w:sz w:val="24"/>
                <w:szCs w:val="24"/>
              </w:rPr>
              <w:t>116 Hưng Yên, P. Quang Trung</w:t>
            </w:r>
          </w:p>
        </w:tc>
        <w:tc>
          <w:tcPr>
            <w:tcW w:w="1350" w:type="dxa"/>
            <w:tcBorders>
              <w:top w:val="nil"/>
              <w:left w:val="nil"/>
              <w:bottom w:val="single" w:sz="4" w:space="0" w:color="auto"/>
              <w:right w:val="single" w:sz="4" w:space="0" w:color="auto"/>
            </w:tcBorders>
            <w:shd w:val="clear" w:color="auto" w:fill="auto"/>
            <w:vAlign w:val="center"/>
            <w:hideMark/>
          </w:tcPr>
          <w:p w14:paraId="519B4D7B"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7C"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7D"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r w:rsidR="008D5BFE" w:rsidRPr="008E63BB" w14:paraId="519B4D85"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7F" w14:textId="77777777" w:rsidR="00C2092A" w:rsidRPr="008E63BB" w:rsidRDefault="00C2092A" w:rsidP="0065184D">
            <w:pPr>
              <w:jc w:val="right"/>
              <w:rPr>
                <w:rFonts w:eastAsia="Times New Roman"/>
                <w:sz w:val="24"/>
                <w:szCs w:val="24"/>
              </w:rPr>
            </w:pPr>
            <w:r w:rsidRPr="008E63BB">
              <w:rPr>
                <w:rFonts w:eastAsia="Times New Roman"/>
                <w:sz w:val="24"/>
                <w:szCs w:val="24"/>
              </w:rPr>
              <w:t>8</w:t>
            </w:r>
          </w:p>
        </w:tc>
        <w:tc>
          <w:tcPr>
            <w:tcW w:w="2115" w:type="dxa"/>
            <w:tcBorders>
              <w:top w:val="nil"/>
              <w:left w:val="nil"/>
              <w:bottom w:val="single" w:sz="4" w:space="0" w:color="auto"/>
              <w:right w:val="single" w:sz="4" w:space="0" w:color="auto"/>
            </w:tcBorders>
            <w:shd w:val="clear" w:color="auto" w:fill="auto"/>
            <w:vAlign w:val="center"/>
            <w:hideMark/>
          </w:tcPr>
          <w:p w14:paraId="519B4D80" w14:textId="77777777" w:rsidR="00C2092A" w:rsidRPr="008E63BB" w:rsidRDefault="00C2092A" w:rsidP="0065184D">
            <w:pPr>
              <w:jc w:val="left"/>
              <w:rPr>
                <w:rFonts w:eastAsia="Times New Roman"/>
                <w:sz w:val="24"/>
                <w:szCs w:val="24"/>
              </w:rPr>
            </w:pPr>
            <w:r w:rsidRPr="008E63BB">
              <w:rPr>
                <w:rFonts w:eastAsia="Times New Roman"/>
                <w:sz w:val="24"/>
                <w:szCs w:val="24"/>
              </w:rPr>
              <w:t>Siêu thị sách Ngọc Bình</w:t>
            </w:r>
          </w:p>
        </w:tc>
        <w:tc>
          <w:tcPr>
            <w:tcW w:w="2340" w:type="dxa"/>
            <w:tcBorders>
              <w:top w:val="nil"/>
              <w:left w:val="nil"/>
              <w:bottom w:val="single" w:sz="4" w:space="0" w:color="auto"/>
              <w:right w:val="nil"/>
            </w:tcBorders>
            <w:shd w:val="clear" w:color="auto" w:fill="auto"/>
            <w:vAlign w:val="center"/>
            <w:hideMark/>
          </w:tcPr>
          <w:p w14:paraId="519B4D81" w14:textId="77777777" w:rsidR="00C2092A" w:rsidRPr="008E63BB" w:rsidRDefault="00C2092A" w:rsidP="0065184D">
            <w:pPr>
              <w:jc w:val="left"/>
              <w:rPr>
                <w:rFonts w:eastAsia="Times New Roman"/>
                <w:sz w:val="24"/>
                <w:szCs w:val="24"/>
              </w:rPr>
            </w:pPr>
            <w:r w:rsidRPr="008E63BB">
              <w:rPr>
                <w:rFonts w:eastAsia="Times New Roman"/>
                <w:sz w:val="24"/>
                <w:szCs w:val="24"/>
              </w:rPr>
              <w:t>78 Lê Hồng Phong</w:t>
            </w:r>
          </w:p>
        </w:tc>
        <w:tc>
          <w:tcPr>
            <w:tcW w:w="1350" w:type="dxa"/>
            <w:tcBorders>
              <w:top w:val="nil"/>
              <w:left w:val="nil"/>
              <w:bottom w:val="single" w:sz="4" w:space="0" w:color="auto"/>
              <w:right w:val="single" w:sz="4" w:space="0" w:color="auto"/>
            </w:tcBorders>
            <w:shd w:val="clear" w:color="auto" w:fill="auto"/>
            <w:vAlign w:val="center"/>
            <w:hideMark/>
          </w:tcPr>
          <w:p w14:paraId="519B4D82"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83"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84"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r w:rsidR="008D5BFE" w:rsidRPr="008E63BB" w14:paraId="519B4D8C"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86" w14:textId="77777777" w:rsidR="00C2092A" w:rsidRPr="008E63BB" w:rsidRDefault="00C2092A" w:rsidP="0065184D">
            <w:pPr>
              <w:jc w:val="right"/>
              <w:rPr>
                <w:rFonts w:eastAsia="Times New Roman"/>
                <w:sz w:val="24"/>
                <w:szCs w:val="24"/>
              </w:rPr>
            </w:pPr>
            <w:r w:rsidRPr="008E63BB">
              <w:rPr>
                <w:rFonts w:eastAsia="Times New Roman"/>
                <w:sz w:val="24"/>
                <w:szCs w:val="24"/>
              </w:rPr>
              <w:t>9</w:t>
            </w:r>
          </w:p>
        </w:tc>
        <w:tc>
          <w:tcPr>
            <w:tcW w:w="2115" w:type="dxa"/>
            <w:tcBorders>
              <w:top w:val="nil"/>
              <w:left w:val="nil"/>
              <w:bottom w:val="single" w:sz="4" w:space="0" w:color="auto"/>
              <w:right w:val="single" w:sz="4" w:space="0" w:color="auto"/>
            </w:tcBorders>
            <w:shd w:val="clear" w:color="auto" w:fill="auto"/>
            <w:vAlign w:val="center"/>
            <w:hideMark/>
          </w:tcPr>
          <w:p w14:paraId="519B4D87" w14:textId="77777777" w:rsidR="00C2092A" w:rsidRPr="008E63BB" w:rsidRDefault="00C2092A" w:rsidP="0065184D">
            <w:pPr>
              <w:jc w:val="left"/>
              <w:rPr>
                <w:rFonts w:eastAsia="Times New Roman"/>
                <w:sz w:val="24"/>
                <w:szCs w:val="24"/>
              </w:rPr>
            </w:pPr>
            <w:r w:rsidRPr="008E63BB">
              <w:rPr>
                <w:rFonts w:eastAsia="Times New Roman"/>
                <w:sz w:val="24"/>
                <w:szCs w:val="24"/>
              </w:rPr>
              <w:t>Siêu thị đồ gỗ Hoa Phương </w:t>
            </w:r>
          </w:p>
        </w:tc>
        <w:tc>
          <w:tcPr>
            <w:tcW w:w="2340" w:type="dxa"/>
            <w:tcBorders>
              <w:top w:val="nil"/>
              <w:left w:val="nil"/>
              <w:bottom w:val="single" w:sz="4" w:space="0" w:color="auto"/>
              <w:right w:val="nil"/>
            </w:tcBorders>
            <w:shd w:val="clear" w:color="auto" w:fill="auto"/>
            <w:vAlign w:val="center"/>
            <w:hideMark/>
          </w:tcPr>
          <w:p w14:paraId="519B4D88" w14:textId="77777777" w:rsidR="00C2092A" w:rsidRPr="008E63BB" w:rsidRDefault="00C2092A" w:rsidP="0065184D">
            <w:pPr>
              <w:jc w:val="left"/>
              <w:rPr>
                <w:rFonts w:eastAsia="Times New Roman"/>
                <w:sz w:val="24"/>
                <w:szCs w:val="24"/>
              </w:rPr>
            </w:pPr>
            <w:r w:rsidRPr="008E63BB">
              <w:rPr>
                <w:rFonts w:eastAsia="Times New Roman"/>
                <w:sz w:val="24"/>
                <w:szCs w:val="24"/>
              </w:rPr>
              <w:t>Đường 10</w:t>
            </w:r>
          </w:p>
        </w:tc>
        <w:tc>
          <w:tcPr>
            <w:tcW w:w="1350" w:type="dxa"/>
            <w:tcBorders>
              <w:top w:val="nil"/>
              <w:left w:val="nil"/>
              <w:bottom w:val="single" w:sz="4" w:space="0" w:color="auto"/>
              <w:right w:val="single" w:sz="4" w:space="0" w:color="auto"/>
            </w:tcBorders>
            <w:shd w:val="clear" w:color="auto" w:fill="auto"/>
            <w:vAlign w:val="center"/>
            <w:hideMark/>
          </w:tcPr>
          <w:p w14:paraId="519B4D89"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8A"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8B"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r w:rsidR="008D5BFE" w:rsidRPr="008E63BB" w14:paraId="519B4D93"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8D" w14:textId="77777777" w:rsidR="00C2092A" w:rsidRPr="008E63BB" w:rsidRDefault="00C2092A" w:rsidP="0065184D">
            <w:pPr>
              <w:jc w:val="right"/>
              <w:rPr>
                <w:rFonts w:eastAsia="Times New Roman"/>
                <w:sz w:val="24"/>
                <w:szCs w:val="24"/>
              </w:rPr>
            </w:pPr>
            <w:r w:rsidRPr="008E63BB">
              <w:rPr>
                <w:rFonts w:eastAsia="Times New Roman"/>
                <w:sz w:val="24"/>
                <w:szCs w:val="24"/>
              </w:rPr>
              <w:t>10</w:t>
            </w:r>
          </w:p>
        </w:tc>
        <w:tc>
          <w:tcPr>
            <w:tcW w:w="2115" w:type="dxa"/>
            <w:tcBorders>
              <w:top w:val="nil"/>
              <w:left w:val="nil"/>
              <w:bottom w:val="single" w:sz="4" w:space="0" w:color="auto"/>
              <w:right w:val="single" w:sz="4" w:space="0" w:color="auto"/>
            </w:tcBorders>
            <w:shd w:val="clear" w:color="auto" w:fill="auto"/>
            <w:vAlign w:val="center"/>
            <w:hideMark/>
          </w:tcPr>
          <w:p w14:paraId="519B4D8E" w14:textId="77777777" w:rsidR="00C2092A" w:rsidRPr="008E63BB" w:rsidRDefault="00C2092A" w:rsidP="0065184D">
            <w:pPr>
              <w:jc w:val="left"/>
              <w:rPr>
                <w:rFonts w:eastAsia="Times New Roman"/>
                <w:sz w:val="24"/>
                <w:szCs w:val="24"/>
              </w:rPr>
            </w:pPr>
            <w:r w:rsidRPr="008E63BB">
              <w:rPr>
                <w:rFonts w:eastAsia="Times New Roman"/>
                <w:sz w:val="24"/>
                <w:szCs w:val="24"/>
              </w:rPr>
              <w:t>Siêu thị thời trang Lama</w:t>
            </w:r>
          </w:p>
        </w:tc>
        <w:tc>
          <w:tcPr>
            <w:tcW w:w="2340" w:type="dxa"/>
            <w:tcBorders>
              <w:top w:val="nil"/>
              <w:left w:val="nil"/>
              <w:bottom w:val="single" w:sz="4" w:space="0" w:color="auto"/>
              <w:right w:val="nil"/>
            </w:tcBorders>
            <w:shd w:val="clear" w:color="auto" w:fill="auto"/>
            <w:vAlign w:val="center"/>
            <w:hideMark/>
          </w:tcPr>
          <w:p w14:paraId="519B4D8F" w14:textId="77777777" w:rsidR="00C2092A" w:rsidRPr="008E63BB" w:rsidRDefault="00C2092A" w:rsidP="0065184D">
            <w:pPr>
              <w:jc w:val="left"/>
              <w:rPr>
                <w:rFonts w:eastAsia="Times New Roman"/>
                <w:sz w:val="24"/>
                <w:szCs w:val="24"/>
              </w:rPr>
            </w:pPr>
            <w:r w:rsidRPr="008E63BB">
              <w:rPr>
                <w:rFonts w:eastAsia="Times New Roman"/>
                <w:sz w:val="24"/>
                <w:szCs w:val="24"/>
              </w:rPr>
              <w:t>26 Lê Hồng Phong</w:t>
            </w:r>
          </w:p>
        </w:tc>
        <w:tc>
          <w:tcPr>
            <w:tcW w:w="1350" w:type="dxa"/>
            <w:tcBorders>
              <w:top w:val="nil"/>
              <w:left w:val="nil"/>
              <w:bottom w:val="single" w:sz="4" w:space="0" w:color="auto"/>
              <w:right w:val="single" w:sz="4" w:space="0" w:color="auto"/>
            </w:tcBorders>
            <w:shd w:val="clear" w:color="auto" w:fill="auto"/>
            <w:vAlign w:val="center"/>
            <w:hideMark/>
          </w:tcPr>
          <w:p w14:paraId="519B4D90"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91"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92"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r w:rsidR="008D5BFE" w:rsidRPr="008E63BB" w14:paraId="519B4D9A" w14:textId="77777777" w:rsidTr="00C2092A">
        <w:trPr>
          <w:trHeight w:val="315"/>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94" w14:textId="77777777" w:rsidR="00C2092A" w:rsidRPr="008E63BB" w:rsidRDefault="00C2092A" w:rsidP="0065184D">
            <w:pPr>
              <w:jc w:val="right"/>
              <w:rPr>
                <w:rFonts w:eastAsia="Times New Roman"/>
                <w:sz w:val="24"/>
                <w:szCs w:val="24"/>
              </w:rPr>
            </w:pPr>
            <w:r w:rsidRPr="008E63BB">
              <w:rPr>
                <w:rFonts w:eastAsia="Times New Roman"/>
                <w:sz w:val="24"/>
                <w:szCs w:val="24"/>
              </w:rPr>
              <w:t>11</w:t>
            </w:r>
          </w:p>
        </w:tc>
        <w:tc>
          <w:tcPr>
            <w:tcW w:w="2115" w:type="dxa"/>
            <w:tcBorders>
              <w:top w:val="nil"/>
              <w:left w:val="nil"/>
              <w:bottom w:val="single" w:sz="4" w:space="0" w:color="auto"/>
              <w:right w:val="single" w:sz="4" w:space="0" w:color="auto"/>
            </w:tcBorders>
            <w:shd w:val="clear" w:color="auto" w:fill="auto"/>
            <w:vAlign w:val="center"/>
            <w:hideMark/>
          </w:tcPr>
          <w:p w14:paraId="519B4D95" w14:textId="77777777" w:rsidR="00C2092A" w:rsidRPr="008E63BB" w:rsidRDefault="00C2092A" w:rsidP="0065184D">
            <w:pPr>
              <w:jc w:val="left"/>
              <w:rPr>
                <w:rFonts w:eastAsia="Times New Roman"/>
                <w:sz w:val="24"/>
                <w:szCs w:val="24"/>
              </w:rPr>
            </w:pPr>
            <w:r w:rsidRPr="008E63BB">
              <w:rPr>
                <w:rFonts w:eastAsia="Times New Roman"/>
                <w:sz w:val="24"/>
                <w:szCs w:val="24"/>
              </w:rPr>
              <w:t>Trung tâm mua sắm Nguyễn Kim</w:t>
            </w:r>
          </w:p>
        </w:tc>
        <w:tc>
          <w:tcPr>
            <w:tcW w:w="2340" w:type="dxa"/>
            <w:tcBorders>
              <w:top w:val="nil"/>
              <w:left w:val="nil"/>
              <w:bottom w:val="single" w:sz="4" w:space="0" w:color="auto"/>
              <w:right w:val="nil"/>
            </w:tcBorders>
            <w:shd w:val="clear" w:color="auto" w:fill="auto"/>
            <w:vAlign w:val="center"/>
            <w:hideMark/>
          </w:tcPr>
          <w:p w14:paraId="519B4D96" w14:textId="77777777" w:rsidR="00C2092A" w:rsidRPr="008E63BB" w:rsidRDefault="00C2092A" w:rsidP="0065184D">
            <w:pPr>
              <w:jc w:val="left"/>
              <w:rPr>
                <w:rFonts w:eastAsia="Times New Roman"/>
                <w:sz w:val="24"/>
                <w:szCs w:val="24"/>
              </w:rPr>
            </w:pPr>
            <w:r w:rsidRPr="008E63BB">
              <w:rPr>
                <w:rFonts w:eastAsia="Times New Roman"/>
                <w:sz w:val="24"/>
                <w:szCs w:val="24"/>
              </w:rPr>
              <w:t>QL10, P. Lộc Hoà</w:t>
            </w:r>
          </w:p>
        </w:tc>
        <w:tc>
          <w:tcPr>
            <w:tcW w:w="1350" w:type="dxa"/>
            <w:tcBorders>
              <w:top w:val="nil"/>
              <w:left w:val="nil"/>
              <w:bottom w:val="single" w:sz="4" w:space="0" w:color="auto"/>
              <w:right w:val="single" w:sz="4" w:space="0" w:color="auto"/>
            </w:tcBorders>
            <w:shd w:val="clear" w:color="auto" w:fill="auto"/>
            <w:vAlign w:val="center"/>
            <w:hideMark/>
          </w:tcPr>
          <w:p w14:paraId="519B4D97"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98"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1880" w:type="dxa"/>
            <w:tcBorders>
              <w:top w:val="nil"/>
              <w:left w:val="nil"/>
              <w:bottom w:val="single" w:sz="4" w:space="0" w:color="auto"/>
              <w:right w:val="single" w:sz="4" w:space="0" w:color="auto"/>
            </w:tcBorders>
            <w:shd w:val="clear" w:color="auto" w:fill="auto"/>
            <w:vAlign w:val="center"/>
            <w:hideMark/>
          </w:tcPr>
          <w:p w14:paraId="519B4D99" w14:textId="77777777" w:rsidR="00C2092A" w:rsidRPr="008E63BB" w:rsidRDefault="00C2092A" w:rsidP="0065184D">
            <w:pPr>
              <w:jc w:val="left"/>
              <w:rPr>
                <w:rFonts w:eastAsia="Times New Roman"/>
                <w:sz w:val="24"/>
                <w:szCs w:val="24"/>
              </w:rPr>
            </w:pPr>
            <w:r w:rsidRPr="008E63BB">
              <w:rPr>
                <w:rFonts w:eastAsia="Times New Roman"/>
                <w:sz w:val="24"/>
                <w:szCs w:val="24"/>
              </w:rPr>
              <w:t>Chuyên doanh</w:t>
            </w:r>
          </w:p>
        </w:tc>
      </w:tr>
    </w:tbl>
    <w:p w14:paraId="519B4D9B" w14:textId="77777777" w:rsidR="00993172" w:rsidRPr="008E63BB" w:rsidRDefault="00993172" w:rsidP="0065184D">
      <w:pPr>
        <w:rPr>
          <w:i/>
          <w:szCs w:val="26"/>
        </w:rPr>
      </w:pPr>
    </w:p>
    <w:p w14:paraId="519B4D9C" w14:textId="77777777" w:rsidR="00993172" w:rsidRPr="008E63BB" w:rsidRDefault="00993172" w:rsidP="0065184D">
      <w:pPr>
        <w:jc w:val="left"/>
        <w:rPr>
          <w:i/>
          <w:sz w:val="24"/>
          <w:szCs w:val="24"/>
        </w:rPr>
      </w:pPr>
      <w:r w:rsidRPr="008E63BB">
        <w:rPr>
          <w:i/>
          <w:sz w:val="24"/>
          <w:szCs w:val="24"/>
        </w:rPr>
        <w:t>Hiện trạng hệ thống chợ tại Nam Định</w:t>
      </w:r>
    </w:p>
    <w:tbl>
      <w:tblPr>
        <w:tblW w:w="9815" w:type="dxa"/>
        <w:tblInd w:w="93" w:type="dxa"/>
        <w:tblLook w:val="04A0" w:firstRow="1" w:lastRow="0" w:firstColumn="1" w:lastColumn="0" w:noHBand="0" w:noVBand="1"/>
      </w:tblPr>
      <w:tblGrid>
        <w:gridCol w:w="600"/>
        <w:gridCol w:w="1755"/>
        <w:gridCol w:w="1710"/>
        <w:gridCol w:w="1440"/>
        <w:gridCol w:w="1180"/>
        <w:gridCol w:w="1410"/>
        <w:gridCol w:w="790"/>
        <w:gridCol w:w="930"/>
      </w:tblGrid>
      <w:tr w:rsidR="008D5BFE" w:rsidRPr="008E63BB" w14:paraId="519B4DA4" w14:textId="77777777" w:rsidTr="003D057A">
        <w:trPr>
          <w:cantSplit/>
          <w:trHeight w:val="630"/>
          <w:tblHeader/>
        </w:trPr>
        <w:tc>
          <w:tcPr>
            <w:tcW w:w="6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4D9D" w14:textId="77777777" w:rsidR="00C2092A" w:rsidRPr="008E63BB" w:rsidRDefault="00C2092A" w:rsidP="003D057A">
            <w:pPr>
              <w:jc w:val="center"/>
              <w:rPr>
                <w:rFonts w:eastAsia="Times New Roman"/>
                <w:b/>
                <w:sz w:val="24"/>
                <w:szCs w:val="24"/>
              </w:rPr>
            </w:pPr>
            <w:r w:rsidRPr="008E63BB">
              <w:rPr>
                <w:rFonts w:eastAsia="Times New Roman"/>
                <w:b/>
                <w:sz w:val="24"/>
                <w:szCs w:val="24"/>
              </w:rPr>
              <w:t>TT</w:t>
            </w:r>
          </w:p>
        </w:tc>
        <w:tc>
          <w:tcPr>
            <w:tcW w:w="1755" w:type="dxa"/>
            <w:tcBorders>
              <w:top w:val="single" w:sz="4" w:space="0" w:color="auto"/>
              <w:left w:val="nil"/>
              <w:bottom w:val="single" w:sz="4" w:space="0" w:color="auto"/>
              <w:right w:val="single" w:sz="4" w:space="0" w:color="auto"/>
            </w:tcBorders>
            <w:shd w:val="clear" w:color="auto" w:fill="auto"/>
            <w:vAlign w:val="center"/>
            <w:hideMark/>
          </w:tcPr>
          <w:p w14:paraId="519B4D9E" w14:textId="77777777" w:rsidR="00C2092A" w:rsidRPr="008E63BB" w:rsidRDefault="00C2092A" w:rsidP="003D057A">
            <w:pPr>
              <w:jc w:val="center"/>
              <w:rPr>
                <w:rFonts w:eastAsia="Times New Roman"/>
                <w:b/>
                <w:sz w:val="24"/>
                <w:szCs w:val="24"/>
              </w:rPr>
            </w:pPr>
            <w:r w:rsidRPr="008E63BB">
              <w:rPr>
                <w:rFonts w:eastAsia="Times New Roman"/>
                <w:b/>
                <w:sz w:val="24"/>
                <w:szCs w:val="24"/>
              </w:rPr>
              <w:t>Danh mục</w:t>
            </w:r>
          </w:p>
        </w:tc>
        <w:tc>
          <w:tcPr>
            <w:tcW w:w="3150" w:type="dxa"/>
            <w:gridSpan w:val="2"/>
            <w:tcBorders>
              <w:top w:val="single" w:sz="4" w:space="0" w:color="auto"/>
              <w:left w:val="nil"/>
              <w:bottom w:val="single" w:sz="4" w:space="0" w:color="auto"/>
              <w:right w:val="single" w:sz="4" w:space="0" w:color="auto"/>
            </w:tcBorders>
            <w:shd w:val="clear" w:color="auto" w:fill="auto"/>
            <w:vAlign w:val="center"/>
            <w:hideMark/>
          </w:tcPr>
          <w:p w14:paraId="519B4D9F" w14:textId="77777777" w:rsidR="00C2092A" w:rsidRPr="008E63BB" w:rsidRDefault="00C2092A" w:rsidP="003D057A">
            <w:pPr>
              <w:jc w:val="center"/>
              <w:rPr>
                <w:rFonts w:eastAsia="Times New Roman"/>
                <w:b/>
                <w:sz w:val="24"/>
                <w:szCs w:val="24"/>
              </w:rPr>
            </w:pPr>
            <w:r w:rsidRPr="008E63BB">
              <w:rPr>
                <w:rFonts w:eastAsia="Times New Roman"/>
                <w:b/>
                <w:sz w:val="24"/>
                <w:szCs w:val="24"/>
              </w:rPr>
              <w:t>Vị trí</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519B4DA0" w14:textId="77777777" w:rsidR="00C2092A" w:rsidRPr="008E63BB" w:rsidRDefault="00C2092A" w:rsidP="003D057A">
            <w:pPr>
              <w:jc w:val="center"/>
              <w:rPr>
                <w:rFonts w:eastAsia="Times New Roman"/>
                <w:b/>
                <w:sz w:val="24"/>
                <w:szCs w:val="24"/>
              </w:rPr>
            </w:pPr>
            <w:r w:rsidRPr="008E63BB">
              <w:rPr>
                <w:rFonts w:eastAsia="Times New Roman"/>
                <w:b/>
                <w:sz w:val="24"/>
                <w:szCs w:val="24"/>
              </w:rPr>
              <w:t>Diện tích đất (m2)</w:t>
            </w:r>
          </w:p>
        </w:tc>
        <w:tc>
          <w:tcPr>
            <w:tcW w:w="1410" w:type="dxa"/>
            <w:tcBorders>
              <w:top w:val="single" w:sz="4" w:space="0" w:color="auto"/>
              <w:left w:val="nil"/>
              <w:bottom w:val="single" w:sz="4" w:space="0" w:color="auto"/>
              <w:right w:val="single" w:sz="4" w:space="0" w:color="auto"/>
            </w:tcBorders>
            <w:shd w:val="clear" w:color="auto" w:fill="auto"/>
            <w:vAlign w:val="center"/>
            <w:hideMark/>
          </w:tcPr>
          <w:p w14:paraId="519B4DA1" w14:textId="77777777" w:rsidR="00C2092A" w:rsidRPr="008E63BB" w:rsidRDefault="00C2092A" w:rsidP="003D057A">
            <w:pPr>
              <w:jc w:val="center"/>
              <w:rPr>
                <w:rFonts w:eastAsia="Times New Roman"/>
                <w:b/>
                <w:sz w:val="24"/>
                <w:szCs w:val="24"/>
              </w:rPr>
            </w:pPr>
            <w:r w:rsidRPr="008E63BB">
              <w:rPr>
                <w:rFonts w:eastAsia="Times New Roman"/>
                <w:b/>
                <w:sz w:val="24"/>
                <w:szCs w:val="24"/>
              </w:rPr>
              <w:t>Tầng cao CT (tầng)</w:t>
            </w:r>
          </w:p>
        </w:tc>
        <w:tc>
          <w:tcPr>
            <w:tcW w:w="790" w:type="dxa"/>
            <w:tcBorders>
              <w:top w:val="single" w:sz="4" w:space="0" w:color="auto"/>
              <w:left w:val="nil"/>
              <w:bottom w:val="single" w:sz="4" w:space="0" w:color="auto"/>
              <w:right w:val="single" w:sz="4" w:space="0" w:color="auto"/>
            </w:tcBorders>
            <w:shd w:val="clear" w:color="auto" w:fill="auto"/>
            <w:vAlign w:val="center"/>
            <w:hideMark/>
          </w:tcPr>
          <w:p w14:paraId="519B4DA2" w14:textId="77777777" w:rsidR="00C2092A" w:rsidRPr="008E63BB" w:rsidRDefault="00C2092A" w:rsidP="003D057A">
            <w:pPr>
              <w:jc w:val="center"/>
              <w:rPr>
                <w:rFonts w:eastAsia="Times New Roman"/>
                <w:b/>
                <w:sz w:val="24"/>
                <w:szCs w:val="24"/>
              </w:rPr>
            </w:pPr>
            <w:r w:rsidRPr="008E63BB">
              <w:rPr>
                <w:rFonts w:eastAsia="Times New Roman"/>
                <w:b/>
                <w:sz w:val="24"/>
                <w:szCs w:val="24"/>
              </w:rPr>
              <w:t>Hạng</w:t>
            </w:r>
          </w:p>
        </w:tc>
        <w:tc>
          <w:tcPr>
            <w:tcW w:w="930" w:type="dxa"/>
            <w:tcBorders>
              <w:top w:val="single" w:sz="4" w:space="0" w:color="auto"/>
              <w:left w:val="nil"/>
              <w:bottom w:val="single" w:sz="4" w:space="0" w:color="auto"/>
              <w:right w:val="single" w:sz="4" w:space="0" w:color="auto"/>
            </w:tcBorders>
            <w:shd w:val="clear" w:color="auto" w:fill="auto"/>
            <w:vAlign w:val="center"/>
            <w:hideMark/>
          </w:tcPr>
          <w:p w14:paraId="519B4DA3" w14:textId="77777777" w:rsidR="00C2092A" w:rsidRPr="008E63BB" w:rsidRDefault="00C2092A" w:rsidP="003D057A">
            <w:pPr>
              <w:jc w:val="center"/>
              <w:rPr>
                <w:rFonts w:eastAsia="Times New Roman"/>
                <w:b/>
                <w:sz w:val="24"/>
                <w:szCs w:val="24"/>
              </w:rPr>
            </w:pPr>
            <w:r w:rsidRPr="008E63BB">
              <w:rPr>
                <w:rFonts w:eastAsia="Times New Roman"/>
                <w:b/>
                <w:sz w:val="24"/>
                <w:szCs w:val="24"/>
              </w:rPr>
              <w:t>Ghi chú</w:t>
            </w:r>
          </w:p>
        </w:tc>
      </w:tr>
      <w:tr w:rsidR="008D5BFE" w:rsidRPr="008E63BB" w14:paraId="519B4DAD"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A5"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c>
          <w:tcPr>
            <w:tcW w:w="1755" w:type="dxa"/>
            <w:tcBorders>
              <w:top w:val="nil"/>
              <w:left w:val="nil"/>
              <w:bottom w:val="single" w:sz="4" w:space="0" w:color="auto"/>
              <w:right w:val="single" w:sz="4" w:space="0" w:color="auto"/>
            </w:tcBorders>
            <w:shd w:val="clear" w:color="auto" w:fill="auto"/>
            <w:vAlign w:val="center"/>
            <w:hideMark/>
          </w:tcPr>
          <w:p w14:paraId="519B4DA6"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Tổng cộng</w:t>
            </w:r>
          </w:p>
        </w:tc>
        <w:tc>
          <w:tcPr>
            <w:tcW w:w="1710" w:type="dxa"/>
            <w:tcBorders>
              <w:top w:val="nil"/>
              <w:left w:val="nil"/>
              <w:bottom w:val="single" w:sz="4" w:space="0" w:color="auto"/>
              <w:right w:val="nil"/>
            </w:tcBorders>
            <w:shd w:val="clear" w:color="auto" w:fill="auto"/>
            <w:vAlign w:val="center"/>
            <w:hideMark/>
          </w:tcPr>
          <w:p w14:paraId="519B4DA7"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c>
          <w:tcPr>
            <w:tcW w:w="1440" w:type="dxa"/>
            <w:tcBorders>
              <w:top w:val="nil"/>
              <w:left w:val="nil"/>
              <w:bottom w:val="single" w:sz="4" w:space="0" w:color="auto"/>
              <w:right w:val="single" w:sz="4" w:space="0" w:color="auto"/>
            </w:tcBorders>
            <w:shd w:val="clear" w:color="auto" w:fill="auto"/>
            <w:vAlign w:val="center"/>
            <w:hideMark/>
          </w:tcPr>
          <w:p w14:paraId="519B4DA8"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c>
          <w:tcPr>
            <w:tcW w:w="1180" w:type="dxa"/>
            <w:tcBorders>
              <w:top w:val="nil"/>
              <w:left w:val="nil"/>
              <w:bottom w:val="single" w:sz="4" w:space="0" w:color="auto"/>
              <w:right w:val="single" w:sz="4" w:space="0" w:color="auto"/>
            </w:tcBorders>
            <w:shd w:val="clear" w:color="auto" w:fill="auto"/>
            <w:vAlign w:val="center"/>
            <w:hideMark/>
          </w:tcPr>
          <w:p w14:paraId="519B4DA9"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88.654</w:t>
            </w:r>
          </w:p>
        </w:tc>
        <w:tc>
          <w:tcPr>
            <w:tcW w:w="1410" w:type="dxa"/>
            <w:tcBorders>
              <w:top w:val="nil"/>
              <w:left w:val="nil"/>
              <w:bottom w:val="single" w:sz="4" w:space="0" w:color="auto"/>
              <w:right w:val="single" w:sz="4" w:space="0" w:color="auto"/>
            </w:tcBorders>
            <w:shd w:val="clear" w:color="auto" w:fill="auto"/>
            <w:vAlign w:val="center"/>
            <w:hideMark/>
          </w:tcPr>
          <w:p w14:paraId="519B4DAA"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c>
          <w:tcPr>
            <w:tcW w:w="790" w:type="dxa"/>
            <w:tcBorders>
              <w:top w:val="nil"/>
              <w:left w:val="nil"/>
              <w:bottom w:val="single" w:sz="4" w:space="0" w:color="auto"/>
              <w:right w:val="single" w:sz="4" w:space="0" w:color="auto"/>
            </w:tcBorders>
            <w:shd w:val="clear" w:color="auto" w:fill="auto"/>
            <w:vAlign w:val="center"/>
            <w:hideMark/>
          </w:tcPr>
          <w:p w14:paraId="519B4DAB"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c>
          <w:tcPr>
            <w:tcW w:w="930" w:type="dxa"/>
            <w:tcBorders>
              <w:top w:val="nil"/>
              <w:left w:val="nil"/>
              <w:bottom w:val="single" w:sz="4" w:space="0" w:color="auto"/>
              <w:right w:val="single" w:sz="4" w:space="0" w:color="auto"/>
            </w:tcBorders>
            <w:shd w:val="clear" w:color="auto" w:fill="auto"/>
            <w:vAlign w:val="center"/>
            <w:hideMark/>
          </w:tcPr>
          <w:p w14:paraId="519B4DAC" w14:textId="77777777" w:rsidR="00C2092A" w:rsidRPr="008E63BB" w:rsidRDefault="00C2092A"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4DB6"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AE" w14:textId="77777777" w:rsidR="00C2092A" w:rsidRPr="008E63BB" w:rsidRDefault="00C2092A" w:rsidP="0065184D">
            <w:pPr>
              <w:jc w:val="right"/>
              <w:rPr>
                <w:rFonts w:eastAsia="Times New Roman"/>
                <w:sz w:val="24"/>
                <w:szCs w:val="24"/>
              </w:rPr>
            </w:pPr>
            <w:r w:rsidRPr="008E63BB">
              <w:rPr>
                <w:rFonts w:eastAsia="Times New Roman"/>
                <w:sz w:val="24"/>
                <w:szCs w:val="24"/>
              </w:rPr>
              <w:t>1</w:t>
            </w:r>
          </w:p>
        </w:tc>
        <w:tc>
          <w:tcPr>
            <w:tcW w:w="1755" w:type="dxa"/>
            <w:tcBorders>
              <w:top w:val="nil"/>
              <w:left w:val="nil"/>
              <w:bottom w:val="single" w:sz="4" w:space="0" w:color="auto"/>
              <w:right w:val="single" w:sz="4" w:space="0" w:color="auto"/>
            </w:tcBorders>
            <w:shd w:val="clear" w:color="auto" w:fill="auto"/>
            <w:vAlign w:val="center"/>
            <w:hideMark/>
          </w:tcPr>
          <w:p w14:paraId="519B4DAF" w14:textId="77777777" w:rsidR="00C2092A" w:rsidRPr="008E63BB" w:rsidRDefault="00C2092A" w:rsidP="0065184D">
            <w:pPr>
              <w:jc w:val="left"/>
              <w:rPr>
                <w:rFonts w:eastAsia="Times New Roman"/>
                <w:sz w:val="24"/>
                <w:szCs w:val="24"/>
              </w:rPr>
            </w:pPr>
            <w:r w:rsidRPr="008E63BB">
              <w:rPr>
                <w:rFonts w:eastAsia="Times New Roman"/>
                <w:sz w:val="24"/>
                <w:szCs w:val="24"/>
              </w:rPr>
              <w:t>Chợ Rồng</w:t>
            </w:r>
          </w:p>
        </w:tc>
        <w:tc>
          <w:tcPr>
            <w:tcW w:w="1710" w:type="dxa"/>
            <w:tcBorders>
              <w:top w:val="nil"/>
              <w:left w:val="nil"/>
              <w:bottom w:val="single" w:sz="4" w:space="0" w:color="auto"/>
              <w:right w:val="nil"/>
            </w:tcBorders>
            <w:shd w:val="clear" w:color="auto" w:fill="auto"/>
            <w:vAlign w:val="center"/>
            <w:hideMark/>
          </w:tcPr>
          <w:p w14:paraId="519B4DB0" w14:textId="77777777" w:rsidR="00C2092A" w:rsidRPr="008E63BB" w:rsidRDefault="00C2092A" w:rsidP="0065184D">
            <w:pPr>
              <w:jc w:val="left"/>
              <w:rPr>
                <w:rFonts w:eastAsia="Times New Roman"/>
                <w:sz w:val="24"/>
                <w:szCs w:val="24"/>
              </w:rPr>
            </w:pPr>
            <w:r w:rsidRPr="008E63BB">
              <w:rPr>
                <w:rFonts w:eastAsia="Times New Roman"/>
                <w:sz w:val="24"/>
                <w:szCs w:val="24"/>
              </w:rPr>
              <w:t>Trần Hưng Đạo, P. Bà Triệu</w:t>
            </w:r>
          </w:p>
        </w:tc>
        <w:tc>
          <w:tcPr>
            <w:tcW w:w="1440" w:type="dxa"/>
            <w:tcBorders>
              <w:top w:val="nil"/>
              <w:left w:val="nil"/>
              <w:bottom w:val="single" w:sz="4" w:space="0" w:color="auto"/>
              <w:right w:val="single" w:sz="4" w:space="0" w:color="auto"/>
            </w:tcBorders>
            <w:shd w:val="clear" w:color="auto" w:fill="auto"/>
            <w:vAlign w:val="center"/>
            <w:hideMark/>
          </w:tcPr>
          <w:p w14:paraId="519B4DB1"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B2" w14:textId="77777777" w:rsidR="00C2092A" w:rsidRPr="008E63BB" w:rsidRDefault="00C2092A" w:rsidP="0065184D">
            <w:pPr>
              <w:jc w:val="right"/>
              <w:rPr>
                <w:rFonts w:eastAsia="Times New Roman"/>
                <w:sz w:val="24"/>
                <w:szCs w:val="24"/>
              </w:rPr>
            </w:pPr>
            <w:r w:rsidRPr="008E63BB">
              <w:rPr>
                <w:rFonts w:eastAsia="Times New Roman"/>
                <w:sz w:val="24"/>
                <w:szCs w:val="24"/>
              </w:rPr>
              <w:t>8.021</w:t>
            </w:r>
          </w:p>
        </w:tc>
        <w:tc>
          <w:tcPr>
            <w:tcW w:w="1410" w:type="dxa"/>
            <w:tcBorders>
              <w:top w:val="nil"/>
              <w:left w:val="nil"/>
              <w:bottom w:val="single" w:sz="4" w:space="0" w:color="auto"/>
              <w:right w:val="single" w:sz="4" w:space="0" w:color="auto"/>
            </w:tcBorders>
            <w:shd w:val="clear" w:color="auto" w:fill="auto"/>
            <w:vAlign w:val="center"/>
            <w:hideMark/>
          </w:tcPr>
          <w:p w14:paraId="519B4DB3"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DB4" w14:textId="77777777" w:rsidR="00C2092A" w:rsidRPr="008E63BB" w:rsidRDefault="00C2092A" w:rsidP="0065184D">
            <w:pPr>
              <w:jc w:val="center"/>
              <w:rPr>
                <w:rFonts w:eastAsia="Times New Roman"/>
                <w:sz w:val="24"/>
                <w:szCs w:val="24"/>
              </w:rPr>
            </w:pPr>
            <w:r w:rsidRPr="008E63BB">
              <w:rPr>
                <w:rFonts w:eastAsia="Times New Roman"/>
                <w:sz w:val="24"/>
                <w:szCs w:val="24"/>
              </w:rPr>
              <w:t>I</w:t>
            </w:r>
          </w:p>
        </w:tc>
        <w:tc>
          <w:tcPr>
            <w:tcW w:w="930" w:type="dxa"/>
            <w:tcBorders>
              <w:top w:val="nil"/>
              <w:left w:val="nil"/>
              <w:bottom w:val="single" w:sz="4" w:space="0" w:color="auto"/>
              <w:right w:val="single" w:sz="4" w:space="0" w:color="auto"/>
            </w:tcBorders>
            <w:shd w:val="clear" w:color="auto" w:fill="auto"/>
            <w:vAlign w:val="center"/>
            <w:hideMark/>
          </w:tcPr>
          <w:p w14:paraId="519B4DB5"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BF"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B7" w14:textId="77777777" w:rsidR="00C2092A" w:rsidRPr="008E63BB" w:rsidRDefault="00C2092A" w:rsidP="0065184D">
            <w:pPr>
              <w:jc w:val="right"/>
              <w:rPr>
                <w:rFonts w:eastAsia="Times New Roman"/>
                <w:sz w:val="24"/>
                <w:szCs w:val="24"/>
              </w:rPr>
            </w:pPr>
            <w:r w:rsidRPr="008E63BB">
              <w:rPr>
                <w:rFonts w:eastAsia="Times New Roman"/>
                <w:sz w:val="24"/>
                <w:szCs w:val="24"/>
              </w:rPr>
              <w:t>2</w:t>
            </w:r>
          </w:p>
        </w:tc>
        <w:tc>
          <w:tcPr>
            <w:tcW w:w="1755" w:type="dxa"/>
            <w:tcBorders>
              <w:top w:val="nil"/>
              <w:left w:val="nil"/>
              <w:bottom w:val="single" w:sz="4" w:space="0" w:color="auto"/>
              <w:right w:val="single" w:sz="4" w:space="0" w:color="auto"/>
            </w:tcBorders>
            <w:shd w:val="clear" w:color="auto" w:fill="auto"/>
            <w:vAlign w:val="center"/>
            <w:hideMark/>
          </w:tcPr>
          <w:p w14:paraId="519B4DB8" w14:textId="77777777" w:rsidR="00C2092A" w:rsidRPr="008E63BB" w:rsidRDefault="00C2092A" w:rsidP="0065184D">
            <w:pPr>
              <w:jc w:val="left"/>
              <w:rPr>
                <w:rFonts w:eastAsia="Times New Roman"/>
                <w:sz w:val="24"/>
                <w:szCs w:val="24"/>
              </w:rPr>
            </w:pPr>
            <w:r w:rsidRPr="008E63BB">
              <w:rPr>
                <w:rFonts w:eastAsia="Times New Roman"/>
                <w:sz w:val="24"/>
                <w:szCs w:val="24"/>
              </w:rPr>
              <w:t>Chợ Mỹ Tho</w:t>
            </w:r>
          </w:p>
        </w:tc>
        <w:tc>
          <w:tcPr>
            <w:tcW w:w="1710" w:type="dxa"/>
            <w:tcBorders>
              <w:top w:val="nil"/>
              <w:left w:val="nil"/>
              <w:bottom w:val="single" w:sz="4" w:space="0" w:color="auto"/>
              <w:right w:val="nil"/>
            </w:tcBorders>
            <w:shd w:val="clear" w:color="auto" w:fill="auto"/>
            <w:vAlign w:val="center"/>
            <w:hideMark/>
          </w:tcPr>
          <w:p w14:paraId="519B4DB9" w14:textId="77777777" w:rsidR="00C2092A" w:rsidRPr="008E63BB" w:rsidRDefault="00C2092A" w:rsidP="0065184D">
            <w:pPr>
              <w:jc w:val="left"/>
              <w:rPr>
                <w:rFonts w:eastAsia="Times New Roman"/>
                <w:sz w:val="24"/>
                <w:szCs w:val="24"/>
              </w:rPr>
            </w:pPr>
            <w:r w:rsidRPr="008E63BB">
              <w:rPr>
                <w:rFonts w:eastAsia="Times New Roman"/>
                <w:sz w:val="24"/>
                <w:szCs w:val="24"/>
              </w:rPr>
              <w:t>Quang Trung, P. Bà Triệu</w:t>
            </w:r>
          </w:p>
        </w:tc>
        <w:tc>
          <w:tcPr>
            <w:tcW w:w="1440" w:type="dxa"/>
            <w:tcBorders>
              <w:top w:val="nil"/>
              <w:left w:val="nil"/>
              <w:bottom w:val="single" w:sz="4" w:space="0" w:color="auto"/>
              <w:right w:val="single" w:sz="4" w:space="0" w:color="auto"/>
            </w:tcBorders>
            <w:shd w:val="clear" w:color="auto" w:fill="auto"/>
            <w:vAlign w:val="center"/>
            <w:hideMark/>
          </w:tcPr>
          <w:p w14:paraId="519B4DBA"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BB" w14:textId="77777777" w:rsidR="00C2092A" w:rsidRPr="008E63BB" w:rsidRDefault="00C2092A" w:rsidP="0065184D">
            <w:pPr>
              <w:jc w:val="right"/>
              <w:rPr>
                <w:rFonts w:eastAsia="Times New Roman"/>
                <w:sz w:val="24"/>
                <w:szCs w:val="24"/>
              </w:rPr>
            </w:pPr>
            <w:r w:rsidRPr="008E63BB">
              <w:rPr>
                <w:rFonts w:eastAsia="Times New Roman"/>
                <w:sz w:val="24"/>
                <w:szCs w:val="24"/>
              </w:rPr>
              <w:t>4.350</w:t>
            </w:r>
          </w:p>
        </w:tc>
        <w:tc>
          <w:tcPr>
            <w:tcW w:w="1410" w:type="dxa"/>
            <w:tcBorders>
              <w:top w:val="nil"/>
              <w:left w:val="nil"/>
              <w:bottom w:val="single" w:sz="4" w:space="0" w:color="auto"/>
              <w:right w:val="single" w:sz="4" w:space="0" w:color="auto"/>
            </w:tcBorders>
            <w:shd w:val="clear" w:color="auto" w:fill="auto"/>
            <w:vAlign w:val="center"/>
            <w:hideMark/>
          </w:tcPr>
          <w:p w14:paraId="519B4DBC"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DBD" w14:textId="77777777" w:rsidR="00C2092A" w:rsidRPr="008E63BB" w:rsidRDefault="00C2092A" w:rsidP="0065184D">
            <w:pPr>
              <w:jc w:val="center"/>
              <w:rPr>
                <w:rFonts w:eastAsia="Times New Roman"/>
                <w:sz w:val="24"/>
                <w:szCs w:val="24"/>
              </w:rPr>
            </w:pPr>
            <w:r w:rsidRPr="008E63BB">
              <w:rPr>
                <w:rFonts w:eastAsia="Times New Roman"/>
                <w:sz w:val="24"/>
                <w:szCs w:val="24"/>
              </w:rPr>
              <w:t>I</w:t>
            </w:r>
          </w:p>
        </w:tc>
        <w:tc>
          <w:tcPr>
            <w:tcW w:w="930" w:type="dxa"/>
            <w:tcBorders>
              <w:top w:val="nil"/>
              <w:left w:val="nil"/>
              <w:bottom w:val="single" w:sz="4" w:space="0" w:color="auto"/>
              <w:right w:val="single" w:sz="4" w:space="0" w:color="auto"/>
            </w:tcBorders>
            <w:shd w:val="clear" w:color="auto" w:fill="auto"/>
            <w:vAlign w:val="center"/>
            <w:hideMark/>
          </w:tcPr>
          <w:p w14:paraId="519B4DBE"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C8"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C0" w14:textId="77777777" w:rsidR="00C2092A" w:rsidRPr="008E63BB" w:rsidRDefault="00C2092A" w:rsidP="0065184D">
            <w:pPr>
              <w:jc w:val="right"/>
              <w:rPr>
                <w:rFonts w:eastAsia="Times New Roman"/>
                <w:sz w:val="24"/>
                <w:szCs w:val="24"/>
              </w:rPr>
            </w:pPr>
            <w:r w:rsidRPr="008E63BB">
              <w:rPr>
                <w:rFonts w:eastAsia="Times New Roman"/>
                <w:sz w:val="24"/>
                <w:szCs w:val="24"/>
              </w:rPr>
              <w:t>3</w:t>
            </w:r>
          </w:p>
        </w:tc>
        <w:tc>
          <w:tcPr>
            <w:tcW w:w="1755" w:type="dxa"/>
            <w:tcBorders>
              <w:top w:val="nil"/>
              <w:left w:val="nil"/>
              <w:bottom w:val="single" w:sz="4" w:space="0" w:color="auto"/>
              <w:right w:val="single" w:sz="4" w:space="0" w:color="auto"/>
            </w:tcBorders>
            <w:shd w:val="clear" w:color="auto" w:fill="auto"/>
            <w:vAlign w:val="center"/>
            <w:hideMark/>
          </w:tcPr>
          <w:p w14:paraId="519B4DC1" w14:textId="77777777" w:rsidR="00C2092A" w:rsidRPr="008E63BB" w:rsidRDefault="00C2092A" w:rsidP="0065184D">
            <w:pPr>
              <w:jc w:val="left"/>
              <w:rPr>
                <w:rFonts w:eastAsia="Times New Roman"/>
                <w:sz w:val="24"/>
                <w:szCs w:val="24"/>
              </w:rPr>
            </w:pPr>
            <w:r w:rsidRPr="008E63BB">
              <w:rPr>
                <w:rFonts w:eastAsia="Times New Roman"/>
                <w:sz w:val="24"/>
                <w:szCs w:val="24"/>
              </w:rPr>
              <w:t xml:space="preserve">Chợ </w:t>
            </w:r>
            <w:r w:rsidR="00450752" w:rsidRPr="008E63BB">
              <w:rPr>
                <w:rFonts w:eastAsia="Times New Roman"/>
                <w:sz w:val="24"/>
                <w:szCs w:val="24"/>
              </w:rPr>
              <w:t>Nam Định</w:t>
            </w:r>
          </w:p>
        </w:tc>
        <w:tc>
          <w:tcPr>
            <w:tcW w:w="1710" w:type="dxa"/>
            <w:tcBorders>
              <w:top w:val="nil"/>
              <w:left w:val="nil"/>
              <w:bottom w:val="single" w:sz="4" w:space="0" w:color="auto"/>
              <w:right w:val="nil"/>
            </w:tcBorders>
            <w:shd w:val="clear" w:color="auto" w:fill="auto"/>
            <w:vAlign w:val="center"/>
            <w:hideMark/>
          </w:tcPr>
          <w:p w14:paraId="519B4DC2" w14:textId="77777777" w:rsidR="00C2092A" w:rsidRPr="008E63BB" w:rsidRDefault="00C2092A" w:rsidP="0065184D">
            <w:pPr>
              <w:jc w:val="left"/>
              <w:rPr>
                <w:rFonts w:eastAsia="Times New Roman"/>
                <w:sz w:val="24"/>
                <w:szCs w:val="24"/>
              </w:rPr>
            </w:pPr>
            <w:r w:rsidRPr="008E63BB">
              <w:rPr>
                <w:rFonts w:eastAsia="Times New Roman"/>
                <w:sz w:val="24"/>
                <w:szCs w:val="24"/>
              </w:rPr>
              <w:t xml:space="preserve">Phù Nghĩa, P. </w:t>
            </w:r>
            <w:r w:rsidR="00450752" w:rsidRPr="008E63BB">
              <w:rPr>
                <w:rFonts w:eastAsia="Times New Roman"/>
                <w:sz w:val="24"/>
                <w:szCs w:val="24"/>
              </w:rPr>
              <w:t>Nam Định</w:t>
            </w:r>
          </w:p>
        </w:tc>
        <w:tc>
          <w:tcPr>
            <w:tcW w:w="1440" w:type="dxa"/>
            <w:tcBorders>
              <w:top w:val="nil"/>
              <w:left w:val="nil"/>
              <w:bottom w:val="single" w:sz="4" w:space="0" w:color="auto"/>
              <w:right w:val="single" w:sz="4" w:space="0" w:color="auto"/>
            </w:tcBorders>
            <w:shd w:val="clear" w:color="auto" w:fill="auto"/>
            <w:vAlign w:val="center"/>
            <w:hideMark/>
          </w:tcPr>
          <w:p w14:paraId="519B4DC3"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C4" w14:textId="77777777" w:rsidR="00C2092A" w:rsidRPr="008E63BB" w:rsidRDefault="00C2092A" w:rsidP="0065184D">
            <w:pPr>
              <w:jc w:val="right"/>
              <w:rPr>
                <w:rFonts w:eastAsia="Times New Roman"/>
                <w:sz w:val="24"/>
                <w:szCs w:val="24"/>
              </w:rPr>
            </w:pPr>
            <w:r w:rsidRPr="008E63BB">
              <w:rPr>
                <w:rFonts w:eastAsia="Times New Roman"/>
                <w:sz w:val="24"/>
                <w:szCs w:val="24"/>
              </w:rPr>
              <w:t>4.000</w:t>
            </w:r>
          </w:p>
        </w:tc>
        <w:tc>
          <w:tcPr>
            <w:tcW w:w="1410" w:type="dxa"/>
            <w:tcBorders>
              <w:top w:val="nil"/>
              <w:left w:val="nil"/>
              <w:bottom w:val="single" w:sz="4" w:space="0" w:color="auto"/>
              <w:right w:val="single" w:sz="4" w:space="0" w:color="auto"/>
            </w:tcBorders>
            <w:shd w:val="clear" w:color="auto" w:fill="auto"/>
            <w:vAlign w:val="center"/>
            <w:hideMark/>
          </w:tcPr>
          <w:p w14:paraId="519B4DC5"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DC6" w14:textId="77777777" w:rsidR="00C2092A" w:rsidRPr="008E63BB" w:rsidRDefault="00C2092A" w:rsidP="0065184D">
            <w:pPr>
              <w:jc w:val="center"/>
              <w:rPr>
                <w:rFonts w:eastAsia="Times New Roman"/>
                <w:sz w:val="24"/>
                <w:szCs w:val="24"/>
              </w:rPr>
            </w:pPr>
            <w:r w:rsidRPr="008E63BB">
              <w:rPr>
                <w:rFonts w:eastAsia="Times New Roman"/>
                <w:sz w:val="24"/>
                <w:szCs w:val="24"/>
              </w:rPr>
              <w:t>II</w:t>
            </w:r>
          </w:p>
        </w:tc>
        <w:tc>
          <w:tcPr>
            <w:tcW w:w="930" w:type="dxa"/>
            <w:tcBorders>
              <w:top w:val="nil"/>
              <w:left w:val="nil"/>
              <w:bottom w:val="single" w:sz="4" w:space="0" w:color="auto"/>
              <w:right w:val="single" w:sz="4" w:space="0" w:color="auto"/>
            </w:tcBorders>
            <w:shd w:val="clear" w:color="auto" w:fill="auto"/>
            <w:vAlign w:val="center"/>
            <w:hideMark/>
          </w:tcPr>
          <w:p w14:paraId="519B4DC7"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D1"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C9" w14:textId="77777777" w:rsidR="00C2092A" w:rsidRPr="008E63BB" w:rsidRDefault="00C2092A" w:rsidP="0065184D">
            <w:pPr>
              <w:jc w:val="right"/>
              <w:rPr>
                <w:rFonts w:eastAsia="Times New Roman"/>
                <w:sz w:val="24"/>
                <w:szCs w:val="24"/>
              </w:rPr>
            </w:pPr>
            <w:r w:rsidRPr="008E63BB">
              <w:rPr>
                <w:rFonts w:eastAsia="Times New Roman"/>
                <w:sz w:val="24"/>
                <w:szCs w:val="24"/>
              </w:rPr>
              <w:t>4</w:t>
            </w:r>
          </w:p>
        </w:tc>
        <w:tc>
          <w:tcPr>
            <w:tcW w:w="1755" w:type="dxa"/>
            <w:tcBorders>
              <w:top w:val="nil"/>
              <w:left w:val="nil"/>
              <w:bottom w:val="single" w:sz="4" w:space="0" w:color="auto"/>
              <w:right w:val="single" w:sz="4" w:space="0" w:color="auto"/>
            </w:tcBorders>
            <w:shd w:val="clear" w:color="auto" w:fill="auto"/>
            <w:vAlign w:val="center"/>
            <w:hideMark/>
          </w:tcPr>
          <w:p w14:paraId="519B4DCA" w14:textId="77777777" w:rsidR="00C2092A" w:rsidRPr="008E63BB" w:rsidRDefault="00C2092A" w:rsidP="0065184D">
            <w:pPr>
              <w:jc w:val="left"/>
              <w:rPr>
                <w:rFonts w:eastAsia="Times New Roman"/>
                <w:sz w:val="24"/>
                <w:szCs w:val="24"/>
              </w:rPr>
            </w:pPr>
            <w:r w:rsidRPr="008E63BB">
              <w:rPr>
                <w:rFonts w:eastAsia="Times New Roman"/>
                <w:sz w:val="24"/>
                <w:szCs w:val="24"/>
              </w:rPr>
              <w:t>Chợ Phù Long</w:t>
            </w:r>
          </w:p>
        </w:tc>
        <w:tc>
          <w:tcPr>
            <w:tcW w:w="1710" w:type="dxa"/>
            <w:tcBorders>
              <w:top w:val="nil"/>
              <w:left w:val="nil"/>
              <w:bottom w:val="single" w:sz="4" w:space="0" w:color="auto"/>
              <w:right w:val="nil"/>
            </w:tcBorders>
            <w:shd w:val="clear" w:color="auto" w:fill="auto"/>
            <w:vAlign w:val="center"/>
            <w:hideMark/>
          </w:tcPr>
          <w:p w14:paraId="519B4DCB" w14:textId="77777777" w:rsidR="00C2092A" w:rsidRPr="008E63BB" w:rsidRDefault="00C2092A" w:rsidP="0065184D">
            <w:pPr>
              <w:jc w:val="left"/>
              <w:rPr>
                <w:rFonts w:eastAsia="Times New Roman"/>
                <w:sz w:val="24"/>
                <w:szCs w:val="24"/>
              </w:rPr>
            </w:pPr>
            <w:r w:rsidRPr="008E63BB">
              <w:rPr>
                <w:rFonts w:eastAsia="Times New Roman"/>
                <w:sz w:val="24"/>
                <w:szCs w:val="24"/>
              </w:rPr>
              <w:t>Trần Nhật Duật, P. Vỵ Xuyên</w:t>
            </w:r>
          </w:p>
        </w:tc>
        <w:tc>
          <w:tcPr>
            <w:tcW w:w="1440" w:type="dxa"/>
            <w:tcBorders>
              <w:top w:val="nil"/>
              <w:left w:val="nil"/>
              <w:bottom w:val="single" w:sz="4" w:space="0" w:color="auto"/>
              <w:right w:val="single" w:sz="4" w:space="0" w:color="auto"/>
            </w:tcBorders>
            <w:shd w:val="clear" w:color="auto" w:fill="auto"/>
            <w:vAlign w:val="center"/>
            <w:hideMark/>
          </w:tcPr>
          <w:p w14:paraId="519B4DCC"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CD" w14:textId="77777777" w:rsidR="00C2092A" w:rsidRPr="008E63BB" w:rsidRDefault="00C2092A" w:rsidP="0065184D">
            <w:pPr>
              <w:jc w:val="right"/>
              <w:rPr>
                <w:rFonts w:eastAsia="Times New Roman"/>
                <w:sz w:val="24"/>
                <w:szCs w:val="24"/>
              </w:rPr>
            </w:pPr>
            <w:r w:rsidRPr="008E63BB">
              <w:rPr>
                <w:rFonts w:eastAsia="Times New Roman"/>
                <w:sz w:val="24"/>
                <w:szCs w:val="24"/>
              </w:rPr>
              <w:t>1.622</w:t>
            </w:r>
          </w:p>
        </w:tc>
        <w:tc>
          <w:tcPr>
            <w:tcW w:w="1410" w:type="dxa"/>
            <w:tcBorders>
              <w:top w:val="nil"/>
              <w:left w:val="nil"/>
              <w:bottom w:val="single" w:sz="4" w:space="0" w:color="auto"/>
              <w:right w:val="single" w:sz="4" w:space="0" w:color="auto"/>
            </w:tcBorders>
            <w:shd w:val="clear" w:color="auto" w:fill="auto"/>
            <w:vAlign w:val="center"/>
            <w:hideMark/>
          </w:tcPr>
          <w:p w14:paraId="519B4DCE"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DCF" w14:textId="77777777" w:rsidR="00C2092A" w:rsidRPr="008E63BB" w:rsidRDefault="00C2092A" w:rsidP="0065184D">
            <w:pPr>
              <w:jc w:val="center"/>
              <w:rPr>
                <w:rFonts w:eastAsia="Times New Roman"/>
                <w:sz w:val="24"/>
                <w:szCs w:val="24"/>
              </w:rPr>
            </w:pPr>
            <w:r w:rsidRPr="008E63BB">
              <w:rPr>
                <w:rFonts w:eastAsia="Times New Roman"/>
                <w:sz w:val="24"/>
                <w:szCs w:val="24"/>
              </w:rPr>
              <w:t>II</w:t>
            </w:r>
          </w:p>
        </w:tc>
        <w:tc>
          <w:tcPr>
            <w:tcW w:w="930" w:type="dxa"/>
            <w:tcBorders>
              <w:top w:val="nil"/>
              <w:left w:val="nil"/>
              <w:bottom w:val="single" w:sz="4" w:space="0" w:color="auto"/>
              <w:right w:val="single" w:sz="4" w:space="0" w:color="auto"/>
            </w:tcBorders>
            <w:shd w:val="clear" w:color="auto" w:fill="auto"/>
            <w:vAlign w:val="center"/>
            <w:hideMark/>
          </w:tcPr>
          <w:p w14:paraId="519B4DD0"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DA"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D2" w14:textId="77777777" w:rsidR="00C2092A" w:rsidRPr="008E63BB" w:rsidRDefault="00C2092A" w:rsidP="0065184D">
            <w:pPr>
              <w:jc w:val="right"/>
              <w:rPr>
                <w:rFonts w:eastAsia="Times New Roman"/>
                <w:sz w:val="24"/>
                <w:szCs w:val="24"/>
              </w:rPr>
            </w:pPr>
            <w:r w:rsidRPr="008E63BB">
              <w:rPr>
                <w:rFonts w:eastAsia="Times New Roman"/>
                <w:sz w:val="24"/>
                <w:szCs w:val="24"/>
              </w:rPr>
              <w:t>5</w:t>
            </w:r>
          </w:p>
        </w:tc>
        <w:tc>
          <w:tcPr>
            <w:tcW w:w="1755" w:type="dxa"/>
            <w:tcBorders>
              <w:top w:val="nil"/>
              <w:left w:val="nil"/>
              <w:bottom w:val="single" w:sz="4" w:space="0" w:color="auto"/>
              <w:right w:val="single" w:sz="4" w:space="0" w:color="auto"/>
            </w:tcBorders>
            <w:shd w:val="clear" w:color="auto" w:fill="auto"/>
            <w:vAlign w:val="center"/>
            <w:hideMark/>
          </w:tcPr>
          <w:p w14:paraId="519B4DD3" w14:textId="77777777" w:rsidR="00C2092A" w:rsidRPr="008E63BB" w:rsidRDefault="00C2092A" w:rsidP="0065184D">
            <w:pPr>
              <w:jc w:val="left"/>
              <w:rPr>
                <w:rFonts w:eastAsia="Times New Roman"/>
                <w:sz w:val="24"/>
                <w:szCs w:val="24"/>
              </w:rPr>
            </w:pPr>
            <w:r w:rsidRPr="008E63BB">
              <w:rPr>
                <w:rFonts w:eastAsia="Times New Roman"/>
                <w:sz w:val="24"/>
                <w:szCs w:val="24"/>
              </w:rPr>
              <w:t>Chợ Cầu Gia</w:t>
            </w:r>
          </w:p>
        </w:tc>
        <w:tc>
          <w:tcPr>
            <w:tcW w:w="1710" w:type="dxa"/>
            <w:tcBorders>
              <w:top w:val="nil"/>
              <w:left w:val="nil"/>
              <w:bottom w:val="single" w:sz="4" w:space="0" w:color="auto"/>
              <w:right w:val="nil"/>
            </w:tcBorders>
            <w:shd w:val="clear" w:color="auto" w:fill="auto"/>
            <w:vAlign w:val="center"/>
            <w:hideMark/>
          </w:tcPr>
          <w:p w14:paraId="519B4DD4" w14:textId="77777777" w:rsidR="00C2092A" w:rsidRPr="008E63BB" w:rsidRDefault="00C2092A" w:rsidP="0065184D">
            <w:pPr>
              <w:jc w:val="left"/>
              <w:rPr>
                <w:rFonts w:eastAsia="Times New Roman"/>
                <w:sz w:val="24"/>
                <w:szCs w:val="24"/>
              </w:rPr>
            </w:pPr>
            <w:r w:rsidRPr="008E63BB">
              <w:rPr>
                <w:rFonts w:eastAsia="Times New Roman"/>
                <w:sz w:val="24"/>
                <w:szCs w:val="24"/>
              </w:rPr>
              <w:t>X. Lộc An</w:t>
            </w:r>
          </w:p>
        </w:tc>
        <w:tc>
          <w:tcPr>
            <w:tcW w:w="1440" w:type="dxa"/>
            <w:tcBorders>
              <w:top w:val="nil"/>
              <w:left w:val="nil"/>
              <w:bottom w:val="single" w:sz="4" w:space="0" w:color="auto"/>
              <w:right w:val="single" w:sz="4" w:space="0" w:color="auto"/>
            </w:tcBorders>
            <w:shd w:val="clear" w:color="auto" w:fill="auto"/>
            <w:vAlign w:val="center"/>
            <w:hideMark/>
          </w:tcPr>
          <w:p w14:paraId="519B4DD5"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D6" w14:textId="77777777" w:rsidR="00C2092A" w:rsidRPr="008E63BB" w:rsidRDefault="00C2092A" w:rsidP="0065184D">
            <w:pPr>
              <w:jc w:val="right"/>
              <w:rPr>
                <w:rFonts w:eastAsia="Times New Roman"/>
                <w:sz w:val="24"/>
                <w:szCs w:val="24"/>
              </w:rPr>
            </w:pPr>
            <w:r w:rsidRPr="008E63BB">
              <w:rPr>
                <w:rFonts w:eastAsia="Times New Roman"/>
                <w:sz w:val="24"/>
                <w:szCs w:val="24"/>
              </w:rPr>
              <w:t>1.013</w:t>
            </w:r>
          </w:p>
        </w:tc>
        <w:tc>
          <w:tcPr>
            <w:tcW w:w="1410" w:type="dxa"/>
            <w:tcBorders>
              <w:top w:val="nil"/>
              <w:left w:val="nil"/>
              <w:bottom w:val="single" w:sz="4" w:space="0" w:color="auto"/>
              <w:right w:val="single" w:sz="4" w:space="0" w:color="auto"/>
            </w:tcBorders>
            <w:shd w:val="clear" w:color="auto" w:fill="auto"/>
            <w:vAlign w:val="center"/>
            <w:hideMark/>
          </w:tcPr>
          <w:p w14:paraId="519B4DD7"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DD8"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DD9"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E3"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DB" w14:textId="77777777" w:rsidR="00C2092A" w:rsidRPr="008E63BB" w:rsidRDefault="00C2092A" w:rsidP="0065184D">
            <w:pPr>
              <w:jc w:val="right"/>
              <w:rPr>
                <w:rFonts w:eastAsia="Times New Roman"/>
                <w:sz w:val="24"/>
                <w:szCs w:val="24"/>
              </w:rPr>
            </w:pPr>
            <w:r w:rsidRPr="008E63BB">
              <w:rPr>
                <w:rFonts w:eastAsia="Times New Roman"/>
                <w:sz w:val="24"/>
                <w:szCs w:val="24"/>
              </w:rPr>
              <w:lastRenderedPageBreak/>
              <w:t>6</w:t>
            </w:r>
          </w:p>
        </w:tc>
        <w:tc>
          <w:tcPr>
            <w:tcW w:w="1755" w:type="dxa"/>
            <w:tcBorders>
              <w:top w:val="nil"/>
              <w:left w:val="nil"/>
              <w:bottom w:val="single" w:sz="4" w:space="0" w:color="auto"/>
              <w:right w:val="single" w:sz="4" w:space="0" w:color="auto"/>
            </w:tcBorders>
            <w:shd w:val="clear" w:color="auto" w:fill="auto"/>
            <w:vAlign w:val="center"/>
            <w:hideMark/>
          </w:tcPr>
          <w:p w14:paraId="519B4DDC" w14:textId="77777777" w:rsidR="00C2092A" w:rsidRPr="008E63BB" w:rsidRDefault="00C2092A" w:rsidP="0065184D">
            <w:pPr>
              <w:jc w:val="left"/>
              <w:rPr>
                <w:rFonts w:eastAsia="Times New Roman"/>
                <w:sz w:val="24"/>
                <w:szCs w:val="24"/>
              </w:rPr>
            </w:pPr>
            <w:r w:rsidRPr="008E63BB">
              <w:rPr>
                <w:rFonts w:eastAsia="Times New Roman"/>
                <w:sz w:val="24"/>
                <w:szCs w:val="24"/>
              </w:rPr>
              <w:t>Chợ Cầu Ốc</w:t>
            </w:r>
          </w:p>
        </w:tc>
        <w:tc>
          <w:tcPr>
            <w:tcW w:w="1710" w:type="dxa"/>
            <w:tcBorders>
              <w:top w:val="nil"/>
              <w:left w:val="nil"/>
              <w:bottom w:val="single" w:sz="4" w:space="0" w:color="auto"/>
              <w:right w:val="nil"/>
            </w:tcBorders>
            <w:shd w:val="clear" w:color="auto" w:fill="auto"/>
            <w:vAlign w:val="center"/>
            <w:hideMark/>
          </w:tcPr>
          <w:p w14:paraId="519B4DDD" w14:textId="77777777" w:rsidR="00C2092A" w:rsidRPr="008E63BB" w:rsidRDefault="00C2092A" w:rsidP="0065184D">
            <w:pPr>
              <w:jc w:val="left"/>
              <w:rPr>
                <w:rFonts w:eastAsia="Times New Roman"/>
                <w:sz w:val="24"/>
                <w:szCs w:val="24"/>
              </w:rPr>
            </w:pPr>
            <w:r w:rsidRPr="008E63BB">
              <w:rPr>
                <w:rFonts w:eastAsia="Times New Roman"/>
                <w:sz w:val="24"/>
                <w:szCs w:val="24"/>
              </w:rPr>
              <w:t>X. Lộc Hòa</w:t>
            </w:r>
          </w:p>
        </w:tc>
        <w:tc>
          <w:tcPr>
            <w:tcW w:w="1440" w:type="dxa"/>
            <w:tcBorders>
              <w:top w:val="nil"/>
              <w:left w:val="nil"/>
              <w:bottom w:val="single" w:sz="4" w:space="0" w:color="auto"/>
              <w:right w:val="single" w:sz="4" w:space="0" w:color="auto"/>
            </w:tcBorders>
            <w:shd w:val="clear" w:color="auto" w:fill="auto"/>
            <w:vAlign w:val="center"/>
            <w:hideMark/>
          </w:tcPr>
          <w:p w14:paraId="519B4DDE"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DF" w14:textId="77777777" w:rsidR="00C2092A" w:rsidRPr="008E63BB" w:rsidRDefault="00C2092A" w:rsidP="0065184D">
            <w:pPr>
              <w:jc w:val="right"/>
              <w:rPr>
                <w:rFonts w:eastAsia="Times New Roman"/>
                <w:sz w:val="24"/>
                <w:szCs w:val="24"/>
              </w:rPr>
            </w:pPr>
            <w:r w:rsidRPr="008E63BB">
              <w:rPr>
                <w:rFonts w:eastAsia="Times New Roman"/>
                <w:sz w:val="24"/>
                <w:szCs w:val="24"/>
              </w:rPr>
              <w:t>2.287</w:t>
            </w:r>
          </w:p>
        </w:tc>
        <w:tc>
          <w:tcPr>
            <w:tcW w:w="1410" w:type="dxa"/>
            <w:tcBorders>
              <w:top w:val="nil"/>
              <w:left w:val="nil"/>
              <w:bottom w:val="single" w:sz="4" w:space="0" w:color="auto"/>
              <w:right w:val="single" w:sz="4" w:space="0" w:color="auto"/>
            </w:tcBorders>
            <w:shd w:val="clear" w:color="auto" w:fill="auto"/>
            <w:vAlign w:val="center"/>
            <w:hideMark/>
          </w:tcPr>
          <w:p w14:paraId="519B4DE0"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DE1"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DE2"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EC"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E4" w14:textId="77777777" w:rsidR="00C2092A" w:rsidRPr="008E63BB" w:rsidRDefault="00C2092A" w:rsidP="0065184D">
            <w:pPr>
              <w:jc w:val="right"/>
              <w:rPr>
                <w:rFonts w:eastAsia="Times New Roman"/>
                <w:sz w:val="24"/>
                <w:szCs w:val="24"/>
              </w:rPr>
            </w:pPr>
            <w:r w:rsidRPr="008E63BB">
              <w:rPr>
                <w:rFonts w:eastAsia="Times New Roman"/>
                <w:sz w:val="24"/>
                <w:szCs w:val="24"/>
              </w:rPr>
              <w:t>7</w:t>
            </w:r>
          </w:p>
        </w:tc>
        <w:tc>
          <w:tcPr>
            <w:tcW w:w="1755" w:type="dxa"/>
            <w:tcBorders>
              <w:top w:val="nil"/>
              <w:left w:val="nil"/>
              <w:bottom w:val="single" w:sz="4" w:space="0" w:color="auto"/>
              <w:right w:val="single" w:sz="4" w:space="0" w:color="auto"/>
            </w:tcBorders>
            <w:shd w:val="clear" w:color="auto" w:fill="auto"/>
            <w:vAlign w:val="center"/>
            <w:hideMark/>
          </w:tcPr>
          <w:p w14:paraId="519B4DE5" w14:textId="77777777" w:rsidR="00C2092A" w:rsidRPr="008E63BB" w:rsidRDefault="00C2092A" w:rsidP="0065184D">
            <w:pPr>
              <w:jc w:val="left"/>
              <w:rPr>
                <w:rFonts w:eastAsia="Times New Roman"/>
                <w:sz w:val="24"/>
                <w:szCs w:val="24"/>
              </w:rPr>
            </w:pPr>
            <w:r w:rsidRPr="008E63BB">
              <w:rPr>
                <w:rFonts w:eastAsia="Times New Roman"/>
                <w:sz w:val="24"/>
                <w:szCs w:val="24"/>
              </w:rPr>
              <w:t>Chợ Cửa Bắc</w:t>
            </w:r>
          </w:p>
        </w:tc>
        <w:tc>
          <w:tcPr>
            <w:tcW w:w="1710" w:type="dxa"/>
            <w:tcBorders>
              <w:top w:val="nil"/>
              <w:left w:val="nil"/>
              <w:bottom w:val="single" w:sz="4" w:space="0" w:color="auto"/>
              <w:right w:val="nil"/>
            </w:tcBorders>
            <w:shd w:val="clear" w:color="auto" w:fill="auto"/>
            <w:vAlign w:val="center"/>
            <w:hideMark/>
          </w:tcPr>
          <w:p w14:paraId="519B4DE6" w14:textId="77777777" w:rsidR="00C2092A" w:rsidRPr="008E63BB" w:rsidRDefault="00C2092A" w:rsidP="0065184D">
            <w:pPr>
              <w:jc w:val="left"/>
              <w:rPr>
                <w:rFonts w:eastAsia="Times New Roman"/>
                <w:sz w:val="24"/>
                <w:szCs w:val="24"/>
              </w:rPr>
            </w:pPr>
            <w:r w:rsidRPr="008E63BB">
              <w:rPr>
                <w:rFonts w:eastAsia="Times New Roman"/>
                <w:sz w:val="24"/>
                <w:szCs w:val="24"/>
              </w:rPr>
              <w:t>Đường Kênh, P. Cửa Bắc</w:t>
            </w:r>
          </w:p>
        </w:tc>
        <w:tc>
          <w:tcPr>
            <w:tcW w:w="1440" w:type="dxa"/>
            <w:tcBorders>
              <w:top w:val="nil"/>
              <w:left w:val="nil"/>
              <w:bottom w:val="single" w:sz="4" w:space="0" w:color="auto"/>
              <w:right w:val="single" w:sz="4" w:space="0" w:color="auto"/>
            </w:tcBorders>
            <w:shd w:val="clear" w:color="auto" w:fill="auto"/>
            <w:vAlign w:val="center"/>
            <w:hideMark/>
          </w:tcPr>
          <w:p w14:paraId="519B4DE7"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E8" w14:textId="77777777" w:rsidR="00C2092A" w:rsidRPr="008E63BB" w:rsidRDefault="00C2092A" w:rsidP="0065184D">
            <w:pPr>
              <w:jc w:val="right"/>
              <w:rPr>
                <w:rFonts w:eastAsia="Times New Roman"/>
                <w:sz w:val="24"/>
                <w:szCs w:val="24"/>
              </w:rPr>
            </w:pPr>
            <w:r w:rsidRPr="008E63BB">
              <w:rPr>
                <w:rFonts w:eastAsia="Times New Roman"/>
                <w:sz w:val="24"/>
                <w:szCs w:val="24"/>
              </w:rPr>
              <w:t>494</w:t>
            </w:r>
          </w:p>
        </w:tc>
        <w:tc>
          <w:tcPr>
            <w:tcW w:w="1410" w:type="dxa"/>
            <w:tcBorders>
              <w:top w:val="nil"/>
              <w:left w:val="nil"/>
              <w:bottom w:val="single" w:sz="4" w:space="0" w:color="auto"/>
              <w:right w:val="single" w:sz="4" w:space="0" w:color="auto"/>
            </w:tcBorders>
            <w:shd w:val="clear" w:color="auto" w:fill="auto"/>
            <w:vAlign w:val="center"/>
            <w:hideMark/>
          </w:tcPr>
          <w:p w14:paraId="519B4DE9"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DEA"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DEB"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F5"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ED" w14:textId="77777777" w:rsidR="00C2092A" w:rsidRPr="008E63BB" w:rsidRDefault="00C2092A" w:rsidP="0065184D">
            <w:pPr>
              <w:jc w:val="right"/>
              <w:rPr>
                <w:rFonts w:eastAsia="Times New Roman"/>
                <w:sz w:val="24"/>
                <w:szCs w:val="24"/>
              </w:rPr>
            </w:pPr>
            <w:r w:rsidRPr="008E63BB">
              <w:rPr>
                <w:rFonts w:eastAsia="Times New Roman"/>
                <w:sz w:val="24"/>
                <w:szCs w:val="24"/>
              </w:rPr>
              <w:t>8</w:t>
            </w:r>
          </w:p>
        </w:tc>
        <w:tc>
          <w:tcPr>
            <w:tcW w:w="1755" w:type="dxa"/>
            <w:tcBorders>
              <w:top w:val="nil"/>
              <w:left w:val="nil"/>
              <w:bottom w:val="single" w:sz="4" w:space="0" w:color="auto"/>
              <w:right w:val="single" w:sz="4" w:space="0" w:color="auto"/>
            </w:tcBorders>
            <w:shd w:val="clear" w:color="auto" w:fill="auto"/>
            <w:vAlign w:val="center"/>
            <w:hideMark/>
          </w:tcPr>
          <w:p w14:paraId="519B4DEE" w14:textId="77777777" w:rsidR="00C2092A" w:rsidRPr="008E63BB" w:rsidRDefault="00C2092A" w:rsidP="0065184D">
            <w:pPr>
              <w:jc w:val="left"/>
              <w:rPr>
                <w:rFonts w:eastAsia="Times New Roman"/>
                <w:sz w:val="24"/>
                <w:szCs w:val="24"/>
              </w:rPr>
            </w:pPr>
            <w:r w:rsidRPr="008E63BB">
              <w:rPr>
                <w:rFonts w:eastAsia="Times New Roman"/>
                <w:sz w:val="24"/>
                <w:szCs w:val="24"/>
              </w:rPr>
              <w:t>Chợ Cửa Trường</w:t>
            </w:r>
          </w:p>
        </w:tc>
        <w:tc>
          <w:tcPr>
            <w:tcW w:w="1710" w:type="dxa"/>
            <w:tcBorders>
              <w:top w:val="nil"/>
              <w:left w:val="nil"/>
              <w:bottom w:val="single" w:sz="4" w:space="0" w:color="auto"/>
              <w:right w:val="nil"/>
            </w:tcBorders>
            <w:shd w:val="clear" w:color="auto" w:fill="auto"/>
            <w:vAlign w:val="center"/>
            <w:hideMark/>
          </w:tcPr>
          <w:p w14:paraId="519B4DEF" w14:textId="77777777" w:rsidR="00C2092A" w:rsidRPr="008E63BB" w:rsidRDefault="00C2092A" w:rsidP="0065184D">
            <w:pPr>
              <w:jc w:val="left"/>
              <w:rPr>
                <w:rFonts w:eastAsia="Times New Roman"/>
                <w:sz w:val="24"/>
                <w:szCs w:val="24"/>
              </w:rPr>
            </w:pPr>
            <w:r w:rsidRPr="008E63BB">
              <w:rPr>
                <w:rFonts w:eastAsia="Times New Roman"/>
                <w:sz w:val="24"/>
                <w:szCs w:val="24"/>
              </w:rPr>
              <w:t>P. Ngô Quyền</w:t>
            </w:r>
          </w:p>
        </w:tc>
        <w:tc>
          <w:tcPr>
            <w:tcW w:w="1440" w:type="dxa"/>
            <w:tcBorders>
              <w:top w:val="nil"/>
              <w:left w:val="nil"/>
              <w:bottom w:val="single" w:sz="4" w:space="0" w:color="auto"/>
              <w:right w:val="single" w:sz="4" w:space="0" w:color="auto"/>
            </w:tcBorders>
            <w:shd w:val="clear" w:color="auto" w:fill="auto"/>
            <w:vAlign w:val="center"/>
            <w:hideMark/>
          </w:tcPr>
          <w:p w14:paraId="519B4DF0"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F1" w14:textId="77777777" w:rsidR="00C2092A" w:rsidRPr="008E63BB" w:rsidRDefault="00C2092A" w:rsidP="0065184D">
            <w:pPr>
              <w:jc w:val="right"/>
              <w:rPr>
                <w:rFonts w:eastAsia="Times New Roman"/>
                <w:sz w:val="24"/>
                <w:szCs w:val="24"/>
              </w:rPr>
            </w:pPr>
            <w:r w:rsidRPr="008E63BB">
              <w:rPr>
                <w:rFonts w:eastAsia="Times New Roman"/>
                <w:sz w:val="24"/>
                <w:szCs w:val="24"/>
              </w:rPr>
              <w:t>1.836</w:t>
            </w:r>
          </w:p>
        </w:tc>
        <w:tc>
          <w:tcPr>
            <w:tcW w:w="1410" w:type="dxa"/>
            <w:tcBorders>
              <w:top w:val="nil"/>
              <w:left w:val="nil"/>
              <w:bottom w:val="single" w:sz="4" w:space="0" w:color="auto"/>
              <w:right w:val="single" w:sz="4" w:space="0" w:color="auto"/>
            </w:tcBorders>
            <w:shd w:val="clear" w:color="auto" w:fill="auto"/>
            <w:vAlign w:val="center"/>
            <w:hideMark/>
          </w:tcPr>
          <w:p w14:paraId="519B4DF2"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DF3"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DF4"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DFE"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F6" w14:textId="77777777" w:rsidR="00C2092A" w:rsidRPr="008E63BB" w:rsidRDefault="00C2092A" w:rsidP="0065184D">
            <w:pPr>
              <w:jc w:val="right"/>
              <w:rPr>
                <w:rFonts w:eastAsia="Times New Roman"/>
                <w:sz w:val="24"/>
                <w:szCs w:val="24"/>
              </w:rPr>
            </w:pPr>
            <w:r w:rsidRPr="008E63BB">
              <w:rPr>
                <w:rFonts w:eastAsia="Times New Roman"/>
                <w:sz w:val="24"/>
                <w:szCs w:val="24"/>
              </w:rPr>
              <w:t>9</w:t>
            </w:r>
          </w:p>
        </w:tc>
        <w:tc>
          <w:tcPr>
            <w:tcW w:w="1755" w:type="dxa"/>
            <w:tcBorders>
              <w:top w:val="nil"/>
              <w:left w:val="nil"/>
              <w:bottom w:val="single" w:sz="4" w:space="0" w:color="auto"/>
              <w:right w:val="single" w:sz="4" w:space="0" w:color="auto"/>
            </w:tcBorders>
            <w:shd w:val="clear" w:color="auto" w:fill="auto"/>
            <w:vAlign w:val="center"/>
            <w:hideMark/>
          </w:tcPr>
          <w:p w14:paraId="519B4DF7" w14:textId="77777777" w:rsidR="00C2092A" w:rsidRPr="008E63BB" w:rsidRDefault="00C2092A" w:rsidP="0065184D">
            <w:pPr>
              <w:jc w:val="left"/>
              <w:rPr>
                <w:rFonts w:eastAsia="Times New Roman"/>
                <w:sz w:val="24"/>
                <w:szCs w:val="24"/>
              </w:rPr>
            </w:pPr>
            <w:r w:rsidRPr="008E63BB">
              <w:rPr>
                <w:rFonts w:eastAsia="Times New Roman"/>
                <w:sz w:val="24"/>
                <w:szCs w:val="24"/>
              </w:rPr>
              <w:t>Chợ Diên Hồng</w:t>
            </w:r>
          </w:p>
        </w:tc>
        <w:tc>
          <w:tcPr>
            <w:tcW w:w="1710" w:type="dxa"/>
            <w:tcBorders>
              <w:top w:val="nil"/>
              <w:left w:val="nil"/>
              <w:bottom w:val="single" w:sz="4" w:space="0" w:color="auto"/>
              <w:right w:val="nil"/>
            </w:tcBorders>
            <w:shd w:val="clear" w:color="auto" w:fill="auto"/>
            <w:vAlign w:val="center"/>
            <w:hideMark/>
          </w:tcPr>
          <w:p w14:paraId="519B4DF8" w14:textId="77777777" w:rsidR="00C2092A" w:rsidRPr="008E63BB" w:rsidRDefault="00C2092A" w:rsidP="0065184D">
            <w:pPr>
              <w:jc w:val="left"/>
              <w:rPr>
                <w:rFonts w:eastAsia="Times New Roman"/>
                <w:sz w:val="24"/>
                <w:szCs w:val="24"/>
              </w:rPr>
            </w:pPr>
            <w:r w:rsidRPr="008E63BB">
              <w:rPr>
                <w:rFonts w:eastAsia="Times New Roman"/>
                <w:sz w:val="24"/>
                <w:szCs w:val="24"/>
              </w:rPr>
              <w:t>P. Nguyễn Du</w:t>
            </w:r>
          </w:p>
        </w:tc>
        <w:tc>
          <w:tcPr>
            <w:tcW w:w="1440" w:type="dxa"/>
            <w:tcBorders>
              <w:top w:val="nil"/>
              <w:left w:val="nil"/>
              <w:bottom w:val="single" w:sz="4" w:space="0" w:color="auto"/>
              <w:right w:val="single" w:sz="4" w:space="0" w:color="auto"/>
            </w:tcBorders>
            <w:shd w:val="clear" w:color="auto" w:fill="auto"/>
            <w:vAlign w:val="center"/>
            <w:hideMark/>
          </w:tcPr>
          <w:p w14:paraId="519B4DF9"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DFA" w14:textId="77777777" w:rsidR="00C2092A" w:rsidRPr="008E63BB" w:rsidRDefault="00C2092A" w:rsidP="0065184D">
            <w:pPr>
              <w:jc w:val="right"/>
              <w:rPr>
                <w:rFonts w:eastAsia="Times New Roman"/>
                <w:sz w:val="24"/>
                <w:szCs w:val="24"/>
              </w:rPr>
            </w:pPr>
            <w:r w:rsidRPr="008E63BB">
              <w:rPr>
                <w:rFonts w:eastAsia="Times New Roman"/>
                <w:sz w:val="24"/>
                <w:szCs w:val="24"/>
              </w:rPr>
              <w:t>1.500</w:t>
            </w:r>
          </w:p>
        </w:tc>
        <w:tc>
          <w:tcPr>
            <w:tcW w:w="1410" w:type="dxa"/>
            <w:tcBorders>
              <w:top w:val="nil"/>
              <w:left w:val="nil"/>
              <w:bottom w:val="single" w:sz="4" w:space="0" w:color="auto"/>
              <w:right w:val="single" w:sz="4" w:space="0" w:color="auto"/>
            </w:tcBorders>
            <w:shd w:val="clear" w:color="auto" w:fill="auto"/>
            <w:vAlign w:val="center"/>
            <w:hideMark/>
          </w:tcPr>
          <w:p w14:paraId="519B4DFB"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DFC"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DFD"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07"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DFF" w14:textId="77777777" w:rsidR="00C2092A" w:rsidRPr="008E63BB" w:rsidRDefault="00C2092A" w:rsidP="0065184D">
            <w:pPr>
              <w:jc w:val="right"/>
              <w:rPr>
                <w:rFonts w:eastAsia="Times New Roman"/>
                <w:sz w:val="24"/>
                <w:szCs w:val="24"/>
              </w:rPr>
            </w:pPr>
            <w:r w:rsidRPr="008E63BB">
              <w:rPr>
                <w:rFonts w:eastAsia="Times New Roman"/>
                <w:sz w:val="24"/>
                <w:szCs w:val="24"/>
              </w:rPr>
              <w:t>10</w:t>
            </w:r>
          </w:p>
        </w:tc>
        <w:tc>
          <w:tcPr>
            <w:tcW w:w="1755" w:type="dxa"/>
            <w:tcBorders>
              <w:top w:val="nil"/>
              <w:left w:val="nil"/>
              <w:bottom w:val="single" w:sz="4" w:space="0" w:color="auto"/>
              <w:right w:val="single" w:sz="4" w:space="0" w:color="auto"/>
            </w:tcBorders>
            <w:shd w:val="clear" w:color="auto" w:fill="auto"/>
            <w:vAlign w:val="center"/>
            <w:hideMark/>
          </w:tcPr>
          <w:p w14:paraId="519B4E00" w14:textId="77777777" w:rsidR="00C2092A" w:rsidRPr="008E63BB" w:rsidRDefault="00C2092A" w:rsidP="0065184D">
            <w:pPr>
              <w:jc w:val="left"/>
              <w:rPr>
                <w:rFonts w:eastAsia="Times New Roman"/>
                <w:sz w:val="24"/>
                <w:szCs w:val="24"/>
              </w:rPr>
            </w:pPr>
            <w:r w:rsidRPr="008E63BB">
              <w:rPr>
                <w:rFonts w:eastAsia="Times New Roman"/>
                <w:sz w:val="24"/>
                <w:szCs w:val="24"/>
              </w:rPr>
              <w:t>Chợ Đò Quan</w:t>
            </w:r>
          </w:p>
        </w:tc>
        <w:tc>
          <w:tcPr>
            <w:tcW w:w="1710" w:type="dxa"/>
            <w:tcBorders>
              <w:top w:val="nil"/>
              <w:left w:val="nil"/>
              <w:bottom w:val="single" w:sz="4" w:space="0" w:color="auto"/>
              <w:right w:val="nil"/>
            </w:tcBorders>
            <w:shd w:val="clear" w:color="auto" w:fill="auto"/>
            <w:vAlign w:val="center"/>
            <w:hideMark/>
          </w:tcPr>
          <w:p w14:paraId="519B4E01" w14:textId="77777777" w:rsidR="00C2092A" w:rsidRPr="008E63BB" w:rsidRDefault="00C2092A" w:rsidP="0065184D">
            <w:pPr>
              <w:jc w:val="left"/>
              <w:rPr>
                <w:rFonts w:eastAsia="Times New Roman"/>
                <w:sz w:val="24"/>
                <w:szCs w:val="24"/>
              </w:rPr>
            </w:pPr>
            <w:r w:rsidRPr="008E63BB">
              <w:rPr>
                <w:rFonts w:eastAsia="Times New Roman"/>
                <w:sz w:val="24"/>
                <w:szCs w:val="24"/>
              </w:rPr>
              <w:t>Đò Quan, P. Cửa Nam</w:t>
            </w:r>
          </w:p>
        </w:tc>
        <w:tc>
          <w:tcPr>
            <w:tcW w:w="1440" w:type="dxa"/>
            <w:tcBorders>
              <w:top w:val="nil"/>
              <w:left w:val="nil"/>
              <w:bottom w:val="single" w:sz="4" w:space="0" w:color="auto"/>
              <w:right w:val="single" w:sz="4" w:space="0" w:color="auto"/>
            </w:tcBorders>
            <w:shd w:val="clear" w:color="auto" w:fill="auto"/>
            <w:vAlign w:val="center"/>
            <w:hideMark/>
          </w:tcPr>
          <w:p w14:paraId="519B4E02"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03" w14:textId="77777777" w:rsidR="00C2092A" w:rsidRPr="008E63BB" w:rsidRDefault="00C2092A" w:rsidP="0065184D">
            <w:pPr>
              <w:jc w:val="right"/>
              <w:rPr>
                <w:rFonts w:eastAsia="Times New Roman"/>
                <w:sz w:val="24"/>
                <w:szCs w:val="24"/>
              </w:rPr>
            </w:pPr>
            <w:r w:rsidRPr="008E63BB">
              <w:rPr>
                <w:rFonts w:eastAsia="Times New Roman"/>
                <w:sz w:val="24"/>
                <w:szCs w:val="24"/>
              </w:rPr>
              <w:t>2.576</w:t>
            </w:r>
          </w:p>
        </w:tc>
        <w:tc>
          <w:tcPr>
            <w:tcW w:w="1410" w:type="dxa"/>
            <w:tcBorders>
              <w:top w:val="nil"/>
              <w:left w:val="nil"/>
              <w:bottom w:val="single" w:sz="4" w:space="0" w:color="auto"/>
              <w:right w:val="single" w:sz="4" w:space="0" w:color="auto"/>
            </w:tcBorders>
            <w:shd w:val="clear" w:color="auto" w:fill="auto"/>
            <w:vAlign w:val="center"/>
            <w:hideMark/>
          </w:tcPr>
          <w:p w14:paraId="519B4E04"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05"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06"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10"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08" w14:textId="77777777" w:rsidR="00C2092A" w:rsidRPr="008E63BB" w:rsidRDefault="00C2092A" w:rsidP="0065184D">
            <w:pPr>
              <w:jc w:val="right"/>
              <w:rPr>
                <w:rFonts w:eastAsia="Times New Roman"/>
                <w:sz w:val="24"/>
                <w:szCs w:val="24"/>
              </w:rPr>
            </w:pPr>
            <w:r w:rsidRPr="008E63BB">
              <w:rPr>
                <w:rFonts w:eastAsia="Times New Roman"/>
                <w:sz w:val="24"/>
                <w:szCs w:val="24"/>
              </w:rPr>
              <w:t>11</w:t>
            </w:r>
          </w:p>
        </w:tc>
        <w:tc>
          <w:tcPr>
            <w:tcW w:w="1755" w:type="dxa"/>
            <w:tcBorders>
              <w:top w:val="nil"/>
              <w:left w:val="nil"/>
              <w:bottom w:val="single" w:sz="4" w:space="0" w:color="auto"/>
              <w:right w:val="single" w:sz="4" w:space="0" w:color="auto"/>
            </w:tcBorders>
            <w:shd w:val="clear" w:color="auto" w:fill="auto"/>
            <w:vAlign w:val="center"/>
            <w:hideMark/>
          </w:tcPr>
          <w:p w14:paraId="519B4E09" w14:textId="77777777" w:rsidR="00C2092A" w:rsidRPr="008E63BB" w:rsidRDefault="00C2092A" w:rsidP="0065184D">
            <w:pPr>
              <w:jc w:val="left"/>
              <w:rPr>
                <w:rFonts w:eastAsia="Times New Roman"/>
                <w:sz w:val="24"/>
                <w:szCs w:val="24"/>
              </w:rPr>
            </w:pPr>
            <w:r w:rsidRPr="008E63BB">
              <w:rPr>
                <w:rFonts w:eastAsia="Times New Roman"/>
                <w:sz w:val="24"/>
                <w:szCs w:val="24"/>
              </w:rPr>
              <w:t>Chợ Đông Mạc</w:t>
            </w:r>
          </w:p>
        </w:tc>
        <w:tc>
          <w:tcPr>
            <w:tcW w:w="1710" w:type="dxa"/>
            <w:tcBorders>
              <w:top w:val="nil"/>
              <w:left w:val="nil"/>
              <w:bottom w:val="single" w:sz="4" w:space="0" w:color="auto"/>
              <w:right w:val="nil"/>
            </w:tcBorders>
            <w:shd w:val="clear" w:color="auto" w:fill="auto"/>
            <w:vAlign w:val="center"/>
            <w:hideMark/>
          </w:tcPr>
          <w:p w14:paraId="519B4E0A" w14:textId="77777777" w:rsidR="00C2092A" w:rsidRPr="008E63BB" w:rsidRDefault="00C2092A" w:rsidP="0065184D">
            <w:pPr>
              <w:jc w:val="left"/>
              <w:rPr>
                <w:rFonts w:eastAsia="Times New Roman"/>
                <w:sz w:val="24"/>
                <w:szCs w:val="24"/>
              </w:rPr>
            </w:pPr>
            <w:r w:rsidRPr="008E63BB">
              <w:rPr>
                <w:rFonts w:eastAsia="Times New Roman"/>
                <w:sz w:val="24"/>
                <w:szCs w:val="24"/>
              </w:rPr>
              <w:t>P. Thống Nhất</w:t>
            </w:r>
          </w:p>
        </w:tc>
        <w:tc>
          <w:tcPr>
            <w:tcW w:w="1440" w:type="dxa"/>
            <w:tcBorders>
              <w:top w:val="nil"/>
              <w:left w:val="nil"/>
              <w:bottom w:val="single" w:sz="4" w:space="0" w:color="auto"/>
              <w:right w:val="single" w:sz="4" w:space="0" w:color="auto"/>
            </w:tcBorders>
            <w:shd w:val="clear" w:color="auto" w:fill="auto"/>
            <w:vAlign w:val="center"/>
            <w:hideMark/>
          </w:tcPr>
          <w:p w14:paraId="519B4E0B"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0C" w14:textId="77777777" w:rsidR="00C2092A" w:rsidRPr="008E63BB" w:rsidRDefault="00C2092A" w:rsidP="0065184D">
            <w:pPr>
              <w:jc w:val="right"/>
              <w:rPr>
                <w:rFonts w:eastAsia="Times New Roman"/>
                <w:sz w:val="24"/>
                <w:szCs w:val="24"/>
              </w:rPr>
            </w:pPr>
            <w:r w:rsidRPr="008E63BB">
              <w:rPr>
                <w:rFonts w:eastAsia="Times New Roman"/>
                <w:sz w:val="24"/>
                <w:szCs w:val="24"/>
              </w:rPr>
              <w:t>2.263</w:t>
            </w:r>
          </w:p>
        </w:tc>
        <w:tc>
          <w:tcPr>
            <w:tcW w:w="1410" w:type="dxa"/>
            <w:tcBorders>
              <w:top w:val="nil"/>
              <w:left w:val="nil"/>
              <w:bottom w:val="single" w:sz="4" w:space="0" w:color="auto"/>
              <w:right w:val="single" w:sz="4" w:space="0" w:color="auto"/>
            </w:tcBorders>
            <w:shd w:val="clear" w:color="auto" w:fill="auto"/>
            <w:vAlign w:val="center"/>
            <w:hideMark/>
          </w:tcPr>
          <w:p w14:paraId="519B4E0D"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0E"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0F"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19"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11" w14:textId="77777777" w:rsidR="00C2092A" w:rsidRPr="008E63BB" w:rsidRDefault="00C2092A" w:rsidP="0065184D">
            <w:pPr>
              <w:jc w:val="right"/>
              <w:rPr>
                <w:rFonts w:eastAsia="Times New Roman"/>
                <w:sz w:val="24"/>
                <w:szCs w:val="24"/>
              </w:rPr>
            </w:pPr>
            <w:r w:rsidRPr="008E63BB">
              <w:rPr>
                <w:rFonts w:eastAsia="Times New Roman"/>
                <w:sz w:val="24"/>
                <w:szCs w:val="24"/>
              </w:rPr>
              <w:t>12</w:t>
            </w:r>
          </w:p>
        </w:tc>
        <w:tc>
          <w:tcPr>
            <w:tcW w:w="1755" w:type="dxa"/>
            <w:tcBorders>
              <w:top w:val="nil"/>
              <w:left w:val="nil"/>
              <w:bottom w:val="single" w:sz="4" w:space="0" w:color="auto"/>
              <w:right w:val="single" w:sz="4" w:space="0" w:color="auto"/>
            </w:tcBorders>
            <w:shd w:val="clear" w:color="auto" w:fill="auto"/>
            <w:vAlign w:val="center"/>
            <w:hideMark/>
          </w:tcPr>
          <w:p w14:paraId="519B4E12" w14:textId="77777777" w:rsidR="00C2092A" w:rsidRPr="008E63BB" w:rsidRDefault="00C2092A" w:rsidP="0065184D">
            <w:pPr>
              <w:jc w:val="left"/>
              <w:rPr>
                <w:rFonts w:eastAsia="Times New Roman"/>
                <w:sz w:val="24"/>
                <w:szCs w:val="24"/>
              </w:rPr>
            </w:pPr>
            <w:r w:rsidRPr="008E63BB">
              <w:rPr>
                <w:rFonts w:eastAsia="Times New Roman"/>
                <w:sz w:val="24"/>
                <w:szCs w:val="24"/>
              </w:rPr>
              <w:t>Chợ giết mổ gia súc, gia cầm</w:t>
            </w:r>
          </w:p>
        </w:tc>
        <w:tc>
          <w:tcPr>
            <w:tcW w:w="1710" w:type="dxa"/>
            <w:tcBorders>
              <w:top w:val="nil"/>
              <w:left w:val="nil"/>
              <w:bottom w:val="single" w:sz="4" w:space="0" w:color="auto"/>
              <w:right w:val="nil"/>
            </w:tcBorders>
            <w:shd w:val="clear" w:color="auto" w:fill="auto"/>
            <w:vAlign w:val="center"/>
            <w:hideMark/>
          </w:tcPr>
          <w:p w14:paraId="519B4E13" w14:textId="77777777" w:rsidR="00C2092A" w:rsidRPr="008E63BB" w:rsidRDefault="00C2092A" w:rsidP="0065184D">
            <w:pPr>
              <w:jc w:val="left"/>
              <w:rPr>
                <w:rFonts w:eastAsia="Times New Roman"/>
                <w:sz w:val="24"/>
                <w:szCs w:val="24"/>
              </w:rPr>
            </w:pPr>
            <w:r w:rsidRPr="008E63BB">
              <w:rPr>
                <w:rFonts w:eastAsia="Times New Roman"/>
                <w:sz w:val="24"/>
                <w:szCs w:val="24"/>
              </w:rPr>
              <w:t>X. Mỹ Xá</w:t>
            </w:r>
          </w:p>
        </w:tc>
        <w:tc>
          <w:tcPr>
            <w:tcW w:w="1440" w:type="dxa"/>
            <w:tcBorders>
              <w:top w:val="nil"/>
              <w:left w:val="nil"/>
              <w:bottom w:val="single" w:sz="4" w:space="0" w:color="auto"/>
              <w:right w:val="single" w:sz="4" w:space="0" w:color="auto"/>
            </w:tcBorders>
            <w:shd w:val="clear" w:color="auto" w:fill="auto"/>
            <w:vAlign w:val="center"/>
            <w:hideMark/>
          </w:tcPr>
          <w:p w14:paraId="519B4E14"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15" w14:textId="77777777" w:rsidR="00C2092A" w:rsidRPr="008E63BB" w:rsidRDefault="00C2092A" w:rsidP="0065184D">
            <w:pPr>
              <w:jc w:val="right"/>
              <w:rPr>
                <w:rFonts w:eastAsia="Times New Roman"/>
                <w:sz w:val="24"/>
                <w:szCs w:val="24"/>
              </w:rPr>
            </w:pPr>
            <w:r w:rsidRPr="008E63BB">
              <w:rPr>
                <w:rFonts w:eastAsia="Times New Roman"/>
                <w:sz w:val="24"/>
                <w:szCs w:val="24"/>
              </w:rPr>
              <w:t> </w:t>
            </w:r>
          </w:p>
        </w:tc>
        <w:tc>
          <w:tcPr>
            <w:tcW w:w="1410" w:type="dxa"/>
            <w:tcBorders>
              <w:top w:val="nil"/>
              <w:left w:val="nil"/>
              <w:bottom w:val="single" w:sz="4" w:space="0" w:color="auto"/>
              <w:right w:val="single" w:sz="4" w:space="0" w:color="auto"/>
            </w:tcBorders>
            <w:shd w:val="clear" w:color="auto" w:fill="auto"/>
            <w:vAlign w:val="center"/>
            <w:hideMark/>
          </w:tcPr>
          <w:p w14:paraId="519B4E16"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c>
          <w:tcPr>
            <w:tcW w:w="790" w:type="dxa"/>
            <w:tcBorders>
              <w:top w:val="nil"/>
              <w:left w:val="nil"/>
              <w:bottom w:val="single" w:sz="4" w:space="0" w:color="auto"/>
              <w:right w:val="single" w:sz="4" w:space="0" w:color="auto"/>
            </w:tcBorders>
            <w:shd w:val="clear" w:color="auto" w:fill="auto"/>
            <w:vAlign w:val="center"/>
            <w:hideMark/>
          </w:tcPr>
          <w:p w14:paraId="519B4E17"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18" w14:textId="77777777" w:rsidR="00C2092A" w:rsidRPr="008E63BB" w:rsidRDefault="00C2092A" w:rsidP="0065184D">
            <w:pPr>
              <w:jc w:val="left"/>
              <w:rPr>
                <w:rFonts w:eastAsia="Times New Roman"/>
                <w:sz w:val="24"/>
                <w:szCs w:val="24"/>
              </w:rPr>
            </w:pPr>
            <w:r w:rsidRPr="008E63BB">
              <w:rPr>
                <w:rFonts w:eastAsia="Times New Roman"/>
                <w:sz w:val="24"/>
                <w:szCs w:val="24"/>
              </w:rPr>
              <w:t>chưa hoạt động</w:t>
            </w:r>
          </w:p>
        </w:tc>
      </w:tr>
      <w:tr w:rsidR="008D5BFE" w:rsidRPr="008E63BB" w14:paraId="519B4E22"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1A" w14:textId="77777777" w:rsidR="00C2092A" w:rsidRPr="008E63BB" w:rsidRDefault="00C2092A" w:rsidP="0065184D">
            <w:pPr>
              <w:jc w:val="right"/>
              <w:rPr>
                <w:rFonts w:eastAsia="Times New Roman"/>
                <w:sz w:val="24"/>
                <w:szCs w:val="24"/>
              </w:rPr>
            </w:pPr>
            <w:r w:rsidRPr="008E63BB">
              <w:rPr>
                <w:rFonts w:eastAsia="Times New Roman"/>
                <w:sz w:val="24"/>
                <w:szCs w:val="24"/>
              </w:rPr>
              <w:t>13</w:t>
            </w:r>
          </w:p>
        </w:tc>
        <w:tc>
          <w:tcPr>
            <w:tcW w:w="1755" w:type="dxa"/>
            <w:tcBorders>
              <w:top w:val="nil"/>
              <w:left w:val="nil"/>
              <w:bottom w:val="single" w:sz="4" w:space="0" w:color="auto"/>
              <w:right w:val="single" w:sz="4" w:space="0" w:color="auto"/>
            </w:tcBorders>
            <w:shd w:val="clear" w:color="auto" w:fill="auto"/>
            <w:vAlign w:val="center"/>
            <w:hideMark/>
          </w:tcPr>
          <w:p w14:paraId="519B4E1B" w14:textId="77777777" w:rsidR="00C2092A" w:rsidRPr="008E63BB" w:rsidRDefault="00C2092A" w:rsidP="0065184D">
            <w:pPr>
              <w:jc w:val="left"/>
              <w:rPr>
                <w:rFonts w:eastAsia="Times New Roman"/>
                <w:sz w:val="24"/>
                <w:szCs w:val="24"/>
              </w:rPr>
            </w:pPr>
            <w:r w:rsidRPr="008E63BB">
              <w:rPr>
                <w:rFonts w:eastAsia="Times New Roman"/>
                <w:sz w:val="24"/>
                <w:szCs w:val="24"/>
              </w:rPr>
              <w:t>Chợ Hoàng Ngân</w:t>
            </w:r>
          </w:p>
        </w:tc>
        <w:tc>
          <w:tcPr>
            <w:tcW w:w="1710" w:type="dxa"/>
            <w:tcBorders>
              <w:top w:val="nil"/>
              <w:left w:val="nil"/>
              <w:bottom w:val="single" w:sz="4" w:space="0" w:color="auto"/>
              <w:right w:val="nil"/>
            </w:tcBorders>
            <w:shd w:val="clear" w:color="auto" w:fill="auto"/>
            <w:vAlign w:val="center"/>
            <w:hideMark/>
          </w:tcPr>
          <w:p w14:paraId="519B4E1C" w14:textId="77777777" w:rsidR="00C2092A" w:rsidRPr="008E63BB" w:rsidRDefault="00C2092A" w:rsidP="0065184D">
            <w:pPr>
              <w:jc w:val="left"/>
              <w:rPr>
                <w:rFonts w:eastAsia="Times New Roman"/>
                <w:sz w:val="24"/>
                <w:szCs w:val="24"/>
              </w:rPr>
            </w:pPr>
            <w:r w:rsidRPr="008E63BB">
              <w:rPr>
                <w:rFonts w:eastAsia="Times New Roman"/>
                <w:sz w:val="24"/>
                <w:szCs w:val="24"/>
              </w:rPr>
              <w:t>Hoàng Ngân, P. Phan Đình Phùng</w:t>
            </w:r>
          </w:p>
        </w:tc>
        <w:tc>
          <w:tcPr>
            <w:tcW w:w="1440" w:type="dxa"/>
            <w:tcBorders>
              <w:top w:val="nil"/>
              <w:left w:val="nil"/>
              <w:bottom w:val="single" w:sz="4" w:space="0" w:color="auto"/>
              <w:right w:val="single" w:sz="4" w:space="0" w:color="auto"/>
            </w:tcBorders>
            <w:shd w:val="clear" w:color="auto" w:fill="auto"/>
            <w:vAlign w:val="center"/>
            <w:hideMark/>
          </w:tcPr>
          <w:p w14:paraId="519B4E1D"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1E" w14:textId="77777777" w:rsidR="00C2092A" w:rsidRPr="008E63BB" w:rsidRDefault="00C2092A" w:rsidP="0065184D">
            <w:pPr>
              <w:jc w:val="right"/>
              <w:rPr>
                <w:rFonts w:eastAsia="Times New Roman"/>
                <w:sz w:val="24"/>
                <w:szCs w:val="24"/>
              </w:rPr>
            </w:pPr>
            <w:r w:rsidRPr="008E63BB">
              <w:rPr>
                <w:rFonts w:eastAsia="Times New Roman"/>
                <w:sz w:val="24"/>
                <w:szCs w:val="24"/>
              </w:rPr>
              <w:t>800</w:t>
            </w:r>
          </w:p>
        </w:tc>
        <w:tc>
          <w:tcPr>
            <w:tcW w:w="1410" w:type="dxa"/>
            <w:tcBorders>
              <w:top w:val="nil"/>
              <w:left w:val="nil"/>
              <w:bottom w:val="single" w:sz="4" w:space="0" w:color="auto"/>
              <w:right w:val="single" w:sz="4" w:space="0" w:color="auto"/>
            </w:tcBorders>
            <w:shd w:val="clear" w:color="auto" w:fill="auto"/>
            <w:vAlign w:val="center"/>
            <w:hideMark/>
          </w:tcPr>
          <w:p w14:paraId="519B4E1F"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E20"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21"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2B"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23" w14:textId="77777777" w:rsidR="00C2092A" w:rsidRPr="008E63BB" w:rsidRDefault="00C2092A" w:rsidP="0065184D">
            <w:pPr>
              <w:jc w:val="right"/>
              <w:rPr>
                <w:rFonts w:eastAsia="Times New Roman"/>
                <w:sz w:val="24"/>
                <w:szCs w:val="24"/>
              </w:rPr>
            </w:pPr>
            <w:r w:rsidRPr="008E63BB">
              <w:rPr>
                <w:rFonts w:eastAsia="Times New Roman"/>
                <w:sz w:val="24"/>
                <w:szCs w:val="24"/>
              </w:rPr>
              <w:t>14</w:t>
            </w:r>
          </w:p>
        </w:tc>
        <w:tc>
          <w:tcPr>
            <w:tcW w:w="1755" w:type="dxa"/>
            <w:tcBorders>
              <w:top w:val="nil"/>
              <w:left w:val="nil"/>
              <w:bottom w:val="single" w:sz="4" w:space="0" w:color="auto"/>
              <w:right w:val="single" w:sz="4" w:space="0" w:color="auto"/>
            </w:tcBorders>
            <w:shd w:val="clear" w:color="auto" w:fill="auto"/>
            <w:vAlign w:val="center"/>
            <w:hideMark/>
          </w:tcPr>
          <w:p w14:paraId="519B4E24" w14:textId="77777777" w:rsidR="00C2092A" w:rsidRPr="008E63BB" w:rsidRDefault="00C2092A" w:rsidP="0065184D">
            <w:pPr>
              <w:jc w:val="left"/>
              <w:rPr>
                <w:rFonts w:eastAsia="Times New Roman"/>
                <w:sz w:val="24"/>
                <w:szCs w:val="24"/>
              </w:rPr>
            </w:pPr>
            <w:r w:rsidRPr="008E63BB">
              <w:rPr>
                <w:rFonts w:eastAsia="Times New Roman"/>
                <w:sz w:val="24"/>
                <w:szCs w:val="24"/>
              </w:rPr>
              <w:t>Chợ Mả Chói</w:t>
            </w:r>
          </w:p>
        </w:tc>
        <w:tc>
          <w:tcPr>
            <w:tcW w:w="1710" w:type="dxa"/>
            <w:tcBorders>
              <w:top w:val="nil"/>
              <w:left w:val="nil"/>
              <w:bottom w:val="single" w:sz="4" w:space="0" w:color="auto"/>
              <w:right w:val="nil"/>
            </w:tcBorders>
            <w:shd w:val="clear" w:color="auto" w:fill="auto"/>
            <w:vAlign w:val="center"/>
            <w:hideMark/>
          </w:tcPr>
          <w:p w14:paraId="519B4E25" w14:textId="77777777" w:rsidR="00C2092A" w:rsidRPr="008E63BB" w:rsidRDefault="00C2092A" w:rsidP="0065184D">
            <w:pPr>
              <w:jc w:val="left"/>
              <w:rPr>
                <w:rFonts w:eastAsia="Times New Roman"/>
                <w:sz w:val="24"/>
                <w:szCs w:val="24"/>
              </w:rPr>
            </w:pPr>
            <w:r w:rsidRPr="008E63BB">
              <w:rPr>
                <w:rFonts w:eastAsia="Times New Roman"/>
                <w:sz w:val="24"/>
                <w:szCs w:val="24"/>
              </w:rPr>
              <w:t>P. Trần Quang Khải</w:t>
            </w:r>
          </w:p>
        </w:tc>
        <w:tc>
          <w:tcPr>
            <w:tcW w:w="1440" w:type="dxa"/>
            <w:tcBorders>
              <w:top w:val="nil"/>
              <w:left w:val="nil"/>
              <w:bottom w:val="single" w:sz="4" w:space="0" w:color="auto"/>
              <w:right w:val="single" w:sz="4" w:space="0" w:color="auto"/>
            </w:tcBorders>
            <w:shd w:val="clear" w:color="auto" w:fill="auto"/>
            <w:vAlign w:val="center"/>
            <w:hideMark/>
          </w:tcPr>
          <w:p w14:paraId="519B4E26"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27" w14:textId="77777777" w:rsidR="00C2092A" w:rsidRPr="008E63BB" w:rsidRDefault="00C2092A" w:rsidP="0065184D">
            <w:pPr>
              <w:jc w:val="right"/>
              <w:rPr>
                <w:rFonts w:eastAsia="Times New Roman"/>
                <w:sz w:val="24"/>
                <w:szCs w:val="24"/>
              </w:rPr>
            </w:pPr>
            <w:r w:rsidRPr="008E63BB">
              <w:rPr>
                <w:rFonts w:eastAsia="Times New Roman"/>
                <w:sz w:val="24"/>
                <w:szCs w:val="24"/>
              </w:rPr>
              <w:t> </w:t>
            </w:r>
          </w:p>
        </w:tc>
        <w:tc>
          <w:tcPr>
            <w:tcW w:w="1410" w:type="dxa"/>
            <w:tcBorders>
              <w:top w:val="nil"/>
              <w:left w:val="nil"/>
              <w:bottom w:val="single" w:sz="4" w:space="0" w:color="auto"/>
              <w:right w:val="single" w:sz="4" w:space="0" w:color="auto"/>
            </w:tcBorders>
            <w:shd w:val="clear" w:color="auto" w:fill="auto"/>
            <w:vAlign w:val="center"/>
            <w:hideMark/>
          </w:tcPr>
          <w:p w14:paraId="519B4E28"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c>
          <w:tcPr>
            <w:tcW w:w="790" w:type="dxa"/>
            <w:tcBorders>
              <w:top w:val="nil"/>
              <w:left w:val="nil"/>
              <w:bottom w:val="single" w:sz="4" w:space="0" w:color="auto"/>
              <w:right w:val="single" w:sz="4" w:space="0" w:color="auto"/>
            </w:tcBorders>
            <w:shd w:val="clear" w:color="auto" w:fill="auto"/>
            <w:vAlign w:val="center"/>
            <w:hideMark/>
          </w:tcPr>
          <w:p w14:paraId="519B4E29"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2A"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34"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2C" w14:textId="77777777" w:rsidR="00C2092A" w:rsidRPr="008E63BB" w:rsidRDefault="00C2092A" w:rsidP="0065184D">
            <w:pPr>
              <w:jc w:val="right"/>
              <w:rPr>
                <w:rFonts w:eastAsia="Times New Roman"/>
                <w:sz w:val="24"/>
                <w:szCs w:val="24"/>
              </w:rPr>
            </w:pPr>
            <w:r w:rsidRPr="008E63BB">
              <w:rPr>
                <w:rFonts w:eastAsia="Times New Roman"/>
                <w:sz w:val="24"/>
                <w:szCs w:val="24"/>
              </w:rPr>
              <w:t>15</w:t>
            </w:r>
          </w:p>
        </w:tc>
        <w:tc>
          <w:tcPr>
            <w:tcW w:w="1755" w:type="dxa"/>
            <w:tcBorders>
              <w:top w:val="nil"/>
              <w:left w:val="nil"/>
              <w:bottom w:val="single" w:sz="4" w:space="0" w:color="auto"/>
              <w:right w:val="single" w:sz="4" w:space="0" w:color="auto"/>
            </w:tcBorders>
            <w:shd w:val="clear" w:color="auto" w:fill="auto"/>
            <w:vAlign w:val="center"/>
            <w:hideMark/>
          </w:tcPr>
          <w:p w14:paraId="519B4E2D" w14:textId="77777777" w:rsidR="00C2092A" w:rsidRPr="008E63BB" w:rsidRDefault="00C2092A" w:rsidP="0065184D">
            <w:pPr>
              <w:jc w:val="left"/>
              <w:rPr>
                <w:rFonts w:eastAsia="Times New Roman"/>
                <w:sz w:val="24"/>
                <w:szCs w:val="24"/>
              </w:rPr>
            </w:pPr>
            <w:r w:rsidRPr="008E63BB">
              <w:rPr>
                <w:rFonts w:eastAsia="Times New Roman"/>
                <w:sz w:val="24"/>
                <w:szCs w:val="24"/>
              </w:rPr>
              <w:t>Chợ Mai Xá</w:t>
            </w:r>
          </w:p>
        </w:tc>
        <w:tc>
          <w:tcPr>
            <w:tcW w:w="1710" w:type="dxa"/>
            <w:tcBorders>
              <w:top w:val="nil"/>
              <w:left w:val="nil"/>
              <w:bottom w:val="single" w:sz="4" w:space="0" w:color="auto"/>
              <w:right w:val="nil"/>
            </w:tcBorders>
            <w:shd w:val="clear" w:color="auto" w:fill="auto"/>
            <w:vAlign w:val="center"/>
            <w:hideMark/>
          </w:tcPr>
          <w:p w14:paraId="519B4E2E" w14:textId="77777777" w:rsidR="00C2092A" w:rsidRPr="008E63BB" w:rsidRDefault="00C2092A" w:rsidP="0065184D">
            <w:pPr>
              <w:jc w:val="left"/>
              <w:rPr>
                <w:rFonts w:eastAsia="Times New Roman"/>
                <w:sz w:val="24"/>
                <w:szCs w:val="24"/>
              </w:rPr>
            </w:pPr>
            <w:r w:rsidRPr="008E63BB">
              <w:rPr>
                <w:rFonts w:eastAsia="Times New Roman"/>
                <w:sz w:val="24"/>
                <w:szCs w:val="24"/>
              </w:rPr>
              <w:t>Xã Mỹ Xá</w:t>
            </w:r>
          </w:p>
        </w:tc>
        <w:tc>
          <w:tcPr>
            <w:tcW w:w="1440" w:type="dxa"/>
            <w:tcBorders>
              <w:top w:val="nil"/>
              <w:left w:val="nil"/>
              <w:bottom w:val="single" w:sz="4" w:space="0" w:color="auto"/>
              <w:right w:val="single" w:sz="4" w:space="0" w:color="auto"/>
            </w:tcBorders>
            <w:shd w:val="clear" w:color="auto" w:fill="auto"/>
            <w:vAlign w:val="center"/>
            <w:hideMark/>
          </w:tcPr>
          <w:p w14:paraId="519B4E2F"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30" w14:textId="77777777" w:rsidR="00C2092A" w:rsidRPr="008E63BB" w:rsidRDefault="00C2092A" w:rsidP="0065184D">
            <w:pPr>
              <w:jc w:val="right"/>
              <w:rPr>
                <w:rFonts w:eastAsia="Times New Roman"/>
                <w:sz w:val="24"/>
                <w:szCs w:val="24"/>
              </w:rPr>
            </w:pPr>
            <w:r w:rsidRPr="008E63BB">
              <w:rPr>
                <w:rFonts w:eastAsia="Times New Roman"/>
                <w:sz w:val="24"/>
                <w:szCs w:val="24"/>
              </w:rPr>
              <w:t>1.100</w:t>
            </w:r>
          </w:p>
        </w:tc>
        <w:tc>
          <w:tcPr>
            <w:tcW w:w="1410" w:type="dxa"/>
            <w:tcBorders>
              <w:top w:val="nil"/>
              <w:left w:val="nil"/>
              <w:bottom w:val="single" w:sz="4" w:space="0" w:color="auto"/>
              <w:right w:val="single" w:sz="4" w:space="0" w:color="auto"/>
            </w:tcBorders>
            <w:shd w:val="clear" w:color="auto" w:fill="auto"/>
            <w:vAlign w:val="center"/>
            <w:hideMark/>
          </w:tcPr>
          <w:p w14:paraId="519B4E31"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32"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33"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3D"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35" w14:textId="77777777" w:rsidR="00C2092A" w:rsidRPr="008E63BB" w:rsidRDefault="00C2092A" w:rsidP="0065184D">
            <w:pPr>
              <w:jc w:val="right"/>
              <w:rPr>
                <w:rFonts w:eastAsia="Times New Roman"/>
                <w:sz w:val="24"/>
                <w:szCs w:val="24"/>
              </w:rPr>
            </w:pPr>
            <w:r w:rsidRPr="008E63BB">
              <w:rPr>
                <w:rFonts w:eastAsia="Times New Roman"/>
                <w:sz w:val="24"/>
                <w:szCs w:val="24"/>
              </w:rPr>
              <w:t>16</w:t>
            </w:r>
          </w:p>
        </w:tc>
        <w:tc>
          <w:tcPr>
            <w:tcW w:w="1755" w:type="dxa"/>
            <w:tcBorders>
              <w:top w:val="nil"/>
              <w:left w:val="nil"/>
              <w:bottom w:val="single" w:sz="4" w:space="0" w:color="auto"/>
              <w:right w:val="single" w:sz="4" w:space="0" w:color="auto"/>
            </w:tcBorders>
            <w:shd w:val="clear" w:color="auto" w:fill="auto"/>
            <w:vAlign w:val="center"/>
            <w:hideMark/>
          </w:tcPr>
          <w:p w14:paraId="519B4E36" w14:textId="77777777" w:rsidR="00C2092A" w:rsidRPr="008E63BB" w:rsidRDefault="00C2092A" w:rsidP="0065184D">
            <w:pPr>
              <w:jc w:val="left"/>
              <w:rPr>
                <w:rFonts w:eastAsia="Times New Roman"/>
                <w:sz w:val="24"/>
                <w:szCs w:val="24"/>
              </w:rPr>
            </w:pPr>
            <w:r w:rsidRPr="008E63BB">
              <w:rPr>
                <w:rFonts w:eastAsia="Times New Roman"/>
                <w:sz w:val="24"/>
                <w:szCs w:val="24"/>
              </w:rPr>
              <w:t>Chợ Phạm Ngũ Lão</w:t>
            </w:r>
          </w:p>
        </w:tc>
        <w:tc>
          <w:tcPr>
            <w:tcW w:w="1710" w:type="dxa"/>
            <w:tcBorders>
              <w:top w:val="nil"/>
              <w:left w:val="nil"/>
              <w:bottom w:val="single" w:sz="4" w:space="0" w:color="auto"/>
              <w:right w:val="nil"/>
            </w:tcBorders>
            <w:shd w:val="clear" w:color="auto" w:fill="auto"/>
            <w:vAlign w:val="center"/>
            <w:hideMark/>
          </w:tcPr>
          <w:p w14:paraId="519B4E37" w14:textId="77777777" w:rsidR="00C2092A" w:rsidRPr="008E63BB" w:rsidRDefault="00C2092A" w:rsidP="0065184D">
            <w:pPr>
              <w:jc w:val="left"/>
              <w:rPr>
                <w:rFonts w:eastAsia="Times New Roman"/>
                <w:sz w:val="24"/>
                <w:szCs w:val="24"/>
              </w:rPr>
            </w:pPr>
            <w:r w:rsidRPr="008E63BB">
              <w:rPr>
                <w:rFonts w:eastAsia="Times New Roman"/>
                <w:sz w:val="24"/>
                <w:szCs w:val="24"/>
              </w:rPr>
              <w:t>Xã Mỹ Xá</w:t>
            </w:r>
          </w:p>
        </w:tc>
        <w:tc>
          <w:tcPr>
            <w:tcW w:w="1440" w:type="dxa"/>
            <w:tcBorders>
              <w:top w:val="nil"/>
              <w:left w:val="nil"/>
              <w:bottom w:val="single" w:sz="4" w:space="0" w:color="auto"/>
              <w:right w:val="single" w:sz="4" w:space="0" w:color="auto"/>
            </w:tcBorders>
            <w:shd w:val="clear" w:color="auto" w:fill="auto"/>
            <w:vAlign w:val="center"/>
            <w:hideMark/>
          </w:tcPr>
          <w:p w14:paraId="519B4E38"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39" w14:textId="77777777" w:rsidR="00C2092A" w:rsidRPr="008E63BB" w:rsidRDefault="00C2092A" w:rsidP="0065184D">
            <w:pPr>
              <w:jc w:val="right"/>
              <w:rPr>
                <w:rFonts w:eastAsia="Times New Roman"/>
                <w:sz w:val="24"/>
                <w:szCs w:val="24"/>
              </w:rPr>
            </w:pPr>
            <w:r w:rsidRPr="008E63BB">
              <w:rPr>
                <w:rFonts w:eastAsia="Times New Roman"/>
                <w:sz w:val="24"/>
                <w:szCs w:val="24"/>
              </w:rPr>
              <w:t>4.282</w:t>
            </w:r>
          </w:p>
        </w:tc>
        <w:tc>
          <w:tcPr>
            <w:tcW w:w="1410" w:type="dxa"/>
            <w:tcBorders>
              <w:top w:val="nil"/>
              <w:left w:val="nil"/>
              <w:bottom w:val="single" w:sz="4" w:space="0" w:color="auto"/>
              <w:right w:val="single" w:sz="4" w:space="0" w:color="auto"/>
            </w:tcBorders>
            <w:shd w:val="clear" w:color="auto" w:fill="auto"/>
            <w:vAlign w:val="center"/>
            <w:hideMark/>
          </w:tcPr>
          <w:p w14:paraId="519B4E3A"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3B"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3C"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46"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3E" w14:textId="77777777" w:rsidR="00C2092A" w:rsidRPr="008E63BB" w:rsidRDefault="00C2092A" w:rsidP="0065184D">
            <w:pPr>
              <w:jc w:val="right"/>
              <w:rPr>
                <w:rFonts w:eastAsia="Times New Roman"/>
                <w:sz w:val="24"/>
                <w:szCs w:val="24"/>
              </w:rPr>
            </w:pPr>
            <w:r w:rsidRPr="008E63BB">
              <w:rPr>
                <w:rFonts w:eastAsia="Times New Roman"/>
                <w:sz w:val="24"/>
                <w:szCs w:val="24"/>
              </w:rPr>
              <w:t>17</w:t>
            </w:r>
          </w:p>
        </w:tc>
        <w:tc>
          <w:tcPr>
            <w:tcW w:w="1755" w:type="dxa"/>
            <w:tcBorders>
              <w:top w:val="nil"/>
              <w:left w:val="nil"/>
              <w:bottom w:val="single" w:sz="4" w:space="0" w:color="auto"/>
              <w:right w:val="single" w:sz="4" w:space="0" w:color="auto"/>
            </w:tcBorders>
            <w:shd w:val="clear" w:color="auto" w:fill="auto"/>
            <w:vAlign w:val="center"/>
            <w:hideMark/>
          </w:tcPr>
          <w:p w14:paraId="519B4E3F" w14:textId="77777777" w:rsidR="00C2092A" w:rsidRPr="008E63BB" w:rsidRDefault="00C2092A" w:rsidP="0065184D">
            <w:pPr>
              <w:jc w:val="left"/>
              <w:rPr>
                <w:rFonts w:eastAsia="Times New Roman"/>
                <w:sz w:val="24"/>
                <w:szCs w:val="24"/>
              </w:rPr>
            </w:pPr>
            <w:r w:rsidRPr="008E63BB">
              <w:rPr>
                <w:rFonts w:eastAsia="Times New Roman"/>
                <w:sz w:val="24"/>
                <w:szCs w:val="24"/>
              </w:rPr>
              <w:t>Chợ Nam Vân</w:t>
            </w:r>
          </w:p>
        </w:tc>
        <w:tc>
          <w:tcPr>
            <w:tcW w:w="1710" w:type="dxa"/>
            <w:tcBorders>
              <w:top w:val="nil"/>
              <w:left w:val="nil"/>
              <w:bottom w:val="single" w:sz="4" w:space="0" w:color="auto"/>
              <w:right w:val="nil"/>
            </w:tcBorders>
            <w:shd w:val="clear" w:color="auto" w:fill="auto"/>
            <w:vAlign w:val="center"/>
            <w:hideMark/>
          </w:tcPr>
          <w:p w14:paraId="519B4E40" w14:textId="77777777" w:rsidR="00C2092A" w:rsidRPr="008E63BB" w:rsidRDefault="00C2092A" w:rsidP="0065184D">
            <w:pPr>
              <w:jc w:val="left"/>
              <w:rPr>
                <w:rFonts w:eastAsia="Times New Roman"/>
                <w:sz w:val="24"/>
                <w:szCs w:val="24"/>
              </w:rPr>
            </w:pPr>
            <w:r w:rsidRPr="008E63BB">
              <w:rPr>
                <w:rFonts w:eastAsia="Times New Roman"/>
                <w:sz w:val="24"/>
                <w:szCs w:val="24"/>
              </w:rPr>
              <w:t>Xã Nam Vân</w:t>
            </w:r>
          </w:p>
        </w:tc>
        <w:tc>
          <w:tcPr>
            <w:tcW w:w="1440" w:type="dxa"/>
            <w:tcBorders>
              <w:top w:val="nil"/>
              <w:left w:val="nil"/>
              <w:bottom w:val="single" w:sz="4" w:space="0" w:color="auto"/>
              <w:right w:val="single" w:sz="4" w:space="0" w:color="auto"/>
            </w:tcBorders>
            <w:shd w:val="clear" w:color="auto" w:fill="auto"/>
            <w:vAlign w:val="center"/>
            <w:hideMark/>
          </w:tcPr>
          <w:p w14:paraId="519B4E41"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42" w14:textId="77777777" w:rsidR="00C2092A" w:rsidRPr="008E63BB" w:rsidRDefault="00C2092A" w:rsidP="0065184D">
            <w:pPr>
              <w:jc w:val="right"/>
              <w:rPr>
                <w:rFonts w:eastAsia="Times New Roman"/>
                <w:sz w:val="24"/>
                <w:szCs w:val="24"/>
              </w:rPr>
            </w:pPr>
            <w:r w:rsidRPr="008E63BB">
              <w:rPr>
                <w:rFonts w:eastAsia="Times New Roman"/>
                <w:sz w:val="24"/>
                <w:szCs w:val="24"/>
              </w:rPr>
              <w:t>2.486</w:t>
            </w:r>
          </w:p>
        </w:tc>
        <w:tc>
          <w:tcPr>
            <w:tcW w:w="1410" w:type="dxa"/>
            <w:tcBorders>
              <w:top w:val="nil"/>
              <w:left w:val="nil"/>
              <w:bottom w:val="single" w:sz="4" w:space="0" w:color="auto"/>
              <w:right w:val="single" w:sz="4" w:space="0" w:color="auto"/>
            </w:tcBorders>
            <w:shd w:val="clear" w:color="auto" w:fill="auto"/>
            <w:vAlign w:val="center"/>
            <w:hideMark/>
          </w:tcPr>
          <w:p w14:paraId="519B4E43"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44"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45"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4F"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47" w14:textId="77777777" w:rsidR="00C2092A" w:rsidRPr="008E63BB" w:rsidRDefault="00C2092A" w:rsidP="0065184D">
            <w:pPr>
              <w:jc w:val="right"/>
              <w:rPr>
                <w:rFonts w:eastAsia="Times New Roman"/>
                <w:sz w:val="24"/>
                <w:szCs w:val="24"/>
              </w:rPr>
            </w:pPr>
            <w:r w:rsidRPr="008E63BB">
              <w:rPr>
                <w:rFonts w:eastAsia="Times New Roman"/>
                <w:sz w:val="24"/>
                <w:szCs w:val="24"/>
              </w:rPr>
              <w:t>18</w:t>
            </w:r>
          </w:p>
        </w:tc>
        <w:tc>
          <w:tcPr>
            <w:tcW w:w="1755" w:type="dxa"/>
            <w:tcBorders>
              <w:top w:val="nil"/>
              <w:left w:val="nil"/>
              <w:bottom w:val="single" w:sz="4" w:space="0" w:color="auto"/>
              <w:right w:val="single" w:sz="4" w:space="0" w:color="auto"/>
            </w:tcBorders>
            <w:shd w:val="clear" w:color="auto" w:fill="auto"/>
            <w:vAlign w:val="center"/>
            <w:hideMark/>
          </w:tcPr>
          <w:p w14:paraId="519B4E48" w14:textId="77777777" w:rsidR="00C2092A" w:rsidRPr="008E63BB" w:rsidRDefault="00C2092A" w:rsidP="0065184D">
            <w:pPr>
              <w:jc w:val="left"/>
              <w:rPr>
                <w:rFonts w:eastAsia="Times New Roman"/>
                <w:sz w:val="24"/>
                <w:szCs w:val="24"/>
              </w:rPr>
            </w:pPr>
            <w:r w:rsidRPr="008E63BB">
              <w:rPr>
                <w:rFonts w:eastAsia="Times New Roman"/>
                <w:sz w:val="24"/>
                <w:szCs w:val="24"/>
              </w:rPr>
              <w:t>Chợ Năng Tĩnh</w:t>
            </w:r>
          </w:p>
        </w:tc>
        <w:tc>
          <w:tcPr>
            <w:tcW w:w="1710" w:type="dxa"/>
            <w:tcBorders>
              <w:top w:val="nil"/>
              <w:left w:val="nil"/>
              <w:bottom w:val="single" w:sz="4" w:space="0" w:color="auto"/>
              <w:right w:val="nil"/>
            </w:tcBorders>
            <w:shd w:val="clear" w:color="auto" w:fill="auto"/>
            <w:vAlign w:val="center"/>
            <w:hideMark/>
          </w:tcPr>
          <w:p w14:paraId="519B4E49" w14:textId="77777777" w:rsidR="00C2092A" w:rsidRPr="008E63BB" w:rsidRDefault="00C2092A" w:rsidP="0065184D">
            <w:pPr>
              <w:jc w:val="left"/>
              <w:rPr>
                <w:rFonts w:eastAsia="Times New Roman"/>
                <w:sz w:val="24"/>
                <w:szCs w:val="24"/>
              </w:rPr>
            </w:pPr>
            <w:r w:rsidRPr="008E63BB">
              <w:rPr>
                <w:rFonts w:eastAsia="Times New Roman"/>
                <w:sz w:val="24"/>
                <w:szCs w:val="24"/>
              </w:rPr>
              <w:t>P. Năng Tĩnh</w:t>
            </w:r>
          </w:p>
        </w:tc>
        <w:tc>
          <w:tcPr>
            <w:tcW w:w="1440" w:type="dxa"/>
            <w:tcBorders>
              <w:top w:val="nil"/>
              <w:left w:val="nil"/>
              <w:bottom w:val="single" w:sz="4" w:space="0" w:color="auto"/>
              <w:right w:val="single" w:sz="4" w:space="0" w:color="auto"/>
            </w:tcBorders>
            <w:shd w:val="clear" w:color="auto" w:fill="auto"/>
            <w:vAlign w:val="center"/>
            <w:hideMark/>
          </w:tcPr>
          <w:p w14:paraId="519B4E4A"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4B" w14:textId="77777777" w:rsidR="00C2092A" w:rsidRPr="008E63BB" w:rsidRDefault="00C2092A" w:rsidP="0065184D">
            <w:pPr>
              <w:jc w:val="right"/>
              <w:rPr>
                <w:rFonts w:eastAsia="Times New Roman"/>
                <w:sz w:val="24"/>
                <w:szCs w:val="24"/>
              </w:rPr>
            </w:pPr>
            <w:r w:rsidRPr="008E63BB">
              <w:rPr>
                <w:rFonts w:eastAsia="Times New Roman"/>
                <w:sz w:val="24"/>
                <w:szCs w:val="24"/>
              </w:rPr>
              <w:t>1.600</w:t>
            </w:r>
          </w:p>
        </w:tc>
        <w:tc>
          <w:tcPr>
            <w:tcW w:w="1410" w:type="dxa"/>
            <w:tcBorders>
              <w:top w:val="nil"/>
              <w:left w:val="nil"/>
              <w:bottom w:val="single" w:sz="4" w:space="0" w:color="auto"/>
              <w:right w:val="single" w:sz="4" w:space="0" w:color="auto"/>
            </w:tcBorders>
            <w:shd w:val="clear" w:color="auto" w:fill="auto"/>
            <w:vAlign w:val="center"/>
            <w:hideMark/>
          </w:tcPr>
          <w:p w14:paraId="519B4E4C"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E4D"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4E"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58"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50" w14:textId="77777777" w:rsidR="00C2092A" w:rsidRPr="008E63BB" w:rsidRDefault="00C2092A" w:rsidP="0065184D">
            <w:pPr>
              <w:jc w:val="right"/>
              <w:rPr>
                <w:rFonts w:eastAsia="Times New Roman"/>
                <w:sz w:val="24"/>
                <w:szCs w:val="24"/>
              </w:rPr>
            </w:pPr>
            <w:r w:rsidRPr="008E63BB">
              <w:rPr>
                <w:rFonts w:eastAsia="Times New Roman"/>
                <w:sz w:val="24"/>
                <w:szCs w:val="24"/>
              </w:rPr>
              <w:t>19</w:t>
            </w:r>
          </w:p>
        </w:tc>
        <w:tc>
          <w:tcPr>
            <w:tcW w:w="1755" w:type="dxa"/>
            <w:tcBorders>
              <w:top w:val="nil"/>
              <w:left w:val="nil"/>
              <w:bottom w:val="single" w:sz="4" w:space="0" w:color="auto"/>
              <w:right w:val="single" w:sz="4" w:space="0" w:color="auto"/>
            </w:tcBorders>
            <w:shd w:val="clear" w:color="auto" w:fill="auto"/>
            <w:vAlign w:val="center"/>
            <w:hideMark/>
          </w:tcPr>
          <w:p w14:paraId="519B4E51" w14:textId="77777777" w:rsidR="00C2092A" w:rsidRPr="008E63BB" w:rsidRDefault="00C2092A" w:rsidP="0065184D">
            <w:pPr>
              <w:jc w:val="left"/>
              <w:rPr>
                <w:rFonts w:eastAsia="Times New Roman"/>
                <w:sz w:val="24"/>
                <w:szCs w:val="24"/>
              </w:rPr>
            </w:pPr>
            <w:r w:rsidRPr="008E63BB">
              <w:rPr>
                <w:rFonts w:eastAsia="Times New Roman"/>
                <w:sz w:val="24"/>
                <w:szCs w:val="24"/>
              </w:rPr>
              <w:t>Chợ Ngõ Ngang</w:t>
            </w:r>
          </w:p>
        </w:tc>
        <w:tc>
          <w:tcPr>
            <w:tcW w:w="1710" w:type="dxa"/>
            <w:tcBorders>
              <w:top w:val="nil"/>
              <w:left w:val="nil"/>
              <w:bottom w:val="single" w:sz="4" w:space="0" w:color="auto"/>
              <w:right w:val="nil"/>
            </w:tcBorders>
            <w:shd w:val="clear" w:color="auto" w:fill="auto"/>
            <w:vAlign w:val="center"/>
            <w:hideMark/>
          </w:tcPr>
          <w:p w14:paraId="519B4E52" w14:textId="77777777" w:rsidR="00C2092A" w:rsidRPr="008E63BB" w:rsidRDefault="00C2092A" w:rsidP="0065184D">
            <w:pPr>
              <w:jc w:val="left"/>
              <w:rPr>
                <w:rFonts w:eastAsia="Times New Roman"/>
                <w:sz w:val="24"/>
                <w:szCs w:val="24"/>
              </w:rPr>
            </w:pPr>
            <w:r w:rsidRPr="008E63BB">
              <w:rPr>
                <w:rFonts w:eastAsia="Times New Roman"/>
                <w:sz w:val="24"/>
                <w:szCs w:val="24"/>
              </w:rPr>
              <w:t>P. Quang Trung</w:t>
            </w:r>
          </w:p>
        </w:tc>
        <w:tc>
          <w:tcPr>
            <w:tcW w:w="1440" w:type="dxa"/>
            <w:tcBorders>
              <w:top w:val="nil"/>
              <w:left w:val="nil"/>
              <w:bottom w:val="single" w:sz="4" w:space="0" w:color="auto"/>
              <w:right w:val="single" w:sz="4" w:space="0" w:color="auto"/>
            </w:tcBorders>
            <w:shd w:val="clear" w:color="auto" w:fill="auto"/>
            <w:vAlign w:val="center"/>
            <w:hideMark/>
          </w:tcPr>
          <w:p w14:paraId="519B4E53"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54" w14:textId="77777777" w:rsidR="00C2092A" w:rsidRPr="008E63BB" w:rsidRDefault="00C2092A" w:rsidP="0065184D">
            <w:pPr>
              <w:jc w:val="right"/>
              <w:rPr>
                <w:rFonts w:eastAsia="Times New Roman"/>
                <w:sz w:val="24"/>
                <w:szCs w:val="24"/>
              </w:rPr>
            </w:pPr>
            <w:r w:rsidRPr="008E63BB">
              <w:rPr>
                <w:rFonts w:eastAsia="Times New Roman"/>
                <w:sz w:val="24"/>
                <w:szCs w:val="24"/>
              </w:rPr>
              <w:t>1.300</w:t>
            </w:r>
          </w:p>
        </w:tc>
        <w:tc>
          <w:tcPr>
            <w:tcW w:w="1410" w:type="dxa"/>
            <w:tcBorders>
              <w:top w:val="nil"/>
              <w:left w:val="nil"/>
              <w:bottom w:val="single" w:sz="4" w:space="0" w:color="auto"/>
              <w:right w:val="single" w:sz="4" w:space="0" w:color="auto"/>
            </w:tcBorders>
            <w:shd w:val="clear" w:color="auto" w:fill="auto"/>
            <w:vAlign w:val="center"/>
            <w:hideMark/>
          </w:tcPr>
          <w:p w14:paraId="519B4E55"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E56"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57"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61"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59" w14:textId="77777777" w:rsidR="00C2092A" w:rsidRPr="008E63BB" w:rsidRDefault="00C2092A" w:rsidP="0065184D">
            <w:pPr>
              <w:jc w:val="right"/>
              <w:rPr>
                <w:rFonts w:eastAsia="Times New Roman"/>
                <w:sz w:val="24"/>
                <w:szCs w:val="24"/>
              </w:rPr>
            </w:pPr>
            <w:r w:rsidRPr="008E63BB">
              <w:rPr>
                <w:rFonts w:eastAsia="Times New Roman"/>
                <w:sz w:val="24"/>
                <w:szCs w:val="24"/>
              </w:rPr>
              <w:t>20</w:t>
            </w:r>
          </w:p>
        </w:tc>
        <w:tc>
          <w:tcPr>
            <w:tcW w:w="1755" w:type="dxa"/>
            <w:tcBorders>
              <w:top w:val="nil"/>
              <w:left w:val="nil"/>
              <w:bottom w:val="single" w:sz="4" w:space="0" w:color="auto"/>
              <w:right w:val="single" w:sz="4" w:space="0" w:color="auto"/>
            </w:tcBorders>
            <w:shd w:val="clear" w:color="auto" w:fill="auto"/>
            <w:vAlign w:val="center"/>
            <w:hideMark/>
          </w:tcPr>
          <w:p w14:paraId="519B4E5A" w14:textId="77777777" w:rsidR="00C2092A" w:rsidRPr="008E63BB" w:rsidRDefault="00C2092A" w:rsidP="0065184D">
            <w:pPr>
              <w:jc w:val="left"/>
              <w:rPr>
                <w:rFonts w:eastAsia="Times New Roman"/>
                <w:sz w:val="24"/>
                <w:szCs w:val="24"/>
              </w:rPr>
            </w:pPr>
            <w:r w:rsidRPr="008E63BB">
              <w:rPr>
                <w:rFonts w:eastAsia="Times New Roman"/>
                <w:sz w:val="24"/>
                <w:szCs w:val="24"/>
              </w:rPr>
              <w:t>Chợ Văn Miếu</w:t>
            </w:r>
          </w:p>
        </w:tc>
        <w:tc>
          <w:tcPr>
            <w:tcW w:w="1710" w:type="dxa"/>
            <w:tcBorders>
              <w:top w:val="nil"/>
              <w:left w:val="nil"/>
              <w:bottom w:val="single" w:sz="4" w:space="0" w:color="auto"/>
              <w:right w:val="nil"/>
            </w:tcBorders>
            <w:shd w:val="clear" w:color="auto" w:fill="auto"/>
            <w:vAlign w:val="center"/>
            <w:hideMark/>
          </w:tcPr>
          <w:p w14:paraId="519B4E5B" w14:textId="77777777" w:rsidR="00C2092A" w:rsidRPr="008E63BB" w:rsidRDefault="00C2092A" w:rsidP="0065184D">
            <w:pPr>
              <w:jc w:val="left"/>
              <w:rPr>
                <w:rFonts w:eastAsia="Times New Roman"/>
                <w:sz w:val="24"/>
                <w:szCs w:val="24"/>
              </w:rPr>
            </w:pPr>
            <w:r w:rsidRPr="008E63BB">
              <w:rPr>
                <w:rFonts w:eastAsia="Times New Roman"/>
                <w:sz w:val="24"/>
                <w:szCs w:val="24"/>
              </w:rPr>
              <w:t>P. Văn Miếu</w:t>
            </w:r>
          </w:p>
        </w:tc>
        <w:tc>
          <w:tcPr>
            <w:tcW w:w="1440" w:type="dxa"/>
            <w:tcBorders>
              <w:top w:val="nil"/>
              <w:left w:val="nil"/>
              <w:bottom w:val="single" w:sz="4" w:space="0" w:color="auto"/>
              <w:right w:val="single" w:sz="4" w:space="0" w:color="auto"/>
            </w:tcBorders>
            <w:shd w:val="clear" w:color="auto" w:fill="auto"/>
            <w:vAlign w:val="center"/>
            <w:hideMark/>
          </w:tcPr>
          <w:p w14:paraId="519B4E5C"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5D" w14:textId="77777777" w:rsidR="00C2092A" w:rsidRPr="008E63BB" w:rsidRDefault="00C2092A" w:rsidP="0065184D">
            <w:pPr>
              <w:jc w:val="right"/>
              <w:rPr>
                <w:rFonts w:eastAsia="Times New Roman"/>
                <w:sz w:val="24"/>
                <w:szCs w:val="24"/>
              </w:rPr>
            </w:pPr>
            <w:r w:rsidRPr="008E63BB">
              <w:rPr>
                <w:rFonts w:eastAsia="Times New Roman"/>
                <w:sz w:val="24"/>
                <w:szCs w:val="24"/>
              </w:rPr>
              <w:t>500</w:t>
            </w:r>
          </w:p>
        </w:tc>
        <w:tc>
          <w:tcPr>
            <w:tcW w:w="1410" w:type="dxa"/>
            <w:tcBorders>
              <w:top w:val="nil"/>
              <w:left w:val="nil"/>
              <w:bottom w:val="single" w:sz="4" w:space="0" w:color="auto"/>
              <w:right w:val="single" w:sz="4" w:space="0" w:color="auto"/>
            </w:tcBorders>
            <w:shd w:val="clear" w:color="auto" w:fill="auto"/>
            <w:vAlign w:val="center"/>
            <w:hideMark/>
          </w:tcPr>
          <w:p w14:paraId="519B4E5E"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E5F"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60"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6A"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62" w14:textId="77777777" w:rsidR="00C2092A" w:rsidRPr="008E63BB" w:rsidRDefault="00C2092A" w:rsidP="0065184D">
            <w:pPr>
              <w:jc w:val="right"/>
              <w:rPr>
                <w:rFonts w:eastAsia="Times New Roman"/>
                <w:sz w:val="24"/>
                <w:szCs w:val="24"/>
              </w:rPr>
            </w:pPr>
            <w:r w:rsidRPr="008E63BB">
              <w:rPr>
                <w:rFonts w:eastAsia="Times New Roman"/>
                <w:sz w:val="24"/>
                <w:szCs w:val="24"/>
              </w:rPr>
              <w:t>21</w:t>
            </w:r>
          </w:p>
        </w:tc>
        <w:tc>
          <w:tcPr>
            <w:tcW w:w="1755" w:type="dxa"/>
            <w:tcBorders>
              <w:top w:val="nil"/>
              <w:left w:val="nil"/>
              <w:bottom w:val="single" w:sz="4" w:space="0" w:color="auto"/>
              <w:right w:val="single" w:sz="4" w:space="0" w:color="auto"/>
            </w:tcBorders>
            <w:shd w:val="clear" w:color="auto" w:fill="auto"/>
            <w:vAlign w:val="center"/>
            <w:hideMark/>
          </w:tcPr>
          <w:p w14:paraId="519B4E63" w14:textId="77777777" w:rsidR="00C2092A" w:rsidRPr="008E63BB" w:rsidRDefault="00C2092A" w:rsidP="0065184D">
            <w:pPr>
              <w:jc w:val="left"/>
              <w:rPr>
                <w:rFonts w:eastAsia="Times New Roman"/>
                <w:sz w:val="24"/>
                <w:szCs w:val="24"/>
              </w:rPr>
            </w:pPr>
            <w:r w:rsidRPr="008E63BB">
              <w:rPr>
                <w:rFonts w:eastAsia="Times New Roman"/>
                <w:sz w:val="24"/>
                <w:szCs w:val="24"/>
              </w:rPr>
              <w:t>Chợ Xanh</w:t>
            </w:r>
          </w:p>
        </w:tc>
        <w:tc>
          <w:tcPr>
            <w:tcW w:w="1710" w:type="dxa"/>
            <w:tcBorders>
              <w:top w:val="nil"/>
              <w:left w:val="nil"/>
              <w:bottom w:val="single" w:sz="4" w:space="0" w:color="auto"/>
              <w:right w:val="nil"/>
            </w:tcBorders>
            <w:shd w:val="clear" w:color="auto" w:fill="auto"/>
            <w:vAlign w:val="center"/>
            <w:hideMark/>
          </w:tcPr>
          <w:p w14:paraId="519B4E64" w14:textId="77777777" w:rsidR="00C2092A" w:rsidRPr="008E63BB" w:rsidRDefault="00C2092A" w:rsidP="0065184D">
            <w:pPr>
              <w:jc w:val="left"/>
              <w:rPr>
                <w:rFonts w:eastAsia="Times New Roman"/>
                <w:sz w:val="24"/>
                <w:szCs w:val="24"/>
              </w:rPr>
            </w:pPr>
            <w:r w:rsidRPr="008E63BB">
              <w:rPr>
                <w:rFonts w:eastAsia="Times New Roman"/>
                <w:sz w:val="24"/>
                <w:szCs w:val="24"/>
              </w:rPr>
              <w:t>P. Trần Đăng Ninh</w:t>
            </w:r>
          </w:p>
        </w:tc>
        <w:tc>
          <w:tcPr>
            <w:tcW w:w="1440" w:type="dxa"/>
            <w:tcBorders>
              <w:top w:val="nil"/>
              <w:left w:val="nil"/>
              <w:bottom w:val="single" w:sz="4" w:space="0" w:color="auto"/>
              <w:right w:val="single" w:sz="4" w:space="0" w:color="auto"/>
            </w:tcBorders>
            <w:shd w:val="clear" w:color="auto" w:fill="auto"/>
            <w:vAlign w:val="center"/>
            <w:hideMark/>
          </w:tcPr>
          <w:p w14:paraId="519B4E65" w14:textId="77777777" w:rsidR="00C2092A" w:rsidRPr="008E63BB" w:rsidRDefault="00C2092A" w:rsidP="0065184D">
            <w:pPr>
              <w:jc w:val="left"/>
              <w:rPr>
                <w:rFonts w:eastAsia="Times New Roman"/>
                <w:sz w:val="24"/>
                <w:szCs w:val="24"/>
              </w:rPr>
            </w:pPr>
            <w:r w:rsidRPr="008E63BB">
              <w:rPr>
                <w:rFonts w:eastAsia="Times New Roman"/>
                <w:sz w:val="24"/>
                <w:szCs w:val="24"/>
              </w:rPr>
              <w:t>TP. Nam Định</w:t>
            </w:r>
          </w:p>
        </w:tc>
        <w:tc>
          <w:tcPr>
            <w:tcW w:w="1180" w:type="dxa"/>
            <w:tcBorders>
              <w:top w:val="nil"/>
              <w:left w:val="nil"/>
              <w:bottom w:val="single" w:sz="4" w:space="0" w:color="auto"/>
              <w:right w:val="single" w:sz="4" w:space="0" w:color="auto"/>
            </w:tcBorders>
            <w:shd w:val="clear" w:color="auto" w:fill="auto"/>
            <w:vAlign w:val="center"/>
            <w:hideMark/>
          </w:tcPr>
          <w:p w14:paraId="519B4E66" w14:textId="77777777" w:rsidR="00C2092A" w:rsidRPr="008E63BB" w:rsidRDefault="00C2092A" w:rsidP="0065184D">
            <w:pPr>
              <w:jc w:val="right"/>
              <w:rPr>
                <w:rFonts w:eastAsia="Times New Roman"/>
                <w:sz w:val="24"/>
                <w:szCs w:val="24"/>
              </w:rPr>
            </w:pPr>
            <w:r w:rsidRPr="008E63BB">
              <w:rPr>
                <w:rFonts w:eastAsia="Times New Roman"/>
                <w:sz w:val="24"/>
                <w:szCs w:val="24"/>
              </w:rPr>
              <w:t>1.800</w:t>
            </w:r>
          </w:p>
        </w:tc>
        <w:tc>
          <w:tcPr>
            <w:tcW w:w="1410" w:type="dxa"/>
            <w:tcBorders>
              <w:top w:val="nil"/>
              <w:left w:val="nil"/>
              <w:bottom w:val="single" w:sz="4" w:space="0" w:color="auto"/>
              <w:right w:val="single" w:sz="4" w:space="0" w:color="auto"/>
            </w:tcBorders>
            <w:shd w:val="clear" w:color="auto" w:fill="auto"/>
            <w:vAlign w:val="center"/>
            <w:hideMark/>
          </w:tcPr>
          <w:p w14:paraId="519B4E67"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68"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69"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73"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6B" w14:textId="77777777" w:rsidR="00C2092A" w:rsidRPr="008E63BB" w:rsidRDefault="00C2092A" w:rsidP="0065184D">
            <w:pPr>
              <w:jc w:val="right"/>
              <w:rPr>
                <w:rFonts w:eastAsia="Times New Roman"/>
                <w:sz w:val="24"/>
                <w:szCs w:val="24"/>
              </w:rPr>
            </w:pPr>
            <w:r w:rsidRPr="008E63BB">
              <w:rPr>
                <w:rFonts w:eastAsia="Times New Roman"/>
                <w:sz w:val="24"/>
                <w:szCs w:val="24"/>
              </w:rPr>
              <w:t>22</w:t>
            </w:r>
          </w:p>
        </w:tc>
        <w:tc>
          <w:tcPr>
            <w:tcW w:w="1755" w:type="dxa"/>
            <w:tcBorders>
              <w:top w:val="nil"/>
              <w:left w:val="nil"/>
              <w:bottom w:val="single" w:sz="4" w:space="0" w:color="auto"/>
              <w:right w:val="single" w:sz="4" w:space="0" w:color="auto"/>
            </w:tcBorders>
            <w:shd w:val="clear" w:color="auto" w:fill="auto"/>
            <w:vAlign w:val="center"/>
            <w:hideMark/>
          </w:tcPr>
          <w:p w14:paraId="519B4E6C" w14:textId="77777777" w:rsidR="00C2092A" w:rsidRPr="008E63BB" w:rsidRDefault="00C2092A" w:rsidP="0065184D">
            <w:pPr>
              <w:jc w:val="left"/>
              <w:rPr>
                <w:rFonts w:eastAsia="Times New Roman"/>
                <w:sz w:val="24"/>
                <w:szCs w:val="24"/>
              </w:rPr>
            </w:pPr>
            <w:r w:rsidRPr="008E63BB">
              <w:rPr>
                <w:rFonts w:eastAsia="Times New Roman"/>
                <w:sz w:val="24"/>
                <w:szCs w:val="24"/>
              </w:rPr>
              <w:t>Chợ Đặng</w:t>
            </w:r>
          </w:p>
        </w:tc>
        <w:tc>
          <w:tcPr>
            <w:tcW w:w="1710" w:type="dxa"/>
            <w:tcBorders>
              <w:top w:val="nil"/>
              <w:left w:val="nil"/>
              <w:bottom w:val="single" w:sz="4" w:space="0" w:color="auto"/>
              <w:right w:val="nil"/>
            </w:tcBorders>
            <w:shd w:val="clear" w:color="auto" w:fill="auto"/>
            <w:vAlign w:val="center"/>
            <w:hideMark/>
          </w:tcPr>
          <w:p w14:paraId="519B4E6D" w14:textId="77777777" w:rsidR="00C2092A" w:rsidRPr="008E63BB" w:rsidRDefault="00C2092A" w:rsidP="0065184D">
            <w:pPr>
              <w:jc w:val="left"/>
              <w:rPr>
                <w:rFonts w:eastAsia="Times New Roman"/>
                <w:sz w:val="24"/>
                <w:szCs w:val="24"/>
              </w:rPr>
            </w:pPr>
            <w:r w:rsidRPr="008E63BB">
              <w:rPr>
                <w:rFonts w:eastAsia="Times New Roman"/>
                <w:sz w:val="24"/>
                <w:szCs w:val="24"/>
              </w:rPr>
              <w:t>Xã Mỹ Hưng</w:t>
            </w:r>
          </w:p>
        </w:tc>
        <w:tc>
          <w:tcPr>
            <w:tcW w:w="1440" w:type="dxa"/>
            <w:tcBorders>
              <w:top w:val="nil"/>
              <w:left w:val="nil"/>
              <w:bottom w:val="single" w:sz="4" w:space="0" w:color="auto"/>
              <w:right w:val="single" w:sz="4" w:space="0" w:color="auto"/>
            </w:tcBorders>
            <w:shd w:val="clear" w:color="auto" w:fill="auto"/>
            <w:vAlign w:val="center"/>
            <w:hideMark/>
          </w:tcPr>
          <w:p w14:paraId="519B4E6E"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6F" w14:textId="77777777" w:rsidR="00C2092A" w:rsidRPr="008E63BB" w:rsidRDefault="00C2092A" w:rsidP="0065184D">
            <w:pPr>
              <w:jc w:val="right"/>
              <w:rPr>
                <w:rFonts w:eastAsia="Times New Roman"/>
                <w:sz w:val="24"/>
                <w:szCs w:val="24"/>
              </w:rPr>
            </w:pPr>
            <w:r w:rsidRPr="008E63BB">
              <w:rPr>
                <w:rFonts w:eastAsia="Times New Roman"/>
                <w:sz w:val="24"/>
                <w:szCs w:val="24"/>
              </w:rPr>
              <w:t> </w:t>
            </w:r>
          </w:p>
        </w:tc>
        <w:tc>
          <w:tcPr>
            <w:tcW w:w="1410" w:type="dxa"/>
            <w:tcBorders>
              <w:top w:val="nil"/>
              <w:left w:val="nil"/>
              <w:bottom w:val="single" w:sz="4" w:space="0" w:color="auto"/>
              <w:right w:val="single" w:sz="4" w:space="0" w:color="auto"/>
            </w:tcBorders>
            <w:shd w:val="clear" w:color="auto" w:fill="auto"/>
            <w:vAlign w:val="center"/>
            <w:hideMark/>
          </w:tcPr>
          <w:p w14:paraId="519B4E70"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71"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72"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7C"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74" w14:textId="77777777" w:rsidR="00C2092A" w:rsidRPr="008E63BB" w:rsidRDefault="00C2092A" w:rsidP="0065184D">
            <w:pPr>
              <w:jc w:val="right"/>
              <w:rPr>
                <w:rFonts w:eastAsia="Times New Roman"/>
                <w:sz w:val="24"/>
                <w:szCs w:val="24"/>
              </w:rPr>
            </w:pPr>
            <w:r w:rsidRPr="008E63BB">
              <w:rPr>
                <w:rFonts w:eastAsia="Times New Roman"/>
                <w:sz w:val="24"/>
                <w:szCs w:val="24"/>
              </w:rPr>
              <w:t>23</w:t>
            </w:r>
          </w:p>
        </w:tc>
        <w:tc>
          <w:tcPr>
            <w:tcW w:w="1755" w:type="dxa"/>
            <w:tcBorders>
              <w:top w:val="nil"/>
              <w:left w:val="nil"/>
              <w:bottom w:val="single" w:sz="4" w:space="0" w:color="auto"/>
              <w:right w:val="single" w:sz="4" w:space="0" w:color="auto"/>
            </w:tcBorders>
            <w:shd w:val="clear" w:color="auto" w:fill="auto"/>
            <w:vAlign w:val="center"/>
            <w:hideMark/>
          </w:tcPr>
          <w:p w14:paraId="519B4E75" w14:textId="77777777" w:rsidR="00C2092A" w:rsidRPr="008E63BB" w:rsidRDefault="00C2092A" w:rsidP="0065184D">
            <w:pPr>
              <w:jc w:val="left"/>
              <w:rPr>
                <w:rFonts w:eastAsia="Times New Roman"/>
                <w:sz w:val="24"/>
                <w:szCs w:val="24"/>
              </w:rPr>
            </w:pPr>
            <w:r w:rsidRPr="008E63BB">
              <w:rPr>
                <w:rFonts w:eastAsia="Times New Roman"/>
                <w:sz w:val="24"/>
                <w:szCs w:val="24"/>
              </w:rPr>
              <w:t>Chợ Huyện</w:t>
            </w:r>
          </w:p>
        </w:tc>
        <w:tc>
          <w:tcPr>
            <w:tcW w:w="1710" w:type="dxa"/>
            <w:tcBorders>
              <w:top w:val="nil"/>
              <w:left w:val="nil"/>
              <w:bottom w:val="single" w:sz="4" w:space="0" w:color="auto"/>
              <w:right w:val="nil"/>
            </w:tcBorders>
            <w:shd w:val="clear" w:color="auto" w:fill="auto"/>
            <w:vAlign w:val="center"/>
            <w:hideMark/>
          </w:tcPr>
          <w:p w14:paraId="519B4E76" w14:textId="77777777" w:rsidR="00C2092A" w:rsidRPr="008E63BB" w:rsidRDefault="00C2092A" w:rsidP="0065184D">
            <w:pPr>
              <w:jc w:val="left"/>
              <w:rPr>
                <w:rFonts w:eastAsia="Times New Roman"/>
                <w:sz w:val="24"/>
                <w:szCs w:val="24"/>
              </w:rPr>
            </w:pPr>
            <w:r w:rsidRPr="008E63BB">
              <w:rPr>
                <w:rFonts w:eastAsia="Times New Roman"/>
                <w:sz w:val="24"/>
                <w:szCs w:val="24"/>
              </w:rPr>
              <w:t>Xã Mỹ Thịnh</w:t>
            </w:r>
          </w:p>
        </w:tc>
        <w:tc>
          <w:tcPr>
            <w:tcW w:w="1440" w:type="dxa"/>
            <w:tcBorders>
              <w:top w:val="nil"/>
              <w:left w:val="nil"/>
              <w:bottom w:val="single" w:sz="4" w:space="0" w:color="auto"/>
              <w:right w:val="single" w:sz="4" w:space="0" w:color="auto"/>
            </w:tcBorders>
            <w:shd w:val="clear" w:color="auto" w:fill="auto"/>
            <w:vAlign w:val="center"/>
            <w:hideMark/>
          </w:tcPr>
          <w:p w14:paraId="519B4E77"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78" w14:textId="77777777" w:rsidR="00C2092A" w:rsidRPr="008E63BB" w:rsidRDefault="00C2092A" w:rsidP="0065184D">
            <w:pPr>
              <w:jc w:val="right"/>
              <w:rPr>
                <w:rFonts w:eastAsia="Times New Roman"/>
                <w:sz w:val="24"/>
                <w:szCs w:val="24"/>
              </w:rPr>
            </w:pPr>
            <w:r w:rsidRPr="008E63BB">
              <w:rPr>
                <w:rFonts w:eastAsia="Times New Roman"/>
                <w:sz w:val="24"/>
                <w:szCs w:val="24"/>
              </w:rPr>
              <w:t>4.085</w:t>
            </w:r>
          </w:p>
        </w:tc>
        <w:tc>
          <w:tcPr>
            <w:tcW w:w="1410" w:type="dxa"/>
            <w:tcBorders>
              <w:top w:val="nil"/>
              <w:left w:val="nil"/>
              <w:bottom w:val="single" w:sz="4" w:space="0" w:color="auto"/>
              <w:right w:val="single" w:sz="4" w:space="0" w:color="auto"/>
            </w:tcBorders>
            <w:shd w:val="clear" w:color="auto" w:fill="auto"/>
            <w:vAlign w:val="center"/>
            <w:hideMark/>
          </w:tcPr>
          <w:p w14:paraId="519B4E79"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7A"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7B"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85"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7D" w14:textId="77777777" w:rsidR="00C2092A" w:rsidRPr="008E63BB" w:rsidRDefault="00C2092A" w:rsidP="0065184D">
            <w:pPr>
              <w:jc w:val="right"/>
              <w:rPr>
                <w:rFonts w:eastAsia="Times New Roman"/>
                <w:sz w:val="24"/>
                <w:szCs w:val="24"/>
              </w:rPr>
            </w:pPr>
            <w:r w:rsidRPr="008E63BB">
              <w:rPr>
                <w:rFonts w:eastAsia="Times New Roman"/>
                <w:sz w:val="24"/>
                <w:szCs w:val="24"/>
              </w:rPr>
              <w:t>24</w:t>
            </w:r>
          </w:p>
        </w:tc>
        <w:tc>
          <w:tcPr>
            <w:tcW w:w="1755" w:type="dxa"/>
            <w:tcBorders>
              <w:top w:val="nil"/>
              <w:left w:val="nil"/>
              <w:bottom w:val="single" w:sz="4" w:space="0" w:color="auto"/>
              <w:right w:val="single" w:sz="4" w:space="0" w:color="auto"/>
            </w:tcBorders>
            <w:shd w:val="clear" w:color="auto" w:fill="auto"/>
            <w:vAlign w:val="center"/>
            <w:hideMark/>
          </w:tcPr>
          <w:p w14:paraId="519B4E7E" w14:textId="77777777" w:rsidR="00C2092A" w:rsidRPr="008E63BB" w:rsidRDefault="00C2092A" w:rsidP="0065184D">
            <w:pPr>
              <w:jc w:val="left"/>
              <w:rPr>
                <w:rFonts w:eastAsia="Times New Roman"/>
                <w:sz w:val="24"/>
                <w:szCs w:val="24"/>
              </w:rPr>
            </w:pPr>
            <w:r w:rsidRPr="008E63BB">
              <w:rPr>
                <w:rFonts w:eastAsia="Times New Roman"/>
                <w:sz w:val="24"/>
                <w:szCs w:val="24"/>
              </w:rPr>
              <w:t>Chợ Mạng</w:t>
            </w:r>
          </w:p>
        </w:tc>
        <w:tc>
          <w:tcPr>
            <w:tcW w:w="1710" w:type="dxa"/>
            <w:tcBorders>
              <w:top w:val="nil"/>
              <w:left w:val="nil"/>
              <w:bottom w:val="single" w:sz="4" w:space="0" w:color="auto"/>
              <w:right w:val="nil"/>
            </w:tcBorders>
            <w:shd w:val="clear" w:color="auto" w:fill="auto"/>
            <w:vAlign w:val="center"/>
            <w:hideMark/>
          </w:tcPr>
          <w:p w14:paraId="519B4E7F" w14:textId="77777777" w:rsidR="00C2092A" w:rsidRPr="008E63BB" w:rsidRDefault="00C2092A" w:rsidP="0065184D">
            <w:pPr>
              <w:jc w:val="left"/>
              <w:rPr>
                <w:rFonts w:eastAsia="Times New Roman"/>
                <w:sz w:val="24"/>
                <w:szCs w:val="24"/>
              </w:rPr>
            </w:pPr>
            <w:r w:rsidRPr="008E63BB">
              <w:rPr>
                <w:rFonts w:eastAsia="Times New Roman"/>
                <w:sz w:val="24"/>
                <w:szCs w:val="24"/>
              </w:rPr>
              <w:t>Xã Thuận</w:t>
            </w:r>
          </w:p>
        </w:tc>
        <w:tc>
          <w:tcPr>
            <w:tcW w:w="1440" w:type="dxa"/>
            <w:tcBorders>
              <w:top w:val="nil"/>
              <w:left w:val="nil"/>
              <w:bottom w:val="single" w:sz="4" w:space="0" w:color="auto"/>
              <w:right w:val="single" w:sz="4" w:space="0" w:color="auto"/>
            </w:tcBorders>
            <w:shd w:val="clear" w:color="auto" w:fill="auto"/>
            <w:vAlign w:val="center"/>
            <w:hideMark/>
          </w:tcPr>
          <w:p w14:paraId="519B4E80"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81" w14:textId="77777777" w:rsidR="00C2092A" w:rsidRPr="008E63BB" w:rsidRDefault="00C2092A" w:rsidP="0065184D">
            <w:pPr>
              <w:jc w:val="right"/>
              <w:rPr>
                <w:rFonts w:eastAsia="Times New Roman"/>
                <w:sz w:val="24"/>
                <w:szCs w:val="24"/>
              </w:rPr>
            </w:pPr>
            <w:r w:rsidRPr="008E63BB">
              <w:rPr>
                <w:rFonts w:eastAsia="Times New Roman"/>
                <w:sz w:val="24"/>
                <w:szCs w:val="24"/>
              </w:rPr>
              <w:t>3.500</w:t>
            </w:r>
          </w:p>
        </w:tc>
        <w:tc>
          <w:tcPr>
            <w:tcW w:w="1410" w:type="dxa"/>
            <w:tcBorders>
              <w:top w:val="nil"/>
              <w:left w:val="nil"/>
              <w:bottom w:val="single" w:sz="4" w:space="0" w:color="auto"/>
              <w:right w:val="single" w:sz="4" w:space="0" w:color="auto"/>
            </w:tcBorders>
            <w:shd w:val="clear" w:color="auto" w:fill="auto"/>
            <w:vAlign w:val="center"/>
            <w:hideMark/>
          </w:tcPr>
          <w:p w14:paraId="519B4E82"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83"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84"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8E"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86" w14:textId="77777777" w:rsidR="00C2092A" w:rsidRPr="008E63BB" w:rsidRDefault="00C2092A" w:rsidP="0065184D">
            <w:pPr>
              <w:jc w:val="right"/>
              <w:rPr>
                <w:rFonts w:eastAsia="Times New Roman"/>
                <w:sz w:val="24"/>
                <w:szCs w:val="24"/>
              </w:rPr>
            </w:pPr>
            <w:r w:rsidRPr="008E63BB">
              <w:rPr>
                <w:rFonts w:eastAsia="Times New Roman"/>
                <w:sz w:val="24"/>
                <w:szCs w:val="24"/>
              </w:rPr>
              <w:t>25</w:t>
            </w:r>
          </w:p>
        </w:tc>
        <w:tc>
          <w:tcPr>
            <w:tcW w:w="1755" w:type="dxa"/>
            <w:tcBorders>
              <w:top w:val="nil"/>
              <w:left w:val="nil"/>
              <w:bottom w:val="single" w:sz="4" w:space="0" w:color="auto"/>
              <w:right w:val="single" w:sz="4" w:space="0" w:color="auto"/>
            </w:tcBorders>
            <w:shd w:val="clear" w:color="auto" w:fill="auto"/>
            <w:vAlign w:val="center"/>
            <w:hideMark/>
          </w:tcPr>
          <w:p w14:paraId="519B4E87" w14:textId="77777777" w:rsidR="00C2092A" w:rsidRPr="008E63BB" w:rsidRDefault="00C2092A" w:rsidP="0065184D">
            <w:pPr>
              <w:jc w:val="left"/>
              <w:rPr>
                <w:rFonts w:eastAsia="Times New Roman"/>
                <w:sz w:val="24"/>
                <w:szCs w:val="24"/>
              </w:rPr>
            </w:pPr>
            <w:r w:rsidRPr="008E63BB">
              <w:rPr>
                <w:rFonts w:eastAsia="Times New Roman"/>
                <w:sz w:val="24"/>
                <w:szCs w:val="24"/>
              </w:rPr>
              <w:t>Chợ Quán Chuột</w:t>
            </w:r>
          </w:p>
        </w:tc>
        <w:tc>
          <w:tcPr>
            <w:tcW w:w="1710" w:type="dxa"/>
            <w:tcBorders>
              <w:top w:val="nil"/>
              <w:left w:val="nil"/>
              <w:bottom w:val="single" w:sz="4" w:space="0" w:color="auto"/>
              <w:right w:val="nil"/>
            </w:tcBorders>
            <w:shd w:val="clear" w:color="auto" w:fill="auto"/>
            <w:vAlign w:val="center"/>
            <w:hideMark/>
          </w:tcPr>
          <w:p w14:paraId="519B4E88" w14:textId="77777777" w:rsidR="00C2092A" w:rsidRPr="008E63BB" w:rsidRDefault="00C2092A" w:rsidP="0065184D">
            <w:pPr>
              <w:jc w:val="left"/>
              <w:rPr>
                <w:rFonts w:eastAsia="Times New Roman"/>
                <w:sz w:val="24"/>
                <w:szCs w:val="24"/>
              </w:rPr>
            </w:pPr>
            <w:r w:rsidRPr="008E63BB">
              <w:rPr>
                <w:rFonts w:eastAsia="Times New Roman"/>
                <w:sz w:val="24"/>
                <w:szCs w:val="24"/>
              </w:rPr>
              <w:t>Xã Mỹ Tân</w:t>
            </w:r>
          </w:p>
        </w:tc>
        <w:tc>
          <w:tcPr>
            <w:tcW w:w="1440" w:type="dxa"/>
            <w:tcBorders>
              <w:top w:val="nil"/>
              <w:left w:val="nil"/>
              <w:bottom w:val="single" w:sz="4" w:space="0" w:color="auto"/>
              <w:right w:val="single" w:sz="4" w:space="0" w:color="auto"/>
            </w:tcBorders>
            <w:shd w:val="clear" w:color="auto" w:fill="auto"/>
            <w:vAlign w:val="center"/>
            <w:hideMark/>
          </w:tcPr>
          <w:p w14:paraId="519B4E89"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8A" w14:textId="77777777" w:rsidR="00C2092A" w:rsidRPr="008E63BB" w:rsidRDefault="00C2092A" w:rsidP="0065184D">
            <w:pPr>
              <w:jc w:val="right"/>
              <w:rPr>
                <w:rFonts w:eastAsia="Times New Roman"/>
                <w:sz w:val="24"/>
                <w:szCs w:val="24"/>
              </w:rPr>
            </w:pPr>
            <w:r w:rsidRPr="008E63BB">
              <w:rPr>
                <w:rFonts w:eastAsia="Times New Roman"/>
                <w:sz w:val="24"/>
                <w:szCs w:val="24"/>
              </w:rPr>
              <w:t>2.457</w:t>
            </w:r>
          </w:p>
        </w:tc>
        <w:tc>
          <w:tcPr>
            <w:tcW w:w="1410" w:type="dxa"/>
            <w:tcBorders>
              <w:top w:val="nil"/>
              <w:left w:val="nil"/>
              <w:bottom w:val="single" w:sz="4" w:space="0" w:color="auto"/>
              <w:right w:val="single" w:sz="4" w:space="0" w:color="auto"/>
            </w:tcBorders>
            <w:shd w:val="clear" w:color="auto" w:fill="auto"/>
            <w:vAlign w:val="center"/>
            <w:hideMark/>
          </w:tcPr>
          <w:p w14:paraId="519B4E8B"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8C"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8D"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97"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8F" w14:textId="77777777" w:rsidR="00C2092A" w:rsidRPr="008E63BB" w:rsidRDefault="00C2092A" w:rsidP="0065184D">
            <w:pPr>
              <w:jc w:val="right"/>
              <w:rPr>
                <w:rFonts w:eastAsia="Times New Roman"/>
                <w:sz w:val="24"/>
                <w:szCs w:val="24"/>
              </w:rPr>
            </w:pPr>
            <w:r w:rsidRPr="008E63BB">
              <w:rPr>
                <w:rFonts w:eastAsia="Times New Roman"/>
                <w:sz w:val="24"/>
                <w:szCs w:val="24"/>
              </w:rPr>
              <w:t>26</w:t>
            </w:r>
          </w:p>
        </w:tc>
        <w:tc>
          <w:tcPr>
            <w:tcW w:w="1755" w:type="dxa"/>
            <w:tcBorders>
              <w:top w:val="nil"/>
              <w:left w:val="nil"/>
              <w:bottom w:val="single" w:sz="4" w:space="0" w:color="auto"/>
              <w:right w:val="single" w:sz="4" w:space="0" w:color="auto"/>
            </w:tcBorders>
            <w:shd w:val="clear" w:color="auto" w:fill="auto"/>
            <w:vAlign w:val="center"/>
            <w:hideMark/>
          </w:tcPr>
          <w:p w14:paraId="519B4E90" w14:textId="77777777" w:rsidR="00C2092A" w:rsidRPr="008E63BB" w:rsidRDefault="00C2092A" w:rsidP="0065184D">
            <w:pPr>
              <w:jc w:val="left"/>
              <w:rPr>
                <w:rFonts w:eastAsia="Times New Roman"/>
                <w:sz w:val="24"/>
                <w:szCs w:val="24"/>
              </w:rPr>
            </w:pPr>
            <w:r w:rsidRPr="008E63BB">
              <w:rPr>
                <w:rFonts w:eastAsia="Times New Roman"/>
                <w:sz w:val="24"/>
                <w:szCs w:val="24"/>
              </w:rPr>
              <w:t>Chợ Sắc</w:t>
            </w:r>
          </w:p>
        </w:tc>
        <w:tc>
          <w:tcPr>
            <w:tcW w:w="1710" w:type="dxa"/>
            <w:tcBorders>
              <w:top w:val="nil"/>
              <w:left w:val="nil"/>
              <w:bottom w:val="single" w:sz="4" w:space="0" w:color="auto"/>
              <w:right w:val="nil"/>
            </w:tcBorders>
            <w:shd w:val="clear" w:color="auto" w:fill="auto"/>
            <w:vAlign w:val="center"/>
            <w:hideMark/>
          </w:tcPr>
          <w:p w14:paraId="519B4E91" w14:textId="77777777" w:rsidR="00C2092A" w:rsidRPr="008E63BB" w:rsidRDefault="00C2092A" w:rsidP="0065184D">
            <w:pPr>
              <w:jc w:val="left"/>
              <w:rPr>
                <w:rFonts w:eastAsia="Times New Roman"/>
                <w:sz w:val="24"/>
                <w:szCs w:val="24"/>
              </w:rPr>
            </w:pPr>
            <w:r w:rsidRPr="008E63BB">
              <w:rPr>
                <w:rFonts w:eastAsia="Times New Roman"/>
                <w:sz w:val="24"/>
                <w:szCs w:val="24"/>
              </w:rPr>
              <w:t>Xã Mỹ Thắng</w:t>
            </w:r>
          </w:p>
        </w:tc>
        <w:tc>
          <w:tcPr>
            <w:tcW w:w="1440" w:type="dxa"/>
            <w:tcBorders>
              <w:top w:val="nil"/>
              <w:left w:val="nil"/>
              <w:bottom w:val="single" w:sz="4" w:space="0" w:color="auto"/>
              <w:right w:val="single" w:sz="4" w:space="0" w:color="auto"/>
            </w:tcBorders>
            <w:shd w:val="clear" w:color="auto" w:fill="auto"/>
            <w:vAlign w:val="center"/>
            <w:hideMark/>
          </w:tcPr>
          <w:p w14:paraId="519B4E92"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93" w14:textId="77777777" w:rsidR="00C2092A" w:rsidRPr="008E63BB" w:rsidRDefault="00C2092A" w:rsidP="0065184D">
            <w:pPr>
              <w:jc w:val="right"/>
              <w:rPr>
                <w:rFonts w:eastAsia="Times New Roman"/>
                <w:sz w:val="24"/>
                <w:szCs w:val="24"/>
              </w:rPr>
            </w:pPr>
            <w:r w:rsidRPr="008E63BB">
              <w:rPr>
                <w:rFonts w:eastAsia="Times New Roman"/>
                <w:sz w:val="24"/>
                <w:szCs w:val="24"/>
              </w:rPr>
              <w:t>4.640</w:t>
            </w:r>
          </w:p>
        </w:tc>
        <w:tc>
          <w:tcPr>
            <w:tcW w:w="1410" w:type="dxa"/>
            <w:tcBorders>
              <w:top w:val="nil"/>
              <w:left w:val="nil"/>
              <w:bottom w:val="single" w:sz="4" w:space="0" w:color="auto"/>
              <w:right w:val="single" w:sz="4" w:space="0" w:color="auto"/>
            </w:tcBorders>
            <w:shd w:val="clear" w:color="auto" w:fill="auto"/>
            <w:vAlign w:val="center"/>
            <w:hideMark/>
          </w:tcPr>
          <w:p w14:paraId="519B4E94"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95"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96"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A0"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98" w14:textId="77777777" w:rsidR="00C2092A" w:rsidRPr="008E63BB" w:rsidRDefault="00C2092A" w:rsidP="0065184D">
            <w:pPr>
              <w:jc w:val="right"/>
              <w:rPr>
                <w:rFonts w:eastAsia="Times New Roman"/>
                <w:sz w:val="24"/>
                <w:szCs w:val="24"/>
              </w:rPr>
            </w:pPr>
            <w:r w:rsidRPr="008E63BB">
              <w:rPr>
                <w:rFonts w:eastAsia="Times New Roman"/>
                <w:sz w:val="24"/>
                <w:szCs w:val="24"/>
              </w:rPr>
              <w:t>27</w:t>
            </w:r>
          </w:p>
        </w:tc>
        <w:tc>
          <w:tcPr>
            <w:tcW w:w="1755" w:type="dxa"/>
            <w:tcBorders>
              <w:top w:val="nil"/>
              <w:left w:val="nil"/>
              <w:bottom w:val="single" w:sz="4" w:space="0" w:color="auto"/>
              <w:right w:val="single" w:sz="4" w:space="0" w:color="auto"/>
            </w:tcBorders>
            <w:shd w:val="clear" w:color="auto" w:fill="auto"/>
            <w:vAlign w:val="center"/>
            <w:hideMark/>
          </w:tcPr>
          <w:p w14:paraId="519B4E99" w14:textId="77777777" w:rsidR="00C2092A" w:rsidRPr="008E63BB" w:rsidRDefault="00C2092A" w:rsidP="0065184D">
            <w:pPr>
              <w:jc w:val="left"/>
              <w:rPr>
                <w:rFonts w:eastAsia="Times New Roman"/>
                <w:sz w:val="24"/>
                <w:szCs w:val="24"/>
              </w:rPr>
            </w:pPr>
            <w:r w:rsidRPr="008E63BB">
              <w:rPr>
                <w:rFonts w:eastAsia="Times New Roman"/>
                <w:sz w:val="24"/>
                <w:szCs w:val="24"/>
              </w:rPr>
              <w:t>Chợ Sét</w:t>
            </w:r>
          </w:p>
        </w:tc>
        <w:tc>
          <w:tcPr>
            <w:tcW w:w="1710" w:type="dxa"/>
            <w:tcBorders>
              <w:top w:val="nil"/>
              <w:left w:val="nil"/>
              <w:bottom w:val="single" w:sz="4" w:space="0" w:color="auto"/>
              <w:right w:val="nil"/>
            </w:tcBorders>
            <w:shd w:val="clear" w:color="auto" w:fill="auto"/>
            <w:vAlign w:val="center"/>
            <w:hideMark/>
          </w:tcPr>
          <w:p w14:paraId="519B4E9A" w14:textId="77777777" w:rsidR="00C2092A" w:rsidRPr="008E63BB" w:rsidRDefault="00C2092A" w:rsidP="0065184D">
            <w:pPr>
              <w:jc w:val="left"/>
              <w:rPr>
                <w:rFonts w:eastAsia="Times New Roman"/>
                <w:sz w:val="24"/>
                <w:szCs w:val="24"/>
              </w:rPr>
            </w:pPr>
            <w:r w:rsidRPr="008E63BB">
              <w:rPr>
                <w:rFonts w:eastAsia="Times New Roman"/>
                <w:sz w:val="24"/>
                <w:szCs w:val="24"/>
              </w:rPr>
              <w:t>Xã Mỹ Hà</w:t>
            </w:r>
          </w:p>
        </w:tc>
        <w:tc>
          <w:tcPr>
            <w:tcW w:w="1440" w:type="dxa"/>
            <w:tcBorders>
              <w:top w:val="nil"/>
              <w:left w:val="nil"/>
              <w:bottom w:val="single" w:sz="4" w:space="0" w:color="auto"/>
              <w:right w:val="single" w:sz="4" w:space="0" w:color="auto"/>
            </w:tcBorders>
            <w:shd w:val="clear" w:color="auto" w:fill="auto"/>
            <w:vAlign w:val="center"/>
            <w:hideMark/>
          </w:tcPr>
          <w:p w14:paraId="519B4E9B"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9C" w14:textId="77777777" w:rsidR="00C2092A" w:rsidRPr="008E63BB" w:rsidRDefault="00C2092A" w:rsidP="0065184D">
            <w:pPr>
              <w:jc w:val="right"/>
              <w:rPr>
                <w:rFonts w:eastAsia="Times New Roman"/>
                <w:sz w:val="24"/>
                <w:szCs w:val="24"/>
              </w:rPr>
            </w:pPr>
            <w:r w:rsidRPr="008E63BB">
              <w:rPr>
                <w:rFonts w:eastAsia="Times New Roman"/>
                <w:sz w:val="24"/>
                <w:szCs w:val="24"/>
              </w:rPr>
              <w:t>3.759</w:t>
            </w:r>
          </w:p>
        </w:tc>
        <w:tc>
          <w:tcPr>
            <w:tcW w:w="1410" w:type="dxa"/>
            <w:tcBorders>
              <w:top w:val="nil"/>
              <w:left w:val="nil"/>
              <w:bottom w:val="single" w:sz="4" w:space="0" w:color="auto"/>
              <w:right w:val="single" w:sz="4" w:space="0" w:color="auto"/>
            </w:tcBorders>
            <w:shd w:val="clear" w:color="auto" w:fill="auto"/>
            <w:vAlign w:val="center"/>
            <w:hideMark/>
          </w:tcPr>
          <w:p w14:paraId="519B4E9D"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9E"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9F"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A9"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A1" w14:textId="77777777" w:rsidR="00C2092A" w:rsidRPr="008E63BB" w:rsidRDefault="00C2092A" w:rsidP="0065184D">
            <w:pPr>
              <w:jc w:val="right"/>
              <w:rPr>
                <w:rFonts w:eastAsia="Times New Roman"/>
                <w:sz w:val="24"/>
                <w:szCs w:val="24"/>
              </w:rPr>
            </w:pPr>
            <w:r w:rsidRPr="008E63BB">
              <w:rPr>
                <w:rFonts w:eastAsia="Times New Roman"/>
                <w:sz w:val="24"/>
                <w:szCs w:val="24"/>
              </w:rPr>
              <w:t>28</w:t>
            </w:r>
          </w:p>
        </w:tc>
        <w:tc>
          <w:tcPr>
            <w:tcW w:w="1755" w:type="dxa"/>
            <w:tcBorders>
              <w:top w:val="nil"/>
              <w:left w:val="nil"/>
              <w:bottom w:val="single" w:sz="4" w:space="0" w:color="auto"/>
              <w:right w:val="single" w:sz="4" w:space="0" w:color="auto"/>
            </w:tcBorders>
            <w:shd w:val="clear" w:color="auto" w:fill="auto"/>
            <w:vAlign w:val="center"/>
            <w:hideMark/>
          </w:tcPr>
          <w:p w14:paraId="519B4EA2" w14:textId="77777777" w:rsidR="00C2092A" w:rsidRPr="008E63BB" w:rsidRDefault="00C2092A" w:rsidP="0065184D">
            <w:pPr>
              <w:jc w:val="left"/>
              <w:rPr>
                <w:rFonts w:eastAsia="Times New Roman"/>
                <w:sz w:val="24"/>
                <w:szCs w:val="24"/>
              </w:rPr>
            </w:pPr>
            <w:r w:rsidRPr="008E63BB">
              <w:rPr>
                <w:rFonts w:eastAsia="Times New Roman"/>
                <w:sz w:val="24"/>
                <w:szCs w:val="24"/>
              </w:rPr>
              <w:t>Chợ Viềng</w:t>
            </w:r>
          </w:p>
        </w:tc>
        <w:tc>
          <w:tcPr>
            <w:tcW w:w="1710" w:type="dxa"/>
            <w:tcBorders>
              <w:top w:val="nil"/>
              <w:left w:val="nil"/>
              <w:bottom w:val="single" w:sz="4" w:space="0" w:color="auto"/>
              <w:right w:val="nil"/>
            </w:tcBorders>
            <w:shd w:val="clear" w:color="auto" w:fill="auto"/>
            <w:vAlign w:val="center"/>
            <w:hideMark/>
          </w:tcPr>
          <w:p w14:paraId="519B4EA3" w14:textId="77777777" w:rsidR="00C2092A" w:rsidRPr="008E63BB" w:rsidRDefault="00C2092A" w:rsidP="0065184D">
            <w:pPr>
              <w:jc w:val="left"/>
              <w:rPr>
                <w:rFonts w:eastAsia="Times New Roman"/>
                <w:sz w:val="24"/>
                <w:szCs w:val="24"/>
              </w:rPr>
            </w:pPr>
            <w:r w:rsidRPr="008E63BB">
              <w:rPr>
                <w:rFonts w:eastAsia="Times New Roman"/>
                <w:sz w:val="24"/>
                <w:szCs w:val="24"/>
              </w:rPr>
              <w:t>Xã Mỹ Phúc</w:t>
            </w:r>
          </w:p>
        </w:tc>
        <w:tc>
          <w:tcPr>
            <w:tcW w:w="1440" w:type="dxa"/>
            <w:tcBorders>
              <w:top w:val="nil"/>
              <w:left w:val="nil"/>
              <w:bottom w:val="single" w:sz="4" w:space="0" w:color="auto"/>
              <w:right w:val="single" w:sz="4" w:space="0" w:color="auto"/>
            </w:tcBorders>
            <w:shd w:val="clear" w:color="auto" w:fill="auto"/>
            <w:vAlign w:val="center"/>
            <w:hideMark/>
          </w:tcPr>
          <w:p w14:paraId="519B4EA4" w14:textId="77777777" w:rsidR="00C2092A" w:rsidRPr="008E63BB" w:rsidRDefault="00C2092A" w:rsidP="0065184D">
            <w:pPr>
              <w:jc w:val="left"/>
              <w:rPr>
                <w:rFonts w:eastAsia="Times New Roman"/>
                <w:sz w:val="24"/>
                <w:szCs w:val="24"/>
              </w:rPr>
            </w:pPr>
            <w:r w:rsidRPr="008E63BB">
              <w:rPr>
                <w:rFonts w:eastAsia="Times New Roman"/>
                <w:sz w:val="24"/>
                <w:szCs w:val="24"/>
              </w:rPr>
              <w:t>H. Mỹ Lộc</w:t>
            </w:r>
          </w:p>
        </w:tc>
        <w:tc>
          <w:tcPr>
            <w:tcW w:w="1180" w:type="dxa"/>
            <w:tcBorders>
              <w:top w:val="nil"/>
              <w:left w:val="nil"/>
              <w:bottom w:val="single" w:sz="4" w:space="0" w:color="auto"/>
              <w:right w:val="single" w:sz="4" w:space="0" w:color="auto"/>
            </w:tcBorders>
            <w:shd w:val="clear" w:color="auto" w:fill="auto"/>
            <w:vAlign w:val="center"/>
            <w:hideMark/>
          </w:tcPr>
          <w:p w14:paraId="519B4EA5" w14:textId="77777777" w:rsidR="00C2092A" w:rsidRPr="008E63BB" w:rsidRDefault="00C2092A" w:rsidP="0065184D">
            <w:pPr>
              <w:jc w:val="right"/>
              <w:rPr>
                <w:rFonts w:eastAsia="Times New Roman"/>
                <w:sz w:val="24"/>
                <w:szCs w:val="24"/>
              </w:rPr>
            </w:pPr>
            <w:r w:rsidRPr="008E63BB">
              <w:rPr>
                <w:rFonts w:eastAsia="Times New Roman"/>
                <w:sz w:val="24"/>
                <w:szCs w:val="24"/>
              </w:rPr>
              <w:t>2.061</w:t>
            </w:r>
          </w:p>
        </w:tc>
        <w:tc>
          <w:tcPr>
            <w:tcW w:w="1410" w:type="dxa"/>
            <w:tcBorders>
              <w:top w:val="nil"/>
              <w:left w:val="nil"/>
              <w:bottom w:val="single" w:sz="4" w:space="0" w:color="auto"/>
              <w:right w:val="single" w:sz="4" w:space="0" w:color="auto"/>
            </w:tcBorders>
            <w:shd w:val="clear" w:color="auto" w:fill="auto"/>
            <w:vAlign w:val="center"/>
            <w:hideMark/>
          </w:tcPr>
          <w:p w14:paraId="519B4EA6"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A7"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A8"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B2"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AA" w14:textId="77777777" w:rsidR="00C2092A" w:rsidRPr="008E63BB" w:rsidRDefault="00C2092A" w:rsidP="0065184D">
            <w:pPr>
              <w:jc w:val="right"/>
              <w:rPr>
                <w:rFonts w:eastAsia="Times New Roman"/>
                <w:sz w:val="24"/>
                <w:szCs w:val="24"/>
              </w:rPr>
            </w:pPr>
            <w:r w:rsidRPr="008E63BB">
              <w:rPr>
                <w:rFonts w:eastAsia="Times New Roman"/>
                <w:sz w:val="24"/>
                <w:szCs w:val="24"/>
              </w:rPr>
              <w:t>29</w:t>
            </w:r>
          </w:p>
        </w:tc>
        <w:tc>
          <w:tcPr>
            <w:tcW w:w="1755" w:type="dxa"/>
            <w:tcBorders>
              <w:top w:val="nil"/>
              <w:left w:val="nil"/>
              <w:bottom w:val="single" w:sz="4" w:space="0" w:color="auto"/>
              <w:right w:val="single" w:sz="4" w:space="0" w:color="auto"/>
            </w:tcBorders>
            <w:shd w:val="clear" w:color="auto" w:fill="auto"/>
            <w:vAlign w:val="center"/>
            <w:hideMark/>
          </w:tcPr>
          <w:p w14:paraId="519B4EAB" w14:textId="77777777" w:rsidR="00C2092A" w:rsidRPr="008E63BB" w:rsidRDefault="00C2092A" w:rsidP="0065184D">
            <w:pPr>
              <w:jc w:val="left"/>
              <w:rPr>
                <w:rFonts w:eastAsia="Times New Roman"/>
                <w:sz w:val="24"/>
                <w:szCs w:val="24"/>
              </w:rPr>
            </w:pPr>
            <w:r w:rsidRPr="008E63BB">
              <w:rPr>
                <w:rFonts w:eastAsia="Times New Roman"/>
                <w:sz w:val="24"/>
                <w:szCs w:val="24"/>
              </w:rPr>
              <w:t>Chợ An Duyên</w:t>
            </w:r>
          </w:p>
        </w:tc>
        <w:tc>
          <w:tcPr>
            <w:tcW w:w="1710" w:type="dxa"/>
            <w:tcBorders>
              <w:top w:val="nil"/>
              <w:left w:val="nil"/>
              <w:bottom w:val="single" w:sz="4" w:space="0" w:color="auto"/>
              <w:right w:val="nil"/>
            </w:tcBorders>
            <w:shd w:val="clear" w:color="auto" w:fill="auto"/>
            <w:vAlign w:val="center"/>
            <w:hideMark/>
          </w:tcPr>
          <w:p w14:paraId="519B4EAC" w14:textId="77777777" w:rsidR="00C2092A" w:rsidRPr="008E63BB" w:rsidRDefault="00C2092A" w:rsidP="0065184D">
            <w:pPr>
              <w:jc w:val="left"/>
              <w:rPr>
                <w:rFonts w:eastAsia="Times New Roman"/>
                <w:sz w:val="24"/>
                <w:szCs w:val="24"/>
              </w:rPr>
            </w:pPr>
            <w:r w:rsidRPr="008E63BB">
              <w:rPr>
                <w:rFonts w:eastAsia="Times New Roman"/>
                <w:sz w:val="24"/>
                <w:szCs w:val="24"/>
              </w:rPr>
              <w:t>Xã Đại An</w:t>
            </w:r>
          </w:p>
        </w:tc>
        <w:tc>
          <w:tcPr>
            <w:tcW w:w="1440" w:type="dxa"/>
            <w:tcBorders>
              <w:top w:val="nil"/>
              <w:left w:val="nil"/>
              <w:bottom w:val="single" w:sz="4" w:space="0" w:color="auto"/>
              <w:right w:val="single" w:sz="4" w:space="0" w:color="auto"/>
            </w:tcBorders>
            <w:shd w:val="clear" w:color="auto" w:fill="auto"/>
            <w:vAlign w:val="center"/>
            <w:hideMark/>
          </w:tcPr>
          <w:p w14:paraId="519B4EAD" w14:textId="77777777" w:rsidR="00C2092A" w:rsidRPr="008E63BB" w:rsidRDefault="00C2092A" w:rsidP="0065184D">
            <w:pPr>
              <w:jc w:val="left"/>
              <w:rPr>
                <w:rFonts w:eastAsia="Times New Roman"/>
                <w:sz w:val="24"/>
                <w:szCs w:val="24"/>
              </w:rPr>
            </w:pPr>
            <w:r w:rsidRPr="008E63BB">
              <w:rPr>
                <w:rFonts w:eastAsia="Times New Roman"/>
                <w:sz w:val="24"/>
                <w:szCs w:val="24"/>
              </w:rPr>
              <w:t>H.Vụ Bản</w:t>
            </w:r>
          </w:p>
        </w:tc>
        <w:tc>
          <w:tcPr>
            <w:tcW w:w="1180" w:type="dxa"/>
            <w:tcBorders>
              <w:top w:val="nil"/>
              <w:left w:val="nil"/>
              <w:bottom w:val="single" w:sz="4" w:space="0" w:color="auto"/>
              <w:right w:val="single" w:sz="4" w:space="0" w:color="auto"/>
            </w:tcBorders>
            <w:shd w:val="clear" w:color="auto" w:fill="auto"/>
            <w:vAlign w:val="center"/>
            <w:hideMark/>
          </w:tcPr>
          <w:p w14:paraId="519B4EAE" w14:textId="77777777" w:rsidR="00C2092A" w:rsidRPr="008E63BB" w:rsidRDefault="00C2092A" w:rsidP="0065184D">
            <w:pPr>
              <w:jc w:val="right"/>
              <w:rPr>
                <w:rFonts w:eastAsia="Times New Roman"/>
                <w:sz w:val="24"/>
                <w:szCs w:val="24"/>
              </w:rPr>
            </w:pPr>
            <w:r w:rsidRPr="008E63BB">
              <w:rPr>
                <w:rFonts w:eastAsia="Times New Roman"/>
                <w:sz w:val="24"/>
                <w:szCs w:val="24"/>
              </w:rPr>
              <w:t>1.445</w:t>
            </w:r>
          </w:p>
        </w:tc>
        <w:tc>
          <w:tcPr>
            <w:tcW w:w="1410" w:type="dxa"/>
            <w:tcBorders>
              <w:top w:val="nil"/>
              <w:left w:val="nil"/>
              <w:bottom w:val="single" w:sz="4" w:space="0" w:color="auto"/>
              <w:right w:val="single" w:sz="4" w:space="0" w:color="auto"/>
            </w:tcBorders>
            <w:shd w:val="clear" w:color="auto" w:fill="auto"/>
            <w:vAlign w:val="center"/>
            <w:hideMark/>
          </w:tcPr>
          <w:p w14:paraId="519B4EAF"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B0"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B1"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BB"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B3" w14:textId="77777777" w:rsidR="00C2092A" w:rsidRPr="008E63BB" w:rsidRDefault="00C2092A" w:rsidP="0065184D">
            <w:pPr>
              <w:jc w:val="right"/>
              <w:rPr>
                <w:rFonts w:eastAsia="Times New Roman"/>
                <w:sz w:val="24"/>
                <w:szCs w:val="24"/>
              </w:rPr>
            </w:pPr>
            <w:r w:rsidRPr="008E63BB">
              <w:rPr>
                <w:rFonts w:eastAsia="Times New Roman"/>
                <w:sz w:val="24"/>
                <w:szCs w:val="24"/>
              </w:rPr>
              <w:t>30</w:t>
            </w:r>
          </w:p>
        </w:tc>
        <w:tc>
          <w:tcPr>
            <w:tcW w:w="1755" w:type="dxa"/>
            <w:tcBorders>
              <w:top w:val="nil"/>
              <w:left w:val="nil"/>
              <w:bottom w:val="single" w:sz="4" w:space="0" w:color="auto"/>
              <w:right w:val="single" w:sz="4" w:space="0" w:color="auto"/>
            </w:tcBorders>
            <w:shd w:val="clear" w:color="auto" w:fill="auto"/>
            <w:vAlign w:val="center"/>
            <w:hideMark/>
          </w:tcPr>
          <w:p w14:paraId="519B4EB4" w14:textId="77777777" w:rsidR="00C2092A" w:rsidRPr="008E63BB" w:rsidRDefault="00C2092A" w:rsidP="0065184D">
            <w:pPr>
              <w:jc w:val="left"/>
              <w:rPr>
                <w:rFonts w:eastAsia="Times New Roman"/>
                <w:sz w:val="24"/>
                <w:szCs w:val="24"/>
              </w:rPr>
            </w:pPr>
            <w:r w:rsidRPr="008E63BB">
              <w:rPr>
                <w:rFonts w:eastAsia="Times New Roman"/>
                <w:sz w:val="24"/>
                <w:szCs w:val="24"/>
              </w:rPr>
              <w:t>Chợ Gạo</w:t>
            </w:r>
          </w:p>
        </w:tc>
        <w:tc>
          <w:tcPr>
            <w:tcW w:w="1710" w:type="dxa"/>
            <w:tcBorders>
              <w:top w:val="nil"/>
              <w:left w:val="nil"/>
              <w:bottom w:val="single" w:sz="4" w:space="0" w:color="auto"/>
              <w:right w:val="nil"/>
            </w:tcBorders>
            <w:shd w:val="clear" w:color="auto" w:fill="auto"/>
            <w:noWrap/>
            <w:vAlign w:val="center"/>
            <w:hideMark/>
          </w:tcPr>
          <w:p w14:paraId="519B4EB5" w14:textId="77777777" w:rsidR="00C2092A" w:rsidRPr="008E63BB" w:rsidRDefault="00C2092A" w:rsidP="0065184D">
            <w:pPr>
              <w:jc w:val="left"/>
              <w:rPr>
                <w:rFonts w:eastAsia="Times New Roman"/>
                <w:sz w:val="24"/>
                <w:szCs w:val="24"/>
              </w:rPr>
            </w:pPr>
            <w:r w:rsidRPr="008E63BB">
              <w:rPr>
                <w:rFonts w:eastAsia="Times New Roman"/>
                <w:sz w:val="24"/>
                <w:szCs w:val="24"/>
              </w:rPr>
              <w:t>Xã Thành Lợi</w:t>
            </w:r>
          </w:p>
        </w:tc>
        <w:tc>
          <w:tcPr>
            <w:tcW w:w="1440" w:type="dxa"/>
            <w:tcBorders>
              <w:top w:val="nil"/>
              <w:left w:val="nil"/>
              <w:bottom w:val="single" w:sz="4" w:space="0" w:color="auto"/>
              <w:right w:val="single" w:sz="4" w:space="0" w:color="auto"/>
            </w:tcBorders>
            <w:shd w:val="clear" w:color="auto" w:fill="auto"/>
            <w:vAlign w:val="center"/>
            <w:hideMark/>
          </w:tcPr>
          <w:p w14:paraId="519B4EB6"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B7" w14:textId="77777777" w:rsidR="00C2092A" w:rsidRPr="008E63BB" w:rsidRDefault="00C2092A" w:rsidP="0065184D">
            <w:pPr>
              <w:jc w:val="right"/>
              <w:rPr>
                <w:rFonts w:eastAsia="Times New Roman"/>
                <w:sz w:val="24"/>
                <w:szCs w:val="24"/>
              </w:rPr>
            </w:pPr>
            <w:r w:rsidRPr="008E63BB">
              <w:rPr>
                <w:rFonts w:eastAsia="Times New Roman"/>
                <w:sz w:val="24"/>
                <w:szCs w:val="24"/>
              </w:rPr>
              <w:t>7.750</w:t>
            </w:r>
          </w:p>
        </w:tc>
        <w:tc>
          <w:tcPr>
            <w:tcW w:w="1410" w:type="dxa"/>
            <w:tcBorders>
              <w:top w:val="nil"/>
              <w:left w:val="nil"/>
              <w:bottom w:val="single" w:sz="4" w:space="0" w:color="auto"/>
              <w:right w:val="single" w:sz="4" w:space="0" w:color="auto"/>
            </w:tcBorders>
            <w:shd w:val="clear" w:color="auto" w:fill="auto"/>
            <w:vAlign w:val="center"/>
            <w:hideMark/>
          </w:tcPr>
          <w:p w14:paraId="519B4EB8"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B9"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BA"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C4"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BC" w14:textId="77777777" w:rsidR="00C2092A" w:rsidRPr="008E63BB" w:rsidRDefault="00C2092A" w:rsidP="0065184D">
            <w:pPr>
              <w:jc w:val="right"/>
              <w:rPr>
                <w:rFonts w:eastAsia="Times New Roman"/>
                <w:sz w:val="24"/>
                <w:szCs w:val="24"/>
              </w:rPr>
            </w:pPr>
            <w:r w:rsidRPr="008E63BB">
              <w:rPr>
                <w:rFonts w:eastAsia="Times New Roman"/>
                <w:sz w:val="24"/>
                <w:szCs w:val="24"/>
              </w:rPr>
              <w:lastRenderedPageBreak/>
              <w:t>31</w:t>
            </w:r>
          </w:p>
        </w:tc>
        <w:tc>
          <w:tcPr>
            <w:tcW w:w="1755" w:type="dxa"/>
            <w:tcBorders>
              <w:top w:val="nil"/>
              <w:left w:val="nil"/>
              <w:bottom w:val="single" w:sz="4" w:space="0" w:color="auto"/>
              <w:right w:val="single" w:sz="4" w:space="0" w:color="auto"/>
            </w:tcBorders>
            <w:shd w:val="clear" w:color="auto" w:fill="auto"/>
            <w:vAlign w:val="center"/>
            <w:hideMark/>
          </w:tcPr>
          <w:p w14:paraId="519B4EBD" w14:textId="77777777" w:rsidR="00C2092A" w:rsidRPr="008E63BB" w:rsidRDefault="00C2092A" w:rsidP="0065184D">
            <w:pPr>
              <w:jc w:val="left"/>
              <w:rPr>
                <w:rFonts w:eastAsia="Times New Roman"/>
                <w:sz w:val="24"/>
                <w:szCs w:val="24"/>
              </w:rPr>
            </w:pPr>
            <w:r w:rsidRPr="008E63BB">
              <w:rPr>
                <w:rFonts w:eastAsia="Times New Roman"/>
                <w:sz w:val="24"/>
                <w:szCs w:val="24"/>
              </w:rPr>
              <w:t>Chợ Cốc</w:t>
            </w:r>
          </w:p>
        </w:tc>
        <w:tc>
          <w:tcPr>
            <w:tcW w:w="1710" w:type="dxa"/>
            <w:tcBorders>
              <w:top w:val="nil"/>
              <w:left w:val="nil"/>
              <w:bottom w:val="single" w:sz="4" w:space="0" w:color="auto"/>
              <w:right w:val="nil"/>
            </w:tcBorders>
            <w:shd w:val="clear" w:color="auto" w:fill="auto"/>
            <w:noWrap/>
            <w:vAlign w:val="center"/>
            <w:hideMark/>
          </w:tcPr>
          <w:p w14:paraId="519B4EBE" w14:textId="77777777" w:rsidR="00C2092A" w:rsidRPr="008E63BB" w:rsidRDefault="00C2092A" w:rsidP="0065184D">
            <w:pPr>
              <w:jc w:val="left"/>
              <w:rPr>
                <w:rFonts w:eastAsia="Times New Roman"/>
                <w:sz w:val="24"/>
                <w:szCs w:val="24"/>
              </w:rPr>
            </w:pPr>
            <w:r w:rsidRPr="008E63BB">
              <w:rPr>
                <w:rFonts w:eastAsia="Times New Roman"/>
                <w:sz w:val="24"/>
                <w:szCs w:val="24"/>
              </w:rPr>
              <w:t>Xã Tân Thành</w:t>
            </w:r>
          </w:p>
        </w:tc>
        <w:tc>
          <w:tcPr>
            <w:tcW w:w="1440" w:type="dxa"/>
            <w:tcBorders>
              <w:top w:val="nil"/>
              <w:left w:val="nil"/>
              <w:bottom w:val="single" w:sz="4" w:space="0" w:color="auto"/>
              <w:right w:val="single" w:sz="4" w:space="0" w:color="auto"/>
            </w:tcBorders>
            <w:shd w:val="clear" w:color="auto" w:fill="auto"/>
            <w:vAlign w:val="center"/>
            <w:hideMark/>
          </w:tcPr>
          <w:p w14:paraId="519B4EBF"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C0" w14:textId="77777777" w:rsidR="00C2092A" w:rsidRPr="008E63BB" w:rsidRDefault="00C2092A" w:rsidP="0065184D">
            <w:pPr>
              <w:jc w:val="right"/>
              <w:rPr>
                <w:rFonts w:eastAsia="Times New Roman"/>
                <w:sz w:val="24"/>
                <w:szCs w:val="24"/>
              </w:rPr>
            </w:pPr>
            <w:r w:rsidRPr="008E63BB">
              <w:rPr>
                <w:rFonts w:eastAsia="Times New Roman"/>
                <w:sz w:val="24"/>
                <w:szCs w:val="24"/>
              </w:rPr>
              <w:t>1.350</w:t>
            </w:r>
          </w:p>
        </w:tc>
        <w:tc>
          <w:tcPr>
            <w:tcW w:w="1410" w:type="dxa"/>
            <w:tcBorders>
              <w:top w:val="nil"/>
              <w:left w:val="nil"/>
              <w:bottom w:val="single" w:sz="4" w:space="0" w:color="auto"/>
              <w:right w:val="single" w:sz="4" w:space="0" w:color="auto"/>
            </w:tcBorders>
            <w:shd w:val="clear" w:color="auto" w:fill="auto"/>
            <w:vAlign w:val="center"/>
            <w:hideMark/>
          </w:tcPr>
          <w:p w14:paraId="519B4EC1" w14:textId="77777777" w:rsidR="00C2092A" w:rsidRPr="008E63BB" w:rsidRDefault="00C2092A" w:rsidP="0065184D">
            <w:pPr>
              <w:jc w:val="left"/>
              <w:rPr>
                <w:rFonts w:eastAsia="Times New Roman"/>
                <w:sz w:val="24"/>
                <w:szCs w:val="24"/>
              </w:rPr>
            </w:pPr>
            <w:r w:rsidRPr="008E63BB">
              <w:rPr>
                <w:rFonts w:eastAsia="Times New Roman"/>
                <w:sz w:val="24"/>
                <w:szCs w:val="24"/>
              </w:rPr>
              <w:t>Bán kiên cố</w:t>
            </w:r>
          </w:p>
        </w:tc>
        <w:tc>
          <w:tcPr>
            <w:tcW w:w="790" w:type="dxa"/>
            <w:tcBorders>
              <w:top w:val="nil"/>
              <w:left w:val="nil"/>
              <w:bottom w:val="single" w:sz="4" w:space="0" w:color="auto"/>
              <w:right w:val="single" w:sz="4" w:space="0" w:color="auto"/>
            </w:tcBorders>
            <w:shd w:val="clear" w:color="auto" w:fill="auto"/>
            <w:vAlign w:val="center"/>
            <w:hideMark/>
          </w:tcPr>
          <w:p w14:paraId="519B4EC2"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C3"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CD"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C5" w14:textId="77777777" w:rsidR="00C2092A" w:rsidRPr="008E63BB" w:rsidRDefault="00C2092A" w:rsidP="0065184D">
            <w:pPr>
              <w:jc w:val="right"/>
              <w:rPr>
                <w:rFonts w:eastAsia="Times New Roman"/>
                <w:sz w:val="24"/>
                <w:szCs w:val="24"/>
              </w:rPr>
            </w:pPr>
            <w:r w:rsidRPr="008E63BB">
              <w:rPr>
                <w:rFonts w:eastAsia="Times New Roman"/>
                <w:sz w:val="24"/>
                <w:szCs w:val="24"/>
              </w:rPr>
              <w:t>32</w:t>
            </w:r>
          </w:p>
        </w:tc>
        <w:tc>
          <w:tcPr>
            <w:tcW w:w="1755" w:type="dxa"/>
            <w:tcBorders>
              <w:top w:val="nil"/>
              <w:left w:val="nil"/>
              <w:bottom w:val="single" w:sz="4" w:space="0" w:color="auto"/>
              <w:right w:val="single" w:sz="4" w:space="0" w:color="auto"/>
            </w:tcBorders>
            <w:shd w:val="clear" w:color="auto" w:fill="auto"/>
            <w:vAlign w:val="center"/>
            <w:hideMark/>
          </w:tcPr>
          <w:p w14:paraId="519B4EC6" w14:textId="77777777" w:rsidR="00C2092A" w:rsidRPr="008E63BB" w:rsidRDefault="00C2092A" w:rsidP="0065184D">
            <w:pPr>
              <w:jc w:val="left"/>
              <w:rPr>
                <w:rFonts w:eastAsia="Times New Roman"/>
                <w:sz w:val="24"/>
                <w:szCs w:val="24"/>
              </w:rPr>
            </w:pPr>
            <w:r w:rsidRPr="008E63BB">
              <w:rPr>
                <w:rFonts w:eastAsia="Times New Roman"/>
                <w:sz w:val="24"/>
                <w:szCs w:val="24"/>
              </w:rPr>
              <w:t>Chợ Bùa</w:t>
            </w:r>
          </w:p>
        </w:tc>
        <w:tc>
          <w:tcPr>
            <w:tcW w:w="1710" w:type="dxa"/>
            <w:tcBorders>
              <w:top w:val="nil"/>
              <w:left w:val="nil"/>
              <w:bottom w:val="single" w:sz="4" w:space="0" w:color="auto"/>
              <w:right w:val="nil"/>
            </w:tcBorders>
            <w:shd w:val="clear" w:color="auto" w:fill="auto"/>
            <w:noWrap/>
            <w:vAlign w:val="center"/>
            <w:hideMark/>
          </w:tcPr>
          <w:p w14:paraId="519B4EC7" w14:textId="77777777" w:rsidR="00C2092A" w:rsidRPr="008E63BB" w:rsidRDefault="00C2092A" w:rsidP="0065184D">
            <w:pPr>
              <w:jc w:val="left"/>
              <w:rPr>
                <w:rFonts w:eastAsia="Times New Roman"/>
                <w:sz w:val="24"/>
                <w:szCs w:val="24"/>
              </w:rPr>
            </w:pPr>
            <w:r w:rsidRPr="008E63BB">
              <w:rPr>
                <w:rFonts w:eastAsia="Times New Roman"/>
                <w:sz w:val="24"/>
                <w:szCs w:val="24"/>
              </w:rPr>
              <w:t>Xã Nam Mỹ</w:t>
            </w:r>
          </w:p>
        </w:tc>
        <w:tc>
          <w:tcPr>
            <w:tcW w:w="1440" w:type="dxa"/>
            <w:tcBorders>
              <w:top w:val="nil"/>
              <w:left w:val="nil"/>
              <w:bottom w:val="single" w:sz="4" w:space="0" w:color="auto"/>
              <w:right w:val="single" w:sz="4" w:space="0" w:color="auto"/>
            </w:tcBorders>
            <w:shd w:val="clear" w:color="auto" w:fill="auto"/>
            <w:vAlign w:val="center"/>
            <w:hideMark/>
          </w:tcPr>
          <w:p w14:paraId="519B4EC8"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C9" w14:textId="77777777" w:rsidR="00C2092A" w:rsidRPr="008E63BB" w:rsidRDefault="00C2092A" w:rsidP="0065184D">
            <w:pPr>
              <w:jc w:val="right"/>
              <w:rPr>
                <w:rFonts w:eastAsia="Times New Roman"/>
                <w:sz w:val="24"/>
                <w:szCs w:val="24"/>
              </w:rPr>
            </w:pPr>
            <w:r w:rsidRPr="008E63BB">
              <w:rPr>
                <w:rFonts w:eastAsia="Times New Roman"/>
                <w:sz w:val="24"/>
                <w:szCs w:val="24"/>
              </w:rPr>
              <w:t>1.910</w:t>
            </w:r>
          </w:p>
        </w:tc>
        <w:tc>
          <w:tcPr>
            <w:tcW w:w="1410" w:type="dxa"/>
            <w:tcBorders>
              <w:top w:val="nil"/>
              <w:left w:val="nil"/>
              <w:bottom w:val="single" w:sz="4" w:space="0" w:color="auto"/>
              <w:right w:val="single" w:sz="4" w:space="0" w:color="auto"/>
            </w:tcBorders>
            <w:shd w:val="clear" w:color="auto" w:fill="auto"/>
            <w:vAlign w:val="center"/>
            <w:hideMark/>
          </w:tcPr>
          <w:p w14:paraId="519B4ECA"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CB"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CC"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D6"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CE" w14:textId="77777777" w:rsidR="00C2092A" w:rsidRPr="008E63BB" w:rsidRDefault="00C2092A" w:rsidP="0065184D">
            <w:pPr>
              <w:jc w:val="right"/>
              <w:rPr>
                <w:rFonts w:eastAsia="Times New Roman"/>
                <w:sz w:val="24"/>
                <w:szCs w:val="24"/>
              </w:rPr>
            </w:pPr>
            <w:r w:rsidRPr="008E63BB">
              <w:rPr>
                <w:rFonts w:eastAsia="Times New Roman"/>
                <w:sz w:val="24"/>
                <w:szCs w:val="24"/>
              </w:rPr>
              <w:t>33</w:t>
            </w:r>
          </w:p>
        </w:tc>
        <w:tc>
          <w:tcPr>
            <w:tcW w:w="1755" w:type="dxa"/>
            <w:tcBorders>
              <w:top w:val="nil"/>
              <w:left w:val="nil"/>
              <w:bottom w:val="single" w:sz="4" w:space="0" w:color="auto"/>
              <w:right w:val="single" w:sz="4" w:space="0" w:color="auto"/>
            </w:tcBorders>
            <w:shd w:val="clear" w:color="auto" w:fill="auto"/>
            <w:vAlign w:val="center"/>
            <w:hideMark/>
          </w:tcPr>
          <w:p w14:paraId="519B4ECF" w14:textId="77777777" w:rsidR="00C2092A" w:rsidRPr="008E63BB" w:rsidRDefault="00C2092A" w:rsidP="0065184D">
            <w:pPr>
              <w:jc w:val="left"/>
              <w:rPr>
                <w:rFonts w:eastAsia="Times New Roman"/>
                <w:sz w:val="24"/>
                <w:szCs w:val="24"/>
              </w:rPr>
            </w:pPr>
            <w:r w:rsidRPr="008E63BB">
              <w:rPr>
                <w:rFonts w:eastAsia="Times New Roman"/>
                <w:sz w:val="24"/>
                <w:szCs w:val="24"/>
              </w:rPr>
              <w:t>Chợ Trường Nguyên</w:t>
            </w:r>
          </w:p>
        </w:tc>
        <w:tc>
          <w:tcPr>
            <w:tcW w:w="1710" w:type="dxa"/>
            <w:tcBorders>
              <w:top w:val="nil"/>
              <w:left w:val="nil"/>
              <w:bottom w:val="single" w:sz="4" w:space="0" w:color="auto"/>
              <w:right w:val="nil"/>
            </w:tcBorders>
            <w:shd w:val="clear" w:color="auto" w:fill="auto"/>
            <w:noWrap/>
            <w:vAlign w:val="center"/>
            <w:hideMark/>
          </w:tcPr>
          <w:p w14:paraId="519B4ED0" w14:textId="77777777" w:rsidR="00C2092A" w:rsidRPr="008E63BB" w:rsidRDefault="00C2092A" w:rsidP="0065184D">
            <w:pPr>
              <w:jc w:val="left"/>
              <w:rPr>
                <w:rFonts w:eastAsia="Times New Roman"/>
                <w:sz w:val="24"/>
                <w:szCs w:val="24"/>
              </w:rPr>
            </w:pPr>
            <w:r w:rsidRPr="008E63BB">
              <w:rPr>
                <w:rFonts w:eastAsia="Times New Roman"/>
                <w:sz w:val="24"/>
                <w:szCs w:val="24"/>
              </w:rPr>
              <w:t>Xã  Điền Xá</w:t>
            </w:r>
          </w:p>
        </w:tc>
        <w:tc>
          <w:tcPr>
            <w:tcW w:w="1440" w:type="dxa"/>
            <w:tcBorders>
              <w:top w:val="nil"/>
              <w:left w:val="nil"/>
              <w:bottom w:val="single" w:sz="4" w:space="0" w:color="auto"/>
              <w:right w:val="single" w:sz="4" w:space="0" w:color="auto"/>
            </w:tcBorders>
            <w:shd w:val="clear" w:color="auto" w:fill="auto"/>
            <w:vAlign w:val="center"/>
            <w:hideMark/>
          </w:tcPr>
          <w:p w14:paraId="519B4ED1"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D2" w14:textId="77777777" w:rsidR="00C2092A" w:rsidRPr="008E63BB" w:rsidRDefault="00C2092A" w:rsidP="0065184D">
            <w:pPr>
              <w:jc w:val="right"/>
              <w:rPr>
                <w:rFonts w:eastAsia="Times New Roman"/>
                <w:sz w:val="24"/>
                <w:szCs w:val="24"/>
              </w:rPr>
            </w:pPr>
            <w:r w:rsidRPr="008E63BB">
              <w:rPr>
                <w:rFonts w:eastAsia="Times New Roman"/>
                <w:sz w:val="24"/>
                <w:szCs w:val="24"/>
              </w:rPr>
              <w:t>2.667</w:t>
            </w:r>
          </w:p>
        </w:tc>
        <w:tc>
          <w:tcPr>
            <w:tcW w:w="1410" w:type="dxa"/>
            <w:tcBorders>
              <w:top w:val="nil"/>
              <w:left w:val="nil"/>
              <w:bottom w:val="single" w:sz="4" w:space="0" w:color="auto"/>
              <w:right w:val="single" w:sz="4" w:space="0" w:color="auto"/>
            </w:tcBorders>
            <w:shd w:val="clear" w:color="auto" w:fill="auto"/>
            <w:vAlign w:val="center"/>
            <w:hideMark/>
          </w:tcPr>
          <w:p w14:paraId="519B4ED3"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D4"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D5"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DF"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D7" w14:textId="77777777" w:rsidR="00C2092A" w:rsidRPr="008E63BB" w:rsidRDefault="00C2092A" w:rsidP="0065184D">
            <w:pPr>
              <w:jc w:val="right"/>
              <w:rPr>
                <w:rFonts w:eastAsia="Times New Roman"/>
                <w:sz w:val="24"/>
                <w:szCs w:val="24"/>
              </w:rPr>
            </w:pPr>
            <w:r w:rsidRPr="008E63BB">
              <w:rPr>
                <w:rFonts w:eastAsia="Times New Roman"/>
                <w:sz w:val="24"/>
                <w:szCs w:val="24"/>
              </w:rPr>
              <w:t>34</w:t>
            </w:r>
          </w:p>
        </w:tc>
        <w:tc>
          <w:tcPr>
            <w:tcW w:w="1755" w:type="dxa"/>
            <w:tcBorders>
              <w:top w:val="nil"/>
              <w:left w:val="nil"/>
              <w:bottom w:val="single" w:sz="4" w:space="0" w:color="auto"/>
              <w:right w:val="single" w:sz="4" w:space="0" w:color="auto"/>
            </w:tcBorders>
            <w:shd w:val="clear" w:color="auto" w:fill="auto"/>
            <w:vAlign w:val="center"/>
            <w:hideMark/>
          </w:tcPr>
          <w:p w14:paraId="519B4ED8" w14:textId="77777777" w:rsidR="00C2092A" w:rsidRPr="008E63BB" w:rsidRDefault="00C2092A" w:rsidP="0065184D">
            <w:pPr>
              <w:jc w:val="left"/>
              <w:rPr>
                <w:rFonts w:eastAsia="Times New Roman"/>
                <w:sz w:val="24"/>
                <w:szCs w:val="24"/>
              </w:rPr>
            </w:pPr>
            <w:r w:rsidRPr="008E63BB">
              <w:rPr>
                <w:rFonts w:eastAsia="Times New Roman"/>
                <w:sz w:val="24"/>
                <w:szCs w:val="24"/>
              </w:rPr>
              <w:t>Chợ An Lá</w:t>
            </w:r>
          </w:p>
        </w:tc>
        <w:tc>
          <w:tcPr>
            <w:tcW w:w="1710" w:type="dxa"/>
            <w:tcBorders>
              <w:top w:val="nil"/>
              <w:left w:val="nil"/>
              <w:bottom w:val="single" w:sz="4" w:space="0" w:color="auto"/>
              <w:right w:val="nil"/>
            </w:tcBorders>
            <w:shd w:val="clear" w:color="auto" w:fill="auto"/>
            <w:noWrap/>
            <w:vAlign w:val="center"/>
            <w:hideMark/>
          </w:tcPr>
          <w:p w14:paraId="519B4ED9" w14:textId="77777777" w:rsidR="00C2092A" w:rsidRPr="008E63BB" w:rsidRDefault="00C2092A" w:rsidP="0065184D">
            <w:pPr>
              <w:jc w:val="left"/>
              <w:rPr>
                <w:rFonts w:eastAsia="Times New Roman"/>
                <w:sz w:val="24"/>
                <w:szCs w:val="24"/>
              </w:rPr>
            </w:pPr>
            <w:r w:rsidRPr="008E63BB">
              <w:rPr>
                <w:rFonts w:eastAsia="Times New Roman"/>
                <w:sz w:val="24"/>
                <w:szCs w:val="24"/>
              </w:rPr>
              <w:t>Xã  Nghĩa An</w:t>
            </w:r>
          </w:p>
        </w:tc>
        <w:tc>
          <w:tcPr>
            <w:tcW w:w="1440" w:type="dxa"/>
            <w:tcBorders>
              <w:top w:val="nil"/>
              <w:left w:val="nil"/>
              <w:bottom w:val="single" w:sz="4" w:space="0" w:color="auto"/>
              <w:right w:val="single" w:sz="4" w:space="0" w:color="auto"/>
            </w:tcBorders>
            <w:shd w:val="clear" w:color="auto" w:fill="auto"/>
            <w:vAlign w:val="center"/>
            <w:hideMark/>
          </w:tcPr>
          <w:p w14:paraId="519B4EDA"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DB" w14:textId="77777777" w:rsidR="00C2092A" w:rsidRPr="008E63BB" w:rsidRDefault="00C2092A" w:rsidP="0065184D">
            <w:pPr>
              <w:jc w:val="right"/>
              <w:rPr>
                <w:rFonts w:eastAsia="Times New Roman"/>
                <w:sz w:val="24"/>
                <w:szCs w:val="24"/>
              </w:rPr>
            </w:pPr>
            <w:r w:rsidRPr="008E63BB">
              <w:rPr>
                <w:rFonts w:eastAsia="Times New Roman"/>
                <w:sz w:val="24"/>
                <w:szCs w:val="24"/>
              </w:rPr>
              <w:t>4.200</w:t>
            </w:r>
          </w:p>
        </w:tc>
        <w:tc>
          <w:tcPr>
            <w:tcW w:w="1410" w:type="dxa"/>
            <w:tcBorders>
              <w:top w:val="nil"/>
              <w:left w:val="nil"/>
              <w:bottom w:val="single" w:sz="4" w:space="0" w:color="auto"/>
              <w:right w:val="single" w:sz="4" w:space="0" w:color="auto"/>
            </w:tcBorders>
            <w:shd w:val="clear" w:color="auto" w:fill="auto"/>
            <w:vAlign w:val="center"/>
            <w:hideMark/>
          </w:tcPr>
          <w:p w14:paraId="519B4EDC"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DD"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DE"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E8"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E0" w14:textId="77777777" w:rsidR="00C2092A" w:rsidRPr="008E63BB" w:rsidRDefault="00C2092A" w:rsidP="0065184D">
            <w:pPr>
              <w:jc w:val="right"/>
              <w:rPr>
                <w:rFonts w:eastAsia="Times New Roman"/>
                <w:sz w:val="24"/>
                <w:szCs w:val="24"/>
              </w:rPr>
            </w:pPr>
            <w:r w:rsidRPr="008E63BB">
              <w:rPr>
                <w:rFonts w:eastAsia="Times New Roman"/>
                <w:sz w:val="24"/>
                <w:szCs w:val="24"/>
              </w:rPr>
              <w:t>35</w:t>
            </w:r>
          </w:p>
        </w:tc>
        <w:tc>
          <w:tcPr>
            <w:tcW w:w="1755" w:type="dxa"/>
            <w:tcBorders>
              <w:top w:val="nil"/>
              <w:left w:val="nil"/>
              <w:bottom w:val="single" w:sz="4" w:space="0" w:color="auto"/>
              <w:right w:val="single" w:sz="4" w:space="0" w:color="auto"/>
            </w:tcBorders>
            <w:shd w:val="clear" w:color="auto" w:fill="auto"/>
            <w:vAlign w:val="center"/>
            <w:hideMark/>
          </w:tcPr>
          <w:p w14:paraId="519B4EE1" w14:textId="77777777" w:rsidR="00C2092A" w:rsidRPr="008E63BB" w:rsidRDefault="00C2092A" w:rsidP="0065184D">
            <w:pPr>
              <w:jc w:val="left"/>
              <w:rPr>
                <w:rFonts w:eastAsia="Times New Roman"/>
                <w:sz w:val="24"/>
                <w:szCs w:val="24"/>
              </w:rPr>
            </w:pPr>
            <w:r w:rsidRPr="008E63BB">
              <w:rPr>
                <w:rFonts w:eastAsia="Times New Roman"/>
                <w:sz w:val="24"/>
                <w:szCs w:val="24"/>
              </w:rPr>
              <w:t>Chợ Hôm</w:t>
            </w:r>
          </w:p>
        </w:tc>
        <w:tc>
          <w:tcPr>
            <w:tcW w:w="1710" w:type="dxa"/>
            <w:tcBorders>
              <w:top w:val="nil"/>
              <w:left w:val="nil"/>
              <w:bottom w:val="single" w:sz="4" w:space="0" w:color="auto"/>
              <w:right w:val="nil"/>
            </w:tcBorders>
            <w:shd w:val="clear" w:color="auto" w:fill="auto"/>
            <w:noWrap/>
            <w:vAlign w:val="center"/>
            <w:hideMark/>
          </w:tcPr>
          <w:p w14:paraId="519B4EE2" w14:textId="77777777" w:rsidR="00C2092A" w:rsidRPr="008E63BB" w:rsidRDefault="00C2092A" w:rsidP="003D057A">
            <w:pPr>
              <w:ind w:right="-169"/>
              <w:jc w:val="left"/>
              <w:rPr>
                <w:rFonts w:eastAsia="Times New Roman"/>
                <w:sz w:val="24"/>
                <w:szCs w:val="24"/>
              </w:rPr>
            </w:pPr>
            <w:r w:rsidRPr="008E63BB">
              <w:rPr>
                <w:rFonts w:eastAsia="Times New Roman"/>
                <w:sz w:val="24"/>
                <w:szCs w:val="24"/>
              </w:rPr>
              <w:t>Xã Hồng Quang</w:t>
            </w:r>
          </w:p>
        </w:tc>
        <w:tc>
          <w:tcPr>
            <w:tcW w:w="1440" w:type="dxa"/>
            <w:tcBorders>
              <w:top w:val="nil"/>
              <w:left w:val="nil"/>
              <w:bottom w:val="single" w:sz="4" w:space="0" w:color="auto"/>
              <w:right w:val="single" w:sz="4" w:space="0" w:color="auto"/>
            </w:tcBorders>
            <w:shd w:val="clear" w:color="auto" w:fill="auto"/>
            <w:vAlign w:val="center"/>
            <w:hideMark/>
          </w:tcPr>
          <w:p w14:paraId="519B4EE3"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E4" w14:textId="77777777" w:rsidR="00C2092A" w:rsidRPr="008E63BB" w:rsidRDefault="00C2092A" w:rsidP="0065184D">
            <w:pPr>
              <w:jc w:val="right"/>
              <w:rPr>
                <w:rFonts w:eastAsia="Times New Roman"/>
                <w:sz w:val="24"/>
                <w:szCs w:val="24"/>
              </w:rPr>
            </w:pPr>
            <w:r w:rsidRPr="008E63BB">
              <w:rPr>
                <w:rFonts w:eastAsia="Times New Roman"/>
                <w:sz w:val="24"/>
                <w:szCs w:val="24"/>
              </w:rPr>
              <w:t>1.000</w:t>
            </w:r>
          </w:p>
        </w:tc>
        <w:tc>
          <w:tcPr>
            <w:tcW w:w="1410" w:type="dxa"/>
            <w:tcBorders>
              <w:top w:val="nil"/>
              <w:left w:val="nil"/>
              <w:bottom w:val="single" w:sz="4" w:space="0" w:color="auto"/>
              <w:right w:val="single" w:sz="4" w:space="0" w:color="auto"/>
            </w:tcBorders>
            <w:shd w:val="clear" w:color="auto" w:fill="auto"/>
            <w:vAlign w:val="center"/>
            <w:hideMark/>
          </w:tcPr>
          <w:p w14:paraId="519B4EE5" w14:textId="77777777" w:rsidR="00C2092A" w:rsidRPr="008E63BB" w:rsidRDefault="00C2092A" w:rsidP="0065184D">
            <w:pPr>
              <w:jc w:val="left"/>
              <w:rPr>
                <w:rFonts w:eastAsia="Times New Roman"/>
                <w:sz w:val="24"/>
                <w:szCs w:val="24"/>
              </w:rPr>
            </w:pPr>
            <w:r w:rsidRPr="008E63BB">
              <w:rPr>
                <w:rFonts w:eastAsia="Times New Roman"/>
                <w:sz w:val="24"/>
                <w:szCs w:val="24"/>
              </w:rPr>
              <w:t>Chợ tạm</w:t>
            </w:r>
          </w:p>
        </w:tc>
        <w:tc>
          <w:tcPr>
            <w:tcW w:w="790" w:type="dxa"/>
            <w:tcBorders>
              <w:top w:val="nil"/>
              <w:left w:val="nil"/>
              <w:bottom w:val="single" w:sz="4" w:space="0" w:color="auto"/>
              <w:right w:val="single" w:sz="4" w:space="0" w:color="auto"/>
            </w:tcBorders>
            <w:shd w:val="clear" w:color="auto" w:fill="auto"/>
            <w:vAlign w:val="center"/>
            <w:hideMark/>
          </w:tcPr>
          <w:p w14:paraId="519B4EE6"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E7"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r w:rsidR="008D5BFE" w:rsidRPr="008E63BB" w14:paraId="519B4EF1" w14:textId="77777777" w:rsidTr="003D057A">
        <w:trPr>
          <w:trHeight w:val="390"/>
        </w:trPr>
        <w:tc>
          <w:tcPr>
            <w:tcW w:w="600" w:type="dxa"/>
            <w:tcBorders>
              <w:top w:val="nil"/>
              <w:left w:val="single" w:sz="4" w:space="0" w:color="auto"/>
              <w:bottom w:val="single" w:sz="4" w:space="0" w:color="auto"/>
              <w:right w:val="single" w:sz="4" w:space="0" w:color="auto"/>
            </w:tcBorders>
            <w:shd w:val="clear" w:color="auto" w:fill="auto"/>
            <w:vAlign w:val="center"/>
            <w:hideMark/>
          </w:tcPr>
          <w:p w14:paraId="519B4EE9" w14:textId="77777777" w:rsidR="00C2092A" w:rsidRPr="008E63BB" w:rsidRDefault="00C2092A" w:rsidP="0065184D">
            <w:pPr>
              <w:jc w:val="right"/>
              <w:rPr>
                <w:rFonts w:eastAsia="Times New Roman"/>
                <w:sz w:val="24"/>
                <w:szCs w:val="24"/>
              </w:rPr>
            </w:pPr>
            <w:r w:rsidRPr="008E63BB">
              <w:rPr>
                <w:rFonts w:eastAsia="Times New Roman"/>
                <w:sz w:val="24"/>
                <w:szCs w:val="24"/>
              </w:rPr>
              <w:t>36</w:t>
            </w:r>
          </w:p>
        </w:tc>
        <w:tc>
          <w:tcPr>
            <w:tcW w:w="1755" w:type="dxa"/>
            <w:tcBorders>
              <w:top w:val="nil"/>
              <w:left w:val="nil"/>
              <w:bottom w:val="single" w:sz="4" w:space="0" w:color="auto"/>
              <w:right w:val="single" w:sz="4" w:space="0" w:color="auto"/>
            </w:tcBorders>
            <w:shd w:val="clear" w:color="auto" w:fill="auto"/>
            <w:vAlign w:val="center"/>
            <w:hideMark/>
          </w:tcPr>
          <w:p w14:paraId="519B4EEA" w14:textId="77777777" w:rsidR="00C2092A" w:rsidRPr="008E63BB" w:rsidRDefault="00C2092A" w:rsidP="0065184D">
            <w:pPr>
              <w:jc w:val="left"/>
              <w:rPr>
                <w:rFonts w:eastAsia="Times New Roman"/>
                <w:sz w:val="24"/>
                <w:szCs w:val="24"/>
              </w:rPr>
            </w:pPr>
            <w:r w:rsidRPr="008E63BB">
              <w:rPr>
                <w:rFonts w:eastAsia="Times New Roman"/>
                <w:sz w:val="24"/>
                <w:szCs w:val="24"/>
              </w:rPr>
              <w:t>Chợ Xám</w:t>
            </w:r>
          </w:p>
        </w:tc>
        <w:tc>
          <w:tcPr>
            <w:tcW w:w="1710" w:type="dxa"/>
            <w:tcBorders>
              <w:top w:val="nil"/>
              <w:left w:val="nil"/>
              <w:bottom w:val="single" w:sz="4" w:space="0" w:color="auto"/>
              <w:right w:val="nil"/>
            </w:tcBorders>
            <w:shd w:val="clear" w:color="auto" w:fill="auto"/>
            <w:noWrap/>
            <w:vAlign w:val="center"/>
            <w:hideMark/>
          </w:tcPr>
          <w:p w14:paraId="519B4EEB" w14:textId="77777777" w:rsidR="00C2092A" w:rsidRPr="008E63BB" w:rsidRDefault="00C2092A" w:rsidP="003D057A">
            <w:pPr>
              <w:ind w:right="-169"/>
              <w:jc w:val="left"/>
              <w:rPr>
                <w:rFonts w:eastAsia="Times New Roman"/>
                <w:sz w:val="24"/>
                <w:szCs w:val="24"/>
              </w:rPr>
            </w:pPr>
            <w:r w:rsidRPr="008E63BB">
              <w:rPr>
                <w:rFonts w:eastAsia="Times New Roman"/>
                <w:sz w:val="24"/>
                <w:szCs w:val="24"/>
              </w:rPr>
              <w:t>Xã Hồng Quang</w:t>
            </w:r>
          </w:p>
        </w:tc>
        <w:tc>
          <w:tcPr>
            <w:tcW w:w="1440" w:type="dxa"/>
            <w:tcBorders>
              <w:top w:val="nil"/>
              <w:left w:val="nil"/>
              <w:bottom w:val="single" w:sz="4" w:space="0" w:color="auto"/>
              <w:right w:val="single" w:sz="4" w:space="0" w:color="auto"/>
            </w:tcBorders>
            <w:shd w:val="clear" w:color="auto" w:fill="auto"/>
            <w:vAlign w:val="center"/>
            <w:hideMark/>
          </w:tcPr>
          <w:p w14:paraId="519B4EEC" w14:textId="77777777" w:rsidR="00C2092A" w:rsidRPr="008E63BB" w:rsidRDefault="00C2092A" w:rsidP="003D057A">
            <w:pPr>
              <w:ind w:right="-147"/>
              <w:jc w:val="left"/>
              <w:rPr>
                <w:rFonts w:eastAsia="Times New Roman"/>
                <w:sz w:val="24"/>
                <w:szCs w:val="24"/>
              </w:rPr>
            </w:pPr>
            <w:r w:rsidRPr="008E63BB">
              <w:rPr>
                <w:rFonts w:eastAsia="Times New Roman"/>
                <w:sz w:val="24"/>
                <w:szCs w:val="24"/>
              </w:rPr>
              <w:t>H. Nam Trực</w:t>
            </w:r>
          </w:p>
        </w:tc>
        <w:tc>
          <w:tcPr>
            <w:tcW w:w="1180" w:type="dxa"/>
            <w:tcBorders>
              <w:top w:val="nil"/>
              <w:left w:val="nil"/>
              <w:bottom w:val="single" w:sz="4" w:space="0" w:color="auto"/>
              <w:right w:val="single" w:sz="4" w:space="0" w:color="auto"/>
            </w:tcBorders>
            <w:shd w:val="clear" w:color="auto" w:fill="auto"/>
            <w:vAlign w:val="center"/>
            <w:hideMark/>
          </w:tcPr>
          <w:p w14:paraId="519B4EED" w14:textId="77777777" w:rsidR="00C2092A" w:rsidRPr="008E63BB" w:rsidRDefault="00C2092A" w:rsidP="0065184D">
            <w:pPr>
              <w:jc w:val="right"/>
              <w:rPr>
                <w:rFonts w:eastAsia="Times New Roman"/>
                <w:sz w:val="24"/>
                <w:szCs w:val="24"/>
              </w:rPr>
            </w:pPr>
            <w:r w:rsidRPr="008E63BB">
              <w:rPr>
                <w:rFonts w:eastAsia="Times New Roman"/>
                <w:sz w:val="24"/>
                <w:szCs w:val="24"/>
              </w:rPr>
              <w:t>4.000</w:t>
            </w:r>
          </w:p>
        </w:tc>
        <w:tc>
          <w:tcPr>
            <w:tcW w:w="1410" w:type="dxa"/>
            <w:tcBorders>
              <w:top w:val="nil"/>
              <w:left w:val="nil"/>
              <w:bottom w:val="single" w:sz="4" w:space="0" w:color="auto"/>
              <w:right w:val="single" w:sz="4" w:space="0" w:color="auto"/>
            </w:tcBorders>
            <w:shd w:val="clear" w:color="auto" w:fill="auto"/>
            <w:vAlign w:val="center"/>
            <w:hideMark/>
          </w:tcPr>
          <w:p w14:paraId="519B4EEE" w14:textId="77777777" w:rsidR="00C2092A" w:rsidRPr="008E63BB" w:rsidRDefault="00C2092A" w:rsidP="0065184D">
            <w:pPr>
              <w:jc w:val="left"/>
              <w:rPr>
                <w:rFonts w:eastAsia="Times New Roman"/>
                <w:sz w:val="24"/>
                <w:szCs w:val="24"/>
              </w:rPr>
            </w:pPr>
            <w:r w:rsidRPr="008E63BB">
              <w:rPr>
                <w:rFonts w:eastAsia="Times New Roman"/>
                <w:sz w:val="24"/>
                <w:szCs w:val="24"/>
              </w:rPr>
              <w:t>Kiên cố</w:t>
            </w:r>
          </w:p>
        </w:tc>
        <w:tc>
          <w:tcPr>
            <w:tcW w:w="790" w:type="dxa"/>
            <w:tcBorders>
              <w:top w:val="nil"/>
              <w:left w:val="nil"/>
              <w:bottom w:val="single" w:sz="4" w:space="0" w:color="auto"/>
              <w:right w:val="single" w:sz="4" w:space="0" w:color="auto"/>
            </w:tcBorders>
            <w:shd w:val="clear" w:color="auto" w:fill="auto"/>
            <w:vAlign w:val="center"/>
            <w:hideMark/>
          </w:tcPr>
          <w:p w14:paraId="519B4EEF" w14:textId="77777777" w:rsidR="00C2092A" w:rsidRPr="008E63BB" w:rsidRDefault="00C2092A" w:rsidP="0065184D">
            <w:pPr>
              <w:jc w:val="center"/>
              <w:rPr>
                <w:rFonts w:eastAsia="Times New Roman"/>
                <w:sz w:val="24"/>
                <w:szCs w:val="24"/>
              </w:rPr>
            </w:pPr>
            <w:r w:rsidRPr="008E63BB">
              <w:rPr>
                <w:rFonts w:eastAsia="Times New Roman"/>
                <w:sz w:val="24"/>
                <w:szCs w:val="24"/>
              </w:rPr>
              <w:t>III</w:t>
            </w:r>
          </w:p>
        </w:tc>
        <w:tc>
          <w:tcPr>
            <w:tcW w:w="930" w:type="dxa"/>
            <w:tcBorders>
              <w:top w:val="nil"/>
              <w:left w:val="nil"/>
              <w:bottom w:val="single" w:sz="4" w:space="0" w:color="auto"/>
              <w:right w:val="single" w:sz="4" w:space="0" w:color="auto"/>
            </w:tcBorders>
            <w:shd w:val="clear" w:color="auto" w:fill="auto"/>
            <w:vAlign w:val="center"/>
            <w:hideMark/>
          </w:tcPr>
          <w:p w14:paraId="519B4EF0" w14:textId="77777777" w:rsidR="00C2092A" w:rsidRPr="008E63BB" w:rsidRDefault="00C2092A" w:rsidP="0065184D">
            <w:pPr>
              <w:jc w:val="left"/>
              <w:rPr>
                <w:rFonts w:eastAsia="Times New Roman"/>
                <w:sz w:val="24"/>
                <w:szCs w:val="24"/>
              </w:rPr>
            </w:pPr>
            <w:r w:rsidRPr="008E63BB">
              <w:rPr>
                <w:rFonts w:eastAsia="Times New Roman"/>
                <w:sz w:val="24"/>
                <w:szCs w:val="24"/>
              </w:rPr>
              <w:t> </w:t>
            </w:r>
          </w:p>
        </w:tc>
      </w:tr>
    </w:tbl>
    <w:p w14:paraId="519B4EF2" w14:textId="77777777" w:rsidR="00C2092A" w:rsidRPr="008E63BB" w:rsidRDefault="00C2092A" w:rsidP="0065184D">
      <w:pPr>
        <w:rPr>
          <w:i/>
          <w:szCs w:val="26"/>
        </w:rPr>
        <w:sectPr w:rsidR="00C2092A" w:rsidRPr="008E63BB" w:rsidSect="00296BCC">
          <w:pgSz w:w="11907" w:h="16840" w:code="9"/>
          <w:pgMar w:top="1440" w:right="922" w:bottom="1440" w:left="1699" w:header="720" w:footer="720" w:gutter="0"/>
          <w:cols w:space="720"/>
          <w:docGrid w:linePitch="360"/>
        </w:sectPr>
      </w:pPr>
    </w:p>
    <w:p w14:paraId="519B4EF3" w14:textId="77777777" w:rsidR="00993172" w:rsidRPr="008E63BB" w:rsidRDefault="00993172" w:rsidP="0065184D">
      <w:pPr>
        <w:rPr>
          <w:b/>
          <w:szCs w:val="26"/>
        </w:rPr>
      </w:pPr>
      <w:r w:rsidRPr="008E63BB">
        <w:rPr>
          <w:b/>
          <w:szCs w:val="26"/>
        </w:rPr>
        <w:lastRenderedPageBreak/>
        <w:t>Hiện trạng năng lực cạnh tranh giai đoạn 2010-2018</w:t>
      </w:r>
    </w:p>
    <w:tbl>
      <w:tblPr>
        <w:tblW w:w="15557" w:type="dxa"/>
        <w:tblInd w:w="-572" w:type="dxa"/>
        <w:tblLook w:val="04A0" w:firstRow="1" w:lastRow="0" w:firstColumn="1" w:lastColumn="0" w:noHBand="0" w:noVBand="1"/>
      </w:tblPr>
      <w:tblGrid>
        <w:gridCol w:w="510"/>
        <w:gridCol w:w="2467"/>
        <w:gridCol w:w="683"/>
        <w:gridCol w:w="696"/>
        <w:gridCol w:w="683"/>
        <w:gridCol w:w="696"/>
        <w:gridCol w:w="683"/>
        <w:gridCol w:w="696"/>
        <w:gridCol w:w="683"/>
        <w:gridCol w:w="708"/>
        <w:gridCol w:w="709"/>
        <w:gridCol w:w="706"/>
        <w:gridCol w:w="683"/>
        <w:gridCol w:w="696"/>
        <w:gridCol w:w="727"/>
        <w:gridCol w:w="704"/>
        <w:gridCol w:w="683"/>
        <w:gridCol w:w="704"/>
        <w:gridCol w:w="744"/>
        <w:gridCol w:w="696"/>
      </w:tblGrid>
      <w:tr w:rsidR="008D5BFE" w:rsidRPr="008E63BB" w14:paraId="519B4F00" w14:textId="77777777" w:rsidTr="004710C7">
        <w:trPr>
          <w:trHeight w:val="255"/>
        </w:trPr>
        <w:tc>
          <w:tcPr>
            <w:tcW w:w="5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4EF4" w14:textId="77777777" w:rsidR="00993172" w:rsidRPr="008E63BB" w:rsidRDefault="00993172" w:rsidP="0065184D">
            <w:pPr>
              <w:jc w:val="center"/>
              <w:rPr>
                <w:rFonts w:eastAsia="Times New Roman"/>
                <w:sz w:val="24"/>
                <w:szCs w:val="24"/>
              </w:rPr>
            </w:pPr>
            <w:r w:rsidRPr="008E63BB">
              <w:rPr>
                <w:rFonts w:eastAsia="Times New Roman"/>
                <w:sz w:val="24"/>
                <w:szCs w:val="24"/>
              </w:rPr>
              <w:t>TT</w:t>
            </w:r>
          </w:p>
        </w:tc>
        <w:tc>
          <w:tcPr>
            <w:tcW w:w="246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B4EF5" w14:textId="77777777" w:rsidR="00993172" w:rsidRPr="008E63BB" w:rsidRDefault="00993172" w:rsidP="0065184D">
            <w:pPr>
              <w:jc w:val="center"/>
              <w:rPr>
                <w:rFonts w:eastAsia="Times New Roman"/>
                <w:sz w:val="24"/>
                <w:szCs w:val="24"/>
              </w:rPr>
            </w:pPr>
            <w:r w:rsidRPr="008E63BB">
              <w:rPr>
                <w:rFonts w:eastAsia="Times New Roman"/>
                <w:sz w:val="24"/>
                <w:szCs w:val="24"/>
              </w:rPr>
              <w:t>Danh mục</w:t>
            </w:r>
          </w:p>
          <w:p w14:paraId="519B4EF6" w14:textId="77777777" w:rsidR="00993172" w:rsidRPr="008E63BB" w:rsidRDefault="00993172" w:rsidP="0065184D">
            <w:pPr>
              <w:jc w:val="center"/>
              <w:rPr>
                <w:rFonts w:eastAsia="Times New Roman"/>
                <w:sz w:val="24"/>
                <w:szCs w:val="24"/>
              </w:rPr>
            </w:pPr>
          </w:p>
        </w:tc>
        <w:tc>
          <w:tcPr>
            <w:tcW w:w="137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7" w14:textId="77777777" w:rsidR="00993172" w:rsidRPr="008E63BB" w:rsidRDefault="00993172" w:rsidP="0065184D">
            <w:pPr>
              <w:jc w:val="center"/>
              <w:rPr>
                <w:rFonts w:eastAsia="Times New Roman"/>
                <w:sz w:val="24"/>
                <w:szCs w:val="24"/>
              </w:rPr>
            </w:pPr>
            <w:r w:rsidRPr="008E63BB">
              <w:rPr>
                <w:rFonts w:eastAsia="Times New Roman"/>
                <w:sz w:val="24"/>
                <w:szCs w:val="24"/>
              </w:rPr>
              <w:t>2010</w:t>
            </w:r>
          </w:p>
        </w:tc>
        <w:tc>
          <w:tcPr>
            <w:tcW w:w="137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8" w14:textId="77777777" w:rsidR="00993172" w:rsidRPr="008E63BB" w:rsidRDefault="00993172" w:rsidP="0065184D">
            <w:pPr>
              <w:jc w:val="center"/>
              <w:rPr>
                <w:rFonts w:eastAsia="Times New Roman"/>
                <w:sz w:val="24"/>
                <w:szCs w:val="24"/>
              </w:rPr>
            </w:pPr>
            <w:r w:rsidRPr="008E63BB">
              <w:rPr>
                <w:rFonts w:eastAsia="Times New Roman"/>
                <w:sz w:val="24"/>
                <w:szCs w:val="24"/>
              </w:rPr>
              <w:t>2011</w:t>
            </w:r>
          </w:p>
        </w:tc>
        <w:tc>
          <w:tcPr>
            <w:tcW w:w="137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9" w14:textId="77777777" w:rsidR="00993172" w:rsidRPr="008E63BB" w:rsidRDefault="00993172" w:rsidP="0065184D">
            <w:pPr>
              <w:jc w:val="center"/>
              <w:rPr>
                <w:rFonts w:eastAsia="Times New Roman"/>
                <w:sz w:val="24"/>
                <w:szCs w:val="24"/>
              </w:rPr>
            </w:pPr>
            <w:r w:rsidRPr="008E63BB">
              <w:rPr>
                <w:rFonts w:eastAsia="Times New Roman"/>
                <w:sz w:val="24"/>
                <w:szCs w:val="24"/>
              </w:rPr>
              <w:t>2012</w:t>
            </w:r>
          </w:p>
        </w:tc>
        <w:tc>
          <w:tcPr>
            <w:tcW w:w="139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A" w14:textId="77777777" w:rsidR="00993172" w:rsidRPr="008E63BB" w:rsidRDefault="00993172" w:rsidP="0065184D">
            <w:pPr>
              <w:jc w:val="center"/>
              <w:rPr>
                <w:rFonts w:eastAsia="Times New Roman"/>
                <w:sz w:val="24"/>
                <w:szCs w:val="24"/>
              </w:rPr>
            </w:pPr>
            <w:r w:rsidRPr="008E63BB">
              <w:rPr>
                <w:rFonts w:eastAsia="Times New Roman"/>
                <w:sz w:val="24"/>
                <w:szCs w:val="24"/>
              </w:rPr>
              <w:t>2013</w:t>
            </w:r>
          </w:p>
        </w:tc>
        <w:tc>
          <w:tcPr>
            <w:tcW w:w="141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B" w14:textId="77777777" w:rsidR="00993172" w:rsidRPr="008E63BB" w:rsidRDefault="00993172" w:rsidP="0065184D">
            <w:pPr>
              <w:jc w:val="center"/>
              <w:rPr>
                <w:rFonts w:eastAsia="Times New Roman"/>
                <w:sz w:val="24"/>
                <w:szCs w:val="24"/>
              </w:rPr>
            </w:pPr>
            <w:r w:rsidRPr="008E63BB">
              <w:rPr>
                <w:rFonts w:eastAsia="Times New Roman"/>
                <w:sz w:val="24"/>
                <w:szCs w:val="24"/>
              </w:rPr>
              <w:t>2014</w:t>
            </w:r>
          </w:p>
        </w:tc>
        <w:tc>
          <w:tcPr>
            <w:tcW w:w="137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C" w14:textId="77777777" w:rsidR="00993172" w:rsidRPr="008E63BB" w:rsidRDefault="00993172" w:rsidP="0065184D">
            <w:pPr>
              <w:jc w:val="center"/>
              <w:rPr>
                <w:rFonts w:eastAsia="Times New Roman"/>
                <w:sz w:val="24"/>
                <w:szCs w:val="24"/>
              </w:rPr>
            </w:pPr>
            <w:r w:rsidRPr="008E63BB">
              <w:rPr>
                <w:rFonts w:eastAsia="Times New Roman"/>
                <w:sz w:val="24"/>
                <w:szCs w:val="24"/>
              </w:rPr>
              <w:t>2015</w:t>
            </w:r>
          </w:p>
        </w:tc>
        <w:tc>
          <w:tcPr>
            <w:tcW w:w="143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D" w14:textId="77777777" w:rsidR="00993172" w:rsidRPr="008E63BB" w:rsidRDefault="00993172" w:rsidP="0065184D">
            <w:pPr>
              <w:jc w:val="center"/>
              <w:rPr>
                <w:rFonts w:eastAsia="Times New Roman"/>
                <w:sz w:val="24"/>
                <w:szCs w:val="24"/>
              </w:rPr>
            </w:pPr>
            <w:r w:rsidRPr="008E63BB">
              <w:rPr>
                <w:rFonts w:eastAsia="Times New Roman"/>
                <w:sz w:val="24"/>
                <w:szCs w:val="24"/>
              </w:rPr>
              <w:t>2016</w:t>
            </w:r>
          </w:p>
        </w:tc>
        <w:tc>
          <w:tcPr>
            <w:tcW w:w="1387"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E" w14:textId="77777777" w:rsidR="00993172" w:rsidRPr="008E63BB" w:rsidRDefault="00993172" w:rsidP="0065184D">
            <w:pPr>
              <w:jc w:val="center"/>
              <w:rPr>
                <w:rFonts w:eastAsia="Times New Roman"/>
                <w:sz w:val="24"/>
                <w:szCs w:val="24"/>
              </w:rPr>
            </w:pPr>
            <w:r w:rsidRPr="008E63BB">
              <w:rPr>
                <w:rFonts w:eastAsia="Times New Roman"/>
                <w:sz w:val="24"/>
                <w:szCs w:val="24"/>
              </w:rPr>
              <w:t>2017</w:t>
            </w:r>
          </w:p>
        </w:tc>
        <w:tc>
          <w:tcPr>
            <w:tcW w:w="1440" w:type="dxa"/>
            <w:gridSpan w:val="2"/>
            <w:tcBorders>
              <w:top w:val="single" w:sz="4" w:space="0" w:color="auto"/>
              <w:left w:val="nil"/>
              <w:bottom w:val="single" w:sz="4" w:space="0" w:color="auto"/>
              <w:right w:val="single" w:sz="4" w:space="0" w:color="auto"/>
            </w:tcBorders>
            <w:shd w:val="clear" w:color="auto" w:fill="auto"/>
            <w:noWrap/>
            <w:vAlign w:val="center"/>
            <w:hideMark/>
          </w:tcPr>
          <w:p w14:paraId="519B4EFF" w14:textId="77777777" w:rsidR="00993172" w:rsidRPr="008E63BB" w:rsidRDefault="00993172" w:rsidP="0065184D">
            <w:pPr>
              <w:jc w:val="center"/>
              <w:rPr>
                <w:rFonts w:eastAsia="Times New Roman"/>
                <w:sz w:val="24"/>
                <w:szCs w:val="24"/>
              </w:rPr>
            </w:pPr>
            <w:r w:rsidRPr="008E63BB">
              <w:rPr>
                <w:rFonts w:eastAsia="Times New Roman"/>
                <w:sz w:val="24"/>
                <w:szCs w:val="24"/>
              </w:rPr>
              <w:t>2018</w:t>
            </w:r>
          </w:p>
        </w:tc>
      </w:tr>
      <w:tr w:rsidR="008D5BFE" w:rsidRPr="008E63BB" w14:paraId="519B4F1E" w14:textId="77777777" w:rsidTr="004710C7">
        <w:trPr>
          <w:trHeight w:val="255"/>
        </w:trPr>
        <w:tc>
          <w:tcPr>
            <w:tcW w:w="510" w:type="dxa"/>
            <w:vMerge/>
            <w:tcBorders>
              <w:top w:val="single" w:sz="4" w:space="0" w:color="auto"/>
              <w:left w:val="single" w:sz="4" w:space="0" w:color="auto"/>
              <w:bottom w:val="single" w:sz="4" w:space="0" w:color="auto"/>
              <w:right w:val="single" w:sz="4" w:space="0" w:color="auto"/>
            </w:tcBorders>
            <w:vAlign w:val="center"/>
            <w:hideMark/>
          </w:tcPr>
          <w:p w14:paraId="519B4F01" w14:textId="77777777" w:rsidR="00993172" w:rsidRPr="008E63BB" w:rsidRDefault="00993172" w:rsidP="0065184D">
            <w:pPr>
              <w:jc w:val="left"/>
              <w:rPr>
                <w:rFonts w:eastAsia="Times New Roman"/>
                <w:sz w:val="24"/>
                <w:szCs w:val="24"/>
              </w:rPr>
            </w:pPr>
          </w:p>
        </w:tc>
        <w:tc>
          <w:tcPr>
            <w:tcW w:w="2467" w:type="dxa"/>
            <w:vMerge/>
            <w:tcBorders>
              <w:top w:val="single" w:sz="4" w:space="0" w:color="auto"/>
              <w:left w:val="single" w:sz="4" w:space="0" w:color="auto"/>
              <w:bottom w:val="single" w:sz="4" w:space="0" w:color="auto"/>
              <w:right w:val="single" w:sz="4" w:space="0" w:color="auto"/>
            </w:tcBorders>
            <w:vAlign w:val="center"/>
            <w:hideMark/>
          </w:tcPr>
          <w:p w14:paraId="519B4F02" w14:textId="77777777" w:rsidR="00993172" w:rsidRPr="008E63BB" w:rsidRDefault="00993172" w:rsidP="0065184D">
            <w:pPr>
              <w:jc w:val="left"/>
              <w:rPr>
                <w:rFonts w:eastAsia="Times New Roman"/>
                <w:sz w:val="24"/>
                <w:szCs w:val="24"/>
              </w:rPr>
            </w:pPr>
          </w:p>
        </w:tc>
        <w:tc>
          <w:tcPr>
            <w:tcW w:w="683" w:type="dxa"/>
            <w:tcBorders>
              <w:top w:val="nil"/>
              <w:left w:val="nil"/>
              <w:bottom w:val="single" w:sz="4" w:space="0" w:color="auto"/>
              <w:right w:val="single" w:sz="4" w:space="0" w:color="auto"/>
            </w:tcBorders>
            <w:shd w:val="clear" w:color="auto" w:fill="auto"/>
            <w:noWrap/>
            <w:vAlign w:val="bottom"/>
            <w:hideMark/>
          </w:tcPr>
          <w:p w14:paraId="519B4F03"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696" w:type="dxa"/>
            <w:tcBorders>
              <w:top w:val="nil"/>
              <w:left w:val="nil"/>
              <w:bottom w:val="single" w:sz="4" w:space="0" w:color="auto"/>
              <w:right w:val="single" w:sz="4" w:space="0" w:color="auto"/>
            </w:tcBorders>
            <w:shd w:val="clear" w:color="auto" w:fill="auto"/>
            <w:noWrap/>
            <w:vAlign w:val="bottom"/>
            <w:hideMark/>
          </w:tcPr>
          <w:p w14:paraId="519B4F04"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05" w14:textId="77777777" w:rsidR="00993172" w:rsidRPr="008E63BB" w:rsidRDefault="00993172" w:rsidP="0065184D">
            <w:pPr>
              <w:jc w:val="left"/>
              <w:rPr>
                <w:rFonts w:eastAsia="Times New Roman"/>
                <w:sz w:val="24"/>
                <w:szCs w:val="24"/>
              </w:rPr>
            </w:pPr>
          </w:p>
        </w:tc>
        <w:tc>
          <w:tcPr>
            <w:tcW w:w="683" w:type="dxa"/>
            <w:tcBorders>
              <w:top w:val="nil"/>
              <w:left w:val="nil"/>
              <w:bottom w:val="single" w:sz="4" w:space="0" w:color="auto"/>
              <w:right w:val="single" w:sz="4" w:space="0" w:color="auto"/>
            </w:tcBorders>
            <w:shd w:val="clear" w:color="auto" w:fill="auto"/>
            <w:noWrap/>
            <w:vAlign w:val="bottom"/>
            <w:hideMark/>
          </w:tcPr>
          <w:p w14:paraId="519B4F06"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696" w:type="dxa"/>
            <w:tcBorders>
              <w:top w:val="nil"/>
              <w:left w:val="nil"/>
              <w:bottom w:val="single" w:sz="4" w:space="0" w:color="auto"/>
              <w:right w:val="single" w:sz="4" w:space="0" w:color="auto"/>
            </w:tcBorders>
            <w:shd w:val="clear" w:color="auto" w:fill="auto"/>
            <w:noWrap/>
            <w:vAlign w:val="bottom"/>
            <w:hideMark/>
          </w:tcPr>
          <w:p w14:paraId="519B4F07"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08" w14:textId="77777777" w:rsidR="00993172" w:rsidRPr="008E63BB" w:rsidRDefault="00993172" w:rsidP="0065184D">
            <w:pPr>
              <w:jc w:val="left"/>
              <w:rPr>
                <w:rFonts w:eastAsia="Times New Roman"/>
                <w:sz w:val="24"/>
                <w:szCs w:val="24"/>
              </w:rPr>
            </w:pPr>
          </w:p>
        </w:tc>
        <w:tc>
          <w:tcPr>
            <w:tcW w:w="683" w:type="dxa"/>
            <w:tcBorders>
              <w:top w:val="nil"/>
              <w:left w:val="nil"/>
              <w:bottom w:val="single" w:sz="4" w:space="0" w:color="auto"/>
              <w:right w:val="single" w:sz="4" w:space="0" w:color="auto"/>
            </w:tcBorders>
            <w:shd w:val="clear" w:color="auto" w:fill="auto"/>
            <w:noWrap/>
            <w:vAlign w:val="bottom"/>
            <w:hideMark/>
          </w:tcPr>
          <w:p w14:paraId="519B4F09"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696" w:type="dxa"/>
            <w:tcBorders>
              <w:top w:val="nil"/>
              <w:left w:val="nil"/>
              <w:bottom w:val="single" w:sz="4" w:space="0" w:color="auto"/>
              <w:right w:val="single" w:sz="4" w:space="0" w:color="auto"/>
            </w:tcBorders>
            <w:shd w:val="clear" w:color="auto" w:fill="auto"/>
            <w:noWrap/>
            <w:vAlign w:val="bottom"/>
            <w:hideMark/>
          </w:tcPr>
          <w:p w14:paraId="519B4F0A"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0B" w14:textId="77777777" w:rsidR="00993172" w:rsidRPr="008E63BB" w:rsidRDefault="00993172" w:rsidP="0065184D">
            <w:pPr>
              <w:jc w:val="left"/>
              <w:rPr>
                <w:rFonts w:eastAsia="Times New Roman"/>
                <w:sz w:val="24"/>
                <w:szCs w:val="24"/>
              </w:rPr>
            </w:pPr>
          </w:p>
        </w:tc>
        <w:tc>
          <w:tcPr>
            <w:tcW w:w="683" w:type="dxa"/>
            <w:tcBorders>
              <w:top w:val="nil"/>
              <w:left w:val="nil"/>
              <w:bottom w:val="single" w:sz="4" w:space="0" w:color="auto"/>
              <w:right w:val="single" w:sz="4" w:space="0" w:color="auto"/>
            </w:tcBorders>
            <w:shd w:val="clear" w:color="auto" w:fill="auto"/>
            <w:noWrap/>
            <w:vAlign w:val="bottom"/>
            <w:hideMark/>
          </w:tcPr>
          <w:p w14:paraId="519B4F0C"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708" w:type="dxa"/>
            <w:tcBorders>
              <w:top w:val="nil"/>
              <w:left w:val="nil"/>
              <w:bottom w:val="single" w:sz="4" w:space="0" w:color="auto"/>
              <w:right w:val="single" w:sz="4" w:space="0" w:color="auto"/>
            </w:tcBorders>
            <w:shd w:val="clear" w:color="auto" w:fill="auto"/>
            <w:noWrap/>
            <w:vAlign w:val="bottom"/>
            <w:hideMark/>
          </w:tcPr>
          <w:p w14:paraId="519B4F0D"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0E" w14:textId="77777777" w:rsidR="00993172" w:rsidRPr="008E63BB" w:rsidRDefault="00993172" w:rsidP="0065184D">
            <w:pPr>
              <w:jc w:val="left"/>
              <w:rPr>
                <w:rFonts w:eastAsia="Times New Roman"/>
                <w:sz w:val="24"/>
                <w:szCs w:val="24"/>
              </w:rPr>
            </w:pPr>
          </w:p>
        </w:tc>
        <w:tc>
          <w:tcPr>
            <w:tcW w:w="709" w:type="dxa"/>
            <w:tcBorders>
              <w:top w:val="nil"/>
              <w:left w:val="nil"/>
              <w:bottom w:val="single" w:sz="4" w:space="0" w:color="auto"/>
              <w:right w:val="single" w:sz="4" w:space="0" w:color="auto"/>
            </w:tcBorders>
            <w:shd w:val="clear" w:color="auto" w:fill="auto"/>
            <w:noWrap/>
            <w:vAlign w:val="bottom"/>
            <w:hideMark/>
          </w:tcPr>
          <w:p w14:paraId="519B4F0F"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706" w:type="dxa"/>
            <w:tcBorders>
              <w:top w:val="nil"/>
              <w:left w:val="nil"/>
              <w:bottom w:val="single" w:sz="4" w:space="0" w:color="auto"/>
              <w:right w:val="single" w:sz="4" w:space="0" w:color="auto"/>
            </w:tcBorders>
            <w:shd w:val="clear" w:color="auto" w:fill="auto"/>
            <w:noWrap/>
            <w:vAlign w:val="bottom"/>
            <w:hideMark/>
          </w:tcPr>
          <w:p w14:paraId="519B4F10"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11" w14:textId="77777777" w:rsidR="00993172" w:rsidRPr="008E63BB" w:rsidRDefault="00993172" w:rsidP="0065184D">
            <w:pPr>
              <w:jc w:val="left"/>
              <w:rPr>
                <w:rFonts w:eastAsia="Times New Roman"/>
                <w:sz w:val="24"/>
                <w:szCs w:val="24"/>
              </w:rPr>
            </w:pPr>
          </w:p>
        </w:tc>
        <w:tc>
          <w:tcPr>
            <w:tcW w:w="683" w:type="dxa"/>
            <w:tcBorders>
              <w:top w:val="nil"/>
              <w:left w:val="nil"/>
              <w:bottom w:val="single" w:sz="4" w:space="0" w:color="auto"/>
              <w:right w:val="single" w:sz="4" w:space="0" w:color="auto"/>
            </w:tcBorders>
            <w:shd w:val="clear" w:color="auto" w:fill="auto"/>
            <w:noWrap/>
            <w:vAlign w:val="bottom"/>
            <w:hideMark/>
          </w:tcPr>
          <w:p w14:paraId="519B4F12"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696" w:type="dxa"/>
            <w:tcBorders>
              <w:top w:val="nil"/>
              <w:left w:val="nil"/>
              <w:bottom w:val="single" w:sz="4" w:space="0" w:color="auto"/>
              <w:right w:val="single" w:sz="4" w:space="0" w:color="auto"/>
            </w:tcBorders>
            <w:shd w:val="clear" w:color="auto" w:fill="auto"/>
            <w:noWrap/>
            <w:vAlign w:val="bottom"/>
            <w:hideMark/>
          </w:tcPr>
          <w:p w14:paraId="519B4F13"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14" w14:textId="77777777" w:rsidR="00993172" w:rsidRPr="008E63BB" w:rsidRDefault="00993172" w:rsidP="0065184D">
            <w:pPr>
              <w:jc w:val="left"/>
              <w:rPr>
                <w:rFonts w:eastAsia="Times New Roman"/>
                <w:sz w:val="24"/>
                <w:szCs w:val="24"/>
              </w:rPr>
            </w:pPr>
          </w:p>
        </w:tc>
        <w:tc>
          <w:tcPr>
            <w:tcW w:w="727" w:type="dxa"/>
            <w:tcBorders>
              <w:top w:val="nil"/>
              <w:left w:val="nil"/>
              <w:bottom w:val="single" w:sz="4" w:space="0" w:color="auto"/>
              <w:right w:val="single" w:sz="4" w:space="0" w:color="auto"/>
            </w:tcBorders>
            <w:shd w:val="clear" w:color="auto" w:fill="auto"/>
            <w:noWrap/>
            <w:vAlign w:val="bottom"/>
            <w:hideMark/>
          </w:tcPr>
          <w:p w14:paraId="519B4F15"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704" w:type="dxa"/>
            <w:tcBorders>
              <w:top w:val="nil"/>
              <w:left w:val="nil"/>
              <w:bottom w:val="single" w:sz="4" w:space="0" w:color="auto"/>
              <w:right w:val="single" w:sz="4" w:space="0" w:color="auto"/>
            </w:tcBorders>
            <w:shd w:val="clear" w:color="auto" w:fill="auto"/>
            <w:noWrap/>
            <w:vAlign w:val="bottom"/>
            <w:hideMark/>
          </w:tcPr>
          <w:p w14:paraId="519B4F16"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17" w14:textId="77777777" w:rsidR="00993172" w:rsidRPr="008E63BB" w:rsidRDefault="00993172" w:rsidP="0065184D">
            <w:pPr>
              <w:jc w:val="left"/>
              <w:rPr>
                <w:rFonts w:eastAsia="Times New Roman"/>
                <w:sz w:val="24"/>
                <w:szCs w:val="24"/>
              </w:rPr>
            </w:pPr>
          </w:p>
        </w:tc>
        <w:tc>
          <w:tcPr>
            <w:tcW w:w="683" w:type="dxa"/>
            <w:tcBorders>
              <w:top w:val="nil"/>
              <w:left w:val="nil"/>
              <w:bottom w:val="single" w:sz="4" w:space="0" w:color="auto"/>
              <w:right w:val="single" w:sz="4" w:space="0" w:color="auto"/>
            </w:tcBorders>
            <w:shd w:val="clear" w:color="auto" w:fill="auto"/>
            <w:noWrap/>
            <w:vAlign w:val="bottom"/>
            <w:hideMark/>
          </w:tcPr>
          <w:p w14:paraId="519B4F18"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704" w:type="dxa"/>
            <w:tcBorders>
              <w:top w:val="nil"/>
              <w:left w:val="nil"/>
              <w:bottom w:val="single" w:sz="4" w:space="0" w:color="auto"/>
              <w:right w:val="single" w:sz="4" w:space="0" w:color="auto"/>
            </w:tcBorders>
            <w:shd w:val="clear" w:color="auto" w:fill="auto"/>
            <w:noWrap/>
            <w:vAlign w:val="bottom"/>
            <w:hideMark/>
          </w:tcPr>
          <w:p w14:paraId="519B4F19"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1A" w14:textId="77777777" w:rsidR="00993172" w:rsidRPr="008E63BB" w:rsidRDefault="00993172" w:rsidP="0065184D">
            <w:pPr>
              <w:jc w:val="left"/>
              <w:rPr>
                <w:rFonts w:eastAsia="Times New Roman"/>
                <w:sz w:val="24"/>
                <w:szCs w:val="24"/>
              </w:rPr>
            </w:pPr>
          </w:p>
        </w:tc>
        <w:tc>
          <w:tcPr>
            <w:tcW w:w="744" w:type="dxa"/>
            <w:tcBorders>
              <w:top w:val="nil"/>
              <w:left w:val="nil"/>
              <w:bottom w:val="single" w:sz="4" w:space="0" w:color="auto"/>
              <w:right w:val="single" w:sz="4" w:space="0" w:color="auto"/>
            </w:tcBorders>
            <w:shd w:val="clear" w:color="auto" w:fill="auto"/>
            <w:noWrap/>
            <w:vAlign w:val="bottom"/>
            <w:hideMark/>
          </w:tcPr>
          <w:p w14:paraId="519B4F1B" w14:textId="77777777" w:rsidR="00993172" w:rsidRPr="008E63BB" w:rsidRDefault="00993172" w:rsidP="0065184D">
            <w:pPr>
              <w:jc w:val="left"/>
              <w:rPr>
                <w:rFonts w:eastAsia="Times New Roman"/>
                <w:sz w:val="24"/>
                <w:szCs w:val="24"/>
              </w:rPr>
            </w:pPr>
            <w:r w:rsidRPr="008E63BB">
              <w:rPr>
                <w:rFonts w:eastAsia="Times New Roman"/>
                <w:sz w:val="24"/>
                <w:szCs w:val="24"/>
              </w:rPr>
              <w:t>xếp hạng</w:t>
            </w:r>
          </w:p>
        </w:tc>
        <w:tc>
          <w:tcPr>
            <w:tcW w:w="696" w:type="dxa"/>
            <w:tcBorders>
              <w:top w:val="nil"/>
              <w:left w:val="nil"/>
              <w:bottom w:val="single" w:sz="4" w:space="0" w:color="auto"/>
              <w:right w:val="single" w:sz="4" w:space="0" w:color="auto"/>
            </w:tcBorders>
            <w:shd w:val="clear" w:color="auto" w:fill="auto"/>
            <w:noWrap/>
            <w:vAlign w:val="bottom"/>
            <w:hideMark/>
          </w:tcPr>
          <w:p w14:paraId="519B4F1C" w14:textId="77777777" w:rsidR="00993172" w:rsidRPr="008E63BB" w:rsidRDefault="00993172" w:rsidP="0065184D">
            <w:pPr>
              <w:jc w:val="left"/>
              <w:rPr>
                <w:rFonts w:eastAsia="Times New Roman"/>
                <w:sz w:val="24"/>
                <w:szCs w:val="24"/>
              </w:rPr>
            </w:pPr>
            <w:r w:rsidRPr="008E63BB">
              <w:rPr>
                <w:rFonts w:eastAsia="Times New Roman"/>
                <w:sz w:val="24"/>
                <w:szCs w:val="24"/>
              </w:rPr>
              <w:t>điểm</w:t>
            </w:r>
          </w:p>
          <w:p w14:paraId="519B4F1D" w14:textId="77777777" w:rsidR="00993172" w:rsidRPr="008E63BB" w:rsidRDefault="00993172" w:rsidP="0065184D">
            <w:pPr>
              <w:jc w:val="left"/>
              <w:rPr>
                <w:rFonts w:eastAsia="Times New Roman"/>
                <w:sz w:val="24"/>
                <w:szCs w:val="24"/>
              </w:rPr>
            </w:pPr>
          </w:p>
        </w:tc>
      </w:tr>
      <w:tr w:rsidR="008D5BFE" w:rsidRPr="008E63BB" w14:paraId="519B4F33"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1F" w14:textId="77777777" w:rsidR="00993172" w:rsidRPr="008E63BB" w:rsidRDefault="00993172" w:rsidP="0065184D">
            <w:pPr>
              <w:jc w:val="right"/>
              <w:rPr>
                <w:rFonts w:eastAsia="Times New Roman"/>
                <w:sz w:val="24"/>
                <w:szCs w:val="24"/>
              </w:rPr>
            </w:pPr>
            <w:r w:rsidRPr="008E63BB">
              <w:rPr>
                <w:rFonts w:eastAsia="Times New Roman"/>
                <w:sz w:val="24"/>
                <w:szCs w:val="24"/>
              </w:rPr>
              <w:t>1</w:t>
            </w:r>
          </w:p>
        </w:tc>
        <w:tc>
          <w:tcPr>
            <w:tcW w:w="2467" w:type="dxa"/>
            <w:tcBorders>
              <w:top w:val="nil"/>
              <w:left w:val="nil"/>
              <w:bottom w:val="single" w:sz="4" w:space="0" w:color="auto"/>
              <w:right w:val="single" w:sz="4" w:space="0" w:color="auto"/>
            </w:tcBorders>
            <w:shd w:val="clear" w:color="auto" w:fill="auto"/>
            <w:noWrap/>
            <w:vAlign w:val="bottom"/>
            <w:hideMark/>
          </w:tcPr>
          <w:p w14:paraId="519B4F20" w14:textId="77777777" w:rsidR="00993172" w:rsidRPr="008E63BB" w:rsidRDefault="00993172" w:rsidP="0065184D">
            <w:pPr>
              <w:jc w:val="left"/>
              <w:rPr>
                <w:rFonts w:eastAsia="Times New Roman"/>
                <w:sz w:val="24"/>
                <w:szCs w:val="24"/>
              </w:rPr>
            </w:pPr>
            <w:r w:rsidRPr="008E63BB">
              <w:rPr>
                <w:rFonts w:eastAsia="Times New Roman"/>
                <w:sz w:val="24"/>
                <w:szCs w:val="24"/>
              </w:rPr>
              <w:t>Hải Phòng</w:t>
            </w:r>
          </w:p>
        </w:tc>
        <w:tc>
          <w:tcPr>
            <w:tcW w:w="683" w:type="dxa"/>
            <w:tcBorders>
              <w:top w:val="nil"/>
              <w:left w:val="nil"/>
              <w:bottom w:val="single" w:sz="4" w:space="0" w:color="auto"/>
              <w:right w:val="single" w:sz="4" w:space="0" w:color="auto"/>
            </w:tcBorders>
            <w:shd w:val="clear" w:color="auto" w:fill="auto"/>
            <w:noWrap/>
            <w:vAlign w:val="bottom"/>
            <w:hideMark/>
          </w:tcPr>
          <w:p w14:paraId="519B4F21" w14:textId="77777777" w:rsidR="00993172" w:rsidRPr="008E63BB" w:rsidRDefault="00993172" w:rsidP="0065184D">
            <w:pPr>
              <w:jc w:val="right"/>
              <w:rPr>
                <w:rFonts w:eastAsia="Times New Roman"/>
                <w:sz w:val="24"/>
                <w:szCs w:val="24"/>
              </w:rPr>
            </w:pPr>
            <w:r w:rsidRPr="008E63BB">
              <w:rPr>
                <w:rFonts w:eastAsia="Times New Roman"/>
                <w:sz w:val="24"/>
                <w:szCs w:val="24"/>
              </w:rPr>
              <w:t>48</w:t>
            </w:r>
          </w:p>
        </w:tc>
        <w:tc>
          <w:tcPr>
            <w:tcW w:w="696" w:type="dxa"/>
            <w:tcBorders>
              <w:top w:val="nil"/>
              <w:left w:val="nil"/>
              <w:bottom w:val="single" w:sz="4" w:space="0" w:color="auto"/>
              <w:right w:val="single" w:sz="4" w:space="0" w:color="auto"/>
            </w:tcBorders>
            <w:shd w:val="clear" w:color="auto" w:fill="auto"/>
            <w:noWrap/>
            <w:vAlign w:val="bottom"/>
            <w:hideMark/>
          </w:tcPr>
          <w:p w14:paraId="519B4F22" w14:textId="77777777" w:rsidR="00993172" w:rsidRPr="008E63BB" w:rsidRDefault="00993172" w:rsidP="0065184D">
            <w:pPr>
              <w:jc w:val="right"/>
              <w:rPr>
                <w:rFonts w:eastAsia="Times New Roman"/>
                <w:sz w:val="24"/>
                <w:szCs w:val="24"/>
              </w:rPr>
            </w:pPr>
            <w:r w:rsidRPr="008E63BB">
              <w:rPr>
                <w:rFonts w:eastAsia="Times New Roman"/>
                <w:sz w:val="24"/>
                <w:szCs w:val="24"/>
              </w:rPr>
              <w:t>54,6</w:t>
            </w:r>
          </w:p>
        </w:tc>
        <w:tc>
          <w:tcPr>
            <w:tcW w:w="683" w:type="dxa"/>
            <w:tcBorders>
              <w:top w:val="nil"/>
              <w:left w:val="nil"/>
              <w:bottom w:val="single" w:sz="4" w:space="0" w:color="auto"/>
              <w:right w:val="single" w:sz="4" w:space="0" w:color="auto"/>
            </w:tcBorders>
            <w:shd w:val="clear" w:color="auto" w:fill="auto"/>
            <w:noWrap/>
            <w:vAlign w:val="bottom"/>
            <w:hideMark/>
          </w:tcPr>
          <w:p w14:paraId="519B4F23" w14:textId="77777777" w:rsidR="00993172" w:rsidRPr="008E63BB" w:rsidRDefault="00993172" w:rsidP="0065184D">
            <w:pPr>
              <w:jc w:val="right"/>
              <w:rPr>
                <w:rFonts w:eastAsia="Times New Roman"/>
                <w:sz w:val="24"/>
                <w:szCs w:val="24"/>
              </w:rPr>
            </w:pPr>
            <w:r w:rsidRPr="008E63BB">
              <w:rPr>
                <w:rFonts w:eastAsia="Times New Roman"/>
                <w:sz w:val="24"/>
                <w:szCs w:val="24"/>
              </w:rPr>
              <w:t>45</w:t>
            </w:r>
          </w:p>
        </w:tc>
        <w:tc>
          <w:tcPr>
            <w:tcW w:w="696" w:type="dxa"/>
            <w:tcBorders>
              <w:top w:val="nil"/>
              <w:left w:val="nil"/>
              <w:bottom w:val="single" w:sz="4" w:space="0" w:color="auto"/>
              <w:right w:val="single" w:sz="4" w:space="0" w:color="auto"/>
            </w:tcBorders>
            <w:shd w:val="clear" w:color="auto" w:fill="auto"/>
            <w:noWrap/>
            <w:vAlign w:val="bottom"/>
            <w:hideMark/>
          </w:tcPr>
          <w:p w14:paraId="519B4F24" w14:textId="77777777" w:rsidR="00993172" w:rsidRPr="008E63BB" w:rsidRDefault="00993172" w:rsidP="0065184D">
            <w:pPr>
              <w:jc w:val="right"/>
              <w:rPr>
                <w:rFonts w:eastAsia="Times New Roman"/>
                <w:sz w:val="24"/>
                <w:szCs w:val="24"/>
              </w:rPr>
            </w:pPr>
            <w:r w:rsidRPr="008E63BB">
              <w:rPr>
                <w:rFonts w:eastAsia="Times New Roman"/>
                <w:sz w:val="24"/>
                <w:szCs w:val="24"/>
              </w:rPr>
              <w:t>57,1</w:t>
            </w:r>
          </w:p>
        </w:tc>
        <w:tc>
          <w:tcPr>
            <w:tcW w:w="683" w:type="dxa"/>
            <w:tcBorders>
              <w:top w:val="nil"/>
              <w:left w:val="nil"/>
              <w:bottom w:val="single" w:sz="4" w:space="0" w:color="auto"/>
              <w:right w:val="single" w:sz="4" w:space="0" w:color="auto"/>
            </w:tcBorders>
            <w:shd w:val="clear" w:color="auto" w:fill="auto"/>
            <w:noWrap/>
            <w:vAlign w:val="bottom"/>
            <w:hideMark/>
          </w:tcPr>
          <w:p w14:paraId="519B4F25" w14:textId="77777777" w:rsidR="00993172" w:rsidRPr="008E63BB" w:rsidRDefault="00993172" w:rsidP="0065184D">
            <w:pPr>
              <w:jc w:val="right"/>
              <w:rPr>
                <w:rFonts w:eastAsia="Times New Roman"/>
                <w:sz w:val="24"/>
                <w:szCs w:val="24"/>
              </w:rPr>
            </w:pPr>
            <w:r w:rsidRPr="008E63BB">
              <w:rPr>
                <w:rFonts w:eastAsia="Times New Roman"/>
                <w:sz w:val="24"/>
                <w:szCs w:val="24"/>
              </w:rPr>
              <w:t>50</w:t>
            </w:r>
          </w:p>
        </w:tc>
        <w:tc>
          <w:tcPr>
            <w:tcW w:w="696" w:type="dxa"/>
            <w:tcBorders>
              <w:top w:val="nil"/>
              <w:left w:val="nil"/>
              <w:bottom w:val="single" w:sz="4" w:space="0" w:color="auto"/>
              <w:right w:val="single" w:sz="4" w:space="0" w:color="auto"/>
            </w:tcBorders>
            <w:shd w:val="clear" w:color="auto" w:fill="auto"/>
            <w:noWrap/>
            <w:vAlign w:val="bottom"/>
            <w:hideMark/>
          </w:tcPr>
          <w:p w14:paraId="519B4F26" w14:textId="77777777" w:rsidR="00993172" w:rsidRPr="008E63BB" w:rsidRDefault="00993172" w:rsidP="0065184D">
            <w:pPr>
              <w:jc w:val="right"/>
              <w:rPr>
                <w:rFonts w:eastAsia="Times New Roman"/>
                <w:sz w:val="24"/>
                <w:szCs w:val="24"/>
              </w:rPr>
            </w:pPr>
            <w:r w:rsidRPr="008E63BB">
              <w:rPr>
                <w:rFonts w:eastAsia="Times New Roman"/>
                <w:sz w:val="24"/>
                <w:szCs w:val="24"/>
              </w:rPr>
              <w:t>53,6</w:t>
            </w:r>
          </w:p>
        </w:tc>
        <w:tc>
          <w:tcPr>
            <w:tcW w:w="683" w:type="dxa"/>
            <w:tcBorders>
              <w:top w:val="nil"/>
              <w:left w:val="nil"/>
              <w:bottom w:val="single" w:sz="4" w:space="0" w:color="auto"/>
              <w:right w:val="single" w:sz="4" w:space="0" w:color="auto"/>
            </w:tcBorders>
            <w:shd w:val="clear" w:color="auto" w:fill="auto"/>
            <w:noWrap/>
            <w:vAlign w:val="bottom"/>
            <w:hideMark/>
          </w:tcPr>
          <w:p w14:paraId="519B4F27" w14:textId="77777777" w:rsidR="00993172" w:rsidRPr="008E63BB" w:rsidRDefault="00993172" w:rsidP="0065184D">
            <w:pPr>
              <w:jc w:val="right"/>
              <w:rPr>
                <w:rFonts w:eastAsia="Times New Roman"/>
                <w:sz w:val="24"/>
                <w:szCs w:val="24"/>
              </w:rPr>
            </w:pPr>
            <w:r w:rsidRPr="008E63BB">
              <w:rPr>
                <w:rFonts w:eastAsia="Times New Roman"/>
                <w:sz w:val="24"/>
                <w:szCs w:val="24"/>
              </w:rPr>
              <w:t>15</w:t>
            </w:r>
          </w:p>
        </w:tc>
        <w:tc>
          <w:tcPr>
            <w:tcW w:w="708" w:type="dxa"/>
            <w:tcBorders>
              <w:top w:val="nil"/>
              <w:left w:val="nil"/>
              <w:bottom w:val="single" w:sz="4" w:space="0" w:color="auto"/>
              <w:right w:val="single" w:sz="4" w:space="0" w:color="auto"/>
            </w:tcBorders>
            <w:shd w:val="clear" w:color="auto" w:fill="auto"/>
            <w:noWrap/>
            <w:vAlign w:val="bottom"/>
            <w:hideMark/>
          </w:tcPr>
          <w:p w14:paraId="519B4F28" w14:textId="77777777" w:rsidR="00993172" w:rsidRPr="008E63BB" w:rsidRDefault="00993172" w:rsidP="0065184D">
            <w:pPr>
              <w:jc w:val="right"/>
              <w:rPr>
                <w:rFonts w:eastAsia="Times New Roman"/>
                <w:sz w:val="24"/>
                <w:szCs w:val="24"/>
              </w:rPr>
            </w:pPr>
            <w:r w:rsidRPr="008E63BB">
              <w:rPr>
                <w:rFonts w:eastAsia="Times New Roman"/>
                <w:sz w:val="24"/>
                <w:szCs w:val="24"/>
              </w:rPr>
              <w:t>59,8</w:t>
            </w:r>
          </w:p>
        </w:tc>
        <w:tc>
          <w:tcPr>
            <w:tcW w:w="709" w:type="dxa"/>
            <w:tcBorders>
              <w:top w:val="nil"/>
              <w:left w:val="nil"/>
              <w:bottom w:val="single" w:sz="4" w:space="0" w:color="auto"/>
              <w:right w:val="single" w:sz="4" w:space="0" w:color="auto"/>
            </w:tcBorders>
            <w:shd w:val="clear" w:color="auto" w:fill="auto"/>
            <w:noWrap/>
            <w:vAlign w:val="bottom"/>
            <w:hideMark/>
          </w:tcPr>
          <w:p w14:paraId="519B4F29" w14:textId="77777777" w:rsidR="00993172" w:rsidRPr="008E63BB" w:rsidRDefault="00993172" w:rsidP="0065184D">
            <w:pPr>
              <w:jc w:val="right"/>
              <w:rPr>
                <w:rFonts w:eastAsia="Times New Roman"/>
                <w:sz w:val="24"/>
                <w:szCs w:val="24"/>
              </w:rPr>
            </w:pPr>
            <w:r w:rsidRPr="008E63BB">
              <w:rPr>
                <w:rFonts w:eastAsia="Times New Roman"/>
                <w:sz w:val="24"/>
                <w:szCs w:val="24"/>
              </w:rPr>
              <w:t>34</w:t>
            </w:r>
          </w:p>
        </w:tc>
        <w:tc>
          <w:tcPr>
            <w:tcW w:w="706" w:type="dxa"/>
            <w:tcBorders>
              <w:top w:val="nil"/>
              <w:left w:val="nil"/>
              <w:bottom w:val="single" w:sz="4" w:space="0" w:color="auto"/>
              <w:right w:val="single" w:sz="4" w:space="0" w:color="auto"/>
            </w:tcBorders>
            <w:shd w:val="clear" w:color="auto" w:fill="auto"/>
            <w:noWrap/>
            <w:vAlign w:val="bottom"/>
            <w:hideMark/>
          </w:tcPr>
          <w:p w14:paraId="519B4F2A" w14:textId="77777777" w:rsidR="00993172" w:rsidRPr="008E63BB" w:rsidRDefault="00993172" w:rsidP="0065184D">
            <w:pPr>
              <w:jc w:val="right"/>
              <w:rPr>
                <w:rFonts w:eastAsia="Times New Roman"/>
                <w:sz w:val="24"/>
                <w:szCs w:val="24"/>
              </w:rPr>
            </w:pPr>
            <w:r w:rsidRPr="008E63BB">
              <w:rPr>
                <w:rFonts w:eastAsia="Times New Roman"/>
                <w:sz w:val="24"/>
                <w:szCs w:val="24"/>
              </w:rPr>
              <w:t>58,3</w:t>
            </w:r>
          </w:p>
        </w:tc>
        <w:tc>
          <w:tcPr>
            <w:tcW w:w="683" w:type="dxa"/>
            <w:tcBorders>
              <w:top w:val="nil"/>
              <w:left w:val="nil"/>
              <w:bottom w:val="single" w:sz="4" w:space="0" w:color="auto"/>
              <w:right w:val="single" w:sz="4" w:space="0" w:color="auto"/>
            </w:tcBorders>
            <w:shd w:val="clear" w:color="auto" w:fill="auto"/>
            <w:noWrap/>
            <w:vAlign w:val="bottom"/>
            <w:hideMark/>
          </w:tcPr>
          <w:p w14:paraId="519B4F2B" w14:textId="77777777" w:rsidR="00993172" w:rsidRPr="008E63BB" w:rsidRDefault="00993172" w:rsidP="0065184D">
            <w:pPr>
              <w:jc w:val="right"/>
              <w:rPr>
                <w:rFonts w:eastAsia="Times New Roman"/>
                <w:sz w:val="24"/>
                <w:szCs w:val="24"/>
              </w:rPr>
            </w:pPr>
            <w:r w:rsidRPr="008E63BB">
              <w:rPr>
                <w:rFonts w:eastAsia="Times New Roman"/>
                <w:sz w:val="24"/>
                <w:szCs w:val="24"/>
              </w:rPr>
              <w:t>28</w:t>
            </w:r>
          </w:p>
        </w:tc>
        <w:tc>
          <w:tcPr>
            <w:tcW w:w="696" w:type="dxa"/>
            <w:tcBorders>
              <w:top w:val="nil"/>
              <w:left w:val="nil"/>
              <w:bottom w:val="single" w:sz="4" w:space="0" w:color="auto"/>
              <w:right w:val="single" w:sz="4" w:space="0" w:color="auto"/>
            </w:tcBorders>
            <w:shd w:val="clear" w:color="auto" w:fill="auto"/>
            <w:noWrap/>
            <w:vAlign w:val="bottom"/>
            <w:hideMark/>
          </w:tcPr>
          <w:p w14:paraId="519B4F2C" w14:textId="77777777" w:rsidR="00993172" w:rsidRPr="008E63BB" w:rsidRDefault="00993172" w:rsidP="0065184D">
            <w:pPr>
              <w:jc w:val="right"/>
              <w:rPr>
                <w:rFonts w:eastAsia="Times New Roman"/>
                <w:sz w:val="24"/>
                <w:szCs w:val="24"/>
              </w:rPr>
            </w:pPr>
            <w:r w:rsidRPr="008E63BB">
              <w:rPr>
                <w:rFonts w:eastAsia="Times New Roman"/>
                <w:sz w:val="24"/>
                <w:szCs w:val="24"/>
              </w:rPr>
              <w:t>58,7</w:t>
            </w:r>
          </w:p>
        </w:tc>
        <w:tc>
          <w:tcPr>
            <w:tcW w:w="727" w:type="dxa"/>
            <w:tcBorders>
              <w:top w:val="nil"/>
              <w:left w:val="nil"/>
              <w:bottom w:val="single" w:sz="4" w:space="0" w:color="auto"/>
              <w:right w:val="single" w:sz="4" w:space="0" w:color="auto"/>
            </w:tcBorders>
            <w:shd w:val="clear" w:color="auto" w:fill="auto"/>
            <w:noWrap/>
            <w:vAlign w:val="bottom"/>
            <w:hideMark/>
          </w:tcPr>
          <w:p w14:paraId="519B4F2D" w14:textId="77777777" w:rsidR="00993172" w:rsidRPr="008E63BB" w:rsidRDefault="00993172" w:rsidP="0065184D">
            <w:pPr>
              <w:jc w:val="right"/>
              <w:rPr>
                <w:rFonts w:eastAsia="Times New Roman"/>
                <w:sz w:val="24"/>
                <w:szCs w:val="24"/>
              </w:rPr>
            </w:pPr>
            <w:r w:rsidRPr="008E63BB">
              <w:rPr>
                <w:rFonts w:eastAsia="Times New Roman"/>
                <w:sz w:val="24"/>
                <w:szCs w:val="24"/>
              </w:rPr>
              <w:t>21</w:t>
            </w:r>
          </w:p>
        </w:tc>
        <w:tc>
          <w:tcPr>
            <w:tcW w:w="704" w:type="dxa"/>
            <w:tcBorders>
              <w:top w:val="nil"/>
              <w:left w:val="nil"/>
              <w:bottom w:val="single" w:sz="4" w:space="0" w:color="auto"/>
              <w:right w:val="single" w:sz="4" w:space="0" w:color="auto"/>
            </w:tcBorders>
            <w:shd w:val="clear" w:color="auto" w:fill="auto"/>
            <w:noWrap/>
            <w:vAlign w:val="bottom"/>
            <w:hideMark/>
          </w:tcPr>
          <w:p w14:paraId="519B4F2E" w14:textId="77777777" w:rsidR="00993172" w:rsidRPr="008E63BB" w:rsidRDefault="00993172" w:rsidP="0065184D">
            <w:pPr>
              <w:jc w:val="right"/>
              <w:rPr>
                <w:rFonts w:eastAsia="Times New Roman"/>
                <w:sz w:val="24"/>
                <w:szCs w:val="24"/>
              </w:rPr>
            </w:pPr>
            <w:r w:rsidRPr="008E63BB">
              <w:rPr>
                <w:rFonts w:eastAsia="Times New Roman"/>
                <w:sz w:val="24"/>
                <w:szCs w:val="24"/>
              </w:rPr>
              <w:t>60,1</w:t>
            </w:r>
          </w:p>
        </w:tc>
        <w:tc>
          <w:tcPr>
            <w:tcW w:w="683" w:type="dxa"/>
            <w:tcBorders>
              <w:top w:val="nil"/>
              <w:left w:val="nil"/>
              <w:bottom w:val="single" w:sz="4" w:space="0" w:color="auto"/>
              <w:right w:val="single" w:sz="4" w:space="0" w:color="auto"/>
            </w:tcBorders>
            <w:shd w:val="clear" w:color="auto" w:fill="auto"/>
            <w:noWrap/>
            <w:vAlign w:val="bottom"/>
            <w:hideMark/>
          </w:tcPr>
          <w:p w14:paraId="519B4F2F" w14:textId="77777777" w:rsidR="00993172" w:rsidRPr="008E63BB" w:rsidRDefault="00993172" w:rsidP="0065184D">
            <w:pPr>
              <w:jc w:val="right"/>
              <w:rPr>
                <w:rFonts w:eastAsia="Times New Roman"/>
                <w:sz w:val="24"/>
                <w:szCs w:val="24"/>
              </w:rPr>
            </w:pPr>
            <w:r w:rsidRPr="008E63BB">
              <w:rPr>
                <w:rFonts w:eastAsia="Times New Roman"/>
                <w:sz w:val="24"/>
                <w:szCs w:val="24"/>
              </w:rPr>
              <w:t>9</w:t>
            </w:r>
          </w:p>
        </w:tc>
        <w:tc>
          <w:tcPr>
            <w:tcW w:w="704" w:type="dxa"/>
            <w:tcBorders>
              <w:top w:val="nil"/>
              <w:left w:val="nil"/>
              <w:bottom w:val="single" w:sz="4" w:space="0" w:color="auto"/>
              <w:right w:val="single" w:sz="4" w:space="0" w:color="auto"/>
            </w:tcBorders>
            <w:shd w:val="clear" w:color="auto" w:fill="auto"/>
            <w:noWrap/>
            <w:vAlign w:val="bottom"/>
            <w:hideMark/>
          </w:tcPr>
          <w:p w14:paraId="519B4F30" w14:textId="77777777" w:rsidR="00993172" w:rsidRPr="008E63BB" w:rsidRDefault="00993172" w:rsidP="0065184D">
            <w:pPr>
              <w:jc w:val="right"/>
              <w:rPr>
                <w:rFonts w:eastAsia="Times New Roman"/>
                <w:sz w:val="24"/>
                <w:szCs w:val="24"/>
              </w:rPr>
            </w:pPr>
            <w:r w:rsidRPr="008E63BB">
              <w:rPr>
                <w:rFonts w:eastAsia="Times New Roman"/>
                <w:sz w:val="24"/>
                <w:szCs w:val="24"/>
              </w:rPr>
              <w:t>65,2</w:t>
            </w:r>
          </w:p>
        </w:tc>
        <w:tc>
          <w:tcPr>
            <w:tcW w:w="744" w:type="dxa"/>
            <w:tcBorders>
              <w:top w:val="nil"/>
              <w:left w:val="nil"/>
              <w:bottom w:val="single" w:sz="4" w:space="0" w:color="auto"/>
              <w:right w:val="single" w:sz="4" w:space="0" w:color="auto"/>
            </w:tcBorders>
            <w:shd w:val="clear" w:color="auto" w:fill="auto"/>
            <w:noWrap/>
            <w:vAlign w:val="bottom"/>
            <w:hideMark/>
          </w:tcPr>
          <w:p w14:paraId="519B4F31" w14:textId="77777777" w:rsidR="00993172" w:rsidRPr="008E63BB" w:rsidRDefault="00993172" w:rsidP="0065184D">
            <w:pPr>
              <w:jc w:val="right"/>
              <w:rPr>
                <w:rFonts w:eastAsia="Times New Roman"/>
                <w:sz w:val="24"/>
                <w:szCs w:val="24"/>
              </w:rPr>
            </w:pPr>
            <w:r w:rsidRPr="008E63BB">
              <w:rPr>
                <w:rFonts w:eastAsia="Times New Roman"/>
                <w:sz w:val="24"/>
                <w:szCs w:val="24"/>
              </w:rPr>
              <w:t>16</w:t>
            </w:r>
          </w:p>
        </w:tc>
        <w:tc>
          <w:tcPr>
            <w:tcW w:w="696" w:type="dxa"/>
            <w:tcBorders>
              <w:top w:val="nil"/>
              <w:left w:val="nil"/>
              <w:bottom w:val="single" w:sz="4" w:space="0" w:color="auto"/>
              <w:right w:val="single" w:sz="4" w:space="0" w:color="auto"/>
            </w:tcBorders>
            <w:shd w:val="clear" w:color="auto" w:fill="auto"/>
            <w:noWrap/>
            <w:vAlign w:val="bottom"/>
            <w:hideMark/>
          </w:tcPr>
          <w:p w14:paraId="519B4F32" w14:textId="77777777" w:rsidR="00993172" w:rsidRPr="008E63BB" w:rsidRDefault="00993172" w:rsidP="0065184D">
            <w:pPr>
              <w:jc w:val="right"/>
              <w:rPr>
                <w:rFonts w:eastAsia="Times New Roman"/>
                <w:sz w:val="24"/>
                <w:szCs w:val="24"/>
              </w:rPr>
            </w:pPr>
            <w:r w:rsidRPr="008E63BB">
              <w:rPr>
                <w:rFonts w:eastAsia="Times New Roman"/>
                <w:sz w:val="24"/>
                <w:szCs w:val="24"/>
              </w:rPr>
              <w:t>64,5</w:t>
            </w:r>
          </w:p>
        </w:tc>
      </w:tr>
      <w:tr w:rsidR="008D5BFE" w:rsidRPr="008E63BB" w14:paraId="519B4F48"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34" w14:textId="77777777" w:rsidR="00993172" w:rsidRPr="008E63BB" w:rsidRDefault="00993172" w:rsidP="0065184D">
            <w:pPr>
              <w:jc w:val="right"/>
              <w:rPr>
                <w:rFonts w:eastAsia="Times New Roman"/>
                <w:sz w:val="24"/>
                <w:szCs w:val="24"/>
              </w:rPr>
            </w:pPr>
            <w:r w:rsidRPr="008E63BB">
              <w:rPr>
                <w:rFonts w:eastAsia="Times New Roman"/>
                <w:sz w:val="24"/>
                <w:szCs w:val="24"/>
              </w:rPr>
              <w:t>2</w:t>
            </w:r>
          </w:p>
        </w:tc>
        <w:tc>
          <w:tcPr>
            <w:tcW w:w="2467" w:type="dxa"/>
            <w:tcBorders>
              <w:top w:val="nil"/>
              <w:left w:val="nil"/>
              <w:bottom w:val="single" w:sz="4" w:space="0" w:color="auto"/>
              <w:right w:val="single" w:sz="4" w:space="0" w:color="auto"/>
            </w:tcBorders>
            <w:shd w:val="clear" w:color="auto" w:fill="auto"/>
            <w:noWrap/>
            <w:vAlign w:val="bottom"/>
            <w:hideMark/>
          </w:tcPr>
          <w:p w14:paraId="519B4F35" w14:textId="77777777" w:rsidR="00993172" w:rsidRPr="008E63BB" w:rsidRDefault="00993172" w:rsidP="0065184D">
            <w:pPr>
              <w:jc w:val="left"/>
              <w:rPr>
                <w:rFonts w:eastAsia="Times New Roman"/>
                <w:sz w:val="24"/>
                <w:szCs w:val="24"/>
              </w:rPr>
            </w:pPr>
            <w:r w:rsidRPr="008E63BB">
              <w:rPr>
                <w:rFonts w:eastAsia="Times New Roman"/>
                <w:sz w:val="24"/>
                <w:szCs w:val="24"/>
              </w:rPr>
              <w:t>Quảng Ninh</w:t>
            </w:r>
          </w:p>
        </w:tc>
        <w:tc>
          <w:tcPr>
            <w:tcW w:w="683" w:type="dxa"/>
            <w:tcBorders>
              <w:top w:val="nil"/>
              <w:left w:val="nil"/>
              <w:bottom w:val="single" w:sz="4" w:space="0" w:color="auto"/>
              <w:right w:val="single" w:sz="4" w:space="0" w:color="auto"/>
            </w:tcBorders>
            <w:shd w:val="clear" w:color="auto" w:fill="auto"/>
            <w:noWrap/>
            <w:vAlign w:val="bottom"/>
            <w:hideMark/>
          </w:tcPr>
          <w:p w14:paraId="519B4F36" w14:textId="77777777" w:rsidR="00993172" w:rsidRPr="008E63BB" w:rsidRDefault="00993172" w:rsidP="0065184D">
            <w:pPr>
              <w:jc w:val="right"/>
              <w:rPr>
                <w:rFonts w:eastAsia="Times New Roman"/>
                <w:sz w:val="24"/>
                <w:szCs w:val="24"/>
              </w:rPr>
            </w:pPr>
            <w:r w:rsidRPr="008E63BB">
              <w:rPr>
                <w:rFonts w:eastAsia="Times New Roman"/>
                <w:sz w:val="24"/>
                <w:szCs w:val="24"/>
              </w:rPr>
              <w:t>7</w:t>
            </w:r>
          </w:p>
        </w:tc>
        <w:tc>
          <w:tcPr>
            <w:tcW w:w="696" w:type="dxa"/>
            <w:tcBorders>
              <w:top w:val="nil"/>
              <w:left w:val="nil"/>
              <w:bottom w:val="single" w:sz="4" w:space="0" w:color="auto"/>
              <w:right w:val="single" w:sz="4" w:space="0" w:color="auto"/>
            </w:tcBorders>
            <w:shd w:val="clear" w:color="auto" w:fill="auto"/>
            <w:noWrap/>
            <w:vAlign w:val="bottom"/>
            <w:hideMark/>
          </w:tcPr>
          <w:p w14:paraId="519B4F37" w14:textId="77777777" w:rsidR="00993172" w:rsidRPr="008E63BB" w:rsidRDefault="00993172" w:rsidP="0065184D">
            <w:pPr>
              <w:jc w:val="right"/>
              <w:rPr>
                <w:rFonts w:eastAsia="Times New Roman"/>
                <w:sz w:val="24"/>
                <w:szCs w:val="24"/>
              </w:rPr>
            </w:pPr>
            <w:r w:rsidRPr="008E63BB">
              <w:rPr>
                <w:rFonts w:eastAsia="Times New Roman"/>
                <w:sz w:val="24"/>
                <w:szCs w:val="24"/>
              </w:rPr>
              <w:t>64,4</w:t>
            </w:r>
          </w:p>
        </w:tc>
        <w:tc>
          <w:tcPr>
            <w:tcW w:w="683" w:type="dxa"/>
            <w:tcBorders>
              <w:top w:val="nil"/>
              <w:left w:val="nil"/>
              <w:bottom w:val="single" w:sz="4" w:space="0" w:color="auto"/>
              <w:right w:val="single" w:sz="4" w:space="0" w:color="auto"/>
            </w:tcBorders>
            <w:shd w:val="clear" w:color="auto" w:fill="auto"/>
            <w:noWrap/>
            <w:vAlign w:val="bottom"/>
            <w:hideMark/>
          </w:tcPr>
          <w:p w14:paraId="519B4F38" w14:textId="77777777" w:rsidR="00993172" w:rsidRPr="008E63BB" w:rsidRDefault="00993172" w:rsidP="0065184D">
            <w:pPr>
              <w:jc w:val="right"/>
              <w:rPr>
                <w:rFonts w:eastAsia="Times New Roman"/>
                <w:sz w:val="24"/>
                <w:szCs w:val="24"/>
              </w:rPr>
            </w:pPr>
            <w:r w:rsidRPr="008E63BB">
              <w:rPr>
                <w:rFonts w:eastAsia="Times New Roman"/>
                <w:sz w:val="24"/>
                <w:szCs w:val="24"/>
              </w:rPr>
              <w:t>12</w:t>
            </w:r>
          </w:p>
        </w:tc>
        <w:tc>
          <w:tcPr>
            <w:tcW w:w="696" w:type="dxa"/>
            <w:tcBorders>
              <w:top w:val="nil"/>
              <w:left w:val="nil"/>
              <w:bottom w:val="single" w:sz="4" w:space="0" w:color="auto"/>
              <w:right w:val="single" w:sz="4" w:space="0" w:color="auto"/>
            </w:tcBorders>
            <w:shd w:val="clear" w:color="auto" w:fill="auto"/>
            <w:noWrap/>
            <w:vAlign w:val="bottom"/>
            <w:hideMark/>
          </w:tcPr>
          <w:p w14:paraId="519B4F39" w14:textId="77777777" w:rsidR="00993172" w:rsidRPr="008E63BB" w:rsidRDefault="00993172" w:rsidP="0065184D">
            <w:pPr>
              <w:jc w:val="right"/>
              <w:rPr>
                <w:rFonts w:eastAsia="Times New Roman"/>
                <w:sz w:val="24"/>
                <w:szCs w:val="24"/>
              </w:rPr>
            </w:pPr>
            <w:r w:rsidRPr="008E63BB">
              <w:rPr>
                <w:rFonts w:eastAsia="Times New Roman"/>
                <w:sz w:val="24"/>
                <w:szCs w:val="24"/>
              </w:rPr>
              <w:t>63,3</w:t>
            </w:r>
          </w:p>
        </w:tc>
        <w:tc>
          <w:tcPr>
            <w:tcW w:w="683" w:type="dxa"/>
            <w:tcBorders>
              <w:top w:val="nil"/>
              <w:left w:val="nil"/>
              <w:bottom w:val="single" w:sz="4" w:space="0" w:color="auto"/>
              <w:right w:val="single" w:sz="4" w:space="0" w:color="auto"/>
            </w:tcBorders>
            <w:shd w:val="clear" w:color="auto" w:fill="auto"/>
            <w:noWrap/>
            <w:vAlign w:val="bottom"/>
            <w:hideMark/>
          </w:tcPr>
          <w:p w14:paraId="519B4F3A" w14:textId="77777777" w:rsidR="00993172" w:rsidRPr="008E63BB" w:rsidRDefault="00993172" w:rsidP="0065184D">
            <w:pPr>
              <w:jc w:val="right"/>
              <w:rPr>
                <w:rFonts w:eastAsia="Times New Roman"/>
                <w:sz w:val="24"/>
                <w:szCs w:val="24"/>
              </w:rPr>
            </w:pPr>
            <w:r w:rsidRPr="008E63BB">
              <w:rPr>
                <w:rFonts w:eastAsia="Times New Roman"/>
                <w:sz w:val="24"/>
                <w:szCs w:val="24"/>
              </w:rPr>
              <w:t>20</w:t>
            </w:r>
          </w:p>
        </w:tc>
        <w:tc>
          <w:tcPr>
            <w:tcW w:w="696" w:type="dxa"/>
            <w:tcBorders>
              <w:top w:val="nil"/>
              <w:left w:val="nil"/>
              <w:bottom w:val="single" w:sz="4" w:space="0" w:color="auto"/>
              <w:right w:val="single" w:sz="4" w:space="0" w:color="auto"/>
            </w:tcBorders>
            <w:shd w:val="clear" w:color="auto" w:fill="auto"/>
            <w:noWrap/>
            <w:vAlign w:val="bottom"/>
            <w:hideMark/>
          </w:tcPr>
          <w:p w14:paraId="519B4F3B" w14:textId="77777777" w:rsidR="00993172" w:rsidRPr="008E63BB" w:rsidRDefault="00993172" w:rsidP="0065184D">
            <w:pPr>
              <w:jc w:val="right"/>
              <w:rPr>
                <w:rFonts w:eastAsia="Times New Roman"/>
                <w:sz w:val="24"/>
                <w:szCs w:val="24"/>
              </w:rPr>
            </w:pPr>
            <w:r w:rsidRPr="008E63BB">
              <w:rPr>
                <w:rFonts w:eastAsia="Times New Roman"/>
                <w:sz w:val="24"/>
                <w:szCs w:val="24"/>
              </w:rPr>
              <w:t>59,6</w:t>
            </w:r>
          </w:p>
        </w:tc>
        <w:tc>
          <w:tcPr>
            <w:tcW w:w="683" w:type="dxa"/>
            <w:tcBorders>
              <w:top w:val="nil"/>
              <w:left w:val="nil"/>
              <w:bottom w:val="single" w:sz="4" w:space="0" w:color="auto"/>
              <w:right w:val="single" w:sz="4" w:space="0" w:color="auto"/>
            </w:tcBorders>
            <w:shd w:val="clear" w:color="auto" w:fill="auto"/>
            <w:noWrap/>
            <w:vAlign w:val="bottom"/>
            <w:hideMark/>
          </w:tcPr>
          <w:p w14:paraId="519B4F3C" w14:textId="77777777" w:rsidR="00993172" w:rsidRPr="008E63BB" w:rsidRDefault="00993172" w:rsidP="0065184D">
            <w:pPr>
              <w:jc w:val="right"/>
              <w:rPr>
                <w:rFonts w:eastAsia="Times New Roman"/>
                <w:sz w:val="24"/>
                <w:szCs w:val="24"/>
              </w:rPr>
            </w:pPr>
            <w:r w:rsidRPr="008E63BB">
              <w:rPr>
                <w:rFonts w:eastAsia="Times New Roman"/>
                <w:sz w:val="24"/>
                <w:szCs w:val="24"/>
              </w:rPr>
              <w:t>4</w:t>
            </w:r>
          </w:p>
        </w:tc>
        <w:tc>
          <w:tcPr>
            <w:tcW w:w="708" w:type="dxa"/>
            <w:tcBorders>
              <w:top w:val="nil"/>
              <w:left w:val="nil"/>
              <w:bottom w:val="single" w:sz="4" w:space="0" w:color="auto"/>
              <w:right w:val="single" w:sz="4" w:space="0" w:color="auto"/>
            </w:tcBorders>
            <w:shd w:val="clear" w:color="auto" w:fill="auto"/>
            <w:noWrap/>
            <w:vAlign w:val="bottom"/>
            <w:hideMark/>
          </w:tcPr>
          <w:p w14:paraId="519B4F3D" w14:textId="77777777" w:rsidR="00993172" w:rsidRPr="008E63BB" w:rsidRDefault="00993172" w:rsidP="0065184D">
            <w:pPr>
              <w:jc w:val="right"/>
              <w:rPr>
                <w:rFonts w:eastAsia="Times New Roman"/>
                <w:sz w:val="24"/>
                <w:szCs w:val="24"/>
              </w:rPr>
            </w:pPr>
            <w:r w:rsidRPr="008E63BB">
              <w:rPr>
                <w:rFonts w:eastAsia="Times New Roman"/>
                <w:sz w:val="24"/>
                <w:szCs w:val="24"/>
              </w:rPr>
              <w:t>63,5</w:t>
            </w:r>
          </w:p>
        </w:tc>
        <w:tc>
          <w:tcPr>
            <w:tcW w:w="709" w:type="dxa"/>
            <w:tcBorders>
              <w:top w:val="nil"/>
              <w:left w:val="nil"/>
              <w:bottom w:val="single" w:sz="4" w:space="0" w:color="auto"/>
              <w:right w:val="single" w:sz="4" w:space="0" w:color="auto"/>
            </w:tcBorders>
            <w:shd w:val="clear" w:color="auto" w:fill="auto"/>
            <w:noWrap/>
            <w:vAlign w:val="bottom"/>
            <w:hideMark/>
          </w:tcPr>
          <w:p w14:paraId="519B4F3E" w14:textId="77777777" w:rsidR="00993172" w:rsidRPr="008E63BB" w:rsidRDefault="00993172" w:rsidP="0065184D">
            <w:pPr>
              <w:jc w:val="right"/>
              <w:rPr>
                <w:rFonts w:eastAsia="Times New Roman"/>
                <w:sz w:val="24"/>
                <w:szCs w:val="24"/>
              </w:rPr>
            </w:pPr>
            <w:r w:rsidRPr="008E63BB">
              <w:rPr>
                <w:rFonts w:eastAsia="Times New Roman"/>
                <w:sz w:val="24"/>
                <w:szCs w:val="24"/>
              </w:rPr>
              <w:t>5</w:t>
            </w:r>
          </w:p>
        </w:tc>
        <w:tc>
          <w:tcPr>
            <w:tcW w:w="706" w:type="dxa"/>
            <w:tcBorders>
              <w:top w:val="nil"/>
              <w:left w:val="nil"/>
              <w:bottom w:val="single" w:sz="4" w:space="0" w:color="auto"/>
              <w:right w:val="single" w:sz="4" w:space="0" w:color="auto"/>
            </w:tcBorders>
            <w:shd w:val="clear" w:color="auto" w:fill="auto"/>
            <w:noWrap/>
            <w:vAlign w:val="bottom"/>
            <w:hideMark/>
          </w:tcPr>
          <w:p w14:paraId="519B4F3F" w14:textId="77777777" w:rsidR="00993172" w:rsidRPr="008E63BB" w:rsidRDefault="00993172" w:rsidP="0065184D">
            <w:pPr>
              <w:jc w:val="right"/>
              <w:rPr>
                <w:rFonts w:eastAsia="Times New Roman"/>
                <w:sz w:val="24"/>
                <w:szCs w:val="24"/>
              </w:rPr>
            </w:pPr>
            <w:r w:rsidRPr="008E63BB">
              <w:rPr>
                <w:rFonts w:eastAsia="Times New Roman"/>
                <w:sz w:val="24"/>
                <w:szCs w:val="24"/>
              </w:rPr>
              <w:t>62,2</w:t>
            </w:r>
          </w:p>
        </w:tc>
        <w:tc>
          <w:tcPr>
            <w:tcW w:w="683" w:type="dxa"/>
            <w:tcBorders>
              <w:top w:val="nil"/>
              <w:left w:val="nil"/>
              <w:bottom w:val="single" w:sz="4" w:space="0" w:color="auto"/>
              <w:right w:val="single" w:sz="4" w:space="0" w:color="auto"/>
            </w:tcBorders>
            <w:shd w:val="clear" w:color="auto" w:fill="auto"/>
            <w:noWrap/>
            <w:vAlign w:val="bottom"/>
            <w:hideMark/>
          </w:tcPr>
          <w:p w14:paraId="519B4F40" w14:textId="77777777" w:rsidR="00993172" w:rsidRPr="008E63BB" w:rsidRDefault="00993172" w:rsidP="0065184D">
            <w:pPr>
              <w:jc w:val="right"/>
              <w:rPr>
                <w:rFonts w:eastAsia="Times New Roman"/>
                <w:sz w:val="24"/>
                <w:szCs w:val="24"/>
              </w:rPr>
            </w:pPr>
            <w:r w:rsidRPr="008E63BB">
              <w:rPr>
                <w:rFonts w:eastAsia="Times New Roman"/>
                <w:sz w:val="24"/>
                <w:szCs w:val="24"/>
              </w:rPr>
              <w:t>3</w:t>
            </w:r>
          </w:p>
        </w:tc>
        <w:tc>
          <w:tcPr>
            <w:tcW w:w="696" w:type="dxa"/>
            <w:tcBorders>
              <w:top w:val="nil"/>
              <w:left w:val="nil"/>
              <w:bottom w:val="single" w:sz="4" w:space="0" w:color="auto"/>
              <w:right w:val="single" w:sz="4" w:space="0" w:color="auto"/>
            </w:tcBorders>
            <w:shd w:val="clear" w:color="auto" w:fill="auto"/>
            <w:noWrap/>
            <w:vAlign w:val="bottom"/>
            <w:hideMark/>
          </w:tcPr>
          <w:p w14:paraId="519B4F41" w14:textId="77777777" w:rsidR="00993172" w:rsidRPr="008E63BB" w:rsidRDefault="00993172" w:rsidP="0065184D">
            <w:pPr>
              <w:jc w:val="right"/>
              <w:rPr>
                <w:rFonts w:eastAsia="Times New Roman"/>
                <w:sz w:val="24"/>
                <w:szCs w:val="24"/>
              </w:rPr>
            </w:pPr>
            <w:r w:rsidRPr="008E63BB">
              <w:rPr>
                <w:rFonts w:eastAsia="Times New Roman"/>
                <w:sz w:val="24"/>
                <w:szCs w:val="24"/>
              </w:rPr>
              <w:t>65,8</w:t>
            </w:r>
          </w:p>
        </w:tc>
        <w:tc>
          <w:tcPr>
            <w:tcW w:w="727" w:type="dxa"/>
            <w:tcBorders>
              <w:top w:val="nil"/>
              <w:left w:val="nil"/>
              <w:bottom w:val="single" w:sz="4" w:space="0" w:color="auto"/>
              <w:right w:val="single" w:sz="4" w:space="0" w:color="auto"/>
            </w:tcBorders>
            <w:shd w:val="clear" w:color="auto" w:fill="auto"/>
            <w:noWrap/>
            <w:vAlign w:val="bottom"/>
            <w:hideMark/>
          </w:tcPr>
          <w:p w14:paraId="519B4F42" w14:textId="77777777" w:rsidR="00993172" w:rsidRPr="008E63BB" w:rsidRDefault="00993172" w:rsidP="0065184D">
            <w:pPr>
              <w:jc w:val="right"/>
              <w:rPr>
                <w:rFonts w:eastAsia="Times New Roman"/>
                <w:sz w:val="24"/>
                <w:szCs w:val="24"/>
              </w:rPr>
            </w:pPr>
            <w:r w:rsidRPr="008E63BB">
              <w:rPr>
                <w:rFonts w:eastAsia="Times New Roman"/>
                <w:sz w:val="24"/>
                <w:szCs w:val="24"/>
              </w:rPr>
              <w:t>2</w:t>
            </w:r>
          </w:p>
        </w:tc>
        <w:tc>
          <w:tcPr>
            <w:tcW w:w="704" w:type="dxa"/>
            <w:tcBorders>
              <w:top w:val="nil"/>
              <w:left w:val="nil"/>
              <w:bottom w:val="single" w:sz="4" w:space="0" w:color="auto"/>
              <w:right w:val="single" w:sz="4" w:space="0" w:color="auto"/>
            </w:tcBorders>
            <w:shd w:val="clear" w:color="auto" w:fill="auto"/>
            <w:noWrap/>
            <w:vAlign w:val="bottom"/>
            <w:hideMark/>
          </w:tcPr>
          <w:p w14:paraId="519B4F43" w14:textId="77777777" w:rsidR="00993172" w:rsidRPr="008E63BB" w:rsidRDefault="00993172" w:rsidP="0065184D">
            <w:pPr>
              <w:jc w:val="right"/>
              <w:rPr>
                <w:rFonts w:eastAsia="Times New Roman"/>
                <w:sz w:val="24"/>
                <w:szCs w:val="24"/>
              </w:rPr>
            </w:pPr>
            <w:r w:rsidRPr="008E63BB">
              <w:rPr>
                <w:rFonts w:eastAsia="Times New Roman"/>
                <w:sz w:val="24"/>
                <w:szCs w:val="24"/>
              </w:rPr>
              <w:t>65,6</w:t>
            </w:r>
          </w:p>
        </w:tc>
        <w:tc>
          <w:tcPr>
            <w:tcW w:w="683" w:type="dxa"/>
            <w:tcBorders>
              <w:top w:val="nil"/>
              <w:left w:val="nil"/>
              <w:bottom w:val="single" w:sz="4" w:space="0" w:color="auto"/>
              <w:right w:val="single" w:sz="4" w:space="0" w:color="auto"/>
            </w:tcBorders>
            <w:shd w:val="clear" w:color="auto" w:fill="auto"/>
            <w:noWrap/>
            <w:vAlign w:val="bottom"/>
            <w:hideMark/>
          </w:tcPr>
          <w:p w14:paraId="519B4F44" w14:textId="77777777" w:rsidR="00993172" w:rsidRPr="008E63BB" w:rsidRDefault="00993172" w:rsidP="0065184D">
            <w:pPr>
              <w:jc w:val="right"/>
              <w:rPr>
                <w:rFonts w:eastAsia="Times New Roman"/>
                <w:sz w:val="24"/>
                <w:szCs w:val="24"/>
              </w:rPr>
            </w:pPr>
            <w:r w:rsidRPr="008E63BB">
              <w:rPr>
                <w:rFonts w:eastAsia="Times New Roman"/>
                <w:sz w:val="24"/>
                <w:szCs w:val="24"/>
              </w:rPr>
              <w:t>1</w:t>
            </w:r>
          </w:p>
        </w:tc>
        <w:tc>
          <w:tcPr>
            <w:tcW w:w="704" w:type="dxa"/>
            <w:tcBorders>
              <w:top w:val="nil"/>
              <w:left w:val="nil"/>
              <w:bottom w:val="single" w:sz="4" w:space="0" w:color="auto"/>
              <w:right w:val="single" w:sz="4" w:space="0" w:color="auto"/>
            </w:tcBorders>
            <w:shd w:val="clear" w:color="auto" w:fill="auto"/>
            <w:noWrap/>
            <w:vAlign w:val="bottom"/>
            <w:hideMark/>
          </w:tcPr>
          <w:p w14:paraId="519B4F45" w14:textId="77777777" w:rsidR="00993172" w:rsidRPr="008E63BB" w:rsidRDefault="00993172" w:rsidP="0065184D">
            <w:pPr>
              <w:jc w:val="right"/>
              <w:rPr>
                <w:rFonts w:eastAsia="Times New Roman"/>
                <w:sz w:val="24"/>
                <w:szCs w:val="24"/>
              </w:rPr>
            </w:pPr>
            <w:r w:rsidRPr="008E63BB">
              <w:rPr>
                <w:rFonts w:eastAsia="Times New Roman"/>
                <w:sz w:val="24"/>
                <w:szCs w:val="24"/>
              </w:rPr>
              <w:t>70,7</w:t>
            </w:r>
          </w:p>
        </w:tc>
        <w:tc>
          <w:tcPr>
            <w:tcW w:w="744" w:type="dxa"/>
            <w:tcBorders>
              <w:top w:val="nil"/>
              <w:left w:val="nil"/>
              <w:bottom w:val="single" w:sz="4" w:space="0" w:color="auto"/>
              <w:right w:val="single" w:sz="4" w:space="0" w:color="auto"/>
            </w:tcBorders>
            <w:shd w:val="clear" w:color="auto" w:fill="auto"/>
            <w:noWrap/>
            <w:vAlign w:val="bottom"/>
            <w:hideMark/>
          </w:tcPr>
          <w:p w14:paraId="519B4F46" w14:textId="77777777" w:rsidR="00993172" w:rsidRPr="008E63BB" w:rsidRDefault="00993172" w:rsidP="0065184D">
            <w:pPr>
              <w:jc w:val="right"/>
              <w:rPr>
                <w:rFonts w:eastAsia="Times New Roman"/>
                <w:sz w:val="24"/>
                <w:szCs w:val="24"/>
              </w:rPr>
            </w:pPr>
            <w:r w:rsidRPr="008E63BB">
              <w:rPr>
                <w:rFonts w:eastAsia="Times New Roman"/>
                <w:sz w:val="24"/>
                <w:szCs w:val="24"/>
              </w:rPr>
              <w:t>1</w:t>
            </w:r>
          </w:p>
        </w:tc>
        <w:tc>
          <w:tcPr>
            <w:tcW w:w="696" w:type="dxa"/>
            <w:tcBorders>
              <w:top w:val="nil"/>
              <w:left w:val="nil"/>
              <w:bottom w:val="single" w:sz="4" w:space="0" w:color="auto"/>
              <w:right w:val="single" w:sz="4" w:space="0" w:color="auto"/>
            </w:tcBorders>
            <w:shd w:val="clear" w:color="auto" w:fill="auto"/>
            <w:noWrap/>
            <w:vAlign w:val="bottom"/>
            <w:hideMark/>
          </w:tcPr>
          <w:p w14:paraId="519B4F47" w14:textId="77777777" w:rsidR="00993172" w:rsidRPr="008E63BB" w:rsidRDefault="00993172" w:rsidP="0065184D">
            <w:pPr>
              <w:jc w:val="right"/>
              <w:rPr>
                <w:rFonts w:eastAsia="Times New Roman"/>
                <w:sz w:val="24"/>
                <w:szCs w:val="24"/>
              </w:rPr>
            </w:pPr>
            <w:r w:rsidRPr="008E63BB">
              <w:rPr>
                <w:rFonts w:eastAsia="Times New Roman"/>
                <w:sz w:val="24"/>
                <w:szCs w:val="24"/>
              </w:rPr>
              <w:t>70,4</w:t>
            </w:r>
          </w:p>
        </w:tc>
      </w:tr>
      <w:tr w:rsidR="008D5BFE" w:rsidRPr="008E63BB" w14:paraId="519B4F5D"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49" w14:textId="77777777" w:rsidR="00993172" w:rsidRPr="008E63BB" w:rsidRDefault="00993172" w:rsidP="0065184D">
            <w:pPr>
              <w:jc w:val="right"/>
              <w:rPr>
                <w:rFonts w:eastAsia="Times New Roman"/>
                <w:sz w:val="24"/>
                <w:szCs w:val="24"/>
              </w:rPr>
            </w:pPr>
            <w:r w:rsidRPr="008E63BB">
              <w:rPr>
                <w:rFonts w:eastAsia="Times New Roman"/>
                <w:sz w:val="24"/>
                <w:szCs w:val="24"/>
              </w:rPr>
              <w:t>3</w:t>
            </w:r>
          </w:p>
        </w:tc>
        <w:tc>
          <w:tcPr>
            <w:tcW w:w="2467" w:type="dxa"/>
            <w:tcBorders>
              <w:top w:val="nil"/>
              <w:left w:val="nil"/>
              <w:bottom w:val="single" w:sz="4" w:space="0" w:color="auto"/>
              <w:right w:val="single" w:sz="4" w:space="0" w:color="auto"/>
            </w:tcBorders>
            <w:shd w:val="clear" w:color="auto" w:fill="auto"/>
            <w:noWrap/>
            <w:vAlign w:val="bottom"/>
            <w:hideMark/>
          </w:tcPr>
          <w:p w14:paraId="519B4F4A" w14:textId="77777777" w:rsidR="00993172" w:rsidRPr="008E63BB" w:rsidRDefault="00993172" w:rsidP="0065184D">
            <w:pPr>
              <w:jc w:val="left"/>
              <w:rPr>
                <w:rFonts w:eastAsia="Times New Roman"/>
                <w:sz w:val="24"/>
                <w:szCs w:val="24"/>
              </w:rPr>
            </w:pPr>
            <w:r w:rsidRPr="008E63BB">
              <w:rPr>
                <w:rFonts w:eastAsia="Times New Roman"/>
                <w:sz w:val="24"/>
                <w:szCs w:val="24"/>
              </w:rPr>
              <w:t>Bắc Ninh</w:t>
            </w:r>
          </w:p>
        </w:tc>
        <w:tc>
          <w:tcPr>
            <w:tcW w:w="683" w:type="dxa"/>
            <w:tcBorders>
              <w:top w:val="nil"/>
              <w:left w:val="nil"/>
              <w:bottom w:val="single" w:sz="4" w:space="0" w:color="auto"/>
              <w:right w:val="single" w:sz="4" w:space="0" w:color="auto"/>
            </w:tcBorders>
            <w:shd w:val="clear" w:color="auto" w:fill="auto"/>
            <w:noWrap/>
            <w:vAlign w:val="bottom"/>
            <w:hideMark/>
          </w:tcPr>
          <w:p w14:paraId="519B4F4B" w14:textId="77777777" w:rsidR="00993172" w:rsidRPr="008E63BB" w:rsidRDefault="00993172" w:rsidP="0065184D">
            <w:pPr>
              <w:jc w:val="right"/>
              <w:rPr>
                <w:rFonts w:eastAsia="Times New Roman"/>
                <w:sz w:val="24"/>
                <w:szCs w:val="24"/>
              </w:rPr>
            </w:pPr>
            <w:r w:rsidRPr="008E63BB">
              <w:rPr>
                <w:rFonts w:eastAsia="Times New Roman"/>
                <w:sz w:val="24"/>
                <w:szCs w:val="24"/>
              </w:rPr>
              <w:t>6</w:t>
            </w:r>
          </w:p>
        </w:tc>
        <w:tc>
          <w:tcPr>
            <w:tcW w:w="696" w:type="dxa"/>
            <w:tcBorders>
              <w:top w:val="nil"/>
              <w:left w:val="nil"/>
              <w:bottom w:val="single" w:sz="4" w:space="0" w:color="auto"/>
              <w:right w:val="single" w:sz="4" w:space="0" w:color="auto"/>
            </w:tcBorders>
            <w:shd w:val="clear" w:color="auto" w:fill="auto"/>
            <w:noWrap/>
            <w:vAlign w:val="bottom"/>
            <w:hideMark/>
          </w:tcPr>
          <w:p w14:paraId="519B4F4C" w14:textId="77777777" w:rsidR="00993172" w:rsidRPr="008E63BB" w:rsidRDefault="00993172" w:rsidP="0065184D">
            <w:pPr>
              <w:jc w:val="right"/>
              <w:rPr>
                <w:rFonts w:eastAsia="Times New Roman"/>
                <w:sz w:val="24"/>
                <w:szCs w:val="24"/>
              </w:rPr>
            </w:pPr>
            <w:r w:rsidRPr="008E63BB">
              <w:rPr>
                <w:rFonts w:eastAsia="Times New Roman"/>
                <w:sz w:val="24"/>
                <w:szCs w:val="24"/>
              </w:rPr>
              <w:t>64,5</w:t>
            </w:r>
          </w:p>
        </w:tc>
        <w:tc>
          <w:tcPr>
            <w:tcW w:w="683" w:type="dxa"/>
            <w:tcBorders>
              <w:top w:val="nil"/>
              <w:left w:val="nil"/>
              <w:bottom w:val="single" w:sz="4" w:space="0" w:color="auto"/>
              <w:right w:val="single" w:sz="4" w:space="0" w:color="auto"/>
            </w:tcBorders>
            <w:shd w:val="clear" w:color="auto" w:fill="auto"/>
            <w:noWrap/>
            <w:vAlign w:val="bottom"/>
            <w:hideMark/>
          </w:tcPr>
          <w:p w14:paraId="519B4F4D" w14:textId="77777777" w:rsidR="00993172" w:rsidRPr="008E63BB" w:rsidRDefault="00993172" w:rsidP="0065184D">
            <w:pPr>
              <w:jc w:val="right"/>
              <w:rPr>
                <w:rFonts w:eastAsia="Times New Roman"/>
                <w:sz w:val="24"/>
                <w:szCs w:val="24"/>
              </w:rPr>
            </w:pPr>
            <w:r w:rsidRPr="008E63BB">
              <w:rPr>
                <w:rFonts w:eastAsia="Times New Roman"/>
                <w:sz w:val="24"/>
                <w:szCs w:val="24"/>
              </w:rPr>
              <w:t>2</w:t>
            </w:r>
          </w:p>
        </w:tc>
        <w:tc>
          <w:tcPr>
            <w:tcW w:w="696" w:type="dxa"/>
            <w:tcBorders>
              <w:top w:val="nil"/>
              <w:left w:val="nil"/>
              <w:bottom w:val="single" w:sz="4" w:space="0" w:color="auto"/>
              <w:right w:val="single" w:sz="4" w:space="0" w:color="auto"/>
            </w:tcBorders>
            <w:shd w:val="clear" w:color="auto" w:fill="auto"/>
            <w:noWrap/>
            <w:vAlign w:val="bottom"/>
            <w:hideMark/>
          </w:tcPr>
          <w:p w14:paraId="519B4F4E" w14:textId="77777777" w:rsidR="00993172" w:rsidRPr="008E63BB" w:rsidRDefault="00993172" w:rsidP="0065184D">
            <w:pPr>
              <w:jc w:val="right"/>
              <w:rPr>
                <w:rFonts w:eastAsia="Times New Roman"/>
                <w:sz w:val="24"/>
                <w:szCs w:val="24"/>
              </w:rPr>
            </w:pPr>
            <w:r w:rsidRPr="008E63BB">
              <w:rPr>
                <w:rFonts w:eastAsia="Times New Roman"/>
                <w:sz w:val="24"/>
                <w:szCs w:val="24"/>
              </w:rPr>
              <w:t>67,3</w:t>
            </w:r>
          </w:p>
        </w:tc>
        <w:tc>
          <w:tcPr>
            <w:tcW w:w="683" w:type="dxa"/>
            <w:tcBorders>
              <w:top w:val="nil"/>
              <w:left w:val="nil"/>
              <w:bottom w:val="single" w:sz="4" w:space="0" w:color="auto"/>
              <w:right w:val="single" w:sz="4" w:space="0" w:color="auto"/>
            </w:tcBorders>
            <w:shd w:val="clear" w:color="auto" w:fill="auto"/>
            <w:noWrap/>
            <w:vAlign w:val="bottom"/>
            <w:hideMark/>
          </w:tcPr>
          <w:p w14:paraId="519B4F4F" w14:textId="77777777" w:rsidR="00993172" w:rsidRPr="008E63BB" w:rsidRDefault="00993172" w:rsidP="0065184D">
            <w:pPr>
              <w:jc w:val="right"/>
              <w:rPr>
                <w:rFonts w:eastAsia="Times New Roman"/>
                <w:sz w:val="24"/>
                <w:szCs w:val="24"/>
              </w:rPr>
            </w:pPr>
            <w:r w:rsidRPr="008E63BB">
              <w:rPr>
                <w:rFonts w:eastAsia="Times New Roman"/>
                <w:sz w:val="24"/>
                <w:szCs w:val="24"/>
              </w:rPr>
              <w:t>10</w:t>
            </w:r>
          </w:p>
        </w:tc>
        <w:tc>
          <w:tcPr>
            <w:tcW w:w="696" w:type="dxa"/>
            <w:tcBorders>
              <w:top w:val="nil"/>
              <w:left w:val="nil"/>
              <w:bottom w:val="single" w:sz="4" w:space="0" w:color="auto"/>
              <w:right w:val="single" w:sz="4" w:space="0" w:color="auto"/>
            </w:tcBorders>
            <w:shd w:val="clear" w:color="auto" w:fill="auto"/>
            <w:noWrap/>
            <w:vAlign w:val="bottom"/>
            <w:hideMark/>
          </w:tcPr>
          <w:p w14:paraId="519B4F50" w14:textId="77777777" w:rsidR="00993172" w:rsidRPr="008E63BB" w:rsidRDefault="00993172" w:rsidP="0065184D">
            <w:pPr>
              <w:jc w:val="right"/>
              <w:rPr>
                <w:rFonts w:eastAsia="Times New Roman"/>
                <w:sz w:val="24"/>
                <w:szCs w:val="24"/>
              </w:rPr>
            </w:pPr>
            <w:r w:rsidRPr="008E63BB">
              <w:rPr>
                <w:rFonts w:eastAsia="Times New Roman"/>
                <w:sz w:val="24"/>
                <w:szCs w:val="24"/>
              </w:rPr>
              <w:t>62,3</w:t>
            </w:r>
          </w:p>
        </w:tc>
        <w:tc>
          <w:tcPr>
            <w:tcW w:w="683" w:type="dxa"/>
            <w:tcBorders>
              <w:top w:val="nil"/>
              <w:left w:val="nil"/>
              <w:bottom w:val="single" w:sz="4" w:space="0" w:color="auto"/>
              <w:right w:val="single" w:sz="4" w:space="0" w:color="auto"/>
            </w:tcBorders>
            <w:shd w:val="clear" w:color="auto" w:fill="auto"/>
            <w:noWrap/>
            <w:vAlign w:val="bottom"/>
            <w:hideMark/>
          </w:tcPr>
          <w:p w14:paraId="519B4F51" w14:textId="77777777" w:rsidR="00993172" w:rsidRPr="008E63BB" w:rsidRDefault="00993172" w:rsidP="0065184D">
            <w:pPr>
              <w:jc w:val="right"/>
              <w:rPr>
                <w:rFonts w:eastAsia="Times New Roman"/>
                <w:sz w:val="24"/>
                <w:szCs w:val="24"/>
              </w:rPr>
            </w:pPr>
            <w:r w:rsidRPr="008E63BB">
              <w:rPr>
                <w:rFonts w:eastAsia="Times New Roman"/>
                <w:sz w:val="24"/>
                <w:szCs w:val="24"/>
              </w:rPr>
              <w:t>6</w:t>
            </w:r>
          </w:p>
        </w:tc>
        <w:tc>
          <w:tcPr>
            <w:tcW w:w="708" w:type="dxa"/>
            <w:tcBorders>
              <w:top w:val="nil"/>
              <w:left w:val="nil"/>
              <w:bottom w:val="single" w:sz="4" w:space="0" w:color="auto"/>
              <w:right w:val="single" w:sz="4" w:space="0" w:color="auto"/>
            </w:tcBorders>
            <w:shd w:val="clear" w:color="auto" w:fill="auto"/>
            <w:noWrap/>
            <w:vAlign w:val="bottom"/>
            <w:hideMark/>
          </w:tcPr>
          <w:p w14:paraId="519B4F52" w14:textId="77777777" w:rsidR="00993172" w:rsidRPr="008E63BB" w:rsidRDefault="00993172" w:rsidP="0065184D">
            <w:pPr>
              <w:jc w:val="right"/>
              <w:rPr>
                <w:rFonts w:eastAsia="Times New Roman"/>
                <w:sz w:val="24"/>
                <w:szCs w:val="24"/>
              </w:rPr>
            </w:pPr>
            <w:r w:rsidRPr="008E63BB">
              <w:rPr>
                <w:rFonts w:eastAsia="Times New Roman"/>
                <w:sz w:val="24"/>
                <w:szCs w:val="24"/>
              </w:rPr>
              <w:t>61,1</w:t>
            </w:r>
          </w:p>
        </w:tc>
        <w:tc>
          <w:tcPr>
            <w:tcW w:w="709" w:type="dxa"/>
            <w:tcBorders>
              <w:top w:val="nil"/>
              <w:left w:val="nil"/>
              <w:bottom w:val="single" w:sz="4" w:space="0" w:color="auto"/>
              <w:right w:val="single" w:sz="4" w:space="0" w:color="auto"/>
            </w:tcBorders>
            <w:shd w:val="clear" w:color="auto" w:fill="auto"/>
            <w:noWrap/>
            <w:vAlign w:val="bottom"/>
            <w:hideMark/>
          </w:tcPr>
          <w:p w14:paraId="519B4F53" w14:textId="77777777" w:rsidR="00993172" w:rsidRPr="008E63BB" w:rsidRDefault="00993172" w:rsidP="0065184D">
            <w:pPr>
              <w:jc w:val="right"/>
              <w:rPr>
                <w:rFonts w:eastAsia="Times New Roman"/>
                <w:sz w:val="24"/>
                <w:szCs w:val="24"/>
              </w:rPr>
            </w:pPr>
            <w:r w:rsidRPr="008E63BB">
              <w:rPr>
                <w:rFonts w:eastAsia="Times New Roman"/>
                <w:sz w:val="24"/>
                <w:szCs w:val="24"/>
              </w:rPr>
              <w:t>10</w:t>
            </w:r>
          </w:p>
        </w:tc>
        <w:tc>
          <w:tcPr>
            <w:tcW w:w="706" w:type="dxa"/>
            <w:tcBorders>
              <w:top w:val="nil"/>
              <w:left w:val="nil"/>
              <w:bottom w:val="single" w:sz="4" w:space="0" w:color="auto"/>
              <w:right w:val="single" w:sz="4" w:space="0" w:color="auto"/>
            </w:tcBorders>
            <w:shd w:val="clear" w:color="auto" w:fill="auto"/>
            <w:noWrap/>
            <w:vAlign w:val="bottom"/>
            <w:hideMark/>
          </w:tcPr>
          <w:p w14:paraId="519B4F54" w14:textId="77777777" w:rsidR="00993172" w:rsidRPr="008E63BB" w:rsidRDefault="00993172" w:rsidP="0065184D">
            <w:pPr>
              <w:jc w:val="right"/>
              <w:rPr>
                <w:rFonts w:eastAsia="Times New Roman"/>
                <w:sz w:val="24"/>
                <w:szCs w:val="24"/>
              </w:rPr>
            </w:pPr>
            <w:r w:rsidRPr="008E63BB">
              <w:rPr>
                <w:rFonts w:eastAsia="Times New Roman"/>
                <w:sz w:val="24"/>
                <w:szCs w:val="24"/>
              </w:rPr>
              <w:t>60,9</w:t>
            </w:r>
          </w:p>
        </w:tc>
        <w:tc>
          <w:tcPr>
            <w:tcW w:w="683" w:type="dxa"/>
            <w:tcBorders>
              <w:top w:val="nil"/>
              <w:left w:val="nil"/>
              <w:bottom w:val="single" w:sz="4" w:space="0" w:color="auto"/>
              <w:right w:val="single" w:sz="4" w:space="0" w:color="auto"/>
            </w:tcBorders>
            <w:shd w:val="clear" w:color="auto" w:fill="auto"/>
            <w:noWrap/>
            <w:vAlign w:val="bottom"/>
            <w:hideMark/>
          </w:tcPr>
          <w:p w14:paraId="519B4F55" w14:textId="77777777" w:rsidR="00993172" w:rsidRPr="008E63BB" w:rsidRDefault="00993172" w:rsidP="0065184D">
            <w:pPr>
              <w:jc w:val="right"/>
              <w:rPr>
                <w:rFonts w:eastAsia="Times New Roman"/>
                <w:sz w:val="24"/>
                <w:szCs w:val="24"/>
              </w:rPr>
            </w:pPr>
            <w:r w:rsidRPr="008E63BB">
              <w:rPr>
                <w:rFonts w:eastAsia="Times New Roman"/>
                <w:sz w:val="24"/>
                <w:szCs w:val="24"/>
              </w:rPr>
              <w:t>13</w:t>
            </w:r>
          </w:p>
        </w:tc>
        <w:tc>
          <w:tcPr>
            <w:tcW w:w="696" w:type="dxa"/>
            <w:tcBorders>
              <w:top w:val="nil"/>
              <w:left w:val="nil"/>
              <w:bottom w:val="single" w:sz="4" w:space="0" w:color="auto"/>
              <w:right w:val="single" w:sz="4" w:space="0" w:color="auto"/>
            </w:tcBorders>
            <w:shd w:val="clear" w:color="auto" w:fill="auto"/>
            <w:noWrap/>
            <w:vAlign w:val="bottom"/>
            <w:hideMark/>
          </w:tcPr>
          <w:p w14:paraId="519B4F56" w14:textId="77777777" w:rsidR="00993172" w:rsidRPr="008E63BB" w:rsidRDefault="00993172" w:rsidP="0065184D">
            <w:pPr>
              <w:jc w:val="right"/>
              <w:rPr>
                <w:rFonts w:eastAsia="Times New Roman"/>
                <w:sz w:val="24"/>
                <w:szCs w:val="24"/>
              </w:rPr>
            </w:pPr>
            <w:r w:rsidRPr="008E63BB">
              <w:rPr>
                <w:rFonts w:eastAsia="Times New Roman"/>
                <w:sz w:val="24"/>
                <w:szCs w:val="24"/>
              </w:rPr>
              <w:t>59,9</w:t>
            </w:r>
          </w:p>
        </w:tc>
        <w:tc>
          <w:tcPr>
            <w:tcW w:w="727" w:type="dxa"/>
            <w:tcBorders>
              <w:top w:val="nil"/>
              <w:left w:val="nil"/>
              <w:bottom w:val="single" w:sz="4" w:space="0" w:color="auto"/>
              <w:right w:val="single" w:sz="4" w:space="0" w:color="auto"/>
            </w:tcBorders>
            <w:shd w:val="clear" w:color="auto" w:fill="auto"/>
            <w:noWrap/>
            <w:vAlign w:val="bottom"/>
            <w:hideMark/>
          </w:tcPr>
          <w:p w14:paraId="519B4F57" w14:textId="77777777" w:rsidR="00993172" w:rsidRPr="008E63BB" w:rsidRDefault="00993172" w:rsidP="0065184D">
            <w:pPr>
              <w:jc w:val="right"/>
              <w:rPr>
                <w:rFonts w:eastAsia="Times New Roman"/>
                <w:sz w:val="24"/>
                <w:szCs w:val="24"/>
              </w:rPr>
            </w:pPr>
            <w:r w:rsidRPr="008E63BB">
              <w:rPr>
                <w:rFonts w:eastAsia="Times New Roman"/>
                <w:sz w:val="24"/>
                <w:szCs w:val="24"/>
              </w:rPr>
              <w:t>17</w:t>
            </w:r>
          </w:p>
        </w:tc>
        <w:tc>
          <w:tcPr>
            <w:tcW w:w="704" w:type="dxa"/>
            <w:tcBorders>
              <w:top w:val="nil"/>
              <w:left w:val="nil"/>
              <w:bottom w:val="single" w:sz="4" w:space="0" w:color="auto"/>
              <w:right w:val="single" w:sz="4" w:space="0" w:color="auto"/>
            </w:tcBorders>
            <w:shd w:val="clear" w:color="auto" w:fill="auto"/>
            <w:noWrap/>
            <w:vAlign w:val="bottom"/>
            <w:hideMark/>
          </w:tcPr>
          <w:p w14:paraId="519B4F58" w14:textId="77777777" w:rsidR="00993172" w:rsidRPr="008E63BB" w:rsidRDefault="00993172" w:rsidP="0065184D">
            <w:pPr>
              <w:jc w:val="right"/>
              <w:rPr>
                <w:rFonts w:eastAsia="Times New Roman"/>
                <w:sz w:val="24"/>
                <w:szCs w:val="24"/>
              </w:rPr>
            </w:pPr>
            <w:r w:rsidRPr="008E63BB">
              <w:rPr>
                <w:rFonts w:eastAsia="Times New Roman"/>
                <w:sz w:val="24"/>
                <w:szCs w:val="24"/>
              </w:rPr>
              <w:t>60,4</w:t>
            </w:r>
          </w:p>
        </w:tc>
        <w:tc>
          <w:tcPr>
            <w:tcW w:w="683" w:type="dxa"/>
            <w:tcBorders>
              <w:top w:val="nil"/>
              <w:left w:val="nil"/>
              <w:bottom w:val="single" w:sz="4" w:space="0" w:color="auto"/>
              <w:right w:val="single" w:sz="4" w:space="0" w:color="auto"/>
            </w:tcBorders>
            <w:shd w:val="clear" w:color="auto" w:fill="auto"/>
            <w:noWrap/>
            <w:vAlign w:val="bottom"/>
            <w:hideMark/>
          </w:tcPr>
          <w:p w14:paraId="519B4F59" w14:textId="77777777" w:rsidR="00993172" w:rsidRPr="008E63BB" w:rsidRDefault="00993172" w:rsidP="0065184D">
            <w:pPr>
              <w:jc w:val="right"/>
              <w:rPr>
                <w:rFonts w:eastAsia="Times New Roman"/>
                <w:sz w:val="24"/>
                <w:szCs w:val="24"/>
              </w:rPr>
            </w:pPr>
            <w:r w:rsidRPr="008E63BB">
              <w:rPr>
                <w:rFonts w:eastAsia="Times New Roman"/>
                <w:sz w:val="24"/>
                <w:szCs w:val="24"/>
              </w:rPr>
              <w:t>17</w:t>
            </w:r>
          </w:p>
        </w:tc>
        <w:tc>
          <w:tcPr>
            <w:tcW w:w="704" w:type="dxa"/>
            <w:tcBorders>
              <w:top w:val="nil"/>
              <w:left w:val="nil"/>
              <w:bottom w:val="single" w:sz="4" w:space="0" w:color="auto"/>
              <w:right w:val="single" w:sz="4" w:space="0" w:color="auto"/>
            </w:tcBorders>
            <w:shd w:val="clear" w:color="auto" w:fill="auto"/>
            <w:noWrap/>
            <w:vAlign w:val="bottom"/>
            <w:hideMark/>
          </w:tcPr>
          <w:p w14:paraId="519B4F5A" w14:textId="77777777" w:rsidR="00993172" w:rsidRPr="008E63BB" w:rsidRDefault="00993172" w:rsidP="0065184D">
            <w:pPr>
              <w:jc w:val="right"/>
              <w:rPr>
                <w:rFonts w:eastAsia="Times New Roman"/>
                <w:sz w:val="24"/>
                <w:szCs w:val="24"/>
              </w:rPr>
            </w:pPr>
            <w:r w:rsidRPr="008E63BB">
              <w:rPr>
                <w:rFonts w:eastAsia="Times New Roman"/>
                <w:sz w:val="24"/>
                <w:szCs w:val="24"/>
              </w:rPr>
              <w:t>64,4</w:t>
            </w:r>
          </w:p>
        </w:tc>
        <w:tc>
          <w:tcPr>
            <w:tcW w:w="744" w:type="dxa"/>
            <w:tcBorders>
              <w:top w:val="nil"/>
              <w:left w:val="nil"/>
              <w:bottom w:val="single" w:sz="4" w:space="0" w:color="auto"/>
              <w:right w:val="single" w:sz="4" w:space="0" w:color="auto"/>
            </w:tcBorders>
            <w:shd w:val="clear" w:color="auto" w:fill="auto"/>
            <w:noWrap/>
            <w:vAlign w:val="bottom"/>
            <w:hideMark/>
          </w:tcPr>
          <w:p w14:paraId="519B4F5B" w14:textId="77777777" w:rsidR="00993172" w:rsidRPr="008E63BB" w:rsidRDefault="00993172" w:rsidP="0065184D">
            <w:pPr>
              <w:jc w:val="right"/>
              <w:rPr>
                <w:rFonts w:eastAsia="Times New Roman"/>
                <w:sz w:val="24"/>
                <w:szCs w:val="24"/>
              </w:rPr>
            </w:pPr>
            <w:r w:rsidRPr="008E63BB">
              <w:rPr>
                <w:rFonts w:eastAsia="Times New Roman"/>
                <w:sz w:val="24"/>
                <w:szCs w:val="24"/>
              </w:rPr>
              <w:t>15</w:t>
            </w:r>
          </w:p>
        </w:tc>
        <w:tc>
          <w:tcPr>
            <w:tcW w:w="696" w:type="dxa"/>
            <w:tcBorders>
              <w:top w:val="nil"/>
              <w:left w:val="nil"/>
              <w:bottom w:val="single" w:sz="4" w:space="0" w:color="auto"/>
              <w:right w:val="single" w:sz="4" w:space="0" w:color="auto"/>
            </w:tcBorders>
            <w:shd w:val="clear" w:color="auto" w:fill="auto"/>
            <w:noWrap/>
            <w:vAlign w:val="bottom"/>
            <w:hideMark/>
          </w:tcPr>
          <w:p w14:paraId="519B4F5C" w14:textId="77777777" w:rsidR="00993172" w:rsidRPr="008E63BB" w:rsidRDefault="00993172" w:rsidP="0065184D">
            <w:pPr>
              <w:jc w:val="right"/>
              <w:rPr>
                <w:rFonts w:eastAsia="Times New Roman"/>
                <w:sz w:val="24"/>
                <w:szCs w:val="24"/>
              </w:rPr>
            </w:pPr>
            <w:r w:rsidRPr="008E63BB">
              <w:rPr>
                <w:rFonts w:eastAsia="Times New Roman"/>
                <w:sz w:val="24"/>
                <w:szCs w:val="24"/>
              </w:rPr>
              <w:t>64,5</w:t>
            </w:r>
          </w:p>
        </w:tc>
      </w:tr>
      <w:tr w:rsidR="008D5BFE" w:rsidRPr="008E63BB" w14:paraId="519B4F72"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5E" w14:textId="77777777" w:rsidR="00993172" w:rsidRPr="008E63BB" w:rsidRDefault="00993172" w:rsidP="0065184D">
            <w:pPr>
              <w:jc w:val="right"/>
              <w:rPr>
                <w:rFonts w:eastAsia="Times New Roman"/>
                <w:sz w:val="24"/>
                <w:szCs w:val="24"/>
              </w:rPr>
            </w:pPr>
            <w:r w:rsidRPr="008E63BB">
              <w:rPr>
                <w:rFonts w:eastAsia="Times New Roman"/>
                <w:sz w:val="24"/>
                <w:szCs w:val="24"/>
              </w:rPr>
              <w:t>4</w:t>
            </w:r>
          </w:p>
        </w:tc>
        <w:tc>
          <w:tcPr>
            <w:tcW w:w="2467" w:type="dxa"/>
            <w:tcBorders>
              <w:top w:val="nil"/>
              <w:left w:val="nil"/>
              <w:bottom w:val="single" w:sz="4" w:space="0" w:color="auto"/>
              <w:right w:val="single" w:sz="4" w:space="0" w:color="auto"/>
            </w:tcBorders>
            <w:shd w:val="clear" w:color="auto" w:fill="auto"/>
            <w:noWrap/>
            <w:vAlign w:val="bottom"/>
            <w:hideMark/>
          </w:tcPr>
          <w:p w14:paraId="519B4F5F" w14:textId="77777777" w:rsidR="00993172" w:rsidRPr="008E63BB" w:rsidRDefault="00993172" w:rsidP="0065184D">
            <w:pPr>
              <w:jc w:val="left"/>
              <w:rPr>
                <w:rFonts w:eastAsia="Times New Roman"/>
                <w:sz w:val="24"/>
                <w:szCs w:val="24"/>
              </w:rPr>
            </w:pPr>
            <w:r w:rsidRPr="008E63BB">
              <w:rPr>
                <w:rFonts w:eastAsia="Times New Roman"/>
                <w:sz w:val="24"/>
                <w:szCs w:val="24"/>
              </w:rPr>
              <w:t>Vĩnh Phúc</w:t>
            </w:r>
          </w:p>
        </w:tc>
        <w:tc>
          <w:tcPr>
            <w:tcW w:w="683" w:type="dxa"/>
            <w:tcBorders>
              <w:top w:val="nil"/>
              <w:left w:val="nil"/>
              <w:bottom w:val="single" w:sz="4" w:space="0" w:color="auto"/>
              <w:right w:val="single" w:sz="4" w:space="0" w:color="auto"/>
            </w:tcBorders>
            <w:shd w:val="clear" w:color="auto" w:fill="auto"/>
            <w:noWrap/>
            <w:vAlign w:val="bottom"/>
            <w:hideMark/>
          </w:tcPr>
          <w:p w14:paraId="519B4F60" w14:textId="77777777" w:rsidR="00993172" w:rsidRPr="008E63BB" w:rsidRDefault="00993172" w:rsidP="0065184D">
            <w:pPr>
              <w:jc w:val="right"/>
              <w:rPr>
                <w:rFonts w:eastAsia="Times New Roman"/>
                <w:sz w:val="24"/>
                <w:szCs w:val="24"/>
              </w:rPr>
            </w:pPr>
            <w:r w:rsidRPr="008E63BB">
              <w:rPr>
                <w:rFonts w:eastAsia="Times New Roman"/>
                <w:sz w:val="24"/>
                <w:szCs w:val="24"/>
              </w:rPr>
              <w:t>15</w:t>
            </w:r>
          </w:p>
        </w:tc>
        <w:tc>
          <w:tcPr>
            <w:tcW w:w="696" w:type="dxa"/>
            <w:tcBorders>
              <w:top w:val="nil"/>
              <w:left w:val="nil"/>
              <w:bottom w:val="single" w:sz="4" w:space="0" w:color="auto"/>
              <w:right w:val="single" w:sz="4" w:space="0" w:color="auto"/>
            </w:tcBorders>
            <w:shd w:val="clear" w:color="auto" w:fill="auto"/>
            <w:noWrap/>
            <w:vAlign w:val="bottom"/>
            <w:hideMark/>
          </w:tcPr>
          <w:p w14:paraId="519B4F61" w14:textId="77777777" w:rsidR="00993172" w:rsidRPr="008E63BB" w:rsidRDefault="00993172" w:rsidP="0065184D">
            <w:pPr>
              <w:jc w:val="right"/>
              <w:rPr>
                <w:rFonts w:eastAsia="Times New Roman"/>
                <w:sz w:val="24"/>
                <w:szCs w:val="24"/>
              </w:rPr>
            </w:pPr>
            <w:r w:rsidRPr="008E63BB">
              <w:rPr>
                <w:rFonts w:eastAsia="Times New Roman"/>
                <w:sz w:val="24"/>
                <w:szCs w:val="24"/>
              </w:rPr>
              <w:t>61,7</w:t>
            </w:r>
          </w:p>
        </w:tc>
        <w:tc>
          <w:tcPr>
            <w:tcW w:w="683" w:type="dxa"/>
            <w:tcBorders>
              <w:top w:val="nil"/>
              <w:left w:val="nil"/>
              <w:bottom w:val="single" w:sz="4" w:space="0" w:color="auto"/>
              <w:right w:val="single" w:sz="4" w:space="0" w:color="auto"/>
            </w:tcBorders>
            <w:shd w:val="clear" w:color="auto" w:fill="auto"/>
            <w:noWrap/>
            <w:vAlign w:val="bottom"/>
            <w:hideMark/>
          </w:tcPr>
          <w:p w14:paraId="519B4F62" w14:textId="77777777" w:rsidR="00993172" w:rsidRPr="008E63BB" w:rsidRDefault="00993172" w:rsidP="0065184D">
            <w:pPr>
              <w:jc w:val="right"/>
              <w:rPr>
                <w:rFonts w:eastAsia="Times New Roman"/>
                <w:sz w:val="24"/>
                <w:szCs w:val="24"/>
              </w:rPr>
            </w:pPr>
            <w:r w:rsidRPr="008E63BB">
              <w:rPr>
                <w:rFonts w:eastAsia="Times New Roman"/>
                <w:sz w:val="24"/>
                <w:szCs w:val="24"/>
              </w:rPr>
              <w:t>17</w:t>
            </w:r>
          </w:p>
        </w:tc>
        <w:tc>
          <w:tcPr>
            <w:tcW w:w="696" w:type="dxa"/>
            <w:tcBorders>
              <w:top w:val="nil"/>
              <w:left w:val="nil"/>
              <w:bottom w:val="single" w:sz="4" w:space="0" w:color="auto"/>
              <w:right w:val="single" w:sz="4" w:space="0" w:color="auto"/>
            </w:tcBorders>
            <w:shd w:val="clear" w:color="auto" w:fill="auto"/>
            <w:noWrap/>
            <w:vAlign w:val="bottom"/>
            <w:hideMark/>
          </w:tcPr>
          <w:p w14:paraId="519B4F63" w14:textId="77777777" w:rsidR="00993172" w:rsidRPr="008E63BB" w:rsidRDefault="00993172" w:rsidP="0065184D">
            <w:pPr>
              <w:jc w:val="right"/>
              <w:rPr>
                <w:rFonts w:eastAsia="Times New Roman"/>
                <w:sz w:val="24"/>
                <w:szCs w:val="24"/>
              </w:rPr>
            </w:pPr>
            <w:r w:rsidRPr="008E63BB">
              <w:rPr>
                <w:rFonts w:eastAsia="Times New Roman"/>
                <w:sz w:val="24"/>
                <w:szCs w:val="24"/>
              </w:rPr>
              <w:t>62,6</w:t>
            </w:r>
          </w:p>
        </w:tc>
        <w:tc>
          <w:tcPr>
            <w:tcW w:w="683" w:type="dxa"/>
            <w:tcBorders>
              <w:top w:val="nil"/>
              <w:left w:val="nil"/>
              <w:bottom w:val="single" w:sz="4" w:space="0" w:color="auto"/>
              <w:right w:val="single" w:sz="4" w:space="0" w:color="auto"/>
            </w:tcBorders>
            <w:shd w:val="clear" w:color="auto" w:fill="auto"/>
            <w:noWrap/>
            <w:vAlign w:val="bottom"/>
            <w:hideMark/>
          </w:tcPr>
          <w:p w14:paraId="519B4F64" w14:textId="77777777" w:rsidR="00993172" w:rsidRPr="008E63BB" w:rsidRDefault="00993172" w:rsidP="0065184D">
            <w:pPr>
              <w:jc w:val="right"/>
              <w:rPr>
                <w:rFonts w:eastAsia="Times New Roman"/>
                <w:sz w:val="24"/>
                <w:szCs w:val="24"/>
              </w:rPr>
            </w:pPr>
            <w:r w:rsidRPr="008E63BB">
              <w:rPr>
                <w:rFonts w:eastAsia="Times New Roman"/>
                <w:sz w:val="24"/>
                <w:szCs w:val="24"/>
              </w:rPr>
              <w:t>43</w:t>
            </w:r>
          </w:p>
        </w:tc>
        <w:tc>
          <w:tcPr>
            <w:tcW w:w="696" w:type="dxa"/>
            <w:tcBorders>
              <w:top w:val="nil"/>
              <w:left w:val="nil"/>
              <w:bottom w:val="single" w:sz="4" w:space="0" w:color="auto"/>
              <w:right w:val="single" w:sz="4" w:space="0" w:color="auto"/>
            </w:tcBorders>
            <w:shd w:val="clear" w:color="auto" w:fill="auto"/>
            <w:noWrap/>
            <w:vAlign w:val="bottom"/>
            <w:hideMark/>
          </w:tcPr>
          <w:p w14:paraId="519B4F65" w14:textId="77777777" w:rsidR="00993172" w:rsidRPr="008E63BB" w:rsidRDefault="00993172" w:rsidP="0065184D">
            <w:pPr>
              <w:jc w:val="right"/>
              <w:rPr>
                <w:rFonts w:eastAsia="Times New Roman"/>
                <w:sz w:val="24"/>
                <w:szCs w:val="24"/>
              </w:rPr>
            </w:pPr>
            <w:r w:rsidRPr="008E63BB">
              <w:rPr>
                <w:rFonts w:eastAsia="Times New Roman"/>
                <w:sz w:val="24"/>
                <w:szCs w:val="24"/>
              </w:rPr>
              <w:t>55,2</w:t>
            </w:r>
          </w:p>
        </w:tc>
        <w:tc>
          <w:tcPr>
            <w:tcW w:w="683" w:type="dxa"/>
            <w:tcBorders>
              <w:top w:val="nil"/>
              <w:left w:val="nil"/>
              <w:bottom w:val="single" w:sz="4" w:space="0" w:color="auto"/>
              <w:right w:val="single" w:sz="4" w:space="0" w:color="auto"/>
            </w:tcBorders>
            <w:shd w:val="clear" w:color="auto" w:fill="auto"/>
            <w:noWrap/>
            <w:vAlign w:val="bottom"/>
            <w:hideMark/>
          </w:tcPr>
          <w:p w14:paraId="519B4F66" w14:textId="77777777" w:rsidR="00993172" w:rsidRPr="008E63BB" w:rsidRDefault="00993172" w:rsidP="0065184D">
            <w:pPr>
              <w:jc w:val="right"/>
              <w:rPr>
                <w:rFonts w:eastAsia="Times New Roman"/>
                <w:sz w:val="24"/>
                <w:szCs w:val="24"/>
              </w:rPr>
            </w:pPr>
            <w:r w:rsidRPr="008E63BB">
              <w:rPr>
                <w:rFonts w:eastAsia="Times New Roman"/>
                <w:sz w:val="24"/>
                <w:szCs w:val="24"/>
              </w:rPr>
              <w:t>26</w:t>
            </w:r>
          </w:p>
        </w:tc>
        <w:tc>
          <w:tcPr>
            <w:tcW w:w="708" w:type="dxa"/>
            <w:tcBorders>
              <w:top w:val="nil"/>
              <w:left w:val="nil"/>
              <w:bottom w:val="single" w:sz="4" w:space="0" w:color="auto"/>
              <w:right w:val="single" w:sz="4" w:space="0" w:color="auto"/>
            </w:tcBorders>
            <w:shd w:val="clear" w:color="auto" w:fill="auto"/>
            <w:noWrap/>
            <w:vAlign w:val="bottom"/>
            <w:hideMark/>
          </w:tcPr>
          <w:p w14:paraId="519B4F67" w14:textId="77777777" w:rsidR="00993172" w:rsidRPr="008E63BB" w:rsidRDefault="00993172" w:rsidP="0065184D">
            <w:pPr>
              <w:jc w:val="right"/>
              <w:rPr>
                <w:rFonts w:eastAsia="Times New Roman"/>
                <w:sz w:val="24"/>
                <w:szCs w:val="24"/>
              </w:rPr>
            </w:pPr>
            <w:r w:rsidRPr="008E63BB">
              <w:rPr>
                <w:rFonts w:eastAsia="Times New Roman"/>
                <w:sz w:val="24"/>
                <w:szCs w:val="24"/>
              </w:rPr>
              <w:t>58,9</w:t>
            </w:r>
          </w:p>
        </w:tc>
        <w:tc>
          <w:tcPr>
            <w:tcW w:w="709" w:type="dxa"/>
            <w:tcBorders>
              <w:top w:val="nil"/>
              <w:left w:val="nil"/>
              <w:bottom w:val="single" w:sz="4" w:space="0" w:color="auto"/>
              <w:right w:val="single" w:sz="4" w:space="0" w:color="auto"/>
            </w:tcBorders>
            <w:shd w:val="clear" w:color="auto" w:fill="auto"/>
            <w:noWrap/>
            <w:vAlign w:val="bottom"/>
            <w:hideMark/>
          </w:tcPr>
          <w:p w14:paraId="519B4F68" w14:textId="77777777" w:rsidR="00993172" w:rsidRPr="008E63BB" w:rsidRDefault="00993172" w:rsidP="0065184D">
            <w:pPr>
              <w:jc w:val="right"/>
              <w:rPr>
                <w:rFonts w:eastAsia="Times New Roman"/>
                <w:sz w:val="24"/>
                <w:szCs w:val="24"/>
              </w:rPr>
            </w:pPr>
            <w:r w:rsidRPr="008E63BB">
              <w:rPr>
                <w:rFonts w:eastAsia="Times New Roman"/>
                <w:sz w:val="24"/>
                <w:szCs w:val="24"/>
              </w:rPr>
              <w:t>6</w:t>
            </w:r>
          </w:p>
        </w:tc>
        <w:tc>
          <w:tcPr>
            <w:tcW w:w="706" w:type="dxa"/>
            <w:tcBorders>
              <w:top w:val="nil"/>
              <w:left w:val="nil"/>
              <w:bottom w:val="single" w:sz="4" w:space="0" w:color="auto"/>
              <w:right w:val="single" w:sz="4" w:space="0" w:color="auto"/>
            </w:tcBorders>
            <w:shd w:val="clear" w:color="auto" w:fill="auto"/>
            <w:noWrap/>
            <w:vAlign w:val="bottom"/>
            <w:hideMark/>
          </w:tcPr>
          <w:p w14:paraId="519B4F69" w14:textId="77777777" w:rsidR="00993172" w:rsidRPr="008E63BB" w:rsidRDefault="00993172" w:rsidP="0065184D">
            <w:pPr>
              <w:jc w:val="right"/>
              <w:rPr>
                <w:rFonts w:eastAsia="Times New Roman"/>
                <w:sz w:val="24"/>
                <w:szCs w:val="24"/>
              </w:rPr>
            </w:pPr>
            <w:r w:rsidRPr="008E63BB">
              <w:rPr>
                <w:rFonts w:eastAsia="Times New Roman"/>
                <w:sz w:val="24"/>
                <w:szCs w:val="24"/>
              </w:rPr>
              <w:t>61,8</w:t>
            </w:r>
          </w:p>
        </w:tc>
        <w:tc>
          <w:tcPr>
            <w:tcW w:w="683" w:type="dxa"/>
            <w:tcBorders>
              <w:top w:val="nil"/>
              <w:left w:val="nil"/>
              <w:bottom w:val="single" w:sz="4" w:space="0" w:color="auto"/>
              <w:right w:val="single" w:sz="4" w:space="0" w:color="auto"/>
            </w:tcBorders>
            <w:shd w:val="clear" w:color="auto" w:fill="auto"/>
            <w:noWrap/>
            <w:vAlign w:val="bottom"/>
            <w:hideMark/>
          </w:tcPr>
          <w:p w14:paraId="519B4F6A" w14:textId="77777777" w:rsidR="00993172" w:rsidRPr="008E63BB" w:rsidRDefault="00993172" w:rsidP="0065184D">
            <w:pPr>
              <w:jc w:val="right"/>
              <w:rPr>
                <w:rFonts w:eastAsia="Times New Roman"/>
                <w:sz w:val="24"/>
                <w:szCs w:val="24"/>
              </w:rPr>
            </w:pPr>
            <w:r w:rsidRPr="008E63BB">
              <w:rPr>
                <w:rFonts w:eastAsia="Times New Roman"/>
                <w:sz w:val="24"/>
                <w:szCs w:val="24"/>
              </w:rPr>
              <w:t>4</w:t>
            </w:r>
          </w:p>
        </w:tc>
        <w:tc>
          <w:tcPr>
            <w:tcW w:w="696" w:type="dxa"/>
            <w:tcBorders>
              <w:top w:val="nil"/>
              <w:left w:val="nil"/>
              <w:bottom w:val="single" w:sz="4" w:space="0" w:color="auto"/>
              <w:right w:val="single" w:sz="4" w:space="0" w:color="auto"/>
            </w:tcBorders>
            <w:shd w:val="clear" w:color="auto" w:fill="auto"/>
            <w:noWrap/>
            <w:vAlign w:val="bottom"/>
            <w:hideMark/>
          </w:tcPr>
          <w:p w14:paraId="519B4F6B" w14:textId="77777777" w:rsidR="00993172" w:rsidRPr="008E63BB" w:rsidRDefault="00993172" w:rsidP="0065184D">
            <w:pPr>
              <w:jc w:val="right"/>
              <w:rPr>
                <w:rFonts w:eastAsia="Times New Roman"/>
                <w:sz w:val="24"/>
                <w:szCs w:val="24"/>
              </w:rPr>
            </w:pPr>
            <w:r w:rsidRPr="008E63BB">
              <w:rPr>
                <w:rFonts w:eastAsia="Times New Roman"/>
                <w:sz w:val="24"/>
                <w:szCs w:val="24"/>
              </w:rPr>
              <w:t>62,6</w:t>
            </w:r>
          </w:p>
        </w:tc>
        <w:tc>
          <w:tcPr>
            <w:tcW w:w="727" w:type="dxa"/>
            <w:tcBorders>
              <w:top w:val="nil"/>
              <w:left w:val="nil"/>
              <w:bottom w:val="single" w:sz="4" w:space="0" w:color="auto"/>
              <w:right w:val="single" w:sz="4" w:space="0" w:color="auto"/>
            </w:tcBorders>
            <w:shd w:val="clear" w:color="auto" w:fill="auto"/>
            <w:noWrap/>
            <w:vAlign w:val="bottom"/>
            <w:hideMark/>
          </w:tcPr>
          <w:p w14:paraId="519B4F6C" w14:textId="77777777" w:rsidR="00993172" w:rsidRPr="008E63BB" w:rsidRDefault="00993172" w:rsidP="0065184D">
            <w:pPr>
              <w:jc w:val="right"/>
              <w:rPr>
                <w:rFonts w:eastAsia="Times New Roman"/>
                <w:sz w:val="24"/>
                <w:szCs w:val="24"/>
              </w:rPr>
            </w:pPr>
            <w:r w:rsidRPr="008E63BB">
              <w:rPr>
                <w:rFonts w:eastAsia="Times New Roman"/>
                <w:sz w:val="24"/>
                <w:szCs w:val="24"/>
              </w:rPr>
              <w:t>9</w:t>
            </w:r>
          </w:p>
        </w:tc>
        <w:tc>
          <w:tcPr>
            <w:tcW w:w="704" w:type="dxa"/>
            <w:tcBorders>
              <w:top w:val="nil"/>
              <w:left w:val="nil"/>
              <w:bottom w:val="single" w:sz="4" w:space="0" w:color="auto"/>
              <w:right w:val="single" w:sz="4" w:space="0" w:color="auto"/>
            </w:tcBorders>
            <w:shd w:val="clear" w:color="auto" w:fill="auto"/>
            <w:noWrap/>
            <w:vAlign w:val="bottom"/>
            <w:hideMark/>
          </w:tcPr>
          <w:p w14:paraId="519B4F6D" w14:textId="77777777" w:rsidR="00993172" w:rsidRPr="008E63BB" w:rsidRDefault="00993172" w:rsidP="0065184D">
            <w:pPr>
              <w:jc w:val="right"/>
              <w:rPr>
                <w:rFonts w:eastAsia="Times New Roman"/>
                <w:sz w:val="24"/>
                <w:szCs w:val="24"/>
              </w:rPr>
            </w:pPr>
            <w:r w:rsidRPr="008E63BB">
              <w:rPr>
                <w:rFonts w:eastAsia="Times New Roman"/>
                <w:sz w:val="24"/>
                <w:szCs w:val="24"/>
              </w:rPr>
              <w:t>61,5</w:t>
            </w:r>
          </w:p>
        </w:tc>
        <w:tc>
          <w:tcPr>
            <w:tcW w:w="683" w:type="dxa"/>
            <w:tcBorders>
              <w:top w:val="nil"/>
              <w:left w:val="nil"/>
              <w:bottom w:val="single" w:sz="4" w:space="0" w:color="auto"/>
              <w:right w:val="single" w:sz="4" w:space="0" w:color="auto"/>
            </w:tcBorders>
            <w:shd w:val="clear" w:color="auto" w:fill="auto"/>
            <w:noWrap/>
            <w:vAlign w:val="bottom"/>
            <w:hideMark/>
          </w:tcPr>
          <w:p w14:paraId="519B4F6E" w14:textId="77777777" w:rsidR="00993172" w:rsidRPr="008E63BB" w:rsidRDefault="00993172" w:rsidP="0065184D">
            <w:pPr>
              <w:jc w:val="right"/>
              <w:rPr>
                <w:rFonts w:eastAsia="Times New Roman"/>
                <w:sz w:val="24"/>
                <w:szCs w:val="24"/>
              </w:rPr>
            </w:pPr>
            <w:r w:rsidRPr="008E63BB">
              <w:rPr>
                <w:rFonts w:eastAsia="Times New Roman"/>
                <w:sz w:val="24"/>
                <w:szCs w:val="24"/>
              </w:rPr>
              <w:t>12</w:t>
            </w:r>
          </w:p>
        </w:tc>
        <w:tc>
          <w:tcPr>
            <w:tcW w:w="704" w:type="dxa"/>
            <w:tcBorders>
              <w:top w:val="nil"/>
              <w:left w:val="nil"/>
              <w:bottom w:val="single" w:sz="4" w:space="0" w:color="auto"/>
              <w:right w:val="single" w:sz="4" w:space="0" w:color="auto"/>
            </w:tcBorders>
            <w:shd w:val="clear" w:color="auto" w:fill="auto"/>
            <w:noWrap/>
            <w:vAlign w:val="bottom"/>
            <w:hideMark/>
          </w:tcPr>
          <w:p w14:paraId="519B4F6F" w14:textId="77777777" w:rsidR="00993172" w:rsidRPr="008E63BB" w:rsidRDefault="00993172" w:rsidP="0065184D">
            <w:pPr>
              <w:jc w:val="right"/>
              <w:rPr>
                <w:rFonts w:eastAsia="Times New Roman"/>
                <w:sz w:val="24"/>
                <w:szCs w:val="24"/>
              </w:rPr>
            </w:pPr>
            <w:r w:rsidRPr="008E63BB">
              <w:rPr>
                <w:rFonts w:eastAsia="Times New Roman"/>
                <w:sz w:val="24"/>
                <w:szCs w:val="24"/>
              </w:rPr>
              <w:t>64,9</w:t>
            </w:r>
          </w:p>
        </w:tc>
        <w:tc>
          <w:tcPr>
            <w:tcW w:w="744" w:type="dxa"/>
            <w:tcBorders>
              <w:top w:val="nil"/>
              <w:left w:val="nil"/>
              <w:bottom w:val="single" w:sz="4" w:space="0" w:color="auto"/>
              <w:right w:val="single" w:sz="4" w:space="0" w:color="auto"/>
            </w:tcBorders>
            <w:shd w:val="clear" w:color="auto" w:fill="auto"/>
            <w:noWrap/>
            <w:vAlign w:val="bottom"/>
            <w:hideMark/>
          </w:tcPr>
          <w:p w14:paraId="519B4F70" w14:textId="77777777" w:rsidR="00993172" w:rsidRPr="008E63BB" w:rsidRDefault="00993172" w:rsidP="0065184D">
            <w:pPr>
              <w:jc w:val="right"/>
              <w:rPr>
                <w:rFonts w:eastAsia="Times New Roman"/>
                <w:sz w:val="24"/>
                <w:szCs w:val="24"/>
              </w:rPr>
            </w:pPr>
            <w:r w:rsidRPr="008E63BB">
              <w:rPr>
                <w:rFonts w:eastAsia="Times New Roman"/>
                <w:sz w:val="24"/>
                <w:szCs w:val="24"/>
              </w:rPr>
              <w:t>13</w:t>
            </w:r>
          </w:p>
        </w:tc>
        <w:tc>
          <w:tcPr>
            <w:tcW w:w="696" w:type="dxa"/>
            <w:tcBorders>
              <w:top w:val="nil"/>
              <w:left w:val="nil"/>
              <w:bottom w:val="single" w:sz="4" w:space="0" w:color="auto"/>
              <w:right w:val="single" w:sz="4" w:space="0" w:color="auto"/>
            </w:tcBorders>
            <w:shd w:val="clear" w:color="auto" w:fill="auto"/>
            <w:noWrap/>
            <w:vAlign w:val="bottom"/>
            <w:hideMark/>
          </w:tcPr>
          <w:p w14:paraId="519B4F71" w14:textId="77777777" w:rsidR="00993172" w:rsidRPr="008E63BB" w:rsidRDefault="00993172" w:rsidP="0065184D">
            <w:pPr>
              <w:jc w:val="right"/>
              <w:rPr>
                <w:rFonts w:eastAsia="Times New Roman"/>
                <w:sz w:val="24"/>
                <w:szCs w:val="24"/>
              </w:rPr>
            </w:pPr>
            <w:r w:rsidRPr="008E63BB">
              <w:rPr>
                <w:rFonts w:eastAsia="Times New Roman"/>
                <w:sz w:val="24"/>
                <w:szCs w:val="24"/>
              </w:rPr>
              <w:t>64,6</w:t>
            </w:r>
          </w:p>
        </w:tc>
      </w:tr>
      <w:tr w:rsidR="008D5BFE" w:rsidRPr="008E63BB" w14:paraId="519B4F87"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73" w14:textId="77777777" w:rsidR="00993172" w:rsidRPr="008E63BB" w:rsidRDefault="00993172" w:rsidP="0065184D">
            <w:pPr>
              <w:jc w:val="right"/>
              <w:rPr>
                <w:rFonts w:eastAsia="Times New Roman"/>
                <w:sz w:val="24"/>
                <w:szCs w:val="24"/>
              </w:rPr>
            </w:pPr>
            <w:r w:rsidRPr="008E63BB">
              <w:rPr>
                <w:rFonts w:eastAsia="Times New Roman"/>
                <w:sz w:val="24"/>
                <w:szCs w:val="24"/>
              </w:rPr>
              <w:t>5</w:t>
            </w:r>
          </w:p>
        </w:tc>
        <w:tc>
          <w:tcPr>
            <w:tcW w:w="2467" w:type="dxa"/>
            <w:tcBorders>
              <w:top w:val="nil"/>
              <w:left w:val="nil"/>
              <w:bottom w:val="single" w:sz="4" w:space="0" w:color="auto"/>
              <w:right w:val="single" w:sz="4" w:space="0" w:color="auto"/>
            </w:tcBorders>
            <w:shd w:val="clear" w:color="auto" w:fill="auto"/>
            <w:noWrap/>
            <w:vAlign w:val="bottom"/>
            <w:hideMark/>
          </w:tcPr>
          <w:p w14:paraId="519B4F74" w14:textId="77777777" w:rsidR="00993172" w:rsidRPr="008E63BB" w:rsidRDefault="00993172" w:rsidP="0065184D">
            <w:pPr>
              <w:jc w:val="left"/>
              <w:rPr>
                <w:rFonts w:eastAsia="Times New Roman"/>
                <w:sz w:val="24"/>
                <w:szCs w:val="24"/>
              </w:rPr>
            </w:pPr>
            <w:r w:rsidRPr="008E63BB">
              <w:rPr>
                <w:rFonts w:eastAsia="Times New Roman"/>
                <w:sz w:val="24"/>
                <w:szCs w:val="24"/>
              </w:rPr>
              <w:t>Hưng Yên</w:t>
            </w:r>
          </w:p>
        </w:tc>
        <w:tc>
          <w:tcPr>
            <w:tcW w:w="683" w:type="dxa"/>
            <w:tcBorders>
              <w:top w:val="nil"/>
              <w:left w:val="nil"/>
              <w:bottom w:val="single" w:sz="4" w:space="0" w:color="auto"/>
              <w:right w:val="single" w:sz="4" w:space="0" w:color="auto"/>
            </w:tcBorders>
            <w:shd w:val="clear" w:color="auto" w:fill="auto"/>
            <w:noWrap/>
            <w:vAlign w:val="bottom"/>
            <w:hideMark/>
          </w:tcPr>
          <w:p w14:paraId="519B4F75" w14:textId="77777777" w:rsidR="00993172" w:rsidRPr="008E63BB" w:rsidRDefault="00993172" w:rsidP="0065184D">
            <w:pPr>
              <w:jc w:val="right"/>
              <w:rPr>
                <w:rFonts w:eastAsia="Times New Roman"/>
                <w:sz w:val="24"/>
                <w:szCs w:val="24"/>
              </w:rPr>
            </w:pPr>
            <w:r w:rsidRPr="008E63BB">
              <w:rPr>
                <w:rFonts w:eastAsia="Times New Roman"/>
                <w:sz w:val="24"/>
                <w:szCs w:val="24"/>
              </w:rPr>
              <w:t>61</w:t>
            </w:r>
          </w:p>
        </w:tc>
        <w:tc>
          <w:tcPr>
            <w:tcW w:w="696" w:type="dxa"/>
            <w:tcBorders>
              <w:top w:val="nil"/>
              <w:left w:val="nil"/>
              <w:bottom w:val="single" w:sz="4" w:space="0" w:color="auto"/>
              <w:right w:val="single" w:sz="4" w:space="0" w:color="auto"/>
            </w:tcBorders>
            <w:shd w:val="clear" w:color="auto" w:fill="auto"/>
            <w:noWrap/>
            <w:vAlign w:val="bottom"/>
            <w:hideMark/>
          </w:tcPr>
          <w:p w14:paraId="519B4F76" w14:textId="77777777" w:rsidR="00993172" w:rsidRPr="008E63BB" w:rsidRDefault="00993172" w:rsidP="0065184D">
            <w:pPr>
              <w:jc w:val="right"/>
              <w:rPr>
                <w:rFonts w:eastAsia="Times New Roman"/>
                <w:sz w:val="24"/>
                <w:szCs w:val="24"/>
              </w:rPr>
            </w:pPr>
            <w:r w:rsidRPr="008E63BB">
              <w:rPr>
                <w:rFonts w:eastAsia="Times New Roman"/>
                <w:sz w:val="24"/>
                <w:szCs w:val="24"/>
              </w:rPr>
              <w:t>49,8</w:t>
            </w:r>
          </w:p>
        </w:tc>
        <w:tc>
          <w:tcPr>
            <w:tcW w:w="683" w:type="dxa"/>
            <w:tcBorders>
              <w:top w:val="nil"/>
              <w:left w:val="nil"/>
              <w:bottom w:val="single" w:sz="4" w:space="0" w:color="auto"/>
              <w:right w:val="single" w:sz="4" w:space="0" w:color="auto"/>
            </w:tcBorders>
            <w:shd w:val="clear" w:color="auto" w:fill="auto"/>
            <w:noWrap/>
            <w:vAlign w:val="bottom"/>
            <w:hideMark/>
          </w:tcPr>
          <w:p w14:paraId="519B4F77" w14:textId="77777777" w:rsidR="00993172" w:rsidRPr="008E63BB" w:rsidRDefault="00993172" w:rsidP="0065184D">
            <w:pPr>
              <w:jc w:val="right"/>
              <w:rPr>
                <w:rFonts w:eastAsia="Times New Roman"/>
                <w:sz w:val="24"/>
                <w:szCs w:val="24"/>
              </w:rPr>
            </w:pPr>
            <w:r w:rsidRPr="008E63BB">
              <w:rPr>
                <w:rFonts w:eastAsia="Times New Roman"/>
                <w:sz w:val="24"/>
                <w:szCs w:val="24"/>
              </w:rPr>
              <w:t>33</w:t>
            </w:r>
          </w:p>
        </w:tc>
        <w:tc>
          <w:tcPr>
            <w:tcW w:w="696" w:type="dxa"/>
            <w:tcBorders>
              <w:top w:val="nil"/>
              <w:left w:val="nil"/>
              <w:bottom w:val="single" w:sz="4" w:space="0" w:color="auto"/>
              <w:right w:val="single" w:sz="4" w:space="0" w:color="auto"/>
            </w:tcBorders>
            <w:shd w:val="clear" w:color="auto" w:fill="auto"/>
            <w:noWrap/>
            <w:vAlign w:val="bottom"/>
            <w:hideMark/>
          </w:tcPr>
          <w:p w14:paraId="519B4F78" w14:textId="77777777" w:rsidR="00993172" w:rsidRPr="008E63BB" w:rsidRDefault="00993172" w:rsidP="0065184D">
            <w:pPr>
              <w:jc w:val="right"/>
              <w:rPr>
                <w:rFonts w:eastAsia="Times New Roman"/>
                <w:sz w:val="24"/>
                <w:szCs w:val="24"/>
              </w:rPr>
            </w:pPr>
            <w:r w:rsidRPr="008E63BB">
              <w:rPr>
                <w:rFonts w:eastAsia="Times New Roman"/>
                <w:sz w:val="24"/>
                <w:szCs w:val="24"/>
              </w:rPr>
              <w:t>59,3</w:t>
            </w:r>
          </w:p>
        </w:tc>
        <w:tc>
          <w:tcPr>
            <w:tcW w:w="683" w:type="dxa"/>
            <w:tcBorders>
              <w:top w:val="nil"/>
              <w:left w:val="nil"/>
              <w:bottom w:val="single" w:sz="4" w:space="0" w:color="auto"/>
              <w:right w:val="single" w:sz="4" w:space="0" w:color="auto"/>
            </w:tcBorders>
            <w:shd w:val="clear" w:color="auto" w:fill="auto"/>
            <w:noWrap/>
            <w:vAlign w:val="bottom"/>
            <w:hideMark/>
          </w:tcPr>
          <w:p w14:paraId="519B4F79" w14:textId="77777777" w:rsidR="00993172" w:rsidRPr="008E63BB" w:rsidRDefault="00993172" w:rsidP="0065184D">
            <w:pPr>
              <w:jc w:val="right"/>
              <w:rPr>
                <w:rFonts w:eastAsia="Times New Roman"/>
                <w:sz w:val="24"/>
                <w:szCs w:val="24"/>
              </w:rPr>
            </w:pPr>
            <w:r w:rsidRPr="008E63BB">
              <w:rPr>
                <w:rFonts w:eastAsia="Times New Roman"/>
                <w:sz w:val="24"/>
                <w:szCs w:val="24"/>
              </w:rPr>
              <w:t>28</w:t>
            </w:r>
          </w:p>
        </w:tc>
        <w:tc>
          <w:tcPr>
            <w:tcW w:w="696" w:type="dxa"/>
            <w:tcBorders>
              <w:top w:val="nil"/>
              <w:left w:val="nil"/>
              <w:bottom w:val="single" w:sz="4" w:space="0" w:color="auto"/>
              <w:right w:val="single" w:sz="4" w:space="0" w:color="auto"/>
            </w:tcBorders>
            <w:shd w:val="clear" w:color="auto" w:fill="auto"/>
            <w:noWrap/>
            <w:vAlign w:val="bottom"/>
            <w:hideMark/>
          </w:tcPr>
          <w:p w14:paraId="519B4F7A" w14:textId="77777777" w:rsidR="00993172" w:rsidRPr="008E63BB" w:rsidRDefault="00993172" w:rsidP="0065184D">
            <w:pPr>
              <w:jc w:val="right"/>
              <w:rPr>
                <w:rFonts w:eastAsia="Times New Roman"/>
                <w:sz w:val="24"/>
                <w:szCs w:val="24"/>
              </w:rPr>
            </w:pPr>
            <w:r w:rsidRPr="008E63BB">
              <w:rPr>
                <w:rFonts w:eastAsia="Times New Roman"/>
                <w:sz w:val="24"/>
                <w:szCs w:val="24"/>
              </w:rPr>
              <w:t>58,0</w:t>
            </w:r>
          </w:p>
        </w:tc>
        <w:tc>
          <w:tcPr>
            <w:tcW w:w="683" w:type="dxa"/>
            <w:tcBorders>
              <w:top w:val="nil"/>
              <w:left w:val="nil"/>
              <w:bottom w:val="single" w:sz="4" w:space="0" w:color="auto"/>
              <w:right w:val="single" w:sz="4" w:space="0" w:color="auto"/>
            </w:tcBorders>
            <w:shd w:val="clear" w:color="auto" w:fill="auto"/>
            <w:noWrap/>
            <w:vAlign w:val="bottom"/>
            <w:hideMark/>
          </w:tcPr>
          <w:p w14:paraId="519B4F7B" w14:textId="77777777" w:rsidR="00993172" w:rsidRPr="008E63BB" w:rsidRDefault="00993172" w:rsidP="0065184D">
            <w:pPr>
              <w:jc w:val="right"/>
              <w:rPr>
                <w:rFonts w:eastAsia="Times New Roman"/>
                <w:sz w:val="24"/>
                <w:szCs w:val="24"/>
              </w:rPr>
            </w:pPr>
            <w:r w:rsidRPr="008E63BB">
              <w:rPr>
                <w:rFonts w:eastAsia="Times New Roman"/>
                <w:sz w:val="24"/>
                <w:szCs w:val="24"/>
              </w:rPr>
              <w:t>30</w:t>
            </w:r>
          </w:p>
        </w:tc>
        <w:tc>
          <w:tcPr>
            <w:tcW w:w="708" w:type="dxa"/>
            <w:tcBorders>
              <w:top w:val="nil"/>
              <w:left w:val="nil"/>
              <w:bottom w:val="single" w:sz="4" w:space="0" w:color="auto"/>
              <w:right w:val="single" w:sz="4" w:space="0" w:color="auto"/>
            </w:tcBorders>
            <w:shd w:val="clear" w:color="auto" w:fill="auto"/>
            <w:noWrap/>
            <w:vAlign w:val="bottom"/>
            <w:hideMark/>
          </w:tcPr>
          <w:p w14:paraId="519B4F7C" w14:textId="77777777" w:rsidR="00993172" w:rsidRPr="008E63BB" w:rsidRDefault="00993172" w:rsidP="0065184D">
            <w:pPr>
              <w:jc w:val="right"/>
              <w:rPr>
                <w:rFonts w:eastAsia="Times New Roman"/>
                <w:sz w:val="24"/>
                <w:szCs w:val="24"/>
              </w:rPr>
            </w:pPr>
            <w:r w:rsidRPr="008E63BB">
              <w:rPr>
                <w:rFonts w:eastAsia="Times New Roman"/>
                <w:sz w:val="24"/>
                <w:szCs w:val="24"/>
              </w:rPr>
              <w:t>53,9</w:t>
            </w:r>
          </w:p>
        </w:tc>
        <w:tc>
          <w:tcPr>
            <w:tcW w:w="709" w:type="dxa"/>
            <w:tcBorders>
              <w:top w:val="nil"/>
              <w:left w:val="nil"/>
              <w:bottom w:val="single" w:sz="4" w:space="0" w:color="auto"/>
              <w:right w:val="single" w:sz="4" w:space="0" w:color="auto"/>
            </w:tcBorders>
            <w:shd w:val="clear" w:color="auto" w:fill="auto"/>
            <w:noWrap/>
            <w:vAlign w:val="bottom"/>
            <w:hideMark/>
          </w:tcPr>
          <w:p w14:paraId="519B4F7D" w14:textId="77777777" w:rsidR="00993172" w:rsidRPr="008E63BB" w:rsidRDefault="00993172" w:rsidP="0065184D">
            <w:pPr>
              <w:jc w:val="right"/>
              <w:rPr>
                <w:rFonts w:eastAsia="Times New Roman"/>
                <w:sz w:val="24"/>
                <w:szCs w:val="24"/>
              </w:rPr>
            </w:pPr>
            <w:r w:rsidRPr="008E63BB">
              <w:rPr>
                <w:rFonts w:eastAsia="Times New Roman"/>
                <w:sz w:val="24"/>
                <w:szCs w:val="24"/>
              </w:rPr>
              <w:t>51</w:t>
            </w:r>
          </w:p>
        </w:tc>
        <w:tc>
          <w:tcPr>
            <w:tcW w:w="706" w:type="dxa"/>
            <w:tcBorders>
              <w:top w:val="nil"/>
              <w:left w:val="nil"/>
              <w:bottom w:val="single" w:sz="4" w:space="0" w:color="auto"/>
              <w:right w:val="single" w:sz="4" w:space="0" w:color="auto"/>
            </w:tcBorders>
            <w:shd w:val="clear" w:color="auto" w:fill="auto"/>
            <w:noWrap/>
            <w:vAlign w:val="bottom"/>
            <w:hideMark/>
          </w:tcPr>
          <w:p w14:paraId="519B4F7E" w14:textId="77777777" w:rsidR="00993172" w:rsidRPr="008E63BB" w:rsidRDefault="00993172" w:rsidP="0065184D">
            <w:pPr>
              <w:jc w:val="right"/>
              <w:rPr>
                <w:rFonts w:eastAsia="Times New Roman"/>
                <w:sz w:val="24"/>
                <w:szCs w:val="24"/>
              </w:rPr>
            </w:pPr>
            <w:r w:rsidRPr="008E63BB">
              <w:rPr>
                <w:rFonts w:eastAsia="Times New Roman"/>
                <w:sz w:val="24"/>
                <w:szCs w:val="24"/>
              </w:rPr>
              <w:t>55,1</w:t>
            </w:r>
          </w:p>
        </w:tc>
        <w:tc>
          <w:tcPr>
            <w:tcW w:w="683" w:type="dxa"/>
            <w:tcBorders>
              <w:top w:val="nil"/>
              <w:left w:val="nil"/>
              <w:bottom w:val="single" w:sz="4" w:space="0" w:color="auto"/>
              <w:right w:val="single" w:sz="4" w:space="0" w:color="auto"/>
            </w:tcBorders>
            <w:shd w:val="clear" w:color="auto" w:fill="auto"/>
            <w:noWrap/>
            <w:vAlign w:val="bottom"/>
            <w:hideMark/>
          </w:tcPr>
          <w:p w14:paraId="519B4F7F" w14:textId="77777777" w:rsidR="00993172" w:rsidRPr="008E63BB" w:rsidRDefault="00993172" w:rsidP="0065184D">
            <w:pPr>
              <w:jc w:val="right"/>
              <w:rPr>
                <w:rFonts w:eastAsia="Times New Roman"/>
                <w:sz w:val="24"/>
                <w:szCs w:val="24"/>
              </w:rPr>
            </w:pPr>
            <w:r w:rsidRPr="008E63BB">
              <w:rPr>
                <w:rFonts w:eastAsia="Times New Roman"/>
                <w:sz w:val="24"/>
                <w:szCs w:val="24"/>
              </w:rPr>
              <w:t>56</w:t>
            </w:r>
          </w:p>
        </w:tc>
        <w:tc>
          <w:tcPr>
            <w:tcW w:w="696" w:type="dxa"/>
            <w:tcBorders>
              <w:top w:val="nil"/>
              <w:left w:val="nil"/>
              <w:bottom w:val="single" w:sz="4" w:space="0" w:color="auto"/>
              <w:right w:val="single" w:sz="4" w:space="0" w:color="auto"/>
            </w:tcBorders>
            <w:shd w:val="clear" w:color="auto" w:fill="auto"/>
            <w:noWrap/>
            <w:vAlign w:val="bottom"/>
            <w:hideMark/>
          </w:tcPr>
          <w:p w14:paraId="519B4F80" w14:textId="77777777" w:rsidR="00993172" w:rsidRPr="008E63BB" w:rsidRDefault="00993172" w:rsidP="0065184D">
            <w:pPr>
              <w:jc w:val="right"/>
              <w:rPr>
                <w:rFonts w:eastAsia="Times New Roman"/>
                <w:sz w:val="24"/>
                <w:szCs w:val="24"/>
              </w:rPr>
            </w:pPr>
            <w:r w:rsidRPr="008E63BB">
              <w:rPr>
                <w:rFonts w:eastAsia="Times New Roman"/>
                <w:sz w:val="24"/>
                <w:szCs w:val="24"/>
              </w:rPr>
              <w:t>55,1</w:t>
            </w:r>
          </w:p>
        </w:tc>
        <w:tc>
          <w:tcPr>
            <w:tcW w:w="727" w:type="dxa"/>
            <w:tcBorders>
              <w:top w:val="nil"/>
              <w:left w:val="nil"/>
              <w:bottom w:val="single" w:sz="4" w:space="0" w:color="auto"/>
              <w:right w:val="single" w:sz="4" w:space="0" w:color="auto"/>
            </w:tcBorders>
            <w:shd w:val="clear" w:color="auto" w:fill="auto"/>
            <w:noWrap/>
            <w:vAlign w:val="bottom"/>
            <w:hideMark/>
          </w:tcPr>
          <w:p w14:paraId="519B4F81" w14:textId="77777777" w:rsidR="00993172" w:rsidRPr="008E63BB" w:rsidRDefault="00993172" w:rsidP="0065184D">
            <w:pPr>
              <w:jc w:val="right"/>
              <w:rPr>
                <w:rFonts w:eastAsia="Times New Roman"/>
                <w:sz w:val="24"/>
                <w:szCs w:val="24"/>
              </w:rPr>
            </w:pPr>
            <w:r w:rsidRPr="008E63BB">
              <w:rPr>
                <w:rFonts w:eastAsia="Times New Roman"/>
                <w:sz w:val="24"/>
                <w:szCs w:val="24"/>
              </w:rPr>
              <w:t>50</w:t>
            </w:r>
          </w:p>
        </w:tc>
        <w:tc>
          <w:tcPr>
            <w:tcW w:w="704" w:type="dxa"/>
            <w:tcBorders>
              <w:top w:val="nil"/>
              <w:left w:val="nil"/>
              <w:bottom w:val="single" w:sz="4" w:space="0" w:color="auto"/>
              <w:right w:val="single" w:sz="4" w:space="0" w:color="auto"/>
            </w:tcBorders>
            <w:shd w:val="clear" w:color="auto" w:fill="auto"/>
            <w:noWrap/>
            <w:vAlign w:val="bottom"/>
            <w:hideMark/>
          </w:tcPr>
          <w:p w14:paraId="519B4F82" w14:textId="77777777" w:rsidR="00993172" w:rsidRPr="008E63BB" w:rsidRDefault="00993172" w:rsidP="0065184D">
            <w:pPr>
              <w:jc w:val="right"/>
              <w:rPr>
                <w:rFonts w:eastAsia="Times New Roman"/>
                <w:sz w:val="24"/>
                <w:szCs w:val="24"/>
              </w:rPr>
            </w:pPr>
            <w:r w:rsidRPr="008E63BB">
              <w:rPr>
                <w:rFonts w:eastAsia="Times New Roman"/>
                <w:sz w:val="24"/>
                <w:szCs w:val="24"/>
              </w:rPr>
              <w:t>57,0</w:t>
            </w:r>
          </w:p>
        </w:tc>
        <w:tc>
          <w:tcPr>
            <w:tcW w:w="683" w:type="dxa"/>
            <w:tcBorders>
              <w:top w:val="nil"/>
              <w:left w:val="nil"/>
              <w:bottom w:val="single" w:sz="4" w:space="0" w:color="auto"/>
              <w:right w:val="single" w:sz="4" w:space="0" w:color="auto"/>
            </w:tcBorders>
            <w:shd w:val="clear" w:color="auto" w:fill="auto"/>
            <w:noWrap/>
            <w:vAlign w:val="bottom"/>
            <w:hideMark/>
          </w:tcPr>
          <w:p w14:paraId="519B4F83" w14:textId="77777777" w:rsidR="00993172" w:rsidRPr="008E63BB" w:rsidRDefault="00993172" w:rsidP="0065184D">
            <w:pPr>
              <w:jc w:val="right"/>
              <w:rPr>
                <w:rFonts w:eastAsia="Times New Roman"/>
                <w:sz w:val="24"/>
                <w:szCs w:val="24"/>
              </w:rPr>
            </w:pPr>
            <w:r w:rsidRPr="008E63BB">
              <w:rPr>
                <w:rFonts w:eastAsia="Times New Roman"/>
                <w:sz w:val="24"/>
                <w:szCs w:val="24"/>
              </w:rPr>
              <w:t>56</w:t>
            </w:r>
          </w:p>
        </w:tc>
        <w:tc>
          <w:tcPr>
            <w:tcW w:w="704" w:type="dxa"/>
            <w:tcBorders>
              <w:top w:val="nil"/>
              <w:left w:val="nil"/>
              <w:bottom w:val="single" w:sz="4" w:space="0" w:color="auto"/>
              <w:right w:val="single" w:sz="4" w:space="0" w:color="auto"/>
            </w:tcBorders>
            <w:shd w:val="clear" w:color="auto" w:fill="auto"/>
            <w:noWrap/>
            <w:vAlign w:val="bottom"/>
            <w:hideMark/>
          </w:tcPr>
          <w:p w14:paraId="519B4F84" w14:textId="77777777" w:rsidR="00993172" w:rsidRPr="008E63BB" w:rsidRDefault="00993172" w:rsidP="0065184D">
            <w:pPr>
              <w:jc w:val="right"/>
              <w:rPr>
                <w:rFonts w:eastAsia="Times New Roman"/>
                <w:sz w:val="24"/>
                <w:szCs w:val="24"/>
              </w:rPr>
            </w:pPr>
            <w:r w:rsidRPr="008E63BB">
              <w:rPr>
                <w:rFonts w:eastAsia="Times New Roman"/>
                <w:sz w:val="24"/>
                <w:szCs w:val="24"/>
              </w:rPr>
              <w:t>59,1</w:t>
            </w:r>
          </w:p>
        </w:tc>
        <w:tc>
          <w:tcPr>
            <w:tcW w:w="744" w:type="dxa"/>
            <w:tcBorders>
              <w:top w:val="nil"/>
              <w:left w:val="nil"/>
              <w:bottom w:val="single" w:sz="4" w:space="0" w:color="auto"/>
              <w:right w:val="single" w:sz="4" w:space="0" w:color="auto"/>
            </w:tcBorders>
            <w:shd w:val="clear" w:color="auto" w:fill="auto"/>
            <w:noWrap/>
            <w:vAlign w:val="bottom"/>
            <w:hideMark/>
          </w:tcPr>
          <w:p w14:paraId="519B4F85" w14:textId="77777777" w:rsidR="00993172" w:rsidRPr="008E63BB" w:rsidRDefault="00993172" w:rsidP="0065184D">
            <w:pPr>
              <w:jc w:val="right"/>
              <w:rPr>
                <w:rFonts w:eastAsia="Times New Roman"/>
                <w:sz w:val="24"/>
                <w:szCs w:val="24"/>
              </w:rPr>
            </w:pPr>
            <w:r w:rsidRPr="008E63BB">
              <w:rPr>
                <w:rFonts w:eastAsia="Times New Roman"/>
                <w:sz w:val="24"/>
                <w:szCs w:val="24"/>
              </w:rPr>
              <w:t>58</w:t>
            </w:r>
          </w:p>
        </w:tc>
        <w:tc>
          <w:tcPr>
            <w:tcW w:w="696" w:type="dxa"/>
            <w:tcBorders>
              <w:top w:val="nil"/>
              <w:left w:val="nil"/>
              <w:bottom w:val="single" w:sz="4" w:space="0" w:color="auto"/>
              <w:right w:val="single" w:sz="4" w:space="0" w:color="auto"/>
            </w:tcBorders>
            <w:shd w:val="clear" w:color="auto" w:fill="auto"/>
            <w:noWrap/>
            <w:vAlign w:val="bottom"/>
            <w:hideMark/>
          </w:tcPr>
          <w:p w14:paraId="519B4F86" w14:textId="77777777" w:rsidR="00993172" w:rsidRPr="008E63BB" w:rsidRDefault="00993172" w:rsidP="0065184D">
            <w:pPr>
              <w:jc w:val="right"/>
              <w:rPr>
                <w:rFonts w:eastAsia="Times New Roman"/>
                <w:sz w:val="24"/>
                <w:szCs w:val="24"/>
              </w:rPr>
            </w:pPr>
            <w:r w:rsidRPr="008E63BB">
              <w:rPr>
                <w:rFonts w:eastAsia="Times New Roman"/>
                <w:sz w:val="24"/>
                <w:szCs w:val="24"/>
              </w:rPr>
              <w:t>60,7</w:t>
            </w:r>
          </w:p>
        </w:tc>
      </w:tr>
      <w:tr w:rsidR="008D5BFE" w:rsidRPr="008E63BB" w14:paraId="519B4F9C"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88" w14:textId="77777777" w:rsidR="00993172" w:rsidRPr="008E63BB" w:rsidRDefault="00993172" w:rsidP="0065184D">
            <w:pPr>
              <w:jc w:val="right"/>
              <w:rPr>
                <w:rFonts w:eastAsia="Times New Roman"/>
                <w:sz w:val="24"/>
                <w:szCs w:val="24"/>
              </w:rPr>
            </w:pPr>
            <w:r w:rsidRPr="008E63BB">
              <w:rPr>
                <w:rFonts w:eastAsia="Times New Roman"/>
                <w:sz w:val="24"/>
                <w:szCs w:val="24"/>
              </w:rPr>
              <w:t>6</w:t>
            </w:r>
          </w:p>
        </w:tc>
        <w:tc>
          <w:tcPr>
            <w:tcW w:w="2467" w:type="dxa"/>
            <w:tcBorders>
              <w:top w:val="nil"/>
              <w:left w:val="nil"/>
              <w:bottom w:val="single" w:sz="4" w:space="0" w:color="auto"/>
              <w:right w:val="single" w:sz="4" w:space="0" w:color="auto"/>
            </w:tcBorders>
            <w:shd w:val="clear" w:color="auto" w:fill="auto"/>
            <w:noWrap/>
            <w:vAlign w:val="bottom"/>
            <w:hideMark/>
          </w:tcPr>
          <w:p w14:paraId="519B4F89" w14:textId="77777777" w:rsidR="00993172" w:rsidRPr="008E63BB" w:rsidRDefault="00993172" w:rsidP="0065184D">
            <w:pPr>
              <w:jc w:val="left"/>
              <w:rPr>
                <w:rFonts w:eastAsia="Times New Roman"/>
                <w:sz w:val="24"/>
                <w:szCs w:val="24"/>
              </w:rPr>
            </w:pPr>
            <w:r w:rsidRPr="008E63BB">
              <w:rPr>
                <w:rFonts w:eastAsia="Times New Roman"/>
                <w:sz w:val="24"/>
                <w:szCs w:val="24"/>
              </w:rPr>
              <w:t>Hải Dương</w:t>
            </w:r>
          </w:p>
        </w:tc>
        <w:tc>
          <w:tcPr>
            <w:tcW w:w="683" w:type="dxa"/>
            <w:tcBorders>
              <w:top w:val="nil"/>
              <w:left w:val="nil"/>
              <w:bottom w:val="single" w:sz="4" w:space="0" w:color="auto"/>
              <w:right w:val="single" w:sz="4" w:space="0" w:color="auto"/>
            </w:tcBorders>
            <w:shd w:val="clear" w:color="auto" w:fill="auto"/>
            <w:noWrap/>
            <w:vAlign w:val="bottom"/>
            <w:hideMark/>
          </w:tcPr>
          <w:p w14:paraId="519B4F8A" w14:textId="77777777" w:rsidR="00993172" w:rsidRPr="008E63BB" w:rsidRDefault="00993172" w:rsidP="0065184D">
            <w:pPr>
              <w:jc w:val="right"/>
              <w:rPr>
                <w:rFonts w:eastAsia="Times New Roman"/>
                <w:sz w:val="24"/>
                <w:szCs w:val="24"/>
              </w:rPr>
            </w:pPr>
            <w:r w:rsidRPr="008E63BB">
              <w:rPr>
                <w:rFonts w:eastAsia="Times New Roman"/>
                <w:sz w:val="24"/>
                <w:szCs w:val="24"/>
              </w:rPr>
              <w:t>35</w:t>
            </w:r>
          </w:p>
        </w:tc>
        <w:tc>
          <w:tcPr>
            <w:tcW w:w="696" w:type="dxa"/>
            <w:tcBorders>
              <w:top w:val="nil"/>
              <w:left w:val="nil"/>
              <w:bottom w:val="single" w:sz="4" w:space="0" w:color="auto"/>
              <w:right w:val="single" w:sz="4" w:space="0" w:color="auto"/>
            </w:tcBorders>
            <w:shd w:val="clear" w:color="auto" w:fill="auto"/>
            <w:noWrap/>
            <w:vAlign w:val="bottom"/>
            <w:hideMark/>
          </w:tcPr>
          <w:p w14:paraId="519B4F8B" w14:textId="77777777" w:rsidR="00993172" w:rsidRPr="008E63BB" w:rsidRDefault="00993172" w:rsidP="0065184D">
            <w:pPr>
              <w:jc w:val="right"/>
              <w:rPr>
                <w:rFonts w:eastAsia="Times New Roman"/>
                <w:sz w:val="24"/>
                <w:szCs w:val="24"/>
              </w:rPr>
            </w:pPr>
            <w:r w:rsidRPr="008E63BB">
              <w:rPr>
                <w:rFonts w:eastAsia="Times New Roman"/>
                <w:sz w:val="24"/>
                <w:szCs w:val="24"/>
              </w:rPr>
              <w:t>57,5</w:t>
            </w:r>
          </w:p>
        </w:tc>
        <w:tc>
          <w:tcPr>
            <w:tcW w:w="683" w:type="dxa"/>
            <w:tcBorders>
              <w:top w:val="nil"/>
              <w:left w:val="nil"/>
              <w:bottom w:val="single" w:sz="4" w:space="0" w:color="auto"/>
              <w:right w:val="single" w:sz="4" w:space="0" w:color="auto"/>
            </w:tcBorders>
            <w:shd w:val="clear" w:color="auto" w:fill="auto"/>
            <w:noWrap/>
            <w:vAlign w:val="bottom"/>
            <w:hideMark/>
          </w:tcPr>
          <w:p w14:paraId="519B4F8C" w14:textId="77777777" w:rsidR="00993172" w:rsidRPr="008E63BB" w:rsidRDefault="00993172" w:rsidP="0065184D">
            <w:pPr>
              <w:jc w:val="right"/>
              <w:rPr>
                <w:rFonts w:eastAsia="Times New Roman"/>
                <w:sz w:val="24"/>
                <w:szCs w:val="24"/>
              </w:rPr>
            </w:pPr>
            <w:r w:rsidRPr="008E63BB">
              <w:rPr>
                <w:rFonts w:eastAsia="Times New Roman"/>
                <w:sz w:val="24"/>
                <w:szCs w:val="24"/>
              </w:rPr>
              <w:t>35</w:t>
            </w:r>
          </w:p>
        </w:tc>
        <w:tc>
          <w:tcPr>
            <w:tcW w:w="696" w:type="dxa"/>
            <w:tcBorders>
              <w:top w:val="nil"/>
              <w:left w:val="nil"/>
              <w:bottom w:val="single" w:sz="4" w:space="0" w:color="auto"/>
              <w:right w:val="single" w:sz="4" w:space="0" w:color="auto"/>
            </w:tcBorders>
            <w:shd w:val="clear" w:color="auto" w:fill="auto"/>
            <w:noWrap/>
            <w:vAlign w:val="bottom"/>
            <w:hideMark/>
          </w:tcPr>
          <w:p w14:paraId="519B4F8D" w14:textId="77777777" w:rsidR="00993172" w:rsidRPr="008E63BB" w:rsidRDefault="00993172" w:rsidP="0065184D">
            <w:pPr>
              <w:jc w:val="right"/>
              <w:rPr>
                <w:rFonts w:eastAsia="Times New Roman"/>
                <w:sz w:val="24"/>
                <w:szCs w:val="24"/>
              </w:rPr>
            </w:pPr>
            <w:r w:rsidRPr="008E63BB">
              <w:rPr>
                <w:rFonts w:eastAsia="Times New Roman"/>
                <w:sz w:val="24"/>
                <w:szCs w:val="24"/>
              </w:rPr>
              <w:t>58,4</w:t>
            </w:r>
          </w:p>
        </w:tc>
        <w:tc>
          <w:tcPr>
            <w:tcW w:w="683" w:type="dxa"/>
            <w:tcBorders>
              <w:top w:val="nil"/>
              <w:left w:val="nil"/>
              <w:bottom w:val="single" w:sz="4" w:space="0" w:color="auto"/>
              <w:right w:val="single" w:sz="4" w:space="0" w:color="auto"/>
            </w:tcBorders>
            <w:shd w:val="clear" w:color="auto" w:fill="auto"/>
            <w:noWrap/>
            <w:vAlign w:val="bottom"/>
            <w:hideMark/>
          </w:tcPr>
          <w:p w14:paraId="519B4F8E" w14:textId="77777777" w:rsidR="00993172" w:rsidRPr="008E63BB" w:rsidRDefault="00993172" w:rsidP="0065184D">
            <w:pPr>
              <w:jc w:val="right"/>
              <w:rPr>
                <w:rFonts w:eastAsia="Times New Roman"/>
                <w:sz w:val="24"/>
                <w:szCs w:val="24"/>
              </w:rPr>
            </w:pPr>
            <w:r w:rsidRPr="008E63BB">
              <w:rPr>
                <w:rFonts w:eastAsia="Times New Roman"/>
                <w:sz w:val="24"/>
                <w:szCs w:val="24"/>
              </w:rPr>
              <w:t>33</w:t>
            </w:r>
          </w:p>
        </w:tc>
        <w:tc>
          <w:tcPr>
            <w:tcW w:w="696" w:type="dxa"/>
            <w:tcBorders>
              <w:top w:val="nil"/>
              <w:left w:val="nil"/>
              <w:bottom w:val="single" w:sz="4" w:space="0" w:color="auto"/>
              <w:right w:val="single" w:sz="4" w:space="0" w:color="auto"/>
            </w:tcBorders>
            <w:shd w:val="clear" w:color="auto" w:fill="auto"/>
            <w:noWrap/>
            <w:vAlign w:val="bottom"/>
            <w:hideMark/>
          </w:tcPr>
          <w:p w14:paraId="519B4F8F" w14:textId="77777777" w:rsidR="00993172" w:rsidRPr="008E63BB" w:rsidRDefault="00993172" w:rsidP="0065184D">
            <w:pPr>
              <w:jc w:val="right"/>
              <w:rPr>
                <w:rFonts w:eastAsia="Times New Roman"/>
                <w:sz w:val="24"/>
                <w:szCs w:val="24"/>
              </w:rPr>
            </w:pPr>
            <w:r w:rsidRPr="008E63BB">
              <w:rPr>
                <w:rFonts w:eastAsia="Times New Roman"/>
                <w:sz w:val="24"/>
                <w:szCs w:val="24"/>
              </w:rPr>
              <w:t>56,3</w:t>
            </w:r>
          </w:p>
        </w:tc>
        <w:tc>
          <w:tcPr>
            <w:tcW w:w="683" w:type="dxa"/>
            <w:tcBorders>
              <w:top w:val="nil"/>
              <w:left w:val="nil"/>
              <w:bottom w:val="single" w:sz="4" w:space="0" w:color="auto"/>
              <w:right w:val="single" w:sz="4" w:space="0" w:color="auto"/>
            </w:tcBorders>
            <w:shd w:val="clear" w:color="auto" w:fill="auto"/>
            <w:noWrap/>
            <w:vAlign w:val="bottom"/>
            <w:hideMark/>
          </w:tcPr>
          <w:p w14:paraId="519B4F90" w14:textId="77777777" w:rsidR="00993172" w:rsidRPr="008E63BB" w:rsidRDefault="00993172" w:rsidP="0065184D">
            <w:pPr>
              <w:jc w:val="right"/>
              <w:rPr>
                <w:rFonts w:eastAsia="Times New Roman"/>
                <w:sz w:val="24"/>
                <w:szCs w:val="24"/>
              </w:rPr>
            </w:pPr>
            <w:r w:rsidRPr="008E63BB">
              <w:rPr>
                <w:rFonts w:eastAsia="Times New Roman"/>
                <w:sz w:val="24"/>
                <w:szCs w:val="24"/>
              </w:rPr>
              <w:t>41</w:t>
            </w:r>
          </w:p>
        </w:tc>
        <w:tc>
          <w:tcPr>
            <w:tcW w:w="708" w:type="dxa"/>
            <w:tcBorders>
              <w:top w:val="nil"/>
              <w:left w:val="nil"/>
              <w:bottom w:val="single" w:sz="4" w:space="0" w:color="auto"/>
              <w:right w:val="single" w:sz="4" w:space="0" w:color="auto"/>
            </w:tcBorders>
            <w:shd w:val="clear" w:color="auto" w:fill="auto"/>
            <w:noWrap/>
            <w:vAlign w:val="bottom"/>
            <w:hideMark/>
          </w:tcPr>
          <w:p w14:paraId="519B4F91" w14:textId="77777777" w:rsidR="00993172" w:rsidRPr="008E63BB" w:rsidRDefault="00993172" w:rsidP="0065184D">
            <w:pPr>
              <w:jc w:val="right"/>
              <w:rPr>
                <w:rFonts w:eastAsia="Times New Roman"/>
                <w:sz w:val="24"/>
                <w:szCs w:val="24"/>
              </w:rPr>
            </w:pPr>
            <w:r w:rsidRPr="008E63BB">
              <w:rPr>
                <w:rFonts w:eastAsia="Times New Roman"/>
                <w:sz w:val="24"/>
                <w:szCs w:val="24"/>
              </w:rPr>
              <w:t>56,4</w:t>
            </w:r>
          </w:p>
        </w:tc>
        <w:tc>
          <w:tcPr>
            <w:tcW w:w="709" w:type="dxa"/>
            <w:tcBorders>
              <w:top w:val="nil"/>
              <w:left w:val="nil"/>
              <w:bottom w:val="single" w:sz="4" w:space="0" w:color="auto"/>
              <w:right w:val="single" w:sz="4" w:space="0" w:color="auto"/>
            </w:tcBorders>
            <w:shd w:val="clear" w:color="auto" w:fill="auto"/>
            <w:noWrap/>
            <w:vAlign w:val="bottom"/>
            <w:hideMark/>
          </w:tcPr>
          <w:p w14:paraId="519B4F92" w14:textId="77777777" w:rsidR="00993172" w:rsidRPr="008E63BB" w:rsidRDefault="00993172" w:rsidP="0065184D">
            <w:pPr>
              <w:jc w:val="right"/>
              <w:rPr>
                <w:rFonts w:eastAsia="Times New Roman"/>
                <w:sz w:val="24"/>
                <w:szCs w:val="24"/>
              </w:rPr>
            </w:pPr>
            <w:r w:rsidRPr="008E63BB">
              <w:rPr>
                <w:rFonts w:eastAsia="Times New Roman"/>
                <w:sz w:val="24"/>
                <w:szCs w:val="24"/>
              </w:rPr>
              <w:t>31</w:t>
            </w:r>
          </w:p>
        </w:tc>
        <w:tc>
          <w:tcPr>
            <w:tcW w:w="706" w:type="dxa"/>
            <w:tcBorders>
              <w:top w:val="nil"/>
              <w:left w:val="nil"/>
              <w:bottom w:val="single" w:sz="4" w:space="0" w:color="auto"/>
              <w:right w:val="single" w:sz="4" w:space="0" w:color="auto"/>
            </w:tcBorders>
            <w:shd w:val="clear" w:color="auto" w:fill="auto"/>
            <w:noWrap/>
            <w:vAlign w:val="bottom"/>
            <w:hideMark/>
          </w:tcPr>
          <w:p w14:paraId="519B4F93" w14:textId="77777777" w:rsidR="00993172" w:rsidRPr="008E63BB" w:rsidRDefault="00993172" w:rsidP="0065184D">
            <w:pPr>
              <w:jc w:val="right"/>
              <w:rPr>
                <w:rFonts w:eastAsia="Times New Roman"/>
                <w:sz w:val="24"/>
                <w:szCs w:val="24"/>
              </w:rPr>
            </w:pPr>
            <w:r w:rsidRPr="008E63BB">
              <w:rPr>
                <w:rFonts w:eastAsia="Times New Roman"/>
                <w:sz w:val="24"/>
                <w:szCs w:val="24"/>
              </w:rPr>
              <w:t>58,6</w:t>
            </w:r>
          </w:p>
        </w:tc>
        <w:tc>
          <w:tcPr>
            <w:tcW w:w="683" w:type="dxa"/>
            <w:tcBorders>
              <w:top w:val="nil"/>
              <w:left w:val="nil"/>
              <w:bottom w:val="single" w:sz="4" w:space="0" w:color="auto"/>
              <w:right w:val="single" w:sz="4" w:space="0" w:color="auto"/>
            </w:tcBorders>
            <w:shd w:val="clear" w:color="auto" w:fill="auto"/>
            <w:noWrap/>
            <w:vAlign w:val="bottom"/>
            <w:hideMark/>
          </w:tcPr>
          <w:p w14:paraId="519B4F94" w14:textId="77777777" w:rsidR="00993172" w:rsidRPr="008E63BB" w:rsidRDefault="00993172" w:rsidP="0065184D">
            <w:pPr>
              <w:jc w:val="right"/>
              <w:rPr>
                <w:rFonts w:eastAsia="Times New Roman"/>
                <w:sz w:val="24"/>
                <w:szCs w:val="24"/>
              </w:rPr>
            </w:pPr>
            <w:r w:rsidRPr="008E63BB">
              <w:rPr>
                <w:rFonts w:eastAsia="Times New Roman"/>
                <w:sz w:val="24"/>
                <w:szCs w:val="24"/>
              </w:rPr>
              <w:t>34</w:t>
            </w:r>
          </w:p>
        </w:tc>
        <w:tc>
          <w:tcPr>
            <w:tcW w:w="696" w:type="dxa"/>
            <w:tcBorders>
              <w:top w:val="nil"/>
              <w:left w:val="nil"/>
              <w:bottom w:val="single" w:sz="4" w:space="0" w:color="auto"/>
              <w:right w:val="single" w:sz="4" w:space="0" w:color="auto"/>
            </w:tcBorders>
            <w:shd w:val="clear" w:color="auto" w:fill="auto"/>
            <w:noWrap/>
            <w:vAlign w:val="bottom"/>
            <w:hideMark/>
          </w:tcPr>
          <w:p w14:paraId="519B4F95" w14:textId="77777777" w:rsidR="00993172" w:rsidRPr="008E63BB" w:rsidRDefault="00993172" w:rsidP="0065184D">
            <w:pPr>
              <w:jc w:val="right"/>
              <w:rPr>
                <w:rFonts w:eastAsia="Times New Roman"/>
                <w:sz w:val="24"/>
                <w:szCs w:val="24"/>
              </w:rPr>
            </w:pPr>
            <w:r w:rsidRPr="008E63BB">
              <w:rPr>
                <w:rFonts w:eastAsia="Times New Roman"/>
                <w:sz w:val="24"/>
                <w:szCs w:val="24"/>
              </w:rPr>
              <w:t>58,4</w:t>
            </w:r>
          </w:p>
        </w:tc>
        <w:tc>
          <w:tcPr>
            <w:tcW w:w="727" w:type="dxa"/>
            <w:tcBorders>
              <w:top w:val="nil"/>
              <w:left w:val="nil"/>
              <w:bottom w:val="single" w:sz="4" w:space="0" w:color="auto"/>
              <w:right w:val="single" w:sz="4" w:space="0" w:color="auto"/>
            </w:tcBorders>
            <w:shd w:val="clear" w:color="auto" w:fill="auto"/>
            <w:noWrap/>
            <w:vAlign w:val="bottom"/>
            <w:hideMark/>
          </w:tcPr>
          <w:p w14:paraId="519B4F96" w14:textId="77777777" w:rsidR="00993172" w:rsidRPr="008E63BB" w:rsidRDefault="00993172" w:rsidP="0065184D">
            <w:pPr>
              <w:jc w:val="right"/>
              <w:rPr>
                <w:rFonts w:eastAsia="Times New Roman"/>
                <w:sz w:val="24"/>
                <w:szCs w:val="24"/>
              </w:rPr>
            </w:pPr>
            <w:r w:rsidRPr="008E63BB">
              <w:rPr>
                <w:rFonts w:eastAsia="Times New Roman"/>
                <w:sz w:val="24"/>
                <w:szCs w:val="24"/>
              </w:rPr>
              <w:t>36</w:t>
            </w:r>
          </w:p>
        </w:tc>
        <w:tc>
          <w:tcPr>
            <w:tcW w:w="704" w:type="dxa"/>
            <w:tcBorders>
              <w:top w:val="nil"/>
              <w:left w:val="nil"/>
              <w:bottom w:val="single" w:sz="4" w:space="0" w:color="auto"/>
              <w:right w:val="single" w:sz="4" w:space="0" w:color="auto"/>
            </w:tcBorders>
            <w:shd w:val="clear" w:color="auto" w:fill="auto"/>
            <w:noWrap/>
            <w:vAlign w:val="bottom"/>
            <w:hideMark/>
          </w:tcPr>
          <w:p w14:paraId="519B4F97" w14:textId="77777777" w:rsidR="00993172" w:rsidRPr="008E63BB" w:rsidRDefault="00993172" w:rsidP="0065184D">
            <w:pPr>
              <w:jc w:val="right"/>
              <w:rPr>
                <w:rFonts w:eastAsia="Times New Roman"/>
                <w:sz w:val="24"/>
                <w:szCs w:val="24"/>
              </w:rPr>
            </w:pPr>
            <w:r w:rsidRPr="008E63BB">
              <w:rPr>
                <w:rFonts w:eastAsia="Times New Roman"/>
                <w:sz w:val="24"/>
                <w:szCs w:val="24"/>
              </w:rPr>
              <w:t>58,0</w:t>
            </w:r>
          </w:p>
        </w:tc>
        <w:tc>
          <w:tcPr>
            <w:tcW w:w="683" w:type="dxa"/>
            <w:tcBorders>
              <w:top w:val="nil"/>
              <w:left w:val="nil"/>
              <w:bottom w:val="single" w:sz="4" w:space="0" w:color="auto"/>
              <w:right w:val="single" w:sz="4" w:space="0" w:color="auto"/>
            </w:tcBorders>
            <w:shd w:val="clear" w:color="auto" w:fill="auto"/>
            <w:noWrap/>
            <w:vAlign w:val="bottom"/>
            <w:hideMark/>
          </w:tcPr>
          <w:p w14:paraId="519B4F98" w14:textId="77777777" w:rsidR="00993172" w:rsidRPr="008E63BB" w:rsidRDefault="00993172" w:rsidP="0065184D">
            <w:pPr>
              <w:jc w:val="right"/>
              <w:rPr>
                <w:rFonts w:eastAsia="Times New Roman"/>
                <w:sz w:val="24"/>
                <w:szCs w:val="24"/>
              </w:rPr>
            </w:pPr>
            <w:r w:rsidRPr="008E63BB">
              <w:rPr>
                <w:rFonts w:eastAsia="Times New Roman"/>
                <w:sz w:val="24"/>
                <w:szCs w:val="24"/>
              </w:rPr>
              <w:t>49</w:t>
            </w:r>
          </w:p>
        </w:tc>
        <w:tc>
          <w:tcPr>
            <w:tcW w:w="704" w:type="dxa"/>
            <w:tcBorders>
              <w:top w:val="nil"/>
              <w:left w:val="nil"/>
              <w:bottom w:val="single" w:sz="4" w:space="0" w:color="auto"/>
              <w:right w:val="single" w:sz="4" w:space="0" w:color="auto"/>
            </w:tcBorders>
            <w:shd w:val="clear" w:color="auto" w:fill="auto"/>
            <w:noWrap/>
            <w:vAlign w:val="bottom"/>
            <w:hideMark/>
          </w:tcPr>
          <w:p w14:paraId="519B4F99" w14:textId="77777777" w:rsidR="00993172" w:rsidRPr="008E63BB" w:rsidRDefault="00993172" w:rsidP="0065184D">
            <w:pPr>
              <w:jc w:val="right"/>
              <w:rPr>
                <w:rFonts w:eastAsia="Times New Roman"/>
                <w:sz w:val="24"/>
                <w:szCs w:val="24"/>
              </w:rPr>
            </w:pPr>
            <w:r w:rsidRPr="008E63BB">
              <w:rPr>
                <w:rFonts w:eastAsia="Times New Roman"/>
                <w:sz w:val="24"/>
                <w:szCs w:val="24"/>
              </w:rPr>
              <w:t>60,4</w:t>
            </w:r>
          </w:p>
        </w:tc>
        <w:tc>
          <w:tcPr>
            <w:tcW w:w="744" w:type="dxa"/>
            <w:tcBorders>
              <w:top w:val="nil"/>
              <w:left w:val="nil"/>
              <w:bottom w:val="single" w:sz="4" w:space="0" w:color="auto"/>
              <w:right w:val="single" w:sz="4" w:space="0" w:color="auto"/>
            </w:tcBorders>
            <w:shd w:val="clear" w:color="auto" w:fill="auto"/>
            <w:noWrap/>
            <w:vAlign w:val="bottom"/>
            <w:hideMark/>
          </w:tcPr>
          <w:p w14:paraId="519B4F9A" w14:textId="77777777" w:rsidR="00993172" w:rsidRPr="008E63BB" w:rsidRDefault="00993172" w:rsidP="0065184D">
            <w:pPr>
              <w:jc w:val="right"/>
              <w:rPr>
                <w:rFonts w:eastAsia="Times New Roman"/>
                <w:sz w:val="24"/>
                <w:szCs w:val="24"/>
              </w:rPr>
            </w:pPr>
            <w:r w:rsidRPr="008E63BB">
              <w:rPr>
                <w:rFonts w:eastAsia="Times New Roman"/>
                <w:sz w:val="24"/>
                <w:szCs w:val="24"/>
              </w:rPr>
              <w:t>55</w:t>
            </w:r>
          </w:p>
        </w:tc>
        <w:tc>
          <w:tcPr>
            <w:tcW w:w="696" w:type="dxa"/>
            <w:tcBorders>
              <w:top w:val="nil"/>
              <w:left w:val="nil"/>
              <w:bottom w:val="single" w:sz="4" w:space="0" w:color="auto"/>
              <w:right w:val="single" w:sz="4" w:space="0" w:color="auto"/>
            </w:tcBorders>
            <w:shd w:val="clear" w:color="auto" w:fill="auto"/>
            <w:noWrap/>
            <w:vAlign w:val="bottom"/>
            <w:hideMark/>
          </w:tcPr>
          <w:p w14:paraId="519B4F9B" w14:textId="77777777" w:rsidR="00993172" w:rsidRPr="008E63BB" w:rsidRDefault="00993172" w:rsidP="0065184D">
            <w:pPr>
              <w:jc w:val="right"/>
              <w:rPr>
                <w:rFonts w:eastAsia="Times New Roman"/>
                <w:sz w:val="24"/>
                <w:szCs w:val="24"/>
              </w:rPr>
            </w:pPr>
            <w:r w:rsidRPr="008E63BB">
              <w:rPr>
                <w:rFonts w:eastAsia="Times New Roman"/>
                <w:sz w:val="24"/>
                <w:szCs w:val="24"/>
              </w:rPr>
              <w:t>61,0</w:t>
            </w:r>
          </w:p>
        </w:tc>
      </w:tr>
      <w:tr w:rsidR="008D5BFE" w:rsidRPr="008E63BB" w14:paraId="519B4FB1"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9D" w14:textId="77777777" w:rsidR="00993172" w:rsidRPr="008E63BB" w:rsidRDefault="00993172" w:rsidP="0065184D">
            <w:pPr>
              <w:jc w:val="right"/>
              <w:rPr>
                <w:rFonts w:eastAsia="Times New Roman"/>
                <w:sz w:val="24"/>
                <w:szCs w:val="24"/>
              </w:rPr>
            </w:pPr>
            <w:r w:rsidRPr="008E63BB">
              <w:rPr>
                <w:rFonts w:eastAsia="Times New Roman"/>
                <w:sz w:val="24"/>
                <w:szCs w:val="24"/>
              </w:rPr>
              <w:t>7</w:t>
            </w:r>
          </w:p>
        </w:tc>
        <w:tc>
          <w:tcPr>
            <w:tcW w:w="2467" w:type="dxa"/>
            <w:tcBorders>
              <w:top w:val="nil"/>
              <w:left w:val="nil"/>
              <w:bottom w:val="single" w:sz="4" w:space="0" w:color="auto"/>
              <w:right w:val="single" w:sz="4" w:space="0" w:color="auto"/>
            </w:tcBorders>
            <w:shd w:val="clear" w:color="auto" w:fill="auto"/>
            <w:noWrap/>
            <w:vAlign w:val="bottom"/>
            <w:hideMark/>
          </w:tcPr>
          <w:p w14:paraId="519B4F9E" w14:textId="77777777" w:rsidR="00993172" w:rsidRPr="008E63BB" w:rsidRDefault="00993172" w:rsidP="0065184D">
            <w:pPr>
              <w:jc w:val="left"/>
              <w:rPr>
                <w:rFonts w:eastAsia="Times New Roman"/>
                <w:sz w:val="24"/>
                <w:szCs w:val="24"/>
              </w:rPr>
            </w:pPr>
            <w:r w:rsidRPr="008E63BB">
              <w:rPr>
                <w:rFonts w:eastAsia="Times New Roman"/>
                <w:sz w:val="24"/>
                <w:szCs w:val="24"/>
              </w:rPr>
              <w:t>Hà Nội</w:t>
            </w:r>
          </w:p>
        </w:tc>
        <w:tc>
          <w:tcPr>
            <w:tcW w:w="683" w:type="dxa"/>
            <w:tcBorders>
              <w:top w:val="nil"/>
              <w:left w:val="nil"/>
              <w:bottom w:val="single" w:sz="4" w:space="0" w:color="auto"/>
              <w:right w:val="single" w:sz="4" w:space="0" w:color="auto"/>
            </w:tcBorders>
            <w:shd w:val="clear" w:color="auto" w:fill="auto"/>
            <w:noWrap/>
            <w:vAlign w:val="bottom"/>
            <w:hideMark/>
          </w:tcPr>
          <w:p w14:paraId="519B4F9F" w14:textId="77777777" w:rsidR="00993172" w:rsidRPr="008E63BB" w:rsidRDefault="00993172" w:rsidP="0065184D">
            <w:pPr>
              <w:jc w:val="right"/>
              <w:rPr>
                <w:rFonts w:eastAsia="Times New Roman"/>
                <w:sz w:val="24"/>
                <w:szCs w:val="24"/>
              </w:rPr>
            </w:pPr>
            <w:r w:rsidRPr="008E63BB">
              <w:rPr>
                <w:rFonts w:eastAsia="Times New Roman"/>
                <w:sz w:val="24"/>
                <w:szCs w:val="24"/>
              </w:rPr>
              <w:t>43</w:t>
            </w:r>
          </w:p>
        </w:tc>
        <w:tc>
          <w:tcPr>
            <w:tcW w:w="696" w:type="dxa"/>
            <w:tcBorders>
              <w:top w:val="nil"/>
              <w:left w:val="nil"/>
              <w:bottom w:val="single" w:sz="4" w:space="0" w:color="auto"/>
              <w:right w:val="single" w:sz="4" w:space="0" w:color="auto"/>
            </w:tcBorders>
            <w:shd w:val="clear" w:color="auto" w:fill="auto"/>
            <w:noWrap/>
            <w:vAlign w:val="bottom"/>
            <w:hideMark/>
          </w:tcPr>
          <w:p w14:paraId="519B4FA0" w14:textId="77777777" w:rsidR="00993172" w:rsidRPr="008E63BB" w:rsidRDefault="00993172" w:rsidP="0065184D">
            <w:pPr>
              <w:jc w:val="right"/>
              <w:rPr>
                <w:rFonts w:eastAsia="Times New Roman"/>
                <w:sz w:val="24"/>
                <w:szCs w:val="24"/>
              </w:rPr>
            </w:pPr>
            <w:r w:rsidRPr="008E63BB">
              <w:rPr>
                <w:rFonts w:eastAsia="Times New Roman"/>
                <w:sz w:val="24"/>
                <w:szCs w:val="24"/>
              </w:rPr>
              <w:t>55,7</w:t>
            </w:r>
          </w:p>
        </w:tc>
        <w:tc>
          <w:tcPr>
            <w:tcW w:w="683" w:type="dxa"/>
            <w:tcBorders>
              <w:top w:val="nil"/>
              <w:left w:val="nil"/>
              <w:bottom w:val="single" w:sz="4" w:space="0" w:color="auto"/>
              <w:right w:val="single" w:sz="4" w:space="0" w:color="auto"/>
            </w:tcBorders>
            <w:shd w:val="clear" w:color="auto" w:fill="auto"/>
            <w:noWrap/>
            <w:vAlign w:val="bottom"/>
            <w:hideMark/>
          </w:tcPr>
          <w:p w14:paraId="519B4FA1" w14:textId="77777777" w:rsidR="00993172" w:rsidRPr="008E63BB" w:rsidRDefault="00993172" w:rsidP="0065184D">
            <w:pPr>
              <w:jc w:val="right"/>
              <w:rPr>
                <w:rFonts w:eastAsia="Times New Roman"/>
                <w:sz w:val="24"/>
                <w:szCs w:val="24"/>
              </w:rPr>
            </w:pPr>
            <w:r w:rsidRPr="008E63BB">
              <w:rPr>
                <w:rFonts w:eastAsia="Times New Roman"/>
                <w:sz w:val="24"/>
                <w:szCs w:val="24"/>
              </w:rPr>
              <w:t>43</w:t>
            </w:r>
          </w:p>
        </w:tc>
        <w:tc>
          <w:tcPr>
            <w:tcW w:w="696" w:type="dxa"/>
            <w:tcBorders>
              <w:top w:val="nil"/>
              <w:left w:val="nil"/>
              <w:bottom w:val="single" w:sz="4" w:space="0" w:color="auto"/>
              <w:right w:val="single" w:sz="4" w:space="0" w:color="auto"/>
            </w:tcBorders>
            <w:shd w:val="clear" w:color="auto" w:fill="auto"/>
            <w:noWrap/>
            <w:vAlign w:val="bottom"/>
            <w:hideMark/>
          </w:tcPr>
          <w:p w14:paraId="519B4FA2" w14:textId="77777777" w:rsidR="00993172" w:rsidRPr="008E63BB" w:rsidRDefault="00993172" w:rsidP="0065184D">
            <w:pPr>
              <w:jc w:val="right"/>
              <w:rPr>
                <w:rFonts w:eastAsia="Times New Roman"/>
                <w:sz w:val="24"/>
                <w:szCs w:val="24"/>
              </w:rPr>
            </w:pPr>
            <w:r w:rsidRPr="008E63BB">
              <w:rPr>
                <w:rFonts w:eastAsia="Times New Roman"/>
                <w:sz w:val="24"/>
                <w:szCs w:val="24"/>
              </w:rPr>
              <w:t>58,3</w:t>
            </w:r>
          </w:p>
        </w:tc>
        <w:tc>
          <w:tcPr>
            <w:tcW w:w="683" w:type="dxa"/>
            <w:tcBorders>
              <w:top w:val="nil"/>
              <w:left w:val="nil"/>
              <w:bottom w:val="single" w:sz="4" w:space="0" w:color="auto"/>
              <w:right w:val="single" w:sz="4" w:space="0" w:color="auto"/>
            </w:tcBorders>
            <w:shd w:val="clear" w:color="auto" w:fill="auto"/>
            <w:noWrap/>
            <w:vAlign w:val="bottom"/>
            <w:hideMark/>
          </w:tcPr>
          <w:p w14:paraId="519B4FA3" w14:textId="77777777" w:rsidR="00993172" w:rsidRPr="008E63BB" w:rsidRDefault="00993172" w:rsidP="0065184D">
            <w:pPr>
              <w:jc w:val="right"/>
              <w:rPr>
                <w:rFonts w:eastAsia="Times New Roman"/>
                <w:sz w:val="24"/>
                <w:szCs w:val="24"/>
              </w:rPr>
            </w:pPr>
            <w:r w:rsidRPr="008E63BB">
              <w:rPr>
                <w:rFonts w:eastAsia="Times New Roman"/>
                <w:sz w:val="24"/>
                <w:szCs w:val="24"/>
              </w:rPr>
              <w:t>51</w:t>
            </w:r>
          </w:p>
        </w:tc>
        <w:tc>
          <w:tcPr>
            <w:tcW w:w="696" w:type="dxa"/>
            <w:tcBorders>
              <w:top w:val="nil"/>
              <w:left w:val="nil"/>
              <w:bottom w:val="single" w:sz="4" w:space="0" w:color="auto"/>
              <w:right w:val="single" w:sz="4" w:space="0" w:color="auto"/>
            </w:tcBorders>
            <w:shd w:val="clear" w:color="auto" w:fill="auto"/>
            <w:noWrap/>
            <w:vAlign w:val="bottom"/>
            <w:hideMark/>
          </w:tcPr>
          <w:p w14:paraId="519B4FA4" w14:textId="77777777" w:rsidR="00993172" w:rsidRPr="008E63BB" w:rsidRDefault="00993172" w:rsidP="0065184D">
            <w:pPr>
              <w:jc w:val="right"/>
              <w:rPr>
                <w:rFonts w:eastAsia="Times New Roman"/>
                <w:sz w:val="24"/>
                <w:szCs w:val="24"/>
              </w:rPr>
            </w:pPr>
            <w:r w:rsidRPr="008E63BB">
              <w:rPr>
                <w:rFonts w:eastAsia="Times New Roman"/>
                <w:sz w:val="24"/>
                <w:szCs w:val="24"/>
              </w:rPr>
              <w:t>53,4</w:t>
            </w:r>
          </w:p>
        </w:tc>
        <w:tc>
          <w:tcPr>
            <w:tcW w:w="683" w:type="dxa"/>
            <w:tcBorders>
              <w:top w:val="nil"/>
              <w:left w:val="nil"/>
              <w:bottom w:val="single" w:sz="4" w:space="0" w:color="auto"/>
              <w:right w:val="single" w:sz="4" w:space="0" w:color="auto"/>
            </w:tcBorders>
            <w:shd w:val="clear" w:color="auto" w:fill="auto"/>
            <w:noWrap/>
            <w:vAlign w:val="bottom"/>
            <w:hideMark/>
          </w:tcPr>
          <w:p w14:paraId="519B4FA5" w14:textId="77777777" w:rsidR="00993172" w:rsidRPr="008E63BB" w:rsidRDefault="00993172" w:rsidP="0065184D">
            <w:pPr>
              <w:jc w:val="right"/>
              <w:rPr>
                <w:rFonts w:eastAsia="Times New Roman"/>
                <w:sz w:val="24"/>
                <w:szCs w:val="24"/>
              </w:rPr>
            </w:pPr>
            <w:r w:rsidRPr="008E63BB">
              <w:rPr>
                <w:rFonts w:eastAsia="Times New Roman"/>
                <w:sz w:val="24"/>
                <w:szCs w:val="24"/>
              </w:rPr>
              <w:t>33</w:t>
            </w:r>
          </w:p>
        </w:tc>
        <w:tc>
          <w:tcPr>
            <w:tcW w:w="708" w:type="dxa"/>
            <w:tcBorders>
              <w:top w:val="nil"/>
              <w:left w:val="nil"/>
              <w:bottom w:val="single" w:sz="4" w:space="0" w:color="auto"/>
              <w:right w:val="single" w:sz="4" w:space="0" w:color="auto"/>
            </w:tcBorders>
            <w:shd w:val="clear" w:color="auto" w:fill="auto"/>
            <w:noWrap/>
            <w:vAlign w:val="bottom"/>
            <w:hideMark/>
          </w:tcPr>
          <w:p w14:paraId="519B4FA6" w14:textId="77777777" w:rsidR="00993172" w:rsidRPr="008E63BB" w:rsidRDefault="00993172" w:rsidP="0065184D">
            <w:pPr>
              <w:jc w:val="right"/>
              <w:rPr>
                <w:rFonts w:eastAsia="Times New Roman"/>
                <w:sz w:val="24"/>
                <w:szCs w:val="24"/>
              </w:rPr>
            </w:pPr>
            <w:r w:rsidRPr="008E63BB">
              <w:rPr>
                <w:rFonts w:eastAsia="Times New Roman"/>
                <w:sz w:val="24"/>
                <w:szCs w:val="24"/>
              </w:rPr>
              <w:t>57,7</w:t>
            </w:r>
          </w:p>
        </w:tc>
        <w:tc>
          <w:tcPr>
            <w:tcW w:w="709" w:type="dxa"/>
            <w:tcBorders>
              <w:top w:val="nil"/>
              <w:left w:val="nil"/>
              <w:bottom w:val="single" w:sz="4" w:space="0" w:color="auto"/>
              <w:right w:val="single" w:sz="4" w:space="0" w:color="auto"/>
            </w:tcBorders>
            <w:shd w:val="clear" w:color="auto" w:fill="auto"/>
            <w:noWrap/>
            <w:vAlign w:val="bottom"/>
            <w:hideMark/>
          </w:tcPr>
          <w:p w14:paraId="519B4FA7" w14:textId="77777777" w:rsidR="00993172" w:rsidRPr="008E63BB" w:rsidRDefault="00993172" w:rsidP="0065184D">
            <w:pPr>
              <w:jc w:val="right"/>
              <w:rPr>
                <w:rFonts w:eastAsia="Times New Roman"/>
                <w:sz w:val="24"/>
                <w:szCs w:val="24"/>
              </w:rPr>
            </w:pPr>
            <w:r w:rsidRPr="008E63BB">
              <w:rPr>
                <w:rFonts w:eastAsia="Times New Roman"/>
                <w:sz w:val="24"/>
                <w:szCs w:val="24"/>
              </w:rPr>
              <w:t>26</w:t>
            </w:r>
          </w:p>
        </w:tc>
        <w:tc>
          <w:tcPr>
            <w:tcW w:w="706" w:type="dxa"/>
            <w:tcBorders>
              <w:top w:val="nil"/>
              <w:left w:val="nil"/>
              <w:bottom w:val="single" w:sz="4" w:space="0" w:color="auto"/>
              <w:right w:val="single" w:sz="4" w:space="0" w:color="auto"/>
            </w:tcBorders>
            <w:shd w:val="clear" w:color="auto" w:fill="auto"/>
            <w:noWrap/>
            <w:vAlign w:val="bottom"/>
            <w:hideMark/>
          </w:tcPr>
          <w:p w14:paraId="519B4FA8" w14:textId="77777777" w:rsidR="00993172" w:rsidRPr="008E63BB" w:rsidRDefault="00993172" w:rsidP="0065184D">
            <w:pPr>
              <w:jc w:val="right"/>
              <w:rPr>
                <w:rFonts w:eastAsia="Times New Roman"/>
                <w:sz w:val="24"/>
                <w:szCs w:val="24"/>
              </w:rPr>
            </w:pPr>
            <w:r w:rsidRPr="008E63BB">
              <w:rPr>
                <w:rFonts w:eastAsia="Times New Roman"/>
                <w:sz w:val="24"/>
                <w:szCs w:val="24"/>
              </w:rPr>
              <w:t>58,9</w:t>
            </w:r>
          </w:p>
        </w:tc>
        <w:tc>
          <w:tcPr>
            <w:tcW w:w="683" w:type="dxa"/>
            <w:tcBorders>
              <w:top w:val="nil"/>
              <w:left w:val="nil"/>
              <w:bottom w:val="single" w:sz="4" w:space="0" w:color="auto"/>
              <w:right w:val="single" w:sz="4" w:space="0" w:color="auto"/>
            </w:tcBorders>
            <w:shd w:val="clear" w:color="auto" w:fill="auto"/>
            <w:noWrap/>
            <w:vAlign w:val="bottom"/>
            <w:hideMark/>
          </w:tcPr>
          <w:p w14:paraId="519B4FA9" w14:textId="77777777" w:rsidR="00993172" w:rsidRPr="008E63BB" w:rsidRDefault="00993172" w:rsidP="0065184D">
            <w:pPr>
              <w:jc w:val="right"/>
              <w:rPr>
                <w:rFonts w:eastAsia="Times New Roman"/>
                <w:sz w:val="24"/>
                <w:szCs w:val="24"/>
              </w:rPr>
            </w:pPr>
            <w:r w:rsidRPr="008E63BB">
              <w:rPr>
                <w:rFonts w:eastAsia="Times New Roman"/>
                <w:sz w:val="24"/>
                <w:szCs w:val="24"/>
              </w:rPr>
              <w:t>24</w:t>
            </w:r>
          </w:p>
        </w:tc>
        <w:tc>
          <w:tcPr>
            <w:tcW w:w="696" w:type="dxa"/>
            <w:tcBorders>
              <w:top w:val="nil"/>
              <w:left w:val="nil"/>
              <w:bottom w:val="single" w:sz="4" w:space="0" w:color="auto"/>
              <w:right w:val="single" w:sz="4" w:space="0" w:color="auto"/>
            </w:tcBorders>
            <w:shd w:val="clear" w:color="auto" w:fill="auto"/>
            <w:noWrap/>
            <w:vAlign w:val="bottom"/>
            <w:hideMark/>
          </w:tcPr>
          <w:p w14:paraId="519B4FAA" w14:textId="77777777" w:rsidR="00993172" w:rsidRPr="008E63BB" w:rsidRDefault="00993172" w:rsidP="0065184D">
            <w:pPr>
              <w:jc w:val="right"/>
              <w:rPr>
                <w:rFonts w:eastAsia="Times New Roman"/>
                <w:sz w:val="24"/>
                <w:szCs w:val="24"/>
              </w:rPr>
            </w:pPr>
            <w:r w:rsidRPr="008E63BB">
              <w:rPr>
                <w:rFonts w:eastAsia="Times New Roman"/>
                <w:sz w:val="24"/>
                <w:szCs w:val="24"/>
              </w:rPr>
              <w:t>59,0</w:t>
            </w:r>
          </w:p>
        </w:tc>
        <w:tc>
          <w:tcPr>
            <w:tcW w:w="727" w:type="dxa"/>
            <w:tcBorders>
              <w:top w:val="nil"/>
              <w:left w:val="nil"/>
              <w:bottom w:val="single" w:sz="4" w:space="0" w:color="auto"/>
              <w:right w:val="single" w:sz="4" w:space="0" w:color="auto"/>
            </w:tcBorders>
            <w:shd w:val="clear" w:color="auto" w:fill="auto"/>
            <w:noWrap/>
            <w:vAlign w:val="bottom"/>
            <w:hideMark/>
          </w:tcPr>
          <w:p w14:paraId="519B4FAB" w14:textId="77777777" w:rsidR="00993172" w:rsidRPr="008E63BB" w:rsidRDefault="00993172" w:rsidP="0065184D">
            <w:pPr>
              <w:jc w:val="right"/>
              <w:rPr>
                <w:rFonts w:eastAsia="Times New Roman"/>
                <w:sz w:val="24"/>
                <w:szCs w:val="24"/>
              </w:rPr>
            </w:pPr>
            <w:r w:rsidRPr="008E63BB">
              <w:rPr>
                <w:rFonts w:eastAsia="Times New Roman"/>
                <w:sz w:val="24"/>
                <w:szCs w:val="24"/>
              </w:rPr>
              <w:t>14</w:t>
            </w:r>
          </w:p>
        </w:tc>
        <w:tc>
          <w:tcPr>
            <w:tcW w:w="704" w:type="dxa"/>
            <w:tcBorders>
              <w:top w:val="nil"/>
              <w:left w:val="nil"/>
              <w:bottom w:val="single" w:sz="4" w:space="0" w:color="auto"/>
              <w:right w:val="single" w:sz="4" w:space="0" w:color="auto"/>
            </w:tcBorders>
            <w:shd w:val="clear" w:color="auto" w:fill="auto"/>
            <w:noWrap/>
            <w:vAlign w:val="bottom"/>
            <w:hideMark/>
          </w:tcPr>
          <w:p w14:paraId="519B4FAC" w14:textId="77777777" w:rsidR="00993172" w:rsidRPr="008E63BB" w:rsidRDefault="00993172" w:rsidP="0065184D">
            <w:pPr>
              <w:jc w:val="right"/>
              <w:rPr>
                <w:rFonts w:eastAsia="Times New Roman"/>
                <w:sz w:val="24"/>
                <w:szCs w:val="24"/>
              </w:rPr>
            </w:pPr>
            <w:r w:rsidRPr="008E63BB">
              <w:rPr>
                <w:rFonts w:eastAsia="Times New Roman"/>
                <w:sz w:val="24"/>
                <w:szCs w:val="24"/>
              </w:rPr>
              <w:t>60,7</w:t>
            </w:r>
          </w:p>
        </w:tc>
        <w:tc>
          <w:tcPr>
            <w:tcW w:w="683" w:type="dxa"/>
            <w:tcBorders>
              <w:top w:val="nil"/>
              <w:left w:val="nil"/>
              <w:bottom w:val="single" w:sz="4" w:space="0" w:color="auto"/>
              <w:right w:val="single" w:sz="4" w:space="0" w:color="auto"/>
            </w:tcBorders>
            <w:shd w:val="clear" w:color="auto" w:fill="auto"/>
            <w:noWrap/>
            <w:vAlign w:val="bottom"/>
            <w:hideMark/>
          </w:tcPr>
          <w:p w14:paraId="519B4FAD" w14:textId="77777777" w:rsidR="00993172" w:rsidRPr="008E63BB" w:rsidRDefault="00993172" w:rsidP="0065184D">
            <w:pPr>
              <w:jc w:val="right"/>
              <w:rPr>
                <w:rFonts w:eastAsia="Times New Roman"/>
                <w:sz w:val="24"/>
                <w:szCs w:val="24"/>
              </w:rPr>
            </w:pPr>
            <w:r w:rsidRPr="008E63BB">
              <w:rPr>
                <w:rFonts w:eastAsia="Times New Roman"/>
                <w:sz w:val="24"/>
                <w:szCs w:val="24"/>
              </w:rPr>
              <w:t>13</w:t>
            </w:r>
          </w:p>
        </w:tc>
        <w:tc>
          <w:tcPr>
            <w:tcW w:w="704" w:type="dxa"/>
            <w:tcBorders>
              <w:top w:val="nil"/>
              <w:left w:val="nil"/>
              <w:bottom w:val="single" w:sz="4" w:space="0" w:color="auto"/>
              <w:right w:val="single" w:sz="4" w:space="0" w:color="auto"/>
            </w:tcBorders>
            <w:shd w:val="clear" w:color="auto" w:fill="auto"/>
            <w:noWrap/>
            <w:vAlign w:val="bottom"/>
            <w:hideMark/>
          </w:tcPr>
          <w:p w14:paraId="519B4FAE" w14:textId="77777777" w:rsidR="00993172" w:rsidRPr="008E63BB" w:rsidRDefault="00993172" w:rsidP="0065184D">
            <w:pPr>
              <w:jc w:val="right"/>
              <w:rPr>
                <w:rFonts w:eastAsia="Times New Roman"/>
                <w:sz w:val="24"/>
                <w:szCs w:val="24"/>
              </w:rPr>
            </w:pPr>
            <w:r w:rsidRPr="008E63BB">
              <w:rPr>
                <w:rFonts w:eastAsia="Times New Roman"/>
                <w:sz w:val="24"/>
                <w:szCs w:val="24"/>
              </w:rPr>
              <w:t>64,7</w:t>
            </w:r>
          </w:p>
        </w:tc>
        <w:tc>
          <w:tcPr>
            <w:tcW w:w="744" w:type="dxa"/>
            <w:tcBorders>
              <w:top w:val="nil"/>
              <w:left w:val="nil"/>
              <w:bottom w:val="single" w:sz="4" w:space="0" w:color="auto"/>
              <w:right w:val="single" w:sz="4" w:space="0" w:color="auto"/>
            </w:tcBorders>
            <w:shd w:val="clear" w:color="auto" w:fill="auto"/>
            <w:noWrap/>
            <w:vAlign w:val="bottom"/>
            <w:hideMark/>
          </w:tcPr>
          <w:p w14:paraId="519B4FAF" w14:textId="77777777" w:rsidR="00993172" w:rsidRPr="008E63BB" w:rsidRDefault="00993172" w:rsidP="0065184D">
            <w:pPr>
              <w:jc w:val="right"/>
              <w:rPr>
                <w:rFonts w:eastAsia="Times New Roman"/>
                <w:sz w:val="24"/>
                <w:szCs w:val="24"/>
              </w:rPr>
            </w:pPr>
            <w:r w:rsidRPr="008E63BB">
              <w:rPr>
                <w:rFonts w:eastAsia="Times New Roman"/>
                <w:sz w:val="24"/>
                <w:szCs w:val="24"/>
              </w:rPr>
              <w:t>9</w:t>
            </w:r>
          </w:p>
        </w:tc>
        <w:tc>
          <w:tcPr>
            <w:tcW w:w="696" w:type="dxa"/>
            <w:tcBorders>
              <w:top w:val="nil"/>
              <w:left w:val="nil"/>
              <w:bottom w:val="single" w:sz="4" w:space="0" w:color="auto"/>
              <w:right w:val="single" w:sz="4" w:space="0" w:color="auto"/>
            </w:tcBorders>
            <w:shd w:val="clear" w:color="auto" w:fill="auto"/>
            <w:noWrap/>
            <w:vAlign w:val="bottom"/>
            <w:hideMark/>
          </w:tcPr>
          <w:p w14:paraId="519B4FB0" w14:textId="77777777" w:rsidR="00993172" w:rsidRPr="008E63BB" w:rsidRDefault="00993172" w:rsidP="0065184D">
            <w:pPr>
              <w:jc w:val="right"/>
              <w:rPr>
                <w:rFonts w:eastAsia="Times New Roman"/>
                <w:sz w:val="24"/>
                <w:szCs w:val="24"/>
              </w:rPr>
            </w:pPr>
            <w:r w:rsidRPr="008E63BB">
              <w:rPr>
                <w:rFonts w:eastAsia="Times New Roman"/>
                <w:sz w:val="24"/>
                <w:szCs w:val="24"/>
              </w:rPr>
              <w:t>65,4</w:t>
            </w:r>
          </w:p>
        </w:tc>
      </w:tr>
      <w:tr w:rsidR="008D5BFE" w:rsidRPr="008E63BB" w14:paraId="519B4FC6"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B2" w14:textId="77777777" w:rsidR="00993172" w:rsidRPr="008E63BB" w:rsidRDefault="00993172" w:rsidP="0065184D">
            <w:pPr>
              <w:jc w:val="right"/>
              <w:rPr>
                <w:rFonts w:eastAsia="Times New Roman"/>
                <w:sz w:val="24"/>
                <w:szCs w:val="24"/>
              </w:rPr>
            </w:pPr>
            <w:r w:rsidRPr="008E63BB">
              <w:rPr>
                <w:rFonts w:eastAsia="Times New Roman"/>
                <w:sz w:val="24"/>
                <w:szCs w:val="24"/>
              </w:rPr>
              <w:t>8</w:t>
            </w:r>
          </w:p>
        </w:tc>
        <w:tc>
          <w:tcPr>
            <w:tcW w:w="2467" w:type="dxa"/>
            <w:tcBorders>
              <w:top w:val="nil"/>
              <w:left w:val="nil"/>
              <w:bottom w:val="single" w:sz="4" w:space="0" w:color="auto"/>
              <w:right w:val="single" w:sz="4" w:space="0" w:color="auto"/>
            </w:tcBorders>
            <w:shd w:val="clear" w:color="auto" w:fill="auto"/>
            <w:noWrap/>
            <w:vAlign w:val="bottom"/>
            <w:hideMark/>
          </w:tcPr>
          <w:p w14:paraId="519B4FB3" w14:textId="77777777" w:rsidR="00993172" w:rsidRPr="008E63BB" w:rsidRDefault="00993172" w:rsidP="0065184D">
            <w:pPr>
              <w:jc w:val="left"/>
              <w:rPr>
                <w:rFonts w:eastAsia="Times New Roman"/>
                <w:sz w:val="24"/>
                <w:szCs w:val="24"/>
              </w:rPr>
            </w:pPr>
            <w:r w:rsidRPr="008E63BB">
              <w:rPr>
                <w:rFonts w:eastAsia="Times New Roman"/>
                <w:sz w:val="24"/>
                <w:szCs w:val="24"/>
              </w:rPr>
              <w:t>Hà Nam</w:t>
            </w:r>
          </w:p>
        </w:tc>
        <w:tc>
          <w:tcPr>
            <w:tcW w:w="683" w:type="dxa"/>
            <w:tcBorders>
              <w:top w:val="nil"/>
              <w:left w:val="nil"/>
              <w:bottom w:val="single" w:sz="4" w:space="0" w:color="auto"/>
              <w:right w:val="single" w:sz="4" w:space="0" w:color="auto"/>
            </w:tcBorders>
            <w:shd w:val="clear" w:color="auto" w:fill="auto"/>
            <w:noWrap/>
            <w:vAlign w:val="bottom"/>
            <w:hideMark/>
          </w:tcPr>
          <w:p w14:paraId="519B4FB4" w14:textId="77777777" w:rsidR="00993172" w:rsidRPr="008E63BB" w:rsidRDefault="00993172" w:rsidP="0065184D">
            <w:pPr>
              <w:jc w:val="right"/>
              <w:rPr>
                <w:rFonts w:eastAsia="Times New Roman"/>
                <w:sz w:val="24"/>
                <w:szCs w:val="24"/>
              </w:rPr>
            </w:pPr>
            <w:r w:rsidRPr="008E63BB">
              <w:rPr>
                <w:rFonts w:eastAsia="Times New Roman"/>
                <w:sz w:val="24"/>
                <w:szCs w:val="24"/>
              </w:rPr>
              <w:t>56</w:t>
            </w:r>
          </w:p>
        </w:tc>
        <w:tc>
          <w:tcPr>
            <w:tcW w:w="696" w:type="dxa"/>
            <w:tcBorders>
              <w:top w:val="nil"/>
              <w:left w:val="nil"/>
              <w:bottom w:val="single" w:sz="4" w:space="0" w:color="auto"/>
              <w:right w:val="single" w:sz="4" w:space="0" w:color="auto"/>
            </w:tcBorders>
            <w:shd w:val="clear" w:color="auto" w:fill="auto"/>
            <w:noWrap/>
            <w:vAlign w:val="bottom"/>
            <w:hideMark/>
          </w:tcPr>
          <w:p w14:paraId="519B4FB5" w14:textId="77777777" w:rsidR="00993172" w:rsidRPr="008E63BB" w:rsidRDefault="00993172" w:rsidP="0065184D">
            <w:pPr>
              <w:jc w:val="right"/>
              <w:rPr>
                <w:rFonts w:eastAsia="Times New Roman"/>
                <w:sz w:val="24"/>
                <w:szCs w:val="24"/>
              </w:rPr>
            </w:pPr>
            <w:r w:rsidRPr="008E63BB">
              <w:rPr>
                <w:rFonts w:eastAsia="Times New Roman"/>
                <w:sz w:val="24"/>
                <w:szCs w:val="24"/>
              </w:rPr>
              <w:t>52,2</w:t>
            </w:r>
          </w:p>
        </w:tc>
        <w:tc>
          <w:tcPr>
            <w:tcW w:w="683" w:type="dxa"/>
            <w:tcBorders>
              <w:top w:val="nil"/>
              <w:left w:val="nil"/>
              <w:bottom w:val="single" w:sz="4" w:space="0" w:color="auto"/>
              <w:right w:val="single" w:sz="4" w:space="0" w:color="auto"/>
            </w:tcBorders>
            <w:shd w:val="clear" w:color="auto" w:fill="auto"/>
            <w:noWrap/>
            <w:vAlign w:val="bottom"/>
            <w:hideMark/>
          </w:tcPr>
          <w:p w14:paraId="519B4FB6" w14:textId="77777777" w:rsidR="00993172" w:rsidRPr="008E63BB" w:rsidRDefault="00993172" w:rsidP="0065184D">
            <w:pPr>
              <w:jc w:val="right"/>
              <w:rPr>
                <w:rFonts w:eastAsia="Times New Roman"/>
                <w:sz w:val="24"/>
                <w:szCs w:val="24"/>
              </w:rPr>
            </w:pPr>
            <w:r w:rsidRPr="008E63BB">
              <w:rPr>
                <w:rFonts w:eastAsia="Times New Roman"/>
                <w:sz w:val="24"/>
                <w:szCs w:val="24"/>
              </w:rPr>
              <w:t>62</w:t>
            </w:r>
          </w:p>
        </w:tc>
        <w:tc>
          <w:tcPr>
            <w:tcW w:w="696" w:type="dxa"/>
            <w:tcBorders>
              <w:top w:val="nil"/>
              <w:left w:val="nil"/>
              <w:bottom w:val="single" w:sz="4" w:space="0" w:color="auto"/>
              <w:right w:val="single" w:sz="4" w:space="0" w:color="auto"/>
            </w:tcBorders>
            <w:shd w:val="clear" w:color="auto" w:fill="auto"/>
            <w:noWrap/>
            <w:vAlign w:val="bottom"/>
            <w:hideMark/>
          </w:tcPr>
          <w:p w14:paraId="519B4FB7" w14:textId="77777777" w:rsidR="00993172" w:rsidRPr="008E63BB" w:rsidRDefault="00993172" w:rsidP="0065184D">
            <w:pPr>
              <w:jc w:val="right"/>
              <w:rPr>
                <w:rFonts w:eastAsia="Times New Roman"/>
                <w:sz w:val="24"/>
                <w:szCs w:val="24"/>
              </w:rPr>
            </w:pPr>
            <w:r w:rsidRPr="008E63BB">
              <w:rPr>
                <w:rFonts w:eastAsia="Times New Roman"/>
                <w:sz w:val="24"/>
                <w:szCs w:val="24"/>
              </w:rPr>
              <w:t>51,6</w:t>
            </w:r>
          </w:p>
        </w:tc>
        <w:tc>
          <w:tcPr>
            <w:tcW w:w="683" w:type="dxa"/>
            <w:tcBorders>
              <w:top w:val="nil"/>
              <w:left w:val="nil"/>
              <w:bottom w:val="single" w:sz="4" w:space="0" w:color="auto"/>
              <w:right w:val="single" w:sz="4" w:space="0" w:color="auto"/>
            </w:tcBorders>
            <w:shd w:val="clear" w:color="auto" w:fill="auto"/>
            <w:noWrap/>
            <w:vAlign w:val="bottom"/>
            <w:hideMark/>
          </w:tcPr>
          <w:p w14:paraId="519B4FB8" w14:textId="77777777" w:rsidR="00993172" w:rsidRPr="008E63BB" w:rsidRDefault="00993172" w:rsidP="0065184D">
            <w:pPr>
              <w:jc w:val="right"/>
              <w:rPr>
                <w:rFonts w:eastAsia="Times New Roman"/>
                <w:sz w:val="24"/>
                <w:szCs w:val="24"/>
              </w:rPr>
            </w:pPr>
            <w:r w:rsidRPr="008E63BB">
              <w:rPr>
                <w:rFonts w:eastAsia="Times New Roman"/>
                <w:sz w:val="24"/>
                <w:szCs w:val="24"/>
              </w:rPr>
              <w:t>58</w:t>
            </w:r>
          </w:p>
        </w:tc>
        <w:tc>
          <w:tcPr>
            <w:tcW w:w="696" w:type="dxa"/>
            <w:tcBorders>
              <w:top w:val="nil"/>
              <w:left w:val="nil"/>
              <w:bottom w:val="single" w:sz="4" w:space="0" w:color="auto"/>
              <w:right w:val="single" w:sz="4" w:space="0" w:color="auto"/>
            </w:tcBorders>
            <w:shd w:val="clear" w:color="auto" w:fill="auto"/>
            <w:noWrap/>
            <w:vAlign w:val="bottom"/>
            <w:hideMark/>
          </w:tcPr>
          <w:p w14:paraId="519B4FB9" w14:textId="77777777" w:rsidR="00993172" w:rsidRPr="008E63BB" w:rsidRDefault="00993172" w:rsidP="0065184D">
            <w:pPr>
              <w:jc w:val="right"/>
              <w:rPr>
                <w:rFonts w:eastAsia="Times New Roman"/>
                <w:sz w:val="24"/>
                <w:szCs w:val="24"/>
              </w:rPr>
            </w:pPr>
            <w:r w:rsidRPr="008E63BB">
              <w:rPr>
                <w:rFonts w:eastAsia="Times New Roman"/>
                <w:sz w:val="24"/>
                <w:szCs w:val="24"/>
              </w:rPr>
              <w:t>51,9</w:t>
            </w:r>
          </w:p>
        </w:tc>
        <w:tc>
          <w:tcPr>
            <w:tcW w:w="683" w:type="dxa"/>
            <w:tcBorders>
              <w:top w:val="nil"/>
              <w:left w:val="nil"/>
              <w:bottom w:val="single" w:sz="4" w:space="0" w:color="auto"/>
              <w:right w:val="single" w:sz="4" w:space="0" w:color="auto"/>
            </w:tcBorders>
            <w:shd w:val="clear" w:color="auto" w:fill="auto"/>
            <w:noWrap/>
            <w:vAlign w:val="bottom"/>
            <w:hideMark/>
          </w:tcPr>
          <w:p w14:paraId="519B4FBA" w14:textId="77777777" w:rsidR="00993172" w:rsidRPr="008E63BB" w:rsidRDefault="00993172" w:rsidP="0065184D">
            <w:pPr>
              <w:jc w:val="right"/>
              <w:rPr>
                <w:rFonts w:eastAsia="Times New Roman"/>
                <w:sz w:val="24"/>
                <w:szCs w:val="24"/>
              </w:rPr>
            </w:pPr>
            <w:r w:rsidRPr="008E63BB">
              <w:rPr>
                <w:rFonts w:eastAsia="Times New Roman"/>
                <w:sz w:val="24"/>
                <w:szCs w:val="24"/>
              </w:rPr>
              <w:t>32</w:t>
            </w:r>
          </w:p>
        </w:tc>
        <w:tc>
          <w:tcPr>
            <w:tcW w:w="708" w:type="dxa"/>
            <w:tcBorders>
              <w:top w:val="nil"/>
              <w:left w:val="nil"/>
              <w:bottom w:val="single" w:sz="4" w:space="0" w:color="auto"/>
              <w:right w:val="single" w:sz="4" w:space="0" w:color="auto"/>
            </w:tcBorders>
            <w:shd w:val="clear" w:color="auto" w:fill="auto"/>
            <w:noWrap/>
            <w:vAlign w:val="bottom"/>
            <w:hideMark/>
          </w:tcPr>
          <w:p w14:paraId="519B4FBB" w14:textId="77777777" w:rsidR="00993172" w:rsidRPr="008E63BB" w:rsidRDefault="00993172" w:rsidP="0065184D">
            <w:pPr>
              <w:jc w:val="right"/>
              <w:rPr>
                <w:rFonts w:eastAsia="Times New Roman"/>
                <w:sz w:val="24"/>
                <w:szCs w:val="24"/>
              </w:rPr>
            </w:pPr>
            <w:r w:rsidRPr="008E63BB">
              <w:rPr>
                <w:rFonts w:eastAsia="Times New Roman"/>
                <w:sz w:val="24"/>
                <w:szCs w:val="24"/>
              </w:rPr>
              <w:t>57,8</w:t>
            </w:r>
          </w:p>
        </w:tc>
        <w:tc>
          <w:tcPr>
            <w:tcW w:w="709" w:type="dxa"/>
            <w:tcBorders>
              <w:top w:val="nil"/>
              <w:left w:val="nil"/>
              <w:bottom w:val="single" w:sz="4" w:space="0" w:color="auto"/>
              <w:right w:val="single" w:sz="4" w:space="0" w:color="auto"/>
            </w:tcBorders>
            <w:shd w:val="clear" w:color="auto" w:fill="auto"/>
            <w:noWrap/>
            <w:vAlign w:val="bottom"/>
            <w:hideMark/>
          </w:tcPr>
          <w:p w14:paraId="519B4FBC" w14:textId="77777777" w:rsidR="00993172" w:rsidRPr="008E63BB" w:rsidRDefault="00993172" w:rsidP="0065184D">
            <w:pPr>
              <w:jc w:val="right"/>
              <w:rPr>
                <w:rFonts w:eastAsia="Times New Roman"/>
                <w:sz w:val="24"/>
                <w:szCs w:val="24"/>
              </w:rPr>
            </w:pPr>
            <w:r w:rsidRPr="008E63BB">
              <w:rPr>
                <w:rFonts w:eastAsia="Times New Roman"/>
                <w:sz w:val="24"/>
                <w:szCs w:val="24"/>
              </w:rPr>
              <w:t>45</w:t>
            </w:r>
          </w:p>
        </w:tc>
        <w:tc>
          <w:tcPr>
            <w:tcW w:w="706" w:type="dxa"/>
            <w:tcBorders>
              <w:top w:val="nil"/>
              <w:left w:val="nil"/>
              <w:bottom w:val="single" w:sz="4" w:space="0" w:color="auto"/>
              <w:right w:val="single" w:sz="4" w:space="0" w:color="auto"/>
            </w:tcBorders>
            <w:shd w:val="clear" w:color="auto" w:fill="auto"/>
            <w:noWrap/>
            <w:vAlign w:val="bottom"/>
            <w:hideMark/>
          </w:tcPr>
          <w:p w14:paraId="519B4FBD" w14:textId="77777777" w:rsidR="00993172" w:rsidRPr="008E63BB" w:rsidRDefault="00993172" w:rsidP="0065184D">
            <w:pPr>
              <w:jc w:val="right"/>
              <w:rPr>
                <w:rFonts w:eastAsia="Times New Roman"/>
                <w:sz w:val="24"/>
                <w:szCs w:val="24"/>
              </w:rPr>
            </w:pPr>
            <w:r w:rsidRPr="008E63BB">
              <w:rPr>
                <w:rFonts w:eastAsia="Times New Roman"/>
                <w:sz w:val="24"/>
                <w:szCs w:val="24"/>
              </w:rPr>
              <w:t>56,6</w:t>
            </w:r>
          </w:p>
        </w:tc>
        <w:tc>
          <w:tcPr>
            <w:tcW w:w="683" w:type="dxa"/>
            <w:tcBorders>
              <w:top w:val="nil"/>
              <w:left w:val="nil"/>
              <w:bottom w:val="single" w:sz="4" w:space="0" w:color="auto"/>
              <w:right w:val="single" w:sz="4" w:space="0" w:color="auto"/>
            </w:tcBorders>
            <w:shd w:val="clear" w:color="auto" w:fill="auto"/>
            <w:noWrap/>
            <w:vAlign w:val="bottom"/>
            <w:hideMark/>
          </w:tcPr>
          <w:p w14:paraId="519B4FBE" w14:textId="77777777" w:rsidR="00993172" w:rsidRPr="008E63BB" w:rsidRDefault="00993172" w:rsidP="0065184D">
            <w:pPr>
              <w:jc w:val="right"/>
              <w:rPr>
                <w:rFonts w:eastAsia="Times New Roman"/>
                <w:sz w:val="24"/>
                <w:szCs w:val="24"/>
              </w:rPr>
            </w:pPr>
            <w:r w:rsidRPr="008E63BB">
              <w:rPr>
                <w:rFonts w:eastAsia="Times New Roman"/>
                <w:sz w:val="24"/>
                <w:szCs w:val="24"/>
              </w:rPr>
              <w:t>31</w:t>
            </w:r>
          </w:p>
        </w:tc>
        <w:tc>
          <w:tcPr>
            <w:tcW w:w="696" w:type="dxa"/>
            <w:tcBorders>
              <w:top w:val="nil"/>
              <w:left w:val="nil"/>
              <w:bottom w:val="single" w:sz="4" w:space="0" w:color="auto"/>
              <w:right w:val="single" w:sz="4" w:space="0" w:color="auto"/>
            </w:tcBorders>
            <w:shd w:val="clear" w:color="auto" w:fill="auto"/>
            <w:noWrap/>
            <w:vAlign w:val="bottom"/>
            <w:hideMark/>
          </w:tcPr>
          <w:p w14:paraId="519B4FBF" w14:textId="77777777" w:rsidR="00993172" w:rsidRPr="008E63BB" w:rsidRDefault="00993172" w:rsidP="0065184D">
            <w:pPr>
              <w:jc w:val="right"/>
              <w:rPr>
                <w:rFonts w:eastAsia="Times New Roman"/>
                <w:sz w:val="24"/>
                <w:szCs w:val="24"/>
              </w:rPr>
            </w:pPr>
            <w:r w:rsidRPr="008E63BB">
              <w:rPr>
                <w:rFonts w:eastAsia="Times New Roman"/>
                <w:sz w:val="24"/>
                <w:szCs w:val="24"/>
              </w:rPr>
              <w:t>58,5</w:t>
            </w:r>
          </w:p>
        </w:tc>
        <w:tc>
          <w:tcPr>
            <w:tcW w:w="727" w:type="dxa"/>
            <w:tcBorders>
              <w:top w:val="nil"/>
              <w:left w:val="nil"/>
              <w:bottom w:val="single" w:sz="4" w:space="0" w:color="auto"/>
              <w:right w:val="single" w:sz="4" w:space="0" w:color="auto"/>
            </w:tcBorders>
            <w:shd w:val="clear" w:color="auto" w:fill="auto"/>
            <w:noWrap/>
            <w:vAlign w:val="bottom"/>
            <w:hideMark/>
          </w:tcPr>
          <w:p w14:paraId="519B4FC0" w14:textId="77777777" w:rsidR="00993172" w:rsidRPr="008E63BB" w:rsidRDefault="00993172" w:rsidP="0065184D">
            <w:pPr>
              <w:jc w:val="right"/>
              <w:rPr>
                <w:rFonts w:eastAsia="Times New Roman"/>
                <w:sz w:val="24"/>
                <w:szCs w:val="24"/>
              </w:rPr>
            </w:pPr>
            <w:r w:rsidRPr="008E63BB">
              <w:rPr>
                <w:rFonts w:eastAsia="Times New Roman"/>
                <w:sz w:val="24"/>
                <w:szCs w:val="24"/>
              </w:rPr>
              <w:t>35</w:t>
            </w:r>
          </w:p>
        </w:tc>
        <w:tc>
          <w:tcPr>
            <w:tcW w:w="704" w:type="dxa"/>
            <w:tcBorders>
              <w:top w:val="nil"/>
              <w:left w:val="nil"/>
              <w:bottom w:val="single" w:sz="4" w:space="0" w:color="auto"/>
              <w:right w:val="single" w:sz="4" w:space="0" w:color="auto"/>
            </w:tcBorders>
            <w:shd w:val="clear" w:color="auto" w:fill="auto"/>
            <w:noWrap/>
            <w:vAlign w:val="bottom"/>
            <w:hideMark/>
          </w:tcPr>
          <w:p w14:paraId="519B4FC1" w14:textId="77777777" w:rsidR="00993172" w:rsidRPr="008E63BB" w:rsidRDefault="00993172" w:rsidP="0065184D">
            <w:pPr>
              <w:jc w:val="right"/>
              <w:rPr>
                <w:rFonts w:eastAsia="Times New Roman"/>
                <w:sz w:val="24"/>
                <w:szCs w:val="24"/>
              </w:rPr>
            </w:pPr>
            <w:r w:rsidRPr="008E63BB">
              <w:rPr>
                <w:rFonts w:eastAsia="Times New Roman"/>
                <w:sz w:val="24"/>
                <w:szCs w:val="24"/>
              </w:rPr>
              <w:t>58,2</w:t>
            </w:r>
          </w:p>
        </w:tc>
        <w:tc>
          <w:tcPr>
            <w:tcW w:w="683" w:type="dxa"/>
            <w:tcBorders>
              <w:top w:val="nil"/>
              <w:left w:val="nil"/>
              <w:bottom w:val="single" w:sz="4" w:space="0" w:color="auto"/>
              <w:right w:val="single" w:sz="4" w:space="0" w:color="auto"/>
            </w:tcBorders>
            <w:shd w:val="clear" w:color="auto" w:fill="auto"/>
            <w:noWrap/>
            <w:vAlign w:val="bottom"/>
            <w:hideMark/>
          </w:tcPr>
          <w:p w14:paraId="519B4FC2" w14:textId="77777777" w:rsidR="00993172" w:rsidRPr="008E63BB" w:rsidRDefault="00993172" w:rsidP="0065184D">
            <w:pPr>
              <w:jc w:val="right"/>
              <w:rPr>
                <w:rFonts w:eastAsia="Times New Roman"/>
                <w:sz w:val="24"/>
                <w:szCs w:val="24"/>
              </w:rPr>
            </w:pPr>
            <w:r w:rsidRPr="008E63BB">
              <w:rPr>
                <w:rFonts w:eastAsia="Times New Roman"/>
                <w:sz w:val="24"/>
                <w:szCs w:val="24"/>
              </w:rPr>
              <w:t>35</w:t>
            </w:r>
          </w:p>
        </w:tc>
        <w:tc>
          <w:tcPr>
            <w:tcW w:w="704" w:type="dxa"/>
            <w:tcBorders>
              <w:top w:val="nil"/>
              <w:left w:val="nil"/>
              <w:bottom w:val="single" w:sz="4" w:space="0" w:color="auto"/>
              <w:right w:val="single" w:sz="4" w:space="0" w:color="auto"/>
            </w:tcBorders>
            <w:shd w:val="clear" w:color="auto" w:fill="auto"/>
            <w:noWrap/>
            <w:vAlign w:val="bottom"/>
            <w:hideMark/>
          </w:tcPr>
          <w:p w14:paraId="519B4FC3" w14:textId="77777777" w:rsidR="00993172" w:rsidRPr="008E63BB" w:rsidRDefault="00993172" w:rsidP="0065184D">
            <w:pPr>
              <w:jc w:val="right"/>
              <w:rPr>
                <w:rFonts w:eastAsia="Times New Roman"/>
                <w:sz w:val="24"/>
                <w:szCs w:val="24"/>
              </w:rPr>
            </w:pPr>
            <w:r w:rsidRPr="008E63BB">
              <w:rPr>
                <w:rFonts w:eastAsia="Times New Roman"/>
                <w:sz w:val="24"/>
                <w:szCs w:val="24"/>
              </w:rPr>
              <w:t>62,0</w:t>
            </w:r>
          </w:p>
        </w:tc>
        <w:tc>
          <w:tcPr>
            <w:tcW w:w="744" w:type="dxa"/>
            <w:tcBorders>
              <w:top w:val="nil"/>
              <w:left w:val="nil"/>
              <w:bottom w:val="single" w:sz="4" w:space="0" w:color="auto"/>
              <w:right w:val="single" w:sz="4" w:space="0" w:color="auto"/>
            </w:tcBorders>
            <w:shd w:val="clear" w:color="auto" w:fill="auto"/>
            <w:noWrap/>
            <w:vAlign w:val="bottom"/>
            <w:hideMark/>
          </w:tcPr>
          <w:p w14:paraId="519B4FC4" w14:textId="77777777" w:rsidR="00993172" w:rsidRPr="008E63BB" w:rsidRDefault="00993172" w:rsidP="0065184D">
            <w:pPr>
              <w:jc w:val="right"/>
              <w:rPr>
                <w:rFonts w:eastAsia="Times New Roman"/>
                <w:sz w:val="24"/>
                <w:szCs w:val="24"/>
              </w:rPr>
            </w:pPr>
            <w:r w:rsidRPr="008E63BB">
              <w:rPr>
                <w:rFonts w:eastAsia="Times New Roman"/>
                <w:sz w:val="24"/>
                <w:szCs w:val="24"/>
              </w:rPr>
              <w:t>37</w:t>
            </w:r>
          </w:p>
        </w:tc>
        <w:tc>
          <w:tcPr>
            <w:tcW w:w="696" w:type="dxa"/>
            <w:tcBorders>
              <w:top w:val="nil"/>
              <w:left w:val="nil"/>
              <w:bottom w:val="single" w:sz="4" w:space="0" w:color="auto"/>
              <w:right w:val="single" w:sz="4" w:space="0" w:color="auto"/>
            </w:tcBorders>
            <w:shd w:val="clear" w:color="auto" w:fill="auto"/>
            <w:noWrap/>
            <w:vAlign w:val="bottom"/>
            <w:hideMark/>
          </w:tcPr>
          <w:p w14:paraId="519B4FC5" w14:textId="77777777" w:rsidR="00993172" w:rsidRPr="008E63BB" w:rsidRDefault="00993172" w:rsidP="0065184D">
            <w:pPr>
              <w:jc w:val="right"/>
              <w:rPr>
                <w:rFonts w:eastAsia="Times New Roman"/>
                <w:sz w:val="24"/>
                <w:szCs w:val="24"/>
              </w:rPr>
            </w:pPr>
            <w:r w:rsidRPr="008E63BB">
              <w:rPr>
                <w:rFonts w:eastAsia="Times New Roman"/>
                <w:sz w:val="24"/>
                <w:szCs w:val="24"/>
              </w:rPr>
              <w:t>62,8</w:t>
            </w:r>
          </w:p>
        </w:tc>
      </w:tr>
      <w:tr w:rsidR="008D5BFE" w:rsidRPr="008E63BB" w14:paraId="519B4FDB"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C7" w14:textId="77777777" w:rsidR="00993172" w:rsidRPr="008E63BB" w:rsidRDefault="00993172" w:rsidP="0065184D">
            <w:pPr>
              <w:jc w:val="right"/>
              <w:rPr>
                <w:rFonts w:eastAsia="Times New Roman"/>
                <w:sz w:val="24"/>
                <w:szCs w:val="24"/>
              </w:rPr>
            </w:pPr>
            <w:r w:rsidRPr="008E63BB">
              <w:rPr>
                <w:rFonts w:eastAsia="Times New Roman"/>
                <w:sz w:val="24"/>
                <w:szCs w:val="24"/>
              </w:rPr>
              <w:t>9</w:t>
            </w:r>
          </w:p>
        </w:tc>
        <w:tc>
          <w:tcPr>
            <w:tcW w:w="2467" w:type="dxa"/>
            <w:tcBorders>
              <w:top w:val="nil"/>
              <w:left w:val="nil"/>
              <w:bottom w:val="single" w:sz="4" w:space="0" w:color="auto"/>
              <w:right w:val="single" w:sz="4" w:space="0" w:color="auto"/>
            </w:tcBorders>
            <w:shd w:val="clear" w:color="auto" w:fill="auto"/>
            <w:noWrap/>
            <w:vAlign w:val="bottom"/>
            <w:hideMark/>
          </w:tcPr>
          <w:p w14:paraId="519B4FC8" w14:textId="77777777" w:rsidR="00993172" w:rsidRPr="008E63BB" w:rsidRDefault="00993172" w:rsidP="0065184D">
            <w:pPr>
              <w:jc w:val="left"/>
              <w:rPr>
                <w:rFonts w:eastAsia="Times New Roman"/>
                <w:sz w:val="24"/>
                <w:szCs w:val="24"/>
              </w:rPr>
            </w:pPr>
            <w:r w:rsidRPr="008E63BB">
              <w:rPr>
                <w:rFonts w:eastAsia="Times New Roman"/>
                <w:sz w:val="24"/>
                <w:szCs w:val="24"/>
              </w:rPr>
              <w:t>Nam Định</w:t>
            </w:r>
          </w:p>
        </w:tc>
        <w:tc>
          <w:tcPr>
            <w:tcW w:w="683" w:type="dxa"/>
            <w:tcBorders>
              <w:top w:val="nil"/>
              <w:left w:val="nil"/>
              <w:bottom w:val="single" w:sz="4" w:space="0" w:color="auto"/>
              <w:right w:val="single" w:sz="4" w:space="0" w:color="auto"/>
            </w:tcBorders>
            <w:shd w:val="clear" w:color="auto" w:fill="auto"/>
            <w:noWrap/>
            <w:vAlign w:val="bottom"/>
            <w:hideMark/>
          </w:tcPr>
          <w:p w14:paraId="519B4FC9" w14:textId="77777777" w:rsidR="00993172" w:rsidRPr="008E63BB" w:rsidRDefault="00993172" w:rsidP="0065184D">
            <w:pPr>
              <w:jc w:val="right"/>
              <w:rPr>
                <w:rFonts w:eastAsia="Times New Roman"/>
                <w:sz w:val="24"/>
                <w:szCs w:val="24"/>
              </w:rPr>
            </w:pPr>
            <w:r w:rsidRPr="008E63BB">
              <w:rPr>
                <w:rFonts w:eastAsia="Times New Roman"/>
                <w:sz w:val="24"/>
                <w:szCs w:val="24"/>
              </w:rPr>
              <w:t>45</w:t>
            </w:r>
          </w:p>
        </w:tc>
        <w:tc>
          <w:tcPr>
            <w:tcW w:w="696" w:type="dxa"/>
            <w:tcBorders>
              <w:top w:val="nil"/>
              <w:left w:val="nil"/>
              <w:bottom w:val="single" w:sz="4" w:space="0" w:color="auto"/>
              <w:right w:val="single" w:sz="4" w:space="0" w:color="auto"/>
            </w:tcBorders>
            <w:shd w:val="clear" w:color="auto" w:fill="auto"/>
            <w:noWrap/>
            <w:vAlign w:val="bottom"/>
            <w:hideMark/>
          </w:tcPr>
          <w:p w14:paraId="519B4FCA" w14:textId="77777777" w:rsidR="00993172" w:rsidRPr="008E63BB" w:rsidRDefault="00993172" w:rsidP="0065184D">
            <w:pPr>
              <w:jc w:val="right"/>
              <w:rPr>
                <w:rFonts w:eastAsia="Times New Roman"/>
                <w:sz w:val="24"/>
                <w:szCs w:val="24"/>
              </w:rPr>
            </w:pPr>
            <w:r w:rsidRPr="008E63BB">
              <w:rPr>
                <w:rFonts w:eastAsia="Times New Roman"/>
                <w:sz w:val="24"/>
                <w:szCs w:val="24"/>
              </w:rPr>
              <w:t>55,6</w:t>
            </w:r>
          </w:p>
        </w:tc>
        <w:tc>
          <w:tcPr>
            <w:tcW w:w="683" w:type="dxa"/>
            <w:tcBorders>
              <w:top w:val="nil"/>
              <w:left w:val="nil"/>
              <w:bottom w:val="single" w:sz="4" w:space="0" w:color="auto"/>
              <w:right w:val="single" w:sz="4" w:space="0" w:color="auto"/>
            </w:tcBorders>
            <w:shd w:val="clear" w:color="auto" w:fill="auto"/>
            <w:noWrap/>
            <w:vAlign w:val="bottom"/>
            <w:hideMark/>
          </w:tcPr>
          <w:p w14:paraId="519B4FCB" w14:textId="77777777" w:rsidR="00993172" w:rsidRPr="008E63BB" w:rsidRDefault="00993172" w:rsidP="0065184D">
            <w:pPr>
              <w:jc w:val="right"/>
              <w:rPr>
                <w:rFonts w:eastAsia="Times New Roman"/>
                <w:sz w:val="24"/>
                <w:szCs w:val="24"/>
              </w:rPr>
            </w:pPr>
            <w:r w:rsidRPr="008E63BB">
              <w:rPr>
                <w:rFonts w:eastAsia="Times New Roman"/>
                <w:sz w:val="24"/>
                <w:szCs w:val="24"/>
              </w:rPr>
              <w:t>48</w:t>
            </w:r>
          </w:p>
        </w:tc>
        <w:tc>
          <w:tcPr>
            <w:tcW w:w="696" w:type="dxa"/>
            <w:tcBorders>
              <w:top w:val="nil"/>
              <w:left w:val="nil"/>
              <w:bottom w:val="single" w:sz="4" w:space="0" w:color="auto"/>
              <w:right w:val="single" w:sz="4" w:space="0" w:color="auto"/>
            </w:tcBorders>
            <w:shd w:val="clear" w:color="auto" w:fill="auto"/>
            <w:noWrap/>
            <w:vAlign w:val="bottom"/>
            <w:hideMark/>
          </w:tcPr>
          <w:p w14:paraId="519B4FCC" w14:textId="77777777" w:rsidR="00993172" w:rsidRPr="008E63BB" w:rsidRDefault="00993172" w:rsidP="0065184D">
            <w:pPr>
              <w:jc w:val="right"/>
              <w:rPr>
                <w:rFonts w:eastAsia="Times New Roman"/>
                <w:sz w:val="24"/>
                <w:szCs w:val="24"/>
              </w:rPr>
            </w:pPr>
            <w:r w:rsidRPr="008E63BB">
              <w:rPr>
                <w:rFonts w:eastAsia="Times New Roman"/>
                <w:sz w:val="24"/>
                <w:szCs w:val="24"/>
              </w:rPr>
              <w:t>55,5</w:t>
            </w:r>
          </w:p>
        </w:tc>
        <w:tc>
          <w:tcPr>
            <w:tcW w:w="683" w:type="dxa"/>
            <w:tcBorders>
              <w:top w:val="nil"/>
              <w:left w:val="nil"/>
              <w:bottom w:val="single" w:sz="4" w:space="0" w:color="auto"/>
              <w:right w:val="single" w:sz="4" w:space="0" w:color="auto"/>
            </w:tcBorders>
            <w:shd w:val="clear" w:color="auto" w:fill="auto"/>
            <w:noWrap/>
            <w:vAlign w:val="bottom"/>
            <w:hideMark/>
          </w:tcPr>
          <w:p w14:paraId="519B4FCD" w14:textId="77777777" w:rsidR="00993172" w:rsidRPr="008E63BB" w:rsidRDefault="00993172" w:rsidP="0065184D">
            <w:pPr>
              <w:jc w:val="right"/>
              <w:rPr>
                <w:rFonts w:eastAsia="Times New Roman"/>
                <w:sz w:val="24"/>
                <w:szCs w:val="24"/>
              </w:rPr>
            </w:pPr>
            <w:r w:rsidRPr="008E63BB">
              <w:rPr>
                <w:rFonts w:eastAsia="Times New Roman"/>
                <w:sz w:val="24"/>
                <w:szCs w:val="24"/>
              </w:rPr>
              <w:t>56</w:t>
            </w:r>
          </w:p>
        </w:tc>
        <w:tc>
          <w:tcPr>
            <w:tcW w:w="696" w:type="dxa"/>
            <w:tcBorders>
              <w:top w:val="nil"/>
              <w:left w:val="nil"/>
              <w:bottom w:val="single" w:sz="4" w:space="0" w:color="auto"/>
              <w:right w:val="single" w:sz="4" w:space="0" w:color="auto"/>
            </w:tcBorders>
            <w:shd w:val="clear" w:color="auto" w:fill="auto"/>
            <w:noWrap/>
            <w:vAlign w:val="bottom"/>
            <w:hideMark/>
          </w:tcPr>
          <w:p w14:paraId="519B4FCE" w14:textId="77777777" w:rsidR="00993172" w:rsidRPr="008E63BB" w:rsidRDefault="00993172" w:rsidP="0065184D">
            <w:pPr>
              <w:jc w:val="right"/>
              <w:rPr>
                <w:rFonts w:eastAsia="Times New Roman"/>
                <w:sz w:val="24"/>
                <w:szCs w:val="24"/>
              </w:rPr>
            </w:pPr>
            <w:r w:rsidRPr="008E63BB">
              <w:rPr>
                <w:rFonts w:eastAsia="Times New Roman"/>
                <w:sz w:val="24"/>
                <w:szCs w:val="24"/>
              </w:rPr>
              <w:t>52,2</w:t>
            </w:r>
          </w:p>
        </w:tc>
        <w:tc>
          <w:tcPr>
            <w:tcW w:w="683" w:type="dxa"/>
            <w:tcBorders>
              <w:top w:val="nil"/>
              <w:left w:val="nil"/>
              <w:bottom w:val="single" w:sz="4" w:space="0" w:color="auto"/>
              <w:right w:val="single" w:sz="4" w:space="0" w:color="auto"/>
            </w:tcBorders>
            <w:shd w:val="clear" w:color="auto" w:fill="auto"/>
            <w:noWrap/>
            <w:vAlign w:val="bottom"/>
            <w:hideMark/>
          </w:tcPr>
          <w:p w14:paraId="519B4FCF" w14:textId="77777777" w:rsidR="00993172" w:rsidRPr="008E63BB" w:rsidRDefault="00993172" w:rsidP="0065184D">
            <w:pPr>
              <w:jc w:val="right"/>
              <w:rPr>
                <w:rFonts w:eastAsia="Times New Roman"/>
                <w:sz w:val="24"/>
                <w:szCs w:val="24"/>
              </w:rPr>
            </w:pPr>
            <w:r w:rsidRPr="008E63BB">
              <w:rPr>
                <w:rFonts w:eastAsia="Times New Roman"/>
                <w:sz w:val="24"/>
                <w:szCs w:val="24"/>
              </w:rPr>
              <w:t>42</w:t>
            </w:r>
          </w:p>
        </w:tc>
        <w:tc>
          <w:tcPr>
            <w:tcW w:w="708" w:type="dxa"/>
            <w:tcBorders>
              <w:top w:val="nil"/>
              <w:left w:val="nil"/>
              <w:bottom w:val="single" w:sz="4" w:space="0" w:color="auto"/>
              <w:right w:val="single" w:sz="4" w:space="0" w:color="auto"/>
            </w:tcBorders>
            <w:shd w:val="clear" w:color="auto" w:fill="auto"/>
            <w:noWrap/>
            <w:vAlign w:val="bottom"/>
            <w:hideMark/>
          </w:tcPr>
          <w:p w14:paraId="519B4FD0" w14:textId="77777777" w:rsidR="00993172" w:rsidRPr="008E63BB" w:rsidRDefault="00993172" w:rsidP="0065184D">
            <w:pPr>
              <w:jc w:val="right"/>
              <w:rPr>
                <w:rFonts w:eastAsia="Times New Roman"/>
                <w:sz w:val="24"/>
                <w:szCs w:val="24"/>
              </w:rPr>
            </w:pPr>
            <w:r w:rsidRPr="008E63BB">
              <w:rPr>
                <w:rFonts w:eastAsia="Times New Roman"/>
                <w:sz w:val="24"/>
                <w:szCs w:val="24"/>
              </w:rPr>
              <w:t>56,3</w:t>
            </w:r>
          </w:p>
        </w:tc>
        <w:tc>
          <w:tcPr>
            <w:tcW w:w="709" w:type="dxa"/>
            <w:tcBorders>
              <w:top w:val="nil"/>
              <w:left w:val="nil"/>
              <w:bottom w:val="single" w:sz="4" w:space="0" w:color="auto"/>
              <w:right w:val="single" w:sz="4" w:space="0" w:color="auto"/>
            </w:tcBorders>
            <w:shd w:val="clear" w:color="auto" w:fill="auto"/>
            <w:noWrap/>
            <w:vAlign w:val="bottom"/>
            <w:hideMark/>
          </w:tcPr>
          <w:p w14:paraId="519B4FD1" w14:textId="77777777" w:rsidR="00993172" w:rsidRPr="008E63BB" w:rsidRDefault="00993172" w:rsidP="0065184D">
            <w:pPr>
              <w:jc w:val="right"/>
              <w:rPr>
                <w:rFonts w:eastAsia="Times New Roman"/>
                <w:sz w:val="24"/>
                <w:szCs w:val="24"/>
              </w:rPr>
            </w:pPr>
            <w:r w:rsidRPr="008E63BB">
              <w:rPr>
                <w:rFonts w:eastAsia="Times New Roman"/>
                <w:sz w:val="24"/>
                <w:szCs w:val="24"/>
              </w:rPr>
              <w:t>33</w:t>
            </w:r>
          </w:p>
        </w:tc>
        <w:tc>
          <w:tcPr>
            <w:tcW w:w="706" w:type="dxa"/>
            <w:tcBorders>
              <w:top w:val="nil"/>
              <w:left w:val="nil"/>
              <w:bottom w:val="single" w:sz="4" w:space="0" w:color="auto"/>
              <w:right w:val="single" w:sz="4" w:space="0" w:color="auto"/>
            </w:tcBorders>
            <w:shd w:val="clear" w:color="auto" w:fill="auto"/>
            <w:noWrap/>
            <w:vAlign w:val="bottom"/>
            <w:hideMark/>
          </w:tcPr>
          <w:p w14:paraId="519B4FD2" w14:textId="77777777" w:rsidR="00993172" w:rsidRPr="008E63BB" w:rsidRDefault="00993172" w:rsidP="0065184D">
            <w:pPr>
              <w:jc w:val="right"/>
              <w:rPr>
                <w:rFonts w:eastAsia="Times New Roman"/>
                <w:sz w:val="24"/>
                <w:szCs w:val="24"/>
              </w:rPr>
            </w:pPr>
            <w:r w:rsidRPr="008E63BB">
              <w:rPr>
                <w:rFonts w:eastAsia="Times New Roman"/>
                <w:sz w:val="24"/>
                <w:szCs w:val="24"/>
              </w:rPr>
              <w:t>58,5</w:t>
            </w:r>
          </w:p>
        </w:tc>
        <w:tc>
          <w:tcPr>
            <w:tcW w:w="683" w:type="dxa"/>
            <w:tcBorders>
              <w:top w:val="nil"/>
              <w:left w:val="nil"/>
              <w:bottom w:val="single" w:sz="4" w:space="0" w:color="auto"/>
              <w:right w:val="single" w:sz="4" w:space="0" w:color="auto"/>
            </w:tcBorders>
            <w:shd w:val="clear" w:color="auto" w:fill="auto"/>
            <w:noWrap/>
            <w:vAlign w:val="bottom"/>
            <w:hideMark/>
          </w:tcPr>
          <w:p w14:paraId="519B4FD3" w14:textId="77777777" w:rsidR="00993172" w:rsidRPr="008E63BB" w:rsidRDefault="00993172" w:rsidP="0065184D">
            <w:pPr>
              <w:jc w:val="right"/>
              <w:rPr>
                <w:rFonts w:eastAsia="Times New Roman"/>
                <w:sz w:val="24"/>
                <w:szCs w:val="24"/>
              </w:rPr>
            </w:pPr>
            <w:r w:rsidRPr="008E63BB">
              <w:rPr>
                <w:rFonts w:eastAsia="Times New Roman"/>
                <w:sz w:val="24"/>
                <w:szCs w:val="24"/>
              </w:rPr>
              <w:t>17</w:t>
            </w:r>
          </w:p>
        </w:tc>
        <w:tc>
          <w:tcPr>
            <w:tcW w:w="696" w:type="dxa"/>
            <w:tcBorders>
              <w:top w:val="nil"/>
              <w:left w:val="nil"/>
              <w:bottom w:val="single" w:sz="4" w:space="0" w:color="auto"/>
              <w:right w:val="single" w:sz="4" w:space="0" w:color="auto"/>
            </w:tcBorders>
            <w:shd w:val="clear" w:color="auto" w:fill="auto"/>
            <w:noWrap/>
            <w:vAlign w:val="bottom"/>
            <w:hideMark/>
          </w:tcPr>
          <w:p w14:paraId="519B4FD4" w14:textId="77777777" w:rsidR="00993172" w:rsidRPr="008E63BB" w:rsidRDefault="00993172" w:rsidP="0065184D">
            <w:pPr>
              <w:jc w:val="right"/>
              <w:rPr>
                <w:rFonts w:eastAsia="Times New Roman"/>
                <w:sz w:val="24"/>
                <w:szCs w:val="24"/>
              </w:rPr>
            </w:pPr>
            <w:r w:rsidRPr="008E63BB">
              <w:rPr>
                <w:rFonts w:eastAsia="Times New Roman"/>
                <w:sz w:val="24"/>
                <w:szCs w:val="24"/>
              </w:rPr>
              <w:t>59,6</w:t>
            </w:r>
          </w:p>
        </w:tc>
        <w:tc>
          <w:tcPr>
            <w:tcW w:w="727" w:type="dxa"/>
            <w:tcBorders>
              <w:top w:val="nil"/>
              <w:left w:val="nil"/>
              <w:bottom w:val="single" w:sz="4" w:space="0" w:color="auto"/>
              <w:right w:val="single" w:sz="4" w:space="0" w:color="auto"/>
            </w:tcBorders>
            <w:shd w:val="clear" w:color="auto" w:fill="auto"/>
            <w:noWrap/>
            <w:vAlign w:val="bottom"/>
            <w:hideMark/>
          </w:tcPr>
          <w:p w14:paraId="519B4FD5" w14:textId="77777777" w:rsidR="00993172" w:rsidRPr="008E63BB" w:rsidRDefault="00993172" w:rsidP="0065184D">
            <w:pPr>
              <w:jc w:val="right"/>
              <w:rPr>
                <w:rFonts w:eastAsia="Times New Roman"/>
                <w:sz w:val="24"/>
                <w:szCs w:val="24"/>
              </w:rPr>
            </w:pPr>
            <w:r w:rsidRPr="008E63BB">
              <w:rPr>
                <w:rFonts w:eastAsia="Times New Roman"/>
                <w:sz w:val="24"/>
                <w:szCs w:val="24"/>
              </w:rPr>
              <w:t>30</w:t>
            </w:r>
          </w:p>
        </w:tc>
        <w:tc>
          <w:tcPr>
            <w:tcW w:w="704" w:type="dxa"/>
            <w:tcBorders>
              <w:top w:val="nil"/>
              <w:left w:val="nil"/>
              <w:bottom w:val="single" w:sz="4" w:space="0" w:color="auto"/>
              <w:right w:val="single" w:sz="4" w:space="0" w:color="auto"/>
            </w:tcBorders>
            <w:shd w:val="clear" w:color="auto" w:fill="auto"/>
            <w:noWrap/>
            <w:vAlign w:val="bottom"/>
            <w:hideMark/>
          </w:tcPr>
          <w:p w14:paraId="519B4FD6" w14:textId="77777777" w:rsidR="00993172" w:rsidRPr="008E63BB" w:rsidRDefault="00993172" w:rsidP="0065184D">
            <w:pPr>
              <w:jc w:val="right"/>
              <w:rPr>
                <w:rFonts w:eastAsia="Times New Roman"/>
                <w:sz w:val="24"/>
                <w:szCs w:val="24"/>
              </w:rPr>
            </w:pPr>
            <w:r w:rsidRPr="008E63BB">
              <w:rPr>
                <w:rFonts w:eastAsia="Times New Roman"/>
                <w:sz w:val="24"/>
                <w:szCs w:val="24"/>
              </w:rPr>
              <w:t>58,5</w:t>
            </w:r>
          </w:p>
        </w:tc>
        <w:tc>
          <w:tcPr>
            <w:tcW w:w="683" w:type="dxa"/>
            <w:tcBorders>
              <w:top w:val="nil"/>
              <w:left w:val="nil"/>
              <w:bottom w:val="single" w:sz="4" w:space="0" w:color="auto"/>
              <w:right w:val="single" w:sz="4" w:space="0" w:color="auto"/>
            </w:tcBorders>
            <w:shd w:val="clear" w:color="auto" w:fill="auto"/>
            <w:noWrap/>
            <w:vAlign w:val="bottom"/>
            <w:hideMark/>
          </w:tcPr>
          <w:p w14:paraId="519B4FD7" w14:textId="77777777" w:rsidR="00993172" w:rsidRPr="008E63BB" w:rsidRDefault="00993172" w:rsidP="0065184D">
            <w:pPr>
              <w:jc w:val="right"/>
              <w:rPr>
                <w:rFonts w:eastAsia="Times New Roman"/>
                <w:sz w:val="24"/>
                <w:szCs w:val="24"/>
              </w:rPr>
            </w:pPr>
            <w:r w:rsidRPr="008E63BB">
              <w:rPr>
                <w:rFonts w:eastAsia="Times New Roman"/>
                <w:sz w:val="24"/>
                <w:szCs w:val="24"/>
              </w:rPr>
              <w:t>41</w:t>
            </w:r>
          </w:p>
        </w:tc>
        <w:tc>
          <w:tcPr>
            <w:tcW w:w="704" w:type="dxa"/>
            <w:tcBorders>
              <w:top w:val="nil"/>
              <w:left w:val="nil"/>
              <w:bottom w:val="single" w:sz="4" w:space="0" w:color="auto"/>
              <w:right w:val="single" w:sz="4" w:space="0" w:color="auto"/>
            </w:tcBorders>
            <w:shd w:val="clear" w:color="auto" w:fill="auto"/>
            <w:noWrap/>
            <w:vAlign w:val="bottom"/>
            <w:hideMark/>
          </w:tcPr>
          <w:p w14:paraId="519B4FD8" w14:textId="77777777" w:rsidR="00993172" w:rsidRPr="008E63BB" w:rsidRDefault="00993172" w:rsidP="0065184D">
            <w:pPr>
              <w:jc w:val="right"/>
              <w:rPr>
                <w:rFonts w:eastAsia="Times New Roman"/>
                <w:sz w:val="24"/>
                <w:szCs w:val="24"/>
              </w:rPr>
            </w:pPr>
            <w:r w:rsidRPr="008E63BB">
              <w:rPr>
                <w:rFonts w:eastAsia="Times New Roman"/>
                <w:sz w:val="24"/>
                <w:szCs w:val="24"/>
              </w:rPr>
              <w:t>61,4</w:t>
            </w:r>
          </w:p>
        </w:tc>
        <w:tc>
          <w:tcPr>
            <w:tcW w:w="744" w:type="dxa"/>
            <w:tcBorders>
              <w:top w:val="nil"/>
              <w:left w:val="nil"/>
              <w:bottom w:val="single" w:sz="4" w:space="0" w:color="auto"/>
              <w:right w:val="single" w:sz="4" w:space="0" w:color="auto"/>
            </w:tcBorders>
            <w:shd w:val="clear" w:color="auto" w:fill="auto"/>
            <w:noWrap/>
            <w:vAlign w:val="bottom"/>
            <w:hideMark/>
          </w:tcPr>
          <w:p w14:paraId="519B4FD9" w14:textId="77777777" w:rsidR="00993172" w:rsidRPr="008E63BB" w:rsidRDefault="00993172" w:rsidP="0065184D">
            <w:pPr>
              <w:jc w:val="right"/>
              <w:rPr>
                <w:rFonts w:eastAsia="Times New Roman"/>
                <w:sz w:val="24"/>
                <w:szCs w:val="24"/>
              </w:rPr>
            </w:pPr>
            <w:r w:rsidRPr="008E63BB">
              <w:rPr>
                <w:rFonts w:eastAsia="Times New Roman"/>
                <w:sz w:val="24"/>
                <w:szCs w:val="24"/>
              </w:rPr>
              <w:t>35</w:t>
            </w:r>
          </w:p>
        </w:tc>
        <w:tc>
          <w:tcPr>
            <w:tcW w:w="696" w:type="dxa"/>
            <w:tcBorders>
              <w:top w:val="nil"/>
              <w:left w:val="nil"/>
              <w:bottom w:val="single" w:sz="4" w:space="0" w:color="auto"/>
              <w:right w:val="single" w:sz="4" w:space="0" w:color="auto"/>
            </w:tcBorders>
            <w:shd w:val="clear" w:color="auto" w:fill="auto"/>
            <w:noWrap/>
            <w:vAlign w:val="bottom"/>
            <w:hideMark/>
          </w:tcPr>
          <w:p w14:paraId="519B4FDA" w14:textId="77777777" w:rsidR="00993172" w:rsidRPr="008E63BB" w:rsidRDefault="00993172" w:rsidP="0065184D">
            <w:pPr>
              <w:jc w:val="right"/>
              <w:rPr>
                <w:rFonts w:eastAsia="Times New Roman"/>
                <w:sz w:val="24"/>
                <w:szCs w:val="24"/>
              </w:rPr>
            </w:pPr>
            <w:r w:rsidRPr="008E63BB">
              <w:rPr>
                <w:rFonts w:eastAsia="Times New Roman"/>
                <w:sz w:val="24"/>
                <w:szCs w:val="24"/>
              </w:rPr>
              <w:t>63,1</w:t>
            </w:r>
          </w:p>
        </w:tc>
      </w:tr>
      <w:tr w:rsidR="008D5BFE" w:rsidRPr="008E63BB" w14:paraId="519B4FF0"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DC" w14:textId="77777777" w:rsidR="00993172" w:rsidRPr="008E63BB" w:rsidRDefault="00993172" w:rsidP="0065184D">
            <w:pPr>
              <w:jc w:val="right"/>
              <w:rPr>
                <w:rFonts w:eastAsia="Times New Roman"/>
                <w:sz w:val="24"/>
                <w:szCs w:val="24"/>
              </w:rPr>
            </w:pPr>
            <w:r w:rsidRPr="008E63BB">
              <w:rPr>
                <w:rFonts w:eastAsia="Times New Roman"/>
                <w:sz w:val="24"/>
                <w:szCs w:val="24"/>
              </w:rPr>
              <w:t>10</w:t>
            </w:r>
          </w:p>
        </w:tc>
        <w:tc>
          <w:tcPr>
            <w:tcW w:w="2467" w:type="dxa"/>
            <w:tcBorders>
              <w:top w:val="nil"/>
              <w:left w:val="nil"/>
              <w:bottom w:val="single" w:sz="4" w:space="0" w:color="auto"/>
              <w:right w:val="single" w:sz="4" w:space="0" w:color="auto"/>
            </w:tcBorders>
            <w:shd w:val="clear" w:color="auto" w:fill="auto"/>
            <w:noWrap/>
            <w:vAlign w:val="bottom"/>
            <w:hideMark/>
          </w:tcPr>
          <w:p w14:paraId="519B4FDD" w14:textId="77777777" w:rsidR="00993172" w:rsidRPr="008E63BB" w:rsidRDefault="00993172" w:rsidP="0065184D">
            <w:pPr>
              <w:jc w:val="left"/>
              <w:rPr>
                <w:rFonts w:eastAsia="Times New Roman"/>
                <w:sz w:val="24"/>
                <w:szCs w:val="24"/>
              </w:rPr>
            </w:pPr>
            <w:r w:rsidRPr="008E63BB">
              <w:rPr>
                <w:rFonts w:eastAsia="Times New Roman"/>
                <w:sz w:val="24"/>
                <w:szCs w:val="24"/>
              </w:rPr>
              <w:t>Ninh Bình</w:t>
            </w:r>
          </w:p>
        </w:tc>
        <w:tc>
          <w:tcPr>
            <w:tcW w:w="683" w:type="dxa"/>
            <w:tcBorders>
              <w:top w:val="nil"/>
              <w:left w:val="nil"/>
              <w:bottom w:val="single" w:sz="4" w:space="0" w:color="auto"/>
              <w:right w:val="single" w:sz="4" w:space="0" w:color="auto"/>
            </w:tcBorders>
            <w:shd w:val="clear" w:color="auto" w:fill="auto"/>
            <w:noWrap/>
            <w:vAlign w:val="bottom"/>
            <w:hideMark/>
          </w:tcPr>
          <w:p w14:paraId="519B4FDE" w14:textId="77777777" w:rsidR="00993172" w:rsidRPr="008E63BB" w:rsidRDefault="00993172" w:rsidP="0065184D">
            <w:pPr>
              <w:jc w:val="right"/>
              <w:rPr>
                <w:rFonts w:eastAsia="Times New Roman"/>
                <w:sz w:val="24"/>
                <w:szCs w:val="24"/>
              </w:rPr>
            </w:pPr>
            <w:r w:rsidRPr="008E63BB">
              <w:rPr>
                <w:rFonts w:eastAsia="Times New Roman"/>
                <w:sz w:val="24"/>
                <w:szCs w:val="24"/>
              </w:rPr>
              <w:t>11</w:t>
            </w:r>
          </w:p>
        </w:tc>
        <w:tc>
          <w:tcPr>
            <w:tcW w:w="696" w:type="dxa"/>
            <w:tcBorders>
              <w:top w:val="nil"/>
              <w:left w:val="nil"/>
              <w:bottom w:val="single" w:sz="4" w:space="0" w:color="auto"/>
              <w:right w:val="single" w:sz="4" w:space="0" w:color="auto"/>
            </w:tcBorders>
            <w:shd w:val="clear" w:color="auto" w:fill="auto"/>
            <w:noWrap/>
            <w:vAlign w:val="bottom"/>
            <w:hideMark/>
          </w:tcPr>
          <w:p w14:paraId="519B4FDF" w14:textId="77777777" w:rsidR="00993172" w:rsidRPr="008E63BB" w:rsidRDefault="00993172" w:rsidP="0065184D">
            <w:pPr>
              <w:jc w:val="right"/>
              <w:rPr>
                <w:rFonts w:eastAsia="Times New Roman"/>
                <w:sz w:val="24"/>
                <w:szCs w:val="24"/>
              </w:rPr>
            </w:pPr>
            <w:r w:rsidRPr="008E63BB">
              <w:rPr>
                <w:rFonts w:eastAsia="Times New Roman"/>
                <w:sz w:val="24"/>
                <w:szCs w:val="24"/>
              </w:rPr>
              <w:t>62,9</w:t>
            </w:r>
          </w:p>
        </w:tc>
        <w:tc>
          <w:tcPr>
            <w:tcW w:w="683" w:type="dxa"/>
            <w:tcBorders>
              <w:top w:val="nil"/>
              <w:left w:val="nil"/>
              <w:bottom w:val="single" w:sz="4" w:space="0" w:color="auto"/>
              <w:right w:val="single" w:sz="4" w:space="0" w:color="auto"/>
            </w:tcBorders>
            <w:shd w:val="clear" w:color="auto" w:fill="auto"/>
            <w:noWrap/>
            <w:vAlign w:val="bottom"/>
            <w:hideMark/>
          </w:tcPr>
          <w:p w14:paraId="519B4FE0" w14:textId="77777777" w:rsidR="00993172" w:rsidRPr="008E63BB" w:rsidRDefault="00993172" w:rsidP="0065184D">
            <w:pPr>
              <w:jc w:val="right"/>
              <w:rPr>
                <w:rFonts w:eastAsia="Times New Roman"/>
                <w:sz w:val="24"/>
                <w:szCs w:val="24"/>
              </w:rPr>
            </w:pPr>
            <w:r w:rsidRPr="008E63BB">
              <w:rPr>
                <w:rFonts w:eastAsia="Times New Roman"/>
                <w:sz w:val="24"/>
                <w:szCs w:val="24"/>
              </w:rPr>
              <w:t>21</w:t>
            </w:r>
          </w:p>
        </w:tc>
        <w:tc>
          <w:tcPr>
            <w:tcW w:w="696" w:type="dxa"/>
            <w:tcBorders>
              <w:top w:val="nil"/>
              <w:left w:val="nil"/>
              <w:bottom w:val="single" w:sz="4" w:space="0" w:color="auto"/>
              <w:right w:val="single" w:sz="4" w:space="0" w:color="auto"/>
            </w:tcBorders>
            <w:shd w:val="clear" w:color="auto" w:fill="auto"/>
            <w:noWrap/>
            <w:vAlign w:val="bottom"/>
            <w:hideMark/>
          </w:tcPr>
          <w:p w14:paraId="519B4FE1" w14:textId="77777777" w:rsidR="00993172" w:rsidRPr="008E63BB" w:rsidRDefault="00993172" w:rsidP="0065184D">
            <w:pPr>
              <w:jc w:val="right"/>
              <w:rPr>
                <w:rFonts w:eastAsia="Times New Roman"/>
                <w:sz w:val="24"/>
                <w:szCs w:val="24"/>
              </w:rPr>
            </w:pPr>
            <w:r w:rsidRPr="008E63BB">
              <w:rPr>
                <w:rFonts w:eastAsia="Times New Roman"/>
                <w:sz w:val="24"/>
                <w:szCs w:val="24"/>
              </w:rPr>
              <w:t>61,1</w:t>
            </w:r>
          </w:p>
        </w:tc>
        <w:tc>
          <w:tcPr>
            <w:tcW w:w="683" w:type="dxa"/>
            <w:tcBorders>
              <w:top w:val="nil"/>
              <w:left w:val="nil"/>
              <w:bottom w:val="single" w:sz="4" w:space="0" w:color="auto"/>
              <w:right w:val="single" w:sz="4" w:space="0" w:color="auto"/>
            </w:tcBorders>
            <w:shd w:val="clear" w:color="auto" w:fill="auto"/>
            <w:noWrap/>
            <w:vAlign w:val="bottom"/>
            <w:hideMark/>
          </w:tcPr>
          <w:p w14:paraId="519B4FE2" w14:textId="77777777" w:rsidR="00993172" w:rsidRPr="008E63BB" w:rsidRDefault="00993172" w:rsidP="0065184D">
            <w:pPr>
              <w:jc w:val="right"/>
              <w:rPr>
                <w:rFonts w:eastAsia="Times New Roman"/>
                <w:sz w:val="24"/>
                <w:szCs w:val="24"/>
              </w:rPr>
            </w:pPr>
            <w:r w:rsidRPr="008E63BB">
              <w:rPr>
                <w:rFonts w:eastAsia="Times New Roman"/>
                <w:sz w:val="24"/>
                <w:szCs w:val="24"/>
              </w:rPr>
              <w:t>23</w:t>
            </w:r>
          </w:p>
        </w:tc>
        <w:tc>
          <w:tcPr>
            <w:tcW w:w="696" w:type="dxa"/>
            <w:tcBorders>
              <w:top w:val="nil"/>
              <w:left w:val="nil"/>
              <w:bottom w:val="single" w:sz="4" w:space="0" w:color="auto"/>
              <w:right w:val="single" w:sz="4" w:space="0" w:color="auto"/>
            </w:tcBorders>
            <w:shd w:val="clear" w:color="auto" w:fill="auto"/>
            <w:noWrap/>
            <w:vAlign w:val="bottom"/>
            <w:hideMark/>
          </w:tcPr>
          <w:p w14:paraId="519B4FE3" w14:textId="77777777" w:rsidR="00993172" w:rsidRPr="008E63BB" w:rsidRDefault="00993172" w:rsidP="0065184D">
            <w:pPr>
              <w:jc w:val="right"/>
              <w:rPr>
                <w:rFonts w:eastAsia="Times New Roman"/>
                <w:sz w:val="24"/>
                <w:szCs w:val="24"/>
              </w:rPr>
            </w:pPr>
            <w:r w:rsidRPr="008E63BB">
              <w:rPr>
                <w:rFonts w:eastAsia="Times New Roman"/>
                <w:sz w:val="24"/>
                <w:szCs w:val="24"/>
              </w:rPr>
              <w:t>58,9</w:t>
            </w:r>
          </w:p>
        </w:tc>
        <w:tc>
          <w:tcPr>
            <w:tcW w:w="683" w:type="dxa"/>
            <w:tcBorders>
              <w:top w:val="nil"/>
              <w:left w:val="nil"/>
              <w:bottom w:val="single" w:sz="4" w:space="0" w:color="auto"/>
              <w:right w:val="single" w:sz="4" w:space="0" w:color="auto"/>
            </w:tcBorders>
            <w:shd w:val="clear" w:color="auto" w:fill="auto"/>
            <w:noWrap/>
            <w:vAlign w:val="bottom"/>
            <w:hideMark/>
          </w:tcPr>
          <w:p w14:paraId="519B4FE4" w14:textId="77777777" w:rsidR="00993172" w:rsidRPr="008E63BB" w:rsidRDefault="00993172" w:rsidP="0065184D">
            <w:pPr>
              <w:jc w:val="right"/>
              <w:rPr>
                <w:rFonts w:eastAsia="Times New Roman"/>
                <w:sz w:val="24"/>
                <w:szCs w:val="24"/>
              </w:rPr>
            </w:pPr>
            <w:r w:rsidRPr="008E63BB">
              <w:rPr>
                <w:rFonts w:eastAsia="Times New Roman"/>
                <w:sz w:val="24"/>
                <w:szCs w:val="24"/>
              </w:rPr>
              <w:t>28</w:t>
            </w:r>
          </w:p>
        </w:tc>
        <w:tc>
          <w:tcPr>
            <w:tcW w:w="708" w:type="dxa"/>
            <w:tcBorders>
              <w:top w:val="nil"/>
              <w:left w:val="nil"/>
              <w:bottom w:val="single" w:sz="4" w:space="0" w:color="auto"/>
              <w:right w:val="single" w:sz="4" w:space="0" w:color="auto"/>
            </w:tcBorders>
            <w:shd w:val="clear" w:color="auto" w:fill="auto"/>
            <w:noWrap/>
            <w:vAlign w:val="bottom"/>
            <w:hideMark/>
          </w:tcPr>
          <w:p w14:paraId="519B4FE5" w14:textId="77777777" w:rsidR="00993172" w:rsidRPr="008E63BB" w:rsidRDefault="00993172" w:rsidP="0065184D">
            <w:pPr>
              <w:jc w:val="right"/>
              <w:rPr>
                <w:rFonts w:eastAsia="Times New Roman"/>
                <w:sz w:val="24"/>
                <w:szCs w:val="24"/>
              </w:rPr>
            </w:pPr>
            <w:r w:rsidRPr="008E63BB">
              <w:rPr>
                <w:rFonts w:eastAsia="Times New Roman"/>
                <w:sz w:val="24"/>
                <w:szCs w:val="24"/>
              </w:rPr>
              <w:t>58,7</w:t>
            </w:r>
          </w:p>
        </w:tc>
        <w:tc>
          <w:tcPr>
            <w:tcW w:w="709" w:type="dxa"/>
            <w:tcBorders>
              <w:top w:val="nil"/>
              <w:left w:val="nil"/>
              <w:bottom w:val="single" w:sz="4" w:space="0" w:color="auto"/>
              <w:right w:val="single" w:sz="4" w:space="0" w:color="auto"/>
            </w:tcBorders>
            <w:shd w:val="clear" w:color="auto" w:fill="auto"/>
            <w:noWrap/>
            <w:vAlign w:val="bottom"/>
            <w:hideMark/>
          </w:tcPr>
          <w:p w14:paraId="519B4FE6" w14:textId="77777777" w:rsidR="00993172" w:rsidRPr="008E63BB" w:rsidRDefault="00993172" w:rsidP="0065184D">
            <w:pPr>
              <w:jc w:val="right"/>
              <w:rPr>
                <w:rFonts w:eastAsia="Times New Roman"/>
                <w:sz w:val="24"/>
                <w:szCs w:val="24"/>
              </w:rPr>
            </w:pPr>
            <w:r w:rsidRPr="008E63BB">
              <w:rPr>
                <w:rFonts w:eastAsia="Times New Roman"/>
                <w:sz w:val="24"/>
                <w:szCs w:val="24"/>
              </w:rPr>
              <w:t>11</w:t>
            </w:r>
          </w:p>
        </w:tc>
        <w:tc>
          <w:tcPr>
            <w:tcW w:w="706" w:type="dxa"/>
            <w:tcBorders>
              <w:top w:val="nil"/>
              <w:left w:val="nil"/>
              <w:bottom w:val="single" w:sz="4" w:space="0" w:color="auto"/>
              <w:right w:val="single" w:sz="4" w:space="0" w:color="auto"/>
            </w:tcBorders>
            <w:shd w:val="clear" w:color="auto" w:fill="auto"/>
            <w:noWrap/>
            <w:vAlign w:val="bottom"/>
            <w:hideMark/>
          </w:tcPr>
          <w:p w14:paraId="519B4FE7" w14:textId="77777777" w:rsidR="00993172" w:rsidRPr="008E63BB" w:rsidRDefault="00993172" w:rsidP="0065184D">
            <w:pPr>
              <w:jc w:val="right"/>
              <w:rPr>
                <w:rFonts w:eastAsia="Times New Roman"/>
                <w:sz w:val="24"/>
                <w:szCs w:val="24"/>
              </w:rPr>
            </w:pPr>
            <w:r w:rsidRPr="008E63BB">
              <w:rPr>
                <w:rFonts w:eastAsia="Times New Roman"/>
                <w:sz w:val="24"/>
                <w:szCs w:val="24"/>
              </w:rPr>
              <w:t>60,8</w:t>
            </w:r>
          </w:p>
        </w:tc>
        <w:tc>
          <w:tcPr>
            <w:tcW w:w="683" w:type="dxa"/>
            <w:tcBorders>
              <w:top w:val="nil"/>
              <w:left w:val="nil"/>
              <w:bottom w:val="single" w:sz="4" w:space="0" w:color="auto"/>
              <w:right w:val="single" w:sz="4" w:space="0" w:color="auto"/>
            </w:tcBorders>
            <w:shd w:val="clear" w:color="auto" w:fill="auto"/>
            <w:noWrap/>
            <w:vAlign w:val="bottom"/>
            <w:hideMark/>
          </w:tcPr>
          <w:p w14:paraId="519B4FE8" w14:textId="77777777" w:rsidR="00993172" w:rsidRPr="008E63BB" w:rsidRDefault="00993172" w:rsidP="0065184D">
            <w:pPr>
              <w:jc w:val="right"/>
              <w:rPr>
                <w:rFonts w:eastAsia="Times New Roman"/>
                <w:sz w:val="24"/>
                <w:szCs w:val="24"/>
              </w:rPr>
            </w:pPr>
            <w:r w:rsidRPr="008E63BB">
              <w:rPr>
                <w:rFonts w:eastAsia="Times New Roman"/>
                <w:sz w:val="24"/>
                <w:szCs w:val="24"/>
              </w:rPr>
              <w:t>30</w:t>
            </w:r>
          </w:p>
        </w:tc>
        <w:tc>
          <w:tcPr>
            <w:tcW w:w="696" w:type="dxa"/>
            <w:tcBorders>
              <w:top w:val="nil"/>
              <w:left w:val="nil"/>
              <w:bottom w:val="single" w:sz="4" w:space="0" w:color="auto"/>
              <w:right w:val="single" w:sz="4" w:space="0" w:color="auto"/>
            </w:tcBorders>
            <w:shd w:val="clear" w:color="auto" w:fill="auto"/>
            <w:noWrap/>
            <w:vAlign w:val="bottom"/>
            <w:hideMark/>
          </w:tcPr>
          <w:p w14:paraId="519B4FE9" w14:textId="77777777" w:rsidR="00993172" w:rsidRPr="008E63BB" w:rsidRDefault="00993172" w:rsidP="0065184D">
            <w:pPr>
              <w:jc w:val="right"/>
              <w:rPr>
                <w:rFonts w:eastAsia="Times New Roman"/>
                <w:sz w:val="24"/>
                <w:szCs w:val="24"/>
              </w:rPr>
            </w:pPr>
            <w:r w:rsidRPr="008E63BB">
              <w:rPr>
                <w:rFonts w:eastAsia="Times New Roman"/>
                <w:sz w:val="24"/>
                <w:szCs w:val="24"/>
              </w:rPr>
              <w:t>58,5</w:t>
            </w:r>
          </w:p>
        </w:tc>
        <w:tc>
          <w:tcPr>
            <w:tcW w:w="727" w:type="dxa"/>
            <w:tcBorders>
              <w:top w:val="nil"/>
              <w:left w:val="nil"/>
              <w:bottom w:val="single" w:sz="4" w:space="0" w:color="auto"/>
              <w:right w:val="single" w:sz="4" w:space="0" w:color="auto"/>
            </w:tcBorders>
            <w:shd w:val="clear" w:color="auto" w:fill="auto"/>
            <w:noWrap/>
            <w:vAlign w:val="bottom"/>
            <w:hideMark/>
          </w:tcPr>
          <w:p w14:paraId="519B4FEA" w14:textId="77777777" w:rsidR="00993172" w:rsidRPr="008E63BB" w:rsidRDefault="00993172" w:rsidP="0065184D">
            <w:pPr>
              <w:jc w:val="right"/>
              <w:rPr>
                <w:rFonts w:eastAsia="Times New Roman"/>
                <w:sz w:val="24"/>
                <w:szCs w:val="24"/>
              </w:rPr>
            </w:pPr>
            <w:r w:rsidRPr="008E63BB">
              <w:rPr>
                <w:rFonts w:eastAsia="Times New Roman"/>
                <w:sz w:val="24"/>
                <w:szCs w:val="24"/>
              </w:rPr>
              <w:t>19</w:t>
            </w:r>
          </w:p>
        </w:tc>
        <w:tc>
          <w:tcPr>
            <w:tcW w:w="704" w:type="dxa"/>
            <w:tcBorders>
              <w:top w:val="nil"/>
              <w:left w:val="nil"/>
              <w:bottom w:val="single" w:sz="4" w:space="0" w:color="auto"/>
              <w:right w:val="single" w:sz="4" w:space="0" w:color="auto"/>
            </w:tcBorders>
            <w:shd w:val="clear" w:color="auto" w:fill="auto"/>
            <w:noWrap/>
            <w:vAlign w:val="bottom"/>
            <w:hideMark/>
          </w:tcPr>
          <w:p w14:paraId="519B4FEB" w14:textId="77777777" w:rsidR="00993172" w:rsidRPr="008E63BB" w:rsidRDefault="00993172" w:rsidP="0065184D">
            <w:pPr>
              <w:jc w:val="right"/>
              <w:rPr>
                <w:rFonts w:eastAsia="Times New Roman"/>
                <w:sz w:val="24"/>
                <w:szCs w:val="24"/>
              </w:rPr>
            </w:pPr>
            <w:r w:rsidRPr="008E63BB">
              <w:rPr>
                <w:rFonts w:eastAsia="Times New Roman"/>
                <w:sz w:val="24"/>
                <w:szCs w:val="24"/>
              </w:rPr>
              <w:t>60,1</w:t>
            </w:r>
          </w:p>
        </w:tc>
        <w:tc>
          <w:tcPr>
            <w:tcW w:w="683" w:type="dxa"/>
            <w:tcBorders>
              <w:top w:val="nil"/>
              <w:left w:val="nil"/>
              <w:bottom w:val="single" w:sz="4" w:space="0" w:color="auto"/>
              <w:right w:val="single" w:sz="4" w:space="0" w:color="auto"/>
            </w:tcBorders>
            <w:shd w:val="clear" w:color="auto" w:fill="auto"/>
            <w:noWrap/>
            <w:vAlign w:val="bottom"/>
            <w:hideMark/>
          </w:tcPr>
          <w:p w14:paraId="519B4FEC" w14:textId="77777777" w:rsidR="00993172" w:rsidRPr="008E63BB" w:rsidRDefault="00993172" w:rsidP="0065184D">
            <w:pPr>
              <w:jc w:val="right"/>
              <w:rPr>
                <w:rFonts w:eastAsia="Times New Roman"/>
                <w:sz w:val="24"/>
                <w:szCs w:val="24"/>
              </w:rPr>
            </w:pPr>
            <w:r w:rsidRPr="008E63BB">
              <w:rPr>
                <w:rFonts w:eastAsia="Times New Roman"/>
                <w:sz w:val="24"/>
                <w:szCs w:val="24"/>
              </w:rPr>
              <w:t>36</w:t>
            </w:r>
          </w:p>
        </w:tc>
        <w:tc>
          <w:tcPr>
            <w:tcW w:w="704" w:type="dxa"/>
            <w:tcBorders>
              <w:top w:val="nil"/>
              <w:left w:val="nil"/>
              <w:bottom w:val="single" w:sz="4" w:space="0" w:color="auto"/>
              <w:right w:val="single" w:sz="4" w:space="0" w:color="auto"/>
            </w:tcBorders>
            <w:shd w:val="clear" w:color="auto" w:fill="auto"/>
            <w:noWrap/>
            <w:vAlign w:val="bottom"/>
            <w:hideMark/>
          </w:tcPr>
          <w:p w14:paraId="519B4FED" w14:textId="77777777" w:rsidR="00993172" w:rsidRPr="008E63BB" w:rsidRDefault="00993172" w:rsidP="0065184D">
            <w:pPr>
              <w:jc w:val="right"/>
              <w:rPr>
                <w:rFonts w:eastAsia="Times New Roman"/>
                <w:sz w:val="24"/>
                <w:szCs w:val="24"/>
              </w:rPr>
            </w:pPr>
            <w:r w:rsidRPr="008E63BB">
              <w:rPr>
                <w:rFonts w:eastAsia="Times New Roman"/>
                <w:sz w:val="24"/>
                <w:szCs w:val="24"/>
              </w:rPr>
              <w:t>61,9</w:t>
            </w:r>
          </w:p>
        </w:tc>
        <w:tc>
          <w:tcPr>
            <w:tcW w:w="744" w:type="dxa"/>
            <w:tcBorders>
              <w:top w:val="nil"/>
              <w:left w:val="nil"/>
              <w:bottom w:val="single" w:sz="4" w:space="0" w:color="auto"/>
              <w:right w:val="single" w:sz="4" w:space="0" w:color="auto"/>
            </w:tcBorders>
            <w:shd w:val="clear" w:color="auto" w:fill="auto"/>
            <w:noWrap/>
            <w:vAlign w:val="bottom"/>
            <w:hideMark/>
          </w:tcPr>
          <w:p w14:paraId="519B4FEE" w14:textId="77777777" w:rsidR="00993172" w:rsidRPr="008E63BB" w:rsidRDefault="00993172" w:rsidP="0065184D">
            <w:pPr>
              <w:jc w:val="right"/>
              <w:rPr>
                <w:rFonts w:eastAsia="Times New Roman"/>
                <w:sz w:val="24"/>
                <w:szCs w:val="24"/>
              </w:rPr>
            </w:pPr>
            <w:r w:rsidRPr="008E63BB">
              <w:rPr>
                <w:rFonts w:eastAsia="Times New Roman"/>
                <w:sz w:val="24"/>
                <w:szCs w:val="24"/>
              </w:rPr>
              <w:t>29</w:t>
            </w:r>
          </w:p>
        </w:tc>
        <w:tc>
          <w:tcPr>
            <w:tcW w:w="696" w:type="dxa"/>
            <w:tcBorders>
              <w:top w:val="nil"/>
              <w:left w:val="nil"/>
              <w:bottom w:val="single" w:sz="4" w:space="0" w:color="auto"/>
              <w:right w:val="single" w:sz="4" w:space="0" w:color="auto"/>
            </w:tcBorders>
            <w:shd w:val="clear" w:color="auto" w:fill="auto"/>
            <w:noWrap/>
            <w:vAlign w:val="bottom"/>
            <w:hideMark/>
          </w:tcPr>
          <w:p w14:paraId="519B4FEF" w14:textId="77777777" w:rsidR="00993172" w:rsidRPr="008E63BB" w:rsidRDefault="00993172" w:rsidP="0065184D">
            <w:pPr>
              <w:jc w:val="right"/>
              <w:rPr>
                <w:rFonts w:eastAsia="Times New Roman"/>
                <w:sz w:val="24"/>
                <w:szCs w:val="24"/>
              </w:rPr>
            </w:pPr>
            <w:r w:rsidRPr="008E63BB">
              <w:rPr>
                <w:rFonts w:eastAsia="Times New Roman"/>
                <w:sz w:val="24"/>
                <w:szCs w:val="24"/>
              </w:rPr>
              <w:t>63,6</w:t>
            </w:r>
          </w:p>
        </w:tc>
      </w:tr>
      <w:tr w:rsidR="008D5BFE" w:rsidRPr="008E63BB" w14:paraId="519B5005" w14:textId="77777777" w:rsidTr="004710C7">
        <w:trPr>
          <w:trHeight w:val="255"/>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14:paraId="519B4FF1" w14:textId="77777777" w:rsidR="00993172" w:rsidRPr="008E63BB" w:rsidRDefault="00993172" w:rsidP="0065184D">
            <w:pPr>
              <w:jc w:val="right"/>
              <w:rPr>
                <w:rFonts w:eastAsia="Times New Roman"/>
                <w:sz w:val="24"/>
                <w:szCs w:val="24"/>
              </w:rPr>
            </w:pPr>
            <w:r w:rsidRPr="008E63BB">
              <w:rPr>
                <w:rFonts w:eastAsia="Times New Roman"/>
                <w:sz w:val="24"/>
                <w:szCs w:val="24"/>
              </w:rPr>
              <w:t>11</w:t>
            </w:r>
          </w:p>
        </w:tc>
        <w:tc>
          <w:tcPr>
            <w:tcW w:w="2467" w:type="dxa"/>
            <w:tcBorders>
              <w:top w:val="nil"/>
              <w:left w:val="nil"/>
              <w:bottom w:val="single" w:sz="4" w:space="0" w:color="auto"/>
              <w:right w:val="single" w:sz="4" w:space="0" w:color="auto"/>
            </w:tcBorders>
            <w:shd w:val="clear" w:color="auto" w:fill="auto"/>
            <w:noWrap/>
            <w:vAlign w:val="bottom"/>
            <w:hideMark/>
          </w:tcPr>
          <w:p w14:paraId="519B4FF2" w14:textId="77777777" w:rsidR="00993172" w:rsidRPr="008E63BB" w:rsidRDefault="00993172" w:rsidP="0065184D">
            <w:pPr>
              <w:jc w:val="left"/>
              <w:rPr>
                <w:rFonts w:eastAsia="Times New Roman"/>
                <w:sz w:val="24"/>
                <w:szCs w:val="24"/>
              </w:rPr>
            </w:pPr>
            <w:r w:rsidRPr="008E63BB">
              <w:rPr>
                <w:rFonts w:eastAsia="Times New Roman"/>
                <w:sz w:val="24"/>
                <w:szCs w:val="24"/>
              </w:rPr>
              <w:t>Thái Bình</w:t>
            </w:r>
          </w:p>
        </w:tc>
        <w:tc>
          <w:tcPr>
            <w:tcW w:w="683" w:type="dxa"/>
            <w:tcBorders>
              <w:top w:val="nil"/>
              <w:left w:val="nil"/>
              <w:bottom w:val="single" w:sz="4" w:space="0" w:color="auto"/>
              <w:right w:val="single" w:sz="4" w:space="0" w:color="auto"/>
            </w:tcBorders>
            <w:shd w:val="clear" w:color="auto" w:fill="auto"/>
            <w:noWrap/>
            <w:vAlign w:val="bottom"/>
            <w:hideMark/>
          </w:tcPr>
          <w:p w14:paraId="519B4FF3" w14:textId="77777777" w:rsidR="00993172" w:rsidRPr="008E63BB" w:rsidRDefault="00993172" w:rsidP="0065184D">
            <w:pPr>
              <w:jc w:val="right"/>
              <w:rPr>
                <w:rFonts w:eastAsia="Times New Roman"/>
                <w:sz w:val="24"/>
                <w:szCs w:val="24"/>
              </w:rPr>
            </w:pPr>
            <w:r w:rsidRPr="008E63BB">
              <w:rPr>
                <w:rFonts w:eastAsia="Times New Roman"/>
                <w:sz w:val="24"/>
                <w:szCs w:val="24"/>
              </w:rPr>
              <w:t>22</w:t>
            </w:r>
          </w:p>
        </w:tc>
        <w:tc>
          <w:tcPr>
            <w:tcW w:w="696" w:type="dxa"/>
            <w:tcBorders>
              <w:top w:val="nil"/>
              <w:left w:val="nil"/>
              <w:bottom w:val="single" w:sz="4" w:space="0" w:color="auto"/>
              <w:right w:val="single" w:sz="4" w:space="0" w:color="auto"/>
            </w:tcBorders>
            <w:shd w:val="clear" w:color="auto" w:fill="auto"/>
            <w:noWrap/>
            <w:vAlign w:val="bottom"/>
            <w:hideMark/>
          </w:tcPr>
          <w:p w14:paraId="519B4FF4" w14:textId="77777777" w:rsidR="00993172" w:rsidRPr="008E63BB" w:rsidRDefault="00993172" w:rsidP="0065184D">
            <w:pPr>
              <w:jc w:val="right"/>
              <w:rPr>
                <w:rFonts w:eastAsia="Times New Roman"/>
                <w:sz w:val="24"/>
                <w:szCs w:val="24"/>
              </w:rPr>
            </w:pPr>
            <w:r w:rsidRPr="008E63BB">
              <w:rPr>
                <w:rFonts w:eastAsia="Times New Roman"/>
                <w:sz w:val="24"/>
                <w:szCs w:val="24"/>
              </w:rPr>
              <w:t>60,0</w:t>
            </w:r>
          </w:p>
        </w:tc>
        <w:tc>
          <w:tcPr>
            <w:tcW w:w="683" w:type="dxa"/>
            <w:tcBorders>
              <w:top w:val="nil"/>
              <w:left w:val="nil"/>
              <w:bottom w:val="single" w:sz="4" w:space="0" w:color="auto"/>
              <w:right w:val="single" w:sz="4" w:space="0" w:color="auto"/>
            </w:tcBorders>
            <w:shd w:val="clear" w:color="auto" w:fill="auto"/>
            <w:noWrap/>
            <w:vAlign w:val="bottom"/>
            <w:hideMark/>
          </w:tcPr>
          <w:p w14:paraId="519B4FF5" w14:textId="77777777" w:rsidR="00993172" w:rsidRPr="008E63BB" w:rsidRDefault="00993172" w:rsidP="0065184D">
            <w:pPr>
              <w:jc w:val="right"/>
              <w:rPr>
                <w:rFonts w:eastAsia="Times New Roman"/>
                <w:sz w:val="24"/>
                <w:szCs w:val="24"/>
              </w:rPr>
            </w:pPr>
            <w:r w:rsidRPr="008E63BB">
              <w:rPr>
                <w:rFonts w:eastAsia="Times New Roman"/>
                <w:sz w:val="24"/>
                <w:szCs w:val="24"/>
              </w:rPr>
              <w:t>55</w:t>
            </w:r>
          </w:p>
        </w:tc>
        <w:tc>
          <w:tcPr>
            <w:tcW w:w="696" w:type="dxa"/>
            <w:tcBorders>
              <w:top w:val="nil"/>
              <w:left w:val="nil"/>
              <w:bottom w:val="single" w:sz="4" w:space="0" w:color="auto"/>
              <w:right w:val="single" w:sz="4" w:space="0" w:color="auto"/>
            </w:tcBorders>
            <w:shd w:val="clear" w:color="auto" w:fill="auto"/>
            <w:noWrap/>
            <w:vAlign w:val="bottom"/>
            <w:hideMark/>
          </w:tcPr>
          <w:p w14:paraId="519B4FF6" w14:textId="77777777" w:rsidR="00993172" w:rsidRPr="008E63BB" w:rsidRDefault="00993172" w:rsidP="0065184D">
            <w:pPr>
              <w:jc w:val="right"/>
              <w:rPr>
                <w:rFonts w:eastAsia="Times New Roman"/>
                <w:sz w:val="24"/>
                <w:szCs w:val="24"/>
              </w:rPr>
            </w:pPr>
            <w:r w:rsidRPr="008E63BB">
              <w:rPr>
                <w:rFonts w:eastAsia="Times New Roman"/>
                <w:sz w:val="24"/>
                <w:szCs w:val="24"/>
              </w:rPr>
              <w:t>53,7</w:t>
            </w:r>
          </w:p>
        </w:tc>
        <w:tc>
          <w:tcPr>
            <w:tcW w:w="683" w:type="dxa"/>
            <w:tcBorders>
              <w:top w:val="nil"/>
              <w:left w:val="nil"/>
              <w:bottom w:val="single" w:sz="4" w:space="0" w:color="auto"/>
              <w:right w:val="single" w:sz="4" w:space="0" w:color="auto"/>
            </w:tcBorders>
            <w:shd w:val="clear" w:color="auto" w:fill="auto"/>
            <w:noWrap/>
            <w:vAlign w:val="bottom"/>
            <w:hideMark/>
          </w:tcPr>
          <w:p w14:paraId="519B4FF7" w14:textId="77777777" w:rsidR="00993172" w:rsidRPr="008E63BB" w:rsidRDefault="00993172" w:rsidP="0065184D">
            <w:pPr>
              <w:jc w:val="right"/>
              <w:rPr>
                <w:rFonts w:eastAsia="Times New Roman"/>
                <w:sz w:val="24"/>
                <w:szCs w:val="24"/>
              </w:rPr>
            </w:pPr>
            <w:r w:rsidRPr="008E63BB">
              <w:rPr>
                <w:rFonts w:eastAsia="Times New Roman"/>
                <w:sz w:val="24"/>
                <w:szCs w:val="24"/>
              </w:rPr>
              <w:t>25</w:t>
            </w:r>
          </w:p>
        </w:tc>
        <w:tc>
          <w:tcPr>
            <w:tcW w:w="696" w:type="dxa"/>
            <w:tcBorders>
              <w:top w:val="nil"/>
              <w:left w:val="nil"/>
              <w:bottom w:val="single" w:sz="4" w:space="0" w:color="auto"/>
              <w:right w:val="single" w:sz="4" w:space="0" w:color="auto"/>
            </w:tcBorders>
            <w:shd w:val="clear" w:color="auto" w:fill="auto"/>
            <w:noWrap/>
            <w:vAlign w:val="bottom"/>
            <w:hideMark/>
          </w:tcPr>
          <w:p w14:paraId="519B4FF8" w14:textId="77777777" w:rsidR="00993172" w:rsidRPr="008E63BB" w:rsidRDefault="00993172" w:rsidP="0065184D">
            <w:pPr>
              <w:jc w:val="right"/>
              <w:rPr>
                <w:rFonts w:eastAsia="Times New Roman"/>
                <w:sz w:val="24"/>
                <w:szCs w:val="24"/>
              </w:rPr>
            </w:pPr>
            <w:r w:rsidRPr="008E63BB">
              <w:rPr>
                <w:rFonts w:eastAsia="Times New Roman"/>
                <w:sz w:val="24"/>
                <w:szCs w:val="24"/>
              </w:rPr>
              <w:t>58,4</w:t>
            </w:r>
          </w:p>
        </w:tc>
        <w:tc>
          <w:tcPr>
            <w:tcW w:w="683" w:type="dxa"/>
            <w:tcBorders>
              <w:top w:val="nil"/>
              <w:left w:val="nil"/>
              <w:bottom w:val="single" w:sz="4" w:space="0" w:color="auto"/>
              <w:right w:val="single" w:sz="4" w:space="0" w:color="auto"/>
            </w:tcBorders>
            <w:shd w:val="clear" w:color="auto" w:fill="auto"/>
            <w:noWrap/>
            <w:vAlign w:val="bottom"/>
            <w:hideMark/>
          </w:tcPr>
          <w:p w14:paraId="519B4FF9" w14:textId="77777777" w:rsidR="00993172" w:rsidRPr="008E63BB" w:rsidRDefault="00993172" w:rsidP="0065184D">
            <w:pPr>
              <w:jc w:val="right"/>
              <w:rPr>
                <w:rFonts w:eastAsia="Times New Roman"/>
                <w:sz w:val="24"/>
                <w:szCs w:val="24"/>
              </w:rPr>
            </w:pPr>
            <w:r w:rsidRPr="008E63BB">
              <w:rPr>
                <w:rFonts w:eastAsia="Times New Roman"/>
                <w:sz w:val="24"/>
                <w:szCs w:val="24"/>
              </w:rPr>
              <w:t>21</w:t>
            </w:r>
          </w:p>
        </w:tc>
        <w:tc>
          <w:tcPr>
            <w:tcW w:w="708" w:type="dxa"/>
            <w:tcBorders>
              <w:top w:val="nil"/>
              <w:left w:val="nil"/>
              <w:bottom w:val="single" w:sz="4" w:space="0" w:color="auto"/>
              <w:right w:val="single" w:sz="4" w:space="0" w:color="auto"/>
            </w:tcBorders>
            <w:shd w:val="clear" w:color="auto" w:fill="auto"/>
            <w:noWrap/>
            <w:vAlign w:val="bottom"/>
            <w:hideMark/>
          </w:tcPr>
          <w:p w14:paraId="519B4FFA" w14:textId="77777777" w:rsidR="00993172" w:rsidRPr="008E63BB" w:rsidRDefault="00993172" w:rsidP="0065184D">
            <w:pPr>
              <w:jc w:val="right"/>
              <w:rPr>
                <w:rFonts w:eastAsia="Times New Roman"/>
                <w:sz w:val="24"/>
                <w:szCs w:val="24"/>
              </w:rPr>
            </w:pPr>
            <w:r w:rsidRPr="008E63BB">
              <w:rPr>
                <w:rFonts w:eastAsia="Times New Roman"/>
                <w:sz w:val="24"/>
                <w:szCs w:val="24"/>
              </w:rPr>
              <w:t>59,1</w:t>
            </w:r>
          </w:p>
        </w:tc>
        <w:tc>
          <w:tcPr>
            <w:tcW w:w="709" w:type="dxa"/>
            <w:tcBorders>
              <w:top w:val="nil"/>
              <w:left w:val="nil"/>
              <w:bottom w:val="single" w:sz="4" w:space="0" w:color="auto"/>
              <w:right w:val="single" w:sz="4" w:space="0" w:color="auto"/>
            </w:tcBorders>
            <w:shd w:val="clear" w:color="auto" w:fill="auto"/>
            <w:noWrap/>
            <w:vAlign w:val="bottom"/>
            <w:hideMark/>
          </w:tcPr>
          <w:p w14:paraId="519B4FFB" w14:textId="77777777" w:rsidR="00993172" w:rsidRPr="008E63BB" w:rsidRDefault="00993172" w:rsidP="0065184D">
            <w:pPr>
              <w:jc w:val="right"/>
              <w:rPr>
                <w:rFonts w:eastAsia="Times New Roman"/>
                <w:sz w:val="24"/>
                <w:szCs w:val="24"/>
              </w:rPr>
            </w:pPr>
            <w:r w:rsidRPr="008E63BB">
              <w:rPr>
                <w:rFonts w:eastAsia="Times New Roman"/>
                <w:sz w:val="24"/>
                <w:szCs w:val="24"/>
              </w:rPr>
              <w:t>40</w:t>
            </w:r>
          </w:p>
        </w:tc>
        <w:tc>
          <w:tcPr>
            <w:tcW w:w="706" w:type="dxa"/>
            <w:tcBorders>
              <w:top w:val="nil"/>
              <w:left w:val="nil"/>
              <w:bottom w:val="single" w:sz="4" w:space="0" w:color="auto"/>
              <w:right w:val="single" w:sz="4" w:space="0" w:color="auto"/>
            </w:tcBorders>
            <w:shd w:val="clear" w:color="auto" w:fill="auto"/>
            <w:noWrap/>
            <w:vAlign w:val="bottom"/>
            <w:hideMark/>
          </w:tcPr>
          <w:p w14:paraId="519B4FFC" w14:textId="77777777" w:rsidR="00993172" w:rsidRPr="008E63BB" w:rsidRDefault="00993172" w:rsidP="0065184D">
            <w:pPr>
              <w:jc w:val="right"/>
              <w:rPr>
                <w:rFonts w:eastAsia="Times New Roman"/>
                <w:sz w:val="24"/>
                <w:szCs w:val="24"/>
              </w:rPr>
            </w:pPr>
            <w:r w:rsidRPr="008E63BB">
              <w:rPr>
                <w:rFonts w:eastAsia="Times New Roman"/>
                <w:sz w:val="24"/>
                <w:szCs w:val="24"/>
              </w:rPr>
              <w:t>57,4</w:t>
            </w:r>
          </w:p>
        </w:tc>
        <w:tc>
          <w:tcPr>
            <w:tcW w:w="683" w:type="dxa"/>
            <w:tcBorders>
              <w:top w:val="nil"/>
              <w:left w:val="nil"/>
              <w:bottom w:val="single" w:sz="4" w:space="0" w:color="auto"/>
              <w:right w:val="single" w:sz="4" w:space="0" w:color="auto"/>
            </w:tcBorders>
            <w:shd w:val="clear" w:color="auto" w:fill="auto"/>
            <w:noWrap/>
            <w:vAlign w:val="bottom"/>
            <w:hideMark/>
          </w:tcPr>
          <w:p w14:paraId="519B4FFD" w14:textId="77777777" w:rsidR="00993172" w:rsidRPr="008E63BB" w:rsidRDefault="00993172" w:rsidP="0065184D">
            <w:pPr>
              <w:jc w:val="right"/>
              <w:rPr>
                <w:rFonts w:eastAsia="Times New Roman"/>
                <w:sz w:val="24"/>
                <w:szCs w:val="24"/>
              </w:rPr>
            </w:pPr>
            <w:r w:rsidRPr="008E63BB">
              <w:rPr>
                <w:rFonts w:eastAsia="Times New Roman"/>
                <w:sz w:val="24"/>
                <w:szCs w:val="24"/>
              </w:rPr>
              <w:t>38</w:t>
            </w:r>
          </w:p>
        </w:tc>
        <w:tc>
          <w:tcPr>
            <w:tcW w:w="696" w:type="dxa"/>
            <w:tcBorders>
              <w:top w:val="nil"/>
              <w:left w:val="nil"/>
              <w:bottom w:val="single" w:sz="4" w:space="0" w:color="auto"/>
              <w:right w:val="single" w:sz="4" w:space="0" w:color="auto"/>
            </w:tcBorders>
            <w:shd w:val="clear" w:color="auto" w:fill="auto"/>
            <w:noWrap/>
            <w:vAlign w:val="bottom"/>
            <w:hideMark/>
          </w:tcPr>
          <w:p w14:paraId="519B4FFE" w14:textId="77777777" w:rsidR="00993172" w:rsidRPr="008E63BB" w:rsidRDefault="00993172" w:rsidP="0065184D">
            <w:pPr>
              <w:jc w:val="right"/>
              <w:rPr>
                <w:rFonts w:eastAsia="Times New Roman"/>
                <w:sz w:val="24"/>
                <w:szCs w:val="24"/>
              </w:rPr>
            </w:pPr>
            <w:r w:rsidRPr="008E63BB">
              <w:rPr>
                <w:rFonts w:eastAsia="Times New Roman"/>
                <w:sz w:val="24"/>
                <w:szCs w:val="24"/>
              </w:rPr>
              <w:t>57,6</w:t>
            </w:r>
          </w:p>
        </w:tc>
        <w:tc>
          <w:tcPr>
            <w:tcW w:w="727" w:type="dxa"/>
            <w:tcBorders>
              <w:top w:val="nil"/>
              <w:left w:val="nil"/>
              <w:bottom w:val="single" w:sz="4" w:space="0" w:color="auto"/>
              <w:right w:val="single" w:sz="4" w:space="0" w:color="auto"/>
            </w:tcBorders>
            <w:shd w:val="clear" w:color="auto" w:fill="auto"/>
            <w:noWrap/>
            <w:vAlign w:val="bottom"/>
            <w:hideMark/>
          </w:tcPr>
          <w:p w14:paraId="519B4FFF" w14:textId="77777777" w:rsidR="00993172" w:rsidRPr="008E63BB" w:rsidRDefault="00993172" w:rsidP="0065184D">
            <w:pPr>
              <w:jc w:val="right"/>
              <w:rPr>
                <w:rFonts w:eastAsia="Times New Roman"/>
                <w:sz w:val="24"/>
                <w:szCs w:val="24"/>
              </w:rPr>
            </w:pPr>
            <w:r w:rsidRPr="008E63BB">
              <w:rPr>
                <w:rFonts w:eastAsia="Times New Roman"/>
                <w:sz w:val="24"/>
                <w:szCs w:val="24"/>
              </w:rPr>
              <w:t>40</w:t>
            </w:r>
          </w:p>
        </w:tc>
        <w:tc>
          <w:tcPr>
            <w:tcW w:w="704" w:type="dxa"/>
            <w:tcBorders>
              <w:top w:val="nil"/>
              <w:left w:val="nil"/>
              <w:bottom w:val="single" w:sz="4" w:space="0" w:color="auto"/>
              <w:right w:val="single" w:sz="4" w:space="0" w:color="auto"/>
            </w:tcBorders>
            <w:shd w:val="clear" w:color="auto" w:fill="auto"/>
            <w:noWrap/>
            <w:vAlign w:val="bottom"/>
            <w:hideMark/>
          </w:tcPr>
          <w:p w14:paraId="519B5000" w14:textId="77777777" w:rsidR="00993172" w:rsidRPr="008E63BB" w:rsidRDefault="00993172" w:rsidP="0065184D">
            <w:pPr>
              <w:jc w:val="right"/>
              <w:rPr>
                <w:rFonts w:eastAsia="Times New Roman"/>
                <w:sz w:val="24"/>
                <w:szCs w:val="24"/>
              </w:rPr>
            </w:pPr>
            <w:r w:rsidRPr="008E63BB">
              <w:rPr>
                <w:rFonts w:eastAsia="Times New Roman"/>
                <w:sz w:val="24"/>
                <w:szCs w:val="24"/>
              </w:rPr>
              <w:t>57,7</w:t>
            </w:r>
          </w:p>
        </w:tc>
        <w:tc>
          <w:tcPr>
            <w:tcW w:w="683" w:type="dxa"/>
            <w:tcBorders>
              <w:top w:val="nil"/>
              <w:left w:val="nil"/>
              <w:bottom w:val="single" w:sz="4" w:space="0" w:color="auto"/>
              <w:right w:val="single" w:sz="4" w:space="0" w:color="auto"/>
            </w:tcBorders>
            <w:shd w:val="clear" w:color="auto" w:fill="auto"/>
            <w:noWrap/>
            <w:vAlign w:val="bottom"/>
            <w:hideMark/>
          </w:tcPr>
          <w:p w14:paraId="519B5001" w14:textId="77777777" w:rsidR="00993172" w:rsidRPr="008E63BB" w:rsidRDefault="00993172" w:rsidP="0065184D">
            <w:pPr>
              <w:jc w:val="right"/>
              <w:rPr>
                <w:rFonts w:eastAsia="Times New Roman"/>
                <w:sz w:val="24"/>
                <w:szCs w:val="24"/>
              </w:rPr>
            </w:pPr>
            <w:r w:rsidRPr="008E63BB">
              <w:rPr>
                <w:rFonts w:eastAsia="Times New Roman"/>
                <w:sz w:val="24"/>
                <w:szCs w:val="24"/>
              </w:rPr>
              <w:t>34</w:t>
            </w:r>
          </w:p>
        </w:tc>
        <w:tc>
          <w:tcPr>
            <w:tcW w:w="704" w:type="dxa"/>
            <w:tcBorders>
              <w:top w:val="nil"/>
              <w:left w:val="nil"/>
              <w:bottom w:val="single" w:sz="4" w:space="0" w:color="auto"/>
              <w:right w:val="single" w:sz="4" w:space="0" w:color="auto"/>
            </w:tcBorders>
            <w:shd w:val="clear" w:color="auto" w:fill="auto"/>
            <w:noWrap/>
            <w:vAlign w:val="bottom"/>
            <w:hideMark/>
          </w:tcPr>
          <w:p w14:paraId="519B5002" w14:textId="77777777" w:rsidR="00993172" w:rsidRPr="008E63BB" w:rsidRDefault="00993172" w:rsidP="0065184D">
            <w:pPr>
              <w:jc w:val="right"/>
              <w:rPr>
                <w:rFonts w:eastAsia="Times New Roman"/>
                <w:sz w:val="24"/>
                <w:szCs w:val="24"/>
              </w:rPr>
            </w:pPr>
            <w:r w:rsidRPr="008E63BB">
              <w:rPr>
                <w:rFonts w:eastAsia="Times New Roman"/>
                <w:sz w:val="24"/>
                <w:szCs w:val="24"/>
              </w:rPr>
              <w:t>62,0</w:t>
            </w:r>
          </w:p>
        </w:tc>
        <w:tc>
          <w:tcPr>
            <w:tcW w:w="744" w:type="dxa"/>
            <w:tcBorders>
              <w:top w:val="nil"/>
              <w:left w:val="nil"/>
              <w:bottom w:val="single" w:sz="4" w:space="0" w:color="auto"/>
              <w:right w:val="single" w:sz="4" w:space="0" w:color="auto"/>
            </w:tcBorders>
            <w:shd w:val="clear" w:color="auto" w:fill="auto"/>
            <w:noWrap/>
            <w:vAlign w:val="bottom"/>
            <w:hideMark/>
          </w:tcPr>
          <w:p w14:paraId="519B5003" w14:textId="77777777" w:rsidR="00993172" w:rsidRPr="008E63BB" w:rsidRDefault="00993172" w:rsidP="0065184D">
            <w:pPr>
              <w:jc w:val="right"/>
              <w:rPr>
                <w:rFonts w:eastAsia="Times New Roman"/>
                <w:sz w:val="24"/>
                <w:szCs w:val="24"/>
              </w:rPr>
            </w:pPr>
            <w:r w:rsidRPr="008E63BB">
              <w:rPr>
                <w:rFonts w:eastAsia="Times New Roman"/>
                <w:sz w:val="24"/>
                <w:szCs w:val="24"/>
              </w:rPr>
              <w:t>32</w:t>
            </w:r>
          </w:p>
        </w:tc>
        <w:tc>
          <w:tcPr>
            <w:tcW w:w="696" w:type="dxa"/>
            <w:tcBorders>
              <w:top w:val="nil"/>
              <w:left w:val="nil"/>
              <w:bottom w:val="single" w:sz="4" w:space="0" w:color="auto"/>
              <w:right w:val="single" w:sz="4" w:space="0" w:color="auto"/>
            </w:tcBorders>
            <w:shd w:val="clear" w:color="auto" w:fill="auto"/>
            <w:noWrap/>
            <w:vAlign w:val="bottom"/>
            <w:hideMark/>
          </w:tcPr>
          <w:p w14:paraId="519B5004" w14:textId="77777777" w:rsidR="00993172" w:rsidRPr="008E63BB" w:rsidRDefault="00993172" w:rsidP="0065184D">
            <w:pPr>
              <w:jc w:val="right"/>
              <w:rPr>
                <w:rFonts w:eastAsia="Times New Roman"/>
                <w:sz w:val="24"/>
                <w:szCs w:val="24"/>
              </w:rPr>
            </w:pPr>
            <w:r w:rsidRPr="008E63BB">
              <w:rPr>
                <w:rFonts w:eastAsia="Times New Roman"/>
                <w:sz w:val="24"/>
                <w:szCs w:val="24"/>
              </w:rPr>
              <w:t>63,2</w:t>
            </w:r>
          </w:p>
        </w:tc>
      </w:tr>
    </w:tbl>
    <w:p w14:paraId="519B5006" w14:textId="77777777" w:rsidR="00993172" w:rsidRPr="008E63BB" w:rsidRDefault="00993172" w:rsidP="0065184D">
      <w:pPr>
        <w:rPr>
          <w:b/>
          <w:szCs w:val="26"/>
        </w:rPr>
      </w:pPr>
    </w:p>
    <w:p w14:paraId="519B5007" w14:textId="77777777" w:rsidR="00993172" w:rsidRPr="008E63BB" w:rsidRDefault="00993172" w:rsidP="0065184D">
      <w:pPr>
        <w:rPr>
          <w:b/>
          <w:szCs w:val="26"/>
        </w:rPr>
      </w:pPr>
      <w:r w:rsidRPr="008E63BB">
        <w:rPr>
          <w:b/>
          <w:szCs w:val="26"/>
        </w:rPr>
        <w:t>Hiện trạng tình hình giáo dục</w:t>
      </w:r>
    </w:p>
    <w:tbl>
      <w:tblPr>
        <w:tblW w:w="14807" w:type="dxa"/>
        <w:tblInd w:w="113" w:type="dxa"/>
        <w:tblLook w:val="04A0" w:firstRow="1" w:lastRow="0" w:firstColumn="1" w:lastColumn="0" w:noHBand="0" w:noVBand="1"/>
      </w:tblPr>
      <w:tblGrid>
        <w:gridCol w:w="510"/>
        <w:gridCol w:w="2746"/>
        <w:gridCol w:w="860"/>
        <w:gridCol w:w="876"/>
        <w:gridCol w:w="576"/>
        <w:gridCol w:w="860"/>
        <w:gridCol w:w="876"/>
        <w:gridCol w:w="577"/>
        <w:gridCol w:w="860"/>
        <w:gridCol w:w="876"/>
        <w:gridCol w:w="577"/>
        <w:gridCol w:w="860"/>
        <w:gridCol w:w="876"/>
        <w:gridCol w:w="577"/>
        <w:gridCol w:w="860"/>
        <w:gridCol w:w="876"/>
        <w:gridCol w:w="564"/>
      </w:tblGrid>
      <w:tr w:rsidR="008D5BFE" w:rsidRPr="008E63BB" w14:paraId="519B500D" w14:textId="77777777" w:rsidTr="00C2092A">
        <w:trPr>
          <w:cantSplit/>
          <w:trHeight w:val="255"/>
          <w:tblHeader/>
        </w:trPr>
        <w:tc>
          <w:tcPr>
            <w:tcW w:w="5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5008" w14:textId="77777777" w:rsidR="00993172" w:rsidRPr="008E63BB" w:rsidRDefault="00993172" w:rsidP="0065184D">
            <w:pPr>
              <w:jc w:val="center"/>
              <w:rPr>
                <w:rFonts w:eastAsia="Times New Roman"/>
                <w:sz w:val="24"/>
                <w:szCs w:val="24"/>
              </w:rPr>
            </w:pPr>
            <w:r w:rsidRPr="008E63BB">
              <w:rPr>
                <w:rFonts w:eastAsia="Times New Roman"/>
                <w:sz w:val="24"/>
                <w:szCs w:val="24"/>
              </w:rPr>
              <w:t>TT</w:t>
            </w:r>
          </w:p>
        </w:tc>
        <w:tc>
          <w:tcPr>
            <w:tcW w:w="274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5009" w14:textId="77777777" w:rsidR="00993172" w:rsidRPr="008E63BB" w:rsidRDefault="00993172" w:rsidP="0065184D">
            <w:pPr>
              <w:jc w:val="center"/>
              <w:rPr>
                <w:rFonts w:eastAsia="Times New Roman"/>
                <w:sz w:val="24"/>
                <w:szCs w:val="24"/>
              </w:rPr>
            </w:pPr>
            <w:r w:rsidRPr="008E63BB">
              <w:rPr>
                <w:rFonts w:eastAsia="Times New Roman"/>
                <w:sz w:val="24"/>
                <w:szCs w:val="24"/>
              </w:rPr>
              <w:t>Danh mục</w:t>
            </w:r>
          </w:p>
        </w:tc>
        <w:tc>
          <w:tcPr>
            <w:tcW w:w="2312"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519B500A" w14:textId="77777777" w:rsidR="00993172" w:rsidRPr="008E63BB" w:rsidRDefault="00993172" w:rsidP="0065184D">
            <w:pPr>
              <w:jc w:val="center"/>
              <w:rPr>
                <w:rFonts w:eastAsia="Times New Roman"/>
                <w:sz w:val="24"/>
                <w:szCs w:val="24"/>
              </w:rPr>
            </w:pPr>
            <w:r w:rsidRPr="008E63BB">
              <w:rPr>
                <w:rFonts w:eastAsia="Times New Roman"/>
                <w:sz w:val="24"/>
                <w:szCs w:val="24"/>
              </w:rPr>
              <w:t>Tổng</w:t>
            </w:r>
          </w:p>
        </w:tc>
        <w:tc>
          <w:tcPr>
            <w:tcW w:w="6939" w:type="dxa"/>
            <w:gridSpan w:val="9"/>
            <w:tcBorders>
              <w:top w:val="single" w:sz="4" w:space="0" w:color="auto"/>
              <w:left w:val="nil"/>
              <w:bottom w:val="single" w:sz="4" w:space="0" w:color="auto"/>
              <w:right w:val="single" w:sz="4" w:space="0" w:color="000000"/>
            </w:tcBorders>
            <w:shd w:val="clear" w:color="auto" w:fill="auto"/>
            <w:vAlign w:val="center"/>
            <w:hideMark/>
          </w:tcPr>
          <w:p w14:paraId="519B500B" w14:textId="77777777" w:rsidR="00993172" w:rsidRPr="008E63BB" w:rsidRDefault="00993172" w:rsidP="0065184D">
            <w:pPr>
              <w:jc w:val="center"/>
              <w:rPr>
                <w:rFonts w:eastAsia="Times New Roman"/>
                <w:sz w:val="24"/>
                <w:szCs w:val="24"/>
              </w:rPr>
            </w:pPr>
            <w:r w:rsidRPr="008E63BB">
              <w:rPr>
                <w:rFonts w:eastAsia="Times New Roman"/>
                <w:sz w:val="24"/>
                <w:szCs w:val="24"/>
              </w:rPr>
              <w:t>Số học sinh khối phổ thông 2018</w:t>
            </w:r>
          </w:p>
        </w:tc>
        <w:tc>
          <w:tcPr>
            <w:tcW w:w="2300" w:type="dxa"/>
            <w:gridSpan w:val="3"/>
            <w:vMerge w:val="restart"/>
            <w:tcBorders>
              <w:top w:val="single" w:sz="4" w:space="0" w:color="auto"/>
              <w:left w:val="nil"/>
              <w:bottom w:val="single" w:sz="4" w:space="0" w:color="000000"/>
              <w:right w:val="single" w:sz="4" w:space="0" w:color="000000"/>
            </w:tcBorders>
            <w:shd w:val="clear" w:color="auto" w:fill="auto"/>
            <w:vAlign w:val="center"/>
            <w:hideMark/>
          </w:tcPr>
          <w:p w14:paraId="519B500C" w14:textId="77777777" w:rsidR="00993172" w:rsidRPr="008E63BB" w:rsidRDefault="00993172" w:rsidP="0065184D">
            <w:pPr>
              <w:jc w:val="center"/>
              <w:rPr>
                <w:rFonts w:eastAsia="Times New Roman"/>
                <w:sz w:val="24"/>
                <w:szCs w:val="24"/>
              </w:rPr>
            </w:pPr>
            <w:r w:rsidRPr="008E63BB">
              <w:rPr>
                <w:rFonts w:eastAsia="Times New Roman"/>
                <w:sz w:val="24"/>
                <w:szCs w:val="24"/>
              </w:rPr>
              <w:t>học sinh khối PTTH</w:t>
            </w:r>
          </w:p>
        </w:tc>
      </w:tr>
      <w:tr w:rsidR="008D5BFE" w:rsidRPr="008E63BB" w14:paraId="519B5015" w14:textId="77777777" w:rsidTr="00C2092A">
        <w:trPr>
          <w:cantSplit/>
          <w:trHeight w:val="390"/>
          <w:tblHeader/>
        </w:trPr>
        <w:tc>
          <w:tcPr>
            <w:tcW w:w="510" w:type="dxa"/>
            <w:vMerge/>
            <w:tcBorders>
              <w:top w:val="single" w:sz="4" w:space="0" w:color="auto"/>
              <w:left w:val="single" w:sz="4" w:space="0" w:color="auto"/>
              <w:bottom w:val="single" w:sz="4" w:space="0" w:color="000000"/>
              <w:right w:val="single" w:sz="4" w:space="0" w:color="auto"/>
            </w:tcBorders>
            <w:vAlign w:val="center"/>
            <w:hideMark/>
          </w:tcPr>
          <w:p w14:paraId="519B500E" w14:textId="77777777" w:rsidR="00993172" w:rsidRPr="008E63BB" w:rsidRDefault="00993172" w:rsidP="0065184D">
            <w:pPr>
              <w:jc w:val="left"/>
              <w:rPr>
                <w:rFonts w:eastAsia="Times New Roman"/>
                <w:sz w:val="24"/>
                <w:szCs w:val="24"/>
              </w:rPr>
            </w:pPr>
          </w:p>
        </w:tc>
        <w:tc>
          <w:tcPr>
            <w:tcW w:w="2746" w:type="dxa"/>
            <w:vMerge/>
            <w:tcBorders>
              <w:top w:val="single" w:sz="4" w:space="0" w:color="auto"/>
              <w:left w:val="single" w:sz="4" w:space="0" w:color="auto"/>
              <w:bottom w:val="single" w:sz="4" w:space="0" w:color="000000"/>
              <w:right w:val="single" w:sz="4" w:space="0" w:color="auto"/>
            </w:tcBorders>
            <w:vAlign w:val="center"/>
            <w:hideMark/>
          </w:tcPr>
          <w:p w14:paraId="519B500F" w14:textId="77777777" w:rsidR="00993172" w:rsidRPr="008E63BB" w:rsidRDefault="00993172" w:rsidP="0065184D">
            <w:pPr>
              <w:jc w:val="left"/>
              <w:rPr>
                <w:rFonts w:eastAsia="Times New Roman"/>
                <w:sz w:val="24"/>
                <w:szCs w:val="24"/>
              </w:rPr>
            </w:pPr>
          </w:p>
        </w:tc>
        <w:tc>
          <w:tcPr>
            <w:tcW w:w="2312" w:type="dxa"/>
            <w:gridSpan w:val="3"/>
            <w:vMerge/>
            <w:tcBorders>
              <w:top w:val="single" w:sz="4" w:space="0" w:color="auto"/>
              <w:left w:val="single" w:sz="4" w:space="0" w:color="auto"/>
              <w:bottom w:val="single" w:sz="4" w:space="0" w:color="000000"/>
              <w:right w:val="single" w:sz="4" w:space="0" w:color="000000"/>
            </w:tcBorders>
            <w:vAlign w:val="center"/>
            <w:hideMark/>
          </w:tcPr>
          <w:p w14:paraId="519B5010" w14:textId="77777777" w:rsidR="00993172" w:rsidRPr="008E63BB" w:rsidRDefault="00993172" w:rsidP="0065184D">
            <w:pPr>
              <w:jc w:val="left"/>
              <w:rPr>
                <w:rFonts w:eastAsia="Times New Roman"/>
                <w:sz w:val="24"/>
                <w:szCs w:val="24"/>
              </w:rPr>
            </w:pPr>
          </w:p>
        </w:tc>
        <w:tc>
          <w:tcPr>
            <w:tcW w:w="2313" w:type="dxa"/>
            <w:gridSpan w:val="3"/>
            <w:tcBorders>
              <w:top w:val="single" w:sz="4" w:space="0" w:color="auto"/>
              <w:left w:val="nil"/>
              <w:bottom w:val="single" w:sz="4" w:space="0" w:color="auto"/>
              <w:right w:val="single" w:sz="4" w:space="0" w:color="auto"/>
            </w:tcBorders>
            <w:shd w:val="clear" w:color="auto" w:fill="auto"/>
            <w:vAlign w:val="center"/>
            <w:hideMark/>
          </w:tcPr>
          <w:p w14:paraId="519B5011" w14:textId="77777777" w:rsidR="00993172" w:rsidRPr="008E63BB" w:rsidRDefault="00993172" w:rsidP="0065184D">
            <w:pPr>
              <w:jc w:val="center"/>
              <w:rPr>
                <w:rFonts w:eastAsia="Times New Roman"/>
                <w:sz w:val="24"/>
                <w:szCs w:val="24"/>
              </w:rPr>
            </w:pPr>
            <w:r w:rsidRPr="008E63BB">
              <w:rPr>
                <w:rFonts w:eastAsia="Times New Roman"/>
                <w:sz w:val="24"/>
                <w:szCs w:val="24"/>
              </w:rPr>
              <w:t>Mầm non</w:t>
            </w:r>
          </w:p>
        </w:tc>
        <w:tc>
          <w:tcPr>
            <w:tcW w:w="2313" w:type="dxa"/>
            <w:gridSpan w:val="3"/>
            <w:tcBorders>
              <w:top w:val="single" w:sz="4" w:space="0" w:color="auto"/>
              <w:left w:val="nil"/>
              <w:bottom w:val="single" w:sz="4" w:space="0" w:color="auto"/>
              <w:right w:val="single" w:sz="4" w:space="0" w:color="auto"/>
            </w:tcBorders>
            <w:shd w:val="clear" w:color="auto" w:fill="auto"/>
            <w:vAlign w:val="center"/>
            <w:hideMark/>
          </w:tcPr>
          <w:p w14:paraId="519B5012" w14:textId="77777777" w:rsidR="00993172" w:rsidRPr="008E63BB" w:rsidRDefault="00993172" w:rsidP="0065184D">
            <w:pPr>
              <w:jc w:val="center"/>
              <w:rPr>
                <w:rFonts w:eastAsia="Times New Roman"/>
                <w:sz w:val="24"/>
                <w:szCs w:val="24"/>
              </w:rPr>
            </w:pPr>
            <w:r w:rsidRPr="008E63BB">
              <w:rPr>
                <w:rFonts w:eastAsia="Times New Roman"/>
                <w:sz w:val="24"/>
                <w:szCs w:val="24"/>
              </w:rPr>
              <w:t>Tiểu học</w:t>
            </w:r>
          </w:p>
        </w:tc>
        <w:tc>
          <w:tcPr>
            <w:tcW w:w="2313" w:type="dxa"/>
            <w:gridSpan w:val="3"/>
            <w:tcBorders>
              <w:top w:val="single" w:sz="4" w:space="0" w:color="auto"/>
              <w:left w:val="nil"/>
              <w:bottom w:val="single" w:sz="4" w:space="0" w:color="auto"/>
              <w:right w:val="single" w:sz="4" w:space="0" w:color="auto"/>
            </w:tcBorders>
            <w:shd w:val="clear" w:color="auto" w:fill="auto"/>
            <w:vAlign w:val="center"/>
            <w:hideMark/>
          </w:tcPr>
          <w:p w14:paraId="519B5013" w14:textId="77777777" w:rsidR="00993172" w:rsidRPr="008E63BB" w:rsidRDefault="00993172" w:rsidP="0065184D">
            <w:pPr>
              <w:jc w:val="center"/>
              <w:rPr>
                <w:rFonts w:eastAsia="Times New Roman"/>
                <w:sz w:val="24"/>
                <w:szCs w:val="24"/>
              </w:rPr>
            </w:pPr>
            <w:r w:rsidRPr="008E63BB">
              <w:rPr>
                <w:rFonts w:eastAsia="Times New Roman"/>
                <w:sz w:val="24"/>
                <w:szCs w:val="24"/>
              </w:rPr>
              <w:t>THCS</w:t>
            </w:r>
          </w:p>
        </w:tc>
        <w:tc>
          <w:tcPr>
            <w:tcW w:w="2300" w:type="dxa"/>
            <w:gridSpan w:val="3"/>
            <w:vMerge/>
            <w:tcBorders>
              <w:top w:val="single" w:sz="4" w:space="0" w:color="auto"/>
              <w:left w:val="nil"/>
              <w:bottom w:val="single" w:sz="4" w:space="0" w:color="000000"/>
              <w:right w:val="single" w:sz="4" w:space="0" w:color="000000"/>
            </w:tcBorders>
            <w:vAlign w:val="center"/>
            <w:hideMark/>
          </w:tcPr>
          <w:p w14:paraId="519B5014" w14:textId="77777777" w:rsidR="00993172" w:rsidRPr="008E63BB" w:rsidRDefault="00993172" w:rsidP="0065184D">
            <w:pPr>
              <w:jc w:val="left"/>
              <w:rPr>
                <w:rFonts w:eastAsia="Times New Roman"/>
                <w:sz w:val="24"/>
                <w:szCs w:val="24"/>
              </w:rPr>
            </w:pPr>
          </w:p>
        </w:tc>
      </w:tr>
      <w:tr w:rsidR="008D5BFE" w:rsidRPr="008E63BB" w14:paraId="519B5027" w14:textId="77777777" w:rsidTr="00C2092A">
        <w:trPr>
          <w:cantSplit/>
          <w:trHeight w:val="780"/>
          <w:tblHeader/>
        </w:trPr>
        <w:tc>
          <w:tcPr>
            <w:tcW w:w="510" w:type="dxa"/>
            <w:vMerge/>
            <w:tcBorders>
              <w:top w:val="single" w:sz="4" w:space="0" w:color="auto"/>
              <w:left w:val="single" w:sz="4" w:space="0" w:color="auto"/>
              <w:bottom w:val="single" w:sz="4" w:space="0" w:color="000000"/>
              <w:right w:val="single" w:sz="4" w:space="0" w:color="auto"/>
            </w:tcBorders>
            <w:vAlign w:val="center"/>
            <w:hideMark/>
          </w:tcPr>
          <w:p w14:paraId="519B5016" w14:textId="77777777" w:rsidR="00993172" w:rsidRPr="008E63BB" w:rsidRDefault="00993172" w:rsidP="0065184D">
            <w:pPr>
              <w:jc w:val="left"/>
              <w:rPr>
                <w:rFonts w:eastAsia="Times New Roman"/>
                <w:sz w:val="24"/>
                <w:szCs w:val="24"/>
              </w:rPr>
            </w:pPr>
          </w:p>
        </w:tc>
        <w:tc>
          <w:tcPr>
            <w:tcW w:w="2746" w:type="dxa"/>
            <w:vMerge/>
            <w:tcBorders>
              <w:top w:val="single" w:sz="4" w:space="0" w:color="auto"/>
              <w:left w:val="single" w:sz="4" w:space="0" w:color="auto"/>
              <w:bottom w:val="single" w:sz="4" w:space="0" w:color="000000"/>
              <w:right w:val="single" w:sz="4" w:space="0" w:color="auto"/>
            </w:tcBorders>
            <w:vAlign w:val="center"/>
            <w:hideMark/>
          </w:tcPr>
          <w:p w14:paraId="519B5017" w14:textId="77777777" w:rsidR="00993172" w:rsidRPr="008E63BB" w:rsidRDefault="00993172" w:rsidP="0065184D">
            <w:pPr>
              <w:jc w:val="left"/>
              <w:rPr>
                <w:rFonts w:eastAsia="Times New Roman"/>
                <w:sz w:val="24"/>
                <w:szCs w:val="24"/>
              </w:rPr>
            </w:pPr>
          </w:p>
        </w:tc>
        <w:tc>
          <w:tcPr>
            <w:tcW w:w="860" w:type="dxa"/>
            <w:tcBorders>
              <w:top w:val="nil"/>
              <w:left w:val="nil"/>
              <w:bottom w:val="single" w:sz="4" w:space="0" w:color="auto"/>
              <w:right w:val="single" w:sz="4" w:space="0" w:color="auto"/>
            </w:tcBorders>
            <w:shd w:val="clear" w:color="auto" w:fill="auto"/>
            <w:vAlign w:val="center"/>
            <w:hideMark/>
          </w:tcPr>
          <w:p w14:paraId="519B5018" w14:textId="77777777" w:rsidR="00993172" w:rsidRPr="008E63BB" w:rsidRDefault="00993172" w:rsidP="0065184D">
            <w:pPr>
              <w:jc w:val="center"/>
              <w:rPr>
                <w:rFonts w:eastAsia="Times New Roman"/>
                <w:sz w:val="24"/>
                <w:szCs w:val="24"/>
              </w:rPr>
            </w:pPr>
            <w:r w:rsidRPr="008E63BB">
              <w:rPr>
                <w:rFonts w:eastAsia="Times New Roman"/>
                <w:sz w:val="24"/>
                <w:szCs w:val="24"/>
              </w:rPr>
              <w:t>Số trường</w:t>
            </w:r>
          </w:p>
        </w:tc>
        <w:tc>
          <w:tcPr>
            <w:tcW w:w="876" w:type="dxa"/>
            <w:tcBorders>
              <w:top w:val="nil"/>
              <w:left w:val="nil"/>
              <w:bottom w:val="single" w:sz="4" w:space="0" w:color="auto"/>
              <w:right w:val="single" w:sz="4" w:space="0" w:color="auto"/>
            </w:tcBorders>
            <w:shd w:val="clear" w:color="auto" w:fill="auto"/>
            <w:vAlign w:val="center"/>
            <w:hideMark/>
          </w:tcPr>
          <w:p w14:paraId="519B5019" w14:textId="77777777" w:rsidR="00993172" w:rsidRPr="008E63BB" w:rsidRDefault="00993172" w:rsidP="0065184D">
            <w:pPr>
              <w:jc w:val="center"/>
              <w:rPr>
                <w:rFonts w:eastAsia="Times New Roman"/>
                <w:sz w:val="24"/>
                <w:szCs w:val="24"/>
              </w:rPr>
            </w:pPr>
            <w:r w:rsidRPr="008E63BB">
              <w:rPr>
                <w:rFonts w:eastAsia="Times New Roman"/>
                <w:sz w:val="24"/>
                <w:szCs w:val="24"/>
              </w:rPr>
              <w:t>Số học sinh</w:t>
            </w:r>
          </w:p>
        </w:tc>
        <w:tc>
          <w:tcPr>
            <w:tcW w:w="576" w:type="dxa"/>
            <w:tcBorders>
              <w:top w:val="nil"/>
              <w:left w:val="nil"/>
              <w:bottom w:val="single" w:sz="4" w:space="0" w:color="auto"/>
              <w:right w:val="single" w:sz="4" w:space="0" w:color="auto"/>
            </w:tcBorders>
            <w:shd w:val="clear" w:color="auto" w:fill="auto"/>
            <w:vAlign w:val="center"/>
            <w:hideMark/>
          </w:tcPr>
          <w:p w14:paraId="519B501A" w14:textId="77777777" w:rsidR="00993172" w:rsidRPr="008E63BB" w:rsidRDefault="00993172" w:rsidP="0065184D">
            <w:pPr>
              <w:jc w:val="center"/>
              <w:rPr>
                <w:rFonts w:eastAsia="Times New Roman"/>
                <w:sz w:val="24"/>
                <w:szCs w:val="24"/>
              </w:rPr>
            </w:pPr>
            <w:r w:rsidRPr="008E63BB">
              <w:rPr>
                <w:rFonts w:eastAsia="Times New Roman"/>
                <w:sz w:val="24"/>
                <w:szCs w:val="24"/>
              </w:rPr>
              <w:t>số lớp học</w:t>
            </w:r>
          </w:p>
        </w:tc>
        <w:tc>
          <w:tcPr>
            <w:tcW w:w="860" w:type="dxa"/>
            <w:tcBorders>
              <w:top w:val="nil"/>
              <w:left w:val="nil"/>
              <w:bottom w:val="single" w:sz="4" w:space="0" w:color="auto"/>
              <w:right w:val="single" w:sz="4" w:space="0" w:color="auto"/>
            </w:tcBorders>
            <w:shd w:val="clear" w:color="auto" w:fill="auto"/>
            <w:vAlign w:val="center"/>
            <w:hideMark/>
          </w:tcPr>
          <w:p w14:paraId="519B501B" w14:textId="77777777" w:rsidR="00993172" w:rsidRPr="008E63BB" w:rsidRDefault="00993172" w:rsidP="0065184D">
            <w:pPr>
              <w:jc w:val="center"/>
              <w:rPr>
                <w:rFonts w:eastAsia="Times New Roman"/>
                <w:sz w:val="24"/>
                <w:szCs w:val="24"/>
              </w:rPr>
            </w:pPr>
            <w:r w:rsidRPr="008E63BB">
              <w:rPr>
                <w:rFonts w:eastAsia="Times New Roman"/>
                <w:sz w:val="24"/>
                <w:szCs w:val="24"/>
              </w:rPr>
              <w:t>Số trường</w:t>
            </w:r>
          </w:p>
        </w:tc>
        <w:tc>
          <w:tcPr>
            <w:tcW w:w="876" w:type="dxa"/>
            <w:tcBorders>
              <w:top w:val="nil"/>
              <w:left w:val="nil"/>
              <w:bottom w:val="single" w:sz="4" w:space="0" w:color="auto"/>
              <w:right w:val="single" w:sz="4" w:space="0" w:color="auto"/>
            </w:tcBorders>
            <w:shd w:val="clear" w:color="auto" w:fill="auto"/>
            <w:vAlign w:val="center"/>
            <w:hideMark/>
          </w:tcPr>
          <w:p w14:paraId="519B501C" w14:textId="77777777" w:rsidR="00993172" w:rsidRPr="008E63BB" w:rsidRDefault="00993172" w:rsidP="0065184D">
            <w:pPr>
              <w:jc w:val="center"/>
              <w:rPr>
                <w:rFonts w:eastAsia="Times New Roman"/>
                <w:sz w:val="24"/>
                <w:szCs w:val="24"/>
              </w:rPr>
            </w:pPr>
            <w:r w:rsidRPr="008E63BB">
              <w:rPr>
                <w:rFonts w:eastAsia="Times New Roman"/>
                <w:sz w:val="24"/>
                <w:szCs w:val="24"/>
              </w:rPr>
              <w:t>Số học sinh</w:t>
            </w:r>
          </w:p>
        </w:tc>
        <w:tc>
          <w:tcPr>
            <w:tcW w:w="577" w:type="dxa"/>
            <w:tcBorders>
              <w:top w:val="nil"/>
              <w:left w:val="nil"/>
              <w:bottom w:val="single" w:sz="4" w:space="0" w:color="auto"/>
              <w:right w:val="single" w:sz="4" w:space="0" w:color="auto"/>
            </w:tcBorders>
            <w:shd w:val="clear" w:color="auto" w:fill="auto"/>
            <w:vAlign w:val="center"/>
            <w:hideMark/>
          </w:tcPr>
          <w:p w14:paraId="519B501D" w14:textId="77777777" w:rsidR="00993172" w:rsidRPr="008E63BB" w:rsidRDefault="00993172" w:rsidP="0065184D">
            <w:pPr>
              <w:jc w:val="center"/>
              <w:rPr>
                <w:rFonts w:eastAsia="Times New Roman"/>
                <w:sz w:val="24"/>
                <w:szCs w:val="24"/>
              </w:rPr>
            </w:pPr>
            <w:r w:rsidRPr="008E63BB">
              <w:rPr>
                <w:rFonts w:eastAsia="Times New Roman"/>
                <w:sz w:val="24"/>
                <w:szCs w:val="24"/>
              </w:rPr>
              <w:t>số lớp học</w:t>
            </w:r>
          </w:p>
        </w:tc>
        <w:tc>
          <w:tcPr>
            <w:tcW w:w="860" w:type="dxa"/>
            <w:tcBorders>
              <w:top w:val="nil"/>
              <w:left w:val="nil"/>
              <w:bottom w:val="single" w:sz="4" w:space="0" w:color="auto"/>
              <w:right w:val="single" w:sz="4" w:space="0" w:color="auto"/>
            </w:tcBorders>
            <w:shd w:val="clear" w:color="auto" w:fill="auto"/>
            <w:vAlign w:val="center"/>
            <w:hideMark/>
          </w:tcPr>
          <w:p w14:paraId="519B501E" w14:textId="77777777" w:rsidR="00993172" w:rsidRPr="008E63BB" w:rsidRDefault="00993172" w:rsidP="0065184D">
            <w:pPr>
              <w:jc w:val="center"/>
              <w:rPr>
                <w:rFonts w:eastAsia="Times New Roman"/>
                <w:sz w:val="24"/>
                <w:szCs w:val="24"/>
              </w:rPr>
            </w:pPr>
            <w:r w:rsidRPr="008E63BB">
              <w:rPr>
                <w:rFonts w:eastAsia="Times New Roman"/>
                <w:sz w:val="24"/>
                <w:szCs w:val="24"/>
              </w:rPr>
              <w:t>Số trường</w:t>
            </w:r>
          </w:p>
        </w:tc>
        <w:tc>
          <w:tcPr>
            <w:tcW w:w="876" w:type="dxa"/>
            <w:tcBorders>
              <w:top w:val="nil"/>
              <w:left w:val="nil"/>
              <w:bottom w:val="single" w:sz="4" w:space="0" w:color="auto"/>
              <w:right w:val="single" w:sz="4" w:space="0" w:color="auto"/>
            </w:tcBorders>
            <w:shd w:val="clear" w:color="auto" w:fill="auto"/>
            <w:vAlign w:val="center"/>
            <w:hideMark/>
          </w:tcPr>
          <w:p w14:paraId="519B501F" w14:textId="77777777" w:rsidR="00993172" w:rsidRPr="008E63BB" w:rsidRDefault="00993172" w:rsidP="0065184D">
            <w:pPr>
              <w:jc w:val="center"/>
              <w:rPr>
                <w:rFonts w:eastAsia="Times New Roman"/>
                <w:sz w:val="24"/>
                <w:szCs w:val="24"/>
              </w:rPr>
            </w:pPr>
            <w:r w:rsidRPr="008E63BB">
              <w:rPr>
                <w:rFonts w:eastAsia="Times New Roman"/>
                <w:sz w:val="24"/>
                <w:szCs w:val="24"/>
              </w:rPr>
              <w:t>Số học sinh</w:t>
            </w:r>
          </w:p>
        </w:tc>
        <w:tc>
          <w:tcPr>
            <w:tcW w:w="577" w:type="dxa"/>
            <w:tcBorders>
              <w:top w:val="nil"/>
              <w:left w:val="nil"/>
              <w:bottom w:val="single" w:sz="4" w:space="0" w:color="auto"/>
              <w:right w:val="single" w:sz="4" w:space="0" w:color="auto"/>
            </w:tcBorders>
            <w:shd w:val="clear" w:color="auto" w:fill="auto"/>
            <w:vAlign w:val="center"/>
            <w:hideMark/>
          </w:tcPr>
          <w:p w14:paraId="519B5020" w14:textId="77777777" w:rsidR="00993172" w:rsidRPr="008E63BB" w:rsidRDefault="00993172" w:rsidP="0065184D">
            <w:pPr>
              <w:jc w:val="center"/>
              <w:rPr>
                <w:rFonts w:eastAsia="Times New Roman"/>
                <w:sz w:val="24"/>
                <w:szCs w:val="24"/>
              </w:rPr>
            </w:pPr>
            <w:r w:rsidRPr="008E63BB">
              <w:rPr>
                <w:rFonts w:eastAsia="Times New Roman"/>
                <w:sz w:val="24"/>
                <w:szCs w:val="24"/>
              </w:rPr>
              <w:t>số lớp học</w:t>
            </w:r>
          </w:p>
        </w:tc>
        <w:tc>
          <w:tcPr>
            <w:tcW w:w="860" w:type="dxa"/>
            <w:tcBorders>
              <w:top w:val="nil"/>
              <w:left w:val="nil"/>
              <w:bottom w:val="single" w:sz="4" w:space="0" w:color="auto"/>
              <w:right w:val="single" w:sz="4" w:space="0" w:color="auto"/>
            </w:tcBorders>
            <w:shd w:val="clear" w:color="auto" w:fill="auto"/>
            <w:vAlign w:val="center"/>
            <w:hideMark/>
          </w:tcPr>
          <w:p w14:paraId="519B5021" w14:textId="77777777" w:rsidR="00993172" w:rsidRPr="008E63BB" w:rsidRDefault="00993172" w:rsidP="0065184D">
            <w:pPr>
              <w:jc w:val="center"/>
              <w:rPr>
                <w:rFonts w:eastAsia="Times New Roman"/>
                <w:sz w:val="24"/>
                <w:szCs w:val="24"/>
              </w:rPr>
            </w:pPr>
            <w:r w:rsidRPr="008E63BB">
              <w:rPr>
                <w:rFonts w:eastAsia="Times New Roman"/>
                <w:sz w:val="24"/>
                <w:szCs w:val="24"/>
              </w:rPr>
              <w:t>Số trường</w:t>
            </w:r>
          </w:p>
        </w:tc>
        <w:tc>
          <w:tcPr>
            <w:tcW w:w="876" w:type="dxa"/>
            <w:tcBorders>
              <w:top w:val="nil"/>
              <w:left w:val="nil"/>
              <w:bottom w:val="single" w:sz="4" w:space="0" w:color="auto"/>
              <w:right w:val="single" w:sz="4" w:space="0" w:color="auto"/>
            </w:tcBorders>
            <w:shd w:val="clear" w:color="auto" w:fill="auto"/>
            <w:vAlign w:val="center"/>
            <w:hideMark/>
          </w:tcPr>
          <w:p w14:paraId="519B5022" w14:textId="77777777" w:rsidR="00993172" w:rsidRPr="008E63BB" w:rsidRDefault="00993172" w:rsidP="0065184D">
            <w:pPr>
              <w:jc w:val="center"/>
              <w:rPr>
                <w:rFonts w:eastAsia="Times New Roman"/>
                <w:sz w:val="24"/>
                <w:szCs w:val="24"/>
              </w:rPr>
            </w:pPr>
            <w:r w:rsidRPr="008E63BB">
              <w:rPr>
                <w:rFonts w:eastAsia="Times New Roman"/>
                <w:sz w:val="24"/>
                <w:szCs w:val="24"/>
              </w:rPr>
              <w:t>Số học sinh</w:t>
            </w:r>
          </w:p>
        </w:tc>
        <w:tc>
          <w:tcPr>
            <w:tcW w:w="577" w:type="dxa"/>
            <w:tcBorders>
              <w:top w:val="nil"/>
              <w:left w:val="nil"/>
              <w:bottom w:val="single" w:sz="4" w:space="0" w:color="auto"/>
              <w:right w:val="single" w:sz="4" w:space="0" w:color="auto"/>
            </w:tcBorders>
            <w:shd w:val="clear" w:color="auto" w:fill="auto"/>
            <w:vAlign w:val="center"/>
            <w:hideMark/>
          </w:tcPr>
          <w:p w14:paraId="519B5023" w14:textId="77777777" w:rsidR="00993172" w:rsidRPr="008E63BB" w:rsidRDefault="00993172" w:rsidP="0065184D">
            <w:pPr>
              <w:jc w:val="center"/>
              <w:rPr>
                <w:rFonts w:eastAsia="Times New Roman"/>
                <w:sz w:val="24"/>
                <w:szCs w:val="24"/>
              </w:rPr>
            </w:pPr>
            <w:r w:rsidRPr="008E63BB">
              <w:rPr>
                <w:rFonts w:eastAsia="Times New Roman"/>
                <w:sz w:val="24"/>
                <w:szCs w:val="24"/>
              </w:rPr>
              <w:t>số lớp học</w:t>
            </w:r>
          </w:p>
        </w:tc>
        <w:tc>
          <w:tcPr>
            <w:tcW w:w="860" w:type="dxa"/>
            <w:tcBorders>
              <w:top w:val="nil"/>
              <w:left w:val="nil"/>
              <w:bottom w:val="single" w:sz="4" w:space="0" w:color="auto"/>
              <w:right w:val="single" w:sz="4" w:space="0" w:color="auto"/>
            </w:tcBorders>
            <w:shd w:val="clear" w:color="auto" w:fill="auto"/>
            <w:vAlign w:val="center"/>
            <w:hideMark/>
          </w:tcPr>
          <w:p w14:paraId="519B5024" w14:textId="77777777" w:rsidR="00993172" w:rsidRPr="008E63BB" w:rsidRDefault="00993172" w:rsidP="0065184D">
            <w:pPr>
              <w:jc w:val="center"/>
              <w:rPr>
                <w:rFonts w:eastAsia="Times New Roman"/>
                <w:sz w:val="24"/>
                <w:szCs w:val="24"/>
              </w:rPr>
            </w:pPr>
            <w:r w:rsidRPr="008E63BB">
              <w:rPr>
                <w:rFonts w:eastAsia="Times New Roman"/>
                <w:sz w:val="24"/>
                <w:szCs w:val="24"/>
              </w:rPr>
              <w:t>Số trường</w:t>
            </w:r>
          </w:p>
        </w:tc>
        <w:tc>
          <w:tcPr>
            <w:tcW w:w="876" w:type="dxa"/>
            <w:tcBorders>
              <w:top w:val="nil"/>
              <w:left w:val="nil"/>
              <w:bottom w:val="single" w:sz="4" w:space="0" w:color="auto"/>
              <w:right w:val="single" w:sz="4" w:space="0" w:color="auto"/>
            </w:tcBorders>
            <w:shd w:val="clear" w:color="auto" w:fill="auto"/>
            <w:vAlign w:val="center"/>
            <w:hideMark/>
          </w:tcPr>
          <w:p w14:paraId="519B5025" w14:textId="77777777" w:rsidR="00993172" w:rsidRPr="008E63BB" w:rsidRDefault="00993172" w:rsidP="0065184D">
            <w:pPr>
              <w:jc w:val="center"/>
              <w:rPr>
                <w:rFonts w:eastAsia="Times New Roman"/>
                <w:sz w:val="24"/>
                <w:szCs w:val="24"/>
              </w:rPr>
            </w:pPr>
            <w:r w:rsidRPr="008E63BB">
              <w:rPr>
                <w:rFonts w:eastAsia="Times New Roman"/>
                <w:sz w:val="24"/>
                <w:szCs w:val="24"/>
              </w:rPr>
              <w:t>Số học sinh</w:t>
            </w:r>
          </w:p>
        </w:tc>
        <w:tc>
          <w:tcPr>
            <w:tcW w:w="564" w:type="dxa"/>
            <w:tcBorders>
              <w:top w:val="nil"/>
              <w:left w:val="nil"/>
              <w:bottom w:val="single" w:sz="4" w:space="0" w:color="auto"/>
              <w:right w:val="single" w:sz="4" w:space="0" w:color="auto"/>
            </w:tcBorders>
            <w:shd w:val="clear" w:color="auto" w:fill="auto"/>
            <w:vAlign w:val="center"/>
            <w:hideMark/>
          </w:tcPr>
          <w:p w14:paraId="519B5026" w14:textId="77777777" w:rsidR="00993172" w:rsidRPr="008E63BB" w:rsidRDefault="00993172" w:rsidP="0065184D">
            <w:pPr>
              <w:jc w:val="center"/>
              <w:rPr>
                <w:rFonts w:eastAsia="Times New Roman"/>
                <w:sz w:val="24"/>
                <w:szCs w:val="24"/>
              </w:rPr>
            </w:pPr>
            <w:r w:rsidRPr="008E63BB">
              <w:rPr>
                <w:rFonts w:eastAsia="Times New Roman"/>
                <w:sz w:val="24"/>
                <w:szCs w:val="24"/>
              </w:rPr>
              <w:t>số lớp học</w:t>
            </w:r>
          </w:p>
        </w:tc>
      </w:tr>
      <w:tr w:rsidR="008D5BFE" w:rsidRPr="008E63BB" w14:paraId="519B5039"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28"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519B5029"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Tổng RG QH</w:t>
            </w:r>
          </w:p>
        </w:tc>
        <w:tc>
          <w:tcPr>
            <w:tcW w:w="860" w:type="dxa"/>
            <w:tcBorders>
              <w:top w:val="nil"/>
              <w:left w:val="nil"/>
              <w:bottom w:val="single" w:sz="4" w:space="0" w:color="auto"/>
              <w:right w:val="single" w:sz="4" w:space="0" w:color="auto"/>
            </w:tcBorders>
            <w:shd w:val="clear" w:color="auto" w:fill="auto"/>
            <w:vAlign w:val="center"/>
            <w:hideMark/>
          </w:tcPr>
          <w:p w14:paraId="519B502A"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2B"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84.081</w:t>
            </w:r>
          </w:p>
        </w:tc>
        <w:tc>
          <w:tcPr>
            <w:tcW w:w="576" w:type="dxa"/>
            <w:tcBorders>
              <w:top w:val="nil"/>
              <w:left w:val="nil"/>
              <w:bottom w:val="single" w:sz="4" w:space="0" w:color="auto"/>
              <w:right w:val="single" w:sz="4" w:space="0" w:color="auto"/>
            </w:tcBorders>
            <w:shd w:val="clear" w:color="auto" w:fill="auto"/>
            <w:vAlign w:val="center"/>
            <w:hideMark/>
          </w:tcPr>
          <w:p w14:paraId="519B502C"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2D"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2E"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20.221</w:t>
            </w:r>
          </w:p>
        </w:tc>
        <w:tc>
          <w:tcPr>
            <w:tcW w:w="577" w:type="dxa"/>
            <w:tcBorders>
              <w:top w:val="nil"/>
              <w:left w:val="nil"/>
              <w:bottom w:val="single" w:sz="4" w:space="0" w:color="auto"/>
              <w:right w:val="single" w:sz="4" w:space="0" w:color="auto"/>
            </w:tcBorders>
            <w:shd w:val="clear" w:color="auto" w:fill="auto"/>
            <w:vAlign w:val="center"/>
            <w:hideMark/>
          </w:tcPr>
          <w:p w14:paraId="519B502F"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30"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31"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31.197</w:t>
            </w:r>
          </w:p>
        </w:tc>
        <w:tc>
          <w:tcPr>
            <w:tcW w:w="577" w:type="dxa"/>
            <w:tcBorders>
              <w:top w:val="nil"/>
              <w:left w:val="nil"/>
              <w:bottom w:val="single" w:sz="4" w:space="0" w:color="auto"/>
              <w:right w:val="single" w:sz="4" w:space="0" w:color="auto"/>
            </w:tcBorders>
            <w:shd w:val="clear" w:color="auto" w:fill="auto"/>
            <w:vAlign w:val="center"/>
            <w:hideMark/>
          </w:tcPr>
          <w:p w14:paraId="519B5032"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33"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34"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19.885</w:t>
            </w:r>
          </w:p>
        </w:tc>
        <w:tc>
          <w:tcPr>
            <w:tcW w:w="577" w:type="dxa"/>
            <w:tcBorders>
              <w:top w:val="nil"/>
              <w:left w:val="nil"/>
              <w:bottom w:val="single" w:sz="4" w:space="0" w:color="auto"/>
              <w:right w:val="single" w:sz="4" w:space="0" w:color="auto"/>
            </w:tcBorders>
            <w:shd w:val="clear" w:color="auto" w:fill="auto"/>
            <w:vAlign w:val="center"/>
            <w:hideMark/>
          </w:tcPr>
          <w:p w14:paraId="519B5035"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36"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37"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11.358</w:t>
            </w:r>
          </w:p>
        </w:tc>
        <w:tc>
          <w:tcPr>
            <w:tcW w:w="564" w:type="dxa"/>
            <w:tcBorders>
              <w:top w:val="nil"/>
              <w:left w:val="nil"/>
              <w:bottom w:val="single" w:sz="4" w:space="0" w:color="auto"/>
              <w:right w:val="single" w:sz="4" w:space="0" w:color="auto"/>
            </w:tcBorders>
            <w:shd w:val="clear" w:color="auto" w:fill="auto"/>
            <w:vAlign w:val="center"/>
            <w:hideMark/>
          </w:tcPr>
          <w:p w14:paraId="519B5038"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504B"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3A"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519B503B"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Công lập</w:t>
            </w:r>
          </w:p>
        </w:tc>
        <w:tc>
          <w:tcPr>
            <w:tcW w:w="860" w:type="dxa"/>
            <w:tcBorders>
              <w:top w:val="nil"/>
              <w:left w:val="nil"/>
              <w:bottom w:val="single" w:sz="4" w:space="0" w:color="auto"/>
              <w:right w:val="single" w:sz="4" w:space="0" w:color="auto"/>
            </w:tcBorders>
            <w:shd w:val="clear" w:color="auto" w:fill="auto"/>
            <w:vAlign w:val="center"/>
            <w:hideMark/>
          </w:tcPr>
          <w:p w14:paraId="519B503C"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3D"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576" w:type="dxa"/>
            <w:tcBorders>
              <w:top w:val="nil"/>
              <w:left w:val="nil"/>
              <w:bottom w:val="single" w:sz="4" w:space="0" w:color="auto"/>
              <w:right w:val="single" w:sz="4" w:space="0" w:color="auto"/>
            </w:tcBorders>
            <w:shd w:val="clear" w:color="auto" w:fill="auto"/>
            <w:vAlign w:val="center"/>
            <w:hideMark/>
          </w:tcPr>
          <w:p w14:paraId="519B503E"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3F"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40"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19.091</w:t>
            </w:r>
          </w:p>
        </w:tc>
        <w:tc>
          <w:tcPr>
            <w:tcW w:w="577" w:type="dxa"/>
            <w:tcBorders>
              <w:top w:val="nil"/>
              <w:left w:val="nil"/>
              <w:bottom w:val="single" w:sz="4" w:space="0" w:color="auto"/>
              <w:right w:val="single" w:sz="4" w:space="0" w:color="auto"/>
            </w:tcBorders>
            <w:shd w:val="clear" w:color="auto" w:fill="auto"/>
            <w:vAlign w:val="center"/>
            <w:hideMark/>
          </w:tcPr>
          <w:p w14:paraId="519B5041"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42"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43"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31.197</w:t>
            </w:r>
          </w:p>
        </w:tc>
        <w:tc>
          <w:tcPr>
            <w:tcW w:w="577" w:type="dxa"/>
            <w:tcBorders>
              <w:top w:val="nil"/>
              <w:left w:val="nil"/>
              <w:bottom w:val="single" w:sz="4" w:space="0" w:color="auto"/>
              <w:right w:val="single" w:sz="4" w:space="0" w:color="auto"/>
            </w:tcBorders>
            <w:shd w:val="clear" w:color="auto" w:fill="auto"/>
            <w:vAlign w:val="center"/>
            <w:hideMark/>
          </w:tcPr>
          <w:p w14:paraId="519B5044"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45"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46"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19.885</w:t>
            </w:r>
          </w:p>
        </w:tc>
        <w:tc>
          <w:tcPr>
            <w:tcW w:w="577" w:type="dxa"/>
            <w:tcBorders>
              <w:top w:val="nil"/>
              <w:left w:val="nil"/>
              <w:bottom w:val="single" w:sz="4" w:space="0" w:color="auto"/>
              <w:right w:val="single" w:sz="4" w:space="0" w:color="auto"/>
            </w:tcBorders>
            <w:shd w:val="clear" w:color="auto" w:fill="auto"/>
            <w:vAlign w:val="center"/>
            <w:hideMark/>
          </w:tcPr>
          <w:p w14:paraId="519B5047"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48"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49"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9.884</w:t>
            </w:r>
          </w:p>
        </w:tc>
        <w:tc>
          <w:tcPr>
            <w:tcW w:w="564" w:type="dxa"/>
            <w:tcBorders>
              <w:top w:val="nil"/>
              <w:left w:val="nil"/>
              <w:bottom w:val="single" w:sz="4" w:space="0" w:color="auto"/>
              <w:right w:val="single" w:sz="4" w:space="0" w:color="auto"/>
            </w:tcBorders>
            <w:shd w:val="clear" w:color="auto" w:fill="auto"/>
            <w:vAlign w:val="center"/>
            <w:hideMark/>
          </w:tcPr>
          <w:p w14:paraId="519B504A"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505D" w14:textId="77777777" w:rsidTr="004710C7">
        <w:trPr>
          <w:trHeight w:val="36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4C"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519B504D"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Tư Thục</w:t>
            </w:r>
          </w:p>
        </w:tc>
        <w:tc>
          <w:tcPr>
            <w:tcW w:w="860" w:type="dxa"/>
            <w:tcBorders>
              <w:top w:val="nil"/>
              <w:left w:val="nil"/>
              <w:bottom w:val="single" w:sz="4" w:space="0" w:color="auto"/>
              <w:right w:val="single" w:sz="4" w:space="0" w:color="auto"/>
            </w:tcBorders>
            <w:shd w:val="clear" w:color="auto" w:fill="auto"/>
            <w:vAlign w:val="center"/>
            <w:hideMark/>
          </w:tcPr>
          <w:p w14:paraId="519B504E"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4F"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576" w:type="dxa"/>
            <w:tcBorders>
              <w:top w:val="nil"/>
              <w:left w:val="nil"/>
              <w:bottom w:val="single" w:sz="4" w:space="0" w:color="auto"/>
              <w:right w:val="single" w:sz="4" w:space="0" w:color="auto"/>
            </w:tcBorders>
            <w:shd w:val="clear" w:color="auto" w:fill="auto"/>
            <w:vAlign w:val="center"/>
            <w:hideMark/>
          </w:tcPr>
          <w:p w14:paraId="519B5050"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51" w14:textId="77777777" w:rsidR="00993172" w:rsidRPr="008E63BB" w:rsidRDefault="00993172" w:rsidP="0065184D">
            <w:pPr>
              <w:jc w:val="left"/>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52"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1.130</w:t>
            </w:r>
          </w:p>
        </w:tc>
        <w:tc>
          <w:tcPr>
            <w:tcW w:w="577" w:type="dxa"/>
            <w:tcBorders>
              <w:top w:val="nil"/>
              <w:left w:val="nil"/>
              <w:bottom w:val="single" w:sz="4" w:space="0" w:color="auto"/>
              <w:right w:val="single" w:sz="4" w:space="0" w:color="auto"/>
            </w:tcBorders>
            <w:shd w:val="clear" w:color="auto" w:fill="auto"/>
            <w:vAlign w:val="center"/>
            <w:hideMark/>
          </w:tcPr>
          <w:p w14:paraId="519B5053"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54"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55"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0</w:t>
            </w:r>
          </w:p>
        </w:tc>
        <w:tc>
          <w:tcPr>
            <w:tcW w:w="577" w:type="dxa"/>
            <w:tcBorders>
              <w:top w:val="nil"/>
              <w:left w:val="nil"/>
              <w:bottom w:val="single" w:sz="4" w:space="0" w:color="auto"/>
              <w:right w:val="single" w:sz="4" w:space="0" w:color="auto"/>
            </w:tcBorders>
            <w:shd w:val="clear" w:color="auto" w:fill="auto"/>
            <w:vAlign w:val="center"/>
            <w:hideMark/>
          </w:tcPr>
          <w:p w14:paraId="519B5056"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57"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58"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0</w:t>
            </w:r>
          </w:p>
        </w:tc>
        <w:tc>
          <w:tcPr>
            <w:tcW w:w="577" w:type="dxa"/>
            <w:tcBorders>
              <w:top w:val="nil"/>
              <w:left w:val="nil"/>
              <w:bottom w:val="single" w:sz="4" w:space="0" w:color="auto"/>
              <w:right w:val="single" w:sz="4" w:space="0" w:color="auto"/>
            </w:tcBorders>
            <w:shd w:val="clear" w:color="auto" w:fill="auto"/>
            <w:vAlign w:val="center"/>
            <w:hideMark/>
          </w:tcPr>
          <w:p w14:paraId="519B5059"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5A"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5B"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1.474</w:t>
            </w:r>
          </w:p>
        </w:tc>
        <w:tc>
          <w:tcPr>
            <w:tcW w:w="564" w:type="dxa"/>
            <w:tcBorders>
              <w:top w:val="nil"/>
              <w:left w:val="nil"/>
              <w:bottom w:val="single" w:sz="4" w:space="0" w:color="auto"/>
              <w:right w:val="single" w:sz="4" w:space="0" w:color="auto"/>
            </w:tcBorders>
            <w:shd w:val="clear" w:color="auto" w:fill="auto"/>
            <w:vAlign w:val="center"/>
            <w:hideMark/>
          </w:tcPr>
          <w:p w14:paraId="519B505C" w14:textId="77777777" w:rsidR="00993172" w:rsidRPr="008E63BB" w:rsidRDefault="00993172" w:rsidP="0065184D">
            <w:pPr>
              <w:jc w:val="center"/>
              <w:rPr>
                <w:rFonts w:eastAsia="Times New Roman"/>
                <w:b/>
                <w:bCs/>
                <w:sz w:val="24"/>
                <w:szCs w:val="24"/>
              </w:rPr>
            </w:pPr>
            <w:r w:rsidRPr="008E63BB">
              <w:rPr>
                <w:rFonts w:eastAsia="Times New Roman"/>
                <w:b/>
                <w:bCs/>
                <w:sz w:val="24"/>
                <w:szCs w:val="24"/>
              </w:rPr>
              <w:t> </w:t>
            </w:r>
          </w:p>
        </w:tc>
      </w:tr>
      <w:tr w:rsidR="008D5BFE" w:rsidRPr="008E63BB" w14:paraId="519B506F" w14:textId="77777777" w:rsidTr="004710C7">
        <w:trPr>
          <w:trHeight w:val="330"/>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5E" w14:textId="77777777" w:rsidR="00993172" w:rsidRPr="008E63BB" w:rsidRDefault="00993172" w:rsidP="0065184D">
            <w:pPr>
              <w:jc w:val="right"/>
              <w:rPr>
                <w:rFonts w:eastAsia="Times New Roman"/>
                <w:sz w:val="24"/>
                <w:szCs w:val="24"/>
              </w:rPr>
            </w:pPr>
            <w:r w:rsidRPr="008E63BB">
              <w:rPr>
                <w:rFonts w:eastAsia="Times New Roman"/>
                <w:sz w:val="24"/>
                <w:szCs w:val="24"/>
              </w:rPr>
              <w:t>1</w:t>
            </w:r>
          </w:p>
        </w:tc>
        <w:tc>
          <w:tcPr>
            <w:tcW w:w="2746" w:type="dxa"/>
            <w:tcBorders>
              <w:top w:val="nil"/>
              <w:left w:val="nil"/>
              <w:bottom w:val="single" w:sz="4" w:space="0" w:color="auto"/>
              <w:right w:val="single" w:sz="4" w:space="0" w:color="auto"/>
            </w:tcBorders>
            <w:shd w:val="clear" w:color="auto" w:fill="auto"/>
            <w:vAlign w:val="center"/>
            <w:hideMark/>
          </w:tcPr>
          <w:p w14:paraId="519B505F" w14:textId="77777777" w:rsidR="00993172" w:rsidRPr="008E63BB" w:rsidRDefault="00993172" w:rsidP="0065184D">
            <w:pPr>
              <w:jc w:val="left"/>
              <w:rPr>
                <w:rFonts w:eastAsia="Times New Roman"/>
                <w:sz w:val="24"/>
                <w:szCs w:val="24"/>
              </w:rPr>
            </w:pPr>
            <w:r w:rsidRPr="008E63BB">
              <w:rPr>
                <w:rFonts w:eastAsia="Times New Roman"/>
                <w:sz w:val="24"/>
                <w:szCs w:val="24"/>
              </w:rPr>
              <w:t>TP. Nam Định</w:t>
            </w:r>
          </w:p>
        </w:tc>
        <w:tc>
          <w:tcPr>
            <w:tcW w:w="860" w:type="dxa"/>
            <w:tcBorders>
              <w:top w:val="nil"/>
              <w:left w:val="nil"/>
              <w:bottom w:val="single" w:sz="4" w:space="0" w:color="auto"/>
              <w:right w:val="single" w:sz="4" w:space="0" w:color="auto"/>
            </w:tcBorders>
            <w:shd w:val="clear" w:color="auto" w:fill="auto"/>
            <w:vAlign w:val="center"/>
            <w:hideMark/>
          </w:tcPr>
          <w:p w14:paraId="519B5060"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61"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576" w:type="dxa"/>
            <w:tcBorders>
              <w:top w:val="nil"/>
              <w:left w:val="nil"/>
              <w:bottom w:val="single" w:sz="4" w:space="0" w:color="auto"/>
              <w:right w:val="single" w:sz="4" w:space="0" w:color="auto"/>
            </w:tcBorders>
            <w:shd w:val="clear" w:color="auto" w:fill="auto"/>
            <w:vAlign w:val="center"/>
            <w:hideMark/>
          </w:tcPr>
          <w:p w14:paraId="519B5062"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63"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64" w14:textId="77777777" w:rsidR="00993172" w:rsidRPr="008E63BB" w:rsidRDefault="00993172" w:rsidP="0065184D">
            <w:pPr>
              <w:jc w:val="right"/>
              <w:rPr>
                <w:rFonts w:eastAsia="Times New Roman"/>
                <w:sz w:val="24"/>
                <w:szCs w:val="24"/>
              </w:rPr>
            </w:pPr>
            <w:r w:rsidRPr="008E63BB">
              <w:rPr>
                <w:rFonts w:eastAsia="Times New Roman"/>
                <w:sz w:val="24"/>
                <w:szCs w:val="24"/>
              </w:rPr>
              <w:t>11.268</w:t>
            </w:r>
          </w:p>
        </w:tc>
        <w:tc>
          <w:tcPr>
            <w:tcW w:w="577" w:type="dxa"/>
            <w:tcBorders>
              <w:top w:val="nil"/>
              <w:left w:val="nil"/>
              <w:bottom w:val="single" w:sz="4" w:space="0" w:color="auto"/>
              <w:right w:val="single" w:sz="4" w:space="0" w:color="auto"/>
            </w:tcBorders>
            <w:shd w:val="clear" w:color="auto" w:fill="auto"/>
            <w:vAlign w:val="center"/>
            <w:hideMark/>
          </w:tcPr>
          <w:p w14:paraId="519B5065"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66"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67" w14:textId="77777777" w:rsidR="00993172" w:rsidRPr="008E63BB" w:rsidRDefault="00993172" w:rsidP="0065184D">
            <w:pPr>
              <w:jc w:val="right"/>
              <w:rPr>
                <w:rFonts w:eastAsia="Times New Roman"/>
                <w:sz w:val="24"/>
                <w:szCs w:val="24"/>
              </w:rPr>
            </w:pPr>
            <w:r w:rsidRPr="008E63BB">
              <w:rPr>
                <w:rFonts w:eastAsia="Times New Roman"/>
                <w:sz w:val="24"/>
                <w:szCs w:val="24"/>
              </w:rPr>
              <w:t>19.330</w:t>
            </w:r>
          </w:p>
        </w:tc>
        <w:tc>
          <w:tcPr>
            <w:tcW w:w="577" w:type="dxa"/>
            <w:tcBorders>
              <w:top w:val="nil"/>
              <w:left w:val="nil"/>
              <w:bottom w:val="single" w:sz="4" w:space="0" w:color="auto"/>
              <w:right w:val="single" w:sz="4" w:space="0" w:color="auto"/>
            </w:tcBorders>
            <w:shd w:val="clear" w:color="auto" w:fill="auto"/>
            <w:vAlign w:val="center"/>
            <w:hideMark/>
          </w:tcPr>
          <w:p w14:paraId="519B5068"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69"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6A" w14:textId="77777777" w:rsidR="00993172" w:rsidRPr="008E63BB" w:rsidRDefault="00993172" w:rsidP="0065184D">
            <w:pPr>
              <w:jc w:val="right"/>
              <w:rPr>
                <w:rFonts w:eastAsia="Times New Roman"/>
                <w:sz w:val="24"/>
                <w:szCs w:val="24"/>
              </w:rPr>
            </w:pPr>
            <w:r w:rsidRPr="008E63BB">
              <w:rPr>
                <w:rFonts w:eastAsia="Times New Roman"/>
                <w:sz w:val="24"/>
                <w:szCs w:val="24"/>
              </w:rPr>
              <w:t>12.302</w:t>
            </w:r>
          </w:p>
        </w:tc>
        <w:tc>
          <w:tcPr>
            <w:tcW w:w="577" w:type="dxa"/>
            <w:tcBorders>
              <w:top w:val="nil"/>
              <w:left w:val="nil"/>
              <w:bottom w:val="single" w:sz="4" w:space="0" w:color="auto"/>
              <w:right w:val="single" w:sz="4" w:space="0" w:color="auto"/>
            </w:tcBorders>
            <w:shd w:val="clear" w:color="auto" w:fill="auto"/>
            <w:vAlign w:val="center"/>
            <w:hideMark/>
          </w:tcPr>
          <w:p w14:paraId="519B506B"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6C"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6D" w14:textId="77777777" w:rsidR="00993172" w:rsidRPr="008E63BB" w:rsidRDefault="00993172" w:rsidP="0065184D">
            <w:pPr>
              <w:jc w:val="right"/>
              <w:rPr>
                <w:rFonts w:eastAsia="Times New Roman"/>
                <w:sz w:val="24"/>
                <w:szCs w:val="24"/>
              </w:rPr>
            </w:pPr>
            <w:r w:rsidRPr="008E63BB">
              <w:rPr>
                <w:rFonts w:eastAsia="Times New Roman"/>
                <w:sz w:val="24"/>
                <w:szCs w:val="24"/>
              </w:rPr>
              <w:t>7.649</w:t>
            </w:r>
          </w:p>
        </w:tc>
        <w:tc>
          <w:tcPr>
            <w:tcW w:w="564" w:type="dxa"/>
            <w:tcBorders>
              <w:top w:val="nil"/>
              <w:left w:val="nil"/>
              <w:bottom w:val="single" w:sz="4" w:space="0" w:color="auto"/>
              <w:right w:val="single" w:sz="4" w:space="0" w:color="auto"/>
            </w:tcBorders>
            <w:shd w:val="clear" w:color="auto" w:fill="auto"/>
            <w:vAlign w:val="center"/>
            <w:hideMark/>
          </w:tcPr>
          <w:p w14:paraId="519B506E"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r>
      <w:tr w:rsidR="008D5BFE" w:rsidRPr="008E63BB" w14:paraId="519B5081"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70"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519B5071" w14:textId="77777777" w:rsidR="00993172" w:rsidRPr="008E63BB" w:rsidRDefault="00993172" w:rsidP="0065184D">
            <w:pPr>
              <w:jc w:val="left"/>
              <w:rPr>
                <w:rFonts w:eastAsia="Times New Roman"/>
                <w:sz w:val="24"/>
                <w:szCs w:val="24"/>
              </w:rPr>
            </w:pPr>
            <w:r w:rsidRPr="008E63BB">
              <w:rPr>
                <w:rFonts w:eastAsia="Times New Roman"/>
                <w:sz w:val="24"/>
                <w:szCs w:val="24"/>
              </w:rPr>
              <w:t>Công lập</w:t>
            </w:r>
          </w:p>
        </w:tc>
        <w:tc>
          <w:tcPr>
            <w:tcW w:w="860" w:type="dxa"/>
            <w:tcBorders>
              <w:top w:val="nil"/>
              <w:left w:val="nil"/>
              <w:bottom w:val="single" w:sz="4" w:space="0" w:color="auto"/>
              <w:right w:val="single" w:sz="4" w:space="0" w:color="auto"/>
            </w:tcBorders>
            <w:shd w:val="clear" w:color="auto" w:fill="auto"/>
            <w:vAlign w:val="center"/>
            <w:hideMark/>
          </w:tcPr>
          <w:p w14:paraId="519B5072"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73"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576" w:type="dxa"/>
            <w:tcBorders>
              <w:top w:val="nil"/>
              <w:left w:val="nil"/>
              <w:bottom w:val="single" w:sz="4" w:space="0" w:color="auto"/>
              <w:right w:val="single" w:sz="4" w:space="0" w:color="auto"/>
            </w:tcBorders>
            <w:shd w:val="clear" w:color="auto" w:fill="auto"/>
            <w:vAlign w:val="center"/>
            <w:hideMark/>
          </w:tcPr>
          <w:p w14:paraId="519B5074"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75"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76" w14:textId="77777777" w:rsidR="00993172" w:rsidRPr="008E63BB" w:rsidRDefault="00993172" w:rsidP="0065184D">
            <w:pPr>
              <w:jc w:val="right"/>
              <w:rPr>
                <w:rFonts w:eastAsia="Times New Roman"/>
                <w:sz w:val="24"/>
                <w:szCs w:val="24"/>
              </w:rPr>
            </w:pPr>
            <w:r w:rsidRPr="008E63BB">
              <w:rPr>
                <w:rFonts w:eastAsia="Times New Roman"/>
                <w:sz w:val="24"/>
                <w:szCs w:val="24"/>
              </w:rPr>
              <w:t>10.138</w:t>
            </w:r>
          </w:p>
        </w:tc>
        <w:tc>
          <w:tcPr>
            <w:tcW w:w="577" w:type="dxa"/>
            <w:tcBorders>
              <w:top w:val="nil"/>
              <w:left w:val="nil"/>
              <w:bottom w:val="single" w:sz="4" w:space="0" w:color="auto"/>
              <w:right w:val="single" w:sz="4" w:space="0" w:color="auto"/>
            </w:tcBorders>
            <w:shd w:val="clear" w:color="auto" w:fill="auto"/>
            <w:vAlign w:val="center"/>
            <w:hideMark/>
          </w:tcPr>
          <w:p w14:paraId="519B5077"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78"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79" w14:textId="77777777" w:rsidR="00993172" w:rsidRPr="008E63BB" w:rsidRDefault="00993172" w:rsidP="0065184D">
            <w:pPr>
              <w:jc w:val="right"/>
              <w:rPr>
                <w:rFonts w:eastAsia="Times New Roman"/>
                <w:sz w:val="24"/>
                <w:szCs w:val="24"/>
              </w:rPr>
            </w:pPr>
            <w:r w:rsidRPr="008E63BB">
              <w:rPr>
                <w:rFonts w:eastAsia="Times New Roman"/>
                <w:sz w:val="24"/>
                <w:szCs w:val="24"/>
              </w:rPr>
              <w:t>19.330</w:t>
            </w:r>
          </w:p>
        </w:tc>
        <w:tc>
          <w:tcPr>
            <w:tcW w:w="577" w:type="dxa"/>
            <w:tcBorders>
              <w:top w:val="nil"/>
              <w:left w:val="nil"/>
              <w:bottom w:val="single" w:sz="4" w:space="0" w:color="auto"/>
              <w:right w:val="single" w:sz="4" w:space="0" w:color="auto"/>
            </w:tcBorders>
            <w:shd w:val="clear" w:color="auto" w:fill="auto"/>
            <w:vAlign w:val="center"/>
            <w:hideMark/>
          </w:tcPr>
          <w:p w14:paraId="519B507A"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7B"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7C" w14:textId="77777777" w:rsidR="00993172" w:rsidRPr="008E63BB" w:rsidRDefault="00993172" w:rsidP="0065184D">
            <w:pPr>
              <w:jc w:val="right"/>
              <w:rPr>
                <w:rFonts w:eastAsia="Times New Roman"/>
                <w:sz w:val="24"/>
                <w:szCs w:val="24"/>
              </w:rPr>
            </w:pPr>
            <w:r w:rsidRPr="008E63BB">
              <w:rPr>
                <w:rFonts w:eastAsia="Times New Roman"/>
                <w:sz w:val="24"/>
                <w:szCs w:val="24"/>
              </w:rPr>
              <w:t>12.302</w:t>
            </w:r>
          </w:p>
        </w:tc>
        <w:tc>
          <w:tcPr>
            <w:tcW w:w="577" w:type="dxa"/>
            <w:tcBorders>
              <w:top w:val="nil"/>
              <w:left w:val="nil"/>
              <w:bottom w:val="single" w:sz="4" w:space="0" w:color="auto"/>
              <w:right w:val="single" w:sz="4" w:space="0" w:color="auto"/>
            </w:tcBorders>
            <w:shd w:val="clear" w:color="auto" w:fill="auto"/>
            <w:vAlign w:val="center"/>
            <w:hideMark/>
          </w:tcPr>
          <w:p w14:paraId="519B507D"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7E"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7F" w14:textId="77777777" w:rsidR="00993172" w:rsidRPr="008E63BB" w:rsidRDefault="00993172" w:rsidP="0065184D">
            <w:pPr>
              <w:jc w:val="right"/>
              <w:rPr>
                <w:rFonts w:eastAsia="Times New Roman"/>
                <w:sz w:val="24"/>
                <w:szCs w:val="24"/>
              </w:rPr>
            </w:pPr>
            <w:r w:rsidRPr="008E63BB">
              <w:rPr>
                <w:rFonts w:eastAsia="Times New Roman"/>
                <w:sz w:val="24"/>
                <w:szCs w:val="24"/>
              </w:rPr>
              <w:t>6.175</w:t>
            </w:r>
          </w:p>
        </w:tc>
        <w:tc>
          <w:tcPr>
            <w:tcW w:w="564" w:type="dxa"/>
            <w:tcBorders>
              <w:top w:val="nil"/>
              <w:left w:val="nil"/>
              <w:bottom w:val="single" w:sz="4" w:space="0" w:color="auto"/>
              <w:right w:val="single" w:sz="4" w:space="0" w:color="auto"/>
            </w:tcBorders>
            <w:shd w:val="clear" w:color="auto" w:fill="auto"/>
            <w:vAlign w:val="center"/>
            <w:hideMark/>
          </w:tcPr>
          <w:p w14:paraId="519B5080"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r>
      <w:tr w:rsidR="008D5BFE" w:rsidRPr="008E63BB" w14:paraId="519B5093"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82"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519B5083" w14:textId="77777777" w:rsidR="00993172" w:rsidRPr="008E63BB" w:rsidRDefault="00993172" w:rsidP="0065184D">
            <w:pPr>
              <w:jc w:val="left"/>
              <w:rPr>
                <w:rFonts w:eastAsia="Times New Roman"/>
                <w:sz w:val="24"/>
                <w:szCs w:val="24"/>
              </w:rPr>
            </w:pPr>
            <w:r w:rsidRPr="008E63BB">
              <w:rPr>
                <w:rFonts w:eastAsia="Times New Roman"/>
                <w:sz w:val="24"/>
                <w:szCs w:val="24"/>
              </w:rPr>
              <w:t>Tư Thục</w:t>
            </w:r>
          </w:p>
        </w:tc>
        <w:tc>
          <w:tcPr>
            <w:tcW w:w="860" w:type="dxa"/>
            <w:tcBorders>
              <w:top w:val="nil"/>
              <w:left w:val="nil"/>
              <w:bottom w:val="single" w:sz="4" w:space="0" w:color="auto"/>
              <w:right w:val="single" w:sz="4" w:space="0" w:color="auto"/>
            </w:tcBorders>
            <w:shd w:val="clear" w:color="auto" w:fill="auto"/>
            <w:vAlign w:val="center"/>
            <w:hideMark/>
          </w:tcPr>
          <w:p w14:paraId="519B5084"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85"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576" w:type="dxa"/>
            <w:tcBorders>
              <w:top w:val="nil"/>
              <w:left w:val="nil"/>
              <w:bottom w:val="single" w:sz="4" w:space="0" w:color="auto"/>
              <w:right w:val="single" w:sz="4" w:space="0" w:color="auto"/>
            </w:tcBorders>
            <w:shd w:val="clear" w:color="auto" w:fill="auto"/>
            <w:vAlign w:val="center"/>
            <w:hideMark/>
          </w:tcPr>
          <w:p w14:paraId="519B5086"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87"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88" w14:textId="77777777" w:rsidR="00993172" w:rsidRPr="008E63BB" w:rsidRDefault="00993172" w:rsidP="0065184D">
            <w:pPr>
              <w:jc w:val="right"/>
              <w:rPr>
                <w:rFonts w:eastAsia="Times New Roman"/>
                <w:sz w:val="24"/>
                <w:szCs w:val="24"/>
              </w:rPr>
            </w:pPr>
            <w:r w:rsidRPr="008E63BB">
              <w:rPr>
                <w:rFonts w:eastAsia="Times New Roman"/>
                <w:sz w:val="24"/>
                <w:szCs w:val="24"/>
              </w:rPr>
              <w:t>1.130</w:t>
            </w:r>
          </w:p>
        </w:tc>
        <w:tc>
          <w:tcPr>
            <w:tcW w:w="577" w:type="dxa"/>
            <w:tcBorders>
              <w:top w:val="nil"/>
              <w:left w:val="nil"/>
              <w:bottom w:val="single" w:sz="4" w:space="0" w:color="auto"/>
              <w:right w:val="single" w:sz="4" w:space="0" w:color="auto"/>
            </w:tcBorders>
            <w:shd w:val="clear" w:color="auto" w:fill="auto"/>
            <w:vAlign w:val="center"/>
            <w:hideMark/>
          </w:tcPr>
          <w:p w14:paraId="519B5089"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8A"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8B"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577" w:type="dxa"/>
            <w:tcBorders>
              <w:top w:val="nil"/>
              <w:left w:val="nil"/>
              <w:bottom w:val="single" w:sz="4" w:space="0" w:color="auto"/>
              <w:right w:val="single" w:sz="4" w:space="0" w:color="auto"/>
            </w:tcBorders>
            <w:shd w:val="clear" w:color="auto" w:fill="auto"/>
            <w:vAlign w:val="center"/>
            <w:hideMark/>
          </w:tcPr>
          <w:p w14:paraId="519B508C"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8D"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8E"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577" w:type="dxa"/>
            <w:tcBorders>
              <w:top w:val="nil"/>
              <w:left w:val="nil"/>
              <w:bottom w:val="single" w:sz="4" w:space="0" w:color="auto"/>
              <w:right w:val="single" w:sz="4" w:space="0" w:color="auto"/>
            </w:tcBorders>
            <w:shd w:val="clear" w:color="auto" w:fill="auto"/>
            <w:vAlign w:val="center"/>
            <w:hideMark/>
          </w:tcPr>
          <w:p w14:paraId="519B508F"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90"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91" w14:textId="77777777" w:rsidR="00993172" w:rsidRPr="008E63BB" w:rsidRDefault="00993172" w:rsidP="0065184D">
            <w:pPr>
              <w:jc w:val="right"/>
              <w:rPr>
                <w:rFonts w:eastAsia="Times New Roman"/>
                <w:sz w:val="24"/>
                <w:szCs w:val="24"/>
              </w:rPr>
            </w:pPr>
            <w:r w:rsidRPr="008E63BB">
              <w:rPr>
                <w:rFonts w:eastAsia="Times New Roman"/>
                <w:sz w:val="24"/>
                <w:szCs w:val="24"/>
              </w:rPr>
              <w:t>1.474</w:t>
            </w:r>
          </w:p>
        </w:tc>
        <w:tc>
          <w:tcPr>
            <w:tcW w:w="564" w:type="dxa"/>
            <w:tcBorders>
              <w:top w:val="nil"/>
              <w:left w:val="nil"/>
              <w:bottom w:val="single" w:sz="4" w:space="0" w:color="auto"/>
              <w:right w:val="single" w:sz="4" w:space="0" w:color="auto"/>
            </w:tcBorders>
            <w:shd w:val="clear" w:color="auto" w:fill="auto"/>
            <w:vAlign w:val="center"/>
            <w:hideMark/>
          </w:tcPr>
          <w:p w14:paraId="519B5092"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r>
      <w:tr w:rsidR="008D5BFE" w:rsidRPr="008E63BB" w14:paraId="519B50A5"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94" w14:textId="77777777" w:rsidR="00993172" w:rsidRPr="008E63BB" w:rsidRDefault="00993172" w:rsidP="0065184D">
            <w:pPr>
              <w:jc w:val="right"/>
              <w:rPr>
                <w:rFonts w:eastAsia="Times New Roman"/>
                <w:sz w:val="24"/>
                <w:szCs w:val="24"/>
              </w:rPr>
            </w:pPr>
            <w:r w:rsidRPr="008E63BB">
              <w:rPr>
                <w:rFonts w:eastAsia="Times New Roman"/>
                <w:sz w:val="24"/>
                <w:szCs w:val="24"/>
              </w:rPr>
              <w:t>2</w:t>
            </w:r>
          </w:p>
        </w:tc>
        <w:tc>
          <w:tcPr>
            <w:tcW w:w="2746" w:type="dxa"/>
            <w:tcBorders>
              <w:top w:val="nil"/>
              <w:left w:val="nil"/>
              <w:bottom w:val="single" w:sz="4" w:space="0" w:color="auto"/>
              <w:right w:val="single" w:sz="4" w:space="0" w:color="auto"/>
            </w:tcBorders>
            <w:shd w:val="clear" w:color="auto" w:fill="auto"/>
            <w:vAlign w:val="center"/>
            <w:hideMark/>
          </w:tcPr>
          <w:p w14:paraId="519B5095" w14:textId="77777777" w:rsidR="00993172" w:rsidRPr="008E63BB" w:rsidRDefault="00993172" w:rsidP="0065184D">
            <w:pPr>
              <w:jc w:val="left"/>
              <w:rPr>
                <w:rFonts w:eastAsia="Times New Roman"/>
                <w:sz w:val="24"/>
                <w:szCs w:val="24"/>
              </w:rPr>
            </w:pPr>
            <w:r w:rsidRPr="008E63BB">
              <w:rPr>
                <w:rFonts w:eastAsia="Times New Roman"/>
                <w:sz w:val="24"/>
                <w:szCs w:val="24"/>
              </w:rPr>
              <w:t>Huyện Mỹ Lộc</w:t>
            </w:r>
          </w:p>
        </w:tc>
        <w:tc>
          <w:tcPr>
            <w:tcW w:w="860" w:type="dxa"/>
            <w:tcBorders>
              <w:top w:val="nil"/>
              <w:left w:val="nil"/>
              <w:bottom w:val="single" w:sz="4" w:space="0" w:color="auto"/>
              <w:right w:val="single" w:sz="4" w:space="0" w:color="auto"/>
            </w:tcBorders>
            <w:shd w:val="clear" w:color="auto" w:fill="auto"/>
            <w:vAlign w:val="center"/>
            <w:hideMark/>
          </w:tcPr>
          <w:p w14:paraId="519B5096" w14:textId="77777777" w:rsidR="00993172" w:rsidRPr="008E63BB" w:rsidRDefault="00993172" w:rsidP="0065184D">
            <w:pPr>
              <w:jc w:val="right"/>
              <w:rPr>
                <w:rFonts w:eastAsia="Times New Roman"/>
                <w:sz w:val="24"/>
                <w:szCs w:val="24"/>
              </w:rPr>
            </w:pPr>
            <w:r w:rsidRPr="008E63BB">
              <w:rPr>
                <w:rFonts w:eastAsia="Times New Roman"/>
                <w:sz w:val="24"/>
                <w:szCs w:val="24"/>
              </w:rPr>
              <w:t>34</w:t>
            </w:r>
          </w:p>
        </w:tc>
        <w:tc>
          <w:tcPr>
            <w:tcW w:w="876" w:type="dxa"/>
            <w:tcBorders>
              <w:top w:val="nil"/>
              <w:left w:val="nil"/>
              <w:bottom w:val="single" w:sz="4" w:space="0" w:color="auto"/>
              <w:right w:val="single" w:sz="4" w:space="0" w:color="auto"/>
            </w:tcBorders>
            <w:shd w:val="clear" w:color="auto" w:fill="auto"/>
            <w:vAlign w:val="center"/>
            <w:hideMark/>
          </w:tcPr>
          <w:p w14:paraId="519B5097" w14:textId="77777777" w:rsidR="00993172" w:rsidRPr="008E63BB" w:rsidRDefault="00993172" w:rsidP="0065184D">
            <w:pPr>
              <w:jc w:val="right"/>
              <w:rPr>
                <w:rFonts w:eastAsia="Times New Roman"/>
                <w:sz w:val="24"/>
                <w:szCs w:val="24"/>
              </w:rPr>
            </w:pPr>
            <w:r w:rsidRPr="008E63BB">
              <w:rPr>
                <w:rFonts w:eastAsia="Times New Roman"/>
                <w:sz w:val="24"/>
                <w:szCs w:val="24"/>
              </w:rPr>
              <w:t>15.975</w:t>
            </w:r>
          </w:p>
        </w:tc>
        <w:tc>
          <w:tcPr>
            <w:tcW w:w="576" w:type="dxa"/>
            <w:tcBorders>
              <w:top w:val="nil"/>
              <w:left w:val="nil"/>
              <w:bottom w:val="single" w:sz="4" w:space="0" w:color="auto"/>
              <w:right w:val="single" w:sz="4" w:space="0" w:color="auto"/>
            </w:tcBorders>
            <w:shd w:val="clear" w:color="auto" w:fill="auto"/>
            <w:vAlign w:val="center"/>
            <w:hideMark/>
          </w:tcPr>
          <w:p w14:paraId="519B5098" w14:textId="77777777" w:rsidR="00993172" w:rsidRPr="008E63BB" w:rsidRDefault="00993172" w:rsidP="0065184D">
            <w:pPr>
              <w:jc w:val="right"/>
              <w:rPr>
                <w:rFonts w:eastAsia="Times New Roman"/>
                <w:sz w:val="24"/>
                <w:szCs w:val="24"/>
              </w:rPr>
            </w:pPr>
            <w:r w:rsidRPr="008E63BB">
              <w:rPr>
                <w:rFonts w:eastAsia="Times New Roman"/>
                <w:sz w:val="24"/>
                <w:szCs w:val="24"/>
              </w:rPr>
              <w:t>480</w:t>
            </w:r>
          </w:p>
        </w:tc>
        <w:tc>
          <w:tcPr>
            <w:tcW w:w="860" w:type="dxa"/>
            <w:tcBorders>
              <w:top w:val="nil"/>
              <w:left w:val="nil"/>
              <w:bottom w:val="single" w:sz="4" w:space="0" w:color="auto"/>
              <w:right w:val="single" w:sz="4" w:space="0" w:color="auto"/>
            </w:tcBorders>
            <w:shd w:val="clear" w:color="auto" w:fill="auto"/>
            <w:vAlign w:val="center"/>
            <w:hideMark/>
          </w:tcPr>
          <w:p w14:paraId="519B5099"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9A" w14:textId="77777777" w:rsidR="00993172" w:rsidRPr="008E63BB" w:rsidRDefault="00993172" w:rsidP="0065184D">
            <w:pPr>
              <w:jc w:val="right"/>
              <w:rPr>
                <w:rFonts w:eastAsia="Times New Roman"/>
                <w:sz w:val="24"/>
                <w:szCs w:val="24"/>
              </w:rPr>
            </w:pPr>
            <w:r w:rsidRPr="008E63BB">
              <w:rPr>
                <w:rFonts w:eastAsia="Times New Roman"/>
                <w:sz w:val="24"/>
                <w:szCs w:val="24"/>
              </w:rPr>
              <w:t>4.396</w:t>
            </w:r>
          </w:p>
        </w:tc>
        <w:tc>
          <w:tcPr>
            <w:tcW w:w="577" w:type="dxa"/>
            <w:tcBorders>
              <w:top w:val="nil"/>
              <w:left w:val="nil"/>
              <w:bottom w:val="single" w:sz="4" w:space="0" w:color="auto"/>
              <w:right w:val="single" w:sz="4" w:space="0" w:color="auto"/>
            </w:tcBorders>
            <w:shd w:val="clear" w:color="auto" w:fill="auto"/>
            <w:vAlign w:val="center"/>
            <w:hideMark/>
          </w:tcPr>
          <w:p w14:paraId="519B509B"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9C"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9D" w14:textId="77777777" w:rsidR="00993172" w:rsidRPr="008E63BB" w:rsidRDefault="00993172" w:rsidP="0065184D">
            <w:pPr>
              <w:jc w:val="right"/>
              <w:rPr>
                <w:rFonts w:eastAsia="Times New Roman"/>
                <w:sz w:val="24"/>
                <w:szCs w:val="24"/>
              </w:rPr>
            </w:pPr>
            <w:r w:rsidRPr="008E63BB">
              <w:rPr>
                <w:rFonts w:eastAsia="Times New Roman"/>
                <w:sz w:val="24"/>
                <w:szCs w:val="24"/>
              </w:rPr>
              <w:t>5.812</w:t>
            </w:r>
          </w:p>
        </w:tc>
        <w:tc>
          <w:tcPr>
            <w:tcW w:w="577" w:type="dxa"/>
            <w:tcBorders>
              <w:top w:val="nil"/>
              <w:left w:val="nil"/>
              <w:bottom w:val="single" w:sz="4" w:space="0" w:color="auto"/>
              <w:right w:val="single" w:sz="4" w:space="0" w:color="auto"/>
            </w:tcBorders>
            <w:shd w:val="clear" w:color="auto" w:fill="auto"/>
            <w:vAlign w:val="center"/>
            <w:hideMark/>
          </w:tcPr>
          <w:p w14:paraId="519B509E"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9F"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A0" w14:textId="77777777" w:rsidR="00993172" w:rsidRPr="008E63BB" w:rsidRDefault="00993172" w:rsidP="0065184D">
            <w:pPr>
              <w:jc w:val="right"/>
              <w:rPr>
                <w:rFonts w:eastAsia="Times New Roman"/>
                <w:sz w:val="24"/>
                <w:szCs w:val="24"/>
              </w:rPr>
            </w:pPr>
            <w:r w:rsidRPr="008E63BB">
              <w:rPr>
                <w:rFonts w:eastAsia="Times New Roman"/>
                <w:sz w:val="24"/>
                <w:szCs w:val="24"/>
              </w:rPr>
              <w:t>3.878</w:t>
            </w:r>
          </w:p>
        </w:tc>
        <w:tc>
          <w:tcPr>
            <w:tcW w:w="577" w:type="dxa"/>
            <w:tcBorders>
              <w:top w:val="nil"/>
              <w:left w:val="nil"/>
              <w:bottom w:val="single" w:sz="4" w:space="0" w:color="auto"/>
              <w:right w:val="single" w:sz="4" w:space="0" w:color="auto"/>
            </w:tcBorders>
            <w:shd w:val="clear" w:color="auto" w:fill="auto"/>
            <w:vAlign w:val="center"/>
            <w:hideMark/>
          </w:tcPr>
          <w:p w14:paraId="519B50A1"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A2"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A3" w14:textId="77777777" w:rsidR="00993172" w:rsidRPr="008E63BB" w:rsidRDefault="00993172" w:rsidP="0065184D">
            <w:pPr>
              <w:jc w:val="right"/>
              <w:rPr>
                <w:rFonts w:eastAsia="Times New Roman"/>
                <w:sz w:val="24"/>
                <w:szCs w:val="24"/>
              </w:rPr>
            </w:pPr>
            <w:r w:rsidRPr="008E63BB">
              <w:rPr>
                <w:rFonts w:eastAsia="Times New Roman"/>
                <w:sz w:val="24"/>
                <w:szCs w:val="24"/>
              </w:rPr>
              <w:t>1.889</w:t>
            </w:r>
          </w:p>
        </w:tc>
        <w:tc>
          <w:tcPr>
            <w:tcW w:w="564" w:type="dxa"/>
            <w:tcBorders>
              <w:top w:val="nil"/>
              <w:left w:val="nil"/>
              <w:bottom w:val="single" w:sz="4" w:space="0" w:color="auto"/>
              <w:right w:val="single" w:sz="4" w:space="0" w:color="auto"/>
            </w:tcBorders>
            <w:shd w:val="clear" w:color="auto" w:fill="auto"/>
            <w:vAlign w:val="center"/>
            <w:hideMark/>
          </w:tcPr>
          <w:p w14:paraId="519B50A4"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r>
      <w:tr w:rsidR="008D5BFE" w:rsidRPr="008E63BB" w14:paraId="519B50B7"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A6" w14:textId="77777777" w:rsidR="00993172" w:rsidRPr="008E63BB" w:rsidRDefault="00993172" w:rsidP="0065184D">
            <w:pPr>
              <w:jc w:val="left"/>
              <w:rPr>
                <w:rFonts w:eastAsia="Times New Roman"/>
                <w:sz w:val="24"/>
                <w:szCs w:val="24"/>
              </w:rPr>
            </w:pPr>
            <w:r w:rsidRPr="008E63BB">
              <w:rPr>
                <w:rFonts w:eastAsia="Times New Roman"/>
                <w:sz w:val="24"/>
                <w:szCs w:val="24"/>
              </w:rPr>
              <w:lastRenderedPageBreak/>
              <w:t> </w:t>
            </w:r>
          </w:p>
        </w:tc>
        <w:tc>
          <w:tcPr>
            <w:tcW w:w="2746" w:type="dxa"/>
            <w:tcBorders>
              <w:top w:val="nil"/>
              <w:left w:val="nil"/>
              <w:bottom w:val="single" w:sz="4" w:space="0" w:color="auto"/>
              <w:right w:val="single" w:sz="4" w:space="0" w:color="auto"/>
            </w:tcBorders>
            <w:shd w:val="clear" w:color="auto" w:fill="auto"/>
            <w:vAlign w:val="center"/>
            <w:hideMark/>
          </w:tcPr>
          <w:p w14:paraId="519B50A7" w14:textId="77777777" w:rsidR="00993172" w:rsidRPr="008E63BB" w:rsidRDefault="00993172" w:rsidP="0065184D">
            <w:pPr>
              <w:jc w:val="left"/>
              <w:rPr>
                <w:rFonts w:eastAsia="Times New Roman"/>
                <w:sz w:val="24"/>
                <w:szCs w:val="24"/>
              </w:rPr>
            </w:pPr>
            <w:r w:rsidRPr="008E63BB">
              <w:rPr>
                <w:rFonts w:eastAsia="Times New Roman"/>
                <w:sz w:val="24"/>
                <w:szCs w:val="24"/>
              </w:rPr>
              <w:t>Công lập</w:t>
            </w:r>
          </w:p>
        </w:tc>
        <w:tc>
          <w:tcPr>
            <w:tcW w:w="860" w:type="dxa"/>
            <w:tcBorders>
              <w:top w:val="nil"/>
              <w:left w:val="nil"/>
              <w:bottom w:val="single" w:sz="4" w:space="0" w:color="auto"/>
              <w:right w:val="single" w:sz="4" w:space="0" w:color="auto"/>
            </w:tcBorders>
            <w:shd w:val="clear" w:color="auto" w:fill="auto"/>
            <w:vAlign w:val="center"/>
            <w:hideMark/>
          </w:tcPr>
          <w:p w14:paraId="519B50A8" w14:textId="77777777" w:rsidR="00993172" w:rsidRPr="008E63BB" w:rsidRDefault="00993172" w:rsidP="0065184D">
            <w:pPr>
              <w:jc w:val="right"/>
              <w:rPr>
                <w:rFonts w:eastAsia="Times New Roman"/>
                <w:sz w:val="24"/>
                <w:szCs w:val="24"/>
              </w:rPr>
            </w:pPr>
            <w:r w:rsidRPr="008E63BB">
              <w:rPr>
                <w:rFonts w:eastAsia="Times New Roman"/>
                <w:sz w:val="24"/>
                <w:szCs w:val="24"/>
              </w:rPr>
              <w:t>34</w:t>
            </w:r>
          </w:p>
        </w:tc>
        <w:tc>
          <w:tcPr>
            <w:tcW w:w="876" w:type="dxa"/>
            <w:tcBorders>
              <w:top w:val="nil"/>
              <w:left w:val="nil"/>
              <w:bottom w:val="single" w:sz="4" w:space="0" w:color="auto"/>
              <w:right w:val="single" w:sz="4" w:space="0" w:color="auto"/>
            </w:tcBorders>
            <w:shd w:val="clear" w:color="auto" w:fill="auto"/>
            <w:vAlign w:val="center"/>
            <w:hideMark/>
          </w:tcPr>
          <w:p w14:paraId="519B50A9" w14:textId="77777777" w:rsidR="00993172" w:rsidRPr="008E63BB" w:rsidRDefault="00993172" w:rsidP="0065184D">
            <w:pPr>
              <w:jc w:val="right"/>
              <w:rPr>
                <w:rFonts w:eastAsia="Times New Roman"/>
                <w:sz w:val="24"/>
                <w:szCs w:val="24"/>
              </w:rPr>
            </w:pPr>
            <w:r w:rsidRPr="008E63BB">
              <w:rPr>
                <w:rFonts w:eastAsia="Times New Roman"/>
                <w:sz w:val="24"/>
                <w:szCs w:val="24"/>
              </w:rPr>
              <w:t>15.975</w:t>
            </w:r>
          </w:p>
        </w:tc>
        <w:tc>
          <w:tcPr>
            <w:tcW w:w="576" w:type="dxa"/>
            <w:tcBorders>
              <w:top w:val="nil"/>
              <w:left w:val="nil"/>
              <w:bottom w:val="single" w:sz="4" w:space="0" w:color="auto"/>
              <w:right w:val="single" w:sz="4" w:space="0" w:color="auto"/>
            </w:tcBorders>
            <w:shd w:val="clear" w:color="auto" w:fill="auto"/>
            <w:vAlign w:val="center"/>
            <w:hideMark/>
          </w:tcPr>
          <w:p w14:paraId="519B50AA" w14:textId="77777777" w:rsidR="00993172" w:rsidRPr="008E63BB" w:rsidRDefault="00993172" w:rsidP="0065184D">
            <w:pPr>
              <w:jc w:val="right"/>
              <w:rPr>
                <w:rFonts w:eastAsia="Times New Roman"/>
                <w:sz w:val="24"/>
                <w:szCs w:val="24"/>
              </w:rPr>
            </w:pPr>
            <w:r w:rsidRPr="008E63BB">
              <w:rPr>
                <w:rFonts w:eastAsia="Times New Roman"/>
                <w:sz w:val="24"/>
                <w:szCs w:val="24"/>
              </w:rPr>
              <w:t>480</w:t>
            </w:r>
          </w:p>
        </w:tc>
        <w:tc>
          <w:tcPr>
            <w:tcW w:w="860" w:type="dxa"/>
            <w:tcBorders>
              <w:top w:val="nil"/>
              <w:left w:val="nil"/>
              <w:bottom w:val="single" w:sz="4" w:space="0" w:color="auto"/>
              <w:right w:val="single" w:sz="4" w:space="0" w:color="auto"/>
            </w:tcBorders>
            <w:shd w:val="clear" w:color="auto" w:fill="auto"/>
            <w:vAlign w:val="center"/>
            <w:hideMark/>
          </w:tcPr>
          <w:p w14:paraId="519B50AB" w14:textId="77777777" w:rsidR="00993172" w:rsidRPr="008E63BB" w:rsidRDefault="00993172" w:rsidP="0065184D">
            <w:pPr>
              <w:jc w:val="right"/>
              <w:rPr>
                <w:rFonts w:eastAsia="Times New Roman"/>
                <w:sz w:val="24"/>
                <w:szCs w:val="24"/>
              </w:rPr>
            </w:pPr>
            <w:r w:rsidRPr="008E63BB">
              <w:rPr>
                <w:rFonts w:eastAsia="Times New Roman"/>
                <w:sz w:val="24"/>
                <w:szCs w:val="24"/>
              </w:rPr>
              <w:t>11</w:t>
            </w:r>
          </w:p>
        </w:tc>
        <w:tc>
          <w:tcPr>
            <w:tcW w:w="876" w:type="dxa"/>
            <w:tcBorders>
              <w:top w:val="nil"/>
              <w:left w:val="nil"/>
              <w:bottom w:val="single" w:sz="4" w:space="0" w:color="auto"/>
              <w:right w:val="single" w:sz="4" w:space="0" w:color="auto"/>
            </w:tcBorders>
            <w:shd w:val="clear" w:color="auto" w:fill="auto"/>
            <w:vAlign w:val="center"/>
            <w:hideMark/>
          </w:tcPr>
          <w:p w14:paraId="519B50AC" w14:textId="77777777" w:rsidR="00993172" w:rsidRPr="008E63BB" w:rsidRDefault="00993172" w:rsidP="0065184D">
            <w:pPr>
              <w:jc w:val="right"/>
              <w:rPr>
                <w:rFonts w:eastAsia="Times New Roman"/>
                <w:sz w:val="24"/>
                <w:szCs w:val="24"/>
              </w:rPr>
            </w:pPr>
            <w:r w:rsidRPr="008E63BB">
              <w:rPr>
                <w:rFonts w:eastAsia="Times New Roman"/>
                <w:sz w:val="24"/>
                <w:szCs w:val="24"/>
              </w:rPr>
              <w:t>4.396</w:t>
            </w:r>
          </w:p>
        </w:tc>
        <w:tc>
          <w:tcPr>
            <w:tcW w:w="577" w:type="dxa"/>
            <w:tcBorders>
              <w:top w:val="nil"/>
              <w:left w:val="nil"/>
              <w:bottom w:val="single" w:sz="4" w:space="0" w:color="auto"/>
              <w:right w:val="single" w:sz="4" w:space="0" w:color="auto"/>
            </w:tcBorders>
            <w:shd w:val="clear" w:color="auto" w:fill="auto"/>
            <w:vAlign w:val="center"/>
            <w:hideMark/>
          </w:tcPr>
          <w:p w14:paraId="519B50AD" w14:textId="77777777" w:rsidR="00993172" w:rsidRPr="008E63BB" w:rsidRDefault="00993172" w:rsidP="0065184D">
            <w:pPr>
              <w:jc w:val="right"/>
              <w:rPr>
                <w:rFonts w:eastAsia="Times New Roman"/>
                <w:sz w:val="24"/>
                <w:szCs w:val="24"/>
              </w:rPr>
            </w:pPr>
            <w:r w:rsidRPr="008E63BB">
              <w:rPr>
                <w:rFonts w:eastAsia="Times New Roman"/>
                <w:sz w:val="24"/>
                <w:szCs w:val="24"/>
              </w:rPr>
              <w:t>149</w:t>
            </w:r>
          </w:p>
        </w:tc>
        <w:tc>
          <w:tcPr>
            <w:tcW w:w="860" w:type="dxa"/>
            <w:tcBorders>
              <w:top w:val="nil"/>
              <w:left w:val="nil"/>
              <w:bottom w:val="single" w:sz="4" w:space="0" w:color="auto"/>
              <w:right w:val="single" w:sz="4" w:space="0" w:color="auto"/>
            </w:tcBorders>
            <w:shd w:val="clear" w:color="auto" w:fill="auto"/>
            <w:vAlign w:val="center"/>
            <w:hideMark/>
          </w:tcPr>
          <w:p w14:paraId="519B50AE" w14:textId="77777777" w:rsidR="00993172" w:rsidRPr="008E63BB" w:rsidRDefault="00993172" w:rsidP="0065184D">
            <w:pPr>
              <w:jc w:val="right"/>
              <w:rPr>
                <w:rFonts w:eastAsia="Times New Roman"/>
                <w:sz w:val="24"/>
                <w:szCs w:val="24"/>
              </w:rPr>
            </w:pPr>
            <w:r w:rsidRPr="008E63BB">
              <w:rPr>
                <w:rFonts w:eastAsia="Times New Roman"/>
                <w:sz w:val="24"/>
                <w:szCs w:val="24"/>
              </w:rPr>
              <w:t>11</w:t>
            </w:r>
          </w:p>
        </w:tc>
        <w:tc>
          <w:tcPr>
            <w:tcW w:w="876" w:type="dxa"/>
            <w:tcBorders>
              <w:top w:val="nil"/>
              <w:left w:val="nil"/>
              <w:bottom w:val="single" w:sz="4" w:space="0" w:color="auto"/>
              <w:right w:val="single" w:sz="4" w:space="0" w:color="auto"/>
            </w:tcBorders>
            <w:shd w:val="clear" w:color="auto" w:fill="auto"/>
            <w:vAlign w:val="center"/>
            <w:hideMark/>
          </w:tcPr>
          <w:p w14:paraId="519B50AF" w14:textId="77777777" w:rsidR="00993172" w:rsidRPr="008E63BB" w:rsidRDefault="00993172" w:rsidP="0065184D">
            <w:pPr>
              <w:jc w:val="right"/>
              <w:rPr>
                <w:rFonts w:eastAsia="Times New Roman"/>
                <w:sz w:val="24"/>
                <w:szCs w:val="24"/>
              </w:rPr>
            </w:pPr>
            <w:r w:rsidRPr="008E63BB">
              <w:rPr>
                <w:rFonts w:eastAsia="Times New Roman"/>
                <w:sz w:val="24"/>
                <w:szCs w:val="24"/>
              </w:rPr>
              <w:t>5.812</w:t>
            </w:r>
          </w:p>
        </w:tc>
        <w:tc>
          <w:tcPr>
            <w:tcW w:w="577" w:type="dxa"/>
            <w:tcBorders>
              <w:top w:val="nil"/>
              <w:left w:val="nil"/>
              <w:bottom w:val="single" w:sz="4" w:space="0" w:color="auto"/>
              <w:right w:val="single" w:sz="4" w:space="0" w:color="auto"/>
            </w:tcBorders>
            <w:shd w:val="clear" w:color="auto" w:fill="auto"/>
            <w:vAlign w:val="center"/>
            <w:hideMark/>
          </w:tcPr>
          <w:p w14:paraId="519B50B0" w14:textId="77777777" w:rsidR="00993172" w:rsidRPr="008E63BB" w:rsidRDefault="00993172" w:rsidP="0065184D">
            <w:pPr>
              <w:jc w:val="right"/>
              <w:rPr>
                <w:rFonts w:eastAsia="Times New Roman"/>
                <w:sz w:val="24"/>
                <w:szCs w:val="24"/>
              </w:rPr>
            </w:pPr>
            <w:r w:rsidRPr="008E63BB">
              <w:rPr>
                <w:rFonts w:eastAsia="Times New Roman"/>
                <w:sz w:val="24"/>
                <w:szCs w:val="24"/>
              </w:rPr>
              <w:t>171</w:t>
            </w:r>
          </w:p>
        </w:tc>
        <w:tc>
          <w:tcPr>
            <w:tcW w:w="860" w:type="dxa"/>
            <w:tcBorders>
              <w:top w:val="nil"/>
              <w:left w:val="nil"/>
              <w:bottom w:val="single" w:sz="4" w:space="0" w:color="auto"/>
              <w:right w:val="single" w:sz="4" w:space="0" w:color="auto"/>
            </w:tcBorders>
            <w:shd w:val="clear" w:color="auto" w:fill="auto"/>
            <w:vAlign w:val="center"/>
            <w:hideMark/>
          </w:tcPr>
          <w:p w14:paraId="519B50B1" w14:textId="77777777" w:rsidR="00993172" w:rsidRPr="008E63BB" w:rsidRDefault="00993172" w:rsidP="0065184D">
            <w:pPr>
              <w:jc w:val="right"/>
              <w:rPr>
                <w:rFonts w:eastAsia="Times New Roman"/>
                <w:sz w:val="24"/>
                <w:szCs w:val="24"/>
              </w:rPr>
            </w:pPr>
            <w:r w:rsidRPr="008E63BB">
              <w:rPr>
                <w:rFonts w:eastAsia="Times New Roman"/>
                <w:sz w:val="24"/>
                <w:szCs w:val="24"/>
              </w:rPr>
              <w:t>10</w:t>
            </w:r>
          </w:p>
        </w:tc>
        <w:tc>
          <w:tcPr>
            <w:tcW w:w="876" w:type="dxa"/>
            <w:tcBorders>
              <w:top w:val="nil"/>
              <w:left w:val="nil"/>
              <w:bottom w:val="single" w:sz="4" w:space="0" w:color="auto"/>
              <w:right w:val="single" w:sz="4" w:space="0" w:color="auto"/>
            </w:tcBorders>
            <w:shd w:val="clear" w:color="auto" w:fill="auto"/>
            <w:vAlign w:val="center"/>
            <w:hideMark/>
          </w:tcPr>
          <w:p w14:paraId="519B50B2" w14:textId="77777777" w:rsidR="00993172" w:rsidRPr="008E63BB" w:rsidRDefault="00993172" w:rsidP="0065184D">
            <w:pPr>
              <w:jc w:val="right"/>
              <w:rPr>
                <w:rFonts w:eastAsia="Times New Roman"/>
                <w:sz w:val="24"/>
                <w:szCs w:val="24"/>
              </w:rPr>
            </w:pPr>
            <w:r w:rsidRPr="008E63BB">
              <w:rPr>
                <w:rFonts w:eastAsia="Times New Roman"/>
                <w:sz w:val="24"/>
                <w:szCs w:val="24"/>
              </w:rPr>
              <w:t>3.878</w:t>
            </w:r>
          </w:p>
        </w:tc>
        <w:tc>
          <w:tcPr>
            <w:tcW w:w="577" w:type="dxa"/>
            <w:tcBorders>
              <w:top w:val="nil"/>
              <w:left w:val="nil"/>
              <w:bottom w:val="single" w:sz="4" w:space="0" w:color="auto"/>
              <w:right w:val="single" w:sz="4" w:space="0" w:color="auto"/>
            </w:tcBorders>
            <w:shd w:val="clear" w:color="auto" w:fill="auto"/>
            <w:vAlign w:val="center"/>
            <w:hideMark/>
          </w:tcPr>
          <w:p w14:paraId="519B50B3" w14:textId="77777777" w:rsidR="00993172" w:rsidRPr="008E63BB" w:rsidRDefault="00993172" w:rsidP="0065184D">
            <w:pPr>
              <w:jc w:val="right"/>
              <w:rPr>
                <w:rFonts w:eastAsia="Times New Roman"/>
                <w:sz w:val="24"/>
                <w:szCs w:val="24"/>
              </w:rPr>
            </w:pPr>
            <w:r w:rsidRPr="008E63BB">
              <w:rPr>
                <w:rFonts w:eastAsia="Times New Roman"/>
                <w:sz w:val="24"/>
                <w:szCs w:val="24"/>
              </w:rPr>
              <w:t>109</w:t>
            </w:r>
          </w:p>
        </w:tc>
        <w:tc>
          <w:tcPr>
            <w:tcW w:w="860" w:type="dxa"/>
            <w:tcBorders>
              <w:top w:val="nil"/>
              <w:left w:val="nil"/>
              <w:bottom w:val="single" w:sz="4" w:space="0" w:color="auto"/>
              <w:right w:val="single" w:sz="4" w:space="0" w:color="auto"/>
            </w:tcBorders>
            <w:shd w:val="clear" w:color="auto" w:fill="auto"/>
            <w:vAlign w:val="center"/>
            <w:hideMark/>
          </w:tcPr>
          <w:p w14:paraId="519B50B4" w14:textId="77777777" w:rsidR="00993172" w:rsidRPr="008E63BB" w:rsidRDefault="00993172" w:rsidP="0065184D">
            <w:pPr>
              <w:jc w:val="right"/>
              <w:rPr>
                <w:rFonts w:eastAsia="Times New Roman"/>
                <w:sz w:val="24"/>
                <w:szCs w:val="24"/>
              </w:rPr>
            </w:pPr>
            <w:r w:rsidRPr="008E63BB">
              <w:rPr>
                <w:rFonts w:eastAsia="Times New Roman"/>
                <w:sz w:val="24"/>
                <w:szCs w:val="24"/>
              </w:rPr>
              <w:t>2</w:t>
            </w:r>
          </w:p>
        </w:tc>
        <w:tc>
          <w:tcPr>
            <w:tcW w:w="876" w:type="dxa"/>
            <w:tcBorders>
              <w:top w:val="nil"/>
              <w:left w:val="nil"/>
              <w:bottom w:val="single" w:sz="4" w:space="0" w:color="auto"/>
              <w:right w:val="single" w:sz="4" w:space="0" w:color="auto"/>
            </w:tcBorders>
            <w:shd w:val="clear" w:color="auto" w:fill="auto"/>
            <w:vAlign w:val="center"/>
            <w:hideMark/>
          </w:tcPr>
          <w:p w14:paraId="519B50B5" w14:textId="77777777" w:rsidR="00993172" w:rsidRPr="008E63BB" w:rsidRDefault="00993172" w:rsidP="0065184D">
            <w:pPr>
              <w:jc w:val="right"/>
              <w:rPr>
                <w:rFonts w:eastAsia="Times New Roman"/>
                <w:sz w:val="24"/>
                <w:szCs w:val="24"/>
              </w:rPr>
            </w:pPr>
            <w:r w:rsidRPr="008E63BB">
              <w:rPr>
                <w:rFonts w:eastAsia="Times New Roman"/>
                <w:sz w:val="24"/>
                <w:szCs w:val="24"/>
              </w:rPr>
              <w:t>1.889</w:t>
            </w:r>
          </w:p>
        </w:tc>
        <w:tc>
          <w:tcPr>
            <w:tcW w:w="564" w:type="dxa"/>
            <w:tcBorders>
              <w:top w:val="nil"/>
              <w:left w:val="nil"/>
              <w:bottom w:val="single" w:sz="4" w:space="0" w:color="auto"/>
              <w:right w:val="single" w:sz="4" w:space="0" w:color="auto"/>
            </w:tcBorders>
            <w:shd w:val="clear" w:color="auto" w:fill="auto"/>
            <w:vAlign w:val="center"/>
            <w:hideMark/>
          </w:tcPr>
          <w:p w14:paraId="519B50B6" w14:textId="77777777" w:rsidR="00993172" w:rsidRPr="008E63BB" w:rsidRDefault="00993172" w:rsidP="0065184D">
            <w:pPr>
              <w:jc w:val="right"/>
              <w:rPr>
                <w:rFonts w:eastAsia="Times New Roman"/>
                <w:sz w:val="24"/>
                <w:szCs w:val="24"/>
              </w:rPr>
            </w:pPr>
            <w:r w:rsidRPr="008E63BB">
              <w:rPr>
                <w:rFonts w:eastAsia="Times New Roman"/>
                <w:sz w:val="24"/>
                <w:szCs w:val="24"/>
              </w:rPr>
              <w:t>51</w:t>
            </w:r>
          </w:p>
        </w:tc>
      </w:tr>
      <w:tr w:rsidR="008D5BFE" w:rsidRPr="008E63BB" w14:paraId="519B50C9"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B8" w14:textId="77777777" w:rsidR="00993172" w:rsidRPr="008E63BB" w:rsidRDefault="00993172" w:rsidP="0065184D">
            <w:pPr>
              <w:jc w:val="right"/>
              <w:rPr>
                <w:rFonts w:eastAsia="Times New Roman"/>
                <w:sz w:val="24"/>
                <w:szCs w:val="24"/>
              </w:rPr>
            </w:pPr>
            <w:r w:rsidRPr="008E63BB">
              <w:rPr>
                <w:rFonts w:eastAsia="Times New Roman"/>
                <w:sz w:val="24"/>
                <w:szCs w:val="24"/>
              </w:rPr>
              <w:t>3</w:t>
            </w:r>
          </w:p>
        </w:tc>
        <w:tc>
          <w:tcPr>
            <w:tcW w:w="2746" w:type="dxa"/>
            <w:tcBorders>
              <w:top w:val="nil"/>
              <w:left w:val="nil"/>
              <w:bottom w:val="single" w:sz="4" w:space="0" w:color="auto"/>
              <w:right w:val="single" w:sz="4" w:space="0" w:color="auto"/>
            </w:tcBorders>
            <w:shd w:val="clear" w:color="auto" w:fill="auto"/>
            <w:vAlign w:val="center"/>
            <w:hideMark/>
          </w:tcPr>
          <w:p w14:paraId="519B50B9" w14:textId="77777777" w:rsidR="00993172" w:rsidRPr="008E63BB" w:rsidRDefault="00993172" w:rsidP="0065184D">
            <w:pPr>
              <w:jc w:val="left"/>
              <w:rPr>
                <w:rFonts w:eastAsia="Times New Roman"/>
                <w:sz w:val="24"/>
                <w:szCs w:val="24"/>
              </w:rPr>
            </w:pPr>
            <w:r w:rsidRPr="008E63BB">
              <w:rPr>
                <w:rFonts w:eastAsia="Times New Roman"/>
                <w:sz w:val="24"/>
                <w:szCs w:val="24"/>
              </w:rPr>
              <w:t>Huyện Vụ Bản</w:t>
            </w:r>
          </w:p>
        </w:tc>
        <w:tc>
          <w:tcPr>
            <w:tcW w:w="860" w:type="dxa"/>
            <w:tcBorders>
              <w:top w:val="nil"/>
              <w:left w:val="nil"/>
              <w:bottom w:val="single" w:sz="4" w:space="0" w:color="auto"/>
              <w:right w:val="single" w:sz="4" w:space="0" w:color="auto"/>
            </w:tcBorders>
            <w:shd w:val="clear" w:color="auto" w:fill="auto"/>
            <w:vAlign w:val="center"/>
            <w:hideMark/>
          </w:tcPr>
          <w:p w14:paraId="519B50BA" w14:textId="77777777" w:rsidR="00993172" w:rsidRPr="008E63BB" w:rsidRDefault="00993172" w:rsidP="0065184D">
            <w:pPr>
              <w:jc w:val="right"/>
              <w:rPr>
                <w:rFonts w:eastAsia="Times New Roman"/>
                <w:sz w:val="24"/>
                <w:szCs w:val="24"/>
              </w:rPr>
            </w:pPr>
            <w:r w:rsidRPr="008E63BB">
              <w:rPr>
                <w:rFonts w:eastAsia="Times New Roman"/>
                <w:sz w:val="24"/>
                <w:szCs w:val="24"/>
              </w:rPr>
              <w:t>12</w:t>
            </w:r>
          </w:p>
        </w:tc>
        <w:tc>
          <w:tcPr>
            <w:tcW w:w="876" w:type="dxa"/>
            <w:tcBorders>
              <w:top w:val="nil"/>
              <w:left w:val="nil"/>
              <w:bottom w:val="single" w:sz="4" w:space="0" w:color="auto"/>
              <w:right w:val="single" w:sz="4" w:space="0" w:color="auto"/>
            </w:tcBorders>
            <w:shd w:val="clear" w:color="auto" w:fill="auto"/>
            <w:vAlign w:val="center"/>
            <w:hideMark/>
          </w:tcPr>
          <w:p w14:paraId="519B50BB" w14:textId="77777777" w:rsidR="00993172" w:rsidRPr="008E63BB" w:rsidRDefault="00993172" w:rsidP="0065184D">
            <w:pPr>
              <w:jc w:val="right"/>
              <w:rPr>
                <w:rFonts w:eastAsia="Times New Roman"/>
                <w:sz w:val="24"/>
                <w:szCs w:val="24"/>
              </w:rPr>
            </w:pPr>
            <w:r w:rsidRPr="008E63BB">
              <w:rPr>
                <w:rFonts w:eastAsia="Times New Roman"/>
                <w:sz w:val="24"/>
                <w:szCs w:val="24"/>
              </w:rPr>
              <w:t>5.625</w:t>
            </w:r>
          </w:p>
        </w:tc>
        <w:tc>
          <w:tcPr>
            <w:tcW w:w="576" w:type="dxa"/>
            <w:tcBorders>
              <w:top w:val="nil"/>
              <w:left w:val="nil"/>
              <w:bottom w:val="single" w:sz="4" w:space="0" w:color="auto"/>
              <w:right w:val="single" w:sz="4" w:space="0" w:color="auto"/>
            </w:tcBorders>
            <w:shd w:val="clear" w:color="auto" w:fill="auto"/>
            <w:vAlign w:val="center"/>
            <w:hideMark/>
          </w:tcPr>
          <w:p w14:paraId="519B50BC" w14:textId="77777777" w:rsidR="00993172" w:rsidRPr="008E63BB" w:rsidRDefault="00993172" w:rsidP="0065184D">
            <w:pPr>
              <w:jc w:val="right"/>
              <w:rPr>
                <w:rFonts w:eastAsia="Times New Roman"/>
                <w:sz w:val="24"/>
                <w:szCs w:val="24"/>
              </w:rPr>
            </w:pPr>
            <w:r w:rsidRPr="008E63BB">
              <w:rPr>
                <w:rFonts w:eastAsia="Times New Roman"/>
                <w:sz w:val="24"/>
                <w:szCs w:val="24"/>
              </w:rPr>
              <w:t>179</w:t>
            </w:r>
          </w:p>
        </w:tc>
        <w:tc>
          <w:tcPr>
            <w:tcW w:w="860" w:type="dxa"/>
            <w:tcBorders>
              <w:top w:val="nil"/>
              <w:left w:val="nil"/>
              <w:bottom w:val="single" w:sz="4" w:space="0" w:color="auto"/>
              <w:right w:val="single" w:sz="4" w:space="0" w:color="auto"/>
            </w:tcBorders>
            <w:shd w:val="clear" w:color="auto" w:fill="auto"/>
            <w:vAlign w:val="center"/>
            <w:hideMark/>
          </w:tcPr>
          <w:p w14:paraId="519B50BD"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BE" w14:textId="77777777" w:rsidR="00993172" w:rsidRPr="008E63BB" w:rsidRDefault="00993172" w:rsidP="0065184D">
            <w:pPr>
              <w:jc w:val="right"/>
              <w:rPr>
                <w:rFonts w:eastAsia="Times New Roman"/>
                <w:sz w:val="24"/>
                <w:szCs w:val="24"/>
              </w:rPr>
            </w:pPr>
            <w:r w:rsidRPr="008E63BB">
              <w:rPr>
                <w:rFonts w:eastAsia="Times New Roman"/>
                <w:sz w:val="24"/>
                <w:szCs w:val="24"/>
              </w:rPr>
              <w:t>1.555</w:t>
            </w:r>
          </w:p>
        </w:tc>
        <w:tc>
          <w:tcPr>
            <w:tcW w:w="577" w:type="dxa"/>
            <w:tcBorders>
              <w:top w:val="nil"/>
              <w:left w:val="nil"/>
              <w:bottom w:val="single" w:sz="4" w:space="0" w:color="auto"/>
              <w:right w:val="single" w:sz="4" w:space="0" w:color="auto"/>
            </w:tcBorders>
            <w:shd w:val="clear" w:color="auto" w:fill="auto"/>
            <w:vAlign w:val="center"/>
            <w:hideMark/>
          </w:tcPr>
          <w:p w14:paraId="519B50BF"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C0"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C1" w14:textId="77777777" w:rsidR="00993172" w:rsidRPr="008E63BB" w:rsidRDefault="00993172" w:rsidP="0065184D">
            <w:pPr>
              <w:jc w:val="right"/>
              <w:rPr>
                <w:rFonts w:eastAsia="Times New Roman"/>
                <w:sz w:val="24"/>
                <w:szCs w:val="24"/>
              </w:rPr>
            </w:pPr>
            <w:r w:rsidRPr="008E63BB">
              <w:rPr>
                <w:rFonts w:eastAsia="Times New Roman"/>
                <w:sz w:val="24"/>
                <w:szCs w:val="24"/>
              </w:rPr>
              <w:t>2.157</w:t>
            </w:r>
          </w:p>
        </w:tc>
        <w:tc>
          <w:tcPr>
            <w:tcW w:w="577" w:type="dxa"/>
            <w:tcBorders>
              <w:top w:val="nil"/>
              <w:left w:val="nil"/>
              <w:bottom w:val="single" w:sz="4" w:space="0" w:color="auto"/>
              <w:right w:val="single" w:sz="4" w:space="0" w:color="auto"/>
            </w:tcBorders>
            <w:shd w:val="clear" w:color="auto" w:fill="auto"/>
            <w:vAlign w:val="center"/>
            <w:hideMark/>
          </w:tcPr>
          <w:p w14:paraId="519B50C2"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C3"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C4" w14:textId="77777777" w:rsidR="00993172" w:rsidRPr="008E63BB" w:rsidRDefault="00993172" w:rsidP="0065184D">
            <w:pPr>
              <w:jc w:val="right"/>
              <w:rPr>
                <w:rFonts w:eastAsia="Times New Roman"/>
                <w:sz w:val="24"/>
                <w:szCs w:val="24"/>
              </w:rPr>
            </w:pPr>
            <w:r w:rsidRPr="008E63BB">
              <w:rPr>
                <w:rFonts w:eastAsia="Times New Roman"/>
                <w:sz w:val="24"/>
                <w:szCs w:val="24"/>
              </w:rPr>
              <w:t>1.306</w:t>
            </w:r>
          </w:p>
        </w:tc>
        <w:tc>
          <w:tcPr>
            <w:tcW w:w="577" w:type="dxa"/>
            <w:tcBorders>
              <w:top w:val="nil"/>
              <w:left w:val="nil"/>
              <w:bottom w:val="single" w:sz="4" w:space="0" w:color="auto"/>
              <w:right w:val="single" w:sz="4" w:space="0" w:color="auto"/>
            </w:tcBorders>
            <w:shd w:val="clear" w:color="auto" w:fill="auto"/>
            <w:vAlign w:val="center"/>
            <w:hideMark/>
          </w:tcPr>
          <w:p w14:paraId="519B50C5"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C6"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C7" w14:textId="77777777" w:rsidR="00993172" w:rsidRPr="008E63BB" w:rsidRDefault="00993172" w:rsidP="0065184D">
            <w:pPr>
              <w:jc w:val="right"/>
              <w:rPr>
                <w:rFonts w:eastAsia="Times New Roman"/>
                <w:sz w:val="24"/>
                <w:szCs w:val="24"/>
              </w:rPr>
            </w:pPr>
            <w:r w:rsidRPr="008E63BB">
              <w:rPr>
                <w:rFonts w:eastAsia="Times New Roman"/>
                <w:sz w:val="24"/>
                <w:szCs w:val="24"/>
              </w:rPr>
              <w:t>607</w:t>
            </w:r>
          </w:p>
        </w:tc>
        <w:tc>
          <w:tcPr>
            <w:tcW w:w="564" w:type="dxa"/>
            <w:tcBorders>
              <w:top w:val="nil"/>
              <w:left w:val="nil"/>
              <w:bottom w:val="single" w:sz="4" w:space="0" w:color="auto"/>
              <w:right w:val="single" w:sz="4" w:space="0" w:color="auto"/>
            </w:tcBorders>
            <w:shd w:val="clear" w:color="auto" w:fill="auto"/>
            <w:vAlign w:val="center"/>
            <w:hideMark/>
          </w:tcPr>
          <w:p w14:paraId="519B50C8" w14:textId="77777777" w:rsidR="00993172" w:rsidRPr="008E63BB" w:rsidRDefault="00993172" w:rsidP="0065184D">
            <w:pPr>
              <w:jc w:val="right"/>
              <w:rPr>
                <w:rFonts w:eastAsia="Times New Roman"/>
                <w:sz w:val="24"/>
                <w:szCs w:val="24"/>
              </w:rPr>
            </w:pPr>
            <w:r w:rsidRPr="008E63BB">
              <w:rPr>
                <w:rFonts w:eastAsia="Times New Roman"/>
                <w:sz w:val="24"/>
                <w:szCs w:val="24"/>
              </w:rPr>
              <w:t> </w:t>
            </w:r>
          </w:p>
        </w:tc>
      </w:tr>
      <w:tr w:rsidR="008D5BFE" w:rsidRPr="008E63BB" w14:paraId="519B50DB" w14:textId="77777777" w:rsidTr="004710C7">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CA"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2746" w:type="dxa"/>
            <w:tcBorders>
              <w:top w:val="nil"/>
              <w:left w:val="nil"/>
              <w:bottom w:val="single" w:sz="4" w:space="0" w:color="auto"/>
              <w:right w:val="single" w:sz="4" w:space="0" w:color="auto"/>
            </w:tcBorders>
            <w:shd w:val="clear" w:color="auto" w:fill="auto"/>
            <w:vAlign w:val="center"/>
            <w:hideMark/>
          </w:tcPr>
          <w:p w14:paraId="519B50CB" w14:textId="77777777" w:rsidR="00993172" w:rsidRPr="008E63BB" w:rsidRDefault="00993172" w:rsidP="0065184D">
            <w:pPr>
              <w:jc w:val="left"/>
              <w:rPr>
                <w:rFonts w:eastAsia="Times New Roman"/>
                <w:sz w:val="24"/>
                <w:szCs w:val="24"/>
              </w:rPr>
            </w:pPr>
            <w:r w:rsidRPr="008E63BB">
              <w:rPr>
                <w:rFonts w:eastAsia="Times New Roman"/>
                <w:sz w:val="24"/>
                <w:szCs w:val="24"/>
              </w:rPr>
              <w:t>Công lập</w:t>
            </w:r>
          </w:p>
        </w:tc>
        <w:tc>
          <w:tcPr>
            <w:tcW w:w="860" w:type="dxa"/>
            <w:tcBorders>
              <w:top w:val="nil"/>
              <w:left w:val="nil"/>
              <w:bottom w:val="single" w:sz="4" w:space="0" w:color="auto"/>
              <w:right w:val="single" w:sz="4" w:space="0" w:color="auto"/>
            </w:tcBorders>
            <w:shd w:val="clear" w:color="auto" w:fill="auto"/>
            <w:vAlign w:val="center"/>
            <w:hideMark/>
          </w:tcPr>
          <w:p w14:paraId="519B50CC" w14:textId="77777777" w:rsidR="00993172" w:rsidRPr="008E63BB" w:rsidRDefault="00993172" w:rsidP="0065184D">
            <w:pPr>
              <w:jc w:val="right"/>
              <w:rPr>
                <w:rFonts w:eastAsia="Times New Roman"/>
                <w:sz w:val="24"/>
                <w:szCs w:val="24"/>
              </w:rPr>
            </w:pPr>
            <w:r w:rsidRPr="008E63BB">
              <w:rPr>
                <w:rFonts w:eastAsia="Times New Roman"/>
                <w:sz w:val="24"/>
                <w:szCs w:val="24"/>
              </w:rPr>
              <w:t>12</w:t>
            </w:r>
          </w:p>
        </w:tc>
        <w:tc>
          <w:tcPr>
            <w:tcW w:w="876" w:type="dxa"/>
            <w:tcBorders>
              <w:top w:val="nil"/>
              <w:left w:val="nil"/>
              <w:bottom w:val="single" w:sz="4" w:space="0" w:color="auto"/>
              <w:right w:val="single" w:sz="4" w:space="0" w:color="auto"/>
            </w:tcBorders>
            <w:shd w:val="clear" w:color="auto" w:fill="auto"/>
            <w:vAlign w:val="center"/>
            <w:hideMark/>
          </w:tcPr>
          <w:p w14:paraId="519B50CD" w14:textId="77777777" w:rsidR="00993172" w:rsidRPr="008E63BB" w:rsidRDefault="00993172" w:rsidP="0065184D">
            <w:pPr>
              <w:jc w:val="right"/>
              <w:rPr>
                <w:rFonts w:eastAsia="Times New Roman"/>
                <w:sz w:val="24"/>
                <w:szCs w:val="24"/>
              </w:rPr>
            </w:pPr>
            <w:r w:rsidRPr="008E63BB">
              <w:rPr>
                <w:rFonts w:eastAsia="Times New Roman"/>
                <w:sz w:val="24"/>
                <w:szCs w:val="24"/>
              </w:rPr>
              <w:t>5.625</w:t>
            </w:r>
          </w:p>
        </w:tc>
        <w:tc>
          <w:tcPr>
            <w:tcW w:w="576" w:type="dxa"/>
            <w:tcBorders>
              <w:top w:val="nil"/>
              <w:left w:val="nil"/>
              <w:bottom w:val="single" w:sz="4" w:space="0" w:color="auto"/>
              <w:right w:val="single" w:sz="4" w:space="0" w:color="auto"/>
            </w:tcBorders>
            <w:shd w:val="clear" w:color="auto" w:fill="auto"/>
            <w:vAlign w:val="center"/>
            <w:hideMark/>
          </w:tcPr>
          <w:p w14:paraId="519B50CE" w14:textId="77777777" w:rsidR="00993172" w:rsidRPr="008E63BB" w:rsidRDefault="00993172" w:rsidP="0065184D">
            <w:pPr>
              <w:jc w:val="right"/>
              <w:rPr>
                <w:rFonts w:eastAsia="Times New Roman"/>
                <w:sz w:val="24"/>
                <w:szCs w:val="24"/>
              </w:rPr>
            </w:pPr>
            <w:r w:rsidRPr="008E63BB">
              <w:rPr>
                <w:rFonts w:eastAsia="Times New Roman"/>
                <w:sz w:val="24"/>
                <w:szCs w:val="24"/>
              </w:rPr>
              <w:t>179</w:t>
            </w:r>
          </w:p>
        </w:tc>
        <w:tc>
          <w:tcPr>
            <w:tcW w:w="860" w:type="dxa"/>
            <w:tcBorders>
              <w:top w:val="nil"/>
              <w:left w:val="nil"/>
              <w:bottom w:val="single" w:sz="4" w:space="0" w:color="auto"/>
              <w:right w:val="single" w:sz="4" w:space="0" w:color="auto"/>
            </w:tcBorders>
            <w:shd w:val="clear" w:color="auto" w:fill="auto"/>
            <w:vAlign w:val="center"/>
            <w:hideMark/>
          </w:tcPr>
          <w:p w14:paraId="519B50CF" w14:textId="77777777" w:rsidR="00993172" w:rsidRPr="008E63BB" w:rsidRDefault="00993172" w:rsidP="0065184D">
            <w:pPr>
              <w:jc w:val="right"/>
              <w:rPr>
                <w:rFonts w:eastAsia="Times New Roman"/>
                <w:sz w:val="24"/>
                <w:szCs w:val="24"/>
              </w:rPr>
            </w:pPr>
            <w:r w:rsidRPr="008E63BB">
              <w:rPr>
                <w:rFonts w:eastAsia="Times New Roman"/>
                <w:sz w:val="24"/>
                <w:szCs w:val="24"/>
              </w:rPr>
              <w:t>3</w:t>
            </w:r>
          </w:p>
        </w:tc>
        <w:tc>
          <w:tcPr>
            <w:tcW w:w="876" w:type="dxa"/>
            <w:tcBorders>
              <w:top w:val="nil"/>
              <w:left w:val="nil"/>
              <w:bottom w:val="single" w:sz="4" w:space="0" w:color="auto"/>
              <w:right w:val="single" w:sz="4" w:space="0" w:color="auto"/>
            </w:tcBorders>
            <w:shd w:val="clear" w:color="auto" w:fill="auto"/>
            <w:vAlign w:val="center"/>
            <w:hideMark/>
          </w:tcPr>
          <w:p w14:paraId="519B50D0" w14:textId="77777777" w:rsidR="00993172" w:rsidRPr="008E63BB" w:rsidRDefault="00993172" w:rsidP="0065184D">
            <w:pPr>
              <w:jc w:val="right"/>
              <w:rPr>
                <w:rFonts w:eastAsia="Times New Roman"/>
                <w:sz w:val="24"/>
                <w:szCs w:val="24"/>
              </w:rPr>
            </w:pPr>
            <w:r w:rsidRPr="008E63BB">
              <w:rPr>
                <w:rFonts w:eastAsia="Times New Roman"/>
                <w:sz w:val="24"/>
                <w:szCs w:val="24"/>
              </w:rPr>
              <w:t>1.555</w:t>
            </w:r>
          </w:p>
        </w:tc>
        <w:tc>
          <w:tcPr>
            <w:tcW w:w="577" w:type="dxa"/>
            <w:tcBorders>
              <w:top w:val="nil"/>
              <w:left w:val="nil"/>
              <w:bottom w:val="single" w:sz="4" w:space="0" w:color="auto"/>
              <w:right w:val="single" w:sz="4" w:space="0" w:color="auto"/>
            </w:tcBorders>
            <w:shd w:val="clear" w:color="auto" w:fill="auto"/>
            <w:vAlign w:val="center"/>
            <w:hideMark/>
          </w:tcPr>
          <w:p w14:paraId="519B50D1" w14:textId="77777777" w:rsidR="00993172" w:rsidRPr="008E63BB" w:rsidRDefault="00993172" w:rsidP="0065184D">
            <w:pPr>
              <w:jc w:val="right"/>
              <w:rPr>
                <w:rFonts w:eastAsia="Times New Roman"/>
                <w:sz w:val="24"/>
                <w:szCs w:val="24"/>
              </w:rPr>
            </w:pPr>
            <w:r w:rsidRPr="008E63BB">
              <w:rPr>
                <w:rFonts w:eastAsia="Times New Roman"/>
                <w:sz w:val="24"/>
                <w:szCs w:val="24"/>
              </w:rPr>
              <w:t>47</w:t>
            </w:r>
          </w:p>
        </w:tc>
        <w:tc>
          <w:tcPr>
            <w:tcW w:w="860" w:type="dxa"/>
            <w:tcBorders>
              <w:top w:val="nil"/>
              <w:left w:val="nil"/>
              <w:bottom w:val="single" w:sz="4" w:space="0" w:color="auto"/>
              <w:right w:val="single" w:sz="4" w:space="0" w:color="auto"/>
            </w:tcBorders>
            <w:shd w:val="clear" w:color="auto" w:fill="auto"/>
            <w:vAlign w:val="center"/>
            <w:hideMark/>
          </w:tcPr>
          <w:p w14:paraId="519B50D2" w14:textId="77777777" w:rsidR="00993172" w:rsidRPr="008E63BB" w:rsidRDefault="00993172" w:rsidP="0065184D">
            <w:pPr>
              <w:jc w:val="right"/>
              <w:rPr>
                <w:rFonts w:eastAsia="Times New Roman"/>
                <w:sz w:val="24"/>
                <w:szCs w:val="24"/>
              </w:rPr>
            </w:pPr>
            <w:r w:rsidRPr="008E63BB">
              <w:rPr>
                <w:rFonts w:eastAsia="Times New Roman"/>
                <w:sz w:val="24"/>
                <w:szCs w:val="24"/>
              </w:rPr>
              <w:t>5</w:t>
            </w:r>
          </w:p>
        </w:tc>
        <w:tc>
          <w:tcPr>
            <w:tcW w:w="876" w:type="dxa"/>
            <w:tcBorders>
              <w:top w:val="nil"/>
              <w:left w:val="nil"/>
              <w:bottom w:val="single" w:sz="4" w:space="0" w:color="auto"/>
              <w:right w:val="single" w:sz="4" w:space="0" w:color="auto"/>
            </w:tcBorders>
            <w:shd w:val="clear" w:color="auto" w:fill="auto"/>
            <w:vAlign w:val="center"/>
            <w:hideMark/>
          </w:tcPr>
          <w:p w14:paraId="519B50D3" w14:textId="77777777" w:rsidR="00993172" w:rsidRPr="008E63BB" w:rsidRDefault="00993172" w:rsidP="0065184D">
            <w:pPr>
              <w:jc w:val="right"/>
              <w:rPr>
                <w:rFonts w:eastAsia="Times New Roman"/>
                <w:sz w:val="24"/>
                <w:szCs w:val="24"/>
              </w:rPr>
            </w:pPr>
            <w:r w:rsidRPr="008E63BB">
              <w:rPr>
                <w:rFonts w:eastAsia="Times New Roman"/>
                <w:sz w:val="24"/>
                <w:szCs w:val="24"/>
              </w:rPr>
              <w:t>2.157</w:t>
            </w:r>
          </w:p>
        </w:tc>
        <w:tc>
          <w:tcPr>
            <w:tcW w:w="577" w:type="dxa"/>
            <w:tcBorders>
              <w:top w:val="nil"/>
              <w:left w:val="nil"/>
              <w:bottom w:val="single" w:sz="4" w:space="0" w:color="auto"/>
              <w:right w:val="single" w:sz="4" w:space="0" w:color="auto"/>
            </w:tcBorders>
            <w:shd w:val="clear" w:color="auto" w:fill="auto"/>
            <w:vAlign w:val="center"/>
            <w:hideMark/>
          </w:tcPr>
          <w:p w14:paraId="519B50D4" w14:textId="77777777" w:rsidR="00993172" w:rsidRPr="008E63BB" w:rsidRDefault="00993172" w:rsidP="0065184D">
            <w:pPr>
              <w:jc w:val="right"/>
              <w:rPr>
                <w:rFonts w:eastAsia="Times New Roman"/>
                <w:sz w:val="24"/>
                <w:szCs w:val="24"/>
              </w:rPr>
            </w:pPr>
            <w:r w:rsidRPr="008E63BB">
              <w:rPr>
                <w:rFonts w:eastAsia="Times New Roman"/>
                <w:sz w:val="24"/>
                <w:szCs w:val="24"/>
              </w:rPr>
              <w:t>73</w:t>
            </w:r>
          </w:p>
        </w:tc>
        <w:tc>
          <w:tcPr>
            <w:tcW w:w="860" w:type="dxa"/>
            <w:tcBorders>
              <w:top w:val="nil"/>
              <w:left w:val="nil"/>
              <w:bottom w:val="single" w:sz="4" w:space="0" w:color="auto"/>
              <w:right w:val="single" w:sz="4" w:space="0" w:color="auto"/>
            </w:tcBorders>
            <w:shd w:val="clear" w:color="auto" w:fill="auto"/>
            <w:vAlign w:val="center"/>
            <w:hideMark/>
          </w:tcPr>
          <w:p w14:paraId="519B50D5" w14:textId="77777777" w:rsidR="00993172" w:rsidRPr="008E63BB" w:rsidRDefault="00993172" w:rsidP="0065184D">
            <w:pPr>
              <w:jc w:val="right"/>
              <w:rPr>
                <w:rFonts w:eastAsia="Times New Roman"/>
                <w:sz w:val="24"/>
                <w:szCs w:val="24"/>
              </w:rPr>
            </w:pPr>
            <w:r w:rsidRPr="008E63BB">
              <w:rPr>
                <w:rFonts w:eastAsia="Times New Roman"/>
                <w:sz w:val="24"/>
                <w:szCs w:val="24"/>
              </w:rPr>
              <w:t>3</w:t>
            </w:r>
          </w:p>
        </w:tc>
        <w:tc>
          <w:tcPr>
            <w:tcW w:w="876" w:type="dxa"/>
            <w:tcBorders>
              <w:top w:val="nil"/>
              <w:left w:val="nil"/>
              <w:bottom w:val="single" w:sz="4" w:space="0" w:color="auto"/>
              <w:right w:val="single" w:sz="4" w:space="0" w:color="auto"/>
            </w:tcBorders>
            <w:shd w:val="clear" w:color="auto" w:fill="auto"/>
            <w:vAlign w:val="center"/>
            <w:hideMark/>
          </w:tcPr>
          <w:p w14:paraId="519B50D6" w14:textId="77777777" w:rsidR="00993172" w:rsidRPr="008E63BB" w:rsidRDefault="00993172" w:rsidP="0065184D">
            <w:pPr>
              <w:jc w:val="right"/>
              <w:rPr>
                <w:rFonts w:eastAsia="Times New Roman"/>
                <w:sz w:val="24"/>
                <w:szCs w:val="24"/>
              </w:rPr>
            </w:pPr>
            <w:r w:rsidRPr="008E63BB">
              <w:rPr>
                <w:rFonts w:eastAsia="Times New Roman"/>
                <w:sz w:val="24"/>
                <w:szCs w:val="24"/>
              </w:rPr>
              <w:t>1.306</w:t>
            </w:r>
          </w:p>
        </w:tc>
        <w:tc>
          <w:tcPr>
            <w:tcW w:w="577" w:type="dxa"/>
            <w:tcBorders>
              <w:top w:val="nil"/>
              <w:left w:val="nil"/>
              <w:bottom w:val="single" w:sz="4" w:space="0" w:color="auto"/>
              <w:right w:val="single" w:sz="4" w:space="0" w:color="auto"/>
            </w:tcBorders>
            <w:shd w:val="clear" w:color="auto" w:fill="auto"/>
            <w:vAlign w:val="center"/>
            <w:hideMark/>
          </w:tcPr>
          <w:p w14:paraId="519B50D7" w14:textId="77777777" w:rsidR="00993172" w:rsidRPr="008E63BB" w:rsidRDefault="00993172" w:rsidP="0065184D">
            <w:pPr>
              <w:jc w:val="right"/>
              <w:rPr>
                <w:rFonts w:eastAsia="Times New Roman"/>
                <w:sz w:val="24"/>
                <w:szCs w:val="24"/>
              </w:rPr>
            </w:pPr>
            <w:r w:rsidRPr="008E63BB">
              <w:rPr>
                <w:rFonts w:eastAsia="Times New Roman"/>
                <w:sz w:val="24"/>
                <w:szCs w:val="24"/>
              </w:rPr>
              <w:t>39</w:t>
            </w:r>
          </w:p>
        </w:tc>
        <w:tc>
          <w:tcPr>
            <w:tcW w:w="860" w:type="dxa"/>
            <w:tcBorders>
              <w:top w:val="nil"/>
              <w:left w:val="nil"/>
              <w:bottom w:val="single" w:sz="4" w:space="0" w:color="auto"/>
              <w:right w:val="single" w:sz="4" w:space="0" w:color="auto"/>
            </w:tcBorders>
            <w:shd w:val="clear" w:color="auto" w:fill="auto"/>
            <w:vAlign w:val="center"/>
            <w:hideMark/>
          </w:tcPr>
          <w:p w14:paraId="519B50D8" w14:textId="77777777" w:rsidR="00993172" w:rsidRPr="008E63BB" w:rsidRDefault="00993172" w:rsidP="0065184D">
            <w:pPr>
              <w:jc w:val="right"/>
              <w:rPr>
                <w:rFonts w:eastAsia="Times New Roman"/>
                <w:sz w:val="24"/>
                <w:szCs w:val="24"/>
              </w:rPr>
            </w:pPr>
            <w:r w:rsidRPr="008E63BB">
              <w:rPr>
                <w:rFonts w:eastAsia="Times New Roman"/>
                <w:sz w:val="24"/>
                <w:szCs w:val="24"/>
              </w:rPr>
              <w:t>1</w:t>
            </w:r>
          </w:p>
        </w:tc>
        <w:tc>
          <w:tcPr>
            <w:tcW w:w="876" w:type="dxa"/>
            <w:tcBorders>
              <w:top w:val="nil"/>
              <w:left w:val="nil"/>
              <w:bottom w:val="single" w:sz="4" w:space="0" w:color="auto"/>
              <w:right w:val="single" w:sz="4" w:space="0" w:color="auto"/>
            </w:tcBorders>
            <w:shd w:val="clear" w:color="auto" w:fill="auto"/>
            <w:vAlign w:val="center"/>
            <w:hideMark/>
          </w:tcPr>
          <w:p w14:paraId="519B50D9" w14:textId="77777777" w:rsidR="00993172" w:rsidRPr="008E63BB" w:rsidRDefault="00993172" w:rsidP="0065184D">
            <w:pPr>
              <w:jc w:val="right"/>
              <w:rPr>
                <w:rFonts w:eastAsia="Times New Roman"/>
                <w:sz w:val="24"/>
                <w:szCs w:val="24"/>
              </w:rPr>
            </w:pPr>
            <w:r w:rsidRPr="008E63BB">
              <w:rPr>
                <w:rFonts w:eastAsia="Times New Roman"/>
                <w:sz w:val="24"/>
                <w:szCs w:val="24"/>
              </w:rPr>
              <w:t>607</w:t>
            </w:r>
          </w:p>
        </w:tc>
        <w:tc>
          <w:tcPr>
            <w:tcW w:w="564" w:type="dxa"/>
            <w:tcBorders>
              <w:top w:val="nil"/>
              <w:left w:val="nil"/>
              <w:bottom w:val="single" w:sz="4" w:space="0" w:color="auto"/>
              <w:right w:val="single" w:sz="4" w:space="0" w:color="auto"/>
            </w:tcBorders>
            <w:shd w:val="clear" w:color="auto" w:fill="auto"/>
            <w:vAlign w:val="center"/>
            <w:hideMark/>
          </w:tcPr>
          <w:p w14:paraId="519B50DA" w14:textId="77777777" w:rsidR="00993172" w:rsidRPr="008E63BB" w:rsidRDefault="00993172" w:rsidP="0065184D">
            <w:pPr>
              <w:jc w:val="right"/>
              <w:rPr>
                <w:rFonts w:eastAsia="Times New Roman"/>
                <w:sz w:val="24"/>
                <w:szCs w:val="24"/>
              </w:rPr>
            </w:pPr>
            <w:r w:rsidRPr="008E63BB">
              <w:rPr>
                <w:rFonts w:eastAsia="Times New Roman"/>
                <w:sz w:val="24"/>
                <w:szCs w:val="24"/>
              </w:rPr>
              <w:t>20</w:t>
            </w:r>
          </w:p>
        </w:tc>
      </w:tr>
      <w:tr w:rsidR="008D5BFE" w:rsidRPr="008E63BB" w14:paraId="519B50ED" w14:textId="77777777" w:rsidTr="004710C7">
        <w:trPr>
          <w:trHeight w:val="292"/>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519B50DC" w14:textId="77777777" w:rsidR="00993172" w:rsidRPr="008E63BB" w:rsidRDefault="00993172" w:rsidP="0065184D">
            <w:pPr>
              <w:jc w:val="right"/>
              <w:rPr>
                <w:rFonts w:eastAsia="Times New Roman"/>
                <w:sz w:val="24"/>
                <w:szCs w:val="24"/>
              </w:rPr>
            </w:pPr>
            <w:r w:rsidRPr="008E63BB">
              <w:rPr>
                <w:rFonts w:eastAsia="Times New Roman"/>
                <w:sz w:val="24"/>
                <w:szCs w:val="24"/>
              </w:rPr>
              <w:t>4</w:t>
            </w:r>
          </w:p>
        </w:tc>
        <w:tc>
          <w:tcPr>
            <w:tcW w:w="2746" w:type="dxa"/>
            <w:tcBorders>
              <w:top w:val="nil"/>
              <w:left w:val="nil"/>
              <w:bottom w:val="single" w:sz="4" w:space="0" w:color="auto"/>
              <w:right w:val="single" w:sz="4" w:space="0" w:color="auto"/>
            </w:tcBorders>
            <w:shd w:val="clear" w:color="auto" w:fill="auto"/>
            <w:vAlign w:val="center"/>
            <w:hideMark/>
          </w:tcPr>
          <w:p w14:paraId="519B50DD" w14:textId="77777777" w:rsidR="00993172" w:rsidRPr="008E63BB" w:rsidRDefault="00993172" w:rsidP="0065184D">
            <w:pPr>
              <w:jc w:val="left"/>
              <w:rPr>
                <w:rFonts w:eastAsia="Times New Roman"/>
                <w:sz w:val="24"/>
                <w:szCs w:val="24"/>
              </w:rPr>
            </w:pPr>
            <w:r w:rsidRPr="008E63BB">
              <w:rPr>
                <w:rFonts w:eastAsia="Times New Roman"/>
                <w:sz w:val="24"/>
                <w:szCs w:val="24"/>
              </w:rPr>
              <w:t xml:space="preserve"> 5 xã Huyện Nam Trực</w:t>
            </w:r>
          </w:p>
        </w:tc>
        <w:tc>
          <w:tcPr>
            <w:tcW w:w="860" w:type="dxa"/>
            <w:tcBorders>
              <w:top w:val="nil"/>
              <w:left w:val="nil"/>
              <w:bottom w:val="single" w:sz="4" w:space="0" w:color="auto"/>
              <w:right w:val="single" w:sz="4" w:space="0" w:color="auto"/>
            </w:tcBorders>
            <w:shd w:val="clear" w:color="auto" w:fill="auto"/>
            <w:vAlign w:val="center"/>
            <w:hideMark/>
          </w:tcPr>
          <w:p w14:paraId="519B50DE" w14:textId="77777777" w:rsidR="00993172" w:rsidRPr="008E63BB" w:rsidRDefault="00993172" w:rsidP="0065184D">
            <w:pPr>
              <w:jc w:val="right"/>
              <w:rPr>
                <w:rFonts w:eastAsia="Times New Roman"/>
                <w:sz w:val="24"/>
                <w:szCs w:val="24"/>
              </w:rPr>
            </w:pPr>
            <w:r w:rsidRPr="008E63BB">
              <w:rPr>
                <w:rFonts w:eastAsia="Times New Roman"/>
                <w:sz w:val="24"/>
                <w:szCs w:val="24"/>
              </w:rPr>
              <w:t>23</w:t>
            </w:r>
          </w:p>
        </w:tc>
        <w:tc>
          <w:tcPr>
            <w:tcW w:w="876" w:type="dxa"/>
            <w:tcBorders>
              <w:top w:val="nil"/>
              <w:left w:val="nil"/>
              <w:bottom w:val="single" w:sz="4" w:space="0" w:color="auto"/>
              <w:right w:val="single" w:sz="4" w:space="0" w:color="auto"/>
            </w:tcBorders>
            <w:shd w:val="clear" w:color="auto" w:fill="auto"/>
            <w:vAlign w:val="center"/>
            <w:hideMark/>
          </w:tcPr>
          <w:p w14:paraId="519B50DF" w14:textId="77777777" w:rsidR="00993172" w:rsidRPr="008E63BB" w:rsidRDefault="00993172" w:rsidP="0065184D">
            <w:pPr>
              <w:jc w:val="right"/>
              <w:rPr>
                <w:rFonts w:eastAsia="Times New Roman"/>
                <w:sz w:val="24"/>
                <w:szCs w:val="24"/>
              </w:rPr>
            </w:pPr>
            <w:r w:rsidRPr="008E63BB">
              <w:rPr>
                <w:rFonts w:eastAsia="Times New Roman"/>
                <w:sz w:val="24"/>
                <w:szCs w:val="24"/>
              </w:rPr>
              <w:t>10.512</w:t>
            </w:r>
          </w:p>
        </w:tc>
        <w:tc>
          <w:tcPr>
            <w:tcW w:w="576" w:type="dxa"/>
            <w:tcBorders>
              <w:top w:val="nil"/>
              <w:left w:val="nil"/>
              <w:bottom w:val="single" w:sz="4" w:space="0" w:color="auto"/>
              <w:right w:val="single" w:sz="4" w:space="0" w:color="auto"/>
            </w:tcBorders>
            <w:shd w:val="clear" w:color="auto" w:fill="auto"/>
            <w:vAlign w:val="center"/>
            <w:hideMark/>
          </w:tcPr>
          <w:p w14:paraId="519B50E0" w14:textId="77777777" w:rsidR="00993172" w:rsidRPr="008E63BB" w:rsidRDefault="00993172" w:rsidP="0065184D">
            <w:pPr>
              <w:jc w:val="right"/>
              <w:rPr>
                <w:rFonts w:eastAsia="Times New Roman"/>
                <w:sz w:val="24"/>
                <w:szCs w:val="24"/>
              </w:rPr>
            </w:pPr>
            <w:r w:rsidRPr="008E63BB">
              <w:rPr>
                <w:rFonts w:eastAsia="Times New Roman"/>
                <w:sz w:val="24"/>
                <w:szCs w:val="24"/>
              </w:rPr>
              <w:t>349</w:t>
            </w:r>
          </w:p>
        </w:tc>
        <w:tc>
          <w:tcPr>
            <w:tcW w:w="860" w:type="dxa"/>
            <w:tcBorders>
              <w:top w:val="nil"/>
              <w:left w:val="nil"/>
              <w:bottom w:val="single" w:sz="4" w:space="0" w:color="auto"/>
              <w:right w:val="single" w:sz="4" w:space="0" w:color="auto"/>
            </w:tcBorders>
            <w:shd w:val="clear" w:color="auto" w:fill="auto"/>
            <w:vAlign w:val="center"/>
            <w:hideMark/>
          </w:tcPr>
          <w:p w14:paraId="519B50E1"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E2" w14:textId="77777777" w:rsidR="00993172" w:rsidRPr="008E63BB" w:rsidRDefault="00993172" w:rsidP="0065184D">
            <w:pPr>
              <w:jc w:val="center"/>
              <w:rPr>
                <w:rFonts w:eastAsia="Times New Roman"/>
                <w:sz w:val="24"/>
                <w:szCs w:val="24"/>
              </w:rPr>
            </w:pPr>
            <w:r w:rsidRPr="008E63BB">
              <w:rPr>
                <w:rFonts w:eastAsia="Times New Roman"/>
                <w:sz w:val="24"/>
                <w:szCs w:val="24"/>
              </w:rPr>
              <w:t>3.002</w:t>
            </w:r>
          </w:p>
        </w:tc>
        <w:tc>
          <w:tcPr>
            <w:tcW w:w="577" w:type="dxa"/>
            <w:tcBorders>
              <w:top w:val="nil"/>
              <w:left w:val="nil"/>
              <w:bottom w:val="single" w:sz="4" w:space="0" w:color="auto"/>
              <w:right w:val="single" w:sz="4" w:space="0" w:color="auto"/>
            </w:tcBorders>
            <w:shd w:val="clear" w:color="auto" w:fill="auto"/>
            <w:vAlign w:val="center"/>
            <w:hideMark/>
          </w:tcPr>
          <w:p w14:paraId="519B50E3"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E4"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E5" w14:textId="77777777" w:rsidR="00993172" w:rsidRPr="008E63BB" w:rsidRDefault="00993172" w:rsidP="0065184D">
            <w:pPr>
              <w:jc w:val="center"/>
              <w:rPr>
                <w:rFonts w:eastAsia="Times New Roman"/>
                <w:sz w:val="24"/>
                <w:szCs w:val="24"/>
              </w:rPr>
            </w:pPr>
            <w:r w:rsidRPr="008E63BB">
              <w:rPr>
                <w:rFonts w:eastAsia="Times New Roman"/>
                <w:sz w:val="24"/>
                <w:szCs w:val="24"/>
              </w:rPr>
              <w:t>3.898</w:t>
            </w:r>
          </w:p>
        </w:tc>
        <w:tc>
          <w:tcPr>
            <w:tcW w:w="577" w:type="dxa"/>
            <w:tcBorders>
              <w:top w:val="nil"/>
              <w:left w:val="nil"/>
              <w:bottom w:val="single" w:sz="4" w:space="0" w:color="auto"/>
              <w:right w:val="single" w:sz="4" w:space="0" w:color="auto"/>
            </w:tcBorders>
            <w:shd w:val="clear" w:color="auto" w:fill="auto"/>
            <w:vAlign w:val="center"/>
            <w:hideMark/>
          </w:tcPr>
          <w:p w14:paraId="519B50E6"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E7"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E8" w14:textId="77777777" w:rsidR="00993172" w:rsidRPr="008E63BB" w:rsidRDefault="00993172" w:rsidP="0065184D">
            <w:pPr>
              <w:jc w:val="center"/>
              <w:rPr>
                <w:rFonts w:eastAsia="Times New Roman"/>
                <w:sz w:val="24"/>
                <w:szCs w:val="24"/>
              </w:rPr>
            </w:pPr>
            <w:r w:rsidRPr="008E63BB">
              <w:rPr>
                <w:rFonts w:eastAsia="Times New Roman"/>
                <w:sz w:val="24"/>
                <w:szCs w:val="24"/>
              </w:rPr>
              <w:t>2.399</w:t>
            </w:r>
          </w:p>
        </w:tc>
        <w:tc>
          <w:tcPr>
            <w:tcW w:w="577" w:type="dxa"/>
            <w:tcBorders>
              <w:top w:val="nil"/>
              <w:left w:val="nil"/>
              <w:bottom w:val="single" w:sz="4" w:space="0" w:color="auto"/>
              <w:right w:val="single" w:sz="4" w:space="0" w:color="auto"/>
            </w:tcBorders>
            <w:shd w:val="clear" w:color="auto" w:fill="auto"/>
            <w:vAlign w:val="center"/>
            <w:hideMark/>
          </w:tcPr>
          <w:p w14:paraId="519B50E9"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c>
          <w:tcPr>
            <w:tcW w:w="860" w:type="dxa"/>
            <w:tcBorders>
              <w:top w:val="nil"/>
              <w:left w:val="nil"/>
              <w:bottom w:val="single" w:sz="4" w:space="0" w:color="auto"/>
              <w:right w:val="single" w:sz="4" w:space="0" w:color="auto"/>
            </w:tcBorders>
            <w:shd w:val="clear" w:color="auto" w:fill="auto"/>
            <w:vAlign w:val="center"/>
            <w:hideMark/>
          </w:tcPr>
          <w:p w14:paraId="519B50EA"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c>
          <w:tcPr>
            <w:tcW w:w="876" w:type="dxa"/>
            <w:tcBorders>
              <w:top w:val="nil"/>
              <w:left w:val="nil"/>
              <w:bottom w:val="single" w:sz="4" w:space="0" w:color="auto"/>
              <w:right w:val="single" w:sz="4" w:space="0" w:color="auto"/>
            </w:tcBorders>
            <w:shd w:val="clear" w:color="auto" w:fill="auto"/>
            <w:vAlign w:val="center"/>
            <w:hideMark/>
          </w:tcPr>
          <w:p w14:paraId="519B50EB" w14:textId="77777777" w:rsidR="00993172" w:rsidRPr="008E63BB" w:rsidRDefault="00993172" w:rsidP="0065184D">
            <w:pPr>
              <w:jc w:val="center"/>
              <w:rPr>
                <w:rFonts w:eastAsia="Times New Roman"/>
                <w:sz w:val="24"/>
                <w:szCs w:val="24"/>
              </w:rPr>
            </w:pPr>
            <w:r w:rsidRPr="008E63BB">
              <w:rPr>
                <w:rFonts w:eastAsia="Times New Roman"/>
                <w:sz w:val="24"/>
                <w:szCs w:val="24"/>
              </w:rPr>
              <w:t>1.213</w:t>
            </w:r>
          </w:p>
        </w:tc>
        <w:tc>
          <w:tcPr>
            <w:tcW w:w="564" w:type="dxa"/>
            <w:tcBorders>
              <w:top w:val="nil"/>
              <w:left w:val="nil"/>
              <w:bottom w:val="single" w:sz="4" w:space="0" w:color="auto"/>
              <w:right w:val="single" w:sz="4" w:space="0" w:color="auto"/>
            </w:tcBorders>
            <w:shd w:val="clear" w:color="auto" w:fill="auto"/>
            <w:vAlign w:val="center"/>
            <w:hideMark/>
          </w:tcPr>
          <w:p w14:paraId="519B50EC" w14:textId="77777777" w:rsidR="00993172" w:rsidRPr="008E63BB" w:rsidRDefault="00993172" w:rsidP="0065184D">
            <w:pPr>
              <w:jc w:val="center"/>
              <w:rPr>
                <w:rFonts w:eastAsia="Times New Roman"/>
                <w:sz w:val="24"/>
                <w:szCs w:val="24"/>
              </w:rPr>
            </w:pPr>
            <w:r w:rsidRPr="008E63BB">
              <w:rPr>
                <w:rFonts w:eastAsia="Times New Roman"/>
                <w:sz w:val="24"/>
                <w:szCs w:val="24"/>
              </w:rPr>
              <w:t> </w:t>
            </w:r>
          </w:p>
        </w:tc>
      </w:tr>
      <w:tr w:rsidR="008D5BFE" w:rsidRPr="008E63BB" w14:paraId="519B50FF" w14:textId="77777777" w:rsidTr="004710C7">
        <w:trPr>
          <w:trHeight w:val="315"/>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50EE" w14:textId="77777777" w:rsidR="00993172" w:rsidRPr="008E63BB" w:rsidRDefault="00993172" w:rsidP="0065184D">
            <w:pPr>
              <w:jc w:val="left"/>
              <w:rPr>
                <w:rFonts w:eastAsia="Times New Roman"/>
                <w:sz w:val="24"/>
                <w:szCs w:val="24"/>
              </w:rPr>
            </w:pPr>
            <w:r w:rsidRPr="008E63BB">
              <w:rPr>
                <w:rFonts w:eastAsia="Times New Roman"/>
                <w:sz w:val="24"/>
                <w:szCs w:val="24"/>
              </w:rPr>
              <w:t> </w:t>
            </w:r>
          </w:p>
        </w:tc>
        <w:tc>
          <w:tcPr>
            <w:tcW w:w="2746" w:type="dxa"/>
            <w:tcBorders>
              <w:top w:val="single" w:sz="4" w:space="0" w:color="auto"/>
              <w:left w:val="nil"/>
              <w:bottom w:val="single" w:sz="4" w:space="0" w:color="auto"/>
              <w:right w:val="single" w:sz="4" w:space="0" w:color="auto"/>
            </w:tcBorders>
            <w:shd w:val="clear" w:color="auto" w:fill="auto"/>
            <w:vAlign w:val="center"/>
            <w:hideMark/>
          </w:tcPr>
          <w:p w14:paraId="519B50EF" w14:textId="77777777" w:rsidR="00993172" w:rsidRPr="008E63BB" w:rsidRDefault="00993172" w:rsidP="0065184D">
            <w:pPr>
              <w:jc w:val="left"/>
              <w:rPr>
                <w:rFonts w:eastAsia="Times New Roman"/>
                <w:sz w:val="24"/>
                <w:szCs w:val="24"/>
              </w:rPr>
            </w:pPr>
            <w:r w:rsidRPr="008E63BB">
              <w:rPr>
                <w:rFonts w:eastAsia="Times New Roman"/>
                <w:sz w:val="24"/>
                <w:szCs w:val="24"/>
              </w:rPr>
              <w:t>Công lập</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519B50F0" w14:textId="77777777" w:rsidR="00993172" w:rsidRPr="008E63BB" w:rsidRDefault="00993172" w:rsidP="0065184D">
            <w:pPr>
              <w:jc w:val="right"/>
              <w:rPr>
                <w:rFonts w:eastAsia="Times New Roman"/>
                <w:sz w:val="24"/>
                <w:szCs w:val="24"/>
              </w:rPr>
            </w:pPr>
            <w:r w:rsidRPr="008E63BB">
              <w:rPr>
                <w:rFonts w:eastAsia="Times New Roman"/>
                <w:sz w:val="24"/>
                <w:szCs w:val="24"/>
              </w:rPr>
              <w:t>23</w:t>
            </w:r>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519B50F1" w14:textId="77777777" w:rsidR="00993172" w:rsidRPr="008E63BB" w:rsidRDefault="00993172" w:rsidP="0065184D">
            <w:pPr>
              <w:jc w:val="right"/>
              <w:rPr>
                <w:rFonts w:eastAsia="Times New Roman"/>
                <w:sz w:val="24"/>
                <w:szCs w:val="24"/>
              </w:rPr>
            </w:pPr>
            <w:r w:rsidRPr="008E63BB">
              <w:rPr>
                <w:rFonts w:eastAsia="Times New Roman"/>
                <w:sz w:val="24"/>
                <w:szCs w:val="24"/>
              </w:rPr>
              <w:t>10.512</w:t>
            </w:r>
          </w:p>
        </w:tc>
        <w:tc>
          <w:tcPr>
            <w:tcW w:w="576" w:type="dxa"/>
            <w:tcBorders>
              <w:top w:val="single" w:sz="4" w:space="0" w:color="auto"/>
              <w:left w:val="nil"/>
              <w:bottom w:val="single" w:sz="4" w:space="0" w:color="auto"/>
              <w:right w:val="single" w:sz="4" w:space="0" w:color="auto"/>
            </w:tcBorders>
            <w:shd w:val="clear" w:color="auto" w:fill="auto"/>
            <w:vAlign w:val="center"/>
            <w:hideMark/>
          </w:tcPr>
          <w:p w14:paraId="519B50F2" w14:textId="77777777" w:rsidR="00993172" w:rsidRPr="008E63BB" w:rsidRDefault="00993172" w:rsidP="0065184D">
            <w:pPr>
              <w:jc w:val="right"/>
              <w:rPr>
                <w:rFonts w:eastAsia="Times New Roman"/>
                <w:sz w:val="24"/>
                <w:szCs w:val="24"/>
              </w:rPr>
            </w:pPr>
            <w:r w:rsidRPr="008E63BB">
              <w:rPr>
                <w:rFonts w:eastAsia="Times New Roman"/>
                <w:sz w:val="24"/>
                <w:szCs w:val="24"/>
              </w:rPr>
              <w:t>349</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519B50F3" w14:textId="77777777" w:rsidR="00993172" w:rsidRPr="008E63BB" w:rsidRDefault="00993172" w:rsidP="0065184D">
            <w:pPr>
              <w:jc w:val="right"/>
              <w:rPr>
                <w:rFonts w:eastAsia="Times New Roman"/>
                <w:sz w:val="24"/>
                <w:szCs w:val="24"/>
              </w:rPr>
            </w:pPr>
            <w:r w:rsidRPr="008E63BB">
              <w:rPr>
                <w:rFonts w:eastAsia="Times New Roman"/>
                <w:sz w:val="24"/>
                <w:szCs w:val="24"/>
              </w:rPr>
              <w:t>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519B50F4" w14:textId="77777777" w:rsidR="00993172" w:rsidRPr="008E63BB" w:rsidRDefault="00993172" w:rsidP="0065184D">
            <w:pPr>
              <w:jc w:val="center"/>
              <w:rPr>
                <w:rFonts w:eastAsia="Times New Roman"/>
                <w:sz w:val="24"/>
                <w:szCs w:val="24"/>
              </w:rPr>
            </w:pPr>
            <w:r w:rsidRPr="008E63BB">
              <w:rPr>
                <w:rFonts w:eastAsia="Times New Roman"/>
                <w:sz w:val="24"/>
                <w:szCs w:val="24"/>
              </w:rPr>
              <w:t>3.002</w:t>
            </w:r>
          </w:p>
        </w:tc>
        <w:tc>
          <w:tcPr>
            <w:tcW w:w="577" w:type="dxa"/>
            <w:tcBorders>
              <w:top w:val="single" w:sz="4" w:space="0" w:color="auto"/>
              <w:left w:val="nil"/>
              <w:bottom w:val="single" w:sz="4" w:space="0" w:color="auto"/>
              <w:right w:val="nil"/>
            </w:tcBorders>
            <w:shd w:val="clear" w:color="auto" w:fill="auto"/>
            <w:vAlign w:val="center"/>
            <w:hideMark/>
          </w:tcPr>
          <w:p w14:paraId="519B50F5" w14:textId="77777777" w:rsidR="00993172" w:rsidRPr="008E63BB" w:rsidRDefault="00993172" w:rsidP="0065184D">
            <w:pPr>
              <w:jc w:val="right"/>
              <w:rPr>
                <w:rFonts w:eastAsia="Times New Roman"/>
                <w:sz w:val="24"/>
                <w:szCs w:val="24"/>
              </w:rPr>
            </w:pPr>
            <w:r w:rsidRPr="008E63BB">
              <w:rPr>
                <w:rFonts w:eastAsia="Times New Roman"/>
                <w:sz w:val="24"/>
                <w:szCs w:val="24"/>
              </w:rPr>
              <w:t>91</w:t>
            </w:r>
          </w:p>
        </w:tc>
        <w:tc>
          <w:tcPr>
            <w:tcW w:w="8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B50F6" w14:textId="77777777" w:rsidR="00993172" w:rsidRPr="008E63BB" w:rsidRDefault="00993172" w:rsidP="0065184D">
            <w:pPr>
              <w:jc w:val="center"/>
              <w:rPr>
                <w:rFonts w:eastAsia="Times New Roman"/>
                <w:sz w:val="24"/>
                <w:szCs w:val="24"/>
              </w:rPr>
            </w:pPr>
            <w:r w:rsidRPr="008E63BB">
              <w:rPr>
                <w:rFonts w:eastAsia="Times New Roman"/>
                <w:sz w:val="24"/>
                <w:szCs w:val="24"/>
              </w:rPr>
              <w:t>8</w:t>
            </w:r>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519B50F7" w14:textId="77777777" w:rsidR="00993172" w:rsidRPr="008E63BB" w:rsidRDefault="00993172" w:rsidP="0065184D">
            <w:pPr>
              <w:jc w:val="center"/>
              <w:rPr>
                <w:rFonts w:eastAsia="Times New Roman"/>
                <w:sz w:val="24"/>
                <w:szCs w:val="24"/>
              </w:rPr>
            </w:pPr>
            <w:r w:rsidRPr="008E63BB">
              <w:rPr>
                <w:rFonts w:eastAsia="Times New Roman"/>
                <w:sz w:val="24"/>
                <w:szCs w:val="24"/>
              </w:rPr>
              <w:t>3.898</w:t>
            </w:r>
          </w:p>
        </w:tc>
        <w:tc>
          <w:tcPr>
            <w:tcW w:w="577" w:type="dxa"/>
            <w:tcBorders>
              <w:top w:val="single" w:sz="4" w:space="0" w:color="auto"/>
              <w:left w:val="nil"/>
              <w:bottom w:val="single" w:sz="4" w:space="0" w:color="auto"/>
              <w:right w:val="single" w:sz="4" w:space="0" w:color="auto"/>
            </w:tcBorders>
            <w:shd w:val="clear" w:color="auto" w:fill="auto"/>
            <w:vAlign w:val="center"/>
            <w:hideMark/>
          </w:tcPr>
          <w:p w14:paraId="519B50F8" w14:textId="77777777" w:rsidR="00993172" w:rsidRPr="008E63BB" w:rsidRDefault="00993172" w:rsidP="0065184D">
            <w:pPr>
              <w:jc w:val="center"/>
              <w:rPr>
                <w:rFonts w:eastAsia="Times New Roman"/>
                <w:sz w:val="24"/>
                <w:szCs w:val="24"/>
              </w:rPr>
            </w:pPr>
            <w:r w:rsidRPr="008E63BB">
              <w:rPr>
                <w:rFonts w:eastAsia="Times New Roman"/>
                <w:sz w:val="24"/>
                <w:szCs w:val="24"/>
              </w:rPr>
              <w:t>142</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519B50F9" w14:textId="77777777" w:rsidR="00993172" w:rsidRPr="008E63BB" w:rsidRDefault="00993172" w:rsidP="0065184D">
            <w:pPr>
              <w:jc w:val="center"/>
              <w:rPr>
                <w:rFonts w:eastAsia="Times New Roman"/>
                <w:sz w:val="24"/>
                <w:szCs w:val="24"/>
              </w:rPr>
            </w:pPr>
            <w:r w:rsidRPr="008E63BB">
              <w:rPr>
                <w:rFonts w:eastAsia="Times New Roman"/>
                <w:sz w:val="24"/>
                <w:szCs w:val="24"/>
              </w:rPr>
              <w:t>5</w:t>
            </w:r>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519B50FA" w14:textId="77777777" w:rsidR="00993172" w:rsidRPr="008E63BB" w:rsidRDefault="00993172" w:rsidP="0065184D">
            <w:pPr>
              <w:jc w:val="center"/>
              <w:rPr>
                <w:rFonts w:eastAsia="Times New Roman"/>
                <w:sz w:val="24"/>
                <w:szCs w:val="24"/>
              </w:rPr>
            </w:pPr>
            <w:r w:rsidRPr="008E63BB">
              <w:rPr>
                <w:rFonts w:eastAsia="Times New Roman"/>
                <w:sz w:val="24"/>
                <w:szCs w:val="24"/>
              </w:rPr>
              <w:t>2.399</w:t>
            </w:r>
          </w:p>
        </w:tc>
        <w:tc>
          <w:tcPr>
            <w:tcW w:w="577" w:type="dxa"/>
            <w:tcBorders>
              <w:top w:val="single" w:sz="4" w:space="0" w:color="auto"/>
              <w:left w:val="nil"/>
              <w:bottom w:val="single" w:sz="4" w:space="0" w:color="auto"/>
              <w:right w:val="single" w:sz="4" w:space="0" w:color="auto"/>
            </w:tcBorders>
            <w:shd w:val="clear" w:color="auto" w:fill="auto"/>
            <w:vAlign w:val="center"/>
            <w:hideMark/>
          </w:tcPr>
          <w:p w14:paraId="519B50FB" w14:textId="77777777" w:rsidR="00993172" w:rsidRPr="008E63BB" w:rsidRDefault="00993172" w:rsidP="0065184D">
            <w:pPr>
              <w:jc w:val="center"/>
              <w:rPr>
                <w:rFonts w:eastAsia="Times New Roman"/>
                <w:sz w:val="24"/>
                <w:szCs w:val="24"/>
              </w:rPr>
            </w:pPr>
            <w:r w:rsidRPr="008E63BB">
              <w:rPr>
                <w:rFonts w:eastAsia="Times New Roman"/>
                <w:sz w:val="24"/>
                <w:szCs w:val="24"/>
              </w:rPr>
              <w:t>86</w:t>
            </w:r>
          </w:p>
        </w:tc>
        <w:tc>
          <w:tcPr>
            <w:tcW w:w="860" w:type="dxa"/>
            <w:tcBorders>
              <w:top w:val="single" w:sz="4" w:space="0" w:color="auto"/>
              <w:left w:val="nil"/>
              <w:bottom w:val="single" w:sz="4" w:space="0" w:color="auto"/>
              <w:right w:val="single" w:sz="4" w:space="0" w:color="auto"/>
            </w:tcBorders>
            <w:shd w:val="clear" w:color="auto" w:fill="auto"/>
            <w:vAlign w:val="center"/>
            <w:hideMark/>
          </w:tcPr>
          <w:p w14:paraId="519B50FC" w14:textId="77777777" w:rsidR="00993172" w:rsidRPr="008E63BB" w:rsidRDefault="00993172" w:rsidP="0065184D">
            <w:pPr>
              <w:jc w:val="center"/>
              <w:rPr>
                <w:rFonts w:eastAsia="Times New Roman"/>
                <w:sz w:val="24"/>
                <w:szCs w:val="24"/>
              </w:rPr>
            </w:pPr>
            <w:r w:rsidRPr="008E63BB">
              <w:rPr>
                <w:rFonts w:eastAsia="Times New Roman"/>
                <w:sz w:val="24"/>
                <w:szCs w:val="24"/>
              </w:rPr>
              <w:t>2</w:t>
            </w:r>
          </w:p>
        </w:tc>
        <w:tc>
          <w:tcPr>
            <w:tcW w:w="876" w:type="dxa"/>
            <w:tcBorders>
              <w:top w:val="single" w:sz="4" w:space="0" w:color="auto"/>
              <w:left w:val="nil"/>
              <w:bottom w:val="single" w:sz="4" w:space="0" w:color="auto"/>
              <w:right w:val="single" w:sz="4" w:space="0" w:color="auto"/>
            </w:tcBorders>
            <w:shd w:val="clear" w:color="auto" w:fill="auto"/>
            <w:vAlign w:val="center"/>
            <w:hideMark/>
          </w:tcPr>
          <w:p w14:paraId="519B50FD" w14:textId="77777777" w:rsidR="00993172" w:rsidRPr="008E63BB" w:rsidRDefault="00993172" w:rsidP="0065184D">
            <w:pPr>
              <w:jc w:val="center"/>
              <w:rPr>
                <w:rFonts w:eastAsia="Times New Roman"/>
                <w:sz w:val="24"/>
                <w:szCs w:val="24"/>
              </w:rPr>
            </w:pPr>
            <w:r w:rsidRPr="008E63BB">
              <w:rPr>
                <w:rFonts w:eastAsia="Times New Roman"/>
                <w:sz w:val="24"/>
                <w:szCs w:val="24"/>
              </w:rPr>
              <w:t>1.213</w:t>
            </w:r>
          </w:p>
        </w:tc>
        <w:tc>
          <w:tcPr>
            <w:tcW w:w="564" w:type="dxa"/>
            <w:tcBorders>
              <w:top w:val="single" w:sz="4" w:space="0" w:color="auto"/>
              <w:left w:val="nil"/>
              <w:bottom w:val="single" w:sz="4" w:space="0" w:color="auto"/>
              <w:right w:val="single" w:sz="4" w:space="0" w:color="auto"/>
            </w:tcBorders>
            <w:shd w:val="clear" w:color="auto" w:fill="auto"/>
            <w:vAlign w:val="center"/>
            <w:hideMark/>
          </w:tcPr>
          <w:p w14:paraId="519B50FE" w14:textId="77777777" w:rsidR="00993172" w:rsidRPr="008E63BB" w:rsidRDefault="00993172" w:rsidP="0065184D">
            <w:pPr>
              <w:jc w:val="center"/>
              <w:rPr>
                <w:rFonts w:eastAsia="Times New Roman"/>
                <w:sz w:val="24"/>
                <w:szCs w:val="24"/>
              </w:rPr>
            </w:pPr>
            <w:r w:rsidRPr="008E63BB">
              <w:rPr>
                <w:rFonts w:eastAsia="Times New Roman"/>
                <w:sz w:val="24"/>
                <w:szCs w:val="24"/>
              </w:rPr>
              <w:t>30</w:t>
            </w:r>
          </w:p>
        </w:tc>
      </w:tr>
    </w:tbl>
    <w:p w14:paraId="519B5100" w14:textId="77777777" w:rsidR="00993172" w:rsidRPr="008E63BB" w:rsidRDefault="00993172" w:rsidP="0065184D">
      <w:pPr>
        <w:rPr>
          <w:b/>
          <w:szCs w:val="26"/>
        </w:rPr>
      </w:pPr>
    </w:p>
    <w:p w14:paraId="519B5101" w14:textId="77777777" w:rsidR="00993172" w:rsidRPr="008E63BB" w:rsidRDefault="00993172" w:rsidP="0065184D">
      <w:pPr>
        <w:rPr>
          <w:b/>
          <w:szCs w:val="26"/>
        </w:rPr>
      </w:pPr>
      <w:r w:rsidRPr="008E63BB">
        <w:rPr>
          <w:b/>
          <w:szCs w:val="26"/>
        </w:rPr>
        <w:t>Bảng hiện trạng KCN trên địa bàn</w:t>
      </w:r>
    </w:p>
    <w:tbl>
      <w:tblPr>
        <w:tblW w:w="15735" w:type="dxa"/>
        <w:tblInd w:w="-856" w:type="dxa"/>
        <w:tblLook w:val="04A0" w:firstRow="1" w:lastRow="0" w:firstColumn="1" w:lastColumn="0" w:noHBand="0" w:noVBand="1"/>
      </w:tblPr>
      <w:tblGrid>
        <w:gridCol w:w="457"/>
        <w:gridCol w:w="1103"/>
        <w:gridCol w:w="851"/>
        <w:gridCol w:w="1137"/>
        <w:gridCol w:w="621"/>
        <w:gridCol w:w="1276"/>
        <w:gridCol w:w="818"/>
        <w:gridCol w:w="1109"/>
        <w:gridCol w:w="887"/>
        <w:gridCol w:w="737"/>
        <w:gridCol w:w="711"/>
        <w:gridCol w:w="640"/>
        <w:gridCol w:w="756"/>
        <w:gridCol w:w="646"/>
        <w:gridCol w:w="646"/>
        <w:gridCol w:w="657"/>
        <w:gridCol w:w="717"/>
        <w:gridCol w:w="711"/>
        <w:gridCol w:w="7"/>
        <w:gridCol w:w="1248"/>
      </w:tblGrid>
      <w:tr w:rsidR="008D5BFE" w:rsidRPr="008E63BB" w14:paraId="519B5114" w14:textId="77777777" w:rsidTr="001A49A0">
        <w:trPr>
          <w:cantSplit/>
          <w:trHeight w:val="510"/>
          <w:tblHeader/>
        </w:trPr>
        <w:tc>
          <w:tcPr>
            <w:tcW w:w="45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9B5102"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TT</w:t>
            </w:r>
          </w:p>
        </w:tc>
        <w:tc>
          <w:tcPr>
            <w:tcW w:w="11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5103"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Tên KCN</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5104"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Diện tích quy hoạch được duyệt</w:t>
            </w:r>
          </w:p>
        </w:tc>
        <w:tc>
          <w:tcPr>
            <w:tcW w:w="113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5105"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Diện tích đã thành lập/ cấp GCNĐKĐT</w:t>
            </w:r>
          </w:p>
        </w:tc>
        <w:tc>
          <w:tcPr>
            <w:tcW w:w="62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19B5106"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Tỷ lệ lấp đầy (%)</w:t>
            </w:r>
          </w:p>
        </w:tc>
        <w:tc>
          <w:tcPr>
            <w:tcW w:w="2094" w:type="dxa"/>
            <w:gridSpan w:val="2"/>
            <w:tcBorders>
              <w:top w:val="single" w:sz="4" w:space="0" w:color="auto"/>
              <w:left w:val="nil"/>
              <w:bottom w:val="single" w:sz="4" w:space="0" w:color="auto"/>
              <w:right w:val="single" w:sz="4" w:space="0" w:color="000000"/>
            </w:tcBorders>
            <w:shd w:val="clear" w:color="auto" w:fill="auto"/>
            <w:vAlign w:val="center"/>
            <w:hideMark/>
          </w:tcPr>
          <w:p w14:paraId="519B5107"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Vốn đầu tư</w:t>
            </w:r>
          </w:p>
        </w:tc>
        <w:tc>
          <w:tcPr>
            <w:tcW w:w="1109" w:type="dxa"/>
            <w:vMerge w:val="restart"/>
            <w:tcBorders>
              <w:top w:val="single" w:sz="4" w:space="0" w:color="auto"/>
              <w:left w:val="single" w:sz="4" w:space="0" w:color="auto"/>
              <w:right w:val="single" w:sz="4" w:space="0" w:color="auto"/>
            </w:tcBorders>
            <w:shd w:val="clear" w:color="auto" w:fill="auto"/>
            <w:vAlign w:val="center"/>
            <w:hideMark/>
          </w:tcPr>
          <w:p w14:paraId="519B5108"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Số QĐ thành lập / cấp phê duyệt</w:t>
            </w:r>
          </w:p>
        </w:tc>
        <w:tc>
          <w:tcPr>
            <w:tcW w:w="887" w:type="dxa"/>
            <w:vMerge w:val="restart"/>
            <w:tcBorders>
              <w:top w:val="single" w:sz="4" w:space="0" w:color="auto"/>
              <w:left w:val="single" w:sz="4" w:space="0" w:color="auto"/>
              <w:right w:val="single" w:sz="4" w:space="0" w:color="auto"/>
            </w:tcBorders>
            <w:shd w:val="clear" w:color="auto" w:fill="auto"/>
            <w:vAlign w:val="center"/>
            <w:hideMark/>
          </w:tcPr>
          <w:p w14:paraId="519B5109"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Thành lập</w:t>
            </w:r>
          </w:p>
        </w:tc>
        <w:tc>
          <w:tcPr>
            <w:tcW w:w="737" w:type="dxa"/>
            <w:vMerge w:val="restart"/>
            <w:tcBorders>
              <w:top w:val="single" w:sz="4" w:space="0" w:color="auto"/>
              <w:left w:val="single" w:sz="4" w:space="0" w:color="auto"/>
              <w:right w:val="single" w:sz="4" w:space="0" w:color="auto"/>
            </w:tcBorders>
            <w:shd w:val="clear" w:color="auto" w:fill="auto"/>
            <w:vAlign w:val="center"/>
            <w:hideMark/>
          </w:tcPr>
          <w:p w14:paraId="519B510A"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Số doanh nghiệp</w:t>
            </w:r>
          </w:p>
        </w:tc>
        <w:tc>
          <w:tcPr>
            <w:tcW w:w="711" w:type="dxa"/>
            <w:vMerge w:val="restart"/>
            <w:tcBorders>
              <w:top w:val="single" w:sz="4" w:space="0" w:color="auto"/>
              <w:left w:val="single" w:sz="4" w:space="0" w:color="auto"/>
              <w:right w:val="single" w:sz="4" w:space="0" w:color="auto"/>
            </w:tcBorders>
            <w:shd w:val="clear" w:color="auto" w:fill="auto"/>
            <w:vAlign w:val="center"/>
            <w:hideMark/>
          </w:tcPr>
          <w:p w14:paraId="519B510B"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Số Lao động</w:t>
            </w:r>
          </w:p>
        </w:tc>
        <w:tc>
          <w:tcPr>
            <w:tcW w:w="640" w:type="dxa"/>
            <w:vMerge w:val="restart"/>
            <w:tcBorders>
              <w:top w:val="single" w:sz="4" w:space="0" w:color="auto"/>
              <w:left w:val="single" w:sz="4" w:space="0" w:color="auto"/>
              <w:right w:val="single" w:sz="4" w:space="0" w:color="auto"/>
            </w:tcBorders>
            <w:shd w:val="clear" w:color="auto" w:fill="auto"/>
            <w:vAlign w:val="center"/>
            <w:hideMark/>
          </w:tcPr>
          <w:p w14:paraId="519B510C"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Số lao động nước ngoài</w:t>
            </w:r>
          </w:p>
        </w:tc>
        <w:tc>
          <w:tcPr>
            <w:tcW w:w="756" w:type="dxa"/>
            <w:vMerge w:val="restart"/>
            <w:tcBorders>
              <w:top w:val="single" w:sz="4" w:space="0" w:color="auto"/>
              <w:left w:val="single" w:sz="4" w:space="0" w:color="auto"/>
              <w:right w:val="single" w:sz="4" w:space="0" w:color="auto"/>
            </w:tcBorders>
            <w:shd w:val="clear" w:color="auto" w:fill="auto"/>
            <w:vAlign w:val="center"/>
            <w:hideMark/>
          </w:tcPr>
          <w:p w14:paraId="519B510D"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Doanh thu (tỷ đồng)</w:t>
            </w:r>
          </w:p>
        </w:tc>
        <w:tc>
          <w:tcPr>
            <w:tcW w:w="646" w:type="dxa"/>
            <w:vMerge w:val="restart"/>
            <w:tcBorders>
              <w:top w:val="single" w:sz="4" w:space="0" w:color="auto"/>
              <w:left w:val="single" w:sz="4" w:space="0" w:color="auto"/>
              <w:right w:val="single" w:sz="4" w:space="0" w:color="auto"/>
            </w:tcBorders>
            <w:shd w:val="clear" w:color="auto" w:fill="auto"/>
            <w:vAlign w:val="center"/>
            <w:hideMark/>
          </w:tcPr>
          <w:p w14:paraId="519B510E"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Xuất khẩu (triệu USD)</w:t>
            </w:r>
          </w:p>
        </w:tc>
        <w:tc>
          <w:tcPr>
            <w:tcW w:w="646" w:type="dxa"/>
            <w:vMerge w:val="restart"/>
            <w:tcBorders>
              <w:top w:val="single" w:sz="4" w:space="0" w:color="auto"/>
              <w:left w:val="single" w:sz="4" w:space="0" w:color="auto"/>
              <w:right w:val="single" w:sz="4" w:space="0" w:color="auto"/>
            </w:tcBorders>
            <w:shd w:val="clear" w:color="auto" w:fill="auto"/>
            <w:vAlign w:val="center"/>
            <w:hideMark/>
          </w:tcPr>
          <w:p w14:paraId="519B510F"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Nhập khẩu (triệu USD)</w:t>
            </w:r>
          </w:p>
        </w:tc>
        <w:tc>
          <w:tcPr>
            <w:tcW w:w="657" w:type="dxa"/>
            <w:vMerge w:val="restart"/>
            <w:tcBorders>
              <w:top w:val="single" w:sz="4" w:space="0" w:color="auto"/>
              <w:left w:val="single" w:sz="4" w:space="0" w:color="auto"/>
              <w:right w:val="single" w:sz="4" w:space="0" w:color="auto"/>
            </w:tcBorders>
            <w:shd w:val="clear" w:color="auto" w:fill="auto"/>
            <w:vAlign w:val="center"/>
            <w:hideMark/>
          </w:tcPr>
          <w:p w14:paraId="519B5110"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Nộp ngân sách (tỷ đồng)</w:t>
            </w:r>
          </w:p>
        </w:tc>
        <w:tc>
          <w:tcPr>
            <w:tcW w:w="717" w:type="dxa"/>
            <w:vMerge w:val="restart"/>
            <w:tcBorders>
              <w:top w:val="single" w:sz="4" w:space="0" w:color="auto"/>
              <w:left w:val="single" w:sz="4" w:space="0" w:color="auto"/>
              <w:right w:val="single" w:sz="4" w:space="0" w:color="auto"/>
            </w:tcBorders>
            <w:shd w:val="clear" w:color="auto" w:fill="auto"/>
            <w:vAlign w:val="center"/>
            <w:hideMark/>
          </w:tcPr>
          <w:p w14:paraId="519B5111"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Thu nhập bình quân (triệu/ người/ tháng)</w:t>
            </w:r>
          </w:p>
        </w:tc>
        <w:tc>
          <w:tcPr>
            <w:tcW w:w="718" w:type="dxa"/>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14:paraId="519B5112"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Tham gia bảo hiểm</w:t>
            </w:r>
          </w:p>
        </w:tc>
        <w:tc>
          <w:tcPr>
            <w:tcW w:w="1248"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519B5113"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Ghi chú</w:t>
            </w:r>
          </w:p>
        </w:tc>
      </w:tr>
      <w:tr w:rsidR="008D5BFE" w:rsidRPr="008E63BB" w14:paraId="519B5128" w14:textId="77777777" w:rsidTr="007F0FB6">
        <w:trPr>
          <w:cantSplit/>
          <w:trHeight w:val="1099"/>
          <w:tblHeader/>
        </w:trPr>
        <w:tc>
          <w:tcPr>
            <w:tcW w:w="457" w:type="dxa"/>
            <w:vMerge/>
            <w:tcBorders>
              <w:top w:val="single" w:sz="4" w:space="0" w:color="auto"/>
              <w:left w:val="single" w:sz="4" w:space="0" w:color="auto"/>
              <w:bottom w:val="single" w:sz="4" w:space="0" w:color="000000"/>
              <w:right w:val="single" w:sz="4" w:space="0" w:color="auto"/>
            </w:tcBorders>
            <w:vAlign w:val="center"/>
            <w:hideMark/>
          </w:tcPr>
          <w:p w14:paraId="519B5115" w14:textId="77777777" w:rsidR="007F0FB6" w:rsidRPr="008E63BB" w:rsidRDefault="007F0FB6" w:rsidP="0065184D">
            <w:pPr>
              <w:rPr>
                <w:rFonts w:ascii="Times" w:hAnsi="Times" w:cs="Times"/>
                <w:b/>
                <w:bCs/>
                <w:sz w:val="18"/>
                <w:szCs w:val="18"/>
              </w:rPr>
            </w:pPr>
          </w:p>
        </w:tc>
        <w:tc>
          <w:tcPr>
            <w:tcW w:w="1103" w:type="dxa"/>
            <w:vMerge/>
            <w:tcBorders>
              <w:top w:val="single" w:sz="4" w:space="0" w:color="auto"/>
              <w:left w:val="single" w:sz="4" w:space="0" w:color="auto"/>
              <w:bottom w:val="single" w:sz="4" w:space="0" w:color="000000"/>
              <w:right w:val="single" w:sz="4" w:space="0" w:color="auto"/>
            </w:tcBorders>
            <w:vAlign w:val="center"/>
            <w:hideMark/>
          </w:tcPr>
          <w:p w14:paraId="519B5116" w14:textId="77777777" w:rsidR="007F0FB6" w:rsidRPr="008E63BB" w:rsidRDefault="007F0FB6" w:rsidP="0065184D">
            <w:pPr>
              <w:rPr>
                <w:rFonts w:ascii="Times" w:hAnsi="Times" w:cs="Times"/>
                <w:b/>
                <w:bCs/>
                <w:sz w:val="18"/>
                <w:szCs w:val="18"/>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14:paraId="519B5117" w14:textId="77777777" w:rsidR="007F0FB6" w:rsidRPr="008E63BB" w:rsidRDefault="007F0FB6" w:rsidP="0065184D">
            <w:pPr>
              <w:rPr>
                <w:rFonts w:ascii="Times" w:hAnsi="Times" w:cs="Times"/>
                <w:b/>
                <w:bCs/>
                <w:sz w:val="18"/>
                <w:szCs w:val="18"/>
              </w:rPr>
            </w:pPr>
          </w:p>
        </w:tc>
        <w:tc>
          <w:tcPr>
            <w:tcW w:w="1137" w:type="dxa"/>
            <w:vMerge/>
            <w:tcBorders>
              <w:top w:val="single" w:sz="4" w:space="0" w:color="auto"/>
              <w:left w:val="single" w:sz="4" w:space="0" w:color="auto"/>
              <w:bottom w:val="single" w:sz="4" w:space="0" w:color="000000"/>
              <w:right w:val="single" w:sz="4" w:space="0" w:color="auto"/>
            </w:tcBorders>
            <w:vAlign w:val="center"/>
            <w:hideMark/>
          </w:tcPr>
          <w:p w14:paraId="519B5118" w14:textId="77777777" w:rsidR="007F0FB6" w:rsidRPr="008E63BB" w:rsidRDefault="007F0FB6" w:rsidP="0065184D">
            <w:pPr>
              <w:rPr>
                <w:rFonts w:ascii="Times" w:hAnsi="Times" w:cs="Times"/>
                <w:b/>
                <w:bCs/>
                <w:sz w:val="18"/>
                <w:szCs w:val="18"/>
              </w:rPr>
            </w:pPr>
          </w:p>
        </w:tc>
        <w:tc>
          <w:tcPr>
            <w:tcW w:w="621" w:type="dxa"/>
            <w:vMerge/>
            <w:tcBorders>
              <w:top w:val="single" w:sz="4" w:space="0" w:color="auto"/>
              <w:left w:val="single" w:sz="4" w:space="0" w:color="auto"/>
              <w:bottom w:val="single" w:sz="4" w:space="0" w:color="000000"/>
              <w:right w:val="single" w:sz="4" w:space="0" w:color="auto"/>
            </w:tcBorders>
            <w:vAlign w:val="center"/>
            <w:hideMark/>
          </w:tcPr>
          <w:p w14:paraId="519B5119" w14:textId="77777777" w:rsidR="007F0FB6" w:rsidRPr="008E63BB" w:rsidRDefault="007F0FB6" w:rsidP="0065184D">
            <w:pPr>
              <w:rPr>
                <w:rFonts w:ascii="Times" w:hAnsi="Times" w:cs="Times"/>
                <w:b/>
                <w:bCs/>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519B511A"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Vốn nội tệ (tỷ đồng)</w:t>
            </w:r>
          </w:p>
        </w:tc>
        <w:tc>
          <w:tcPr>
            <w:tcW w:w="818" w:type="dxa"/>
            <w:tcBorders>
              <w:top w:val="nil"/>
              <w:left w:val="nil"/>
              <w:bottom w:val="single" w:sz="4" w:space="0" w:color="auto"/>
              <w:right w:val="single" w:sz="4" w:space="0" w:color="auto"/>
            </w:tcBorders>
            <w:shd w:val="clear" w:color="auto" w:fill="auto"/>
            <w:vAlign w:val="center"/>
            <w:hideMark/>
          </w:tcPr>
          <w:p w14:paraId="519B511B" w14:textId="77777777" w:rsidR="007F0FB6" w:rsidRPr="008E63BB" w:rsidRDefault="007F0FB6" w:rsidP="0065184D">
            <w:pPr>
              <w:jc w:val="center"/>
              <w:rPr>
                <w:rFonts w:ascii="Times" w:hAnsi="Times" w:cs="Times"/>
                <w:b/>
                <w:bCs/>
                <w:sz w:val="18"/>
                <w:szCs w:val="18"/>
              </w:rPr>
            </w:pPr>
            <w:r w:rsidRPr="008E63BB">
              <w:rPr>
                <w:rFonts w:ascii="Times" w:hAnsi="Times" w:cs="Times"/>
                <w:b/>
                <w:bCs/>
                <w:sz w:val="18"/>
                <w:szCs w:val="18"/>
              </w:rPr>
              <w:t>Vốn ngoại tệ (triệu USD)</w:t>
            </w:r>
          </w:p>
        </w:tc>
        <w:tc>
          <w:tcPr>
            <w:tcW w:w="1109" w:type="dxa"/>
            <w:vMerge/>
            <w:tcBorders>
              <w:left w:val="single" w:sz="4" w:space="0" w:color="auto"/>
              <w:bottom w:val="single" w:sz="4" w:space="0" w:color="000000"/>
              <w:right w:val="single" w:sz="4" w:space="0" w:color="auto"/>
            </w:tcBorders>
            <w:vAlign w:val="center"/>
            <w:hideMark/>
          </w:tcPr>
          <w:p w14:paraId="519B511C" w14:textId="77777777" w:rsidR="007F0FB6" w:rsidRPr="008E63BB" w:rsidRDefault="007F0FB6" w:rsidP="0065184D">
            <w:pPr>
              <w:rPr>
                <w:rFonts w:ascii="Times" w:hAnsi="Times" w:cs="Times"/>
                <w:b/>
                <w:bCs/>
                <w:sz w:val="18"/>
                <w:szCs w:val="18"/>
              </w:rPr>
            </w:pPr>
          </w:p>
        </w:tc>
        <w:tc>
          <w:tcPr>
            <w:tcW w:w="887" w:type="dxa"/>
            <w:vMerge/>
            <w:tcBorders>
              <w:left w:val="single" w:sz="4" w:space="0" w:color="auto"/>
              <w:bottom w:val="single" w:sz="4" w:space="0" w:color="000000"/>
              <w:right w:val="single" w:sz="4" w:space="0" w:color="auto"/>
            </w:tcBorders>
            <w:vAlign w:val="center"/>
            <w:hideMark/>
          </w:tcPr>
          <w:p w14:paraId="519B511D" w14:textId="77777777" w:rsidR="007F0FB6" w:rsidRPr="008E63BB" w:rsidRDefault="007F0FB6" w:rsidP="0065184D">
            <w:pPr>
              <w:rPr>
                <w:rFonts w:ascii="Times" w:hAnsi="Times" w:cs="Times"/>
                <w:b/>
                <w:bCs/>
                <w:sz w:val="18"/>
                <w:szCs w:val="18"/>
              </w:rPr>
            </w:pPr>
          </w:p>
        </w:tc>
        <w:tc>
          <w:tcPr>
            <w:tcW w:w="737" w:type="dxa"/>
            <w:vMerge/>
            <w:tcBorders>
              <w:left w:val="single" w:sz="4" w:space="0" w:color="auto"/>
              <w:bottom w:val="single" w:sz="4" w:space="0" w:color="000000"/>
              <w:right w:val="single" w:sz="4" w:space="0" w:color="auto"/>
            </w:tcBorders>
            <w:vAlign w:val="center"/>
            <w:hideMark/>
          </w:tcPr>
          <w:p w14:paraId="519B511E" w14:textId="77777777" w:rsidR="007F0FB6" w:rsidRPr="008E63BB" w:rsidRDefault="007F0FB6" w:rsidP="0065184D">
            <w:pPr>
              <w:rPr>
                <w:rFonts w:ascii="Times" w:hAnsi="Times" w:cs="Times"/>
                <w:b/>
                <w:bCs/>
                <w:sz w:val="18"/>
                <w:szCs w:val="18"/>
              </w:rPr>
            </w:pPr>
          </w:p>
        </w:tc>
        <w:tc>
          <w:tcPr>
            <w:tcW w:w="711" w:type="dxa"/>
            <w:vMerge/>
            <w:tcBorders>
              <w:left w:val="single" w:sz="4" w:space="0" w:color="auto"/>
              <w:bottom w:val="single" w:sz="4" w:space="0" w:color="000000"/>
              <w:right w:val="single" w:sz="4" w:space="0" w:color="auto"/>
            </w:tcBorders>
            <w:vAlign w:val="center"/>
            <w:hideMark/>
          </w:tcPr>
          <w:p w14:paraId="519B511F" w14:textId="77777777" w:rsidR="007F0FB6" w:rsidRPr="008E63BB" w:rsidRDefault="007F0FB6" w:rsidP="0065184D">
            <w:pPr>
              <w:rPr>
                <w:rFonts w:ascii="Times" w:hAnsi="Times" w:cs="Times"/>
                <w:b/>
                <w:bCs/>
                <w:sz w:val="18"/>
                <w:szCs w:val="18"/>
              </w:rPr>
            </w:pPr>
          </w:p>
        </w:tc>
        <w:tc>
          <w:tcPr>
            <w:tcW w:w="640" w:type="dxa"/>
            <w:vMerge/>
            <w:tcBorders>
              <w:left w:val="single" w:sz="4" w:space="0" w:color="auto"/>
              <w:bottom w:val="single" w:sz="4" w:space="0" w:color="000000"/>
              <w:right w:val="single" w:sz="4" w:space="0" w:color="auto"/>
            </w:tcBorders>
            <w:vAlign w:val="center"/>
            <w:hideMark/>
          </w:tcPr>
          <w:p w14:paraId="519B5120" w14:textId="77777777" w:rsidR="007F0FB6" w:rsidRPr="008E63BB" w:rsidRDefault="007F0FB6" w:rsidP="0065184D">
            <w:pPr>
              <w:rPr>
                <w:rFonts w:ascii="Times" w:hAnsi="Times" w:cs="Times"/>
                <w:b/>
                <w:bCs/>
                <w:sz w:val="18"/>
                <w:szCs w:val="18"/>
              </w:rPr>
            </w:pPr>
          </w:p>
        </w:tc>
        <w:tc>
          <w:tcPr>
            <w:tcW w:w="756" w:type="dxa"/>
            <w:vMerge/>
            <w:tcBorders>
              <w:left w:val="single" w:sz="4" w:space="0" w:color="auto"/>
              <w:bottom w:val="single" w:sz="4" w:space="0" w:color="000000"/>
              <w:right w:val="single" w:sz="4" w:space="0" w:color="auto"/>
            </w:tcBorders>
            <w:vAlign w:val="center"/>
            <w:hideMark/>
          </w:tcPr>
          <w:p w14:paraId="519B5121" w14:textId="77777777" w:rsidR="007F0FB6" w:rsidRPr="008E63BB" w:rsidRDefault="007F0FB6" w:rsidP="0065184D">
            <w:pPr>
              <w:rPr>
                <w:rFonts w:ascii="Times" w:hAnsi="Times" w:cs="Times"/>
                <w:b/>
                <w:bCs/>
                <w:sz w:val="18"/>
                <w:szCs w:val="18"/>
              </w:rPr>
            </w:pPr>
          </w:p>
        </w:tc>
        <w:tc>
          <w:tcPr>
            <w:tcW w:w="646" w:type="dxa"/>
            <w:vMerge/>
            <w:tcBorders>
              <w:left w:val="single" w:sz="4" w:space="0" w:color="auto"/>
              <w:bottom w:val="single" w:sz="4" w:space="0" w:color="000000"/>
              <w:right w:val="single" w:sz="4" w:space="0" w:color="auto"/>
            </w:tcBorders>
            <w:vAlign w:val="center"/>
            <w:hideMark/>
          </w:tcPr>
          <w:p w14:paraId="519B5122" w14:textId="77777777" w:rsidR="007F0FB6" w:rsidRPr="008E63BB" w:rsidRDefault="007F0FB6" w:rsidP="0065184D">
            <w:pPr>
              <w:rPr>
                <w:rFonts w:ascii="Times" w:hAnsi="Times" w:cs="Times"/>
                <w:b/>
                <w:bCs/>
                <w:sz w:val="18"/>
                <w:szCs w:val="18"/>
              </w:rPr>
            </w:pPr>
          </w:p>
        </w:tc>
        <w:tc>
          <w:tcPr>
            <w:tcW w:w="646" w:type="dxa"/>
            <w:vMerge/>
            <w:tcBorders>
              <w:left w:val="single" w:sz="4" w:space="0" w:color="auto"/>
              <w:bottom w:val="single" w:sz="4" w:space="0" w:color="000000"/>
              <w:right w:val="single" w:sz="4" w:space="0" w:color="auto"/>
            </w:tcBorders>
            <w:vAlign w:val="center"/>
            <w:hideMark/>
          </w:tcPr>
          <w:p w14:paraId="519B5123" w14:textId="77777777" w:rsidR="007F0FB6" w:rsidRPr="008E63BB" w:rsidRDefault="007F0FB6" w:rsidP="0065184D">
            <w:pPr>
              <w:rPr>
                <w:rFonts w:ascii="Times" w:hAnsi="Times" w:cs="Times"/>
                <w:b/>
                <w:bCs/>
                <w:sz w:val="18"/>
                <w:szCs w:val="18"/>
              </w:rPr>
            </w:pPr>
          </w:p>
        </w:tc>
        <w:tc>
          <w:tcPr>
            <w:tcW w:w="657" w:type="dxa"/>
            <w:vMerge/>
            <w:tcBorders>
              <w:left w:val="single" w:sz="4" w:space="0" w:color="auto"/>
              <w:bottom w:val="single" w:sz="4" w:space="0" w:color="000000"/>
              <w:right w:val="single" w:sz="4" w:space="0" w:color="auto"/>
            </w:tcBorders>
            <w:vAlign w:val="center"/>
            <w:hideMark/>
          </w:tcPr>
          <w:p w14:paraId="519B5124" w14:textId="77777777" w:rsidR="007F0FB6" w:rsidRPr="008E63BB" w:rsidRDefault="007F0FB6" w:rsidP="0065184D">
            <w:pPr>
              <w:rPr>
                <w:rFonts w:ascii="Times" w:hAnsi="Times" w:cs="Times"/>
                <w:b/>
                <w:bCs/>
                <w:sz w:val="18"/>
                <w:szCs w:val="18"/>
              </w:rPr>
            </w:pPr>
          </w:p>
        </w:tc>
        <w:tc>
          <w:tcPr>
            <w:tcW w:w="717" w:type="dxa"/>
            <w:vMerge/>
            <w:tcBorders>
              <w:left w:val="single" w:sz="4" w:space="0" w:color="auto"/>
              <w:bottom w:val="single" w:sz="4" w:space="0" w:color="000000"/>
              <w:right w:val="single" w:sz="4" w:space="0" w:color="auto"/>
            </w:tcBorders>
            <w:vAlign w:val="center"/>
            <w:hideMark/>
          </w:tcPr>
          <w:p w14:paraId="519B5125" w14:textId="77777777" w:rsidR="007F0FB6" w:rsidRPr="008E63BB" w:rsidRDefault="007F0FB6" w:rsidP="0065184D">
            <w:pPr>
              <w:rPr>
                <w:rFonts w:ascii="Times" w:hAnsi="Times" w:cs="Times"/>
                <w:b/>
                <w:bCs/>
                <w:sz w:val="18"/>
                <w:szCs w:val="18"/>
              </w:rPr>
            </w:pPr>
          </w:p>
        </w:tc>
        <w:tc>
          <w:tcPr>
            <w:tcW w:w="711" w:type="dxa"/>
            <w:tcBorders>
              <w:top w:val="single" w:sz="4" w:space="0" w:color="auto"/>
              <w:left w:val="single" w:sz="4" w:space="0" w:color="auto"/>
              <w:bottom w:val="single" w:sz="4" w:space="0" w:color="000000"/>
              <w:right w:val="single" w:sz="4" w:space="0" w:color="auto"/>
            </w:tcBorders>
            <w:vAlign w:val="center"/>
            <w:hideMark/>
          </w:tcPr>
          <w:p w14:paraId="519B5126" w14:textId="77777777" w:rsidR="007F0FB6" w:rsidRPr="008E63BB" w:rsidRDefault="007F0FB6" w:rsidP="0065184D">
            <w:pPr>
              <w:rPr>
                <w:rFonts w:ascii="Times" w:hAnsi="Times" w:cs="Times"/>
                <w:b/>
                <w:bCs/>
                <w:sz w:val="18"/>
                <w:szCs w:val="18"/>
              </w:rPr>
            </w:pPr>
          </w:p>
        </w:tc>
        <w:tc>
          <w:tcPr>
            <w:tcW w:w="1255" w:type="dxa"/>
            <w:gridSpan w:val="2"/>
            <w:tcBorders>
              <w:top w:val="single" w:sz="4" w:space="0" w:color="auto"/>
              <w:left w:val="single" w:sz="4" w:space="0" w:color="auto"/>
              <w:bottom w:val="single" w:sz="4" w:space="0" w:color="000000"/>
              <w:right w:val="single" w:sz="4" w:space="0" w:color="auto"/>
            </w:tcBorders>
            <w:vAlign w:val="center"/>
            <w:hideMark/>
          </w:tcPr>
          <w:p w14:paraId="519B5127" w14:textId="77777777" w:rsidR="007F0FB6" w:rsidRPr="008E63BB" w:rsidRDefault="007F0FB6" w:rsidP="0065184D">
            <w:pPr>
              <w:rPr>
                <w:rFonts w:ascii="Times" w:hAnsi="Times" w:cs="Times"/>
                <w:b/>
                <w:bCs/>
                <w:sz w:val="18"/>
                <w:szCs w:val="18"/>
              </w:rPr>
            </w:pPr>
          </w:p>
        </w:tc>
      </w:tr>
      <w:tr w:rsidR="008D5BFE" w:rsidRPr="008E63BB" w14:paraId="519B513C" w14:textId="77777777" w:rsidTr="007F0FB6">
        <w:trPr>
          <w:trHeight w:val="270"/>
        </w:trPr>
        <w:tc>
          <w:tcPr>
            <w:tcW w:w="457" w:type="dxa"/>
            <w:tcBorders>
              <w:top w:val="nil"/>
              <w:left w:val="single" w:sz="4" w:space="0" w:color="auto"/>
              <w:bottom w:val="single" w:sz="4" w:space="0" w:color="auto"/>
              <w:right w:val="single" w:sz="4" w:space="0" w:color="auto"/>
            </w:tcBorders>
            <w:shd w:val="clear" w:color="auto" w:fill="auto"/>
            <w:noWrap/>
            <w:vAlign w:val="center"/>
            <w:hideMark/>
          </w:tcPr>
          <w:p w14:paraId="519B5129" w14:textId="77777777" w:rsidR="00993172" w:rsidRPr="008E63BB" w:rsidRDefault="00993172" w:rsidP="0065184D">
            <w:pPr>
              <w:jc w:val="center"/>
              <w:rPr>
                <w:rFonts w:ascii="Times" w:hAnsi="Times" w:cs="Times"/>
                <w:b/>
                <w:bCs/>
                <w:sz w:val="18"/>
                <w:szCs w:val="18"/>
              </w:rPr>
            </w:pPr>
            <w:r w:rsidRPr="008E63BB">
              <w:rPr>
                <w:rFonts w:ascii="Times" w:hAnsi="Times" w:cs="Times"/>
                <w:b/>
                <w:bCs/>
                <w:sz w:val="18"/>
                <w:szCs w:val="18"/>
              </w:rPr>
              <w:t> </w:t>
            </w:r>
          </w:p>
        </w:tc>
        <w:tc>
          <w:tcPr>
            <w:tcW w:w="1103" w:type="dxa"/>
            <w:tcBorders>
              <w:top w:val="nil"/>
              <w:left w:val="nil"/>
              <w:bottom w:val="single" w:sz="4" w:space="0" w:color="auto"/>
              <w:right w:val="single" w:sz="4" w:space="0" w:color="auto"/>
            </w:tcBorders>
            <w:shd w:val="clear" w:color="auto" w:fill="auto"/>
            <w:noWrap/>
            <w:vAlign w:val="center"/>
            <w:hideMark/>
          </w:tcPr>
          <w:p w14:paraId="519B512A" w14:textId="77777777" w:rsidR="00993172" w:rsidRPr="008E63BB" w:rsidRDefault="00993172" w:rsidP="0065184D">
            <w:pPr>
              <w:jc w:val="center"/>
              <w:rPr>
                <w:rFonts w:ascii="Times" w:hAnsi="Times" w:cs="Times"/>
                <w:b/>
                <w:bCs/>
                <w:sz w:val="18"/>
                <w:szCs w:val="18"/>
              </w:rPr>
            </w:pPr>
            <w:r w:rsidRPr="008E63BB">
              <w:rPr>
                <w:rFonts w:ascii="Times" w:hAnsi="Times" w:cs="Times"/>
                <w:b/>
                <w:bCs/>
                <w:sz w:val="18"/>
                <w:szCs w:val="18"/>
              </w:rPr>
              <w:t>TỔNG</w:t>
            </w:r>
          </w:p>
        </w:tc>
        <w:tc>
          <w:tcPr>
            <w:tcW w:w="851" w:type="dxa"/>
            <w:tcBorders>
              <w:top w:val="nil"/>
              <w:left w:val="nil"/>
              <w:bottom w:val="single" w:sz="4" w:space="0" w:color="auto"/>
              <w:right w:val="single" w:sz="4" w:space="0" w:color="auto"/>
            </w:tcBorders>
            <w:shd w:val="clear" w:color="auto" w:fill="auto"/>
            <w:noWrap/>
            <w:vAlign w:val="center"/>
            <w:hideMark/>
          </w:tcPr>
          <w:p w14:paraId="519B512B"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477</w:t>
            </w:r>
          </w:p>
        </w:tc>
        <w:tc>
          <w:tcPr>
            <w:tcW w:w="1137" w:type="dxa"/>
            <w:tcBorders>
              <w:top w:val="nil"/>
              <w:left w:val="nil"/>
              <w:bottom w:val="single" w:sz="4" w:space="0" w:color="auto"/>
              <w:right w:val="single" w:sz="4" w:space="0" w:color="auto"/>
            </w:tcBorders>
            <w:shd w:val="clear" w:color="auto" w:fill="auto"/>
            <w:noWrap/>
            <w:vAlign w:val="center"/>
            <w:hideMark/>
          </w:tcPr>
          <w:p w14:paraId="519B512C"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436,05</w:t>
            </w:r>
          </w:p>
        </w:tc>
        <w:tc>
          <w:tcPr>
            <w:tcW w:w="621" w:type="dxa"/>
            <w:tcBorders>
              <w:top w:val="nil"/>
              <w:left w:val="nil"/>
              <w:bottom w:val="single" w:sz="4" w:space="0" w:color="auto"/>
              <w:right w:val="single" w:sz="4" w:space="0" w:color="auto"/>
            </w:tcBorders>
            <w:shd w:val="clear" w:color="auto" w:fill="auto"/>
            <w:noWrap/>
            <w:vAlign w:val="center"/>
            <w:hideMark/>
          </w:tcPr>
          <w:p w14:paraId="519B512D"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 </w:t>
            </w:r>
          </w:p>
        </w:tc>
        <w:tc>
          <w:tcPr>
            <w:tcW w:w="1276" w:type="dxa"/>
            <w:tcBorders>
              <w:top w:val="nil"/>
              <w:left w:val="nil"/>
              <w:bottom w:val="single" w:sz="4" w:space="0" w:color="auto"/>
              <w:right w:val="single" w:sz="4" w:space="0" w:color="auto"/>
            </w:tcBorders>
            <w:shd w:val="clear" w:color="auto" w:fill="auto"/>
            <w:noWrap/>
            <w:vAlign w:val="center"/>
            <w:hideMark/>
          </w:tcPr>
          <w:p w14:paraId="519B512E"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6.912,6</w:t>
            </w:r>
          </w:p>
        </w:tc>
        <w:tc>
          <w:tcPr>
            <w:tcW w:w="818" w:type="dxa"/>
            <w:tcBorders>
              <w:top w:val="nil"/>
              <w:left w:val="nil"/>
              <w:bottom w:val="single" w:sz="4" w:space="0" w:color="auto"/>
              <w:right w:val="single" w:sz="4" w:space="0" w:color="auto"/>
            </w:tcBorders>
            <w:shd w:val="clear" w:color="auto" w:fill="auto"/>
            <w:noWrap/>
            <w:vAlign w:val="center"/>
            <w:hideMark/>
          </w:tcPr>
          <w:p w14:paraId="519B512F"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145,6</w:t>
            </w:r>
          </w:p>
        </w:tc>
        <w:tc>
          <w:tcPr>
            <w:tcW w:w="1109" w:type="dxa"/>
            <w:tcBorders>
              <w:top w:val="nil"/>
              <w:left w:val="nil"/>
              <w:bottom w:val="single" w:sz="4" w:space="0" w:color="auto"/>
              <w:right w:val="nil"/>
            </w:tcBorders>
            <w:shd w:val="clear" w:color="auto" w:fill="auto"/>
            <w:noWrap/>
            <w:vAlign w:val="center"/>
            <w:hideMark/>
          </w:tcPr>
          <w:p w14:paraId="519B5130"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 </w:t>
            </w:r>
          </w:p>
        </w:tc>
        <w:tc>
          <w:tcPr>
            <w:tcW w:w="887" w:type="dxa"/>
            <w:tcBorders>
              <w:top w:val="nil"/>
              <w:left w:val="single" w:sz="4" w:space="0" w:color="auto"/>
              <w:bottom w:val="single" w:sz="4" w:space="0" w:color="auto"/>
              <w:right w:val="nil"/>
            </w:tcBorders>
            <w:shd w:val="clear" w:color="auto" w:fill="auto"/>
            <w:noWrap/>
            <w:vAlign w:val="center"/>
            <w:hideMark/>
          </w:tcPr>
          <w:p w14:paraId="519B5131"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 </w:t>
            </w: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19B5132"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127,0</w:t>
            </w:r>
          </w:p>
        </w:tc>
        <w:tc>
          <w:tcPr>
            <w:tcW w:w="711" w:type="dxa"/>
            <w:tcBorders>
              <w:top w:val="nil"/>
              <w:left w:val="nil"/>
              <w:bottom w:val="single" w:sz="4" w:space="0" w:color="auto"/>
              <w:right w:val="single" w:sz="4" w:space="0" w:color="auto"/>
            </w:tcBorders>
            <w:shd w:val="clear" w:color="auto" w:fill="auto"/>
            <w:noWrap/>
            <w:vAlign w:val="center"/>
            <w:hideMark/>
          </w:tcPr>
          <w:p w14:paraId="519B5133"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30.251</w:t>
            </w:r>
          </w:p>
        </w:tc>
        <w:tc>
          <w:tcPr>
            <w:tcW w:w="640" w:type="dxa"/>
            <w:tcBorders>
              <w:top w:val="nil"/>
              <w:left w:val="nil"/>
              <w:bottom w:val="single" w:sz="4" w:space="0" w:color="auto"/>
              <w:right w:val="single" w:sz="4" w:space="0" w:color="auto"/>
            </w:tcBorders>
            <w:shd w:val="clear" w:color="auto" w:fill="auto"/>
            <w:noWrap/>
            <w:vAlign w:val="center"/>
            <w:hideMark/>
          </w:tcPr>
          <w:p w14:paraId="519B5134"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160,0</w:t>
            </w:r>
          </w:p>
        </w:tc>
        <w:tc>
          <w:tcPr>
            <w:tcW w:w="756" w:type="dxa"/>
            <w:tcBorders>
              <w:top w:val="nil"/>
              <w:left w:val="nil"/>
              <w:bottom w:val="single" w:sz="4" w:space="0" w:color="auto"/>
              <w:right w:val="single" w:sz="4" w:space="0" w:color="auto"/>
            </w:tcBorders>
            <w:shd w:val="clear" w:color="auto" w:fill="auto"/>
            <w:noWrap/>
            <w:vAlign w:val="center"/>
            <w:hideMark/>
          </w:tcPr>
          <w:p w14:paraId="519B5135"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4.581,0</w:t>
            </w:r>
          </w:p>
        </w:tc>
        <w:tc>
          <w:tcPr>
            <w:tcW w:w="646" w:type="dxa"/>
            <w:tcBorders>
              <w:top w:val="nil"/>
              <w:left w:val="nil"/>
              <w:bottom w:val="single" w:sz="4" w:space="0" w:color="auto"/>
              <w:right w:val="single" w:sz="4" w:space="0" w:color="auto"/>
            </w:tcBorders>
            <w:shd w:val="clear" w:color="auto" w:fill="auto"/>
            <w:noWrap/>
            <w:vAlign w:val="center"/>
            <w:hideMark/>
          </w:tcPr>
          <w:p w14:paraId="519B5136"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210,8</w:t>
            </w:r>
          </w:p>
        </w:tc>
        <w:tc>
          <w:tcPr>
            <w:tcW w:w="646" w:type="dxa"/>
            <w:tcBorders>
              <w:top w:val="nil"/>
              <w:left w:val="nil"/>
              <w:bottom w:val="single" w:sz="4" w:space="0" w:color="auto"/>
              <w:right w:val="single" w:sz="4" w:space="0" w:color="auto"/>
            </w:tcBorders>
            <w:shd w:val="clear" w:color="auto" w:fill="auto"/>
            <w:noWrap/>
            <w:vAlign w:val="center"/>
            <w:hideMark/>
          </w:tcPr>
          <w:p w14:paraId="519B5137"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117,6</w:t>
            </w:r>
          </w:p>
        </w:tc>
        <w:tc>
          <w:tcPr>
            <w:tcW w:w="657" w:type="dxa"/>
            <w:tcBorders>
              <w:top w:val="nil"/>
              <w:left w:val="nil"/>
              <w:bottom w:val="single" w:sz="4" w:space="0" w:color="auto"/>
              <w:right w:val="single" w:sz="4" w:space="0" w:color="auto"/>
            </w:tcBorders>
            <w:shd w:val="clear" w:color="auto" w:fill="auto"/>
            <w:noWrap/>
            <w:vAlign w:val="center"/>
            <w:hideMark/>
          </w:tcPr>
          <w:p w14:paraId="519B5138"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128,2</w:t>
            </w:r>
          </w:p>
        </w:tc>
        <w:tc>
          <w:tcPr>
            <w:tcW w:w="717" w:type="dxa"/>
            <w:tcBorders>
              <w:top w:val="nil"/>
              <w:left w:val="nil"/>
              <w:bottom w:val="single" w:sz="4" w:space="0" w:color="auto"/>
              <w:right w:val="single" w:sz="4" w:space="0" w:color="auto"/>
            </w:tcBorders>
            <w:shd w:val="clear" w:color="auto" w:fill="auto"/>
            <w:noWrap/>
            <w:vAlign w:val="center"/>
            <w:hideMark/>
          </w:tcPr>
          <w:p w14:paraId="519B5139"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 </w:t>
            </w:r>
          </w:p>
        </w:tc>
        <w:tc>
          <w:tcPr>
            <w:tcW w:w="711" w:type="dxa"/>
            <w:tcBorders>
              <w:top w:val="nil"/>
              <w:left w:val="nil"/>
              <w:bottom w:val="single" w:sz="4" w:space="0" w:color="auto"/>
              <w:right w:val="single" w:sz="4" w:space="0" w:color="auto"/>
            </w:tcBorders>
            <w:shd w:val="clear" w:color="auto" w:fill="auto"/>
            <w:noWrap/>
            <w:vAlign w:val="center"/>
            <w:hideMark/>
          </w:tcPr>
          <w:p w14:paraId="519B513A" w14:textId="77777777" w:rsidR="00993172" w:rsidRPr="008E63BB" w:rsidRDefault="00993172" w:rsidP="0065184D">
            <w:pPr>
              <w:jc w:val="right"/>
              <w:rPr>
                <w:rFonts w:ascii="Times" w:hAnsi="Times" w:cs="Times"/>
                <w:b/>
                <w:bCs/>
                <w:sz w:val="18"/>
                <w:szCs w:val="18"/>
              </w:rPr>
            </w:pPr>
            <w:r w:rsidRPr="008E63BB">
              <w:rPr>
                <w:rFonts w:ascii="Times" w:hAnsi="Times" w:cs="Times"/>
                <w:b/>
                <w:bCs/>
                <w:sz w:val="18"/>
                <w:szCs w:val="18"/>
              </w:rPr>
              <w:t>23.230</w:t>
            </w:r>
          </w:p>
        </w:tc>
        <w:tc>
          <w:tcPr>
            <w:tcW w:w="1255" w:type="dxa"/>
            <w:gridSpan w:val="2"/>
            <w:tcBorders>
              <w:top w:val="nil"/>
              <w:left w:val="nil"/>
              <w:bottom w:val="single" w:sz="4" w:space="0" w:color="auto"/>
              <w:right w:val="single" w:sz="4" w:space="0" w:color="auto"/>
            </w:tcBorders>
            <w:shd w:val="clear" w:color="auto" w:fill="auto"/>
            <w:vAlign w:val="center"/>
            <w:hideMark/>
          </w:tcPr>
          <w:p w14:paraId="519B513B" w14:textId="77777777" w:rsidR="00993172" w:rsidRPr="008E63BB" w:rsidRDefault="00993172" w:rsidP="0065184D">
            <w:pPr>
              <w:jc w:val="left"/>
              <w:rPr>
                <w:sz w:val="18"/>
                <w:szCs w:val="18"/>
              </w:rPr>
            </w:pPr>
            <w:r w:rsidRPr="008E63BB">
              <w:rPr>
                <w:sz w:val="18"/>
                <w:szCs w:val="18"/>
              </w:rPr>
              <w:t> </w:t>
            </w:r>
          </w:p>
        </w:tc>
      </w:tr>
      <w:tr w:rsidR="008D5BFE" w:rsidRPr="008E63BB" w14:paraId="519B5150" w14:textId="77777777" w:rsidTr="007F0FB6">
        <w:trPr>
          <w:trHeight w:val="1080"/>
        </w:trPr>
        <w:tc>
          <w:tcPr>
            <w:tcW w:w="457" w:type="dxa"/>
            <w:tcBorders>
              <w:top w:val="nil"/>
              <w:left w:val="single" w:sz="4" w:space="0" w:color="auto"/>
              <w:bottom w:val="single" w:sz="4" w:space="0" w:color="auto"/>
              <w:right w:val="single" w:sz="4" w:space="0" w:color="auto"/>
            </w:tcBorders>
            <w:shd w:val="clear" w:color="auto" w:fill="auto"/>
            <w:noWrap/>
            <w:vAlign w:val="center"/>
            <w:hideMark/>
          </w:tcPr>
          <w:p w14:paraId="519B513D"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1</w:t>
            </w:r>
          </w:p>
        </w:tc>
        <w:tc>
          <w:tcPr>
            <w:tcW w:w="1103" w:type="dxa"/>
            <w:tcBorders>
              <w:top w:val="nil"/>
              <w:left w:val="nil"/>
              <w:bottom w:val="single" w:sz="4" w:space="0" w:color="auto"/>
              <w:right w:val="single" w:sz="4" w:space="0" w:color="auto"/>
            </w:tcBorders>
            <w:shd w:val="clear" w:color="auto" w:fill="auto"/>
            <w:vAlign w:val="center"/>
            <w:hideMark/>
          </w:tcPr>
          <w:p w14:paraId="519B513E" w14:textId="77777777" w:rsidR="00993172" w:rsidRPr="008E63BB" w:rsidRDefault="00993172" w:rsidP="0065184D">
            <w:pPr>
              <w:rPr>
                <w:rFonts w:ascii="Times" w:hAnsi="Times" w:cs="Times"/>
                <w:sz w:val="18"/>
                <w:szCs w:val="18"/>
              </w:rPr>
            </w:pPr>
            <w:r w:rsidRPr="008E63BB">
              <w:rPr>
                <w:rFonts w:ascii="Times" w:hAnsi="Times" w:cs="Times"/>
                <w:sz w:val="18"/>
                <w:szCs w:val="18"/>
              </w:rPr>
              <w:t>KCN Hòa Xá</w:t>
            </w:r>
          </w:p>
        </w:tc>
        <w:tc>
          <w:tcPr>
            <w:tcW w:w="851" w:type="dxa"/>
            <w:tcBorders>
              <w:top w:val="nil"/>
              <w:left w:val="nil"/>
              <w:bottom w:val="single" w:sz="4" w:space="0" w:color="auto"/>
              <w:right w:val="single" w:sz="4" w:space="0" w:color="auto"/>
            </w:tcBorders>
            <w:shd w:val="clear" w:color="auto" w:fill="auto"/>
            <w:vAlign w:val="center"/>
            <w:hideMark/>
          </w:tcPr>
          <w:p w14:paraId="519B513F"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327</w:t>
            </w:r>
          </w:p>
        </w:tc>
        <w:tc>
          <w:tcPr>
            <w:tcW w:w="1137" w:type="dxa"/>
            <w:tcBorders>
              <w:top w:val="nil"/>
              <w:left w:val="nil"/>
              <w:bottom w:val="single" w:sz="4" w:space="0" w:color="auto"/>
              <w:right w:val="single" w:sz="4" w:space="0" w:color="auto"/>
            </w:tcBorders>
            <w:shd w:val="clear" w:color="auto" w:fill="auto"/>
            <w:noWrap/>
            <w:vAlign w:val="center"/>
            <w:hideMark/>
          </w:tcPr>
          <w:p w14:paraId="519B5140"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285,37</w:t>
            </w:r>
          </w:p>
        </w:tc>
        <w:tc>
          <w:tcPr>
            <w:tcW w:w="621" w:type="dxa"/>
            <w:tcBorders>
              <w:top w:val="nil"/>
              <w:left w:val="nil"/>
              <w:bottom w:val="single" w:sz="4" w:space="0" w:color="auto"/>
              <w:right w:val="single" w:sz="4" w:space="0" w:color="auto"/>
            </w:tcBorders>
            <w:shd w:val="clear" w:color="auto" w:fill="auto"/>
            <w:noWrap/>
            <w:vAlign w:val="center"/>
            <w:hideMark/>
          </w:tcPr>
          <w:p w14:paraId="519B5141"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100,0</w:t>
            </w:r>
          </w:p>
        </w:tc>
        <w:tc>
          <w:tcPr>
            <w:tcW w:w="1276" w:type="dxa"/>
            <w:tcBorders>
              <w:top w:val="nil"/>
              <w:left w:val="nil"/>
              <w:bottom w:val="single" w:sz="4" w:space="0" w:color="auto"/>
              <w:right w:val="single" w:sz="4" w:space="0" w:color="auto"/>
            </w:tcBorders>
            <w:shd w:val="clear" w:color="auto" w:fill="auto"/>
            <w:noWrap/>
            <w:vAlign w:val="center"/>
            <w:hideMark/>
          </w:tcPr>
          <w:p w14:paraId="519B5142"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6.554,0</w:t>
            </w:r>
          </w:p>
        </w:tc>
        <w:tc>
          <w:tcPr>
            <w:tcW w:w="818" w:type="dxa"/>
            <w:tcBorders>
              <w:top w:val="nil"/>
              <w:left w:val="nil"/>
              <w:bottom w:val="single" w:sz="4" w:space="0" w:color="auto"/>
              <w:right w:val="single" w:sz="4" w:space="0" w:color="auto"/>
            </w:tcBorders>
            <w:shd w:val="clear" w:color="auto" w:fill="auto"/>
            <w:noWrap/>
            <w:vAlign w:val="center"/>
            <w:hideMark/>
          </w:tcPr>
          <w:p w14:paraId="519B5143"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145,6</w:t>
            </w:r>
          </w:p>
        </w:tc>
        <w:tc>
          <w:tcPr>
            <w:tcW w:w="1109" w:type="dxa"/>
            <w:tcBorders>
              <w:top w:val="nil"/>
              <w:left w:val="nil"/>
              <w:bottom w:val="single" w:sz="4" w:space="0" w:color="auto"/>
              <w:right w:val="single" w:sz="4" w:space="0" w:color="auto"/>
            </w:tcBorders>
            <w:shd w:val="clear" w:color="auto" w:fill="auto"/>
            <w:noWrap/>
            <w:hideMark/>
          </w:tcPr>
          <w:p w14:paraId="519B5144" w14:textId="77777777" w:rsidR="00993172" w:rsidRPr="008E63BB" w:rsidRDefault="00993172" w:rsidP="0065184D">
            <w:pPr>
              <w:rPr>
                <w:rFonts w:ascii="Times" w:hAnsi="Times" w:cs="Times"/>
                <w:sz w:val="18"/>
                <w:szCs w:val="18"/>
              </w:rPr>
            </w:pPr>
            <w:r w:rsidRPr="008E63BB">
              <w:rPr>
                <w:rFonts w:ascii="Times" w:hAnsi="Times" w:cs="Times"/>
                <w:sz w:val="18"/>
                <w:szCs w:val="18"/>
              </w:rPr>
              <w:t>số 679/QĐ-UBND tỉnh ngày 29/3/2016; số 1131/QĐ-UBND tỉnh ngày 10/6/2008</w:t>
            </w:r>
          </w:p>
        </w:tc>
        <w:tc>
          <w:tcPr>
            <w:tcW w:w="887" w:type="dxa"/>
            <w:tcBorders>
              <w:top w:val="nil"/>
              <w:left w:val="nil"/>
              <w:bottom w:val="single" w:sz="4" w:space="0" w:color="auto"/>
              <w:right w:val="nil"/>
            </w:tcBorders>
            <w:shd w:val="clear" w:color="auto" w:fill="auto"/>
            <w:noWrap/>
            <w:vAlign w:val="center"/>
            <w:hideMark/>
          </w:tcPr>
          <w:p w14:paraId="519B5145"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2003</w:t>
            </w:r>
          </w:p>
        </w:tc>
        <w:tc>
          <w:tcPr>
            <w:tcW w:w="737" w:type="dxa"/>
            <w:tcBorders>
              <w:top w:val="nil"/>
              <w:left w:val="single" w:sz="4" w:space="0" w:color="auto"/>
              <w:bottom w:val="single" w:sz="4" w:space="0" w:color="auto"/>
              <w:right w:val="nil"/>
            </w:tcBorders>
            <w:shd w:val="clear" w:color="auto" w:fill="auto"/>
            <w:noWrap/>
            <w:vAlign w:val="center"/>
            <w:hideMark/>
          </w:tcPr>
          <w:p w14:paraId="519B5146"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127</w:t>
            </w:r>
          </w:p>
        </w:tc>
        <w:tc>
          <w:tcPr>
            <w:tcW w:w="711" w:type="dxa"/>
            <w:tcBorders>
              <w:top w:val="nil"/>
              <w:left w:val="single" w:sz="4" w:space="0" w:color="auto"/>
              <w:bottom w:val="single" w:sz="4" w:space="0" w:color="auto"/>
              <w:right w:val="nil"/>
            </w:tcBorders>
            <w:shd w:val="clear" w:color="auto" w:fill="auto"/>
            <w:noWrap/>
            <w:vAlign w:val="center"/>
            <w:hideMark/>
          </w:tcPr>
          <w:p w14:paraId="519B5147"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25.251</w:t>
            </w:r>
          </w:p>
        </w:tc>
        <w:tc>
          <w:tcPr>
            <w:tcW w:w="640" w:type="dxa"/>
            <w:tcBorders>
              <w:top w:val="nil"/>
              <w:left w:val="single" w:sz="4" w:space="0" w:color="auto"/>
              <w:bottom w:val="single" w:sz="4" w:space="0" w:color="auto"/>
              <w:right w:val="nil"/>
            </w:tcBorders>
            <w:shd w:val="clear" w:color="auto" w:fill="auto"/>
            <w:noWrap/>
            <w:vAlign w:val="center"/>
            <w:hideMark/>
          </w:tcPr>
          <w:p w14:paraId="519B5148"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160</w:t>
            </w:r>
          </w:p>
        </w:tc>
        <w:tc>
          <w:tcPr>
            <w:tcW w:w="756" w:type="dxa"/>
            <w:tcBorders>
              <w:top w:val="nil"/>
              <w:left w:val="single" w:sz="4" w:space="0" w:color="auto"/>
              <w:bottom w:val="single" w:sz="4" w:space="0" w:color="auto"/>
              <w:right w:val="nil"/>
            </w:tcBorders>
            <w:shd w:val="clear" w:color="auto" w:fill="auto"/>
            <w:noWrap/>
            <w:vAlign w:val="center"/>
            <w:hideMark/>
          </w:tcPr>
          <w:p w14:paraId="519B5149"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4.581</w:t>
            </w:r>
          </w:p>
        </w:tc>
        <w:tc>
          <w:tcPr>
            <w:tcW w:w="646" w:type="dxa"/>
            <w:tcBorders>
              <w:top w:val="nil"/>
              <w:left w:val="single" w:sz="4" w:space="0" w:color="auto"/>
              <w:bottom w:val="single" w:sz="4" w:space="0" w:color="auto"/>
              <w:right w:val="nil"/>
            </w:tcBorders>
            <w:shd w:val="clear" w:color="auto" w:fill="auto"/>
            <w:noWrap/>
            <w:vAlign w:val="center"/>
            <w:hideMark/>
          </w:tcPr>
          <w:p w14:paraId="519B514A"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210,8</w:t>
            </w:r>
          </w:p>
        </w:tc>
        <w:tc>
          <w:tcPr>
            <w:tcW w:w="646" w:type="dxa"/>
            <w:tcBorders>
              <w:top w:val="nil"/>
              <w:left w:val="single" w:sz="4" w:space="0" w:color="auto"/>
              <w:bottom w:val="single" w:sz="4" w:space="0" w:color="auto"/>
              <w:right w:val="nil"/>
            </w:tcBorders>
            <w:shd w:val="clear" w:color="auto" w:fill="auto"/>
            <w:noWrap/>
            <w:vAlign w:val="center"/>
            <w:hideMark/>
          </w:tcPr>
          <w:p w14:paraId="519B514B"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117,6</w:t>
            </w:r>
          </w:p>
        </w:tc>
        <w:tc>
          <w:tcPr>
            <w:tcW w:w="657" w:type="dxa"/>
            <w:tcBorders>
              <w:top w:val="nil"/>
              <w:left w:val="single" w:sz="4" w:space="0" w:color="auto"/>
              <w:bottom w:val="single" w:sz="4" w:space="0" w:color="auto"/>
              <w:right w:val="nil"/>
            </w:tcBorders>
            <w:shd w:val="clear" w:color="auto" w:fill="auto"/>
            <w:noWrap/>
            <w:vAlign w:val="center"/>
            <w:hideMark/>
          </w:tcPr>
          <w:p w14:paraId="519B514C"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128,2</w:t>
            </w:r>
          </w:p>
        </w:tc>
        <w:tc>
          <w:tcPr>
            <w:tcW w:w="717" w:type="dxa"/>
            <w:tcBorders>
              <w:top w:val="nil"/>
              <w:left w:val="single" w:sz="4" w:space="0" w:color="auto"/>
              <w:bottom w:val="single" w:sz="4" w:space="0" w:color="auto"/>
              <w:right w:val="nil"/>
            </w:tcBorders>
            <w:shd w:val="clear" w:color="auto" w:fill="auto"/>
            <w:noWrap/>
            <w:vAlign w:val="center"/>
            <w:hideMark/>
          </w:tcPr>
          <w:p w14:paraId="519B514D"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5,58</w:t>
            </w:r>
          </w:p>
        </w:tc>
        <w:tc>
          <w:tcPr>
            <w:tcW w:w="711" w:type="dxa"/>
            <w:tcBorders>
              <w:top w:val="nil"/>
              <w:left w:val="single" w:sz="4" w:space="0" w:color="auto"/>
              <w:bottom w:val="single" w:sz="4" w:space="0" w:color="auto"/>
              <w:right w:val="nil"/>
            </w:tcBorders>
            <w:shd w:val="clear" w:color="auto" w:fill="auto"/>
            <w:noWrap/>
            <w:vAlign w:val="center"/>
            <w:hideMark/>
          </w:tcPr>
          <w:p w14:paraId="519B514E"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23.230</w:t>
            </w:r>
          </w:p>
        </w:tc>
        <w:tc>
          <w:tcPr>
            <w:tcW w:w="1255" w:type="dxa"/>
            <w:gridSpan w:val="2"/>
            <w:tcBorders>
              <w:top w:val="nil"/>
              <w:left w:val="single" w:sz="4" w:space="0" w:color="auto"/>
              <w:bottom w:val="single" w:sz="4" w:space="0" w:color="auto"/>
              <w:right w:val="single" w:sz="4" w:space="0" w:color="auto"/>
            </w:tcBorders>
            <w:shd w:val="clear" w:color="auto" w:fill="auto"/>
            <w:vAlign w:val="center"/>
            <w:hideMark/>
          </w:tcPr>
          <w:p w14:paraId="519B514F" w14:textId="77777777" w:rsidR="00993172" w:rsidRPr="008E63BB" w:rsidRDefault="00993172" w:rsidP="0065184D">
            <w:pPr>
              <w:jc w:val="left"/>
              <w:rPr>
                <w:sz w:val="18"/>
                <w:szCs w:val="18"/>
              </w:rPr>
            </w:pPr>
            <w:r w:rsidRPr="008E63BB">
              <w:rPr>
                <w:sz w:val="18"/>
                <w:szCs w:val="18"/>
              </w:rPr>
              <w:t>148 dự án, gồm 121 dự án trong nước và 27 dự án FDI</w:t>
            </w:r>
          </w:p>
        </w:tc>
      </w:tr>
      <w:tr w:rsidR="008D5BFE" w:rsidRPr="008E63BB" w14:paraId="519B5164" w14:textId="77777777" w:rsidTr="007F0FB6">
        <w:trPr>
          <w:trHeight w:val="960"/>
        </w:trPr>
        <w:tc>
          <w:tcPr>
            <w:tcW w:w="457" w:type="dxa"/>
            <w:tcBorders>
              <w:top w:val="nil"/>
              <w:left w:val="single" w:sz="4" w:space="0" w:color="auto"/>
              <w:bottom w:val="single" w:sz="4" w:space="0" w:color="auto"/>
              <w:right w:val="single" w:sz="4" w:space="0" w:color="auto"/>
            </w:tcBorders>
            <w:shd w:val="clear" w:color="auto" w:fill="auto"/>
            <w:vAlign w:val="center"/>
            <w:hideMark/>
          </w:tcPr>
          <w:p w14:paraId="519B5151"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2</w:t>
            </w:r>
          </w:p>
        </w:tc>
        <w:tc>
          <w:tcPr>
            <w:tcW w:w="1103" w:type="dxa"/>
            <w:tcBorders>
              <w:top w:val="nil"/>
              <w:left w:val="nil"/>
              <w:bottom w:val="single" w:sz="4" w:space="0" w:color="auto"/>
              <w:right w:val="single" w:sz="4" w:space="0" w:color="auto"/>
            </w:tcBorders>
            <w:shd w:val="clear" w:color="auto" w:fill="auto"/>
            <w:vAlign w:val="center"/>
            <w:hideMark/>
          </w:tcPr>
          <w:p w14:paraId="519B5152" w14:textId="77777777" w:rsidR="00993172" w:rsidRPr="008E63BB" w:rsidRDefault="00993172" w:rsidP="0065184D">
            <w:pPr>
              <w:rPr>
                <w:rFonts w:ascii="Times" w:hAnsi="Times" w:cs="Times"/>
                <w:sz w:val="18"/>
                <w:szCs w:val="18"/>
              </w:rPr>
            </w:pPr>
            <w:r w:rsidRPr="008E63BB">
              <w:rPr>
                <w:rFonts w:ascii="Times" w:hAnsi="Times" w:cs="Times"/>
                <w:sz w:val="18"/>
                <w:szCs w:val="18"/>
              </w:rPr>
              <w:t>KCN Mỹ Trung</w:t>
            </w:r>
          </w:p>
        </w:tc>
        <w:tc>
          <w:tcPr>
            <w:tcW w:w="851" w:type="dxa"/>
            <w:tcBorders>
              <w:top w:val="nil"/>
              <w:left w:val="nil"/>
              <w:bottom w:val="single" w:sz="4" w:space="0" w:color="auto"/>
              <w:right w:val="single" w:sz="4" w:space="0" w:color="auto"/>
            </w:tcBorders>
            <w:shd w:val="clear" w:color="auto" w:fill="auto"/>
            <w:vAlign w:val="center"/>
            <w:hideMark/>
          </w:tcPr>
          <w:p w14:paraId="519B5153"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150</w:t>
            </w:r>
          </w:p>
        </w:tc>
        <w:tc>
          <w:tcPr>
            <w:tcW w:w="1137" w:type="dxa"/>
            <w:tcBorders>
              <w:top w:val="nil"/>
              <w:left w:val="nil"/>
              <w:bottom w:val="single" w:sz="4" w:space="0" w:color="auto"/>
              <w:right w:val="single" w:sz="4" w:space="0" w:color="auto"/>
            </w:tcBorders>
            <w:shd w:val="clear" w:color="auto" w:fill="auto"/>
            <w:noWrap/>
            <w:vAlign w:val="center"/>
            <w:hideMark/>
          </w:tcPr>
          <w:p w14:paraId="519B5154"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150,68</w:t>
            </w:r>
          </w:p>
        </w:tc>
        <w:tc>
          <w:tcPr>
            <w:tcW w:w="621" w:type="dxa"/>
            <w:tcBorders>
              <w:top w:val="nil"/>
              <w:left w:val="nil"/>
              <w:bottom w:val="single" w:sz="4" w:space="0" w:color="auto"/>
              <w:right w:val="single" w:sz="4" w:space="0" w:color="auto"/>
            </w:tcBorders>
            <w:shd w:val="clear" w:color="auto" w:fill="auto"/>
            <w:noWrap/>
            <w:vAlign w:val="center"/>
            <w:hideMark/>
          </w:tcPr>
          <w:p w14:paraId="519B5155"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276" w:type="dxa"/>
            <w:tcBorders>
              <w:top w:val="nil"/>
              <w:left w:val="nil"/>
              <w:bottom w:val="single" w:sz="4" w:space="0" w:color="auto"/>
              <w:right w:val="single" w:sz="4" w:space="0" w:color="auto"/>
            </w:tcBorders>
            <w:shd w:val="clear" w:color="auto" w:fill="auto"/>
            <w:noWrap/>
            <w:vAlign w:val="center"/>
            <w:hideMark/>
          </w:tcPr>
          <w:p w14:paraId="519B5156"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358,6</w:t>
            </w:r>
          </w:p>
        </w:tc>
        <w:tc>
          <w:tcPr>
            <w:tcW w:w="818" w:type="dxa"/>
            <w:tcBorders>
              <w:top w:val="nil"/>
              <w:left w:val="nil"/>
              <w:bottom w:val="single" w:sz="4" w:space="0" w:color="auto"/>
              <w:right w:val="single" w:sz="4" w:space="0" w:color="auto"/>
            </w:tcBorders>
            <w:shd w:val="clear" w:color="auto" w:fill="auto"/>
            <w:noWrap/>
            <w:vAlign w:val="center"/>
            <w:hideMark/>
          </w:tcPr>
          <w:p w14:paraId="519B5157"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109" w:type="dxa"/>
            <w:tcBorders>
              <w:top w:val="nil"/>
              <w:left w:val="nil"/>
              <w:bottom w:val="single" w:sz="4" w:space="0" w:color="auto"/>
              <w:right w:val="single" w:sz="4" w:space="0" w:color="auto"/>
            </w:tcBorders>
            <w:shd w:val="clear" w:color="auto" w:fill="auto"/>
            <w:noWrap/>
            <w:vAlign w:val="center"/>
            <w:hideMark/>
          </w:tcPr>
          <w:p w14:paraId="519B5158" w14:textId="77777777" w:rsidR="00993172" w:rsidRPr="008E63BB" w:rsidRDefault="00993172" w:rsidP="0065184D">
            <w:pPr>
              <w:rPr>
                <w:rFonts w:ascii="Times" w:hAnsi="Times" w:cs="Times"/>
                <w:sz w:val="18"/>
                <w:szCs w:val="18"/>
              </w:rPr>
            </w:pPr>
            <w:r w:rsidRPr="008E63BB">
              <w:rPr>
                <w:rFonts w:ascii="Times" w:hAnsi="Times" w:cs="Times"/>
                <w:sz w:val="18"/>
                <w:szCs w:val="18"/>
              </w:rPr>
              <w:t>Số 3040/QĐ-UBND tỉnh ngày 31/12/2010</w:t>
            </w:r>
          </w:p>
        </w:tc>
        <w:tc>
          <w:tcPr>
            <w:tcW w:w="887" w:type="dxa"/>
            <w:tcBorders>
              <w:top w:val="nil"/>
              <w:left w:val="nil"/>
              <w:bottom w:val="single" w:sz="4" w:space="0" w:color="auto"/>
              <w:right w:val="nil"/>
            </w:tcBorders>
            <w:shd w:val="clear" w:color="auto" w:fill="auto"/>
            <w:noWrap/>
            <w:vAlign w:val="center"/>
            <w:hideMark/>
          </w:tcPr>
          <w:p w14:paraId="519B5159"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2006</w:t>
            </w:r>
          </w:p>
        </w:tc>
        <w:tc>
          <w:tcPr>
            <w:tcW w:w="737" w:type="dxa"/>
            <w:tcBorders>
              <w:top w:val="nil"/>
              <w:left w:val="single" w:sz="4" w:space="0" w:color="auto"/>
              <w:bottom w:val="single" w:sz="4" w:space="0" w:color="auto"/>
              <w:right w:val="nil"/>
            </w:tcBorders>
            <w:shd w:val="clear" w:color="auto" w:fill="auto"/>
            <w:noWrap/>
            <w:vAlign w:val="center"/>
            <w:hideMark/>
          </w:tcPr>
          <w:p w14:paraId="519B515A"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1" w:type="dxa"/>
            <w:tcBorders>
              <w:top w:val="nil"/>
              <w:left w:val="single" w:sz="4" w:space="0" w:color="auto"/>
              <w:bottom w:val="single" w:sz="4" w:space="0" w:color="auto"/>
              <w:right w:val="nil"/>
            </w:tcBorders>
            <w:shd w:val="clear" w:color="auto" w:fill="auto"/>
            <w:noWrap/>
            <w:vAlign w:val="center"/>
            <w:hideMark/>
          </w:tcPr>
          <w:p w14:paraId="519B515B"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5.000</w:t>
            </w:r>
          </w:p>
        </w:tc>
        <w:tc>
          <w:tcPr>
            <w:tcW w:w="640" w:type="dxa"/>
            <w:tcBorders>
              <w:top w:val="nil"/>
              <w:left w:val="single" w:sz="4" w:space="0" w:color="auto"/>
              <w:bottom w:val="single" w:sz="4" w:space="0" w:color="auto"/>
              <w:right w:val="nil"/>
            </w:tcBorders>
            <w:shd w:val="clear" w:color="auto" w:fill="auto"/>
            <w:noWrap/>
            <w:vAlign w:val="center"/>
            <w:hideMark/>
          </w:tcPr>
          <w:p w14:paraId="519B515C"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56" w:type="dxa"/>
            <w:tcBorders>
              <w:top w:val="nil"/>
              <w:left w:val="single" w:sz="4" w:space="0" w:color="auto"/>
              <w:bottom w:val="single" w:sz="4" w:space="0" w:color="auto"/>
              <w:right w:val="nil"/>
            </w:tcBorders>
            <w:shd w:val="clear" w:color="auto" w:fill="auto"/>
            <w:noWrap/>
            <w:vAlign w:val="center"/>
            <w:hideMark/>
          </w:tcPr>
          <w:p w14:paraId="519B515D"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6" w:type="dxa"/>
            <w:tcBorders>
              <w:top w:val="nil"/>
              <w:left w:val="single" w:sz="4" w:space="0" w:color="auto"/>
              <w:bottom w:val="single" w:sz="4" w:space="0" w:color="auto"/>
              <w:right w:val="nil"/>
            </w:tcBorders>
            <w:shd w:val="clear" w:color="auto" w:fill="auto"/>
            <w:noWrap/>
            <w:vAlign w:val="center"/>
            <w:hideMark/>
          </w:tcPr>
          <w:p w14:paraId="519B515E"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6" w:type="dxa"/>
            <w:tcBorders>
              <w:top w:val="nil"/>
              <w:left w:val="single" w:sz="4" w:space="0" w:color="auto"/>
              <w:bottom w:val="single" w:sz="4" w:space="0" w:color="auto"/>
              <w:right w:val="nil"/>
            </w:tcBorders>
            <w:shd w:val="clear" w:color="auto" w:fill="auto"/>
            <w:noWrap/>
            <w:vAlign w:val="center"/>
            <w:hideMark/>
          </w:tcPr>
          <w:p w14:paraId="519B515F"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57" w:type="dxa"/>
            <w:tcBorders>
              <w:top w:val="nil"/>
              <w:left w:val="single" w:sz="4" w:space="0" w:color="auto"/>
              <w:bottom w:val="single" w:sz="4" w:space="0" w:color="auto"/>
              <w:right w:val="nil"/>
            </w:tcBorders>
            <w:shd w:val="clear" w:color="auto" w:fill="auto"/>
            <w:noWrap/>
            <w:vAlign w:val="center"/>
            <w:hideMark/>
          </w:tcPr>
          <w:p w14:paraId="519B5160"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7" w:type="dxa"/>
            <w:tcBorders>
              <w:top w:val="nil"/>
              <w:left w:val="single" w:sz="4" w:space="0" w:color="auto"/>
              <w:bottom w:val="single" w:sz="4" w:space="0" w:color="auto"/>
              <w:right w:val="nil"/>
            </w:tcBorders>
            <w:shd w:val="clear" w:color="auto" w:fill="auto"/>
            <w:noWrap/>
            <w:vAlign w:val="center"/>
            <w:hideMark/>
          </w:tcPr>
          <w:p w14:paraId="519B5161"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1" w:type="dxa"/>
            <w:tcBorders>
              <w:top w:val="nil"/>
              <w:left w:val="single" w:sz="4" w:space="0" w:color="auto"/>
              <w:bottom w:val="single" w:sz="4" w:space="0" w:color="auto"/>
              <w:right w:val="nil"/>
            </w:tcBorders>
            <w:shd w:val="clear" w:color="auto" w:fill="auto"/>
            <w:noWrap/>
            <w:vAlign w:val="center"/>
            <w:hideMark/>
          </w:tcPr>
          <w:p w14:paraId="519B5162"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255" w:type="dxa"/>
            <w:gridSpan w:val="2"/>
            <w:tcBorders>
              <w:top w:val="nil"/>
              <w:left w:val="single" w:sz="4" w:space="0" w:color="auto"/>
              <w:bottom w:val="single" w:sz="4" w:space="0" w:color="auto"/>
              <w:right w:val="single" w:sz="4" w:space="0" w:color="auto"/>
            </w:tcBorders>
            <w:shd w:val="clear" w:color="auto" w:fill="auto"/>
            <w:vAlign w:val="center"/>
            <w:hideMark/>
          </w:tcPr>
          <w:p w14:paraId="519B5163" w14:textId="77777777" w:rsidR="00993172" w:rsidRPr="008E63BB" w:rsidRDefault="00993172" w:rsidP="0065184D">
            <w:pPr>
              <w:jc w:val="left"/>
              <w:rPr>
                <w:sz w:val="18"/>
                <w:szCs w:val="18"/>
              </w:rPr>
            </w:pPr>
            <w:r w:rsidRPr="008E63BB">
              <w:rPr>
                <w:sz w:val="18"/>
                <w:szCs w:val="18"/>
              </w:rPr>
              <w:t xml:space="preserve">Đã có 14 nhà đầu tư thứ cấp với diện tích khoảng 30 ha; Đã thu hồi </w:t>
            </w:r>
            <w:r w:rsidRPr="008E63BB">
              <w:rPr>
                <w:sz w:val="18"/>
                <w:szCs w:val="18"/>
              </w:rPr>
              <w:lastRenderedPageBreak/>
              <w:t>Giấy chứng nhận đầu tư của Công ty CP công nghiệp tàu thuỷ Hoàng Anh để chuyển giao cho Công ty Good Luck Investment Holding PTE , LTD làm chủ đầu tư</w:t>
            </w:r>
          </w:p>
        </w:tc>
      </w:tr>
      <w:tr w:rsidR="008D5BFE" w:rsidRPr="008E63BB" w14:paraId="519B5178" w14:textId="77777777" w:rsidTr="007F0FB6">
        <w:trPr>
          <w:trHeight w:val="960"/>
        </w:trPr>
        <w:tc>
          <w:tcPr>
            <w:tcW w:w="457" w:type="dxa"/>
            <w:tcBorders>
              <w:top w:val="nil"/>
              <w:left w:val="single" w:sz="4" w:space="0" w:color="auto"/>
              <w:bottom w:val="single" w:sz="4" w:space="0" w:color="auto"/>
              <w:right w:val="single" w:sz="4" w:space="0" w:color="auto"/>
            </w:tcBorders>
            <w:shd w:val="clear" w:color="auto" w:fill="auto"/>
            <w:vAlign w:val="center"/>
          </w:tcPr>
          <w:p w14:paraId="519B5165" w14:textId="77777777" w:rsidR="008D1B8F" w:rsidRPr="008E63BB" w:rsidRDefault="008D1B8F" w:rsidP="0065184D">
            <w:pPr>
              <w:jc w:val="center"/>
              <w:rPr>
                <w:rFonts w:ascii="Times" w:hAnsi="Times" w:cs="Times"/>
                <w:sz w:val="18"/>
                <w:szCs w:val="18"/>
              </w:rPr>
            </w:pPr>
            <w:r w:rsidRPr="008E63BB">
              <w:rPr>
                <w:rFonts w:ascii="Times" w:hAnsi="Times" w:cs="Times"/>
                <w:sz w:val="18"/>
                <w:szCs w:val="18"/>
              </w:rPr>
              <w:lastRenderedPageBreak/>
              <w:t>3</w:t>
            </w:r>
          </w:p>
        </w:tc>
        <w:tc>
          <w:tcPr>
            <w:tcW w:w="1103" w:type="dxa"/>
            <w:tcBorders>
              <w:top w:val="nil"/>
              <w:left w:val="nil"/>
              <w:bottom w:val="single" w:sz="4" w:space="0" w:color="auto"/>
              <w:right w:val="single" w:sz="4" w:space="0" w:color="auto"/>
            </w:tcBorders>
            <w:shd w:val="clear" w:color="auto" w:fill="auto"/>
            <w:vAlign w:val="center"/>
          </w:tcPr>
          <w:p w14:paraId="519B5166" w14:textId="77777777" w:rsidR="008D1B8F" w:rsidRPr="008E63BB" w:rsidRDefault="008D1B8F" w:rsidP="0065184D">
            <w:pPr>
              <w:rPr>
                <w:rFonts w:ascii="Times" w:hAnsi="Times" w:cs="Times"/>
                <w:sz w:val="18"/>
                <w:szCs w:val="18"/>
              </w:rPr>
            </w:pPr>
            <w:r w:rsidRPr="008E63BB">
              <w:rPr>
                <w:rFonts w:ascii="Times" w:hAnsi="Times" w:cs="Times"/>
                <w:sz w:val="18"/>
                <w:szCs w:val="18"/>
              </w:rPr>
              <w:t>KCN Mỹ Thuận</w:t>
            </w:r>
          </w:p>
        </w:tc>
        <w:tc>
          <w:tcPr>
            <w:tcW w:w="851" w:type="dxa"/>
            <w:tcBorders>
              <w:top w:val="nil"/>
              <w:left w:val="nil"/>
              <w:bottom w:val="single" w:sz="4" w:space="0" w:color="auto"/>
              <w:right w:val="single" w:sz="4" w:space="0" w:color="auto"/>
            </w:tcBorders>
            <w:shd w:val="clear" w:color="auto" w:fill="auto"/>
            <w:vAlign w:val="center"/>
          </w:tcPr>
          <w:p w14:paraId="519B5167" w14:textId="77777777" w:rsidR="008D1B8F" w:rsidRPr="008E63BB" w:rsidRDefault="008D1B8F" w:rsidP="0065184D">
            <w:pPr>
              <w:jc w:val="right"/>
              <w:rPr>
                <w:rFonts w:ascii="Times" w:hAnsi="Times" w:cs="Times"/>
                <w:sz w:val="18"/>
                <w:szCs w:val="18"/>
              </w:rPr>
            </w:pPr>
            <w:r w:rsidRPr="008E63BB">
              <w:rPr>
                <w:rFonts w:ascii="Times" w:hAnsi="Times" w:cs="Times"/>
                <w:sz w:val="18"/>
                <w:szCs w:val="18"/>
              </w:rPr>
              <w:t>158,47</w:t>
            </w:r>
          </w:p>
        </w:tc>
        <w:tc>
          <w:tcPr>
            <w:tcW w:w="1137" w:type="dxa"/>
            <w:tcBorders>
              <w:top w:val="nil"/>
              <w:left w:val="nil"/>
              <w:bottom w:val="single" w:sz="4" w:space="0" w:color="auto"/>
              <w:right w:val="single" w:sz="4" w:space="0" w:color="auto"/>
            </w:tcBorders>
            <w:shd w:val="clear" w:color="auto" w:fill="auto"/>
            <w:noWrap/>
            <w:vAlign w:val="center"/>
          </w:tcPr>
          <w:p w14:paraId="519B5168" w14:textId="77777777" w:rsidR="008D1B8F" w:rsidRPr="008E63BB" w:rsidRDefault="008D1B8F" w:rsidP="0065184D">
            <w:pPr>
              <w:jc w:val="right"/>
              <w:rPr>
                <w:rFonts w:ascii="Times" w:hAnsi="Times" w:cs="Times"/>
                <w:sz w:val="18"/>
                <w:szCs w:val="18"/>
              </w:rPr>
            </w:pPr>
            <w:r w:rsidRPr="008E63BB">
              <w:rPr>
                <w:rFonts w:ascii="Times" w:hAnsi="Times" w:cs="Times"/>
                <w:sz w:val="18"/>
                <w:szCs w:val="18"/>
              </w:rPr>
              <w:t>158,47</w:t>
            </w:r>
          </w:p>
        </w:tc>
        <w:tc>
          <w:tcPr>
            <w:tcW w:w="621" w:type="dxa"/>
            <w:tcBorders>
              <w:top w:val="nil"/>
              <w:left w:val="nil"/>
              <w:bottom w:val="single" w:sz="4" w:space="0" w:color="auto"/>
              <w:right w:val="single" w:sz="4" w:space="0" w:color="auto"/>
            </w:tcBorders>
            <w:shd w:val="clear" w:color="auto" w:fill="auto"/>
            <w:noWrap/>
            <w:vAlign w:val="center"/>
          </w:tcPr>
          <w:p w14:paraId="519B5169" w14:textId="77777777" w:rsidR="008D1B8F" w:rsidRPr="008E63BB" w:rsidRDefault="008D1B8F" w:rsidP="0065184D">
            <w:pPr>
              <w:jc w:val="right"/>
              <w:rPr>
                <w:rFonts w:ascii="Times" w:hAnsi="Times" w:cs="Times"/>
                <w:sz w:val="18"/>
                <w:szCs w:val="18"/>
              </w:rPr>
            </w:pPr>
          </w:p>
        </w:tc>
        <w:tc>
          <w:tcPr>
            <w:tcW w:w="1276" w:type="dxa"/>
            <w:tcBorders>
              <w:top w:val="nil"/>
              <w:left w:val="nil"/>
              <w:bottom w:val="single" w:sz="4" w:space="0" w:color="auto"/>
              <w:right w:val="single" w:sz="4" w:space="0" w:color="auto"/>
            </w:tcBorders>
            <w:shd w:val="clear" w:color="auto" w:fill="auto"/>
            <w:noWrap/>
            <w:vAlign w:val="center"/>
          </w:tcPr>
          <w:p w14:paraId="519B516A" w14:textId="77777777" w:rsidR="008D1B8F" w:rsidRPr="008E63BB" w:rsidRDefault="008D1B8F" w:rsidP="0065184D">
            <w:pPr>
              <w:jc w:val="right"/>
              <w:rPr>
                <w:rFonts w:ascii="Times" w:hAnsi="Times" w:cs="Times"/>
                <w:sz w:val="18"/>
                <w:szCs w:val="18"/>
              </w:rPr>
            </w:pPr>
          </w:p>
        </w:tc>
        <w:tc>
          <w:tcPr>
            <w:tcW w:w="818" w:type="dxa"/>
            <w:tcBorders>
              <w:top w:val="nil"/>
              <w:left w:val="nil"/>
              <w:bottom w:val="single" w:sz="4" w:space="0" w:color="auto"/>
              <w:right w:val="single" w:sz="4" w:space="0" w:color="auto"/>
            </w:tcBorders>
            <w:shd w:val="clear" w:color="auto" w:fill="auto"/>
            <w:noWrap/>
            <w:vAlign w:val="center"/>
          </w:tcPr>
          <w:p w14:paraId="519B516B" w14:textId="77777777" w:rsidR="008D1B8F" w:rsidRPr="008E63BB" w:rsidRDefault="008D1B8F" w:rsidP="0065184D">
            <w:pPr>
              <w:jc w:val="right"/>
              <w:rPr>
                <w:rFonts w:ascii="Times" w:hAnsi="Times" w:cs="Times"/>
                <w:sz w:val="18"/>
                <w:szCs w:val="18"/>
              </w:rPr>
            </w:pPr>
          </w:p>
        </w:tc>
        <w:tc>
          <w:tcPr>
            <w:tcW w:w="1109" w:type="dxa"/>
            <w:tcBorders>
              <w:top w:val="nil"/>
              <w:left w:val="nil"/>
              <w:bottom w:val="single" w:sz="4" w:space="0" w:color="auto"/>
              <w:right w:val="single" w:sz="4" w:space="0" w:color="auto"/>
            </w:tcBorders>
            <w:shd w:val="clear" w:color="auto" w:fill="auto"/>
            <w:noWrap/>
            <w:vAlign w:val="center"/>
          </w:tcPr>
          <w:p w14:paraId="519B516C" w14:textId="77777777" w:rsidR="008D1B8F" w:rsidRPr="008E63BB" w:rsidRDefault="008D1B8F" w:rsidP="0065184D">
            <w:pPr>
              <w:rPr>
                <w:rFonts w:ascii="Times" w:hAnsi="Times" w:cs="Times"/>
                <w:sz w:val="18"/>
                <w:szCs w:val="18"/>
              </w:rPr>
            </w:pPr>
          </w:p>
        </w:tc>
        <w:tc>
          <w:tcPr>
            <w:tcW w:w="887" w:type="dxa"/>
            <w:tcBorders>
              <w:top w:val="nil"/>
              <w:left w:val="nil"/>
              <w:bottom w:val="single" w:sz="4" w:space="0" w:color="auto"/>
              <w:right w:val="nil"/>
            </w:tcBorders>
            <w:shd w:val="clear" w:color="auto" w:fill="auto"/>
            <w:noWrap/>
            <w:vAlign w:val="center"/>
          </w:tcPr>
          <w:p w14:paraId="519B516D" w14:textId="77777777" w:rsidR="008D1B8F" w:rsidRPr="008E63BB" w:rsidRDefault="008D1B8F" w:rsidP="0065184D">
            <w:pPr>
              <w:jc w:val="center"/>
              <w:rPr>
                <w:rFonts w:ascii="Times" w:hAnsi="Times" w:cs="Times"/>
                <w:sz w:val="18"/>
                <w:szCs w:val="18"/>
              </w:rPr>
            </w:pPr>
          </w:p>
        </w:tc>
        <w:tc>
          <w:tcPr>
            <w:tcW w:w="737" w:type="dxa"/>
            <w:tcBorders>
              <w:top w:val="nil"/>
              <w:left w:val="single" w:sz="4" w:space="0" w:color="auto"/>
              <w:bottom w:val="single" w:sz="4" w:space="0" w:color="auto"/>
              <w:right w:val="nil"/>
            </w:tcBorders>
            <w:shd w:val="clear" w:color="auto" w:fill="auto"/>
            <w:noWrap/>
            <w:vAlign w:val="center"/>
          </w:tcPr>
          <w:p w14:paraId="519B516E" w14:textId="77777777" w:rsidR="008D1B8F" w:rsidRPr="008E63BB" w:rsidRDefault="008D1B8F" w:rsidP="0065184D">
            <w:pPr>
              <w:jc w:val="right"/>
              <w:rPr>
                <w:rFonts w:ascii="Times" w:hAnsi="Times" w:cs="Times"/>
                <w:sz w:val="18"/>
                <w:szCs w:val="18"/>
              </w:rPr>
            </w:pPr>
          </w:p>
        </w:tc>
        <w:tc>
          <w:tcPr>
            <w:tcW w:w="711" w:type="dxa"/>
            <w:tcBorders>
              <w:top w:val="nil"/>
              <w:left w:val="single" w:sz="4" w:space="0" w:color="auto"/>
              <w:bottom w:val="single" w:sz="4" w:space="0" w:color="auto"/>
              <w:right w:val="nil"/>
            </w:tcBorders>
            <w:shd w:val="clear" w:color="auto" w:fill="auto"/>
            <w:noWrap/>
            <w:vAlign w:val="center"/>
          </w:tcPr>
          <w:p w14:paraId="519B516F" w14:textId="77777777" w:rsidR="008D1B8F" w:rsidRPr="008E63BB" w:rsidRDefault="008D1B8F" w:rsidP="0065184D">
            <w:pPr>
              <w:jc w:val="right"/>
              <w:rPr>
                <w:rFonts w:ascii="Times" w:hAnsi="Times" w:cs="Times"/>
                <w:sz w:val="18"/>
                <w:szCs w:val="18"/>
              </w:rPr>
            </w:pPr>
          </w:p>
        </w:tc>
        <w:tc>
          <w:tcPr>
            <w:tcW w:w="640" w:type="dxa"/>
            <w:tcBorders>
              <w:top w:val="nil"/>
              <w:left w:val="single" w:sz="4" w:space="0" w:color="auto"/>
              <w:bottom w:val="single" w:sz="4" w:space="0" w:color="auto"/>
              <w:right w:val="nil"/>
            </w:tcBorders>
            <w:shd w:val="clear" w:color="auto" w:fill="auto"/>
            <w:noWrap/>
            <w:vAlign w:val="center"/>
          </w:tcPr>
          <w:p w14:paraId="519B5170" w14:textId="77777777" w:rsidR="008D1B8F" w:rsidRPr="008E63BB" w:rsidRDefault="008D1B8F" w:rsidP="0065184D">
            <w:pPr>
              <w:jc w:val="right"/>
              <w:rPr>
                <w:rFonts w:ascii="Times" w:hAnsi="Times" w:cs="Times"/>
                <w:sz w:val="18"/>
                <w:szCs w:val="18"/>
              </w:rPr>
            </w:pPr>
          </w:p>
        </w:tc>
        <w:tc>
          <w:tcPr>
            <w:tcW w:w="756" w:type="dxa"/>
            <w:tcBorders>
              <w:top w:val="nil"/>
              <w:left w:val="single" w:sz="4" w:space="0" w:color="auto"/>
              <w:bottom w:val="single" w:sz="4" w:space="0" w:color="auto"/>
              <w:right w:val="nil"/>
            </w:tcBorders>
            <w:shd w:val="clear" w:color="auto" w:fill="auto"/>
            <w:noWrap/>
            <w:vAlign w:val="center"/>
          </w:tcPr>
          <w:p w14:paraId="519B5171" w14:textId="77777777" w:rsidR="008D1B8F" w:rsidRPr="008E63BB" w:rsidRDefault="008D1B8F" w:rsidP="0065184D">
            <w:pPr>
              <w:jc w:val="right"/>
              <w:rPr>
                <w:rFonts w:ascii="Times" w:hAnsi="Times" w:cs="Times"/>
                <w:sz w:val="18"/>
                <w:szCs w:val="18"/>
              </w:rPr>
            </w:pPr>
          </w:p>
        </w:tc>
        <w:tc>
          <w:tcPr>
            <w:tcW w:w="646" w:type="dxa"/>
            <w:tcBorders>
              <w:top w:val="nil"/>
              <w:left w:val="single" w:sz="4" w:space="0" w:color="auto"/>
              <w:bottom w:val="single" w:sz="4" w:space="0" w:color="auto"/>
              <w:right w:val="nil"/>
            </w:tcBorders>
            <w:shd w:val="clear" w:color="auto" w:fill="auto"/>
            <w:noWrap/>
            <w:vAlign w:val="center"/>
          </w:tcPr>
          <w:p w14:paraId="519B5172" w14:textId="77777777" w:rsidR="008D1B8F" w:rsidRPr="008E63BB" w:rsidRDefault="008D1B8F" w:rsidP="0065184D">
            <w:pPr>
              <w:jc w:val="right"/>
              <w:rPr>
                <w:rFonts w:ascii="Times" w:hAnsi="Times" w:cs="Times"/>
                <w:sz w:val="18"/>
                <w:szCs w:val="18"/>
              </w:rPr>
            </w:pPr>
          </w:p>
        </w:tc>
        <w:tc>
          <w:tcPr>
            <w:tcW w:w="646" w:type="dxa"/>
            <w:tcBorders>
              <w:top w:val="nil"/>
              <w:left w:val="single" w:sz="4" w:space="0" w:color="auto"/>
              <w:bottom w:val="single" w:sz="4" w:space="0" w:color="auto"/>
              <w:right w:val="nil"/>
            </w:tcBorders>
            <w:shd w:val="clear" w:color="auto" w:fill="auto"/>
            <w:noWrap/>
            <w:vAlign w:val="center"/>
          </w:tcPr>
          <w:p w14:paraId="519B5173" w14:textId="77777777" w:rsidR="008D1B8F" w:rsidRPr="008E63BB" w:rsidRDefault="008D1B8F" w:rsidP="0065184D">
            <w:pPr>
              <w:jc w:val="right"/>
              <w:rPr>
                <w:rFonts w:ascii="Times" w:hAnsi="Times" w:cs="Times"/>
                <w:sz w:val="18"/>
                <w:szCs w:val="18"/>
              </w:rPr>
            </w:pPr>
          </w:p>
        </w:tc>
        <w:tc>
          <w:tcPr>
            <w:tcW w:w="657" w:type="dxa"/>
            <w:tcBorders>
              <w:top w:val="nil"/>
              <w:left w:val="single" w:sz="4" w:space="0" w:color="auto"/>
              <w:bottom w:val="single" w:sz="4" w:space="0" w:color="auto"/>
              <w:right w:val="nil"/>
            </w:tcBorders>
            <w:shd w:val="clear" w:color="auto" w:fill="auto"/>
            <w:noWrap/>
            <w:vAlign w:val="center"/>
          </w:tcPr>
          <w:p w14:paraId="519B5174" w14:textId="77777777" w:rsidR="008D1B8F" w:rsidRPr="008E63BB" w:rsidRDefault="008D1B8F" w:rsidP="0065184D">
            <w:pPr>
              <w:jc w:val="right"/>
              <w:rPr>
                <w:rFonts w:ascii="Times" w:hAnsi="Times" w:cs="Times"/>
                <w:sz w:val="18"/>
                <w:szCs w:val="18"/>
              </w:rPr>
            </w:pPr>
          </w:p>
        </w:tc>
        <w:tc>
          <w:tcPr>
            <w:tcW w:w="717" w:type="dxa"/>
            <w:tcBorders>
              <w:top w:val="nil"/>
              <w:left w:val="single" w:sz="4" w:space="0" w:color="auto"/>
              <w:bottom w:val="single" w:sz="4" w:space="0" w:color="auto"/>
              <w:right w:val="nil"/>
            </w:tcBorders>
            <w:shd w:val="clear" w:color="auto" w:fill="auto"/>
            <w:noWrap/>
            <w:vAlign w:val="center"/>
          </w:tcPr>
          <w:p w14:paraId="519B5175" w14:textId="77777777" w:rsidR="008D1B8F" w:rsidRPr="008E63BB" w:rsidRDefault="008D1B8F" w:rsidP="0065184D">
            <w:pPr>
              <w:jc w:val="right"/>
              <w:rPr>
                <w:rFonts w:ascii="Times" w:hAnsi="Times" w:cs="Times"/>
                <w:sz w:val="18"/>
                <w:szCs w:val="18"/>
              </w:rPr>
            </w:pPr>
          </w:p>
        </w:tc>
        <w:tc>
          <w:tcPr>
            <w:tcW w:w="711" w:type="dxa"/>
            <w:tcBorders>
              <w:top w:val="nil"/>
              <w:left w:val="single" w:sz="4" w:space="0" w:color="auto"/>
              <w:bottom w:val="single" w:sz="4" w:space="0" w:color="auto"/>
              <w:right w:val="nil"/>
            </w:tcBorders>
            <w:shd w:val="clear" w:color="auto" w:fill="auto"/>
            <w:noWrap/>
            <w:vAlign w:val="center"/>
          </w:tcPr>
          <w:p w14:paraId="519B5176" w14:textId="77777777" w:rsidR="008D1B8F" w:rsidRPr="008E63BB" w:rsidRDefault="008D1B8F" w:rsidP="0065184D">
            <w:pPr>
              <w:jc w:val="right"/>
              <w:rPr>
                <w:rFonts w:ascii="Times" w:hAnsi="Times" w:cs="Times"/>
                <w:sz w:val="18"/>
                <w:szCs w:val="18"/>
              </w:rPr>
            </w:pPr>
          </w:p>
        </w:tc>
        <w:tc>
          <w:tcPr>
            <w:tcW w:w="1255" w:type="dxa"/>
            <w:gridSpan w:val="2"/>
            <w:tcBorders>
              <w:top w:val="nil"/>
              <w:left w:val="single" w:sz="4" w:space="0" w:color="auto"/>
              <w:bottom w:val="single" w:sz="4" w:space="0" w:color="auto"/>
              <w:right w:val="single" w:sz="4" w:space="0" w:color="auto"/>
            </w:tcBorders>
            <w:shd w:val="clear" w:color="auto" w:fill="auto"/>
            <w:vAlign w:val="center"/>
          </w:tcPr>
          <w:p w14:paraId="519B5177" w14:textId="77777777" w:rsidR="008D1B8F" w:rsidRPr="008E63BB" w:rsidRDefault="008D1B8F" w:rsidP="0065184D">
            <w:pPr>
              <w:jc w:val="left"/>
              <w:rPr>
                <w:sz w:val="18"/>
                <w:szCs w:val="18"/>
              </w:rPr>
            </w:pPr>
            <w:r w:rsidRPr="008E63BB">
              <w:rPr>
                <w:sz w:val="18"/>
                <w:szCs w:val="18"/>
              </w:rPr>
              <w:t>Đã được chấp thuận chủ trương đầu tư</w:t>
            </w:r>
          </w:p>
        </w:tc>
      </w:tr>
      <w:tr w:rsidR="008D5BFE" w:rsidRPr="008E63BB" w14:paraId="519B518C" w14:textId="77777777" w:rsidTr="007F0FB6">
        <w:trPr>
          <w:trHeight w:val="540"/>
        </w:trPr>
        <w:tc>
          <w:tcPr>
            <w:tcW w:w="457" w:type="dxa"/>
            <w:tcBorders>
              <w:top w:val="nil"/>
              <w:left w:val="single" w:sz="4" w:space="0" w:color="auto"/>
              <w:bottom w:val="single" w:sz="4" w:space="0" w:color="auto"/>
              <w:right w:val="single" w:sz="4" w:space="0" w:color="auto"/>
            </w:tcBorders>
            <w:shd w:val="clear" w:color="auto" w:fill="auto"/>
            <w:vAlign w:val="center"/>
            <w:hideMark/>
          </w:tcPr>
          <w:p w14:paraId="519B5179" w14:textId="77777777" w:rsidR="00993172" w:rsidRPr="008E63BB" w:rsidRDefault="008D1B8F" w:rsidP="0065184D">
            <w:pPr>
              <w:jc w:val="center"/>
              <w:rPr>
                <w:rFonts w:ascii="Times" w:hAnsi="Times" w:cs="Times"/>
                <w:sz w:val="18"/>
                <w:szCs w:val="18"/>
              </w:rPr>
            </w:pPr>
            <w:r w:rsidRPr="008E63BB">
              <w:rPr>
                <w:rFonts w:ascii="Times" w:hAnsi="Times" w:cs="Times"/>
                <w:sz w:val="18"/>
                <w:szCs w:val="18"/>
              </w:rPr>
              <w:t>4</w:t>
            </w:r>
          </w:p>
        </w:tc>
        <w:tc>
          <w:tcPr>
            <w:tcW w:w="1103" w:type="dxa"/>
            <w:tcBorders>
              <w:top w:val="nil"/>
              <w:left w:val="nil"/>
              <w:bottom w:val="single" w:sz="4" w:space="0" w:color="auto"/>
              <w:right w:val="single" w:sz="4" w:space="0" w:color="auto"/>
            </w:tcBorders>
            <w:shd w:val="clear" w:color="auto" w:fill="auto"/>
            <w:vAlign w:val="center"/>
            <w:hideMark/>
          </w:tcPr>
          <w:p w14:paraId="519B517A" w14:textId="77777777" w:rsidR="00993172" w:rsidRPr="008E63BB" w:rsidRDefault="00993172" w:rsidP="0065184D">
            <w:pPr>
              <w:rPr>
                <w:rFonts w:ascii="Times" w:hAnsi="Times" w:cs="Times"/>
                <w:sz w:val="18"/>
                <w:szCs w:val="18"/>
              </w:rPr>
            </w:pPr>
            <w:r w:rsidRPr="008E63BB">
              <w:rPr>
                <w:rFonts w:ascii="Times" w:hAnsi="Times" w:cs="Times"/>
                <w:sz w:val="18"/>
                <w:szCs w:val="18"/>
              </w:rPr>
              <w:t>CCN An Xá - Km111 QL10 TP.</w:t>
            </w:r>
          </w:p>
        </w:tc>
        <w:tc>
          <w:tcPr>
            <w:tcW w:w="851" w:type="dxa"/>
            <w:tcBorders>
              <w:top w:val="nil"/>
              <w:left w:val="nil"/>
              <w:bottom w:val="single" w:sz="4" w:space="0" w:color="auto"/>
              <w:right w:val="single" w:sz="4" w:space="0" w:color="auto"/>
            </w:tcBorders>
            <w:shd w:val="clear" w:color="auto" w:fill="auto"/>
            <w:vAlign w:val="center"/>
            <w:hideMark/>
          </w:tcPr>
          <w:p w14:paraId="519B517B"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97</w:t>
            </w:r>
          </w:p>
        </w:tc>
        <w:tc>
          <w:tcPr>
            <w:tcW w:w="1137" w:type="dxa"/>
            <w:tcBorders>
              <w:top w:val="nil"/>
              <w:left w:val="nil"/>
              <w:bottom w:val="single" w:sz="4" w:space="0" w:color="auto"/>
              <w:right w:val="single" w:sz="4" w:space="0" w:color="auto"/>
            </w:tcBorders>
            <w:shd w:val="clear" w:color="auto" w:fill="auto"/>
            <w:noWrap/>
            <w:vAlign w:val="center"/>
            <w:hideMark/>
          </w:tcPr>
          <w:p w14:paraId="519B517C"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21" w:type="dxa"/>
            <w:tcBorders>
              <w:top w:val="nil"/>
              <w:left w:val="nil"/>
              <w:bottom w:val="single" w:sz="4" w:space="0" w:color="auto"/>
              <w:right w:val="single" w:sz="4" w:space="0" w:color="auto"/>
            </w:tcBorders>
            <w:shd w:val="clear" w:color="auto" w:fill="auto"/>
            <w:noWrap/>
            <w:vAlign w:val="center"/>
            <w:hideMark/>
          </w:tcPr>
          <w:p w14:paraId="519B517D"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276" w:type="dxa"/>
            <w:tcBorders>
              <w:top w:val="nil"/>
              <w:left w:val="nil"/>
              <w:bottom w:val="single" w:sz="4" w:space="0" w:color="auto"/>
              <w:right w:val="single" w:sz="4" w:space="0" w:color="auto"/>
            </w:tcBorders>
            <w:shd w:val="clear" w:color="auto" w:fill="auto"/>
            <w:noWrap/>
            <w:vAlign w:val="center"/>
            <w:hideMark/>
          </w:tcPr>
          <w:p w14:paraId="519B517E"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818" w:type="dxa"/>
            <w:tcBorders>
              <w:top w:val="nil"/>
              <w:left w:val="nil"/>
              <w:bottom w:val="single" w:sz="4" w:space="0" w:color="auto"/>
              <w:right w:val="single" w:sz="4" w:space="0" w:color="auto"/>
            </w:tcBorders>
            <w:shd w:val="clear" w:color="auto" w:fill="auto"/>
            <w:noWrap/>
            <w:vAlign w:val="center"/>
            <w:hideMark/>
          </w:tcPr>
          <w:p w14:paraId="519B517F"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109" w:type="dxa"/>
            <w:tcBorders>
              <w:top w:val="nil"/>
              <w:left w:val="nil"/>
              <w:bottom w:val="nil"/>
              <w:right w:val="single" w:sz="4" w:space="0" w:color="auto"/>
            </w:tcBorders>
            <w:shd w:val="clear" w:color="auto" w:fill="auto"/>
            <w:noWrap/>
            <w:vAlign w:val="center"/>
            <w:hideMark/>
          </w:tcPr>
          <w:p w14:paraId="519B5180" w14:textId="77777777" w:rsidR="00993172" w:rsidRPr="008E63BB" w:rsidRDefault="00993172" w:rsidP="0065184D">
            <w:pPr>
              <w:rPr>
                <w:rFonts w:ascii="Times" w:hAnsi="Times" w:cs="Times"/>
                <w:sz w:val="18"/>
                <w:szCs w:val="18"/>
              </w:rPr>
            </w:pPr>
            <w:r w:rsidRPr="008E63BB">
              <w:rPr>
                <w:rFonts w:ascii="Times" w:hAnsi="Times" w:cs="Times"/>
                <w:sz w:val="18"/>
                <w:szCs w:val="18"/>
              </w:rPr>
              <w:t> </w:t>
            </w:r>
          </w:p>
        </w:tc>
        <w:tc>
          <w:tcPr>
            <w:tcW w:w="887" w:type="dxa"/>
            <w:tcBorders>
              <w:top w:val="nil"/>
              <w:left w:val="nil"/>
              <w:bottom w:val="single" w:sz="4" w:space="0" w:color="auto"/>
              <w:right w:val="nil"/>
            </w:tcBorders>
            <w:shd w:val="clear" w:color="auto" w:fill="auto"/>
            <w:noWrap/>
            <w:vAlign w:val="center"/>
            <w:hideMark/>
          </w:tcPr>
          <w:p w14:paraId="519B5181"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 </w:t>
            </w:r>
          </w:p>
        </w:tc>
        <w:tc>
          <w:tcPr>
            <w:tcW w:w="737" w:type="dxa"/>
            <w:tcBorders>
              <w:top w:val="nil"/>
              <w:left w:val="single" w:sz="4" w:space="0" w:color="auto"/>
              <w:bottom w:val="single" w:sz="4" w:space="0" w:color="auto"/>
              <w:right w:val="nil"/>
            </w:tcBorders>
            <w:shd w:val="clear" w:color="auto" w:fill="auto"/>
            <w:noWrap/>
            <w:vAlign w:val="center"/>
            <w:hideMark/>
          </w:tcPr>
          <w:p w14:paraId="519B5182"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72</w:t>
            </w:r>
          </w:p>
        </w:tc>
        <w:tc>
          <w:tcPr>
            <w:tcW w:w="711" w:type="dxa"/>
            <w:tcBorders>
              <w:top w:val="nil"/>
              <w:left w:val="single" w:sz="4" w:space="0" w:color="auto"/>
              <w:bottom w:val="single" w:sz="4" w:space="0" w:color="auto"/>
              <w:right w:val="nil"/>
            </w:tcBorders>
            <w:shd w:val="clear" w:color="auto" w:fill="auto"/>
            <w:noWrap/>
            <w:vAlign w:val="center"/>
            <w:hideMark/>
          </w:tcPr>
          <w:p w14:paraId="519B5183"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0" w:type="dxa"/>
            <w:tcBorders>
              <w:top w:val="nil"/>
              <w:left w:val="single" w:sz="4" w:space="0" w:color="auto"/>
              <w:bottom w:val="single" w:sz="4" w:space="0" w:color="auto"/>
              <w:right w:val="nil"/>
            </w:tcBorders>
            <w:shd w:val="clear" w:color="auto" w:fill="auto"/>
            <w:noWrap/>
            <w:vAlign w:val="center"/>
            <w:hideMark/>
          </w:tcPr>
          <w:p w14:paraId="519B5184"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3.643</w:t>
            </w:r>
          </w:p>
        </w:tc>
        <w:tc>
          <w:tcPr>
            <w:tcW w:w="756" w:type="dxa"/>
            <w:tcBorders>
              <w:top w:val="nil"/>
              <w:left w:val="single" w:sz="4" w:space="0" w:color="auto"/>
              <w:bottom w:val="single" w:sz="4" w:space="0" w:color="auto"/>
              <w:right w:val="nil"/>
            </w:tcBorders>
            <w:shd w:val="clear" w:color="auto" w:fill="auto"/>
            <w:noWrap/>
            <w:vAlign w:val="center"/>
            <w:hideMark/>
          </w:tcPr>
          <w:p w14:paraId="519B5185"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2.120</w:t>
            </w:r>
          </w:p>
        </w:tc>
        <w:tc>
          <w:tcPr>
            <w:tcW w:w="646" w:type="dxa"/>
            <w:tcBorders>
              <w:top w:val="nil"/>
              <w:left w:val="single" w:sz="4" w:space="0" w:color="auto"/>
              <w:bottom w:val="single" w:sz="4" w:space="0" w:color="auto"/>
              <w:right w:val="nil"/>
            </w:tcBorders>
            <w:shd w:val="clear" w:color="auto" w:fill="auto"/>
            <w:noWrap/>
            <w:vAlign w:val="center"/>
            <w:hideMark/>
          </w:tcPr>
          <w:p w14:paraId="519B5186"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6" w:type="dxa"/>
            <w:tcBorders>
              <w:top w:val="nil"/>
              <w:left w:val="single" w:sz="4" w:space="0" w:color="auto"/>
              <w:bottom w:val="single" w:sz="4" w:space="0" w:color="auto"/>
              <w:right w:val="nil"/>
            </w:tcBorders>
            <w:shd w:val="clear" w:color="auto" w:fill="auto"/>
            <w:noWrap/>
            <w:vAlign w:val="center"/>
            <w:hideMark/>
          </w:tcPr>
          <w:p w14:paraId="519B5187"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57" w:type="dxa"/>
            <w:tcBorders>
              <w:top w:val="nil"/>
              <w:left w:val="single" w:sz="4" w:space="0" w:color="auto"/>
              <w:bottom w:val="single" w:sz="4" w:space="0" w:color="auto"/>
              <w:right w:val="nil"/>
            </w:tcBorders>
            <w:shd w:val="clear" w:color="auto" w:fill="auto"/>
            <w:noWrap/>
            <w:vAlign w:val="center"/>
            <w:hideMark/>
          </w:tcPr>
          <w:p w14:paraId="519B5188"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7" w:type="dxa"/>
            <w:tcBorders>
              <w:top w:val="nil"/>
              <w:left w:val="single" w:sz="4" w:space="0" w:color="auto"/>
              <w:bottom w:val="single" w:sz="4" w:space="0" w:color="auto"/>
              <w:right w:val="nil"/>
            </w:tcBorders>
            <w:shd w:val="clear" w:color="auto" w:fill="auto"/>
            <w:noWrap/>
            <w:vAlign w:val="center"/>
            <w:hideMark/>
          </w:tcPr>
          <w:p w14:paraId="519B5189"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1" w:type="dxa"/>
            <w:tcBorders>
              <w:top w:val="nil"/>
              <w:left w:val="single" w:sz="4" w:space="0" w:color="auto"/>
              <w:bottom w:val="single" w:sz="4" w:space="0" w:color="auto"/>
              <w:right w:val="nil"/>
            </w:tcBorders>
            <w:shd w:val="clear" w:color="auto" w:fill="auto"/>
            <w:noWrap/>
            <w:vAlign w:val="center"/>
            <w:hideMark/>
          </w:tcPr>
          <w:p w14:paraId="519B518A"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255" w:type="dxa"/>
            <w:gridSpan w:val="2"/>
            <w:tcBorders>
              <w:top w:val="nil"/>
              <w:left w:val="single" w:sz="4" w:space="0" w:color="auto"/>
              <w:bottom w:val="single" w:sz="4" w:space="0" w:color="auto"/>
              <w:right w:val="single" w:sz="4" w:space="0" w:color="auto"/>
            </w:tcBorders>
            <w:shd w:val="clear" w:color="auto" w:fill="auto"/>
            <w:vAlign w:val="center"/>
            <w:hideMark/>
          </w:tcPr>
          <w:p w14:paraId="519B518B" w14:textId="77777777" w:rsidR="00993172" w:rsidRPr="008E63BB" w:rsidRDefault="00993172" w:rsidP="0065184D">
            <w:pPr>
              <w:jc w:val="left"/>
              <w:rPr>
                <w:sz w:val="18"/>
                <w:szCs w:val="18"/>
              </w:rPr>
            </w:pPr>
            <w:r w:rsidRPr="008E63BB">
              <w:rPr>
                <w:sz w:val="18"/>
                <w:szCs w:val="18"/>
              </w:rPr>
              <w:t> </w:t>
            </w:r>
          </w:p>
        </w:tc>
      </w:tr>
      <w:tr w:rsidR="008D5BFE" w:rsidRPr="008E63BB" w14:paraId="519B51A0" w14:textId="77777777" w:rsidTr="007F0FB6">
        <w:trPr>
          <w:trHeight w:val="780"/>
        </w:trPr>
        <w:tc>
          <w:tcPr>
            <w:tcW w:w="457" w:type="dxa"/>
            <w:tcBorders>
              <w:top w:val="nil"/>
              <w:left w:val="single" w:sz="4" w:space="0" w:color="auto"/>
              <w:bottom w:val="single" w:sz="4" w:space="0" w:color="auto"/>
              <w:right w:val="single" w:sz="4" w:space="0" w:color="auto"/>
            </w:tcBorders>
            <w:shd w:val="clear" w:color="auto" w:fill="auto"/>
            <w:vAlign w:val="center"/>
            <w:hideMark/>
          </w:tcPr>
          <w:p w14:paraId="519B518D" w14:textId="77777777" w:rsidR="00993172" w:rsidRPr="008E63BB" w:rsidRDefault="008D1B8F" w:rsidP="0065184D">
            <w:pPr>
              <w:jc w:val="center"/>
              <w:rPr>
                <w:rFonts w:ascii="Times" w:hAnsi="Times" w:cs="Times"/>
                <w:sz w:val="18"/>
                <w:szCs w:val="18"/>
              </w:rPr>
            </w:pPr>
            <w:r w:rsidRPr="008E63BB">
              <w:rPr>
                <w:rFonts w:ascii="Times" w:hAnsi="Times" w:cs="Times"/>
                <w:sz w:val="18"/>
                <w:szCs w:val="18"/>
              </w:rPr>
              <w:t>5</w:t>
            </w:r>
          </w:p>
        </w:tc>
        <w:tc>
          <w:tcPr>
            <w:tcW w:w="1103" w:type="dxa"/>
            <w:tcBorders>
              <w:top w:val="nil"/>
              <w:left w:val="nil"/>
              <w:bottom w:val="single" w:sz="4" w:space="0" w:color="auto"/>
              <w:right w:val="single" w:sz="4" w:space="0" w:color="auto"/>
            </w:tcBorders>
            <w:shd w:val="clear" w:color="auto" w:fill="auto"/>
            <w:vAlign w:val="center"/>
            <w:hideMark/>
          </w:tcPr>
          <w:p w14:paraId="519B518E" w14:textId="77777777" w:rsidR="00993172" w:rsidRPr="008E63BB" w:rsidRDefault="00993172" w:rsidP="0065184D">
            <w:pPr>
              <w:rPr>
                <w:rFonts w:ascii="Times" w:hAnsi="Times" w:cs="Times"/>
                <w:sz w:val="18"/>
                <w:szCs w:val="18"/>
              </w:rPr>
            </w:pPr>
            <w:r w:rsidRPr="008E63BB">
              <w:rPr>
                <w:rFonts w:ascii="Times" w:hAnsi="Times" w:cs="Times"/>
                <w:sz w:val="18"/>
                <w:szCs w:val="18"/>
              </w:rPr>
              <w:t>CCN Mỹ Thắng- TP. Nam Định</w:t>
            </w:r>
          </w:p>
        </w:tc>
        <w:tc>
          <w:tcPr>
            <w:tcW w:w="851" w:type="dxa"/>
            <w:tcBorders>
              <w:top w:val="nil"/>
              <w:left w:val="nil"/>
              <w:bottom w:val="single" w:sz="4" w:space="0" w:color="auto"/>
              <w:right w:val="single" w:sz="4" w:space="0" w:color="auto"/>
            </w:tcBorders>
            <w:shd w:val="clear" w:color="auto" w:fill="auto"/>
            <w:vAlign w:val="center"/>
            <w:hideMark/>
          </w:tcPr>
          <w:p w14:paraId="519B518F"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35</w:t>
            </w:r>
          </w:p>
        </w:tc>
        <w:tc>
          <w:tcPr>
            <w:tcW w:w="1137" w:type="dxa"/>
            <w:tcBorders>
              <w:top w:val="nil"/>
              <w:left w:val="nil"/>
              <w:bottom w:val="single" w:sz="4" w:space="0" w:color="auto"/>
              <w:right w:val="single" w:sz="4" w:space="0" w:color="auto"/>
            </w:tcBorders>
            <w:shd w:val="clear" w:color="auto" w:fill="auto"/>
            <w:noWrap/>
            <w:vAlign w:val="center"/>
            <w:hideMark/>
          </w:tcPr>
          <w:p w14:paraId="519B5190"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21" w:type="dxa"/>
            <w:tcBorders>
              <w:top w:val="nil"/>
              <w:left w:val="nil"/>
              <w:bottom w:val="single" w:sz="4" w:space="0" w:color="auto"/>
              <w:right w:val="single" w:sz="4" w:space="0" w:color="auto"/>
            </w:tcBorders>
            <w:shd w:val="clear" w:color="auto" w:fill="auto"/>
            <w:noWrap/>
            <w:vAlign w:val="center"/>
            <w:hideMark/>
          </w:tcPr>
          <w:p w14:paraId="519B5191"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276" w:type="dxa"/>
            <w:tcBorders>
              <w:top w:val="nil"/>
              <w:left w:val="nil"/>
              <w:bottom w:val="single" w:sz="4" w:space="0" w:color="auto"/>
              <w:right w:val="single" w:sz="4" w:space="0" w:color="auto"/>
            </w:tcBorders>
            <w:shd w:val="clear" w:color="auto" w:fill="auto"/>
            <w:noWrap/>
            <w:vAlign w:val="center"/>
            <w:hideMark/>
          </w:tcPr>
          <w:p w14:paraId="519B5192"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818" w:type="dxa"/>
            <w:tcBorders>
              <w:top w:val="nil"/>
              <w:left w:val="nil"/>
              <w:bottom w:val="single" w:sz="4" w:space="0" w:color="auto"/>
              <w:right w:val="nil"/>
            </w:tcBorders>
            <w:shd w:val="clear" w:color="auto" w:fill="auto"/>
            <w:noWrap/>
            <w:vAlign w:val="center"/>
            <w:hideMark/>
          </w:tcPr>
          <w:p w14:paraId="519B5193"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1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B5194" w14:textId="77777777" w:rsidR="00993172" w:rsidRPr="008E63BB" w:rsidRDefault="00993172" w:rsidP="0065184D">
            <w:pPr>
              <w:jc w:val="left"/>
              <w:rPr>
                <w:rFonts w:ascii="Times" w:hAnsi="Times" w:cs="Times"/>
                <w:sz w:val="18"/>
                <w:szCs w:val="18"/>
              </w:rPr>
            </w:pPr>
            <w:r w:rsidRPr="008E63BB">
              <w:rPr>
                <w:rFonts w:ascii="Times" w:hAnsi="Times" w:cs="Times"/>
                <w:sz w:val="18"/>
                <w:szCs w:val="18"/>
              </w:rPr>
              <w:t> </w:t>
            </w:r>
          </w:p>
        </w:tc>
        <w:tc>
          <w:tcPr>
            <w:tcW w:w="887" w:type="dxa"/>
            <w:tcBorders>
              <w:top w:val="nil"/>
              <w:left w:val="nil"/>
              <w:bottom w:val="single" w:sz="4" w:space="0" w:color="auto"/>
              <w:right w:val="nil"/>
            </w:tcBorders>
            <w:shd w:val="clear" w:color="auto" w:fill="auto"/>
            <w:noWrap/>
            <w:vAlign w:val="center"/>
            <w:hideMark/>
          </w:tcPr>
          <w:p w14:paraId="519B5195" w14:textId="77777777" w:rsidR="00993172" w:rsidRPr="008E63BB" w:rsidRDefault="00993172" w:rsidP="0065184D">
            <w:pPr>
              <w:jc w:val="center"/>
              <w:rPr>
                <w:rFonts w:ascii="Times" w:hAnsi="Times" w:cs="Times"/>
                <w:sz w:val="18"/>
                <w:szCs w:val="18"/>
              </w:rPr>
            </w:pPr>
            <w:r w:rsidRPr="008E63BB">
              <w:rPr>
                <w:rFonts w:ascii="Times" w:hAnsi="Times" w:cs="Times"/>
                <w:sz w:val="18"/>
                <w:szCs w:val="18"/>
              </w:rPr>
              <w:t> </w:t>
            </w:r>
          </w:p>
        </w:tc>
        <w:tc>
          <w:tcPr>
            <w:tcW w:w="737" w:type="dxa"/>
            <w:tcBorders>
              <w:top w:val="nil"/>
              <w:left w:val="single" w:sz="4" w:space="0" w:color="auto"/>
              <w:bottom w:val="single" w:sz="4" w:space="0" w:color="auto"/>
              <w:right w:val="nil"/>
            </w:tcBorders>
            <w:shd w:val="clear" w:color="auto" w:fill="auto"/>
            <w:noWrap/>
            <w:vAlign w:val="center"/>
            <w:hideMark/>
          </w:tcPr>
          <w:p w14:paraId="519B5196"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1" w:type="dxa"/>
            <w:tcBorders>
              <w:top w:val="nil"/>
              <w:left w:val="single" w:sz="4" w:space="0" w:color="auto"/>
              <w:bottom w:val="single" w:sz="4" w:space="0" w:color="auto"/>
              <w:right w:val="nil"/>
            </w:tcBorders>
            <w:shd w:val="clear" w:color="auto" w:fill="auto"/>
            <w:noWrap/>
            <w:vAlign w:val="center"/>
            <w:hideMark/>
          </w:tcPr>
          <w:p w14:paraId="519B5197"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0" w:type="dxa"/>
            <w:tcBorders>
              <w:top w:val="nil"/>
              <w:left w:val="single" w:sz="4" w:space="0" w:color="auto"/>
              <w:bottom w:val="single" w:sz="4" w:space="0" w:color="auto"/>
              <w:right w:val="nil"/>
            </w:tcBorders>
            <w:shd w:val="clear" w:color="auto" w:fill="auto"/>
            <w:noWrap/>
            <w:vAlign w:val="center"/>
            <w:hideMark/>
          </w:tcPr>
          <w:p w14:paraId="519B5198"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56" w:type="dxa"/>
            <w:tcBorders>
              <w:top w:val="nil"/>
              <w:left w:val="single" w:sz="4" w:space="0" w:color="auto"/>
              <w:bottom w:val="single" w:sz="4" w:space="0" w:color="auto"/>
              <w:right w:val="nil"/>
            </w:tcBorders>
            <w:shd w:val="clear" w:color="auto" w:fill="auto"/>
            <w:noWrap/>
            <w:vAlign w:val="center"/>
            <w:hideMark/>
          </w:tcPr>
          <w:p w14:paraId="519B5199"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6" w:type="dxa"/>
            <w:tcBorders>
              <w:top w:val="nil"/>
              <w:left w:val="single" w:sz="4" w:space="0" w:color="auto"/>
              <w:bottom w:val="single" w:sz="4" w:space="0" w:color="auto"/>
              <w:right w:val="nil"/>
            </w:tcBorders>
            <w:shd w:val="clear" w:color="auto" w:fill="auto"/>
            <w:noWrap/>
            <w:vAlign w:val="center"/>
            <w:hideMark/>
          </w:tcPr>
          <w:p w14:paraId="519B519A"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46" w:type="dxa"/>
            <w:tcBorders>
              <w:top w:val="nil"/>
              <w:left w:val="single" w:sz="4" w:space="0" w:color="auto"/>
              <w:bottom w:val="single" w:sz="4" w:space="0" w:color="auto"/>
              <w:right w:val="nil"/>
            </w:tcBorders>
            <w:shd w:val="clear" w:color="auto" w:fill="auto"/>
            <w:noWrap/>
            <w:vAlign w:val="center"/>
            <w:hideMark/>
          </w:tcPr>
          <w:p w14:paraId="519B519B"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657" w:type="dxa"/>
            <w:tcBorders>
              <w:top w:val="nil"/>
              <w:left w:val="single" w:sz="4" w:space="0" w:color="auto"/>
              <w:bottom w:val="single" w:sz="4" w:space="0" w:color="auto"/>
              <w:right w:val="nil"/>
            </w:tcBorders>
            <w:shd w:val="clear" w:color="auto" w:fill="auto"/>
            <w:noWrap/>
            <w:vAlign w:val="center"/>
            <w:hideMark/>
          </w:tcPr>
          <w:p w14:paraId="519B519C"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7" w:type="dxa"/>
            <w:tcBorders>
              <w:top w:val="nil"/>
              <w:left w:val="single" w:sz="4" w:space="0" w:color="auto"/>
              <w:bottom w:val="single" w:sz="4" w:space="0" w:color="auto"/>
              <w:right w:val="nil"/>
            </w:tcBorders>
            <w:shd w:val="clear" w:color="auto" w:fill="auto"/>
            <w:noWrap/>
            <w:vAlign w:val="center"/>
            <w:hideMark/>
          </w:tcPr>
          <w:p w14:paraId="519B519D"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711" w:type="dxa"/>
            <w:tcBorders>
              <w:top w:val="nil"/>
              <w:left w:val="single" w:sz="4" w:space="0" w:color="auto"/>
              <w:bottom w:val="single" w:sz="4" w:space="0" w:color="auto"/>
              <w:right w:val="nil"/>
            </w:tcBorders>
            <w:shd w:val="clear" w:color="auto" w:fill="auto"/>
            <w:noWrap/>
            <w:vAlign w:val="center"/>
            <w:hideMark/>
          </w:tcPr>
          <w:p w14:paraId="519B519E" w14:textId="77777777" w:rsidR="00993172" w:rsidRPr="008E63BB" w:rsidRDefault="00993172" w:rsidP="0065184D">
            <w:pPr>
              <w:jc w:val="right"/>
              <w:rPr>
                <w:rFonts w:ascii="Times" w:hAnsi="Times" w:cs="Times"/>
                <w:sz w:val="18"/>
                <w:szCs w:val="18"/>
              </w:rPr>
            </w:pPr>
            <w:r w:rsidRPr="008E63BB">
              <w:rPr>
                <w:rFonts w:ascii="Times" w:hAnsi="Times" w:cs="Times"/>
                <w:sz w:val="18"/>
                <w:szCs w:val="18"/>
              </w:rPr>
              <w:t> </w:t>
            </w:r>
          </w:p>
        </w:tc>
        <w:tc>
          <w:tcPr>
            <w:tcW w:w="125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19B519F" w14:textId="77777777" w:rsidR="00993172" w:rsidRPr="008E63BB" w:rsidRDefault="00993172" w:rsidP="0065184D">
            <w:pPr>
              <w:rPr>
                <w:rFonts w:ascii="Times" w:hAnsi="Times" w:cs="Times"/>
                <w:sz w:val="18"/>
                <w:szCs w:val="18"/>
              </w:rPr>
            </w:pPr>
            <w:r w:rsidRPr="008E63BB">
              <w:rPr>
                <w:rFonts w:ascii="Times" w:hAnsi="Times" w:cs="Times"/>
                <w:sz w:val="18"/>
                <w:szCs w:val="18"/>
              </w:rPr>
              <w:t xml:space="preserve">Phục vụ di dời, mở rộng sản xuất các doanh nghiệp, cơ sở sản xuất ngành may mặc, chế biến bông vải sợi thuộc làng nghề Mỹ </w:t>
            </w:r>
            <w:r w:rsidRPr="008E63BB">
              <w:rPr>
                <w:rFonts w:ascii="Times" w:hAnsi="Times" w:cs="Times"/>
                <w:sz w:val="18"/>
                <w:szCs w:val="18"/>
              </w:rPr>
              <w:lastRenderedPageBreak/>
              <w:t>Thắng,…</w:t>
            </w:r>
          </w:p>
        </w:tc>
      </w:tr>
    </w:tbl>
    <w:p w14:paraId="519B51A1" w14:textId="77777777" w:rsidR="00993172" w:rsidRPr="007D7CC4" w:rsidRDefault="00993172" w:rsidP="0065184D">
      <w:pPr>
        <w:rPr>
          <w:i/>
          <w:szCs w:val="26"/>
        </w:rPr>
      </w:pPr>
      <w:r w:rsidRPr="008E63BB">
        <w:rPr>
          <w:i/>
          <w:szCs w:val="26"/>
        </w:rPr>
        <w:lastRenderedPageBreak/>
        <w:t>Nguồn: Văn bản số 2343/TTg-KTN ngày 24/11/2019 được Thủ tướng Chính phủ v/v Quy hoạch tổng thể phát triển các KCN trên địa bàn tỉnh Nam Định đến năm 2020, tầm nhìn đến năm 2025</w:t>
      </w:r>
    </w:p>
    <w:p w14:paraId="519B51A2" w14:textId="77777777" w:rsidR="00405785" w:rsidRPr="007D7CC4" w:rsidRDefault="00405785" w:rsidP="0065184D">
      <w:pPr>
        <w:jc w:val="left"/>
        <w:rPr>
          <w:szCs w:val="26"/>
        </w:rPr>
      </w:pPr>
    </w:p>
    <w:sectPr w:rsidR="00405785" w:rsidRPr="007D7CC4" w:rsidSect="00296BCC">
      <w:pgSz w:w="16840" w:h="11907" w:orient="landscape" w:code="9"/>
      <w:pgMar w:top="1699" w:right="1440" w:bottom="922"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0FC0EC" w14:textId="77777777" w:rsidR="00E9609D" w:rsidRDefault="00E9609D" w:rsidP="0094069B">
      <w:r>
        <w:separator/>
      </w:r>
    </w:p>
  </w:endnote>
  <w:endnote w:type="continuationSeparator" w:id="0">
    <w:p w14:paraId="3BB9D16B" w14:textId="77777777" w:rsidR="00E9609D" w:rsidRDefault="00E9609D" w:rsidP="009406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nArial">
    <w:panose1 w:val="020B7200000000000000"/>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VnHelvetInsH">
    <w:panose1 w:val="020B7200000000000000"/>
    <w:charset w:val="00"/>
    <w:family w:val="swiss"/>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 w:name=".VnArial Narrow">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TimesNewRoman">
    <w:altName w:val="Times New Roman"/>
    <w:panose1 w:val="00000000000000000000"/>
    <w:charset w:val="A3"/>
    <w:family w:val="auto"/>
    <w:notTrueType/>
    <w:pitch w:val="default"/>
    <w:sig w:usb0="20000001" w:usb1="00000000" w:usb2="00000000" w:usb3="00000000" w:csb0="00000100"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B52D5" w14:textId="1A91656A" w:rsidR="00EA1D82" w:rsidRPr="003D057A" w:rsidRDefault="00EA1D82">
    <w:pPr>
      <w:pStyle w:val="Footer"/>
      <w:jc w:val="right"/>
      <w:rPr>
        <w:sz w:val="24"/>
        <w:szCs w:val="24"/>
      </w:rPr>
    </w:pPr>
    <w:r w:rsidRPr="003D057A">
      <w:rPr>
        <w:sz w:val="24"/>
        <w:szCs w:val="24"/>
      </w:rPr>
      <w:fldChar w:fldCharType="begin"/>
    </w:r>
    <w:r w:rsidRPr="003D057A">
      <w:rPr>
        <w:sz w:val="24"/>
        <w:szCs w:val="24"/>
      </w:rPr>
      <w:instrText xml:space="preserve"> PAGE   \* MERGEFORMAT </w:instrText>
    </w:r>
    <w:r w:rsidRPr="003D057A">
      <w:rPr>
        <w:sz w:val="24"/>
        <w:szCs w:val="24"/>
      </w:rPr>
      <w:fldChar w:fldCharType="separate"/>
    </w:r>
    <w:r w:rsidR="0007790B">
      <w:rPr>
        <w:noProof/>
        <w:sz w:val="24"/>
        <w:szCs w:val="24"/>
      </w:rPr>
      <w:t>1</w:t>
    </w:r>
    <w:r w:rsidRPr="003D057A">
      <w:rPr>
        <w:noProof/>
        <w:sz w:val="24"/>
        <w:szCs w:val="24"/>
      </w:rPr>
      <w:fldChar w:fldCharType="end"/>
    </w:r>
  </w:p>
  <w:p w14:paraId="519B52D6" w14:textId="77777777" w:rsidR="00EA1D82" w:rsidRDefault="00EA1D8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B52D7" w14:textId="77AB3595" w:rsidR="00EA1D82" w:rsidRPr="00D37901" w:rsidRDefault="00EA1D82">
    <w:pPr>
      <w:pStyle w:val="Footer"/>
      <w:jc w:val="right"/>
      <w:rPr>
        <w:sz w:val="24"/>
        <w:szCs w:val="24"/>
      </w:rPr>
    </w:pPr>
    <w:r w:rsidRPr="00D37901">
      <w:rPr>
        <w:sz w:val="24"/>
        <w:szCs w:val="24"/>
      </w:rPr>
      <w:fldChar w:fldCharType="begin"/>
    </w:r>
    <w:r w:rsidRPr="00D37901">
      <w:rPr>
        <w:sz w:val="24"/>
        <w:szCs w:val="24"/>
      </w:rPr>
      <w:instrText xml:space="preserve"> PAGE   \* MERGEFORMAT </w:instrText>
    </w:r>
    <w:r w:rsidRPr="00D37901">
      <w:rPr>
        <w:sz w:val="24"/>
        <w:szCs w:val="24"/>
      </w:rPr>
      <w:fldChar w:fldCharType="separate"/>
    </w:r>
    <w:r w:rsidR="0007790B">
      <w:rPr>
        <w:noProof/>
        <w:sz w:val="24"/>
        <w:szCs w:val="24"/>
      </w:rPr>
      <w:t>121</w:t>
    </w:r>
    <w:r w:rsidRPr="00D37901">
      <w:rPr>
        <w:noProof/>
        <w:sz w:val="24"/>
        <w:szCs w:val="24"/>
      </w:rPr>
      <w:fldChar w:fldCharType="end"/>
    </w:r>
  </w:p>
  <w:p w14:paraId="519B52D8" w14:textId="77777777" w:rsidR="00EA1D82" w:rsidRDefault="00EA1D8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92F093" w14:textId="77777777" w:rsidR="00E9609D" w:rsidRDefault="00E9609D" w:rsidP="0094069B">
      <w:r>
        <w:separator/>
      </w:r>
    </w:p>
  </w:footnote>
  <w:footnote w:type="continuationSeparator" w:id="0">
    <w:p w14:paraId="291E7295" w14:textId="77777777" w:rsidR="00E9609D" w:rsidRDefault="00E9609D" w:rsidP="009406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C28E4468"/>
    <w:lvl w:ilvl="0">
      <w:start w:val="1"/>
      <w:numFmt w:val="bullet"/>
      <w:pStyle w:val="ListBullet2"/>
      <w:lvlText w:val="-"/>
      <w:lvlJc w:val="left"/>
      <w:pPr>
        <w:tabs>
          <w:tab w:val="num" w:pos="720"/>
        </w:tabs>
        <w:ind w:left="720" w:hanging="360"/>
      </w:pPr>
      <w:rPr>
        <w:rFonts w:ascii="Arial" w:hAnsi="Arial" w:hint="default"/>
      </w:rPr>
    </w:lvl>
  </w:abstractNum>
  <w:abstractNum w:abstractNumId="1">
    <w:nsid w:val="0000000C"/>
    <w:multiLevelType w:val="hybridMultilevel"/>
    <w:tmpl w:val="10A4BFD8"/>
    <w:lvl w:ilvl="0" w:tplc="5EEE60BE">
      <w:start w:val="3"/>
      <w:numFmt w:val="bullet"/>
      <w:lvlText w:val="-"/>
      <w:lvlJc w:val="left"/>
      <w:pPr>
        <w:ind w:left="360" w:hanging="360"/>
      </w:pPr>
      <w:rPr>
        <w:rFonts w:ascii="Arial" w:eastAsia="Calibri" w:hAnsi="Arial" w:cs="Aria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nsid w:val="00000014"/>
    <w:multiLevelType w:val="singleLevel"/>
    <w:tmpl w:val="0686A788"/>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
    <w:nsid w:val="02EC47C7"/>
    <w:multiLevelType w:val="hybridMultilevel"/>
    <w:tmpl w:val="CE506486"/>
    <w:lvl w:ilvl="0" w:tplc="FFFFFFFF">
      <w:start w:val="1"/>
      <w:numFmt w:val="decimal"/>
      <w:pStyle w:val="Mcbng"/>
      <w:lvlText w:val="Bảng %1: "/>
      <w:lvlJc w:val="left"/>
      <w:pPr>
        <w:tabs>
          <w:tab w:val="num" w:pos="360"/>
        </w:tabs>
        <w:ind w:left="360" w:hanging="360"/>
      </w:pPr>
      <w:rPr>
        <w:rFonts w:ascii="Times New Roman" w:hAnsi="Times New Roman" w:cs="Times New Roman" w:hint="default"/>
        <w:sz w:val="24"/>
        <w:szCs w:val="24"/>
        <w:vertAlign w:val="baseline"/>
      </w:rPr>
    </w:lvl>
    <w:lvl w:ilvl="1" w:tplc="FFFFFFFF">
      <w:start w:val="1"/>
      <w:numFmt w:val="lowerLetter"/>
      <w:lvlText w:val="%2."/>
      <w:lvlJc w:val="left"/>
      <w:pPr>
        <w:tabs>
          <w:tab w:val="num" w:pos="1800"/>
        </w:tabs>
        <w:ind w:left="1800" w:hanging="360"/>
      </w:pPr>
    </w:lvl>
    <w:lvl w:ilvl="2" w:tplc="FFFFFFFF">
      <w:start w:val="1"/>
      <w:numFmt w:val="lowerRoman"/>
      <w:lvlText w:val="%3."/>
      <w:lvlJc w:val="right"/>
      <w:pPr>
        <w:tabs>
          <w:tab w:val="num" w:pos="2520"/>
        </w:tabs>
        <w:ind w:left="2520" w:hanging="180"/>
      </w:pPr>
    </w:lvl>
    <w:lvl w:ilvl="3" w:tplc="FFFFFFFF">
      <w:start w:val="1"/>
      <w:numFmt w:val="decimal"/>
      <w:lvlText w:val="%4."/>
      <w:lvlJc w:val="left"/>
      <w:pPr>
        <w:tabs>
          <w:tab w:val="num" w:pos="3240"/>
        </w:tabs>
        <w:ind w:left="3240" w:hanging="360"/>
      </w:pPr>
    </w:lvl>
    <w:lvl w:ilvl="4" w:tplc="FFFFFFFF">
      <w:start w:val="1"/>
      <w:numFmt w:val="lowerLetter"/>
      <w:lvlText w:val="%5."/>
      <w:lvlJc w:val="left"/>
      <w:pPr>
        <w:tabs>
          <w:tab w:val="num" w:pos="3960"/>
        </w:tabs>
        <w:ind w:left="3960" w:hanging="360"/>
      </w:pPr>
    </w:lvl>
    <w:lvl w:ilvl="5" w:tplc="FFFFFFFF">
      <w:start w:val="1"/>
      <w:numFmt w:val="lowerRoman"/>
      <w:lvlText w:val="%6."/>
      <w:lvlJc w:val="right"/>
      <w:pPr>
        <w:tabs>
          <w:tab w:val="num" w:pos="4680"/>
        </w:tabs>
        <w:ind w:left="4680" w:hanging="180"/>
      </w:pPr>
    </w:lvl>
    <w:lvl w:ilvl="6" w:tplc="FFFFFFFF">
      <w:start w:val="1"/>
      <w:numFmt w:val="decimal"/>
      <w:lvlText w:val="%7."/>
      <w:lvlJc w:val="left"/>
      <w:pPr>
        <w:tabs>
          <w:tab w:val="num" w:pos="5400"/>
        </w:tabs>
        <w:ind w:left="5400" w:hanging="360"/>
      </w:pPr>
    </w:lvl>
    <w:lvl w:ilvl="7" w:tplc="FFFFFFFF">
      <w:start w:val="1"/>
      <w:numFmt w:val="lowerLetter"/>
      <w:lvlText w:val="%8."/>
      <w:lvlJc w:val="left"/>
      <w:pPr>
        <w:tabs>
          <w:tab w:val="num" w:pos="6120"/>
        </w:tabs>
        <w:ind w:left="6120" w:hanging="360"/>
      </w:pPr>
    </w:lvl>
    <w:lvl w:ilvl="8" w:tplc="FFFFFFFF">
      <w:start w:val="1"/>
      <w:numFmt w:val="lowerRoman"/>
      <w:lvlText w:val="%9."/>
      <w:lvlJc w:val="right"/>
      <w:pPr>
        <w:tabs>
          <w:tab w:val="num" w:pos="6840"/>
        </w:tabs>
        <w:ind w:left="6840" w:hanging="180"/>
      </w:pPr>
    </w:lvl>
  </w:abstractNum>
  <w:abstractNum w:abstractNumId="4">
    <w:nsid w:val="04805420"/>
    <w:multiLevelType w:val="hybridMultilevel"/>
    <w:tmpl w:val="2604E250"/>
    <w:lvl w:ilvl="0" w:tplc="684A378C">
      <w:start w:val="1"/>
      <w:numFmt w:val="bullet"/>
      <w:lvlText w:val="+"/>
      <w:lvlJc w:val="left"/>
      <w:pPr>
        <w:ind w:left="1080" w:hanging="360"/>
      </w:pPr>
      <w:rPr>
        <w:rFonts w:ascii=".VnTime" w:eastAsia="Times New Roman" w:hAnsi=".VnTime" w:cs="Times New Roman" w:hint="default"/>
        <w:b w:val="0"/>
        <w:color w:val="auto"/>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0E243E54"/>
    <w:multiLevelType w:val="hybridMultilevel"/>
    <w:tmpl w:val="14A2DE78"/>
    <w:lvl w:ilvl="0" w:tplc="2CDEC870">
      <w:start w:val="5"/>
      <w:numFmt w:val="bullet"/>
      <w:lvlText w:val=""/>
      <w:lvlJc w:val="left"/>
      <w:pPr>
        <w:ind w:left="720" w:hanging="360"/>
      </w:pPr>
      <w:rPr>
        <w:rFonts w:ascii="Symbol" w:eastAsia="Arial"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4E1717"/>
    <w:multiLevelType w:val="hybridMultilevel"/>
    <w:tmpl w:val="DFFC4566"/>
    <w:lvl w:ilvl="0" w:tplc="EF4E0D40">
      <w:start w:val="4"/>
      <w:numFmt w:val="bullet"/>
      <w:lvlText w:val="-"/>
      <w:lvlJc w:val="left"/>
      <w:pPr>
        <w:tabs>
          <w:tab w:val="num" w:pos="720"/>
        </w:tabs>
        <w:ind w:left="720" w:hanging="360"/>
      </w:pPr>
      <w:rPr>
        <w:rFonts w:ascii=".VnTime" w:eastAsia="Times New Roman" w:hAnsi=".VnTime" w:cs="Times New Roman" w:hint="default"/>
      </w:rPr>
    </w:lvl>
    <w:lvl w:ilvl="1" w:tplc="C54C6A02" w:tentative="1">
      <w:start w:val="1"/>
      <w:numFmt w:val="bullet"/>
      <w:lvlText w:val=""/>
      <w:lvlJc w:val="left"/>
      <w:pPr>
        <w:tabs>
          <w:tab w:val="num" w:pos="1440"/>
        </w:tabs>
        <w:ind w:left="1440" w:hanging="360"/>
      </w:pPr>
      <w:rPr>
        <w:rFonts w:ascii="Wingdings" w:hAnsi="Wingdings" w:hint="default"/>
      </w:rPr>
    </w:lvl>
    <w:lvl w:ilvl="2" w:tplc="5F280978" w:tentative="1">
      <w:start w:val="1"/>
      <w:numFmt w:val="bullet"/>
      <w:lvlText w:val=""/>
      <w:lvlJc w:val="left"/>
      <w:pPr>
        <w:tabs>
          <w:tab w:val="num" w:pos="2160"/>
        </w:tabs>
        <w:ind w:left="2160" w:hanging="360"/>
      </w:pPr>
      <w:rPr>
        <w:rFonts w:ascii="Wingdings" w:hAnsi="Wingdings" w:hint="default"/>
      </w:rPr>
    </w:lvl>
    <w:lvl w:ilvl="3" w:tplc="BEBA8A40" w:tentative="1">
      <w:start w:val="1"/>
      <w:numFmt w:val="bullet"/>
      <w:lvlText w:val=""/>
      <w:lvlJc w:val="left"/>
      <w:pPr>
        <w:tabs>
          <w:tab w:val="num" w:pos="2880"/>
        </w:tabs>
        <w:ind w:left="2880" w:hanging="360"/>
      </w:pPr>
      <w:rPr>
        <w:rFonts w:ascii="Wingdings" w:hAnsi="Wingdings" w:hint="default"/>
      </w:rPr>
    </w:lvl>
    <w:lvl w:ilvl="4" w:tplc="54E2C58C" w:tentative="1">
      <w:start w:val="1"/>
      <w:numFmt w:val="bullet"/>
      <w:lvlText w:val=""/>
      <w:lvlJc w:val="left"/>
      <w:pPr>
        <w:tabs>
          <w:tab w:val="num" w:pos="3600"/>
        </w:tabs>
        <w:ind w:left="3600" w:hanging="360"/>
      </w:pPr>
      <w:rPr>
        <w:rFonts w:ascii="Wingdings" w:hAnsi="Wingdings" w:hint="default"/>
      </w:rPr>
    </w:lvl>
    <w:lvl w:ilvl="5" w:tplc="1CB0F384" w:tentative="1">
      <w:start w:val="1"/>
      <w:numFmt w:val="bullet"/>
      <w:lvlText w:val=""/>
      <w:lvlJc w:val="left"/>
      <w:pPr>
        <w:tabs>
          <w:tab w:val="num" w:pos="4320"/>
        </w:tabs>
        <w:ind w:left="4320" w:hanging="360"/>
      </w:pPr>
      <w:rPr>
        <w:rFonts w:ascii="Wingdings" w:hAnsi="Wingdings" w:hint="default"/>
      </w:rPr>
    </w:lvl>
    <w:lvl w:ilvl="6" w:tplc="D6226270" w:tentative="1">
      <w:start w:val="1"/>
      <w:numFmt w:val="bullet"/>
      <w:lvlText w:val=""/>
      <w:lvlJc w:val="left"/>
      <w:pPr>
        <w:tabs>
          <w:tab w:val="num" w:pos="5040"/>
        </w:tabs>
        <w:ind w:left="5040" w:hanging="360"/>
      </w:pPr>
      <w:rPr>
        <w:rFonts w:ascii="Wingdings" w:hAnsi="Wingdings" w:hint="default"/>
      </w:rPr>
    </w:lvl>
    <w:lvl w:ilvl="7" w:tplc="EAF438C6" w:tentative="1">
      <w:start w:val="1"/>
      <w:numFmt w:val="bullet"/>
      <w:lvlText w:val=""/>
      <w:lvlJc w:val="left"/>
      <w:pPr>
        <w:tabs>
          <w:tab w:val="num" w:pos="5760"/>
        </w:tabs>
        <w:ind w:left="5760" w:hanging="360"/>
      </w:pPr>
      <w:rPr>
        <w:rFonts w:ascii="Wingdings" w:hAnsi="Wingdings" w:hint="default"/>
      </w:rPr>
    </w:lvl>
    <w:lvl w:ilvl="8" w:tplc="510A451A" w:tentative="1">
      <w:start w:val="1"/>
      <w:numFmt w:val="bullet"/>
      <w:lvlText w:val=""/>
      <w:lvlJc w:val="left"/>
      <w:pPr>
        <w:tabs>
          <w:tab w:val="num" w:pos="6480"/>
        </w:tabs>
        <w:ind w:left="6480" w:hanging="360"/>
      </w:pPr>
      <w:rPr>
        <w:rFonts w:ascii="Wingdings" w:hAnsi="Wingdings" w:hint="default"/>
      </w:rPr>
    </w:lvl>
  </w:abstractNum>
  <w:abstractNum w:abstractNumId="7">
    <w:nsid w:val="16556EA3"/>
    <w:multiLevelType w:val="hybridMultilevel"/>
    <w:tmpl w:val="451812CA"/>
    <w:lvl w:ilvl="0" w:tplc="5CA0CFCA">
      <w:start w:val="1"/>
      <w:numFmt w:val="bullet"/>
      <w:lvlText w:val="-"/>
      <w:lvlJc w:val="left"/>
      <w:pPr>
        <w:ind w:left="1080" w:hanging="360"/>
      </w:pPr>
      <w:rPr>
        <w:rFonts w:ascii="Times New Roman" w:eastAsia="Calibr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
    <w:nsid w:val="166A1E07"/>
    <w:multiLevelType w:val="hybridMultilevel"/>
    <w:tmpl w:val="7234943A"/>
    <w:lvl w:ilvl="0" w:tplc="04090001">
      <w:start w:val="3"/>
      <w:numFmt w:val="bullet"/>
      <w:lvlText w:val="-"/>
      <w:lvlJc w:val="left"/>
      <w:pPr>
        <w:ind w:left="360" w:hanging="360"/>
      </w:pPr>
      <w:rPr>
        <w:rFonts w:ascii="Arial" w:eastAsia="Calibri"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698739D"/>
    <w:multiLevelType w:val="hybridMultilevel"/>
    <w:tmpl w:val="DAF463F2"/>
    <w:lvl w:ilvl="0" w:tplc="2CE6C2E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B634A6"/>
    <w:multiLevelType w:val="hybridMultilevel"/>
    <w:tmpl w:val="0B9A8CA2"/>
    <w:lvl w:ilvl="0" w:tplc="33C44A82">
      <w:start w:val="35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CD7279"/>
    <w:multiLevelType w:val="hybridMultilevel"/>
    <w:tmpl w:val="D17AF1FC"/>
    <w:lvl w:ilvl="0" w:tplc="BECABB96">
      <w:start w:val="1"/>
      <w:numFmt w:val="decimal"/>
      <w:lvlText w:val="%1."/>
      <w:lvlJc w:val="left"/>
      <w:pPr>
        <w:tabs>
          <w:tab w:val="num" w:pos="720"/>
        </w:tabs>
        <w:ind w:left="720" w:hanging="360"/>
      </w:pPr>
      <w:rPr>
        <w:rFonts w:hint="default"/>
      </w:rPr>
    </w:lvl>
    <w:lvl w:ilvl="1" w:tplc="EF4E0D40">
      <w:start w:val="4"/>
      <w:numFmt w:val="bullet"/>
      <w:lvlText w:val="-"/>
      <w:lvlJc w:val="left"/>
      <w:pPr>
        <w:tabs>
          <w:tab w:val="num" w:pos="1440"/>
        </w:tabs>
        <w:ind w:left="1440" w:hanging="360"/>
      </w:pPr>
      <w:rPr>
        <w:rFonts w:ascii=".VnTime" w:eastAsia="Times New Roman" w:hAnsi=".VnTime" w:cs="Times New Roman" w:hint="default"/>
      </w:rPr>
    </w:lvl>
    <w:lvl w:ilvl="2" w:tplc="AE6873C0" w:tentative="1">
      <w:start w:val="1"/>
      <w:numFmt w:val="lowerRoman"/>
      <w:lvlText w:val="%3."/>
      <w:lvlJc w:val="right"/>
      <w:pPr>
        <w:tabs>
          <w:tab w:val="num" w:pos="2160"/>
        </w:tabs>
        <w:ind w:left="2160" w:hanging="180"/>
      </w:pPr>
    </w:lvl>
    <w:lvl w:ilvl="3" w:tplc="F2AA0F46" w:tentative="1">
      <w:start w:val="1"/>
      <w:numFmt w:val="decimal"/>
      <w:lvlText w:val="%4."/>
      <w:lvlJc w:val="left"/>
      <w:pPr>
        <w:tabs>
          <w:tab w:val="num" w:pos="2880"/>
        </w:tabs>
        <w:ind w:left="2880" w:hanging="360"/>
      </w:pPr>
    </w:lvl>
    <w:lvl w:ilvl="4" w:tplc="43B28E0E" w:tentative="1">
      <w:start w:val="1"/>
      <w:numFmt w:val="lowerLetter"/>
      <w:lvlText w:val="%5."/>
      <w:lvlJc w:val="left"/>
      <w:pPr>
        <w:tabs>
          <w:tab w:val="num" w:pos="3600"/>
        </w:tabs>
        <w:ind w:left="3600" w:hanging="360"/>
      </w:pPr>
    </w:lvl>
    <w:lvl w:ilvl="5" w:tplc="11648440" w:tentative="1">
      <w:start w:val="1"/>
      <w:numFmt w:val="lowerRoman"/>
      <w:lvlText w:val="%6."/>
      <w:lvlJc w:val="right"/>
      <w:pPr>
        <w:tabs>
          <w:tab w:val="num" w:pos="4320"/>
        </w:tabs>
        <w:ind w:left="4320" w:hanging="180"/>
      </w:pPr>
    </w:lvl>
    <w:lvl w:ilvl="6" w:tplc="02CA7A84" w:tentative="1">
      <w:start w:val="1"/>
      <w:numFmt w:val="decimal"/>
      <w:lvlText w:val="%7."/>
      <w:lvlJc w:val="left"/>
      <w:pPr>
        <w:tabs>
          <w:tab w:val="num" w:pos="5040"/>
        </w:tabs>
        <w:ind w:left="5040" w:hanging="360"/>
      </w:pPr>
    </w:lvl>
    <w:lvl w:ilvl="7" w:tplc="7FDC8BEC" w:tentative="1">
      <w:start w:val="1"/>
      <w:numFmt w:val="lowerLetter"/>
      <w:lvlText w:val="%8."/>
      <w:lvlJc w:val="left"/>
      <w:pPr>
        <w:tabs>
          <w:tab w:val="num" w:pos="5760"/>
        </w:tabs>
        <w:ind w:left="5760" w:hanging="360"/>
      </w:pPr>
    </w:lvl>
    <w:lvl w:ilvl="8" w:tplc="703895E2" w:tentative="1">
      <w:start w:val="1"/>
      <w:numFmt w:val="lowerRoman"/>
      <w:lvlText w:val="%9."/>
      <w:lvlJc w:val="right"/>
      <w:pPr>
        <w:tabs>
          <w:tab w:val="num" w:pos="6480"/>
        </w:tabs>
        <w:ind w:left="6480" w:hanging="180"/>
      </w:pPr>
    </w:lvl>
  </w:abstractNum>
  <w:abstractNum w:abstractNumId="12">
    <w:nsid w:val="1E363D86"/>
    <w:multiLevelType w:val="hybridMultilevel"/>
    <w:tmpl w:val="E026A1CA"/>
    <w:lvl w:ilvl="0" w:tplc="04090017">
      <w:start w:val="1"/>
      <w:numFmt w:val="low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58A5269"/>
    <w:multiLevelType w:val="hybridMultilevel"/>
    <w:tmpl w:val="A784DFE6"/>
    <w:lvl w:ilvl="0" w:tplc="2CE6C2E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8A048E9"/>
    <w:multiLevelType w:val="hybridMultilevel"/>
    <w:tmpl w:val="7FF8BE8A"/>
    <w:lvl w:ilvl="0" w:tplc="78B095D2">
      <w:start w:val="3"/>
      <w:numFmt w:val="bullet"/>
      <w:pStyle w:val="-"/>
      <w:lvlText w:val="-"/>
      <w:lvlJc w:val="left"/>
      <w:pPr>
        <w:ind w:left="720" w:hanging="360"/>
      </w:pPr>
      <w:rPr>
        <w:rFonts w:ascii="Times New Roman" w:eastAsia="Times New Roman" w:hAnsi="Times New Roman" w:cs="Times New Roman" w:hint="default"/>
        <w:b w:val="0"/>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5F4002"/>
    <w:multiLevelType w:val="hybridMultilevel"/>
    <w:tmpl w:val="E522E5DA"/>
    <w:lvl w:ilvl="0" w:tplc="48928BFE">
      <w:start w:val="1"/>
      <w:numFmt w:val="decimal"/>
      <w:lvlText w:val="%1."/>
      <w:lvlJc w:val="left"/>
      <w:pPr>
        <w:tabs>
          <w:tab w:val="num" w:pos="720"/>
        </w:tabs>
        <w:ind w:left="720" w:hanging="360"/>
      </w:pPr>
      <w:rPr>
        <w:rFonts w:hint="default"/>
      </w:rPr>
    </w:lvl>
    <w:lvl w:ilvl="1" w:tplc="3BDA99B0">
      <w:numFmt w:val="none"/>
      <w:lvlText w:val=""/>
      <w:lvlJc w:val="left"/>
      <w:pPr>
        <w:tabs>
          <w:tab w:val="num" w:pos="360"/>
        </w:tabs>
      </w:pPr>
    </w:lvl>
    <w:lvl w:ilvl="2" w:tplc="77349DC2">
      <w:numFmt w:val="none"/>
      <w:lvlText w:val=""/>
      <w:lvlJc w:val="left"/>
      <w:pPr>
        <w:tabs>
          <w:tab w:val="num" w:pos="360"/>
        </w:tabs>
      </w:pPr>
    </w:lvl>
    <w:lvl w:ilvl="3" w:tplc="AC7E0DA4">
      <w:numFmt w:val="none"/>
      <w:lvlText w:val=""/>
      <w:lvlJc w:val="left"/>
      <w:pPr>
        <w:tabs>
          <w:tab w:val="num" w:pos="360"/>
        </w:tabs>
      </w:pPr>
    </w:lvl>
    <w:lvl w:ilvl="4" w:tplc="B99E5CB2">
      <w:numFmt w:val="none"/>
      <w:lvlText w:val=""/>
      <w:lvlJc w:val="left"/>
      <w:pPr>
        <w:tabs>
          <w:tab w:val="num" w:pos="360"/>
        </w:tabs>
      </w:pPr>
    </w:lvl>
    <w:lvl w:ilvl="5" w:tplc="923EFE36">
      <w:numFmt w:val="none"/>
      <w:lvlText w:val=""/>
      <w:lvlJc w:val="left"/>
      <w:pPr>
        <w:tabs>
          <w:tab w:val="num" w:pos="360"/>
        </w:tabs>
      </w:pPr>
    </w:lvl>
    <w:lvl w:ilvl="6" w:tplc="FA9847FC">
      <w:numFmt w:val="none"/>
      <w:lvlText w:val=""/>
      <w:lvlJc w:val="left"/>
      <w:pPr>
        <w:tabs>
          <w:tab w:val="num" w:pos="360"/>
        </w:tabs>
      </w:pPr>
    </w:lvl>
    <w:lvl w:ilvl="7" w:tplc="EA6AA212">
      <w:numFmt w:val="none"/>
      <w:lvlText w:val=""/>
      <w:lvlJc w:val="left"/>
      <w:pPr>
        <w:tabs>
          <w:tab w:val="num" w:pos="360"/>
        </w:tabs>
      </w:pPr>
    </w:lvl>
    <w:lvl w:ilvl="8" w:tplc="3DB4A064">
      <w:numFmt w:val="none"/>
      <w:lvlText w:val=""/>
      <w:lvlJc w:val="left"/>
      <w:pPr>
        <w:tabs>
          <w:tab w:val="num" w:pos="360"/>
        </w:tabs>
      </w:pPr>
    </w:lvl>
  </w:abstractNum>
  <w:abstractNum w:abstractNumId="16">
    <w:nsid w:val="2AA3691B"/>
    <w:multiLevelType w:val="hybridMultilevel"/>
    <w:tmpl w:val="4CFE0066"/>
    <w:lvl w:ilvl="0" w:tplc="86B680D0">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nsid w:val="2CE46FFF"/>
    <w:multiLevelType w:val="hybridMultilevel"/>
    <w:tmpl w:val="50D68774"/>
    <w:lvl w:ilvl="0" w:tplc="46EEA332">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nsid w:val="2EBB6B20"/>
    <w:multiLevelType w:val="hybridMultilevel"/>
    <w:tmpl w:val="FEA47C08"/>
    <w:lvl w:ilvl="0" w:tplc="04090009">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nsid w:val="32592C06"/>
    <w:multiLevelType w:val="hybridMultilevel"/>
    <w:tmpl w:val="3C0E6004"/>
    <w:lvl w:ilvl="0" w:tplc="FFFFFFFF">
      <w:start w:val="1"/>
      <w:numFmt w:val="bullet"/>
      <w:lvlText w:val=""/>
      <w:lvlJc w:val="left"/>
      <w:pPr>
        <w:ind w:left="1429" w:hanging="360"/>
      </w:pPr>
      <w:rPr>
        <w:rFonts w:ascii="Wingdings" w:hAnsi="Wingdings" w:cs="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nsid w:val="34F72856"/>
    <w:multiLevelType w:val="hybridMultilevel"/>
    <w:tmpl w:val="50CE4A16"/>
    <w:lvl w:ilvl="0" w:tplc="684A378C">
      <w:start w:val="1"/>
      <w:numFmt w:val="bullet"/>
      <w:lvlText w:val="+"/>
      <w:lvlJc w:val="left"/>
      <w:pPr>
        <w:ind w:left="1440" w:hanging="360"/>
      </w:pPr>
      <w:rPr>
        <w:rFonts w:ascii=".VnTime" w:eastAsia="Times New Roman" w:hAnsi=".VnTime"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36AF1397"/>
    <w:multiLevelType w:val="hybridMultilevel"/>
    <w:tmpl w:val="89B8FA2A"/>
    <w:lvl w:ilvl="0" w:tplc="6838CCC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8169D9"/>
    <w:multiLevelType w:val="hybridMultilevel"/>
    <w:tmpl w:val="244E35E6"/>
    <w:lvl w:ilvl="0" w:tplc="B04A8C2A">
      <w:start w:val="1"/>
      <w:numFmt w:val="bullet"/>
      <w:lvlText w:val="▪"/>
      <w:lvlJc w:val="left"/>
      <w:pPr>
        <w:tabs>
          <w:tab w:val="num" w:pos="397"/>
        </w:tabs>
        <w:ind w:left="397" w:hanging="397"/>
      </w:pPr>
      <w:rPr>
        <w:rFonts w:ascii="Times New Roman" w:hAnsi="Times New Roman" w:hint="default"/>
        <w:color w:val="595959"/>
        <w:sz w:val="24"/>
      </w:rPr>
    </w:lvl>
    <w:lvl w:ilvl="1" w:tplc="04090003">
      <w:start w:val="1"/>
      <w:numFmt w:val="bullet"/>
      <w:lvlText w:val=""/>
      <w:lvlJc w:val="left"/>
      <w:pPr>
        <w:tabs>
          <w:tab w:val="num" w:pos="1043"/>
        </w:tabs>
        <w:ind w:left="1043" w:hanging="360"/>
      </w:pPr>
      <w:rPr>
        <w:rFonts w:ascii="Times New Roman" w:hAnsi="Times New Roman" w:hint="default"/>
        <w:color w:val="595959"/>
        <w:sz w:val="24"/>
      </w:rPr>
    </w:lvl>
    <w:lvl w:ilvl="2" w:tplc="04090005" w:tentative="1">
      <w:start w:val="1"/>
      <w:numFmt w:val="bullet"/>
      <w:lvlText w:val=""/>
      <w:lvlJc w:val="left"/>
      <w:pPr>
        <w:tabs>
          <w:tab w:val="num" w:pos="1763"/>
        </w:tabs>
        <w:ind w:left="1763" w:hanging="360"/>
      </w:pPr>
      <w:rPr>
        <w:rFonts w:ascii="Times New Roman" w:hAnsi="Times New Roman" w:hint="default"/>
      </w:rPr>
    </w:lvl>
    <w:lvl w:ilvl="3" w:tplc="04090001" w:tentative="1">
      <w:start w:val="1"/>
      <w:numFmt w:val="bullet"/>
      <w:lvlText w:val=""/>
      <w:lvlJc w:val="left"/>
      <w:pPr>
        <w:tabs>
          <w:tab w:val="num" w:pos="2483"/>
        </w:tabs>
        <w:ind w:left="2483" w:hanging="360"/>
      </w:pPr>
      <w:rPr>
        <w:rFonts w:ascii="Times New Roman" w:hAnsi="Times New Roman" w:hint="default"/>
      </w:rPr>
    </w:lvl>
    <w:lvl w:ilvl="4" w:tplc="04090003" w:tentative="1">
      <w:start w:val="1"/>
      <w:numFmt w:val="bullet"/>
      <w:lvlText w:val="o"/>
      <w:lvlJc w:val="left"/>
      <w:pPr>
        <w:tabs>
          <w:tab w:val="num" w:pos="3203"/>
        </w:tabs>
        <w:ind w:left="3203" w:hanging="360"/>
      </w:pPr>
      <w:rPr>
        <w:rFonts w:ascii="Courier New" w:hAnsi="Courier New" w:hint="default"/>
      </w:rPr>
    </w:lvl>
    <w:lvl w:ilvl="5" w:tplc="04090005" w:tentative="1">
      <w:start w:val="1"/>
      <w:numFmt w:val="bullet"/>
      <w:lvlText w:val=""/>
      <w:lvlJc w:val="left"/>
      <w:pPr>
        <w:tabs>
          <w:tab w:val="num" w:pos="3923"/>
        </w:tabs>
        <w:ind w:left="3923" w:hanging="360"/>
      </w:pPr>
      <w:rPr>
        <w:rFonts w:ascii="Times New Roman" w:hAnsi="Times New Roman" w:hint="default"/>
      </w:rPr>
    </w:lvl>
    <w:lvl w:ilvl="6" w:tplc="04090001" w:tentative="1">
      <w:start w:val="1"/>
      <w:numFmt w:val="bullet"/>
      <w:lvlText w:val=""/>
      <w:lvlJc w:val="left"/>
      <w:pPr>
        <w:tabs>
          <w:tab w:val="num" w:pos="4643"/>
        </w:tabs>
        <w:ind w:left="4643" w:hanging="360"/>
      </w:pPr>
      <w:rPr>
        <w:rFonts w:ascii="Times New Roman" w:hAnsi="Times New Roman" w:hint="default"/>
      </w:rPr>
    </w:lvl>
    <w:lvl w:ilvl="7" w:tplc="04090003" w:tentative="1">
      <w:start w:val="1"/>
      <w:numFmt w:val="bullet"/>
      <w:lvlText w:val="o"/>
      <w:lvlJc w:val="left"/>
      <w:pPr>
        <w:tabs>
          <w:tab w:val="num" w:pos="5363"/>
        </w:tabs>
        <w:ind w:left="5363" w:hanging="360"/>
      </w:pPr>
      <w:rPr>
        <w:rFonts w:ascii="Courier New" w:hAnsi="Courier New" w:hint="default"/>
      </w:rPr>
    </w:lvl>
    <w:lvl w:ilvl="8" w:tplc="04090005" w:tentative="1">
      <w:start w:val="1"/>
      <w:numFmt w:val="bullet"/>
      <w:lvlText w:val=""/>
      <w:lvlJc w:val="left"/>
      <w:pPr>
        <w:tabs>
          <w:tab w:val="num" w:pos="6083"/>
        </w:tabs>
        <w:ind w:left="6083" w:hanging="360"/>
      </w:pPr>
      <w:rPr>
        <w:rFonts w:ascii="Times New Roman" w:hAnsi="Times New Roman" w:hint="default"/>
      </w:rPr>
    </w:lvl>
  </w:abstractNum>
  <w:abstractNum w:abstractNumId="23">
    <w:nsid w:val="47915934"/>
    <w:multiLevelType w:val="hybridMultilevel"/>
    <w:tmpl w:val="F62A5540"/>
    <w:lvl w:ilvl="0" w:tplc="EF4E0D40">
      <w:start w:val="4"/>
      <w:numFmt w:val="bullet"/>
      <w:lvlText w:val="-"/>
      <w:lvlJc w:val="left"/>
      <w:pPr>
        <w:tabs>
          <w:tab w:val="num" w:pos="720"/>
        </w:tabs>
        <w:ind w:left="720" w:hanging="360"/>
      </w:pPr>
      <w:rPr>
        <w:rFonts w:ascii=".VnTime" w:eastAsia="Times New Roman" w:hAnsi=".VnTime" w:cs="Times New Roman" w:hint="default"/>
      </w:rPr>
    </w:lvl>
    <w:lvl w:ilvl="1" w:tplc="77C8C8FE" w:tentative="1">
      <w:start w:val="1"/>
      <w:numFmt w:val="bullet"/>
      <w:lvlText w:val=""/>
      <w:lvlJc w:val="left"/>
      <w:pPr>
        <w:tabs>
          <w:tab w:val="num" w:pos="1440"/>
        </w:tabs>
        <w:ind w:left="1440" w:hanging="360"/>
      </w:pPr>
      <w:rPr>
        <w:rFonts w:ascii="Wingdings" w:hAnsi="Wingdings" w:hint="default"/>
      </w:rPr>
    </w:lvl>
    <w:lvl w:ilvl="2" w:tplc="521C745A" w:tentative="1">
      <w:start w:val="1"/>
      <w:numFmt w:val="bullet"/>
      <w:lvlText w:val=""/>
      <w:lvlJc w:val="left"/>
      <w:pPr>
        <w:tabs>
          <w:tab w:val="num" w:pos="2160"/>
        </w:tabs>
        <w:ind w:left="2160" w:hanging="360"/>
      </w:pPr>
      <w:rPr>
        <w:rFonts w:ascii="Wingdings" w:hAnsi="Wingdings" w:hint="default"/>
      </w:rPr>
    </w:lvl>
    <w:lvl w:ilvl="3" w:tplc="028AB420" w:tentative="1">
      <w:start w:val="1"/>
      <w:numFmt w:val="bullet"/>
      <w:lvlText w:val=""/>
      <w:lvlJc w:val="left"/>
      <w:pPr>
        <w:tabs>
          <w:tab w:val="num" w:pos="2880"/>
        </w:tabs>
        <w:ind w:left="2880" w:hanging="360"/>
      </w:pPr>
      <w:rPr>
        <w:rFonts w:ascii="Wingdings" w:hAnsi="Wingdings" w:hint="default"/>
      </w:rPr>
    </w:lvl>
    <w:lvl w:ilvl="4" w:tplc="DA86F92C" w:tentative="1">
      <w:start w:val="1"/>
      <w:numFmt w:val="bullet"/>
      <w:lvlText w:val=""/>
      <w:lvlJc w:val="left"/>
      <w:pPr>
        <w:tabs>
          <w:tab w:val="num" w:pos="3600"/>
        </w:tabs>
        <w:ind w:left="3600" w:hanging="360"/>
      </w:pPr>
      <w:rPr>
        <w:rFonts w:ascii="Wingdings" w:hAnsi="Wingdings" w:hint="default"/>
      </w:rPr>
    </w:lvl>
    <w:lvl w:ilvl="5" w:tplc="A1663168" w:tentative="1">
      <w:start w:val="1"/>
      <w:numFmt w:val="bullet"/>
      <w:lvlText w:val=""/>
      <w:lvlJc w:val="left"/>
      <w:pPr>
        <w:tabs>
          <w:tab w:val="num" w:pos="4320"/>
        </w:tabs>
        <w:ind w:left="4320" w:hanging="360"/>
      </w:pPr>
      <w:rPr>
        <w:rFonts w:ascii="Wingdings" w:hAnsi="Wingdings" w:hint="default"/>
      </w:rPr>
    </w:lvl>
    <w:lvl w:ilvl="6" w:tplc="A834732C" w:tentative="1">
      <w:start w:val="1"/>
      <w:numFmt w:val="bullet"/>
      <w:lvlText w:val=""/>
      <w:lvlJc w:val="left"/>
      <w:pPr>
        <w:tabs>
          <w:tab w:val="num" w:pos="5040"/>
        </w:tabs>
        <w:ind w:left="5040" w:hanging="360"/>
      </w:pPr>
      <w:rPr>
        <w:rFonts w:ascii="Wingdings" w:hAnsi="Wingdings" w:hint="default"/>
      </w:rPr>
    </w:lvl>
    <w:lvl w:ilvl="7" w:tplc="C8AADA48" w:tentative="1">
      <w:start w:val="1"/>
      <w:numFmt w:val="bullet"/>
      <w:lvlText w:val=""/>
      <w:lvlJc w:val="left"/>
      <w:pPr>
        <w:tabs>
          <w:tab w:val="num" w:pos="5760"/>
        </w:tabs>
        <w:ind w:left="5760" w:hanging="360"/>
      </w:pPr>
      <w:rPr>
        <w:rFonts w:ascii="Wingdings" w:hAnsi="Wingdings" w:hint="default"/>
      </w:rPr>
    </w:lvl>
    <w:lvl w:ilvl="8" w:tplc="A7D89BC4" w:tentative="1">
      <w:start w:val="1"/>
      <w:numFmt w:val="bullet"/>
      <w:lvlText w:val=""/>
      <w:lvlJc w:val="left"/>
      <w:pPr>
        <w:tabs>
          <w:tab w:val="num" w:pos="6480"/>
        </w:tabs>
        <w:ind w:left="6480" w:hanging="360"/>
      </w:pPr>
      <w:rPr>
        <w:rFonts w:ascii="Wingdings" w:hAnsi="Wingdings" w:hint="default"/>
      </w:rPr>
    </w:lvl>
  </w:abstractNum>
  <w:abstractNum w:abstractNumId="24">
    <w:nsid w:val="4AA54E9D"/>
    <w:multiLevelType w:val="hybridMultilevel"/>
    <w:tmpl w:val="276CA586"/>
    <w:lvl w:ilvl="0" w:tplc="B090FA94">
      <w:start w:val="1"/>
      <w:numFmt w:val="bullet"/>
      <w:lvlText w:val="-"/>
      <w:lvlJc w:val="left"/>
      <w:pPr>
        <w:tabs>
          <w:tab w:val="num" w:pos="720"/>
        </w:tabs>
        <w:ind w:left="720" w:hanging="360"/>
      </w:pPr>
      <w:rPr>
        <w:rFonts w:ascii="Times New Roman" w:hAnsi="Times New Roman" w:hint="default"/>
      </w:rPr>
    </w:lvl>
    <w:lvl w:ilvl="1" w:tplc="9EB054AA" w:tentative="1">
      <w:start w:val="1"/>
      <w:numFmt w:val="bullet"/>
      <w:lvlText w:val="-"/>
      <w:lvlJc w:val="left"/>
      <w:pPr>
        <w:tabs>
          <w:tab w:val="num" w:pos="1440"/>
        </w:tabs>
        <w:ind w:left="1440" w:hanging="360"/>
      </w:pPr>
      <w:rPr>
        <w:rFonts w:ascii="Times New Roman" w:hAnsi="Times New Roman" w:hint="default"/>
      </w:rPr>
    </w:lvl>
    <w:lvl w:ilvl="2" w:tplc="859AEE22" w:tentative="1">
      <w:start w:val="1"/>
      <w:numFmt w:val="bullet"/>
      <w:lvlText w:val="-"/>
      <w:lvlJc w:val="left"/>
      <w:pPr>
        <w:tabs>
          <w:tab w:val="num" w:pos="2160"/>
        </w:tabs>
        <w:ind w:left="2160" w:hanging="360"/>
      </w:pPr>
      <w:rPr>
        <w:rFonts w:ascii="Times New Roman" w:hAnsi="Times New Roman" w:hint="default"/>
      </w:rPr>
    </w:lvl>
    <w:lvl w:ilvl="3" w:tplc="26A259D6" w:tentative="1">
      <w:start w:val="1"/>
      <w:numFmt w:val="bullet"/>
      <w:lvlText w:val="-"/>
      <w:lvlJc w:val="left"/>
      <w:pPr>
        <w:tabs>
          <w:tab w:val="num" w:pos="2880"/>
        </w:tabs>
        <w:ind w:left="2880" w:hanging="360"/>
      </w:pPr>
      <w:rPr>
        <w:rFonts w:ascii="Times New Roman" w:hAnsi="Times New Roman" w:hint="default"/>
      </w:rPr>
    </w:lvl>
    <w:lvl w:ilvl="4" w:tplc="EEEA1CA8" w:tentative="1">
      <w:start w:val="1"/>
      <w:numFmt w:val="bullet"/>
      <w:lvlText w:val="-"/>
      <w:lvlJc w:val="left"/>
      <w:pPr>
        <w:tabs>
          <w:tab w:val="num" w:pos="3600"/>
        </w:tabs>
        <w:ind w:left="3600" w:hanging="360"/>
      </w:pPr>
      <w:rPr>
        <w:rFonts w:ascii="Times New Roman" w:hAnsi="Times New Roman" w:hint="default"/>
      </w:rPr>
    </w:lvl>
    <w:lvl w:ilvl="5" w:tplc="DC6EFA3C" w:tentative="1">
      <w:start w:val="1"/>
      <w:numFmt w:val="bullet"/>
      <w:lvlText w:val="-"/>
      <w:lvlJc w:val="left"/>
      <w:pPr>
        <w:tabs>
          <w:tab w:val="num" w:pos="4320"/>
        </w:tabs>
        <w:ind w:left="4320" w:hanging="360"/>
      </w:pPr>
      <w:rPr>
        <w:rFonts w:ascii="Times New Roman" w:hAnsi="Times New Roman" w:hint="default"/>
      </w:rPr>
    </w:lvl>
    <w:lvl w:ilvl="6" w:tplc="68FE321E" w:tentative="1">
      <w:start w:val="1"/>
      <w:numFmt w:val="bullet"/>
      <w:lvlText w:val="-"/>
      <w:lvlJc w:val="left"/>
      <w:pPr>
        <w:tabs>
          <w:tab w:val="num" w:pos="5040"/>
        </w:tabs>
        <w:ind w:left="5040" w:hanging="360"/>
      </w:pPr>
      <w:rPr>
        <w:rFonts w:ascii="Times New Roman" w:hAnsi="Times New Roman" w:hint="default"/>
      </w:rPr>
    </w:lvl>
    <w:lvl w:ilvl="7" w:tplc="1B2E2986" w:tentative="1">
      <w:start w:val="1"/>
      <w:numFmt w:val="bullet"/>
      <w:lvlText w:val="-"/>
      <w:lvlJc w:val="left"/>
      <w:pPr>
        <w:tabs>
          <w:tab w:val="num" w:pos="5760"/>
        </w:tabs>
        <w:ind w:left="5760" w:hanging="360"/>
      </w:pPr>
      <w:rPr>
        <w:rFonts w:ascii="Times New Roman" w:hAnsi="Times New Roman" w:hint="default"/>
      </w:rPr>
    </w:lvl>
    <w:lvl w:ilvl="8" w:tplc="53462CD0" w:tentative="1">
      <w:start w:val="1"/>
      <w:numFmt w:val="bullet"/>
      <w:lvlText w:val="-"/>
      <w:lvlJc w:val="left"/>
      <w:pPr>
        <w:tabs>
          <w:tab w:val="num" w:pos="6480"/>
        </w:tabs>
        <w:ind w:left="6480" w:hanging="360"/>
      </w:pPr>
      <w:rPr>
        <w:rFonts w:ascii="Times New Roman" w:hAnsi="Times New Roman" w:hint="default"/>
      </w:rPr>
    </w:lvl>
  </w:abstractNum>
  <w:abstractNum w:abstractNumId="25">
    <w:nsid w:val="4E5E366E"/>
    <w:multiLevelType w:val="hybridMultilevel"/>
    <w:tmpl w:val="6DA6FBAE"/>
    <w:lvl w:ilvl="0" w:tplc="FFFFFFFF">
      <w:start w:val="1"/>
      <w:numFmt w:val="bullet"/>
      <w:lvlText w:val="-"/>
      <w:lvlJc w:val="left"/>
      <w:pPr>
        <w:tabs>
          <w:tab w:val="num" w:pos="720"/>
        </w:tabs>
        <w:ind w:left="720" w:hanging="360"/>
      </w:pPr>
      <w:rPr>
        <w:rFonts w:ascii="Arial" w:eastAsia="Times New Roman" w:hAnsi="Arial" w:cs="Arial" w:hint="default"/>
      </w:rPr>
    </w:lvl>
    <w:lvl w:ilvl="1" w:tplc="0409000F">
      <w:start w:val="1"/>
      <w:numFmt w:val="decimal"/>
      <w:lvlText w:val="%2."/>
      <w:lvlJc w:val="left"/>
      <w:pPr>
        <w:tabs>
          <w:tab w:val="num" w:pos="1440"/>
        </w:tabs>
        <w:ind w:left="1440" w:hanging="36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nsid w:val="51043D21"/>
    <w:multiLevelType w:val="hybridMultilevel"/>
    <w:tmpl w:val="BF000CD4"/>
    <w:lvl w:ilvl="0" w:tplc="684A378C">
      <w:start w:val="1"/>
      <w:numFmt w:val="bullet"/>
      <w:lvlText w:val="+"/>
      <w:lvlJc w:val="left"/>
      <w:pPr>
        <w:ind w:left="1321" w:hanging="360"/>
      </w:pPr>
      <w:rPr>
        <w:rFonts w:ascii=".VnTime" w:eastAsia="Times New Roman" w:hAnsi=".VnTime" w:cs="Times New Roman" w:hint="default"/>
      </w:rPr>
    </w:lvl>
    <w:lvl w:ilvl="1" w:tplc="04090003" w:tentative="1">
      <w:start w:val="1"/>
      <w:numFmt w:val="bullet"/>
      <w:lvlText w:val="o"/>
      <w:lvlJc w:val="left"/>
      <w:pPr>
        <w:ind w:left="2041" w:hanging="360"/>
      </w:pPr>
      <w:rPr>
        <w:rFonts w:ascii="Courier New" w:hAnsi="Courier New" w:cs="Courier New" w:hint="default"/>
      </w:rPr>
    </w:lvl>
    <w:lvl w:ilvl="2" w:tplc="04090005" w:tentative="1">
      <w:start w:val="1"/>
      <w:numFmt w:val="bullet"/>
      <w:lvlText w:val=""/>
      <w:lvlJc w:val="left"/>
      <w:pPr>
        <w:ind w:left="2761" w:hanging="360"/>
      </w:pPr>
      <w:rPr>
        <w:rFonts w:ascii="Wingdings" w:hAnsi="Wingdings" w:hint="default"/>
      </w:rPr>
    </w:lvl>
    <w:lvl w:ilvl="3" w:tplc="04090001" w:tentative="1">
      <w:start w:val="1"/>
      <w:numFmt w:val="bullet"/>
      <w:lvlText w:val=""/>
      <w:lvlJc w:val="left"/>
      <w:pPr>
        <w:ind w:left="3481" w:hanging="360"/>
      </w:pPr>
      <w:rPr>
        <w:rFonts w:ascii="Symbol" w:hAnsi="Symbol" w:hint="default"/>
      </w:rPr>
    </w:lvl>
    <w:lvl w:ilvl="4" w:tplc="04090003" w:tentative="1">
      <w:start w:val="1"/>
      <w:numFmt w:val="bullet"/>
      <w:lvlText w:val="o"/>
      <w:lvlJc w:val="left"/>
      <w:pPr>
        <w:ind w:left="4201" w:hanging="360"/>
      </w:pPr>
      <w:rPr>
        <w:rFonts w:ascii="Courier New" w:hAnsi="Courier New" w:cs="Courier New" w:hint="default"/>
      </w:rPr>
    </w:lvl>
    <w:lvl w:ilvl="5" w:tplc="04090005" w:tentative="1">
      <w:start w:val="1"/>
      <w:numFmt w:val="bullet"/>
      <w:lvlText w:val=""/>
      <w:lvlJc w:val="left"/>
      <w:pPr>
        <w:ind w:left="4921" w:hanging="360"/>
      </w:pPr>
      <w:rPr>
        <w:rFonts w:ascii="Wingdings" w:hAnsi="Wingdings" w:hint="default"/>
      </w:rPr>
    </w:lvl>
    <w:lvl w:ilvl="6" w:tplc="04090001" w:tentative="1">
      <w:start w:val="1"/>
      <w:numFmt w:val="bullet"/>
      <w:lvlText w:val=""/>
      <w:lvlJc w:val="left"/>
      <w:pPr>
        <w:ind w:left="5641" w:hanging="360"/>
      </w:pPr>
      <w:rPr>
        <w:rFonts w:ascii="Symbol" w:hAnsi="Symbol" w:hint="default"/>
      </w:rPr>
    </w:lvl>
    <w:lvl w:ilvl="7" w:tplc="04090003" w:tentative="1">
      <w:start w:val="1"/>
      <w:numFmt w:val="bullet"/>
      <w:lvlText w:val="o"/>
      <w:lvlJc w:val="left"/>
      <w:pPr>
        <w:ind w:left="6361" w:hanging="360"/>
      </w:pPr>
      <w:rPr>
        <w:rFonts w:ascii="Courier New" w:hAnsi="Courier New" w:cs="Courier New" w:hint="default"/>
      </w:rPr>
    </w:lvl>
    <w:lvl w:ilvl="8" w:tplc="04090005" w:tentative="1">
      <w:start w:val="1"/>
      <w:numFmt w:val="bullet"/>
      <w:lvlText w:val=""/>
      <w:lvlJc w:val="left"/>
      <w:pPr>
        <w:ind w:left="7081" w:hanging="360"/>
      </w:pPr>
      <w:rPr>
        <w:rFonts w:ascii="Wingdings" w:hAnsi="Wingdings" w:hint="default"/>
      </w:rPr>
    </w:lvl>
  </w:abstractNum>
  <w:abstractNum w:abstractNumId="27">
    <w:nsid w:val="52217A30"/>
    <w:multiLevelType w:val="hybridMultilevel"/>
    <w:tmpl w:val="8990E66A"/>
    <w:lvl w:ilvl="0" w:tplc="FAE25BD2">
      <w:start w:val="1"/>
      <w:numFmt w:val="decimal"/>
      <w:lvlText w:val="%1."/>
      <w:lvlJc w:val="left"/>
      <w:pPr>
        <w:tabs>
          <w:tab w:val="num" w:pos="720"/>
        </w:tabs>
        <w:ind w:left="720" w:hanging="360"/>
      </w:pPr>
    </w:lvl>
    <w:lvl w:ilvl="1" w:tplc="F9420E30" w:tentative="1">
      <w:start w:val="1"/>
      <w:numFmt w:val="decimal"/>
      <w:lvlText w:val="%2."/>
      <w:lvlJc w:val="left"/>
      <w:pPr>
        <w:tabs>
          <w:tab w:val="num" w:pos="1440"/>
        </w:tabs>
        <w:ind w:left="1440" w:hanging="360"/>
      </w:pPr>
    </w:lvl>
    <w:lvl w:ilvl="2" w:tplc="8CFC0B16" w:tentative="1">
      <w:start w:val="1"/>
      <w:numFmt w:val="decimal"/>
      <w:lvlText w:val="%3."/>
      <w:lvlJc w:val="left"/>
      <w:pPr>
        <w:tabs>
          <w:tab w:val="num" w:pos="2160"/>
        </w:tabs>
        <w:ind w:left="2160" w:hanging="360"/>
      </w:pPr>
    </w:lvl>
    <w:lvl w:ilvl="3" w:tplc="B08096D6" w:tentative="1">
      <w:start w:val="1"/>
      <w:numFmt w:val="decimal"/>
      <w:lvlText w:val="%4."/>
      <w:lvlJc w:val="left"/>
      <w:pPr>
        <w:tabs>
          <w:tab w:val="num" w:pos="2880"/>
        </w:tabs>
        <w:ind w:left="2880" w:hanging="360"/>
      </w:pPr>
    </w:lvl>
    <w:lvl w:ilvl="4" w:tplc="151C403C" w:tentative="1">
      <w:start w:val="1"/>
      <w:numFmt w:val="decimal"/>
      <w:lvlText w:val="%5."/>
      <w:lvlJc w:val="left"/>
      <w:pPr>
        <w:tabs>
          <w:tab w:val="num" w:pos="3600"/>
        </w:tabs>
        <w:ind w:left="3600" w:hanging="360"/>
      </w:pPr>
    </w:lvl>
    <w:lvl w:ilvl="5" w:tplc="94BA2FC4" w:tentative="1">
      <w:start w:val="1"/>
      <w:numFmt w:val="decimal"/>
      <w:lvlText w:val="%6."/>
      <w:lvlJc w:val="left"/>
      <w:pPr>
        <w:tabs>
          <w:tab w:val="num" w:pos="4320"/>
        </w:tabs>
        <w:ind w:left="4320" w:hanging="360"/>
      </w:pPr>
    </w:lvl>
    <w:lvl w:ilvl="6" w:tplc="E5323D76" w:tentative="1">
      <w:start w:val="1"/>
      <w:numFmt w:val="decimal"/>
      <w:lvlText w:val="%7."/>
      <w:lvlJc w:val="left"/>
      <w:pPr>
        <w:tabs>
          <w:tab w:val="num" w:pos="5040"/>
        </w:tabs>
        <w:ind w:left="5040" w:hanging="360"/>
      </w:pPr>
    </w:lvl>
    <w:lvl w:ilvl="7" w:tplc="454E2F96" w:tentative="1">
      <w:start w:val="1"/>
      <w:numFmt w:val="decimal"/>
      <w:lvlText w:val="%8."/>
      <w:lvlJc w:val="left"/>
      <w:pPr>
        <w:tabs>
          <w:tab w:val="num" w:pos="5760"/>
        </w:tabs>
        <w:ind w:left="5760" w:hanging="360"/>
      </w:pPr>
    </w:lvl>
    <w:lvl w:ilvl="8" w:tplc="E05A6824" w:tentative="1">
      <w:start w:val="1"/>
      <w:numFmt w:val="decimal"/>
      <w:lvlText w:val="%9."/>
      <w:lvlJc w:val="left"/>
      <w:pPr>
        <w:tabs>
          <w:tab w:val="num" w:pos="6480"/>
        </w:tabs>
        <w:ind w:left="6480" w:hanging="360"/>
      </w:pPr>
    </w:lvl>
  </w:abstractNum>
  <w:abstractNum w:abstractNumId="28">
    <w:nsid w:val="55475897"/>
    <w:multiLevelType w:val="hybridMultilevel"/>
    <w:tmpl w:val="6BCABFDE"/>
    <w:lvl w:ilvl="0" w:tplc="A6D4B1BE">
      <w:start w:val="2"/>
      <w:numFmt w:val="bullet"/>
      <w:lvlText w:val="-"/>
      <w:lvlJc w:val="left"/>
      <w:pPr>
        <w:ind w:left="107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nsid w:val="55CE1144"/>
    <w:multiLevelType w:val="multilevel"/>
    <w:tmpl w:val="5ACE18DE"/>
    <w:lvl w:ilvl="0">
      <w:start w:val="1"/>
      <w:numFmt w:val="bullet"/>
      <w:pStyle w:val="Stylebulleted"/>
      <w:lvlText w:val="-"/>
      <w:lvlJc w:val="left"/>
      <w:pPr>
        <w:tabs>
          <w:tab w:val="num" w:pos="794"/>
        </w:tabs>
        <w:ind w:left="0" w:firstLine="567"/>
      </w:pPr>
      <w:rPr>
        <w:rFonts w:ascii="Times New Roman" w:hAnsi="Times New Roman" w:cs="Times New Roman" w:hint="default"/>
        <w:b w:val="0"/>
        <w:color w:val="auto"/>
      </w:rPr>
    </w:lvl>
    <w:lvl w:ilvl="1">
      <w:start w:val="1"/>
      <w:numFmt w:val="bullet"/>
      <w:lvlText w:val="+"/>
      <w:lvlJc w:val="left"/>
      <w:pPr>
        <w:tabs>
          <w:tab w:val="num" w:pos="907"/>
        </w:tabs>
        <w:ind w:left="0" w:firstLine="680"/>
      </w:pPr>
      <w:rPr>
        <w:rFonts w:ascii="Times New Roman" w:hAnsi="Times New Roman" w:cs="Times New Roman" w:hint="default"/>
        <w:color w:val="auto"/>
      </w:rPr>
    </w:lvl>
    <w:lvl w:ilvl="2">
      <w:start w:val="1"/>
      <w:numFmt w:val="bullet"/>
      <w:lvlText w:val="»"/>
      <w:lvlJc w:val="left"/>
      <w:pPr>
        <w:tabs>
          <w:tab w:val="num" w:pos="964"/>
        </w:tabs>
        <w:ind w:left="0" w:firstLine="737"/>
      </w:pPr>
      <w:rPr>
        <w:rFonts w:ascii="Times New Roman" w:hAnsi="Times New Roman" w:cs="Times New Roman" w:hint="default"/>
        <w:color w:val="auto"/>
      </w:rPr>
    </w:lvl>
    <w:lvl w:ilvl="3">
      <w:start w:val="1"/>
      <w:numFmt w:val="bullet"/>
      <w:lvlText w:val="›"/>
      <w:lvlJc w:val="left"/>
      <w:pPr>
        <w:tabs>
          <w:tab w:val="num" w:pos="1703"/>
        </w:tabs>
        <w:ind w:left="1703" w:hanging="284"/>
      </w:pPr>
      <w:rPr>
        <w:rFonts w:ascii="Times New Roman" w:hAnsi="Times New Roman" w:cs="Times New Roman" w:hint="default"/>
        <w:color w:val="auto"/>
      </w:rPr>
    </w:lvl>
    <w:lvl w:ilvl="4">
      <w:start w:val="1"/>
      <w:numFmt w:val="bullet"/>
      <w:lvlText w:val="√"/>
      <w:lvlJc w:val="left"/>
      <w:pPr>
        <w:tabs>
          <w:tab w:val="num" w:pos="1987"/>
        </w:tabs>
        <w:ind w:left="1987" w:hanging="284"/>
      </w:pPr>
      <w:rPr>
        <w:rFonts w:ascii="Times New Roman" w:hAnsi="Times New Roman" w:cs="Times New Roman" w:hint="default"/>
        <w:color w:val="auto"/>
      </w:rPr>
    </w:lvl>
    <w:lvl w:ilvl="5">
      <w:start w:val="1"/>
      <w:numFmt w:val="bullet"/>
      <w:lvlText w:val="#"/>
      <w:lvlJc w:val="left"/>
      <w:pPr>
        <w:tabs>
          <w:tab w:val="num" w:pos="2268"/>
        </w:tabs>
        <w:ind w:left="2268" w:hanging="281"/>
      </w:pPr>
      <w:rPr>
        <w:rFonts w:ascii="Times New Roman" w:hAnsi="Times New Roman" w:cs="Times New Roman" w:hint="default"/>
        <w:color w:val="auto"/>
      </w:rPr>
    </w:lvl>
    <w:lvl w:ilvl="6">
      <w:start w:val="1"/>
      <w:numFmt w:val="bullet"/>
      <w:lvlText w:val="*"/>
      <w:lvlJc w:val="left"/>
      <w:pPr>
        <w:tabs>
          <w:tab w:val="num" w:pos="2552"/>
        </w:tabs>
        <w:ind w:left="2552" w:hanging="284"/>
      </w:pPr>
      <w:rPr>
        <w:rFonts w:ascii="Times New Roman" w:hAnsi="Times New Roman" w:cs="Times New Roman" w:hint="default"/>
        <w:color w:val="auto"/>
      </w:rPr>
    </w:lvl>
    <w:lvl w:ilvl="7">
      <w:start w:val="1"/>
      <w:numFmt w:val="bullet"/>
      <w:lvlText w:val="→"/>
      <w:lvlJc w:val="left"/>
      <w:pPr>
        <w:tabs>
          <w:tab w:val="num" w:pos="2835"/>
        </w:tabs>
        <w:ind w:left="2835" w:hanging="283"/>
      </w:pPr>
      <w:rPr>
        <w:rFonts w:ascii="Times New Roman" w:hAnsi="Times New Roman" w:cs="Times New Roman" w:hint="default"/>
        <w:color w:val="auto"/>
      </w:rPr>
    </w:lvl>
    <w:lvl w:ilvl="8">
      <w:start w:val="1"/>
      <w:numFmt w:val="bullet"/>
      <w:lvlText w:val="●"/>
      <w:lvlJc w:val="left"/>
      <w:pPr>
        <w:tabs>
          <w:tab w:val="num" w:pos="3119"/>
        </w:tabs>
        <w:ind w:left="3119" w:hanging="284"/>
      </w:pPr>
      <w:rPr>
        <w:rFonts w:ascii="Times New Roman" w:hAnsi="Times New Roman" w:cs="Times New Roman" w:hint="default"/>
        <w:color w:val="auto"/>
      </w:rPr>
    </w:lvl>
  </w:abstractNum>
  <w:abstractNum w:abstractNumId="30">
    <w:nsid w:val="574A711D"/>
    <w:multiLevelType w:val="hybridMultilevel"/>
    <w:tmpl w:val="62AA69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8DF30D0"/>
    <w:multiLevelType w:val="hybridMultilevel"/>
    <w:tmpl w:val="B1D27A6C"/>
    <w:lvl w:ilvl="0" w:tplc="6838CCC2">
      <w:numFmt w:val="bullet"/>
      <w:lvlText w:val="-"/>
      <w:lvlJc w:val="left"/>
      <w:pPr>
        <w:ind w:left="927"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nsid w:val="59C5122D"/>
    <w:multiLevelType w:val="hybridMultilevel"/>
    <w:tmpl w:val="0742BB04"/>
    <w:lvl w:ilvl="0" w:tplc="EF4E0D40">
      <w:start w:val="4"/>
      <w:numFmt w:val="bullet"/>
      <w:lvlText w:val="-"/>
      <w:lvlJc w:val="left"/>
      <w:pPr>
        <w:tabs>
          <w:tab w:val="num" w:pos="720"/>
        </w:tabs>
        <w:ind w:left="720" w:hanging="360"/>
      </w:pPr>
      <w:rPr>
        <w:rFonts w:ascii=".VnTime" w:eastAsia="Times New Roman" w:hAnsi=".VnTime" w:cs="Times New Roman" w:hint="default"/>
      </w:rPr>
    </w:lvl>
    <w:lvl w:ilvl="1" w:tplc="13AAD906" w:tentative="1">
      <w:start w:val="1"/>
      <w:numFmt w:val="bullet"/>
      <w:lvlText w:val=""/>
      <w:lvlJc w:val="left"/>
      <w:pPr>
        <w:tabs>
          <w:tab w:val="num" w:pos="1440"/>
        </w:tabs>
        <w:ind w:left="1440" w:hanging="360"/>
      </w:pPr>
      <w:rPr>
        <w:rFonts w:ascii="Wingdings" w:hAnsi="Wingdings" w:hint="default"/>
      </w:rPr>
    </w:lvl>
    <w:lvl w:ilvl="2" w:tplc="46D83ADC" w:tentative="1">
      <w:start w:val="1"/>
      <w:numFmt w:val="bullet"/>
      <w:lvlText w:val=""/>
      <w:lvlJc w:val="left"/>
      <w:pPr>
        <w:tabs>
          <w:tab w:val="num" w:pos="2160"/>
        </w:tabs>
        <w:ind w:left="2160" w:hanging="360"/>
      </w:pPr>
      <w:rPr>
        <w:rFonts w:ascii="Wingdings" w:hAnsi="Wingdings" w:hint="default"/>
      </w:rPr>
    </w:lvl>
    <w:lvl w:ilvl="3" w:tplc="5C84C43C" w:tentative="1">
      <w:start w:val="1"/>
      <w:numFmt w:val="bullet"/>
      <w:lvlText w:val=""/>
      <w:lvlJc w:val="left"/>
      <w:pPr>
        <w:tabs>
          <w:tab w:val="num" w:pos="2880"/>
        </w:tabs>
        <w:ind w:left="2880" w:hanging="360"/>
      </w:pPr>
      <w:rPr>
        <w:rFonts w:ascii="Wingdings" w:hAnsi="Wingdings" w:hint="default"/>
      </w:rPr>
    </w:lvl>
    <w:lvl w:ilvl="4" w:tplc="DB4A56F6" w:tentative="1">
      <w:start w:val="1"/>
      <w:numFmt w:val="bullet"/>
      <w:lvlText w:val=""/>
      <w:lvlJc w:val="left"/>
      <w:pPr>
        <w:tabs>
          <w:tab w:val="num" w:pos="3600"/>
        </w:tabs>
        <w:ind w:left="3600" w:hanging="360"/>
      </w:pPr>
      <w:rPr>
        <w:rFonts w:ascii="Wingdings" w:hAnsi="Wingdings" w:hint="default"/>
      </w:rPr>
    </w:lvl>
    <w:lvl w:ilvl="5" w:tplc="B2F0262C" w:tentative="1">
      <w:start w:val="1"/>
      <w:numFmt w:val="bullet"/>
      <w:lvlText w:val=""/>
      <w:lvlJc w:val="left"/>
      <w:pPr>
        <w:tabs>
          <w:tab w:val="num" w:pos="4320"/>
        </w:tabs>
        <w:ind w:left="4320" w:hanging="360"/>
      </w:pPr>
      <w:rPr>
        <w:rFonts w:ascii="Wingdings" w:hAnsi="Wingdings" w:hint="default"/>
      </w:rPr>
    </w:lvl>
    <w:lvl w:ilvl="6" w:tplc="B4B05E82" w:tentative="1">
      <w:start w:val="1"/>
      <w:numFmt w:val="bullet"/>
      <w:lvlText w:val=""/>
      <w:lvlJc w:val="left"/>
      <w:pPr>
        <w:tabs>
          <w:tab w:val="num" w:pos="5040"/>
        </w:tabs>
        <w:ind w:left="5040" w:hanging="360"/>
      </w:pPr>
      <w:rPr>
        <w:rFonts w:ascii="Wingdings" w:hAnsi="Wingdings" w:hint="default"/>
      </w:rPr>
    </w:lvl>
    <w:lvl w:ilvl="7" w:tplc="1FB4C3CC" w:tentative="1">
      <w:start w:val="1"/>
      <w:numFmt w:val="bullet"/>
      <w:lvlText w:val=""/>
      <w:lvlJc w:val="left"/>
      <w:pPr>
        <w:tabs>
          <w:tab w:val="num" w:pos="5760"/>
        </w:tabs>
        <w:ind w:left="5760" w:hanging="360"/>
      </w:pPr>
      <w:rPr>
        <w:rFonts w:ascii="Wingdings" w:hAnsi="Wingdings" w:hint="default"/>
      </w:rPr>
    </w:lvl>
    <w:lvl w:ilvl="8" w:tplc="1ECE1C42" w:tentative="1">
      <w:start w:val="1"/>
      <w:numFmt w:val="bullet"/>
      <w:lvlText w:val=""/>
      <w:lvlJc w:val="left"/>
      <w:pPr>
        <w:tabs>
          <w:tab w:val="num" w:pos="6480"/>
        </w:tabs>
        <w:ind w:left="6480" w:hanging="360"/>
      </w:pPr>
      <w:rPr>
        <w:rFonts w:ascii="Wingdings" w:hAnsi="Wingdings" w:hint="default"/>
      </w:rPr>
    </w:lvl>
  </w:abstractNum>
  <w:abstractNum w:abstractNumId="33">
    <w:nsid w:val="5F940C3F"/>
    <w:multiLevelType w:val="hybridMultilevel"/>
    <w:tmpl w:val="2C5E82D4"/>
    <w:lvl w:ilvl="0" w:tplc="F7841A60">
      <w:start w:val="3"/>
      <w:numFmt w:val="bullet"/>
      <w:lvlText w:val="-"/>
      <w:lvlJc w:val="left"/>
      <w:pPr>
        <w:ind w:left="1080" w:hanging="360"/>
      </w:pPr>
      <w:rPr>
        <w:rFonts w:ascii="Times New Roman" w:eastAsia="MS Mincho" w:hAnsi="Times New Roman" w:cs="Times New Roman"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30E599D"/>
    <w:multiLevelType w:val="hybridMultilevel"/>
    <w:tmpl w:val="6A4E8948"/>
    <w:lvl w:ilvl="0" w:tplc="FFFFFFFF">
      <w:start w:val="1"/>
      <w:numFmt w:val="bullet"/>
      <w:pStyle w:val="Noidung"/>
      <w:lvlText w:val="-"/>
      <w:lvlJc w:val="left"/>
      <w:pPr>
        <w:tabs>
          <w:tab w:val="num" w:pos="720"/>
        </w:tabs>
        <w:ind w:left="720" w:hanging="360"/>
      </w:pPr>
      <w:rPr>
        <w:rFonts w:ascii="Times New Roman" w:hAnsi="Times New Roman"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5">
    <w:nsid w:val="69581985"/>
    <w:multiLevelType w:val="hybridMultilevel"/>
    <w:tmpl w:val="EB5E1170"/>
    <w:lvl w:ilvl="0" w:tplc="BBBED9FC">
      <w:start w:val="1"/>
      <w:numFmt w:val="bullet"/>
      <w:lvlText w:val="-"/>
      <w:lvlJc w:val="left"/>
      <w:pPr>
        <w:ind w:left="1080" w:hanging="360"/>
      </w:pPr>
      <w:rPr>
        <w:rFonts w:ascii="Times New Roman" w:eastAsia="Calibri" w:hAnsi="Times New Roman" w:cs="Times New Roman" w:hint="default"/>
      </w:rPr>
    </w:lvl>
    <w:lvl w:ilvl="1" w:tplc="1A407F7C" w:tentative="1">
      <w:start w:val="1"/>
      <w:numFmt w:val="bullet"/>
      <w:lvlText w:val="o"/>
      <w:lvlJc w:val="left"/>
      <w:pPr>
        <w:ind w:left="1800" w:hanging="360"/>
      </w:pPr>
      <w:rPr>
        <w:rFonts w:ascii="Courier New" w:hAnsi="Courier New" w:cs="Courier New" w:hint="default"/>
      </w:rPr>
    </w:lvl>
    <w:lvl w:ilvl="2" w:tplc="2E84D80E" w:tentative="1">
      <w:start w:val="1"/>
      <w:numFmt w:val="bullet"/>
      <w:lvlText w:val=""/>
      <w:lvlJc w:val="left"/>
      <w:pPr>
        <w:ind w:left="2520" w:hanging="360"/>
      </w:pPr>
      <w:rPr>
        <w:rFonts w:ascii="Wingdings" w:hAnsi="Wingdings" w:hint="default"/>
      </w:rPr>
    </w:lvl>
    <w:lvl w:ilvl="3" w:tplc="10445050" w:tentative="1">
      <w:start w:val="1"/>
      <w:numFmt w:val="bullet"/>
      <w:lvlText w:val=""/>
      <w:lvlJc w:val="left"/>
      <w:pPr>
        <w:ind w:left="3240" w:hanging="360"/>
      </w:pPr>
      <w:rPr>
        <w:rFonts w:ascii="Symbol" w:hAnsi="Symbol" w:hint="default"/>
      </w:rPr>
    </w:lvl>
    <w:lvl w:ilvl="4" w:tplc="65FAA72E" w:tentative="1">
      <w:start w:val="1"/>
      <w:numFmt w:val="bullet"/>
      <w:lvlText w:val="o"/>
      <w:lvlJc w:val="left"/>
      <w:pPr>
        <w:ind w:left="3960" w:hanging="360"/>
      </w:pPr>
      <w:rPr>
        <w:rFonts w:ascii="Courier New" w:hAnsi="Courier New" w:cs="Courier New" w:hint="default"/>
      </w:rPr>
    </w:lvl>
    <w:lvl w:ilvl="5" w:tplc="16BA312C" w:tentative="1">
      <w:start w:val="1"/>
      <w:numFmt w:val="bullet"/>
      <w:lvlText w:val=""/>
      <w:lvlJc w:val="left"/>
      <w:pPr>
        <w:ind w:left="4680" w:hanging="360"/>
      </w:pPr>
      <w:rPr>
        <w:rFonts w:ascii="Wingdings" w:hAnsi="Wingdings" w:hint="default"/>
      </w:rPr>
    </w:lvl>
    <w:lvl w:ilvl="6" w:tplc="D012CA26" w:tentative="1">
      <w:start w:val="1"/>
      <w:numFmt w:val="bullet"/>
      <w:lvlText w:val=""/>
      <w:lvlJc w:val="left"/>
      <w:pPr>
        <w:ind w:left="5400" w:hanging="360"/>
      </w:pPr>
      <w:rPr>
        <w:rFonts w:ascii="Symbol" w:hAnsi="Symbol" w:hint="default"/>
      </w:rPr>
    </w:lvl>
    <w:lvl w:ilvl="7" w:tplc="CCA0A19E" w:tentative="1">
      <w:start w:val="1"/>
      <w:numFmt w:val="bullet"/>
      <w:lvlText w:val="o"/>
      <w:lvlJc w:val="left"/>
      <w:pPr>
        <w:ind w:left="6120" w:hanging="360"/>
      </w:pPr>
      <w:rPr>
        <w:rFonts w:ascii="Courier New" w:hAnsi="Courier New" w:cs="Courier New" w:hint="default"/>
      </w:rPr>
    </w:lvl>
    <w:lvl w:ilvl="8" w:tplc="9738AF36" w:tentative="1">
      <w:start w:val="1"/>
      <w:numFmt w:val="bullet"/>
      <w:lvlText w:val=""/>
      <w:lvlJc w:val="left"/>
      <w:pPr>
        <w:ind w:left="6840" w:hanging="360"/>
      </w:pPr>
      <w:rPr>
        <w:rFonts w:ascii="Wingdings" w:hAnsi="Wingdings" w:hint="default"/>
      </w:rPr>
    </w:lvl>
  </w:abstractNum>
  <w:abstractNum w:abstractNumId="36">
    <w:nsid w:val="69704307"/>
    <w:multiLevelType w:val="hybridMultilevel"/>
    <w:tmpl w:val="BCEC2D66"/>
    <w:lvl w:ilvl="0" w:tplc="17185058">
      <w:start w:val="2"/>
      <w:numFmt w:val="bullet"/>
      <w:lvlText w:val="-"/>
      <w:lvlJc w:val="left"/>
      <w:pPr>
        <w:ind w:left="1080" w:hanging="360"/>
      </w:pPr>
      <w:rPr>
        <w:rFonts w:ascii="Times New Roman" w:eastAsia="MS Mincho"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BD63BDB"/>
    <w:multiLevelType w:val="multilevel"/>
    <w:tmpl w:val="1042040C"/>
    <w:lvl w:ilvl="0">
      <w:start w:val="4"/>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6C4432DC"/>
    <w:multiLevelType w:val="hybridMultilevel"/>
    <w:tmpl w:val="236EAC8C"/>
    <w:lvl w:ilvl="0" w:tplc="04D0E9F4">
      <w:start w:val="2"/>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9">
    <w:nsid w:val="6E475F2F"/>
    <w:multiLevelType w:val="hybridMultilevel"/>
    <w:tmpl w:val="963AD9D4"/>
    <w:lvl w:ilvl="0" w:tplc="EF4E0D40">
      <w:start w:val="4"/>
      <w:numFmt w:val="bullet"/>
      <w:lvlText w:val="-"/>
      <w:lvlJc w:val="left"/>
      <w:pPr>
        <w:ind w:left="720" w:hanging="360"/>
      </w:pPr>
      <w:rPr>
        <w:rFonts w:ascii=".VnTime" w:eastAsia="Times New Roman" w:hAnsi=".VnTim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A1307D2"/>
    <w:multiLevelType w:val="hybridMultilevel"/>
    <w:tmpl w:val="5878506E"/>
    <w:lvl w:ilvl="0" w:tplc="3B84C42C">
      <w:start w:val="1"/>
      <w:numFmt w:val="bullet"/>
      <w:lvlText w:val=""/>
      <w:lvlJc w:val="left"/>
      <w:pPr>
        <w:ind w:left="1174" w:hanging="360"/>
      </w:pPr>
      <w:rPr>
        <w:rFonts w:ascii="Wingdings" w:hAnsi="Wingdings"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41">
    <w:nsid w:val="7B1400A1"/>
    <w:multiLevelType w:val="hybridMultilevel"/>
    <w:tmpl w:val="59BC19AC"/>
    <w:lvl w:ilvl="0" w:tplc="84ECE85A">
      <w:start w:val="6"/>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2">
    <w:nsid w:val="7DE86F46"/>
    <w:multiLevelType w:val="hybridMultilevel"/>
    <w:tmpl w:val="5D005680"/>
    <w:lvl w:ilvl="0" w:tplc="6B18FD9A">
      <w:start w:val="4"/>
      <w:numFmt w:val="bullet"/>
      <w:lvlText w:val="-"/>
      <w:lvlJc w:val="left"/>
      <w:pPr>
        <w:ind w:left="720" w:hanging="360"/>
      </w:pPr>
      <w:rPr>
        <w:rFonts w:ascii="Times New Roman" w:hAnsi="Times New Roman" w:hint="default"/>
      </w:rPr>
    </w:lvl>
    <w:lvl w:ilvl="1" w:tplc="BB540CC6" w:tentative="1">
      <w:start w:val="1"/>
      <w:numFmt w:val="bullet"/>
      <w:lvlText w:val="o"/>
      <w:lvlJc w:val="left"/>
      <w:pPr>
        <w:ind w:left="1440" w:hanging="360"/>
      </w:pPr>
      <w:rPr>
        <w:rFonts w:ascii="Courier New" w:hAnsi="Courier New" w:cs="Courier New" w:hint="default"/>
      </w:rPr>
    </w:lvl>
    <w:lvl w:ilvl="2" w:tplc="8CAC34FC" w:tentative="1">
      <w:start w:val="1"/>
      <w:numFmt w:val="bullet"/>
      <w:lvlText w:val=""/>
      <w:lvlJc w:val="left"/>
      <w:pPr>
        <w:ind w:left="2160" w:hanging="360"/>
      </w:pPr>
      <w:rPr>
        <w:rFonts w:ascii="Wingdings" w:hAnsi="Wingdings" w:hint="default"/>
      </w:rPr>
    </w:lvl>
    <w:lvl w:ilvl="3" w:tplc="F3EC4F12" w:tentative="1">
      <w:start w:val="1"/>
      <w:numFmt w:val="bullet"/>
      <w:lvlText w:val=""/>
      <w:lvlJc w:val="left"/>
      <w:pPr>
        <w:ind w:left="2880" w:hanging="360"/>
      </w:pPr>
      <w:rPr>
        <w:rFonts w:ascii="Symbol" w:hAnsi="Symbol" w:hint="default"/>
      </w:rPr>
    </w:lvl>
    <w:lvl w:ilvl="4" w:tplc="C6A2A760" w:tentative="1">
      <w:start w:val="1"/>
      <w:numFmt w:val="bullet"/>
      <w:lvlText w:val="o"/>
      <w:lvlJc w:val="left"/>
      <w:pPr>
        <w:ind w:left="3600" w:hanging="360"/>
      </w:pPr>
      <w:rPr>
        <w:rFonts w:ascii="Courier New" w:hAnsi="Courier New" w:cs="Courier New" w:hint="default"/>
      </w:rPr>
    </w:lvl>
    <w:lvl w:ilvl="5" w:tplc="98768F3C" w:tentative="1">
      <w:start w:val="1"/>
      <w:numFmt w:val="bullet"/>
      <w:lvlText w:val=""/>
      <w:lvlJc w:val="left"/>
      <w:pPr>
        <w:ind w:left="4320" w:hanging="360"/>
      </w:pPr>
      <w:rPr>
        <w:rFonts w:ascii="Wingdings" w:hAnsi="Wingdings" w:hint="default"/>
      </w:rPr>
    </w:lvl>
    <w:lvl w:ilvl="6" w:tplc="6A54A032" w:tentative="1">
      <w:start w:val="1"/>
      <w:numFmt w:val="bullet"/>
      <w:lvlText w:val=""/>
      <w:lvlJc w:val="left"/>
      <w:pPr>
        <w:ind w:left="5040" w:hanging="360"/>
      </w:pPr>
      <w:rPr>
        <w:rFonts w:ascii="Symbol" w:hAnsi="Symbol" w:hint="default"/>
      </w:rPr>
    </w:lvl>
    <w:lvl w:ilvl="7" w:tplc="3140D7F2" w:tentative="1">
      <w:start w:val="1"/>
      <w:numFmt w:val="bullet"/>
      <w:lvlText w:val="o"/>
      <w:lvlJc w:val="left"/>
      <w:pPr>
        <w:ind w:left="5760" w:hanging="360"/>
      </w:pPr>
      <w:rPr>
        <w:rFonts w:ascii="Courier New" w:hAnsi="Courier New" w:cs="Courier New" w:hint="default"/>
      </w:rPr>
    </w:lvl>
    <w:lvl w:ilvl="8" w:tplc="15F841A0" w:tentative="1">
      <w:start w:val="1"/>
      <w:numFmt w:val="bullet"/>
      <w:lvlText w:val=""/>
      <w:lvlJc w:val="left"/>
      <w:pPr>
        <w:ind w:left="6480" w:hanging="360"/>
      </w:pPr>
      <w:rPr>
        <w:rFonts w:ascii="Wingdings" w:hAnsi="Wingdings" w:hint="default"/>
      </w:rPr>
    </w:lvl>
  </w:abstractNum>
  <w:abstractNum w:abstractNumId="43">
    <w:nsid w:val="7DE876A8"/>
    <w:multiLevelType w:val="hybridMultilevel"/>
    <w:tmpl w:val="150CEA92"/>
    <w:lvl w:ilvl="0" w:tplc="A622E906">
      <w:start w:val="1"/>
      <w:numFmt w:val="lowerLetter"/>
      <w:lvlText w:val="%1."/>
      <w:lvlJc w:val="left"/>
      <w:pPr>
        <w:ind w:left="360" w:hanging="360"/>
      </w:pPr>
      <w:rPr>
        <w:rFonts w:hint="default"/>
      </w:rPr>
    </w:lvl>
    <w:lvl w:ilvl="1" w:tplc="2026C156" w:tentative="1">
      <w:start w:val="1"/>
      <w:numFmt w:val="lowerLetter"/>
      <w:lvlText w:val="%2."/>
      <w:lvlJc w:val="left"/>
      <w:pPr>
        <w:ind w:left="1440" w:hanging="360"/>
      </w:pPr>
    </w:lvl>
    <w:lvl w:ilvl="2" w:tplc="7E0E4B82" w:tentative="1">
      <w:start w:val="1"/>
      <w:numFmt w:val="lowerRoman"/>
      <w:lvlText w:val="%3."/>
      <w:lvlJc w:val="right"/>
      <w:pPr>
        <w:ind w:left="2160" w:hanging="180"/>
      </w:pPr>
    </w:lvl>
    <w:lvl w:ilvl="3" w:tplc="1EBA465C" w:tentative="1">
      <w:start w:val="1"/>
      <w:numFmt w:val="decimal"/>
      <w:lvlText w:val="%4."/>
      <w:lvlJc w:val="left"/>
      <w:pPr>
        <w:ind w:left="2880" w:hanging="360"/>
      </w:pPr>
    </w:lvl>
    <w:lvl w:ilvl="4" w:tplc="C38EADD8" w:tentative="1">
      <w:start w:val="1"/>
      <w:numFmt w:val="lowerLetter"/>
      <w:lvlText w:val="%5."/>
      <w:lvlJc w:val="left"/>
      <w:pPr>
        <w:ind w:left="3600" w:hanging="360"/>
      </w:pPr>
    </w:lvl>
    <w:lvl w:ilvl="5" w:tplc="E624A34E" w:tentative="1">
      <w:start w:val="1"/>
      <w:numFmt w:val="lowerRoman"/>
      <w:lvlText w:val="%6."/>
      <w:lvlJc w:val="right"/>
      <w:pPr>
        <w:ind w:left="4320" w:hanging="180"/>
      </w:pPr>
    </w:lvl>
    <w:lvl w:ilvl="6" w:tplc="66B0DA3C" w:tentative="1">
      <w:start w:val="1"/>
      <w:numFmt w:val="decimal"/>
      <w:lvlText w:val="%7."/>
      <w:lvlJc w:val="left"/>
      <w:pPr>
        <w:ind w:left="5040" w:hanging="360"/>
      </w:pPr>
    </w:lvl>
    <w:lvl w:ilvl="7" w:tplc="D604FF90" w:tentative="1">
      <w:start w:val="1"/>
      <w:numFmt w:val="lowerLetter"/>
      <w:lvlText w:val="%8."/>
      <w:lvlJc w:val="left"/>
      <w:pPr>
        <w:ind w:left="5760" w:hanging="360"/>
      </w:pPr>
    </w:lvl>
    <w:lvl w:ilvl="8" w:tplc="BD2AA696" w:tentative="1">
      <w:start w:val="1"/>
      <w:numFmt w:val="lowerRoman"/>
      <w:lvlText w:val="%9."/>
      <w:lvlJc w:val="right"/>
      <w:pPr>
        <w:ind w:left="6480" w:hanging="180"/>
      </w:pPr>
    </w:lvl>
  </w:abstractNum>
  <w:num w:numId="1">
    <w:abstractNumId w:val="11"/>
  </w:num>
  <w:num w:numId="2">
    <w:abstractNumId w:val="15"/>
  </w:num>
  <w:num w:numId="3">
    <w:abstractNumId w:val="38"/>
  </w:num>
  <w:num w:numId="4">
    <w:abstractNumId w:val="43"/>
  </w:num>
  <w:num w:numId="5">
    <w:abstractNumId w:val="35"/>
  </w:num>
  <w:num w:numId="6">
    <w:abstractNumId w:val="34"/>
  </w:num>
  <w:num w:numId="7">
    <w:abstractNumId w:val="3"/>
  </w:num>
  <w:num w:numId="8">
    <w:abstractNumId w:val="29"/>
  </w:num>
  <w:num w:numId="9">
    <w:abstractNumId w:val="31"/>
  </w:num>
  <w:num w:numId="10">
    <w:abstractNumId w:val="14"/>
  </w:num>
  <w:num w:numId="11">
    <w:abstractNumId w:val="16"/>
  </w:num>
  <w:num w:numId="12">
    <w:abstractNumId w:val="33"/>
  </w:num>
  <w:num w:numId="13">
    <w:abstractNumId w:val="26"/>
  </w:num>
  <w:num w:numId="14">
    <w:abstractNumId w:val="19"/>
  </w:num>
  <w:num w:numId="15">
    <w:abstractNumId w:val="25"/>
  </w:num>
  <w:num w:numId="16">
    <w:abstractNumId w:val="10"/>
  </w:num>
  <w:num w:numId="17">
    <w:abstractNumId w:val="17"/>
  </w:num>
  <w:num w:numId="18">
    <w:abstractNumId w:val="18"/>
  </w:num>
  <w:num w:numId="19">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num>
  <w:num w:numId="21">
    <w:abstractNumId w:val="2"/>
  </w:num>
  <w:num w:numId="22">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7"/>
  </w:num>
  <w:num w:numId="25">
    <w:abstractNumId w:val="8"/>
  </w:num>
  <w:num w:numId="26">
    <w:abstractNumId w:val="39"/>
  </w:num>
  <w:num w:numId="27">
    <w:abstractNumId w:val="36"/>
  </w:num>
  <w:num w:numId="28">
    <w:abstractNumId w:val="41"/>
  </w:num>
  <w:num w:numId="2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num>
  <w:num w:numId="32">
    <w:abstractNumId w:val="23"/>
  </w:num>
  <w:num w:numId="33">
    <w:abstractNumId w:val="32"/>
  </w:num>
  <w:num w:numId="34">
    <w:abstractNumId w:val="24"/>
  </w:num>
  <w:num w:numId="35">
    <w:abstractNumId w:val="9"/>
  </w:num>
  <w:num w:numId="36">
    <w:abstractNumId w:val="22"/>
  </w:num>
  <w:num w:numId="37">
    <w:abstractNumId w:val="20"/>
  </w:num>
  <w:num w:numId="38">
    <w:abstractNumId w:val="13"/>
  </w:num>
  <w:num w:numId="39">
    <w:abstractNumId w:val="12"/>
  </w:num>
  <w:num w:numId="40">
    <w:abstractNumId w:val="27"/>
  </w:num>
  <w:num w:numId="41">
    <w:abstractNumId w:val="30"/>
  </w:num>
  <w:num w:numId="42">
    <w:abstractNumId w:val="37"/>
  </w:num>
  <w:num w:numId="43">
    <w:abstractNumId w:val="0"/>
  </w:num>
  <w:num w:numId="44">
    <w:abstractNumId w:val="4"/>
  </w:num>
  <w:num w:numId="45">
    <w:abstractNumId w:val="21"/>
  </w:num>
  <w:num w:numId="46">
    <w:abstractNumId w:val="0"/>
  </w:num>
  <w:num w:numId="47">
    <w:abstractNumId w:val="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13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0C94"/>
    <w:rsid w:val="00000E4E"/>
    <w:rsid w:val="000016AA"/>
    <w:rsid w:val="0000220F"/>
    <w:rsid w:val="000024C0"/>
    <w:rsid w:val="0000256A"/>
    <w:rsid w:val="0000434B"/>
    <w:rsid w:val="000045F5"/>
    <w:rsid w:val="00005CF8"/>
    <w:rsid w:val="00005F8C"/>
    <w:rsid w:val="0000649D"/>
    <w:rsid w:val="0000678A"/>
    <w:rsid w:val="00006B8B"/>
    <w:rsid w:val="0000747C"/>
    <w:rsid w:val="00007712"/>
    <w:rsid w:val="000079F0"/>
    <w:rsid w:val="00007B9B"/>
    <w:rsid w:val="0001018F"/>
    <w:rsid w:val="000101B1"/>
    <w:rsid w:val="00010F13"/>
    <w:rsid w:val="0001132E"/>
    <w:rsid w:val="0001133B"/>
    <w:rsid w:val="0001179A"/>
    <w:rsid w:val="00012337"/>
    <w:rsid w:val="00012A48"/>
    <w:rsid w:val="00013E87"/>
    <w:rsid w:val="000141DA"/>
    <w:rsid w:val="0001428A"/>
    <w:rsid w:val="00015209"/>
    <w:rsid w:val="0001553F"/>
    <w:rsid w:val="00015CDB"/>
    <w:rsid w:val="00017C13"/>
    <w:rsid w:val="00017C57"/>
    <w:rsid w:val="00020A95"/>
    <w:rsid w:val="00020F90"/>
    <w:rsid w:val="000216CB"/>
    <w:rsid w:val="00021945"/>
    <w:rsid w:val="00021C12"/>
    <w:rsid w:val="00023203"/>
    <w:rsid w:val="00024A25"/>
    <w:rsid w:val="00025337"/>
    <w:rsid w:val="000264D4"/>
    <w:rsid w:val="00026EE6"/>
    <w:rsid w:val="000271C9"/>
    <w:rsid w:val="00027C13"/>
    <w:rsid w:val="00030152"/>
    <w:rsid w:val="000301AF"/>
    <w:rsid w:val="000309D0"/>
    <w:rsid w:val="00030CD1"/>
    <w:rsid w:val="00031385"/>
    <w:rsid w:val="00031770"/>
    <w:rsid w:val="00031CAC"/>
    <w:rsid w:val="00031E9A"/>
    <w:rsid w:val="000344AB"/>
    <w:rsid w:val="00036523"/>
    <w:rsid w:val="00037541"/>
    <w:rsid w:val="00037565"/>
    <w:rsid w:val="000404B3"/>
    <w:rsid w:val="00040899"/>
    <w:rsid w:val="00043EB6"/>
    <w:rsid w:val="000444A2"/>
    <w:rsid w:val="00045715"/>
    <w:rsid w:val="0004655C"/>
    <w:rsid w:val="00046DB7"/>
    <w:rsid w:val="00047C6F"/>
    <w:rsid w:val="000507F0"/>
    <w:rsid w:val="00050DB2"/>
    <w:rsid w:val="00050E82"/>
    <w:rsid w:val="0005125C"/>
    <w:rsid w:val="00052AAD"/>
    <w:rsid w:val="00052C69"/>
    <w:rsid w:val="000550AE"/>
    <w:rsid w:val="0005652C"/>
    <w:rsid w:val="00057960"/>
    <w:rsid w:val="000602D1"/>
    <w:rsid w:val="00060912"/>
    <w:rsid w:val="00061E8A"/>
    <w:rsid w:val="00061F5D"/>
    <w:rsid w:val="00061F95"/>
    <w:rsid w:val="000627EC"/>
    <w:rsid w:val="000629EE"/>
    <w:rsid w:val="00062ADC"/>
    <w:rsid w:val="0006304A"/>
    <w:rsid w:val="00063657"/>
    <w:rsid w:val="00063A3C"/>
    <w:rsid w:val="00065ECA"/>
    <w:rsid w:val="0006616B"/>
    <w:rsid w:val="00066843"/>
    <w:rsid w:val="00067AE8"/>
    <w:rsid w:val="000719A8"/>
    <w:rsid w:val="00071B17"/>
    <w:rsid w:val="00071C32"/>
    <w:rsid w:val="000728A4"/>
    <w:rsid w:val="0007343A"/>
    <w:rsid w:val="00074E8E"/>
    <w:rsid w:val="00074EE8"/>
    <w:rsid w:val="0007512A"/>
    <w:rsid w:val="0007516F"/>
    <w:rsid w:val="00075D0F"/>
    <w:rsid w:val="0007727C"/>
    <w:rsid w:val="00077538"/>
    <w:rsid w:val="0007790B"/>
    <w:rsid w:val="00077C5B"/>
    <w:rsid w:val="000806BC"/>
    <w:rsid w:val="00081914"/>
    <w:rsid w:val="00081A92"/>
    <w:rsid w:val="00082743"/>
    <w:rsid w:val="000869D5"/>
    <w:rsid w:val="0008720F"/>
    <w:rsid w:val="0008766E"/>
    <w:rsid w:val="00087CEA"/>
    <w:rsid w:val="00090DCC"/>
    <w:rsid w:val="00091918"/>
    <w:rsid w:val="00092965"/>
    <w:rsid w:val="0009646A"/>
    <w:rsid w:val="0009702B"/>
    <w:rsid w:val="00097599"/>
    <w:rsid w:val="000978AA"/>
    <w:rsid w:val="00097D86"/>
    <w:rsid w:val="000A0C29"/>
    <w:rsid w:val="000A16D4"/>
    <w:rsid w:val="000A18BF"/>
    <w:rsid w:val="000A2479"/>
    <w:rsid w:val="000A2F16"/>
    <w:rsid w:val="000A3B9F"/>
    <w:rsid w:val="000A4A6F"/>
    <w:rsid w:val="000A5038"/>
    <w:rsid w:val="000A6BA6"/>
    <w:rsid w:val="000A7071"/>
    <w:rsid w:val="000A7E4B"/>
    <w:rsid w:val="000B0A5E"/>
    <w:rsid w:val="000B13D0"/>
    <w:rsid w:val="000B185D"/>
    <w:rsid w:val="000B1E31"/>
    <w:rsid w:val="000B2390"/>
    <w:rsid w:val="000B2E88"/>
    <w:rsid w:val="000B391D"/>
    <w:rsid w:val="000B3AA0"/>
    <w:rsid w:val="000B64DE"/>
    <w:rsid w:val="000B689A"/>
    <w:rsid w:val="000C08D0"/>
    <w:rsid w:val="000C0C33"/>
    <w:rsid w:val="000C0CC7"/>
    <w:rsid w:val="000C144D"/>
    <w:rsid w:val="000C2417"/>
    <w:rsid w:val="000C2745"/>
    <w:rsid w:val="000C2AC1"/>
    <w:rsid w:val="000C2CEA"/>
    <w:rsid w:val="000C3987"/>
    <w:rsid w:val="000C5873"/>
    <w:rsid w:val="000C5E3C"/>
    <w:rsid w:val="000C601A"/>
    <w:rsid w:val="000C69CA"/>
    <w:rsid w:val="000C6A98"/>
    <w:rsid w:val="000C796A"/>
    <w:rsid w:val="000D1776"/>
    <w:rsid w:val="000D31BD"/>
    <w:rsid w:val="000D35C3"/>
    <w:rsid w:val="000D566E"/>
    <w:rsid w:val="000D7582"/>
    <w:rsid w:val="000D76E9"/>
    <w:rsid w:val="000D7B83"/>
    <w:rsid w:val="000D7FF5"/>
    <w:rsid w:val="000E2148"/>
    <w:rsid w:val="000E3154"/>
    <w:rsid w:val="000E3D6A"/>
    <w:rsid w:val="000E42F0"/>
    <w:rsid w:val="000E468B"/>
    <w:rsid w:val="000E5696"/>
    <w:rsid w:val="000E6216"/>
    <w:rsid w:val="000E6EE8"/>
    <w:rsid w:val="000F04EF"/>
    <w:rsid w:val="000F1A0A"/>
    <w:rsid w:val="000F1E5E"/>
    <w:rsid w:val="000F4587"/>
    <w:rsid w:val="000F4944"/>
    <w:rsid w:val="000F4D85"/>
    <w:rsid w:val="000F4DCE"/>
    <w:rsid w:val="000F596D"/>
    <w:rsid w:val="000F5DF4"/>
    <w:rsid w:val="000F6F25"/>
    <w:rsid w:val="000F7CEA"/>
    <w:rsid w:val="001008A1"/>
    <w:rsid w:val="00101A10"/>
    <w:rsid w:val="001029D8"/>
    <w:rsid w:val="00102B98"/>
    <w:rsid w:val="001036E9"/>
    <w:rsid w:val="0010389C"/>
    <w:rsid w:val="00103A4C"/>
    <w:rsid w:val="00103C45"/>
    <w:rsid w:val="0010510A"/>
    <w:rsid w:val="00105C76"/>
    <w:rsid w:val="001066AF"/>
    <w:rsid w:val="00107CFA"/>
    <w:rsid w:val="00110330"/>
    <w:rsid w:val="00110697"/>
    <w:rsid w:val="00110D24"/>
    <w:rsid w:val="00110DB8"/>
    <w:rsid w:val="00111746"/>
    <w:rsid w:val="00111A0F"/>
    <w:rsid w:val="00113387"/>
    <w:rsid w:val="001134DA"/>
    <w:rsid w:val="00113F1E"/>
    <w:rsid w:val="00114E37"/>
    <w:rsid w:val="00115079"/>
    <w:rsid w:val="00115E69"/>
    <w:rsid w:val="00115E99"/>
    <w:rsid w:val="00116804"/>
    <w:rsid w:val="00116A0F"/>
    <w:rsid w:val="00116A23"/>
    <w:rsid w:val="00117577"/>
    <w:rsid w:val="00120D8B"/>
    <w:rsid w:val="00121EF6"/>
    <w:rsid w:val="001221FE"/>
    <w:rsid w:val="001224F9"/>
    <w:rsid w:val="00122BC9"/>
    <w:rsid w:val="00122FE9"/>
    <w:rsid w:val="00123A4D"/>
    <w:rsid w:val="00123E95"/>
    <w:rsid w:val="00127A9D"/>
    <w:rsid w:val="00130CD1"/>
    <w:rsid w:val="001320D8"/>
    <w:rsid w:val="001335BB"/>
    <w:rsid w:val="001338E7"/>
    <w:rsid w:val="00133B7E"/>
    <w:rsid w:val="00134437"/>
    <w:rsid w:val="00134449"/>
    <w:rsid w:val="00135F1B"/>
    <w:rsid w:val="001408F7"/>
    <w:rsid w:val="001419F7"/>
    <w:rsid w:val="00142E94"/>
    <w:rsid w:val="00143AB2"/>
    <w:rsid w:val="00144F05"/>
    <w:rsid w:val="00145855"/>
    <w:rsid w:val="00145980"/>
    <w:rsid w:val="00146AD0"/>
    <w:rsid w:val="00146D73"/>
    <w:rsid w:val="001523F5"/>
    <w:rsid w:val="00152EA5"/>
    <w:rsid w:val="001531A6"/>
    <w:rsid w:val="001534C8"/>
    <w:rsid w:val="00153700"/>
    <w:rsid w:val="00154927"/>
    <w:rsid w:val="00155773"/>
    <w:rsid w:val="00155915"/>
    <w:rsid w:val="00155F82"/>
    <w:rsid w:val="00156BFD"/>
    <w:rsid w:val="00157E78"/>
    <w:rsid w:val="00160CE6"/>
    <w:rsid w:val="00160D2D"/>
    <w:rsid w:val="00162966"/>
    <w:rsid w:val="00162B39"/>
    <w:rsid w:val="0016427A"/>
    <w:rsid w:val="0016490B"/>
    <w:rsid w:val="00164AB8"/>
    <w:rsid w:val="00164B25"/>
    <w:rsid w:val="00164E96"/>
    <w:rsid w:val="00165FB3"/>
    <w:rsid w:val="001661FD"/>
    <w:rsid w:val="00167229"/>
    <w:rsid w:val="0016779B"/>
    <w:rsid w:val="001702EC"/>
    <w:rsid w:val="00170DC6"/>
    <w:rsid w:val="00172691"/>
    <w:rsid w:val="00172D70"/>
    <w:rsid w:val="0017392D"/>
    <w:rsid w:val="00174B1F"/>
    <w:rsid w:val="001755C4"/>
    <w:rsid w:val="00175EFE"/>
    <w:rsid w:val="001761FB"/>
    <w:rsid w:val="00180FE3"/>
    <w:rsid w:val="001820BE"/>
    <w:rsid w:val="00182145"/>
    <w:rsid w:val="00182243"/>
    <w:rsid w:val="00182AC6"/>
    <w:rsid w:val="00184B4C"/>
    <w:rsid w:val="00185067"/>
    <w:rsid w:val="0018586F"/>
    <w:rsid w:val="00185B0D"/>
    <w:rsid w:val="00185E99"/>
    <w:rsid w:val="00186722"/>
    <w:rsid w:val="0018740D"/>
    <w:rsid w:val="00187573"/>
    <w:rsid w:val="00191AB5"/>
    <w:rsid w:val="001930D1"/>
    <w:rsid w:val="001935D3"/>
    <w:rsid w:val="0019439D"/>
    <w:rsid w:val="0019449D"/>
    <w:rsid w:val="001964F6"/>
    <w:rsid w:val="001972F7"/>
    <w:rsid w:val="001972F9"/>
    <w:rsid w:val="001A09D2"/>
    <w:rsid w:val="001A1643"/>
    <w:rsid w:val="001A183B"/>
    <w:rsid w:val="001A2002"/>
    <w:rsid w:val="001A2616"/>
    <w:rsid w:val="001A329E"/>
    <w:rsid w:val="001A33DB"/>
    <w:rsid w:val="001A345A"/>
    <w:rsid w:val="001A479F"/>
    <w:rsid w:val="001A49A0"/>
    <w:rsid w:val="001A4B9D"/>
    <w:rsid w:val="001A4F88"/>
    <w:rsid w:val="001A520A"/>
    <w:rsid w:val="001A6704"/>
    <w:rsid w:val="001A7F62"/>
    <w:rsid w:val="001B2DC3"/>
    <w:rsid w:val="001B310B"/>
    <w:rsid w:val="001B3855"/>
    <w:rsid w:val="001B4128"/>
    <w:rsid w:val="001B485E"/>
    <w:rsid w:val="001B5734"/>
    <w:rsid w:val="001B58CA"/>
    <w:rsid w:val="001B6560"/>
    <w:rsid w:val="001B6850"/>
    <w:rsid w:val="001B6C2D"/>
    <w:rsid w:val="001B750C"/>
    <w:rsid w:val="001B75D1"/>
    <w:rsid w:val="001B7823"/>
    <w:rsid w:val="001C00D8"/>
    <w:rsid w:val="001C08B9"/>
    <w:rsid w:val="001C1799"/>
    <w:rsid w:val="001C1EA8"/>
    <w:rsid w:val="001C23D8"/>
    <w:rsid w:val="001C2482"/>
    <w:rsid w:val="001C2CE5"/>
    <w:rsid w:val="001C2F3B"/>
    <w:rsid w:val="001C32AF"/>
    <w:rsid w:val="001C34D0"/>
    <w:rsid w:val="001C5522"/>
    <w:rsid w:val="001C5A16"/>
    <w:rsid w:val="001C5E14"/>
    <w:rsid w:val="001C66CD"/>
    <w:rsid w:val="001C68E6"/>
    <w:rsid w:val="001C6955"/>
    <w:rsid w:val="001C6B0C"/>
    <w:rsid w:val="001C6B28"/>
    <w:rsid w:val="001C6FA2"/>
    <w:rsid w:val="001C6FEB"/>
    <w:rsid w:val="001C7317"/>
    <w:rsid w:val="001C7A8A"/>
    <w:rsid w:val="001C7C9C"/>
    <w:rsid w:val="001D2BB0"/>
    <w:rsid w:val="001D2F87"/>
    <w:rsid w:val="001D54F9"/>
    <w:rsid w:val="001D5848"/>
    <w:rsid w:val="001D6A5D"/>
    <w:rsid w:val="001D6D34"/>
    <w:rsid w:val="001E037F"/>
    <w:rsid w:val="001E0B06"/>
    <w:rsid w:val="001E0B9C"/>
    <w:rsid w:val="001E1442"/>
    <w:rsid w:val="001E2CF3"/>
    <w:rsid w:val="001E7698"/>
    <w:rsid w:val="001E7F9C"/>
    <w:rsid w:val="001F16B3"/>
    <w:rsid w:val="001F1805"/>
    <w:rsid w:val="001F24FF"/>
    <w:rsid w:val="001F32B8"/>
    <w:rsid w:val="001F3989"/>
    <w:rsid w:val="001F4476"/>
    <w:rsid w:val="001F4FFE"/>
    <w:rsid w:val="001F53E5"/>
    <w:rsid w:val="001F5B5E"/>
    <w:rsid w:val="001F6DF6"/>
    <w:rsid w:val="00200050"/>
    <w:rsid w:val="002006E1"/>
    <w:rsid w:val="00200781"/>
    <w:rsid w:val="00200DE6"/>
    <w:rsid w:val="00200FB8"/>
    <w:rsid w:val="002019B8"/>
    <w:rsid w:val="00201F6F"/>
    <w:rsid w:val="002020E0"/>
    <w:rsid w:val="00202A3C"/>
    <w:rsid w:val="00203ABE"/>
    <w:rsid w:val="00205989"/>
    <w:rsid w:val="002064A9"/>
    <w:rsid w:val="002066A6"/>
    <w:rsid w:val="00206F25"/>
    <w:rsid w:val="0020773D"/>
    <w:rsid w:val="00207BFF"/>
    <w:rsid w:val="0021006E"/>
    <w:rsid w:val="002107F9"/>
    <w:rsid w:val="0021198C"/>
    <w:rsid w:val="00211C9B"/>
    <w:rsid w:val="00212BA1"/>
    <w:rsid w:val="002154D5"/>
    <w:rsid w:val="00216695"/>
    <w:rsid w:val="00216E94"/>
    <w:rsid w:val="00216F53"/>
    <w:rsid w:val="00217B9E"/>
    <w:rsid w:val="00220311"/>
    <w:rsid w:val="0022197F"/>
    <w:rsid w:val="002228F5"/>
    <w:rsid w:val="00223183"/>
    <w:rsid w:val="00223C35"/>
    <w:rsid w:val="00224FC7"/>
    <w:rsid w:val="00225222"/>
    <w:rsid w:val="00227426"/>
    <w:rsid w:val="0022794F"/>
    <w:rsid w:val="002302CA"/>
    <w:rsid w:val="0023072C"/>
    <w:rsid w:val="0023121C"/>
    <w:rsid w:val="00232033"/>
    <w:rsid w:val="00232115"/>
    <w:rsid w:val="00232473"/>
    <w:rsid w:val="00235274"/>
    <w:rsid w:val="00235656"/>
    <w:rsid w:val="00235B29"/>
    <w:rsid w:val="00237F73"/>
    <w:rsid w:val="002400B9"/>
    <w:rsid w:val="00241217"/>
    <w:rsid w:val="00241F60"/>
    <w:rsid w:val="002438D2"/>
    <w:rsid w:val="00243F36"/>
    <w:rsid w:val="00244000"/>
    <w:rsid w:val="00244409"/>
    <w:rsid w:val="00244415"/>
    <w:rsid w:val="00245117"/>
    <w:rsid w:val="002456CC"/>
    <w:rsid w:val="00245900"/>
    <w:rsid w:val="00245D04"/>
    <w:rsid w:val="00246059"/>
    <w:rsid w:val="00246274"/>
    <w:rsid w:val="0024675E"/>
    <w:rsid w:val="00247424"/>
    <w:rsid w:val="0024762B"/>
    <w:rsid w:val="002477FF"/>
    <w:rsid w:val="00250141"/>
    <w:rsid w:val="00250ACB"/>
    <w:rsid w:val="00250F3B"/>
    <w:rsid w:val="002522C4"/>
    <w:rsid w:val="002529BE"/>
    <w:rsid w:val="002537DD"/>
    <w:rsid w:val="00253B2C"/>
    <w:rsid w:val="002542E3"/>
    <w:rsid w:val="00255607"/>
    <w:rsid w:val="00255955"/>
    <w:rsid w:val="00255B33"/>
    <w:rsid w:val="00256055"/>
    <w:rsid w:val="0025664D"/>
    <w:rsid w:val="00257264"/>
    <w:rsid w:val="00257656"/>
    <w:rsid w:val="00257F13"/>
    <w:rsid w:val="002604C8"/>
    <w:rsid w:val="00260F14"/>
    <w:rsid w:val="002612BB"/>
    <w:rsid w:val="002616AF"/>
    <w:rsid w:val="00261F8A"/>
    <w:rsid w:val="002626D1"/>
    <w:rsid w:val="00263237"/>
    <w:rsid w:val="00263A97"/>
    <w:rsid w:val="0026529E"/>
    <w:rsid w:val="00265842"/>
    <w:rsid w:val="002660CA"/>
    <w:rsid w:val="00266295"/>
    <w:rsid w:val="002670E5"/>
    <w:rsid w:val="002677E4"/>
    <w:rsid w:val="00267A58"/>
    <w:rsid w:val="00271F6F"/>
    <w:rsid w:val="002722D0"/>
    <w:rsid w:val="00272E21"/>
    <w:rsid w:val="002731CD"/>
    <w:rsid w:val="00273642"/>
    <w:rsid w:val="00273CEA"/>
    <w:rsid w:val="002747FA"/>
    <w:rsid w:val="0027524C"/>
    <w:rsid w:val="00276AC0"/>
    <w:rsid w:val="002772E0"/>
    <w:rsid w:val="00277475"/>
    <w:rsid w:val="0028146D"/>
    <w:rsid w:val="002819D6"/>
    <w:rsid w:val="00281F31"/>
    <w:rsid w:val="00282113"/>
    <w:rsid w:val="00282463"/>
    <w:rsid w:val="00282C31"/>
    <w:rsid w:val="0028449F"/>
    <w:rsid w:val="0028471D"/>
    <w:rsid w:val="00284AEB"/>
    <w:rsid w:val="00284B6D"/>
    <w:rsid w:val="00286812"/>
    <w:rsid w:val="002874EB"/>
    <w:rsid w:val="00290572"/>
    <w:rsid w:val="002906DC"/>
    <w:rsid w:val="00291099"/>
    <w:rsid w:val="00292DE8"/>
    <w:rsid w:val="00294106"/>
    <w:rsid w:val="0029442F"/>
    <w:rsid w:val="00294880"/>
    <w:rsid w:val="00294FA8"/>
    <w:rsid w:val="0029513C"/>
    <w:rsid w:val="0029692D"/>
    <w:rsid w:val="00296BCC"/>
    <w:rsid w:val="00296F4A"/>
    <w:rsid w:val="0029740E"/>
    <w:rsid w:val="002A1B97"/>
    <w:rsid w:val="002A1C19"/>
    <w:rsid w:val="002A3099"/>
    <w:rsid w:val="002A4515"/>
    <w:rsid w:val="002A4B61"/>
    <w:rsid w:val="002A4C0D"/>
    <w:rsid w:val="002A4D3A"/>
    <w:rsid w:val="002A54A1"/>
    <w:rsid w:val="002A5628"/>
    <w:rsid w:val="002A591E"/>
    <w:rsid w:val="002A6A0F"/>
    <w:rsid w:val="002A6F66"/>
    <w:rsid w:val="002A74C9"/>
    <w:rsid w:val="002A7C56"/>
    <w:rsid w:val="002A7DF1"/>
    <w:rsid w:val="002B0437"/>
    <w:rsid w:val="002B0E78"/>
    <w:rsid w:val="002B1D7D"/>
    <w:rsid w:val="002B44BB"/>
    <w:rsid w:val="002B5219"/>
    <w:rsid w:val="002B5758"/>
    <w:rsid w:val="002B5762"/>
    <w:rsid w:val="002B579A"/>
    <w:rsid w:val="002B5A52"/>
    <w:rsid w:val="002B5B77"/>
    <w:rsid w:val="002B6B38"/>
    <w:rsid w:val="002B7BAC"/>
    <w:rsid w:val="002C1A97"/>
    <w:rsid w:val="002C262F"/>
    <w:rsid w:val="002C29B2"/>
    <w:rsid w:val="002C2B68"/>
    <w:rsid w:val="002C2C89"/>
    <w:rsid w:val="002C2E85"/>
    <w:rsid w:val="002C2FBA"/>
    <w:rsid w:val="002C48D5"/>
    <w:rsid w:val="002C5EE2"/>
    <w:rsid w:val="002C61A0"/>
    <w:rsid w:val="002C6DC8"/>
    <w:rsid w:val="002C70B2"/>
    <w:rsid w:val="002C775A"/>
    <w:rsid w:val="002D046D"/>
    <w:rsid w:val="002D099D"/>
    <w:rsid w:val="002D1E18"/>
    <w:rsid w:val="002D222A"/>
    <w:rsid w:val="002D236D"/>
    <w:rsid w:val="002D3F8F"/>
    <w:rsid w:val="002D3FC2"/>
    <w:rsid w:val="002D55F3"/>
    <w:rsid w:val="002D5727"/>
    <w:rsid w:val="002D5988"/>
    <w:rsid w:val="002D7250"/>
    <w:rsid w:val="002D775D"/>
    <w:rsid w:val="002D78CE"/>
    <w:rsid w:val="002E0298"/>
    <w:rsid w:val="002E0939"/>
    <w:rsid w:val="002E0B8A"/>
    <w:rsid w:val="002E122D"/>
    <w:rsid w:val="002E13ED"/>
    <w:rsid w:val="002E1F28"/>
    <w:rsid w:val="002E2356"/>
    <w:rsid w:val="002E2E2F"/>
    <w:rsid w:val="002E3707"/>
    <w:rsid w:val="002E397D"/>
    <w:rsid w:val="002E404E"/>
    <w:rsid w:val="002E4494"/>
    <w:rsid w:val="002E4CCD"/>
    <w:rsid w:val="002E5795"/>
    <w:rsid w:val="002E672D"/>
    <w:rsid w:val="002E6AAD"/>
    <w:rsid w:val="002E720B"/>
    <w:rsid w:val="002E750F"/>
    <w:rsid w:val="002F05A1"/>
    <w:rsid w:val="002F05B7"/>
    <w:rsid w:val="002F13A0"/>
    <w:rsid w:val="002F46DD"/>
    <w:rsid w:val="002F49C0"/>
    <w:rsid w:val="002F4FB6"/>
    <w:rsid w:val="002F5567"/>
    <w:rsid w:val="002F61C0"/>
    <w:rsid w:val="002F6467"/>
    <w:rsid w:val="0030081E"/>
    <w:rsid w:val="00300A3B"/>
    <w:rsid w:val="003017A4"/>
    <w:rsid w:val="00301E2F"/>
    <w:rsid w:val="0030385C"/>
    <w:rsid w:val="00303A60"/>
    <w:rsid w:val="00303AEB"/>
    <w:rsid w:val="00304466"/>
    <w:rsid w:val="00307E11"/>
    <w:rsid w:val="00310417"/>
    <w:rsid w:val="00310E08"/>
    <w:rsid w:val="00311B16"/>
    <w:rsid w:val="00312E5F"/>
    <w:rsid w:val="00313831"/>
    <w:rsid w:val="00313CB0"/>
    <w:rsid w:val="003175AE"/>
    <w:rsid w:val="00317B3B"/>
    <w:rsid w:val="003223C4"/>
    <w:rsid w:val="003223CA"/>
    <w:rsid w:val="003231CD"/>
    <w:rsid w:val="00323ACF"/>
    <w:rsid w:val="00325F68"/>
    <w:rsid w:val="003265EF"/>
    <w:rsid w:val="003270A4"/>
    <w:rsid w:val="003301EE"/>
    <w:rsid w:val="00331E13"/>
    <w:rsid w:val="00332E80"/>
    <w:rsid w:val="003338DF"/>
    <w:rsid w:val="00334EFC"/>
    <w:rsid w:val="0033672A"/>
    <w:rsid w:val="00336780"/>
    <w:rsid w:val="00336840"/>
    <w:rsid w:val="00337EFC"/>
    <w:rsid w:val="0034033D"/>
    <w:rsid w:val="003413A5"/>
    <w:rsid w:val="00341B8A"/>
    <w:rsid w:val="00341DEE"/>
    <w:rsid w:val="00342D67"/>
    <w:rsid w:val="00343277"/>
    <w:rsid w:val="0034480E"/>
    <w:rsid w:val="003455B9"/>
    <w:rsid w:val="00345AC2"/>
    <w:rsid w:val="00345E0C"/>
    <w:rsid w:val="0034685D"/>
    <w:rsid w:val="003468D8"/>
    <w:rsid w:val="00346984"/>
    <w:rsid w:val="00347A78"/>
    <w:rsid w:val="00347AF2"/>
    <w:rsid w:val="00347E75"/>
    <w:rsid w:val="0035043E"/>
    <w:rsid w:val="003504CA"/>
    <w:rsid w:val="00350680"/>
    <w:rsid w:val="00351122"/>
    <w:rsid w:val="00351ED2"/>
    <w:rsid w:val="00351F00"/>
    <w:rsid w:val="00352DD3"/>
    <w:rsid w:val="0035353D"/>
    <w:rsid w:val="00355359"/>
    <w:rsid w:val="00355559"/>
    <w:rsid w:val="00356F9E"/>
    <w:rsid w:val="00360DF9"/>
    <w:rsid w:val="00360E27"/>
    <w:rsid w:val="00361025"/>
    <w:rsid w:val="003615EA"/>
    <w:rsid w:val="0036356E"/>
    <w:rsid w:val="0036391F"/>
    <w:rsid w:val="00364121"/>
    <w:rsid w:val="00366688"/>
    <w:rsid w:val="00367D4A"/>
    <w:rsid w:val="00367EEC"/>
    <w:rsid w:val="00370097"/>
    <w:rsid w:val="00370370"/>
    <w:rsid w:val="003710AF"/>
    <w:rsid w:val="00372B2F"/>
    <w:rsid w:val="00372E53"/>
    <w:rsid w:val="003741D6"/>
    <w:rsid w:val="003743F9"/>
    <w:rsid w:val="00377C35"/>
    <w:rsid w:val="00380734"/>
    <w:rsid w:val="00380F47"/>
    <w:rsid w:val="003817E3"/>
    <w:rsid w:val="0038318F"/>
    <w:rsid w:val="00383389"/>
    <w:rsid w:val="003838AF"/>
    <w:rsid w:val="00384499"/>
    <w:rsid w:val="003844F3"/>
    <w:rsid w:val="00384D40"/>
    <w:rsid w:val="003859E1"/>
    <w:rsid w:val="00386A6F"/>
    <w:rsid w:val="00387240"/>
    <w:rsid w:val="0038735A"/>
    <w:rsid w:val="00387A58"/>
    <w:rsid w:val="00387BB5"/>
    <w:rsid w:val="00387E17"/>
    <w:rsid w:val="003903ED"/>
    <w:rsid w:val="0039166C"/>
    <w:rsid w:val="00391C10"/>
    <w:rsid w:val="00391E3C"/>
    <w:rsid w:val="00393379"/>
    <w:rsid w:val="003936D7"/>
    <w:rsid w:val="003938B4"/>
    <w:rsid w:val="00393FBF"/>
    <w:rsid w:val="003942C8"/>
    <w:rsid w:val="00394866"/>
    <w:rsid w:val="003963AA"/>
    <w:rsid w:val="003973BC"/>
    <w:rsid w:val="00397483"/>
    <w:rsid w:val="003A1CFF"/>
    <w:rsid w:val="003A249F"/>
    <w:rsid w:val="003A2CBB"/>
    <w:rsid w:val="003A5D43"/>
    <w:rsid w:val="003A6327"/>
    <w:rsid w:val="003A7255"/>
    <w:rsid w:val="003A728E"/>
    <w:rsid w:val="003B03A6"/>
    <w:rsid w:val="003B0EE6"/>
    <w:rsid w:val="003B2272"/>
    <w:rsid w:val="003B2665"/>
    <w:rsid w:val="003B3BF0"/>
    <w:rsid w:val="003B3D65"/>
    <w:rsid w:val="003B4D64"/>
    <w:rsid w:val="003B5245"/>
    <w:rsid w:val="003B6425"/>
    <w:rsid w:val="003B70FA"/>
    <w:rsid w:val="003B79E8"/>
    <w:rsid w:val="003B7A14"/>
    <w:rsid w:val="003C00D8"/>
    <w:rsid w:val="003C017D"/>
    <w:rsid w:val="003C0271"/>
    <w:rsid w:val="003C028A"/>
    <w:rsid w:val="003C24CA"/>
    <w:rsid w:val="003C2BDD"/>
    <w:rsid w:val="003C400A"/>
    <w:rsid w:val="003C657E"/>
    <w:rsid w:val="003C66DF"/>
    <w:rsid w:val="003C6CBE"/>
    <w:rsid w:val="003C7785"/>
    <w:rsid w:val="003C797F"/>
    <w:rsid w:val="003D057A"/>
    <w:rsid w:val="003D0977"/>
    <w:rsid w:val="003D0B0A"/>
    <w:rsid w:val="003D0E6E"/>
    <w:rsid w:val="003D142D"/>
    <w:rsid w:val="003D1626"/>
    <w:rsid w:val="003D32D6"/>
    <w:rsid w:val="003D4C0E"/>
    <w:rsid w:val="003D4ECD"/>
    <w:rsid w:val="003D53A6"/>
    <w:rsid w:val="003D5893"/>
    <w:rsid w:val="003D6A03"/>
    <w:rsid w:val="003D6CE2"/>
    <w:rsid w:val="003D73D0"/>
    <w:rsid w:val="003E013F"/>
    <w:rsid w:val="003E0FD6"/>
    <w:rsid w:val="003E11C3"/>
    <w:rsid w:val="003E2CD9"/>
    <w:rsid w:val="003E3015"/>
    <w:rsid w:val="003E3237"/>
    <w:rsid w:val="003E35C1"/>
    <w:rsid w:val="003E3A06"/>
    <w:rsid w:val="003E3B91"/>
    <w:rsid w:val="003E40F7"/>
    <w:rsid w:val="003E589E"/>
    <w:rsid w:val="003E624C"/>
    <w:rsid w:val="003E7180"/>
    <w:rsid w:val="003F0316"/>
    <w:rsid w:val="003F085B"/>
    <w:rsid w:val="003F119B"/>
    <w:rsid w:val="003F1878"/>
    <w:rsid w:val="003F20B6"/>
    <w:rsid w:val="003F2993"/>
    <w:rsid w:val="003F311F"/>
    <w:rsid w:val="003F47E3"/>
    <w:rsid w:val="003F5DD0"/>
    <w:rsid w:val="003F74E3"/>
    <w:rsid w:val="003F78A4"/>
    <w:rsid w:val="003F7BD4"/>
    <w:rsid w:val="003F7D44"/>
    <w:rsid w:val="00400A09"/>
    <w:rsid w:val="00400AA0"/>
    <w:rsid w:val="00400BEB"/>
    <w:rsid w:val="004027F6"/>
    <w:rsid w:val="004028A4"/>
    <w:rsid w:val="004042CE"/>
    <w:rsid w:val="00404494"/>
    <w:rsid w:val="00404E49"/>
    <w:rsid w:val="00405785"/>
    <w:rsid w:val="00405BB9"/>
    <w:rsid w:val="004072E5"/>
    <w:rsid w:val="0041141D"/>
    <w:rsid w:val="00411B54"/>
    <w:rsid w:val="00411EA5"/>
    <w:rsid w:val="00412496"/>
    <w:rsid w:val="00412ED9"/>
    <w:rsid w:val="00414839"/>
    <w:rsid w:val="0041506E"/>
    <w:rsid w:val="00415620"/>
    <w:rsid w:val="00416E9B"/>
    <w:rsid w:val="00417715"/>
    <w:rsid w:val="00417B59"/>
    <w:rsid w:val="00420784"/>
    <w:rsid w:val="00420B6B"/>
    <w:rsid w:val="00421EE9"/>
    <w:rsid w:val="00422328"/>
    <w:rsid w:val="0042234B"/>
    <w:rsid w:val="00422A2B"/>
    <w:rsid w:val="0042465D"/>
    <w:rsid w:val="00426010"/>
    <w:rsid w:val="004263B4"/>
    <w:rsid w:val="00427C4D"/>
    <w:rsid w:val="0043007F"/>
    <w:rsid w:val="004310CE"/>
    <w:rsid w:val="00431454"/>
    <w:rsid w:val="00431EEE"/>
    <w:rsid w:val="00434326"/>
    <w:rsid w:val="00436918"/>
    <w:rsid w:val="00437A0A"/>
    <w:rsid w:val="00437D76"/>
    <w:rsid w:val="00437F7E"/>
    <w:rsid w:val="00440153"/>
    <w:rsid w:val="00440AF1"/>
    <w:rsid w:val="004420B4"/>
    <w:rsid w:val="00442ACC"/>
    <w:rsid w:val="00442E34"/>
    <w:rsid w:val="004435F1"/>
    <w:rsid w:val="0044489E"/>
    <w:rsid w:val="00444D0D"/>
    <w:rsid w:val="004453AC"/>
    <w:rsid w:val="004462FF"/>
    <w:rsid w:val="00446531"/>
    <w:rsid w:val="00446676"/>
    <w:rsid w:val="00446E18"/>
    <w:rsid w:val="004476EA"/>
    <w:rsid w:val="004479C0"/>
    <w:rsid w:val="00450752"/>
    <w:rsid w:val="00451A67"/>
    <w:rsid w:val="00452420"/>
    <w:rsid w:val="0045288E"/>
    <w:rsid w:val="0045292A"/>
    <w:rsid w:val="00452B7E"/>
    <w:rsid w:val="0045392E"/>
    <w:rsid w:val="00453958"/>
    <w:rsid w:val="00454230"/>
    <w:rsid w:val="00454B25"/>
    <w:rsid w:val="00455565"/>
    <w:rsid w:val="004557C4"/>
    <w:rsid w:val="00455EBA"/>
    <w:rsid w:val="00455F02"/>
    <w:rsid w:val="00456104"/>
    <w:rsid w:val="00456901"/>
    <w:rsid w:val="0045728F"/>
    <w:rsid w:val="004577DF"/>
    <w:rsid w:val="00457D5C"/>
    <w:rsid w:val="00457DBC"/>
    <w:rsid w:val="0046085D"/>
    <w:rsid w:val="0046086F"/>
    <w:rsid w:val="00461CA6"/>
    <w:rsid w:val="00462270"/>
    <w:rsid w:val="00462E03"/>
    <w:rsid w:val="00465354"/>
    <w:rsid w:val="004702EB"/>
    <w:rsid w:val="004710C7"/>
    <w:rsid w:val="00472B40"/>
    <w:rsid w:val="00473EC3"/>
    <w:rsid w:val="004755FC"/>
    <w:rsid w:val="0047666B"/>
    <w:rsid w:val="004766E0"/>
    <w:rsid w:val="00477868"/>
    <w:rsid w:val="00477C48"/>
    <w:rsid w:val="00477FA4"/>
    <w:rsid w:val="004816CF"/>
    <w:rsid w:val="0048188A"/>
    <w:rsid w:val="00482664"/>
    <w:rsid w:val="004826AE"/>
    <w:rsid w:val="00482986"/>
    <w:rsid w:val="00483059"/>
    <w:rsid w:val="0048356B"/>
    <w:rsid w:val="004853D1"/>
    <w:rsid w:val="004853F4"/>
    <w:rsid w:val="0048543D"/>
    <w:rsid w:val="004854B2"/>
    <w:rsid w:val="004861C0"/>
    <w:rsid w:val="00486C12"/>
    <w:rsid w:val="00486CB8"/>
    <w:rsid w:val="0048772D"/>
    <w:rsid w:val="00487B32"/>
    <w:rsid w:val="00491A9D"/>
    <w:rsid w:val="00491D5D"/>
    <w:rsid w:val="004927F0"/>
    <w:rsid w:val="004929B1"/>
    <w:rsid w:val="004929D3"/>
    <w:rsid w:val="0049490C"/>
    <w:rsid w:val="00494CE4"/>
    <w:rsid w:val="00495757"/>
    <w:rsid w:val="004960E9"/>
    <w:rsid w:val="00496554"/>
    <w:rsid w:val="00497642"/>
    <w:rsid w:val="004A01D9"/>
    <w:rsid w:val="004A0584"/>
    <w:rsid w:val="004A0DE6"/>
    <w:rsid w:val="004A10E3"/>
    <w:rsid w:val="004A368F"/>
    <w:rsid w:val="004A433C"/>
    <w:rsid w:val="004A4F1F"/>
    <w:rsid w:val="004A552F"/>
    <w:rsid w:val="004A584F"/>
    <w:rsid w:val="004A5A8D"/>
    <w:rsid w:val="004A7BD2"/>
    <w:rsid w:val="004B10BC"/>
    <w:rsid w:val="004B1330"/>
    <w:rsid w:val="004B2B2D"/>
    <w:rsid w:val="004B2E18"/>
    <w:rsid w:val="004B30AC"/>
    <w:rsid w:val="004B37C2"/>
    <w:rsid w:val="004B4260"/>
    <w:rsid w:val="004B49D8"/>
    <w:rsid w:val="004B5CCA"/>
    <w:rsid w:val="004B5F6B"/>
    <w:rsid w:val="004B63EB"/>
    <w:rsid w:val="004B707F"/>
    <w:rsid w:val="004B73FA"/>
    <w:rsid w:val="004B7781"/>
    <w:rsid w:val="004C011A"/>
    <w:rsid w:val="004C01FD"/>
    <w:rsid w:val="004C024C"/>
    <w:rsid w:val="004C0A0E"/>
    <w:rsid w:val="004C0EEA"/>
    <w:rsid w:val="004C11BD"/>
    <w:rsid w:val="004C20F5"/>
    <w:rsid w:val="004C2158"/>
    <w:rsid w:val="004C3AAC"/>
    <w:rsid w:val="004C3F16"/>
    <w:rsid w:val="004C3F17"/>
    <w:rsid w:val="004C4132"/>
    <w:rsid w:val="004C4BFE"/>
    <w:rsid w:val="004C4CBD"/>
    <w:rsid w:val="004C537D"/>
    <w:rsid w:val="004C585D"/>
    <w:rsid w:val="004C5A00"/>
    <w:rsid w:val="004C63F5"/>
    <w:rsid w:val="004C6BC2"/>
    <w:rsid w:val="004C7575"/>
    <w:rsid w:val="004D0B64"/>
    <w:rsid w:val="004D1729"/>
    <w:rsid w:val="004D1785"/>
    <w:rsid w:val="004D195A"/>
    <w:rsid w:val="004D19B9"/>
    <w:rsid w:val="004D1F68"/>
    <w:rsid w:val="004D2B84"/>
    <w:rsid w:val="004D2EBF"/>
    <w:rsid w:val="004D3469"/>
    <w:rsid w:val="004D37D9"/>
    <w:rsid w:val="004D40D0"/>
    <w:rsid w:val="004D4AFB"/>
    <w:rsid w:val="004D4C1B"/>
    <w:rsid w:val="004D5903"/>
    <w:rsid w:val="004D617D"/>
    <w:rsid w:val="004D6B24"/>
    <w:rsid w:val="004D71D7"/>
    <w:rsid w:val="004D7239"/>
    <w:rsid w:val="004D7515"/>
    <w:rsid w:val="004D7B18"/>
    <w:rsid w:val="004D7C9C"/>
    <w:rsid w:val="004E0036"/>
    <w:rsid w:val="004E1063"/>
    <w:rsid w:val="004E326B"/>
    <w:rsid w:val="004E34AD"/>
    <w:rsid w:val="004E38D1"/>
    <w:rsid w:val="004E6327"/>
    <w:rsid w:val="004E63ED"/>
    <w:rsid w:val="004F11C6"/>
    <w:rsid w:val="004F2F8E"/>
    <w:rsid w:val="004F3324"/>
    <w:rsid w:val="004F33F2"/>
    <w:rsid w:val="004F3519"/>
    <w:rsid w:val="004F3CDB"/>
    <w:rsid w:val="004F50AF"/>
    <w:rsid w:val="004F5B3C"/>
    <w:rsid w:val="00500102"/>
    <w:rsid w:val="005007A9"/>
    <w:rsid w:val="00501529"/>
    <w:rsid w:val="00503BB2"/>
    <w:rsid w:val="00504167"/>
    <w:rsid w:val="00504DB1"/>
    <w:rsid w:val="00505A35"/>
    <w:rsid w:val="0050678B"/>
    <w:rsid w:val="0050684C"/>
    <w:rsid w:val="00506F13"/>
    <w:rsid w:val="00506F5E"/>
    <w:rsid w:val="00507DF5"/>
    <w:rsid w:val="005104FB"/>
    <w:rsid w:val="00510F2E"/>
    <w:rsid w:val="00512D95"/>
    <w:rsid w:val="00513182"/>
    <w:rsid w:val="0051388F"/>
    <w:rsid w:val="00513CD1"/>
    <w:rsid w:val="00515815"/>
    <w:rsid w:val="0051589F"/>
    <w:rsid w:val="00515C00"/>
    <w:rsid w:val="005212AA"/>
    <w:rsid w:val="00521494"/>
    <w:rsid w:val="00521890"/>
    <w:rsid w:val="005218C9"/>
    <w:rsid w:val="005225E0"/>
    <w:rsid w:val="0052261D"/>
    <w:rsid w:val="00523445"/>
    <w:rsid w:val="00523DFD"/>
    <w:rsid w:val="00524E67"/>
    <w:rsid w:val="0052519E"/>
    <w:rsid w:val="0052543F"/>
    <w:rsid w:val="00525D0E"/>
    <w:rsid w:val="00526B54"/>
    <w:rsid w:val="0052772E"/>
    <w:rsid w:val="00530145"/>
    <w:rsid w:val="0053024D"/>
    <w:rsid w:val="005306DD"/>
    <w:rsid w:val="00531284"/>
    <w:rsid w:val="00531911"/>
    <w:rsid w:val="00531FB2"/>
    <w:rsid w:val="00532B22"/>
    <w:rsid w:val="00534AD7"/>
    <w:rsid w:val="00534D34"/>
    <w:rsid w:val="0053580F"/>
    <w:rsid w:val="00537021"/>
    <w:rsid w:val="00537A9C"/>
    <w:rsid w:val="00537EA3"/>
    <w:rsid w:val="00540415"/>
    <w:rsid w:val="00541F43"/>
    <w:rsid w:val="00542191"/>
    <w:rsid w:val="00542274"/>
    <w:rsid w:val="00542604"/>
    <w:rsid w:val="0054268D"/>
    <w:rsid w:val="0054369A"/>
    <w:rsid w:val="0054462F"/>
    <w:rsid w:val="00546531"/>
    <w:rsid w:val="00547442"/>
    <w:rsid w:val="00550E70"/>
    <w:rsid w:val="00551313"/>
    <w:rsid w:val="00551BEB"/>
    <w:rsid w:val="00552FC5"/>
    <w:rsid w:val="005535E9"/>
    <w:rsid w:val="0055435A"/>
    <w:rsid w:val="00555EBF"/>
    <w:rsid w:val="00556828"/>
    <w:rsid w:val="00556DA5"/>
    <w:rsid w:val="00557E33"/>
    <w:rsid w:val="005606BA"/>
    <w:rsid w:val="00561743"/>
    <w:rsid w:val="005618BC"/>
    <w:rsid w:val="00561FB0"/>
    <w:rsid w:val="005622B0"/>
    <w:rsid w:val="00562DF3"/>
    <w:rsid w:val="00562E5E"/>
    <w:rsid w:val="00563900"/>
    <w:rsid w:val="00563A42"/>
    <w:rsid w:val="005643DA"/>
    <w:rsid w:val="00565453"/>
    <w:rsid w:val="00565AC8"/>
    <w:rsid w:val="00566622"/>
    <w:rsid w:val="00566B09"/>
    <w:rsid w:val="005671C9"/>
    <w:rsid w:val="0057076F"/>
    <w:rsid w:val="00570C39"/>
    <w:rsid w:val="0057107B"/>
    <w:rsid w:val="00571349"/>
    <w:rsid w:val="0057197F"/>
    <w:rsid w:val="005722B4"/>
    <w:rsid w:val="00572955"/>
    <w:rsid w:val="00572DF7"/>
    <w:rsid w:val="005732AB"/>
    <w:rsid w:val="005746A2"/>
    <w:rsid w:val="0057574D"/>
    <w:rsid w:val="00575A73"/>
    <w:rsid w:val="005760F7"/>
    <w:rsid w:val="00576EAA"/>
    <w:rsid w:val="005805F2"/>
    <w:rsid w:val="00580778"/>
    <w:rsid w:val="00581241"/>
    <w:rsid w:val="005818D4"/>
    <w:rsid w:val="00581FBB"/>
    <w:rsid w:val="005822F8"/>
    <w:rsid w:val="0058259F"/>
    <w:rsid w:val="005825F1"/>
    <w:rsid w:val="00582FBA"/>
    <w:rsid w:val="005834DE"/>
    <w:rsid w:val="00583AB6"/>
    <w:rsid w:val="00583DBD"/>
    <w:rsid w:val="005853F5"/>
    <w:rsid w:val="00585801"/>
    <w:rsid w:val="005858DE"/>
    <w:rsid w:val="005869E6"/>
    <w:rsid w:val="00586CFA"/>
    <w:rsid w:val="005870CB"/>
    <w:rsid w:val="00587268"/>
    <w:rsid w:val="0058730F"/>
    <w:rsid w:val="00587756"/>
    <w:rsid w:val="005915D6"/>
    <w:rsid w:val="00591C11"/>
    <w:rsid w:val="00591D32"/>
    <w:rsid w:val="00592B77"/>
    <w:rsid w:val="00592DC9"/>
    <w:rsid w:val="00593E5F"/>
    <w:rsid w:val="005952EF"/>
    <w:rsid w:val="00595D96"/>
    <w:rsid w:val="005A06B1"/>
    <w:rsid w:val="005A11B4"/>
    <w:rsid w:val="005A1809"/>
    <w:rsid w:val="005A1A41"/>
    <w:rsid w:val="005A1DC1"/>
    <w:rsid w:val="005A2A80"/>
    <w:rsid w:val="005A2F07"/>
    <w:rsid w:val="005A318E"/>
    <w:rsid w:val="005A31EB"/>
    <w:rsid w:val="005A3242"/>
    <w:rsid w:val="005A33B8"/>
    <w:rsid w:val="005A4820"/>
    <w:rsid w:val="005A4F63"/>
    <w:rsid w:val="005A57AB"/>
    <w:rsid w:val="005A5AB8"/>
    <w:rsid w:val="005A60DF"/>
    <w:rsid w:val="005A69F8"/>
    <w:rsid w:val="005A71A0"/>
    <w:rsid w:val="005A7A68"/>
    <w:rsid w:val="005B17B8"/>
    <w:rsid w:val="005B1AD5"/>
    <w:rsid w:val="005B33E4"/>
    <w:rsid w:val="005B3F53"/>
    <w:rsid w:val="005B55C1"/>
    <w:rsid w:val="005B5696"/>
    <w:rsid w:val="005B5842"/>
    <w:rsid w:val="005B590C"/>
    <w:rsid w:val="005B5E31"/>
    <w:rsid w:val="005B626F"/>
    <w:rsid w:val="005B67F3"/>
    <w:rsid w:val="005B6E82"/>
    <w:rsid w:val="005B6FB5"/>
    <w:rsid w:val="005B7147"/>
    <w:rsid w:val="005C03FA"/>
    <w:rsid w:val="005C0972"/>
    <w:rsid w:val="005C2389"/>
    <w:rsid w:val="005C2916"/>
    <w:rsid w:val="005C2C02"/>
    <w:rsid w:val="005C3261"/>
    <w:rsid w:val="005C3579"/>
    <w:rsid w:val="005C3A09"/>
    <w:rsid w:val="005C3D1A"/>
    <w:rsid w:val="005C4937"/>
    <w:rsid w:val="005C4C20"/>
    <w:rsid w:val="005C4E8E"/>
    <w:rsid w:val="005C5BF9"/>
    <w:rsid w:val="005C7E3D"/>
    <w:rsid w:val="005D07D0"/>
    <w:rsid w:val="005D093B"/>
    <w:rsid w:val="005D1282"/>
    <w:rsid w:val="005D3301"/>
    <w:rsid w:val="005D39BB"/>
    <w:rsid w:val="005D3C87"/>
    <w:rsid w:val="005D3CFE"/>
    <w:rsid w:val="005D5FE4"/>
    <w:rsid w:val="005D63ED"/>
    <w:rsid w:val="005D6482"/>
    <w:rsid w:val="005D654D"/>
    <w:rsid w:val="005D7490"/>
    <w:rsid w:val="005D7702"/>
    <w:rsid w:val="005E01C2"/>
    <w:rsid w:val="005E0F7C"/>
    <w:rsid w:val="005E20C7"/>
    <w:rsid w:val="005E2502"/>
    <w:rsid w:val="005E2BD6"/>
    <w:rsid w:val="005E33B3"/>
    <w:rsid w:val="005E40E0"/>
    <w:rsid w:val="005E5F58"/>
    <w:rsid w:val="005F0044"/>
    <w:rsid w:val="005F0706"/>
    <w:rsid w:val="005F160A"/>
    <w:rsid w:val="005F36AD"/>
    <w:rsid w:val="005F427D"/>
    <w:rsid w:val="005F4497"/>
    <w:rsid w:val="005F4632"/>
    <w:rsid w:val="005F4B13"/>
    <w:rsid w:val="005F5613"/>
    <w:rsid w:val="005F594F"/>
    <w:rsid w:val="006002EE"/>
    <w:rsid w:val="006006F4"/>
    <w:rsid w:val="00600766"/>
    <w:rsid w:val="00601165"/>
    <w:rsid w:val="00603050"/>
    <w:rsid w:val="0060318E"/>
    <w:rsid w:val="006033BE"/>
    <w:rsid w:val="00603826"/>
    <w:rsid w:val="00603E76"/>
    <w:rsid w:val="00604A20"/>
    <w:rsid w:val="00605932"/>
    <w:rsid w:val="006063D0"/>
    <w:rsid w:val="00606C15"/>
    <w:rsid w:val="00607B4B"/>
    <w:rsid w:val="0061053F"/>
    <w:rsid w:val="00610D2A"/>
    <w:rsid w:val="00611236"/>
    <w:rsid w:val="00612631"/>
    <w:rsid w:val="00613537"/>
    <w:rsid w:val="00613AA0"/>
    <w:rsid w:val="00615889"/>
    <w:rsid w:val="0061630F"/>
    <w:rsid w:val="00620311"/>
    <w:rsid w:val="00620A8D"/>
    <w:rsid w:val="006210A6"/>
    <w:rsid w:val="00621238"/>
    <w:rsid w:val="0062131C"/>
    <w:rsid w:val="00621C17"/>
    <w:rsid w:val="00621C80"/>
    <w:rsid w:val="00621FCE"/>
    <w:rsid w:val="00622130"/>
    <w:rsid w:val="006246C3"/>
    <w:rsid w:val="00624809"/>
    <w:rsid w:val="00625F09"/>
    <w:rsid w:val="00627158"/>
    <w:rsid w:val="00627481"/>
    <w:rsid w:val="00627C4D"/>
    <w:rsid w:val="006304D3"/>
    <w:rsid w:val="0063093F"/>
    <w:rsid w:val="00630BAE"/>
    <w:rsid w:val="00630FE1"/>
    <w:rsid w:val="006312BD"/>
    <w:rsid w:val="00631543"/>
    <w:rsid w:val="00632564"/>
    <w:rsid w:val="0063278D"/>
    <w:rsid w:val="0063286A"/>
    <w:rsid w:val="0063536B"/>
    <w:rsid w:val="0063555A"/>
    <w:rsid w:val="0063558E"/>
    <w:rsid w:val="006357D8"/>
    <w:rsid w:val="00636EC8"/>
    <w:rsid w:val="00636F4F"/>
    <w:rsid w:val="0063742C"/>
    <w:rsid w:val="006379CC"/>
    <w:rsid w:val="0064064F"/>
    <w:rsid w:val="00643142"/>
    <w:rsid w:val="0064332C"/>
    <w:rsid w:val="006437B3"/>
    <w:rsid w:val="00643FC1"/>
    <w:rsid w:val="00644B19"/>
    <w:rsid w:val="00644FC7"/>
    <w:rsid w:val="00646111"/>
    <w:rsid w:val="00646F67"/>
    <w:rsid w:val="0064713D"/>
    <w:rsid w:val="0064784B"/>
    <w:rsid w:val="00651628"/>
    <w:rsid w:val="0065184D"/>
    <w:rsid w:val="0065200C"/>
    <w:rsid w:val="006523BD"/>
    <w:rsid w:val="006523D8"/>
    <w:rsid w:val="006527CC"/>
    <w:rsid w:val="00653748"/>
    <w:rsid w:val="00653987"/>
    <w:rsid w:val="006551FB"/>
    <w:rsid w:val="0065533B"/>
    <w:rsid w:val="0065547A"/>
    <w:rsid w:val="00656AC8"/>
    <w:rsid w:val="00660873"/>
    <w:rsid w:val="00661490"/>
    <w:rsid w:val="00662C4A"/>
    <w:rsid w:val="00662ED0"/>
    <w:rsid w:val="0066300B"/>
    <w:rsid w:val="006631FB"/>
    <w:rsid w:val="00663A87"/>
    <w:rsid w:val="00664B73"/>
    <w:rsid w:val="00664EFF"/>
    <w:rsid w:val="00665012"/>
    <w:rsid w:val="00666166"/>
    <w:rsid w:val="00666620"/>
    <w:rsid w:val="00667087"/>
    <w:rsid w:val="00667754"/>
    <w:rsid w:val="00670077"/>
    <w:rsid w:val="0067025B"/>
    <w:rsid w:val="00670D0E"/>
    <w:rsid w:val="00671881"/>
    <w:rsid w:val="0067260E"/>
    <w:rsid w:val="006726E8"/>
    <w:rsid w:val="00674529"/>
    <w:rsid w:val="00676E51"/>
    <w:rsid w:val="006774F3"/>
    <w:rsid w:val="0067796E"/>
    <w:rsid w:val="00680E8D"/>
    <w:rsid w:val="00682A01"/>
    <w:rsid w:val="006837EE"/>
    <w:rsid w:val="00683C0D"/>
    <w:rsid w:val="00684276"/>
    <w:rsid w:val="006844D3"/>
    <w:rsid w:val="006847F7"/>
    <w:rsid w:val="006856EC"/>
    <w:rsid w:val="00685761"/>
    <w:rsid w:val="00685EC5"/>
    <w:rsid w:val="0068664D"/>
    <w:rsid w:val="0068735B"/>
    <w:rsid w:val="00687BFB"/>
    <w:rsid w:val="00690808"/>
    <w:rsid w:val="00690D39"/>
    <w:rsid w:val="00692002"/>
    <w:rsid w:val="0069247F"/>
    <w:rsid w:val="00692BAC"/>
    <w:rsid w:val="00693F26"/>
    <w:rsid w:val="00695191"/>
    <w:rsid w:val="006951BD"/>
    <w:rsid w:val="006964EE"/>
    <w:rsid w:val="006A0F06"/>
    <w:rsid w:val="006A1E15"/>
    <w:rsid w:val="006A23C2"/>
    <w:rsid w:val="006A2B02"/>
    <w:rsid w:val="006A2E5D"/>
    <w:rsid w:val="006A2FA4"/>
    <w:rsid w:val="006A3376"/>
    <w:rsid w:val="006A380D"/>
    <w:rsid w:val="006A4676"/>
    <w:rsid w:val="006A4F60"/>
    <w:rsid w:val="006A5F1D"/>
    <w:rsid w:val="006B0166"/>
    <w:rsid w:val="006B02E8"/>
    <w:rsid w:val="006B0B41"/>
    <w:rsid w:val="006B0BE5"/>
    <w:rsid w:val="006B1C68"/>
    <w:rsid w:val="006B1F17"/>
    <w:rsid w:val="006B3D82"/>
    <w:rsid w:val="006B403F"/>
    <w:rsid w:val="006B4710"/>
    <w:rsid w:val="006B4ABE"/>
    <w:rsid w:val="006B661C"/>
    <w:rsid w:val="006B6EDC"/>
    <w:rsid w:val="006C1DA8"/>
    <w:rsid w:val="006C2A07"/>
    <w:rsid w:val="006C38D4"/>
    <w:rsid w:val="006C5B08"/>
    <w:rsid w:val="006C67E2"/>
    <w:rsid w:val="006C751B"/>
    <w:rsid w:val="006D0088"/>
    <w:rsid w:val="006D0F0C"/>
    <w:rsid w:val="006D16AB"/>
    <w:rsid w:val="006D3523"/>
    <w:rsid w:val="006D3E6F"/>
    <w:rsid w:val="006D4F7E"/>
    <w:rsid w:val="006D5FC2"/>
    <w:rsid w:val="006D61E9"/>
    <w:rsid w:val="006D697C"/>
    <w:rsid w:val="006D730B"/>
    <w:rsid w:val="006D7954"/>
    <w:rsid w:val="006E0158"/>
    <w:rsid w:val="006E045C"/>
    <w:rsid w:val="006E078C"/>
    <w:rsid w:val="006E086F"/>
    <w:rsid w:val="006E16AC"/>
    <w:rsid w:val="006E3590"/>
    <w:rsid w:val="006E42D4"/>
    <w:rsid w:val="006E46B4"/>
    <w:rsid w:val="006E4EC7"/>
    <w:rsid w:val="006E5111"/>
    <w:rsid w:val="006E5817"/>
    <w:rsid w:val="006E6074"/>
    <w:rsid w:val="006E6941"/>
    <w:rsid w:val="006E6DF1"/>
    <w:rsid w:val="006E6F1A"/>
    <w:rsid w:val="006E7130"/>
    <w:rsid w:val="006F0624"/>
    <w:rsid w:val="006F207F"/>
    <w:rsid w:val="006F454D"/>
    <w:rsid w:val="006F49A3"/>
    <w:rsid w:val="006F6013"/>
    <w:rsid w:val="006F67D0"/>
    <w:rsid w:val="006F6ABE"/>
    <w:rsid w:val="006F6F2D"/>
    <w:rsid w:val="006F7E2F"/>
    <w:rsid w:val="006F7E64"/>
    <w:rsid w:val="00700164"/>
    <w:rsid w:val="007011E7"/>
    <w:rsid w:val="00701AD5"/>
    <w:rsid w:val="00702EAE"/>
    <w:rsid w:val="007033F2"/>
    <w:rsid w:val="00703EF7"/>
    <w:rsid w:val="00703FBD"/>
    <w:rsid w:val="00704EC9"/>
    <w:rsid w:val="007056F8"/>
    <w:rsid w:val="00706643"/>
    <w:rsid w:val="0070693D"/>
    <w:rsid w:val="00710CCD"/>
    <w:rsid w:val="007120A2"/>
    <w:rsid w:val="007131CA"/>
    <w:rsid w:val="007131F9"/>
    <w:rsid w:val="00713A06"/>
    <w:rsid w:val="007145CF"/>
    <w:rsid w:val="00715EE9"/>
    <w:rsid w:val="0071648A"/>
    <w:rsid w:val="00716B62"/>
    <w:rsid w:val="0072088F"/>
    <w:rsid w:val="007215B7"/>
    <w:rsid w:val="0072168C"/>
    <w:rsid w:val="00722DF8"/>
    <w:rsid w:val="007242AD"/>
    <w:rsid w:val="0072459D"/>
    <w:rsid w:val="00724750"/>
    <w:rsid w:val="00724C0A"/>
    <w:rsid w:val="00726635"/>
    <w:rsid w:val="007276F0"/>
    <w:rsid w:val="00727C6D"/>
    <w:rsid w:val="00727D4B"/>
    <w:rsid w:val="00730103"/>
    <w:rsid w:val="0073131E"/>
    <w:rsid w:val="007317EC"/>
    <w:rsid w:val="00731A7F"/>
    <w:rsid w:val="0073223C"/>
    <w:rsid w:val="007332DE"/>
    <w:rsid w:val="0073334B"/>
    <w:rsid w:val="007333D6"/>
    <w:rsid w:val="007335C8"/>
    <w:rsid w:val="00733C83"/>
    <w:rsid w:val="007340AE"/>
    <w:rsid w:val="007344A9"/>
    <w:rsid w:val="00734563"/>
    <w:rsid w:val="00734592"/>
    <w:rsid w:val="0073561A"/>
    <w:rsid w:val="00737135"/>
    <w:rsid w:val="00737479"/>
    <w:rsid w:val="007379F2"/>
    <w:rsid w:val="00737A53"/>
    <w:rsid w:val="00741648"/>
    <w:rsid w:val="007425F4"/>
    <w:rsid w:val="00742B97"/>
    <w:rsid w:val="00742BEC"/>
    <w:rsid w:val="00744D9C"/>
    <w:rsid w:val="007462CF"/>
    <w:rsid w:val="00746B61"/>
    <w:rsid w:val="00746D51"/>
    <w:rsid w:val="00746D86"/>
    <w:rsid w:val="00746DDC"/>
    <w:rsid w:val="00746F2A"/>
    <w:rsid w:val="0074711A"/>
    <w:rsid w:val="00747410"/>
    <w:rsid w:val="00750A5F"/>
    <w:rsid w:val="007514D3"/>
    <w:rsid w:val="007521A0"/>
    <w:rsid w:val="00752A3C"/>
    <w:rsid w:val="00753CD6"/>
    <w:rsid w:val="00754927"/>
    <w:rsid w:val="00755BC7"/>
    <w:rsid w:val="00755CDC"/>
    <w:rsid w:val="007603E9"/>
    <w:rsid w:val="007610E2"/>
    <w:rsid w:val="007613CB"/>
    <w:rsid w:val="00762FF1"/>
    <w:rsid w:val="00763E6A"/>
    <w:rsid w:val="00764975"/>
    <w:rsid w:val="00764A1E"/>
    <w:rsid w:val="00764C8E"/>
    <w:rsid w:val="0076699C"/>
    <w:rsid w:val="00766D88"/>
    <w:rsid w:val="0076755C"/>
    <w:rsid w:val="00767F34"/>
    <w:rsid w:val="00770DCB"/>
    <w:rsid w:val="00771130"/>
    <w:rsid w:val="0077196C"/>
    <w:rsid w:val="0077206C"/>
    <w:rsid w:val="007729A8"/>
    <w:rsid w:val="007732A7"/>
    <w:rsid w:val="00773383"/>
    <w:rsid w:val="007744F7"/>
    <w:rsid w:val="00774B70"/>
    <w:rsid w:val="007755DA"/>
    <w:rsid w:val="007757F0"/>
    <w:rsid w:val="00775F5C"/>
    <w:rsid w:val="00780BB0"/>
    <w:rsid w:val="0078107D"/>
    <w:rsid w:val="007813DF"/>
    <w:rsid w:val="00781694"/>
    <w:rsid w:val="00781883"/>
    <w:rsid w:val="0078188D"/>
    <w:rsid w:val="00781E82"/>
    <w:rsid w:val="00782545"/>
    <w:rsid w:val="0078266F"/>
    <w:rsid w:val="00782B63"/>
    <w:rsid w:val="007835AC"/>
    <w:rsid w:val="00783D27"/>
    <w:rsid w:val="00784129"/>
    <w:rsid w:val="007843F3"/>
    <w:rsid w:val="00784B62"/>
    <w:rsid w:val="00784C5D"/>
    <w:rsid w:val="00785736"/>
    <w:rsid w:val="007857A4"/>
    <w:rsid w:val="00787060"/>
    <w:rsid w:val="0078770B"/>
    <w:rsid w:val="00787836"/>
    <w:rsid w:val="00790A77"/>
    <w:rsid w:val="00790E3D"/>
    <w:rsid w:val="0079152D"/>
    <w:rsid w:val="00792F22"/>
    <w:rsid w:val="00793D15"/>
    <w:rsid w:val="00796124"/>
    <w:rsid w:val="00796573"/>
    <w:rsid w:val="00796B7A"/>
    <w:rsid w:val="00797750"/>
    <w:rsid w:val="00797A50"/>
    <w:rsid w:val="007A1201"/>
    <w:rsid w:val="007A1D95"/>
    <w:rsid w:val="007A2F41"/>
    <w:rsid w:val="007A2F55"/>
    <w:rsid w:val="007A363F"/>
    <w:rsid w:val="007A397D"/>
    <w:rsid w:val="007A4145"/>
    <w:rsid w:val="007A473C"/>
    <w:rsid w:val="007A53DE"/>
    <w:rsid w:val="007A56CA"/>
    <w:rsid w:val="007A6686"/>
    <w:rsid w:val="007A7E92"/>
    <w:rsid w:val="007B0187"/>
    <w:rsid w:val="007B03BA"/>
    <w:rsid w:val="007B03E9"/>
    <w:rsid w:val="007B0981"/>
    <w:rsid w:val="007B1756"/>
    <w:rsid w:val="007B1FEA"/>
    <w:rsid w:val="007B2438"/>
    <w:rsid w:val="007B33BE"/>
    <w:rsid w:val="007B3BE7"/>
    <w:rsid w:val="007B4B97"/>
    <w:rsid w:val="007B6604"/>
    <w:rsid w:val="007B66CB"/>
    <w:rsid w:val="007B7260"/>
    <w:rsid w:val="007B735C"/>
    <w:rsid w:val="007B7715"/>
    <w:rsid w:val="007B7A76"/>
    <w:rsid w:val="007B7AC5"/>
    <w:rsid w:val="007C1549"/>
    <w:rsid w:val="007C1F99"/>
    <w:rsid w:val="007C221E"/>
    <w:rsid w:val="007C2C9E"/>
    <w:rsid w:val="007C42F8"/>
    <w:rsid w:val="007C4CAE"/>
    <w:rsid w:val="007C7D80"/>
    <w:rsid w:val="007D0109"/>
    <w:rsid w:val="007D25D3"/>
    <w:rsid w:val="007D37EC"/>
    <w:rsid w:val="007D3AB7"/>
    <w:rsid w:val="007D445D"/>
    <w:rsid w:val="007D4A91"/>
    <w:rsid w:val="007D4B25"/>
    <w:rsid w:val="007D4F8C"/>
    <w:rsid w:val="007D5896"/>
    <w:rsid w:val="007D6639"/>
    <w:rsid w:val="007D73F2"/>
    <w:rsid w:val="007D79C3"/>
    <w:rsid w:val="007D7CC4"/>
    <w:rsid w:val="007D7F93"/>
    <w:rsid w:val="007E103E"/>
    <w:rsid w:val="007E1986"/>
    <w:rsid w:val="007E1CFF"/>
    <w:rsid w:val="007E3CF4"/>
    <w:rsid w:val="007E3E79"/>
    <w:rsid w:val="007E65C8"/>
    <w:rsid w:val="007F05FD"/>
    <w:rsid w:val="007F0FB6"/>
    <w:rsid w:val="007F2A3B"/>
    <w:rsid w:val="007F389D"/>
    <w:rsid w:val="007F5B64"/>
    <w:rsid w:val="007F6E3B"/>
    <w:rsid w:val="007F7894"/>
    <w:rsid w:val="0080025C"/>
    <w:rsid w:val="00800755"/>
    <w:rsid w:val="0080092F"/>
    <w:rsid w:val="00800EF2"/>
    <w:rsid w:val="00801CA5"/>
    <w:rsid w:val="00802322"/>
    <w:rsid w:val="00803E4B"/>
    <w:rsid w:val="00803FF4"/>
    <w:rsid w:val="00804653"/>
    <w:rsid w:val="00805C5E"/>
    <w:rsid w:val="0080630F"/>
    <w:rsid w:val="0080699F"/>
    <w:rsid w:val="008101C3"/>
    <w:rsid w:val="0081032F"/>
    <w:rsid w:val="00811C59"/>
    <w:rsid w:val="00814AF6"/>
    <w:rsid w:val="00814D67"/>
    <w:rsid w:val="00814E18"/>
    <w:rsid w:val="008171EF"/>
    <w:rsid w:val="00817A5A"/>
    <w:rsid w:val="0082056A"/>
    <w:rsid w:val="00821894"/>
    <w:rsid w:val="00825874"/>
    <w:rsid w:val="00830B84"/>
    <w:rsid w:val="00831B00"/>
    <w:rsid w:val="00832358"/>
    <w:rsid w:val="008330B2"/>
    <w:rsid w:val="0083341C"/>
    <w:rsid w:val="00834762"/>
    <w:rsid w:val="008368FB"/>
    <w:rsid w:val="00837023"/>
    <w:rsid w:val="008376FA"/>
    <w:rsid w:val="00837C56"/>
    <w:rsid w:val="0084059E"/>
    <w:rsid w:val="008412D8"/>
    <w:rsid w:val="0084141B"/>
    <w:rsid w:val="00841C2D"/>
    <w:rsid w:val="00842321"/>
    <w:rsid w:val="0084287B"/>
    <w:rsid w:val="008468E8"/>
    <w:rsid w:val="008473C5"/>
    <w:rsid w:val="0085022B"/>
    <w:rsid w:val="008507FC"/>
    <w:rsid w:val="00850A26"/>
    <w:rsid w:val="008525EE"/>
    <w:rsid w:val="00852E15"/>
    <w:rsid w:val="00853367"/>
    <w:rsid w:val="008534B8"/>
    <w:rsid w:val="00853636"/>
    <w:rsid w:val="00853B18"/>
    <w:rsid w:val="00853D60"/>
    <w:rsid w:val="00854D90"/>
    <w:rsid w:val="008559A0"/>
    <w:rsid w:val="00855A03"/>
    <w:rsid w:val="00857419"/>
    <w:rsid w:val="00857890"/>
    <w:rsid w:val="00857C52"/>
    <w:rsid w:val="00857E82"/>
    <w:rsid w:val="00861A49"/>
    <w:rsid w:val="00861FC4"/>
    <w:rsid w:val="00862E15"/>
    <w:rsid w:val="00863E7F"/>
    <w:rsid w:val="00864CD5"/>
    <w:rsid w:val="00864E55"/>
    <w:rsid w:val="008655B3"/>
    <w:rsid w:val="008667C4"/>
    <w:rsid w:val="008668F6"/>
    <w:rsid w:val="00867D52"/>
    <w:rsid w:val="0087074A"/>
    <w:rsid w:val="00870AA7"/>
    <w:rsid w:val="00870E3D"/>
    <w:rsid w:val="0087133E"/>
    <w:rsid w:val="0087173B"/>
    <w:rsid w:val="00871A76"/>
    <w:rsid w:val="00872719"/>
    <w:rsid w:val="00872723"/>
    <w:rsid w:val="00874815"/>
    <w:rsid w:val="00874965"/>
    <w:rsid w:val="0087514B"/>
    <w:rsid w:val="00880040"/>
    <w:rsid w:val="00880742"/>
    <w:rsid w:val="00881836"/>
    <w:rsid w:val="00882AA1"/>
    <w:rsid w:val="00883456"/>
    <w:rsid w:val="0088398D"/>
    <w:rsid w:val="0088408C"/>
    <w:rsid w:val="00884962"/>
    <w:rsid w:val="00884F59"/>
    <w:rsid w:val="00885AB5"/>
    <w:rsid w:val="0088764A"/>
    <w:rsid w:val="00887659"/>
    <w:rsid w:val="0088790F"/>
    <w:rsid w:val="00887E09"/>
    <w:rsid w:val="00890205"/>
    <w:rsid w:val="00890854"/>
    <w:rsid w:val="00890966"/>
    <w:rsid w:val="00891B91"/>
    <w:rsid w:val="0089309D"/>
    <w:rsid w:val="00893E31"/>
    <w:rsid w:val="0089486A"/>
    <w:rsid w:val="00894B78"/>
    <w:rsid w:val="00894C55"/>
    <w:rsid w:val="00895BAC"/>
    <w:rsid w:val="00896B5D"/>
    <w:rsid w:val="008A1ABC"/>
    <w:rsid w:val="008A1EBD"/>
    <w:rsid w:val="008A410D"/>
    <w:rsid w:val="008A4326"/>
    <w:rsid w:val="008A4C45"/>
    <w:rsid w:val="008A4D67"/>
    <w:rsid w:val="008A5B79"/>
    <w:rsid w:val="008B05FC"/>
    <w:rsid w:val="008B30F0"/>
    <w:rsid w:val="008B30FC"/>
    <w:rsid w:val="008B3D26"/>
    <w:rsid w:val="008B3E96"/>
    <w:rsid w:val="008B7A2F"/>
    <w:rsid w:val="008C0162"/>
    <w:rsid w:val="008C1574"/>
    <w:rsid w:val="008C1B81"/>
    <w:rsid w:val="008C3CFE"/>
    <w:rsid w:val="008C3E20"/>
    <w:rsid w:val="008C4068"/>
    <w:rsid w:val="008C4B88"/>
    <w:rsid w:val="008C5123"/>
    <w:rsid w:val="008C5246"/>
    <w:rsid w:val="008C6AE5"/>
    <w:rsid w:val="008D036F"/>
    <w:rsid w:val="008D1964"/>
    <w:rsid w:val="008D1B8F"/>
    <w:rsid w:val="008D2C61"/>
    <w:rsid w:val="008D4394"/>
    <w:rsid w:val="008D5131"/>
    <w:rsid w:val="008D5BFE"/>
    <w:rsid w:val="008D5E69"/>
    <w:rsid w:val="008D6019"/>
    <w:rsid w:val="008D731C"/>
    <w:rsid w:val="008E0930"/>
    <w:rsid w:val="008E0981"/>
    <w:rsid w:val="008E1269"/>
    <w:rsid w:val="008E1334"/>
    <w:rsid w:val="008E27BC"/>
    <w:rsid w:val="008E288E"/>
    <w:rsid w:val="008E3CD8"/>
    <w:rsid w:val="008E52CD"/>
    <w:rsid w:val="008E63BB"/>
    <w:rsid w:val="008E6B86"/>
    <w:rsid w:val="008E74D7"/>
    <w:rsid w:val="008F0809"/>
    <w:rsid w:val="008F1BDA"/>
    <w:rsid w:val="008F21D7"/>
    <w:rsid w:val="008F22DD"/>
    <w:rsid w:val="008F2730"/>
    <w:rsid w:val="008F29AA"/>
    <w:rsid w:val="008F4A04"/>
    <w:rsid w:val="008F5422"/>
    <w:rsid w:val="008F5F18"/>
    <w:rsid w:val="008F716D"/>
    <w:rsid w:val="008F79CD"/>
    <w:rsid w:val="008F7FE9"/>
    <w:rsid w:val="009000F4"/>
    <w:rsid w:val="00900794"/>
    <w:rsid w:val="00901D93"/>
    <w:rsid w:val="00902D51"/>
    <w:rsid w:val="00905397"/>
    <w:rsid w:val="00905ADF"/>
    <w:rsid w:val="00905EDF"/>
    <w:rsid w:val="00906334"/>
    <w:rsid w:val="00906539"/>
    <w:rsid w:val="00906C78"/>
    <w:rsid w:val="0090727E"/>
    <w:rsid w:val="009076D7"/>
    <w:rsid w:val="00907C94"/>
    <w:rsid w:val="00907D5F"/>
    <w:rsid w:val="009103DC"/>
    <w:rsid w:val="00911896"/>
    <w:rsid w:val="00911FA0"/>
    <w:rsid w:val="009120AE"/>
    <w:rsid w:val="009136C6"/>
    <w:rsid w:val="00913D48"/>
    <w:rsid w:val="009144DF"/>
    <w:rsid w:val="00914EA7"/>
    <w:rsid w:val="00914F75"/>
    <w:rsid w:val="00915250"/>
    <w:rsid w:val="0091563E"/>
    <w:rsid w:val="00916659"/>
    <w:rsid w:val="0091734D"/>
    <w:rsid w:val="00917730"/>
    <w:rsid w:val="00920B6F"/>
    <w:rsid w:val="0092348B"/>
    <w:rsid w:val="00923E0B"/>
    <w:rsid w:val="0092426D"/>
    <w:rsid w:val="0092455C"/>
    <w:rsid w:val="00924D2C"/>
    <w:rsid w:val="00926A53"/>
    <w:rsid w:val="00926C27"/>
    <w:rsid w:val="00930213"/>
    <w:rsid w:val="00931748"/>
    <w:rsid w:val="00931EF5"/>
    <w:rsid w:val="009344D4"/>
    <w:rsid w:val="0093592B"/>
    <w:rsid w:val="00936CC9"/>
    <w:rsid w:val="009373D3"/>
    <w:rsid w:val="00937461"/>
    <w:rsid w:val="00937513"/>
    <w:rsid w:val="00937E73"/>
    <w:rsid w:val="0094069B"/>
    <w:rsid w:val="0094104F"/>
    <w:rsid w:val="0094117F"/>
    <w:rsid w:val="009414A4"/>
    <w:rsid w:val="009436FD"/>
    <w:rsid w:val="00943727"/>
    <w:rsid w:val="00943D2B"/>
    <w:rsid w:val="00943D33"/>
    <w:rsid w:val="00944F35"/>
    <w:rsid w:val="00945B05"/>
    <w:rsid w:val="00945DA6"/>
    <w:rsid w:val="00946E57"/>
    <w:rsid w:val="0094757D"/>
    <w:rsid w:val="00947655"/>
    <w:rsid w:val="009504BE"/>
    <w:rsid w:val="009507F5"/>
    <w:rsid w:val="00951120"/>
    <w:rsid w:val="009511E3"/>
    <w:rsid w:val="00953227"/>
    <w:rsid w:val="009537CB"/>
    <w:rsid w:val="00954DC2"/>
    <w:rsid w:val="0095650D"/>
    <w:rsid w:val="009571D3"/>
    <w:rsid w:val="009571FE"/>
    <w:rsid w:val="009612BC"/>
    <w:rsid w:val="00962070"/>
    <w:rsid w:val="00966581"/>
    <w:rsid w:val="009671CF"/>
    <w:rsid w:val="00967722"/>
    <w:rsid w:val="00967C63"/>
    <w:rsid w:val="0097052B"/>
    <w:rsid w:val="00970902"/>
    <w:rsid w:val="00971236"/>
    <w:rsid w:val="0097496B"/>
    <w:rsid w:val="009758A5"/>
    <w:rsid w:val="00975D29"/>
    <w:rsid w:val="00976A4C"/>
    <w:rsid w:val="00977434"/>
    <w:rsid w:val="00977610"/>
    <w:rsid w:val="00977B98"/>
    <w:rsid w:val="009802B1"/>
    <w:rsid w:val="009810EA"/>
    <w:rsid w:val="009811A9"/>
    <w:rsid w:val="009811C0"/>
    <w:rsid w:val="009829FB"/>
    <w:rsid w:val="009836A0"/>
    <w:rsid w:val="0098474D"/>
    <w:rsid w:val="00984A9C"/>
    <w:rsid w:val="0098703F"/>
    <w:rsid w:val="00987BC6"/>
    <w:rsid w:val="00987DAE"/>
    <w:rsid w:val="009906B4"/>
    <w:rsid w:val="0099084F"/>
    <w:rsid w:val="009911B4"/>
    <w:rsid w:val="00991216"/>
    <w:rsid w:val="00992F5E"/>
    <w:rsid w:val="00993172"/>
    <w:rsid w:val="00993329"/>
    <w:rsid w:val="009943CC"/>
    <w:rsid w:val="009944D2"/>
    <w:rsid w:val="00994760"/>
    <w:rsid w:val="00994B2C"/>
    <w:rsid w:val="00995403"/>
    <w:rsid w:val="00995E63"/>
    <w:rsid w:val="00995F22"/>
    <w:rsid w:val="0099618F"/>
    <w:rsid w:val="009971C3"/>
    <w:rsid w:val="009A03D7"/>
    <w:rsid w:val="009A0A3A"/>
    <w:rsid w:val="009A0D90"/>
    <w:rsid w:val="009A0EB8"/>
    <w:rsid w:val="009A0F63"/>
    <w:rsid w:val="009A112E"/>
    <w:rsid w:val="009A1593"/>
    <w:rsid w:val="009A2168"/>
    <w:rsid w:val="009A2CF1"/>
    <w:rsid w:val="009A2F97"/>
    <w:rsid w:val="009A3167"/>
    <w:rsid w:val="009A3EF2"/>
    <w:rsid w:val="009A4C78"/>
    <w:rsid w:val="009A5AF4"/>
    <w:rsid w:val="009A758F"/>
    <w:rsid w:val="009A7903"/>
    <w:rsid w:val="009A7BBA"/>
    <w:rsid w:val="009B1A05"/>
    <w:rsid w:val="009B2205"/>
    <w:rsid w:val="009B2DF2"/>
    <w:rsid w:val="009B34EC"/>
    <w:rsid w:val="009B3578"/>
    <w:rsid w:val="009B4CE8"/>
    <w:rsid w:val="009B5AC8"/>
    <w:rsid w:val="009B6265"/>
    <w:rsid w:val="009B73D9"/>
    <w:rsid w:val="009B7A66"/>
    <w:rsid w:val="009C0B69"/>
    <w:rsid w:val="009C0CE2"/>
    <w:rsid w:val="009C0DC2"/>
    <w:rsid w:val="009C20D7"/>
    <w:rsid w:val="009C32A5"/>
    <w:rsid w:val="009C3F03"/>
    <w:rsid w:val="009C4546"/>
    <w:rsid w:val="009C4587"/>
    <w:rsid w:val="009C4C05"/>
    <w:rsid w:val="009D0498"/>
    <w:rsid w:val="009D0B8B"/>
    <w:rsid w:val="009D0E4F"/>
    <w:rsid w:val="009D2963"/>
    <w:rsid w:val="009D3FD4"/>
    <w:rsid w:val="009E001E"/>
    <w:rsid w:val="009E0050"/>
    <w:rsid w:val="009E12CF"/>
    <w:rsid w:val="009E17F6"/>
    <w:rsid w:val="009E1B0C"/>
    <w:rsid w:val="009E1D94"/>
    <w:rsid w:val="009E3743"/>
    <w:rsid w:val="009E3E91"/>
    <w:rsid w:val="009E3EB4"/>
    <w:rsid w:val="009E435B"/>
    <w:rsid w:val="009E4411"/>
    <w:rsid w:val="009E4714"/>
    <w:rsid w:val="009E480C"/>
    <w:rsid w:val="009E5045"/>
    <w:rsid w:val="009E5694"/>
    <w:rsid w:val="009E6420"/>
    <w:rsid w:val="009E67ED"/>
    <w:rsid w:val="009E7952"/>
    <w:rsid w:val="009E7959"/>
    <w:rsid w:val="009F026A"/>
    <w:rsid w:val="009F0842"/>
    <w:rsid w:val="009F0F61"/>
    <w:rsid w:val="009F1217"/>
    <w:rsid w:val="009F1B61"/>
    <w:rsid w:val="009F1C29"/>
    <w:rsid w:val="009F2269"/>
    <w:rsid w:val="009F370C"/>
    <w:rsid w:val="009F43AC"/>
    <w:rsid w:val="009F45EC"/>
    <w:rsid w:val="009F4768"/>
    <w:rsid w:val="009F528A"/>
    <w:rsid w:val="009F5B4E"/>
    <w:rsid w:val="009F7181"/>
    <w:rsid w:val="009F737E"/>
    <w:rsid w:val="009F75DE"/>
    <w:rsid w:val="00A003BF"/>
    <w:rsid w:val="00A0243A"/>
    <w:rsid w:val="00A02D06"/>
    <w:rsid w:val="00A02E3F"/>
    <w:rsid w:val="00A02FAD"/>
    <w:rsid w:val="00A02FF4"/>
    <w:rsid w:val="00A0345A"/>
    <w:rsid w:val="00A03801"/>
    <w:rsid w:val="00A04FEF"/>
    <w:rsid w:val="00A05BE4"/>
    <w:rsid w:val="00A05C86"/>
    <w:rsid w:val="00A05D0D"/>
    <w:rsid w:val="00A0652A"/>
    <w:rsid w:val="00A06D91"/>
    <w:rsid w:val="00A07B21"/>
    <w:rsid w:val="00A10B4B"/>
    <w:rsid w:val="00A112B0"/>
    <w:rsid w:val="00A1153A"/>
    <w:rsid w:val="00A1255C"/>
    <w:rsid w:val="00A12AD3"/>
    <w:rsid w:val="00A12E2E"/>
    <w:rsid w:val="00A13373"/>
    <w:rsid w:val="00A133FC"/>
    <w:rsid w:val="00A13528"/>
    <w:rsid w:val="00A1395A"/>
    <w:rsid w:val="00A13A55"/>
    <w:rsid w:val="00A14811"/>
    <w:rsid w:val="00A14FA0"/>
    <w:rsid w:val="00A15233"/>
    <w:rsid w:val="00A15809"/>
    <w:rsid w:val="00A16AA0"/>
    <w:rsid w:val="00A17062"/>
    <w:rsid w:val="00A1714E"/>
    <w:rsid w:val="00A17633"/>
    <w:rsid w:val="00A17777"/>
    <w:rsid w:val="00A17E61"/>
    <w:rsid w:val="00A17F1F"/>
    <w:rsid w:val="00A2067D"/>
    <w:rsid w:val="00A207FF"/>
    <w:rsid w:val="00A20867"/>
    <w:rsid w:val="00A21BDB"/>
    <w:rsid w:val="00A224E9"/>
    <w:rsid w:val="00A226C2"/>
    <w:rsid w:val="00A22A61"/>
    <w:rsid w:val="00A23436"/>
    <w:rsid w:val="00A25035"/>
    <w:rsid w:val="00A255CD"/>
    <w:rsid w:val="00A258DD"/>
    <w:rsid w:val="00A2594B"/>
    <w:rsid w:val="00A25EC7"/>
    <w:rsid w:val="00A26637"/>
    <w:rsid w:val="00A26ACD"/>
    <w:rsid w:val="00A26DB6"/>
    <w:rsid w:val="00A26DBE"/>
    <w:rsid w:val="00A27C01"/>
    <w:rsid w:val="00A31563"/>
    <w:rsid w:val="00A31A53"/>
    <w:rsid w:val="00A31DCD"/>
    <w:rsid w:val="00A327A2"/>
    <w:rsid w:val="00A33FF4"/>
    <w:rsid w:val="00A356C0"/>
    <w:rsid w:val="00A36B25"/>
    <w:rsid w:val="00A37A1B"/>
    <w:rsid w:val="00A37F50"/>
    <w:rsid w:val="00A404CB"/>
    <w:rsid w:val="00A41CC4"/>
    <w:rsid w:val="00A426A8"/>
    <w:rsid w:val="00A4305B"/>
    <w:rsid w:val="00A43443"/>
    <w:rsid w:val="00A4345F"/>
    <w:rsid w:val="00A43B3B"/>
    <w:rsid w:val="00A443A8"/>
    <w:rsid w:val="00A45BCB"/>
    <w:rsid w:val="00A45DA0"/>
    <w:rsid w:val="00A46A75"/>
    <w:rsid w:val="00A46A76"/>
    <w:rsid w:val="00A50D7D"/>
    <w:rsid w:val="00A5127F"/>
    <w:rsid w:val="00A51B9E"/>
    <w:rsid w:val="00A52238"/>
    <w:rsid w:val="00A5242A"/>
    <w:rsid w:val="00A53842"/>
    <w:rsid w:val="00A53E05"/>
    <w:rsid w:val="00A56FA4"/>
    <w:rsid w:val="00A57449"/>
    <w:rsid w:val="00A57549"/>
    <w:rsid w:val="00A5759B"/>
    <w:rsid w:val="00A60F02"/>
    <w:rsid w:val="00A6176F"/>
    <w:rsid w:val="00A618DC"/>
    <w:rsid w:val="00A6192E"/>
    <w:rsid w:val="00A61AC0"/>
    <w:rsid w:val="00A61D68"/>
    <w:rsid w:val="00A62A29"/>
    <w:rsid w:val="00A63D5C"/>
    <w:rsid w:val="00A65896"/>
    <w:rsid w:val="00A67BC0"/>
    <w:rsid w:val="00A701B9"/>
    <w:rsid w:val="00A70A89"/>
    <w:rsid w:val="00A71373"/>
    <w:rsid w:val="00A7280A"/>
    <w:rsid w:val="00A740F8"/>
    <w:rsid w:val="00A74678"/>
    <w:rsid w:val="00A748AD"/>
    <w:rsid w:val="00A752BC"/>
    <w:rsid w:val="00A75D5E"/>
    <w:rsid w:val="00A76470"/>
    <w:rsid w:val="00A775FC"/>
    <w:rsid w:val="00A77BAB"/>
    <w:rsid w:val="00A77F4C"/>
    <w:rsid w:val="00A804FE"/>
    <w:rsid w:val="00A8184B"/>
    <w:rsid w:val="00A8291B"/>
    <w:rsid w:val="00A82D12"/>
    <w:rsid w:val="00A82E91"/>
    <w:rsid w:val="00A83C5B"/>
    <w:rsid w:val="00A86F48"/>
    <w:rsid w:val="00A86F5D"/>
    <w:rsid w:val="00A8768B"/>
    <w:rsid w:val="00A9229F"/>
    <w:rsid w:val="00A92D2F"/>
    <w:rsid w:val="00A9369F"/>
    <w:rsid w:val="00A93B01"/>
    <w:rsid w:val="00A94F5F"/>
    <w:rsid w:val="00A95F4B"/>
    <w:rsid w:val="00A96425"/>
    <w:rsid w:val="00A96E66"/>
    <w:rsid w:val="00A974C1"/>
    <w:rsid w:val="00AA0A26"/>
    <w:rsid w:val="00AA1C1D"/>
    <w:rsid w:val="00AA297F"/>
    <w:rsid w:val="00AA2AB4"/>
    <w:rsid w:val="00AA31D8"/>
    <w:rsid w:val="00AA498D"/>
    <w:rsid w:val="00AA49D9"/>
    <w:rsid w:val="00AA4A9D"/>
    <w:rsid w:val="00AA5702"/>
    <w:rsid w:val="00AA5B1F"/>
    <w:rsid w:val="00AA6344"/>
    <w:rsid w:val="00AA6D60"/>
    <w:rsid w:val="00AB0011"/>
    <w:rsid w:val="00AB0F2C"/>
    <w:rsid w:val="00AB149C"/>
    <w:rsid w:val="00AB238C"/>
    <w:rsid w:val="00AB23C2"/>
    <w:rsid w:val="00AB2604"/>
    <w:rsid w:val="00AB26C2"/>
    <w:rsid w:val="00AB27E7"/>
    <w:rsid w:val="00AB28D5"/>
    <w:rsid w:val="00AB3085"/>
    <w:rsid w:val="00AB5470"/>
    <w:rsid w:val="00AB6402"/>
    <w:rsid w:val="00AB6EF8"/>
    <w:rsid w:val="00AC0670"/>
    <w:rsid w:val="00AC0C8E"/>
    <w:rsid w:val="00AC0E8E"/>
    <w:rsid w:val="00AC12C4"/>
    <w:rsid w:val="00AC15DF"/>
    <w:rsid w:val="00AC25EC"/>
    <w:rsid w:val="00AC40B8"/>
    <w:rsid w:val="00AC49E8"/>
    <w:rsid w:val="00AC4BF3"/>
    <w:rsid w:val="00AC5A7C"/>
    <w:rsid w:val="00AC5BAD"/>
    <w:rsid w:val="00AC5E28"/>
    <w:rsid w:val="00AD0058"/>
    <w:rsid w:val="00AD050F"/>
    <w:rsid w:val="00AD0542"/>
    <w:rsid w:val="00AD06E1"/>
    <w:rsid w:val="00AD097B"/>
    <w:rsid w:val="00AD1114"/>
    <w:rsid w:val="00AD1777"/>
    <w:rsid w:val="00AD2742"/>
    <w:rsid w:val="00AD29E6"/>
    <w:rsid w:val="00AD33EB"/>
    <w:rsid w:val="00AD38A8"/>
    <w:rsid w:val="00AD400F"/>
    <w:rsid w:val="00AD520D"/>
    <w:rsid w:val="00AD6021"/>
    <w:rsid w:val="00AD6923"/>
    <w:rsid w:val="00AD738A"/>
    <w:rsid w:val="00AD7FF4"/>
    <w:rsid w:val="00AE02D3"/>
    <w:rsid w:val="00AE0E95"/>
    <w:rsid w:val="00AE1B33"/>
    <w:rsid w:val="00AE28ED"/>
    <w:rsid w:val="00AE2EE4"/>
    <w:rsid w:val="00AE41B8"/>
    <w:rsid w:val="00AE5508"/>
    <w:rsid w:val="00AE5DD4"/>
    <w:rsid w:val="00AE6504"/>
    <w:rsid w:val="00AE7539"/>
    <w:rsid w:val="00AF0571"/>
    <w:rsid w:val="00AF0C18"/>
    <w:rsid w:val="00AF14A1"/>
    <w:rsid w:val="00AF1C61"/>
    <w:rsid w:val="00AF4BB1"/>
    <w:rsid w:val="00AF587A"/>
    <w:rsid w:val="00AF6323"/>
    <w:rsid w:val="00AF6FCD"/>
    <w:rsid w:val="00AF75CC"/>
    <w:rsid w:val="00B01211"/>
    <w:rsid w:val="00B02730"/>
    <w:rsid w:val="00B03746"/>
    <w:rsid w:val="00B03CC8"/>
    <w:rsid w:val="00B05317"/>
    <w:rsid w:val="00B07F94"/>
    <w:rsid w:val="00B104A3"/>
    <w:rsid w:val="00B1097C"/>
    <w:rsid w:val="00B10CEF"/>
    <w:rsid w:val="00B111BE"/>
    <w:rsid w:val="00B11883"/>
    <w:rsid w:val="00B11DBB"/>
    <w:rsid w:val="00B125EB"/>
    <w:rsid w:val="00B1305F"/>
    <w:rsid w:val="00B13FC1"/>
    <w:rsid w:val="00B1429C"/>
    <w:rsid w:val="00B148EE"/>
    <w:rsid w:val="00B151A9"/>
    <w:rsid w:val="00B16653"/>
    <w:rsid w:val="00B171E7"/>
    <w:rsid w:val="00B20336"/>
    <w:rsid w:val="00B214BA"/>
    <w:rsid w:val="00B2159B"/>
    <w:rsid w:val="00B21E3C"/>
    <w:rsid w:val="00B22321"/>
    <w:rsid w:val="00B24870"/>
    <w:rsid w:val="00B25A4F"/>
    <w:rsid w:val="00B27F13"/>
    <w:rsid w:val="00B30B4B"/>
    <w:rsid w:val="00B31737"/>
    <w:rsid w:val="00B32814"/>
    <w:rsid w:val="00B32B39"/>
    <w:rsid w:val="00B3376C"/>
    <w:rsid w:val="00B35A89"/>
    <w:rsid w:val="00B35CF2"/>
    <w:rsid w:val="00B3643E"/>
    <w:rsid w:val="00B36956"/>
    <w:rsid w:val="00B369A4"/>
    <w:rsid w:val="00B36C28"/>
    <w:rsid w:val="00B40733"/>
    <w:rsid w:val="00B41267"/>
    <w:rsid w:val="00B42477"/>
    <w:rsid w:val="00B42637"/>
    <w:rsid w:val="00B43CE6"/>
    <w:rsid w:val="00B43D9F"/>
    <w:rsid w:val="00B44248"/>
    <w:rsid w:val="00B44D73"/>
    <w:rsid w:val="00B45D7E"/>
    <w:rsid w:val="00B46F67"/>
    <w:rsid w:val="00B47A23"/>
    <w:rsid w:val="00B47C39"/>
    <w:rsid w:val="00B47F88"/>
    <w:rsid w:val="00B50188"/>
    <w:rsid w:val="00B5022C"/>
    <w:rsid w:val="00B50DE5"/>
    <w:rsid w:val="00B51F59"/>
    <w:rsid w:val="00B53228"/>
    <w:rsid w:val="00B53B2C"/>
    <w:rsid w:val="00B54220"/>
    <w:rsid w:val="00B54361"/>
    <w:rsid w:val="00B54843"/>
    <w:rsid w:val="00B54AA6"/>
    <w:rsid w:val="00B54F3B"/>
    <w:rsid w:val="00B5528A"/>
    <w:rsid w:val="00B558A7"/>
    <w:rsid w:val="00B56068"/>
    <w:rsid w:val="00B563A6"/>
    <w:rsid w:val="00B566D5"/>
    <w:rsid w:val="00B57D6D"/>
    <w:rsid w:val="00B607AA"/>
    <w:rsid w:val="00B60CFF"/>
    <w:rsid w:val="00B61DA3"/>
    <w:rsid w:val="00B6409A"/>
    <w:rsid w:val="00B644F4"/>
    <w:rsid w:val="00B64D3F"/>
    <w:rsid w:val="00B64EAD"/>
    <w:rsid w:val="00B673FD"/>
    <w:rsid w:val="00B70753"/>
    <w:rsid w:val="00B70B19"/>
    <w:rsid w:val="00B70DB6"/>
    <w:rsid w:val="00B70F02"/>
    <w:rsid w:val="00B71DC5"/>
    <w:rsid w:val="00B73D03"/>
    <w:rsid w:val="00B74546"/>
    <w:rsid w:val="00B747C3"/>
    <w:rsid w:val="00B80DD9"/>
    <w:rsid w:val="00B82881"/>
    <w:rsid w:val="00B872EA"/>
    <w:rsid w:val="00B877C4"/>
    <w:rsid w:val="00B9000A"/>
    <w:rsid w:val="00B906F2"/>
    <w:rsid w:val="00B9244C"/>
    <w:rsid w:val="00B930B6"/>
    <w:rsid w:val="00B9377D"/>
    <w:rsid w:val="00B94607"/>
    <w:rsid w:val="00B95121"/>
    <w:rsid w:val="00B95125"/>
    <w:rsid w:val="00B95D1E"/>
    <w:rsid w:val="00B9666D"/>
    <w:rsid w:val="00B96C80"/>
    <w:rsid w:val="00BA0448"/>
    <w:rsid w:val="00BA04BB"/>
    <w:rsid w:val="00BA0954"/>
    <w:rsid w:val="00BA0BEF"/>
    <w:rsid w:val="00BA271F"/>
    <w:rsid w:val="00BA3C05"/>
    <w:rsid w:val="00BA3CD7"/>
    <w:rsid w:val="00BA3FF9"/>
    <w:rsid w:val="00BA71BE"/>
    <w:rsid w:val="00BB0601"/>
    <w:rsid w:val="00BB1045"/>
    <w:rsid w:val="00BB2145"/>
    <w:rsid w:val="00BB2B64"/>
    <w:rsid w:val="00BB2F61"/>
    <w:rsid w:val="00BB3397"/>
    <w:rsid w:val="00BB48F3"/>
    <w:rsid w:val="00BB516E"/>
    <w:rsid w:val="00BB59CB"/>
    <w:rsid w:val="00BB6117"/>
    <w:rsid w:val="00BB657D"/>
    <w:rsid w:val="00BB6ECF"/>
    <w:rsid w:val="00BB7D96"/>
    <w:rsid w:val="00BC080D"/>
    <w:rsid w:val="00BC09BC"/>
    <w:rsid w:val="00BC1A37"/>
    <w:rsid w:val="00BC1DC1"/>
    <w:rsid w:val="00BC3979"/>
    <w:rsid w:val="00BC3FEE"/>
    <w:rsid w:val="00BC43B9"/>
    <w:rsid w:val="00BC51DE"/>
    <w:rsid w:val="00BC75E3"/>
    <w:rsid w:val="00BC7C71"/>
    <w:rsid w:val="00BD050B"/>
    <w:rsid w:val="00BD068D"/>
    <w:rsid w:val="00BD0AA5"/>
    <w:rsid w:val="00BD1CEC"/>
    <w:rsid w:val="00BD27E9"/>
    <w:rsid w:val="00BD318B"/>
    <w:rsid w:val="00BD4123"/>
    <w:rsid w:val="00BD438B"/>
    <w:rsid w:val="00BD4462"/>
    <w:rsid w:val="00BD5938"/>
    <w:rsid w:val="00BD6396"/>
    <w:rsid w:val="00BD64C4"/>
    <w:rsid w:val="00BD69C2"/>
    <w:rsid w:val="00BD717A"/>
    <w:rsid w:val="00BD7B78"/>
    <w:rsid w:val="00BE007B"/>
    <w:rsid w:val="00BE0696"/>
    <w:rsid w:val="00BE0F6D"/>
    <w:rsid w:val="00BE1124"/>
    <w:rsid w:val="00BE13B0"/>
    <w:rsid w:val="00BE151F"/>
    <w:rsid w:val="00BE3187"/>
    <w:rsid w:val="00BE362F"/>
    <w:rsid w:val="00BE389B"/>
    <w:rsid w:val="00BE60F1"/>
    <w:rsid w:val="00BE639E"/>
    <w:rsid w:val="00BE6B84"/>
    <w:rsid w:val="00BF0F0C"/>
    <w:rsid w:val="00BF288C"/>
    <w:rsid w:val="00BF2BB3"/>
    <w:rsid w:val="00BF4243"/>
    <w:rsid w:val="00BF6013"/>
    <w:rsid w:val="00BF62D3"/>
    <w:rsid w:val="00BF66C6"/>
    <w:rsid w:val="00BF6D39"/>
    <w:rsid w:val="00C001D1"/>
    <w:rsid w:val="00C0022F"/>
    <w:rsid w:val="00C007EC"/>
    <w:rsid w:val="00C02526"/>
    <w:rsid w:val="00C02CED"/>
    <w:rsid w:val="00C056E1"/>
    <w:rsid w:val="00C057F2"/>
    <w:rsid w:val="00C06659"/>
    <w:rsid w:val="00C06909"/>
    <w:rsid w:val="00C072CC"/>
    <w:rsid w:val="00C0750E"/>
    <w:rsid w:val="00C07726"/>
    <w:rsid w:val="00C1060E"/>
    <w:rsid w:val="00C107D3"/>
    <w:rsid w:val="00C10A30"/>
    <w:rsid w:val="00C10B29"/>
    <w:rsid w:val="00C12B8B"/>
    <w:rsid w:val="00C15006"/>
    <w:rsid w:val="00C1508A"/>
    <w:rsid w:val="00C151CA"/>
    <w:rsid w:val="00C16A7D"/>
    <w:rsid w:val="00C16F0C"/>
    <w:rsid w:val="00C171DB"/>
    <w:rsid w:val="00C17965"/>
    <w:rsid w:val="00C17D93"/>
    <w:rsid w:val="00C2092A"/>
    <w:rsid w:val="00C21497"/>
    <w:rsid w:val="00C21603"/>
    <w:rsid w:val="00C22654"/>
    <w:rsid w:val="00C226B7"/>
    <w:rsid w:val="00C22B75"/>
    <w:rsid w:val="00C23E09"/>
    <w:rsid w:val="00C24888"/>
    <w:rsid w:val="00C24F1F"/>
    <w:rsid w:val="00C255D8"/>
    <w:rsid w:val="00C25B1C"/>
    <w:rsid w:val="00C3187B"/>
    <w:rsid w:val="00C31D37"/>
    <w:rsid w:val="00C32228"/>
    <w:rsid w:val="00C33CF5"/>
    <w:rsid w:val="00C3573C"/>
    <w:rsid w:val="00C36B09"/>
    <w:rsid w:val="00C3787F"/>
    <w:rsid w:val="00C37C36"/>
    <w:rsid w:val="00C404B6"/>
    <w:rsid w:val="00C4098D"/>
    <w:rsid w:val="00C40B71"/>
    <w:rsid w:val="00C42B03"/>
    <w:rsid w:val="00C43F09"/>
    <w:rsid w:val="00C44021"/>
    <w:rsid w:val="00C44CDF"/>
    <w:rsid w:val="00C44EA5"/>
    <w:rsid w:val="00C4500A"/>
    <w:rsid w:val="00C45147"/>
    <w:rsid w:val="00C4665C"/>
    <w:rsid w:val="00C470EA"/>
    <w:rsid w:val="00C471B6"/>
    <w:rsid w:val="00C476B3"/>
    <w:rsid w:val="00C477CD"/>
    <w:rsid w:val="00C50040"/>
    <w:rsid w:val="00C51AF3"/>
    <w:rsid w:val="00C53818"/>
    <w:rsid w:val="00C5604C"/>
    <w:rsid w:val="00C56669"/>
    <w:rsid w:val="00C567F1"/>
    <w:rsid w:val="00C56ED9"/>
    <w:rsid w:val="00C57195"/>
    <w:rsid w:val="00C6130E"/>
    <w:rsid w:val="00C62B29"/>
    <w:rsid w:val="00C62CDF"/>
    <w:rsid w:val="00C62E84"/>
    <w:rsid w:val="00C62F03"/>
    <w:rsid w:val="00C63031"/>
    <w:rsid w:val="00C63505"/>
    <w:rsid w:val="00C63CC5"/>
    <w:rsid w:val="00C64697"/>
    <w:rsid w:val="00C64A0B"/>
    <w:rsid w:val="00C653ED"/>
    <w:rsid w:val="00C65648"/>
    <w:rsid w:val="00C656E8"/>
    <w:rsid w:val="00C66209"/>
    <w:rsid w:val="00C6680E"/>
    <w:rsid w:val="00C71652"/>
    <w:rsid w:val="00C72914"/>
    <w:rsid w:val="00C73986"/>
    <w:rsid w:val="00C74181"/>
    <w:rsid w:val="00C74597"/>
    <w:rsid w:val="00C745E1"/>
    <w:rsid w:val="00C75227"/>
    <w:rsid w:val="00C80265"/>
    <w:rsid w:val="00C805BA"/>
    <w:rsid w:val="00C8097F"/>
    <w:rsid w:val="00C8159D"/>
    <w:rsid w:val="00C83829"/>
    <w:rsid w:val="00C83DC4"/>
    <w:rsid w:val="00C856D9"/>
    <w:rsid w:val="00C87005"/>
    <w:rsid w:val="00C901EC"/>
    <w:rsid w:val="00C90258"/>
    <w:rsid w:val="00C905D0"/>
    <w:rsid w:val="00C90BF8"/>
    <w:rsid w:val="00C9175F"/>
    <w:rsid w:val="00C92D83"/>
    <w:rsid w:val="00C93947"/>
    <w:rsid w:val="00C94668"/>
    <w:rsid w:val="00C94ABC"/>
    <w:rsid w:val="00C953BC"/>
    <w:rsid w:val="00C95CD7"/>
    <w:rsid w:val="00C95DAE"/>
    <w:rsid w:val="00C9628D"/>
    <w:rsid w:val="00C97E9B"/>
    <w:rsid w:val="00C97FE0"/>
    <w:rsid w:val="00CA0231"/>
    <w:rsid w:val="00CA1E9A"/>
    <w:rsid w:val="00CA2848"/>
    <w:rsid w:val="00CA2A8A"/>
    <w:rsid w:val="00CA3101"/>
    <w:rsid w:val="00CA328E"/>
    <w:rsid w:val="00CA33C0"/>
    <w:rsid w:val="00CA37A3"/>
    <w:rsid w:val="00CA45B5"/>
    <w:rsid w:val="00CA5E49"/>
    <w:rsid w:val="00CA7896"/>
    <w:rsid w:val="00CB1517"/>
    <w:rsid w:val="00CB1BE2"/>
    <w:rsid w:val="00CB2C98"/>
    <w:rsid w:val="00CB33BB"/>
    <w:rsid w:val="00CB38A9"/>
    <w:rsid w:val="00CB4EAD"/>
    <w:rsid w:val="00CB5513"/>
    <w:rsid w:val="00CB565C"/>
    <w:rsid w:val="00CB71C2"/>
    <w:rsid w:val="00CC02E3"/>
    <w:rsid w:val="00CC0DB6"/>
    <w:rsid w:val="00CC1804"/>
    <w:rsid w:val="00CC265E"/>
    <w:rsid w:val="00CC3198"/>
    <w:rsid w:val="00CC3439"/>
    <w:rsid w:val="00CC4B08"/>
    <w:rsid w:val="00CC7C1E"/>
    <w:rsid w:val="00CD0BE0"/>
    <w:rsid w:val="00CD0D7A"/>
    <w:rsid w:val="00CD1AA1"/>
    <w:rsid w:val="00CD2F1B"/>
    <w:rsid w:val="00CD3B7B"/>
    <w:rsid w:val="00CD469B"/>
    <w:rsid w:val="00CD569E"/>
    <w:rsid w:val="00CD5C1E"/>
    <w:rsid w:val="00CD5F6D"/>
    <w:rsid w:val="00CD6DB4"/>
    <w:rsid w:val="00CD6DDB"/>
    <w:rsid w:val="00CD7C76"/>
    <w:rsid w:val="00CE008F"/>
    <w:rsid w:val="00CE028B"/>
    <w:rsid w:val="00CE0670"/>
    <w:rsid w:val="00CE1016"/>
    <w:rsid w:val="00CE1281"/>
    <w:rsid w:val="00CE1722"/>
    <w:rsid w:val="00CE1A1A"/>
    <w:rsid w:val="00CE3546"/>
    <w:rsid w:val="00CE5A25"/>
    <w:rsid w:val="00CE5FA0"/>
    <w:rsid w:val="00CE7529"/>
    <w:rsid w:val="00CF0411"/>
    <w:rsid w:val="00CF0856"/>
    <w:rsid w:val="00CF0948"/>
    <w:rsid w:val="00CF0D84"/>
    <w:rsid w:val="00CF1EA9"/>
    <w:rsid w:val="00CF2856"/>
    <w:rsid w:val="00CF320E"/>
    <w:rsid w:val="00CF392E"/>
    <w:rsid w:val="00CF3C4D"/>
    <w:rsid w:val="00CF4722"/>
    <w:rsid w:val="00CF49E5"/>
    <w:rsid w:val="00CF66D4"/>
    <w:rsid w:val="00CF6BA6"/>
    <w:rsid w:val="00CF6DD8"/>
    <w:rsid w:val="00CF7426"/>
    <w:rsid w:val="00CF7BD6"/>
    <w:rsid w:val="00D00067"/>
    <w:rsid w:val="00D000CC"/>
    <w:rsid w:val="00D00655"/>
    <w:rsid w:val="00D0149A"/>
    <w:rsid w:val="00D01D36"/>
    <w:rsid w:val="00D01EBE"/>
    <w:rsid w:val="00D02BD0"/>
    <w:rsid w:val="00D03AB3"/>
    <w:rsid w:val="00D04C5A"/>
    <w:rsid w:val="00D055B0"/>
    <w:rsid w:val="00D067B3"/>
    <w:rsid w:val="00D0746C"/>
    <w:rsid w:val="00D0797C"/>
    <w:rsid w:val="00D11106"/>
    <w:rsid w:val="00D1239E"/>
    <w:rsid w:val="00D12F2D"/>
    <w:rsid w:val="00D132B1"/>
    <w:rsid w:val="00D14F2E"/>
    <w:rsid w:val="00D157D1"/>
    <w:rsid w:val="00D158AF"/>
    <w:rsid w:val="00D16342"/>
    <w:rsid w:val="00D16683"/>
    <w:rsid w:val="00D167C9"/>
    <w:rsid w:val="00D167ED"/>
    <w:rsid w:val="00D17E69"/>
    <w:rsid w:val="00D21973"/>
    <w:rsid w:val="00D21FA9"/>
    <w:rsid w:val="00D23331"/>
    <w:rsid w:val="00D23D84"/>
    <w:rsid w:val="00D24FBA"/>
    <w:rsid w:val="00D251C7"/>
    <w:rsid w:val="00D27F00"/>
    <w:rsid w:val="00D3192E"/>
    <w:rsid w:val="00D33968"/>
    <w:rsid w:val="00D33C69"/>
    <w:rsid w:val="00D34208"/>
    <w:rsid w:val="00D34A90"/>
    <w:rsid w:val="00D34EEA"/>
    <w:rsid w:val="00D36BD2"/>
    <w:rsid w:val="00D36FC6"/>
    <w:rsid w:val="00D37351"/>
    <w:rsid w:val="00D37663"/>
    <w:rsid w:val="00D37901"/>
    <w:rsid w:val="00D40C66"/>
    <w:rsid w:val="00D40F76"/>
    <w:rsid w:val="00D41087"/>
    <w:rsid w:val="00D41669"/>
    <w:rsid w:val="00D41A86"/>
    <w:rsid w:val="00D422B0"/>
    <w:rsid w:val="00D4372E"/>
    <w:rsid w:val="00D439F8"/>
    <w:rsid w:val="00D46429"/>
    <w:rsid w:val="00D46ADA"/>
    <w:rsid w:val="00D46CC3"/>
    <w:rsid w:val="00D4740C"/>
    <w:rsid w:val="00D47591"/>
    <w:rsid w:val="00D47C4B"/>
    <w:rsid w:val="00D5019B"/>
    <w:rsid w:val="00D50898"/>
    <w:rsid w:val="00D52022"/>
    <w:rsid w:val="00D524CF"/>
    <w:rsid w:val="00D53A9A"/>
    <w:rsid w:val="00D54B84"/>
    <w:rsid w:val="00D55E40"/>
    <w:rsid w:val="00D571A0"/>
    <w:rsid w:val="00D57441"/>
    <w:rsid w:val="00D57843"/>
    <w:rsid w:val="00D61856"/>
    <w:rsid w:val="00D61E69"/>
    <w:rsid w:val="00D61F83"/>
    <w:rsid w:val="00D631BA"/>
    <w:rsid w:val="00D63C8D"/>
    <w:rsid w:val="00D64182"/>
    <w:rsid w:val="00D658C6"/>
    <w:rsid w:val="00D668C5"/>
    <w:rsid w:val="00D66B72"/>
    <w:rsid w:val="00D700B1"/>
    <w:rsid w:val="00D70F51"/>
    <w:rsid w:val="00D71F06"/>
    <w:rsid w:val="00D72D6B"/>
    <w:rsid w:val="00D730FE"/>
    <w:rsid w:val="00D738F6"/>
    <w:rsid w:val="00D74324"/>
    <w:rsid w:val="00D75316"/>
    <w:rsid w:val="00D75F0D"/>
    <w:rsid w:val="00D76EC0"/>
    <w:rsid w:val="00D76F83"/>
    <w:rsid w:val="00D82C7F"/>
    <w:rsid w:val="00D84468"/>
    <w:rsid w:val="00D845EC"/>
    <w:rsid w:val="00D851B7"/>
    <w:rsid w:val="00D85E4A"/>
    <w:rsid w:val="00D85EFD"/>
    <w:rsid w:val="00D869AB"/>
    <w:rsid w:val="00D873EE"/>
    <w:rsid w:val="00D87905"/>
    <w:rsid w:val="00D917EC"/>
    <w:rsid w:val="00D91BD1"/>
    <w:rsid w:val="00D92244"/>
    <w:rsid w:val="00D92AF1"/>
    <w:rsid w:val="00D93133"/>
    <w:rsid w:val="00D93151"/>
    <w:rsid w:val="00D93283"/>
    <w:rsid w:val="00D93F95"/>
    <w:rsid w:val="00D94200"/>
    <w:rsid w:val="00D95B7F"/>
    <w:rsid w:val="00D95E22"/>
    <w:rsid w:val="00D97416"/>
    <w:rsid w:val="00D97D08"/>
    <w:rsid w:val="00DA0342"/>
    <w:rsid w:val="00DA0898"/>
    <w:rsid w:val="00DA0B32"/>
    <w:rsid w:val="00DA1D9E"/>
    <w:rsid w:val="00DA1EB8"/>
    <w:rsid w:val="00DA2B7F"/>
    <w:rsid w:val="00DA3A7C"/>
    <w:rsid w:val="00DA53A7"/>
    <w:rsid w:val="00DA5899"/>
    <w:rsid w:val="00DA6EC8"/>
    <w:rsid w:val="00DA7E28"/>
    <w:rsid w:val="00DB0C4E"/>
    <w:rsid w:val="00DB15E8"/>
    <w:rsid w:val="00DB2904"/>
    <w:rsid w:val="00DB2AD9"/>
    <w:rsid w:val="00DB3C12"/>
    <w:rsid w:val="00DB5129"/>
    <w:rsid w:val="00DB5160"/>
    <w:rsid w:val="00DB5E78"/>
    <w:rsid w:val="00DB5FF0"/>
    <w:rsid w:val="00DB6237"/>
    <w:rsid w:val="00DB67AE"/>
    <w:rsid w:val="00DB6966"/>
    <w:rsid w:val="00DB6B8F"/>
    <w:rsid w:val="00DC0038"/>
    <w:rsid w:val="00DC0BCC"/>
    <w:rsid w:val="00DC1ED8"/>
    <w:rsid w:val="00DC28B6"/>
    <w:rsid w:val="00DC30AD"/>
    <w:rsid w:val="00DC37E3"/>
    <w:rsid w:val="00DC3A77"/>
    <w:rsid w:val="00DC3D77"/>
    <w:rsid w:val="00DC48B6"/>
    <w:rsid w:val="00DC5F42"/>
    <w:rsid w:val="00DC5FFB"/>
    <w:rsid w:val="00DC6845"/>
    <w:rsid w:val="00DC79C6"/>
    <w:rsid w:val="00DD0076"/>
    <w:rsid w:val="00DD122D"/>
    <w:rsid w:val="00DD3593"/>
    <w:rsid w:val="00DD454A"/>
    <w:rsid w:val="00DD4896"/>
    <w:rsid w:val="00DD4C42"/>
    <w:rsid w:val="00DE0230"/>
    <w:rsid w:val="00DE04C0"/>
    <w:rsid w:val="00DE0900"/>
    <w:rsid w:val="00DE0F81"/>
    <w:rsid w:val="00DE1F29"/>
    <w:rsid w:val="00DE21CF"/>
    <w:rsid w:val="00DE24A3"/>
    <w:rsid w:val="00DE25C4"/>
    <w:rsid w:val="00DE309B"/>
    <w:rsid w:val="00DE3292"/>
    <w:rsid w:val="00DE376B"/>
    <w:rsid w:val="00DE449E"/>
    <w:rsid w:val="00DE49A0"/>
    <w:rsid w:val="00DE68C8"/>
    <w:rsid w:val="00DF110D"/>
    <w:rsid w:val="00DF14FB"/>
    <w:rsid w:val="00DF211A"/>
    <w:rsid w:val="00DF3B6B"/>
    <w:rsid w:val="00DF4250"/>
    <w:rsid w:val="00DF49B6"/>
    <w:rsid w:val="00DF4D68"/>
    <w:rsid w:val="00DF50AA"/>
    <w:rsid w:val="00DF5534"/>
    <w:rsid w:val="00DF5580"/>
    <w:rsid w:val="00DF594A"/>
    <w:rsid w:val="00DF61E5"/>
    <w:rsid w:val="00DF6A27"/>
    <w:rsid w:val="00DF6E88"/>
    <w:rsid w:val="00DF75BF"/>
    <w:rsid w:val="00E00918"/>
    <w:rsid w:val="00E00C70"/>
    <w:rsid w:val="00E016E6"/>
    <w:rsid w:val="00E023C3"/>
    <w:rsid w:val="00E02FEC"/>
    <w:rsid w:val="00E033D3"/>
    <w:rsid w:val="00E03753"/>
    <w:rsid w:val="00E04A81"/>
    <w:rsid w:val="00E04F5C"/>
    <w:rsid w:val="00E06C05"/>
    <w:rsid w:val="00E06F0B"/>
    <w:rsid w:val="00E07590"/>
    <w:rsid w:val="00E10B30"/>
    <w:rsid w:val="00E111FF"/>
    <w:rsid w:val="00E1190E"/>
    <w:rsid w:val="00E11AE2"/>
    <w:rsid w:val="00E11D33"/>
    <w:rsid w:val="00E12622"/>
    <w:rsid w:val="00E12948"/>
    <w:rsid w:val="00E1321A"/>
    <w:rsid w:val="00E13651"/>
    <w:rsid w:val="00E13D04"/>
    <w:rsid w:val="00E14619"/>
    <w:rsid w:val="00E146F7"/>
    <w:rsid w:val="00E153B4"/>
    <w:rsid w:val="00E17D26"/>
    <w:rsid w:val="00E21671"/>
    <w:rsid w:val="00E21B12"/>
    <w:rsid w:val="00E2232E"/>
    <w:rsid w:val="00E22DC0"/>
    <w:rsid w:val="00E22E3C"/>
    <w:rsid w:val="00E2459C"/>
    <w:rsid w:val="00E2603D"/>
    <w:rsid w:val="00E26408"/>
    <w:rsid w:val="00E26C39"/>
    <w:rsid w:val="00E27154"/>
    <w:rsid w:val="00E27DC9"/>
    <w:rsid w:val="00E3044F"/>
    <w:rsid w:val="00E3065E"/>
    <w:rsid w:val="00E30C00"/>
    <w:rsid w:val="00E31D3C"/>
    <w:rsid w:val="00E32205"/>
    <w:rsid w:val="00E32A60"/>
    <w:rsid w:val="00E32EB4"/>
    <w:rsid w:val="00E32EFE"/>
    <w:rsid w:val="00E339E2"/>
    <w:rsid w:val="00E347BB"/>
    <w:rsid w:val="00E349C2"/>
    <w:rsid w:val="00E34E55"/>
    <w:rsid w:val="00E35758"/>
    <w:rsid w:val="00E357EC"/>
    <w:rsid w:val="00E36B91"/>
    <w:rsid w:val="00E3786C"/>
    <w:rsid w:val="00E40140"/>
    <w:rsid w:val="00E406B8"/>
    <w:rsid w:val="00E40A2C"/>
    <w:rsid w:val="00E40C42"/>
    <w:rsid w:val="00E42236"/>
    <w:rsid w:val="00E42962"/>
    <w:rsid w:val="00E44DA3"/>
    <w:rsid w:val="00E46325"/>
    <w:rsid w:val="00E4678E"/>
    <w:rsid w:val="00E46C1D"/>
    <w:rsid w:val="00E476F1"/>
    <w:rsid w:val="00E47CAC"/>
    <w:rsid w:val="00E5077C"/>
    <w:rsid w:val="00E507BC"/>
    <w:rsid w:val="00E5154C"/>
    <w:rsid w:val="00E5246B"/>
    <w:rsid w:val="00E52913"/>
    <w:rsid w:val="00E52A33"/>
    <w:rsid w:val="00E539DC"/>
    <w:rsid w:val="00E53DE5"/>
    <w:rsid w:val="00E54E9A"/>
    <w:rsid w:val="00E57B1C"/>
    <w:rsid w:val="00E62A41"/>
    <w:rsid w:val="00E637DA"/>
    <w:rsid w:val="00E63852"/>
    <w:rsid w:val="00E63C68"/>
    <w:rsid w:val="00E640B1"/>
    <w:rsid w:val="00E649CE"/>
    <w:rsid w:val="00E64C4B"/>
    <w:rsid w:val="00E6511E"/>
    <w:rsid w:val="00E67769"/>
    <w:rsid w:val="00E6779E"/>
    <w:rsid w:val="00E67DB4"/>
    <w:rsid w:val="00E71EF0"/>
    <w:rsid w:val="00E73157"/>
    <w:rsid w:val="00E73D39"/>
    <w:rsid w:val="00E73EE3"/>
    <w:rsid w:val="00E7496D"/>
    <w:rsid w:val="00E76ACF"/>
    <w:rsid w:val="00E76C91"/>
    <w:rsid w:val="00E80120"/>
    <w:rsid w:val="00E80235"/>
    <w:rsid w:val="00E805AE"/>
    <w:rsid w:val="00E81229"/>
    <w:rsid w:val="00E81C2F"/>
    <w:rsid w:val="00E81D7D"/>
    <w:rsid w:val="00E82002"/>
    <w:rsid w:val="00E843D9"/>
    <w:rsid w:val="00E84C57"/>
    <w:rsid w:val="00E860B5"/>
    <w:rsid w:val="00E864A9"/>
    <w:rsid w:val="00E86B36"/>
    <w:rsid w:val="00E87AA5"/>
    <w:rsid w:val="00E900E7"/>
    <w:rsid w:val="00E91052"/>
    <w:rsid w:val="00E9116E"/>
    <w:rsid w:val="00E91403"/>
    <w:rsid w:val="00E93515"/>
    <w:rsid w:val="00E938A3"/>
    <w:rsid w:val="00E93A9E"/>
    <w:rsid w:val="00E9609D"/>
    <w:rsid w:val="00E96825"/>
    <w:rsid w:val="00E96B9B"/>
    <w:rsid w:val="00E96C7B"/>
    <w:rsid w:val="00E96EDA"/>
    <w:rsid w:val="00E97B09"/>
    <w:rsid w:val="00E97B7F"/>
    <w:rsid w:val="00EA0C94"/>
    <w:rsid w:val="00EA1D82"/>
    <w:rsid w:val="00EA3C90"/>
    <w:rsid w:val="00EA4FA3"/>
    <w:rsid w:val="00EA5F30"/>
    <w:rsid w:val="00EA740D"/>
    <w:rsid w:val="00EA7CD2"/>
    <w:rsid w:val="00EB0593"/>
    <w:rsid w:val="00EB2F71"/>
    <w:rsid w:val="00EB4306"/>
    <w:rsid w:val="00EB5A44"/>
    <w:rsid w:val="00EB5FFD"/>
    <w:rsid w:val="00EC01EE"/>
    <w:rsid w:val="00EC0818"/>
    <w:rsid w:val="00EC22CC"/>
    <w:rsid w:val="00EC316C"/>
    <w:rsid w:val="00EC32CC"/>
    <w:rsid w:val="00EC3591"/>
    <w:rsid w:val="00EC3775"/>
    <w:rsid w:val="00EC3940"/>
    <w:rsid w:val="00EC47A8"/>
    <w:rsid w:val="00EC4822"/>
    <w:rsid w:val="00EC48AB"/>
    <w:rsid w:val="00EC5383"/>
    <w:rsid w:val="00EC6850"/>
    <w:rsid w:val="00EC6EFD"/>
    <w:rsid w:val="00EC727C"/>
    <w:rsid w:val="00EC7FC3"/>
    <w:rsid w:val="00ED1767"/>
    <w:rsid w:val="00ED1B35"/>
    <w:rsid w:val="00ED20D4"/>
    <w:rsid w:val="00ED39D4"/>
    <w:rsid w:val="00ED6EE8"/>
    <w:rsid w:val="00ED79E3"/>
    <w:rsid w:val="00EE023D"/>
    <w:rsid w:val="00EE1257"/>
    <w:rsid w:val="00EE206F"/>
    <w:rsid w:val="00EE2207"/>
    <w:rsid w:val="00EE25F9"/>
    <w:rsid w:val="00EE289E"/>
    <w:rsid w:val="00EE296A"/>
    <w:rsid w:val="00EE2D32"/>
    <w:rsid w:val="00EE33C1"/>
    <w:rsid w:val="00EE3462"/>
    <w:rsid w:val="00EE3765"/>
    <w:rsid w:val="00EE3897"/>
    <w:rsid w:val="00EE4026"/>
    <w:rsid w:val="00EE4296"/>
    <w:rsid w:val="00EE4E1E"/>
    <w:rsid w:val="00EE5298"/>
    <w:rsid w:val="00EE5C90"/>
    <w:rsid w:val="00EE602B"/>
    <w:rsid w:val="00EE7CE4"/>
    <w:rsid w:val="00EF267F"/>
    <w:rsid w:val="00EF288E"/>
    <w:rsid w:val="00EF2A84"/>
    <w:rsid w:val="00EF3699"/>
    <w:rsid w:val="00EF3D71"/>
    <w:rsid w:val="00EF4052"/>
    <w:rsid w:val="00EF5182"/>
    <w:rsid w:val="00EF7562"/>
    <w:rsid w:val="00F0097E"/>
    <w:rsid w:val="00F00E16"/>
    <w:rsid w:val="00F01190"/>
    <w:rsid w:val="00F011E8"/>
    <w:rsid w:val="00F0182B"/>
    <w:rsid w:val="00F01E8F"/>
    <w:rsid w:val="00F0233F"/>
    <w:rsid w:val="00F02ABA"/>
    <w:rsid w:val="00F03BF6"/>
    <w:rsid w:val="00F03F91"/>
    <w:rsid w:val="00F04C9E"/>
    <w:rsid w:val="00F04E99"/>
    <w:rsid w:val="00F05DA8"/>
    <w:rsid w:val="00F05F3C"/>
    <w:rsid w:val="00F06125"/>
    <w:rsid w:val="00F06352"/>
    <w:rsid w:val="00F1184C"/>
    <w:rsid w:val="00F13A7F"/>
    <w:rsid w:val="00F144CD"/>
    <w:rsid w:val="00F1494E"/>
    <w:rsid w:val="00F149A6"/>
    <w:rsid w:val="00F14EBC"/>
    <w:rsid w:val="00F16D03"/>
    <w:rsid w:val="00F16E8E"/>
    <w:rsid w:val="00F16FF6"/>
    <w:rsid w:val="00F20453"/>
    <w:rsid w:val="00F20528"/>
    <w:rsid w:val="00F208C8"/>
    <w:rsid w:val="00F21122"/>
    <w:rsid w:val="00F2148D"/>
    <w:rsid w:val="00F21D58"/>
    <w:rsid w:val="00F21F29"/>
    <w:rsid w:val="00F23148"/>
    <w:rsid w:val="00F23CB9"/>
    <w:rsid w:val="00F26D7A"/>
    <w:rsid w:val="00F30977"/>
    <w:rsid w:val="00F309A9"/>
    <w:rsid w:val="00F30A6E"/>
    <w:rsid w:val="00F30AC4"/>
    <w:rsid w:val="00F31792"/>
    <w:rsid w:val="00F33921"/>
    <w:rsid w:val="00F33922"/>
    <w:rsid w:val="00F339B0"/>
    <w:rsid w:val="00F3447F"/>
    <w:rsid w:val="00F34699"/>
    <w:rsid w:val="00F37D9A"/>
    <w:rsid w:val="00F40382"/>
    <w:rsid w:val="00F40E04"/>
    <w:rsid w:val="00F40EE2"/>
    <w:rsid w:val="00F412B7"/>
    <w:rsid w:val="00F421FE"/>
    <w:rsid w:val="00F423C7"/>
    <w:rsid w:val="00F42D8F"/>
    <w:rsid w:val="00F43C84"/>
    <w:rsid w:val="00F442FF"/>
    <w:rsid w:val="00F45C98"/>
    <w:rsid w:val="00F46503"/>
    <w:rsid w:val="00F47082"/>
    <w:rsid w:val="00F50DBB"/>
    <w:rsid w:val="00F51F09"/>
    <w:rsid w:val="00F5236F"/>
    <w:rsid w:val="00F5272F"/>
    <w:rsid w:val="00F52880"/>
    <w:rsid w:val="00F5367E"/>
    <w:rsid w:val="00F53F66"/>
    <w:rsid w:val="00F54A0F"/>
    <w:rsid w:val="00F5543A"/>
    <w:rsid w:val="00F5555E"/>
    <w:rsid w:val="00F557BA"/>
    <w:rsid w:val="00F56919"/>
    <w:rsid w:val="00F5692E"/>
    <w:rsid w:val="00F571EC"/>
    <w:rsid w:val="00F574B7"/>
    <w:rsid w:val="00F60491"/>
    <w:rsid w:val="00F6051E"/>
    <w:rsid w:val="00F6057B"/>
    <w:rsid w:val="00F6123B"/>
    <w:rsid w:val="00F61F4C"/>
    <w:rsid w:val="00F62DA1"/>
    <w:rsid w:val="00F63541"/>
    <w:rsid w:val="00F63AF5"/>
    <w:rsid w:val="00F641D4"/>
    <w:rsid w:val="00F64A85"/>
    <w:rsid w:val="00F64C4A"/>
    <w:rsid w:val="00F6585E"/>
    <w:rsid w:val="00F65C20"/>
    <w:rsid w:val="00F666BA"/>
    <w:rsid w:val="00F667C2"/>
    <w:rsid w:val="00F673D5"/>
    <w:rsid w:val="00F67A93"/>
    <w:rsid w:val="00F67BF3"/>
    <w:rsid w:val="00F70335"/>
    <w:rsid w:val="00F710B1"/>
    <w:rsid w:val="00F7152D"/>
    <w:rsid w:val="00F750E1"/>
    <w:rsid w:val="00F75332"/>
    <w:rsid w:val="00F75339"/>
    <w:rsid w:val="00F7629D"/>
    <w:rsid w:val="00F7680E"/>
    <w:rsid w:val="00F77C85"/>
    <w:rsid w:val="00F8059A"/>
    <w:rsid w:val="00F8156E"/>
    <w:rsid w:val="00F83712"/>
    <w:rsid w:val="00F846A8"/>
    <w:rsid w:val="00F85088"/>
    <w:rsid w:val="00F851AB"/>
    <w:rsid w:val="00F852CE"/>
    <w:rsid w:val="00F860F0"/>
    <w:rsid w:val="00F864CD"/>
    <w:rsid w:val="00F864ED"/>
    <w:rsid w:val="00F8660C"/>
    <w:rsid w:val="00F87317"/>
    <w:rsid w:val="00F873A5"/>
    <w:rsid w:val="00F87B34"/>
    <w:rsid w:val="00F9018A"/>
    <w:rsid w:val="00F9056A"/>
    <w:rsid w:val="00F91707"/>
    <w:rsid w:val="00F91AB5"/>
    <w:rsid w:val="00F93D02"/>
    <w:rsid w:val="00F945EA"/>
    <w:rsid w:val="00F94A0B"/>
    <w:rsid w:val="00F9611A"/>
    <w:rsid w:val="00F96939"/>
    <w:rsid w:val="00F97812"/>
    <w:rsid w:val="00FA12E7"/>
    <w:rsid w:val="00FA1890"/>
    <w:rsid w:val="00FA2375"/>
    <w:rsid w:val="00FA28CF"/>
    <w:rsid w:val="00FA2EE3"/>
    <w:rsid w:val="00FA3C93"/>
    <w:rsid w:val="00FA3ED0"/>
    <w:rsid w:val="00FA59DB"/>
    <w:rsid w:val="00FA724D"/>
    <w:rsid w:val="00FA7257"/>
    <w:rsid w:val="00FA777F"/>
    <w:rsid w:val="00FB03C6"/>
    <w:rsid w:val="00FB19D7"/>
    <w:rsid w:val="00FB2718"/>
    <w:rsid w:val="00FB2E94"/>
    <w:rsid w:val="00FB35EE"/>
    <w:rsid w:val="00FB433F"/>
    <w:rsid w:val="00FB44A2"/>
    <w:rsid w:val="00FB45A3"/>
    <w:rsid w:val="00FB4B4B"/>
    <w:rsid w:val="00FB5B6C"/>
    <w:rsid w:val="00FB66B7"/>
    <w:rsid w:val="00FB76BF"/>
    <w:rsid w:val="00FC087E"/>
    <w:rsid w:val="00FC1152"/>
    <w:rsid w:val="00FC1CAB"/>
    <w:rsid w:val="00FC28F4"/>
    <w:rsid w:val="00FC3567"/>
    <w:rsid w:val="00FC4E7B"/>
    <w:rsid w:val="00FC509A"/>
    <w:rsid w:val="00FC5ABE"/>
    <w:rsid w:val="00FC5EE8"/>
    <w:rsid w:val="00FC71E8"/>
    <w:rsid w:val="00FC73DC"/>
    <w:rsid w:val="00FD0E46"/>
    <w:rsid w:val="00FD1BBD"/>
    <w:rsid w:val="00FD23B9"/>
    <w:rsid w:val="00FD27B2"/>
    <w:rsid w:val="00FD2E10"/>
    <w:rsid w:val="00FD2F46"/>
    <w:rsid w:val="00FD58B8"/>
    <w:rsid w:val="00FD58F4"/>
    <w:rsid w:val="00FD5AF1"/>
    <w:rsid w:val="00FD6BB6"/>
    <w:rsid w:val="00FD7BE5"/>
    <w:rsid w:val="00FD7C19"/>
    <w:rsid w:val="00FD7FA0"/>
    <w:rsid w:val="00FE0EE5"/>
    <w:rsid w:val="00FE146A"/>
    <w:rsid w:val="00FE1E2F"/>
    <w:rsid w:val="00FE2DBE"/>
    <w:rsid w:val="00FE3651"/>
    <w:rsid w:val="00FE3705"/>
    <w:rsid w:val="00FE5DD0"/>
    <w:rsid w:val="00FE6CF4"/>
    <w:rsid w:val="00FE6E30"/>
    <w:rsid w:val="00FE7AEE"/>
    <w:rsid w:val="00FF02F7"/>
    <w:rsid w:val="00FF0DC3"/>
    <w:rsid w:val="00FF0E3A"/>
    <w:rsid w:val="00FF3293"/>
    <w:rsid w:val="00FF4072"/>
    <w:rsid w:val="00FF43D0"/>
    <w:rsid w:val="00FF46AC"/>
    <w:rsid w:val="00FF6065"/>
    <w:rsid w:val="00FF695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19B1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9"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List Number" w:uiPriority="0"/>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20D4"/>
    <w:pPr>
      <w:jc w:val="both"/>
    </w:pPr>
    <w:rPr>
      <w:sz w:val="26"/>
      <w:szCs w:val="22"/>
      <w:lang w:eastAsia="en-US"/>
    </w:rPr>
  </w:style>
  <w:style w:type="paragraph" w:styleId="Heading1">
    <w:name w:val="heading 1"/>
    <w:aliases w:val="HG-Level 1,ch­¬ng Char,Heading,MVA,VN,h1,Heading 11,heading1,proj,proj1,proj5,proj6,proj7,proj8,proj9,proj10,proj11,proj12,proj13,proj14,proj15,proj51,proj61,proj71,proj81,proj91,proj101,proj111,proj121,proj131,proj141,Chuong_TNN,Cha,Chương 1"/>
    <w:basedOn w:val="Normal"/>
    <w:next w:val="Normal"/>
    <w:link w:val="Heading1Char"/>
    <w:uiPriority w:val="9"/>
    <w:qFormat/>
    <w:rsid w:val="00075D0F"/>
    <w:pPr>
      <w:keepNext/>
      <w:spacing w:before="240" w:after="60"/>
      <w:outlineLvl w:val="0"/>
    </w:pPr>
    <w:rPr>
      <w:rFonts w:eastAsia="Times New Roman"/>
      <w:b/>
      <w:bCs/>
      <w:kern w:val="32"/>
      <w:sz w:val="24"/>
      <w:szCs w:val="24"/>
    </w:rPr>
  </w:style>
  <w:style w:type="paragraph" w:styleId="Heading2">
    <w:name w:val="heading 2"/>
    <w:aliases w:val="2 headline,h,Heading 2 Char Char Char,BVI2,Heading 2-BVI,RepHead2,smal-head2"/>
    <w:basedOn w:val="Normal"/>
    <w:next w:val="Normal"/>
    <w:link w:val="Heading2Char"/>
    <w:uiPriority w:val="9"/>
    <w:qFormat/>
    <w:rsid w:val="00075D0F"/>
    <w:pPr>
      <w:keepNext/>
      <w:spacing w:before="240" w:after="60"/>
      <w:outlineLvl w:val="1"/>
    </w:pPr>
    <w:rPr>
      <w:rFonts w:eastAsia="Times New Roman"/>
      <w:b/>
      <w:bCs/>
      <w:iCs/>
      <w:szCs w:val="26"/>
    </w:rPr>
  </w:style>
  <w:style w:type="paragraph" w:styleId="Heading3">
    <w:name w:val="heading 3"/>
    <w:aliases w:val="Heading 31.2.1,CAP3,China3,?? 3"/>
    <w:basedOn w:val="Normal"/>
    <w:next w:val="Normal"/>
    <w:link w:val="Heading3Char"/>
    <w:uiPriority w:val="9"/>
    <w:qFormat/>
    <w:rsid w:val="00267A58"/>
    <w:pPr>
      <w:keepNext/>
      <w:outlineLvl w:val="2"/>
    </w:pPr>
    <w:rPr>
      <w:rFonts w:eastAsia="Times New Roman"/>
      <w:b/>
      <w:bCs/>
      <w:i/>
      <w:szCs w:val="26"/>
      <w:lang w:val="pt-BR"/>
    </w:rPr>
  </w:style>
  <w:style w:type="paragraph" w:styleId="Heading4">
    <w:name w:val="heading 4"/>
    <w:aliases w:val=" Char1,Char1"/>
    <w:basedOn w:val="Normal"/>
    <w:next w:val="Normal"/>
    <w:link w:val="Heading4Char"/>
    <w:qFormat/>
    <w:rsid w:val="00D4740C"/>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D4740C"/>
    <w:pPr>
      <w:spacing w:before="240" w:after="60"/>
      <w:outlineLvl w:val="4"/>
    </w:pPr>
    <w:rPr>
      <w:rFonts w:ascii="Calibri" w:eastAsia="Times New Roman" w:hAnsi="Calibri"/>
      <w:b/>
      <w:bCs/>
      <w:i/>
      <w:iCs/>
      <w:szCs w:val="26"/>
    </w:rPr>
  </w:style>
  <w:style w:type="paragraph" w:styleId="Heading6">
    <w:name w:val="heading 6"/>
    <w:basedOn w:val="Normal"/>
    <w:next w:val="Normal"/>
    <w:link w:val="Heading6Char"/>
    <w:qFormat/>
    <w:rsid w:val="00A17633"/>
    <w:pPr>
      <w:spacing w:before="240" w:after="60"/>
      <w:jc w:val="center"/>
      <w:outlineLvl w:val="5"/>
    </w:pPr>
    <w:rPr>
      <w:rFonts w:eastAsia="Times New Roman"/>
      <w:b/>
      <w:bCs/>
      <w:szCs w:val="26"/>
    </w:rPr>
  </w:style>
  <w:style w:type="paragraph" w:styleId="Heading7">
    <w:name w:val="heading 7"/>
    <w:basedOn w:val="Normal"/>
    <w:next w:val="Normal"/>
    <w:link w:val="Heading7Char"/>
    <w:autoRedefine/>
    <w:qFormat/>
    <w:rsid w:val="00FB03C6"/>
    <w:pPr>
      <w:numPr>
        <w:ilvl w:val="6"/>
      </w:numPr>
      <w:tabs>
        <w:tab w:val="num" w:pos="1311"/>
      </w:tabs>
      <w:spacing w:before="60" w:after="60"/>
      <w:jc w:val="center"/>
      <w:outlineLvl w:val="6"/>
    </w:pPr>
    <w:rPr>
      <w:rFonts w:eastAsia="Times New Roman"/>
      <w:bCs/>
      <w:iCs/>
      <w:szCs w:val="26"/>
    </w:rPr>
  </w:style>
  <w:style w:type="paragraph" w:styleId="Heading8">
    <w:name w:val="heading 8"/>
    <w:basedOn w:val="Normal"/>
    <w:next w:val="Normal"/>
    <w:link w:val="Heading8Char"/>
    <w:uiPriority w:val="9"/>
    <w:qFormat/>
    <w:rsid w:val="00BD4123"/>
    <w:pPr>
      <w:spacing w:before="240" w:after="60"/>
      <w:outlineLvl w:val="7"/>
    </w:pPr>
    <w:rPr>
      <w:rFonts w:ascii="Calibri" w:eastAsia="Times New Roman" w:hAnsi="Calibri"/>
      <w:i/>
      <w:iCs/>
      <w:sz w:val="24"/>
      <w:szCs w:val="24"/>
    </w:rPr>
  </w:style>
  <w:style w:type="paragraph" w:styleId="Heading9">
    <w:name w:val="heading 9"/>
    <w:basedOn w:val="Normal"/>
    <w:next w:val="Normal"/>
    <w:link w:val="Heading9Char"/>
    <w:qFormat/>
    <w:rsid w:val="000D7582"/>
    <w:pPr>
      <w:keepNext/>
      <w:tabs>
        <w:tab w:val="num" w:pos="1584"/>
      </w:tabs>
      <w:overflowPunct w:val="0"/>
      <w:autoSpaceDE w:val="0"/>
      <w:autoSpaceDN w:val="0"/>
      <w:adjustRightInd w:val="0"/>
      <w:spacing w:before="60" w:line="300" w:lineRule="auto"/>
      <w:ind w:left="1584" w:hanging="1584"/>
      <w:textAlignment w:val="baseline"/>
      <w:outlineLvl w:val="8"/>
    </w:pPr>
    <w:rPr>
      <w:rFonts w:ascii=".VnArial" w:eastAsia="Times New Roman" w:hAnsi=".VnArial"/>
      <w:b/>
      <w:sz w:val="25"/>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G-Level 1 Char,ch­¬ng Char Char,Heading Char,MVA Char,VN Char,h1 Char,Heading 11 Char,heading1 Char,proj Char,proj1 Char,proj5 Char,proj6 Char,proj7 Char,proj8 Char,proj9 Char,proj10 Char,proj11 Char,proj12 Char,proj13 Char,proj14 Char"/>
    <w:link w:val="Heading1"/>
    <w:uiPriority w:val="9"/>
    <w:rsid w:val="00075D0F"/>
    <w:rPr>
      <w:rFonts w:eastAsia="Times New Roman"/>
      <w:b/>
      <w:bCs/>
      <w:kern w:val="32"/>
      <w:sz w:val="24"/>
      <w:szCs w:val="24"/>
    </w:rPr>
  </w:style>
  <w:style w:type="character" w:customStyle="1" w:styleId="Heading2Char">
    <w:name w:val="Heading 2 Char"/>
    <w:aliases w:val="2 headline Char,h Char,Heading 2 Char Char Char Char,BVI2 Char,Heading 2-BVI Char,RepHead2 Char,smal-head2 Char"/>
    <w:link w:val="Heading2"/>
    <w:uiPriority w:val="9"/>
    <w:rsid w:val="00075D0F"/>
    <w:rPr>
      <w:rFonts w:eastAsia="Times New Roman"/>
      <w:b/>
      <w:bCs/>
      <w:iCs/>
      <w:sz w:val="26"/>
      <w:szCs w:val="26"/>
    </w:rPr>
  </w:style>
  <w:style w:type="character" w:customStyle="1" w:styleId="Heading3Char">
    <w:name w:val="Heading 3 Char"/>
    <w:aliases w:val="Heading 31.2.1 Char,CAP3 Char,China3 Char,?? 3 Char"/>
    <w:link w:val="Heading3"/>
    <w:uiPriority w:val="9"/>
    <w:rsid w:val="00267A58"/>
    <w:rPr>
      <w:rFonts w:eastAsia="Times New Roman"/>
      <w:b/>
      <w:bCs/>
      <w:i/>
      <w:sz w:val="26"/>
      <w:szCs w:val="26"/>
      <w:lang w:val="pt-BR" w:eastAsia="en-US"/>
    </w:rPr>
  </w:style>
  <w:style w:type="character" w:customStyle="1" w:styleId="Heading4Char">
    <w:name w:val="Heading 4 Char"/>
    <w:aliases w:val=" Char1 Char,Char1 Char"/>
    <w:link w:val="Heading4"/>
    <w:rsid w:val="00D4740C"/>
    <w:rPr>
      <w:rFonts w:ascii="Calibri" w:eastAsia="Times New Roman" w:hAnsi="Calibri" w:cs="Times New Roman"/>
      <w:b/>
      <w:bCs/>
      <w:sz w:val="28"/>
      <w:szCs w:val="28"/>
    </w:rPr>
  </w:style>
  <w:style w:type="character" w:customStyle="1" w:styleId="Heading5Char">
    <w:name w:val="Heading 5 Char"/>
    <w:link w:val="Heading5"/>
    <w:rsid w:val="00D4740C"/>
    <w:rPr>
      <w:rFonts w:ascii="Calibri" w:eastAsia="Times New Roman" w:hAnsi="Calibri" w:cs="Times New Roman"/>
      <w:b/>
      <w:bCs/>
      <w:i/>
      <w:iCs/>
      <w:sz w:val="26"/>
      <w:szCs w:val="26"/>
    </w:rPr>
  </w:style>
  <w:style w:type="character" w:customStyle="1" w:styleId="Heading6Char">
    <w:name w:val="Heading 6 Char"/>
    <w:link w:val="Heading6"/>
    <w:rsid w:val="00A17633"/>
    <w:rPr>
      <w:rFonts w:eastAsia="Times New Roman"/>
      <w:b/>
      <w:bCs/>
      <w:sz w:val="26"/>
      <w:szCs w:val="26"/>
    </w:rPr>
  </w:style>
  <w:style w:type="character" w:customStyle="1" w:styleId="Heading7Char">
    <w:name w:val="Heading 7 Char"/>
    <w:link w:val="Heading7"/>
    <w:rsid w:val="00FB03C6"/>
    <w:rPr>
      <w:rFonts w:eastAsia="Times New Roman"/>
      <w:bCs/>
      <w:iCs/>
      <w:sz w:val="26"/>
      <w:szCs w:val="26"/>
    </w:rPr>
  </w:style>
  <w:style w:type="character" w:customStyle="1" w:styleId="Heading8Char">
    <w:name w:val="Heading 8 Char"/>
    <w:link w:val="Heading8"/>
    <w:uiPriority w:val="9"/>
    <w:rsid w:val="00BD4123"/>
    <w:rPr>
      <w:rFonts w:ascii="Calibri" w:eastAsia="Times New Roman" w:hAnsi="Calibri" w:cs="Times New Roman"/>
      <w:i/>
      <w:iCs/>
      <w:sz w:val="24"/>
      <w:szCs w:val="24"/>
    </w:rPr>
  </w:style>
  <w:style w:type="character" w:customStyle="1" w:styleId="Heading9Char">
    <w:name w:val="Heading 9 Char"/>
    <w:link w:val="Heading9"/>
    <w:rsid w:val="000D7582"/>
    <w:rPr>
      <w:rFonts w:ascii=".VnArial" w:eastAsia="Times New Roman" w:hAnsi=".VnArial"/>
      <w:b/>
      <w:sz w:val="25"/>
      <w:lang w:eastAsia="vi-VN"/>
    </w:rPr>
  </w:style>
  <w:style w:type="paragraph" w:styleId="DocumentMap">
    <w:name w:val="Document Map"/>
    <w:basedOn w:val="Normal"/>
    <w:link w:val="DocumentMapChar"/>
    <w:uiPriority w:val="99"/>
    <w:semiHidden/>
    <w:unhideWhenUsed/>
    <w:rsid w:val="00D4740C"/>
    <w:rPr>
      <w:rFonts w:ascii="Tahoma" w:hAnsi="Tahoma"/>
      <w:sz w:val="16"/>
      <w:szCs w:val="16"/>
    </w:rPr>
  </w:style>
  <w:style w:type="character" w:customStyle="1" w:styleId="DocumentMapChar">
    <w:name w:val="Document Map Char"/>
    <w:link w:val="DocumentMap"/>
    <w:uiPriority w:val="99"/>
    <w:semiHidden/>
    <w:rsid w:val="00D4740C"/>
    <w:rPr>
      <w:rFonts w:ascii="Tahoma" w:hAnsi="Tahoma" w:cs="Tahoma"/>
      <w:sz w:val="16"/>
      <w:szCs w:val="16"/>
    </w:rPr>
  </w:style>
  <w:style w:type="paragraph" w:customStyle="1" w:styleId="Default">
    <w:name w:val="Default"/>
    <w:rsid w:val="007521A0"/>
    <w:pPr>
      <w:autoSpaceDE w:val="0"/>
      <w:autoSpaceDN w:val="0"/>
      <w:adjustRightInd w:val="0"/>
    </w:pPr>
    <w:rPr>
      <w:rFonts w:ascii="Arial" w:eastAsia="Times New Roman" w:hAnsi="Arial" w:cs="Arial"/>
      <w:color w:val="000000"/>
      <w:sz w:val="24"/>
      <w:szCs w:val="24"/>
      <w:lang w:eastAsia="en-US"/>
    </w:rPr>
  </w:style>
  <w:style w:type="paragraph" w:styleId="ListParagraph">
    <w:name w:val="List Paragraph"/>
    <w:aliases w:val="Bảng,CAP 2,Gach -,Gach-,List Paragraph1"/>
    <w:basedOn w:val="Normal"/>
    <w:link w:val="ListParagraphChar"/>
    <w:uiPriority w:val="34"/>
    <w:qFormat/>
    <w:rsid w:val="007521A0"/>
    <w:pPr>
      <w:spacing w:after="120"/>
      <w:ind w:left="720"/>
      <w:contextualSpacing/>
    </w:pPr>
    <w:rPr>
      <w:rFonts w:eastAsia="Arial"/>
      <w:sz w:val="24"/>
      <w:lang w:val="vi-VN"/>
    </w:rPr>
  </w:style>
  <w:style w:type="character" w:customStyle="1" w:styleId="ListParagraphChar">
    <w:name w:val="List Paragraph Char"/>
    <w:aliases w:val="Bảng Char,CAP 2 Char,Gach - Char,Gach- Char,List Paragraph1 Char"/>
    <w:link w:val="ListParagraph"/>
    <w:uiPriority w:val="34"/>
    <w:locked/>
    <w:rsid w:val="00065ECA"/>
    <w:rPr>
      <w:rFonts w:eastAsia="Arial"/>
      <w:sz w:val="24"/>
      <w:szCs w:val="22"/>
      <w:lang w:val="vi-VN" w:eastAsia="en-US"/>
    </w:rPr>
  </w:style>
  <w:style w:type="paragraph" w:styleId="BodyTextIndent">
    <w:name w:val="Body Text Indent"/>
    <w:basedOn w:val="Normal"/>
    <w:link w:val="BodyTextIndentChar"/>
    <w:uiPriority w:val="99"/>
    <w:rsid w:val="00CC3198"/>
    <w:pPr>
      <w:spacing w:before="120" w:after="120"/>
      <w:ind w:firstLine="720"/>
    </w:pPr>
    <w:rPr>
      <w:rFonts w:eastAsia="Times New Roman"/>
      <w:color w:val="0000FF"/>
      <w:sz w:val="28"/>
      <w:szCs w:val="28"/>
    </w:rPr>
  </w:style>
  <w:style w:type="character" w:customStyle="1" w:styleId="BodyTextIndentChar">
    <w:name w:val="Body Text Indent Char"/>
    <w:link w:val="BodyTextIndent"/>
    <w:uiPriority w:val="99"/>
    <w:rsid w:val="00CC3198"/>
    <w:rPr>
      <w:rFonts w:eastAsia="Times New Roman"/>
      <w:color w:val="0000FF"/>
      <w:sz w:val="28"/>
      <w:szCs w:val="28"/>
    </w:rPr>
  </w:style>
  <w:style w:type="paragraph" w:customStyle="1" w:styleId="muc-">
    <w:name w:val="muc -"/>
    <w:basedOn w:val="Normal"/>
    <w:qFormat/>
    <w:rsid w:val="00CC3198"/>
    <w:pPr>
      <w:tabs>
        <w:tab w:val="num" w:pos="0"/>
      </w:tabs>
      <w:ind w:firstLine="170"/>
    </w:pPr>
    <w:rPr>
      <w:rFonts w:ascii="Arial" w:eastAsia="Times New Roman" w:hAnsi="Arial"/>
      <w:szCs w:val="26"/>
    </w:rPr>
  </w:style>
  <w:style w:type="paragraph" w:styleId="BalloonText">
    <w:name w:val="Balloon Text"/>
    <w:basedOn w:val="Normal"/>
    <w:link w:val="BalloonTextChar"/>
    <w:uiPriority w:val="99"/>
    <w:semiHidden/>
    <w:unhideWhenUsed/>
    <w:rsid w:val="00387240"/>
    <w:rPr>
      <w:rFonts w:ascii="Tahoma" w:hAnsi="Tahoma"/>
      <w:sz w:val="16"/>
      <w:szCs w:val="16"/>
    </w:rPr>
  </w:style>
  <w:style w:type="character" w:customStyle="1" w:styleId="BalloonTextChar">
    <w:name w:val="Balloon Text Char"/>
    <w:link w:val="BalloonText"/>
    <w:uiPriority w:val="99"/>
    <w:semiHidden/>
    <w:rsid w:val="00387240"/>
    <w:rPr>
      <w:rFonts w:ascii="Tahoma" w:hAnsi="Tahoma" w:cs="Tahoma"/>
      <w:sz w:val="16"/>
      <w:szCs w:val="16"/>
    </w:rPr>
  </w:style>
  <w:style w:type="paragraph" w:styleId="BodyTextIndent2">
    <w:name w:val="Body Text Indent 2"/>
    <w:basedOn w:val="Normal"/>
    <w:link w:val="BodyTextIndent2Char"/>
    <w:uiPriority w:val="99"/>
    <w:semiHidden/>
    <w:unhideWhenUsed/>
    <w:rsid w:val="00DB67AE"/>
    <w:pPr>
      <w:spacing w:after="120" w:line="480" w:lineRule="auto"/>
      <w:ind w:left="360"/>
    </w:pPr>
  </w:style>
  <w:style w:type="character" w:customStyle="1" w:styleId="BodyTextIndent2Char">
    <w:name w:val="Body Text Indent 2 Char"/>
    <w:link w:val="BodyTextIndent2"/>
    <w:uiPriority w:val="99"/>
    <w:semiHidden/>
    <w:rsid w:val="00DB67AE"/>
    <w:rPr>
      <w:sz w:val="26"/>
      <w:szCs w:val="22"/>
    </w:rPr>
  </w:style>
  <w:style w:type="paragraph" w:styleId="NormalWeb">
    <w:name w:val="Normal (Web)"/>
    <w:basedOn w:val="Normal"/>
    <w:link w:val="NormalWebChar"/>
    <w:uiPriority w:val="99"/>
    <w:rsid w:val="00DB67AE"/>
    <w:pPr>
      <w:spacing w:before="100" w:beforeAutospacing="1" w:after="100" w:afterAutospacing="1"/>
    </w:pPr>
    <w:rPr>
      <w:rFonts w:eastAsia="Times New Roman"/>
      <w:sz w:val="24"/>
      <w:szCs w:val="24"/>
    </w:rPr>
  </w:style>
  <w:style w:type="character" w:customStyle="1" w:styleId="NormalWebChar">
    <w:name w:val="Normal (Web) Char"/>
    <w:link w:val="NormalWeb"/>
    <w:locked/>
    <w:rsid w:val="00F860F0"/>
    <w:rPr>
      <w:rFonts w:eastAsia="Times New Roman"/>
      <w:sz w:val="24"/>
      <w:szCs w:val="24"/>
      <w:lang w:eastAsia="en-US"/>
    </w:rPr>
  </w:style>
  <w:style w:type="paragraph" w:customStyle="1" w:styleId="abc">
    <w:name w:val="abc"/>
    <w:basedOn w:val="Normal"/>
    <w:rsid w:val="00DB67AE"/>
    <w:pPr>
      <w:widowControl w:val="0"/>
      <w:ind w:firstLine="720"/>
    </w:pPr>
    <w:rPr>
      <w:rFonts w:ascii=".VnTime" w:eastAsia="Times New Roman" w:hAnsi=".VnTime"/>
      <w:sz w:val="28"/>
      <w:szCs w:val="20"/>
    </w:rPr>
  </w:style>
  <w:style w:type="paragraph" w:styleId="Footer">
    <w:name w:val="footer"/>
    <w:aliases w:val="BVI-ft"/>
    <w:basedOn w:val="Normal"/>
    <w:link w:val="FooterChar"/>
    <w:unhideWhenUsed/>
    <w:rsid w:val="00AC5E28"/>
    <w:pPr>
      <w:tabs>
        <w:tab w:val="center" w:pos="4680"/>
        <w:tab w:val="right" w:pos="9360"/>
      </w:tabs>
    </w:pPr>
    <w:rPr>
      <w:rFonts w:eastAsia="Arial"/>
      <w:lang w:val="vi-VN"/>
    </w:rPr>
  </w:style>
  <w:style w:type="character" w:customStyle="1" w:styleId="FooterChar">
    <w:name w:val="Footer Char"/>
    <w:aliases w:val="BVI-ft Char"/>
    <w:link w:val="Footer"/>
    <w:rsid w:val="00AC5E28"/>
    <w:rPr>
      <w:rFonts w:eastAsia="Arial"/>
      <w:sz w:val="26"/>
      <w:szCs w:val="22"/>
      <w:lang w:val="vi-VN"/>
    </w:rPr>
  </w:style>
  <w:style w:type="paragraph" w:customStyle="1" w:styleId="Muc">
    <w:name w:val="Muc +"/>
    <w:basedOn w:val="Normal"/>
    <w:rsid w:val="00AC5E28"/>
    <w:pPr>
      <w:tabs>
        <w:tab w:val="num" w:pos="1003"/>
      </w:tabs>
      <w:ind w:left="1003" w:hanging="283"/>
    </w:pPr>
    <w:rPr>
      <w:rFonts w:ascii="Arial" w:eastAsia="Times New Roman" w:hAnsi="Arial"/>
      <w:szCs w:val="26"/>
      <w:lang w:val="fr-FR"/>
    </w:rPr>
  </w:style>
  <w:style w:type="paragraph" w:styleId="BodyText">
    <w:name w:val="Body Text"/>
    <w:basedOn w:val="Normal"/>
    <w:link w:val="BodyTextChar"/>
    <w:uiPriority w:val="99"/>
    <w:unhideWhenUsed/>
    <w:rsid w:val="0048543D"/>
    <w:pPr>
      <w:spacing w:after="120"/>
    </w:pPr>
    <w:rPr>
      <w:rFonts w:eastAsia="Arial"/>
      <w:lang w:val="vi-VN"/>
    </w:rPr>
  </w:style>
  <w:style w:type="character" w:customStyle="1" w:styleId="BodyTextChar">
    <w:name w:val="Body Text Char"/>
    <w:link w:val="BodyText"/>
    <w:uiPriority w:val="99"/>
    <w:rsid w:val="0048543D"/>
    <w:rPr>
      <w:rFonts w:eastAsia="Arial"/>
      <w:sz w:val="26"/>
      <w:szCs w:val="22"/>
      <w:lang w:val="vi-VN"/>
    </w:rPr>
  </w:style>
  <w:style w:type="paragraph" w:customStyle="1" w:styleId="phn">
    <w:name w:val="phÇn"/>
    <w:basedOn w:val="Normal"/>
    <w:rsid w:val="0048543D"/>
    <w:pPr>
      <w:spacing w:before="120" w:after="120"/>
      <w:jc w:val="center"/>
    </w:pPr>
    <w:rPr>
      <w:rFonts w:ascii=".VnHelvetInsH" w:eastAsia="Times New Roman" w:hAnsi=".VnHelvetInsH"/>
      <w:sz w:val="28"/>
      <w:szCs w:val="24"/>
    </w:rPr>
  </w:style>
  <w:style w:type="paragraph" w:customStyle="1" w:styleId="a">
    <w:name w:val="Ｔｅｘｔ"/>
    <w:basedOn w:val="Normal"/>
    <w:link w:val="a0"/>
    <w:uiPriority w:val="99"/>
    <w:rsid w:val="0048543D"/>
    <w:pPr>
      <w:widowControl w:val="0"/>
    </w:pPr>
    <w:rPr>
      <w:rFonts w:ascii="Century" w:eastAsia="MS Mincho" w:hAnsi="Century"/>
      <w:kern w:val="2"/>
      <w:sz w:val="21"/>
      <w:szCs w:val="21"/>
    </w:rPr>
  </w:style>
  <w:style w:type="character" w:customStyle="1" w:styleId="a0">
    <w:name w:val="Ｔｅｘｔ (文字)"/>
    <w:link w:val="a"/>
    <w:uiPriority w:val="99"/>
    <w:locked/>
    <w:rsid w:val="0048543D"/>
    <w:rPr>
      <w:rFonts w:ascii="Century" w:eastAsia="MS Mincho" w:hAnsi="Century"/>
      <w:kern w:val="2"/>
      <w:sz w:val="21"/>
      <w:szCs w:val="21"/>
    </w:rPr>
  </w:style>
  <w:style w:type="paragraph" w:styleId="NoSpacing">
    <w:name w:val="No Spacing"/>
    <w:uiPriority w:val="1"/>
    <w:qFormat/>
    <w:rsid w:val="00D067B3"/>
    <w:rPr>
      <w:sz w:val="26"/>
      <w:szCs w:val="22"/>
      <w:lang w:eastAsia="en-US"/>
    </w:rPr>
  </w:style>
  <w:style w:type="paragraph" w:styleId="BodyText2">
    <w:name w:val="Body Text 2"/>
    <w:basedOn w:val="Normal"/>
    <w:link w:val="BodyText2Char"/>
    <w:uiPriority w:val="99"/>
    <w:unhideWhenUsed/>
    <w:rsid w:val="00BD4123"/>
    <w:pPr>
      <w:spacing w:after="120" w:line="480" w:lineRule="auto"/>
    </w:pPr>
    <w:rPr>
      <w:rFonts w:eastAsia="Arial"/>
      <w:lang w:val="vi-VN"/>
    </w:rPr>
  </w:style>
  <w:style w:type="character" w:customStyle="1" w:styleId="BodyText2Char">
    <w:name w:val="Body Text 2 Char"/>
    <w:link w:val="BodyText2"/>
    <w:uiPriority w:val="99"/>
    <w:rsid w:val="00BD4123"/>
    <w:rPr>
      <w:rFonts w:eastAsia="Arial"/>
      <w:sz w:val="26"/>
      <w:szCs w:val="22"/>
      <w:lang w:val="vi-VN"/>
    </w:rPr>
  </w:style>
  <w:style w:type="paragraph" w:customStyle="1" w:styleId="muc0">
    <w:name w:val="muc +"/>
    <w:basedOn w:val="Normal"/>
    <w:qFormat/>
    <w:rsid w:val="00BD4123"/>
    <w:pPr>
      <w:tabs>
        <w:tab w:val="left" w:pos="0"/>
        <w:tab w:val="left" w:pos="450"/>
      </w:tabs>
      <w:spacing w:before="20" w:after="60"/>
      <w:ind w:right="-29" w:firstLine="446"/>
    </w:pPr>
    <w:rPr>
      <w:rFonts w:ascii=".VnTime" w:eastAsia="Times New Roman" w:hAnsi=".VnTime"/>
      <w:sz w:val="28"/>
      <w:szCs w:val="24"/>
      <w:lang w:val="de-DE"/>
    </w:rPr>
  </w:style>
  <w:style w:type="paragraph" w:customStyle="1" w:styleId="Muc-0">
    <w:name w:val="Muc -"/>
    <w:basedOn w:val="Heading8"/>
    <w:qFormat/>
    <w:rsid w:val="00BD4123"/>
    <w:pPr>
      <w:tabs>
        <w:tab w:val="left" w:pos="426"/>
        <w:tab w:val="num" w:pos="983"/>
      </w:tabs>
      <w:spacing w:before="40" w:line="300" w:lineRule="auto"/>
      <w:ind w:left="983" w:hanging="283"/>
    </w:pPr>
    <w:rPr>
      <w:rFonts w:ascii=".VnTime" w:hAnsi=".VnTime"/>
      <w:i w:val="0"/>
      <w:spacing w:val="-2"/>
      <w:sz w:val="28"/>
      <w:lang w:val="fr-FR"/>
    </w:rPr>
  </w:style>
  <w:style w:type="paragraph" w:customStyle="1" w:styleId="bac-caption">
    <w:name w:val="bac-caption"/>
    <w:link w:val="bac-captionChar"/>
    <w:rsid w:val="00BD4123"/>
    <w:pPr>
      <w:keepLines/>
      <w:widowControl w:val="0"/>
      <w:spacing w:before="120" w:after="120"/>
      <w:jc w:val="center"/>
    </w:pPr>
    <w:rPr>
      <w:rFonts w:ascii="Arial" w:eastAsia="MS Mincho" w:hAnsi="Arial"/>
      <w:b/>
      <w:bCs/>
      <w:szCs w:val="22"/>
      <w:lang w:val="vi-VN" w:eastAsia="en-US"/>
    </w:rPr>
  </w:style>
  <w:style w:type="character" w:customStyle="1" w:styleId="bac-captionChar">
    <w:name w:val="bac-caption Char"/>
    <w:link w:val="bac-caption"/>
    <w:rsid w:val="00BD4123"/>
    <w:rPr>
      <w:rFonts w:ascii="Arial" w:eastAsia="MS Mincho" w:hAnsi="Arial"/>
      <w:b/>
      <w:bCs/>
      <w:szCs w:val="22"/>
      <w:lang w:val="vi-VN" w:eastAsia="en-US" w:bidi="ar-SA"/>
    </w:rPr>
  </w:style>
  <w:style w:type="paragraph" w:styleId="BlockText">
    <w:name w:val="Block Text"/>
    <w:basedOn w:val="Normal"/>
    <w:rsid w:val="001E0B06"/>
    <w:pPr>
      <w:ind w:left="-720" w:right="-720"/>
    </w:pPr>
    <w:rPr>
      <w:rFonts w:ascii=".VnTime" w:eastAsia="Times New Roman" w:hAnsi=".VnTime"/>
      <w:b/>
      <w:sz w:val="28"/>
      <w:szCs w:val="20"/>
    </w:rPr>
  </w:style>
  <w:style w:type="paragraph" w:customStyle="1" w:styleId="CharCharCharChar">
    <w:name w:val="Char Char Char Char"/>
    <w:next w:val="Normal"/>
    <w:autoRedefine/>
    <w:rsid w:val="00DB5E78"/>
    <w:pPr>
      <w:spacing w:after="160" w:line="240" w:lineRule="exact"/>
      <w:jc w:val="both"/>
    </w:pPr>
    <w:rPr>
      <w:rFonts w:eastAsia="Times New Roman"/>
      <w:sz w:val="28"/>
      <w:szCs w:val="22"/>
      <w:lang w:eastAsia="en-US"/>
    </w:rPr>
  </w:style>
  <w:style w:type="paragraph" w:styleId="TOC3">
    <w:name w:val="toc 3"/>
    <w:basedOn w:val="Normal"/>
    <w:next w:val="Normal"/>
    <w:autoRedefine/>
    <w:uiPriority w:val="39"/>
    <w:rsid w:val="00CD7C76"/>
    <w:pPr>
      <w:tabs>
        <w:tab w:val="right" w:leader="dot" w:pos="9214"/>
        <w:tab w:val="right" w:leader="dot" w:pos="9269"/>
      </w:tabs>
      <w:spacing w:line="24" w:lineRule="atLeast"/>
    </w:pPr>
    <w:rPr>
      <w:rFonts w:eastAsia="Times New Roman"/>
      <w:i/>
      <w:noProof/>
      <w:color w:val="FF0000"/>
      <w:szCs w:val="26"/>
      <w:lang w:val="fr-FR"/>
    </w:rPr>
  </w:style>
  <w:style w:type="character" w:styleId="Hyperlink">
    <w:name w:val="Hyperlink"/>
    <w:uiPriority w:val="99"/>
    <w:rsid w:val="000F5DF4"/>
    <w:rPr>
      <w:color w:val="0000FF"/>
      <w:u w:val="single"/>
    </w:rPr>
  </w:style>
  <w:style w:type="paragraph" w:customStyle="1" w:styleId="CM137">
    <w:name w:val="CM137"/>
    <w:basedOn w:val="Normal"/>
    <w:next w:val="Normal"/>
    <w:rsid w:val="0058259F"/>
    <w:pPr>
      <w:widowControl w:val="0"/>
      <w:autoSpaceDE w:val="0"/>
      <w:autoSpaceDN w:val="0"/>
      <w:adjustRightInd w:val="0"/>
      <w:spacing w:after="108"/>
    </w:pPr>
    <w:rPr>
      <w:rFonts w:ascii="Helvetica" w:eastAsia="Times New Roman" w:hAnsi="Helvetica" w:cs="Helvetica"/>
      <w:sz w:val="24"/>
      <w:szCs w:val="24"/>
    </w:rPr>
  </w:style>
  <w:style w:type="paragraph" w:customStyle="1" w:styleId="CharCharCharCharCharCharChar">
    <w:name w:val="Char Char Char Char Char Char Char"/>
    <w:basedOn w:val="Normal"/>
    <w:rsid w:val="00C36B09"/>
    <w:rPr>
      <w:rFonts w:ascii="Arial" w:eastAsia="Times New Roman" w:hAnsi="Arial"/>
      <w:sz w:val="22"/>
      <w:szCs w:val="20"/>
      <w:lang w:val="en-AU"/>
    </w:rPr>
  </w:style>
  <w:style w:type="paragraph" w:customStyle="1" w:styleId="StyleStyleCaption14ptBoldNotItalicCenteredBefore6p">
    <w:name w:val="Style Style Caption + 14 pt Bold Not Italic Centered + Before:  6 p..."/>
    <w:basedOn w:val="Normal"/>
    <w:rsid w:val="002A6F66"/>
    <w:pPr>
      <w:spacing w:before="120" w:after="120"/>
      <w:jc w:val="center"/>
    </w:pPr>
    <w:rPr>
      <w:rFonts w:ascii=".VnTime" w:eastAsia="Times New Roman" w:hAnsi=".VnTime"/>
      <w:b/>
      <w:bCs/>
      <w:sz w:val="28"/>
      <w:szCs w:val="20"/>
    </w:rPr>
  </w:style>
  <w:style w:type="paragraph" w:customStyle="1" w:styleId="cvbody">
    <w:name w:val="cvbody"/>
    <w:basedOn w:val="Normal"/>
    <w:rsid w:val="002A6F66"/>
    <w:pPr>
      <w:spacing w:before="120" w:after="120"/>
    </w:pPr>
    <w:rPr>
      <w:rFonts w:ascii=".VnTime" w:eastAsia="Times New Roman" w:hAnsi=".VnTime"/>
      <w:snapToGrid w:val="0"/>
      <w:sz w:val="28"/>
      <w:szCs w:val="20"/>
    </w:rPr>
  </w:style>
  <w:style w:type="paragraph" w:styleId="ListNumber">
    <w:name w:val="List Number"/>
    <w:basedOn w:val="Normal"/>
    <w:rsid w:val="002A6F66"/>
    <w:pPr>
      <w:tabs>
        <w:tab w:val="num" w:pos="360"/>
        <w:tab w:val="left" w:pos="1440"/>
      </w:tabs>
      <w:spacing w:before="60"/>
      <w:ind w:left="360" w:hanging="360"/>
    </w:pPr>
    <w:rPr>
      <w:rFonts w:ascii=".VnTime" w:eastAsia="Times New Roman" w:hAnsi=".VnTime"/>
      <w:sz w:val="28"/>
      <w:szCs w:val="20"/>
    </w:rPr>
  </w:style>
  <w:style w:type="paragraph" w:customStyle="1" w:styleId="StyleCaption14ptBoldNotItalicCentered">
    <w:name w:val="Style Caption + 14 pt Bold Not Italic Centered"/>
    <w:basedOn w:val="Caption"/>
    <w:rsid w:val="002A6F66"/>
    <w:pPr>
      <w:spacing w:before="120" w:after="120"/>
      <w:jc w:val="center"/>
    </w:pPr>
    <w:rPr>
      <w:rFonts w:ascii=".VnTime" w:eastAsia="Times New Roman" w:hAnsi=".VnTime"/>
      <w:sz w:val="28"/>
    </w:rPr>
  </w:style>
  <w:style w:type="paragraph" w:styleId="Caption">
    <w:name w:val="caption"/>
    <w:basedOn w:val="Normal"/>
    <w:next w:val="Normal"/>
    <w:uiPriority w:val="35"/>
    <w:qFormat/>
    <w:rsid w:val="002A6F66"/>
    <w:rPr>
      <w:b/>
      <w:bCs/>
      <w:sz w:val="20"/>
      <w:szCs w:val="20"/>
    </w:rPr>
  </w:style>
  <w:style w:type="character" w:styleId="Strong">
    <w:name w:val="Strong"/>
    <w:uiPriority w:val="22"/>
    <w:qFormat/>
    <w:rsid w:val="00C10A30"/>
    <w:rPr>
      <w:b/>
      <w:bCs/>
    </w:rPr>
  </w:style>
  <w:style w:type="paragraph" w:customStyle="1" w:styleId="CharCharCharChar0">
    <w:name w:val="Char Char Char Char"/>
    <w:basedOn w:val="Normal"/>
    <w:rsid w:val="00A26DB6"/>
    <w:pPr>
      <w:spacing w:after="160" w:line="240" w:lineRule="exact"/>
    </w:pPr>
    <w:rPr>
      <w:rFonts w:ascii="Tahoma" w:eastAsia="PMingLiU" w:hAnsi="Tahoma"/>
      <w:sz w:val="20"/>
      <w:szCs w:val="20"/>
    </w:rPr>
  </w:style>
  <w:style w:type="paragraph" w:styleId="BodyTextIndent3">
    <w:name w:val="Body Text Indent 3"/>
    <w:basedOn w:val="Normal"/>
    <w:link w:val="BodyTextIndent3Char"/>
    <w:rsid w:val="00572DF7"/>
    <w:pPr>
      <w:spacing w:after="120"/>
      <w:ind w:left="360"/>
    </w:pPr>
    <w:rPr>
      <w:rFonts w:eastAsia="Times New Roman"/>
      <w:sz w:val="16"/>
      <w:szCs w:val="16"/>
    </w:rPr>
  </w:style>
  <w:style w:type="character" w:customStyle="1" w:styleId="BodyTextIndent3Char">
    <w:name w:val="Body Text Indent 3 Char"/>
    <w:link w:val="BodyTextIndent3"/>
    <w:rsid w:val="00572DF7"/>
    <w:rPr>
      <w:rFonts w:eastAsia="Times New Roman"/>
      <w:sz w:val="16"/>
      <w:szCs w:val="16"/>
    </w:rPr>
  </w:style>
  <w:style w:type="character" w:customStyle="1" w:styleId="Heading3CharCharCharCharCharChar">
    <w:name w:val="Heading 3 Char Char Char Char Char Char"/>
    <w:aliases w:val="Heading 3 Char Char Char Char Char1"/>
    <w:rsid w:val="00572DF7"/>
    <w:rPr>
      <w:rFonts w:ascii="Times New Roman" w:hAnsi="Times New Roman" w:cs="Times New Roman"/>
      <w:i/>
      <w:sz w:val="26"/>
    </w:rPr>
  </w:style>
  <w:style w:type="table" w:styleId="TableGrid">
    <w:name w:val="Table Grid"/>
    <w:basedOn w:val="TableNormal"/>
    <w:uiPriority w:val="59"/>
    <w:rsid w:val="009C0CE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E843D9"/>
    <w:pPr>
      <w:tabs>
        <w:tab w:val="left" w:pos="567"/>
        <w:tab w:val="right" w:leader="dot" w:pos="9269"/>
      </w:tabs>
    </w:pPr>
  </w:style>
  <w:style w:type="paragraph" w:styleId="Header">
    <w:name w:val="header"/>
    <w:aliases w:val=" Char,Char11,Char111"/>
    <w:basedOn w:val="Normal"/>
    <w:link w:val="HeaderChar"/>
    <w:unhideWhenUsed/>
    <w:rsid w:val="0094069B"/>
    <w:pPr>
      <w:tabs>
        <w:tab w:val="center" w:pos="4680"/>
        <w:tab w:val="right" w:pos="9360"/>
      </w:tabs>
    </w:pPr>
  </w:style>
  <w:style w:type="character" w:customStyle="1" w:styleId="HeaderChar">
    <w:name w:val="Header Char"/>
    <w:aliases w:val=" Char Char,Char11 Char,Char111 Char"/>
    <w:link w:val="Header"/>
    <w:rsid w:val="0094069B"/>
    <w:rPr>
      <w:sz w:val="26"/>
      <w:szCs w:val="22"/>
    </w:rPr>
  </w:style>
  <w:style w:type="character" w:customStyle="1" w:styleId="A4">
    <w:name w:val="A4"/>
    <w:rsid w:val="00F05DA8"/>
    <w:rPr>
      <w:rFonts w:cs="Arial"/>
      <w:color w:val="000000"/>
      <w:sz w:val="22"/>
      <w:szCs w:val="22"/>
    </w:rPr>
  </w:style>
  <w:style w:type="paragraph" w:styleId="TOCHeading">
    <w:name w:val="TOC Heading"/>
    <w:basedOn w:val="Heading1"/>
    <w:next w:val="Normal"/>
    <w:uiPriority w:val="39"/>
    <w:qFormat/>
    <w:rsid w:val="00DC0038"/>
    <w:pPr>
      <w:keepLines/>
      <w:spacing w:before="480" w:after="0" w:line="276" w:lineRule="auto"/>
      <w:outlineLvl w:val="9"/>
    </w:pPr>
    <w:rPr>
      <w:rFonts w:ascii="Cambria" w:hAnsi="Cambria"/>
      <w:color w:val="365F91"/>
      <w:kern w:val="0"/>
      <w:sz w:val="28"/>
      <w:szCs w:val="28"/>
    </w:rPr>
  </w:style>
  <w:style w:type="paragraph" w:styleId="TOC2">
    <w:name w:val="toc 2"/>
    <w:basedOn w:val="Normal"/>
    <w:next w:val="Normal"/>
    <w:autoRedefine/>
    <w:uiPriority w:val="39"/>
    <w:unhideWhenUsed/>
    <w:rsid w:val="00DE3292"/>
    <w:pPr>
      <w:tabs>
        <w:tab w:val="left" w:pos="567"/>
        <w:tab w:val="right" w:leader="dot" w:pos="9269"/>
      </w:tabs>
      <w:spacing w:line="24" w:lineRule="atLeast"/>
    </w:pPr>
    <w:rPr>
      <w:noProof/>
      <w:color w:val="FF0000"/>
      <w:szCs w:val="26"/>
    </w:rPr>
  </w:style>
  <w:style w:type="paragraph" w:customStyle="1" w:styleId="xl46">
    <w:name w:val="xl46"/>
    <w:basedOn w:val="Normal"/>
    <w:rsid w:val="00024A25"/>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jc w:val="center"/>
    </w:pPr>
    <w:rPr>
      <w:rFonts w:ascii=".VnTime" w:eastAsia="Times New Roman" w:hAnsi=".VnTime"/>
      <w:b/>
      <w:bCs/>
      <w:i/>
      <w:iCs/>
      <w:szCs w:val="26"/>
    </w:rPr>
  </w:style>
  <w:style w:type="paragraph" w:customStyle="1" w:styleId="CharCharCharCharCharCharCharCharChar">
    <w:name w:val="Char Char Char Char Char Char Char Char Char"/>
    <w:basedOn w:val="Normal"/>
    <w:semiHidden/>
    <w:rsid w:val="00A255CD"/>
    <w:pPr>
      <w:spacing w:after="160" w:line="240" w:lineRule="exact"/>
    </w:pPr>
    <w:rPr>
      <w:rFonts w:ascii="Arial" w:eastAsia="Times New Roman" w:hAnsi="Arial" w:cs="Arial"/>
      <w:sz w:val="22"/>
    </w:rPr>
  </w:style>
  <w:style w:type="paragraph" w:styleId="TOC4">
    <w:name w:val="toc 4"/>
    <w:basedOn w:val="Normal"/>
    <w:next w:val="Normal"/>
    <w:autoRedefine/>
    <w:uiPriority w:val="39"/>
    <w:unhideWhenUsed/>
    <w:rsid w:val="009E5694"/>
    <w:pPr>
      <w:spacing w:after="100" w:line="276" w:lineRule="auto"/>
      <w:ind w:left="660"/>
    </w:pPr>
    <w:rPr>
      <w:rFonts w:ascii="Calibri" w:eastAsia="Times New Roman" w:hAnsi="Calibri"/>
      <w:sz w:val="22"/>
    </w:rPr>
  </w:style>
  <w:style w:type="paragraph" w:styleId="TOC5">
    <w:name w:val="toc 5"/>
    <w:basedOn w:val="Normal"/>
    <w:next w:val="Normal"/>
    <w:autoRedefine/>
    <w:uiPriority w:val="39"/>
    <w:unhideWhenUsed/>
    <w:rsid w:val="009E5694"/>
    <w:pPr>
      <w:spacing w:after="100" w:line="276" w:lineRule="auto"/>
      <w:ind w:left="880"/>
    </w:pPr>
    <w:rPr>
      <w:rFonts w:ascii="Calibri" w:eastAsia="Times New Roman" w:hAnsi="Calibri"/>
      <w:sz w:val="22"/>
    </w:rPr>
  </w:style>
  <w:style w:type="paragraph" w:styleId="TOC6">
    <w:name w:val="toc 6"/>
    <w:basedOn w:val="Normal"/>
    <w:next w:val="Normal"/>
    <w:autoRedefine/>
    <w:uiPriority w:val="39"/>
    <w:unhideWhenUsed/>
    <w:rsid w:val="009E5694"/>
    <w:pPr>
      <w:spacing w:after="100" w:line="276" w:lineRule="auto"/>
      <w:ind w:left="1100"/>
    </w:pPr>
    <w:rPr>
      <w:rFonts w:ascii="Calibri" w:eastAsia="Times New Roman" w:hAnsi="Calibri"/>
      <w:sz w:val="22"/>
    </w:rPr>
  </w:style>
  <w:style w:type="paragraph" w:styleId="TOC7">
    <w:name w:val="toc 7"/>
    <w:basedOn w:val="Normal"/>
    <w:next w:val="Normal"/>
    <w:autoRedefine/>
    <w:uiPriority w:val="39"/>
    <w:unhideWhenUsed/>
    <w:rsid w:val="009E5694"/>
    <w:pPr>
      <w:spacing w:after="100" w:line="276" w:lineRule="auto"/>
      <w:ind w:left="1320"/>
    </w:pPr>
    <w:rPr>
      <w:rFonts w:ascii="Calibri" w:eastAsia="Times New Roman" w:hAnsi="Calibri"/>
      <w:sz w:val="22"/>
    </w:rPr>
  </w:style>
  <w:style w:type="paragraph" w:styleId="TOC8">
    <w:name w:val="toc 8"/>
    <w:basedOn w:val="Normal"/>
    <w:next w:val="Normal"/>
    <w:autoRedefine/>
    <w:uiPriority w:val="39"/>
    <w:unhideWhenUsed/>
    <w:rsid w:val="009E5694"/>
    <w:pPr>
      <w:spacing w:after="100" w:line="276" w:lineRule="auto"/>
      <w:ind w:left="1540"/>
    </w:pPr>
    <w:rPr>
      <w:rFonts w:ascii="Calibri" w:eastAsia="Times New Roman" w:hAnsi="Calibri"/>
      <w:sz w:val="22"/>
    </w:rPr>
  </w:style>
  <w:style w:type="paragraph" w:styleId="TOC9">
    <w:name w:val="toc 9"/>
    <w:basedOn w:val="Normal"/>
    <w:next w:val="Normal"/>
    <w:autoRedefine/>
    <w:uiPriority w:val="39"/>
    <w:unhideWhenUsed/>
    <w:rsid w:val="009E5694"/>
    <w:pPr>
      <w:spacing w:after="100" w:line="276" w:lineRule="auto"/>
      <w:ind w:left="1760"/>
    </w:pPr>
    <w:rPr>
      <w:rFonts w:ascii="Calibri" w:eastAsia="Times New Roman" w:hAnsi="Calibri"/>
      <w:sz w:val="22"/>
    </w:rPr>
  </w:style>
  <w:style w:type="paragraph" w:customStyle="1" w:styleId="BodyText22">
    <w:name w:val="Body Text 22"/>
    <w:basedOn w:val="Normal"/>
    <w:rsid w:val="004929D3"/>
    <w:pPr>
      <w:spacing w:after="120"/>
      <w:ind w:firstLine="720"/>
    </w:pPr>
    <w:rPr>
      <w:rFonts w:ascii=".VnArial Narrow" w:eastAsia="Times New Roman" w:hAnsi=".VnArial Narrow"/>
      <w:sz w:val="28"/>
      <w:szCs w:val="26"/>
      <w:lang w:val="en-GB"/>
    </w:rPr>
  </w:style>
  <w:style w:type="paragraph" w:customStyle="1" w:styleId="StyleHeading2VnTime14pt">
    <w:name w:val="Style Heading 2 + .VnTime 14 pt"/>
    <w:basedOn w:val="Heading2"/>
    <w:rsid w:val="000D7582"/>
    <w:pPr>
      <w:numPr>
        <w:ilvl w:val="1"/>
      </w:numPr>
      <w:tabs>
        <w:tab w:val="num" w:pos="737"/>
      </w:tabs>
      <w:overflowPunct w:val="0"/>
      <w:autoSpaceDE w:val="0"/>
      <w:autoSpaceDN w:val="0"/>
      <w:adjustRightInd w:val="0"/>
      <w:spacing w:before="120" w:after="0" w:line="300" w:lineRule="auto"/>
      <w:ind w:left="737" w:hanging="737"/>
      <w:textAlignment w:val="baseline"/>
    </w:pPr>
    <w:rPr>
      <w:rFonts w:ascii=".VnTime" w:hAnsi=".VnTime"/>
      <w:iCs w:val="0"/>
      <w:szCs w:val="20"/>
      <w:lang w:eastAsia="vi-VN"/>
    </w:rPr>
  </w:style>
  <w:style w:type="paragraph" w:customStyle="1" w:styleId="StyleCaptionCentered">
    <w:name w:val="Style Caption + Centered"/>
    <w:basedOn w:val="Caption"/>
    <w:rsid w:val="000D7582"/>
    <w:pPr>
      <w:overflowPunct w:val="0"/>
      <w:autoSpaceDE w:val="0"/>
      <w:autoSpaceDN w:val="0"/>
      <w:adjustRightInd w:val="0"/>
      <w:spacing w:after="60" w:line="300" w:lineRule="auto"/>
      <w:jc w:val="center"/>
      <w:textAlignment w:val="baseline"/>
    </w:pPr>
    <w:rPr>
      <w:rFonts w:ascii=".VnTime" w:eastAsia="Times New Roman" w:hAnsi=".VnTime"/>
      <w:i/>
      <w:iCs/>
      <w:sz w:val="25"/>
      <w:lang w:val="en-GB" w:eastAsia="vi-VN"/>
    </w:rPr>
  </w:style>
  <w:style w:type="character" w:customStyle="1" w:styleId="hps">
    <w:name w:val="hps"/>
    <w:rsid w:val="00310E08"/>
    <w:rPr>
      <w:rFonts w:cs="Times New Roman"/>
    </w:rPr>
  </w:style>
  <w:style w:type="paragraph" w:customStyle="1" w:styleId="11">
    <w:name w:val="1.1"/>
    <w:basedOn w:val="Heading2"/>
    <w:qFormat/>
    <w:rsid w:val="00310E08"/>
    <w:pPr>
      <w:widowControl w:val="0"/>
      <w:spacing w:before="120" w:after="0"/>
    </w:pPr>
    <w:rPr>
      <w:iCs w:val="0"/>
      <w:kern w:val="32"/>
      <w:lang w:val="pt-BR"/>
    </w:rPr>
  </w:style>
  <w:style w:type="paragraph" w:customStyle="1" w:styleId="CharCharCharCharCharCharChar0">
    <w:name w:val="Char Char Char Char Char Char Char"/>
    <w:basedOn w:val="Normal"/>
    <w:rsid w:val="00CE1016"/>
    <w:rPr>
      <w:rFonts w:ascii="Arial" w:eastAsia="Times New Roman" w:hAnsi="Arial"/>
      <w:sz w:val="22"/>
      <w:szCs w:val="20"/>
      <w:lang w:val="en-AU"/>
    </w:rPr>
  </w:style>
  <w:style w:type="paragraph" w:customStyle="1" w:styleId="CharCharCharChar1">
    <w:name w:val="Char Char Char Char1"/>
    <w:basedOn w:val="Normal"/>
    <w:rsid w:val="00CE1016"/>
    <w:pPr>
      <w:spacing w:after="160" w:line="240" w:lineRule="exact"/>
    </w:pPr>
    <w:rPr>
      <w:rFonts w:ascii="Tahoma" w:eastAsia="Times New Roman" w:hAnsi="Tahoma"/>
      <w:sz w:val="20"/>
      <w:szCs w:val="20"/>
    </w:rPr>
  </w:style>
  <w:style w:type="character" w:customStyle="1" w:styleId="apple-converted-space">
    <w:name w:val="apple-converted-space"/>
    <w:basedOn w:val="DefaultParagraphFont"/>
    <w:rsid w:val="00CF7426"/>
  </w:style>
  <w:style w:type="paragraph" w:customStyle="1" w:styleId="NidungAA">
    <w:name w:val="Nội dung A A"/>
    <w:rsid w:val="0092426D"/>
    <w:pPr>
      <w:pBdr>
        <w:top w:val="nil"/>
        <w:left w:val="nil"/>
        <w:bottom w:val="nil"/>
        <w:right w:val="nil"/>
        <w:between w:val="nil"/>
        <w:bar w:val="nil"/>
      </w:pBdr>
      <w:spacing w:before="60" w:after="60" w:line="276" w:lineRule="auto"/>
      <w:ind w:firstLine="720"/>
      <w:jc w:val="both"/>
    </w:pPr>
    <w:rPr>
      <w:rFonts w:eastAsia="Arial Unicode MS" w:cs="Arial Unicode MS"/>
      <w:color w:val="000000"/>
      <w:sz w:val="26"/>
      <w:szCs w:val="26"/>
      <w:u w:color="000000"/>
      <w:bdr w:val="nil"/>
      <w:lang w:val="nl-NL" w:eastAsia="en-US"/>
    </w:rPr>
  </w:style>
  <w:style w:type="paragraph" w:customStyle="1" w:styleId="heading30">
    <w:name w:val="heading3"/>
    <w:basedOn w:val="Normal"/>
    <w:link w:val="heading3Char0"/>
    <w:rsid w:val="00A70A89"/>
    <w:pPr>
      <w:spacing w:after="120"/>
    </w:pPr>
    <w:rPr>
      <w:rFonts w:eastAsia="MS Mincho"/>
      <w:b/>
      <w:i/>
      <w:sz w:val="20"/>
      <w:szCs w:val="20"/>
    </w:rPr>
  </w:style>
  <w:style w:type="character" w:customStyle="1" w:styleId="heading3Char0">
    <w:name w:val="heading3 Char"/>
    <w:link w:val="heading30"/>
    <w:rsid w:val="00A70A89"/>
    <w:rPr>
      <w:rFonts w:eastAsia="MS Mincho"/>
      <w:b/>
      <w:i/>
      <w:lang w:eastAsia="en-US"/>
    </w:rPr>
  </w:style>
  <w:style w:type="paragraph" w:customStyle="1" w:styleId="Noidung">
    <w:name w:val="Noidung"/>
    <w:basedOn w:val="Normal"/>
    <w:link w:val="NoidungChar"/>
    <w:rsid w:val="00A70A89"/>
    <w:pPr>
      <w:numPr>
        <w:numId w:val="6"/>
      </w:numPr>
      <w:spacing w:after="120"/>
    </w:pPr>
    <w:rPr>
      <w:rFonts w:ascii=".VnTime" w:eastAsia="Times New Roman" w:hAnsi=".VnTime"/>
      <w:kern w:val="28"/>
      <w:szCs w:val="28"/>
    </w:rPr>
  </w:style>
  <w:style w:type="character" w:customStyle="1" w:styleId="NoidungChar">
    <w:name w:val="Noidung Char"/>
    <w:link w:val="Noidung"/>
    <w:rsid w:val="00A70A89"/>
    <w:rPr>
      <w:rFonts w:ascii=".VnTime" w:eastAsia="Times New Roman" w:hAnsi=".VnTime"/>
      <w:kern w:val="28"/>
      <w:sz w:val="26"/>
      <w:szCs w:val="28"/>
      <w:lang w:eastAsia="en-US"/>
    </w:rPr>
  </w:style>
  <w:style w:type="paragraph" w:customStyle="1" w:styleId="Normal1">
    <w:name w:val="Normal1"/>
    <w:basedOn w:val="Normal"/>
    <w:rsid w:val="000A2F16"/>
    <w:pPr>
      <w:spacing w:before="120" w:after="120"/>
    </w:pPr>
    <w:rPr>
      <w:rFonts w:ascii=".VnTime" w:eastAsia="Times New Roman" w:hAnsi=".VnTime"/>
      <w:b/>
      <w:szCs w:val="20"/>
      <w:lang w:val="en-AU"/>
    </w:rPr>
  </w:style>
  <w:style w:type="character" w:customStyle="1" w:styleId="FooterChar1">
    <w:name w:val="Footer Char1"/>
    <w:aliases w:val="BVI-ft Char1"/>
    <w:basedOn w:val="DefaultParagraphFont"/>
    <w:uiPriority w:val="99"/>
    <w:semiHidden/>
    <w:rsid w:val="00431454"/>
    <w:rPr>
      <w:rFonts w:ascii="Calibri" w:hAnsi="Calibri"/>
      <w:sz w:val="22"/>
      <w:szCs w:val="22"/>
      <w:lang w:eastAsia="en-US"/>
    </w:rPr>
  </w:style>
  <w:style w:type="character" w:customStyle="1" w:styleId="DanhmuchinhChar">
    <w:name w:val="Danh muc hinh Char"/>
    <w:link w:val="Danhmuchinh"/>
    <w:locked/>
    <w:rsid w:val="00431454"/>
    <w:rPr>
      <w:rFonts w:eastAsia="Times New Roman"/>
      <w:sz w:val="24"/>
      <w:lang w:val="en-GB" w:eastAsia="vi-VN"/>
    </w:rPr>
  </w:style>
  <w:style w:type="paragraph" w:customStyle="1" w:styleId="Danhmuchinh">
    <w:name w:val="Danh muc hinh"/>
    <w:basedOn w:val="Normal"/>
    <w:link w:val="DanhmuchinhChar"/>
    <w:rsid w:val="00431454"/>
    <w:pPr>
      <w:jc w:val="center"/>
    </w:pPr>
    <w:rPr>
      <w:rFonts w:eastAsia="Times New Roman"/>
      <w:sz w:val="24"/>
      <w:szCs w:val="20"/>
      <w:lang w:val="en-GB" w:eastAsia="vi-VN"/>
    </w:rPr>
  </w:style>
  <w:style w:type="character" w:customStyle="1" w:styleId="3Char">
    <w:name w:val="3 Char"/>
    <w:link w:val="3"/>
    <w:locked/>
    <w:rsid w:val="00431454"/>
    <w:rPr>
      <w:rFonts w:ascii=".VnTime" w:eastAsia="SimSun" w:hAnsi=".VnTime"/>
      <w:b/>
      <w:bCs/>
      <w:i/>
      <w:iCs/>
      <w:sz w:val="28"/>
      <w:szCs w:val="24"/>
    </w:rPr>
  </w:style>
  <w:style w:type="paragraph" w:customStyle="1" w:styleId="3">
    <w:name w:val="3"/>
    <w:basedOn w:val="Normal"/>
    <w:link w:val="3Char"/>
    <w:rsid w:val="00431454"/>
    <w:pPr>
      <w:spacing w:before="120" w:after="20"/>
    </w:pPr>
    <w:rPr>
      <w:rFonts w:ascii=".VnTime" w:eastAsia="SimSun" w:hAnsi=".VnTime"/>
      <w:b/>
      <w:bCs/>
      <w:i/>
      <w:iCs/>
      <w:sz w:val="28"/>
      <w:szCs w:val="24"/>
      <w:lang w:eastAsia="zh-CN"/>
    </w:rPr>
  </w:style>
  <w:style w:type="paragraph" w:customStyle="1" w:styleId="Mcnidung">
    <w:name w:val="Mục nội dung"/>
    <w:basedOn w:val="Normal"/>
    <w:link w:val="McnidungChar"/>
    <w:rsid w:val="004435F1"/>
    <w:pPr>
      <w:spacing w:after="100"/>
      <w:ind w:firstLine="720"/>
    </w:pPr>
    <w:rPr>
      <w:rFonts w:eastAsia="Times New Roman"/>
      <w:noProof/>
      <w:sz w:val="28"/>
      <w:szCs w:val="28"/>
      <w:lang w:val="pt-BR"/>
    </w:rPr>
  </w:style>
  <w:style w:type="character" w:customStyle="1" w:styleId="McnidungChar">
    <w:name w:val="Mục nội dung Char"/>
    <w:link w:val="Mcnidung"/>
    <w:locked/>
    <w:rsid w:val="004435F1"/>
    <w:rPr>
      <w:rFonts w:eastAsia="Times New Roman"/>
      <w:noProof/>
      <w:sz w:val="28"/>
      <w:szCs w:val="28"/>
      <w:lang w:val="pt-BR" w:eastAsia="en-US"/>
    </w:rPr>
  </w:style>
  <w:style w:type="paragraph" w:customStyle="1" w:styleId="Mcbng">
    <w:name w:val="Mục bảng"/>
    <w:basedOn w:val="Normal"/>
    <w:link w:val="McbngCharChar"/>
    <w:rsid w:val="004435F1"/>
    <w:pPr>
      <w:keepNext/>
      <w:numPr>
        <w:numId w:val="7"/>
      </w:numPr>
      <w:spacing w:before="100" w:after="60"/>
    </w:pPr>
    <w:rPr>
      <w:rFonts w:eastAsia="Times New Roman"/>
      <w:noProof/>
      <w:color w:val="FF0000"/>
      <w:sz w:val="24"/>
      <w:szCs w:val="24"/>
      <w:lang w:val="da-DK"/>
    </w:rPr>
  </w:style>
  <w:style w:type="character" w:customStyle="1" w:styleId="McbngCharChar">
    <w:name w:val="Mục bảng Char Char"/>
    <w:link w:val="Mcbng"/>
    <w:rsid w:val="004435F1"/>
    <w:rPr>
      <w:rFonts w:eastAsia="Times New Roman"/>
      <w:noProof/>
      <w:color w:val="FF0000"/>
      <w:sz w:val="24"/>
      <w:szCs w:val="24"/>
      <w:lang w:val="da-DK" w:eastAsia="en-US"/>
    </w:rPr>
  </w:style>
  <w:style w:type="paragraph" w:customStyle="1" w:styleId="Mcnidungbng">
    <w:name w:val="Mục nội dung bảng"/>
    <w:basedOn w:val="Normal"/>
    <w:link w:val="McnidungbngChar"/>
    <w:rsid w:val="004435F1"/>
    <w:pPr>
      <w:jc w:val="center"/>
    </w:pPr>
    <w:rPr>
      <w:rFonts w:eastAsia="Times New Roman"/>
      <w:noProof/>
      <w:color w:val="FF0000"/>
      <w:sz w:val="22"/>
      <w:lang w:val="da-DK"/>
    </w:rPr>
  </w:style>
  <w:style w:type="character" w:customStyle="1" w:styleId="McnidungbngChar">
    <w:name w:val="Mục nội dung bảng Char"/>
    <w:link w:val="Mcnidungbng"/>
    <w:locked/>
    <w:rsid w:val="004435F1"/>
    <w:rPr>
      <w:rFonts w:eastAsia="Times New Roman"/>
      <w:noProof/>
      <w:color w:val="FF0000"/>
      <w:sz w:val="22"/>
      <w:szCs w:val="22"/>
      <w:lang w:val="da-DK" w:eastAsia="en-US"/>
    </w:rPr>
  </w:style>
  <w:style w:type="paragraph" w:customStyle="1" w:styleId="Stylebulleted">
    <w:name w:val="Style bulleted"/>
    <w:link w:val="StylebulletedChar"/>
    <w:qFormat/>
    <w:rsid w:val="00EF5182"/>
    <w:pPr>
      <w:widowControl w:val="0"/>
      <w:numPr>
        <w:numId w:val="8"/>
      </w:numPr>
      <w:tabs>
        <w:tab w:val="right" w:pos="9072"/>
      </w:tabs>
      <w:spacing w:before="120" w:after="120"/>
      <w:jc w:val="both"/>
    </w:pPr>
    <w:rPr>
      <w:sz w:val="26"/>
      <w:szCs w:val="22"/>
      <w:lang w:eastAsia="en-US"/>
    </w:rPr>
  </w:style>
  <w:style w:type="character" w:customStyle="1" w:styleId="StylebulletedChar">
    <w:name w:val="Style bulleted Char"/>
    <w:link w:val="Stylebulleted"/>
    <w:rsid w:val="00EF5182"/>
    <w:rPr>
      <w:sz w:val="26"/>
      <w:szCs w:val="22"/>
      <w:lang w:eastAsia="en-US"/>
    </w:rPr>
  </w:style>
  <w:style w:type="paragraph" w:styleId="PlainText">
    <w:name w:val="Plain Text"/>
    <w:basedOn w:val="Normal"/>
    <w:link w:val="PlainTextChar"/>
    <w:uiPriority w:val="99"/>
    <w:unhideWhenUsed/>
    <w:rsid w:val="00DB2AD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DB2AD9"/>
    <w:rPr>
      <w:rFonts w:ascii="Consolas" w:eastAsiaTheme="minorHAnsi" w:hAnsi="Consolas" w:cstheme="minorBidi"/>
      <w:sz w:val="21"/>
      <w:szCs w:val="21"/>
      <w:lang w:eastAsia="en-US"/>
    </w:rPr>
  </w:style>
  <w:style w:type="paragraph" w:customStyle="1" w:styleId="-">
    <w:name w:val="-"/>
    <w:basedOn w:val="Normal"/>
    <w:link w:val="-Char"/>
    <w:qFormat/>
    <w:rsid w:val="00F46503"/>
    <w:pPr>
      <w:numPr>
        <w:numId w:val="10"/>
      </w:numPr>
      <w:spacing w:before="120" w:after="120"/>
    </w:pPr>
    <w:rPr>
      <w:rFonts w:eastAsia="Times New Roman"/>
      <w:szCs w:val="26"/>
    </w:rPr>
  </w:style>
  <w:style w:type="character" w:customStyle="1" w:styleId="-Char">
    <w:name w:val="- Char"/>
    <w:link w:val="-"/>
    <w:rsid w:val="00F46503"/>
    <w:rPr>
      <w:rFonts w:eastAsia="Times New Roman"/>
      <w:sz w:val="26"/>
      <w:szCs w:val="26"/>
      <w:lang w:eastAsia="en-US"/>
    </w:rPr>
  </w:style>
  <w:style w:type="paragraph" w:customStyle="1" w:styleId="Bang">
    <w:name w:val="Bang"/>
    <w:basedOn w:val="Normal"/>
    <w:link w:val="BangChar"/>
    <w:autoRedefine/>
    <w:qFormat/>
    <w:rsid w:val="00C901EC"/>
    <w:pPr>
      <w:spacing w:before="240" w:after="120"/>
      <w:jc w:val="center"/>
    </w:pPr>
    <w:rPr>
      <w:rFonts w:eastAsia="Times New Roman"/>
      <w:szCs w:val="26"/>
      <w:lang w:val="de-DE"/>
    </w:rPr>
  </w:style>
  <w:style w:type="character" w:customStyle="1" w:styleId="BangChar">
    <w:name w:val="Bang Char"/>
    <w:link w:val="Bang"/>
    <w:rsid w:val="00C901EC"/>
    <w:rPr>
      <w:rFonts w:eastAsia="Times New Roman"/>
      <w:sz w:val="26"/>
      <w:szCs w:val="26"/>
      <w:lang w:val="de-DE"/>
    </w:rPr>
  </w:style>
  <w:style w:type="paragraph" w:customStyle="1" w:styleId="Char">
    <w:name w:val="Char"/>
    <w:basedOn w:val="Normal"/>
    <w:next w:val="Normal"/>
    <w:autoRedefine/>
    <w:semiHidden/>
    <w:rsid w:val="00CF7BD6"/>
    <w:pPr>
      <w:spacing w:before="120" w:after="120" w:line="312" w:lineRule="auto"/>
      <w:jc w:val="left"/>
    </w:pPr>
    <w:rPr>
      <w:rFonts w:eastAsia="Times New Roman"/>
      <w:sz w:val="28"/>
      <w:szCs w:val="28"/>
    </w:rPr>
  </w:style>
  <w:style w:type="character" w:styleId="Emphasis">
    <w:name w:val="Emphasis"/>
    <w:uiPriority w:val="20"/>
    <w:qFormat/>
    <w:rsid w:val="00857C52"/>
    <w:rPr>
      <w:i/>
      <w:iCs/>
    </w:rPr>
  </w:style>
  <w:style w:type="paragraph" w:styleId="FootnoteText">
    <w:name w:val="footnote text"/>
    <w:basedOn w:val="Normal"/>
    <w:link w:val="FootnoteTextChar"/>
    <w:uiPriority w:val="99"/>
    <w:unhideWhenUsed/>
    <w:rsid w:val="008C1B81"/>
    <w:pPr>
      <w:spacing w:after="200" w:line="276" w:lineRule="auto"/>
      <w:jc w:val="left"/>
    </w:pPr>
    <w:rPr>
      <w:rFonts w:ascii="Calibri" w:hAnsi="Calibri"/>
      <w:sz w:val="20"/>
      <w:szCs w:val="20"/>
    </w:rPr>
  </w:style>
  <w:style w:type="character" w:customStyle="1" w:styleId="FootnoteTextChar">
    <w:name w:val="Footnote Text Char"/>
    <w:basedOn w:val="DefaultParagraphFont"/>
    <w:link w:val="FootnoteText"/>
    <w:uiPriority w:val="99"/>
    <w:rsid w:val="008C1B81"/>
    <w:rPr>
      <w:rFonts w:ascii="Calibri" w:hAnsi="Calibri"/>
      <w:lang w:eastAsia="en-US"/>
    </w:rPr>
  </w:style>
  <w:style w:type="paragraph" w:customStyle="1" w:styleId="BangNDmoi">
    <w:name w:val="Bang ND moi"/>
    <w:basedOn w:val="Normal"/>
    <w:uiPriority w:val="99"/>
    <w:rsid w:val="008C1B81"/>
    <w:pPr>
      <w:spacing w:before="60" w:after="60" w:line="360" w:lineRule="exact"/>
      <w:jc w:val="center"/>
    </w:pPr>
    <w:rPr>
      <w:rFonts w:eastAsia="Times New Roman"/>
      <w:b/>
      <w:szCs w:val="26"/>
      <w:lang w:val="sv-SE" w:eastAsia="vi-VN"/>
    </w:rPr>
  </w:style>
  <w:style w:type="paragraph" w:customStyle="1" w:styleId="msofootercxspmiddle">
    <w:name w:val="msofootercxspmiddle"/>
    <w:basedOn w:val="Normal"/>
    <w:rsid w:val="00A94F5F"/>
    <w:pPr>
      <w:spacing w:before="100" w:beforeAutospacing="1" w:after="100" w:afterAutospacing="1"/>
      <w:jc w:val="left"/>
    </w:pPr>
    <w:rPr>
      <w:rFonts w:eastAsia="Batang"/>
      <w:sz w:val="24"/>
      <w:szCs w:val="24"/>
      <w:lang w:eastAsia="ja-JP"/>
    </w:rPr>
  </w:style>
  <w:style w:type="paragraph" w:customStyle="1" w:styleId="msofootercxsplast">
    <w:name w:val="msofootercxsplast"/>
    <w:basedOn w:val="Normal"/>
    <w:rsid w:val="00A94F5F"/>
    <w:pPr>
      <w:spacing w:before="100" w:beforeAutospacing="1" w:after="100" w:afterAutospacing="1"/>
      <w:jc w:val="left"/>
    </w:pPr>
    <w:rPr>
      <w:rFonts w:eastAsia="Batang"/>
      <w:sz w:val="24"/>
      <w:szCs w:val="24"/>
      <w:lang w:eastAsia="ja-JP"/>
    </w:rPr>
  </w:style>
  <w:style w:type="character" w:styleId="FollowedHyperlink">
    <w:name w:val="FollowedHyperlink"/>
    <w:basedOn w:val="DefaultParagraphFont"/>
    <w:uiPriority w:val="99"/>
    <w:semiHidden/>
    <w:unhideWhenUsed/>
    <w:rsid w:val="007F05FD"/>
    <w:rPr>
      <w:color w:val="800080"/>
      <w:u w:val="single"/>
    </w:rPr>
  </w:style>
  <w:style w:type="paragraph" w:customStyle="1" w:styleId="msonormal0">
    <w:name w:val="msonormal"/>
    <w:basedOn w:val="Normal"/>
    <w:rsid w:val="007F05FD"/>
    <w:pPr>
      <w:spacing w:before="100" w:beforeAutospacing="1" w:after="100" w:afterAutospacing="1"/>
      <w:jc w:val="left"/>
    </w:pPr>
    <w:rPr>
      <w:rFonts w:eastAsia="Times New Roman"/>
      <w:sz w:val="24"/>
      <w:szCs w:val="24"/>
    </w:rPr>
  </w:style>
  <w:style w:type="paragraph" w:customStyle="1" w:styleId="xl97">
    <w:name w:val="xl97"/>
    <w:basedOn w:val="Normal"/>
    <w:rsid w:val="007F05FD"/>
    <w:pPr>
      <w:spacing w:before="100" w:beforeAutospacing="1" w:after="100" w:afterAutospacing="1"/>
      <w:jc w:val="left"/>
      <w:textAlignment w:val="center"/>
    </w:pPr>
    <w:rPr>
      <w:rFonts w:eastAsia="Times New Roman"/>
      <w:sz w:val="24"/>
      <w:szCs w:val="24"/>
    </w:rPr>
  </w:style>
  <w:style w:type="paragraph" w:customStyle="1" w:styleId="xl98">
    <w:name w:val="xl98"/>
    <w:basedOn w:val="Normal"/>
    <w:rsid w:val="007F05FD"/>
    <w:pPr>
      <w:spacing w:before="100" w:beforeAutospacing="1" w:after="100" w:afterAutospacing="1"/>
      <w:jc w:val="left"/>
      <w:textAlignment w:val="center"/>
    </w:pPr>
    <w:rPr>
      <w:rFonts w:eastAsia="Times New Roman"/>
      <w:sz w:val="24"/>
      <w:szCs w:val="24"/>
    </w:rPr>
  </w:style>
  <w:style w:type="paragraph" w:customStyle="1" w:styleId="xl99">
    <w:name w:val="xl99"/>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00">
    <w:name w:val="xl100"/>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i/>
      <w:iCs/>
      <w:sz w:val="24"/>
      <w:szCs w:val="24"/>
    </w:rPr>
  </w:style>
  <w:style w:type="paragraph" w:customStyle="1" w:styleId="xl101">
    <w:name w:val="xl101"/>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i/>
      <w:iCs/>
      <w:sz w:val="24"/>
      <w:szCs w:val="24"/>
    </w:rPr>
  </w:style>
  <w:style w:type="paragraph" w:customStyle="1" w:styleId="xl102">
    <w:name w:val="xl102"/>
    <w:basedOn w:val="Normal"/>
    <w:rsid w:val="007F05FD"/>
    <w:pPr>
      <w:spacing w:before="100" w:beforeAutospacing="1" w:after="100" w:afterAutospacing="1"/>
      <w:jc w:val="left"/>
      <w:textAlignment w:val="center"/>
    </w:pPr>
    <w:rPr>
      <w:rFonts w:eastAsia="Times New Roman"/>
      <w:b/>
      <w:bCs/>
      <w:i/>
      <w:iCs/>
      <w:sz w:val="24"/>
      <w:szCs w:val="24"/>
    </w:rPr>
  </w:style>
  <w:style w:type="paragraph" w:customStyle="1" w:styleId="xl103">
    <w:name w:val="xl103"/>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sz w:val="24"/>
      <w:szCs w:val="24"/>
    </w:rPr>
  </w:style>
  <w:style w:type="paragraph" w:customStyle="1" w:styleId="xl104">
    <w:name w:val="xl104"/>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05">
    <w:name w:val="xl105"/>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06">
    <w:name w:val="xl106"/>
    <w:basedOn w:val="Normal"/>
    <w:rsid w:val="007F05FD"/>
    <w:pPr>
      <w:shd w:val="clear" w:color="000000" w:fill="FFE699"/>
      <w:spacing w:before="100" w:beforeAutospacing="1" w:after="100" w:afterAutospacing="1"/>
      <w:jc w:val="left"/>
      <w:textAlignment w:val="center"/>
    </w:pPr>
    <w:rPr>
      <w:rFonts w:eastAsia="Times New Roman"/>
      <w:sz w:val="24"/>
      <w:szCs w:val="24"/>
    </w:rPr>
  </w:style>
  <w:style w:type="paragraph" w:customStyle="1" w:styleId="xl107">
    <w:name w:val="xl107"/>
    <w:basedOn w:val="Normal"/>
    <w:rsid w:val="007F05F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08">
    <w:name w:val="xl108"/>
    <w:basedOn w:val="Normal"/>
    <w:rsid w:val="007F05F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09">
    <w:name w:val="xl109"/>
    <w:basedOn w:val="Normal"/>
    <w:rsid w:val="007F05FD"/>
    <w:pP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10">
    <w:name w:val="xl110"/>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1">
    <w:name w:val="xl111"/>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2">
    <w:name w:val="xl112"/>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3">
    <w:name w:val="xl113"/>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4">
    <w:name w:val="xl114"/>
    <w:basedOn w:val="Normal"/>
    <w:rsid w:val="007F05F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15">
    <w:name w:val="xl115"/>
    <w:basedOn w:val="Normal"/>
    <w:rsid w:val="007F05FD"/>
    <w:pP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16">
    <w:name w:val="xl116"/>
    <w:basedOn w:val="Normal"/>
    <w:rsid w:val="007F05FD"/>
    <w:pPr>
      <w:spacing w:before="100" w:beforeAutospacing="1" w:after="100" w:afterAutospacing="1"/>
      <w:jc w:val="left"/>
      <w:textAlignment w:val="center"/>
    </w:pPr>
    <w:rPr>
      <w:rFonts w:eastAsia="Times New Roman"/>
      <w:sz w:val="24"/>
      <w:szCs w:val="24"/>
    </w:rPr>
  </w:style>
  <w:style w:type="paragraph" w:customStyle="1" w:styleId="xl117">
    <w:name w:val="xl117"/>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118">
    <w:name w:val="xl118"/>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4"/>
      <w:szCs w:val="24"/>
    </w:rPr>
  </w:style>
  <w:style w:type="paragraph" w:customStyle="1" w:styleId="xl119">
    <w:name w:val="xl119"/>
    <w:basedOn w:val="Normal"/>
    <w:rsid w:val="007F05FD"/>
    <w:pPr>
      <w:pBdr>
        <w:top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20">
    <w:name w:val="xl120"/>
    <w:basedOn w:val="Normal"/>
    <w:rsid w:val="007F05FD"/>
    <w:pPr>
      <w:pBdr>
        <w:top w:val="single" w:sz="4" w:space="0" w:color="auto"/>
        <w:left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21">
    <w:name w:val="xl121"/>
    <w:basedOn w:val="Normal"/>
    <w:rsid w:val="007F05FD"/>
    <w:pPr>
      <w:pBdr>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22">
    <w:name w:val="xl122"/>
    <w:basedOn w:val="Normal"/>
    <w:rsid w:val="007F05FD"/>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23">
    <w:name w:val="xl123"/>
    <w:basedOn w:val="Normal"/>
    <w:rsid w:val="007F05FD"/>
    <w:pPr>
      <w:pBdr>
        <w:top w:val="single" w:sz="4" w:space="0" w:color="auto"/>
        <w:left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24">
    <w:name w:val="xl124"/>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rPr>
  </w:style>
  <w:style w:type="paragraph" w:customStyle="1" w:styleId="xl125">
    <w:name w:val="xl125"/>
    <w:basedOn w:val="Normal"/>
    <w:rsid w:val="007F05FD"/>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26">
    <w:name w:val="xl126"/>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AC149A"/>
      <w:sz w:val="24"/>
      <w:szCs w:val="24"/>
    </w:rPr>
  </w:style>
  <w:style w:type="paragraph" w:customStyle="1" w:styleId="xl127">
    <w:name w:val="xl127"/>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color w:val="AC149A"/>
      <w:sz w:val="24"/>
      <w:szCs w:val="24"/>
    </w:rPr>
  </w:style>
  <w:style w:type="paragraph" w:customStyle="1" w:styleId="xl128">
    <w:name w:val="xl128"/>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29">
    <w:name w:val="xl129"/>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30">
    <w:name w:val="xl130"/>
    <w:basedOn w:val="Normal"/>
    <w:rsid w:val="007F05FD"/>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rPr>
  </w:style>
  <w:style w:type="paragraph" w:customStyle="1" w:styleId="xl131">
    <w:name w:val="xl131"/>
    <w:basedOn w:val="Normal"/>
    <w:rsid w:val="007F05FD"/>
    <w:pPr>
      <w:pBdr>
        <w:top w:val="single" w:sz="4" w:space="0" w:color="auto"/>
        <w:bottom w:val="single" w:sz="4" w:space="0" w:color="auto"/>
      </w:pBdr>
      <w:spacing w:before="100" w:beforeAutospacing="1" w:after="100" w:afterAutospacing="1"/>
      <w:jc w:val="center"/>
      <w:textAlignment w:val="center"/>
    </w:pPr>
    <w:rPr>
      <w:rFonts w:eastAsia="Times New Roman"/>
      <w:sz w:val="24"/>
      <w:szCs w:val="24"/>
    </w:rPr>
  </w:style>
  <w:style w:type="paragraph" w:customStyle="1" w:styleId="xl132">
    <w:name w:val="xl132"/>
    <w:basedOn w:val="Normal"/>
    <w:rsid w:val="007F05F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33">
    <w:name w:val="xl133"/>
    <w:basedOn w:val="Normal"/>
    <w:rsid w:val="007F05FD"/>
    <w:pPr>
      <w:pBdr>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34">
    <w:name w:val="xl134"/>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rPr>
  </w:style>
  <w:style w:type="character" w:customStyle="1" w:styleId="UnresolvedMention1">
    <w:name w:val="Unresolved Mention1"/>
    <w:basedOn w:val="DefaultParagraphFont"/>
    <w:uiPriority w:val="99"/>
    <w:semiHidden/>
    <w:unhideWhenUsed/>
    <w:rsid w:val="00662ED0"/>
    <w:rPr>
      <w:color w:val="605E5C"/>
      <w:shd w:val="clear" w:color="auto" w:fill="E1DFDD"/>
    </w:rPr>
  </w:style>
  <w:style w:type="character" w:customStyle="1" w:styleId="ntitle">
    <w:name w:val="ntitle"/>
    <w:rsid w:val="00021C12"/>
  </w:style>
  <w:style w:type="paragraph" w:customStyle="1" w:styleId="Char1CharCharChar1CharCharChar1CharCharCharCharCharChar1CharCharChar">
    <w:name w:val="Char1 Char Char Char1 Char Char Char1 Char Char Char Char Char Char1 Char Char Char"/>
    <w:basedOn w:val="Normal"/>
    <w:rsid w:val="002B5B77"/>
    <w:pPr>
      <w:spacing w:after="160" w:line="240" w:lineRule="exact"/>
      <w:jc w:val="left"/>
    </w:pPr>
    <w:rPr>
      <w:rFonts w:ascii="Verdana" w:eastAsia="Times New Roman" w:hAnsi="Verdana" w:cs="Verdana"/>
      <w:sz w:val="20"/>
      <w:szCs w:val="20"/>
    </w:rPr>
  </w:style>
  <w:style w:type="paragraph" w:styleId="HTMLPreformatted">
    <w:name w:val="HTML Preformatted"/>
    <w:basedOn w:val="Normal"/>
    <w:link w:val="HTMLPreformattedChar"/>
    <w:uiPriority w:val="99"/>
    <w:semiHidden/>
    <w:unhideWhenUsed/>
    <w:rsid w:val="00210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1006E"/>
    <w:rPr>
      <w:rFonts w:ascii="Courier New" w:eastAsia="Times New Roman" w:hAnsi="Courier New" w:cs="Courier New"/>
      <w:lang w:eastAsia="en-US"/>
    </w:rPr>
  </w:style>
  <w:style w:type="paragraph" w:styleId="ListBullet2">
    <w:name w:val="List Bullet 2"/>
    <w:basedOn w:val="Normal"/>
    <w:rsid w:val="00D63C8D"/>
    <w:pPr>
      <w:numPr>
        <w:numId w:val="43"/>
      </w:numPr>
      <w:tabs>
        <w:tab w:val="left" w:pos="1260"/>
      </w:tabs>
      <w:spacing w:before="120" w:after="120"/>
      <w:jc w:val="left"/>
    </w:pPr>
    <w:rPr>
      <w:rFonts w:eastAsia="Times New Roman"/>
      <w:sz w:val="22"/>
      <w:szCs w:val="24"/>
      <w:lang w:val="vi-VN"/>
    </w:rPr>
  </w:style>
  <w:style w:type="paragraph" w:customStyle="1" w:styleId="bac-bullet03">
    <w:name w:val="bac-bullet03"/>
    <w:basedOn w:val="ListBullet2"/>
    <w:rsid w:val="00D63C8D"/>
    <w:pPr>
      <w:tabs>
        <w:tab w:val="clear" w:pos="1260"/>
        <w:tab w:val="left" w:pos="1120"/>
      </w:tabs>
    </w:pPr>
    <w:rPr>
      <w:sz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9"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35" w:unhideWhenUsed="0" w:qFormat="1"/>
    <w:lsdException w:name="List Number" w:uiPriority="0"/>
    <w:lsdException w:name="List Bullet 2"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20D4"/>
    <w:pPr>
      <w:jc w:val="both"/>
    </w:pPr>
    <w:rPr>
      <w:sz w:val="26"/>
      <w:szCs w:val="22"/>
      <w:lang w:eastAsia="en-US"/>
    </w:rPr>
  </w:style>
  <w:style w:type="paragraph" w:styleId="Heading1">
    <w:name w:val="heading 1"/>
    <w:aliases w:val="HG-Level 1,ch­¬ng Char,Heading,MVA,VN,h1,Heading 11,heading1,proj,proj1,proj5,proj6,proj7,proj8,proj9,proj10,proj11,proj12,proj13,proj14,proj15,proj51,proj61,proj71,proj81,proj91,proj101,proj111,proj121,proj131,proj141,Chuong_TNN,Cha,Chương 1"/>
    <w:basedOn w:val="Normal"/>
    <w:next w:val="Normal"/>
    <w:link w:val="Heading1Char"/>
    <w:uiPriority w:val="9"/>
    <w:qFormat/>
    <w:rsid w:val="00075D0F"/>
    <w:pPr>
      <w:keepNext/>
      <w:spacing w:before="240" w:after="60"/>
      <w:outlineLvl w:val="0"/>
    </w:pPr>
    <w:rPr>
      <w:rFonts w:eastAsia="Times New Roman"/>
      <w:b/>
      <w:bCs/>
      <w:kern w:val="32"/>
      <w:sz w:val="24"/>
      <w:szCs w:val="24"/>
    </w:rPr>
  </w:style>
  <w:style w:type="paragraph" w:styleId="Heading2">
    <w:name w:val="heading 2"/>
    <w:aliases w:val="2 headline,h,Heading 2 Char Char Char,BVI2,Heading 2-BVI,RepHead2,smal-head2"/>
    <w:basedOn w:val="Normal"/>
    <w:next w:val="Normal"/>
    <w:link w:val="Heading2Char"/>
    <w:uiPriority w:val="9"/>
    <w:qFormat/>
    <w:rsid w:val="00075D0F"/>
    <w:pPr>
      <w:keepNext/>
      <w:spacing w:before="240" w:after="60"/>
      <w:outlineLvl w:val="1"/>
    </w:pPr>
    <w:rPr>
      <w:rFonts w:eastAsia="Times New Roman"/>
      <w:b/>
      <w:bCs/>
      <w:iCs/>
      <w:szCs w:val="26"/>
    </w:rPr>
  </w:style>
  <w:style w:type="paragraph" w:styleId="Heading3">
    <w:name w:val="heading 3"/>
    <w:aliases w:val="Heading 31.2.1,CAP3,China3,?? 3"/>
    <w:basedOn w:val="Normal"/>
    <w:next w:val="Normal"/>
    <w:link w:val="Heading3Char"/>
    <w:uiPriority w:val="9"/>
    <w:qFormat/>
    <w:rsid w:val="00267A58"/>
    <w:pPr>
      <w:keepNext/>
      <w:outlineLvl w:val="2"/>
    </w:pPr>
    <w:rPr>
      <w:rFonts w:eastAsia="Times New Roman"/>
      <w:b/>
      <w:bCs/>
      <w:i/>
      <w:szCs w:val="26"/>
      <w:lang w:val="pt-BR"/>
    </w:rPr>
  </w:style>
  <w:style w:type="paragraph" w:styleId="Heading4">
    <w:name w:val="heading 4"/>
    <w:aliases w:val=" Char1,Char1"/>
    <w:basedOn w:val="Normal"/>
    <w:next w:val="Normal"/>
    <w:link w:val="Heading4Char"/>
    <w:qFormat/>
    <w:rsid w:val="00D4740C"/>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D4740C"/>
    <w:pPr>
      <w:spacing w:before="240" w:after="60"/>
      <w:outlineLvl w:val="4"/>
    </w:pPr>
    <w:rPr>
      <w:rFonts w:ascii="Calibri" w:eastAsia="Times New Roman" w:hAnsi="Calibri"/>
      <w:b/>
      <w:bCs/>
      <w:i/>
      <w:iCs/>
      <w:szCs w:val="26"/>
    </w:rPr>
  </w:style>
  <w:style w:type="paragraph" w:styleId="Heading6">
    <w:name w:val="heading 6"/>
    <w:basedOn w:val="Normal"/>
    <w:next w:val="Normal"/>
    <w:link w:val="Heading6Char"/>
    <w:qFormat/>
    <w:rsid w:val="00A17633"/>
    <w:pPr>
      <w:spacing w:before="240" w:after="60"/>
      <w:jc w:val="center"/>
      <w:outlineLvl w:val="5"/>
    </w:pPr>
    <w:rPr>
      <w:rFonts w:eastAsia="Times New Roman"/>
      <w:b/>
      <w:bCs/>
      <w:szCs w:val="26"/>
    </w:rPr>
  </w:style>
  <w:style w:type="paragraph" w:styleId="Heading7">
    <w:name w:val="heading 7"/>
    <w:basedOn w:val="Normal"/>
    <w:next w:val="Normal"/>
    <w:link w:val="Heading7Char"/>
    <w:autoRedefine/>
    <w:qFormat/>
    <w:rsid w:val="00FB03C6"/>
    <w:pPr>
      <w:numPr>
        <w:ilvl w:val="6"/>
      </w:numPr>
      <w:tabs>
        <w:tab w:val="num" w:pos="1311"/>
      </w:tabs>
      <w:spacing w:before="60" w:after="60"/>
      <w:jc w:val="center"/>
      <w:outlineLvl w:val="6"/>
    </w:pPr>
    <w:rPr>
      <w:rFonts w:eastAsia="Times New Roman"/>
      <w:bCs/>
      <w:iCs/>
      <w:szCs w:val="26"/>
    </w:rPr>
  </w:style>
  <w:style w:type="paragraph" w:styleId="Heading8">
    <w:name w:val="heading 8"/>
    <w:basedOn w:val="Normal"/>
    <w:next w:val="Normal"/>
    <w:link w:val="Heading8Char"/>
    <w:uiPriority w:val="9"/>
    <w:qFormat/>
    <w:rsid w:val="00BD4123"/>
    <w:pPr>
      <w:spacing w:before="240" w:after="60"/>
      <w:outlineLvl w:val="7"/>
    </w:pPr>
    <w:rPr>
      <w:rFonts w:ascii="Calibri" w:eastAsia="Times New Roman" w:hAnsi="Calibri"/>
      <w:i/>
      <w:iCs/>
      <w:sz w:val="24"/>
      <w:szCs w:val="24"/>
    </w:rPr>
  </w:style>
  <w:style w:type="paragraph" w:styleId="Heading9">
    <w:name w:val="heading 9"/>
    <w:basedOn w:val="Normal"/>
    <w:next w:val="Normal"/>
    <w:link w:val="Heading9Char"/>
    <w:qFormat/>
    <w:rsid w:val="000D7582"/>
    <w:pPr>
      <w:keepNext/>
      <w:tabs>
        <w:tab w:val="num" w:pos="1584"/>
      </w:tabs>
      <w:overflowPunct w:val="0"/>
      <w:autoSpaceDE w:val="0"/>
      <w:autoSpaceDN w:val="0"/>
      <w:adjustRightInd w:val="0"/>
      <w:spacing w:before="60" w:line="300" w:lineRule="auto"/>
      <w:ind w:left="1584" w:hanging="1584"/>
      <w:textAlignment w:val="baseline"/>
      <w:outlineLvl w:val="8"/>
    </w:pPr>
    <w:rPr>
      <w:rFonts w:ascii=".VnArial" w:eastAsia="Times New Roman" w:hAnsi=".VnArial"/>
      <w:b/>
      <w:sz w:val="25"/>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G-Level 1 Char,ch­¬ng Char Char,Heading Char,MVA Char,VN Char,h1 Char,Heading 11 Char,heading1 Char,proj Char,proj1 Char,proj5 Char,proj6 Char,proj7 Char,proj8 Char,proj9 Char,proj10 Char,proj11 Char,proj12 Char,proj13 Char,proj14 Char"/>
    <w:link w:val="Heading1"/>
    <w:uiPriority w:val="9"/>
    <w:rsid w:val="00075D0F"/>
    <w:rPr>
      <w:rFonts w:eastAsia="Times New Roman"/>
      <w:b/>
      <w:bCs/>
      <w:kern w:val="32"/>
      <w:sz w:val="24"/>
      <w:szCs w:val="24"/>
    </w:rPr>
  </w:style>
  <w:style w:type="character" w:customStyle="1" w:styleId="Heading2Char">
    <w:name w:val="Heading 2 Char"/>
    <w:aliases w:val="2 headline Char,h Char,Heading 2 Char Char Char Char,BVI2 Char,Heading 2-BVI Char,RepHead2 Char,smal-head2 Char"/>
    <w:link w:val="Heading2"/>
    <w:uiPriority w:val="9"/>
    <w:rsid w:val="00075D0F"/>
    <w:rPr>
      <w:rFonts w:eastAsia="Times New Roman"/>
      <w:b/>
      <w:bCs/>
      <w:iCs/>
      <w:sz w:val="26"/>
      <w:szCs w:val="26"/>
    </w:rPr>
  </w:style>
  <w:style w:type="character" w:customStyle="1" w:styleId="Heading3Char">
    <w:name w:val="Heading 3 Char"/>
    <w:aliases w:val="Heading 31.2.1 Char,CAP3 Char,China3 Char,?? 3 Char"/>
    <w:link w:val="Heading3"/>
    <w:uiPriority w:val="9"/>
    <w:rsid w:val="00267A58"/>
    <w:rPr>
      <w:rFonts w:eastAsia="Times New Roman"/>
      <w:b/>
      <w:bCs/>
      <w:i/>
      <w:sz w:val="26"/>
      <w:szCs w:val="26"/>
      <w:lang w:val="pt-BR" w:eastAsia="en-US"/>
    </w:rPr>
  </w:style>
  <w:style w:type="character" w:customStyle="1" w:styleId="Heading4Char">
    <w:name w:val="Heading 4 Char"/>
    <w:aliases w:val=" Char1 Char,Char1 Char"/>
    <w:link w:val="Heading4"/>
    <w:rsid w:val="00D4740C"/>
    <w:rPr>
      <w:rFonts w:ascii="Calibri" w:eastAsia="Times New Roman" w:hAnsi="Calibri" w:cs="Times New Roman"/>
      <w:b/>
      <w:bCs/>
      <w:sz w:val="28"/>
      <w:szCs w:val="28"/>
    </w:rPr>
  </w:style>
  <w:style w:type="character" w:customStyle="1" w:styleId="Heading5Char">
    <w:name w:val="Heading 5 Char"/>
    <w:link w:val="Heading5"/>
    <w:rsid w:val="00D4740C"/>
    <w:rPr>
      <w:rFonts w:ascii="Calibri" w:eastAsia="Times New Roman" w:hAnsi="Calibri" w:cs="Times New Roman"/>
      <w:b/>
      <w:bCs/>
      <w:i/>
      <w:iCs/>
      <w:sz w:val="26"/>
      <w:szCs w:val="26"/>
    </w:rPr>
  </w:style>
  <w:style w:type="character" w:customStyle="1" w:styleId="Heading6Char">
    <w:name w:val="Heading 6 Char"/>
    <w:link w:val="Heading6"/>
    <w:rsid w:val="00A17633"/>
    <w:rPr>
      <w:rFonts w:eastAsia="Times New Roman"/>
      <w:b/>
      <w:bCs/>
      <w:sz w:val="26"/>
      <w:szCs w:val="26"/>
    </w:rPr>
  </w:style>
  <w:style w:type="character" w:customStyle="1" w:styleId="Heading7Char">
    <w:name w:val="Heading 7 Char"/>
    <w:link w:val="Heading7"/>
    <w:rsid w:val="00FB03C6"/>
    <w:rPr>
      <w:rFonts w:eastAsia="Times New Roman"/>
      <w:bCs/>
      <w:iCs/>
      <w:sz w:val="26"/>
      <w:szCs w:val="26"/>
    </w:rPr>
  </w:style>
  <w:style w:type="character" w:customStyle="1" w:styleId="Heading8Char">
    <w:name w:val="Heading 8 Char"/>
    <w:link w:val="Heading8"/>
    <w:uiPriority w:val="9"/>
    <w:rsid w:val="00BD4123"/>
    <w:rPr>
      <w:rFonts w:ascii="Calibri" w:eastAsia="Times New Roman" w:hAnsi="Calibri" w:cs="Times New Roman"/>
      <w:i/>
      <w:iCs/>
      <w:sz w:val="24"/>
      <w:szCs w:val="24"/>
    </w:rPr>
  </w:style>
  <w:style w:type="character" w:customStyle="1" w:styleId="Heading9Char">
    <w:name w:val="Heading 9 Char"/>
    <w:link w:val="Heading9"/>
    <w:rsid w:val="000D7582"/>
    <w:rPr>
      <w:rFonts w:ascii=".VnArial" w:eastAsia="Times New Roman" w:hAnsi=".VnArial"/>
      <w:b/>
      <w:sz w:val="25"/>
      <w:lang w:eastAsia="vi-VN"/>
    </w:rPr>
  </w:style>
  <w:style w:type="paragraph" w:styleId="DocumentMap">
    <w:name w:val="Document Map"/>
    <w:basedOn w:val="Normal"/>
    <w:link w:val="DocumentMapChar"/>
    <w:uiPriority w:val="99"/>
    <w:semiHidden/>
    <w:unhideWhenUsed/>
    <w:rsid w:val="00D4740C"/>
    <w:rPr>
      <w:rFonts w:ascii="Tahoma" w:hAnsi="Tahoma"/>
      <w:sz w:val="16"/>
      <w:szCs w:val="16"/>
    </w:rPr>
  </w:style>
  <w:style w:type="character" w:customStyle="1" w:styleId="DocumentMapChar">
    <w:name w:val="Document Map Char"/>
    <w:link w:val="DocumentMap"/>
    <w:uiPriority w:val="99"/>
    <w:semiHidden/>
    <w:rsid w:val="00D4740C"/>
    <w:rPr>
      <w:rFonts w:ascii="Tahoma" w:hAnsi="Tahoma" w:cs="Tahoma"/>
      <w:sz w:val="16"/>
      <w:szCs w:val="16"/>
    </w:rPr>
  </w:style>
  <w:style w:type="paragraph" w:customStyle="1" w:styleId="Default">
    <w:name w:val="Default"/>
    <w:rsid w:val="007521A0"/>
    <w:pPr>
      <w:autoSpaceDE w:val="0"/>
      <w:autoSpaceDN w:val="0"/>
      <w:adjustRightInd w:val="0"/>
    </w:pPr>
    <w:rPr>
      <w:rFonts w:ascii="Arial" w:eastAsia="Times New Roman" w:hAnsi="Arial" w:cs="Arial"/>
      <w:color w:val="000000"/>
      <w:sz w:val="24"/>
      <w:szCs w:val="24"/>
      <w:lang w:eastAsia="en-US"/>
    </w:rPr>
  </w:style>
  <w:style w:type="paragraph" w:styleId="ListParagraph">
    <w:name w:val="List Paragraph"/>
    <w:aliases w:val="Bảng,CAP 2,Gach -,Gach-,List Paragraph1"/>
    <w:basedOn w:val="Normal"/>
    <w:link w:val="ListParagraphChar"/>
    <w:uiPriority w:val="34"/>
    <w:qFormat/>
    <w:rsid w:val="007521A0"/>
    <w:pPr>
      <w:spacing w:after="120"/>
      <w:ind w:left="720"/>
      <w:contextualSpacing/>
    </w:pPr>
    <w:rPr>
      <w:rFonts w:eastAsia="Arial"/>
      <w:sz w:val="24"/>
      <w:lang w:val="vi-VN"/>
    </w:rPr>
  </w:style>
  <w:style w:type="character" w:customStyle="1" w:styleId="ListParagraphChar">
    <w:name w:val="List Paragraph Char"/>
    <w:aliases w:val="Bảng Char,CAP 2 Char,Gach - Char,Gach- Char,List Paragraph1 Char"/>
    <w:link w:val="ListParagraph"/>
    <w:uiPriority w:val="34"/>
    <w:locked/>
    <w:rsid w:val="00065ECA"/>
    <w:rPr>
      <w:rFonts w:eastAsia="Arial"/>
      <w:sz w:val="24"/>
      <w:szCs w:val="22"/>
      <w:lang w:val="vi-VN" w:eastAsia="en-US"/>
    </w:rPr>
  </w:style>
  <w:style w:type="paragraph" w:styleId="BodyTextIndent">
    <w:name w:val="Body Text Indent"/>
    <w:basedOn w:val="Normal"/>
    <w:link w:val="BodyTextIndentChar"/>
    <w:uiPriority w:val="99"/>
    <w:rsid w:val="00CC3198"/>
    <w:pPr>
      <w:spacing w:before="120" w:after="120"/>
      <w:ind w:firstLine="720"/>
    </w:pPr>
    <w:rPr>
      <w:rFonts w:eastAsia="Times New Roman"/>
      <w:color w:val="0000FF"/>
      <w:sz w:val="28"/>
      <w:szCs w:val="28"/>
    </w:rPr>
  </w:style>
  <w:style w:type="character" w:customStyle="1" w:styleId="BodyTextIndentChar">
    <w:name w:val="Body Text Indent Char"/>
    <w:link w:val="BodyTextIndent"/>
    <w:uiPriority w:val="99"/>
    <w:rsid w:val="00CC3198"/>
    <w:rPr>
      <w:rFonts w:eastAsia="Times New Roman"/>
      <w:color w:val="0000FF"/>
      <w:sz w:val="28"/>
      <w:szCs w:val="28"/>
    </w:rPr>
  </w:style>
  <w:style w:type="paragraph" w:customStyle="1" w:styleId="muc-">
    <w:name w:val="muc -"/>
    <w:basedOn w:val="Normal"/>
    <w:qFormat/>
    <w:rsid w:val="00CC3198"/>
    <w:pPr>
      <w:tabs>
        <w:tab w:val="num" w:pos="0"/>
      </w:tabs>
      <w:ind w:firstLine="170"/>
    </w:pPr>
    <w:rPr>
      <w:rFonts w:ascii="Arial" w:eastAsia="Times New Roman" w:hAnsi="Arial"/>
      <w:szCs w:val="26"/>
    </w:rPr>
  </w:style>
  <w:style w:type="paragraph" w:styleId="BalloonText">
    <w:name w:val="Balloon Text"/>
    <w:basedOn w:val="Normal"/>
    <w:link w:val="BalloonTextChar"/>
    <w:uiPriority w:val="99"/>
    <w:semiHidden/>
    <w:unhideWhenUsed/>
    <w:rsid w:val="00387240"/>
    <w:rPr>
      <w:rFonts w:ascii="Tahoma" w:hAnsi="Tahoma"/>
      <w:sz w:val="16"/>
      <w:szCs w:val="16"/>
    </w:rPr>
  </w:style>
  <w:style w:type="character" w:customStyle="1" w:styleId="BalloonTextChar">
    <w:name w:val="Balloon Text Char"/>
    <w:link w:val="BalloonText"/>
    <w:uiPriority w:val="99"/>
    <w:semiHidden/>
    <w:rsid w:val="00387240"/>
    <w:rPr>
      <w:rFonts w:ascii="Tahoma" w:hAnsi="Tahoma" w:cs="Tahoma"/>
      <w:sz w:val="16"/>
      <w:szCs w:val="16"/>
    </w:rPr>
  </w:style>
  <w:style w:type="paragraph" w:styleId="BodyTextIndent2">
    <w:name w:val="Body Text Indent 2"/>
    <w:basedOn w:val="Normal"/>
    <w:link w:val="BodyTextIndent2Char"/>
    <w:uiPriority w:val="99"/>
    <w:semiHidden/>
    <w:unhideWhenUsed/>
    <w:rsid w:val="00DB67AE"/>
    <w:pPr>
      <w:spacing w:after="120" w:line="480" w:lineRule="auto"/>
      <w:ind w:left="360"/>
    </w:pPr>
  </w:style>
  <w:style w:type="character" w:customStyle="1" w:styleId="BodyTextIndent2Char">
    <w:name w:val="Body Text Indent 2 Char"/>
    <w:link w:val="BodyTextIndent2"/>
    <w:uiPriority w:val="99"/>
    <w:semiHidden/>
    <w:rsid w:val="00DB67AE"/>
    <w:rPr>
      <w:sz w:val="26"/>
      <w:szCs w:val="22"/>
    </w:rPr>
  </w:style>
  <w:style w:type="paragraph" w:styleId="NormalWeb">
    <w:name w:val="Normal (Web)"/>
    <w:basedOn w:val="Normal"/>
    <w:link w:val="NormalWebChar"/>
    <w:uiPriority w:val="99"/>
    <w:rsid w:val="00DB67AE"/>
    <w:pPr>
      <w:spacing w:before="100" w:beforeAutospacing="1" w:after="100" w:afterAutospacing="1"/>
    </w:pPr>
    <w:rPr>
      <w:rFonts w:eastAsia="Times New Roman"/>
      <w:sz w:val="24"/>
      <w:szCs w:val="24"/>
    </w:rPr>
  </w:style>
  <w:style w:type="character" w:customStyle="1" w:styleId="NormalWebChar">
    <w:name w:val="Normal (Web) Char"/>
    <w:link w:val="NormalWeb"/>
    <w:locked/>
    <w:rsid w:val="00F860F0"/>
    <w:rPr>
      <w:rFonts w:eastAsia="Times New Roman"/>
      <w:sz w:val="24"/>
      <w:szCs w:val="24"/>
      <w:lang w:eastAsia="en-US"/>
    </w:rPr>
  </w:style>
  <w:style w:type="paragraph" w:customStyle="1" w:styleId="abc">
    <w:name w:val="abc"/>
    <w:basedOn w:val="Normal"/>
    <w:rsid w:val="00DB67AE"/>
    <w:pPr>
      <w:widowControl w:val="0"/>
      <w:ind w:firstLine="720"/>
    </w:pPr>
    <w:rPr>
      <w:rFonts w:ascii=".VnTime" w:eastAsia="Times New Roman" w:hAnsi=".VnTime"/>
      <w:sz w:val="28"/>
      <w:szCs w:val="20"/>
    </w:rPr>
  </w:style>
  <w:style w:type="paragraph" w:styleId="Footer">
    <w:name w:val="footer"/>
    <w:aliases w:val="BVI-ft"/>
    <w:basedOn w:val="Normal"/>
    <w:link w:val="FooterChar"/>
    <w:unhideWhenUsed/>
    <w:rsid w:val="00AC5E28"/>
    <w:pPr>
      <w:tabs>
        <w:tab w:val="center" w:pos="4680"/>
        <w:tab w:val="right" w:pos="9360"/>
      </w:tabs>
    </w:pPr>
    <w:rPr>
      <w:rFonts w:eastAsia="Arial"/>
      <w:lang w:val="vi-VN"/>
    </w:rPr>
  </w:style>
  <w:style w:type="character" w:customStyle="1" w:styleId="FooterChar">
    <w:name w:val="Footer Char"/>
    <w:aliases w:val="BVI-ft Char"/>
    <w:link w:val="Footer"/>
    <w:rsid w:val="00AC5E28"/>
    <w:rPr>
      <w:rFonts w:eastAsia="Arial"/>
      <w:sz w:val="26"/>
      <w:szCs w:val="22"/>
      <w:lang w:val="vi-VN"/>
    </w:rPr>
  </w:style>
  <w:style w:type="paragraph" w:customStyle="1" w:styleId="Muc">
    <w:name w:val="Muc +"/>
    <w:basedOn w:val="Normal"/>
    <w:rsid w:val="00AC5E28"/>
    <w:pPr>
      <w:tabs>
        <w:tab w:val="num" w:pos="1003"/>
      </w:tabs>
      <w:ind w:left="1003" w:hanging="283"/>
    </w:pPr>
    <w:rPr>
      <w:rFonts w:ascii="Arial" w:eastAsia="Times New Roman" w:hAnsi="Arial"/>
      <w:szCs w:val="26"/>
      <w:lang w:val="fr-FR"/>
    </w:rPr>
  </w:style>
  <w:style w:type="paragraph" w:styleId="BodyText">
    <w:name w:val="Body Text"/>
    <w:basedOn w:val="Normal"/>
    <w:link w:val="BodyTextChar"/>
    <w:uiPriority w:val="99"/>
    <w:unhideWhenUsed/>
    <w:rsid w:val="0048543D"/>
    <w:pPr>
      <w:spacing w:after="120"/>
    </w:pPr>
    <w:rPr>
      <w:rFonts w:eastAsia="Arial"/>
      <w:lang w:val="vi-VN"/>
    </w:rPr>
  </w:style>
  <w:style w:type="character" w:customStyle="1" w:styleId="BodyTextChar">
    <w:name w:val="Body Text Char"/>
    <w:link w:val="BodyText"/>
    <w:uiPriority w:val="99"/>
    <w:rsid w:val="0048543D"/>
    <w:rPr>
      <w:rFonts w:eastAsia="Arial"/>
      <w:sz w:val="26"/>
      <w:szCs w:val="22"/>
      <w:lang w:val="vi-VN"/>
    </w:rPr>
  </w:style>
  <w:style w:type="paragraph" w:customStyle="1" w:styleId="phn">
    <w:name w:val="phÇn"/>
    <w:basedOn w:val="Normal"/>
    <w:rsid w:val="0048543D"/>
    <w:pPr>
      <w:spacing w:before="120" w:after="120"/>
      <w:jc w:val="center"/>
    </w:pPr>
    <w:rPr>
      <w:rFonts w:ascii=".VnHelvetInsH" w:eastAsia="Times New Roman" w:hAnsi=".VnHelvetInsH"/>
      <w:sz w:val="28"/>
      <w:szCs w:val="24"/>
    </w:rPr>
  </w:style>
  <w:style w:type="paragraph" w:customStyle="1" w:styleId="a">
    <w:name w:val="Ｔｅｘｔ"/>
    <w:basedOn w:val="Normal"/>
    <w:link w:val="a0"/>
    <w:uiPriority w:val="99"/>
    <w:rsid w:val="0048543D"/>
    <w:pPr>
      <w:widowControl w:val="0"/>
    </w:pPr>
    <w:rPr>
      <w:rFonts w:ascii="Century" w:eastAsia="MS Mincho" w:hAnsi="Century"/>
      <w:kern w:val="2"/>
      <w:sz w:val="21"/>
      <w:szCs w:val="21"/>
    </w:rPr>
  </w:style>
  <w:style w:type="character" w:customStyle="1" w:styleId="a0">
    <w:name w:val="Ｔｅｘｔ (文字)"/>
    <w:link w:val="a"/>
    <w:uiPriority w:val="99"/>
    <w:locked/>
    <w:rsid w:val="0048543D"/>
    <w:rPr>
      <w:rFonts w:ascii="Century" w:eastAsia="MS Mincho" w:hAnsi="Century"/>
      <w:kern w:val="2"/>
      <w:sz w:val="21"/>
      <w:szCs w:val="21"/>
    </w:rPr>
  </w:style>
  <w:style w:type="paragraph" w:styleId="NoSpacing">
    <w:name w:val="No Spacing"/>
    <w:uiPriority w:val="1"/>
    <w:qFormat/>
    <w:rsid w:val="00D067B3"/>
    <w:rPr>
      <w:sz w:val="26"/>
      <w:szCs w:val="22"/>
      <w:lang w:eastAsia="en-US"/>
    </w:rPr>
  </w:style>
  <w:style w:type="paragraph" w:styleId="BodyText2">
    <w:name w:val="Body Text 2"/>
    <w:basedOn w:val="Normal"/>
    <w:link w:val="BodyText2Char"/>
    <w:uiPriority w:val="99"/>
    <w:unhideWhenUsed/>
    <w:rsid w:val="00BD4123"/>
    <w:pPr>
      <w:spacing w:after="120" w:line="480" w:lineRule="auto"/>
    </w:pPr>
    <w:rPr>
      <w:rFonts w:eastAsia="Arial"/>
      <w:lang w:val="vi-VN"/>
    </w:rPr>
  </w:style>
  <w:style w:type="character" w:customStyle="1" w:styleId="BodyText2Char">
    <w:name w:val="Body Text 2 Char"/>
    <w:link w:val="BodyText2"/>
    <w:uiPriority w:val="99"/>
    <w:rsid w:val="00BD4123"/>
    <w:rPr>
      <w:rFonts w:eastAsia="Arial"/>
      <w:sz w:val="26"/>
      <w:szCs w:val="22"/>
      <w:lang w:val="vi-VN"/>
    </w:rPr>
  </w:style>
  <w:style w:type="paragraph" w:customStyle="1" w:styleId="muc0">
    <w:name w:val="muc +"/>
    <w:basedOn w:val="Normal"/>
    <w:qFormat/>
    <w:rsid w:val="00BD4123"/>
    <w:pPr>
      <w:tabs>
        <w:tab w:val="left" w:pos="0"/>
        <w:tab w:val="left" w:pos="450"/>
      </w:tabs>
      <w:spacing w:before="20" w:after="60"/>
      <w:ind w:right="-29" w:firstLine="446"/>
    </w:pPr>
    <w:rPr>
      <w:rFonts w:ascii=".VnTime" w:eastAsia="Times New Roman" w:hAnsi=".VnTime"/>
      <w:sz w:val="28"/>
      <w:szCs w:val="24"/>
      <w:lang w:val="de-DE"/>
    </w:rPr>
  </w:style>
  <w:style w:type="paragraph" w:customStyle="1" w:styleId="Muc-0">
    <w:name w:val="Muc -"/>
    <w:basedOn w:val="Heading8"/>
    <w:qFormat/>
    <w:rsid w:val="00BD4123"/>
    <w:pPr>
      <w:tabs>
        <w:tab w:val="left" w:pos="426"/>
        <w:tab w:val="num" w:pos="983"/>
      </w:tabs>
      <w:spacing w:before="40" w:line="300" w:lineRule="auto"/>
      <w:ind w:left="983" w:hanging="283"/>
    </w:pPr>
    <w:rPr>
      <w:rFonts w:ascii=".VnTime" w:hAnsi=".VnTime"/>
      <w:i w:val="0"/>
      <w:spacing w:val="-2"/>
      <w:sz w:val="28"/>
      <w:lang w:val="fr-FR"/>
    </w:rPr>
  </w:style>
  <w:style w:type="paragraph" w:customStyle="1" w:styleId="bac-caption">
    <w:name w:val="bac-caption"/>
    <w:link w:val="bac-captionChar"/>
    <w:rsid w:val="00BD4123"/>
    <w:pPr>
      <w:keepLines/>
      <w:widowControl w:val="0"/>
      <w:spacing w:before="120" w:after="120"/>
      <w:jc w:val="center"/>
    </w:pPr>
    <w:rPr>
      <w:rFonts w:ascii="Arial" w:eastAsia="MS Mincho" w:hAnsi="Arial"/>
      <w:b/>
      <w:bCs/>
      <w:szCs w:val="22"/>
      <w:lang w:val="vi-VN" w:eastAsia="en-US"/>
    </w:rPr>
  </w:style>
  <w:style w:type="character" w:customStyle="1" w:styleId="bac-captionChar">
    <w:name w:val="bac-caption Char"/>
    <w:link w:val="bac-caption"/>
    <w:rsid w:val="00BD4123"/>
    <w:rPr>
      <w:rFonts w:ascii="Arial" w:eastAsia="MS Mincho" w:hAnsi="Arial"/>
      <w:b/>
      <w:bCs/>
      <w:szCs w:val="22"/>
      <w:lang w:val="vi-VN" w:eastAsia="en-US" w:bidi="ar-SA"/>
    </w:rPr>
  </w:style>
  <w:style w:type="paragraph" w:styleId="BlockText">
    <w:name w:val="Block Text"/>
    <w:basedOn w:val="Normal"/>
    <w:rsid w:val="001E0B06"/>
    <w:pPr>
      <w:ind w:left="-720" w:right="-720"/>
    </w:pPr>
    <w:rPr>
      <w:rFonts w:ascii=".VnTime" w:eastAsia="Times New Roman" w:hAnsi=".VnTime"/>
      <w:b/>
      <w:sz w:val="28"/>
      <w:szCs w:val="20"/>
    </w:rPr>
  </w:style>
  <w:style w:type="paragraph" w:customStyle="1" w:styleId="CharCharCharChar">
    <w:name w:val="Char Char Char Char"/>
    <w:next w:val="Normal"/>
    <w:autoRedefine/>
    <w:rsid w:val="00DB5E78"/>
    <w:pPr>
      <w:spacing w:after="160" w:line="240" w:lineRule="exact"/>
      <w:jc w:val="both"/>
    </w:pPr>
    <w:rPr>
      <w:rFonts w:eastAsia="Times New Roman"/>
      <w:sz w:val="28"/>
      <w:szCs w:val="22"/>
      <w:lang w:eastAsia="en-US"/>
    </w:rPr>
  </w:style>
  <w:style w:type="paragraph" w:styleId="TOC3">
    <w:name w:val="toc 3"/>
    <w:basedOn w:val="Normal"/>
    <w:next w:val="Normal"/>
    <w:autoRedefine/>
    <w:uiPriority w:val="39"/>
    <w:rsid w:val="00CD7C76"/>
    <w:pPr>
      <w:tabs>
        <w:tab w:val="right" w:leader="dot" w:pos="9214"/>
        <w:tab w:val="right" w:leader="dot" w:pos="9269"/>
      </w:tabs>
      <w:spacing w:line="24" w:lineRule="atLeast"/>
    </w:pPr>
    <w:rPr>
      <w:rFonts w:eastAsia="Times New Roman"/>
      <w:i/>
      <w:noProof/>
      <w:color w:val="FF0000"/>
      <w:szCs w:val="26"/>
      <w:lang w:val="fr-FR"/>
    </w:rPr>
  </w:style>
  <w:style w:type="character" w:styleId="Hyperlink">
    <w:name w:val="Hyperlink"/>
    <w:uiPriority w:val="99"/>
    <w:rsid w:val="000F5DF4"/>
    <w:rPr>
      <w:color w:val="0000FF"/>
      <w:u w:val="single"/>
    </w:rPr>
  </w:style>
  <w:style w:type="paragraph" w:customStyle="1" w:styleId="CM137">
    <w:name w:val="CM137"/>
    <w:basedOn w:val="Normal"/>
    <w:next w:val="Normal"/>
    <w:rsid w:val="0058259F"/>
    <w:pPr>
      <w:widowControl w:val="0"/>
      <w:autoSpaceDE w:val="0"/>
      <w:autoSpaceDN w:val="0"/>
      <w:adjustRightInd w:val="0"/>
      <w:spacing w:after="108"/>
    </w:pPr>
    <w:rPr>
      <w:rFonts w:ascii="Helvetica" w:eastAsia="Times New Roman" w:hAnsi="Helvetica" w:cs="Helvetica"/>
      <w:sz w:val="24"/>
      <w:szCs w:val="24"/>
    </w:rPr>
  </w:style>
  <w:style w:type="paragraph" w:customStyle="1" w:styleId="CharCharCharCharCharCharChar">
    <w:name w:val="Char Char Char Char Char Char Char"/>
    <w:basedOn w:val="Normal"/>
    <w:rsid w:val="00C36B09"/>
    <w:rPr>
      <w:rFonts w:ascii="Arial" w:eastAsia="Times New Roman" w:hAnsi="Arial"/>
      <w:sz w:val="22"/>
      <w:szCs w:val="20"/>
      <w:lang w:val="en-AU"/>
    </w:rPr>
  </w:style>
  <w:style w:type="paragraph" w:customStyle="1" w:styleId="StyleStyleCaption14ptBoldNotItalicCenteredBefore6p">
    <w:name w:val="Style Style Caption + 14 pt Bold Not Italic Centered + Before:  6 p..."/>
    <w:basedOn w:val="Normal"/>
    <w:rsid w:val="002A6F66"/>
    <w:pPr>
      <w:spacing w:before="120" w:after="120"/>
      <w:jc w:val="center"/>
    </w:pPr>
    <w:rPr>
      <w:rFonts w:ascii=".VnTime" w:eastAsia="Times New Roman" w:hAnsi=".VnTime"/>
      <w:b/>
      <w:bCs/>
      <w:sz w:val="28"/>
      <w:szCs w:val="20"/>
    </w:rPr>
  </w:style>
  <w:style w:type="paragraph" w:customStyle="1" w:styleId="cvbody">
    <w:name w:val="cvbody"/>
    <w:basedOn w:val="Normal"/>
    <w:rsid w:val="002A6F66"/>
    <w:pPr>
      <w:spacing w:before="120" w:after="120"/>
    </w:pPr>
    <w:rPr>
      <w:rFonts w:ascii=".VnTime" w:eastAsia="Times New Roman" w:hAnsi=".VnTime"/>
      <w:snapToGrid w:val="0"/>
      <w:sz w:val="28"/>
      <w:szCs w:val="20"/>
    </w:rPr>
  </w:style>
  <w:style w:type="paragraph" w:styleId="ListNumber">
    <w:name w:val="List Number"/>
    <w:basedOn w:val="Normal"/>
    <w:rsid w:val="002A6F66"/>
    <w:pPr>
      <w:tabs>
        <w:tab w:val="num" w:pos="360"/>
        <w:tab w:val="left" w:pos="1440"/>
      </w:tabs>
      <w:spacing w:before="60"/>
      <w:ind w:left="360" w:hanging="360"/>
    </w:pPr>
    <w:rPr>
      <w:rFonts w:ascii=".VnTime" w:eastAsia="Times New Roman" w:hAnsi=".VnTime"/>
      <w:sz w:val="28"/>
      <w:szCs w:val="20"/>
    </w:rPr>
  </w:style>
  <w:style w:type="paragraph" w:customStyle="1" w:styleId="StyleCaption14ptBoldNotItalicCentered">
    <w:name w:val="Style Caption + 14 pt Bold Not Italic Centered"/>
    <w:basedOn w:val="Caption"/>
    <w:rsid w:val="002A6F66"/>
    <w:pPr>
      <w:spacing w:before="120" w:after="120"/>
      <w:jc w:val="center"/>
    </w:pPr>
    <w:rPr>
      <w:rFonts w:ascii=".VnTime" w:eastAsia="Times New Roman" w:hAnsi=".VnTime"/>
      <w:sz w:val="28"/>
    </w:rPr>
  </w:style>
  <w:style w:type="paragraph" w:styleId="Caption">
    <w:name w:val="caption"/>
    <w:basedOn w:val="Normal"/>
    <w:next w:val="Normal"/>
    <w:uiPriority w:val="35"/>
    <w:qFormat/>
    <w:rsid w:val="002A6F66"/>
    <w:rPr>
      <w:b/>
      <w:bCs/>
      <w:sz w:val="20"/>
      <w:szCs w:val="20"/>
    </w:rPr>
  </w:style>
  <w:style w:type="character" w:styleId="Strong">
    <w:name w:val="Strong"/>
    <w:uiPriority w:val="22"/>
    <w:qFormat/>
    <w:rsid w:val="00C10A30"/>
    <w:rPr>
      <w:b/>
      <w:bCs/>
    </w:rPr>
  </w:style>
  <w:style w:type="paragraph" w:customStyle="1" w:styleId="CharCharCharChar0">
    <w:name w:val="Char Char Char Char"/>
    <w:basedOn w:val="Normal"/>
    <w:rsid w:val="00A26DB6"/>
    <w:pPr>
      <w:spacing w:after="160" w:line="240" w:lineRule="exact"/>
    </w:pPr>
    <w:rPr>
      <w:rFonts w:ascii="Tahoma" w:eastAsia="PMingLiU" w:hAnsi="Tahoma"/>
      <w:sz w:val="20"/>
      <w:szCs w:val="20"/>
    </w:rPr>
  </w:style>
  <w:style w:type="paragraph" w:styleId="BodyTextIndent3">
    <w:name w:val="Body Text Indent 3"/>
    <w:basedOn w:val="Normal"/>
    <w:link w:val="BodyTextIndent3Char"/>
    <w:rsid w:val="00572DF7"/>
    <w:pPr>
      <w:spacing w:after="120"/>
      <w:ind w:left="360"/>
    </w:pPr>
    <w:rPr>
      <w:rFonts w:eastAsia="Times New Roman"/>
      <w:sz w:val="16"/>
      <w:szCs w:val="16"/>
    </w:rPr>
  </w:style>
  <w:style w:type="character" w:customStyle="1" w:styleId="BodyTextIndent3Char">
    <w:name w:val="Body Text Indent 3 Char"/>
    <w:link w:val="BodyTextIndent3"/>
    <w:rsid w:val="00572DF7"/>
    <w:rPr>
      <w:rFonts w:eastAsia="Times New Roman"/>
      <w:sz w:val="16"/>
      <w:szCs w:val="16"/>
    </w:rPr>
  </w:style>
  <w:style w:type="character" w:customStyle="1" w:styleId="Heading3CharCharCharCharCharChar">
    <w:name w:val="Heading 3 Char Char Char Char Char Char"/>
    <w:aliases w:val="Heading 3 Char Char Char Char Char1"/>
    <w:rsid w:val="00572DF7"/>
    <w:rPr>
      <w:rFonts w:ascii="Times New Roman" w:hAnsi="Times New Roman" w:cs="Times New Roman"/>
      <w:i/>
      <w:sz w:val="26"/>
    </w:rPr>
  </w:style>
  <w:style w:type="table" w:styleId="TableGrid">
    <w:name w:val="Table Grid"/>
    <w:basedOn w:val="TableNormal"/>
    <w:uiPriority w:val="59"/>
    <w:rsid w:val="009C0CE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E843D9"/>
    <w:pPr>
      <w:tabs>
        <w:tab w:val="left" w:pos="567"/>
        <w:tab w:val="right" w:leader="dot" w:pos="9269"/>
      </w:tabs>
    </w:pPr>
  </w:style>
  <w:style w:type="paragraph" w:styleId="Header">
    <w:name w:val="header"/>
    <w:aliases w:val=" Char,Char11,Char111"/>
    <w:basedOn w:val="Normal"/>
    <w:link w:val="HeaderChar"/>
    <w:unhideWhenUsed/>
    <w:rsid w:val="0094069B"/>
    <w:pPr>
      <w:tabs>
        <w:tab w:val="center" w:pos="4680"/>
        <w:tab w:val="right" w:pos="9360"/>
      </w:tabs>
    </w:pPr>
  </w:style>
  <w:style w:type="character" w:customStyle="1" w:styleId="HeaderChar">
    <w:name w:val="Header Char"/>
    <w:aliases w:val=" Char Char,Char11 Char,Char111 Char"/>
    <w:link w:val="Header"/>
    <w:rsid w:val="0094069B"/>
    <w:rPr>
      <w:sz w:val="26"/>
      <w:szCs w:val="22"/>
    </w:rPr>
  </w:style>
  <w:style w:type="character" w:customStyle="1" w:styleId="A4">
    <w:name w:val="A4"/>
    <w:rsid w:val="00F05DA8"/>
    <w:rPr>
      <w:rFonts w:cs="Arial"/>
      <w:color w:val="000000"/>
      <w:sz w:val="22"/>
      <w:szCs w:val="22"/>
    </w:rPr>
  </w:style>
  <w:style w:type="paragraph" w:styleId="TOCHeading">
    <w:name w:val="TOC Heading"/>
    <w:basedOn w:val="Heading1"/>
    <w:next w:val="Normal"/>
    <w:uiPriority w:val="39"/>
    <w:qFormat/>
    <w:rsid w:val="00DC0038"/>
    <w:pPr>
      <w:keepLines/>
      <w:spacing w:before="480" w:after="0" w:line="276" w:lineRule="auto"/>
      <w:outlineLvl w:val="9"/>
    </w:pPr>
    <w:rPr>
      <w:rFonts w:ascii="Cambria" w:hAnsi="Cambria"/>
      <w:color w:val="365F91"/>
      <w:kern w:val="0"/>
      <w:sz w:val="28"/>
      <w:szCs w:val="28"/>
    </w:rPr>
  </w:style>
  <w:style w:type="paragraph" w:styleId="TOC2">
    <w:name w:val="toc 2"/>
    <w:basedOn w:val="Normal"/>
    <w:next w:val="Normal"/>
    <w:autoRedefine/>
    <w:uiPriority w:val="39"/>
    <w:unhideWhenUsed/>
    <w:rsid w:val="00DE3292"/>
    <w:pPr>
      <w:tabs>
        <w:tab w:val="left" w:pos="567"/>
        <w:tab w:val="right" w:leader="dot" w:pos="9269"/>
      </w:tabs>
      <w:spacing w:line="24" w:lineRule="atLeast"/>
    </w:pPr>
    <w:rPr>
      <w:noProof/>
      <w:color w:val="FF0000"/>
      <w:szCs w:val="26"/>
    </w:rPr>
  </w:style>
  <w:style w:type="paragraph" w:customStyle="1" w:styleId="xl46">
    <w:name w:val="xl46"/>
    <w:basedOn w:val="Normal"/>
    <w:rsid w:val="00024A25"/>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jc w:val="center"/>
    </w:pPr>
    <w:rPr>
      <w:rFonts w:ascii=".VnTime" w:eastAsia="Times New Roman" w:hAnsi=".VnTime"/>
      <w:b/>
      <w:bCs/>
      <w:i/>
      <w:iCs/>
      <w:szCs w:val="26"/>
    </w:rPr>
  </w:style>
  <w:style w:type="paragraph" w:customStyle="1" w:styleId="CharCharCharCharCharCharCharCharChar">
    <w:name w:val="Char Char Char Char Char Char Char Char Char"/>
    <w:basedOn w:val="Normal"/>
    <w:semiHidden/>
    <w:rsid w:val="00A255CD"/>
    <w:pPr>
      <w:spacing w:after="160" w:line="240" w:lineRule="exact"/>
    </w:pPr>
    <w:rPr>
      <w:rFonts w:ascii="Arial" w:eastAsia="Times New Roman" w:hAnsi="Arial" w:cs="Arial"/>
      <w:sz w:val="22"/>
    </w:rPr>
  </w:style>
  <w:style w:type="paragraph" w:styleId="TOC4">
    <w:name w:val="toc 4"/>
    <w:basedOn w:val="Normal"/>
    <w:next w:val="Normal"/>
    <w:autoRedefine/>
    <w:uiPriority w:val="39"/>
    <w:unhideWhenUsed/>
    <w:rsid w:val="009E5694"/>
    <w:pPr>
      <w:spacing w:after="100" w:line="276" w:lineRule="auto"/>
      <w:ind w:left="660"/>
    </w:pPr>
    <w:rPr>
      <w:rFonts w:ascii="Calibri" w:eastAsia="Times New Roman" w:hAnsi="Calibri"/>
      <w:sz w:val="22"/>
    </w:rPr>
  </w:style>
  <w:style w:type="paragraph" w:styleId="TOC5">
    <w:name w:val="toc 5"/>
    <w:basedOn w:val="Normal"/>
    <w:next w:val="Normal"/>
    <w:autoRedefine/>
    <w:uiPriority w:val="39"/>
    <w:unhideWhenUsed/>
    <w:rsid w:val="009E5694"/>
    <w:pPr>
      <w:spacing w:after="100" w:line="276" w:lineRule="auto"/>
      <w:ind w:left="880"/>
    </w:pPr>
    <w:rPr>
      <w:rFonts w:ascii="Calibri" w:eastAsia="Times New Roman" w:hAnsi="Calibri"/>
      <w:sz w:val="22"/>
    </w:rPr>
  </w:style>
  <w:style w:type="paragraph" w:styleId="TOC6">
    <w:name w:val="toc 6"/>
    <w:basedOn w:val="Normal"/>
    <w:next w:val="Normal"/>
    <w:autoRedefine/>
    <w:uiPriority w:val="39"/>
    <w:unhideWhenUsed/>
    <w:rsid w:val="009E5694"/>
    <w:pPr>
      <w:spacing w:after="100" w:line="276" w:lineRule="auto"/>
      <w:ind w:left="1100"/>
    </w:pPr>
    <w:rPr>
      <w:rFonts w:ascii="Calibri" w:eastAsia="Times New Roman" w:hAnsi="Calibri"/>
      <w:sz w:val="22"/>
    </w:rPr>
  </w:style>
  <w:style w:type="paragraph" w:styleId="TOC7">
    <w:name w:val="toc 7"/>
    <w:basedOn w:val="Normal"/>
    <w:next w:val="Normal"/>
    <w:autoRedefine/>
    <w:uiPriority w:val="39"/>
    <w:unhideWhenUsed/>
    <w:rsid w:val="009E5694"/>
    <w:pPr>
      <w:spacing w:after="100" w:line="276" w:lineRule="auto"/>
      <w:ind w:left="1320"/>
    </w:pPr>
    <w:rPr>
      <w:rFonts w:ascii="Calibri" w:eastAsia="Times New Roman" w:hAnsi="Calibri"/>
      <w:sz w:val="22"/>
    </w:rPr>
  </w:style>
  <w:style w:type="paragraph" w:styleId="TOC8">
    <w:name w:val="toc 8"/>
    <w:basedOn w:val="Normal"/>
    <w:next w:val="Normal"/>
    <w:autoRedefine/>
    <w:uiPriority w:val="39"/>
    <w:unhideWhenUsed/>
    <w:rsid w:val="009E5694"/>
    <w:pPr>
      <w:spacing w:after="100" w:line="276" w:lineRule="auto"/>
      <w:ind w:left="1540"/>
    </w:pPr>
    <w:rPr>
      <w:rFonts w:ascii="Calibri" w:eastAsia="Times New Roman" w:hAnsi="Calibri"/>
      <w:sz w:val="22"/>
    </w:rPr>
  </w:style>
  <w:style w:type="paragraph" w:styleId="TOC9">
    <w:name w:val="toc 9"/>
    <w:basedOn w:val="Normal"/>
    <w:next w:val="Normal"/>
    <w:autoRedefine/>
    <w:uiPriority w:val="39"/>
    <w:unhideWhenUsed/>
    <w:rsid w:val="009E5694"/>
    <w:pPr>
      <w:spacing w:after="100" w:line="276" w:lineRule="auto"/>
      <w:ind w:left="1760"/>
    </w:pPr>
    <w:rPr>
      <w:rFonts w:ascii="Calibri" w:eastAsia="Times New Roman" w:hAnsi="Calibri"/>
      <w:sz w:val="22"/>
    </w:rPr>
  </w:style>
  <w:style w:type="paragraph" w:customStyle="1" w:styleId="BodyText22">
    <w:name w:val="Body Text 22"/>
    <w:basedOn w:val="Normal"/>
    <w:rsid w:val="004929D3"/>
    <w:pPr>
      <w:spacing w:after="120"/>
      <w:ind w:firstLine="720"/>
    </w:pPr>
    <w:rPr>
      <w:rFonts w:ascii=".VnArial Narrow" w:eastAsia="Times New Roman" w:hAnsi=".VnArial Narrow"/>
      <w:sz w:val="28"/>
      <w:szCs w:val="26"/>
      <w:lang w:val="en-GB"/>
    </w:rPr>
  </w:style>
  <w:style w:type="paragraph" w:customStyle="1" w:styleId="StyleHeading2VnTime14pt">
    <w:name w:val="Style Heading 2 + .VnTime 14 pt"/>
    <w:basedOn w:val="Heading2"/>
    <w:rsid w:val="000D7582"/>
    <w:pPr>
      <w:numPr>
        <w:ilvl w:val="1"/>
      </w:numPr>
      <w:tabs>
        <w:tab w:val="num" w:pos="737"/>
      </w:tabs>
      <w:overflowPunct w:val="0"/>
      <w:autoSpaceDE w:val="0"/>
      <w:autoSpaceDN w:val="0"/>
      <w:adjustRightInd w:val="0"/>
      <w:spacing w:before="120" w:after="0" w:line="300" w:lineRule="auto"/>
      <w:ind w:left="737" w:hanging="737"/>
      <w:textAlignment w:val="baseline"/>
    </w:pPr>
    <w:rPr>
      <w:rFonts w:ascii=".VnTime" w:hAnsi=".VnTime"/>
      <w:iCs w:val="0"/>
      <w:szCs w:val="20"/>
      <w:lang w:eastAsia="vi-VN"/>
    </w:rPr>
  </w:style>
  <w:style w:type="paragraph" w:customStyle="1" w:styleId="StyleCaptionCentered">
    <w:name w:val="Style Caption + Centered"/>
    <w:basedOn w:val="Caption"/>
    <w:rsid w:val="000D7582"/>
    <w:pPr>
      <w:overflowPunct w:val="0"/>
      <w:autoSpaceDE w:val="0"/>
      <w:autoSpaceDN w:val="0"/>
      <w:adjustRightInd w:val="0"/>
      <w:spacing w:after="60" w:line="300" w:lineRule="auto"/>
      <w:jc w:val="center"/>
      <w:textAlignment w:val="baseline"/>
    </w:pPr>
    <w:rPr>
      <w:rFonts w:ascii=".VnTime" w:eastAsia="Times New Roman" w:hAnsi=".VnTime"/>
      <w:i/>
      <w:iCs/>
      <w:sz w:val="25"/>
      <w:lang w:val="en-GB" w:eastAsia="vi-VN"/>
    </w:rPr>
  </w:style>
  <w:style w:type="character" w:customStyle="1" w:styleId="hps">
    <w:name w:val="hps"/>
    <w:rsid w:val="00310E08"/>
    <w:rPr>
      <w:rFonts w:cs="Times New Roman"/>
    </w:rPr>
  </w:style>
  <w:style w:type="paragraph" w:customStyle="1" w:styleId="11">
    <w:name w:val="1.1"/>
    <w:basedOn w:val="Heading2"/>
    <w:qFormat/>
    <w:rsid w:val="00310E08"/>
    <w:pPr>
      <w:widowControl w:val="0"/>
      <w:spacing w:before="120" w:after="0"/>
    </w:pPr>
    <w:rPr>
      <w:iCs w:val="0"/>
      <w:kern w:val="32"/>
      <w:lang w:val="pt-BR"/>
    </w:rPr>
  </w:style>
  <w:style w:type="paragraph" w:customStyle="1" w:styleId="CharCharCharCharCharCharChar0">
    <w:name w:val="Char Char Char Char Char Char Char"/>
    <w:basedOn w:val="Normal"/>
    <w:rsid w:val="00CE1016"/>
    <w:rPr>
      <w:rFonts w:ascii="Arial" w:eastAsia="Times New Roman" w:hAnsi="Arial"/>
      <w:sz w:val="22"/>
      <w:szCs w:val="20"/>
      <w:lang w:val="en-AU"/>
    </w:rPr>
  </w:style>
  <w:style w:type="paragraph" w:customStyle="1" w:styleId="CharCharCharChar1">
    <w:name w:val="Char Char Char Char1"/>
    <w:basedOn w:val="Normal"/>
    <w:rsid w:val="00CE1016"/>
    <w:pPr>
      <w:spacing w:after="160" w:line="240" w:lineRule="exact"/>
    </w:pPr>
    <w:rPr>
      <w:rFonts w:ascii="Tahoma" w:eastAsia="Times New Roman" w:hAnsi="Tahoma"/>
      <w:sz w:val="20"/>
      <w:szCs w:val="20"/>
    </w:rPr>
  </w:style>
  <w:style w:type="character" w:customStyle="1" w:styleId="apple-converted-space">
    <w:name w:val="apple-converted-space"/>
    <w:basedOn w:val="DefaultParagraphFont"/>
    <w:rsid w:val="00CF7426"/>
  </w:style>
  <w:style w:type="paragraph" w:customStyle="1" w:styleId="NidungAA">
    <w:name w:val="Nội dung A A"/>
    <w:rsid w:val="0092426D"/>
    <w:pPr>
      <w:pBdr>
        <w:top w:val="nil"/>
        <w:left w:val="nil"/>
        <w:bottom w:val="nil"/>
        <w:right w:val="nil"/>
        <w:between w:val="nil"/>
        <w:bar w:val="nil"/>
      </w:pBdr>
      <w:spacing w:before="60" w:after="60" w:line="276" w:lineRule="auto"/>
      <w:ind w:firstLine="720"/>
      <w:jc w:val="both"/>
    </w:pPr>
    <w:rPr>
      <w:rFonts w:eastAsia="Arial Unicode MS" w:cs="Arial Unicode MS"/>
      <w:color w:val="000000"/>
      <w:sz w:val="26"/>
      <w:szCs w:val="26"/>
      <w:u w:color="000000"/>
      <w:bdr w:val="nil"/>
      <w:lang w:val="nl-NL" w:eastAsia="en-US"/>
    </w:rPr>
  </w:style>
  <w:style w:type="paragraph" w:customStyle="1" w:styleId="heading30">
    <w:name w:val="heading3"/>
    <w:basedOn w:val="Normal"/>
    <w:link w:val="heading3Char0"/>
    <w:rsid w:val="00A70A89"/>
    <w:pPr>
      <w:spacing w:after="120"/>
    </w:pPr>
    <w:rPr>
      <w:rFonts w:eastAsia="MS Mincho"/>
      <w:b/>
      <w:i/>
      <w:sz w:val="20"/>
      <w:szCs w:val="20"/>
    </w:rPr>
  </w:style>
  <w:style w:type="character" w:customStyle="1" w:styleId="heading3Char0">
    <w:name w:val="heading3 Char"/>
    <w:link w:val="heading30"/>
    <w:rsid w:val="00A70A89"/>
    <w:rPr>
      <w:rFonts w:eastAsia="MS Mincho"/>
      <w:b/>
      <w:i/>
      <w:lang w:eastAsia="en-US"/>
    </w:rPr>
  </w:style>
  <w:style w:type="paragraph" w:customStyle="1" w:styleId="Noidung">
    <w:name w:val="Noidung"/>
    <w:basedOn w:val="Normal"/>
    <w:link w:val="NoidungChar"/>
    <w:rsid w:val="00A70A89"/>
    <w:pPr>
      <w:numPr>
        <w:numId w:val="6"/>
      </w:numPr>
      <w:spacing w:after="120"/>
    </w:pPr>
    <w:rPr>
      <w:rFonts w:ascii=".VnTime" w:eastAsia="Times New Roman" w:hAnsi=".VnTime"/>
      <w:kern w:val="28"/>
      <w:szCs w:val="28"/>
    </w:rPr>
  </w:style>
  <w:style w:type="character" w:customStyle="1" w:styleId="NoidungChar">
    <w:name w:val="Noidung Char"/>
    <w:link w:val="Noidung"/>
    <w:rsid w:val="00A70A89"/>
    <w:rPr>
      <w:rFonts w:ascii=".VnTime" w:eastAsia="Times New Roman" w:hAnsi=".VnTime"/>
      <w:kern w:val="28"/>
      <w:sz w:val="26"/>
      <w:szCs w:val="28"/>
      <w:lang w:eastAsia="en-US"/>
    </w:rPr>
  </w:style>
  <w:style w:type="paragraph" w:customStyle="1" w:styleId="Normal1">
    <w:name w:val="Normal1"/>
    <w:basedOn w:val="Normal"/>
    <w:rsid w:val="000A2F16"/>
    <w:pPr>
      <w:spacing w:before="120" w:after="120"/>
    </w:pPr>
    <w:rPr>
      <w:rFonts w:ascii=".VnTime" w:eastAsia="Times New Roman" w:hAnsi=".VnTime"/>
      <w:b/>
      <w:szCs w:val="20"/>
      <w:lang w:val="en-AU"/>
    </w:rPr>
  </w:style>
  <w:style w:type="character" w:customStyle="1" w:styleId="FooterChar1">
    <w:name w:val="Footer Char1"/>
    <w:aliases w:val="BVI-ft Char1"/>
    <w:basedOn w:val="DefaultParagraphFont"/>
    <w:uiPriority w:val="99"/>
    <w:semiHidden/>
    <w:rsid w:val="00431454"/>
    <w:rPr>
      <w:rFonts w:ascii="Calibri" w:hAnsi="Calibri"/>
      <w:sz w:val="22"/>
      <w:szCs w:val="22"/>
      <w:lang w:eastAsia="en-US"/>
    </w:rPr>
  </w:style>
  <w:style w:type="character" w:customStyle="1" w:styleId="DanhmuchinhChar">
    <w:name w:val="Danh muc hinh Char"/>
    <w:link w:val="Danhmuchinh"/>
    <w:locked/>
    <w:rsid w:val="00431454"/>
    <w:rPr>
      <w:rFonts w:eastAsia="Times New Roman"/>
      <w:sz w:val="24"/>
      <w:lang w:val="en-GB" w:eastAsia="vi-VN"/>
    </w:rPr>
  </w:style>
  <w:style w:type="paragraph" w:customStyle="1" w:styleId="Danhmuchinh">
    <w:name w:val="Danh muc hinh"/>
    <w:basedOn w:val="Normal"/>
    <w:link w:val="DanhmuchinhChar"/>
    <w:rsid w:val="00431454"/>
    <w:pPr>
      <w:jc w:val="center"/>
    </w:pPr>
    <w:rPr>
      <w:rFonts w:eastAsia="Times New Roman"/>
      <w:sz w:val="24"/>
      <w:szCs w:val="20"/>
      <w:lang w:val="en-GB" w:eastAsia="vi-VN"/>
    </w:rPr>
  </w:style>
  <w:style w:type="character" w:customStyle="1" w:styleId="3Char">
    <w:name w:val="3 Char"/>
    <w:link w:val="3"/>
    <w:locked/>
    <w:rsid w:val="00431454"/>
    <w:rPr>
      <w:rFonts w:ascii=".VnTime" w:eastAsia="SimSun" w:hAnsi=".VnTime"/>
      <w:b/>
      <w:bCs/>
      <w:i/>
      <w:iCs/>
      <w:sz w:val="28"/>
      <w:szCs w:val="24"/>
    </w:rPr>
  </w:style>
  <w:style w:type="paragraph" w:customStyle="1" w:styleId="3">
    <w:name w:val="3"/>
    <w:basedOn w:val="Normal"/>
    <w:link w:val="3Char"/>
    <w:rsid w:val="00431454"/>
    <w:pPr>
      <w:spacing w:before="120" w:after="20"/>
    </w:pPr>
    <w:rPr>
      <w:rFonts w:ascii=".VnTime" w:eastAsia="SimSun" w:hAnsi=".VnTime"/>
      <w:b/>
      <w:bCs/>
      <w:i/>
      <w:iCs/>
      <w:sz w:val="28"/>
      <w:szCs w:val="24"/>
      <w:lang w:eastAsia="zh-CN"/>
    </w:rPr>
  </w:style>
  <w:style w:type="paragraph" w:customStyle="1" w:styleId="Mcnidung">
    <w:name w:val="Mục nội dung"/>
    <w:basedOn w:val="Normal"/>
    <w:link w:val="McnidungChar"/>
    <w:rsid w:val="004435F1"/>
    <w:pPr>
      <w:spacing w:after="100"/>
      <w:ind w:firstLine="720"/>
    </w:pPr>
    <w:rPr>
      <w:rFonts w:eastAsia="Times New Roman"/>
      <w:noProof/>
      <w:sz w:val="28"/>
      <w:szCs w:val="28"/>
      <w:lang w:val="pt-BR"/>
    </w:rPr>
  </w:style>
  <w:style w:type="character" w:customStyle="1" w:styleId="McnidungChar">
    <w:name w:val="Mục nội dung Char"/>
    <w:link w:val="Mcnidung"/>
    <w:locked/>
    <w:rsid w:val="004435F1"/>
    <w:rPr>
      <w:rFonts w:eastAsia="Times New Roman"/>
      <w:noProof/>
      <w:sz w:val="28"/>
      <w:szCs w:val="28"/>
      <w:lang w:val="pt-BR" w:eastAsia="en-US"/>
    </w:rPr>
  </w:style>
  <w:style w:type="paragraph" w:customStyle="1" w:styleId="Mcbng">
    <w:name w:val="Mục bảng"/>
    <w:basedOn w:val="Normal"/>
    <w:link w:val="McbngCharChar"/>
    <w:rsid w:val="004435F1"/>
    <w:pPr>
      <w:keepNext/>
      <w:numPr>
        <w:numId w:val="7"/>
      </w:numPr>
      <w:spacing w:before="100" w:after="60"/>
    </w:pPr>
    <w:rPr>
      <w:rFonts w:eastAsia="Times New Roman"/>
      <w:noProof/>
      <w:color w:val="FF0000"/>
      <w:sz w:val="24"/>
      <w:szCs w:val="24"/>
      <w:lang w:val="da-DK"/>
    </w:rPr>
  </w:style>
  <w:style w:type="character" w:customStyle="1" w:styleId="McbngCharChar">
    <w:name w:val="Mục bảng Char Char"/>
    <w:link w:val="Mcbng"/>
    <w:rsid w:val="004435F1"/>
    <w:rPr>
      <w:rFonts w:eastAsia="Times New Roman"/>
      <w:noProof/>
      <w:color w:val="FF0000"/>
      <w:sz w:val="24"/>
      <w:szCs w:val="24"/>
      <w:lang w:val="da-DK" w:eastAsia="en-US"/>
    </w:rPr>
  </w:style>
  <w:style w:type="paragraph" w:customStyle="1" w:styleId="Mcnidungbng">
    <w:name w:val="Mục nội dung bảng"/>
    <w:basedOn w:val="Normal"/>
    <w:link w:val="McnidungbngChar"/>
    <w:rsid w:val="004435F1"/>
    <w:pPr>
      <w:jc w:val="center"/>
    </w:pPr>
    <w:rPr>
      <w:rFonts w:eastAsia="Times New Roman"/>
      <w:noProof/>
      <w:color w:val="FF0000"/>
      <w:sz w:val="22"/>
      <w:lang w:val="da-DK"/>
    </w:rPr>
  </w:style>
  <w:style w:type="character" w:customStyle="1" w:styleId="McnidungbngChar">
    <w:name w:val="Mục nội dung bảng Char"/>
    <w:link w:val="Mcnidungbng"/>
    <w:locked/>
    <w:rsid w:val="004435F1"/>
    <w:rPr>
      <w:rFonts w:eastAsia="Times New Roman"/>
      <w:noProof/>
      <w:color w:val="FF0000"/>
      <w:sz w:val="22"/>
      <w:szCs w:val="22"/>
      <w:lang w:val="da-DK" w:eastAsia="en-US"/>
    </w:rPr>
  </w:style>
  <w:style w:type="paragraph" w:customStyle="1" w:styleId="Stylebulleted">
    <w:name w:val="Style bulleted"/>
    <w:link w:val="StylebulletedChar"/>
    <w:qFormat/>
    <w:rsid w:val="00EF5182"/>
    <w:pPr>
      <w:widowControl w:val="0"/>
      <w:numPr>
        <w:numId w:val="8"/>
      </w:numPr>
      <w:tabs>
        <w:tab w:val="right" w:pos="9072"/>
      </w:tabs>
      <w:spacing w:before="120" w:after="120"/>
      <w:jc w:val="both"/>
    </w:pPr>
    <w:rPr>
      <w:sz w:val="26"/>
      <w:szCs w:val="22"/>
      <w:lang w:eastAsia="en-US"/>
    </w:rPr>
  </w:style>
  <w:style w:type="character" w:customStyle="1" w:styleId="StylebulletedChar">
    <w:name w:val="Style bulleted Char"/>
    <w:link w:val="Stylebulleted"/>
    <w:rsid w:val="00EF5182"/>
    <w:rPr>
      <w:sz w:val="26"/>
      <w:szCs w:val="22"/>
      <w:lang w:eastAsia="en-US"/>
    </w:rPr>
  </w:style>
  <w:style w:type="paragraph" w:styleId="PlainText">
    <w:name w:val="Plain Text"/>
    <w:basedOn w:val="Normal"/>
    <w:link w:val="PlainTextChar"/>
    <w:uiPriority w:val="99"/>
    <w:unhideWhenUsed/>
    <w:rsid w:val="00DB2AD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DB2AD9"/>
    <w:rPr>
      <w:rFonts w:ascii="Consolas" w:eastAsiaTheme="minorHAnsi" w:hAnsi="Consolas" w:cstheme="minorBidi"/>
      <w:sz w:val="21"/>
      <w:szCs w:val="21"/>
      <w:lang w:eastAsia="en-US"/>
    </w:rPr>
  </w:style>
  <w:style w:type="paragraph" w:customStyle="1" w:styleId="-">
    <w:name w:val="-"/>
    <w:basedOn w:val="Normal"/>
    <w:link w:val="-Char"/>
    <w:qFormat/>
    <w:rsid w:val="00F46503"/>
    <w:pPr>
      <w:numPr>
        <w:numId w:val="10"/>
      </w:numPr>
      <w:spacing w:before="120" w:after="120"/>
    </w:pPr>
    <w:rPr>
      <w:rFonts w:eastAsia="Times New Roman"/>
      <w:szCs w:val="26"/>
    </w:rPr>
  </w:style>
  <w:style w:type="character" w:customStyle="1" w:styleId="-Char">
    <w:name w:val="- Char"/>
    <w:link w:val="-"/>
    <w:rsid w:val="00F46503"/>
    <w:rPr>
      <w:rFonts w:eastAsia="Times New Roman"/>
      <w:sz w:val="26"/>
      <w:szCs w:val="26"/>
      <w:lang w:eastAsia="en-US"/>
    </w:rPr>
  </w:style>
  <w:style w:type="paragraph" w:customStyle="1" w:styleId="Bang">
    <w:name w:val="Bang"/>
    <w:basedOn w:val="Normal"/>
    <w:link w:val="BangChar"/>
    <w:autoRedefine/>
    <w:qFormat/>
    <w:rsid w:val="00C901EC"/>
    <w:pPr>
      <w:spacing w:before="240" w:after="120"/>
      <w:jc w:val="center"/>
    </w:pPr>
    <w:rPr>
      <w:rFonts w:eastAsia="Times New Roman"/>
      <w:szCs w:val="26"/>
      <w:lang w:val="de-DE"/>
    </w:rPr>
  </w:style>
  <w:style w:type="character" w:customStyle="1" w:styleId="BangChar">
    <w:name w:val="Bang Char"/>
    <w:link w:val="Bang"/>
    <w:rsid w:val="00C901EC"/>
    <w:rPr>
      <w:rFonts w:eastAsia="Times New Roman"/>
      <w:sz w:val="26"/>
      <w:szCs w:val="26"/>
      <w:lang w:val="de-DE"/>
    </w:rPr>
  </w:style>
  <w:style w:type="paragraph" w:customStyle="1" w:styleId="Char">
    <w:name w:val="Char"/>
    <w:basedOn w:val="Normal"/>
    <w:next w:val="Normal"/>
    <w:autoRedefine/>
    <w:semiHidden/>
    <w:rsid w:val="00CF7BD6"/>
    <w:pPr>
      <w:spacing w:before="120" w:after="120" w:line="312" w:lineRule="auto"/>
      <w:jc w:val="left"/>
    </w:pPr>
    <w:rPr>
      <w:rFonts w:eastAsia="Times New Roman"/>
      <w:sz w:val="28"/>
      <w:szCs w:val="28"/>
    </w:rPr>
  </w:style>
  <w:style w:type="character" w:styleId="Emphasis">
    <w:name w:val="Emphasis"/>
    <w:uiPriority w:val="20"/>
    <w:qFormat/>
    <w:rsid w:val="00857C52"/>
    <w:rPr>
      <w:i/>
      <w:iCs/>
    </w:rPr>
  </w:style>
  <w:style w:type="paragraph" w:styleId="FootnoteText">
    <w:name w:val="footnote text"/>
    <w:basedOn w:val="Normal"/>
    <w:link w:val="FootnoteTextChar"/>
    <w:uiPriority w:val="99"/>
    <w:unhideWhenUsed/>
    <w:rsid w:val="008C1B81"/>
    <w:pPr>
      <w:spacing w:after="200" w:line="276" w:lineRule="auto"/>
      <w:jc w:val="left"/>
    </w:pPr>
    <w:rPr>
      <w:rFonts w:ascii="Calibri" w:hAnsi="Calibri"/>
      <w:sz w:val="20"/>
      <w:szCs w:val="20"/>
    </w:rPr>
  </w:style>
  <w:style w:type="character" w:customStyle="1" w:styleId="FootnoteTextChar">
    <w:name w:val="Footnote Text Char"/>
    <w:basedOn w:val="DefaultParagraphFont"/>
    <w:link w:val="FootnoteText"/>
    <w:uiPriority w:val="99"/>
    <w:rsid w:val="008C1B81"/>
    <w:rPr>
      <w:rFonts w:ascii="Calibri" w:hAnsi="Calibri"/>
      <w:lang w:eastAsia="en-US"/>
    </w:rPr>
  </w:style>
  <w:style w:type="paragraph" w:customStyle="1" w:styleId="BangNDmoi">
    <w:name w:val="Bang ND moi"/>
    <w:basedOn w:val="Normal"/>
    <w:uiPriority w:val="99"/>
    <w:rsid w:val="008C1B81"/>
    <w:pPr>
      <w:spacing w:before="60" w:after="60" w:line="360" w:lineRule="exact"/>
      <w:jc w:val="center"/>
    </w:pPr>
    <w:rPr>
      <w:rFonts w:eastAsia="Times New Roman"/>
      <w:b/>
      <w:szCs w:val="26"/>
      <w:lang w:val="sv-SE" w:eastAsia="vi-VN"/>
    </w:rPr>
  </w:style>
  <w:style w:type="paragraph" w:customStyle="1" w:styleId="msofootercxspmiddle">
    <w:name w:val="msofootercxspmiddle"/>
    <w:basedOn w:val="Normal"/>
    <w:rsid w:val="00A94F5F"/>
    <w:pPr>
      <w:spacing w:before="100" w:beforeAutospacing="1" w:after="100" w:afterAutospacing="1"/>
      <w:jc w:val="left"/>
    </w:pPr>
    <w:rPr>
      <w:rFonts w:eastAsia="Batang"/>
      <w:sz w:val="24"/>
      <w:szCs w:val="24"/>
      <w:lang w:eastAsia="ja-JP"/>
    </w:rPr>
  </w:style>
  <w:style w:type="paragraph" w:customStyle="1" w:styleId="msofootercxsplast">
    <w:name w:val="msofootercxsplast"/>
    <w:basedOn w:val="Normal"/>
    <w:rsid w:val="00A94F5F"/>
    <w:pPr>
      <w:spacing w:before="100" w:beforeAutospacing="1" w:after="100" w:afterAutospacing="1"/>
      <w:jc w:val="left"/>
    </w:pPr>
    <w:rPr>
      <w:rFonts w:eastAsia="Batang"/>
      <w:sz w:val="24"/>
      <w:szCs w:val="24"/>
      <w:lang w:eastAsia="ja-JP"/>
    </w:rPr>
  </w:style>
  <w:style w:type="character" w:styleId="FollowedHyperlink">
    <w:name w:val="FollowedHyperlink"/>
    <w:basedOn w:val="DefaultParagraphFont"/>
    <w:uiPriority w:val="99"/>
    <w:semiHidden/>
    <w:unhideWhenUsed/>
    <w:rsid w:val="007F05FD"/>
    <w:rPr>
      <w:color w:val="800080"/>
      <w:u w:val="single"/>
    </w:rPr>
  </w:style>
  <w:style w:type="paragraph" w:customStyle="1" w:styleId="msonormal0">
    <w:name w:val="msonormal"/>
    <w:basedOn w:val="Normal"/>
    <w:rsid w:val="007F05FD"/>
    <w:pPr>
      <w:spacing w:before="100" w:beforeAutospacing="1" w:after="100" w:afterAutospacing="1"/>
      <w:jc w:val="left"/>
    </w:pPr>
    <w:rPr>
      <w:rFonts w:eastAsia="Times New Roman"/>
      <w:sz w:val="24"/>
      <w:szCs w:val="24"/>
    </w:rPr>
  </w:style>
  <w:style w:type="paragraph" w:customStyle="1" w:styleId="xl97">
    <w:name w:val="xl97"/>
    <w:basedOn w:val="Normal"/>
    <w:rsid w:val="007F05FD"/>
    <w:pPr>
      <w:spacing w:before="100" w:beforeAutospacing="1" w:after="100" w:afterAutospacing="1"/>
      <w:jc w:val="left"/>
      <w:textAlignment w:val="center"/>
    </w:pPr>
    <w:rPr>
      <w:rFonts w:eastAsia="Times New Roman"/>
      <w:sz w:val="24"/>
      <w:szCs w:val="24"/>
    </w:rPr>
  </w:style>
  <w:style w:type="paragraph" w:customStyle="1" w:styleId="xl98">
    <w:name w:val="xl98"/>
    <w:basedOn w:val="Normal"/>
    <w:rsid w:val="007F05FD"/>
    <w:pPr>
      <w:spacing w:before="100" w:beforeAutospacing="1" w:after="100" w:afterAutospacing="1"/>
      <w:jc w:val="left"/>
      <w:textAlignment w:val="center"/>
    </w:pPr>
    <w:rPr>
      <w:rFonts w:eastAsia="Times New Roman"/>
      <w:sz w:val="24"/>
      <w:szCs w:val="24"/>
    </w:rPr>
  </w:style>
  <w:style w:type="paragraph" w:customStyle="1" w:styleId="xl99">
    <w:name w:val="xl99"/>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00">
    <w:name w:val="xl100"/>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i/>
      <w:iCs/>
      <w:sz w:val="24"/>
      <w:szCs w:val="24"/>
    </w:rPr>
  </w:style>
  <w:style w:type="paragraph" w:customStyle="1" w:styleId="xl101">
    <w:name w:val="xl101"/>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i/>
      <w:iCs/>
      <w:sz w:val="24"/>
      <w:szCs w:val="24"/>
    </w:rPr>
  </w:style>
  <w:style w:type="paragraph" w:customStyle="1" w:styleId="xl102">
    <w:name w:val="xl102"/>
    <w:basedOn w:val="Normal"/>
    <w:rsid w:val="007F05FD"/>
    <w:pPr>
      <w:spacing w:before="100" w:beforeAutospacing="1" w:after="100" w:afterAutospacing="1"/>
      <w:jc w:val="left"/>
      <w:textAlignment w:val="center"/>
    </w:pPr>
    <w:rPr>
      <w:rFonts w:eastAsia="Times New Roman"/>
      <w:b/>
      <w:bCs/>
      <w:i/>
      <w:iCs/>
      <w:sz w:val="24"/>
      <w:szCs w:val="24"/>
    </w:rPr>
  </w:style>
  <w:style w:type="paragraph" w:customStyle="1" w:styleId="xl103">
    <w:name w:val="xl103"/>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sz w:val="24"/>
      <w:szCs w:val="24"/>
    </w:rPr>
  </w:style>
  <w:style w:type="paragraph" w:customStyle="1" w:styleId="xl104">
    <w:name w:val="xl104"/>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05">
    <w:name w:val="xl105"/>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06">
    <w:name w:val="xl106"/>
    <w:basedOn w:val="Normal"/>
    <w:rsid w:val="007F05FD"/>
    <w:pPr>
      <w:shd w:val="clear" w:color="000000" w:fill="FFE699"/>
      <w:spacing w:before="100" w:beforeAutospacing="1" w:after="100" w:afterAutospacing="1"/>
      <w:jc w:val="left"/>
      <w:textAlignment w:val="center"/>
    </w:pPr>
    <w:rPr>
      <w:rFonts w:eastAsia="Times New Roman"/>
      <w:sz w:val="24"/>
      <w:szCs w:val="24"/>
    </w:rPr>
  </w:style>
  <w:style w:type="paragraph" w:customStyle="1" w:styleId="xl107">
    <w:name w:val="xl107"/>
    <w:basedOn w:val="Normal"/>
    <w:rsid w:val="007F05F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08">
    <w:name w:val="xl108"/>
    <w:basedOn w:val="Normal"/>
    <w:rsid w:val="007F05F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09">
    <w:name w:val="xl109"/>
    <w:basedOn w:val="Normal"/>
    <w:rsid w:val="007F05FD"/>
    <w:pP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10">
    <w:name w:val="xl110"/>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1">
    <w:name w:val="xl111"/>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2">
    <w:name w:val="xl112"/>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3">
    <w:name w:val="xl113"/>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14">
    <w:name w:val="xl114"/>
    <w:basedOn w:val="Normal"/>
    <w:rsid w:val="007F05FD"/>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15">
    <w:name w:val="xl115"/>
    <w:basedOn w:val="Normal"/>
    <w:rsid w:val="007F05FD"/>
    <w:pP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16">
    <w:name w:val="xl116"/>
    <w:basedOn w:val="Normal"/>
    <w:rsid w:val="007F05FD"/>
    <w:pPr>
      <w:spacing w:before="100" w:beforeAutospacing="1" w:after="100" w:afterAutospacing="1"/>
      <w:jc w:val="left"/>
      <w:textAlignment w:val="center"/>
    </w:pPr>
    <w:rPr>
      <w:rFonts w:eastAsia="Times New Roman"/>
      <w:sz w:val="24"/>
      <w:szCs w:val="24"/>
    </w:rPr>
  </w:style>
  <w:style w:type="paragraph" w:customStyle="1" w:styleId="xl117">
    <w:name w:val="xl117"/>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olor w:val="000000"/>
      <w:sz w:val="24"/>
      <w:szCs w:val="24"/>
    </w:rPr>
  </w:style>
  <w:style w:type="paragraph" w:customStyle="1" w:styleId="xl118">
    <w:name w:val="xl118"/>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sz w:val="24"/>
      <w:szCs w:val="24"/>
    </w:rPr>
  </w:style>
  <w:style w:type="paragraph" w:customStyle="1" w:styleId="xl119">
    <w:name w:val="xl119"/>
    <w:basedOn w:val="Normal"/>
    <w:rsid w:val="007F05FD"/>
    <w:pPr>
      <w:pBdr>
        <w:top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20">
    <w:name w:val="xl120"/>
    <w:basedOn w:val="Normal"/>
    <w:rsid w:val="007F05FD"/>
    <w:pPr>
      <w:pBdr>
        <w:top w:val="single" w:sz="4" w:space="0" w:color="auto"/>
        <w:left w:val="single" w:sz="4" w:space="0" w:color="auto"/>
        <w:right w:val="single" w:sz="4" w:space="0" w:color="auto"/>
      </w:pBdr>
      <w:shd w:val="clear" w:color="000000" w:fill="C6E0B4"/>
      <w:spacing w:before="100" w:beforeAutospacing="1" w:after="100" w:afterAutospacing="1"/>
      <w:jc w:val="left"/>
      <w:textAlignment w:val="center"/>
    </w:pPr>
    <w:rPr>
      <w:rFonts w:eastAsia="Times New Roman"/>
      <w:b/>
      <w:bCs/>
      <w:sz w:val="24"/>
      <w:szCs w:val="24"/>
    </w:rPr>
  </w:style>
  <w:style w:type="paragraph" w:customStyle="1" w:styleId="xl121">
    <w:name w:val="xl121"/>
    <w:basedOn w:val="Normal"/>
    <w:rsid w:val="007F05FD"/>
    <w:pPr>
      <w:pBdr>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22">
    <w:name w:val="xl122"/>
    <w:basedOn w:val="Normal"/>
    <w:rsid w:val="007F05FD"/>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23">
    <w:name w:val="xl123"/>
    <w:basedOn w:val="Normal"/>
    <w:rsid w:val="007F05FD"/>
    <w:pPr>
      <w:pBdr>
        <w:top w:val="single" w:sz="4" w:space="0" w:color="auto"/>
        <w:left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sz w:val="24"/>
      <w:szCs w:val="24"/>
    </w:rPr>
  </w:style>
  <w:style w:type="paragraph" w:customStyle="1" w:styleId="xl124">
    <w:name w:val="xl124"/>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rPr>
  </w:style>
  <w:style w:type="paragraph" w:customStyle="1" w:styleId="xl125">
    <w:name w:val="xl125"/>
    <w:basedOn w:val="Normal"/>
    <w:rsid w:val="007F05FD"/>
    <w:pPr>
      <w:pBdr>
        <w:top w:val="single" w:sz="4" w:space="0" w:color="auto"/>
        <w:left w:val="single" w:sz="4" w:space="0" w:color="auto"/>
        <w:bottom w:val="single" w:sz="4" w:space="0" w:color="auto"/>
      </w:pBdr>
      <w:spacing w:before="100" w:beforeAutospacing="1" w:after="100" w:afterAutospacing="1"/>
      <w:jc w:val="left"/>
      <w:textAlignment w:val="center"/>
    </w:pPr>
    <w:rPr>
      <w:rFonts w:eastAsia="Times New Roman"/>
      <w:sz w:val="24"/>
      <w:szCs w:val="24"/>
    </w:rPr>
  </w:style>
  <w:style w:type="paragraph" w:customStyle="1" w:styleId="xl126">
    <w:name w:val="xl126"/>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AC149A"/>
      <w:sz w:val="24"/>
      <w:szCs w:val="24"/>
    </w:rPr>
  </w:style>
  <w:style w:type="paragraph" w:customStyle="1" w:styleId="xl127">
    <w:name w:val="xl127"/>
    <w:basedOn w:val="Normal"/>
    <w:rsid w:val="007F05FD"/>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left"/>
      <w:textAlignment w:val="center"/>
    </w:pPr>
    <w:rPr>
      <w:rFonts w:eastAsia="Times New Roman"/>
      <w:b/>
      <w:bCs/>
      <w:color w:val="AC149A"/>
      <w:sz w:val="24"/>
      <w:szCs w:val="24"/>
    </w:rPr>
  </w:style>
  <w:style w:type="paragraph" w:customStyle="1" w:styleId="xl128">
    <w:name w:val="xl128"/>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29">
    <w:name w:val="xl129"/>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30">
    <w:name w:val="xl130"/>
    <w:basedOn w:val="Normal"/>
    <w:rsid w:val="007F05FD"/>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rPr>
  </w:style>
  <w:style w:type="paragraph" w:customStyle="1" w:styleId="xl131">
    <w:name w:val="xl131"/>
    <w:basedOn w:val="Normal"/>
    <w:rsid w:val="007F05FD"/>
    <w:pPr>
      <w:pBdr>
        <w:top w:val="single" w:sz="4" w:space="0" w:color="auto"/>
        <w:bottom w:val="single" w:sz="4" w:space="0" w:color="auto"/>
      </w:pBdr>
      <w:spacing w:before="100" w:beforeAutospacing="1" w:after="100" w:afterAutospacing="1"/>
      <w:jc w:val="center"/>
      <w:textAlignment w:val="center"/>
    </w:pPr>
    <w:rPr>
      <w:rFonts w:eastAsia="Times New Roman"/>
      <w:sz w:val="24"/>
      <w:szCs w:val="24"/>
    </w:rPr>
  </w:style>
  <w:style w:type="paragraph" w:customStyle="1" w:styleId="xl132">
    <w:name w:val="xl132"/>
    <w:basedOn w:val="Normal"/>
    <w:rsid w:val="007F05FD"/>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rPr>
  </w:style>
  <w:style w:type="paragraph" w:customStyle="1" w:styleId="xl133">
    <w:name w:val="xl133"/>
    <w:basedOn w:val="Normal"/>
    <w:rsid w:val="007F05FD"/>
    <w:pPr>
      <w:pBdr>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24"/>
      <w:szCs w:val="24"/>
    </w:rPr>
  </w:style>
  <w:style w:type="paragraph" w:customStyle="1" w:styleId="xl134">
    <w:name w:val="xl134"/>
    <w:basedOn w:val="Normal"/>
    <w:rsid w:val="007F05F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rPr>
  </w:style>
  <w:style w:type="character" w:customStyle="1" w:styleId="UnresolvedMention1">
    <w:name w:val="Unresolved Mention1"/>
    <w:basedOn w:val="DefaultParagraphFont"/>
    <w:uiPriority w:val="99"/>
    <w:semiHidden/>
    <w:unhideWhenUsed/>
    <w:rsid w:val="00662ED0"/>
    <w:rPr>
      <w:color w:val="605E5C"/>
      <w:shd w:val="clear" w:color="auto" w:fill="E1DFDD"/>
    </w:rPr>
  </w:style>
  <w:style w:type="character" w:customStyle="1" w:styleId="ntitle">
    <w:name w:val="ntitle"/>
    <w:rsid w:val="00021C12"/>
  </w:style>
  <w:style w:type="paragraph" w:customStyle="1" w:styleId="Char1CharCharChar1CharCharChar1CharCharCharCharCharChar1CharCharChar">
    <w:name w:val="Char1 Char Char Char1 Char Char Char1 Char Char Char Char Char Char1 Char Char Char"/>
    <w:basedOn w:val="Normal"/>
    <w:rsid w:val="002B5B77"/>
    <w:pPr>
      <w:spacing w:after="160" w:line="240" w:lineRule="exact"/>
      <w:jc w:val="left"/>
    </w:pPr>
    <w:rPr>
      <w:rFonts w:ascii="Verdana" w:eastAsia="Times New Roman" w:hAnsi="Verdana" w:cs="Verdana"/>
      <w:sz w:val="20"/>
      <w:szCs w:val="20"/>
    </w:rPr>
  </w:style>
  <w:style w:type="paragraph" w:styleId="HTMLPreformatted">
    <w:name w:val="HTML Preformatted"/>
    <w:basedOn w:val="Normal"/>
    <w:link w:val="HTMLPreformattedChar"/>
    <w:uiPriority w:val="99"/>
    <w:semiHidden/>
    <w:unhideWhenUsed/>
    <w:rsid w:val="002100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1006E"/>
    <w:rPr>
      <w:rFonts w:ascii="Courier New" w:eastAsia="Times New Roman" w:hAnsi="Courier New" w:cs="Courier New"/>
      <w:lang w:eastAsia="en-US"/>
    </w:rPr>
  </w:style>
  <w:style w:type="paragraph" w:styleId="ListBullet2">
    <w:name w:val="List Bullet 2"/>
    <w:basedOn w:val="Normal"/>
    <w:rsid w:val="00D63C8D"/>
    <w:pPr>
      <w:numPr>
        <w:numId w:val="43"/>
      </w:numPr>
      <w:tabs>
        <w:tab w:val="left" w:pos="1260"/>
      </w:tabs>
      <w:spacing w:before="120" w:after="120"/>
      <w:jc w:val="left"/>
    </w:pPr>
    <w:rPr>
      <w:rFonts w:eastAsia="Times New Roman"/>
      <w:sz w:val="22"/>
      <w:szCs w:val="24"/>
      <w:lang w:val="vi-VN"/>
    </w:rPr>
  </w:style>
  <w:style w:type="paragraph" w:customStyle="1" w:styleId="bac-bullet03">
    <w:name w:val="bac-bullet03"/>
    <w:basedOn w:val="ListBullet2"/>
    <w:rsid w:val="00D63C8D"/>
    <w:pPr>
      <w:tabs>
        <w:tab w:val="clear" w:pos="1260"/>
        <w:tab w:val="left" w:pos="1120"/>
      </w:tabs>
    </w:pPr>
    <w:rPr>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4833">
      <w:bodyDiv w:val="1"/>
      <w:marLeft w:val="0"/>
      <w:marRight w:val="0"/>
      <w:marTop w:val="0"/>
      <w:marBottom w:val="0"/>
      <w:divBdr>
        <w:top w:val="none" w:sz="0" w:space="0" w:color="auto"/>
        <w:left w:val="none" w:sz="0" w:space="0" w:color="auto"/>
        <w:bottom w:val="none" w:sz="0" w:space="0" w:color="auto"/>
        <w:right w:val="none" w:sz="0" w:space="0" w:color="auto"/>
      </w:divBdr>
      <w:divsChild>
        <w:div w:id="220411785">
          <w:marLeft w:val="446"/>
          <w:marRight w:val="0"/>
          <w:marTop w:val="0"/>
          <w:marBottom w:val="160"/>
          <w:divBdr>
            <w:top w:val="none" w:sz="0" w:space="0" w:color="auto"/>
            <w:left w:val="none" w:sz="0" w:space="0" w:color="auto"/>
            <w:bottom w:val="none" w:sz="0" w:space="0" w:color="auto"/>
            <w:right w:val="none" w:sz="0" w:space="0" w:color="auto"/>
          </w:divBdr>
        </w:div>
        <w:div w:id="1063024321">
          <w:marLeft w:val="446"/>
          <w:marRight w:val="0"/>
          <w:marTop w:val="0"/>
          <w:marBottom w:val="160"/>
          <w:divBdr>
            <w:top w:val="none" w:sz="0" w:space="0" w:color="auto"/>
            <w:left w:val="none" w:sz="0" w:space="0" w:color="auto"/>
            <w:bottom w:val="none" w:sz="0" w:space="0" w:color="auto"/>
            <w:right w:val="none" w:sz="0" w:space="0" w:color="auto"/>
          </w:divBdr>
        </w:div>
        <w:div w:id="1522159926">
          <w:marLeft w:val="446"/>
          <w:marRight w:val="0"/>
          <w:marTop w:val="0"/>
          <w:marBottom w:val="160"/>
          <w:divBdr>
            <w:top w:val="none" w:sz="0" w:space="0" w:color="auto"/>
            <w:left w:val="none" w:sz="0" w:space="0" w:color="auto"/>
            <w:bottom w:val="none" w:sz="0" w:space="0" w:color="auto"/>
            <w:right w:val="none" w:sz="0" w:space="0" w:color="auto"/>
          </w:divBdr>
        </w:div>
        <w:div w:id="1778671281">
          <w:marLeft w:val="446"/>
          <w:marRight w:val="0"/>
          <w:marTop w:val="0"/>
          <w:marBottom w:val="160"/>
          <w:divBdr>
            <w:top w:val="none" w:sz="0" w:space="0" w:color="auto"/>
            <w:left w:val="none" w:sz="0" w:space="0" w:color="auto"/>
            <w:bottom w:val="none" w:sz="0" w:space="0" w:color="auto"/>
            <w:right w:val="none" w:sz="0" w:space="0" w:color="auto"/>
          </w:divBdr>
        </w:div>
        <w:div w:id="1842744155">
          <w:marLeft w:val="446"/>
          <w:marRight w:val="0"/>
          <w:marTop w:val="0"/>
          <w:marBottom w:val="160"/>
          <w:divBdr>
            <w:top w:val="none" w:sz="0" w:space="0" w:color="auto"/>
            <w:left w:val="none" w:sz="0" w:space="0" w:color="auto"/>
            <w:bottom w:val="none" w:sz="0" w:space="0" w:color="auto"/>
            <w:right w:val="none" w:sz="0" w:space="0" w:color="auto"/>
          </w:divBdr>
        </w:div>
        <w:div w:id="1575359686">
          <w:marLeft w:val="446"/>
          <w:marRight w:val="0"/>
          <w:marTop w:val="0"/>
          <w:marBottom w:val="160"/>
          <w:divBdr>
            <w:top w:val="none" w:sz="0" w:space="0" w:color="auto"/>
            <w:left w:val="none" w:sz="0" w:space="0" w:color="auto"/>
            <w:bottom w:val="none" w:sz="0" w:space="0" w:color="auto"/>
            <w:right w:val="none" w:sz="0" w:space="0" w:color="auto"/>
          </w:divBdr>
        </w:div>
      </w:divsChild>
    </w:div>
    <w:div w:id="16851308">
      <w:bodyDiv w:val="1"/>
      <w:marLeft w:val="0"/>
      <w:marRight w:val="0"/>
      <w:marTop w:val="0"/>
      <w:marBottom w:val="0"/>
      <w:divBdr>
        <w:top w:val="none" w:sz="0" w:space="0" w:color="auto"/>
        <w:left w:val="none" w:sz="0" w:space="0" w:color="auto"/>
        <w:bottom w:val="none" w:sz="0" w:space="0" w:color="auto"/>
        <w:right w:val="none" w:sz="0" w:space="0" w:color="auto"/>
      </w:divBdr>
    </w:div>
    <w:div w:id="22439599">
      <w:bodyDiv w:val="1"/>
      <w:marLeft w:val="0"/>
      <w:marRight w:val="0"/>
      <w:marTop w:val="0"/>
      <w:marBottom w:val="0"/>
      <w:divBdr>
        <w:top w:val="none" w:sz="0" w:space="0" w:color="auto"/>
        <w:left w:val="none" w:sz="0" w:space="0" w:color="auto"/>
        <w:bottom w:val="none" w:sz="0" w:space="0" w:color="auto"/>
        <w:right w:val="none" w:sz="0" w:space="0" w:color="auto"/>
      </w:divBdr>
      <w:divsChild>
        <w:div w:id="1874807207">
          <w:marLeft w:val="0"/>
          <w:marRight w:val="0"/>
          <w:marTop w:val="40"/>
          <w:marBottom w:val="40"/>
          <w:divBdr>
            <w:top w:val="none" w:sz="0" w:space="0" w:color="auto"/>
            <w:left w:val="none" w:sz="0" w:space="0" w:color="auto"/>
            <w:bottom w:val="none" w:sz="0" w:space="0" w:color="auto"/>
            <w:right w:val="none" w:sz="0" w:space="0" w:color="auto"/>
          </w:divBdr>
        </w:div>
        <w:div w:id="1630041270">
          <w:marLeft w:val="0"/>
          <w:marRight w:val="0"/>
          <w:marTop w:val="40"/>
          <w:marBottom w:val="40"/>
          <w:divBdr>
            <w:top w:val="none" w:sz="0" w:space="0" w:color="auto"/>
            <w:left w:val="none" w:sz="0" w:space="0" w:color="auto"/>
            <w:bottom w:val="none" w:sz="0" w:space="0" w:color="auto"/>
            <w:right w:val="none" w:sz="0" w:space="0" w:color="auto"/>
          </w:divBdr>
        </w:div>
        <w:div w:id="38480604">
          <w:marLeft w:val="0"/>
          <w:marRight w:val="0"/>
          <w:marTop w:val="40"/>
          <w:marBottom w:val="40"/>
          <w:divBdr>
            <w:top w:val="none" w:sz="0" w:space="0" w:color="auto"/>
            <w:left w:val="none" w:sz="0" w:space="0" w:color="auto"/>
            <w:bottom w:val="none" w:sz="0" w:space="0" w:color="auto"/>
            <w:right w:val="none" w:sz="0" w:space="0" w:color="auto"/>
          </w:divBdr>
        </w:div>
        <w:div w:id="755520787">
          <w:marLeft w:val="0"/>
          <w:marRight w:val="0"/>
          <w:marTop w:val="40"/>
          <w:marBottom w:val="40"/>
          <w:divBdr>
            <w:top w:val="none" w:sz="0" w:space="0" w:color="auto"/>
            <w:left w:val="none" w:sz="0" w:space="0" w:color="auto"/>
            <w:bottom w:val="none" w:sz="0" w:space="0" w:color="auto"/>
            <w:right w:val="none" w:sz="0" w:space="0" w:color="auto"/>
          </w:divBdr>
        </w:div>
        <w:div w:id="1422725578">
          <w:marLeft w:val="0"/>
          <w:marRight w:val="0"/>
          <w:marTop w:val="40"/>
          <w:marBottom w:val="40"/>
          <w:divBdr>
            <w:top w:val="none" w:sz="0" w:space="0" w:color="auto"/>
            <w:left w:val="none" w:sz="0" w:space="0" w:color="auto"/>
            <w:bottom w:val="none" w:sz="0" w:space="0" w:color="auto"/>
            <w:right w:val="none" w:sz="0" w:space="0" w:color="auto"/>
          </w:divBdr>
        </w:div>
        <w:div w:id="180511777">
          <w:marLeft w:val="0"/>
          <w:marRight w:val="0"/>
          <w:marTop w:val="40"/>
          <w:marBottom w:val="40"/>
          <w:divBdr>
            <w:top w:val="none" w:sz="0" w:space="0" w:color="auto"/>
            <w:left w:val="none" w:sz="0" w:space="0" w:color="auto"/>
            <w:bottom w:val="none" w:sz="0" w:space="0" w:color="auto"/>
            <w:right w:val="none" w:sz="0" w:space="0" w:color="auto"/>
          </w:divBdr>
        </w:div>
        <w:div w:id="1864634292">
          <w:marLeft w:val="0"/>
          <w:marRight w:val="0"/>
          <w:marTop w:val="40"/>
          <w:marBottom w:val="40"/>
          <w:divBdr>
            <w:top w:val="none" w:sz="0" w:space="0" w:color="auto"/>
            <w:left w:val="none" w:sz="0" w:space="0" w:color="auto"/>
            <w:bottom w:val="none" w:sz="0" w:space="0" w:color="auto"/>
            <w:right w:val="none" w:sz="0" w:space="0" w:color="auto"/>
          </w:divBdr>
        </w:div>
        <w:div w:id="1737821070">
          <w:marLeft w:val="0"/>
          <w:marRight w:val="0"/>
          <w:marTop w:val="40"/>
          <w:marBottom w:val="40"/>
          <w:divBdr>
            <w:top w:val="none" w:sz="0" w:space="0" w:color="auto"/>
            <w:left w:val="none" w:sz="0" w:space="0" w:color="auto"/>
            <w:bottom w:val="none" w:sz="0" w:space="0" w:color="auto"/>
            <w:right w:val="none" w:sz="0" w:space="0" w:color="auto"/>
          </w:divBdr>
        </w:div>
        <w:div w:id="1225683756">
          <w:marLeft w:val="0"/>
          <w:marRight w:val="0"/>
          <w:marTop w:val="40"/>
          <w:marBottom w:val="40"/>
          <w:divBdr>
            <w:top w:val="none" w:sz="0" w:space="0" w:color="auto"/>
            <w:left w:val="none" w:sz="0" w:space="0" w:color="auto"/>
            <w:bottom w:val="none" w:sz="0" w:space="0" w:color="auto"/>
            <w:right w:val="none" w:sz="0" w:space="0" w:color="auto"/>
          </w:divBdr>
        </w:div>
      </w:divsChild>
    </w:div>
    <w:div w:id="23604769">
      <w:bodyDiv w:val="1"/>
      <w:marLeft w:val="0"/>
      <w:marRight w:val="0"/>
      <w:marTop w:val="0"/>
      <w:marBottom w:val="0"/>
      <w:divBdr>
        <w:top w:val="none" w:sz="0" w:space="0" w:color="auto"/>
        <w:left w:val="none" w:sz="0" w:space="0" w:color="auto"/>
        <w:bottom w:val="none" w:sz="0" w:space="0" w:color="auto"/>
        <w:right w:val="none" w:sz="0" w:space="0" w:color="auto"/>
      </w:divBdr>
    </w:div>
    <w:div w:id="32971911">
      <w:bodyDiv w:val="1"/>
      <w:marLeft w:val="0"/>
      <w:marRight w:val="0"/>
      <w:marTop w:val="0"/>
      <w:marBottom w:val="0"/>
      <w:divBdr>
        <w:top w:val="none" w:sz="0" w:space="0" w:color="auto"/>
        <w:left w:val="none" w:sz="0" w:space="0" w:color="auto"/>
        <w:bottom w:val="none" w:sz="0" w:space="0" w:color="auto"/>
        <w:right w:val="none" w:sz="0" w:space="0" w:color="auto"/>
      </w:divBdr>
    </w:div>
    <w:div w:id="34551200">
      <w:bodyDiv w:val="1"/>
      <w:marLeft w:val="0"/>
      <w:marRight w:val="0"/>
      <w:marTop w:val="0"/>
      <w:marBottom w:val="0"/>
      <w:divBdr>
        <w:top w:val="none" w:sz="0" w:space="0" w:color="auto"/>
        <w:left w:val="none" w:sz="0" w:space="0" w:color="auto"/>
        <w:bottom w:val="none" w:sz="0" w:space="0" w:color="auto"/>
        <w:right w:val="none" w:sz="0" w:space="0" w:color="auto"/>
      </w:divBdr>
    </w:div>
    <w:div w:id="42406340">
      <w:bodyDiv w:val="1"/>
      <w:marLeft w:val="0"/>
      <w:marRight w:val="0"/>
      <w:marTop w:val="0"/>
      <w:marBottom w:val="0"/>
      <w:divBdr>
        <w:top w:val="none" w:sz="0" w:space="0" w:color="auto"/>
        <w:left w:val="none" w:sz="0" w:space="0" w:color="auto"/>
        <w:bottom w:val="none" w:sz="0" w:space="0" w:color="auto"/>
        <w:right w:val="none" w:sz="0" w:space="0" w:color="auto"/>
      </w:divBdr>
    </w:div>
    <w:div w:id="49303824">
      <w:bodyDiv w:val="1"/>
      <w:marLeft w:val="0"/>
      <w:marRight w:val="0"/>
      <w:marTop w:val="0"/>
      <w:marBottom w:val="0"/>
      <w:divBdr>
        <w:top w:val="none" w:sz="0" w:space="0" w:color="auto"/>
        <w:left w:val="none" w:sz="0" w:space="0" w:color="auto"/>
        <w:bottom w:val="none" w:sz="0" w:space="0" w:color="auto"/>
        <w:right w:val="none" w:sz="0" w:space="0" w:color="auto"/>
      </w:divBdr>
    </w:div>
    <w:div w:id="50227025">
      <w:bodyDiv w:val="1"/>
      <w:marLeft w:val="0"/>
      <w:marRight w:val="0"/>
      <w:marTop w:val="0"/>
      <w:marBottom w:val="0"/>
      <w:divBdr>
        <w:top w:val="none" w:sz="0" w:space="0" w:color="auto"/>
        <w:left w:val="none" w:sz="0" w:space="0" w:color="auto"/>
        <w:bottom w:val="none" w:sz="0" w:space="0" w:color="auto"/>
        <w:right w:val="none" w:sz="0" w:space="0" w:color="auto"/>
      </w:divBdr>
    </w:div>
    <w:div w:id="53432703">
      <w:bodyDiv w:val="1"/>
      <w:marLeft w:val="0"/>
      <w:marRight w:val="0"/>
      <w:marTop w:val="0"/>
      <w:marBottom w:val="0"/>
      <w:divBdr>
        <w:top w:val="none" w:sz="0" w:space="0" w:color="auto"/>
        <w:left w:val="none" w:sz="0" w:space="0" w:color="auto"/>
        <w:bottom w:val="none" w:sz="0" w:space="0" w:color="auto"/>
        <w:right w:val="none" w:sz="0" w:space="0" w:color="auto"/>
      </w:divBdr>
    </w:div>
    <w:div w:id="54427215">
      <w:bodyDiv w:val="1"/>
      <w:marLeft w:val="0"/>
      <w:marRight w:val="0"/>
      <w:marTop w:val="0"/>
      <w:marBottom w:val="0"/>
      <w:divBdr>
        <w:top w:val="none" w:sz="0" w:space="0" w:color="auto"/>
        <w:left w:val="none" w:sz="0" w:space="0" w:color="auto"/>
        <w:bottom w:val="none" w:sz="0" w:space="0" w:color="auto"/>
        <w:right w:val="none" w:sz="0" w:space="0" w:color="auto"/>
      </w:divBdr>
    </w:div>
    <w:div w:id="56638352">
      <w:bodyDiv w:val="1"/>
      <w:marLeft w:val="0"/>
      <w:marRight w:val="0"/>
      <w:marTop w:val="0"/>
      <w:marBottom w:val="0"/>
      <w:divBdr>
        <w:top w:val="none" w:sz="0" w:space="0" w:color="auto"/>
        <w:left w:val="none" w:sz="0" w:space="0" w:color="auto"/>
        <w:bottom w:val="none" w:sz="0" w:space="0" w:color="auto"/>
        <w:right w:val="none" w:sz="0" w:space="0" w:color="auto"/>
      </w:divBdr>
    </w:div>
    <w:div w:id="58209534">
      <w:bodyDiv w:val="1"/>
      <w:marLeft w:val="0"/>
      <w:marRight w:val="0"/>
      <w:marTop w:val="0"/>
      <w:marBottom w:val="0"/>
      <w:divBdr>
        <w:top w:val="none" w:sz="0" w:space="0" w:color="auto"/>
        <w:left w:val="none" w:sz="0" w:space="0" w:color="auto"/>
        <w:bottom w:val="none" w:sz="0" w:space="0" w:color="auto"/>
        <w:right w:val="none" w:sz="0" w:space="0" w:color="auto"/>
      </w:divBdr>
    </w:div>
    <w:div w:id="66268385">
      <w:bodyDiv w:val="1"/>
      <w:marLeft w:val="0"/>
      <w:marRight w:val="0"/>
      <w:marTop w:val="0"/>
      <w:marBottom w:val="0"/>
      <w:divBdr>
        <w:top w:val="none" w:sz="0" w:space="0" w:color="auto"/>
        <w:left w:val="none" w:sz="0" w:space="0" w:color="auto"/>
        <w:bottom w:val="none" w:sz="0" w:space="0" w:color="auto"/>
        <w:right w:val="none" w:sz="0" w:space="0" w:color="auto"/>
      </w:divBdr>
    </w:div>
    <w:div w:id="79102588">
      <w:bodyDiv w:val="1"/>
      <w:marLeft w:val="0"/>
      <w:marRight w:val="0"/>
      <w:marTop w:val="0"/>
      <w:marBottom w:val="0"/>
      <w:divBdr>
        <w:top w:val="none" w:sz="0" w:space="0" w:color="auto"/>
        <w:left w:val="none" w:sz="0" w:space="0" w:color="auto"/>
        <w:bottom w:val="none" w:sz="0" w:space="0" w:color="auto"/>
        <w:right w:val="none" w:sz="0" w:space="0" w:color="auto"/>
      </w:divBdr>
    </w:div>
    <w:div w:id="82731241">
      <w:bodyDiv w:val="1"/>
      <w:marLeft w:val="0"/>
      <w:marRight w:val="0"/>
      <w:marTop w:val="0"/>
      <w:marBottom w:val="0"/>
      <w:divBdr>
        <w:top w:val="none" w:sz="0" w:space="0" w:color="auto"/>
        <w:left w:val="none" w:sz="0" w:space="0" w:color="auto"/>
        <w:bottom w:val="none" w:sz="0" w:space="0" w:color="auto"/>
        <w:right w:val="none" w:sz="0" w:space="0" w:color="auto"/>
      </w:divBdr>
      <w:divsChild>
        <w:div w:id="1049232199">
          <w:marLeft w:val="288"/>
          <w:marRight w:val="0"/>
          <w:marTop w:val="0"/>
          <w:marBottom w:val="0"/>
          <w:divBdr>
            <w:top w:val="none" w:sz="0" w:space="0" w:color="auto"/>
            <w:left w:val="none" w:sz="0" w:space="0" w:color="auto"/>
            <w:bottom w:val="none" w:sz="0" w:space="0" w:color="auto"/>
            <w:right w:val="none" w:sz="0" w:space="0" w:color="auto"/>
          </w:divBdr>
        </w:div>
        <w:div w:id="1141847647">
          <w:marLeft w:val="288"/>
          <w:marRight w:val="0"/>
          <w:marTop w:val="0"/>
          <w:marBottom w:val="0"/>
          <w:divBdr>
            <w:top w:val="none" w:sz="0" w:space="0" w:color="auto"/>
            <w:left w:val="none" w:sz="0" w:space="0" w:color="auto"/>
            <w:bottom w:val="none" w:sz="0" w:space="0" w:color="auto"/>
            <w:right w:val="none" w:sz="0" w:space="0" w:color="auto"/>
          </w:divBdr>
        </w:div>
      </w:divsChild>
    </w:div>
    <w:div w:id="86853381">
      <w:bodyDiv w:val="1"/>
      <w:marLeft w:val="0"/>
      <w:marRight w:val="0"/>
      <w:marTop w:val="0"/>
      <w:marBottom w:val="0"/>
      <w:divBdr>
        <w:top w:val="none" w:sz="0" w:space="0" w:color="auto"/>
        <w:left w:val="none" w:sz="0" w:space="0" w:color="auto"/>
        <w:bottom w:val="none" w:sz="0" w:space="0" w:color="auto"/>
        <w:right w:val="none" w:sz="0" w:space="0" w:color="auto"/>
      </w:divBdr>
    </w:div>
    <w:div w:id="87387047">
      <w:bodyDiv w:val="1"/>
      <w:marLeft w:val="0"/>
      <w:marRight w:val="0"/>
      <w:marTop w:val="0"/>
      <w:marBottom w:val="0"/>
      <w:divBdr>
        <w:top w:val="none" w:sz="0" w:space="0" w:color="auto"/>
        <w:left w:val="none" w:sz="0" w:space="0" w:color="auto"/>
        <w:bottom w:val="none" w:sz="0" w:space="0" w:color="auto"/>
        <w:right w:val="none" w:sz="0" w:space="0" w:color="auto"/>
      </w:divBdr>
    </w:div>
    <w:div w:id="87506828">
      <w:bodyDiv w:val="1"/>
      <w:marLeft w:val="0"/>
      <w:marRight w:val="0"/>
      <w:marTop w:val="0"/>
      <w:marBottom w:val="0"/>
      <w:divBdr>
        <w:top w:val="none" w:sz="0" w:space="0" w:color="auto"/>
        <w:left w:val="none" w:sz="0" w:space="0" w:color="auto"/>
        <w:bottom w:val="none" w:sz="0" w:space="0" w:color="auto"/>
        <w:right w:val="none" w:sz="0" w:space="0" w:color="auto"/>
      </w:divBdr>
    </w:div>
    <w:div w:id="91096427">
      <w:bodyDiv w:val="1"/>
      <w:marLeft w:val="0"/>
      <w:marRight w:val="0"/>
      <w:marTop w:val="0"/>
      <w:marBottom w:val="0"/>
      <w:divBdr>
        <w:top w:val="none" w:sz="0" w:space="0" w:color="auto"/>
        <w:left w:val="none" w:sz="0" w:space="0" w:color="auto"/>
        <w:bottom w:val="none" w:sz="0" w:space="0" w:color="auto"/>
        <w:right w:val="none" w:sz="0" w:space="0" w:color="auto"/>
      </w:divBdr>
    </w:div>
    <w:div w:id="93791005">
      <w:bodyDiv w:val="1"/>
      <w:marLeft w:val="0"/>
      <w:marRight w:val="0"/>
      <w:marTop w:val="0"/>
      <w:marBottom w:val="0"/>
      <w:divBdr>
        <w:top w:val="none" w:sz="0" w:space="0" w:color="auto"/>
        <w:left w:val="none" w:sz="0" w:space="0" w:color="auto"/>
        <w:bottom w:val="none" w:sz="0" w:space="0" w:color="auto"/>
        <w:right w:val="none" w:sz="0" w:space="0" w:color="auto"/>
      </w:divBdr>
    </w:div>
    <w:div w:id="94445151">
      <w:bodyDiv w:val="1"/>
      <w:marLeft w:val="0"/>
      <w:marRight w:val="0"/>
      <w:marTop w:val="0"/>
      <w:marBottom w:val="0"/>
      <w:divBdr>
        <w:top w:val="none" w:sz="0" w:space="0" w:color="auto"/>
        <w:left w:val="none" w:sz="0" w:space="0" w:color="auto"/>
        <w:bottom w:val="none" w:sz="0" w:space="0" w:color="auto"/>
        <w:right w:val="none" w:sz="0" w:space="0" w:color="auto"/>
      </w:divBdr>
    </w:div>
    <w:div w:id="99691395">
      <w:bodyDiv w:val="1"/>
      <w:marLeft w:val="0"/>
      <w:marRight w:val="0"/>
      <w:marTop w:val="0"/>
      <w:marBottom w:val="0"/>
      <w:divBdr>
        <w:top w:val="none" w:sz="0" w:space="0" w:color="auto"/>
        <w:left w:val="none" w:sz="0" w:space="0" w:color="auto"/>
        <w:bottom w:val="none" w:sz="0" w:space="0" w:color="auto"/>
        <w:right w:val="none" w:sz="0" w:space="0" w:color="auto"/>
      </w:divBdr>
    </w:div>
    <w:div w:id="112985845">
      <w:bodyDiv w:val="1"/>
      <w:marLeft w:val="0"/>
      <w:marRight w:val="0"/>
      <w:marTop w:val="0"/>
      <w:marBottom w:val="0"/>
      <w:divBdr>
        <w:top w:val="none" w:sz="0" w:space="0" w:color="auto"/>
        <w:left w:val="none" w:sz="0" w:space="0" w:color="auto"/>
        <w:bottom w:val="none" w:sz="0" w:space="0" w:color="auto"/>
        <w:right w:val="none" w:sz="0" w:space="0" w:color="auto"/>
      </w:divBdr>
    </w:div>
    <w:div w:id="119881815">
      <w:bodyDiv w:val="1"/>
      <w:marLeft w:val="0"/>
      <w:marRight w:val="0"/>
      <w:marTop w:val="0"/>
      <w:marBottom w:val="0"/>
      <w:divBdr>
        <w:top w:val="none" w:sz="0" w:space="0" w:color="auto"/>
        <w:left w:val="none" w:sz="0" w:space="0" w:color="auto"/>
        <w:bottom w:val="none" w:sz="0" w:space="0" w:color="auto"/>
        <w:right w:val="none" w:sz="0" w:space="0" w:color="auto"/>
      </w:divBdr>
    </w:div>
    <w:div w:id="124080291">
      <w:bodyDiv w:val="1"/>
      <w:marLeft w:val="0"/>
      <w:marRight w:val="0"/>
      <w:marTop w:val="0"/>
      <w:marBottom w:val="0"/>
      <w:divBdr>
        <w:top w:val="none" w:sz="0" w:space="0" w:color="auto"/>
        <w:left w:val="none" w:sz="0" w:space="0" w:color="auto"/>
        <w:bottom w:val="none" w:sz="0" w:space="0" w:color="auto"/>
        <w:right w:val="none" w:sz="0" w:space="0" w:color="auto"/>
      </w:divBdr>
    </w:div>
    <w:div w:id="127749101">
      <w:bodyDiv w:val="1"/>
      <w:marLeft w:val="0"/>
      <w:marRight w:val="0"/>
      <w:marTop w:val="0"/>
      <w:marBottom w:val="0"/>
      <w:divBdr>
        <w:top w:val="none" w:sz="0" w:space="0" w:color="auto"/>
        <w:left w:val="none" w:sz="0" w:space="0" w:color="auto"/>
        <w:bottom w:val="none" w:sz="0" w:space="0" w:color="auto"/>
        <w:right w:val="none" w:sz="0" w:space="0" w:color="auto"/>
      </w:divBdr>
    </w:div>
    <w:div w:id="134838692">
      <w:bodyDiv w:val="1"/>
      <w:marLeft w:val="0"/>
      <w:marRight w:val="0"/>
      <w:marTop w:val="0"/>
      <w:marBottom w:val="0"/>
      <w:divBdr>
        <w:top w:val="none" w:sz="0" w:space="0" w:color="auto"/>
        <w:left w:val="none" w:sz="0" w:space="0" w:color="auto"/>
        <w:bottom w:val="none" w:sz="0" w:space="0" w:color="auto"/>
        <w:right w:val="none" w:sz="0" w:space="0" w:color="auto"/>
      </w:divBdr>
    </w:div>
    <w:div w:id="136731689">
      <w:bodyDiv w:val="1"/>
      <w:marLeft w:val="0"/>
      <w:marRight w:val="0"/>
      <w:marTop w:val="0"/>
      <w:marBottom w:val="0"/>
      <w:divBdr>
        <w:top w:val="none" w:sz="0" w:space="0" w:color="auto"/>
        <w:left w:val="none" w:sz="0" w:space="0" w:color="auto"/>
        <w:bottom w:val="none" w:sz="0" w:space="0" w:color="auto"/>
        <w:right w:val="none" w:sz="0" w:space="0" w:color="auto"/>
      </w:divBdr>
    </w:div>
    <w:div w:id="142701965">
      <w:bodyDiv w:val="1"/>
      <w:marLeft w:val="0"/>
      <w:marRight w:val="0"/>
      <w:marTop w:val="0"/>
      <w:marBottom w:val="0"/>
      <w:divBdr>
        <w:top w:val="none" w:sz="0" w:space="0" w:color="auto"/>
        <w:left w:val="none" w:sz="0" w:space="0" w:color="auto"/>
        <w:bottom w:val="none" w:sz="0" w:space="0" w:color="auto"/>
        <w:right w:val="none" w:sz="0" w:space="0" w:color="auto"/>
      </w:divBdr>
    </w:div>
    <w:div w:id="162203437">
      <w:bodyDiv w:val="1"/>
      <w:marLeft w:val="0"/>
      <w:marRight w:val="0"/>
      <w:marTop w:val="0"/>
      <w:marBottom w:val="0"/>
      <w:divBdr>
        <w:top w:val="none" w:sz="0" w:space="0" w:color="auto"/>
        <w:left w:val="none" w:sz="0" w:space="0" w:color="auto"/>
        <w:bottom w:val="none" w:sz="0" w:space="0" w:color="auto"/>
        <w:right w:val="none" w:sz="0" w:space="0" w:color="auto"/>
      </w:divBdr>
      <w:divsChild>
        <w:div w:id="596904616">
          <w:marLeft w:val="274"/>
          <w:marRight w:val="0"/>
          <w:marTop w:val="19"/>
          <w:marBottom w:val="19"/>
          <w:divBdr>
            <w:top w:val="none" w:sz="0" w:space="0" w:color="auto"/>
            <w:left w:val="none" w:sz="0" w:space="0" w:color="auto"/>
            <w:bottom w:val="none" w:sz="0" w:space="0" w:color="auto"/>
            <w:right w:val="none" w:sz="0" w:space="0" w:color="auto"/>
          </w:divBdr>
        </w:div>
        <w:div w:id="1117213246">
          <w:marLeft w:val="274"/>
          <w:marRight w:val="0"/>
          <w:marTop w:val="19"/>
          <w:marBottom w:val="19"/>
          <w:divBdr>
            <w:top w:val="none" w:sz="0" w:space="0" w:color="auto"/>
            <w:left w:val="none" w:sz="0" w:space="0" w:color="auto"/>
            <w:bottom w:val="none" w:sz="0" w:space="0" w:color="auto"/>
            <w:right w:val="none" w:sz="0" w:space="0" w:color="auto"/>
          </w:divBdr>
        </w:div>
        <w:div w:id="1639265607">
          <w:marLeft w:val="274"/>
          <w:marRight w:val="0"/>
          <w:marTop w:val="19"/>
          <w:marBottom w:val="19"/>
          <w:divBdr>
            <w:top w:val="none" w:sz="0" w:space="0" w:color="auto"/>
            <w:left w:val="none" w:sz="0" w:space="0" w:color="auto"/>
            <w:bottom w:val="none" w:sz="0" w:space="0" w:color="auto"/>
            <w:right w:val="none" w:sz="0" w:space="0" w:color="auto"/>
          </w:divBdr>
        </w:div>
      </w:divsChild>
    </w:div>
    <w:div w:id="169411558">
      <w:bodyDiv w:val="1"/>
      <w:marLeft w:val="0"/>
      <w:marRight w:val="0"/>
      <w:marTop w:val="0"/>
      <w:marBottom w:val="0"/>
      <w:divBdr>
        <w:top w:val="none" w:sz="0" w:space="0" w:color="auto"/>
        <w:left w:val="none" w:sz="0" w:space="0" w:color="auto"/>
        <w:bottom w:val="none" w:sz="0" w:space="0" w:color="auto"/>
        <w:right w:val="none" w:sz="0" w:space="0" w:color="auto"/>
      </w:divBdr>
    </w:div>
    <w:div w:id="174343309">
      <w:bodyDiv w:val="1"/>
      <w:marLeft w:val="0"/>
      <w:marRight w:val="0"/>
      <w:marTop w:val="0"/>
      <w:marBottom w:val="0"/>
      <w:divBdr>
        <w:top w:val="none" w:sz="0" w:space="0" w:color="auto"/>
        <w:left w:val="none" w:sz="0" w:space="0" w:color="auto"/>
        <w:bottom w:val="none" w:sz="0" w:space="0" w:color="auto"/>
        <w:right w:val="none" w:sz="0" w:space="0" w:color="auto"/>
      </w:divBdr>
    </w:div>
    <w:div w:id="184028549">
      <w:bodyDiv w:val="1"/>
      <w:marLeft w:val="0"/>
      <w:marRight w:val="0"/>
      <w:marTop w:val="0"/>
      <w:marBottom w:val="0"/>
      <w:divBdr>
        <w:top w:val="none" w:sz="0" w:space="0" w:color="auto"/>
        <w:left w:val="none" w:sz="0" w:space="0" w:color="auto"/>
        <w:bottom w:val="none" w:sz="0" w:space="0" w:color="auto"/>
        <w:right w:val="none" w:sz="0" w:space="0" w:color="auto"/>
      </w:divBdr>
    </w:div>
    <w:div w:id="192815238">
      <w:bodyDiv w:val="1"/>
      <w:marLeft w:val="0"/>
      <w:marRight w:val="0"/>
      <w:marTop w:val="0"/>
      <w:marBottom w:val="0"/>
      <w:divBdr>
        <w:top w:val="none" w:sz="0" w:space="0" w:color="auto"/>
        <w:left w:val="none" w:sz="0" w:space="0" w:color="auto"/>
        <w:bottom w:val="none" w:sz="0" w:space="0" w:color="auto"/>
        <w:right w:val="none" w:sz="0" w:space="0" w:color="auto"/>
      </w:divBdr>
    </w:div>
    <w:div w:id="202979947">
      <w:bodyDiv w:val="1"/>
      <w:marLeft w:val="0"/>
      <w:marRight w:val="0"/>
      <w:marTop w:val="0"/>
      <w:marBottom w:val="0"/>
      <w:divBdr>
        <w:top w:val="none" w:sz="0" w:space="0" w:color="auto"/>
        <w:left w:val="none" w:sz="0" w:space="0" w:color="auto"/>
        <w:bottom w:val="none" w:sz="0" w:space="0" w:color="auto"/>
        <w:right w:val="none" w:sz="0" w:space="0" w:color="auto"/>
      </w:divBdr>
    </w:div>
    <w:div w:id="208108382">
      <w:bodyDiv w:val="1"/>
      <w:marLeft w:val="0"/>
      <w:marRight w:val="0"/>
      <w:marTop w:val="0"/>
      <w:marBottom w:val="0"/>
      <w:divBdr>
        <w:top w:val="none" w:sz="0" w:space="0" w:color="auto"/>
        <w:left w:val="none" w:sz="0" w:space="0" w:color="auto"/>
        <w:bottom w:val="none" w:sz="0" w:space="0" w:color="auto"/>
        <w:right w:val="none" w:sz="0" w:space="0" w:color="auto"/>
      </w:divBdr>
    </w:div>
    <w:div w:id="215899425">
      <w:bodyDiv w:val="1"/>
      <w:marLeft w:val="0"/>
      <w:marRight w:val="0"/>
      <w:marTop w:val="0"/>
      <w:marBottom w:val="0"/>
      <w:divBdr>
        <w:top w:val="none" w:sz="0" w:space="0" w:color="auto"/>
        <w:left w:val="none" w:sz="0" w:space="0" w:color="auto"/>
        <w:bottom w:val="none" w:sz="0" w:space="0" w:color="auto"/>
        <w:right w:val="none" w:sz="0" w:space="0" w:color="auto"/>
      </w:divBdr>
    </w:div>
    <w:div w:id="219630290">
      <w:bodyDiv w:val="1"/>
      <w:marLeft w:val="0"/>
      <w:marRight w:val="0"/>
      <w:marTop w:val="0"/>
      <w:marBottom w:val="0"/>
      <w:divBdr>
        <w:top w:val="none" w:sz="0" w:space="0" w:color="auto"/>
        <w:left w:val="none" w:sz="0" w:space="0" w:color="auto"/>
        <w:bottom w:val="none" w:sz="0" w:space="0" w:color="auto"/>
        <w:right w:val="none" w:sz="0" w:space="0" w:color="auto"/>
      </w:divBdr>
    </w:div>
    <w:div w:id="222638827">
      <w:bodyDiv w:val="1"/>
      <w:marLeft w:val="0"/>
      <w:marRight w:val="0"/>
      <w:marTop w:val="0"/>
      <w:marBottom w:val="0"/>
      <w:divBdr>
        <w:top w:val="none" w:sz="0" w:space="0" w:color="auto"/>
        <w:left w:val="none" w:sz="0" w:space="0" w:color="auto"/>
        <w:bottom w:val="none" w:sz="0" w:space="0" w:color="auto"/>
        <w:right w:val="none" w:sz="0" w:space="0" w:color="auto"/>
      </w:divBdr>
    </w:div>
    <w:div w:id="235432261">
      <w:bodyDiv w:val="1"/>
      <w:marLeft w:val="0"/>
      <w:marRight w:val="0"/>
      <w:marTop w:val="0"/>
      <w:marBottom w:val="0"/>
      <w:divBdr>
        <w:top w:val="none" w:sz="0" w:space="0" w:color="auto"/>
        <w:left w:val="none" w:sz="0" w:space="0" w:color="auto"/>
        <w:bottom w:val="none" w:sz="0" w:space="0" w:color="auto"/>
        <w:right w:val="none" w:sz="0" w:space="0" w:color="auto"/>
      </w:divBdr>
      <w:divsChild>
        <w:div w:id="1142843299">
          <w:marLeft w:val="547"/>
          <w:marRight w:val="0"/>
          <w:marTop w:val="0"/>
          <w:marBottom w:val="120"/>
          <w:divBdr>
            <w:top w:val="none" w:sz="0" w:space="0" w:color="auto"/>
            <w:left w:val="none" w:sz="0" w:space="0" w:color="auto"/>
            <w:bottom w:val="none" w:sz="0" w:space="0" w:color="auto"/>
            <w:right w:val="none" w:sz="0" w:space="0" w:color="auto"/>
          </w:divBdr>
        </w:div>
      </w:divsChild>
    </w:div>
    <w:div w:id="242229554">
      <w:bodyDiv w:val="1"/>
      <w:marLeft w:val="0"/>
      <w:marRight w:val="0"/>
      <w:marTop w:val="0"/>
      <w:marBottom w:val="0"/>
      <w:divBdr>
        <w:top w:val="none" w:sz="0" w:space="0" w:color="auto"/>
        <w:left w:val="none" w:sz="0" w:space="0" w:color="auto"/>
        <w:bottom w:val="none" w:sz="0" w:space="0" w:color="auto"/>
        <w:right w:val="none" w:sz="0" w:space="0" w:color="auto"/>
      </w:divBdr>
    </w:div>
    <w:div w:id="242615291">
      <w:bodyDiv w:val="1"/>
      <w:marLeft w:val="0"/>
      <w:marRight w:val="0"/>
      <w:marTop w:val="0"/>
      <w:marBottom w:val="0"/>
      <w:divBdr>
        <w:top w:val="none" w:sz="0" w:space="0" w:color="auto"/>
        <w:left w:val="none" w:sz="0" w:space="0" w:color="auto"/>
        <w:bottom w:val="none" w:sz="0" w:space="0" w:color="auto"/>
        <w:right w:val="none" w:sz="0" w:space="0" w:color="auto"/>
      </w:divBdr>
    </w:div>
    <w:div w:id="243682612">
      <w:bodyDiv w:val="1"/>
      <w:marLeft w:val="0"/>
      <w:marRight w:val="0"/>
      <w:marTop w:val="0"/>
      <w:marBottom w:val="0"/>
      <w:divBdr>
        <w:top w:val="none" w:sz="0" w:space="0" w:color="auto"/>
        <w:left w:val="none" w:sz="0" w:space="0" w:color="auto"/>
        <w:bottom w:val="none" w:sz="0" w:space="0" w:color="auto"/>
        <w:right w:val="none" w:sz="0" w:space="0" w:color="auto"/>
      </w:divBdr>
    </w:div>
    <w:div w:id="245846761">
      <w:bodyDiv w:val="1"/>
      <w:marLeft w:val="0"/>
      <w:marRight w:val="0"/>
      <w:marTop w:val="0"/>
      <w:marBottom w:val="0"/>
      <w:divBdr>
        <w:top w:val="none" w:sz="0" w:space="0" w:color="auto"/>
        <w:left w:val="none" w:sz="0" w:space="0" w:color="auto"/>
        <w:bottom w:val="none" w:sz="0" w:space="0" w:color="auto"/>
        <w:right w:val="none" w:sz="0" w:space="0" w:color="auto"/>
      </w:divBdr>
    </w:div>
    <w:div w:id="247732236">
      <w:bodyDiv w:val="1"/>
      <w:marLeft w:val="0"/>
      <w:marRight w:val="0"/>
      <w:marTop w:val="0"/>
      <w:marBottom w:val="0"/>
      <w:divBdr>
        <w:top w:val="none" w:sz="0" w:space="0" w:color="auto"/>
        <w:left w:val="none" w:sz="0" w:space="0" w:color="auto"/>
        <w:bottom w:val="none" w:sz="0" w:space="0" w:color="auto"/>
        <w:right w:val="none" w:sz="0" w:space="0" w:color="auto"/>
      </w:divBdr>
      <w:divsChild>
        <w:div w:id="1446194829">
          <w:marLeft w:val="446"/>
          <w:marRight w:val="0"/>
          <w:marTop w:val="0"/>
          <w:marBottom w:val="80"/>
          <w:divBdr>
            <w:top w:val="none" w:sz="0" w:space="0" w:color="auto"/>
            <w:left w:val="none" w:sz="0" w:space="0" w:color="auto"/>
            <w:bottom w:val="none" w:sz="0" w:space="0" w:color="auto"/>
            <w:right w:val="none" w:sz="0" w:space="0" w:color="auto"/>
          </w:divBdr>
        </w:div>
        <w:div w:id="1744447533">
          <w:marLeft w:val="446"/>
          <w:marRight w:val="0"/>
          <w:marTop w:val="0"/>
          <w:marBottom w:val="80"/>
          <w:divBdr>
            <w:top w:val="none" w:sz="0" w:space="0" w:color="auto"/>
            <w:left w:val="none" w:sz="0" w:space="0" w:color="auto"/>
            <w:bottom w:val="none" w:sz="0" w:space="0" w:color="auto"/>
            <w:right w:val="none" w:sz="0" w:space="0" w:color="auto"/>
          </w:divBdr>
        </w:div>
        <w:div w:id="1887835133">
          <w:marLeft w:val="446"/>
          <w:marRight w:val="0"/>
          <w:marTop w:val="0"/>
          <w:marBottom w:val="80"/>
          <w:divBdr>
            <w:top w:val="none" w:sz="0" w:space="0" w:color="auto"/>
            <w:left w:val="none" w:sz="0" w:space="0" w:color="auto"/>
            <w:bottom w:val="none" w:sz="0" w:space="0" w:color="auto"/>
            <w:right w:val="none" w:sz="0" w:space="0" w:color="auto"/>
          </w:divBdr>
        </w:div>
        <w:div w:id="1186017705">
          <w:marLeft w:val="446"/>
          <w:marRight w:val="0"/>
          <w:marTop w:val="0"/>
          <w:marBottom w:val="80"/>
          <w:divBdr>
            <w:top w:val="none" w:sz="0" w:space="0" w:color="auto"/>
            <w:left w:val="none" w:sz="0" w:space="0" w:color="auto"/>
            <w:bottom w:val="none" w:sz="0" w:space="0" w:color="auto"/>
            <w:right w:val="none" w:sz="0" w:space="0" w:color="auto"/>
          </w:divBdr>
        </w:div>
        <w:div w:id="638340742">
          <w:marLeft w:val="446"/>
          <w:marRight w:val="0"/>
          <w:marTop w:val="0"/>
          <w:marBottom w:val="80"/>
          <w:divBdr>
            <w:top w:val="none" w:sz="0" w:space="0" w:color="auto"/>
            <w:left w:val="none" w:sz="0" w:space="0" w:color="auto"/>
            <w:bottom w:val="none" w:sz="0" w:space="0" w:color="auto"/>
            <w:right w:val="none" w:sz="0" w:space="0" w:color="auto"/>
          </w:divBdr>
        </w:div>
        <w:div w:id="95057004">
          <w:marLeft w:val="446"/>
          <w:marRight w:val="0"/>
          <w:marTop w:val="0"/>
          <w:marBottom w:val="80"/>
          <w:divBdr>
            <w:top w:val="none" w:sz="0" w:space="0" w:color="auto"/>
            <w:left w:val="none" w:sz="0" w:space="0" w:color="auto"/>
            <w:bottom w:val="none" w:sz="0" w:space="0" w:color="auto"/>
            <w:right w:val="none" w:sz="0" w:space="0" w:color="auto"/>
          </w:divBdr>
        </w:div>
      </w:divsChild>
    </w:div>
    <w:div w:id="251210188">
      <w:bodyDiv w:val="1"/>
      <w:marLeft w:val="0"/>
      <w:marRight w:val="0"/>
      <w:marTop w:val="0"/>
      <w:marBottom w:val="0"/>
      <w:divBdr>
        <w:top w:val="none" w:sz="0" w:space="0" w:color="auto"/>
        <w:left w:val="none" w:sz="0" w:space="0" w:color="auto"/>
        <w:bottom w:val="none" w:sz="0" w:space="0" w:color="auto"/>
        <w:right w:val="none" w:sz="0" w:space="0" w:color="auto"/>
      </w:divBdr>
    </w:div>
    <w:div w:id="258564170">
      <w:bodyDiv w:val="1"/>
      <w:marLeft w:val="0"/>
      <w:marRight w:val="0"/>
      <w:marTop w:val="0"/>
      <w:marBottom w:val="0"/>
      <w:divBdr>
        <w:top w:val="none" w:sz="0" w:space="0" w:color="auto"/>
        <w:left w:val="none" w:sz="0" w:space="0" w:color="auto"/>
        <w:bottom w:val="none" w:sz="0" w:space="0" w:color="auto"/>
        <w:right w:val="none" w:sz="0" w:space="0" w:color="auto"/>
      </w:divBdr>
      <w:divsChild>
        <w:div w:id="359862866">
          <w:marLeft w:val="360"/>
          <w:marRight w:val="0"/>
          <w:marTop w:val="0"/>
          <w:marBottom w:val="0"/>
          <w:divBdr>
            <w:top w:val="none" w:sz="0" w:space="0" w:color="auto"/>
            <w:left w:val="none" w:sz="0" w:space="0" w:color="auto"/>
            <w:bottom w:val="none" w:sz="0" w:space="0" w:color="auto"/>
            <w:right w:val="none" w:sz="0" w:space="0" w:color="auto"/>
          </w:divBdr>
        </w:div>
        <w:div w:id="415827115">
          <w:marLeft w:val="360"/>
          <w:marRight w:val="0"/>
          <w:marTop w:val="0"/>
          <w:marBottom w:val="0"/>
          <w:divBdr>
            <w:top w:val="none" w:sz="0" w:space="0" w:color="auto"/>
            <w:left w:val="none" w:sz="0" w:space="0" w:color="auto"/>
            <w:bottom w:val="none" w:sz="0" w:space="0" w:color="auto"/>
            <w:right w:val="none" w:sz="0" w:space="0" w:color="auto"/>
          </w:divBdr>
        </w:div>
        <w:div w:id="444232935">
          <w:marLeft w:val="360"/>
          <w:marRight w:val="0"/>
          <w:marTop w:val="0"/>
          <w:marBottom w:val="0"/>
          <w:divBdr>
            <w:top w:val="none" w:sz="0" w:space="0" w:color="auto"/>
            <w:left w:val="none" w:sz="0" w:space="0" w:color="auto"/>
            <w:bottom w:val="none" w:sz="0" w:space="0" w:color="auto"/>
            <w:right w:val="none" w:sz="0" w:space="0" w:color="auto"/>
          </w:divBdr>
        </w:div>
        <w:div w:id="622688548">
          <w:marLeft w:val="360"/>
          <w:marRight w:val="0"/>
          <w:marTop w:val="0"/>
          <w:marBottom w:val="0"/>
          <w:divBdr>
            <w:top w:val="none" w:sz="0" w:space="0" w:color="auto"/>
            <w:left w:val="none" w:sz="0" w:space="0" w:color="auto"/>
            <w:bottom w:val="none" w:sz="0" w:space="0" w:color="auto"/>
            <w:right w:val="none" w:sz="0" w:space="0" w:color="auto"/>
          </w:divBdr>
        </w:div>
        <w:div w:id="927276186">
          <w:marLeft w:val="360"/>
          <w:marRight w:val="0"/>
          <w:marTop w:val="0"/>
          <w:marBottom w:val="0"/>
          <w:divBdr>
            <w:top w:val="none" w:sz="0" w:space="0" w:color="auto"/>
            <w:left w:val="none" w:sz="0" w:space="0" w:color="auto"/>
            <w:bottom w:val="none" w:sz="0" w:space="0" w:color="auto"/>
            <w:right w:val="none" w:sz="0" w:space="0" w:color="auto"/>
          </w:divBdr>
        </w:div>
        <w:div w:id="997423458">
          <w:marLeft w:val="360"/>
          <w:marRight w:val="0"/>
          <w:marTop w:val="0"/>
          <w:marBottom w:val="0"/>
          <w:divBdr>
            <w:top w:val="none" w:sz="0" w:space="0" w:color="auto"/>
            <w:left w:val="none" w:sz="0" w:space="0" w:color="auto"/>
            <w:bottom w:val="none" w:sz="0" w:space="0" w:color="auto"/>
            <w:right w:val="none" w:sz="0" w:space="0" w:color="auto"/>
          </w:divBdr>
        </w:div>
        <w:div w:id="1066150341">
          <w:marLeft w:val="360"/>
          <w:marRight w:val="0"/>
          <w:marTop w:val="0"/>
          <w:marBottom w:val="0"/>
          <w:divBdr>
            <w:top w:val="none" w:sz="0" w:space="0" w:color="auto"/>
            <w:left w:val="none" w:sz="0" w:space="0" w:color="auto"/>
            <w:bottom w:val="none" w:sz="0" w:space="0" w:color="auto"/>
            <w:right w:val="none" w:sz="0" w:space="0" w:color="auto"/>
          </w:divBdr>
        </w:div>
        <w:div w:id="1140806138">
          <w:marLeft w:val="360"/>
          <w:marRight w:val="0"/>
          <w:marTop w:val="0"/>
          <w:marBottom w:val="0"/>
          <w:divBdr>
            <w:top w:val="none" w:sz="0" w:space="0" w:color="auto"/>
            <w:left w:val="none" w:sz="0" w:space="0" w:color="auto"/>
            <w:bottom w:val="none" w:sz="0" w:space="0" w:color="auto"/>
            <w:right w:val="none" w:sz="0" w:space="0" w:color="auto"/>
          </w:divBdr>
        </w:div>
        <w:div w:id="1410420896">
          <w:marLeft w:val="360"/>
          <w:marRight w:val="0"/>
          <w:marTop w:val="0"/>
          <w:marBottom w:val="0"/>
          <w:divBdr>
            <w:top w:val="none" w:sz="0" w:space="0" w:color="auto"/>
            <w:left w:val="none" w:sz="0" w:space="0" w:color="auto"/>
            <w:bottom w:val="none" w:sz="0" w:space="0" w:color="auto"/>
            <w:right w:val="none" w:sz="0" w:space="0" w:color="auto"/>
          </w:divBdr>
        </w:div>
        <w:div w:id="1422607205">
          <w:marLeft w:val="360"/>
          <w:marRight w:val="0"/>
          <w:marTop w:val="0"/>
          <w:marBottom w:val="0"/>
          <w:divBdr>
            <w:top w:val="none" w:sz="0" w:space="0" w:color="auto"/>
            <w:left w:val="none" w:sz="0" w:space="0" w:color="auto"/>
            <w:bottom w:val="none" w:sz="0" w:space="0" w:color="auto"/>
            <w:right w:val="none" w:sz="0" w:space="0" w:color="auto"/>
          </w:divBdr>
        </w:div>
        <w:div w:id="1424761182">
          <w:marLeft w:val="360"/>
          <w:marRight w:val="0"/>
          <w:marTop w:val="0"/>
          <w:marBottom w:val="0"/>
          <w:divBdr>
            <w:top w:val="none" w:sz="0" w:space="0" w:color="auto"/>
            <w:left w:val="none" w:sz="0" w:space="0" w:color="auto"/>
            <w:bottom w:val="none" w:sz="0" w:space="0" w:color="auto"/>
            <w:right w:val="none" w:sz="0" w:space="0" w:color="auto"/>
          </w:divBdr>
        </w:div>
        <w:div w:id="1592078600">
          <w:marLeft w:val="360"/>
          <w:marRight w:val="0"/>
          <w:marTop w:val="0"/>
          <w:marBottom w:val="0"/>
          <w:divBdr>
            <w:top w:val="none" w:sz="0" w:space="0" w:color="auto"/>
            <w:left w:val="none" w:sz="0" w:space="0" w:color="auto"/>
            <w:bottom w:val="none" w:sz="0" w:space="0" w:color="auto"/>
            <w:right w:val="none" w:sz="0" w:space="0" w:color="auto"/>
          </w:divBdr>
        </w:div>
        <w:div w:id="1605576203">
          <w:marLeft w:val="360"/>
          <w:marRight w:val="0"/>
          <w:marTop w:val="0"/>
          <w:marBottom w:val="0"/>
          <w:divBdr>
            <w:top w:val="none" w:sz="0" w:space="0" w:color="auto"/>
            <w:left w:val="none" w:sz="0" w:space="0" w:color="auto"/>
            <w:bottom w:val="none" w:sz="0" w:space="0" w:color="auto"/>
            <w:right w:val="none" w:sz="0" w:space="0" w:color="auto"/>
          </w:divBdr>
        </w:div>
        <w:div w:id="1950157833">
          <w:marLeft w:val="360"/>
          <w:marRight w:val="0"/>
          <w:marTop w:val="0"/>
          <w:marBottom w:val="0"/>
          <w:divBdr>
            <w:top w:val="none" w:sz="0" w:space="0" w:color="auto"/>
            <w:left w:val="none" w:sz="0" w:space="0" w:color="auto"/>
            <w:bottom w:val="none" w:sz="0" w:space="0" w:color="auto"/>
            <w:right w:val="none" w:sz="0" w:space="0" w:color="auto"/>
          </w:divBdr>
        </w:div>
        <w:div w:id="2019649152">
          <w:marLeft w:val="360"/>
          <w:marRight w:val="0"/>
          <w:marTop w:val="0"/>
          <w:marBottom w:val="0"/>
          <w:divBdr>
            <w:top w:val="none" w:sz="0" w:space="0" w:color="auto"/>
            <w:left w:val="none" w:sz="0" w:space="0" w:color="auto"/>
            <w:bottom w:val="none" w:sz="0" w:space="0" w:color="auto"/>
            <w:right w:val="none" w:sz="0" w:space="0" w:color="auto"/>
          </w:divBdr>
        </w:div>
        <w:div w:id="2043047280">
          <w:marLeft w:val="360"/>
          <w:marRight w:val="0"/>
          <w:marTop w:val="0"/>
          <w:marBottom w:val="0"/>
          <w:divBdr>
            <w:top w:val="none" w:sz="0" w:space="0" w:color="auto"/>
            <w:left w:val="none" w:sz="0" w:space="0" w:color="auto"/>
            <w:bottom w:val="none" w:sz="0" w:space="0" w:color="auto"/>
            <w:right w:val="none" w:sz="0" w:space="0" w:color="auto"/>
          </w:divBdr>
        </w:div>
        <w:div w:id="2060473841">
          <w:marLeft w:val="360"/>
          <w:marRight w:val="0"/>
          <w:marTop w:val="0"/>
          <w:marBottom w:val="0"/>
          <w:divBdr>
            <w:top w:val="none" w:sz="0" w:space="0" w:color="auto"/>
            <w:left w:val="none" w:sz="0" w:space="0" w:color="auto"/>
            <w:bottom w:val="none" w:sz="0" w:space="0" w:color="auto"/>
            <w:right w:val="none" w:sz="0" w:space="0" w:color="auto"/>
          </w:divBdr>
        </w:div>
        <w:div w:id="2070303806">
          <w:marLeft w:val="360"/>
          <w:marRight w:val="0"/>
          <w:marTop w:val="0"/>
          <w:marBottom w:val="0"/>
          <w:divBdr>
            <w:top w:val="none" w:sz="0" w:space="0" w:color="auto"/>
            <w:left w:val="none" w:sz="0" w:space="0" w:color="auto"/>
            <w:bottom w:val="none" w:sz="0" w:space="0" w:color="auto"/>
            <w:right w:val="none" w:sz="0" w:space="0" w:color="auto"/>
          </w:divBdr>
        </w:div>
        <w:div w:id="2092193327">
          <w:marLeft w:val="360"/>
          <w:marRight w:val="0"/>
          <w:marTop w:val="0"/>
          <w:marBottom w:val="0"/>
          <w:divBdr>
            <w:top w:val="none" w:sz="0" w:space="0" w:color="auto"/>
            <w:left w:val="none" w:sz="0" w:space="0" w:color="auto"/>
            <w:bottom w:val="none" w:sz="0" w:space="0" w:color="auto"/>
            <w:right w:val="none" w:sz="0" w:space="0" w:color="auto"/>
          </w:divBdr>
        </w:div>
        <w:div w:id="2119793387">
          <w:marLeft w:val="360"/>
          <w:marRight w:val="0"/>
          <w:marTop w:val="0"/>
          <w:marBottom w:val="0"/>
          <w:divBdr>
            <w:top w:val="none" w:sz="0" w:space="0" w:color="auto"/>
            <w:left w:val="none" w:sz="0" w:space="0" w:color="auto"/>
            <w:bottom w:val="none" w:sz="0" w:space="0" w:color="auto"/>
            <w:right w:val="none" w:sz="0" w:space="0" w:color="auto"/>
          </w:divBdr>
        </w:div>
      </w:divsChild>
    </w:div>
    <w:div w:id="278026332">
      <w:bodyDiv w:val="1"/>
      <w:marLeft w:val="0"/>
      <w:marRight w:val="0"/>
      <w:marTop w:val="0"/>
      <w:marBottom w:val="0"/>
      <w:divBdr>
        <w:top w:val="none" w:sz="0" w:space="0" w:color="auto"/>
        <w:left w:val="none" w:sz="0" w:space="0" w:color="auto"/>
        <w:bottom w:val="none" w:sz="0" w:space="0" w:color="auto"/>
        <w:right w:val="none" w:sz="0" w:space="0" w:color="auto"/>
      </w:divBdr>
    </w:div>
    <w:div w:id="283268324">
      <w:bodyDiv w:val="1"/>
      <w:marLeft w:val="0"/>
      <w:marRight w:val="0"/>
      <w:marTop w:val="0"/>
      <w:marBottom w:val="0"/>
      <w:divBdr>
        <w:top w:val="none" w:sz="0" w:space="0" w:color="auto"/>
        <w:left w:val="none" w:sz="0" w:space="0" w:color="auto"/>
        <w:bottom w:val="none" w:sz="0" w:space="0" w:color="auto"/>
        <w:right w:val="none" w:sz="0" w:space="0" w:color="auto"/>
      </w:divBdr>
    </w:div>
    <w:div w:id="283659865">
      <w:bodyDiv w:val="1"/>
      <w:marLeft w:val="0"/>
      <w:marRight w:val="0"/>
      <w:marTop w:val="0"/>
      <w:marBottom w:val="0"/>
      <w:divBdr>
        <w:top w:val="none" w:sz="0" w:space="0" w:color="auto"/>
        <w:left w:val="none" w:sz="0" w:space="0" w:color="auto"/>
        <w:bottom w:val="none" w:sz="0" w:space="0" w:color="auto"/>
        <w:right w:val="none" w:sz="0" w:space="0" w:color="auto"/>
      </w:divBdr>
    </w:div>
    <w:div w:id="288434532">
      <w:bodyDiv w:val="1"/>
      <w:marLeft w:val="0"/>
      <w:marRight w:val="0"/>
      <w:marTop w:val="0"/>
      <w:marBottom w:val="0"/>
      <w:divBdr>
        <w:top w:val="none" w:sz="0" w:space="0" w:color="auto"/>
        <w:left w:val="none" w:sz="0" w:space="0" w:color="auto"/>
        <w:bottom w:val="none" w:sz="0" w:space="0" w:color="auto"/>
        <w:right w:val="none" w:sz="0" w:space="0" w:color="auto"/>
      </w:divBdr>
    </w:div>
    <w:div w:id="293560254">
      <w:bodyDiv w:val="1"/>
      <w:marLeft w:val="0"/>
      <w:marRight w:val="0"/>
      <w:marTop w:val="0"/>
      <w:marBottom w:val="0"/>
      <w:divBdr>
        <w:top w:val="none" w:sz="0" w:space="0" w:color="auto"/>
        <w:left w:val="none" w:sz="0" w:space="0" w:color="auto"/>
        <w:bottom w:val="none" w:sz="0" w:space="0" w:color="auto"/>
        <w:right w:val="none" w:sz="0" w:space="0" w:color="auto"/>
      </w:divBdr>
    </w:div>
    <w:div w:id="302974670">
      <w:bodyDiv w:val="1"/>
      <w:marLeft w:val="0"/>
      <w:marRight w:val="0"/>
      <w:marTop w:val="0"/>
      <w:marBottom w:val="0"/>
      <w:divBdr>
        <w:top w:val="none" w:sz="0" w:space="0" w:color="auto"/>
        <w:left w:val="none" w:sz="0" w:space="0" w:color="auto"/>
        <w:bottom w:val="none" w:sz="0" w:space="0" w:color="auto"/>
        <w:right w:val="none" w:sz="0" w:space="0" w:color="auto"/>
      </w:divBdr>
    </w:div>
    <w:div w:id="305664634">
      <w:bodyDiv w:val="1"/>
      <w:marLeft w:val="0"/>
      <w:marRight w:val="0"/>
      <w:marTop w:val="0"/>
      <w:marBottom w:val="0"/>
      <w:divBdr>
        <w:top w:val="none" w:sz="0" w:space="0" w:color="auto"/>
        <w:left w:val="none" w:sz="0" w:space="0" w:color="auto"/>
        <w:bottom w:val="none" w:sz="0" w:space="0" w:color="auto"/>
        <w:right w:val="none" w:sz="0" w:space="0" w:color="auto"/>
      </w:divBdr>
      <w:divsChild>
        <w:div w:id="465853704">
          <w:marLeft w:val="547"/>
          <w:marRight w:val="0"/>
          <w:marTop w:val="0"/>
          <w:marBottom w:val="120"/>
          <w:divBdr>
            <w:top w:val="none" w:sz="0" w:space="0" w:color="auto"/>
            <w:left w:val="none" w:sz="0" w:space="0" w:color="auto"/>
            <w:bottom w:val="none" w:sz="0" w:space="0" w:color="auto"/>
            <w:right w:val="none" w:sz="0" w:space="0" w:color="auto"/>
          </w:divBdr>
        </w:div>
      </w:divsChild>
    </w:div>
    <w:div w:id="310646553">
      <w:bodyDiv w:val="1"/>
      <w:marLeft w:val="0"/>
      <w:marRight w:val="0"/>
      <w:marTop w:val="0"/>
      <w:marBottom w:val="0"/>
      <w:divBdr>
        <w:top w:val="none" w:sz="0" w:space="0" w:color="auto"/>
        <w:left w:val="none" w:sz="0" w:space="0" w:color="auto"/>
        <w:bottom w:val="none" w:sz="0" w:space="0" w:color="auto"/>
        <w:right w:val="none" w:sz="0" w:space="0" w:color="auto"/>
      </w:divBdr>
    </w:div>
    <w:div w:id="312025945">
      <w:bodyDiv w:val="1"/>
      <w:marLeft w:val="0"/>
      <w:marRight w:val="0"/>
      <w:marTop w:val="0"/>
      <w:marBottom w:val="0"/>
      <w:divBdr>
        <w:top w:val="none" w:sz="0" w:space="0" w:color="auto"/>
        <w:left w:val="none" w:sz="0" w:space="0" w:color="auto"/>
        <w:bottom w:val="none" w:sz="0" w:space="0" w:color="auto"/>
        <w:right w:val="none" w:sz="0" w:space="0" w:color="auto"/>
      </w:divBdr>
    </w:div>
    <w:div w:id="318458393">
      <w:bodyDiv w:val="1"/>
      <w:marLeft w:val="0"/>
      <w:marRight w:val="0"/>
      <w:marTop w:val="0"/>
      <w:marBottom w:val="0"/>
      <w:divBdr>
        <w:top w:val="none" w:sz="0" w:space="0" w:color="auto"/>
        <w:left w:val="none" w:sz="0" w:space="0" w:color="auto"/>
        <w:bottom w:val="none" w:sz="0" w:space="0" w:color="auto"/>
        <w:right w:val="none" w:sz="0" w:space="0" w:color="auto"/>
      </w:divBdr>
    </w:div>
    <w:div w:id="332496431">
      <w:bodyDiv w:val="1"/>
      <w:marLeft w:val="0"/>
      <w:marRight w:val="0"/>
      <w:marTop w:val="0"/>
      <w:marBottom w:val="0"/>
      <w:divBdr>
        <w:top w:val="none" w:sz="0" w:space="0" w:color="auto"/>
        <w:left w:val="none" w:sz="0" w:space="0" w:color="auto"/>
        <w:bottom w:val="none" w:sz="0" w:space="0" w:color="auto"/>
        <w:right w:val="none" w:sz="0" w:space="0" w:color="auto"/>
      </w:divBdr>
    </w:div>
    <w:div w:id="340939820">
      <w:bodyDiv w:val="1"/>
      <w:marLeft w:val="0"/>
      <w:marRight w:val="0"/>
      <w:marTop w:val="0"/>
      <w:marBottom w:val="0"/>
      <w:divBdr>
        <w:top w:val="none" w:sz="0" w:space="0" w:color="auto"/>
        <w:left w:val="none" w:sz="0" w:space="0" w:color="auto"/>
        <w:bottom w:val="none" w:sz="0" w:space="0" w:color="auto"/>
        <w:right w:val="none" w:sz="0" w:space="0" w:color="auto"/>
      </w:divBdr>
    </w:div>
    <w:div w:id="347486380">
      <w:bodyDiv w:val="1"/>
      <w:marLeft w:val="0"/>
      <w:marRight w:val="0"/>
      <w:marTop w:val="0"/>
      <w:marBottom w:val="0"/>
      <w:divBdr>
        <w:top w:val="none" w:sz="0" w:space="0" w:color="auto"/>
        <w:left w:val="none" w:sz="0" w:space="0" w:color="auto"/>
        <w:bottom w:val="none" w:sz="0" w:space="0" w:color="auto"/>
        <w:right w:val="none" w:sz="0" w:space="0" w:color="auto"/>
      </w:divBdr>
    </w:div>
    <w:div w:id="356779789">
      <w:bodyDiv w:val="1"/>
      <w:marLeft w:val="0"/>
      <w:marRight w:val="0"/>
      <w:marTop w:val="0"/>
      <w:marBottom w:val="0"/>
      <w:divBdr>
        <w:top w:val="none" w:sz="0" w:space="0" w:color="auto"/>
        <w:left w:val="none" w:sz="0" w:space="0" w:color="auto"/>
        <w:bottom w:val="none" w:sz="0" w:space="0" w:color="auto"/>
        <w:right w:val="none" w:sz="0" w:space="0" w:color="auto"/>
      </w:divBdr>
    </w:div>
    <w:div w:id="359204926">
      <w:bodyDiv w:val="1"/>
      <w:marLeft w:val="0"/>
      <w:marRight w:val="0"/>
      <w:marTop w:val="0"/>
      <w:marBottom w:val="0"/>
      <w:divBdr>
        <w:top w:val="none" w:sz="0" w:space="0" w:color="auto"/>
        <w:left w:val="none" w:sz="0" w:space="0" w:color="auto"/>
        <w:bottom w:val="none" w:sz="0" w:space="0" w:color="auto"/>
        <w:right w:val="none" w:sz="0" w:space="0" w:color="auto"/>
      </w:divBdr>
    </w:div>
    <w:div w:id="378824920">
      <w:bodyDiv w:val="1"/>
      <w:marLeft w:val="0"/>
      <w:marRight w:val="0"/>
      <w:marTop w:val="0"/>
      <w:marBottom w:val="0"/>
      <w:divBdr>
        <w:top w:val="none" w:sz="0" w:space="0" w:color="auto"/>
        <w:left w:val="none" w:sz="0" w:space="0" w:color="auto"/>
        <w:bottom w:val="none" w:sz="0" w:space="0" w:color="auto"/>
        <w:right w:val="none" w:sz="0" w:space="0" w:color="auto"/>
      </w:divBdr>
    </w:div>
    <w:div w:id="384527766">
      <w:bodyDiv w:val="1"/>
      <w:marLeft w:val="0"/>
      <w:marRight w:val="0"/>
      <w:marTop w:val="0"/>
      <w:marBottom w:val="0"/>
      <w:divBdr>
        <w:top w:val="none" w:sz="0" w:space="0" w:color="auto"/>
        <w:left w:val="none" w:sz="0" w:space="0" w:color="auto"/>
        <w:bottom w:val="none" w:sz="0" w:space="0" w:color="auto"/>
        <w:right w:val="none" w:sz="0" w:space="0" w:color="auto"/>
      </w:divBdr>
    </w:div>
    <w:div w:id="390544275">
      <w:bodyDiv w:val="1"/>
      <w:marLeft w:val="0"/>
      <w:marRight w:val="0"/>
      <w:marTop w:val="0"/>
      <w:marBottom w:val="0"/>
      <w:divBdr>
        <w:top w:val="none" w:sz="0" w:space="0" w:color="auto"/>
        <w:left w:val="none" w:sz="0" w:space="0" w:color="auto"/>
        <w:bottom w:val="none" w:sz="0" w:space="0" w:color="auto"/>
        <w:right w:val="none" w:sz="0" w:space="0" w:color="auto"/>
      </w:divBdr>
    </w:div>
    <w:div w:id="391660947">
      <w:bodyDiv w:val="1"/>
      <w:marLeft w:val="0"/>
      <w:marRight w:val="0"/>
      <w:marTop w:val="0"/>
      <w:marBottom w:val="0"/>
      <w:divBdr>
        <w:top w:val="none" w:sz="0" w:space="0" w:color="auto"/>
        <w:left w:val="none" w:sz="0" w:space="0" w:color="auto"/>
        <w:bottom w:val="none" w:sz="0" w:space="0" w:color="auto"/>
        <w:right w:val="none" w:sz="0" w:space="0" w:color="auto"/>
      </w:divBdr>
    </w:div>
    <w:div w:id="391849940">
      <w:bodyDiv w:val="1"/>
      <w:marLeft w:val="0"/>
      <w:marRight w:val="0"/>
      <w:marTop w:val="0"/>
      <w:marBottom w:val="0"/>
      <w:divBdr>
        <w:top w:val="none" w:sz="0" w:space="0" w:color="auto"/>
        <w:left w:val="none" w:sz="0" w:space="0" w:color="auto"/>
        <w:bottom w:val="none" w:sz="0" w:space="0" w:color="auto"/>
        <w:right w:val="none" w:sz="0" w:space="0" w:color="auto"/>
      </w:divBdr>
    </w:div>
    <w:div w:id="394665807">
      <w:bodyDiv w:val="1"/>
      <w:marLeft w:val="0"/>
      <w:marRight w:val="0"/>
      <w:marTop w:val="0"/>
      <w:marBottom w:val="0"/>
      <w:divBdr>
        <w:top w:val="none" w:sz="0" w:space="0" w:color="auto"/>
        <w:left w:val="none" w:sz="0" w:space="0" w:color="auto"/>
        <w:bottom w:val="none" w:sz="0" w:space="0" w:color="auto"/>
        <w:right w:val="none" w:sz="0" w:space="0" w:color="auto"/>
      </w:divBdr>
    </w:div>
    <w:div w:id="395863770">
      <w:bodyDiv w:val="1"/>
      <w:marLeft w:val="0"/>
      <w:marRight w:val="0"/>
      <w:marTop w:val="0"/>
      <w:marBottom w:val="0"/>
      <w:divBdr>
        <w:top w:val="none" w:sz="0" w:space="0" w:color="auto"/>
        <w:left w:val="none" w:sz="0" w:space="0" w:color="auto"/>
        <w:bottom w:val="none" w:sz="0" w:space="0" w:color="auto"/>
        <w:right w:val="none" w:sz="0" w:space="0" w:color="auto"/>
      </w:divBdr>
    </w:div>
    <w:div w:id="397825088">
      <w:bodyDiv w:val="1"/>
      <w:marLeft w:val="0"/>
      <w:marRight w:val="0"/>
      <w:marTop w:val="0"/>
      <w:marBottom w:val="0"/>
      <w:divBdr>
        <w:top w:val="none" w:sz="0" w:space="0" w:color="auto"/>
        <w:left w:val="none" w:sz="0" w:space="0" w:color="auto"/>
        <w:bottom w:val="none" w:sz="0" w:space="0" w:color="auto"/>
        <w:right w:val="none" w:sz="0" w:space="0" w:color="auto"/>
      </w:divBdr>
    </w:div>
    <w:div w:id="400255675">
      <w:bodyDiv w:val="1"/>
      <w:marLeft w:val="0"/>
      <w:marRight w:val="0"/>
      <w:marTop w:val="0"/>
      <w:marBottom w:val="0"/>
      <w:divBdr>
        <w:top w:val="none" w:sz="0" w:space="0" w:color="auto"/>
        <w:left w:val="none" w:sz="0" w:space="0" w:color="auto"/>
        <w:bottom w:val="none" w:sz="0" w:space="0" w:color="auto"/>
        <w:right w:val="none" w:sz="0" w:space="0" w:color="auto"/>
      </w:divBdr>
    </w:div>
    <w:div w:id="408309000">
      <w:bodyDiv w:val="1"/>
      <w:marLeft w:val="0"/>
      <w:marRight w:val="0"/>
      <w:marTop w:val="0"/>
      <w:marBottom w:val="0"/>
      <w:divBdr>
        <w:top w:val="none" w:sz="0" w:space="0" w:color="auto"/>
        <w:left w:val="none" w:sz="0" w:space="0" w:color="auto"/>
        <w:bottom w:val="none" w:sz="0" w:space="0" w:color="auto"/>
        <w:right w:val="none" w:sz="0" w:space="0" w:color="auto"/>
      </w:divBdr>
    </w:div>
    <w:div w:id="414863466">
      <w:bodyDiv w:val="1"/>
      <w:marLeft w:val="0"/>
      <w:marRight w:val="0"/>
      <w:marTop w:val="0"/>
      <w:marBottom w:val="0"/>
      <w:divBdr>
        <w:top w:val="none" w:sz="0" w:space="0" w:color="auto"/>
        <w:left w:val="none" w:sz="0" w:space="0" w:color="auto"/>
        <w:bottom w:val="none" w:sz="0" w:space="0" w:color="auto"/>
        <w:right w:val="none" w:sz="0" w:space="0" w:color="auto"/>
      </w:divBdr>
      <w:divsChild>
        <w:div w:id="574049993">
          <w:marLeft w:val="274"/>
          <w:marRight w:val="0"/>
          <w:marTop w:val="29"/>
          <w:marBottom w:val="29"/>
          <w:divBdr>
            <w:top w:val="none" w:sz="0" w:space="0" w:color="auto"/>
            <w:left w:val="none" w:sz="0" w:space="0" w:color="auto"/>
            <w:bottom w:val="none" w:sz="0" w:space="0" w:color="auto"/>
            <w:right w:val="none" w:sz="0" w:space="0" w:color="auto"/>
          </w:divBdr>
        </w:div>
        <w:div w:id="991258492">
          <w:marLeft w:val="274"/>
          <w:marRight w:val="0"/>
          <w:marTop w:val="29"/>
          <w:marBottom w:val="29"/>
          <w:divBdr>
            <w:top w:val="none" w:sz="0" w:space="0" w:color="auto"/>
            <w:left w:val="none" w:sz="0" w:space="0" w:color="auto"/>
            <w:bottom w:val="none" w:sz="0" w:space="0" w:color="auto"/>
            <w:right w:val="none" w:sz="0" w:space="0" w:color="auto"/>
          </w:divBdr>
        </w:div>
        <w:div w:id="1445152267">
          <w:marLeft w:val="274"/>
          <w:marRight w:val="0"/>
          <w:marTop w:val="29"/>
          <w:marBottom w:val="29"/>
          <w:divBdr>
            <w:top w:val="none" w:sz="0" w:space="0" w:color="auto"/>
            <w:left w:val="none" w:sz="0" w:space="0" w:color="auto"/>
            <w:bottom w:val="none" w:sz="0" w:space="0" w:color="auto"/>
            <w:right w:val="none" w:sz="0" w:space="0" w:color="auto"/>
          </w:divBdr>
        </w:div>
        <w:div w:id="1567496883">
          <w:marLeft w:val="274"/>
          <w:marRight w:val="0"/>
          <w:marTop w:val="29"/>
          <w:marBottom w:val="29"/>
          <w:divBdr>
            <w:top w:val="none" w:sz="0" w:space="0" w:color="auto"/>
            <w:left w:val="none" w:sz="0" w:space="0" w:color="auto"/>
            <w:bottom w:val="none" w:sz="0" w:space="0" w:color="auto"/>
            <w:right w:val="none" w:sz="0" w:space="0" w:color="auto"/>
          </w:divBdr>
        </w:div>
      </w:divsChild>
    </w:div>
    <w:div w:id="415439352">
      <w:bodyDiv w:val="1"/>
      <w:marLeft w:val="0"/>
      <w:marRight w:val="0"/>
      <w:marTop w:val="0"/>
      <w:marBottom w:val="0"/>
      <w:divBdr>
        <w:top w:val="none" w:sz="0" w:space="0" w:color="auto"/>
        <w:left w:val="none" w:sz="0" w:space="0" w:color="auto"/>
        <w:bottom w:val="none" w:sz="0" w:space="0" w:color="auto"/>
        <w:right w:val="none" w:sz="0" w:space="0" w:color="auto"/>
      </w:divBdr>
    </w:div>
    <w:div w:id="423844796">
      <w:bodyDiv w:val="1"/>
      <w:marLeft w:val="0"/>
      <w:marRight w:val="0"/>
      <w:marTop w:val="0"/>
      <w:marBottom w:val="0"/>
      <w:divBdr>
        <w:top w:val="none" w:sz="0" w:space="0" w:color="auto"/>
        <w:left w:val="none" w:sz="0" w:space="0" w:color="auto"/>
        <w:bottom w:val="none" w:sz="0" w:space="0" w:color="auto"/>
        <w:right w:val="none" w:sz="0" w:space="0" w:color="auto"/>
      </w:divBdr>
    </w:div>
    <w:div w:id="431705945">
      <w:bodyDiv w:val="1"/>
      <w:marLeft w:val="0"/>
      <w:marRight w:val="0"/>
      <w:marTop w:val="0"/>
      <w:marBottom w:val="0"/>
      <w:divBdr>
        <w:top w:val="none" w:sz="0" w:space="0" w:color="auto"/>
        <w:left w:val="none" w:sz="0" w:space="0" w:color="auto"/>
        <w:bottom w:val="none" w:sz="0" w:space="0" w:color="auto"/>
        <w:right w:val="none" w:sz="0" w:space="0" w:color="auto"/>
      </w:divBdr>
    </w:div>
    <w:div w:id="436946487">
      <w:bodyDiv w:val="1"/>
      <w:marLeft w:val="0"/>
      <w:marRight w:val="0"/>
      <w:marTop w:val="0"/>
      <w:marBottom w:val="0"/>
      <w:divBdr>
        <w:top w:val="none" w:sz="0" w:space="0" w:color="auto"/>
        <w:left w:val="none" w:sz="0" w:space="0" w:color="auto"/>
        <w:bottom w:val="none" w:sz="0" w:space="0" w:color="auto"/>
        <w:right w:val="none" w:sz="0" w:space="0" w:color="auto"/>
      </w:divBdr>
    </w:div>
    <w:div w:id="457993600">
      <w:bodyDiv w:val="1"/>
      <w:marLeft w:val="0"/>
      <w:marRight w:val="0"/>
      <w:marTop w:val="0"/>
      <w:marBottom w:val="0"/>
      <w:divBdr>
        <w:top w:val="none" w:sz="0" w:space="0" w:color="auto"/>
        <w:left w:val="none" w:sz="0" w:space="0" w:color="auto"/>
        <w:bottom w:val="none" w:sz="0" w:space="0" w:color="auto"/>
        <w:right w:val="none" w:sz="0" w:space="0" w:color="auto"/>
      </w:divBdr>
      <w:divsChild>
        <w:div w:id="201333215">
          <w:marLeft w:val="547"/>
          <w:marRight w:val="0"/>
          <w:marTop w:val="0"/>
          <w:marBottom w:val="80"/>
          <w:divBdr>
            <w:top w:val="none" w:sz="0" w:space="0" w:color="auto"/>
            <w:left w:val="none" w:sz="0" w:space="0" w:color="auto"/>
            <w:bottom w:val="none" w:sz="0" w:space="0" w:color="auto"/>
            <w:right w:val="none" w:sz="0" w:space="0" w:color="auto"/>
          </w:divBdr>
        </w:div>
      </w:divsChild>
    </w:div>
    <w:div w:id="472528999">
      <w:bodyDiv w:val="1"/>
      <w:marLeft w:val="0"/>
      <w:marRight w:val="0"/>
      <w:marTop w:val="0"/>
      <w:marBottom w:val="0"/>
      <w:divBdr>
        <w:top w:val="none" w:sz="0" w:space="0" w:color="auto"/>
        <w:left w:val="none" w:sz="0" w:space="0" w:color="auto"/>
        <w:bottom w:val="none" w:sz="0" w:space="0" w:color="auto"/>
        <w:right w:val="none" w:sz="0" w:space="0" w:color="auto"/>
      </w:divBdr>
    </w:div>
    <w:div w:id="485972770">
      <w:bodyDiv w:val="1"/>
      <w:marLeft w:val="0"/>
      <w:marRight w:val="0"/>
      <w:marTop w:val="0"/>
      <w:marBottom w:val="0"/>
      <w:divBdr>
        <w:top w:val="none" w:sz="0" w:space="0" w:color="auto"/>
        <w:left w:val="none" w:sz="0" w:space="0" w:color="auto"/>
        <w:bottom w:val="none" w:sz="0" w:space="0" w:color="auto"/>
        <w:right w:val="none" w:sz="0" w:space="0" w:color="auto"/>
      </w:divBdr>
    </w:div>
    <w:div w:id="491483617">
      <w:bodyDiv w:val="1"/>
      <w:marLeft w:val="0"/>
      <w:marRight w:val="0"/>
      <w:marTop w:val="0"/>
      <w:marBottom w:val="0"/>
      <w:divBdr>
        <w:top w:val="none" w:sz="0" w:space="0" w:color="auto"/>
        <w:left w:val="none" w:sz="0" w:space="0" w:color="auto"/>
        <w:bottom w:val="none" w:sz="0" w:space="0" w:color="auto"/>
        <w:right w:val="none" w:sz="0" w:space="0" w:color="auto"/>
      </w:divBdr>
    </w:div>
    <w:div w:id="495653467">
      <w:bodyDiv w:val="1"/>
      <w:marLeft w:val="0"/>
      <w:marRight w:val="0"/>
      <w:marTop w:val="0"/>
      <w:marBottom w:val="0"/>
      <w:divBdr>
        <w:top w:val="none" w:sz="0" w:space="0" w:color="auto"/>
        <w:left w:val="none" w:sz="0" w:space="0" w:color="auto"/>
        <w:bottom w:val="none" w:sz="0" w:space="0" w:color="auto"/>
        <w:right w:val="none" w:sz="0" w:space="0" w:color="auto"/>
      </w:divBdr>
    </w:div>
    <w:div w:id="506678181">
      <w:bodyDiv w:val="1"/>
      <w:marLeft w:val="0"/>
      <w:marRight w:val="0"/>
      <w:marTop w:val="0"/>
      <w:marBottom w:val="0"/>
      <w:divBdr>
        <w:top w:val="none" w:sz="0" w:space="0" w:color="auto"/>
        <w:left w:val="none" w:sz="0" w:space="0" w:color="auto"/>
        <w:bottom w:val="none" w:sz="0" w:space="0" w:color="auto"/>
        <w:right w:val="none" w:sz="0" w:space="0" w:color="auto"/>
      </w:divBdr>
    </w:div>
    <w:div w:id="512500360">
      <w:bodyDiv w:val="1"/>
      <w:marLeft w:val="0"/>
      <w:marRight w:val="0"/>
      <w:marTop w:val="0"/>
      <w:marBottom w:val="0"/>
      <w:divBdr>
        <w:top w:val="none" w:sz="0" w:space="0" w:color="auto"/>
        <w:left w:val="none" w:sz="0" w:space="0" w:color="auto"/>
        <w:bottom w:val="none" w:sz="0" w:space="0" w:color="auto"/>
        <w:right w:val="none" w:sz="0" w:space="0" w:color="auto"/>
      </w:divBdr>
      <w:divsChild>
        <w:div w:id="353650907">
          <w:marLeft w:val="360"/>
          <w:marRight w:val="0"/>
          <w:marTop w:val="0"/>
          <w:marBottom w:val="0"/>
          <w:divBdr>
            <w:top w:val="none" w:sz="0" w:space="0" w:color="auto"/>
            <w:left w:val="none" w:sz="0" w:space="0" w:color="auto"/>
            <w:bottom w:val="none" w:sz="0" w:space="0" w:color="auto"/>
            <w:right w:val="none" w:sz="0" w:space="0" w:color="auto"/>
          </w:divBdr>
        </w:div>
        <w:div w:id="405227136">
          <w:marLeft w:val="360"/>
          <w:marRight w:val="0"/>
          <w:marTop w:val="0"/>
          <w:marBottom w:val="0"/>
          <w:divBdr>
            <w:top w:val="none" w:sz="0" w:space="0" w:color="auto"/>
            <w:left w:val="none" w:sz="0" w:space="0" w:color="auto"/>
            <w:bottom w:val="none" w:sz="0" w:space="0" w:color="auto"/>
            <w:right w:val="none" w:sz="0" w:space="0" w:color="auto"/>
          </w:divBdr>
        </w:div>
        <w:div w:id="667634710">
          <w:marLeft w:val="360"/>
          <w:marRight w:val="0"/>
          <w:marTop w:val="0"/>
          <w:marBottom w:val="0"/>
          <w:divBdr>
            <w:top w:val="none" w:sz="0" w:space="0" w:color="auto"/>
            <w:left w:val="none" w:sz="0" w:space="0" w:color="auto"/>
            <w:bottom w:val="none" w:sz="0" w:space="0" w:color="auto"/>
            <w:right w:val="none" w:sz="0" w:space="0" w:color="auto"/>
          </w:divBdr>
        </w:div>
        <w:div w:id="1391464625">
          <w:marLeft w:val="360"/>
          <w:marRight w:val="0"/>
          <w:marTop w:val="0"/>
          <w:marBottom w:val="0"/>
          <w:divBdr>
            <w:top w:val="none" w:sz="0" w:space="0" w:color="auto"/>
            <w:left w:val="none" w:sz="0" w:space="0" w:color="auto"/>
            <w:bottom w:val="none" w:sz="0" w:space="0" w:color="auto"/>
            <w:right w:val="none" w:sz="0" w:space="0" w:color="auto"/>
          </w:divBdr>
        </w:div>
        <w:div w:id="1670908508">
          <w:marLeft w:val="360"/>
          <w:marRight w:val="0"/>
          <w:marTop w:val="0"/>
          <w:marBottom w:val="0"/>
          <w:divBdr>
            <w:top w:val="none" w:sz="0" w:space="0" w:color="auto"/>
            <w:left w:val="none" w:sz="0" w:space="0" w:color="auto"/>
            <w:bottom w:val="none" w:sz="0" w:space="0" w:color="auto"/>
            <w:right w:val="none" w:sz="0" w:space="0" w:color="auto"/>
          </w:divBdr>
        </w:div>
        <w:div w:id="1672946726">
          <w:marLeft w:val="360"/>
          <w:marRight w:val="0"/>
          <w:marTop w:val="0"/>
          <w:marBottom w:val="0"/>
          <w:divBdr>
            <w:top w:val="none" w:sz="0" w:space="0" w:color="auto"/>
            <w:left w:val="none" w:sz="0" w:space="0" w:color="auto"/>
            <w:bottom w:val="none" w:sz="0" w:space="0" w:color="auto"/>
            <w:right w:val="none" w:sz="0" w:space="0" w:color="auto"/>
          </w:divBdr>
        </w:div>
        <w:div w:id="1948998081">
          <w:marLeft w:val="360"/>
          <w:marRight w:val="0"/>
          <w:marTop w:val="0"/>
          <w:marBottom w:val="0"/>
          <w:divBdr>
            <w:top w:val="none" w:sz="0" w:space="0" w:color="auto"/>
            <w:left w:val="none" w:sz="0" w:space="0" w:color="auto"/>
            <w:bottom w:val="none" w:sz="0" w:space="0" w:color="auto"/>
            <w:right w:val="none" w:sz="0" w:space="0" w:color="auto"/>
          </w:divBdr>
        </w:div>
        <w:div w:id="2083287939">
          <w:marLeft w:val="360"/>
          <w:marRight w:val="0"/>
          <w:marTop w:val="0"/>
          <w:marBottom w:val="0"/>
          <w:divBdr>
            <w:top w:val="none" w:sz="0" w:space="0" w:color="auto"/>
            <w:left w:val="none" w:sz="0" w:space="0" w:color="auto"/>
            <w:bottom w:val="none" w:sz="0" w:space="0" w:color="auto"/>
            <w:right w:val="none" w:sz="0" w:space="0" w:color="auto"/>
          </w:divBdr>
        </w:div>
      </w:divsChild>
    </w:div>
    <w:div w:id="515266295">
      <w:bodyDiv w:val="1"/>
      <w:marLeft w:val="0"/>
      <w:marRight w:val="0"/>
      <w:marTop w:val="0"/>
      <w:marBottom w:val="0"/>
      <w:divBdr>
        <w:top w:val="none" w:sz="0" w:space="0" w:color="auto"/>
        <w:left w:val="none" w:sz="0" w:space="0" w:color="auto"/>
        <w:bottom w:val="none" w:sz="0" w:space="0" w:color="auto"/>
        <w:right w:val="none" w:sz="0" w:space="0" w:color="auto"/>
      </w:divBdr>
    </w:div>
    <w:div w:id="517504630">
      <w:bodyDiv w:val="1"/>
      <w:marLeft w:val="0"/>
      <w:marRight w:val="0"/>
      <w:marTop w:val="0"/>
      <w:marBottom w:val="0"/>
      <w:divBdr>
        <w:top w:val="none" w:sz="0" w:space="0" w:color="auto"/>
        <w:left w:val="none" w:sz="0" w:space="0" w:color="auto"/>
        <w:bottom w:val="none" w:sz="0" w:space="0" w:color="auto"/>
        <w:right w:val="none" w:sz="0" w:space="0" w:color="auto"/>
      </w:divBdr>
    </w:div>
    <w:div w:id="537009806">
      <w:bodyDiv w:val="1"/>
      <w:marLeft w:val="0"/>
      <w:marRight w:val="0"/>
      <w:marTop w:val="0"/>
      <w:marBottom w:val="0"/>
      <w:divBdr>
        <w:top w:val="none" w:sz="0" w:space="0" w:color="auto"/>
        <w:left w:val="none" w:sz="0" w:space="0" w:color="auto"/>
        <w:bottom w:val="none" w:sz="0" w:space="0" w:color="auto"/>
        <w:right w:val="none" w:sz="0" w:space="0" w:color="auto"/>
      </w:divBdr>
    </w:div>
    <w:div w:id="541291086">
      <w:bodyDiv w:val="1"/>
      <w:marLeft w:val="0"/>
      <w:marRight w:val="0"/>
      <w:marTop w:val="0"/>
      <w:marBottom w:val="0"/>
      <w:divBdr>
        <w:top w:val="none" w:sz="0" w:space="0" w:color="auto"/>
        <w:left w:val="none" w:sz="0" w:space="0" w:color="auto"/>
        <w:bottom w:val="none" w:sz="0" w:space="0" w:color="auto"/>
        <w:right w:val="none" w:sz="0" w:space="0" w:color="auto"/>
      </w:divBdr>
      <w:divsChild>
        <w:div w:id="230232871">
          <w:marLeft w:val="446"/>
          <w:marRight w:val="0"/>
          <w:marTop w:val="0"/>
          <w:marBottom w:val="80"/>
          <w:divBdr>
            <w:top w:val="none" w:sz="0" w:space="0" w:color="auto"/>
            <w:left w:val="none" w:sz="0" w:space="0" w:color="auto"/>
            <w:bottom w:val="none" w:sz="0" w:space="0" w:color="auto"/>
            <w:right w:val="none" w:sz="0" w:space="0" w:color="auto"/>
          </w:divBdr>
        </w:div>
        <w:div w:id="451094997">
          <w:marLeft w:val="446"/>
          <w:marRight w:val="0"/>
          <w:marTop w:val="0"/>
          <w:marBottom w:val="80"/>
          <w:divBdr>
            <w:top w:val="none" w:sz="0" w:space="0" w:color="auto"/>
            <w:left w:val="none" w:sz="0" w:space="0" w:color="auto"/>
            <w:bottom w:val="none" w:sz="0" w:space="0" w:color="auto"/>
            <w:right w:val="none" w:sz="0" w:space="0" w:color="auto"/>
          </w:divBdr>
        </w:div>
        <w:div w:id="868033615">
          <w:marLeft w:val="446"/>
          <w:marRight w:val="0"/>
          <w:marTop w:val="0"/>
          <w:marBottom w:val="80"/>
          <w:divBdr>
            <w:top w:val="none" w:sz="0" w:space="0" w:color="auto"/>
            <w:left w:val="none" w:sz="0" w:space="0" w:color="auto"/>
            <w:bottom w:val="none" w:sz="0" w:space="0" w:color="auto"/>
            <w:right w:val="none" w:sz="0" w:space="0" w:color="auto"/>
          </w:divBdr>
        </w:div>
        <w:div w:id="742483946">
          <w:marLeft w:val="446"/>
          <w:marRight w:val="0"/>
          <w:marTop w:val="0"/>
          <w:marBottom w:val="80"/>
          <w:divBdr>
            <w:top w:val="none" w:sz="0" w:space="0" w:color="auto"/>
            <w:left w:val="none" w:sz="0" w:space="0" w:color="auto"/>
            <w:bottom w:val="none" w:sz="0" w:space="0" w:color="auto"/>
            <w:right w:val="none" w:sz="0" w:space="0" w:color="auto"/>
          </w:divBdr>
        </w:div>
        <w:div w:id="74132918">
          <w:marLeft w:val="446"/>
          <w:marRight w:val="0"/>
          <w:marTop w:val="0"/>
          <w:marBottom w:val="80"/>
          <w:divBdr>
            <w:top w:val="none" w:sz="0" w:space="0" w:color="auto"/>
            <w:left w:val="none" w:sz="0" w:space="0" w:color="auto"/>
            <w:bottom w:val="none" w:sz="0" w:space="0" w:color="auto"/>
            <w:right w:val="none" w:sz="0" w:space="0" w:color="auto"/>
          </w:divBdr>
        </w:div>
        <w:div w:id="1086655323">
          <w:marLeft w:val="446"/>
          <w:marRight w:val="0"/>
          <w:marTop w:val="0"/>
          <w:marBottom w:val="80"/>
          <w:divBdr>
            <w:top w:val="none" w:sz="0" w:space="0" w:color="auto"/>
            <w:left w:val="none" w:sz="0" w:space="0" w:color="auto"/>
            <w:bottom w:val="none" w:sz="0" w:space="0" w:color="auto"/>
            <w:right w:val="none" w:sz="0" w:space="0" w:color="auto"/>
          </w:divBdr>
        </w:div>
      </w:divsChild>
    </w:div>
    <w:div w:id="544872091">
      <w:bodyDiv w:val="1"/>
      <w:marLeft w:val="0"/>
      <w:marRight w:val="0"/>
      <w:marTop w:val="0"/>
      <w:marBottom w:val="0"/>
      <w:divBdr>
        <w:top w:val="none" w:sz="0" w:space="0" w:color="auto"/>
        <w:left w:val="none" w:sz="0" w:space="0" w:color="auto"/>
        <w:bottom w:val="none" w:sz="0" w:space="0" w:color="auto"/>
        <w:right w:val="none" w:sz="0" w:space="0" w:color="auto"/>
      </w:divBdr>
    </w:div>
    <w:div w:id="550503335">
      <w:bodyDiv w:val="1"/>
      <w:marLeft w:val="0"/>
      <w:marRight w:val="0"/>
      <w:marTop w:val="0"/>
      <w:marBottom w:val="0"/>
      <w:divBdr>
        <w:top w:val="none" w:sz="0" w:space="0" w:color="auto"/>
        <w:left w:val="none" w:sz="0" w:space="0" w:color="auto"/>
        <w:bottom w:val="none" w:sz="0" w:space="0" w:color="auto"/>
        <w:right w:val="none" w:sz="0" w:space="0" w:color="auto"/>
      </w:divBdr>
    </w:div>
    <w:div w:id="563299214">
      <w:bodyDiv w:val="1"/>
      <w:marLeft w:val="0"/>
      <w:marRight w:val="0"/>
      <w:marTop w:val="0"/>
      <w:marBottom w:val="0"/>
      <w:divBdr>
        <w:top w:val="none" w:sz="0" w:space="0" w:color="auto"/>
        <w:left w:val="none" w:sz="0" w:space="0" w:color="auto"/>
        <w:bottom w:val="none" w:sz="0" w:space="0" w:color="auto"/>
        <w:right w:val="none" w:sz="0" w:space="0" w:color="auto"/>
      </w:divBdr>
    </w:div>
    <w:div w:id="564804841">
      <w:bodyDiv w:val="1"/>
      <w:marLeft w:val="0"/>
      <w:marRight w:val="0"/>
      <w:marTop w:val="0"/>
      <w:marBottom w:val="0"/>
      <w:divBdr>
        <w:top w:val="none" w:sz="0" w:space="0" w:color="auto"/>
        <w:left w:val="none" w:sz="0" w:space="0" w:color="auto"/>
        <w:bottom w:val="none" w:sz="0" w:space="0" w:color="auto"/>
        <w:right w:val="none" w:sz="0" w:space="0" w:color="auto"/>
      </w:divBdr>
    </w:div>
    <w:div w:id="565533652">
      <w:bodyDiv w:val="1"/>
      <w:marLeft w:val="0"/>
      <w:marRight w:val="0"/>
      <w:marTop w:val="0"/>
      <w:marBottom w:val="0"/>
      <w:divBdr>
        <w:top w:val="none" w:sz="0" w:space="0" w:color="auto"/>
        <w:left w:val="none" w:sz="0" w:space="0" w:color="auto"/>
        <w:bottom w:val="none" w:sz="0" w:space="0" w:color="auto"/>
        <w:right w:val="none" w:sz="0" w:space="0" w:color="auto"/>
      </w:divBdr>
    </w:div>
    <w:div w:id="567040583">
      <w:bodyDiv w:val="1"/>
      <w:marLeft w:val="0"/>
      <w:marRight w:val="0"/>
      <w:marTop w:val="0"/>
      <w:marBottom w:val="0"/>
      <w:divBdr>
        <w:top w:val="none" w:sz="0" w:space="0" w:color="auto"/>
        <w:left w:val="none" w:sz="0" w:space="0" w:color="auto"/>
        <w:bottom w:val="none" w:sz="0" w:space="0" w:color="auto"/>
        <w:right w:val="none" w:sz="0" w:space="0" w:color="auto"/>
      </w:divBdr>
    </w:div>
    <w:div w:id="571736123">
      <w:bodyDiv w:val="1"/>
      <w:marLeft w:val="0"/>
      <w:marRight w:val="0"/>
      <w:marTop w:val="0"/>
      <w:marBottom w:val="0"/>
      <w:divBdr>
        <w:top w:val="none" w:sz="0" w:space="0" w:color="auto"/>
        <w:left w:val="none" w:sz="0" w:space="0" w:color="auto"/>
        <w:bottom w:val="none" w:sz="0" w:space="0" w:color="auto"/>
        <w:right w:val="none" w:sz="0" w:space="0" w:color="auto"/>
      </w:divBdr>
    </w:div>
    <w:div w:id="579098339">
      <w:bodyDiv w:val="1"/>
      <w:marLeft w:val="0"/>
      <w:marRight w:val="0"/>
      <w:marTop w:val="0"/>
      <w:marBottom w:val="0"/>
      <w:divBdr>
        <w:top w:val="none" w:sz="0" w:space="0" w:color="auto"/>
        <w:left w:val="none" w:sz="0" w:space="0" w:color="auto"/>
        <w:bottom w:val="none" w:sz="0" w:space="0" w:color="auto"/>
        <w:right w:val="none" w:sz="0" w:space="0" w:color="auto"/>
      </w:divBdr>
      <w:divsChild>
        <w:div w:id="1542787284">
          <w:marLeft w:val="36"/>
          <w:marRight w:val="0"/>
          <w:marTop w:val="356"/>
          <w:marBottom w:val="0"/>
          <w:divBdr>
            <w:top w:val="single" w:sz="6" w:space="0" w:color="CCCCCC"/>
            <w:left w:val="single" w:sz="6" w:space="0" w:color="CCCCCC"/>
            <w:bottom w:val="single" w:sz="6" w:space="0" w:color="CCCCCC"/>
            <w:right w:val="single" w:sz="6" w:space="0" w:color="CCCCCC"/>
          </w:divBdr>
          <w:divsChild>
            <w:div w:id="736904900">
              <w:marLeft w:val="0"/>
              <w:marRight w:val="0"/>
              <w:marTop w:val="178"/>
              <w:marBottom w:val="267"/>
              <w:divBdr>
                <w:top w:val="none" w:sz="0" w:space="0" w:color="auto"/>
                <w:left w:val="none" w:sz="0" w:space="0" w:color="auto"/>
                <w:bottom w:val="none" w:sz="0" w:space="0" w:color="auto"/>
                <w:right w:val="single" w:sz="6" w:space="0" w:color="CCCCCC"/>
              </w:divBdr>
              <w:divsChild>
                <w:div w:id="1919944736">
                  <w:marLeft w:val="0"/>
                  <w:marRight w:val="0"/>
                  <w:marTop w:val="89"/>
                  <w:marBottom w:val="0"/>
                  <w:divBdr>
                    <w:top w:val="none" w:sz="0" w:space="0" w:color="auto"/>
                    <w:left w:val="none" w:sz="0" w:space="0" w:color="auto"/>
                    <w:bottom w:val="none" w:sz="0" w:space="0" w:color="auto"/>
                    <w:right w:val="none" w:sz="0" w:space="0" w:color="auto"/>
                  </w:divBdr>
                  <w:divsChild>
                    <w:div w:id="805196629">
                      <w:marLeft w:val="28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299029">
      <w:bodyDiv w:val="1"/>
      <w:marLeft w:val="0"/>
      <w:marRight w:val="0"/>
      <w:marTop w:val="0"/>
      <w:marBottom w:val="0"/>
      <w:divBdr>
        <w:top w:val="none" w:sz="0" w:space="0" w:color="auto"/>
        <w:left w:val="none" w:sz="0" w:space="0" w:color="auto"/>
        <w:bottom w:val="none" w:sz="0" w:space="0" w:color="auto"/>
        <w:right w:val="none" w:sz="0" w:space="0" w:color="auto"/>
      </w:divBdr>
    </w:div>
    <w:div w:id="584342094">
      <w:bodyDiv w:val="1"/>
      <w:marLeft w:val="0"/>
      <w:marRight w:val="0"/>
      <w:marTop w:val="0"/>
      <w:marBottom w:val="0"/>
      <w:divBdr>
        <w:top w:val="none" w:sz="0" w:space="0" w:color="auto"/>
        <w:left w:val="none" w:sz="0" w:space="0" w:color="auto"/>
        <w:bottom w:val="none" w:sz="0" w:space="0" w:color="auto"/>
        <w:right w:val="none" w:sz="0" w:space="0" w:color="auto"/>
      </w:divBdr>
    </w:div>
    <w:div w:id="595361212">
      <w:bodyDiv w:val="1"/>
      <w:marLeft w:val="0"/>
      <w:marRight w:val="0"/>
      <w:marTop w:val="0"/>
      <w:marBottom w:val="0"/>
      <w:divBdr>
        <w:top w:val="none" w:sz="0" w:space="0" w:color="auto"/>
        <w:left w:val="none" w:sz="0" w:space="0" w:color="auto"/>
        <w:bottom w:val="none" w:sz="0" w:space="0" w:color="auto"/>
        <w:right w:val="none" w:sz="0" w:space="0" w:color="auto"/>
      </w:divBdr>
    </w:div>
    <w:div w:id="604117544">
      <w:bodyDiv w:val="1"/>
      <w:marLeft w:val="0"/>
      <w:marRight w:val="0"/>
      <w:marTop w:val="0"/>
      <w:marBottom w:val="0"/>
      <w:divBdr>
        <w:top w:val="none" w:sz="0" w:space="0" w:color="auto"/>
        <w:left w:val="none" w:sz="0" w:space="0" w:color="auto"/>
        <w:bottom w:val="none" w:sz="0" w:space="0" w:color="auto"/>
        <w:right w:val="none" w:sz="0" w:space="0" w:color="auto"/>
      </w:divBdr>
    </w:div>
    <w:div w:id="604191340">
      <w:bodyDiv w:val="1"/>
      <w:marLeft w:val="0"/>
      <w:marRight w:val="0"/>
      <w:marTop w:val="0"/>
      <w:marBottom w:val="0"/>
      <w:divBdr>
        <w:top w:val="none" w:sz="0" w:space="0" w:color="auto"/>
        <w:left w:val="none" w:sz="0" w:space="0" w:color="auto"/>
        <w:bottom w:val="none" w:sz="0" w:space="0" w:color="auto"/>
        <w:right w:val="none" w:sz="0" w:space="0" w:color="auto"/>
      </w:divBdr>
    </w:div>
    <w:div w:id="608515864">
      <w:bodyDiv w:val="1"/>
      <w:marLeft w:val="0"/>
      <w:marRight w:val="0"/>
      <w:marTop w:val="0"/>
      <w:marBottom w:val="0"/>
      <w:divBdr>
        <w:top w:val="none" w:sz="0" w:space="0" w:color="auto"/>
        <w:left w:val="none" w:sz="0" w:space="0" w:color="auto"/>
        <w:bottom w:val="none" w:sz="0" w:space="0" w:color="auto"/>
        <w:right w:val="none" w:sz="0" w:space="0" w:color="auto"/>
      </w:divBdr>
    </w:div>
    <w:div w:id="614556261">
      <w:bodyDiv w:val="1"/>
      <w:marLeft w:val="0"/>
      <w:marRight w:val="0"/>
      <w:marTop w:val="0"/>
      <w:marBottom w:val="0"/>
      <w:divBdr>
        <w:top w:val="none" w:sz="0" w:space="0" w:color="auto"/>
        <w:left w:val="none" w:sz="0" w:space="0" w:color="auto"/>
        <w:bottom w:val="none" w:sz="0" w:space="0" w:color="auto"/>
        <w:right w:val="none" w:sz="0" w:space="0" w:color="auto"/>
      </w:divBdr>
    </w:div>
    <w:div w:id="618607839">
      <w:bodyDiv w:val="1"/>
      <w:marLeft w:val="0"/>
      <w:marRight w:val="0"/>
      <w:marTop w:val="0"/>
      <w:marBottom w:val="0"/>
      <w:divBdr>
        <w:top w:val="none" w:sz="0" w:space="0" w:color="auto"/>
        <w:left w:val="none" w:sz="0" w:space="0" w:color="auto"/>
        <w:bottom w:val="none" w:sz="0" w:space="0" w:color="auto"/>
        <w:right w:val="none" w:sz="0" w:space="0" w:color="auto"/>
      </w:divBdr>
    </w:div>
    <w:div w:id="622350588">
      <w:bodyDiv w:val="1"/>
      <w:marLeft w:val="0"/>
      <w:marRight w:val="0"/>
      <w:marTop w:val="0"/>
      <w:marBottom w:val="0"/>
      <w:divBdr>
        <w:top w:val="none" w:sz="0" w:space="0" w:color="auto"/>
        <w:left w:val="none" w:sz="0" w:space="0" w:color="auto"/>
        <w:bottom w:val="none" w:sz="0" w:space="0" w:color="auto"/>
        <w:right w:val="none" w:sz="0" w:space="0" w:color="auto"/>
      </w:divBdr>
    </w:div>
    <w:div w:id="629167892">
      <w:bodyDiv w:val="1"/>
      <w:marLeft w:val="0"/>
      <w:marRight w:val="0"/>
      <w:marTop w:val="0"/>
      <w:marBottom w:val="0"/>
      <w:divBdr>
        <w:top w:val="none" w:sz="0" w:space="0" w:color="auto"/>
        <w:left w:val="none" w:sz="0" w:space="0" w:color="auto"/>
        <w:bottom w:val="none" w:sz="0" w:space="0" w:color="auto"/>
        <w:right w:val="none" w:sz="0" w:space="0" w:color="auto"/>
      </w:divBdr>
    </w:div>
    <w:div w:id="640617176">
      <w:bodyDiv w:val="1"/>
      <w:marLeft w:val="0"/>
      <w:marRight w:val="0"/>
      <w:marTop w:val="0"/>
      <w:marBottom w:val="0"/>
      <w:divBdr>
        <w:top w:val="none" w:sz="0" w:space="0" w:color="auto"/>
        <w:left w:val="none" w:sz="0" w:space="0" w:color="auto"/>
        <w:bottom w:val="none" w:sz="0" w:space="0" w:color="auto"/>
        <w:right w:val="none" w:sz="0" w:space="0" w:color="auto"/>
      </w:divBdr>
    </w:div>
    <w:div w:id="643655698">
      <w:bodyDiv w:val="1"/>
      <w:marLeft w:val="0"/>
      <w:marRight w:val="0"/>
      <w:marTop w:val="0"/>
      <w:marBottom w:val="0"/>
      <w:divBdr>
        <w:top w:val="none" w:sz="0" w:space="0" w:color="auto"/>
        <w:left w:val="none" w:sz="0" w:space="0" w:color="auto"/>
        <w:bottom w:val="none" w:sz="0" w:space="0" w:color="auto"/>
        <w:right w:val="none" w:sz="0" w:space="0" w:color="auto"/>
      </w:divBdr>
    </w:div>
    <w:div w:id="648248646">
      <w:bodyDiv w:val="1"/>
      <w:marLeft w:val="0"/>
      <w:marRight w:val="0"/>
      <w:marTop w:val="0"/>
      <w:marBottom w:val="0"/>
      <w:divBdr>
        <w:top w:val="none" w:sz="0" w:space="0" w:color="auto"/>
        <w:left w:val="none" w:sz="0" w:space="0" w:color="auto"/>
        <w:bottom w:val="none" w:sz="0" w:space="0" w:color="auto"/>
        <w:right w:val="none" w:sz="0" w:space="0" w:color="auto"/>
      </w:divBdr>
    </w:div>
    <w:div w:id="651058744">
      <w:bodyDiv w:val="1"/>
      <w:marLeft w:val="0"/>
      <w:marRight w:val="0"/>
      <w:marTop w:val="0"/>
      <w:marBottom w:val="0"/>
      <w:divBdr>
        <w:top w:val="none" w:sz="0" w:space="0" w:color="auto"/>
        <w:left w:val="none" w:sz="0" w:space="0" w:color="auto"/>
        <w:bottom w:val="none" w:sz="0" w:space="0" w:color="auto"/>
        <w:right w:val="none" w:sz="0" w:space="0" w:color="auto"/>
      </w:divBdr>
    </w:div>
    <w:div w:id="660238465">
      <w:bodyDiv w:val="1"/>
      <w:marLeft w:val="0"/>
      <w:marRight w:val="0"/>
      <w:marTop w:val="0"/>
      <w:marBottom w:val="0"/>
      <w:divBdr>
        <w:top w:val="none" w:sz="0" w:space="0" w:color="auto"/>
        <w:left w:val="none" w:sz="0" w:space="0" w:color="auto"/>
        <w:bottom w:val="none" w:sz="0" w:space="0" w:color="auto"/>
        <w:right w:val="none" w:sz="0" w:space="0" w:color="auto"/>
      </w:divBdr>
    </w:div>
    <w:div w:id="666514302">
      <w:bodyDiv w:val="1"/>
      <w:marLeft w:val="0"/>
      <w:marRight w:val="0"/>
      <w:marTop w:val="0"/>
      <w:marBottom w:val="0"/>
      <w:divBdr>
        <w:top w:val="none" w:sz="0" w:space="0" w:color="auto"/>
        <w:left w:val="none" w:sz="0" w:space="0" w:color="auto"/>
        <w:bottom w:val="none" w:sz="0" w:space="0" w:color="auto"/>
        <w:right w:val="none" w:sz="0" w:space="0" w:color="auto"/>
      </w:divBdr>
    </w:div>
    <w:div w:id="684676248">
      <w:bodyDiv w:val="1"/>
      <w:marLeft w:val="0"/>
      <w:marRight w:val="0"/>
      <w:marTop w:val="0"/>
      <w:marBottom w:val="0"/>
      <w:divBdr>
        <w:top w:val="none" w:sz="0" w:space="0" w:color="auto"/>
        <w:left w:val="none" w:sz="0" w:space="0" w:color="auto"/>
        <w:bottom w:val="none" w:sz="0" w:space="0" w:color="auto"/>
        <w:right w:val="none" w:sz="0" w:space="0" w:color="auto"/>
      </w:divBdr>
    </w:div>
    <w:div w:id="685014081">
      <w:bodyDiv w:val="1"/>
      <w:marLeft w:val="0"/>
      <w:marRight w:val="0"/>
      <w:marTop w:val="0"/>
      <w:marBottom w:val="0"/>
      <w:divBdr>
        <w:top w:val="none" w:sz="0" w:space="0" w:color="auto"/>
        <w:left w:val="none" w:sz="0" w:space="0" w:color="auto"/>
        <w:bottom w:val="none" w:sz="0" w:space="0" w:color="auto"/>
        <w:right w:val="none" w:sz="0" w:space="0" w:color="auto"/>
      </w:divBdr>
    </w:div>
    <w:div w:id="686175063">
      <w:bodyDiv w:val="1"/>
      <w:marLeft w:val="0"/>
      <w:marRight w:val="0"/>
      <w:marTop w:val="0"/>
      <w:marBottom w:val="0"/>
      <w:divBdr>
        <w:top w:val="none" w:sz="0" w:space="0" w:color="auto"/>
        <w:left w:val="none" w:sz="0" w:space="0" w:color="auto"/>
        <w:bottom w:val="none" w:sz="0" w:space="0" w:color="auto"/>
        <w:right w:val="none" w:sz="0" w:space="0" w:color="auto"/>
      </w:divBdr>
    </w:div>
    <w:div w:id="689766518">
      <w:bodyDiv w:val="1"/>
      <w:marLeft w:val="0"/>
      <w:marRight w:val="0"/>
      <w:marTop w:val="0"/>
      <w:marBottom w:val="0"/>
      <w:divBdr>
        <w:top w:val="none" w:sz="0" w:space="0" w:color="auto"/>
        <w:left w:val="none" w:sz="0" w:space="0" w:color="auto"/>
        <w:bottom w:val="none" w:sz="0" w:space="0" w:color="auto"/>
        <w:right w:val="none" w:sz="0" w:space="0" w:color="auto"/>
      </w:divBdr>
    </w:div>
    <w:div w:id="695231580">
      <w:bodyDiv w:val="1"/>
      <w:marLeft w:val="0"/>
      <w:marRight w:val="0"/>
      <w:marTop w:val="0"/>
      <w:marBottom w:val="0"/>
      <w:divBdr>
        <w:top w:val="none" w:sz="0" w:space="0" w:color="auto"/>
        <w:left w:val="none" w:sz="0" w:space="0" w:color="auto"/>
        <w:bottom w:val="none" w:sz="0" w:space="0" w:color="auto"/>
        <w:right w:val="none" w:sz="0" w:space="0" w:color="auto"/>
      </w:divBdr>
    </w:div>
    <w:div w:id="695427305">
      <w:bodyDiv w:val="1"/>
      <w:marLeft w:val="0"/>
      <w:marRight w:val="0"/>
      <w:marTop w:val="0"/>
      <w:marBottom w:val="0"/>
      <w:divBdr>
        <w:top w:val="none" w:sz="0" w:space="0" w:color="auto"/>
        <w:left w:val="none" w:sz="0" w:space="0" w:color="auto"/>
        <w:bottom w:val="none" w:sz="0" w:space="0" w:color="auto"/>
        <w:right w:val="none" w:sz="0" w:space="0" w:color="auto"/>
      </w:divBdr>
      <w:divsChild>
        <w:div w:id="641809636">
          <w:marLeft w:val="0"/>
          <w:marRight w:val="0"/>
          <w:marTop w:val="40"/>
          <w:marBottom w:val="40"/>
          <w:divBdr>
            <w:top w:val="none" w:sz="0" w:space="0" w:color="auto"/>
            <w:left w:val="none" w:sz="0" w:space="0" w:color="auto"/>
            <w:bottom w:val="none" w:sz="0" w:space="0" w:color="auto"/>
            <w:right w:val="none" w:sz="0" w:space="0" w:color="auto"/>
          </w:divBdr>
        </w:div>
        <w:div w:id="705300693">
          <w:marLeft w:val="0"/>
          <w:marRight w:val="0"/>
          <w:marTop w:val="40"/>
          <w:marBottom w:val="40"/>
          <w:divBdr>
            <w:top w:val="none" w:sz="0" w:space="0" w:color="auto"/>
            <w:left w:val="none" w:sz="0" w:space="0" w:color="auto"/>
            <w:bottom w:val="none" w:sz="0" w:space="0" w:color="auto"/>
            <w:right w:val="none" w:sz="0" w:space="0" w:color="auto"/>
          </w:divBdr>
        </w:div>
        <w:div w:id="1731611949">
          <w:marLeft w:val="0"/>
          <w:marRight w:val="0"/>
          <w:marTop w:val="40"/>
          <w:marBottom w:val="40"/>
          <w:divBdr>
            <w:top w:val="none" w:sz="0" w:space="0" w:color="auto"/>
            <w:left w:val="none" w:sz="0" w:space="0" w:color="auto"/>
            <w:bottom w:val="none" w:sz="0" w:space="0" w:color="auto"/>
            <w:right w:val="none" w:sz="0" w:space="0" w:color="auto"/>
          </w:divBdr>
        </w:div>
        <w:div w:id="1536693137">
          <w:marLeft w:val="0"/>
          <w:marRight w:val="0"/>
          <w:marTop w:val="40"/>
          <w:marBottom w:val="40"/>
          <w:divBdr>
            <w:top w:val="none" w:sz="0" w:space="0" w:color="auto"/>
            <w:left w:val="none" w:sz="0" w:space="0" w:color="auto"/>
            <w:bottom w:val="none" w:sz="0" w:space="0" w:color="auto"/>
            <w:right w:val="none" w:sz="0" w:space="0" w:color="auto"/>
          </w:divBdr>
        </w:div>
        <w:div w:id="987788882">
          <w:marLeft w:val="0"/>
          <w:marRight w:val="0"/>
          <w:marTop w:val="40"/>
          <w:marBottom w:val="40"/>
          <w:divBdr>
            <w:top w:val="none" w:sz="0" w:space="0" w:color="auto"/>
            <w:left w:val="none" w:sz="0" w:space="0" w:color="auto"/>
            <w:bottom w:val="none" w:sz="0" w:space="0" w:color="auto"/>
            <w:right w:val="none" w:sz="0" w:space="0" w:color="auto"/>
          </w:divBdr>
        </w:div>
        <w:div w:id="1665014632">
          <w:marLeft w:val="0"/>
          <w:marRight w:val="0"/>
          <w:marTop w:val="40"/>
          <w:marBottom w:val="40"/>
          <w:divBdr>
            <w:top w:val="none" w:sz="0" w:space="0" w:color="auto"/>
            <w:left w:val="none" w:sz="0" w:space="0" w:color="auto"/>
            <w:bottom w:val="none" w:sz="0" w:space="0" w:color="auto"/>
            <w:right w:val="none" w:sz="0" w:space="0" w:color="auto"/>
          </w:divBdr>
        </w:div>
        <w:div w:id="16392766">
          <w:marLeft w:val="0"/>
          <w:marRight w:val="0"/>
          <w:marTop w:val="40"/>
          <w:marBottom w:val="40"/>
          <w:divBdr>
            <w:top w:val="none" w:sz="0" w:space="0" w:color="auto"/>
            <w:left w:val="none" w:sz="0" w:space="0" w:color="auto"/>
            <w:bottom w:val="none" w:sz="0" w:space="0" w:color="auto"/>
            <w:right w:val="none" w:sz="0" w:space="0" w:color="auto"/>
          </w:divBdr>
        </w:div>
        <w:div w:id="606306064">
          <w:marLeft w:val="0"/>
          <w:marRight w:val="0"/>
          <w:marTop w:val="40"/>
          <w:marBottom w:val="40"/>
          <w:divBdr>
            <w:top w:val="none" w:sz="0" w:space="0" w:color="auto"/>
            <w:left w:val="none" w:sz="0" w:space="0" w:color="auto"/>
            <w:bottom w:val="none" w:sz="0" w:space="0" w:color="auto"/>
            <w:right w:val="none" w:sz="0" w:space="0" w:color="auto"/>
          </w:divBdr>
        </w:div>
      </w:divsChild>
    </w:div>
    <w:div w:id="705527176">
      <w:bodyDiv w:val="1"/>
      <w:marLeft w:val="0"/>
      <w:marRight w:val="0"/>
      <w:marTop w:val="0"/>
      <w:marBottom w:val="0"/>
      <w:divBdr>
        <w:top w:val="none" w:sz="0" w:space="0" w:color="auto"/>
        <w:left w:val="none" w:sz="0" w:space="0" w:color="auto"/>
        <w:bottom w:val="none" w:sz="0" w:space="0" w:color="auto"/>
        <w:right w:val="none" w:sz="0" w:space="0" w:color="auto"/>
      </w:divBdr>
    </w:div>
    <w:div w:id="722481597">
      <w:bodyDiv w:val="1"/>
      <w:marLeft w:val="0"/>
      <w:marRight w:val="0"/>
      <w:marTop w:val="0"/>
      <w:marBottom w:val="0"/>
      <w:divBdr>
        <w:top w:val="none" w:sz="0" w:space="0" w:color="auto"/>
        <w:left w:val="none" w:sz="0" w:space="0" w:color="auto"/>
        <w:bottom w:val="none" w:sz="0" w:space="0" w:color="auto"/>
        <w:right w:val="none" w:sz="0" w:space="0" w:color="auto"/>
      </w:divBdr>
    </w:div>
    <w:div w:id="740833744">
      <w:bodyDiv w:val="1"/>
      <w:marLeft w:val="0"/>
      <w:marRight w:val="0"/>
      <w:marTop w:val="0"/>
      <w:marBottom w:val="0"/>
      <w:divBdr>
        <w:top w:val="none" w:sz="0" w:space="0" w:color="auto"/>
        <w:left w:val="none" w:sz="0" w:space="0" w:color="auto"/>
        <w:bottom w:val="none" w:sz="0" w:space="0" w:color="auto"/>
        <w:right w:val="none" w:sz="0" w:space="0" w:color="auto"/>
      </w:divBdr>
    </w:div>
    <w:div w:id="746077881">
      <w:bodyDiv w:val="1"/>
      <w:marLeft w:val="0"/>
      <w:marRight w:val="0"/>
      <w:marTop w:val="0"/>
      <w:marBottom w:val="0"/>
      <w:divBdr>
        <w:top w:val="none" w:sz="0" w:space="0" w:color="auto"/>
        <w:left w:val="none" w:sz="0" w:space="0" w:color="auto"/>
        <w:bottom w:val="none" w:sz="0" w:space="0" w:color="auto"/>
        <w:right w:val="none" w:sz="0" w:space="0" w:color="auto"/>
      </w:divBdr>
    </w:div>
    <w:div w:id="747308074">
      <w:bodyDiv w:val="1"/>
      <w:marLeft w:val="0"/>
      <w:marRight w:val="0"/>
      <w:marTop w:val="0"/>
      <w:marBottom w:val="0"/>
      <w:divBdr>
        <w:top w:val="none" w:sz="0" w:space="0" w:color="auto"/>
        <w:left w:val="none" w:sz="0" w:space="0" w:color="auto"/>
        <w:bottom w:val="none" w:sz="0" w:space="0" w:color="auto"/>
        <w:right w:val="none" w:sz="0" w:space="0" w:color="auto"/>
      </w:divBdr>
    </w:div>
    <w:div w:id="756512064">
      <w:bodyDiv w:val="1"/>
      <w:marLeft w:val="0"/>
      <w:marRight w:val="0"/>
      <w:marTop w:val="0"/>
      <w:marBottom w:val="0"/>
      <w:divBdr>
        <w:top w:val="none" w:sz="0" w:space="0" w:color="auto"/>
        <w:left w:val="none" w:sz="0" w:space="0" w:color="auto"/>
        <w:bottom w:val="none" w:sz="0" w:space="0" w:color="auto"/>
        <w:right w:val="none" w:sz="0" w:space="0" w:color="auto"/>
      </w:divBdr>
    </w:div>
    <w:div w:id="756756396">
      <w:bodyDiv w:val="1"/>
      <w:marLeft w:val="0"/>
      <w:marRight w:val="0"/>
      <w:marTop w:val="0"/>
      <w:marBottom w:val="0"/>
      <w:divBdr>
        <w:top w:val="none" w:sz="0" w:space="0" w:color="auto"/>
        <w:left w:val="none" w:sz="0" w:space="0" w:color="auto"/>
        <w:bottom w:val="none" w:sz="0" w:space="0" w:color="auto"/>
        <w:right w:val="none" w:sz="0" w:space="0" w:color="auto"/>
      </w:divBdr>
    </w:div>
    <w:div w:id="769199309">
      <w:bodyDiv w:val="1"/>
      <w:marLeft w:val="0"/>
      <w:marRight w:val="0"/>
      <w:marTop w:val="0"/>
      <w:marBottom w:val="0"/>
      <w:divBdr>
        <w:top w:val="none" w:sz="0" w:space="0" w:color="auto"/>
        <w:left w:val="none" w:sz="0" w:space="0" w:color="auto"/>
        <w:bottom w:val="none" w:sz="0" w:space="0" w:color="auto"/>
        <w:right w:val="none" w:sz="0" w:space="0" w:color="auto"/>
      </w:divBdr>
      <w:divsChild>
        <w:div w:id="775175894">
          <w:marLeft w:val="274"/>
          <w:marRight w:val="0"/>
          <w:marTop w:val="0"/>
          <w:marBottom w:val="0"/>
          <w:divBdr>
            <w:top w:val="none" w:sz="0" w:space="0" w:color="auto"/>
            <w:left w:val="none" w:sz="0" w:space="0" w:color="auto"/>
            <w:bottom w:val="none" w:sz="0" w:space="0" w:color="auto"/>
            <w:right w:val="none" w:sz="0" w:space="0" w:color="auto"/>
          </w:divBdr>
        </w:div>
        <w:div w:id="1334797865">
          <w:marLeft w:val="274"/>
          <w:marRight w:val="0"/>
          <w:marTop w:val="0"/>
          <w:marBottom w:val="0"/>
          <w:divBdr>
            <w:top w:val="none" w:sz="0" w:space="0" w:color="auto"/>
            <w:left w:val="none" w:sz="0" w:space="0" w:color="auto"/>
            <w:bottom w:val="none" w:sz="0" w:space="0" w:color="auto"/>
            <w:right w:val="none" w:sz="0" w:space="0" w:color="auto"/>
          </w:divBdr>
        </w:div>
        <w:div w:id="1767114013">
          <w:marLeft w:val="274"/>
          <w:marRight w:val="0"/>
          <w:marTop w:val="0"/>
          <w:marBottom w:val="0"/>
          <w:divBdr>
            <w:top w:val="none" w:sz="0" w:space="0" w:color="auto"/>
            <w:left w:val="none" w:sz="0" w:space="0" w:color="auto"/>
            <w:bottom w:val="none" w:sz="0" w:space="0" w:color="auto"/>
            <w:right w:val="none" w:sz="0" w:space="0" w:color="auto"/>
          </w:divBdr>
        </w:div>
      </w:divsChild>
    </w:div>
    <w:div w:id="772478480">
      <w:bodyDiv w:val="1"/>
      <w:marLeft w:val="0"/>
      <w:marRight w:val="0"/>
      <w:marTop w:val="0"/>
      <w:marBottom w:val="0"/>
      <w:divBdr>
        <w:top w:val="none" w:sz="0" w:space="0" w:color="auto"/>
        <w:left w:val="none" w:sz="0" w:space="0" w:color="auto"/>
        <w:bottom w:val="none" w:sz="0" w:space="0" w:color="auto"/>
        <w:right w:val="none" w:sz="0" w:space="0" w:color="auto"/>
      </w:divBdr>
    </w:div>
    <w:div w:id="780958635">
      <w:bodyDiv w:val="1"/>
      <w:marLeft w:val="0"/>
      <w:marRight w:val="0"/>
      <w:marTop w:val="0"/>
      <w:marBottom w:val="0"/>
      <w:divBdr>
        <w:top w:val="none" w:sz="0" w:space="0" w:color="auto"/>
        <w:left w:val="none" w:sz="0" w:space="0" w:color="auto"/>
        <w:bottom w:val="none" w:sz="0" w:space="0" w:color="auto"/>
        <w:right w:val="none" w:sz="0" w:space="0" w:color="auto"/>
      </w:divBdr>
    </w:div>
    <w:div w:id="784495743">
      <w:bodyDiv w:val="1"/>
      <w:marLeft w:val="0"/>
      <w:marRight w:val="0"/>
      <w:marTop w:val="0"/>
      <w:marBottom w:val="0"/>
      <w:divBdr>
        <w:top w:val="none" w:sz="0" w:space="0" w:color="auto"/>
        <w:left w:val="none" w:sz="0" w:space="0" w:color="auto"/>
        <w:bottom w:val="none" w:sz="0" w:space="0" w:color="auto"/>
        <w:right w:val="none" w:sz="0" w:space="0" w:color="auto"/>
      </w:divBdr>
    </w:div>
    <w:div w:id="788626235">
      <w:bodyDiv w:val="1"/>
      <w:marLeft w:val="0"/>
      <w:marRight w:val="0"/>
      <w:marTop w:val="0"/>
      <w:marBottom w:val="0"/>
      <w:divBdr>
        <w:top w:val="none" w:sz="0" w:space="0" w:color="auto"/>
        <w:left w:val="none" w:sz="0" w:space="0" w:color="auto"/>
        <w:bottom w:val="none" w:sz="0" w:space="0" w:color="auto"/>
        <w:right w:val="none" w:sz="0" w:space="0" w:color="auto"/>
      </w:divBdr>
    </w:div>
    <w:div w:id="794563036">
      <w:bodyDiv w:val="1"/>
      <w:marLeft w:val="0"/>
      <w:marRight w:val="0"/>
      <w:marTop w:val="0"/>
      <w:marBottom w:val="0"/>
      <w:divBdr>
        <w:top w:val="none" w:sz="0" w:space="0" w:color="auto"/>
        <w:left w:val="none" w:sz="0" w:space="0" w:color="auto"/>
        <w:bottom w:val="none" w:sz="0" w:space="0" w:color="auto"/>
        <w:right w:val="none" w:sz="0" w:space="0" w:color="auto"/>
      </w:divBdr>
    </w:div>
    <w:div w:id="794762298">
      <w:bodyDiv w:val="1"/>
      <w:marLeft w:val="0"/>
      <w:marRight w:val="0"/>
      <w:marTop w:val="0"/>
      <w:marBottom w:val="0"/>
      <w:divBdr>
        <w:top w:val="none" w:sz="0" w:space="0" w:color="auto"/>
        <w:left w:val="none" w:sz="0" w:space="0" w:color="auto"/>
        <w:bottom w:val="none" w:sz="0" w:space="0" w:color="auto"/>
        <w:right w:val="none" w:sz="0" w:space="0" w:color="auto"/>
      </w:divBdr>
    </w:div>
    <w:div w:id="794980069">
      <w:bodyDiv w:val="1"/>
      <w:marLeft w:val="0"/>
      <w:marRight w:val="0"/>
      <w:marTop w:val="0"/>
      <w:marBottom w:val="0"/>
      <w:divBdr>
        <w:top w:val="none" w:sz="0" w:space="0" w:color="auto"/>
        <w:left w:val="none" w:sz="0" w:space="0" w:color="auto"/>
        <w:bottom w:val="none" w:sz="0" w:space="0" w:color="auto"/>
        <w:right w:val="none" w:sz="0" w:space="0" w:color="auto"/>
      </w:divBdr>
    </w:div>
    <w:div w:id="806822530">
      <w:bodyDiv w:val="1"/>
      <w:marLeft w:val="0"/>
      <w:marRight w:val="0"/>
      <w:marTop w:val="0"/>
      <w:marBottom w:val="0"/>
      <w:divBdr>
        <w:top w:val="none" w:sz="0" w:space="0" w:color="auto"/>
        <w:left w:val="none" w:sz="0" w:space="0" w:color="auto"/>
        <w:bottom w:val="none" w:sz="0" w:space="0" w:color="auto"/>
        <w:right w:val="none" w:sz="0" w:space="0" w:color="auto"/>
      </w:divBdr>
    </w:div>
    <w:div w:id="808477556">
      <w:bodyDiv w:val="1"/>
      <w:marLeft w:val="0"/>
      <w:marRight w:val="0"/>
      <w:marTop w:val="0"/>
      <w:marBottom w:val="0"/>
      <w:divBdr>
        <w:top w:val="none" w:sz="0" w:space="0" w:color="auto"/>
        <w:left w:val="none" w:sz="0" w:space="0" w:color="auto"/>
        <w:bottom w:val="none" w:sz="0" w:space="0" w:color="auto"/>
        <w:right w:val="none" w:sz="0" w:space="0" w:color="auto"/>
      </w:divBdr>
    </w:div>
    <w:div w:id="814299187">
      <w:bodyDiv w:val="1"/>
      <w:marLeft w:val="0"/>
      <w:marRight w:val="0"/>
      <w:marTop w:val="0"/>
      <w:marBottom w:val="0"/>
      <w:divBdr>
        <w:top w:val="none" w:sz="0" w:space="0" w:color="auto"/>
        <w:left w:val="none" w:sz="0" w:space="0" w:color="auto"/>
        <w:bottom w:val="none" w:sz="0" w:space="0" w:color="auto"/>
        <w:right w:val="none" w:sz="0" w:space="0" w:color="auto"/>
      </w:divBdr>
    </w:div>
    <w:div w:id="829368678">
      <w:bodyDiv w:val="1"/>
      <w:marLeft w:val="0"/>
      <w:marRight w:val="0"/>
      <w:marTop w:val="0"/>
      <w:marBottom w:val="0"/>
      <w:divBdr>
        <w:top w:val="none" w:sz="0" w:space="0" w:color="auto"/>
        <w:left w:val="none" w:sz="0" w:space="0" w:color="auto"/>
        <w:bottom w:val="none" w:sz="0" w:space="0" w:color="auto"/>
        <w:right w:val="none" w:sz="0" w:space="0" w:color="auto"/>
      </w:divBdr>
    </w:div>
    <w:div w:id="834148891">
      <w:bodyDiv w:val="1"/>
      <w:marLeft w:val="0"/>
      <w:marRight w:val="0"/>
      <w:marTop w:val="0"/>
      <w:marBottom w:val="0"/>
      <w:divBdr>
        <w:top w:val="none" w:sz="0" w:space="0" w:color="auto"/>
        <w:left w:val="none" w:sz="0" w:space="0" w:color="auto"/>
        <w:bottom w:val="none" w:sz="0" w:space="0" w:color="auto"/>
        <w:right w:val="none" w:sz="0" w:space="0" w:color="auto"/>
      </w:divBdr>
    </w:div>
    <w:div w:id="838421060">
      <w:bodyDiv w:val="1"/>
      <w:marLeft w:val="0"/>
      <w:marRight w:val="0"/>
      <w:marTop w:val="0"/>
      <w:marBottom w:val="0"/>
      <w:divBdr>
        <w:top w:val="none" w:sz="0" w:space="0" w:color="auto"/>
        <w:left w:val="none" w:sz="0" w:space="0" w:color="auto"/>
        <w:bottom w:val="none" w:sz="0" w:space="0" w:color="auto"/>
        <w:right w:val="none" w:sz="0" w:space="0" w:color="auto"/>
      </w:divBdr>
    </w:div>
    <w:div w:id="859124777">
      <w:bodyDiv w:val="1"/>
      <w:marLeft w:val="0"/>
      <w:marRight w:val="0"/>
      <w:marTop w:val="0"/>
      <w:marBottom w:val="0"/>
      <w:divBdr>
        <w:top w:val="none" w:sz="0" w:space="0" w:color="auto"/>
        <w:left w:val="none" w:sz="0" w:space="0" w:color="auto"/>
        <w:bottom w:val="none" w:sz="0" w:space="0" w:color="auto"/>
        <w:right w:val="none" w:sz="0" w:space="0" w:color="auto"/>
      </w:divBdr>
    </w:div>
    <w:div w:id="859584996">
      <w:bodyDiv w:val="1"/>
      <w:marLeft w:val="0"/>
      <w:marRight w:val="0"/>
      <w:marTop w:val="0"/>
      <w:marBottom w:val="0"/>
      <w:divBdr>
        <w:top w:val="none" w:sz="0" w:space="0" w:color="auto"/>
        <w:left w:val="none" w:sz="0" w:space="0" w:color="auto"/>
        <w:bottom w:val="none" w:sz="0" w:space="0" w:color="auto"/>
        <w:right w:val="none" w:sz="0" w:space="0" w:color="auto"/>
      </w:divBdr>
    </w:div>
    <w:div w:id="870535689">
      <w:bodyDiv w:val="1"/>
      <w:marLeft w:val="0"/>
      <w:marRight w:val="0"/>
      <w:marTop w:val="0"/>
      <w:marBottom w:val="0"/>
      <w:divBdr>
        <w:top w:val="none" w:sz="0" w:space="0" w:color="auto"/>
        <w:left w:val="none" w:sz="0" w:space="0" w:color="auto"/>
        <w:bottom w:val="none" w:sz="0" w:space="0" w:color="auto"/>
        <w:right w:val="none" w:sz="0" w:space="0" w:color="auto"/>
      </w:divBdr>
      <w:divsChild>
        <w:div w:id="1174567335">
          <w:marLeft w:val="360"/>
          <w:marRight w:val="0"/>
          <w:marTop w:val="0"/>
          <w:marBottom w:val="0"/>
          <w:divBdr>
            <w:top w:val="none" w:sz="0" w:space="0" w:color="auto"/>
            <w:left w:val="none" w:sz="0" w:space="0" w:color="auto"/>
            <w:bottom w:val="none" w:sz="0" w:space="0" w:color="auto"/>
            <w:right w:val="none" w:sz="0" w:space="0" w:color="auto"/>
          </w:divBdr>
        </w:div>
      </w:divsChild>
    </w:div>
    <w:div w:id="875313788">
      <w:bodyDiv w:val="1"/>
      <w:marLeft w:val="0"/>
      <w:marRight w:val="0"/>
      <w:marTop w:val="0"/>
      <w:marBottom w:val="0"/>
      <w:divBdr>
        <w:top w:val="none" w:sz="0" w:space="0" w:color="auto"/>
        <w:left w:val="none" w:sz="0" w:space="0" w:color="auto"/>
        <w:bottom w:val="none" w:sz="0" w:space="0" w:color="auto"/>
        <w:right w:val="none" w:sz="0" w:space="0" w:color="auto"/>
      </w:divBdr>
    </w:div>
    <w:div w:id="891110919">
      <w:bodyDiv w:val="1"/>
      <w:marLeft w:val="0"/>
      <w:marRight w:val="0"/>
      <w:marTop w:val="0"/>
      <w:marBottom w:val="0"/>
      <w:divBdr>
        <w:top w:val="none" w:sz="0" w:space="0" w:color="auto"/>
        <w:left w:val="none" w:sz="0" w:space="0" w:color="auto"/>
        <w:bottom w:val="none" w:sz="0" w:space="0" w:color="auto"/>
        <w:right w:val="none" w:sz="0" w:space="0" w:color="auto"/>
      </w:divBdr>
    </w:div>
    <w:div w:id="900100118">
      <w:bodyDiv w:val="1"/>
      <w:marLeft w:val="0"/>
      <w:marRight w:val="0"/>
      <w:marTop w:val="0"/>
      <w:marBottom w:val="0"/>
      <w:divBdr>
        <w:top w:val="none" w:sz="0" w:space="0" w:color="auto"/>
        <w:left w:val="none" w:sz="0" w:space="0" w:color="auto"/>
        <w:bottom w:val="none" w:sz="0" w:space="0" w:color="auto"/>
        <w:right w:val="none" w:sz="0" w:space="0" w:color="auto"/>
      </w:divBdr>
    </w:div>
    <w:div w:id="901133665">
      <w:bodyDiv w:val="1"/>
      <w:marLeft w:val="0"/>
      <w:marRight w:val="0"/>
      <w:marTop w:val="0"/>
      <w:marBottom w:val="0"/>
      <w:divBdr>
        <w:top w:val="none" w:sz="0" w:space="0" w:color="auto"/>
        <w:left w:val="none" w:sz="0" w:space="0" w:color="auto"/>
        <w:bottom w:val="none" w:sz="0" w:space="0" w:color="auto"/>
        <w:right w:val="none" w:sz="0" w:space="0" w:color="auto"/>
      </w:divBdr>
    </w:div>
    <w:div w:id="913667499">
      <w:bodyDiv w:val="1"/>
      <w:marLeft w:val="0"/>
      <w:marRight w:val="0"/>
      <w:marTop w:val="0"/>
      <w:marBottom w:val="0"/>
      <w:divBdr>
        <w:top w:val="none" w:sz="0" w:space="0" w:color="auto"/>
        <w:left w:val="none" w:sz="0" w:space="0" w:color="auto"/>
        <w:bottom w:val="none" w:sz="0" w:space="0" w:color="auto"/>
        <w:right w:val="none" w:sz="0" w:space="0" w:color="auto"/>
      </w:divBdr>
    </w:div>
    <w:div w:id="939412487">
      <w:bodyDiv w:val="1"/>
      <w:marLeft w:val="0"/>
      <w:marRight w:val="0"/>
      <w:marTop w:val="0"/>
      <w:marBottom w:val="0"/>
      <w:divBdr>
        <w:top w:val="none" w:sz="0" w:space="0" w:color="auto"/>
        <w:left w:val="none" w:sz="0" w:space="0" w:color="auto"/>
        <w:bottom w:val="none" w:sz="0" w:space="0" w:color="auto"/>
        <w:right w:val="none" w:sz="0" w:space="0" w:color="auto"/>
      </w:divBdr>
    </w:div>
    <w:div w:id="942346594">
      <w:bodyDiv w:val="1"/>
      <w:marLeft w:val="0"/>
      <w:marRight w:val="0"/>
      <w:marTop w:val="0"/>
      <w:marBottom w:val="0"/>
      <w:divBdr>
        <w:top w:val="none" w:sz="0" w:space="0" w:color="auto"/>
        <w:left w:val="none" w:sz="0" w:space="0" w:color="auto"/>
        <w:bottom w:val="none" w:sz="0" w:space="0" w:color="auto"/>
        <w:right w:val="none" w:sz="0" w:space="0" w:color="auto"/>
      </w:divBdr>
    </w:div>
    <w:div w:id="944581495">
      <w:bodyDiv w:val="1"/>
      <w:marLeft w:val="0"/>
      <w:marRight w:val="0"/>
      <w:marTop w:val="0"/>
      <w:marBottom w:val="0"/>
      <w:divBdr>
        <w:top w:val="none" w:sz="0" w:space="0" w:color="auto"/>
        <w:left w:val="none" w:sz="0" w:space="0" w:color="auto"/>
        <w:bottom w:val="none" w:sz="0" w:space="0" w:color="auto"/>
        <w:right w:val="none" w:sz="0" w:space="0" w:color="auto"/>
      </w:divBdr>
    </w:div>
    <w:div w:id="945818230">
      <w:bodyDiv w:val="1"/>
      <w:marLeft w:val="0"/>
      <w:marRight w:val="0"/>
      <w:marTop w:val="0"/>
      <w:marBottom w:val="0"/>
      <w:divBdr>
        <w:top w:val="none" w:sz="0" w:space="0" w:color="auto"/>
        <w:left w:val="none" w:sz="0" w:space="0" w:color="auto"/>
        <w:bottom w:val="none" w:sz="0" w:space="0" w:color="auto"/>
        <w:right w:val="none" w:sz="0" w:space="0" w:color="auto"/>
      </w:divBdr>
    </w:div>
    <w:div w:id="950745758">
      <w:bodyDiv w:val="1"/>
      <w:marLeft w:val="0"/>
      <w:marRight w:val="0"/>
      <w:marTop w:val="0"/>
      <w:marBottom w:val="0"/>
      <w:divBdr>
        <w:top w:val="none" w:sz="0" w:space="0" w:color="auto"/>
        <w:left w:val="none" w:sz="0" w:space="0" w:color="auto"/>
        <w:bottom w:val="none" w:sz="0" w:space="0" w:color="auto"/>
        <w:right w:val="none" w:sz="0" w:space="0" w:color="auto"/>
      </w:divBdr>
    </w:div>
    <w:div w:id="971405611">
      <w:bodyDiv w:val="1"/>
      <w:marLeft w:val="0"/>
      <w:marRight w:val="0"/>
      <w:marTop w:val="0"/>
      <w:marBottom w:val="0"/>
      <w:divBdr>
        <w:top w:val="none" w:sz="0" w:space="0" w:color="auto"/>
        <w:left w:val="none" w:sz="0" w:space="0" w:color="auto"/>
        <w:bottom w:val="none" w:sz="0" w:space="0" w:color="auto"/>
        <w:right w:val="none" w:sz="0" w:space="0" w:color="auto"/>
      </w:divBdr>
    </w:div>
    <w:div w:id="975647193">
      <w:bodyDiv w:val="1"/>
      <w:marLeft w:val="0"/>
      <w:marRight w:val="0"/>
      <w:marTop w:val="0"/>
      <w:marBottom w:val="0"/>
      <w:divBdr>
        <w:top w:val="none" w:sz="0" w:space="0" w:color="auto"/>
        <w:left w:val="none" w:sz="0" w:space="0" w:color="auto"/>
        <w:bottom w:val="none" w:sz="0" w:space="0" w:color="auto"/>
        <w:right w:val="none" w:sz="0" w:space="0" w:color="auto"/>
      </w:divBdr>
    </w:div>
    <w:div w:id="1001355011">
      <w:bodyDiv w:val="1"/>
      <w:marLeft w:val="0"/>
      <w:marRight w:val="0"/>
      <w:marTop w:val="0"/>
      <w:marBottom w:val="0"/>
      <w:divBdr>
        <w:top w:val="none" w:sz="0" w:space="0" w:color="auto"/>
        <w:left w:val="none" w:sz="0" w:space="0" w:color="auto"/>
        <w:bottom w:val="none" w:sz="0" w:space="0" w:color="auto"/>
        <w:right w:val="none" w:sz="0" w:space="0" w:color="auto"/>
      </w:divBdr>
    </w:div>
    <w:div w:id="1004472848">
      <w:bodyDiv w:val="1"/>
      <w:marLeft w:val="0"/>
      <w:marRight w:val="0"/>
      <w:marTop w:val="0"/>
      <w:marBottom w:val="0"/>
      <w:divBdr>
        <w:top w:val="none" w:sz="0" w:space="0" w:color="auto"/>
        <w:left w:val="none" w:sz="0" w:space="0" w:color="auto"/>
        <w:bottom w:val="none" w:sz="0" w:space="0" w:color="auto"/>
        <w:right w:val="none" w:sz="0" w:space="0" w:color="auto"/>
      </w:divBdr>
    </w:div>
    <w:div w:id="1029717942">
      <w:bodyDiv w:val="1"/>
      <w:marLeft w:val="0"/>
      <w:marRight w:val="0"/>
      <w:marTop w:val="0"/>
      <w:marBottom w:val="0"/>
      <w:divBdr>
        <w:top w:val="none" w:sz="0" w:space="0" w:color="auto"/>
        <w:left w:val="none" w:sz="0" w:space="0" w:color="auto"/>
        <w:bottom w:val="none" w:sz="0" w:space="0" w:color="auto"/>
        <w:right w:val="none" w:sz="0" w:space="0" w:color="auto"/>
      </w:divBdr>
    </w:div>
    <w:div w:id="1033463825">
      <w:bodyDiv w:val="1"/>
      <w:marLeft w:val="0"/>
      <w:marRight w:val="0"/>
      <w:marTop w:val="0"/>
      <w:marBottom w:val="0"/>
      <w:divBdr>
        <w:top w:val="none" w:sz="0" w:space="0" w:color="auto"/>
        <w:left w:val="none" w:sz="0" w:space="0" w:color="auto"/>
        <w:bottom w:val="none" w:sz="0" w:space="0" w:color="auto"/>
        <w:right w:val="none" w:sz="0" w:space="0" w:color="auto"/>
      </w:divBdr>
    </w:div>
    <w:div w:id="1042905967">
      <w:bodyDiv w:val="1"/>
      <w:marLeft w:val="0"/>
      <w:marRight w:val="0"/>
      <w:marTop w:val="0"/>
      <w:marBottom w:val="0"/>
      <w:divBdr>
        <w:top w:val="none" w:sz="0" w:space="0" w:color="auto"/>
        <w:left w:val="none" w:sz="0" w:space="0" w:color="auto"/>
        <w:bottom w:val="none" w:sz="0" w:space="0" w:color="auto"/>
        <w:right w:val="none" w:sz="0" w:space="0" w:color="auto"/>
      </w:divBdr>
    </w:div>
    <w:div w:id="1043217415">
      <w:bodyDiv w:val="1"/>
      <w:marLeft w:val="0"/>
      <w:marRight w:val="0"/>
      <w:marTop w:val="0"/>
      <w:marBottom w:val="0"/>
      <w:divBdr>
        <w:top w:val="none" w:sz="0" w:space="0" w:color="auto"/>
        <w:left w:val="none" w:sz="0" w:space="0" w:color="auto"/>
        <w:bottom w:val="none" w:sz="0" w:space="0" w:color="auto"/>
        <w:right w:val="none" w:sz="0" w:space="0" w:color="auto"/>
      </w:divBdr>
    </w:div>
    <w:div w:id="1051809030">
      <w:bodyDiv w:val="1"/>
      <w:marLeft w:val="0"/>
      <w:marRight w:val="0"/>
      <w:marTop w:val="0"/>
      <w:marBottom w:val="0"/>
      <w:divBdr>
        <w:top w:val="none" w:sz="0" w:space="0" w:color="auto"/>
        <w:left w:val="none" w:sz="0" w:space="0" w:color="auto"/>
        <w:bottom w:val="none" w:sz="0" w:space="0" w:color="auto"/>
        <w:right w:val="none" w:sz="0" w:space="0" w:color="auto"/>
      </w:divBdr>
    </w:div>
    <w:div w:id="1058633258">
      <w:bodyDiv w:val="1"/>
      <w:marLeft w:val="0"/>
      <w:marRight w:val="0"/>
      <w:marTop w:val="0"/>
      <w:marBottom w:val="0"/>
      <w:divBdr>
        <w:top w:val="none" w:sz="0" w:space="0" w:color="auto"/>
        <w:left w:val="none" w:sz="0" w:space="0" w:color="auto"/>
        <w:bottom w:val="none" w:sz="0" w:space="0" w:color="auto"/>
        <w:right w:val="none" w:sz="0" w:space="0" w:color="auto"/>
      </w:divBdr>
      <w:divsChild>
        <w:div w:id="721757231">
          <w:marLeft w:val="547"/>
          <w:marRight w:val="0"/>
          <w:marTop w:val="0"/>
          <w:marBottom w:val="120"/>
          <w:divBdr>
            <w:top w:val="none" w:sz="0" w:space="0" w:color="auto"/>
            <w:left w:val="none" w:sz="0" w:space="0" w:color="auto"/>
            <w:bottom w:val="none" w:sz="0" w:space="0" w:color="auto"/>
            <w:right w:val="none" w:sz="0" w:space="0" w:color="auto"/>
          </w:divBdr>
        </w:div>
        <w:div w:id="195779806">
          <w:marLeft w:val="547"/>
          <w:marRight w:val="0"/>
          <w:marTop w:val="0"/>
          <w:marBottom w:val="120"/>
          <w:divBdr>
            <w:top w:val="none" w:sz="0" w:space="0" w:color="auto"/>
            <w:left w:val="none" w:sz="0" w:space="0" w:color="auto"/>
            <w:bottom w:val="none" w:sz="0" w:space="0" w:color="auto"/>
            <w:right w:val="none" w:sz="0" w:space="0" w:color="auto"/>
          </w:divBdr>
        </w:div>
        <w:div w:id="637497125">
          <w:marLeft w:val="547"/>
          <w:marRight w:val="0"/>
          <w:marTop w:val="0"/>
          <w:marBottom w:val="120"/>
          <w:divBdr>
            <w:top w:val="none" w:sz="0" w:space="0" w:color="auto"/>
            <w:left w:val="none" w:sz="0" w:space="0" w:color="auto"/>
            <w:bottom w:val="none" w:sz="0" w:space="0" w:color="auto"/>
            <w:right w:val="none" w:sz="0" w:space="0" w:color="auto"/>
          </w:divBdr>
        </w:div>
        <w:div w:id="226888763">
          <w:marLeft w:val="547"/>
          <w:marRight w:val="0"/>
          <w:marTop w:val="0"/>
          <w:marBottom w:val="120"/>
          <w:divBdr>
            <w:top w:val="none" w:sz="0" w:space="0" w:color="auto"/>
            <w:left w:val="none" w:sz="0" w:space="0" w:color="auto"/>
            <w:bottom w:val="none" w:sz="0" w:space="0" w:color="auto"/>
            <w:right w:val="none" w:sz="0" w:space="0" w:color="auto"/>
          </w:divBdr>
        </w:div>
        <w:div w:id="1648313464">
          <w:marLeft w:val="547"/>
          <w:marRight w:val="0"/>
          <w:marTop w:val="0"/>
          <w:marBottom w:val="120"/>
          <w:divBdr>
            <w:top w:val="none" w:sz="0" w:space="0" w:color="auto"/>
            <w:left w:val="none" w:sz="0" w:space="0" w:color="auto"/>
            <w:bottom w:val="none" w:sz="0" w:space="0" w:color="auto"/>
            <w:right w:val="none" w:sz="0" w:space="0" w:color="auto"/>
          </w:divBdr>
        </w:div>
        <w:div w:id="788742087">
          <w:marLeft w:val="547"/>
          <w:marRight w:val="0"/>
          <w:marTop w:val="0"/>
          <w:marBottom w:val="120"/>
          <w:divBdr>
            <w:top w:val="none" w:sz="0" w:space="0" w:color="auto"/>
            <w:left w:val="none" w:sz="0" w:space="0" w:color="auto"/>
            <w:bottom w:val="none" w:sz="0" w:space="0" w:color="auto"/>
            <w:right w:val="none" w:sz="0" w:space="0" w:color="auto"/>
          </w:divBdr>
        </w:div>
        <w:div w:id="1506942994">
          <w:marLeft w:val="547"/>
          <w:marRight w:val="0"/>
          <w:marTop w:val="0"/>
          <w:marBottom w:val="120"/>
          <w:divBdr>
            <w:top w:val="none" w:sz="0" w:space="0" w:color="auto"/>
            <w:left w:val="none" w:sz="0" w:space="0" w:color="auto"/>
            <w:bottom w:val="none" w:sz="0" w:space="0" w:color="auto"/>
            <w:right w:val="none" w:sz="0" w:space="0" w:color="auto"/>
          </w:divBdr>
        </w:div>
        <w:div w:id="408230448">
          <w:marLeft w:val="547"/>
          <w:marRight w:val="0"/>
          <w:marTop w:val="0"/>
          <w:marBottom w:val="120"/>
          <w:divBdr>
            <w:top w:val="none" w:sz="0" w:space="0" w:color="auto"/>
            <w:left w:val="none" w:sz="0" w:space="0" w:color="auto"/>
            <w:bottom w:val="none" w:sz="0" w:space="0" w:color="auto"/>
            <w:right w:val="none" w:sz="0" w:space="0" w:color="auto"/>
          </w:divBdr>
        </w:div>
        <w:div w:id="688259172">
          <w:marLeft w:val="547"/>
          <w:marRight w:val="0"/>
          <w:marTop w:val="0"/>
          <w:marBottom w:val="120"/>
          <w:divBdr>
            <w:top w:val="none" w:sz="0" w:space="0" w:color="auto"/>
            <w:left w:val="none" w:sz="0" w:space="0" w:color="auto"/>
            <w:bottom w:val="none" w:sz="0" w:space="0" w:color="auto"/>
            <w:right w:val="none" w:sz="0" w:space="0" w:color="auto"/>
          </w:divBdr>
        </w:div>
        <w:div w:id="1317343855">
          <w:marLeft w:val="547"/>
          <w:marRight w:val="0"/>
          <w:marTop w:val="0"/>
          <w:marBottom w:val="120"/>
          <w:divBdr>
            <w:top w:val="none" w:sz="0" w:space="0" w:color="auto"/>
            <w:left w:val="none" w:sz="0" w:space="0" w:color="auto"/>
            <w:bottom w:val="none" w:sz="0" w:space="0" w:color="auto"/>
            <w:right w:val="none" w:sz="0" w:space="0" w:color="auto"/>
          </w:divBdr>
        </w:div>
        <w:div w:id="20479785">
          <w:marLeft w:val="547"/>
          <w:marRight w:val="0"/>
          <w:marTop w:val="0"/>
          <w:marBottom w:val="120"/>
          <w:divBdr>
            <w:top w:val="none" w:sz="0" w:space="0" w:color="auto"/>
            <w:left w:val="none" w:sz="0" w:space="0" w:color="auto"/>
            <w:bottom w:val="none" w:sz="0" w:space="0" w:color="auto"/>
            <w:right w:val="none" w:sz="0" w:space="0" w:color="auto"/>
          </w:divBdr>
        </w:div>
        <w:div w:id="1669361994">
          <w:marLeft w:val="547"/>
          <w:marRight w:val="0"/>
          <w:marTop w:val="0"/>
          <w:marBottom w:val="120"/>
          <w:divBdr>
            <w:top w:val="none" w:sz="0" w:space="0" w:color="auto"/>
            <w:left w:val="none" w:sz="0" w:space="0" w:color="auto"/>
            <w:bottom w:val="none" w:sz="0" w:space="0" w:color="auto"/>
            <w:right w:val="none" w:sz="0" w:space="0" w:color="auto"/>
          </w:divBdr>
        </w:div>
      </w:divsChild>
    </w:div>
    <w:div w:id="1063791396">
      <w:bodyDiv w:val="1"/>
      <w:marLeft w:val="0"/>
      <w:marRight w:val="0"/>
      <w:marTop w:val="0"/>
      <w:marBottom w:val="0"/>
      <w:divBdr>
        <w:top w:val="none" w:sz="0" w:space="0" w:color="auto"/>
        <w:left w:val="none" w:sz="0" w:space="0" w:color="auto"/>
        <w:bottom w:val="none" w:sz="0" w:space="0" w:color="auto"/>
        <w:right w:val="none" w:sz="0" w:space="0" w:color="auto"/>
      </w:divBdr>
    </w:div>
    <w:div w:id="1072119061">
      <w:bodyDiv w:val="1"/>
      <w:marLeft w:val="0"/>
      <w:marRight w:val="0"/>
      <w:marTop w:val="0"/>
      <w:marBottom w:val="0"/>
      <w:divBdr>
        <w:top w:val="none" w:sz="0" w:space="0" w:color="auto"/>
        <w:left w:val="none" w:sz="0" w:space="0" w:color="auto"/>
        <w:bottom w:val="none" w:sz="0" w:space="0" w:color="auto"/>
        <w:right w:val="none" w:sz="0" w:space="0" w:color="auto"/>
      </w:divBdr>
    </w:div>
    <w:div w:id="1076365276">
      <w:bodyDiv w:val="1"/>
      <w:marLeft w:val="0"/>
      <w:marRight w:val="0"/>
      <w:marTop w:val="0"/>
      <w:marBottom w:val="0"/>
      <w:divBdr>
        <w:top w:val="none" w:sz="0" w:space="0" w:color="auto"/>
        <w:left w:val="none" w:sz="0" w:space="0" w:color="auto"/>
        <w:bottom w:val="none" w:sz="0" w:space="0" w:color="auto"/>
        <w:right w:val="none" w:sz="0" w:space="0" w:color="auto"/>
      </w:divBdr>
    </w:div>
    <w:div w:id="1080253868">
      <w:bodyDiv w:val="1"/>
      <w:marLeft w:val="0"/>
      <w:marRight w:val="0"/>
      <w:marTop w:val="0"/>
      <w:marBottom w:val="0"/>
      <w:divBdr>
        <w:top w:val="none" w:sz="0" w:space="0" w:color="auto"/>
        <w:left w:val="none" w:sz="0" w:space="0" w:color="auto"/>
        <w:bottom w:val="none" w:sz="0" w:space="0" w:color="auto"/>
        <w:right w:val="none" w:sz="0" w:space="0" w:color="auto"/>
      </w:divBdr>
    </w:div>
    <w:div w:id="1109666643">
      <w:bodyDiv w:val="1"/>
      <w:marLeft w:val="0"/>
      <w:marRight w:val="0"/>
      <w:marTop w:val="0"/>
      <w:marBottom w:val="0"/>
      <w:divBdr>
        <w:top w:val="none" w:sz="0" w:space="0" w:color="auto"/>
        <w:left w:val="none" w:sz="0" w:space="0" w:color="auto"/>
        <w:bottom w:val="none" w:sz="0" w:space="0" w:color="auto"/>
        <w:right w:val="none" w:sz="0" w:space="0" w:color="auto"/>
      </w:divBdr>
    </w:div>
    <w:div w:id="1128666209">
      <w:bodyDiv w:val="1"/>
      <w:marLeft w:val="0"/>
      <w:marRight w:val="0"/>
      <w:marTop w:val="0"/>
      <w:marBottom w:val="0"/>
      <w:divBdr>
        <w:top w:val="none" w:sz="0" w:space="0" w:color="auto"/>
        <w:left w:val="none" w:sz="0" w:space="0" w:color="auto"/>
        <w:bottom w:val="none" w:sz="0" w:space="0" w:color="auto"/>
        <w:right w:val="none" w:sz="0" w:space="0" w:color="auto"/>
      </w:divBdr>
      <w:divsChild>
        <w:div w:id="720715312">
          <w:marLeft w:val="547"/>
          <w:marRight w:val="0"/>
          <w:marTop w:val="0"/>
          <w:marBottom w:val="120"/>
          <w:divBdr>
            <w:top w:val="none" w:sz="0" w:space="0" w:color="auto"/>
            <w:left w:val="none" w:sz="0" w:space="0" w:color="auto"/>
            <w:bottom w:val="none" w:sz="0" w:space="0" w:color="auto"/>
            <w:right w:val="none" w:sz="0" w:space="0" w:color="auto"/>
          </w:divBdr>
        </w:div>
      </w:divsChild>
    </w:div>
    <w:div w:id="1139155470">
      <w:bodyDiv w:val="1"/>
      <w:marLeft w:val="0"/>
      <w:marRight w:val="0"/>
      <w:marTop w:val="0"/>
      <w:marBottom w:val="0"/>
      <w:divBdr>
        <w:top w:val="none" w:sz="0" w:space="0" w:color="auto"/>
        <w:left w:val="none" w:sz="0" w:space="0" w:color="auto"/>
        <w:bottom w:val="none" w:sz="0" w:space="0" w:color="auto"/>
        <w:right w:val="none" w:sz="0" w:space="0" w:color="auto"/>
      </w:divBdr>
    </w:div>
    <w:div w:id="1148594867">
      <w:bodyDiv w:val="1"/>
      <w:marLeft w:val="0"/>
      <w:marRight w:val="0"/>
      <w:marTop w:val="0"/>
      <w:marBottom w:val="0"/>
      <w:divBdr>
        <w:top w:val="none" w:sz="0" w:space="0" w:color="auto"/>
        <w:left w:val="none" w:sz="0" w:space="0" w:color="auto"/>
        <w:bottom w:val="none" w:sz="0" w:space="0" w:color="auto"/>
        <w:right w:val="none" w:sz="0" w:space="0" w:color="auto"/>
      </w:divBdr>
    </w:div>
    <w:div w:id="1149664741">
      <w:bodyDiv w:val="1"/>
      <w:marLeft w:val="0"/>
      <w:marRight w:val="0"/>
      <w:marTop w:val="0"/>
      <w:marBottom w:val="0"/>
      <w:divBdr>
        <w:top w:val="none" w:sz="0" w:space="0" w:color="auto"/>
        <w:left w:val="none" w:sz="0" w:space="0" w:color="auto"/>
        <w:bottom w:val="none" w:sz="0" w:space="0" w:color="auto"/>
        <w:right w:val="none" w:sz="0" w:space="0" w:color="auto"/>
      </w:divBdr>
    </w:div>
    <w:div w:id="1171602798">
      <w:bodyDiv w:val="1"/>
      <w:marLeft w:val="0"/>
      <w:marRight w:val="0"/>
      <w:marTop w:val="0"/>
      <w:marBottom w:val="0"/>
      <w:divBdr>
        <w:top w:val="none" w:sz="0" w:space="0" w:color="auto"/>
        <w:left w:val="none" w:sz="0" w:space="0" w:color="auto"/>
        <w:bottom w:val="none" w:sz="0" w:space="0" w:color="auto"/>
        <w:right w:val="none" w:sz="0" w:space="0" w:color="auto"/>
      </w:divBdr>
    </w:div>
    <w:div w:id="1176190878">
      <w:bodyDiv w:val="1"/>
      <w:marLeft w:val="0"/>
      <w:marRight w:val="0"/>
      <w:marTop w:val="0"/>
      <w:marBottom w:val="0"/>
      <w:divBdr>
        <w:top w:val="none" w:sz="0" w:space="0" w:color="auto"/>
        <w:left w:val="none" w:sz="0" w:space="0" w:color="auto"/>
        <w:bottom w:val="none" w:sz="0" w:space="0" w:color="auto"/>
        <w:right w:val="none" w:sz="0" w:space="0" w:color="auto"/>
      </w:divBdr>
    </w:div>
    <w:div w:id="1181823825">
      <w:bodyDiv w:val="1"/>
      <w:marLeft w:val="0"/>
      <w:marRight w:val="0"/>
      <w:marTop w:val="0"/>
      <w:marBottom w:val="0"/>
      <w:divBdr>
        <w:top w:val="none" w:sz="0" w:space="0" w:color="auto"/>
        <w:left w:val="none" w:sz="0" w:space="0" w:color="auto"/>
        <w:bottom w:val="none" w:sz="0" w:space="0" w:color="auto"/>
        <w:right w:val="none" w:sz="0" w:space="0" w:color="auto"/>
      </w:divBdr>
    </w:div>
    <w:div w:id="1184906160">
      <w:bodyDiv w:val="1"/>
      <w:marLeft w:val="0"/>
      <w:marRight w:val="0"/>
      <w:marTop w:val="0"/>
      <w:marBottom w:val="0"/>
      <w:divBdr>
        <w:top w:val="none" w:sz="0" w:space="0" w:color="auto"/>
        <w:left w:val="none" w:sz="0" w:space="0" w:color="auto"/>
        <w:bottom w:val="none" w:sz="0" w:space="0" w:color="auto"/>
        <w:right w:val="none" w:sz="0" w:space="0" w:color="auto"/>
      </w:divBdr>
    </w:div>
    <w:div w:id="1198590423">
      <w:bodyDiv w:val="1"/>
      <w:marLeft w:val="0"/>
      <w:marRight w:val="0"/>
      <w:marTop w:val="0"/>
      <w:marBottom w:val="0"/>
      <w:divBdr>
        <w:top w:val="none" w:sz="0" w:space="0" w:color="auto"/>
        <w:left w:val="none" w:sz="0" w:space="0" w:color="auto"/>
        <w:bottom w:val="none" w:sz="0" w:space="0" w:color="auto"/>
        <w:right w:val="none" w:sz="0" w:space="0" w:color="auto"/>
      </w:divBdr>
    </w:div>
    <w:div w:id="1203517705">
      <w:bodyDiv w:val="1"/>
      <w:marLeft w:val="0"/>
      <w:marRight w:val="0"/>
      <w:marTop w:val="0"/>
      <w:marBottom w:val="0"/>
      <w:divBdr>
        <w:top w:val="none" w:sz="0" w:space="0" w:color="auto"/>
        <w:left w:val="none" w:sz="0" w:space="0" w:color="auto"/>
        <w:bottom w:val="none" w:sz="0" w:space="0" w:color="auto"/>
        <w:right w:val="none" w:sz="0" w:space="0" w:color="auto"/>
      </w:divBdr>
    </w:div>
    <w:div w:id="1206212833">
      <w:bodyDiv w:val="1"/>
      <w:marLeft w:val="0"/>
      <w:marRight w:val="0"/>
      <w:marTop w:val="0"/>
      <w:marBottom w:val="0"/>
      <w:divBdr>
        <w:top w:val="none" w:sz="0" w:space="0" w:color="auto"/>
        <w:left w:val="none" w:sz="0" w:space="0" w:color="auto"/>
        <w:bottom w:val="none" w:sz="0" w:space="0" w:color="auto"/>
        <w:right w:val="none" w:sz="0" w:space="0" w:color="auto"/>
      </w:divBdr>
    </w:div>
    <w:div w:id="1224219809">
      <w:bodyDiv w:val="1"/>
      <w:marLeft w:val="0"/>
      <w:marRight w:val="0"/>
      <w:marTop w:val="0"/>
      <w:marBottom w:val="0"/>
      <w:divBdr>
        <w:top w:val="none" w:sz="0" w:space="0" w:color="auto"/>
        <w:left w:val="none" w:sz="0" w:space="0" w:color="auto"/>
        <w:bottom w:val="none" w:sz="0" w:space="0" w:color="auto"/>
        <w:right w:val="none" w:sz="0" w:space="0" w:color="auto"/>
      </w:divBdr>
    </w:div>
    <w:div w:id="1227031028">
      <w:bodyDiv w:val="1"/>
      <w:marLeft w:val="0"/>
      <w:marRight w:val="0"/>
      <w:marTop w:val="0"/>
      <w:marBottom w:val="0"/>
      <w:divBdr>
        <w:top w:val="none" w:sz="0" w:space="0" w:color="auto"/>
        <w:left w:val="none" w:sz="0" w:space="0" w:color="auto"/>
        <w:bottom w:val="none" w:sz="0" w:space="0" w:color="auto"/>
        <w:right w:val="none" w:sz="0" w:space="0" w:color="auto"/>
      </w:divBdr>
    </w:div>
    <w:div w:id="1256212182">
      <w:bodyDiv w:val="1"/>
      <w:marLeft w:val="0"/>
      <w:marRight w:val="0"/>
      <w:marTop w:val="0"/>
      <w:marBottom w:val="0"/>
      <w:divBdr>
        <w:top w:val="none" w:sz="0" w:space="0" w:color="auto"/>
        <w:left w:val="none" w:sz="0" w:space="0" w:color="auto"/>
        <w:bottom w:val="none" w:sz="0" w:space="0" w:color="auto"/>
        <w:right w:val="none" w:sz="0" w:space="0" w:color="auto"/>
      </w:divBdr>
      <w:divsChild>
        <w:div w:id="1565213816">
          <w:marLeft w:val="446"/>
          <w:marRight w:val="0"/>
          <w:marTop w:val="120"/>
          <w:marBottom w:val="120"/>
          <w:divBdr>
            <w:top w:val="none" w:sz="0" w:space="0" w:color="auto"/>
            <w:left w:val="none" w:sz="0" w:space="0" w:color="auto"/>
            <w:bottom w:val="none" w:sz="0" w:space="0" w:color="auto"/>
            <w:right w:val="none" w:sz="0" w:space="0" w:color="auto"/>
          </w:divBdr>
        </w:div>
        <w:div w:id="1452556378">
          <w:marLeft w:val="446"/>
          <w:marRight w:val="0"/>
          <w:marTop w:val="120"/>
          <w:marBottom w:val="120"/>
          <w:divBdr>
            <w:top w:val="none" w:sz="0" w:space="0" w:color="auto"/>
            <w:left w:val="none" w:sz="0" w:space="0" w:color="auto"/>
            <w:bottom w:val="none" w:sz="0" w:space="0" w:color="auto"/>
            <w:right w:val="none" w:sz="0" w:space="0" w:color="auto"/>
          </w:divBdr>
        </w:div>
        <w:div w:id="1916893268">
          <w:marLeft w:val="446"/>
          <w:marRight w:val="0"/>
          <w:marTop w:val="120"/>
          <w:marBottom w:val="120"/>
          <w:divBdr>
            <w:top w:val="none" w:sz="0" w:space="0" w:color="auto"/>
            <w:left w:val="none" w:sz="0" w:space="0" w:color="auto"/>
            <w:bottom w:val="none" w:sz="0" w:space="0" w:color="auto"/>
            <w:right w:val="none" w:sz="0" w:space="0" w:color="auto"/>
          </w:divBdr>
        </w:div>
        <w:div w:id="95440987">
          <w:marLeft w:val="446"/>
          <w:marRight w:val="0"/>
          <w:marTop w:val="120"/>
          <w:marBottom w:val="120"/>
          <w:divBdr>
            <w:top w:val="none" w:sz="0" w:space="0" w:color="auto"/>
            <w:left w:val="none" w:sz="0" w:space="0" w:color="auto"/>
            <w:bottom w:val="none" w:sz="0" w:space="0" w:color="auto"/>
            <w:right w:val="none" w:sz="0" w:space="0" w:color="auto"/>
          </w:divBdr>
        </w:div>
      </w:divsChild>
    </w:div>
    <w:div w:id="1258949686">
      <w:bodyDiv w:val="1"/>
      <w:marLeft w:val="0"/>
      <w:marRight w:val="0"/>
      <w:marTop w:val="0"/>
      <w:marBottom w:val="0"/>
      <w:divBdr>
        <w:top w:val="none" w:sz="0" w:space="0" w:color="auto"/>
        <w:left w:val="none" w:sz="0" w:space="0" w:color="auto"/>
        <w:bottom w:val="none" w:sz="0" w:space="0" w:color="auto"/>
        <w:right w:val="none" w:sz="0" w:space="0" w:color="auto"/>
      </w:divBdr>
    </w:div>
    <w:div w:id="1265382761">
      <w:bodyDiv w:val="1"/>
      <w:marLeft w:val="0"/>
      <w:marRight w:val="0"/>
      <w:marTop w:val="0"/>
      <w:marBottom w:val="0"/>
      <w:divBdr>
        <w:top w:val="none" w:sz="0" w:space="0" w:color="auto"/>
        <w:left w:val="none" w:sz="0" w:space="0" w:color="auto"/>
        <w:bottom w:val="none" w:sz="0" w:space="0" w:color="auto"/>
        <w:right w:val="none" w:sz="0" w:space="0" w:color="auto"/>
      </w:divBdr>
    </w:div>
    <w:div w:id="1267810491">
      <w:bodyDiv w:val="1"/>
      <w:marLeft w:val="0"/>
      <w:marRight w:val="0"/>
      <w:marTop w:val="0"/>
      <w:marBottom w:val="0"/>
      <w:divBdr>
        <w:top w:val="none" w:sz="0" w:space="0" w:color="auto"/>
        <w:left w:val="none" w:sz="0" w:space="0" w:color="auto"/>
        <w:bottom w:val="none" w:sz="0" w:space="0" w:color="auto"/>
        <w:right w:val="none" w:sz="0" w:space="0" w:color="auto"/>
      </w:divBdr>
    </w:div>
    <w:div w:id="1276323672">
      <w:bodyDiv w:val="1"/>
      <w:marLeft w:val="0"/>
      <w:marRight w:val="0"/>
      <w:marTop w:val="0"/>
      <w:marBottom w:val="0"/>
      <w:divBdr>
        <w:top w:val="none" w:sz="0" w:space="0" w:color="auto"/>
        <w:left w:val="none" w:sz="0" w:space="0" w:color="auto"/>
        <w:bottom w:val="none" w:sz="0" w:space="0" w:color="auto"/>
        <w:right w:val="none" w:sz="0" w:space="0" w:color="auto"/>
      </w:divBdr>
    </w:div>
    <w:div w:id="1279528132">
      <w:bodyDiv w:val="1"/>
      <w:marLeft w:val="0"/>
      <w:marRight w:val="0"/>
      <w:marTop w:val="0"/>
      <w:marBottom w:val="0"/>
      <w:divBdr>
        <w:top w:val="none" w:sz="0" w:space="0" w:color="auto"/>
        <w:left w:val="none" w:sz="0" w:space="0" w:color="auto"/>
        <w:bottom w:val="none" w:sz="0" w:space="0" w:color="auto"/>
        <w:right w:val="none" w:sz="0" w:space="0" w:color="auto"/>
      </w:divBdr>
    </w:div>
    <w:div w:id="1282957833">
      <w:bodyDiv w:val="1"/>
      <w:marLeft w:val="0"/>
      <w:marRight w:val="0"/>
      <w:marTop w:val="0"/>
      <w:marBottom w:val="0"/>
      <w:divBdr>
        <w:top w:val="none" w:sz="0" w:space="0" w:color="auto"/>
        <w:left w:val="none" w:sz="0" w:space="0" w:color="auto"/>
        <w:bottom w:val="none" w:sz="0" w:space="0" w:color="auto"/>
        <w:right w:val="none" w:sz="0" w:space="0" w:color="auto"/>
      </w:divBdr>
    </w:div>
    <w:div w:id="1289971210">
      <w:bodyDiv w:val="1"/>
      <w:marLeft w:val="0"/>
      <w:marRight w:val="0"/>
      <w:marTop w:val="0"/>
      <w:marBottom w:val="0"/>
      <w:divBdr>
        <w:top w:val="none" w:sz="0" w:space="0" w:color="auto"/>
        <w:left w:val="none" w:sz="0" w:space="0" w:color="auto"/>
        <w:bottom w:val="none" w:sz="0" w:space="0" w:color="auto"/>
        <w:right w:val="none" w:sz="0" w:space="0" w:color="auto"/>
      </w:divBdr>
    </w:div>
    <w:div w:id="1304040165">
      <w:bodyDiv w:val="1"/>
      <w:marLeft w:val="0"/>
      <w:marRight w:val="0"/>
      <w:marTop w:val="0"/>
      <w:marBottom w:val="0"/>
      <w:divBdr>
        <w:top w:val="none" w:sz="0" w:space="0" w:color="auto"/>
        <w:left w:val="none" w:sz="0" w:space="0" w:color="auto"/>
        <w:bottom w:val="none" w:sz="0" w:space="0" w:color="auto"/>
        <w:right w:val="none" w:sz="0" w:space="0" w:color="auto"/>
      </w:divBdr>
    </w:div>
    <w:div w:id="1308391179">
      <w:bodyDiv w:val="1"/>
      <w:marLeft w:val="0"/>
      <w:marRight w:val="0"/>
      <w:marTop w:val="0"/>
      <w:marBottom w:val="0"/>
      <w:divBdr>
        <w:top w:val="none" w:sz="0" w:space="0" w:color="auto"/>
        <w:left w:val="none" w:sz="0" w:space="0" w:color="auto"/>
        <w:bottom w:val="none" w:sz="0" w:space="0" w:color="auto"/>
        <w:right w:val="none" w:sz="0" w:space="0" w:color="auto"/>
      </w:divBdr>
    </w:div>
    <w:div w:id="1312951731">
      <w:bodyDiv w:val="1"/>
      <w:marLeft w:val="0"/>
      <w:marRight w:val="0"/>
      <w:marTop w:val="0"/>
      <w:marBottom w:val="0"/>
      <w:divBdr>
        <w:top w:val="none" w:sz="0" w:space="0" w:color="auto"/>
        <w:left w:val="none" w:sz="0" w:space="0" w:color="auto"/>
        <w:bottom w:val="none" w:sz="0" w:space="0" w:color="auto"/>
        <w:right w:val="none" w:sz="0" w:space="0" w:color="auto"/>
      </w:divBdr>
    </w:div>
    <w:div w:id="1318531391">
      <w:bodyDiv w:val="1"/>
      <w:marLeft w:val="0"/>
      <w:marRight w:val="0"/>
      <w:marTop w:val="0"/>
      <w:marBottom w:val="0"/>
      <w:divBdr>
        <w:top w:val="none" w:sz="0" w:space="0" w:color="auto"/>
        <w:left w:val="none" w:sz="0" w:space="0" w:color="auto"/>
        <w:bottom w:val="none" w:sz="0" w:space="0" w:color="auto"/>
        <w:right w:val="none" w:sz="0" w:space="0" w:color="auto"/>
      </w:divBdr>
    </w:div>
    <w:div w:id="1322124287">
      <w:bodyDiv w:val="1"/>
      <w:marLeft w:val="0"/>
      <w:marRight w:val="0"/>
      <w:marTop w:val="0"/>
      <w:marBottom w:val="0"/>
      <w:divBdr>
        <w:top w:val="none" w:sz="0" w:space="0" w:color="auto"/>
        <w:left w:val="none" w:sz="0" w:space="0" w:color="auto"/>
        <w:bottom w:val="none" w:sz="0" w:space="0" w:color="auto"/>
        <w:right w:val="none" w:sz="0" w:space="0" w:color="auto"/>
      </w:divBdr>
    </w:div>
    <w:div w:id="1322930874">
      <w:bodyDiv w:val="1"/>
      <w:marLeft w:val="0"/>
      <w:marRight w:val="0"/>
      <w:marTop w:val="0"/>
      <w:marBottom w:val="0"/>
      <w:divBdr>
        <w:top w:val="none" w:sz="0" w:space="0" w:color="auto"/>
        <w:left w:val="none" w:sz="0" w:space="0" w:color="auto"/>
        <w:bottom w:val="none" w:sz="0" w:space="0" w:color="auto"/>
        <w:right w:val="none" w:sz="0" w:space="0" w:color="auto"/>
      </w:divBdr>
    </w:div>
    <w:div w:id="1334841196">
      <w:bodyDiv w:val="1"/>
      <w:marLeft w:val="0"/>
      <w:marRight w:val="0"/>
      <w:marTop w:val="0"/>
      <w:marBottom w:val="0"/>
      <w:divBdr>
        <w:top w:val="none" w:sz="0" w:space="0" w:color="auto"/>
        <w:left w:val="none" w:sz="0" w:space="0" w:color="auto"/>
        <w:bottom w:val="none" w:sz="0" w:space="0" w:color="auto"/>
        <w:right w:val="none" w:sz="0" w:space="0" w:color="auto"/>
      </w:divBdr>
    </w:div>
    <w:div w:id="1337609686">
      <w:bodyDiv w:val="1"/>
      <w:marLeft w:val="0"/>
      <w:marRight w:val="0"/>
      <w:marTop w:val="0"/>
      <w:marBottom w:val="0"/>
      <w:divBdr>
        <w:top w:val="none" w:sz="0" w:space="0" w:color="auto"/>
        <w:left w:val="none" w:sz="0" w:space="0" w:color="auto"/>
        <w:bottom w:val="none" w:sz="0" w:space="0" w:color="auto"/>
        <w:right w:val="none" w:sz="0" w:space="0" w:color="auto"/>
      </w:divBdr>
      <w:divsChild>
        <w:div w:id="322708705">
          <w:marLeft w:val="360"/>
          <w:marRight w:val="0"/>
          <w:marTop w:val="250"/>
          <w:marBottom w:val="0"/>
          <w:divBdr>
            <w:top w:val="none" w:sz="0" w:space="0" w:color="auto"/>
            <w:left w:val="none" w:sz="0" w:space="0" w:color="auto"/>
            <w:bottom w:val="none" w:sz="0" w:space="0" w:color="auto"/>
            <w:right w:val="none" w:sz="0" w:space="0" w:color="auto"/>
          </w:divBdr>
        </w:div>
        <w:div w:id="834538666">
          <w:marLeft w:val="360"/>
          <w:marRight w:val="0"/>
          <w:marTop w:val="250"/>
          <w:marBottom w:val="0"/>
          <w:divBdr>
            <w:top w:val="none" w:sz="0" w:space="0" w:color="auto"/>
            <w:left w:val="none" w:sz="0" w:space="0" w:color="auto"/>
            <w:bottom w:val="none" w:sz="0" w:space="0" w:color="auto"/>
            <w:right w:val="none" w:sz="0" w:space="0" w:color="auto"/>
          </w:divBdr>
        </w:div>
        <w:div w:id="1272317436">
          <w:marLeft w:val="360"/>
          <w:marRight w:val="0"/>
          <w:marTop w:val="250"/>
          <w:marBottom w:val="0"/>
          <w:divBdr>
            <w:top w:val="none" w:sz="0" w:space="0" w:color="auto"/>
            <w:left w:val="none" w:sz="0" w:space="0" w:color="auto"/>
            <w:bottom w:val="none" w:sz="0" w:space="0" w:color="auto"/>
            <w:right w:val="none" w:sz="0" w:space="0" w:color="auto"/>
          </w:divBdr>
        </w:div>
        <w:div w:id="1641690191">
          <w:marLeft w:val="360"/>
          <w:marRight w:val="0"/>
          <w:marTop w:val="250"/>
          <w:marBottom w:val="0"/>
          <w:divBdr>
            <w:top w:val="none" w:sz="0" w:space="0" w:color="auto"/>
            <w:left w:val="none" w:sz="0" w:space="0" w:color="auto"/>
            <w:bottom w:val="none" w:sz="0" w:space="0" w:color="auto"/>
            <w:right w:val="none" w:sz="0" w:space="0" w:color="auto"/>
          </w:divBdr>
        </w:div>
      </w:divsChild>
    </w:div>
    <w:div w:id="1368945951">
      <w:bodyDiv w:val="1"/>
      <w:marLeft w:val="0"/>
      <w:marRight w:val="0"/>
      <w:marTop w:val="0"/>
      <w:marBottom w:val="0"/>
      <w:divBdr>
        <w:top w:val="none" w:sz="0" w:space="0" w:color="auto"/>
        <w:left w:val="none" w:sz="0" w:space="0" w:color="auto"/>
        <w:bottom w:val="none" w:sz="0" w:space="0" w:color="auto"/>
        <w:right w:val="none" w:sz="0" w:space="0" w:color="auto"/>
      </w:divBdr>
      <w:divsChild>
        <w:div w:id="576482885">
          <w:marLeft w:val="360"/>
          <w:marRight w:val="0"/>
          <w:marTop w:val="0"/>
          <w:marBottom w:val="0"/>
          <w:divBdr>
            <w:top w:val="none" w:sz="0" w:space="0" w:color="auto"/>
            <w:left w:val="none" w:sz="0" w:space="0" w:color="auto"/>
            <w:bottom w:val="none" w:sz="0" w:space="0" w:color="auto"/>
            <w:right w:val="none" w:sz="0" w:space="0" w:color="auto"/>
          </w:divBdr>
        </w:div>
        <w:div w:id="802652010">
          <w:marLeft w:val="360"/>
          <w:marRight w:val="0"/>
          <w:marTop w:val="0"/>
          <w:marBottom w:val="0"/>
          <w:divBdr>
            <w:top w:val="none" w:sz="0" w:space="0" w:color="auto"/>
            <w:left w:val="none" w:sz="0" w:space="0" w:color="auto"/>
            <w:bottom w:val="none" w:sz="0" w:space="0" w:color="auto"/>
            <w:right w:val="none" w:sz="0" w:space="0" w:color="auto"/>
          </w:divBdr>
        </w:div>
        <w:div w:id="1210921606">
          <w:marLeft w:val="360"/>
          <w:marRight w:val="0"/>
          <w:marTop w:val="0"/>
          <w:marBottom w:val="0"/>
          <w:divBdr>
            <w:top w:val="none" w:sz="0" w:space="0" w:color="auto"/>
            <w:left w:val="none" w:sz="0" w:space="0" w:color="auto"/>
            <w:bottom w:val="none" w:sz="0" w:space="0" w:color="auto"/>
            <w:right w:val="none" w:sz="0" w:space="0" w:color="auto"/>
          </w:divBdr>
        </w:div>
        <w:div w:id="2006855438">
          <w:marLeft w:val="360"/>
          <w:marRight w:val="0"/>
          <w:marTop w:val="0"/>
          <w:marBottom w:val="0"/>
          <w:divBdr>
            <w:top w:val="none" w:sz="0" w:space="0" w:color="auto"/>
            <w:left w:val="none" w:sz="0" w:space="0" w:color="auto"/>
            <w:bottom w:val="none" w:sz="0" w:space="0" w:color="auto"/>
            <w:right w:val="none" w:sz="0" w:space="0" w:color="auto"/>
          </w:divBdr>
        </w:div>
      </w:divsChild>
    </w:div>
    <w:div w:id="1373379233">
      <w:bodyDiv w:val="1"/>
      <w:marLeft w:val="0"/>
      <w:marRight w:val="0"/>
      <w:marTop w:val="0"/>
      <w:marBottom w:val="0"/>
      <w:divBdr>
        <w:top w:val="none" w:sz="0" w:space="0" w:color="auto"/>
        <w:left w:val="none" w:sz="0" w:space="0" w:color="auto"/>
        <w:bottom w:val="none" w:sz="0" w:space="0" w:color="auto"/>
        <w:right w:val="none" w:sz="0" w:space="0" w:color="auto"/>
      </w:divBdr>
      <w:divsChild>
        <w:div w:id="752971997">
          <w:marLeft w:val="274"/>
          <w:marRight w:val="0"/>
          <w:marTop w:val="29"/>
          <w:marBottom w:val="29"/>
          <w:divBdr>
            <w:top w:val="none" w:sz="0" w:space="0" w:color="auto"/>
            <w:left w:val="none" w:sz="0" w:space="0" w:color="auto"/>
            <w:bottom w:val="none" w:sz="0" w:space="0" w:color="auto"/>
            <w:right w:val="none" w:sz="0" w:space="0" w:color="auto"/>
          </w:divBdr>
        </w:div>
        <w:div w:id="1673336311">
          <w:marLeft w:val="274"/>
          <w:marRight w:val="0"/>
          <w:marTop w:val="29"/>
          <w:marBottom w:val="29"/>
          <w:divBdr>
            <w:top w:val="none" w:sz="0" w:space="0" w:color="auto"/>
            <w:left w:val="none" w:sz="0" w:space="0" w:color="auto"/>
            <w:bottom w:val="none" w:sz="0" w:space="0" w:color="auto"/>
            <w:right w:val="none" w:sz="0" w:space="0" w:color="auto"/>
          </w:divBdr>
        </w:div>
        <w:div w:id="1957789360">
          <w:marLeft w:val="274"/>
          <w:marRight w:val="0"/>
          <w:marTop w:val="29"/>
          <w:marBottom w:val="29"/>
          <w:divBdr>
            <w:top w:val="none" w:sz="0" w:space="0" w:color="auto"/>
            <w:left w:val="none" w:sz="0" w:space="0" w:color="auto"/>
            <w:bottom w:val="none" w:sz="0" w:space="0" w:color="auto"/>
            <w:right w:val="none" w:sz="0" w:space="0" w:color="auto"/>
          </w:divBdr>
        </w:div>
      </w:divsChild>
    </w:div>
    <w:div w:id="1384789673">
      <w:bodyDiv w:val="1"/>
      <w:marLeft w:val="0"/>
      <w:marRight w:val="0"/>
      <w:marTop w:val="0"/>
      <w:marBottom w:val="0"/>
      <w:divBdr>
        <w:top w:val="none" w:sz="0" w:space="0" w:color="auto"/>
        <w:left w:val="none" w:sz="0" w:space="0" w:color="auto"/>
        <w:bottom w:val="none" w:sz="0" w:space="0" w:color="auto"/>
        <w:right w:val="none" w:sz="0" w:space="0" w:color="auto"/>
      </w:divBdr>
    </w:div>
    <w:div w:id="1391348001">
      <w:bodyDiv w:val="1"/>
      <w:marLeft w:val="0"/>
      <w:marRight w:val="0"/>
      <w:marTop w:val="0"/>
      <w:marBottom w:val="0"/>
      <w:divBdr>
        <w:top w:val="none" w:sz="0" w:space="0" w:color="auto"/>
        <w:left w:val="none" w:sz="0" w:space="0" w:color="auto"/>
        <w:bottom w:val="none" w:sz="0" w:space="0" w:color="auto"/>
        <w:right w:val="none" w:sz="0" w:space="0" w:color="auto"/>
      </w:divBdr>
      <w:divsChild>
        <w:div w:id="1302687173">
          <w:marLeft w:val="547"/>
          <w:marRight w:val="0"/>
          <w:marTop w:val="0"/>
          <w:marBottom w:val="120"/>
          <w:divBdr>
            <w:top w:val="none" w:sz="0" w:space="0" w:color="auto"/>
            <w:left w:val="none" w:sz="0" w:space="0" w:color="auto"/>
            <w:bottom w:val="none" w:sz="0" w:space="0" w:color="auto"/>
            <w:right w:val="none" w:sz="0" w:space="0" w:color="auto"/>
          </w:divBdr>
        </w:div>
      </w:divsChild>
    </w:div>
    <w:div w:id="1399590253">
      <w:bodyDiv w:val="1"/>
      <w:marLeft w:val="0"/>
      <w:marRight w:val="0"/>
      <w:marTop w:val="0"/>
      <w:marBottom w:val="0"/>
      <w:divBdr>
        <w:top w:val="none" w:sz="0" w:space="0" w:color="auto"/>
        <w:left w:val="none" w:sz="0" w:space="0" w:color="auto"/>
        <w:bottom w:val="none" w:sz="0" w:space="0" w:color="auto"/>
        <w:right w:val="none" w:sz="0" w:space="0" w:color="auto"/>
      </w:divBdr>
    </w:div>
    <w:div w:id="1401251733">
      <w:bodyDiv w:val="1"/>
      <w:marLeft w:val="0"/>
      <w:marRight w:val="0"/>
      <w:marTop w:val="0"/>
      <w:marBottom w:val="0"/>
      <w:divBdr>
        <w:top w:val="none" w:sz="0" w:space="0" w:color="auto"/>
        <w:left w:val="none" w:sz="0" w:space="0" w:color="auto"/>
        <w:bottom w:val="none" w:sz="0" w:space="0" w:color="auto"/>
        <w:right w:val="none" w:sz="0" w:space="0" w:color="auto"/>
      </w:divBdr>
    </w:div>
    <w:div w:id="1401828926">
      <w:bodyDiv w:val="1"/>
      <w:marLeft w:val="0"/>
      <w:marRight w:val="0"/>
      <w:marTop w:val="0"/>
      <w:marBottom w:val="0"/>
      <w:divBdr>
        <w:top w:val="none" w:sz="0" w:space="0" w:color="auto"/>
        <w:left w:val="none" w:sz="0" w:space="0" w:color="auto"/>
        <w:bottom w:val="none" w:sz="0" w:space="0" w:color="auto"/>
        <w:right w:val="none" w:sz="0" w:space="0" w:color="auto"/>
      </w:divBdr>
      <w:divsChild>
        <w:div w:id="1179081510">
          <w:marLeft w:val="547"/>
          <w:marRight w:val="0"/>
          <w:marTop w:val="0"/>
          <w:marBottom w:val="80"/>
          <w:divBdr>
            <w:top w:val="none" w:sz="0" w:space="0" w:color="auto"/>
            <w:left w:val="none" w:sz="0" w:space="0" w:color="auto"/>
            <w:bottom w:val="none" w:sz="0" w:space="0" w:color="auto"/>
            <w:right w:val="none" w:sz="0" w:space="0" w:color="auto"/>
          </w:divBdr>
        </w:div>
      </w:divsChild>
    </w:div>
    <w:div w:id="1423337248">
      <w:bodyDiv w:val="1"/>
      <w:marLeft w:val="0"/>
      <w:marRight w:val="0"/>
      <w:marTop w:val="0"/>
      <w:marBottom w:val="0"/>
      <w:divBdr>
        <w:top w:val="none" w:sz="0" w:space="0" w:color="auto"/>
        <w:left w:val="none" w:sz="0" w:space="0" w:color="auto"/>
        <w:bottom w:val="none" w:sz="0" w:space="0" w:color="auto"/>
        <w:right w:val="none" w:sz="0" w:space="0" w:color="auto"/>
      </w:divBdr>
    </w:div>
    <w:div w:id="1424258992">
      <w:bodyDiv w:val="1"/>
      <w:marLeft w:val="0"/>
      <w:marRight w:val="0"/>
      <w:marTop w:val="0"/>
      <w:marBottom w:val="0"/>
      <w:divBdr>
        <w:top w:val="none" w:sz="0" w:space="0" w:color="auto"/>
        <w:left w:val="none" w:sz="0" w:space="0" w:color="auto"/>
        <w:bottom w:val="none" w:sz="0" w:space="0" w:color="auto"/>
        <w:right w:val="none" w:sz="0" w:space="0" w:color="auto"/>
      </w:divBdr>
    </w:div>
    <w:div w:id="1427195801">
      <w:bodyDiv w:val="1"/>
      <w:marLeft w:val="0"/>
      <w:marRight w:val="0"/>
      <w:marTop w:val="0"/>
      <w:marBottom w:val="0"/>
      <w:divBdr>
        <w:top w:val="none" w:sz="0" w:space="0" w:color="auto"/>
        <w:left w:val="none" w:sz="0" w:space="0" w:color="auto"/>
        <w:bottom w:val="none" w:sz="0" w:space="0" w:color="auto"/>
        <w:right w:val="none" w:sz="0" w:space="0" w:color="auto"/>
      </w:divBdr>
    </w:div>
    <w:div w:id="1433359921">
      <w:bodyDiv w:val="1"/>
      <w:marLeft w:val="0"/>
      <w:marRight w:val="0"/>
      <w:marTop w:val="0"/>
      <w:marBottom w:val="0"/>
      <w:divBdr>
        <w:top w:val="none" w:sz="0" w:space="0" w:color="auto"/>
        <w:left w:val="none" w:sz="0" w:space="0" w:color="auto"/>
        <w:bottom w:val="none" w:sz="0" w:space="0" w:color="auto"/>
        <w:right w:val="none" w:sz="0" w:space="0" w:color="auto"/>
      </w:divBdr>
    </w:div>
    <w:div w:id="1437560728">
      <w:bodyDiv w:val="1"/>
      <w:marLeft w:val="0"/>
      <w:marRight w:val="0"/>
      <w:marTop w:val="0"/>
      <w:marBottom w:val="0"/>
      <w:divBdr>
        <w:top w:val="none" w:sz="0" w:space="0" w:color="auto"/>
        <w:left w:val="none" w:sz="0" w:space="0" w:color="auto"/>
        <w:bottom w:val="none" w:sz="0" w:space="0" w:color="auto"/>
        <w:right w:val="none" w:sz="0" w:space="0" w:color="auto"/>
      </w:divBdr>
      <w:divsChild>
        <w:div w:id="1188526368">
          <w:marLeft w:val="446"/>
          <w:marRight w:val="0"/>
          <w:marTop w:val="0"/>
          <w:marBottom w:val="160"/>
          <w:divBdr>
            <w:top w:val="none" w:sz="0" w:space="0" w:color="auto"/>
            <w:left w:val="none" w:sz="0" w:space="0" w:color="auto"/>
            <w:bottom w:val="none" w:sz="0" w:space="0" w:color="auto"/>
            <w:right w:val="none" w:sz="0" w:space="0" w:color="auto"/>
          </w:divBdr>
        </w:div>
        <w:div w:id="1942640898">
          <w:marLeft w:val="446"/>
          <w:marRight w:val="0"/>
          <w:marTop w:val="0"/>
          <w:marBottom w:val="160"/>
          <w:divBdr>
            <w:top w:val="none" w:sz="0" w:space="0" w:color="auto"/>
            <w:left w:val="none" w:sz="0" w:space="0" w:color="auto"/>
            <w:bottom w:val="none" w:sz="0" w:space="0" w:color="auto"/>
            <w:right w:val="none" w:sz="0" w:space="0" w:color="auto"/>
          </w:divBdr>
        </w:div>
      </w:divsChild>
    </w:div>
    <w:div w:id="1443332091">
      <w:bodyDiv w:val="1"/>
      <w:marLeft w:val="0"/>
      <w:marRight w:val="0"/>
      <w:marTop w:val="0"/>
      <w:marBottom w:val="0"/>
      <w:divBdr>
        <w:top w:val="none" w:sz="0" w:space="0" w:color="auto"/>
        <w:left w:val="none" w:sz="0" w:space="0" w:color="auto"/>
        <w:bottom w:val="none" w:sz="0" w:space="0" w:color="auto"/>
        <w:right w:val="none" w:sz="0" w:space="0" w:color="auto"/>
      </w:divBdr>
    </w:div>
    <w:div w:id="1450658619">
      <w:bodyDiv w:val="1"/>
      <w:marLeft w:val="0"/>
      <w:marRight w:val="0"/>
      <w:marTop w:val="0"/>
      <w:marBottom w:val="0"/>
      <w:divBdr>
        <w:top w:val="none" w:sz="0" w:space="0" w:color="auto"/>
        <w:left w:val="none" w:sz="0" w:space="0" w:color="auto"/>
        <w:bottom w:val="none" w:sz="0" w:space="0" w:color="auto"/>
        <w:right w:val="none" w:sz="0" w:space="0" w:color="auto"/>
      </w:divBdr>
    </w:div>
    <w:div w:id="1456213626">
      <w:bodyDiv w:val="1"/>
      <w:marLeft w:val="0"/>
      <w:marRight w:val="0"/>
      <w:marTop w:val="0"/>
      <w:marBottom w:val="0"/>
      <w:divBdr>
        <w:top w:val="none" w:sz="0" w:space="0" w:color="auto"/>
        <w:left w:val="none" w:sz="0" w:space="0" w:color="auto"/>
        <w:bottom w:val="none" w:sz="0" w:space="0" w:color="auto"/>
        <w:right w:val="none" w:sz="0" w:space="0" w:color="auto"/>
      </w:divBdr>
    </w:div>
    <w:div w:id="1469854305">
      <w:bodyDiv w:val="1"/>
      <w:marLeft w:val="0"/>
      <w:marRight w:val="0"/>
      <w:marTop w:val="0"/>
      <w:marBottom w:val="0"/>
      <w:divBdr>
        <w:top w:val="none" w:sz="0" w:space="0" w:color="auto"/>
        <w:left w:val="none" w:sz="0" w:space="0" w:color="auto"/>
        <w:bottom w:val="none" w:sz="0" w:space="0" w:color="auto"/>
        <w:right w:val="none" w:sz="0" w:space="0" w:color="auto"/>
      </w:divBdr>
    </w:div>
    <w:div w:id="1478455948">
      <w:bodyDiv w:val="1"/>
      <w:marLeft w:val="0"/>
      <w:marRight w:val="0"/>
      <w:marTop w:val="0"/>
      <w:marBottom w:val="0"/>
      <w:divBdr>
        <w:top w:val="none" w:sz="0" w:space="0" w:color="auto"/>
        <w:left w:val="none" w:sz="0" w:space="0" w:color="auto"/>
        <w:bottom w:val="none" w:sz="0" w:space="0" w:color="auto"/>
        <w:right w:val="none" w:sz="0" w:space="0" w:color="auto"/>
      </w:divBdr>
    </w:div>
    <w:div w:id="1487471092">
      <w:bodyDiv w:val="1"/>
      <w:marLeft w:val="0"/>
      <w:marRight w:val="0"/>
      <w:marTop w:val="0"/>
      <w:marBottom w:val="0"/>
      <w:divBdr>
        <w:top w:val="none" w:sz="0" w:space="0" w:color="auto"/>
        <w:left w:val="none" w:sz="0" w:space="0" w:color="auto"/>
        <w:bottom w:val="none" w:sz="0" w:space="0" w:color="auto"/>
        <w:right w:val="none" w:sz="0" w:space="0" w:color="auto"/>
      </w:divBdr>
    </w:div>
    <w:div w:id="1488594580">
      <w:bodyDiv w:val="1"/>
      <w:marLeft w:val="0"/>
      <w:marRight w:val="0"/>
      <w:marTop w:val="0"/>
      <w:marBottom w:val="0"/>
      <w:divBdr>
        <w:top w:val="none" w:sz="0" w:space="0" w:color="auto"/>
        <w:left w:val="none" w:sz="0" w:space="0" w:color="auto"/>
        <w:bottom w:val="none" w:sz="0" w:space="0" w:color="auto"/>
        <w:right w:val="none" w:sz="0" w:space="0" w:color="auto"/>
      </w:divBdr>
    </w:div>
    <w:div w:id="1494949707">
      <w:bodyDiv w:val="1"/>
      <w:marLeft w:val="0"/>
      <w:marRight w:val="0"/>
      <w:marTop w:val="0"/>
      <w:marBottom w:val="0"/>
      <w:divBdr>
        <w:top w:val="none" w:sz="0" w:space="0" w:color="auto"/>
        <w:left w:val="none" w:sz="0" w:space="0" w:color="auto"/>
        <w:bottom w:val="none" w:sz="0" w:space="0" w:color="auto"/>
        <w:right w:val="none" w:sz="0" w:space="0" w:color="auto"/>
      </w:divBdr>
    </w:div>
    <w:div w:id="1495996903">
      <w:bodyDiv w:val="1"/>
      <w:marLeft w:val="0"/>
      <w:marRight w:val="0"/>
      <w:marTop w:val="0"/>
      <w:marBottom w:val="0"/>
      <w:divBdr>
        <w:top w:val="none" w:sz="0" w:space="0" w:color="auto"/>
        <w:left w:val="none" w:sz="0" w:space="0" w:color="auto"/>
        <w:bottom w:val="none" w:sz="0" w:space="0" w:color="auto"/>
        <w:right w:val="none" w:sz="0" w:space="0" w:color="auto"/>
      </w:divBdr>
    </w:div>
    <w:div w:id="1504928333">
      <w:bodyDiv w:val="1"/>
      <w:marLeft w:val="0"/>
      <w:marRight w:val="0"/>
      <w:marTop w:val="0"/>
      <w:marBottom w:val="0"/>
      <w:divBdr>
        <w:top w:val="none" w:sz="0" w:space="0" w:color="auto"/>
        <w:left w:val="none" w:sz="0" w:space="0" w:color="auto"/>
        <w:bottom w:val="none" w:sz="0" w:space="0" w:color="auto"/>
        <w:right w:val="none" w:sz="0" w:space="0" w:color="auto"/>
      </w:divBdr>
    </w:div>
    <w:div w:id="1506479663">
      <w:bodyDiv w:val="1"/>
      <w:marLeft w:val="0"/>
      <w:marRight w:val="0"/>
      <w:marTop w:val="0"/>
      <w:marBottom w:val="0"/>
      <w:divBdr>
        <w:top w:val="none" w:sz="0" w:space="0" w:color="auto"/>
        <w:left w:val="none" w:sz="0" w:space="0" w:color="auto"/>
        <w:bottom w:val="none" w:sz="0" w:space="0" w:color="auto"/>
        <w:right w:val="none" w:sz="0" w:space="0" w:color="auto"/>
      </w:divBdr>
    </w:div>
    <w:div w:id="1507398211">
      <w:bodyDiv w:val="1"/>
      <w:marLeft w:val="0"/>
      <w:marRight w:val="0"/>
      <w:marTop w:val="0"/>
      <w:marBottom w:val="0"/>
      <w:divBdr>
        <w:top w:val="none" w:sz="0" w:space="0" w:color="auto"/>
        <w:left w:val="none" w:sz="0" w:space="0" w:color="auto"/>
        <w:bottom w:val="none" w:sz="0" w:space="0" w:color="auto"/>
        <w:right w:val="none" w:sz="0" w:space="0" w:color="auto"/>
      </w:divBdr>
      <w:divsChild>
        <w:div w:id="524028313">
          <w:marLeft w:val="274"/>
          <w:marRight w:val="0"/>
          <w:marTop w:val="29"/>
          <w:marBottom w:val="29"/>
          <w:divBdr>
            <w:top w:val="none" w:sz="0" w:space="0" w:color="auto"/>
            <w:left w:val="none" w:sz="0" w:space="0" w:color="auto"/>
            <w:bottom w:val="none" w:sz="0" w:space="0" w:color="auto"/>
            <w:right w:val="none" w:sz="0" w:space="0" w:color="auto"/>
          </w:divBdr>
        </w:div>
        <w:div w:id="879172155">
          <w:marLeft w:val="274"/>
          <w:marRight w:val="0"/>
          <w:marTop w:val="29"/>
          <w:marBottom w:val="29"/>
          <w:divBdr>
            <w:top w:val="none" w:sz="0" w:space="0" w:color="auto"/>
            <w:left w:val="none" w:sz="0" w:space="0" w:color="auto"/>
            <w:bottom w:val="none" w:sz="0" w:space="0" w:color="auto"/>
            <w:right w:val="none" w:sz="0" w:space="0" w:color="auto"/>
          </w:divBdr>
        </w:div>
      </w:divsChild>
    </w:div>
    <w:div w:id="1515486997">
      <w:bodyDiv w:val="1"/>
      <w:marLeft w:val="0"/>
      <w:marRight w:val="0"/>
      <w:marTop w:val="0"/>
      <w:marBottom w:val="0"/>
      <w:divBdr>
        <w:top w:val="none" w:sz="0" w:space="0" w:color="auto"/>
        <w:left w:val="none" w:sz="0" w:space="0" w:color="auto"/>
        <w:bottom w:val="none" w:sz="0" w:space="0" w:color="auto"/>
        <w:right w:val="none" w:sz="0" w:space="0" w:color="auto"/>
      </w:divBdr>
    </w:div>
    <w:div w:id="1531188688">
      <w:bodyDiv w:val="1"/>
      <w:marLeft w:val="0"/>
      <w:marRight w:val="0"/>
      <w:marTop w:val="0"/>
      <w:marBottom w:val="0"/>
      <w:divBdr>
        <w:top w:val="none" w:sz="0" w:space="0" w:color="auto"/>
        <w:left w:val="none" w:sz="0" w:space="0" w:color="auto"/>
        <w:bottom w:val="none" w:sz="0" w:space="0" w:color="auto"/>
        <w:right w:val="none" w:sz="0" w:space="0" w:color="auto"/>
      </w:divBdr>
    </w:div>
    <w:div w:id="1546796585">
      <w:bodyDiv w:val="1"/>
      <w:marLeft w:val="0"/>
      <w:marRight w:val="0"/>
      <w:marTop w:val="0"/>
      <w:marBottom w:val="0"/>
      <w:divBdr>
        <w:top w:val="none" w:sz="0" w:space="0" w:color="auto"/>
        <w:left w:val="none" w:sz="0" w:space="0" w:color="auto"/>
        <w:bottom w:val="none" w:sz="0" w:space="0" w:color="auto"/>
        <w:right w:val="none" w:sz="0" w:space="0" w:color="auto"/>
      </w:divBdr>
    </w:div>
    <w:div w:id="1550022910">
      <w:bodyDiv w:val="1"/>
      <w:marLeft w:val="0"/>
      <w:marRight w:val="0"/>
      <w:marTop w:val="0"/>
      <w:marBottom w:val="0"/>
      <w:divBdr>
        <w:top w:val="none" w:sz="0" w:space="0" w:color="auto"/>
        <w:left w:val="none" w:sz="0" w:space="0" w:color="auto"/>
        <w:bottom w:val="none" w:sz="0" w:space="0" w:color="auto"/>
        <w:right w:val="none" w:sz="0" w:space="0" w:color="auto"/>
      </w:divBdr>
    </w:div>
    <w:div w:id="1560247554">
      <w:bodyDiv w:val="1"/>
      <w:marLeft w:val="0"/>
      <w:marRight w:val="0"/>
      <w:marTop w:val="0"/>
      <w:marBottom w:val="0"/>
      <w:divBdr>
        <w:top w:val="none" w:sz="0" w:space="0" w:color="auto"/>
        <w:left w:val="none" w:sz="0" w:space="0" w:color="auto"/>
        <w:bottom w:val="none" w:sz="0" w:space="0" w:color="auto"/>
        <w:right w:val="none" w:sz="0" w:space="0" w:color="auto"/>
      </w:divBdr>
    </w:div>
    <w:div w:id="1566256298">
      <w:bodyDiv w:val="1"/>
      <w:marLeft w:val="0"/>
      <w:marRight w:val="0"/>
      <w:marTop w:val="0"/>
      <w:marBottom w:val="0"/>
      <w:divBdr>
        <w:top w:val="none" w:sz="0" w:space="0" w:color="auto"/>
        <w:left w:val="none" w:sz="0" w:space="0" w:color="auto"/>
        <w:bottom w:val="none" w:sz="0" w:space="0" w:color="auto"/>
        <w:right w:val="none" w:sz="0" w:space="0" w:color="auto"/>
      </w:divBdr>
    </w:div>
    <w:div w:id="1580367620">
      <w:bodyDiv w:val="1"/>
      <w:marLeft w:val="0"/>
      <w:marRight w:val="0"/>
      <w:marTop w:val="0"/>
      <w:marBottom w:val="0"/>
      <w:divBdr>
        <w:top w:val="none" w:sz="0" w:space="0" w:color="auto"/>
        <w:left w:val="none" w:sz="0" w:space="0" w:color="auto"/>
        <w:bottom w:val="none" w:sz="0" w:space="0" w:color="auto"/>
        <w:right w:val="none" w:sz="0" w:space="0" w:color="auto"/>
      </w:divBdr>
    </w:div>
    <w:div w:id="1593008700">
      <w:bodyDiv w:val="1"/>
      <w:marLeft w:val="0"/>
      <w:marRight w:val="0"/>
      <w:marTop w:val="0"/>
      <w:marBottom w:val="0"/>
      <w:divBdr>
        <w:top w:val="none" w:sz="0" w:space="0" w:color="auto"/>
        <w:left w:val="none" w:sz="0" w:space="0" w:color="auto"/>
        <w:bottom w:val="none" w:sz="0" w:space="0" w:color="auto"/>
        <w:right w:val="none" w:sz="0" w:space="0" w:color="auto"/>
      </w:divBdr>
    </w:div>
    <w:div w:id="1595824663">
      <w:bodyDiv w:val="1"/>
      <w:marLeft w:val="0"/>
      <w:marRight w:val="0"/>
      <w:marTop w:val="0"/>
      <w:marBottom w:val="0"/>
      <w:divBdr>
        <w:top w:val="none" w:sz="0" w:space="0" w:color="auto"/>
        <w:left w:val="none" w:sz="0" w:space="0" w:color="auto"/>
        <w:bottom w:val="none" w:sz="0" w:space="0" w:color="auto"/>
        <w:right w:val="none" w:sz="0" w:space="0" w:color="auto"/>
      </w:divBdr>
    </w:div>
    <w:div w:id="1651397018">
      <w:bodyDiv w:val="1"/>
      <w:marLeft w:val="0"/>
      <w:marRight w:val="0"/>
      <w:marTop w:val="0"/>
      <w:marBottom w:val="0"/>
      <w:divBdr>
        <w:top w:val="none" w:sz="0" w:space="0" w:color="auto"/>
        <w:left w:val="none" w:sz="0" w:space="0" w:color="auto"/>
        <w:bottom w:val="none" w:sz="0" w:space="0" w:color="auto"/>
        <w:right w:val="none" w:sz="0" w:space="0" w:color="auto"/>
      </w:divBdr>
    </w:div>
    <w:div w:id="1681277381">
      <w:bodyDiv w:val="1"/>
      <w:marLeft w:val="0"/>
      <w:marRight w:val="0"/>
      <w:marTop w:val="0"/>
      <w:marBottom w:val="0"/>
      <w:divBdr>
        <w:top w:val="none" w:sz="0" w:space="0" w:color="auto"/>
        <w:left w:val="none" w:sz="0" w:space="0" w:color="auto"/>
        <w:bottom w:val="none" w:sz="0" w:space="0" w:color="auto"/>
        <w:right w:val="none" w:sz="0" w:space="0" w:color="auto"/>
      </w:divBdr>
    </w:div>
    <w:div w:id="1690838075">
      <w:bodyDiv w:val="1"/>
      <w:marLeft w:val="0"/>
      <w:marRight w:val="0"/>
      <w:marTop w:val="0"/>
      <w:marBottom w:val="0"/>
      <w:divBdr>
        <w:top w:val="none" w:sz="0" w:space="0" w:color="auto"/>
        <w:left w:val="none" w:sz="0" w:space="0" w:color="auto"/>
        <w:bottom w:val="none" w:sz="0" w:space="0" w:color="auto"/>
        <w:right w:val="none" w:sz="0" w:space="0" w:color="auto"/>
      </w:divBdr>
      <w:divsChild>
        <w:div w:id="1348748218">
          <w:marLeft w:val="274"/>
          <w:marRight w:val="0"/>
          <w:marTop w:val="29"/>
          <w:marBottom w:val="29"/>
          <w:divBdr>
            <w:top w:val="none" w:sz="0" w:space="0" w:color="auto"/>
            <w:left w:val="none" w:sz="0" w:space="0" w:color="auto"/>
            <w:bottom w:val="none" w:sz="0" w:space="0" w:color="auto"/>
            <w:right w:val="none" w:sz="0" w:space="0" w:color="auto"/>
          </w:divBdr>
        </w:div>
        <w:div w:id="1453209096">
          <w:marLeft w:val="274"/>
          <w:marRight w:val="0"/>
          <w:marTop w:val="29"/>
          <w:marBottom w:val="29"/>
          <w:divBdr>
            <w:top w:val="none" w:sz="0" w:space="0" w:color="auto"/>
            <w:left w:val="none" w:sz="0" w:space="0" w:color="auto"/>
            <w:bottom w:val="none" w:sz="0" w:space="0" w:color="auto"/>
            <w:right w:val="none" w:sz="0" w:space="0" w:color="auto"/>
          </w:divBdr>
        </w:div>
        <w:div w:id="2082016753">
          <w:marLeft w:val="274"/>
          <w:marRight w:val="0"/>
          <w:marTop w:val="29"/>
          <w:marBottom w:val="29"/>
          <w:divBdr>
            <w:top w:val="none" w:sz="0" w:space="0" w:color="auto"/>
            <w:left w:val="none" w:sz="0" w:space="0" w:color="auto"/>
            <w:bottom w:val="none" w:sz="0" w:space="0" w:color="auto"/>
            <w:right w:val="none" w:sz="0" w:space="0" w:color="auto"/>
          </w:divBdr>
        </w:div>
      </w:divsChild>
    </w:div>
    <w:div w:id="1707287515">
      <w:bodyDiv w:val="1"/>
      <w:marLeft w:val="0"/>
      <w:marRight w:val="0"/>
      <w:marTop w:val="0"/>
      <w:marBottom w:val="0"/>
      <w:divBdr>
        <w:top w:val="none" w:sz="0" w:space="0" w:color="auto"/>
        <w:left w:val="none" w:sz="0" w:space="0" w:color="auto"/>
        <w:bottom w:val="none" w:sz="0" w:space="0" w:color="auto"/>
        <w:right w:val="none" w:sz="0" w:space="0" w:color="auto"/>
      </w:divBdr>
    </w:div>
    <w:div w:id="1716344562">
      <w:bodyDiv w:val="1"/>
      <w:marLeft w:val="0"/>
      <w:marRight w:val="0"/>
      <w:marTop w:val="0"/>
      <w:marBottom w:val="0"/>
      <w:divBdr>
        <w:top w:val="none" w:sz="0" w:space="0" w:color="auto"/>
        <w:left w:val="none" w:sz="0" w:space="0" w:color="auto"/>
        <w:bottom w:val="none" w:sz="0" w:space="0" w:color="auto"/>
        <w:right w:val="none" w:sz="0" w:space="0" w:color="auto"/>
      </w:divBdr>
    </w:div>
    <w:div w:id="1722434771">
      <w:bodyDiv w:val="1"/>
      <w:marLeft w:val="0"/>
      <w:marRight w:val="0"/>
      <w:marTop w:val="0"/>
      <w:marBottom w:val="0"/>
      <w:divBdr>
        <w:top w:val="none" w:sz="0" w:space="0" w:color="auto"/>
        <w:left w:val="none" w:sz="0" w:space="0" w:color="auto"/>
        <w:bottom w:val="none" w:sz="0" w:space="0" w:color="auto"/>
        <w:right w:val="none" w:sz="0" w:space="0" w:color="auto"/>
      </w:divBdr>
    </w:div>
    <w:div w:id="1730953394">
      <w:bodyDiv w:val="1"/>
      <w:marLeft w:val="0"/>
      <w:marRight w:val="0"/>
      <w:marTop w:val="0"/>
      <w:marBottom w:val="0"/>
      <w:divBdr>
        <w:top w:val="none" w:sz="0" w:space="0" w:color="auto"/>
        <w:left w:val="none" w:sz="0" w:space="0" w:color="auto"/>
        <w:bottom w:val="none" w:sz="0" w:space="0" w:color="auto"/>
        <w:right w:val="none" w:sz="0" w:space="0" w:color="auto"/>
      </w:divBdr>
    </w:div>
    <w:div w:id="1743259222">
      <w:bodyDiv w:val="1"/>
      <w:marLeft w:val="0"/>
      <w:marRight w:val="0"/>
      <w:marTop w:val="0"/>
      <w:marBottom w:val="0"/>
      <w:divBdr>
        <w:top w:val="none" w:sz="0" w:space="0" w:color="auto"/>
        <w:left w:val="none" w:sz="0" w:space="0" w:color="auto"/>
        <w:bottom w:val="none" w:sz="0" w:space="0" w:color="auto"/>
        <w:right w:val="none" w:sz="0" w:space="0" w:color="auto"/>
      </w:divBdr>
    </w:div>
    <w:div w:id="1749495757">
      <w:bodyDiv w:val="1"/>
      <w:marLeft w:val="0"/>
      <w:marRight w:val="0"/>
      <w:marTop w:val="0"/>
      <w:marBottom w:val="0"/>
      <w:divBdr>
        <w:top w:val="none" w:sz="0" w:space="0" w:color="auto"/>
        <w:left w:val="none" w:sz="0" w:space="0" w:color="auto"/>
        <w:bottom w:val="none" w:sz="0" w:space="0" w:color="auto"/>
        <w:right w:val="none" w:sz="0" w:space="0" w:color="auto"/>
      </w:divBdr>
    </w:div>
    <w:div w:id="1749576125">
      <w:bodyDiv w:val="1"/>
      <w:marLeft w:val="0"/>
      <w:marRight w:val="0"/>
      <w:marTop w:val="0"/>
      <w:marBottom w:val="0"/>
      <w:divBdr>
        <w:top w:val="none" w:sz="0" w:space="0" w:color="auto"/>
        <w:left w:val="none" w:sz="0" w:space="0" w:color="auto"/>
        <w:bottom w:val="none" w:sz="0" w:space="0" w:color="auto"/>
        <w:right w:val="none" w:sz="0" w:space="0" w:color="auto"/>
      </w:divBdr>
    </w:div>
    <w:div w:id="1775973047">
      <w:bodyDiv w:val="1"/>
      <w:marLeft w:val="0"/>
      <w:marRight w:val="0"/>
      <w:marTop w:val="0"/>
      <w:marBottom w:val="0"/>
      <w:divBdr>
        <w:top w:val="none" w:sz="0" w:space="0" w:color="auto"/>
        <w:left w:val="none" w:sz="0" w:space="0" w:color="auto"/>
        <w:bottom w:val="none" w:sz="0" w:space="0" w:color="auto"/>
        <w:right w:val="none" w:sz="0" w:space="0" w:color="auto"/>
      </w:divBdr>
    </w:div>
    <w:div w:id="1783458200">
      <w:bodyDiv w:val="1"/>
      <w:marLeft w:val="0"/>
      <w:marRight w:val="0"/>
      <w:marTop w:val="0"/>
      <w:marBottom w:val="0"/>
      <w:divBdr>
        <w:top w:val="none" w:sz="0" w:space="0" w:color="auto"/>
        <w:left w:val="none" w:sz="0" w:space="0" w:color="auto"/>
        <w:bottom w:val="none" w:sz="0" w:space="0" w:color="auto"/>
        <w:right w:val="none" w:sz="0" w:space="0" w:color="auto"/>
      </w:divBdr>
    </w:div>
    <w:div w:id="1783724149">
      <w:bodyDiv w:val="1"/>
      <w:marLeft w:val="0"/>
      <w:marRight w:val="0"/>
      <w:marTop w:val="0"/>
      <w:marBottom w:val="0"/>
      <w:divBdr>
        <w:top w:val="none" w:sz="0" w:space="0" w:color="auto"/>
        <w:left w:val="none" w:sz="0" w:space="0" w:color="auto"/>
        <w:bottom w:val="none" w:sz="0" w:space="0" w:color="auto"/>
        <w:right w:val="none" w:sz="0" w:space="0" w:color="auto"/>
      </w:divBdr>
      <w:divsChild>
        <w:div w:id="473523547">
          <w:marLeft w:val="0"/>
          <w:marRight w:val="0"/>
          <w:marTop w:val="19"/>
          <w:marBottom w:val="19"/>
          <w:divBdr>
            <w:top w:val="none" w:sz="0" w:space="0" w:color="auto"/>
            <w:left w:val="none" w:sz="0" w:space="0" w:color="auto"/>
            <w:bottom w:val="none" w:sz="0" w:space="0" w:color="auto"/>
            <w:right w:val="none" w:sz="0" w:space="0" w:color="auto"/>
          </w:divBdr>
        </w:div>
        <w:div w:id="716590939">
          <w:marLeft w:val="0"/>
          <w:marRight w:val="0"/>
          <w:marTop w:val="19"/>
          <w:marBottom w:val="19"/>
          <w:divBdr>
            <w:top w:val="none" w:sz="0" w:space="0" w:color="auto"/>
            <w:left w:val="none" w:sz="0" w:space="0" w:color="auto"/>
            <w:bottom w:val="none" w:sz="0" w:space="0" w:color="auto"/>
            <w:right w:val="none" w:sz="0" w:space="0" w:color="auto"/>
          </w:divBdr>
        </w:div>
        <w:div w:id="1323855203">
          <w:marLeft w:val="0"/>
          <w:marRight w:val="0"/>
          <w:marTop w:val="19"/>
          <w:marBottom w:val="19"/>
          <w:divBdr>
            <w:top w:val="none" w:sz="0" w:space="0" w:color="auto"/>
            <w:left w:val="none" w:sz="0" w:space="0" w:color="auto"/>
            <w:bottom w:val="none" w:sz="0" w:space="0" w:color="auto"/>
            <w:right w:val="none" w:sz="0" w:space="0" w:color="auto"/>
          </w:divBdr>
        </w:div>
        <w:div w:id="2019769813">
          <w:marLeft w:val="0"/>
          <w:marRight w:val="0"/>
          <w:marTop w:val="19"/>
          <w:marBottom w:val="19"/>
          <w:divBdr>
            <w:top w:val="none" w:sz="0" w:space="0" w:color="auto"/>
            <w:left w:val="none" w:sz="0" w:space="0" w:color="auto"/>
            <w:bottom w:val="none" w:sz="0" w:space="0" w:color="auto"/>
            <w:right w:val="none" w:sz="0" w:space="0" w:color="auto"/>
          </w:divBdr>
        </w:div>
      </w:divsChild>
    </w:div>
    <w:div w:id="1804999027">
      <w:bodyDiv w:val="1"/>
      <w:marLeft w:val="0"/>
      <w:marRight w:val="0"/>
      <w:marTop w:val="0"/>
      <w:marBottom w:val="0"/>
      <w:divBdr>
        <w:top w:val="none" w:sz="0" w:space="0" w:color="auto"/>
        <w:left w:val="none" w:sz="0" w:space="0" w:color="auto"/>
        <w:bottom w:val="none" w:sz="0" w:space="0" w:color="auto"/>
        <w:right w:val="none" w:sz="0" w:space="0" w:color="auto"/>
      </w:divBdr>
    </w:div>
    <w:div w:id="1811945004">
      <w:bodyDiv w:val="1"/>
      <w:marLeft w:val="0"/>
      <w:marRight w:val="0"/>
      <w:marTop w:val="0"/>
      <w:marBottom w:val="0"/>
      <w:divBdr>
        <w:top w:val="none" w:sz="0" w:space="0" w:color="auto"/>
        <w:left w:val="none" w:sz="0" w:space="0" w:color="auto"/>
        <w:bottom w:val="none" w:sz="0" w:space="0" w:color="auto"/>
        <w:right w:val="none" w:sz="0" w:space="0" w:color="auto"/>
      </w:divBdr>
    </w:div>
    <w:div w:id="1812405356">
      <w:bodyDiv w:val="1"/>
      <w:marLeft w:val="0"/>
      <w:marRight w:val="0"/>
      <w:marTop w:val="0"/>
      <w:marBottom w:val="0"/>
      <w:divBdr>
        <w:top w:val="none" w:sz="0" w:space="0" w:color="auto"/>
        <w:left w:val="none" w:sz="0" w:space="0" w:color="auto"/>
        <w:bottom w:val="none" w:sz="0" w:space="0" w:color="auto"/>
        <w:right w:val="none" w:sz="0" w:space="0" w:color="auto"/>
      </w:divBdr>
    </w:div>
    <w:div w:id="1812863238">
      <w:bodyDiv w:val="1"/>
      <w:marLeft w:val="0"/>
      <w:marRight w:val="0"/>
      <w:marTop w:val="0"/>
      <w:marBottom w:val="0"/>
      <w:divBdr>
        <w:top w:val="none" w:sz="0" w:space="0" w:color="auto"/>
        <w:left w:val="none" w:sz="0" w:space="0" w:color="auto"/>
        <w:bottom w:val="none" w:sz="0" w:space="0" w:color="auto"/>
        <w:right w:val="none" w:sz="0" w:space="0" w:color="auto"/>
      </w:divBdr>
    </w:div>
    <w:div w:id="1824351665">
      <w:bodyDiv w:val="1"/>
      <w:marLeft w:val="0"/>
      <w:marRight w:val="0"/>
      <w:marTop w:val="0"/>
      <w:marBottom w:val="0"/>
      <w:divBdr>
        <w:top w:val="none" w:sz="0" w:space="0" w:color="auto"/>
        <w:left w:val="none" w:sz="0" w:space="0" w:color="auto"/>
        <w:bottom w:val="none" w:sz="0" w:space="0" w:color="auto"/>
        <w:right w:val="none" w:sz="0" w:space="0" w:color="auto"/>
      </w:divBdr>
    </w:div>
    <w:div w:id="1829518745">
      <w:bodyDiv w:val="1"/>
      <w:marLeft w:val="0"/>
      <w:marRight w:val="0"/>
      <w:marTop w:val="0"/>
      <w:marBottom w:val="0"/>
      <w:divBdr>
        <w:top w:val="none" w:sz="0" w:space="0" w:color="auto"/>
        <w:left w:val="none" w:sz="0" w:space="0" w:color="auto"/>
        <w:bottom w:val="none" w:sz="0" w:space="0" w:color="auto"/>
        <w:right w:val="none" w:sz="0" w:space="0" w:color="auto"/>
      </w:divBdr>
    </w:div>
    <w:div w:id="1832987174">
      <w:bodyDiv w:val="1"/>
      <w:marLeft w:val="0"/>
      <w:marRight w:val="0"/>
      <w:marTop w:val="0"/>
      <w:marBottom w:val="0"/>
      <w:divBdr>
        <w:top w:val="none" w:sz="0" w:space="0" w:color="auto"/>
        <w:left w:val="none" w:sz="0" w:space="0" w:color="auto"/>
        <w:bottom w:val="none" w:sz="0" w:space="0" w:color="auto"/>
        <w:right w:val="none" w:sz="0" w:space="0" w:color="auto"/>
      </w:divBdr>
    </w:div>
    <w:div w:id="1845590045">
      <w:bodyDiv w:val="1"/>
      <w:marLeft w:val="0"/>
      <w:marRight w:val="0"/>
      <w:marTop w:val="0"/>
      <w:marBottom w:val="0"/>
      <w:divBdr>
        <w:top w:val="none" w:sz="0" w:space="0" w:color="auto"/>
        <w:left w:val="none" w:sz="0" w:space="0" w:color="auto"/>
        <w:bottom w:val="none" w:sz="0" w:space="0" w:color="auto"/>
        <w:right w:val="none" w:sz="0" w:space="0" w:color="auto"/>
      </w:divBdr>
    </w:div>
    <w:div w:id="1846482497">
      <w:bodyDiv w:val="1"/>
      <w:marLeft w:val="0"/>
      <w:marRight w:val="0"/>
      <w:marTop w:val="0"/>
      <w:marBottom w:val="0"/>
      <w:divBdr>
        <w:top w:val="none" w:sz="0" w:space="0" w:color="auto"/>
        <w:left w:val="none" w:sz="0" w:space="0" w:color="auto"/>
        <w:bottom w:val="none" w:sz="0" w:space="0" w:color="auto"/>
        <w:right w:val="none" w:sz="0" w:space="0" w:color="auto"/>
      </w:divBdr>
    </w:div>
    <w:div w:id="1853104188">
      <w:bodyDiv w:val="1"/>
      <w:marLeft w:val="0"/>
      <w:marRight w:val="0"/>
      <w:marTop w:val="0"/>
      <w:marBottom w:val="0"/>
      <w:divBdr>
        <w:top w:val="none" w:sz="0" w:space="0" w:color="auto"/>
        <w:left w:val="none" w:sz="0" w:space="0" w:color="auto"/>
        <w:bottom w:val="none" w:sz="0" w:space="0" w:color="auto"/>
        <w:right w:val="none" w:sz="0" w:space="0" w:color="auto"/>
      </w:divBdr>
    </w:div>
    <w:div w:id="1858346283">
      <w:bodyDiv w:val="1"/>
      <w:marLeft w:val="0"/>
      <w:marRight w:val="0"/>
      <w:marTop w:val="0"/>
      <w:marBottom w:val="0"/>
      <w:divBdr>
        <w:top w:val="none" w:sz="0" w:space="0" w:color="auto"/>
        <w:left w:val="none" w:sz="0" w:space="0" w:color="auto"/>
        <w:bottom w:val="none" w:sz="0" w:space="0" w:color="auto"/>
        <w:right w:val="none" w:sz="0" w:space="0" w:color="auto"/>
      </w:divBdr>
    </w:div>
    <w:div w:id="1859272281">
      <w:bodyDiv w:val="1"/>
      <w:marLeft w:val="0"/>
      <w:marRight w:val="0"/>
      <w:marTop w:val="0"/>
      <w:marBottom w:val="0"/>
      <w:divBdr>
        <w:top w:val="none" w:sz="0" w:space="0" w:color="auto"/>
        <w:left w:val="none" w:sz="0" w:space="0" w:color="auto"/>
        <w:bottom w:val="none" w:sz="0" w:space="0" w:color="auto"/>
        <w:right w:val="none" w:sz="0" w:space="0" w:color="auto"/>
      </w:divBdr>
    </w:div>
    <w:div w:id="1876043935">
      <w:bodyDiv w:val="1"/>
      <w:marLeft w:val="0"/>
      <w:marRight w:val="0"/>
      <w:marTop w:val="0"/>
      <w:marBottom w:val="0"/>
      <w:divBdr>
        <w:top w:val="none" w:sz="0" w:space="0" w:color="auto"/>
        <w:left w:val="none" w:sz="0" w:space="0" w:color="auto"/>
        <w:bottom w:val="none" w:sz="0" w:space="0" w:color="auto"/>
        <w:right w:val="none" w:sz="0" w:space="0" w:color="auto"/>
      </w:divBdr>
    </w:div>
    <w:div w:id="1878542343">
      <w:bodyDiv w:val="1"/>
      <w:marLeft w:val="0"/>
      <w:marRight w:val="0"/>
      <w:marTop w:val="0"/>
      <w:marBottom w:val="0"/>
      <w:divBdr>
        <w:top w:val="none" w:sz="0" w:space="0" w:color="auto"/>
        <w:left w:val="none" w:sz="0" w:space="0" w:color="auto"/>
        <w:bottom w:val="none" w:sz="0" w:space="0" w:color="auto"/>
        <w:right w:val="none" w:sz="0" w:space="0" w:color="auto"/>
      </w:divBdr>
    </w:div>
    <w:div w:id="1879465552">
      <w:bodyDiv w:val="1"/>
      <w:marLeft w:val="0"/>
      <w:marRight w:val="0"/>
      <w:marTop w:val="0"/>
      <w:marBottom w:val="0"/>
      <w:divBdr>
        <w:top w:val="none" w:sz="0" w:space="0" w:color="auto"/>
        <w:left w:val="none" w:sz="0" w:space="0" w:color="auto"/>
        <w:bottom w:val="none" w:sz="0" w:space="0" w:color="auto"/>
        <w:right w:val="none" w:sz="0" w:space="0" w:color="auto"/>
      </w:divBdr>
      <w:divsChild>
        <w:div w:id="1242981773">
          <w:marLeft w:val="446"/>
          <w:marRight w:val="0"/>
          <w:marTop w:val="0"/>
          <w:marBottom w:val="0"/>
          <w:divBdr>
            <w:top w:val="none" w:sz="0" w:space="0" w:color="auto"/>
            <w:left w:val="none" w:sz="0" w:space="0" w:color="auto"/>
            <w:bottom w:val="none" w:sz="0" w:space="0" w:color="auto"/>
            <w:right w:val="none" w:sz="0" w:space="0" w:color="auto"/>
          </w:divBdr>
        </w:div>
      </w:divsChild>
    </w:div>
    <w:div w:id="1893037932">
      <w:bodyDiv w:val="1"/>
      <w:marLeft w:val="0"/>
      <w:marRight w:val="0"/>
      <w:marTop w:val="0"/>
      <w:marBottom w:val="0"/>
      <w:divBdr>
        <w:top w:val="none" w:sz="0" w:space="0" w:color="auto"/>
        <w:left w:val="none" w:sz="0" w:space="0" w:color="auto"/>
        <w:bottom w:val="none" w:sz="0" w:space="0" w:color="auto"/>
        <w:right w:val="none" w:sz="0" w:space="0" w:color="auto"/>
      </w:divBdr>
    </w:div>
    <w:div w:id="1897932471">
      <w:bodyDiv w:val="1"/>
      <w:marLeft w:val="0"/>
      <w:marRight w:val="0"/>
      <w:marTop w:val="0"/>
      <w:marBottom w:val="0"/>
      <w:divBdr>
        <w:top w:val="none" w:sz="0" w:space="0" w:color="auto"/>
        <w:left w:val="none" w:sz="0" w:space="0" w:color="auto"/>
        <w:bottom w:val="none" w:sz="0" w:space="0" w:color="auto"/>
        <w:right w:val="none" w:sz="0" w:space="0" w:color="auto"/>
      </w:divBdr>
    </w:div>
    <w:div w:id="1913197448">
      <w:bodyDiv w:val="1"/>
      <w:marLeft w:val="0"/>
      <w:marRight w:val="0"/>
      <w:marTop w:val="0"/>
      <w:marBottom w:val="0"/>
      <w:divBdr>
        <w:top w:val="none" w:sz="0" w:space="0" w:color="auto"/>
        <w:left w:val="none" w:sz="0" w:space="0" w:color="auto"/>
        <w:bottom w:val="none" w:sz="0" w:space="0" w:color="auto"/>
        <w:right w:val="none" w:sz="0" w:space="0" w:color="auto"/>
      </w:divBdr>
    </w:div>
    <w:div w:id="1913612262">
      <w:bodyDiv w:val="1"/>
      <w:marLeft w:val="0"/>
      <w:marRight w:val="0"/>
      <w:marTop w:val="0"/>
      <w:marBottom w:val="0"/>
      <w:divBdr>
        <w:top w:val="none" w:sz="0" w:space="0" w:color="auto"/>
        <w:left w:val="none" w:sz="0" w:space="0" w:color="auto"/>
        <w:bottom w:val="none" w:sz="0" w:space="0" w:color="auto"/>
        <w:right w:val="none" w:sz="0" w:space="0" w:color="auto"/>
      </w:divBdr>
      <w:divsChild>
        <w:div w:id="60447309">
          <w:marLeft w:val="446"/>
          <w:marRight w:val="0"/>
          <w:marTop w:val="0"/>
          <w:marBottom w:val="0"/>
          <w:divBdr>
            <w:top w:val="none" w:sz="0" w:space="0" w:color="auto"/>
            <w:left w:val="none" w:sz="0" w:space="0" w:color="auto"/>
            <w:bottom w:val="none" w:sz="0" w:space="0" w:color="auto"/>
            <w:right w:val="none" w:sz="0" w:space="0" w:color="auto"/>
          </w:divBdr>
        </w:div>
        <w:div w:id="305862180">
          <w:marLeft w:val="446"/>
          <w:marRight w:val="0"/>
          <w:marTop w:val="0"/>
          <w:marBottom w:val="0"/>
          <w:divBdr>
            <w:top w:val="none" w:sz="0" w:space="0" w:color="auto"/>
            <w:left w:val="none" w:sz="0" w:space="0" w:color="auto"/>
            <w:bottom w:val="none" w:sz="0" w:space="0" w:color="auto"/>
            <w:right w:val="none" w:sz="0" w:space="0" w:color="auto"/>
          </w:divBdr>
        </w:div>
        <w:div w:id="593787271">
          <w:marLeft w:val="360"/>
          <w:marRight w:val="0"/>
          <w:marTop w:val="0"/>
          <w:marBottom w:val="0"/>
          <w:divBdr>
            <w:top w:val="none" w:sz="0" w:space="0" w:color="auto"/>
            <w:left w:val="none" w:sz="0" w:space="0" w:color="auto"/>
            <w:bottom w:val="none" w:sz="0" w:space="0" w:color="auto"/>
            <w:right w:val="none" w:sz="0" w:space="0" w:color="auto"/>
          </w:divBdr>
        </w:div>
        <w:div w:id="683556442">
          <w:marLeft w:val="360"/>
          <w:marRight w:val="0"/>
          <w:marTop w:val="0"/>
          <w:marBottom w:val="0"/>
          <w:divBdr>
            <w:top w:val="none" w:sz="0" w:space="0" w:color="auto"/>
            <w:left w:val="none" w:sz="0" w:space="0" w:color="auto"/>
            <w:bottom w:val="none" w:sz="0" w:space="0" w:color="auto"/>
            <w:right w:val="none" w:sz="0" w:space="0" w:color="auto"/>
          </w:divBdr>
        </w:div>
        <w:div w:id="754671067">
          <w:marLeft w:val="360"/>
          <w:marRight w:val="0"/>
          <w:marTop w:val="0"/>
          <w:marBottom w:val="0"/>
          <w:divBdr>
            <w:top w:val="none" w:sz="0" w:space="0" w:color="auto"/>
            <w:left w:val="none" w:sz="0" w:space="0" w:color="auto"/>
            <w:bottom w:val="none" w:sz="0" w:space="0" w:color="auto"/>
            <w:right w:val="none" w:sz="0" w:space="0" w:color="auto"/>
          </w:divBdr>
        </w:div>
        <w:div w:id="793059634">
          <w:marLeft w:val="360"/>
          <w:marRight w:val="0"/>
          <w:marTop w:val="0"/>
          <w:marBottom w:val="0"/>
          <w:divBdr>
            <w:top w:val="none" w:sz="0" w:space="0" w:color="auto"/>
            <w:left w:val="none" w:sz="0" w:space="0" w:color="auto"/>
            <w:bottom w:val="none" w:sz="0" w:space="0" w:color="auto"/>
            <w:right w:val="none" w:sz="0" w:space="0" w:color="auto"/>
          </w:divBdr>
        </w:div>
        <w:div w:id="1066103206">
          <w:marLeft w:val="360"/>
          <w:marRight w:val="0"/>
          <w:marTop w:val="0"/>
          <w:marBottom w:val="0"/>
          <w:divBdr>
            <w:top w:val="none" w:sz="0" w:space="0" w:color="auto"/>
            <w:left w:val="none" w:sz="0" w:space="0" w:color="auto"/>
            <w:bottom w:val="none" w:sz="0" w:space="0" w:color="auto"/>
            <w:right w:val="none" w:sz="0" w:space="0" w:color="auto"/>
          </w:divBdr>
        </w:div>
        <w:div w:id="1417357671">
          <w:marLeft w:val="360"/>
          <w:marRight w:val="0"/>
          <w:marTop w:val="0"/>
          <w:marBottom w:val="0"/>
          <w:divBdr>
            <w:top w:val="none" w:sz="0" w:space="0" w:color="auto"/>
            <w:left w:val="none" w:sz="0" w:space="0" w:color="auto"/>
            <w:bottom w:val="none" w:sz="0" w:space="0" w:color="auto"/>
            <w:right w:val="none" w:sz="0" w:space="0" w:color="auto"/>
          </w:divBdr>
        </w:div>
        <w:div w:id="1685478828">
          <w:marLeft w:val="360"/>
          <w:marRight w:val="0"/>
          <w:marTop w:val="0"/>
          <w:marBottom w:val="0"/>
          <w:divBdr>
            <w:top w:val="none" w:sz="0" w:space="0" w:color="auto"/>
            <w:left w:val="none" w:sz="0" w:space="0" w:color="auto"/>
            <w:bottom w:val="none" w:sz="0" w:space="0" w:color="auto"/>
            <w:right w:val="none" w:sz="0" w:space="0" w:color="auto"/>
          </w:divBdr>
        </w:div>
        <w:div w:id="1705208777">
          <w:marLeft w:val="360"/>
          <w:marRight w:val="0"/>
          <w:marTop w:val="0"/>
          <w:marBottom w:val="0"/>
          <w:divBdr>
            <w:top w:val="none" w:sz="0" w:space="0" w:color="auto"/>
            <w:left w:val="none" w:sz="0" w:space="0" w:color="auto"/>
            <w:bottom w:val="none" w:sz="0" w:space="0" w:color="auto"/>
            <w:right w:val="none" w:sz="0" w:space="0" w:color="auto"/>
          </w:divBdr>
        </w:div>
        <w:div w:id="1742407376">
          <w:marLeft w:val="360"/>
          <w:marRight w:val="0"/>
          <w:marTop w:val="0"/>
          <w:marBottom w:val="0"/>
          <w:divBdr>
            <w:top w:val="none" w:sz="0" w:space="0" w:color="auto"/>
            <w:left w:val="none" w:sz="0" w:space="0" w:color="auto"/>
            <w:bottom w:val="none" w:sz="0" w:space="0" w:color="auto"/>
            <w:right w:val="none" w:sz="0" w:space="0" w:color="auto"/>
          </w:divBdr>
        </w:div>
        <w:div w:id="2091582742">
          <w:marLeft w:val="360"/>
          <w:marRight w:val="0"/>
          <w:marTop w:val="0"/>
          <w:marBottom w:val="0"/>
          <w:divBdr>
            <w:top w:val="none" w:sz="0" w:space="0" w:color="auto"/>
            <w:left w:val="none" w:sz="0" w:space="0" w:color="auto"/>
            <w:bottom w:val="none" w:sz="0" w:space="0" w:color="auto"/>
            <w:right w:val="none" w:sz="0" w:space="0" w:color="auto"/>
          </w:divBdr>
        </w:div>
      </w:divsChild>
    </w:div>
    <w:div w:id="1917781347">
      <w:bodyDiv w:val="1"/>
      <w:marLeft w:val="0"/>
      <w:marRight w:val="0"/>
      <w:marTop w:val="0"/>
      <w:marBottom w:val="0"/>
      <w:divBdr>
        <w:top w:val="none" w:sz="0" w:space="0" w:color="auto"/>
        <w:left w:val="none" w:sz="0" w:space="0" w:color="auto"/>
        <w:bottom w:val="none" w:sz="0" w:space="0" w:color="auto"/>
        <w:right w:val="none" w:sz="0" w:space="0" w:color="auto"/>
      </w:divBdr>
    </w:div>
    <w:div w:id="1926840952">
      <w:bodyDiv w:val="1"/>
      <w:marLeft w:val="0"/>
      <w:marRight w:val="0"/>
      <w:marTop w:val="0"/>
      <w:marBottom w:val="0"/>
      <w:divBdr>
        <w:top w:val="none" w:sz="0" w:space="0" w:color="auto"/>
        <w:left w:val="none" w:sz="0" w:space="0" w:color="auto"/>
        <w:bottom w:val="none" w:sz="0" w:space="0" w:color="auto"/>
        <w:right w:val="none" w:sz="0" w:space="0" w:color="auto"/>
      </w:divBdr>
    </w:div>
    <w:div w:id="1955210536">
      <w:bodyDiv w:val="1"/>
      <w:marLeft w:val="0"/>
      <w:marRight w:val="0"/>
      <w:marTop w:val="0"/>
      <w:marBottom w:val="0"/>
      <w:divBdr>
        <w:top w:val="none" w:sz="0" w:space="0" w:color="auto"/>
        <w:left w:val="none" w:sz="0" w:space="0" w:color="auto"/>
        <w:bottom w:val="none" w:sz="0" w:space="0" w:color="auto"/>
        <w:right w:val="none" w:sz="0" w:space="0" w:color="auto"/>
      </w:divBdr>
    </w:div>
    <w:div w:id="1978140977">
      <w:bodyDiv w:val="1"/>
      <w:marLeft w:val="0"/>
      <w:marRight w:val="0"/>
      <w:marTop w:val="0"/>
      <w:marBottom w:val="0"/>
      <w:divBdr>
        <w:top w:val="none" w:sz="0" w:space="0" w:color="auto"/>
        <w:left w:val="none" w:sz="0" w:space="0" w:color="auto"/>
        <w:bottom w:val="none" w:sz="0" w:space="0" w:color="auto"/>
        <w:right w:val="none" w:sz="0" w:space="0" w:color="auto"/>
      </w:divBdr>
      <w:divsChild>
        <w:div w:id="1261333099">
          <w:marLeft w:val="547"/>
          <w:marRight w:val="0"/>
          <w:marTop w:val="120"/>
          <w:marBottom w:val="120"/>
          <w:divBdr>
            <w:top w:val="none" w:sz="0" w:space="0" w:color="auto"/>
            <w:left w:val="none" w:sz="0" w:space="0" w:color="auto"/>
            <w:bottom w:val="none" w:sz="0" w:space="0" w:color="auto"/>
            <w:right w:val="none" w:sz="0" w:space="0" w:color="auto"/>
          </w:divBdr>
        </w:div>
        <w:div w:id="808010589">
          <w:marLeft w:val="547"/>
          <w:marRight w:val="0"/>
          <w:marTop w:val="120"/>
          <w:marBottom w:val="120"/>
          <w:divBdr>
            <w:top w:val="none" w:sz="0" w:space="0" w:color="auto"/>
            <w:left w:val="none" w:sz="0" w:space="0" w:color="auto"/>
            <w:bottom w:val="none" w:sz="0" w:space="0" w:color="auto"/>
            <w:right w:val="none" w:sz="0" w:space="0" w:color="auto"/>
          </w:divBdr>
        </w:div>
        <w:div w:id="487289289">
          <w:marLeft w:val="547"/>
          <w:marRight w:val="0"/>
          <w:marTop w:val="120"/>
          <w:marBottom w:val="120"/>
          <w:divBdr>
            <w:top w:val="none" w:sz="0" w:space="0" w:color="auto"/>
            <w:left w:val="none" w:sz="0" w:space="0" w:color="auto"/>
            <w:bottom w:val="none" w:sz="0" w:space="0" w:color="auto"/>
            <w:right w:val="none" w:sz="0" w:space="0" w:color="auto"/>
          </w:divBdr>
        </w:div>
        <w:div w:id="289632427">
          <w:marLeft w:val="547"/>
          <w:marRight w:val="0"/>
          <w:marTop w:val="120"/>
          <w:marBottom w:val="120"/>
          <w:divBdr>
            <w:top w:val="none" w:sz="0" w:space="0" w:color="auto"/>
            <w:left w:val="none" w:sz="0" w:space="0" w:color="auto"/>
            <w:bottom w:val="none" w:sz="0" w:space="0" w:color="auto"/>
            <w:right w:val="none" w:sz="0" w:space="0" w:color="auto"/>
          </w:divBdr>
        </w:div>
      </w:divsChild>
    </w:div>
    <w:div w:id="1981689625">
      <w:bodyDiv w:val="1"/>
      <w:marLeft w:val="0"/>
      <w:marRight w:val="0"/>
      <w:marTop w:val="0"/>
      <w:marBottom w:val="0"/>
      <w:divBdr>
        <w:top w:val="none" w:sz="0" w:space="0" w:color="auto"/>
        <w:left w:val="none" w:sz="0" w:space="0" w:color="auto"/>
        <w:bottom w:val="none" w:sz="0" w:space="0" w:color="auto"/>
        <w:right w:val="none" w:sz="0" w:space="0" w:color="auto"/>
      </w:divBdr>
    </w:div>
    <w:div w:id="1986273196">
      <w:bodyDiv w:val="1"/>
      <w:marLeft w:val="0"/>
      <w:marRight w:val="0"/>
      <w:marTop w:val="0"/>
      <w:marBottom w:val="0"/>
      <w:divBdr>
        <w:top w:val="none" w:sz="0" w:space="0" w:color="auto"/>
        <w:left w:val="none" w:sz="0" w:space="0" w:color="auto"/>
        <w:bottom w:val="none" w:sz="0" w:space="0" w:color="auto"/>
        <w:right w:val="none" w:sz="0" w:space="0" w:color="auto"/>
      </w:divBdr>
    </w:div>
    <w:div w:id="1987584025">
      <w:bodyDiv w:val="1"/>
      <w:marLeft w:val="0"/>
      <w:marRight w:val="0"/>
      <w:marTop w:val="0"/>
      <w:marBottom w:val="0"/>
      <w:divBdr>
        <w:top w:val="none" w:sz="0" w:space="0" w:color="auto"/>
        <w:left w:val="none" w:sz="0" w:space="0" w:color="auto"/>
        <w:bottom w:val="none" w:sz="0" w:space="0" w:color="auto"/>
        <w:right w:val="none" w:sz="0" w:space="0" w:color="auto"/>
      </w:divBdr>
      <w:divsChild>
        <w:div w:id="1657104901">
          <w:marLeft w:val="274"/>
          <w:marRight w:val="0"/>
          <w:marTop w:val="0"/>
          <w:marBottom w:val="0"/>
          <w:divBdr>
            <w:top w:val="none" w:sz="0" w:space="0" w:color="auto"/>
            <w:left w:val="none" w:sz="0" w:space="0" w:color="auto"/>
            <w:bottom w:val="none" w:sz="0" w:space="0" w:color="auto"/>
            <w:right w:val="none" w:sz="0" w:space="0" w:color="auto"/>
          </w:divBdr>
        </w:div>
        <w:div w:id="1833720017">
          <w:marLeft w:val="274"/>
          <w:marRight w:val="0"/>
          <w:marTop w:val="0"/>
          <w:marBottom w:val="0"/>
          <w:divBdr>
            <w:top w:val="none" w:sz="0" w:space="0" w:color="auto"/>
            <w:left w:val="none" w:sz="0" w:space="0" w:color="auto"/>
            <w:bottom w:val="none" w:sz="0" w:space="0" w:color="auto"/>
            <w:right w:val="none" w:sz="0" w:space="0" w:color="auto"/>
          </w:divBdr>
        </w:div>
      </w:divsChild>
    </w:div>
    <w:div w:id="1990553877">
      <w:bodyDiv w:val="1"/>
      <w:marLeft w:val="0"/>
      <w:marRight w:val="0"/>
      <w:marTop w:val="0"/>
      <w:marBottom w:val="0"/>
      <w:divBdr>
        <w:top w:val="none" w:sz="0" w:space="0" w:color="auto"/>
        <w:left w:val="none" w:sz="0" w:space="0" w:color="auto"/>
        <w:bottom w:val="none" w:sz="0" w:space="0" w:color="auto"/>
        <w:right w:val="none" w:sz="0" w:space="0" w:color="auto"/>
      </w:divBdr>
    </w:div>
    <w:div w:id="2007635980">
      <w:bodyDiv w:val="1"/>
      <w:marLeft w:val="0"/>
      <w:marRight w:val="0"/>
      <w:marTop w:val="0"/>
      <w:marBottom w:val="0"/>
      <w:divBdr>
        <w:top w:val="none" w:sz="0" w:space="0" w:color="auto"/>
        <w:left w:val="none" w:sz="0" w:space="0" w:color="auto"/>
        <w:bottom w:val="none" w:sz="0" w:space="0" w:color="auto"/>
        <w:right w:val="none" w:sz="0" w:space="0" w:color="auto"/>
      </w:divBdr>
    </w:div>
    <w:div w:id="2011643255">
      <w:bodyDiv w:val="1"/>
      <w:marLeft w:val="0"/>
      <w:marRight w:val="0"/>
      <w:marTop w:val="0"/>
      <w:marBottom w:val="0"/>
      <w:divBdr>
        <w:top w:val="none" w:sz="0" w:space="0" w:color="auto"/>
        <w:left w:val="none" w:sz="0" w:space="0" w:color="auto"/>
        <w:bottom w:val="none" w:sz="0" w:space="0" w:color="auto"/>
        <w:right w:val="none" w:sz="0" w:space="0" w:color="auto"/>
      </w:divBdr>
      <w:divsChild>
        <w:div w:id="309527505">
          <w:marLeft w:val="274"/>
          <w:marRight w:val="0"/>
          <w:marTop w:val="0"/>
          <w:marBottom w:val="0"/>
          <w:divBdr>
            <w:top w:val="none" w:sz="0" w:space="0" w:color="auto"/>
            <w:left w:val="none" w:sz="0" w:space="0" w:color="auto"/>
            <w:bottom w:val="none" w:sz="0" w:space="0" w:color="auto"/>
            <w:right w:val="none" w:sz="0" w:space="0" w:color="auto"/>
          </w:divBdr>
        </w:div>
        <w:div w:id="703361388">
          <w:marLeft w:val="274"/>
          <w:marRight w:val="0"/>
          <w:marTop w:val="0"/>
          <w:marBottom w:val="0"/>
          <w:divBdr>
            <w:top w:val="none" w:sz="0" w:space="0" w:color="auto"/>
            <w:left w:val="none" w:sz="0" w:space="0" w:color="auto"/>
            <w:bottom w:val="none" w:sz="0" w:space="0" w:color="auto"/>
            <w:right w:val="none" w:sz="0" w:space="0" w:color="auto"/>
          </w:divBdr>
        </w:div>
        <w:div w:id="756755151">
          <w:marLeft w:val="274"/>
          <w:marRight w:val="0"/>
          <w:marTop w:val="0"/>
          <w:marBottom w:val="0"/>
          <w:divBdr>
            <w:top w:val="none" w:sz="0" w:space="0" w:color="auto"/>
            <w:left w:val="none" w:sz="0" w:space="0" w:color="auto"/>
            <w:bottom w:val="none" w:sz="0" w:space="0" w:color="auto"/>
            <w:right w:val="none" w:sz="0" w:space="0" w:color="auto"/>
          </w:divBdr>
        </w:div>
        <w:div w:id="1471702651">
          <w:marLeft w:val="274"/>
          <w:marRight w:val="0"/>
          <w:marTop w:val="0"/>
          <w:marBottom w:val="0"/>
          <w:divBdr>
            <w:top w:val="none" w:sz="0" w:space="0" w:color="auto"/>
            <w:left w:val="none" w:sz="0" w:space="0" w:color="auto"/>
            <w:bottom w:val="none" w:sz="0" w:space="0" w:color="auto"/>
            <w:right w:val="none" w:sz="0" w:space="0" w:color="auto"/>
          </w:divBdr>
        </w:div>
        <w:div w:id="1667635496">
          <w:marLeft w:val="274"/>
          <w:marRight w:val="0"/>
          <w:marTop w:val="0"/>
          <w:marBottom w:val="0"/>
          <w:divBdr>
            <w:top w:val="none" w:sz="0" w:space="0" w:color="auto"/>
            <w:left w:val="none" w:sz="0" w:space="0" w:color="auto"/>
            <w:bottom w:val="none" w:sz="0" w:space="0" w:color="auto"/>
            <w:right w:val="none" w:sz="0" w:space="0" w:color="auto"/>
          </w:divBdr>
        </w:div>
        <w:div w:id="1771507849">
          <w:marLeft w:val="274"/>
          <w:marRight w:val="0"/>
          <w:marTop w:val="0"/>
          <w:marBottom w:val="0"/>
          <w:divBdr>
            <w:top w:val="none" w:sz="0" w:space="0" w:color="auto"/>
            <w:left w:val="none" w:sz="0" w:space="0" w:color="auto"/>
            <w:bottom w:val="none" w:sz="0" w:space="0" w:color="auto"/>
            <w:right w:val="none" w:sz="0" w:space="0" w:color="auto"/>
          </w:divBdr>
        </w:div>
      </w:divsChild>
    </w:div>
    <w:div w:id="2020152444">
      <w:bodyDiv w:val="1"/>
      <w:marLeft w:val="0"/>
      <w:marRight w:val="0"/>
      <w:marTop w:val="0"/>
      <w:marBottom w:val="0"/>
      <w:divBdr>
        <w:top w:val="none" w:sz="0" w:space="0" w:color="auto"/>
        <w:left w:val="none" w:sz="0" w:space="0" w:color="auto"/>
        <w:bottom w:val="none" w:sz="0" w:space="0" w:color="auto"/>
        <w:right w:val="none" w:sz="0" w:space="0" w:color="auto"/>
      </w:divBdr>
    </w:div>
    <w:div w:id="2024361571">
      <w:bodyDiv w:val="1"/>
      <w:marLeft w:val="0"/>
      <w:marRight w:val="0"/>
      <w:marTop w:val="0"/>
      <w:marBottom w:val="0"/>
      <w:divBdr>
        <w:top w:val="none" w:sz="0" w:space="0" w:color="auto"/>
        <w:left w:val="none" w:sz="0" w:space="0" w:color="auto"/>
        <w:bottom w:val="none" w:sz="0" w:space="0" w:color="auto"/>
        <w:right w:val="none" w:sz="0" w:space="0" w:color="auto"/>
      </w:divBdr>
    </w:div>
    <w:div w:id="2028405797">
      <w:bodyDiv w:val="1"/>
      <w:marLeft w:val="0"/>
      <w:marRight w:val="0"/>
      <w:marTop w:val="0"/>
      <w:marBottom w:val="0"/>
      <w:divBdr>
        <w:top w:val="none" w:sz="0" w:space="0" w:color="auto"/>
        <w:left w:val="none" w:sz="0" w:space="0" w:color="auto"/>
        <w:bottom w:val="none" w:sz="0" w:space="0" w:color="auto"/>
        <w:right w:val="none" w:sz="0" w:space="0" w:color="auto"/>
      </w:divBdr>
    </w:div>
    <w:div w:id="2028945128">
      <w:bodyDiv w:val="1"/>
      <w:marLeft w:val="0"/>
      <w:marRight w:val="0"/>
      <w:marTop w:val="0"/>
      <w:marBottom w:val="0"/>
      <w:divBdr>
        <w:top w:val="none" w:sz="0" w:space="0" w:color="auto"/>
        <w:left w:val="none" w:sz="0" w:space="0" w:color="auto"/>
        <w:bottom w:val="none" w:sz="0" w:space="0" w:color="auto"/>
        <w:right w:val="none" w:sz="0" w:space="0" w:color="auto"/>
      </w:divBdr>
    </w:div>
    <w:div w:id="2034722994">
      <w:bodyDiv w:val="1"/>
      <w:marLeft w:val="0"/>
      <w:marRight w:val="0"/>
      <w:marTop w:val="0"/>
      <w:marBottom w:val="0"/>
      <w:divBdr>
        <w:top w:val="none" w:sz="0" w:space="0" w:color="auto"/>
        <w:left w:val="none" w:sz="0" w:space="0" w:color="auto"/>
        <w:bottom w:val="none" w:sz="0" w:space="0" w:color="auto"/>
        <w:right w:val="none" w:sz="0" w:space="0" w:color="auto"/>
      </w:divBdr>
    </w:div>
    <w:div w:id="2035378160">
      <w:bodyDiv w:val="1"/>
      <w:marLeft w:val="0"/>
      <w:marRight w:val="0"/>
      <w:marTop w:val="0"/>
      <w:marBottom w:val="0"/>
      <w:divBdr>
        <w:top w:val="none" w:sz="0" w:space="0" w:color="auto"/>
        <w:left w:val="none" w:sz="0" w:space="0" w:color="auto"/>
        <w:bottom w:val="none" w:sz="0" w:space="0" w:color="auto"/>
        <w:right w:val="none" w:sz="0" w:space="0" w:color="auto"/>
      </w:divBdr>
    </w:div>
    <w:div w:id="2039894493">
      <w:bodyDiv w:val="1"/>
      <w:marLeft w:val="0"/>
      <w:marRight w:val="0"/>
      <w:marTop w:val="0"/>
      <w:marBottom w:val="0"/>
      <w:divBdr>
        <w:top w:val="none" w:sz="0" w:space="0" w:color="auto"/>
        <w:left w:val="none" w:sz="0" w:space="0" w:color="auto"/>
        <w:bottom w:val="none" w:sz="0" w:space="0" w:color="auto"/>
        <w:right w:val="none" w:sz="0" w:space="0" w:color="auto"/>
      </w:divBdr>
    </w:div>
    <w:div w:id="2049061748">
      <w:bodyDiv w:val="1"/>
      <w:marLeft w:val="0"/>
      <w:marRight w:val="0"/>
      <w:marTop w:val="0"/>
      <w:marBottom w:val="0"/>
      <w:divBdr>
        <w:top w:val="none" w:sz="0" w:space="0" w:color="auto"/>
        <w:left w:val="none" w:sz="0" w:space="0" w:color="auto"/>
        <w:bottom w:val="none" w:sz="0" w:space="0" w:color="auto"/>
        <w:right w:val="none" w:sz="0" w:space="0" w:color="auto"/>
      </w:divBdr>
    </w:div>
    <w:div w:id="2049453870">
      <w:bodyDiv w:val="1"/>
      <w:marLeft w:val="0"/>
      <w:marRight w:val="0"/>
      <w:marTop w:val="0"/>
      <w:marBottom w:val="0"/>
      <w:divBdr>
        <w:top w:val="none" w:sz="0" w:space="0" w:color="auto"/>
        <w:left w:val="none" w:sz="0" w:space="0" w:color="auto"/>
        <w:bottom w:val="none" w:sz="0" w:space="0" w:color="auto"/>
        <w:right w:val="none" w:sz="0" w:space="0" w:color="auto"/>
      </w:divBdr>
    </w:div>
    <w:div w:id="2056737959">
      <w:bodyDiv w:val="1"/>
      <w:marLeft w:val="0"/>
      <w:marRight w:val="0"/>
      <w:marTop w:val="0"/>
      <w:marBottom w:val="0"/>
      <w:divBdr>
        <w:top w:val="none" w:sz="0" w:space="0" w:color="auto"/>
        <w:left w:val="none" w:sz="0" w:space="0" w:color="auto"/>
        <w:bottom w:val="none" w:sz="0" w:space="0" w:color="auto"/>
        <w:right w:val="none" w:sz="0" w:space="0" w:color="auto"/>
      </w:divBdr>
    </w:div>
    <w:div w:id="2057849166">
      <w:bodyDiv w:val="1"/>
      <w:marLeft w:val="0"/>
      <w:marRight w:val="0"/>
      <w:marTop w:val="0"/>
      <w:marBottom w:val="0"/>
      <w:divBdr>
        <w:top w:val="none" w:sz="0" w:space="0" w:color="auto"/>
        <w:left w:val="none" w:sz="0" w:space="0" w:color="auto"/>
        <w:bottom w:val="none" w:sz="0" w:space="0" w:color="auto"/>
        <w:right w:val="none" w:sz="0" w:space="0" w:color="auto"/>
      </w:divBdr>
    </w:div>
    <w:div w:id="2070415478">
      <w:bodyDiv w:val="1"/>
      <w:marLeft w:val="0"/>
      <w:marRight w:val="0"/>
      <w:marTop w:val="0"/>
      <w:marBottom w:val="0"/>
      <w:divBdr>
        <w:top w:val="none" w:sz="0" w:space="0" w:color="auto"/>
        <w:left w:val="none" w:sz="0" w:space="0" w:color="auto"/>
        <w:bottom w:val="none" w:sz="0" w:space="0" w:color="auto"/>
        <w:right w:val="none" w:sz="0" w:space="0" w:color="auto"/>
      </w:divBdr>
    </w:div>
    <w:div w:id="2071071436">
      <w:bodyDiv w:val="1"/>
      <w:marLeft w:val="0"/>
      <w:marRight w:val="0"/>
      <w:marTop w:val="0"/>
      <w:marBottom w:val="0"/>
      <w:divBdr>
        <w:top w:val="none" w:sz="0" w:space="0" w:color="auto"/>
        <w:left w:val="none" w:sz="0" w:space="0" w:color="auto"/>
        <w:bottom w:val="none" w:sz="0" w:space="0" w:color="auto"/>
        <w:right w:val="none" w:sz="0" w:space="0" w:color="auto"/>
      </w:divBdr>
    </w:div>
    <w:div w:id="2081562112">
      <w:bodyDiv w:val="1"/>
      <w:marLeft w:val="0"/>
      <w:marRight w:val="0"/>
      <w:marTop w:val="0"/>
      <w:marBottom w:val="0"/>
      <w:divBdr>
        <w:top w:val="none" w:sz="0" w:space="0" w:color="auto"/>
        <w:left w:val="none" w:sz="0" w:space="0" w:color="auto"/>
        <w:bottom w:val="none" w:sz="0" w:space="0" w:color="auto"/>
        <w:right w:val="none" w:sz="0" w:space="0" w:color="auto"/>
      </w:divBdr>
    </w:div>
    <w:div w:id="2084527115">
      <w:bodyDiv w:val="1"/>
      <w:marLeft w:val="0"/>
      <w:marRight w:val="0"/>
      <w:marTop w:val="0"/>
      <w:marBottom w:val="0"/>
      <w:divBdr>
        <w:top w:val="none" w:sz="0" w:space="0" w:color="auto"/>
        <w:left w:val="none" w:sz="0" w:space="0" w:color="auto"/>
        <w:bottom w:val="none" w:sz="0" w:space="0" w:color="auto"/>
        <w:right w:val="none" w:sz="0" w:space="0" w:color="auto"/>
      </w:divBdr>
    </w:div>
    <w:div w:id="2086761959">
      <w:bodyDiv w:val="1"/>
      <w:marLeft w:val="0"/>
      <w:marRight w:val="0"/>
      <w:marTop w:val="0"/>
      <w:marBottom w:val="0"/>
      <w:divBdr>
        <w:top w:val="none" w:sz="0" w:space="0" w:color="auto"/>
        <w:left w:val="none" w:sz="0" w:space="0" w:color="auto"/>
        <w:bottom w:val="none" w:sz="0" w:space="0" w:color="auto"/>
        <w:right w:val="none" w:sz="0" w:space="0" w:color="auto"/>
      </w:divBdr>
    </w:div>
    <w:div w:id="2091779394">
      <w:bodyDiv w:val="1"/>
      <w:marLeft w:val="0"/>
      <w:marRight w:val="0"/>
      <w:marTop w:val="0"/>
      <w:marBottom w:val="0"/>
      <w:divBdr>
        <w:top w:val="none" w:sz="0" w:space="0" w:color="auto"/>
        <w:left w:val="none" w:sz="0" w:space="0" w:color="auto"/>
        <w:bottom w:val="none" w:sz="0" w:space="0" w:color="auto"/>
        <w:right w:val="none" w:sz="0" w:space="0" w:color="auto"/>
      </w:divBdr>
    </w:div>
    <w:div w:id="2092118780">
      <w:bodyDiv w:val="1"/>
      <w:marLeft w:val="0"/>
      <w:marRight w:val="0"/>
      <w:marTop w:val="0"/>
      <w:marBottom w:val="0"/>
      <w:divBdr>
        <w:top w:val="none" w:sz="0" w:space="0" w:color="auto"/>
        <w:left w:val="none" w:sz="0" w:space="0" w:color="auto"/>
        <w:bottom w:val="none" w:sz="0" w:space="0" w:color="auto"/>
        <w:right w:val="none" w:sz="0" w:space="0" w:color="auto"/>
      </w:divBdr>
    </w:div>
    <w:div w:id="2103410239">
      <w:bodyDiv w:val="1"/>
      <w:marLeft w:val="0"/>
      <w:marRight w:val="0"/>
      <w:marTop w:val="0"/>
      <w:marBottom w:val="0"/>
      <w:divBdr>
        <w:top w:val="none" w:sz="0" w:space="0" w:color="auto"/>
        <w:left w:val="none" w:sz="0" w:space="0" w:color="auto"/>
        <w:bottom w:val="none" w:sz="0" w:space="0" w:color="auto"/>
        <w:right w:val="none" w:sz="0" w:space="0" w:color="auto"/>
      </w:divBdr>
    </w:div>
    <w:div w:id="2104297217">
      <w:bodyDiv w:val="1"/>
      <w:marLeft w:val="0"/>
      <w:marRight w:val="0"/>
      <w:marTop w:val="0"/>
      <w:marBottom w:val="0"/>
      <w:divBdr>
        <w:top w:val="none" w:sz="0" w:space="0" w:color="auto"/>
        <w:left w:val="none" w:sz="0" w:space="0" w:color="auto"/>
        <w:bottom w:val="none" w:sz="0" w:space="0" w:color="auto"/>
        <w:right w:val="none" w:sz="0" w:space="0" w:color="auto"/>
      </w:divBdr>
    </w:div>
    <w:div w:id="2106149225">
      <w:bodyDiv w:val="1"/>
      <w:marLeft w:val="0"/>
      <w:marRight w:val="0"/>
      <w:marTop w:val="0"/>
      <w:marBottom w:val="0"/>
      <w:divBdr>
        <w:top w:val="none" w:sz="0" w:space="0" w:color="auto"/>
        <w:left w:val="none" w:sz="0" w:space="0" w:color="auto"/>
        <w:bottom w:val="none" w:sz="0" w:space="0" w:color="auto"/>
        <w:right w:val="none" w:sz="0" w:space="0" w:color="auto"/>
      </w:divBdr>
    </w:div>
    <w:div w:id="2113238562">
      <w:bodyDiv w:val="1"/>
      <w:marLeft w:val="0"/>
      <w:marRight w:val="0"/>
      <w:marTop w:val="0"/>
      <w:marBottom w:val="0"/>
      <w:divBdr>
        <w:top w:val="none" w:sz="0" w:space="0" w:color="auto"/>
        <w:left w:val="none" w:sz="0" w:space="0" w:color="auto"/>
        <w:bottom w:val="none" w:sz="0" w:space="0" w:color="auto"/>
        <w:right w:val="none" w:sz="0" w:space="0" w:color="auto"/>
      </w:divBdr>
    </w:div>
    <w:div w:id="2120173016">
      <w:bodyDiv w:val="1"/>
      <w:marLeft w:val="0"/>
      <w:marRight w:val="0"/>
      <w:marTop w:val="0"/>
      <w:marBottom w:val="0"/>
      <w:divBdr>
        <w:top w:val="none" w:sz="0" w:space="0" w:color="auto"/>
        <w:left w:val="none" w:sz="0" w:space="0" w:color="auto"/>
        <w:bottom w:val="none" w:sz="0" w:space="0" w:color="auto"/>
        <w:right w:val="none" w:sz="0" w:space="0" w:color="auto"/>
      </w:divBdr>
    </w:div>
    <w:div w:id="2135057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footer" Target="footer1.xml"/><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image" Target="media/image68.jpeg"/><Relationship Id="rId138" Type="http://schemas.openxmlformats.org/officeDocument/2006/relationships/image" Target="media/image120.jpeg"/><Relationship Id="rId159" Type="http://schemas.openxmlformats.org/officeDocument/2006/relationships/image" Target="media/image141.png"/><Relationship Id="rId170" Type="http://schemas.openxmlformats.org/officeDocument/2006/relationships/hyperlink" Target="http://www.xl-byg.dk/produkter/haven/regnvandstoender/regnvandsbeholder/greenit-regnvandstoende-med-laag-sort-210lt-regnvandsbeholder.htm" TargetMode="External"/><Relationship Id="rId107" Type="http://schemas.openxmlformats.org/officeDocument/2006/relationships/image" Target="media/image91.jpeg"/><Relationship Id="rId11" Type="http://schemas.openxmlformats.org/officeDocument/2006/relationships/image" Target="media/image3.jpeg"/><Relationship Id="rId32" Type="http://schemas.openxmlformats.org/officeDocument/2006/relationships/image" Target="media/image17.jpeg"/><Relationship Id="rId53" Type="http://schemas.openxmlformats.org/officeDocument/2006/relationships/image" Target="media/image38.png"/><Relationship Id="rId74" Type="http://schemas.openxmlformats.org/officeDocument/2006/relationships/image" Target="media/image59.png"/><Relationship Id="rId128" Type="http://schemas.openxmlformats.org/officeDocument/2006/relationships/image" Target="media/image110.jpeg"/><Relationship Id="rId149" Type="http://schemas.openxmlformats.org/officeDocument/2006/relationships/image" Target="media/image131.png"/><Relationship Id="rId5" Type="http://schemas.openxmlformats.org/officeDocument/2006/relationships/settings" Target="settings.xml"/><Relationship Id="rId95" Type="http://schemas.openxmlformats.org/officeDocument/2006/relationships/image" Target="media/image79.jpeg"/><Relationship Id="rId160" Type="http://schemas.openxmlformats.org/officeDocument/2006/relationships/image" Target="media/image142.jpeg"/><Relationship Id="rId22" Type="http://schemas.openxmlformats.org/officeDocument/2006/relationships/image" Target="media/image11.png"/><Relationship Id="rId43" Type="http://schemas.openxmlformats.org/officeDocument/2006/relationships/image" Target="media/image28.jpeg"/><Relationship Id="rId64" Type="http://schemas.openxmlformats.org/officeDocument/2006/relationships/image" Target="media/image49.jpeg"/><Relationship Id="rId118" Type="http://schemas.openxmlformats.org/officeDocument/2006/relationships/image" Target="media/image101.jpeg"/><Relationship Id="rId139" Type="http://schemas.openxmlformats.org/officeDocument/2006/relationships/image" Target="media/image121.jpeg"/><Relationship Id="rId85" Type="http://schemas.openxmlformats.org/officeDocument/2006/relationships/image" Target="media/image69.jpeg"/><Relationship Id="rId150" Type="http://schemas.openxmlformats.org/officeDocument/2006/relationships/image" Target="media/image132.png"/><Relationship Id="rId171" Type="http://schemas.openxmlformats.org/officeDocument/2006/relationships/image" Target="media/image150.jpeg"/><Relationship Id="rId12" Type="http://schemas.openxmlformats.org/officeDocument/2006/relationships/image" Target="media/image4.jpeg"/><Relationship Id="rId33" Type="http://schemas.openxmlformats.org/officeDocument/2006/relationships/image" Target="media/image18.jpeg"/><Relationship Id="rId108" Type="http://schemas.openxmlformats.org/officeDocument/2006/relationships/footer" Target="footer2.xml"/><Relationship Id="rId129" Type="http://schemas.openxmlformats.org/officeDocument/2006/relationships/image" Target="media/image111.jpeg"/><Relationship Id="rId54" Type="http://schemas.openxmlformats.org/officeDocument/2006/relationships/image" Target="media/image39.jpeg"/><Relationship Id="rId75" Type="http://schemas.openxmlformats.org/officeDocument/2006/relationships/image" Target="media/image60.jpeg"/><Relationship Id="rId96" Type="http://schemas.openxmlformats.org/officeDocument/2006/relationships/image" Target="media/image80.jpeg"/><Relationship Id="rId140" Type="http://schemas.openxmlformats.org/officeDocument/2006/relationships/image" Target="media/image122.jpeg"/><Relationship Id="rId161" Type="http://schemas.openxmlformats.org/officeDocument/2006/relationships/image" Target="media/image143.jpeg"/><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4.png"/><Relationship Id="rId49" Type="http://schemas.openxmlformats.org/officeDocument/2006/relationships/image" Target="media/image34.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png"/><Relationship Id="rId156" Type="http://schemas.openxmlformats.org/officeDocument/2006/relationships/image" Target="media/image138.png"/><Relationship Id="rId177" Type="http://schemas.openxmlformats.org/officeDocument/2006/relationships/theme" Target="theme/theme1.xml"/><Relationship Id="rId172" Type="http://schemas.openxmlformats.org/officeDocument/2006/relationships/hyperlink" Target="https://vi.wikipedia.org/w/index.php?title=Mi%E1%BA%BFu_v%C3%A0_%C4%91%C3%ACnh_Cao_%C4%90%C3%A0i&amp;action=edit&amp;redlink=1" TargetMode="External"/><Relationship Id="rId13" Type="http://schemas.openxmlformats.org/officeDocument/2006/relationships/image" Target="media/image5.jpeg"/><Relationship Id="rId18" Type="http://schemas.openxmlformats.org/officeDocument/2006/relationships/image" Target="http://upload.wikimedia.org/wikipedia/commons/thumb/4/4c/Citadel_of_Nam_Dinh.jpg/180px-Citadel_of_Nam_Dinh.jpg" TargetMode="External"/><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hyperlink" Target="http://vi.wikipedia.org/wiki/%C4%90%C3%A0_N%E1%BA%B5ng" TargetMode="External"/><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jpeg"/><Relationship Id="rId146" Type="http://schemas.openxmlformats.org/officeDocument/2006/relationships/image" Target="media/image128.png"/><Relationship Id="rId167" Type="http://schemas.openxmlformats.org/officeDocument/2006/relationships/image" Target="media/image148.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6.jpeg"/><Relationship Id="rId162" Type="http://schemas.openxmlformats.org/officeDocument/2006/relationships/image" Target="media/image1430.jpeg"/><Relationship Id="rId2" Type="http://schemas.openxmlformats.org/officeDocument/2006/relationships/numbering" Target="numbering.xml"/><Relationship Id="rId29" Type="http://schemas.openxmlformats.org/officeDocument/2006/relationships/hyperlink" Target="http://vi.wikipedia.org/wiki/Nam_%C4%90%E1%BB%8Bnh" TargetMode="External"/><Relationship Id="rId24" Type="http://schemas.openxmlformats.org/officeDocument/2006/relationships/image" Target="media/image13.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1.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3.jpeg"/><Relationship Id="rId136" Type="http://schemas.openxmlformats.org/officeDocument/2006/relationships/image" Target="media/image118.png"/><Relationship Id="rId157" Type="http://schemas.openxmlformats.org/officeDocument/2006/relationships/image" Target="media/image139.png"/><Relationship Id="rId61" Type="http://schemas.openxmlformats.org/officeDocument/2006/relationships/image" Target="media/image46.jpeg"/><Relationship Id="rId82" Type="http://schemas.openxmlformats.org/officeDocument/2006/relationships/image" Target="media/image66.jpeg"/><Relationship Id="rId152" Type="http://schemas.openxmlformats.org/officeDocument/2006/relationships/image" Target="media/image134.png"/><Relationship Id="rId173" Type="http://schemas.openxmlformats.org/officeDocument/2006/relationships/hyperlink" Target="https://vi.wikipedia.org/wiki/M%E1%BB%B9_Th%C3%A0nh,_M%E1%BB%B9_L%E1%BB%99c" TargetMode="External"/><Relationship Id="rId19" Type="http://schemas.openxmlformats.org/officeDocument/2006/relationships/image" Target="media/image9.jpeg"/><Relationship Id="rId14" Type="http://schemas.openxmlformats.org/officeDocument/2006/relationships/image" Target="media/image6.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09.jpeg"/><Relationship Id="rId147" Type="http://schemas.openxmlformats.org/officeDocument/2006/relationships/image" Target="media/image129.png"/><Relationship Id="rId168" Type="http://schemas.openxmlformats.org/officeDocument/2006/relationships/hyperlink" Target="http://www.klimakvarter.dk/wp-content/2014/10/&#216;stergro2.jpg"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4.jpeg"/><Relationship Id="rId142" Type="http://schemas.openxmlformats.org/officeDocument/2006/relationships/image" Target="media/image124.jpeg"/><Relationship Id="rId163" Type="http://schemas.openxmlformats.org/officeDocument/2006/relationships/image" Target="media/image144.jpeg"/><Relationship Id="rId3" Type="http://schemas.openxmlformats.org/officeDocument/2006/relationships/styles" Target="styles.xml"/><Relationship Id="rId25" Type="http://schemas.openxmlformats.org/officeDocument/2006/relationships/hyperlink" Target="http://pci2019.pcivietnam.vn/" TargetMode="External"/><Relationship Id="rId46" Type="http://schemas.openxmlformats.org/officeDocument/2006/relationships/image" Target="media/image31.png"/><Relationship Id="rId67" Type="http://schemas.openxmlformats.org/officeDocument/2006/relationships/image" Target="media/image52.jpeg"/><Relationship Id="rId116" Type="http://schemas.openxmlformats.org/officeDocument/2006/relationships/image" Target="media/image99.jpe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10.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4.jpeg"/><Relationship Id="rId153" Type="http://schemas.openxmlformats.org/officeDocument/2006/relationships/image" Target="media/image135.png"/><Relationship Id="rId174" Type="http://schemas.openxmlformats.org/officeDocument/2006/relationships/hyperlink" Target="https://vi.wikipedia.org/w/index.php?title=%C4%90%C3%ACnh_S%C3%B9ng_V%C4%83n&amp;action=edit&amp;redlink=1" TargetMode="External"/><Relationship Id="rId15" Type="http://schemas.openxmlformats.org/officeDocument/2006/relationships/image" Target="media/image7.jpeg"/><Relationship Id="rId36" Type="http://schemas.openxmlformats.org/officeDocument/2006/relationships/image" Target="media/image21.jpeg"/><Relationship Id="rId57" Type="http://schemas.openxmlformats.org/officeDocument/2006/relationships/image" Target="media/image42.png"/><Relationship Id="rId106" Type="http://schemas.openxmlformats.org/officeDocument/2006/relationships/image" Target="media/image90.jpeg"/><Relationship Id="rId127" Type="http://schemas.openxmlformats.org/officeDocument/2006/relationships/image" Target="media/image1090.jpeg"/><Relationship Id="rId10" Type="http://schemas.openxmlformats.org/officeDocument/2006/relationships/image" Target="media/image2.jpeg"/><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5.jpeg"/><Relationship Id="rId143" Type="http://schemas.openxmlformats.org/officeDocument/2006/relationships/image" Target="media/image125.jpeg"/><Relationship Id="rId148" Type="http://schemas.openxmlformats.org/officeDocument/2006/relationships/image" Target="media/image130.png"/><Relationship Id="rId164" Type="http://schemas.openxmlformats.org/officeDocument/2006/relationships/image" Target="media/image145.jpeg"/><Relationship Id="rId169" Type="http://schemas.openxmlformats.org/officeDocument/2006/relationships/image" Target="media/image149.jpe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hyperlink" Target="https://pcivietnam.vn/" TargetMode="External"/><Relationship Id="rId47" Type="http://schemas.openxmlformats.org/officeDocument/2006/relationships/image" Target="media/image32.png"/><Relationship Id="rId68" Type="http://schemas.openxmlformats.org/officeDocument/2006/relationships/image" Target="media/image53.jpeg"/><Relationship Id="rId89" Type="http://schemas.openxmlformats.org/officeDocument/2006/relationships/image" Target="media/image73.jpeg"/><Relationship Id="rId112" Type="http://schemas.openxmlformats.org/officeDocument/2006/relationships/image" Target="media/image95.jpe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hyperlink" Target="https://vi.wikipedia.org/wiki/M%E1%BB%B9_Thu%E1%BA%ADn,_M%E1%BB%B9_L%E1%BB%99c" TargetMode="External"/><Relationship Id="rId16" Type="http://schemas.openxmlformats.org/officeDocument/2006/relationships/hyperlink" Target="http://vi.wikipedia.org/wiki/T%E1%BA%ADp_tin:Citadel_of_Nam_Dinh.jpg" TargetMode="External"/><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6.jpeg"/><Relationship Id="rId144" Type="http://schemas.openxmlformats.org/officeDocument/2006/relationships/image" Target="media/image126.emf"/><Relationship Id="rId90" Type="http://schemas.openxmlformats.org/officeDocument/2006/relationships/image" Target="media/image74.png"/><Relationship Id="rId165" Type="http://schemas.openxmlformats.org/officeDocument/2006/relationships/image" Target="media/image146.jpeg"/><Relationship Id="rId27" Type="http://schemas.openxmlformats.org/officeDocument/2006/relationships/chart" Target="charts/chart1.xml"/><Relationship Id="rId48" Type="http://schemas.openxmlformats.org/officeDocument/2006/relationships/image" Target="media/image33.png"/><Relationship Id="rId69" Type="http://schemas.openxmlformats.org/officeDocument/2006/relationships/image" Target="media/image54.jpeg"/><Relationship Id="rId113" Type="http://schemas.openxmlformats.org/officeDocument/2006/relationships/image" Target="media/image96.jpeg"/><Relationship Id="rId134" Type="http://schemas.openxmlformats.org/officeDocument/2006/relationships/image" Target="media/image116.jpeg"/><Relationship Id="rId80" Type="http://schemas.openxmlformats.org/officeDocument/2006/relationships/image" Target="media/image64.jpeg"/><Relationship Id="rId155" Type="http://schemas.openxmlformats.org/officeDocument/2006/relationships/image" Target="media/image137.png"/><Relationship Id="rId176" Type="http://schemas.openxmlformats.org/officeDocument/2006/relationships/fontTable" Target="fontTable.xml"/><Relationship Id="rId17" Type="http://schemas.openxmlformats.org/officeDocument/2006/relationships/image" Target="media/image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7.jpeg"/><Relationship Id="rId124" Type="http://schemas.openxmlformats.org/officeDocument/2006/relationships/image" Target="media/image107.jpeg"/><Relationship Id="rId70" Type="http://schemas.openxmlformats.org/officeDocument/2006/relationships/image" Target="media/image55.jpeg"/><Relationship Id="rId91" Type="http://schemas.openxmlformats.org/officeDocument/2006/relationships/image" Target="media/image75.jpeg"/><Relationship Id="rId145" Type="http://schemas.openxmlformats.org/officeDocument/2006/relationships/image" Target="media/image127.jpeg"/><Relationship Id="rId166" Type="http://schemas.openxmlformats.org/officeDocument/2006/relationships/image" Target="media/image147.jpe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1" Type="http://schemas.openxmlformats.org/officeDocument/2006/relationships/oleObject" Target="file:///F:\QH%202019\QHC%20Nam&#272;&#7883;nh\GDP%20Namdinh.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44685039370091"/>
          <c:y val="0.15695610965296108"/>
          <c:w val="0.86455314960629859"/>
          <c:h val="0.63871719160104989"/>
        </c:manualLayout>
      </c:layout>
      <c:lineChart>
        <c:grouping val="stacked"/>
        <c:varyColors val="0"/>
        <c:ser>
          <c:idx val="0"/>
          <c:order val="0"/>
          <c:tx>
            <c:strRef>
              <c:f>Sheet2!$N$4</c:f>
              <c:strCache>
                <c:ptCount val="1"/>
                <c:pt idx="0">
                  <c:v>N-L-TS</c:v>
                </c:pt>
              </c:strCache>
            </c:strRef>
          </c:tx>
          <c:cat>
            <c:numRef>
              <c:f>Sheet2!$O$3:$W$3</c:f>
              <c:numCache>
                <c:formatCode>0</c:formatCode>
                <c:ptCount val="9"/>
                <c:pt idx="0">
                  <c:v>2010</c:v>
                </c:pt>
                <c:pt idx="1">
                  <c:v>2011</c:v>
                </c:pt>
                <c:pt idx="2">
                  <c:v>2012</c:v>
                </c:pt>
                <c:pt idx="3">
                  <c:v>2013</c:v>
                </c:pt>
                <c:pt idx="4">
                  <c:v>2014</c:v>
                </c:pt>
                <c:pt idx="5">
                  <c:v>2015</c:v>
                </c:pt>
                <c:pt idx="6">
                  <c:v>2016</c:v>
                </c:pt>
                <c:pt idx="7">
                  <c:v>2017</c:v>
                </c:pt>
                <c:pt idx="8">
                  <c:v>2018</c:v>
                </c:pt>
              </c:numCache>
            </c:numRef>
          </c:cat>
          <c:val>
            <c:numRef>
              <c:f>Sheet2!$O$4:$W$4</c:f>
              <c:numCache>
                <c:formatCode>##.#00</c:formatCode>
                <c:ptCount val="9"/>
                <c:pt idx="0">
                  <c:v>248.47900000000001</c:v>
                </c:pt>
                <c:pt idx="1">
                  <c:v>327.76400000000001</c:v>
                </c:pt>
                <c:pt idx="2">
                  <c:v>321.35300000000001</c:v>
                </c:pt>
                <c:pt idx="3">
                  <c:v>320.26400000000001</c:v>
                </c:pt>
                <c:pt idx="4">
                  <c:v>334.00200000000001</c:v>
                </c:pt>
                <c:pt idx="5">
                  <c:v>342.375</c:v>
                </c:pt>
                <c:pt idx="6">
                  <c:v>333.63200000000001</c:v>
                </c:pt>
                <c:pt idx="7">
                  <c:v>271.91000000000003</c:v>
                </c:pt>
                <c:pt idx="8">
                  <c:v>271.23299999999887</c:v>
                </c:pt>
              </c:numCache>
            </c:numRef>
          </c:val>
          <c:smooth val="0"/>
          <c:extLst xmlns:c16r2="http://schemas.microsoft.com/office/drawing/2015/06/chart">
            <c:ext xmlns:c16="http://schemas.microsoft.com/office/drawing/2014/chart" uri="{C3380CC4-5D6E-409C-BE32-E72D297353CC}">
              <c16:uniqueId val="{00000000-F1F9-4B5E-8C22-F130BB557913}"/>
            </c:ext>
          </c:extLst>
        </c:ser>
        <c:ser>
          <c:idx val="1"/>
          <c:order val="1"/>
          <c:tx>
            <c:strRef>
              <c:f>Sheet2!$N$5</c:f>
              <c:strCache>
                <c:ptCount val="1"/>
                <c:pt idx="0">
                  <c:v>CN-XD</c:v>
                </c:pt>
              </c:strCache>
            </c:strRef>
          </c:tx>
          <c:cat>
            <c:numRef>
              <c:f>Sheet2!$O$3:$W$3</c:f>
              <c:numCache>
                <c:formatCode>0</c:formatCode>
                <c:ptCount val="9"/>
                <c:pt idx="0">
                  <c:v>2010</c:v>
                </c:pt>
                <c:pt idx="1">
                  <c:v>2011</c:v>
                </c:pt>
                <c:pt idx="2">
                  <c:v>2012</c:v>
                </c:pt>
                <c:pt idx="3">
                  <c:v>2013</c:v>
                </c:pt>
                <c:pt idx="4">
                  <c:v>2014</c:v>
                </c:pt>
                <c:pt idx="5">
                  <c:v>2015</c:v>
                </c:pt>
                <c:pt idx="6">
                  <c:v>2016</c:v>
                </c:pt>
                <c:pt idx="7">
                  <c:v>2017</c:v>
                </c:pt>
                <c:pt idx="8">
                  <c:v>2018</c:v>
                </c:pt>
              </c:numCache>
            </c:numRef>
          </c:cat>
          <c:val>
            <c:numRef>
              <c:f>Sheet2!$O$5:$W$5</c:f>
              <c:numCache>
                <c:formatCode>##.#00</c:formatCode>
                <c:ptCount val="9"/>
                <c:pt idx="0">
                  <c:v>16566.067999999999</c:v>
                </c:pt>
                <c:pt idx="1">
                  <c:v>20350.561000000005</c:v>
                </c:pt>
                <c:pt idx="2">
                  <c:v>22570.621999999996</c:v>
                </c:pt>
                <c:pt idx="3">
                  <c:v>25321.017</c:v>
                </c:pt>
                <c:pt idx="4">
                  <c:v>29365.607</c:v>
                </c:pt>
                <c:pt idx="5">
                  <c:v>30315.817999999996</c:v>
                </c:pt>
                <c:pt idx="6">
                  <c:v>32265.482000000025</c:v>
                </c:pt>
                <c:pt idx="7">
                  <c:v>36342.293999999994</c:v>
                </c:pt>
                <c:pt idx="8">
                  <c:v>42202.59</c:v>
                </c:pt>
              </c:numCache>
            </c:numRef>
          </c:val>
          <c:smooth val="0"/>
          <c:extLst xmlns:c16r2="http://schemas.microsoft.com/office/drawing/2015/06/chart">
            <c:ext xmlns:c16="http://schemas.microsoft.com/office/drawing/2014/chart" uri="{C3380CC4-5D6E-409C-BE32-E72D297353CC}">
              <c16:uniqueId val="{00000001-F1F9-4B5E-8C22-F130BB557913}"/>
            </c:ext>
          </c:extLst>
        </c:ser>
        <c:ser>
          <c:idx val="2"/>
          <c:order val="2"/>
          <c:tx>
            <c:strRef>
              <c:f>Sheet2!$N$6</c:f>
              <c:strCache>
                <c:ptCount val="1"/>
                <c:pt idx="0">
                  <c:v>TM-DV</c:v>
                </c:pt>
              </c:strCache>
            </c:strRef>
          </c:tx>
          <c:cat>
            <c:numRef>
              <c:f>Sheet2!$O$3:$W$3</c:f>
              <c:numCache>
                <c:formatCode>0</c:formatCode>
                <c:ptCount val="9"/>
                <c:pt idx="0">
                  <c:v>2010</c:v>
                </c:pt>
                <c:pt idx="1">
                  <c:v>2011</c:v>
                </c:pt>
                <c:pt idx="2">
                  <c:v>2012</c:v>
                </c:pt>
                <c:pt idx="3">
                  <c:v>2013</c:v>
                </c:pt>
                <c:pt idx="4">
                  <c:v>2014</c:v>
                </c:pt>
                <c:pt idx="5">
                  <c:v>2015</c:v>
                </c:pt>
                <c:pt idx="6">
                  <c:v>2016</c:v>
                </c:pt>
                <c:pt idx="7">
                  <c:v>2017</c:v>
                </c:pt>
                <c:pt idx="8">
                  <c:v>2018</c:v>
                </c:pt>
              </c:numCache>
            </c:numRef>
          </c:cat>
          <c:val>
            <c:numRef>
              <c:f>Sheet2!$O$6:$W$6</c:f>
              <c:numCache>
                <c:formatCode>##.#00</c:formatCode>
                <c:ptCount val="9"/>
                <c:pt idx="0">
                  <c:v>5523.2910000000002</c:v>
                </c:pt>
                <c:pt idx="1">
                  <c:v>6715.4450000000006</c:v>
                </c:pt>
                <c:pt idx="2">
                  <c:v>7703.8210000000054</c:v>
                </c:pt>
                <c:pt idx="3">
                  <c:v>7973.1650000000054</c:v>
                </c:pt>
                <c:pt idx="4">
                  <c:v>8865.3240000000005</c:v>
                </c:pt>
                <c:pt idx="5">
                  <c:v>9516.086999999945</c:v>
                </c:pt>
                <c:pt idx="6">
                  <c:v>10462.735000000002</c:v>
                </c:pt>
                <c:pt idx="7">
                  <c:v>11366.483</c:v>
                </c:pt>
                <c:pt idx="8">
                  <c:v>12025.624000000014</c:v>
                </c:pt>
              </c:numCache>
            </c:numRef>
          </c:val>
          <c:smooth val="0"/>
          <c:extLst xmlns:c16r2="http://schemas.microsoft.com/office/drawing/2015/06/chart">
            <c:ext xmlns:c16="http://schemas.microsoft.com/office/drawing/2014/chart" uri="{C3380CC4-5D6E-409C-BE32-E72D297353CC}">
              <c16:uniqueId val="{00000002-F1F9-4B5E-8C22-F130BB557913}"/>
            </c:ext>
          </c:extLst>
        </c:ser>
        <c:dLbls>
          <c:showLegendKey val="0"/>
          <c:showVal val="0"/>
          <c:showCatName val="0"/>
          <c:showSerName val="0"/>
          <c:showPercent val="0"/>
          <c:showBubbleSize val="0"/>
        </c:dLbls>
        <c:marker val="1"/>
        <c:smooth val="0"/>
        <c:axId val="267592192"/>
        <c:axId val="341234176"/>
      </c:lineChart>
      <c:catAx>
        <c:axId val="267592192"/>
        <c:scaling>
          <c:orientation val="minMax"/>
        </c:scaling>
        <c:delete val="0"/>
        <c:axPos val="b"/>
        <c:numFmt formatCode="0" sourceLinked="1"/>
        <c:majorTickMark val="none"/>
        <c:minorTickMark val="none"/>
        <c:tickLblPos val="nextTo"/>
        <c:crossAx val="341234176"/>
        <c:crosses val="autoZero"/>
        <c:auto val="1"/>
        <c:lblAlgn val="ctr"/>
        <c:lblOffset val="100"/>
        <c:noMultiLvlLbl val="0"/>
      </c:catAx>
      <c:valAx>
        <c:axId val="341234176"/>
        <c:scaling>
          <c:orientation val="minMax"/>
        </c:scaling>
        <c:delete val="0"/>
        <c:axPos val="l"/>
        <c:majorGridlines/>
        <c:numFmt formatCode="##.#00" sourceLinked="1"/>
        <c:majorTickMark val="none"/>
        <c:minorTickMark val="none"/>
        <c:tickLblPos val="nextTo"/>
        <c:spPr>
          <a:ln w="9525">
            <a:noFill/>
          </a:ln>
        </c:spPr>
        <c:crossAx val="267592192"/>
        <c:crosses val="autoZero"/>
        <c:crossBetween val="between"/>
      </c:valAx>
    </c:plotArea>
    <c:legend>
      <c:legendPos val="b"/>
      <c:layout>
        <c:manualLayout>
          <c:xMode val="edge"/>
          <c:yMode val="edge"/>
          <c:x val="0.1315356517935258"/>
          <c:y val="3.5730179127390051E-2"/>
          <c:w val="0.84973068583818401"/>
          <c:h val="9.9016658639947533E-2"/>
        </c:manualLayout>
      </c:layout>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424A14-D588-4BC2-9A00-1E22743DC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228</Pages>
  <Words>75669</Words>
  <Characters>431319</Characters>
  <Application>Microsoft Office Word</Application>
  <DocSecurity>0</DocSecurity>
  <Lines>3594</Lines>
  <Paragraphs>1011</Paragraphs>
  <ScaleCrop>false</ScaleCrop>
  <HeadingPairs>
    <vt:vector size="2" baseType="variant">
      <vt:variant>
        <vt:lpstr>Title</vt:lpstr>
      </vt:variant>
      <vt:variant>
        <vt:i4>1</vt:i4>
      </vt:variant>
    </vt:vector>
  </HeadingPairs>
  <TitlesOfParts>
    <vt:vector size="1" baseType="lpstr">
      <vt:lpstr>NAM DINH</vt:lpstr>
    </vt:vector>
  </TitlesOfParts>
  <Company>Grizli777</Company>
  <LinksUpToDate>false</LinksUpToDate>
  <CharactersWithSpaces>505977</CharactersWithSpaces>
  <SharedDoc>false</SharedDoc>
  <HLinks>
    <vt:vector size="702" baseType="variant">
      <vt:variant>
        <vt:i4>1966128</vt:i4>
      </vt:variant>
      <vt:variant>
        <vt:i4>678</vt:i4>
      </vt:variant>
      <vt:variant>
        <vt:i4>0</vt:i4>
      </vt:variant>
      <vt:variant>
        <vt:i4>5</vt:i4>
      </vt:variant>
      <vt:variant>
        <vt:lpwstr/>
      </vt:variant>
      <vt:variant>
        <vt:lpwstr>_Toc143759738</vt:lpwstr>
      </vt:variant>
      <vt:variant>
        <vt:i4>1966128</vt:i4>
      </vt:variant>
      <vt:variant>
        <vt:i4>675</vt:i4>
      </vt:variant>
      <vt:variant>
        <vt:i4>0</vt:i4>
      </vt:variant>
      <vt:variant>
        <vt:i4>5</vt:i4>
      </vt:variant>
      <vt:variant>
        <vt:lpwstr/>
      </vt:variant>
      <vt:variant>
        <vt:lpwstr>_Toc143759737</vt:lpwstr>
      </vt:variant>
      <vt:variant>
        <vt:i4>2031671</vt:i4>
      </vt:variant>
      <vt:variant>
        <vt:i4>669</vt:i4>
      </vt:variant>
      <vt:variant>
        <vt:i4>0</vt:i4>
      </vt:variant>
      <vt:variant>
        <vt:i4>5</vt:i4>
      </vt:variant>
      <vt:variant>
        <vt:lpwstr/>
      </vt:variant>
      <vt:variant>
        <vt:lpwstr>_Toc272245385</vt:lpwstr>
      </vt:variant>
      <vt:variant>
        <vt:i4>2031671</vt:i4>
      </vt:variant>
      <vt:variant>
        <vt:i4>666</vt:i4>
      </vt:variant>
      <vt:variant>
        <vt:i4>0</vt:i4>
      </vt:variant>
      <vt:variant>
        <vt:i4>5</vt:i4>
      </vt:variant>
      <vt:variant>
        <vt:lpwstr/>
      </vt:variant>
      <vt:variant>
        <vt:lpwstr>_Toc272245384</vt:lpwstr>
      </vt:variant>
      <vt:variant>
        <vt:i4>2031671</vt:i4>
      </vt:variant>
      <vt:variant>
        <vt:i4>663</vt:i4>
      </vt:variant>
      <vt:variant>
        <vt:i4>0</vt:i4>
      </vt:variant>
      <vt:variant>
        <vt:i4>5</vt:i4>
      </vt:variant>
      <vt:variant>
        <vt:lpwstr/>
      </vt:variant>
      <vt:variant>
        <vt:lpwstr>_Toc272245382</vt:lpwstr>
      </vt:variant>
      <vt:variant>
        <vt:i4>2031671</vt:i4>
      </vt:variant>
      <vt:variant>
        <vt:i4>660</vt:i4>
      </vt:variant>
      <vt:variant>
        <vt:i4>0</vt:i4>
      </vt:variant>
      <vt:variant>
        <vt:i4>5</vt:i4>
      </vt:variant>
      <vt:variant>
        <vt:lpwstr/>
      </vt:variant>
      <vt:variant>
        <vt:lpwstr>_Toc272245381</vt:lpwstr>
      </vt:variant>
      <vt:variant>
        <vt:i4>2031671</vt:i4>
      </vt:variant>
      <vt:variant>
        <vt:i4>657</vt:i4>
      </vt:variant>
      <vt:variant>
        <vt:i4>0</vt:i4>
      </vt:variant>
      <vt:variant>
        <vt:i4>5</vt:i4>
      </vt:variant>
      <vt:variant>
        <vt:lpwstr/>
      </vt:variant>
      <vt:variant>
        <vt:lpwstr>_Toc272245380</vt:lpwstr>
      </vt:variant>
      <vt:variant>
        <vt:i4>1048631</vt:i4>
      </vt:variant>
      <vt:variant>
        <vt:i4>654</vt:i4>
      </vt:variant>
      <vt:variant>
        <vt:i4>0</vt:i4>
      </vt:variant>
      <vt:variant>
        <vt:i4>5</vt:i4>
      </vt:variant>
      <vt:variant>
        <vt:lpwstr/>
      </vt:variant>
      <vt:variant>
        <vt:lpwstr>_Toc272245378</vt:lpwstr>
      </vt:variant>
      <vt:variant>
        <vt:i4>1048631</vt:i4>
      </vt:variant>
      <vt:variant>
        <vt:i4>651</vt:i4>
      </vt:variant>
      <vt:variant>
        <vt:i4>0</vt:i4>
      </vt:variant>
      <vt:variant>
        <vt:i4>5</vt:i4>
      </vt:variant>
      <vt:variant>
        <vt:lpwstr/>
      </vt:variant>
      <vt:variant>
        <vt:lpwstr>_Toc272245377</vt:lpwstr>
      </vt:variant>
      <vt:variant>
        <vt:i4>6619247</vt:i4>
      </vt:variant>
      <vt:variant>
        <vt:i4>645</vt:i4>
      </vt:variant>
      <vt:variant>
        <vt:i4>0</vt:i4>
      </vt:variant>
      <vt:variant>
        <vt:i4>5</vt:i4>
      </vt:variant>
      <vt:variant>
        <vt:lpwstr>http://vi.wikipedia.org/wiki/T%E1%BA%ADp_tin:B%E1%BA%AFc_Giang_Viet_Yen3.jpg</vt:lpwstr>
      </vt:variant>
      <vt:variant>
        <vt:lpwstr/>
      </vt:variant>
      <vt:variant>
        <vt:i4>2031664</vt:i4>
      </vt:variant>
      <vt:variant>
        <vt:i4>638</vt:i4>
      </vt:variant>
      <vt:variant>
        <vt:i4>0</vt:i4>
      </vt:variant>
      <vt:variant>
        <vt:i4>5</vt:i4>
      </vt:variant>
      <vt:variant>
        <vt:lpwstr/>
      </vt:variant>
      <vt:variant>
        <vt:lpwstr>_Toc366335682</vt:lpwstr>
      </vt:variant>
      <vt:variant>
        <vt:i4>2031664</vt:i4>
      </vt:variant>
      <vt:variant>
        <vt:i4>632</vt:i4>
      </vt:variant>
      <vt:variant>
        <vt:i4>0</vt:i4>
      </vt:variant>
      <vt:variant>
        <vt:i4>5</vt:i4>
      </vt:variant>
      <vt:variant>
        <vt:lpwstr/>
      </vt:variant>
      <vt:variant>
        <vt:lpwstr>_Toc366335681</vt:lpwstr>
      </vt:variant>
      <vt:variant>
        <vt:i4>2031664</vt:i4>
      </vt:variant>
      <vt:variant>
        <vt:i4>626</vt:i4>
      </vt:variant>
      <vt:variant>
        <vt:i4>0</vt:i4>
      </vt:variant>
      <vt:variant>
        <vt:i4>5</vt:i4>
      </vt:variant>
      <vt:variant>
        <vt:lpwstr/>
      </vt:variant>
      <vt:variant>
        <vt:lpwstr>_Toc366335680</vt:lpwstr>
      </vt:variant>
      <vt:variant>
        <vt:i4>1048624</vt:i4>
      </vt:variant>
      <vt:variant>
        <vt:i4>620</vt:i4>
      </vt:variant>
      <vt:variant>
        <vt:i4>0</vt:i4>
      </vt:variant>
      <vt:variant>
        <vt:i4>5</vt:i4>
      </vt:variant>
      <vt:variant>
        <vt:lpwstr/>
      </vt:variant>
      <vt:variant>
        <vt:lpwstr>_Toc366335679</vt:lpwstr>
      </vt:variant>
      <vt:variant>
        <vt:i4>1048624</vt:i4>
      </vt:variant>
      <vt:variant>
        <vt:i4>614</vt:i4>
      </vt:variant>
      <vt:variant>
        <vt:i4>0</vt:i4>
      </vt:variant>
      <vt:variant>
        <vt:i4>5</vt:i4>
      </vt:variant>
      <vt:variant>
        <vt:lpwstr/>
      </vt:variant>
      <vt:variant>
        <vt:lpwstr>_Toc366335678</vt:lpwstr>
      </vt:variant>
      <vt:variant>
        <vt:i4>1048624</vt:i4>
      </vt:variant>
      <vt:variant>
        <vt:i4>608</vt:i4>
      </vt:variant>
      <vt:variant>
        <vt:i4>0</vt:i4>
      </vt:variant>
      <vt:variant>
        <vt:i4>5</vt:i4>
      </vt:variant>
      <vt:variant>
        <vt:lpwstr/>
      </vt:variant>
      <vt:variant>
        <vt:lpwstr>_Toc366335677</vt:lpwstr>
      </vt:variant>
      <vt:variant>
        <vt:i4>1048624</vt:i4>
      </vt:variant>
      <vt:variant>
        <vt:i4>602</vt:i4>
      </vt:variant>
      <vt:variant>
        <vt:i4>0</vt:i4>
      </vt:variant>
      <vt:variant>
        <vt:i4>5</vt:i4>
      </vt:variant>
      <vt:variant>
        <vt:lpwstr/>
      </vt:variant>
      <vt:variant>
        <vt:lpwstr>_Toc366335676</vt:lpwstr>
      </vt:variant>
      <vt:variant>
        <vt:i4>1048624</vt:i4>
      </vt:variant>
      <vt:variant>
        <vt:i4>596</vt:i4>
      </vt:variant>
      <vt:variant>
        <vt:i4>0</vt:i4>
      </vt:variant>
      <vt:variant>
        <vt:i4>5</vt:i4>
      </vt:variant>
      <vt:variant>
        <vt:lpwstr/>
      </vt:variant>
      <vt:variant>
        <vt:lpwstr>_Toc366335675</vt:lpwstr>
      </vt:variant>
      <vt:variant>
        <vt:i4>1048624</vt:i4>
      </vt:variant>
      <vt:variant>
        <vt:i4>590</vt:i4>
      </vt:variant>
      <vt:variant>
        <vt:i4>0</vt:i4>
      </vt:variant>
      <vt:variant>
        <vt:i4>5</vt:i4>
      </vt:variant>
      <vt:variant>
        <vt:lpwstr/>
      </vt:variant>
      <vt:variant>
        <vt:lpwstr>_Toc366335674</vt:lpwstr>
      </vt:variant>
      <vt:variant>
        <vt:i4>1048624</vt:i4>
      </vt:variant>
      <vt:variant>
        <vt:i4>584</vt:i4>
      </vt:variant>
      <vt:variant>
        <vt:i4>0</vt:i4>
      </vt:variant>
      <vt:variant>
        <vt:i4>5</vt:i4>
      </vt:variant>
      <vt:variant>
        <vt:lpwstr/>
      </vt:variant>
      <vt:variant>
        <vt:lpwstr>_Toc366335673</vt:lpwstr>
      </vt:variant>
      <vt:variant>
        <vt:i4>1048624</vt:i4>
      </vt:variant>
      <vt:variant>
        <vt:i4>578</vt:i4>
      </vt:variant>
      <vt:variant>
        <vt:i4>0</vt:i4>
      </vt:variant>
      <vt:variant>
        <vt:i4>5</vt:i4>
      </vt:variant>
      <vt:variant>
        <vt:lpwstr/>
      </vt:variant>
      <vt:variant>
        <vt:lpwstr>_Toc366335672</vt:lpwstr>
      </vt:variant>
      <vt:variant>
        <vt:i4>1048624</vt:i4>
      </vt:variant>
      <vt:variant>
        <vt:i4>572</vt:i4>
      </vt:variant>
      <vt:variant>
        <vt:i4>0</vt:i4>
      </vt:variant>
      <vt:variant>
        <vt:i4>5</vt:i4>
      </vt:variant>
      <vt:variant>
        <vt:lpwstr/>
      </vt:variant>
      <vt:variant>
        <vt:lpwstr>_Toc366335671</vt:lpwstr>
      </vt:variant>
      <vt:variant>
        <vt:i4>1048624</vt:i4>
      </vt:variant>
      <vt:variant>
        <vt:i4>566</vt:i4>
      </vt:variant>
      <vt:variant>
        <vt:i4>0</vt:i4>
      </vt:variant>
      <vt:variant>
        <vt:i4>5</vt:i4>
      </vt:variant>
      <vt:variant>
        <vt:lpwstr/>
      </vt:variant>
      <vt:variant>
        <vt:lpwstr>_Toc366335670</vt:lpwstr>
      </vt:variant>
      <vt:variant>
        <vt:i4>1114160</vt:i4>
      </vt:variant>
      <vt:variant>
        <vt:i4>560</vt:i4>
      </vt:variant>
      <vt:variant>
        <vt:i4>0</vt:i4>
      </vt:variant>
      <vt:variant>
        <vt:i4>5</vt:i4>
      </vt:variant>
      <vt:variant>
        <vt:lpwstr/>
      </vt:variant>
      <vt:variant>
        <vt:lpwstr>_Toc366335668</vt:lpwstr>
      </vt:variant>
      <vt:variant>
        <vt:i4>1114160</vt:i4>
      </vt:variant>
      <vt:variant>
        <vt:i4>554</vt:i4>
      </vt:variant>
      <vt:variant>
        <vt:i4>0</vt:i4>
      </vt:variant>
      <vt:variant>
        <vt:i4>5</vt:i4>
      </vt:variant>
      <vt:variant>
        <vt:lpwstr/>
      </vt:variant>
      <vt:variant>
        <vt:lpwstr>_Toc366335667</vt:lpwstr>
      </vt:variant>
      <vt:variant>
        <vt:i4>1114160</vt:i4>
      </vt:variant>
      <vt:variant>
        <vt:i4>548</vt:i4>
      </vt:variant>
      <vt:variant>
        <vt:i4>0</vt:i4>
      </vt:variant>
      <vt:variant>
        <vt:i4>5</vt:i4>
      </vt:variant>
      <vt:variant>
        <vt:lpwstr/>
      </vt:variant>
      <vt:variant>
        <vt:lpwstr>_Toc366335666</vt:lpwstr>
      </vt:variant>
      <vt:variant>
        <vt:i4>1114160</vt:i4>
      </vt:variant>
      <vt:variant>
        <vt:i4>542</vt:i4>
      </vt:variant>
      <vt:variant>
        <vt:i4>0</vt:i4>
      </vt:variant>
      <vt:variant>
        <vt:i4>5</vt:i4>
      </vt:variant>
      <vt:variant>
        <vt:lpwstr/>
      </vt:variant>
      <vt:variant>
        <vt:lpwstr>_Toc366335664</vt:lpwstr>
      </vt:variant>
      <vt:variant>
        <vt:i4>1114160</vt:i4>
      </vt:variant>
      <vt:variant>
        <vt:i4>536</vt:i4>
      </vt:variant>
      <vt:variant>
        <vt:i4>0</vt:i4>
      </vt:variant>
      <vt:variant>
        <vt:i4>5</vt:i4>
      </vt:variant>
      <vt:variant>
        <vt:lpwstr/>
      </vt:variant>
      <vt:variant>
        <vt:lpwstr>_Toc366335663</vt:lpwstr>
      </vt:variant>
      <vt:variant>
        <vt:i4>1114160</vt:i4>
      </vt:variant>
      <vt:variant>
        <vt:i4>530</vt:i4>
      </vt:variant>
      <vt:variant>
        <vt:i4>0</vt:i4>
      </vt:variant>
      <vt:variant>
        <vt:i4>5</vt:i4>
      </vt:variant>
      <vt:variant>
        <vt:lpwstr/>
      </vt:variant>
      <vt:variant>
        <vt:lpwstr>_Toc366335662</vt:lpwstr>
      </vt:variant>
      <vt:variant>
        <vt:i4>1114160</vt:i4>
      </vt:variant>
      <vt:variant>
        <vt:i4>524</vt:i4>
      </vt:variant>
      <vt:variant>
        <vt:i4>0</vt:i4>
      </vt:variant>
      <vt:variant>
        <vt:i4>5</vt:i4>
      </vt:variant>
      <vt:variant>
        <vt:lpwstr/>
      </vt:variant>
      <vt:variant>
        <vt:lpwstr>_Toc366335661</vt:lpwstr>
      </vt:variant>
      <vt:variant>
        <vt:i4>1114160</vt:i4>
      </vt:variant>
      <vt:variant>
        <vt:i4>518</vt:i4>
      </vt:variant>
      <vt:variant>
        <vt:i4>0</vt:i4>
      </vt:variant>
      <vt:variant>
        <vt:i4>5</vt:i4>
      </vt:variant>
      <vt:variant>
        <vt:lpwstr/>
      </vt:variant>
      <vt:variant>
        <vt:lpwstr>_Toc366335660</vt:lpwstr>
      </vt:variant>
      <vt:variant>
        <vt:i4>1179696</vt:i4>
      </vt:variant>
      <vt:variant>
        <vt:i4>512</vt:i4>
      </vt:variant>
      <vt:variant>
        <vt:i4>0</vt:i4>
      </vt:variant>
      <vt:variant>
        <vt:i4>5</vt:i4>
      </vt:variant>
      <vt:variant>
        <vt:lpwstr/>
      </vt:variant>
      <vt:variant>
        <vt:lpwstr>_Toc366335659</vt:lpwstr>
      </vt:variant>
      <vt:variant>
        <vt:i4>1179696</vt:i4>
      </vt:variant>
      <vt:variant>
        <vt:i4>506</vt:i4>
      </vt:variant>
      <vt:variant>
        <vt:i4>0</vt:i4>
      </vt:variant>
      <vt:variant>
        <vt:i4>5</vt:i4>
      </vt:variant>
      <vt:variant>
        <vt:lpwstr/>
      </vt:variant>
      <vt:variant>
        <vt:lpwstr>_Toc366335658</vt:lpwstr>
      </vt:variant>
      <vt:variant>
        <vt:i4>1179696</vt:i4>
      </vt:variant>
      <vt:variant>
        <vt:i4>500</vt:i4>
      </vt:variant>
      <vt:variant>
        <vt:i4>0</vt:i4>
      </vt:variant>
      <vt:variant>
        <vt:i4>5</vt:i4>
      </vt:variant>
      <vt:variant>
        <vt:lpwstr/>
      </vt:variant>
      <vt:variant>
        <vt:lpwstr>_Toc366335657</vt:lpwstr>
      </vt:variant>
      <vt:variant>
        <vt:i4>1179696</vt:i4>
      </vt:variant>
      <vt:variant>
        <vt:i4>494</vt:i4>
      </vt:variant>
      <vt:variant>
        <vt:i4>0</vt:i4>
      </vt:variant>
      <vt:variant>
        <vt:i4>5</vt:i4>
      </vt:variant>
      <vt:variant>
        <vt:lpwstr/>
      </vt:variant>
      <vt:variant>
        <vt:lpwstr>_Toc366335656</vt:lpwstr>
      </vt:variant>
      <vt:variant>
        <vt:i4>1179696</vt:i4>
      </vt:variant>
      <vt:variant>
        <vt:i4>488</vt:i4>
      </vt:variant>
      <vt:variant>
        <vt:i4>0</vt:i4>
      </vt:variant>
      <vt:variant>
        <vt:i4>5</vt:i4>
      </vt:variant>
      <vt:variant>
        <vt:lpwstr/>
      </vt:variant>
      <vt:variant>
        <vt:lpwstr>_Toc366335655</vt:lpwstr>
      </vt:variant>
      <vt:variant>
        <vt:i4>1179696</vt:i4>
      </vt:variant>
      <vt:variant>
        <vt:i4>482</vt:i4>
      </vt:variant>
      <vt:variant>
        <vt:i4>0</vt:i4>
      </vt:variant>
      <vt:variant>
        <vt:i4>5</vt:i4>
      </vt:variant>
      <vt:variant>
        <vt:lpwstr/>
      </vt:variant>
      <vt:variant>
        <vt:lpwstr>_Toc366335654</vt:lpwstr>
      </vt:variant>
      <vt:variant>
        <vt:i4>1179696</vt:i4>
      </vt:variant>
      <vt:variant>
        <vt:i4>476</vt:i4>
      </vt:variant>
      <vt:variant>
        <vt:i4>0</vt:i4>
      </vt:variant>
      <vt:variant>
        <vt:i4>5</vt:i4>
      </vt:variant>
      <vt:variant>
        <vt:lpwstr/>
      </vt:variant>
      <vt:variant>
        <vt:lpwstr>_Toc366335653</vt:lpwstr>
      </vt:variant>
      <vt:variant>
        <vt:i4>1179696</vt:i4>
      </vt:variant>
      <vt:variant>
        <vt:i4>470</vt:i4>
      </vt:variant>
      <vt:variant>
        <vt:i4>0</vt:i4>
      </vt:variant>
      <vt:variant>
        <vt:i4>5</vt:i4>
      </vt:variant>
      <vt:variant>
        <vt:lpwstr/>
      </vt:variant>
      <vt:variant>
        <vt:lpwstr>_Toc366335652</vt:lpwstr>
      </vt:variant>
      <vt:variant>
        <vt:i4>1179696</vt:i4>
      </vt:variant>
      <vt:variant>
        <vt:i4>464</vt:i4>
      </vt:variant>
      <vt:variant>
        <vt:i4>0</vt:i4>
      </vt:variant>
      <vt:variant>
        <vt:i4>5</vt:i4>
      </vt:variant>
      <vt:variant>
        <vt:lpwstr/>
      </vt:variant>
      <vt:variant>
        <vt:lpwstr>_Toc366335651</vt:lpwstr>
      </vt:variant>
      <vt:variant>
        <vt:i4>1179696</vt:i4>
      </vt:variant>
      <vt:variant>
        <vt:i4>458</vt:i4>
      </vt:variant>
      <vt:variant>
        <vt:i4>0</vt:i4>
      </vt:variant>
      <vt:variant>
        <vt:i4>5</vt:i4>
      </vt:variant>
      <vt:variant>
        <vt:lpwstr/>
      </vt:variant>
      <vt:variant>
        <vt:lpwstr>_Toc366335650</vt:lpwstr>
      </vt:variant>
      <vt:variant>
        <vt:i4>1245232</vt:i4>
      </vt:variant>
      <vt:variant>
        <vt:i4>452</vt:i4>
      </vt:variant>
      <vt:variant>
        <vt:i4>0</vt:i4>
      </vt:variant>
      <vt:variant>
        <vt:i4>5</vt:i4>
      </vt:variant>
      <vt:variant>
        <vt:lpwstr/>
      </vt:variant>
      <vt:variant>
        <vt:lpwstr>_Toc366335649</vt:lpwstr>
      </vt:variant>
      <vt:variant>
        <vt:i4>1245232</vt:i4>
      </vt:variant>
      <vt:variant>
        <vt:i4>446</vt:i4>
      </vt:variant>
      <vt:variant>
        <vt:i4>0</vt:i4>
      </vt:variant>
      <vt:variant>
        <vt:i4>5</vt:i4>
      </vt:variant>
      <vt:variant>
        <vt:lpwstr/>
      </vt:variant>
      <vt:variant>
        <vt:lpwstr>_Toc366335648</vt:lpwstr>
      </vt:variant>
      <vt:variant>
        <vt:i4>1245232</vt:i4>
      </vt:variant>
      <vt:variant>
        <vt:i4>440</vt:i4>
      </vt:variant>
      <vt:variant>
        <vt:i4>0</vt:i4>
      </vt:variant>
      <vt:variant>
        <vt:i4>5</vt:i4>
      </vt:variant>
      <vt:variant>
        <vt:lpwstr/>
      </vt:variant>
      <vt:variant>
        <vt:lpwstr>_Toc366335647</vt:lpwstr>
      </vt:variant>
      <vt:variant>
        <vt:i4>1245232</vt:i4>
      </vt:variant>
      <vt:variant>
        <vt:i4>434</vt:i4>
      </vt:variant>
      <vt:variant>
        <vt:i4>0</vt:i4>
      </vt:variant>
      <vt:variant>
        <vt:i4>5</vt:i4>
      </vt:variant>
      <vt:variant>
        <vt:lpwstr/>
      </vt:variant>
      <vt:variant>
        <vt:lpwstr>_Toc366335645</vt:lpwstr>
      </vt:variant>
      <vt:variant>
        <vt:i4>1245232</vt:i4>
      </vt:variant>
      <vt:variant>
        <vt:i4>428</vt:i4>
      </vt:variant>
      <vt:variant>
        <vt:i4>0</vt:i4>
      </vt:variant>
      <vt:variant>
        <vt:i4>5</vt:i4>
      </vt:variant>
      <vt:variant>
        <vt:lpwstr/>
      </vt:variant>
      <vt:variant>
        <vt:lpwstr>_Toc366335644</vt:lpwstr>
      </vt:variant>
      <vt:variant>
        <vt:i4>1245232</vt:i4>
      </vt:variant>
      <vt:variant>
        <vt:i4>422</vt:i4>
      </vt:variant>
      <vt:variant>
        <vt:i4>0</vt:i4>
      </vt:variant>
      <vt:variant>
        <vt:i4>5</vt:i4>
      </vt:variant>
      <vt:variant>
        <vt:lpwstr/>
      </vt:variant>
      <vt:variant>
        <vt:lpwstr>_Toc366335643</vt:lpwstr>
      </vt:variant>
      <vt:variant>
        <vt:i4>1245232</vt:i4>
      </vt:variant>
      <vt:variant>
        <vt:i4>416</vt:i4>
      </vt:variant>
      <vt:variant>
        <vt:i4>0</vt:i4>
      </vt:variant>
      <vt:variant>
        <vt:i4>5</vt:i4>
      </vt:variant>
      <vt:variant>
        <vt:lpwstr/>
      </vt:variant>
      <vt:variant>
        <vt:lpwstr>_Toc366335642</vt:lpwstr>
      </vt:variant>
      <vt:variant>
        <vt:i4>1245232</vt:i4>
      </vt:variant>
      <vt:variant>
        <vt:i4>410</vt:i4>
      </vt:variant>
      <vt:variant>
        <vt:i4>0</vt:i4>
      </vt:variant>
      <vt:variant>
        <vt:i4>5</vt:i4>
      </vt:variant>
      <vt:variant>
        <vt:lpwstr/>
      </vt:variant>
      <vt:variant>
        <vt:lpwstr>_Toc366335641</vt:lpwstr>
      </vt:variant>
      <vt:variant>
        <vt:i4>1245232</vt:i4>
      </vt:variant>
      <vt:variant>
        <vt:i4>404</vt:i4>
      </vt:variant>
      <vt:variant>
        <vt:i4>0</vt:i4>
      </vt:variant>
      <vt:variant>
        <vt:i4>5</vt:i4>
      </vt:variant>
      <vt:variant>
        <vt:lpwstr/>
      </vt:variant>
      <vt:variant>
        <vt:lpwstr>_Toc366335640</vt:lpwstr>
      </vt:variant>
      <vt:variant>
        <vt:i4>1310768</vt:i4>
      </vt:variant>
      <vt:variant>
        <vt:i4>398</vt:i4>
      </vt:variant>
      <vt:variant>
        <vt:i4>0</vt:i4>
      </vt:variant>
      <vt:variant>
        <vt:i4>5</vt:i4>
      </vt:variant>
      <vt:variant>
        <vt:lpwstr/>
      </vt:variant>
      <vt:variant>
        <vt:lpwstr>_Toc366335636</vt:lpwstr>
      </vt:variant>
      <vt:variant>
        <vt:i4>1310768</vt:i4>
      </vt:variant>
      <vt:variant>
        <vt:i4>392</vt:i4>
      </vt:variant>
      <vt:variant>
        <vt:i4>0</vt:i4>
      </vt:variant>
      <vt:variant>
        <vt:i4>5</vt:i4>
      </vt:variant>
      <vt:variant>
        <vt:lpwstr/>
      </vt:variant>
      <vt:variant>
        <vt:lpwstr>_Toc366335635</vt:lpwstr>
      </vt:variant>
      <vt:variant>
        <vt:i4>1310768</vt:i4>
      </vt:variant>
      <vt:variant>
        <vt:i4>386</vt:i4>
      </vt:variant>
      <vt:variant>
        <vt:i4>0</vt:i4>
      </vt:variant>
      <vt:variant>
        <vt:i4>5</vt:i4>
      </vt:variant>
      <vt:variant>
        <vt:lpwstr/>
      </vt:variant>
      <vt:variant>
        <vt:lpwstr>_Toc366335634</vt:lpwstr>
      </vt:variant>
      <vt:variant>
        <vt:i4>1310768</vt:i4>
      </vt:variant>
      <vt:variant>
        <vt:i4>380</vt:i4>
      </vt:variant>
      <vt:variant>
        <vt:i4>0</vt:i4>
      </vt:variant>
      <vt:variant>
        <vt:i4>5</vt:i4>
      </vt:variant>
      <vt:variant>
        <vt:lpwstr/>
      </vt:variant>
      <vt:variant>
        <vt:lpwstr>_Toc366335633</vt:lpwstr>
      </vt:variant>
      <vt:variant>
        <vt:i4>1310768</vt:i4>
      </vt:variant>
      <vt:variant>
        <vt:i4>374</vt:i4>
      </vt:variant>
      <vt:variant>
        <vt:i4>0</vt:i4>
      </vt:variant>
      <vt:variant>
        <vt:i4>5</vt:i4>
      </vt:variant>
      <vt:variant>
        <vt:lpwstr/>
      </vt:variant>
      <vt:variant>
        <vt:lpwstr>_Toc366335632</vt:lpwstr>
      </vt:variant>
      <vt:variant>
        <vt:i4>1310768</vt:i4>
      </vt:variant>
      <vt:variant>
        <vt:i4>368</vt:i4>
      </vt:variant>
      <vt:variant>
        <vt:i4>0</vt:i4>
      </vt:variant>
      <vt:variant>
        <vt:i4>5</vt:i4>
      </vt:variant>
      <vt:variant>
        <vt:lpwstr/>
      </vt:variant>
      <vt:variant>
        <vt:lpwstr>_Toc366335631</vt:lpwstr>
      </vt:variant>
      <vt:variant>
        <vt:i4>1310768</vt:i4>
      </vt:variant>
      <vt:variant>
        <vt:i4>362</vt:i4>
      </vt:variant>
      <vt:variant>
        <vt:i4>0</vt:i4>
      </vt:variant>
      <vt:variant>
        <vt:i4>5</vt:i4>
      </vt:variant>
      <vt:variant>
        <vt:lpwstr/>
      </vt:variant>
      <vt:variant>
        <vt:lpwstr>_Toc366335630</vt:lpwstr>
      </vt:variant>
      <vt:variant>
        <vt:i4>1376304</vt:i4>
      </vt:variant>
      <vt:variant>
        <vt:i4>356</vt:i4>
      </vt:variant>
      <vt:variant>
        <vt:i4>0</vt:i4>
      </vt:variant>
      <vt:variant>
        <vt:i4>5</vt:i4>
      </vt:variant>
      <vt:variant>
        <vt:lpwstr/>
      </vt:variant>
      <vt:variant>
        <vt:lpwstr>_Toc366335629</vt:lpwstr>
      </vt:variant>
      <vt:variant>
        <vt:i4>1376304</vt:i4>
      </vt:variant>
      <vt:variant>
        <vt:i4>350</vt:i4>
      </vt:variant>
      <vt:variant>
        <vt:i4>0</vt:i4>
      </vt:variant>
      <vt:variant>
        <vt:i4>5</vt:i4>
      </vt:variant>
      <vt:variant>
        <vt:lpwstr/>
      </vt:variant>
      <vt:variant>
        <vt:lpwstr>_Toc366335628</vt:lpwstr>
      </vt:variant>
      <vt:variant>
        <vt:i4>1376304</vt:i4>
      </vt:variant>
      <vt:variant>
        <vt:i4>344</vt:i4>
      </vt:variant>
      <vt:variant>
        <vt:i4>0</vt:i4>
      </vt:variant>
      <vt:variant>
        <vt:i4>5</vt:i4>
      </vt:variant>
      <vt:variant>
        <vt:lpwstr/>
      </vt:variant>
      <vt:variant>
        <vt:lpwstr>_Toc366335627</vt:lpwstr>
      </vt:variant>
      <vt:variant>
        <vt:i4>1376304</vt:i4>
      </vt:variant>
      <vt:variant>
        <vt:i4>338</vt:i4>
      </vt:variant>
      <vt:variant>
        <vt:i4>0</vt:i4>
      </vt:variant>
      <vt:variant>
        <vt:i4>5</vt:i4>
      </vt:variant>
      <vt:variant>
        <vt:lpwstr/>
      </vt:variant>
      <vt:variant>
        <vt:lpwstr>_Toc366335626</vt:lpwstr>
      </vt:variant>
      <vt:variant>
        <vt:i4>1376304</vt:i4>
      </vt:variant>
      <vt:variant>
        <vt:i4>332</vt:i4>
      </vt:variant>
      <vt:variant>
        <vt:i4>0</vt:i4>
      </vt:variant>
      <vt:variant>
        <vt:i4>5</vt:i4>
      </vt:variant>
      <vt:variant>
        <vt:lpwstr/>
      </vt:variant>
      <vt:variant>
        <vt:lpwstr>_Toc366335625</vt:lpwstr>
      </vt:variant>
      <vt:variant>
        <vt:i4>1376304</vt:i4>
      </vt:variant>
      <vt:variant>
        <vt:i4>326</vt:i4>
      </vt:variant>
      <vt:variant>
        <vt:i4>0</vt:i4>
      </vt:variant>
      <vt:variant>
        <vt:i4>5</vt:i4>
      </vt:variant>
      <vt:variant>
        <vt:lpwstr/>
      </vt:variant>
      <vt:variant>
        <vt:lpwstr>_Toc366335624</vt:lpwstr>
      </vt:variant>
      <vt:variant>
        <vt:i4>1376304</vt:i4>
      </vt:variant>
      <vt:variant>
        <vt:i4>320</vt:i4>
      </vt:variant>
      <vt:variant>
        <vt:i4>0</vt:i4>
      </vt:variant>
      <vt:variant>
        <vt:i4>5</vt:i4>
      </vt:variant>
      <vt:variant>
        <vt:lpwstr/>
      </vt:variant>
      <vt:variant>
        <vt:lpwstr>_Toc366335623</vt:lpwstr>
      </vt:variant>
      <vt:variant>
        <vt:i4>1376304</vt:i4>
      </vt:variant>
      <vt:variant>
        <vt:i4>314</vt:i4>
      </vt:variant>
      <vt:variant>
        <vt:i4>0</vt:i4>
      </vt:variant>
      <vt:variant>
        <vt:i4>5</vt:i4>
      </vt:variant>
      <vt:variant>
        <vt:lpwstr/>
      </vt:variant>
      <vt:variant>
        <vt:lpwstr>_Toc366335622</vt:lpwstr>
      </vt:variant>
      <vt:variant>
        <vt:i4>1376304</vt:i4>
      </vt:variant>
      <vt:variant>
        <vt:i4>308</vt:i4>
      </vt:variant>
      <vt:variant>
        <vt:i4>0</vt:i4>
      </vt:variant>
      <vt:variant>
        <vt:i4>5</vt:i4>
      </vt:variant>
      <vt:variant>
        <vt:lpwstr/>
      </vt:variant>
      <vt:variant>
        <vt:lpwstr>_Toc366335621</vt:lpwstr>
      </vt:variant>
      <vt:variant>
        <vt:i4>1441840</vt:i4>
      </vt:variant>
      <vt:variant>
        <vt:i4>302</vt:i4>
      </vt:variant>
      <vt:variant>
        <vt:i4>0</vt:i4>
      </vt:variant>
      <vt:variant>
        <vt:i4>5</vt:i4>
      </vt:variant>
      <vt:variant>
        <vt:lpwstr/>
      </vt:variant>
      <vt:variant>
        <vt:lpwstr>_Toc366335617</vt:lpwstr>
      </vt:variant>
      <vt:variant>
        <vt:i4>1441840</vt:i4>
      </vt:variant>
      <vt:variant>
        <vt:i4>296</vt:i4>
      </vt:variant>
      <vt:variant>
        <vt:i4>0</vt:i4>
      </vt:variant>
      <vt:variant>
        <vt:i4>5</vt:i4>
      </vt:variant>
      <vt:variant>
        <vt:lpwstr/>
      </vt:variant>
      <vt:variant>
        <vt:lpwstr>_Toc366335616</vt:lpwstr>
      </vt:variant>
      <vt:variant>
        <vt:i4>1441840</vt:i4>
      </vt:variant>
      <vt:variant>
        <vt:i4>290</vt:i4>
      </vt:variant>
      <vt:variant>
        <vt:i4>0</vt:i4>
      </vt:variant>
      <vt:variant>
        <vt:i4>5</vt:i4>
      </vt:variant>
      <vt:variant>
        <vt:lpwstr/>
      </vt:variant>
      <vt:variant>
        <vt:lpwstr>_Toc366335615</vt:lpwstr>
      </vt:variant>
      <vt:variant>
        <vt:i4>1441840</vt:i4>
      </vt:variant>
      <vt:variant>
        <vt:i4>284</vt:i4>
      </vt:variant>
      <vt:variant>
        <vt:i4>0</vt:i4>
      </vt:variant>
      <vt:variant>
        <vt:i4>5</vt:i4>
      </vt:variant>
      <vt:variant>
        <vt:lpwstr/>
      </vt:variant>
      <vt:variant>
        <vt:lpwstr>_Toc366335614</vt:lpwstr>
      </vt:variant>
      <vt:variant>
        <vt:i4>1441840</vt:i4>
      </vt:variant>
      <vt:variant>
        <vt:i4>278</vt:i4>
      </vt:variant>
      <vt:variant>
        <vt:i4>0</vt:i4>
      </vt:variant>
      <vt:variant>
        <vt:i4>5</vt:i4>
      </vt:variant>
      <vt:variant>
        <vt:lpwstr/>
      </vt:variant>
      <vt:variant>
        <vt:lpwstr>_Toc366335613</vt:lpwstr>
      </vt:variant>
      <vt:variant>
        <vt:i4>1441840</vt:i4>
      </vt:variant>
      <vt:variant>
        <vt:i4>272</vt:i4>
      </vt:variant>
      <vt:variant>
        <vt:i4>0</vt:i4>
      </vt:variant>
      <vt:variant>
        <vt:i4>5</vt:i4>
      </vt:variant>
      <vt:variant>
        <vt:lpwstr/>
      </vt:variant>
      <vt:variant>
        <vt:lpwstr>_Toc366335612</vt:lpwstr>
      </vt:variant>
      <vt:variant>
        <vt:i4>1441840</vt:i4>
      </vt:variant>
      <vt:variant>
        <vt:i4>266</vt:i4>
      </vt:variant>
      <vt:variant>
        <vt:i4>0</vt:i4>
      </vt:variant>
      <vt:variant>
        <vt:i4>5</vt:i4>
      </vt:variant>
      <vt:variant>
        <vt:lpwstr/>
      </vt:variant>
      <vt:variant>
        <vt:lpwstr>_Toc366335611</vt:lpwstr>
      </vt:variant>
      <vt:variant>
        <vt:i4>1441840</vt:i4>
      </vt:variant>
      <vt:variant>
        <vt:i4>260</vt:i4>
      </vt:variant>
      <vt:variant>
        <vt:i4>0</vt:i4>
      </vt:variant>
      <vt:variant>
        <vt:i4>5</vt:i4>
      </vt:variant>
      <vt:variant>
        <vt:lpwstr/>
      </vt:variant>
      <vt:variant>
        <vt:lpwstr>_Toc366335610</vt:lpwstr>
      </vt:variant>
      <vt:variant>
        <vt:i4>1507376</vt:i4>
      </vt:variant>
      <vt:variant>
        <vt:i4>254</vt:i4>
      </vt:variant>
      <vt:variant>
        <vt:i4>0</vt:i4>
      </vt:variant>
      <vt:variant>
        <vt:i4>5</vt:i4>
      </vt:variant>
      <vt:variant>
        <vt:lpwstr/>
      </vt:variant>
      <vt:variant>
        <vt:lpwstr>_Toc366335609</vt:lpwstr>
      </vt:variant>
      <vt:variant>
        <vt:i4>1507376</vt:i4>
      </vt:variant>
      <vt:variant>
        <vt:i4>248</vt:i4>
      </vt:variant>
      <vt:variant>
        <vt:i4>0</vt:i4>
      </vt:variant>
      <vt:variant>
        <vt:i4>5</vt:i4>
      </vt:variant>
      <vt:variant>
        <vt:lpwstr/>
      </vt:variant>
      <vt:variant>
        <vt:lpwstr>_Toc366335608</vt:lpwstr>
      </vt:variant>
      <vt:variant>
        <vt:i4>1507376</vt:i4>
      </vt:variant>
      <vt:variant>
        <vt:i4>242</vt:i4>
      </vt:variant>
      <vt:variant>
        <vt:i4>0</vt:i4>
      </vt:variant>
      <vt:variant>
        <vt:i4>5</vt:i4>
      </vt:variant>
      <vt:variant>
        <vt:lpwstr/>
      </vt:variant>
      <vt:variant>
        <vt:lpwstr>_Toc366335607</vt:lpwstr>
      </vt:variant>
      <vt:variant>
        <vt:i4>1507376</vt:i4>
      </vt:variant>
      <vt:variant>
        <vt:i4>236</vt:i4>
      </vt:variant>
      <vt:variant>
        <vt:i4>0</vt:i4>
      </vt:variant>
      <vt:variant>
        <vt:i4>5</vt:i4>
      </vt:variant>
      <vt:variant>
        <vt:lpwstr/>
      </vt:variant>
      <vt:variant>
        <vt:lpwstr>_Toc366335606</vt:lpwstr>
      </vt:variant>
      <vt:variant>
        <vt:i4>1507376</vt:i4>
      </vt:variant>
      <vt:variant>
        <vt:i4>230</vt:i4>
      </vt:variant>
      <vt:variant>
        <vt:i4>0</vt:i4>
      </vt:variant>
      <vt:variant>
        <vt:i4>5</vt:i4>
      </vt:variant>
      <vt:variant>
        <vt:lpwstr/>
      </vt:variant>
      <vt:variant>
        <vt:lpwstr>_Toc366335605</vt:lpwstr>
      </vt:variant>
      <vt:variant>
        <vt:i4>1507376</vt:i4>
      </vt:variant>
      <vt:variant>
        <vt:i4>224</vt:i4>
      </vt:variant>
      <vt:variant>
        <vt:i4>0</vt:i4>
      </vt:variant>
      <vt:variant>
        <vt:i4>5</vt:i4>
      </vt:variant>
      <vt:variant>
        <vt:lpwstr/>
      </vt:variant>
      <vt:variant>
        <vt:lpwstr>_Toc366335604</vt:lpwstr>
      </vt:variant>
      <vt:variant>
        <vt:i4>1507376</vt:i4>
      </vt:variant>
      <vt:variant>
        <vt:i4>218</vt:i4>
      </vt:variant>
      <vt:variant>
        <vt:i4>0</vt:i4>
      </vt:variant>
      <vt:variant>
        <vt:i4>5</vt:i4>
      </vt:variant>
      <vt:variant>
        <vt:lpwstr/>
      </vt:variant>
      <vt:variant>
        <vt:lpwstr>_Toc366335603</vt:lpwstr>
      </vt:variant>
      <vt:variant>
        <vt:i4>1507376</vt:i4>
      </vt:variant>
      <vt:variant>
        <vt:i4>212</vt:i4>
      </vt:variant>
      <vt:variant>
        <vt:i4>0</vt:i4>
      </vt:variant>
      <vt:variant>
        <vt:i4>5</vt:i4>
      </vt:variant>
      <vt:variant>
        <vt:lpwstr/>
      </vt:variant>
      <vt:variant>
        <vt:lpwstr>_Toc366335602</vt:lpwstr>
      </vt:variant>
      <vt:variant>
        <vt:i4>1507376</vt:i4>
      </vt:variant>
      <vt:variant>
        <vt:i4>206</vt:i4>
      </vt:variant>
      <vt:variant>
        <vt:i4>0</vt:i4>
      </vt:variant>
      <vt:variant>
        <vt:i4>5</vt:i4>
      </vt:variant>
      <vt:variant>
        <vt:lpwstr/>
      </vt:variant>
      <vt:variant>
        <vt:lpwstr>_Toc366335601</vt:lpwstr>
      </vt:variant>
      <vt:variant>
        <vt:i4>1507376</vt:i4>
      </vt:variant>
      <vt:variant>
        <vt:i4>200</vt:i4>
      </vt:variant>
      <vt:variant>
        <vt:i4>0</vt:i4>
      </vt:variant>
      <vt:variant>
        <vt:i4>5</vt:i4>
      </vt:variant>
      <vt:variant>
        <vt:lpwstr/>
      </vt:variant>
      <vt:variant>
        <vt:lpwstr>_Toc366335600</vt:lpwstr>
      </vt:variant>
      <vt:variant>
        <vt:i4>1966131</vt:i4>
      </vt:variant>
      <vt:variant>
        <vt:i4>194</vt:i4>
      </vt:variant>
      <vt:variant>
        <vt:i4>0</vt:i4>
      </vt:variant>
      <vt:variant>
        <vt:i4>5</vt:i4>
      </vt:variant>
      <vt:variant>
        <vt:lpwstr/>
      </vt:variant>
      <vt:variant>
        <vt:lpwstr>_Toc366335599</vt:lpwstr>
      </vt:variant>
      <vt:variant>
        <vt:i4>1966131</vt:i4>
      </vt:variant>
      <vt:variant>
        <vt:i4>188</vt:i4>
      </vt:variant>
      <vt:variant>
        <vt:i4>0</vt:i4>
      </vt:variant>
      <vt:variant>
        <vt:i4>5</vt:i4>
      </vt:variant>
      <vt:variant>
        <vt:lpwstr/>
      </vt:variant>
      <vt:variant>
        <vt:lpwstr>_Toc366335598</vt:lpwstr>
      </vt:variant>
      <vt:variant>
        <vt:i4>1966131</vt:i4>
      </vt:variant>
      <vt:variant>
        <vt:i4>182</vt:i4>
      </vt:variant>
      <vt:variant>
        <vt:i4>0</vt:i4>
      </vt:variant>
      <vt:variant>
        <vt:i4>5</vt:i4>
      </vt:variant>
      <vt:variant>
        <vt:lpwstr/>
      </vt:variant>
      <vt:variant>
        <vt:lpwstr>_Toc366335597</vt:lpwstr>
      </vt:variant>
      <vt:variant>
        <vt:i4>1966131</vt:i4>
      </vt:variant>
      <vt:variant>
        <vt:i4>176</vt:i4>
      </vt:variant>
      <vt:variant>
        <vt:i4>0</vt:i4>
      </vt:variant>
      <vt:variant>
        <vt:i4>5</vt:i4>
      </vt:variant>
      <vt:variant>
        <vt:lpwstr/>
      </vt:variant>
      <vt:variant>
        <vt:lpwstr>_Toc366335596</vt:lpwstr>
      </vt:variant>
      <vt:variant>
        <vt:i4>1966131</vt:i4>
      </vt:variant>
      <vt:variant>
        <vt:i4>170</vt:i4>
      </vt:variant>
      <vt:variant>
        <vt:i4>0</vt:i4>
      </vt:variant>
      <vt:variant>
        <vt:i4>5</vt:i4>
      </vt:variant>
      <vt:variant>
        <vt:lpwstr/>
      </vt:variant>
      <vt:variant>
        <vt:lpwstr>_Toc366335595</vt:lpwstr>
      </vt:variant>
      <vt:variant>
        <vt:i4>1966131</vt:i4>
      </vt:variant>
      <vt:variant>
        <vt:i4>164</vt:i4>
      </vt:variant>
      <vt:variant>
        <vt:i4>0</vt:i4>
      </vt:variant>
      <vt:variant>
        <vt:i4>5</vt:i4>
      </vt:variant>
      <vt:variant>
        <vt:lpwstr/>
      </vt:variant>
      <vt:variant>
        <vt:lpwstr>_Toc366335594</vt:lpwstr>
      </vt:variant>
      <vt:variant>
        <vt:i4>1966131</vt:i4>
      </vt:variant>
      <vt:variant>
        <vt:i4>158</vt:i4>
      </vt:variant>
      <vt:variant>
        <vt:i4>0</vt:i4>
      </vt:variant>
      <vt:variant>
        <vt:i4>5</vt:i4>
      </vt:variant>
      <vt:variant>
        <vt:lpwstr/>
      </vt:variant>
      <vt:variant>
        <vt:lpwstr>_Toc366335593</vt:lpwstr>
      </vt:variant>
      <vt:variant>
        <vt:i4>1966131</vt:i4>
      </vt:variant>
      <vt:variant>
        <vt:i4>152</vt:i4>
      </vt:variant>
      <vt:variant>
        <vt:i4>0</vt:i4>
      </vt:variant>
      <vt:variant>
        <vt:i4>5</vt:i4>
      </vt:variant>
      <vt:variant>
        <vt:lpwstr/>
      </vt:variant>
      <vt:variant>
        <vt:lpwstr>_Toc366335592</vt:lpwstr>
      </vt:variant>
      <vt:variant>
        <vt:i4>1966131</vt:i4>
      </vt:variant>
      <vt:variant>
        <vt:i4>146</vt:i4>
      </vt:variant>
      <vt:variant>
        <vt:i4>0</vt:i4>
      </vt:variant>
      <vt:variant>
        <vt:i4>5</vt:i4>
      </vt:variant>
      <vt:variant>
        <vt:lpwstr/>
      </vt:variant>
      <vt:variant>
        <vt:lpwstr>_Toc366335591</vt:lpwstr>
      </vt:variant>
      <vt:variant>
        <vt:i4>1966131</vt:i4>
      </vt:variant>
      <vt:variant>
        <vt:i4>140</vt:i4>
      </vt:variant>
      <vt:variant>
        <vt:i4>0</vt:i4>
      </vt:variant>
      <vt:variant>
        <vt:i4>5</vt:i4>
      </vt:variant>
      <vt:variant>
        <vt:lpwstr/>
      </vt:variant>
      <vt:variant>
        <vt:lpwstr>_Toc366335590</vt:lpwstr>
      </vt:variant>
      <vt:variant>
        <vt:i4>2031667</vt:i4>
      </vt:variant>
      <vt:variant>
        <vt:i4>134</vt:i4>
      </vt:variant>
      <vt:variant>
        <vt:i4>0</vt:i4>
      </vt:variant>
      <vt:variant>
        <vt:i4>5</vt:i4>
      </vt:variant>
      <vt:variant>
        <vt:lpwstr/>
      </vt:variant>
      <vt:variant>
        <vt:lpwstr>_Toc366335589</vt:lpwstr>
      </vt:variant>
      <vt:variant>
        <vt:i4>2031667</vt:i4>
      </vt:variant>
      <vt:variant>
        <vt:i4>128</vt:i4>
      </vt:variant>
      <vt:variant>
        <vt:i4>0</vt:i4>
      </vt:variant>
      <vt:variant>
        <vt:i4>5</vt:i4>
      </vt:variant>
      <vt:variant>
        <vt:lpwstr/>
      </vt:variant>
      <vt:variant>
        <vt:lpwstr>_Toc366335588</vt:lpwstr>
      </vt:variant>
      <vt:variant>
        <vt:i4>2031667</vt:i4>
      </vt:variant>
      <vt:variant>
        <vt:i4>122</vt:i4>
      </vt:variant>
      <vt:variant>
        <vt:i4>0</vt:i4>
      </vt:variant>
      <vt:variant>
        <vt:i4>5</vt:i4>
      </vt:variant>
      <vt:variant>
        <vt:lpwstr/>
      </vt:variant>
      <vt:variant>
        <vt:lpwstr>_Toc366335587</vt:lpwstr>
      </vt:variant>
      <vt:variant>
        <vt:i4>2031667</vt:i4>
      </vt:variant>
      <vt:variant>
        <vt:i4>116</vt:i4>
      </vt:variant>
      <vt:variant>
        <vt:i4>0</vt:i4>
      </vt:variant>
      <vt:variant>
        <vt:i4>5</vt:i4>
      </vt:variant>
      <vt:variant>
        <vt:lpwstr/>
      </vt:variant>
      <vt:variant>
        <vt:lpwstr>_Toc366335586</vt:lpwstr>
      </vt:variant>
      <vt:variant>
        <vt:i4>2031667</vt:i4>
      </vt:variant>
      <vt:variant>
        <vt:i4>110</vt:i4>
      </vt:variant>
      <vt:variant>
        <vt:i4>0</vt:i4>
      </vt:variant>
      <vt:variant>
        <vt:i4>5</vt:i4>
      </vt:variant>
      <vt:variant>
        <vt:lpwstr/>
      </vt:variant>
      <vt:variant>
        <vt:lpwstr>_Toc366335585</vt:lpwstr>
      </vt:variant>
      <vt:variant>
        <vt:i4>2031667</vt:i4>
      </vt:variant>
      <vt:variant>
        <vt:i4>104</vt:i4>
      </vt:variant>
      <vt:variant>
        <vt:i4>0</vt:i4>
      </vt:variant>
      <vt:variant>
        <vt:i4>5</vt:i4>
      </vt:variant>
      <vt:variant>
        <vt:lpwstr/>
      </vt:variant>
      <vt:variant>
        <vt:lpwstr>_Toc366335584</vt:lpwstr>
      </vt:variant>
      <vt:variant>
        <vt:i4>2031667</vt:i4>
      </vt:variant>
      <vt:variant>
        <vt:i4>98</vt:i4>
      </vt:variant>
      <vt:variant>
        <vt:i4>0</vt:i4>
      </vt:variant>
      <vt:variant>
        <vt:i4>5</vt:i4>
      </vt:variant>
      <vt:variant>
        <vt:lpwstr/>
      </vt:variant>
      <vt:variant>
        <vt:lpwstr>_Toc366335583</vt:lpwstr>
      </vt:variant>
      <vt:variant>
        <vt:i4>2031667</vt:i4>
      </vt:variant>
      <vt:variant>
        <vt:i4>92</vt:i4>
      </vt:variant>
      <vt:variant>
        <vt:i4>0</vt:i4>
      </vt:variant>
      <vt:variant>
        <vt:i4>5</vt:i4>
      </vt:variant>
      <vt:variant>
        <vt:lpwstr/>
      </vt:variant>
      <vt:variant>
        <vt:lpwstr>_Toc366335582</vt:lpwstr>
      </vt:variant>
      <vt:variant>
        <vt:i4>2031667</vt:i4>
      </vt:variant>
      <vt:variant>
        <vt:i4>86</vt:i4>
      </vt:variant>
      <vt:variant>
        <vt:i4>0</vt:i4>
      </vt:variant>
      <vt:variant>
        <vt:i4>5</vt:i4>
      </vt:variant>
      <vt:variant>
        <vt:lpwstr/>
      </vt:variant>
      <vt:variant>
        <vt:lpwstr>_Toc366335581</vt:lpwstr>
      </vt:variant>
      <vt:variant>
        <vt:i4>2031667</vt:i4>
      </vt:variant>
      <vt:variant>
        <vt:i4>80</vt:i4>
      </vt:variant>
      <vt:variant>
        <vt:i4>0</vt:i4>
      </vt:variant>
      <vt:variant>
        <vt:i4>5</vt:i4>
      </vt:variant>
      <vt:variant>
        <vt:lpwstr/>
      </vt:variant>
      <vt:variant>
        <vt:lpwstr>_Toc366335580</vt:lpwstr>
      </vt:variant>
      <vt:variant>
        <vt:i4>1048627</vt:i4>
      </vt:variant>
      <vt:variant>
        <vt:i4>74</vt:i4>
      </vt:variant>
      <vt:variant>
        <vt:i4>0</vt:i4>
      </vt:variant>
      <vt:variant>
        <vt:i4>5</vt:i4>
      </vt:variant>
      <vt:variant>
        <vt:lpwstr/>
      </vt:variant>
      <vt:variant>
        <vt:lpwstr>_Toc366335579</vt:lpwstr>
      </vt:variant>
      <vt:variant>
        <vt:i4>1048627</vt:i4>
      </vt:variant>
      <vt:variant>
        <vt:i4>68</vt:i4>
      </vt:variant>
      <vt:variant>
        <vt:i4>0</vt:i4>
      </vt:variant>
      <vt:variant>
        <vt:i4>5</vt:i4>
      </vt:variant>
      <vt:variant>
        <vt:lpwstr/>
      </vt:variant>
      <vt:variant>
        <vt:lpwstr>_Toc366335578</vt:lpwstr>
      </vt:variant>
      <vt:variant>
        <vt:i4>1048627</vt:i4>
      </vt:variant>
      <vt:variant>
        <vt:i4>62</vt:i4>
      </vt:variant>
      <vt:variant>
        <vt:i4>0</vt:i4>
      </vt:variant>
      <vt:variant>
        <vt:i4>5</vt:i4>
      </vt:variant>
      <vt:variant>
        <vt:lpwstr/>
      </vt:variant>
      <vt:variant>
        <vt:lpwstr>_Toc366335577</vt:lpwstr>
      </vt:variant>
      <vt:variant>
        <vt:i4>1048627</vt:i4>
      </vt:variant>
      <vt:variant>
        <vt:i4>56</vt:i4>
      </vt:variant>
      <vt:variant>
        <vt:i4>0</vt:i4>
      </vt:variant>
      <vt:variant>
        <vt:i4>5</vt:i4>
      </vt:variant>
      <vt:variant>
        <vt:lpwstr/>
      </vt:variant>
      <vt:variant>
        <vt:lpwstr>_Toc366335576</vt:lpwstr>
      </vt:variant>
      <vt:variant>
        <vt:i4>1048627</vt:i4>
      </vt:variant>
      <vt:variant>
        <vt:i4>50</vt:i4>
      </vt:variant>
      <vt:variant>
        <vt:i4>0</vt:i4>
      </vt:variant>
      <vt:variant>
        <vt:i4>5</vt:i4>
      </vt:variant>
      <vt:variant>
        <vt:lpwstr/>
      </vt:variant>
      <vt:variant>
        <vt:lpwstr>_Toc366335575</vt:lpwstr>
      </vt:variant>
      <vt:variant>
        <vt:i4>1048627</vt:i4>
      </vt:variant>
      <vt:variant>
        <vt:i4>44</vt:i4>
      </vt:variant>
      <vt:variant>
        <vt:i4>0</vt:i4>
      </vt:variant>
      <vt:variant>
        <vt:i4>5</vt:i4>
      </vt:variant>
      <vt:variant>
        <vt:lpwstr/>
      </vt:variant>
      <vt:variant>
        <vt:lpwstr>_Toc366335574</vt:lpwstr>
      </vt:variant>
      <vt:variant>
        <vt:i4>1048627</vt:i4>
      </vt:variant>
      <vt:variant>
        <vt:i4>38</vt:i4>
      </vt:variant>
      <vt:variant>
        <vt:i4>0</vt:i4>
      </vt:variant>
      <vt:variant>
        <vt:i4>5</vt:i4>
      </vt:variant>
      <vt:variant>
        <vt:lpwstr/>
      </vt:variant>
      <vt:variant>
        <vt:lpwstr>_Toc366335573</vt:lpwstr>
      </vt:variant>
      <vt:variant>
        <vt:i4>1048627</vt:i4>
      </vt:variant>
      <vt:variant>
        <vt:i4>32</vt:i4>
      </vt:variant>
      <vt:variant>
        <vt:i4>0</vt:i4>
      </vt:variant>
      <vt:variant>
        <vt:i4>5</vt:i4>
      </vt:variant>
      <vt:variant>
        <vt:lpwstr/>
      </vt:variant>
      <vt:variant>
        <vt:lpwstr>_Toc366335572</vt:lpwstr>
      </vt:variant>
      <vt:variant>
        <vt:i4>1048627</vt:i4>
      </vt:variant>
      <vt:variant>
        <vt:i4>26</vt:i4>
      </vt:variant>
      <vt:variant>
        <vt:i4>0</vt:i4>
      </vt:variant>
      <vt:variant>
        <vt:i4>5</vt:i4>
      </vt:variant>
      <vt:variant>
        <vt:lpwstr/>
      </vt:variant>
      <vt:variant>
        <vt:lpwstr>_Toc366335571</vt:lpwstr>
      </vt:variant>
      <vt:variant>
        <vt:i4>1048627</vt:i4>
      </vt:variant>
      <vt:variant>
        <vt:i4>20</vt:i4>
      </vt:variant>
      <vt:variant>
        <vt:i4>0</vt:i4>
      </vt:variant>
      <vt:variant>
        <vt:i4>5</vt:i4>
      </vt:variant>
      <vt:variant>
        <vt:lpwstr/>
      </vt:variant>
      <vt:variant>
        <vt:lpwstr>_Toc366335570</vt:lpwstr>
      </vt:variant>
      <vt:variant>
        <vt:i4>1114163</vt:i4>
      </vt:variant>
      <vt:variant>
        <vt:i4>14</vt:i4>
      </vt:variant>
      <vt:variant>
        <vt:i4>0</vt:i4>
      </vt:variant>
      <vt:variant>
        <vt:i4>5</vt:i4>
      </vt:variant>
      <vt:variant>
        <vt:lpwstr/>
      </vt:variant>
      <vt:variant>
        <vt:lpwstr>_Toc366335569</vt:lpwstr>
      </vt:variant>
      <vt:variant>
        <vt:i4>1114163</vt:i4>
      </vt:variant>
      <vt:variant>
        <vt:i4>8</vt:i4>
      </vt:variant>
      <vt:variant>
        <vt:i4>0</vt:i4>
      </vt:variant>
      <vt:variant>
        <vt:i4>5</vt:i4>
      </vt:variant>
      <vt:variant>
        <vt:lpwstr/>
      </vt:variant>
      <vt:variant>
        <vt:lpwstr>_Toc366335568</vt:lpwstr>
      </vt:variant>
      <vt:variant>
        <vt:i4>1114163</vt:i4>
      </vt:variant>
      <vt:variant>
        <vt:i4>2</vt:i4>
      </vt:variant>
      <vt:variant>
        <vt:i4>0</vt:i4>
      </vt:variant>
      <vt:variant>
        <vt:i4>5</vt:i4>
      </vt:variant>
      <vt:variant>
        <vt:lpwstr/>
      </vt:variant>
      <vt:variant>
        <vt:lpwstr>_Toc366335567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 DINH</dc:title>
  <dc:creator>TTP</dc:creator>
  <cp:lastModifiedBy>Soc_Gau</cp:lastModifiedBy>
  <cp:revision>15</cp:revision>
  <cp:lastPrinted>2020-05-04T09:07:00Z</cp:lastPrinted>
  <dcterms:created xsi:type="dcterms:W3CDTF">2020-09-29T08:24:00Z</dcterms:created>
  <dcterms:modified xsi:type="dcterms:W3CDTF">2020-11-18T08:41:00Z</dcterms:modified>
</cp:coreProperties>
</file>